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tabs>
          <w:tab w:val="left" w:pos="795"/>
        </w:tabs>
        <w:snapToGrid w:val="0"/>
        <w:spacing w:line="360" w:lineRule="auto"/>
        <w:jc w:val="center"/>
        <w:rPr>
          <w:rFonts w:hAnsi="Times New Roman" w:eastAsia="宋体"/>
          <w:b/>
          <w:bCs/>
          <w:sz w:val="36"/>
          <w:szCs w:val="36"/>
          <w:lang w:eastAsia="zh-CN"/>
        </w:rPr>
      </w:pPr>
    </w:p>
    <w:p>
      <w:pPr>
        <w:pStyle w:val="19"/>
        <w:ind w:firstLine="480"/>
        <w:rPr>
          <w:lang w:eastAsia="zh-CN"/>
        </w:rPr>
      </w:pPr>
    </w:p>
    <w:p>
      <w:pPr>
        <w:tabs>
          <w:tab w:val="left" w:pos="795"/>
        </w:tabs>
        <w:snapToGrid w:val="0"/>
        <w:spacing w:line="360" w:lineRule="auto"/>
        <w:jc w:val="center"/>
        <w:rPr>
          <w:rFonts w:hAnsi="Times New Roman" w:eastAsia="宋体"/>
          <w:b/>
          <w:bCs/>
          <w:szCs w:val="24"/>
          <w:lang w:eastAsia="zh-CN"/>
        </w:rPr>
      </w:pPr>
      <w:r>
        <w:rPr>
          <w:rFonts w:hAnsi="Times New Roman" w:eastAsia="宋体"/>
          <w:b/>
          <w:bCs/>
          <w:sz w:val="40"/>
          <w:szCs w:val="40"/>
          <w:lang w:eastAsia="zh-CN"/>
        </w:rPr>
        <w:t>达州市宣汉县七里峡煤业有限公司七里峡煤矿扩建工程项目</w:t>
      </w:r>
    </w:p>
    <w:p>
      <w:pPr>
        <w:pStyle w:val="19"/>
        <w:ind w:firstLine="480"/>
        <w:rPr>
          <w:lang w:eastAsia="zh-CN"/>
        </w:rPr>
      </w:pPr>
    </w:p>
    <w:p>
      <w:pPr>
        <w:rPr>
          <w:rFonts w:hAnsi="Times New Roman" w:eastAsia="宋体"/>
          <w:lang w:eastAsia="zh-CN"/>
        </w:rPr>
      </w:pPr>
    </w:p>
    <w:p>
      <w:pPr>
        <w:pStyle w:val="19"/>
        <w:ind w:firstLine="0" w:firstLineChars="0"/>
        <w:jc w:val="center"/>
        <w:rPr>
          <w:b/>
          <w:sz w:val="84"/>
          <w:szCs w:val="84"/>
          <w:lang w:eastAsia="zh-CN"/>
        </w:rPr>
      </w:pPr>
      <w:r>
        <w:rPr>
          <w:b/>
          <w:sz w:val="84"/>
          <w:szCs w:val="84"/>
          <w:lang w:eastAsia="zh-CN"/>
        </w:rPr>
        <w:t>环境影响报告书</w:t>
      </w:r>
    </w:p>
    <w:p>
      <w:pPr>
        <w:jc w:val="center"/>
        <w:rPr>
          <w:rFonts w:hAnsi="Times New Roman" w:eastAsia="宋体"/>
          <w:b/>
          <w:bCs/>
          <w:sz w:val="36"/>
          <w:szCs w:val="36"/>
          <w:lang w:eastAsia="zh-CN"/>
        </w:rPr>
      </w:pPr>
      <w:r>
        <w:rPr>
          <w:rFonts w:hAnsi="Times New Roman" w:eastAsia="宋体"/>
          <w:b/>
          <w:bCs/>
          <w:sz w:val="36"/>
          <w:szCs w:val="36"/>
          <w:lang w:eastAsia="zh-CN"/>
        </w:rPr>
        <w:t>（送审稿）</w:t>
      </w:r>
    </w:p>
    <w:p>
      <w:pPr>
        <w:pStyle w:val="19"/>
        <w:ind w:firstLine="723"/>
        <w:jc w:val="center"/>
        <w:rPr>
          <w:b/>
          <w:sz w:val="36"/>
          <w:szCs w:val="36"/>
          <w:lang w:eastAsia="zh-CN"/>
        </w:rPr>
      </w:pPr>
    </w:p>
    <w:p>
      <w:pPr>
        <w:rPr>
          <w:rFonts w:hAnsi="Times New Roman" w:eastAsia="宋体"/>
          <w:b/>
          <w:bCs/>
          <w:sz w:val="36"/>
          <w:szCs w:val="36"/>
          <w:lang w:eastAsia="zh-CN"/>
        </w:rPr>
      </w:pPr>
      <w:r>
        <w:rPr>
          <w:rFonts w:hAnsi="Times New Roman" w:eastAsia="宋体"/>
          <w:b/>
          <w:bCs/>
          <w:sz w:val="36"/>
          <w:szCs w:val="36"/>
          <w:lang w:eastAsia="zh-CN"/>
        </w:rPr>
        <w:t xml:space="preserve">                                                                       </w:t>
      </w:r>
    </w:p>
    <w:p>
      <w:pPr>
        <w:pStyle w:val="19"/>
        <w:ind w:firstLine="723"/>
        <w:rPr>
          <w:b/>
          <w:sz w:val="36"/>
          <w:szCs w:val="36"/>
          <w:lang w:eastAsia="zh-CN"/>
        </w:rPr>
      </w:pPr>
    </w:p>
    <w:p>
      <w:pPr>
        <w:rPr>
          <w:rFonts w:hAnsi="Times New Roman" w:eastAsia="宋体"/>
          <w:b/>
          <w:bCs/>
          <w:sz w:val="36"/>
          <w:szCs w:val="36"/>
          <w:lang w:eastAsia="zh-CN"/>
        </w:rPr>
      </w:pPr>
    </w:p>
    <w:p>
      <w:pPr>
        <w:pStyle w:val="19"/>
        <w:ind w:firstLine="723"/>
        <w:rPr>
          <w:b/>
          <w:sz w:val="36"/>
          <w:szCs w:val="36"/>
          <w:lang w:eastAsia="zh-CN"/>
        </w:rPr>
      </w:pPr>
    </w:p>
    <w:p>
      <w:pPr>
        <w:rPr>
          <w:rFonts w:hAnsi="Times New Roman" w:eastAsia="宋体"/>
          <w:lang w:eastAsia="zh-CN"/>
        </w:rPr>
      </w:pPr>
    </w:p>
    <w:p>
      <w:pPr>
        <w:pStyle w:val="19"/>
        <w:ind w:firstLine="723"/>
        <w:rPr>
          <w:b/>
          <w:sz w:val="36"/>
          <w:szCs w:val="36"/>
          <w:lang w:eastAsia="zh-CN"/>
        </w:rPr>
      </w:pPr>
    </w:p>
    <w:p>
      <w:pPr>
        <w:rPr>
          <w:rFonts w:hAnsi="Times New Roman" w:eastAsia="宋体"/>
          <w:lang w:eastAsia="zh-CN"/>
        </w:rPr>
      </w:pPr>
    </w:p>
    <w:p>
      <w:pPr>
        <w:pStyle w:val="19"/>
        <w:ind w:firstLine="723"/>
        <w:rPr>
          <w:b/>
          <w:sz w:val="36"/>
          <w:szCs w:val="36"/>
          <w:lang w:eastAsia="zh-CN"/>
        </w:rPr>
      </w:pPr>
    </w:p>
    <w:p>
      <w:pPr>
        <w:rPr>
          <w:rFonts w:eastAsiaTheme="minorEastAsia"/>
          <w:lang w:eastAsia="zh-CN"/>
        </w:rPr>
      </w:pPr>
    </w:p>
    <w:p>
      <w:pPr>
        <w:pStyle w:val="2"/>
        <w:ind w:left="480" w:firstLine="403"/>
        <w:rPr>
          <w:rFonts w:eastAsiaTheme="minorEastAsia"/>
          <w:lang w:eastAsia="zh-CN"/>
        </w:rPr>
      </w:pPr>
    </w:p>
    <w:p>
      <w:pPr>
        <w:rPr>
          <w:rFonts w:eastAsiaTheme="minorEastAsia"/>
          <w:lang w:eastAsia="zh-CN"/>
        </w:rPr>
      </w:pPr>
    </w:p>
    <w:p>
      <w:pPr>
        <w:rPr>
          <w:rFonts w:hAnsi="Times New Roman" w:eastAsia="宋体"/>
          <w:lang w:eastAsia="zh-CN"/>
        </w:rPr>
      </w:pPr>
    </w:p>
    <w:p>
      <w:pPr>
        <w:jc w:val="center"/>
        <w:rPr>
          <w:rFonts w:hAnsi="Times New Roman" w:eastAsia="宋体"/>
          <w:b/>
          <w:bCs/>
          <w:sz w:val="32"/>
          <w:szCs w:val="32"/>
          <w:lang w:eastAsia="zh-CN"/>
        </w:rPr>
      </w:pPr>
      <w:r>
        <w:rPr>
          <w:rFonts w:hAnsi="Times New Roman" w:eastAsia="宋体"/>
          <w:b/>
          <w:bCs/>
          <w:sz w:val="32"/>
          <w:szCs w:val="32"/>
          <w:lang w:eastAsia="zh-CN"/>
        </w:rPr>
        <w:t>建设单位：达州市宣汉县七里峡煤业有限公司</w:t>
      </w:r>
    </w:p>
    <w:p>
      <w:pPr>
        <w:pStyle w:val="19"/>
        <w:ind w:firstLine="0" w:firstLineChars="0"/>
        <w:jc w:val="center"/>
        <w:rPr>
          <w:b/>
          <w:sz w:val="32"/>
          <w:szCs w:val="32"/>
          <w:lang w:eastAsia="zh-CN"/>
        </w:rPr>
      </w:pPr>
      <w:r>
        <w:rPr>
          <w:b/>
          <w:sz w:val="32"/>
          <w:szCs w:val="32"/>
          <w:lang w:eastAsia="zh-CN"/>
        </w:rPr>
        <w:t>环评单位：四川恒延科技咨询有限公司</w:t>
      </w:r>
    </w:p>
    <w:p>
      <w:pPr>
        <w:jc w:val="center"/>
        <w:rPr>
          <w:rFonts w:hAnsi="Times New Roman" w:eastAsia="宋体"/>
          <w:b/>
          <w:bCs/>
          <w:sz w:val="32"/>
          <w:szCs w:val="32"/>
          <w:lang w:eastAsia="zh-CN"/>
        </w:rPr>
        <w:sectPr>
          <w:pgSz w:w="11906" w:h="16838"/>
          <w:pgMar w:top="1440" w:right="1800" w:bottom="1440" w:left="1800" w:header="851" w:footer="992" w:gutter="0"/>
          <w:cols w:space="425" w:num="1"/>
          <w:docGrid w:type="lines" w:linePitch="312" w:charSpace="0"/>
        </w:sectPr>
      </w:pPr>
      <w:r>
        <w:rPr>
          <w:rFonts w:hint="eastAsia" w:hAnsi="Times New Roman" w:eastAsia="宋体"/>
          <w:b/>
          <w:bCs/>
          <w:sz w:val="32"/>
          <w:szCs w:val="32"/>
          <w:lang w:eastAsia="zh-CN"/>
        </w:rPr>
        <w:t>二〇</w:t>
      </w:r>
      <w:r>
        <w:rPr>
          <w:rFonts w:hAnsi="Times New Roman" w:eastAsia="宋体"/>
          <w:b/>
          <w:bCs/>
          <w:sz w:val="32"/>
          <w:szCs w:val="32"/>
          <w:lang w:eastAsia="zh-CN"/>
        </w:rPr>
        <w:t>二</w:t>
      </w:r>
      <w:r>
        <w:rPr>
          <w:rFonts w:hint="eastAsia" w:hAnsi="Times New Roman" w:eastAsia="宋体"/>
          <w:b/>
          <w:bCs/>
          <w:sz w:val="32"/>
          <w:szCs w:val="32"/>
          <w:lang w:eastAsia="zh-CN"/>
        </w:rPr>
        <w:t>四</w:t>
      </w:r>
      <w:r>
        <w:rPr>
          <w:rFonts w:hAnsi="Times New Roman" w:eastAsia="宋体"/>
          <w:b/>
          <w:bCs/>
          <w:sz w:val="32"/>
          <w:szCs w:val="32"/>
          <w:lang w:eastAsia="zh-CN"/>
        </w:rPr>
        <w:t>年</w:t>
      </w:r>
      <w:r>
        <w:rPr>
          <w:rFonts w:hint="eastAsia" w:hAnsi="Times New Roman" w:eastAsia="宋体"/>
          <w:b/>
          <w:bCs/>
          <w:sz w:val="32"/>
          <w:szCs w:val="32"/>
          <w:lang w:eastAsia="zh-CN"/>
        </w:rPr>
        <w:t>五</w:t>
      </w:r>
      <w:r>
        <w:rPr>
          <w:rFonts w:hAnsi="Times New Roman" w:eastAsia="宋体"/>
          <w:b/>
          <w:bCs/>
          <w:sz w:val="32"/>
          <w:szCs w:val="32"/>
          <w:lang w:eastAsia="zh-CN"/>
        </w:rPr>
        <w:t>月</w:t>
      </w:r>
    </w:p>
    <w:p>
      <w:pPr>
        <w:jc w:val="center"/>
        <w:rPr>
          <w:rFonts w:hAnsi="Times New Roman" w:eastAsia="宋体"/>
          <w:b/>
          <w:bCs/>
          <w:sz w:val="32"/>
          <w:szCs w:val="32"/>
          <w:lang w:eastAsia="zh-CN"/>
        </w:rPr>
        <w:sectPr>
          <w:pgSz w:w="11906" w:h="16838"/>
          <w:pgMar w:top="1440" w:right="1800" w:bottom="1440" w:left="1800" w:header="851" w:footer="992" w:gutter="0"/>
          <w:cols w:space="425" w:num="1"/>
          <w:docGrid w:type="lines" w:linePitch="312" w:charSpace="0"/>
        </w:sectPr>
      </w:pPr>
    </w:p>
    <w:sdt>
      <w:sdtPr>
        <w:rPr>
          <w:rFonts w:ascii="Times New Roman" w:hAnsi="Times New Roman" w:eastAsia="宋体" w:cs="Times New Roman"/>
          <w:color w:val="auto"/>
          <w:sz w:val="24"/>
          <w:szCs w:val="20"/>
          <w:lang w:val="zh-CN" w:eastAsia="zh-TW"/>
        </w:rPr>
        <w:id w:val="-883788672"/>
        <w:docPartObj>
          <w:docPartGallery w:val="Table of Contents"/>
          <w:docPartUnique/>
        </w:docPartObj>
      </w:sdtPr>
      <w:sdtEndPr>
        <w:rPr>
          <w:rFonts w:ascii="Times New Roman" w:hAnsi="Times New Roman" w:eastAsia="宋体" w:cs="Times New Roman"/>
          <w:b/>
          <w:bCs/>
          <w:color w:val="auto"/>
          <w:sz w:val="24"/>
          <w:szCs w:val="20"/>
          <w:lang w:val="zh-CN" w:eastAsia="zh-TW"/>
        </w:rPr>
      </w:sdtEndPr>
      <w:sdtContent>
        <w:p>
          <w:pPr>
            <w:pStyle w:val="110"/>
            <w:spacing w:before="0" w:line="240" w:lineRule="auto"/>
            <w:jc w:val="center"/>
            <w:rPr>
              <w:rFonts w:ascii="Times New Roman" w:hAnsi="Times New Roman" w:eastAsia="宋体" w:cs="Times New Roman"/>
              <w:color w:val="auto"/>
              <w:sz w:val="24"/>
              <w:szCs w:val="24"/>
            </w:rPr>
          </w:pPr>
          <w:r>
            <w:rPr>
              <w:rFonts w:ascii="Times New Roman" w:hAnsi="Times New Roman" w:eastAsia="宋体" w:cs="Times New Roman"/>
              <w:color w:val="auto"/>
              <w:lang w:val="zh-CN"/>
            </w:rPr>
            <w:t>目录</w:t>
          </w:r>
        </w:p>
        <w:p>
          <w:pPr>
            <w:pStyle w:val="22"/>
            <w:tabs>
              <w:tab w:val="right" w:leader="dot" w:pos="9118"/>
            </w:tabs>
            <w:spacing w:line="276" w:lineRule="auto"/>
            <w:rPr>
              <w:rFonts w:hAnsi="Times New Roman" w:eastAsia="宋体"/>
              <w:kern w:val="2"/>
              <w:szCs w:val="24"/>
              <w:lang w:eastAsia="zh-CN"/>
              <w14:ligatures w14:val="standardContextual"/>
            </w:rPr>
          </w:pPr>
          <w:r>
            <w:rPr>
              <w:rFonts w:hAnsi="Times New Roman" w:eastAsia="宋体"/>
              <w:szCs w:val="24"/>
            </w:rPr>
            <w:fldChar w:fldCharType="begin"/>
          </w:r>
          <w:r>
            <w:rPr>
              <w:rFonts w:hAnsi="Times New Roman" w:eastAsia="宋体"/>
              <w:szCs w:val="24"/>
            </w:rPr>
            <w:instrText xml:space="preserve"> TOC \o "1-3" \h \z \u </w:instrText>
          </w:r>
          <w:r>
            <w:rPr>
              <w:rFonts w:hAnsi="Times New Roman" w:eastAsia="宋体"/>
              <w:szCs w:val="24"/>
            </w:rPr>
            <w:fldChar w:fldCharType="separate"/>
          </w:r>
          <w:r>
            <w:fldChar w:fldCharType="begin"/>
          </w:r>
          <w:r>
            <w:instrText xml:space="preserve"> HYPERLINK \l "_Toc167095098" </w:instrText>
          </w:r>
          <w:r>
            <w:fldChar w:fldCharType="separate"/>
          </w:r>
          <w:r>
            <w:rPr>
              <w:rStyle w:val="38"/>
              <w:rFonts w:hAnsi="Times New Roman" w:eastAsia="宋体"/>
              <w:color w:val="auto"/>
              <w:szCs w:val="24"/>
              <w:lang w:eastAsia="zh-CN"/>
            </w:rPr>
            <w:t>概述</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_Toc167095098 \h </w:instrText>
          </w:r>
          <w:r>
            <w:rPr>
              <w:rFonts w:hAnsi="Times New Roman" w:eastAsia="宋体"/>
              <w:szCs w:val="24"/>
            </w:rPr>
            <w:fldChar w:fldCharType="separate"/>
          </w:r>
          <w:r>
            <w:rPr>
              <w:rFonts w:hAnsi="Times New Roman" w:eastAsia="宋体"/>
              <w:szCs w:val="24"/>
            </w:rPr>
            <w:t>1</w:t>
          </w:r>
          <w:r>
            <w:rPr>
              <w:rFonts w:hAnsi="Times New Roman" w:eastAsia="宋体"/>
              <w:szCs w:val="24"/>
            </w:rPr>
            <w:fldChar w:fldCharType="end"/>
          </w:r>
          <w:r>
            <w:rPr>
              <w:rFonts w:hAnsi="Times New Roman" w:eastAsia="宋体"/>
              <w:szCs w:val="24"/>
            </w:rPr>
            <w:fldChar w:fldCharType="end"/>
          </w:r>
        </w:p>
        <w:p>
          <w:pPr>
            <w:pStyle w:val="22"/>
            <w:tabs>
              <w:tab w:val="right" w:leader="dot" w:pos="9118"/>
            </w:tabs>
            <w:spacing w:line="276" w:lineRule="auto"/>
            <w:rPr>
              <w:rFonts w:hAnsi="Times New Roman" w:eastAsia="宋体"/>
              <w:kern w:val="2"/>
              <w:szCs w:val="24"/>
              <w:lang w:eastAsia="zh-CN"/>
              <w14:ligatures w14:val="standardContextual"/>
            </w:rPr>
          </w:pPr>
          <w:r>
            <w:fldChar w:fldCharType="begin"/>
          </w:r>
          <w:r>
            <w:instrText xml:space="preserve"> HYPERLINK \l "_Toc167095099" </w:instrText>
          </w:r>
          <w:r>
            <w:fldChar w:fldCharType="separate"/>
          </w:r>
          <w:r>
            <w:rPr>
              <w:rStyle w:val="38"/>
              <w:rFonts w:hAnsi="Times New Roman" w:eastAsia="宋体"/>
              <w:color w:val="auto"/>
              <w:szCs w:val="24"/>
              <w:lang w:eastAsia="zh-CN"/>
            </w:rPr>
            <w:t>1 总则</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_Toc167095099 \h </w:instrText>
          </w:r>
          <w:r>
            <w:rPr>
              <w:rFonts w:hAnsi="Times New Roman" w:eastAsia="宋体"/>
              <w:szCs w:val="24"/>
            </w:rPr>
            <w:fldChar w:fldCharType="separate"/>
          </w:r>
          <w:r>
            <w:rPr>
              <w:rFonts w:hAnsi="Times New Roman" w:eastAsia="宋体"/>
              <w:szCs w:val="24"/>
            </w:rPr>
            <w:t>9</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"_Toc167095100" </w:instrText>
          </w:r>
          <w:r>
            <w:fldChar w:fldCharType="separate"/>
          </w:r>
          <w:r>
            <w:rPr>
              <w:rStyle w:val="38"/>
              <w:rFonts w:hAnsi="Times New Roman" w:eastAsia="宋体"/>
              <w:color w:val="auto"/>
              <w:szCs w:val="24"/>
              <w:lang w:eastAsia="zh-CN"/>
            </w:rPr>
            <w:t>1.1 编制依据</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_Toc167095100 \h </w:instrText>
          </w:r>
          <w:r>
            <w:rPr>
              <w:rFonts w:hAnsi="Times New Roman" w:eastAsia="宋体"/>
              <w:szCs w:val="24"/>
            </w:rPr>
            <w:fldChar w:fldCharType="separate"/>
          </w:r>
          <w:r>
            <w:rPr>
              <w:rFonts w:hAnsi="Times New Roman" w:eastAsia="宋体"/>
              <w:szCs w:val="24"/>
            </w:rPr>
            <w:t>9</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"_Toc167095106" </w:instrText>
          </w:r>
          <w:r>
            <w:fldChar w:fldCharType="separate"/>
          </w:r>
          <w:r>
            <w:rPr>
              <w:rStyle w:val="38"/>
              <w:rFonts w:hAnsi="Times New Roman" w:eastAsia="宋体"/>
              <w:color w:val="auto"/>
              <w:szCs w:val="24"/>
              <w:lang w:eastAsia="zh-CN"/>
            </w:rPr>
            <w:t>1.2 评价目的</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_Toc167095106 \h </w:instrText>
          </w:r>
          <w:r>
            <w:rPr>
              <w:rFonts w:hAnsi="Times New Roman" w:eastAsia="宋体"/>
              <w:szCs w:val="24"/>
            </w:rPr>
            <w:fldChar w:fldCharType="separate"/>
          </w:r>
          <w:r>
            <w:rPr>
              <w:rFonts w:hAnsi="Times New Roman" w:eastAsia="宋体"/>
              <w:szCs w:val="24"/>
            </w:rPr>
            <w:t>14</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"_Toc167095107" </w:instrText>
          </w:r>
          <w:r>
            <w:fldChar w:fldCharType="separate"/>
          </w:r>
          <w:r>
            <w:rPr>
              <w:rStyle w:val="38"/>
              <w:rFonts w:hAnsi="Times New Roman" w:eastAsia="宋体"/>
              <w:color w:val="auto"/>
              <w:szCs w:val="24"/>
              <w:lang w:eastAsia="zh-CN"/>
            </w:rPr>
            <w:t>1.3 评价原则</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_Toc167095107 \h </w:instrText>
          </w:r>
          <w:r>
            <w:rPr>
              <w:rFonts w:hAnsi="Times New Roman" w:eastAsia="宋体"/>
              <w:szCs w:val="24"/>
            </w:rPr>
            <w:fldChar w:fldCharType="separate"/>
          </w:r>
          <w:r>
            <w:rPr>
              <w:rFonts w:hAnsi="Times New Roman" w:eastAsia="宋体"/>
              <w:szCs w:val="24"/>
            </w:rPr>
            <w:t>14</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"_Toc167095108" </w:instrText>
          </w:r>
          <w:r>
            <w:fldChar w:fldCharType="separate"/>
          </w:r>
          <w:r>
            <w:rPr>
              <w:rStyle w:val="38"/>
              <w:rFonts w:hAnsi="Times New Roman" w:eastAsia="宋体"/>
              <w:color w:val="auto"/>
              <w:szCs w:val="24"/>
              <w:lang w:eastAsia="zh-CN"/>
            </w:rPr>
            <w:t>1.4 评价时段</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_Toc167095108 \h </w:instrText>
          </w:r>
          <w:r>
            <w:rPr>
              <w:rFonts w:hAnsi="Times New Roman" w:eastAsia="宋体"/>
              <w:szCs w:val="24"/>
            </w:rPr>
            <w:fldChar w:fldCharType="separate"/>
          </w:r>
          <w:r>
            <w:rPr>
              <w:rFonts w:hAnsi="Times New Roman" w:eastAsia="宋体"/>
              <w:szCs w:val="24"/>
            </w:rPr>
            <w:t>15</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"_Toc167095109" </w:instrText>
          </w:r>
          <w:r>
            <w:fldChar w:fldCharType="separate"/>
          </w:r>
          <w:r>
            <w:rPr>
              <w:rStyle w:val="38"/>
              <w:rFonts w:hAnsi="Times New Roman" w:eastAsia="宋体"/>
              <w:color w:val="auto"/>
              <w:szCs w:val="24"/>
              <w:lang w:eastAsia="zh-CN"/>
            </w:rPr>
            <w:t>1.5 环境功能区划及评价标准</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_Toc167095109 \h </w:instrText>
          </w:r>
          <w:r>
            <w:rPr>
              <w:rFonts w:hAnsi="Times New Roman" w:eastAsia="宋体"/>
              <w:szCs w:val="24"/>
            </w:rPr>
            <w:fldChar w:fldCharType="separate"/>
          </w:r>
          <w:r>
            <w:rPr>
              <w:rFonts w:hAnsi="Times New Roman" w:eastAsia="宋体"/>
              <w:szCs w:val="24"/>
            </w:rPr>
            <w:t>15</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"_Toc167095113" </w:instrText>
          </w:r>
          <w:r>
            <w:fldChar w:fldCharType="separate"/>
          </w:r>
          <w:r>
            <w:rPr>
              <w:rStyle w:val="38"/>
              <w:rFonts w:hAnsi="Times New Roman" w:eastAsia="宋体"/>
              <w:color w:val="auto"/>
              <w:szCs w:val="24"/>
              <w:lang w:eastAsia="zh-CN"/>
            </w:rPr>
            <w:t>1.6 评价工作等级及范围</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_Toc167095113 \h </w:instrText>
          </w:r>
          <w:r>
            <w:rPr>
              <w:rFonts w:hAnsi="Times New Roman" w:eastAsia="宋体"/>
              <w:szCs w:val="24"/>
            </w:rPr>
            <w:fldChar w:fldCharType="separate"/>
          </w:r>
          <w:r>
            <w:rPr>
              <w:rFonts w:hAnsi="Times New Roman" w:eastAsia="宋体"/>
              <w:szCs w:val="24"/>
            </w:rPr>
            <w:t>23</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"_Toc167095116" </w:instrText>
          </w:r>
          <w:r>
            <w:fldChar w:fldCharType="separate"/>
          </w:r>
          <w:r>
            <w:rPr>
              <w:rStyle w:val="38"/>
              <w:rFonts w:hAnsi="Times New Roman" w:eastAsia="宋体"/>
              <w:color w:val="auto"/>
              <w:szCs w:val="24"/>
              <w:lang w:eastAsia="zh-CN"/>
            </w:rPr>
            <w:t>1.7 评价工作内容及重点</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_Toc167095116 \h </w:instrText>
          </w:r>
          <w:r>
            <w:rPr>
              <w:rFonts w:hAnsi="Times New Roman" w:eastAsia="宋体"/>
              <w:szCs w:val="24"/>
            </w:rPr>
            <w:fldChar w:fldCharType="separate"/>
          </w:r>
          <w:r>
            <w:rPr>
              <w:rFonts w:hAnsi="Times New Roman" w:eastAsia="宋体"/>
              <w:szCs w:val="24"/>
            </w:rPr>
            <w:t>34</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"_Toc167095119" </w:instrText>
          </w:r>
          <w:r>
            <w:fldChar w:fldCharType="separate"/>
          </w:r>
          <w:r>
            <w:rPr>
              <w:rStyle w:val="38"/>
              <w:rFonts w:hAnsi="Times New Roman" w:eastAsia="宋体"/>
              <w:color w:val="auto"/>
              <w:szCs w:val="24"/>
              <w:lang w:eastAsia="zh-CN"/>
            </w:rPr>
            <w:t>1.8 环境保护目标</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_Toc167095119 \h </w:instrText>
          </w:r>
          <w:r>
            <w:rPr>
              <w:rFonts w:hAnsi="Times New Roman" w:eastAsia="宋体"/>
              <w:szCs w:val="24"/>
            </w:rPr>
            <w:fldChar w:fldCharType="separate"/>
          </w:r>
          <w:r>
            <w:rPr>
              <w:rFonts w:hAnsi="Times New Roman" w:eastAsia="宋体"/>
              <w:szCs w:val="24"/>
            </w:rPr>
            <w:t>35</w:t>
          </w:r>
          <w:r>
            <w:rPr>
              <w:rFonts w:hAnsi="Times New Roman" w:eastAsia="宋体"/>
              <w:szCs w:val="24"/>
            </w:rPr>
            <w:fldChar w:fldCharType="end"/>
          </w:r>
          <w:r>
            <w:rPr>
              <w:rFonts w:hAnsi="Times New Roman" w:eastAsia="宋体"/>
              <w:szCs w:val="24"/>
            </w:rPr>
            <w:fldChar w:fldCharType="end"/>
          </w:r>
        </w:p>
        <w:p>
          <w:pPr>
            <w:pStyle w:val="22"/>
            <w:tabs>
              <w:tab w:val="right" w:leader="dot" w:pos="9118"/>
            </w:tabs>
            <w:spacing w:line="276" w:lineRule="auto"/>
            <w:rPr>
              <w:rFonts w:hAnsi="Times New Roman" w:eastAsia="宋体"/>
              <w:kern w:val="2"/>
              <w:szCs w:val="24"/>
              <w:lang w:eastAsia="zh-CN"/>
              <w14:ligatures w14:val="standardContextual"/>
            </w:rPr>
          </w:pPr>
          <w:r>
            <w:fldChar w:fldCharType="begin"/>
          </w:r>
          <w:r>
            <w:instrText xml:space="preserve"> HYPERLINK \l "_Toc167095122" </w:instrText>
          </w:r>
          <w:r>
            <w:fldChar w:fldCharType="separate"/>
          </w:r>
          <w:r>
            <w:rPr>
              <w:rStyle w:val="38"/>
              <w:rFonts w:hAnsi="Times New Roman" w:eastAsia="宋体"/>
              <w:color w:val="auto"/>
              <w:szCs w:val="24"/>
              <w:lang w:eastAsia="zh-CN"/>
            </w:rPr>
            <w:t>2 工程概况与工程分析</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_Toc167095122 \h </w:instrText>
          </w:r>
          <w:r>
            <w:rPr>
              <w:rFonts w:hAnsi="Times New Roman" w:eastAsia="宋体"/>
              <w:szCs w:val="24"/>
            </w:rPr>
            <w:fldChar w:fldCharType="separate"/>
          </w:r>
          <w:r>
            <w:rPr>
              <w:rFonts w:hAnsi="Times New Roman" w:eastAsia="宋体"/>
              <w:szCs w:val="24"/>
            </w:rPr>
            <w:t>44</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"_Toc167095123" </w:instrText>
          </w:r>
          <w:r>
            <w:fldChar w:fldCharType="separate"/>
          </w:r>
          <w:r>
            <w:rPr>
              <w:rStyle w:val="38"/>
              <w:rFonts w:hAnsi="Times New Roman" w:eastAsia="宋体"/>
              <w:color w:val="auto"/>
              <w:szCs w:val="24"/>
              <w:lang w:eastAsia="zh-CN"/>
            </w:rPr>
            <w:t>2.1 现有工程概况</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_Toc167095123 \h </w:instrText>
          </w:r>
          <w:r>
            <w:rPr>
              <w:rFonts w:hAnsi="Times New Roman" w:eastAsia="宋体"/>
              <w:szCs w:val="24"/>
            </w:rPr>
            <w:fldChar w:fldCharType="separate"/>
          </w:r>
          <w:r>
            <w:rPr>
              <w:rFonts w:hAnsi="Times New Roman" w:eastAsia="宋体"/>
              <w:szCs w:val="24"/>
            </w:rPr>
            <w:t>44</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"_Toc167095128" </w:instrText>
          </w:r>
          <w:r>
            <w:fldChar w:fldCharType="separate"/>
          </w:r>
          <w:r>
            <w:rPr>
              <w:rStyle w:val="38"/>
              <w:rFonts w:hAnsi="Times New Roman" w:eastAsia="宋体"/>
              <w:color w:val="auto"/>
              <w:szCs w:val="24"/>
              <w:lang w:eastAsia="zh-CN"/>
            </w:rPr>
            <w:t>2.2 拟建工程概况</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_Toc167095128 \h </w:instrText>
          </w:r>
          <w:r>
            <w:rPr>
              <w:rFonts w:hAnsi="Times New Roman" w:eastAsia="宋体"/>
              <w:szCs w:val="24"/>
            </w:rPr>
            <w:fldChar w:fldCharType="separate"/>
          </w:r>
          <w:r>
            <w:rPr>
              <w:rFonts w:hAnsi="Times New Roman" w:eastAsia="宋体"/>
              <w:szCs w:val="24"/>
            </w:rPr>
            <w:t>60</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"_Toc167095138" </w:instrText>
          </w:r>
          <w:r>
            <w:fldChar w:fldCharType="separate"/>
          </w:r>
          <w:r>
            <w:rPr>
              <w:rStyle w:val="38"/>
              <w:rFonts w:hAnsi="Times New Roman" w:eastAsia="宋体"/>
              <w:color w:val="auto"/>
              <w:szCs w:val="24"/>
              <w:lang w:eastAsia="zh-CN"/>
            </w:rPr>
            <w:t>2.3 工程分析</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_Toc167095138 \h </w:instrText>
          </w:r>
          <w:r>
            <w:rPr>
              <w:rFonts w:hAnsi="Times New Roman" w:eastAsia="宋体"/>
              <w:szCs w:val="24"/>
            </w:rPr>
            <w:fldChar w:fldCharType="separate"/>
          </w:r>
          <w:r>
            <w:rPr>
              <w:rFonts w:hAnsi="Times New Roman" w:eastAsia="宋体"/>
              <w:szCs w:val="24"/>
            </w:rPr>
            <w:t>80</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"_Toc167095150" </w:instrText>
          </w:r>
          <w:r>
            <w:fldChar w:fldCharType="separate"/>
          </w:r>
          <w:r>
            <w:rPr>
              <w:rStyle w:val="38"/>
              <w:rFonts w:hAnsi="Times New Roman" w:eastAsia="宋体"/>
              <w:color w:val="auto"/>
              <w:szCs w:val="24"/>
              <w:lang w:eastAsia="zh-CN"/>
            </w:rPr>
            <w:t>2.4 污染源及环境影响因素分析</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_Toc167095150 \h </w:instrText>
          </w:r>
          <w:r>
            <w:rPr>
              <w:rFonts w:hAnsi="Times New Roman" w:eastAsia="宋体"/>
              <w:szCs w:val="24"/>
            </w:rPr>
            <w:fldChar w:fldCharType="separate"/>
          </w:r>
          <w:r>
            <w:rPr>
              <w:rFonts w:hAnsi="Times New Roman" w:eastAsia="宋体"/>
              <w:szCs w:val="24"/>
            </w:rPr>
            <w:t>96</w:t>
          </w:r>
          <w:r>
            <w:rPr>
              <w:rFonts w:hAnsi="Times New Roman" w:eastAsia="宋体"/>
              <w:szCs w:val="24"/>
            </w:rPr>
            <w:fldChar w:fldCharType="end"/>
          </w:r>
          <w:r>
            <w:rPr>
              <w:rFonts w:hAnsi="Times New Roman" w:eastAsia="宋体"/>
              <w:szCs w:val="24"/>
            </w:rPr>
            <w:fldChar w:fldCharType="end"/>
          </w:r>
        </w:p>
        <w:p>
          <w:pPr>
            <w:pStyle w:val="22"/>
            <w:tabs>
              <w:tab w:val="right" w:leader="dot" w:pos="9118"/>
            </w:tabs>
            <w:spacing w:line="276" w:lineRule="auto"/>
            <w:rPr>
              <w:rFonts w:hAnsi="Times New Roman" w:eastAsia="宋体"/>
              <w:kern w:val="2"/>
              <w:szCs w:val="24"/>
              <w:lang w:eastAsia="zh-CN"/>
              <w14:ligatures w14:val="standardContextual"/>
            </w:rPr>
          </w:pPr>
          <w:r>
            <w:fldChar w:fldCharType="begin"/>
          </w:r>
          <w:r>
            <w:instrText xml:space="preserve"> HYPERLINK \l "_Toc167095153" </w:instrText>
          </w:r>
          <w:r>
            <w:fldChar w:fldCharType="separate"/>
          </w:r>
          <w:r>
            <w:rPr>
              <w:rStyle w:val="38"/>
              <w:rFonts w:hAnsi="Times New Roman" w:eastAsia="宋体"/>
              <w:color w:val="auto"/>
              <w:szCs w:val="24"/>
              <w:lang w:eastAsia="zh-CN"/>
            </w:rPr>
            <w:t>3 建设项目区环境概况</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_Toc167095153 \h </w:instrText>
          </w:r>
          <w:r>
            <w:rPr>
              <w:rFonts w:hAnsi="Times New Roman" w:eastAsia="宋体"/>
              <w:szCs w:val="24"/>
            </w:rPr>
            <w:fldChar w:fldCharType="separate"/>
          </w:r>
          <w:r>
            <w:rPr>
              <w:rFonts w:hAnsi="Times New Roman" w:eastAsia="宋体"/>
              <w:szCs w:val="24"/>
            </w:rPr>
            <w:t>112</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"_Toc167095154" </w:instrText>
          </w:r>
          <w:r>
            <w:fldChar w:fldCharType="separate"/>
          </w:r>
          <w:r>
            <w:rPr>
              <w:rStyle w:val="38"/>
              <w:rFonts w:hAnsi="Times New Roman" w:eastAsia="宋体"/>
              <w:color w:val="auto"/>
              <w:szCs w:val="24"/>
              <w:lang w:eastAsia="zh-CN"/>
            </w:rPr>
            <w:t>3.1 区域自然环境</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_Toc167095154 \h </w:instrText>
          </w:r>
          <w:r>
            <w:rPr>
              <w:rFonts w:hAnsi="Times New Roman" w:eastAsia="宋体"/>
              <w:szCs w:val="24"/>
            </w:rPr>
            <w:fldChar w:fldCharType="separate"/>
          </w:r>
          <w:r>
            <w:rPr>
              <w:rFonts w:hAnsi="Times New Roman" w:eastAsia="宋体"/>
              <w:szCs w:val="24"/>
            </w:rPr>
            <w:t>112</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"_Toc167095162" </w:instrText>
          </w:r>
          <w:r>
            <w:fldChar w:fldCharType="separate"/>
          </w:r>
          <w:r>
            <w:rPr>
              <w:rStyle w:val="38"/>
              <w:rFonts w:hAnsi="Times New Roman" w:eastAsia="宋体"/>
              <w:color w:val="auto"/>
              <w:szCs w:val="24"/>
              <w:lang w:eastAsia="zh-CN"/>
            </w:rPr>
            <w:t>3.2 区域环境质量现状</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_Toc167095162 \h </w:instrText>
          </w:r>
          <w:r>
            <w:rPr>
              <w:rFonts w:hAnsi="Times New Roman" w:eastAsia="宋体"/>
              <w:szCs w:val="24"/>
            </w:rPr>
            <w:fldChar w:fldCharType="separate"/>
          </w:r>
          <w:r>
            <w:rPr>
              <w:rFonts w:hAnsi="Times New Roman" w:eastAsia="宋体"/>
              <w:szCs w:val="24"/>
            </w:rPr>
            <w:t>119</w:t>
          </w:r>
          <w:r>
            <w:rPr>
              <w:rFonts w:hAnsi="Times New Roman" w:eastAsia="宋体"/>
              <w:szCs w:val="24"/>
            </w:rPr>
            <w:fldChar w:fldCharType="end"/>
          </w:r>
          <w:r>
            <w:rPr>
              <w:rFonts w:hAnsi="Times New Roman" w:eastAsia="宋体"/>
              <w:szCs w:val="24"/>
            </w:rPr>
            <w:fldChar w:fldCharType="end"/>
          </w:r>
        </w:p>
        <w:p>
          <w:pPr>
            <w:pStyle w:val="22"/>
            <w:tabs>
              <w:tab w:val="right" w:leader="dot" w:pos="9118"/>
            </w:tabs>
            <w:spacing w:line="276" w:lineRule="auto"/>
            <w:rPr>
              <w:rFonts w:hAnsi="Times New Roman" w:eastAsia="宋体"/>
              <w:kern w:val="2"/>
              <w:szCs w:val="24"/>
              <w:lang w:eastAsia="zh-CN"/>
              <w14:ligatures w14:val="standardContextual"/>
            </w:rPr>
          </w:pPr>
          <w:r>
            <w:fldChar w:fldCharType="begin"/>
          </w:r>
          <w:r>
            <w:instrText xml:space="preserve"> HYPERLINK \l "_Toc167095168" </w:instrText>
          </w:r>
          <w:r>
            <w:fldChar w:fldCharType="separate"/>
          </w:r>
          <w:r>
            <w:rPr>
              <w:rStyle w:val="38"/>
              <w:rFonts w:hAnsi="Times New Roman" w:eastAsia="宋体"/>
              <w:color w:val="auto"/>
              <w:szCs w:val="24"/>
              <w:lang w:eastAsia="zh-CN"/>
            </w:rPr>
            <w:t>4 地表沉陷预测及生态影响评价</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_Toc167095168 \h </w:instrText>
          </w:r>
          <w:r>
            <w:rPr>
              <w:rFonts w:hAnsi="Times New Roman" w:eastAsia="宋体"/>
              <w:szCs w:val="24"/>
            </w:rPr>
            <w:fldChar w:fldCharType="separate"/>
          </w:r>
          <w:r>
            <w:rPr>
              <w:rFonts w:hAnsi="Times New Roman" w:eastAsia="宋体"/>
              <w:szCs w:val="24"/>
            </w:rPr>
            <w:t>137</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"_Toc167095169" </w:instrText>
          </w:r>
          <w:r>
            <w:fldChar w:fldCharType="separate"/>
          </w:r>
          <w:r>
            <w:rPr>
              <w:rStyle w:val="38"/>
              <w:rFonts w:hAnsi="Times New Roman" w:eastAsia="宋体"/>
              <w:color w:val="auto"/>
              <w:szCs w:val="24"/>
              <w:lang w:eastAsia="zh-CN"/>
            </w:rPr>
            <w:t>4.1 概述</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_Toc167095169 \h </w:instrText>
          </w:r>
          <w:r>
            <w:rPr>
              <w:rFonts w:hAnsi="Times New Roman" w:eastAsia="宋体"/>
              <w:szCs w:val="24"/>
            </w:rPr>
            <w:fldChar w:fldCharType="separate"/>
          </w:r>
          <w:r>
            <w:rPr>
              <w:rFonts w:hAnsi="Times New Roman" w:eastAsia="宋体"/>
              <w:szCs w:val="24"/>
            </w:rPr>
            <w:t>137</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"_Toc167095174" </w:instrText>
          </w:r>
          <w:r>
            <w:fldChar w:fldCharType="separate"/>
          </w:r>
          <w:r>
            <w:rPr>
              <w:rStyle w:val="38"/>
              <w:rFonts w:hAnsi="Times New Roman" w:eastAsia="宋体"/>
              <w:color w:val="auto"/>
              <w:szCs w:val="24"/>
              <w:lang w:eastAsia="zh-CN"/>
            </w:rPr>
            <w:t>4.2 评价区生态环境现状调查与评价</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_Toc167095174 \h </w:instrText>
          </w:r>
          <w:r>
            <w:rPr>
              <w:rFonts w:hAnsi="Times New Roman" w:eastAsia="宋体"/>
              <w:szCs w:val="24"/>
            </w:rPr>
            <w:fldChar w:fldCharType="separate"/>
          </w:r>
          <w:r>
            <w:rPr>
              <w:rFonts w:hAnsi="Times New Roman" w:eastAsia="宋体"/>
              <w:szCs w:val="24"/>
            </w:rPr>
            <w:t>141</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"_Toc167095183" </w:instrText>
          </w:r>
          <w:r>
            <w:fldChar w:fldCharType="separate"/>
          </w:r>
          <w:r>
            <w:rPr>
              <w:rStyle w:val="38"/>
              <w:rFonts w:hAnsi="Times New Roman" w:eastAsia="宋体"/>
              <w:color w:val="auto"/>
              <w:szCs w:val="24"/>
              <w:lang w:eastAsia="zh-CN"/>
            </w:rPr>
            <w:t>4.3 生态环境影响预测与评价</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_Toc167095183 \h </w:instrText>
          </w:r>
          <w:r>
            <w:rPr>
              <w:rFonts w:hAnsi="Times New Roman" w:eastAsia="宋体"/>
              <w:szCs w:val="24"/>
            </w:rPr>
            <w:fldChar w:fldCharType="separate"/>
          </w:r>
          <w:r>
            <w:rPr>
              <w:rFonts w:hAnsi="Times New Roman" w:eastAsia="宋体"/>
              <w:szCs w:val="24"/>
            </w:rPr>
            <w:t>176</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"_Toc167095195" </w:instrText>
          </w:r>
          <w:r>
            <w:fldChar w:fldCharType="separate"/>
          </w:r>
          <w:r>
            <w:rPr>
              <w:rStyle w:val="38"/>
              <w:rFonts w:hAnsi="Times New Roman" w:eastAsia="宋体"/>
              <w:color w:val="auto"/>
              <w:szCs w:val="24"/>
              <w:lang w:eastAsia="zh-CN"/>
            </w:rPr>
            <w:t>4.4 生态环境保护措施和对策建议</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_Toc167095195 \h </w:instrText>
          </w:r>
          <w:r>
            <w:rPr>
              <w:rFonts w:hAnsi="Times New Roman" w:eastAsia="宋体"/>
              <w:szCs w:val="24"/>
            </w:rPr>
            <w:fldChar w:fldCharType="separate"/>
          </w:r>
          <w:r>
            <w:rPr>
              <w:rFonts w:hAnsi="Times New Roman" w:eastAsia="宋体"/>
              <w:szCs w:val="24"/>
            </w:rPr>
            <w:t>202</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"_Toc167095201" </w:instrText>
          </w:r>
          <w:r>
            <w:fldChar w:fldCharType="separate"/>
          </w:r>
          <w:r>
            <w:rPr>
              <w:rStyle w:val="38"/>
              <w:rFonts w:hAnsi="Times New Roman" w:eastAsia="宋体"/>
              <w:color w:val="auto"/>
              <w:szCs w:val="24"/>
              <w:lang w:eastAsia="zh-CN"/>
            </w:rPr>
            <w:t>4.5 地表沉陷预测与评价</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_Toc167095201 \h </w:instrText>
          </w:r>
          <w:r>
            <w:rPr>
              <w:rFonts w:hAnsi="Times New Roman" w:eastAsia="宋体"/>
              <w:szCs w:val="24"/>
            </w:rPr>
            <w:fldChar w:fldCharType="separate"/>
          </w:r>
          <w:r>
            <w:rPr>
              <w:rFonts w:hAnsi="Times New Roman" w:eastAsia="宋体"/>
              <w:szCs w:val="24"/>
            </w:rPr>
            <w:t>212</w:t>
          </w:r>
          <w:r>
            <w:rPr>
              <w:rFonts w:hAnsi="Times New Roman" w:eastAsia="宋体"/>
              <w:szCs w:val="24"/>
            </w:rPr>
            <w:fldChar w:fldCharType="end"/>
          </w:r>
          <w:r>
            <w:rPr>
              <w:rFonts w:hAnsi="Times New Roman" w:eastAsia="宋体"/>
              <w:szCs w:val="24"/>
            </w:rPr>
            <w:fldChar w:fldCharType="end"/>
          </w:r>
        </w:p>
        <w:p>
          <w:pPr>
            <w:pStyle w:val="22"/>
            <w:tabs>
              <w:tab w:val="right" w:leader="dot" w:pos="9118"/>
            </w:tabs>
            <w:spacing w:line="276" w:lineRule="auto"/>
            <w:rPr>
              <w:rFonts w:hAnsi="Times New Roman" w:eastAsia="宋体"/>
              <w:kern w:val="2"/>
              <w:szCs w:val="24"/>
              <w:lang w:eastAsia="zh-CN"/>
              <w14:ligatures w14:val="standardContextual"/>
            </w:rPr>
          </w:pPr>
          <w:r>
            <w:fldChar w:fldCharType="begin"/>
          </w:r>
          <w:r>
            <w:instrText xml:space="preserve"> HYPERLINK \l "_Toc167095206" </w:instrText>
          </w:r>
          <w:r>
            <w:fldChar w:fldCharType="separate"/>
          </w:r>
          <w:r>
            <w:rPr>
              <w:rStyle w:val="38"/>
              <w:rFonts w:hAnsi="Times New Roman" w:eastAsia="宋体"/>
              <w:color w:val="auto"/>
              <w:szCs w:val="24"/>
              <w:lang w:eastAsia="zh-CN"/>
            </w:rPr>
            <w:t>5 地下水环境影响评价</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_Toc167095206 \h </w:instrText>
          </w:r>
          <w:r>
            <w:rPr>
              <w:rFonts w:hAnsi="Times New Roman" w:eastAsia="宋体"/>
              <w:szCs w:val="24"/>
            </w:rPr>
            <w:fldChar w:fldCharType="separate"/>
          </w:r>
          <w:r>
            <w:rPr>
              <w:rFonts w:hAnsi="Times New Roman" w:eastAsia="宋体"/>
              <w:szCs w:val="24"/>
            </w:rPr>
            <w:t>225</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"_Toc167095207" </w:instrText>
          </w:r>
          <w:r>
            <w:fldChar w:fldCharType="separate"/>
          </w:r>
          <w:r>
            <w:rPr>
              <w:rStyle w:val="38"/>
              <w:rFonts w:hAnsi="Times New Roman" w:eastAsia="宋体"/>
              <w:color w:val="auto"/>
              <w:szCs w:val="24"/>
              <w:lang w:eastAsia="zh-CN"/>
            </w:rPr>
            <w:t>5.1 总论</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_Toc167095207 \h </w:instrText>
          </w:r>
          <w:r>
            <w:rPr>
              <w:rFonts w:hAnsi="Times New Roman" w:eastAsia="宋体"/>
              <w:szCs w:val="24"/>
            </w:rPr>
            <w:fldChar w:fldCharType="separate"/>
          </w:r>
          <w:r>
            <w:rPr>
              <w:rFonts w:hAnsi="Times New Roman" w:eastAsia="宋体"/>
              <w:szCs w:val="24"/>
            </w:rPr>
            <w:t>225</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"_Toc167095215" </w:instrText>
          </w:r>
          <w:r>
            <w:fldChar w:fldCharType="separate"/>
          </w:r>
          <w:r>
            <w:rPr>
              <w:rStyle w:val="38"/>
              <w:rFonts w:hAnsi="Times New Roman" w:eastAsia="宋体"/>
              <w:color w:val="auto"/>
              <w:szCs w:val="24"/>
              <w:lang w:eastAsia="zh-CN"/>
            </w:rPr>
            <w:t>5.2 工程分析</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_Toc167095215 \h </w:instrText>
          </w:r>
          <w:r>
            <w:rPr>
              <w:rFonts w:hAnsi="Times New Roman" w:eastAsia="宋体"/>
              <w:szCs w:val="24"/>
            </w:rPr>
            <w:fldChar w:fldCharType="separate"/>
          </w:r>
          <w:r>
            <w:rPr>
              <w:rFonts w:hAnsi="Times New Roman" w:eastAsia="宋体"/>
              <w:szCs w:val="24"/>
            </w:rPr>
            <w:t>236</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"_Toc167095220" </w:instrText>
          </w:r>
          <w:r>
            <w:fldChar w:fldCharType="separate"/>
          </w:r>
          <w:r>
            <w:rPr>
              <w:rStyle w:val="38"/>
              <w:rFonts w:hAnsi="Times New Roman" w:eastAsia="宋体"/>
              <w:color w:val="auto"/>
              <w:szCs w:val="24"/>
              <w:lang w:eastAsia="zh-CN"/>
            </w:rPr>
            <w:t>5.3地下水环境现状调查与评价</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_Toc167095220 \h </w:instrText>
          </w:r>
          <w:r>
            <w:rPr>
              <w:rFonts w:hAnsi="Times New Roman" w:eastAsia="宋体"/>
              <w:szCs w:val="24"/>
            </w:rPr>
            <w:fldChar w:fldCharType="separate"/>
          </w:r>
          <w:r>
            <w:rPr>
              <w:rFonts w:hAnsi="Times New Roman" w:eastAsia="宋体"/>
              <w:szCs w:val="24"/>
            </w:rPr>
            <w:t>238</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"_Toc167095226" </w:instrText>
          </w:r>
          <w:r>
            <w:fldChar w:fldCharType="separate"/>
          </w:r>
          <w:r>
            <w:rPr>
              <w:rStyle w:val="38"/>
              <w:rFonts w:hAnsi="Times New Roman" w:eastAsia="宋体"/>
              <w:color w:val="auto"/>
              <w:szCs w:val="24"/>
              <w:lang w:eastAsia="zh-CN"/>
            </w:rPr>
            <w:t>5.4地下水环境影响预测与评价</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_Toc167095226 \h </w:instrText>
          </w:r>
          <w:r>
            <w:rPr>
              <w:rFonts w:hAnsi="Times New Roman" w:eastAsia="宋体"/>
              <w:szCs w:val="24"/>
            </w:rPr>
            <w:fldChar w:fldCharType="separate"/>
          </w:r>
          <w:r>
            <w:rPr>
              <w:rFonts w:hAnsi="Times New Roman" w:eastAsia="宋体"/>
              <w:szCs w:val="24"/>
            </w:rPr>
            <w:t>259</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"_Toc167095230" </w:instrText>
          </w:r>
          <w:r>
            <w:fldChar w:fldCharType="separate"/>
          </w:r>
          <w:r>
            <w:rPr>
              <w:rStyle w:val="38"/>
              <w:rFonts w:hAnsi="Times New Roman" w:eastAsia="宋体"/>
              <w:color w:val="auto"/>
              <w:szCs w:val="24"/>
              <w:lang w:eastAsia="zh-CN"/>
            </w:rPr>
            <w:t>5.5地下水环境保护措施及对策</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_Toc167095230 \h </w:instrText>
          </w:r>
          <w:r>
            <w:rPr>
              <w:rFonts w:hAnsi="Times New Roman" w:eastAsia="宋体"/>
              <w:szCs w:val="24"/>
            </w:rPr>
            <w:fldChar w:fldCharType="separate"/>
          </w:r>
          <w:r>
            <w:rPr>
              <w:rFonts w:hAnsi="Times New Roman" w:eastAsia="宋体"/>
              <w:szCs w:val="24"/>
            </w:rPr>
            <w:t>295</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"_Toc167095233" </w:instrText>
          </w:r>
          <w:r>
            <w:fldChar w:fldCharType="separate"/>
          </w:r>
          <w:r>
            <w:rPr>
              <w:rStyle w:val="38"/>
              <w:rFonts w:hAnsi="Times New Roman" w:eastAsia="宋体"/>
              <w:color w:val="auto"/>
              <w:szCs w:val="24"/>
              <w:lang w:eastAsia="zh-CN"/>
            </w:rPr>
            <w:t>5.6地下水环境监控</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_Toc167095233 \h </w:instrText>
          </w:r>
          <w:r>
            <w:rPr>
              <w:rFonts w:hAnsi="Times New Roman" w:eastAsia="宋体"/>
              <w:szCs w:val="24"/>
            </w:rPr>
            <w:fldChar w:fldCharType="separate"/>
          </w:r>
          <w:r>
            <w:rPr>
              <w:rFonts w:hAnsi="Times New Roman" w:eastAsia="宋体"/>
              <w:szCs w:val="24"/>
            </w:rPr>
            <w:t>297</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"_Toc167095238" </w:instrText>
          </w:r>
          <w:r>
            <w:fldChar w:fldCharType="separate"/>
          </w:r>
          <w:r>
            <w:rPr>
              <w:rStyle w:val="38"/>
              <w:rFonts w:hAnsi="Times New Roman" w:eastAsia="宋体"/>
              <w:color w:val="auto"/>
              <w:szCs w:val="24"/>
            </w:rPr>
            <w:t>5.7风险事故应急响应措施</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_Toc167095238 \h </w:instrText>
          </w:r>
          <w:r>
            <w:rPr>
              <w:rFonts w:hAnsi="Times New Roman" w:eastAsia="宋体"/>
              <w:szCs w:val="24"/>
            </w:rPr>
            <w:fldChar w:fldCharType="separate"/>
          </w:r>
          <w:r>
            <w:rPr>
              <w:rFonts w:hAnsi="Times New Roman" w:eastAsia="宋体"/>
              <w:szCs w:val="24"/>
            </w:rPr>
            <w:t>300</w:t>
          </w:r>
          <w:r>
            <w:rPr>
              <w:rFonts w:hAnsi="Times New Roman" w:eastAsia="宋体"/>
              <w:szCs w:val="24"/>
            </w:rPr>
            <w:fldChar w:fldCharType="end"/>
          </w:r>
          <w:r>
            <w:rPr>
              <w:rFonts w:hAnsi="Times New Roman" w:eastAsia="宋体"/>
              <w:szCs w:val="24"/>
            </w:rPr>
            <w:fldChar w:fldCharType="end"/>
          </w:r>
        </w:p>
        <w:p>
          <w:pPr>
            <w:pStyle w:val="22"/>
            <w:tabs>
              <w:tab w:val="right" w:leader="dot" w:pos="9118"/>
            </w:tabs>
            <w:spacing w:line="276" w:lineRule="auto"/>
            <w:rPr>
              <w:rFonts w:hAnsi="Times New Roman" w:eastAsia="宋体"/>
              <w:kern w:val="2"/>
              <w:szCs w:val="24"/>
              <w:lang w:eastAsia="zh-CN"/>
              <w14:ligatures w14:val="standardContextual"/>
            </w:rPr>
          </w:pPr>
          <w:r>
            <w:fldChar w:fldCharType="begin"/>
          </w:r>
          <w:r>
            <w:instrText xml:space="preserve"> HYPERLINK \l "_Toc167095242" </w:instrText>
          </w:r>
          <w:r>
            <w:fldChar w:fldCharType="separate"/>
          </w:r>
          <w:r>
            <w:rPr>
              <w:rStyle w:val="38"/>
              <w:rFonts w:hAnsi="Times New Roman" w:eastAsia="宋体"/>
              <w:color w:val="auto"/>
              <w:szCs w:val="24"/>
              <w:lang w:eastAsia="zh-CN"/>
            </w:rPr>
            <w:t>6 地表水环境影响评价</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_Toc167095242 \h </w:instrText>
          </w:r>
          <w:r>
            <w:rPr>
              <w:rFonts w:hAnsi="Times New Roman" w:eastAsia="宋体"/>
              <w:szCs w:val="24"/>
            </w:rPr>
            <w:fldChar w:fldCharType="separate"/>
          </w:r>
          <w:r>
            <w:rPr>
              <w:rFonts w:hAnsi="Times New Roman" w:eastAsia="宋体"/>
              <w:szCs w:val="24"/>
            </w:rPr>
            <w:t>303</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"_Toc167095243" </w:instrText>
          </w:r>
          <w:r>
            <w:fldChar w:fldCharType="separate"/>
          </w:r>
          <w:r>
            <w:rPr>
              <w:rStyle w:val="38"/>
              <w:rFonts w:hAnsi="Times New Roman" w:eastAsia="宋体"/>
              <w:color w:val="auto"/>
              <w:szCs w:val="24"/>
              <w:lang w:eastAsia="zh-CN"/>
            </w:rPr>
            <w:t>6.1 地表水环境质量现状</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_Toc167095243 \h </w:instrText>
          </w:r>
          <w:r>
            <w:rPr>
              <w:rFonts w:hAnsi="Times New Roman" w:eastAsia="宋体"/>
              <w:szCs w:val="24"/>
            </w:rPr>
            <w:fldChar w:fldCharType="separate"/>
          </w:r>
          <w:r>
            <w:rPr>
              <w:rFonts w:hAnsi="Times New Roman" w:eastAsia="宋体"/>
              <w:szCs w:val="24"/>
            </w:rPr>
            <w:t>303</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"_Toc167095246" </w:instrText>
          </w:r>
          <w:r>
            <w:fldChar w:fldCharType="separate"/>
          </w:r>
          <w:r>
            <w:rPr>
              <w:rStyle w:val="38"/>
              <w:rFonts w:hAnsi="Times New Roman" w:eastAsia="宋体"/>
              <w:color w:val="auto"/>
              <w:szCs w:val="24"/>
              <w:lang w:eastAsia="zh-CN"/>
            </w:rPr>
            <w:t>6.2 建设期地表水环境影响分析与防治措施</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_Toc167095246 \h </w:instrText>
          </w:r>
          <w:r>
            <w:rPr>
              <w:rFonts w:hAnsi="Times New Roman" w:eastAsia="宋体"/>
              <w:szCs w:val="24"/>
            </w:rPr>
            <w:fldChar w:fldCharType="separate"/>
          </w:r>
          <w:r>
            <w:rPr>
              <w:rFonts w:hAnsi="Times New Roman" w:eastAsia="宋体"/>
              <w:szCs w:val="24"/>
            </w:rPr>
            <w:t>307</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"_Toc167095249" </w:instrText>
          </w:r>
          <w:r>
            <w:fldChar w:fldCharType="separate"/>
          </w:r>
          <w:r>
            <w:rPr>
              <w:rStyle w:val="38"/>
              <w:rFonts w:hAnsi="Times New Roman" w:eastAsia="宋体"/>
              <w:color w:val="auto"/>
              <w:szCs w:val="24"/>
              <w:lang w:eastAsia="zh-CN"/>
            </w:rPr>
            <w:t>6.3 运营期地表水环境影响预测与评价</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_Toc167095249 \h </w:instrText>
          </w:r>
          <w:r>
            <w:rPr>
              <w:rFonts w:hAnsi="Times New Roman" w:eastAsia="宋体"/>
              <w:szCs w:val="24"/>
            </w:rPr>
            <w:fldChar w:fldCharType="separate"/>
          </w:r>
          <w:r>
            <w:rPr>
              <w:rFonts w:hAnsi="Times New Roman" w:eastAsia="宋体"/>
              <w:szCs w:val="24"/>
            </w:rPr>
            <w:t>308</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"_Toc167095252" </w:instrText>
          </w:r>
          <w:r>
            <w:fldChar w:fldCharType="separate"/>
          </w:r>
          <w:r>
            <w:rPr>
              <w:rStyle w:val="38"/>
              <w:rFonts w:hAnsi="Times New Roman" w:eastAsia="宋体"/>
              <w:color w:val="auto"/>
              <w:szCs w:val="24"/>
              <w:lang w:eastAsia="zh-CN"/>
            </w:rPr>
            <w:t>6</w:t>
          </w:r>
          <w:r>
            <w:rPr>
              <w:rStyle w:val="38"/>
              <w:rFonts w:hAnsi="Times New Roman" w:eastAsia="宋体"/>
              <w:color w:val="auto"/>
              <w:szCs w:val="24"/>
            </w:rPr>
            <w:t>.</w:t>
          </w:r>
          <w:r>
            <w:rPr>
              <w:rStyle w:val="38"/>
              <w:rFonts w:hAnsi="Times New Roman" w:eastAsia="宋体"/>
              <w:color w:val="auto"/>
              <w:szCs w:val="24"/>
              <w:lang w:eastAsia="zh-CN"/>
            </w:rPr>
            <w:t>4</w:t>
          </w:r>
          <w:r>
            <w:rPr>
              <w:rStyle w:val="38"/>
              <w:rFonts w:hAnsi="Times New Roman" w:eastAsia="宋体"/>
              <w:color w:val="auto"/>
              <w:szCs w:val="24"/>
            </w:rPr>
            <w:t xml:space="preserve"> 水污染防治措施可行性分析</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_Toc167095252 \h </w:instrText>
          </w:r>
          <w:r>
            <w:rPr>
              <w:rFonts w:hAnsi="Times New Roman" w:eastAsia="宋体"/>
              <w:szCs w:val="24"/>
            </w:rPr>
            <w:fldChar w:fldCharType="separate"/>
          </w:r>
          <w:r>
            <w:rPr>
              <w:rFonts w:hAnsi="Times New Roman" w:eastAsia="宋体"/>
              <w:szCs w:val="24"/>
            </w:rPr>
            <w:t>312</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"_Toc167095259" </w:instrText>
          </w:r>
          <w:r>
            <w:fldChar w:fldCharType="separate"/>
          </w:r>
          <w:r>
            <w:rPr>
              <w:rStyle w:val="38"/>
              <w:rFonts w:hAnsi="Times New Roman" w:eastAsia="宋体"/>
              <w:color w:val="auto"/>
              <w:szCs w:val="24"/>
              <w:lang w:eastAsia="zh-CN"/>
            </w:rPr>
            <w:t>6.5 污染物排放量核算</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_Toc167095259 \h </w:instrText>
          </w:r>
          <w:r>
            <w:rPr>
              <w:rFonts w:hAnsi="Times New Roman" w:eastAsia="宋体"/>
              <w:szCs w:val="24"/>
            </w:rPr>
            <w:fldChar w:fldCharType="separate"/>
          </w:r>
          <w:r>
            <w:rPr>
              <w:rFonts w:hAnsi="Times New Roman" w:eastAsia="宋体"/>
              <w:szCs w:val="24"/>
            </w:rPr>
            <w:t>321</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"_Toc167095260" </w:instrText>
          </w:r>
          <w:r>
            <w:fldChar w:fldCharType="separate"/>
          </w:r>
          <w:r>
            <w:rPr>
              <w:rStyle w:val="38"/>
              <w:rFonts w:hAnsi="Times New Roman" w:eastAsia="宋体"/>
              <w:color w:val="auto"/>
              <w:szCs w:val="24"/>
              <w:lang w:eastAsia="zh-CN"/>
            </w:rPr>
            <w:t>6.6 地表水环境影响评价自查表</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_Toc167095260 \h </w:instrText>
          </w:r>
          <w:r>
            <w:rPr>
              <w:rFonts w:hAnsi="Times New Roman" w:eastAsia="宋体"/>
              <w:szCs w:val="24"/>
            </w:rPr>
            <w:fldChar w:fldCharType="separate"/>
          </w:r>
          <w:r>
            <w:rPr>
              <w:rFonts w:hAnsi="Times New Roman" w:eastAsia="宋体"/>
              <w:szCs w:val="24"/>
            </w:rPr>
            <w:t>321</w:t>
          </w:r>
          <w:r>
            <w:rPr>
              <w:rFonts w:hAnsi="Times New Roman" w:eastAsia="宋体"/>
              <w:szCs w:val="24"/>
            </w:rPr>
            <w:fldChar w:fldCharType="end"/>
          </w:r>
          <w:r>
            <w:rPr>
              <w:rFonts w:hAnsi="Times New Roman" w:eastAsia="宋体"/>
              <w:szCs w:val="24"/>
            </w:rPr>
            <w:fldChar w:fldCharType="end"/>
          </w:r>
        </w:p>
        <w:p>
          <w:pPr>
            <w:pStyle w:val="22"/>
            <w:tabs>
              <w:tab w:val="right" w:leader="dot" w:pos="9118"/>
            </w:tabs>
            <w:spacing w:line="276" w:lineRule="auto"/>
            <w:rPr>
              <w:rFonts w:hAnsi="Times New Roman" w:eastAsia="宋体"/>
              <w:kern w:val="2"/>
              <w:szCs w:val="24"/>
              <w:lang w:eastAsia="zh-CN"/>
              <w14:ligatures w14:val="standardContextual"/>
            </w:rPr>
          </w:pPr>
          <w:r>
            <w:fldChar w:fldCharType="begin"/>
          </w:r>
          <w:r>
            <w:instrText xml:space="preserve"> HYPERLINK \l "_Toc167095261" </w:instrText>
          </w:r>
          <w:r>
            <w:fldChar w:fldCharType="separate"/>
          </w:r>
          <w:r>
            <w:rPr>
              <w:rStyle w:val="38"/>
              <w:rFonts w:hAnsi="Times New Roman" w:eastAsia="宋体"/>
              <w:color w:val="auto"/>
              <w:szCs w:val="24"/>
              <w:lang w:eastAsia="zh-CN"/>
            </w:rPr>
            <w:t>7 大气环境影响评价</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_Toc167095261 \h </w:instrText>
          </w:r>
          <w:r>
            <w:rPr>
              <w:rFonts w:hAnsi="Times New Roman" w:eastAsia="宋体"/>
              <w:szCs w:val="24"/>
            </w:rPr>
            <w:fldChar w:fldCharType="separate"/>
          </w:r>
          <w:r>
            <w:rPr>
              <w:rFonts w:hAnsi="Times New Roman" w:eastAsia="宋体"/>
              <w:szCs w:val="24"/>
            </w:rPr>
            <w:t>324</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"_Toc167095262" </w:instrText>
          </w:r>
          <w:r>
            <w:fldChar w:fldCharType="separate"/>
          </w:r>
          <w:r>
            <w:rPr>
              <w:rStyle w:val="38"/>
              <w:rFonts w:hAnsi="Times New Roman" w:eastAsia="宋体"/>
              <w:color w:val="auto"/>
              <w:szCs w:val="24"/>
              <w:lang w:eastAsia="zh-CN"/>
            </w:rPr>
            <w:t>7.1 建设期大气环境影响及防治措施</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_Toc167095262 \h </w:instrText>
          </w:r>
          <w:r>
            <w:rPr>
              <w:rFonts w:hAnsi="Times New Roman" w:eastAsia="宋体"/>
              <w:szCs w:val="24"/>
            </w:rPr>
            <w:fldChar w:fldCharType="separate"/>
          </w:r>
          <w:r>
            <w:rPr>
              <w:rFonts w:hAnsi="Times New Roman" w:eastAsia="宋体"/>
              <w:szCs w:val="24"/>
            </w:rPr>
            <w:t>324</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"_Toc167095265" </w:instrText>
          </w:r>
          <w:r>
            <w:fldChar w:fldCharType="separate"/>
          </w:r>
          <w:r>
            <w:rPr>
              <w:rStyle w:val="38"/>
              <w:rFonts w:hAnsi="Times New Roman" w:eastAsia="宋体"/>
              <w:color w:val="auto"/>
              <w:szCs w:val="24"/>
              <w:lang w:eastAsia="zh-CN"/>
            </w:rPr>
            <w:t>7.2 营运期大气环境影响预测与评价</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_Toc167095265 \h </w:instrText>
          </w:r>
          <w:r>
            <w:rPr>
              <w:rFonts w:hAnsi="Times New Roman" w:eastAsia="宋体"/>
              <w:szCs w:val="24"/>
            </w:rPr>
            <w:fldChar w:fldCharType="separate"/>
          </w:r>
          <w:r>
            <w:rPr>
              <w:rFonts w:hAnsi="Times New Roman" w:eastAsia="宋体"/>
              <w:szCs w:val="24"/>
            </w:rPr>
            <w:t>325</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"_Toc167095277" </w:instrText>
          </w:r>
          <w:r>
            <w:fldChar w:fldCharType="separate"/>
          </w:r>
          <w:r>
            <w:rPr>
              <w:rStyle w:val="38"/>
              <w:rFonts w:hAnsi="Times New Roman" w:eastAsia="宋体"/>
              <w:color w:val="auto"/>
              <w:szCs w:val="24"/>
              <w:lang w:eastAsia="zh-CN"/>
            </w:rPr>
            <w:t>7.3大气污染防治措施</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_Toc167095277 \h </w:instrText>
          </w:r>
          <w:r>
            <w:rPr>
              <w:rFonts w:hAnsi="Times New Roman" w:eastAsia="宋体"/>
              <w:szCs w:val="24"/>
            </w:rPr>
            <w:fldChar w:fldCharType="separate"/>
          </w:r>
          <w:r>
            <w:rPr>
              <w:rFonts w:hAnsi="Times New Roman" w:eastAsia="宋体"/>
              <w:szCs w:val="24"/>
            </w:rPr>
            <w:t>331</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"_Toc167095285" </w:instrText>
          </w:r>
          <w:r>
            <w:fldChar w:fldCharType="separate"/>
          </w:r>
          <w:r>
            <w:rPr>
              <w:rStyle w:val="38"/>
              <w:rFonts w:hAnsi="Times New Roman" w:eastAsia="宋体"/>
              <w:color w:val="auto"/>
              <w:szCs w:val="24"/>
              <w:lang w:eastAsia="zh-CN"/>
            </w:rPr>
            <w:t>7.4 大气环境影响评价自查表</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_Toc167095285 \h </w:instrText>
          </w:r>
          <w:r>
            <w:rPr>
              <w:rFonts w:hAnsi="Times New Roman" w:eastAsia="宋体"/>
              <w:szCs w:val="24"/>
            </w:rPr>
            <w:fldChar w:fldCharType="separate"/>
          </w:r>
          <w:r>
            <w:rPr>
              <w:rFonts w:hAnsi="Times New Roman" w:eastAsia="宋体"/>
              <w:szCs w:val="24"/>
            </w:rPr>
            <w:t>332</w:t>
          </w:r>
          <w:r>
            <w:rPr>
              <w:rFonts w:hAnsi="Times New Roman" w:eastAsia="宋体"/>
              <w:szCs w:val="24"/>
            </w:rPr>
            <w:fldChar w:fldCharType="end"/>
          </w:r>
          <w:r>
            <w:rPr>
              <w:rFonts w:hAnsi="Times New Roman" w:eastAsia="宋体"/>
              <w:szCs w:val="24"/>
            </w:rPr>
            <w:fldChar w:fldCharType="end"/>
          </w:r>
        </w:p>
        <w:p>
          <w:pPr>
            <w:pStyle w:val="22"/>
            <w:tabs>
              <w:tab w:val="right" w:leader="dot" w:pos="9118"/>
            </w:tabs>
            <w:spacing w:line="276" w:lineRule="auto"/>
            <w:rPr>
              <w:rFonts w:hAnsi="Times New Roman" w:eastAsia="宋体"/>
              <w:kern w:val="2"/>
              <w:szCs w:val="24"/>
              <w:lang w:eastAsia="zh-CN"/>
              <w14:ligatures w14:val="standardContextual"/>
            </w:rPr>
          </w:pPr>
          <w:r>
            <w:fldChar w:fldCharType="begin"/>
          </w:r>
          <w:r>
            <w:instrText xml:space="preserve"> HYPERLINK \l "_Toc167095286" </w:instrText>
          </w:r>
          <w:r>
            <w:fldChar w:fldCharType="separate"/>
          </w:r>
          <w:r>
            <w:rPr>
              <w:rStyle w:val="38"/>
              <w:rFonts w:hAnsi="Times New Roman" w:eastAsia="宋体"/>
              <w:color w:val="auto"/>
              <w:szCs w:val="24"/>
              <w:lang w:eastAsia="zh-CN"/>
            </w:rPr>
            <w:t>8 声环境影响评价</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_Toc167095286 \h </w:instrText>
          </w:r>
          <w:r>
            <w:rPr>
              <w:rFonts w:hAnsi="Times New Roman" w:eastAsia="宋体"/>
              <w:szCs w:val="24"/>
            </w:rPr>
            <w:fldChar w:fldCharType="separate"/>
          </w:r>
          <w:r>
            <w:rPr>
              <w:rFonts w:hAnsi="Times New Roman" w:eastAsia="宋体"/>
              <w:szCs w:val="24"/>
            </w:rPr>
            <w:t>334</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"_Toc167095287" </w:instrText>
          </w:r>
          <w:r>
            <w:fldChar w:fldCharType="separate"/>
          </w:r>
          <w:r>
            <w:rPr>
              <w:rStyle w:val="38"/>
              <w:rFonts w:hAnsi="Times New Roman" w:eastAsia="宋体"/>
              <w:color w:val="auto"/>
              <w:szCs w:val="24"/>
              <w:lang w:eastAsia="zh-CN"/>
            </w:rPr>
            <w:t>8.1 建设期声环境影响评价及防治措施</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_Toc167095287 \h </w:instrText>
          </w:r>
          <w:r>
            <w:rPr>
              <w:rFonts w:hAnsi="Times New Roman" w:eastAsia="宋体"/>
              <w:szCs w:val="24"/>
            </w:rPr>
            <w:fldChar w:fldCharType="separate"/>
          </w:r>
          <w:r>
            <w:rPr>
              <w:rFonts w:hAnsi="Times New Roman" w:eastAsia="宋体"/>
              <w:szCs w:val="24"/>
            </w:rPr>
            <w:t>334</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"_Toc167095288" </w:instrText>
          </w:r>
          <w:r>
            <w:fldChar w:fldCharType="separate"/>
          </w:r>
          <w:r>
            <w:rPr>
              <w:rStyle w:val="38"/>
              <w:rFonts w:hAnsi="Times New Roman" w:eastAsia="宋体"/>
              <w:color w:val="auto"/>
              <w:szCs w:val="24"/>
              <w:lang w:eastAsia="zh-CN"/>
            </w:rPr>
            <w:t>8.2 运营期声环境影响预测与评价</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_Toc167095288 \h </w:instrText>
          </w:r>
          <w:r>
            <w:rPr>
              <w:rFonts w:hAnsi="Times New Roman" w:eastAsia="宋体"/>
              <w:szCs w:val="24"/>
            </w:rPr>
            <w:fldChar w:fldCharType="separate"/>
          </w:r>
          <w:r>
            <w:rPr>
              <w:rFonts w:hAnsi="Times New Roman" w:eastAsia="宋体"/>
              <w:szCs w:val="24"/>
            </w:rPr>
            <w:t>335</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"_Toc167095293" </w:instrText>
          </w:r>
          <w:r>
            <w:fldChar w:fldCharType="separate"/>
          </w:r>
          <w:r>
            <w:rPr>
              <w:rStyle w:val="38"/>
              <w:rFonts w:hAnsi="Times New Roman" w:eastAsia="宋体"/>
              <w:color w:val="auto"/>
              <w:szCs w:val="24"/>
              <w:lang w:eastAsia="zh-CN"/>
            </w:rPr>
            <w:t>8.3 声环境污染防治措施</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_Toc167095293 \h </w:instrText>
          </w:r>
          <w:r>
            <w:rPr>
              <w:rFonts w:hAnsi="Times New Roman" w:eastAsia="宋体"/>
              <w:szCs w:val="24"/>
            </w:rPr>
            <w:fldChar w:fldCharType="separate"/>
          </w:r>
          <w:r>
            <w:rPr>
              <w:rFonts w:hAnsi="Times New Roman" w:eastAsia="宋体"/>
              <w:szCs w:val="24"/>
            </w:rPr>
            <w:t>346</w:t>
          </w:r>
          <w:r>
            <w:rPr>
              <w:rFonts w:hAnsi="Times New Roman" w:eastAsia="宋体"/>
              <w:szCs w:val="24"/>
            </w:rPr>
            <w:fldChar w:fldCharType="end"/>
          </w:r>
          <w:r>
            <w:rPr>
              <w:rFonts w:hAnsi="Times New Roman" w:eastAsia="宋体"/>
              <w:szCs w:val="24"/>
            </w:rPr>
            <w:fldChar w:fldCharType="end"/>
          </w:r>
        </w:p>
        <w:p>
          <w:pPr>
            <w:pStyle w:val="22"/>
            <w:tabs>
              <w:tab w:val="right" w:leader="dot" w:pos="9118"/>
            </w:tabs>
            <w:spacing w:line="276" w:lineRule="auto"/>
            <w:rPr>
              <w:rFonts w:hAnsi="Times New Roman" w:eastAsia="宋体"/>
              <w:kern w:val="2"/>
              <w:szCs w:val="24"/>
              <w:lang w:eastAsia="zh-CN"/>
              <w14:ligatures w14:val="standardContextual"/>
            </w:rPr>
          </w:pPr>
          <w:r>
            <w:fldChar w:fldCharType="begin"/>
          </w:r>
          <w:r>
            <w:instrText xml:space="preserve"> HYPERLINK \l "_Toc167095296" </w:instrText>
          </w:r>
          <w:r>
            <w:fldChar w:fldCharType="separate"/>
          </w:r>
          <w:r>
            <w:rPr>
              <w:rStyle w:val="38"/>
              <w:rFonts w:hAnsi="Times New Roman" w:eastAsia="宋体"/>
              <w:color w:val="auto"/>
              <w:szCs w:val="24"/>
              <w:lang w:eastAsia="zh-CN"/>
            </w:rPr>
            <w:t>9 固体废物环境影响分析</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_Toc167095296 \h </w:instrText>
          </w:r>
          <w:r>
            <w:rPr>
              <w:rFonts w:hAnsi="Times New Roman" w:eastAsia="宋体"/>
              <w:szCs w:val="24"/>
            </w:rPr>
            <w:fldChar w:fldCharType="separate"/>
          </w:r>
          <w:r>
            <w:rPr>
              <w:rFonts w:hAnsi="Times New Roman" w:eastAsia="宋体"/>
              <w:szCs w:val="24"/>
            </w:rPr>
            <w:t>349</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"_Toc167095297" </w:instrText>
          </w:r>
          <w:r>
            <w:fldChar w:fldCharType="separate"/>
          </w:r>
          <w:r>
            <w:rPr>
              <w:rStyle w:val="38"/>
              <w:rFonts w:hAnsi="Times New Roman" w:eastAsia="宋体"/>
              <w:color w:val="auto"/>
              <w:szCs w:val="24"/>
              <w:lang w:eastAsia="zh-CN"/>
            </w:rPr>
            <w:t>9.1 建设期固体废物的处置</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_Toc167095297 \h </w:instrText>
          </w:r>
          <w:r>
            <w:rPr>
              <w:rFonts w:hAnsi="Times New Roman" w:eastAsia="宋体"/>
              <w:szCs w:val="24"/>
            </w:rPr>
            <w:fldChar w:fldCharType="separate"/>
          </w:r>
          <w:r>
            <w:rPr>
              <w:rFonts w:hAnsi="Times New Roman" w:eastAsia="宋体"/>
              <w:szCs w:val="24"/>
            </w:rPr>
            <w:t>349</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"_Toc167095298" </w:instrText>
          </w:r>
          <w:r>
            <w:fldChar w:fldCharType="separate"/>
          </w:r>
          <w:r>
            <w:rPr>
              <w:rStyle w:val="38"/>
              <w:rFonts w:hAnsi="Times New Roman" w:eastAsia="宋体"/>
              <w:color w:val="auto"/>
              <w:szCs w:val="24"/>
              <w:lang w:eastAsia="zh-CN"/>
            </w:rPr>
            <w:t>9.2 运营期固体废物排放情况与处置措施分析</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_Toc167095298 \h </w:instrText>
          </w:r>
          <w:r>
            <w:rPr>
              <w:rFonts w:hAnsi="Times New Roman" w:eastAsia="宋体"/>
              <w:szCs w:val="24"/>
            </w:rPr>
            <w:fldChar w:fldCharType="separate"/>
          </w:r>
          <w:r>
            <w:rPr>
              <w:rFonts w:hAnsi="Times New Roman" w:eastAsia="宋体"/>
              <w:szCs w:val="24"/>
            </w:rPr>
            <w:t>349</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"_Toc167095301" </w:instrText>
          </w:r>
          <w:r>
            <w:fldChar w:fldCharType="separate"/>
          </w:r>
          <w:r>
            <w:rPr>
              <w:rStyle w:val="38"/>
              <w:rFonts w:hAnsi="Times New Roman" w:eastAsia="宋体"/>
              <w:color w:val="auto"/>
              <w:szCs w:val="24"/>
              <w:lang w:eastAsia="zh-CN"/>
            </w:rPr>
            <w:t>9.3 固体废物对环境的影响分析</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_Toc167095301 \h </w:instrText>
          </w:r>
          <w:r>
            <w:rPr>
              <w:rFonts w:hAnsi="Times New Roman" w:eastAsia="宋体"/>
              <w:szCs w:val="24"/>
            </w:rPr>
            <w:fldChar w:fldCharType="separate"/>
          </w:r>
          <w:r>
            <w:rPr>
              <w:rFonts w:hAnsi="Times New Roman" w:eastAsia="宋体"/>
              <w:szCs w:val="24"/>
            </w:rPr>
            <w:t>352</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"_Toc167095302" </w:instrText>
          </w:r>
          <w:r>
            <w:fldChar w:fldCharType="separate"/>
          </w:r>
          <w:r>
            <w:rPr>
              <w:rStyle w:val="38"/>
              <w:rFonts w:hAnsi="Times New Roman" w:eastAsia="宋体"/>
              <w:color w:val="auto"/>
              <w:szCs w:val="24"/>
              <w:lang w:eastAsia="zh-CN"/>
            </w:rPr>
            <w:t>9.4 矸石临时堆场综合利用和无害化处置方案</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_Toc167095302 \h </w:instrText>
          </w:r>
          <w:r>
            <w:rPr>
              <w:rFonts w:hAnsi="Times New Roman" w:eastAsia="宋体"/>
              <w:szCs w:val="24"/>
            </w:rPr>
            <w:fldChar w:fldCharType="separate"/>
          </w:r>
          <w:r>
            <w:rPr>
              <w:rFonts w:hAnsi="Times New Roman" w:eastAsia="宋体"/>
              <w:szCs w:val="24"/>
            </w:rPr>
            <w:t>352</w:t>
          </w:r>
          <w:r>
            <w:rPr>
              <w:rFonts w:hAnsi="Times New Roman" w:eastAsia="宋体"/>
              <w:szCs w:val="24"/>
            </w:rPr>
            <w:fldChar w:fldCharType="end"/>
          </w:r>
          <w:r>
            <w:rPr>
              <w:rFonts w:hAnsi="Times New Roman" w:eastAsia="宋体"/>
              <w:szCs w:val="24"/>
            </w:rPr>
            <w:fldChar w:fldCharType="end"/>
          </w:r>
        </w:p>
        <w:p>
          <w:pPr>
            <w:pStyle w:val="22"/>
            <w:tabs>
              <w:tab w:val="right" w:leader="dot" w:pos="9118"/>
            </w:tabs>
            <w:spacing w:line="276" w:lineRule="auto"/>
            <w:rPr>
              <w:rFonts w:hAnsi="Times New Roman" w:eastAsia="宋体"/>
              <w:kern w:val="2"/>
              <w:szCs w:val="24"/>
              <w:lang w:eastAsia="zh-CN"/>
              <w14:ligatures w14:val="standardContextual"/>
            </w:rPr>
          </w:pPr>
          <w:r>
            <w:fldChar w:fldCharType="begin"/>
          </w:r>
          <w:r>
            <w:instrText xml:space="preserve"> HYPERLINK \l "_Toc167095303" </w:instrText>
          </w:r>
          <w:r>
            <w:fldChar w:fldCharType="separate"/>
          </w:r>
          <w:r>
            <w:rPr>
              <w:rStyle w:val="38"/>
              <w:rFonts w:hAnsi="Times New Roman" w:eastAsia="宋体"/>
              <w:color w:val="auto"/>
              <w:szCs w:val="24"/>
              <w:lang w:eastAsia="zh-CN"/>
            </w:rPr>
            <w:t>10 土壤环境影响分析</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_Toc167095303 \h </w:instrText>
          </w:r>
          <w:r>
            <w:rPr>
              <w:rFonts w:hAnsi="Times New Roman" w:eastAsia="宋体"/>
              <w:szCs w:val="24"/>
            </w:rPr>
            <w:fldChar w:fldCharType="separate"/>
          </w:r>
          <w:r>
            <w:rPr>
              <w:rFonts w:hAnsi="Times New Roman" w:eastAsia="宋体"/>
              <w:szCs w:val="24"/>
            </w:rPr>
            <w:t>354</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"_Toc167095304" </w:instrText>
          </w:r>
          <w:r>
            <w:fldChar w:fldCharType="separate"/>
          </w:r>
          <w:r>
            <w:rPr>
              <w:rStyle w:val="38"/>
              <w:rFonts w:hAnsi="Times New Roman" w:eastAsia="宋体"/>
              <w:color w:val="auto"/>
              <w:szCs w:val="24"/>
              <w:lang w:eastAsia="zh-CN"/>
            </w:rPr>
            <w:t>10.1 土壤环境影响识别及评价筛选因子</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_Toc167095304 \h </w:instrText>
          </w:r>
          <w:r>
            <w:rPr>
              <w:rFonts w:hAnsi="Times New Roman" w:eastAsia="宋体"/>
              <w:szCs w:val="24"/>
            </w:rPr>
            <w:fldChar w:fldCharType="separate"/>
          </w:r>
          <w:r>
            <w:rPr>
              <w:rFonts w:hAnsi="Times New Roman" w:eastAsia="宋体"/>
              <w:szCs w:val="24"/>
            </w:rPr>
            <w:t>354</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"_Toc167095308" </w:instrText>
          </w:r>
          <w:r>
            <w:fldChar w:fldCharType="separate"/>
          </w:r>
          <w:r>
            <w:rPr>
              <w:rStyle w:val="38"/>
              <w:rFonts w:hAnsi="Times New Roman" w:eastAsia="宋体"/>
              <w:color w:val="auto"/>
              <w:szCs w:val="24"/>
              <w:lang w:eastAsia="zh-CN"/>
            </w:rPr>
            <w:t>10.2 区域土壤环境现状</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_Toc167095308 \h </w:instrText>
          </w:r>
          <w:r>
            <w:rPr>
              <w:rFonts w:hAnsi="Times New Roman" w:eastAsia="宋体"/>
              <w:szCs w:val="24"/>
            </w:rPr>
            <w:fldChar w:fldCharType="separate"/>
          </w:r>
          <w:r>
            <w:rPr>
              <w:rFonts w:hAnsi="Times New Roman" w:eastAsia="宋体"/>
              <w:szCs w:val="24"/>
            </w:rPr>
            <w:t>357</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"_Toc167095309" </w:instrText>
          </w:r>
          <w:r>
            <w:fldChar w:fldCharType="separate"/>
          </w:r>
          <w:r>
            <w:rPr>
              <w:rStyle w:val="38"/>
              <w:rFonts w:hAnsi="Times New Roman" w:eastAsia="宋体"/>
              <w:color w:val="auto"/>
              <w:szCs w:val="24"/>
              <w:lang w:eastAsia="zh-CN"/>
            </w:rPr>
            <w:t>10.3 土壤环境影响分析与评价</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_Toc167095309 \h </w:instrText>
          </w:r>
          <w:r>
            <w:rPr>
              <w:rFonts w:hAnsi="Times New Roman" w:eastAsia="宋体"/>
              <w:szCs w:val="24"/>
            </w:rPr>
            <w:fldChar w:fldCharType="separate"/>
          </w:r>
          <w:r>
            <w:rPr>
              <w:rFonts w:hAnsi="Times New Roman" w:eastAsia="宋体"/>
              <w:szCs w:val="24"/>
            </w:rPr>
            <w:t>359</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"_Toc167095312" </w:instrText>
          </w:r>
          <w:r>
            <w:fldChar w:fldCharType="separate"/>
          </w:r>
          <w:r>
            <w:rPr>
              <w:rStyle w:val="38"/>
              <w:rFonts w:hAnsi="Times New Roman" w:eastAsia="宋体"/>
              <w:color w:val="auto"/>
              <w:szCs w:val="24"/>
              <w:lang w:eastAsia="zh-CN"/>
            </w:rPr>
            <w:t>10.4 土壤环境保护措施与对策</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_Toc167095312 \h </w:instrText>
          </w:r>
          <w:r>
            <w:rPr>
              <w:rFonts w:hAnsi="Times New Roman" w:eastAsia="宋体"/>
              <w:szCs w:val="24"/>
            </w:rPr>
            <w:fldChar w:fldCharType="separate"/>
          </w:r>
          <w:r>
            <w:rPr>
              <w:rFonts w:hAnsi="Times New Roman" w:eastAsia="宋体"/>
              <w:szCs w:val="24"/>
            </w:rPr>
            <w:t>361</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"_Toc167095313" </w:instrText>
          </w:r>
          <w:r>
            <w:fldChar w:fldCharType="separate"/>
          </w:r>
          <w:r>
            <w:rPr>
              <w:rStyle w:val="38"/>
              <w:rFonts w:hAnsi="Times New Roman" w:eastAsia="宋体"/>
              <w:color w:val="auto"/>
              <w:szCs w:val="24"/>
              <w:lang w:eastAsia="zh-CN"/>
            </w:rPr>
            <w:t>10.5 土壤环境影响评价自查表</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_Toc167095313 \h </w:instrText>
          </w:r>
          <w:r>
            <w:rPr>
              <w:rFonts w:hAnsi="Times New Roman" w:eastAsia="宋体"/>
              <w:szCs w:val="24"/>
            </w:rPr>
            <w:fldChar w:fldCharType="separate"/>
          </w:r>
          <w:r>
            <w:rPr>
              <w:rFonts w:hAnsi="Times New Roman" w:eastAsia="宋体"/>
              <w:szCs w:val="24"/>
            </w:rPr>
            <w:t>361</w:t>
          </w:r>
          <w:r>
            <w:rPr>
              <w:rFonts w:hAnsi="Times New Roman" w:eastAsia="宋体"/>
              <w:szCs w:val="24"/>
            </w:rPr>
            <w:fldChar w:fldCharType="end"/>
          </w:r>
          <w:r>
            <w:rPr>
              <w:rFonts w:hAnsi="Times New Roman" w:eastAsia="宋体"/>
              <w:szCs w:val="24"/>
            </w:rPr>
            <w:fldChar w:fldCharType="end"/>
          </w:r>
        </w:p>
        <w:p>
          <w:pPr>
            <w:pStyle w:val="22"/>
            <w:tabs>
              <w:tab w:val="right" w:leader="dot" w:pos="9118"/>
            </w:tabs>
            <w:spacing w:line="276" w:lineRule="auto"/>
            <w:rPr>
              <w:rFonts w:hAnsi="Times New Roman" w:eastAsia="宋体"/>
              <w:kern w:val="2"/>
              <w:szCs w:val="24"/>
              <w:lang w:eastAsia="zh-CN"/>
              <w14:ligatures w14:val="standardContextual"/>
            </w:rPr>
          </w:pPr>
          <w:r>
            <w:fldChar w:fldCharType="begin"/>
          </w:r>
          <w:r>
            <w:instrText xml:space="preserve"> HYPERLINK \l "_Toc167095314" </w:instrText>
          </w:r>
          <w:r>
            <w:fldChar w:fldCharType="separate"/>
          </w:r>
          <w:r>
            <w:rPr>
              <w:rStyle w:val="38"/>
              <w:rFonts w:hAnsi="Times New Roman" w:eastAsia="宋体"/>
              <w:color w:val="auto"/>
              <w:szCs w:val="24"/>
              <w:lang w:eastAsia="zh-CN"/>
            </w:rPr>
            <w:t>11 矿井闭矿期环境影响分析</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_Toc167095314 \h </w:instrText>
          </w:r>
          <w:r>
            <w:rPr>
              <w:rFonts w:hAnsi="Times New Roman" w:eastAsia="宋体"/>
              <w:szCs w:val="24"/>
            </w:rPr>
            <w:fldChar w:fldCharType="separate"/>
          </w:r>
          <w:r>
            <w:rPr>
              <w:rFonts w:hAnsi="Times New Roman" w:eastAsia="宋体"/>
              <w:szCs w:val="24"/>
            </w:rPr>
            <w:t>363</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"_Toc167095315" </w:instrText>
          </w:r>
          <w:r>
            <w:fldChar w:fldCharType="separate"/>
          </w:r>
          <w:r>
            <w:rPr>
              <w:rStyle w:val="38"/>
              <w:rFonts w:hAnsi="Times New Roman" w:eastAsia="宋体"/>
              <w:color w:val="auto"/>
              <w:szCs w:val="24"/>
              <w:lang w:eastAsia="zh-CN"/>
            </w:rPr>
            <w:t>11.1 矿井闭矿期环境影响分析</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_Toc167095315 \h </w:instrText>
          </w:r>
          <w:r>
            <w:rPr>
              <w:rFonts w:hAnsi="Times New Roman" w:eastAsia="宋体"/>
              <w:szCs w:val="24"/>
            </w:rPr>
            <w:fldChar w:fldCharType="separate"/>
          </w:r>
          <w:r>
            <w:rPr>
              <w:rFonts w:hAnsi="Times New Roman" w:eastAsia="宋体"/>
              <w:szCs w:val="24"/>
            </w:rPr>
            <w:t>363</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"_Toc167095318" </w:instrText>
          </w:r>
          <w:r>
            <w:fldChar w:fldCharType="separate"/>
          </w:r>
          <w:r>
            <w:rPr>
              <w:rStyle w:val="38"/>
              <w:rFonts w:hAnsi="Times New Roman" w:eastAsia="宋体"/>
              <w:color w:val="auto"/>
              <w:szCs w:val="24"/>
              <w:lang w:eastAsia="zh-CN"/>
            </w:rPr>
            <w:t>11.2矿井闭矿期环境保护措施</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_Toc167095318 \h </w:instrText>
          </w:r>
          <w:r>
            <w:rPr>
              <w:rFonts w:hAnsi="Times New Roman" w:eastAsia="宋体"/>
              <w:szCs w:val="24"/>
            </w:rPr>
            <w:fldChar w:fldCharType="separate"/>
          </w:r>
          <w:r>
            <w:rPr>
              <w:rFonts w:hAnsi="Times New Roman" w:eastAsia="宋体"/>
              <w:szCs w:val="24"/>
            </w:rPr>
            <w:t>364</w:t>
          </w:r>
          <w:r>
            <w:rPr>
              <w:rFonts w:hAnsi="Times New Roman" w:eastAsia="宋体"/>
              <w:szCs w:val="24"/>
            </w:rPr>
            <w:fldChar w:fldCharType="end"/>
          </w:r>
          <w:r>
            <w:rPr>
              <w:rFonts w:hAnsi="Times New Roman" w:eastAsia="宋体"/>
              <w:szCs w:val="24"/>
            </w:rPr>
            <w:fldChar w:fldCharType="end"/>
          </w:r>
        </w:p>
        <w:p>
          <w:pPr>
            <w:pStyle w:val="22"/>
            <w:tabs>
              <w:tab w:val="right" w:leader="dot" w:pos="9118"/>
            </w:tabs>
            <w:spacing w:line="276" w:lineRule="auto"/>
            <w:rPr>
              <w:rFonts w:hAnsi="Times New Roman" w:eastAsia="宋体"/>
              <w:kern w:val="2"/>
              <w:szCs w:val="24"/>
              <w:lang w:eastAsia="zh-CN"/>
              <w14:ligatures w14:val="standardContextual"/>
            </w:rPr>
          </w:pPr>
          <w:r>
            <w:fldChar w:fldCharType="begin"/>
          </w:r>
          <w:r>
            <w:instrText xml:space="preserve"> HYPERLINK \l "_Toc167095319" </w:instrText>
          </w:r>
          <w:r>
            <w:fldChar w:fldCharType="separate"/>
          </w:r>
          <w:r>
            <w:rPr>
              <w:rStyle w:val="38"/>
              <w:rFonts w:hAnsi="Times New Roman" w:eastAsia="宋体"/>
              <w:color w:val="auto"/>
              <w:szCs w:val="24"/>
              <w:lang w:eastAsia="zh-CN"/>
            </w:rPr>
            <w:t>12 清洁生产与循环经济分析</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_Toc167095319 \h </w:instrText>
          </w:r>
          <w:r>
            <w:rPr>
              <w:rFonts w:hAnsi="Times New Roman" w:eastAsia="宋体"/>
              <w:szCs w:val="24"/>
            </w:rPr>
            <w:fldChar w:fldCharType="separate"/>
          </w:r>
          <w:r>
            <w:rPr>
              <w:rFonts w:hAnsi="Times New Roman" w:eastAsia="宋体"/>
              <w:szCs w:val="24"/>
            </w:rPr>
            <w:t>366</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"_Toc167095320" </w:instrText>
          </w:r>
          <w:r>
            <w:fldChar w:fldCharType="separate"/>
          </w:r>
          <w:r>
            <w:rPr>
              <w:rStyle w:val="38"/>
              <w:rFonts w:hAnsi="Times New Roman" w:eastAsia="宋体"/>
              <w:color w:val="auto"/>
              <w:szCs w:val="24"/>
              <w:lang w:eastAsia="zh-CN"/>
            </w:rPr>
            <w:t>12.1 清洁生产分析</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_Toc167095320 \h </w:instrText>
          </w:r>
          <w:r>
            <w:rPr>
              <w:rFonts w:hAnsi="Times New Roman" w:eastAsia="宋体"/>
              <w:szCs w:val="24"/>
            </w:rPr>
            <w:fldChar w:fldCharType="separate"/>
          </w:r>
          <w:r>
            <w:rPr>
              <w:rFonts w:hAnsi="Times New Roman" w:eastAsia="宋体"/>
              <w:szCs w:val="24"/>
            </w:rPr>
            <w:t>366</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"_Toc167095325" </w:instrText>
          </w:r>
          <w:r>
            <w:fldChar w:fldCharType="separate"/>
          </w:r>
          <w:r>
            <w:rPr>
              <w:rStyle w:val="38"/>
              <w:rFonts w:hAnsi="Times New Roman" w:eastAsia="宋体"/>
              <w:color w:val="auto"/>
              <w:szCs w:val="24"/>
              <w:lang w:eastAsia="zh-CN"/>
            </w:rPr>
            <w:t>12.2 循环经济分析</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_Toc167095325 \h </w:instrText>
          </w:r>
          <w:r>
            <w:rPr>
              <w:rFonts w:hAnsi="Times New Roman" w:eastAsia="宋体"/>
              <w:szCs w:val="24"/>
            </w:rPr>
            <w:fldChar w:fldCharType="separate"/>
          </w:r>
          <w:r>
            <w:rPr>
              <w:rFonts w:hAnsi="Times New Roman" w:eastAsia="宋体"/>
              <w:szCs w:val="24"/>
            </w:rPr>
            <w:t>372</w:t>
          </w:r>
          <w:r>
            <w:rPr>
              <w:rFonts w:hAnsi="Times New Roman" w:eastAsia="宋体"/>
              <w:szCs w:val="24"/>
            </w:rPr>
            <w:fldChar w:fldCharType="end"/>
          </w:r>
          <w:r>
            <w:rPr>
              <w:rFonts w:hAnsi="Times New Roman" w:eastAsia="宋体"/>
              <w:szCs w:val="24"/>
            </w:rPr>
            <w:fldChar w:fldCharType="end"/>
          </w:r>
        </w:p>
        <w:p>
          <w:pPr>
            <w:pStyle w:val="22"/>
            <w:tabs>
              <w:tab w:val="right" w:leader="dot" w:pos="9118"/>
            </w:tabs>
            <w:spacing w:line="276" w:lineRule="auto"/>
            <w:rPr>
              <w:rFonts w:hAnsi="Times New Roman" w:eastAsia="宋体"/>
              <w:kern w:val="2"/>
              <w:szCs w:val="24"/>
              <w:lang w:eastAsia="zh-CN"/>
              <w14:ligatures w14:val="standardContextual"/>
            </w:rPr>
          </w:pPr>
          <w:r>
            <w:fldChar w:fldCharType="begin"/>
          </w:r>
          <w:r>
            <w:instrText xml:space="preserve"> HYPERLINK \l "_Toc167095328" </w:instrText>
          </w:r>
          <w:r>
            <w:fldChar w:fldCharType="separate"/>
          </w:r>
          <w:r>
            <w:rPr>
              <w:rStyle w:val="38"/>
              <w:rFonts w:hAnsi="Times New Roman" w:eastAsia="宋体"/>
              <w:color w:val="auto"/>
              <w:szCs w:val="24"/>
              <w:lang w:eastAsia="zh-CN"/>
            </w:rPr>
            <w:t>13 环境管理与环境监测计划</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_Toc167095328 \h </w:instrText>
          </w:r>
          <w:r>
            <w:rPr>
              <w:rFonts w:hAnsi="Times New Roman" w:eastAsia="宋体"/>
              <w:szCs w:val="24"/>
            </w:rPr>
            <w:fldChar w:fldCharType="separate"/>
          </w:r>
          <w:r>
            <w:rPr>
              <w:rFonts w:hAnsi="Times New Roman" w:eastAsia="宋体"/>
              <w:szCs w:val="24"/>
            </w:rPr>
            <w:t>374</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"_Toc167095329" </w:instrText>
          </w:r>
          <w:r>
            <w:fldChar w:fldCharType="separate"/>
          </w:r>
          <w:r>
            <w:rPr>
              <w:rStyle w:val="38"/>
              <w:rFonts w:hAnsi="Times New Roman" w:eastAsia="宋体"/>
              <w:color w:val="auto"/>
              <w:szCs w:val="24"/>
              <w:lang w:eastAsia="zh-CN"/>
            </w:rPr>
            <w:t>13.1 建设期环境管理和环境监理</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_Toc167095329 \h </w:instrText>
          </w:r>
          <w:r>
            <w:rPr>
              <w:rFonts w:hAnsi="Times New Roman" w:eastAsia="宋体"/>
              <w:szCs w:val="24"/>
            </w:rPr>
            <w:fldChar w:fldCharType="separate"/>
          </w:r>
          <w:r>
            <w:rPr>
              <w:rFonts w:hAnsi="Times New Roman" w:eastAsia="宋体"/>
              <w:szCs w:val="24"/>
            </w:rPr>
            <w:t>374</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"_Toc167095332" </w:instrText>
          </w:r>
          <w:r>
            <w:fldChar w:fldCharType="separate"/>
          </w:r>
          <w:r>
            <w:rPr>
              <w:rStyle w:val="38"/>
              <w:rFonts w:hAnsi="Times New Roman" w:eastAsia="宋体"/>
              <w:color w:val="auto"/>
              <w:szCs w:val="24"/>
              <w:lang w:eastAsia="zh-CN"/>
            </w:rPr>
            <w:t>13.2 环境管理机构及职责</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_Toc167095332 \h </w:instrText>
          </w:r>
          <w:r>
            <w:rPr>
              <w:rFonts w:hAnsi="Times New Roman" w:eastAsia="宋体"/>
              <w:szCs w:val="24"/>
            </w:rPr>
            <w:fldChar w:fldCharType="separate"/>
          </w:r>
          <w:r>
            <w:rPr>
              <w:rFonts w:hAnsi="Times New Roman" w:eastAsia="宋体"/>
              <w:szCs w:val="24"/>
            </w:rPr>
            <w:t>374</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"_Toc167095336" </w:instrText>
          </w:r>
          <w:r>
            <w:fldChar w:fldCharType="separate"/>
          </w:r>
          <w:r>
            <w:rPr>
              <w:rStyle w:val="38"/>
              <w:rFonts w:hAnsi="Times New Roman" w:eastAsia="宋体"/>
              <w:color w:val="auto"/>
              <w:szCs w:val="24"/>
              <w:lang w:eastAsia="zh-CN"/>
            </w:rPr>
            <w:t>13.3环境监测计划</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_Toc167095336 \h </w:instrText>
          </w:r>
          <w:r>
            <w:rPr>
              <w:rFonts w:hAnsi="Times New Roman" w:eastAsia="宋体"/>
              <w:szCs w:val="24"/>
            </w:rPr>
            <w:fldChar w:fldCharType="separate"/>
          </w:r>
          <w:r>
            <w:rPr>
              <w:rFonts w:hAnsi="Times New Roman" w:eastAsia="宋体"/>
              <w:szCs w:val="24"/>
            </w:rPr>
            <w:t>376</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"_Toc167095337" </w:instrText>
          </w:r>
          <w:r>
            <w:fldChar w:fldCharType="separate"/>
          </w:r>
          <w:r>
            <w:rPr>
              <w:rStyle w:val="38"/>
              <w:rFonts w:hAnsi="Times New Roman" w:eastAsia="宋体"/>
              <w:color w:val="auto"/>
              <w:szCs w:val="24"/>
              <w:lang w:eastAsia="zh-CN"/>
            </w:rPr>
            <w:t>13.4排污口规范化管理</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_Toc167095337 \h </w:instrText>
          </w:r>
          <w:r>
            <w:rPr>
              <w:rFonts w:hAnsi="Times New Roman" w:eastAsia="宋体"/>
              <w:szCs w:val="24"/>
            </w:rPr>
            <w:fldChar w:fldCharType="separate"/>
          </w:r>
          <w:r>
            <w:rPr>
              <w:rFonts w:hAnsi="Times New Roman" w:eastAsia="宋体"/>
              <w:szCs w:val="24"/>
            </w:rPr>
            <w:t>376</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"_Toc167095342" </w:instrText>
          </w:r>
          <w:r>
            <w:fldChar w:fldCharType="separate"/>
          </w:r>
          <w:r>
            <w:rPr>
              <w:rStyle w:val="38"/>
              <w:rFonts w:hAnsi="Times New Roman" w:eastAsia="宋体"/>
              <w:color w:val="auto"/>
              <w:szCs w:val="24"/>
              <w:lang w:eastAsia="zh-CN"/>
            </w:rPr>
            <w:t>13.5企业环境保护信息公开管理</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_Toc167095342 \h </w:instrText>
          </w:r>
          <w:r>
            <w:rPr>
              <w:rFonts w:hAnsi="Times New Roman" w:eastAsia="宋体"/>
              <w:szCs w:val="24"/>
            </w:rPr>
            <w:fldChar w:fldCharType="separate"/>
          </w:r>
          <w:r>
            <w:rPr>
              <w:rFonts w:hAnsi="Times New Roman" w:eastAsia="宋体"/>
              <w:szCs w:val="24"/>
            </w:rPr>
            <w:t>378</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"_Toc167095343" </w:instrText>
          </w:r>
          <w:r>
            <w:fldChar w:fldCharType="separate"/>
          </w:r>
          <w:r>
            <w:rPr>
              <w:rStyle w:val="38"/>
              <w:rFonts w:hAnsi="Times New Roman" w:eastAsia="宋体"/>
              <w:color w:val="auto"/>
              <w:szCs w:val="24"/>
              <w:lang w:eastAsia="zh-CN"/>
            </w:rPr>
            <w:t>13.6建设项目竣工环境保护验收</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_Toc167095343 \h </w:instrText>
          </w:r>
          <w:r>
            <w:rPr>
              <w:rFonts w:hAnsi="Times New Roman" w:eastAsia="宋体"/>
              <w:szCs w:val="24"/>
            </w:rPr>
            <w:fldChar w:fldCharType="separate"/>
          </w:r>
          <w:r>
            <w:rPr>
              <w:rFonts w:hAnsi="Times New Roman" w:eastAsia="宋体"/>
              <w:szCs w:val="24"/>
            </w:rPr>
            <w:t>379</w:t>
          </w:r>
          <w:r>
            <w:rPr>
              <w:rFonts w:hAnsi="Times New Roman" w:eastAsia="宋体"/>
              <w:szCs w:val="24"/>
            </w:rPr>
            <w:fldChar w:fldCharType="end"/>
          </w:r>
          <w:r>
            <w:rPr>
              <w:rFonts w:hAnsi="Times New Roman" w:eastAsia="宋体"/>
              <w:szCs w:val="24"/>
            </w:rPr>
            <w:fldChar w:fldCharType="end"/>
          </w:r>
        </w:p>
        <w:p>
          <w:pPr>
            <w:pStyle w:val="22"/>
            <w:tabs>
              <w:tab w:val="right" w:leader="dot" w:pos="9118"/>
            </w:tabs>
            <w:spacing w:line="276" w:lineRule="auto"/>
            <w:rPr>
              <w:rFonts w:hAnsi="Times New Roman" w:eastAsia="宋体"/>
              <w:kern w:val="2"/>
              <w:szCs w:val="24"/>
              <w:lang w:eastAsia="zh-CN"/>
              <w14:ligatures w14:val="standardContextual"/>
            </w:rPr>
          </w:pPr>
          <w:r>
            <w:fldChar w:fldCharType="begin"/>
          </w:r>
          <w:r>
            <w:instrText xml:space="preserve"> HYPERLINK \l "_Toc167095346" </w:instrText>
          </w:r>
          <w:r>
            <w:fldChar w:fldCharType="separate"/>
          </w:r>
          <w:r>
            <w:rPr>
              <w:rStyle w:val="38"/>
              <w:rFonts w:hAnsi="Times New Roman" w:eastAsia="宋体"/>
              <w:color w:val="auto"/>
              <w:szCs w:val="24"/>
              <w:lang w:eastAsia="zh-CN"/>
            </w:rPr>
            <w:t>14 政策及规划符合性分析</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_Toc167095346 \h </w:instrText>
          </w:r>
          <w:r>
            <w:rPr>
              <w:rFonts w:hAnsi="Times New Roman" w:eastAsia="宋体"/>
              <w:szCs w:val="24"/>
            </w:rPr>
            <w:fldChar w:fldCharType="separate"/>
          </w:r>
          <w:r>
            <w:rPr>
              <w:rFonts w:hAnsi="Times New Roman" w:eastAsia="宋体"/>
              <w:szCs w:val="24"/>
            </w:rPr>
            <w:t>382</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"_Toc167095347" </w:instrText>
          </w:r>
          <w:r>
            <w:fldChar w:fldCharType="separate"/>
          </w:r>
          <w:r>
            <w:rPr>
              <w:rStyle w:val="38"/>
              <w:rFonts w:hAnsi="Times New Roman" w:eastAsia="宋体"/>
              <w:color w:val="auto"/>
              <w:szCs w:val="24"/>
              <w:lang w:eastAsia="zh-CN"/>
            </w:rPr>
            <w:t>14.1 产业政策符合性分析</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_Toc167095347 \h </w:instrText>
          </w:r>
          <w:r>
            <w:rPr>
              <w:rFonts w:hAnsi="Times New Roman" w:eastAsia="宋体"/>
              <w:szCs w:val="24"/>
            </w:rPr>
            <w:fldChar w:fldCharType="separate"/>
          </w:r>
          <w:r>
            <w:rPr>
              <w:rFonts w:hAnsi="Times New Roman" w:eastAsia="宋体"/>
              <w:szCs w:val="24"/>
            </w:rPr>
            <w:t>382</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"_Toc167095352" </w:instrText>
          </w:r>
          <w:r>
            <w:fldChar w:fldCharType="separate"/>
          </w:r>
          <w:r>
            <w:rPr>
              <w:rStyle w:val="38"/>
              <w:rFonts w:hAnsi="Times New Roman" w:eastAsia="宋体"/>
              <w:color w:val="auto"/>
              <w:szCs w:val="24"/>
              <w:lang w:eastAsia="zh-CN"/>
            </w:rPr>
            <w:t>14.2 与环保相关政策、规划符合性分析</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_Toc167095352 \h </w:instrText>
          </w:r>
          <w:r>
            <w:rPr>
              <w:rFonts w:hAnsi="Times New Roman" w:eastAsia="宋体"/>
              <w:szCs w:val="24"/>
            </w:rPr>
            <w:fldChar w:fldCharType="separate"/>
          </w:r>
          <w:r>
            <w:rPr>
              <w:rFonts w:hAnsi="Times New Roman" w:eastAsia="宋体"/>
              <w:szCs w:val="24"/>
            </w:rPr>
            <w:t>385</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"_Toc167095365" </w:instrText>
          </w:r>
          <w:r>
            <w:fldChar w:fldCharType="separate"/>
          </w:r>
          <w:r>
            <w:rPr>
              <w:rStyle w:val="38"/>
              <w:rFonts w:hAnsi="Times New Roman" w:eastAsia="宋体"/>
              <w:color w:val="auto"/>
              <w:szCs w:val="24"/>
              <w:lang w:eastAsia="zh-CN"/>
            </w:rPr>
            <w:t>14.3 与相关规划相容性分析</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_Toc167095365 \h </w:instrText>
          </w:r>
          <w:r>
            <w:rPr>
              <w:rFonts w:hAnsi="Times New Roman" w:eastAsia="宋体"/>
              <w:szCs w:val="24"/>
            </w:rPr>
            <w:fldChar w:fldCharType="separate"/>
          </w:r>
          <w:r>
            <w:rPr>
              <w:rFonts w:hAnsi="Times New Roman" w:eastAsia="宋体"/>
              <w:szCs w:val="24"/>
            </w:rPr>
            <w:t>393</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"_Toc167095370" </w:instrText>
          </w:r>
          <w:r>
            <w:fldChar w:fldCharType="separate"/>
          </w:r>
          <w:r>
            <w:rPr>
              <w:rStyle w:val="38"/>
              <w:rFonts w:hAnsi="Times New Roman" w:eastAsia="宋体"/>
              <w:color w:val="auto"/>
              <w:szCs w:val="24"/>
              <w:lang w:eastAsia="zh-CN"/>
            </w:rPr>
            <w:t>14.4 项目建设与矿区规划环评符合性分析</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_Toc167095370 \h </w:instrText>
          </w:r>
          <w:r>
            <w:rPr>
              <w:rFonts w:hAnsi="Times New Roman" w:eastAsia="宋体"/>
              <w:szCs w:val="24"/>
            </w:rPr>
            <w:fldChar w:fldCharType="separate"/>
          </w:r>
          <w:r>
            <w:rPr>
              <w:rFonts w:hAnsi="Times New Roman" w:eastAsia="宋体"/>
              <w:szCs w:val="24"/>
            </w:rPr>
            <w:t>399</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"_Toc167095374" </w:instrText>
          </w:r>
          <w:r>
            <w:fldChar w:fldCharType="separate"/>
          </w:r>
          <w:r>
            <w:rPr>
              <w:rStyle w:val="38"/>
              <w:rFonts w:hAnsi="Times New Roman" w:eastAsia="宋体"/>
              <w:color w:val="auto"/>
              <w:szCs w:val="24"/>
              <w:lang w:eastAsia="zh-CN"/>
            </w:rPr>
            <w:t>14.5 项目建设与“三线一单”符合性分析</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_Toc167095374 \h </w:instrText>
          </w:r>
          <w:r>
            <w:rPr>
              <w:rFonts w:hAnsi="Times New Roman" w:eastAsia="宋体"/>
              <w:szCs w:val="24"/>
            </w:rPr>
            <w:fldChar w:fldCharType="separate"/>
          </w:r>
          <w:r>
            <w:rPr>
              <w:rFonts w:hAnsi="Times New Roman" w:eastAsia="宋体"/>
              <w:szCs w:val="24"/>
            </w:rPr>
            <w:t>404</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"_Toc167095380" </w:instrText>
          </w:r>
          <w:r>
            <w:fldChar w:fldCharType="separate"/>
          </w:r>
          <w:r>
            <w:rPr>
              <w:rStyle w:val="38"/>
              <w:rFonts w:hAnsi="Times New Roman" w:eastAsia="宋体"/>
              <w:color w:val="auto"/>
              <w:szCs w:val="24"/>
              <w:lang w:eastAsia="zh-CN"/>
            </w:rPr>
            <w:t>14.6 项目与</w:t>
          </w:r>
          <w:r>
            <w:rPr>
              <w:rStyle w:val="38"/>
              <w:rFonts w:hAnsi="Times New Roman" w:eastAsia="宋体"/>
              <w:color w:val="auto"/>
              <w:szCs w:val="24"/>
            </w:rPr>
            <w:t>《煤炭采选建设项目环境影响评价文件审批原则（试行）》的符合性分析</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_Toc167095380 \h </w:instrText>
          </w:r>
          <w:r>
            <w:rPr>
              <w:rFonts w:hAnsi="Times New Roman" w:eastAsia="宋体"/>
              <w:szCs w:val="24"/>
            </w:rPr>
            <w:fldChar w:fldCharType="separate"/>
          </w:r>
          <w:r>
            <w:rPr>
              <w:rFonts w:hAnsi="Times New Roman" w:eastAsia="宋体"/>
              <w:szCs w:val="24"/>
            </w:rPr>
            <w:t>414</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"_Toc167095381" </w:instrText>
          </w:r>
          <w:r>
            <w:fldChar w:fldCharType="separate"/>
          </w:r>
          <w:r>
            <w:rPr>
              <w:rStyle w:val="38"/>
              <w:rFonts w:hAnsi="Times New Roman" w:eastAsia="宋体"/>
              <w:color w:val="auto"/>
              <w:szCs w:val="24"/>
              <w:lang w:eastAsia="zh-CN"/>
            </w:rPr>
            <w:t>14.7 项目选址环境可行性分析和合理性分析</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_Toc167095381 \h </w:instrText>
          </w:r>
          <w:r>
            <w:rPr>
              <w:rFonts w:hAnsi="Times New Roman" w:eastAsia="宋体"/>
              <w:szCs w:val="24"/>
            </w:rPr>
            <w:fldChar w:fldCharType="separate"/>
          </w:r>
          <w:r>
            <w:rPr>
              <w:rFonts w:hAnsi="Times New Roman" w:eastAsia="宋体"/>
              <w:szCs w:val="24"/>
            </w:rPr>
            <w:t>417</w:t>
          </w:r>
          <w:r>
            <w:rPr>
              <w:rFonts w:hAnsi="Times New Roman" w:eastAsia="宋体"/>
              <w:szCs w:val="24"/>
            </w:rPr>
            <w:fldChar w:fldCharType="end"/>
          </w:r>
          <w:r>
            <w:rPr>
              <w:rFonts w:hAnsi="Times New Roman" w:eastAsia="宋体"/>
              <w:szCs w:val="24"/>
            </w:rPr>
            <w:fldChar w:fldCharType="end"/>
          </w:r>
        </w:p>
        <w:p>
          <w:pPr>
            <w:pStyle w:val="22"/>
            <w:tabs>
              <w:tab w:val="right" w:leader="dot" w:pos="9118"/>
            </w:tabs>
            <w:spacing w:line="276" w:lineRule="auto"/>
            <w:rPr>
              <w:rFonts w:hAnsi="Times New Roman" w:eastAsia="宋体"/>
              <w:kern w:val="2"/>
              <w:szCs w:val="24"/>
              <w:lang w:eastAsia="zh-CN"/>
              <w14:ligatures w14:val="standardContextual"/>
            </w:rPr>
          </w:pPr>
          <w:r>
            <w:fldChar w:fldCharType="begin"/>
          </w:r>
          <w:r>
            <w:instrText xml:space="preserve"> HYPERLINK \l "_Toc167095386" </w:instrText>
          </w:r>
          <w:r>
            <w:fldChar w:fldCharType="separate"/>
          </w:r>
          <w:r>
            <w:rPr>
              <w:rStyle w:val="38"/>
              <w:rFonts w:hAnsi="Times New Roman" w:eastAsia="宋体"/>
              <w:color w:val="auto"/>
              <w:szCs w:val="24"/>
              <w:lang w:eastAsia="zh-CN"/>
            </w:rPr>
            <w:t>15 环境风险影响分析</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_Toc167095386 \h </w:instrText>
          </w:r>
          <w:r>
            <w:rPr>
              <w:rFonts w:hAnsi="Times New Roman" w:eastAsia="宋体"/>
              <w:szCs w:val="24"/>
            </w:rPr>
            <w:fldChar w:fldCharType="separate"/>
          </w:r>
          <w:r>
            <w:rPr>
              <w:rFonts w:hAnsi="Times New Roman" w:eastAsia="宋体"/>
              <w:szCs w:val="24"/>
            </w:rPr>
            <w:t>420</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"_Toc167095387" </w:instrText>
          </w:r>
          <w:r>
            <w:fldChar w:fldCharType="separate"/>
          </w:r>
          <w:r>
            <w:rPr>
              <w:rStyle w:val="38"/>
              <w:rFonts w:hAnsi="Times New Roman" w:eastAsia="宋体"/>
              <w:color w:val="auto"/>
              <w:szCs w:val="24"/>
              <w:lang w:eastAsia="zh-CN"/>
            </w:rPr>
            <w:t>15.1 风险调查</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_Toc167095387 \h </w:instrText>
          </w:r>
          <w:r>
            <w:rPr>
              <w:rFonts w:hAnsi="Times New Roman" w:eastAsia="宋体"/>
              <w:szCs w:val="24"/>
            </w:rPr>
            <w:fldChar w:fldCharType="separate"/>
          </w:r>
          <w:r>
            <w:rPr>
              <w:rFonts w:hAnsi="Times New Roman" w:eastAsia="宋体"/>
              <w:szCs w:val="24"/>
            </w:rPr>
            <w:t>420</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"_Toc167095390" </w:instrText>
          </w:r>
          <w:r>
            <w:fldChar w:fldCharType="separate"/>
          </w:r>
          <w:r>
            <w:rPr>
              <w:rStyle w:val="38"/>
              <w:rFonts w:hAnsi="Times New Roman" w:eastAsia="宋体"/>
              <w:color w:val="auto"/>
              <w:szCs w:val="24"/>
              <w:lang w:eastAsia="zh-CN"/>
            </w:rPr>
            <w:t>15.2 环境风险潜势及评价等级的确定</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_Toc167095390 \h </w:instrText>
          </w:r>
          <w:r>
            <w:rPr>
              <w:rFonts w:hAnsi="Times New Roman" w:eastAsia="宋体"/>
              <w:szCs w:val="24"/>
            </w:rPr>
            <w:fldChar w:fldCharType="separate"/>
          </w:r>
          <w:r>
            <w:rPr>
              <w:rFonts w:hAnsi="Times New Roman" w:eastAsia="宋体"/>
              <w:szCs w:val="24"/>
            </w:rPr>
            <w:t>425</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"_Toc167095392" </w:instrText>
          </w:r>
          <w:r>
            <w:fldChar w:fldCharType="separate"/>
          </w:r>
          <w:r>
            <w:rPr>
              <w:rStyle w:val="38"/>
              <w:rFonts w:hAnsi="Times New Roman" w:eastAsia="宋体"/>
              <w:color w:val="auto"/>
              <w:szCs w:val="24"/>
              <w:lang w:eastAsia="zh-CN"/>
            </w:rPr>
            <w:t>15.3 矿井水和生活污水处理设施风险事故影响分析</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_Toc167095392 \h </w:instrText>
          </w:r>
          <w:r>
            <w:rPr>
              <w:rFonts w:hAnsi="Times New Roman" w:eastAsia="宋体"/>
              <w:szCs w:val="24"/>
            </w:rPr>
            <w:fldChar w:fldCharType="separate"/>
          </w:r>
          <w:r>
            <w:rPr>
              <w:rFonts w:hAnsi="Times New Roman" w:eastAsia="宋体"/>
              <w:szCs w:val="24"/>
            </w:rPr>
            <w:t>426</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"_Toc167095395" </w:instrText>
          </w:r>
          <w:r>
            <w:fldChar w:fldCharType="separate"/>
          </w:r>
          <w:r>
            <w:rPr>
              <w:rStyle w:val="38"/>
              <w:rFonts w:hAnsi="Times New Roman" w:eastAsia="宋体"/>
              <w:color w:val="auto"/>
              <w:szCs w:val="24"/>
              <w:lang w:eastAsia="zh-CN"/>
            </w:rPr>
            <w:t>15.4 地质灾害风险分析及防范措施</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_Toc167095395 \h </w:instrText>
          </w:r>
          <w:r>
            <w:rPr>
              <w:rFonts w:hAnsi="Times New Roman" w:eastAsia="宋体"/>
              <w:szCs w:val="24"/>
            </w:rPr>
            <w:fldChar w:fldCharType="separate"/>
          </w:r>
          <w:r>
            <w:rPr>
              <w:rFonts w:hAnsi="Times New Roman" w:eastAsia="宋体"/>
              <w:szCs w:val="24"/>
            </w:rPr>
            <w:t>427</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"_Toc167095398" </w:instrText>
          </w:r>
          <w:r>
            <w:fldChar w:fldCharType="separate"/>
          </w:r>
          <w:r>
            <w:rPr>
              <w:rStyle w:val="38"/>
              <w:rFonts w:hAnsi="Times New Roman" w:eastAsia="宋体"/>
              <w:color w:val="auto"/>
              <w:szCs w:val="24"/>
              <w:lang w:eastAsia="zh-CN"/>
            </w:rPr>
            <w:t>15.5 爆破器材库及瓦斯爆炸风险防范措施</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_Toc167095398 \h </w:instrText>
          </w:r>
          <w:r>
            <w:rPr>
              <w:rFonts w:hAnsi="Times New Roman" w:eastAsia="宋体"/>
              <w:szCs w:val="24"/>
            </w:rPr>
            <w:fldChar w:fldCharType="separate"/>
          </w:r>
          <w:r>
            <w:rPr>
              <w:rFonts w:hAnsi="Times New Roman" w:eastAsia="宋体"/>
              <w:szCs w:val="24"/>
            </w:rPr>
            <w:t>428</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"_Toc167095401" </w:instrText>
          </w:r>
          <w:r>
            <w:fldChar w:fldCharType="separate"/>
          </w:r>
          <w:r>
            <w:rPr>
              <w:rStyle w:val="38"/>
              <w:rFonts w:hAnsi="Times New Roman" w:eastAsia="宋体"/>
              <w:color w:val="auto"/>
              <w:szCs w:val="24"/>
              <w:lang w:eastAsia="zh-CN"/>
            </w:rPr>
            <w:t>15.6 风险管理</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_Toc167095401 \h </w:instrText>
          </w:r>
          <w:r>
            <w:rPr>
              <w:rFonts w:hAnsi="Times New Roman" w:eastAsia="宋体"/>
              <w:szCs w:val="24"/>
            </w:rPr>
            <w:fldChar w:fldCharType="separate"/>
          </w:r>
          <w:r>
            <w:rPr>
              <w:rFonts w:hAnsi="Times New Roman" w:eastAsia="宋体"/>
              <w:szCs w:val="24"/>
            </w:rPr>
            <w:t>430</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"_Toc167095402" </w:instrText>
          </w:r>
          <w:r>
            <w:fldChar w:fldCharType="separate"/>
          </w:r>
          <w:r>
            <w:rPr>
              <w:rStyle w:val="38"/>
              <w:rFonts w:hAnsi="Times New Roman" w:eastAsia="宋体"/>
              <w:color w:val="auto"/>
              <w:szCs w:val="24"/>
              <w:lang w:eastAsia="zh-CN"/>
            </w:rPr>
            <w:t>15.7 环境风险应急预案</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_Toc167095402 \h </w:instrText>
          </w:r>
          <w:r>
            <w:rPr>
              <w:rFonts w:hAnsi="Times New Roman" w:eastAsia="宋体"/>
              <w:szCs w:val="24"/>
            </w:rPr>
            <w:fldChar w:fldCharType="separate"/>
          </w:r>
          <w:r>
            <w:rPr>
              <w:rFonts w:hAnsi="Times New Roman" w:eastAsia="宋体"/>
              <w:szCs w:val="24"/>
            </w:rPr>
            <w:t>430</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"_Toc167095405" </w:instrText>
          </w:r>
          <w:r>
            <w:fldChar w:fldCharType="separate"/>
          </w:r>
          <w:r>
            <w:rPr>
              <w:rStyle w:val="38"/>
              <w:rFonts w:hAnsi="Times New Roman" w:eastAsia="宋体"/>
              <w:color w:val="auto"/>
              <w:szCs w:val="24"/>
              <w:lang w:eastAsia="zh-CN"/>
            </w:rPr>
            <w:t>15.8 环境风险评价结论</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_Toc167095405 \h </w:instrText>
          </w:r>
          <w:r>
            <w:rPr>
              <w:rFonts w:hAnsi="Times New Roman" w:eastAsia="宋体"/>
              <w:szCs w:val="24"/>
            </w:rPr>
            <w:fldChar w:fldCharType="separate"/>
          </w:r>
          <w:r>
            <w:rPr>
              <w:rFonts w:hAnsi="Times New Roman" w:eastAsia="宋体"/>
              <w:szCs w:val="24"/>
            </w:rPr>
            <w:t>431</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"_Toc167095406" </w:instrText>
          </w:r>
          <w:r>
            <w:fldChar w:fldCharType="separate"/>
          </w:r>
          <w:r>
            <w:rPr>
              <w:rStyle w:val="38"/>
              <w:rFonts w:hAnsi="Times New Roman" w:eastAsia="宋体"/>
              <w:color w:val="auto"/>
              <w:szCs w:val="24"/>
              <w:lang w:eastAsia="zh-CN"/>
            </w:rPr>
            <w:t>15.9 环境风险评价自查表</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_Toc167095406 \h </w:instrText>
          </w:r>
          <w:r>
            <w:rPr>
              <w:rFonts w:hAnsi="Times New Roman" w:eastAsia="宋体"/>
              <w:szCs w:val="24"/>
            </w:rPr>
            <w:fldChar w:fldCharType="separate"/>
          </w:r>
          <w:r>
            <w:rPr>
              <w:rFonts w:hAnsi="Times New Roman" w:eastAsia="宋体"/>
              <w:szCs w:val="24"/>
            </w:rPr>
            <w:t>432</w:t>
          </w:r>
          <w:r>
            <w:rPr>
              <w:rFonts w:hAnsi="Times New Roman" w:eastAsia="宋体"/>
              <w:szCs w:val="24"/>
            </w:rPr>
            <w:fldChar w:fldCharType="end"/>
          </w:r>
          <w:r>
            <w:rPr>
              <w:rFonts w:hAnsi="Times New Roman" w:eastAsia="宋体"/>
              <w:szCs w:val="24"/>
            </w:rPr>
            <w:fldChar w:fldCharType="end"/>
          </w:r>
        </w:p>
        <w:p>
          <w:pPr>
            <w:pStyle w:val="22"/>
            <w:tabs>
              <w:tab w:val="right" w:leader="dot" w:pos="9118"/>
            </w:tabs>
            <w:spacing w:line="276" w:lineRule="auto"/>
            <w:rPr>
              <w:rFonts w:hAnsi="Times New Roman" w:eastAsia="宋体"/>
              <w:kern w:val="2"/>
              <w:szCs w:val="24"/>
              <w:lang w:eastAsia="zh-CN"/>
              <w14:ligatures w14:val="standardContextual"/>
            </w:rPr>
          </w:pPr>
          <w:r>
            <w:fldChar w:fldCharType="begin"/>
          </w:r>
          <w:r>
            <w:instrText xml:space="preserve"> HYPERLINK \l "_Toc167095407" </w:instrText>
          </w:r>
          <w:r>
            <w:fldChar w:fldCharType="separate"/>
          </w:r>
          <w:r>
            <w:rPr>
              <w:rStyle w:val="38"/>
              <w:rFonts w:hAnsi="Times New Roman" w:eastAsia="宋体"/>
              <w:color w:val="auto"/>
              <w:szCs w:val="24"/>
              <w:lang w:eastAsia="zh-CN"/>
            </w:rPr>
            <w:t>16 污染物总量控制分析</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_Toc167095407 \h </w:instrText>
          </w:r>
          <w:r>
            <w:rPr>
              <w:rFonts w:hAnsi="Times New Roman" w:eastAsia="宋体"/>
              <w:szCs w:val="24"/>
            </w:rPr>
            <w:fldChar w:fldCharType="separate"/>
          </w:r>
          <w:r>
            <w:rPr>
              <w:rFonts w:hAnsi="Times New Roman" w:eastAsia="宋体"/>
              <w:szCs w:val="24"/>
            </w:rPr>
            <w:t>434</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"_Toc167095408" </w:instrText>
          </w:r>
          <w:r>
            <w:fldChar w:fldCharType="separate"/>
          </w:r>
          <w:r>
            <w:rPr>
              <w:rStyle w:val="38"/>
              <w:rFonts w:hAnsi="Times New Roman" w:eastAsia="宋体"/>
              <w:color w:val="auto"/>
              <w:szCs w:val="24"/>
              <w:lang w:eastAsia="zh-CN"/>
            </w:rPr>
            <w:t>16.1 项目区环境功能区划及环境质量</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_Toc167095408 \h </w:instrText>
          </w:r>
          <w:r>
            <w:rPr>
              <w:rFonts w:hAnsi="Times New Roman" w:eastAsia="宋体"/>
              <w:szCs w:val="24"/>
            </w:rPr>
            <w:fldChar w:fldCharType="separate"/>
          </w:r>
          <w:r>
            <w:rPr>
              <w:rFonts w:hAnsi="Times New Roman" w:eastAsia="宋体"/>
              <w:szCs w:val="24"/>
            </w:rPr>
            <w:t>434</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"_Toc167095409" </w:instrText>
          </w:r>
          <w:r>
            <w:fldChar w:fldCharType="separate"/>
          </w:r>
          <w:r>
            <w:rPr>
              <w:rStyle w:val="38"/>
              <w:rFonts w:hAnsi="Times New Roman" w:eastAsia="宋体"/>
              <w:color w:val="auto"/>
              <w:szCs w:val="24"/>
              <w:lang w:eastAsia="zh-CN"/>
            </w:rPr>
            <w:t>16.2 污染物达标排放与总量控制</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_Toc167095409 \h </w:instrText>
          </w:r>
          <w:r>
            <w:rPr>
              <w:rFonts w:hAnsi="Times New Roman" w:eastAsia="宋体"/>
              <w:szCs w:val="24"/>
            </w:rPr>
            <w:fldChar w:fldCharType="separate"/>
          </w:r>
          <w:r>
            <w:rPr>
              <w:rFonts w:hAnsi="Times New Roman" w:eastAsia="宋体"/>
              <w:szCs w:val="24"/>
            </w:rPr>
            <w:t>434</w:t>
          </w:r>
          <w:r>
            <w:rPr>
              <w:rFonts w:hAnsi="Times New Roman" w:eastAsia="宋体"/>
              <w:szCs w:val="24"/>
            </w:rPr>
            <w:fldChar w:fldCharType="end"/>
          </w:r>
          <w:r>
            <w:rPr>
              <w:rFonts w:hAnsi="Times New Roman" w:eastAsia="宋体"/>
              <w:szCs w:val="24"/>
            </w:rPr>
            <w:fldChar w:fldCharType="end"/>
          </w:r>
        </w:p>
        <w:p>
          <w:pPr>
            <w:pStyle w:val="22"/>
            <w:tabs>
              <w:tab w:val="right" w:leader="dot" w:pos="9118"/>
            </w:tabs>
            <w:spacing w:line="276" w:lineRule="auto"/>
            <w:rPr>
              <w:rFonts w:hAnsi="Times New Roman" w:eastAsia="宋体"/>
              <w:kern w:val="2"/>
              <w:szCs w:val="24"/>
              <w:lang w:eastAsia="zh-CN"/>
              <w14:ligatures w14:val="standardContextual"/>
            </w:rPr>
          </w:pPr>
          <w:r>
            <w:fldChar w:fldCharType="begin"/>
          </w:r>
          <w:r>
            <w:instrText xml:space="preserve"> HYPERLINK \l "_Toc167095410" </w:instrText>
          </w:r>
          <w:r>
            <w:fldChar w:fldCharType="separate"/>
          </w:r>
          <w:r>
            <w:rPr>
              <w:rStyle w:val="38"/>
              <w:rFonts w:hAnsi="Times New Roman" w:eastAsia="宋体"/>
              <w:color w:val="auto"/>
              <w:szCs w:val="24"/>
              <w:lang w:eastAsia="zh-CN"/>
            </w:rPr>
            <w:t>17 环境影响经济损益分析</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_Toc167095410 \h </w:instrText>
          </w:r>
          <w:r>
            <w:rPr>
              <w:rFonts w:hAnsi="Times New Roman" w:eastAsia="宋体"/>
              <w:szCs w:val="24"/>
            </w:rPr>
            <w:fldChar w:fldCharType="separate"/>
          </w:r>
          <w:r>
            <w:rPr>
              <w:rFonts w:hAnsi="Times New Roman" w:eastAsia="宋体"/>
              <w:szCs w:val="24"/>
            </w:rPr>
            <w:t>436</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"_Toc167095411" </w:instrText>
          </w:r>
          <w:r>
            <w:fldChar w:fldCharType="separate"/>
          </w:r>
          <w:r>
            <w:rPr>
              <w:rStyle w:val="38"/>
              <w:rFonts w:hAnsi="Times New Roman" w:eastAsia="宋体"/>
              <w:color w:val="auto"/>
              <w:szCs w:val="24"/>
              <w:lang w:eastAsia="zh-CN"/>
            </w:rPr>
            <w:t>17.1 环境保护工程投资分析</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_Toc167095411 \h </w:instrText>
          </w:r>
          <w:r>
            <w:rPr>
              <w:rFonts w:hAnsi="Times New Roman" w:eastAsia="宋体"/>
              <w:szCs w:val="24"/>
            </w:rPr>
            <w:fldChar w:fldCharType="separate"/>
          </w:r>
          <w:r>
            <w:rPr>
              <w:rFonts w:hAnsi="Times New Roman" w:eastAsia="宋体"/>
              <w:szCs w:val="24"/>
            </w:rPr>
            <w:t>436</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"_Toc167095412" </w:instrText>
          </w:r>
          <w:r>
            <w:fldChar w:fldCharType="separate"/>
          </w:r>
          <w:r>
            <w:rPr>
              <w:rStyle w:val="38"/>
              <w:rFonts w:hAnsi="Times New Roman" w:eastAsia="宋体"/>
              <w:color w:val="auto"/>
              <w:szCs w:val="24"/>
              <w:lang w:eastAsia="zh-CN"/>
            </w:rPr>
            <w:t>17.2 环境经济损益分析及评价</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_Toc167095412 \h </w:instrText>
          </w:r>
          <w:r>
            <w:rPr>
              <w:rFonts w:hAnsi="Times New Roman" w:eastAsia="宋体"/>
              <w:szCs w:val="24"/>
            </w:rPr>
            <w:fldChar w:fldCharType="separate"/>
          </w:r>
          <w:r>
            <w:rPr>
              <w:rFonts w:hAnsi="Times New Roman" w:eastAsia="宋体"/>
              <w:szCs w:val="24"/>
            </w:rPr>
            <w:t>437</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"_Toc167095415" </w:instrText>
          </w:r>
          <w:r>
            <w:fldChar w:fldCharType="separate"/>
          </w:r>
          <w:r>
            <w:rPr>
              <w:rStyle w:val="38"/>
              <w:rFonts w:hAnsi="Times New Roman" w:eastAsia="宋体"/>
              <w:color w:val="auto"/>
              <w:szCs w:val="24"/>
              <w:lang w:eastAsia="zh-CN"/>
            </w:rPr>
            <w:t>17.3 环境损益分析结论</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_Toc167095415 \h </w:instrText>
          </w:r>
          <w:r>
            <w:rPr>
              <w:rFonts w:hAnsi="Times New Roman" w:eastAsia="宋体"/>
              <w:szCs w:val="24"/>
            </w:rPr>
            <w:fldChar w:fldCharType="separate"/>
          </w:r>
          <w:r>
            <w:rPr>
              <w:rFonts w:hAnsi="Times New Roman" w:eastAsia="宋体"/>
              <w:szCs w:val="24"/>
            </w:rPr>
            <w:t>441</w:t>
          </w:r>
          <w:r>
            <w:rPr>
              <w:rFonts w:hAnsi="Times New Roman" w:eastAsia="宋体"/>
              <w:szCs w:val="24"/>
            </w:rPr>
            <w:fldChar w:fldCharType="end"/>
          </w:r>
          <w:r>
            <w:rPr>
              <w:rFonts w:hAnsi="Times New Roman" w:eastAsia="宋体"/>
              <w:szCs w:val="24"/>
            </w:rPr>
            <w:fldChar w:fldCharType="end"/>
          </w:r>
        </w:p>
        <w:p>
          <w:pPr>
            <w:pStyle w:val="22"/>
            <w:tabs>
              <w:tab w:val="right" w:leader="dot" w:pos="9118"/>
            </w:tabs>
            <w:spacing w:line="276" w:lineRule="auto"/>
            <w:rPr>
              <w:rFonts w:hAnsi="Times New Roman" w:eastAsia="宋体"/>
              <w:kern w:val="2"/>
              <w:szCs w:val="24"/>
              <w:lang w:eastAsia="zh-CN"/>
              <w14:ligatures w14:val="standardContextual"/>
            </w:rPr>
          </w:pPr>
          <w:r>
            <w:fldChar w:fldCharType="begin"/>
          </w:r>
          <w:r>
            <w:instrText xml:space="preserve"> HYPERLINK \l "_Toc167095416" </w:instrText>
          </w:r>
          <w:r>
            <w:fldChar w:fldCharType="separate"/>
          </w:r>
          <w:r>
            <w:rPr>
              <w:rStyle w:val="38"/>
              <w:rFonts w:hAnsi="Times New Roman" w:eastAsia="宋体"/>
              <w:color w:val="auto"/>
              <w:szCs w:val="24"/>
              <w:lang w:eastAsia="zh-CN"/>
            </w:rPr>
            <w:t>18 公众参与</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_Toc167095416 \h </w:instrText>
          </w:r>
          <w:r>
            <w:rPr>
              <w:rFonts w:hAnsi="Times New Roman" w:eastAsia="宋体"/>
              <w:szCs w:val="24"/>
            </w:rPr>
            <w:fldChar w:fldCharType="separate"/>
          </w:r>
          <w:r>
            <w:rPr>
              <w:rFonts w:hAnsi="Times New Roman" w:eastAsia="宋体"/>
              <w:szCs w:val="24"/>
            </w:rPr>
            <w:t>442</w:t>
          </w:r>
          <w:r>
            <w:rPr>
              <w:rFonts w:hAnsi="Times New Roman" w:eastAsia="宋体"/>
              <w:szCs w:val="24"/>
            </w:rPr>
            <w:fldChar w:fldCharType="end"/>
          </w:r>
          <w:r>
            <w:rPr>
              <w:rFonts w:hAnsi="Times New Roman" w:eastAsia="宋体"/>
              <w:szCs w:val="24"/>
            </w:rPr>
            <w:fldChar w:fldCharType="end"/>
          </w:r>
        </w:p>
        <w:p>
          <w:pPr>
            <w:pStyle w:val="22"/>
            <w:tabs>
              <w:tab w:val="right" w:leader="dot" w:pos="9118"/>
            </w:tabs>
            <w:spacing w:line="276" w:lineRule="auto"/>
            <w:rPr>
              <w:rFonts w:hAnsi="Times New Roman" w:eastAsia="宋体"/>
              <w:kern w:val="2"/>
              <w:szCs w:val="24"/>
              <w:lang w:eastAsia="zh-CN"/>
              <w14:ligatures w14:val="standardContextual"/>
            </w:rPr>
          </w:pPr>
          <w:r>
            <w:fldChar w:fldCharType="begin"/>
          </w:r>
          <w:r>
            <w:instrText xml:space="preserve"> HYPERLINK \l "_Toc167095417" </w:instrText>
          </w:r>
          <w:r>
            <w:fldChar w:fldCharType="separate"/>
          </w:r>
          <w:r>
            <w:rPr>
              <w:rStyle w:val="38"/>
              <w:rFonts w:hAnsi="Times New Roman" w:eastAsia="宋体"/>
              <w:color w:val="auto"/>
              <w:szCs w:val="24"/>
              <w:lang w:eastAsia="zh-CN"/>
            </w:rPr>
            <w:t>19 结论与建议</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_Toc167095417 \h </w:instrText>
          </w:r>
          <w:r>
            <w:rPr>
              <w:rFonts w:hAnsi="Times New Roman" w:eastAsia="宋体"/>
              <w:szCs w:val="24"/>
            </w:rPr>
            <w:fldChar w:fldCharType="separate"/>
          </w:r>
          <w:r>
            <w:rPr>
              <w:rFonts w:hAnsi="Times New Roman" w:eastAsia="宋体"/>
              <w:szCs w:val="24"/>
            </w:rPr>
            <w:t>443</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"_Toc167095418" </w:instrText>
          </w:r>
          <w:r>
            <w:fldChar w:fldCharType="separate"/>
          </w:r>
          <w:r>
            <w:rPr>
              <w:rStyle w:val="38"/>
              <w:rFonts w:hAnsi="Times New Roman" w:eastAsia="宋体"/>
              <w:color w:val="auto"/>
              <w:szCs w:val="24"/>
              <w:lang w:eastAsia="zh-CN"/>
            </w:rPr>
            <w:t>19.1 项目概况及主要建设内容结论</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_Toc167095418 \h </w:instrText>
          </w:r>
          <w:r>
            <w:rPr>
              <w:rFonts w:hAnsi="Times New Roman" w:eastAsia="宋体"/>
              <w:szCs w:val="24"/>
            </w:rPr>
            <w:fldChar w:fldCharType="separate"/>
          </w:r>
          <w:r>
            <w:rPr>
              <w:rFonts w:hAnsi="Times New Roman" w:eastAsia="宋体"/>
              <w:szCs w:val="24"/>
            </w:rPr>
            <w:t>443</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"_Toc167095421" </w:instrText>
          </w:r>
          <w:r>
            <w:fldChar w:fldCharType="separate"/>
          </w:r>
          <w:r>
            <w:rPr>
              <w:rStyle w:val="38"/>
              <w:rFonts w:hAnsi="Times New Roman" w:eastAsia="宋体"/>
              <w:color w:val="auto"/>
              <w:szCs w:val="24"/>
              <w:lang w:eastAsia="zh-CN"/>
            </w:rPr>
            <w:t>19.2 项目环境影响结论</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_Toc167095421 \h </w:instrText>
          </w:r>
          <w:r>
            <w:rPr>
              <w:rFonts w:hAnsi="Times New Roman" w:eastAsia="宋体"/>
              <w:szCs w:val="24"/>
            </w:rPr>
            <w:fldChar w:fldCharType="separate"/>
          </w:r>
          <w:r>
            <w:rPr>
              <w:rFonts w:hAnsi="Times New Roman" w:eastAsia="宋体"/>
              <w:szCs w:val="24"/>
            </w:rPr>
            <w:t>444</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"_Toc167095424" </w:instrText>
          </w:r>
          <w:r>
            <w:fldChar w:fldCharType="separate"/>
          </w:r>
          <w:r>
            <w:rPr>
              <w:rStyle w:val="38"/>
              <w:rFonts w:hAnsi="Times New Roman" w:eastAsia="宋体"/>
              <w:color w:val="auto"/>
              <w:szCs w:val="24"/>
              <w:lang w:eastAsia="zh-CN"/>
            </w:rPr>
            <w:t>19.3 主要建设内容结论</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_Toc167095424 \h </w:instrText>
          </w:r>
          <w:r>
            <w:rPr>
              <w:rFonts w:hAnsi="Times New Roman" w:eastAsia="宋体"/>
              <w:szCs w:val="24"/>
            </w:rPr>
            <w:fldChar w:fldCharType="separate"/>
          </w:r>
          <w:r>
            <w:rPr>
              <w:rFonts w:hAnsi="Times New Roman" w:eastAsia="宋体"/>
              <w:szCs w:val="24"/>
            </w:rPr>
            <w:t>447</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"_Toc167095431" </w:instrText>
          </w:r>
          <w:r>
            <w:fldChar w:fldCharType="separate"/>
          </w:r>
          <w:r>
            <w:rPr>
              <w:rStyle w:val="38"/>
              <w:rFonts w:hAnsi="Times New Roman" w:eastAsia="宋体"/>
              <w:color w:val="auto"/>
              <w:szCs w:val="24"/>
              <w:lang w:eastAsia="zh-CN"/>
            </w:rPr>
            <w:t>19.4 项目环境可行性综合结论</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_Toc167095431 \h </w:instrText>
          </w:r>
          <w:r>
            <w:rPr>
              <w:rFonts w:hAnsi="Times New Roman" w:eastAsia="宋体"/>
              <w:szCs w:val="24"/>
            </w:rPr>
            <w:fldChar w:fldCharType="separate"/>
          </w:r>
          <w:r>
            <w:rPr>
              <w:rFonts w:hAnsi="Times New Roman" w:eastAsia="宋体"/>
              <w:szCs w:val="24"/>
            </w:rPr>
            <w:t>449</w:t>
          </w:r>
          <w:r>
            <w:rPr>
              <w:rFonts w:hAnsi="Times New Roman" w:eastAsia="宋体"/>
              <w:szCs w:val="24"/>
            </w:rPr>
            <w:fldChar w:fldCharType="end"/>
          </w:r>
          <w:r>
            <w:rPr>
              <w:rFonts w:hAnsi="Times New Roman" w:eastAsia="宋体"/>
              <w:szCs w:val="24"/>
            </w:rPr>
            <w:fldChar w:fldCharType="end"/>
          </w:r>
        </w:p>
        <w:p>
          <w:pPr>
            <w:pStyle w:val="28"/>
            <w:tabs>
              <w:tab w:val="right" w:leader="dot" w:pos="9118"/>
            </w:tabs>
            <w:spacing w:line="276" w:lineRule="auto"/>
            <w:ind w:left="480"/>
            <w:rPr>
              <w:rFonts w:hAnsi="Times New Roman" w:eastAsia="宋体"/>
              <w:kern w:val="2"/>
              <w:szCs w:val="24"/>
              <w:lang w:eastAsia="zh-CN"/>
              <w14:ligatures w14:val="standardContextual"/>
            </w:rPr>
          </w:pPr>
          <w:r>
            <w:fldChar w:fldCharType="begin"/>
          </w:r>
          <w:r>
            <w:instrText xml:space="preserve"> HYPERLINK \l "_Toc167095432" </w:instrText>
          </w:r>
          <w:r>
            <w:fldChar w:fldCharType="separate"/>
          </w:r>
          <w:r>
            <w:rPr>
              <w:rStyle w:val="38"/>
              <w:rFonts w:hAnsi="Times New Roman" w:eastAsia="宋体"/>
              <w:color w:val="auto"/>
              <w:szCs w:val="24"/>
              <w:lang w:eastAsia="zh-CN"/>
            </w:rPr>
            <w:t>19.5 建议</w:t>
          </w:r>
          <w:r>
            <w:rPr>
              <w:rFonts w:hAnsi="Times New Roman" w:eastAsia="宋体"/>
              <w:szCs w:val="24"/>
            </w:rPr>
            <w:tab/>
          </w:r>
          <w:r>
            <w:rPr>
              <w:rFonts w:hAnsi="Times New Roman" w:eastAsia="宋体"/>
              <w:szCs w:val="24"/>
            </w:rPr>
            <w:fldChar w:fldCharType="begin"/>
          </w:r>
          <w:r>
            <w:rPr>
              <w:rFonts w:hAnsi="Times New Roman" w:eastAsia="宋体"/>
              <w:szCs w:val="24"/>
            </w:rPr>
            <w:instrText xml:space="preserve"> PAGEREF _Toc167095432 \h </w:instrText>
          </w:r>
          <w:r>
            <w:rPr>
              <w:rFonts w:hAnsi="Times New Roman" w:eastAsia="宋体"/>
              <w:szCs w:val="24"/>
            </w:rPr>
            <w:fldChar w:fldCharType="separate"/>
          </w:r>
          <w:r>
            <w:rPr>
              <w:rFonts w:hAnsi="Times New Roman" w:eastAsia="宋体"/>
              <w:szCs w:val="24"/>
            </w:rPr>
            <w:t>449</w:t>
          </w:r>
          <w:r>
            <w:rPr>
              <w:rFonts w:hAnsi="Times New Roman" w:eastAsia="宋体"/>
              <w:szCs w:val="24"/>
            </w:rPr>
            <w:fldChar w:fldCharType="end"/>
          </w:r>
          <w:r>
            <w:rPr>
              <w:rFonts w:hAnsi="Times New Roman" w:eastAsia="宋体"/>
              <w:szCs w:val="24"/>
            </w:rPr>
            <w:fldChar w:fldCharType="end"/>
          </w:r>
        </w:p>
        <w:p>
          <w:pPr>
            <w:rPr>
              <w:rFonts w:hAnsi="Times New Roman" w:eastAsia="宋体"/>
            </w:rPr>
          </w:pPr>
          <w:r>
            <w:rPr>
              <w:rFonts w:hAnsi="Times New Roman" w:eastAsia="宋体"/>
              <w:b/>
              <w:bCs/>
              <w:szCs w:val="24"/>
              <w:lang w:val="zh-CN"/>
            </w:rPr>
            <w:fldChar w:fldCharType="end"/>
          </w:r>
        </w:p>
      </w:sdtContent>
    </w:sdt>
    <w:p>
      <w:pPr>
        <w:rPr>
          <w:rFonts w:hAnsi="Times New Roman" w:eastAsia="宋体"/>
          <w:lang w:eastAsia="zh-CN"/>
        </w:rPr>
        <w:sectPr>
          <w:headerReference r:id="rId3" w:type="default"/>
          <w:footerReference r:id="rId4" w:type="default"/>
          <w:pgSz w:w="11906" w:h="16838"/>
          <w:pgMar w:top="1440" w:right="1304" w:bottom="1440" w:left="1474" w:header="851" w:footer="992" w:gutter="0"/>
          <w:cols w:space="720" w:num="1"/>
          <w:docGrid w:type="lines" w:linePitch="312" w:charSpace="0"/>
        </w:sectPr>
      </w:pPr>
    </w:p>
    <w:p>
      <w:pPr>
        <w:rPr>
          <w:rFonts w:hAnsi="Times New Roman" w:eastAsia="宋体"/>
          <w:lang w:eastAsia="zh-CN"/>
        </w:rPr>
      </w:pPr>
    </w:p>
    <w:p>
      <w:pPr>
        <w:spacing w:line="360" w:lineRule="exact"/>
        <w:ind w:firstLine="482" w:firstLineChars="200"/>
        <w:rPr>
          <w:rFonts w:hAnsi="Times New Roman" w:eastAsia="宋体"/>
          <w:szCs w:val="22"/>
          <w:lang w:eastAsia="zh-CN"/>
        </w:rPr>
      </w:pPr>
      <w:r>
        <w:rPr>
          <w:rFonts w:hAnsi="Times New Roman" w:eastAsia="宋体"/>
          <w:b/>
          <w:bCs/>
          <w:szCs w:val="22"/>
          <w:lang w:eastAsia="zh-CN"/>
        </w:rPr>
        <w:t>附图</w:t>
      </w:r>
    </w:p>
    <w:p>
      <w:pPr>
        <w:spacing w:line="360" w:lineRule="exact"/>
        <w:ind w:firstLine="480" w:firstLineChars="200"/>
        <w:rPr>
          <w:rFonts w:hAnsi="Times New Roman" w:eastAsia="宋体"/>
          <w:szCs w:val="22"/>
          <w:lang w:eastAsia="zh-CN"/>
        </w:rPr>
      </w:pPr>
      <w:r>
        <w:rPr>
          <w:rFonts w:hAnsi="Times New Roman" w:eastAsia="宋体"/>
          <w:szCs w:val="22"/>
          <w:lang w:eastAsia="zh-CN"/>
        </w:rPr>
        <w:t>附图1  项目地理位置图</w:t>
      </w:r>
    </w:p>
    <w:p>
      <w:pPr>
        <w:spacing w:line="360" w:lineRule="exact"/>
        <w:ind w:firstLine="480" w:firstLineChars="200"/>
        <w:rPr>
          <w:rFonts w:hAnsi="Times New Roman" w:eastAsia="宋体"/>
          <w:szCs w:val="22"/>
          <w:lang w:eastAsia="zh-CN"/>
        </w:rPr>
      </w:pPr>
      <w:r>
        <w:rPr>
          <w:rFonts w:hint="eastAsia" w:hAnsi="Times New Roman" w:eastAsia="宋体"/>
          <w:szCs w:val="22"/>
          <w:lang w:eastAsia="zh-CN"/>
        </w:rPr>
        <w:t>附图</w:t>
      </w:r>
      <w:r>
        <w:rPr>
          <w:rFonts w:hAnsi="Times New Roman" w:eastAsia="宋体"/>
          <w:szCs w:val="22"/>
          <w:lang w:eastAsia="zh-CN"/>
        </w:rPr>
        <w:t xml:space="preserve">2 </w:t>
      </w:r>
      <w:r>
        <w:rPr>
          <w:rFonts w:hint="eastAsia" w:hAnsi="Times New Roman" w:eastAsia="宋体"/>
          <w:szCs w:val="22"/>
          <w:lang w:eastAsia="zh-CN"/>
        </w:rPr>
        <w:t xml:space="preserve"> 矿区外环境关系图</w:t>
      </w:r>
    </w:p>
    <w:p>
      <w:pPr>
        <w:spacing w:line="360" w:lineRule="exact"/>
        <w:ind w:firstLine="480" w:firstLineChars="200"/>
        <w:rPr>
          <w:rFonts w:hAnsi="Times New Roman" w:eastAsia="宋体"/>
          <w:szCs w:val="22"/>
          <w:lang w:eastAsia="zh-CN"/>
        </w:rPr>
      </w:pPr>
      <w:r>
        <w:rPr>
          <w:rFonts w:hint="eastAsia" w:hAnsi="Times New Roman" w:eastAsia="宋体"/>
          <w:szCs w:val="22"/>
          <w:lang w:eastAsia="zh-CN"/>
        </w:rPr>
        <w:t>附图</w:t>
      </w:r>
      <w:r>
        <w:rPr>
          <w:rFonts w:hAnsi="Times New Roman" w:eastAsia="宋体"/>
          <w:szCs w:val="22"/>
          <w:lang w:eastAsia="zh-CN"/>
        </w:rPr>
        <w:t xml:space="preserve">3 </w:t>
      </w:r>
      <w:r>
        <w:rPr>
          <w:rFonts w:hint="eastAsia" w:hAnsi="Times New Roman" w:eastAsia="宋体"/>
          <w:szCs w:val="22"/>
          <w:lang w:eastAsia="zh-CN"/>
        </w:rPr>
        <w:t xml:space="preserve"> 外环境关系及监测布点图</w:t>
      </w:r>
    </w:p>
    <w:p>
      <w:pPr>
        <w:spacing w:line="360" w:lineRule="exact"/>
        <w:ind w:firstLine="480" w:firstLineChars="200"/>
        <w:rPr>
          <w:rFonts w:hAnsi="Times New Roman" w:eastAsia="宋体"/>
          <w:szCs w:val="22"/>
          <w:lang w:eastAsia="zh-CN"/>
        </w:rPr>
      </w:pPr>
      <w:r>
        <w:rPr>
          <w:rFonts w:hint="eastAsia" w:hAnsi="Times New Roman" w:eastAsia="宋体"/>
          <w:szCs w:val="22"/>
          <w:lang w:eastAsia="zh-CN"/>
        </w:rPr>
        <w:t>附图</w:t>
      </w:r>
      <w:r>
        <w:rPr>
          <w:rFonts w:hAnsi="Times New Roman" w:eastAsia="宋体"/>
          <w:szCs w:val="22"/>
          <w:lang w:eastAsia="zh-CN"/>
        </w:rPr>
        <w:t xml:space="preserve">4 </w:t>
      </w:r>
      <w:r>
        <w:rPr>
          <w:rFonts w:hint="eastAsia" w:hAnsi="Times New Roman" w:eastAsia="宋体"/>
          <w:szCs w:val="22"/>
          <w:lang w:eastAsia="zh-CN"/>
        </w:rPr>
        <w:t xml:space="preserve"> 矿区与宣汉国家森林公园观音山景区位置关系图</w:t>
      </w:r>
    </w:p>
    <w:p>
      <w:pPr>
        <w:spacing w:line="360" w:lineRule="exact"/>
        <w:ind w:firstLine="480" w:firstLineChars="200"/>
        <w:rPr>
          <w:rFonts w:hAnsi="Times New Roman" w:eastAsia="宋体"/>
          <w:szCs w:val="22"/>
          <w:lang w:eastAsia="zh-CN"/>
        </w:rPr>
      </w:pPr>
      <w:r>
        <w:rPr>
          <w:rFonts w:hint="eastAsia" w:hAnsi="Times New Roman" w:eastAsia="宋体"/>
          <w:szCs w:val="22"/>
          <w:lang w:eastAsia="zh-CN"/>
        </w:rPr>
        <w:t>附图</w:t>
      </w:r>
      <w:r>
        <w:rPr>
          <w:rFonts w:hAnsi="Times New Roman" w:eastAsia="宋体"/>
          <w:szCs w:val="22"/>
          <w:lang w:eastAsia="zh-CN"/>
        </w:rPr>
        <w:t xml:space="preserve">5 </w:t>
      </w:r>
      <w:r>
        <w:rPr>
          <w:rFonts w:hint="eastAsia" w:hAnsi="Times New Roman" w:eastAsia="宋体"/>
          <w:szCs w:val="22"/>
          <w:lang w:eastAsia="zh-CN"/>
        </w:rPr>
        <w:t xml:space="preserve"> 主平硐与森林公园位置关系图</w:t>
      </w:r>
    </w:p>
    <w:p>
      <w:pPr>
        <w:spacing w:line="360" w:lineRule="exact"/>
        <w:ind w:firstLine="480" w:firstLineChars="200"/>
        <w:rPr>
          <w:rFonts w:hAnsi="Times New Roman" w:eastAsia="宋体"/>
          <w:szCs w:val="22"/>
          <w:lang w:eastAsia="zh-CN"/>
        </w:rPr>
      </w:pPr>
      <w:r>
        <w:rPr>
          <w:rFonts w:hAnsi="Times New Roman" w:eastAsia="宋体"/>
          <w:szCs w:val="22"/>
          <w:lang w:eastAsia="zh-CN"/>
        </w:rPr>
        <w:t>附图</w:t>
      </w:r>
      <w:r>
        <w:rPr>
          <w:rFonts w:hint="eastAsia" w:hAnsi="Times New Roman" w:eastAsia="宋体"/>
          <w:szCs w:val="22"/>
          <w:lang w:eastAsia="zh-CN"/>
        </w:rPr>
        <w:t>6</w:t>
      </w:r>
      <w:r>
        <w:rPr>
          <w:rFonts w:hAnsi="Times New Roman" w:eastAsia="宋体"/>
          <w:szCs w:val="22"/>
          <w:lang w:eastAsia="zh-CN"/>
        </w:rPr>
        <w:t xml:space="preserve">  主井工业场地总平面布置图</w:t>
      </w:r>
    </w:p>
    <w:p>
      <w:pPr>
        <w:spacing w:line="360" w:lineRule="exact"/>
        <w:ind w:firstLine="480" w:firstLineChars="200"/>
        <w:rPr>
          <w:rFonts w:hAnsi="Times New Roman" w:eastAsia="宋体"/>
          <w:szCs w:val="22"/>
          <w:lang w:eastAsia="zh-CN"/>
        </w:rPr>
      </w:pPr>
      <w:r>
        <w:rPr>
          <w:rFonts w:hAnsi="Times New Roman" w:eastAsia="宋体"/>
          <w:szCs w:val="22"/>
          <w:lang w:eastAsia="zh-CN"/>
        </w:rPr>
        <w:t>附图</w:t>
      </w:r>
      <w:r>
        <w:rPr>
          <w:rFonts w:hint="eastAsia" w:hAnsi="Times New Roman" w:eastAsia="宋体"/>
          <w:szCs w:val="22"/>
          <w:lang w:eastAsia="zh-CN"/>
        </w:rPr>
        <w:t>7</w:t>
      </w:r>
      <w:r>
        <w:rPr>
          <w:rFonts w:hAnsi="Times New Roman" w:eastAsia="宋体"/>
          <w:szCs w:val="22"/>
          <w:lang w:eastAsia="zh-CN"/>
        </w:rPr>
        <w:t xml:space="preserve">  矿井地面总平面布置图</w:t>
      </w:r>
    </w:p>
    <w:p>
      <w:pPr>
        <w:spacing w:line="360" w:lineRule="exact"/>
        <w:ind w:firstLine="480" w:firstLineChars="200"/>
        <w:rPr>
          <w:rFonts w:hAnsi="Times New Roman" w:eastAsia="宋体"/>
          <w:szCs w:val="22"/>
          <w:lang w:eastAsia="zh-CN"/>
        </w:rPr>
      </w:pPr>
      <w:r>
        <w:rPr>
          <w:rFonts w:hAnsi="Times New Roman" w:eastAsia="宋体"/>
          <w:szCs w:val="22"/>
          <w:lang w:eastAsia="zh-CN"/>
        </w:rPr>
        <w:t>附图</w:t>
      </w:r>
      <w:r>
        <w:rPr>
          <w:rFonts w:hint="eastAsia" w:hAnsi="Times New Roman" w:eastAsia="宋体"/>
          <w:szCs w:val="22"/>
          <w:lang w:eastAsia="zh-CN"/>
        </w:rPr>
        <w:t>8</w:t>
      </w:r>
      <w:r>
        <w:rPr>
          <w:rFonts w:hAnsi="Times New Roman" w:eastAsia="宋体"/>
          <w:szCs w:val="22"/>
          <w:lang w:eastAsia="zh-CN"/>
        </w:rPr>
        <w:t xml:space="preserve">  矿井开拓方式平面图</w:t>
      </w:r>
    </w:p>
    <w:p>
      <w:pPr>
        <w:spacing w:line="360" w:lineRule="exact"/>
        <w:ind w:firstLine="480" w:firstLineChars="200"/>
        <w:rPr>
          <w:rFonts w:hAnsi="Times New Roman" w:eastAsia="宋体"/>
          <w:szCs w:val="22"/>
          <w:lang w:eastAsia="zh-CN"/>
        </w:rPr>
      </w:pPr>
      <w:r>
        <w:rPr>
          <w:rFonts w:hAnsi="Times New Roman" w:eastAsia="宋体"/>
          <w:szCs w:val="22"/>
          <w:lang w:eastAsia="zh-CN"/>
        </w:rPr>
        <w:t>附图</w:t>
      </w:r>
      <w:r>
        <w:rPr>
          <w:rFonts w:hint="eastAsia" w:hAnsi="Times New Roman" w:eastAsia="宋体"/>
          <w:szCs w:val="22"/>
          <w:lang w:eastAsia="zh-CN"/>
        </w:rPr>
        <w:t>9</w:t>
      </w:r>
      <w:r>
        <w:rPr>
          <w:rFonts w:hAnsi="Times New Roman" w:eastAsia="宋体"/>
          <w:szCs w:val="22"/>
          <w:lang w:eastAsia="zh-CN"/>
        </w:rPr>
        <w:t xml:space="preserve">  矿井开拓方式（开丰井田）剖面图</w:t>
      </w:r>
    </w:p>
    <w:p>
      <w:pPr>
        <w:spacing w:line="360" w:lineRule="exact"/>
        <w:ind w:firstLine="480" w:firstLineChars="200"/>
        <w:rPr>
          <w:rFonts w:hAnsi="Times New Roman" w:eastAsia="宋体"/>
          <w:szCs w:val="22"/>
          <w:lang w:eastAsia="zh-CN"/>
        </w:rPr>
      </w:pPr>
      <w:r>
        <w:rPr>
          <w:rFonts w:hAnsi="Times New Roman" w:eastAsia="宋体"/>
          <w:szCs w:val="22"/>
          <w:lang w:eastAsia="zh-CN"/>
        </w:rPr>
        <w:t>附图</w:t>
      </w:r>
      <w:r>
        <w:rPr>
          <w:rFonts w:hint="eastAsia" w:hAnsi="Times New Roman" w:eastAsia="宋体"/>
          <w:szCs w:val="22"/>
          <w:lang w:eastAsia="zh-CN"/>
        </w:rPr>
        <w:t>10</w:t>
      </w:r>
      <w:r>
        <w:rPr>
          <w:rFonts w:hAnsi="Times New Roman" w:eastAsia="宋体"/>
          <w:szCs w:val="22"/>
          <w:lang w:eastAsia="zh-CN"/>
        </w:rPr>
        <w:t xml:space="preserve"> 矿井开拓方式（长田井田）剖面图</w:t>
      </w:r>
    </w:p>
    <w:p>
      <w:pPr>
        <w:spacing w:line="360" w:lineRule="exact"/>
        <w:ind w:firstLine="480" w:firstLineChars="200"/>
        <w:rPr>
          <w:rFonts w:hAnsi="Times New Roman" w:eastAsia="宋体"/>
          <w:szCs w:val="22"/>
          <w:lang w:eastAsia="zh-CN"/>
        </w:rPr>
      </w:pPr>
      <w:r>
        <w:rPr>
          <w:rFonts w:hAnsi="Times New Roman" w:eastAsia="宋体"/>
          <w:szCs w:val="22"/>
          <w:lang w:eastAsia="zh-CN"/>
        </w:rPr>
        <w:t>附图1</w:t>
      </w:r>
      <w:r>
        <w:rPr>
          <w:rFonts w:hint="eastAsia" w:hAnsi="Times New Roman" w:eastAsia="宋体"/>
          <w:szCs w:val="22"/>
          <w:lang w:eastAsia="zh-CN"/>
        </w:rPr>
        <w:t>1</w:t>
      </w:r>
      <w:r>
        <w:rPr>
          <w:rFonts w:hAnsi="Times New Roman" w:eastAsia="宋体"/>
          <w:szCs w:val="22"/>
          <w:lang w:eastAsia="zh-CN"/>
        </w:rPr>
        <w:t xml:space="preserve"> 矿区地质地形及井上下对照图</w:t>
      </w:r>
    </w:p>
    <w:p>
      <w:pPr>
        <w:spacing w:line="360" w:lineRule="exact"/>
        <w:ind w:firstLine="480" w:firstLineChars="200"/>
        <w:rPr>
          <w:rFonts w:hAnsi="Times New Roman" w:eastAsia="宋体"/>
          <w:szCs w:val="22"/>
          <w:lang w:eastAsia="zh-CN"/>
        </w:rPr>
      </w:pPr>
      <w:r>
        <w:rPr>
          <w:rFonts w:hAnsi="Times New Roman" w:eastAsia="宋体"/>
          <w:szCs w:val="22"/>
          <w:lang w:eastAsia="zh-CN"/>
        </w:rPr>
        <w:t>附图1</w:t>
      </w:r>
      <w:r>
        <w:rPr>
          <w:rFonts w:hint="eastAsia" w:hAnsi="Times New Roman" w:eastAsia="宋体"/>
          <w:szCs w:val="22"/>
          <w:lang w:eastAsia="zh-CN"/>
        </w:rPr>
        <w:t>2</w:t>
      </w:r>
      <w:r>
        <w:rPr>
          <w:rFonts w:hAnsi="Times New Roman" w:eastAsia="宋体"/>
          <w:szCs w:val="22"/>
          <w:lang w:eastAsia="zh-CN"/>
        </w:rPr>
        <w:t xml:space="preserve"> 矿区地层综合柱状图</w:t>
      </w:r>
    </w:p>
    <w:p>
      <w:pPr>
        <w:spacing w:line="360" w:lineRule="exact"/>
        <w:ind w:firstLine="480" w:firstLineChars="200"/>
        <w:rPr>
          <w:rFonts w:hAnsi="Times New Roman" w:eastAsia="宋体"/>
          <w:szCs w:val="22"/>
          <w:lang w:eastAsia="zh-CN"/>
        </w:rPr>
      </w:pPr>
      <w:r>
        <w:rPr>
          <w:rFonts w:hAnsi="Times New Roman" w:eastAsia="宋体"/>
          <w:szCs w:val="22"/>
          <w:lang w:eastAsia="zh-CN"/>
        </w:rPr>
        <w:t>附图1</w:t>
      </w:r>
      <w:r>
        <w:rPr>
          <w:rFonts w:hint="eastAsia" w:hAnsi="Times New Roman" w:eastAsia="宋体"/>
          <w:szCs w:val="22"/>
          <w:lang w:eastAsia="zh-CN"/>
        </w:rPr>
        <w:t>3</w:t>
      </w:r>
      <w:r>
        <w:rPr>
          <w:rFonts w:hAnsi="Times New Roman" w:eastAsia="宋体"/>
          <w:szCs w:val="22"/>
          <w:lang w:eastAsia="zh-CN"/>
        </w:rPr>
        <w:t xml:space="preserve"> 区域地质图</w:t>
      </w:r>
    </w:p>
    <w:p>
      <w:pPr>
        <w:spacing w:line="360" w:lineRule="exact"/>
        <w:ind w:firstLine="480" w:firstLineChars="200"/>
        <w:rPr>
          <w:rFonts w:hAnsi="Times New Roman" w:eastAsia="宋体"/>
          <w:szCs w:val="22"/>
          <w:lang w:eastAsia="zh-CN"/>
        </w:rPr>
      </w:pPr>
      <w:r>
        <w:rPr>
          <w:rFonts w:hAnsi="Times New Roman" w:eastAsia="宋体"/>
          <w:szCs w:val="22"/>
          <w:lang w:eastAsia="zh-CN"/>
        </w:rPr>
        <w:t>附图1</w:t>
      </w:r>
      <w:r>
        <w:rPr>
          <w:rFonts w:hint="eastAsia" w:hAnsi="Times New Roman" w:eastAsia="宋体"/>
          <w:szCs w:val="22"/>
          <w:lang w:eastAsia="zh-CN"/>
        </w:rPr>
        <w:t>4</w:t>
      </w:r>
      <w:r>
        <w:rPr>
          <w:rFonts w:hAnsi="Times New Roman" w:eastAsia="宋体"/>
          <w:szCs w:val="22"/>
          <w:lang w:eastAsia="zh-CN"/>
        </w:rPr>
        <w:t xml:space="preserve"> 区域水文地质图</w:t>
      </w:r>
    </w:p>
    <w:p>
      <w:pPr>
        <w:spacing w:line="360" w:lineRule="exact"/>
        <w:ind w:firstLine="480" w:firstLineChars="200"/>
        <w:rPr>
          <w:rFonts w:hAnsi="Times New Roman" w:eastAsia="宋体"/>
          <w:szCs w:val="22"/>
          <w:lang w:eastAsia="zh-CN"/>
        </w:rPr>
      </w:pPr>
      <w:r>
        <w:rPr>
          <w:rFonts w:hAnsi="Times New Roman" w:eastAsia="宋体"/>
          <w:szCs w:val="22"/>
          <w:lang w:eastAsia="zh-CN"/>
        </w:rPr>
        <w:t>附图1</w:t>
      </w:r>
      <w:r>
        <w:rPr>
          <w:rFonts w:hint="eastAsia" w:hAnsi="Times New Roman" w:eastAsia="宋体"/>
          <w:szCs w:val="22"/>
          <w:lang w:eastAsia="zh-CN"/>
        </w:rPr>
        <w:t>5</w:t>
      </w:r>
      <w:r>
        <w:rPr>
          <w:rFonts w:hAnsi="Times New Roman" w:eastAsia="宋体"/>
          <w:szCs w:val="22"/>
          <w:lang w:eastAsia="zh-CN"/>
        </w:rPr>
        <w:t xml:space="preserve"> 项目所在地生态红线图</w:t>
      </w:r>
    </w:p>
    <w:p>
      <w:pPr>
        <w:spacing w:line="360" w:lineRule="exact"/>
        <w:ind w:firstLine="480" w:firstLineChars="200"/>
        <w:rPr>
          <w:rFonts w:hAnsi="Times New Roman" w:eastAsia="宋体"/>
          <w:szCs w:val="22"/>
          <w:lang w:eastAsia="zh-CN"/>
        </w:rPr>
      </w:pPr>
      <w:r>
        <w:rPr>
          <w:rFonts w:hAnsi="Times New Roman" w:eastAsia="宋体"/>
          <w:szCs w:val="22"/>
          <w:lang w:eastAsia="zh-CN"/>
        </w:rPr>
        <w:t>附图1</w:t>
      </w:r>
      <w:r>
        <w:rPr>
          <w:rFonts w:hint="eastAsia" w:hAnsi="Times New Roman" w:eastAsia="宋体"/>
          <w:szCs w:val="22"/>
          <w:lang w:eastAsia="zh-CN"/>
        </w:rPr>
        <w:t>6</w:t>
      </w:r>
      <w:r>
        <w:rPr>
          <w:rFonts w:hAnsi="Times New Roman" w:eastAsia="宋体"/>
          <w:szCs w:val="22"/>
          <w:lang w:eastAsia="zh-CN"/>
        </w:rPr>
        <w:t xml:space="preserve"> 项目所在地地表水系图</w:t>
      </w:r>
    </w:p>
    <w:p>
      <w:pPr>
        <w:spacing w:line="360" w:lineRule="exact"/>
        <w:ind w:firstLine="480" w:firstLineChars="200"/>
        <w:rPr>
          <w:rFonts w:hAnsi="Times New Roman" w:eastAsia="宋体"/>
          <w:szCs w:val="22"/>
          <w:lang w:eastAsia="zh-CN"/>
        </w:rPr>
      </w:pPr>
      <w:r>
        <w:rPr>
          <w:rFonts w:hAnsi="Times New Roman" w:eastAsia="宋体"/>
          <w:szCs w:val="22"/>
          <w:lang w:eastAsia="zh-CN"/>
        </w:rPr>
        <w:t>附图1</w:t>
      </w:r>
      <w:r>
        <w:rPr>
          <w:rFonts w:hint="eastAsia" w:hAnsi="Times New Roman" w:eastAsia="宋体"/>
          <w:szCs w:val="22"/>
          <w:lang w:eastAsia="zh-CN"/>
        </w:rPr>
        <w:t>7</w:t>
      </w:r>
      <w:r>
        <w:rPr>
          <w:rFonts w:hAnsi="Times New Roman" w:eastAsia="宋体"/>
          <w:szCs w:val="22"/>
          <w:lang w:eastAsia="zh-CN"/>
        </w:rPr>
        <w:t xml:space="preserve"> 项目与</w:t>
      </w:r>
      <w:r>
        <w:rPr>
          <w:rFonts w:hint="eastAsia" w:hAnsi="Times New Roman" w:eastAsia="宋体"/>
          <w:szCs w:val="22"/>
          <w:lang w:eastAsia="zh-CN"/>
        </w:rPr>
        <w:t>宣汉县</w:t>
      </w:r>
      <w:r>
        <w:rPr>
          <w:rFonts w:hAnsi="Times New Roman" w:eastAsia="宋体"/>
          <w:szCs w:val="22"/>
          <w:lang w:eastAsia="zh-CN"/>
        </w:rPr>
        <w:t>天生镇</w:t>
      </w:r>
      <w:r>
        <w:rPr>
          <w:rFonts w:hint="eastAsia" w:hAnsi="Times New Roman" w:eastAsia="宋体"/>
          <w:szCs w:val="22"/>
          <w:lang w:eastAsia="zh-CN"/>
        </w:rPr>
        <w:t>王一庙</w:t>
      </w:r>
      <w:r>
        <w:rPr>
          <w:rFonts w:hAnsi="Times New Roman" w:eastAsia="宋体"/>
          <w:szCs w:val="22"/>
          <w:lang w:eastAsia="zh-CN"/>
        </w:rPr>
        <w:t>水源</w:t>
      </w:r>
      <w:r>
        <w:rPr>
          <w:rFonts w:hint="eastAsia" w:hAnsi="Times New Roman" w:eastAsia="宋体"/>
          <w:szCs w:val="22"/>
          <w:lang w:eastAsia="zh-CN"/>
        </w:rPr>
        <w:t>地</w:t>
      </w:r>
      <w:r>
        <w:rPr>
          <w:rFonts w:hAnsi="Times New Roman" w:eastAsia="宋体"/>
          <w:szCs w:val="22"/>
          <w:lang w:eastAsia="zh-CN"/>
        </w:rPr>
        <w:t>位置关系图</w:t>
      </w:r>
    </w:p>
    <w:p>
      <w:pPr>
        <w:spacing w:line="360" w:lineRule="exact"/>
        <w:ind w:firstLine="480" w:firstLineChars="200"/>
        <w:rPr>
          <w:rFonts w:hAnsi="Times New Roman" w:eastAsia="宋体"/>
          <w:szCs w:val="22"/>
          <w:lang w:eastAsia="zh-CN"/>
        </w:rPr>
      </w:pPr>
      <w:r>
        <w:rPr>
          <w:rFonts w:hAnsi="Times New Roman" w:eastAsia="宋体"/>
          <w:szCs w:val="22"/>
          <w:lang w:eastAsia="zh-CN"/>
        </w:rPr>
        <w:t>附图</w:t>
      </w:r>
      <w:r>
        <w:rPr>
          <w:rFonts w:hint="eastAsia" w:hAnsi="Times New Roman" w:eastAsia="宋体"/>
          <w:szCs w:val="22"/>
          <w:lang w:eastAsia="zh-CN"/>
        </w:rPr>
        <w:t>18</w:t>
      </w:r>
      <w:r>
        <w:rPr>
          <w:rFonts w:hAnsi="Times New Roman" w:eastAsia="宋体"/>
          <w:szCs w:val="22"/>
          <w:lang w:eastAsia="zh-CN"/>
        </w:rPr>
        <w:t xml:space="preserve"> </w:t>
      </w:r>
      <w:r>
        <w:rPr>
          <w:rFonts w:hint="eastAsia" w:hAnsi="Times New Roman" w:eastAsia="宋体"/>
          <w:szCs w:val="22"/>
          <w:lang w:eastAsia="zh-CN"/>
        </w:rPr>
        <w:t>七里峡煤矿首采区沉陷等值线</w:t>
      </w:r>
      <w:r>
        <w:rPr>
          <w:rFonts w:hAnsi="Times New Roman" w:eastAsia="宋体"/>
          <w:szCs w:val="22"/>
          <w:lang w:eastAsia="zh-CN"/>
        </w:rPr>
        <w:t>图</w:t>
      </w:r>
    </w:p>
    <w:p>
      <w:pPr>
        <w:spacing w:line="360" w:lineRule="exact"/>
        <w:ind w:firstLine="480" w:firstLineChars="200"/>
        <w:rPr>
          <w:rFonts w:hAnsi="Times New Roman" w:eastAsia="宋体"/>
          <w:szCs w:val="22"/>
          <w:lang w:eastAsia="zh-CN"/>
        </w:rPr>
      </w:pPr>
      <w:r>
        <w:rPr>
          <w:rFonts w:hAnsi="Times New Roman" w:eastAsia="宋体"/>
          <w:szCs w:val="22"/>
          <w:lang w:eastAsia="zh-CN"/>
        </w:rPr>
        <w:t>附图</w:t>
      </w:r>
      <w:r>
        <w:rPr>
          <w:rFonts w:hint="eastAsia" w:hAnsi="Times New Roman" w:eastAsia="宋体"/>
          <w:szCs w:val="22"/>
          <w:lang w:eastAsia="zh-CN"/>
        </w:rPr>
        <w:t>19</w:t>
      </w:r>
      <w:r>
        <w:rPr>
          <w:rFonts w:hAnsi="Times New Roman" w:eastAsia="宋体"/>
          <w:szCs w:val="22"/>
          <w:lang w:eastAsia="zh-CN"/>
        </w:rPr>
        <w:t xml:space="preserve"> </w:t>
      </w:r>
      <w:r>
        <w:rPr>
          <w:rFonts w:hint="eastAsia" w:hAnsi="Times New Roman" w:eastAsia="宋体"/>
          <w:szCs w:val="22"/>
          <w:lang w:eastAsia="zh-CN"/>
        </w:rPr>
        <w:t>七里峡煤矿全井田沉陷等值线</w:t>
      </w:r>
      <w:r>
        <w:rPr>
          <w:rFonts w:hAnsi="Times New Roman" w:eastAsia="宋体"/>
          <w:szCs w:val="22"/>
          <w:lang w:eastAsia="zh-CN"/>
        </w:rPr>
        <w:t>图</w:t>
      </w:r>
    </w:p>
    <w:p>
      <w:pPr>
        <w:spacing w:line="360" w:lineRule="exact"/>
        <w:ind w:firstLine="480" w:firstLineChars="200"/>
        <w:rPr>
          <w:rFonts w:hAnsi="Times New Roman" w:eastAsia="宋体"/>
          <w:szCs w:val="22"/>
          <w:lang w:eastAsia="zh-CN"/>
        </w:rPr>
      </w:pPr>
      <w:r>
        <w:rPr>
          <w:rFonts w:hint="eastAsia" w:hAnsi="Times New Roman" w:eastAsia="宋体"/>
          <w:szCs w:val="22"/>
          <w:lang w:eastAsia="zh-CN"/>
        </w:rPr>
        <w:t>附图</w:t>
      </w:r>
      <w:r>
        <w:rPr>
          <w:rFonts w:hAnsi="Times New Roman" w:eastAsia="宋体"/>
          <w:szCs w:val="22"/>
          <w:lang w:eastAsia="zh-CN"/>
        </w:rPr>
        <w:t>2</w:t>
      </w:r>
      <w:r>
        <w:rPr>
          <w:rFonts w:hint="eastAsia" w:hAnsi="Times New Roman" w:eastAsia="宋体"/>
          <w:szCs w:val="22"/>
          <w:lang w:eastAsia="zh-CN"/>
        </w:rPr>
        <w:t>0</w:t>
      </w:r>
      <w:r>
        <w:rPr>
          <w:rFonts w:hAnsi="Times New Roman" w:eastAsia="宋体"/>
          <w:szCs w:val="22"/>
          <w:lang w:eastAsia="zh-CN"/>
        </w:rPr>
        <w:t xml:space="preserve"> </w:t>
      </w:r>
      <w:r>
        <w:rPr>
          <w:rFonts w:hint="eastAsia" w:hAnsi="Times New Roman" w:eastAsia="宋体"/>
          <w:szCs w:val="22"/>
          <w:lang w:eastAsia="zh-CN"/>
        </w:rPr>
        <w:t>评价区动植物样方样线调查图</w:t>
      </w:r>
    </w:p>
    <w:p>
      <w:pPr>
        <w:spacing w:line="360" w:lineRule="exact"/>
        <w:ind w:firstLine="480" w:firstLineChars="200"/>
        <w:rPr>
          <w:rFonts w:hAnsi="Times New Roman" w:eastAsia="宋体"/>
          <w:szCs w:val="22"/>
          <w:lang w:eastAsia="zh-CN"/>
        </w:rPr>
      </w:pPr>
      <w:r>
        <w:rPr>
          <w:rFonts w:hint="eastAsia" w:hAnsi="Times New Roman" w:eastAsia="宋体"/>
          <w:szCs w:val="22"/>
          <w:lang w:eastAsia="zh-CN"/>
        </w:rPr>
        <w:t>附图</w:t>
      </w:r>
      <w:r>
        <w:rPr>
          <w:rFonts w:hAnsi="Times New Roman" w:eastAsia="宋体"/>
          <w:szCs w:val="22"/>
          <w:lang w:eastAsia="zh-CN"/>
        </w:rPr>
        <w:t>2</w:t>
      </w:r>
      <w:r>
        <w:rPr>
          <w:rFonts w:hint="eastAsia" w:hAnsi="Times New Roman" w:eastAsia="宋体"/>
          <w:szCs w:val="22"/>
          <w:lang w:eastAsia="zh-CN"/>
        </w:rPr>
        <w:t>1</w:t>
      </w:r>
      <w:r>
        <w:rPr>
          <w:rFonts w:hAnsi="Times New Roman" w:eastAsia="宋体"/>
          <w:szCs w:val="22"/>
          <w:lang w:eastAsia="zh-CN"/>
        </w:rPr>
        <w:t xml:space="preserve"> </w:t>
      </w:r>
      <w:r>
        <w:rPr>
          <w:rFonts w:hint="eastAsia" w:hAnsi="Times New Roman" w:eastAsia="宋体"/>
          <w:szCs w:val="22"/>
          <w:lang w:eastAsia="zh-CN"/>
        </w:rPr>
        <w:t>评价区生态系统类型图</w:t>
      </w:r>
    </w:p>
    <w:p>
      <w:pPr>
        <w:spacing w:line="360" w:lineRule="exact"/>
        <w:ind w:firstLine="480" w:firstLineChars="200"/>
        <w:rPr>
          <w:rFonts w:hAnsi="Times New Roman" w:eastAsia="宋体"/>
          <w:szCs w:val="22"/>
          <w:lang w:eastAsia="zh-CN"/>
        </w:rPr>
      </w:pPr>
      <w:r>
        <w:rPr>
          <w:rFonts w:hint="eastAsia" w:hAnsi="Times New Roman" w:eastAsia="宋体"/>
          <w:szCs w:val="22"/>
          <w:lang w:eastAsia="zh-CN"/>
        </w:rPr>
        <w:t>附图</w:t>
      </w:r>
      <w:r>
        <w:rPr>
          <w:rFonts w:hAnsi="Times New Roman" w:eastAsia="宋体"/>
          <w:szCs w:val="22"/>
          <w:lang w:eastAsia="zh-CN"/>
        </w:rPr>
        <w:t>2</w:t>
      </w:r>
      <w:r>
        <w:rPr>
          <w:rFonts w:hint="eastAsia" w:hAnsi="Times New Roman" w:eastAsia="宋体"/>
          <w:szCs w:val="22"/>
          <w:lang w:eastAsia="zh-CN"/>
        </w:rPr>
        <w:t>2</w:t>
      </w:r>
      <w:r>
        <w:rPr>
          <w:rFonts w:hAnsi="Times New Roman" w:eastAsia="宋体"/>
          <w:szCs w:val="22"/>
          <w:lang w:eastAsia="zh-CN"/>
        </w:rPr>
        <w:t xml:space="preserve"> </w:t>
      </w:r>
      <w:r>
        <w:rPr>
          <w:rFonts w:hint="eastAsia" w:hAnsi="Times New Roman" w:eastAsia="宋体"/>
          <w:szCs w:val="22"/>
          <w:lang w:eastAsia="zh-CN"/>
        </w:rPr>
        <w:t>评价区土地利用类型图</w:t>
      </w:r>
    </w:p>
    <w:p>
      <w:pPr>
        <w:spacing w:line="360" w:lineRule="exact"/>
        <w:ind w:firstLine="480" w:firstLineChars="200"/>
        <w:rPr>
          <w:rFonts w:hAnsi="Times New Roman" w:eastAsia="宋体"/>
          <w:szCs w:val="22"/>
          <w:lang w:eastAsia="zh-CN"/>
        </w:rPr>
      </w:pPr>
      <w:r>
        <w:rPr>
          <w:rFonts w:hint="eastAsia" w:hAnsi="Times New Roman" w:eastAsia="宋体"/>
          <w:szCs w:val="22"/>
          <w:lang w:eastAsia="zh-CN"/>
        </w:rPr>
        <w:t>附图</w:t>
      </w:r>
      <w:r>
        <w:rPr>
          <w:rFonts w:hAnsi="Times New Roman" w:eastAsia="宋体"/>
          <w:szCs w:val="22"/>
          <w:lang w:eastAsia="zh-CN"/>
        </w:rPr>
        <w:t>2</w:t>
      </w:r>
      <w:r>
        <w:rPr>
          <w:rFonts w:hint="eastAsia" w:hAnsi="Times New Roman" w:eastAsia="宋体"/>
          <w:szCs w:val="22"/>
          <w:lang w:eastAsia="zh-CN"/>
        </w:rPr>
        <w:t>3</w:t>
      </w:r>
      <w:r>
        <w:rPr>
          <w:rFonts w:hAnsi="Times New Roman" w:eastAsia="宋体"/>
          <w:szCs w:val="22"/>
          <w:lang w:eastAsia="zh-CN"/>
        </w:rPr>
        <w:t xml:space="preserve"> </w:t>
      </w:r>
      <w:r>
        <w:rPr>
          <w:rFonts w:hint="eastAsia" w:hAnsi="Times New Roman" w:eastAsia="宋体"/>
          <w:szCs w:val="22"/>
          <w:lang w:eastAsia="zh-CN"/>
        </w:rPr>
        <w:t>评价区植被类型图</w:t>
      </w:r>
    </w:p>
    <w:p>
      <w:pPr>
        <w:spacing w:line="360" w:lineRule="exact"/>
        <w:ind w:firstLine="480" w:firstLineChars="200"/>
        <w:rPr>
          <w:rFonts w:hAnsi="Times New Roman" w:eastAsia="宋体"/>
          <w:szCs w:val="22"/>
          <w:lang w:eastAsia="zh-CN"/>
        </w:rPr>
      </w:pPr>
      <w:r>
        <w:rPr>
          <w:rFonts w:hint="eastAsia" w:hAnsi="Times New Roman" w:eastAsia="宋体"/>
          <w:szCs w:val="22"/>
          <w:lang w:eastAsia="zh-CN"/>
        </w:rPr>
        <w:t>附图</w:t>
      </w:r>
      <w:r>
        <w:rPr>
          <w:rFonts w:hAnsi="Times New Roman" w:eastAsia="宋体"/>
          <w:szCs w:val="22"/>
          <w:lang w:eastAsia="zh-CN"/>
        </w:rPr>
        <w:t>2</w:t>
      </w:r>
      <w:r>
        <w:rPr>
          <w:rFonts w:hint="eastAsia" w:hAnsi="Times New Roman" w:eastAsia="宋体"/>
          <w:szCs w:val="22"/>
          <w:lang w:eastAsia="zh-CN"/>
        </w:rPr>
        <w:t>4</w:t>
      </w:r>
      <w:r>
        <w:rPr>
          <w:rFonts w:hAnsi="Times New Roman" w:eastAsia="宋体"/>
          <w:szCs w:val="22"/>
          <w:lang w:eastAsia="zh-CN"/>
        </w:rPr>
        <w:t xml:space="preserve"> </w:t>
      </w:r>
      <w:r>
        <w:rPr>
          <w:rFonts w:hint="eastAsia" w:hAnsi="Times New Roman" w:eastAsia="宋体"/>
          <w:szCs w:val="22"/>
          <w:lang w:eastAsia="zh-CN"/>
        </w:rPr>
        <w:t>评价区植被覆盖度空间分布图</w:t>
      </w:r>
    </w:p>
    <w:p>
      <w:pPr>
        <w:spacing w:line="360" w:lineRule="exact"/>
        <w:ind w:firstLine="480" w:firstLineChars="200"/>
        <w:rPr>
          <w:rFonts w:hAnsi="Times New Roman" w:eastAsia="宋体"/>
          <w:szCs w:val="22"/>
          <w:lang w:eastAsia="zh-CN"/>
        </w:rPr>
      </w:pPr>
      <w:r>
        <w:rPr>
          <w:rFonts w:hint="eastAsia" w:hAnsi="Times New Roman" w:eastAsia="宋体"/>
          <w:szCs w:val="22"/>
          <w:lang w:eastAsia="zh-CN"/>
        </w:rPr>
        <w:t>附图</w:t>
      </w:r>
      <w:r>
        <w:rPr>
          <w:rFonts w:hAnsi="Times New Roman" w:eastAsia="宋体"/>
          <w:szCs w:val="22"/>
          <w:lang w:eastAsia="zh-CN"/>
        </w:rPr>
        <w:t>2</w:t>
      </w:r>
      <w:r>
        <w:rPr>
          <w:rFonts w:hint="eastAsia" w:hAnsi="Times New Roman" w:eastAsia="宋体"/>
          <w:szCs w:val="22"/>
          <w:lang w:eastAsia="zh-CN"/>
        </w:rPr>
        <w:t>5</w:t>
      </w:r>
      <w:r>
        <w:rPr>
          <w:rFonts w:hAnsi="Times New Roman" w:eastAsia="宋体"/>
          <w:szCs w:val="22"/>
          <w:lang w:eastAsia="zh-CN"/>
        </w:rPr>
        <w:t xml:space="preserve"> </w:t>
      </w:r>
      <w:r>
        <w:rPr>
          <w:rFonts w:hint="eastAsia" w:hAnsi="Times New Roman" w:eastAsia="宋体"/>
          <w:szCs w:val="22"/>
          <w:lang w:eastAsia="zh-CN"/>
        </w:rPr>
        <w:t>评价范围内公益林分布图</w:t>
      </w:r>
    </w:p>
    <w:p>
      <w:pPr>
        <w:spacing w:line="360" w:lineRule="exact"/>
        <w:ind w:firstLine="480" w:firstLineChars="200"/>
        <w:rPr>
          <w:rFonts w:hAnsi="Times New Roman" w:eastAsia="宋体"/>
          <w:szCs w:val="22"/>
          <w:lang w:eastAsia="zh-CN"/>
        </w:rPr>
      </w:pPr>
      <w:r>
        <w:rPr>
          <w:rFonts w:hint="eastAsia" w:hAnsi="Times New Roman" w:eastAsia="宋体"/>
          <w:szCs w:val="22"/>
          <w:lang w:eastAsia="zh-CN"/>
        </w:rPr>
        <w:t>附图</w:t>
      </w:r>
      <w:r>
        <w:rPr>
          <w:rFonts w:hAnsi="Times New Roman" w:eastAsia="宋体"/>
          <w:szCs w:val="22"/>
          <w:lang w:eastAsia="zh-CN"/>
        </w:rPr>
        <w:t>2</w:t>
      </w:r>
      <w:r>
        <w:rPr>
          <w:rFonts w:hint="eastAsia" w:hAnsi="Times New Roman" w:eastAsia="宋体"/>
          <w:szCs w:val="22"/>
          <w:lang w:eastAsia="zh-CN"/>
        </w:rPr>
        <w:t>6</w:t>
      </w:r>
      <w:r>
        <w:rPr>
          <w:rFonts w:hAnsi="Times New Roman" w:eastAsia="宋体"/>
          <w:szCs w:val="22"/>
          <w:lang w:eastAsia="zh-CN"/>
        </w:rPr>
        <w:t xml:space="preserve"> </w:t>
      </w:r>
      <w:r>
        <w:rPr>
          <w:rFonts w:hint="eastAsia" w:hAnsi="Times New Roman" w:eastAsia="宋体"/>
          <w:szCs w:val="22"/>
          <w:lang w:eastAsia="zh-CN"/>
        </w:rPr>
        <w:t>评价区生态监测点位图</w:t>
      </w:r>
    </w:p>
    <w:p>
      <w:pPr>
        <w:spacing w:line="360" w:lineRule="exact"/>
        <w:ind w:firstLine="480" w:firstLineChars="200"/>
        <w:rPr>
          <w:rFonts w:hAnsi="Times New Roman" w:eastAsia="宋体"/>
          <w:szCs w:val="22"/>
          <w:lang w:eastAsia="zh-CN"/>
        </w:rPr>
      </w:pPr>
      <w:r>
        <w:rPr>
          <w:rFonts w:hint="eastAsia" w:hAnsi="Times New Roman" w:eastAsia="宋体"/>
          <w:szCs w:val="22"/>
          <w:lang w:eastAsia="zh-CN"/>
        </w:rPr>
        <w:t>附图</w:t>
      </w:r>
      <w:r>
        <w:rPr>
          <w:rFonts w:hAnsi="Times New Roman" w:eastAsia="宋体"/>
          <w:szCs w:val="22"/>
          <w:lang w:eastAsia="zh-CN"/>
        </w:rPr>
        <w:t>2</w:t>
      </w:r>
      <w:r>
        <w:rPr>
          <w:rFonts w:hint="eastAsia" w:hAnsi="Times New Roman" w:eastAsia="宋体"/>
          <w:szCs w:val="22"/>
          <w:lang w:eastAsia="zh-CN"/>
        </w:rPr>
        <w:t>7</w:t>
      </w:r>
      <w:r>
        <w:rPr>
          <w:rFonts w:hAnsi="Times New Roman" w:eastAsia="宋体"/>
          <w:szCs w:val="22"/>
          <w:lang w:eastAsia="zh-CN"/>
        </w:rPr>
        <w:t xml:space="preserve"> </w:t>
      </w:r>
      <w:r>
        <w:rPr>
          <w:rFonts w:hint="eastAsia" w:hAnsi="Times New Roman" w:eastAsia="宋体"/>
          <w:szCs w:val="22"/>
          <w:lang w:eastAsia="zh-CN"/>
        </w:rPr>
        <w:t>评价区重要物种适生区预测图</w:t>
      </w:r>
    </w:p>
    <w:p>
      <w:pPr>
        <w:spacing w:line="360" w:lineRule="exact"/>
        <w:ind w:firstLine="480" w:firstLineChars="200"/>
        <w:rPr>
          <w:rFonts w:hAnsi="Times New Roman" w:eastAsia="宋体"/>
          <w:szCs w:val="22"/>
          <w:lang w:eastAsia="zh-CN"/>
        </w:rPr>
      </w:pPr>
      <w:r>
        <w:rPr>
          <w:rFonts w:hint="eastAsia" w:hAnsi="Times New Roman" w:eastAsia="宋体"/>
          <w:szCs w:val="22"/>
          <w:lang w:eastAsia="zh-CN"/>
        </w:rPr>
        <w:t>附图</w:t>
      </w:r>
      <w:r>
        <w:rPr>
          <w:rFonts w:hAnsi="Times New Roman" w:eastAsia="宋体"/>
          <w:szCs w:val="22"/>
          <w:lang w:eastAsia="zh-CN"/>
        </w:rPr>
        <w:t>2</w:t>
      </w:r>
      <w:r>
        <w:rPr>
          <w:rFonts w:hint="eastAsia" w:hAnsi="Times New Roman" w:eastAsia="宋体"/>
          <w:szCs w:val="22"/>
          <w:lang w:eastAsia="zh-CN"/>
        </w:rPr>
        <w:t>8</w:t>
      </w:r>
      <w:r>
        <w:rPr>
          <w:rFonts w:hAnsi="Times New Roman" w:eastAsia="宋体"/>
          <w:szCs w:val="22"/>
          <w:lang w:eastAsia="zh-CN"/>
        </w:rPr>
        <w:t xml:space="preserve"> </w:t>
      </w:r>
      <w:r>
        <w:rPr>
          <w:rFonts w:hint="eastAsia" w:hAnsi="Times New Roman" w:eastAsia="宋体"/>
          <w:szCs w:val="22"/>
          <w:lang w:eastAsia="zh-CN"/>
        </w:rPr>
        <w:t>评价区典型生态保护措施平面图</w:t>
      </w:r>
    </w:p>
    <w:p>
      <w:pPr>
        <w:spacing w:line="390" w:lineRule="exact"/>
        <w:ind w:firstLine="480" w:firstLineChars="200"/>
        <w:rPr>
          <w:rFonts w:hAnsi="Times New Roman" w:eastAsia="宋体"/>
          <w:szCs w:val="22"/>
          <w:lang w:eastAsia="zh-CN"/>
        </w:rPr>
      </w:pPr>
      <w:r>
        <w:rPr>
          <w:rFonts w:hAnsi="Times New Roman" w:eastAsia="宋体"/>
          <w:szCs w:val="22"/>
          <w:lang w:eastAsia="zh-CN"/>
        </w:rPr>
        <w:br w:type="page"/>
      </w:r>
      <w:r>
        <w:rPr>
          <w:rFonts w:hAnsi="Times New Roman" w:eastAsia="宋体"/>
          <w:b/>
          <w:bCs/>
          <w:szCs w:val="22"/>
          <w:lang w:eastAsia="zh-CN"/>
        </w:rPr>
        <w:t>附件</w:t>
      </w:r>
    </w:p>
    <w:p>
      <w:pPr>
        <w:spacing w:line="390" w:lineRule="exact"/>
        <w:ind w:firstLine="480" w:firstLineChars="200"/>
        <w:rPr>
          <w:rFonts w:hAnsi="Times New Roman" w:eastAsia="宋体"/>
          <w:szCs w:val="22"/>
          <w:lang w:eastAsia="zh-CN"/>
        </w:rPr>
      </w:pPr>
      <w:r>
        <w:rPr>
          <w:rFonts w:hAnsi="Times New Roman" w:eastAsia="宋体"/>
          <w:szCs w:val="22"/>
          <w:lang w:eastAsia="zh-CN"/>
        </w:rPr>
        <w:t>附件1 环评委托书</w:t>
      </w:r>
    </w:p>
    <w:p>
      <w:pPr>
        <w:spacing w:line="390" w:lineRule="exact"/>
        <w:ind w:firstLine="480" w:firstLineChars="200"/>
        <w:rPr>
          <w:rFonts w:hAnsi="Times New Roman" w:eastAsia="宋体"/>
          <w:szCs w:val="22"/>
          <w:lang w:eastAsia="zh-CN"/>
        </w:rPr>
      </w:pPr>
      <w:r>
        <w:rPr>
          <w:rFonts w:hAnsi="Times New Roman" w:eastAsia="宋体"/>
          <w:szCs w:val="22"/>
          <w:lang w:eastAsia="zh-CN"/>
        </w:rPr>
        <w:t>附件2 营业执照副本</w:t>
      </w:r>
    </w:p>
    <w:p>
      <w:pPr>
        <w:spacing w:line="390" w:lineRule="exact"/>
        <w:ind w:firstLine="480" w:firstLineChars="200"/>
        <w:rPr>
          <w:rFonts w:hAnsi="Times New Roman" w:eastAsia="宋体"/>
          <w:szCs w:val="22"/>
          <w:lang w:eastAsia="zh-CN"/>
        </w:rPr>
      </w:pPr>
      <w:r>
        <w:rPr>
          <w:rFonts w:hAnsi="Times New Roman" w:eastAsia="宋体"/>
          <w:szCs w:val="22"/>
          <w:lang w:eastAsia="zh-CN"/>
        </w:rPr>
        <w:t>附件3 采矿许可证副本</w:t>
      </w:r>
    </w:p>
    <w:p>
      <w:pPr>
        <w:spacing w:line="390" w:lineRule="exact"/>
        <w:ind w:firstLine="480" w:firstLineChars="200"/>
        <w:rPr>
          <w:rFonts w:hAnsi="Times New Roman" w:eastAsia="宋体"/>
          <w:szCs w:val="22"/>
          <w:lang w:eastAsia="zh-CN"/>
        </w:rPr>
      </w:pPr>
      <w:r>
        <w:rPr>
          <w:rFonts w:hAnsi="Times New Roman" w:eastAsia="宋体"/>
          <w:szCs w:val="22"/>
          <w:lang w:eastAsia="zh-CN"/>
        </w:rPr>
        <w:t>附件4 安全生产许可证</w:t>
      </w:r>
    </w:p>
    <w:p>
      <w:pPr>
        <w:spacing w:line="390" w:lineRule="exact"/>
        <w:ind w:firstLine="480" w:firstLineChars="200"/>
        <w:rPr>
          <w:rFonts w:hAnsi="Times New Roman" w:eastAsia="宋体"/>
          <w:szCs w:val="22"/>
          <w:lang w:eastAsia="zh-CN"/>
        </w:rPr>
      </w:pPr>
      <w:r>
        <w:rPr>
          <w:rFonts w:hint="eastAsia" w:hAnsi="Times New Roman" w:eastAsia="宋体"/>
          <w:szCs w:val="22"/>
          <w:lang w:eastAsia="zh-CN"/>
        </w:rPr>
        <w:t>附件</w:t>
      </w:r>
      <w:r>
        <w:rPr>
          <w:rFonts w:hAnsi="Times New Roman" w:eastAsia="宋体"/>
          <w:szCs w:val="22"/>
          <w:lang w:eastAsia="zh-CN"/>
        </w:rPr>
        <w:t xml:space="preserve">5 </w:t>
      </w:r>
      <w:r>
        <w:rPr>
          <w:rFonts w:hint="eastAsia" w:hAnsi="Times New Roman" w:eastAsia="宋体"/>
          <w:szCs w:val="22"/>
          <w:lang w:eastAsia="zh-CN"/>
        </w:rPr>
        <w:t>关于达州市宣汉县七里峡煤业有限公司扩建项目安全审核意见的函（矿安川函〔</w:t>
      </w:r>
      <w:r>
        <w:rPr>
          <w:rFonts w:hAnsi="Times New Roman" w:eastAsia="宋体"/>
          <w:szCs w:val="22"/>
          <w:lang w:eastAsia="zh-CN"/>
        </w:rPr>
        <w:t>2021</w:t>
      </w:r>
      <w:r>
        <w:rPr>
          <w:rFonts w:hint="eastAsia" w:hAnsi="Times New Roman" w:eastAsia="宋体"/>
          <w:szCs w:val="22"/>
          <w:lang w:eastAsia="zh-CN"/>
        </w:rPr>
        <w:t>〕</w:t>
      </w:r>
      <w:r>
        <w:rPr>
          <w:rFonts w:hAnsi="Times New Roman" w:eastAsia="宋体"/>
          <w:szCs w:val="22"/>
          <w:lang w:eastAsia="zh-CN"/>
        </w:rPr>
        <w:t>15</w:t>
      </w:r>
      <w:r>
        <w:rPr>
          <w:rFonts w:hint="eastAsia" w:hAnsi="Times New Roman" w:eastAsia="宋体"/>
          <w:szCs w:val="22"/>
          <w:lang w:eastAsia="zh-CN"/>
        </w:rPr>
        <w:t>号）</w:t>
      </w:r>
    </w:p>
    <w:p>
      <w:pPr>
        <w:spacing w:line="390" w:lineRule="exact"/>
        <w:ind w:firstLine="480" w:firstLineChars="200"/>
        <w:rPr>
          <w:rFonts w:hAnsi="Times New Roman" w:eastAsia="宋体"/>
          <w:szCs w:val="22"/>
          <w:lang w:eastAsia="zh-CN"/>
        </w:rPr>
      </w:pPr>
      <w:r>
        <w:rPr>
          <w:rFonts w:hint="eastAsia" w:hAnsi="Times New Roman" w:eastAsia="宋体"/>
          <w:szCs w:val="22"/>
          <w:lang w:eastAsia="zh-CN"/>
        </w:rPr>
        <w:t>附件</w:t>
      </w:r>
      <w:r>
        <w:rPr>
          <w:rFonts w:hAnsi="Times New Roman" w:eastAsia="宋体"/>
          <w:szCs w:val="22"/>
          <w:lang w:eastAsia="zh-CN"/>
        </w:rPr>
        <w:t xml:space="preserve">6 </w:t>
      </w:r>
      <w:r>
        <w:rPr>
          <w:rFonts w:hint="eastAsia" w:hAnsi="Times New Roman" w:eastAsia="宋体"/>
          <w:szCs w:val="22"/>
          <w:lang w:eastAsia="zh-CN"/>
        </w:rPr>
        <w:t>林草局关于七里峡保留森林公园内主平硐巷道的批复</w:t>
      </w:r>
    </w:p>
    <w:p>
      <w:pPr>
        <w:spacing w:line="390" w:lineRule="exact"/>
        <w:ind w:firstLine="480" w:firstLineChars="200"/>
        <w:rPr>
          <w:rFonts w:hAnsi="Times New Roman" w:eastAsia="宋体"/>
          <w:szCs w:val="22"/>
          <w:lang w:eastAsia="zh-CN"/>
        </w:rPr>
      </w:pPr>
      <w:r>
        <w:rPr>
          <w:rFonts w:hint="eastAsia" w:hAnsi="Times New Roman" w:eastAsia="宋体"/>
          <w:szCs w:val="22"/>
          <w:lang w:eastAsia="zh-CN"/>
        </w:rPr>
        <w:t>附件</w:t>
      </w:r>
      <w:r>
        <w:rPr>
          <w:rFonts w:hAnsi="Times New Roman" w:eastAsia="宋体"/>
          <w:szCs w:val="22"/>
          <w:lang w:eastAsia="zh-CN"/>
        </w:rPr>
        <w:t xml:space="preserve">7 </w:t>
      </w:r>
      <w:r>
        <w:rPr>
          <w:rFonts w:hint="eastAsia" w:hAnsi="Times New Roman" w:eastAsia="宋体"/>
          <w:szCs w:val="22"/>
          <w:lang w:eastAsia="zh-CN"/>
        </w:rPr>
        <w:t>四川省发改委关于同意项目井田资源开发利用方式的函</w:t>
      </w:r>
    </w:p>
    <w:p>
      <w:pPr>
        <w:spacing w:line="390" w:lineRule="exact"/>
        <w:ind w:firstLine="480" w:firstLineChars="200"/>
        <w:rPr>
          <w:rFonts w:hAnsi="Times New Roman" w:eastAsia="宋体"/>
          <w:szCs w:val="22"/>
          <w:lang w:eastAsia="zh-CN"/>
        </w:rPr>
      </w:pPr>
      <w:r>
        <w:rPr>
          <w:rFonts w:hint="eastAsia" w:hAnsi="Times New Roman" w:eastAsia="宋体"/>
          <w:szCs w:val="22"/>
          <w:lang w:eastAsia="zh-CN"/>
        </w:rPr>
        <w:t>附件</w:t>
      </w:r>
      <w:r>
        <w:rPr>
          <w:rFonts w:hAnsi="Times New Roman" w:eastAsia="宋体"/>
          <w:szCs w:val="22"/>
          <w:lang w:eastAsia="zh-CN"/>
        </w:rPr>
        <w:t xml:space="preserve">8 </w:t>
      </w:r>
      <w:r>
        <w:rPr>
          <w:rFonts w:hint="eastAsia" w:hAnsi="Times New Roman" w:eastAsia="宋体"/>
          <w:szCs w:val="22"/>
          <w:lang w:eastAsia="zh-CN"/>
        </w:rPr>
        <w:t>四川省应急局关于核准项目的函</w:t>
      </w:r>
    </w:p>
    <w:p>
      <w:pPr>
        <w:spacing w:line="390" w:lineRule="exact"/>
        <w:ind w:firstLine="480" w:firstLineChars="200"/>
        <w:rPr>
          <w:rFonts w:hAnsi="Times New Roman" w:eastAsia="宋体"/>
          <w:szCs w:val="22"/>
          <w:lang w:eastAsia="zh-CN"/>
        </w:rPr>
      </w:pPr>
      <w:r>
        <w:rPr>
          <w:rFonts w:hint="eastAsia" w:hAnsi="Times New Roman" w:eastAsia="宋体"/>
          <w:szCs w:val="22"/>
          <w:lang w:eastAsia="zh-CN"/>
        </w:rPr>
        <w:t>附件</w:t>
      </w:r>
      <w:r>
        <w:rPr>
          <w:rFonts w:hAnsi="Times New Roman" w:eastAsia="宋体"/>
          <w:szCs w:val="22"/>
          <w:lang w:eastAsia="zh-CN"/>
        </w:rPr>
        <w:t xml:space="preserve">9 </w:t>
      </w:r>
      <w:r>
        <w:rPr>
          <w:rFonts w:hint="eastAsia" w:hAnsi="Times New Roman" w:eastAsia="宋体"/>
          <w:szCs w:val="22"/>
          <w:lang w:eastAsia="zh-CN"/>
        </w:rPr>
        <w:t>四川省</w:t>
      </w:r>
      <w:r>
        <w:rPr>
          <w:rFonts w:hAnsi="Times New Roman" w:eastAsia="宋体"/>
          <w:szCs w:val="22"/>
          <w:lang w:eastAsia="zh-CN"/>
        </w:rPr>
        <w:t>30</w:t>
      </w:r>
      <w:r>
        <w:rPr>
          <w:rFonts w:hint="eastAsia" w:hAnsi="Times New Roman" w:eastAsia="宋体"/>
          <w:szCs w:val="22"/>
          <w:lang w:eastAsia="zh-CN"/>
        </w:rPr>
        <w:t>万吨年以下煤矿分类处置方案的通知及批复（川应急〔2020〕</w:t>
      </w:r>
      <w:r>
        <w:rPr>
          <w:rFonts w:hAnsi="Times New Roman" w:eastAsia="宋体"/>
          <w:szCs w:val="22"/>
          <w:lang w:eastAsia="zh-CN"/>
        </w:rPr>
        <w:t>31</w:t>
      </w:r>
      <w:r>
        <w:rPr>
          <w:rFonts w:hint="eastAsia" w:hAnsi="Times New Roman" w:eastAsia="宋体"/>
          <w:szCs w:val="22"/>
          <w:lang w:eastAsia="zh-CN"/>
        </w:rPr>
        <w:t>号、川府函〔</w:t>
      </w:r>
      <w:r>
        <w:rPr>
          <w:rFonts w:hint="eastAsia" w:hAnsi="Times New Roman" w:eastAsia="宋体"/>
          <w:szCs w:val="22"/>
          <w:lang w:val="en-US" w:eastAsia="zh-CN"/>
        </w:rPr>
        <w:t>2020</w:t>
      </w:r>
      <w:r>
        <w:rPr>
          <w:rFonts w:hint="eastAsia" w:hAnsi="Times New Roman" w:eastAsia="宋体"/>
          <w:szCs w:val="22"/>
          <w:lang w:eastAsia="zh-CN"/>
        </w:rPr>
        <w:t>〕</w:t>
      </w:r>
      <w:r>
        <w:rPr>
          <w:rFonts w:hAnsi="Times New Roman" w:eastAsia="宋体"/>
          <w:szCs w:val="22"/>
          <w:lang w:eastAsia="zh-CN"/>
        </w:rPr>
        <w:t>45</w:t>
      </w:r>
      <w:r>
        <w:rPr>
          <w:rFonts w:hint="eastAsia" w:hAnsi="Times New Roman" w:eastAsia="宋体"/>
          <w:szCs w:val="22"/>
          <w:lang w:eastAsia="zh-CN"/>
        </w:rPr>
        <w:t>号）</w:t>
      </w:r>
    </w:p>
    <w:p>
      <w:pPr>
        <w:spacing w:line="390" w:lineRule="exact"/>
        <w:ind w:firstLine="480" w:firstLineChars="200"/>
        <w:rPr>
          <w:rFonts w:hAnsi="Times New Roman" w:eastAsia="宋体"/>
          <w:szCs w:val="22"/>
          <w:lang w:eastAsia="zh-CN"/>
        </w:rPr>
      </w:pPr>
      <w:r>
        <w:rPr>
          <w:rFonts w:hint="eastAsia" w:hAnsi="Times New Roman" w:eastAsia="宋体"/>
          <w:szCs w:val="22"/>
          <w:lang w:eastAsia="zh-CN"/>
        </w:rPr>
        <w:t>附件</w:t>
      </w:r>
      <w:r>
        <w:rPr>
          <w:rFonts w:hAnsi="Times New Roman" w:eastAsia="宋体"/>
          <w:szCs w:val="22"/>
          <w:lang w:eastAsia="zh-CN"/>
        </w:rPr>
        <w:t xml:space="preserve">10 </w:t>
      </w:r>
      <w:r>
        <w:rPr>
          <w:rFonts w:hint="eastAsia" w:hAnsi="Times New Roman" w:eastAsia="宋体"/>
          <w:szCs w:val="22"/>
          <w:lang w:eastAsia="zh-CN"/>
        </w:rPr>
        <w:t>宣汉县七里峡煤矿、大路煤矿（南、北矿联合升级）</w:t>
      </w:r>
      <w:r>
        <w:rPr>
          <w:rFonts w:hAnsi="Times New Roman" w:eastAsia="宋体"/>
          <w:szCs w:val="22"/>
          <w:lang w:eastAsia="zh-CN"/>
        </w:rPr>
        <w:t>30</w:t>
      </w:r>
      <w:r>
        <w:rPr>
          <w:rFonts w:hint="eastAsia" w:hAnsi="Times New Roman" w:eastAsia="宋体"/>
          <w:szCs w:val="22"/>
          <w:lang w:eastAsia="zh-CN"/>
        </w:rPr>
        <w:t>万吨每年以下煤矿分类处置方案征求意见的复函（宣环函〔</w:t>
      </w:r>
      <w:r>
        <w:rPr>
          <w:rFonts w:hint="eastAsia" w:hAnsi="Times New Roman" w:eastAsia="宋体"/>
          <w:szCs w:val="22"/>
          <w:lang w:val="en-US" w:eastAsia="zh-CN"/>
        </w:rPr>
        <w:t>2020</w:t>
      </w:r>
      <w:r>
        <w:rPr>
          <w:rFonts w:hint="eastAsia" w:hAnsi="Times New Roman" w:eastAsia="宋体"/>
          <w:szCs w:val="22"/>
          <w:lang w:eastAsia="zh-CN"/>
        </w:rPr>
        <w:t>〕</w:t>
      </w:r>
      <w:r>
        <w:rPr>
          <w:rFonts w:hAnsi="Times New Roman" w:eastAsia="宋体"/>
          <w:szCs w:val="22"/>
          <w:lang w:eastAsia="zh-CN"/>
        </w:rPr>
        <w:t>32</w:t>
      </w:r>
      <w:r>
        <w:rPr>
          <w:rFonts w:hint="eastAsia" w:hAnsi="Times New Roman" w:eastAsia="宋体"/>
          <w:szCs w:val="22"/>
          <w:lang w:eastAsia="zh-CN"/>
        </w:rPr>
        <w:t>号）</w:t>
      </w:r>
    </w:p>
    <w:p>
      <w:pPr>
        <w:spacing w:line="390" w:lineRule="exact"/>
        <w:ind w:firstLine="480" w:firstLineChars="200"/>
        <w:rPr>
          <w:rFonts w:hAnsi="Times New Roman" w:eastAsia="宋体"/>
          <w:szCs w:val="22"/>
          <w:lang w:eastAsia="zh-CN"/>
        </w:rPr>
      </w:pPr>
      <w:r>
        <w:rPr>
          <w:rFonts w:hint="eastAsia" w:hAnsi="Times New Roman" w:eastAsia="宋体"/>
          <w:szCs w:val="22"/>
          <w:lang w:eastAsia="zh-CN"/>
        </w:rPr>
        <w:t>附件</w:t>
      </w:r>
      <w:r>
        <w:rPr>
          <w:rFonts w:hAnsi="Times New Roman" w:eastAsia="宋体"/>
          <w:szCs w:val="22"/>
          <w:lang w:eastAsia="zh-CN"/>
        </w:rPr>
        <w:t xml:space="preserve">11 </w:t>
      </w:r>
      <w:r>
        <w:rPr>
          <w:rFonts w:hint="eastAsia" w:hAnsi="Times New Roman" w:eastAsia="宋体"/>
          <w:szCs w:val="22"/>
          <w:lang w:eastAsia="zh-CN"/>
        </w:rPr>
        <w:t>宣汉县水务局关于宣汉县</w:t>
      </w:r>
      <w:r>
        <w:rPr>
          <w:rFonts w:hAnsi="Times New Roman" w:eastAsia="宋体"/>
          <w:szCs w:val="22"/>
          <w:lang w:eastAsia="zh-CN"/>
        </w:rPr>
        <w:t>30</w:t>
      </w:r>
      <w:r>
        <w:rPr>
          <w:rFonts w:hint="eastAsia" w:hAnsi="Times New Roman" w:eastAsia="宋体"/>
          <w:szCs w:val="22"/>
          <w:lang w:eastAsia="zh-CN"/>
        </w:rPr>
        <w:t>万吨年以下煤矿分类处置方案征求意见的回函（宣水务函〔</w:t>
      </w:r>
      <w:r>
        <w:rPr>
          <w:rFonts w:hAnsi="Times New Roman" w:eastAsia="宋体"/>
          <w:szCs w:val="22"/>
          <w:lang w:eastAsia="zh-CN"/>
        </w:rPr>
        <w:t>2020</w:t>
      </w:r>
      <w:r>
        <w:rPr>
          <w:rFonts w:hint="eastAsia" w:hAnsi="Times New Roman" w:eastAsia="宋体"/>
          <w:szCs w:val="22"/>
          <w:lang w:eastAsia="zh-CN"/>
        </w:rPr>
        <w:t>〕</w:t>
      </w:r>
      <w:r>
        <w:rPr>
          <w:rFonts w:hAnsi="Times New Roman" w:eastAsia="宋体"/>
          <w:szCs w:val="22"/>
          <w:lang w:eastAsia="zh-CN"/>
        </w:rPr>
        <w:t>38</w:t>
      </w:r>
      <w:r>
        <w:rPr>
          <w:rFonts w:hint="eastAsia" w:hAnsi="Times New Roman" w:eastAsia="宋体"/>
          <w:szCs w:val="22"/>
          <w:lang w:eastAsia="zh-CN"/>
        </w:rPr>
        <w:t>号）</w:t>
      </w:r>
    </w:p>
    <w:p>
      <w:pPr>
        <w:spacing w:line="390" w:lineRule="exact"/>
        <w:ind w:firstLine="480" w:firstLineChars="200"/>
        <w:rPr>
          <w:rFonts w:hAnsi="Times New Roman" w:eastAsia="宋体"/>
          <w:szCs w:val="22"/>
          <w:lang w:eastAsia="zh-CN"/>
        </w:rPr>
      </w:pPr>
      <w:r>
        <w:rPr>
          <w:rFonts w:hint="eastAsia" w:hAnsi="Times New Roman" w:eastAsia="宋体"/>
          <w:szCs w:val="22"/>
          <w:lang w:eastAsia="zh-CN"/>
        </w:rPr>
        <w:t>附件</w:t>
      </w:r>
      <w:r>
        <w:rPr>
          <w:rFonts w:hAnsi="Times New Roman" w:eastAsia="宋体"/>
          <w:szCs w:val="22"/>
          <w:lang w:eastAsia="zh-CN"/>
        </w:rPr>
        <w:t xml:space="preserve">12 </w:t>
      </w:r>
      <w:r>
        <w:rPr>
          <w:rFonts w:hint="eastAsia" w:hAnsi="Times New Roman" w:eastAsia="宋体"/>
          <w:szCs w:val="22"/>
          <w:lang w:eastAsia="zh-CN"/>
        </w:rPr>
        <w:t>宣汉县文化体育和旅游局关于宣汉县</w:t>
      </w:r>
      <w:r>
        <w:rPr>
          <w:rFonts w:hAnsi="Times New Roman" w:eastAsia="宋体"/>
          <w:szCs w:val="22"/>
          <w:lang w:eastAsia="zh-CN"/>
        </w:rPr>
        <w:t>30</w:t>
      </w:r>
      <w:r>
        <w:rPr>
          <w:rFonts w:hint="eastAsia" w:hAnsi="Times New Roman" w:eastAsia="宋体"/>
          <w:szCs w:val="22"/>
          <w:lang w:eastAsia="zh-CN"/>
        </w:rPr>
        <w:t>万吨年以下煤矿分类处置方案征求意见的函的复函（宣文体旅函〔</w:t>
      </w:r>
      <w:r>
        <w:rPr>
          <w:rFonts w:hAnsi="Times New Roman" w:eastAsia="宋体"/>
          <w:szCs w:val="22"/>
          <w:lang w:eastAsia="zh-CN"/>
        </w:rPr>
        <w:t>2020</w:t>
      </w:r>
      <w:r>
        <w:rPr>
          <w:rFonts w:hint="eastAsia" w:hAnsi="Times New Roman" w:eastAsia="宋体"/>
          <w:szCs w:val="22"/>
          <w:lang w:eastAsia="zh-CN"/>
        </w:rPr>
        <w:t>〕</w:t>
      </w:r>
      <w:r>
        <w:rPr>
          <w:rFonts w:hAnsi="Times New Roman" w:eastAsia="宋体"/>
          <w:szCs w:val="22"/>
          <w:lang w:eastAsia="zh-CN"/>
        </w:rPr>
        <w:t>97</w:t>
      </w:r>
      <w:r>
        <w:rPr>
          <w:rFonts w:hint="eastAsia" w:hAnsi="Times New Roman" w:eastAsia="宋体"/>
          <w:szCs w:val="22"/>
          <w:lang w:eastAsia="zh-CN"/>
        </w:rPr>
        <w:t>号</w:t>
      </w:r>
      <w:r>
        <w:rPr>
          <w:rFonts w:hAnsi="Times New Roman" w:eastAsia="宋体"/>
          <w:szCs w:val="22"/>
          <w:lang w:eastAsia="zh-CN"/>
        </w:rPr>
        <w:t xml:space="preserve"> </w:t>
      </w:r>
      <w:r>
        <w:rPr>
          <w:rFonts w:hint="eastAsia" w:hAnsi="Times New Roman" w:eastAsia="宋体"/>
          <w:szCs w:val="22"/>
          <w:lang w:eastAsia="zh-CN"/>
        </w:rPr>
        <w:t>）</w:t>
      </w:r>
    </w:p>
    <w:p>
      <w:pPr>
        <w:spacing w:line="390" w:lineRule="exact"/>
        <w:ind w:firstLine="480" w:firstLineChars="200"/>
        <w:rPr>
          <w:rFonts w:hAnsi="Times New Roman" w:eastAsia="宋体"/>
          <w:szCs w:val="22"/>
          <w:lang w:eastAsia="zh-CN"/>
        </w:rPr>
      </w:pPr>
      <w:r>
        <w:rPr>
          <w:rFonts w:hint="eastAsia" w:hAnsi="Times New Roman" w:eastAsia="宋体"/>
          <w:szCs w:val="22"/>
          <w:lang w:eastAsia="zh-CN"/>
        </w:rPr>
        <w:t>附件</w:t>
      </w:r>
      <w:r>
        <w:rPr>
          <w:rFonts w:hAnsi="Times New Roman" w:eastAsia="宋体"/>
          <w:szCs w:val="22"/>
          <w:lang w:eastAsia="zh-CN"/>
        </w:rPr>
        <w:t xml:space="preserve">13 </w:t>
      </w:r>
      <w:r>
        <w:rPr>
          <w:rFonts w:hint="eastAsia" w:hAnsi="Times New Roman" w:eastAsia="宋体"/>
          <w:szCs w:val="22"/>
          <w:lang w:eastAsia="zh-CN"/>
        </w:rPr>
        <w:t>宣汉县交通运输局关于宣汉县</w:t>
      </w:r>
      <w:r>
        <w:rPr>
          <w:rFonts w:hAnsi="Times New Roman" w:eastAsia="宋体"/>
          <w:szCs w:val="22"/>
          <w:lang w:eastAsia="zh-CN"/>
        </w:rPr>
        <w:t>30</w:t>
      </w:r>
      <w:r>
        <w:rPr>
          <w:rFonts w:hint="eastAsia" w:hAnsi="Times New Roman" w:eastAsia="宋体"/>
          <w:szCs w:val="22"/>
          <w:lang w:eastAsia="zh-CN"/>
        </w:rPr>
        <w:t>万吨年以下煤矿分类处置方案征求意见（大路、七里峡煤矿）的回复函（宣交函〔</w:t>
      </w:r>
      <w:r>
        <w:rPr>
          <w:rFonts w:hAnsi="Times New Roman" w:eastAsia="宋体"/>
          <w:szCs w:val="22"/>
          <w:lang w:eastAsia="zh-CN"/>
        </w:rPr>
        <w:t>2020</w:t>
      </w:r>
      <w:r>
        <w:rPr>
          <w:rFonts w:hint="eastAsia" w:hAnsi="Times New Roman" w:eastAsia="宋体"/>
          <w:szCs w:val="22"/>
          <w:lang w:eastAsia="zh-CN"/>
        </w:rPr>
        <w:t>〕</w:t>
      </w:r>
      <w:r>
        <w:rPr>
          <w:rFonts w:hAnsi="Times New Roman" w:eastAsia="宋体"/>
          <w:szCs w:val="22"/>
          <w:lang w:eastAsia="zh-CN"/>
        </w:rPr>
        <w:t>41</w:t>
      </w:r>
      <w:r>
        <w:rPr>
          <w:rFonts w:hint="eastAsia" w:hAnsi="Times New Roman" w:eastAsia="宋体"/>
          <w:szCs w:val="22"/>
          <w:lang w:eastAsia="zh-CN"/>
        </w:rPr>
        <w:t>号</w:t>
      </w:r>
      <w:r>
        <w:rPr>
          <w:rFonts w:hAnsi="Times New Roman" w:eastAsia="宋体"/>
          <w:szCs w:val="22"/>
          <w:lang w:eastAsia="zh-CN"/>
        </w:rPr>
        <w:t xml:space="preserve"> </w:t>
      </w:r>
      <w:r>
        <w:rPr>
          <w:rFonts w:hint="eastAsia" w:hAnsi="Times New Roman" w:eastAsia="宋体"/>
          <w:szCs w:val="22"/>
          <w:lang w:eastAsia="zh-CN"/>
        </w:rPr>
        <w:t>）</w:t>
      </w:r>
    </w:p>
    <w:p>
      <w:pPr>
        <w:spacing w:line="390" w:lineRule="exact"/>
        <w:ind w:firstLine="480" w:firstLineChars="200"/>
        <w:rPr>
          <w:rFonts w:hAnsi="Times New Roman" w:eastAsia="宋体"/>
          <w:szCs w:val="22"/>
          <w:lang w:eastAsia="zh-CN"/>
        </w:rPr>
      </w:pPr>
      <w:r>
        <w:rPr>
          <w:rFonts w:hint="eastAsia" w:hAnsi="Times New Roman" w:eastAsia="宋体"/>
          <w:szCs w:val="22"/>
          <w:lang w:eastAsia="zh-CN"/>
        </w:rPr>
        <w:t>附件</w:t>
      </w:r>
      <w:r>
        <w:rPr>
          <w:rFonts w:hAnsi="Times New Roman" w:eastAsia="宋体"/>
          <w:szCs w:val="22"/>
          <w:lang w:eastAsia="zh-CN"/>
        </w:rPr>
        <w:t xml:space="preserve">14 </w:t>
      </w:r>
      <w:r>
        <w:rPr>
          <w:rFonts w:hint="eastAsia" w:hAnsi="Times New Roman" w:eastAsia="宋体"/>
          <w:szCs w:val="22"/>
          <w:lang w:eastAsia="zh-CN"/>
        </w:rPr>
        <w:t>宣汉县自然资源局关于宣汉县</w:t>
      </w:r>
      <w:r>
        <w:rPr>
          <w:rFonts w:hAnsi="Times New Roman" w:eastAsia="宋体"/>
          <w:szCs w:val="22"/>
          <w:lang w:eastAsia="zh-CN"/>
        </w:rPr>
        <w:t>30</w:t>
      </w:r>
      <w:r>
        <w:rPr>
          <w:rFonts w:hint="eastAsia" w:hAnsi="Times New Roman" w:eastAsia="宋体"/>
          <w:szCs w:val="22"/>
          <w:lang w:eastAsia="zh-CN"/>
        </w:rPr>
        <w:t>万吨年以下煤矿分类处置方案征求意见的函（宣自然资〔</w:t>
      </w:r>
      <w:r>
        <w:rPr>
          <w:rFonts w:hAnsi="Times New Roman" w:eastAsia="宋体"/>
          <w:szCs w:val="22"/>
          <w:lang w:eastAsia="zh-CN"/>
        </w:rPr>
        <w:t>2020</w:t>
      </w:r>
      <w:r>
        <w:rPr>
          <w:rFonts w:hint="eastAsia" w:hAnsi="Times New Roman" w:eastAsia="宋体"/>
          <w:szCs w:val="22"/>
          <w:lang w:eastAsia="zh-CN"/>
        </w:rPr>
        <w:t>〕</w:t>
      </w:r>
      <w:r>
        <w:rPr>
          <w:rFonts w:hAnsi="Times New Roman" w:eastAsia="宋体"/>
          <w:szCs w:val="22"/>
          <w:lang w:eastAsia="zh-CN"/>
        </w:rPr>
        <w:t>41</w:t>
      </w:r>
      <w:r>
        <w:rPr>
          <w:rFonts w:hint="eastAsia" w:hAnsi="Times New Roman" w:eastAsia="宋体"/>
          <w:szCs w:val="22"/>
          <w:lang w:eastAsia="zh-CN"/>
        </w:rPr>
        <w:t>号</w:t>
      </w:r>
      <w:r>
        <w:rPr>
          <w:rFonts w:hAnsi="Times New Roman" w:eastAsia="宋体"/>
          <w:szCs w:val="22"/>
          <w:lang w:eastAsia="zh-CN"/>
        </w:rPr>
        <w:t xml:space="preserve"> </w:t>
      </w:r>
      <w:r>
        <w:rPr>
          <w:rFonts w:hint="eastAsia" w:hAnsi="Times New Roman" w:eastAsia="宋体"/>
          <w:szCs w:val="22"/>
          <w:lang w:eastAsia="zh-CN"/>
        </w:rPr>
        <w:t>）</w:t>
      </w:r>
    </w:p>
    <w:p>
      <w:pPr>
        <w:spacing w:line="390" w:lineRule="exact"/>
        <w:ind w:firstLine="480" w:firstLineChars="200"/>
        <w:rPr>
          <w:rFonts w:hAnsi="Times New Roman" w:eastAsia="宋体"/>
          <w:szCs w:val="22"/>
          <w:lang w:eastAsia="zh-CN"/>
        </w:rPr>
      </w:pPr>
      <w:r>
        <w:rPr>
          <w:rFonts w:hint="eastAsia" w:hAnsi="Times New Roman" w:eastAsia="宋体"/>
          <w:szCs w:val="22"/>
          <w:lang w:eastAsia="zh-CN"/>
        </w:rPr>
        <w:t>附件</w:t>
      </w:r>
      <w:r>
        <w:rPr>
          <w:rFonts w:hAnsi="Times New Roman" w:eastAsia="宋体"/>
          <w:szCs w:val="22"/>
          <w:lang w:eastAsia="zh-CN"/>
        </w:rPr>
        <w:t xml:space="preserve">15 </w:t>
      </w:r>
      <w:r>
        <w:rPr>
          <w:rFonts w:hint="eastAsia" w:hAnsi="Times New Roman" w:eastAsia="宋体"/>
          <w:szCs w:val="22"/>
          <w:lang w:eastAsia="zh-CN"/>
        </w:rPr>
        <w:t>宣汉县自然资源局关于对七里峡煤矿升级改造拟调整矿区范围是否位于各类保护区审查意见的报告（宣自然资〔</w:t>
      </w:r>
      <w:r>
        <w:rPr>
          <w:rFonts w:hAnsi="Times New Roman" w:eastAsia="宋体"/>
          <w:szCs w:val="22"/>
          <w:lang w:eastAsia="zh-CN"/>
        </w:rPr>
        <w:t>2020</w:t>
      </w:r>
      <w:r>
        <w:rPr>
          <w:rFonts w:hint="eastAsia" w:hAnsi="Times New Roman" w:eastAsia="宋体"/>
          <w:szCs w:val="22"/>
          <w:lang w:eastAsia="zh-CN"/>
        </w:rPr>
        <w:t>〕</w:t>
      </w:r>
      <w:r>
        <w:rPr>
          <w:rFonts w:hAnsi="Times New Roman" w:eastAsia="宋体"/>
          <w:szCs w:val="22"/>
          <w:lang w:eastAsia="zh-CN"/>
        </w:rPr>
        <w:t>278</w:t>
      </w:r>
      <w:r>
        <w:rPr>
          <w:rFonts w:hint="eastAsia" w:hAnsi="Times New Roman" w:eastAsia="宋体"/>
          <w:szCs w:val="22"/>
          <w:lang w:eastAsia="zh-CN"/>
        </w:rPr>
        <w:t>号）</w:t>
      </w:r>
    </w:p>
    <w:p>
      <w:pPr>
        <w:spacing w:line="390" w:lineRule="exact"/>
        <w:ind w:firstLine="480" w:firstLineChars="200"/>
        <w:rPr>
          <w:rFonts w:hAnsi="Times New Roman" w:eastAsia="宋体"/>
          <w:szCs w:val="22"/>
          <w:lang w:eastAsia="zh-CN"/>
        </w:rPr>
      </w:pPr>
      <w:r>
        <w:rPr>
          <w:rFonts w:hint="eastAsia" w:hAnsi="Times New Roman" w:eastAsia="宋体"/>
          <w:szCs w:val="22"/>
          <w:lang w:eastAsia="zh-CN"/>
        </w:rPr>
        <w:t>附件</w:t>
      </w:r>
      <w:r>
        <w:rPr>
          <w:rFonts w:hAnsi="Times New Roman" w:eastAsia="宋体"/>
          <w:szCs w:val="22"/>
          <w:lang w:eastAsia="zh-CN"/>
        </w:rPr>
        <w:t xml:space="preserve">16  </w:t>
      </w:r>
      <w:r>
        <w:rPr>
          <w:rFonts w:hint="eastAsia" w:hAnsi="Times New Roman" w:eastAsia="宋体"/>
          <w:szCs w:val="22"/>
          <w:lang w:eastAsia="zh-CN"/>
        </w:rPr>
        <w:t>达州市达川区自然资源局关于宣汉县七里峡煤业有限公司七里峡煤矿</w:t>
      </w:r>
      <w:r>
        <w:rPr>
          <w:rFonts w:hAnsi="Times New Roman" w:eastAsia="宋体"/>
          <w:szCs w:val="22"/>
          <w:lang w:eastAsia="zh-CN"/>
        </w:rPr>
        <w:t>30</w:t>
      </w:r>
      <w:r>
        <w:rPr>
          <w:rFonts w:hint="eastAsia" w:hAnsi="Times New Roman" w:eastAsia="宋体"/>
          <w:szCs w:val="22"/>
          <w:lang w:eastAsia="zh-CN"/>
        </w:rPr>
        <w:t>万吨年处置方案征求意见的函的复函（达川自然资函〔</w:t>
      </w:r>
      <w:r>
        <w:rPr>
          <w:rFonts w:hAnsi="Times New Roman" w:eastAsia="宋体"/>
          <w:szCs w:val="22"/>
          <w:lang w:eastAsia="zh-CN"/>
        </w:rPr>
        <w:t>2020</w:t>
      </w:r>
      <w:r>
        <w:rPr>
          <w:rFonts w:hint="eastAsia" w:hAnsi="Times New Roman" w:eastAsia="宋体"/>
          <w:szCs w:val="22"/>
          <w:lang w:eastAsia="zh-CN"/>
        </w:rPr>
        <w:t>〕</w:t>
      </w:r>
      <w:r>
        <w:rPr>
          <w:rFonts w:hAnsi="Times New Roman" w:eastAsia="宋体"/>
          <w:szCs w:val="22"/>
          <w:lang w:eastAsia="zh-CN"/>
        </w:rPr>
        <w:t>178</w:t>
      </w:r>
      <w:r>
        <w:rPr>
          <w:rFonts w:hint="eastAsia" w:hAnsi="Times New Roman" w:eastAsia="宋体"/>
          <w:szCs w:val="22"/>
          <w:lang w:eastAsia="zh-CN"/>
        </w:rPr>
        <w:t>号）</w:t>
      </w:r>
    </w:p>
    <w:p>
      <w:pPr>
        <w:spacing w:line="390" w:lineRule="exact"/>
        <w:ind w:firstLine="480" w:firstLineChars="200"/>
        <w:rPr>
          <w:rFonts w:hAnsi="Times New Roman" w:eastAsia="宋体"/>
          <w:szCs w:val="22"/>
          <w:lang w:eastAsia="zh-CN"/>
        </w:rPr>
      </w:pPr>
      <w:r>
        <w:rPr>
          <w:rFonts w:hint="eastAsia" w:hAnsi="Times New Roman" w:eastAsia="宋体"/>
          <w:szCs w:val="22"/>
          <w:lang w:eastAsia="zh-CN"/>
        </w:rPr>
        <w:t>附件</w:t>
      </w:r>
      <w:r>
        <w:rPr>
          <w:rFonts w:hAnsi="Times New Roman" w:eastAsia="宋体"/>
          <w:szCs w:val="22"/>
          <w:lang w:eastAsia="zh-CN"/>
        </w:rPr>
        <w:t xml:space="preserve">17 </w:t>
      </w:r>
      <w:r>
        <w:rPr>
          <w:rFonts w:hint="eastAsia" w:hAnsi="Times New Roman" w:eastAsia="宋体"/>
          <w:szCs w:val="22"/>
          <w:lang w:eastAsia="zh-CN"/>
        </w:rPr>
        <w:t>宣汉县人民政府关于达州市宣汉县七里峡煤业有限公司七里峡煤矿调整（缩小）矿区范围避让（保护区）退出方案论证意见的报告（宣县府〔2019〕</w:t>
      </w:r>
      <w:r>
        <w:rPr>
          <w:rFonts w:hAnsi="Times New Roman" w:eastAsia="宋体"/>
          <w:szCs w:val="22"/>
          <w:lang w:eastAsia="zh-CN"/>
        </w:rPr>
        <w:t>25</w:t>
      </w:r>
      <w:r>
        <w:rPr>
          <w:rFonts w:hint="eastAsia" w:hAnsi="Times New Roman" w:eastAsia="宋体"/>
          <w:szCs w:val="22"/>
          <w:lang w:eastAsia="zh-CN"/>
        </w:rPr>
        <w:t>号）</w:t>
      </w:r>
    </w:p>
    <w:p>
      <w:pPr>
        <w:spacing w:line="390" w:lineRule="exact"/>
        <w:ind w:firstLine="480" w:firstLineChars="200"/>
        <w:rPr>
          <w:rFonts w:hAnsi="Times New Roman" w:eastAsia="宋体"/>
          <w:szCs w:val="22"/>
          <w:lang w:eastAsia="zh-CN"/>
        </w:rPr>
      </w:pPr>
      <w:r>
        <w:rPr>
          <w:rFonts w:hint="eastAsia" w:hAnsi="Times New Roman" w:eastAsia="宋体"/>
          <w:szCs w:val="22"/>
          <w:lang w:eastAsia="zh-CN"/>
        </w:rPr>
        <w:t>附件</w:t>
      </w:r>
      <w:r>
        <w:rPr>
          <w:rFonts w:hAnsi="Times New Roman" w:eastAsia="宋体"/>
          <w:szCs w:val="22"/>
          <w:lang w:eastAsia="zh-CN"/>
        </w:rPr>
        <w:t xml:space="preserve">18  </w:t>
      </w:r>
      <w:r>
        <w:rPr>
          <w:rFonts w:hint="eastAsia" w:hAnsi="Times New Roman" w:eastAsia="宋体"/>
          <w:szCs w:val="22"/>
          <w:lang w:eastAsia="zh-CN"/>
        </w:rPr>
        <w:t>达州市达川区生态环境局关于征求达州市宣汉县七里峡煤业有限公司七里峡煤矿独立升级改造拟设矿区范围是否在各类保护区意见的函的复函（达川环函〔</w:t>
      </w:r>
      <w:r>
        <w:rPr>
          <w:rFonts w:hAnsi="Times New Roman" w:eastAsia="宋体"/>
          <w:szCs w:val="22"/>
          <w:lang w:eastAsia="zh-CN"/>
        </w:rPr>
        <w:t>2020</w:t>
      </w:r>
      <w:r>
        <w:rPr>
          <w:rFonts w:hint="eastAsia" w:hAnsi="Times New Roman" w:eastAsia="宋体"/>
          <w:szCs w:val="22"/>
          <w:lang w:eastAsia="zh-CN"/>
        </w:rPr>
        <w:t>〕</w:t>
      </w:r>
      <w:r>
        <w:rPr>
          <w:rFonts w:hAnsi="Times New Roman" w:eastAsia="宋体"/>
          <w:szCs w:val="22"/>
          <w:lang w:eastAsia="zh-CN"/>
        </w:rPr>
        <w:t>119</w:t>
      </w:r>
      <w:r>
        <w:rPr>
          <w:rFonts w:hint="eastAsia" w:hAnsi="Times New Roman" w:eastAsia="宋体"/>
          <w:szCs w:val="22"/>
          <w:lang w:eastAsia="zh-CN"/>
        </w:rPr>
        <w:t>号）</w:t>
      </w:r>
    </w:p>
    <w:p>
      <w:pPr>
        <w:spacing w:line="390" w:lineRule="exact"/>
        <w:ind w:firstLine="480" w:firstLineChars="200"/>
        <w:rPr>
          <w:rFonts w:hAnsi="Times New Roman" w:eastAsia="宋体"/>
          <w:szCs w:val="22"/>
          <w:lang w:eastAsia="zh-CN"/>
        </w:rPr>
      </w:pPr>
      <w:r>
        <w:rPr>
          <w:rFonts w:hint="eastAsia" w:hAnsi="Times New Roman" w:eastAsia="宋体"/>
          <w:szCs w:val="22"/>
          <w:lang w:eastAsia="zh-CN"/>
        </w:rPr>
        <w:t>附件</w:t>
      </w:r>
      <w:r>
        <w:rPr>
          <w:rFonts w:hAnsi="Times New Roman" w:eastAsia="宋体"/>
          <w:szCs w:val="22"/>
          <w:lang w:eastAsia="zh-CN"/>
        </w:rPr>
        <w:t xml:space="preserve">19  </w:t>
      </w:r>
      <w:r>
        <w:rPr>
          <w:rFonts w:hint="eastAsia" w:hAnsi="Times New Roman" w:eastAsia="宋体"/>
          <w:szCs w:val="22"/>
          <w:lang w:eastAsia="zh-CN"/>
        </w:rPr>
        <w:t>达州市达川区交通运输局关于征求达州市宣汉县七里峡煤业有限公司七里峡煤矿独立升级改造拟设矿区范围是否在各类保护区意见的复函（达川交函〔</w:t>
      </w:r>
      <w:r>
        <w:rPr>
          <w:rFonts w:hAnsi="Times New Roman" w:eastAsia="宋体"/>
          <w:szCs w:val="22"/>
          <w:lang w:eastAsia="zh-CN"/>
        </w:rPr>
        <w:t>2020</w:t>
      </w:r>
      <w:r>
        <w:rPr>
          <w:rFonts w:hint="eastAsia" w:hAnsi="Times New Roman" w:eastAsia="宋体"/>
          <w:szCs w:val="22"/>
          <w:lang w:eastAsia="zh-CN"/>
        </w:rPr>
        <w:t>〕</w:t>
      </w:r>
      <w:r>
        <w:rPr>
          <w:rFonts w:hAnsi="Times New Roman" w:eastAsia="宋体"/>
          <w:szCs w:val="22"/>
          <w:lang w:eastAsia="zh-CN"/>
        </w:rPr>
        <w:t>31</w:t>
      </w:r>
      <w:r>
        <w:rPr>
          <w:rFonts w:hint="eastAsia" w:hAnsi="Times New Roman" w:eastAsia="宋体"/>
          <w:szCs w:val="22"/>
          <w:lang w:eastAsia="zh-CN"/>
        </w:rPr>
        <w:t>号）</w:t>
      </w:r>
    </w:p>
    <w:p>
      <w:pPr>
        <w:spacing w:line="390" w:lineRule="exact"/>
        <w:ind w:firstLine="480" w:firstLineChars="200"/>
        <w:rPr>
          <w:rFonts w:hAnsi="Times New Roman" w:eastAsia="宋体"/>
          <w:szCs w:val="22"/>
          <w:lang w:eastAsia="zh-CN"/>
        </w:rPr>
      </w:pPr>
      <w:r>
        <w:rPr>
          <w:rFonts w:hint="eastAsia" w:hAnsi="Times New Roman" w:eastAsia="宋体"/>
          <w:szCs w:val="22"/>
          <w:lang w:eastAsia="zh-CN"/>
        </w:rPr>
        <w:t>附件</w:t>
      </w:r>
      <w:r>
        <w:rPr>
          <w:rFonts w:hAnsi="Times New Roman" w:eastAsia="宋体"/>
          <w:szCs w:val="22"/>
          <w:lang w:eastAsia="zh-CN"/>
        </w:rPr>
        <w:t xml:space="preserve">20  </w:t>
      </w:r>
      <w:r>
        <w:rPr>
          <w:rFonts w:hint="eastAsia" w:hAnsi="Times New Roman" w:eastAsia="宋体"/>
          <w:szCs w:val="22"/>
          <w:lang w:eastAsia="zh-CN"/>
        </w:rPr>
        <w:t>达州市达川区自然资源局关于征求达州市宣汉县七里峡煤业有限公司七里峡煤矿独立升级改造拟设矿区范围是否在各类保护区意见的函（达川自然资函〔</w:t>
      </w:r>
      <w:r>
        <w:rPr>
          <w:rFonts w:hAnsi="Times New Roman" w:eastAsia="宋体"/>
          <w:szCs w:val="22"/>
          <w:lang w:eastAsia="zh-CN"/>
        </w:rPr>
        <w:t>2020</w:t>
      </w:r>
      <w:r>
        <w:rPr>
          <w:rFonts w:hint="eastAsia" w:hAnsi="Times New Roman" w:eastAsia="宋体"/>
          <w:szCs w:val="22"/>
          <w:lang w:eastAsia="zh-CN"/>
        </w:rPr>
        <w:t>〕</w:t>
      </w:r>
      <w:r>
        <w:rPr>
          <w:rFonts w:hAnsi="Times New Roman" w:eastAsia="宋体"/>
          <w:szCs w:val="22"/>
          <w:lang w:eastAsia="zh-CN"/>
        </w:rPr>
        <w:t>126</w:t>
      </w:r>
      <w:r>
        <w:rPr>
          <w:rFonts w:hint="eastAsia" w:hAnsi="Times New Roman" w:eastAsia="宋体"/>
          <w:szCs w:val="22"/>
          <w:lang w:eastAsia="zh-CN"/>
        </w:rPr>
        <w:t>号）</w:t>
      </w:r>
    </w:p>
    <w:p>
      <w:pPr>
        <w:spacing w:line="390" w:lineRule="exact"/>
        <w:ind w:firstLine="480" w:firstLineChars="200"/>
        <w:rPr>
          <w:rFonts w:hAnsi="Times New Roman" w:eastAsia="宋体"/>
          <w:szCs w:val="22"/>
          <w:lang w:eastAsia="zh-CN"/>
        </w:rPr>
      </w:pPr>
      <w:r>
        <w:rPr>
          <w:rFonts w:hint="eastAsia" w:hAnsi="Times New Roman" w:eastAsia="宋体"/>
          <w:szCs w:val="22"/>
          <w:lang w:eastAsia="zh-CN"/>
        </w:rPr>
        <w:t>附件</w:t>
      </w:r>
      <w:r>
        <w:rPr>
          <w:rFonts w:hAnsi="Times New Roman" w:eastAsia="宋体"/>
          <w:szCs w:val="22"/>
          <w:lang w:eastAsia="zh-CN"/>
        </w:rPr>
        <w:t xml:space="preserve">21  </w:t>
      </w:r>
      <w:r>
        <w:rPr>
          <w:rFonts w:hint="eastAsia" w:hAnsi="Times New Roman" w:eastAsia="宋体"/>
          <w:szCs w:val="22"/>
          <w:lang w:eastAsia="zh-CN"/>
        </w:rPr>
        <w:t>达州市达川区林业开发与保护中心关于征求达州市宣汉县七里峡煤业有限公司七里峡煤矿独立升级改造拟设矿区范围是否在各类保护区意见的函的复函（达川林保函〔</w:t>
      </w:r>
      <w:r>
        <w:rPr>
          <w:rFonts w:hAnsi="Times New Roman" w:eastAsia="宋体"/>
          <w:szCs w:val="22"/>
          <w:lang w:eastAsia="zh-CN"/>
        </w:rPr>
        <w:t>2020</w:t>
      </w:r>
      <w:r>
        <w:rPr>
          <w:rFonts w:hint="eastAsia" w:hAnsi="Times New Roman" w:eastAsia="宋体"/>
          <w:szCs w:val="22"/>
          <w:lang w:eastAsia="zh-CN"/>
        </w:rPr>
        <w:t>〕</w:t>
      </w:r>
      <w:r>
        <w:rPr>
          <w:rFonts w:hAnsi="Times New Roman" w:eastAsia="宋体"/>
          <w:szCs w:val="22"/>
          <w:lang w:eastAsia="zh-CN"/>
        </w:rPr>
        <w:t>32</w:t>
      </w:r>
      <w:r>
        <w:rPr>
          <w:rFonts w:hint="eastAsia" w:hAnsi="Times New Roman" w:eastAsia="宋体"/>
          <w:szCs w:val="22"/>
          <w:lang w:eastAsia="zh-CN"/>
        </w:rPr>
        <w:t>号）</w:t>
      </w:r>
    </w:p>
    <w:p>
      <w:pPr>
        <w:spacing w:line="390" w:lineRule="exact"/>
        <w:ind w:firstLine="480" w:firstLineChars="200"/>
        <w:rPr>
          <w:rFonts w:hAnsi="Times New Roman" w:eastAsia="宋体"/>
          <w:szCs w:val="22"/>
          <w:lang w:eastAsia="zh-CN"/>
        </w:rPr>
      </w:pPr>
      <w:r>
        <w:rPr>
          <w:rFonts w:hint="eastAsia" w:hAnsi="Times New Roman" w:eastAsia="宋体"/>
          <w:szCs w:val="22"/>
          <w:lang w:eastAsia="zh-CN"/>
        </w:rPr>
        <w:t>附件</w:t>
      </w:r>
      <w:r>
        <w:rPr>
          <w:rFonts w:hAnsi="Times New Roman" w:eastAsia="宋体"/>
          <w:szCs w:val="22"/>
          <w:lang w:eastAsia="zh-CN"/>
        </w:rPr>
        <w:t xml:space="preserve">22 </w:t>
      </w:r>
      <w:r>
        <w:rPr>
          <w:rFonts w:hint="eastAsia" w:hAnsi="Times New Roman" w:eastAsia="宋体"/>
          <w:szCs w:val="22"/>
          <w:lang w:eastAsia="zh-CN"/>
        </w:rPr>
        <w:t>七里峡煤矿与太阳山风景区关系函（达川区）</w:t>
      </w:r>
    </w:p>
    <w:p>
      <w:pPr>
        <w:spacing w:line="390" w:lineRule="exact"/>
        <w:ind w:firstLine="480" w:firstLineChars="200"/>
        <w:rPr>
          <w:rFonts w:hAnsi="Times New Roman" w:eastAsia="宋体"/>
          <w:szCs w:val="22"/>
          <w:lang w:eastAsia="zh-CN"/>
        </w:rPr>
      </w:pPr>
      <w:r>
        <w:rPr>
          <w:rFonts w:hint="eastAsia" w:hAnsi="Times New Roman" w:eastAsia="宋体"/>
          <w:szCs w:val="22"/>
          <w:lang w:eastAsia="zh-CN"/>
        </w:rPr>
        <w:t>附件</w:t>
      </w:r>
      <w:r>
        <w:rPr>
          <w:rFonts w:hAnsi="Times New Roman" w:eastAsia="宋体"/>
          <w:szCs w:val="22"/>
          <w:lang w:eastAsia="zh-CN"/>
        </w:rPr>
        <w:t xml:space="preserve">23  </w:t>
      </w:r>
      <w:r>
        <w:rPr>
          <w:rFonts w:hint="eastAsia" w:hAnsi="Times New Roman" w:eastAsia="宋体"/>
          <w:szCs w:val="22"/>
          <w:lang w:eastAsia="zh-CN"/>
        </w:rPr>
        <w:t>开江县自然资源局关于宣汉县彭河煤业有限公司彭河煤矿两矿山企业</w:t>
      </w:r>
      <w:r>
        <w:rPr>
          <w:rFonts w:hAnsi="Times New Roman" w:eastAsia="宋体"/>
          <w:szCs w:val="22"/>
          <w:lang w:eastAsia="zh-CN"/>
        </w:rPr>
        <w:t>30</w:t>
      </w:r>
      <w:r>
        <w:rPr>
          <w:rFonts w:hint="eastAsia" w:hAnsi="Times New Roman" w:eastAsia="宋体"/>
          <w:szCs w:val="22"/>
          <w:lang w:eastAsia="zh-CN"/>
        </w:rPr>
        <w:t>万吨年处置方案征求意见的函（开自然资函〔</w:t>
      </w:r>
      <w:r>
        <w:rPr>
          <w:rFonts w:hAnsi="Times New Roman" w:eastAsia="宋体"/>
          <w:szCs w:val="22"/>
          <w:lang w:eastAsia="zh-CN"/>
        </w:rPr>
        <w:t>2020</w:t>
      </w:r>
      <w:r>
        <w:rPr>
          <w:rFonts w:hint="eastAsia" w:hAnsi="Times New Roman" w:eastAsia="宋体"/>
          <w:szCs w:val="22"/>
          <w:lang w:eastAsia="zh-CN"/>
        </w:rPr>
        <w:t>〕</w:t>
      </w:r>
      <w:r>
        <w:rPr>
          <w:rFonts w:hAnsi="Times New Roman" w:eastAsia="宋体"/>
          <w:szCs w:val="22"/>
          <w:lang w:eastAsia="zh-CN"/>
        </w:rPr>
        <w:t>68</w:t>
      </w:r>
      <w:r>
        <w:rPr>
          <w:rFonts w:hint="eastAsia" w:hAnsi="Times New Roman" w:eastAsia="宋体"/>
          <w:szCs w:val="22"/>
          <w:lang w:eastAsia="zh-CN"/>
        </w:rPr>
        <w:t>号）</w:t>
      </w:r>
    </w:p>
    <w:p>
      <w:pPr>
        <w:spacing w:line="390" w:lineRule="exact"/>
        <w:ind w:firstLine="480" w:firstLineChars="200"/>
        <w:rPr>
          <w:rFonts w:hAnsi="Times New Roman" w:eastAsia="宋体"/>
          <w:szCs w:val="22"/>
          <w:lang w:eastAsia="zh-CN"/>
        </w:rPr>
      </w:pPr>
      <w:r>
        <w:rPr>
          <w:rFonts w:hint="eastAsia" w:hAnsi="Times New Roman" w:eastAsia="宋体"/>
          <w:szCs w:val="22"/>
          <w:lang w:eastAsia="zh-CN"/>
        </w:rPr>
        <w:t>附件</w:t>
      </w:r>
      <w:r>
        <w:rPr>
          <w:rFonts w:hAnsi="Times New Roman" w:eastAsia="宋体"/>
          <w:szCs w:val="22"/>
          <w:lang w:eastAsia="zh-CN"/>
        </w:rPr>
        <w:t xml:space="preserve">24  </w:t>
      </w:r>
      <w:r>
        <w:rPr>
          <w:rFonts w:hint="eastAsia" w:hAnsi="Times New Roman" w:eastAsia="宋体"/>
          <w:szCs w:val="22"/>
          <w:lang w:eastAsia="zh-CN"/>
        </w:rPr>
        <w:t>开江县自然资源局关于宣汉县彭河煤业有限公司彭河煤矿两矿山企业</w:t>
      </w:r>
      <w:r>
        <w:rPr>
          <w:rFonts w:hAnsi="Times New Roman" w:eastAsia="宋体"/>
          <w:szCs w:val="22"/>
          <w:lang w:eastAsia="zh-CN"/>
        </w:rPr>
        <w:t>30</w:t>
      </w:r>
      <w:r>
        <w:rPr>
          <w:rFonts w:hint="eastAsia" w:hAnsi="Times New Roman" w:eastAsia="宋体"/>
          <w:szCs w:val="22"/>
          <w:lang w:eastAsia="zh-CN"/>
        </w:rPr>
        <w:t>万吨年处置方案征求意见的复函（开自然资函〔</w:t>
      </w:r>
      <w:r>
        <w:rPr>
          <w:rFonts w:hAnsi="Times New Roman" w:eastAsia="宋体"/>
          <w:szCs w:val="22"/>
          <w:lang w:eastAsia="zh-CN"/>
        </w:rPr>
        <w:t>2020</w:t>
      </w:r>
      <w:r>
        <w:rPr>
          <w:rFonts w:hint="eastAsia" w:hAnsi="Times New Roman" w:eastAsia="宋体"/>
          <w:szCs w:val="22"/>
          <w:lang w:eastAsia="zh-CN"/>
        </w:rPr>
        <w:t>〕</w:t>
      </w:r>
      <w:r>
        <w:rPr>
          <w:rFonts w:hAnsi="Times New Roman" w:eastAsia="宋体"/>
          <w:szCs w:val="22"/>
          <w:lang w:eastAsia="zh-CN"/>
        </w:rPr>
        <w:t>89</w:t>
      </w:r>
      <w:r>
        <w:rPr>
          <w:rFonts w:hint="eastAsia" w:hAnsi="Times New Roman" w:eastAsia="宋体"/>
          <w:szCs w:val="22"/>
          <w:lang w:eastAsia="zh-CN"/>
        </w:rPr>
        <w:t>号）</w:t>
      </w:r>
    </w:p>
    <w:p>
      <w:pPr>
        <w:spacing w:line="390" w:lineRule="exact"/>
        <w:ind w:firstLine="480" w:firstLineChars="200"/>
        <w:rPr>
          <w:rFonts w:hAnsi="Times New Roman" w:eastAsia="宋体"/>
          <w:szCs w:val="22"/>
          <w:lang w:eastAsia="zh-CN"/>
        </w:rPr>
      </w:pPr>
      <w:r>
        <w:rPr>
          <w:rFonts w:hint="eastAsia" w:hAnsi="Times New Roman" w:eastAsia="宋体"/>
          <w:szCs w:val="22"/>
          <w:lang w:eastAsia="zh-CN"/>
        </w:rPr>
        <w:t>附件</w:t>
      </w:r>
      <w:r>
        <w:rPr>
          <w:rFonts w:hAnsi="Times New Roman" w:eastAsia="宋体"/>
          <w:szCs w:val="22"/>
          <w:lang w:eastAsia="zh-CN"/>
        </w:rPr>
        <w:t xml:space="preserve">25  </w:t>
      </w:r>
      <w:r>
        <w:rPr>
          <w:rFonts w:hint="eastAsia" w:hAnsi="Times New Roman" w:eastAsia="宋体"/>
          <w:szCs w:val="22"/>
          <w:lang w:eastAsia="zh-CN"/>
        </w:rPr>
        <w:t>开江县农业农村局关于宣汉县彭河煤业有限公司彭河煤矿两矿山企业</w:t>
      </w:r>
      <w:r>
        <w:rPr>
          <w:rFonts w:hAnsi="Times New Roman" w:eastAsia="宋体"/>
          <w:szCs w:val="22"/>
          <w:lang w:eastAsia="zh-CN"/>
        </w:rPr>
        <w:t>30</w:t>
      </w:r>
      <w:r>
        <w:rPr>
          <w:rFonts w:hint="eastAsia" w:hAnsi="Times New Roman" w:eastAsia="宋体"/>
          <w:szCs w:val="22"/>
          <w:lang w:eastAsia="zh-CN"/>
        </w:rPr>
        <w:t>万吨年处置方案征求意见的函的复函（开江农函〔</w:t>
      </w:r>
      <w:r>
        <w:rPr>
          <w:rFonts w:hAnsi="Times New Roman" w:eastAsia="宋体"/>
          <w:szCs w:val="22"/>
          <w:lang w:eastAsia="zh-CN"/>
        </w:rPr>
        <w:t>2020</w:t>
      </w:r>
      <w:r>
        <w:rPr>
          <w:rFonts w:hint="eastAsia" w:hAnsi="Times New Roman" w:eastAsia="宋体"/>
          <w:szCs w:val="22"/>
          <w:lang w:eastAsia="zh-CN"/>
        </w:rPr>
        <w:t>〕</w:t>
      </w:r>
      <w:r>
        <w:rPr>
          <w:rFonts w:hAnsi="Times New Roman" w:eastAsia="宋体"/>
          <w:szCs w:val="22"/>
          <w:lang w:eastAsia="zh-CN"/>
        </w:rPr>
        <w:t>48</w:t>
      </w:r>
      <w:r>
        <w:rPr>
          <w:rFonts w:hint="eastAsia" w:hAnsi="Times New Roman" w:eastAsia="宋体"/>
          <w:szCs w:val="22"/>
          <w:lang w:eastAsia="zh-CN"/>
        </w:rPr>
        <w:t>号）</w:t>
      </w:r>
    </w:p>
    <w:p>
      <w:pPr>
        <w:spacing w:line="390" w:lineRule="exact"/>
        <w:ind w:firstLine="480" w:firstLineChars="200"/>
        <w:rPr>
          <w:rFonts w:hAnsi="Times New Roman" w:eastAsia="宋体"/>
          <w:szCs w:val="22"/>
          <w:lang w:eastAsia="zh-CN"/>
        </w:rPr>
      </w:pPr>
      <w:r>
        <w:rPr>
          <w:rFonts w:hint="eastAsia" w:hAnsi="Times New Roman" w:eastAsia="宋体"/>
          <w:szCs w:val="22"/>
          <w:lang w:eastAsia="zh-CN"/>
        </w:rPr>
        <w:t>附件</w:t>
      </w:r>
      <w:r>
        <w:rPr>
          <w:rFonts w:hAnsi="Times New Roman" w:eastAsia="宋体"/>
          <w:szCs w:val="22"/>
          <w:lang w:eastAsia="zh-CN"/>
        </w:rPr>
        <w:t xml:space="preserve">26  </w:t>
      </w:r>
      <w:r>
        <w:rPr>
          <w:rFonts w:hint="eastAsia" w:hAnsi="Times New Roman" w:eastAsia="宋体"/>
          <w:szCs w:val="22"/>
          <w:lang w:eastAsia="zh-CN"/>
        </w:rPr>
        <w:t>开江县文物管理所关于开江县自然资源局关于宣汉县彭河煤业有限公司彭河煤矿两矿山企业</w:t>
      </w:r>
      <w:r>
        <w:rPr>
          <w:rFonts w:hAnsi="Times New Roman" w:eastAsia="宋体"/>
          <w:szCs w:val="22"/>
          <w:lang w:eastAsia="zh-CN"/>
        </w:rPr>
        <w:t>30</w:t>
      </w:r>
      <w:r>
        <w:rPr>
          <w:rFonts w:hint="eastAsia" w:hAnsi="Times New Roman" w:eastAsia="宋体"/>
          <w:szCs w:val="22"/>
          <w:lang w:eastAsia="zh-CN"/>
        </w:rPr>
        <w:t>万吨年处置方案征求意见的函的复函（开文管所函〔</w:t>
      </w:r>
      <w:r>
        <w:rPr>
          <w:rFonts w:hAnsi="Times New Roman" w:eastAsia="宋体"/>
          <w:szCs w:val="22"/>
          <w:lang w:eastAsia="zh-CN"/>
        </w:rPr>
        <w:t>2020</w:t>
      </w:r>
      <w:r>
        <w:rPr>
          <w:rFonts w:hint="eastAsia" w:hAnsi="Times New Roman" w:eastAsia="宋体"/>
          <w:szCs w:val="22"/>
          <w:lang w:eastAsia="zh-CN"/>
        </w:rPr>
        <w:t>〕</w:t>
      </w:r>
      <w:r>
        <w:rPr>
          <w:rFonts w:hAnsi="Times New Roman" w:eastAsia="宋体"/>
          <w:szCs w:val="22"/>
          <w:lang w:eastAsia="zh-CN"/>
        </w:rPr>
        <w:t>1</w:t>
      </w:r>
      <w:r>
        <w:rPr>
          <w:rFonts w:hint="eastAsia" w:hAnsi="Times New Roman" w:eastAsia="宋体"/>
          <w:szCs w:val="22"/>
          <w:lang w:eastAsia="zh-CN"/>
        </w:rPr>
        <w:t>号）</w:t>
      </w:r>
    </w:p>
    <w:p>
      <w:pPr>
        <w:spacing w:line="390" w:lineRule="exact"/>
        <w:ind w:firstLine="480" w:firstLineChars="200"/>
        <w:rPr>
          <w:rFonts w:hAnsi="Times New Roman" w:eastAsia="宋体"/>
          <w:szCs w:val="22"/>
          <w:lang w:eastAsia="zh-CN"/>
        </w:rPr>
      </w:pPr>
      <w:r>
        <w:rPr>
          <w:rFonts w:hint="eastAsia" w:hAnsi="Times New Roman" w:eastAsia="宋体"/>
          <w:szCs w:val="22"/>
          <w:lang w:eastAsia="zh-CN"/>
        </w:rPr>
        <w:t>附件</w:t>
      </w:r>
      <w:r>
        <w:rPr>
          <w:rFonts w:hAnsi="Times New Roman" w:eastAsia="宋体"/>
          <w:szCs w:val="22"/>
          <w:lang w:eastAsia="zh-CN"/>
        </w:rPr>
        <w:t xml:space="preserve">27  </w:t>
      </w:r>
      <w:r>
        <w:rPr>
          <w:rFonts w:hint="eastAsia" w:hAnsi="Times New Roman" w:eastAsia="宋体"/>
          <w:szCs w:val="22"/>
          <w:lang w:eastAsia="zh-CN"/>
        </w:rPr>
        <w:t>达州市开江生态环境局关于宣汉县彭河煤业有限公司彭河煤矿两矿山企业是否在饮用水源保护区的复函（开江环函〔</w:t>
      </w:r>
      <w:r>
        <w:rPr>
          <w:rFonts w:hAnsi="Times New Roman" w:eastAsia="宋体"/>
          <w:szCs w:val="22"/>
          <w:lang w:eastAsia="zh-CN"/>
        </w:rPr>
        <w:t>2020</w:t>
      </w:r>
      <w:r>
        <w:rPr>
          <w:rFonts w:hint="eastAsia" w:hAnsi="Times New Roman" w:eastAsia="宋体"/>
          <w:szCs w:val="22"/>
          <w:lang w:eastAsia="zh-CN"/>
        </w:rPr>
        <w:t>〕</w:t>
      </w:r>
      <w:r>
        <w:rPr>
          <w:rFonts w:hAnsi="Times New Roman" w:eastAsia="宋体"/>
          <w:szCs w:val="22"/>
          <w:lang w:eastAsia="zh-CN"/>
        </w:rPr>
        <w:t>16</w:t>
      </w:r>
      <w:r>
        <w:rPr>
          <w:rFonts w:hint="eastAsia" w:hAnsi="Times New Roman" w:eastAsia="宋体"/>
          <w:szCs w:val="22"/>
          <w:lang w:eastAsia="zh-CN"/>
        </w:rPr>
        <w:t>号）</w:t>
      </w:r>
    </w:p>
    <w:p>
      <w:pPr>
        <w:spacing w:line="390" w:lineRule="exact"/>
        <w:ind w:firstLine="480" w:firstLineChars="200"/>
        <w:rPr>
          <w:rFonts w:hAnsi="Times New Roman" w:eastAsia="宋体"/>
          <w:szCs w:val="22"/>
          <w:lang w:eastAsia="zh-CN"/>
        </w:rPr>
      </w:pPr>
      <w:r>
        <w:rPr>
          <w:rFonts w:hint="eastAsia" w:hAnsi="Times New Roman" w:eastAsia="宋体"/>
          <w:szCs w:val="22"/>
          <w:lang w:eastAsia="zh-CN"/>
        </w:rPr>
        <w:t>附件</w:t>
      </w:r>
      <w:r>
        <w:rPr>
          <w:rFonts w:hAnsi="Times New Roman" w:eastAsia="宋体"/>
          <w:szCs w:val="22"/>
          <w:lang w:eastAsia="zh-CN"/>
        </w:rPr>
        <w:t xml:space="preserve">28  </w:t>
      </w:r>
      <w:r>
        <w:rPr>
          <w:rFonts w:hint="eastAsia" w:hAnsi="Times New Roman" w:eastAsia="宋体"/>
          <w:szCs w:val="22"/>
          <w:lang w:eastAsia="zh-CN"/>
        </w:rPr>
        <w:t>开江县交通运输局关于宣汉县彭河煤业有限公司彭河煤矿两矿山企业</w:t>
      </w:r>
      <w:r>
        <w:rPr>
          <w:rFonts w:hAnsi="Times New Roman" w:eastAsia="宋体"/>
          <w:szCs w:val="22"/>
          <w:lang w:eastAsia="zh-CN"/>
        </w:rPr>
        <w:t>30</w:t>
      </w:r>
      <w:r>
        <w:rPr>
          <w:rFonts w:hint="eastAsia" w:hAnsi="Times New Roman" w:eastAsia="宋体"/>
          <w:szCs w:val="22"/>
          <w:lang w:eastAsia="zh-CN"/>
        </w:rPr>
        <w:t>万吨年处置方案征求意见的复函</w:t>
      </w:r>
    </w:p>
    <w:p>
      <w:pPr>
        <w:spacing w:line="390" w:lineRule="exact"/>
        <w:ind w:firstLine="480" w:firstLineChars="200"/>
        <w:rPr>
          <w:rFonts w:hAnsi="Times New Roman" w:eastAsia="宋体"/>
          <w:szCs w:val="22"/>
          <w:lang w:eastAsia="zh-CN"/>
        </w:rPr>
      </w:pPr>
      <w:r>
        <w:rPr>
          <w:rFonts w:hint="eastAsia" w:hAnsi="Times New Roman" w:eastAsia="宋体"/>
          <w:szCs w:val="22"/>
          <w:lang w:eastAsia="zh-CN"/>
        </w:rPr>
        <w:t>附件</w:t>
      </w:r>
      <w:r>
        <w:rPr>
          <w:rFonts w:hAnsi="Times New Roman" w:eastAsia="宋体"/>
          <w:szCs w:val="22"/>
          <w:lang w:eastAsia="zh-CN"/>
        </w:rPr>
        <w:t xml:space="preserve">29  </w:t>
      </w:r>
      <w:r>
        <w:rPr>
          <w:rFonts w:hint="eastAsia" w:hAnsi="Times New Roman" w:eastAsia="宋体"/>
          <w:szCs w:val="22"/>
          <w:lang w:eastAsia="zh-CN"/>
        </w:rPr>
        <w:t>开江县住房和城乡建设局关于宣汉县彭河煤业有限公司彭河煤矿两矿山企业</w:t>
      </w:r>
      <w:r>
        <w:rPr>
          <w:rFonts w:hAnsi="Times New Roman" w:eastAsia="宋体"/>
          <w:szCs w:val="22"/>
          <w:lang w:eastAsia="zh-CN"/>
        </w:rPr>
        <w:t>30</w:t>
      </w:r>
      <w:r>
        <w:rPr>
          <w:rFonts w:hint="eastAsia" w:hAnsi="Times New Roman" w:eastAsia="宋体"/>
          <w:szCs w:val="22"/>
          <w:lang w:eastAsia="zh-CN"/>
        </w:rPr>
        <w:t>万吨年处置方案征求意见的复函（开江住建函〔</w:t>
      </w:r>
      <w:r>
        <w:rPr>
          <w:rFonts w:hAnsi="Times New Roman" w:eastAsia="宋体"/>
          <w:szCs w:val="22"/>
          <w:lang w:eastAsia="zh-CN"/>
        </w:rPr>
        <w:t>2020</w:t>
      </w:r>
      <w:r>
        <w:rPr>
          <w:rFonts w:hint="eastAsia" w:hAnsi="Times New Roman" w:eastAsia="宋体"/>
          <w:szCs w:val="22"/>
          <w:lang w:eastAsia="zh-CN"/>
        </w:rPr>
        <w:t>〕</w:t>
      </w:r>
      <w:r>
        <w:rPr>
          <w:rFonts w:hAnsi="Times New Roman" w:eastAsia="宋体"/>
          <w:szCs w:val="22"/>
          <w:lang w:eastAsia="zh-CN"/>
        </w:rPr>
        <w:t>57</w:t>
      </w:r>
      <w:r>
        <w:rPr>
          <w:rFonts w:hint="eastAsia" w:hAnsi="Times New Roman" w:eastAsia="宋体"/>
          <w:szCs w:val="22"/>
          <w:lang w:eastAsia="zh-CN"/>
        </w:rPr>
        <w:t>号）</w:t>
      </w:r>
    </w:p>
    <w:p>
      <w:pPr>
        <w:spacing w:line="390" w:lineRule="exact"/>
        <w:ind w:firstLine="480" w:firstLineChars="200"/>
        <w:rPr>
          <w:rFonts w:hAnsi="Times New Roman" w:eastAsia="宋体"/>
          <w:szCs w:val="22"/>
          <w:lang w:eastAsia="zh-CN"/>
        </w:rPr>
      </w:pPr>
      <w:r>
        <w:rPr>
          <w:rFonts w:hint="eastAsia" w:hAnsi="Times New Roman" w:eastAsia="宋体"/>
          <w:szCs w:val="22"/>
          <w:lang w:eastAsia="zh-CN"/>
        </w:rPr>
        <w:t>附件</w:t>
      </w:r>
      <w:r>
        <w:rPr>
          <w:rFonts w:hAnsi="Times New Roman" w:eastAsia="宋体"/>
          <w:szCs w:val="22"/>
          <w:lang w:eastAsia="zh-CN"/>
        </w:rPr>
        <w:t xml:space="preserve">30  </w:t>
      </w:r>
      <w:r>
        <w:rPr>
          <w:rFonts w:hint="eastAsia" w:hAnsi="Times New Roman" w:eastAsia="宋体"/>
          <w:szCs w:val="22"/>
          <w:lang w:eastAsia="zh-CN"/>
        </w:rPr>
        <w:t>达州市人民政府关于宣汉县七里峡煤矿矿业权不影响永久基本农田认定意见的函（达州市人民政府〔2020〕</w:t>
      </w:r>
      <w:r>
        <w:rPr>
          <w:rFonts w:hAnsi="Times New Roman" w:eastAsia="宋体"/>
          <w:szCs w:val="22"/>
          <w:lang w:eastAsia="zh-CN"/>
        </w:rPr>
        <w:t>56</w:t>
      </w:r>
      <w:r>
        <w:rPr>
          <w:rFonts w:hint="eastAsia" w:hAnsi="Times New Roman" w:eastAsia="宋体"/>
          <w:szCs w:val="22"/>
          <w:lang w:eastAsia="zh-CN"/>
        </w:rPr>
        <w:t>号）</w:t>
      </w:r>
    </w:p>
    <w:p>
      <w:pPr>
        <w:spacing w:line="390" w:lineRule="exact"/>
        <w:ind w:firstLine="480" w:firstLineChars="200"/>
        <w:rPr>
          <w:rFonts w:hAnsi="Times New Roman" w:eastAsia="宋体"/>
          <w:szCs w:val="22"/>
          <w:lang w:eastAsia="zh-CN"/>
        </w:rPr>
      </w:pPr>
      <w:r>
        <w:rPr>
          <w:rFonts w:hint="eastAsia" w:hAnsi="Times New Roman" w:eastAsia="宋体"/>
          <w:szCs w:val="22"/>
          <w:lang w:eastAsia="zh-CN"/>
        </w:rPr>
        <w:t>附件</w:t>
      </w:r>
      <w:r>
        <w:rPr>
          <w:rFonts w:hAnsi="Times New Roman" w:eastAsia="宋体"/>
          <w:szCs w:val="22"/>
          <w:lang w:eastAsia="zh-CN"/>
        </w:rPr>
        <w:t xml:space="preserve">31 </w:t>
      </w:r>
      <w:r>
        <w:rPr>
          <w:rFonts w:hint="eastAsia" w:hAnsi="Times New Roman" w:eastAsia="宋体"/>
          <w:szCs w:val="22"/>
          <w:lang w:eastAsia="zh-CN"/>
        </w:rPr>
        <w:t>工业广场继续使用证明</w:t>
      </w:r>
    </w:p>
    <w:p>
      <w:pPr>
        <w:spacing w:line="390" w:lineRule="exact"/>
        <w:ind w:firstLine="480" w:firstLineChars="200"/>
        <w:rPr>
          <w:rFonts w:hAnsi="Times New Roman" w:eastAsia="宋体"/>
          <w:szCs w:val="22"/>
          <w:lang w:eastAsia="zh-CN"/>
        </w:rPr>
      </w:pPr>
      <w:r>
        <w:rPr>
          <w:rFonts w:hint="eastAsia" w:hAnsi="Times New Roman" w:eastAsia="宋体"/>
          <w:szCs w:val="22"/>
          <w:lang w:eastAsia="zh-CN"/>
        </w:rPr>
        <w:t>附件</w:t>
      </w:r>
      <w:r>
        <w:rPr>
          <w:rFonts w:hAnsi="Times New Roman" w:eastAsia="宋体"/>
          <w:szCs w:val="22"/>
          <w:lang w:eastAsia="zh-CN"/>
        </w:rPr>
        <w:t xml:space="preserve">32 </w:t>
      </w:r>
      <w:r>
        <w:rPr>
          <w:rFonts w:hint="eastAsia" w:hAnsi="Times New Roman" w:eastAsia="宋体"/>
          <w:szCs w:val="22"/>
          <w:lang w:eastAsia="zh-CN"/>
        </w:rPr>
        <w:t>用地预审证明（开江局）</w:t>
      </w:r>
    </w:p>
    <w:p>
      <w:pPr>
        <w:spacing w:line="390" w:lineRule="exact"/>
        <w:ind w:firstLine="480" w:firstLineChars="200"/>
        <w:rPr>
          <w:rFonts w:hAnsi="Times New Roman" w:eastAsia="宋体"/>
          <w:szCs w:val="22"/>
          <w:lang w:eastAsia="zh-CN"/>
        </w:rPr>
      </w:pPr>
      <w:r>
        <w:rPr>
          <w:rFonts w:hint="eastAsia" w:hAnsi="Times New Roman" w:eastAsia="宋体"/>
          <w:szCs w:val="22"/>
          <w:lang w:eastAsia="zh-CN"/>
        </w:rPr>
        <w:t>附件</w:t>
      </w:r>
      <w:r>
        <w:rPr>
          <w:rFonts w:hAnsi="Times New Roman" w:eastAsia="宋体"/>
          <w:szCs w:val="22"/>
          <w:lang w:eastAsia="zh-CN"/>
        </w:rPr>
        <w:t xml:space="preserve">33 </w:t>
      </w:r>
      <w:r>
        <w:rPr>
          <w:rFonts w:hint="eastAsia" w:hAnsi="Times New Roman" w:eastAsia="宋体"/>
          <w:szCs w:val="22"/>
          <w:lang w:eastAsia="zh-CN"/>
        </w:rPr>
        <w:t>煤层自燃倾向性与煤尘爆炸性检测报告</w:t>
      </w:r>
    </w:p>
    <w:p>
      <w:pPr>
        <w:spacing w:line="390" w:lineRule="exact"/>
        <w:ind w:firstLine="480" w:firstLineChars="200"/>
        <w:rPr>
          <w:rFonts w:hAnsi="Times New Roman" w:eastAsia="宋体"/>
          <w:szCs w:val="22"/>
          <w:lang w:eastAsia="zh-CN"/>
        </w:rPr>
      </w:pPr>
      <w:r>
        <w:rPr>
          <w:rFonts w:hint="eastAsia" w:hAnsi="Times New Roman" w:eastAsia="宋体"/>
          <w:szCs w:val="22"/>
          <w:lang w:eastAsia="zh-CN"/>
        </w:rPr>
        <w:t>附件</w:t>
      </w:r>
      <w:r>
        <w:rPr>
          <w:rFonts w:hAnsi="Times New Roman" w:eastAsia="宋体"/>
          <w:szCs w:val="22"/>
          <w:lang w:eastAsia="zh-CN"/>
        </w:rPr>
        <w:t xml:space="preserve">34 </w:t>
      </w:r>
      <w:r>
        <w:rPr>
          <w:rFonts w:hint="eastAsia" w:hAnsi="Times New Roman" w:eastAsia="宋体"/>
          <w:szCs w:val="22"/>
          <w:lang w:eastAsia="zh-CN"/>
        </w:rPr>
        <w:t>瓦斯等级鉴定报告</w:t>
      </w:r>
    </w:p>
    <w:p>
      <w:pPr>
        <w:spacing w:line="390" w:lineRule="exact"/>
        <w:ind w:firstLine="480" w:firstLineChars="200"/>
        <w:rPr>
          <w:rFonts w:hAnsi="Times New Roman" w:eastAsia="宋体"/>
          <w:szCs w:val="22"/>
          <w:lang w:eastAsia="zh-CN"/>
        </w:rPr>
      </w:pPr>
      <w:r>
        <w:rPr>
          <w:rFonts w:hint="eastAsia" w:hAnsi="Times New Roman" w:eastAsia="宋体"/>
          <w:szCs w:val="22"/>
          <w:lang w:eastAsia="zh-CN"/>
        </w:rPr>
        <w:t>附件</w:t>
      </w:r>
      <w:r>
        <w:rPr>
          <w:rFonts w:hAnsi="Times New Roman" w:eastAsia="宋体"/>
          <w:szCs w:val="22"/>
          <w:lang w:eastAsia="zh-CN"/>
        </w:rPr>
        <w:t xml:space="preserve">35 </w:t>
      </w:r>
      <w:r>
        <w:rPr>
          <w:rFonts w:hint="eastAsia" w:hAnsi="Times New Roman" w:eastAsia="宋体"/>
          <w:szCs w:val="22"/>
          <w:lang w:eastAsia="zh-CN"/>
        </w:rPr>
        <w:t>矸石处理协议</w:t>
      </w:r>
    </w:p>
    <w:p>
      <w:pPr>
        <w:spacing w:line="390" w:lineRule="exact"/>
        <w:ind w:firstLine="480" w:firstLineChars="200"/>
        <w:rPr>
          <w:rFonts w:hAnsi="Times New Roman" w:eastAsia="宋体"/>
          <w:szCs w:val="22"/>
          <w:lang w:eastAsia="zh-CN"/>
        </w:rPr>
      </w:pPr>
      <w:r>
        <w:rPr>
          <w:rFonts w:hint="eastAsia" w:hAnsi="Times New Roman" w:eastAsia="宋体"/>
          <w:szCs w:val="22"/>
          <w:lang w:eastAsia="zh-CN"/>
        </w:rPr>
        <w:t>附件</w:t>
      </w:r>
      <w:r>
        <w:rPr>
          <w:rFonts w:hAnsi="Times New Roman" w:eastAsia="宋体"/>
          <w:szCs w:val="22"/>
          <w:lang w:eastAsia="zh-CN"/>
        </w:rPr>
        <w:t xml:space="preserve">36 </w:t>
      </w:r>
      <w:r>
        <w:rPr>
          <w:rFonts w:hint="eastAsia" w:hAnsi="Times New Roman" w:eastAsia="宋体"/>
          <w:szCs w:val="22"/>
          <w:lang w:eastAsia="zh-CN"/>
        </w:rPr>
        <w:t>七里峡煤矿储量核实评审意见</w:t>
      </w:r>
    </w:p>
    <w:p>
      <w:pPr>
        <w:spacing w:line="390" w:lineRule="exact"/>
        <w:ind w:firstLine="480" w:firstLineChars="200"/>
        <w:rPr>
          <w:rFonts w:hAnsi="Times New Roman" w:eastAsia="宋体"/>
          <w:szCs w:val="22"/>
          <w:lang w:eastAsia="zh-CN"/>
        </w:rPr>
      </w:pPr>
      <w:r>
        <w:rPr>
          <w:rFonts w:hint="eastAsia" w:hAnsi="Times New Roman" w:eastAsia="宋体"/>
          <w:szCs w:val="22"/>
          <w:lang w:eastAsia="zh-CN"/>
        </w:rPr>
        <w:t>附件</w:t>
      </w:r>
      <w:r>
        <w:rPr>
          <w:rFonts w:hAnsi="Times New Roman" w:eastAsia="宋体"/>
          <w:szCs w:val="22"/>
          <w:lang w:eastAsia="zh-CN"/>
        </w:rPr>
        <w:t xml:space="preserve">37 </w:t>
      </w:r>
      <w:r>
        <w:rPr>
          <w:rFonts w:hint="eastAsia" w:hAnsi="Times New Roman" w:eastAsia="宋体"/>
          <w:szCs w:val="22"/>
          <w:lang w:eastAsia="zh-CN"/>
        </w:rPr>
        <w:t>四川省生态环境厅关于印发《四川省达州市宣汉县煤炭矿区总体规划环境影响报告书》审查意见的函（川环建函〔</w:t>
      </w:r>
      <w:r>
        <w:rPr>
          <w:rFonts w:hAnsi="Times New Roman" w:eastAsia="宋体"/>
          <w:szCs w:val="22"/>
          <w:lang w:eastAsia="zh-CN"/>
        </w:rPr>
        <w:t>2022</w:t>
      </w:r>
      <w:r>
        <w:rPr>
          <w:rFonts w:hint="eastAsia" w:hAnsi="Times New Roman" w:eastAsia="宋体"/>
          <w:szCs w:val="22"/>
          <w:lang w:eastAsia="zh-CN"/>
        </w:rPr>
        <w:t>〕</w:t>
      </w:r>
      <w:r>
        <w:rPr>
          <w:rFonts w:hAnsi="Times New Roman" w:eastAsia="宋体"/>
          <w:szCs w:val="22"/>
          <w:lang w:eastAsia="zh-CN"/>
        </w:rPr>
        <w:t>8</w:t>
      </w:r>
      <w:r>
        <w:rPr>
          <w:rFonts w:hint="eastAsia" w:hAnsi="Times New Roman" w:eastAsia="宋体"/>
          <w:szCs w:val="22"/>
          <w:lang w:eastAsia="zh-CN"/>
        </w:rPr>
        <w:t>号</w:t>
      </w:r>
      <w:r>
        <w:rPr>
          <w:rFonts w:hAnsi="Times New Roman" w:eastAsia="宋体"/>
          <w:szCs w:val="22"/>
          <w:lang w:eastAsia="zh-CN"/>
        </w:rPr>
        <w:t xml:space="preserve"> </w:t>
      </w:r>
      <w:r>
        <w:rPr>
          <w:rFonts w:hint="eastAsia" w:hAnsi="Times New Roman" w:eastAsia="宋体"/>
          <w:szCs w:val="22"/>
          <w:lang w:eastAsia="zh-CN"/>
        </w:rPr>
        <w:t>）</w:t>
      </w:r>
    </w:p>
    <w:p>
      <w:pPr>
        <w:spacing w:line="390" w:lineRule="exact"/>
        <w:ind w:firstLine="480" w:firstLineChars="200"/>
        <w:rPr>
          <w:rFonts w:hAnsi="Times New Roman" w:eastAsia="宋体"/>
          <w:szCs w:val="22"/>
          <w:lang w:eastAsia="zh-CN"/>
        </w:rPr>
      </w:pPr>
      <w:r>
        <w:rPr>
          <w:rFonts w:hint="eastAsia" w:hAnsi="Times New Roman" w:eastAsia="宋体"/>
          <w:szCs w:val="22"/>
          <w:lang w:eastAsia="zh-CN"/>
        </w:rPr>
        <w:t>附件</w:t>
      </w:r>
      <w:r>
        <w:rPr>
          <w:rFonts w:hAnsi="Times New Roman" w:eastAsia="宋体"/>
          <w:szCs w:val="22"/>
          <w:lang w:eastAsia="zh-CN"/>
        </w:rPr>
        <w:t xml:space="preserve">38 </w:t>
      </w:r>
      <w:r>
        <w:rPr>
          <w:rFonts w:hint="eastAsia" w:hAnsi="Times New Roman" w:eastAsia="宋体"/>
          <w:szCs w:val="22"/>
          <w:lang w:eastAsia="zh-CN"/>
        </w:rPr>
        <w:t>宣汉县煤炭矿区总体规划的批复</w:t>
      </w:r>
    </w:p>
    <w:p>
      <w:pPr>
        <w:spacing w:line="390" w:lineRule="exact"/>
        <w:ind w:firstLine="480" w:firstLineChars="200"/>
        <w:rPr>
          <w:rFonts w:hAnsi="Times New Roman" w:eastAsia="宋体"/>
          <w:szCs w:val="22"/>
          <w:lang w:eastAsia="zh-CN"/>
        </w:rPr>
      </w:pPr>
      <w:r>
        <w:rPr>
          <w:rFonts w:hint="eastAsia" w:hAnsi="Times New Roman" w:eastAsia="宋体"/>
          <w:szCs w:val="22"/>
          <w:lang w:eastAsia="zh-CN"/>
        </w:rPr>
        <w:t>附件</w:t>
      </w:r>
      <w:r>
        <w:rPr>
          <w:rFonts w:hAnsi="Times New Roman" w:eastAsia="宋体"/>
          <w:szCs w:val="22"/>
          <w:lang w:eastAsia="zh-CN"/>
        </w:rPr>
        <w:t xml:space="preserve">39 </w:t>
      </w:r>
      <w:r>
        <w:rPr>
          <w:rFonts w:hint="eastAsia" w:hAnsi="Times New Roman" w:eastAsia="宋体"/>
          <w:szCs w:val="22"/>
          <w:lang w:eastAsia="zh-CN"/>
        </w:rPr>
        <w:t>宣汉县环境保护局关于达州市宣汉县七里峡煤业有限公司七里峡煤矿</w:t>
      </w:r>
      <w:r>
        <w:rPr>
          <w:rFonts w:hAnsi="Times New Roman" w:eastAsia="宋体"/>
          <w:szCs w:val="22"/>
          <w:lang w:eastAsia="zh-CN"/>
        </w:rPr>
        <w:t>150kta</w:t>
      </w:r>
      <w:r>
        <w:rPr>
          <w:rFonts w:hint="eastAsia" w:hAnsi="Times New Roman" w:eastAsia="宋体"/>
          <w:szCs w:val="22"/>
          <w:lang w:eastAsia="zh-CN"/>
        </w:rPr>
        <w:t>改扩建项目环境影响报告书的批复（宣环审</w:t>
      </w:r>
      <w:r>
        <w:rPr>
          <w:rFonts w:hAnsi="Times New Roman" w:eastAsia="宋体"/>
          <w:szCs w:val="22"/>
          <w:lang w:eastAsia="zh-CN"/>
        </w:rPr>
        <w:t>[2014]108</w:t>
      </w:r>
      <w:r>
        <w:rPr>
          <w:rFonts w:hint="eastAsia" w:hAnsi="Times New Roman" w:eastAsia="宋体"/>
          <w:szCs w:val="22"/>
          <w:lang w:eastAsia="zh-CN"/>
        </w:rPr>
        <w:t>号）</w:t>
      </w:r>
    </w:p>
    <w:p>
      <w:pPr>
        <w:spacing w:line="390" w:lineRule="exact"/>
        <w:ind w:firstLine="480" w:firstLineChars="200"/>
        <w:rPr>
          <w:rFonts w:hAnsi="Times New Roman" w:eastAsia="宋体"/>
          <w:szCs w:val="22"/>
          <w:lang w:eastAsia="zh-CN"/>
        </w:rPr>
      </w:pPr>
      <w:r>
        <w:rPr>
          <w:rFonts w:hint="eastAsia" w:hAnsi="Times New Roman" w:eastAsia="宋体"/>
          <w:szCs w:val="22"/>
          <w:lang w:eastAsia="zh-CN"/>
        </w:rPr>
        <w:t>附件</w:t>
      </w:r>
      <w:r>
        <w:rPr>
          <w:rFonts w:hAnsi="Times New Roman" w:eastAsia="宋体"/>
          <w:szCs w:val="22"/>
          <w:lang w:eastAsia="zh-CN"/>
        </w:rPr>
        <w:t xml:space="preserve">40 </w:t>
      </w:r>
      <w:r>
        <w:rPr>
          <w:rFonts w:hint="eastAsia" w:hAnsi="Times New Roman" w:eastAsia="宋体"/>
          <w:szCs w:val="22"/>
          <w:lang w:eastAsia="zh-CN"/>
        </w:rPr>
        <w:t>宣汉县七里峡煤矿验收监测报告</w:t>
      </w:r>
    </w:p>
    <w:p>
      <w:pPr>
        <w:spacing w:line="390" w:lineRule="exact"/>
        <w:ind w:firstLine="480" w:firstLineChars="200"/>
        <w:rPr>
          <w:rFonts w:hAnsi="Times New Roman" w:eastAsia="宋体"/>
          <w:szCs w:val="22"/>
          <w:lang w:eastAsia="zh-CN"/>
        </w:rPr>
      </w:pPr>
      <w:r>
        <w:rPr>
          <w:rFonts w:hint="eastAsia" w:hAnsi="Times New Roman" w:eastAsia="宋体"/>
          <w:szCs w:val="22"/>
          <w:lang w:eastAsia="zh-CN"/>
        </w:rPr>
        <w:t>附件</w:t>
      </w:r>
      <w:r>
        <w:rPr>
          <w:rFonts w:hAnsi="Times New Roman" w:eastAsia="宋体"/>
          <w:szCs w:val="22"/>
          <w:lang w:eastAsia="zh-CN"/>
        </w:rPr>
        <w:t xml:space="preserve">41 </w:t>
      </w:r>
      <w:r>
        <w:rPr>
          <w:rFonts w:hint="eastAsia" w:hAnsi="Times New Roman" w:eastAsia="宋体"/>
          <w:szCs w:val="22"/>
          <w:lang w:eastAsia="zh-CN"/>
        </w:rPr>
        <w:t>七里峡煤矿检测报告</w:t>
      </w:r>
    </w:p>
    <w:p>
      <w:pPr>
        <w:spacing w:line="390" w:lineRule="exact"/>
        <w:ind w:firstLine="480" w:firstLineChars="200"/>
        <w:rPr>
          <w:rFonts w:hAnsi="Times New Roman" w:eastAsia="宋体"/>
          <w:szCs w:val="22"/>
          <w:lang w:eastAsia="zh-CN"/>
        </w:rPr>
      </w:pPr>
      <w:r>
        <w:rPr>
          <w:rFonts w:hint="eastAsia" w:hAnsi="Times New Roman" w:eastAsia="宋体"/>
          <w:szCs w:val="22"/>
          <w:lang w:eastAsia="zh-CN"/>
        </w:rPr>
        <w:t>附件</w:t>
      </w:r>
      <w:r>
        <w:rPr>
          <w:rFonts w:hAnsi="Times New Roman" w:eastAsia="宋体"/>
          <w:szCs w:val="22"/>
          <w:lang w:eastAsia="zh-CN"/>
        </w:rPr>
        <w:t>42</w:t>
      </w:r>
      <w:r>
        <w:rPr>
          <w:rFonts w:hint="eastAsia" w:hAnsi="Times New Roman" w:eastAsia="宋体"/>
          <w:szCs w:val="22"/>
          <w:lang w:eastAsia="zh-CN"/>
        </w:rPr>
        <w:t>-1 引用宣汉县规划环评监测报告</w:t>
      </w:r>
    </w:p>
    <w:p>
      <w:pPr>
        <w:spacing w:line="390" w:lineRule="exact"/>
        <w:ind w:firstLine="480" w:firstLineChars="200"/>
        <w:rPr>
          <w:rFonts w:hAnsi="Times New Roman" w:eastAsia="宋体"/>
          <w:szCs w:val="22"/>
          <w:lang w:eastAsia="zh-CN"/>
        </w:rPr>
      </w:pPr>
      <w:r>
        <w:rPr>
          <w:rFonts w:hint="eastAsia" w:hAnsi="Times New Roman" w:eastAsia="宋体"/>
          <w:szCs w:val="22"/>
          <w:lang w:eastAsia="zh-CN"/>
        </w:rPr>
        <w:t>附件</w:t>
      </w:r>
      <w:r>
        <w:rPr>
          <w:rFonts w:hAnsi="Times New Roman" w:eastAsia="宋体"/>
          <w:szCs w:val="22"/>
          <w:lang w:eastAsia="zh-CN"/>
        </w:rPr>
        <w:t xml:space="preserve">42-2 </w:t>
      </w:r>
      <w:r>
        <w:rPr>
          <w:rFonts w:hint="eastAsia" w:hAnsi="Times New Roman" w:eastAsia="宋体"/>
          <w:szCs w:val="22"/>
          <w:lang w:eastAsia="zh-CN"/>
        </w:rPr>
        <w:t>引用宣汉县煤炭矿区总体规划监测报告（固废）</w:t>
      </w:r>
    </w:p>
    <w:p>
      <w:pPr>
        <w:spacing w:line="390" w:lineRule="exact"/>
        <w:ind w:firstLine="480" w:firstLineChars="200"/>
        <w:rPr>
          <w:rFonts w:hAnsi="Times New Roman" w:eastAsia="宋体"/>
          <w:szCs w:val="22"/>
          <w:lang w:eastAsia="zh-CN"/>
        </w:rPr>
      </w:pPr>
      <w:r>
        <w:rPr>
          <w:rFonts w:hint="eastAsia" w:hAnsi="Times New Roman" w:eastAsia="宋体"/>
          <w:szCs w:val="22"/>
          <w:lang w:eastAsia="zh-CN"/>
        </w:rPr>
        <w:t>附件</w:t>
      </w:r>
      <w:r>
        <w:rPr>
          <w:rFonts w:hAnsi="Times New Roman" w:eastAsia="宋体"/>
          <w:szCs w:val="22"/>
          <w:lang w:eastAsia="zh-CN"/>
        </w:rPr>
        <w:t xml:space="preserve">42-3 </w:t>
      </w:r>
      <w:r>
        <w:rPr>
          <w:rFonts w:hint="eastAsia" w:hAnsi="Times New Roman" w:eastAsia="宋体"/>
          <w:szCs w:val="22"/>
          <w:lang w:eastAsia="zh-CN"/>
        </w:rPr>
        <w:t>引用七里峡煤矿排污论证报告监测报告</w:t>
      </w:r>
    </w:p>
    <w:p>
      <w:pPr>
        <w:spacing w:line="390" w:lineRule="exact"/>
        <w:ind w:firstLine="480" w:firstLineChars="200"/>
        <w:rPr>
          <w:rFonts w:hAnsi="Times New Roman" w:eastAsia="宋体"/>
          <w:szCs w:val="22"/>
          <w:lang w:eastAsia="zh-CN"/>
        </w:rPr>
      </w:pPr>
      <w:r>
        <w:rPr>
          <w:rFonts w:hint="eastAsia" w:hAnsi="Times New Roman" w:eastAsia="宋体"/>
          <w:szCs w:val="22"/>
          <w:lang w:eastAsia="zh-CN"/>
        </w:rPr>
        <w:t>附件</w:t>
      </w:r>
      <w:r>
        <w:rPr>
          <w:rFonts w:hAnsi="Times New Roman" w:eastAsia="宋体"/>
          <w:szCs w:val="22"/>
          <w:lang w:eastAsia="zh-CN"/>
        </w:rPr>
        <w:t xml:space="preserve">43 </w:t>
      </w:r>
      <w:r>
        <w:rPr>
          <w:rFonts w:hint="eastAsia" w:hAnsi="Times New Roman" w:eastAsia="宋体"/>
          <w:szCs w:val="22"/>
          <w:lang w:eastAsia="zh-CN"/>
        </w:rPr>
        <w:t>项目入河排污口论证批复</w:t>
      </w:r>
    </w:p>
    <w:p>
      <w:pPr>
        <w:spacing w:line="390" w:lineRule="exact"/>
        <w:ind w:firstLine="480" w:firstLineChars="200"/>
        <w:rPr>
          <w:rFonts w:hAnsi="Times New Roman" w:eastAsia="宋体"/>
          <w:szCs w:val="22"/>
          <w:lang w:eastAsia="zh-CN"/>
        </w:rPr>
      </w:pPr>
      <w:r>
        <w:rPr>
          <w:rFonts w:hint="eastAsia" w:hAnsi="Times New Roman" w:eastAsia="宋体"/>
          <w:szCs w:val="22"/>
          <w:lang w:eastAsia="zh-CN"/>
        </w:rPr>
        <w:t>附件</w:t>
      </w:r>
      <w:r>
        <w:rPr>
          <w:rFonts w:hAnsi="Times New Roman" w:eastAsia="宋体"/>
          <w:szCs w:val="22"/>
          <w:lang w:eastAsia="zh-CN"/>
        </w:rPr>
        <w:t xml:space="preserve">44 </w:t>
      </w:r>
      <w:r>
        <w:rPr>
          <w:rFonts w:hint="eastAsia" w:hAnsi="Times New Roman" w:eastAsia="宋体"/>
          <w:szCs w:val="22"/>
          <w:lang w:eastAsia="zh-CN"/>
        </w:rPr>
        <w:t>项目对宣汉县天生镇王一庙（村级）集中式饮用水水源地影响论证报告专家评估意见</w:t>
      </w:r>
    </w:p>
    <w:p>
      <w:pPr>
        <w:spacing w:line="390" w:lineRule="exact"/>
        <w:ind w:firstLine="482" w:firstLineChars="200"/>
        <w:rPr>
          <w:rFonts w:hAnsi="Times New Roman" w:eastAsia="宋体"/>
          <w:b/>
          <w:bCs/>
          <w:szCs w:val="22"/>
          <w:lang w:eastAsia="zh-CN"/>
        </w:rPr>
      </w:pPr>
      <w:r>
        <w:rPr>
          <w:rFonts w:hint="eastAsia" w:hAnsi="Times New Roman" w:eastAsia="宋体"/>
          <w:b/>
          <w:bCs/>
          <w:szCs w:val="22"/>
          <w:lang w:eastAsia="zh-CN"/>
        </w:rPr>
        <w:t>附表</w:t>
      </w:r>
    </w:p>
    <w:p>
      <w:pPr>
        <w:spacing w:line="390" w:lineRule="exact"/>
        <w:ind w:firstLine="480" w:firstLineChars="200"/>
        <w:rPr>
          <w:rFonts w:hAnsi="Times New Roman" w:eastAsia="宋体"/>
          <w:szCs w:val="22"/>
          <w:lang w:eastAsia="zh-CN"/>
        </w:rPr>
      </w:pPr>
      <w:r>
        <w:rPr>
          <w:rFonts w:hint="eastAsia" w:hAnsi="Times New Roman" w:eastAsia="宋体"/>
          <w:szCs w:val="22"/>
          <w:lang w:eastAsia="zh-CN"/>
        </w:rPr>
        <w:t>附表</w:t>
      </w:r>
      <w:r>
        <w:rPr>
          <w:rFonts w:hAnsi="Times New Roman" w:eastAsia="宋体"/>
          <w:szCs w:val="22"/>
          <w:lang w:eastAsia="zh-CN"/>
        </w:rPr>
        <w:t xml:space="preserve">1 </w:t>
      </w:r>
      <w:r>
        <w:rPr>
          <w:rFonts w:hint="eastAsia" w:hAnsi="Times New Roman" w:eastAsia="宋体"/>
          <w:szCs w:val="22"/>
          <w:lang w:eastAsia="zh-CN"/>
        </w:rPr>
        <w:t>评价区动植物名录</w:t>
      </w:r>
    </w:p>
    <w:p>
      <w:pPr>
        <w:spacing w:line="390" w:lineRule="exact"/>
        <w:ind w:firstLine="480" w:firstLineChars="200"/>
        <w:rPr>
          <w:rFonts w:hAnsi="Times New Roman" w:eastAsia="宋体"/>
          <w:szCs w:val="22"/>
          <w:lang w:eastAsia="zh-CN"/>
        </w:rPr>
      </w:pPr>
      <w:r>
        <w:rPr>
          <w:rFonts w:hint="eastAsia" w:hAnsi="Times New Roman" w:eastAsia="宋体"/>
          <w:szCs w:val="22"/>
          <w:lang w:eastAsia="zh-CN"/>
        </w:rPr>
        <w:t>附表</w:t>
      </w:r>
      <w:r>
        <w:rPr>
          <w:rFonts w:hAnsi="Times New Roman" w:eastAsia="宋体"/>
          <w:szCs w:val="22"/>
          <w:lang w:eastAsia="zh-CN"/>
        </w:rPr>
        <w:t xml:space="preserve">2 </w:t>
      </w:r>
      <w:r>
        <w:rPr>
          <w:rFonts w:hint="eastAsia" w:hAnsi="Times New Roman" w:eastAsia="宋体"/>
          <w:szCs w:val="22"/>
          <w:lang w:eastAsia="zh-CN"/>
        </w:rPr>
        <w:t>植物样方调查表</w:t>
      </w:r>
    </w:p>
    <w:p>
      <w:pPr>
        <w:spacing w:line="390" w:lineRule="exact"/>
        <w:ind w:firstLine="480" w:firstLineChars="200"/>
        <w:rPr>
          <w:rFonts w:hAnsi="Times New Roman" w:eastAsia="宋体"/>
          <w:szCs w:val="22"/>
          <w:lang w:eastAsia="zh-CN"/>
        </w:rPr>
      </w:pPr>
      <w:r>
        <w:rPr>
          <w:rFonts w:hint="eastAsia" w:hAnsi="Times New Roman" w:eastAsia="宋体"/>
          <w:szCs w:val="22"/>
          <w:lang w:eastAsia="zh-CN"/>
        </w:rPr>
        <w:t>附表</w:t>
      </w:r>
      <w:r>
        <w:rPr>
          <w:rFonts w:hAnsi="Times New Roman" w:eastAsia="宋体"/>
          <w:szCs w:val="22"/>
          <w:lang w:eastAsia="zh-CN"/>
        </w:rPr>
        <w:t xml:space="preserve">3 </w:t>
      </w:r>
      <w:r>
        <w:rPr>
          <w:rFonts w:hint="eastAsia" w:hAnsi="Times New Roman" w:eastAsia="宋体"/>
          <w:szCs w:val="22"/>
          <w:lang w:eastAsia="zh-CN"/>
        </w:rPr>
        <w:t>动物样线调查表</w:t>
      </w:r>
    </w:p>
    <w:p>
      <w:pPr>
        <w:spacing w:line="390" w:lineRule="exact"/>
        <w:ind w:firstLine="480" w:firstLineChars="200"/>
        <w:rPr>
          <w:rFonts w:hAnsi="Times New Roman" w:eastAsia="宋体"/>
          <w:szCs w:val="22"/>
          <w:lang w:eastAsia="zh-CN"/>
        </w:rPr>
      </w:pPr>
      <w:r>
        <w:rPr>
          <w:rFonts w:hint="eastAsia" w:hAnsi="Times New Roman" w:eastAsia="宋体"/>
          <w:szCs w:val="22"/>
          <w:lang w:eastAsia="zh-CN"/>
        </w:rPr>
        <w:t>附表</w:t>
      </w:r>
      <w:r>
        <w:rPr>
          <w:rFonts w:hAnsi="Times New Roman" w:eastAsia="宋体"/>
          <w:szCs w:val="22"/>
          <w:lang w:eastAsia="zh-CN"/>
        </w:rPr>
        <w:t xml:space="preserve">4 </w:t>
      </w:r>
      <w:r>
        <w:rPr>
          <w:rFonts w:hint="eastAsia" w:hAnsi="Times New Roman" w:eastAsia="宋体"/>
          <w:szCs w:val="22"/>
          <w:lang w:eastAsia="zh-CN"/>
        </w:rPr>
        <w:t>生态影响评价因子筛选表</w:t>
      </w:r>
    </w:p>
    <w:p>
      <w:pPr>
        <w:spacing w:line="390" w:lineRule="exact"/>
        <w:ind w:firstLine="480" w:firstLineChars="200"/>
        <w:rPr>
          <w:rFonts w:hAnsi="Times New Roman" w:eastAsia="宋体"/>
          <w:szCs w:val="22"/>
          <w:lang w:eastAsia="zh-CN"/>
        </w:rPr>
      </w:pPr>
      <w:r>
        <w:rPr>
          <w:rFonts w:hint="eastAsia" w:hAnsi="Times New Roman" w:eastAsia="宋体"/>
          <w:szCs w:val="22"/>
          <w:lang w:eastAsia="zh-CN"/>
        </w:rPr>
        <w:t>附表</w:t>
      </w:r>
      <w:r>
        <w:rPr>
          <w:rFonts w:hAnsi="Times New Roman" w:eastAsia="宋体"/>
          <w:szCs w:val="22"/>
          <w:lang w:eastAsia="zh-CN"/>
        </w:rPr>
        <w:t xml:space="preserve">5 </w:t>
      </w:r>
      <w:r>
        <w:rPr>
          <w:rFonts w:hint="eastAsia" w:hAnsi="Times New Roman" w:eastAsia="宋体"/>
          <w:szCs w:val="22"/>
          <w:lang w:eastAsia="zh-CN"/>
        </w:rPr>
        <w:t>生态影响评价自查表</w:t>
      </w:r>
    </w:p>
    <w:p>
      <w:pPr>
        <w:pStyle w:val="14"/>
        <w:overflowPunct w:val="0"/>
        <w:spacing w:line="360" w:lineRule="auto"/>
        <w:ind w:left="120" w:firstLine="480"/>
        <w:rPr>
          <w:rFonts w:ascii="Times New Roman" w:hAnsi="Times New Roman"/>
          <w:sz w:val="24"/>
          <w:lang w:eastAsia="zh-CN"/>
        </w:rPr>
        <w:sectPr>
          <w:pgSz w:w="11906" w:h="16838"/>
          <w:pgMar w:top="1440" w:right="1304" w:bottom="1440" w:left="1474" w:header="851" w:footer="992" w:gutter="0"/>
          <w:cols w:space="720" w:num="1"/>
          <w:docGrid w:type="lines" w:linePitch="312" w:charSpace="0"/>
        </w:sectPr>
      </w:pPr>
    </w:p>
    <w:p>
      <w:pPr>
        <w:pStyle w:val="4"/>
        <w:rPr>
          <w:lang w:eastAsia="zh-CN"/>
        </w:rPr>
      </w:pPr>
      <w:bookmarkStart w:id="0" w:name="_Toc167095098"/>
      <w:bookmarkStart w:id="1" w:name="_Toc163749144"/>
      <w:r>
        <w:rPr>
          <w:lang w:eastAsia="zh-CN"/>
        </w:rPr>
        <w:t>概述</w:t>
      </w:r>
      <w:bookmarkEnd w:id="0"/>
      <w:bookmarkEnd w:id="1"/>
    </w:p>
    <w:p>
      <w:pPr>
        <w:spacing w:line="360" w:lineRule="auto"/>
        <w:ind w:firstLine="482" w:firstLineChars="200"/>
        <w:rPr>
          <w:rFonts w:hAnsi="Times New Roman" w:eastAsia="宋体"/>
          <w:b/>
          <w:bCs/>
          <w:lang w:eastAsia="zh-CN"/>
        </w:rPr>
      </w:pPr>
      <w:r>
        <w:rPr>
          <w:rFonts w:hAnsi="Times New Roman" w:eastAsia="宋体"/>
          <w:b/>
          <w:bCs/>
          <w:lang w:eastAsia="zh-CN"/>
        </w:rPr>
        <w:t>一、项目概况</w:t>
      </w:r>
    </w:p>
    <w:p>
      <w:pPr>
        <w:spacing w:line="360" w:lineRule="auto"/>
        <w:ind w:firstLine="480" w:firstLineChars="200"/>
        <w:rPr>
          <w:rFonts w:hAnsi="Times New Roman" w:eastAsia="宋体"/>
          <w:lang w:eastAsia="zh-CN"/>
        </w:rPr>
      </w:pPr>
      <w:r>
        <w:rPr>
          <w:rFonts w:hAnsi="Times New Roman" w:eastAsia="宋体"/>
          <w:lang w:eastAsia="zh-CN"/>
        </w:rPr>
        <w:t>达州市宣汉县七里峡煤业有限公司七里峡煤矿（以下简称“七里峡煤矿”）位于达州市宣汉县县城177°方向，直线距离约16km，矿区跨达州市宣汉县、开江县和达川区，工业广场位于宣汉县天生镇洞宫社区神龙路1号，行政区划隶属四川省达州市宣汉县天生镇洞宫社区所辖，矿区中心位置地理坐标</w:t>
      </w:r>
      <w:r>
        <w:rPr>
          <w:rFonts w:hint="eastAsia" w:hAnsi="Times New Roman" w:eastAsia="宋体"/>
          <w:lang w:eastAsia="zh-CN"/>
        </w:rPr>
        <w:t>：</w:t>
      </w:r>
      <w:r>
        <w:rPr>
          <w:rFonts w:hAnsi="Times New Roman" w:eastAsia="宋体"/>
          <w:lang w:eastAsia="zh-CN"/>
        </w:rPr>
        <w:t>东经107°44′17″，北纬31°11′26″。七里峡煤矿矿区不属国家规划大型矿区，属地方开采的小型矿区。</w:t>
      </w:r>
    </w:p>
    <w:p>
      <w:pPr>
        <w:spacing w:line="360" w:lineRule="auto"/>
        <w:ind w:firstLine="480" w:firstLineChars="200"/>
        <w:rPr>
          <w:rFonts w:hAnsi="Times New Roman" w:eastAsia="宋体"/>
          <w:lang w:eastAsia="zh-CN"/>
        </w:rPr>
      </w:pPr>
      <w:r>
        <w:rPr>
          <w:rFonts w:hAnsi="Times New Roman" w:eastAsia="宋体"/>
          <w:lang w:eastAsia="zh-CN"/>
        </w:rPr>
        <w:t>七里峡煤矿前身为四川省监狱管理局下属的四川省大路煤矿七里峡煤井，该矿井为1976年10月四川省劳改局（现四川省监狱管理局）以公劳生1976（573号</w:t>
      </w:r>
      <w:r>
        <w:rPr>
          <w:rFonts w:hint="eastAsia" w:hAnsi="Times New Roman" w:eastAsia="宋体"/>
          <w:lang w:eastAsia="zh-CN"/>
        </w:rPr>
        <w:t>）</w:t>
      </w:r>
      <w:r>
        <w:rPr>
          <w:rFonts w:hAnsi="Times New Roman" w:eastAsia="宋体"/>
          <w:lang w:eastAsia="zh-CN"/>
        </w:rPr>
        <w:t>文同意新建，于1993年正式投入生产，1999年10月20日四川省地矿厅首次颁发该矿采矿</w:t>
      </w:r>
      <w:r>
        <w:rPr>
          <w:rFonts w:hint="eastAsia" w:hAnsi="Times New Roman" w:eastAsia="宋体"/>
          <w:lang w:eastAsia="zh-CN"/>
        </w:rPr>
        <w:t>许可证</w:t>
      </w:r>
      <w:r>
        <w:rPr>
          <w:rFonts w:hAnsi="Times New Roman" w:eastAsia="宋体"/>
          <w:lang w:eastAsia="zh-CN"/>
        </w:rPr>
        <w:t>，核定生产能力为90kt/a，经十余年开采，上山资源逐渐枯竭，在2005年矿井采矿许可证延续时，矿井生产能力下调为60kt/a。2008年4月转制为有限责任公司，达州市宣汉县七里峡煤业有限公司接手该矿井；2009年3月，四川省煤炭资源整合办公室以川煤整合函</w:t>
      </w:r>
      <w:r>
        <w:rPr>
          <w:rFonts w:hint="eastAsia" w:hAnsi="Times New Roman" w:eastAsia="宋体"/>
          <w:lang w:eastAsia="zh-CN"/>
        </w:rPr>
        <w:t>〔</w:t>
      </w:r>
      <w:r>
        <w:rPr>
          <w:rFonts w:hint="eastAsia" w:hAnsi="Times New Roman" w:eastAsia="宋体"/>
          <w:lang w:val="en-US" w:eastAsia="zh-CN"/>
        </w:rPr>
        <w:t>2009</w:t>
      </w:r>
      <w:r>
        <w:rPr>
          <w:rFonts w:hint="eastAsia" w:hAnsi="Times New Roman" w:eastAsia="宋体"/>
          <w:lang w:eastAsia="zh-CN"/>
        </w:rPr>
        <w:t>〕</w:t>
      </w:r>
      <w:r>
        <w:rPr>
          <w:rFonts w:hAnsi="Times New Roman" w:eastAsia="宋体"/>
          <w:lang w:eastAsia="zh-CN"/>
        </w:rPr>
        <w:t>5号文核准为独立扩能矿井，矿井生产能力扩至150kt/a。2014年7月 ，四川省国土资源厅为七里峡煤矿办理了采矿许可证延续（证号：C5100002010111120084196），矿区范围由1～41号拐点坐标圈定，面积为4.9105km</w:t>
      </w:r>
      <w:r>
        <w:rPr>
          <w:rFonts w:hAnsi="Times New Roman" w:eastAsia="宋体"/>
          <w:vertAlign w:val="superscript"/>
          <w:lang w:eastAsia="zh-CN"/>
        </w:rPr>
        <w:t>2</w:t>
      </w:r>
      <w:r>
        <w:rPr>
          <w:rFonts w:hAnsi="Times New Roman" w:eastAsia="宋体"/>
          <w:lang w:eastAsia="zh-CN"/>
        </w:rPr>
        <w:t>，批准开采煤层为K</w:t>
      </w:r>
      <w:r>
        <w:rPr>
          <w:rFonts w:hAnsi="Times New Roman" w:eastAsia="宋体"/>
          <w:vertAlign w:val="subscript"/>
          <w:lang w:eastAsia="zh-CN"/>
        </w:rPr>
        <w:t>1</w:t>
      </w:r>
      <w:r>
        <w:rPr>
          <w:rFonts w:hAnsi="Times New Roman" w:eastAsia="宋体"/>
          <w:lang w:eastAsia="zh-CN"/>
        </w:rPr>
        <w:t>、K</w:t>
      </w:r>
      <w:r>
        <w:rPr>
          <w:rFonts w:hAnsi="Times New Roman" w:eastAsia="宋体"/>
          <w:vertAlign w:val="subscript"/>
          <w:lang w:eastAsia="zh-CN"/>
        </w:rPr>
        <w:t>4</w:t>
      </w:r>
      <w:r>
        <w:rPr>
          <w:rFonts w:hAnsi="Times New Roman" w:eastAsia="宋体"/>
          <w:lang w:eastAsia="zh-CN"/>
        </w:rPr>
        <w:t>、K</w:t>
      </w:r>
      <w:r>
        <w:rPr>
          <w:rFonts w:hAnsi="Times New Roman" w:eastAsia="宋体"/>
          <w:vertAlign w:val="subscript"/>
          <w:lang w:eastAsia="zh-CN"/>
        </w:rPr>
        <w:t>5</w:t>
      </w:r>
      <w:r>
        <w:rPr>
          <w:rFonts w:hAnsi="Times New Roman" w:eastAsia="宋体"/>
          <w:lang w:eastAsia="zh-CN"/>
        </w:rPr>
        <w:t>、K</w:t>
      </w:r>
      <w:r>
        <w:rPr>
          <w:rFonts w:hAnsi="Times New Roman" w:eastAsia="宋体"/>
          <w:vertAlign w:val="subscript"/>
          <w:lang w:eastAsia="zh-CN"/>
        </w:rPr>
        <w:t>6</w:t>
      </w:r>
      <w:r>
        <w:rPr>
          <w:rFonts w:hAnsi="Times New Roman" w:eastAsia="宋体"/>
          <w:lang w:eastAsia="zh-CN"/>
        </w:rPr>
        <w:t>、K</w:t>
      </w:r>
      <w:r>
        <w:rPr>
          <w:rFonts w:hAnsi="Times New Roman" w:eastAsia="宋体"/>
          <w:vertAlign w:val="subscript"/>
          <w:lang w:eastAsia="zh-CN"/>
        </w:rPr>
        <w:t>8</w:t>
      </w:r>
      <w:r>
        <w:rPr>
          <w:rFonts w:hAnsi="Times New Roman" w:eastAsia="宋体"/>
          <w:lang w:eastAsia="zh-CN"/>
        </w:rPr>
        <w:t>、K</w:t>
      </w:r>
      <w:r>
        <w:rPr>
          <w:rFonts w:hAnsi="Times New Roman" w:eastAsia="宋体"/>
          <w:vertAlign w:val="subscript"/>
          <w:lang w:eastAsia="zh-CN"/>
        </w:rPr>
        <w:t>9</w:t>
      </w:r>
      <w:r>
        <w:rPr>
          <w:rFonts w:hAnsi="Times New Roman" w:eastAsia="宋体"/>
          <w:lang w:eastAsia="zh-CN"/>
        </w:rPr>
        <w:t>、K</w:t>
      </w:r>
      <w:r>
        <w:rPr>
          <w:rFonts w:hAnsi="Times New Roman" w:eastAsia="宋体"/>
          <w:vertAlign w:val="subscript"/>
          <w:lang w:eastAsia="zh-CN"/>
        </w:rPr>
        <w:t>10</w:t>
      </w:r>
      <w:r>
        <w:rPr>
          <w:rFonts w:hAnsi="Times New Roman" w:eastAsia="宋体"/>
          <w:lang w:eastAsia="zh-CN"/>
        </w:rPr>
        <w:t>煤层，允许开采深度为+670m～+200m标高，生产规模15.0万吨/年。2019年七里峡煤矿主动避让退出与观音山景区重叠面积，缩小矿区范围，积极支持四川宣汉国家森林公园观音山景区生态环境保护工作，2021年1月，四川省自然资源厅为七里峡煤矿换发了采矿许可证，证号：C5100002010111120084196，矿区范围由1～32号拐点坐标圈定，面积为3.4715km</w:t>
      </w:r>
      <w:r>
        <w:rPr>
          <w:rFonts w:hAnsi="Times New Roman" w:eastAsia="宋体"/>
          <w:vertAlign w:val="superscript"/>
          <w:lang w:eastAsia="zh-CN"/>
        </w:rPr>
        <w:t>2</w:t>
      </w:r>
      <w:r>
        <w:rPr>
          <w:rFonts w:hAnsi="Times New Roman" w:eastAsia="宋体"/>
          <w:lang w:eastAsia="zh-CN"/>
        </w:rPr>
        <w:t>，批准开采煤层为K</w:t>
      </w:r>
      <w:r>
        <w:rPr>
          <w:rFonts w:hAnsi="Times New Roman" w:eastAsia="宋体"/>
          <w:vertAlign w:val="subscript"/>
          <w:lang w:eastAsia="zh-CN"/>
        </w:rPr>
        <w:t>4</w:t>
      </w:r>
      <w:r>
        <w:rPr>
          <w:rFonts w:hAnsi="Times New Roman" w:eastAsia="宋体"/>
          <w:lang w:eastAsia="zh-CN"/>
        </w:rPr>
        <w:t>、K</w:t>
      </w:r>
      <w:r>
        <w:rPr>
          <w:rFonts w:hAnsi="Times New Roman" w:eastAsia="宋体"/>
          <w:vertAlign w:val="subscript"/>
          <w:lang w:eastAsia="zh-CN"/>
        </w:rPr>
        <w:t>5</w:t>
      </w:r>
      <w:r>
        <w:rPr>
          <w:rFonts w:hAnsi="Times New Roman" w:eastAsia="宋体"/>
          <w:lang w:eastAsia="zh-CN"/>
        </w:rPr>
        <w:t>、K</w:t>
      </w:r>
      <w:r>
        <w:rPr>
          <w:rFonts w:hAnsi="Times New Roman" w:eastAsia="宋体"/>
          <w:vertAlign w:val="subscript"/>
          <w:lang w:eastAsia="zh-CN"/>
        </w:rPr>
        <w:t>5-1</w:t>
      </w:r>
      <w:r>
        <w:rPr>
          <w:rFonts w:hAnsi="Times New Roman" w:eastAsia="宋体"/>
          <w:lang w:eastAsia="zh-CN"/>
        </w:rPr>
        <w:t>、K</w:t>
      </w:r>
      <w:r>
        <w:rPr>
          <w:rFonts w:hAnsi="Times New Roman" w:eastAsia="宋体"/>
          <w:vertAlign w:val="subscript"/>
          <w:lang w:eastAsia="zh-CN"/>
        </w:rPr>
        <w:t>6</w:t>
      </w:r>
      <w:r>
        <w:rPr>
          <w:rFonts w:hAnsi="Times New Roman" w:eastAsia="宋体"/>
          <w:lang w:eastAsia="zh-CN"/>
        </w:rPr>
        <w:t>、K</w:t>
      </w:r>
      <w:r>
        <w:rPr>
          <w:rFonts w:hAnsi="Times New Roman" w:eastAsia="宋体"/>
          <w:vertAlign w:val="subscript"/>
          <w:lang w:eastAsia="zh-CN"/>
        </w:rPr>
        <w:t>8</w:t>
      </w:r>
      <w:r>
        <w:rPr>
          <w:rFonts w:hAnsi="Times New Roman" w:eastAsia="宋体"/>
          <w:lang w:eastAsia="zh-CN"/>
        </w:rPr>
        <w:t>、K</w:t>
      </w:r>
      <w:r>
        <w:rPr>
          <w:rFonts w:hAnsi="Times New Roman" w:eastAsia="宋体"/>
          <w:vertAlign w:val="subscript"/>
          <w:lang w:eastAsia="zh-CN"/>
        </w:rPr>
        <w:t>10</w:t>
      </w:r>
      <w:r>
        <w:rPr>
          <w:rFonts w:hAnsi="Times New Roman" w:eastAsia="宋体"/>
          <w:lang w:eastAsia="zh-CN"/>
        </w:rPr>
        <w:t>煤层，允许开采深度为+670m～+200m标高，生产规模15.0万吨/年。</w:t>
      </w:r>
    </w:p>
    <w:p>
      <w:pPr>
        <w:spacing w:line="360" w:lineRule="auto"/>
        <w:ind w:firstLine="480" w:firstLineChars="200"/>
        <w:rPr>
          <w:rFonts w:hAnsi="Times New Roman" w:eastAsia="宋体"/>
          <w:lang w:eastAsia="zh-CN"/>
        </w:rPr>
      </w:pPr>
      <w:r>
        <w:rPr>
          <w:rFonts w:hAnsi="Times New Roman" w:eastAsia="宋体"/>
          <w:lang w:eastAsia="zh-CN"/>
        </w:rPr>
        <w:t>2014年达州市宣汉县七里峡煤业有限公司七里峡煤矿委托中煤科工集团重庆设计研究院编制了《达州市宣汉县七里峡煤业有限公司七里峡煤矿150kt/a改扩建项目环境影响报告书》。2014年11月12日，宣汉县环境保护局以“宣环审[2014]108号”文件批复了该项目环境影响报告书。2019年3月，七里峡煤矿委托</w:t>
      </w:r>
      <w:r>
        <w:rPr>
          <w:rFonts w:hAnsi="Times New Roman" w:eastAsia="宋体"/>
          <w:szCs w:val="22"/>
          <w:lang w:eastAsia="zh-CN"/>
        </w:rPr>
        <w:t>四川省</w:t>
      </w:r>
      <w:r>
        <w:rPr>
          <w:rFonts w:hAnsi="Times New Roman" w:eastAsia="宋体"/>
          <w:lang w:eastAsia="zh-CN"/>
        </w:rPr>
        <w:t>华检技术检测服务有限公司编制了《达州市宣汉县七里峡煤业有限公司七里峡煤矿150kt/a改扩建项目竣工环境保护验收调查报告》，同月宣汉县七里峡煤矿组织了竣工环境保护验收，取得验收组专家意见。目前宣汉县七里峡煤矿设计年生产能力达到150kt/a。</w:t>
      </w:r>
    </w:p>
    <w:p>
      <w:pPr>
        <w:spacing w:line="360" w:lineRule="auto"/>
        <w:ind w:firstLine="480" w:firstLineChars="200"/>
        <w:rPr>
          <w:rFonts w:hAnsi="Times New Roman" w:eastAsia="宋体"/>
          <w:lang w:eastAsia="zh-CN"/>
        </w:rPr>
      </w:pPr>
      <w:r>
        <w:rPr>
          <w:rFonts w:hAnsi="Times New Roman" w:eastAsia="宋体"/>
          <w:lang w:eastAsia="zh-CN"/>
        </w:rPr>
        <w:t>2020年2月27日，四川省应急管理厅等部门以《关于印发</w:t>
      </w:r>
      <w:r>
        <w:rPr>
          <w:rFonts w:hint="eastAsia" w:hAnsi="Times New Roman" w:eastAsia="宋体"/>
          <w:lang w:val="en-US" w:eastAsia="zh-CN"/>
        </w:rPr>
        <w:t>&lt;</w:t>
      </w:r>
      <w:r>
        <w:rPr>
          <w:rFonts w:hAnsi="Times New Roman" w:eastAsia="宋体"/>
          <w:lang w:eastAsia="zh-CN"/>
        </w:rPr>
        <w:t>四川省30万吨/年以下煤矿分类处置方案的批复</w:t>
      </w:r>
      <w:r>
        <w:rPr>
          <w:rFonts w:hint="eastAsia" w:hAnsi="Times New Roman" w:eastAsia="宋体"/>
          <w:lang w:eastAsia="zh-CN"/>
        </w:rPr>
        <w:t>〉</w:t>
      </w:r>
      <w:r>
        <w:rPr>
          <w:rFonts w:hAnsi="Times New Roman" w:eastAsia="宋体"/>
          <w:lang w:eastAsia="zh-CN"/>
        </w:rPr>
        <w:t>的通知》（川应急</w:t>
      </w:r>
      <w:r>
        <w:rPr>
          <w:rFonts w:hint="eastAsia" w:hAnsi="Times New Roman" w:eastAsia="宋体"/>
          <w:lang w:eastAsia="zh-CN"/>
        </w:rPr>
        <w:t>〔</w:t>
      </w:r>
      <w:r>
        <w:rPr>
          <w:rFonts w:hint="eastAsia" w:hAnsi="Times New Roman" w:eastAsia="宋体"/>
          <w:lang w:val="en-US" w:eastAsia="zh-CN"/>
        </w:rPr>
        <w:t>2020</w:t>
      </w:r>
      <w:r>
        <w:rPr>
          <w:rFonts w:hint="eastAsia" w:hAnsi="Times New Roman" w:eastAsia="宋体"/>
          <w:lang w:eastAsia="zh-CN"/>
        </w:rPr>
        <w:t>〕</w:t>
      </w:r>
      <w:r>
        <w:rPr>
          <w:rFonts w:hAnsi="Times New Roman" w:eastAsia="宋体"/>
          <w:lang w:eastAsia="zh-CN"/>
        </w:rPr>
        <w:t>31号）文件，发布了四川省人民政府《关于30万吨/年以下煤矿分类处置方案的批复》（川府函</w:t>
      </w:r>
      <w:r>
        <w:rPr>
          <w:rFonts w:hint="eastAsia" w:hAnsi="Times New Roman" w:eastAsia="宋体"/>
          <w:lang w:eastAsia="zh-CN"/>
        </w:rPr>
        <w:t>〔</w:t>
      </w:r>
      <w:r>
        <w:rPr>
          <w:rFonts w:hint="eastAsia" w:hAnsi="Times New Roman" w:eastAsia="宋体"/>
          <w:lang w:val="en-US" w:eastAsia="zh-CN"/>
        </w:rPr>
        <w:t>2020</w:t>
      </w:r>
      <w:r>
        <w:rPr>
          <w:rFonts w:hint="eastAsia" w:hAnsi="Times New Roman" w:eastAsia="宋体"/>
          <w:lang w:eastAsia="zh-CN"/>
        </w:rPr>
        <w:t>〕</w:t>
      </w:r>
      <w:r>
        <w:rPr>
          <w:rFonts w:hAnsi="Times New Roman" w:eastAsia="宋体"/>
          <w:lang w:eastAsia="zh-CN"/>
        </w:rPr>
        <w:t>45号）。根据“川应急</w:t>
      </w:r>
      <w:r>
        <w:rPr>
          <w:rFonts w:hint="eastAsia" w:hAnsi="Times New Roman" w:eastAsia="宋体"/>
          <w:lang w:eastAsia="zh-CN"/>
        </w:rPr>
        <w:t>〔2020〕</w:t>
      </w:r>
      <w:r>
        <w:rPr>
          <w:rFonts w:hAnsi="Times New Roman" w:eastAsia="宋体"/>
          <w:lang w:eastAsia="zh-CN"/>
        </w:rPr>
        <w:t>31号”通知，七里峡煤矿为独立升级改造类矿井，改造后设计规模为300kt/a。</w:t>
      </w:r>
    </w:p>
    <w:p>
      <w:pPr>
        <w:spacing w:line="360" w:lineRule="auto"/>
        <w:ind w:firstLine="480" w:firstLineChars="200"/>
        <w:rPr>
          <w:rFonts w:hAnsi="Times New Roman" w:eastAsia="宋体"/>
          <w:lang w:eastAsia="zh-CN"/>
        </w:rPr>
      </w:pPr>
      <w:r>
        <w:rPr>
          <w:rFonts w:hAnsi="Times New Roman" w:eastAsia="宋体"/>
          <w:lang w:eastAsia="zh-CN"/>
        </w:rPr>
        <w:t>2020年七里峡煤矿委托四川省地质矿产（集团）有限公司对矿区范围内的煤炭资源进行了核实，并提交了《四川省宣汉县七里峡井田七里峡煤矿资源量核实报告》，2021 年1月27日，四川省自然资源厅以“川自然资储备字</w:t>
      </w:r>
      <w:r>
        <w:rPr>
          <w:rFonts w:hint="eastAsia" w:hAnsi="Times New Roman" w:eastAsia="宋体"/>
          <w:lang w:eastAsia="zh-CN"/>
        </w:rPr>
        <w:t>〔</w:t>
      </w:r>
      <w:r>
        <w:rPr>
          <w:rFonts w:hint="eastAsia" w:hAnsi="Times New Roman" w:eastAsia="宋体"/>
          <w:lang w:val="en-US" w:eastAsia="zh-CN"/>
        </w:rPr>
        <w:t>2021</w:t>
      </w:r>
      <w:r>
        <w:rPr>
          <w:rFonts w:hint="eastAsia" w:hAnsi="Times New Roman" w:eastAsia="宋体"/>
          <w:lang w:eastAsia="zh-CN"/>
        </w:rPr>
        <w:t>〕</w:t>
      </w:r>
      <w:r>
        <w:rPr>
          <w:rFonts w:hAnsi="Times New Roman" w:eastAsia="宋体"/>
          <w:lang w:eastAsia="zh-CN"/>
        </w:rPr>
        <w:t>6号”通过评审备案。</w:t>
      </w:r>
    </w:p>
    <w:p>
      <w:pPr>
        <w:spacing w:line="360" w:lineRule="auto"/>
        <w:ind w:firstLine="480" w:firstLineChars="200"/>
        <w:rPr>
          <w:rFonts w:hAnsi="Times New Roman" w:eastAsia="宋体"/>
          <w:szCs w:val="22"/>
          <w:lang w:eastAsia="zh-CN"/>
        </w:rPr>
      </w:pPr>
      <w:r>
        <w:rPr>
          <w:rFonts w:hAnsi="Times New Roman" w:eastAsia="宋体"/>
          <w:szCs w:val="22"/>
          <w:lang w:eastAsia="zh-CN"/>
        </w:rPr>
        <w:t>2021年4月，宣汉县煤矿安全生产服务中心委托四川省煤炭设计研究院编制《四川省达州市宣汉县煤炭矿区总体规划》，宣汉县煤炭矿区总体规划面积123.75平方公里，包含峨层山、赫天祠和大巴山三个片区，总规划资源储量1.45亿吨，矿区规划规模465万吨/年，规划总规模中大路煤矿45万吨/年、炉坪煤矿45万吨/年、福利煤矿30万吨/年、</w:t>
      </w:r>
      <w:r>
        <w:rPr>
          <w:rFonts w:hAnsi="Times New Roman" w:eastAsia="宋体"/>
          <w:b/>
          <w:bCs/>
          <w:szCs w:val="22"/>
          <w:lang w:eastAsia="zh-CN"/>
        </w:rPr>
        <w:t>七里峡煤矿30万吨/年、</w:t>
      </w:r>
      <w:r>
        <w:rPr>
          <w:rFonts w:hAnsi="Times New Roman" w:eastAsia="宋体"/>
          <w:szCs w:val="22"/>
          <w:lang w:eastAsia="zh-CN"/>
        </w:rPr>
        <w:t>上峡煤矿60万吨/年、福禄煤矿45万吨/年、楠木沟煤矿30万吨/年、彭河煤矿30万吨/年、吉祥煤矿30万吨/年、勇平煤矿30万吨/年、漆碑乡煤矿30万吨/年、金花煤矿45万吨/年和富兴煤矿15万吨/年。2021年10月，宣汉县煤矿安全生产服务中心委托成都中环国保科技有限公司编制《四川省达州市宣汉县煤炭矿区总体规划环境影响报告书》，2022年1月24日，四川省生态环境厅在成都市组织召开了《四川省达州市宣汉县煤炭矿区总体规划环境影响报告书》审查会，并取得了四川省生态环境关于印发《四川四川省达州市宣汉县煤炭矿区总体规划环境影响报告书》审查意见的函（川环建函</w:t>
      </w:r>
      <w:r>
        <w:rPr>
          <w:rFonts w:hAnsi="Times New Roman" w:eastAsia="宋体"/>
          <w:lang w:eastAsia="zh-CN"/>
        </w:rPr>
        <w:t>〔20</w:t>
      </w:r>
      <w:r>
        <w:rPr>
          <w:rFonts w:hint="eastAsia" w:hAnsi="Times New Roman" w:eastAsia="宋体"/>
          <w:lang w:eastAsia="zh-CN"/>
        </w:rPr>
        <w:t>22</w:t>
      </w:r>
      <w:r>
        <w:rPr>
          <w:rFonts w:hAnsi="Times New Roman" w:eastAsia="宋体"/>
          <w:lang w:eastAsia="zh-CN"/>
        </w:rPr>
        <w:t>〕</w:t>
      </w:r>
      <w:r>
        <w:rPr>
          <w:rFonts w:hAnsi="Times New Roman" w:eastAsia="宋体"/>
          <w:szCs w:val="22"/>
          <w:lang w:eastAsia="zh-CN"/>
        </w:rPr>
        <w:t>8号）。</w:t>
      </w:r>
      <w:r>
        <w:rPr>
          <w:rFonts w:hint="eastAsia" w:hAnsi="Times New Roman" w:eastAsia="宋体"/>
          <w:lang w:eastAsia="zh-CN"/>
        </w:rPr>
        <w:t>七里峡煤矿由于现持采矿许可证矿区范围部分未在四川省发展和改革委员会《关于宣汉县煤炭矿区总体规划的批复》（川发改能源〔2022〕253号）范围内，因此本次设计在现持采矿许可证范围内将未在规划范围内的部分矿区范围予以退出，退出后七里峡煤矿设计矿区范围由20个拐点坐标圈定，面积约1.6285km</w:t>
      </w:r>
      <w:r>
        <w:rPr>
          <w:rFonts w:hint="eastAsia" w:hAnsi="Times New Roman" w:eastAsia="宋体"/>
          <w:vertAlign w:val="superscript"/>
          <w:lang w:eastAsia="zh-CN"/>
        </w:rPr>
        <w:t>2</w:t>
      </w:r>
      <w:r>
        <w:rPr>
          <w:rFonts w:hint="eastAsia" w:hAnsi="Times New Roman" w:eastAsia="宋体"/>
          <w:lang w:eastAsia="zh-CN"/>
        </w:rPr>
        <w:t>，开采深度为+670m～+200m，开采煤层为K</w:t>
      </w:r>
      <w:r>
        <w:rPr>
          <w:rFonts w:hint="eastAsia" w:hAnsi="Times New Roman" w:eastAsia="宋体"/>
          <w:vertAlign w:val="subscript"/>
          <w:lang w:eastAsia="zh-CN"/>
        </w:rPr>
        <w:t>6</w:t>
      </w:r>
      <w:r>
        <w:rPr>
          <w:rFonts w:hint="eastAsia" w:hAnsi="Times New Roman" w:eastAsia="宋体"/>
          <w:lang w:eastAsia="zh-CN"/>
        </w:rPr>
        <w:t>、K</w:t>
      </w:r>
      <w:r>
        <w:rPr>
          <w:rFonts w:hint="eastAsia" w:hAnsi="Times New Roman" w:eastAsia="宋体"/>
          <w:vertAlign w:val="subscript"/>
          <w:lang w:eastAsia="zh-CN"/>
        </w:rPr>
        <w:t>5-1</w:t>
      </w:r>
      <w:r>
        <w:rPr>
          <w:rFonts w:hint="eastAsia" w:hAnsi="Times New Roman" w:eastAsia="宋体"/>
          <w:lang w:eastAsia="zh-CN"/>
        </w:rPr>
        <w:t>、K</w:t>
      </w:r>
      <w:r>
        <w:rPr>
          <w:rFonts w:hint="eastAsia" w:hAnsi="Times New Roman" w:eastAsia="宋体"/>
          <w:vertAlign w:val="subscript"/>
          <w:lang w:eastAsia="zh-CN"/>
        </w:rPr>
        <w:t>5</w:t>
      </w:r>
      <w:r>
        <w:rPr>
          <w:rFonts w:hint="eastAsia" w:hAnsi="Times New Roman" w:eastAsia="宋体"/>
          <w:lang w:eastAsia="zh-CN"/>
        </w:rPr>
        <w:t>煤层，设计规模30万吨/年。</w:t>
      </w:r>
      <w:r>
        <w:rPr>
          <w:rFonts w:hint="eastAsia" w:hAnsi="Times New Roman" w:eastAsia="宋体"/>
          <w:szCs w:val="22"/>
          <w:lang w:eastAsia="zh-CN"/>
        </w:rPr>
        <w:t>项目开采范围未超出总规规划的矿区范围，开采规模及开采煤层均与总规相符。因此</w:t>
      </w:r>
      <w:r>
        <w:rPr>
          <w:rFonts w:hAnsi="Times New Roman" w:eastAsia="宋体"/>
          <w:szCs w:val="22"/>
          <w:lang w:eastAsia="zh-CN"/>
        </w:rPr>
        <w:t>符合《四川省达州市宣汉县煤炭矿区总体规划</w:t>
      </w:r>
      <w:r>
        <w:rPr>
          <w:rFonts w:hint="eastAsia" w:hAnsi="Times New Roman" w:eastAsia="宋体"/>
          <w:szCs w:val="22"/>
          <w:lang w:eastAsia="zh-CN"/>
        </w:rPr>
        <w:t>》《</w:t>
      </w:r>
      <w:r>
        <w:rPr>
          <w:rFonts w:hAnsi="Times New Roman" w:eastAsia="宋体"/>
          <w:szCs w:val="22"/>
          <w:lang w:eastAsia="zh-CN"/>
        </w:rPr>
        <w:t>四川省达州市宣汉县煤炭矿区总体规划环境影响报告书》及其审查意见要求。</w:t>
      </w:r>
    </w:p>
    <w:p>
      <w:pPr>
        <w:spacing w:line="360" w:lineRule="auto"/>
        <w:ind w:firstLine="480" w:firstLineChars="200"/>
        <w:rPr>
          <w:rFonts w:hAnsi="Times New Roman" w:eastAsia="宋体"/>
          <w:lang w:eastAsia="zh-CN"/>
        </w:rPr>
      </w:pPr>
      <w:r>
        <w:rPr>
          <w:rFonts w:hAnsi="Times New Roman" w:eastAsia="宋体"/>
          <w:lang w:eastAsia="zh-CN"/>
        </w:rPr>
        <w:t>202</w:t>
      </w:r>
      <w:r>
        <w:rPr>
          <w:rFonts w:hint="eastAsia" w:hAnsi="Times New Roman" w:eastAsia="宋体"/>
          <w:lang w:eastAsia="zh-CN"/>
        </w:rPr>
        <w:t>4</w:t>
      </w:r>
      <w:r>
        <w:rPr>
          <w:rFonts w:hAnsi="Times New Roman" w:eastAsia="宋体"/>
          <w:lang w:eastAsia="zh-CN"/>
        </w:rPr>
        <w:t>年</w:t>
      </w:r>
      <w:r>
        <w:rPr>
          <w:rFonts w:hint="eastAsia" w:hAnsi="Times New Roman" w:eastAsia="宋体"/>
          <w:lang w:eastAsia="zh-CN"/>
        </w:rPr>
        <w:t>1</w:t>
      </w:r>
      <w:r>
        <w:rPr>
          <w:rFonts w:hAnsi="Times New Roman" w:eastAsia="宋体"/>
          <w:lang w:eastAsia="zh-CN"/>
        </w:rPr>
        <w:t>月，七里峡煤矿委托四川蜀能矿山开发技术咨询有限公司编制了《达州市宣汉县七里峡煤业有限公司七里峡煤矿扩建工程项目申请与安全审核报告（代可行性研究）》，该矿扩建工程设计生产能力300kt/a。202</w:t>
      </w:r>
      <w:r>
        <w:rPr>
          <w:rFonts w:hint="eastAsia" w:hAnsi="Times New Roman" w:eastAsia="宋体"/>
          <w:lang w:eastAsia="zh-CN"/>
        </w:rPr>
        <w:t>4</w:t>
      </w:r>
      <w:r>
        <w:rPr>
          <w:rFonts w:hAnsi="Times New Roman" w:eastAsia="宋体"/>
          <w:lang w:eastAsia="zh-CN"/>
        </w:rPr>
        <w:t>年1月1</w:t>
      </w:r>
      <w:r>
        <w:rPr>
          <w:rFonts w:hint="eastAsia" w:hAnsi="Times New Roman" w:eastAsia="宋体"/>
          <w:lang w:eastAsia="zh-CN"/>
        </w:rPr>
        <w:t>8</w:t>
      </w:r>
      <w:r>
        <w:rPr>
          <w:rFonts w:hAnsi="Times New Roman" w:eastAsia="宋体"/>
          <w:lang w:eastAsia="zh-CN"/>
        </w:rPr>
        <w:t>日</w:t>
      </w:r>
      <w:r>
        <w:rPr>
          <w:rFonts w:hint="eastAsia" w:hAnsi="Times New Roman" w:eastAsia="宋体"/>
          <w:lang w:eastAsia="zh-CN"/>
        </w:rPr>
        <w:t>四川省应急管理厅出具了《关于核准</w:t>
      </w:r>
      <w:r>
        <w:rPr>
          <w:rFonts w:hAnsi="Times New Roman" w:eastAsia="宋体"/>
          <w:lang w:eastAsia="zh-CN"/>
        </w:rPr>
        <w:t>达州市宣汉县七里峡煤业有限公司七里峡煤矿扩建工程项目</w:t>
      </w:r>
      <w:r>
        <w:rPr>
          <w:rFonts w:hint="eastAsia" w:hAnsi="Times New Roman" w:eastAsia="宋体"/>
          <w:lang w:eastAsia="zh-CN"/>
        </w:rPr>
        <w:t>的函》（川应急审批</w:t>
      </w:r>
      <w:r>
        <w:rPr>
          <w:rFonts w:hAnsi="Times New Roman" w:eastAsia="宋体"/>
          <w:lang w:eastAsia="zh-CN"/>
        </w:rPr>
        <w:t>〔20</w:t>
      </w:r>
      <w:r>
        <w:rPr>
          <w:rFonts w:hint="eastAsia" w:hAnsi="Times New Roman" w:eastAsia="宋体"/>
          <w:lang w:eastAsia="zh-CN"/>
        </w:rPr>
        <w:t>2</w:t>
      </w:r>
      <w:r>
        <w:rPr>
          <w:rFonts w:hAnsi="Times New Roman" w:eastAsia="宋体"/>
          <w:lang w:eastAsia="zh-CN"/>
        </w:rPr>
        <w:t>4〕</w:t>
      </w:r>
      <w:r>
        <w:rPr>
          <w:rFonts w:hint="eastAsia" w:hAnsi="Times New Roman" w:eastAsia="宋体"/>
          <w:lang w:eastAsia="zh-CN"/>
        </w:rPr>
        <w:t>12</w:t>
      </w:r>
      <w:r>
        <w:rPr>
          <w:rFonts w:hAnsi="Times New Roman" w:eastAsia="宋体"/>
          <w:lang w:eastAsia="zh-CN"/>
        </w:rPr>
        <w:t>号</w:t>
      </w:r>
      <w:r>
        <w:rPr>
          <w:rFonts w:hint="eastAsia" w:hAnsi="Times New Roman" w:eastAsia="宋体"/>
          <w:lang w:eastAsia="zh-CN"/>
        </w:rPr>
        <w:t>）</w:t>
      </w:r>
      <w:r>
        <w:rPr>
          <w:rFonts w:hAnsi="Times New Roman" w:eastAsia="宋体"/>
          <w:lang w:eastAsia="zh-CN"/>
        </w:rPr>
        <w:t>，同意通过扩建项目</w:t>
      </w:r>
      <w:r>
        <w:rPr>
          <w:rFonts w:hint="eastAsia" w:hAnsi="Times New Roman" w:eastAsia="宋体"/>
          <w:lang w:eastAsia="zh-CN"/>
        </w:rPr>
        <w:t>核准</w:t>
      </w:r>
      <w:r>
        <w:rPr>
          <w:rFonts w:hAnsi="Times New Roman" w:eastAsia="宋体"/>
          <w:lang w:eastAsia="zh-CN"/>
        </w:rPr>
        <w:t>。</w:t>
      </w:r>
    </w:p>
    <w:p>
      <w:pPr>
        <w:spacing w:line="360" w:lineRule="auto"/>
        <w:ind w:firstLine="480" w:firstLineChars="200"/>
        <w:rPr>
          <w:rFonts w:hAnsi="Times New Roman" w:eastAsia="宋体"/>
          <w:lang w:eastAsia="zh-CN"/>
        </w:rPr>
      </w:pPr>
      <w:r>
        <w:rPr>
          <w:rFonts w:hAnsi="Times New Roman" w:eastAsia="宋体"/>
          <w:lang w:eastAsia="zh-CN"/>
        </w:rPr>
        <w:t>七里峡煤矿改造升级至300kt/a，矿井仍采用平硐</w:t>
      </w:r>
      <w:r>
        <w:rPr>
          <w:rFonts w:hint="eastAsia" w:hAnsi="Times New Roman" w:eastAsia="宋体"/>
          <w:lang w:eastAsia="zh-CN"/>
        </w:rPr>
        <w:t>+</w:t>
      </w:r>
      <w:r>
        <w:rPr>
          <w:rFonts w:hAnsi="Times New Roman" w:eastAsia="宋体"/>
          <w:lang w:eastAsia="zh-CN"/>
        </w:rPr>
        <w:t>斜井开拓方式，项目改造利用现有工业场地作为扩建后的工业场地。</w:t>
      </w:r>
      <w:r>
        <w:rPr>
          <w:rFonts w:hint="eastAsia" w:hAnsi="Times New Roman" w:eastAsia="宋体"/>
          <w:lang w:eastAsia="zh-CN"/>
        </w:rPr>
        <w:t>共布置6个通往地面的井筒和2个暗斜井。</w:t>
      </w:r>
    </w:p>
    <w:p>
      <w:pPr>
        <w:spacing w:line="360" w:lineRule="auto"/>
        <w:ind w:firstLine="480" w:firstLineChars="200"/>
        <w:rPr>
          <w:rFonts w:hAnsi="Times New Roman" w:eastAsia="宋体"/>
          <w:lang w:eastAsia="zh-CN"/>
        </w:rPr>
      </w:pPr>
      <w:r>
        <w:rPr>
          <w:rFonts w:hint="eastAsia" w:hAnsi="Times New Roman" w:eastAsia="宋体"/>
          <w:lang w:eastAsia="zh-CN"/>
        </w:rPr>
        <w:t>利用现有+379m主平硐作为扩建后的主平硐（X=3452926，Y=36474559，Z=+379m），井筒内安设带式输送机和铺设22kg/m的钢轨，担负全矿井煤炭、矸石、材料、设备运输和进风、行人、排水及管线敷设等任务；利用开丰井田东翼边界附近现有的+411m副平硐作为扩建后的进风平硐（X=3452687，Y=36475723，Z=+411m），担负开丰井田一采区的辅助进风及安全出口任务；利用开丰井田东翼现有的+572m回风平硐（X=3453022，Y=36476125，Z=+572m）作为扩建后开丰井田一、二采区的回风井，担负矿井一、二采区的回风及紧急情况下的安全出口任务；利用+548m进风斜井作为长田井田三采区的进风斜井（X=3451947.00，Y=36475613.00，Z=+548m），担负长田井田内三采区的进风兼安全出口等任务；利用长田井田东翼边界附近的+548m回风平硐（X=3451891.67，Y=36475603.96，Z=+548m）作为扩建后长田井田内三采区的回风井，担负矿井三采区的回风及紧急情况下的安全出口任务。利用原开丰井田东翼+645m进风斜井作为扩建后的东进风斜井（X=3454110.00，Y=36478060.00，Z=+645m），倾角25°，斜长1053m，落平于+200m水平，与+200m水平东运输大巷连通，担负开丰井田内二采区的辅助进风及安全出口任务。</w:t>
      </w:r>
    </w:p>
    <w:p>
      <w:pPr>
        <w:spacing w:line="360" w:lineRule="auto"/>
        <w:ind w:firstLine="480" w:firstLineChars="200"/>
        <w:rPr>
          <w:rFonts w:hAnsi="Times New Roman" w:eastAsia="宋体"/>
          <w:lang w:eastAsia="zh-CN"/>
        </w:rPr>
      </w:pPr>
      <w:r>
        <w:rPr>
          <w:rFonts w:hint="eastAsia" w:hAnsi="Times New Roman" w:eastAsia="宋体"/>
          <w:lang w:eastAsia="zh-CN"/>
        </w:rPr>
        <w:t>改造利用+379m主平硐内约1150m 处沿K</w:t>
      </w:r>
      <w:r>
        <w:rPr>
          <w:rFonts w:hint="eastAsia" w:hAnsi="Times New Roman" w:eastAsia="宋体"/>
          <w:vertAlign w:val="subscript"/>
          <w:lang w:eastAsia="zh-CN"/>
        </w:rPr>
        <w:t>5</w:t>
      </w:r>
      <w:r>
        <w:rPr>
          <w:rFonts w:hint="eastAsia" w:hAnsi="Times New Roman" w:eastAsia="宋体"/>
          <w:lang w:eastAsia="zh-CN"/>
        </w:rPr>
        <w:t>煤层底板布置的副暗斜井，作为矿井扩建后的主暗斜井，在其中安设带式输送机和架空乘人装置，担负全矿井煤炭运输及运送人员上下班和进风、敷设管线等任务；利用现有的主暗斜井作为矿井扩建后的副暗斜井，敷设有22kg/m轨道，担负矿井矸石、材料、设备等辅助提升运输任务；利用现有的+200m水平中央变电所及水泵房、主副水仓、避难硐室、消防材料等主要硐室，能满足矿井扩建后的要求。</w:t>
      </w:r>
    </w:p>
    <w:p>
      <w:pPr>
        <w:spacing w:line="360" w:lineRule="auto"/>
        <w:ind w:firstLine="480" w:firstLineChars="200"/>
        <w:rPr>
          <w:rFonts w:hAnsi="Times New Roman" w:eastAsia="宋体"/>
          <w:lang w:eastAsia="zh-CN"/>
        </w:rPr>
      </w:pPr>
      <w:r>
        <w:rPr>
          <w:rFonts w:hint="eastAsia" w:hAnsi="Times New Roman" w:eastAsia="宋体"/>
          <w:lang w:eastAsia="zh-CN"/>
        </w:rPr>
        <w:t>矿井扩建投产时（开丰井田一采区生产时），布置3个井筒：+379m主平硐、+411m进风平硐、+572m回风平硐；其余井筒暂不启用，予以封闭。开丰井田二采区生产时，布置3个井筒：+379m主平硐、+645m东进风斜井、+572m回风平硐，封闭报废+411m进风平硐。长田井田内三采区生产时，布置3个井筒：+379m主平硐、+548m进风斜井、+548m回风平硐，封闭报废+645m东进风斜井、+572m回风平硐。</w:t>
      </w:r>
    </w:p>
    <w:p>
      <w:pPr>
        <w:spacing w:line="360" w:lineRule="auto"/>
        <w:ind w:firstLine="480" w:firstLineChars="200"/>
        <w:rPr>
          <w:rFonts w:hAnsi="Times New Roman" w:eastAsia="宋体"/>
          <w:lang w:eastAsia="zh-CN"/>
        </w:rPr>
      </w:pPr>
      <w:r>
        <w:rPr>
          <w:rFonts w:hAnsi="Times New Roman" w:eastAsia="宋体"/>
          <w:lang w:eastAsia="zh-CN"/>
        </w:rPr>
        <w:t>根据《中华人民共和国环境保护法</w:t>
      </w:r>
      <w:r>
        <w:rPr>
          <w:rFonts w:hint="eastAsia" w:hAnsi="Times New Roman" w:eastAsia="宋体"/>
          <w:lang w:eastAsia="zh-CN"/>
        </w:rPr>
        <w:t>》《</w:t>
      </w:r>
      <w:r>
        <w:rPr>
          <w:rFonts w:hAnsi="Times New Roman" w:eastAsia="宋体"/>
          <w:lang w:eastAsia="zh-CN"/>
        </w:rPr>
        <w:t>中华人民共和国环境影响评价法》及国务院令第682号《建设项目环境保护管理条例》的规定，建设单位在工程开工前应当开展环境影响评价工作，委托有资质的环境影响评价机构编制环境影响评价文件。根据《建设项目环境影响评价分类管理名录》（2021年版），本项目为煤炭开采升级改造项目，属于该目录中“四、煤炭开采和洗选业”中“烟煤和无烟煤开采洗选061”的“煤炭开采”，应编制环境影响报告书。</w:t>
      </w:r>
    </w:p>
    <w:p>
      <w:pPr>
        <w:spacing w:line="360" w:lineRule="auto"/>
        <w:ind w:firstLine="480" w:firstLineChars="200"/>
        <w:rPr>
          <w:rFonts w:hAnsi="Times New Roman" w:eastAsia="宋体"/>
          <w:szCs w:val="22"/>
          <w:lang w:eastAsia="zh-CN"/>
        </w:rPr>
      </w:pPr>
      <w:r>
        <w:rPr>
          <w:rFonts w:hAnsi="Times New Roman" w:eastAsia="宋体"/>
          <w:lang w:eastAsia="zh-CN"/>
        </w:rPr>
        <w:t>受达州市宣汉县七里峡煤业有限公司委托，四川恒延科技咨询有限公司承担该项目环境影响评价工作。评价单位接受委托后，即派相关技术人员到项目现场进行实地踏勘和资料收集，并编制该项目环境影响报告书，并报达州市生态环境局审批</w:t>
      </w:r>
      <w:r>
        <w:rPr>
          <w:rFonts w:hAnsi="Times New Roman" w:eastAsia="宋体"/>
          <w:szCs w:val="22"/>
          <w:lang w:eastAsia="zh-CN"/>
        </w:rPr>
        <w:t>。</w:t>
      </w:r>
    </w:p>
    <w:p>
      <w:pPr>
        <w:spacing w:line="360" w:lineRule="auto"/>
        <w:ind w:firstLine="482" w:firstLineChars="200"/>
        <w:rPr>
          <w:rFonts w:hAnsi="Times New Roman" w:eastAsia="宋体"/>
          <w:b/>
          <w:bCs/>
          <w:lang w:eastAsia="zh-CN"/>
        </w:rPr>
      </w:pPr>
      <w:r>
        <w:rPr>
          <w:rFonts w:hAnsi="Times New Roman" w:eastAsia="宋体"/>
          <w:b/>
          <w:bCs/>
          <w:lang w:eastAsia="zh-CN"/>
        </w:rPr>
        <w:t>二、项目特点</w:t>
      </w:r>
    </w:p>
    <w:p>
      <w:pPr>
        <w:spacing w:line="360" w:lineRule="auto"/>
        <w:ind w:firstLine="480" w:firstLineChars="200"/>
        <w:rPr>
          <w:rFonts w:hAnsi="Times New Roman" w:eastAsia="宋体"/>
          <w:lang w:eastAsia="zh-CN"/>
        </w:rPr>
      </w:pPr>
      <w:r>
        <w:rPr>
          <w:rFonts w:hAnsi="Times New Roman" w:eastAsia="宋体"/>
          <w:lang w:eastAsia="zh-CN"/>
        </w:rPr>
        <w:t>根据建设单位提供的资料和环评单位现场调研，该项目具有以下特点：</w:t>
      </w:r>
    </w:p>
    <w:p>
      <w:pPr>
        <w:spacing w:line="360" w:lineRule="auto"/>
        <w:ind w:firstLine="480" w:firstLineChars="200"/>
        <w:rPr>
          <w:rFonts w:hAnsi="Times New Roman" w:eastAsia="宋体"/>
          <w:lang w:eastAsia="zh-CN"/>
        </w:rPr>
      </w:pPr>
      <w:r>
        <w:rPr>
          <w:rFonts w:hAnsi="Times New Roman" w:eastAsia="宋体"/>
          <w:lang w:eastAsia="zh-CN"/>
        </w:rPr>
        <w:t>①</w:t>
      </w:r>
      <w:r>
        <w:rPr>
          <w:rFonts w:hint="eastAsia" w:hAnsi="Times New Roman" w:eastAsia="宋体"/>
          <w:lang w:eastAsia="zh-CN"/>
        </w:rPr>
        <w:t>《宣汉县煤炭矿区总体规划》规划的七里峡煤矿矿区范围由24个拐点坐标圈定，面积约3.8145km</w:t>
      </w:r>
      <w:r>
        <w:rPr>
          <w:rFonts w:hint="eastAsia" w:hAnsi="Times New Roman" w:eastAsia="宋体"/>
          <w:vertAlign w:val="superscript"/>
          <w:lang w:eastAsia="zh-CN"/>
        </w:rPr>
        <w:t>2</w:t>
      </w:r>
      <w:r>
        <w:rPr>
          <w:rFonts w:hint="eastAsia" w:hAnsi="Times New Roman" w:eastAsia="宋体"/>
          <w:lang w:eastAsia="zh-CN"/>
        </w:rPr>
        <w:t>，开采深度为+670m～±0m，开采煤层为K</w:t>
      </w:r>
      <w:r>
        <w:rPr>
          <w:rFonts w:hint="eastAsia" w:hAnsi="Times New Roman" w:eastAsia="宋体"/>
          <w:vertAlign w:val="subscript"/>
          <w:lang w:eastAsia="zh-CN"/>
        </w:rPr>
        <w:t>6</w:t>
      </w:r>
      <w:r>
        <w:rPr>
          <w:rFonts w:hint="eastAsia" w:hAnsi="Times New Roman" w:eastAsia="宋体"/>
          <w:lang w:eastAsia="zh-CN"/>
        </w:rPr>
        <w:t>、K</w:t>
      </w:r>
      <w:r>
        <w:rPr>
          <w:rFonts w:hint="eastAsia" w:hAnsi="Times New Roman" w:eastAsia="宋体"/>
          <w:vertAlign w:val="subscript"/>
          <w:lang w:eastAsia="zh-CN"/>
        </w:rPr>
        <w:t>5-1</w:t>
      </w:r>
      <w:r>
        <w:rPr>
          <w:rFonts w:hint="eastAsia" w:hAnsi="Times New Roman" w:eastAsia="宋体"/>
          <w:lang w:eastAsia="zh-CN"/>
        </w:rPr>
        <w:t>、K</w:t>
      </w:r>
      <w:r>
        <w:rPr>
          <w:rFonts w:hint="eastAsia" w:hAnsi="Times New Roman" w:eastAsia="宋体"/>
          <w:vertAlign w:val="subscript"/>
          <w:lang w:eastAsia="zh-CN"/>
        </w:rPr>
        <w:t>5</w:t>
      </w:r>
      <w:r>
        <w:rPr>
          <w:rFonts w:hint="eastAsia" w:hAnsi="Times New Roman" w:eastAsia="宋体"/>
          <w:lang w:eastAsia="zh-CN"/>
        </w:rPr>
        <w:t>煤层，规划规模30万吨/年。根据《达州市宣汉县七里峡煤业有限公司七里峡煤矿扩建工程项目申请与安全审核报告（代可行性研究报告）》，由于七里峡煤矿现持采矿许可证矿区范围部分未在《宣汉县煤炭矿区总体规划》的规划范围内，因此本次设计在现持采矿许可证范围内将未在规划范围内的部分矿区范围予以退出，退出后七里峡煤矿设计矿区范围由20个拐点坐标圈定，面积约1.6285km</w:t>
      </w:r>
      <w:r>
        <w:rPr>
          <w:rFonts w:hint="eastAsia" w:hAnsi="Times New Roman" w:eastAsia="宋体"/>
          <w:vertAlign w:val="superscript"/>
          <w:lang w:eastAsia="zh-CN"/>
        </w:rPr>
        <w:t>2</w:t>
      </w:r>
      <w:r>
        <w:rPr>
          <w:rFonts w:hint="eastAsia" w:hAnsi="Times New Roman" w:eastAsia="宋体"/>
          <w:lang w:eastAsia="zh-CN"/>
        </w:rPr>
        <w:t>，开采深度为+670m～+200m，开采煤层为K</w:t>
      </w:r>
      <w:r>
        <w:rPr>
          <w:rFonts w:hint="eastAsia" w:hAnsi="Times New Roman" w:eastAsia="宋体"/>
          <w:vertAlign w:val="subscript"/>
          <w:lang w:eastAsia="zh-CN"/>
        </w:rPr>
        <w:t>6</w:t>
      </w:r>
      <w:r>
        <w:rPr>
          <w:rFonts w:hint="eastAsia" w:hAnsi="Times New Roman" w:eastAsia="宋体"/>
          <w:lang w:eastAsia="zh-CN"/>
        </w:rPr>
        <w:t>、K</w:t>
      </w:r>
      <w:r>
        <w:rPr>
          <w:rFonts w:hint="eastAsia" w:hAnsi="Times New Roman" w:eastAsia="宋体"/>
          <w:vertAlign w:val="subscript"/>
          <w:lang w:eastAsia="zh-CN"/>
        </w:rPr>
        <w:t>5-1</w:t>
      </w:r>
      <w:r>
        <w:rPr>
          <w:rFonts w:hint="eastAsia" w:hAnsi="Times New Roman" w:eastAsia="宋体"/>
          <w:lang w:eastAsia="zh-CN"/>
        </w:rPr>
        <w:t>、K</w:t>
      </w:r>
      <w:r>
        <w:rPr>
          <w:rFonts w:hint="eastAsia" w:hAnsi="Times New Roman" w:eastAsia="宋体"/>
          <w:vertAlign w:val="subscript"/>
          <w:lang w:eastAsia="zh-CN"/>
        </w:rPr>
        <w:t>5</w:t>
      </w:r>
      <w:r>
        <w:rPr>
          <w:rFonts w:hint="eastAsia" w:hAnsi="Times New Roman" w:eastAsia="宋体"/>
          <w:lang w:eastAsia="zh-CN"/>
        </w:rPr>
        <w:t>煤层。设计规模30万吨/年。</w:t>
      </w:r>
      <w:r>
        <w:rPr>
          <w:rFonts w:hAnsi="Times New Roman" w:eastAsia="宋体"/>
          <w:lang w:eastAsia="zh-CN"/>
        </w:rPr>
        <w:t>矿井采用平硐</w:t>
      </w:r>
      <w:r>
        <w:rPr>
          <w:rFonts w:hint="eastAsia" w:hAnsi="Times New Roman" w:eastAsia="宋体"/>
          <w:lang w:eastAsia="zh-CN"/>
        </w:rPr>
        <w:t>+</w:t>
      </w:r>
      <w:r>
        <w:rPr>
          <w:rFonts w:hAnsi="Times New Roman" w:eastAsia="宋体"/>
          <w:lang w:eastAsia="zh-CN"/>
        </w:rPr>
        <w:t>斜井综合开拓方式。矿井采用走向长壁采煤法。</w:t>
      </w:r>
    </w:p>
    <w:p>
      <w:pPr>
        <w:spacing w:line="360" w:lineRule="auto"/>
        <w:ind w:firstLine="480" w:firstLineChars="200"/>
        <w:rPr>
          <w:rFonts w:hAnsi="Times New Roman" w:eastAsia="宋体"/>
          <w:lang w:eastAsia="zh-CN"/>
        </w:rPr>
      </w:pPr>
      <w:r>
        <w:rPr>
          <w:rFonts w:hAnsi="Times New Roman" w:eastAsia="宋体"/>
          <w:lang w:eastAsia="zh-CN"/>
        </w:rPr>
        <w:t>②七里峡煤矿未建设选煤厂，煤矿出井原煤委托</w:t>
      </w:r>
      <w:r>
        <w:rPr>
          <w:rFonts w:hint="eastAsia" w:hAnsi="Times New Roman" w:eastAsia="宋体"/>
          <w:lang w:eastAsia="zh-CN"/>
        </w:rPr>
        <w:t>达州宣汉县大路能源有限公司选煤厂</w:t>
      </w:r>
      <w:r>
        <w:rPr>
          <w:rFonts w:hAnsi="Times New Roman" w:eastAsia="宋体"/>
          <w:lang w:eastAsia="zh-CN"/>
        </w:rPr>
        <w:t>进行原煤洗选加工，洗后精煤主要供达州钢铁厂及其</w:t>
      </w:r>
      <w:r>
        <w:rPr>
          <w:rFonts w:hint="eastAsia" w:hAnsi="Times New Roman" w:eastAsia="宋体"/>
          <w:lang w:val="en-US" w:eastAsia="zh-CN"/>
        </w:rPr>
        <w:t>他</w:t>
      </w:r>
      <w:r>
        <w:rPr>
          <w:rFonts w:hAnsi="Times New Roman" w:eastAsia="宋体"/>
          <w:lang w:eastAsia="zh-CN"/>
        </w:rPr>
        <w:t>单位，中煤供电厂或外销，矸石和煤泥用作制矸砖和水泥。七里峡煤矿不设置矸石堆场，出井矸石仅在工业广场暂存，采用汽车转运至宣汉县平桥砖厂制砖使用。</w:t>
      </w:r>
    </w:p>
    <w:p>
      <w:pPr>
        <w:spacing w:line="360" w:lineRule="auto"/>
        <w:ind w:firstLine="480" w:firstLineChars="200"/>
        <w:rPr>
          <w:rFonts w:hAnsi="Times New Roman" w:eastAsia="宋体"/>
          <w:lang w:eastAsia="zh-CN"/>
        </w:rPr>
      </w:pPr>
      <w:r>
        <w:rPr>
          <w:rFonts w:hAnsi="Times New Roman" w:eastAsia="宋体"/>
          <w:lang w:eastAsia="zh-CN"/>
        </w:rPr>
        <w:t>③七里峡煤矿开采方式为地下开采，矿山开发对生态的影响，主要体现在采矿引起的地表塌陷对土地利用的影响，地表沉陷可能诱发地质灾害，从而对评价范围内公路、河流水面、村寨房屋等造成不同程度的影响或破坏，使矿区水土流失加剧；采矿可能会使矿层上覆含水层地下水漏失，使矿区内泉水干涸，对村民生活造成不良影响，因采矿造成的地表塌陷影响及可能诱发的地质灾害，将是生态评价的重点。</w:t>
      </w:r>
    </w:p>
    <w:p>
      <w:pPr>
        <w:spacing w:line="360" w:lineRule="auto"/>
        <w:ind w:firstLine="480" w:firstLineChars="200"/>
        <w:rPr>
          <w:rFonts w:hAnsi="Times New Roman" w:eastAsia="宋体"/>
          <w:lang w:eastAsia="zh-CN"/>
        </w:rPr>
      </w:pPr>
      <w:r>
        <w:rPr>
          <w:rFonts w:hAnsi="Times New Roman" w:eastAsia="宋体"/>
          <w:lang w:eastAsia="zh-CN"/>
        </w:rPr>
        <w:t>④项目属于改扩建项目，本环评根据“以新带老”原则，结合本次工程内容，对原有环保措施提出改进、完善，以满足项目扩建后污染防治和生态保护的管理要求。</w:t>
      </w:r>
    </w:p>
    <w:p>
      <w:pPr>
        <w:spacing w:line="360" w:lineRule="auto"/>
        <w:ind w:firstLine="480" w:firstLineChars="200"/>
        <w:rPr>
          <w:rFonts w:hAnsi="Times New Roman" w:eastAsia="宋体"/>
          <w:lang w:eastAsia="zh-CN"/>
        </w:rPr>
      </w:pPr>
      <w:r>
        <w:rPr>
          <w:rFonts w:hAnsi="Times New Roman" w:eastAsia="宋体"/>
          <w:lang w:eastAsia="zh-CN"/>
        </w:rPr>
        <w:t>⑤该项目位于农村区域，矿区范围内不涉及水源地、自然保护区、风景名胜区、及文物保护单位等敏感目标，区域环境敏感程度一般。</w:t>
      </w:r>
    </w:p>
    <w:p>
      <w:pPr>
        <w:spacing w:line="360" w:lineRule="auto"/>
        <w:ind w:firstLine="482" w:firstLineChars="200"/>
        <w:rPr>
          <w:rFonts w:hAnsi="Times New Roman" w:eastAsia="宋体"/>
          <w:b/>
          <w:bCs/>
          <w:lang w:eastAsia="zh-CN"/>
        </w:rPr>
      </w:pPr>
      <w:r>
        <w:rPr>
          <w:rFonts w:hAnsi="Times New Roman" w:eastAsia="宋体"/>
          <w:b/>
          <w:bCs/>
          <w:lang w:eastAsia="zh-CN"/>
        </w:rPr>
        <w:t>三、环境影响评价过程</w:t>
      </w:r>
    </w:p>
    <w:p>
      <w:pPr>
        <w:spacing w:line="360" w:lineRule="auto"/>
        <w:ind w:firstLine="480" w:firstLineChars="200"/>
        <w:rPr>
          <w:rFonts w:hAnsi="Times New Roman" w:eastAsia="宋体"/>
          <w:lang w:eastAsia="zh-CN"/>
        </w:rPr>
      </w:pPr>
      <w:r>
        <w:rPr>
          <w:rFonts w:hAnsi="Times New Roman" w:eastAsia="宋体"/>
          <w:lang w:eastAsia="zh-CN"/>
        </w:rPr>
        <w:t>根据《中华人民共和国环境影响评价法》和国务院令第682号《建设项目环境保护管理条例》的有关规定，达州市宣汉县七里峡煤业有限公司七里峡煤矿扩建工程项目需进行环境影响评价。</w:t>
      </w:r>
    </w:p>
    <w:p>
      <w:pPr>
        <w:spacing w:line="360" w:lineRule="auto"/>
        <w:ind w:firstLine="480" w:firstLineChars="200"/>
        <w:rPr>
          <w:rFonts w:hAnsi="Times New Roman" w:eastAsia="宋体"/>
          <w:lang w:eastAsia="zh-CN"/>
        </w:rPr>
      </w:pPr>
      <w:r>
        <w:rPr>
          <w:rFonts w:hAnsi="Times New Roman" w:eastAsia="宋体"/>
          <w:lang w:eastAsia="zh-CN"/>
        </w:rPr>
        <w:t>2021年</w:t>
      </w:r>
      <w:r>
        <w:rPr>
          <w:rFonts w:hint="eastAsia" w:hAnsi="Times New Roman" w:eastAsia="宋体"/>
          <w:lang w:eastAsia="zh-CN"/>
        </w:rPr>
        <w:t>11</w:t>
      </w:r>
      <w:r>
        <w:rPr>
          <w:rFonts w:hAnsi="Times New Roman" w:eastAsia="宋体"/>
          <w:lang w:eastAsia="zh-CN"/>
        </w:rPr>
        <w:t>月</w:t>
      </w:r>
      <w:r>
        <w:rPr>
          <w:rFonts w:hint="eastAsia" w:hAnsi="Times New Roman" w:eastAsia="宋体"/>
          <w:lang w:eastAsia="zh-CN"/>
        </w:rPr>
        <w:t>1</w:t>
      </w:r>
      <w:r>
        <w:rPr>
          <w:rFonts w:hAnsi="Times New Roman" w:eastAsia="宋体"/>
          <w:lang w:eastAsia="zh-CN"/>
        </w:rPr>
        <w:t>日，建设单位委托我公司承担达州市宣汉县七里峡煤业有限公司七里峡煤矿扩建工程项目环境影响评价任务。我公司在接受委托后，随即展开了调研工作，收集相关文件，奔赴现场进行实地勘查，通过环境调查和开展专题工作；同时由建设单位组织开展了公众参与调查工作。</w:t>
      </w:r>
    </w:p>
    <w:p>
      <w:pPr>
        <w:spacing w:line="360" w:lineRule="auto"/>
        <w:ind w:firstLine="480" w:firstLineChars="200"/>
        <w:rPr>
          <w:rFonts w:hAnsi="Times New Roman" w:eastAsia="宋体"/>
          <w:lang w:eastAsia="zh-CN"/>
        </w:rPr>
      </w:pPr>
      <w:r>
        <w:rPr>
          <w:rFonts w:hAnsi="Times New Roman" w:eastAsia="宋体"/>
          <w:lang w:eastAsia="zh-CN"/>
        </w:rPr>
        <w:t>环评单位依据环境影响评价技术导则的有关技术要求，在认真分析预测的基础上，编制完成了环境影响评价报告书，现提交上级环境保护主管部门和专家审查。</w:t>
      </w:r>
    </w:p>
    <w:p>
      <w:pPr>
        <w:spacing w:line="360" w:lineRule="auto"/>
        <w:rPr>
          <w:rFonts w:hAnsi="Times New Roman" w:eastAsia="宋体"/>
          <w:b/>
          <w:bCs/>
          <w:lang w:eastAsia="zh-CN"/>
        </w:rPr>
      </w:pPr>
      <w:r>
        <w:rPr>
          <w:rFonts w:hAnsi="Times New Roman" w:eastAsia="宋体"/>
          <w:sz w:val="20"/>
        </w:rPr>
        <mc:AlternateContent>
          <mc:Choice Requires="wpg">
            <w:drawing>
              <wp:inline distT="0" distB="0" distL="114300" distR="114300">
                <wp:extent cx="5739130" cy="6795770"/>
                <wp:effectExtent l="0" t="0" r="47625" b="44450"/>
                <wp:docPr id="170" name="组合 170"/>
                <wp:cNvGraphicFramePr/>
                <a:graphic xmlns:a="http://schemas.openxmlformats.org/drawingml/2006/main">
                  <a:graphicData uri="http://schemas.microsoft.com/office/word/2010/wordprocessingGroup">
                    <wpg:wgp>
                      <wpg:cNvGrpSpPr/>
                      <wpg:grpSpPr>
                        <a:xfrm>
                          <a:off x="0" y="0"/>
                          <a:ext cx="5739130" cy="6795770"/>
                          <a:chOff x="2" y="2"/>
                          <a:chExt cx="9036" cy="10700"/>
                        </a:xfrm>
                      </wpg:grpSpPr>
                      <wps:wsp>
                        <wps:cNvPr id="41" name="任意多边形 41"/>
                        <wps:cNvSpPr/>
                        <wps:spPr>
                          <a:xfrm>
                            <a:off x="29" y="8852"/>
                            <a:ext cx="9009" cy="1850"/>
                          </a:xfrm>
                          <a:custGeom>
                            <a:avLst/>
                            <a:gdLst/>
                            <a:ahLst/>
                            <a:cxnLst/>
                            <a:rect l="0" t="0" r="0" b="0"/>
                            <a:pathLst>
                              <a:path w="9009" h="1850">
                                <a:moveTo>
                                  <a:pt x="0" y="0"/>
                                </a:moveTo>
                                <a:lnTo>
                                  <a:pt x="9008" y="0"/>
                                </a:lnTo>
                                <a:lnTo>
                                  <a:pt x="9008" y="1849"/>
                                </a:lnTo>
                                <a:lnTo>
                                  <a:pt x="0" y="1849"/>
                                </a:lnTo>
                                <a:lnTo>
                                  <a:pt x="0" y="0"/>
                                </a:lnTo>
                                <a:close/>
                              </a:path>
                            </a:pathLst>
                          </a:custGeom>
                          <a:solidFill>
                            <a:srgbClr val="CECECE"/>
                          </a:solidFill>
                          <a:ln>
                            <a:noFill/>
                          </a:ln>
                        </wps:spPr>
                        <wps:bodyPr upright="1"/>
                      </wps:wsp>
                      <wps:wsp>
                        <wps:cNvPr id="43" name="矩形 43"/>
                        <wps:cNvSpPr/>
                        <wps:spPr>
                          <a:xfrm>
                            <a:off x="2" y="8825"/>
                            <a:ext cx="9000" cy="1840"/>
                          </a:xfrm>
                          <a:prstGeom prst="rect">
                            <a:avLst/>
                          </a:prstGeom>
                          <a:noFill/>
                          <a:ln>
                            <a:noFill/>
                          </a:ln>
                        </wps:spPr>
                        <wps:txbx>
                          <w:txbxContent>
                            <w:p>
                              <w:pPr>
                                <w:widowControl/>
                                <w:spacing w:line="1840" w:lineRule="atLeast"/>
                              </w:pPr>
                              <w:r>
                                <w:drawing>
                                  <wp:inline distT="0" distB="0" distL="114300" distR="114300">
                                    <wp:extent cx="5749925" cy="1180465"/>
                                    <wp:effectExtent l="0" t="0" r="3175" b="635"/>
                                    <wp:docPr id="3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8"/>
                                            <pic:cNvPicPr>
                                              <a:picLocks noChangeAspect="1"/>
                                            </pic:cNvPicPr>
                                          </pic:nvPicPr>
                                          <pic:blipFill>
                                            <a:blip r:embed="rId22"/>
                                            <a:stretch>
                                              <a:fillRect/>
                                            </a:stretch>
                                          </pic:blipFill>
                                          <pic:spPr>
                                            <a:xfrm>
                                              <a:off x="0" y="0"/>
                                              <a:ext cx="5749925" cy="1180465"/>
                                            </a:xfrm>
                                            <a:prstGeom prst="rect">
                                              <a:avLst/>
                                            </a:prstGeom>
                                            <a:noFill/>
                                            <a:ln>
                                              <a:noFill/>
                                            </a:ln>
                                          </pic:spPr>
                                        </pic:pic>
                                      </a:graphicData>
                                    </a:graphic>
                                  </wp:inline>
                                </w:drawing>
                              </w:r>
                            </w:p>
                            <w:p/>
                          </w:txbxContent>
                        </wps:txbx>
                        <wps:bodyPr lIns="0" tIns="0" rIns="0" bIns="0" upright="1"/>
                      </wps:wsp>
                      <wps:wsp>
                        <wps:cNvPr id="44" name="任意多边形 44"/>
                        <wps:cNvSpPr/>
                        <wps:spPr>
                          <a:xfrm>
                            <a:off x="2" y="8825"/>
                            <a:ext cx="9009" cy="1850"/>
                          </a:xfrm>
                          <a:custGeom>
                            <a:avLst/>
                            <a:gdLst/>
                            <a:ahLst/>
                            <a:cxnLst/>
                            <a:rect l="0" t="0" r="0" b="0"/>
                            <a:pathLst>
                              <a:path w="9009" h="1850">
                                <a:moveTo>
                                  <a:pt x="0" y="1849"/>
                                </a:moveTo>
                                <a:lnTo>
                                  <a:pt x="9008" y="1849"/>
                                </a:lnTo>
                                <a:lnTo>
                                  <a:pt x="9008" y="0"/>
                                </a:lnTo>
                                <a:lnTo>
                                  <a:pt x="0" y="0"/>
                                </a:lnTo>
                                <a:lnTo>
                                  <a:pt x="0" y="1849"/>
                                </a:lnTo>
                                <a:close/>
                              </a:path>
                            </a:pathLst>
                          </a:custGeom>
                          <a:noFill/>
                          <a:ln w="2956" cap="flat" cmpd="sng">
                            <a:solidFill>
                              <a:srgbClr val="3E3E3E"/>
                            </a:solidFill>
                            <a:prstDash val="dash"/>
                            <a:headEnd type="none" w="med" len="med"/>
                            <a:tailEnd type="none" w="med" len="med"/>
                          </a:ln>
                        </wps:spPr>
                        <wps:bodyPr upright="1"/>
                      </wps:wsp>
                      <wps:wsp>
                        <wps:cNvPr id="45" name="任意多边形 45"/>
                        <wps:cNvSpPr/>
                        <wps:spPr>
                          <a:xfrm>
                            <a:off x="29" y="5153"/>
                            <a:ext cx="9009" cy="3699"/>
                          </a:xfrm>
                          <a:custGeom>
                            <a:avLst/>
                            <a:gdLst/>
                            <a:ahLst/>
                            <a:cxnLst/>
                            <a:rect l="0" t="0" r="0" b="0"/>
                            <a:pathLst>
                              <a:path w="9009" h="3699">
                                <a:moveTo>
                                  <a:pt x="0" y="0"/>
                                </a:moveTo>
                                <a:lnTo>
                                  <a:pt x="9008" y="0"/>
                                </a:lnTo>
                                <a:lnTo>
                                  <a:pt x="9008" y="3698"/>
                                </a:lnTo>
                                <a:lnTo>
                                  <a:pt x="0" y="3698"/>
                                </a:lnTo>
                                <a:lnTo>
                                  <a:pt x="0" y="0"/>
                                </a:lnTo>
                                <a:close/>
                              </a:path>
                            </a:pathLst>
                          </a:custGeom>
                          <a:solidFill>
                            <a:srgbClr val="CECECE"/>
                          </a:solidFill>
                          <a:ln>
                            <a:noFill/>
                          </a:ln>
                        </wps:spPr>
                        <wps:bodyPr upright="1"/>
                      </wps:wsp>
                      <wps:wsp>
                        <wps:cNvPr id="46" name="任意多边形 46"/>
                        <wps:cNvSpPr/>
                        <wps:spPr>
                          <a:xfrm>
                            <a:off x="29" y="5153"/>
                            <a:ext cx="6087" cy="2887"/>
                          </a:xfrm>
                          <a:custGeom>
                            <a:avLst/>
                            <a:gdLst/>
                            <a:ahLst/>
                            <a:cxnLst/>
                            <a:rect l="0" t="0" r="0" b="0"/>
                            <a:pathLst>
                              <a:path w="6087" h="2887">
                                <a:moveTo>
                                  <a:pt x="6086" y="0"/>
                                </a:moveTo>
                                <a:lnTo>
                                  <a:pt x="0" y="0"/>
                                </a:lnTo>
                                <a:lnTo>
                                  <a:pt x="0" y="2886"/>
                                </a:lnTo>
                              </a:path>
                            </a:pathLst>
                          </a:custGeom>
                          <a:noFill/>
                          <a:ln w="2957" cap="flat" cmpd="sng">
                            <a:solidFill>
                              <a:srgbClr val="CECECE"/>
                            </a:solidFill>
                            <a:prstDash val="dash"/>
                            <a:headEnd type="none" w="med" len="med"/>
                            <a:tailEnd type="none" w="med" len="med"/>
                          </a:ln>
                        </wps:spPr>
                        <wps:bodyPr upright="1"/>
                      </wps:wsp>
                      <wps:wsp>
                        <wps:cNvPr id="47" name="矩形 47"/>
                        <wps:cNvSpPr/>
                        <wps:spPr>
                          <a:xfrm>
                            <a:off x="2" y="5127"/>
                            <a:ext cx="9000" cy="3700"/>
                          </a:xfrm>
                          <a:prstGeom prst="rect">
                            <a:avLst/>
                          </a:prstGeom>
                          <a:noFill/>
                          <a:ln>
                            <a:noFill/>
                          </a:ln>
                        </wps:spPr>
                        <wps:txbx>
                          <w:txbxContent>
                            <w:p>
                              <w:pPr>
                                <w:widowControl/>
                                <w:spacing w:line="3700" w:lineRule="atLeast"/>
                              </w:pPr>
                              <w:r>
                                <w:drawing>
                                  <wp:inline distT="0" distB="0" distL="114300" distR="114300">
                                    <wp:extent cx="5749925" cy="2361565"/>
                                    <wp:effectExtent l="0" t="0" r="3175" b="635"/>
                                    <wp:docPr id="3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9"/>
                                            <pic:cNvPicPr>
                                              <a:picLocks noChangeAspect="1"/>
                                            </pic:cNvPicPr>
                                          </pic:nvPicPr>
                                          <pic:blipFill>
                                            <a:blip r:embed="rId23"/>
                                            <a:stretch>
                                              <a:fillRect/>
                                            </a:stretch>
                                          </pic:blipFill>
                                          <pic:spPr>
                                            <a:xfrm>
                                              <a:off x="0" y="0"/>
                                              <a:ext cx="5749925" cy="2361565"/>
                                            </a:xfrm>
                                            <a:prstGeom prst="rect">
                                              <a:avLst/>
                                            </a:prstGeom>
                                            <a:noFill/>
                                            <a:ln>
                                              <a:noFill/>
                                            </a:ln>
                                          </pic:spPr>
                                        </pic:pic>
                                      </a:graphicData>
                                    </a:graphic>
                                  </wp:inline>
                                </w:drawing>
                              </w:r>
                            </w:p>
                            <w:p/>
                          </w:txbxContent>
                        </wps:txbx>
                        <wps:bodyPr lIns="0" tIns="0" rIns="0" bIns="0" upright="1"/>
                      </wps:wsp>
                      <wps:wsp>
                        <wps:cNvPr id="48" name="任意多边形 48"/>
                        <wps:cNvSpPr/>
                        <wps:spPr>
                          <a:xfrm>
                            <a:off x="2" y="5127"/>
                            <a:ext cx="9009" cy="3699"/>
                          </a:xfrm>
                          <a:custGeom>
                            <a:avLst/>
                            <a:gdLst/>
                            <a:ahLst/>
                            <a:cxnLst/>
                            <a:rect l="0" t="0" r="0" b="0"/>
                            <a:pathLst>
                              <a:path w="9009" h="3699">
                                <a:moveTo>
                                  <a:pt x="0" y="3698"/>
                                </a:moveTo>
                                <a:lnTo>
                                  <a:pt x="9008" y="3698"/>
                                </a:lnTo>
                                <a:lnTo>
                                  <a:pt x="9008" y="0"/>
                                </a:lnTo>
                                <a:lnTo>
                                  <a:pt x="0" y="0"/>
                                </a:lnTo>
                                <a:lnTo>
                                  <a:pt x="0" y="3698"/>
                                </a:lnTo>
                                <a:close/>
                              </a:path>
                            </a:pathLst>
                          </a:custGeom>
                          <a:noFill/>
                          <a:ln w="2957" cap="flat" cmpd="sng">
                            <a:solidFill>
                              <a:srgbClr val="3E3E3E"/>
                            </a:solidFill>
                            <a:prstDash val="dash"/>
                            <a:headEnd type="none" w="med" len="med"/>
                            <a:tailEnd type="none" w="med" len="med"/>
                          </a:ln>
                        </wps:spPr>
                        <wps:bodyPr upright="1"/>
                      </wps:wsp>
                      <wps:wsp>
                        <wps:cNvPr id="49" name="任意多边形 49"/>
                        <wps:cNvSpPr/>
                        <wps:spPr>
                          <a:xfrm>
                            <a:off x="29" y="29"/>
                            <a:ext cx="9009" cy="5125"/>
                          </a:xfrm>
                          <a:custGeom>
                            <a:avLst/>
                            <a:gdLst/>
                            <a:ahLst/>
                            <a:cxnLst/>
                            <a:rect l="0" t="0" r="0" b="0"/>
                            <a:pathLst>
                              <a:path w="9009" h="5125">
                                <a:moveTo>
                                  <a:pt x="0" y="0"/>
                                </a:moveTo>
                                <a:lnTo>
                                  <a:pt x="9008" y="0"/>
                                </a:lnTo>
                                <a:lnTo>
                                  <a:pt x="9008" y="5124"/>
                                </a:lnTo>
                                <a:lnTo>
                                  <a:pt x="0" y="5124"/>
                                </a:lnTo>
                                <a:lnTo>
                                  <a:pt x="0" y="0"/>
                                </a:lnTo>
                                <a:close/>
                              </a:path>
                            </a:pathLst>
                          </a:custGeom>
                          <a:solidFill>
                            <a:srgbClr val="CECECE"/>
                          </a:solidFill>
                          <a:ln>
                            <a:noFill/>
                          </a:ln>
                        </wps:spPr>
                        <wps:bodyPr upright="1"/>
                      </wps:wsp>
                      <wps:wsp>
                        <wps:cNvPr id="50" name="矩形 50"/>
                        <wps:cNvSpPr/>
                        <wps:spPr>
                          <a:xfrm>
                            <a:off x="2" y="3"/>
                            <a:ext cx="9000" cy="5120"/>
                          </a:xfrm>
                          <a:prstGeom prst="rect">
                            <a:avLst/>
                          </a:prstGeom>
                          <a:noFill/>
                          <a:ln>
                            <a:noFill/>
                          </a:ln>
                        </wps:spPr>
                        <wps:txbx>
                          <w:txbxContent>
                            <w:p>
                              <w:pPr>
                                <w:widowControl/>
                                <w:spacing w:line="5120" w:lineRule="atLeast"/>
                              </w:pPr>
                              <w:r>
                                <w:drawing>
                                  <wp:inline distT="0" distB="0" distL="114300" distR="114300">
                                    <wp:extent cx="5749925" cy="3267710"/>
                                    <wp:effectExtent l="0" t="0" r="3175" b="8890"/>
                                    <wp:docPr id="3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0"/>
                                            <pic:cNvPicPr>
                                              <a:picLocks noChangeAspect="1"/>
                                            </pic:cNvPicPr>
                                          </pic:nvPicPr>
                                          <pic:blipFill>
                                            <a:blip r:embed="rId24"/>
                                            <a:stretch>
                                              <a:fillRect/>
                                            </a:stretch>
                                          </pic:blipFill>
                                          <pic:spPr>
                                            <a:xfrm>
                                              <a:off x="0" y="0"/>
                                              <a:ext cx="5749925" cy="3267710"/>
                                            </a:xfrm>
                                            <a:prstGeom prst="rect">
                                              <a:avLst/>
                                            </a:prstGeom>
                                            <a:noFill/>
                                            <a:ln>
                                              <a:noFill/>
                                            </a:ln>
                                          </pic:spPr>
                                        </pic:pic>
                                      </a:graphicData>
                                    </a:graphic>
                                  </wp:inline>
                                </w:drawing>
                              </w:r>
                            </w:p>
                            <w:p/>
                          </w:txbxContent>
                        </wps:txbx>
                        <wps:bodyPr lIns="0" tIns="0" rIns="0" bIns="0" upright="1"/>
                      </wps:wsp>
                      <wps:wsp>
                        <wps:cNvPr id="51" name="任意多边形 51"/>
                        <wps:cNvSpPr/>
                        <wps:spPr>
                          <a:xfrm>
                            <a:off x="2" y="2"/>
                            <a:ext cx="9009" cy="5125"/>
                          </a:xfrm>
                          <a:custGeom>
                            <a:avLst/>
                            <a:gdLst/>
                            <a:ahLst/>
                            <a:cxnLst/>
                            <a:rect l="0" t="0" r="0" b="0"/>
                            <a:pathLst>
                              <a:path w="9009" h="5125">
                                <a:moveTo>
                                  <a:pt x="0" y="5124"/>
                                </a:moveTo>
                                <a:lnTo>
                                  <a:pt x="9008" y="5124"/>
                                </a:lnTo>
                                <a:lnTo>
                                  <a:pt x="9008" y="0"/>
                                </a:lnTo>
                                <a:lnTo>
                                  <a:pt x="0" y="0"/>
                                </a:lnTo>
                                <a:lnTo>
                                  <a:pt x="0" y="5124"/>
                                </a:lnTo>
                                <a:close/>
                              </a:path>
                            </a:pathLst>
                          </a:custGeom>
                          <a:noFill/>
                          <a:ln w="2957" cap="flat" cmpd="sng">
                            <a:solidFill>
                              <a:srgbClr val="3E3E3E"/>
                            </a:solidFill>
                            <a:prstDash val="dash"/>
                            <a:headEnd type="none" w="med" len="med"/>
                            <a:tailEnd type="none" w="med" len="med"/>
                          </a:ln>
                        </wps:spPr>
                        <wps:bodyPr upright="1"/>
                      </wps:wsp>
                      <wps:wsp>
                        <wps:cNvPr id="52" name="任意多边形 52"/>
                        <wps:cNvSpPr/>
                        <wps:spPr>
                          <a:xfrm>
                            <a:off x="3473" y="134"/>
                            <a:ext cx="2650" cy="793"/>
                          </a:xfrm>
                          <a:custGeom>
                            <a:avLst/>
                            <a:gdLst/>
                            <a:ahLst/>
                            <a:cxnLst/>
                            <a:rect l="0" t="0" r="0" b="0"/>
                            <a:pathLst>
                              <a:path w="2650" h="793">
                                <a:moveTo>
                                  <a:pt x="0" y="0"/>
                                </a:moveTo>
                                <a:lnTo>
                                  <a:pt x="2649" y="0"/>
                                </a:lnTo>
                                <a:lnTo>
                                  <a:pt x="2649" y="792"/>
                                </a:lnTo>
                                <a:lnTo>
                                  <a:pt x="0" y="792"/>
                                </a:lnTo>
                                <a:lnTo>
                                  <a:pt x="0" y="0"/>
                                </a:lnTo>
                                <a:close/>
                              </a:path>
                            </a:pathLst>
                          </a:custGeom>
                          <a:solidFill>
                            <a:srgbClr val="CECECE"/>
                          </a:solidFill>
                          <a:ln>
                            <a:noFill/>
                          </a:ln>
                        </wps:spPr>
                        <wps:bodyPr upright="1"/>
                      </wps:wsp>
                      <wps:wsp>
                        <wps:cNvPr id="57" name="任意多边形 57"/>
                        <wps:cNvSpPr/>
                        <wps:spPr>
                          <a:xfrm>
                            <a:off x="3473" y="927"/>
                            <a:ext cx="2643" cy="20"/>
                          </a:xfrm>
                          <a:custGeom>
                            <a:avLst/>
                            <a:gdLst/>
                            <a:ahLst/>
                            <a:cxnLst/>
                            <a:rect l="0" t="0" r="0" b="0"/>
                            <a:pathLst>
                              <a:path w="2643" h="20">
                                <a:moveTo>
                                  <a:pt x="0" y="0"/>
                                </a:moveTo>
                                <a:lnTo>
                                  <a:pt x="2642" y="0"/>
                                </a:lnTo>
                              </a:path>
                            </a:pathLst>
                          </a:custGeom>
                          <a:noFill/>
                          <a:ln w="2955" cap="flat" cmpd="sng">
                            <a:solidFill>
                              <a:srgbClr val="CECECE"/>
                            </a:solidFill>
                            <a:prstDash val="solid"/>
                            <a:headEnd type="none" w="med" len="med"/>
                            <a:tailEnd type="none" w="med" len="med"/>
                          </a:ln>
                        </wps:spPr>
                        <wps:bodyPr upright="1"/>
                      </wps:wsp>
                      <wps:wsp>
                        <wps:cNvPr id="58" name="任意多边形 58"/>
                        <wps:cNvSpPr/>
                        <wps:spPr>
                          <a:xfrm>
                            <a:off x="3473" y="484"/>
                            <a:ext cx="20" cy="444"/>
                          </a:xfrm>
                          <a:custGeom>
                            <a:avLst/>
                            <a:gdLst/>
                            <a:ahLst/>
                            <a:cxnLst/>
                            <a:rect l="0" t="0" r="0" b="0"/>
                            <a:pathLst>
                              <a:path w="20" h="444">
                                <a:moveTo>
                                  <a:pt x="0" y="0"/>
                                </a:moveTo>
                                <a:lnTo>
                                  <a:pt x="0" y="443"/>
                                </a:lnTo>
                              </a:path>
                            </a:pathLst>
                          </a:custGeom>
                          <a:noFill/>
                          <a:ln w="2964" cap="flat" cmpd="sng">
                            <a:solidFill>
                              <a:srgbClr val="CECECE"/>
                            </a:solidFill>
                            <a:prstDash val="solid"/>
                            <a:headEnd type="none" w="med" len="med"/>
                            <a:tailEnd type="none" w="med" len="med"/>
                          </a:ln>
                        </wps:spPr>
                        <wps:bodyPr upright="1"/>
                      </wps:wsp>
                      <wps:wsp>
                        <wps:cNvPr id="59" name="矩形 59"/>
                        <wps:cNvSpPr/>
                        <wps:spPr>
                          <a:xfrm>
                            <a:off x="3447" y="108"/>
                            <a:ext cx="2640" cy="800"/>
                          </a:xfrm>
                          <a:prstGeom prst="rect">
                            <a:avLst/>
                          </a:prstGeom>
                          <a:noFill/>
                          <a:ln>
                            <a:noFill/>
                          </a:ln>
                        </wps:spPr>
                        <wps:txbx>
                          <w:txbxContent>
                            <w:p>
                              <w:pPr>
                                <w:widowControl/>
                                <w:spacing w:line="800" w:lineRule="atLeast"/>
                              </w:pPr>
                              <w:r>
                                <w:drawing>
                                  <wp:inline distT="0" distB="0" distL="114300" distR="114300">
                                    <wp:extent cx="1691005" cy="504190"/>
                                    <wp:effectExtent l="0" t="0" r="4445" b="10160"/>
                                    <wp:docPr id="3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1"/>
                                            <pic:cNvPicPr>
                                              <a:picLocks noChangeAspect="1"/>
                                            </pic:cNvPicPr>
                                          </pic:nvPicPr>
                                          <pic:blipFill>
                                            <a:blip r:embed="rId25"/>
                                            <a:stretch>
                                              <a:fillRect/>
                                            </a:stretch>
                                          </pic:blipFill>
                                          <pic:spPr>
                                            <a:xfrm>
                                              <a:off x="0" y="0"/>
                                              <a:ext cx="1691005" cy="504190"/>
                                            </a:xfrm>
                                            <a:prstGeom prst="rect">
                                              <a:avLst/>
                                            </a:prstGeom>
                                            <a:noFill/>
                                            <a:ln>
                                              <a:noFill/>
                                            </a:ln>
                                          </pic:spPr>
                                        </pic:pic>
                                      </a:graphicData>
                                    </a:graphic>
                                  </wp:inline>
                                </w:drawing>
                              </w:r>
                            </w:p>
                            <w:p/>
                          </w:txbxContent>
                        </wps:txbx>
                        <wps:bodyPr lIns="0" tIns="0" rIns="0" bIns="0" upright="1"/>
                      </wps:wsp>
                      <wps:wsp>
                        <wps:cNvPr id="60" name="任意多边形 60"/>
                        <wps:cNvSpPr/>
                        <wps:spPr>
                          <a:xfrm>
                            <a:off x="3446" y="107"/>
                            <a:ext cx="2650" cy="793"/>
                          </a:xfrm>
                          <a:custGeom>
                            <a:avLst/>
                            <a:gdLst/>
                            <a:ahLst/>
                            <a:cxnLst/>
                            <a:rect l="0" t="0" r="0" b="0"/>
                            <a:pathLst>
                              <a:path w="2650" h="793">
                                <a:moveTo>
                                  <a:pt x="0" y="792"/>
                                </a:moveTo>
                                <a:lnTo>
                                  <a:pt x="2649" y="792"/>
                                </a:lnTo>
                                <a:lnTo>
                                  <a:pt x="2649" y="0"/>
                                </a:lnTo>
                                <a:lnTo>
                                  <a:pt x="0" y="0"/>
                                </a:lnTo>
                                <a:lnTo>
                                  <a:pt x="0" y="792"/>
                                </a:lnTo>
                                <a:close/>
                              </a:path>
                            </a:pathLst>
                          </a:custGeom>
                          <a:noFill/>
                          <a:ln w="2956" cap="flat" cmpd="sng">
                            <a:solidFill>
                              <a:srgbClr val="3E3E3E"/>
                            </a:solidFill>
                            <a:prstDash val="solid"/>
                            <a:headEnd type="none" w="med" len="med"/>
                            <a:tailEnd type="none" w="med" len="med"/>
                          </a:ln>
                        </wps:spPr>
                        <wps:bodyPr upright="1"/>
                      </wps:wsp>
                      <wps:wsp>
                        <wps:cNvPr id="61" name="任意多边形 61"/>
                        <wps:cNvSpPr/>
                        <wps:spPr>
                          <a:xfrm>
                            <a:off x="1883" y="1323"/>
                            <a:ext cx="5829" cy="793"/>
                          </a:xfrm>
                          <a:custGeom>
                            <a:avLst/>
                            <a:gdLst/>
                            <a:ahLst/>
                            <a:cxnLst/>
                            <a:rect l="0" t="0" r="0" b="0"/>
                            <a:pathLst>
                              <a:path w="5829" h="793">
                                <a:moveTo>
                                  <a:pt x="0" y="0"/>
                                </a:moveTo>
                                <a:lnTo>
                                  <a:pt x="5828" y="0"/>
                                </a:lnTo>
                                <a:lnTo>
                                  <a:pt x="5828" y="792"/>
                                </a:lnTo>
                                <a:lnTo>
                                  <a:pt x="0" y="792"/>
                                </a:lnTo>
                                <a:lnTo>
                                  <a:pt x="0" y="0"/>
                                </a:lnTo>
                                <a:close/>
                              </a:path>
                            </a:pathLst>
                          </a:custGeom>
                          <a:solidFill>
                            <a:srgbClr val="CECECE"/>
                          </a:solidFill>
                          <a:ln>
                            <a:noFill/>
                          </a:ln>
                        </wps:spPr>
                        <wps:bodyPr upright="1"/>
                      </wps:wsp>
                      <wps:wsp>
                        <wps:cNvPr id="64" name="任意多边形 64"/>
                        <wps:cNvSpPr/>
                        <wps:spPr>
                          <a:xfrm>
                            <a:off x="1883" y="2116"/>
                            <a:ext cx="4232" cy="20"/>
                          </a:xfrm>
                          <a:custGeom>
                            <a:avLst/>
                            <a:gdLst/>
                            <a:ahLst/>
                            <a:cxnLst/>
                            <a:rect l="0" t="0" r="0" b="0"/>
                            <a:pathLst>
                              <a:path w="4232" h="20">
                                <a:moveTo>
                                  <a:pt x="0" y="0"/>
                                </a:moveTo>
                                <a:lnTo>
                                  <a:pt x="4231" y="0"/>
                                </a:lnTo>
                              </a:path>
                            </a:pathLst>
                          </a:custGeom>
                          <a:noFill/>
                          <a:ln w="2955" cap="flat" cmpd="sng">
                            <a:solidFill>
                              <a:srgbClr val="CECECE"/>
                            </a:solidFill>
                            <a:prstDash val="solid"/>
                            <a:headEnd type="none" w="med" len="med"/>
                            <a:tailEnd type="none" w="med" len="med"/>
                          </a:ln>
                        </wps:spPr>
                        <wps:bodyPr upright="1"/>
                      </wps:wsp>
                      <wps:wsp>
                        <wps:cNvPr id="65" name="任意多边形 65"/>
                        <wps:cNvSpPr/>
                        <wps:spPr>
                          <a:xfrm>
                            <a:off x="1883" y="1323"/>
                            <a:ext cx="4232" cy="793"/>
                          </a:xfrm>
                          <a:custGeom>
                            <a:avLst/>
                            <a:gdLst/>
                            <a:ahLst/>
                            <a:cxnLst/>
                            <a:rect l="0" t="0" r="0" b="0"/>
                            <a:pathLst>
                              <a:path w="4232" h="793">
                                <a:moveTo>
                                  <a:pt x="4231" y="0"/>
                                </a:moveTo>
                                <a:lnTo>
                                  <a:pt x="0" y="0"/>
                                </a:lnTo>
                                <a:lnTo>
                                  <a:pt x="0" y="792"/>
                                </a:lnTo>
                              </a:path>
                            </a:pathLst>
                          </a:custGeom>
                          <a:noFill/>
                          <a:ln w="2956" cap="flat" cmpd="sng">
                            <a:solidFill>
                              <a:srgbClr val="CECECE"/>
                            </a:solidFill>
                            <a:prstDash val="solid"/>
                            <a:headEnd type="none" w="med" len="med"/>
                            <a:tailEnd type="none" w="med" len="med"/>
                          </a:ln>
                        </wps:spPr>
                        <wps:bodyPr upright="1"/>
                      </wps:wsp>
                      <wps:wsp>
                        <wps:cNvPr id="67" name="矩形 67"/>
                        <wps:cNvSpPr/>
                        <wps:spPr>
                          <a:xfrm>
                            <a:off x="1857" y="1297"/>
                            <a:ext cx="5820" cy="800"/>
                          </a:xfrm>
                          <a:prstGeom prst="rect">
                            <a:avLst/>
                          </a:prstGeom>
                          <a:noFill/>
                          <a:ln>
                            <a:noFill/>
                          </a:ln>
                        </wps:spPr>
                        <wps:txbx>
                          <w:txbxContent>
                            <w:p>
                              <w:pPr>
                                <w:widowControl/>
                                <w:spacing w:line="800" w:lineRule="atLeast"/>
                              </w:pPr>
                              <w:r>
                                <w:drawing>
                                  <wp:inline distT="0" distB="0" distL="114300" distR="114300">
                                    <wp:extent cx="3720465" cy="504190"/>
                                    <wp:effectExtent l="0" t="0" r="13335" b="10160"/>
                                    <wp:docPr id="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2"/>
                                            <pic:cNvPicPr>
                                              <a:picLocks noChangeAspect="1"/>
                                            </pic:cNvPicPr>
                                          </pic:nvPicPr>
                                          <pic:blipFill>
                                            <a:blip r:embed="rId26"/>
                                            <a:stretch>
                                              <a:fillRect/>
                                            </a:stretch>
                                          </pic:blipFill>
                                          <pic:spPr>
                                            <a:xfrm>
                                              <a:off x="0" y="0"/>
                                              <a:ext cx="3720465" cy="504190"/>
                                            </a:xfrm>
                                            <a:prstGeom prst="rect">
                                              <a:avLst/>
                                            </a:prstGeom>
                                            <a:noFill/>
                                            <a:ln>
                                              <a:noFill/>
                                            </a:ln>
                                          </pic:spPr>
                                        </pic:pic>
                                      </a:graphicData>
                                    </a:graphic>
                                  </wp:inline>
                                </w:drawing>
                              </w:r>
                            </w:p>
                            <w:p/>
                          </w:txbxContent>
                        </wps:txbx>
                        <wps:bodyPr lIns="0" tIns="0" rIns="0" bIns="0" upright="1"/>
                      </wps:wsp>
                      <wps:wsp>
                        <wps:cNvPr id="68" name="任意多边形 68"/>
                        <wps:cNvSpPr/>
                        <wps:spPr>
                          <a:xfrm>
                            <a:off x="1857" y="1296"/>
                            <a:ext cx="5829" cy="793"/>
                          </a:xfrm>
                          <a:custGeom>
                            <a:avLst/>
                            <a:gdLst/>
                            <a:ahLst/>
                            <a:cxnLst/>
                            <a:rect l="0" t="0" r="0" b="0"/>
                            <a:pathLst>
                              <a:path w="5829" h="793">
                                <a:moveTo>
                                  <a:pt x="0" y="792"/>
                                </a:moveTo>
                                <a:lnTo>
                                  <a:pt x="5828" y="792"/>
                                </a:lnTo>
                                <a:lnTo>
                                  <a:pt x="5828" y="0"/>
                                </a:lnTo>
                                <a:lnTo>
                                  <a:pt x="0" y="0"/>
                                </a:lnTo>
                                <a:lnTo>
                                  <a:pt x="0" y="792"/>
                                </a:lnTo>
                                <a:close/>
                              </a:path>
                            </a:pathLst>
                          </a:custGeom>
                          <a:noFill/>
                          <a:ln w="2955" cap="flat" cmpd="sng">
                            <a:solidFill>
                              <a:srgbClr val="3E3E3E"/>
                            </a:solidFill>
                            <a:prstDash val="solid"/>
                            <a:headEnd type="none" w="med" len="med"/>
                            <a:tailEnd type="none" w="med" len="med"/>
                          </a:ln>
                        </wps:spPr>
                        <wps:bodyPr upright="1"/>
                      </wps:wsp>
                      <wps:wsp>
                        <wps:cNvPr id="70" name="任意多边形 70"/>
                        <wps:cNvSpPr/>
                        <wps:spPr>
                          <a:xfrm>
                            <a:off x="2678" y="2512"/>
                            <a:ext cx="4240" cy="951"/>
                          </a:xfrm>
                          <a:custGeom>
                            <a:avLst/>
                            <a:gdLst/>
                            <a:ahLst/>
                            <a:cxnLst/>
                            <a:rect l="0" t="0" r="0" b="0"/>
                            <a:pathLst>
                              <a:path w="4240" h="951">
                                <a:moveTo>
                                  <a:pt x="0" y="0"/>
                                </a:moveTo>
                                <a:lnTo>
                                  <a:pt x="4239" y="0"/>
                                </a:lnTo>
                                <a:lnTo>
                                  <a:pt x="4239" y="950"/>
                                </a:lnTo>
                                <a:lnTo>
                                  <a:pt x="0" y="950"/>
                                </a:lnTo>
                                <a:lnTo>
                                  <a:pt x="0" y="0"/>
                                </a:lnTo>
                                <a:close/>
                              </a:path>
                            </a:pathLst>
                          </a:custGeom>
                          <a:solidFill>
                            <a:srgbClr val="CECECE"/>
                          </a:solidFill>
                          <a:ln>
                            <a:noFill/>
                          </a:ln>
                        </wps:spPr>
                        <wps:bodyPr upright="1"/>
                      </wps:wsp>
                      <wps:wsp>
                        <wps:cNvPr id="71" name="任意多边形 71"/>
                        <wps:cNvSpPr/>
                        <wps:spPr>
                          <a:xfrm>
                            <a:off x="2678" y="3463"/>
                            <a:ext cx="3437" cy="20"/>
                          </a:xfrm>
                          <a:custGeom>
                            <a:avLst/>
                            <a:gdLst/>
                            <a:ahLst/>
                            <a:cxnLst/>
                            <a:rect l="0" t="0" r="0" b="0"/>
                            <a:pathLst>
                              <a:path w="3437" h="20">
                                <a:moveTo>
                                  <a:pt x="0" y="0"/>
                                </a:moveTo>
                                <a:lnTo>
                                  <a:pt x="3436" y="0"/>
                                </a:lnTo>
                              </a:path>
                            </a:pathLst>
                          </a:custGeom>
                          <a:noFill/>
                          <a:ln w="2955" cap="flat" cmpd="sng">
                            <a:solidFill>
                              <a:srgbClr val="CECECE"/>
                            </a:solidFill>
                            <a:prstDash val="solid"/>
                            <a:headEnd type="none" w="med" len="med"/>
                            <a:tailEnd type="none" w="med" len="med"/>
                          </a:ln>
                        </wps:spPr>
                        <wps:bodyPr upright="1"/>
                      </wps:wsp>
                      <wps:wsp>
                        <wps:cNvPr id="72" name="任意多边形 72"/>
                        <wps:cNvSpPr/>
                        <wps:spPr>
                          <a:xfrm>
                            <a:off x="2678" y="2512"/>
                            <a:ext cx="3437" cy="951"/>
                          </a:xfrm>
                          <a:custGeom>
                            <a:avLst/>
                            <a:gdLst/>
                            <a:ahLst/>
                            <a:cxnLst/>
                            <a:rect l="0" t="0" r="0" b="0"/>
                            <a:pathLst>
                              <a:path w="3437" h="951">
                                <a:moveTo>
                                  <a:pt x="3436" y="0"/>
                                </a:moveTo>
                                <a:lnTo>
                                  <a:pt x="0" y="0"/>
                                </a:lnTo>
                                <a:lnTo>
                                  <a:pt x="0" y="950"/>
                                </a:lnTo>
                              </a:path>
                            </a:pathLst>
                          </a:custGeom>
                          <a:noFill/>
                          <a:ln w="2956" cap="flat" cmpd="sng">
                            <a:solidFill>
                              <a:srgbClr val="CECECE"/>
                            </a:solidFill>
                            <a:prstDash val="solid"/>
                            <a:headEnd type="none" w="med" len="med"/>
                            <a:tailEnd type="none" w="med" len="med"/>
                          </a:ln>
                        </wps:spPr>
                        <wps:bodyPr upright="1"/>
                      </wps:wsp>
                      <wps:wsp>
                        <wps:cNvPr id="73" name="矩形 73"/>
                        <wps:cNvSpPr/>
                        <wps:spPr>
                          <a:xfrm>
                            <a:off x="2651" y="2486"/>
                            <a:ext cx="4240" cy="960"/>
                          </a:xfrm>
                          <a:prstGeom prst="rect">
                            <a:avLst/>
                          </a:prstGeom>
                          <a:noFill/>
                          <a:ln>
                            <a:noFill/>
                          </a:ln>
                        </wps:spPr>
                        <wps:txbx>
                          <w:txbxContent>
                            <w:p>
                              <w:pPr>
                                <w:widowControl/>
                                <w:spacing w:line="960" w:lineRule="atLeast"/>
                              </w:pPr>
                              <w:r>
                                <w:drawing>
                                  <wp:inline distT="0" distB="0" distL="114300" distR="114300">
                                    <wp:extent cx="2705735" cy="606425"/>
                                    <wp:effectExtent l="0" t="0" r="18415" b="3175"/>
                                    <wp:docPr id="1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3"/>
                                            <pic:cNvPicPr>
                                              <a:picLocks noChangeAspect="1"/>
                                            </pic:cNvPicPr>
                                          </pic:nvPicPr>
                                          <pic:blipFill>
                                            <a:blip r:embed="rId27"/>
                                            <a:stretch>
                                              <a:fillRect/>
                                            </a:stretch>
                                          </pic:blipFill>
                                          <pic:spPr>
                                            <a:xfrm>
                                              <a:off x="0" y="0"/>
                                              <a:ext cx="2705735" cy="606425"/>
                                            </a:xfrm>
                                            <a:prstGeom prst="rect">
                                              <a:avLst/>
                                            </a:prstGeom>
                                            <a:noFill/>
                                            <a:ln>
                                              <a:noFill/>
                                            </a:ln>
                                          </pic:spPr>
                                        </pic:pic>
                                      </a:graphicData>
                                    </a:graphic>
                                  </wp:inline>
                                </w:drawing>
                              </w:r>
                            </w:p>
                            <w:p/>
                          </w:txbxContent>
                        </wps:txbx>
                        <wps:bodyPr lIns="0" tIns="0" rIns="0" bIns="0" upright="1"/>
                      </wps:wsp>
                      <wps:wsp>
                        <wps:cNvPr id="74" name="任意多边形 74"/>
                        <wps:cNvSpPr/>
                        <wps:spPr>
                          <a:xfrm>
                            <a:off x="2651" y="2485"/>
                            <a:ext cx="4240" cy="951"/>
                          </a:xfrm>
                          <a:custGeom>
                            <a:avLst/>
                            <a:gdLst/>
                            <a:ahLst/>
                            <a:cxnLst/>
                            <a:rect l="0" t="0" r="0" b="0"/>
                            <a:pathLst>
                              <a:path w="4240" h="951">
                                <a:moveTo>
                                  <a:pt x="0" y="950"/>
                                </a:moveTo>
                                <a:lnTo>
                                  <a:pt x="4239" y="950"/>
                                </a:lnTo>
                                <a:lnTo>
                                  <a:pt x="4239" y="0"/>
                                </a:lnTo>
                                <a:lnTo>
                                  <a:pt x="0" y="0"/>
                                </a:lnTo>
                                <a:lnTo>
                                  <a:pt x="0" y="950"/>
                                </a:lnTo>
                                <a:close/>
                              </a:path>
                            </a:pathLst>
                          </a:custGeom>
                          <a:noFill/>
                          <a:ln w="2956" cap="flat" cmpd="sng">
                            <a:solidFill>
                              <a:srgbClr val="3E3E3E"/>
                            </a:solidFill>
                            <a:prstDash val="solid"/>
                            <a:headEnd type="none" w="med" len="med"/>
                            <a:tailEnd type="none" w="med" len="med"/>
                          </a:ln>
                        </wps:spPr>
                        <wps:bodyPr upright="1"/>
                      </wps:wsp>
                      <wps:wsp>
                        <wps:cNvPr id="75" name="任意多边形 75"/>
                        <wps:cNvSpPr/>
                        <wps:spPr>
                          <a:xfrm>
                            <a:off x="3076" y="3859"/>
                            <a:ext cx="3445" cy="951"/>
                          </a:xfrm>
                          <a:custGeom>
                            <a:avLst/>
                            <a:gdLst/>
                            <a:ahLst/>
                            <a:cxnLst/>
                            <a:rect l="0" t="0" r="0" b="0"/>
                            <a:pathLst>
                              <a:path w="3445" h="951">
                                <a:moveTo>
                                  <a:pt x="0" y="0"/>
                                </a:moveTo>
                                <a:lnTo>
                                  <a:pt x="3444" y="0"/>
                                </a:lnTo>
                                <a:lnTo>
                                  <a:pt x="3444" y="950"/>
                                </a:lnTo>
                                <a:lnTo>
                                  <a:pt x="0" y="950"/>
                                </a:lnTo>
                                <a:lnTo>
                                  <a:pt x="0" y="0"/>
                                </a:lnTo>
                                <a:close/>
                              </a:path>
                            </a:pathLst>
                          </a:custGeom>
                          <a:solidFill>
                            <a:srgbClr val="CECECE"/>
                          </a:solidFill>
                          <a:ln>
                            <a:noFill/>
                          </a:ln>
                        </wps:spPr>
                        <wps:bodyPr upright="1"/>
                      </wps:wsp>
                      <wps:wsp>
                        <wps:cNvPr id="76" name="任意多边形 76"/>
                        <wps:cNvSpPr/>
                        <wps:spPr>
                          <a:xfrm>
                            <a:off x="3076" y="4810"/>
                            <a:ext cx="3040" cy="20"/>
                          </a:xfrm>
                          <a:custGeom>
                            <a:avLst/>
                            <a:gdLst/>
                            <a:ahLst/>
                            <a:cxnLst/>
                            <a:rect l="0" t="0" r="0" b="0"/>
                            <a:pathLst>
                              <a:path w="3040" h="20">
                                <a:moveTo>
                                  <a:pt x="0" y="0"/>
                                </a:moveTo>
                                <a:lnTo>
                                  <a:pt x="3039" y="0"/>
                                </a:lnTo>
                              </a:path>
                            </a:pathLst>
                          </a:custGeom>
                          <a:noFill/>
                          <a:ln w="2955" cap="flat" cmpd="sng">
                            <a:solidFill>
                              <a:srgbClr val="CECECE"/>
                            </a:solidFill>
                            <a:prstDash val="solid"/>
                            <a:headEnd type="none" w="med" len="med"/>
                            <a:tailEnd type="none" w="med" len="med"/>
                          </a:ln>
                        </wps:spPr>
                        <wps:bodyPr upright="1"/>
                      </wps:wsp>
                      <wps:wsp>
                        <wps:cNvPr id="77" name="任意多边形 77"/>
                        <wps:cNvSpPr/>
                        <wps:spPr>
                          <a:xfrm>
                            <a:off x="3076" y="3859"/>
                            <a:ext cx="3040" cy="951"/>
                          </a:xfrm>
                          <a:custGeom>
                            <a:avLst/>
                            <a:gdLst/>
                            <a:ahLst/>
                            <a:cxnLst/>
                            <a:rect l="0" t="0" r="0" b="0"/>
                            <a:pathLst>
                              <a:path w="3040" h="951">
                                <a:moveTo>
                                  <a:pt x="3039" y="0"/>
                                </a:moveTo>
                                <a:lnTo>
                                  <a:pt x="0" y="0"/>
                                </a:lnTo>
                                <a:lnTo>
                                  <a:pt x="0" y="950"/>
                                </a:lnTo>
                              </a:path>
                            </a:pathLst>
                          </a:custGeom>
                          <a:noFill/>
                          <a:ln w="2956" cap="flat" cmpd="sng">
                            <a:solidFill>
                              <a:srgbClr val="CECECE"/>
                            </a:solidFill>
                            <a:prstDash val="solid"/>
                            <a:headEnd type="none" w="med" len="med"/>
                            <a:tailEnd type="none" w="med" len="med"/>
                          </a:ln>
                        </wps:spPr>
                        <wps:bodyPr upright="1"/>
                      </wps:wsp>
                      <wps:wsp>
                        <wps:cNvPr id="78" name="矩形 78"/>
                        <wps:cNvSpPr/>
                        <wps:spPr>
                          <a:xfrm>
                            <a:off x="3049" y="3832"/>
                            <a:ext cx="3440" cy="960"/>
                          </a:xfrm>
                          <a:prstGeom prst="rect">
                            <a:avLst/>
                          </a:prstGeom>
                          <a:noFill/>
                          <a:ln>
                            <a:noFill/>
                          </a:ln>
                        </wps:spPr>
                        <wps:txbx>
                          <w:txbxContent>
                            <w:p>
                              <w:pPr>
                                <w:widowControl/>
                                <w:spacing w:line="960" w:lineRule="atLeast"/>
                              </w:pPr>
                              <w:r>
                                <w:drawing>
                                  <wp:inline distT="0" distB="0" distL="114300" distR="114300">
                                    <wp:extent cx="2195195" cy="606425"/>
                                    <wp:effectExtent l="0" t="0" r="14605" b="3175"/>
                                    <wp:docPr id="1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4"/>
                                            <pic:cNvPicPr>
                                              <a:picLocks noChangeAspect="1"/>
                                            </pic:cNvPicPr>
                                          </pic:nvPicPr>
                                          <pic:blipFill>
                                            <a:blip r:embed="rId28"/>
                                            <a:stretch>
                                              <a:fillRect/>
                                            </a:stretch>
                                          </pic:blipFill>
                                          <pic:spPr>
                                            <a:xfrm>
                                              <a:off x="0" y="0"/>
                                              <a:ext cx="2195195" cy="606425"/>
                                            </a:xfrm>
                                            <a:prstGeom prst="rect">
                                              <a:avLst/>
                                            </a:prstGeom>
                                            <a:noFill/>
                                            <a:ln>
                                              <a:noFill/>
                                            </a:ln>
                                          </pic:spPr>
                                        </pic:pic>
                                      </a:graphicData>
                                    </a:graphic>
                                  </wp:inline>
                                </w:drawing>
                              </w:r>
                            </w:p>
                            <w:p/>
                          </w:txbxContent>
                        </wps:txbx>
                        <wps:bodyPr lIns="0" tIns="0" rIns="0" bIns="0" upright="1"/>
                      </wps:wsp>
                      <wps:wsp>
                        <wps:cNvPr id="79" name="任意多边形 79"/>
                        <wps:cNvSpPr/>
                        <wps:spPr>
                          <a:xfrm>
                            <a:off x="3049" y="3832"/>
                            <a:ext cx="3445" cy="951"/>
                          </a:xfrm>
                          <a:custGeom>
                            <a:avLst/>
                            <a:gdLst/>
                            <a:ahLst/>
                            <a:cxnLst/>
                            <a:rect l="0" t="0" r="0" b="0"/>
                            <a:pathLst>
                              <a:path w="3445" h="951">
                                <a:moveTo>
                                  <a:pt x="0" y="950"/>
                                </a:moveTo>
                                <a:lnTo>
                                  <a:pt x="3444" y="950"/>
                                </a:lnTo>
                                <a:lnTo>
                                  <a:pt x="3444" y="0"/>
                                </a:lnTo>
                                <a:lnTo>
                                  <a:pt x="0" y="0"/>
                                </a:lnTo>
                                <a:lnTo>
                                  <a:pt x="0" y="950"/>
                                </a:lnTo>
                                <a:close/>
                              </a:path>
                            </a:pathLst>
                          </a:custGeom>
                          <a:noFill/>
                          <a:ln w="2956" cap="flat" cmpd="sng">
                            <a:solidFill>
                              <a:srgbClr val="3E3E3E"/>
                            </a:solidFill>
                            <a:prstDash val="solid"/>
                            <a:headEnd type="none" w="med" len="med"/>
                            <a:tailEnd type="none" w="med" len="med"/>
                          </a:ln>
                        </wps:spPr>
                        <wps:bodyPr upright="1"/>
                      </wps:wsp>
                      <wps:wsp>
                        <wps:cNvPr id="80" name="任意多边形 80"/>
                        <wps:cNvSpPr/>
                        <wps:spPr>
                          <a:xfrm>
                            <a:off x="3818" y="6210"/>
                            <a:ext cx="1961" cy="951"/>
                          </a:xfrm>
                          <a:custGeom>
                            <a:avLst/>
                            <a:gdLst/>
                            <a:ahLst/>
                            <a:cxnLst/>
                            <a:rect l="0" t="0" r="0" b="0"/>
                            <a:pathLst>
                              <a:path w="1961" h="951">
                                <a:moveTo>
                                  <a:pt x="0" y="0"/>
                                </a:moveTo>
                                <a:lnTo>
                                  <a:pt x="1960" y="0"/>
                                </a:lnTo>
                                <a:lnTo>
                                  <a:pt x="1960" y="950"/>
                                </a:lnTo>
                                <a:lnTo>
                                  <a:pt x="0" y="950"/>
                                </a:lnTo>
                                <a:lnTo>
                                  <a:pt x="0" y="0"/>
                                </a:lnTo>
                                <a:close/>
                              </a:path>
                            </a:pathLst>
                          </a:custGeom>
                          <a:solidFill>
                            <a:srgbClr val="CECECE"/>
                          </a:solidFill>
                          <a:ln>
                            <a:noFill/>
                          </a:ln>
                        </wps:spPr>
                        <wps:bodyPr upright="1"/>
                      </wps:wsp>
                      <wps:wsp>
                        <wps:cNvPr id="81" name="任意多边形 81"/>
                        <wps:cNvSpPr/>
                        <wps:spPr>
                          <a:xfrm>
                            <a:off x="3818" y="6210"/>
                            <a:ext cx="1961" cy="951"/>
                          </a:xfrm>
                          <a:custGeom>
                            <a:avLst/>
                            <a:gdLst/>
                            <a:ahLst/>
                            <a:cxnLst/>
                            <a:rect l="0" t="0" r="0" b="0"/>
                            <a:pathLst>
                              <a:path w="1961" h="951">
                                <a:moveTo>
                                  <a:pt x="0" y="950"/>
                                </a:moveTo>
                                <a:lnTo>
                                  <a:pt x="1960" y="950"/>
                                </a:lnTo>
                                <a:lnTo>
                                  <a:pt x="1960" y="0"/>
                                </a:lnTo>
                                <a:lnTo>
                                  <a:pt x="0" y="0"/>
                                </a:lnTo>
                                <a:lnTo>
                                  <a:pt x="0" y="950"/>
                                </a:lnTo>
                                <a:close/>
                              </a:path>
                            </a:pathLst>
                          </a:custGeom>
                          <a:noFill/>
                          <a:ln w="2957" cap="flat" cmpd="sng">
                            <a:solidFill>
                              <a:srgbClr val="CECECE"/>
                            </a:solidFill>
                            <a:prstDash val="solid"/>
                            <a:headEnd type="none" w="med" len="med"/>
                            <a:tailEnd type="none" w="med" len="med"/>
                          </a:ln>
                        </wps:spPr>
                        <wps:bodyPr upright="1"/>
                      </wps:wsp>
                      <wps:wsp>
                        <wps:cNvPr id="82" name="矩形 82"/>
                        <wps:cNvSpPr/>
                        <wps:spPr>
                          <a:xfrm>
                            <a:off x="3791" y="6184"/>
                            <a:ext cx="1960" cy="960"/>
                          </a:xfrm>
                          <a:prstGeom prst="rect">
                            <a:avLst/>
                          </a:prstGeom>
                          <a:noFill/>
                          <a:ln>
                            <a:noFill/>
                          </a:ln>
                        </wps:spPr>
                        <wps:txbx>
                          <w:txbxContent>
                            <w:p>
                              <w:pPr>
                                <w:widowControl/>
                                <w:spacing w:line="960" w:lineRule="atLeast"/>
                              </w:pPr>
                              <w:r>
                                <w:drawing>
                                  <wp:inline distT="0" distB="0" distL="114300" distR="114300">
                                    <wp:extent cx="1250950" cy="606425"/>
                                    <wp:effectExtent l="0" t="0" r="6350" b="3175"/>
                                    <wp:docPr id="3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5"/>
                                            <pic:cNvPicPr>
                                              <a:picLocks noChangeAspect="1"/>
                                            </pic:cNvPicPr>
                                          </pic:nvPicPr>
                                          <pic:blipFill>
                                            <a:blip r:embed="rId29"/>
                                            <a:stretch>
                                              <a:fillRect/>
                                            </a:stretch>
                                          </pic:blipFill>
                                          <pic:spPr>
                                            <a:xfrm>
                                              <a:off x="0" y="0"/>
                                              <a:ext cx="1250950" cy="606425"/>
                                            </a:xfrm>
                                            <a:prstGeom prst="rect">
                                              <a:avLst/>
                                            </a:prstGeom>
                                            <a:noFill/>
                                            <a:ln>
                                              <a:noFill/>
                                            </a:ln>
                                          </pic:spPr>
                                        </pic:pic>
                                      </a:graphicData>
                                    </a:graphic>
                                  </wp:inline>
                                </w:drawing>
                              </w:r>
                            </w:p>
                            <w:p/>
                          </w:txbxContent>
                        </wps:txbx>
                        <wps:bodyPr lIns="0" tIns="0" rIns="0" bIns="0" upright="1"/>
                      </wps:wsp>
                      <wps:wsp>
                        <wps:cNvPr id="83" name="任意多边形 83"/>
                        <wps:cNvSpPr/>
                        <wps:spPr>
                          <a:xfrm>
                            <a:off x="3791" y="6183"/>
                            <a:ext cx="1961" cy="951"/>
                          </a:xfrm>
                          <a:custGeom>
                            <a:avLst/>
                            <a:gdLst/>
                            <a:ahLst/>
                            <a:cxnLst/>
                            <a:rect l="0" t="0" r="0" b="0"/>
                            <a:pathLst>
                              <a:path w="1961" h="951">
                                <a:moveTo>
                                  <a:pt x="0" y="950"/>
                                </a:moveTo>
                                <a:lnTo>
                                  <a:pt x="1960" y="950"/>
                                </a:lnTo>
                                <a:lnTo>
                                  <a:pt x="1960" y="0"/>
                                </a:lnTo>
                                <a:lnTo>
                                  <a:pt x="0" y="0"/>
                                </a:lnTo>
                                <a:lnTo>
                                  <a:pt x="0" y="950"/>
                                </a:lnTo>
                                <a:close/>
                              </a:path>
                            </a:pathLst>
                          </a:custGeom>
                          <a:noFill/>
                          <a:ln w="2957" cap="flat" cmpd="sng">
                            <a:solidFill>
                              <a:srgbClr val="3E3E3E"/>
                            </a:solidFill>
                            <a:prstDash val="solid"/>
                            <a:headEnd type="none" w="med" len="med"/>
                            <a:tailEnd type="none" w="med" len="med"/>
                          </a:ln>
                        </wps:spPr>
                        <wps:bodyPr upright="1"/>
                      </wps:wsp>
                      <wps:wsp>
                        <wps:cNvPr id="84" name="任意多边形 84"/>
                        <wps:cNvSpPr/>
                        <wps:spPr>
                          <a:xfrm>
                            <a:off x="7262" y="5523"/>
                            <a:ext cx="981" cy="951"/>
                          </a:xfrm>
                          <a:custGeom>
                            <a:avLst/>
                            <a:gdLst/>
                            <a:ahLst/>
                            <a:cxnLst/>
                            <a:rect l="0" t="0" r="0" b="0"/>
                            <a:pathLst>
                              <a:path w="981" h="951">
                                <a:moveTo>
                                  <a:pt x="0" y="0"/>
                                </a:moveTo>
                                <a:lnTo>
                                  <a:pt x="980" y="0"/>
                                </a:lnTo>
                                <a:lnTo>
                                  <a:pt x="980" y="950"/>
                                </a:lnTo>
                                <a:lnTo>
                                  <a:pt x="0" y="950"/>
                                </a:lnTo>
                                <a:lnTo>
                                  <a:pt x="0" y="0"/>
                                </a:lnTo>
                                <a:close/>
                              </a:path>
                            </a:pathLst>
                          </a:custGeom>
                          <a:solidFill>
                            <a:srgbClr val="CECECE"/>
                          </a:solidFill>
                          <a:ln>
                            <a:noFill/>
                          </a:ln>
                        </wps:spPr>
                        <wps:bodyPr upright="1"/>
                      </wps:wsp>
                      <wps:wsp>
                        <wps:cNvPr id="85" name="矩形 85"/>
                        <wps:cNvSpPr/>
                        <wps:spPr>
                          <a:xfrm>
                            <a:off x="7235" y="5497"/>
                            <a:ext cx="980" cy="960"/>
                          </a:xfrm>
                          <a:prstGeom prst="rect">
                            <a:avLst/>
                          </a:prstGeom>
                          <a:noFill/>
                          <a:ln>
                            <a:noFill/>
                          </a:ln>
                        </wps:spPr>
                        <wps:txbx>
                          <w:txbxContent>
                            <w:p>
                              <w:pPr>
                                <w:widowControl/>
                                <w:spacing w:line="960" w:lineRule="atLeast"/>
                              </w:pPr>
                              <w:r>
                                <w:drawing>
                                  <wp:inline distT="0" distB="0" distL="114300" distR="114300">
                                    <wp:extent cx="625475" cy="606425"/>
                                    <wp:effectExtent l="0" t="0" r="3175" b="3175"/>
                                    <wp:docPr id="1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6"/>
                                            <pic:cNvPicPr>
                                              <a:picLocks noChangeAspect="1"/>
                                            </pic:cNvPicPr>
                                          </pic:nvPicPr>
                                          <pic:blipFill>
                                            <a:blip r:embed="rId30"/>
                                            <a:stretch>
                                              <a:fillRect/>
                                            </a:stretch>
                                          </pic:blipFill>
                                          <pic:spPr>
                                            <a:xfrm>
                                              <a:off x="0" y="0"/>
                                              <a:ext cx="625475" cy="606425"/>
                                            </a:xfrm>
                                            <a:prstGeom prst="rect">
                                              <a:avLst/>
                                            </a:prstGeom>
                                            <a:noFill/>
                                            <a:ln>
                                              <a:noFill/>
                                            </a:ln>
                                          </pic:spPr>
                                        </pic:pic>
                                      </a:graphicData>
                                    </a:graphic>
                                  </wp:inline>
                                </w:drawing>
                              </w:r>
                            </w:p>
                            <w:p/>
                          </w:txbxContent>
                        </wps:txbx>
                        <wps:bodyPr lIns="0" tIns="0" rIns="0" bIns="0" upright="1"/>
                      </wps:wsp>
                      <wps:wsp>
                        <wps:cNvPr id="86" name="任意多边形 86"/>
                        <wps:cNvSpPr/>
                        <wps:spPr>
                          <a:xfrm>
                            <a:off x="7235" y="5496"/>
                            <a:ext cx="981" cy="951"/>
                          </a:xfrm>
                          <a:custGeom>
                            <a:avLst/>
                            <a:gdLst/>
                            <a:ahLst/>
                            <a:cxnLst/>
                            <a:rect l="0" t="0" r="0" b="0"/>
                            <a:pathLst>
                              <a:path w="981" h="951">
                                <a:moveTo>
                                  <a:pt x="0" y="950"/>
                                </a:moveTo>
                                <a:lnTo>
                                  <a:pt x="980" y="950"/>
                                </a:lnTo>
                                <a:lnTo>
                                  <a:pt x="980" y="0"/>
                                </a:lnTo>
                                <a:lnTo>
                                  <a:pt x="0" y="0"/>
                                </a:lnTo>
                                <a:lnTo>
                                  <a:pt x="0" y="950"/>
                                </a:lnTo>
                                <a:close/>
                              </a:path>
                            </a:pathLst>
                          </a:custGeom>
                          <a:noFill/>
                          <a:ln w="2960" cap="flat" cmpd="sng">
                            <a:solidFill>
                              <a:srgbClr val="3E3E3E"/>
                            </a:solidFill>
                            <a:prstDash val="solid"/>
                            <a:headEnd type="none" w="med" len="med"/>
                            <a:tailEnd type="none" w="med" len="med"/>
                          </a:ln>
                        </wps:spPr>
                        <wps:bodyPr upright="1"/>
                      </wps:wsp>
                      <wps:wsp>
                        <wps:cNvPr id="87" name="任意多边形 87"/>
                        <wps:cNvSpPr/>
                        <wps:spPr>
                          <a:xfrm>
                            <a:off x="1433" y="5523"/>
                            <a:ext cx="981" cy="951"/>
                          </a:xfrm>
                          <a:custGeom>
                            <a:avLst/>
                            <a:gdLst/>
                            <a:ahLst/>
                            <a:cxnLst/>
                            <a:rect l="0" t="0" r="0" b="0"/>
                            <a:pathLst>
                              <a:path w="981" h="951">
                                <a:moveTo>
                                  <a:pt x="0" y="0"/>
                                </a:moveTo>
                                <a:lnTo>
                                  <a:pt x="980" y="0"/>
                                </a:lnTo>
                                <a:lnTo>
                                  <a:pt x="980" y="950"/>
                                </a:lnTo>
                                <a:lnTo>
                                  <a:pt x="0" y="950"/>
                                </a:lnTo>
                                <a:lnTo>
                                  <a:pt x="0" y="0"/>
                                </a:lnTo>
                                <a:close/>
                              </a:path>
                            </a:pathLst>
                          </a:custGeom>
                          <a:solidFill>
                            <a:srgbClr val="CECECE"/>
                          </a:solidFill>
                          <a:ln>
                            <a:noFill/>
                          </a:ln>
                        </wps:spPr>
                        <wps:bodyPr upright="1"/>
                      </wps:wsp>
                      <wps:wsp>
                        <wps:cNvPr id="88" name="任意多边形 88"/>
                        <wps:cNvSpPr/>
                        <wps:spPr>
                          <a:xfrm>
                            <a:off x="1433" y="5523"/>
                            <a:ext cx="981" cy="951"/>
                          </a:xfrm>
                          <a:custGeom>
                            <a:avLst/>
                            <a:gdLst/>
                            <a:ahLst/>
                            <a:cxnLst/>
                            <a:rect l="0" t="0" r="0" b="0"/>
                            <a:pathLst>
                              <a:path w="981" h="951">
                                <a:moveTo>
                                  <a:pt x="0" y="950"/>
                                </a:moveTo>
                                <a:lnTo>
                                  <a:pt x="980" y="950"/>
                                </a:lnTo>
                                <a:lnTo>
                                  <a:pt x="980" y="0"/>
                                </a:lnTo>
                                <a:lnTo>
                                  <a:pt x="0" y="0"/>
                                </a:lnTo>
                                <a:lnTo>
                                  <a:pt x="0" y="950"/>
                                </a:lnTo>
                                <a:close/>
                              </a:path>
                            </a:pathLst>
                          </a:custGeom>
                          <a:noFill/>
                          <a:ln w="2960" cap="flat" cmpd="sng">
                            <a:solidFill>
                              <a:srgbClr val="CECECE"/>
                            </a:solidFill>
                            <a:prstDash val="solid"/>
                            <a:headEnd type="none" w="med" len="med"/>
                            <a:tailEnd type="none" w="med" len="med"/>
                          </a:ln>
                        </wps:spPr>
                        <wps:bodyPr upright="1"/>
                      </wps:wsp>
                      <wps:wsp>
                        <wps:cNvPr id="106" name="矩形 106"/>
                        <wps:cNvSpPr/>
                        <wps:spPr>
                          <a:xfrm>
                            <a:off x="1406" y="5497"/>
                            <a:ext cx="980" cy="960"/>
                          </a:xfrm>
                          <a:prstGeom prst="rect">
                            <a:avLst/>
                          </a:prstGeom>
                          <a:noFill/>
                          <a:ln>
                            <a:noFill/>
                          </a:ln>
                        </wps:spPr>
                        <wps:txbx>
                          <w:txbxContent>
                            <w:p>
                              <w:pPr>
                                <w:widowControl/>
                                <w:spacing w:line="960" w:lineRule="atLeast"/>
                              </w:pPr>
                              <w:r>
                                <w:drawing>
                                  <wp:inline distT="0" distB="0" distL="114300" distR="114300">
                                    <wp:extent cx="625475" cy="606425"/>
                                    <wp:effectExtent l="0" t="0" r="3175" b="3175"/>
                                    <wp:docPr id="1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7"/>
                                            <pic:cNvPicPr>
                                              <a:picLocks noChangeAspect="1"/>
                                            </pic:cNvPicPr>
                                          </pic:nvPicPr>
                                          <pic:blipFill>
                                            <a:blip r:embed="rId30"/>
                                            <a:stretch>
                                              <a:fillRect/>
                                            </a:stretch>
                                          </pic:blipFill>
                                          <pic:spPr>
                                            <a:xfrm>
                                              <a:off x="0" y="0"/>
                                              <a:ext cx="625475" cy="606425"/>
                                            </a:xfrm>
                                            <a:prstGeom prst="rect">
                                              <a:avLst/>
                                            </a:prstGeom>
                                            <a:noFill/>
                                            <a:ln>
                                              <a:noFill/>
                                            </a:ln>
                                          </pic:spPr>
                                        </pic:pic>
                                      </a:graphicData>
                                    </a:graphic>
                                  </wp:inline>
                                </w:drawing>
                              </w:r>
                            </w:p>
                            <w:p/>
                          </w:txbxContent>
                        </wps:txbx>
                        <wps:bodyPr lIns="0" tIns="0" rIns="0" bIns="0" upright="1"/>
                      </wps:wsp>
                      <wps:wsp>
                        <wps:cNvPr id="107" name="任意多边形 107"/>
                        <wps:cNvSpPr/>
                        <wps:spPr>
                          <a:xfrm>
                            <a:off x="1406" y="5496"/>
                            <a:ext cx="981" cy="951"/>
                          </a:xfrm>
                          <a:custGeom>
                            <a:avLst/>
                            <a:gdLst/>
                            <a:ahLst/>
                            <a:cxnLst/>
                            <a:rect l="0" t="0" r="0" b="0"/>
                            <a:pathLst>
                              <a:path w="981" h="951">
                                <a:moveTo>
                                  <a:pt x="0" y="950"/>
                                </a:moveTo>
                                <a:lnTo>
                                  <a:pt x="980" y="950"/>
                                </a:lnTo>
                                <a:lnTo>
                                  <a:pt x="980" y="0"/>
                                </a:lnTo>
                                <a:lnTo>
                                  <a:pt x="0" y="0"/>
                                </a:lnTo>
                                <a:lnTo>
                                  <a:pt x="0" y="950"/>
                                </a:lnTo>
                                <a:close/>
                              </a:path>
                            </a:pathLst>
                          </a:custGeom>
                          <a:noFill/>
                          <a:ln w="2960" cap="flat" cmpd="sng">
                            <a:solidFill>
                              <a:srgbClr val="3E3E3E"/>
                            </a:solidFill>
                            <a:prstDash val="solid"/>
                            <a:headEnd type="none" w="med" len="med"/>
                            <a:tailEnd type="none" w="med" len="med"/>
                          </a:ln>
                        </wps:spPr>
                        <wps:bodyPr upright="1"/>
                      </wps:wsp>
                      <wps:wsp>
                        <wps:cNvPr id="108" name="任意多边形 108"/>
                        <wps:cNvSpPr/>
                        <wps:spPr>
                          <a:xfrm>
                            <a:off x="3659" y="7636"/>
                            <a:ext cx="2279" cy="423"/>
                          </a:xfrm>
                          <a:custGeom>
                            <a:avLst/>
                            <a:gdLst/>
                            <a:ahLst/>
                            <a:cxnLst/>
                            <a:rect l="0" t="0" r="0" b="0"/>
                            <a:pathLst>
                              <a:path w="2279" h="423">
                                <a:moveTo>
                                  <a:pt x="0" y="0"/>
                                </a:moveTo>
                                <a:lnTo>
                                  <a:pt x="2278" y="0"/>
                                </a:lnTo>
                                <a:lnTo>
                                  <a:pt x="2278" y="422"/>
                                </a:lnTo>
                                <a:lnTo>
                                  <a:pt x="0" y="422"/>
                                </a:lnTo>
                                <a:lnTo>
                                  <a:pt x="0" y="0"/>
                                </a:lnTo>
                                <a:close/>
                              </a:path>
                            </a:pathLst>
                          </a:custGeom>
                          <a:solidFill>
                            <a:srgbClr val="CECECE"/>
                          </a:solidFill>
                          <a:ln>
                            <a:noFill/>
                          </a:ln>
                        </wps:spPr>
                        <wps:bodyPr upright="1"/>
                      </wps:wsp>
                      <wps:wsp>
                        <wps:cNvPr id="109" name="任意多边形 109"/>
                        <wps:cNvSpPr/>
                        <wps:spPr>
                          <a:xfrm>
                            <a:off x="3659" y="7636"/>
                            <a:ext cx="2279" cy="404"/>
                          </a:xfrm>
                          <a:custGeom>
                            <a:avLst/>
                            <a:gdLst/>
                            <a:ahLst/>
                            <a:cxnLst/>
                            <a:rect l="0" t="0" r="0" b="0"/>
                            <a:pathLst>
                              <a:path w="2279" h="404">
                                <a:moveTo>
                                  <a:pt x="2278" y="403"/>
                                </a:moveTo>
                                <a:lnTo>
                                  <a:pt x="2278" y="0"/>
                                </a:lnTo>
                                <a:lnTo>
                                  <a:pt x="0" y="0"/>
                                </a:lnTo>
                                <a:lnTo>
                                  <a:pt x="0" y="403"/>
                                </a:lnTo>
                              </a:path>
                            </a:pathLst>
                          </a:custGeom>
                          <a:noFill/>
                          <a:ln w="2956" cap="flat" cmpd="sng">
                            <a:solidFill>
                              <a:srgbClr val="CECECE"/>
                            </a:solidFill>
                            <a:prstDash val="solid"/>
                            <a:headEnd type="none" w="med" len="med"/>
                            <a:tailEnd type="none" w="med" len="med"/>
                          </a:ln>
                        </wps:spPr>
                        <wps:bodyPr upright="1"/>
                      </wps:wsp>
                      <wps:wsp>
                        <wps:cNvPr id="110" name="矩形 110"/>
                        <wps:cNvSpPr/>
                        <wps:spPr>
                          <a:xfrm>
                            <a:off x="3633" y="7610"/>
                            <a:ext cx="2280" cy="420"/>
                          </a:xfrm>
                          <a:prstGeom prst="rect">
                            <a:avLst/>
                          </a:prstGeom>
                          <a:noFill/>
                          <a:ln>
                            <a:noFill/>
                          </a:ln>
                        </wps:spPr>
                        <wps:txbx>
                          <w:txbxContent>
                            <w:p>
                              <w:pPr>
                                <w:widowControl/>
                                <w:spacing w:line="420" w:lineRule="atLeast"/>
                              </w:pPr>
                              <w:r>
                                <w:drawing>
                                  <wp:inline distT="0" distB="0" distL="114300" distR="114300">
                                    <wp:extent cx="1452880" cy="269875"/>
                                    <wp:effectExtent l="0" t="0" r="13970" b="15875"/>
                                    <wp:docPr id="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8"/>
                                            <pic:cNvPicPr>
                                              <a:picLocks noChangeAspect="1"/>
                                            </pic:cNvPicPr>
                                          </pic:nvPicPr>
                                          <pic:blipFill>
                                            <a:blip r:embed="rId31"/>
                                            <a:stretch>
                                              <a:fillRect/>
                                            </a:stretch>
                                          </pic:blipFill>
                                          <pic:spPr>
                                            <a:xfrm>
                                              <a:off x="0" y="0"/>
                                              <a:ext cx="1452880" cy="269875"/>
                                            </a:xfrm>
                                            <a:prstGeom prst="rect">
                                              <a:avLst/>
                                            </a:prstGeom>
                                            <a:noFill/>
                                            <a:ln>
                                              <a:noFill/>
                                            </a:ln>
                                          </pic:spPr>
                                        </pic:pic>
                                      </a:graphicData>
                                    </a:graphic>
                                  </wp:inline>
                                </w:drawing>
                              </w:r>
                            </w:p>
                            <w:p/>
                          </w:txbxContent>
                        </wps:txbx>
                        <wps:bodyPr lIns="0" tIns="0" rIns="0" bIns="0" upright="1"/>
                      </wps:wsp>
                      <wps:wsp>
                        <wps:cNvPr id="111" name="任意多边形 111"/>
                        <wps:cNvSpPr/>
                        <wps:spPr>
                          <a:xfrm>
                            <a:off x="3632" y="7610"/>
                            <a:ext cx="2279" cy="423"/>
                          </a:xfrm>
                          <a:custGeom>
                            <a:avLst/>
                            <a:gdLst/>
                            <a:ahLst/>
                            <a:cxnLst/>
                            <a:rect l="0" t="0" r="0" b="0"/>
                            <a:pathLst>
                              <a:path w="2279" h="423">
                                <a:moveTo>
                                  <a:pt x="0" y="422"/>
                                </a:moveTo>
                                <a:lnTo>
                                  <a:pt x="2278" y="422"/>
                                </a:lnTo>
                                <a:lnTo>
                                  <a:pt x="2278" y="0"/>
                                </a:lnTo>
                                <a:lnTo>
                                  <a:pt x="0" y="0"/>
                                </a:lnTo>
                                <a:lnTo>
                                  <a:pt x="0" y="422"/>
                                </a:lnTo>
                                <a:close/>
                              </a:path>
                            </a:pathLst>
                          </a:custGeom>
                          <a:noFill/>
                          <a:ln w="2956" cap="flat" cmpd="sng">
                            <a:solidFill>
                              <a:srgbClr val="3E3E3E"/>
                            </a:solidFill>
                            <a:prstDash val="solid"/>
                            <a:headEnd type="none" w="med" len="med"/>
                            <a:tailEnd type="none" w="med" len="med"/>
                          </a:ln>
                        </wps:spPr>
                        <wps:bodyPr upright="1"/>
                      </wps:wsp>
                      <wps:wsp>
                        <wps:cNvPr id="112" name="任意多边形 112"/>
                        <wps:cNvSpPr/>
                        <wps:spPr>
                          <a:xfrm>
                            <a:off x="3076" y="9380"/>
                            <a:ext cx="3445" cy="951"/>
                          </a:xfrm>
                          <a:custGeom>
                            <a:avLst/>
                            <a:gdLst/>
                            <a:ahLst/>
                            <a:cxnLst/>
                            <a:rect l="0" t="0" r="0" b="0"/>
                            <a:pathLst>
                              <a:path w="3445" h="951">
                                <a:moveTo>
                                  <a:pt x="0" y="0"/>
                                </a:moveTo>
                                <a:lnTo>
                                  <a:pt x="3444" y="0"/>
                                </a:lnTo>
                                <a:lnTo>
                                  <a:pt x="3444" y="950"/>
                                </a:lnTo>
                                <a:lnTo>
                                  <a:pt x="0" y="950"/>
                                </a:lnTo>
                                <a:lnTo>
                                  <a:pt x="0" y="0"/>
                                </a:lnTo>
                                <a:close/>
                              </a:path>
                            </a:pathLst>
                          </a:custGeom>
                          <a:solidFill>
                            <a:srgbClr val="CECECE"/>
                          </a:solidFill>
                          <a:ln>
                            <a:noFill/>
                          </a:ln>
                        </wps:spPr>
                        <wps:bodyPr upright="1"/>
                      </wps:wsp>
                      <wps:wsp>
                        <wps:cNvPr id="113" name="矩形 113"/>
                        <wps:cNvSpPr/>
                        <wps:spPr>
                          <a:xfrm>
                            <a:off x="3049" y="9354"/>
                            <a:ext cx="3440" cy="960"/>
                          </a:xfrm>
                          <a:prstGeom prst="rect">
                            <a:avLst/>
                          </a:prstGeom>
                          <a:noFill/>
                          <a:ln>
                            <a:noFill/>
                          </a:ln>
                        </wps:spPr>
                        <wps:txbx>
                          <w:txbxContent>
                            <w:p>
                              <w:pPr>
                                <w:widowControl/>
                                <w:spacing w:line="960" w:lineRule="atLeast"/>
                              </w:pPr>
                              <w:r>
                                <w:drawing>
                                  <wp:inline distT="0" distB="0" distL="114300" distR="114300">
                                    <wp:extent cx="2195195" cy="606425"/>
                                    <wp:effectExtent l="0" t="0" r="14605" b="3175"/>
                                    <wp:docPr id="1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9"/>
                                            <pic:cNvPicPr>
                                              <a:picLocks noChangeAspect="1"/>
                                            </pic:cNvPicPr>
                                          </pic:nvPicPr>
                                          <pic:blipFill>
                                            <a:blip r:embed="rId28"/>
                                            <a:stretch>
                                              <a:fillRect/>
                                            </a:stretch>
                                          </pic:blipFill>
                                          <pic:spPr>
                                            <a:xfrm>
                                              <a:off x="0" y="0"/>
                                              <a:ext cx="2195195" cy="606425"/>
                                            </a:xfrm>
                                            <a:prstGeom prst="rect">
                                              <a:avLst/>
                                            </a:prstGeom>
                                            <a:noFill/>
                                            <a:ln>
                                              <a:noFill/>
                                            </a:ln>
                                          </pic:spPr>
                                        </pic:pic>
                                      </a:graphicData>
                                    </a:graphic>
                                  </wp:inline>
                                </w:drawing>
                              </w:r>
                            </w:p>
                            <w:p/>
                          </w:txbxContent>
                        </wps:txbx>
                        <wps:bodyPr lIns="0" tIns="0" rIns="0" bIns="0" upright="1"/>
                      </wps:wsp>
                      <wps:wsp>
                        <wps:cNvPr id="114" name="任意多边形 114"/>
                        <wps:cNvSpPr/>
                        <wps:spPr>
                          <a:xfrm>
                            <a:off x="7712" y="8086"/>
                            <a:ext cx="795" cy="687"/>
                          </a:xfrm>
                          <a:custGeom>
                            <a:avLst/>
                            <a:gdLst/>
                            <a:ahLst/>
                            <a:cxnLst/>
                            <a:rect l="0" t="0" r="0" b="0"/>
                            <a:pathLst>
                              <a:path w="795" h="687">
                                <a:moveTo>
                                  <a:pt x="0" y="0"/>
                                </a:moveTo>
                                <a:lnTo>
                                  <a:pt x="794" y="0"/>
                                </a:lnTo>
                                <a:lnTo>
                                  <a:pt x="794" y="686"/>
                                </a:lnTo>
                                <a:lnTo>
                                  <a:pt x="0" y="686"/>
                                </a:lnTo>
                                <a:lnTo>
                                  <a:pt x="0" y="0"/>
                                </a:lnTo>
                                <a:close/>
                              </a:path>
                            </a:pathLst>
                          </a:custGeom>
                          <a:solidFill>
                            <a:srgbClr val="CECECE"/>
                          </a:solidFill>
                          <a:ln>
                            <a:noFill/>
                          </a:ln>
                        </wps:spPr>
                        <wps:bodyPr upright="1"/>
                      </wps:wsp>
                      <wps:wsp>
                        <wps:cNvPr id="115" name="矩形 115"/>
                        <wps:cNvSpPr/>
                        <wps:spPr>
                          <a:xfrm>
                            <a:off x="7686" y="8059"/>
                            <a:ext cx="800" cy="680"/>
                          </a:xfrm>
                          <a:prstGeom prst="rect">
                            <a:avLst/>
                          </a:prstGeom>
                          <a:noFill/>
                          <a:ln>
                            <a:noFill/>
                          </a:ln>
                        </wps:spPr>
                        <wps:txbx>
                          <w:txbxContent>
                            <w:p>
                              <w:pPr>
                                <w:widowControl/>
                                <w:spacing w:line="680" w:lineRule="atLeast"/>
                              </w:pPr>
                              <w:r>
                                <w:drawing>
                                  <wp:inline distT="0" distB="0" distL="114300" distR="114300">
                                    <wp:extent cx="504190" cy="433705"/>
                                    <wp:effectExtent l="0" t="0" r="10160" b="4445"/>
                                    <wp:docPr id="1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0"/>
                                            <pic:cNvPicPr>
                                              <a:picLocks noChangeAspect="1"/>
                                            </pic:cNvPicPr>
                                          </pic:nvPicPr>
                                          <pic:blipFill>
                                            <a:blip r:embed="rId32"/>
                                            <a:stretch>
                                              <a:fillRect/>
                                            </a:stretch>
                                          </pic:blipFill>
                                          <pic:spPr>
                                            <a:xfrm>
                                              <a:off x="0" y="0"/>
                                              <a:ext cx="504190" cy="433705"/>
                                            </a:xfrm>
                                            <a:prstGeom prst="rect">
                                              <a:avLst/>
                                            </a:prstGeom>
                                            <a:noFill/>
                                            <a:ln>
                                              <a:noFill/>
                                            </a:ln>
                                          </pic:spPr>
                                        </pic:pic>
                                      </a:graphicData>
                                    </a:graphic>
                                  </wp:inline>
                                </w:drawing>
                              </w:r>
                            </w:p>
                            <w:p/>
                          </w:txbxContent>
                        </wps:txbx>
                        <wps:bodyPr lIns="0" tIns="0" rIns="0" bIns="0" upright="1"/>
                      </wps:wsp>
                      <wps:wsp>
                        <wps:cNvPr id="116" name="任意多边形 116"/>
                        <wps:cNvSpPr/>
                        <wps:spPr>
                          <a:xfrm>
                            <a:off x="7686" y="8059"/>
                            <a:ext cx="795" cy="687"/>
                          </a:xfrm>
                          <a:custGeom>
                            <a:avLst/>
                            <a:gdLst/>
                            <a:ahLst/>
                            <a:cxnLst/>
                            <a:rect l="0" t="0" r="0" b="0"/>
                            <a:pathLst>
                              <a:path w="795" h="687">
                                <a:moveTo>
                                  <a:pt x="0" y="686"/>
                                </a:moveTo>
                                <a:lnTo>
                                  <a:pt x="794" y="686"/>
                                </a:lnTo>
                                <a:lnTo>
                                  <a:pt x="794" y="0"/>
                                </a:lnTo>
                                <a:lnTo>
                                  <a:pt x="0" y="0"/>
                                </a:lnTo>
                                <a:lnTo>
                                  <a:pt x="0" y="686"/>
                                </a:lnTo>
                                <a:close/>
                              </a:path>
                            </a:pathLst>
                          </a:custGeom>
                          <a:noFill/>
                          <a:ln w="2959" cap="flat" cmpd="sng">
                            <a:solidFill>
                              <a:srgbClr val="3E3E3E"/>
                            </a:solidFill>
                            <a:prstDash val="solid"/>
                            <a:headEnd type="none" w="med" len="med"/>
                            <a:tailEnd type="none" w="med" len="med"/>
                          </a:ln>
                        </wps:spPr>
                        <wps:bodyPr upright="1"/>
                      </wps:wsp>
                      <wps:wsp>
                        <wps:cNvPr id="117" name="任意多边形 117"/>
                        <wps:cNvSpPr/>
                        <wps:spPr>
                          <a:xfrm>
                            <a:off x="1089" y="7240"/>
                            <a:ext cx="1484" cy="1216"/>
                          </a:xfrm>
                          <a:custGeom>
                            <a:avLst/>
                            <a:gdLst/>
                            <a:ahLst/>
                            <a:cxnLst/>
                            <a:rect l="0" t="0" r="0" b="0"/>
                            <a:pathLst>
                              <a:path w="1484" h="1216">
                                <a:moveTo>
                                  <a:pt x="0" y="0"/>
                                </a:moveTo>
                                <a:lnTo>
                                  <a:pt x="1483" y="0"/>
                                </a:lnTo>
                                <a:lnTo>
                                  <a:pt x="1483" y="1215"/>
                                </a:lnTo>
                                <a:lnTo>
                                  <a:pt x="0" y="1215"/>
                                </a:lnTo>
                                <a:lnTo>
                                  <a:pt x="0" y="0"/>
                                </a:lnTo>
                                <a:close/>
                              </a:path>
                            </a:pathLst>
                          </a:custGeom>
                          <a:solidFill>
                            <a:srgbClr val="CECECE"/>
                          </a:solidFill>
                          <a:ln>
                            <a:noFill/>
                          </a:ln>
                        </wps:spPr>
                        <wps:bodyPr upright="1"/>
                      </wps:wsp>
                      <wps:wsp>
                        <wps:cNvPr id="118" name="任意多边形 118"/>
                        <wps:cNvSpPr/>
                        <wps:spPr>
                          <a:xfrm>
                            <a:off x="1089" y="7240"/>
                            <a:ext cx="1484" cy="800"/>
                          </a:xfrm>
                          <a:custGeom>
                            <a:avLst/>
                            <a:gdLst/>
                            <a:ahLst/>
                            <a:cxnLst/>
                            <a:rect l="0" t="0" r="0" b="0"/>
                            <a:pathLst>
                              <a:path w="1484" h="800">
                                <a:moveTo>
                                  <a:pt x="1483" y="799"/>
                                </a:moveTo>
                                <a:lnTo>
                                  <a:pt x="1483" y="0"/>
                                </a:lnTo>
                                <a:lnTo>
                                  <a:pt x="0" y="0"/>
                                </a:lnTo>
                                <a:lnTo>
                                  <a:pt x="0" y="799"/>
                                </a:lnTo>
                              </a:path>
                            </a:pathLst>
                          </a:custGeom>
                          <a:noFill/>
                          <a:ln w="2957" cap="flat" cmpd="sng">
                            <a:solidFill>
                              <a:srgbClr val="CECECE"/>
                            </a:solidFill>
                            <a:prstDash val="solid"/>
                            <a:headEnd type="none" w="med" len="med"/>
                            <a:tailEnd type="none" w="med" len="med"/>
                          </a:ln>
                        </wps:spPr>
                        <wps:bodyPr upright="1"/>
                      </wps:wsp>
                      <wps:wsp>
                        <wps:cNvPr id="119" name="矩形 119"/>
                        <wps:cNvSpPr/>
                        <wps:spPr>
                          <a:xfrm>
                            <a:off x="1062" y="7214"/>
                            <a:ext cx="1480" cy="1220"/>
                          </a:xfrm>
                          <a:prstGeom prst="rect">
                            <a:avLst/>
                          </a:prstGeom>
                          <a:noFill/>
                          <a:ln>
                            <a:noFill/>
                          </a:ln>
                        </wps:spPr>
                        <wps:txbx>
                          <w:txbxContent>
                            <w:p>
                              <w:pPr>
                                <w:widowControl/>
                                <w:spacing w:line="1220" w:lineRule="atLeast"/>
                              </w:pPr>
                              <w:r>
                                <w:drawing>
                                  <wp:inline distT="0" distB="0" distL="114300" distR="114300">
                                    <wp:extent cx="936625" cy="772160"/>
                                    <wp:effectExtent l="0" t="0" r="15875" b="8890"/>
                                    <wp:docPr id="3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1"/>
                                            <pic:cNvPicPr>
                                              <a:picLocks noChangeAspect="1"/>
                                            </pic:cNvPicPr>
                                          </pic:nvPicPr>
                                          <pic:blipFill>
                                            <a:blip r:embed="rId33"/>
                                            <a:stretch>
                                              <a:fillRect/>
                                            </a:stretch>
                                          </pic:blipFill>
                                          <pic:spPr>
                                            <a:xfrm>
                                              <a:off x="0" y="0"/>
                                              <a:ext cx="936625" cy="772160"/>
                                            </a:xfrm>
                                            <a:prstGeom prst="rect">
                                              <a:avLst/>
                                            </a:prstGeom>
                                            <a:noFill/>
                                            <a:ln>
                                              <a:noFill/>
                                            </a:ln>
                                          </pic:spPr>
                                        </pic:pic>
                                      </a:graphicData>
                                    </a:graphic>
                                  </wp:inline>
                                </w:drawing>
                              </w:r>
                            </w:p>
                            <w:p/>
                          </w:txbxContent>
                        </wps:txbx>
                        <wps:bodyPr lIns="0" tIns="0" rIns="0" bIns="0" upright="1"/>
                      </wps:wsp>
                      <wps:wsp>
                        <wps:cNvPr id="120" name="任意多边形 120"/>
                        <wps:cNvSpPr/>
                        <wps:spPr>
                          <a:xfrm>
                            <a:off x="1062" y="7213"/>
                            <a:ext cx="1484" cy="1216"/>
                          </a:xfrm>
                          <a:custGeom>
                            <a:avLst/>
                            <a:gdLst/>
                            <a:ahLst/>
                            <a:cxnLst/>
                            <a:rect l="0" t="0" r="0" b="0"/>
                            <a:pathLst>
                              <a:path w="1484" h="1216">
                                <a:moveTo>
                                  <a:pt x="0" y="1215"/>
                                </a:moveTo>
                                <a:lnTo>
                                  <a:pt x="1483" y="1215"/>
                                </a:lnTo>
                                <a:lnTo>
                                  <a:pt x="1483" y="0"/>
                                </a:lnTo>
                                <a:lnTo>
                                  <a:pt x="0" y="0"/>
                                </a:lnTo>
                                <a:lnTo>
                                  <a:pt x="0" y="1215"/>
                                </a:lnTo>
                                <a:close/>
                              </a:path>
                            </a:pathLst>
                          </a:custGeom>
                          <a:noFill/>
                          <a:ln w="2959" cap="flat" cmpd="sng">
                            <a:solidFill>
                              <a:srgbClr val="3E3E3E"/>
                            </a:solidFill>
                            <a:prstDash val="solid"/>
                            <a:headEnd type="none" w="med" len="med"/>
                            <a:tailEnd type="none" w="med" len="med"/>
                          </a:ln>
                        </wps:spPr>
                        <wps:bodyPr upright="1"/>
                      </wps:wsp>
                      <wps:wsp>
                        <wps:cNvPr id="121" name="任意多边形 121"/>
                        <wps:cNvSpPr/>
                        <wps:spPr>
                          <a:xfrm>
                            <a:off x="4771" y="900"/>
                            <a:ext cx="20" cy="297"/>
                          </a:xfrm>
                          <a:custGeom>
                            <a:avLst/>
                            <a:gdLst/>
                            <a:ahLst/>
                            <a:cxnLst/>
                            <a:rect l="0" t="0" r="0" b="0"/>
                            <a:pathLst>
                              <a:path w="20" h="297">
                                <a:moveTo>
                                  <a:pt x="0" y="0"/>
                                </a:moveTo>
                                <a:lnTo>
                                  <a:pt x="0" y="296"/>
                                </a:lnTo>
                              </a:path>
                            </a:pathLst>
                          </a:custGeom>
                          <a:noFill/>
                          <a:ln w="11867" cap="flat" cmpd="sng">
                            <a:solidFill>
                              <a:srgbClr val="3E3E3E"/>
                            </a:solidFill>
                            <a:prstDash val="solid"/>
                            <a:headEnd type="none" w="med" len="med"/>
                            <a:tailEnd type="none" w="med" len="med"/>
                          </a:ln>
                        </wps:spPr>
                        <wps:bodyPr upright="1"/>
                      </wps:wsp>
                      <wpg:grpSp>
                        <wpg:cNvPr id="124" name="组合 124"/>
                        <wpg:cNvGrpSpPr/>
                        <wpg:grpSpPr>
                          <a:xfrm>
                            <a:off x="4705" y="1165"/>
                            <a:ext cx="116" cy="132"/>
                            <a:chOff x="4705" y="1165"/>
                            <a:chExt cx="116" cy="132"/>
                          </a:xfrm>
                        </wpg:grpSpPr>
                        <wps:wsp>
                          <wps:cNvPr id="122" name="任意多边形 122"/>
                          <wps:cNvSpPr/>
                          <wps:spPr>
                            <a:xfrm>
                              <a:off x="4705" y="1165"/>
                              <a:ext cx="116" cy="132"/>
                            </a:xfrm>
                            <a:custGeom>
                              <a:avLst/>
                              <a:gdLst/>
                              <a:ahLst/>
                              <a:cxnLst/>
                              <a:rect l="0" t="0" r="0" b="0"/>
                              <a:pathLst>
                                <a:path w="116" h="132">
                                  <a:moveTo>
                                    <a:pt x="65" y="131"/>
                                  </a:moveTo>
                                  <a:lnTo>
                                    <a:pt x="0" y="0"/>
                                  </a:lnTo>
                                  <a:lnTo>
                                    <a:pt x="18" y="7"/>
                                  </a:lnTo>
                                  <a:lnTo>
                                    <a:pt x="37" y="12"/>
                                  </a:lnTo>
                                  <a:lnTo>
                                    <a:pt x="57" y="15"/>
                                  </a:lnTo>
                                  <a:lnTo>
                                    <a:pt x="111" y="15"/>
                                  </a:lnTo>
                                  <a:lnTo>
                                    <a:pt x="65" y="131"/>
                                  </a:lnTo>
                                  <a:close/>
                                </a:path>
                              </a:pathLst>
                            </a:custGeom>
                            <a:solidFill>
                              <a:srgbClr val="3E3E3E"/>
                            </a:solidFill>
                            <a:ln>
                              <a:noFill/>
                            </a:ln>
                          </wps:spPr>
                          <wps:bodyPr upright="1"/>
                        </wps:wsp>
                        <wps:wsp>
                          <wps:cNvPr id="123" name="任意多边形 123"/>
                          <wps:cNvSpPr/>
                          <wps:spPr>
                            <a:xfrm>
                              <a:off x="4705" y="1165"/>
                              <a:ext cx="116" cy="132"/>
                            </a:xfrm>
                            <a:custGeom>
                              <a:avLst/>
                              <a:gdLst/>
                              <a:ahLst/>
                              <a:cxnLst/>
                              <a:rect l="0" t="0" r="0" b="0"/>
                              <a:pathLst>
                                <a:path w="116" h="132">
                                  <a:moveTo>
                                    <a:pt x="111" y="15"/>
                                  </a:moveTo>
                                  <a:lnTo>
                                    <a:pt x="57" y="15"/>
                                  </a:lnTo>
                                  <a:lnTo>
                                    <a:pt x="76" y="15"/>
                                  </a:lnTo>
                                  <a:lnTo>
                                    <a:pt x="96" y="12"/>
                                  </a:lnTo>
                                  <a:lnTo>
                                    <a:pt x="115" y="7"/>
                                  </a:lnTo>
                                  <a:lnTo>
                                    <a:pt x="111" y="15"/>
                                  </a:lnTo>
                                  <a:close/>
                                </a:path>
                              </a:pathLst>
                            </a:custGeom>
                            <a:solidFill>
                              <a:srgbClr val="3E3E3E"/>
                            </a:solidFill>
                            <a:ln>
                              <a:noFill/>
                            </a:ln>
                          </wps:spPr>
                          <wps:bodyPr upright="1"/>
                        </wps:wsp>
                      </wpg:grpSp>
                      <wps:wsp>
                        <wps:cNvPr id="125" name="任意多边形 125"/>
                        <wps:cNvSpPr/>
                        <wps:spPr>
                          <a:xfrm>
                            <a:off x="4771" y="2089"/>
                            <a:ext cx="20" cy="297"/>
                          </a:xfrm>
                          <a:custGeom>
                            <a:avLst/>
                            <a:gdLst/>
                            <a:ahLst/>
                            <a:cxnLst/>
                            <a:rect l="0" t="0" r="0" b="0"/>
                            <a:pathLst>
                              <a:path w="20" h="297">
                                <a:moveTo>
                                  <a:pt x="0" y="0"/>
                                </a:moveTo>
                                <a:lnTo>
                                  <a:pt x="0" y="296"/>
                                </a:lnTo>
                              </a:path>
                            </a:pathLst>
                          </a:custGeom>
                          <a:noFill/>
                          <a:ln w="11867" cap="flat" cmpd="sng">
                            <a:solidFill>
                              <a:srgbClr val="3E3E3E"/>
                            </a:solidFill>
                            <a:prstDash val="solid"/>
                            <a:headEnd type="none" w="med" len="med"/>
                            <a:tailEnd type="none" w="med" len="med"/>
                          </a:ln>
                        </wps:spPr>
                        <wps:bodyPr upright="1"/>
                      </wps:wsp>
                      <wpg:grpSp>
                        <wpg:cNvPr id="128" name="组合 128"/>
                        <wpg:cNvGrpSpPr/>
                        <wpg:grpSpPr>
                          <a:xfrm>
                            <a:off x="4705" y="2354"/>
                            <a:ext cx="116" cy="132"/>
                            <a:chOff x="4705" y="2354"/>
                            <a:chExt cx="116" cy="132"/>
                          </a:xfrm>
                        </wpg:grpSpPr>
                        <wps:wsp>
                          <wps:cNvPr id="126" name="任意多边形 126"/>
                          <wps:cNvSpPr/>
                          <wps:spPr>
                            <a:xfrm>
                              <a:off x="4705" y="2354"/>
                              <a:ext cx="116" cy="132"/>
                            </a:xfrm>
                            <a:custGeom>
                              <a:avLst/>
                              <a:gdLst/>
                              <a:ahLst/>
                              <a:cxnLst/>
                              <a:rect l="0" t="0" r="0" b="0"/>
                              <a:pathLst>
                                <a:path w="116" h="132">
                                  <a:moveTo>
                                    <a:pt x="65" y="131"/>
                                  </a:moveTo>
                                  <a:lnTo>
                                    <a:pt x="0" y="0"/>
                                  </a:lnTo>
                                  <a:lnTo>
                                    <a:pt x="18" y="7"/>
                                  </a:lnTo>
                                  <a:lnTo>
                                    <a:pt x="37" y="12"/>
                                  </a:lnTo>
                                  <a:lnTo>
                                    <a:pt x="57" y="15"/>
                                  </a:lnTo>
                                  <a:lnTo>
                                    <a:pt x="111" y="15"/>
                                  </a:lnTo>
                                  <a:lnTo>
                                    <a:pt x="65" y="131"/>
                                  </a:lnTo>
                                  <a:close/>
                                </a:path>
                              </a:pathLst>
                            </a:custGeom>
                            <a:solidFill>
                              <a:srgbClr val="3E3E3E"/>
                            </a:solidFill>
                            <a:ln>
                              <a:noFill/>
                            </a:ln>
                          </wps:spPr>
                          <wps:bodyPr upright="1"/>
                        </wps:wsp>
                        <wps:wsp>
                          <wps:cNvPr id="127" name="任意多边形 127"/>
                          <wps:cNvSpPr/>
                          <wps:spPr>
                            <a:xfrm>
                              <a:off x="4705" y="2354"/>
                              <a:ext cx="116" cy="132"/>
                            </a:xfrm>
                            <a:custGeom>
                              <a:avLst/>
                              <a:gdLst/>
                              <a:ahLst/>
                              <a:cxnLst/>
                              <a:rect l="0" t="0" r="0" b="0"/>
                              <a:pathLst>
                                <a:path w="116" h="132">
                                  <a:moveTo>
                                    <a:pt x="111" y="15"/>
                                  </a:moveTo>
                                  <a:lnTo>
                                    <a:pt x="57" y="15"/>
                                  </a:lnTo>
                                  <a:lnTo>
                                    <a:pt x="76" y="15"/>
                                  </a:lnTo>
                                  <a:lnTo>
                                    <a:pt x="96" y="12"/>
                                  </a:lnTo>
                                  <a:lnTo>
                                    <a:pt x="115" y="7"/>
                                  </a:lnTo>
                                  <a:lnTo>
                                    <a:pt x="111" y="15"/>
                                  </a:lnTo>
                                  <a:close/>
                                </a:path>
                              </a:pathLst>
                            </a:custGeom>
                            <a:solidFill>
                              <a:srgbClr val="3E3E3E"/>
                            </a:solidFill>
                            <a:ln>
                              <a:noFill/>
                            </a:ln>
                          </wps:spPr>
                          <wps:bodyPr upright="1"/>
                        </wps:wsp>
                      </wpg:grpSp>
                      <wps:wsp>
                        <wps:cNvPr id="129" name="任意多边形 129"/>
                        <wps:cNvSpPr/>
                        <wps:spPr>
                          <a:xfrm>
                            <a:off x="4771" y="3436"/>
                            <a:ext cx="20" cy="297"/>
                          </a:xfrm>
                          <a:custGeom>
                            <a:avLst/>
                            <a:gdLst/>
                            <a:ahLst/>
                            <a:cxnLst/>
                            <a:rect l="0" t="0" r="0" b="0"/>
                            <a:pathLst>
                              <a:path w="20" h="297">
                                <a:moveTo>
                                  <a:pt x="0" y="0"/>
                                </a:moveTo>
                                <a:lnTo>
                                  <a:pt x="0" y="296"/>
                                </a:lnTo>
                              </a:path>
                            </a:pathLst>
                          </a:custGeom>
                          <a:noFill/>
                          <a:ln w="11867" cap="flat" cmpd="sng">
                            <a:solidFill>
                              <a:srgbClr val="3E3E3E"/>
                            </a:solidFill>
                            <a:prstDash val="solid"/>
                            <a:headEnd type="none" w="med" len="med"/>
                            <a:tailEnd type="none" w="med" len="med"/>
                          </a:ln>
                        </wps:spPr>
                        <wps:bodyPr upright="1"/>
                      </wps:wsp>
                      <wpg:grpSp>
                        <wpg:cNvPr id="132" name="组合 132"/>
                        <wpg:cNvGrpSpPr/>
                        <wpg:grpSpPr>
                          <a:xfrm>
                            <a:off x="4705" y="3701"/>
                            <a:ext cx="116" cy="132"/>
                            <a:chOff x="4705" y="3701"/>
                            <a:chExt cx="116" cy="132"/>
                          </a:xfrm>
                        </wpg:grpSpPr>
                        <wps:wsp>
                          <wps:cNvPr id="130" name="任意多边形 130"/>
                          <wps:cNvSpPr/>
                          <wps:spPr>
                            <a:xfrm>
                              <a:off x="4705" y="3701"/>
                              <a:ext cx="116" cy="132"/>
                            </a:xfrm>
                            <a:custGeom>
                              <a:avLst/>
                              <a:gdLst/>
                              <a:ahLst/>
                              <a:cxnLst/>
                              <a:rect l="0" t="0" r="0" b="0"/>
                              <a:pathLst>
                                <a:path w="116" h="132">
                                  <a:moveTo>
                                    <a:pt x="65" y="131"/>
                                  </a:moveTo>
                                  <a:lnTo>
                                    <a:pt x="0" y="0"/>
                                  </a:lnTo>
                                  <a:lnTo>
                                    <a:pt x="18" y="7"/>
                                  </a:lnTo>
                                  <a:lnTo>
                                    <a:pt x="37" y="12"/>
                                  </a:lnTo>
                                  <a:lnTo>
                                    <a:pt x="57" y="15"/>
                                  </a:lnTo>
                                  <a:lnTo>
                                    <a:pt x="111" y="15"/>
                                  </a:lnTo>
                                  <a:lnTo>
                                    <a:pt x="65" y="131"/>
                                  </a:lnTo>
                                  <a:close/>
                                </a:path>
                              </a:pathLst>
                            </a:custGeom>
                            <a:solidFill>
                              <a:srgbClr val="3E3E3E"/>
                            </a:solidFill>
                            <a:ln>
                              <a:noFill/>
                            </a:ln>
                          </wps:spPr>
                          <wps:bodyPr upright="1"/>
                        </wps:wsp>
                        <wps:wsp>
                          <wps:cNvPr id="131" name="任意多边形 131"/>
                          <wps:cNvSpPr/>
                          <wps:spPr>
                            <a:xfrm>
                              <a:off x="4705" y="3701"/>
                              <a:ext cx="116" cy="132"/>
                            </a:xfrm>
                            <a:custGeom>
                              <a:avLst/>
                              <a:gdLst/>
                              <a:ahLst/>
                              <a:cxnLst/>
                              <a:rect l="0" t="0" r="0" b="0"/>
                              <a:pathLst>
                                <a:path w="116" h="132">
                                  <a:moveTo>
                                    <a:pt x="111" y="15"/>
                                  </a:moveTo>
                                  <a:lnTo>
                                    <a:pt x="57" y="15"/>
                                  </a:lnTo>
                                  <a:lnTo>
                                    <a:pt x="76" y="15"/>
                                  </a:lnTo>
                                  <a:lnTo>
                                    <a:pt x="96" y="12"/>
                                  </a:lnTo>
                                  <a:lnTo>
                                    <a:pt x="115" y="7"/>
                                  </a:lnTo>
                                  <a:lnTo>
                                    <a:pt x="111" y="15"/>
                                  </a:lnTo>
                                  <a:close/>
                                </a:path>
                              </a:pathLst>
                            </a:custGeom>
                            <a:solidFill>
                              <a:srgbClr val="3E3E3E"/>
                            </a:solidFill>
                            <a:ln>
                              <a:noFill/>
                            </a:ln>
                          </wps:spPr>
                          <wps:bodyPr upright="1"/>
                        </wps:wsp>
                      </wpg:grpSp>
                      <wps:wsp>
                        <wps:cNvPr id="133" name="任意多边形 133"/>
                        <wps:cNvSpPr/>
                        <wps:spPr>
                          <a:xfrm>
                            <a:off x="4771" y="4783"/>
                            <a:ext cx="20" cy="1301"/>
                          </a:xfrm>
                          <a:custGeom>
                            <a:avLst/>
                            <a:gdLst/>
                            <a:ahLst/>
                            <a:cxnLst/>
                            <a:rect l="0" t="0" r="0" b="0"/>
                            <a:pathLst>
                              <a:path w="20" h="1301">
                                <a:moveTo>
                                  <a:pt x="0" y="0"/>
                                </a:moveTo>
                                <a:lnTo>
                                  <a:pt x="0" y="1300"/>
                                </a:lnTo>
                              </a:path>
                            </a:pathLst>
                          </a:custGeom>
                          <a:noFill/>
                          <a:ln w="11867" cap="flat" cmpd="sng">
                            <a:solidFill>
                              <a:srgbClr val="3E3E3E"/>
                            </a:solidFill>
                            <a:prstDash val="solid"/>
                            <a:headEnd type="none" w="med" len="med"/>
                            <a:tailEnd type="none" w="med" len="med"/>
                          </a:ln>
                        </wps:spPr>
                        <wps:bodyPr upright="1"/>
                      </wps:wsp>
                      <wpg:grpSp>
                        <wpg:cNvPr id="136" name="组合 136"/>
                        <wpg:cNvGrpSpPr/>
                        <wpg:grpSpPr>
                          <a:xfrm>
                            <a:off x="4705" y="6052"/>
                            <a:ext cx="116" cy="132"/>
                            <a:chOff x="4705" y="6052"/>
                            <a:chExt cx="116" cy="132"/>
                          </a:xfrm>
                        </wpg:grpSpPr>
                        <wps:wsp>
                          <wps:cNvPr id="134" name="任意多边形 134"/>
                          <wps:cNvSpPr/>
                          <wps:spPr>
                            <a:xfrm>
                              <a:off x="4705" y="6052"/>
                              <a:ext cx="116" cy="132"/>
                            </a:xfrm>
                            <a:custGeom>
                              <a:avLst/>
                              <a:gdLst/>
                              <a:ahLst/>
                              <a:cxnLst/>
                              <a:rect l="0" t="0" r="0" b="0"/>
                              <a:pathLst>
                                <a:path w="116" h="132">
                                  <a:moveTo>
                                    <a:pt x="65" y="131"/>
                                  </a:moveTo>
                                  <a:lnTo>
                                    <a:pt x="0" y="0"/>
                                  </a:lnTo>
                                  <a:lnTo>
                                    <a:pt x="18" y="7"/>
                                  </a:lnTo>
                                  <a:lnTo>
                                    <a:pt x="37" y="12"/>
                                  </a:lnTo>
                                  <a:lnTo>
                                    <a:pt x="57" y="15"/>
                                  </a:lnTo>
                                  <a:lnTo>
                                    <a:pt x="111" y="15"/>
                                  </a:lnTo>
                                  <a:lnTo>
                                    <a:pt x="65" y="131"/>
                                  </a:lnTo>
                                  <a:close/>
                                </a:path>
                              </a:pathLst>
                            </a:custGeom>
                            <a:solidFill>
                              <a:srgbClr val="3E3E3E"/>
                            </a:solidFill>
                            <a:ln>
                              <a:noFill/>
                            </a:ln>
                          </wps:spPr>
                          <wps:bodyPr upright="1"/>
                        </wps:wsp>
                        <wps:wsp>
                          <wps:cNvPr id="135" name="任意多边形 135"/>
                          <wps:cNvSpPr/>
                          <wps:spPr>
                            <a:xfrm>
                              <a:off x="4705" y="6052"/>
                              <a:ext cx="116" cy="132"/>
                            </a:xfrm>
                            <a:custGeom>
                              <a:avLst/>
                              <a:gdLst/>
                              <a:ahLst/>
                              <a:cxnLst/>
                              <a:rect l="0" t="0" r="0" b="0"/>
                              <a:pathLst>
                                <a:path w="116" h="132">
                                  <a:moveTo>
                                    <a:pt x="111" y="15"/>
                                  </a:moveTo>
                                  <a:lnTo>
                                    <a:pt x="57" y="15"/>
                                  </a:lnTo>
                                  <a:lnTo>
                                    <a:pt x="76" y="15"/>
                                  </a:lnTo>
                                  <a:lnTo>
                                    <a:pt x="96" y="12"/>
                                  </a:lnTo>
                                  <a:lnTo>
                                    <a:pt x="115" y="7"/>
                                  </a:lnTo>
                                  <a:lnTo>
                                    <a:pt x="111" y="15"/>
                                  </a:lnTo>
                                  <a:close/>
                                </a:path>
                              </a:pathLst>
                            </a:custGeom>
                            <a:solidFill>
                              <a:srgbClr val="3E3E3E"/>
                            </a:solidFill>
                            <a:ln>
                              <a:noFill/>
                            </a:ln>
                          </wps:spPr>
                          <wps:bodyPr upright="1"/>
                        </wps:wsp>
                      </wpg:grpSp>
                      <wps:wsp>
                        <wps:cNvPr id="137" name="任意多边形 137"/>
                        <wps:cNvSpPr/>
                        <wps:spPr>
                          <a:xfrm>
                            <a:off x="4771" y="7134"/>
                            <a:ext cx="20" cy="377"/>
                          </a:xfrm>
                          <a:custGeom>
                            <a:avLst/>
                            <a:gdLst/>
                            <a:ahLst/>
                            <a:cxnLst/>
                            <a:rect l="0" t="0" r="0" b="0"/>
                            <a:pathLst>
                              <a:path w="20" h="377">
                                <a:moveTo>
                                  <a:pt x="0" y="0"/>
                                </a:moveTo>
                                <a:lnTo>
                                  <a:pt x="0" y="376"/>
                                </a:lnTo>
                              </a:path>
                            </a:pathLst>
                          </a:custGeom>
                          <a:noFill/>
                          <a:ln w="11867" cap="flat" cmpd="sng">
                            <a:solidFill>
                              <a:srgbClr val="3E3E3E"/>
                            </a:solidFill>
                            <a:prstDash val="solid"/>
                            <a:headEnd type="none" w="med" len="med"/>
                            <a:tailEnd type="none" w="med" len="med"/>
                          </a:ln>
                        </wps:spPr>
                        <wps:bodyPr upright="1"/>
                      </wps:wsp>
                      <wpg:grpSp>
                        <wpg:cNvPr id="140" name="组合 140"/>
                        <wpg:cNvGrpSpPr/>
                        <wpg:grpSpPr>
                          <a:xfrm>
                            <a:off x="4705" y="7478"/>
                            <a:ext cx="132" cy="132"/>
                            <a:chOff x="4705" y="7478"/>
                            <a:chExt cx="132" cy="132"/>
                          </a:xfrm>
                        </wpg:grpSpPr>
                        <wps:wsp>
                          <wps:cNvPr id="138" name="任意多边形 138"/>
                          <wps:cNvSpPr/>
                          <wps:spPr>
                            <a:xfrm>
                              <a:off x="4705" y="7478"/>
                              <a:ext cx="132" cy="132"/>
                            </a:xfrm>
                            <a:custGeom>
                              <a:avLst/>
                              <a:gdLst/>
                              <a:ahLst/>
                              <a:cxnLst/>
                              <a:rect l="0" t="0" r="0" b="0"/>
                              <a:pathLst>
                                <a:path w="132" h="132">
                                  <a:moveTo>
                                    <a:pt x="65" y="131"/>
                                  </a:moveTo>
                                  <a:lnTo>
                                    <a:pt x="0" y="0"/>
                                  </a:lnTo>
                                  <a:lnTo>
                                    <a:pt x="18" y="7"/>
                                  </a:lnTo>
                                  <a:lnTo>
                                    <a:pt x="37" y="12"/>
                                  </a:lnTo>
                                  <a:lnTo>
                                    <a:pt x="57" y="15"/>
                                  </a:lnTo>
                                  <a:lnTo>
                                    <a:pt x="123" y="15"/>
                                  </a:lnTo>
                                  <a:lnTo>
                                    <a:pt x="65" y="131"/>
                                  </a:lnTo>
                                  <a:close/>
                                </a:path>
                              </a:pathLst>
                            </a:custGeom>
                            <a:solidFill>
                              <a:srgbClr val="3E3E3E"/>
                            </a:solidFill>
                            <a:ln>
                              <a:noFill/>
                            </a:ln>
                          </wps:spPr>
                          <wps:bodyPr upright="1"/>
                        </wps:wsp>
                        <wps:wsp>
                          <wps:cNvPr id="139" name="任意多边形 139"/>
                          <wps:cNvSpPr/>
                          <wps:spPr>
                            <a:xfrm>
                              <a:off x="4705" y="7478"/>
                              <a:ext cx="132" cy="132"/>
                            </a:xfrm>
                            <a:custGeom>
                              <a:avLst/>
                              <a:gdLst/>
                              <a:ahLst/>
                              <a:cxnLst/>
                              <a:rect l="0" t="0" r="0" b="0"/>
                              <a:pathLst>
                                <a:path w="132" h="132">
                                  <a:moveTo>
                                    <a:pt x="123" y="15"/>
                                  </a:moveTo>
                                  <a:lnTo>
                                    <a:pt x="57" y="15"/>
                                  </a:lnTo>
                                  <a:lnTo>
                                    <a:pt x="76" y="15"/>
                                  </a:lnTo>
                                  <a:lnTo>
                                    <a:pt x="96" y="12"/>
                                  </a:lnTo>
                                  <a:lnTo>
                                    <a:pt x="115" y="7"/>
                                  </a:lnTo>
                                  <a:lnTo>
                                    <a:pt x="131" y="0"/>
                                  </a:lnTo>
                                  <a:lnTo>
                                    <a:pt x="123" y="15"/>
                                  </a:lnTo>
                                  <a:close/>
                                </a:path>
                              </a:pathLst>
                            </a:custGeom>
                            <a:solidFill>
                              <a:srgbClr val="3E3E3E"/>
                            </a:solidFill>
                            <a:ln>
                              <a:noFill/>
                            </a:ln>
                          </wps:spPr>
                          <wps:bodyPr upright="1"/>
                        </wps:wsp>
                      </wpg:grpSp>
                      <wps:wsp>
                        <wps:cNvPr id="141" name="任意多边形 141"/>
                        <wps:cNvSpPr/>
                        <wps:spPr>
                          <a:xfrm>
                            <a:off x="4771" y="8032"/>
                            <a:ext cx="20" cy="1222"/>
                          </a:xfrm>
                          <a:custGeom>
                            <a:avLst/>
                            <a:gdLst/>
                            <a:ahLst/>
                            <a:cxnLst/>
                            <a:rect l="0" t="0" r="0" b="0"/>
                            <a:pathLst>
                              <a:path w="20" h="1222">
                                <a:moveTo>
                                  <a:pt x="0" y="0"/>
                                </a:moveTo>
                                <a:lnTo>
                                  <a:pt x="0" y="1221"/>
                                </a:lnTo>
                              </a:path>
                            </a:pathLst>
                          </a:custGeom>
                          <a:noFill/>
                          <a:ln w="11867" cap="flat" cmpd="sng">
                            <a:solidFill>
                              <a:srgbClr val="3E3E3E"/>
                            </a:solidFill>
                            <a:prstDash val="solid"/>
                            <a:headEnd type="none" w="med" len="med"/>
                            <a:tailEnd type="none" w="med" len="med"/>
                          </a:ln>
                        </wps:spPr>
                        <wps:bodyPr upright="1"/>
                      </wps:wsp>
                      <wpg:grpSp>
                        <wpg:cNvPr id="144" name="组合 144"/>
                        <wpg:cNvGrpSpPr/>
                        <wpg:grpSpPr>
                          <a:xfrm>
                            <a:off x="4705" y="9222"/>
                            <a:ext cx="116" cy="132"/>
                            <a:chOff x="4705" y="9222"/>
                            <a:chExt cx="116" cy="132"/>
                          </a:xfrm>
                        </wpg:grpSpPr>
                        <wps:wsp>
                          <wps:cNvPr id="142" name="任意多边形 142"/>
                          <wps:cNvSpPr/>
                          <wps:spPr>
                            <a:xfrm>
                              <a:off x="4705" y="9222"/>
                              <a:ext cx="116" cy="132"/>
                            </a:xfrm>
                            <a:custGeom>
                              <a:avLst/>
                              <a:gdLst/>
                              <a:ahLst/>
                              <a:cxnLst/>
                              <a:rect l="0" t="0" r="0" b="0"/>
                              <a:pathLst>
                                <a:path w="116" h="132">
                                  <a:moveTo>
                                    <a:pt x="65" y="131"/>
                                  </a:moveTo>
                                  <a:lnTo>
                                    <a:pt x="0" y="0"/>
                                  </a:lnTo>
                                  <a:lnTo>
                                    <a:pt x="18" y="7"/>
                                  </a:lnTo>
                                  <a:lnTo>
                                    <a:pt x="37" y="12"/>
                                  </a:lnTo>
                                  <a:lnTo>
                                    <a:pt x="57" y="15"/>
                                  </a:lnTo>
                                  <a:lnTo>
                                    <a:pt x="111" y="15"/>
                                  </a:lnTo>
                                  <a:lnTo>
                                    <a:pt x="65" y="131"/>
                                  </a:lnTo>
                                  <a:close/>
                                </a:path>
                              </a:pathLst>
                            </a:custGeom>
                            <a:solidFill>
                              <a:srgbClr val="3E3E3E"/>
                            </a:solidFill>
                            <a:ln>
                              <a:noFill/>
                            </a:ln>
                          </wps:spPr>
                          <wps:bodyPr upright="1"/>
                        </wps:wsp>
                        <wps:wsp>
                          <wps:cNvPr id="143" name="任意多边形 143"/>
                          <wps:cNvSpPr/>
                          <wps:spPr>
                            <a:xfrm>
                              <a:off x="4705" y="9222"/>
                              <a:ext cx="116" cy="132"/>
                            </a:xfrm>
                            <a:custGeom>
                              <a:avLst/>
                              <a:gdLst/>
                              <a:ahLst/>
                              <a:cxnLst/>
                              <a:rect l="0" t="0" r="0" b="0"/>
                              <a:pathLst>
                                <a:path w="116" h="132">
                                  <a:moveTo>
                                    <a:pt x="111" y="15"/>
                                  </a:moveTo>
                                  <a:lnTo>
                                    <a:pt x="57" y="15"/>
                                  </a:lnTo>
                                  <a:lnTo>
                                    <a:pt x="76" y="15"/>
                                  </a:lnTo>
                                  <a:lnTo>
                                    <a:pt x="96" y="12"/>
                                  </a:lnTo>
                                  <a:lnTo>
                                    <a:pt x="115" y="7"/>
                                  </a:lnTo>
                                  <a:lnTo>
                                    <a:pt x="111" y="15"/>
                                  </a:lnTo>
                                  <a:close/>
                                </a:path>
                              </a:pathLst>
                            </a:custGeom>
                            <a:solidFill>
                              <a:srgbClr val="3E3E3E"/>
                            </a:solidFill>
                            <a:ln>
                              <a:noFill/>
                            </a:ln>
                          </wps:spPr>
                          <wps:bodyPr upright="1"/>
                        </wps:wsp>
                      </wpg:grpSp>
                      <wps:wsp>
                        <wps:cNvPr id="145" name="任意多边形 145"/>
                        <wps:cNvSpPr/>
                        <wps:spPr>
                          <a:xfrm>
                            <a:off x="6990" y="2960"/>
                            <a:ext cx="735" cy="2536"/>
                          </a:xfrm>
                          <a:custGeom>
                            <a:avLst/>
                            <a:gdLst/>
                            <a:ahLst/>
                            <a:cxnLst/>
                            <a:rect l="0" t="0" r="0" b="0"/>
                            <a:pathLst>
                              <a:path w="735" h="2536">
                                <a:moveTo>
                                  <a:pt x="734" y="2535"/>
                                </a:moveTo>
                                <a:lnTo>
                                  <a:pt x="734" y="0"/>
                                </a:lnTo>
                                <a:lnTo>
                                  <a:pt x="0" y="0"/>
                                </a:lnTo>
                              </a:path>
                            </a:pathLst>
                          </a:custGeom>
                          <a:noFill/>
                          <a:ln w="11864" cap="flat" cmpd="sng">
                            <a:solidFill>
                              <a:srgbClr val="3E3E3E"/>
                            </a:solidFill>
                            <a:prstDash val="solid"/>
                            <a:headEnd type="none" w="med" len="med"/>
                            <a:tailEnd type="none" w="med" len="med"/>
                          </a:ln>
                        </wps:spPr>
                        <wps:bodyPr upright="1"/>
                      </wps:wsp>
                      <wps:wsp>
                        <wps:cNvPr id="146" name="任意多边形 146"/>
                        <wps:cNvSpPr/>
                        <wps:spPr>
                          <a:xfrm>
                            <a:off x="6891" y="2895"/>
                            <a:ext cx="132" cy="116"/>
                          </a:xfrm>
                          <a:custGeom>
                            <a:avLst/>
                            <a:gdLst/>
                            <a:ahLst/>
                            <a:cxnLst/>
                            <a:rect l="0" t="0" r="0" b="0"/>
                            <a:pathLst>
                              <a:path w="132" h="116">
                                <a:moveTo>
                                  <a:pt x="124" y="115"/>
                                </a:moveTo>
                                <a:lnTo>
                                  <a:pt x="0" y="65"/>
                                </a:lnTo>
                                <a:lnTo>
                                  <a:pt x="131" y="0"/>
                                </a:lnTo>
                                <a:lnTo>
                                  <a:pt x="123" y="18"/>
                                </a:lnTo>
                                <a:lnTo>
                                  <a:pt x="118" y="37"/>
                                </a:lnTo>
                                <a:lnTo>
                                  <a:pt x="116" y="56"/>
                                </a:lnTo>
                                <a:lnTo>
                                  <a:pt x="116" y="76"/>
                                </a:lnTo>
                                <a:lnTo>
                                  <a:pt x="119" y="96"/>
                                </a:lnTo>
                                <a:lnTo>
                                  <a:pt x="124" y="115"/>
                                </a:lnTo>
                                <a:close/>
                              </a:path>
                            </a:pathLst>
                          </a:custGeom>
                          <a:solidFill>
                            <a:srgbClr val="3E3E3E"/>
                          </a:solidFill>
                          <a:ln>
                            <a:noFill/>
                          </a:ln>
                        </wps:spPr>
                        <wps:bodyPr upright="1"/>
                      </wps:wsp>
                      <wps:wsp>
                        <wps:cNvPr id="147" name="任意多边形 147"/>
                        <wps:cNvSpPr/>
                        <wps:spPr>
                          <a:xfrm>
                            <a:off x="1896" y="2960"/>
                            <a:ext cx="656" cy="2536"/>
                          </a:xfrm>
                          <a:custGeom>
                            <a:avLst/>
                            <a:gdLst/>
                            <a:ahLst/>
                            <a:cxnLst/>
                            <a:rect l="0" t="0" r="0" b="0"/>
                            <a:pathLst>
                              <a:path w="656" h="2536">
                                <a:moveTo>
                                  <a:pt x="0" y="2535"/>
                                </a:moveTo>
                                <a:lnTo>
                                  <a:pt x="0" y="0"/>
                                </a:lnTo>
                                <a:lnTo>
                                  <a:pt x="655" y="0"/>
                                </a:lnTo>
                              </a:path>
                            </a:pathLst>
                          </a:custGeom>
                          <a:noFill/>
                          <a:ln w="11865" cap="flat" cmpd="sng">
                            <a:solidFill>
                              <a:srgbClr val="3E3E3E"/>
                            </a:solidFill>
                            <a:prstDash val="solid"/>
                            <a:headEnd type="none" w="med" len="med"/>
                            <a:tailEnd type="none" w="med" len="med"/>
                          </a:ln>
                        </wps:spPr>
                        <wps:bodyPr upright="1"/>
                      </wps:wsp>
                      <wps:wsp>
                        <wps:cNvPr id="148" name="任意多边形 148"/>
                        <wps:cNvSpPr/>
                        <wps:spPr>
                          <a:xfrm>
                            <a:off x="2520" y="2895"/>
                            <a:ext cx="132" cy="132"/>
                          </a:xfrm>
                          <a:custGeom>
                            <a:avLst/>
                            <a:gdLst/>
                            <a:ahLst/>
                            <a:cxnLst/>
                            <a:rect l="0" t="0" r="0" b="0"/>
                            <a:pathLst>
                              <a:path w="132" h="132">
                                <a:moveTo>
                                  <a:pt x="0" y="131"/>
                                </a:moveTo>
                                <a:lnTo>
                                  <a:pt x="7" y="112"/>
                                </a:lnTo>
                                <a:lnTo>
                                  <a:pt x="12" y="93"/>
                                </a:lnTo>
                                <a:lnTo>
                                  <a:pt x="15" y="74"/>
                                </a:lnTo>
                                <a:lnTo>
                                  <a:pt x="15" y="54"/>
                                </a:lnTo>
                                <a:lnTo>
                                  <a:pt x="12" y="35"/>
                                </a:lnTo>
                                <a:lnTo>
                                  <a:pt x="6" y="16"/>
                                </a:lnTo>
                                <a:lnTo>
                                  <a:pt x="0" y="0"/>
                                </a:lnTo>
                                <a:lnTo>
                                  <a:pt x="131" y="65"/>
                                </a:lnTo>
                                <a:lnTo>
                                  <a:pt x="0" y="131"/>
                                </a:lnTo>
                                <a:close/>
                              </a:path>
                            </a:pathLst>
                          </a:custGeom>
                          <a:solidFill>
                            <a:srgbClr val="3E3E3E"/>
                          </a:solidFill>
                          <a:ln>
                            <a:noFill/>
                          </a:ln>
                        </wps:spPr>
                        <wps:bodyPr upright="1"/>
                      </wps:wsp>
                      <wps:wsp>
                        <wps:cNvPr id="149" name="任意多边形 149"/>
                        <wps:cNvSpPr/>
                        <wps:spPr>
                          <a:xfrm>
                            <a:off x="2486" y="5928"/>
                            <a:ext cx="4650" cy="44"/>
                          </a:xfrm>
                          <a:custGeom>
                            <a:avLst/>
                            <a:gdLst/>
                            <a:ahLst/>
                            <a:cxnLst/>
                            <a:rect l="0" t="0" r="0" b="0"/>
                            <a:pathLst>
                              <a:path w="4650" h="44">
                                <a:moveTo>
                                  <a:pt x="4649" y="43"/>
                                </a:moveTo>
                                <a:lnTo>
                                  <a:pt x="2329" y="43"/>
                                </a:lnTo>
                                <a:lnTo>
                                  <a:pt x="2323" y="22"/>
                                </a:lnTo>
                                <a:lnTo>
                                  <a:pt x="2308" y="6"/>
                                </a:lnTo>
                                <a:lnTo>
                                  <a:pt x="2287" y="0"/>
                                </a:lnTo>
                                <a:lnTo>
                                  <a:pt x="2264" y="5"/>
                                </a:lnTo>
                                <a:lnTo>
                                  <a:pt x="2248" y="19"/>
                                </a:lnTo>
                                <a:lnTo>
                                  <a:pt x="2241" y="39"/>
                                </a:lnTo>
                                <a:lnTo>
                                  <a:pt x="0" y="43"/>
                                </a:lnTo>
                              </a:path>
                            </a:pathLst>
                          </a:custGeom>
                          <a:noFill/>
                          <a:ln w="11832" cap="flat" cmpd="sng">
                            <a:solidFill>
                              <a:srgbClr val="3E3E3E"/>
                            </a:solidFill>
                            <a:prstDash val="solid"/>
                            <a:headEnd type="none" w="med" len="med"/>
                            <a:tailEnd type="none" w="med" len="med"/>
                          </a:ln>
                        </wps:spPr>
                        <wps:bodyPr upright="1"/>
                      </wps:wsp>
                      <wps:wsp>
                        <wps:cNvPr id="150" name="任意多边形 150"/>
                        <wps:cNvSpPr/>
                        <wps:spPr>
                          <a:xfrm>
                            <a:off x="7103" y="5906"/>
                            <a:ext cx="132" cy="132"/>
                          </a:xfrm>
                          <a:custGeom>
                            <a:avLst/>
                            <a:gdLst/>
                            <a:ahLst/>
                            <a:cxnLst/>
                            <a:rect l="0" t="0" r="0" b="0"/>
                            <a:pathLst>
                              <a:path w="132" h="132">
                                <a:moveTo>
                                  <a:pt x="0" y="131"/>
                                </a:moveTo>
                                <a:lnTo>
                                  <a:pt x="7" y="112"/>
                                </a:lnTo>
                                <a:lnTo>
                                  <a:pt x="12" y="93"/>
                                </a:lnTo>
                                <a:lnTo>
                                  <a:pt x="15" y="74"/>
                                </a:lnTo>
                                <a:lnTo>
                                  <a:pt x="15" y="54"/>
                                </a:lnTo>
                                <a:lnTo>
                                  <a:pt x="12" y="35"/>
                                </a:lnTo>
                                <a:lnTo>
                                  <a:pt x="6" y="16"/>
                                </a:lnTo>
                                <a:lnTo>
                                  <a:pt x="0" y="0"/>
                                </a:lnTo>
                                <a:lnTo>
                                  <a:pt x="131" y="65"/>
                                </a:lnTo>
                                <a:lnTo>
                                  <a:pt x="0" y="131"/>
                                </a:lnTo>
                                <a:close/>
                              </a:path>
                            </a:pathLst>
                          </a:custGeom>
                          <a:solidFill>
                            <a:srgbClr val="3E3E3E"/>
                          </a:solidFill>
                          <a:ln>
                            <a:noFill/>
                          </a:ln>
                        </wps:spPr>
                        <wps:bodyPr upright="1"/>
                      </wps:wsp>
                      <wps:wsp>
                        <wps:cNvPr id="151" name="任意多边形 151"/>
                        <wps:cNvSpPr/>
                        <wps:spPr>
                          <a:xfrm>
                            <a:off x="2386" y="5906"/>
                            <a:ext cx="132" cy="116"/>
                          </a:xfrm>
                          <a:custGeom>
                            <a:avLst/>
                            <a:gdLst/>
                            <a:ahLst/>
                            <a:cxnLst/>
                            <a:rect l="0" t="0" r="0" b="0"/>
                            <a:pathLst>
                              <a:path w="132" h="116">
                                <a:moveTo>
                                  <a:pt x="124" y="115"/>
                                </a:moveTo>
                                <a:lnTo>
                                  <a:pt x="0" y="65"/>
                                </a:lnTo>
                                <a:lnTo>
                                  <a:pt x="131" y="0"/>
                                </a:lnTo>
                                <a:lnTo>
                                  <a:pt x="123" y="18"/>
                                </a:lnTo>
                                <a:lnTo>
                                  <a:pt x="118" y="37"/>
                                </a:lnTo>
                                <a:lnTo>
                                  <a:pt x="116" y="56"/>
                                </a:lnTo>
                                <a:lnTo>
                                  <a:pt x="116" y="76"/>
                                </a:lnTo>
                                <a:lnTo>
                                  <a:pt x="119" y="96"/>
                                </a:lnTo>
                                <a:lnTo>
                                  <a:pt x="124" y="115"/>
                                </a:lnTo>
                                <a:close/>
                              </a:path>
                            </a:pathLst>
                          </a:custGeom>
                          <a:solidFill>
                            <a:srgbClr val="3E3E3E"/>
                          </a:solidFill>
                          <a:ln>
                            <a:noFill/>
                          </a:ln>
                        </wps:spPr>
                        <wps:bodyPr upright="1"/>
                      </wps:wsp>
                      <wps:wsp>
                        <wps:cNvPr id="152" name="任意多边形 152"/>
                        <wps:cNvSpPr/>
                        <wps:spPr>
                          <a:xfrm>
                            <a:off x="2545" y="7821"/>
                            <a:ext cx="987" cy="20"/>
                          </a:xfrm>
                          <a:custGeom>
                            <a:avLst/>
                            <a:gdLst/>
                            <a:ahLst/>
                            <a:cxnLst/>
                            <a:rect l="0" t="0" r="0" b="0"/>
                            <a:pathLst>
                              <a:path w="987" h="20">
                                <a:moveTo>
                                  <a:pt x="0" y="0"/>
                                </a:moveTo>
                                <a:lnTo>
                                  <a:pt x="986" y="0"/>
                                </a:lnTo>
                              </a:path>
                            </a:pathLst>
                          </a:custGeom>
                          <a:noFill/>
                          <a:ln w="11832" cap="flat" cmpd="sng">
                            <a:solidFill>
                              <a:srgbClr val="3E3E3E"/>
                            </a:solidFill>
                            <a:prstDash val="solid"/>
                            <a:headEnd type="none" w="med" len="med"/>
                            <a:tailEnd type="none" w="med" len="med"/>
                          </a:ln>
                        </wps:spPr>
                        <wps:bodyPr upright="1"/>
                      </wps:wsp>
                      <wps:wsp>
                        <wps:cNvPr id="153" name="任意多边形 153"/>
                        <wps:cNvSpPr/>
                        <wps:spPr>
                          <a:xfrm>
                            <a:off x="3500" y="7772"/>
                            <a:ext cx="132" cy="116"/>
                          </a:xfrm>
                          <a:custGeom>
                            <a:avLst/>
                            <a:gdLst/>
                            <a:ahLst/>
                            <a:cxnLst/>
                            <a:rect l="0" t="0" r="0" b="0"/>
                            <a:pathLst>
                              <a:path w="132" h="116">
                                <a:moveTo>
                                  <a:pt x="0" y="115"/>
                                </a:moveTo>
                                <a:lnTo>
                                  <a:pt x="7" y="96"/>
                                </a:lnTo>
                                <a:lnTo>
                                  <a:pt x="12" y="77"/>
                                </a:lnTo>
                                <a:lnTo>
                                  <a:pt x="15" y="58"/>
                                </a:lnTo>
                                <a:lnTo>
                                  <a:pt x="15" y="38"/>
                                </a:lnTo>
                                <a:lnTo>
                                  <a:pt x="12" y="19"/>
                                </a:lnTo>
                                <a:lnTo>
                                  <a:pt x="6" y="0"/>
                                </a:lnTo>
                                <a:lnTo>
                                  <a:pt x="131" y="49"/>
                                </a:lnTo>
                                <a:lnTo>
                                  <a:pt x="0" y="115"/>
                                </a:lnTo>
                                <a:close/>
                              </a:path>
                            </a:pathLst>
                          </a:custGeom>
                          <a:solidFill>
                            <a:srgbClr val="3E3E3E"/>
                          </a:solidFill>
                          <a:ln>
                            <a:noFill/>
                          </a:ln>
                        </wps:spPr>
                        <wps:bodyPr upright="1"/>
                      </wps:wsp>
                      <wps:wsp>
                        <wps:cNvPr id="154" name="任意多边形 154"/>
                        <wps:cNvSpPr/>
                        <wps:spPr>
                          <a:xfrm>
                            <a:off x="4871" y="8402"/>
                            <a:ext cx="2815" cy="20"/>
                          </a:xfrm>
                          <a:custGeom>
                            <a:avLst/>
                            <a:gdLst/>
                            <a:ahLst/>
                            <a:cxnLst/>
                            <a:rect l="0" t="0" r="0" b="0"/>
                            <a:pathLst>
                              <a:path w="2815" h="20">
                                <a:moveTo>
                                  <a:pt x="2814" y="0"/>
                                </a:moveTo>
                                <a:lnTo>
                                  <a:pt x="0" y="0"/>
                                </a:lnTo>
                              </a:path>
                            </a:pathLst>
                          </a:custGeom>
                          <a:noFill/>
                          <a:ln w="11832" cap="flat" cmpd="sng">
                            <a:solidFill>
                              <a:srgbClr val="3E3E3E"/>
                            </a:solidFill>
                            <a:prstDash val="solid"/>
                            <a:headEnd type="none" w="med" len="med"/>
                            <a:tailEnd type="none" w="med" len="med"/>
                          </a:ln>
                        </wps:spPr>
                        <wps:bodyPr upright="1"/>
                      </wps:wsp>
                      <wps:wsp>
                        <wps:cNvPr id="155" name="任意多边形 155"/>
                        <wps:cNvSpPr/>
                        <wps:spPr>
                          <a:xfrm>
                            <a:off x="4771" y="8337"/>
                            <a:ext cx="132" cy="116"/>
                          </a:xfrm>
                          <a:custGeom>
                            <a:avLst/>
                            <a:gdLst/>
                            <a:ahLst/>
                            <a:cxnLst/>
                            <a:rect l="0" t="0" r="0" b="0"/>
                            <a:pathLst>
                              <a:path w="132" h="116">
                                <a:moveTo>
                                  <a:pt x="124" y="115"/>
                                </a:moveTo>
                                <a:lnTo>
                                  <a:pt x="0" y="65"/>
                                </a:lnTo>
                                <a:lnTo>
                                  <a:pt x="131" y="0"/>
                                </a:lnTo>
                                <a:lnTo>
                                  <a:pt x="123" y="18"/>
                                </a:lnTo>
                                <a:lnTo>
                                  <a:pt x="118" y="37"/>
                                </a:lnTo>
                                <a:lnTo>
                                  <a:pt x="116" y="56"/>
                                </a:lnTo>
                                <a:lnTo>
                                  <a:pt x="116" y="76"/>
                                </a:lnTo>
                                <a:lnTo>
                                  <a:pt x="119" y="96"/>
                                </a:lnTo>
                                <a:lnTo>
                                  <a:pt x="124" y="115"/>
                                </a:lnTo>
                                <a:close/>
                              </a:path>
                            </a:pathLst>
                          </a:custGeom>
                          <a:solidFill>
                            <a:srgbClr val="3E3E3E"/>
                          </a:solidFill>
                          <a:ln>
                            <a:noFill/>
                          </a:ln>
                        </wps:spPr>
                        <wps:bodyPr upright="1"/>
                      </wps:wsp>
                      <wps:wsp>
                        <wps:cNvPr id="156" name="文本框 156"/>
                        <wps:cNvSpPr txBox="1"/>
                        <wps:spPr>
                          <a:xfrm>
                            <a:off x="3062" y="9366"/>
                            <a:ext cx="3445" cy="951"/>
                          </a:xfrm>
                          <a:prstGeom prst="rect">
                            <a:avLst/>
                          </a:prstGeom>
                          <a:noFill/>
                          <a:ln w="2956" cap="flat" cmpd="sng">
                            <a:solidFill>
                              <a:srgbClr val="3E3E3E"/>
                            </a:solidFill>
                            <a:prstDash val="solid"/>
                            <a:miter/>
                            <a:headEnd type="none" w="med" len="med"/>
                            <a:tailEnd type="none" w="med" len="med"/>
                          </a:ln>
                        </wps:spPr>
                        <wps:txbx>
                          <w:txbxContent>
                            <w:p>
                              <w:pPr>
                                <w:pStyle w:val="14"/>
                                <w:kinsoku w:val="0"/>
                                <w:overflowPunct w:val="0"/>
                                <w:autoSpaceDE w:val="0"/>
                                <w:autoSpaceDN w:val="0"/>
                                <w:adjustRightInd w:val="0"/>
                                <w:spacing w:line="248" w:lineRule="exact"/>
                                <w:ind w:left="60"/>
                                <w:jc w:val="left"/>
                                <w:rPr>
                                  <w:bCs w:val="0"/>
                                  <w:w w:val="105"/>
                                  <w:kern w:val="0"/>
                                  <w:sz w:val="18"/>
                                  <w:szCs w:val="22"/>
                                </w:rPr>
                              </w:pPr>
                              <w:r>
                                <w:rPr>
                                  <w:rFonts w:hint="eastAsia"/>
                                  <w:bCs w:val="0"/>
                                  <w:w w:val="105"/>
                                  <w:kern w:val="0"/>
                                  <w:sz w:val="18"/>
                                  <w:szCs w:val="22"/>
                                </w:rPr>
                                <w:t>1、给出建设项目环境可行性的评价结论</w:t>
                              </w:r>
                            </w:p>
                            <w:p>
                              <w:pPr>
                                <w:pStyle w:val="14"/>
                                <w:kinsoku w:val="0"/>
                                <w:overflowPunct w:val="0"/>
                                <w:autoSpaceDE w:val="0"/>
                                <w:autoSpaceDN w:val="0"/>
                                <w:adjustRightInd w:val="0"/>
                                <w:spacing w:line="248" w:lineRule="exact"/>
                                <w:ind w:left="60"/>
                                <w:jc w:val="left"/>
                                <w:rPr>
                                  <w:bCs w:val="0"/>
                                  <w:w w:val="105"/>
                                  <w:kern w:val="0"/>
                                  <w:sz w:val="18"/>
                                  <w:szCs w:val="22"/>
                                </w:rPr>
                              </w:pPr>
                              <w:r>
                                <w:rPr>
                                  <w:rFonts w:hint="eastAsia"/>
                                  <w:bCs w:val="0"/>
                                  <w:w w:val="105"/>
                                  <w:kern w:val="0"/>
                                  <w:sz w:val="18"/>
                                  <w:szCs w:val="22"/>
                                </w:rPr>
                                <w:t>2、提出环境保护措施与建议</w:t>
                              </w:r>
                            </w:p>
                            <w:p>
                              <w:pPr>
                                <w:pStyle w:val="14"/>
                                <w:kinsoku w:val="0"/>
                                <w:overflowPunct w:val="0"/>
                                <w:autoSpaceDE w:val="0"/>
                                <w:autoSpaceDN w:val="0"/>
                                <w:adjustRightInd w:val="0"/>
                                <w:spacing w:line="248" w:lineRule="exact"/>
                                <w:ind w:left="60"/>
                                <w:jc w:val="left"/>
                                <w:rPr>
                                  <w:bCs w:val="0"/>
                                  <w:w w:val="105"/>
                                  <w:kern w:val="0"/>
                                  <w:sz w:val="18"/>
                                  <w:szCs w:val="22"/>
                                </w:rPr>
                              </w:pPr>
                              <w:r>
                                <w:rPr>
                                  <w:rFonts w:hint="eastAsia"/>
                                  <w:bCs w:val="0"/>
                                  <w:w w:val="105"/>
                                  <w:kern w:val="0"/>
                                  <w:sz w:val="18"/>
                                  <w:szCs w:val="22"/>
                                </w:rPr>
                                <w:t>3、编制环境影响报告书</w:t>
                              </w:r>
                            </w:p>
                          </w:txbxContent>
                        </wps:txbx>
                        <wps:bodyPr lIns="0" tIns="0" rIns="0" bIns="0" upright="1"/>
                      </wps:wsp>
                      <wps:wsp>
                        <wps:cNvPr id="157" name="文本框 157"/>
                        <wps:cNvSpPr txBox="1"/>
                        <wps:spPr>
                          <a:xfrm>
                            <a:off x="3459" y="120"/>
                            <a:ext cx="2650" cy="794"/>
                          </a:xfrm>
                          <a:prstGeom prst="rect">
                            <a:avLst/>
                          </a:prstGeom>
                          <a:noFill/>
                          <a:ln>
                            <a:noFill/>
                          </a:ln>
                        </wps:spPr>
                        <wps:txbx>
                          <w:txbxContent>
                            <w:p>
                              <w:pPr>
                                <w:pStyle w:val="14"/>
                                <w:kinsoku w:val="0"/>
                                <w:overflowPunct w:val="0"/>
                                <w:spacing w:before="111" w:line="253" w:lineRule="exact"/>
                                <w:ind w:left="62"/>
                                <w:rPr>
                                  <w:sz w:val="18"/>
                                </w:rPr>
                              </w:pPr>
                              <w:r>
                                <w:rPr>
                                  <w:rFonts w:hint="eastAsia" w:ascii="Calibri" w:hAnsi="Calibri" w:eastAsia="Calibri"/>
                                  <w:w w:val="105"/>
                                  <w:sz w:val="18"/>
                                </w:rPr>
                                <w:t>1</w:t>
                              </w:r>
                              <w:r>
                                <w:rPr>
                                  <w:rFonts w:hint="eastAsia"/>
                                  <w:w w:val="105"/>
                                  <w:sz w:val="18"/>
                                </w:rPr>
                                <w:t>、环境影响评价委托文件</w:t>
                              </w:r>
                            </w:p>
                            <w:p>
                              <w:pPr>
                                <w:pStyle w:val="14"/>
                                <w:kinsoku w:val="0"/>
                                <w:overflowPunct w:val="0"/>
                                <w:spacing w:line="253" w:lineRule="exact"/>
                                <w:ind w:left="62"/>
                                <w:rPr>
                                  <w:sz w:val="18"/>
                                </w:rPr>
                              </w:pPr>
                              <w:r>
                                <w:rPr>
                                  <w:rFonts w:hint="eastAsia" w:ascii="Calibri" w:hAnsi="Calibri" w:eastAsia="Calibri"/>
                                  <w:w w:val="105"/>
                                  <w:sz w:val="18"/>
                                </w:rPr>
                                <w:t>2</w:t>
                              </w:r>
                              <w:r>
                                <w:rPr>
                                  <w:rFonts w:hint="eastAsia"/>
                                  <w:w w:val="105"/>
                                  <w:sz w:val="18"/>
                                </w:rPr>
                                <w:t>、建设项目依据文件</w:t>
                              </w:r>
                            </w:p>
                          </w:txbxContent>
                        </wps:txbx>
                        <wps:bodyPr lIns="0" tIns="0" rIns="0" bIns="0" upright="1"/>
                      </wps:wsp>
                      <wps:wsp>
                        <wps:cNvPr id="158" name="文本框 158"/>
                        <wps:cNvSpPr txBox="1"/>
                        <wps:spPr>
                          <a:xfrm>
                            <a:off x="1869" y="1309"/>
                            <a:ext cx="5829" cy="794"/>
                          </a:xfrm>
                          <a:prstGeom prst="rect">
                            <a:avLst/>
                          </a:prstGeom>
                          <a:noFill/>
                          <a:ln>
                            <a:noFill/>
                          </a:ln>
                        </wps:spPr>
                        <wps:txbx>
                          <w:txbxContent>
                            <w:p>
                              <w:pPr>
                                <w:pStyle w:val="14"/>
                                <w:kinsoku w:val="0"/>
                                <w:overflowPunct w:val="0"/>
                                <w:spacing w:before="111" w:line="253" w:lineRule="exact"/>
                                <w:ind w:left="62"/>
                                <w:rPr>
                                  <w:sz w:val="18"/>
                                </w:rPr>
                              </w:pPr>
                              <w:r>
                                <w:rPr>
                                  <w:rFonts w:hint="eastAsia" w:ascii="Calibri" w:hAnsi="Calibri" w:eastAsia="Calibri"/>
                                  <w:w w:val="105"/>
                                  <w:sz w:val="18"/>
                                </w:rPr>
                                <w:t>1</w:t>
                              </w:r>
                              <w:r>
                                <w:rPr>
                                  <w:rFonts w:hint="eastAsia"/>
                                  <w:w w:val="105"/>
                                  <w:sz w:val="18"/>
                                </w:rPr>
                                <w:t>、研究国家和地方有关环境保护的法律法规、政策标准及相关规划</w:t>
                              </w:r>
                            </w:p>
                            <w:p>
                              <w:pPr>
                                <w:pStyle w:val="14"/>
                                <w:kinsoku w:val="0"/>
                                <w:overflowPunct w:val="0"/>
                                <w:spacing w:line="253" w:lineRule="exact"/>
                                <w:ind w:left="62"/>
                                <w:rPr>
                                  <w:sz w:val="18"/>
                                </w:rPr>
                              </w:pPr>
                              <w:r>
                                <w:rPr>
                                  <w:rFonts w:hint="eastAsia" w:ascii="Calibri" w:hAnsi="Calibri" w:eastAsia="Calibri"/>
                                  <w:w w:val="105"/>
                                  <w:sz w:val="18"/>
                                </w:rPr>
                                <w:t>2</w:t>
                              </w:r>
                              <w:r>
                                <w:rPr>
                                  <w:rFonts w:hint="eastAsia"/>
                                  <w:w w:val="105"/>
                                  <w:sz w:val="18"/>
                                </w:rPr>
                                <w:t>、依据建设项目环境保护分类管理名录确定环境影响评价文件类型</w:t>
                              </w:r>
                            </w:p>
                          </w:txbxContent>
                        </wps:txbx>
                        <wps:bodyPr lIns="0" tIns="0" rIns="0" bIns="0" upright="1"/>
                      </wps:wsp>
                      <wps:wsp>
                        <wps:cNvPr id="159" name="文本框 159"/>
                        <wps:cNvSpPr txBox="1"/>
                        <wps:spPr>
                          <a:xfrm>
                            <a:off x="2664" y="2498"/>
                            <a:ext cx="4240" cy="953"/>
                          </a:xfrm>
                          <a:prstGeom prst="rect">
                            <a:avLst/>
                          </a:prstGeom>
                          <a:noFill/>
                          <a:ln>
                            <a:noFill/>
                          </a:ln>
                        </wps:spPr>
                        <wps:txbx>
                          <w:txbxContent>
                            <w:p>
                              <w:pPr>
                                <w:pStyle w:val="14"/>
                                <w:kinsoku w:val="0"/>
                                <w:overflowPunct w:val="0"/>
                                <w:spacing w:before="67" w:line="253" w:lineRule="exact"/>
                                <w:ind w:left="62"/>
                                <w:rPr>
                                  <w:sz w:val="18"/>
                                </w:rPr>
                              </w:pPr>
                              <w:r>
                                <w:rPr>
                                  <w:rFonts w:hint="eastAsia" w:ascii="Calibri" w:hAnsi="Calibri" w:eastAsia="Calibri"/>
                                  <w:w w:val="105"/>
                                  <w:sz w:val="18"/>
                                </w:rPr>
                                <w:t>1</w:t>
                              </w:r>
                              <w:r>
                                <w:rPr>
                                  <w:rFonts w:hint="eastAsia"/>
                                  <w:w w:val="105"/>
                                  <w:sz w:val="18"/>
                                </w:rPr>
                                <w:t>、研究建设项目的相关技术文件和其他有关文件</w:t>
                              </w:r>
                            </w:p>
                            <w:p>
                              <w:pPr>
                                <w:pStyle w:val="14"/>
                                <w:kinsoku w:val="0"/>
                                <w:overflowPunct w:val="0"/>
                                <w:spacing w:line="248" w:lineRule="exact"/>
                                <w:ind w:left="62"/>
                                <w:rPr>
                                  <w:sz w:val="18"/>
                                </w:rPr>
                              </w:pPr>
                              <w:r>
                                <w:rPr>
                                  <w:rFonts w:hint="eastAsia" w:ascii="Calibri" w:hAnsi="Calibri" w:eastAsia="Calibri"/>
                                  <w:w w:val="105"/>
                                  <w:sz w:val="18"/>
                                </w:rPr>
                                <w:t>2</w:t>
                              </w:r>
                              <w:r>
                                <w:rPr>
                                  <w:rFonts w:hint="eastAsia"/>
                                  <w:w w:val="105"/>
                                  <w:sz w:val="18"/>
                                </w:rPr>
                                <w:t>、开展初步的环境状况调查</w:t>
                              </w:r>
                            </w:p>
                            <w:p>
                              <w:pPr>
                                <w:pStyle w:val="14"/>
                                <w:kinsoku w:val="0"/>
                                <w:overflowPunct w:val="0"/>
                                <w:spacing w:line="253" w:lineRule="exact"/>
                                <w:ind w:left="62"/>
                                <w:rPr>
                                  <w:sz w:val="18"/>
                                </w:rPr>
                              </w:pPr>
                              <w:r>
                                <w:rPr>
                                  <w:rFonts w:hint="eastAsia" w:ascii="Calibri" w:hAnsi="Calibri" w:eastAsia="Calibri"/>
                                  <w:w w:val="105"/>
                                  <w:sz w:val="18"/>
                                </w:rPr>
                                <w:t>3</w:t>
                              </w:r>
                              <w:r>
                                <w:rPr>
                                  <w:rFonts w:hint="eastAsia"/>
                                  <w:w w:val="105"/>
                                  <w:sz w:val="18"/>
                                </w:rPr>
                                <w:t>、进行初步的工程分析</w:t>
                              </w:r>
                            </w:p>
                          </w:txbxContent>
                        </wps:txbx>
                        <wps:bodyPr lIns="0" tIns="0" rIns="0" bIns="0" upright="1"/>
                      </wps:wsp>
                      <wps:wsp>
                        <wps:cNvPr id="160" name="文本框 160"/>
                        <wps:cNvSpPr txBox="1"/>
                        <wps:spPr>
                          <a:xfrm>
                            <a:off x="3803" y="6196"/>
                            <a:ext cx="1961" cy="951"/>
                          </a:xfrm>
                          <a:prstGeom prst="rect">
                            <a:avLst/>
                          </a:prstGeom>
                          <a:noFill/>
                          <a:ln>
                            <a:noFill/>
                          </a:ln>
                        </wps:spPr>
                        <wps:txbx>
                          <w:txbxContent>
                            <w:p>
                              <w:pPr>
                                <w:pStyle w:val="14"/>
                                <w:kinsoku w:val="0"/>
                                <w:overflowPunct w:val="0"/>
                                <w:spacing w:before="67" w:line="253" w:lineRule="exact"/>
                                <w:ind w:left="62"/>
                                <w:rPr>
                                  <w:sz w:val="18"/>
                                </w:rPr>
                              </w:pPr>
                              <w:r>
                                <w:rPr>
                                  <w:rFonts w:hint="eastAsia" w:ascii="Calibri" w:hAnsi="Calibri" w:eastAsia="Calibri"/>
                                  <w:w w:val="105"/>
                                  <w:sz w:val="18"/>
                                </w:rPr>
                                <w:t>1</w:t>
                              </w:r>
                              <w:r>
                                <w:rPr>
                                  <w:rFonts w:hint="eastAsia"/>
                                  <w:w w:val="105"/>
                                  <w:sz w:val="18"/>
                                </w:rPr>
                                <w:t>、环境影响预测</w:t>
                              </w:r>
                            </w:p>
                            <w:p>
                              <w:pPr>
                                <w:pStyle w:val="14"/>
                                <w:kinsoku w:val="0"/>
                                <w:overflowPunct w:val="0"/>
                                <w:spacing w:line="248" w:lineRule="exact"/>
                                <w:ind w:left="62"/>
                                <w:rPr>
                                  <w:sz w:val="18"/>
                                </w:rPr>
                              </w:pPr>
                              <w:r>
                                <w:rPr>
                                  <w:rFonts w:hint="eastAsia" w:ascii="Calibri" w:hAnsi="Calibri" w:eastAsia="Calibri"/>
                                  <w:w w:val="105"/>
                                  <w:sz w:val="18"/>
                                </w:rPr>
                                <w:t>2</w:t>
                              </w:r>
                              <w:r>
                                <w:rPr>
                                  <w:rFonts w:hint="eastAsia"/>
                                  <w:w w:val="105"/>
                                  <w:sz w:val="18"/>
                                </w:rPr>
                                <w:t>、清洁生产分析</w:t>
                              </w:r>
                            </w:p>
                            <w:p>
                              <w:pPr>
                                <w:pStyle w:val="14"/>
                                <w:kinsoku w:val="0"/>
                                <w:overflowPunct w:val="0"/>
                                <w:spacing w:line="253" w:lineRule="exact"/>
                                <w:ind w:left="62"/>
                                <w:rPr>
                                  <w:sz w:val="18"/>
                                </w:rPr>
                              </w:pPr>
                              <w:r>
                                <w:rPr>
                                  <w:rFonts w:hint="eastAsia" w:ascii="Calibri" w:hAnsi="Calibri" w:eastAsia="Calibri"/>
                                  <w:w w:val="105"/>
                                  <w:sz w:val="18"/>
                                </w:rPr>
                                <w:t>3</w:t>
                              </w:r>
                              <w:r>
                                <w:rPr>
                                  <w:rFonts w:hint="eastAsia"/>
                                  <w:w w:val="105"/>
                                  <w:sz w:val="18"/>
                                </w:rPr>
                                <w:t>、环境保护措施论证</w:t>
                              </w:r>
                            </w:p>
                          </w:txbxContent>
                        </wps:txbx>
                        <wps:bodyPr lIns="0" tIns="0" rIns="0" bIns="0" upright="1"/>
                      </wps:wsp>
                      <wps:wsp>
                        <wps:cNvPr id="161" name="文本框 161"/>
                        <wps:cNvSpPr txBox="1"/>
                        <wps:spPr>
                          <a:xfrm>
                            <a:off x="1074" y="7226"/>
                            <a:ext cx="1484" cy="1216"/>
                          </a:xfrm>
                          <a:prstGeom prst="rect">
                            <a:avLst/>
                          </a:prstGeom>
                          <a:noFill/>
                          <a:ln>
                            <a:noFill/>
                          </a:ln>
                        </wps:spPr>
                        <wps:txbx>
                          <w:txbxContent>
                            <w:p>
                              <w:pPr>
                                <w:pStyle w:val="14"/>
                                <w:kinsoku w:val="0"/>
                                <w:overflowPunct w:val="0"/>
                                <w:autoSpaceDE w:val="0"/>
                                <w:autoSpaceDN w:val="0"/>
                                <w:adjustRightInd w:val="0"/>
                                <w:spacing w:line="248" w:lineRule="exact"/>
                                <w:ind w:left="60"/>
                                <w:jc w:val="left"/>
                                <w:rPr>
                                  <w:bCs w:val="0"/>
                                  <w:w w:val="105"/>
                                  <w:kern w:val="0"/>
                                  <w:sz w:val="18"/>
                                  <w:szCs w:val="22"/>
                                </w:rPr>
                              </w:pPr>
                              <w:r>
                                <w:rPr>
                                  <w:rFonts w:hint="eastAsia"/>
                                  <w:bCs w:val="0"/>
                                  <w:w w:val="105"/>
                                  <w:kern w:val="0"/>
                                  <w:sz w:val="18"/>
                                  <w:szCs w:val="22"/>
                                </w:rPr>
                                <w:t>国家和地方有关 环境保护的法律 法规政策标准及 相关规划</w:t>
                              </w:r>
                            </w:p>
                          </w:txbxContent>
                        </wps:txbx>
                        <wps:bodyPr lIns="0" tIns="0" rIns="0" bIns="0" upright="1"/>
                      </wps:wsp>
                      <wps:wsp>
                        <wps:cNvPr id="162" name="文本框 162"/>
                        <wps:cNvSpPr txBox="1"/>
                        <wps:spPr>
                          <a:xfrm>
                            <a:off x="7698" y="8071"/>
                            <a:ext cx="795" cy="687"/>
                          </a:xfrm>
                          <a:prstGeom prst="rect">
                            <a:avLst/>
                          </a:prstGeom>
                          <a:noFill/>
                          <a:ln>
                            <a:noFill/>
                          </a:ln>
                        </wps:spPr>
                        <wps:txbx>
                          <w:txbxContent>
                            <w:p>
                              <w:pPr>
                                <w:pStyle w:val="14"/>
                                <w:kinsoku w:val="0"/>
                                <w:overflowPunct w:val="0"/>
                                <w:spacing w:before="52" w:line="246" w:lineRule="auto"/>
                                <w:ind w:left="62" w:right="169"/>
                                <w:rPr>
                                  <w:sz w:val="18"/>
                                </w:rPr>
                              </w:pPr>
                              <w:r>
                                <w:rPr>
                                  <w:rFonts w:hint="eastAsia"/>
                                  <w:sz w:val="18"/>
                                </w:rPr>
                                <w:t>公众参</w:t>
                              </w:r>
                              <w:r>
                                <w:rPr>
                                  <w:rFonts w:hint="eastAsia"/>
                                  <w:w w:val="103"/>
                                  <w:sz w:val="18"/>
                                </w:rPr>
                                <w:t xml:space="preserve"> </w:t>
                              </w:r>
                              <w:r>
                                <w:rPr>
                                  <w:rFonts w:hint="eastAsia"/>
                                  <w:sz w:val="18"/>
                                </w:rPr>
                                <w:t>与调查</w:t>
                              </w:r>
                            </w:p>
                          </w:txbxContent>
                        </wps:txbx>
                        <wps:bodyPr lIns="0" tIns="0" rIns="0" bIns="0" upright="1"/>
                      </wps:wsp>
                      <wps:wsp>
                        <wps:cNvPr id="163" name="文本框 163"/>
                        <wps:cNvSpPr txBox="1"/>
                        <wps:spPr>
                          <a:xfrm>
                            <a:off x="3062" y="3845"/>
                            <a:ext cx="3445" cy="953"/>
                          </a:xfrm>
                          <a:prstGeom prst="rect">
                            <a:avLst/>
                          </a:prstGeom>
                          <a:noFill/>
                          <a:ln>
                            <a:noFill/>
                          </a:ln>
                        </wps:spPr>
                        <wps:txbx>
                          <w:txbxContent>
                            <w:p>
                              <w:pPr>
                                <w:pStyle w:val="14"/>
                                <w:kinsoku w:val="0"/>
                                <w:overflowPunct w:val="0"/>
                                <w:spacing w:before="67" w:line="253" w:lineRule="exact"/>
                                <w:ind w:left="62"/>
                                <w:rPr>
                                  <w:sz w:val="18"/>
                                </w:rPr>
                              </w:pPr>
                              <w:r>
                                <w:rPr>
                                  <w:rFonts w:hint="eastAsia" w:ascii="Calibri" w:hAnsi="Calibri" w:eastAsia="Calibri"/>
                                  <w:w w:val="105"/>
                                  <w:sz w:val="18"/>
                                </w:rPr>
                                <w:t>1</w:t>
                              </w:r>
                              <w:r>
                                <w:rPr>
                                  <w:rFonts w:hint="eastAsia"/>
                                  <w:w w:val="105"/>
                                  <w:sz w:val="18"/>
                                </w:rPr>
                                <w:t>、环境影响因素识别与评价因子筛选</w:t>
                              </w:r>
                            </w:p>
                            <w:p>
                              <w:pPr>
                                <w:pStyle w:val="14"/>
                                <w:kinsoku w:val="0"/>
                                <w:overflowPunct w:val="0"/>
                                <w:spacing w:line="248" w:lineRule="exact"/>
                                <w:ind w:left="62"/>
                                <w:rPr>
                                  <w:sz w:val="18"/>
                                </w:rPr>
                              </w:pPr>
                              <w:r>
                                <w:rPr>
                                  <w:rFonts w:hint="eastAsia" w:ascii="Calibri" w:hAnsi="Calibri" w:eastAsia="Calibri"/>
                                  <w:w w:val="105"/>
                                  <w:sz w:val="18"/>
                                </w:rPr>
                                <w:t>2</w:t>
                              </w:r>
                              <w:r>
                                <w:rPr>
                                  <w:rFonts w:hint="eastAsia"/>
                                  <w:w w:val="105"/>
                                  <w:sz w:val="18"/>
                                </w:rPr>
                                <w:t>、确定评价重点和专项评价工作等级</w:t>
                              </w:r>
                            </w:p>
                            <w:p>
                              <w:pPr>
                                <w:pStyle w:val="14"/>
                                <w:kinsoku w:val="0"/>
                                <w:overflowPunct w:val="0"/>
                                <w:spacing w:line="253" w:lineRule="exact"/>
                                <w:ind w:left="62"/>
                                <w:rPr>
                                  <w:sz w:val="18"/>
                                </w:rPr>
                              </w:pPr>
                              <w:r>
                                <w:rPr>
                                  <w:rFonts w:hint="eastAsia" w:ascii="Calibri" w:hAnsi="Calibri" w:eastAsia="Calibri"/>
                                  <w:w w:val="105"/>
                                  <w:sz w:val="18"/>
                                </w:rPr>
                                <w:t>3</w:t>
                              </w:r>
                              <w:r>
                                <w:rPr>
                                  <w:rFonts w:hint="eastAsia"/>
                                  <w:w w:val="105"/>
                                  <w:sz w:val="18"/>
                                </w:rPr>
                                <w:t>、明确各专项评价范围和保护目标</w:t>
                              </w:r>
                            </w:p>
                          </w:txbxContent>
                        </wps:txbx>
                        <wps:bodyPr lIns="0" tIns="0" rIns="0" bIns="0" upright="1"/>
                      </wps:wsp>
                      <wps:wsp>
                        <wps:cNvPr id="164" name="文本框 164"/>
                        <wps:cNvSpPr txBox="1"/>
                        <wps:spPr>
                          <a:xfrm>
                            <a:off x="1419" y="5509"/>
                            <a:ext cx="981" cy="951"/>
                          </a:xfrm>
                          <a:prstGeom prst="rect">
                            <a:avLst/>
                          </a:prstGeom>
                          <a:noFill/>
                          <a:ln>
                            <a:noFill/>
                          </a:ln>
                        </wps:spPr>
                        <wps:txbx>
                          <w:txbxContent>
                            <w:p>
                              <w:pPr>
                                <w:pStyle w:val="14"/>
                                <w:kinsoku w:val="0"/>
                                <w:overflowPunct w:val="0"/>
                                <w:autoSpaceDE w:val="0"/>
                                <w:autoSpaceDN w:val="0"/>
                                <w:adjustRightInd w:val="0"/>
                                <w:spacing w:before="51" w:line="240" w:lineRule="auto"/>
                                <w:ind w:left="62"/>
                                <w:jc w:val="left"/>
                                <w:rPr>
                                  <w:sz w:val="18"/>
                                </w:rPr>
                              </w:pPr>
                              <w:r>
                                <w:rPr>
                                  <w:rFonts w:hint="eastAsia"/>
                                  <w:w w:val="105"/>
                                  <w:sz w:val="18"/>
                                </w:rPr>
                                <w:t>环境状况</w:t>
                              </w:r>
                            </w:p>
                            <w:p>
                              <w:pPr>
                                <w:pStyle w:val="14"/>
                                <w:kinsoku w:val="0"/>
                                <w:overflowPunct w:val="0"/>
                                <w:ind w:left="62"/>
                                <w:rPr>
                                  <w:sz w:val="18"/>
                                </w:rPr>
                              </w:pPr>
                              <w:r>
                                <w:rPr>
                                  <w:rFonts w:hint="eastAsia"/>
                                  <w:w w:val="105"/>
                                  <w:sz w:val="18"/>
                                </w:rPr>
                                <w:t>现状监测</w:t>
                              </w:r>
                            </w:p>
                          </w:txbxContent>
                        </wps:txbx>
                        <wps:bodyPr lIns="0" tIns="0" rIns="0" bIns="0" upright="1"/>
                      </wps:wsp>
                      <wps:wsp>
                        <wps:cNvPr id="165" name="文本框 165"/>
                        <wps:cNvSpPr txBox="1"/>
                        <wps:spPr>
                          <a:xfrm>
                            <a:off x="7248" y="5509"/>
                            <a:ext cx="981" cy="951"/>
                          </a:xfrm>
                          <a:prstGeom prst="rect">
                            <a:avLst/>
                          </a:prstGeom>
                          <a:noFill/>
                          <a:ln>
                            <a:noFill/>
                          </a:ln>
                        </wps:spPr>
                        <wps:txbx>
                          <w:txbxContent>
                            <w:p>
                              <w:pPr>
                                <w:pStyle w:val="14"/>
                                <w:kinsoku w:val="0"/>
                                <w:overflowPunct w:val="0"/>
                                <w:autoSpaceDE w:val="0"/>
                                <w:autoSpaceDN w:val="0"/>
                                <w:adjustRightInd w:val="0"/>
                                <w:spacing w:before="51" w:line="240" w:lineRule="auto"/>
                                <w:ind w:left="62"/>
                                <w:jc w:val="left"/>
                                <w:rPr>
                                  <w:sz w:val="18"/>
                                </w:rPr>
                              </w:pPr>
                              <w:r>
                                <w:rPr>
                                  <w:rFonts w:hint="eastAsia"/>
                                  <w:sz w:val="18"/>
                                </w:rPr>
                                <w:t>建设项目</w:t>
                              </w:r>
                              <w:r>
                                <w:rPr>
                                  <w:rFonts w:hint="eastAsia"/>
                                  <w:w w:val="103"/>
                                  <w:sz w:val="18"/>
                                </w:rPr>
                                <w:t xml:space="preserve"> </w:t>
                              </w:r>
                              <w:r>
                                <w:rPr>
                                  <w:rFonts w:hint="eastAsia"/>
                                  <w:sz w:val="18"/>
                                </w:rPr>
                                <w:t>工程分析</w:t>
                              </w:r>
                            </w:p>
                          </w:txbxContent>
                        </wps:txbx>
                        <wps:bodyPr lIns="0" tIns="0" rIns="0" bIns="0" upright="1"/>
                      </wps:wsp>
                      <wps:wsp>
                        <wps:cNvPr id="166" name="文本框 166"/>
                        <wps:cNvSpPr txBox="1"/>
                        <wps:spPr>
                          <a:xfrm>
                            <a:off x="3644" y="7622"/>
                            <a:ext cx="2279" cy="423"/>
                          </a:xfrm>
                          <a:prstGeom prst="rect">
                            <a:avLst/>
                          </a:prstGeom>
                          <a:noFill/>
                          <a:ln>
                            <a:noFill/>
                          </a:ln>
                        </wps:spPr>
                        <wps:txbx>
                          <w:txbxContent>
                            <w:p>
                              <w:pPr>
                                <w:pStyle w:val="14"/>
                                <w:kinsoku w:val="0"/>
                                <w:overflowPunct w:val="0"/>
                                <w:autoSpaceDE w:val="0"/>
                                <w:autoSpaceDN w:val="0"/>
                                <w:adjustRightInd w:val="0"/>
                                <w:spacing w:before="51" w:line="240" w:lineRule="auto"/>
                                <w:ind w:left="62"/>
                                <w:jc w:val="left"/>
                                <w:rPr>
                                  <w:sz w:val="18"/>
                                </w:rPr>
                              </w:pPr>
                              <w:r>
                                <w:rPr>
                                  <w:rFonts w:hint="eastAsia"/>
                                  <w:w w:val="105"/>
                                  <w:sz w:val="18"/>
                                </w:rPr>
                                <w:t>评价建设项目的环境影响</w:t>
                              </w:r>
                            </w:p>
                          </w:txbxContent>
                        </wps:txbx>
                        <wps:bodyPr lIns="0" tIns="0" rIns="0" bIns="0" upright="1"/>
                      </wps:wsp>
                      <wps:wsp>
                        <wps:cNvPr id="167" name="文本框 167"/>
                        <wps:cNvSpPr txBox="1"/>
                        <wps:spPr>
                          <a:xfrm>
                            <a:off x="462" y="758"/>
                            <a:ext cx="182" cy="1211"/>
                          </a:xfrm>
                          <a:prstGeom prst="rect">
                            <a:avLst/>
                          </a:prstGeom>
                          <a:noFill/>
                          <a:ln>
                            <a:noFill/>
                          </a:ln>
                        </wps:spPr>
                        <wps:txbx>
                          <w:txbxContent>
                            <w:p>
                              <w:pPr>
                                <w:pStyle w:val="14"/>
                                <w:kinsoku w:val="0"/>
                                <w:overflowPunct w:val="0"/>
                                <w:autoSpaceDE w:val="0"/>
                                <w:autoSpaceDN w:val="0"/>
                                <w:adjustRightInd w:val="0"/>
                                <w:spacing w:line="240" w:lineRule="auto"/>
                                <w:rPr>
                                  <w:bCs w:val="0"/>
                                  <w:w w:val="105"/>
                                  <w:kern w:val="0"/>
                                  <w:sz w:val="16"/>
                                  <w:szCs w:val="22"/>
                                </w:rPr>
                              </w:pPr>
                              <w:r>
                                <w:rPr>
                                  <w:rFonts w:hint="eastAsia"/>
                                  <w:bCs w:val="0"/>
                                  <w:w w:val="105"/>
                                  <w:kern w:val="0"/>
                                  <w:sz w:val="16"/>
                                  <w:szCs w:val="22"/>
                                </w:rPr>
                                <w:t>第</w:t>
                              </w:r>
                            </w:p>
                            <w:p>
                              <w:pPr>
                                <w:pStyle w:val="14"/>
                                <w:kinsoku w:val="0"/>
                                <w:overflowPunct w:val="0"/>
                                <w:autoSpaceDE w:val="0"/>
                                <w:autoSpaceDN w:val="0"/>
                                <w:adjustRightInd w:val="0"/>
                                <w:spacing w:line="240" w:lineRule="auto"/>
                                <w:rPr>
                                  <w:sz w:val="16"/>
                                </w:rPr>
                              </w:pPr>
                              <w:r>
                                <w:rPr>
                                  <w:rFonts w:hint="eastAsia"/>
                                  <w:bCs w:val="0"/>
                                  <w:w w:val="105"/>
                                  <w:kern w:val="0"/>
                                  <w:sz w:val="16"/>
                                  <w:szCs w:val="22"/>
                                </w:rPr>
                                <w:t>一 阶</w:t>
                              </w:r>
                              <w:r>
                                <w:rPr>
                                  <w:rFonts w:hint="eastAsia"/>
                                  <w:w w:val="105"/>
                                  <w:sz w:val="16"/>
                                </w:rPr>
                                <w:t xml:space="preserve"> 段</w:t>
                              </w:r>
                            </w:p>
                          </w:txbxContent>
                        </wps:txbx>
                        <wps:bodyPr lIns="0" tIns="0" rIns="0" bIns="0" upright="1"/>
                      </wps:wsp>
                      <wps:wsp>
                        <wps:cNvPr id="168" name="文本框 168"/>
                        <wps:cNvSpPr txBox="1"/>
                        <wps:spPr>
                          <a:xfrm>
                            <a:off x="449" y="6110"/>
                            <a:ext cx="195" cy="1133"/>
                          </a:xfrm>
                          <a:prstGeom prst="rect">
                            <a:avLst/>
                          </a:prstGeom>
                          <a:noFill/>
                          <a:ln>
                            <a:noFill/>
                          </a:ln>
                        </wps:spPr>
                        <wps:txbx>
                          <w:txbxContent>
                            <w:p>
                              <w:pPr>
                                <w:pStyle w:val="14"/>
                                <w:kinsoku w:val="0"/>
                                <w:overflowPunct w:val="0"/>
                                <w:autoSpaceDE w:val="0"/>
                                <w:autoSpaceDN w:val="0"/>
                                <w:adjustRightInd w:val="0"/>
                                <w:spacing w:line="248" w:lineRule="exact"/>
                                <w:ind w:left="60"/>
                                <w:jc w:val="left"/>
                                <w:rPr>
                                  <w:sz w:val="16"/>
                                </w:rPr>
                              </w:pPr>
                              <w:r>
                                <w:rPr>
                                  <w:rFonts w:hint="eastAsia"/>
                                  <w:w w:val="105"/>
                                  <w:sz w:val="16"/>
                                  <w:lang w:eastAsia="zh-CN"/>
                                </w:rPr>
                                <w:t>第</w:t>
                              </w:r>
                              <w:r>
                                <w:rPr>
                                  <w:rFonts w:hint="eastAsia"/>
                                  <w:w w:val="105"/>
                                  <w:sz w:val="16"/>
                                </w:rPr>
                                <w:t>二</w:t>
                              </w:r>
                            </w:p>
                            <w:p>
                              <w:pPr>
                                <w:pStyle w:val="14"/>
                                <w:kinsoku w:val="0"/>
                                <w:overflowPunct w:val="0"/>
                                <w:autoSpaceDE w:val="0"/>
                                <w:autoSpaceDN w:val="0"/>
                                <w:adjustRightInd w:val="0"/>
                                <w:spacing w:line="248" w:lineRule="exact"/>
                                <w:ind w:left="60"/>
                                <w:jc w:val="left"/>
                                <w:rPr>
                                  <w:sz w:val="16"/>
                                </w:rPr>
                              </w:pPr>
                              <w:r>
                                <w:rPr>
                                  <w:rFonts w:hint="eastAsia"/>
                                  <w:w w:val="105"/>
                                  <w:sz w:val="16"/>
                                </w:rPr>
                                <w:t>阶</w:t>
                              </w:r>
                              <w:r>
                                <w:rPr>
                                  <w:rFonts w:hint="eastAsia"/>
                                  <w:w w:val="105"/>
                                  <w:sz w:val="16"/>
                                  <w:lang w:eastAsia="zh-CN"/>
                                </w:rPr>
                                <w:t>段</w:t>
                              </w:r>
                              <w:r>
                                <w:rPr>
                                  <w:rFonts w:hint="eastAsia"/>
                                  <w:bCs w:val="0"/>
                                  <w:w w:val="105"/>
                                  <w:kern w:val="0"/>
                                  <w:sz w:val="16"/>
                                  <w:szCs w:val="22"/>
                                </w:rPr>
                                <w:t xml:space="preserve"> </w:t>
                              </w:r>
                            </w:p>
                          </w:txbxContent>
                        </wps:txbx>
                        <wps:bodyPr lIns="0" tIns="0" rIns="0" bIns="0" upright="1"/>
                      </wps:wsp>
                      <wps:wsp>
                        <wps:cNvPr id="169" name="文本框 169"/>
                        <wps:cNvSpPr txBox="1"/>
                        <wps:spPr>
                          <a:xfrm>
                            <a:off x="475" y="9422"/>
                            <a:ext cx="318" cy="1156"/>
                          </a:xfrm>
                          <a:prstGeom prst="rect">
                            <a:avLst/>
                          </a:prstGeom>
                          <a:noFill/>
                          <a:ln>
                            <a:noFill/>
                          </a:ln>
                        </wps:spPr>
                        <wps:txbx>
                          <w:txbxContent>
                            <w:p>
                              <w:pPr>
                                <w:pStyle w:val="14"/>
                                <w:kinsoku w:val="0"/>
                                <w:overflowPunct w:val="0"/>
                                <w:spacing w:line="163" w:lineRule="exact"/>
                                <w:rPr>
                                  <w:w w:val="105"/>
                                  <w:sz w:val="16"/>
                                </w:rPr>
                              </w:pPr>
                              <w:r>
                                <w:rPr>
                                  <w:rFonts w:hint="eastAsia"/>
                                  <w:w w:val="105"/>
                                  <w:sz w:val="16"/>
                                </w:rPr>
                                <w:t>第</w:t>
                              </w:r>
                            </w:p>
                            <w:p>
                              <w:pPr>
                                <w:pStyle w:val="14"/>
                                <w:kinsoku w:val="0"/>
                                <w:overflowPunct w:val="0"/>
                                <w:spacing w:line="163" w:lineRule="exact"/>
                                <w:rPr>
                                  <w:w w:val="105"/>
                                  <w:sz w:val="16"/>
                                </w:rPr>
                              </w:pPr>
                            </w:p>
                            <w:p>
                              <w:pPr>
                                <w:pStyle w:val="14"/>
                                <w:kinsoku w:val="0"/>
                                <w:overflowPunct w:val="0"/>
                                <w:spacing w:line="163" w:lineRule="exact"/>
                                <w:rPr>
                                  <w:w w:val="105"/>
                                  <w:sz w:val="16"/>
                                </w:rPr>
                              </w:pPr>
                              <w:r>
                                <w:rPr>
                                  <w:rFonts w:hint="eastAsia"/>
                                  <w:w w:val="105"/>
                                  <w:sz w:val="16"/>
                                </w:rPr>
                                <w:t>三</w:t>
                              </w:r>
                            </w:p>
                            <w:p>
                              <w:pPr>
                                <w:pStyle w:val="14"/>
                                <w:kinsoku w:val="0"/>
                                <w:overflowPunct w:val="0"/>
                                <w:spacing w:line="163" w:lineRule="exact"/>
                                <w:rPr>
                                  <w:w w:val="105"/>
                                  <w:sz w:val="16"/>
                                </w:rPr>
                              </w:pPr>
                            </w:p>
                            <w:p>
                              <w:pPr>
                                <w:pStyle w:val="14"/>
                                <w:kinsoku w:val="0"/>
                                <w:overflowPunct w:val="0"/>
                                <w:spacing w:line="163" w:lineRule="exact"/>
                                <w:rPr>
                                  <w:w w:val="105"/>
                                  <w:sz w:val="16"/>
                                </w:rPr>
                              </w:pPr>
                              <w:r>
                                <w:rPr>
                                  <w:rFonts w:hint="eastAsia"/>
                                  <w:w w:val="105"/>
                                  <w:sz w:val="16"/>
                                </w:rPr>
                                <w:t>阶</w:t>
                              </w:r>
                            </w:p>
                            <w:p>
                              <w:pPr>
                                <w:pStyle w:val="14"/>
                                <w:kinsoku w:val="0"/>
                                <w:overflowPunct w:val="0"/>
                                <w:spacing w:line="163" w:lineRule="exact"/>
                                <w:rPr>
                                  <w:w w:val="105"/>
                                  <w:sz w:val="16"/>
                                </w:rPr>
                              </w:pPr>
                            </w:p>
                            <w:p>
                              <w:pPr>
                                <w:pStyle w:val="14"/>
                                <w:kinsoku w:val="0"/>
                                <w:overflowPunct w:val="0"/>
                                <w:spacing w:line="163" w:lineRule="exact"/>
                                <w:rPr>
                                  <w:sz w:val="16"/>
                                </w:rPr>
                              </w:pPr>
                              <w:r>
                                <w:rPr>
                                  <w:rFonts w:hint="eastAsia"/>
                                  <w:w w:val="105"/>
                                  <w:sz w:val="16"/>
                                </w:rPr>
                                <w:t>段</w:t>
                              </w:r>
                            </w:p>
                          </w:txbxContent>
                        </wps:txbx>
                        <wps:bodyPr lIns="0" tIns="0" rIns="0" bIns="0" upright="1"/>
                      </wps:wsp>
                    </wpg:wgp>
                  </a:graphicData>
                </a:graphic>
              </wp:inline>
            </w:drawing>
          </mc:Choice>
          <mc:Fallback>
            <w:pict>
              <v:group id="_x0000_s1026" o:spid="_x0000_s1026" o:spt="203" style="height:535.1pt;width:451.9pt;" coordorigin="2,2" coordsize="9036,10700" o:gfxdata="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">
                <o:lock v:ext="edit" aspectratio="f"/>
                <v:shape id="_x0000_s1026" o:spid="_x0000_s1026" o:spt="100" style="position:absolute;left:29;top:8852;height:1850;width:9009;" fillcolor="#CECECE" filled="t" stroked="f" coordsize="9009,1850" o:gfxdata="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20t128AAAA&#10;2wAAAA8AAAAAAAAAAQAgAAAAIgAAAGRycy9kb3ducmV2LnhtbFBLAQIUABQAAAAIAIdO4kAzLwWe&#10;OwAAADkAAAAQAAAAAAAAAAEAIAAAAAsBAABkcnMvc2hhcGV4bWwueG1sUEsFBgAAAAAGAAYAWwEA&#10;ALUDAAAAAA==&#10;" path="m0,0l9008,0,9008,1849,0,1849,0,0xe">
                  <v:fill on="t" focussize="0,0"/>
                  <v:stroke on="f"/>
                  <v:imagedata o:title=""/>
                  <o:lock v:ext="edit" aspectratio="f"/>
                </v:shape>
                <v:rect id="_x0000_s1026" o:spid="_x0000_s1026" o:spt="1" style="position:absolute;left:2;top:8825;height:1840;width:9000;" filled="f" stroked="f" coordsize="21600,21600" o:gfxdata="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q4QZb4A&#10;AADb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widowControl/>
                          <w:spacing w:line="1840" w:lineRule="atLeast"/>
                        </w:pPr>
                        <w:r>
                          <w:drawing>
                            <wp:inline distT="0" distB="0" distL="114300" distR="114300">
                              <wp:extent cx="5749925" cy="1180465"/>
                              <wp:effectExtent l="0" t="0" r="3175" b="635"/>
                              <wp:docPr id="3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8"/>
                                      <pic:cNvPicPr>
                                        <a:picLocks noChangeAspect="1"/>
                                      </pic:cNvPicPr>
                                    </pic:nvPicPr>
                                    <pic:blipFill>
                                      <a:blip r:embed="rId22"/>
                                      <a:stretch>
                                        <a:fillRect/>
                                      </a:stretch>
                                    </pic:blipFill>
                                    <pic:spPr>
                                      <a:xfrm>
                                        <a:off x="0" y="0"/>
                                        <a:ext cx="5749925" cy="1180465"/>
                                      </a:xfrm>
                                      <a:prstGeom prst="rect">
                                        <a:avLst/>
                                      </a:prstGeom>
                                      <a:noFill/>
                                      <a:ln>
                                        <a:noFill/>
                                      </a:ln>
                                    </pic:spPr>
                                  </pic:pic>
                                </a:graphicData>
                              </a:graphic>
                            </wp:inline>
                          </w:drawing>
                        </w:r>
                      </w:p>
                      <w:p/>
                    </w:txbxContent>
                  </v:textbox>
                </v:rect>
                <v:shape id="_x0000_s1026" o:spid="_x0000_s1026" o:spt="100" style="position:absolute;left:2;top:8825;height:1850;width:9009;" filled="f" stroked="t" coordsize="9009,1850" o:gfxdata="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G/ngEvQAA&#10;ANsAAAAPAAAAAAAAAAEAIAAAACIAAABkcnMvZG93bnJldi54bWxQSwECFAAUAAAACACHTuJAMy8F&#10;njsAAAA5AAAAEAAAAAAAAAABACAAAAAMAQAAZHJzL3NoYXBleG1sLnhtbFBLBQYAAAAABgAGAFsB&#10;AAC2AwAAAAA=&#10;" path="m0,1849l9008,1849,9008,0,0,0,0,1849xe">
                  <v:fill on="f" focussize="0,0"/>
                  <v:stroke weight="0.232755905511811pt" color="#3E3E3E" joinstyle="round" dashstyle="dash"/>
                  <v:imagedata o:title=""/>
                  <o:lock v:ext="edit" aspectratio="f"/>
                </v:shape>
                <v:shape id="_x0000_s1026" o:spid="_x0000_s1026" o:spt="100" style="position:absolute;left:29;top:5153;height:3699;width:9009;" fillcolor="#CECECE" filled="t" stroked="f" coordsize="9009,3699" o:gfxdata="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gPYm74A&#10;AADbAAAADwAAAAAAAAABACAAAAAiAAAAZHJzL2Rvd25yZXYueG1sUEsBAhQAFAAAAAgAh07iQDMv&#10;BZ47AAAAOQAAABAAAAAAAAAAAQAgAAAADQEAAGRycy9zaGFwZXhtbC54bWxQSwUGAAAAAAYABgBb&#10;AQAAtwMAAAAA&#10;" path="m0,0l9008,0,9008,3698,0,3698,0,0xe">
                  <v:fill on="t" focussize="0,0"/>
                  <v:stroke on="f"/>
                  <v:imagedata o:title=""/>
                  <o:lock v:ext="edit" aspectratio="f"/>
                </v:shape>
                <v:shape id="_x0000_s1026" o:spid="_x0000_s1026" o:spt="100" style="position:absolute;left:29;top:5153;height:2887;width:6087;" filled="f" stroked="t" coordsize="6087,2887" o:gfxdata="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t9KDbvQAA&#10;ANsAAAAPAAAAAAAAAAEAIAAAACIAAABkcnMvZG93bnJldi54bWxQSwECFAAUAAAACACHTuJAMy8F&#10;njsAAAA5AAAAEAAAAAAAAAABACAAAAAMAQAAZHJzL3NoYXBleG1sLnhtbFBLBQYAAAAABgAGAFsB&#10;AAC2AwAAAAA=&#10;" path="m6086,0l0,0,0,2886e">
                  <v:fill on="f" focussize="0,0"/>
                  <v:stroke weight="0.232834645669291pt" color="#CECECE" joinstyle="round" dashstyle="dash"/>
                  <v:imagedata o:title=""/>
                  <o:lock v:ext="edit" aspectratio="f"/>
                </v:shape>
                <v:rect id="_x0000_s1026" o:spid="_x0000_s1026" o:spt="1" style="position:absolute;left:2;top:5127;height:3700;width:9000;" filled="f" stroked="f" coordsize="21600,21600" o:gfxdata="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ZUWZr4A&#10;AADb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widowControl/>
                          <w:spacing w:line="3700" w:lineRule="atLeast"/>
                        </w:pPr>
                        <w:r>
                          <w:drawing>
                            <wp:inline distT="0" distB="0" distL="114300" distR="114300">
                              <wp:extent cx="5749925" cy="2361565"/>
                              <wp:effectExtent l="0" t="0" r="3175" b="635"/>
                              <wp:docPr id="3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9"/>
                                      <pic:cNvPicPr>
                                        <a:picLocks noChangeAspect="1"/>
                                      </pic:cNvPicPr>
                                    </pic:nvPicPr>
                                    <pic:blipFill>
                                      <a:blip r:embed="rId23"/>
                                      <a:stretch>
                                        <a:fillRect/>
                                      </a:stretch>
                                    </pic:blipFill>
                                    <pic:spPr>
                                      <a:xfrm>
                                        <a:off x="0" y="0"/>
                                        <a:ext cx="5749925" cy="2361565"/>
                                      </a:xfrm>
                                      <a:prstGeom prst="rect">
                                        <a:avLst/>
                                      </a:prstGeom>
                                      <a:noFill/>
                                      <a:ln>
                                        <a:noFill/>
                                      </a:ln>
                                    </pic:spPr>
                                  </pic:pic>
                                </a:graphicData>
                              </a:graphic>
                            </wp:inline>
                          </w:drawing>
                        </w:r>
                      </w:p>
                      <w:p/>
                    </w:txbxContent>
                  </v:textbox>
                </v:rect>
                <v:shape id="_x0000_s1026" o:spid="_x0000_s1026" o:spt="100" style="position:absolute;left:2;top:5127;height:3699;width:9009;" filled="f" stroked="t" coordsize="9009,3699" o:gfxdata="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L4ZXnugAAANsA&#10;AAAPAAAAAAAAAAEAIAAAACIAAABkcnMvZG93bnJldi54bWxQSwECFAAUAAAACACHTuJAMy8FnjsA&#10;AAA5AAAAEAAAAAAAAAABACAAAAAJAQAAZHJzL3NoYXBleG1sLnhtbFBLBQYAAAAABgAGAFsBAACz&#10;AwAAAAA=&#10;" path="m0,3698l9008,3698,9008,0,0,0,0,3698xe">
                  <v:fill on="f" focussize="0,0"/>
                  <v:stroke weight="0.232834645669291pt" color="#3E3E3E" joinstyle="round" dashstyle="dash"/>
                  <v:imagedata o:title=""/>
                  <o:lock v:ext="edit" aspectratio="f"/>
                </v:shape>
                <v:shape id="_x0000_s1026" o:spid="_x0000_s1026" o:spt="100" style="position:absolute;left:29;top:29;height:5125;width:9009;" fillcolor="#CECECE" filled="t" stroked="f" coordsize="9009,5125" o:gfxdata="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To+Q+vQAA&#10;ANsAAAAPAAAAAAAAAAEAIAAAACIAAABkcnMvZG93bnJldi54bWxQSwECFAAUAAAACACHTuJAMy8F&#10;njsAAAA5AAAAEAAAAAAAAAABACAAAAAMAQAAZHJzL3NoYXBleG1sLnhtbFBLBQYAAAAABgAGAFsB&#10;AAC2AwAAAAA=&#10;" path="m0,0l9008,0,9008,5124,0,5124,0,0xe">
                  <v:fill on="t" focussize="0,0"/>
                  <v:stroke on="f"/>
                  <v:imagedata o:title=""/>
                  <o:lock v:ext="edit" aspectratio="f"/>
                </v:shape>
                <v:rect id="_x0000_s1026" o:spid="_x0000_s1026" o:spt="1" style="position:absolute;left:2;top:3;height:5120;width:9000;" filled="f" stroked="f" coordsize="21600,21600" o:gfxdata="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7pRjPugAAANsA&#10;AAAPAAAAAAAAAAEAIAAAACIAAABkcnMvZG93bnJldi54bWxQSwECFAAUAAAACACHTuJAMy8FnjsA&#10;AAA5AAAAEAAAAAAAAAABACAAAAAJAQAAZHJzL3NoYXBleG1sLnhtbFBLBQYAAAAABgAGAFsBAACz&#10;AwAAAAA=&#10;">
                  <v:fill on="f" focussize="0,0"/>
                  <v:stroke on="f"/>
                  <v:imagedata o:title=""/>
                  <o:lock v:ext="edit" aspectratio="f"/>
                  <v:textbox inset="0mm,0mm,0mm,0mm">
                    <w:txbxContent>
                      <w:p>
                        <w:pPr>
                          <w:widowControl/>
                          <w:spacing w:line="5120" w:lineRule="atLeast"/>
                        </w:pPr>
                        <w:r>
                          <w:drawing>
                            <wp:inline distT="0" distB="0" distL="114300" distR="114300">
                              <wp:extent cx="5749925" cy="3267710"/>
                              <wp:effectExtent l="0" t="0" r="3175" b="8890"/>
                              <wp:docPr id="3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0"/>
                                      <pic:cNvPicPr>
                                        <a:picLocks noChangeAspect="1"/>
                                      </pic:cNvPicPr>
                                    </pic:nvPicPr>
                                    <pic:blipFill>
                                      <a:blip r:embed="rId24"/>
                                      <a:stretch>
                                        <a:fillRect/>
                                      </a:stretch>
                                    </pic:blipFill>
                                    <pic:spPr>
                                      <a:xfrm>
                                        <a:off x="0" y="0"/>
                                        <a:ext cx="5749925" cy="3267710"/>
                                      </a:xfrm>
                                      <a:prstGeom prst="rect">
                                        <a:avLst/>
                                      </a:prstGeom>
                                      <a:noFill/>
                                      <a:ln>
                                        <a:noFill/>
                                      </a:ln>
                                    </pic:spPr>
                                  </pic:pic>
                                </a:graphicData>
                              </a:graphic>
                            </wp:inline>
                          </w:drawing>
                        </w:r>
                      </w:p>
                      <w:p/>
                    </w:txbxContent>
                  </v:textbox>
                </v:rect>
                <v:shape id="_x0000_s1026" o:spid="_x0000_s1026" o:spt="100" style="position:absolute;left:2;top:2;height:5125;width:9009;" filled="f" stroked="t" coordsize="9009,5125" o:gfxdata="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fX/Xu8AAAA&#10;2wAAAA8AAAAAAAAAAQAgAAAAIgAAAGRycy9kb3ducmV2LnhtbFBLAQIUABQAAAAIAIdO4kAzLwWe&#10;OwAAADkAAAAQAAAAAAAAAAEAIAAAAAsBAABkcnMvc2hhcGV4bWwueG1sUEsFBgAAAAAGAAYAWwEA&#10;ALUDAAAAAA==&#10;" path="m0,5124l9008,5124,9008,0,0,0,0,5124xe">
                  <v:fill on="f" focussize="0,0"/>
                  <v:stroke weight="0.232834645669291pt" color="#3E3E3E" joinstyle="round" dashstyle="dash"/>
                  <v:imagedata o:title=""/>
                  <o:lock v:ext="edit" aspectratio="f"/>
                </v:shape>
                <v:shape id="_x0000_s1026" o:spid="_x0000_s1026" o:spt="100" style="position:absolute;left:3473;top:134;height:793;width:2650;" fillcolor="#CECECE" filled="t" stroked="f" coordsize="2650,793" o:gfxdata="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ekUwntwAAANsAAAAP&#10;AAAAAAAAAAEAIAAAACIAAABkcnMvZG93bnJldi54bWxQSwECFAAUAAAACACHTuJAMy8FnjsAAAA5&#10;AAAAEAAAAAAAAAABACAAAAAGAQAAZHJzL3NoYXBleG1sLnhtbFBLBQYAAAAABgAGAFsBAACwAwAA&#10;AAA=&#10;" path="m0,0l2649,0,2649,792,0,792,0,0xe">
                  <v:fill on="t" focussize="0,0"/>
                  <v:stroke on="f"/>
                  <v:imagedata o:title=""/>
                  <o:lock v:ext="edit" aspectratio="f"/>
                </v:shape>
                <v:shape id="_x0000_s1026" o:spid="_x0000_s1026" o:spt="100" style="position:absolute;left:3473;top:927;height:20;width:2643;" filled="f" stroked="t" coordsize="2643,20" o:gfxdata="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TM30GvQAA&#10;ANsAAAAPAAAAAAAAAAEAIAAAACIAAABkcnMvZG93bnJldi54bWxQSwECFAAUAAAACACHTuJAMy8F&#10;njsAAAA5AAAAEAAAAAAAAAABACAAAAAMAQAAZHJzL3NoYXBleG1sLnhtbFBLBQYAAAAABgAGAFsB&#10;AAC2AwAAAAA=&#10;" path="m0,0l2642,0e">
                  <v:fill on="f" focussize="0,0"/>
                  <v:stroke weight="0.232677165354331pt" color="#CECECE" joinstyle="round"/>
                  <v:imagedata o:title=""/>
                  <o:lock v:ext="edit" aspectratio="f"/>
                </v:shape>
                <v:shape id="_x0000_s1026" o:spid="_x0000_s1026" o:spt="100" style="position:absolute;left:3473;top:484;height:444;width:20;" filled="f" stroked="t" coordsize="20,444" o:gfxdata="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j4NfdugAAANsA&#10;AAAPAAAAAAAAAAEAIAAAACIAAABkcnMvZG93bnJldi54bWxQSwECFAAUAAAACACHTuJAMy8FnjsA&#10;AAA5AAAAEAAAAAAAAAABACAAAAAJAQAAZHJzL3NoYXBleG1sLnhtbFBLBQYAAAAABgAGAFsBAACz&#10;AwAAAAA=&#10;" path="m0,0l0,443e">
                  <v:fill on="f" focussize="0,0"/>
                  <v:stroke weight="0.233385826771654pt" color="#CECECE" joinstyle="round"/>
                  <v:imagedata o:title=""/>
                  <o:lock v:ext="edit" aspectratio="f"/>
                </v:shape>
                <v:rect id="_x0000_s1026" o:spid="_x0000_s1026" o:spt="1" style="position:absolute;left:3447;top:108;height:800;width:2640;" filled="f" stroked="f" coordsize="21600,21600" o:gfxdata="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qfsVK/&#10;AAAA2w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widowControl/>
                          <w:spacing w:line="800" w:lineRule="atLeast"/>
                        </w:pPr>
                        <w:r>
                          <w:drawing>
                            <wp:inline distT="0" distB="0" distL="114300" distR="114300">
                              <wp:extent cx="1691005" cy="504190"/>
                              <wp:effectExtent l="0" t="0" r="4445" b="10160"/>
                              <wp:docPr id="3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1"/>
                                      <pic:cNvPicPr>
                                        <a:picLocks noChangeAspect="1"/>
                                      </pic:cNvPicPr>
                                    </pic:nvPicPr>
                                    <pic:blipFill>
                                      <a:blip r:embed="rId25"/>
                                      <a:stretch>
                                        <a:fillRect/>
                                      </a:stretch>
                                    </pic:blipFill>
                                    <pic:spPr>
                                      <a:xfrm>
                                        <a:off x="0" y="0"/>
                                        <a:ext cx="1691005" cy="504190"/>
                                      </a:xfrm>
                                      <a:prstGeom prst="rect">
                                        <a:avLst/>
                                      </a:prstGeom>
                                      <a:noFill/>
                                      <a:ln>
                                        <a:noFill/>
                                      </a:ln>
                                    </pic:spPr>
                                  </pic:pic>
                                </a:graphicData>
                              </a:graphic>
                            </wp:inline>
                          </w:drawing>
                        </w:r>
                      </w:p>
                      <w:p/>
                    </w:txbxContent>
                  </v:textbox>
                </v:rect>
                <v:shape id="_x0000_s1026" o:spid="_x0000_s1026" o:spt="100" style="position:absolute;left:3446;top:107;height:793;width:2650;" filled="f" stroked="t" coordsize="2650,793" o:gfxdata="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vH+QLUAAADbAAAADwAA&#10;AAAAAAABACAAAAAiAAAAZHJzL2Rvd25yZXYueG1sUEsBAhQAFAAAAAgAh07iQDMvBZ47AAAAOQAA&#10;ABAAAAAAAAAAAQAgAAAABAEAAGRycy9zaGFwZXhtbC54bWxQSwUGAAAAAAYABgBbAQAArgMAAAAA&#10;" path="m0,792l2649,792,2649,0,0,0,0,792xe">
                  <v:fill on="f" focussize="0,0"/>
                  <v:stroke weight="0.232755905511811pt" color="#3E3E3E" joinstyle="round"/>
                  <v:imagedata o:title=""/>
                  <o:lock v:ext="edit" aspectratio="f"/>
                </v:shape>
                <v:shape id="_x0000_s1026" o:spid="_x0000_s1026" o:spt="100" style="position:absolute;left:1883;top:1323;height:793;width:5829;" fillcolor="#CECECE" filled="t" stroked="f" coordsize="5829,793" o:gfxdata="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EVbkvQAA&#10;ANsAAAAPAAAAAAAAAAEAIAAAACIAAABkcnMvZG93bnJldi54bWxQSwECFAAUAAAACACHTuJAMy8F&#10;njsAAAA5AAAAEAAAAAAAAAABACAAAAAMAQAAZHJzL3NoYXBleG1sLnhtbFBLBQYAAAAABgAGAFsB&#10;AAC2AwAAAAA=&#10;" path="m0,0l5828,0,5828,792,0,792,0,0xe">
                  <v:fill on="t" focussize="0,0"/>
                  <v:stroke on="f"/>
                  <v:imagedata o:title=""/>
                  <o:lock v:ext="edit" aspectratio="f"/>
                </v:shape>
                <v:shape id="_x0000_s1026" o:spid="_x0000_s1026" o:spt="100" style="position:absolute;left:1883;top:2116;height:20;width:4232;" filled="f" stroked="t" coordsize="4232,20" o:gfxdata="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VLZtr4A&#10;AADbAAAADwAAAAAAAAABACAAAAAiAAAAZHJzL2Rvd25yZXYueG1sUEsBAhQAFAAAAAgAh07iQDMv&#10;BZ47AAAAOQAAABAAAAAAAAAAAQAgAAAADQEAAGRycy9zaGFwZXhtbC54bWxQSwUGAAAAAAYABgBb&#10;AQAAtwMAAAAA&#10;" path="m0,0l4231,0e">
                  <v:fill on="f" focussize="0,0"/>
                  <v:stroke weight="0.232677165354331pt" color="#CECECE" joinstyle="round"/>
                  <v:imagedata o:title=""/>
                  <o:lock v:ext="edit" aspectratio="f"/>
                </v:shape>
                <v:shape id="_x0000_s1026" o:spid="_x0000_s1026" o:spt="100" style="position:absolute;left:1883;top:1323;height:793;width:4232;" filled="f" stroked="t" coordsize="4232,793" o:gfxdata="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OHadW/&#10;AAAA2wAAAA8AAAAAAAAAAQAgAAAAIgAAAGRycy9kb3ducmV2LnhtbFBLAQIUABQAAAAIAIdO4kAz&#10;LwWeOwAAADkAAAAQAAAAAAAAAAEAIAAAAA4BAABkcnMvc2hhcGV4bWwueG1sUEsFBgAAAAAGAAYA&#10;WwEAALgDAAAAAA==&#10;" path="m4231,0l0,0,0,792e">
                  <v:fill on="f" focussize="0,0"/>
                  <v:stroke weight="0.232755905511811pt" color="#CECECE" joinstyle="round"/>
                  <v:imagedata o:title=""/>
                  <o:lock v:ext="edit" aspectratio="f"/>
                </v:shape>
                <v:rect id="_x0000_s1026" o:spid="_x0000_s1026" o:spt="1" style="position:absolute;left:1857;top:1297;height:800;width:5820;" filled="f" stroked="f" coordsize="21600,21600" o:gfxdata="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BKBr4A&#10;AADb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widowControl/>
                          <w:spacing w:line="800" w:lineRule="atLeast"/>
                        </w:pPr>
                        <w:r>
                          <w:drawing>
                            <wp:inline distT="0" distB="0" distL="114300" distR="114300">
                              <wp:extent cx="3720465" cy="504190"/>
                              <wp:effectExtent l="0" t="0" r="13335" b="10160"/>
                              <wp:docPr id="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2"/>
                                      <pic:cNvPicPr>
                                        <a:picLocks noChangeAspect="1"/>
                                      </pic:cNvPicPr>
                                    </pic:nvPicPr>
                                    <pic:blipFill>
                                      <a:blip r:embed="rId26"/>
                                      <a:stretch>
                                        <a:fillRect/>
                                      </a:stretch>
                                    </pic:blipFill>
                                    <pic:spPr>
                                      <a:xfrm>
                                        <a:off x="0" y="0"/>
                                        <a:ext cx="3720465" cy="504190"/>
                                      </a:xfrm>
                                      <a:prstGeom prst="rect">
                                        <a:avLst/>
                                      </a:prstGeom>
                                      <a:noFill/>
                                      <a:ln>
                                        <a:noFill/>
                                      </a:ln>
                                    </pic:spPr>
                                  </pic:pic>
                                </a:graphicData>
                              </a:graphic>
                            </wp:inline>
                          </w:drawing>
                        </w:r>
                      </w:p>
                      <w:p/>
                    </w:txbxContent>
                  </v:textbox>
                </v:rect>
                <v:shape id="_x0000_s1026" o:spid="_x0000_s1026" o:spt="100" style="position:absolute;left:1857;top:1296;height:793;width:5829;" filled="f" stroked="t" coordsize="5829,793" o:gfxdata="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21ELC5AAAA2wAA&#10;AA8AAAAAAAAAAQAgAAAAIgAAAGRycy9kb3ducmV2LnhtbFBLAQIUABQAAAAIAIdO4kAzLwWeOwAA&#10;ADkAAAAQAAAAAAAAAAEAIAAAAAgBAABkcnMvc2hhcGV4bWwueG1sUEsFBgAAAAAGAAYAWwEAALID&#10;AAAAAA==&#10;" path="m0,792l5828,792,5828,0,0,0,0,792xe">
                  <v:fill on="f" focussize="0,0"/>
                  <v:stroke weight="0.232677165354331pt" color="#3E3E3E" joinstyle="round"/>
                  <v:imagedata o:title=""/>
                  <o:lock v:ext="edit" aspectratio="f"/>
                </v:shape>
                <v:shape id="_x0000_s1026" o:spid="_x0000_s1026" o:spt="100" style="position:absolute;left:2678;top:2512;height:951;width:4240;" fillcolor="#CECECE" filled="t" stroked="f" coordsize="4240,951" o:gfxdata="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VKgjrsAAADb&#10;AAAADwAAAAAAAAABACAAAAAiAAAAZHJzL2Rvd25yZXYueG1sUEsBAhQAFAAAAAgAh07iQDMvBZ47&#10;AAAAOQAAABAAAAAAAAAAAQAgAAAACgEAAGRycy9zaGFwZXhtbC54bWxQSwUGAAAAAAYABgBbAQAA&#10;tAMAAAAA&#10;" path="m0,0l4239,0,4239,950,0,950,0,0xe">
                  <v:fill on="t" focussize="0,0"/>
                  <v:stroke on="f"/>
                  <v:imagedata o:title=""/>
                  <o:lock v:ext="edit" aspectratio="f"/>
                </v:shape>
                <v:shape id="_x0000_s1026" o:spid="_x0000_s1026" o:spt="100" style="position:absolute;left:2678;top:3463;height:20;width:3437;" filled="f" stroked="t" coordsize="3437,20" o:gfxdata="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9jpyUvQAA&#10;ANsAAAAPAAAAAAAAAAEAIAAAACIAAABkcnMvZG93bnJldi54bWxQSwECFAAUAAAACACHTuJAMy8F&#10;njsAAAA5AAAAEAAAAAAAAAABACAAAAAMAQAAZHJzL3NoYXBleG1sLnhtbFBLBQYAAAAABgAGAFsB&#10;AAC2AwAAAAA=&#10;" path="m0,0l3436,0e">
                  <v:fill on="f" focussize="0,0"/>
                  <v:stroke weight="0.232677165354331pt" color="#CECECE" joinstyle="round"/>
                  <v:imagedata o:title=""/>
                  <o:lock v:ext="edit" aspectratio="f"/>
                </v:shape>
                <v:shape id="_x0000_s1026" o:spid="_x0000_s1026" o:spt="100" style="position:absolute;left:2678;top:2512;height:951;width:3437;" filled="f" stroked="t" coordsize="3437,951" o:gfxdata="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i+6jS8AAAA&#10;2wAAAA8AAAAAAAAAAQAgAAAAIgAAAGRycy9kb3ducmV2LnhtbFBLAQIUABQAAAAIAIdO4kAzLwWe&#10;OwAAADkAAAAQAAAAAAAAAAEAIAAAAAsBAABkcnMvc2hhcGV4bWwueG1sUEsFBgAAAAAGAAYAWwEA&#10;ALUDAAAAAA==&#10;" path="m3436,0l0,0,0,950e">
                  <v:fill on="f" focussize="0,0"/>
                  <v:stroke weight="0.232755905511811pt" color="#CECECE" joinstyle="round"/>
                  <v:imagedata o:title=""/>
                  <o:lock v:ext="edit" aspectratio="f"/>
                </v:shape>
                <v:rect id="_x0000_s1026" o:spid="_x0000_s1026" o:spt="1" style="position:absolute;left:2651;top:2486;height:960;width:4240;" filled="f" stroked="f" coordsize="21600,21600" o:gfxdata="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MLa2L4A&#10;AADb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widowControl/>
                          <w:spacing w:line="960" w:lineRule="atLeast"/>
                        </w:pPr>
                        <w:r>
                          <w:drawing>
                            <wp:inline distT="0" distB="0" distL="114300" distR="114300">
                              <wp:extent cx="2705735" cy="606425"/>
                              <wp:effectExtent l="0" t="0" r="18415" b="3175"/>
                              <wp:docPr id="1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3"/>
                                      <pic:cNvPicPr>
                                        <a:picLocks noChangeAspect="1"/>
                                      </pic:cNvPicPr>
                                    </pic:nvPicPr>
                                    <pic:blipFill>
                                      <a:blip r:embed="rId27"/>
                                      <a:stretch>
                                        <a:fillRect/>
                                      </a:stretch>
                                    </pic:blipFill>
                                    <pic:spPr>
                                      <a:xfrm>
                                        <a:off x="0" y="0"/>
                                        <a:ext cx="2705735" cy="606425"/>
                                      </a:xfrm>
                                      <a:prstGeom prst="rect">
                                        <a:avLst/>
                                      </a:prstGeom>
                                      <a:noFill/>
                                      <a:ln>
                                        <a:noFill/>
                                      </a:ln>
                                    </pic:spPr>
                                  </pic:pic>
                                </a:graphicData>
                              </a:graphic>
                            </wp:inline>
                          </w:drawing>
                        </w:r>
                      </w:p>
                      <w:p/>
                    </w:txbxContent>
                  </v:textbox>
                </v:rect>
                <v:shape id="_x0000_s1026" o:spid="_x0000_s1026" o:spt="100" style="position:absolute;left:2651;top:2485;height:951;width:4240;" filled="f" stroked="t" coordsize="4240,951" o:gfxdata="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w/rkdugAAANsA&#10;AAAPAAAAAAAAAAEAIAAAACIAAABkcnMvZG93bnJldi54bWxQSwECFAAUAAAACACHTuJAMy8FnjsA&#10;AAA5AAAAEAAAAAAAAAABACAAAAAJAQAAZHJzL3NoYXBleG1sLnhtbFBLBQYAAAAABgAGAFsBAACz&#10;AwAAAAA=&#10;" path="m0,950l4239,950,4239,0,0,0,0,950xe">
                  <v:fill on="f" focussize="0,0"/>
                  <v:stroke weight="0.232755905511811pt" color="#3E3E3E" joinstyle="round"/>
                  <v:imagedata o:title=""/>
                  <o:lock v:ext="edit" aspectratio="f"/>
                </v:shape>
                <v:shape id="_x0000_s1026" o:spid="_x0000_s1026" o:spt="100" style="position:absolute;left:3076;top:3859;height:951;width:3445;" fillcolor="#CECECE" filled="t" stroked="f" coordsize="3445,951" o:gfxdata="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2ho6b4A&#10;AADbAAAADwAAAAAAAAABACAAAAAiAAAAZHJzL2Rvd25yZXYueG1sUEsBAhQAFAAAAAgAh07iQDMv&#10;BZ47AAAAOQAAABAAAAAAAAAAAQAgAAAADQEAAGRycy9zaGFwZXhtbC54bWxQSwUGAAAAAAYABgBb&#10;AQAAtwMAAAAA&#10;" path="m0,0l3444,0,3444,950,0,950,0,0xe">
                  <v:fill on="t" focussize="0,0"/>
                  <v:stroke on="f"/>
                  <v:imagedata o:title=""/>
                  <o:lock v:ext="edit" aspectratio="f"/>
                </v:shape>
                <v:shape id="_x0000_s1026" o:spid="_x0000_s1026" o:spt="100" style="position:absolute;left:3076;top:4810;height:20;width:3040;" filled="f" stroked="t" coordsize="3040,20" o:gfxdata="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oA8bG8AAAA&#10;2wAAAA8AAAAAAAAAAQAgAAAAIgAAAGRycy9kb3ducmV2LnhtbFBLAQIUABQAAAAIAIdO4kAzLwWe&#10;OwAAADkAAAAQAAAAAAAAAAEAIAAAAAsBAABkcnMvc2hhcGV4bWwueG1sUEsFBgAAAAAGAAYAWwEA&#10;ALUDAAAAAA==&#10;" path="m0,0l3039,0e">
                  <v:fill on="f" focussize="0,0"/>
                  <v:stroke weight="0.232677165354331pt" color="#CECECE" joinstyle="round"/>
                  <v:imagedata o:title=""/>
                  <o:lock v:ext="edit" aspectratio="f"/>
                </v:shape>
                <v:shape id="_x0000_s1026" o:spid="_x0000_s1026" o:spt="100" style="position:absolute;left:3076;top:3859;height:951;width:3040;" filled="f" stroked="t" coordsize="3040,951" o:gfxdata="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GePDZvQAA&#10;ANsAAAAPAAAAAAAAAAEAIAAAACIAAABkcnMvZG93bnJldi54bWxQSwECFAAUAAAACACHTuJAMy8F&#10;njsAAAA5AAAAEAAAAAAAAAABACAAAAAMAQAAZHJzL3NoYXBleG1sLnhtbFBLBQYAAAAABgAGAFsB&#10;AAC2AwAAAAA=&#10;" path="m3039,0l0,0,0,950e">
                  <v:fill on="f" focussize="0,0"/>
                  <v:stroke weight="0.232755905511811pt" color="#CECECE" joinstyle="round"/>
                  <v:imagedata o:title=""/>
                  <o:lock v:ext="edit" aspectratio="f"/>
                </v:shape>
                <v:rect id="_x0000_s1026" o:spid="_x0000_s1026" o:spt="1" style="position:absolute;left:3049;top:3832;height:960;width:3440;" filled="f" stroked="f" coordsize="21600,21600" o:gfxdata="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OZkipugAAANsA&#10;AAAPAAAAAAAAAAEAIAAAACIAAABkcnMvZG93bnJldi54bWxQSwECFAAUAAAACACHTuJAMy8FnjsA&#10;AAA5AAAAEAAAAAAAAAABACAAAAAJAQAAZHJzL3NoYXBleG1sLnhtbFBLBQYAAAAABgAGAFsBAACz&#10;AwAAAAA=&#10;">
                  <v:fill on="f" focussize="0,0"/>
                  <v:stroke on="f"/>
                  <v:imagedata o:title=""/>
                  <o:lock v:ext="edit" aspectratio="f"/>
                  <v:textbox inset="0mm,0mm,0mm,0mm">
                    <w:txbxContent>
                      <w:p>
                        <w:pPr>
                          <w:widowControl/>
                          <w:spacing w:line="960" w:lineRule="atLeast"/>
                        </w:pPr>
                        <w:r>
                          <w:drawing>
                            <wp:inline distT="0" distB="0" distL="114300" distR="114300">
                              <wp:extent cx="2195195" cy="606425"/>
                              <wp:effectExtent l="0" t="0" r="14605" b="3175"/>
                              <wp:docPr id="1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4"/>
                                      <pic:cNvPicPr>
                                        <a:picLocks noChangeAspect="1"/>
                                      </pic:cNvPicPr>
                                    </pic:nvPicPr>
                                    <pic:blipFill>
                                      <a:blip r:embed="rId28"/>
                                      <a:stretch>
                                        <a:fillRect/>
                                      </a:stretch>
                                    </pic:blipFill>
                                    <pic:spPr>
                                      <a:xfrm>
                                        <a:off x="0" y="0"/>
                                        <a:ext cx="2195195" cy="606425"/>
                                      </a:xfrm>
                                      <a:prstGeom prst="rect">
                                        <a:avLst/>
                                      </a:prstGeom>
                                      <a:noFill/>
                                      <a:ln>
                                        <a:noFill/>
                                      </a:ln>
                                    </pic:spPr>
                                  </pic:pic>
                                </a:graphicData>
                              </a:graphic>
                            </wp:inline>
                          </w:drawing>
                        </w:r>
                      </w:p>
                      <w:p/>
                    </w:txbxContent>
                  </v:textbox>
                </v:rect>
                <v:shape id="_x0000_s1026" o:spid="_x0000_s1026" o:spt="100" style="position:absolute;left:3049;top:3832;height:951;width:3445;" filled="f" stroked="t" coordsize="3445,951" o:gfxdata="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8RKzRrgAAADbAAAA&#10;DwAAAAAAAAABACAAAAAiAAAAZHJzL2Rvd25yZXYueG1sUEsBAhQAFAAAAAgAh07iQDMvBZ47AAAA&#10;OQAAABAAAAAAAAAAAQAgAAAABwEAAGRycy9zaGFwZXhtbC54bWxQSwUGAAAAAAYABgBbAQAAsQMA&#10;AAAA&#10;" path="m0,950l3444,950,3444,0,0,0,0,950xe">
                  <v:fill on="f" focussize="0,0"/>
                  <v:stroke weight="0.232755905511811pt" color="#3E3E3E" joinstyle="round"/>
                  <v:imagedata o:title=""/>
                  <o:lock v:ext="edit" aspectratio="f"/>
                </v:shape>
                <v:shape id="_x0000_s1026" o:spid="_x0000_s1026" o:spt="100" style="position:absolute;left:3818;top:6210;height:951;width:1961;" fillcolor="#CECECE" filled="t" stroked="f" coordsize="1961,951" o:gfxdata="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FQdVKtwAAANsAAAAP&#10;AAAAAAAAAAEAIAAAACIAAABkcnMvZG93bnJldi54bWxQSwECFAAUAAAACACHTuJAMy8FnjsAAAA5&#10;AAAAEAAAAAAAAAABACAAAAAGAQAAZHJzL3NoYXBleG1sLnhtbFBLBQYAAAAABgAGAFsBAACwAwAA&#10;AAA=&#10;" path="m0,0l1960,0,1960,950,0,950,0,0xe">
                  <v:fill on="t" focussize="0,0"/>
                  <v:stroke on="f"/>
                  <v:imagedata o:title=""/>
                  <o:lock v:ext="edit" aspectratio="f"/>
                </v:shape>
                <v:shape id="_x0000_s1026" o:spid="_x0000_s1026" o:spt="100" style="position:absolute;left:3818;top:6210;height:951;width:1961;" filled="f" stroked="t" coordsize="1961,951" o:gfxdata="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wVdC+8AAAA&#10;2wAAAA8AAAAAAAAAAQAgAAAAIgAAAGRycy9kb3ducmV2LnhtbFBLAQIUABQAAAAIAIdO4kAzLwWe&#10;OwAAADkAAAAQAAAAAAAAAAEAIAAAAAsBAABkcnMvc2hhcGV4bWwueG1sUEsFBgAAAAAGAAYAWwEA&#10;ALUDAAAAAA==&#10;" path="m0,950l1960,950,1960,0,0,0,0,950xe">
                  <v:fill on="f" focussize="0,0"/>
                  <v:stroke weight="0.232834645669291pt" color="#CECECE" joinstyle="round"/>
                  <v:imagedata o:title=""/>
                  <o:lock v:ext="edit" aspectratio="f"/>
                </v:shape>
                <v:rect id="_x0000_s1026" o:spid="_x0000_s1026" o:spt="1" style="position:absolute;left:3791;top:6184;height:960;width:1960;" filled="f" stroked="f" coordsize="21600,21600" o:gfxdata="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aWw9kvQAA&#10;ANs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widowControl/>
                          <w:spacing w:line="960" w:lineRule="atLeast"/>
                        </w:pPr>
                        <w:r>
                          <w:drawing>
                            <wp:inline distT="0" distB="0" distL="114300" distR="114300">
                              <wp:extent cx="1250950" cy="606425"/>
                              <wp:effectExtent l="0" t="0" r="6350" b="3175"/>
                              <wp:docPr id="3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5"/>
                                      <pic:cNvPicPr>
                                        <a:picLocks noChangeAspect="1"/>
                                      </pic:cNvPicPr>
                                    </pic:nvPicPr>
                                    <pic:blipFill>
                                      <a:blip r:embed="rId29"/>
                                      <a:stretch>
                                        <a:fillRect/>
                                      </a:stretch>
                                    </pic:blipFill>
                                    <pic:spPr>
                                      <a:xfrm>
                                        <a:off x="0" y="0"/>
                                        <a:ext cx="1250950" cy="606425"/>
                                      </a:xfrm>
                                      <a:prstGeom prst="rect">
                                        <a:avLst/>
                                      </a:prstGeom>
                                      <a:noFill/>
                                      <a:ln>
                                        <a:noFill/>
                                      </a:ln>
                                    </pic:spPr>
                                  </pic:pic>
                                </a:graphicData>
                              </a:graphic>
                            </wp:inline>
                          </w:drawing>
                        </w:r>
                      </w:p>
                      <w:p/>
                    </w:txbxContent>
                  </v:textbox>
                </v:rect>
                <v:shape id="_x0000_s1026" o:spid="_x0000_s1026" o:spt="100" style="position:absolute;left:3791;top:6183;height:951;width:1961;" filled="f" stroked="t" coordsize="1961,951" o:gfxdata="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w2kuO8AAAA&#10;2wAAAA8AAAAAAAAAAQAgAAAAIgAAAGRycy9kb3ducmV2LnhtbFBLAQIUABQAAAAIAIdO4kAzLwWe&#10;OwAAADkAAAAQAAAAAAAAAAEAIAAAAAsBAABkcnMvc2hhcGV4bWwueG1sUEsFBgAAAAAGAAYAWwEA&#10;ALUDAAAAAA==&#10;" path="m0,950l1960,950,1960,0,0,0,0,950xe">
                  <v:fill on="f" focussize="0,0"/>
                  <v:stroke weight="0.232834645669291pt" color="#3E3E3E" joinstyle="round"/>
                  <v:imagedata o:title=""/>
                  <o:lock v:ext="edit" aspectratio="f"/>
                </v:shape>
                <v:shape id="_x0000_s1026" o:spid="_x0000_s1026" o:spt="100" style="position:absolute;left:7262;top:5523;height:951;width:981;" fillcolor="#CECECE" filled="t" stroked="f" coordsize="981,951" o:gfxdata="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Ec95ZugAAANsA&#10;AAAPAAAAAAAAAAEAIAAAACIAAABkcnMvZG93bnJldi54bWxQSwECFAAUAAAACACHTuJAMy8FnjsA&#10;AAA5AAAAEAAAAAAAAAABACAAAAAJAQAAZHJzL3NoYXBleG1sLnhtbFBLBQYAAAAABgAGAFsBAACz&#10;AwAAAAA=&#10;" path="m0,0l980,0,980,950,0,950,0,0xe">
                  <v:fill on="t" focussize="0,0"/>
                  <v:stroke on="f"/>
                  <v:imagedata o:title=""/>
                  <o:lock v:ext="edit" aspectratio="f"/>
                </v:shape>
                <v:rect id="_x0000_s1026" o:spid="_x0000_s1026" o:spt="1" style="position:absolute;left:7235;top:5497;height:960;width:980;" filled="f" stroked="f" coordsize="21600,21600" o:gfxdata="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VspcQvQAA&#10;ANs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widowControl/>
                          <w:spacing w:line="960" w:lineRule="atLeast"/>
                        </w:pPr>
                        <w:r>
                          <w:drawing>
                            <wp:inline distT="0" distB="0" distL="114300" distR="114300">
                              <wp:extent cx="625475" cy="606425"/>
                              <wp:effectExtent l="0" t="0" r="3175" b="3175"/>
                              <wp:docPr id="1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6"/>
                                      <pic:cNvPicPr>
                                        <a:picLocks noChangeAspect="1"/>
                                      </pic:cNvPicPr>
                                    </pic:nvPicPr>
                                    <pic:blipFill>
                                      <a:blip r:embed="rId30"/>
                                      <a:stretch>
                                        <a:fillRect/>
                                      </a:stretch>
                                    </pic:blipFill>
                                    <pic:spPr>
                                      <a:xfrm>
                                        <a:off x="0" y="0"/>
                                        <a:ext cx="625475" cy="606425"/>
                                      </a:xfrm>
                                      <a:prstGeom prst="rect">
                                        <a:avLst/>
                                      </a:prstGeom>
                                      <a:noFill/>
                                      <a:ln>
                                        <a:noFill/>
                                      </a:ln>
                                    </pic:spPr>
                                  </pic:pic>
                                </a:graphicData>
                              </a:graphic>
                            </wp:inline>
                          </w:drawing>
                        </w:r>
                      </w:p>
                      <w:p/>
                    </w:txbxContent>
                  </v:textbox>
                </v:rect>
                <v:shape id="_x0000_s1026" o:spid="_x0000_s1026" o:spt="100" style="position:absolute;left:7235;top:5496;height:951;width:981;" filled="f" stroked="t" coordsize="981,951" o:gfxdata="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nicSb4A&#10;AADbAAAADwAAAAAAAAABACAAAAAiAAAAZHJzL2Rvd25yZXYueG1sUEsBAhQAFAAAAAgAh07iQDMv&#10;BZ47AAAAOQAAABAAAAAAAAAAAQAgAAAADQEAAGRycy9zaGFwZXhtbC54bWxQSwUGAAAAAAYABgBb&#10;AQAAtwMAAAAA&#10;" path="m0,950l980,950,980,0,0,0,0,950xe">
                  <v:fill on="f" focussize="0,0"/>
                  <v:stroke weight="0.233070866141732pt" color="#3E3E3E" joinstyle="round"/>
                  <v:imagedata o:title=""/>
                  <o:lock v:ext="edit" aspectratio="f"/>
                </v:shape>
                <v:shape id="_x0000_s1026" o:spid="_x0000_s1026" o:spt="100" style="position:absolute;left:1433;top:5523;height:951;width:981;" fillcolor="#CECECE" filled="t" stroked="f" coordsize="981,951" o:gfxdata="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KFALrsAAADb&#10;AAAADwAAAAAAAAABACAAAAAiAAAAZHJzL2Rvd25yZXYueG1sUEsBAhQAFAAAAAgAh07iQDMvBZ47&#10;AAAAOQAAABAAAAAAAAAAAQAgAAAACgEAAGRycy9zaGFwZXhtbC54bWxQSwUGAAAAAAYABgBbAQAA&#10;tAMAAAAA&#10;" path="m0,0l980,0,980,950,0,950,0,0xe">
                  <v:fill on="t" focussize="0,0"/>
                  <v:stroke on="f"/>
                  <v:imagedata o:title=""/>
                  <o:lock v:ext="edit" aspectratio="f"/>
                </v:shape>
                <v:shape id="_x0000_s1026" o:spid="_x0000_s1026" o:spt="100" style="position:absolute;left:1433;top:5523;height:951;width:981;" filled="f" stroked="t" coordsize="981,951" o:gfxdata="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Nbpt7sAAADb&#10;AAAADwAAAAAAAAABACAAAAAiAAAAZHJzL2Rvd25yZXYueG1sUEsBAhQAFAAAAAgAh07iQDMvBZ47&#10;AAAAOQAAABAAAAAAAAAAAQAgAAAACgEAAGRycy9zaGFwZXhtbC54bWxQSwUGAAAAAAYABgBbAQAA&#10;tAMAAAAA&#10;" path="m0,950l980,950,980,0,0,0,0,950xe">
                  <v:fill on="f" focussize="0,0"/>
                  <v:stroke weight="0.233070866141732pt" color="#CECECE" joinstyle="round"/>
                  <v:imagedata o:title=""/>
                  <o:lock v:ext="edit" aspectratio="f"/>
                </v:shape>
                <v:rect id="_x0000_s1026" o:spid="_x0000_s1026" o:spt="1" style="position:absolute;left:1406;top:5497;height:960;width:980;" filled="f" stroked="f" coordsize="21600,21600" o:gfxdata="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cDWKL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pPr>
                          <w:widowControl/>
                          <w:spacing w:line="960" w:lineRule="atLeast"/>
                        </w:pPr>
                        <w:r>
                          <w:drawing>
                            <wp:inline distT="0" distB="0" distL="114300" distR="114300">
                              <wp:extent cx="625475" cy="606425"/>
                              <wp:effectExtent l="0" t="0" r="3175" b="3175"/>
                              <wp:docPr id="1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7"/>
                                      <pic:cNvPicPr>
                                        <a:picLocks noChangeAspect="1"/>
                                      </pic:cNvPicPr>
                                    </pic:nvPicPr>
                                    <pic:blipFill>
                                      <a:blip r:embed="rId30"/>
                                      <a:stretch>
                                        <a:fillRect/>
                                      </a:stretch>
                                    </pic:blipFill>
                                    <pic:spPr>
                                      <a:xfrm>
                                        <a:off x="0" y="0"/>
                                        <a:ext cx="625475" cy="606425"/>
                                      </a:xfrm>
                                      <a:prstGeom prst="rect">
                                        <a:avLst/>
                                      </a:prstGeom>
                                      <a:noFill/>
                                      <a:ln>
                                        <a:noFill/>
                                      </a:ln>
                                    </pic:spPr>
                                  </pic:pic>
                                </a:graphicData>
                              </a:graphic>
                            </wp:inline>
                          </w:drawing>
                        </w:r>
                      </w:p>
                      <w:p/>
                    </w:txbxContent>
                  </v:textbox>
                </v:rect>
                <v:shape id="_x0000_s1026" o:spid="_x0000_s1026" o:spt="100" style="position:absolute;left:1406;top:5496;height:951;width:981;" filled="f" stroked="t" coordsize="981,951" o:gfxdata="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RvOALvQAA&#10;ANwAAAAPAAAAAAAAAAEAIAAAACIAAABkcnMvZG93bnJldi54bWxQSwECFAAUAAAACACHTuJAMy8F&#10;njsAAAA5AAAAEAAAAAAAAAABACAAAAAMAQAAZHJzL3NoYXBleG1sLnhtbFBLBQYAAAAABgAGAFsB&#10;AAC2AwAAAAA=&#10;" path="m0,950l980,950,980,0,0,0,0,950xe">
                  <v:fill on="f" focussize="0,0"/>
                  <v:stroke weight="0.233070866141732pt" color="#3E3E3E" joinstyle="round"/>
                  <v:imagedata o:title=""/>
                  <o:lock v:ext="edit" aspectratio="f"/>
                </v:shape>
                <v:shape id="_x0000_s1026" o:spid="_x0000_s1026" o:spt="100" style="position:absolute;left:3659;top:7636;height:423;width:2279;" fillcolor="#CECECE" filled="t" stroked="f" coordsize="2279,423" o:gfxdata="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aH5ii/&#10;AAAA3AAAAA8AAAAAAAAAAQAgAAAAIgAAAGRycy9kb3ducmV2LnhtbFBLAQIUABQAAAAIAIdO4kAz&#10;LwWeOwAAADkAAAAQAAAAAAAAAAEAIAAAAA4BAABkcnMvc2hhcGV4bWwueG1sUEsFBgAAAAAGAAYA&#10;WwEAALgDAAAAAA==&#10;" path="m0,0l2278,0,2278,422,0,422,0,0xe">
                  <v:fill on="t" focussize="0,0"/>
                  <v:stroke on="f"/>
                  <v:imagedata o:title=""/>
                  <o:lock v:ext="edit" aspectratio="f"/>
                </v:shape>
                <v:shape id="_x0000_s1026" o:spid="_x0000_s1026" o:spt="100" style="position:absolute;left:3659;top:7636;height:404;width:2279;" filled="f" stroked="t" coordsize="2279,404" o:gfxdata="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4kZ/kvQAA&#10;ANwAAAAPAAAAAAAAAAEAIAAAACIAAABkcnMvZG93bnJldi54bWxQSwECFAAUAAAACACHTuJAMy8F&#10;njsAAAA5AAAAEAAAAAAAAAABACAAAAAMAQAAZHJzL3NoYXBleG1sLnhtbFBLBQYAAAAABgAGAFsB&#10;AAC2AwAAAAA=&#10;" path="m2278,403l2278,0,0,0,0,403e">
                  <v:fill on="f" focussize="0,0"/>
                  <v:stroke weight="0.232755905511811pt" color="#CECECE" joinstyle="round"/>
                  <v:imagedata o:title=""/>
                  <o:lock v:ext="edit" aspectratio="f"/>
                </v:shape>
                <v:rect id="_x0000_s1026" o:spid="_x0000_s1026" o:spt="1" style="position:absolute;left:3633;top:7610;height:420;width:2280;" filled="f" stroked="f" coordsize="21600,21600" o:gfxdata="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y8fRq/&#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widowControl/>
                          <w:spacing w:line="420" w:lineRule="atLeast"/>
                        </w:pPr>
                        <w:r>
                          <w:drawing>
                            <wp:inline distT="0" distB="0" distL="114300" distR="114300">
                              <wp:extent cx="1452880" cy="269875"/>
                              <wp:effectExtent l="0" t="0" r="13970" b="15875"/>
                              <wp:docPr id="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8"/>
                                      <pic:cNvPicPr>
                                        <a:picLocks noChangeAspect="1"/>
                                      </pic:cNvPicPr>
                                    </pic:nvPicPr>
                                    <pic:blipFill>
                                      <a:blip r:embed="rId31"/>
                                      <a:stretch>
                                        <a:fillRect/>
                                      </a:stretch>
                                    </pic:blipFill>
                                    <pic:spPr>
                                      <a:xfrm>
                                        <a:off x="0" y="0"/>
                                        <a:ext cx="1452880" cy="269875"/>
                                      </a:xfrm>
                                      <a:prstGeom prst="rect">
                                        <a:avLst/>
                                      </a:prstGeom>
                                      <a:noFill/>
                                      <a:ln>
                                        <a:noFill/>
                                      </a:ln>
                                    </pic:spPr>
                                  </pic:pic>
                                </a:graphicData>
                              </a:graphic>
                            </wp:inline>
                          </w:drawing>
                        </w:r>
                      </w:p>
                      <w:p/>
                    </w:txbxContent>
                  </v:textbox>
                </v:rect>
                <v:shape id="_x0000_s1026" o:spid="_x0000_s1026" o:spt="100" style="position:absolute;left:3632;top:7610;height:423;width:2279;" filled="f" stroked="t" coordsize="2279,423" o:gfxdata="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ZtQM7sAAADc&#10;AAAADwAAAAAAAAABACAAAAAiAAAAZHJzL2Rvd25yZXYueG1sUEsBAhQAFAAAAAgAh07iQDMvBZ47&#10;AAAAOQAAABAAAAAAAAAAAQAgAAAACgEAAGRycy9zaGFwZXhtbC54bWxQSwUGAAAAAAYABgBbAQAA&#10;tAMAAAAA&#10;" path="m0,422l2278,422,2278,0,0,0,0,422xe">
                  <v:fill on="f" focussize="0,0"/>
                  <v:stroke weight="0.232755905511811pt" color="#3E3E3E" joinstyle="round"/>
                  <v:imagedata o:title=""/>
                  <o:lock v:ext="edit" aspectratio="f"/>
                </v:shape>
                <v:shape id="_x0000_s1026" o:spid="_x0000_s1026" o:spt="100" style="position:absolute;left:3076;top:9380;height:951;width:3445;" fillcolor="#CECECE" filled="t" stroked="f" coordsize="3445,951" o:gfxdata="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SMolrsAAADc&#10;AAAADwAAAAAAAAABACAAAAAiAAAAZHJzL2Rvd25yZXYueG1sUEsBAhQAFAAAAAgAh07iQDMvBZ47&#10;AAAAOQAAABAAAAAAAAAAAQAgAAAACgEAAGRycy9zaGFwZXhtbC54bWxQSwUGAAAAAAYABgBbAQAA&#10;tAMAAAAA&#10;" path="m0,0l3444,0,3444,950,0,950,0,0xe">
                  <v:fill on="t" focussize="0,0"/>
                  <v:stroke on="f"/>
                  <v:imagedata o:title=""/>
                  <o:lock v:ext="edit" aspectratio="f"/>
                </v:shape>
                <v:rect id="_x0000_s1026" o:spid="_x0000_s1026" o:spt="1" style="position:absolute;left:3049;top:9354;height:960;width:3440;" filled="f" stroked="f" coordsize="21600,21600" o:gfxdata="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G7jbb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pPr>
                          <w:widowControl/>
                          <w:spacing w:line="960" w:lineRule="atLeast"/>
                        </w:pPr>
                        <w:r>
                          <w:drawing>
                            <wp:inline distT="0" distB="0" distL="114300" distR="114300">
                              <wp:extent cx="2195195" cy="606425"/>
                              <wp:effectExtent l="0" t="0" r="14605" b="3175"/>
                              <wp:docPr id="1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9"/>
                                      <pic:cNvPicPr>
                                        <a:picLocks noChangeAspect="1"/>
                                      </pic:cNvPicPr>
                                    </pic:nvPicPr>
                                    <pic:blipFill>
                                      <a:blip r:embed="rId28"/>
                                      <a:stretch>
                                        <a:fillRect/>
                                      </a:stretch>
                                    </pic:blipFill>
                                    <pic:spPr>
                                      <a:xfrm>
                                        <a:off x="0" y="0"/>
                                        <a:ext cx="2195195" cy="606425"/>
                                      </a:xfrm>
                                      <a:prstGeom prst="rect">
                                        <a:avLst/>
                                      </a:prstGeom>
                                      <a:noFill/>
                                      <a:ln>
                                        <a:noFill/>
                                      </a:ln>
                                    </pic:spPr>
                                  </pic:pic>
                                </a:graphicData>
                              </a:graphic>
                            </wp:inline>
                          </w:drawing>
                        </w:r>
                      </w:p>
                      <w:p/>
                    </w:txbxContent>
                  </v:textbox>
                </v:rect>
                <v:shape id="_x0000_s1026" o:spid="_x0000_s1026" o:spt="100" style="position:absolute;left:7712;top:8086;height:687;width:795;" fillcolor="#CECECE" filled="t" stroked="f" coordsize="795,687" o:gfxdata="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FbiQ68AAAA&#10;3AAAAA8AAAAAAAAAAQAgAAAAIgAAAGRycy9kb3ducmV2LnhtbFBLAQIUABQAAAAIAIdO4kAzLwWe&#10;OwAAADkAAAAQAAAAAAAAAAEAIAAAAAsBAABkcnMvc2hhcGV4bWwueG1sUEsFBgAAAAAGAAYAWwEA&#10;ALUDAAAAAA==&#10;" path="m0,0l794,0,794,686,0,686,0,0xe">
                  <v:fill on="t" focussize="0,0"/>
                  <v:stroke on="f"/>
                  <v:imagedata o:title=""/>
                  <o:lock v:ext="edit" aspectratio="f"/>
                </v:shape>
                <v:rect id="_x0000_s1026" o:spid="_x0000_s1026" o:spt="1" style="position:absolute;left:7686;top:8059;height:680;width:800;" filled="f" stroked="f" coordsize="21600,21600" o:gfxdata="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Mvegr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pPr>
                          <w:widowControl/>
                          <w:spacing w:line="680" w:lineRule="atLeast"/>
                        </w:pPr>
                        <w:r>
                          <w:drawing>
                            <wp:inline distT="0" distB="0" distL="114300" distR="114300">
                              <wp:extent cx="504190" cy="433705"/>
                              <wp:effectExtent l="0" t="0" r="10160" b="4445"/>
                              <wp:docPr id="1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0"/>
                                      <pic:cNvPicPr>
                                        <a:picLocks noChangeAspect="1"/>
                                      </pic:cNvPicPr>
                                    </pic:nvPicPr>
                                    <pic:blipFill>
                                      <a:blip r:embed="rId32"/>
                                      <a:stretch>
                                        <a:fillRect/>
                                      </a:stretch>
                                    </pic:blipFill>
                                    <pic:spPr>
                                      <a:xfrm>
                                        <a:off x="0" y="0"/>
                                        <a:ext cx="504190" cy="433705"/>
                                      </a:xfrm>
                                      <a:prstGeom prst="rect">
                                        <a:avLst/>
                                      </a:prstGeom>
                                      <a:noFill/>
                                      <a:ln>
                                        <a:noFill/>
                                      </a:ln>
                                    </pic:spPr>
                                  </pic:pic>
                                </a:graphicData>
                              </a:graphic>
                            </wp:inline>
                          </w:drawing>
                        </w:r>
                      </w:p>
                      <w:p/>
                    </w:txbxContent>
                  </v:textbox>
                </v:rect>
                <v:shape id="_x0000_s1026" o:spid="_x0000_s1026" o:spt="100" style="position:absolute;left:7686;top:8059;height:687;width:795;" filled="f" stroked="t" coordsize="795,687" o:gfxdata="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Lu7qvQAA&#10;ANwAAAAPAAAAAAAAAAEAIAAAACIAAABkcnMvZG93bnJldi54bWxQSwECFAAUAAAACACHTuJAMy8F&#10;njsAAAA5AAAAEAAAAAAAAAABACAAAAAMAQAAZHJzL3NoYXBleG1sLnhtbFBLBQYAAAAABgAGAFsB&#10;AAC2AwAAAAA=&#10;" path="m0,686l794,686,794,0,0,0,0,686xe">
                  <v:fill on="f" focussize="0,0"/>
                  <v:stroke weight="0.232992125984252pt" color="#3E3E3E" joinstyle="round"/>
                  <v:imagedata o:title=""/>
                  <o:lock v:ext="edit" aspectratio="f"/>
                </v:shape>
                <v:shape id="_x0000_s1026" o:spid="_x0000_s1026" o:spt="100" style="position:absolute;left:1089;top:7240;height:1216;width:1484;" fillcolor="#CECECE" filled="t" stroked="f" coordsize="1484,1216" o:gfxdata="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Rx9oDvQAA&#10;ANwAAAAPAAAAAAAAAAEAIAAAACIAAABkcnMvZG93bnJldi54bWxQSwECFAAUAAAACACHTuJAMy8F&#10;njsAAAA5AAAAEAAAAAAAAAABACAAAAAMAQAAZHJzL3NoYXBleG1sLnhtbFBLBQYAAAAABgAGAFsB&#10;AAC2AwAAAAA=&#10;" path="m0,0l1483,0,1483,1215,0,1215,0,0xe">
                  <v:fill on="t" focussize="0,0"/>
                  <v:stroke on="f"/>
                  <v:imagedata o:title=""/>
                  <o:lock v:ext="edit" aspectratio="f"/>
                </v:shape>
                <v:shape id="_x0000_s1026" o:spid="_x0000_s1026" o:spt="100" style="position:absolute;left:1089;top:7240;height:800;width:1484;" filled="f" stroked="t" coordsize="1484,800" o:gfxdata="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sWjtRvQAA&#10;ANwAAAAPAAAAAAAAAAEAIAAAACIAAABkcnMvZG93bnJldi54bWxQSwECFAAUAAAACACHTuJAMy8F&#10;njsAAAA5AAAAEAAAAAAAAAABACAAAAAMAQAAZHJzL3NoYXBleG1sLnhtbFBLBQYAAAAABgAGAFsB&#10;AAC2AwAAAAA=&#10;" path="m1483,799l1483,0,0,0,0,799e">
                  <v:fill on="f" focussize="0,0"/>
                  <v:stroke weight="0.232834645669291pt" color="#CECECE" joinstyle="round"/>
                  <v:imagedata o:title=""/>
                  <o:lock v:ext="edit" aspectratio="f"/>
                </v:shape>
                <v:rect id="_x0000_s1026" o:spid="_x0000_s1026" o:spt="1" style="position:absolute;left:1062;top:7214;height:1220;width:1480;" filled="f" stroked="f" coordsize="21600,21600" o:gfxdata="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YbUh7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pPr>
                          <w:widowControl/>
                          <w:spacing w:line="1220" w:lineRule="atLeast"/>
                        </w:pPr>
                        <w:r>
                          <w:drawing>
                            <wp:inline distT="0" distB="0" distL="114300" distR="114300">
                              <wp:extent cx="936625" cy="772160"/>
                              <wp:effectExtent l="0" t="0" r="15875" b="8890"/>
                              <wp:docPr id="3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1"/>
                                      <pic:cNvPicPr>
                                        <a:picLocks noChangeAspect="1"/>
                                      </pic:cNvPicPr>
                                    </pic:nvPicPr>
                                    <pic:blipFill>
                                      <a:blip r:embed="rId33"/>
                                      <a:stretch>
                                        <a:fillRect/>
                                      </a:stretch>
                                    </pic:blipFill>
                                    <pic:spPr>
                                      <a:xfrm>
                                        <a:off x="0" y="0"/>
                                        <a:ext cx="936625" cy="772160"/>
                                      </a:xfrm>
                                      <a:prstGeom prst="rect">
                                        <a:avLst/>
                                      </a:prstGeom>
                                      <a:noFill/>
                                      <a:ln>
                                        <a:noFill/>
                                      </a:ln>
                                    </pic:spPr>
                                  </pic:pic>
                                </a:graphicData>
                              </a:graphic>
                            </wp:inline>
                          </w:drawing>
                        </w:r>
                      </w:p>
                      <w:p/>
                    </w:txbxContent>
                  </v:textbox>
                </v:rect>
                <v:shape id="_x0000_s1026" o:spid="_x0000_s1026" o:spt="100" style="position:absolute;left:1062;top:7213;height:1216;width:1484;" filled="f" stroked="t" coordsize="1484,1216" o:gfxdata="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GMYVr4A&#10;AADcAAAADwAAAAAAAAABACAAAAAiAAAAZHJzL2Rvd25yZXYueG1sUEsBAhQAFAAAAAgAh07iQDMv&#10;BZ47AAAAOQAAABAAAAAAAAAAAQAgAAAADQEAAGRycy9zaGFwZXhtbC54bWxQSwUGAAAAAAYABgBb&#10;AQAAtwMAAAAA&#10;" path="m0,1215l1483,1215,1483,0,0,0,0,1215xe">
                  <v:fill on="f" focussize="0,0"/>
                  <v:stroke weight="0.232992125984252pt" color="#3E3E3E" joinstyle="round"/>
                  <v:imagedata o:title=""/>
                  <o:lock v:ext="edit" aspectratio="f"/>
                </v:shape>
                <v:shape id="_x0000_s1026" o:spid="_x0000_s1026" o:spt="100" style="position:absolute;left:4771;top:900;height:297;width:20;" filled="f" stroked="t" coordsize="20,297" o:gfxdata="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eTpdjugAAANwA&#10;AAAPAAAAAAAAAAEAIAAAACIAAABkcnMvZG93bnJldi54bWxQSwECFAAUAAAACACHTuJAMy8FnjsA&#10;AAA5AAAAEAAAAAAAAAABACAAAAAJAQAAZHJzL3NoYXBleG1sLnhtbFBLBQYAAAAABgAGAFsBAACz&#10;AwAAAAA=&#10;" path="m0,0l0,296e">
                  <v:fill on="f" focussize="0,0"/>
                  <v:stroke weight="0.934409448818898pt" color="#3E3E3E" joinstyle="round"/>
                  <v:imagedata o:title=""/>
                  <o:lock v:ext="edit" aspectratio="f"/>
                </v:shape>
                <v:group id="_x0000_s1026" o:spid="_x0000_s1026" o:spt="203" style="position:absolute;left:4705;top:1165;height:132;width:116;" coordorigin="4705,1165" coordsize="116,132" o:gfxdata="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LkUx7K7AAAA3AAAAA8AAAAAAAAAAQAgAAAAIgAAAGRycy9kb3ducmV2LnhtbFBL&#10;AQIUABQAAAAIAIdO4kAzLwWeOwAAADkAAAAVAAAAAAAAAAEAIAAAAAoBAABkcnMvZ3JvdXBzaGFw&#10;ZXhtbC54bWxQSwUGAAAAAAYABgBgAQAAxwMAAAAA&#10;">
                  <o:lock v:ext="edit" aspectratio="f"/>
                  <v:shape id="_x0000_s1026" o:spid="_x0000_s1026" o:spt="100" style="position:absolute;left:4705;top:1165;height:132;width:116;" fillcolor="#3E3E3E" filled="t" stroked="f" coordsize="116,132" o:gfxdata="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rsJ3C8AAAA&#10;3AAAAA8AAAAAAAAAAQAgAAAAIgAAAGRycy9kb3ducmV2LnhtbFBLAQIUABQAAAAIAIdO4kAzLwWe&#10;OwAAADkAAAAQAAAAAAAAAAEAIAAAAAsBAABkcnMvc2hhcGV4bWwueG1sUEsFBgAAAAAGAAYAWwEA&#10;ALUDAAAAAA==&#10;" path="m65,131l0,0,18,7,37,12,57,15,111,15,65,131xe">
                    <v:fill on="t" focussize="0,0"/>
                    <v:stroke on="f"/>
                    <v:imagedata o:title=""/>
                    <o:lock v:ext="edit" aspectratio="f"/>
                  </v:shape>
                  <v:shape id="_x0000_s1026" o:spid="_x0000_s1026" o:spt="100" style="position:absolute;left:4705;top:1165;height:132;width:116;" fillcolor="#3E3E3E" filled="t" stroked="f" coordsize="116,132" o:gfxdata="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aCC67sAAADc&#10;AAAADwAAAAAAAAABACAAAAAiAAAAZHJzL2Rvd25yZXYueG1sUEsBAhQAFAAAAAgAh07iQDMvBZ47&#10;AAAAOQAAABAAAAAAAAAAAQAgAAAACgEAAGRycy9zaGFwZXhtbC54bWxQSwUGAAAAAAYABgBbAQAA&#10;tAMAAAAA&#10;" path="m111,15l57,15,76,15,96,12,115,7,111,15xe">
                    <v:fill on="t" focussize="0,0"/>
                    <v:stroke on="f"/>
                    <v:imagedata o:title=""/>
                    <o:lock v:ext="edit" aspectratio="f"/>
                  </v:shape>
                </v:group>
                <v:shape id="_x0000_s1026" o:spid="_x0000_s1026" o:spt="100" style="position:absolute;left:4771;top:2089;height:297;width:20;" filled="f" stroked="t" coordsize="20,297" o:gfxdata="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hdZFgugAAANwA&#10;AAAPAAAAAAAAAAEAIAAAACIAAABkcnMvZG93bnJldi54bWxQSwECFAAUAAAACACHTuJAMy8FnjsA&#10;AAA5AAAAEAAAAAAAAAABACAAAAAJAQAAZHJzL3NoYXBleG1sLnhtbFBLBQYAAAAABgAGAFsBAACz&#10;AwAAAAA=&#10;" path="m0,0l0,296e">
                  <v:fill on="f" focussize="0,0"/>
                  <v:stroke weight="0.934409448818898pt" color="#3E3E3E" joinstyle="round"/>
                  <v:imagedata o:title=""/>
                  <o:lock v:ext="edit" aspectratio="f"/>
                </v:shape>
                <v:group id="_x0000_s1026" o:spid="_x0000_s1026" o:spt="203" style="position:absolute;left:4705;top:2354;height:132;width:116;" coordorigin="4705,2354" coordsize="116,132" o:gfxdata="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DhZzbe+AAAA3AAAAA8AAAAAAAAAAQAgAAAAIgAAAGRycy9kb3ducmV2Lnht&#10;bFBLAQIUABQAAAAIAIdO4kAzLwWeOwAAADkAAAAVAAAAAAAAAAEAIAAAAA0BAABkcnMvZ3JvdXBz&#10;aGFwZXhtbC54bWxQSwUGAAAAAAYABgBgAQAAygMAAAAA&#10;">
                  <o:lock v:ext="edit" aspectratio="f"/>
                  <v:shape id="_x0000_s1026" o:spid="_x0000_s1026" o:spt="100" style="position:absolute;left:4705;top:2354;height:132;width:116;" fillcolor="#3E3E3E" filled="t" stroked="f" coordsize="116,132" o:gfxdata="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XXIXO8AAAA&#10;3AAAAA8AAAAAAAAAAQAgAAAAIgAAAGRycy9kb3ducmV2LnhtbFBLAQIUABQAAAAIAIdO4kAzLwWe&#10;OwAAADkAAAAQAAAAAAAAAAEAIAAAAAsBAABkcnMvc2hhcGV4bWwueG1sUEsFBgAAAAAGAAYAWwEA&#10;ALUDAAAAAA==&#10;" path="m65,131l0,0,18,7,37,12,57,15,111,15,65,131xe">
                    <v:fill on="t" focussize="0,0"/>
                    <v:stroke on="f"/>
                    <v:imagedata o:title=""/>
                    <o:lock v:ext="edit" aspectratio="f"/>
                  </v:shape>
                  <v:shape id="_x0000_s1026" o:spid="_x0000_s1026" o:spt="100" style="position:absolute;left:4705;top:2354;height:132;width:116;" fillcolor="#3E3E3E" filled="t" stroked="f" coordsize="116,132" o:gfxdata="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uE6LsAAADc&#10;AAAADwAAAAAAAAABACAAAAAiAAAAZHJzL2Rvd25yZXYueG1sUEsBAhQAFAAAAAgAh07iQDMvBZ47&#10;AAAAOQAAABAAAAAAAAAAAQAgAAAACgEAAGRycy9zaGFwZXhtbC54bWxQSwUGAAAAAAYABgBbAQAA&#10;tAMAAAAA&#10;" path="m111,15l57,15,76,15,96,12,115,7,111,15xe">
                    <v:fill on="t" focussize="0,0"/>
                    <v:stroke on="f"/>
                    <v:imagedata o:title=""/>
                    <o:lock v:ext="edit" aspectratio="f"/>
                  </v:shape>
                </v:group>
                <v:shape id="_x0000_s1026" o:spid="_x0000_s1026" o:spt="100" style="position:absolute;left:4771;top:3436;height:297;width:20;" filled="f" stroked="t" coordsize="20,297" o:gfxdata="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gOJtlugAAANwA&#10;AAAPAAAAAAAAAAEAIAAAACIAAABkcnMvZG93bnJldi54bWxQSwECFAAUAAAACACHTuJAMy8FnjsA&#10;AAA5AAAAEAAAAAAAAAABACAAAAAJAQAAZHJzL3NoYXBleG1sLnhtbFBLBQYAAAAABgAGAFsBAACz&#10;AwAAAAA=&#10;" path="m0,0l0,296e">
                  <v:fill on="f" focussize="0,0"/>
                  <v:stroke weight="0.934409448818898pt" color="#3E3E3E" joinstyle="round"/>
                  <v:imagedata o:title=""/>
                  <o:lock v:ext="edit" aspectratio="f"/>
                </v:shape>
                <v:group id="_x0000_s1026" o:spid="_x0000_s1026" o:spt="203" style="position:absolute;left:4705;top:3701;height:132;width:116;" coordorigin="4705,3701" coordsize="116,132" o:gfxdata="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3GhsgL0AAADcAAAADwAAAAAAAAABACAAAAAiAAAAZHJzL2Rvd25yZXYueG1s&#10;UEsBAhQAFAAAAAgAh07iQDMvBZ47AAAAOQAAABUAAAAAAAAAAQAgAAAADAEAAGRycy9ncm91cHNo&#10;YXBleG1sLnhtbFBLBQYAAAAABgAGAGABAADJAwAAAAA=&#10;">
                  <o:lock v:ext="edit" aspectratio="f"/>
                  <v:shape id="_x0000_s1026" o:spid="_x0000_s1026" o:spt="100" style="position:absolute;left:4705;top:3701;height:132;width:116;" fillcolor="#3E3E3E" filled="t" stroked="f" coordsize="116,132" o:gfxdata="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CrikG/&#10;AAAA3AAAAA8AAAAAAAAAAQAgAAAAIgAAAGRycy9kb3ducmV2LnhtbFBLAQIUABQAAAAIAIdO4kAz&#10;LwWeOwAAADkAAAAQAAAAAAAAAAEAIAAAAA4BAABkcnMvc2hhcGV4bWwueG1sUEsFBgAAAAAGAAYA&#10;WwEAALgDAAAAAA==&#10;" path="m65,131l0,0,18,7,37,12,57,15,111,15,65,131xe">
                    <v:fill on="t" focussize="0,0"/>
                    <v:stroke on="f"/>
                    <v:imagedata o:title=""/>
                    <o:lock v:ext="edit" aspectratio="f"/>
                  </v:shape>
                  <v:shape id="_x0000_s1026" o:spid="_x0000_s1026" o:spt="100" style="position:absolute;left:4705;top:3701;height:132;width:116;" fillcolor="#3E3E3E" filled="t" stroked="f" coordsize="116,132" o:gfxdata="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cv2rsAAADc&#10;AAAADwAAAAAAAAABACAAAAAiAAAAZHJzL2Rvd25yZXYueG1sUEsBAhQAFAAAAAgAh07iQDMvBZ47&#10;AAAAOQAAABAAAAAAAAAAAQAgAAAACgEAAGRycy9zaGFwZXhtbC54bWxQSwUGAAAAAAYABgBbAQAA&#10;tAMAAAAA&#10;" path="m111,15l57,15,76,15,96,12,115,7,111,15xe">
                    <v:fill on="t" focussize="0,0"/>
                    <v:stroke on="f"/>
                    <v:imagedata o:title=""/>
                    <o:lock v:ext="edit" aspectratio="f"/>
                  </v:shape>
                </v:group>
                <v:shape id="_x0000_s1026" o:spid="_x0000_s1026" o:spt="100" style="position:absolute;left:4771;top:4783;height:1301;width:20;" filled="f" stroked="t" coordsize="20,1301" o:gfxdata="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QkF+K/&#10;AAAA3AAAAA8AAAAAAAAAAQAgAAAAIgAAAGRycy9kb3ducmV2LnhtbFBLAQIUABQAAAAIAIdO4kAz&#10;LwWeOwAAADkAAAAQAAAAAAAAAAEAIAAAAA4BAABkcnMvc2hhcGV4bWwueG1sUEsFBgAAAAAGAAYA&#10;WwEAALgDAAAAAA==&#10;" path="m0,0l0,1300e">
                  <v:fill on="f" focussize="0,0"/>
                  <v:stroke weight="0.934409448818898pt" color="#3E3E3E" joinstyle="round"/>
                  <v:imagedata o:title=""/>
                  <o:lock v:ext="edit" aspectratio="f"/>
                </v:shape>
                <v:group id="_x0000_s1026" o:spid="_x0000_s1026" o:spt="203" style="position:absolute;left:4705;top:6052;height:132;width:116;" coordorigin="4705,6052" coordsize="116,132" o:gfxdata="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o1Nqg70AAADcAAAADwAAAAAAAAABACAAAAAiAAAAZHJzL2Rvd25yZXYueG1s&#10;UEsBAhQAFAAAAAgAh07iQDMvBZ47AAAAOQAAABUAAAAAAAAAAQAgAAAADAEAAGRycy9ncm91cHNo&#10;YXBleG1sLnhtbFBLBQYAAAAABgAGAGABAADJAwAAAAA=&#10;">
                  <o:lock v:ext="edit" aspectratio="f"/>
                  <v:shape id="_x0000_s1026" o:spid="_x0000_s1026" o:spt="100" style="position:absolute;left:4705;top:6052;height:132;width:116;" fillcolor="#3E3E3E" filled="t" stroked="f" coordsize="116,132" o:gfxdata="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5CMQrsAAADc&#10;AAAADwAAAAAAAAABACAAAAAiAAAAZHJzL2Rvd25yZXYueG1sUEsBAhQAFAAAAAgAh07iQDMvBZ47&#10;AAAAOQAAABAAAAAAAAAAAQAgAAAACgEAAGRycy9zaGFwZXhtbC54bWxQSwUGAAAAAAYABgBbAQAA&#10;tAMAAAAA&#10;" path="m65,131l0,0,18,7,37,12,57,15,111,15,65,131xe">
                    <v:fill on="t" focussize="0,0"/>
                    <v:stroke on="f"/>
                    <v:imagedata o:title=""/>
                    <o:lock v:ext="edit" aspectratio="f"/>
                  </v:shape>
                  <v:shape id="_x0000_s1026" o:spid="_x0000_s1026" o:spt="100" style="position:absolute;left:4705;top:6052;height:132;width:116;" fillcolor="#3E3E3E" filled="t" stroked="f" coordsize="116,132" o:gfxdata="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Nwp2bsAAADc&#10;AAAADwAAAAAAAAABACAAAAAiAAAAZHJzL2Rvd25yZXYueG1sUEsBAhQAFAAAAAgAh07iQDMvBZ47&#10;AAAAOQAAABAAAAAAAAAAAQAgAAAACgEAAGRycy9zaGFwZXhtbC54bWxQSwUGAAAAAAYABgBbAQAA&#10;tAMAAAAA&#10;" path="m111,15l57,15,76,15,96,12,115,7,111,15xe">
                    <v:fill on="t" focussize="0,0"/>
                    <v:stroke on="f"/>
                    <v:imagedata o:title=""/>
                    <o:lock v:ext="edit" aspectratio="f"/>
                  </v:shape>
                </v:group>
                <v:shape id="_x0000_s1026" o:spid="_x0000_s1026" o:spt="100" style="position:absolute;left:4771;top:7134;height:377;width:20;" filled="f" stroked="t" coordsize="20,377" o:gfxdata="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bkgpq8AAAA&#10;3AAAAA8AAAAAAAAAAQAgAAAAIgAAAGRycy9kb3ducmV2LnhtbFBLAQIUABQAAAAIAIdO4kAzLwWe&#10;OwAAADkAAAAQAAAAAAAAAAEAIAAAAAsBAABkcnMvc2hhcGV4bWwueG1sUEsFBgAAAAAGAAYAWwEA&#10;ALUDAAAAAA==&#10;" path="m0,0l0,376e">
                  <v:fill on="f" focussize="0,0"/>
                  <v:stroke weight="0.934409448818898pt" color="#3E3E3E" joinstyle="round"/>
                  <v:imagedata o:title=""/>
                  <o:lock v:ext="edit" aspectratio="f"/>
                </v:shape>
                <v:group id="_x0000_s1026" o:spid="_x0000_s1026" o:spt="203" style="position:absolute;left:4705;top:7478;height:132;width:132;" coordorigin="4705,7478" coordsize="132,132" o:gfxdata="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b8CQRvwAAANwAAAAPAAAAAAAAAAEAIAAAACIAAABkcnMvZG93bnJldi54&#10;bWxQSwECFAAUAAAACACHTuJAMy8FnjsAAAA5AAAAFQAAAAAAAAABACAAAAAOAQAAZHJzL2dyb3Vw&#10;c2hhcGV4bWwueG1sUEsFBgAAAAAGAAYAYAEAAMsDAAAAAA==&#10;">
                  <o:lock v:ext="edit" aspectratio="f"/>
                  <v:shape id="_x0000_s1026" o:spid="_x0000_s1026" o:spt="100" style="position:absolute;left:4705;top:7478;height:132;width:132;" fillcolor="#3E3E3E" filled="t" stroked="f" coordsize="132,132" o:gfxdata="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AgkFvQAA&#10;ANwAAAAPAAAAAAAAAAEAIAAAACIAAABkcnMvZG93bnJldi54bWxQSwECFAAUAAAACACHTuJAMy8F&#10;njsAAAA5AAAAEAAAAAAAAAABACAAAAAMAQAAZHJzL3NoYXBleG1sLnhtbFBLBQYAAAAABgAGAFsB&#10;AAC2AwAAAAA=&#10;" path="m65,131l0,0,18,7,37,12,57,15,123,15,65,131xe">
                    <v:fill on="t" focussize="0,0"/>
                    <v:stroke on="f"/>
                    <v:imagedata o:title=""/>
                    <o:lock v:ext="edit" aspectratio="f"/>
                  </v:shape>
                  <v:shape id="_x0000_s1026" o:spid="_x0000_s1026" o:spt="100" style="position:absolute;left:4705;top:7478;height:132;width:132;" fillcolor="#3E3E3E" filled="t" stroked="f" coordsize="132,132" o:gfxdata="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5OrJ68AAAA&#10;3AAAAA8AAAAAAAAAAQAgAAAAIgAAAGRycy9kb3ducmV2LnhtbFBLAQIUABQAAAAIAIdO4kAzLwWe&#10;OwAAADkAAAAQAAAAAAAAAAEAIAAAAAsBAABkcnMvc2hhcGV4bWwueG1sUEsFBgAAAAAGAAYAWwEA&#10;ALUDAAAAAA==&#10;" path="m123,15l57,15,76,15,96,12,115,7,131,0,123,15xe">
                    <v:fill on="t" focussize="0,0"/>
                    <v:stroke on="f"/>
                    <v:imagedata o:title=""/>
                    <o:lock v:ext="edit" aspectratio="f"/>
                  </v:shape>
                </v:group>
                <v:shape id="_x0000_s1026" o:spid="_x0000_s1026" o:spt="100" style="position:absolute;left:4771;top:8032;height:1222;width:20;" filled="f" stroked="t" coordsize="20,1222" o:gfxdata="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u5yBfugAAANwA&#10;AAAPAAAAAAAAAAEAIAAAACIAAABkcnMvZG93bnJldi54bWxQSwECFAAUAAAACACHTuJAMy8FnjsA&#10;AAA5AAAAEAAAAAAAAAABACAAAAAJAQAAZHJzL3NoYXBleG1sLnhtbFBLBQYAAAAABgAGAFsBAACz&#10;AwAAAAA=&#10;" path="m0,0l0,1221e">
                  <v:fill on="f" focussize="0,0"/>
                  <v:stroke weight="0.934409448818898pt" color="#3E3E3E" joinstyle="round"/>
                  <v:imagedata o:title=""/>
                  <o:lock v:ext="edit" aspectratio="f"/>
                </v:shape>
                <v:group id="_x0000_s1026" o:spid="_x0000_s1026" o:spt="203" style="position:absolute;left:4705;top:9222;height:132;width:116;" coordorigin="4705,9222" coordsize="116,132" o:gfxdata="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kyyISvAAAANwAAAAPAAAAAAAAAAEAIAAAACIAAABkcnMvZG93bnJldi54bWxQ&#10;SwECFAAUAAAACACHTuJAMy8FnjsAAAA5AAAAFQAAAAAAAAABACAAAAALAQAAZHJzL2dyb3Vwc2hh&#10;cGV4bWwueG1sUEsFBgAAAAAGAAYAYAEAAMgDAAAAAA==&#10;">
                  <o:lock v:ext="edit" aspectratio="f"/>
                  <v:shape id="_x0000_s1026" o:spid="_x0000_s1026" o:spt="100" style="position:absolute;left:4705;top:9222;height:132;width:116;" fillcolor="#3E3E3E" filled="t" stroked="f" coordsize="116,132" o:gfxdata="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zPC0LsAAADc&#10;AAAADwAAAAAAAAABACAAAAAiAAAAZHJzL2Rvd25yZXYueG1sUEsBAhQAFAAAAAgAh07iQDMvBZ47&#10;AAAAOQAAABAAAAAAAAAAAQAgAAAACgEAAGRycy9zaGFwZXhtbC54bWxQSwUGAAAAAAYABgBbAQAA&#10;tAMAAAAA&#10;" path="m65,131l0,0,18,7,37,12,57,15,111,15,65,131xe">
                    <v:fill on="t" focussize="0,0"/>
                    <v:stroke on="f"/>
                    <v:imagedata o:title=""/>
                    <o:lock v:ext="edit" aspectratio="f"/>
                  </v:shape>
                  <v:shape id="_x0000_s1026" o:spid="_x0000_s1026" o:spt="100" style="position:absolute;left:4705;top:9222;height:132;width:116;" fillcolor="#3E3E3E" filled="t" stroked="f" coordsize="116,132" o:gfxdata="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H9nS7sAAADc&#10;AAAADwAAAAAAAAABACAAAAAiAAAAZHJzL2Rvd25yZXYueG1sUEsBAhQAFAAAAAgAh07iQDMvBZ47&#10;AAAAOQAAABAAAAAAAAAAAQAgAAAACgEAAGRycy9zaGFwZXhtbC54bWxQSwUGAAAAAAYABgBbAQAA&#10;tAMAAAAA&#10;" path="m111,15l57,15,76,15,96,12,115,7,111,15xe">
                    <v:fill on="t" focussize="0,0"/>
                    <v:stroke on="f"/>
                    <v:imagedata o:title=""/>
                    <o:lock v:ext="edit" aspectratio="f"/>
                  </v:shape>
                </v:group>
                <v:shape id="_x0000_s1026" o:spid="_x0000_s1026" o:spt="100" style="position:absolute;left:6990;top:2960;height:2536;width:735;" filled="f" stroked="t" coordsize="735,2536" o:gfxdata="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Wp4OfvQAA&#10;ANwAAAAPAAAAAAAAAAEAIAAAACIAAABkcnMvZG93bnJldi54bWxQSwECFAAUAAAACACHTuJAMy8F&#10;njsAAAA5AAAAEAAAAAAAAAABACAAAAAMAQAAZHJzL3NoYXBleG1sLnhtbFBLBQYAAAAABgAGAFsB&#10;AAC2AwAAAAA=&#10;" path="m734,2535l734,0,0,0e">
                  <v:fill on="f" focussize="0,0"/>
                  <v:stroke weight="0.934173228346457pt" color="#3E3E3E" joinstyle="round"/>
                  <v:imagedata o:title=""/>
                  <o:lock v:ext="edit" aspectratio="f"/>
                </v:shape>
                <v:shape id="_x0000_s1026" o:spid="_x0000_s1026" o:spt="100" style="position:absolute;left:6891;top:2895;height:116;width:132;" fillcolor="#3E3E3E" filled="t" stroked="f" coordsize="132,116" o:gfxdata="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xn5ULsAAADc&#10;AAAADwAAAAAAAAABACAAAAAiAAAAZHJzL2Rvd25yZXYueG1sUEsBAhQAFAAAAAgAh07iQDMvBZ47&#10;AAAAOQAAABAAAAAAAAAAAQAgAAAACgEAAGRycy9zaGFwZXhtbC54bWxQSwUGAAAAAAYABgBbAQAA&#10;tAMAAAAA&#10;" path="m124,115l0,65,131,0,123,18,118,37,116,56,116,76,119,96,124,115xe">
                  <v:fill on="t" focussize="0,0"/>
                  <v:stroke on="f"/>
                  <v:imagedata o:title=""/>
                  <o:lock v:ext="edit" aspectratio="f"/>
                </v:shape>
                <v:shape id="_x0000_s1026" o:spid="_x0000_s1026" o:spt="100" style="position:absolute;left:1896;top:2960;height:2536;width:656;" filled="f" stroked="t" coordsize="656,2536" o:gfxdata="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uDwIy8AAAA&#10;3AAAAA8AAAAAAAAAAQAgAAAAIgAAAGRycy9kb3ducmV2LnhtbFBLAQIUABQAAAAIAIdO4kAzLwWe&#10;OwAAADkAAAAQAAAAAAAAAAEAIAAAAAsBAABkcnMvc2hhcGV4bWwueG1sUEsFBgAAAAAGAAYAWwEA&#10;ALUDAAAAAA==&#10;" path="m0,2535l0,0,655,0e">
                  <v:fill on="f" focussize="0,0"/>
                  <v:stroke weight="0.934251968503937pt" color="#3E3E3E" joinstyle="round"/>
                  <v:imagedata o:title=""/>
                  <o:lock v:ext="edit" aspectratio="f"/>
                </v:shape>
                <v:shape id="_x0000_s1026" o:spid="_x0000_s1026" o:spt="100" style="position:absolute;left:2520;top:2895;height:132;width:132;" fillcolor="#3E3E3E" filled="t" stroked="f" coordsize="132,132" o:gfxdata="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JBHp4vQAA&#10;ANwAAAAPAAAAAAAAAAEAIAAAACIAAABkcnMvZG93bnJldi54bWxQSwECFAAUAAAACACHTuJAMy8F&#10;njsAAAA5AAAAEAAAAAAAAAABACAAAAAMAQAAZHJzL3NoYXBleG1sLnhtbFBLBQYAAAAABgAGAFsB&#10;AAC2AwAAAAA=&#10;" path="m0,131l7,112,12,93,15,74,15,54,12,35,6,16,0,0,131,65,0,131xe">
                  <v:fill on="t" focussize="0,0"/>
                  <v:stroke on="f"/>
                  <v:imagedata o:title=""/>
                  <o:lock v:ext="edit" aspectratio="f"/>
                </v:shape>
                <v:shape id="_x0000_s1026" o:spid="_x0000_s1026" o:spt="100" style="position:absolute;left:2486;top:5928;height:44;width:4650;" filled="f" stroked="t" coordsize="4650,44" o:gfxdata="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Tpn+r4A&#10;AADcAAAADwAAAAAAAAABACAAAAAiAAAAZHJzL2Rvd25yZXYueG1sUEsBAhQAFAAAAAgAh07iQDMv&#10;BZ47AAAAOQAAABAAAAAAAAAAAQAgAAAADQEAAGRycy9zaGFwZXhtbC54bWxQSwUGAAAAAAYABgBb&#10;AQAAtwMAAAAA&#10;" path="m4649,43l2329,43,2323,22,2308,6,2287,0,2264,5,2248,19,2241,39,0,43e">
                  <v:fill on="f" focussize="0,0"/>
                  <v:stroke weight="0.931653543307087pt" color="#3E3E3E" joinstyle="round"/>
                  <v:imagedata o:title=""/>
                  <o:lock v:ext="edit" aspectratio="f"/>
                </v:shape>
                <v:shape id="_x0000_s1026" o:spid="_x0000_s1026" o:spt="100" style="position:absolute;left:7103;top:5906;height:132;width:132;" fillcolor="#3E3E3E" filled="t" stroked="f" coordsize="132,132" o:gfxdata="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qvgo74A&#10;AADcAAAADwAAAAAAAAABACAAAAAiAAAAZHJzL2Rvd25yZXYueG1sUEsBAhQAFAAAAAgAh07iQDMv&#10;BZ47AAAAOQAAABAAAAAAAAAAAQAgAAAADQEAAGRycy9zaGFwZXhtbC54bWxQSwUGAAAAAAYABgBb&#10;AQAAtwMAAAAA&#10;" path="m0,131l7,112,12,93,15,74,15,54,12,35,6,16,0,0,131,65,0,131xe">
                  <v:fill on="t" focussize="0,0"/>
                  <v:stroke on="f"/>
                  <v:imagedata o:title=""/>
                  <o:lock v:ext="edit" aspectratio="f"/>
                </v:shape>
                <v:shape id="_x0000_s1026" o:spid="_x0000_s1026" o:spt="100" style="position:absolute;left:2386;top:5906;height:116;width:132;" fillcolor="#3E3E3E" filled="t" stroked="f" coordsize="132,116" o:gfxdata="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ZKff5vQAA&#10;ANwAAAAPAAAAAAAAAAEAIAAAACIAAABkcnMvZG93bnJldi54bWxQSwECFAAUAAAACACHTuJAMy8F&#10;njsAAAA5AAAAEAAAAAAAAAABACAAAAAMAQAAZHJzL3NoYXBleG1sLnhtbFBLBQYAAAAABgAGAFsB&#10;AAC2AwAAAAA=&#10;" path="m124,115l0,65,131,0,123,18,118,37,116,56,116,76,119,96,124,115xe">
                  <v:fill on="t" focussize="0,0"/>
                  <v:stroke on="f"/>
                  <v:imagedata o:title=""/>
                  <o:lock v:ext="edit" aspectratio="f"/>
                </v:shape>
                <v:shape id="_x0000_s1026" o:spid="_x0000_s1026" o:spt="100" style="position:absolute;left:2545;top:7821;height:20;width:987;" filled="f" stroked="t" coordsize="987,20" o:gfxdata="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NS2o68AAAA&#10;3AAAAA8AAAAAAAAAAQAgAAAAIgAAAGRycy9kb3ducmV2LnhtbFBLAQIUABQAAAAIAIdO4kAzLwWe&#10;OwAAADkAAAAQAAAAAAAAAAEAIAAAAAsBAABkcnMvc2hhcGV4bWwueG1sUEsFBgAAAAAGAAYAWwEA&#10;ALUDAAAAAA==&#10;" path="m0,0l986,0e">
                  <v:fill on="f" focussize="0,0"/>
                  <v:stroke weight="0.931653543307087pt" color="#3E3E3E" joinstyle="round"/>
                  <v:imagedata o:title=""/>
                  <o:lock v:ext="edit" aspectratio="f"/>
                </v:shape>
                <v:shape id="_x0000_s1026" o:spid="_x0000_s1026" o:spt="100" style="position:absolute;left:3500;top:7772;height:116;width:132;" fillcolor="#3E3E3E" filled="t" stroked="f" coordsize="132,116" o:gfxdata="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Gt8wVvQAA&#10;ANwAAAAPAAAAAAAAAAEAIAAAACIAAABkcnMvZG93bnJldi54bWxQSwECFAAUAAAACACHTuJAMy8F&#10;njsAAAA5AAAAEAAAAAAAAAABACAAAAAMAQAAZHJzL3NoYXBleG1sLnhtbFBLBQYAAAAABgAGAFsB&#10;AAC2AwAAAAA=&#10;" path="m0,115l7,96,12,77,15,58,15,38,12,19,6,0,131,49,0,115xe">
                  <v:fill on="t" focussize="0,0"/>
                  <v:stroke on="f"/>
                  <v:imagedata o:title=""/>
                  <o:lock v:ext="edit" aspectratio="f"/>
                </v:shape>
                <v:shape id="_x0000_s1026" o:spid="_x0000_s1026" o:spt="100" style="position:absolute;left:4871;top:8402;height:20;width:2815;" filled="f" stroked="t" coordsize="2815,20" o:gfxdata="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fukB7sAAADc&#10;AAAADwAAAAAAAAABACAAAAAiAAAAZHJzL2Rvd25yZXYueG1sUEsBAhQAFAAAAAgAh07iQDMvBZ47&#10;AAAAOQAAABAAAAAAAAAAAQAgAAAACgEAAGRycy9zaGFwZXhtbC54bWxQSwUGAAAAAAYABgBbAQAA&#10;tAMAAAAA&#10;" path="m2814,0l0,0e">
                  <v:fill on="f" focussize="0,0"/>
                  <v:stroke weight="0.931653543307087pt" color="#3E3E3E" joinstyle="round"/>
                  <v:imagedata o:title=""/>
                  <o:lock v:ext="edit" aspectratio="f"/>
                </v:shape>
                <v:shape id="_x0000_s1026" o:spid="_x0000_s1026" o:spt="100" style="position:absolute;left:4771;top:8337;height:116;width:132;" fillcolor="#3E3E3E" filled="t" stroked="f" coordsize="132,116" o:gfxdata="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hLx+rsAAADc&#10;AAAADwAAAAAAAAABACAAAAAiAAAAZHJzL2Rvd25yZXYueG1sUEsBAhQAFAAAAAgAh07iQDMvBZ47&#10;AAAAOQAAABAAAAAAAAAAAQAgAAAACgEAAGRycy9zaGFwZXhtbC54bWxQSwUGAAAAAAYABgBbAQAA&#10;tAMAAAAA&#10;" path="m124,115l0,65,131,0,123,18,118,37,116,56,116,76,119,96,124,115xe">
                  <v:fill on="t" focussize="0,0"/>
                  <v:stroke on="f"/>
                  <v:imagedata o:title=""/>
                  <o:lock v:ext="edit" aspectratio="f"/>
                </v:shape>
                <v:shape id="_x0000_s1026" o:spid="_x0000_s1026" o:spt="202" type="#_x0000_t202" style="position:absolute;left:3062;top:9366;height:951;width:3445;" filled="f" stroked="t" coordsize="21600,21600" o:gfxdata="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E4eL4A&#10;AADcAAAADwAAAAAAAAABACAAAAAiAAAAZHJzL2Rvd25yZXYueG1sUEsBAhQAFAAAAAgAh07iQDMv&#10;BZ47AAAAOQAAABAAAAAAAAAAAQAgAAAADQEAAGRycy9zaGFwZXhtbC54bWxQSwUGAAAAAAYABgBb&#10;AQAAtwMAAAAA&#10;">
                  <v:fill on="f" focussize="0,0"/>
                  <v:stroke weight="0.232755905511811pt" color="#3E3E3E" joinstyle="miter"/>
                  <v:imagedata o:title=""/>
                  <o:lock v:ext="edit" aspectratio="f"/>
                  <v:textbox inset="0mm,0mm,0mm,0mm">
                    <w:txbxContent>
                      <w:p>
                        <w:pPr>
                          <w:pStyle w:val="14"/>
                          <w:kinsoku w:val="0"/>
                          <w:overflowPunct w:val="0"/>
                          <w:autoSpaceDE w:val="0"/>
                          <w:autoSpaceDN w:val="0"/>
                          <w:adjustRightInd w:val="0"/>
                          <w:spacing w:line="248" w:lineRule="exact"/>
                          <w:ind w:left="60"/>
                          <w:jc w:val="left"/>
                          <w:rPr>
                            <w:bCs w:val="0"/>
                            <w:w w:val="105"/>
                            <w:kern w:val="0"/>
                            <w:sz w:val="18"/>
                            <w:szCs w:val="22"/>
                          </w:rPr>
                        </w:pPr>
                        <w:r>
                          <w:rPr>
                            <w:rFonts w:hint="eastAsia"/>
                            <w:bCs w:val="0"/>
                            <w:w w:val="105"/>
                            <w:kern w:val="0"/>
                            <w:sz w:val="18"/>
                            <w:szCs w:val="22"/>
                          </w:rPr>
                          <w:t>1、给出建设项目环境可行性的评价结论</w:t>
                        </w:r>
                      </w:p>
                      <w:p>
                        <w:pPr>
                          <w:pStyle w:val="14"/>
                          <w:kinsoku w:val="0"/>
                          <w:overflowPunct w:val="0"/>
                          <w:autoSpaceDE w:val="0"/>
                          <w:autoSpaceDN w:val="0"/>
                          <w:adjustRightInd w:val="0"/>
                          <w:spacing w:line="248" w:lineRule="exact"/>
                          <w:ind w:left="60"/>
                          <w:jc w:val="left"/>
                          <w:rPr>
                            <w:bCs w:val="0"/>
                            <w:w w:val="105"/>
                            <w:kern w:val="0"/>
                            <w:sz w:val="18"/>
                            <w:szCs w:val="22"/>
                          </w:rPr>
                        </w:pPr>
                        <w:r>
                          <w:rPr>
                            <w:rFonts w:hint="eastAsia"/>
                            <w:bCs w:val="0"/>
                            <w:w w:val="105"/>
                            <w:kern w:val="0"/>
                            <w:sz w:val="18"/>
                            <w:szCs w:val="22"/>
                          </w:rPr>
                          <w:t>2、提出环境保护措施与建议</w:t>
                        </w:r>
                      </w:p>
                      <w:p>
                        <w:pPr>
                          <w:pStyle w:val="14"/>
                          <w:kinsoku w:val="0"/>
                          <w:overflowPunct w:val="0"/>
                          <w:autoSpaceDE w:val="0"/>
                          <w:autoSpaceDN w:val="0"/>
                          <w:adjustRightInd w:val="0"/>
                          <w:spacing w:line="248" w:lineRule="exact"/>
                          <w:ind w:left="60"/>
                          <w:jc w:val="left"/>
                          <w:rPr>
                            <w:bCs w:val="0"/>
                            <w:w w:val="105"/>
                            <w:kern w:val="0"/>
                            <w:sz w:val="18"/>
                            <w:szCs w:val="22"/>
                          </w:rPr>
                        </w:pPr>
                        <w:r>
                          <w:rPr>
                            <w:rFonts w:hint="eastAsia"/>
                            <w:bCs w:val="0"/>
                            <w:w w:val="105"/>
                            <w:kern w:val="0"/>
                            <w:sz w:val="18"/>
                            <w:szCs w:val="22"/>
                          </w:rPr>
                          <w:t>3、编制环境影响报告书</w:t>
                        </w:r>
                      </w:p>
                    </w:txbxContent>
                  </v:textbox>
                </v:shape>
                <v:shape id="_x0000_s1026" o:spid="_x0000_s1026" o:spt="202" type="#_x0000_t202" style="position:absolute;left:3459;top:120;height:794;width:2650;" filled="f" stroked="f" coordsize="21600,21600" o:gfxdata="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va4Qu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pStyle w:val="14"/>
                          <w:kinsoku w:val="0"/>
                          <w:overflowPunct w:val="0"/>
                          <w:spacing w:before="111" w:line="253" w:lineRule="exact"/>
                          <w:ind w:left="62"/>
                          <w:rPr>
                            <w:sz w:val="18"/>
                          </w:rPr>
                        </w:pPr>
                        <w:r>
                          <w:rPr>
                            <w:rFonts w:hint="eastAsia" w:ascii="Calibri" w:hAnsi="Calibri" w:eastAsia="Calibri"/>
                            <w:w w:val="105"/>
                            <w:sz w:val="18"/>
                          </w:rPr>
                          <w:t>1</w:t>
                        </w:r>
                        <w:r>
                          <w:rPr>
                            <w:rFonts w:hint="eastAsia"/>
                            <w:w w:val="105"/>
                            <w:sz w:val="18"/>
                          </w:rPr>
                          <w:t>、环境影响评价委托文件</w:t>
                        </w:r>
                      </w:p>
                      <w:p>
                        <w:pPr>
                          <w:pStyle w:val="14"/>
                          <w:kinsoku w:val="0"/>
                          <w:overflowPunct w:val="0"/>
                          <w:spacing w:line="253" w:lineRule="exact"/>
                          <w:ind w:left="62"/>
                          <w:rPr>
                            <w:sz w:val="18"/>
                          </w:rPr>
                        </w:pPr>
                        <w:r>
                          <w:rPr>
                            <w:rFonts w:hint="eastAsia" w:ascii="Calibri" w:hAnsi="Calibri" w:eastAsia="Calibri"/>
                            <w:w w:val="105"/>
                            <w:sz w:val="18"/>
                          </w:rPr>
                          <w:t>2</w:t>
                        </w:r>
                        <w:r>
                          <w:rPr>
                            <w:rFonts w:hint="eastAsia"/>
                            <w:w w:val="105"/>
                            <w:sz w:val="18"/>
                          </w:rPr>
                          <w:t>、建设项目依据文件</w:t>
                        </w:r>
                      </w:p>
                    </w:txbxContent>
                  </v:textbox>
                </v:shape>
                <v:shape id="_x0000_s1026" o:spid="_x0000_s1026" o:spt="202" type="#_x0000_t202" style="position:absolute;left:1869;top:1309;height:794;width:5829;" filled="f" stroked="f" coordsize="21600,21600" o:gfxdata="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pFdXm/&#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pStyle w:val="14"/>
                          <w:kinsoku w:val="0"/>
                          <w:overflowPunct w:val="0"/>
                          <w:spacing w:before="111" w:line="253" w:lineRule="exact"/>
                          <w:ind w:left="62"/>
                          <w:rPr>
                            <w:sz w:val="18"/>
                          </w:rPr>
                        </w:pPr>
                        <w:r>
                          <w:rPr>
                            <w:rFonts w:hint="eastAsia" w:ascii="Calibri" w:hAnsi="Calibri" w:eastAsia="Calibri"/>
                            <w:w w:val="105"/>
                            <w:sz w:val="18"/>
                          </w:rPr>
                          <w:t>1</w:t>
                        </w:r>
                        <w:r>
                          <w:rPr>
                            <w:rFonts w:hint="eastAsia"/>
                            <w:w w:val="105"/>
                            <w:sz w:val="18"/>
                          </w:rPr>
                          <w:t>、研究国家和地方有关环境保护的法律法规、政策标准及相关规划</w:t>
                        </w:r>
                      </w:p>
                      <w:p>
                        <w:pPr>
                          <w:pStyle w:val="14"/>
                          <w:kinsoku w:val="0"/>
                          <w:overflowPunct w:val="0"/>
                          <w:spacing w:line="253" w:lineRule="exact"/>
                          <w:ind w:left="62"/>
                          <w:rPr>
                            <w:sz w:val="18"/>
                          </w:rPr>
                        </w:pPr>
                        <w:r>
                          <w:rPr>
                            <w:rFonts w:hint="eastAsia" w:ascii="Calibri" w:hAnsi="Calibri" w:eastAsia="Calibri"/>
                            <w:w w:val="105"/>
                            <w:sz w:val="18"/>
                          </w:rPr>
                          <w:t>2</w:t>
                        </w:r>
                        <w:r>
                          <w:rPr>
                            <w:rFonts w:hint="eastAsia"/>
                            <w:w w:val="105"/>
                            <w:sz w:val="18"/>
                          </w:rPr>
                          <w:t>、依据建设项目环境保护分类管理名录确定环境影响评价文件类型</w:t>
                        </w:r>
                      </w:p>
                    </w:txbxContent>
                  </v:textbox>
                </v:shape>
                <v:shape id="_x0000_s1026" o:spid="_x0000_s1026" o:spt="202" type="#_x0000_t202" style="position:absolute;left:2664;top:2498;height:953;width:4240;" filled="f" stroked="f" coordsize="21600,21600" o:gfxdata="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UJ0OK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pStyle w:val="14"/>
                          <w:kinsoku w:val="0"/>
                          <w:overflowPunct w:val="0"/>
                          <w:spacing w:before="67" w:line="253" w:lineRule="exact"/>
                          <w:ind w:left="62"/>
                          <w:rPr>
                            <w:sz w:val="18"/>
                          </w:rPr>
                        </w:pPr>
                        <w:r>
                          <w:rPr>
                            <w:rFonts w:hint="eastAsia" w:ascii="Calibri" w:hAnsi="Calibri" w:eastAsia="Calibri"/>
                            <w:w w:val="105"/>
                            <w:sz w:val="18"/>
                          </w:rPr>
                          <w:t>1</w:t>
                        </w:r>
                        <w:r>
                          <w:rPr>
                            <w:rFonts w:hint="eastAsia"/>
                            <w:w w:val="105"/>
                            <w:sz w:val="18"/>
                          </w:rPr>
                          <w:t>、研究建设项目的相关技术文件和其他有关文件</w:t>
                        </w:r>
                      </w:p>
                      <w:p>
                        <w:pPr>
                          <w:pStyle w:val="14"/>
                          <w:kinsoku w:val="0"/>
                          <w:overflowPunct w:val="0"/>
                          <w:spacing w:line="248" w:lineRule="exact"/>
                          <w:ind w:left="62"/>
                          <w:rPr>
                            <w:sz w:val="18"/>
                          </w:rPr>
                        </w:pPr>
                        <w:r>
                          <w:rPr>
                            <w:rFonts w:hint="eastAsia" w:ascii="Calibri" w:hAnsi="Calibri" w:eastAsia="Calibri"/>
                            <w:w w:val="105"/>
                            <w:sz w:val="18"/>
                          </w:rPr>
                          <w:t>2</w:t>
                        </w:r>
                        <w:r>
                          <w:rPr>
                            <w:rFonts w:hint="eastAsia"/>
                            <w:w w:val="105"/>
                            <w:sz w:val="18"/>
                          </w:rPr>
                          <w:t>、开展初步的环境状况调查</w:t>
                        </w:r>
                      </w:p>
                      <w:p>
                        <w:pPr>
                          <w:pStyle w:val="14"/>
                          <w:kinsoku w:val="0"/>
                          <w:overflowPunct w:val="0"/>
                          <w:spacing w:line="253" w:lineRule="exact"/>
                          <w:ind w:left="62"/>
                          <w:rPr>
                            <w:sz w:val="18"/>
                          </w:rPr>
                        </w:pPr>
                        <w:r>
                          <w:rPr>
                            <w:rFonts w:hint="eastAsia" w:ascii="Calibri" w:hAnsi="Calibri" w:eastAsia="Calibri"/>
                            <w:w w:val="105"/>
                            <w:sz w:val="18"/>
                          </w:rPr>
                          <w:t>3</w:t>
                        </w:r>
                        <w:r>
                          <w:rPr>
                            <w:rFonts w:hint="eastAsia"/>
                            <w:w w:val="105"/>
                            <w:sz w:val="18"/>
                          </w:rPr>
                          <w:t>、进行初步的工程分析</w:t>
                        </w:r>
                      </w:p>
                    </w:txbxContent>
                  </v:textbox>
                </v:shape>
                <v:shape id="_x0000_s1026" o:spid="_x0000_s1026" o:spt="202" type="#_x0000_t202" style="position:absolute;left:3803;top:6196;height:951;width:1961;" filled="f" stroked="f" coordsize="21600,21600" o:gfxdata="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pfs8K/&#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pStyle w:val="14"/>
                          <w:kinsoku w:val="0"/>
                          <w:overflowPunct w:val="0"/>
                          <w:spacing w:before="67" w:line="253" w:lineRule="exact"/>
                          <w:ind w:left="62"/>
                          <w:rPr>
                            <w:sz w:val="18"/>
                          </w:rPr>
                        </w:pPr>
                        <w:r>
                          <w:rPr>
                            <w:rFonts w:hint="eastAsia" w:ascii="Calibri" w:hAnsi="Calibri" w:eastAsia="Calibri"/>
                            <w:w w:val="105"/>
                            <w:sz w:val="18"/>
                          </w:rPr>
                          <w:t>1</w:t>
                        </w:r>
                        <w:r>
                          <w:rPr>
                            <w:rFonts w:hint="eastAsia"/>
                            <w:w w:val="105"/>
                            <w:sz w:val="18"/>
                          </w:rPr>
                          <w:t>、环境影响预测</w:t>
                        </w:r>
                      </w:p>
                      <w:p>
                        <w:pPr>
                          <w:pStyle w:val="14"/>
                          <w:kinsoku w:val="0"/>
                          <w:overflowPunct w:val="0"/>
                          <w:spacing w:line="248" w:lineRule="exact"/>
                          <w:ind w:left="62"/>
                          <w:rPr>
                            <w:sz w:val="18"/>
                          </w:rPr>
                        </w:pPr>
                        <w:r>
                          <w:rPr>
                            <w:rFonts w:hint="eastAsia" w:ascii="Calibri" w:hAnsi="Calibri" w:eastAsia="Calibri"/>
                            <w:w w:val="105"/>
                            <w:sz w:val="18"/>
                          </w:rPr>
                          <w:t>2</w:t>
                        </w:r>
                        <w:r>
                          <w:rPr>
                            <w:rFonts w:hint="eastAsia"/>
                            <w:w w:val="105"/>
                            <w:sz w:val="18"/>
                          </w:rPr>
                          <w:t>、清洁生产分析</w:t>
                        </w:r>
                      </w:p>
                      <w:p>
                        <w:pPr>
                          <w:pStyle w:val="14"/>
                          <w:kinsoku w:val="0"/>
                          <w:overflowPunct w:val="0"/>
                          <w:spacing w:line="253" w:lineRule="exact"/>
                          <w:ind w:left="62"/>
                          <w:rPr>
                            <w:sz w:val="18"/>
                          </w:rPr>
                        </w:pPr>
                        <w:r>
                          <w:rPr>
                            <w:rFonts w:hint="eastAsia" w:ascii="Calibri" w:hAnsi="Calibri" w:eastAsia="Calibri"/>
                            <w:w w:val="105"/>
                            <w:sz w:val="18"/>
                          </w:rPr>
                          <w:t>3</w:t>
                        </w:r>
                        <w:r>
                          <w:rPr>
                            <w:rFonts w:hint="eastAsia"/>
                            <w:w w:val="105"/>
                            <w:sz w:val="18"/>
                          </w:rPr>
                          <w:t>、环境保护措施论证</w:t>
                        </w:r>
                      </w:p>
                    </w:txbxContent>
                  </v:textbox>
                </v:shape>
                <v:shape id="_x0000_s1026" o:spid="_x0000_s1026" o:spt="202" type="#_x0000_t202" style="position:absolute;left:1074;top:7226;height:1216;width:1484;" filled="f" stroked="f" coordsize="21600,21600" o:gfxdata="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UTFlm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pStyle w:val="14"/>
                          <w:kinsoku w:val="0"/>
                          <w:overflowPunct w:val="0"/>
                          <w:autoSpaceDE w:val="0"/>
                          <w:autoSpaceDN w:val="0"/>
                          <w:adjustRightInd w:val="0"/>
                          <w:spacing w:line="248" w:lineRule="exact"/>
                          <w:ind w:left="60"/>
                          <w:jc w:val="left"/>
                          <w:rPr>
                            <w:bCs w:val="0"/>
                            <w:w w:val="105"/>
                            <w:kern w:val="0"/>
                            <w:sz w:val="18"/>
                            <w:szCs w:val="22"/>
                          </w:rPr>
                        </w:pPr>
                        <w:r>
                          <w:rPr>
                            <w:rFonts w:hint="eastAsia"/>
                            <w:bCs w:val="0"/>
                            <w:w w:val="105"/>
                            <w:kern w:val="0"/>
                            <w:sz w:val="18"/>
                            <w:szCs w:val="22"/>
                          </w:rPr>
                          <w:t>国家和地方有关 环境保护的法律 法规政策标准及 相关规划</w:t>
                        </w:r>
                      </w:p>
                    </w:txbxContent>
                  </v:textbox>
                </v:shape>
                <v:shape id="_x0000_s1026" o:spid="_x0000_s1026" o:spt="202" type="#_x0000_t202" style="position:absolute;left:7698;top:8071;height:687;width:795;" filled="f" stroked="f" coordsize="21600,21600" o:gfxdata="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XBiC6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pStyle w:val="14"/>
                          <w:kinsoku w:val="0"/>
                          <w:overflowPunct w:val="0"/>
                          <w:spacing w:before="52" w:line="246" w:lineRule="auto"/>
                          <w:ind w:left="62" w:right="169"/>
                          <w:rPr>
                            <w:sz w:val="18"/>
                          </w:rPr>
                        </w:pPr>
                        <w:r>
                          <w:rPr>
                            <w:rFonts w:hint="eastAsia"/>
                            <w:sz w:val="18"/>
                          </w:rPr>
                          <w:t>公众参</w:t>
                        </w:r>
                        <w:r>
                          <w:rPr>
                            <w:rFonts w:hint="eastAsia"/>
                            <w:w w:val="103"/>
                            <w:sz w:val="18"/>
                          </w:rPr>
                          <w:t xml:space="preserve"> </w:t>
                        </w:r>
                        <w:r>
                          <w:rPr>
                            <w:rFonts w:hint="eastAsia"/>
                            <w:sz w:val="18"/>
                          </w:rPr>
                          <w:t>与调查</w:t>
                        </w:r>
                      </w:p>
                    </w:txbxContent>
                  </v:textbox>
                </v:shape>
                <v:shape id="_x0000_s1026" o:spid="_x0000_s1026" o:spt="202" type="#_x0000_t202" style="position:absolute;left:3062;top:3845;height:953;width:3445;" filled="f" stroked="f" coordsize="21600,21600" o:gfxdata="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qNLbW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pStyle w:val="14"/>
                          <w:kinsoku w:val="0"/>
                          <w:overflowPunct w:val="0"/>
                          <w:spacing w:before="67" w:line="253" w:lineRule="exact"/>
                          <w:ind w:left="62"/>
                          <w:rPr>
                            <w:sz w:val="18"/>
                          </w:rPr>
                        </w:pPr>
                        <w:r>
                          <w:rPr>
                            <w:rFonts w:hint="eastAsia" w:ascii="Calibri" w:hAnsi="Calibri" w:eastAsia="Calibri"/>
                            <w:w w:val="105"/>
                            <w:sz w:val="18"/>
                          </w:rPr>
                          <w:t>1</w:t>
                        </w:r>
                        <w:r>
                          <w:rPr>
                            <w:rFonts w:hint="eastAsia"/>
                            <w:w w:val="105"/>
                            <w:sz w:val="18"/>
                          </w:rPr>
                          <w:t>、环境影响因素识别与评价因子筛选</w:t>
                        </w:r>
                      </w:p>
                      <w:p>
                        <w:pPr>
                          <w:pStyle w:val="14"/>
                          <w:kinsoku w:val="0"/>
                          <w:overflowPunct w:val="0"/>
                          <w:spacing w:line="248" w:lineRule="exact"/>
                          <w:ind w:left="62"/>
                          <w:rPr>
                            <w:sz w:val="18"/>
                          </w:rPr>
                        </w:pPr>
                        <w:r>
                          <w:rPr>
                            <w:rFonts w:hint="eastAsia" w:ascii="Calibri" w:hAnsi="Calibri" w:eastAsia="Calibri"/>
                            <w:w w:val="105"/>
                            <w:sz w:val="18"/>
                          </w:rPr>
                          <w:t>2</w:t>
                        </w:r>
                        <w:r>
                          <w:rPr>
                            <w:rFonts w:hint="eastAsia"/>
                            <w:w w:val="105"/>
                            <w:sz w:val="18"/>
                          </w:rPr>
                          <w:t>、确定评价重点和专项评价工作等级</w:t>
                        </w:r>
                      </w:p>
                      <w:p>
                        <w:pPr>
                          <w:pStyle w:val="14"/>
                          <w:kinsoku w:val="0"/>
                          <w:overflowPunct w:val="0"/>
                          <w:spacing w:line="253" w:lineRule="exact"/>
                          <w:ind w:left="62"/>
                          <w:rPr>
                            <w:sz w:val="18"/>
                          </w:rPr>
                        </w:pPr>
                        <w:r>
                          <w:rPr>
                            <w:rFonts w:hint="eastAsia" w:ascii="Calibri" w:hAnsi="Calibri" w:eastAsia="Calibri"/>
                            <w:w w:val="105"/>
                            <w:sz w:val="18"/>
                          </w:rPr>
                          <w:t>3</w:t>
                        </w:r>
                        <w:r>
                          <w:rPr>
                            <w:rFonts w:hint="eastAsia"/>
                            <w:w w:val="105"/>
                            <w:sz w:val="18"/>
                          </w:rPr>
                          <w:t>、明确各专项评价范围和保护目标</w:t>
                        </w:r>
                      </w:p>
                    </w:txbxContent>
                  </v:textbox>
                </v:shape>
                <v:shape id="_x0000_s1026" o:spid="_x0000_s1026" o:spt="202" type="#_x0000_t202" style="position:absolute;left:1419;top:5509;height:951;width:981;" filled="f" stroked="f" coordsize="21600,21600" o:gfxdata="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VktcG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pStyle w:val="14"/>
                          <w:kinsoku w:val="0"/>
                          <w:overflowPunct w:val="0"/>
                          <w:autoSpaceDE w:val="0"/>
                          <w:autoSpaceDN w:val="0"/>
                          <w:adjustRightInd w:val="0"/>
                          <w:spacing w:before="51" w:line="240" w:lineRule="auto"/>
                          <w:ind w:left="62"/>
                          <w:jc w:val="left"/>
                          <w:rPr>
                            <w:sz w:val="18"/>
                          </w:rPr>
                        </w:pPr>
                        <w:r>
                          <w:rPr>
                            <w:rFonts w:hint="eastAsia"/>
                            <w:w w:val="105"/>
                            <w:sz w:val="18"/>
                          </w:rPr>
                          <w:t>环境状况</w:t>
                        </w:r>
                      </w:p>
                      <w:p>
                        <w:pPr>
                          <w:pStyle w:val="14"/>
                          <w:kinsoku w:val="0"/>
                          <w:overflowPunct w:val="0"/>
                          <w:ind w:left="62"/>
                          <w:rPr>
                            <w:sz w:val="18"/>
                          </w:rPr>
                        </w:pPr>
                        <w:r>
                          <w:rPr>
                            <w:rFonts w:hint="eastAsia"/>
                            <w:w w:val="105"/>
                            <w:sz w:val="18"/>
                          </w:rPr>
                          <w:t>现状监测</w:t>
                        </w:r>
                      </w:p>
                    </w:txbxContent>
                  </v:textbox>
                </v:shape>
                <v:shape id="_x0000_s1026" o:spid="_x0000_s1026" o:spt="202" type="#_x0000_t202" style="position:absolute;left:7248;top:5509;height:951;width:981;" filled="f" stroked="f" coordsize="21600,21600" o:gfxdata="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ooEFq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pStyle w:val="14"/>
                          <w:kinsoku w:val="0"/>
                          <w:overflowPunct w:val="0"/>
                          <w:autoSpaceDE w:val="0"/>
                          <w:autoSpaceDN w:val="0"/>
                          <w:adjustRightInd w:val="0"/>
                          <w:spacing w:before="51" w:line="240" w:lineRule="auto"/>
                          <w:ind w:left="62"/>
                          <w:jc w:val="left"/>
                          <w:rPr>
                            <w:sz w:val="18"/>
                          </w:rPr>
                        </w:pPr>
                        <w:r>
                          <w:rPr>
                            <w:rFonts w:hint="eastAsia"/>
                            <w:sz w:val="18"/>
                          </w:rPr>
                          <w:t>建设项目</w:t>
                        </w:r>
                        <w:r>
                          <w:rPr>
                            <w:rFonts w:hint="eastAsia"/>
                            <w:w w:val="103"/>
                            <w:sz w:val="18"/>
                          </w:rPr>
                          <w:t xml:space="preserve"> </w:t>
                        </w:r>
                        <w:r>
                          <w:rPr>
                            <w:rFonts w:hint="eastAsia"/>
                            <w:sz w:val="18"/>
                          </w:rPr>
                          <w:t>工程分析</w:t>
                        </w:r>
                      </w:p>
                    </w:txbxContent>
                  </v:textbox>
                </v:shape>
                <v:shape id="_x0000_s1026" o:spid="_x0000_s1026" o:spt="202" type="#_x0000_t202" style="position:absolute;left:3644;top:7622;height:423;width:2279;" filled="f" stroked="f" coordsize="21600,21600" o:gfxdata="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vqOLb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pPr>
                          <w:pStyle w:val="14"/>
                          <w:kinsoku w:val="0"/>
                          <w:overflowPunct w:val="0"/>
                          <w:autoSpaceDE w:val="0"/>
                          <w:autoSpaceDN w:val="0"/>
                          <w:adjustRightInd w:val="0"/>
                          <w:spacing w:before="51" w:line="240" w:lineRule="auto"/>
                          <w:ind w:left="62"/>
                          <w:jc w:val="left"/>
                          <w:rPr>
                            <w:sz w:val="18"/>
                          </w:rPr>
                        </w:pPr>
                        <w:r>
                          <w:rPr>
                            <w:rFonts w:hint="eastAsia"/>
                            <w:w w:val="105"/>
                            <w:sz w:val="18"/>
                          </w:rPr>
                          <w:t>评价建设项目的环境影响</w:t>
                        </w:r>
                      </w:p>
                    </w:txbxContent>
                  </v:textbox>
                </v:shape>
                <v:shape id="_x0000_s1026" o:spid="_x0000_s1026" o:spt="202" type="#_x0000_t202" style="position:absolute;left:462;top:758;height:1211;width:182;" filled="f" stroked="f" coordsize="21600,21600" o:gfxdata="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W2K7a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pStyle w:val="14"/>
                          <w:kinsoku w:val="0"/>
                          <w:overflowPunct w:val="0"/>
                          <w:autoSpaceDE w:val="0"/>
                          <w:autoSpaceDN w:val="0"/>
                          <w:adjustRightInd w:val="0"/>
                          <w:spacing w:line="240" w:lineRule="auto"/>
                          <w:rPr>
                            <w:bCs w:val="0"/>
                            <w:w w:val="105"/>
                            <w:kern w:val="0"/>
                            <w:sz w:val="16"/>
                            <w:szCs w:val="22"/>
                          </w:rPr>
                        </w:pPr>
                        <w:r>
                          <w:rPr>
                            <w:rFonts w:hint="eastAsia"/>
                            <w:bCs w:val="0"/>
                            <w:w w:val="105"/>
                            <w:kern w:val="0"/>
                            <w:sz w:val="16"/>
                            <w:szCs w:val="22"/>
                          </w:rPr>
                          <w:t>第</w:t>
                        </w:r>
                      </w:p>
                      <w:p>
                        <w:pPr>
                          <w:pStyle w:val="14"/>
                          <w:kinsoku w:val="0"/>
                          <w:overflowPunct w:val="0"/>
                          <w:autoSpaceDE w:val="0"/>
                          <w:autoSpaceDN w:val="0"/>
                          <w:adjustRightInd w:val="0"/>
                          <w:spacing w:line="240" w:lineRule="auto"/>
                          <w:rPr>
                            <w:sz w:val="16"/>
                          </w:rPr>
                        </w:pPr>
                        <w:r>
                          <w:rPr>
                            <w:rFonts w:hint="eastAsia"/>
                            <w:bCs w:val="0"/>
                            <w:w w:val="105"/>
                            <w:kern w:val="0"/>
                            <w:sz w:val="16"/>
                            <w:szCs w:val="22"/>
                          </w:rPr>
                          <w:t>一 阶</w:t>
                        </w:r>
                        <w:r>
                          <w:rPr>
                            <w:rFonts w:hint="eastAsia"/>
                            <w:w w:val="105"/>
                            <w:sz w:val="16"/>
                          </w:rPr>
                          <w:t xml:space="preserve"> 段</w:t>
                        </w:r>
                      </w:p>
                    </w:txbxContent>
                  </v:textbox>
                </v:shape>
                <v:shape id="_x0000_s1026" o:spid="_x0000_s1026" o:spt="202" type="#_x0000_t202" style="position:absolute;left:449;top:6110;height:1133;width:195;" filled="f" stroked="f" coordsize="21600,21600" o:gfxdata="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Qpv8S/&#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pStyle w:val="14"/>
                          <w:kinsoku w:val="0"/>
                          <w:overflowPunct w:val="0"/>
                          <w:autoSpaceDE w:val="0"/>
                          <w:autoSpaceDN w:val="0"/>
                          <w:adjustRightInd w:val="0"/>
                          <w:spacing w:line="248" w:lineRule="exact"/>
                          <w:ind w:left="60"/>
                          <w:jc w:val="left"/>
                          <w:rPr>
                            <w:sz w:val="16"/>
                          </w:rPr>
                        </w:pPr>
                        <w:r>
                          <w:rPr>
                            <w:rFonts w:hint="eastAsia"/>
                            <w:w w:val="105"/>
                            <w:sz w:val="16"/>
                            <w:lang w:eastAsia="zh-CN"/>
                          </w:rPr>
                          <w:t>第</w:t>
                        </w:r>
                        <w:r>
                          <w:rPr>
                            <w:rFonts w:hint="eastAsia"/>
                            <w:w w:val="105"/>
                            <w:sz w:val="16"/>
                          </w:rPr>
                          <w:t>二</w:t>
                        </w:r>
                      </w:p>
                      <w:p>
                        <w:pPr>
                          <w:pStyle w:val="14"/>
                          <w:kinsoku w:val="0"/>
                          <w:overflowPunct w:val="0"/>
                          <w:autoSpaceDE w:val="0"/>
                          <w:autoSpaceDN w:val="0"/>
                          <w:adjustRightInd w:val="0"/>
                          <w:spacing w:line="248" w:lineRule="exact"/>
                          <w:ind w:left="60"/>
                          <w:jc w:val="left"/>
                          <w:rPr>
                            <w:sz w:val="16"/>
                          </w:rPr>
                        </w:pPr>
                        <w:r>
                          <w:rPr>
                            <w:rFonts w:hint="eastAsia"/>
                            <w:w w:val="105"/>
                            <w:sz w:val="16"/>
                          </w:rPr>
                          <w:t>阶</w:t>
                        </w:r>
                        <w:r>
                          <w:rPr>
                            <w:rFonts w:hint="eastAsia"/>
                            <w:w w:val="105"/>
                            <w:sz w:val="16"/>
                            <w:lang w:eastAsia="zh-CN"/>
                          </w:rPr>
                          <w:t>段</w:t>
                        </w:r>
                        <w:r>
                          <w:rPr>
                            <w:rFonts w:hint="eastAsia"/>
                            <w:bCs w:val="0"/>
                            <w:w w:val="105"/>
                            <w:kern w:val="0"/>
                            <w:sz w:val="16"/>
                            <w:szCs w:val="22"/>
                          </w:rPr>
                          <w:t xml:space="preserve"> </w:t>
                        </w:r>
                      </w:p>
                    </w:txbxContent>
                  </v:textbox>
                </v:shape>
                <v:shape id="_x0000_s1026" o:spid="_x0000_s1026" o:spt="202" type="#_x0000_t202" style="position:absolute;left:475;top:9422;height:1156;width:318;" filled="f" stroked="f" coordsize="21600,21600" o:gfxdata="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rZRpfvQAA&#10;ANw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pStyle w:val="14"/>
                          <w:kinsoku w:val="0"/>
                          <w:overflowPunct w:val="0"/>
                          <w:spacing w:line="163" w:lineRule="exact"/>
                          <w:rPr>
                            <w:w w:val="105"/>
                            <w:sz w:val="16"/>
                          </w:rPr>
                        </w:pPr>
                        <w:r>
                          <w:rPr>
                            <w:rFonts w:hint="eastAsia"/>
                            <w:w w:val="105"/>
                            <w:sz w:val="16"/>
                          </w:rPr>
                          <w:t>第</w:t>
                        </w:r>
                      </w:p>
                      <w:p>
                        <w:pPr>
                          <w:pStyle w:val="14"/>
                          <w:kinsoku w:val="0"/>
                          <w:overflowPunct w:val="0"/>
                          <w:spacing w:line="163" w:lineRule="exact"/>
                          <w:rPr>
                            <w:w w:val="105"/>
                            <w:sz w:val="16"/>
                          </w:rPr>
                        </w:pPr>
                      </w:p>
                      <w:p>
                        <w:pPr>
                          <w:pStyle w:val="14"/>
                          <w:kinsoku w:val="0"/>
                          <w:overflowPunct w:val="0"/>
                          <w:spacing w:line="163" w:lineRule="exact"/>
                          <w:rPr>
                            <w:w w:val="105"/>
                            <w:sz w:val="16"/>
                          </w:rPr>
                        </w:pPr>
                        <w:r>
                          <w:rPr>
                            <w:rFonts w:hint="eastAsia"/>
                            <w:w w:val="105"/>
                            <w:sz w:val="16"/>
                          </w:rPr>
                          <w:t>三</w:t>
                        </w:r>
                      </w:p>
                      <w:p>
                        <w:pPr>
                          <w:pStyle w:val="14"/>
                          <w:kinsoku w:val="0"/>
                          <w:overflowPunct w:val="0"/>
                          <w:spacing w:line="163" w:lineRule="exact"/>
                          <w:rPr>
                            <w:w w:val="105"/>
                            <w:sz w:val="16"/>
                          </w:rPr>
                        </w:pPr>
                      </w:p>
                      <w:p>
                        <w:pPr>
                          <w:pStyle w:val="14"/>
                          <w:kinsoku w:val="0"/>
                          <w:overflowPunct w:val="0"/>
                          <w:spacing w:line="163" w:lineRule="exact"/>
                          <w:rPr>
                            <w:w w:val="105"/>
                            <w:sz w:val="16"/>
                          </w:rPr>
                        </w:pPr>
                        <w:r>
                          <w:rPr>
                            <w:rFonts w:hint="eastAsia"/>
                            <w:w w:val="105"/>
                            <w:sz w:val="16"/>
                          </w:rPr>
                          <w:t>阶</w:t>
                        </w:r>
                      </w:p>
                      <w:p>
                        <w:pPr>
                          <w:pStyle w:val="14"/>
                          <w:kinsoku w:val="0"/>
                          <w:overflowPunct w:val="0"/>
                          <w:spacing w:line="163" w:lineRule="exact"/>
                          <w:rPr>
                            <w:w w:val="105"/>
                            <w:sz w:val="16"/>
                          </w:rPr>
                        </w:pPr>
                      </w:p>
                      <w:p>
                        <w:pPr>
                          <w:pStyle w:val="14"/>
                          <w:kinsoku w:val="0"/>
                          <w:overflowPunct w:val="0"/>
                          <w:spacing w:line="163" w:lineRule="exact"/>
                          <w:rPr>
                            <w:sz w:val="16"/>
                          </w:rPr>
                        </w:pPr>
                        <w:r>
                          <w:rPr>
                            <w:rFonts w:hint="eastAsia"/>
                            <w:w w:val="105"/>
                            <w:sz w:val="16"/>
                          </w:rPr>
                          <w:t>段</w:t>
                        </w:r>
                      </w:p>
                    </w:txbxContent>
                  </v:textbox>
                </v:shape>
                <w10:wrap type="none"/>
                <w10:anchorlock/>
              </v:group>
            </w:pict>
          </mc:Fallback>
        </mc:AlternateContent>
      </w:r>
    </w:p>
    <w:p>
      <w:pPr>
        <w:pStyle w:val="14"/>
        <w:kinsoku w:val="0"/>
        <w:overflowPunct w:val="0"/>
        <w:spacing w:before="36"/>
        <w:ind w:right="22"/>
        <w:jc w:val="center"/>
        <w:rPr>
          <w:rFonts w:ascii="Times New Roman" w:hAnsi="Times New Roman"/>
          <w:sz w:val="24"/>
        </w:rPr>
      </w:pPr>
      <w:r>
        <w:rPr>
          <w:rFonts w:ascii="Times New Roman" w:hAnsi="Times New Roman"/>
          <w:b/>
          <w:spacing w:val="-1"/>
          <w:sz w:val="24"/>
        </w:rPr>
        <w:t>图1-1环境影响评价程序方框</w:t>
      </w:r>
    </w:p>
    <w:p>
      <w:pPr>
        <w:spacing w:line="360" w:lineRule="auto"/>
        <w:ind w:firstLine="482" w:firstLineChars="200"/>
        <w:rPr>
          <w:rFonts w:hAnsi="Times New Roman" w:eastAsia="宋体"/>
          <w:b/>
          <w:bCs/>
          <w:lang w:eastAsia="zh-CN"/>
        </w:rPr>
      </w:pPr>
      <w:r>
        <w:rPr>
          <w:rFonts w:hAnsi="Times New Roman" w:eastAsia="宋体"/>
          <w:b/>
          <w:bCs/>
          <w:lang w:eastAsia="zh-CN"/>
        </w:rPr>
        <w:t>四、项目相关判定情况</w:t>
      </w:r>
    </w:p>
    <w:p>
      <w:pPr>
        <w:spacing w:line="360" w:lineRule="auto"/>
        <w:ind w:firstLine="482" w:firstLineChars="200"/>
        <w:rPr>
          <w:rFonts w:hAnsi="Times New Roman" w:eastAsia="宋体"/>
          <w:b/>
          <w:bCs/>
          <w:lang w:eastAsia="zh-CN"/>
        </w:rPr>
      </w:pPr>
      <w:r>
        <w:rPr>
          <w:rFonts w:hAnsi="Times New Roman" w:eastAsia="宋体"/>
          <w:b/>
          <w:bCs/>
          <w:lang w:eastAsia="zh-CN"/>
        </w:rPr>
        <w:t>（1）产业政策符合性分析</w:t>
      </w:r>
    </w:p>
    <w:p>
      <w:pPr>
        <w:spacing w:line="360" w:lineRule="auto"/>
        <w:ind w:firstLine="480" w:firstLineChars="200"/>
        <w:rPr>
          <w:rFonts w:hAnsi="Times New Roman" w:eastAsia="宋体"/>
          <w:lang w:eastAsia="zh-CN"/>
        </w:rPr>
      </w:pPr>
      <w:r>
        <w:rPr>
          <w:rFonts w:hAnsi="Times New Roman" w:eastAsia="宋体"/>
          <w:lang w:eastAsia="zh-CN"/>
        </w:rPr>
        <w:t>本项目为煤矿开采，设计扩建后开采规模为30万吨/年，不属于《产业结构调整指导目录（20</w:t>
      </w:r>
      <w:r>
        <w:rPr>
          <w:rFonts w:hint="eastAsia" w:hAnsi="Times New Roman" w:eastAsia="宋体"/>
          <w:lang w:eastAsia="zh-CN"/>
        </w:rPr>
        <w:t>24</w:t>
      </w:r>
      <w:r>
        <w:rPr>
          <w:rFonts w:hAnsi="Times New Roman" w:eastAsia="宋体"/>
          <w:lang w:eastAsia="zh-CN"/>
        </w:rPr>
        <w:t>年本）》中的鼓励类、限制类和淘汰类，根据《促进产业结构调整暂行规定》（国发〔2005〕40号），项目属于允许类。项目的建设与《煤炭产业政策</w:t>
      </w:r>
      <w:r>
        <w:rPr>
          <w:rFonts w:hint="eastAsia" w:hAnsi="Times New Roman" w:eastAsia="宋体"/>
          <w:lang w:eastAsia="zh-CN"/>
        </w:rPr>
        <w:t>》《</w:t>
      </w:r>
      <w:r>
        <w:rPr>
          <w:rFonts w:hAnsi="Times New Roman" w:eastAsia="宋体"/>
          <w:lang w:eastAsia="zh-CN"/>
        </w:rPr>
        <w:t>燃煤二氧化硫排放污染防治技术政策</w:t>
      </w:r>
      <w:r>
        <w:rPr>
          <w:rFonts w:hint="eastAsia" w:hAnsi="Times New Roman" w:eastAsia="宋体"/>
          <w:lang w:eastAsia="zh-CN"/>
        </w:rPr>
        <w:t>》《</w:t>
      </w:r>
      <w:r>
        <w:rPr>
          <w:rFonts w:hAnsi="Times New Roman" w:eastAsia="宋体"/>
          <w:lang w:eastAsia="zh-CN"/>
        </w:rPr>
        <w:t>国务院关于酸雨控制区和二氧化硫污染控制区有关问题的批复</w:t>
      </w:r>
      <w:r>
        <w:rPr>
          <w:rFonts w:hint="eastAsia" w:hAnsi="Times New Roman" w:eastAsia="宋体"/>
          <w:lang w:eastAsia="zh-CN"/>
        </w:rPr>
        <w:t>》《</w:t>
      </w:r>
      <w:r>
        <w:rPr>
          <w:rFonts w:hAnsi="Times New Roman" w:eastAsia="宋体"/>
          <w:lang w:eastAsia="zh-CN"/>
        </w:rPr>
        <w:t>商品煤质量管理暂行办法</w:t>
      </w:r>
      <w:r>
        <w:rPr>
          <w:rFonts w:hint="eastAsia" w:hAnsi="Times New Roman" w:eastAsia="宋体"/>
          <w:lang w:eastAsia="zh-CN"/>
        </w:rPr>
        <w:t>》《</w:t>
      </w:r>
      <w:r>
        <w:rPr>
          <w:rFonts w:hAnsi="Times New Roman" w:eastAsia="宋体"/>
          <w:lang w:eastAsia="zh-CN"/>
        </w:rPr>
        <w:t>矿山生态环境保护与污染防治技术政策》（国环发〔2005〕109号）、《矿山生态环境保护与恢复治理技术规范（试行）》（HJ 651-2013）等技术政策相关要求指标相符。因此，本项目与国家现行产业政策相符。</w:t>
      </w:r>
    </w:p>
    <w:p>
      <w:pPr>
        <w:spacing w:line="360" w:lineRule="auto"/>
        <w:ind w:firstLine="482" w:firstLineChars="200"/>
        <w:rPr>
          <w:rFonts w:hAnsi="Times New Roman" w:eastAsia="宋体"/>
          <w:b/>
          <w:bCs/>
          <w:lang w:eastAsia="zh-CN"/>
        </w:rPr>
      </w:pPr>
      <w:r>
        <w:rPr>
          <w:rFonts w:hAnsi="Times New Roman" w:eastAsia="宋体"/>
          <w:b/>
          <w:bCs/>
          <w:lang w:eastAsia="zh-CN"/>
        </w:rPr>
        <w:t>（2）规划符合性</w:t>
      </w:r>
    </w:p>
    <w:p>
      <w:pPr>
        <w:spacing w:line="360" w:lineRule="auto"/>
        <w:ind w:firstLine="480" w:firstLineChars="200"/>
        <w:rPr>
          <w:rFonts w:hAnsi="Times New Roman" w:eastAsia="宋体"/>
          <w:lang w:eastAsia="zh-CN"/>
        </w:rPr>
      </w:pPr>
      <w:r>
        <w:rPr>
          <w:rFonts w:hint="eastAsia" w:hAnsi="Times New Roman" w:eastAsia="宋体"/>
          <w:lang w:eastAsia="zh-CN"/>
        </w:rPr>
        <w:t>七里峡</w:t>
      </w:r>
      <w:r>
        <w:rPr>
          <w:rFonts w:hAnsi="Times New Roman" w:eastAsia="宋体"/>
          <w:lang w:eastAsia="zh-CN"/>
        </w:rPr>
        <w:t>煤矿位于宣汉县</w:t>
      </w:r>
      <w:r>
        <w:rPr>
          <w:rFonts w:hint="eastAsia" w:hAnsi="Times New Roman" w:eastAsia="宋体"/>
          <w:lang w:eastAsia="zh-CN"/>
        </w:rPr>
        <w:t>天生镇洞宫社区，属于《宣汉县煤炭矿区总体规划》中规划的改扩建矿井。项目矿区开采范围及开采规模均未超出矿区总体规划的规划井田范围，同时，经四川省林业和草原局批复（川林护函〔2023〕187号），明确同意在四川宣汉国家森林公园内保留七里峡煤矿主井+379m地下通风和运输巷道。因此，项目符合《宣汉县煤炭矿区总体规划》及批复的相关要求。</w:t>
      </w:r>
    </w:p>
    <w:p>
      <w:pPr>
        <w:spacing w:line="360" w:lineRule="auto"/>
        <w:ind w:firstLine="480" w:firstLineChars="200"/>
        <w:rPr>
          <w:rFonts w:hAnsi="Times New Roman" w:eastAsia="宋体"/>
          <w:lang w:eastAsia="zh-CN"/>
        </w:rPr>
      </w:pPr>
      <w:r>
        <w:rPr>
          <w:rFonts w:hint="eastAsia" w:hAnsi="Times New Roman" w:eastAsia="宋体"/>
          <w:lang w:eastAsia="zh-CN"/>
        </w:rPr>
        <w:t>同时，</w:t>
      </w:r>
      <w:r>
        <w:rPr>
          <w:rFonts w:hAnsi="Times New Roman" w:eastAsia="宋体"/>
          <w:lang w:eastAsia="zh-CN"/>
        </w:rPr>
        <w:t>本项目建设符合《四川省主体功能区划</w:t>
      </w:r>
      <w:r>
        <w:rPr>
          <w:rFonts w:hint="eastAsia" w:hAnsi="Times New Roman" w:eastAsia="宋体"/>
          <w:lang w:eastAsia="zh-CN"/>
        </w:rPr>
        <w:t>》《</w:t>
      </w:r>
      <w:r>
        <w:rPr>
          <w:rFonts w:hAnsi="Times New Roman" w:eastAsia="宋体"/>
          <w:lang w:eastAsia="zh-CN"/>
        </w:rPr>
        <w:t>四川省生态功能区划</w:t>
      </w:r>
      <w:r>
        <w:rPr>
          <w:rFonts w:hint="eastAsia" w:hAnsi="Times New Roman" w:eastAsia="宋体"/>
          <w:lang w:eastAsia="zh-CN"/>
        </w:rPr>
        <w:t>》《</w:t>
      </w:r>
      <w:r>
        <w:rPr>
          <w:rFonts w:hAnsi="Times New Roman" w:eastAsia="宋体"/>
          <w:lang w:eastAsia="zh-CN"/>
        </w:rPr>
        <w:t>四川省“十</w:t>
      </w:r>
      <w:r>
        <w:rPr>
          <w:rFonts w:hint="eastAsia" w:hAnsi="Times New Roman" w:eastAsia="宋体"/>
          <w:lang w:eastAsia="zh-CN"/>
        </w:rPr>
        <w:t>四</w:t>
      </w:r>
      <w:r>
        <w:rPr>
          <w:rFonts w:hAnsi="Times New Roman" w:eastAsia="宋体"/>
          <w:lang w:eastAsia="zh-CN"/>
        </w:rPr>
        <w:t>五”</w:t>
      </w:r>
      <w:r>
        <w:rPr>
          <w:rFonts w:hint="eastAsia" w:hAnsi="Times New Roman" w:eastAsia="宋体"/>
          <w:lang w:eastAsia="zh-CN"/>
        </w:rPr>
        <w:t>生态</w:t>
      </w:r>
      <w:r>
        <w:rPr>
          <w:rFonts w:hAnsi="Times New Roman" w:eastAsia="宋体"/>
          <w:lang w:eastAsia="zh-CN"/>
        </w:rPr>
        <w:t>环境保护规划</w:t>
      </w:r>
      <w:r>
        <w:rPr>
          <w:rFonts w:hint="eastAsia" w:hAnsi="Times New Roman" w:eastAsia="宋体"/>
          <w:lang w:eastAsia="zh-CN"/>
        </w:rPr>
        <w:t>》《</w:t>
      </w:r>
      <w:r>
        <w:rPr>
          <w:rFonts w:hAnsi="Times New Roman" w:eastAsia="宋体"/>
          <w:lang w:eastAsia="zh-CN"/>
        </w:rPr>
        <w:t>四川省打赢蓝天保卫战实施方案》（川府发〔2019〕4号）等相关环境保护规划；与《煤炭产业政策</w:t>
      </w:r>
      <w:r>
        <w:rPr>
          <w:rFonts w:hint="eastAsia" w:hAnsi="Times New Roman" w:eastAsia="宋体"/>
          <w:lang w:eastAsia="zh-CN"/>
        </w:rPr>
        <w:t>》《</w:t>
      </w:r>
      <w:r>
        <w:rPr>
          <w:rFonts w:hAnsi="Times New Roman" w:eastAsia="宋体"/>
          <w:lang w:eastAsia="zh-CN"/>
        </w:rPr>
        <w:t>燃煤二氧化硫排放污染防治技术政策</w:t>
      </w:r>
      <w:r>
        <w:rPr>
          <w:rFonts w:hint="eastAsia" w:hAnsi="Times New Roman" w:eastAsia="宋体"/>
          <w:lang w:eastAsia="zh-CN"/>
        </w:rPr>
        <w:t>》《</w:t>
      </w:r>
      <w:r>
        <w:rPr>
          <w:rFonts w:hAnsi="Times New Roman" w:eastAsia="宋体"/>
          <w:lang w:eastAsia="zh-CN"/>
        </w:rPr>
        <w:t>国务院关于酸雨控制区和二氧化硫污染控制区有关问题的批复</w:t>
      </w:r>
      <w:r>
        <w:rPr>
          <w:rFonts w:hint="eastAsia" w:hAnsi="Times New Roman" w:eastAsia="宋体"/>
          <w:lang w:eastAsia="zh-CN"/>
        </w:rPr>
        <w:t>》《</w:t>
      </w:r>
      <w:r>
        <w:rPr>
          <w:rFonts w:hAnsi="Times New Roman" w:eastAsia="宋体"/>
          <w:lang w:eastAsia="zh-CN"/>
        </w:rPr>
        <w:t>商品煤质量管理暂行办法</w:t>
      </w:r>
      <w:r>
        <w:rPr>
          <w:rFonts w:hint="eastAsia" w:hAnsi="Times New Roman" w:eastAsia="宋体"/>
          <w:lang w:eastAsia="zh-CN"/>
        </w:rPr>
        <w:t>》《</w:t>
      </w:r>
      <w:r>
        <w:rPr>
          <w:rFonts w:hAnsi="Times New Roman" w:eastAsia="宋体"/>
          <w:lang w:eastAsia="zh-CN"/>
        </w:rPr>
        <w:t>矿山生态环境保护与污染防治技术政策》（国环发〔2005〕109号）、《矿山生态环境保护与恢复治理技术规范（试行）》（HJ 651-2013）等技术政策相关要求指标相符。因此，本项目与国家现行相关规划相符。</w:t>
      </w:r>
    </w:p>
    <w:p>
      <w:pPr>
        <w:spacing w:line="360" w:lineRule="auto"/>
        <w:ind w:firstLine="482" w:firstLineChars="200"/>
        <w:rPr>
          <w:rFonts w:hAnsi="Times New Roman" w:eastAsia="宋体"/>
          <w:b/>
          <w:bCs/>
          <w:lang w:eastAsia="zh-CN"/>
        </w:rPr>
      </w:pPr>
      <w:r>
        <w:rPr>
          <w:rFonts w:hAnsi="Times New Roman" w:eastAsia="宋体"/>
          <w:b/>
          <w:bCs/>
          <w:lang w:eastAsia="zh-CN"/>
        </w:rPr>
        <w:t>（3）与“三线一单”符合性分析</w:t>
      </w:r>
    </w:p>
    <w:p>
      <w:pPr>
        <w:spacing w:line="360" w:lineRule="auto"/>
        <w:ind w:firstLine="482" w:firstLineChars="200"/>
        <w:rPr>
          <w:rFonts w:hAnsi="Times New Roman" w:eastAsia="宋体"/>
          <w:b/>
          <w:bCs/>
          <w:lang w:eastAsia="zh-CN"/>
        </w:rPr>
      </w:pPr>
      <w:r>
        <w:rPr>
          <w:rFonts w:hAnsi="Times New Roman" w:eastAsia="宋体"/>
          <w:b/>
          <w:bCs/>
          <w:lang w:eastAsia="zh-CN"/>
        </w:rPr>
        <w:t>①生态保护红线</w:t>
      </w:r>
    </w:p>
    <w:p>
      <w:pPr>
        <w:spacing w:line="360" w:lineRule="auto"/>
        <w:ind w:firstLine="480" w:firstLineChars="200"/>
        <w:rPr>
          <w:rFonts w:hAnsi="Times New Roman" w:eastAsia="宋体"/>
          <w:lang w:eastAsia="zh-CN"/>
        </w:rPr>
      </w:pPr>
      <w:r>
        <w:rPr>
          <w:rFonts w:hAnsi="Times New Roman" w:eastAsia="宋体"/>
          <w:lang w:eastAsia="zh-CN"/>
        </w:rPr>
        <w:t>项目井田范围及周边不涉及自然保护区、饮用水水源保护区、风景名胜区、森林公园、地质公园。项目不在划定的生态保护红线范围内，满足《四川省生态保护红线方案》相关要求。</w:t>
      </w:r>
    </w:p>
    <w:p>
      <w:pPr>
        <w:spacing w:line="360" w:lineRule="auto"/>
        <w:ind w:firstLine="482" w:firstLineChars="200"/>
        <w:rPr>
          <w:rFonts w:hAnsi="Times New Roman" w:eastAsia="宋体"/>
          <w:b/>
          <w:bCs/>
          <w:lang w:eastAsia="zh-CN"/>
        </w:rPr>
      </w:pPr>
      <w:r>
        <w:rPr>
          <w:rFonts w:hAnsi="Times New Roman" w:eastAsia="宋体"/>
          <w:b/>
          <w:bCs/>
          <w:lang w:eastAsia="zh-CN"/>
        </w:rPr>
        <w:t>②资源利用上线</w:t>
      </w:r>
    </w:p>
    <w:p>
      <w:pPr>
        <w:spacing w:line="360" w:lineRule="auto"/>
        <w:ind w:firstLine="480" w:firstLineChars="200"/>
        <w:rPr>
          <w:rFonts w:hAnsi="Times New Roman" w:eastAsia="宋体"/>
          <w:lang w:eastAsia="zh-CN"/>
        </w:rPr>
      </w:pPr>
      <w:r>
        <w:rPr>
          <w:rFonts w:hAnsi="Times New Roman" w:eastAsia="宋体"/>
          <w:lang w:eastAsia="zh-CN"/>
        </w:rPr>
        <w:t>本项目使用的生产用水主要为处理后的矿坑废水，新鲜水主要为员工生活用水，用量较少。本次扩建利用原有工业场地，不新增加用地。项目对当地土地资源和水资源利用影响小，满足土地资源和水资源利用上线要求。</w:t>
      </w:r>
    </w:p>
    <w:p>
      <w:pPr>
        <w:spacing w:line="360" w:lineRule="auto"/>
        <w:ind w:firstLine="482" w:firstLineChars="200"/>
        <w:rPr>
          <w:rFonts w:hAnsi="Times New Roman" w:eastAsia="宋体"/>
          <w:b/>
          <w:bCs/>
          <w:lang w:eastAsia="zh-CN"/>
        </w:rPr>
      </w:pPr>
      <w:r>
        <w:rPr>
          <w:rFonts w:hAnsi="Times New Roman" w:eastAsia="宋体"/>
          <w:b/>
          <w:bCs/>
          <w:lang w:eastAsia="zh-CN"/>
        </w:rPr>
        <w:t>③环境质量底线</w:t>
      </w:r>
    </w:p>
    <w:p>
      <w:pPr>
        <w:spacing w:line="360" w:lineRule="auto"/>
        <w:ind w:firstLine="480" w:firstLineChars="200"/>
        <w:rPr>
          <w:rFonts w:hAnsi="Times New Roman" w:eastAsia="宋体"/>
          <w:lang w:eastAsia="zh-CN"/>
        </w:rPr>
      </w:pPr>
      <w:r>
        <w:rPr>
          <w:rFonts w:hAnsi="Times New Roman" w:eastAsia="宋体"/>
          <w:lang w:eastAsia="zh-CN"/>
        </w:rPr>
        <w:t>项目所在区域大气环境质量为达标区；本项目地表水、地下水、声环境质量现状达标。项目建设和运行中，采取水源热泵供热、封闭储煤场地。生活污水处理后全部回用，矿井水分质处理分质利用，富余矿井水</w:t>
      </w:r>
      <w:r>
        <w:rPr>
          <w:rFonts w:hint="eastAsia" w:hAnsi="Times New Roman" w:eastAsia="宋体"/>
          <w:lang w:eastAsia="zh-CN"/>
        </w:rPr>
        <w:t>处理</w:t>
      </w:r>
      <w:r>
        <w:rPr>
          <w:rFonts w:hAnsi="Times New Roman" w:eastAsia="宋体"/>
          <w:lang w:eastAsia="zh-CN"/>
        </w:rPr>
        <w:t>达到《地表水环境质量标准》</w:t>
      </w:r>
      <w:r>
        <w:rPr>
          <w:rFonts w:hint="eastAsia" w:hAnsi="Times New Roman" w:eastAsia="宋体"/>
          <w:lang w:eastAsia="zh-CN"/>
        </w:rPr>
        <w:t>（GB3838-2002）</w:t>
      </w:r>
      <w:r>
        <w:rPr>
          <w:rFonts w:hAnsi="Times New Roman" w:eastAsia="宋体"/>
          <w:lang w:eastAsia="zh-CN"/>
        </w:rPr>
        <w:t>中Ⅲ类水质指标限值</w:t>
      </w:r>
      <w:r>
        <w:rPr>
          <w:rFonts w:hint="eastAsia" w:hAnsi="Times New Roman" w:eastAsia="宋体"/>
          <w:lang w:eastAsia="zh-CN"/>
        </w:rPr>
        <w:t>，且含盐量</w:t>
      </w:r>
      <w:r>
        <w:rPr>
          <w:rFonts w:hAnsi="Times New Roman" w:eastAsia="宋体"/>
          <w:lang w:eastAsia="zh-CN"/>
        </w:rPr>
        <w:t>≤</w:t>
      </w:r>
      <w:r>
        <w:rPr>
          <w:rFonts w:hint="eastAsia" w:hAnsi="Times New Roman" w:eastAsia="宋体"/>
          <w:lang w:eastAsia="zh-CN"/>
        </w:rPr>
        <w:t>1000mg/L</w:t>
      </w:r>
      <w:r>
        <w:rPr>
          <w:rFonts w:hAnsi="Times New Roman" w:eastAsia="宋体"/>
          <w:lang w:eastAsia="zh-CN"/>
        </w:rPr>
        <w:t>后外排。在采取噪声防治措施后，各厂界噪声达标。经过上述一系列环保措施后，未改变区域环境功能，满足环境质量底线要求。</w:t>
      </w:r>
    </w:p>
    <w:p>
      <w:pPr>
        <w:spacing w:line="360" w:lineRule="auto"/>
        <w:ind w:firstLine="482" w:firstLineChars="200"/>
        <w:rPr>
          <w:rFonts w:hAnsi="Times New Roman" w:eastAsia="宋体"/>
          <w:b/>
          <w:bCs/>
          <w:lang w:eastAsia="zh-CN"/>
        </w:rPr>
      </w:pPr>
      <w:r>
        <w:rPr>
          <w:rFonts w:hAnsi="Times New Roman" w:eastAsia="宋体"/>
          <w:b/>
          <w:bCs/>
          <w:lang w:eastAsia="zh-CN"/>
        </w:rPr>
        <w:t>④生态环境准入负面清单</w:t>
      </w:r>
    </w:p>
    <w:p>
      <w:pPr>
        <w:spacing w:line="360" w:lineRule="auto"/>
        <w:ind w:firstLine="480" w:firstLineChars="200"/>
        <w:rPr>
          <w:rFonts w:hAnsi="Times New Roman" w:eastAsia="宋体"/>
          <w:lang w:eastAsia="zh-CN"/>
        </w:rPr>
      </w:pPr>
      <w:r>
        <w:rPr>
          <w:rFonts w:hAnsi="Times New Roman" w:eastAsia="宋体"/>
          <w:lang w:eastAsia="zh-CN"/>
        </w:rPr>
        <w:t>本项目不属于《四川省国家重点生态功能区产业准入负面清单（第一批）（试行）》及《四川省国家重点生态功能区产业准入负面清单（第一批）（试行）》中内容。</w:t>
      </w:r>
    </w:p>
    <w:p>
      <w:pPr>
        <w:spacing w:line="360" w:lineRule="auto"/>
        <w:ind w:firstLine="480" w:firstLineChars="200"/>
        <w:rPr>
          <w:rFonts w:hAnsi="Times New Roman" w:eastAsia="宋体"/>
          <w:lang w:eastAsia="zh-CN"/>
        </w:rPr>
      </w:pPr>
      <w:r>
        <w:rPr>
          <w:rFonts w:hAnsi="Times New Roman" w:eastAsia="宋体"/>
          <w:lang w:eastAsia="zh-CN"/>
        </w:rPr>
        <w:t>因此，本项目符合生态保护红线、环境质量底线、资源利用上线、环境准入负面清单相关要求。</w:t>
      </w:r>
    </w:p>
    <w:p>
      <w:pPr>
        <w:spacing w:line="360" w:lineRule="auto"/>
        <w:ind w:firstLine="482" w:firstLineChars="200"/>
        <w:rPr>
          <w:rFonts w:hAnsi="Times New Roman" w:eastAsia="宋体"/>
          <w:b/>
          <w:bCs/>
          <w:lang w:eastAsia="zh-CN"/>
        </w:rPr>
      </w:pPr>
      <w:r>
        <w:rPr>
          <w:rFonts w:hint="eastAsia" w:hAnsi="Times New Roman" w:eastAsia="宋体"/>
          <w:b/>
          <w:bCs/>
          <w:lang w:eastAsia="zh-CN"/>
        </w:rPr>
        <w:t>五、</w:t>
      </w:r>
      <w:r>
        <w:rPr>
          <w:rFonts w:hAnsi="Times New Roman" w:eastAsia="宋体"/>
          <w:b/>
          <w:bCs/>
          <w:lang w:eastAsia="zh-CN"/>
        </w:rPr>
        <w:t>主要关注的环境问题</w:t>
      </w:r>
    </w:p>
    <w:p>
      <w:pPr>
        <w:spacing w:line="360" w:lineRule="auto"/>
        <w:ind w:firstLine="480" w:firstLineChars="200"/>
        <w:rPr>
          <w:rFonts w:hAnsi="Times New Roman" w:eastAsia="宋体"/>
          <w:lang w:eastAsia="zh-CN"/>
        </w:rPr>
      </w:pPr>
      <w:r>
        <w:rPr>
          <w:rFonts w:hAnsi="Times New Roman" w:eastAsia="宋体"/>
          <w:lang w:eastAsia="zh-CN"/>
        </w:rPr>
        <w:t>本项目为矿山扩建项目，根据工程内容与规模，结合项目所在地区域环境质量现状及敏感点特点，工程建设对环境的影响主要包括建设施工期和生产营运期对工程周边声环境、水环境、大气环境、土壤环境、生态环境以及地表沉陷、地质灾害影响分析。项目退役期复垦和绿化对生态的环境影响以及现有工程环境遗留问题。对于存在的不利影响，环评报告均提出了针对性</w:t>
      </w:r>
      <w:r>
        <w:rPr>
          <w:rFonts w:hint="eastAsia" w:hAnsi="Times New Roman" w:eastAsia="宋体"/>
          <w:lang w:eastAsia="zh-CN"/>
        </w:rPr>
        <w:t>地</w:t>
      </w:r>
      <w:r>
        <w:rPr>
          <w:rFonts w:hAnsi="Times New Roman" w:eastAsia="宋体"/>
          <w:lang w:eastAsia="zh-CN"/>
        </w:rPr>
        <w:t>保护措施。</w:t>
      </w:r>
    </w:p>
    <w:p>
      <w:pPr>
        <w:spacing w:line="360" w:lineRule="auto"/>
        <w:ind w:firstLine="482" w:firstLineChars="200"/>
        <w:rPr>
          <w:rFonts w:hAnsi="Times New Roman" w:eastAsia="宋体"/>
          <w:b/>
          <w:bCs/>
          <w:lang w:eastAsia="zh-CN"/>
        </w:rPr>
      </w:pPr>
      <w:r>
        <w:rPr>
          <w:rFonts w:hint="eastAsia" w:hAnsi="Times New Roman" w:eastAsia="宋体"/>
          <w:b/>
          <w:bCs/>
          <w:lang w:eastAsia="zh-CN"/>
        </w:rPr>
        <w:t>六、</w:t>
      </w:r>
      <w:r>
        <w:rPr>
          <w:rFonts w:hAnsi="Times New Roman" w:eastAsia="宋体"/>
          <w:b/>
          <w:bCs/>
          <w:lang w:eastAsia="zh-CN"/>
        </w:rPr>
        <w:t>报告书主要结论</w:t>
      </w:r>
    </w:p>
    <w:p>
      <w:pPr>
        <w:spacing w:line="360" w:lineRule="auto"/>
        <w:ind w:firstLine="480" w:firstLineChars="200"/>
        <w:rPr>
          <w:rFonts w:hAnsi="Times New Roman" w:eastAsia="宋体"/>
          <w:lang w:eastAsia="zh-CN"/>
        </w:rPr>
      </w:pPr>
      <w:r>
        <w:rPr>
          <w:rFonts w:hAnsi="Times New Roman" w:eastAsia="宋体"/>
          <w:lang w:eastAsia="zh-CN"/>
        </w:rPr>
        <w:t>七里峡煤矿</w:t>
      </w:r>
      <w:r>
        <w:rPr>
          <w:rFonts w:hint="eastAsia" w:hAnsi="Times New Roman" w:eastAsia="宋体"/>
          <w:lang w:eastAsia="zh-CN"/>
        </w:rPr>
        <w:t>扩建工程</w:t>
      </w:r>
      <w:r>
        <w:rPr>
          <w:rFonts w:hAnsi="Times New Roman" w:eastAsia="宋体"/>
          <w:lang w:eastAsia="zh-CN"/>
        </w:rPr>
        <w:t>项目符合现行产业政策，</w:t>
      </w:r>
      <w:r>
        <w:rPr>
          <w:rFonts w:hint="eastAsia" w:hAnsi="Times New Roman" w:eastAsia="宋体"/>
          <w:lang w:eastAsia="zh-CN"/>
        </w:rPr>
        <w:t>符合宣汉县煤炭矿区总体规划，</w:t>
      </w:r>
      <w:r>
        <w:rPr>
          <w:rFonts w:hAnsi="Times New Roman" w:eastAsia="宋体"/>
          <w:lang w:eastAsia="zh-CN"/>
        </w:rPr>
        <w:t>符合当地区域发展规划和土地利用总体规划；拟采用的生产工艺成熟、可靠；项目拟采取的污染治理措施技术经济可行，排放污染物能够达到国家和行业规定的标准，对评价区域环境质量的影响不明显。项目对外环境风险影响较小，风险防范措施切实可行。项目公众支持率高，无人反对。只要严格落实环境影响报告书和工程设计提出的环保对策及措施，严格执行“三同时”制度，确保项目产生的污染物达标排放，认真落实环境风险的防范措施及应急预案，则本项目在建设从环保角度是可行的。</w:t>
      </w:r>
    </w:p>
    <w:p>
      <w:pPr>
        <w:spacing w:line="360" w:lineRule="auto"/>
        <w:ind w:firstLine="480" w:firstLineChars="200"/>
        <w:rPr>
          <w:rFonts w:hAnsi="Times New Roman" w:eastAsia="宋体"/>
          <w:lang w:eastAsia="zh-CN"/>
        </w:rPr>
        <w:sectPr>
          <w:headerReference r:id="rId5" w:type="default"/>
          <w:footerReference r:id="rId6" w:type="default"/>
          <w:pgSz w:w="11906" w:h="16838"/>
          <w:pgMar w:top="1440" w:right="1304" w:bottom="1440" w:left="1474" w:header="851" w:footer="992" w:gutter="0"/>
          <w:pgNumType w:start="1"/>
          <w:cols w:space="425" w:num="1"/>
          <w:docGrid w:type="lines" w:linePitch="312" w:charSpace="0"/>
        </w:sectPr>
      </w:pPr>
    </w:p>
    <w:p>
      <w:pPr>
        <w:pStyle w:val="4"/>
        <w:rPr>
          <w:lang w:eastAsia="zh-CN"/>
        </w:rPr>
      </w:pPr>
      <w:bookmarkStart w:id="2" w:name="_Toc163749145"/>
      <w:bookmarkStart w:id="3" w:name="_Toc167095099"/>
      <w:r>
        <w:rPr>
          <w:lang w:eastAsia="zh-CN"/>
        </w:rPr>
        <w:t>1 总则</w:t>
      </w:r>
      <w:bookmarkEnd w:id="2"/>
      <w:bookmarkEnd w:id="3"/>
    </w:p>
    <w:p>
      <w:pPr>
        <w:pStyle w:val="5"/>
        <w:rPr>
          <w:rFonts w:ascii="Times New Roman" w:hAnsi="Times New Roman"/>
          <w:lang w:eastAsia="zh-CN"/>
        </w:rPr>
      </w:pPr>
      <w:bookmarkStart w:id="4" w:name="_Toc167095100"/>
      <w:bookmarkStart w:id="5" w:name="_Toc163749146"/>
      <w:r>
        <w:rPr>
          <w:rFonts w:ascii="Times New Roman" w:hAnsi="Times New Roman"/>
          <w:lang w:eastAsia="zh-CN"/>
        </w:rPr>
        <w:t>1.1 编制依据</w:t>
      </w:r>
      <w:bookmarkEnd w:id="4"/>
      <w:bookmarkEnd w:id="5"/>
    </w:p>
    <w:p>
      <w:pPr>
        <w:pStyle w:val="6"/>
        <w:rPr>
          <w:lang w:eastAsia="zh-CN"/>
        </w:rPr>
      </w:pPr>
      <w:bookmarkStart w:id="6" w:name="_Toc163812478"/>
      <w:bookmarkStart w:id="7" w:name="_Toc167095101"/>
      <w:r>
        <w:rPr>
          <w:lang w:eastAsia="zh-CN"/>
        </w:rPr>
        <w:t>1.1.1 法律、法规</w:t>
      </w:r>
      <w:bookmarkEnd w:id="6"/>
      <w:bookmarkEnd w:id="7"/>
    </w:p>
    <w:p>
      <w:pPr>
        <w:pStyle w:val="14"/>
        <w:kinsoku w:val="0"/>
        <w:overflowPunct w:val="0"/>
        <w:autoSpaceDE w:val="0"/>
        <w:autoSpaceDN w:val="0"/>
        <w:adjustRightInd w:val="0"/>
        <w:spacing w:line="360" w:lineRule="auto"/>
        <w:ind w:firstLine="480" w:firstLineChars="200"/>
        <w:rPr>
          <w:rFonts w:ascii="Times New Roman" w:hAnsi="Times New Roman"/>
          <w:sz w:val="24"/>
        </w:rPr>
      </w:pPr>
      <w:r>
        <w:rPr>
          <w:rFonts w:ascii="Times New Roman" w:hAnsi="Times New Roman"/>
          <w:sz w:val="24"/>
        </w:rPr>
        <w:t>（1）《中华人民共和国环境保护法》（2015.1.1）；</w:t>
      </w:r>
    </w:p>
    <w:p>
      <w:pPr>
        <w:pStyle w:val="14"/>
        <w:kinsoku w:val="0"/>
        <w:overflowPunct w:val="0"/>
        <w:autoSpaceDE w:val="0"/>
        <w:autoSpaceDN w:val="0"/>
        <w:adjustRightInd w:val="0"/>
        <w:spacing w:line="360" w:lineRule="auto"/>
        <w:ind w:firstLine="480" w:firstLineChars="200"/>
        <w:rPr>
          <w:rFonts w:ascii="Times New Roman" w:hAnsi="Times New Roman"/>
          <w:sz w:val="24"/>
        </w:rPr>
      </w:pPr>
      <w:r>
        <w:rPr>
          <w:rFonts w:ascii="Times New Roman" w:hAnsi="Times New Roman"/>
          <w:sz w:val="24"/>
        </w:rPr>
        <w:t>（2）《中华人民共和国环境影响评价法》（2018.12.29）；</w:t>
      </w:r>
    </w:p>
    <w:p>
      <w:pPr>
        <w:pStyle w:val="14"/>
        <w:kinsoku w:val="0"/>
        <w:overflowPunct w:val="0"/>
        <w:autoSpaceDE w:val="0"/>
        <w:autoSpaceDN w:val="0"/>
        <w:adjustRightInd w:val="0"/>
        <w:spacing w:line="360" w:lineRule="auto"/>
        <w:ind w:firstLine="480" w:firstLineChars="200"/>
        <w:rPr>
          <w:rFonts w:ascii="Times New Roman" w:hAnsi="Times New Roman"/>
          <w:sz w:val="24"/>
        </w:rPr>
      </w:pPr>
      <w:r>
        <w:rPr>
          <w:rFonts w:ascii="Times New Roman" w:hAnsi="Times New Roman"/>
          <w:sz w:val="24"/>
        </w:rPr>
        <w:t>（3）《中华人民共和国大气污染防治法》（2018.10.26）；</w:t>
      </w:r>
    </w:p>
    <w:p>
      <w:pPr>
        <w:pStyle w:val="14"/>
        <w:kinsoku w:val="0"/>
        <w:overflowPunct w:val="0"/>
        <w:autoSpaceDE w:val="0"/>
        <w:autoSpaceDN w:val="0"/>
        <w:adjustRightInd w:val="0"/>
        <w:spacing w:line="360" w:lineRule="auto"/>
        <w:ind w:firstLine="480" w:firstLineChars="200"/>
        <w:rPr>
          <w:rFonts w:ascii="Times New Roman" w:hAnsi="Times New Roman"/>
          <w:sz w:val="24"/>
          <w:lang w:eastAsia="zh-CN"/>
        </w:rPr>
      </w:pPr>
      <w:r>
        <w:rPr>
          <w:rFonts w:ascii="Times New Roman" w:hAnsi="Times New Roman"/>
          <w:sz w:val="24"/>
        </w:rPr>
        <w:t>（4）《中华人民共和国水污染防治法》（2018.1.1）；</w:t>
      </w:r>
    </w:p>
    <w:p>
      <w:pPr>
        <w:pStyle w:val="14"/>
        <w:kinsoku w:val="0"/>
        <w:overflowPunct w:val="0"/>
        <w:autoSpaceDE w:val="0"/>
        <w:autoSpaceDN w:val="0"/>
        <w:adjustRightInd w:val="0"/>
        <w:spacing w:line="360" w:lineRule="auto"/>
        <w:ind w:firstLine="480" w:firstLineChars="200"/>
        <w:rPr>
          <w:rFonts w:ascii="Times New Roman" w:hAnsi="Times New Roman"/>
          <w:sz w:val="24"/>
        </w:rPr>
      </w:pPr>
      <w:r>
        <w:rPr>
          <w:rFonts w:ascii="Times New Roman" w:hAnsi="Times New Roman"/>
          <w:sz w:val="24"/>
        </w:rPr>
        <w:t>（5）《中华人民共和国固体废物污染环境防治法》（2020.9.1）；</w:t>
      </w:r>
    </w:p>
    <w:p>
      <w:pPr>
        <w:pStyle w:val="14"/>
        <w:kinsoku w:val="0"/>
        <w:overflowPunct w:val="0"/>
        <w:autoSpaceDE w:val="0"/>
        <w:autoSpaceDN w:val="0"/>
        <w:adjustRightInd w:val="0"/>
        <w:spacing w:line="360" w:lineRule="auto"/>
        <w:ind w:firstLine="480" w:firstLineChars="200"/>
        <w:rPr>
          <w:rFonts w:ascii="Times New Roman" w:hAnsi="Times New Roman"/>
          <w:sz w:val="24"/>
          <w:lang w:eastAsia="zh-CN"/>
        </w:rPr>
      </w:pPr>
      <w:r>
        <w:rPr>
          <w:rFonts w:ascii="Times New Roman" w:hAnsi="Times New Roman"/>
          <w:sz w:val="24"/>
        </w:rPr>
        <w:t>（</w:t>
      </w:r>
      <w:r>
        <w:rPr>
          <w:rFonts w:ascii="Times New Roman" w:hAnsi="Times New Roman"/>
          <w:sz w:val="24"/>
          <w:lang w:eastAsia="zh-CN"/>
        </w:rPr>
        <w:t>6</w:t>
      </w:r>
      <w:r>
        <w:rPr>
          <w:rFonts w:ascii="Times New Roman" w:hAnsi="Times New Roman"/>
          <w:sz w:val="24"/>
        </w:rPr>
        <w:t>）《中华人民共和国噪声污染防治法》（20</w:t>
      </w:r>
      <w:r>
        <w:rPr>
          <w:rFonts w:hint="eastAsia" w:ascii="Times New Roman" w:hAnsi="Times New Roman"/>
          <w:sz w:val="24"/>
          <w:lang w:eastAsia="zh-CN"/>
        </w:rPr>
        <w:t>22.6.5</w:t>
      </w:r>
      <w:r>
        <w:rPr>
          <w:rFonts w:ascii="Times New Roman" w:hAnsi="Times New Roman"/>
          <w:sz w:val="24"/>
        </w:rPr>
        <w:t>）</w:t>
      </w:r>
      <w:r>
        <w:rPr>
          <w:rFonts w:hint="eastAsia" w:ascii="Times New Roman" w:hAnsi="Times New Roman"/>
          <w:sz w:val="24"/>
        </w:rPr>
        <w:t>；</w:t>
      </w:r>
    </w:p>
    <w:p>
      <w:pPr>
        <w:pStyle w:val="14"/>
        <w:kinsoku w:val="0"/>
        <w:overflowPunct w:val="0"/>
        <w:autoSpaceDE w:val="0"/>
        <w:autoSpaceDN w:val="0"/>
        <w:adjustRightInd w:val="0"/>
        <w:spacing w:line="360" w:lineRule="auto"/>
        <w:ind w:firstLine="480" w:firstLineChars="200"/>
        <w:rPr>
          <w:rFonts w:ascii="Times New Roman" w:hAnsi="Times New Roman"/>
          <w:sz w:val="24"/>
        </w:rPr>
      </w:pPr>
      <w:r>
        <w:rPr>
          <w:rFonts w:ascii="Times New Roman" w:hAnsi="Times New Roman"/>
          <w:sz w:val="24"/>
        </w:rPr>
        <w:t>（</w:t>
      </w:r>
      <w:r>
        <w:rPr>
          <w:rFonts w:hint="eastAsia" w:ascii="Times New Roman" w:hAnsi="Times New Roman"/>
          <w:sz w:val="24"/>
          <w:lang w:eastAsia="zh-CN"/>
        </w:rPr>
        <w:t>7</w:t>
      </w:r>
      <w:r>
        <w:rPr>
          <w:rFonts w:ascii="Times New Roman" w:hAnsi="Times New Roman"/>
          <w:sz w:val="24"/>
        </w:rPr>
        <w:t>）《中华人民共和国土壤污染防治法》（2019.1.1）；</w:t>
      </w:r>
    </w:p>
    <w:p>
      <w:pPr>
        <w:pStyle w:val="88"/>
        <w:ind w:firstLine="480" w:firstLineChars="200"/>
        <w:rPr>
          <w:snapToGrid/>
          <w:color w:val="auto"/>
          <w:kern w:val="2"/>
          <w:szCs w:val="22"/>
        </w:rPr>
      </w:pPr>
      <w:r>
        <w:rPr>
          <w:snapToGrid/>
          <w:color w:val="auto"/>
          <w:kern w:val="2"/>
          <w:szCs w:val="22"/>
        </w:rPr>
        <w:t>（8）《中华人民共和国土地管理法》</w:t>
      </w:r>
      <w:r>
        <w:rPr>
          <w:rFonts w:hint="eastAsia"/>
          <w:snapToGrid/>
          <w:color w:val="auto"/>
          <w:kern w:val="2"/>
          <w:szCs w:val="22"/>
        </w:rPr>
        <w:t>（2020.1.1）</w:t>
      </w:r>
      <w:r>
        <w:rPr>
          <w:snapToGrid/>
          <w:color w:val="auto"/>
          <w:kern w:val="2"/>
          <w:szCs w:val="22"/>
        </w:rPr>
        <w:t>；</w:t>
      </w:r>
    </w:p>
    <w:p>
      <w:pPr>
        <w:pStyle w:val="88"/>
        <w:ind w:firstLine="480" w:firstLineChars="200"/>
        <w:rPr>
          <w:snapToGrid/>
          <w:color w:val="auto"/>
          <w:kern w:val="2"/>
          <w:szCs w:val="22"/>
        </w:rPr>
      </w:pPr>
      <w:r>
        <w:rPr>
          <w:snapToGrid/>
          <w:color w:val="auto"/>
          <w:kern w:val="2"/>
          <w:szCs w:val="22"/>
        </w:rPr>
        <w:t>（9）《中华人民共和国水土保持法》</w:t>
      </w:r>
      <w:r>
        <w:rPr>
          <w:rFonts w:hint="eastAsia"/>
          <w:snapToGrid/>
          <w:color w:val="auto"/>
          <w:kern w:val="2"/>
          <w:szCs w:val="22"/>
        </w:rPr>
        <w:t>（</w:t>
      </w:r>
      <w:r>
        <w:rPr>
          <w:snapToGrid/>
          <w:color w:val="auto"/>
          <w:kern w:val="2"/>
          <w:szCs w:val="22"/>
        </w:rPr>
        <w:t>201</w:t>
      </w:r>
      <w:r>
        <w:rPr>
          <w:rFonts w:hint="eastAsia"/>
          <w:snapToGrid/>
          <w:color w:val="auto"/>
          <w:kern w:val="2"/>
          <w:szCs w:val="22"/>
        </w:rPr>
        <w:t>1.3.1）</w:t>
      </w:r>
      <w:r>
        <w:rPr>
          <w:snapToGrid/>
          <w:color w:val="auto"/>
          <w:kern w:val="2"/>
          <w:szCs w:val="22"/>
        </w:rPr>
        <w:t>；</w:t>
      </w:r>
    </w:p>
    <w:p>
      <w:pPr>
        <w:pStyle w:val="14"/>
        <w:kinsoku w:val="0"/>
        <w:overflowPunct w:val="0"/>
        <w:autoSpaceDE w:val="0"/>
        <w:autoSpaceDN w:val="0"/>
        <w:adjustRightInd w:val="0"/>
        <w:spacing w:line="360" w:lineRule="auto"/>
        <w:ind w:firstLine="480" w:firstLineChars="200"/>
        <w:rPr>
          <w:rFonts w:ascii="Times New Roman" w:hAnsi="Times New Roman"/>
          <w:sz w:val="24"/>
        </w:rPr>
      </w:pPr>
      <w:r>
        <w:rPr>
          <w:rFonts w:ascii="Times New Roman" w:hAnsi="Times New Roman"/>
          <w:sz w:val="24"/>
        </w:rPr>
        <w:t>（</w:t>
      </w:r>
      <w:r>
        <w:rPr>
          <w:rFonts w:hint="eastAsia" w:ascii="Times New Roman" w:hAnsi="Times New Roman"/>
          <w:sz w:val="24"/>
          <w:lang w:eastAsia="zh-CN"/>
        </w:rPr>
        <w:t>10</w:t>
      </w:r>
      <w:r>
        <w:rPr>
          <w:rFonts w:ascii="Times New Roman" w:hAnsi="Times New Roman"/>
          <w:sz w:val="24"/>
        </w:rPr>
        <w:t>）《中华人民共和国清洁生产促进法》（2012.7.1）；</w:t>
      </w:r>
    </w:p>
    <w:p>
      <w:pPr>
        <w:pStyle w:val="14"/>
        <w:kinsoku w:val="0"/>
        <w:overflowPunct w:val="0"/>
        <w:autoSpaceDE w:val="0"/>
        <w:autoSpaceDN w:val="0"/>
        <w:adjustRightInd w:val="0"/>
        <w:spacing w:line="360" w:lineRule="auto"/>
        <w:ind w:firstLine="480" w:firstLineChars="200"/>
        <w:rPr>
          <w:rFonts w:ascii="Times New Roman" w:hAnsi="Times New Roman"/>
          <w:sz w:val="24"/>
        </w:rPr>
      </w:pPr>
      <w:r>
        <w:rPr>
          <w:rFonts w:ascii="Times New Roman" w:hAnsi="Times New Roman"/>
          <w:sz w:val="24"/>
        </w:rPr>
        <w:t>（</w:t>
      </w:r>
      <w:r>
        <w:rPr>
          <w:rFonts w:hint="eastAsia" w:ascii="Times New Roman" w:hAnsi="Times New Roman"/>
          <w:sz w:val="24"/>
          <w:lang w:eastAsia="zh-CN"/>
        </w:rPr>
        <w:t>11</w:t>
      </w:r>
      <w:r>
        <w:rPr>
          <w:rFonts w:ascii="Times New Roman" w:hAnsi="Times New Roman"/>
          <w:sz w:val="24"/>
        </w:rPr>
        <w:t>）《中华人民共和国循环经济促进法》（2018.10.26）；</w:t>
      </w:r>
    </w:p>
    <w:p>
      <w:pPr>
        <w:pStyle w:val="14"/>
        <w:kinsoku w:val="0"/>
        <w:overflowPunct w:val="0"/>
        <w:autoSpaceDE w:val="0"/>
        <w:autoSpaceDN w:val="0"/>
        <w:adjustRightInd w:val="0"/>
        <w:spacing w:line="360" w:lineRule="auto"/>
        <w:ind w:firstLine="480" w:firstLineChars="200"/>
        <w:rPr>
          <w:rFonts w:ascii="Times New Roman" w:hAnsi="Times New Roman"/>
          <w:sz w:val="24"/>
        </w:rPr>
      </w:pPr>
      <w:r>
        <w:rPr>
          <w:rFonts w:ascii="Times New Roman" w:hAnsi="Times New Roman"/>
          <w:sz w:val="24"/>
        </w:rPr>
        <w:t>（</w:t>
      </w:r>
      <w:r>
        <w:rPr>
          <w:rFonts w:hint="eastAsia" w:ascii="Times New Roman" w:hAnsi="Times New Roman"/>
          <w:sz w:val="24"/>
          <w:lang w:eastAsia="zh-CN"/>
        </w:rPr>
        <w:t>12</w:t>
      </w:r>
      <w:r>
        <w:rPr>
          <w:rFonts w:ascii="Times New Roman" w:hAnsi="Times New Roman"/>
          <w:sz w:val="24"/>
        </w:rPr>
        <w:t>）《中华人民共和国水法》（2016.9.1）；</w:t>
      </w:r>
    </w:p>
    <w:p>
      <w:pPr>
        <w:pStyle w:val="14"/>
        <w:kinsoku w:val="0"/>
        <w:overflowPunct w:val="0"/>
        <w:autoSpaceDE w:val="0"/>
        <w:autoSpaceDN w:val="0"/>
        <w:adjustRightInd w:val="0"/>
        <w:spacing w:line="360" w:lineRule="auto"/>
        <w:ind w:firstLine="480" w:firstLineChars="200"/>
        <w:rPr>
          <w:rFonts w:ascii="Times New Roman" w:hAnsi="Times New Roman"/>
          <w:sz w:val="24"/>
          <w:lang w:eastAsia="zh-CN"/>
        </w:rPr>
      </w:pPr>
      <w:r>
        <w:rPr>
          <w:rFonts w:ascii="Times New Roman" w:hAnsi="Times New Roman"/>
          <w:sz w:val="24"/>
        </w:rPr>
        <w:t>（</w:t>
      </w:r>
      <w:r>
        <w:rPr>
          <w:rFonts w:ascii="Times New Roman" w:hAnsi="Times New Roman"/>
          <w:sz w:val="24"/>
          <w:lang w:eastAsia="zh-CN"/>
        </w:rPr>
        <w:t>1</w:t>
      </w:r>
      <w:r>
        <w:rPr>
          <w:rFonts w:hint="eastAsia" w:ascii="Times New Roman" w:hAnsi="Times New Roman"/>
          <w:sz w:val="24"/>
          <w:lang w:eastAsia="zh-CN"/>
        </w:rPr>
        <w:t>3</w:t>
      </w:r>
      <w:r>
        <w:rPr>
          <w:rFonts w:ascii="Times New Roman" w:hAnsi="Times New Roman"/>
          <w:sz w:val="24"/>
        </w:rPr>
        <w:t>）《中华人民共和国防洪法》（2016.7.2）；</w:t>
      </w:r>
    </w:p>
    <w:p>
      <w:pPr>
        <w:pStyle w:val="14"/>
        <w:kinsoku w:val="0"/>
        <w:overflowPunct w:val="0"/>
        <w:autoSpaceDE w:val="0"/>
        <w:autoSpaceDN w:val="0"/>
        <w:adjustRightInd w:val="0"/>
        <w:spacing w:line="360" w:lineRule="auto"/>
        <w:ind w:firstLine="480" w:firstLineChars="200"/>
        <w:rPr>
          <w:rFonts w:ascii="Times New Roman" w:hAnsi="Times New Roman"/>
          <w:sz w:val="24"/>
        </w:rPr>
      </w:pPr>
      <w:r>
        <w:rPr>
          <w:rFonts w:ascii="Times New Roman" w:hAnsi="Times New Roman"/>
          <w:sz w:val="24"/>
        </w:rPr>
        <w:t>（1</w:t>
      </w:r>
      <w:r>
        <w:rPr>
          <w:rFonts w:hint="eastAsia" w:ascii="Times New Roman" w:hAnsi="Times New Roman"/>
          <w:sz w:val="24"/>
          <w:lang w:eastAsia="zh-CN"/>
        </w:rPr>
        <w:t>4</w:t>
      </w:r>
      <w:r>
        <w:rPr>
          <w:rFonts w:ascii="Times New Roman" w:hAnsi="Times New Roman"/>
          <w:sz w:val="24"/>
        </w:rPr>
        <w:t>）《中华人民共和国森林法》</w:t>
      </w:r>
      <w:r>
        <w:rPr>
          <w:rFonts w:hint="eastAsia" w:ascii="Times New Roman" w:hAnsi="Times New Roman"/>
          <w:sz w:val="24"/>
        </w:rPr>
        <w:t>（</w:t>
      </w:r>
      <w:r>
        <w:rPr>
          <w:rFonts w:hint="eastAsia" w:ascii="Times New Roman" w:hAnsi="Times New Roman"/>
          <w:sz w:val="24"/>
          <w:lang w:eastAsia="zh-CN"/>
        </w:rPr>
        <w:t>2020.7.1</w:t>
      </w:r>
      <w:r>
        <w:rPr>
          <w:rFonts w:hint="eastAsia" w:ascii="Times New Roman" w:hAnsi="Times New Roman"/>
          <w:sz w:val="24"/>
        </w:rPr>
        <w:t>）</w:t>
      </w:r>
      <w:r>
        <w:rPr>
          <w:rFonts w:ascii="Times New Roman" w:hAnsi="Times New Roman"/>
          <w:sz w:val="24"/>
        </w:rPr>
        <w:t>；</w:t>
      </w:r>
    </w:p>
    <w:p>
      <w:pPr>
        <w:pStyle w:val="14"/>
        <w:kinsoku w:val="0"/>
        <w:overflowPunct w:val="0"/>
        <w:autoSpaceDE w:val="0"/>
        <w:autoSpaceDN w:val="0"/>
        <w:adjustRightInd w:val="0"/>
        <w:spacing w:line="360" w:lineRule="auto"/>
        <w:ind w:firstLine="480" w:firstLineChars="200"/>
        <w:rPr>
          <w:rFonts w:ascii="Times New Roman" w:hAnsi="Times New Roman"/>
          <w:sz w:val="24"/>
          <w:lang w:eastAsia="zh-CN"/>
        </w:rPr>
      </w:pPr>
      <w:r>
        <w:rPr>
          <w:rFonts w:ascii="Times New Roman" w:hAnsi="Times New Roman"/>
          <w:sz w:val="24"/>
        </w:rPr>
        <w:t>（</w:t>
      </w:r>
      <w:r>
        <w:rPr>
          <w:rFonts w:ascii="Times New Roman" w:hAnsi="Times New Roman"/>
          <w:sz w:val="24"/>
          <w:lang w:eastAsia="zh-CN"/>
        </w:rPr>
        <w:t>1</w:t>
      </w:r>
      <w:r>
        <w:rPr>
          <w:rFonts w:hint="eastAsia" w:ascii="Times New Roman" w:hAnsi="Times New Roman"/>
          <w:sz w:val="24"/>
          <w:lang w:eastAsia="zh-CN"/>
        </w:rPr>
        <w:t>5</w:t>
      </w:r>
      <w:r>
        <w:rPr>
          <w:rFonts w:ascii="Times New Roman" w:hAnsi="Times New Roman"/>
          <w:sz w:val="24"/>
        </w:rPr>
        <w:t>）《中华人民共和国野生动物保护法》（20</w:t>
      </w:r>
      <w:r>
        <w:rPr>
          <w:rFonts w:hint="eastAsia" w:ascii="Times New Roman" w:hAnsi="Times New Roman"/>
          <w:sz w:val="24"/>
          <w:lang w:eastAsia="zh-CN"/>
        </w:rPr>
        <w:t>22.12.30</w:t>
      </w:r>
      <w:r>
        <w:rPr>
          <w:rFonts w:ascii="Times New Roman" w:hAnsi="Times New Roman"/>
          <w:sz w:val="24"/>
        </w:rPr>
        <w:t>）；</w:t>
      </w:r>
    </w:p>
    <w:p>
      <w:pPr>
        <w:pStyle w:val="14"/>
        <w:kinsoku w:val="0"/>
        <w:overflowPunct w:val="0"/>
        <w:autoSpaceDE w:val="0"/>
        <w:autoSpaceDN w:val="0"/>
        <w:adjustRightInd w:val="0"/>
        <w:spacing w:line="360" w:lineRule="auto"/>
        <w:ind w:firstLine="480" w:firstLineChars="200"/>
        <w:rPr>
          <w:rFonts w:ascii="Times New Roman" w:hAnsi="Times New Roman"/>
          <w:sz w:val="24"/>
          <w:szCs w:val="22"/>
          <w:lang w:eastAsia="zh-CN"/>
        </w:rPr>
      </w:pPr>
      <w:r>
        <w:rPr>
          <w:rFonts w:ascii="Times New Roman" w:hAnsi="Times New Roman"/>
          <w:sz w:val="24"/>
        </w:rPr>
        <w:t>（</w:t>
      </w:r>
      <w:r>
        <w:rPr>
          <w:rFonts w:hint="eastAsia" w:ascii="Times New Roman" w:hAnsi="Times New Roman"/>
          <w:sz w:val="24"/>
          <w:lang w:eastAsia="zh-CN"/>
        </w:rPr>
        <w:t>16</w:t>
      </w:r>
      <w:r>
        <w:rPr>
          <w:rFonts w:ascii="Times New Roman" w:hAnsi="Times New Roman"/>
          <w:sz w:val="24"/>
        </w:rPr>
        <w:t>）</w:t>
      </w:r>
      <w:r>
        <w:rPr>
          <w:rFonts w:ascii="Times New Roman" w:hAnsi="Times New Roman"/>
          <w:sz w:val="24"/>
          <w:szCs w:val="22"/>
        </w:rPr>
        <w:t>《中华人民共和国长江保护法》</w:t>
      </w:r>
      <w:r>
        <w:rPr>
          <w:rFonts w:hint="eastAsia" w:ascii="Times New Roman" w:hAnsi="Times New Roman"/>
          <w:sz w:val="24"/>
          <w:szCs w:val="22"/>
        </w:rPr>
        <w:t>（</w:t>
      </w:r>
      <w:r>
        <w:rPr>
          <w:rFonts w:hint="eastAsia" w:ascii="Times New Roman" w:hAnsi="Times New Roman"/>
          <w:sz w:val="24"/>
          <w:szCs w:val="22"/>
          <w:lang w:eastAsia="zh-CN"/>
        </w:rPr>
        <w:t>2021.3.1</w:t>
      </w:r>
      <w:r>
        <w:rPr>
          <w:rFonts w:hint="eastAsia" w:ascii="Times New Roman" w:hAnsi="Times New Roman"/>
          <w:sz w:val="24"/>
          <w:szCs w:val="22"/>
        </w:rPr>
        <w:t>）</w:t>
      </w:r>
      <w:r>
        <w:rPr>
          <w:rFonts w:ascii="Times New Roman" w:hAnsi="Times New Roman"/>
          <w:sz w:val="24"/>
          <w:szCs w:val="22"/>
        </w:rPr>
        <w:t>；</w:t>
      </w:r>
    </w:p>
    <w:p>
      <w:pPr>
        <w:pStyle w:val="14"/>
        <w:kinsoku w:val="0"/>
        <w:overflowPunct w:val="0"/>
        <w:autoSpaceDE w:val="0"/>
        <w:autoSpaceDN w:val="0"/>
        <w:adjustRightInd w:val="0"/>
        <w:spacing w:line="360" w:lineRule="auto"/>
        <w:ind w:firstLine="480" w:firstLineChars="200"/>
        <w:rPr>
          <w:rFonts w:ascii="Times New Roman" w:hAnsi="Times New Roman"/>
          <w:sz w:val="24"/>
        </w:rPr>
      </w:pPr>
      <w:r>
        <w:rPr>
          <w:rFonts w:ascii="Times New Roman" w:hAnsi="Times New Roman"/>
          <w:sz w:val="24"/>
        </w:rPr>
        <w:t>（</w:t>
      </w:r>
      <w:r>
        <w:rPr>
          <w:rFonts w:ascii="Times New Roman" w:hAnsi="Times New Roman"/>
          <w:sz w:val="24"/>
          <w:lang w:eastAsia="zh-CN"/>
        </w:rPr>
        <w:t>1</w:t>
      </w:r>
      <w:r>
        <w:rPr>
          <w:rFonts w:hint="eastAsia" w:ascii="Times New Roman" w:hAnsi="Times New Roman"/>
          <w:sz w:val="24"/>
          <w:lang w:eastAsia="zh-CN"/>
        </w:rPr>
        <w:t>7</w:t>
      </w:r>
      <w:r>
        <w:rPr>
          <w:rFonts w:ascii="Times New Roman" w:hAnsi="Times New Roman"/>
          <w:sz w:val="24"/>
        </w:rPr>
        <w:t>）《中华人民共和国煤炭法》（修正）（2016.11.7）；</w:t>
      </w:r>
    </w:p>
    <w:p>
      <w:pPr>
        <w:pStyle w:val="14"/>
        <w:kinsoku w:val="0"/>
        <w:overflowPunct w:val="0"/>
        <w:autoSpaceDE w:val="0"/>
        <w:autoSpaceDN w:val="0"/>
        <w:adjustRightInd w:val="0"/>
        <w:spacing w:line="360" w:lineRule="auto"/>
        <w:ind w:firstLine="480" w:firstLineChars="200"/>
        <w:rPr>
          <w:rFonts w:ascii="Times New Roman" w:hAnsi="Times New Roman"/>
          <w:sz w:val="24"/>
        </w:rPr>
      </w:pPr>
      <w:r>
        <w:rPr>
          <w:rFonts w:ascii="Times New Roman" w:hAnsi="Times New Roman"/>
          <w:sz w:val="24"/>
        </w:rPr>
        <w:t>（1</w:t>
      </w:r>
      <w:r>
        <w:rPr>
          <w:rFonts w:hint="eastAsia" w:ascii="Times New Roman" w:hAnsi="Times New Roman"/>
          <w:sz w:val="24"/>
          <w:lang w:eastAsia="zh-CN"/>
        </w:rPr>
        <w:t>8</w:t>
      </w:r>
      <w:r>
        <w:rPr>
          <w:rFonts w:ascii="Times New Roman" w:hAnsi="Times New Roman"/>
          <w:sz w:val="24"/>
        </w:rPr>
        <w:t>）《中华人民共和国矿产资源法》（2009.8.27）；</w:t>
      </w:r>
    </w:p>
    <w:p>
      <w:pPr>
        <w:pStyle w:val="14"/>
        <w:kinsoku w:val="0"/>
        <w:overflowPunct w:val="0"/>
        <w:autoSpaceDE w:val="0"/>
        <w:autoSpaceDN w:val="0"/>
        <w:adjustRightInd w:val="0"/>
        <w:spacing w:line="360" w:lineRule="auto"/>
        <w:ind w:firstLine="480" w:firstLineChars="200"/>
        <w:rPr>
          <w:rFonts w:ascii="Times New Roman" w:hAnsi="Times New Roman"/>
          <w:sz w:val="24"/>
          <w:lang w:eastAsia="zh-CN"/>
        </w:rPr>
      </w:pPr>
      <w:r>
        <w:rPr>
          <w:rFonts w:ascii="Times New Roman" w:hAnsi="Times New Roman"/>
          <w:sz w:val="24"/>
          <w:lang w:eastAsia="zh-CN"/>
        </w:rPr>
        <w:t>（1</w:t>
      </w:r>
      <w:r>
        <w:rPr>
          <w:rFonts w:hint="eastAsia" w:ascii="Times New Roman" w:hAnsi="Times New Roman"/>
          <w:sz w:val="24"/>
          <w:lang w:eastAsia="zh-CN"/>
        </w:rPr>
        <w:t>9</w:t>
      </w:r>
      <w:r>
        <w:rPr>
          <w:rFonts w:ascii="Times New Roman" w:hAnsi="Times New Roman"/>
          <w:sz w:val="24"/>
          <w:lang w:eastAsia="zh-CN"/>
        </w:rPr>
        <w:t>）《中华人民共和国矿山安全法》（</w:t>
      </w:r>
      <w:r>
        <w:rPr>
          <w:rFonts w:hint="eastAsia" w:ascii="Times New Roman" w:hAnsi="Times New Roman"/>
          <w:sz w:val="24"/>
          <w:lang w:eastAsia="zh-CN"/>
        </w:rPr>
        <w:t>2009.8.27</w:t>
      </w:r>
      <w:r>
        <w:rPr>
          <w:rFonts w:ascii="Times New Roman" w:hAnsi="Times New Roman"/>
          <w:sz w:val="24"/>
          <w:lang w:eastAsia="zh-CN"/>
        </w:rPr>
        <w:t>）；</w:t>
      </w:r>
    </w:p>
    <w:p>
      <w:pPr>
        <w:pStyle w:val="14"/>
        <w:kinsoku w:val="0"/>
        <w:overflowPunct w:val="0"/>
        <w:autoSpaceDE w:val="0"/>
        <w:autoSpaceDN w:val="0"/>
        <w:adjustRightInd w:val="0"/>
        <w:spacing w:line="360" w:lineRule="auto"/>
        <w:ind w:firstLine="480" w:firstLineChars="200"/>
        <w:rPr>
          <w:rFonts w:ascii="Times New Roman" w:hAnsi="Times New Roman"/>
          <w:sz w:val="24"/>
          <w:lang w:eastAsia="zh-CN"/>
        </w:rPr>
      </w:pPr>
      <w:r>
        <w:rPr>
          <w:rFonts w:ascii="Times New Roman" w:hAnsi="Times New Roman"/>
          <w:sz w:val="24"/>
          <w:lang w:eastAsia="zh-CN"/>
        </w:rPr>
        <w:t>（</w:t>
      </w:r>
      <w:r>
        <w:rPr>
          <w:rFonts w:hint="eastAsia" w:ascii="Times New Roman" w:hAnsi="Times New Roman"/>
          <w:sz w:val="24"/>
          <w:lang w:eastAsia="zh-CN"/>
        </w:rPr>
        <w:t>20</w:t>
      </w:r>
      <w:r>
        <w:rPr>
          <w:rFonts w:ascii="Times New Roman" w:hAnsi="Times New Roman"/>
          <w:sz w:val="24"/>
          <w:lang w:eastAsia="zh-CN"/>
        </w:rPr>
        <w:t>）《中华人民共和国环境保护税法》</w:t>
      </w:r>
      <w:r>
        <w:rPr>
          <w:rFonts w:hint="eastAsia" w:ascii="Times New Roman" w:hAnsi="Times New Roman"/>
          <w:sz w:val="24"/>
          <w:lang w:eastAsia="zh-CN"/>
        </w:rPr>
        <w:t>（2018.1.1）。</w:t>
      </w:r>
    </w:p>
    <w:p>
      <w:pPr>
        <w:pStyle w:val="6"/>
        <w:rPr>
          <w:lang w:eastAsia="zh-CN"/>
        </w:rPr>
      </w:pPr>
      <w:bookmarkStart w:id="8" w:name="_Toc163812479"/>
      <w:bookmarkStart w:id="9" w:name="_Toc167095102"/>
      <w:r>
        <w:rPr>
          <w:lang w:eastAsia="zh-CN"/>
        </w:rPr>
        <w:t>1.1.2 行政法规与部门</w:t>
      </w:r>
      <w:bookmarkEnd w:id="8"/>
      <w:bookmarkEnd w:id="9"/>
    </w:p>
    <w:p>
      <w:pPr>
        <w:pStyle w:val="14"/>
        <w:overflowPunct w:val="0"/>
        <w:autoSpaceDE w:val="0"/>
        <w:autoSpaceDN w:val="0"/>
        <w:adjustRightInd w:val="0"/>
        <w:spacing w:line="360" w:lineRule="auto"/>
        <w:ind w:firstLine="480" w:firstLineChars="200"/>
        <w:rPr>
          <w:rFonts w:ascii="Times New Roman" w:hAnsi="Times New Roman"/>
          <w:sz w:val="24"/>
          <w:lang w:eastAsia="zh-CN"/>
        </w:rPr>
      </w:pPr>
      <w:r>
        <w:rPr>
          <w:rFonts w:hint="eastAsia" w:ascii="Times New Roman" w:hAnsi="Times New Roman"/>
          <w:sz w:val="24"/>
          <w:lang w:eastAsia="zh-CN"/>
        </w:rPr>
        <w:t>（1）</w:t>
      </w:r>
      <w:r>
        <w:rPr>
          <w:rFonts w:ascii="Times New Roman" w:hAnsi="Times New Roman"/>
          <w:sz w:val="24"/>
          <w:lang w:eastAsia="zh-CN"/>
        </w:rPr>
        <w:t>《建设项目环境保护管理条例》，国务院令第682号，2017年10月1日</w:t>
      </w:r>
      <w:r>
        <w:rPr>
          <w:rFonts w:hint="eastAsia" w:ascii="Times New Roman" w:hAnsi="Times New Roman"/>
          <w:sz w:val="24"/>
          <w:lang w:eastAsia="zh-CN"/>
        </w:rPr>
        <w:t>；</w:t>
      </w:r>
    </w:p>
    <w:p>
      <w:pPr>
        <w:pStyle w:val="14"/>
        <w:overflowPunct w:val="0"/>
        <w:autoSpaceDE w:val="0"/>
        <w:autoSpaceDN w:val="0"/>
        <w:adjustRightInd w:val="0"/>
        <w:spacing w:line="360" w:lineRule="auto"/>
        <w:ind w:firstLine="480" w:firstLineChars="200"/>
        <w:rPr>
          <w:rFonts w:ascii="Times New Roman" w:hAnsi="Times New Roman"/>
          <w:sz w:val="24"/>
          <w:lang w:eastAsia="zh-CN"/>
        </w:rPr>
      </w:pPr>
      <w:r>
        <w:rPr>
          <w:rFonts w:ascii="Times New Roman" w:hAnsi="Times New Roman"/>
          <w:sz w:val="24"/>
          <w:lang w:eastAsia="zh-CN"/>
        </w:rPr>
        <w:t>（</w:t>
      </w:r>
      <w:r>
        <w:rPr>
          <w:rFonts w:hint="eastAsia" w:ascii="Times New Roman" w:hAnsi="Times New Roman"/>
          <w:sz w:val="24"/>
          <w:lang w:eastAsia="zh-CN"/>
        </w:rPr>
        <w:t>2</w:t>
      </w:r>
      <w:r>
        <w:rPr>
          <w:rFonts w:ascii="Times New Roman" w:hAnsi="Times New Roman"/>
          <w:sz w:val="24"/>
          <w:lang w:eastAsia="zh-CN"/>
        </w:rPr>
        <w:t>）《产业结构调整指导目录（20</w:t>
      </w:r>
      <w:r>
        <w:rPr>
          <w:rFonts w:hint="eastAsia" w:ascii="Times New Roman" w:hAnsi="Times New Roman"/>
          <w:sz w:val="24"/>
          <w:lang w:eastAsia="zh-CN"/>
        </w:rPr>
        <w:t>24</w:t>
      </w:r>
      <w:r>
        <w:rPr>
          <w:rFonts w:ascii="Times New Roman" w:hAnsi="Times New Roman"/>
          <w:sz w:val="24"/>
          <w:lang w:eastAsia="zh-CN"/>
        </w:rPr>
        <w:t>年本）》</w:t>
      </w:r>
      <w:r>
        <w:rPr>
          <w:rFonts w:hint="eastAsia" w:ascii="Times New Roman" w:hAnsi="Times New Roman"/>
          <w:sz w:val="24"/>
          <w:lang w:eastAsia="zh-CN"/>
        </w:rPr>
        <w:t>，</w:t>
      </w:r>
      <w:r>
        <w:rPr>
          <w:rFonts w:ascii="Times New Roman" w:hAnsi="Times New Roman"/>
          <w:sz w:val="24"/>
          <w:lang w:eastAsia="zh-CN"/>
        </w:rPr>
        <w:t>国家发展和改革委员会令第</w:t>
      </w:r>
      <w:r>
        <w:rPr>
          <w:rFonts w:hint="eastAsia" w:ascii="Times New Roman" w:hAnsi="Times New Roman"/>
          <w:sz w:val="24"/>
          <w:lang w:eastAsia="zh-CN"/>
        </w:rPr>
        <w:t>7</w:t>
      </w:r>
      <w:r>
        <w:rPr>
          <w:rFonts w:ascii="Times New Roman" w:hAnsi="Times New Roman"/>
          <w:sz w:val="24"/>
          <w:lang w:eastAsia="zh-CN"/>
        </w:rPr>
        <w:t>号</w:t>
      </w:r>
      <w:r>
        <w:rPr>
          <w:rFonts w:hint="eastAsia" w:ascii="Times New Roman" w:hAnsi="Times New Roman"/>
          <w:sz w:val="24"/>
          <w:lang w:eastAsia="zh-CN"/>
        </w:rPr>
        <w:t>，</w:t>
      </w:r>
      <w:r>
        <w:rPr>
          <w:rFonts w:ascii="Times New Roman" w:hAnsi="Times New Roman"/>
          <w:sz w:val="24"/>
          <w:lang w:eastAsia="zh-CN"/>
        </w:rPr>
        <w:t>202</w:t>
      </w:r>
      <w:r>
        <w:rPr>
          <w:rFonts w:hint="eastAsia" w:ascii="Times New Roman" w:hAnsi="Times New Roman"/>
          <w:sz w:val="24"/>
          <w:lang w:eastAsia="zh-CN"/>
        </w:rPr>
        <w:t>4</w:t>
      </w:r>
      <w:r>
        <w:rPr>
          <w:rFonts w:ascii="Times New Roman" w:hAnsi="Times New Roman"/>
          <w:sz w:val="24"/>
          <w:lang w:eastAsia="zh-CN"/>
        </w:rPr>
        <w:t>年</w:t>
      </w:r>
      <w:r>
        <w:rPr>
          <w:rFonts w:hint="eastAsia" w:ascii="Times New Roman" w:hAnsi="Times New Roman"/>
          <w:sz w:val="24"/>
          <w:lang w:eastAsia="zh-CN"/>
        </w:rPr>
        <w:t>2</w:t>
      </w:r>
      <w:r>
        <w:rPr>
          <w:rFonts w:ascii="Times New Roman" w:hAnsi="Times New Roman"/>
          <w:sz w:val="24"/>
          <w:lang w:eastAsia="zh-CN"/>
        </w:rPr>
        <w:t>月1日实施；</w:t>
      </w:r>
    </w:p>
    <w:p>
      <w:pPr>
        <w:pStyle w:val="14"/>
        <w:overflowPunct w:val="0"/>
        <w:autoSpaceDE w:val="0"/>
        <w:autoSpaceDN w:val="0"/>
        <w:adjustRightInd w:val="0"/>
        <w:spacing w:line="360" w:lineRule="auto"/>
        <w:ind w:firstLine="480" w:firstLineChars="200"/>
        <w:rPr>
          <w:rFonts w:ascii="Times New Roman" w:hAnsi="Times New Roman"/>
          <w:sz w:val="24"/>
          <w:lang w:eastAsia="zh-CN"/>
        </w:rPr>
      </w:pPr>
      <w:r>
        <w:rPr>
          <w:rFonts w:ascii="Times New Roman" w:hAnsi="Times New Roman"/>
          <w:sz w:val="24"/>
          <w:lang w:eastAsia="zh-CN"/>
        </w:rPr>
        <w:t>（3）《建设项目环境影响评价分类管理名录》，生态环境部，部令第16号，2020年11月30日修订，2021年1月1日起施行；</w:t>
      </w:r>
    </w:p>
    <w:p>
      <w:pPr>
        <w:pStyle w:val="14"/>
        <w:overflowPunct w:val="0"/>
        <w:autoSpaceDE w:val="0"/>
        <w:autoSpaceDN w:val="0"/>
        <w:adjustRightInd w:val="0"/>
        <w:spacing w:line="360" w:lineRule="auto"/>
        <w:ind w:firstLine="480" w:firstLineChars="200"/>
        <w:rPr>
          <w:rFonts w:ascii="Times New Roman" w:hAnsi="Times New Roman"/>
          <w:sz w:val="24"/>
          <w:lang w:eastAsia="zh-CN"/>
        </w:rPr>
      </w:pPr>
      <w:r>
        <w:rPr>
          <w:rFonts w:ascii="Times New Roman" w:hAnsi="Times New Roman"/>
          <w:sz w:val="24"/>
          <w:lang w:eastAsia="zh-CN"/>
        </w:rPr>
        <w:t>（4）《环境影响评价公众参与办法》，生态环境部，部令第4号，2019年1月1日实施；</w:t>
      </w:r>
    </w:p>
    <w:p>
      <w:pPr>
        <w:pStyle w:val="14"/>
        <w:overflowPunct w:val="0"/>
        <w:autoSpaceDE w:val="0"/>
        <w:autoSpaceDN w:val="0"/>
        <w:adjustRightInd w:val="0"/>
        <w:spacing w:line="360" w:lineRule="auto"/>
        <w:ind w:firstLine="480" w:firstLineChars="200"/>
        <w:rPr>
          <w:rFonts w:ascii="Times New Roman" w:hAnsi="Times New Roman"/>
          <w:sz w:val="24"/>
          <w:lang w:eastAsia="zh-CN"/>
        </w:rPr>
      </w:pPr>
      <w:r>
        <w:rPr>
          <w:rFonts w:ascii="Times New Roman" w:hAnsi="Times New Roman"/>
          <w:sz w:val="24"/>
          <w:lang w:eastAsia="zh-CN"/>
        </w:rPr>
        <w:t>（5）《中华人民共和国土地管理法实施条例》，国务院令第256号，1999年1月1日实施，2021年7月2日国务院令第743号第三次修订，自2021年9月1日起施行；</w:t>
      </w:r>
    </w:p>
    <w:p>
      <w:pPr>
        <w:pStyle w:val="14"/>
        <w:overflowPunct w:val="0"/>
        <w:autoSpaceDE w:val="0"/>
        <w:autoSpaceDN w:val="0"/>
        <w:adjustRightInd w:val="0"/>
        <w:spacing w:line="360" w:lineRule="auto"/>
        <w:ind w:firstLine="480" w:firstLineChars="200"/>
        <w:rPr>
          <w:rFonts w:ascii="Times New Roman" w:hAnsi="Times New Roman"/>
          <w:sz w:val="24"/>
          <w:lang w:eastAsia="zh-CN"/>
        </w:rPr>
      </w:pPr>
      <w:r>
        <w:rPr>
          <w:rFonts w:ascii="Times New Roman" w:hAnsi="Times New Roman"/>
          <w:sz w:val="24"/>
          <w:lang w:eastAsia="zh-CN"/>
        </w:rPr>
        <w:t>（6）《国务院关于印发水污染防治行动计划的通知》，国务院，国发</w:t>
      </w:r>
      <w:r>
        <w:rPr>
          <w:rFonts w:hint="eastAsia" w:ascii="Times New Roman" w:hAnsi="Times New Roman"/>
          <w:sz w:val="24"/>
          <w:lang w:eastAsia="zh-CN"/>
        </w:rPr>
        <w:t>〔2015〕</w:t>
      </w:r>
      <w:r>
        <w:rPr>
          <w:rFonts w:ascii="Times New Roman" w:hAnsi="Times New Roman"/>
          <w:sz w:val="24"/>
          <w:lang w:eastAsia="zh-CN"/>
        </w:rPr>
        <w:t>17号，2015年4月2日施行；</w:t>
      </w:r>
    </w:p>
    <w:p>
      <w:pPr>
        <w:pStyle w:val="14"/>
        <w:overflowPunct w:val="0"/>
        <w:autoSpaceDE w:val="0"/>
        <w:autoSpaceDN w:val="0"/>
        <w:adjustRightInd w:val="0"/>
        <w:spacing w:line="360" w:lineRule="auto"/>
        <w:ind w:firstLine="480" w:firstLineChars="200"/>
        <w:rPr>
          <w:rFonts w:ascii="Times New Roman" w:hAnsi="Times New Roman"/>
          <w:sz w:val="24"/>
          <w:lang w:eastAsia="zh-CN"/>
        </w:rPr>
      </w:pPr>
      <w:r>
        <w:rPr>
          <w:rFonts w:ascii="Times New Roman" w:hAnsi="Times New Roman"/>
          <w:sz w:val="24"/>
          <w:lang w:eastAsia="zh-CN"/>
        </w:rPr>
        <w:t>（8）《国务院关于印发大气污染物防治行动计划的通知》，国务院，国发</w:t>
      </w:r>
      <w:r>
        <w:rPr>
          <w:rFonts w:hint="eastAsia" w:ascii="Times New Roman" w:hAnsi="Times New Roman"/>
          <w:sz w:val="24"/>
          <w:lang w:eastAsia="zh-CN"/>
        </w:rPr>
        <w:t>〔2013〕</w:t>
      </w:r>
      <w:r>
        <w:rPr>
          <w:rFonts w:ascii="Times New Roman" w:hAnsi="Times New Roman"/>
          <w:sz w:val="24"/>
          <w:lang w:eastAsia="zh-CN"/>
        </w:rPr>
        <w:t>37号，2013年6月14日；</w:t>
      </w:r>
    </w:p>
    <w:p>
      <w:pPr>
        <w:pStyle w:val="14"/>
        <w:overflowPunct w:val="0"/>
        <w:autoSpaceDE w:val="0"/>
        <w:autoSpaceDN w:val="0"/>
        <w:adjustRightInd w:val="0"/>
        <w:spacing w:line="360" w:lineRule="auto"/>
        <w:ind w:firstLine="480" w:firstLineChars="200"/>
        <w:rPr>
          <w:rFonts w:ascii="Times New Roman" w:hAnsi="Times New Roman"/>
          <w:sz w:val="24"/>
          <w:lang w:eastAsia="zh-CN"/>
        </w:rPr>
      </w:pPr>
      <w:r>
        <w:rPr>
          <w:rFonts w:ascii="Times New Roman" w:hAnsi="Times New Roman"/>
          <w:sz w:val="24"/>
          <w:lang w:eastAsia="zh-CN"/>
        </w:rPr>
        <w:t>（9）《矿山地质环境保护规定》，国土资源部令第44号，2009.5.1；</w:t>
      </w:r>
    </w:p>
    <w:p>
      <w:pPr>
        <w:pStyle w:val="14"/>
        <w:overflowPunct w:val="0"/>
        <w:autoSpaceDE w:val="0"/>
        <w:autoSpaceDN w:val="0"/>
        <w:adjustRightInd w:val="0"/>
        <w:spacing w:line="360" w:lineRule="auto"/>
        <w:ind w:firstLine="480" w:firstLineChars="200"/>
        <w:rPr>
          <w:rFonts w:ascii="Times New Roman" w:hAnsi="Times New Roman"/>
          <w:sz w:val="24"/>
          <w:lang w:eastAsia="zh-CN"/>
        </w:rPr>
      </w:pPr>
      <w:r>
        <w:rPr>
          <w:rFonts w:ascii="Times New Roman" w:hAnsi="Times New Roman"/>
          <w:sz w:val="24"/>
          <w:lang w:eastAsia="zh-CN"/>
        </w:rPr>
        <w:t>（10）《煤矸石综合利用管理办法》，</w:t>
      </w:r>
      <w:r>
        <w:rPr>
          <w:rFonts w:hint="eastAsia" w:ascii="Times New Roman" w:hAnsi="Times New Roman"/>
          <w:sz w:val="24"/>
          <w:lang w:eastAsia="zh-CN"/>
        </w:rPr>
        <w:t>国家发展和改革委员会</w:t>
      </w:r>
      <w:r>
        <w:rPr>
          <w:rFonts w:ascii="Times New Roman" w:hAnsi="Times New Roman"/>
          <w:sz w:val="24"/>
          <w:lang w:eastAsia="zh-CN"/>
        </w:rPr>
        <w:t>、环境保护部等10部委联合令第18号，2015年3月1日；</w:t>
      </w:r>
    </w:p>
    <w:p>
      <w:pPr>
        <w:pStyle w:val="14"/>
        <w:overflowPunct w:val="0"/>
        <w:autoSpaceDE w:val="0"/>
        <w:autoSpaceDN w:val="0"/>
        <w:adjustRightInd w:val="0"/>
        <w:spacing w:line="360" w:lineRule="auto"/>
        <w:ind w:firstLine="480" w:firstLineChars="200"/>
        <w:rPr>
          <w:rFonts w:ascii="Times New Roman" w:hAnsi="Times New Roman"/>
          <w:sz w:val="24"/>
          <w:lang w:eastAsia="zh-CN"/>
        </w:rPr>
      </w:pPr>
      <w:r>
        <w:rPr>
          <w:rFonts w:ascii="Times New Roman" w:hAnsi="Times New Roman"/>
          <w:sz w:val="24"/>
          <w:lang w:eastAsia="zh-CN"/>
        </w:rPr>
        <w:t>（11）《国务院关于煤炭行业化解过剩产能实现脱困发展的意见》，国务院，国发</w:t>
      </w:r>
      <w:r>
        <w:rPr>
          <w:rFonts w:hint="eastAsia" w:ascii="Times New Roman" w:hAnsi="Times New Roman"/>
          <w:sz w:val="24"/>
          <w:lang w:eastAsia="zh-CN"/>
        </w:rPr>
        <w:t>〔2016〕</w:t>
      </w:r>
      <w:r>
        <w:rPr>
          <w:rFonts w:ascii="Times New Roman" w:hAnsi="Times New Roman"/>
          <w:sz w:val="24"/>
          <w:lang w:eastAsia="zh-CN"/>
        </w:rPr>
        <w:t>7号，2016.2.1；</w:t>
      </w:r>
    </w:p>
    <w:p>
      <w:pPr>
        <w:pStyle w:val="14"/>
        <w:overflowPunct w:val="0"/>
        <w:autoSpaceDE w:val="0"/>
        <w:autoSpaceDN w:val="0"/>
        <w:adjustRightInd w:val="0"/>
        <w:spacing w:line="360" w:lineRule="auto"/>
        <w:ind w:firstLine="480" w:firstLineChars="200"/>
        <w:rPr>
          <w:rFonts w:ascii="Times New Roman" w:hAnsi="Times New Roman"/>
          <w:sz w:val="24"/>
          <w:lang w:eastAsia="zh-CN"/>
        </w:rPr>
      </w:pPr>
      <w:r>
        <w:rPr>
          <w:rFonts w:ascii="Times New Roman" w:hAnsi="Times New Roman"/>
          <w:sz w:val="24"/>
          <w:lang w:eastAsia="zh-CN"/>
        </w:rPr>
        <w:t>（12）《全国地下水污染防治规划（2011-2020 年）》，国务院，国函</w:t>
      </w:r>
      <w:r>
        <w:rPr>
          <w:rFonts w:hint="eastAsia" w:ascii="Times New Roman" w:hAnsi="Times New Roman"/>
          <w:sz w:val="24"/>
          <w:lang w:eastAsia="zh-CN"/>
        </w:rPr>
        <w:t>〔2011〕</w:t>
      </w:r>
      <w:r>
        <w:rPr>
          <w:rFonts w:ascii="Times New Roman" w:hAnsi="Times New Roman"/>
          <w:sz w:val="24"/>
          <w:lang w:eastAsia="zh-CN"/>
        </w:rPr>
        <w:t>119号，2011.10.10；</w:t>
      </w:r>
    </w:p>
    <w:p>
      <w:pPr>
        <w:pStyle w:val="14"/>
        <w:overflowPunct w:val="0"/>
        <w:autoSpaceDE w:val="0"/>
        <w:autoSpaceDN w:val="0"/>
        <w:adjustRightInd w:val="0"/>
        <w:spacing w:line="360" w:lineRule="auto"/>
        <w:ind w:firstLine="480" w:firstLineChars="200"/>
        <w:rPr>
          <w:rFonts w:ascii="Times New Roman" w:hAnsi="Times New Roman"/>
          <w:sz w:val="24"/>
          <w:lang w:eastAsia="zh-CN"/>
        </w:rPr>
      </w:pPr>
      <w:r>
        <w:rPr>
          <w:rFonts w:ascii="Times New Roman" w:hAnsi="Times New Roman"/>
          <w:sz w:val="24"/>
          <w:lang w:eastAsia="zh-CN"/>
        </w:rPr>
        <w:t>（13）《关于加强规划环境影响评价与建设项目环境影响评价联动工作的意见》，环境保护部，环发[2015]178 号，2015.12.30；</w:t>
      </w:r>
    </w:p>
    <w:p>
      <w:pPr>
        <w:pStyle w:val="14"/>
        <w:overflowPunct w:val="0"/>
        <w:autoSpaceDE w:val="0"/>
        <w:autoSpaceDN w:val="0"/>
        <w:adjustRightInd w:val="0"/>
        <w:spacing w:line="360" w:lineRule="auto"/>
        <w:ind w:firstLine="480" w:firstLineChars="200"/>
        <w:rPr>
          <w:rFonts w:ascii="Times New Roman" w:hAnsi="Times New Roman"/>
          <w:sz w:val="24"/>
          <w:lang w:eastAsia="zh-CN"/>
        </w:rPr>
      </w:pPr>
      <w:r>
        <w:rPr>
          <w:rFonts w:hint="eastAsia" w:ascii="Times New Roman" w:hAnsi="Times New Roman"/>
          <w:sz w:val="24"/>
          <w:lang w:eastAsia="zh-CN"/>
        </w:rPr>
        <w:t>（14）《“十四五”土壤、地下水和农村生态环境保护规划的通知》，环土壤〔2021〕120号，2021.12.29；</w:t>
      </w:r>
    </w:p>
    <w:p>
      <w:pPr>
        <w:pStyle w:val="14"/>
        <w:overflowPunct w:val="0"/>
        <w:autoSpaceDE w:val="0"/>
        <w:autoSpaceDN w:val="0"/>
        <w:adjustRightInd w:val="0"/>
        <w:spacing w:line="360" w:lineRule="auto"/>
        <w:ind w:firstLine="480" w:firstLineChars="200"/>
        <w:rPr>
          <w:rFonts w:ascii="Times New Roman" w:hAnsi="Times New Roman"/>
          <w:sz w:val="24"/>
          <w:lang w:eastAsia="zh-CN"/>
        </w:rPr>
      </w:pPr>
      <w:r>
        <w:rPr>
          <w:rFonts w:ascii="Times New Roman" w:hAnsi="Times New Roman"/>
          <w:sz w:val="24"/>
          <w:lang w:eastAsia="zh-CN"/>
        </w:rPr>
        <w:t>（15）《国务院关于印发土壤污染防治行动计划的通知》，国务院，国发〔20</w:t>
      </w:r>
      <w:r>
        <w:rPr>
          <w:rFonts w:hint="eastAsia" w:ascii="Times New Roman" w:hAnsi="Times New Roman"/>
          <w:sz w:val="24"/>
          <w:lang w:eastAsia="zh-CN"/>
        </w:rPr>
        <w:t>16</w:t>
      </w:r>
      <w:r>
        <w:rPr>
          <w:rFonts w:ascii="Times New Roman" w:hAnsi="Times New Roman"/>
          <w:sz w:val="24"/>
          <w:lang w:eastAsia="zh-CN"/>
        </w:rPr>
        <w:t>〕31号，2016.5.28；</w:t>
      </w:r>
    </w:p>
    <w:p>
      <w:pPr>
        <w:pStyle w:val="14"/>
        <w:overflowPunct w:val="0"/>
        <w:autoSpaceDE w:val="0"/>
        <w:autoSpaceDN w:val="0"/>
        <w:adjustRightInd w:val="0"/>
        <w:spacing w:line="360" w:lineRule="auto"/>
        <w:ind w:firstLine="480" w:firstLineChars="200"/>
        <w:rPr>
          <w:rFonts w:ascii="Times New Roman" w:hAnsi="Times New Roman"/>
          <w:sz w:val="24"/>
          <w:lang w:eastAsia="zh-CN"/>
        </w:rPr>
      </w:pPr>
      <w:r>
        <w:rPr>
          <w:rFonts w:ascii="Times New Roman" w:hAnsi="Times New Roman"/>
          <w:sz w:val="24"/>
          <w:lang w:eastAsia="zh-CN"/>
        </w:rPr>
        <w:t>（16）《煤炭工业“十四五”高质量发展指导意见》，</w:t>
      </w:r>
      <w:r>
        <w:rPr>
          <w:rFonts w:hint="eastAsia" w:ascii="Times New Roman" w:hAnsi="Times New Roman"/>
          <w:sz w:val="24"/>
          <w:lang w:eastAsia="zh-CN"/>
        </w:rPr>
        <w:t>中国煤炭工业协会</w:t>
      </w:r>
      <w:r>
        <w:rPr>
          <w:rFonts w:ascii="Times New Roman" w:hAnsi="Times New Roman"/>
          <w:sz w:val="24"/>
          <w:lang w:eastAsia="zh-CN"/>
        </w:rPr>
        <w:t>，20</w:t>
      </w:r>
      <w:r>
        <w:rPr>
          <w:rFonts w:hint="eastAsia" w:ascii="Times New Roman" w:hAnsi="Times New Roman"/>
          <w:sz w:val="24"/>
          <w:lang w:eastAsia="zh-CN"/>
        </w:rPr>
        <w:t>21.5.29</w:t>
      </w:r>
      <w:r>
        <w:rPr>
          <w:rFonts w:ascii="Times New Roman" w:hAnsi="Times New Roman"/>
          <w:sz w:val="24"/>
          <w:lang w:eastAsia="zh-CN"/>
        </w:rPr>
        <w:t>。</w:t>
      </w:r>
    </w:p>
    <w:p>
      <w:pPr>
        <w:pStyle w:val="14"/>
        <w:overflowPunct w:val="0"/>
        <w:autoSpaceDE w:val="0"/>
        <w:autoSpaceDN w:val="0"/>
        <w:adjustRightInd w:val="0"/>
        <w:spacing w:line="360" w:lineRule="auto"/>
        <w:ind w:firstLine="480" w:firstLineChars="200"/>
        <w:rPr>
          <w:rFonts w:ascii="Times New Roman" w:hAnsi="Times New Roman"/>
          <w:sz w:val="24"/>
          <w:lang w:eastAsia="zh-CN"/>
        </w:rPr>
      </w:pPr>
      <w:r>
        <w:rPr>
          <w:rFonts w:ascii="Times New Roman" w:hAnsi="Times New Roman"/>
          <w:sz w:val="24"/>
          <w:lang w:eastAsia="zh-CN"/>
        </w:rPr>
        <w:t>（17）《矿山生态环境保护与污染防治技术政策》，环发〔20</w:t>
      </w:r>
      <w:r>
        <w:rPr>
          <w:rFonts w:hint="eastAsia" w:ascii="Times New Roman" w:hAnsi="Times New Roman"/>
          <w:sz w:val="24"/>
          <w:lang w:eastAsia="zh-CN"/>
        </w:rPr>
        <w:t>05</w:t>
      </w:r>
      <w:r>
        <w:rPr>
          <w:rFonts w:ascii="Times New Roman" w:hAnsi="Times New Roman"/>
          <w:sz w:val="24"/>
          <w:lang w:eastAsia="zh-CN"/>
        </w:rPr>
        <w:t>〕109号，2005.09.07；</w:t>
      </w:r>
    </w:p>
    <w:p>
      <w:pPr>
        <w:pStyle w:val="14"/>
        <w:overflowPunct w:val="0"/>
        <w:autoSpaceDE w:val="0"/>
        <w:autoSpaceDN w:val="0"/>
        <w:adjustRightInd w:val="0"/>
        <w:spacing w:line="360" w:lineRule="auto"/>
        <w:ind w:firstLine="480" w:firstLineChars="200"/>
        <w:rPr>
          <w:rFonts w:ascii="Times New Roman" w:hAnsi="Times New Roman"/>
          <w:sz w:val="24"/>
          <w:lang w:eastAsia="zh-CN"/>
        </w:rPr>
      </w:pPr>
      <w:r>
        <w:rPr>
          <w:rFonts w:ascii="Times New Roman" w:hAnsi="Times New Roman"/>
          <w:sz w:val="24"/>
          <w:lang w:eastAsia="zh-CN"/>
        </w:rPr>
        <w:t>（18）《中华人民共和国野生植物保护条例》（国务院令第204号）；</w:t>
      </w:r>
    </w:p>
    <w:p>
      <w:pPr>
        <w:pStyle w:val="14"/>
        <w:overflowPunct w:val="0"/>
        <w:autoSpaceDE w:val="0"/>
        <w:autoSpaceDN w:val="0"/>
        <w:adjustRightInd w:val="0"/>
        <w:spacing w:line="360" w:lineRule="auto"/>
        <w:ind w:firstLine="480" w:firstLineChars="200"/>
        <w:rPr>
          <w:rFonts w:ascii="Times New Roman" w:hAnsi="Times New Roman"/>
          <w:sz w:val="24"/>
          <w:lang w:eastAsia="zh-CN"/>
        </w:rPr>
      </w:pPr>
      <w:r>
        <w:rPr>
          <w:rFonts w:ascii="Times New Roman" w:hAnsi="Times New Roman"/>
          <w:sz w:val="24"/>
          <w:lang w:eastAsia="zh-CN"/>
        </w:rPr>
        <w:t>（19）《中华人民共和国水土保持法实施条例》（国务院令第120号发布，国务院令第588号修订）；</w:t>
      </w:r>
    </w:p>
    <w:p>
      <w:pPr>
        <w:pStyle w:val="14"/>
        <w:overflowPunct w:val="0"/>
        <w:autoSpaceDE w:val="0"/>
        <w:autoSpaceDN w:val="0"/>
        <w:adjustRightInd w:val="0"/>
        <w:spacing w:line="360" w:lineRule="auto"/>
        <w:ind w:firstLine="480" w:firstLineChars="200"/>
        <w:rPr>
          <w:rFonts w:ascii="Times New Roman" w:hAnsi="Times New Roman"/>
          <w:sz w:val="24"/>
          <w:lang w:eastAsia="zh-CN"/>
        </w:rPr>
      </w:pPr>
      <w:r>
        <w:rPr>
          <w:rFonts w:ascii="Times New Roman" w:hAnsi="Times New Roman"/>
          <w:sz w:val="24"/>
          <w:lang w:eastAsia="zh-CN"/>
        </w:rPr>
        <w:t>（20）《中华人民共和国陆生野生动物保护实施条例》（</w:t>
      </w:r>
      <w:r>
        <w:fldChar w:fldCharType="begin"/>
      </w:r>
      <w:r>
        <w:instrText xml:space="preserve"> HYPERLINK "http://fgs.mee.gov.cn/fl/201906/t20190610_706062.shtml" \t "http://www.mee.gov.cn/gzfw_13107/zcfg/fl/_blank" \o "中华人民共和国草原法（2013年6月29日第二次修正）" </w:instrText>
      </w:r>
      <w:r>
        <w:fldChar w:fldCharType="separate"/>
      </w:r>
      <w:r>
        <w:rPr>
          <w:rFonts w:ascii="Times New Roman" w:hAnsi="Times New Roman"/>
          <w:sz w:val="24"/>
          <w:lang w:eastAsia="zh-CN"/>
        </w:rPr>
        <w:t>2016.2.6第二次修正</w:t>
      </w:r>
      <w:r>
        <w:rPr>
          <w:rFonts w:ascii="Times New Roman" w:hAnsi="Times New Roman"/>
          <w:sz w:val="24"/>
          <w:lang w:eastAsia="zh-CN"/>
        </w:rPr>
        <w:fldChar w:fldCharType="end"/>
      </w:r>
      <w:r>
        <w:rPr>
          <w:rFonts w:ascii="Times New Roman" w:hAnsi="Times New Roman"/>
          <w:sz w:val="24"/>
          <w:lang w:eastAsia="zh-CN"/>
        </w:rPr>
        <w:t>）；</w:t>
      </w:r>
    </w:p>
    <w:p>
      <w:pPr>
        <w:pStyle w:val="14"/>
        <w:overflowPunct w:val="0"/>
        <w:autoSpaceDE w:val="0"/>
        <w:autoSpaceDN w:val="0"/>
        <w:adjustRightInd w:val="0"/>
        <w:spacing w:line="360" w:lineRule="auto"/>
        <w:ind w:firstLine="480" w:firstLineChars="200"/>
        <w:rPr>
          <w:rFonts w:ascii="Times New Roman" w:hAnsi="Times New Roman"/>
          <w:sz w:val="24"/>
          <w:lang w:eastAsia="zh-CN"/>
        </w:rPr>
      </w:pPr>
      <w:r>
        <w:rPr>
          <w:rFonts w:ascii="Times New Roman" w:hAnsi="Times New Roman"/>
          <w:sz w:val="24"/>
          <w:lang w:eastAsia="zh-CN"/>
        </w:rPr>
        <w:t>（21）《国家重点保护野生动物名录》（国家林业和草原局 农业农村部公告2021年第3号）；</w:t>
      </w:r>
    </w:p>
    <w:p>
      <w:pPr>
        <w:pStyle w:val="14"/>
        <w:overflowPunct w:val="0"/>
        <w:autoSpaceDE w:val="0"/>
        <w:autoSpaceDN w:val="0"/>
        <w:adjustRightInd w:val="0"/>
        <w:spacing w:line="360" w:lineRule="auto"/>
        <w:ind w:firstLine="480" w:firstLineChars="200"/>
        <w:rPr>
          <w:rFonts w:ascii="Times New Roman" w:hAnsi="Times New Roman"/>
          <w:sz w:val="24"/>
          <w:lang w:eastAsia="zh-CN"/>
        </w:rPr>
      </w:pPr>
      <w:r>
        <w:rPr>
          <w:rFonts w:ascii="Times New Roman" w:hAnsi="Times New Roman"/>
          <w:sz w:val="24"/>
          <w:lang w:eastAsia="zh-CN"/>
        </w:rPr>
        <w:t>（22）《国家重点保护野生植物名录》（国家林业和草原局 农业农村部公告2021年第15号）；</w:t>
      </w:r>
    </w:p>
    <w:p>
      <w:pPr>
        <w:pStyle w:val="14"/>
        <w:overflowPunct w:val="0"/>
        <w:autoSpaceDE w:val="0"/>
        <w:autoSpaceDN w:val="0"/>
        <w:adjustRightInd w:val="0"/>
        <w:spacing w:line="360" w:lineRule="auto"/>
        <w:ind w:firstLine="480" w:firstLineChars="200"/>
        <w:rPr>
          <w:rFonts w:ascii="Times New Roman" w:hAnsi="Times New Roman"/>
          <w:sz w:val="24"/>
          <w:lang w:eastAsia="zh-CN"/>
        </w:rPr>
      </w:pPr>
      <w:r>
        <w:rPr>
          <w:rFonts w:ascii="Times New Roman" w:hAnsi="Times New Roman"/>
          <w:sz w:val="24"/>
          <w:lang w:eastAsia="zh-CN"/>
        </w:rPr>
        <w:t>（23）《关于进一步加强煤炭资源开发环境影响评价管理的通知》（环环评〔2020〕63号）；</w:t>
      </w:r>
    </w:p>
    <w:p>
      <w:pPr>
        <w:pStyle w:val="14"/>
        <w:overflowPunct w:val="0"/>
        <w:autoSpaceDE w:val="0"/>
        <w:autoSpaceDN w:val="0"/>
        <w:adjustRightInd w:val="0"/>
        <w:spacing w:line="360" w:lineRule="auto"/>
        <w:ind w:firstLine="480" w:firstLineChars="200"/>
        <w:rPr>
          <w:rFonts w:ascii="Times New Roman" w:hAnsi="Times New Roman"/>
          <w:sz w:val="24"/>
          <w:lang w:eastAsia="zh-CN"/>
        </w:rPr>
      </w:pPr>
      <w:r>
        <w:rPr>
          <w:rFonts w:ascii="Times New Roman" w:hAnsi="Times New Roman"/>
          <w:sz w:val="24"/>
          <w:lang w:eastAsia="zh-CN"/>
        </w:rPr>
        <w:t>（24）《地下水管理条例》（中华人民共和国国务院令第748号），2021年12月1日起施行；</w:t>
      </w:r>
    </w:p>
    <w:p>
      <w:pPr>
        <w:pStyle w:val="14"/>
        <w:overflowPunct w:val="0"/>
        <w:autoSpaceDE w:val="0"/>
        <w:autoSpaceDN w:val="0"/>
        <w:adjustRightInd w:val="0"/>
        <w:spacing w:line="360" w:lineRule="auto"/>
        <w:ind w:firstLine="480" w:firstLineChars="200"/>
        <w:rPr>
          <w:rFonts w:ascii="Times New Roman" w:hAnsi="Times New Roman"/>
          <w:sz w:val="24"/>
          <w:lang w:eastAsia="zh-CN"/>
        </w:rPr>
      </w:pPr>
      <w:r>
        <w:rPr>
          <w:rFonts w:ascii="Times New Roman" w:hAnsi="Times New Roman"/>
          <w:sz w:val="24"/>
          <w:lang w:eastAsia="zh-CN"/>
        </w:rPr>
        <w:t>（25）《全国安全生产专项整治三年行动计划（煤矿安全专项整治三年行动实施方案）》（安委〔20</w:t>
      </w:r>
      <w:r>
        <w:rPr>
          <w:rFonts w:hint="eastAsia" w:ascii="Times New Roman" w:hAnsi="Times New Roman"/>
          <w:sz w:val="24"/>
          <w:lang w:eastAsia="zh-CN"/>
        </w:rPr>
        <w:t>20</w:t>
      </w:r>
      <w:r>
        <w:rPr>
          <w:rFonts w:ascii="Times New Roman" w:hAnsi="Times New Roman"/>
          <w:sz w:val="24"/>
          <w:lang w:eastAsia="zh-CN"/>
        </w:rPr>
        <w:t>〕3号）。</w:t>
      </w:r>
    </w:p>
    <w:p>
      <w:pPr>
        <w:pStyle w:val="14"/>
        <w:overflowPunct w:val="0"/>
        <w:autoSpaceDE w:val="0"/>
        <w:autoSpaceDN w:val="0"/>
        <w:adjustRightInd w:val="0"/>
        <w:spacing w:line="360" w:lineRule="auto"/>
        <w:ind w:firstLine="480" w:firstLineChars="200"/>
        <w:rPr>
          <w:rFonts w:ascii="Times New Roman" w:hAnsi="Times New Roman"/>
          <w:sz w:val="24"/>
          <w:lang w:eastAsia="zh-CN"/>
        </w:rPr>
      </w:pPr>
      <w:r>
        <w:rPr>
          <w:rFonts w:ascii="Times New Roman" w:hAnsi="Times New Roman"/>
          <w:sz w:val="24"/>
          <w:lang w:eastAsia="zh-CN"/>
        </w:rPr>
        <w:t>（</w:t>
      </w:r>
      <w:r>
        <w:rPr>
          <w:rFonts w:hint="eastAsia" w:ascii="Times New Roman" w:hAnsi="Times New Roman"/>
          <w:sz w:val="24"/>
          <w:lang w:eastAsia="zh-CN"/>
        </w:rPr>
        <w:t>26</w:t>
      </w:r>
      <w:r>
        <w:rPr>
          <w:rFonts w:ascii="Times New Roman" w:hAnsi="Times New Roman"/>
          <w:sz w:val="24"/>
          <w:lang w:eastAsia="zh-CN"/>
        </w:rPr>
        <w:t>）关于发布《矿产资源开发利用辐射环境监督管理名录》的公告，生态环境部办公厅，2020年第54号</w:t>
      </w:r>
      <w:r>
        <w:rPr>
          <w:rFonts w:hint="eastAsia" w:ascii="Times New Roman" w:hAnsi="Times New Roman"/>
          <w:sz w:val="24"/>
          <w:lang w:eastAsia="zh-CN"/>
        </w:rPr>
        <w:t>。</w:t>
      </w:r>
    </w:p>
    <w:p>
      <w:pPr>
        <w:pStyle w:val="14"/>
        <w:overflowPunct w:val="0"/>
        <w:autoSpaceDE w:val="0"/>
        <w:autoSpaceDN w:val="0"/>
        <w:adjustRightInd w:val="0"/>
        <w:spacing w:line="360" w:lineRule="auto"/>
        <w:ind w:firstLine="480" w:firstLineChars="200"/>
        <w:rPr>
          <w:rFonts w:ascii="Times New Roman" w:hAnsi="Times New Roman"/>
          <w:sz w:val="24"/>
          <w:lang w:eastAsia="zh-CN"/>
        </w:rPr>
      </w:pPr>
      <w:r>
        <w:rPr>
          <w:rFonts w:ascii="Times New Roman" w:hAnsi="Times New Roman"/>
          <w:sz w:val="24"/>
          <w:lang w:eastAsia="zh-CN"/>
        </w:rPr>
        <w:t>（</w:t>
      </w:r>
      <w:r>
        <w:rPr>
          <w:rFonts w:hint="eastAsia" w:ascii="Times New Roman" w:hAnsi="Times New Roman"/>
          <w:sz w:val="24"/>
          <w:lang w:eastAsia="zh-CN"/>
        </w:rPr>
        <w:t>27</w:t>
      </w:r>
      <w:r>
        <w:rPr>
          <w:rFonts w:ascii="Times New Roman" w:hAnsi="Times New Roman"/>
          <w:sz w:val="24"/>
          <w:lang w:eastAsia="zh-CN"/>
        </w:rPr>
        <w:t>）《关于进一步加强环境影响评价管理防范环境风险的通知》（环发〔20</w:t>
      </w:r>
      <w:r>
        <w:rPr>
          <w:rFonts w:hint="eastAsia" w:ascii="Times New Roman" w:hAnsi="Times New Roman"/>
          <w:sz w:val="24"/>
          <w:lang w:eastAsia="zh-CN"/>
        </w:rPr>
        <w:t>12</w:t>
      </w:r>
      <w:r>
        <w:rPr>
          <w:rFonts w:ascii="Times New Roman" w:hAnsi="Times New Roman"/>
          <w:sz w:val="24"/>
          <w:lang w:eastAsia="zh-CN"/>
        </w:rPr>
        <w:t>〕77 号，2012.7.3）；</w:t>
      </w:r>
    </w:p>
    <w:p>
      <w:pPr>
        <w:pStyle w:val="14"/>
        <w:overflowPunct w:val="0"/>
        <w:autoSpaceDE w:val="0"/>
        <w:autoSpaceDN w:val="0"/>
        <w:adjustRightInd w:val="0"/>
        <w:spacing w:line="360" w:lineRule="auto"/>
        <w:ind w:firstLine="480" w:firstLineChars="200"/>
        <w:rPr>
          <w:rFonts w:ascii="Times New Roman" w:hAnsi="Times New Roman"/>
          <w:sz w:val="24"/>
          <w:lang w:eastAsia="zh-CN"/>
        </w:rPr>
      </w:pPr>
      <w:r>
        <w:rPr>
          <w:rFonts w:ascii="Times New Roman" w:hAnsi="Times New Roman"/>
          <w:sz w:val="24"/>
          <w:lang w:eastAsia="zh-CN"/>
        </w:rPr>
        <w:t>（</w:t>
      </w:r>
      <w:r>
        <w:rPr>
          <w:rFonts w:hint="eastAsia" w:ascii="Times New Roman" w:hAnsi="Times New Roman"/>
          <w:sz w:val="24"/>
          <w:lang w:eastAsia="zh-CN"/>
        </w:rPr>
        <w:t>28</w:t>
      </w:r>
      <w:r>
        <w:rPr>
          <w:rFonts w:ascii="Times New Roman" w:hAnsi="Times New Roman"/>
          <w:sz w:val="24"/>
          <w:lang w:eastAsia="zh-CN"/>
        </w:rPr>
        <w:t>）《关于切实加强风险防范严格环境影响评价管理的通知》（环发〔20</w:t>
      </w:r>
      <w:r>
        <w:rPr>
          <w:rFonts w:hint="eastAsia" w:ascii="Times New Roman" w:hAnsi="Times New Roman"/>
          <w:sz w:val="24"/>
          <w:lang w:eastAsia="zh-CN"/>
        </w:rPr>
        <w:t>12</w:t>
      </w:r>
      <w:r>
        <w:rPr>
          <w:rFonts w:ascii="Times New Roman" w:hAnsi="Times New Roman"/>
          <w:sz w:val="24"/>
          <w:lang w:eastAsia="zh-CN"/>
        </w:rPr>
        <w:t>〕98 号，2012.8.7）</w:t>
      </w:r>
      <w:r>
        <w:rPr>
          <w:rFonts w:hint="eastAsia" w:ascii="Times New Roman" w:hAnsi="Times New Roman"/>
          <w:sz w:val="24"/>
          <w:lang w:eastAsia="zh-CN"/>
        </w:rPr>
        <w:t>；</w:t>
      </w:r>
    </w:p>
    <w:p>
      <w:pPr>
        <w:pStyle w:val="14"/>
        <w:overflowPunct w:val="0"/>
        <w:autoSpaceDE w:val="0"/>
        <w:autoSpaceDN w:val="0"/>
        <w:adjustRightInd w:val="0"/>
        <w:spacing w:line="360" w:lineRule="auto"/>
        <w:ind w:firstLine="480" w:firstLineChars="200"/>
        <w:rPr>
          <w:rFonts w:ascii="Times New Roman" w:hAnsi="Times New Roman"/>
          <w:sz w:val="24"/>
          <w:lang w:eastAsia="zh-CN"/>
        </w:rPr>
      </w:pPr>
      <w:r>
        <w:rPr>
          <w:rFonts w:hint="eastAsia" w:ascii="Times New Roman" w:hAnsi="Times New Roman"/>
          <w:sz w:val="24"/>
          <w:lang w:eastAsia="zh-CN"/>
        </w:rPr>
        <w:t>（29）</w:t>
      </w:r>
      <w:r>
        <w:rPr>
          <w:rFonts w:ascii="Times New Roman" w:hAnsi="Times New Roman"/>
          <w:sz w:val="24"/>
          <w:lang w:eastAsia="zh-CN"/>
        </w:rPr>
        <w:t>《国务院关于煤炭行业化解过剩产能实现脱困发展的意见》（国发〔20</w:t>
      </w:r>
      <w:r>
        <w:rPr>
          <w:rFonts w:hint="eastAsia" w:ascii="Times New Roman" w:hAnsi="Times New Roman"/>
          <w:sz w:val="24"/>
          <w:lang w:eastAsia="zh-CN"/>
        </w:rPr>
        <w:t>16</w:t>
      </w:r>
      <w:r>
        <w:rPr>
          <w:rFonts w:ascii="Times New Roman" w:hAnsi="Times New Roman"/>
          <w:sz w:val="24"/>
          <w:lang w:eastAsia="zh-CN"/>
        </w:rPr>
        <w:t>〕7号）</w:t>
      </w:r>
      <w:r>
        <w:rPr>
          <w:rFonts w:hint="eastAsia" w:ascii="Times New Roman" w:hAnsi="Times New Roman"/>
          <w:sz w:val="24"/>
          <w:lang w:eastAsia="zh-CN"/>
        </w:rPr>
        <w:t>；</w:t>
      </w:r>
    </w:p>
    <w:p>
      <w:pPr>
        <w:pStyle w:val="14"/>
        <w:overflowPunct w:val="0"/>
        <w:autoSpaceDE w:val="0"/>
        <w:autoSpaceDN w:val="0"/>
        <w:adjustRightInd w:val="0"/>
        <w:spacing w:line="360" w:lineRule="auto"/>
        <w:ind w:firstLine="480" w:firstLineChars="200"/>
        <w:rPr>
          <w:rFonts w:ascii="Times New Roman" w:hAnsi="Times New Roman"/>
          <w:sz w:val="24"/>
          <w:lang w:eastAsia="zh-CN"/>
        </w:rPr>
      </w:pPr>
      <w:r>
        <w:rPr>
          <w:rFonts w:hint="eastAsia" w:ascii="Times New Roman" w:hAnsi="Times New Roman"/>
          <w:sz w:val="24"/>
          <w:lang w:eastAsia="zh-CN"/>
        </w:rPr>
        <w:t>（30）《生产煤矿回采率管理暂行规定》，国家发展和改革委员会令第　17　号，2012.12.9；</w:t>
      </w:r>
    </w:p>
    <w:p>
      <w:pPr>
        <w:pStyle w:val="14"/>
        <w:overflowPunct w:val="0"/>
        <w:autoSpaceDE w:val="0"/>
        <w:autoSpaceDN w:val="0"/>
        <w:adjustRightInd w:val="0"/>
        <w:spacing w:line="360" w:lineRule="auto"/>
        <w:ind w:firstLine="480" w:firstLineChars="200"/>
        <w:rPr>
          <w:rFonts w:ascii="Times New Roman" w:hAnsi="Times New Roman"/>
          <w:sz w:val="24"/>
          <w:lang w:eastAsia="zh-CN"/>
        </w:rPr>
      </w:pPr>
      <w:r>
        <w:rPr>
          <w:rFonts w:hint="eastAsia" w:ascii="Times New Roman" w:hAnsi="Times New Roman"/>
          <w:sz w:val="24"/>
          <w:lang w:eastAsia="zh-CN"/>
        </w:rPr>
        <w:t>（31）《甲烷排放控制行动方案》（环气候〔2023〕67号，2023.11.07）；</w:t>
      </w:r>
    </w:p>
    <w:p>
      <w:pPr>
        <w:pStyle w:val="14"/>
        <w:overflowPunct w:val="0"/>
        <w:autoSpaceDE w:val="0"/>
        <w:autoSpaceDN w:val="0"/>
        <w:adjustRightInd w:val="0"/>
        <w:spacing w:line="360" w:lineRule="auto"/>
        <w:ind w:firstLine="480" w:firstLineChars="200"/>
        <w:rPr>
          <w:rFonts w:ascii="Times New Roman" w:hAnsi="Times New Roman"/>
          <w:sz w:val="24"/>
          <w:lang w:eastAsia="zh-CN"/>
        </w:rPr>
      </w:pPr>
      <w:r>
        <w:rPr>
          <w:rFonts w:hint="eastAsia" w:ascii="Times New Roman" w:hAnsi="Times New Roman"/>
          <w:sz w:val="24"/>
          <w:lang w:eastAsia="zh-CN"/>
        </w:rPr>
        <w:t>（32）《空气质量持续改善行动计划》（国发〔2023〕24号，2023.11.30）；</w:t>
      </w:r>
    </w:p>
    <w:p>
      <w:pPr>
        <w:pStyle w:val="14"/>
        <w:overflowPunct w:val="0"/>
        <w:autoSpaceDE w:val="0"/>
        <w:autoSpaceDN w:val="0"/>
        <w:adjustRightInd w:val="0"/>
        <w:spacing w:line="360" w:lineRule="auto"/>
        <w:ind w:firstLine="480" w:firstLineChars="200"/>
        <w:rPr>
          <w:rFonts w:ascii="Times New Roman" w:hAnsi="Times New Roman"/>
          <w:sz w:val="24"/>
          <w:lang w:eastAsia="zh-CN"/>
        </w:rPr>
      </w:pPr>
      <w:r>
        <w:rPr>
          <w:rFonts w:hint="eastAsia" w:ascii="Times New Roman" w:hAnsi="Times New Roman"/>
          <w:sz w:val="24"/>
          <w:lang w:eastAsia="zh-CN"/>
        </w:rPr>
        <w:t>（33）《</w:t>
      </w:r>
      <w:r>
        <w:rPr>
          <w:rFonts w:ascii="Times New Roman" w:hAnsi="Times New Roman"/>
          <w:sz w:val="24"/>
          <w:lang w:eastAsia="zh-CN"/>
        </w:rPr>
        <w:t>长江经济带发展负面清单指南</w:t>
      </w:r>
      <w:r>
        <w:rPr>
          <w:rFonts w:hint="eastAsia" w:ascii="Times New Roman" w:hAnsi="Times New Roman"/>
          <w:sz w:val="24"/>
          <w:lang w:eastAsia="zh-CN"/>
        </w:rPr>
        <w:t>（试行，2022版）》（</w:t>
      </w:r>
      <w:r>
        <w:rPr>
          <w:rFonts w:ascii="Times New Roman" w:hAnsi="Times New Roman"/>
          <w:sz w:val="24"/>
          <w:lang w:eastAsia="zh-CN"/>
        </w:rPr>
        <w:t> 长江办</w:t>
      </w:r>
      <w:r>
        <w:rPr>
          <w:rFonts w:hint="eastAsia" w:ascii="Times New Roman" w:hAnsi="Times New Roman"/>
          <w:sz w:val="24"/>
          <w:lang w:eastAsia="zh-CN"/>
        </w:rPr>
        <w:t>〔2022〕</w:t>
      </w:r>
      <w:r>
        <w:rPr>
          <w:rFonts w:ascii="Times New Roman" w:hAnsi="Times New Roman"/>
          <w:sz w:val="24"/>
          <w:lang w:eastAsia="zh-CN"/>
        </w:rPr>
        <w:t>7号</w:t>
      </w:r>
      <w:r>
        <w:rPr>
          <w:rFonts w:hint="eastAsia" w:ascii="Times New Roman" w:hAnsi="Times New Roman"/>
          <w:sz w:val="24"/>
          <w:lang w:eastAsia="zh-CN"/>
        </w:rPr>
        <w:t>，2022.1.19）。</w:t>
      </w:r>
    </w:p>
    <w:p>
      <w:pPr>
        <w:pStyle w:val="6"/>
        <w:rPr>
          <w:lang w:eastAsia="zh-CN"/>
        </w:rPr>
      </w:pPr>
      <w:bookmarkStart w:id="10" w:name="_Toc167095103"/>
      <w:bookmarkStart w:id="11" w:name="_Toc163812480"/>
      <w:r>
        <w:rPr>
          <w:lang w:eastAsia="zh-CN"/>
        </w:rPr>
        <w:t>1.1.3 地方性法规、政策及规范性文件</w:t>
      </w:r>
      <w:bookmarkEnd w:id="10"/>
      <w:bookmarkEnd w:id="11"/>
    </w:p>
    <w:p>
      <w:pPr>
        <w:pStyle w:val="14"/>
        <w:overflowPunct w:val="0"/>
        <w:autoSpaceDE w:val="0"/>
        <w:autoSpaceDN w:val="0"/>
        <w:adjustRightInd w:val="0"/>
        <w:spacing w:line="360" w:lineRule="auto"/>
        <w:ind w:firstLine="480" w:firstLineChars="200"/>
        <w:rPr>
          <w:rFonts w:ascii="Times New Roman" w:hAnsi="Times New Roman"/>
          <w:sz w:val="24"/>
          <w:lang w:eastAsia="zh-CN"/>
        </w:rPr>
      </w:pPr>
      <w:r>
        <w:rPr>
          <w:rFonts w:ascii="Times New Roman" w:hAnsi="Times New Roman"/>
          <w:sz w:val="24"/>
          <w:lang w:eastAsia="zh-CN"/>
        </w:rPr>
        <w:t>（1）《四川省环境保护条例》，2018年1月1日实施；</w:t>
      </w:r>
    </w:p>
    <w:p>
      <w:pPr>
        <w:pStyle w:val="14"/>
        <w:overflowPunct w:val="0"/>
        <w:autoSpaceDE w:val="0"/>
        <w:autoSpaceDN w:val="0"/>
        <w:adjustRightInd w:val="0"/>
        <w:spacing w:line="360" w:lineRule="auto"/>
        <w:ind w:firstLine="480" w:firstLineChars="200"/>
        <w:rPr>
          <w:rFonts w:ascii="Times New Roman" w:hAnsi="Times New Roman"/>
          <w:sz w:val="24"/>
          <w:lang w:eastAsia="zh-CN"/>
        </w:rPr>
      </w:pPr>
      <w:r>
        <w:rPr>
          <w:rFonts w:ascii="Times New Roman" w:hAnsi="Times New Roman"/>
          <w:sz w:val="24"/>
          <w:lang w:eastAsia="zh-CN"/>
        </w:rPr>
        <w:t>（2）《四川省环境保护厅</w:t>
      </w:r>
      <w:r>
        <w:rPr>
          <w:rFonts w:hint="eastAsia" w:ascii="Times New Roman" w:hAnsi="Times New Roman"/>
          <w:sz w:val="24"/>
          <w:lang w:eastAsia="zh-CN"/>
        </w:rPr>
        <w:t>〈</w:t>
      </w:r>
      <w:r>
        <w:rPr>
          <w:rFonts w:ascii="Times New Roman" w:hAnsi="Times New Roman"/>
          <w:sz w:val="24"/>
          <w:lang w:eastAsia="zh-CN"/>
        </w:rPr>
        <w:t>关于强化水体达标方案编制实施工作的通知</w:t>
      </w:r>
      <w:r>
        <w:rPr>
          <w:rFonts w:hint="eastAsia" w:ascii="Times New Roman" w:hAnsi="Times New Roman"/>
          <w:sz w:val="24"/>
          <w:lang w:eastAsia="zh-CN"/>
        </w:rPr>
        <w:t>〉</w:t>
      </w:r>
      <w:r>
        <w:rPr>
          <w:rFonts w:ascii="Times New Roman" w:hAnsi="Times New Roman"/>
          <w:sz w:val="24"/>
          <w:lang w:eastAsia="zh-CN"/>
        </w:rPr>
        <w:t>的通知》（川环环[2016]1049号，2016年7月15日）；</w:t>
      </w:r>
    </w:p>
    <w:p>
      <w:pPr>
        <w:pStyle w:val="14"/>
        <w:overflowPunct w:val="0"/>
        <w:autoSpaceDE w:val="0"/>
        <w:autoSpaceDN w:val="0"/>
        <w:adjustRightInd w:val="0"/>
        <w:spacing w:line="360" w:lineRule="auto"/>
        <w:ind w:firstLine="480" w:firstLineChars="200"/>
        <w:rPr>
          <w:rFonts w:ascii="Times New Roman" w:hAnsi="Times New Roman"/>
          <w:sz w:val="24"/>
          <w:lang w:eastAsia="zh-CN"/>
        </w:rPr>
      </w:pPr>
      <w:r>
        <w:rPr>
          <w:rFonts w:ascii="Times New Roman" w:hAnsi="Times New Roman"/>
          <w:sz w:val="24"/>
          <w:lang w:eastAsia="zh-CN"/>
        </w:rPr>
        <w:t>（3）《四川省矿产资源管理条例》（1998年1月1日）；</w:t>
      </w:r>
    </w:p>
    <w:p>
      <w:pPr>
        <w:pStyle w:val="14"/>
        <w:overflowPunct w:val="0"/>
        <w:autoSpaceDE w:val="0"/>
        <w:autoSpaceDN w:val="0"/>
        <w:adjustRightInd w:val="0"/>
        <w:spacing w:line="360" w:lineRule="auto"/>
        <w:ind w:firstLine="480" w:firstLineChars="200"/>
        <w:rPr>
          <w:rFonts w:ascii="Times New Roman" w:hAnsi="Times New Roman"/>
          <w:sz w:val="24"/>
          <w:lang w:eastAsia="zh-CN"/>
        </w:rPr>
      </w:pPr>
      <w:r>
        <w:rPr>
          <w:rFonts w:ascii="Times New Roman" w:hAnsi="Times New Roman"/>
          <w:sz w:val="24"/>
          <w:lang w:eastAsia="zh-CN"/>
        </w:rPr>
        <w:t>（4）《四川省</w:t>
      </w:r>
      <w:r>
        <w:rPr>
          <w:rFonts w:hint="eastAsia" w:ascii="Times New Roman" w:hAnsi="Times New Roman"/>
          <w:sz w:val="24"/>
          <w:lang w:eastAsia="zh-CN"/>
        </w:rPr>
        <w:t>〈</w:t>
      </w:r>
      <w:r>
        <w:rPr>
          <w:rFonts w:ascii="Times New Roman" w:hAnsi="Times New Roman"/>
          <w:sz w:val="24"/>
          <w:lang w:eastAsia="zh-CN"/>
        </w:rPr>
        <w:t>中华人民共和国大气污染防治法</w:t>
      </w:r>
      <w:r>
        <w:rPr>
          <w:rFonts w:hint="eastAsia" w:ascii="Times New Roman" w:hAnsi="Times New Roman"/>
          <w:sz w:val="24"/>
          <w:lang w:eastAsia="zh-CN"/>
        </w:rPr>
        <w:t>〉</w:t>
      </w:r>
      <w:r>
        <w:rPr>
          <w:rFonts w:ascii="Times New Roman" w:hAnsi="Times New Roman"/>
          <w:sz w:val="24"/>
          <w:lang w:eastAsia="zh-CN"/>
        </w:rPr>
        <w:t>实施办法》（2018.12.7修订，019.1.1起实施）；</w:t>
      </w:r>
    </w:p>
    <w:p>
      <w:pPr>
        <w:pStyle w:val="14"/>
        <w:overflowPunct w:val="0"/>
        <w:autoSpaceDE w:val="0"/>
        <w:autoSpaceDN w:val="0"/>
        <w:adjustRightInd w:val="0"/>
        <w:spacing w:line="360" w:lineRule="auto"/>
        <w:ind w:firstLine="480" w:firstLineChars="200"/>
        <w:rPr>
          <w:rFonts w:ascii="Times New Roman" w:hAnsi="Times New Roman"/>
          <w:sz w:val="24"/>
          <w:lang w:eastAsia="zh-CN"/>
        </w:rPr>
      </w:pPr>
      <w:r>
        <w:rPr>
          <w:rFonts w:ascii="Times New Roman" w:hAnsi="Times New Roman"/>
          <w:sz w:val="24"/>
          <w:lang w:eastAsia="zh-CN"/>
        </w:rPr>
        <w:t>（5）《四川省</w:t>
      </w:r>
      <w:r>
        <w:rPr>
          <w:rFonts w:hint="eastAsia" w:ascii="Times New Roman" w:hAnsi="Times New Roman"/>
          <w:sz w:val="24"/>
          <w:lang w:eastAsia="zh-CN"/>
        </w:rPr>
        <w:t>〈</w:t>
      </w:r>
      <w:r>
        <w:rPr>
          <w:rFonts w:ascii="Times New Roman" w:hAnsi="Times New Roman"/>
          <w:sz w:val="24"/>
          <w:lang w:eastAsia="zh-CN"/>
        </w:rPr>
        <w:t>中华人民共和国土地管理法</w:t>
      </w:r>
      <w:r>
        <w:rPr>
          <w:rFonts w:hint="eastAsia" w:ascii="Times New Roman" w:hAnsi="Times New Roman"/>
          <w:sz w:val="24"/>
          <w:lang w:eastAsia="zh-CN"/>
        </w:rPr>
        <w:t>〉</w:t>
      </w:r>
      <w:r>
        <w:rPr>
          <w:rFonts w:ascii="Times New Roman" w:hAnsi="Times New Roman"/>
          <w:sz w:val="24"/>
          <w:lang w:eastAsia="zh-CN"/>
        </w:rPr>
        <w:t>实施办法》（2012年12月27日修订，实施）；</w:t>
      </w:r>
    </w:p>
    <w:p>
      <w:pPr>
        <w:pStyle w:val="14"/>
        <w:overflowPunct w:val="0"/>
        <w:autoSpaceDE w:val="0"/>
        <w:autoSpaceDN w:val="0"/>
        <w:adjustRightInd w:val="0"/>
        <w:spacing w:line="360" w:lineRule="auto"/>
        <w:ind w:firstLine="480" w:firstLineChars="200"/>
        <w:rPr>
          <w:rFonts w:ascii="Times New Roman" w:hAnsi="Times New Roman"/>
          <w:sz w:val="24"/>
          <w:lang w:eastAsia="zh-CN"/>
        </w:rPr>
      </w:pPr>
      <w:r>
        <w:rPr>
          <w:rFonts w:ascii="Times New Roman" w:hAnsi="Times New Roman"/>
          <w:sz w:val="24"/>
          <w:lang w:eastAsia="zh-CN"/>
        </w:rPr>
        <w:t>（6）《四川省省级水土流失重点预防区和重点治理区划分成果》（川水函〔20</w:t>
      </w:r>
      <w:r>
        <w:rPr>
          <w:rFonts w:hint="eastAsia" w:ascii="Times New Roman" w:hAnsi="Times New Roman"/>
          <w:sz w:val="24"/>
          <w:lang w:eastAsia="zh-CN"/>
        </w:rPr>
        <w:t>17</w:t>
      </w:r>
      <w:r>
        <w:rPr>
          <w:rFonts w:ascii="Times New Roman" w:hAnsi="Times New Roman"/>
          <w:sz w:val="24"/>
          <w:lang w:eastAsia="zh-CN"/>
        </w:rPr>
        <w:t>〕482号）；</w:t>
      </w:r>
    </w:p>
    <w:p>
      <w:pPr>
        <w:pStyle w:val="14"/>
        <w:overflowPunct w:val="0"/>
        <w:autoSpaceDE w:val="0"/>
        <w:autoSpaceDN w:val="0"/>
        <w:adjustRightInd w:val="0"/>
        <w:spacing w:line="360" w:lineRule="auto"/>
        <w:ind w:firstLine="480" w:firstLineChars="200"/>
        <w:rPr>
          <w:rFonts w:ascii="Times New Roman" w:hAnsi="Times New Roman"/>
          <w:sz w:val="24"/>
          <w:lang w:eastAsia="zh-CN"/>
        </w:rPr>
      </w:pPr>
      <w:r>
        <w:rPr>
          <w:rFonts w:ascii="Times New Roman" w:hAnsi="Times New Roman"/>
          <w:sz w:val="24"/>
          <w:lang w:eastAsia="zh-CN"/>
        </w:rPr>
        <w:t>（7）《四川省人民政府关于30万吨/年以下煤矿分类处置方案的批复》（川府函〔2020〕45号）；</w:t>
      </w:r>
    </w:p>
    <w:p>
      <w:pPr>
        <w:pStyle w:val="14"/>
        <w:overflowPunct w:val="0"/>
        <w:autoSpaceDE w:val="0"/>
        <w:autoSpaceDN w:val="0"/>
        <w:adjustRightInd w:val="0"/>
        <w:spacing w:line="360" w:lineRule="auto"/>
        <w:ind w:firstLine="480" w:firstLineChars="200"/>
        <w:rPr>
          <w:rFonts w:ascii="Times New Roman" w:hAnsi="Times New Roman"/>
          <w:sz w:val="24"/>
          <w:lang w:eastAsia="zh-CN"/>
        </w:rPr>
      </w:pPr>
      <w:r>
        <w:rPr>
          <w:rFonts w:ascii="Times New Roman" w:hAnsi="Times New Roman"/>
          <w:sz w:val="24"/>
          <w:lang w:eastAsia="zh-CN"/>
        </w:rPr>
        <w:t>（8）《四川省新增重点保护野生动物名录》（2000.9.13）；</w:t>
      </w:r>
    </w:p>
    <w:p>
      <w:pPr>
        <w:pStyle w:val="14"/>
        <w:overflowPunct w:val="0"/>
        <w:autoSpaceDE w:val="0"/>
        <w:autoSpaceDN w:val="0"/>
        <w:adjustRightInd w:val="0"/>
        <w:spacing w:line="360" w:lineRule="auto"/>
        <w:ind w:firstLine="480" w:firstLineChars="200"/>
        <w:rPr>
          <w:rFonts w:ascii="Times New Roman" w:hAnsi="Times New Roman"/>
          <w:sz w:val="24"/>
          <w:lang w:eastAsia="zh-CN"/>
        </w:rPr>
      </w:pPr>
      <w:r>
        <w:rPr>
          <w:rFonts w:ascii="Times New Roman" w:hAnsi="Times New Roman"/>
          <w:sz w:val="24"/>
          <w:lang w:eastAsia="zh-CN"/>
        </w:rPr>
        <w:t>（9）《项目环评“三线一单”符合性分析技术要点（试行）》（川环办函〔2021〕469号）</w:t>
      </w:r>
      <w:r>
        <w:rPr>
          <w:rFonts w:hint="eastAsia" w:ascii="Times New Roman" w:hAnsi="Times New Roman"/>
          <w:sz w:val="24"/>
          <w:lang w:eastAsia="zh-CN"/>
        </w:rPr>
        <w:t>；</w:t>
      </w:r>
    </w:p>
    <w:p>
      <w:pPr>
        <w:pStyle w:val="14"/>
        <w:overflowPunct w:val="0"/>
        <w:autoSpaceDE w:val="0"/>
        <w:autoSpaceDN w:val="0"/>
        <w:adjustRightInd w:val="0"/>
        <w:spacing w:line="360" w:lineRule="auto"/>
        <w:ind w:firstLine="480" w:firstLineChars="200"/>
        <w:rPr>
          <w:rFonts w:ascii="Times New Roman" w:hAnsi="Times New Roman"/>
          <w:sz w:val="24"/>
          <w:lang w:eastAsia="zh-CN"/>
        </w:rPr>
      </w:pPr>
      <w:r>
        <w:rPr>
          <w:rFonts w:ascii="Times New Roman" w:hAnsi="Times New Roman"/>
          <w:sz w:val="24"/>
          <w:lang w:eastAsia="zh-CN"/>
        </w:rPr>
        <w:t>（</w:t>
      </w:r>
      <w:r>
        <w:rPr>
          <w:rFonts w:hint="eastAsia" w:ascii="Times New Roman" w:hAnsi="Times New Roman"/>
          <w:sz w:val="24"/>
          <w:lang w:eastAsia="zh-CN"/>
        </w:rPr>
        <w:t>10</w:t>
      </w:r>
      <w:r>
        <w:rPr>
          <w:rFonts w:ascii="Times New Roman" w:hAnsi="Times New Roman"/>
          <w:sz w:val="24"/>
          <w:lang w:eastAsia="zh-CN"/>
        </w:rPr>
        <w:t>）《四川省国家重点生态功能区产业准入负面清单</w:t>
      </w:r>
      <w:r>
        <w:rPr>
          <w:rFonts w:hint="eastAsia" w:ascii="Times New Roman" w:hAnsi="Times New Roman"/>
          <w:sz w:val="24"/>
          <w:lang w:eastAsia="zh-CN"/>
        </w:rPr>
        <w:t>（</w:t>
      </w:r>
      <w:r>
        <w:rPr>
          <w:rFonts w:ascii="Times New Roman" w:hAnsi="Times New Roman"/>
          <w:sz w:val="24"/>
          <w:lang w:eastAsia="zh-CN"/>
        </w:rPr>
        <w:t>第一批</w:t>
      </w:r>
      <w:r>
        <w:rPr>
          <w:rFonts w:hint="eastAsia" w:ascii="Times New Roman" w:hAnsi="Times New Roman"/>
          <w:sz w:val="24"/>
          <w:lang w:eastAsia="zh-CN"/>
        </w:rPr>
        <w:t>）（</w:t>
      </w:r>
      <w:r>
        <w:rPr>
          <w:rFonts w:ascii="Times New Roman" w:hAnsi="Times New Roman"/>
          <w:sz w:val="24"/>
          <w:lang w:eastAsia="zh-CN"/>
        </w:rPr>
        <w:t>试行</w:t>
      </w:r>
      <w:r>
        <w:rPr>
          <w:rFonts w:hint="eastAsia" w:ascii="Times New Roman" w:hAnsi="Times New Roman"/>
          <w:sz w:val="24"/>
          <w:lang w:eastAsia="zh-CN"/>
        </w:rPr>
        <w:t>）</w:t>
      </w:r>
      <w:r>
        <w:rPr>
          <w:rFonts w:ascii="Times New Roman" w:hAnsi="Times New Roman"/>
          <w:sz w:val="24"/>
          <w:lang w:eastAsia="zh-CN"/>
        </w:rPr>
        <w:t>》（川发改规划〔20</w:t>
      </w:r>
      <w:r>
        <w:rPr>
          <w:rFonts w:hint="eastAsia" w:ascii="Times New Roman" w:hAnsi="Times New Roman"/>
          <w:sz w:val="24"/>
          <w:lang w:eastAsia="zh-CN"/>
        </w:rPr>
        <w:t>17</w:t>
      </w:r>
      <w:r>
        <w:rPr>
          <w:rFonts w:ascii="Times New Roman" w:hAnsi="Times New Roman"/>
          <w:sz w:val="24"/>
          <w:lang w:eastAsia="zh-CN"/>
        </w:rPr>
        <w:t>〕407号）；</w:t>
      </w:r>
    </w:p>
    <w:p>
      <w:pPr>
        <w:pStyle w:val="14"/>
        <w:overflowPunct w:val="0"/>
        <w:autoSpaceDE w:val="0"/>
        <w:autoSpaceDN w:val="0"/>
        <w:adjustRightInd w:val="0"/>
        <w:spacing w:line="360" w:lineRule="auto"/>
        <w:ind w:firstLine="480" w:firstLineChars="200"/>
        <w:rPr>
          <w:rFonts w:ascii="Times New Roman" w:hAnsi="Times New Roman"/>
          <w:sz w:val="24"/>
          <w:lang w:eastAsia="zh-CN"/>
        </w:rPr>
      </w:pPr>
      <w:r>
        <w:rPr>
          <w:rFonts w:ascii="Times New Roman" w:hAnsi="Times New Roman"/>
          <w:sz w:val="24"/>
          <w:lang w:eastAsia="zh-CN"/>
        </w:rPr>
        <w:t>（</w:t>
      </w:r>
      <w:r>
        <w:rPr>
          <w:rFonts w:hint="eastAsia" w:ascii="Times New Roman" w:hAnsi="Times New Roman"/>
          <w:sz w:val="24"/>
          <w:lang w:eastAsia="zh-CN"/>
        </w:rPr>
        <w:t>11</w:t>
      </w:r>
      <w:r>
        <w:rPr>
          <w:rFonts w:ascii="Times New Roman" w:hAnsi="Times New Roman"/>
          <w:sz w:val="24"/>
          <w:lang w:eastAsia="zh-CN"/>
        </w:rPr>
        <w:t>）《四川省国家重点生态功能区产业准入负面清单</w:t>
      </w:r>
      <w:r>
        <w:rPr>
          <w:rFonts w:hint="eastAsia" w:ascii="Times New Roman" w:hAnsi="Times New Roman"/>
          <w:sz w:val="24"/>
          <w:lang w:eastAsia="zh-CN"/>
        </w:rPr>
        <w:t>（</w:t>
      </w:r>
      <w:r>
        <w:rPr>
          <w:rFonts w:ascii="Times New Roman" w:hAnsi="Times New Roman"/>
          <w:sz w:val="24"/>
          <w:lang w:eastAsia="zh-CN"/>
        </w:rPr>
        <w:t>第二批</w:t>
      </w:r>
      <w:r>
        <w:rPr>
          <w:rFonts w:hint="eastAsia" w:ascii="Times New Roman" w:hAnsi="Times New Roman"/>
          <w:sz w:val="24"/>
          <w:lang w:eastAsia="zh-CN"/>
        </w:rPr>
        <w:t>）（</w:t>
      </w:r>
      <w:r>
        <w:rPr>
          <w:rFonts w:ascii="Times New Roman" w:hAnsi="Times New Roman"/>
          <w:sz w:val="24"/>
          <w:lang w:eastAsia="zh-CN"/>
        </w:rPr>
        <w:t>试行</w:t>
      </w:r>
      <w:r>
        <w:rPr>
          <w:rFonts w:hint="eastAsia" w:ascii="Times New Roman" w:hAnsi="Times New Roman"/>
          <w:sz w:val="24"/>
          <w:lang w:eastAsia="zh-CN"/>
        </w:rPr>
        <w:t>）</w:t>
      </w:r>
      <w:r>
        <w:rPr>
          <w:rFonts w:ascii="Times New Roman" w:hAnsi="Times New Roman"/>
          <w:sz w:val="24"/>
          <w:lang w:eastAsia="zh-CN"/>
        </w:rPr>
        <w:t>》（川发改规划〔20</w:t>
      </w:r>
      <w:r>
        <w:rPr>
          <w:rFonts w:hint="eastAsia" w:ascii="Times New Roman" w:hAnsi="Times New Roman"/>
          <w:sz w:val="24"/>
          <w:lang w:eastAsia="zh-CN"/>
        </w:rPr>
        <w:t>18</w:t>
      </w:r>
      <w:r>
        <w:rPr>
          <w:rFonts w:ascii="Times New Roman" w:hAnsi="Times New Roman"/>
          <w:sz w:val="24"/>
          <w:lang w:eastAsia="zh-CN"/>
        </w:rPr>
        <w:t>〕263号）；</w:t>
      </w:r>
    </w:p>
    <w:p>
      <w:pPr>
        <w:pStyle w:val="14"/>
        <w:overflowPunct w:val="0"/>
        <w:autoSpaceDE w:val="0"/>
        <w:autoSpaceDN w:val="0"/>
        <w:adjustRightInd w:val="0"/>
        <w:spacing w:line="360" w:lineRule="auto"/>
        <w:ind w:firstLine="480" w:firstLineChars="200"/>
        <w:rPr>
          <w:rFonts w:ascii="Times New Roman" w:hAnsi="Times New Roman"/>
          <w:sz w:val="24"/>
          <w:lang w:eastAsia="zh-CN"/>
        </w:rPr>
      </w:pPr>
      <w:r>
        <w:rPr>
          <w:rFonts w:ascii="Times New Roman" w:hAnsi="Times New Roman"/>
          <w:sz w:val="24"/>
          <w:lang w:eastAsia="zh-CN"/>
        </w:rPr>
        <w:t>（</w:t>
      </w:r>
      <w:r>
        <w:rPr>
          <w:rFonts w:hint="eastAsia" w:ascii="Times New Roman" w:hAnsi="Times New Roman"/>
          <w:sz w:val="24"/>
          <w:lang w:eastAsia="zh-CN"/>
        </w:rPr>
        <w:t>12</w:t>
      </w:r>
      <w:r>
        <w:rPr>
          <w:rFonts w:ascii="Times New Roman" w:hAnsi="Times New Roman"/>
          <w:sz w:val="24"/>
          <w:lang w:eastAsia="zh-CN"/>
        </w:rPr>
        <w:t>）《关于落实生态保护红线、环境质量底线、资源利用上线制定生态环境准入清单实施生态环境分区管控的通知》（川府发〔2020〕9号）；</w:t>
      </w:r>
    </w:p>
    <w:p>
      <w:pPr>
        <w:pStyle w:val="14"/>
        <w:overflowPunct w:val="0"/>
        <w:autoSpaceDE w:val="0"/>
        <w:autoSpaceDN w:val="0"/>
        <w:adjustRightInd w:val="0"/>
        <w:spacing w:line="360" w:lineRule="auto"/>
        <w:ind w:firstLine="480" w:firstLineChars="200"/>
        <w:rPr>
          <w:rFonts w:ascii="Times New Roman" w:hAnsi="Times New Roman"/>
          <w:sz w:val="24"/>
          <w:lang w:eastAsia="zh-CN"/>
        </w:rPr>
      </w:pPr>
      <w:r>
        <w:rPr>
          <w:rFonts w:ascii="Times New Roman" w:hAnsi="Times New Roman"/>
          <w:sz w:val="24"/>
          <w:lang w:eastAsia="zh-CN"/>
        </w:rPr>
        <w:t>（13）</w:t>
      </w:r>
      <w:r>
        <w:rPr>
          <w:rFonts w:hint="eastAsia" w:ascii="Times New Roman" w:hAnsi="Times New Roman"/>
          <w:sz w:val="24"/>
          <w:lang w:eastAsia="zh-CN"/>
        </w:rPr>
        <w:t>《</w:t>
      </w:r>
      <w:r>
        <w:rPr>
          <w:rFonts w:ascii="Times New Roman" w:hAnsi="Times New Roman"/>
          <w:sz w:val="24"/>
          <w:lang w:eastAsia="zh-CN"/>
        </w:rPr>
        <w:t>四川省、重庆市长江经济带发展负面清单实施细则（试行，2022年版）</w:t>
      </w:r>
      <w:r>
        <w:rPr>
          <w:rFonts w:hint="eastAsia" w:ascii="Times New Roman" w:hAnsi="Times New Roman"/>
          <w:sz w:val="24"/>
          <w:lang w:eastAsia="zh-CN"/>
        </w:rPr>
        <w:t>》；</w:t>
      </w:r>
    </w:p>
    <w:p>
      <w:pPr>
        <w:pStyle w:val="14"/>
        <w:overflowPunct w:val="0"/>
        <w:autoSpaceDE w:val="0"/>
        <w:autoSpaceDN w:val="0"/>
        <w:adjustRightInd w:val="0"/>
        <w:spacing w:line="360" w:lineRule="auto"/>
        <w:ind w:firstLine="480" w:firstLineChars="200"/>
        <w:rPr>
          <w:rFonts w:ascii="Times New Roman" w:hAnsi="Times New Roman"/>
          <w:sz w:val="24"/>
          <w:lang w:eastAsia="zh-CN"/>
        </w:rPr>
      </w:pPr>
      <w:r>
        <w:rPr>
          <w:rFonts w:hint="eastAsia" w:ascii="Times New Roman" w:hAnsi="Times New Roman"/>
          <w:sz w:val="24"/>
          <w:lang w:eastAsia="zh-CN"/>
        </w:rPr>
        <w:t>（14）《四川省饮用水水源保护区管理规定（试行）》（川府发〔2023〕26号）；</w:t>
      </w:r>
    </w:p>
    <w:p>
      <w:pPr>
        <w:pStyle w:val="14"/>
        <w:overflowPunct w:val="0"/>
        <w:autoSpaceDE w:val="0"/>
        <w:autoSpaceDN w:val="0"/>
        <w:adjustRightInd w:val="0"/>
        <w:spacing w:line="360" w:lineRule="auto"/>
        <w:ind w:firstLine="480" w:firstLineChars="200"/>
        <w:rPr>
          <w:rFonts w:ascii="Times New Roman" w:hAnsi="Times New Roman"/>
          <w:sz w:val="24"/>
          <w:lang w:eastAsia="zh-CN"/>
        </w:rPr>
      </w:pPr>
      <w:r>
        <w:rPr>
          <w:rFonts w:hint="eastAsia" w:ascii="Times New Roman" w:hAnsi="Times New Roman"/>
          <w:sz w:val="24"/>
          <w:lang w:eastAsia="zh-CN"/>
        </w:rPr>
        <w:t>（15）《四川省土壤污染防治条例》，</w:t>
      </w:r>
      <w:r>
        <w:rPr>
          <w:rFonts w:ascii="Times New Roman" w:hAnsi="Times New Roman"/>
          <w:sz w:val="24"/>
          <w:lang w:eastAsia="zh-CN"/>
        </w:rPr>
        <w:t>20</w:t>
      </w:r>
      <w:r>
        <w:rPr>
          <w:rFonts w:hint="eastAsia" w:ascii="Times New Roman" w:hAnsi="Times New Roman"/>
          <w:sz w:val="24"/>
          <w:lang w:eastAsia="zh-CN"/>
        </w:rPr>
        <w:t>23</w:t>
      </w:r>
      <w:r>
        <w:rPr>
          <w:rFonts w:ascii="Times New Roman" w:hAnsi="Times New Roman"/>
          <w:sz w:val="24"/>
          <w:lang w:eastAsia="zh-CN"/>
        </w:rPr>
        <w:t>年</w:t>
      </w:r>
      <w:r>
        <w:rPr>
          <w:rFonts w:hint="eastAsia" w:ascii="Times New Roman" w:hAnsi="Times New Roman"/>
          <w:sz w:val="24"/>
          <w:lang w:eastAsia="zh-CN"/>
        </w:rPr>
        <w:t>7</w:t>
      </w:r>
      <w:r>
        <w:rPr>
          <w:rFonts w:ascii="Times New Roman" w:hAnsi="Times New Roman"/>
          <w:sz w:val="24"/>
          <w:lang w:eastAsia="zh-CN"/>
        </w:rPr>
        <w:t>月1日实施</w:t>
      </w:r>
      <w:r>
        <w:rPr>
          <w:rFonts w:hint="eastAsia" w:ascii="Times New Roman" w:hAnsi="Times New Roman"/>
          <w:sz w:val="24"/>
          <w:lang w:eastAsia="zh-CN"/>
        </w:rPr>
        <w:t>；</w:t>
      </w:r>
    </w:p>
    <w:p>
      <w:pPr>
        <w:pStyle w:val="14"/>
        <w:overflowPunct w:val="0"/>
        <w:autoSpaceDE w:val="0"/>
        <w:autoSpaceDN w:val="0"/>
        <w:adjustRightInd w:val="0"/>
        <w:spacing w:line="360" w:lineRule="auto"/>
        <w:ind w:firstLine="480" w:firstLineChars="200"/>
        <w:rPr>
          <w:rFonts w:ascii="Times New Roman" w:hAnsi="Times New Roman"/>
          <w:sz w:val="24"/>
          <w:lang w:eastAsia="zh-CN"/>
        </w:rPr>
      </w:pPr>
      <w:r>
        <w:rPr>
          <w:rFonts w:hint="eastAsia" w:ascii="Times New Roman" w:hAnsi="Times New Roman"/>
          <w:sz w:val="24"/>
          <w:lang w:eastAsia="zh-CN"/>
        </w:rPr>
        <w:t>（16）《四川省工矿用地土壤环境管理办法》（</w:t>
      </w:r>
      <w:r>
        <w:rPr>
          <w:rFonts w:ascii="Times New Roman" w:hAnsi="Times New Roman"/>
          <w:sz w:val="24"/>
          <w:lang w:eastAsia="zh-CN"/>
        </w:rPr>
        <w:t>川环规〔2023〕7号</w:t>
      </w:r>
      <w:r>
        <w:rPr>
          <w:rFonts w:hint="eastAsia" w:ascii="Times New Roman" w:hAnsi="Times New Roman"/>
          <w:sz w:val="24"/>
          <w:lang w:eastAsia="zh-CN"/>
        </w:rPr>
        <w:t>，2023.12.29）。</w:t>
      </w:r>
    </w:p>
    <w:p>
      <w:pPr>
        <w:pStyle w:val="6"/>
        <w:rPr>
          <w:lang w:eastAsia="zh-CN"/>
        </w:rPr>
      </w:pPr>
      <w:bookmarkStart w:id="12" w:name="_Toc163812481"/>
      <w:bookmarkStart w:id="13" w:name="_Toc167095104"/>
      <w:r>
        <w:rPr>
          <w:lang w:eastAsia="zh-CN"/>
        </w:rPr>
        <w:t>1.1.4 技术导则、规范</w:t>
      </w:r>
      <w:bookmarkEnd w:id="12"/>
      <w:bookmarkEnd w:id="13"/>
    </w:p>
    <w:p>
      <w:pPr>
        <w:spacing w:line="360" w:lineRule="auto"/>
        <w:ind w:firstLine="480" w:firstLineChars="200"/>
        <w:rPr>
          <w:rFonts w:hAnsi="Times New Roman" w:eastAsia="宋体"/>
          <w:lang w:eastAsia="zh-CN"/>
        </w:rPr>
      </w:pPr>
      <w:r>
        <w:rPr>
          <w:rFonts w:hAnsi="Times New Roman" w:eastAsia="宋体"/>
          <w:lang w:eastAsia="zh-CN"/>
        </w:rPr>
        <w:t>（1）《环境影响评价技术导则 总纲》（HJ2.1-2016）；</w:t>
      </w:r>
    </w:p>
    <w:p>
      <w:pPr>
        <w:spacing w:line="360" w:lineRule="auto"/>
        <w:ind w:firstLine="480" w:firstLineChars="200"/>
        <w:rPr>
          <w:rFonts w:hAnsi="Times New Roman" w:eastAsia="宋体"/>
          <w:lang w:eastAsia="zh-CN"/>
        </w:rPr>
      </w:pPr>
      <w:r>
        <w:rPr>
          <w:rFonts w:hAnsi="Times New Roman" w:eastAsia="宋体"/>
          <w:lang w:eastAsia="zh-CN"/>
        </w:rPr>
        <w:t>（</w:t>
      </w:r>
      <w:r>
        <w:rPr>
          <w:rFonts w:hint="eastAsia" w:hAnsi="Times New Roman" w:eastAsia="宋体"/>
          <w:lang w:eastAsia="zh-CN"/>
        </w:rPr>
        <w:t>2</w:t>
      </w:r>
      <w:r>
        <w:rPr>
          <w:rFonts w:hAnsi="Times New Roman" w:eastAsia="宋体"/>
          <w:lang w:eastAsia="zh-CN"/>
        </w:rPr>
        <w:t>）《环境影响评价技术导则 地表水环境》（HJ2.3-2018）；</w:t>
      </w:r>
    </w:p>
    <w:p>
      <w:pPr>
        <w:spacing w:line="360" w:lineRule="auto"/>
        <w:ind w:firstLine="480" w:firstLineChars="200"/>
        <w:rPr>
          <w:rFonts w:hAnsi="Times New Roman" w:eastAsia="宋体"/>
          <w:lang w:eastAsia="zh-CN"/>
        </w:rPr>
      </w:pPr>
      <w:r>
        <w:rPr>
          <w:rFonts w:hAnsi="Times New Roman" w:eastAsia="宋体"/>
          <w:lang w:eastAsia="zh-CN"/>
        </w:rPr>
        <w:t>（</w:t>
      </w:r>
      <w:r>
        <w:rPr>
          <w:rFonts w:hint="eastAsia" w:hAnsi="Times New Roman" w:eastAsia="宋体"/>
          <w:lang w:eastAsia="zh-CN"/>
        </w:rPr>
        <w:t>3</w:t>
      </w:r>
      <w:r>
        <w:rPr>
          <w:rFonts w:hAnsi="Times New Roman" w:eastAsia="宋体"/>
          <w:lang w:eastAsia="zh-CN"/>
        </w:rPr>
        <w:t>）《环境影响评价技术导则 大气环境》（HJ2.2-2018）；</w:t>
      </w:r>
    </w:p>
    <w:p>
      <w:pPr>
        <w:spacing w:line="360" w:lineRule="auto"/>
        <w:ind w:firstLine="480" w:firstLineChars="200"/>
        <w:rPr>
          <w:rFonts w:hAnsi="Times New Roman" w:eastAsia="宋体"/>
          <w:lang w:eastAsia="zh-CN"/>
        </w:rPr>
      </w:pPr>
      <w:r>
        <w:rPr>
          <w:rFonts w:hAnsi="Times New Roman" w:eastAsia="宋体"/>
          <w:lang w:eastAsia="zh-CN"/>
        </w:rPr>
        <w:t>（</w:t>
      </w:r>
      <w:r>
        <w:rPr>
          <w:rFonts w:hint="eastAsia" w:hAnsi="Times New Roman" w:eastAsia="宋体"/>
          <w:lang w:eastAsia="zh-CN"/>
        </w:rPr>
        <w:t>4</w:t>
      </w:r>
      <w:r>
        <w:rPr>
          <w:rFonts w:hAnsi="Times New Roman" w:eastAsia="宋体"/>
          <w:lang w:eastAsia="zh-CN"/>
        </w:rPr>
        <w:t>）《环境影响评价技术导则 地下水环境》（HJ610-2016）；</w:t>
      </w:r>
    </w:p>
    <w:p>
      <w:pPr>
        <w:spacing w:line="360" w:lineRule="auto"/>
        <w:ind w:firstLine="480" w:firstLineChars="200"/>
        <w:rPr>
          <w:rFonts w:hAnsi="Times New Roman" w:eastAsia="宋体"/>
          <w:lang w:eastAsia="zh-CN"/>
        </w:rPr>
      </w:pPr>
      <w:r>
        <w:rPr>
          <w:rFonts w:hAnsi="Times New Roman" w:eastAsia="宋体"/>
          <w:lang w:eastAsia="zh-CN"/>
        </w:rPr>
        <w:t>（</w:t>
      </w:r>
      <w:r>
        <w:rPr>
          <w:rFonts w:hint="eastAsia" w:hAnsi="Times New Roman" w:eastAsia="宋体"/>
          <w:lang w:eastAsia="zh-CN"/>
        </w:rPr>
        <w:t>5</w:t>
      </w:r>
      <w:r>
        <w:rPr>
          <w:rFonts w:hAnsi="Times New Roman" w:eastAsia="宋体"/>
          <w:lang w:eastAsia="zh-CN"/>
        </w:rPr>
        <w:t>）《环境影响评价技术导则 生态环境》（HJ19-20</w:t>
      </w:r>
      <w:r>
        <w:rPr>
          <w:rFonts w:hint="eastAsia" w:hAnsi="Times New Roman" w:eastAsia="宋体"/>
          <w:lang w:eastAsia="zh-CN"/>
        </w:rPr>
        <w:t>22</w:t>
      </w:r>
      <w:r>
        <w:rPr>
          <w:rFonts w:hAnsi="Times New Roman" w:eastAsia="宋体"/>
          <w:lang w:eastAsia="zh-CN"/>
        </w:rPr>
        <w:t>）；</w:t>
      </w:r>
    </w:p>
    <w:p>
      <w:pPr>
        <w:spacing w:line="360" w:lineRule="auto"/>
        <w:ind w:firstLine="480" w:firstLineChars="200"/>
        <w:rPr>
          <w:rFonts w:hAnsi="Times New Roman" w:eastAsia="宋体"/>
          <w:lang w:eastAsia="zh-CN"/>
        </w:rPr>
      </w:pPr>
      <w:r>
        <w:rPr>
          <w:rFonts w:hAnsi="Times New Roman" w:eastAsia="宋体"/>
          <w:lang w:eastAsia="zh-CN"/>
        </w:rPr>
        <w:t>（</w:t>
      </w:r>
      <w:r>
        <w:rPr>
          <w:rFonts w:hint="eastAsia" w:hAnsi="Times New Roman" w:eastAsia="宋体"/>
          <w:lang w:eastAsia="zh-CN"/>
        </w:rPr>
        <w:t>6</w:t>
      </w:r>
      <w:r>
        <w:rPr>
          <w:rFonts w:hAnsi="Times New Roman" w:eastAsia="宋体"/>
          <w:lang w:eastAsia="zh-CN"/>
        </w:rPr>
        <w:t>）《环境影响评价技术导则 土壤环境（试行）》（</w:t>
      </w:r>
      <w:r>
        <w:rPr>
          <w:rFonts w:hAnsi="Times New Roman" w:eastAsia="宋体"/>
        </w:rPr>
        <w:t>HJ964-2018</w:t>
      </w:r>
      <w:r>
        <w:rPr>
          <w:rFonts w:hAnsi="Times New Roman" w:eastAsia="宋体"/>
          <w:lang w:eastAsia="zh-CN"/>
        </w:rPr>
        <w:t>）；</w:t>
      </w:r>
    </w:p>
    <w:p>
      <w:pPr>
        <w:spacing w:line="360" w:lineRule="auto"/>
        <w:ind w:firstLine="480" w:firstLineChars="200"/>
        <w:rPr>
          <w:rFonts w:hAnsi="Times New Roman" w:eastAsia="宋体"/>
          <w:lang w:eastAsia="zh-CN"/>
        </w:rPr>
      </w:pPr>
      <w:r>
        <w:rPr>
          <w:rFonts w:hAnsi="Times New Roman" w:eastAsia="宋体"/>
          <w:lang w:eastAsia="zh-CN"/>
        </w:rPr>
        <w:t>（</w:t>
      </w:r>
      <w:r>
        <w:rPr>
          <w:rFonts w:hint="eastAsia" w:hAnsi="Times New Roman" w:eastAsia="宋体"/>
          <w:lang w:eastAsia="zh-CN"/>
        </w:rPr>
        <w:t>7</w:t>
      </w:r>
      <w:r>
        <w:rPr>
          <w:rFonts w:hAnsi="Times New Roman" w:eastAsia="宋体"/>
          <w:lang w:eastAsia="zh-CN"/>
        </w:rPr>
        <w:t>）《环境影响评价技术导则 声环境》（HJ2.4-20</w:t>
      </w:r>
      <w:r>
        <w:rPr>
          <w:rFonts w:hint="eastAsia" w:hAnsi="Times New Roman" w:eastAsia="宋体"/>
          <w:lang w:eastAsia="zh-CN"/>
        </w:rPr>
        <w:t>21</w:t>
      </w:r>
      <w:r>
        <w:rPr>
          <w:rFonts w:hAnsi="Times New Roman" w:eastAsia="宋体"/>
          <w:lang w:eastAsia="zh-CN"/>
        </w:rPr>
        <w:t>）；</w:t>
      </w:r>
    </w:p>
    <w:p>
      <w:pPr>
        <w:spacing w:line="360" w:lineRule="auto"/>
        <w:ind w:firstLine="480" w:firstLineChars="200"/>
        <w:rPr>
          <w:rFonts w:hAnsi="Times New Roman" w:eastAsia="宋体"/>
          <w:lang w:eastAsia="zh-CN"/>
        </w:rPr>
      </w:pPr>
      <w:r>
        <w:rPr>
          <w:rFonts w:hAnsi="Times New Roman" w:eastAsia="宋体"/>
          <w:lang w:eastAsia="zh-CN"/>
        </w:rPr>
        <w:t>（</w:t>
      </w:r>
      <w:r>
        <w:rPr>
          <w:rFonts w:hint="eastAsia" w:hAnsi="Times New Roman" w:eastAsia="宋体"/>
          <w:lang w:eastAsia="zh-CN"/>
        </w:rPr>
        <w:t>8</w:t>
      </w:r>
      <w:r>
        <w:rPr>
          <w:rFonts w:hAnsi="Times New Roman" w:eastAsia="宋体"/>
          <w:lang w:eastAsia="zh-CN"/>
        </w:rPr>
        <w:t>）《建设项目环境风险评价技术导则》（HJ169-2018）；</w:t>
      </w:r>
    </w:p>
    <w:p>
      <w:pPr>
        <w:spacing w:line="360" w:lineRule="auto"/>
        <w:ind w:firstLine="480" w:firstLineChars="200"/>
        <w:rPr>
          <w:rFonts w:hAnsi="Times New Roman" w:eastAsia="宋体"/>
          <w:lang w:eastAsia="zh-CN"/>
        </w:rPr>
      </w:pPr>
      <w:r>
        <w:rPr>
          <w:rFonts w:hAnsi="Times New Roman" w:eastAsia="宋体"/>
          <w:lang w:eastAsia="zh-CN"/>
        </w:rPr>
        <w:t>（</w:t>
      </w:r>
      <w:r>
        <w:rPr>
          <w:rFonts w:hint="eastAsia" w:hAnsi="Times New Roman" w:eastAsia="宋体"/>
          <w:lang w:eastAsia="zh-CN"/>
        </w:rPr>
        <w:t>9</w:t>
      </w:r>
      <w:r>
        <w:rPr>
          <w:rFonts w:hAnsi="Times New Roman" w:eastAsia="宋体"/>
          <w:lang w:eastAsia="zh-CN"/>
        </w:rPr>
        <w:t>）《环境影响评价技术导则 煤炭采选工程》（HJ 619-2011）；</w:t>
      </w:r>
    </w:p>
    <w:p>
      <w:pPr>
        <w:spacing w:line="360" w:lineRule="auto"/>
        <w:ind w:firstLine="480" w:firstLineChars="200"/>
        <w:rPr>
          <w:rFonts w:hAnsi="Times New Roman" w:eastAsia="宋体"/>
          <w:lang w:eastAsia="zh-CN"/>
        </w:rPr>
      </w:pPr>
      <w:r>
        <w:rPr>
          <w:rFonts w:hAnsi="Times New Roman" w:eastAsia="宋体"/>
          <w:lang w:eastAsia="zh-CN"/>
        </w:rPr>
        <w:t>（</w:t>
      </w:r>
      <w:r>
        <w:rPr>
          <w:rFonts w:hint="eastAsia" w:hAnsi="Times New Roman" w:eastAsia="宋体"/>
          <w:lang w:eastAsia="zh-CN"/>
        </w:rPr>
        <w:t>10</w:t>
      </w:r>
      <w:r>
        <w:rPr>
          <w:rFonts w:hAnsi="Times New Roman" w:eastAsia="宋体"/>
          <w:lang w:eastAsia="zh-CN"/>
        </w:rPr>
        <w:t>）《煤炭采选建设项目环境影响评价文件的审批原则（试行）》（环办环评[2016]114号）；</w:t>
      </w:r>
    </w:p>
    <w:p>
      <w:pPr>
        <w:spacing w:line="360" w:lineRule="auto"/>
        <w:ind w:firstLine="480" w:firstLineChars="200"/>
        <w:rPr>
          <w:rFonts w:hAnsi="Times New Roman" w:eastAsia="宋体"/>
          <w:lang w:eastAsia="zh-CN"/>
        </w:rPr>
      </w:pPr>
      <w:r>
        <w:rPr>
          <w:rFonts w:hAnsi="Times New Roman" w:eastAsia="宋体"/>
          <w:lang w:eastAsia="zh-CN"/>
        </w:rPr>
        <w:t>（1</w:t>
      </w:r>
      <w:r>
        <w:rPr>
          <w:rFonts w:hint="eastAsia" w:hAnsi="Times New Roman" w:eastAsia="宋体"/>
          <w:lang w:eastAsia="zh-CN"/>
        </w:rPr>
        <w:t>1</w:t>
      </w:r>
      <w:r>
        <w:rPr>
          <w:rFonts w:hAnsi="Times New Roman" w:eastAsia="宋体"/>
          <w:lang w:eastAsia="zh-CN"/>
        </w:rPr>
        <w:t>）《危险化学品重大危险源辨识》(GB18218-2018)；</w:t>
      </w:r>
    </w:p>
    <w:p>
      <w:pPr>
        <w:spacing w:line="360" w:lineRule="auto"/>
        <w:ind w:firstLine="480" w:firstLineChars="200"/>
        <w:rPr>
          <w:rFonts w:hAnsi="Times New Roman" w:eastAsia="宋体"/>
          <w:lang w:eastAsia="zh-CN"/>
        </w:rPr>
      </w:pPr>
      <w:r>
        <w:rPr>
          <w:rFonts w:hAnsi="Times New Roman" w:eastAsia="宋体"/>
          <w:lang w:eastAsia="zh-CN"/>
        </w:rPr>
        <w:t>（1</w:t>
      </w:r>
      <w:r>
        <w:rPr>
          <w:rFonts w:hint="eastAsia" w:hAnsi="Times New Roman" w:eastAsia="宋体"/>
          <w:lang w:eastAsia="zh-CN"/>
        </w:rPr>
        <w:t>2</w:t>
      </w:r>
      <w:r>
        <w:rPr>
          <w:rFonts w:hAnsi="Times New Roman" w:eastAsia="宋体"/>
          <w:lang w:eastAsia="zh-CN"/>
        </w:rPr>
        <w:t>）《危险化学品生产装置和储存设施风险基准》（GB36894-2018）；</w:t>
      </w:r>
    </w:p>
    <w:p>
      <w:pPr>
        <w:spacing w:line="360" w:lineRule="auto"/>
        <w:ind w:firstLine="480" w:firstLineChars="200"/>
        <w:rPr>
          <w:rFonts w:hAnsi="Times New Roman" w:eastAsia="宋体"/>
          <w:lang w:eastAsia="zh-CN"/>
        </w:rPr>
      </w:pPr>
      <w:r>
        <w:rPr>
          <w:rFonts w:hAnsi="Times New Roman" w:eastAsia="宋体"/>
          <w:lang w:eastAsia="zh-CN"/>
        </w:rPr>
        <w:t>（1</w:t>
      </w:r>
      <w:r>
        <w:rPr>
          <w:rFonts w:hint="eastAsia" w:hAnsi="Times New Roman" w:eastAsia="宋体"/>
          <w:lang w:eastAsia="zh-CN"/>
        </w:rPr>
        <w:t>3</w:t>
      </w:r>
      <w:r>
        <w:rPr>
          <w:rFonts w:hAnsi="Times New Roman" w:eastAsia="宋体"/>
          <w:lang w:eastAsia="zh-CN"/>
        </w:rPr>
        <w:t>）《大气污染治理工程技术导则》（HJ2000-2010）；</w:t>
      </w:r>
    </w:p>
    <w:p>
      <w:pPr>
        <w:spacing w:line="360" w:lineRule="auto"/>
        <w:ind w:firstLine="480" w:firstLineChars="200"/>
        <w:rPr>
          <w:rFonts w:hAnsi="Times New Roman" w:eastAsia="宋体"/>
          <w:lang w:eastAsia="zh-CN"/>
        </w:rPr>
      </w:pPr>
      <w:r>
        <w:rPr>
          <w:rFonts w:hAnsi="Times New Roman" w:eastAsia="宋体"/>
          <w:lang w:eastAsia="zh-CN"/>
        </w:rPr>
        <w:t>（1</w:t>
      </w:r>
      <w:r>
        <w:rPr>
          <w:rFonts w:hint="eastAsia" w:hAnsi="Times New Roman" w:eastAsia="宋体"/>
          <w:lang w:eastAsia="zh-CN"/>
        </w:rPr>
        <w:t>4</w:t>
      </w:r>
      <w:r>
        <w:rPr>
          <w:rFonts w:hAnsi="Times New Roman" w:eastAsia="宋体"/>
          <w:lang w:eastAsia="zh-CN"/>
        </w:rPr>
        <w:t>）《水污染治理工程技术导则》（HJ 2015-2012）。</w:t>
      </w:r>
    </w:p>
    <w:p>
      <w:pPr>
        <w:spacing w:line="360" w:lineRule="auto"/>
        <w:ind w:firstLine="480" w:firstLineChars="200"/>
        <w:rPr>
          <w:rFonts w:hAnsi="Times New Roman" w:eastAsia="宋体"/>
          <w:lang w:eastAsia="zh-CN"/>
        </w:rPr>
      </w:pPr>
      <w:r>
        <w:rPr>
          <w:rFonts w:hAnsi="Times New Roman" w:eastAsia="宋体"/>
          <w:lang w:eastAsia="zh-CN"/>
        </w:rPr>
        <w:t>（1</w:t>
      </w:r>
      <w:r>
        <w:rPr>
          <w:rFonts w:hint="eastAsia" w:hAnsi="Times New Roman" w:eastAsia="宋体"/>
          <w:lang w:eastAsia="zh-CN"/>
        </w:rPr>
        <w:t>5</w:t>
      </w:r>
      <w:r>
        <w:rPr>
          <w:rFonts w:hAnsi="Times New Roman" w:eastAsia="宋体"/>
          <w:lang w:eastAsia="zh-CN"/>
        </w:rPr>
        <w:t>）《建筑物、水体、铁路及主要井巷煤柱留设与压煤开采规范》，安监总煤装〔2017〕66号；</w:t>
      </w:r>
    </w:p>
    <w:p>
      <w:pPr>
        <w:spacing w:line="360" w:lineRule="auto"/>
        <w:ind w:firstLine="480" w:firstLineChars="200"/>
        <w:rPr>
          <w:rFonts w:hAnsi="Times New Roman" w:eastAsia="宋体"/>
          <w:lang w:eastAsia="zh-CN"/>
        </w:rPr>
      </w:pPr>
      <w:r>
        <w:rPr>
          <w:rFonts w:hAnsi="Times New Roman" w:eastAsia="宋体"/>
          <w:lang w:eastAsia="zh-CN"/>
        </w:rPr>
        <w:t>（1</w:t>
      </w:r>
      <w:r>
        <w:rPr>
          <w:rFonts w:hint="eastAsia" w:hAnsi="Times New Roman" w:eastAsia="宋体"/>
          <w:lang w:eastAsia="zh-CN"/>
        </w:rPr>
        <w:t>6</w:t>
      </w:r>
      <w:r>
        <w:rPr>
          <w:rFonts w:hAnsi="Times New Roman" w:eastAsia="宋体"/>
          <w:lang w:eastAsia="zh-CN"/>
        </w:rPr>
        <w:t>）《煤矿水文地质、工程地质及环境地质勘查评价标准》（MT/T1091-2008），国家安全生产监督管理总局，2010.7 .1 实施；</w:t>
      </w:r>
    </w:p>
    <w:p>
      <w:pPr>
        <w:spacing w:line="360" w:lineRule="auto"/>
        <w:ind w:firstLine="480" w:firstLineChars="200"/>
        <w:rPr>
          <w:rFonts w:hAnsi="Times New Roman" w:eastAsia="宋体"/>
          <w:lang w:eastAsia="zh-CN"/>
        </w:rPr>
      </w:pPr>
      <w:r>
        <w:rPr>
          <w:rFonts w:hAnsi="Times New Roman" w:eastAsia="宋体"/>
          <w:lang w:eastAsia="zh-CN"/>
        </w:rPr>
        <w:t>（1</w:t>
      </w:r>
      <w:r>
        <w:rPr>
          <w:rFonts w:hint="eastAsia" w:hAnsi="Times New Roman" w:eastAsia="宋体"/>
          <w:lang w:eastAsia="zh-CN"/>
        </w:rPr>
        <w:t>7</w:t>
      </w:r>
      <w:r>
        <w:rPr>
          <w:rFonts w:hAnsi="Times New Roman" w:eastAsia="宋体"/>
          <w:lang w:eastAsia="zh-CN"/>
        </w:rPr>
        <w:t>）《煤炭工业环境保护设计规范》（GB50821-2012）；</w:t>
      </w:r>
    </w:p>
    <w:p>
      <w:pPr>
        <w:spacing w:line="360" w:lineRule="auto"/>
        <w:ind w:firstLine="480" w:firstLineChars="200"/>
        <w:rPr>
          <w:rFonts w:hAnsi="Times New Roman" w:eastAsia="宋体"/>
          <w:lang w:eastAsia="zh-CN"/>
        </w:rPr>
      </w:pPr>
      <w:r>
        <w:rPr>
          <w:rFonts w:hAnsi="Times New Roman" w:eastAsia="宋体"/>
          <w:lang w:eastAsia="zh-CN"/>
        </w:rPr>
        <w:t>（1</w:t>
      </w:r>
      <w:r>
        <w:rPr>
          <w:rFonts w:hint="eastAsia" w:hAnsi="Times New Roman" w:eastAsia="宋体"/>
          <w:lang w:eastAsia="zh-CN"/>
        </w:rPr>
        <w:t>8</w:t>
      </w:r>
      <w:r>
        <w:rPr>
          <w:rFonts w:hAnsi="Times New Roman" w:eastAsia="宋体"/>
          <w:lang w:eastAsia="zh-CN"/>
        </w:rPr>
        <w:t>）《环境噪声与振动控制工程技术导则》（HJ 2034-2013）；</w:t>
      </w:r>
    </w:p>
    <w:p>
      <w:pPr>
        <w:spacing w:line="360" w:lineRule="auto"/>
        <w:ind w:firstLine="480" w:firstLineChars="200"/>
        <w:rPr>
          <w:rFonts w:hAnsi="Times New Roman" w:eastAsia="宋体"/>
          <w:lang w:eastAsia="zh-CN"/>
        </w:rPr>
      </w:pPr>
      <w:r>
        <w:rPr>
          <w:rFonts w:hAnsi="Times New Roman" w:eastAsia="宋体"/>
          <w:lang w:eastAsia="zh-CN"/>
        </w:rPr>
        <w:t>（</w:t>
      </w:r>
      <w:r>
        <w:rPr>
          <w:rFonts w:hint="eastAsia" w:hAnsi="Times New Roman" w:eastAsia="宋体"/>
          <w:lang w:eastAsia="zh-CN"/>
        </w:rPr>
        <w:t>19</w:t>
      </w:r>
      <w:r>
        <w:rPr>
          <w:rFonts w:hAnsi="Times New Roman" w:eastAsia="宋体"/>
          <w:lang w:eastAsia="zh-CN"/>
        </w:rPr>
        <w:t>）《固体废物处理处置工程技术导则》（HJ 2035-2013）；</w:t>
      </w:r>
    </w:p>
    <w:p>
      <w:pPr>
        <w:spacing w:line="360" w:lineRule="auto"/>
        <w:ind w:firstLine="480" w:firstLineChars="200"/>
        <w:rPr>
          <w:rFonts w:hAnsi="Times New Roman" w:eastAsia="宋体"/>
          <w:lang w:eastAsia="zh-CN"/>
        </w:rPr>
      </w:pPr>
      <w:r>
        <w:rPr>
          <w:rFonts w:hAnsi="Times New Roman" w:eastAsia="宋体"/>
          <w:lang w:eastAsia="zh-CN"/>
        </w:rPr>
        <w:t>（2</w:t>
      </w:r>
      <w:r>
        <w:rPr>
          <w:rFonts w:hint="eastAsia" w:hAnsi="Times New Roman" w:eastAsia="宋体"/>
          <w:lang w:eastAsia="zh-CN"/>
        </w:rPr>
        <w:t>0</w:t>
      </w:r>
      <w:r>
        <w:rPr>
          <w:rFonts w:hAnsi="Times New Roman" w:eastAsia="宋体"/>
          <w:lang w:eastAsia="zh-CN"/>
        </w:rPr>
        <w:t>）《矿山生态环境保护与恢复治理技术规范（试行）》（HJ651-2013）</w:t>
      </w:r>
      <w:r>
        <w:rPr>
          <w:rFonts w:hint="eastAsia" w:hAnsi="Times New Roman" w:eastAsia="宋体"/>
          <w:lang w:eastAsia="zh-CN"/>
        </w:rPr>
        <w:t>。</w:t>
      </w:r>
    </w:p>
    <w:p>
      <w:pPr>
        <w:pStyle w:val="6"/>
        <w:rPr>
          <w:lang w:eastAsia="zh-CN"/>
        </w:rPr>
      </w:pPr>
      <w:bookmarkStart w:id="14" w:name="_Toc167095105"/>
      <w:bookmarkStart w:id="15" w:name="_Toc163812482"/>
      <w:r>
        <w:rPr>
          <w:lang w:eastAsia="zh-CN"/>
        </w:rPr>
        <w:t>1.1.5 项目有关资料</w:t>
      </w:r>
      <w:bookmarkEnd w:id="14"/>
      <w:bookmarkEnd w:id="15"/>
    </w:p>
    <w:p>
      <w:pPr>
        <w:spacing w:line="360" w:lineRule="auto"/>
        <w:ind w:firstLine="480" w:firstLineChars="200"/>
        <w:rPr>
          <w:rFonts w:hAnsi="Times New Roman" w:eastAsia="宋体"/>
          <w:lang w:eastAsia="zh-CN"/>
        </w:rPr>
      </w:pPr>
      <w:r>
        <w:rPr>
          <w:rFonts w:hint="eastAsia" w:hAnsi="Times New Roman" w:eastAsia="宋体"/>
          <w:lang w:eastAsia="zh-CN"/>
        </w:rPr>
        <w:t>（1）《四川省应急管理厅关于核准达州市宣汉县七里峡煤业有限公司七里峡煤矿扩建工程项目的函》（川应急审批</w:t>
      </w:r>
      <w:r>
        <w:rPr>
          <w:rFonts w:hint="eastAsia" w:hAnsi="Times New Roman" w:eastAsia="宋体"/>
          <w:szCs w:val="24"/>
          <w:lang w:eastAsia="zh-CN"/>
        </w:rPr>
        <w:t>〔2024〕</w:t>
      </w:r>
      <w:r>
        <w:rPr>
          <w:rFonts w:hAnsi="Times New Roman" w:eastAsia="宋体"/>
          <w:lang w:eastAsia="zh-CN"/>
        </w:rPr>
        <w:t>1</w:t>
      </w:r>
      <w:r>
        <w:rPr>
          <w:rFonts w:hint="eastAsia" w:hAnsi="Times New Roman" w:eastAsia="宋体"/>
          <w:lang w:eastAsia="zh-CN"/>
        </w:rPr>
        <w:t>2</w:t>
      </w:r>
      <w:r>
        <w:rPr>
          <w:rFonts w:hAnsi="Times New Roman" w:eastAsia="宋体"/>
          <w:lang w:eastAsia="zh-CN"/>
        </w:rPr>
        <w:t>号</w:t>
      </w:r>
      <w:r>
        <w:rPr>
          <w:rFonts w:hint="eastAsia" w:hAnsi="Times New Roman" w:eastAsia="宋体"/>
          <w:lang w:eastAsia="zh-CN"/>
        </w:rPr>
        <w:t>），2024年1月18日；</w:t>
      </w:r>
    </w:p>
    <w:p>
      <w:pPr>
        <w:spacing w:line="360" w:lineRule="auto"/>
        <w:ind w:firstLine="480" w:firstLineChars="200"/>
        <w:rPr>
          <w:rFonts w:hAnsi="Times New Roman" w:eastAsia="宋体"/>
          <w:lang w:eastAsia="zh-CN"/>
        </w:rPr>
      </w:pPr>
      <w:r>
        <w:rPr>
          <w:rFonts w:hAnsi="Times New Roman" w:eastAsia="宋体"/>
          <w:lang w:eastAsia="zh-CN"/>
        </w:rPr>
        <w:t>（</w:t>
      </w:r>
      <w:r>
        <w:rPr>
          <w:rFonts w:hint="eastAsia" w:hAnsi="Times New Roman" w:eastAsia="宋体"/>
          <w:lang w:eastAsia="zh-CN"/>
        </w:rPr>
        <w:t>2</w:t>
      </w:r>
      <w:r>
        <w:rPr>
          <w:rFonts w:hAnsi="Times New Roman" w:eastAsia="宋体"/>
          <w:lang w:eastAsia="zh-CN"/>
        </w:rPr>
        <w:t>）《四川省达州市宣汉县煤炭矿区总体规划环境影响报告书》及其审查意见， 2022年2月；</w:t>
      </w:r>
    </w:p>
    <w:p>
      <w:pPr>
        <w:spacing w:line="360" w:lineRule="auto"/>
        <w:ind w:firstLine="480" w:firstLineChars="200"/>
        <w:rPr>
          <w:rFonts w:hAnsi="Times New Roman" w:eastAsia="宋体"/>
          <w:lang w:eastAsia="zh-CN"/>
        </w:rPr>
      </w:pPr>
      <w:r>
        <w:rPr>
          <w:rFonts w:hAnsi="Times New Roman" w:eastAsia="宋体"/>
          <w:lang w:eastAsia="zh-CN"/>
        </w:rPr>
        <w:t>（</w:t>
      </w:r>
      <w:r>
        <w:rPr>
          <w:rFonts w:hint="eastAsia" w:hAnsi="Times New Roman" w:eastAsia="宋体"/>
          <w:lang w:eastAsia="zh-CN"/>
        </w:rPr>
        <w:t>3</w:t>
      </w:r>
      <w:r>
        <w:rPr>
          <w:rFonts w:hAnsi="Times New Roman" w:eastAsia="宋体"/>
          <w:lang w:eastAsia="zh-CN"/>
        </w:rPr>
        <w:t>）《达州市宣汉县七里峡煤业有限公司七里峡煤矿150kt/a改扩建项目环境影响报告书》，中煤科工集团重庆设计研究院，2014年；</w:t>
      </w:r>
    </w:p>
    <w:p>
      <w:pPr>
        <w:spacing w:line="360" w:lineRule="auto"/>
        <w:ind w:firstLine="480" w:firstLineChars="200"/>
        <w:rPr>
          <w:rFonts w:hAnsi="Times New Roman" w:eastAsia="宋体"/>
          <w:lang w:eastAsia="zh-CN"/>
        </w:rPr>
      </w:pPr>
      <w:r>
        <w:rPr>
          <w:rFonts w:hAnsi="Times New Roman" w:eastAsia="宋体"/>
          <w:lang w:eastAsia="zh-CN"/>
        </w:rPr>
        <w:t>（</w:t>
      </w:r>
      <w:r>
        <w:rPr>
          <w:rFonts w:hint="eastAsia" w:hAnsi="Times New Roman" w:eastAsia="宋体"/>
          <w:lang w:eastAsia="zh-CN"/>
        </w:rPr>
        <w:t>4</w:t>
      </w:r>
      <w:r>
        <w:rPr>
          <w:rFonts w:hAnsi="Times New Roman" w:eastAsia="宋体"/>
          <w:lang w:eastAsia="zh-CN"/>
        </w:rPr>
        <w:t>）宣汉县环境保护局《关于达州市宣汉县七里峡煤业有限公司七里峡煤矿150kt/a改扩建项目环境影响报告书的批复》</w:t>
      </w:r>
      <w:r>
        <w:rPr>
          <w:rFonts w:hint="eastAsia" w:hAnsi="Times New Roman" w:eastAsia="宋体"/>
          <w:lang w:eastAsia="zh-CN"/>
        </w:rPr>
        <w:t>（</w:t>
      </w:r>
      <w:r>
        <w:rPr>
          <w:rFonts w:hAnsi="Times New Roman" w:eastAsia="宋体"/>
          <w:lang w:eastAsia="zh-CN"/>
        </w:rPr>
        <w:t>宣环审</w:t>
      </w:r>
      <w:r>
        <w:rPr>
          <w:rFonts w:hint="eastAsia" w:hAnsi="Times New Roman" w:eastAsia="宋体"/>
          <w:szCs w:val="24"/>
          <w:lang w:eastAsia="zh-CN"/>
        </w:rPr>
        <w:t>〔2014〕</w:t>
      </w:r>
      <w:r>
        <w:rPr>
          <w:rFonts w:hAnsi="Times New Roman" w:eastAsia="宋体"/>
          <w:lang w:eastAsia="zh-CN"/>
        </w:rPr>
        <w:t>108号</w:t>
      </w:r>
      <w:r>
        <w:rPr>
          <w:rFonts w:hint="eastAsia" w:hAnsi="Times New Roman" w:eastAsia="宋体"/>
          <w:lang w:eastAsia="zh-CN"/>
        </w:rPr>
        <w:t>）</w:t>
      </w:r>
      <w:r>
        <w:rPr>
          <w:rFonts w:hAnsi="Times New Roman" w:eastAsia="宋体"/>
          <w:lang w:eastAsia="zh-CN"/>
        </w:rPr>
        <w:t>，2014年11月12日；</w:t>
      </w:r>
    </w:p>
    <w:p>
      <w:pPr>
        <w:spacing w:line="360" w:lineRule="auto"/>
        <w:ind w:firstLine="480" w:firstLineChars="200"/>
        <w:rPr>
          <w:rFonts w:hAnsi="Times New Roman" w:eastAsia="宋体"/>
          <w:lang w:eastAsia="zh-CN"/>
        </w:rPr>
      </w:pPr>
      <w:r>
        <w:rPr>
          <w:rFonts w:hAnsi="Times New Roman" w:eastAsia="宋体"/>
          <w:lang w:eastAsia="zh-CN"/>
        </w:rPr>
        <w:t>（</w:t>
      </w:r>
      <w:r>
        <w:rPr>
          <w:rFonts w:hint="eastAsia" w:hAnsi="Times New Roman" w:eastAsia="宋体"/>
          <w:lang w:eastAsia="zh-CN"/>
        </w:rPr>
        <w:t>5</w:t>
      </w:r>
      <w:r>
        <w:rPr>
          <w:rFonts w:hAnsi="Times New Roman" w:eastAsia="宋体"/>
          <w:lang w:eastAsia="zh-CN"/>
        </w:rPr>
        <w:t>）《四川省宣汉县七里峡井田七里峡煤矿资源量核实报告》，四川省地质矿产（集团）有限公司，2020.8；</w:t>
      </w:r>
    </w:p>
    <w:p>
      <w:pPr>
        <w:spacing w:line="360" w:lineRule="auto"/>
        <w:ind w:firstLine="480" w:firstLineChars="200"/>
        <w:rPr>
          <w:rFonts w:hAnsi="Times New Roman" w:eastAsia="宋体"/>
          <w:lang w:eastAsia="zh-CN"/>
        </w:rPr>
      </w:pPr>
      <w:r>
        <w:rPr>
          <w:rFonts w:hAnsi="Times New Roman" w:eastAsia="宋体"/>
          <w:lang w:eastAsia="zh-CN"/>
        </w:rPr>
        <w:t>（</w:t>
      </w:r>
      <w:r>
        <w:rPr>
          <w:rFonts w:hint="eastAsia" w:hAnsi="Times New Roman" w:eastAsia="宋体"/>
          <w:lang w:eastAsia="zh-CN"/>
        </w:rPr>
        <w:t>6</w:t>
      </w:r>
      <w:r>
        <w:rPr>
          <w:rFonts w:hAnsi="Times New Roman" w:eastAsia="宋体"/>
          <w:lang w:eastAsia="zh-CN"/>
        </w:rPr>
        <w:t>）《达州市宣汉县七里峡煤业有限公司七里峡煤矿扩建工程项目申请与安全审核报告（代可行性研究报告）》，四川蜀能矿山开发技术咨询有限公司，20</w:t>
      </w:r>
      <w:r>
        <w:rPr>
          <w:rFonts w:hint="eastAsia" w:hAnsi="Times New Roman" w:eastAsia="宋体"/>
          <w:lang w:eastAsia="zh-CN"/>
        </w:rPr>
        <w:t>24</w:t>
      </w:r>
      <w:r>
        <w:rPr>
          <w:rFonts w:hAnsi="Times New Roman" w:eastAsia="宋体"/>
          <w:lang w:eastAsia="zh-CN"/>
        </w:rPr>
        <w:t>年</w:t>
      </w:r>
      <w:r>
        <w:rPr>
          <w:rFonts w:hint="eastAsia" w:hAnsi="Times New Roman" w:eastAsia="宋体"/>
          <w:lang w:eastAsia="zh-CN"/>
        </w:rPr>
        <w:t>1</w:t>
      </w:r>
      <w:r>
        <w:rPr>
          <w:rFonts w:hAnsi="Times New Roman" w:eastAsia="宋体"/>
          <w:lang w:eastAsia="zh-CN"/>
        </w:rPr>
        <w:t>月；</w:t>
      </w:r>
    </w:p>
    <w:p>
      <w:pPr>
        <w:spacing w:line="360" w:lineRule="auto"/>
        <w:ind w:firstLine="480" w:firstLineChars="200"/>
        <w:rPr>
          <w:rFonts w:hAnsi="Times New Roman" w:eastAsia="宋体"/>
          <w:lang w:eastAsia="zh-CN"/>
        </w:rPr>
      </w:pPr>
      <w:r>
        <w:rPr>
          <w:rFonts w:hAnsi="Times New Roman" w:eastAsia="宋体"/>
          <w:lang w:eastAsia="zh-CN"/>
        </w:rPr>
        <w:t>（</w:t>
      </w:r>
      <w:r>
        <w:rPr>
          <w:rFonts w:hint="eastAsia" w:hAnsi="Times New Roman" w:eastAsia="宋体"/>
          <w:lang w:eastAsia="zh-CN"/>
        </w:rPr>
        <w:t>7</w:t>
      </w:r>
      <w:r>
        <w:rPr>
          <w:rFonts w:hAnsi="Times New Roman" w:eastAsia="宋体"/>
          <w:lang w:eastAsia="zh-CN"/>
        </w:rPr>
        <w:t>）国家矿山安全监察局四川局《关于达州市宣汉县七里峡煤业有限公司七里峡煤矿扩建项目安全审核意见的函》</w:t>
      </w:r>
      <w:r>
        <w:rPr>
          <w:rFonts w:hint="eastAsia" w:hAnsi="Times New Roman" w:eastAsia="宋体"/>
          <w:lang w:eastAsia="zh-CN"/>
        </w:rPr>
        <w:t>（</w:t>
      </w:r>
      <w:r>
        <w:rPr>
          <w:rFonts w:hAnsi="Times New Roman" w:eastAsia="宋体"/>
          <w:lang w:eastAsia="zh-CN"/>
        </w:rPr>
        <w:t>矿安川函</w:t>
      </w:r>
      <w:r>
        <w:rPr>
          <w:rFonts w:hint="eastAsia" w:hAnsi="Times New Roman" w:eastAsia="宋体"/>
          <w:szCs w:val="24"/>
          <w:lang w:eastAsia="zh-CN"/>
        </w:rPr>
        <w:t>〔2021〕</w:t>
      </w:r>
      <w:r>
        <w:rPr>
          <w:rFonts w:hAnsi="Times New Roman" w:eastAsia="宋体"/>
          <w:lang w:eastAsia="zh-CN"/>
        </w:rPr>
        <w:t>15号</w:t>
      </w:r>
      <w:r>
        <w:rPr>
          <w:rFonts w:hint="eastAsia" w:hAnsi="Times New Roman" w:eastAsia="宋体"/>
          <w:lang w:eastAsia="zh-CN"/>
        </w:rPr>
        <w:t>）</w:t>
      </w:r>
      <w:r>
        <w:rPr>
          <w:rFonts w:hAnsi="Times New Roman" w:eastAsia="宋体"/>
          <w:lang w:eastAsia="zh-CN"/>
        </w:rPr>
        <w:t>，2021年11月12日；</w:t>
      </w:r>
    </w:p>
    <w:p>
      <w:pPr>
        <w:spacing w:line="360" w:lineRule="auto"/>
        <w:ind w:firstLine="480" w:firstLineChars="200"/>
        <w:rPr>
          <w:rFonts w:hAnsi="Times New Roman" w:eastAsia="宋体"/>
          <w:lang w:eastAsia="zh-CN"/>
        </w:rPr>
      </w:pPr>
      <w:r>
        <w:rPr>
          <w:rFonts w:hAnsi="Times New Roman" w:eastAsia="宋体"/>
          <w:lang w:eastAsia="zh-CN"/>
        </w:rPr>
        <w:t>（</w:t>
      </w:r>
      <w:r>
        <w:rPr>
          <w:rFonts w:hint="eastAsia" w:hAnsi="Times New Roman" w:eastAsia="宋体"/>
          <w:lang w:eastAsia="zh-CN"/>
        </w:rPr>
        <w:t>8</w:t>
      </w:r>
      <w:r>
        <w:rPr>
          <w:rFonts w:hAnsi="Times New Roman" w:eastAsia="宋体"/>
          <w:lang w:eastAsia="zh-CN"/>
        </w:rPr>
        <w:t>）《达州市宣汉县七里峡煤业有限公司七里峡煤矿永久基本农田影响论证报告》，四川科恩工程安全技术咨询有限公司；</w:t>
      </w:r>
    </w:p>
    <w:p>
      <w:pPr>
        <w:spacing w:line="360" w:lineRule="auto"/>
        <w:ind w:firstLine="480" w:firstLineChars="200"/>
        <w:rPr>
          <w:rFonts w:hAnsi="Times New Roman" w:eastAsia="宋体"/>
          <w:lang w:eastAsia="zh-CN"/>
        </w:rPr>
      </w:pPr>
      <w:r>
        <w:rPr>
          <w:rFonts w:hAnsi="Times New Roman" w:eastAsia="宋体"/>
          <w:lang w:eastAsia="zh-CN"/>
        </w:rPr>
        <w:t>（</w:t>
      </w:r>
      <w:r>
        <w:rPr>
          <w:rFonts w:hint="eastAsia" w:hAnsi="Times New Roman" w:eastAsia="宋体"/>
          <w:lang w:eastAsia="zh-CN"/>
        </w:rPr>
        <w:t>9</w:t>
      </w:r>
      <w:r>
        <w:rPr>
          <w:rFonts w:hAnsi="Times New Roman" w:eastAsia="宋体"/>
          <w:lang w:eastAsia="zh-CN"/>
        </w:rPr>
        <w:t>）《达州市宣汉县七里峡煤业有限公司七里峡煤矿扩建工程初步设计及安全设施设计（含矿产资源开发利用方案）》，四川蓉鑫安全工程技术咨询有限公司，2022年1月</w:t>
      </w:r>
      <w:r>
        <w:rPr>
          <w:rFonts w:hint="eastAsia" w:hAnsi="Times New Roman" w:eastAsia="宋体"/>
          <w:lang w:eastAsia="zh-CN"/>
        </w:rPr>
        <w:t>；</w:t>
      </w:r>
    </w:p>
    <w:p>
      <w:pPr>
        <w:spacing w:line="360" w:lineRule="auto"/>
        <w:ind w:firstLine="480" w:firstLineChars="200"/>
        <w:rPr>
          <w:rFonts w:hAnsi="Times New Roman" w:eastAsia="宋体"/>
          <w:szCs w:val="24"/>
          <w:lang w:eastAsia="zh-CN"/>
        </w:rPr>
      </w:pPr>
      <w:r>
        <w:rPr>
          <w:rFonts w:hint="eastAsia" w:hAnsi="Times New Roman" w:eastAsia="宋体"/>
          <w:szCs w:val="24"/>
          <w:lang w:eastAsia="zh-CN"/>
        </w:rPr>
        <w:t>（10）《达州市宣汉县七里峡煤业有限公司七里峡煤矿保留+379主平硐对“宣汉县国家森林公园观音山景区”影响评价报告》，四川省恒升煤炭科技开发有限公司，2023年2月；</w:t>
      </w:r>
    </w:p>
    <w:p>
      <w:pPr>
        <w:spacing w:line="360" w:lineRule="auto"/>
        <w:ind w:firstLine="480" w:firstLineChars="200"/>
        <w:rPr>
          <w:rFonts w:hAnsi="Times New Roman" w:eastAsia="宋体"/>
          <w:szCs w:val="24"/>
          <w:lang w:eastAsia="zh-CN"/>
        </w:rPr>
      </w:pPr>
      <w:r>
        <w:rPr>
          <w:rFonts w:hint="eastAsia" w:hAnsi="Times New Roman" w:eastAsia="宋体"/>
          <w:szCs w:val="24"/>
          <w:lang w:eastAsia="zh-CN"/>
        </w:rPr>
        <w:t>（11）《四川省林业和草原局关于同意在四川宣汉县国家森林公园内保留七里峡煤矿1条地下通风和运输巷道的批复》（川林护函〔2013〕187</w:t>
      </w:r>
      <w:r>
        <w:rPr>
          <w:rFonts w:hAnsi="Times New Roman" w:eastAsia="宋体"/>
          <w:szCs w:val="24"/>
          <w:lang w:eastAsia="zh-CN"/>
        </w:rPr>
        <w:t>号</w:t>
      </w:r>
      <w:r>
        <w:rPr>
          <w:rFonts w:hint="eastAsia" w:hAnsi="Times New Roman" w:eastAsia="宋体"/>
          <w:szCs w:val="24"/>
          <w:lang w:eastAsia="zh-CN"/>
        </w:rPr>
        <w:t>），2023年2月27日；</w:t>
      </w:r>
    </w:p>
    <w:p>
      <w:pPr>
        <w:spacing w:line="360" w:lineRule="auto"/>
        <w:ind w:firstLine="480" w:firstLineChars="200"/>
        <w:rPr>
          <w:rFonts w:hAnsi="Times New Roman" w:eastAsia="宋体"/>
          <w:szCs w:val="24"/>
          <w:lang w:eastAsia="zh-CN"/>
        </w:rPr>
      </w:pPr>
      <w:r>
        <w:rPr>
          <w:rFonts w:hAnsi="Times New Roman" w:eastAsia="宋体"/>
          <w:szCs w:val="24"/>
          <w:lang w:eastAsia="zh-CN"/>
        </w:rPr>
        <w:t>（</w:t>
      </w:r>
      <w:r>
        <w:rPr>
          <w:rFonts w:hint="eastAsia" w:hAnsi="Times New Roman" w:eastAsia="宋体"/>
          <w:szCs w:val="24"/>
          <w:lang w:eastAsia="zh-CN"/>
        </w:rPr>
        <w:t>12</w:t>
      </w:r>
      <w:r>
        <w:rPr>
          <w:rFonts w:hAnsi="Times New Roman" w:eastAsia="宋体"/>
          <w:szCs w:val="24"/>
          <w:lang w:eastAsia="zh-CN"/>
        </w:rPr>
        <w:t>）业主提供的其他资料。</w:t>
      </w:r>
    </w:p>
    <w:p>
      <w:pPr>
        <w:pStyle w:val="5"/>
        <w:rPr>
          <w:rFonts w:ascii="Times New Roman" w:hAnsi="Times New Roman"/>
          <w:lang w:eastAsia="zh-CN"/>
        </w:rPr>
      </w:pPr>
      <w:bookmarkStart w:id="16" w:name="_Toc167095106"/>
      <w:bookmarkStart w:id="17" w:name="_Toc163749147"/>
      <w:bookmarkStart w:id="18" w:name="_Toc31393"/>
      <w:r>
        <w:rPr>
          <w:rFonts w:ascii="Times New Roman" w:hAnsi="Times New Roman"/>
          <w:lang w:eastAsia="zh-CN"/>
        </w:rPr>
        <w:t xml:space="preserve">1.2 </w:t>
      </w:r>
      <w:r>
        <w:rPr>
          <w:rFonts w:hint="eastAsia" w:ascii="Times New Roman" w:hAnsi="Times New Roman"/>
          <w:lang w:eastAsia="zh-CN"/>
        </w:rPr>
        <w:t>评价</w:t>
      </w:r>
      <w:r>
        <w:rPr>
          <w:rFonts w:ascii="Times New Roman" w:hAnsi="Times New Roman"/>
          <w:lang w:eastAsia="zh-CN"/>
        </w:rPr>
        <w:t>目的</w:t>
      </w:r>
      <w:bookmarkEnd w:id="16"/>
      <w:bookmarkEnd w:id="17"/>
      <w:bookmarkEnd w:id="18"/>
    </w:p>
    <w:p>
      <w:pPr>
        <w:spacing w:line="360" w:lineRule="auto"/>
        <w:ind w:firstLine="480" w:firstLineChars="200"/>
        <w:rPr>
          <w:rFonts w:hAnsi="Times New Roman" w:eastAsia="宋体"/>
          <w:lang w:eastAsia="zh-CN"/>
        </w:rPr>
      </w:pPr>
      <w:r>
        <w:rPr>
          <w:rFonts w:hAnsi="Times New Roman" w:eastAsia="宋体"/>
          <w:lang w:eastAsia="zh-CN"/>
        </w:rPr>
        <w:t>（1）全面贯彻落实科学发展观，规范煤矿开采，避免资源浪费，促进煤炭工业健康发展，有效解决煤炭开发过程中环境污染和生态破坏，保护和改善区域生活环境和生态环境，积极贯彻落实</w:t>
      </w:r>
      <w:r>
        <w:rPr>
          <w:rFonts w:hint="eastAsia" w:hAnsi="Times New Roman" w:eastAsia="宋体"/>
          <w:lang w:eastAsia="zh-CN"/>
        </w:rPr>
        <w:t>《中华人民共和国环境影响评价法》</w:t>
      </w:r>
      <w:r>
        <w:rPr>
          <w:rFonts w:hAnsi="Times New Roman" w:eastAsia="宋体"/>
          <w:lang w:eastAsia="zh-CN"/>
        </w:rPr>
        <w:t>。</w:t>
      </w:r>
    </w:p>
    <w:p>
      <w:pPr>
        <w:spacing w:line="360" w:lineRule="auto"/>
        <w:ind w:firstLine="480" w:firstLineChars="200"/>
        <w:rPr>
          <w:rFonts w:hAnsi="Times New Roman" w:eastAsia="宋体"/>
          <w:lang w:eastAsia="zh-CN"/>
        </w:rPr>
      </w:pPr>
      <w:r>
        <w:rPr>
          <w:rFonts w:hAnsi="Times New Roman" w:eastAsia="宋体"/>
          <w:lang w:eastAsia="zh-CN"/>
        </w:rPr>
        <w:t>（2）说明矿井所在区域环境质量现状及主要环境问题，通过对煤矿生产工艺、污染排放状况的分析，预测项目扩建后，生产对当地的环境质量和生态环境可能造成的不良影响。从保护矿区生态、控制污染、提高资源的循环利用率上寻求对策。为项目实现优化设计、合理布局以及环境管理提供科学依据。</w:t>
      </w:r>
    </w:p>
    <w:p>
      <w:pPr>
        <w:pStyle w:val="5"/>
        <w:rPr>
          <w:rFonts w:ascii="Times New Roman" w:hAnsi="Times New Roman"/>
          <w:lang w:eastAsia="zh-CN"/>
        </w:rPr>
      </w:pPr>
      <w:bookmarkStart w:id="19" w:name="_Toc167095107"/>
      <w:bookmarkStart w:id="20" w:name="_Toc163749148"/>
      <w:bookmarkStart w:id="21" w:name="_Toc9378"/>
      <w:r>
        <w:rPr>
          <w:rFonts w:ascii="Times New Roman" w:hAnsi="Times New Roman"/>
          <w:lang w:eastAsia="zh-CN"/>
        </w:rPr>
        <w:t>1.3 评价原则</w:t>
      </w:r>
      <w:bookmarkEnd w:id="19"/>
      <w:bookmarkEnd w:id="20"/>
      <w:bookmarkEnd w:id="21"/>
    </w:p>
    <w:p>
      <w:pPr>
        <w:spacing w:line="360" w:lineRule="auto"/>
        <w:ind w:firstLine="480" w:firstLineChars="200"/>
        <w:rPr>
          <w:rFonts w:hAnsi="Times New Roman" w:eastAsia="宋体"/>
          <w:lang w:eastAsia="zh-CN"/>
        </w:rPr>
      </w:pPr>
      <w:r>
        <w:rPr>
          <w:rFonts w:hAnsi="Times New Roman" w:eastAsia="宋体"/>
          <w:lang w:eastAsia="zh-CN"/>
        </w:rPr>
        <w:t>（1）依据国家及地方有关环保法规，环境影响评价技术规定等，结合项目的实际特点和环境特征，力求客观、公正、详实地进行评价工作</w:t>
      </w:r>
      <w:r>
        <w:rPr>
          <w:rFonts w:hint="eastAsia" w:hAnsi="Times New Roman" w:eastAsia="宋体"/>
          <w:lang w:eastAsia="zh-CN"/>
        </w:rPr>
        <w:t>；</w:t>
      </w:r>
    </w:p>
    <w:p>
      <w:pPr>
        <w:spacing w:line="360" w:lineRule="auto"/>
        <w:ind w:firstLine="480" w:firstLineChars="200"/>
        <w:rPr>
          <w:rFonts w:hAnsi="Times New Roman" w:eastAsia="宋体"/>
          <w:lang w:eastAsia="zh-CN"/>
        </w:rPr>
      </w:pPr>
      <w:r>
        <w:rPr>
          <w:rFonts w:hAnsi="Times New Roman" w:eastAsia="宋体"/>
          <w:lang w:eastAsia="zh-CN"/>
        </w:rPr>
        <w:t>（2）贯彻“生态文明”的理念，结合当地客观实际情况和目前的建设情况，提出可行的整改措施，把矿井建设成为“高产高效”、“环境友好”的新型现代化矿井。</w:t>
      </w:r>
    </w:p>
    <w:p>
      <w:pPr>
        <w:spacing w:line="360" w:lineRule="auto"/>
        <w:ind w:firstLine="480" w:firstLineChars="200"/>
        <w:rPr>
          <w:rFonts w:hAnsi="Times New Roman" w:eastAsia="宋体"/>
          <w:lang w:eastAsia="zh-CN"/>
        </w:rPr>
      </w:pPr>
      <w:r>
        <w:rPr>
          <w:rFonts w:hAnsi="Times New Roman" w:eastAsia="宋体"/>
          <w:lang w:eastAsia="zh-CN"/>
        </w:rPr>
        <w:t>（3）密切关注矿井建设与运行环境影响特点，重点围绕矿井建设与运行对生态环境、地下水环境影响等重点评价专题开展工作。</w:t>
      </w:r>
    </w:p>
    <w:p>
      <w:pPr>
        <w:spacing w:line="360" w:lineRule="auto"/>
        <w:ind w:firstLine="480" w:firstLineChars="200"/>
        <w:rPr>
          <w:rFonts w:hAnsi="Times New Roman" w:eastAsia="宋体"/>
          <w:lang w:eastAsia="zh-CN"/>
        </w:rPr>
      </w:pPr>
      <w:r>
        <w:rPr>
          <w:rFonts w:hAnsi="Times New Roman" w:eastAsia="宋体"/>
          <w:lang w:eastAsia="zh-CN"/>
        </w:rPr>
        <w:t>（4）鉴于矿井服务年限较长，井田面积大，结合矿井开发规划，环评按“远粗近细”、“注重过程”的原则，生态治理及土地复垦工作重点就矿井投产后首采区进行，</w:t>
      </w:r>
      <w:r>
        <w:rPr>
          <w:rFonts w:hint="eastAsia" w:hAnsi="Times New Roman" w:eastAsia="宋体"/>
          <w:lang w:eastAsia="zh-CN"/>
        </w:rPr>
        <w:t>其他</w:t>
      </w:r>
      <w:r>
        <w:rPr>
          <w:rFonts w:hAnsi="Times New Roman" w:eastAsia="宋体"/>
          <w:lang w:eastAsia="zh-CN"/>
        </w:rPr>
        <w:t>采煤区域则只进行原则性规划。</w:t>
      </w:r>
    </w:p>
    <w:p>
      <w:pPr>
        <w:pStyle w:val="5"/>
        <w:rPr>
          <w:rFonts w:ascii="Times New Roman" w:hAnsi="Times New Roman"/>
          <w:lang w:eastAsia="zh-CN"/>
        </w:rPr>
      </w:pPr>
      <w:bookmarkStart w:id="22" w:name="_Toc163749149"/>
      <w:bookmarkStart w:id="23" w:name="_Toc167095108"/>
      <w:r>
        <w:rPr>
          <w:rFonts w:ascii="Times New Roman" w:hAnsi="Times New Roman"/>
          <w:lang w:eastAsia="zh-CN"/>
        </w:rPr>
        <w:t>1.4 评价时段</w:t>
      </w:r>
      <w:bookmarkEnd w:id="22"/>
      <w:bookmarkEnd w:id="23"/>
    </w:p>
    <w:p>
      <w:pPr>
        <w:spacing w:line="360" w:lineRule="auto"/>
        <w:ind w:firstLine="480" w:firstLineChars="200"/>
        <w:rPr>
          <w:rFonts w:hAnsi="Times New Roman" w:eastAsia="宋体"/>
          <w:lang w:eastAsia="zh-CN"/>
        </w:rPr>
      </w:pPr>
      <w:r>
        <w:rPr>
          <w:rFonts w:hAnsi="Times New Roman" w:eastAsia="宋体"/>
          <w:lang w:eastAsia="zh-CN"/>
        </w:rPr>
        <w:t>根据《环境影响评价技术导则煤炭采选工程》（HJ 619-2011），本次环评工作评价时段分建设期、运行期和退役期三个时段。从时段上看，营运期环境影响的范围大、程度深、周期长，故评价重点以营运期评价为主。</w:t>
      </w:r>
    </w:p>
    <w:p>
      <w:pPr>
        <w:pStyle w:val="5"/>
        <w:rPr>
          <w:rFonts w:ascii="Times New Roman" w:hAnsi="Times New Roman"/>
          <w:lang w:eastAsia="zh-CN"/>
        </w:rPr>
      </w:pPr>
      <w:bookmarkStart w:id="24" w:name="_Toc163749150"/>
      <w:bookmarkStart w:id="25" w:name="_Toc167095109"/>
      <w:r>
        <w:rPr>
          <w:rFonts w:ascii="Times New Roman" w:hAnsi="Times New Roman"/>
          <w:lang w:eastAsia="zh-CN"/>
        </w:rPr>
        <w:t>1.5 环境功能区划及评价标准</w:t>
      </w:r>
      <w:bookmarkEnd w:id="24"/>
      <w:bookmarkEnd w:id="25"/>
    </w:p>
    <w:p>
      <w:pPr>
        <w:pStyle w:val="6"/>
        <w:rPr>
          <w:lang w:eastAsia="zh-CN"/>
        </w:rPr>
      </w:pPr>
      <w:bookmarkStart w:id="26" w:name="_Toc167095110"/>
      <w:bookmarkStart w:id="27" w:name="_Toc163812487"/>
      <w:r>
        <w:rPr>
          <w:lang w:eastAsia="zh-CN"/>
        </w:rPr>
        <w:t>1.5.1 环境功能区划</w:t>
      </w:r>
      <w:bookmarkEnd w:id="26"/>
      <w:bookmarkEnd w:id="27"/>
    </w:p>
    <w:p>
      <w:pPr>
        <w:spacing w:line="360" w:lineRule="auto"/>
        <w:ind w:firstLine="480" w:firstLineChars="200"/>
        <w:rPr>
          <w:rFonts w:hAnsi="Times New Roman" w:eastAsia="宋体"/>
          <w:lang w:eastAsia="zh-CN"/>
        </w:rPr>
      </w:pPr>
      <w:r>
        <w:rPr>
          <w:rFonts w:hAnsi="Times New Roman" w:eastAsia="宋体"/>
          <w:lang w:eastAsia="zh-CN"/>
        </w:rPr>
        <w:t>根据查询四川省及达州市环境功能区划相关文件，确定本项目所在地环境功能区划情况见表1.</w:t>
      </w:r>
      <w:r>
        <w:rPr>
          <w:rFonts w:hint="eastAsia" w:hAnsi="Times New Roman" w:eastAsia="宋体"/>
          <w:lang w:eastAsia="zh-CN"/>
        </w:rPr>
        <w:t>5</w:t>
      </w:r>
      <w:r>
        <w:rPr>
          <w:rFonts w:hAnsi="Times New Roman" w:eastAsia="宋体"/>
          <w:lang w:eastAsia="zh-CN"/>
        </w:rPr>
        <w:t>-1。</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表1.</w:t>
      </w:r>
      <w:r>
        <w:rPr>
          <w:rFonts w:hint="eastAsia" w:hAnsi="Times New Roman" w:eastAsia="宋体"/>
          <w:b/>
          <w:bCs/>
          <w:sz w:val="21"/>
          <w:szCs w:val="21"/>
          <w:lang w:eastAsia="zh-CN"/>
        </w:rPr>
        <w:t>5</w:t>
      </w:r>
      <w:r>
        <w:rPr>
          <w:rFonts w:hAnsi="Times New Roman" w:eastAsia="宋体"/>
          <w:b/>
          <w:bCs/>
          <w:sz w:val="21"/>
          <w:szCs w:val="21"/>
          <w:lang w:eastAsia="zh-CN"/>
        </w:rPr>
        <w:t>-1  项目所在区域环境功能区划情况</w:t>
      </w:r>
    </w:p>
    <w:tbl>
      <w:tblPr>
        <w:tblStyle w:val="33"/>
        <w:tblW w:w="485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695"/>
        <w:gridCol w:w="1500"/>
        <w:gridCol w:w="6869"/>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blHeader/>
          <w:jc w:val="center"/>
        </w:trPr>
        <w:tc>
          <w:tcPr>
            <w:tcW w:w="678" w:type="dxa"/>
            <w:vAlign w:val="center"/>
          </w:tcPr>
          <w:p>
            <w:pPr>
              <w:keepNext w:val="0"/>
              <w:keepLines w:val="0"/>
              <w:suppressLineNumbers w:val="0"/>
              <w:tabs>
                <w:tab w:val="left" w:pos="0"/>
              </w:tabs>
              <w:adjustRightInd w:val="0"/>
              <w:snapToGrid w:val="0"/>
              <w:spacing w:before="0" w:beforeAutospacing="0" w:after="0" w:afterAutospacing="0"/>
              <w:ind w:left="0" w:right="0"/>
              <w:jc w:val="center"/>
              <w:rPr>
                <w:rFonts w:hint="eastAsia" w:hAnsi="Times New Roman" w:eastAsia="宋体"/>
                <w:b/>
                <w:kern w:val="2"/>
                <w:sz w:val="21"/>
                <w:szCs w:val="21"/>
              </w:rPr>
            </w:pPr>
            <w:r>
              <w:rPr>
                <w:rFonts w:hint="eastAsia" w:hAnsi="Times New Roman" w:eastAsia="宋体"/>
                <w:b/>
                <w:kern w:val="2"/>
                <w:sz w:val="21"/>
                <w:szCs w:val="21"/>
              </w:rPr>
              <w:t>序号</w:t>
            </w:r>
          </w:p>
        </w:tc>
        <w:tc>
          <w:tcPr>
            <w:tcW w:w="1464" w:type="dxa"/>
            <w:vAlign w:val="center"/>
          </w:tcPr>
          <w:p>
            <w:pPr>
              <w:keepNext w:val="0"/>
              <w:keepLines w:val="0"/>
              <w:suppressLineNumbers w:val="0"/>
              <w:tabs>
                <w:tab w:val="left" w:pos="0"/>
              </w:tabs>
              <w:adjustRightInd w:val="0"/>
              <w:snapToGrid w:val="0"/>
              <w:spacing w:before="0" w:beforeAutospacing="0" w:after="0" w:afterAutospacing="0"/>
              <w:ind w:left="0" w:right="0"/>
              <w:jc w:val="center"/>
              <w:rPr>
                <w:rFonts w:hint="eastAsia" w:hAnsi="Times New Roman" w:eastAsia="宋体"/>
                <w:b/>
                <w:kern w:val="2"/>
                <w:sz w:val="21"/>
                <w:szCs w:val="21"/>
              </w:rPr>
            </w:pPr>
            <w:r>
              <w:rPr>
                <w:rFonts w:hint="eastAsia" w:hAnsi="Times New Roman" w:eastAsia="宋体"/>
                <w:b/>
                <w:kern w:val="2"/>
                <w:sz w:val="21"/>
                <w:szCs w:val="21"/>
              </w:rPr>
              <w:t>项目</w:t>
            </w:r>
          </w:p>
        </w:tc>
        <w:tc>
          <w:tcPr>
            <w:tcW w:w="6706" w:type="dxa"/>
            <w:vAlign w:val="center"/>
          </w:tcPr>
          <w:p>
            <w:pPr>
              <w:keepNext w:val="0"/>
              <w:keepLines w:val="0"/>
              <w:suppressLineNumbers w:val="0"/>
              <w:tabs>
                <w:tab w:val="left" w:pos="0"/>
              </w:tabs>
              <w:adjustRightInd w:val="0"/>
              <w:snapToGrid w:val="0"/>
              <w:spacing w:before="0" w:beforeAutospacing="0" w:after="0" w:afterAutospacing="0"/>
              <w:ind w:left="0" w:right="0"/>
              <w:jc w:val="center"/>
              <w:rPr>
                <w:rFonts w:hint="eastAsia" w:hAnsi="Times New Roman" w:eastAsia="宋体"/>
                <w:b/>
                <w:kern w:val="2"/>
                <w:sz w:val="21"/>
                <w:szCs w:val="21"/>
              </w:rPr>
            </w:pPr>
            <w:r>
              <w:rPr>
                <w:rFonts w:hint="eastAsia" w:hAnsi="Times New Roman" w:eastAsia="宋体"/>
                <w:b/>
                <w:kern w:val="2"/>
                <w:sz w:val="21"/>
                <w:szCs w:val="21"/>
              </w:rPr>
              <w:t>功能属性及执行标准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78" w:type="dxa"/>
            <w:vAlign w:val="center"/>
          </w:tcPr>
          <w:p>
            <w:pPr>
              <w:keepNext w:val="0"/>
              <w:keepLines w:val="0"/>
              <w:suppressLineNumbers w:val="0"/>
              <w:tabs>
                <w:tab w:val="left" w:pos="0"/>
              </w:tabs>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w:t>
            </w:r>
          </w:p>
        </w:tc>
        <w:tc>
          <w:tcPr>
            <w:tcW w:w="1464" w:type="dxa"/>
            <w:vAlign w:val="center"/>
          </w:tcPr>
          <w:p>
            <w:pPr>
              <w:keepNext w:val="0"/>
              <w:keepLines w:val="0"/>
              <w:suppressLineNumbers w:val="0"/>
              <w:tabs>
                <w:tab w:val="left" w:pos="0"/>
              </w:tabs>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环境空气</w:t>
            </w:r>
          </w:p>
        </w:tc>
        <w:tc>
          <w:tcPr>
            <w:tcW w:w="6706" w:type="dxa"/>
            <w:vAlign w:val="center"/>
          </w:tcPr>
          <w:p>
            <w:pPr>
              <w:keepNext w:val="0"/>
              <w:keepLines w:val="0"/>
              <w:suppressLineNumbers w:val="0"/>
              <w:tabs>
                <w:tab w:val="left" w:pos="0"/>
              </w:tabs>
              <w:adjustRightInd w:val="0"/>
              <w:snapToGrid w:val="0"/>
              <w:spacing w:before="0" w:beforeAutospacing="0" w:after="0" w:afterAutospacing="0"/>
              <w:ind w:left="0" w:right="0"/>
              <w:jc w:val="left"/>
              <w:rPr>
                <w:rFonts w:hint="eastAsia" w:hAnsi="Times New Roman" w:eastAsia="宋体"/>
                <w:kern w:val="2"/>
                <w:sz w:val="21"/>
                <w:szCs w:val="21"/>
              </w:rPr>
            </w:pPr>
            <w:r>
              <w:rPr>
                <w:rFonts w:hint="eastAsia" w:hAnsi="Times New Roman" w:eastAsia="宋体"/>
                <w:kern w:val="2"/>
                <w:sz w:val="21"/>
                <w:szCs w:val="21"/>
              </w:rPr>
              <w:t>矿区位于二类区，执行《环境空气质量标准》（B3095-2012）及修改单中的二级标准。项目</w:t>
            </w:r>
            <w:r>
              <w:rPr>
                <w:rFonts w:hint="eastAsia" w:hAnsi="Times New Roman" w:eastAsia="宋体"/>
                <w:kern w:val="2"/>
                <w:sz w:val="21"/>
                <w:szCs w:val="21"/>
                <w:lang w:eastAsia="zh-CN"/>
              </w:rPr>
              <w:t>+379主平硐穿越</w:t>
            </w:r>
            <w:r>
              <w:rPr>
                <w:rFonts w:hint="eastAsia" w:hAnsi="Times New Roman" w:eastAsia="宋体"/>
                <w:kern w:val="2"/>
                <w:sz w:val="21"/>
                <w:szCs w:val="21"/>
              </w:rPr>
              <w:t>宣汉国家森林公园，宣汉国家森林公园为一类区，执行《环境空气质量标准》（B3095-2012）及修改单中的一级标准。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78" w:type="dxa"/>
            <w:vAlign w:val="center"/>
          </w:tcPr>
          <w:p>
            <w:pPr>
              <w:keepNext w:val="0"/>
              <w:keepLines w:val="0"/>
              <w:suppressLineNumbers w:val="0"/>
              <w:tabs>
                <w:tab w:val="left" w:pos="0"/>
              </w:tabs>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w:t>
            </w:r>
          </w:p>
        </w:tc>
        <w:tc>
          <w:tcPr>
            <w:tcW w:w="1464" w:type="dxa"/>
            <w:vAlign w:val="center"/>
          </w:tcPr>
          <w:p>
            <w:pPr>
              <w:keepNext w:val="0"/>
              <w:keepLines w:val="0"/>
              <w:suppressLineNumbers w:val="0"/>
              <w:tabs>
                <w:tab w:val="left" w:pos="0"/>
              </w:tabs>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地表水环境</w:t>
            </w:r>
          </w:p>
        </w:tc>
        <w:tc>
          <w:tcPr>
            <w:tcW w:w="6706" w:type="dxa"/>
            <w:vAlign w:val="center"/>
          </w:tcPr>
          <w:p>
            <w:pPr>
              <w:keepNext w:val="0"/>
              <w:keepLines w:val="0"/>
              <w:suppressLineNumbers w:val="0"/>
              <w:tabs>
                <w:tab w:val="left" w:pos="0"/>
              </w:tabs>
              <w:adjustRightInd w:val="0"/>
              <w:snapToGrid w:val="0"/>
              <w:spacing w:before="0" w:beforeAutospacing="0" w:after="0" w:afterAutospacing="0"/>
              <w:ind w:left="0" w:right="0"/>
              <w:jc w:val="left"/>
              <w:rPr>
                <w:rFonts w:hint="eastAsia" w:hAnsi="Times New Roman" w:eastAsia="宋体"/>
                <w:kern w:val="2"/>
                <w:sz w:val="21"/>
                <w:szCs w:val="21"/>
              </w:rPr>
            </w:pPr>
            <w:r>
              <w:rPr>
                <w:rFonts w:hint="eastAsia" w:hAnsi="Times New Roman" w:eastAsia="宋体"/>
                <w:kern w:val="2"/>
                <w:sz w:val="21"/>
                <w:szCs w:val="21"/>
              </w:rPr>
              <w:t>矿区新宁河地表水为Ⅲ类区，执行《地表水环境质量标准》（GB3838-2002）Ⅲ类标准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78" w:type="dxa"/>
            <w:vAlign w:val="center"/>
          </w:tcPr>
          <w:p>
            <w:pPr>
              <w:keepNext w:val="0"/>
              <w:keepLines w:val="0"/>
              <w:suppressLineNumbers w:val="0"/>
              <w:tabs>
                <w:tab w:val="left" w:pos="0"/>
              </w:tabs>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3</w:t>
            </w:r>
          </w:p>
        </w:tc>
        <w:tc>
          <w:tcPr>
            <w:tcW w:w="1464" w:type="dxa"/>
            <w:vAlign w:val="center"/>
          </w:tcPr>
          <w:p>
            <w:pPr>
              <w:keepNext w:val="0"/>
              <w:keepLines w:val="0"/>
              <w:suppressLineNumbers w:val="0"/>
              <w:tabs>
                <w:tab w:val="left" w:pos="0"/>
              </w:tabs>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地下水环境</w:t>
            </w:r>
          </w:p>
        </w:tc>
        <w:tc>
          <w:tcPr>
            <w:tcW w:w="6706" w:type="dxa"/>
            <w:vAlign w:val="center"/>
          </w:tcPr>
          <w:p>
            <w:pPr>
              <w:keepNext w:val="0"/>
              <w:keepLines w:val="0"/>
              <w:suppressLineNumbers w:val="0"/>
              <w:tabs>
                <w:tab w:val="left" w:pos="0"/>
              </w:tabs>
              <w:adjustRightInd w:val="0"/>
              <w:snapToGrid w:val="0"/>
              <w:spacing w:before="0" w:beforeAutospacing="0" w:after="0" w:afterAutospacing="0"/>
              <w:ind w:left="0" w:right="0"/>
              <w:jc w:val="left"/>
              <w:rPr>
                <w:rFonts w:hint="eastAsia" w:hAnsi="Times New Roman" w:eastAsia="宋体"/>
                <w:kern w:val="2"/>
                <w:sz w:val="21"/>
                <w:szCs w:val="21"/>
              </w:rPr>
            </w:pPr>
            <w:r>
              <w:rPr>
                <w:rFonts w:hint="eastAsia" w:hAnsi="Times New Roman" w:eastAsia="宋体"/>
                <w:kern w:val="2"/>
                <w:sz w:val="21"/>
                <w:szCs w:val="21"/>
              </w:rPr>
              <w:t>执行《地下水质量标准》（GB/T14848-2017）Ⅲ类标准。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78" w:type="dxa"/>
            <w:vAlign w:val="center"/>
          </w:tcPr>
          <w:p>
            <w:pPr>
              <w:keepNext w:val="0"/>
              <w:keepLines w:val="0"/>
              <w:suppressLineNumbers w:val="0"/>
              <w:tabs>
                <w:tab w:val="left" w:pos="0"/>
              </w:tabs>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4</w:t>
            </w:r>
          </w:p>
        </w:tc>
        <w:tc>
          <w:tcPr>
            <w:tcW w:w="1464" w:type="dxa"/>
            <w:vAlign w:val="center"/>
          </w:tcPr>
          <w:p>
            <w:pPr>
              <w:keepNext w:val="0"/>
              <w:keepLines w:val="0"/>
              <w:suppressLineNumbers w:val="0"/>
              <w:tabs>
                <w:tab w:val="left" w:pos="0"/>
              </w:tabs>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声环境</w:t>
            </w:r>
          </w:p>
        </w:tc>
        <w:tc>
          <w:tcPr>
            <w:tcW w:w="6706" w:type="dxa"/>
            <w:vAlign w:val="center"/>
          </w:tcPr>
          <w:p>
            <w:pPr>
              <w:keepNext w:val="0"/>
              <w:keepLines w:val="0"/>
              <w:suppressLineNumbers w:val="0"/>
              <w:tabs>
                <w:tab w:val="left" w:pos="0"/>
              </w:tabs>
              <w:adjustRightInd w:val="0"/>
              <w:snapToGrid w:val="0"/>
              <w:spacing w:before="0" w:beforeAutospacing="0" w:after="0" w:afterAutospacing="0"/>
              <w:ind w:left="0" w:right="0"/>
              <w:jc w:val="left"/>
              <w:rPr>
                <w:rFonts w:hint="eastAsia" w:hAnsi="Times New Roman" w:eastAsia="宋体"/>
                <w:kern w:val="2"/>
                <w:sz w:val="21"/>
                <w:szCs w:val="21"/>
              </w:rPr>
            </w:pPr>
            <w:r>
              <w:rPr>
                <w:rFonts w:hint="eastAsia" w:hAnsi="Times New Roman" w:eastAsia="宋体"/>
                <w:kern w:val="2"/>
                <w:sz w:val="21"/>
                <w:szCs w:val="21"/>
              </w:rPr>
              <w:t>矿区位于声环境2</w:t>
            </w:r>
            <w:r>
              <w:rPr>
                <w:rFonts w:hint="eastAsia" w:hAnsi="Times New Roman" w:eastAsia="宋体"/>
                <w:kern w:val="2"/>
                <w:sz w:val="21"/>
                <w:szCs w:val="21"/>
                <w:lang w:val="zh-CN"/>
              </w:rPr>
              <w:t>类区</w:t>
            </w:r>
            <w:r>
              <w:rPr>
                <w:rFonts w:hint="eastAsia" w:hAnsi="Times New Roman" w:eastAsia="宋体"/>
                <w:kern w:val="2"/>
                <w:sz w:val="21"/>
                <w:szCs w:val="21"/>
              </w:rPr>
              <w:t>，执行《声环境质量标准》（GB3096-2008）2类标准。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78" w:type="dxa"/>
            <w:vAlign w:val="center"/>
          </w:tcPr>
          <w:p>
            <w:pPr>
              <w:keepNext w:val="0"/>
              <w:keepLines w:val="0"/>
              <w:suppressLineNumbers w:val="0"/>
              <w:tabs>
                <w:tab w:val="left" w:pos="0"/>
              </w:tabs>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5</w:t>
            </w:r>
          </w:p>
        </w:tc>
        <w:tc>
          <w:tcPr>
            <w:tcW w:w="1464" w:type="dxa"/>
            <w:vAlign w:val="center"/>
          </w:tcPr>
          <w:p>
            <w:pPr>
              <w:keepNext w:val="0"/>
              <w:keepLines w:val="0"/>
              <w:suppressLineNumbers w:val="0"/>
              <w:tabs>
                <w:tab w:val="left" w:pos="0"/>
              </w:tabs>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土壤环境</w:t>
            </w:r>
          </w:p>
        </w:tc>
        <w:tc>
          <w:tcPr>
            <w:tcW w:w="6706" w:type="dxa"/>
            <w:vAlign w:val="center"/>
          </w:tcPr>
          <w:p>
            <w:pPr>
              <w:keepNext w:val="0"/>
              <w:keepLines w:val="0"/>
              <w:suppressLineNumbers w:val="0"/>
              <w:tabs>
                <w:tab w:val="left" w:pos="0"/>
              </w:tabs>
              <w:adjustRightInd w:val="0"/>
              <w:snapToGrid w:val="0"/>
              <w:spacing w:before="0" w:beforeAutospacing="0" w:after="0" w:afterAutospacing="0"/>
              <w:ind w:left="0" w:right="0"/>
              <w:jc w:val="left"/>
              <w:rPr>
                <w:rFonts w:hint="eastAsia" w:hAnsi="Times New Roman" w:eastAsia="宋体"/>
                <w:kern w:val="2"/>
                <w:sz w:val="21"/>
                <w:szCs w:val="21"/>
              </w:rPr>
            </w:pPr>
            <w:r>
              <w:rPr>
                <w:rFonts w:hint="eastAsia" w:hAnsi="Times New Roman" w:eastAsia="宋体"/>
                <w:kern w:val="2"/>
                <w:sz w:val="21"/>
                <w:szCs w:val="21"/>
              </w:rPr>
              <w:t>规划矿井工业场地占地范围内执行《土壤环境质量 建设用地土壤污染风险管控标准（试行）》（GB36600-2018）；占地范围外执行《土壤环境质量 农用地土壤污染风险管控标准（试行）》（GB15618-2018）</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78" w:type="dxa"/>
            <w:vAlign w:val="center"/>
          </w:tcPr>
          <w:p>
            <w:pPr>
              <w:keepNext w:val="0"/>
              <w:keepLines w:val="0"/>
              <w:suppressLineNumbers w:val="0"/>
              <w:tabs>
                <w:tab w:val="left" w:pos="0"/>
              </w:tabs>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6</w:t>
            </w:r>
          </w:p>
        </w:tc>
        <w:tc>
          <w:tcPr>
            <w:tcW w:w="1464" w:type="dxa"/>
            <w:vAlign w:val="center"/>
          </w:tcPr>
          <w:p>
            <w:pPr>
              <w:keepNext w:val="0"/>
              <w:keepLines w:val="0"/>
              <w:suppressLineNumbers w:val="0"/>
              <w:tabs>
                <w:tab w:val="left" w:pos="0"/>
              </w:tabs>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生态功能</w:t>
            </w:r>
          </w:p>
        </w:tc>
        <w:tc>
          <w:tcPr>
            <w:tcW w:w="6706" w:type="dxa"/>
            <w:vAlign w:val="center"/>
          </w:tcPr>
          <w:p>
            <w:pPr>
              <w:keepNext w:val="0"/>
              <w:keepLines w:val="0"/>
              <w:widowControl/>
              <w:suppressLineNumbers w:val="0"/>
              <w:snapToGrid w:val="0"/>
              <w:spacing w:before="0" w:beforeAutospacing="0" w:after="0" w:afterAutospacing="0" w:line="300" w:lineRule="exact"/>
              <w:ind w:left="0" w:right="0"/>
              <w:jc w:val="left"/>
              <w:rPr>
                <w:rFonts w:hint="eastAsia" w:hAnsi="Times New Roman" w:eastAsia="宋体"/>
                <w:kern w:val="2"/>
                <w:sz w:val="21"/>
                <w:szCs w:val="21"/>
              </w:rPr>
            </w:pPr>
            <w:r>
              <w:rPr>
                <w:rFonts w:hint="eastAsia" w:hAnsi="Times New Roman" w:eastAsia="宋体"/>
                <w:kern w:val="2"/>
                <w:sz w:val="21"/>
                <w:szCs w:val="21"/>
              </w:rPr>
              <w:t>依据《四川省生态功能区划》，本项目所在地生态功能区涉及“Ⅰ四川盆地亚热带湿润气候生态区”中“Ⅰ-2 盆中丘陵农林复合生态亚区”、“Ⅰ-3 盆北秦巴山地常绿阔叶林—针阔混交林生态亚区”、“Ⅰ-4盆东平行岭谷农林复合生态亚区”</w:t>
            </w:r>
          </w:p>
        </w:tc>
      </w:tr>
    </w:tbl>
    <w:p>
      <w:pPr>
        <w:pStyle w:val="6"/>
        <w:rPr>
          <w:lang w:eastAsia="zh-CN"/>
        </w:rPr>
      </w:pPr>
      <w:bookmarkStart w:id="28" w:name="_Toc94257822"/>
      <w:bookmarkStart w:id="29" w:name="_Toc28568"/>
      <w:bookmarkStart w:id="30" w:name="_Toc17452"/>
      <w:bookmarkStart w:id="31" w:name="_Toc163812488"/>
      <w:bookmarkStart w:id="32" w:name="_Toc28438"/>
      <w:bookmarkStart w:id="33" w:name="_Toc6331"/>
      <w:bookmarkStart w:id="34" w:name="_Toc167095111"/>
      <w:r>
        <w:rPr>
          <w:lang w:eastAsia="zh-CN"/>
        </w:rPr>
        <w:t>1.</w:t>
      </w:r>
      <w:r>
        <w:rPr>
          <w:rFonts w:hint="eastAsia"/>
          <w:lang w:eastAsia="zh-CN"/>
        </w:rPr>
        <w:t>5</w:t>
      </w:r>
      <w:r>
        <w:rPr>
          <w:lang w:eastAsia="zh-CN"/>
        </w:rPr>
        <w:t>.2 评价因子</w:t>
      </w:r>
      <w:bookmarkEnd w:id="28"/>
      <w:bookmarkEnd w:id="29"/>
      <w:bookmarkEnd w:id="30"/>
      <w:bookmarkEnd w:id="31"/>
      <w:bookmarkEnd w:id="32"/>
      <w:bookmarkEnd w:id="33"/>
      <w:bookmarkEnd w:id="34"/>
    </w:p>
    <w:p>
      <w:pPr>
        <w:adjustRightInd w:val="0"/>
        <w:spacing w:line="360" w:lineRule="auto"/>
        <w:ind w:firstLine="482" w:firstLineChars="200"/>
        <w:rPr>
          <w:rFonts w:hAnsi="Times New Roman" w:eastAsia="宋体"/>
          <w:b/>
        </w:rPr>
      </w:pPr>
      <w:r>
        <w:rPr>
          <w:rFonts w:hAnsi="Times New Roman" w:eastAsia="宋体"/>
          <w:b/>
        </w:rPr>
        <w:t>1、现状评价因子</w:t>
      </w:r>
    </w:p>
    <w:p>
      <w:pPr>
        <w:adjustRightInd w:val="0"/>
        <w:spacing w:line="360" w:lineRule="auto"/>
        <w:ind w:firstLine="480" w:firstLineChars="200"/>
        <w:jc w:val="left"/>
        <w:rPr>
          <w:rFonts w:hAnsi="Times New Roman" w:eastAsia="宋体"/>
          <w:szCs w:val="24"/>
        </w:rPr>
      </w:pPr>
      <w:r>
        <w:rPr>
          <w:rFonts w:hAnsi="Times New Roman" w:eastAsia="宋体"/>
          <w:szCs w:val="24"/>
        </w:rPr>
        <w:t>环境空气：NO</w:t>
      </w:r>
      <w:r>
        <w:rPr>
          <w:rFonts w:hAnsi="Times New Roman" w:eastAsia="宋体"/>
          <w:szCs w:val="24"/>
          <w:vertAlign w:val="subscript"/>
        </w:rPr>
        <w:t>2</w:t>
      </w:r>
      <w:r>
        <w:rPr>
          <w:rFonts w:hAnsi="Times New Roman" w:eastAsia="宋体"/>
          <w:szCs w:val="24"/>
        </w:rPr>
        <w:t>、SO</w:t>
      </w:r>
      <w:r>
        <w:rPr>
          <w:rFonts w:hAnsi="Times New Roman" w:eastAsia="宋体"/>
          <w:szCs w:val="24"/>
          <w:vertAlign w:val="subscript"/>
        </w:rPr>
        <w:t>2</w:t>
      </w:r>
      <w:r>
        <w:rPr>
          <w:rFonts w:hAnsi="Times New Roman" w:eastAsia="宋体"/>
          <w:szCs w:val="24"/>
        </w:rPr>
        <w:t>、PM</w:t>
      </w:r>
      <w:r>
        <w:rPr>
          <w:rFonts w:hAnsi="Times New Roman" w:eastAsia="宋体"/>
          <w:szCs w:val="24"/>
          <w:vertAlign w:val="subscript"/>
        </w:rPr>
        <w:t>10</w:t>
      </w:r>
      <w:r>
        <w:rPr>
          <w:rFonts w:hAnsi="Times New Roman" w:eastAsia="宋体"/>
          <w:szCs w:val="24"/>
        </w:rPr>
        <w:t>、PM</w:t>
      </w:r>
      <w:r>
        <w:rPr>
          <w:rFonts w:hAnsi="Times New Roman" w:eastAsia="宋体"/>
          <w:szCs w:val="24"/>
          <w:vertAlign w:val="subscript"/>
        </w:rPr>
        <w:t>2.5</w:t>
      </w:r>
      <w:r>
        <w:rPr>
          <w:rFonts w:hAnsi="Times New Roman" w:eastAsia="宋体"/>
          <w:szCs w:val="24"/>
        </w:rPr>
        <w:t>、CO、O</w:t>
      </w:r>
      <w:r>
        <w:rPr>
          <w:rFonts w:hAnsi="Times New Roman" w:eastAsia="宋体"/>
          <w:szCs w:val="24"/>
          <w:vertAlign w:val="subscript"/>
        </w:rPr>
        <w:t>3</w:t>
      </w:r>
      <w:r>
        <w:rPr>
          <w:rFonts w:hAnsi="Times New Roman" w:eastAsia="宋体"/>
          <w:szCs w:val="24"/>
        </w:rPr>
        <w:t>、TSP</w:t>
      </w:r>
    </w:p>
    <w:p>
      <w:pPr>
        <w:pStyle w:val="27"/>
        <w:spacing w:line="360" w:lineRule="auto"/>
        <w:ind w:left="0" w:leftChars="0" w:firstLine="480" w:firstLineChars="200"/>
        <w:rPr>
          <w:rFonts w:hAnsi="Times New Roman" w:eastAsia="宋体"/>
        </w:rPr>
      </w:pPr>
      <w:r>
        <w:rPr>
          <w:rFonts w:hAnsi="Times New Roman" w:eastAsia="宋体"/>
        </w:rPr>
        <w:t>地 表 水：pH、悬浮物、化学需氧量、五日生化需氧量、氨氮、溶解氧、石油类、铁、锰、氟化物、硫化物、汞、镉、六价铬、总磷、挥发酚、氰化物、铜、硒、粪大肠菌群、阴离子表面活性剂、高锰酸盐指数、铅、砷、锌、含盐量。</w:t>
      </w:r>
    </w:p>
    <w:p>
      <w:pPr>
        <w:spacing w:line="360" w:lineRule="auto"/>
        <w:ind w:firstLine="480" w:firstLineChars="200"/>
        <w:rPr>
          <w:rFonts w:hAnsi="Times New Roman" w:eastAsia="宋体"/>
          <w:szCs w:val="24"/>
        </w:rPr>
      </w:pPr>
      <w:r>
        <w:rPr>
          <w:rFonts w:hAnsi="Times New Roman" w:eastAsia="宋体"/>
          <w:szCs w:val="24"/>
        </w:rPr>
        <w:t>地 下 水：pH、氨氮、硝酸盐、亚硝酸盐、挥发性酚类、氰化物、砷、汞、铬、铬</w:t>
      </w:r>
      <w:r>
        <w:rPr>
          <w:rFonts w:hint="eastAsia" w:hAnsi="Times New Roman" w:eastAsia="宋体"/>
          <w:szCs w:val="24"/>
          <w:lang w:eastAsia="zh-CN"/>
        </w:rPr>
        <w:t>（</w:t>
      </w:r>
      <w:r>
        <w:rPr>
          <w:rFonts w:hAnsi="Times New Roman" w:eastAsia="宋体"/>
          <w:szCs w:val="24"/>
        </w:rPr>
        <w:t>六价</w:t>
      </w:r>
      <w:r>
        <w:rPr>
          <w:rFonts w:hint="eastAsia" w:hAnsi="Times New Roman" w:eastAsia="宋体"/>
          <w:szCs w:val="24"/>
          <w:lang w:eastAsia="zh-CN"/>
        </w:rPr>
        <w:t>）</w:t>
      </w:r>
      <w:r>
        <w:rPr>
          <w:rFonts w:hAnsi="Times New Roman" w:eastAsia="宋体"/>
          <w:szCs w:val="24"/>
        </w:rPr>
        <w:t>、总硬度、铅、氟化物、镉、铁、锰、溶解性总固体、高锰酸盐指数、硫酸盐、氯化物、总大肠菌群、K</w:t>
      </w:r>
      <w:r>
        <w:rPr>
          <w:rFonts w:hAnsi="Times New Roman" w:eastAsia="宋体"/>
          <w:szCs w:val="24"/>
          <w:vertAlign w:val="superscript"/>
        </w:rPr>
        <w:t>+</w:t>
      </w:r>
      <w:r>
        <w:rPr>
          <w:rFonts w:hAnsi="Times New Roman" w:eastAsia="宋体"/>
          <w:szCs w:val="24"/>
        </w:rPr>
        <w:t>、Na</w:t>
      </w:r>
      <w:r>
        <w:rPr>
          <w:rFonts w:hAnsi="Times New Roman" w:eastAsia="宋体"/>
          <w:szCs w:val="24"/>
          <w:vertAlign w:val="superscript"/>
        </w:rPr>
        <w:t>+</w:t>
      </w:r>
      <w:r>
        <w:rPr>
          <w:rFonts w:hAnsi="Times New Roman" w:eastAsia="宋体"/>
          <w:szCs w:val="24"/>
        </w:rPr>
        <w:t>、Ca</w:t>
      </w:r>
      <w:r>
        <w:rPr>
          <w:rFonts w:hAnsi="Times New Roman" w:eastAsia="宋体"/>
          <w:szCs w:val="24"/>
          <w:vertAlign w:val="superscript"/>
        </w:rPr>
        <w:t>2+</w:t>
      </w:r>
      <w:r>
        <w:rPr>
          <w:rFonts w:hAnsi="Times New Roman" w:eastAsia="宋体"/>
          <w:szCs w:val="24"/>
        </w:rPr>
        <w:t>、Mg</w:t>
      </w:r>
      <w:r>
        <w:rPr>
          <w:rFonts w:hAnsi="Times New Roman" w:eastAsia="宋体"/>
          <w:szCs w:val="24"/>
          <w:vertAlign w:val="superscript"/>
        </w:rPr>
        <w:t>2+</w:t>
      </w:r>
      <w:r>
        <w:rPr>
          <w:rFonts w:hAnsi="Times New Roman" w:eastAsia="宋体"/>
          <w:szCs w:val="24"/>
        </w:rPr>
        <w:t>、CO</w:t>
      </w:r>
      <w:r>
        <w:rPr>
          <w:rFonts w:hAnsi="Times New Roman" w:eastAsia="宋体"/>
          <w:szCs w:val="24"/>
          <w:vertAlign w:val="subscript"/>
        </w:rPr>
        <w:t>3</w:t>
      </w:r>
      <w:r>
        <w:rPr>
          <w:rFonts w:hAnsi="Times New Roman" w:eastAsia="宋体"/>
          <w:szCs w:val="24"/>
          <w:vertAlign w:val="superscript"/>
        </w:rPr>
        <w:t>2-</w:t>
      </w:r>
      <w:r>
        <w:rPr>
          <w:rFonts w:hAnsi="Times New Roman" w:eastAsia="宋体"/>
          <w:szCs w:val="24"/>
        </w:rPr>
        <w:t>、HCO</w:t>
      </w:r>
      <w:r>
        <w:rPr>
          <w:rFonts w:hAnsi="Times New Roman" w:eastAsia="宋体"/>
          <w:szCs w:val="24"/>
          <w:vertAlign w:val="subscript"/>
        </w:rPr>
        <w:t>3</w:t>
      </w:r>
      <w:r>
        <w:rPr>
          <w:rFonts w:hAnsi="Times New Roman" w:eastAsia="宋体"/>
          <w:szCs w:val="24"/>
          <w:vertAlign w:val="superscript"/>
        </w:rPr>
        <w:t>-</w:t>
      </w:r>
      <w:r>
        <w:rPr>
          <w:rFonts w:hAnsi="Times New Roman" w:eastAsia="宋体"/>
          <w:szCs w:val="24"/>
        </w:rPr>
        <w:t>、Cl</w:t>
      </w:r>
      <w:r>
        <w:rPr>
          <w:rFonts w:hAnsi="Times New Roman" w:eastAsia="宋体"/>
          <w:szCs w:val="24"/>
          <w:vertAlign w:val="superscript"/>
        </w:rPr>
        <w:t>-</w:t>
      </w:r>
      <w:r>
        <w:rPr>
          <w:rFonts w:hAnsi="Times New Roman" w:eastAsia="宋体"/>
          <w:szCs w:val="24"/>
        </w:rPr>
        <w:t>、SO</w:t>
      </w:r>
      <w:r>
        <w:rPr>
          <w:rFonts w:hAnsi="Times New Roman" w:eastAsia="宋体"/>
          <w:szCs w:val="24"/>
          <w:vertAlign w:val="subscript"/>
        </w:rPr>
        <w:t>4</w:t>
      </w:r>
      <w:r>
        <w:rPr>
          <w:rFonts w:hAnsi="Times New Roman" w:eastAsia="宋体"/>
          <w:szCs w:val="24"/>
          <w:vertAlign w:val="superscript"/>
        </w:rPr>
        <w:t>2-</w:t>
      </w:r>
      <w:r>
        <w:rPr>
          <w:rFonts w:hAnsi="Times New Roman" w:eastAsia="宋体"/>
          <w:szCs w:val="24"/>
        </w:rPr>
        <w:t>、石油类、锌。</w:t>
      </w:r>
    </w:p>
    <w:p>
      <w:pPr>
        <w:pStyle w:val="27"/>
        <w:spacing w:line="360" w:lineRule="auto"/>
        <w:ind w:left="0" w:leftChars="0" w:firstLine="480" w:firstLineChars="200"/>
        <w:rPr>
          <w:rFonts w:hAnsi="Times New Roman" w:eastAsia="宋体"/>
        </w:rPr>
      </w:pPr>
      <w:r>
        <w:rPr>
          <w:rFonts w:hAnsi="Times New Roman" w:eastAsia="宋体"/>
        </w:rPr>
        <w:t>土壤：pH、砷、镉、铬、铬（六价）、铜、铅、汞、镍、锌、四氯化碳、氯仿、氯甲烷、1,1-二氯乙烷、1,2-二氯乙烷、1,1-二氯乙烯、顺-1,2-二氯乙烯、反-1,2-二氯乙烯、 二氯甲烷、1,2-二氯丙烷、1,1,1,2-四氯乙烷、1,1,2,2-四氯乙烷、四氯乙烯、1,1,1- 三氯乙烷、1,1,2-三氯乙烷、三氯乙烯、1,2,3-三氯丙烷、氯乙烯、苯、 氯苯、1,2- 二氯苯、1,4-二氯苯、乙苯、苯乙烯、甲苯、间二甲苯+ 对二甲苯、 邻二甲苯、硝基苯、苯胺、2-氯酚、苯并[a]蒽、苯并[a]芘、苯并[b]荧蒽、䓛、苯并[k]荧蒽、二苯并[a,h]蒽、茚并[1,2,3-cd]芘、萘、六六六、滴滴涕、石油烃。</w:t>
      </w:r>
    </w:p>
    <w:p>
      <w:pPr>
        <w:pStyle w:val="27"/>
        <w:spacing w:line="360" w:lineRule="auto"/>
        <w:ind w:left="0" w:leftChars="0" w:firstLine="480" w:firstLineChars="200"/>
        <w:rPr>
          <w:rFonts w:hAnsi="Times New Roman" w:eastAsia="宋体"/>
        </w:rPr>
      </w:pPr>
      <w:r>
        <w:rPr>
          <w:rFonts w:hAnsi="Times New Roman" w:eastAsia="宋体"/>
        </w:rPr>
        <w:t>声 环 境：环境噪声。</w:t>
      </w:r>
    </w:p>
    <w:p>
      <w:pPr>
        <w:pStyle w:val="27"/>
        <w:spacing w:line="360" w:lineRule="auto"/>
        <w:ind w:left="0" w:leftChars="0" w:firstLine="480" w:firstLineChars="200"/>
        <w:rPr>
          <w:rFonts w:hAnsi="Times New Roman" w:eastAsia="宋体"/>
          <w:lang w:eastAsia="zh-CN"/>
        </w:rPr>
      </w:pPr>
      <w:r>
        <w:rPr>
          <w:rFonts w:hAnsi="Times New Roman" w:eastAsia="宋体"/>
        </w:rPr>
        <w:t>生态环境：</w:t>
      </w:r>
      <w:r>
        <w:rPr>
          <w:rFonts w:hint="eastAsia" w:hAnsi="Times New Roman" w:eastAsia="宋体"/>
        </w:rPr>
        <w:t>陆生植物、</w:t>
      </w:r>
      <w:r>
        <w:rPr>
          <w:rFonts w:hAnsi="Times New Roman" w:eastAsia="宋体"/>
        </w:rPr>
        <w:t>植被类型、</w:t>
      </w:r>
      <w:r>
        <w:rPr>
          <w:rFonts w:hint="eastAsia" w:hAnsi="Times New Roman" w:eastAsia="宋体"/>
        </w:rPr>
        <w:t>陆生动物、水生生物、</w:t>
      </w:r>
      <w:r>
        <w:rPr>
          <w:rFonts w:hAnsi="Times New Roman" w:eastAsia="宋体"/>
        </w:rPr>
        <w:t>生态系统、生物多样性</w:t>
      </w:r>
      <w:r>
        <w:rPr>
          <w:rFonts w:hint="eastAsia" w:hAnsi="Times New Roman" w:eastAsia="宋体"/>
        </w:rPr>
        <w:t>、景观、</w:t>
      </w:r>
      <w:r>
        <w:rPr>
          <w:rFonts w:hAnsi="Times New Roman" w:eastAsia="宋体"/>
        </w:rPr>
        <w:t>土地利用</w:t>
      </w:r>
      <w:r>
        <w:rPr>
          <w:rFonts w:hint="eastAsia" w:hAnsi="Times New Roman" w:eastAsia="宋体"/>
        </w:rPr>
        <w:t>等</w:t>
      </w:r>
    </w:p>
    <w:p>
      <w:pPr>
        <w:pStyle w:val="27"/>
        <w:spacing w:line="360" w:lineRule="auto"/>
        <w:ind w:left="0" w:leftChars="0" w:firstLine="480" w:firstLineChars="200"/>
        <w:rPr>
          <w:rFonts w:hAnsi="Times New Roman" w:eastAsia="宋体"/>
        </w:rPr>
      </w:pPr>
      <w:r>
        <w:rPr>
          <w:rFonts w:hAnsi="Times New Roman" w:eastAsia="宋体"/>
        </w:rPr>
        <w:t>地貌类型、植被类型及覆盖度、土地利用现状和土壤侵蚀等。</w:t>
      </w:r>
    </w:p>
    <w:p>
      <w:pPr>
        <w:adjustRightInd w:val="0"/>
        <w:spacing w:line="360" w:lineRule="auto"/>
        <w:ind w:firstLine="482" w:firstLineChars="200"/>
        <w:rPr>
          <w:rFonts w:hAnsi="Times New Roman" w:eastAsia="宋体"/>
          <w:b/>
        </w:rPr>
      </w:pPr>
      <w:r>
        <w:rPr>
          <w:rFonts w:hAnsi="Times New Roman" w:eastAsia="宋体"/>
          <w:b/>
        </w:rPr>
        <w:t>2、影响预测评价因子</w:t>
      </w:r>
    </w:p>
    <w:p>
      <w:pPr>
        <w:adjustRightInd w:val="0"/>
        <w:spacing w:line="360" w:lineRule="auto"/>
        <w:ind w:firstLine="480" w:firstLineChars="200"/>
        <w:rPr>
          <w:rFonts w:hAnsi="Times New Roman" w:eastAsia="宋体"/>
        </w:rPr>
      </w:pPr>
      <w:r>
        <w:rPr>
          <w:rFonts w:hAnsi="Times New Roman" w:eastAsia="宋体"/>
        </w:rPr>
        <w:t>环境空气：颗粒物；</w:t>
      </w:r>
    </w:p>
    <w:p>
      <w:pPr>
        <w:adjustRightInd w:val="0"/>
        <w:spacing w:line="360" w:lineRule="auto"/>
        <w:ind w:firstLine="480" w:firstLineChars="200"/>
        <w:rPr>
          <w:rFonts w:hAnsi="Times New Roman" w:eastAsia="宋体"/>
        </w:rPr>
      </w:pPr>
      <w:r>
        <w:rPr>
          <w:rFonts w:hAnsi="Times New Roman" w:eastAsia="宋体"/>
        </w:rPr>
        <w:t>地 表 水：COD</w:t>
      </w:r>
      <w:r>
        <w:rPr>
          <w:rFonts w:hAnsi="Times New Roman" w:eastAsia="宋体"/>
          <w:vertAlign w:val="subscript"/>
        </w:rPr>
        <w:t>Cr</w:t>
      </w:r>
      <w:r>
        <w:rPr>
          <w:rFonts w:hAnsi="Times New Roman" w:eastAsia="宋体"/>
        </w:rPr>
        <w:t>、NH</w:t>
      </w:r>
      <w:r>
        <w:rPr>
          <w:rFonts w:hAnsi="Times New Roman" w:eastAsia="宋体"/>
          <w:vertAlign w:val="subscript"/>
        </w:rPr>
        <w:t>3</w:t>
      </w:r>
      <w:r>
        <w:rPr>
          <w:rFonts w:hAnsi="Times New Roman" w:eastAsia="宋体"/>
        </w:rPr>
        <w:t>-N；</w:t>
      </w:r>
    </w:p>
    <w:p>
      <w:pPr>
        <w:spacing w:line="360" w:lineRule="auto"/>
        <w:ind w:firstLine="480"/>
        <w:rPr>
          <w:rFonts w:hAnsi="Times New Roman" w:eastAsia="宋体"/>
        </w:rPr>
      </w:pPr>
      <w:r>
        <w:rPr>
          <w:rFonts w:hAnsi="Times New Roman" w:eastAsia="宋体"/>
        </w:rPr>
        <w:t>地下水：</w:t>
      </w:r>
      <w:r>
        <w:rPr>
          <w:rFonts w:hint="eastAsia" w:hAnsi="Times New Roman" w:eastAsia="宋体"/>
          <w:spacing w:val="-2"/>
          <w:szCs w:val="24"/>
          <w:lang w:eastAsia="zh-CN"/>
        </w:rPr>
        <w:t>COD</w:t>
      </w:r>
      <w:r>
        <w:rPr>
          <w:rFonts w:hint="eastAsia" w:hAnsi="Times New Roman" w:eastAsia="宋体"/>
          <w:spacing w:val="-2"/>
          <w:szCs w:val="24"/>
          <w:vertAlign w:val="subscript"/>
          <w:lang w:eastAsia="zh-CN"/>
        </w:rPr>
        <w:t>Mn</w:t>
      </w:r>
      <w:r>
        <w:rPr>
          <w:rFonts w:hint="eastAsia" w:hAnsi="Times New Roman" w:eastAsia="宋体"/>
          <w:spacing w:val="-2"/>
          <w:szCs w:val="24"/>
          <w:lang w:eastAsia="zh-CN"/>
        </w:rPr>
        <w:t>、氨氮、石油类、汞</w:t>
      </w:r>
      <w:r>
        <w:rPr>
          <w:rFonts w:hAnsi="Times New Roman" w:eastAsia="宋体"/>
          <w:szCs w:val="24"/>
        </w:rPr>
        <w:t>；含水层</w:t>
      </w:r>
      <w:r>
        <w:rPr>
          <w:rFonts w:hAnsi="Times New Roman" w:eastAsia="宋体"/>
        </w:rPr>
        <w:t>：导水裂缝带；</w:t>
      </w:r>
    </w:p>
    <w:p>
      <w:pPr>
        <w:spacing w:line="360" w:lineRule="auto"/>
        <w:ind w:firstLine="480"/>
        <w:rPr>
          <w:rFonts w:hAnsi="Times New Roman" w:eastAsia="宋体"/>
        </w:rPr>
      </w:pPr>
      <w:r>
        <w:rPr>
          <w:rFonts w:hAnsi="Times New Roman" w:eastAsia="宋体"/>
        </w:rPr>
        <w:t>土壤环境：定性分析；</w:t>
      </w:r>
    </w:p>
    <w:p>
      <w:pPr>
        <w:spacing w:line="360" w:lineRule="auto"/>
        <w:ind w:firstLine="480"/>
        <w:rPr>
          <w:rFonts w:hAnsi="Times New Roman" w:eastAsia="宋体"/>
        </w:rPr>
      </w:pPr>
      <w:r>
        <w:rPr>
          <w:rFonts w:hAnsi="Times New Roman" w:eastAsia="宋体"/>
        </w:rPr>
        <w:t>声 环 境：厂界噪声、交通噪声：昼、夜等效A声级（LAeq）；</w:t>
      </w:r>
    </w:p>
    <w:p>
      <w:pPr>
        <w:spacing w:line="360" w:lineRule="auto"/>
        <w:ind w:firstLine="480"/>
        <w:rPr>
          <w:rFonts w:hAnsi="Times New Roman" w:eastAsia="宋体"/>
        </w:rPr>
      </w:pPr>
      <w:r>
        <w:rPr>
          <w:rFonts w:hAnsi="Times New Roman" w:eastAsia="宋体"/>
        </w:rPr>
        <w:t>生态环境：土地利用、</w:t>
      </w:r>
      <w:r>
        <w:rPr>
          <w:rFonts w:hint="eastAsia" w:hAnsi="Times New Roman" w:eastAsia="宋体"/>
        </w:rPr>
        <w:t>生态系统、</w:t>
      </w:r>
      <w:r>
        <w:rPr>
          <w:rFonts w:hAnsi="Times New Roman" w:eastAsia="宋体"/>
        </w:rPr>
        <w:t>植被、</w:t>
      </w:r>
      <w:r>
        <w:rPr>
          <w:rFonts w:hint="eastAsia" w:hAnsi="Times New Roman" w:eastAsia="宋体"/>
        </w:rPr>
        <w:t>生物多样性、野生动物、水生生物、景观、生态敏感区</w:t>
      </w:r>
      <w:r>
        <w:rPr>
          <w:rFonts w:hAnsi="Times New Roman" w:eastAsia="宋体"/>
        </w:rPr>
        <w:t>等；</w:t>
      </w:r>
    </w:p>
    <w:p>
      <w:pPr>
        <w:spacing w:line="360" w:lineRule="auto"/>
        <w:ind w:firstLine="480"/>
        <w:rPr>
          <w:rFonts w:hAnsi="Times New Roman" w:eastAsia="宋体"/>
        </w:rPr>
      </w:pPr>
      <w:r>
        <w:rPr>
          <w:rFonts w:hAnsi="Times New Roman" w:eastAsia="宋体"/>
        </w:rPr>
        <w:t>固体废物：矸石、生活垃圾、污泥、废机油、废蓄电池（矿灯）等。</w:t>
      </w:r>
    </w:p>
    <w:p>
      <w:pPr>
        <w:pStyle w:val="6"/>
        <w:rPr>
          <w:szCs w:val="22"/>
          <w:lang w:eastAsia="zh-CN"/>
        </w:rPr>
      </w:pPr>
      <w:bookmarkStart w:id="35" w:name="_Toc163812489"/>
      <w:bookmarkStart w:id="36" w:name="_Toc167095112"/>
      <w:r>
        <w:rPr>
          <w:szCs w:val="22"/>
          <w:lang w:eastAsia="zh-CN"/>
        </w:rPr>
        <w:t xml:space="preserve">1.5.2 </w:t>
      </w:r>
      <w:r>
        <w:rPr>
          <w:rFonts w:hint="eastAsia"/>
          <w:szCs w:val="22"/>
          <w:lang w:eastAsia="zh-CN"/>
        </w:rPr>
        <w:t>评价</w:t>
      </w:r>
      <w:r>
        <w:rPr>
          <w:szCs w:val="22"/>
          <w:lang w:eastAsia="zh-CN"/>
        </w:rPr>
        <w:t>标准</w:t>
      </w:r>
      <w:bookmarkEnd w:id="35"/>
      <w:bookmarkEnd w:id="36"/>
    </w:p>
    <w:p>
      <w:pPr>
        <w:spacing w:line="360" w:lineRule="auto"/>
        <w:rPr>
          <w:rFonts w:hAnsi="Times New Roman" w:eastAsia="宋体"/>
          <w:b/>
          <w:bCs/>
          <w:szCs w:val="22"/>
          <w:lang w:eastAsia="zh-CN"/>
        </w:rPr>
      </w:pPr>
      <w:r>
        <w:rPr>
          <w:rFonts w:hAnsi="Times New Roman" w:eastAsia="宋体"/>
          <w:b/>
          <w:bCs/>
          <w:szCs w:val="22"/>
          <w:lang w:eastAsia="zh-CN"/>
        </w:rPr>
        <w:t>1.5.2.1 环境质量标准</w:t>
      </w:r>
    </w:p>
    <w:p>
      <w:pPr>
        <w:spacing w:line="360" w:lineRule="auto"/>
        <w:ind w:firstLine="482" w:firstLineChars="200"/>
        <w:rPr>
          <w:rFonts w:hAnsi="Times New Roman" w:eastAsia="宋体"/>
          <w:b/>
          <w:bCs/>
          <w:lang w:eastAsia="zh-CN"/>
        </w:rPr>
      </w:pPr>
      <w:r>
        <w:rPr>
          <w:rFonts w:hAnsi="Times New Roman" w:eastAsia="宋体"/>
          <w:b/>
          <w:bCs/>
          <w:lang w:eastAsia="zh-CN"/>
        </w:rPr>
        <w:t>（1）环境空气</w:t>
      </w:r>
    </w:p>
    <w:p>
      <w:pPr>
        <w:spacing w:line="360" w:lineRule="auto"/>
        <w:ind w:firstLine="480" w:firstLineChars="200"/>
        <w:rPr>
          <w:rFonts w:hAnsi="Times New Roman" w:eastAsia="宋体"/>
          <w:lang w:eastAsia="zh-CN"/>
        </w:rPr>
      </w:pPr>
      <w:r>
        <w:rPr>
          <w:rFonts w:hint="eastAsia" w:hAnsi="Times New Roman" w:eastAsia="宋体"/>
          <w:lang w:eastAsia="zh-CN"/>
        </w:rPr>
        <w:t>七里峡煤矿评价范围内涉及宣汉国家森林公园观音山景区执行</w:t>
      </w:r>
      <w:r>
        <w:rPr>
          <w:rFonts w:hAnsi="Times New Roman" w:eastAsia="宋体"/>
          <w:lang w:eastAsia="zh-CN"/>
        </w:rPr>
        <w:t>《环境空气质量标准》（GB3095</w:t>
      </w:r>
      <w:r>
        <w:rPr>
          <w:rFonts w:hint="eastAsia" w:hAnsi="Times New Roman" w:eastAsia="宋体"/>
          <w:lang w:eastAsia="zh-CN"/>
        </w:rPr>
        <w:t>-</w:t>
      </w:r>
      <w:r>
        <w:rPr>
          <w:rFonts w:hAnsi="Times New Roman" w:eastAsia="宋体"/>
          <w:lang w:eastAsia="zh-CN"/>
        </w:rPr>
        <w:t>2012）及修改单中</w:t>
      </w:r>
      <w:r>
        <w:rPr>
          <w:rFonts w:hint="eastAsia" w:hAnsi="Times New Roman" w:eastAsia="宋体"/>
          <w:lang w:eastAsia="zh-CN"/>
        </w:rPr>
        <w:t>一</w:t>
      </w:r>
      <w:r>
        <w:rPr>
          <w:rFonts w:hAnsi="Times New Roman" w:eastAsia="宋体"/>
          <w:lang w:eastAsia="zh-CN"/>
        </w:rPr>
        <w:t>级标准</w:t>
      </w:r>
      <w:r>
        <w:rPr>
          <w:rFonts w:hint="eastAsia" w:hAnsi="Times New Roman" w:eastAsia="宋体"/>
          <w:lang w:eastAsia="zh-CN"/>
        </w:rPr>
        <w:t>。</w:t>
      </w:r>
    </w:p>
    <w:p>
      <w:pPr>
        <w:spacing w:line="360" w:lineRule="auto"/>
        <w:ind w:firstLine="480" w:firstLineChars="200"/>
        <w:rPr>
          <w:rFonts w:hAnsi="Times New Roman" w:eastAsia="宋体"/>
          <w:lang w:eastAsia="zh-CN"/>
        </w:rPr>
      </w:pPr>
      <w:r>
        <w:rPr>
          <w:rFonts w:hint="eastAsia" w:hAnsi="Times New Roman" w:eastAsia="宋体"/>
          <w:lang w:eastAsia="zh-CN"/>
        </w:rPr>
        <w:t>七里峡煤矿矿区范围内</w:t>
      </w:r>
      <w:r>
        <w:rPr>
          <w:rFonts w:hAnsi="Times New Roman" w:eastAsia="宋体"/>
          <w:lang w:eastAsia="zh-CN"/>
        </w:rPr>
        <w:t>执行《环境空气质量标准》（GB3095</w:t>
      </w:r>
      <w:r>
        <w:rPr>
          <w:rFonts w:hint="eastAsia" w:hAnsi="Times New Roman" w:eastAsia="宋体"/>
          <w:lang w:eastAsia="zh-CN"/>
        </w:rPr>
        <w:t>-</w:t>
      </w:r>
      <w:r>
        <w:rPr>
          <w:rFonts w:hAnsi="Times New Roman" w:eastAsia="宋体"/>
          <w:lang w:eastAsia="zh-CN"/>
        </w:rPr>
        <w:t>2012）及修改单中二级标准，见下表：</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表1.5-2 《环境空气质量标准》（GB3095</w:t>
      </w:r>
      <w:r>
        <w:rPr>
          <w:rFonts w:hint="eastAsia" w:hAnsi="Times New Roman" w:eastAsia="宋体"/>
          <w:b/>
          <w:bCs/>
          <w:sz w:val="21"/>
          <w:szCs w:val="21"/>
          <w:lang w:eastAsia="zh-CN"/>
        </w:rPr>
        <w:t>-</w:t>
      </w:r>
      <w:r>
        <w:rPr>
          <w:rFonts w:hAnsi="Times New Roman" w:eastAsia="宋体"/>
          <w:b/>
          <w:bCs/>
          <w:sz w:val="21"/>
          <w:szCs w:val="21"/>
          <w:lang w:eastAsia="zh-CN"/>
        </w:rPr>
        <w:t>2012）及修改单</w:t>
      </w:r>
    </w:p>
    <w:tbl>
      <w:tblPr>
        <w:tblStyle w:val="33"/>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7"/>
        <w:gridCol w:w="1940"/>
        <w:gridCol w:w="1248"/>
        <w:gridCol w:w="1248"/>
        <w:gridCol w:w="1248"/>
        <w:gridCol w:w="1248"/>
        <w:gridCol w:w="12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620"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环境要素</w:t>
            </w:r>
          </w:p>
        </w:tc>
        <w:tc>
          <w:tcPr>
            <w:tcW w:w="1039"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标准名称及级别</w:t>
            </w:r>
          </w:p>
        </w:tc>
        <w:tc>
          <w:tcPr>
            <w:tcW w:w="668"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污染物项目</w:t>
            </w:r>
          </w:p>
        </w:tc>
        <w:tc>
          <w:tcPr>
            <w:tcW w:w="668"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平均时间</w:t>
            </w:r>
          </w:p>
        </w:tc>
        <w:tc>
          <w:tcPr>
            <w:tcW w:w="1336" w:type="pct"/>
            <w:gridSpan w:val="2"/>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浓度限值</w:t>
            </w:r>
          </w:p>
        </w:tc>
        <w:tc>
          <w:tcPr>
            <w:tcW w:w="668"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620"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p>
        </w:tc>
        <w:tc>
          <w:tcPr>
            <w:tcW w:w="1039"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p>
        </w:tc>
        <w:tc>
          <w:tcPr>
            <w:tcW w:w="668"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p>
        </w:tc>
        <w:tc>
          <w:tcPr>
            <w:tcW w:w="668"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p>
        </w:tc>
        <w:tc>
          <w:tcPr>
            <w:tcW w:w="668"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一级</w:t>
            </w:r>
          </w:p>
        </w:tc>
        <w:tc>
          <w:tcPr>
            <w:tcW w:w="668"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二级</w:t>
            </w:r>
          </w:p>
        </w:tc>
        <w:tc>
          <w:tcPr>
            <w:tcW w:w="668"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0"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环境空气</w:t>
            </w:r>
          </w:p>
        </w:tc>
        <w:tc>
          <w:tcPr>
            <w:tcW w:w="1039"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《环境空气质量标准》（GB3095-2012）</w:t>
            </w:r>
          </w:p>
        </w:tc>
        <w:tc>
          <w:tcPr>
            <w:tcW w:w="668"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SO</w:t>
            </w:r>
            <w:r>
              <w:rPr>
                <w:rFonts w:hint="eastAsia" w:hAnsi="Times New Roman" w:eastAsia="宋体"/>
                <w:kern w:val="2"/>
                <w:sz w:val="21"/>
                <w:szCs w:val="21"/>
                <w:vertAlign w:val="subscript"/>
              </w:rPr>
              <w:t>2</w:t>
            </w:r>
          </w:p>
        </w:tc>
        <w:tc>
          <w:tcPr>
            <w:tcW w:w="66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年平均</w:t>
            </w:r>
          </w:p>
        </w:tc>
        <w:tc>
          <w:tcPr>
            <w:tcW w:w="66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20</w:t>
            </w:r>
          </w:p>
        </w:tc>
        <w:tc>
          <w:tcPr>
            <w:tcW w:w="66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60</w:t>
            </w:r>
          </w:p>
        </w:tc>
        <w:tc>
          <w:tcPr>
            <w:tcW w:w="668"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shd w:val="clear" w:color="auto" w:fill="FFFFFF"/>
              </w:rPr>
              <w:t>μ</w:t>
            </w:r>
            <w:r>
              <w:rPr>
                <w:rFonts w:hint="eastAsia" w:hAnsi="Times New Roman" w:eastAsia="宋体"/>
                <w:kern w:val="2"/>
                <w:sz w:val="21"/>
                <w:szCs w:val="21"/>
              </w:rPr>
              <w:t>g/m</w:t>
            </w:r>
            <w:r>
              <w:rPr>
                <w:rFonts w:hint="eastAsia" w:hAnsi="Times New Roman" w:eastAsia="宋体"/>
                <w:kern w:val="2"/>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0"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039"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668"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66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24h平均</w:t>
            </w:r>
          </w:p>
        </w:tc>
        <w:tc>
          <w:tcPr>
            <w:tcW w:w="66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50</w:t>
            </w:r>
          </w:p>
        </w:tc>
        <w:tc>
          <w:tcPr>
            <w:tcW w:w="66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150</w:t>
            </w:r>
          </w:p>
        </w:tc>
        <w:tc>
          <w:tcPr>
            <w:tcW w:w="668"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0"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039"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668"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66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1h平均</w:t>
            </w:r>
          </w:p>
        </w:tc>
        <w:tc>
          <w:tcPr>
            <w:tcW w:w="66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150</w:t>
            </w:r>
          </w:p>
        </w:tc>
        <w:tc>
          <w:tcPr>
            <w:tcW w:w="66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500</w:t>
            </w:r>
          </w:p>
        </w:tc>
        <w:tc>
          <w:tcPr>
            <w:tcW w:w="668"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0"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039"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668"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NO</w:t>
            </w:r>
            <w:r>
              <w:rPr>
                <w:rFonts w:hint="eastAsia" w:hAnsi="Times New Roman" w:eastAsia="宋体"/>
                <w:kern w:val="2"/>
                <w:sz w:val="21"/>
                <w:szCs w:val="21"/>
                <w:vertAlign w:val="subscript"/>
              </w:rPr>
              <w:t>2</w:t>
            </w:r>
          </w:p>
        </w:tc>
        <w:tc>
          <w:tcPr>
            <w:tcW w:w="66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年平均</w:t>
            </w:r>
          </w:p>
        </w:tc>
        <w:tc>
          <w:tcPr>
            <w:tcW w:w="66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40</w:t>
            </w:r>
          </w:p>
        </w:tc>
        <w:tc>
          <w:tcPr>
            <w:tcW w:w="66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40</w:t>
            </w:r>
          </w:p>
        </w:tc>
        <w:tc>
          <w:tcPr>
            <w:tcW w:w="668"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shd w:val="clear" w:color="auto" w:fill="FFFFFF"/>
              </w:rPr>
              <w:t>μ</w:t>
            </w:r>
            <w:r>
              <w:rPr>
                <w:rFonts w:hint="eastAsia" w:hAnsi="Times New Roman" w:eastAsia="宋体"/>
                <w:kern w:val="2"/>
                <w:sz w:val="21"/>
                <w:szCs w:val="21"/>
              </w:rPr>
              <w:t>g/m</w:t>
            </w:r>
            <w:r>
              <w:rPr>
                <w:rFonts w:hint="eastAsia" w:hAnsi="Times New Roman" w:eastAsia="宋体"/>
                <w:kern w:val="2"/>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0"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039"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668"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66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24h平均</w:t>
            </w:r>
          </w:p>
        </w:tc>
        <w:tc>
          <w:tcPr>
            <w:tcW w:w="66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80</w:t>
            </w:r>
          </w:p>
        </w:tc>
        <w:tc>
          <w:tcPr>
            <w:tcW w:w="66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80</w:t>
            </w:r>
          </w:p>
        </w:tc>
        <w:tc>
          <w:tcPr>
            <w:tcW w:w="668"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0"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039"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668"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66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1h平均</w:t>
            </w:r>
          </w:p>
        </w:tc>
        <w:tc>
          <w:tcPr>
            <w:tcW w:w="66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200</w:t>
            </w:r>
          </w:p>
        </w:tc>
        <w:tc>
          <w:tcPr>
            <w:tcW w:w="66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200</w:t>
            </w:r>
          </w:p>
        </w:tc>
        <w:tc>
          <w:tcPr>
            <w:tcW w:w="668"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0"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039"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668"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CO</w:t>
            </w:r>
          </w:p>
        </w:tc>
        <w:tc>
          <w:tcPr>
            <w:tcW w:w="66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24h平均</w:t>
            </w:r>
          </w:p>
        </w:tc>
        <w:tc>
          <w:tcPr>
            <w:tcW w:w="66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4</w:t>
            </w:r>
          </w:p>
        </w:tc>
        <w:tc>
          <w:tcPr>
            <w:tcW w:w="66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4</w:t>
            </w:r>
          </w:p>
        </w:tc>
        <w:tc>
          <w:tcPr>
            <w:tcW w:w="668"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shd w:val="clear" w:color="auto" w:fill="FFFFFF"/>
              </w:rPr>
              <w:t>m</w:t>
            </w:r>
            <w:r>
              <w:rPr>
                <w:rFonts w:hint="eastAsia" w:hAnsi="Times New Roman" w:eastAsia="宋体"/>
                <w:kern w:val="2"/>
                <w:sz w:val="21"/>
                <w:szCs w:val="21"/>
              </w:rPr>
              <w:t>g/m</w:t>
            </w:r>
            <w:r>
              <w:rPr>
                <w:rFonts w:hint="eastAsia" w:hAnsi="Times New Roman" w:eastAsia="宋体"/>
                <w:kern w:val="2"/>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0"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039"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668"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66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1h平均</w:t>
            </w:r>
          </w:p>
        </w:tc>
        <w:tc>
          <w:tcPr>
            <w:tcW w:w="66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10</w:t>
            </w:r>
          </w:p>
        </w:tc>
        <w:tc>
          <w:tcPr>
            <w:tcW w:w="66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10</w:t>
            </w:r>
          </w:p>
        </w:tc>
        <w:tc>
          <w:tcPr>
            <w:tcW w:w="668"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0"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039"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668"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O</w:t>
            </w:r>
            <w:r>
              <w:rPr>
                <w:rFonts w:hint="eastAsia" w:hAnsi="Times New Roman" w:eastAsia="宋体"/>
                <w:kern w:val="2"/>
                <w:sz w:val="21"/>
                <w:szCs w:val="21"/>
                <w:vertAlign w:val="subscript"/>
              </w:rPr>
              <w:t>3</w:t>
            </w:r>
          </w:p>
        </w:tc>
        <w:tc>
          <w:tcPr>
            <w:tcW w:w="66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日最大8h平均</w:t>
            </w:r>
          </w:p>
        </w:tc>
        <w:tc>
          <w:tcPr>
            <w:tcW w:w="66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100</w:t>
            </w:r>
          </w:p>
        </w:tc>
        <w:tc>
          <w:tcPr>
            <w:tcW w:w="66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160</w:t>
            </w:r>
          </w:p>
        </w:tc>
        <w:tc>
          <w:tcPr>
            <w:tcW w:w="668"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shd w:val="clear" w:color="auto" w:fill="FFFFFF"/>
              </w:rPr>
              <w:t>μ</w:t>
            </w:r>
            <w:r>
              <w:rPr>
                <w:rFonts w:hint="eastAsia" w:hAnsi="Times New Roman" w:eastAsia="宋体"/>
                <w:kern w:val="2"/>
                <w:sz w:val="21"/>
                <w:szCs w:val="21"/>
              </w:rPr>
              <w:t>g/m</w:t>
            </w:r>
            <w:r>
              <w:rPr>
                <w:rFonts w:hint="eastAsia" w:hAnsi="Times New Roman" w:eastAsia="宋体"/>
                <w:kern w:val="2"/>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0"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039"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668"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66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1h平均</w:t>
            </w:r>
          </w:p>
        </w:tc>
        <w:tc>
          <w:tcPr>
            <w:tcW w:w="66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160</w:t>
            </w:r>
          </w:p>
        </w:tc>
        <w:tc>
          <w:tcPr>
            <w:tcW w:w="66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200</w:t>
            </w:r>
          </w:p>
        </w:tc>
        <w:tc>
          <w:tcPr>
            <w:tcW w:w="668"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0"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039"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668"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PM</w:t>
            </w:r>
            <w:r>
              <w:rPr>
                <w:rFonts w:hint="eastAsia" w:hAnsi="Times New Roman" w:eastAsia="宋体"/>
                <w:kern w:val="2"/>
                <w:sz w:val="21"/>
                <w:szCs w:val="21"/>
                <w:vertAlign w:val="subscript"/>
              </w:rPr>
              <w:t>10</w:t>
            </w:r>
          </w:p>
        </w:tc>
        <w:tc>
          <w:tcPr>
            <w:tcW w:w="66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年平均</w:t>
            </w:r>
          </w:p>
        </w:tc>
        <w:tc>
          <w:tcPr>
            <w:tcW w:w="66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40</w:t>
            </w:r>
          </w:p>
        </w:tc>
        <w:tc>
          <w:tcPr>
            <w:tcW w:w="66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70</w:t>
            </w:r>
          </w:p>
        </w:tc>
        <w:tc>
          <w:tcPr>
            <w:tcW w:w="668"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shd w:val="clear" w:color="auto" w:fill="FFFFFF"/>
              </w:rPr>
              <w:t>μ</w:t>
            </w:r>
            <w:r>
              <w:rPr>
                <w:rFonts w:hint="eastAsia" w:hAnsi="Times New Roman" w:eastAsia="宋体"/>
                <w:kern w:val="2"/>
                <w:sz w:val="21"/>
                <w:szCs w:val="21"/>
              </w:rPr>
              <w:t>g/m</w:t>
            </w:r>
            <w:r>
              <w:rPr>
                <w:rFonts w:hint="eastAsia" w:hAnsi="Times New Roman" w:eastAsia="宋体"/>
                <w:kern w:val="2"/>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0"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039"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668"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66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24h平均</w:t>
            </w:r>
          </w:p>
        </w:tc>
        <w:tc>
          <w:tcPr>
            <w:tcW w:w="66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50</w:t>
            </w:r>
          </w:p>
        </w:tc>
        <w:tc>
          <w:tcPr>
            <w:tcW w:w="66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150</w:t>
            </w:r>
          </w:p>
        </w:tc>
        <w:tc>
          <w:tcPr>
            <w:tcW w:w="668"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0"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039"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668"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PM</w:t>
            </w:r>
            <w:r>
              <w:rPr>
                <w:rFonts w:hint="eastAsia" w:hAnsi="Times New Roman" w:eastAsia="宋体"/>
                <w:kern w:val="2"/>
                <w:sz w:val="21"/>
                <w:szCs w:val="21"/>
                <w:vertAlign w:val="subscript"/>
              </w:rPr>
              <w:t>2.5</w:t>
            </w:r>
          </w:p>
        </w:tc>
        <w:tc>
          <w:tcPr>
            <w:tcW w:w="66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年平均</w:t>
            </w:r>
          </w:p>
        </w:tc>
        <w:tc>
          <w:tcPr>
            <w:tcW w:w="66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15</w:t>
            </w:r>
          </w:p>
        </w:tc>
        <w:tc>
          <w:tcPr>
            <w:tcW w:w="66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35</w:t>
            </w:r>
          </w:p>
        </w:tc>
        <w:tc>
          <w:tcPr>
            <w:tcW w:w="668"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shd w:val="clear" w:color="auto" w:fill="FFFFFF"/>
              </w:rPr>
              <w:t>μ</w:t>
            </w:r>
            <w:r>
              <w:rPr>
                <w:rFonts w:hint="eastAsia" w:hAnsi="Times New Roman" w:eastAsia="宋体"/>
                <w:kern w:val="2"/>
                <w:sz w:val="21"/>
                <w:szCs w:val="21"/>
              </w:rPr>
              <w:t>g/m</w:t>
            </w:r>
            <w:r>
              <w:rPr>
                <w:rFonts w:hint="eastAsia" w:hAnsi="Times New Roman" w:eastAsia="宋体"/>
                <w:kern w:val="2"/>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0"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039"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668"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66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24h平均</w:t>
            </w:r>
          </w:p>
        </w:tc>
        <w:tc>
          <w:tcPr>
            <w:tcW w:w="66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35</w:t>
            </w:r>
          </w:p>
        </w:tc>
        <w:tc>
          <w:tcPr>
            <w:tcW w:w="66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75</w:t>
            </w:r>
          </w:p>
        </w:tc>
        <w:tc>
          <w:tcPr>
            <w:tcW w:w="668"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0"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039"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668"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TSP</w:t>
            </w:r>
          </w:p>
        </w:tc>
        <w:tc>
          <w:tcPr>
            <w:tcW w:w="66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年平均</w:t>
            </w:r>
          </w:p>
        </w:tc>
        <w:tc>
          <w:tcPr>
            <w:tcW w:w="66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80</w:t>
            </w:r>
          </w:p>
        </w:tc>
        <w:tc>
          <w:tcPr>
            <w:tcW w:w="66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200</w:t>
            </w:r>
          </w:p>
        </w:tc>
        <w:tc>
          <w:tcPr>
            <w:tcW w:w="668"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shd w:val="clear" w:color="auto" w:fill="FFFFFF"/>
              </w:rPr>
              <w:t>μ</w:t>
            </w:r>
            <w:r>
              <w:rPr>
                <w:rFonts w:hint="eastAsia" w:hAnsi="Times New Roman" w:eastAsia="宋体"/>
                <w:kern w:val="2"/>
                <w:sz w:val="21"/>
                <w:szCs w:val="21"/>
              </w:rPr>
              <w:t>g/m</w:t>
            </w:r>
            <w:r>
              <w:rPr>
                <w:rFonts w:hint="eastAsia" w:hAnsi="Times New Roman" w:eastAsia="宋体"/>
                <w:kern w:val="2"/>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0"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039"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668"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66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24h平均</w:t>
            </w:r>
          </w:p>
        </w:tc>
        <w:tc>
          <w:tcPr>
            <w:tcW w:w="66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120</w:t>
            </w:r>
          </w:p>
        </w:tc>
        <w:tc>
          <w:tcPr>
            <w:tcW w:w="66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300</w:t>
            </w:r>
          </w:p>
        </w:tc>
        <w:tc>
          <w:tcPr>
            <w:tcW w:w="668"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bl>
    <w:p>
      <w:pPr>
        <w:spacing w:line="360" w:lineRule="auto"/>
        <w:ind w:firstLine="482" w:firstLineChars="200"/>
        <w:rPr>
          <w:rFonts w:hAnsi="Times New Roman" w:eastAsia="宋体"/>
          <w:b/>
          <w:bCs/>
          <w:lang w:eastAsia="zh-CN"/>
        </w:rPr>
      </w:pPr>
      <w:r>
        <w:rPr>
          <w:rFonts w:hAnsi="Times New Roman" w:eastAsia="宋体"/>
          <w:b/>
          <w:bCs/>
          <w:lang w:eastAsia="zh-CN"/>
        </w:rPr>
        <w:t>（2）地表水环境</w:t>
      </w:r>
    </w:p>
    <w:p>
      <w:pPr>
        <w:spacing w:line="360" w:lineRule="auto"/>
        <w:ind w:firstLine="480" w:firstLineChars="200"/>
        <w:rPr>
          <w:rFonts w:hAnsi="Times New Roman" w:eastAsia="宋体"/>
          <w:lang w:eastAsia="zh-CN"/>
        </w:rPr>
      </w:pPr>
      <w:r>
        <w:rPr>
          <w:rFonts w:hAnsi="Times New Roman" w:eastAsia="宋体"/>
          <w:lang w:eastAsia="zh-CN"/>
        </w:rPr>
        <w:t>执行《地表水环境质量标准》（GB3838</w:t>
      </w:r>
      <w:r>
        <w:rPr>
          <w:rFonts w:hint="eastAsia" w:hAnsi="Times New Roman" w:eastAsia="宋体"/>
          <w:lang w:eastAsia="zh-CN"/>
        </w:rPr>
        <w:t>-</w:t>
      </w:r>
      <w:r>
        <w:rPr>
          <w:rFonts w:hAnsi="Times New Roman" w:eastAsia="宋体"/>
          <w:lang w:eastAsia="zh-CN"/>
        </w:rPr>
        <w:t>2002）的Ⅲ类水域标准，详见下表：</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表1.5-3 《地表水环境质量标准》（GB3838</w:t>
      </w:r>
      <w:r>
        <w:rPr>
          <w:rFonts w:hint="eastAsia" w:hAnsi="Times New Roman" w:eastAsia="宋体"/>
          <w:b/>
          <w:bCs/>
          <w:sz w:val="21"/>
          <w:szCs w:val="21"/>
          <w:lang w:eastAsia="zh-CN"/>
        </w:rPr>
        <w:t>-</w:t>
      </w:r>
      <w:r>
        <w:rPr>
          <w:rFonts w:hAnsi="Times New Roman" w:eastAsia="宋体"/>
          <w:b/>
          <w:bCs/>
          <w:sz w:val="21"/>
          <w:szCs w:val="21"/>
          <w:lang w:eastAsia="zh-CN"/>
        </w:rPr>
        <w:t>2002）Ⅲ类标准</w:t>
      </w:r>
      <w:r>
        <w:rPr>
          <w:rFonts w:hint="eastAsia" w:hAnsi="Times New Roman" w:eastAsia="宋体"/>
          <w:b/>
          <w:bCs/>
          <w:sz w:val="21"/>
          <w:szCs w:val="21"/>
          <w:lang w:eastAsia="zh-CN"/>
        </w:rPr>
        <w:t>限值</w:t>
      </w: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06"/>
        <w:gridCol w:w="1875"/>
        <w:gridCol w:w="2290"/>
        <w:gridCol w:w="1858"/>
        <w:gridCol w:w="18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406" w:type="dxa"/>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环境要素</w:t>
            </w:r>
          </w:p>
        </w:tc>
        <w:tc>
          <w:tcPr>
            <w:tcW w:w="1875" w:type="dxa"/>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标准名称及级别</w:t>
            </w:r>
          </w:p>
        </w:tc>
        <w:tc>
          <w:tcPr>
            <w:tcW w:w="2290" w:type="dxa"/>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项目</w:t>
            </w:r>
          </w:p>
        </w:tc>
        <w:tc>
          <w:tcPr>
            <w:tcW w:w="3716" w:type="dxa"/>
            <w:gridSpan w:val="2"/>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tblHeader/>
        </w:trPr>
        <w:tc>
          <w:tcPr>
            <w:tcW w:w="1406"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p>
        </w:tc>
        <w:tc>
          <w:tcPr>
            <w:tcW w:w="1875"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p>
        </w:tc>
        <w:tc>
          <w:tcPr>
            <w:tcW w:w="2290"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p>
        </w:tc>
        <w:tc>
          <w:tcPr>
            <w:tcW w:w="1858"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单位</w:t>
            </w:r>
          </w:p>
        </w:tc>
        <w:tc>
          <w:tcPr>
            <w:tcW w:w="1858"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数值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6" w:type="dxa"/>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地表水环境</w:t>
            </w:r>
          </w:p>
        </w:tc>
        <w:tc>
          <w:tcPr>
            <w:tcW w:w="1875" w:type="dxa"/>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《地表水环境质量标准》（GB3838-2002）Ⅲ类水域标准</w:t>
            </w:r>
          </w:p>
        </w:tc>
        <w:tc>
          <w:tcPr>
            <w:tcW w:w="229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pH</w:t>
            </w:r>
          </w:p>
        </w:tc>
        <w:tc>
          <w:tcPr>
            <w:tcW w:w="185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无量纲</w:t>
            </w:r>
          </w:p>
        </w:tc>
        <w:tc>
          <w:tcPr>
            <w:tcW w:w="185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406"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875"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229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COD</w:t>
            </w:r>
          </w:p>
        </w:tc>
        <w:tc>
          <w:tcPr>
            <w:tcW w:w="1858" w:type="dxa"/>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bCs/>
                <w:kern w:val="2"/>
                <w:sz w:val="21"/>
                <w:szCs w:val="21"/>
              </w:rPr>
              <w:t>mg/L</w:t>
            </w:r>
          </w:p>
        </w:tc>
        <w:tc>
          <w:tcPr>
            <w:tcW w:w="185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6"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875"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229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BOD</w:t>
            </w:r>
            <w:r>
              <w:rPr>
                <w:rFonts w:hint="eastAsia" w:hAnsi="Times New Roman" w:eastAsia="宋体"/>
                <w:kern w:val="2"/>
                <w:sz w:val="21"/>
                <w:szCs w:val="21"/>
                <w:vertAlign w:val="subscript"/>
              </w:rPr>
              <w:t>5</w:t>
            </w:r>
          </w:p>
        </w:tc>
        <w:tc>
          <w:tcPr>
            <w:tcW w:w="1858"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85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6"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875"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229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NH</w:t>
            </w:r>
            <w:r>
              <w:rPr>
                <w:rFonts w:hint="eastAsia" w:hAnsi="Times New Roman" w:eastAsia="宋体"/>
                <w:kern w:val="2"/>
                <w:sz w:val="21"/>
                <w:szCs w:val="21"/>
                <w:vertAlign w:val="subscript"/>
              </w:rPr>
              <w:t>3</w:t>
            </w:r>
            <w:r>
              <w:rPr>
                <w:rFonts w:hint="eastAsia" w:hAnsi="Times New Roman" w:eastAsia="宋体"/>
                <w:kern w:val="2"/>
                <w:sz w:val="21"/>
                <w:szCs w:val="21"/>
              </w:rPr>
              <w:t>-N</w:t>
            </w:r>
          </w:p>
        </w:tc>
        <w:tc>
          <w:tcPr>
            <w:tcW w:w="1858"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85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6"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875"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229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石油类</w:t>
            </w:r>
          </w:p>
        </w:tc>
        <w:tc>
          <w:tcPr>
            <w:tcW w:w="1858"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85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6"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875"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229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氟化物</w:t>
            </w:r>
          </w:p>
        </w:tc>
        <w:tc>
          <w:tcPr>
            <w:tcW w:w="1858"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85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6"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875"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229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硫化物</w:t>
            </w:r>
          </w:p>
        </w:tc>
        <w:tc>
          <w:tcPr>
            <w:tcW w:w="1858"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85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6"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875"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229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砷</w:t>
            </w:r>
          </w:p>
        </w:tc>
        <w:tc>
          <w:tcPr>
            <w:tcW w:w="1858"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85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6"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875"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229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汞</w:t>
            </w:r>
          </w:p>
        </w:tc>
        <w:tc>
          <w:tcPr>
            <w:tcW w:w="1858"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85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6"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875"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229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锰</w:t>
            </w:r>
          </w:p>
        </w:tc>
        <w:tc>
          <w:tcPr>
            <w:tcW w:w="1858"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85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6"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875"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229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铁</w:t>
            </w:r>
          </w:p>
        </w:tc>
        <w:tc>
          <w:tcPr>
            <w:tcW w:w="1858"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85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6"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875"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229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铅</w:t>
            </w:r>
          </w:p>
        </w:tc>
        <w:tc>
          <w:tcPr>
            <w:tcW w:w="1858"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85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6"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875"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229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锌</w:t>
            </w:r>
          </w:p>
        </w:tc>
        <w:tc>
          <w:tcPr>
            <w:tcW w:w="1858"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85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6"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875"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229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挥发酚</w:t>
            </w:r>
          </w:p>
        </w:tc>
        <w:tc>
          <w:tcPr>
            <w:tcW w:w="1858"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85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6"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875"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229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阴离子表面活性剂</w:t>
            </w:r>
          </w:p>
        </w:tc>
        <w:tc>
          <w:tcPr>
            <w:tcW w:w="1858"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85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6"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875"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229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粪大肠菌群</w:t>
            </w:r>
          </w:p>
        </w:tc>
        <w:tc>
          <w:tcPr>
            <w:tcW w:w="185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个/L</w:t>
            </w:r>
          </w:p>
        </w:tc>
        <w:tc>
          <w:tcPr>
            <w:tcW w:w="185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10000</w:t>
            </w:r>
          </w:p>
        </w:tc>
      </w:tr>
    </w:tbl>
    <w:p>
      <w:pPr>
        <w:spacing w:line="360" w:lineRule="auto"/>
        <w:ind w:firstLine="482" w:firstLineChars="200"/>
        <w:rPr>
          <w:rFonts w:hAnsi="Times New Roman" w:eastAsia="宋体"/>
          <w:b/>
          <w:bCs/>
          <w:lang w:eastAsia="zh-CN"/>
        </w:rPr>
      </w:pPr>
      <w:r>
        <w:rPr>
          <w:rFonts w:hAnsi="Times New Roman" w:eastAsia="宋体"/>
          <w:b/>
          <w:bCs/>
          <w:lang w:eastAsia="zh-CN"/>
        </w:rPr>
        <w:t>（3）地下水</w:t>
      </w:r>
    </w:p>
    <w:p>
      <w:pPr>
        <w:spacing w:line="360" w:lineRule="auto"/>
        <w:ind w:firstLine="480" w:firstLineChars="200"/>
        <w:rPr>
          <w:rFonts w:hAnsi="Times New Roman" w:eastAsia="宋体"/>
          <w:lang w:eastAsia="zh-CN"/>
        </w:rPr>
      </w:pPr>
      <w:r>
        <w:rPr>
          <w:rFonts w:hAnsi="Times New Roman" w:eastAsia="宋体"/>
          <w:lang w:eastAsia="zh-CN"/>
        </w:rPr>
        <w:t>执行《地下水质量标准》（GB/T14848</w:t>
      </w:r>
      <w:r>
        <w:rPr>
          <w:rFonts w:hint="eastAsia" w:hAnsi="Times New Roman" w:eastAsia="宋体"/>
          <w:lang w:eastAsia="zh-CN"/>
        </w:rPr>
        <w:t>-</w:t>
      </w:r>
      <w:r>
        <w:rPr>
          <w:rFonts w:hAnsi="Times New Roman" w:eastAsia="宋体"/>
          <w:lang w:eastAsia="zh-CN"/>
        </w:rPr>
        <w:t>2017）Ⅲ类标准，详见下表：</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表1.5-4 《地下水质量标准》（GB/T14848</w:t>
      </w:r>
      <w:r>
        <w:rPr>
          <w:rFonts w:hint="eastAsia" w:hAnsi="Times New Roman" w:eastAsia="宋体"/>
          <w:b/>
          <w:bCs/>
          <w:sz w:val="21"/>
          <w:szCs w:val="21"/>
          <w:lang w:eastAsia="zh-CN"/>
        </w:rPr>
        <w:t>-</w:t>
      </w:r>
      <w:r>
        <w:rPr>
          <w:rFonts w:hAnsi="Times New Roman" w:eastAsia="宋体"/>
          <w:b/>
          <w:bCs/>
          <w:sz w:val="21"/>
          <w:szCs w:val="21"/>
          <w:lang w:eastAsia="zh-CN"/>
        </w:rPr>
        <w:t>2017） 单位：mg/L，pH 无量纲</w:t>
      </w:r>
    </w:p>
    <w:tbl>
      <w:tblPr>
        <w:tblStyle w:val="33"/>
        <w:tblW w:w="93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43"/>
        <w:gridCol w:w="2344"/>
        <w:gridCol w:w="2345"/>
        <w:gridCol w:w="23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blHeader/>
          <w:jc w:val="center"/>
        </w:trPr>
        <w:tc>
          <w:tcPr>
            <w:tcW w:w="2343"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指标</w:t>
            </w:r>
          </w:p>
        </w:tc>
        <w:tc>
          <w:tcPr>
            <w:tcW w:w="2344"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Ⅲ类标准</w:t>
            </w:r>
            <w:r>
              <w:rPr>
                <w:rFonts w:hint="eastAsia" w:hAnsi="Times New Roman" w:eastAsia="宋体"/>
                <w:b/>
                <w:bCs/>
                <w:kern w:val="2"/>
                <w:sz w:val="21"/>
                <w:szCs w:val="21"/>
                <w:lang w:eastAsia="zh-CN"/>
              </w:rPr>
              <w:t>限</w:t>
            </w:r>
            <w:r>
              <w:rPr>
                <w:rFonts w:hint="eastAsia" w:hAnsi="Times New Roman" w:eastAsia="宋体"/>
                <w:b/>
                <w:bCs/>
                <w:kern w:val="2"/>
                <w:sz w:val="21"/>
                <w:szCs w:val="21"/>
              </w:rPr>
              <w:t>值</w:t>
            </w:r>
          </w:p>
        </w:tc>
        <w:tc>
          <w:tcPr>
            <w:tcW w:w="2345"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指标</w:t>
            </w:r>
          </w:p>
        </w:tc>
        <w:tc>
          <w:tcPr>
            <w:tcW w:w="2348"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Ⅲ类标准</w:t>
            </w:r>
            <w:r>
              <w:rPr>
                <w:rFonts w:hint="eastAsia" w:hAnsi="Times New Roman" w:eastAsia="宋体"/>
                <w:b/>
                <w:bCs/>
                <w:kern w:val="2"/>
                <w:sz w:val="21"/>
                <w:szCs w:val="21"/>
                <w:lang w:eastAsia="zh-CN"/>
              </w:rPr>
              <w:t>限</w:t>
            </w:r>
            <w:r>
              <w:rPr>
                <w:rFonts w:hint="eastAsia" w:hAnsi="Times New Roman" w:eastAsia="宋体"/>
                <w:b/>
                <w:bCs/>
                <w:kern w:val="2"/>
                <w:sz w:val="21"/>
                <w:szCs w:val="21"/>
              </w:rPr>
              <w:t>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343"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pH（无量纲）</w:t>
            </w:r>
          </w:p>
        </w:tc>
        <w:tc>
          <w:tcPr>
            <w:tcW w:w="2344"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6.5～8.5</w:t>
            </w:r>
          </w:p>
        </w:tc>
        <w:tc>
          <w:tcPr>
            <w:tcW w:w="2345"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耗氧量</w:t>
            </w:r>
          </w:p>
        </w:tc>
        <w:tc>
          <w:tcPr>
            <w:tcW w:w="2348"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w:t>
            </w:r>
            <w:r>
              <w:rPr>
                <w:rFonts w:hint="eastAsia" w:hAnsi="Times New Roman" w:eastAsia="宋体"/>
                <w:kern w:val="2"/>
                <w:sz w:val="21"/>
                <w:szCs w:val="21"/>
                <w:lang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343"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六价铬</w:t>
            </w:r>
          </w:p>
        </w:tc>
        <w:tc>
          <w:tcPr>
            <w:tcW w:w="2344"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≤0.</w:t>
            </w:r>
            <w:r>
              <w:rPr>
                <w:rFonts w:hint="eastAsia" w:hAnsi="Times New Roman" w:eastAsia="宋体"/>
                <w:kern w:val="2"/>
                <w:sz w:val="21"/>
                <w:szCs w:val="21"/>
                <w:lang w:eastAsia="zh-CN"/>
              </w:rPr>
              <w:t>0</w:t>
            </w:r>
            <w:r>
              <w:rPr>
                <w:rFonts w:hint="eastAsia" w:hAnsi="Times New Roman" w:eastAsia="宋体"/>
                <w:kern w:val="2"/>
                <w:sz w:val="21"/>
                <w:szCs w:val="21"/>
              </w:rPr>
              <w:t>5</w:t>
            </w:r>
          </w:p>
        </w:tc>
        <w:tc>
          <w:tcPr>
            <w:tcW w:w="2345"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硫化物</w:t>
            </w:r>
          </w:p>
        </w:tc>
        <w:tc>
          <w:tcPr>
            <w:tcW w:w="2348"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r>
              <w:rPr>
                <w:rFonts w:hint="eastAsia" w:hAnsi="Times New Roman" w:eastAsia="宋体"/>
                <w:kern w:val="2"/>
                <w:sz w:val="21"/>
                <w:szCs w:val="21"/>
                <w:lang w:eastAsia="zh-CN"/>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343"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氨氮</w:t>
            </w:r>
          </w:p>
        </w:tc>
        <w:tc>
          <w:tcPr>
            <w:tcW w:w="2344"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≤0.5</w:t>
            </w:r>
            <w:r>
              <w:rPr>
                <w:rFonts w:hint="eastAsia" w:hAnsi="Times New Roman" w:eastAsia="宋体"/>
                <w:kern w:val="2"/>
                <w:sz w:val="21"/>
                <w:szCs w:val="21"/>
                <w:lang w:eastAsia="zh-CN"/>
              </w:rPr>
              <w:t>0</w:t>
            </w:r>
          </w:p>
        </w:tc>
        <w:tc>
          <w:tcPr>
            <w:tcW w:w="2345"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硝酸盐</w:t>
            </w:r>
          </w:p>
        </w:tc>
        <w:tc>
          <w:tcPr>
            <w:tcW w:w="2348"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w:t>
            </w:r>
            <w:r>
              <w:rPr>
                <w:rFonts w:hint="eastAsia" w:hAnsi="Times New Roman" w:eastAsia="宋体"/>
                <w:kern w:val="2"/>
                <w:sz w:val="21"/>
                <w:szCs w:val="21"/>
                <w:lang w:eastAsia="zh-CN"/>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343"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亚硝酸盐</w:t>
            </w:r>
          </w:p>
        </w:tc>
        <w:tc>
          <w:tcPr>
            <w:tcW w:w="2344"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w:t>
            </w:r>
            <w:r>
              <w:rPr>
                <w:rFonts w:hint="eastAsia" w:hAnsi="Times New Roman" w:eastAsia="宋体"/>
                <w:kern w:val="2"/>
                <w:sz w:val="21"/>
                <w:szCs w:val="21"/>
                <w:lang w:eastAsia="zh-CN"/>
              </w:rPr>
              <w:t>1.00</w:t>
            </w:r>
          </w:p>
        </w:tc>
        <w:tc>
          <w:tcPr>
            <w:tcW w:w="2345"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色度</w:t>
            </w:r>
          </w:p>
        </w:tc>
        <w:tc>
          <w:tcPr>
            <w:tcW w:w="2348"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r>
              <w:rPr>
                <w:rFonts w:hint="eastAsia" w:hAnsi="Times New Roman" w:eastAsia="宋体"/>
                <w:kern w:val="2"/>
                <w:sz w:val="21"/>
                <w:szCs w:val="21"/>
                <w:lang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343"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臭和味</w:t>
            </w:r>
          </w:p>
        </w:tc>
        <w:tc>
          <w:tcPr>
            <w:tcW w:w="2344"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2345"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浑浊度</w:t>
            </w:r>
          </w:p>
        </w:tc>
        <w:tc>
          <w:tcPr>
            <w:tcW w:w="2348"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w:t>
            </w:r>
            <w:r>
              <w:rPr>
                <w:rFonts w:hint="eastAsia" w:hAnsi="Times New Roman" w:eastAsia="宋体"/>
                <w:kern w:val="2"/>
                <w:sz w:val="21"/>
                <w:szCs w:val="21"/>
                <w:lang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343"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硫酸盐</w:t>
            </w:r>
          </w:p>
        </w:tc>
        <w:tc>
          <w:tcPr>
            <w:tcW w:w="2344"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w:t>
            </w:r>
            <w:r>
              <w:rPr>
                <w:rFonts w:hint="eastAsia" w:hAnsi="Times New Roman" w:eastAsia="宋体"/>
                <w:kern w:val="2"/>
                <w:sz w:val="21"/>
                <w:szCs w:val="21"/>
                <w:lang w:eastAsia="zh-CN"/>
              </w:rPr>
              <w:t>250</w:t>
            </w:r>
          </w:p>
        </w:tc>
        <w:tc>
          <w:tcPr>
            <w:tcW w:w="2345"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总硬度</w:t>
            </w:r>
          </w:p>
        </w:tc>
        <w:tc>
          <w:tcPr>
            <w:tcW w:w="2348"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r>
              <w:rPr>
                <w:rFonts w:hint="eastAsia" w:hAnsi="Times New Roman" w:eastAsia="宋体"/>
                <w:kern w:val="2"/>
                <w:sz w:val="21"/>
                <w:szCs w:val="21"/>
                <w:lang w:eastAsia="zh-CN"/>
              </w:rPr>
              <w:t>450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343"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溶解性总固体</w:t>
            </w:r>
          </w:p>
        </w:tc>
        <w:tc>
          <w:tcPr>
            <w:tcW w:w="2344"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r>
              <w:rPr>
                <w:rFonts w:hint="eastAsia" w:hAnsi="Times New Roman" w:eastAsia="宋体"/>
                <w:kern w:val="2"/>
                <w:sz w:val="21"/>
                <w:szCs w:val="21"/>
                <w:lang w:eastAsia="zh-CN"/>
              </w:rPr>
              <w:t>1000</w:t>
            </w:r>
          </w:p>
        </w:tc>
        <w:tc>
          <w:tcPr>
            <w:tcW w:w="2345"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挥发性酚类</w:t>
            </w:r>
          </w:p>
        </w:tc>
        <w:tc>
          <w:tcPr>
            <w:tcW w:w="2348"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w:t>
            </w:r>
            <w:r>
              <w:rPr>
                <w:rFonts w:hint="eastAsia" w:hAnsi="Times New Roman" w:eastAsia="宋体"/>
                <w:kern w:val="2"/>
                <w:sz w:val="21"/>
                <w:szCs w:val="21"/>
                <w:lang w:eastAsia="zh-CN"/>
              </w:rPr>
              <w:t>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343"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氯化物</w:t>
            </w:r>
          </w:p>
        </w:tc>
        <w:tc>
          <w:tcPr>
            <w:tcW w:w="2344"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r>
              <w:rPr>
                <w:rFonts w:hint="eastAsia" w:hAnsi="Times New Roman" w:eastAsia="宋体"/>
                <w:kern w:val="2"/>
                <w:sz w:val="21"/>
                <w:szCs w:val="21"/>
                <w:lang w:eastAsia="zh-CN"/>
              </w:rPr>
              <w:t>250</w:t>
            </w:r>
          </w:p>
        </w:tc>
        <w:tc>
          <w:tcPr>
            <w:tcW w:w="2345"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氟化物</w:t>
            </w:r>
          </w:p>
        </w:tc>
        <w:tc>
          <w:tcPr>
            <w:tcW w:w="2348"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r>
              <w:rPr>
                <w:rFonts w:hint="eastAsia" w:hAnsi="Times New Roman" w:eastAsia="宋体"/>
                <w:kern w:val="2"/>
                <w:sz w:val="21"/>
                <w:szCs w:val="21"/>
                <w:lang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343"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氰化物</w:t>
            </w:r>
          </w:p>
        </w:tc>
        <w:tc>
          <w:tcPr>
            <w:tcW w:w="2344"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w:t>
            </w:r>
            <w:r>
              <w:rPr>
                <w:rFonts w:hint="eastAsia" w:hAnsi="Times New Roman" w:eastAsia="宋体"/>
                <w:kern w:val="2"/>
                <w:sz w:val="21"/>
                <w:szCs w:val="21"/>
                <w:lang w:eastAsia="zh-CN"/>
              </w:rPr>
              <w:t>0.05</w:t>
            </w:r>
          </w:p>
        </w:tc>
        <w:tc>
          <w:tcPr>
            <w:tcW w:w="2345"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砷</w:t>
            </w:r>
          </w:p>
        </w:tc>
        <w:tc>
          <w:tcPr>
            <w:tcW w:w="2348"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w:t>
            </w:r>
            <w:r>
              <w:rPr>
                <w:rFonts w:hint="eastAsia" w:hAnsi="Times New Roman" w:eastAsia="宋体"/>
                <w:kern w:val="2"/>
                <w:sz w:val="21"/>
                <w:szCs w:val="21"/>
                <w:lang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343"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汞</w:t>
            </w:r>
          </w:p>
        </w:tc>
        <w:tc>
          <w:tcPr>
            <w:tcW w:w="2344"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w:t>
            </w:r>
            <w:r>
              <w:rPr>
                <w:rFonts w:hint="eastAsia" w:hAnsi="Times New Roman" w:eastAsia="宋体"/>
                <w:kern w:val="2"/>
                <w:sz w:val="21"/>
                <w:szCs w:val="21"/>
                <w:lang w:eastAsia="zh-CN"/>
              </w:rPr>
              <w:t>0.001</w:t>
            </w:r>
          </w:p>
        </w:tc>
        <w:tc>
          <w:tcPr>
            <w:tcW w:w="2345"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铅</w:t>
            </w:r>
          </w:p>
        </w:tc>
        <w:tc>
          <w:tcPr>
            <w:tcW w:w="2348"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w:t>
            </w:r>
            <w:r>
              <w:rPr>
                <w:rFonts w:hint="eastAsia" w:hAnsi="Times New Roman" w:eastAsia="宋体"/>
                <w:kern w:val="2"/>
                <w:sz w:val="21"/>
                <w:szCs w:val="21"/>
                <w:lang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343"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锌</w:t>
            </w:r>
          </w:p>
        </w:tc>
        <w:tc>
          <w:tcPr>
            <w:tcW w:w="2344"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w:t>
            </w:r>
            <w:r>
              <w:rPr>
                <w:rFonts w:hint="eastAsia" w:hAnsi="Times New Roman" w:eastAsia="宋体"/>
                <w:kern w:val="2"/>
                <w:sz w:val="21"/>
                <w:szCs w:val="21"/>
                <w:lang w:eastAsia="zh-CN"/>
              </w:rPr>
              <w:t>1.0</w:t>
            </w:r>
          </w:p>
        </w:tc>
        <w:tc>
          <w:tcPr>
            <w:tcW w:w="2345"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镉</w:t>
            </w:r>
          </w:p>
        </w:tc>
        <w:tc>
          <w:tcPr>
            <w:tcW w:w="2348"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r>
              <w:rPr>
                <w:rFonts w:hint="eastAsia" w:hAnsi="Times New Roman" w:eastAsia="宋体"/>
                <w:kern w:val="2"/>
                <w:sz w:val="21"/>
                <w:szCs w:val="21"/>
                <w:lang w:eastAsia="zh-CN"/>
              </w:rPr>
              <w:t>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343"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铁</w:t>
            </w:r>
          </w:p>
        </w:tc>
        <w:tc>
          <w:tcPr>
            <w:tcW w:w="2344"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r>
              <w:rPr>
                <w:rFonts w:hint="eastAsia" w:hAnsi="Times New Roman" w:eastAsia="宋体"/>
                <w:kern w:val="2"/>
                <w:sz w:val="21"/>
                <w:szCs w:val="21"/>
                <w:lang w:eastAsia="zh-CN"/>
              </w:rPr>
              <w:t>0.3</w:t>
            </w:r>
          </w:p>
        </w:tc>
        <w:tc>
          <w:tcPr>
            <w:tcW w:w="2345"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锰</w:t>
            </w:r>
          </w:p>
        </w:tc>
        <w:tc>
          <w:tcPr>
            <w:tcW w:w="2348"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r>
              <w:rPr>
                <w:rFonts w:hint="eastAsia" w:hAnsi="Times New Roman" w:eastAsia="宋体"/>
                <w:kern w:val="2"/>
                <w:sz w:val="21"/>
                <w:szCs w:val="21"/>
                <w:lang w:eastAsia="zh-CN"/>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343"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铜</w:t>
            </w:r>
          </w:p>
        </w:tc>
        <w:tc>
          <w:tcPr>
            <w:tcW w:w="2344"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r>
              <w:rPr>
                <w:rFonts w:hint="eastAsia" w:hAnsi="Times New Roman" w:eastAsia="宋体"/>
                <w:kern w:val="2"/>
                <w:sz w:val="21"/>
                <w:szCs w:val="21"/>
                <w:lang w:eastAsia="zh-CN"/>
              </w:rPr>
              <w:t>1.0</w:t>
            </w:r>
          </w:p>
        </w:tc>
        <w:tc>
          <w:tcPr>
            <w:tcW w:w="2345"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阴离子表面活性剂</w:t>
            </w:r>
          </w:p>
        </w:tc>
        <w:tc>
          <w:tcPr>
            <w:tcW w:w="2348"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r>
              <w:rPr>
                <w:rFonts w:hint="eastAsia" w:hAnsi="Times New Roman" w:eastAsia="宋体"/>
                <w:kern w:val="2"/>
                <w:sz w:val="21"/>
                <w:szCs w:val="21"/>
                <w:lang w:eastAsia="zh-CN"/>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343"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石油类</w:t>
            </w:r>
          </w:p>
        </w:tc>
        <w:tc>
          <w:tcPr>
            <w:tcW w:w="2344"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≤0.0</w:t>
            </w:r>
            <w:r>
              <w:rPr>
                <w:rFonts w:hint="eastAsia" w:hAnsi="Times New Roman" w:eastAsia="宋体"/>
                <w:kern w:val="2"/>
                <w:sz w:val="21"/>
                <w:szCs w:val="21"/>
                <w:lang w:eastAsia="zh-CN"/>
              </w:rPr>
              <w:t>5</w:t>
            </w:r>
          </w:p>
        </w:tc>
        <w:tc>
          <w:tcPr>
            <w:tcW w:w="2345"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钠</w:t>
            </w:r>
          </w:p>
        </w:tc>
        <w:tc>
          <w:tcPr>
            <w:tcW w:w="2348"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w:t>
            </w:r>
            <w:r>
              <w:rPr>
                <w:rFonts w:hint="eastAsia" w:hAnsi="Times New Roman" w:eastAsia="宋体"/>
                <w:kern w:val="2"/>
                <w:sz w:val="21"/>
                <w:szCs w:val="21"/>
                <w:lang w:eastAsia="zh-CN"/>
              </w:rPr>
              <w:t>200</w:t>
            </w:r>
          </w:p>
        </w:tc>
      </w:tr>
    </w:tbl>
    <w:p>
      <w:pPr>
        <w:spacing w:line="360" w:lineRule="auto"/>
        <w:ind w:firstLine="482" w:firstLineChars="200"/>
        <w:rPr>
          <w:rFonts w:hAnsi="Times New Roman" w:eastAsia="宋体"/>
          <w:b/>
          <w:bCs/>
          <w:lang w:eastAsia="zh-CN"/>
        </w:rPr>
      </w:pPr>
      <w:r>
        <w:rPr>
          <w:rFonts w:hAnsi="Times New Roman" w:eastAsia="宋体"/>
          <w:b/>
          <w:bCs/>
          <w:lang w:eastAsia="zh-CN"/>
        </w:rPr>
        <w:t>（4）声环境</w:t>
      </w:r>
    </w:p>
    <w:p>
      <w:pPr>
        <w:spacing w:line="360" w:lineRule="auto"/>
        <w:ind w:firstLine="480" w:firstLineChars="200"/>
        <w:rPr>
          <w:rFonts w:hAnsi="Times New Roman" w:eastAsia="宋体"/>
          <w:lang w:eastAsia="zh-CN"/>
        </w:rPr>
      </w:pPr>
      <w:r>
        <w:rPr>
          <w:rFonts w:hAnsi="Times New Roman" w:eastAsia="宋体"/>
          <w:lang w:eastAsia="zh-CN"/>
        </w:rPr>
        <w:t>执行《声环境质量标准》（GB3096</w:t>
      </w:r>
      <w:r>
        <w:rPr>
          <w:rFonts w:hint="eastAsia" w:hAnsi="Times New Roman" w:eastAsia="宋体"/>
          <w:lang w:eastAsia="zh-CN"/>
        </w:rPr>
        <w:t>-</w:t>
      </w:r>
      <w:r>
        <w:rPr>
          <w:rFonts w:hAnsi="Times New Roman" w:eastAsia="宋体"/>
          <w:lang w:eastAsia="zh-CN"/>
        </w:rPr>
        <w:t>2008）的2 类标准，具体见下表：</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表1.5-5 《声环境质量标准》（GB3096</w:t>
      </w:r>
      <w:r>
        <w:rPr>
          <w:rFonts w:hint="eastAsia" w:hAnsi="Times New Roman" w:eastAsia="宋体"/>
          <w:b/>
          <w:bCs/>
          <w:sz w:val="21"/>
          <w:szCs w:val="21"/>
          <w:lang w:eastAsia="zh-CN"/>
        </w:rPr>
        <w:t>-</w:t>
      </w:r>
      <w:r>
        <w:rPr>
          <w:rFonts w:hAnsi="Times New Roman" w:eastAsia="宋体"/>
          <w:b/>
          <w:bCs/>
          <w:sz w:val="21"/>
          <w:szCs w:val="21"/>
          <w:lang w:eastAsia="zh-CN"/>
        </w:rPr>
        <w:t>2008）</w:t>
      </w:r>
    </w:p>
    <w:tbl>
      <w:tblPr>
        <w:tblStyle w:val="33"/>
        <w:tblW w:w="91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84"/>
        <w:gridCol w:w="3067"/>
        <w:gridCol w:w="30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3084" w:type="dxa"/>
            <w:vMerge w:val="restart"/>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b/>
                <w:bCs/>
                <w:kern w:val="2"/>
                <w:sz w:val="21"/>
                <w:szCs w:val="22"/>
              </w:rPr>
            </w:pPr>
            <w:r>
              <w:rPr>
                <w:rFonts w:hint="eastAsia" w:hAnsi="Times New Roman" w:eastAsia="宋体"/>
                <w:b/>
                <w:bCs/>
                <w:kern w:val="2"/>
                <w:sz w:val="21"/>
                <w:szCs w:val="22"/>
              </w:rPr>
              <w:t>标准类别</w:t>
            </w:r>
          </w:p>
        </w:tc>
        <w:tc>
          <w:tcPr>
            <w:tcW w:w="6076" w:type="dxa"/>
            <w:gridSpan w:val="2"/>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b/>
                <w:bCs/>
                <w:kern w:val="2"/>
                <w:sz w:val="21"/>
                <w:szCs w:val="22"/>
              </w:rPr>
            </w:pPr>
            <w:r>
              <w:rPr>
                <w:rFonts w:hint="eastAsia" w:hAnsi="Times New Roman" w:eastAsia="宋体"/>
                <w:b/>
                <w:bCs/>
                <w:kern w:val="2"/>
                <w:sz w:val="21"/>
                <w:szCs w:val="22"/>
              </w:rPr>
              <w:t>等效声级</w:t>
            </w:r>
            <w:r>
              <w:rPr>
                <w:rFonts w:hint="eastAsia" w:hAnsi="Times New Roman" w:eastAsia="宋体"/>
                <w:b/>
                <w:bCs/>
                <w:spacing w:val="-49"/>
                <w:kern w:val="2"/>
                <w:sz w:val="21"/>
                <w:szCs w:val="22"/>
              </w:rPr>
              <w:t xml:space="preserve"> </w:t>
            </w:r>
            <w:r>
              <w:rPr>
                <w:rFonts w:hint="eastAsia" w:hAnsi="Times New Roman" w:eastAsia="宋体"/>
                <w:b/>
                <w:bCs/>
                <w:spacing w:val="-1"/>
                <w:kern w:val="2"/>
                <w:sz w:val="21"/>
                <w:szCs w:val="22"/>
              </w:rPr>
              <w:t>L</w:t>
            </w:r>
            <w:r>
              <w:rPr>
                <w:rFonts w:hint="eastAsia" w:hAnsi="Times New Roman" w:eastAsia="宋体"/>
                <w:b/>
                <w:bCs/>
                <w:spacing w:val="-1"/>
                <w:kern w:val="2"/>
                <w:position w:val="-3"/>
                <w:sz w:val="21"/>
                <w:szCs w:val="22"/>
              </w:rPr>
              <w:t>Aeq</w:t>
            </w:r>
            <w:r>
              <w:rPr>
                <w:rFonts w:hint="eastAsia" w:hAnsi="Times New Roman" w:eastAsia="宋体"/>
                <w:b/>
                <w:bCs/>
                <w:spacing w:val="-1"/>
                <w:kern w:val="2"/>
                <w:sz w:val="21"/>
                <w:szCs w:val="22"/>
              </w:rPr>
              <w:t>（dB）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3084" w:type="dxa"/>
            <w:vMerge w:val="continue"/>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b/>
                <w:bCs/>
                <w:kern w:val="2"/>
                <w:sz w:val="21"/>
                <w:szCs w:val="22"/>
              </w:rPr>
            </w:pPr>
          </w:p>
        </w:tc>
        <w:tc>
          <w:tcPr>
            <w:tcW w:w="3067"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b/>
                <w:bCs/>
                <w:kern w:val="2"/>
                <w:sz w:val="21"/>
                <w:szCs w:val="22"/>
              </w:rPr>
            </w:pPr>
            <w:r>
              <w:rPr>
                <w:rFonts w:hint="eastAsia" w:hAnsi="Times New Roman" w:eastAsia="宋体"/>
                <w:b/>
                <w:bCs/>
                <w:kern w:val="2"/>
                <w:sz w:val="21"/>
                <w:szCs w:val="22"/>
              </w:rPr>
              <w:t>昼间</w:t>
            </w:r>
          </w:p>
        </w:tc>
        <w:tc>
          <w:tcPr>
            <w:tcW w:w="3009"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b/>
                <w:bCs/>
                <w:kern w:val="2"/>
                <w:sz w:val="21"/>
                <w:szCs w:val="22"/>
              </w:rPr>
            </w:pPr>
            <w:r>
              <w:rPr>
                <w:rFonts w:hint="eastAsia" w:hAnsi="Times New Roman" w:eastAsia="宋体"/>
                <w:b/>
                <w:bCs/>
                <w:kern w:val="2"/>
                <w:sz w:val="21"/>
                <w:szCs w:val="22"/>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84"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2"/>
                <w:lang w:eastAsia="zh-CN"/>
              </w:rPr>
            </w:pPr>
            <w:r>
              <w:rPr>
                <w:rFonts w:hint="eastAsia" w:hAnsi="Times New Roman" w:eastAsia="宋体"/>
                <w:kern w:val="2"/>
                <w:sz w:val="21"/>
                <w:szCs w:val="22"/>
                <w:lang w:eastAsia="zh-CN"/>
              </w:rPr>
              <w:t>2</w:t>
            </w:r>
          </w:p>
        </w:tc>
        <w:tc>
          <w:tcPr>
            <w:tcW w:w="3067"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2"/>
                <w:lang w:eastAsia="zh-CN"/>
              </w:rPr>
            </w:pPr>
            <w:r>
              <w:rPr>
                <w:rFonts w:hint="eastAsia" w:hAnsi="Times New Roman" w:eastAsia="宋体"/>
                <w:spacing w:val="1"/>
                <w:kern w:val="2"/>
                <w:sz w:val="21"/>
                <w:szCs w:val="22"/>
              </w:rPr>
              <w:t>6</w:t>
            </w:r>
            <w:r>
              <w:rPr>
                <w:rFonts w:hint="eastAsia" w:hAnsi="Times New Roman" w:eastAsia="宋体"/>
                <w:spacing w:val="1"/>
                <w:kern w:val="2"/>
                <w:sz w:val="21"/>
                <w:szCs w:val="22"/>
                <w:lang w:eastAsia="zh-CN"/>
              </w:rPr>
              <w:t>0</w:t>
            </w:r>
          </w:p>
        </w:tc>
        <w:tc>
          <w:tcPr>
            <w:tcW w:w="3009"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2"/>
                <w:lang w:eastAsia="zh-CN"/>
              </w:rPr>
            </w:pPr>
            <w:r>
              <w:rPr>
                <w:rFonts w:hint="eastAsia" w:hAnsi="Times New Roman" w:eastAsia="宋体"/>
                <w:spacing w:val="1"/>
                <w:kern w:val="2"/>
                <w:sz w:val="21"/>
                <w:szCs w:val="22"/>
              </w:rPr>
              <w:t>5</w:t>
            </w:r>
            <w:r>
              <w:rPr>
                <w:rFonts w:hint="eastAsia" w:hAnsi="Times New Roman" w:eastAsia="宋体"/>
                <w:spacing w:val="1"/>
                <w:kern w:val="2"/>
                <w:sz w:val="21"/>
                <w:szCs w:val="22"/>
                <w:lang w:eastAsia="zh-CN"/>
              </w:rPr>
              <w:t>0</w:t>
            </w:r>
          </w:p>
        </w:tc>
      </w:tr>
    </w:tbl>
    <w:p>
      <w:pPr>
        <w:spacing w:line="360" w:lineRule="auto"/>
        <w:ind w:firstLine="482" w:firstLineChars="200"/>
        <w:rPr>
          <w:rFonts w:hAnsi="Times New Roman" w:eastAsia="宋体"/>
          <w:b/>
          <w:bCs/>
          <w:lang w:eastAsia="zh-CN"/>
        </w:rPr>
      </w:pPr>
      <w:r>
        <w:rPr>
          <w:rFonts w:hAnsi="Times New Roman" w:eastAsia="宋体"/>
          <w:b/>
          <w:bCs/>
          <w:lang w:eastAsia="zh-CN"/>
        </w:rPr>
        <w:t>（</w:t>
      </w:r>
      <w:r>
        <w:rPr>
          <w:rFonts w:hint="eastAsia" w:hAnsi="Times New Roman" w:eastAsia="宋体"/>
          <w:b/>
          <w:bCs/>
          <w:lang w:eastAsia="zh-CN"/>
        </w:rPr>
        <w:t>5</w:t>
      </w:r>
      <w:r>
        <w:rPr>
          <w:rFonts w:hAnsi="Times New Roman" w:eastAsia="宋体"/>
          <w:b/>
          <w:bCs/>
          <w:lang w:eastAsia="zh-CN"/>
        </w:rPr>
        <w:t>）土壤环境</w:t>
      </w:r>
    </w:p>
    <w:p>
      <w:pPr>
        <w:spacing w:line="360" w:lineRule="auto"/>
        <w:ind w:firstLine="480" w:firstLineChars="200"/>
        <w:rPr>
          <w:rFonts w:hAnsi="Times New Roman" w:eastAsia="宋体"/>
          <w:lang w:eastAsia="zh-CN"/>
        </w:rPr>
      </w:pPr>
      <w:r>
        <w:rPr>
          <w:rFonts w:hAnsi="Times New Roman" w:eastAsia="宋体"/>
          <w:lang w:eastAsia="zh-CN"/>
        </w:rPr>
        <w:t>项目用地范围内土壤环境执行《土壤环境质量建设用地土壤污染风险管控标准（试行）》（GB36600-2018）中第二类用地“筛选值”标准，详见下表。</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表1.5-</w:t>
      </w:r>
      <w:r>
        <w:rPr>
          <w:rFonts w:hint="eastAsia" w:hAnsi="Times New Roman" w:eastAsia="宋体"/>
          <w:b/>
          <w:bCs/>
          <w:sz w:val="21"/>
          <w:szCs w:val="21"/>
          <w:lang w:eastAsia="zh-CN"/>
        </w:rPr>
        <w:t>6</w:t>
      </w:r>
      <w:r>
        <w:rPr>
          <w:rFonts w:hAnsi="Times New Roman" w:eastAsia="宋体"/>
          <w:b/>
          <w:bCs/>
          <w:sz w:val="21"/>
          <w:szCs w:val="21"/>
          <w:lang w:eastAsia="zh-CN"/>
        </w:rPr>
        <w:t xml:space="preserve"> （GB36600-2018）中第二类用地“筛选值”标准单位：mg/kg</w:t>
      </w:r>
    </w:p>
    <w:tbl>
      <w:tblPr>
        <w:tblStyle w:val="34"/>
        <w:tblW w:w="934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8"/>
        <w:gridCol w:w="2765"/>
        <w:gridCol w:w="1397"/>
        <w:gridCol w:w="1117"/>
        <w:gridCol w:w="1039"/>
        <w:gridCol w:w="1068"/>
        <w:gridCol w:w="11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blHeader/>
        </w:trPr>
        <w:tc>
          <w:tcPr>
            <w:tcW w:w="818" w:type="dxa"/>
            <w:vMerge w:val="restart"/>
            <w:vAlign w:val="center"/>
          </w:tcPr>
          <w:p>
            <w:pPr>
              <w:pStyle w:val="45"/>
              <w:keepNext w:val="0"/>
              <w:keepLines w:val="0"/>
              <w:suppressLineNumbers w:val="0"/>
              <w:spacing w:before="0" w:beforeAutospacing="0" w:after="0" w:afterAutospacing="0" w:line="240" w:lineRule="auto"/>
              <w:ind w:left="422" w:right="0" w:hanging="422"/>
              <w:rPr>
                <w:rFonts w:hint="eastAsia" w:ascii="Times New Roman" w:hAnsi="Times New Roman"/>
                <w:b/>
                <w:kern w:val="2"/>
                <w:szCs w:val="21"/>
              </w:rPr>
            </w:pPr>
            <w:r>
              <w:rPr>
                <w:rFonts w:hint="eastAsia" w:ascii="Times New Roman" w:hAnsi="Times New Roman"/>
                <w:b/>
                <w:kern w:val="2"/>
                <w:szCs w:val="21"/>
              </w:rPr>
              <w:t>序号</w:t>
            </w:r>
          </w:p>
        </w:tc>
        <w:tc>
          <w:tcPr>
            <w:tcW w:w="2765" w:type="dxa"/>
            <w:vMerge w:val="restart"/>
            <w:vAlign w:val="center"/>
          </w:tcPr>
          <w:p>
            <w:pPr>
              <w:pStyle w:val="45"/>
              <w:keepNext w:val="0"/>
              <w:keepLines w:val="0"/>
              <w:suppressLineNumbers w:val="0"/>
              <w:spacing w:before="0" w:beforeAutospacing="0" w:after="0" w:afterAutospacing="0" w:line="240" w:lineRule="auto"/>
              <w:ind w:left="422" w:right="0" w:hanging="422"/>
              <w:rPr>
                <w:rFonts w:hint="eastAsia" w:ascii="Times New Roman" w:hAnsi="Times New Roman"/>
                <w:b/>
                <w:kern w:val="2"/>
                <w:szCs w:val="21"/>
              </w:rPr>
            </w:pPr>
            <w:r>
              <w:rPr>
                <w:rFonts w:hint="eastAsia" w:ascii="Times New Roman" w:hAnsi="Times New Roman"/>
                <w:b/>
                <w:kern w:val="2"/>
                <w:szCs w:val="21"/>
              </w:rPr>
              <w:t>污染物项目</w:t>
            </w:r>
          </w:p>
        </w:tc>
        <w:tc>
          <w:tcPr>
            <w:tcW w:w="1397" w:type="dxa"/>
            <w:vMerge w:val="restart"/>
            <w:vAlign w:val="center"/>
          </w:tcPr>
          <w:p>
            <w:pPr>
              <w:pStyle w:val="45"/>
              <w:keepNext w:val="0"/>
              <w:keepLines w:val="0"/>
              <w:suppressLineNumbers w:val="0"/>
              <w:spacing w:before="0" w:beforeAutospacing="0" w:after="0" w:afterAutospacing="0" w:line="240" w:lineRule="auto"/>
              <w:ind w:left="422" w:right="0" w:hanging="422"/>
              <w:rPr>
                <w:rFonts w:hint="eastAsia" w:ascii="Times New Roman" w:hAnsi="Times New Roman"/>
                <w:b/>
                <w:kern w:val="2"/>
                <w:szCs w:val="21"/>
              </w:rPr>
            </w:pPr>
            <w:r>
              <w:rPr>
                <w:rFonts w:hint="eastAsia" w:ascii="Times New Roman" w:hAnsi="Times New Roman"/>
                <w:b/>
                <w:kern w:val="2"/>
                <w:szCs w:val="21"/>
              </w:rPr>
              <w:t>CAS编号</w:t>
            </w:r>
          </w:p>
        </w:tc>
        <w:tc>
          <w:tcPr>
            <w:tcW w:w="2156" w:type="dxa"/>
            <w:gridSpan w:val="2"/>
            <w:vAlign w:val="center"/>
          </w:tcPr>
          <w:p>
            <w:pPr>
              <w:pStyle w:val="45"/>
              <w:keepNext w:val="0"/>
              <w:keepLines w:val="0"/>
              <w:suppressLineNumbers w:val="0"/>
              <w:spacing w:before="0" w:beforeAutospacing="0" w:after="0" w:afterAutospacing="0" w:line="240" w:lineRule="auto"/>
              <w:ind w:left="422" w:right="0" w:hanging="422"/>
              <w:rPr>
                <w:rFonts w:hint="eastAsia" w:ascii="Times New Roman" w:hAnsi="Times New Roman"/>
                <w:b/>
                <w:kern w:val="2"/>
                <w:szCs w:val="21"/>
              </w:rPr>
            </w:pPr>
            <w:r>
              <w:rPr>
                <w:rFonts w:hint="eastAsia" w:ascii="Times New Roman" w:hAnsi="Times New Roman"/>
                <w:b/>
                <w:kern w:val="2"/>
                <w:szCs w:val="21"/>
              </w:rPr>
              <w:t>筛选值</w:t>
            </w:r>
          </w:p>
        </w:tc>
        <w:tc>
          <w:tcPr>
            <w:tcW w:w="2204" w:type="dxa"/>
            <w:gridSpan w:val="2"/>
            <w:vAlign w:val="center"/>
          </w:tcPr>
          <w:p>
            <w:pPr>
              <w:pStyle w:val="45"/>
              <w:keepNext w:val="0"/>
              <w:keepLines w:val="0"/>
              <w:suppressLineNumbers w:val="0"/>
              <w:spacing w:before="0" w:beforeAutospacing="0" w:after="0" w:afterAutospacing="0" w:line="240" w:lineRule="auto"/>
              <w:ind w:left="422" w:right="0" w:hanging="422"/>
              <w:rPr>
                <w:rFonts w:hint="eastAsia" w:ascii="Times New Roman" w:hAnsi="Times New Roman"/>
                <w:b/>
                <w:kern w:val="2"/>
                <w:szCs w:val="21"/>
              </w:rPr>
            </w:pPr>
            <w:r>
              <w:rPr>
                <w:rFonts w:hint="eastAsia" w:ascii="Times New Roman" w:hAnsi="Times New Roman"/>
                <w:b/>
                <w:kern w:val="2"/>
                <w:szCs w:val="21"/>
              </w:rPr>
              <w:t>管制值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blHeader/>
        </w:trPr>
        <w:tc>
          <w:tcPr>
            <w:tcW w:w="818" w:type="dxa"/>
            <w:vMerge w:val="continue"/>
            <w:vAlign w:val="center"/>
          </w:tcPr>
          <w:p>
            <w:pPr>
              <w:pStyle w:val="45"/>
              <w:keepNext w:val="0"/>
              <w:keepLines w:val="0"/>
              <w:suppressLineNumbers w:val="0"/>
              <w:spacing w:before="0" w:beforeAutospacing="0" w:after="0" w:afterAutospacing="0" w:line="240" w:lineRule="auto"/>
              <w:ind w:left="422" w:right="0" w:hanging="422"/>
              <w:rPr>
                <w:rFonts w:hint="eastAsia" w:ascii="Times New Roman" w:hAnsi="Times New Roman"/>
                <w:b/>
                <w:kern w:val="2"/>
                <w:szCs w:val="21"/>
              </w:rPr>
            </w:pPr>
          </w:p>
        </w:tc>
        <w:tc>
          <w:tcPr>
            <w:tcW w:w="2765" w:type="dxa"/>
            <w:vMerge w:val="continue"/>
            <w:vAlign w:val="center"/>
          </w:tcPr>
          <w:p>
            <w:pPr>
              <w:pStyle w:val="45"/>
              <w:keepNext w:val="0"/>
              <w:keepLines w:val="0"/>
              <w:suppressLineNumbers w:val="0"/>
              <w:spacing w:before="0" w:beforeAutospacing="0" w:after="0" w:afterAutospacing="0" w:line="240" w:lineRule="auto"/>
              <w:ind w:left="422" w:right="0" w:hanging="422"/>
              <w:rPr>
                <w:rFonts w:hint="eastAsia" w:ascii="Times New Roman" w:hAnsi="Times New Roman"/>
                <w:b/>
                <w:kern w:val="2"/>
                <w:szCs w:val="21"/>
              </w:rPr>
            </w:pPr>
          </w:p>
        </w:tc>
        <w:tc>
          <w:tcPr>
            <w:tcW w:w="1397" w:type="dxa"/>
            <w:vMerge w:val="continue"/>
            <w:vAlign w:val="center"/>
          </w:tcPr>
          <w:p>
            <w:pPr>
              <w:pStyle w:val="45"/>
              <w:keepNext w:val="0"/>
              <w:keepLines w:val="0"/>
              <w:suppressLineNumbers w:val="0"/>
              <w:spacing w:before="0" w:beforeAutospacing="0" w:after="0" w:afterAutospacing="0" w:line="240" w:lineRule="auto"/>
              <w:ind w:left="422" w:right="0" w:hanging="422"/>
              <w:rPr>
                <w:rFonts w:hint="eastAsia" w:ascii="Times New Roman" w:hAnsi="Times New Roman"/>
                <w:b/>
                <w:kern w:val="2"/>
                <w:szCs w:val="21"/>
              </w:rPr>
            </w:pPr>
          </w:p>
        </w:tc>
        <w:tc>
          <w:tcPr>
            <w:tcW w:w="1117" w:type="dxa"/>
            <w:vAlign w:val="center"/>
          </w:tcPr>
          <w:p>
            <w:pPr>
              <w:pStyle w:val="45"/>
              <w:keepNext w:val="0"/>
              <w:keepLines w:val="0"/>
              <w:suppressLineNumbers w:val="0"/>
              <w:spacing w:before="0" w:beforeAutospacing="0" w:after="0" w:afterAutospacing="0" w:line="240" w:lineRule="auto"/>
              <w:ind w:left="422" w:right="0" w:hanging="422"/>
              <w:rPr>
                <w:rFonts w:hint="eastAsia" w:ascii="Times New Roman" w:hAnsi="Times New Roman"/>
                <w:b/>
                <w:kern w:val="2"/>
                <w:szCs w:val="21"/>
              </w:rPr>
            </w:pPr>
            <w:r>
              <w:rPr>
                <w:rFonts w:hint="eastAsia" w:ascii="Times New Roman" w:hAnsi="Times New Roman"/>
                <w:b/>
                <w:kern w:val="2"/>
                <w:szCs w:val="21"/>
              </w:rPr>
              <w:t>第一类</w:t>
            </w:r>
          </w:p>
          <w:p>
            <w:pPr>
              <w:pStyle w:val="45"/>
              <w:keepNext w:val="0"/>
              <w:keepLines w:val="0"/>
              <w:suppressLineNumbers w:val="0"/>
              <w:spacing w:before="0" w:beforeAutospacing="0" w:after="0" w:afterAutospacing="0" w:line="240" w:lineRule="auto"/>
              <w:ind w:left="422" w:right="0" w:hanging="422"/>
              <w:rPr>
                <w:rFonts w:hint="eastAsia" w:ascii="Times New Roman" w:hAnsi="Times New Roman"/>
                <w:b/>
                <w:kern w:val="2"/>
                <w:szCs w:val="21"/>
              </w:rPr>
            </w:pPr>
            <w:r>
              <w:rPr>
                <w:rFonts w:hint="eastAsia" w:ascii="Times New Roman" w:hAnsi="Times New Roman"/>
                <w:b/>
                <w:kern w:val="2"/>
                <w:szCs w:val="21"/>
              </w:rPr>
              <w:t>用地</w:t>
            </w:r>
          </w:p>
        </w:tc>
        <w:tc>
          <w:tcPr>
            <w:tcW w:w="1039" w:type="dxa"/>
            <w:vAlign w:val="center"/>
          </w:tcPr>
          <w:p>
            <w:pPr>
              <w:pStyle w:val="45"/>
              <w:keepNext w:val="0"/>
              <w:keepLines w:val="0"/>
              <w:suppressLineNumbers w:val="0"/>
              <w:spacing w:before="0" w:beforeAutospacing="0" w:after="0" w:afterAutospacing="0" w:line="240" w:lineRule="auto"/>
              <w:ind w:left="422" w:right="0" w:hanging="422"/>
              <w:rPr>
                <w:rFonts w:hint="eastAsia" w:ascii="Times New Roman" w:hAnsi="Times New Roman"/>
                <w:b/>
                <w:kern w:val="2"/>
                <w:szCs w:val="21"/>
              </w:rPr>
            </w:pPr>
            <w:r>
              <w:rPr>
                <w:rFonts w:hint="eastAsia" w:ascii="Times New Roman" w:hAnsi="Times New Roman"/>
                <w:b/>
                <w:kern w:val="2"/>
                <w:szCs w:val="21"/>
              </w:rPr>
              <w:t>第二类</w:t>
            </w:r>
          </w:p>
          <w:p>
            <w:pPr>
              <w:pStyle w:val="45"/>
              <w:keepNext w:val="0"/>
              <w:keepLines w:val="0"/>
              <w:suppressLineNumbers w:val="0"/>
              <w:spacing w:before="0" w:beforeAutospacing="0" w:after="0" w:afterAutospacing="0" w:line="240" w:lineRule="auto"/>
              <w:ind w:left="422" w:right="0" w:hanging="422"/>
              <w:rPr>
                <w:rFonts w:hint="eastAsia" w:ascii="Times New Roman" w:hAnsi="Times New Roman"/>
                <w:b/>
                <w:kern w:val="2"/>
                <w:szCs w:val="21"/>
              </w:rPr>
            </w:pPr>
            <w:r>
              <w:rPr>
                <w:rFonts w:hint="eastAsia" w:ascii="Times New Roman" w:hAnsi="Times New Roman"/>
                <w:b/>
                <w:kern w:val="2"/>
                <w:szCs w:val="21"/>
              </w:rPr>
              <w:t>用地</w:t>
            </w:r>
          </w:p>
        </w:tc>
        <w:tc>
          <w:tcPr>
            <w:tcW w:w="1068" w:type="dxa"/>
            <w:vAlign w:val="center"/>
          </w:tcPr>
          <w:p>
            <w:pPr>
              <w:pStyle w:val="45"/>
              <w:keepNext w:val="0"/>
              <w:keepLines w:val="0"/>
              <w:suppressLineNumbers w:val="0"/>
              <w:spacing w:before="0" w:beforeAutospacing="0" w:after="0" w:afterAutospacing="0" w:line="240" w:lineRule="auto"/>
              <w:ind w:left="422" w:right="0" w:hanging="422"/>
              <w:rPr>
                <w:rFonts w:hint="eastAsia" w:ascii="Times New Roman" w:hAnsi="Times New Roman"/>
                <w:b/>
                <w:kern w:val="2"/>
                <w:szCs w:val="21"/>
              </w:rPr>
            </w:pPr>
            <w:r>
              <w:rPr>
                <w:rFonts w:hint="eastAsia" w:ascii="Times New Roman" w:hAnsi="Times New Roman"/>
                <w:b/>
                <w:kern w:val="2"/>
                <w:szCs w:val="21"/>
              </w:rPr>
              <w:t>第一类</w:t>
            </w:r>
          </w:p>
          <w:p>
            <w:pPr>
              <w:pStyle w:val="45"/>
              <w:keepNext w:val="0"/>
              <w:keepLines w:val="0"/>
              <w:suppressLineNumbers w:val="0"/>
              <w:spacing w:before="0" w:beforeAutospacing="0" w:after="0" w:afterAutospacing="0" w:line="240" w:lineRule="auto"/>
              <w:ind w:left="422" w:right="0" w:hanging="422"/>
              <w:rPr>
                <w:rFonts w:hint="eastAsia" w:ascii="Times New Roman" w:hAnsi="Times New Roman"/>
                <w:b/>
                <w:kern w:val="2"/>
                <w:szCs w:val="21"/>
              </w:rPr>
            </w:pPr>
            <w:r>
              <w:rPr>
                <w:rFonts w:hint="eastAsia" w:ascii="Times New Roman" w:hAnsi="Times New Roman"/>
                <w:b/>
                <w:kern w:val="2"/>
                <w:szCs w:val="21"/>
              </w:rPr>
              <w:t>用地</w:t>
            </w:r>
          </w:p>
        </w:tc>
        <w:tc>
          <w:tcPr>
            <w:tcW w:w="1136" w:type="dxa"/>
            <w:vAlign w:val="center"/>
          </w:tcPr>
          <w:p>
            <w:pPr>
              <w:pStyle w:val="45"/>
              <w:keepNext w:val="0"/>
              <w:keepLines w:val="0"/>
              <w:suppressLineNumbers w:val="0"/>
              <w:spacing w:before="0" w:beforeAutospacing="0" w:after="0" w:afterAutospacing="0" w:line="240" w:lineRule="auto"/>
              <w:ind w:left="422" w:right="0" w:hanging="422"/>
              <w:rPr>
                <w:rFonts w:hint="eastAsia" w:ascii="Times New Roman" w:hAnsi="Times New Roman"/>
                <w:b/>
                <w:kern w:val="2"/>
                <w:szCs w:val="21"/>
              </w:rPr>
            </w:pPr>
            <w:r>
              <w:rPr>
                <w:rFonts w:hint="eastAsia" w:ascii="Times New Roman" w:hAnsi="Times New Roman"/>
                <w:b/>
                <w:kern w:val="2"/>
                <w:szCs w:val="21"/>
              </w:rPr>
              <w:t>第二类</w:t>
            </w:r>
          </w:p>
          <w:p>
            <w:pPr>
              <w:pStyle w:val="45"/>
              <w:keepNext w:val="0"/>
              <w:keepLines w:val="0"/>
              <w:suppressLineNumbers w:val="0"/>
              <w:spacing w:before="0" w:beforeAutospacing="0" w:after="0" w:afterAutospacing="0" w:line="240" w:lineRule="auto"/>
              <w:ind w:left="422" w:right="0" w:hanging="422"/>
              <w:rPr>
                <w:rFonts w:hint="eastAsia" w:ascii="Times New Roman" w:hAnsi="Times New Roman"/>
                <w:b/>
                <w:kern w:val="2"/>
                <w:szCs w:val="21"/>
              </w:rPr>
            </w:pPr>
            <w:r>
              <w:rPr>
                <w:rFonts w:hint="eastAsia" w:ascii="Times New Roman" w:hAnsi="Times New Roman"/>
                <w:b/>
                <w:kern w:val="2"/>
                <w:szCs w:val="21"/>
              </w:rPr>
              <w:t>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340" w:type="dxa"/>
            <w:gridSpan w:val="7"/>
            <w:vAlign w:val="center"/>
          </w:tcPr>
          <w:p>
            <w:pPr>
              <w:pStyle w:val="45"/>
              <w:keepNext w:val="0"/>
              <w:keepLines w:val="0"/>
              <w:suppressLineNumbers w:val="0"/>
              <w:spacing w:before="0" w:beforeAutospacing="0" w:after="0" w:afterAutospacing="0" w:line="240" w:lineRule="auto"/>
              <w:ind w:left="422" w:right="0" w:hanging="422"/>
              <w:rPr>
                <w:rFonts w:hint="eastAsia" w:ascii="Times New Roman" w:hAnsi="Times New Roman"/>
                <w:bCs/>
                <w:kern w:val="2"/>
                <w:szCs w:val="21"/>
              </w:rPr>
            </w:pPr>
            <w:r>
              <w:rPr>
                <w:rFonts w:hint="eastAsia" w:ascii="Times New Roman" w:hAnsi="Times New Roman"/>
                <w:b/>
                <w:kern w:val="2"/>
                <w:szCs w:val="21"/>
              </w:rPr>
              <w:t>重金属和无机物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1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w:t>
            </w:r>
          </w:p>
        </w:tc>
        <w:tc>
          <w:tcPr>
            <w:tcW w:w="2765"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砷</w:t>
            </w:r>
          </w:p>
        </w:tc>
        <w:tc>
          <w:tcPr>
            <w:tcW w:w="139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7440-38-2</w:t>
            </w:r>
          </w:p>
        </w:tc>
        <w:tc>
          <w:tcPr>
            <w:tcW w:w="11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20①</w:t>
            </w:r>
          </w:p>
        </w:tc>
        <w:tc>
          <w:tcPr>
            <w:tcW w:w="103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60①</w:t>
            </w:r>
          </w:p>
        </w:tc>
        <w:tc>
          <w:tcPr>
            <w:tcW w:w="106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120</w:t>
            </w:r>
          </w:p>
        </w:tc>
        <w:tc>
          <w:tcPr>
            <w:tcW w:w="1136"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1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w:t>
            </w:r>
          </w:p>
        </w:tc>
        <w:tc>
          <w:tcPr>
            <w:tcW w:w="2765"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镉</w:t>
            </w:r>
          </w:p>
        </w:tc>
        <w:tc>
          <w:tcPr>
            <w:tcW w:w="139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7440-43-9</w:t>
            </w:r>
          </w:p>
        </w:tc>
        <w:tc>
          <w:tcPr>
            <w:tcW w:w="11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20</w:t>
            </w:r>
          </w:p>
        </w:tc>
        <w:tc>
          <w:tcPr>
            <w:tcW w:w="103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65</w:t>
            </w:r>
          </w:p>
        </w:tc>
        <w:tc>
          <w:tcPr>
            <w:tcW w:w="106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47</w:t>
            </w:r>
          </w:p>
        </w:tc>
        <w:tc>
          <w:tcPr>
            <w:tcW w:w="1136"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1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3</w:t>
            </w:r>
          </w:p>
        </w:tc>
        <w:tc>
          <w:tcPr>
            <w:tcW w:w="2765"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铬（六价）</w:t>
            </w:r>
          </w:p>
        </w:tc>
        <w:tc>
          <w:tcPr>
            <w:tcW w:w="139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18540-29-9</w:t>
            </w:r>
          </w:p>
        </w:tc>
        <w:tc>
          <w:tcPr>
            <w:tcW w:w="11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3.0</w:t>
            </w:r>
          </w:p>
        </w:tc>
        <w:tc>
          <w:tcPr>
            <w:tcW w:w="103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5.7</w:t>
            </w:r>
          </w:p>
        </w:tc>
        <w:tc>
          <w:tcPr>
            <w:tcW w:w="106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30</w:t>
            </w:r>
          </w:p>
        </w:tc>
        <w:tc>
          <w:tcPr>
            <w:tcW w:w="1136"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1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4</w:t>
            </w:r>
          </w:p>
        </w:tc>
        <w:tc>
          <w:tcPr>
            <w:tcW w:w="2765"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铜</w:t>
            </w:r>
          </w:p>
        </w:tc>
        <w:tc>
          <w:tcPr>
            <w:tcW w:w="139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7440-50-8</w:t>
            </w:r>
          </w:p>
        </w:tc>
        <w:tc>
          <w:tcPr>
            <w:tcW w:w="11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2000</w:t>
            </w:r>
          </w:p>
        </w:tc>
        <w:tc>
          <w:tcPr>
            <w:tcW w:w="103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18000</w:t>
            </w:r>
          </w:p>
        </w:tc>
        <w:tc>
          <w:tcPr>
            <w:tcW w:w="106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8000</w:t>
            </w:r>
          </w:p>
        </w:tc>
        <w:tc>
          <w:tcPr>
            <w:tcW w:w="1136"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36000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1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5</w:t>
            </w:r>
          </w:p>
        </w:tc>
        <w:tc>
          <w:tcPr>
            <w:tcW w:w="2765"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铅</w:t>
            </w:r>
          </w:p>
        </w:tc>
        <w:tc>
          <w:tcPr>
            <w:tcW w:w="139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7439-92-1</w:t>
            </w:r>
          </w:p>
        </w:tc>
        <w:tc>
          <w:tcPr>
            <w:tcW w:w="11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400</w:t>
            </w:r>
          </w:p>
        </w:tc>
        <w:tc>
          <w:tcPr>
            <w:tcW w:w="103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800</w:t>
            </w:r>
          </w:p>
        </w:tc>
        <w:tc>
          <w:tcPr>
            <w:tcW w:w="106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800</w:t>
            </w:r>
          </w:p>
        </w:tc>
        <w:tc>
          <w:tcPr>
            <w:tcW w:w="1136"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1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6</w:t>
            </w:r>
          </w:p>
        </w:tc>
        <w:tc>
          <w:tcPr>
            <w:tcW w:w="2765"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汞</w:t>
            </w:r>
          </w:p>
        </w:tc>
        <w:tc>
          <w:tcPr>
            <w:tcW w:w="139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7439-97-6</w:t>
            </w:r>
          </w:p>
        </w:tc>
        <w:tc>
          <w:tcPr>
            <w:tcW w:w="11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8</w:t>
            </w:r>
          </w:p>
        </w:tc>
        <w:tc>
          <w:tcPr>
            <w:tcW w:w="103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38</w:t>
            </w:r>
          </w:p>
        </w:tc>
        <w:tc>
          <w:tcPr>
            <w:tcW w:w="106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33</w:t>
            </w:r>
          </w:p>
        </w:tc>
        <w:tc>
          <w:tcPr>
            <w:tcW w:w="1136"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1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7</w:t>
            </w:r>
          </w:p>
        </w:tc>
        <w:tc>
          <w:tcPr>
            <w:tcW w:w="2765"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镍</w:t>
            </w:r>
          </w:p>
        </w:tc>
        <w:tc>
          <w:tcPr>
            <w:tcW w:w="139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7440-02-0</w:t>
            </w:r>
          </w:p>
        </w:tc>
        <w:tc>
          <w:tcPr>
            <w:tcW w:w="11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150</w:t>
            </w:r>
          </w:p>
        </w:tc>
        <w:tc>
          <w:tcPr>
            <w:tcW w:w="103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900</w:t>
            </w:r>
          </w:p>
        </w:tc>
        <w:tc>
          <w:tcPr>
            <w:tcW w:w="106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600</w:t>
            </w:r>
          </w:p>
        </w:tc>
        <w:tc>
          <w:tcPr>
            <w:tcW w:w="1136"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340" w:type="dxa"/>
            <w:gridSpan w:val="7"/>
            <w:vAlign w:val="center"/>
          </w:tcPr>
          <w:p>
            <w:pPr>
              <w:pStyle w:val="45"/>
              <w:keepNext w:val="0"/>
              <w:keepLines w:val="0"/>
              <w:suppressLineNumbers w:val="0"/>
              <w:spacing w:before="0" w:beforeAutospacing="0" w:after="0" w:afterAutospacing="0" w:line="240" w:lineRule="auto"/>
              <w:ind w:left="422" w:right="0" w:hanging="422"/>
              <w:rPr>
                <w:rFonts w:hint="eastAsia" w:ascii="Times New Roman" w:hAnsi="Times New Roman"/>
                <w:bCs/>
                <w:kern w:val="2"/>
                <w:szCs w:val="21"/>
              </w:rPr>
            </w:pPr>
            <w:r>
              <w:rPr>
                <w:rFonts w:hint="eastAsia" w:ascii="Times New Roman" w:hAnsi="Times New Roman"/>
                <w:b/>
                <w:kern w:val="2"/>
                <w:szCs w:val="21"/>
              </w:rPr>
              <w:t>挥发性有机物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1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8</w:t>
            </w:r>
          </w:p>
        </w:tc>
        <w:tc>
          <w:tcPr>
            <w:tcW w:w="2765"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四氯化碳</w:t>
            </w:r>
          </w:p>
        </w:tc>
        <w:tc>
          <w:tcPr>
            <w:tcW w:w="139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56-23-5</w:t>
            </w:r>
          </w:p>
        </w:tc>
        <w:tc>
          <w:tcPr>
            <w:tcW w:w="11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0.9</w:t>
            </w:r>
          </w:p>
        </w:tc>
        <w:tc>
          <w:tcPr>
            <w:tcW w:w="103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2.8</w:t>
            </w:r>
          </w:p>
        </w:tc>
        <w:tc>
          <w:tcPr>
            <w:tcW w:w="106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9</w:t>
            </w:r>
          </w:p>
        </w:tc>
        <w:tc>
          <w:tcPr>
            <w:tcW w:w="1136"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1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9</w:t>
            </w:r>
          </w:p>
        </w:tc>
        <w:tc>
          <w:tcPr>
            <w:tcW w:w="2765"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氯仿</w:t>
            </w:r>
          </w:p>
        </w:tc>
        <w:tc>
          <w:tcPr>
            <w:tcW w:w="139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67-66-3</w:t>
            </w:r>
          </w:p>
        </w:tc>
        <w:tc>
          <w:tcPr>
            <w:tcW w:w="11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0.3</w:t>
            </w:r>
          </w:p>
        </w:tc>
        <w:tc>
          <w:tcPr>
            <w:tcW w:w="103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0.9</w:t>
            </w:r>
          </w:p>
        </w:tc>
        <w:tc>
          <w:tcPr>
            <w:tcW w:w="106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5</w:t>
            </w:r>
          </w:p>
        </w:tc>
        <w:tc>
          <w:tcPr>
            <w:tcW w:w="1136"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1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10</w:t>
            </w:r>
          </w:p>
        </w:tc>
        <w:tc>
          <w:tcPr>
            <w:tcW w:w="2765"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氯甲烷</w:t>
            </w:r>
          </w:p>
        </w:tc>
        <w:tc>
          <w:tcPr>
            <w:tcW w:w="139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74-87-3</w:t>
            </w:r>
          </w:p>
        </w:tc>
        <w:tc>
          <w:tcPr>
            <w:tcW w:w="11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12</w:t>
            </w:r>
          </w:p>
        </w:tc>
        <w:tc>
          <w:tcPr>
            <w:tcW w:w="103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37</w:t>
            </w:r>
          </w:p>
        </w:tc>
        <w:tc>
          <w:tcPr>
            <w:tcW w:w="106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21</w:t>
            </w:r>
          </w:p>
        </w:tc>
        <w:tc>
          <w:tcPr>
            <w:tcW w:w="1136"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1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11</w:t>
            </w:r>
          </w:p>
        </w:tc>
        <w:tc>
          <w:tcPr>
            <w:tcW w:w="2765"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1,1-二氯乙烷</w:t>
            </w:r>
          </w:p>
        </w:tc>
        <w:tc>
          <w:tcPr>
            <w:tcW w:w="139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75-34-3</w:t>
            </w:r>
          </w:p>
        </w:tc>
        <w:tc>
          <w:tcPr>
            <w:tcW w:w="11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3</w:t>
            </w:r>
          </w:p>
        </w:tc>
        <w:tc>
          <w:tcPr>
            <w:tcW w:w="103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9</w:t>
            </w:r>
          </w:p>
        </w:tc>
        <w:tc>
          <w:tcPr>
            <w:tcW w:w="106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20</w:t>
            </w:r>
          </w:p>
        </w:tc>
        <w:tc>
          <w:tcPr>
            <w:tcW w:w="1136"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1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12</w:t>
            </w:r>
          </w:p>
        </w:tc>
        <w:tc>
          <w:tcPr>
            <w:tcW w:w="2765"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1,2-二氯乙烷</w:t>
            </w:r>
          </w:p>
        </w:tc>
        <w:tc>
          <w:tcPr>
            <w:tcW w:w="139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107-06-2</w:t>
            </w:r>
          </w:p>
        </w:tc>
        <w:tc>
          <w:tcPr>
            <w:tcW w:w="11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0.52</w:t>
            </w:r>
          </w:p>
        </w:tc>
        <w:tc>
          <w:tcPr>
            <w:tcW w:w="103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5</w:t>
            </w:r>
          </w:p>
        </w:tc>
        <w:tc>
          <w:tcPr>
            <w:tcW w:w="106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6</w:t>
            </w:r>
          </w:p>
        </w:tc>
        <w:tc>
          <w:tcPr>
            <w:tcW w:w="1136"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1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13</w:t>
            </w:r>
          </w:p>
        </w:tc>
        <w:tc>
          <w:tcPr>
            <w:tcW w:w="2765"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1,1-二氯乙烯</w:t>
            </w:r>
          </w:p>
        </w:tc>
        <w:tc>
          <w:tcPr>
            <w:tcW w:w="139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75-35-4</w:t>
            </w:r>
          </w:p>
        </w:tc>
        <w:tc>
          <w:tcPr>
            <w:tcW w:w="11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12</w:t>
            </w:r>
          </w:p>
        </w:tc>
        <w:tc>
          <w:tcPr>
            <w:tcW w:w="103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66</w:t>
            </w:r>
          </w:p>
        </w:tc>
        <w:tc>
          <w:tcPr>
            <w:tcW w:w="106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40</w:t>
            </w:r>
          </w:p>
        </w:tc>
        <w:tc>
          <w:tcPr>
            <w:tcW w:w="1136"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1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14</w:t>
            </w:r>
          </w:p>
        </w:tc>
        <w:tc>
          <w:tcPr>
            <w:tcW w:w="2765"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顺-1,2-二氯乙烯</w:t>
            </w:r>
          </w:p>
        </w:tc>
        <w:tc>
          <w:tcPr>
            <w:tcW w:w="139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156-59-2</w:t>
            </w:r>
          </w:p>
        </w:tc>
        <w:tc>
          <w:tcPr>
            <w:tcW w:w="11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66</w:t>
            </w:r>
          </w:p>
        </w:tc>
        <w:tc>
          <w:tcPr>
            <w:tcW w:w="103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596</w:t>
            </w:r>
          </w:p>
        </w:tc>
        <w:tc>
          <w:tcPr>
            <w:tcW w:w="106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200</w:t>
            </w:r>
          </w:p>
        </w:tc>
        <w:tc>
          <w:tcPr>
            <w:tcW w:w="1136"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1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15</w:t>
            </w:r>
          </w:p>
        </w:tc>
        <w:tc>
          <w:tcPr>
            <w:tcW w:w="2765"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反-1,2-二氯乙烯</w:t>
            </w:r>
          </w:p>
        </w:tc>
        <w:tc>
          <w:tcPr>
            <w:tcW w:w="139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156-60-5</w:t>
            </w:r>
          </w:p>
        </w:tc>
        <w:tc>
          <w:tcPr>
            <w:tcW w:w="11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10</w:t>
            </w:r>
          </w:p>
        </w:tc>
        <w:tc>
          <w:tcPr>
            <w:tcW w:w="103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54</w:t>
            </w:r>
          </w:p>
        </w:tc>
        <w:tc>
          <w:tcPr>
            <w:tcW w:w="106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31</w:t>
            </w:r>
          </w:p>
        </w:tc>
        <w:tc>
          <w:tcPr>
            <w:tcW w:w="1136"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1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16</w:t>
            </w:r>
          </w:p>
        </w:tc>
        <w:tc>
          <w:tcPr>
            <w:tcW w:w="2765"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二氯甲烷</w:t>
            </w:r>
          </w:p>
        </w:tc>
        <w:tc>
          <w:tcPr>
            <w:tcW w:w="139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75-09-2</w:t>
            </w:r>
          </w:p>
        </w:tc>
        <w:tc>
          <w:tcPr>
            <w:tcW w:w="11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94</w:t>
            </w:r>
          </w:p>
        </w:tc>
        <w:tc>
          <w:tcPr>
            <w:tcW w:w="103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616</w:t>
            </w:r>
          </w:p>
        </w:tc>
        <w:tc>
          <w:tcPr>
            <w:tcW w:w="106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300</w:t>
            </w:r>
          </w:p>
        </w:tc>
        <w:tc>
          <w:tcPr>
            <w:tcW w:w="1136"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1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17</w:t>
            </w:r>
          </w:p>
        </w:tc>
        <w:tc>
          <w:tcPr>
            <w:tcW w:w="2765"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1,2-二氯丙烷</w:t>
            </w:r>
          </w:p>
        </w:tc>
        <w:tc>
          <w:tcPr>
            <w:tcW w:w="139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78-87-6</w:t>
            </w:r>
          </w:p>
        </w:tc>
        <w:tc>
          <w:tcPr>
            <w:tcW w:w="11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w:t>
            </w:r>
          </w:p>
        </w:tc>
        <w:tc>
          <w:tcPr>
            <w:tcW w:w="103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5</w:t>
            </w:r>
          </w:p>
        </w:tc>
        <w:tc>
          <w:tcPr>
            <w:tcW w:w="106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5</w:t>
            </w:r>
          </w:p>
        </w:tc>
        <w:tc>
          <w:tcPr>
            <w:tcW w:w="1136"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1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18</w:t>
            </w:r>
          </w:p>
        </w:tc>
        <w:tc>
          <w:tcPr>
            <w:tcW w:w="2765"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1,1,1,2-四氯乙烷</w:t>
            </w:r>
          </w:p>
        </w:tc>
        <w:tc>
          <w:tcPr>
            <w:tcW w:w="139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630-20-6</w:t>
            </w:r>
          </w:p>
        </w:tc>
        <w:tc>
          <w:tcPr>
            <w:tcW w:w="11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2.6</w:t>
            </w:r>
          </w:p>
        </w:tc>
        <w:tc>
          <w:tcPr>
            <w:tcW w:w="103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10</w:t>
            </w:r>
          </w:p>
        </w:tc>
        <w:tc>
          <w:tcPr>
            <w:tcW w:w="106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26</w:t>
            </w:r>
          </w:p>
        </w:tc>
        <w:tc>
          <w:tcPr>
            <w:tcW w:w="1136"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1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19</w:t>
            </w:r>
          </w:p>
        </w:tc>
        <w:tc>
          <w:tcPr>
            <w:tcW w:w="2765"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1,1,2,2-四氯乙烷</w:t>
            </w:r>
          </w:p>
        </w:tc>
        <w:tc>
          <w:tcPr>
            <w:tcW w:w="139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79-34-5</w:t>
            </w:r>
          </w:p>
        </w:tc>
        <w:tc>
          <w:tcPr>
            <w:tcW w:w="11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1.6</w:t>
            </w:r>
          </w:p>
        </w:tc>
        <w:tc>
          <w:tcPr>
            <w:tcW w:w="103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6.8</w:t>
            </w:r>
          </w:p>
        </w:tc>
        <w:tc>
          <w:tcPr>
            <w:tcW w:w="106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14</w:t>
            </w:r>
          </w:p>
        </w:tc>
        <w:tc>
          <w:tcPr>
            <w:tcW w:w="1136"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1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20</w:t>
            </w:r>
          </w:p>
        </w:tc>
        <w:tc>
          <w:tcPr>
            <w:tcW w:w="2765"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四氯乙烯</w:t>
            </w:r>
          </w:p>
        </w:tc>
        <w:tc>
          <w:tcPr>
            <w:tcW w:w="139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127-18-4</w:t>
            </w:r>
          </w:p>
        </w:tc>
        <w:tc>
          <w:tcPr>
            <w:tcW w:w="11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11</w:t>
            </w:r>
          </w:p>
        </w:tc>
        <w:tc>
          <w:tcPr>
            <w:tcW w:w="103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53</w:t>
            </w:r>
          </w:p>
        </w:tc>
        <w:tc>
          <w:tcPr>
            <w:tcW w:w="106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34</w:t>
            </w:r>
          </w:p>
        </w:tc>
        <w:tc>
          <w:tcPr>
            <w:tcW w:w="1136"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1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21</w:t>
            </w:r>
          </w:p>
        </w:tc>
        <w:tc>
          <w:tcPr>
            <w:tcW w:w="2765"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1,1,1-三氯乙烷</w:t>
            </w:r>
          </w:p>
        </w:tc>
        <w:tc>
          <w:tcPr>
            <w:tcW w:w="139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71-55-6</w:t>
            </w:r>
          </w:p>
        </w:tc>
        <w:tc>
          <w:tcPr>
            <w:tcW w:w="11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701</w:t>
            </w:r>
          </w:p>
        </w:tc>
        <w:tc>
          <w:tcPr>
            <w:tcW w:w="103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840</w:t>
            </w:r>
          </w:p>
        </w:tc>
        <w:tc>
          <w:tcPr>
            <w:tcW w:w="106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840</w:t>
            </w:r>
          </w:p>
        </w:tc>
        <w:tc>
          <w:tcPr>
            <w:tcW w:w="1136"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840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1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22</w:t>
            </w:r>
          </w:p>
        </w:tc>
        <w:tc>
          <w:tcPr>
            <w:tcW w:w="2765"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1,1,2-三氯乙烷</w:t>
            </w:r>
          </w:p>
        </w:tc>
        <w:tc>
          <w:tcPr>
            <w:tcW w:w="139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79-00-5</w:t>
            </w:r>
          </w:p>
        </w:tc>
        <w:tc>
          <w:tcPr>
            <w:tcW w:w="11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0.6</w:t>
            </w:r>
          </w:p>
        </w:tc>
        <w:tc>
          <w:tcPr>
            <w:tcW w:w="103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2.8</w:t>
            </w:r>
          </w:p>
        </w:tc>
        <w:tc>
          <w:tcPr>
            <w:tcW w:w="106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5</w:t>
            </w:r>
          </w:p>
        </w:tc>
        <w:tc>
          <w:tcPr>
            <w:tcW w:w="1136"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1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23</w:t>
            </w:r>
          </w:p>
        </w:tc>
        <w:tc>
          <w:tcPr>
            <w:tcW w:w="2765"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三氯乙烯</w:t>
            </w:r>
          </w:p>
        </w:tc>
        <w:tc>
          <w:tcPr>
            <w:tcW w:w="139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79-01-6</w:t>
            </w:r>
          </w:p>
        </w:tc>
        <w:tc>
          <w:tcPr>
            <w:tcW w:w="11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0.7</w:t>
            </w:r>
          </w:p>
        </w:tc>
        <w:tc>
          <w:tcPr>
            <w:tcW w:w="103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2.8</w:t>
            </w:r>
          </w:p>
        </w:tc>
        <w:tc>
          <w:tcPr>
            <w:tcW w:w="106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7</w:t>
            </w:r>
          </w:p>
        </w:tc>
        <w:tc>
          <w:tcPr>
            <w:tcW w:w="1136"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1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24</w:t>
            </w:r>
          </w:p>
        </w:tc>
        <w:tc>
          <w:tcPr>
            <w:tcW w:w="2765"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1,2,3-三氯丙烷</w:t>
            </w:r>
          </w:p>
        </w:tc>
        <w:tc>
          <w:tcPr>
            <w:tcW w:w="139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96-18-4</w:t>
            </w:r>
          </w:p>
        </w:tc>
        <w:tc>
          <w:tcPr>
            <w:tcW w:w="11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0.05</w:t>
            </w:r>
          </w:p>
        </w:tc>
        <w:tc>
          <w:tcPr>
            <w:tcW w:w="103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0.5</w:t>
            </w:r>
          </w:p>
        </w:tc>
        <w:tc>
          <w:tcPr>
            <w:tcW w:w="106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0.5</w:t>
            </w:r>
          </w:p>
        </w:tc>
        <w:tc>
          <w:tcPr>
            <w:tcW w:w="1136"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1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25</w:t>
            </w:r>
          </w:p>
        </w:tc>
        <w:tc>
          <w:tcPr>
            <w:tcW w:w="2765"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氯乙烯</w:t>
            </w:r>
          </w:p>
        </w:tc>
        <w:tc>
          <w:tcPr>
            <w:tcW w:w="139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75-01-4</w:t>
            </w:r>
          </w:p>
        </w:tc>
        <w:tc>
          <w:tcPr>
            <w:tcW w:w="11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0.12</w:t>
            </w:r>
          </w:p>
        </w:tc>
        <w:tc>
          <w:tcPr>
            <w:tcW w:w="103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0.43</w:t>
            </w:r>
          </w:p>
        </w:tc>
        <w:tc>
          <w:tcPr>
            <w:tcW w:w="106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1.2</w:t>
            </w:r>
          </w:p>
        </w:tc>
        <w:tc>
          <w:tcPr>
            <w:tcW w:w="1136"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1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26</w:t>
            </w:r>
          </w:p>
        </w:tc>
        <w:tc>
          <w:tcPr>
            <w:tcW w:w="2765"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苯</w:t>
            </w:r>
          </w:p>
        </w:tc>
        <w:tc>
          <w:tcPr>
            <w:tcW w:w="139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71-43-2</w:t>
            </w:r>
          </w:p>
        </w:tc>
        <w:tc>
          <w:tcPr>
            <w:tcW w:w="11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w:t>
            </w:r>
          </w:p>
        </w:tc>
        <w:tc>
          <w:tcPr>
            <w:tcW w:w="103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4</w:t>
            </w:r>
          </w:p>
        </w:tc>
        <w:tc>
          <w:tcPr>
            <w:tcW w:w="106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10</w:t>
            </w:r>
          </w:p>
        </w:tc>
        <w:tc>
          <w:tcPr>
            <w:tcW w:w="1136"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1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27</w:t>
            </w:r>
          </w:p>
        </w:tc>
        <w:tc>
          <w:tcPr>
            <w:tcW w:w="2765"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氯苯</w:t>
            </w:r>
          </w:p>
        </w:tc>
        <w:tc>
          <w:tcPr>
            <w:tcW w:w="139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108-90-7</w:t>
            </w:r>
          </w:p>
        </w:tc>
        <w:tc>
          <w:tcPr>
            <w:tcW w:w="11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68</w:t>
            </w:r>
          </w:p>
        </w:tc>
        <w:tc>
          <w:tcPr>
            <w:tcW w:w="103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270</w:t>
            </w:r>
          </w:p>
        </w:tc>
        <w:tc>
          <w:tcPr>
            <w:tcW w:w="106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200</w:t>
            </w:r>
          </w:p>
        </w:tc>
        <w:tc>
          <w:tcPr>
            <w:tcW w:w="1136"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1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28</w:t>
            </w:r>
          </w:p>
        </w:tc>
        <w:tc>
          <w:tcPr>
            <w:tcW w:w="2765"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1,2-二氯苯</w:t>
            </w:r>
          </w:p>
        </w:tc>
        <w:tc>
          <w:tcPr>
            <w:tcW w:w="139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95-50-1</w:t>
            </w:r>
          </w:p>
        </w:tc>
        <w:tc>
          <w:tcPr>
            <w:tcW w:w="11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560</w:t>
            </w:r>
          </w:p>
        </w:tc>
        <w:tc>
          <w:tcPr>
            <w:tcW w:w="103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560</w:t>
            </w:r>
          </w:p>
        </w:tc>
        <w:tc>
          <w:tcPr>
            <w:tcW w:w="106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560</w:t>
            </w:r>
          </w:p>
        </w:tc>
        <w:tc>
          <w:tcPr>
            <w:tcW w:w="1136"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1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29</w:t>
            </w:r>
          </w:p>
        </w:tc>
        <w:tc>
          <w:tcPr>
            <w:tcW w:w="2765"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1,4-二氯苯</w:t>
            </w:r>
          </w:p>
        </w:tc>
        <w:tc>
          <w:tcPr>
            <w:tcW w:w="139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106-46-7</w:t>
            </w:r>
          </w:p>
        </w:tc>
        <w:tc>
          <w:tcPr>
            <w:tcW w:w="11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5.6</w:t>
            </w:r>
          </w:p>
        </w:tc>
        <w:tc>
          <w:tcPr>
            <w:tcW w:w="103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20</w:t>
            </w:r>
          </w:p>
        </w:tc>
        <w:tc>
          <w:tcPr>
            <w:tcW w:w="106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56</w:t>
            </w:r>
          </w:p>
        </w:tc>
        <w:tc>
          <w:tcPr>
            <w:tcW w:w="1136"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1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30</w:t>
            </w:r>
          </w:p>
        </w:tc>
        <w:tc>
          <w:tcPr>
            <w:tcW w:w="2765"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乙苯</w:t>
            </w:r>
          </w:p>
        </w:tc>
        <w:tc>
          <w:tcPr>
            <w:tcW w:w="139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100-41-4</w:t>
            </w:r>
          </w:p>
        </w:tc>
        <w:tc>
          <w:tcPr>
            <w:tcW w:w="11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7.2</w:t>
            </w:r>
          </w:p>
        </w:tc>
        <w:tc>
          <w:tcPr>
            <w:tcW w:w="103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28</w:t>
            </w:r>
          </w:p>
        </w:tc>
        <w:tc>
          <w:tcPr>
            <w:tcW w:w="106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72</w:t>
            </w:r>
          </w:p>
        </w:tc>
        <w:tc>
          <w:tcPr>
            <w:tcW w:w="1136"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1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31</w:t>
            </w:r>
          </w:p>
        </w:tc>
        <w:tc>
          <w:tcPr>
            <w:tcW w:w="2765"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苯乙烯</w:t>
            </w:r>
          </w:p>
        </w:tc>
        <w:tc>
          <w:tcPr>
            <w:tcW w:w="139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100-42-5</w:t>
            </w:r>
          </w:p>
        </w:tc>
        <w:tc>
          <w:tcPr>
            <w:tcW w:w="11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1290</w:t>
            </w:r>
          </w:p>
        </w:tc>
        <w:tc>
          <w:tcPr>
            <w:tcW w:w="103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1290</w:t>
            </w:r>
          </w:p>
        </w:tc>
        <w:tc>
          <w:tcPr>
            <w:tcW w:w="106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1290</w:t>
            </w:r>
          </w:p>
        </w:tc>
        <w:tc>
          <w:tcPr>
            <w:tcW w:w="1136"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1290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1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32</w:t>
            </w:r>
          </w:p>
        </w:tc>
        <w:tc>
          <w:tcPr>
            <w:tcW w:w="2765"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甲苯</w:t>
            </w:r>
          </w:p>
        </w:tc>
        <w:tc>
          <w:tcPr>
            <w:tcW w:w="139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108-88-3</w:t>
            </w:r>
          </w:p>
        </w:tc>
        <w:tc>
          <w:tcPr>
            <w:tcW w:w="11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1200</w:t>
            </w:r>
          </w:p>
        </w:tc>
        <w:tc>
          <w:tcPr>
            <w:tcW w:w="103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1200</w:t>
            </w:r>
          </w:p>
        </w:tc>
        <w:tc>
          <w:tcPr>
            <w:tcW w:w="106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1200</w:t>
            </w:r>
          </w:p>
        </w:tc>
        <w:tc>
          <w:tcPr>
            <w:tcW w:w="1136"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1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33</w:t>
            </w:r>
          </w:p>
        </w:tc>
        <w:tc>
          <w:tcPr>
            <w:tcW w:w="2765"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间二甲苯+对二甲苯</w:t>
            </w:r>
          </w:p>
        </w:tc>
        <w:tc>
          <w:tcPr>
            <w:tcW w:w="139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108-38-3</w:t>
            </w:r>
          </w:p>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106-42-3</w:t>
            </w:r>
          </w:p>
        </w:tc>
        <w:tc>
          <w:tcPr>
            <w:tcW w:w="11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163</w:t>
            </w:r>
          </w:p>
        </w:tc>
        <w:tc>
          <w:tcPr>
            <w:tcW w:w="103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570</w:t>
            </w:r>
          </w:p>
        </w:tc>
        <w:tc>
          <w:tcPr>
            <w:tcW w:w="106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500</w:t>
            </w:r>
          </w:p>
        </w:tc>
        <w:tc>
          <w:tcPr>
            <w:tcW w:w="1136"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570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1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34</w:t>
            </w:r>
          </w:p>
        </w:tc>
        <w:tc>
          <w:tcPr>
            <w:tcW w:w="2765"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邻二甲苯</w:t>
            </w:r>
          </w:p>
        </w:tc>
        <w:tc>
          <w:tcPr>
            <w:tcW w:w="139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95-47-6</w:t>
            </w:r>
          </w:p>
        </w:tc>
        <w:tc>
          <w:tcPr>
            <w:tcW w:w="11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222</w:t>
            </w:r>
          </w:p>
        </w:tc>
        <w:tc>
          <w:tcPr>
            <w:tcW w:w="103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640</w:t>
            </w:r>
          </w:p>
        </w:tc>
        <w:tc>
          <w:tcPr>
            <w:tcW w:w="106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640</w:t>
            </w:r>
          </w:p>
        </w:tc>
        <w:tc>
          <w:tcPr>
            <w:tcW w:w="1136"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640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340" w:type="dxa"/>
            <w:gridSpan w:val="7"/>
            <w:vAlign w:val="center"/>
          </w:tcPr>
          <w:p>
            <w:pPr>
              <w:pStyle w:val="45"/>
              <w:keepNext w:val="0"/>
              <w:keepLines w:val="0"/>
              <w:suppressLineNumbers w:val="0"/>
              <w:spacing w:before="0" w:beforeAutospacing="0" w:after="0" w:afterAutospacing="0" w:line="240" w:lineRule="auto"/>
              <w:ind w:left="422" w:right="0" w:hanging="422"/>
              <w:rPr>
                <w:rFonts w:hint="eastAsia" w:ascii="Times New Roman" w:hAnsi="Times New Roman"/>
                <w:bCs/>
                <w:kern w:val="2"/>
                <w:szCs w:val="21"/>
              </w:rPr>
            </w:pPr>
            <w:r>
              <w:rPr>
                <w:rFonts w:hint="eastAsia" w:ascii="Times New Roman" w:hAnsi="Times New Roman"/>
                <w:b/>
                <w:kern w:val="2"/>
                <w:szCs w:val="21"/>
              </w:rPr>
              <w:t>半挥发性有机物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1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35</w:t>
            </w:r>
          </w:p>
        </w:tc>
        <w:tc>
          <w:tcPr>
            <w:tcW w:w="2765"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硝基苯</w:t>
            </w:r>
          </w:p>
        </w:tc>
        <w:tc>
          <w:tcPr>
            <w:tcW w:w="139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98-98-3</w:t>
            </w:r>
          </w:p>
        </w:tc>
        <w:tc>
          <w:tcPr>
            <w:tcW w:w="11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34</w:t>
            </w:r>
          </w:p>
        </w:tc>
        <w:tc>
          <w:tcPr>
            <w:tcW w:w="103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76</w:t>
            </w:r>
          </w:p>
        </w:tc>
        <w:tc>
          <w:tcPr>
            <w:tcW w:w="106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190</w:t>
            </w:r>
          </w:p>
        </w:tc>
        <w:tc>
          <w:tcPr>
            <w:tcW w:w="1136"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760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1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36</w:t>
            </w:r>
          </w:p>
        </w:tc>
        <w:tc>
          <w:tcPr>
            <w:tcW w:w="2765"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苯胺</w:t>
            </w:r>
          </w:p>
        </w:tc>
        <w:tc>
          <w:tcPr>
            <w:tcW w:w="139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62-53-3</w:t>
            </w:r>
          </w:p>
        </w:tc>
        <w:tc>
          <w:tcPr>
            <w:tcW w:w="11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92</w:t>
            </w:r>
          </w:p>
        </w:tc>
        <w:tc>
          <w:tcPr>
            <w:tcW w:w="103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260</w:t>
            </w:r>
          </w:p>
        </w:tc>
        <w:tc>
          <w:tcPr>
            <w:tcW w:w="106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211</w:t>
            </w:r>
          </w:p>
        </w:tc>
        <w:tc>
          <w:tcPr>
            <w:tcW w:w="1136"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663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1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37</w:t>
            </w:r>
          </w:p>
        </w:tc>
        <w:tc>
          <w:tcPr>
            <w:tcW w:w="2765"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2-氯酚</w:t>
            </w:r>
          </w:p>
        </w:tc>
        <w:tc>
          <w:tcPr>
            <w:tcW w:w="139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95-57-8</w:t>
            </w:r>
          </w:p>
        </w:tc>
        <w:tc>
          <w:tcPr>
            <w:tcW w:w="11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250</w:t>
            </w:r>
          </w:p>
        </w:tc>
        <w:tc>
          <w:tcPr>
            <w:tcW w:w="103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2256</w:t>
            </w:r>
          </w:p>
        </w:tc>
        <w:tc>
          <w:tcPr>
            <w:tcW w:w="106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500</w:t>
            </w:r>
          </w:p>
        </w:tc>
        <w:tc>
          <w:tcPr>
            <w:tcW w:w="1136"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4500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1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38</w:t>
            </w:r>
          </w:p>
        </w:tc>
        <w:tc>
          <w:tcPr>
            <w:tcW w:w="2765"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苯并[a]蒽</w:t>
            </w:r>
          </w:p>
        </w:tc>
        <w:tc>
          <w:tcPr>
            <w:tcW w:w="139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56-55-3</w:t>
            </w:r>
          </w:p>
        </w:tc>
        <w:tc>
          <w:tcPr>
            <w:tcW w:w="11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5.5</w:t>
            </w:r>
          </w:p>
        </w:tc>
        <w:tc>
          <w:tcPr>
            <w:tcW w:w="103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15</w:t>
            </w:r>
          </w:p>
        </w:tc>
        <w:tc>
          <w:tcPr>
            <w:tcW w:w="106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55</w:t>
            </w:r>
          </w:p>
        </w:tc>
        <w:tc>
          <w:tcPr>
            <w:tcW w:w="1136"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1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39</w:t>
            </w:r>
          </w:p>
        </w:tc>
        <w:tc>
          <w:tcPr>
            <w:tcW w:w="2765"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苯并[a]芘</w:t>
            </w:r>
          </w:p>
        </w:tc>
        <w:tc>
          <w:tcPr>
            <w:tcW w:w="139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50-32-8</w:t>
            </w:r>
          </w:p>
        </w:tc>
        <w:tc>
          <w:tcPr>
            <w:tcW w:w="11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0.55</w:t>
            </w:r>
          </w:p>
        </w:tc>
        <w:tc>
          <w:tcPr>
            <w:tcW w:w="103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1.5</w:t>
            </w:r>
          </w:p>
        </w:tc>
        <w:tc>
          <w:tcPr>
            <w:tcW w:w="106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5.5</w:t>
            </w:r>
          </w:p>
        </w:tc>
        <w:tc>
          <w:tcPr>
            <w:tcW w:w="1136"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1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40</w:t>
            </w:r>
          </w:p>
        </w:tc>
        <w:tc>
          <w:tcPr>
            <w:tcW w:w="2765"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苯并[b]荧蒽</w:t>
            </w:r>
          </w:p>
        </w:tc>
        <w:tc>
          <w:tcPr>
            <w:tcW w:w="139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205-32-8</w:t>
            </w:r>
          </w:p>
        </w:tc>
        <w:tc>
          <w:tcPr>
            <w:tcW w:w="11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5.5</w:t>
            </w:r>
          </w:p>
        </w:tc>
        <w:tc>
          <w:tcPr>
            <w:tcW w:w="103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15</w:t>
            </w:r>
          </w:p>
        </w:tc>
        <w:tc>
          <w:tcPr>
            <w:tcW w:w="106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55</w:t>
            </w:r>
          </w:p>
        </w:tc>
        <w:tc>
          <w:tcPr>
            <w:tcW w:w="1136"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1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41</w:t>
            </w:r>
          </w:p>
        </w:tc>
        <w:tc>
          <w:tcPr>
            <w:tcW w:w="2765"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苯并[k]荧蒽</w:t>
            </w:r>
          </w:p>
        </w:tc>
        <w:tc>
          <w:tcPr>
            <w:tcW w:w="139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207-08-9</w:t>
            </w:r>
          </w:p>
        </w:tc>
        <w:tc>
          <w:tcPr>
            <w:tcW w:w="11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55</w:t>
            </w:r>
          </w:p>
        </w:tc>
        <w:tc>
          <w:tcPr>
            <w:tcW w:w="103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151</w:t>
            </w:r>
          </w:p>
        </w:tc>
        <w:tc>
          <w:tcPr>
            <w:tcW w:w="106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550</w:t>
            </w:r>
          </w:p>
        </w:tc>
        <w:tc>
          <w:tcPr>
            <w:tcW w:w="1136"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1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42</w:t>
            </w:r>
          </w:p>
        </w:tc>
        <w:tc>
          <w:tcPr>
            <w:tcW w:w="2765"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䓛</w:t>
            </w:r>
          </w:p>
        </w:tc>
        <w:tc>
          <w:tcPr>
            <w:tcW w:w="139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218-01-9</w:t>
            </w:r>
          </w:p>
        </w:tc>
        <w:tc>
          <w:tcPr>
            <w:tcW w:w="11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490</w:t>
            </w:r>
          </w:p>
        </w:tc>
        <w:tc>
          <w:tcPr>
            <w:tcW w:w="103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1293</w:t>
            </w:r>
          </w:p>
        </w:tc>
        <w:tc>
          <w:tcPr>
            <w:tcW w:w="106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4900</w:t>
            </w:r>
          </w:p>
        </w:tc>
        <w:tc>
          <w:tcPr>
            <w:tcW w:w="1136"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12900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1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43</w:t>
            </w:r>
          </w:p>
        </w:tc>
        <w:tc>
          <w:tcPr>
            <w:tcW w:w="2765"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二苯并[a，h]蒽</w:t>
            </w:r>
          </w:p>
        </w:tc>
        <w:tc>
          <w:tcPr>
            <w:tcW w:w="139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53-70-3</w:t>
            </w:r>
          </w:p>
        </w:tc>
        <w:tc>
          <w:tcPr>
            <w:tcW w:w="11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0.55</w:t>
            </w:r>
          </w:p>
        </w:tc>
        <w:tc>
          <w:tcPr>
            <w:tcW w:w="103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1.5</w:t>
            </w:r>
          </w:p>
        </w:tc>
        <w:tc>
          <w:tcPr>
            <w:tcW w:w="106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5.5</w:t>
            </w:r>
          </w:p>
        </w:tc>
        <w:tc>
          <w:tcPr>
            <w:tcW w:w="1136"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1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44</w:t>
            </w:r>
          </w:p>
        </w:tc>
        <w:tc>
          <w:tcPr>
            <w:tcW w:w="2765"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茚并[1,2,3-cd]芘</w:t>
            </w:r>
          </w:p>
        </w:tc>
        <w:tc>
          <w:tcPr>
            <w:tcW w:w="139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193-39-5</w:t>
            </w:r>
          </w:p>
        </w:tc>
        <w:tc>
          <w:tcPr>
            <w:tcW w:w="11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5.5</w:t>
            </w:r>
          </w:p>
        </w:tc>
        <w:tc>
          <w:tcPr>
            <w:tcW w:w="103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15</w:t>
            </w:r>
          </w:p>
        </w:tc>
        <w:tc>
          <w:tcPr>
            <w:tcW w:w="106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55</w:t>
            </w:r>
          </w:p>
        </w:tc>
        <w:tc>
          <w:tcPr>
            <w:tcW w:w="1136"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1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45</w:t>
            </w:r>
          </w:p>
        </w:tc>
        <w:tc>
          <w:tcPr>
            <w:tcW w:w="2765"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萘</w:t>
            </w:r>
          </w:p>
        </w:tc>
        <w:tc>
          <w:tcPr>
            <w:tcW w:w="139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91-20-3</w:t>
            </w:r>
          </w:p>
        </w:tc>
        <w:tc>
          <w:tcPr>
            <w:tcW w:w="11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25</w:t>
            </w:r>
          </w:p>
        </w:tc>
        <w:tc>
          <w:tcPr>
            <w:tcW w:w="103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70</w:t>
            </w:r>
          </w:p>
        </w:tc>
        <w:tc>
          <w:tcPr>
            <w:tcW w:w="106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255</w:t>
            </w:r>
          </w:p>
        </w:tc>
        <w:tc>
          <w:tcPr>
            <w:tcW w:w="1136"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700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340" w:type="dxa"/>
            <w:gridSpan w:val="7"/>
            <w:vAlign w:val="center"/>
          </w:tcPr>
          <w:p>
            <w:pPr>
              <w:pStyle w:val="45"/>
              <w:keepNext w:val="0"/>
              <w:keepLines w:val="0"/>
              <w:suppressLineNumbers w:val="0"/>
              <w:spacing w:before="0" w:beforeAutospacing="0" w:after="0" w:afterAutospacing="0" w:line="240" w:lineRule="auto"/>
              <w:ind w:left="420" w:right="0" w:hanging="420"/>
              <w:jc w:val="left"/>
              <w:rPr>
                <w:rFonts w:hint="eastAsia" w:ascii="Times New Roman" w:hAnsi="Times New Roman"/>
                <w:bCs/>
                <w:kern w:val="2"/>
                <w:szCs w:val="21"/>
              </w:rPr>
            </w:pPr>
            <w:r>
              <w:rPr>
                <w:rFonts w:hint="eastAsia" w:ascii="Times New Roman" w:hAnsi="Times New Roman"/>
                <w:bCs/>
                <w:kern w:val="2"/>
                <w:szCs w:val="21"/>
              </w:rPr>
              <w:t>注：①具体地块土壤中污染物检测含量超过筛选值，但等于或者低于土壤环境背景值（见3.6）水平的，纳入污染地块管理，土壤环境背景值可参考附录A。</w:t>
            </w:r>
          </w:p>
        </w:tc>
      </w:tr>
    </w:tbl>
    <w:p>
      <w:pPr>
        <w:spacing w:line="360" w:lineRule="auto"/>
        <w:ind w:firstLine="480" w:firstLineChars="200"/>
        <w:rPr>
          <w:rFonts w:hAnsi="Times New Roman" w:eastAsia="宋体"/>
          <w:lang w:eastAsia="zh-CN"/>
        </w:rPr>
      </w:pPr>
      <w:r>
        <w:rPr>
          <w:rFonts w:hAnsi="Times New Roman" w:eastAsia="宋体"/>
          <w:lang w:eastAsia="zh-CN"/>
        </w:rPr>
        <w:t>用地范围外农用地土壤环境执行《土壤环境质量农用地土壤污染风险管控标准（试行）》（GB15618-2018）表1 中相关标准，详见下表。</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表1.5-</w:t>
      </w:r>
      <w:r>
        <w:rPr>
          <w:rFonts w:hint="eastAsia" w:hAnsi="Times New Roman" w:eastAsia="宋体"/>
          <w:b/>
          <w:bCs/>
          <w:sz w:val="21"/>
          <w:szCs w:val="21"/>
          <w:lang w:eastAsia="zh-CN"/>
        </w:rPr>
        <w:t>7</w:t>
      </w:r>
      <w:r>
        <w:rPr>
          <w:rFonts w:hAnsi="Times New Roman" w:eastAsia="宋体"/>
          <w:b/>
          <w:bCs/>
          <w:sz w:val="21"/>
          <w:szCs w:val="21"/>
          <w:lang w:eastAsia="zh-CN"/>
        </w:rPr>
        <w:t xml:space="preserve"> （GB15618-2018）表1 农用地土壤污染风险筛选值单位：mg/kg</w:t>
      </w:r>
    </w:p>
    <w:tbl>
      <w:tblPr>
        <w:tblStyle w:val="34"/>
        <w:tblW w:w="92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8"/>
        <w:gridCol w:w="960"/>
        <w:gridCol w:w="911"/>
        <w:gridCol w:w="1551"/>
        <w:gridCol w:w="1599"/>
        <w:gridCol w:w="1564"/>
        <w:gridCol w:w="19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778" w:type="dxa"/>
            <w:vMerge w:val="restart"/>
            <w:vAlign w:val="center"/>
          </w:tcPr>
          <w:p>
            <w:pPr>
              <w:pStyle w:val="45"/>
              <w:keepNext w:val="0"/>
              <w:keepLines w:val="0"/>
              <w:suppressLineNumbers w:val="0"/>
              <w:spacing w:before="0" w:beforeAutospacing="0" w:after="0" w:afterAutospacing="0" w:line="240" w:lineRule="auto"/>
              <w:ind w:left="422" w:right="0" w:hanging="422"/>
              <w:rPr>
                <w:rFonts w:hint="eastAsia" w:ascii="Times New Roman" w:hAnsi="Times New Roman"/>
                <w:b/>
                <w:kern w:val="2"/>
                <w:szCs w:val="21"/>
              </w:rPr>
            </w:pPr>
            <w:r>
              <w:rPr>
                <w:rFonts w:hint="eastAsia" w:ascii="Times New Roman" w:hAnsi="Times New Roman"/>
                <w:b/>
                <w:kern w:val="2"/>
                <w:szCs w:val="21"/>
              </w:rPr>
              <w:t>序号</w:t>
            </w:r>
          </w:p>
        </w:tc>
        <w:tc>
          <w:tcPr>
            <w:tcW w:w="1871" w:type="dxa"/>
            <w:gridSpan w:val="2"/>
            <w:vMerge w:val="restart"/>
            <w:vAlign w:val="center"/>
          </w:tcPr>
          <w:p>
            <w:pPr>
              <w:pStyle w:val="45"/>
              <w:keepNext w:val="0"/>
              <w:keepLines w:val="0"/>
              <w:suppressLineNumbers w:val="0"/>
              <w:spacing w:before="0" w:beforeAutospacing="0" w:after="0" w:afterAutospacing="0" w:line="240" w:lineRule="auto"/>
              <w:ind w:left="422" w:right="0" w:hanging="422"/>
              <w:rPr>
                <w:rFonts w:hint="eastAsia" w:ascii="Times New Roman" w:hAnsi="Times New Roman"/>
                <w:b/>
                <w:kern w:val="2"/>
                <w:szCs w:val="21"/>
              </w:rPr>
            </w:pPr>
            <w:r>
              <w:rPr>
                <w:rFonts w:hint="eastAsia" w:ascii="Times New Roman" w:hAnsi="Times New Roman"/>
                <w:b/>
                <w:kern w:val="2"/>
                <w:szCs w:val="21"/>
              </w:rPr>
              <w:t>污染物项目</w:t>
            </w:r>
          </w:p>
        </w:tc>
        <w:tc>
          <w:tcPr>
            <w:tcW w:w="6631" w:type="dxa"/>
            <w:gridSpan w:val="4"/>
            <w:vAlign w:val="center"/>
          </w:tcPr>
          <w:p>
            <w:pPr>
              <w:pStyle w:val="45"/>
              <w:keepNext w:val="0"/>
              <w:keepLines w:val="0"/>
              <w:suppressLineNumbers w:val="0"/>
              <w:spacing w:before="0" w:beforeAutospacing="0" w:after="0" w:afterAutospacing="0" w:line="240" w:lineRule="auto"/>
              <w:ind w:left="422" w:right="0" w:hanging="422"/>
              <w:rPr>
                <w:rFonts w:hint="eastAsia" w:ascii="Times New Roman" w:hAnsi="Times New Roman"/>
                <w:b/>
                <w:kern w:val="2"/>
                <w:szCs w:val="21"/>
              </w:rPr>
            </w:pPr>
            <w:r>
              <w:rPr>
                <w:rFonts w:hint="eastAsia" w:ascii="Times New Roman" w:hAnsi="Times New Roman"/>
                <w:b/>
                <w:kern w:val="2"/>
                <w:szCs w:val="21"/>
              </w:rPr>
              <w:t>风险筛选值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778" w:type="dxa"/>
            <w:vMerge w:val="continue"/>
            <w:vAlign w:val="center"/>
          </w:tcPr>
          <w:p>
            <w:pPr>
              <w:pStyle w:val="45"/>
              <w:keepNext w:val="0"/>
              <w:keepLines w:val="0"/>
              <w:suppressLineNumbers w:val="0"/>
              <w:spacing w:before="0" w:beforeAutospacing="0" w:after="0" w:afterAutospacing="0" w:line="240" w:lineRule="auto"/>
              <w:ind w:left="422" w:right="0" w:hanging="422"/>
              <w:rPr>
                <w:rFonts w:hint="eastAsia" w:ascii="Times New Roman" w:hAnsi="Times New Roman"/>
                <w:b/>
                <w:kern w:val="2"/>
                <w:szCs w:val="21"/>
              </w:rPr>
            </w:pPr>
          </w:p>
        </w:tc>
        <w:tc>
          <w:tcPr>
            <w:tcW w:w="1871" w:type="dxa"/>
            <w:gridSpan w:val="2"/>
            <w:vMerge w:val="continue"/>
            <w:vAlign w:val="center"/>
          </w:tcPr>
          <w:p>
            <w:pPr>
              <w:pStyle w:val="45"/>
              <w:keepNext w:val="0"/>
              <w:keepLines w:val="0"/>
              <w:suppressLineNumbers w:val="0"/>
              <w:spacing w:before="0" w:beforeAutospacing="0" w:after="0" w:afterAutospacing="0" w:line="240" w:lineRule="auto"/>
              <w:ind w:left="422" w:right="0" w:hanging="422"/>
              <w:rPr>
                <w:rFonts w:hint="eastAsia" w:ascii="Times New Roman" w:hAnsi="Times New Roman"/>
                <w:b/>
                <w:kern w:val="2"/>
                <w:szCs w:val="21"/>
              </w:rPr>
            </w:pPr>
          </w:p>
        </w:tc>
        <w:tc>
          <w:tcPr>
            <w:tcW w:w="1551" w:type="dxa"/>
            <w:vAlign w:val="center"/>
          </w:tcPr>
          <w:p>
            <w:pPr>
              <w:pStyle w:val="45"/>
              <w:keepNext w:val="0"/>
              <w:keepLines w:val="0"/>
              <w:suppressLineNumbers w:val="0"/>
              <w:spacing w:before="0" w:beforeAutospacing="0" w:after="0" w:afterAutospacing="0" w:line="240" w:lineRule="auto"/>
              <w:ind w:left="422" w:right="0" w:hanging="422"/>
              <w:rPr>
                <w:rFonts w:hint="eastAsia" w:ascii="Times New Roman" w:hAnsi="Times New Roman"/>
                <w:b/>
                <w:kern w:val="2"/>
                <w:szCs w:val="21"/>
              </w:rPr>
            </w:pPr>
            <w:r>
              <w:rPr>
                <w:rFonts w:hint="eastAsia" w:ascii="Times New Roman" w:hAnsi="Times New Roman"/>
                <w:b/>
                <w:kern w:val="2"/>
                <w:szCs w:val="21"/>
              </w:rPr>
              <w:t>pH≤5.5</w:t>
            </w:r>
          </w:p>
        </w:tc>
        <w:tc>
          <w:tcPr>
            <w:tcW w:w="1599" w:type="dxa"/>
            <w:vAlign w:val="center"/>
          </w:tcPr>
          <w:p>
            <w:pPr>
              <w:pStyle w:val="45"/>
              <w:keepNext w:val="0"/>
              <w:keepLines w:val="0"/>
              <w:suppressLineNumbers w:val="0"/>
              <w:spacing w:before="0" w:beforeAutospacing="0" w:after="0" w:afterAutospacing="0" w:line="240" w:lineRule="auto"/>
              <w:ind w:left="422" w:right="0" w:hanging="422"/>
              <w:rPr>
                <w:rFonts w:hint="eastAsia" w:ascii="Times New Roman" w:hAnsi="Times New Roman"/>
                <w:b/>
                <w:kern w:val="2"/>
                <w:szCs w:val="21"/>
              </w:rPr>
            </w:pPr>
            <w:r>
              <w:rPr>
                <w:rFonts w:hint="eastAsia" w:ascii="Times New Roman" w:hAnsi="Times New Roman"/>
                <w:b/>
                <w:kern w:val="2"/>
                <w:szCs w:val="21"/>
              </w:rPr>
              <w:t>5.5≤pH≤6.5</w:t>
            </w:r>
          </w:p>
        </w:tc>
        <w:tc>
          <w:tcPr>
            <w:tcW w:w="1564" w:type="dxa"/>
            <w:vAlign w:val="center"/>
          </w:tcPr>
          <w:p>
            <w:pPr>
              <w:pStyle w:val="45"/>
              <w:keepNext w:val="0"/>
              <w:keepLines w:val="0"/>
              <w:suppressLineNumbers w:val="0"/>
              <w:spacing w:before="0" w:beforeAutospacing="0" w:after="0" w:afterAutospacing="0" w:line="240" w:lineRule="auto"/>
              <w:ind w:left="422" w:right="0" w:hanging="422"/>
              <w:rPr>
                <w:rFonts w:hint="eastAsia" w:ascii="Times New Roman" w:hAnsi="Times New Roman"/>
                <w:b/>
                <w:kern w:val="2"/>
                <w:szCs w:val="21"/>
              </w:rPr>
            </w:pPr>
            <w:r>
              <w:rPr>
                <w:rFonts w:hint="eastAsia" w:ascii="Times New Roman" w:hAnsi="Times New Roman"/>
                <w:b/>
                <w:kern w:val="2"/>
                <w:szCs w:val="21"/>
              </w:rPr>
              <w:t>6.5≤pH≤7.5</w:t>
            </w:r>
          </w:p>
        </w:tc>
        <w:tc>
          <w:tcPr>
            <w:tcW w:w="1917" w:type="dxa"/>
            <w:vAlign w:val="center"/>
          </w:tcPr>
          <w:p>
            <w:pPr>
              <w:pStyle w:val="45"/>
              <w:keepNext w:val="0"/>
              <w:keepLines w:val="0"/>
              <w:suppressLineNumbers w:val="0"/>
              <w:spacing w:before="0" w:beforeAutospacing="0" w:after="0" w:afterAutospacing="0" w:line="240" w:lineRule="auto"/>
              <w:ind w:left="422" w:right="0" w:hanging="422"/>
              <w:rPr>
                <w:rFonts w:hint="eastAsia" w:ascii="Times New Roman" w:hAnsi="Times New Roman"/>
                <w:b/>
                <w:kern w:val="2"/>
                <w:szCs w:val="21"/>
              </w:rPr>
            </w:pPr>
            <w:r>
              <w:rPr>
                <w:rFonts w:hint="eastAsia" w:ascii="Times New Roman" w:hAnsi="Times New Roman"/>
                <w:b/>
                <w:kern w:val="2"/>
                <w:szCs w:val="21"/>
              </w:rPr>
              <w:t>7.5≤pH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8" w:type="dxa"/>
            <w:vMerge w:val="restart"/>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w:t>
            </w:r>
          </w:p>
        </w:tc>
        <w:tc>
          <w:tcPr>
            <w:tcW w:w="960" w:type="dxa"/>
            <w:vMerge w:val="restart"/>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镉</w:t>
            </w:r>
          </w:p>
        </w:tc>
        <w:tc>
          <w:tcPr>
            <w:tcW w:w="911"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水田</w:t>
            </w:r>
          </w:p>
        </w:tc>
        <w:tc>
          <w:tcPr>
            <w:tcW w:w="1551"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0.3</w:t>
            </w:r>
          </w:p>
        </w:tc>
        <w:tc>
          <w:tcPr>
            <w:tcW w:w="159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0.4</w:t>
            </w:r>
          </w:p>
        </w:tc>
        <w:tc>
          <w:tcPr>
            <w:tcW w:w="1564"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0.6</w:t>
            </w:r>
          </w:p>
        </w:tc>
        <w:tc>
          <w:tcPr>
            <w:tcW w:w="19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8" w:type="dxa"/>
            <w:vMerge w:val="continue"/>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p>
        </w:tc>
        <w:tc>
          <w:tcPr>
            <w:tcW w:w="960" w:type="dxa"/>
            <w:vMerge w:val="continue"/>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p>
        </w:tc>
        <w:tc>
          <w:tcPr>
            <w:tcW w:w="911"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其他</w:t>
            </w:r>
          </w:p>
        </w:tc>
        <w:tc>
          <w:tcPr>
            <w:tcW w:w="1551"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0.3</w:t>
            </w:r>
          </w:p>
        </w:tc>
        <w:tc>
          <w:tcPr>
            <w:tcW w:w="159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0.3</w:t>
            </w:r>
          </w:p>
        </w:tc>
        <w:tc>
          <w:tcPr>
            <w:tcW w:w="1564"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0.3</w:t>
            </w:r>
          </w:p>
        </w:tc>
        <w:tc>
          <w:tcPr>
            <w:tcW w:w="19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8" w:type="dxa"/>
            <w:vMerge w:val="restart"/>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w:t>
            </w:r>
          </w:p>
        </w:tc>
        <w:tc>
          <w:tcPr>
            <w:tcW w:w="960" w:type="dxa"/>
            <w:vMerge w:val="restart"/>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汞</w:t>
            </w:r>
          </w:p>
        </w:tc>
        <w:tc>
          <w:tcPr>
            <w:tcW w:w="911"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水田</w:t>
            </w:r>
          </w:p>
        </w:tc>
        <w:tc>
          <w:tcPr>
            <w:tcW w:w="1551"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0.5</w:t>
            </w:r>
          </w:p>
        </w:tc>
        <w:tc>
          <w:tcPr>
            <w:tcW w:w="159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0.5</w:t>
            </w:r>
          </w:p>
        </w:tc>
        <w:tc>
          <w:tcPr>
            <w:tcW w:w="1564"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0.6</w:t>
            </w:r>
          </w:p>
        </w:tc>
        <w:tc>
          <w:tcPr>
            <w:tcW w:w="19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8" w:type="dxa"/>
            <w:vMerge w:val="continue"/>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p>
        </w:tc>
        <w:tc>
          <w:tcPr>
            <w:tcW w:w="960" w:type="dxa"/>
            <w:vMerge w:val="continue"/>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p>
        </w:tc>
        <w:tc>
          <w:tcPr>
            <w:tcW w:w="911"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其他</w:t>
            </w:r>
          </w:p>
        </w:tc>
        <w:tc>
          <w:tcPr>
            <w:tcW w:w="1551"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1.3</w:t>
            </w:r>
          </w:p>
        </w:tc>
        <w:tc>
          <w:tcPr>
            <w:tcW w:w="159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1.8</w:t>
            </w:r>
          </w:p>
        </w:tc>
        <w:tc>
          <w:tcPr>
            <w:tcW w:w="1564"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2.4</w:t>
            </w:r>
          </w:p>
        </w:tc>
        <w:tc>
          <w:tcPr>
            <w:tcW w:w="19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8" w:type="dxa"/>
            <w:vMerge w:val="restart"/>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3</w:t>
            </w:r>
          </w:p>
        </w:tc>
        <w:tc>
          <w:tcPr>
            <w:tcW w:w="960" w:type="dxa"/>
            <w:vMerge w:val="restart"/>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砷</w:t>
            </w:r>
          </w:p>
        </w:tc>
        <w:tc>
          <w:tcPr>
            <w:tcW w:w="911"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水田</w:t>
            </w:r>
          </w:p>
        </w:tc>
        <w:tc>
          <w:tcPr>
            <w:tcW w:w="1551"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30</w:t>
            </w:r>
          </w:p>
        </w:tc>
        <w:tc>
          <w:tcPr>
            <w:tcW w:w="159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30</w:t>
            </w:r>
          </w:p>
        </w:tc>
        <w:tc>
          <w:tcPr>
            <w:tcW w:w="1564"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25</w:t>
            </w:r>
          </w:p>
        </w:tc>
        <w:tc>
          <w:tcPr>
            <w:tcW w:w="19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8" w:type="dxa"/>
            <w:vMerge w:val="continue"/>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p>
        </w:tc>
        <w:tc>
          <w:tcPr>
            <w:tcW w:w="960" w:type="dxa"/>
            <w:vMerge w:val="continue"/>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p>
        </w:tc>
        <w:tc>
          <w:tcPr>
            <w:tcW w:w="911"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其他</w:t>
            </w:r>
          </w:p>
        </w:tc>
        <w:tc>
          <w:tcPr>
            <w:tcW w:w="1551"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40</w:t>
            </w:r>
          </w:p>
        </w:tc>
        <w:tc>
          <w:tcPr>
            <w:tcW w:w="159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40</w:t>
            </w:r>
          </w:p>
        </w:tc>
        <w:tc>
          <w:tcPr>
            <w:tcW w:w="1564"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30</w:t>
            </w:r>
          </w:p>
        </w:tc>
        <w:tc>
          <w:tcPr>
            <w:tcW w:w="19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8" w:type="dxa"/>
            <w:vMerge w:val="restart"/>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4</w:t>
            </w:r>
          </w:p>
        </w:tc>
        <w:tc>
          <w:tcPr>
            <w:tcW w:w="960" w:type="dxa"/>
            <w:vMerge w:val="restart"/>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铅</w:t>
            </w:r>
          </w:p>
        </w:tc>
        <w:tc>
          <w:tcPr>
            <w:tcW w:w="911"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水田</w:t>
            </w:r>
          </w:p>
        </w:tc>
        <w:tc>
          <w:tcPr>
            <w:tcW w:w="1551"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80</w:t>
            </w:r>
          </w:p>
        </w:tc>
        <w:tc>
          <w:tcPr>
            <w:tcW w:w="159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100</w:t>
            </w:r>
          </w:p>
        </w:tc>
        <w:tc>
          <w:tcPr>
            <w:tcW w:w="1564"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140</w:t>
            </w:r>
          </w:p>
        </w:tc>
        <w:tc>
          <w:tcPr>
            <w:tcW w:w="19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8" w:type="dxa"/>
            <w:vMerge w:val="continue"/>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p>
        </w:tc>
        <w:tc>
          <w:tcPr>
            <w:tcW w:w="960" w:type="dxa"/>
            <w:vMerge w:val="continue"/>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p>
        </w:tc>
        <w:tc>
          <w:tcPr>
            <w:tcW w:w="911"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其他</w:t>
            </w:r>
          </w:p>
        </w:tc>
        <w:tc>
          <w:tcPr>
            <w:tcW w:w="1551"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70</w:t>
            </w:r>
          </w:p>
        </w:tc>
        <w:tc>
          <w:tcPr>
            <w:tcW w:w="159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90</w:t>
            </w:r>
          </w:p>
        </w:tc>
        <w:tc>
          <w:tcPr>
            <w:tcW w:w="1564"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120</w:t>
            </w:r>
          </w:p>
        </w:tc>
        <w:tc>
          <w:tcPr>
            <w:tcW w:w="19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8" w:type="dxa"/>
            <w:vMerge w:val="restart"/>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5</w:t>
            </w:r>
          </w:p>
        </w:tc>
        <w:tc>
          <w:tcPr>
            <w:tcW w:w="960" w:type="dxa"/>
            <w:vMerge w:val="restart"/>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铬</w:t>
            </w:r>
          </w:p>
        </w:tc>
        <w:tc>
          <w:tcPr>
            <w:tcW w:w="911"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水田</w:t>
            </w:r>
          </w:p>
        </w:tc>
        <w:tc>
          <w:tcPr>
            <w:tcW w:w="1551"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250</w:t>
            </w:r>
          </w:p>
        </w:tc>
        <w:tc>
          <w:tcPr>
            <w:tcW w:w="159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250</w:t>
            </w:r>
          </w:p>
        </w:tc>
        <w:tc>
          <w:tcPr>
            <w:tcW w:w="1564"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300</w:t>
            </w:r>
          </w:p>
        </w:tc>
        <w:tc>
          <w:tcPr>
            <w:tcW w:w="19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8" w:type="dxa"/>
            <w:vMerge w:val="continue"/>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p>
        </w:tc>
        <w:tc>
          <w:tcPr>
            <w:tcW w:w="960" w:type="dxa"/>
            <w:vMerge w:val="continue"/>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p>
        </w:tc>
        <w:tc>
          <w:tcPr>
            <w:tcW w:w="911"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其他</w:t>
            </w:r>
          </w:p>
        </w:tc>
        <w:tc>
          <w:tcPr>
            <w:tcW w:w="1551"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150</w:t>
            </w:r>
          </w:p>
        </w:tc>
        <w:tc>
          <w:tcPr>
            <w:tcW w:w="159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150</w:t>
            </w:r>
          </w:p>
        </w:tc>
        <w:tc>
          <w:tcPr>
            <w:tcW w:w="1564"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200</w:t>
            </w:r>
          </w:p>
        </w:tc>
        <w:tc>
          <w:tcPr>
            <w:tcW w:w="19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8" w:type="dxa"/>
            <w:vMerge w:val="restart"/>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6</w:t>
            </w:r>
          </w:p>
        </w:tc>
        <w:tc>
          <w:tcPr>
            <w:tcW w:w="960" w:type="dxa"/>
            <w:vMerge w:val="restart"/>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铜</w:t>
            </w:r>
          </w:p>
        </w:tc>
        <w:tc>
          <w:tcPr>
            <w:tcW w:w="911"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果园</w:t>
            </w:r>
          </w:p>
        </w:tc>
        <w:tc>
          <w:tcPr>
            <w:tcW w:w="1551"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150</w:t>
            </w:r>
          </w:p>
        </w:tc>
        <w:tc>
          <w:tcPr>
            <w:tcW w:w="159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150</w:t>
            </w:r>
          </w:p>
        </w:tc>
        <w:tc>
          <w:tcPr>
            <w:tcW w:w="1564"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200</w:t>
            </w:r>
          </w:p>
        </w:tc>
        <w:tc>
          <w:tcPr>
            <w:tcW w:w="19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8" w:type="dxa"/>
            <w:vMerge w:val="continue"/>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p>
        </w:tc>
        <w:tc>
          <w:tcPr>
            <w:tcW w:w="960" w:type="dxa"/>
            <w:vMerge w:val="continue"/>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p>
        </w:tc>
        <w:tc>
          <w:tcPr>
            <w:tcW w:w="911"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其他</w:t>
            </w:r>
          </w:p>
        </w:tc>
        <w:tc>
          <w:tcPr>
            <w:tcW w:w="1551"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50</w:t>
            </w:r>
          </w:p>
        </w:tc>
        <w:tc>
          <w:tcPr>
            <w:tcW w:w="159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50</w:t>
            </w:r>
          </w:p>
        </w:tc>
        <w:tc>
          <w:tcPr>
            <w:tcW w:w="1564"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100</w:t>
            </w:r>
          </w:p>
        </w:tc>
        <w:tc>
          <w:tcPr>
            <w:tcW w:w="19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7</w:t>
            </w:r>
          </w:p>
        </w:tc>
        <w:tc>
          <w:tcPr>
            <w:tcW w:w="1871" w:type="dxa"/>
            <w:gridSpan w:val="2"/>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镍</w:t>
            </w:r>
          </w:p>
        </w:tc>
        <w:tc>
          <w:tcPr>
            <w:tcW w:w="1551"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60</w:t>
            </w:r>
          </w:p>
        </w:tc>
        <w:tc>
          <w:tcPr>
            <w:tcW w:w="159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70</w:t>
            </w:r>
          </w:p>
        </w:tc>
        <w:tc>
          <w:tcPr>
            <w:tcW w:w="1564"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100</w:t>
            </w:r>
          </w:p>
        </w:tc>
        <w:tc>
          <w:tcPr>
            <w:tcW w:w="19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8"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8</w:t>
            </w:r>
          </w:p>
        </w:tc>
        <w:tc>
          <w:tcPr>
            <w:tcW w:w="1871" w:type="dxa"/>
            <w:gridSpan w:val="2"/>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锌</w:t>
            </w:r>
          </w:p>
        </w:tc>
        <w:tc>
          <w:tcPr>
            <w:tcW w:w="1551"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200</w:t>
            </w:r>
          </w:p>
        </w:tc>
        <w:tc>
          <w:tcPr>
            <w:tcW w:w="1599"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200</w:t>
            </w:r>
          </w:p>
        </w:tc>
        <w:tc>
          <w:tcPr>
            <w:tcW w:w="1564"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250</w:t>
            </w:r>
          </w:p>
        </w:tc>
        <w:tc>
          <w:tcPr>
            <w:tcW w:w="1917"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300</w:t>
            </w:r>
          </w:p>
        </w:tc>
      </w:tr>
    </w:tbl>
    <w:p>
      <w:pPr>
        <w:spacing w:line="360" w:lineRule="auto"/>
        <w:ind w:firstLine="482" w:firstLineChars="200"/>
        <w:rPr>
          <w:rFonts w:hAnsi="Times New Roman" w:eastAsia="宋体"/>
          <w:b/>
          <w:bCs/>
          <w:lang w:eastAsia="zh-CN"/>
        </w:rPr>
      </w:pPr>
      <w:r>
        <w:rPr>
          <w:rFonts w:hAnsi="Times New Roman" w:eastAsia="宋体"/>
          <w:b/>
          <w:bCs/>
          <w:lang w:eastAsia="zh-CN"/>
        </w:rPr>
        <w:t>（</w:t>
      </w:r>
      <w:r>
        <w:rPr>
          <w:rFonts w:hint="eastAsia" w:hAnsi="Times New Roman" w:eastAsia="宋体"/>
          <w:b/>
          <w:bCs/>
          <w:lang w:eastAsia="zh-CN"/>
        </w:rPr>
        <w:t>6</w:t>
      </w:r>
      <w:r>
        <w:rPr>
          <w:rFonts w:hAnsi="Times New Roman" w:eastAsia="宋体"/>
          <w:b/>
          <w:bCs/>
          <w:lang w:eastAsia="zh-CN"/>
        </w:rPr>
        <w:t>）生态环境</w:t>
      </w:r>
    </w:p>
    <w:p>
      <w:pPr>
        <w:spacing w:line="360" w:lineRule="auto"/>
        <w:ind w:firstLine="480" w:firstLineChars="200"/>
        <w:rPr>
          <w:rFonts w:hAnsi="Times New Roman" w:eastAsia="宋体"/>
          <w:lang w:eastAsia="zh-CN"/>
        </w:rPr>
      </w:pPr>
      <w:r>
        <w:rPr>
          <w:rFonts w:hAnsi="Times New Roman" w:eastAsia="宋体"/>
          <w:lang w:eastAsia="zh-CN"/>
        </w:rPr>
        <w:t>水土流失根据《土壤侵蚀分类分级标准》（SL190-2007）以不改变土壤侵蚀等级类型现状为标准；地质灾害以不产生新的地质灾害为标准，详见下表：</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表1.5-</w:t>
      </w:r>
      <w:r>
        <w:rPr>
          <w:rFonts w:hint="eastAsia" w:hAnsi="Times New Roman" w:eastAsia="宋体"/>
          <w:b/>
          <w:bCs/>
          <w:sz w:val="21"/>
          <w:szCs w:val="21"/>
          <w:lang w:eastAsia="zh-CN"/>
        </w:rPr>
        <w:t>8</w:t>
      </w:r>
      <w:r>
        <w:rPr>
          <w:rFonts w:hAnsi="Times New Roman" w:eastAsia="宋体"/>
          <w:b/>
          <w:bCs/>
          <w:sz w:val="21"/>
          <w:szCs w:val="21"/>
          <w:lang w:eastAsia="zh-CN"/>
        </w:rPr>
        <w:t xml:space="preserve"> 土壤水力侵蚀强度分级标准（SL190-2007）</w:t>
      </w:r>
    </w:p>
    <w:tbl>
      <w:tblPr>
        <w:tblStyle w:val="33"/>
        <w:tblW w:w="93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10"/>
        <w:gridCol w:w="3622"/>
        <w:gridCol w:w="40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10" w:type="dxa"/>
            <w:vAlign w:val="center"/>
          </w:tcPr>
          <w:p>
            <w:pPr>
              <w:pStyle w:val="44"/>
              <w:keepNext w:val="0"/>
              <w:keepLines w:val="0"/>
              <w:suppressLineNumbers w:val="0"/>
              <w:kinsoku w:val="0"/>
              <w:overflowPunct w:val="0"/>
              <w:spacing w:before="0" w:beforeAutospacing="0" w:after="0" w:afterAutospacing="0" w:line="260" w:lineRule="exact"/>
              <w:ind w:left="20" w:right="0"/>
              <w:jc w:val="center"/>
              <w:rPr>
                <w:rFonts w:hint="eastAsia" w:hAnsi="Times New Roman" w:eastAsia="宋体"/>
                <w:b/>
                <w:bCs/>
                <w:kern w:val="2"/>
                <w:sz w:val="21"/>
                <w:szCs w:val="22"/>
                <w:lang w:eastAsia="zh-CN"/>
              </w:rPr>
            </w:pPr>
            <w:r>
              <w:rPr>
                <w:rFonts w:hint="eastAsia" w:hAnsi="Times New Roman" w:eastAsia="宋体"/>
                <w:b/>
                <w:bCs/>
                <w:kern w:val="2"/>
                <w:sz w:val="21"/>
                <w:szCs w:val="22"/>
                <w:lang w:eastAsia="zh-CN"/>
              </w:rPr>
              <w:t>等级</w:t>
            </w:r>
          </w:p>
        </w:tc>
        <w:tc>
          <w:tcPr>
            <w:tcW w:w="3622" w:type="dxa"/>
            <w:vAlign w:val="center"/>
          </w:tcPr>
          <w:p>
            <w:pPr>
              <w:pStyle w:val="44"/>
              <w:keepNext w:val="0"/>
              <w:keepLines w:val="0"/>
              <w:suppressLineNumbers w:val="0"/>
              <w:kinsoku w:val="0"/>
              <w:overflowPunct w:val="0"/>
              <w:spacing w:before="0" w:beforeAutospacing="0" w:after="0" w:afterAutospacing="0" w:line="260" w:lineRule="exact"/>
              <w:ind w:left="0" w:right="126"/>
              <w:jc w:val="center"/>
              <w:rPr>
                <w:rFonts w:hint="eastAsia" w:hAnsi="Times New Roman" w:eastAsia="宋体"/>
                <w:b/>
                <w:bCs/>
                <w:kern w:val="2"/>
                <w:sz w:val="21"/>
                <w:szCs w:val="22"/>
              </w:rPr>
            </w:pPr>
            <w:r>
              <w:rPr>
                <w:rFonts w:hint="eastAsia" w:hAnsi="Times New Roman" w:eastAsia="宋体"/>
                <w:b/>
                <w:bCs/>
                <w:kern w:val="2"/>
                <w:sz w:val="21"/>
                <w:szCs w:val="22"/>
              </w:rPr>
              <w:t>侵蚀模数（t/km</w:t>
            </w:r>
            <w:r>
              <w:rPr>
                <w:rFonts w:hint="eastAsia" w:hAnsi="Times New Roman" w:eastAsia="宋体"/>
                <w:b/>
                <w:bCs/>
                <w:kern w:val="2"/>
                <w:sz w:val="21"/>
                <w:szCs w:val="22"/>
                <w:vertAlign w:val="superscript"/>
              </w:rPr>
              <w:t>2</w:t>
            </w:r>
            <w:r>
              <w:rPr>
                <w:rFonts w:hint="eastAsia" w:hAnsi="Times New Roman" w:eastAsia="宋体"/>
                <w:b/>
                <w:bCs/>
                <w:kern w:val="2"/>
                <w:sz w:val="21"/>
                <w:szCs w:val="22"/>
              </w:rPr>
              <w:t>·a）</w:t>
            </w:r>
          </w:p>
        </w:tc>
        <w:tc>
          <w:tcPr>
            <w:tcW w:w="4088"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b/>
                <w:bCs/>
                <w:kern w:val="2"/>
                <w:sz w:val="21"/>
                <w:szCs w:val="22"/>
              </w:rPr>
            </w:pPr>
            <w:r>
              <w:rPr>
                <w:rFonts w:hint="eastAsia" w:hAnsi="Times New Roman" w:eastAsia="宋体"/>
                <w:b/>
                <w:bCs/>
                <w:kern w:val="2"/>
                <w:sz w:val="21"/>
                <w:szCs w:val="22"/>
              </w:rPr>
              <w:t>平均流失厚度（mm/a）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10"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2"/>
                <w:lang w:eastAsia="zh-CN"/>
              </w:rPr>
            </w:pPr>
            <w:r>
              <w:rPr>
                <w:rFonts w:hint="eastAsia" w:hAnsi="Times New Roman" w:eastAsia="宋体"/>
                <w:kern w:val="2"/>
                <w:sz w:val="21"/>
                <w:szCs w:val="22"/>
                <w:lang w:eastAsia="zh-CN"/>
              </w:rPr>
              <w:t>微度侵蚀</w:t>
            </w:r>
          </w:p>
        </w:tc>
        <w:tc>
          <w:tcPr>
            <w:tcW w:w="3622"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2"/>
              </w:rPr>
            </w:pPr>
            <w:r>
              <w:rPr>
                <w:rFonts w:hint="eastAsia" w:hAnsi="Times New Roman" w:eastAsia="宋体"/>
                <w:kern w:val="2"/>
                <w:sz w:val="21"/>
                <w:szCs w:val="22"/>
              </w:rPr>
              <w:t>＜200，＜500，＜1000</w:t>
            </w:r>
          </w:p>
        </w:tc>
        <w:tc>
          <w:tcPr>
            <w:tcW w:w="4088"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2"/>
              </w:rPr>
            </w:pPr>
            <w:r>
              <w:rPr>
                <w:rFonts w:hint="eastAsia" w:hAnsi="Times New Roman" w:eastAsia="宋体"/>
                <w:kern w:val="2"/>
                <w:sz w:val="21"/>
                <w:szCs w:val="22"/>
              </w:rPr>
              <w:t>＜0.15，＜0.37，＜0.74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10" w:type="dxa"/>
            <w:vAlign w:val="center"/>
          </w:tcPr>
          <w:p>
            <w:pPr>
              <w:pStyle w:val="44"/>
              <w:keepNext w:val="0"/>
              <w:keepLines w:val="0"/>
              <w:suppressLineNumbers w:val="0"/>
              <w:kinsoku w:val="0"/>
              <w:overflowPunct w:val="0"/>
              <w:spacing w:before="0" w:beforeAutospacing="0" w:after="0" w:afterAutospacing="0" w:line="260" w:lineRule="exact"/>
              <w:ind w:left="20" w:right="0"/>
              <w:jc w:val="center"/>
              <w:rPr>
                <w:rFonts w:hint="eastAsia" w:hAnsi="Times New Roman" w:eastAsia="宋体"/>
                <w:kern w:val="2"/>
                <w:sz w:val="21"/>
                <w:szCs w:val="22"/>
              </w:rPr>
            </w:pPr>
            <w:r>
              <w:rPr>
                <w:rFonts w:hint="eastAsia" w:hAnsi="Times New Roman" w:eastAsia="宋体"/>
                <w:kern w:val="2"/>
                <w:sz w:val="21"/>
                <w:szCs w:val="22"/>
                <w:lang w:eastAsia="zh-CN"/>
              </w:rPr>
              <w:t>轻度侵蚀</w:t>
            </w:r>
          </w:p>
        </w:tc>
        <w:tc>
          <w:tcPr>
            <w:tcW w:w="3622"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spacing w:val="1"/>
                <w:kern w:val="2"/>
                <w:sz w:val="21"/>
                <w:szCs w:val="22"/>
                <w:lang w:eastAsia="zh-CN"/>
              </w:rPr>
            </w:pPr>
            <w:r>
              <w:rPr>
                <w:rFonts w:hint="eastAsia" w:hAnsi="Times New Roman" w:eastAsia="宋体"/>
                <w:spacing w:val="1"/>
                <w:kern w:val="2"/>
                <w:sz w:val="21"/>
                <w:szCs w:val="22"/>
                <w:lang w:eastAsia="zh-CN"/>
              </w:rPr>
              <w:t>200，500，1000~2500</w:t>
            </w:r>
          </w:p>
        </w:tc>
        <w:tc>
          <w:tcPr>
            <w:tcW w:w="4088"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2"/>
                <w:lang w:eastAsia="zh-CN"/>
              </w:rPr>
            </w:pPr>
            <w:r>
              <w:rPr>
                <w:rFonts w:hint="eastAsia" w:hAnsi="Times New Roman" w:eastAsia="宋体"/>
                <w:kern w:val="2"/>
                <w:sz w:val="21"/>
                <w:szCs w:val="22"/>
                <w:lang w:eastAsia="zh-CN"/>
              </w:rPr>
              <w:t>0.15，0.37，0.74~1.9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10"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2"/>
                <w:lang w:eastAsia="zh-CN"/>
              </w:rPr>
            </w:pPr>
            <w:r>
              <w:rPr>
                <w:rFonts w:hint="eastAsia" w:hAnsi="Times New Roman" w:eastAsia="宋体"/>
                <w:kern w:val="2"/>
                <w:sz w:val="21"/>
                <w:szCs w:val="22"/>
                <w:lang w:eastAsia="zh-CN"/>
              </w:rPr>
              <w:t>中度侵蚀</w:t>
            </w:r>
          </w:p>
        </w:tc>
        <w:tc>
          <w:tcPr>
            <w:tcW w:w="3622"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spacing w:val="1"/>
                <w:kern w:val="2"/>
                <w:sz w:val="21"/>
                <w:szCs w:val="22"/>
              </w:rPr>
            </w:pPr>
            <w:r>
              <w:rPr>
                <w:rFonts w:hint="eastAsia" w:hAnsi="Times New Roman" w:eastAsia="宋体"/>
                <w:spacing w:val="1"/>
                <w:kern w:val="2"/>
                <w:sz w:val="21"/>
                <w:szCs w:val="22"/>
              </w:rPr>
              <w:t>2500~5000</w:t>
            </w:r>
          </w:p>
        </w:tc>
        <w:tc>
          <w:tcPr>
            <w:tcW w:w="4088"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2"/>
              </w:rPr>
            </w:pPr>
            <w:r>
              <w:rPr>
                <w:rFonts w:hint="eastAsia" w:hAnsi="Times New Roman" w:eastAsia="宋体"/>
                <w:kern w:val="2"/>
                <w:sz w:val="21"/>
                <w:szCs w:val="22"/>
              </w:rPr>
              <w:t>1.9~3.7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10"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2"/>
                <w:lang w:eastAsia="zh-CN"/>
              </w:rPr>
            </w:pPr>
            <w:r>
              <w:rPr>
                <w:rFonts w:hint="eastAsia" w:hAnsi="Times New Roman" w:eastAsia="宋体"/>
                <w:kern w:val="2"/>
                <w:sz w:val="21"/>
                <w:szCs w:val="22"/>
                <w:lang w:eastAsia="zh-CN"/>
              </w:rPr>
              <w:t>强度侵蚀</w:t>
            </w:r>
          </w:p>
        </w:tc>
        <w:tc>
          <w:tcPr>
            <w:tcW w:w="3622"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spacing w:val="-1"/>
                <w:kern w:val="2"/>
                <w:sz w:val="21"/>
                <w:szCs w:val="22"/>
                <w:lang w:eastAsia="zh-CN"/>
              </w:rPr>
            </w:pPr>
            <w:r>
              <w:rPr>
                <w:rFonts w:hint="eastAsia" w:hAnsi="Times New Roman" w:eastAsia="宋体"/>
                <w:spacing w:val="-1"/>
                <w:kern w:val="2"/>
                <w:sz w:val="21"/>
                <w:szCs w:val="22"/>
                <w:lang w:eastAsia="zh-CN"/>
              </w:rPr>
              <w:t>5000~8000</w:t>
            </w:r>
          </w:p>
        </w:tc>
        <w:tc>
          <w:tcPr>
            <w:tcW w:w="4088"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2"/>
              </w:rPr>
            </w:pPr>
            <w:r>
              <w:rPr>
                <w:rFonts w:hint="eastAsia" w:hAnsi="Times New Roman" w:eastAsia="宋体"/>
                <w:kern w:val="2"/>
                <w:sz w:val="21"/>
                <w:szCs w:val="22"/>
              </w:rPr>
              <w:t>3.7~5.9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10" w:type="dxa"/>
            <w:vAlign w:val="center"/>
          </w:tcPr>
          <w:p>
            <w:pPr>
              <w:pStyle w:val="44"/>
              <w:keepNext w:val="0"/>
              <w:keepLines w:val="0"/>
              <w:suppressLineNumbers w:val="0"/>
              <w:kinsoku w:val="0"/>
              <w:overflowPunct w:val="0"/>
              <w:spacing w:before="0" w:beforeAutospacing="0" w:after="0" w:afterAutospacing="0" w:line="260" w:lineRule="exact"/>
              <w:ind w:left="20" w:right="0"/>
              <w:jc w:val="center"/>
              <w:rPr>
                <w:rFonts w:hint="eastAsia" w:hAnsi="Times New Roman" w:eastAsia="宋体"/>
                <w:kern w:val="2"/>
                <w:sz w:val="21"/>
                <w:szCs w:val="22"/>
              </w:rPr>
            </w:pPr>
            <w:r>
              <w:rPr>
                <w:rFonts w:hint="eastAsia" w:hAnsi="Times New Roman" w:eastAsia="宋体"/>
                <w:kern w:val="2"/>
                <w:sz w:val="21"/>
                <w:szCs w:val="22"/>
                <w:lang w:eastAsia="zh-CN"/>
              </w:rPr>
              <w:t>极强度侵蚀</w:t>
            </w:r>
          </w:p>
        </w:tc>
        <w:tc>
          <w:tcPr>
            <w:tcW w:w="3622"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spacing w:val="-1"/>
                <w:kern w:val="2"/>
                <w:sz w:val="21"/>
                <w:szCs w:val="22"/>
                <w:lang w:eastAsia="zh-CN"/>
              </w:rPr>
            </w:pPr>
            <w:r>
              <w:rPr>
                <w:rFonts w:hint="eastAsia" w:hAnsi="Times New Roman" w:eastAsia="宋体"/>
                <w:spacing w:val="-1"/>
                <w:kern w:val="2"/>
                <w:sz w:val="21"/>
                <w:szCs w:val="22"/>
                <w:lang w:eastAsia="zh-CN"/>
              </w:rPr>
              <w:t>8000~15000</w:t>
            </w:r>
          </w:p>
        </w:tc>
        <w:tc>
          <w:tcPr>
            <w:tcW w:w="4088"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spacing w:val="-1"/>
                <w:kern w:val="2"/>
                <w:sz w:val="21"/>
                <w:szCs w:val="22"/>
                <w:lang w:eastAsia="zh-CN"/>
              </w:rPr>
            </w:pPr>
            <w:r>
              <w:rPr>
                <w:rFonts w:hint="eastAsia" w:hAnsi="Times New Roman" w:eastAsia="宋体"/>
                <w:spacing w:val="-1"/>
                <w:kern w:val="2"/>
                <w:sz w:val="21"/>
                <w:szCs w:val="22"/>
                <w:lang w:eastAsia="zh-CN"/>
              </w:rPr>
              <w:t>5.9~11.1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10"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2"/>
                <w:lang w:eastAsia="zh-CN"/>
              </w:rPr>
            </w:pPr>
            <w:r>
              <w:rPr>
                <w:rFonts w:hint="eastAsia" w:hAnsi="Times New Roman" w:eastAsia="宋体"/>
                <w:kern w:val="2"/>
                <w:sz w:val="21"/>
                <w:szCs w:val="22"/>
                <w:lang w:eastAsia="zh-CN"/>
              </w:rPr>
              <w:t>剧烈侵蚀</w:t>
            </w:r>
          </w:p>
        </w:tc>
        <w:tc>
          <w:tcPr>
            <w:tcW w:w="3622"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spacing w:val="-1"/>
                <w:kern w:val="2"/>
                <w:sz w:val="21"/>
                <w:szCs w:val="22"/>
                <w:lang w:eastAsia="zh-CN"/>
              </w:rPr>
            </w:pPr>
            <w:r>
              <w:rPr>
                <w:rFonts w:hint="eastAsia" w:hAnsi="Times New Roman" w:eastAsia="宋体"/>
                <w:spacing w:val="-1"/>
                <w:kern w:val="2"/>
                <w:sz w:val="21"/>
                <w:szCs w:val="22"/>
                <w:lang w:eastAsia="zh-CN"/>
              </w:rPr>
              <w:t>＞15000</w:t>
            </w:r>
          </w:p>
        </w:tc>
        <w:tc>
          <w:tcPr>
            <w:tcW w:w="4088"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spacing w:val="-1"/>
                <w:kern w:val="2"/>
                <w:sz w:val="21"/>
                <w:szCs w:val="22"/>
              </w:rPr>
            </w:pPr>
            <w:r>
              <w:rPr>
                <w:rFonts w:hint="eastAsia" w:hAnsi="Times New Roman" w:eastAsia="宋体"/>
                <w:spacing w:val="-1"/>
                <w:kern w:val="2"/>
                <w:sz w:val="21"/>
                <w:szCs w:val="22"/>
              </w:rPr>
              <w:t>＞11.1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20" w:type="dxa"/>
            <w:gridSpan w:val="3"/>
            <w:vAlign w:val="center"/>
          </w:tcPr>
          <w:p>
            <w:pPr>
              <w:pStyle w:val="44"/>
              <w:keepNext w:val="0"/>
              <w:keepLines w:val="0"/>
              <w:suppressLineNumbers w:val="0"/>
              <w:kinsoku w:val="0"/>
              <w:overflowPunct w:val="0"/>
              <w:spacing w:before="0" w:beforeAutospacing="0" w:after="0" w:afterAutospacing="0" w:line="260" w:lineRule="exact"/>
              <w:ind w:left="0" w:right="0"/>
              <w:jc w:val="left"/>
              <w:rPr>
                <w:rFonts w:hint="eastAsia" w:hAnsi="Times New Roman" w:eastAsia="宋体"/>
                <w:spacing w:val="-1"/>
                <w:kern w:val="2"/>
                <w:sz w:val="21"/>
                <w:szCs w:val="22"/>
              </w:rPr>
            </w:pPr>
            <w:r>
              <w:rPr>
                <w:rFonts w:hint="eastAsia" w:hAnsi="Times New Roman" w:eastAsia="宋体"/>
                <w:spacing w:val="-1"/>
                <w:kern w:val="2"/>
                <w:sz w:val="21"/>
                <w:szCs w:val="22"/>
              </w:rPr>
              <w:t>注：本表流失厚度系按土的干密度1.35g/cm</w:t>
            </w:r>
            <w:r>
              <w:rPr>
                <w:rFonts w:hint="eastAsia" w:hAnsi="Times New Roman" w:eastAsia="宋体"/>
                <w:spacing w:val="-1"/>
                <w:kern w:val="2"/>
                <w:sz w:val="21"/>
                <w:szCs w:val="22"/>
                <w:vertAlign w:val="superscript"/>
              </w:rPr>
              <w:t>3</w:t>
            </w:r>
            <w:r>
              <w:rPr>
                <w:rFonts w:hint="eastAsia" w:hAnsi="Times New Roman" w:eastAsia="宋体"/>
                <w:spacing w:val="-1"/>
                <w:kern w:val="2"/>
                <w:sz w:val="21"/>
                <w:szCs w:val="22"/>
              </w:rPr>
              <w:t>折算，各地可按当地土壤干密度计算。</w:t>
            </w:r>
          </w:p>
        </w:tc>
      </w:tr>
    </w:tbl>
    <w:p>
      <w:pPr>
        <w:spacing w:line="360" w:lineRule="auto"/>
        <w:rPr>
          <w:rFonts w:hAnsi="Times New Roman" w:eastAsia="宋体"/>
          <w:b/>
          <w:bCs/>
          <w:szCs w:val="22"/>
          <w:lang w:eastAsia="zh-CN"/>
        </w:rPr>
      </w:pPr>
      <w:r>
        <w:rPr>
          <w:rFonts w:hAnsi="Times New Roman" w:eastAsia="宋体"/>
          <w:b/>
          <w:bCs/>
          <w:szCs w:val="22"/>
          <w:lang w:eastAsia="zh-CN"/>
        </w:rPr>
        <w:t>1.3.2.2 污染物排放标准</w:t>
      </w:r>
    </w:p>
    <w:p>
      <w:pPr>
        <w:spacing w:line="360" w:lineRule="auto"/>
        <w:ind w:firstLine="482" w:firstLineChars="200"/>
        <w:rPr>
          <w:rFonts w:hAnsi="Times New Roman" w:eastAsia="宋体"/>
          <w:b/>
          <w:bCs/>
          <w:lang w:eastAsia="zh-CN"/>
        </w:rPr>
      </w:pPr>
      <w:r>
        <w:rPr>
          <w:rFonts w:hAnsi="Times New Roman" w:eastAsia="宋体"/>
          <w:b/>
          <w:bCs/>
          <w:lang w:eastAsia="zh-CN"/>
        </w:rPr>
        <w:t>（1）废气</w:t>
      </w:r>
    </w:p>
    <w:p>
      <w:pPr>
        <w:spacing w:line="360" w:lineRule="auto"/>
        <w:ind w:firstLine="480" w:firstLineChars="200"/>
        <w:rPr>
          <w:rFonts w:hAnsi="Times New Roman" w:eastAsia="宋体"/>
          <w:lang w:eastAsia="zh-CN"/>
        </w:rPr>
      </w:pPr>
      <w:r>
        <w:rPr>
          <w:rFonts w:hAnsi="Times New Roman" w:eastAsia="宋体"/>
          <w:lang w:eastAsia="zh-CN"/>
        </w:rPr>
        <w:t>施工期扬尘执行《四川省施工场地扬尘排放标准》（DB51/2682-2020）表1中排放限值；营运期执行《煤矿工业污染物排放标准》（GB20426</w:t>
      </w:r>
      <w:r>
        <w:rPr>
          <w:rFonts w:hint="eastAsia" w:hAnsi="Times New Roman" w:eastAsia="宋体"/>
          <w:lang w:eastAsia="zh-CN"/>
        </w:rPr>
        <w:t>-</w:t>
      </w:r>
      <w:r>
        <w:rPr>
          <w:rFonts w:hAnsi="Times New Roman" w:eastAsia="宋体"/>
          <w:lang w:eastAsia="zh-CN"/>
        </w:rPr>
        <w:t>2006），详见下表所示。</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 1.5-9 施工场地扬尘排放限值</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7"/>
        <w:gridCol w:w="1690"/>
        <w:gridCol w:w="2970"/>
        <w:gridCol w:w="1832"/>
        <w:gridCol w:w="19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vAlign w:val="center"/>
          </w:tcPr>
          <w:p>
            <w:pPr>
              <w:pStyle w:val="45"/>
              <w:keepNext w:val="0"/>
              <w:keepLines w:val="0"/>
              <w:suppressLineNumbers w:val="0"/>
              <w:spacing w:before="0" w:beforeAutospacing="0" w:after="0" w:afterAutospacing="0" w:line="240" w:lineRule="auto"/>
              <w:ind w:left="422" w:right="0" w:hanging="422"/>
              <w:rPr>
                <w:rFonts w:hint="eastAsia" w:ascii="Times New Roman" w:hAnsi="Times New Roman"/>
                <w:b/>
                <w:kern w:val="2"/>
                <w:szCs w:val="21"/>
              </w:rPr>
            </w:pPr>
            <w:r>
              <w:rPr>
                <w:rFonts w:hint="eastAsia" w:ascii="Times New Roman" w:hAnsi="Times New Roman"/>
                <w:b/>
                <w:kern w:val="2"/>
                <w:szCs w:val="21"/>
              </w:rPr>
              <w:t>序号</w:t>
            </w:r>
          </w:p>
        </w:tc>
        <w:tc>
          <w:tcPr>
            <w:tcW w:w="912" w:type="pct"/>
            <w:vAlign w:val="center"/>
          </w:tcPr>
          <w:p>
            <w:pPr>
              <w:pStyle w:val="45"/>
              <w:keepNext w:val="0"/>
              <w:keepLines w:val="0"/>
              <w:suppressLineNumbers w:val="0"/>
              <w:spacing w:before="0" w:beforeAutospacing="0" w:after="0" w:afterAutospacing="0" w:line="240" w:lineRule="auto"/>
              <w:ind w:left="422" w:right="0" w:hanging="422"/>
              <w:rPr>
                <w:rFonts w:hint="eastAsia" w:ascii="Times New Roman" w:hAnsi="Times New Roman"/>
                <w:b/>
                <w:kern w:val="2"/>
                <w:szCs w:val="21"/>
              </w:rPr>
            </w:pPr>
            <w:r>
              <w:rPr>
                <w:rFonts w:hint="eastAsia" w:ascii="Times New Roman" w:hAnsi="Times New Roman"/>
                <w:b/>
                <w:kern w:val="2"/>
                <w:szCs w:val="21"/>
              </w:rPr>
              <w:t>污染物</w:t>
            </w:r>
          </w:p>
        </w:tc>
        <w:tc>
          <w:tcPr>
            <w:tcW w:w="1597" w:type="pct"/>
            <w:vAlign w:val="center"/>
          </w:tcPr>
          <w:p>
            <w:pPr>
              <w:pStyle w:val="45"/>
              <w:keepNext w:val="0"/>
              <w:keepLines w:val="0"/>
              <w:suppressLineNumbers w:val="0"/>
              <w:spacing w:before="0" w:beforeAutospacing="0" w:after="0" w:afterAutospacing="0" w:line="240" w:lineRule="auto"/>
              <w:ind w:left="422" w:right="0" w:hanging="422"/>
              <w:rPr>
                <w:rFonts w:hint="eastAsia" w:ascii="Times New Roman" w:hAnsi="Times New Roman"/>
                <w:b/>
                <w:kern w:val="2"/>
                <w:szCs w:val="21"/>
              </w:rPr>
            </w:pPr>
            <w:r>
              <w:rPr>
                <w:rFonts w:hint="eastAsia" w:ascii="Times New Roman" w:hAnsi="Times New Roman"/>
                <w:b/>
                <w:kern w:val="2"/>
                <w:szCs w:val="21"/>
              </w:rPr>
              <w:t>施工阶段</w:t>
            </w:r>
          </w:p>
        </w:tc>
        <w:tc>
          <w:tcPr>
            <w:tcW w:w="988" w:type="pct"/>
            <w:vAlign w:val="center"/>
          </w:tcPr>
          <w:p>
            <w:pPr>
              <w:pStyle w:val="45"/>
              <w:keepNext w:val="0"/>
              <w:keepLines w:val="0"/>
              <w:suppressLineNumbers w:val="0"/>
              <w:spacing w:before="0" w:beforeAutospacing="0" w:after="0" w:afterAutospacing="0" w:line="240" w:lineRule="auto"/>
              <w:ind w:left="422" w:right="0" w:hanging="422"/>
              <w:rPr>
                <w:rFonts w:hint="eastAsia" w:ascii="Times New Roman" w:hAnsi="Times New Roman"/>
                <w:b/>
                <w:kern w:val="2"/>
                <w:szCs w:val="21"/>
              </w:rPr>
            </w:pPr>
            <w:r>
              <w:rPr>
                <w:rFonts w:hint="eastAsia" w:ascii="Times New Roman" w:hAnsi="Times New Roman"/>
                <w:b/>
                <w:kern w:val="2"/>
                <w:szCs w:val="21"/>
              </w:rPr>
              <w:t>监测点排放限</w:t>
            </w:r>
          </w:p>
          <w:p>
            <w:pPr>
              <w:pStyle w:val="45"/>
              <w:keepNext w:val="0"/>
              <w:keepLines w:val="0"/>
              <w:suppressLineNumbers w:val="0"/>
              <w:spacing w:before="0" w:beforeAutospacing="0" w:after="0" w:afterAutospacing="0" w:line="240" w:lineRule="auto"/>
              <w:ind w:left="422" w:right="0" w:hanging="422"/>
              <w:rPr>
                <w:rFonts w:hint="eastAsia" w:ascii="Times New Roman" w:hAnsi="Times New Roman"/>
                <w:b/>
                <w:kern w:val="2"/>
                <w:szCs w:val="21"/>
              </w:rPr>
            </w:pPr>
            <w:r>
              <w:rPr>
                <w:rFonts w:hint="eastAsia" w:ascii="Times New Roman" w:hAnsi="Times New Roman"/>
                <w:b/>
                <w:kern w:val="2"/>
                <w:szCs w:val="21"/>
              </w:rPr>
              <w:t>值（mg/m</w:t>
            </w:r>
            <w:r>
              <w:rPr>
                <w:rFonts w:hint="eastAsia" w:ascii="Times New Roman" w:hAnsi="Times New Roman"/>
                <w:b/>
                <w:kern w:val="2"/>
                <w:szCs w:val="21"/>
                <w:vertAlign w:val="superscript"/>
              </w:rPr>
              <w:t>3</w:t>
            </w:r>
            <w:r>
              <w:rPr>
                <w:rFonts w:hint="eastAsia" w:ascii="Times New Roman" w:hAnsi="Times New Roman"/>
                <w:b/>
                <w:kern w:val="2"/>
                <w:szCs w:val="21"/>
              </w:rPr>
              <w:t>）</w:t>
            </w:r>
          </w:p>
        </w:tc>
        <w:tc>
          <w:tcPr>
            <w:tcW w:w="1048" w:type="pct"/>
            <w:vAlign w:val="center"/>
          </w:tcPr>
          <w:p>
            <w:pPr>
              <w:pStyle w:val="45"/>
              <w:keepNext w:val="0"/>
              <w:keepLines w:val="0"/>
              <w:suppressLineNumbers w:val="0"/>
              <w:spacing w:before="0" w:beforeAutospacing="0" w:after="0" w:afterAutospacing="0" w:line="240" w:lineRule="auto"/>
              <w:ind w:left="422" w:right="0" w:hanging="422"/>
              <w:rPr>
                <w:rFonts w:hint="eastAsia" w:ascii="Times New Roman" w:hAnsi="Times New Roman"/>
                <w:b/>
                <w:kern w:val="2"/>
                <w:szCs w:val="21"/>
              </w:rPr>
            </w:pPr>
            <w:r>
              <w:rPr>
                <w:rFonts w:hint="eastAsia" w:ascii="Times New Roman" w:hAnsi="Times New Roman"/>
                <w:b/>
                <w:kern w:val="2"/>
                <w:szCs w:val="21"/>
              </w:rPr>
              <w:t>监测时间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54" w:type="pct"/>
            <w:vMerge w:val="restart"/>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w:t>
            </w:r>
          </w:p>
        </w:tc>
        <w:tc>
          <w:tcPr>
            <w:tcW w:w="912" w:type="pct"/>
            <w:vMerge w:val="restart"/>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总悬浮颗粒物</w:t>
            </w:r>
          </w:p>
        </w:tc>
        <w:tc>
          <w:tcPr>
            <w:tcW w:w="1597" w:type="pct"/>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拆除过程/土方开挖/土方回填</w:t>
            </w:r>
          </w:p>
        </w:tc>
        <w:tc>
          <w:tcPr>
            <w:tcW w:w="988" w:type="pct"/>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0.600</w:t>
            </w:r>
          </w:p>
        </w:tc>
        <w:tc>
          <w:tcPr>
            <w:tcW w:w="1048" w:type="pct"/>
            <w:vMerge w:val="restart"/>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自监测起持续15min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54" w:type="pct"/>
            <w:vMerge w:val="continue"/>
            <w:vAlign w:val="center"/>
          </w:tcPr>
          <w:p>
            <w:pPr>
              <w:pStyle w:val="44"/>
              <w:keepNext w:val="0"/>
              <w:keepLines w:val="0"/>
              <w:suppressLineNumbers w:val="0"/>
              <w:kinsoku w:val="0"/>
              <w:overflowPunct w:val="0"/>
              <w:spacing w:before="0" w:beforeAutospacing="0" w:after="0" w:afterAutospacing="0" w:line="272" w:lineRule="auto"/>
              <w:ind w:left="287" w:right="160" w:hanging="128"/>
              <w:jc w:val="center"/>
              <w:rPr>
                <w:rFonts w:hint="eastAsia" w:hAnsi="Times New Roman" w:eastAsia="宋体"/>
                <w:kern w:val="2"/>
                <w:szCs w:val="22"/>
              </w:rPr>
            </w:pPr>
          </w:p>
        </w:tc>
        <w:tc>
          <w:tcPr>
            <w:tcW w:w="912" w:type="pct"/>
            <w:vMerge w:val="continue"/>
            <w:vAlign w:val="center"/>
          </w:tcPr>
          <w:p>
            <w:pPr>
              <w:pStyle w:val="44"/>
              <w:keepNext w:val="0"/>
              <w:keepLines w:val="0"/>
              <w:suppressLineNumbers w:val="0"/>
              <w:kinsoku w:val="0"/>
              <w:overflowPunct w:val="0"/>
              <w:spacing w:before="0" w:beforeAutospacing="0" w:after="0" w:afterAutospacing="0" w:line="272" w:lineRule="auto"/>
              <w:ind w:left="287" w:right="160" w:hanging="128"/>
              <w:jc w:val="center"/>
              <w:rPr>
                <w:rFonts w:hint="eastAsia" w:hAnsi="Times New Roman" w:eastAsia="宋体"/>
                <w:kern w:val="2"/>
                <w:szCs w:val="22"/>
              </w:rPr>
            </w:pPr>
          </w:p>
        </w:tc>
        <w:tc>
          <w:tcPr>
            <w:tcW w:w="1597" w:type="pct"/>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其他过程阶段</w:t>
            </w:r>
          </w:p>
        </w:tc>
        <w:tc>
          <w:tcPr>
            <w:tcW w:w="988" w:type="pct"/>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0.250</w:t>
            </w:r>
          </w:p>
        </w:tc>
        <w:tc>
          <w:tcPr>
            <w:tcW w:w="1048" w:type="pct"/>
            <w:vMerge w:val="continue"/>
            <w:vAlign w:val="center"/>
          </w:tcPr>
          <w:p>
            <w:pPr>
              <w:pStyle w:val="44"/>
              <w:keepNext w:val="0"/>
              <w:keepLines w:val="0"/>
              <w:suppressLineNumbers w:val="0"/>
              <w:kinsoku w:val="0"/>
              <w:overflowPunct w:val="0"/>
              <w:spacing w:before="35" w:beforeAutospacing="0" w:after="0" w:afterAutospacing="0"/>
              <w:ind w:left="1" w:right="0"/>
              <w:jc w:val="center"/>
              <w:rPr>
                <w:rFonts w:hint="eastAsia" w:hAnsi="Times New Roman" w:eastAsia="宋体"/>
                <w:kern w:val="2"/>
                <w:szCs w:val="22"/>
              </w:rPr>
            </w:pPr>
          </w:p>
        </w:tc>
      </w:tr>
    </w:tbl>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表1.5-10 煤炭工业无组织排放限值</w:t>
      </w:r>
    </w:p>
    <w:tbl>
      <w:tblPr>
        <w:tblStyle w:val="34"/>
        <w:tblW w:w="93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5"/>
        <w:gridCol w:w="1574"/>
        <w:gridCol w:w="3235"/>
        <w:gridCol w:w="33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5" w:type="dxa"/>
            <w:vMerge w:val="restart"/>
            <w:vAlign w:val="center"/>
          </w:tcPr>
          <w:p>
            <w:pPr>
              <w:pStyle w:val="45"/>
              <w:keepNext w:val="0"/>
              <w:keepLines w:val="0"/>
              <w:suppressLineNumbers w:val="0"/>
              <w:spacing w:before="0" w:beforeAutospacing="0" w:after="0" w:afterAutospacing="0" w:line="240" w:lineRule="auto"/>
              <w:ind w:left="422" w:right="0" w:hanging="422"/>
              <w:rPr>
                <w:rFonts w:hint="eastAsia" w:ascii="Times New Roman" w:hAnsi="Times New Roman"/>
                <w:b/>
                <w:kern w:val="2"/>
                <w:szCs w:val="21"/>
              </w:rPr>
            </w:pPr>
            <w:r>
              <w:rPr>
                <w:rFonts w:hint="eastAsia" w:ascii="Times New Roman" w:hAnsi="Times New Roman"/>
                <w:b/>
                <w:kern w:val="2"/>
                <w:szCs w:val="21"/>
              </w:rPr>
              <w:t>污染物</w:t>
            </w:r>
          </w:p>
        </w:tc>
        <w:tc>
          <w:tcPr>
            <w:tcW w:w="1574" w:type="dxa"/>
            <w:vMerge w:val="restart"/>
            <w:vAlign w:val="center"/>
          </w:tcPr>
          <w:p>
            <w:pPr>
              <w:pStyle w:val="45"/>
              <w:keepNext w:val="0"/>
              <w:keepLines w:val="0"/>
              <w:suppressLineNumbers w:val="0"/>
              <w:spacing w:before="0" w:beforeAutospacing="0" w:after="0" w:afterAutospacing="0" w:line="240" w:lineRule="auto"/>
              <w:ind w:left="422" w:right="0" w:hanging="422"/>
              <w:rPr>
                <w:rFonts w:hint="eastAsia" w:ascii="Times New Roman" w:hAnsi="Times New Roman"/>
                <w:b/>
                <w:kern w:val="2"/>
                <w:szCs w:val="21"/>
              </w:rPr>
            </w:pPr>
            <w:r>
              <w:rPr>
                <w:rFonts w:hint="eastAsia" w:ascii="Times New Roman" w:hAnsi="Times New Roman"/>
                <w:b/>
                <w:kern w:val="2"/>
                <w:szCs w:val="21"/>
              </w:rPr>
              <w:t>监控点</w:t>
            </w:r>
          </w:p>
        </w:tc>
        <w:tc>
          <w:tcPr>
            <w:tcW w:w="3235" w:type="dxa"/>
            <w:vAlign w:val="center"/>
          </w:tcPr>
          <w:p>
            <w:pPr>
              <w:pStyle w:val="45"/>
              <w:keepNext w:val="0"/>
              <w:keepLines w:val="0"/>
              <w:suppressLineNumbers w:val="0"/>
              <w:spacing w:before="0" w:beforeAutospacing="0" w:after="0" w:afterAutospacing="0" w:line="240" w:lineRule="auto"/>
              <w:ind w:left="422" w:right="0" w:hanging="422"/>
              <w:rPr>
                <w:rFonts w:hint="eastAsia" w:ascii="Times New Roman" w:hAnsi="Times New Roman"/>
                <w:b/>
                <w:kern w:val="2"/>
                <w:szCs w:val="21"/>
              </w:rPr>
            </w:pPr>
            <w:r>
              <w:rPr>
                <w:rFonts w:hint="eastAsia" w:ascii="Times New Roman" w:hAnsi="Times New Roman"/>
                <w:b/>
                <w:kern w:val="2"/>
                <w:szCs w:val="21"/>
              </w:rPr>
              <w:t>作业场所</w:t>
            </w:r>
          </w:p>
        </w:tc>
        <w:tc>
          <w:tcPr>
            <w:tcW w:w="3376" w:type="dxa"/>
            <w:vAlign w:val="center"/>
          </w:tcPr>
          <w:p>
            <w:pPr>
              <w:pStyle w:val="45"/>
              <w:keepNext w:val="0"/>
              <w:keepLines w:val="0"/>
              <w:suppressLineNumbers w:val="0"/>
              <w:spacing w:before="0" w:beforeAutospacing="0" w:after="0" w:afterAutospacing="0" w:line="240" w:lineRule="auto"/>
              <w:ind w:left="422" w:right="0" w:hanging="422"/>
              <w:rPr>
                <w:rFonts w:hint="eastAsia" w:ascii="Times New Roman" w:hAnsi="Times New Roman"/>
                <w:b/>
                <w:kern w:val="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5" w:type="dxa"/>
            <w:vMerge w:val="continue"/>
            <w:vAlign w:val="center"/>
          </w:tcPr>
          <w:p>
            <w:pPr>
              <w:pStyle w:val="45"/>
              <w:keepNext w:val="0"/>
              <w:keepLines w:val="0"/>
              <w:suppressLineNumbers w:val="0"/>
              <w:spacing w:before="0" w:beforeAutospacing="0" w:after="0" w:afterAutospacing="0" w:line="240" w:lineRule="auto"/>
              <w:ind w:left="422" w:right="0" w:hanging="422"/>
              <w:rPr>
                <w:rFonts w:hint="eastAsia" w:ascii="Times New Roman" w:hAnsi="Times New Roman"/>
                <w:b/>
                <w:kern w:val="2"/>
                <w:szCs w:val="21"/>
              </w:rPr>
            </w:pPr>
          </w:p>
        </w:tc>
        <w:tc>
          <w:tcPr>
            <w:tcW w:w="1574" w:type="dxa"/>
            <w:vMerge w:val="continue"/>
            <w:vAlign w:val="center"/>
          </w:tcPr>
          <w:p>
            <w:pPr>
              <w:pStyle w:val="45"/>
              <w:keepNext w:val="0"/>
              <w:keepLines w:val="0"/>
              <w:suppressLineNumbers w:val="0"/>
              <w:spacing w:before="0" w:beforeAutospacing="0" w:after="0" w:afterAutospacing="0" w:line="240" w:lineRule="auto"/>
              <w:ind w:left="422" w:right="0" w:hanging="422"/>
              <w:rPr>
                <w:rFonts w:hint="eastAsia" w:ascii="Times New Roman" w:hAnsi="Times New Roman"/>
                <w:b/>
                <w:kern w:val="2"/>
                <w:szCs w:val="21"/>
              </w:rPr>
            </w:pPr>
          </w:p>
        </w:tc>
        <w:tc>
          <w:tcPr>
            <w:tcW w:w="3235" w:type="dxa"/>
            <w:vAlign w:val="center"/>
          </w:tcPr>
          <w:p>
            <w:pPr>
              <w:pStyle w:val="45"/>
              <w:keepNext w:val="0"/>
              <w:keepLines w:val="0"/>
              <w:suppressLineNumbers w:val="0"/>
              <w:spacing w:before="0" w:beforeAutospacing="0" w:after="0" w:afterAutospacing="0" w:line="240" w:lineRule="auto"/>
              <w:ind w:left="422" w:right="0" w:hanging="422"/>
              <w:rPr>
                <w:rFonts w:hint="eastAsia" w:ascii="Times New Roman" w:hAnsi="Times New Roman"/>
                <w:b/>
                <w:kern w:val="2"/>
                <w:szCs w:val="21"/>
              </w:rPr>
            </w:pPr>
            <w:r>
              <w:rPr>
                <w:rFonts w:hint="eastAsia" w:ascii="Times New Roman" w:hAnsi="Times New Roman"/>
                <w:b/>
                <w:kern w:val="2"/>
                <w:szCs w:val="21"/>
              </w:rPr>
              <w:t>煤炭工业所属装卸场所</w:t>
            </w:r>
          </w:p>
        </w:tc>
        <w:tc>
          <w:tcPr>
            <w:tcW w:w="3376" w:type="dxa"/>
            <w:vAlign w:val="center"/>
          </w:tcPr>
          <w:p>
            <w:pPr>
              <w:pStyle w:val="45"/>
              <w:keepNext w:val="0"/>
              <w:keepLines w:val="0"/>
              <w:suppressLineNumbers w:val="0"/>
              <w:spacing w:before="0" w:beforeAutospacing="0" w:after="0" w:afterAutospacing="0" w:line="240" w:lineRule="auto"/>
              <w:ind w:left="422" w:right="0" w:hanging="422"/>
              <w:rPr>
                <w:rFonts w:hint="eastAsia" w:ascii="Times New Roman" w:hAnsi="Times New Roman"/>
                <w:b/>
                <w:kern w:val="2"/>
                <w:szCs w:val="21"/>
              </w:rPr>
            </w:pPr>
            <w:r>
              <w:rPr>
                <w:rFonts w:hint="eastAsia" w:ascii="Times New Roman" w:hAnsi="Times New Roman"/>
                <w:b/>
                <w:kern w:val="2"/>
                <w:szCs w:val="21"/>
              </w:rPr>
              <w:t>煤炭贮存场、煤矸石堆置场所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5" w:type="dxa"/>
            <w:vMerge w:val="continue"/>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p>
        </w:tc>
        <w:tc>
          <w:tcPr>
            <w:tcW w:w="1574" w:type="dxa"/>
            <w:vMerge w:val="continue"/>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p>
        </w:tc>
        <w:tc>
          <w:tcPr>
            <w:tcW w:w="3235" w:type="dxa"/>
            <w:vAlign w:val="center"/>
          </w:tcPr>
          <w:p>
            <w:pPr>
              <w:pStyle w:val="45"/>
              <w:keepNext w:val="0"/>
              <w:keepLines w:val="0"/>
              <w:suppressLineNumbers w:val="0"/>
              <w:spacing w:before="0" w:beforeAutospacing="0" w:after="0" w:afterAutospacing="0" w:line="240" w:lineRule="auto"/>
              <w:ind w:left="422" w:right="0" w:hanging="422"/>
              <w:rPr>
                <w:rFonts w:hint="eastAsia" w:ascii="Times New Roman" w:hAnsi="Times New Roman"/>
                <w:b/>
                <w:kern w:val="2"/>
                <w:szCs w:val="21"/>
              </w:rPr>
            </w:pPr>
            <w:r>
              <w:rPr>
                <w:rFonts w:hint="eastAsia" w:ascii="Times New Roman" w:hAnsi="Times New Roman"/>
                <w:b/>
                <w:kern w:val="2"/>
                <w:szCs w:val="21"/>
              </w:rPr>
              <w:t>无组织排放限值（mg/m</w:t>
            </w:r>
            <w:r>
              <w:rPr>
                <w:rFonts w:hint="eastAsia" w:ascii="Times New Roman" w:hAnsi="Times New Roman"/>
                <w:b/>
                <w:kern w:val="2"/>
                <w:szCs w:val="21"/>
                <w:vertAlign w:val="superscript"/>
              </w:rPr>
              <w:t>3</w:t>
            </w:r>
            <w:r>
              <w:rPr>
                <w:rFonts w:hint="eastAsia" w:ascii="Times New Roman" w:hAnsi="Times New Roman"/>
                <w:b/>
                <w:kern w:val="2"/>
                <w:szCs w:val="21"/>
              </w:rPr>
              <w:t>）</w:t>
            </w:r>
            <w:r>
              <w:rPr>
                <w:rFonts w:hint="eastAsia" w:ascii="Times New Roman" w:hAnsi="Times New Roman"/>
                <w:b/>
                <w:kern w:val="2"/>
                <w:szCs w:val="21"/>
                <w:lang w:eastAsia="zh-CN"/>
              </w:rPr>
              <w:t>（</w:t>
            </w:r>
            <w:r>
              <w:rPr>
                <w:rFonts w:hint="eastAsia" w:ascii="Times New Roman" w:hAnsi="Times New Roman"/>
                <w:b/>
                <w:kern w:val="2"/>
                <w:szCs w:val="21"/>
              </w:rPr>
              <w:t>监控点与参考点浓度差值</w:t>
            </w:r>
            <w:r>
              <w:rPr>
                <w:rFonts w:hint="eastAsia" w:ascii="Times New Roman" w:hAnsi="Times New Roman"/>
                <w:b/>
                <w:kern w:val="2"/>
                <w:szCs w:val="21"/>
                <w:lang w:eastAsia="zh-CN"/>
              </w:rPr>
              <w:t>）</w:t>
            </w:r>
          </w:p>
        </w:tc>
        <w:tc>
          <w:tcPr>
            <w:tcW w:w="3376" w:type="dxa"/>
            <w:vAlign w:val="center"/>
          </w:tcPr>
          <w:p>
            <w:pPr>
              <w:pStyle w:val="45"/>
              <w:keepNext w:val="0"/>
              <w:keepLines w:val="0"/>
              <w:suppressLineNumbers w:val="0"/>
              <w:spacing w:before="0" w:beforeAutospacing="0" w:after="0" w:afterAutospacing="0" w:line="240" w:lineRule="auto"/>
              <w:ind w:left="422" w:right="0" w:hanging="422"/>
              <w:rPr>
                <w:rFonts w:hint="eastAsia" w:ascii="Times New Roman" w:hAnsi="Times New Roman"/>
                <w:b/>
                <w:kern w:val="2"/>
                <w:szCs w:val="21"/>
              </w:rPr>
            </w:pPr>
            <w:r>
              <w:rPr>
                <w:rFonts w:hint="eastAsia" w:ascii="Times New Roman" w:hAnsi="Times New Roman"/>
                <w:b/>
                <w:kern w:val="2"/>
                <w:szCs w:val="21"/>
              </w:rPr>
              <w:t>无组织排放限值（mg/m</w:t>
            </w:r>
            <w:r>
              <w:rPr>
                <w:rFonts w:hint="eastAsia" w:ascii="Times New Roman" w:hAnsi="Times New Roman"/>
                <w:b/>
                <w:kern w:val="2"/>
                <w:szCs w:val="21"/>
                <w:vertAlign w:val="superscript"/>
              </w:rPr>
              <w:t>3</w:t>
            </w:r>
            <w:r>
              <w:rPr>
                <w:rFonts w:hint="eastAsia" w:ascii="Times New Roman" w:hAnsi="Times New Roman"/>
                <w:b/>
                <w:kern w:val="2"/>
                <w:szCs w:val="21"/>
              </w:rPr>
              <w:t>）</w:t>
            </w:r>
            <w:r>
              <w:rPr>
                <w:rFonts w:hint="eastAsia" w:ascii="Times New Roman" w:hAnsi="Times New Roman"/>
                <w:b/>
                <w:kern w:val="2"/>
                <w:szCs w:val="21"/>
                <w:lang w:eastAsia="zh-CN"/>
              </w:rPr>
              <w:t>（</w:t>
            </w:r>
            <w:r>
              <w:rPr>
                <w:rFonts w:hint="eastAsia" w:ascii="Times New Roman" w:hAnsi="Times New Roman"/>
                <w:b/>
                <w:kern w:val="2"/>
                <w:szCs w:val="21"/>
              </w:rPr>
              <w:t>监控点与参考点浓度差值</w:t>
            </w:r>
            <w:r>
              <w:rPr>
                <w:rFonts w:hint="eastAsia" w:ascii="Times New Roman" w:hAnsi="Times New Roman"/>
                <w:b/>
                <w:kern w:val="2"/>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5"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颗粒物</w:t>
            </w:r>
          </w:p>
        </w:tc>
        <w:tc>
          <w:tcPr>
            <w:tcW w:w="1574" w:type="dxa"/>
            <w:vMerge w:val="restart"/>
            <w:vAlign w:val="center"/>
          </w:tcPr>
          <w:p>
            <w:pPr>
              <w:pStyle w:val="45"/>
              <w:keepNext w:val="0"/>
              <w:keepLines w:val="0"/>
              <w:suppressLineNumbers w:val="0"/>
              <w:spacing w:before="0" w:beforeAutospacing="0" w:after="0" w:afterAutospacing="0" w:line="240" w:lineRule="auto"/>
              <w:ind w:left="0" w:right="0" w:firstLine="0" w:firstLineChars="0"/>
              <w:rPr>
                <w:rFonts w:hint="eastAsia" w:ascii="Times New Roman" w:hAnsi="Times New Roman"/>
                <w:bCs/>
                <w:kern w:val="2"/>
                <w:szCs w:val="21"/>
              </w:rPr>
            </w:pPr>
            <w:r>
              <w:rPr>
                <w:rFonts w:hint="eastAsia" w:ascii="Times New Roman" w:hAnsi="Times New Roman"/>
                <w:bCs/>
                <w:kern w:val="2"/>
                <w:szCs w:val="21"/>
              </w:rPr>
              <w:t>周边外质量浓度最高点</w:t>
            </w:r>
          </w:p>
        </w:tc>
        <w:tc>
          <w:tcPr>
            <w:tcW w:w="3235"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1.0</w:t>
            </w:r>
          </w:p>
        </w:tc>
        <w:tc>
          <w:tcPr>
            <w:tcW w:w="3376"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5"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二氧化硫</w:t>
            </w:r>
          </w:p>
        </w:tc>
        <w:tc>
          <w:tcPr>
            <w:tcW w:w="1574" w:type="dxa"/>
            <w:vMerge w:val="continue"/>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p>
        </w:tc>
        <w:tc>
          <w:tcPr>
            <w:tcW w:w="3235"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w:t>
            </w:r>
          </w:p>
        </w:tc>
        <w:tc>
          <w:tcPr>
            <w:tcW w:w="3376" w:type="dxa"/>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300" w:type="dxa"/>
            <w:gridSpan w:val="4"/>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注：周界外质量浓度最高点一般应设置于无组织排放源下风向的单位周界外10m 范围内，若预计无组织排放的最大落地质量浓度点</w:t>
            </w:r>
            <w:r>
              <w:rPr>
                <w:rFonts w:hint="eastAsia" w:ascii="Times New Roman" w:hAnsi="Times New Roman"/>
                <w:bCs/>
                <w:kern w:val="2"/>
                <w:szCs w:val="21"/>
                <w:lang w:eastAsia="zh-CN"/>
              </w:rPr>
              <w:t>超出</w:t>
            </w:r>
            <w:r>
              <w:rPr>
                <w:rFonts w:hint="eastAsia" w:ascii="Times New Roman" w:hAnsi="Times New Roman"/>
                <w:bCs/>
                <w:kern w:val="2"/>
                <w:szCs w:val="21"/>
              </w:rPr>
              <w:t>10m 范围，可将监点移至该预计质量浓度最高点。</w:t>
            </w:r>
          </w:p>
        </w:tc>
      </w:tr>
    </w:tbl>
    <w:p>
      <w:pPr>
        <w:pStyle w:val="61"/>
        <w:spacing w:line="360" w:lineRule="auto"/>
        <w:ind w:firstLine="480" w:firstLineChars="200"/>
        <w:rPr>
          <w:rFonts w:ascii="Times New Roman" w:hAnsi="Times New Roman"/>
          <w:lang w:eastAsia="zh-CN"/>
        </w:rPr>
      </w:pPr>
      <w:r>
        <w:rPr>
          <w:rFonts w:ascii="Times New Roman" w:hAnsi="Times New Roman"/>
          <w:lang w:eastAsia="zh-CN"/>
        </w:rPr>
        <w:t>食堂油烟执行《饮食业油烟排放标准（试行）》（GB18483-2001）中相关标准。</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表1.5-11  饮食业油烟排放标准表</w:t>
      </w:r>
    </w:p>
    <w:tbl>
      <w:tblPr>
        <w:tblStyle w:val="33"/>
        <w:tblW w:w="90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0"/>
        <w:gridCol w:w="1120"/>
        <w:gridCol w:w="1176"/>
        <w:gridCol w:w="2145"/>
        <w:gridCol w:w="1735"/>
        <w:gridCol w:w="20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9" w:hRule="atLeast"/>
          <w:jc w:val="center"/>
        </w:trPr>
        <w:tc>
          <w:tcPr>
            <w:tcW w:w="790"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项目名称</w:t>
            </w:r>
          </w:p>
        </w:tc>
        <w:tc>
          <w:tcPr>
            <w:tcW w:w="1120"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灶头数（个）</w:t>
            </w:r>
          </w:p>
        </w:tc>
        <w:tc>
          <w:tcPr>
            <w:tcW w:w="1176"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划分规模</w:t>
            </w:r>
          </w:p>
        </w:tc>
        <w:tc>
          <w:tcPr>
            <w:tcW w:w="2145"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对应排气罩灶面总投影面积（m</w:t>
            </w:r>
            <w:r>
              <w:rPr>
                <w:rFonts w:hint="eastAsia" w:hAnsi="Times New Roman" w:eastAsia="宋体"/>
                <w:b/>
                <w:bCs/>
                <w:kern w:val="2"/>
                <w:sz w:val="21"/>
                <w:szCs w:val="21"/>
                <w:vertAlign w:val="superscript"/>
                <w:lang w:eastAsia="zh-CN"/>
              </w:rPr>
              <w:t>2</w:t>
            </w:r>
            <w:r>
              <w:rPr>
                <w:rFonts w:hint="eastAsia" w:hAnsi="Times New Roman" w:eastAsia="宋体"/>
                <w:b/>
                <w:bCs/>
                <w:kern w:val="2"/>
                <w:sz w:val="21"/>
                <w:szCs w:val="21"/>
                <w:lang w:eastAsia="zh-CN"/>
              </w:rPr>
              <w:t>）</w:t>
            </w:r>
          </w:p>
        </w:tc>
        <w:tc>
          <w:tcPr>
            <w:tcW w:w="1735"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最高允许排放浓度（</w:t>
            </w:r>
            <w:r>
              <w:rPr>
                <w:rFonts w:hint="eastAsia" w:hAnsi="Times New Roman" w:eastAsia="宋体"/>
                <w:b/>
                <w:bCs/>
                <w:kern w:val="2"/>
                <w:sz w:val="21"/>
                <w:szCs w:val="21"/>
              </w:rPr>
              <w:t>mg/m</w:t>
            </w:r>
            <w:r>
              <w:rPr>
                <w:rFonts w:hint="eastAsia" w:hAnsi="Times New Roman" w:eastAsia="宋体"/>
                <w:b/>
                <w:bCs/>
                <w:kern w:val="2"/>
                <w:sz w:val="21"/>
                <w:szCs w:val="21"/>
                <w:vertAlign w:val="superscript"/>
              </w:rPr>
              <w:t>3</w:t>
            </w:r>
            <w:r>
              <w:rPr>
                <w:rFonts w:hint="eastAsia" w:hAnsi="Times New Roman" w:eastAsia="宋体"/>
                <w:b/>
                <w:bCs/>
                <w:kern w:val="2"/>
                <w:sz w:val="21"/>
                <w:szCs w:val="21"/>
                <w:lang w:eastAsia="zh-CN"/>
              </w:rPr>
              <w:t>）</w:t>
            </w:r>
          </w:p>
        </w:tc>
        <w:tc>
          <w:tcPr>
            <w:tcW w:w="2094"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lang w:eastAsia="zh-CN"/>
              </w:rPr>
              <w:t>净化设施最低去除效率（%）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7" w:hRule="atLeast"/>
          <w:jc w:val="center"/>
        </w:trPr>
        <w:tc>
          <w:tcPr>
            <w:tcW w:w="790" w:type="dxa"/>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食堂油烟</w:t>
            </w:r>
          </w:p>
        </w:tc>
        <w:tc>
          <w:tcPr>
            <w:tcW w:w="112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rPr>
              <w:t>≥</w:t>
            </w:r>
            <w:r>
              <w:rPr>
                <w:rFonts w:hint="eastAsia" w:hAnsi="Times New Roman" w:eastAsia="宋体"/>
                <w:kern w:val="2"/>
                <w:sz w:val="21"/>
                <w:szCs w:val="21"/>
                <w:lang w:eastAsia="zh-CN"/>
              </w:rPr>
              <w:t>6</w:t>
            </w:r>
          </w:p>
        </w:tc>
        <w:tc>
          <w:tcPr>
            <w:tcW w:w="1176"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大型</w:t>
            </w:r>
          </w:p>
        </w:tc>
        <w:tc>
          <w:tcPr>
            <w:tcW w:w="214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rPr>
              <w:t>≥</w:t>
            </w:r>
            <w:r>
              <w:rPr>
                <w:rFonts w:hint="eastAsia" w:hAnsi="Times New Roman" w:eastAsia="宋体"/>
                <w:kern w:val="2"/>
                <w:sz w:val="21"/>
                <w:szCs w:val="21"/>
                <w:lang w:eastAsia="zh-CN"/>
              </w:rPr>
              <w:t>6.6</w:t>
            </w:r>
          </w:p>
        </w:tc>
        <w:tc>
          <w:tcPr>
            <w:tcW w:w="1735" w:type="dxa"/>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2.0</w:t>
            </w:r>
          </w:p>
        </w:tc>
        <w:tc>
          <w:tcPr>
            <w:tcW w:w="209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Cs w:val="22"/>
                <w:lang w:eastAsia="zh-CN"/>
              </w:rPr>
            </w:pPr>
            <w:r>
              <w:rPr>
                <w:rFonts w:hint="eastAsia" w:hAnsi="Times New Roman" w:eastAsia="宋体"/>
                <w:kern w:val="2"/>
                <w:sz w:val="21"/>
                <w:szCs w:val="21"/>
                <w:lang w:eastAsia="zh-CN"/>
              </w:rPr>
              <w:t>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7" w:hRule="atLeast"/>
          <w:jc w:val="center"/>
        </w:trPr>
        <w:tc>
          <w:tcPr>
            <w:tcW w:w="790"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p>
        </w:tc>
        <w:tc>
          <w:tcPr>
            <w:tcW w:w="112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≥3，＜6</w:t>
            </w:r>
          </w:p>
        </w:tc>
        <w:tc>
          <w:tcPr>
            <w:tcW w:w="1176"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中型</w:t>
            </w:r>
          </w:p>
        </w:tc>
        <w:tc>
          <w:tcPr>
            <w:tcW w:w="214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≥3.3，＜6.6</w:t>
            </w:r>
          </w:p>
        </w:tc>
        <w:tc>
          <w:tcPr>
            <w:tcW w:w="1735"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p>
        </w:tc>
        <w:tc>
          <w:tcPr>
            <w:tcW w:w="209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6" w:hRule="atLeast"/>
          <w:jc w:val="center"/>
        </w:trPr>
        <w:tc>
          <w:tcPr>
            <w:tcW w:w="790"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p>
        </w:tc>
        <w:tc>
          <w:tcPr>
            <w:tcW w:w="112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≥1，＜3</w:t>
            </w:r>
          </w:p>
        </w:tc>
        <w:tc>
          <w:tcPr>
            <w:tcW w:w="1176"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小型</w:t>
            </w:r>
          </w:p>
        </w:tc>
        <w:tc>
          <w:tcPr>
            <w:tcW w:w="214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≥1.1，＜3.3</w:t>
            </w:r>
          </w:p>
        </w:tc>
        <w:tc>
          <w:tcPr>
            <w:tcW w:w="1735"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p>
        </w:tc>
        <w:tc>
          <w:tcPr>
            <w:tcW w:w="209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60</w:t>
            </w:r>
          </w:p>
        </w:tc>
      </w:tr>
    </w:tbl>
    <w:p>
      <w:pPr>
        <w:spacing w:line="360" w:lineRule="auto"/>
        <w:ind w:firstLine="480" w:firstLineChars="200"/>
        <w:rPr>
          <w:rFonts w:hAnsi="Times New Roman" w:eastAsia="宋体"/>
          <w:szCs w:val="22"/>
          <w:lang w:eastAsia="zh-CN"/>
        </w:rPr>
      </w:pPr>
      <w:r>
        <w:rPr>
          <w:rFonts w:hAnsi="Times New Roman" w:eastAsia="宋体"/>
          <w:szCs w:val="22"/>
          <w:lang w:eastAsia="zh-CN"/>
        </w:rPr>
        <w:t>风井工</w:t>
      </w:r>
      <w:r>
        <w:rPr>
          <w:rFonts w:hint="eastAsia" w:hAnsi="Times New Roman" w:eastAsia="宋体"/>
          <w:szCs w:val="22"/>
          <w:lang w:eastAsia="zh-CN"/>
        </w:rPr>
        <w:t>业场</w:t>
      </w:r>
      <w:r>
        <w:rPr>
          <w:rFonts w:hAnsi="Times New Roman" w:eastAsia="宋体"/>
          <w:szCs w:val="22"/>
          <w:lang w:eastAsia="zh-CN"/>
        </w:rPr>
        <w:t>地通风机废气执行《煤层气（煤矿瓦斯）排放标准（暂行）》（GB21522-2008），主要控制煤层气中的甲烷浓度，其中低浓度瓦斯（甲烷体积浓度＜30%）排放限值无要求。</w:t>
      </w:r>
    </w:p>
    <w:p>
      <w:pPr>
        <w:spacing w:line="360" w:lineRule="auto"/>
        <w:ind w:firstLine="482" w:firstLineChars="200"/>
        <w:rPr>
          <w:rFonts w:hAnsi="Times New Roman" w:eastAsia="宋体"/>
          <w:b/>
          <w:bCs/>
          <w:lang w:eastAsia="zh-CN"/>
        </w:rPr>
      </w:pPr>
      <w:r>
        <w:rPr>
          <w:rFonts w:hAnsi="Times New Roman" w:eastAsia="宋体"/>
          <w:b/>
          <w:bCs/>
          <w:lang w:eastAsia="zh-CN"/>
        </w:rPr>
        <w:t>（2）废水</w:t>
      </w:r>
    </w:p>
    <w:p>
      <w:pPr>
        <w:spacing w:line="360" w:lineRule="auto"/>
        <w:ind w:firstLine="480" w:firstLineChars="200"/>
        <w:rPr>
          <w:rFonts w:hAnsi="Times New Roman" w:eastAsia="宋体"/>
          <w:lang w:eastAsia="zh-CN"/>
        </w:rPr>
      </w:pPr>
      <w:r>
        <w:rPr>
          <w:rFonts w:hAnsi="Times New Roman" w:eastAsia="宋体"/>
          <w:lang w:eastAsia="zh-CN"/>
        </w:rPr>
        <w:t>矿区内采煤废水原则上应处理后回用；确需外排的，根据《关于进一步加强煤炭资源开发环境影响评价管理的通知》（环环评〔2020〕63号文）需满足地表水相应环境质量标准，矿区所在区域为III类水域，需满足《地表水环境质量标准》（GB3838-2002）Ⅲ类标准，含盐量不得高于1000mg/L；矿井水回用至井下，执行《煤矿井下消防、洒水设计规范》（GB50383-2016）中井下洒水水质标准；矿井水回用至地面工程洒水降尘执行《城市污水再生利用 城市杂用水水质》（GB/T18920-2020）中</w:t>
      </w:r>
      <w:r>
        <w:rPr>
          <w:rFonts w:hint="eastAsia" w:hAnsi="Times New Roman" w:eastAsia="宋体"/>
          <w:lang w:eastAsia="zh-CN"/>
        </w:rPr>
        <w:t>“</w:t>
      </w:r>
      <w:r>
        <w:rPr>
          <w:rFonts w:hAnsi="Times New Roman" w:eastAsia="宋体"/>
          <w:lang w:eastAsia="zh-CN"/>
        </w:rPr>
        <w:t>城市绿化、道路清扫</w:t>
      </w:r>
      <w:r>
        <w:rPr>
          <w:rFonts w:hint="eastAsia" w:hAnsi="Times New Roman" w:eastAsia="宋体"/>
          <w:lang w:eastAsia="zh-CN"/>
        </w:rPr>
        <w:t>”</w:t>
      </w:r>
      <w:r>
        <w:rPr>
          <w:rFonts w:hAnsi="Times New Roman" w:eastAsia="宋体"/>
          <w:lang w:eastAsia="zh-CN"/>
        </w:rPr>
        <w:t>水质标准。</w:t>
      </w:r>
    </w:p>
    <w:p>
      <w:pPr>
        <w:spacing w:line="360" w:lineRule="auto"/>
        <w:ind w:firstLine="480" w:firstLineChars="200"/>
        <w:rPr>
          <w:rFonts w:hAnsi="Times New Roman" w:eastAsia="宋体"/>
          <w:lang w:eastAsia="zh-CN"/>
        </w:rPr>
      </w:pPr>
      <w:r>
        <w:rPr>
          <w:rFonts w:hAnsi="Times New Roman" w:eastAsia="宋体"/>
          <w:lang w:eastAsia="zh-CN"/>
        </w:rPr>
        <w:t>项目食堂废水、</w:t>
      </w:r>
      <w:r>
        <w:rPr>
          <w:rFonts w:hint="eastAsia" w:hAnsi="Times New Roman" w:eastAsia="宋体"/>
          <w:lang w:eastAsia="zh-CN"/>
        </w:rPr>
        <w:t>淋浴</w:t>
      </w:r>
      <w:r>
        <w:rPr>
          <w:rFonts w:hAnsi="Times New Roman" w:eastAsia="宋体"/>
          <w:lang w:eastAsia="zh-CN"/>
        </w:rPr>
        <w:t>废水</w:t>
      </w:r>
      <w:r>
        <w:rPr>
          <w:rFonts w:hint="eastAsia" w:hAnsi="Times New Roman" w:eastAsia="宋体"/>
          <w:lang w:eastAsia="zh-CN"/>
        </w:rPr>
        <w:t>、洗衣房废水</w:t>
      </w:r>
      <w:r>
        <w:rPr>
          <w:rFonts w:hAnsi="Times New Roman" w:eastAsia="宋体"/>
          <w:lang w:eastAsia="zh-CN"/>
        </w:rPr>
        <w:t>经处理</w:t>
      </w:r>
      <w:r>
        <w:rPr>
          <w:rFonts w:hint="eastAsia" w:hAnsi="Times New Roman" w:eastAsia="宋体"/>
          <w:lang w:eastAsia="zh-CN"/>
        </w:rPr>
        <w:t>达到</w:t>
      </w:r>
      <w:r>
        <w:rPr>
          <w:rFonts w:hAnsi="Times New Roman" w:eastAsia="宋体"/>
          <w:lang w:eastAsia="zh-CN"/>
        </w:rPr>
        <w:t>《城市污水再生利用 城市杂用水水质》（GB/T18920-2020）</w:t>
      </w:r>
      <w:r>
        <w:rPr>
          <w:rFonts w:hint="eastAsia" w:hAnsi="Times New Roman" w:eastAsia="宋体"/>
          <w:lang w:eastAsia="zh-CN"/>
        </w:rPr>
        <w:t>中“</w:t>
      </w:r>
      <w:r>
        <w:rPr>
          <w:rFonts w:hAnsi="Times New Roman" w:eastAsia="宋体"/>
          <w:lang w:eastAsia="zh-CN"/>
        </w:rPr>
        <w:t>城市绿化、道路清扫</w:t>
      </w:r>
      <w:r>
        <w:rPr>
          <w:rFonts w:hint="eastAsia" w:hAnsi="Times New Roman" w:eastAsia="宋体"/>
          <w:lang w:eastAsia="zh-CN"/>
        </w:rPr>
        <w:t>”水质标准</w:t>
      </w:r>
      <w:r>
        <w:rPr>
          <w:rFonts w:hAnsi="Times New Roman" w:eastAsia="宋体"/>
          <w:lang w:eastAsia="zh-CN"/>
        </w:rPr>
        <w:t>后回用于地面防尘用水、绿化用水等</w:t>
      </w:r>
      <w:r>
        <w:rPr>
          <w:rFonts w:hint="eastAsia" w:hAnsi="Times New Roman" w:eastAsia="宋体"/>
          <w:lang w:eastAsia="zh-CN"/>
        </w:rPr>
        <w:t>，不外排；职工粪便水</w:t>
      </w:r>
      <w:r>
        <w:rPr>
          <w:rFonts w:hAnsi="Times New Roman" w:eastAsia="宋体"/>
          <w:lang w:eastAsia="zh-CN"/>
        </w:rPr>
        <w:t>进入化粪池处理后，由达州市鑫通管道疏通有限公司定期清运处置，均不外排。</w:t>
      </w:r>
    </w:p>
    <w:p>
      <w:pPr>
        <w:spacing w:line="360" w:lineRule="auto"/>
        <w:ind w:firstLine="480" w:firstLineChars="200"/>
        <w:rPr>
          <w:rFonts w:hAnsi="Times New Roman" w:eastAsia="宋体"/>
          <w:lang w:eastAsia="zh-CN"/>
        </w:rPr>
      </w:pPr>
      <w:r>
        <w:rPr>
          <w:rFonts w:hAnsi="Times New Roman" w:eastAsia="宋体"/>
          <w:lang w:eastAsia="zh-CN"/>
        </w:rPr>
        <w:t>其标准限值见表。</w:t>
      </w:r>
    </w:p>
    <w:p>
      <w:pPr>
        <w:spacing w:line="360" w:lineRule="auto"/>
        <w:jc w:val="center"/>
        <w:rPr>
          <w:rFonts w:hAnsi="Times New Roman" w:eastAsia="宋体"/>
          <w:b/>
          <w:bCs/>
          <w:sz w:val="21"/>
          <w:szCs w:val="21"/>
          <w:lang w:eastAsia="zh-CN"/>
        </w:rPr>
      </w:pPr>
      <w:r>
        <w:rPr>
          <w:rFonts w:hAnsi="Times New Roman" w:eastAsia="宋体"/>
          <w:b/>
          <w:bCs/>
          <w:lang w:eastAsia="zh-CN"/>
        </w:rPr>
        <w:t xml:space="preserve">   </w:t>
      </w:r>
      <w:r>
        <w:rPr>
          <w:rFonts w:hAnsi="Times New Roman" w:eastAsia="宋体"/>
          <w:b/>
          <w:bCs/>
          <w:sz w:val="21"/>
          <w:szCs w:val="21"/>
          <w:lang w:eastAsia="zh-CN"/>
        </w:rPr>
        <w:t xml:space="preserve">    表1.5-12  </w:t>
      </w:r>
      <w:r>
        <w:rPr>
          <w:rFonts w:hint="eastAsia" w:hAnsi="Times New Roman" w:eastAsia="宋体"/>
          <w:b/>
          <w:bCs/>
          <w:sz w:val="21"/>
          <w:szCs w:val="21"/>
          <w:lang w:eastAsia="zh-CN"/>
        </w:rPr>
        <w:t>矿井水</w:t>
      </w:r>
      <w:r>
        <w:rPr>
          <w:rFonts w:hAnsi="Times New Roman" w:eastAsia="宋体"/>
          <w:b/>
          <w:bCs/>
          <w:sz w:val="21"/>
          <w:szCs w:val="21"/>
          <w:lang w:eastAsia="zh-CN"/>
        </w:rPr>
        <w:t>排放</w:t>
      </w:r>
      <w:r>
        <w:rPr>
          <w:rFonts w:hint="eastAsia" w:hAnsi="Times New Roman" w:eastAsia="宋体"/>
          <w:b/>
          <w:bCs/>
          <w:sz w:val="21"/>
          <w:szCs w:val="21"/>
          <w:lang w:eastAsia="zh-CN"/>
        </w:rPr>
        <w:t>标准</w:t>
      </w:r>
      <w:r>
        <w:rPr>
          <w:rFonts w:hAnsi="Times New Roman" w:eastAsia="宋体"/>
          <w:b/>
          <w:bCs/>
          <w:sz w:val="21"/>
          <w:szCs w:val="21"/>
          <w:lang w:eastAsia="zh-CN"/>
        </w:rPr>
        <w:t xml:space="preserve">         单位：mg/L</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34"/>
        <w:gridCol w:w="2334"/>
        <w:gridCol w:w="2336"/>
        <w:gridCol w:w="23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249"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监测因子</w:t>
            </w:r>
          </w:p>
        </w:tc>
        <w:tc>
          <w:tcPr>
            <w:tcW w:w="1249"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fldChar w:fldCharType="begin"/>
            </w:r>
            <w:r>
              <w:rPr>
                <w:rFonts w:hint="eastAsia" w:hAnsi="Times New Roman" w:eastAsia="宋体"/>
                <w:b/>
                <w:bCs/>
                <w:kern w:val="2"/>
                <w:sz w:val="21"/>
                <w:szCs w:val="21"/>
              </w:rPr>
              <w:instrText xml:space="preserve"> = 3 \* ROMAN </w:instrText>
            </w:r>
            <w:r>
              <w:rPr>
                <w:rFonts w:hint="eastAsia" w:hAnsi="Times New Roman" w:eastAsia="宋体"/>
                <w:b/>
                <w:bCs/>
                <w:kern w:val="2"/>
                <w:sz w:val="21"/>
                <w:szCs w:val="21"/>
              </w:rPr>
              <w:fldChar w:fldCharType="separate"/>
            </w:r>
            <w:r>
              <w:rPr>
                <w:rFonts w:hint="eastAsia" w:hAnsi="Times New Roman" w:eastAsia="宋体"/>
                <w:b/>
                <w:bCs/>
                <w:kern w:val="2"/>
                <w:sz w:val="21"/>
                <w:szCs w:val="21"/>
              </w:rPr>
              <w:t>III</w:t>
            </w:r>
            <w:r>
              <w:rPr>
                <w:rFonts w:hint="eastAsia" w:hAnsi="Times New Roman" w:eastAsia="宋体"/>
                <w:b/>
                <w:bCs/>
                <w:kern w:val="2"/>
                <w:sz w:val="21"/>
                <w:szCs w:val="21"/>
              </w:rPr>
              <w:fldChar w:fldCharType="end"/>
            </w:r>
            <w:r>
              <w:rPr>
                <w:rFonts w:hint="eastAsia" w:hAnsi="Times New Roman" w:eastAsia="宋体"/>
                <w:b/>
                <w:bCs/>
                <w:kern w:val="2"/>
                <w:sz w:val="21"/>
                <w:szCs w:val="21"/>
              </w:rPr>
              <w:t>类标准</w:t>
            </w:r>
          </w:p>
        </w:tc>
        <w:tc>
          <w:tcPr>
            <w:tcW w:w="1250"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监测因子</w:t>
            </w:r>
          </w:p>
        </w:tc>
        <w:tc>
          <w:tcPr>
            <w:tcW w:w="1252"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fldChar w:fldCharType="begin"/>
            </w:r>
            <w:r>
              <w:rPr>
                <w:rFonts w:hint="eastAsia" w:hAnsi="Times New Roman" w:eastAsia="宋体"/>
                <w:b/>
                <w:bCs/>
                <w:kern w:val="2"/>
                <w:sz w:val="21"/>
                <w:szCs w:val="21"/>
              </w:rPr>
              <w:instrText xml:space="preserve"> = 3 \* ROMAN </w:instrText>
            </w:r>
            <w:r>
              <w:rPr>
                <w:rFonts w:hint="eastAsia" w:hAnsi="Times New Roman" w:eastAsia="宋体"/>
                <w:b/>
                <w:bCs/>
                <w:kern w:val="2"/>
                <w:sz w:val="21"/>
                <w:szCs w:val="21"/>
              </w:rPr>
              <w:fldChar w:fldCharType="separate"/>
            </w:r>
            <w:r>
              <w:rPr>
                <w:rFonts w:hint="eastAsia" w:hAnsi="Times New Roman" w:eastAsia="宋体"/>
                <w:b/>
                <w:bCs/>
                <w:kern w:val="2"/>
                <w:sz w:val="21"/>
                <w:szCs w:val="21"/>
              </w:rPr>
              <w:t>III</w:t>
            </w:r>
            <w:r>
              <w:rPr>
                <w:rFonts w:hint="eastAsia" w:hAnsi="Times New Roman" w:eastAsia="宋体"/>
                <w:b/>
                <w:bCs/>
                <w:kern w:val="2"/>
                <w:sz w:val="21"/>
                <w:szCs w:val="21"/>
              </w:rPr>
              <w:fldChar w:fldCharType="end"/>
            </w:r>
            <w:r>
              <w:rPr>
                <w:rFonts w:hint="eastAsia" w:hAnsi="Times New Roman" w:eastAsia="宋体"/>
                <w:b/>
                <w:bCs/>
                <w:kern w:val="2"/>
                <w:sz w:val="21"/>
                <w:szCs w:val="21"/>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9"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COD</w:t>
            </w:r>
            <w:r>
              <w:rPr>
                <w:rFonts w:hint="eastAsia" w:hAnsi="Times New Roman" w:eastAsia="宋体"/>
                <w:kern w:val="2"/>
                <w:sz w:val="21"/>
                <w:szCs w:val="21"/>
                <w:vertAlign w:val="subscript"/>
              </w:rPr>
              <w:t>Cr</w:t>
            </w:r>
          </w:p>
        </w:tc>
        <w:tc>
          <w:tcPr>
            <w:tcW w:w="1249"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20</w:t>
            </w:r>
          </w:p>
        </w:tc>
        <w:tc>
          <w:tcPr>
            <w:tcW w:w="1250"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挥发酚</w:t>
            </w:r>
          </w:p>
        </w:tc>
        <w:tc>
          <w:tcPr>
            <w:tcW w:w="1252"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9"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BOD</w:t>
            </w:r>
            <w:r>
              <w:rPr>
                <w:rFonts w:hint="eastAsia" w:hAnsi="Times New Roman" w:eastAsia="宋体"/>
                <w:kern w:val="2"/>
                <w:sz w:val="21"/>
                <w:szCs w:val="21"/>
                <w:vertAlign w:val="subscript"/>
              </w:rPr>
              <w:t>5</w:t>
            </w:r>
          </w:p>
        </w:tc>
        <w:tc>
          <w:tcPr>
            <w:tcW w:w="1249"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4</w:t>
            </w:r>
          </w:p>
        </w:tc>
        <w:tc>
          <w:tcPr>
            <w:tcW w:w="1250"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氰化物</w:t>
            </w:r>
          </w:p>
        </w:tc>
        <w:tc>
          <w:tcPr>
            <w:tcW w:w="1252"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9"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NH</w:t>
            </w:r>
            <w:r>
              <w:rPr>
                <w:rFonts w:hint="eastAsia" w:hAnsi="Times New Roman" w:eastAsia="宋体"/>
                <w:kern w:val="2"/>
                <w:sz w:val="21"/>
                <w:szCs w:val="21"/>
                <w:vertAlign w:val="subscript"/>
              </w:rPr>
              <w:t>3</w:t>
            </w:r>
            <w:r>
              <w:rPr>
                <w:rFonts w:hint="eastAsia" w:hAnsi="Times New Roman" w:eastAsia="宋体"/>
                <w:kern w:val="2"/>
                <w:sz w:val="21"/>
                <w:szCs w:val="21"/>
              </w:rPr>
              <w:t>-N</w:t>
            </w:r>
          </w:p>
        </w:tc>
        <w:tc>
          <w:tcPr>
            <w:tcW w:w="1249"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1.0</w:t>
            </w:r>
          </w:p>
        </w:tc>
        <w:tc>
          <w:tcPr>
            <w:tcW w:w="1250"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铜</w:t>
            </w:r>
          </w:p>
        </w:tc>
        <w:tc>
          <w:tcPr>
            <w:tcW w:w="1252"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9"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DO</w:t>
            </w:r>
          </w:p>
        </w:tc>
        <w:tc>
          <w:tcPr>
            <w:tcW w:w="1249"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5</w:t>
            </w:r>
          </w:p>
        </w:tc>
        <w:tc>
          <w:tcPr>
            <w:tcW w:w="1250"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锌</w:t>
            </w:r>
          </w:p>
        </w:tc>
        <w:tc>
          <w:tcPr>
            <w:tcW w:w="1252"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9"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TP</w:t>
            </w:r>
          </w:p>
        </w:tc>
        <w:tc>
          <w:tcPr>
            <w:tcW w:w="1249"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0.2</w:t>
            </w:r>
          </w:p>
        </w:tc>
        <w:tc>
          <w:tcPr>
            <w:tcW w:w="1250"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硒</w:t>
            </w:r>
          </w:p>
        </w:tc>
        <w:tc>
          <w:tcPr>
            <w:tcW w:w="1252"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9"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石油类</w:t>
            </w:r>
          </w:p>
        </w:tc>
        <w:tc>
          <w:tcPr>
            <w:tcW w:w="1249"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0.05</w:t>
            </w:r>
          </w:p>
        </w:tc>
        <w:tc>
          <w:tcPr>
            <w:tcW w:w="1250"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镉</w:t>
            </w:r>
          </w:p>
        </w:tc>
        <w:tc>
          <w:tcPr>
            <w:tcW w:w="1252"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9"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硫化物</w:t>
            </w:r>
          </w:p>
        </w:tc>
        <w:tc>
          <w:tcPr>
            <w:tcW w:w="1249"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0.2</w:t>
            </w:r>
          </w:p>
        </w:tc>
        <w:tc>
          <w:tcPr>
            <w:tcW w:w="1250"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铅</w:t>
            </w:r>
          </w:p>
        </w:tc>
        <w:tc>
          <w:tcPr>
            <w:tcW w:w="1252"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9"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氟化物</w:t>
            </w:r>
          </w:p>
        </w:tc>
        <w:tc>
          <w:tcPr>
            <w:tcW w:w="1249"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1</w:t>
            </w:r>
          </w:p>
        </w:tc>
        <w:tc>
          <w:tcPr>
            <w:tcW w:w="1250"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砷</w:t>
            </w:r>
          </w:p>
        </w:tc>
        <w:tc>
          <w:tcPr>
            <w:tcW w:w="1252"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9"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Fe</w:t>
            </w:r>
          </w:p>
        </w:tc>
        <w:tc>
          <w:tcPr>
            <w:tcW w:w="1249"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0.3</w:t>
            </w:r>
          </w:p>
        </w:tc>
        <w:tc>
          <w:tcPr>
            <w:tcW w:w="1250"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汞</w:t>
            </w:r>
          </w:p>
        </w:tc>
        <w:tc>
          <w:tcPr>
            <w:tcW w:w="1252"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9"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Mn</w:t>
            </w:r>
          </w:p>
        </w:tc>
        <w:tc>
          <w:tcPr>
            <w:tcW w:w="1249"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0.1</w:t>
            </w:r>
          </w:p>
        </w:tc>
        <w:tc>
          <w:tcPr>
            <w:tcW w:w="1250"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粪大肠菌群（个/L）</w:t>
            </w:r>
          </w:p>
        </w:tc>
        <w:tc>
          <w:tcPr>
            <w:tcW w:w="1252"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9"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总铬*</w:t>
            </w:r>
          </w:p>
        </w:tc>
        <w:tc>
          <w:tcPr>
            <w:tcW w:w="1249"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1.5</w:t>
            </w:r>
          </w:p>
        </w:tc>
        <w:tc>
          <w:tcPr>
            <w:tcW w:w="1250"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LAS</w:t>
            </w:r>
          </w:p>
        </w:tc>
        <w:tc>
          <w:tcPr>
            <w:tcW w:w="1252"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9"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铬（六价）</w:t>
            </w:r>
          </w:p>
        </w:tc>
        <w:tc>
          <w:tcPr>
            <w:tcW w:w="1249"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0.05</w:t>
            </w:r>
          </w:p>
        </w:tc>
        <w:tc>
          <w:tcPr>
            <w:tcW w:w="1250"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总α放射性*</w:t>
            </w:r>
          </w:p>
        </w:tc>
        <w:tc>
          <w:tcPr>
            <w:tcW w:w="1252"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1Bq/L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9"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全盐量</w:t>
            </w:r>
          </w:p>
        </w:tc>
        <w:tc>
          <w:tcPr>
            <w:tcW w:w="1249"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1000</w:t>
            </w:r>
          </w:p>
        </w:tc>
        <w:tc>
          <w:tcPr>
            <w:tcW w:w="1250"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总β放射性*</w:t>
            </w:r>
          </w:p>
        </w:tc>
        <w:tc>
          <w:tcPr>
            <w:tcW w:w="1252" w:type="pct"/>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10Bq/L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4"/>
            <w:vAlign w:val="center"/>
          </w:tcPr>
          <w:p>
            <w:pPr>
              <w:keepNext w:val="0"/>
              <w:keepLines w:val="0"/>
              <w:widowControl/>
              <w:suppressLineNumbers w:val="0"/>
              <w:spacing w:before="0" w:beforeAutospacing="0" w:after="0" w:afterAutospacing="0" w:line="260" w:lineRule="exact"/>
              <w:ind w:left="0" w:right="0"/>
              <w:jc w:val="left"/>
              <w:rPr>
                <w:rFonts w:hint="eastAsia" w:hAnsi="Times New Roman" w:eastAsia="宋体"/>
                <w:kern w:val="2"/>
                <w:sz w:val="21"/>
                <w:szCs w:val="21"/>
              </w:rPr>
            </w:pPr>
            <w:r>
              <w:rPr>
                <w:rFonts w:hint="eastAsia" w:hAnsi="Times New Roman" w:eastAsia="宋体"/>
                <w:kern w:val="2"/>
                <w:sz w:val="21"/>
                <w:szCs w:val="21"/>
              </w:rPr>
              <w:t>备注：*执行煤炭工业污染物排放标准表1标准。</w:t>
            </w:r>
          </w:p>
        </w:tc>
      </w:tr>
    </w:tbl>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 1.5-13  城市污水再生利用 城市杂用水水质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9"/>
        <w:gridCol w:w="3027"/>
        <w:gridCol w:w="2613"/>
        <w:gridCol w:w="27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3"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序号</w:t>
            </w:r>
          </w:p>
        </w:tc>
        <w:tc>
          <w:tcPr>
            <w:tcW w:w="1620"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项目</w:t>
            </w:r>
          </w:p>
        </w:tc>
        <w:tc>
          <w:tcPr>
            <w:tcW w:w="1398"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冲厕、车辆冲洗</w:t>
            </w:r>
          </w:p>
        </w:tc>
        <w:tc>
          <w:tcPr>
            <w:tcW w:w="1470"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城市绿化、道路清扫、消防、建筑施工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3"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1</w:t>
            </w:r>
          </w:p>
        </w:tc>
        <w:tc>
          <w:tcPr>
            <w:tcW w:w="1620"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pH</w:t>
            </w:r>
          </w:p>
        </w:tc>
        <w:tc>
          <w:tcPr>
            <w:tcW w:w="1398"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6.0~9.0</w:t>
            </w:r>
          </w:p>
        </w:tc>
        <w:tc>
          <w:tcPr>
            <w:tcW w:w="1470"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6.0~9.0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3"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2</w:t>
            </w:r>
          </w:p>
        </w:tc>
        <w:tc>
          <w:tcPr>
            <w:tcW w:w="1620"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色度，铂钴色度单位</w:t>
            </w:r>
          </w:p>
        </w:tc>
        <w:tc>
          <w:tcPr>
            <w:tcW w:w="1398"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spacing w:val="-1"/>
                <w:kern w:val="2"/>
                <w:sz w:val="21"/>
                <w:szCs w:val="22"/>
              </w:rPr>
              <w:t>≤</w:t>
            </w:r>
            <w:r>
              <w:rPr>
                <w:rFonts w:hint="eastAsia" w:hAnsi="Times New Roman" w:eastAsia="宋体"/>
                <w:spacing w:val="-1"/>
                <w:kern w:val="2"/>
                <w:sz w:val="21"/>
                <w:szCs w:val="22"/>
                <w:lang w:eastAsia="zh-CN"/>
              </w:rPr>
              <w:t>15</w:t>
            </w:r>
          </w:p>
        </w:tc>
        <w:tc>
          <w:tcPr>
            <w:tcW w:w="1470"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spacing w:val="-1"/>
                <w:kern w:val="2"/>
                <w:sz w:val="21"/>
                <w:szCs w:val="22"/>
              </w:rPr>
              <w:t>≤</w:t>
            </w:r>
            <w:r>
              <w:rPr>
                <w:rFonts w:hint="eastAsia" w:hAnsi="Times New Roman" w:eastAsia="宋体"/>
                <w:spacing w:val="-1"/>
                <w:kern w:val="2"/>
                <w:sz w:val="21"/>
                <w:szCs w:val="22"/>
                <w:lang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3"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3</w:t>
            </w:r>
          </w:p>
        </w:tc>
        <w:tc>
          <w:tcPr>
            <w:tcW w:w="1620"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嗅</w:t>
            </w:r>
          </w:p>
        </w:tc>
        <w:tc>
          <w:tcPr>
            <w:tcW w:w="1398"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无不快感</w:t>
            </w:r>
          </w:p>
        </w:tc>
        <w:tc>
          <w:tcPr>
            <w:tcW w:w="1470"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无不快感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3"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4</w:t>
            </w:r>
          </w:p>
        </w:tc>
        <w:tc>
          <w:tcPr>
            <w:tcW w:w="1620"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浊度/NTU</w:t>
            </w:r>
          </w:p>
        </w:tc>
        <w:tc>
          <w:tcPr>
            <w:tcW w:w="1398"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spacing w:val="-1"/>
                <w:kern w:val="2"/>
                <w:sz w:val="21"/>
                <w:szCs w:val="22"/>
              </w:rPr>
              <w:t>≤</w:t>
            </w:r>
            <w:r>
              <w:rPr>
                <w:rFonts w:hint="eastAsia" w:hAnsi="Times New Roman" w:eastAsia="宋体"/>
                <w:spacing w:val="-1"/>
                <w:kern w:val="2"/>
                <w:sz w:val="21"/>
                <w:szCs w:val="22"/>
                <w:lang w:eastAsia="zh-CN"/>
              </w:rPr>
              <w:t>5</w:t>
            </w:r>
          </w:p>
        </w:tc>
        <w:tc>
          <w:tcPr>
            <w:tcW w:w="1470"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spacing w:val="-1"/>
                <w:kern w:val="2"/>
                <w:sz w:val="21"/>
                <w:szCs w:val="22"/>
              </w:rPr>
              <w:t>≤</w:t>
            </w:r>
            <w:r>
              <w:rPr>
                <w:rFonts w:hint="eastAsia" w:hAnsi="Times New Roman" w:eastAsia="宋体"/>
                <w:spacing w:val="-1"/>
                <w:kern w:val="2"/>
                <w:sz w:val="21"/>
                <w:szCs w:val="22"/>
                <w:lang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3"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5</w:t>
            </w:r>
          </w:p>
        </w:tc>
        <w:tc>
          <w:tcPr>
            <w:tcW w:w="1620"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五日生化需氧量（mg/L）</w:t>
            </w:r>
          </w:p>
        </w:tc>
        <w:tc>
          <w:tcPr>
            <w:tcW w:w="1398"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spacing w:val="-1"/>
                <w:kern w:val="2"/>
                <w:sz w:val="21"/>
                <w:szCs w:val="22"/>
              </w:rPr>
              <w:t>≤</w:t>
            </w:r>
            <w:r>
              <w:rPr>
                <w:rFonts w:hint="eastAsia" w:hAnsi="Times New Roman" w:eastAsia="宋体"/>
                <w:spacing w:val="-1"/>
                <w:kern w:val="2"/>
                <w:sz w:val="21"/>
                <w:szCs w:val="22"/>
                <w:lang w:eastAsia="zh-CN"/>
              </w:rPr>
              <w:t>10</w:t>
            </w:r>
          </w:p>
        </w:tc>
        <w:tc>
          <w:tcPr>
            <w:tcW w:w="1470"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spacing w:val="-1"/>
                <w:kern w:val="2"/>
                <w:sz w:val="21"/>
                <w:szCs w:val="22"/>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3"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6</w:t>
            </w:r>
          </w:p>
        </w:tc>
        <w:tc>
          <w:tcPr>
            <w:tcW w:w="1620"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氨氮（mg/L）</w:t>
            </w:r>
          </w:p>
        </w:tc>
        <w:tc>
          <w:tcPr>
            <w:tcW w:w="1398"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spacing w:val="-1"/>
                <w:kern w:val="2"/>
                <w:sz w:val="21"/>
                <w:szCs w:val="22"/>
              </w:rPr>
              <w:t>≤</w:t>
            </w:r>
            <w:r>
              <w:rPr>
                <w:rFonts w:hint="eastAsia" w:hAnsi="Times New Roman" w:eastAsia="宋体"/>
                <w:spacing w:val="-1"/>
                <w:kern w:val="2"/>
                <w:sz w:val="21"/>
                <w:szCs w:val="22"/>
                <w:lang w:eastAsia="zh-CN"/>
              </w:rPr>
              <w:t>5</w:t>
            </w:r>
          </w:p>
        </w:tc>
        <w:tc>
          <w:tcPr>
            <w:tcW w:w="1470"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spacing w:val="-1"/>
                <w:kern w:val="2"/>
                <w:sz w:val="21"/>
                <w:szCs w:val="22"/>
              </w:rPr>
              <w:t>≤</w:t>
            </w:r>
            <w:r>
              <w:rPr>
                <w:rFonts w:hint="eastAsia" w:hAnsi="Times New Roman" w:eastAsia="宋体"/>
                <w:spacing w:val="-1"/>
                <w:kern w:val="2"/>
                <w:sz w:val="21"/>
                <w:szCs w:val="22"/>
                <w:lang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3"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7</w:t>
            </w:r>
          </w:p>
        </w:tc>
        <w:tc>
          <w:tcPr>
            <w:tcW w:w="1620"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阴离子表面活性剂（mg/L）</w:t>
            </w:r>
          </w:p>
        </w:tc>
        <w:tc>
          <w:tcPr>
            <w:tcW w:w="1398"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spacing w:val="-1"/>
                <w:kern w:val="2"/>
                <w:sz w:val="21"/>
                <w:szCs w:val="22"/>
              </w:rPr>
              <w:t>≤</w:t>
            </w:r>
            <w:r>
              <w:rPr>
                <w:rFonts w:hint="eastAsia" w:hAnsi="Times New Roman" w:eastAsia="宋体"/>
                <w:kern w:val="2"/>
                <w:sz w:val="21"/>
                <w:szCs w:val="21"/>
                <w:lang w:eastAsia="zh-CN"/>
              </w:rPr>
              <w:t>0.5</w:t>
            </w:r>
          </w:p>
        </w:tc>
        <w:tc>
          <w:tcPr>
            <w:tcW w:w="1470"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spacing w:val="-1"/>
                <w:kern w:val="2"/>
                <w:sz w:val="21"/>
                <w:szCs w:val="22"/>
              </w:rPr>
              <w:t>≤</w:t>
            </w:r>
            <w:r>
              <w:rPr>
                <w:rFonts w:hint="eastAsia" w:hAnsi="Times New Roman" w:eastAsia="宋体"/>
                <w:kern w:val="2"/>
                <w:sz w:val="21"/>
                <w:szCs w:val="21"/>
                <w:lang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3"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8</w:t>
            </w:r>
          </w:p>
        </w:tc>
        <w:tc>
          <w:tcPr>
            <w:tcW w:w="1620"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铁（mg/L）</w:t>
            </w:r>
          </w:p>
        </w:tc>
        <w:tc>
          <w:tcPr>
            <w:tcW w:w="1398"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spacing w:val="-1"/>
                <w:kern w:val="2"/>
                <w:sz w:val="21"/>
                <w:szCs w:val="22"/>
              </w:rPr>
              <w:t>≤</w:t>
            </w:r>
            <w:r>
              <w:rPr>
                <w:rFonts w:hint="eastAsia" w:hAnsi="Times New Roman" w:eastAsia="宋体"/>
                <w:spacing w:val="-1"/>
                <w:kern w:val="2"/>
                <w:sz w:val="21"/>
                <w:szCs w:val="22"/>
                <w:lang w:eastAsia="zh-CN"/>
              </w:rPr>
              <w:t>0.3</w:t>
            </w:r>
          </w:p>
        </w:tc>
        <w:tc>
          <w:tcPr>
            <w:tcW w:w="1470"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3"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9</w:t>
            </w:r>
          </w:p>
        </w:tc>
        <w:tc>
          <w:tcPr>
            <w:tcW w:w="1620"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锰（mg/L）</w:t>
            </w:r>
          </w:p>
        </w:tc>
        <w:tc>
          <w:tcPr>
            <w:tcW w:w="1398"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spacing w:val="-1"/>
                <w:kern w:val="2"/>
                <w:sz w:val="21"/>
                <w:szCs w:val="22"/>
              </w:rPr>
              <w:t>≤</w:t>
            </w:r>
            <w:r>
              <w:rPr>
                <w:rFonts w:hint="eastAsia" w:hAnsi="Times New Roman" w:eastAsia="宋体"/>
                <w:spacing w:val="-1"/>
                <w:kern w:val="2"/>
                <w:sz w:val="21"/>
                <w:szCs w:val="22"/>
                <w:lang w:eastAsia="zh-CN"/>
              </w:rPr>
              <w:t>0.1</w:t>
            </w:r>
          </w:p>
        </w:tc>
        <w:tc>
          <w:tcPr>
            <w:tcW w:w="1470"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3"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w:t>
            </w:r>
          </w:p>
        </w:tc>
        <w:tc>
          <w:tcPr>
            <w:tcW w:w="1620"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溶解性总固体（mg/L）</w:t>
            </w:r>
          </w:p>
        </w:tc>
        <w:tc>
          <w:tcPr>
            <w:tcW w:w="1398"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spacing w:val="-1"/>
                <w:kern w:val="2"/>
                <w:sz w:val="21"/>
                <w:szCs w:val="22"/>
              </w:rPr>
              <w:t>≤</w:t>
            </w:r>
            <w:r>
              <w:rPr>
                <w:rFonts w:hint="eastAsia" w:hAnsi="Times New Roman" w:eastAsia="宋体"/>
                <w:spacing w:val="-1"/>
                <w:kern w:val="2"/>
                <w:sz w:val="21"/>
                <w:szCs w:val="22"/>
                <w:lang w:eastAsia="zh-CN"/>
              </w:rPr>
              <w:t>1000（2000）</w:t>
            </w:r>
          </w:p>
        </w:tc>
        <w:tc>
          <w:tcPr>
            <w:tcW w:w="1470"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spacing w:val="-1"/>
                <w:kern w:val="2"/>
                <w:sz w:val="21"/>
                <w:szCs w:val="22"/>
              </w:rPr>
              <w:t>≤</w:t>
            </w:r>
            <w:r>
              <w:rPr>
                <w:rFonts w:hint="eastAsia" w:hAnsi="Times New Roman" w:eastAsia="宋体"/>
                <w:spacing w:val="-1"/>
                <w:kern w:val="2"/>
                <w:sz w:val="21"/>
                <w:szCs w:val="22"/>
                <w:lang w:eastAsia="zh-CN"/>
              </w:rPr>
              <w:t>1000（2000）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3"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11</w:t>
            </w:r>
          </w:p>
        </w:tc>
        <w:tc>
          <w:tcPr>
            <w:tcW w:w="1620"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溶解氧（mg/L）</w:t>
            </w:r>
          </w:p>
        </w:tc>
        <w:tc>
          <w:tcPr>
            <w:tcW w:w="1398"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spacing w:val="-1"/>
                <w:kern w:val="2"/>
                <w:sz w:val="21"/>
                <w:szCs w:val="22"/>
                <w:lang w:eastAsia="zh-CN"/>
              </w:rPr>
            </w:pPr>
            <w:r>
              <w:rPr>
                <w:rFonts w:hint="eastAsia" w:hAnsi="Times New Roman" w:eastAsia="宋体"/>
                <w:spacing w:val="-1"/>
                <w:kern w:val="2"/>
                <w:sz w:val="21"/>
                <w:szCs w:val="22"/>
                <w:lang w:eastAsia="zh-CN"/>
              </w:rPr>
              <w:t>≥2.0</w:t>
            </w:r>
          </w:p>
        </w:tc>
        <w:tc>
          <w:tcPr>
            <w:tcW w:w="1470"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spacing w:val="-1"/>
                <w:kern w:val="2"/>
                <w:sz w:val="21"/>
                <w:szCs w:val="22"/>
              </w:rPr>
            </w:pPr>
            <w:r>
              <w:rPr>
                <w:rFonts w:hint="eastAsia" w:hAnsi="Times New Roman" w:eastAsia="宋体"/>
                <w:spacing w:val="-1"/>
                <w:kern w:val="2"/>
                <w:sz w:val="21"/>
                <w:szCs w:val="22"/>
                <w:lang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3"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12</w:t>
            </w:r>
          </w:p>
        </w:tc>
        <w:tc>
          <w:tcPr>
            <w:tcW w:w="1620"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总氯（mg/L）</w:t>
            </w:r>
          </w:p>
        </w:tc>
        <w:tc>
          <w:tcPr>
            <w:tcW w:w="1398"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spacing w:val="-1"/>
                <w:kern w:val="2"/>
                <w:sz w:val="21"/>
                <w:szCs w:val="22"/>
                <w:lang w:eastAsia="zh-CN"/>
              </w:rPr>
              <w:t>≥10（出厂），0.2（管网末端）</w:t>
            </w:r>
          </w:p>
        </w:tc>
        <w:tc>
          <w:tcPr>
            <w:tcW w:w="1470"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spacing w:val="-1"/>
                <w:kern w:val="2"/>
                <w:sz w:val="21"/>
                <w:szCs w:val="22"/>
                <w:lang w:eastAsia="zh-CN"/>
              </w:rPr>
              <w:t>≥10（出厂），0.2（管网末端）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3"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13</w:t>
            </w:r>
          </w:p>
        </w:tc>
        <w:tc>
          <w:tcPr>
            <w:tcW w:w="1620"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大肠埃希氏菌（MPN/100mL或CFU/100mL）</w:t>
            </w:r>
          </w:p>
        </w:tc>
        <w:tc>
          <w:tcPr>
            <w:tcW w:w="1398"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不得检出</w:t>
            </w:r>
          </w:p>
        </w:tc>
        <w:tc>
          <w:tcPr>
            <w:tcW w:w="1470" w:type="pct"/>
            <w:vAlign w:val="center"/>
          </w:tcPr>
          <w:p>
            <w:pPr>
              <w:pStyle w:val="44"/>
              <w:keepNext w:val="0"/>
              <w:keepLines w:val="0"/>
              <w:suppressLineNumbers w:val="0"/>
              <w:kinsoku w:val="0"/>
              <w:overflowPunct w:val="0"/>
              <w:autoSpaceDE w:val="0"/>
              <w:autoSpaceDN w:val="0"/>
              <w:adjustRightInd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不得检出</w:t>
            </w:r>
          </w:p>
        </w:tc>
      </w:tr>
    </w:tbl>
    <w:p>
      <w:pPr>
        <w:spacing w:line="360" w:lineRule="auto"/>
        <w:jc w:val="center"/>
        <w:rPr>
          <w:rFonts w:hAnsi="Times New Roman" w:eastAsia="宋体"/>
          <w:b/>
          <w:bCs/>
          <w:sz w:val="21"/>
          <w:szCs w:val="21"/>
          <w:lang w:eastAsia="zh-CN"/>
        </w:rPr>
      </w:pPr>
      <w:bookmarkStart w:id="37" w:name="表1.4-14__井下消防洒水水质标准（摘录）"/>
      <w:bookmarkEnd w:id="37"/>
      <w:r>
        <w:rPr>
          <w:rFonts w:hAnsi="Times New Roman" w:eastAsia="宋体"/>
          <w:b/>
          <w:bCs/>
          <w:sz w:val="21"/>
          <w:szCs w:val="21"/>
          <w:lang w:eastAsia="zh-CN"/>
        </w:rPr>
        <w:t>表 1.5-14  井下消防洒水水质标准（摘录）</w:t>
      </w:r>
    </w:p>
    <w:p>
      <w:pPr>
        <w:kinsoku w:val="0"/>
        <w:overflowPunct w:val="0"/>
        <w:spacing w:before="7" w:line="10" w:lineRule="exact"/>
        <w:rPr>
          <w:rFonts w:hAnsi="Times New Roman" w:eastAsia="宋体"/>
          <w:sz w:val="1"/>
        </w:rPr>
      </w:pP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22"/>
        <w:gridCol w:w="3872"/>
        <w:gridCol w:w="30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2322" w:type="dxa"/>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序号</w:t>
            </w:r>
          </w:p>
        </w:tc>
        <w:tc>
          <w:tcPr>
            <w:tcW w:w="3872" w:type="dxa"/>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项目</w:t>
            </w:r>
          </w:p>
        </w:tc>
        <w:tc>
          <w:tcPr>
            <w:tcW w:w="3098" w:type="dxa"/>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22" w:type="dxa"/>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1</w:t>
            </w:r>
          </w:p>
        </w:tc>
        <w:tc>
          <w:tcPr>
            <w:tcW w:w="3872" w:type="dxa"/>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浊度</w:t>
            </w:r>
          </w:p>
        </w:tc>
        <w:tc>
          <w:tcPr>
            <w:tcW w:w="3098" w:type="dxa"/>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≤5（NTU）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22" w:type="dxa"/>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2</w:t>
            </w:r>
          </w:p>
        </w:tc>
        <w:tc>
          <w:tcPr>
            <w:tcW w:w="3872" w:type="dxa"/>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悬浮物粒径</w:t>
            </w:r>
          </w:p>
        </w:tc>
        <w:tc>
          <w:tcPr>
            <w:tcW w:w="3098" w:type="dxa"/>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≤0.3mm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22" w:type="dxa"/>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3</w:t>
            </w:r>
          </w:p>
        </w:tc>
        <w:tc>
          <w:tcPr>
            <w:tcW w:w="3872" w:type="dxa"/>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pH</w:t>
            </w:r>
          </w:p>
        </w:tc>
        <w:tc>
          <w:tcPr>
            <w:tcW w:w="3098" w:type="dxa"/>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22" w:type="dxa"/>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4</w:t>
            </w:r>
          </w:p>
        </w:tc>
        <w:tc>
          <w:tcPr>
            <w:tcW w:w="3872" w:type="dxa"/>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大肠菌群</w:t>
            </w:r>
          </w:p>
        </w:tc>
        <w:tc>
          <w:tcPr>
            <w:tcW w:w="3098" w:type="dxa"/>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≤3个/L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22" w:type="dxa"/>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5</w:t>
            </w:r>
          </w:p>
        </w:tc>
        <w:tc>
          <w:tcPr>
            <w:tcW w:w="3872" w:type="dxa"/>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BOD5</w:t>
            </w:r>
          </w:p>
        </w:tc>
        <w:tc>
          <w:tcPr>
            <w:tcW w:w="3098" w:type="dxa"/>
            <w:vAlign w:val="center"/>
          </w:tcPr>
          <w:p>
            <w:pPr>
              <w:keepNext w:val="0"/>
              <w:keepLines w:val="0"/>
              <w:widowControl/>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≤10mg/L</w:t>
            </w:r>
          </w:p>
        </w:tc>
      </w:tr>
    </w:tbl>
    <w:p>
      <w:pPr>
        <w:spacing w:line="360" w:lineRule="auto"/>
        <w:ind w:firstLine="482" w:firstLineChars="200"/>
        <w:rPr>
          <w:rFonts w:hAnsi="Times New Roman" w:eastAsia="宋体"/>
          <w:b/>
          <w:bCs/>
          <w:lang w:eastAsia="zh-CN"/>
        </w:rPr>
      </w:pPr>
      <w:r>
        <w:rPr>
          <w:rFonts w:hAnsi="Times New Roman" w:eastAsia="宋体"/>
          <w:b/>
          <w:bCs/>
          <w:lang w:eastAsia="zh-CN"/>
        </w:rPr>
        <w:t>（3）噪声</w:t>
      </w:r>
    </w:p>
    <w:p>
      <w:pPr>
        <w:spacing w:line="360" w:lineRule="auto"/>
        <w:ind w:firstLine="480" w:firstLineChars="200"/>
        <w:rPr>
          <w:rFonts w:hAnsi="Times New Roman" w:eastAsia="宋体"/>
          <w:lang w:eastAsia="zh-CN"/>
        </w:rPr>
      </w:pPr>
      <w:r>
        <w:rPr>
          <w:rFonts w:hAnsi="Times New Roman" w:eastAsia="宋体"/>
          <w:lang w:eastAsia="zh-CN"/>
        </w:rPr>
        <w:t>施工期场界噪声执行《建筑施工场界环境噪声排放标准》（GB12523-2011）中的相关限值，适用于建设项目的施工期，见下表：</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表1.5-15 建筑施工场界环境噪声排放标准</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05"/>
        <w:gridCol w:w="3470"/>
        <w:gridCol w:w="34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7" w:type="pct"/>
            <w:vAlign w:val="center"/>
          </w:tcPr>
          <w:p>
            <w:pPr>
              <w:pStyle w:val="45"/>
              <w:keepNext w:val="0"/>
              <w:keepLines w:val="0"/>
              <w:suppressLineNumbers w:val="0"/>
              <w:spacing w:before="0" w:beforeAutospacing="0" w:after="0" w:afterAutospacing="0" w:line="240" w:lineRule="auto"/>
              <w:ind w:left="422" w:right="0" w:hanging="422"/>
              <w:rPr>
                <w:rFonts w:hint="eastAsia" w:ascii="Times New Roman" w:hAnsi="Times New Roman"/>
                <w:b/>
                <w:kern w:val="2"/>
                <w:szCs w:val="21"/>
              </w:rPr>
            </w:pPr>
            <w:r>
              <w:rPr>
                <w:rFonts w:hint="eastAsia" w:ascii="Times New Roman" w:hAnsi="Times New Roman"/>
                <w:b/>
                <w:kern w:val="2"/>
                <w:szCs w:val="21"/>
              </w:rPr>
              <w:t>项目</w:t>
            </w:r>
          </w:p>
        </w:tc>
        <w:tc>
          <w:tcPr>
            <w:tcW w:w="1857" w:type="pct"/>
            <w:vAlign w:val="center"/>
          </w:tcPr>
          <w:p>
            <w:pPr>
              <w:pStyle w:val="45"/>
              <w:keepNext w:val="0"/>
              <w:keepLines w:val="0"/>
              <w:suppressLineNumbers w:val="0"/>
              <w:spacing w:before="0" w:beforeAutospacing="0" w:after="0" w:afterAutospacing="0" w:line="240" w:lineRule="auto"/>
              <w:ind w:left="422" w:right="0" w:hanging="422"/>
              <w:rPr>
                <w:rFonts w:hint="eastAsia" w:ascii="Times New Roman" w:hAnsi="Times New Roman"/>
                <w:b/>
                <w:kern w:val="2"/>
                <w:szCs w:val="21"/>
              </w:rPr>
            </w:pPr>
            <w:r>
              <w:rPr>
                <w:rFonts w:hint="eastAsia" w:ascii="Times New Roman" w:hAnsi="Times New Roman"/>
                <w:b/>
                <w:kern w:val="2"/>
                <w:szCs w:val="21"/>
              </w:rPr>
              <w:t>昼间</w:t>
            </w:r>
          </w:p>
        </w:tc>
        <w:tc>
          <w:tcPr>
            <w:tcW w:w="1857" w:type="pct"/>
            <w:vAlign w:val="center"/>
          </w:tcPr>
          <w:p>
            <w:pPr>
              <w:pStyle w:val="45"/>
              <w:keepNext w:val="0"/>
              <w:keepLines w:val="0"/>
              <w:suppressLineNumbers w:val="0"/>
              <w:spacing w:before="0" w:beforeAutospacing="0" w:after="0" w:afterAutospacing="0" w:line="240" w:lineRule="auto"/>
              <w:ind w:left="422" w:right="0" w:hanging="422"/>
              <w:rPr>
                <w:rFonts w:hint="eastAsia" w:ascii="Times New Roman" w:hAnsi="Times New Roman"/>
                <w:b/>
                <w:kern w:val="2"/>
                <w:szCs w:val="21"/>
              </w:rPr>
            </w:pPr>
            <w:r>
              <w:rPr>
                <w:rFonts w:hint="eastAsia" w:ascii="Times New Roman" w:hAnsi="Times New Roman"/>
                <w:b/>
                <w:kern w:val="2"/>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7" w:type="pct"/>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施工期噪声标准</w:t>
            </w:r>
          </w:p>
        </w:tc>
        <w:tc>
          <w:tcPr>
            <w:tcW w:w="1857" w:type="pct"/>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70dB（A）</w:t>
            </w:r>
          </w:p>
        </w:tc>
        <w:tc>
          <w:tcPr>
            <w:tcW w:w="1857" w:type="pct"/>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55dB（A）</w:t>
            </w:r>
          </w:p>
        </w:tc>
      </w:tr>
    </w:tbl>
    <w:p>
      <w:pPr>
        <w:spacing w:line="360" w:lineRule="auto"/>
        <w:ind w:firstLine="480" w:firstLineChars="200"/>
        <w:rPr>
          <w:rFonts w:hAnsi="Times New Roman" w:eastAsia="宋体"/>
          <w:lang w:eastAsia="zh-CN"/>
        </w:rPr>
      </w:pPr>
      <w:r>
        <w:rPr>
          <w:rFonts w:hAnsi="Times New Roman" w:eastAsia="宋体"/>
          <w:lang w:eastAsia="zh-CN"/>
        </w:rPr>
        <w:t>运营期执行《工业企业厂界环境噪声排放标准》（GB12348-2008）2 类标准，具体标准见下表：</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表1.5-16 工业企业厂界环境噪声排放标准单位：dB(A)</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05"/>
        <w:gridCol w:w="3468"/>
        <w:gridCol w:w="34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7" w:type="pct"/>
            <w:vAlign w:val="center"/>
          </w:tcPr>
          <w:p>
            <w:pPr>
              <w:pStyle w:val="45"/>
              <w:keepNext w:val="0"/>
              <w:keepLines w:val="0"/>
              <w:suppressLineNumbers w:val="0"/>
              <w:spacing w:before="0" w:beforeAutospacing="0" w:after="0" w:afterAutospacing="0" w:line="240" w:lineRule="auto"/>
              <w:ind w:left="422" w:right="0" w:hanging="422"/>
              <w:rPr>
                <w:rFonts w:hint="eastAsia" w:ascii="Times New Roman" w:hAnsi="Times New Roman"/>
                <w:b/>
                <w:kern w:val="2"/>
                <w:szCs w:val="21"/>
              </w:rPr>
            </w:pPr>
            <w:r>
              <w:rPr>
                <w:rFonts w:hint="eastAsia" w:ascii="Times New Roman" w:hAnsi="Times New Roman"/>
                <w:b/>
                <w:kern w:val="2"/>
                <w:szCs w:val="21"/>
              </w:rPr>
              <w:t>项目</w:t>
            </w:r>
          </w:p>
        </w:tc>
        <w:tc>
          <w:tcPr>
            <w:tcW w:w="1856" w:type="pct"/>
            <w:vAlign w:val="center"/>
          </w:tcPr>
          <w:p>
            <w:pPr>
              <w:pStyle w:val="45"/>
              <w:keepNext w:val="0"/>
              <w:keepLines w:val="0"/>
              <w:suppressLineNumbers w:val="0"/>
              <w:spacing w:before="0" w:beforeAutospacing="0" w:after="0" w:afterAutospacing="0" w:line="240" w:lineRule="auto"/>
              <w:ind w:left="422" w:right="0" w:hanging="422"/>
              <w:rPr>
                <w:rFonts w:hint="eastAsia" w:ascii="Times New Roman" w:hAnsi="Times New Roman"/>
                <w:b/>
                <w:kern w:val="2"/>
                <w:szCs w:val="21"/>
              </w:rPr>
            </w:pPr>
            <w:r>
              <w:rPr>
                <w:rFonts w:hint="eastAsia" w:ascii="Times New Roman" w:hAnsi="Times New Roman"/>
                <w:b/>
                <w:kern w:val="2"/>
                <w:szCs w:val="21"/>
              </w:rPr>
              <w:t>昼间</w:t>
            </w:r>
          </w:p>
        </w:tc>
        <w:tc>
          <w:tcPr>
            <w:tcW w:w="1857" w:type="pct"/>
            <w:vAlign w:val="center"/>
          </w:tcPr>
          <w:p>
            <w:pPr>
              <w:pStyle w:val="45"/>
              <w:keepNext w:val="0"/>
              <w:keepLines w:val="0"/>
              <w:suppressLineNumbers w:val="0"/>
              <w:spacing w:before="0" w:beforeAutospacing="0" w:after="0" w:afterAutospacing="0" w:line="240" w:lineRule="auto"/>
              <w:ind w:left="422" w:right="0" w:hanging="422"/>
              <w:rPr>
                <w:rFonts w:hint="eastAsia" w:ascii="Times New Roman" w:hAnsi="Times New Roman"/>
                <w:b/>
                <w:kern w:val="2"/>
                <w:szCs w:val="21"/>
              </w:rPr>
            </w:pPr>
            <w:r>
              <w:rPr>
                <w:rFonts w:hint="eastAsia" w:ascii="Times New Roman" w:hAnsi="Times New Roman"/>
                <w:b/>
                <w:kern w:val="2"/>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87" w:type="pct"/>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营运期噪声标准</w:t>
            </w:r>
          </w:p>
        </w:tc>
        <w:tc>
          <w:tcPr>
            <w:tcW w:w="1856" w:type="pct"/>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60dB（A）</w:t>
            </w:r>
          </w:p>
        </w:tc>
        <w:tc>
          <w:tcPr>
            <w:tcW w:w="1857" w:type="pct"/>
            <w:vAlign w:val="center"/>
          </w:tcPr>
          <w:p>
            <w:pPr>
              <w:pStyle w:val="45"/>
              <w:keepNext w:val="0"/>
              <w:keepLines w:val="0"/>
              <w:suppressLineNumbers w:val="0"/>
              <w:spacing w:before="0" w:beforeAutospacing="0" w:after="0" w:afterAutospacing="0" w:line="240" w:lineRule="auto"/>
              <w:ind w:left="420" w:right="0" w:hanging="420"/>
              <w:rPr>
                <w:rFonts w:hint="eastAsia" w:ascii="Times New Roman" w:hAnsi="Times New Roman"/>
                <w:bCs/>
                <w:kern w:val="2"/>
                <w:szCs w:val="21"/>
              </w:rPr>
            </w:pPr>
            <w:r>
              <w:rPr>
                <w:rFonts w:hint="eastAsia" w:ascii="Times New Roman" w:hAnsi="Times New Roman"/>
                <w:bCs/>
                <w:kern w:val="2"/>
                <w:szCs w:val="21"/>
              </w:rPr>
              <w:t>50B（A）</w:t>
            </w:r>
          </w:p>
        </w:tc>
      </w:tr>
    </w:tbl>
    <w:p>
      <w:pPr>
        <w:spacing w:line="360" w:lineRule="auto"/>
        <w:ind w:firstLine="482" w:firstLineChars="200"/>
        <w:rPr>
          <w:rFonts w:hAnsi="Times New Roman" w:eastAsia="宋体"/>
          <w:b/>
          <w:bCs/>
          <w:lang w:eastAsia="zh-CN"/>
        </w:rPr>
      </w:pPr>
      <w:r>
        <w:rPr>
          <w:rFonts w:hAnsi="Times New Roman" w:eastAsia="宋体"/>
          <w:b/>
          <w:bCs/>
          <w:lang w:eastAsia="zh-CN"/>
        </w:rPr>
        <w:t>（5）固体废物</w:t>
      </w:r>
    </w:p>
    <w:p>
      <w:pPr>
        <w:spacing w:line="360" w:lineRule="auto"/>
        <w:ind w:firstLine="480" w:firstLineChars="200"/>
        <w:rPr>
          <w:rFonts w:hAnsi="Times New Roman" w:eastAsia="宋体"/>
          <w:lang w:eastAsia="zh-CN"/>
        </w:rPr>
      </w:pPr>
      <w:r>
        <w:rPr>
          <w:rFonts w:hAnsi="Times New Roman" w:eastAsia="宋体"/>
          <w:szCs w:val="24"/>
          <w:lang w:eastAsia="zh-CN"/>
        </w:rPr>
        <w:t>一般固废执行《一般工业固体废物贮存</w:t>
      </w:r>
      <w:r>
        <w:rPr>
          <w:rFonts w:hint="eastAsia" w:hAnsi="Times New Roman" w:eastAsia="宋体"/>
          <w:szCs w:val="24"/>
          <w:lang w:eastAsia="zh-CN"/>
        </w:rPr>
        <w:t>和填埋</w:t>
      </w:r>
      <w:r>
        <w:rPr>
          <w:rFonts w:hAnsi="Times New Roman" w:eastAsia="宋体"/>
          <w:szCs w:val="24"/>
          <w:lang w:eastAsia="zh-CN"/>
        </w:rPr>
        <w:t>污染控制标准》（GB18599-2020）要求；危险废物贮存执行《危险废物贮存污染控制标准》（GB18597-20</w:t>
      </w:r>
      <w:r>
        <w:rPr>
          <w:rFonts w:hint="eastAsia" w:hAnsi="Times New Roman" w:eastAsia="宋体"/>
          <w:szCs w:val="24"/>
          <w:lang w:eastAsia="zh-CN"/>
        </w:rPr>
        <w:t>23</w:t>
      </w:r>
      <w:r>
        <w:rPr>
          <w:rFonts w:hAnsi="Times New Roman" w:eastAsia="宋体"/>
          <w:szCs w:val="24"/>
          <w:lang w:eastAsia="zh-CN"/>
        </w:rPr>
        <w:t>）</w:t>
      </w:r>
      <w:r>
        <w:rPr>
          <w:rFonts w:hint="eastAsia" w:hAnsi="Times New Roman" w:eastAsia="宋体"/>
          <w:szCs w:val="24"/>
          <w:lang w:eastAsia="zh-CN"/>
        </w:rPr>
        <w:t>规定</w:t>
      </w:r>
      <w:r>
        <w:rPr>
          <w:rFonts w:hAnsi="Times New Roman" w:eastAsia="宋体"/>
          <w:szCs w:val="24"/>
          <w:lang w:eastAsia="zh-CN"/>
        </w:rPr>
        <w:t>；矿区严格落实《煤矸石综合利用管理办法》的要求，不设永久矸石堆场，仅在工业场地内设置矸石周转场及装车场地。建设期掘进矸石和运营期矸石均外售用于制</w:t>
      </w:r>
      <w:r>
        <w:rPr>
          <w:rFonts w:hint="eastAsia" w:hAnsi="Times New Roman" w:eastAsia="宋体"/>
          <w:szCs w:val="24"/>
          <w:lang w:eastAsia="zh-CN"/>
        </w:rPr>
        <w:t>砖</w:t>
      </w:r>
      <w:r>
        <w:rPr>
          <w:rFonts w:hAnsi="Times New Roman" w:eastAsia="宋体"/>
          <w:szCs w:val="24"/>
          <w:lang w:eastAsia="zh-CN"/>
        </w:rPr>
        <w:t>进行综合利用，不外排。</w:t>
      </w:r>
    </w:p>
    <w:p>
      <w:pPr>
        <w:pStyle w:val="5"/>
        <w:rPr>
          <w:rFonts w:ascii="Times New Roman" w:hAnsi="Times New Roman"/>
          <w:lang w:eastAsia="zh-CN"/>
        </w:rPr>
      </w:pPr>
      <w:bookmarkStart w:id="38" w:name="_Toc163749151"/>
      <w:bookmarkStart w:id="39" w:name="_Toc167095113"/>
      <w:r>
        <w:rPr>
          <w:rFonts w:ascii="Times New Roman" w:hAnsi="Times New Roman"/>
          <w:lang w:eastAsia="zh-CN"/>
        </w:rPr>
        <w:t>1.6 评价工作等级及范围</w:t>
      </w:r>
      <w:bookmarkEnd w:id="38"/>
      <w:bookmarkEnd w:id="39"/>
    </w:p>
    <w:p>
      <w:pPr>
        <w:pStyle w:val="6"/>
        <w:rPr>
          <w:lang w:eastAsia="zh-CN"/>
        </w:rPr>
      </w:pPr>
      <w:bookmarkStart w:id="40" w:name="_Toc163812491"/>
      <w:bookmarkStart w:id="41" w:name="_Toc167095114"/>
      <w:r>
        <w:rPr>
          <w:lang w:eastAsia="zh-CN"/>
        </w:rPr>
        <w:t>1.6.1评价工作等级</w:t>
      </w:r>
      <w:bookmarkEnd w:id="40"/>
      <w:bookmarkEnd w:id="41"/>
    </w:p>
    <w:p>
      <w:pPr>
        <w:spacing w:line="360" w:lineRule="auto"/>
        <w:rPr>
          <w:rFonts w:hAnsi="Times New Roman" w:eastAsia="宋体"/>
          <w:b/>
          <w:bCs/>
          <w:szCs w:val="22"/>
          <w:lang w:eastAsia="zh-CN"/>
        </w:rPr>
      </w:pPr>
      <w:r>
        <w:rPr>
          <w:rFonts w:hAnsi="Times New Roman" w:eastAsia="宋体"/>
          <w:b/>
          <w:bCs/>
          <w:szCs w:val="22"/>
          <w:lang w:eastAsia="zh-CN"/>
        </w:rPr>
        <w:t>1.6.1.1 大气评价等级</w:t>
      </w:r>
    </w:p>
    <w:p>
      <w:pPr>
        <w:spacing w:line="360" w:lineRule="auto"/>
        <w:ind w:firstLine="480" w:firstLineChars="200"/>
        <w:rPr>
          <w:rFonts w:hAnsi="Times New Roman" w:eastAsia="宋体"/>
          <w:lang w:eastAsia="zh-CN"/>
        </w:rPr>
      </w:pPr>
      <w:r>
        <w:rPr>
          <w:rFonts w:hAnsi="Times New Roman" w:eastAsia="宋体"/>
          <w:lang w:eastAsia="zh-CN"/>
        </w:rPr>
        <w:t>根据HJ2.2-2018《环境影响评价技术导则-大气环境》要求，选择项目污染源正常排放的主要污染物及排放参数来判定项目的评价等级。本项目营运期大气污染物主要为粉尘，评价选用采取洒水降尘、煤场封闭等防治措施后，煤炭、矸石等装卸过程产生的粉尘来确定大气确定评价等级。</w:t>
      </w:r>
    </w:p>
    <w:p>
      <w:pPr>
        <w:spacing w:line="360" w:lineRule="auto"/>
        <w:ind w:firstLine="480" w:firstLineChars="200"/>
        <w:rPr>
          <w:rFonts w:hAnsi="Times New Roman" w:eastAsia="宋体"/>
          <w:lang w:eastAsia="zh-CN"/>
        </w:rPr>
      </w:pPr>
      <w:r>
        <w:rPr>
          <w:rFonts w:hAnsi="Times New Roman" w:eastAsia="宋体"/>
          <w:lang w:eastAsia="zh-CN"/>
        </w:rPr>
        <w:t>（1）Pmax及D10%的确定</w:t>
      </w:r>
    </w:p>
    <w:p>
      <w:pPr>
        <w:spacing w:line="360" w:lineRule="auto"/>
        <w:ind w:firstLine="480" w:firstLineChars="200"/>
        <w:rPr>
          <w:rFonts w:hAnsi="Times New Roman" w:eastAsia="宋体"/>
          <w:lang w:eastAsia="zh-CN"/>
        </w:rPr>
      </w:pPr>
      <w:r>
        <w:rPr>
          <w:rFonts w:hAnsi="Times New Roman" w:eastAsia="宋体"/>
          <w:lang w:eastAsia="zh-CN"/>
        </w:rPr>
        <w:t>依据《环境影响评价技术导则大气环境》</w:t>
      </w:r>
      <w:r>
        <w:rPr>
          <w:rFonts w:hint="eastAsia" w:hAnsi="Times New Roman" w:eastAsia="宋体"/>
          <w:lang w:eastAsia="zh-CN"/>
        </w:rPr>
        <w:t>（</w:t>
      </w:r>
      <w:r>
        <w:rPr>
          <w:rFonts w:hAnsi="Times New Roman" w:eastAsia="宋体"/>
          <w:lang w:eastAsia="zh-CN"/>
        </w:rPr>
        <w:t>HJ2.2-2018</w:t>
      </w:r>
      <w:r>
        <w:rPr>
          <w:rFonts w:hint="eastAsia" w:hAnsi="Times New Roman" w:eastAsia="宋体"/>
          <w:lang w:eastAsia="zh-CN"/>
        </w:rPr>
        <w:t>）</w:t>
      </w:r>
      <w:r>
        <w:rPr>
          <w:rFonts w:hAnsi="Times New Roman" w:eastAsia="宋体"/>
          <w:lang w:eastAsia="zh-CN"/>
        </w:rPr>
        <w:t>中最大地面浓度占标率Pi定义如下：</w:t>
      </w:r>
    </w:p>
    <w:p>
      <w:pPr>
        <w:spacing w:line="360" w:lineRule="auto"/>
        <w:ind w:firstLine="480" w:firstLineChars="200"/>
        <w:jc w:val="center"/>
        <w:rPr>
          <w:rFonts w:hAnsi="Times New Roman" w:eastAsia="宋体"/>
        </w:rPr>
      </w:pPr>
      <w:r>
        <w:rPr>
          <w:rFonts w:hAnsi="Times New Roman" w:eastAsia="宋体"/>
        </w:rPr>
        <w:drawing>
          <wp:inline distT="0" distB="0" distL="114300" distR="114300">
            <wp:extent cx="986155" cy="429260"/>
            <wp:effectExtent l="0" t="0" r="4445" b="7620"/>
            <wp:docPr id="227"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42"/>
                    <pic:cNvPicPr>
                      <a:picLocks noChangeAspect="1"/>
                    </pic:cNvPicPr>
                  </pic:nvPicPr>
                  <pic:blipFill>
                    <a:blip r:embed="rId34"/>
                    <a:stretch>
                      <a:fillRect/>
                    </a:stretch>
                  </pic:blipFill>
                  <pic:spPr>
                    <a:xfrm>
                      <a:off x="0" y="0"/>
                      <a:ext cx="986155" cy="429260"/>
                    </a:xfrm>
                    <a:prstGeom prst="rect">
                      <a:avLst/>
                    </a:prstGeom>
                    <a:noFill/>
                    <a:ln>
                      <a:noFill/>
                    </a:ln>
                  </pic:spPr>
                </pic:pic>
              </a:graphicData>
            </a:graphic>
          </wp:inline>
        </w:drawing>
      </w:r>
    </w:p>
    <w:p>
      <w:pPr>
        <w:spacing w:line="360" w:lineRule="auto"/>
        <w:ind w:firstLine="480" w:firstLineChars="200"/>
        <w:rPr>
          <w:rFonts w:hAnsi="Times New Roman" w:eastAsia="宋体"/>
        </w:rPr>
      </w:pPr>
      <w:r>
        <w:rPr>
          <w:rFonts w:hAnsi="Times New Roman" w:eastAsia="宋体"/>
        </w:rPr>
        <w:t>式中：</w:t>
      </w:r>
    </w:p>
    <w:p>
      <w:pPr>
        <w:spacing w:line="360" w:lineRule="auto"/>
        <w:ind w:firstLine="480" w:firstLineChars="200"/>
        <w:rPr>
          <w:rFonts w:hAnsi="Times New Roman" w:eastAsia="宋体"/>
        </w:rPr>
      </w:pPr>
      <w:r>
        <w:rPr>
          <w:rFonts w:hAnsi="Times New Roman" w:eastAsia="宋体"/>
        </w:rPr>
        <w:t>P</w:t>
      </w:r>
      <w:r>
        <w:rPr>
          <w:rFonts w:hAnsi="Times New Roman" w:eastAsia="宋体"/>
          <w:vertAlign w:val="subscript"/>
        </w:rPr>
        <w:t>i</w:t>
      </w:r>
      <w:r>
        <w:rPr>
          <w:rFonts w:hAnsi="Times New Roman" w:eastAsia="宋体"/>
        </w:rPr>
        <w:t>—第i个污染物的最大地面</w:t>
      </w:r>
      <w:r>
        <w:rPr>
          <w:rFonts w:hAnsi="Times New Roman" w:eastAsia="宋体"/>
          <w:lang w:eastAsia="zh-CN"/>
        </w:rPr>
        <w:t>空气质量</w:t>
      </w:r>
      <w:r>
        <w:rPr>
          <w:rFonts w:hAnsi="Times New Roman" w:eastAsia="宋体"/>
        </w:rPr>
        <w:t>浓度占标率</w:t>
      </w:r>
      <w:r>
        <w:rPr>
          <w:rFonts w:hAnsi="Times New Roman" w:eastAsia="宋体"/>
          <w:lang w:eastAsia="zh-CN"/>
        </w:rPr>
        <w:t>，</w:t>
      </w:r>
      <w:r>
        <w:rPr>
          <w:rFonts w:hAnsi="Times New Roman" w:eastAsia="宋体"/>
        </w:rPr>
        <w:t>%；</w:t>
      </w:r>
    </w:p>
    <w:p>
      <w:pPr>
        <w:spacing w:line="360" w:lineRule="auto"/>
        <w:ind w:firstLine="480" w:firstLineChars="200"/>
        <w:rPr>
          <w:rFonts w:hAnsi="Times New Roman" w:eastAsia="宋体"/>
        </w:rPr>
      </w:pPr>
      <w:r>
        <w:rPr>
          <w:rFonts w:hAnsi="Times New Roman" w:eastAsia="宋体"/>
        </w:rPr>
        <w:t>C</w:t>
      </w:r>
      <w:r>
        <w:rPr>
          <w:rFonts w:hAnsi="Times New Roman" w:eastAsia="宋体"/>
          <w:vertAlign w:val="subscript"/>
        </w:rPr>
        <w:t>i</w:t>
      </w:r>
      <w:r>
        <w:rPr>
          <w:rFonts w:hAnsi="Times New Roman" w:eastAsia="宋体"/>
        </w:rPr>
        <w:t>—采用估算模式计算出的第i个污染物的最大</w:t>
      </w:r>
      <w:r>
        <w:rPr>
          <w:rFonts w:hAnsi="Times New Roman" w:eastAsia="宋体"/>
          <w:lang w:eastAsia="zh-CN"/>
        </w:rPr>
        <w:t>1h</w:t>
      </w:r>
      <w:r>
        <w:rPr>
          <w:rFonts w:hAnsi="Times New Roman" w:eastAsia="宋体"/>
        </w:rPr>
        <w:t>地面</w:t>
      </w:r>
      <w:r>
        <w:rPr>
          <w:rFonts w:hAnsi="Times New Roman" w:eastAsia="宋体"/>
          <w:lang w:eastAsia="zh-CN"/>
        </w:rPr>
        <w:t>空气质量</w:t>
      </w:r>
      <w:r>
        <w:rPr>
          <w:rFonts w:hAnsi="Times New Roman" w:eastAsia="宋体"/>
        </w:rPr>
        <w:t>浓度</w:t>
      </w:r>
      <w:r>
        <w:rPr>
          <w:rFonts w:hAnsi="Times New Roman" w:eastAsia="宋体"/>
          <w:lang w:eastAsia="zh-CN"/>
        </w:rPr>
        <w:t>，μ</w:t>
      </w:r>
      <w:r>
        <w:rPr>
          <w:rFonts w:hAnsi="Times New Roman" w:eastAsia="宋体"/>
        </w:rPr>
        <w:t>g/</w:t>
      </w:r>
      <w:r>
        <w:rPr>
          <w:rFonts w:hAnsi="Times New Roman" w:eastAsia="宋体"/>
          <w:lang w:eastAsia="zh-CN"/>
        </w:rPr>
        <w:t>m</w:t>
      </w:r>
      <w:r>
        <w:rPr>
          <w:rFonts w:hAnsi="Times New Roman" w:eastAsia="宋体"/>
          <w:vertAlign w:val="superscript"/>
          <w:lang w:eastAsia="zh-CN"/>
        </w:rPr>
        <w:t>3</w:t>
      </w:r>
      <w:r>
        <w:rPr>
          <w:rFonts w:hAnsi="Times New Roman" w:eastAsia="宋体"/>
        </w:rPr>
        <w:t>；</w:t>
      </w:r>
    </w:p>
    <w:p>
      <w:pPr>
        <w:spacing w:line="360" w:lineRule="auto"/>
        <w:ind w:firstLine="480" w:firstLineChars="200"/>
        <w:rPr>
          <w:rFonts w:hAnsi="Times New Roman" w:eastAsia="宋体"/>
          <w:lang w:eastAsia="zh-CN"/>
        </w:rPr>
      </w:pPr>
      <w:r>
        <w:rPr>
          <w:rFonts w:hAnsi="Times New Roman" w:eastAsia="宋体"/>
        </w:rPr>
        <w:t>C</w:t>
      </w:r>
      <w:r>
        <w:rPr>
          <w:rFonts w:hAnsi="Times New Roman" w:eastAsia="宋体"/>
          <w:vertAlign w:val="subscript"/>
        </w:rPr>
        <w:t>0i</w:t>
      </w:r>
      <w:r>
        <w:rPr>
          <w:rFonts w:hAnsi="Times New Roman" w:eastAsia="宋体"/>
        </w:rPr>
        <w:t>—第i个污染物的环境空气质量</w:t>
      </w:r>
      <w:r>
        <w:rPr>
          <w:rFonts w:hAnsi="Times New Roman" w:eastAsia="宋体"/>
          <w:lang w:eastAsia="zh-CN"/>
        </w:rPr>
        <w:t>浓度</w:t>
      </w:r>
      <w:r>
        <w:rPr>
          <w:rFonts w:hAnsi="Times New Roman" w:eastAsia="宋体"/>
        </w:rPr>
        <w:t>标准</w:t>
      </w:r>
      <w:r>
        <w:rPr>
          <w:rFonts w:hAnsi="Times New Roman" w:eastAsia="宋体"/>
          <w:lang w:eastAsia="zh-CN"/>
        </w:rPr>
        <w:t>，μ</w:t>
      </w:r>
      <w:r>
        <w:rPr>
          <w:rFonts w:hAnsi="Times New Roman" w:eastAsia="宋体"/>
        </w:rPr>
        <w:t>g/</w:t>
      </w:r>
      <w:r>
        <w:rPr>
          <w:rFonts w:hAnsi="Times New Roman" w:eastAsia="宋体"/>
          <w:lang w:eastAsia="zh-CN"/>
        </w:rPr>
        <w:t>m</w:t>
      </w:r>
      <w:r>
        <w:rPr>
          <w:rFonts w:hAnsi="Times New Roman" w:eastAsia="宋体"/>
          <w:vertAlign w:val="superscript"/>
          <w:lang w:eastAsia="zh-CN"/>
        </w:rPr>
        <w:t>3</w:t>
      </w:r>
      <w:r>
        <w:rPr>
          <w:rFonts w:hAnsi="Times New Roman" w:eastAsia="宋体"/>
        </w:rPr>
        <w:t>。</w:t>
      </w:r>
    </w:p>
    <w:p>
      <w:pPr>
        <w:spacing w:line="360" w:lineRule="auto"/>
        <w:ind w:firstLine="480" w:firstLineChars="200"/>
        <w:rPr>
          <w:rFonts w:hAnsi="Times New Roman" w:eastAsia="宋体"/>
          <w:lang w:eastAsia="zh-CN"/>
        </w:rPr>
      </w:pPr>
      <w:r>
        <w:rPr>
          <w:rFonts w:hAnsi="Times New Roman" w:eastAsia="宋体"/>
          <w:lang w:eastAsia="zh-CN"/>
        </w:rPr>
        <w:t>（2）评价等级判别</w:t>
      </w:r>
    </w:p>
    <w:p>
      <w:pPr>
        <w:spacing w:line="360" w:lineRule="auto"/>
        <w:ind w:firstLine="480" w:firstLineChars="200"/>
        <w:rPr>
          <w:rFonts w:hAnsi="Times New Roman" w:eastAsia="宋体"/>
          <w:lang w:eastAsia="zh-CN"/>
        </w:rPr>
      </w:pPr>
      <w:r>
        <w:rPr>
          <w:rFonts w:hAnsi="Times New Roman" w:eastAsia="宋体"/>
          <w:lang w:eastAsia="zh-CN"/>
        </w:rPr>
        <w:t>评价等级按下表的分级判据进行划分。</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表1.6-1 环境空气评价工作等级判据</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8"/>
        <w:gridCol w:w="2136"/>
        <w:gridCol w:w="50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4"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序号</w:t>
            </w:r>
          </w:p>
        </w:tc>
        <w:tc>
          <w:tcPr>
            <w:tcW w:w="1143"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评价工作等级</w:t>
            </w:r>
          </w:p>
        </w:tc>
        <w:tc>
          <w:tcPr>
            <w:tcW w:w="2714"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评价工作分级判据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4"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w:t>
            </w:r>
          </w:p>
        </w:tc>
        <w:tc>
          <w:tcPr>
            <w:tcW w:w="1143"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rPr>
            </w:pPr>
            <w:r>
              <w:rPr>
                <w:rFonts w:hint="eastAsia" w:hAnsi="Times New Roman" w:eastAsia="宋体"/>
                <w:bCs/>
                <w:kern w:val="2"/>
                <w:sz w:val="21"/>
                <w:szCs w:val="21"/>
              </w:rPr>
              <w:t>一级</w:t>
            </w:r>
          </w:p>
        </w:tc>
        <w:tc>
          <w:tcPr>
            <w:tcW w:w="271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P</w:t>
            </w:r>
            <w:r>
              <w:rPr>
                <w:rFonts w:hint="eastAsia" w:hAnsi="Times New Roman" w:eastAsia="宋体"/>
                <w:kern w:val="2"/>
                <w:sz w:val="21"/>
                <w:szCs w:val="21"/>
                <w:vertAlign w:val="subscript"/>
              </w:rPr>
              <w:t>max</w:t>
            </w:r>
            <w:r>
              <w:rPr>
                <w:rFonts w:hint="eastAsia" w:hAnsi="Times New Roman" w:eastAsia="宋体"/>
                <w:kern w:val="2"/>
                <w:sz w:val="21"/>
                <w:szCs w:val="21"/>
              </w:rPr>
              <w:t>≥</w:t>
            </w:r>
            <w:r>
              <w:rPr>
                <w:rFonts w:hint="eastAsia" w:hAnsi="Times New Roman" w:eastAsia="宋体"/>
                <w:kern w:val="2"/>
                <w:sz w:val="21"/>
                <w:szCs w:val="21"/>
                <w:lang w:eastAsia="zh-CN"/>
              </w:rPr>
              <w:t>1</w:t>
            </w:r>
            <w:r>
              <w:rPr>
                <w:rFonts w:hint="eastAsia" w:hAnsi="Times New Roman" w:eastAsia="宋体"/>
                <w:kern w:val="2"/>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4"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2</w:t>
            </w:r>
          </w:p>
        </w:tc>
        <w:tc>
          <w:tcPr>
            <w:tcW w:w="1143"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rPr>
            </w:pPr>
            <w:r>
              <w:rPr>
                <w:rFonts w:hint="eastAsia" w:hAnsi="Times New Roman" w:eastAsia="宋体"/>
                <w:bCs/>
                <w:kern w:val="2"/>
                <w:sz w:val="21"/>
                <w:szCs w:val="21"/>
              </w:rPr>
              <w:t>二级</w:t>
            </w:r>
          </w:p>
        </w:tc>
        <w:tc>
          <w:tcPr>
            <w:tcW w:w="271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1%≤P</w:t>
            </w:r>
            <w:r>
              <w:rPr>
                <w:rFonts w:hint="eastAsia" w:hAnsi="Times New Roman" w:eastAsia="宋体"/>
                <w:kern w:val="2"/>
                <w:sz w:val="21"/>
                <w:szCs w:val="21"/>
                <w:vertAlign w:val="subscript"/>
              </w:rPr>
              <w:t>max</w:t>
            </w:r>
            <w:r>
              <w:rPr>
                <w:rFonts w:hint="eastAsia" w:hAnsi="Times New Roman" w:eastAsia="宋体"/>
                <w:kern w:val="2"/>
                <w:sz w:val="21"/>
                <w:szCs w:val="21"/>
              </w:rPr>
              <w:t>&lt;</w:t>
            </w:r>
            <w:r>
              <w:rPr>
                <w:rFonts w:hint="eastAsia" w:hAnsi="Times New Roman" w:eastAsia="宋体"/>
                <w:kern w:val="2"/>
                <w:sz w:val="21"/>
                <w:szCs w:val="21"/>
                <w:lang w:eastAsia="zh-CN"/>
              </w:rPr>
              <w:t>1</w:t>
            </w:r>
            <w:r>
              <w:rPr>
                <w:rFonts w:hint="eastAsia" w:hAnsi="Times New Roman" w:eastAsia="宋体"/>
                <w:kern w:val="2"/>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4"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3</w:t>
            </w:r>
          </w:p>
        </w:tc>
        <w:tc>
          <w:tcPr>
            <w:tcW w:w="1143"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rPr>
            </w:pPr>
            <w:r>
              <w:rPr>
                <w:rFonts w:hint="eastAsia" w:hAnsi="Times New Roman" w:eastAsia="宋体"/>
                <w:bCs/>
                <w:kern w:val="2"/>
                <w:sz w:val="21"/>
                <w:szCs w:val="21"/>
              </w:rPr>
              <w:t>三级</w:t>
            </w:r>
          </w:p>
        </w:tc>
        <w:tc>
          <w:tcPr>
            <w:tcW w:w="271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P</w:t>
            </w:r>
            <w:r>
              <w:rPr>
                <w:rFonts w:hint="eastAsia" w:hAnsi="Times New Roman" w:eastAsia="宋体"/>
                <w:kern w:val="2"/>
                <w:sz w:val="21"/>
                <w:szCs w:val="21"/>
                <w:vertAlign w:val="subscript"/>
              </w:rPr>
              <w:t>max</w:t>
            </w:r>
            <w:r>
              <w:rPr>
                <w:rFonts w:hint="eastAsia" w:hAnsi="Times New Roman" w:eastAsia="宋体"/>
                <w:kern w:val="2"/>
                <w:sz w:val="21"/>
                <w:szCs w:val="21"/>
              </w:rPr>
              <w:t>&lt;1%</w:t>
            </w:r>
          </w:p>
        </w:tc>
      </w:tr>
    </w:tbl>
    <w:p>
      <w:pPr>
        <w:spacing w:line="360" w:lineRule="auto"/>
        <w:ind w:firstLine="480" w:firstLineChars="200"/>
        <w:rPr>
          <w:rFonts w:hAnsi="Times New Roman" w:eastAsia="宋体"/>
          <w:lang w:eastAsia="zh-CN"/>
        </w:rPr>
      </w:pPr>
      <w:r>
        <w:rPr>
          <w:rFonts w:hAnsi="Times New Roman" w:eastAsia="宋体"/>
          <w:lang w:eastAsia="zh-CN"/>
        </w:rPr>
        <w:t>根据本项目废气排放情况，项目运营期间，无组织废气主要为原煤堆场、临时储矸场产生的扬尘，本项目大气评价等级判断见下表所示。</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表1.6-2 大气评价等级判定表</w:t>
      </w:r>
    </w:p>
    <w:tbl>
      <w:tblPr>
        <w:tblStyle w:val="3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11"/>
        <w:gridCol w:w="1121"/>
        <w:gridCol w:w="1691"/>
        <w:gridCol w:w="1944"/>
        <w:gridCol w:w="1764"/>
        <w:gridCol w:w="12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2" w:type="pct"/>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污染源名称</w:t>
            </w:r>
          </w:p>
        </w:tc>
        <w:tc>
          <w:tcPr>
            <w:tcW w:w="600" w:type="pct"/>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评价因子</w:t>
            </w:r>
          </w:p>
        </w:tc>
        <w:tc>
          <w:tcPr>
            <w:tcW w:w="905" w:type="pct"/>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最大地面浓度（μg/m</w:t>
            </w:r>
            <w:r>
              <w:rPr>
                <w:rFonts w:hint="eastAsia" w:hAnsi="Times New Roman" w:eastAsia="宋体"/>
                <w:b/>
                <w:color w:val="auto"/>
                <w:kern w:val="2"/>
                <w:vertAlign w:val="superscript"/>
                <w:lang w:eastAsia="zh-CN"/>
              </w:rPr>
              <w:t>3</w:t>
            </w:r>
            <w:r>
              <w:rPr>
                <w:rFonts w:hint="eastAsia" w:hAnsi="Times New Roman" w:eastAsia="宋体"/>
                <w:b/>
                <w:color w:val="auto"/>
                <w:kern w:val="2"/>
                <w:lang w:eastAsia="zh-CN"/>
              </w:rPr>
              <w:t>）</w:t>
            </w:r>
          </w:p>
        </w:tc>
        <w:tc>
          <w:tcPr>
            <w:tcW w:w="1040" w:type="pct"/>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下风向地面浓度占标率Pmax（%）</w:t>
            </w:r>
          </w:p>
        </w:tc>
        <w:tc>
          <w:tcPr>
            <w:tcW w:w="944" w:type="pct"/>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最大地面浓度出现距离m</w:t>
            </w:r>
          </w:p>
        </w:tc>
        <w:tc>
          <w:tcPr>
            <w:tcW w:w="650" w:type="pct"/>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评价等级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2"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堆煤场（含矸石临时堆场）</w:t>
            </w:r>
          </w:p>
        </w:tc>
        <w:tc>
          <w:tcPr>
            <w:tcW w:w="600"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TSP</w:t>
            </w:r>
          </w:p>
        </w:tc>
        <w:tc>
          <w:tcPr>
            <w:tcW w:w="905"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81.5190</w:t>
            </w:r>
          </w:p>
        </w:tc>
        <w:tc>
          <w:tcPr>
            <w:tcW w:w="1040"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9.0577</w:t>
            </w:r>
          </w:p>
        </w:tc>
        <w:tc>
          <w:tcPr>
            <w:tcW w:w="944"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46.0</w:t>
            </w:r>
          </w:p>
        </w:tc>
        <w:tc>
          <w:tcPr>
            <w:tcW w:w="650"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二级</w:t>
            </w:r>
          </w:p>
        </w:tc>
      </w:tr>
    </w:tbl>
    <w:p>
      <w:pPr>
        <w:spacing w:line="360" w:lineRule="auto"/>
        <w:ind w:firstLine="480" w:firstLineChars="200"/>
        <w:rPr>
          <w:rFonts w:hAnsi="Times New Roman" w:eastAsia="宋体"/>
          <w:b/>
          <w:bCs/>
          <w:lang w:eastAsia="zh-CN"/>
        </w:rPr>
      </w:pPr>
      <w:r>
        <w:rPr>
          <w:rFonts w:hAnsi="Times New Roman" w:eastAsia="宋体"/>
          <w:lang w:eastAsia="zh-CN"/>
        </w:rPr>
        <w:t>本工程废气最大浓度占标率为9.06%、距离为46m，1%≤Pmax&lt;10%，</w:t>
      </w:r>
      <w:r>
        <w:rPr>
          <w:rFonts w:hAnsi="Times New Roman" w:eastAsia="宋体"/>
          <w:b/>
          <w:bCs/>
          <w:lang w:eastAsia="zh-CN"/>
        </w:rPr>
        <w:t>因此，本项目大气环境影响评价工作等级确定为二级评价。</w:t>
      </w:r>
    </w:p>
    <w:p>
      <w:pPr>
        <w:spacing w:line="360" w:lineRule="auto"/>
        <w:rPr>
          <w:rFonts w:hAnsi="Times New Roman" w:eastAsia="宋体"/>
          <w:b/>
          <w:bCs/>
          <w:szCs w:val="22"/>
          <w:lang w:eastAsia="zh-CN"/>
        </w:rPr>
      </w:pPr>
      <w:r>
        <w:rPr>
          <w:rFonts w:hAnsi="Times New Roman" w:eastAsia="宋体"/>
          <w:b/>
          <w:bCs/>
          <w:szCs w:val="22"/>
          <w:lang w:eastAsia="zh-CN"/>
        </w:rPr>
        <w:t>1.6.1.2 地表水评价等级</w:t>
      </w:r>
    </w:p>
    <w:p>
      <w:pPr>
        <w:spacing w:line="360" w:lineRule="auto"/>
        <w:ind w:firstLine="480" w:firstLineChars="200"/>
        <w:rPr>
          <w:rFonts w:hAnsi="Times New Roman" w:eastAsia="宋体"/>
          <w:lang w:eastAsia="zh-CN"/>
        </w:rPr>
      </w:pPr>
      <w:r>
        <w:rPr>
          <w:rFonts w:hAnsi="Times New Roman" w:eastAsia="宋体"/>
          <w:lang w:eastAsia="zh-CN"/>
        </w:rPr>
        <w:t>根据《环境影响评价技术导则-地面水环境》（HJ2.3-2018），建设项目地表水环境影响评价等级按照影响类型、排放方式、排放量或影响情况、受纳水体环境质量现状、水环境保护目标等综合确定。其中水污染影响型建设项目评价等级判定见下表所示。</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表1.6-3 水污染影响型建设项目评价等级判定</w:t>
      </w:r>
    </w:p>
    <w:tbl>
      <w:tblPr>
        <w:tblStyle w:val="3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19"/>
        <w:gridCol w:w="2760"/>
        <w:gridCol w:w="42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1" w:type="pct"/>
            <w:vMerge w:val="restart"/>
            <w:vAlign w:val="center"/>
          </w:tcPr>
          <w:p>
            <w:pPr>
              <w:keepNext w:val="0"/>
              <w:keepLines w:val="0"/>
              <w:suppressLineNumbers w:val="0"/>
              <w:autoSpaceDE w:val="0"/>
              <w:autoSpaceDN w:val="0"/>
              <w:adjustRightInd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评价等级</w:t>
            </w:r>
          </w:p>
        </w:tc>
        <w:tc>
          <w:tcPr>
            <w:tcW w:w="3759" w:type="pct"/>
            <w:gridSpan w:val="2"/>
            <w:vAlign w:val="center"/>
          </w:tcPr>
          <w:p>
            <w:pPr>
              <w:keepNext w:val="0"/>
              <w:keepLines w:val="0"/>
              <w:suppressLineNumbers w:val="0"/>
              <w:autoSpaceDE w:val="0"/>
              <w:autoSpaceDN w:val="0"/>
              <w:adjustRightInd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判定依据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1" w:type="pct"/>
            <w:vMerge w:val="continue"/>
            <w:vAlign w:val="center"/>
          </w:tcPr>
          <w:p>
            <w:pPr>
              <w:keepNext w:val="0"/>
              <w:keepLines w:val="0"/>
              <w:suppressLineNumbers w:val="0"/>
              <w:autoSpaceDE w:val="0"/>
              <w:autoSpaceDN w:val="0"/>
              <w:adjustRightInd w:val="0"/>
              <w:spacing w:before="0" w:beforeAutospacing="0" w:after="0" w:afterAutospacing="0"/>
              <w:ind w:left="0" w:right="0" w:firstLine="422"/>
              <w:jc w:val="center"/>
              <w:rPr>
                <w:rFonts w:hint="eastAsia" w:hAnsi="Times New Roman" w:eastAsia="宋体"/>
                <w:b/>
                <w:bCs/>
                <w:kern w:val="2"/>
                <w:sz w:val="21"/>
                <w:szCs w:val="21"/>
              </w:rPr>
            </w:pPr>
          </w:p>
        </w:tc>
        <w:tc>
          <w:tcPr>
            <w:tcW w:w="1477"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排放方式</w:t>
            </w:r>
          </w:p>
        </w:tc>
        <w:tc>
          <w:tcPr>
            <w:tcW w:w="22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rPr>
              <w:t>废水排放量 Q /（m</w:t>
            </w:r>
            <w:r>
              <w:rPr>
                <w:rFonts w:hint="eastAsia" w:hAnsi="Times New Roman" w:eastAsia="宋体"/>
                <w:b/>
                <w:bCs/>
                <w:kern w:val="2"/>
                <w:sz w:val="21"/>
                <w:szCs w:val="21"/>
                <w:vertAlign w:val="superscript"/>
              </w:rPr>
              <w:t>3</w:t>
            </w:r>
            <w:r>
              <w:rPr>
                <w:rFonts w:hint="eastAsia" w:hAnsi="Times New Roman" w:eastAsia="宋体"/>
                <w:b/>
                <w:bCs/>
                <w:kern w:val="2"/>
                <w:sz w:val="21"/>
                <w:szCs w:val="21"/>
              </w:rPr>
              <w:t>/d）</w:t>
            </w:r>
            <w:r>
              <w:rPr>
                <w:rFonts w:hint="eastAsia" w:hAnsi="Times New Roman" w:eastAsia="宋体"/>
                <w:b/>
                <w:bCs/>
                <w:kern w:val="2"/>
                <w:sz w:val="21"/>
                <w:szCs w:val="21"/>
                <w:lang w:eastAsia="zh-CN"/>
              </w:rPr>
              <w:t>；</w:t>
            </w:r>
          </w:p>
          <w:p>
            <w:pPr>
              <w:keepNext w:val="0"/>
              <w:keepLines w:val="0"/>
              <w:suppressLineNumbers w:val="0"/>
              <w:autoSpaceDE w:val="0"/>
              <w:autoSpaceDN w:val="0"/>
              <w:adjustRightInd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水污染物当量数 W /（无量纲）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一级</w:t>
            </w:r>
          </w:p>
        </w:tc>
        <w:tc>
          <w:tcPr>
            <w:tcW w:w="1477"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直接排放</w:t>
            </w:r>
          </w:p>
        </w:tc>
        <w:tc>
          <w:tcPr>
            <w:tcW w:w="22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Q≥20000 或 W≥600000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二级</w:t>
            </w:r>
          </w:p>
        </w:tc>
        <w:tc>
          <w:tcPr>
            <w:tcW w:w="1477"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直接排放</w:t>
            </w:r>
          </w:p>
        </w:tc>
        <w:tc>
          <w:tcPr>
            <w:tcW w:w="22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三级A</w:t>
            </w:r>
          </w:p>
        </w:tc>
        <w:tc>
          <w:tcPr>
            <w:tcW w:w="1477"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直接排放</w:t>
            </w:r>
          </w:p>
        </w:tc>
        <w:tc>
          <w:tcPr>
            <w:tcW w:w="22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Q＜200 且 W＜6000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三级 B</w:t>
            </w:r>
          </w:p>
        </w:tc>
        <w:tc>
          <w:tcPr>
            <w:tcW w:w="1477"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间接排放</w:t>
            </w:r>
          </w:p>
        </w:tc>
        <w:tc>
          <w:tcPr>
            <w:tcW w:w="22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w:t>
            </w:r>
          </w:p>
        </w:tc>
      </w:tr>
    </w:tbl>
    <w:p>
      <w:pPr>
        <w:spacing w:line="360" w:lineRule="auto"/>
        <w:ind w:firstLine="480" w:firstLineChars="200"/>
        <w:rPr>
          <w:rFonts w:hAnsi="Times New Roman" w:eastAsia="宋体"/>
          <w:szCs w:val="22"/>
          <w:lang w:eastAsia="zh-CN"/>
        </w:rPr>
      </w:pPr>
      <w:r>
        <w:rPr>
          <w:rFonts w:hAnsi="Times New Roman" w:eastAsia="宋体"/>
          <w:szCs w:val="22"/>
          <w:lang w:eastAsia="zh-CN"/>
        </w:rPr>
        <w:t>根据预测，本项目改扩建后矿井正常涌水量3549.6m</w:t>
      </w:r>
      <w:r>
        <w:rPr>
          <w:rFonts w:hAnsi="Times New Roman" w:eastAsia="宋体"/>
          <w:szCs w:val="22"/>
          <w:vertAlign w:val="superscript"/>
          <w:lang w:eastAsia="zh-CN"/>
        </w:rPr>
        <w:t>3</w:t>
      </w:r>
      <w:r>
        <w:rPr>
          <w:rFonts w:hAnsi="Times New Roman" w:eastAsia="宋体"/>
          <w:szCs w:val="22"/>
          <w:lang w:eastAsia="zh-CN"/>
        </w:rPr>
        <w:t>/d，经处理回用后，外排废水量为3018.2m</w:t>
      </w:r>
      <w:r>
        <w:rPr>
          <w:rFonts w:hAnsi="Times New Roman" w:eastAsia="宋体"/>
          <w:szCs w:val="22"/>
          <w:vertAlign w:val="superscript"/>
          <w:lang w:eastAsia="zh-CN"/>
        </w:rPr>
        <w:t>3</w:t>
      </w:r>
      <w:r>
        <w:rPr>
          <w:rFonts w:hAnsi="Times New Roman" w:eastAsia="宋体"/>
          <w:szCs w:val="22"/>
          <w:lang w:eastAsia="zh-CN"/>
        </w:rPr>
        <w:t>/d</w:t>
      </w:r>
      <w:r>
        <w:rPr>
          <w:rFonts w:hAnsi="Times New Roman" w:eastAsia="宋体"/>
          <w:lang w:eastAsia="zh-CN"/>
        </w:rPr>
        <w:t>，</w:t>
      </w:r>
      <w:r>
        <w:rPr>
          <w:rFonts w:hint="eastAsia" w:hAnsi="Times New Roman" w:eastAsia="宋体"/>
          <w:lang w:eastAsia="zh-CN"/>
        </w:rPr>
        <w:t>根据调查，现有项目批复废水排放量为</w:t>
      </w:r>
      <w:r>
        <w:rPr>
          <w:rFonts w:hAnsi="Times New Roman" w:eastAsia="宋体"/>
          <w:lang w:eastAsia="zh-CN"/>
        </w:rPr>
        <w:t>项目废水排放标准《地表水环境质量标准》（GB3838-2002）</w:t>
      </w:r>
      <w:r>
        <w:rPr>
          <w:rFonts w:hAnsi="Times New Roman" w:eastAsia="宋体"/>
          <w:lang w:eastAsia="zh-CN"/>
        </w:rPr>
        <w:fldChar w:fldCharType="begin"/>
      </w:r>
      <w:r>
        <w:rPr>
          <w:rFonts w:hAnsi="Times New Roman" w:eastAsia="宋体"/>
          <w:lang w:eastAsia="zh-CN"/>
        </w:rPr>
        <w:instrText xml:space="preserve"> = 3 \* ROMAN </w:instrText>
      </w:r>
      <w:r>
        <w:rPr>
          <w:rFonts w:hAnsi="Times New Roman" w:eastAsia="宋体"/>
          <w:lang w:eastAsia="zh-CN"/>
        </w:rPr>
        <w:fldChar w:fldCharType="separate"/>
      </w:r>
      <w:r>
        <w:rPr>
          <w:rFonts w:hAnsi="Times New Roman" w:eastAsia="宋体"/>
          <w:lang w:eastAsia="zh-CN"/>
        </w:rPr>
        <w:t>III</w:t>
      </w:r>
      <w:r>
        <w:rPr>
          <w:rFonts w:hAnsi="Times New Roman" w:eastAsia="宋体"/>
          <w:lang w:eastAsia="zh-CN"/>
        </w:rPr>
        <w:fldChar w:fldCharType="end"/>
      </w:r>
      <w:r>
        <w:rPr>
          <w:rFonts w:hAnsi="Times New Roman" w:eastAsia="宋体"/>
          <w:lang w:eastAsia="zh-CN"/>
        </w:rPr>
        <w:t>类标准，因此项目外排废水污染物当量值数统计情</w:t>
      </w:r>
      <w:r>
        <w:rPr>
          <w:rFonts w:hint="eastAsia" w:hAnsi="Times New Roman" w:eastAsia="宋体"/>
          <w:lang w:eastAsia="zh-CN"/>
        </w:rPr>
        <w:t>况</w:t>
      </w:r>
      <w:r>
        <w:rPr>
          <w:rFonts w:hint="eastAsia" w:hAnsi="Times New Roman" w:eastAsia="宋体"/>
          <w:lang w:val="en-US" w:eastAsia="zh-CN"/>
        </w:rPr>
        <w:t>如</w:t>
      </w:r>
      <w:r>
        <w:rPr>
          <w:rFonts w:hAnsi="Times New Roman" w:eastAsia="宋体"/>
          <w:lang w:eastAsia="zh-CN"/>
        </w:rPr>
        <w:t>下表所示。</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 1.6-4</w:t>
      </w:r>
      <w:r>
        <w:rPr>
          <w:rFonts w:hAnsi="Times New Roman" w:eastAsia="宋体"/>
          <w:b/>
          <w:bCs/>
          <w:sz w:val="21"/>
          <w:szCs w:val="21"/>
          <w:lang w:eastAsia="zh-CN"/>
        </w:rPr>
        <w:tab/>
      </w:r>
      <w:r>
        <w:rPr>
          <w:rFonts w:hAnsi="Times New Roman" w:eastAsia="宋体"/>
          <w:b/>
          <w:bCs/>
          <w:sz w:val="21"/>
          <w:szCs w:val="21"/>
          <w:lang w:eastAsia="zh-CN"/>
        </w:rPr>
        <w:t>本项目外排废水污染物当量数统计表</w:t>
      </w:r>
    </w:p>
    <w:tbl>
      <w:tblPr>
        <w:tblStyle w:val="33"/>
        <w:tblW w:w="5000" w:type="pct"/>
        <w:jc w:val="center"/>
        <w:tblLayout w:type="autofit"/>
        <w:tblCellMar>
          <w:top w:w="0" w:type="dxa"/>
          <w:left w:w="108" w:type="dxa"/>
          <w:bottom w:w="0" w:type="dxa"/>
          <w:right w:w="108" w:type="dxa"/>
        </w:tblCellMar>
      </w:tblPr>
      <w:tblGrid>
        <w:gridCol w:w="859"/>
        <w:gridCol w:w="1415"/>
        <w:gridCol w:w="1886"/>
        <w:gridCol w:w="1641"/>
        <w:gridCol w:w="1665"/>
        <w:gridCol w:w="1878"/>
      </w:tblGrid>
      <w:tr>
        <w:tblPrEx>
          <w:tblCellMar>
            <w:top w:w="0" w:type="dxa"/>
            <w:left w:w="108" w:type="dxa"/>
            <w:bottom w:w="0" w:type="dxa"/>
            <w:right w:w="108" w:type="dxa"/>
          </w:tblCellMar>
        </w:tblPrEx>
        <w:trPr>
          <w:trHeight w:val="20" w:hRule="atLeast"/>
          <w:jc w:val="center"/>
        </w:trPr>
        <w:tc>
          <w:tcPr>
            <w:tcW w:w="460" w:type="pct"/>
            <w:tcBorders>
              <w:top w:val="single" w:color="auto" w:sz="4" w:space="0"/>
              <w:left w:val="single" w:color="auto" w:sz="4" w:space="0"/>
              <w:bottom w:val="single" w:color="auto" w:sz="4" w:space="0"/>
              <w:right w:val="single" w:color="auto" w:sz="4" w:space="0"/>
            </w:tcBorders>
            <w:vAlign w:val="center"/>
          </w:tcPr>
          <w:p>
            <w:pPr>
              <w:pStyle w:val="44"/>
              <w:keepNext w:val="0"/>
              <w:keepLines w:val="0"/>
              <w:suppressLineNumbers w:val="0"/>
              <w:kinsoku w:val="0"/>
              <w:overflowPunct w:val="0"/>
              <w:spacing w:before="35" w:beforeAutospacing="0" w:after="0" w:afterAutospacing="0"/>
              <w:ind w:left="0" w:right="1"/>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序号</w:t>
            </w:r>
          </w:p>
        </w:tc>
        <w:tc>
          <w:tcPr>
            <w:tcW w:w="757" w:type="pct"/>
            <w:tcBorders>
              <w:top w:val="single" w:color="auto" w:sz="4" w:space="0"/>
              <w:left w:val="single" w:color="auto" w:sz="4" w:space="0"/>
              <w:bottom w:val="single" w:color="auto" w:sz="4" w:space="0"/>
              <w:right w:val="single" w:color="auto" w:sz="4" w:space="0"/>
            </w:tcBorders>
            <w:vAlign w:val="center"/>
          </w:tcPr>
          <w:p>
            <w:pPr>
              <w:pStyle w:val="44"/>
              <w:keepNext w:val="0"/>
              <w:keepLines w:val="0"/>
              <w:suppressLineNumbers w:val="0"/>
              <w:kinsoku w:val="0"/>
              <w:overflowPunct w:val="0"/>
              <w:spacing w:before="35" w:beforeAutospacing="0" w:after="0" w:afterAutospacing="0"/>
              <w:ind w:left="0" w:right="1"/>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污染物</w:t>
            </w:r>
          </w:p>
        </w:tc>
        <w:tc>
          <w:tcPr>
            <w:tcW w:w="1009" w:type="pct"/>
            <w:tcBorders>
              <w:top w:val="single" w:color="auto" w:sz="4" w:space="0"/>
              <w:left w:val="single" w:color="auto" w:sz="4" w:space="0"/>
              <w:bottom w:val="single" w:color="auto" w:sz="4" w:space="0"/>
              <w:right w:val="single" w:color="auto" w:sz="4" w:space="0"/>
            </w:tcBorders>
            <w:vAlign w:val="center"/>
          </w:tcPr>
          <w:p>
            <w:pPr>
              <w:pStyle w:val="44"/>
              <w:keepNext w:val="0"/>
              <w:keepLines w:val="0"/>
              <w:suppressLineNumbers w:val="0"/>
              <w:kinsoku w:val="0"/>
              <w:overflowPunct w:val="0"/>
              <w:spacing w:before="35" w:beforeAutospacing="0" w:after="0" w:afterAutospacing="0"/>
              <w:ind w:left="0" w:right="1"/>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污染物浓度</w:t>
            </w:r>
          </w:p>
          <w:p>
            <w:pPr>
              <w:pStyle w:val="44"/>
              <w:keepNext w:val="0"/>
              <w:keepLines w:val="0"/>
              <w:suppressLineNumbers w:val="0"/>
              <w:kinsoku w:val="0"/>
              <w:overflowPunct w:val="0"/>
              <w:spacing w:before="35" w:beforeAutospacing="0" w:after="0" w:afterAutospacing="0"/>
              <w:ind w:left="0" w:right="1"/>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（mg/L）</w:t>
            </w:r>
          </w:p>
        </w:tc>
        <w:tc>
          <w:tcPr>
            <w:tcW w:w="878" w:type="pct"/>
            <w:tcBorders>
              <w:top w:val="single" w:color="auto" w:sz="4" w:space="0"/>
              <w:left w:val="single" w:color="auto" w:sz="4" w:space="0"/>
              <w:bottom w:val="single" w:color="auto" w:sz="4" w:space="0"/>
              <w:right w:val="single" w:color="auto" w:sz="4" w:space="0"/>
            </w:tcBorders>
            <w:vAlign w:val="center"/>
          </w:tcPr>
          <w:p>
            <w:pPr>
              <w:pStyle w:val="44"/>
              <w:keepNext w:val="0"/>
              <w:keepLines w:val="0"/>
              <w:suppressLineNumbers w:val="0"/>
              <w:kinsoku w:val="0"/>
              <w:overflowPunct w:val="0"/>
              <w:spacing w:before="35" w:beforeAutospacing="0" w:after="0" w:afterAutospacing="0"/>
              <w:ind w:left="0" w:right="1"/>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污染排放量</w:t>
            </w:r>
          </w:p>
          <w:p>
            <w:pPr>
              <w:pStyle w:val="44"/>
              <w:keepNext w:val="0"/>
              <w:keepLines w:val="0"/>
              <w:suppressLineNumbers w:val="0"/>
              <w:kinsoku w:val="0"/>
              <w:overflowPunct w:val="0"/>
              <w:spacing w:before="35" w:beforeAutospacing="0" w:after="0" w:afterAutospacing="0"/>
              <w:ind w:left="0" w:right="1"/>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（kg/a）</w:t>
            </w:r>
          </w:p>
        </w:tc>
        <w:tc>
          <w:tcPr>
            <w:tcW w:w="891" w:type="pct"/>
            <w:tcBorders>
              <w:top w:val="single" w:color="auto" w:sz="4" w:space="0"/>
              <w:left w:val="single" w:color="auto" w:sz="4" w:space="0"/>
              <w:bottom w:val="single" w:color="auto" w:sz="4" w:space="0"/>
              <w:right w:val="single" w:color="auto" w:sz="4" w:space="0"/>
            </w:tcBorders>
            <w:vAlign w:val="center"/>
          </w:tcPr>
          <w:p>
            <w:pPr>
              <w:pStyle w:val="44"/>
              <w:keepNext w:val="0"/>
              <w:keepLines w:val="0"/>
              <w:suppressLineNumbers w:val="0"/>
              <w:kinsoku w:val="0"/>
              <w:overflowPunct w:val="0"/>
              <w:spacing w:before="35" w:beforeAutospacing="0" w:after="0" w:afterAutospacing="0"/>
              <w:ind w:left="0" w:right="1"/>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污染物当量值</w:t>
            </w:r>
          </w:p>
          <w:p>
            <w:pPr>
              <w:pStyle w:val="44"/>
              <w:keepNext w:val="0"/>
              <w:keepLines w:val="0"/>
              <w:suppressLineNumbers w:val="0"/>
              <w:kinsoku w:val="0"/>
              <w:overflowPunct w:val="0"/>
              <w:spacing w:before="35" w:beforeAutospacing="0" w:after="0" w:afterAutospacing="0"/>
              <w:ind w:left="0" w:right="1"/>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（kg）</w:t>
            </w:r>
          </w:p>
        </w:tc>
        <w:tc>
          <w:tcPr>
            <w:tcW w:w="1005" w:type="pct"/>
            <w:tcBorders>
              <w:top w:val="single" w:color="auto" w:sz="4" w:space="0"/>
              <w:left w:val="single" w:color="auto" w:sz="4" w:space="0"/>
              <w:bottom w:val="single" w:color="auto" w:sz="4" w:space="0"/>
              <w:right w:val="single" w:color="auto" w:sz="4" w:space="0"/>
            </w:tcBorders>
            <w:vAlign w:val="center"/>
          </w:tcPr>
          <w:p>
            <w:pPr>
              <w:pStyle w:val="44"/>
              <w:keepNext w:val="0"/>
              <w:keepLines w:val="0"/>
              <w:suppressLineNumbers w:val="0"/>
              <w:kinsoku w:val="0"/>
              <w:overflowPunct w:val="0"/>
              <w:spacing w:before="35" w:beforeAutospacing="0" w:after="0" w:afterAutospacing="0"/>
              <w:ind w:left="0" w:right="1"/>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新增污染物当量数</w:t>
            </w:r>
          </w:p>
          <w:p>
            <w:pPr>
              <w:pStyle w:val="44"/>
              <w:keepNext w:val="0"/>
              <w:keepLines w:val="0"/>
              <w:suppressLineNumbers w:val="0"/>
              <w:kinsoku w:val="0"/>
              <w:overflowPunct w:val="0"/>
              <w:spacing w:before="35" w:beforeAutospacing="0" w:after="0" w:afterAutospacing="0"/>
              <w:ind w:left="0" w:right="1"/>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（无量纲）</w:t>
            </w:r>
          </w:p>
        </w:tc>
      </w:tr>
      <w:tr>
        <w:tblPrEx>
          <w:tblCellMar>
            <w:top w:w="0" w:type="dxa"/>
            <w:left w:w="108" w:type="dxa"/>
            <w:bottom w:w="0" w:type="dxa"/>
            <w:right w:w="108" w:type="dxa"/>
          </w:tblCellMar>
        </w:tblPrEx>
        <w:trPr>
          <w:trHeight w:val="20" w:hRule="atLeast"/>
          <w:jc w:val="center"/>
        </w:trPr>
        <w:tc>
          <w:tcPr>
            <w:tcW w:w="460" w:type="pct"/>
            <w:tcBorders>
              <w:top w:val="single" w:color="auto" w:sz="4" w:space="0"/>
              <w:left w:val="single" w:color="auto" w:sz="4" w:space="0"/>
              <w:bottom w:val="single" w:color="auto" w:sz="4" w:space="0"/>
              <w:right w:val="single" w:color="auto" w:sz="4" w:space="0"/>
            </w:tcBorders>
            <w:vAlign w:val="center"/>
          </w:tcPr>
          <w:p>
            <w:pPr>
              <w:pStyle w:val="44"/>
              <w:keepNext w:val="0"/>
              <w:keepLines w:val="0"/>
              <w:suppressLineNumbers w:val="0"/>
              <w:kinsoku w:val="0"/>
              <w:overflowPunct w:val="0"/>
              <w:spacing w:before="35" w:beforeAutospacing="0" w:after="0" w:afterAutospacing="0"/>
              <w:ind w:left="0" w:right="1"/>
              <w:jc w:val="center"/>
              <w:rPr>
                <w:rFonts w:hint="eastAsia" w:hAnsi="Times New Roman" w:eastAsia="宋体"/>
                <w:kern w:val="2"/>
                <w:sz w:val="21"/>
                <w:szCs w:val="21"/>
                <w:lang w:eastAsia="zh-CN"/>
              </w:rPr>
            </w:pPr>
            <w:r>
              <w:rPr>
                <w:rFonts w:hint="eastAsia" w:hAnsi="Times New Roman" w:eastAsia="宋体"/>
                <w:kern w:val="2"/>
                <w:sz w:val="21"/>
                <w:szCs w:val="21"/>
                <w:lang w:eastAsia="zh-CN"/>
              </w:rPr>
              <w:t>1</w:t>
            </w:r>
          </w:p>
        </w:tc>
        <w:tc>
          <w:tcPr>
            <w:tcW w:w="757" w:type="pct"/>
            <w:tcBorders>
              <w:top w:val="single" w:color="auto" w:sz="4" w:space="0"/>
              <w:left w:val="single" w:color="auto" w:sz="4" w:space="0"/>
              <w:bottom w:val="single" w:color="auto" w:sz="4" w:space="0"/>
              <w:right w:val="single" w:color="auto" w:sz="4" w:space="0"/>
            </w:tcBorders>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kern w:val="2"/>
                <w:sz w:val="21"/>
                <w:szCs w:val="21"/>
                <w:lang w:eastAsia="zh-CN"/>
              </w:rPr>
            </w:pPr>
            <w:r>
              <w:rPr>
                <w:rFonts w:hint="eastAsia" w:hAnsi="Times New Roman" w:eastAsia="宋体" w:cs="Times New Roman"/>
                <w:kern w:val="2"/>
                <w:sz w:val="21"/>
                <w:szCs w:val="21"/>
                <w:lang w:eastAsia="zh-CN"/>
              </w:rPr>
              <w:t>COD</w:t>
            </w:r>
            <w:r>
              <w:rPr>
                <w:rFonts w:hint="eastAsia" w:hAnsi="Times New Roman" w:eastAsia="宋体" w:cs="Times New Roman"/>
                <w:kern w:val="2"/>
                <w:sz w:val="21"/>
                <w:szCs w:val="21"/>
                <w:vertAlign w:val="subscript"/>
                <w:lang w:eastAsia="zh-CN"/>
              </w:rPr>
              <w:t>Cr</w:t>
            </w:r>
          </w:p>
        </w:tc>
        <w:tc>
          <w:tcPr>
            <w:tcW w:w="1009" w:type="pct"/>
            <w:tcBorders>
              <w:top w:val="single" w:color="auto" w:sz="4" w:space="0"/>
              <w:left w:val="single" w:color="auto" w:sz="4" w:space="0"/>
              <w:bottom w:val="single" w:color="auto" w:sz="4" w:space="0"/>
              <w:right w:val="single" w:color="auto" w:sz="4" w:space="0"/>
            </w:tcBorders>
            <w:vAlign w:val="center"/>
          </w:tcPr>
          <w:p>
            <w:pPr>
              <w:pStyle w:val="44"/>
              <w:keepNext w:val="0"/>
              <w:keepLines w:val="0"/>
              <w:suppressLineNumbers w:val="0"/>
              <w:kinsoku w:val="0"/>
              <w:overflowPunct w:val="0"/>
              <w:spacing w:before="35" w:beforeAutospacing="0" w:after="0" w:afterAutospacing="0"/>
              <w:ind w:left="0" w:right="1"/>
              <w:jc w:val="center"/>
              <w:rPr>
                <w:rFonts w:hint="eastAsia" w:hAnsi="Times New Roman" w:eastAsia="宋体"/>
                <w:kern w:val="2"/>
                <w:sz w:val="21"/>
                <w:szCs w:val="21"/>
                <w:lang w:eastAsia="zh-CN"/>
              </w:rPr>
            </w:pPr>
            <w:r>
              <w:rPr>
                <w:rFonts w:hint="eastAsia" w:hAnsi="Times New Roman" w:eastAsia="宋体"/>
                <w:kern w:val="2"/>
                <w:sz w:val="21"/>
                <w:szCs w:val="21"/>
                <w:lang w:eastAsia="zh-CN"/>
              </w:rPr>
              <w:t>20</w:t>
            </w:r>
          </w:p>
        </w:tc>
        <w:tc>
          <w:tcPr>
            <w:tcW w:w="878" w:type="pct"/>
            <w:tcBorders>
              <w:top w:val="single" w:color="auto" w:sz="4" w:space="0"/>
              <w:left w:val="single" w:color="auto" w:sz="4" w:space="0"/>
              <w:bottom w:val="single" w:color="auto" w:sz="4" w:space="0"/>
              <w:right w:val="single" w:color="auto" w:sz="4" w:space="0"/>
            </w:tcBorders>
            <w:vAlign w:val="center"/>
          </w:tcPr>
          <w:p>
            <w:pPr>
              <w:pStyle w:val="44"/>
              <w:keepNext w:val="0"/>
              <w:keepLines w:val="0"/>
              <w:suppressLineNumbers w:val="0"/>
              <w:kinsoku w:val="0"/>
              <w:overflowPunct w:val="0"/>
              <w:spacing w:before="35" w:beforeAutospacing="0" w:after="0" w:afterAutospacing="0"/>
              <w:ind w:left="0" w:right="1"/>
              <w:jc w:val="center"/>
              <w:rPr>
                <w:rFonts w:hint="eastAsia" w:hAnsi="Times New Roman" w:eastAsia="宋体"/>
                <w:kern w:val="2"/>
                <w:sz w:val="21"/>
                <w:szCs w:val="21"/>
                <w:lang w:eastAsia="zh-CN"/>
              </w:rPr>
            </w:pPr>
            <w:r>
              <w:rPr>
                <w:rFonts w:hint="eastAsia" w:hAnsi="Times New Roman" w:eastAsia="宋体"/>
                <w:kern w:val="2"/>
                <w:sz w:val="21"/>
                <w:szCs w:val="21"/>
                <w:lang w:eastAsia="zh-CN"/>
              </w:rPr>
              <w:t>22033.59</w:t>
            </w:r>
          </w:p>
        </w:tc>
        <w:tc>
          <w:tcPr>
            <w:tcW w:w="891" w:type="pct"/>
            <w:tcBorders>
              <w:top w:val="single" w:color="auto" w:sz="4" w:space="0"/>
              <w:left w:val="single" w:color="auto" w:sz="4" w:space="0"/>
              <w:bottom w:val="single" w:color="auto" w:sz="4" w:space="0"/>
              <w:right w:val="single" w:color="auto" w:sz="4" w:space="0"/>
            </w:tcBorders>
            <w:vAlign w:val="center"/>
          </w:tcPr>
          <w:p>
            <w:pPr>
              <w:pStyle w:val="44"/>
              <w:keepNext w:val="0"/>
              <w:keepLines w:val="0"/>
              <w:suppressLineNumbers w:val="0"/>
              <w:kinsoku w:val="0"/>
              <w:overflowPunct w:val="0"/>
              <w:spacing w:before="42"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w:t>
            </w:r>
          </w:p>
        </w:tc>
        <w:tc>
          <w:tcPr>
            <w:tcW w:w="1005" w:type="pct"/>
            <w:tcBorders>
              <w:top w:val="single" w:color="auto" w:sz="4" w:space="0"/>
              <w:left w:val="single" w:color="auto" w:sz="4" w:space="0"/>
              <w:bottom w:val="single" w:color="auto" w:sz="4" w:space="0"/>
              <w:right w:val="single" w:color="auto" w:sz="4" w:space="0"/>
            </w:tcBorders>
            <w:vAlign w:val="center"/>
          </w:tcPr>
          <w:p>
            <w:pPr>
              <w:pStyle w:val="44"/>
              <w:keepNext w:val="0"/>
              <w:keepLines w:val="0"/>
              <w:suppressLineNumbers w:val="0"/>
              <w:kinsoku w:val="0"/>
              <w:overflowPunct w:val="0"/>
              <w:spacing w:before="35" w:beforeAutospacing="0" w:after="0" w:afterAutospacing="0"/>
              <w:ind w:left="0" w:right="1"/>
              <w:jc w:val="center"/>
              <w:rPr>
                <w:rFonts w:hint="eastAsia" w:hAnsi="Times New Roman" w:eastAsia="宋体"/>
                <w:kern w:val="2"/>
                <w:sz w:val="21"/>
                <w:szCs w:val="21"/>
                <w:lang w:eastAsia="zh-CN"/>
              </w:rPr>
            </w:pPr>
            <w:r>
              <w:rPr>
                <w:rFonts w:hint="eastAsia" w:hAnsi="Times New Roman" w:eastAsia="宋体"/>
                <w:kern w:val="2"/>
                <w:sz w:val="21"/>
                <w:szCs w:val="21"/>
                <w:lang w:eastAsia="zh-CN"/>
              </w:rPr>
              <w:t>22033.59</w:t>
            </w:r>
          </w:p>
        </w:tc>
      </w:tr>
      <w:tr>
        <w:tblPrEx>
          <w:tblCellMar>
            <w:top w:w="0" w:type="dxa"/>
            <w:left w:w="108" w:type="dxa"/>
            <w:bottom w:w="0" w:type="dxa"/>
            <w:right w:w="108" w:type="dxa"/>
          </w:tblCellMar>
        </w:tblPrEx>
        <w:trPr>
          <w:trHeight w:val="20" w:hRule="atLeast"/>
          <w:jc w:val="center"/>
        </w:trPr>
        <w:tc>
          <w:tcPr>
            <w:tcW w:w="460" w:type="pct"/>
            <w:tcBorders>
              <w:top w:val="single" w:color="auto" w:sz="4" w:space="0"/>
              <w:left w:val="single" w:color="auto" w:sz="4" w:space="0"/>
              <w:bottom w:val="single" w:color="auto" w:sz="4" w:space="0"/>
              <w:right w:val="single" w:color="auto" w:sz="4" w:space="0"/>
            </w:tcBorders>
            <w:vAlign w:val="center"/>
          </w:tcPr>
          <w:p>
            <w:pPr>
              <w:pStyle w:val="44"/>
              <w:keepNext w:val="0"/>
              <w:keepLines w:val="0"/>
              <w:suppressLineNumbers w:val="0"/>
              <w:kinsoku w:val="0"/>
              <w:overflowPunct w:val="0"/>
              <w:spacing w:before="35" w:beforeAutospacing="0" w:after="0" w:afterAutospacing="0"/>
              <w:ind w:left="0" w:right="1"/>
              <w:jc w:val="center"/>
              <w:rPr>
                <w:rFonts w:hint="eastAsia" w:hAnsi="Times New Roman" w:eastAsia="宋体"/>
                <w:kern w:val="2"/>
                <w:sz w:val="21"/>
                <w:szCs w:val="21"/>
                <w:lang w:eastAsia="zh-CN"/>
              </w:rPr>
            </w:pPr>
            <w:r>
              <w:rPr>
                <w:rFonts w:hint="eastAsia" w:hAnsi="Times New Roman" w:eastAsia="宋体"/>
                <w:kern w:val="2"/>
                <w:sz w:val="21"/>
                <w:szCs w:val="21"/>
                <w:lang w:eastAsia="zh-CN"/>
              </w:rPr>
              <w:t>2</w:t>
            </w:r>
          </w:p>
        </w:tc>
        <w:tc>
          <w:tcPr>
            <w:tcW w:w="757" w:type="pct"/>
            <w:tcBorders>
              <w:top w:val="single" w:color="auto" w:sz="4" w:space="0"/>
              <w:left w:val="single" w:color="auto" w:sz="4" w:space="0"/>
              <w:bottom w:val="single" w:color="auto" w:sz="4" w:space="0"/>
              <w:right w:val="single" w:color="auto" w:sz="4" w:space="0"/>
            </w:tcBorders>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kern w:val="2"/>
                <w:sz w:val="21"/>
                <w:szCs w:val="21"/>
                <w:lang w:eastAsia="zh-CN"/>
              </w:rPr>
            </w:pPr>
            <w:r>
              <w:rPr>
                <w:rFonts w:hint="eastAsia" w:hAnsi="Times New Roman" w:eastAsia="宋体" w:cs="Times New Roman"/>
                <w:kern w:val="2"/>
                <w:sz w:val="21"/>
                <w:szCs w:val="21"/>
                <w:lang w:eastAsia="zh-CN"/>
              </w:rPr>
              <w:t>BOD</w:t>
            </w:r>
            <w:r>
              <w:rPr>
                <w:rFonts w:hint="eastAsia" w:hAnsi="Times New Roman" w:eastAsia="宋体" w:cs="Times New Roman"/>
                <w:kern w:val="2"/>
                <w:sz w:val="21"/>
                <w:szCs w:val="21"/>
                <w:vertAlign w:val="subscript"/>
                <w:lang w:eastAsia="zh-CN"/>
              </w:rPr>
              <w:t>5</w:t>
            </w:r>
          </w:p>
        </w:tc>
        <w:tc>
          <w:tcPr>
            <w:tcW w:w="1009" w:type="pct"/>
            <w:tcBorders>
              <w:top w:val="single" w:color="auto" w:sz="4" w:space="0"/>
              <w:left w:val="single" w:color="auto" w:sz="4" w:space="0"/>
              <w:bottom w:val="single" w:color="auto" w:sz="4" w:space="0"/>
              <w:right w:val="single" w:color="auto" w:sz="4" w:space="0"/>
            </w:tcBorders>
            <w:vAlign w:val="center"/>
          </w:tcPr>
          <w:p>
            <w:pPr>
              <w:pStyle w:val="44"/>
              <w:keepNext w:val="0"/>
              <w:keepLines w:val="0"/>
              <w:suppressLineNumbers w:val="0"/>
              <w:kinsoku w:val="0"/>
              <w:overflowPunct w:val="0"/>
              <w:spacing w:before="35" w:beforeAutospacing="0" w:after="0" w:afterAutospacing="0"/>
              <w:ind w:left="0" w:right="1"/>
              <w:jc w:val="center"/>
              <w:rPr>
                <w:rFonts w:hint="eastAsia" w:hAnsi="Times New Roman" w:eastAsia="宋体"/>
                <w:kern w:val="2"/>
                <w:sz w:val="21"/>
                <w:szCs w:val="21"/>
                <w:lang w:eastAsia="zh-CN"/>
              </w:rPr>
            </w:pPr>
            <w:r>
              <w:rPr>
                <w:rFonts w:hint="eastAsia" w:hAnsi="Times New Roman" w:eastAsia="宋体"/>
                <w:kern w:val="2"/>
                <w:sz w:val="21"/>
                <w:szCs w:val="21"/>
                <w:lang w:eastAsia="zh-CN"/>
              </w:rPr>
              <w:t>4</w:t>
            </w:r>
          </w:p>
        </w:tc>
        <w:tc>
          <w:tcPr>
            <w:tcW w:w="878" w:type="pct"/>
            <w:tcBorders>
              <w:top w:val="single" w:color="auto" w:sz="4" w:space="0"/>
              <w:left w:val="single" w:color="auto" w:sz="4" w:space="0"/>
              <w:bottom w:val="single" w:color="auto" w:sz="4" w:space="0"/>
              <w:right w:val="single" w:color="auto" w:sz="4" w:space="0"/>
            </w:tcBorders>
            <w:vAlign w:val="center"/>
          </w:tcPr>
          <w:p>
            <w:pPr>
              <w:pStyle w:val="44"/>
              <w:keepNext w:val="0"/>
              <w:keepLines w:val="0"/>
              <w:suppressLineNumbers w:val="0"/>
              <w:kinsoku w:val="0"/>
              <w:overflowPunct w:val="0"/>
              <w:spacing w:before="35" w:beforeAutospacing="0" w:after="0" w:afterAutospacing="0"/>
              <w:ind w:left="0" w:right="1"/>
              <w:jc w:val="center"/>
              <w:rPr>
                <w:rFonts w:hint="eastAsia" w:hAnsi="Times New Roman" w:eastAsia="宋体"/>
                <w:kern w:val="2"/>
                <w:sz w:val="21"/>
                <w:szCs w:val="21"/>
                <w:lang w:eastAsia="zh-CN"/>
              </w:rPr>
            </w:pPr>
            <w:r>
              <w:rPr>
                <w:rFonts w:hint="eastAsia" w:hAnsi="Times New Roman" w:eastAsia="宋体"/>
                <w:kern w:val="2"/>
                <w:sz w:val="21"/>
                <w:szCs w:val="21"/>
                <w:lang w:eastAsia="zh-CN"/>
              </w:rPr>
              <w:t>4406.72</w:t>
            </w:r>
          </w:p>
        </w:tc>
        <w:tc>
          <w:tcPr>
            <w:tcW w:w="891" w:type="pct"/>
            <w:tcBorders>
              <w:top w:val="single" w:color="auto" w:sz="4" w:space="0"/>
              <w:left w:val="single" w:color="auto" w:sz="4" w:space="0"/>
              <w:bottom w:val="single" w:color="auto" w:sz="4" w:space="0"/>
              <w:right w:val="single" w:color="auto" w:sz="4" w:space="0"/>
            </w:tcBorders>
            <w:vAlign w:val="center"/>
          </w:tcPr>
          <w:p>
            <w:pPr>
              <w:pStyle w:val="44"/>
              <w:keepNext w:val="0"/>
              <w:keepLines w:val="0"/>
              <w:suppressLineNumbers w:val="0"/>
              <w:kinsoku w:val="0"/>
              <w:overflowPunct w:val="0"/>
              <w:spacing w:before="42"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0.5</w:t>
            </w:r>
          </w:p>
        </w:tc>
        <w:tc>
          <w:tcPr>
            <w:tcW w:w="1005" w:type="pct"/>
            <w:tcBorders>
              <w:top w:val="single" w:color="auto" w:sz="4" w:space="0"/>
              <w:left w:val="single" w:color="auto" w:sz="4" w:space="0"/>
              <w:bottom w:val="single" w:color="auto" w:sz="4" w:space="0"/>
              <w:right w:val="single" w:color="auto" w:sz="4" w:space="0"/>
            </w:tcBorders>
            <w:vAlign w:val="center"/>
          </w:tcPr>
          <w:p>
            <w:pPr>
              <w:pStyle w:val="44"/>
              <w:keepNext w:val="0"/>
              <w:keepLines w:val="0"/>
              <w:suppressLineNumbers w:val="0"/>
              <w:kinsoku w:val="0"/>
              <w:overflowPunct w:val="0"/>
              <w:spacing w:before="35" w:beforeAutospacing="0" w:after="0" w:afterAutospacing="0"/>
              <w:ind w:left="0" w:right="1"/>
              <w:jc w:val="center"/>
              <w:rPr>
                <w:rFonts w:hint="eastAsia" w:hAnsi="Times New Roman" w:eastAsia="宋体"/>
                <w:kern w:val="2"/>
                <w:sz w:val="21"/>
                <w:szCs w:val="21"/>
                <w:lang w:eastAsia="zh-CN"/>
              </w:rPr>
            </w:pPr>
            <w:r>
              <w:rPr>
                <w:rFonts w:hint="eastAsia" w:hAnsi="Times New Roman" w:eastAsia="宋体"/>
                <w:kern w:val="2"/>
                <w:sz w:val="21"/>
                <w:szCs w:val="21"/>
                <w:lang w:eastAsia="zh-CN"/>
              </w:rPr>
              <w:t>8813.44</w:t>
            </w:r>
          </w:p>
        </w:tc>
      </w:tr>
      <w:tr>
        <w:tblPrEx>
          <w:tblCellMar>
            <w:top w:w="0" w:type="dxa"/>
            <w:left w:w="108" w:type="dxa"/>
            <w:bottom w:w="0" w:type="dxa"/>
            <w:right w:w="108" w:type="dxa"/>
          </w:tblCellMar>
        </w:tblPrEx>
        <w:trPr>
          <w:trHeight w:val="20" w:hRule="atLeast"/>
          <w:jc w:val="center"/>
        </w:trPr>
        <w:tc>
          <w:tcPr>
            <w:tcW w:w="460" w:type="pct"/>
            <w:tcBorders>
              <w:top w:val="single" w:color="auto" w:sz="4" w:space="0"/>
              <w:left w:val="single" w:color="auto" w:sz="4" w:space="0"/>
              <w:bottom w:val="single" w:color="auto" w:sz="4" w:space="0"/>
              <w:right w:val="single" w:color="auto" w:sz="4" w:space="0"/>
            </w:tcBorders>
            <w:vAlign w:val="center"/>
          </w:tcPr>
          <w:p>
            <w:pPr>
              <w:pStyle w:val="44"/>
              <w:keepNext w:val="0"/>
              <w:keepLines w:val="0"/>
              <w:suppressLineNumbers w:val="0"/>
              <w:kinsoku w:val="0"/>
              <w:overflowPunct w:val="0"/>
              <w:spacing w:before="35" w:beforeAutospacing="0" w:after="0" w:afterAutospacing="0"/>
              <w:ind w:left="0" w:right="1"/>
              <w:jc w:val="center"/>
              <w:rPr>
                <w:rFonts w:hint="eastAsia" w:hAnsi="Times New Roman" w:eastAsia="宋体"/>
                <w:kern w:val="2"/>
                <w:sz w:val="21"/>
                <w:szCs w:val="21"/>
                <w:lang w:eastAsia="zh-CN"/>
              </w:rPr>
            </w:pPr>
            <w:r>
              <w:rPr>
                <w:rFonts w:hint="eastAsia" w:hAnsi="Times New Roman" w:eastAsia="宋体"/>
                <w:kern w:val="2"/>
                <w:sz w:val="21"/>
                <w:szCs w:val="21"/>
                <w:lang w:eastAsia="zh-CN"/>
              </w:rPr>
              <w:t>3</w:t>
            </w:r>
          </w:p>
        </w:tc>
        <w:tc>
          <w:tcPr>
            <w:tcW w:w="757" w:type="pct"/>
            <w:tcBorders>
              <w:top w:val="single" w:color="auto" w:sz="4" w:space="0"/>
              <w:left w:val="single" w:color="auto" w:sz="4" w:space="0"/>
              <w:bottom w:val="single" w:color="auto" w:sz="4" w:space="0"/>
              <w:right w:val="single" w:color="auto" w:sz="4" w:space="0"/>
            </w:tcBorders>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kern w:val="2"/>
                <w:sz w:val="21"/>
                <w:szCs w:val="21"/>
                <w:lang w:eastAsia="zh-CN"/>
              </w:rPr>
            </w:pPr>
            <w:r>
              <w:rPr>
                <w:rFonts w:hint="eastAsia" w:hAnsi="Times New Roman" w:eastAsia="宋体" w:cs="Times New Roman"/>
                <w:kern w:val="2"/>
                <w:sz w:val="21"/>
                <w:szCs w:val="21"/>
                <w:lang w:eastAsia="zh-CN"/>
              </w:rPr>
              <w:t>NH</w:t>
            </w:r>
            <w:r>
              <w:rPr>
                <w:rFonts w:hint="eastAsia" w:hAnsi="Times New Roman" w:eastAsia="宋体" w:cs="Times New Roman"/>
                <w:kern w:val="2"/>
                <w:sz w:val="21"/>
                <w:szCs w:val="21"/>
                <w:vertAlign w:val="subscript"/>
                <w:lang w:eastAsia="zh-CN"/>
              </w:rPr>
              <w:t>3</w:t>
            </w:r>
            <w:r>
              <w:rPr>
                <w:rFonts w:hint="eastAsia" w:hAnsi="Times New Roman" w:eastAsia="宋体" w:cs="Times New Roman"/>
                <w:kern w:val="2"/>
                <w:sz w:val="21"/>
                <w:szCs w:val="21"/>
                <w:lang w:eastAsia="zh-CN"/>
              </w:rPr>
              <w:t>-N</w:t>
            </w:r>
          </w:p>
        </w:tc>
        <w:tc>
          <w:tcPr>
            <w:tcW w:w="1009" w:type="pct"/>
            <w:tcBorders>
              <w:top w:val="single" w:color="auto" w:sz="4" w:space="0"/>
              <w:left w:val="single" w:color="auto" w:sz="4" w:space="0"/>
              <w:bottom w:val="single" w:color="auto" w:sz="4" w:space="0"/>
              <w:right w:val="single" w:color="auto" w:sz="4" w:space="0"/>
            </w:tcBorders>
            <w:vAlign w:val="center"/>
          </w:tcPr>
          <w:p>
            <w:pPr>
              <w:pStyle w:val="44"/>
              <w:keepNext w:val="0"/>
              <w:keepLines w:val="0"/>
              <w:suppressLineNumbers w:val="0"/>
              <w:kinsoku w:val="0"/>
              <w:overflowPunct w:val="0"/>
              <w:spacing w:before="35" w:beforeAutospacing="0" w:after="0" w:afterAutospacing="0"/>
              <w:ind w:left="0" w:right="1"/>
              <w:jc w:val="center"/>
              <w:rPr>
                <w:rFonts w:hint="eastAsia" w:hAnsi="Times New Roman" w:eastAsia="宋体"/>
                <w:kern w:val="2"/>
                <w:sz w:val="21"/>
                <w:szCs w:val="21"/>
                <w:lang w:eastAsia="zh-CN"/>
              </w:rPr>
            </w:pPr>
            <w:r>
              <w:rPr>
                <w:rFonts w:hint="eastAsia" w:hAnsi="Times New Roman" w:eastAsia="宋体"/>
                <w:kern w:val="2"/>
                <w:sz w:val="21"/>
                <w:szCs w:val="21"/>
                <w:lang w:eastAsia="zh-CN"/>
              </w:rPr>
              <w:t>1</w:t>
            </w:r>
          </w:p>
        </w:tc>
        <w:tc>
          <w:tcPr>
            <w:tcW w:w="878" w:type="pct"/>
            <w:tcBorders>
              <w:top w:val="single" w:color="auto" w:sz="4" w:space="0"/>
              <w:left w:val="single" w:color="auto" w:sz="4" w:space="0"/>
              <w:bottom w:val="single" w:color="auto" w:sz="4" w:space="0"/>
              <w:right w:val="single" w:color="auto" w:sz="4" w:space="0"/>
            </w:tcBorders>
            <w:vAlign w:val="center"/>
          </w:tcPr>
          <w:p>
            <w:pPr>
              <w:pStyle w:val="44"/>
              <w:keepNext w:val="0"/>
              <w:keepLines w:val="0"/>
              <w:suppressLineNumbers w:val="0"/>
              <w:kinsoku w:val="0"/>
              <w:overflowPunct w:val="0"/>
              <w:spacing w:before="35" w:beforeAutospacing="0" w:after="0" w:afterAutospacing="0"/>
              <w:ind w:left="0" w:right="1"/>
              <w:jc w:val="center"/>
              <w:rPr>
                <w:rFonts w:hint="eastAsia" w:hAnsi="Times New Roman" w:eastAsia="宋体"/>
                <w:kern w:val="2"/>
                <w:sz w:val="21"/>
                <w:szCs w:val="21"/>
                <w:lang w:eastAsia="zh-CN"/>
              </w:rPr>
            </w:pPr>
            <w:r>
              <w:rPr>
                <w:rFonts w:hint="eastAsia" w:hAnsi="Times New Roman" w:eastAsia="宋体"/>
                <w:kern w:val="2"/>
                <w:sz w:val="21"/>
                <w:szCs w:val="21"/>
                <w:lang w:eastAsia="zh-CN"/>
              </w:rPr>
              <w:t>1101.68</w:t>
            </w:r>
          </w:p>
        </w:tc>
        <w:tc>
          <w:tcPr>
            <w:tcW w:w="891" w:type="pct"/>
            <w:tcBorders>
              <w:top w:val="single" w:color="auto" w:sz="4" w:space="0"/>
              <w:left w:val="single" w:color="auto" w:sz="4" w:space="0"/>
              <w:bottom w:val="single" w:color="auto" w:sz="4" w:space="0"/>
              <w:right w:val="single" w:color="auto" w:sz="4" w:space="0"/>
            </w:tcBorders>
            <w:vAlign w:val="center"/>
          </w:tcPr>
          <w:p>
            <w:pPr>
              <w:pStyle w:val="44"/>
              <w:keepNext w:val="0"/>
              <w:keepLines w:val="0"/>
              <w:suppressLineNumbers w:val="0"/>
              <w:kinsoku w:val="0"/>
              <w:overflowPunct w:val="0"/>
              <w:spacing w:before="36"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0.8</w:t>
            </w:r>
          </w:p>
        </w:tc>
        <w:tc>
          <w:tcPr>
            <w:tcW w:w="1005" w:type="pct"/>
            <w:tcBorders>
              <w:top w:val="single" w:color="auto" w:sz="4" w:space="0"/>
              <w:left w:val="single" w:color="auto" w:sz="4" w:space="0"/>
              <w:bottom w:val="single" w:color="auto" w:sz="4" w:space="0"/>
              <w:right w:val="single" w:color="auto" w:sz="4" w:space="0"/>
            </w:tcBorders>
            <w:vAlign w:val="center"/>
          </w:tcPr>
          <w:p>
            <w:pPr>
              <w:pStyle w:val="44"/>
              <w:keepNext w:val="0"/>
              <w:keepLines w:val="0"/>
              <w:suppressLineNumbers w:val="0"/>
              <w:kinsoku w:val="0"/>
              <w:overflowPunct w:val="0"/>
              <w:spacing w:before="35" w:beforeAutospacing="0" w:after="0" w:afterAutospacing="0"/>
              <w:ind w:left="0" w:right="1"/>
              <w:jc w:val="center"/>
              <w:rPr>
                <w:rFonts w:hint="eastAsia" w:hAnsi="Times New Roman" w:eastAsia="宋体"/>
                <w:kern w:val="2"/>
                <w:sz w:val="21"/>
                <w:szCs w:val="21"/>
                <w:lang w:eastAsia="zh-CN"/>
              </w:rPr>
            </w:pPr>
            <w:r>
              <w:rPr>
                <w:rFonts w:hint="eastAsia" w:hAnsi="Times New Roman" w:eastAsia="宋体"/>
                <w:kern w:val="2"/>
                <w:sz w:val="21"/>
                <w:szCs w:val="21"/>
                <w:lang w:eastAsia="zh-CN"/>
              </w:rPr>
              <w:t>1377.1</w:t>
            </w:r>
          </w:p>
        </w:tc>
      </w:tr>
      <w:tr>
        <w:tblPrEx>
          <w:tblCellMar>
            <w:top w:w="0" w:type="dxa"/>
            <w:left w:w="108" w:type="dxa"/>
            <w:bottom w:w="0" w:type="dxa"/>
            <w:right w:w="108" w:type="dxa"/>
          </w:tblCellMar>
        </w:tblPrEx>
        <w:trPr>
          <w:trHeight w:val="20" w:hRule="atLeast"/>
          <w:jc w:val="center"/>
        </w:trPr>
        <w:tc>
          <w:tcPr>
            <w:tcW w:w="460" w:type="pct"/>
            <w:tcBorders>
              <w:top w:val="single" w:color="auto" w:sz="4" w:space="0"/>
              <w:left w:val="single" w:color="auto" w:sz="4" w:space="0"/>
              <w:bottom w:val="single" w:color="auto" w:sz="4" w:space="0"/>
              <w:right w:val="single" w:color="auto" w:sz="4" w:space="0"/>
            </w:tcBorders>
            <w:vAlign w:val="center"/>
          </w:tcPr>
          <w:p>
            <w:pPr>
              <w:pStyle w:val="44"/>
              <w:keepNext w:val="0"/>
              <w:keepLines w:val="0"/>
              <w:suppressLineNumbers w:val="0"/>
              <w:kinsoku w:val="0"/>
              <w:overflowPunct w:val="0"/>
              <w:spacing w:before="35" w:beforeAutospacing="0" w:after="0" w:afterAutospacing="0"/>
              <w:ind w:left="0" w:right="1"/>
              <w:jc w:val="center"/>
              <w:rPr>
                <w:rFonts w:hint="eastAsia" w:hAnsi="Times New Roman" w:eastAsia="宋体"/>
                <w:kern w:val="2"/>
                <w:sz w:val="21"/>
                <w:szCs w:val="21"/>
                <w:lang w:eastAsia="zh-CN"/>
              </w:rPr>
            </w:pPr>
            <w:r>
              <w:rPr>
                <w:rFonts w:hint="eastAsia" w:hAnsi="Times New Roman" w:eastAsia="宋体"/>
                <w:kern w:val="2"/>
                <w:sz w:val="21"/>
                <w:szCs w:val="21"/>
                <w:lang w:eastAsia="zh-CN"/>
              </w:rPr>
              <w:t>4</w:t>
            </w:r>
          </w:p>
        </w:tc>
        <w:tc>
          <w:tcPr>
            <w:tcW w:w="757" w:type="pct"/>
            <w:tcBorders>
              <w:top w:val="single" w:color="auto" w:sz="4" w:space="0"/>
              <w:left w:val="single" w:color="auto" w:sz="4" w:space="0"/>
              <w:bottom w:val="single" w:color="auto" w:sz="4" w:space="0"/>
              <w:right w:val="single" w:color="auto" w:sz="4" w:space="0"/>
            </w:tcBorders>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kern w:val="2"/>
                <w:sz w:val="21"/>
                <w:szCs w:val="21"/>
                <w:lang w:eastAsia="zh-CN"/>
              </w:rPr>
            </w:pPr>
            <w:r>
              <w:rPr>
                <w:rFonts w:hint="eastAsia" w:hAnsi="Times New Roman" w:eastAsia="宋体" w:cs="Times New Roman"/>
                <w:kern w:val="2"/>
                <w:sz w:val="21"/>
                <w:szCs w:val="21"/>
                <w:lang w:eastAsia="zh-CN"/>
              </w:rPr>
              <w:t>总磷</w:t>
            </w:r>
          </w:p>
        </w:tc>
        <w:tc>
          <w:tcPr>
            <w:tcW w:w="1009" w:type="pct"/>
            <w:tcBorders>
              <w:top w:val="single" w:color="auto" w:sz="4" w:space="0"/>
              <w:left w:val="single" w:color="auto" w:sz="4" w:space="0"/>
              <w:bottom w:val="single" w:color="auto" w:sz="4" w:space="0"/>
              <w:right w:val="single" w:color="auto" w:sz="4" w:space="0"/>
            </w:tcBorders>
            <w:vAlign w:val="center"/>
          </w:tcPr>
          <w:p>
            <w:pPr>
              <w:pStyle w:val="44"/>
              <w:keepNext w:val="0"/>
              <w:keepLines w:val="0"/>
              <w:suppressLineNumbers w:val="0"/>
              <w:kinsoku w:val="0"/>
              <w:overflowPunct w:val="0"/>
              <w:spacing w:before="35" w:beforeAutospacing="0" w:after="0" w:afterAutospacing="0"/>
              <w:ind w:left="0" w:right="1"/>
              <w:jc w:val="center"/>
              <w:rPr>
                <w:rFonts w:hint="eastAsia" w:hAnsi="Times New Roman" w:eastAsia="宋体"/>
                <w:kern w:val="2"/>
                <w:sz w:val="21"/>
                <w:szCs w:val="21"/>
                <w:lang w:eastAsia="zh-CN"/>
              </w:rPr>
            </w:pPr>
            <w:r>
              <w:rPr>
                <w:rFonts w:hint="eastAsia" w:hAnsi="Times New Roman" w:eastAsia="宋体"/>
                <w:kern w:val="2"/>
                <w:sz w:val="21"/>
                <w:szCs w:val="21"/>
                <w:lang w:eastAsia="zh-CN"/>
              </w:rPr>
              <w:t>0.2</w:t>
            </w:r>
          </w:p>
        </w:tc>
        <w:tc>
          <w:tcPr>
            <w:tcW w:w="878" w:type="pct"/>
            <w:tcBorders>
              <w:top w:val="single" w:color="auto" w:sz="4" w:space="0"/>
              <w:left w:val="single" w:color="auto" w:sz="4" w:space="0"/>
              <w:bottom w:val="single" w:color="auto" w:sz="4" w:space="0"/>
              <w:right w:val="single" w:color="auto" w:sz="4" w:space="0"/>
            </w:tcBorders>
            <w:vAlign w:val="center"/>
          </w:tcPr>
          <w:p>
            <w:pPr>
              <w:pStyle w:val="44"/>
              <w:keepNext w:val="0"/>
              <w:keepLines w:val="0"/>
              <w:suppressLineNumbers w:val="0"/>
              <w:kinsoku w:val="0"/>
              <w:overflowPunct w:val="0"/>
              <w:spacing w:before="35" w:beforeAutospacing="0" w:after="0" w:afterAutospacing="0"/>
              <w:ind w:left="0" w:right="1"/>
              <w:jc w:val="center"/>
              <w:rPr>
                <w:rFonts w:hint="eastAsia" w:hAnsi="Times New Roman" w:eastAsia="宋体"/>
                <w:kern w:val="2"/>
                <w:sz w:val="21"/>
                <w:szCs w:val="21"/>
                <w:lang w:eastAsia="zh-CN"/>
              </w:rPr>
            </w:pPr>
            <w:r>
              <w:rPr>
                <w:rFonts w:hint="eastAsia" w:hAnsi="Times New Roman" w:eastAsia="宋体"/>
                <w:kern w:val="2"/>
                <w:sz w:val="21"/>
                <w:szCs w:val="21"/>
                <w:lang w:eastAsia="zh-CN"/>
              </w:rPr>
              <w:t>220.34</w:t>
            </w:r>
          </w:p>
        </w:tc>
        <w:tc>
          <w:tcPr>
            <w:tcW w:w="891" w:type="pct"/>
            <w:tcBorders>
              <w:top w:val="single" w:color="auto" w:sz="4" w:space="0"/>
              <w:left w:val="single" w:color="auto" w:sz="4" w:space="0"/>
              <w:bottom w:val="single" w:color="auto" w:sz="4" w:space="0"/>
              <w:right w:val="single" w:color="auto" w:sz="4" w:space="0"/>
            </w:tcBorders>
            <w:vAlign w:val="center"/>
          </w:tcPr>
          <w:p>
            <w:pPr>
              <w:pStyle w:val="44"/>
              <w:keepNext w:val="0"/>
              <w:keepLines w:val="0"/>
              <w:suppressLineNumbers w:val="0"/>
              <w:kinsoku w:val="0"/>
              <w:overflowPunct w:val="0"/>
              <w:spacing w:before="35"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0.25</w:t>
            </w:r>
          </w:p>
        </w:tc>
        <w:tc>
          <w:tcPr>
            <w:tcW w:w="1005" w:type="pct"/>
            <w:tcBorders>
              <w:top w:val="single" w:color="auto" w:sz="4" w:space="0"/>
              <w:left w:val="single" w:color="auto" w:sz="4" w:space="0"/>
              <w:bottom w:val="single" w:color="auto" w:sz="4" w:space="0"/>
              <w:right w:val="single" w:color="auto" w:sz="4" w:space="0"/>
            </w:tcBorders>
            <w:vAlign w:val="center"/>
          </w:tcPr>
          <w:p>
            <w:pPr>
              <w:pStyle w:val="44"/>
              <w:keepNext w:val="0"/>
              <w:keepLines w:val="0"/>
              <w:suppressLineNumbers w:val="0"/>
              <w:kinsoku w:val="0"/>
              <w:overflowPunct w:val="0"/>
              <w:spacing w:before="35" w:beforeAutospacing="0" w:after="0" w:afterAutospacing="0"/>
              <w:ind w:left="0" w:right="1"/>
              <w:jc w:val="center"/>
              <w:rPr>
                <w:rFonts w:hint="eastAsia" w:hAnsi="Times New Roman" w:eastAsia="宋体"/>
                <w:kern w:val="2"/>
                <w:sz w:val="21"/>
                <w:szCs w:val="21"/>
                <w:lang w:eastAsia="zh-CN"/>
              </w:rPr>
            </w:pPr>
            <w:r>
              <w:rPr>
                <w:rFonts w:hint="eastAsia" w:hAnsi="Times New Roman" w:eastAsia="宋体"/>
                <w:kern w:val="2"/>
                <w:sz w:val="21"/>
                <w:szCs w:val="21"/>
                <w:lang w:eastAsia="zh-CN"/>
              </w:rPr>
              <w:t>881.34</w:t>
            </w:r>
          </w:p>
        </w:tc>
      </w:tr>
      <w:tr>
        <w:tblPrEx>
          <w:tblCellMar>
            <w:top w:w="0" w:type="dxa"/>
            <w:left w:w="108" w:type="dxa"/>
            <w:bottom w:w="0" w:type="dxa"/>
            <w:right w:w="108" w:type="dxa"/>
          </w:tblCellMar>
        </w:tblPrEx>
        <w:trPr>
          <w:trHeight w:val="20" w:hRule="atLeast"/>
          <w:jc w:val="center"/>
        </w:trPr>
        <w:tc>
          <w:tcPr>
            <w:tcW w:w="460" w:type="pct"/>
            <w:tcBorders>
              <w:top w:val="single" w:color="auto" w:sz="4" w:space="0"/>
              <w:left w:val="single" w:color="auto" w:sz="4" w:space="0"/>
              <w:bottom w:val="single" w:color="auto" w:sz="4" w:space="0"/>
              <w:right w:val="single" w:color="auto" w:sz="4" w:space="0"/>
            </w:tcBorders>
            <w:vAlign w:val="center"/>
          </w:tcPr>
          <w:p>
            <w:pPr>
              <w:pStyle w:val="44"/>
              <w:keepNext w:val="0"/>
              <w:keepLines w:val="0"/>
              <w:suppressLineNumbers w:val="0"/>
              <w:kinsoku w:val="0"/>
              <w:overflowPunct w:val="0"/>
              <w:spacing w:before="35" w:beforeAutospacing="0" w:after="0" w:afterAutospacing="0"/>
              <w:ind w:left="0" w:right="1"/>
              <w:jc w:val="center"/>
              <w:rPr>
                <w:rFonts w:hint="eastAsia" w:hAnsi="Times New Roman" w:eastAsia="宋体"/>
                <w:kern w:val="2"/>
                <w:sz w:val="21"/>
                <w:szCs w:val="21"/>
                <w:lang w:eastAsia="zh-CN"/>
              </w:rPr>
            </w:pPr>
            <w:r>
              <w:rPr>
                <w:rFonts w:hint="eastAsia" w:hAnsi="Times New Roman" w:eastAsia="宋体"/>
                <w:kern w:val="2"/>
                <w:sz w:val="21"/>
                <w:szCs w:val="21"/>
                <w:lang w:eastAsia="zh-CN"/>
              </w:rPr>
              <w:t>5</w:t>
            </w:r>
          </w:p>
        </w:tc>
        <w:tc>
          <w:tcPr>
            <w:tcW w:w="757" w:type="pct"/>
            <w:tcBorders>
              <w:top w:val="single" w:color="auto" w:sz="4" w:space="0"/>
              <w:left w:val="single" w:color="auto" w:sz="4" w:space="0"/>
              <w:bottom w:val="single" w:color="auto" w:sz="4" w:space="0"/>
              <w:right w:val="single" w:color="auto" w:sz="4" w:space="0"/>
            </w:tcBorders>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kern w:val="2"/>
                <w:sz w:val="21"/>
                <w:szCs w:val="21"/>
                <w:lang w:eastAsia="zh-CN"/>
              </w:rPr>
            </w:pPr>
            <w:r>
              <w:rPr>
                <w:rFonts w:hint="eastAsia" w:hAnsi="Times New Roman" w:eastAsia="宋体" w:cs="Times New Roman"/>
                <w:kern w:val="2"/>
                <w:sz w:val="21"/>
                <w:szCs w:val="21"/>
                <w:lang w:eastAsia="zh-CN"/>
              </w:rPr>
              <w:t>石油类</w:t>
            </w:r>
          </w:p>
        </w:tc>
        <w:tc>
          <w:tcPr>
            <w:tcW w:w="1009" w:type="pct"/>
            <w:tcBorders>
              <w:top w:val="single" w:color="auto" w:sz="4" w:space="0"/>
              <w:left w:val="single" w:color="auto" w:sz="4" w:space="0"/>
              <w:bottom w:val="single" w:color="auto" w:sz="4" w:space="0"/>
              <w:right w:val="single" w:color="auto" w:sz="4" w:space="0"/>
            </w:tcBorders>
            <w:vAlign w:val="center"/>
          </w:tcPr>
          <w:p>
            <w:pPr>
              <w:pStyle w:val="44"/>
              <w:keepNext w:val="0"/>
              <w:keepLines w:val="0"/>
              <w:suppressLineNumbers w:val="0"/>
              <w:kinsoku w:val="0"/>
              <w:overflowPunct w:val="0"/>
              <w:spacing w:before="35" w:beforeAutospacing="0" w:after="0" w:afterAutospacing="0"/>
              <w:ind w:left="0" w:right="1"/>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0.05</w:t>
            </w:r>
          </w:p>
        </w:tc>
        <w:tc>
          <w:tcPr>
            <w:tcW w:w="878" w:type="pct"/>
            <w:tcBorders>
              <w:top w:val="single" w:color="auto" w:sz="4" w:space="0"/>
              <w:left w:val="single" w:color="auto" w:sz="4" w:space="0"/>
              <w:bottom w:val="single" w:color="auto" w:sz="4" w:space="0"/>
              <w:right w:val="single" w:color="auto" w:sz="4" w:space="0"/>
            </w:tcBorders>
            <w:vAlign w:val="center"/>
          </w:tcPr>
          <w:p>
            <w:pPr>
              <w:pStyle w:val="44"/>
              <w:keepNext w:val="0"/>
              <w:keepLines w:val="0"/>
              <w:suppressLineNumbers w:val="0"/>
              <w:kinsoku w:val="0"/>
              <w:overflowPunct w:val="0"/>
              <w:spacing w:before="35" w:beforeAutospacing="0" w:after="0" w:afterAutospacing="0"/>
              <w:ind w:left="0" w:right="1"/>
              <w:jc w:val="center"/>
              <w:rPr>
                <w:rFonts w:hint="eastAsia" w:hAnsi="Times New Roman" w:eastAsia="宋体"/>
                <w:kern w:val="2"/>
                <w:sz w:val="21"/>
                <w:szCs w:val="21"/>
                <w:lang w:eastAsia="zh-CN"/>
              </w:rPr>
            </w:pPr>
            <w:r>
              <w:rPr>
                <w:rFonts w:hint="eastAsia" w:hAnsi="Times New Roman" w:eastAsia="宋体"/>
                <w:kern w:val="2"/>
                <w:sz w:val="21"/>
                <w:szCs w:val="21"/>
                <w:lang w:eastAsia="zh-CN"/>
              </w:rPr>
              <w:t>55.08</w:t>
            </w:r>
          </w:p>
        </w:tc>
        <w:tc>
          <w:tcPr>
            <w:tcW w:w="891" w:type="pct"/>
            <w:tcBorders>
              <w:top w:val="single" w:color="auto" w:sz="4" w:space="0"/>
              <w:left w:val="single" w:color="auto" w:sz="4" w:space="0"/>
              <w:bottom w:val="single" w:color="auto" w:sz="4" w:space="0"/>
              <w:right w:val="single" w:color="auto" w:sz="4" w:space="0"/>
            </w:tcBorders>
            <w:vAlign w:val="center"/>
          </w:tcPr>
          <w:p>
            <w:pPr>
              <w:pStyle w:val="44"/>
              <w:keepNext w:val="0"/>
              <w:keepLines w:val="0"/>
              <w:suppressLineNumbers w:val="0"/>
              <w:kinsoku w:val="0"/>
              <w:overflowPunct w:val="0"/>
              <w:spacing w:before="35"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0.1</w:t>
            </w:r>
          </w:p>
        </w:tc>
        <w:tc>
          <w:tcPr>
            <w:tcW w:w="1005" w:type="pct"/>
            <w:tcBorders>
              <w:top w:val="single" w:color="auto" w:sz="4" w:space="0"/>
              <w:left w:val="single" w:color="auto" w:sz="4" w:space="0"/>
              <w:bottom w:val="single" w:color="auto" w:sz="4" w:space="0"/>
              <w:right w:val="single" w:color="auto" w:sz="4" w:space="0"/>
            </w:tcBorders>
            <w:vAlign w:val="center"/>
          </w:tcPr>
          <w:p>
            <w:pPr>
              <w:pStyle w:val="44"/>
              <w:keepNext w:val="0"/>
              <w:keepLines w:val="0"/>
              <w:suppressLineNumbers w:val="0"/>
              <w:kinsoku w:val="0"/>
              <w:overflowPunct w:val="0"/>
              <w:spacing w:before="35" w:beforeAutospacing="0" w:after="0" w:afterAutospacing="0"/>
              <w:ind w:left="0" w:right="1"/>
              <w:jc w:val="center"/>
              <w:rPr>
                <w:rFonts w:hint="eastAsia" w:hAnsi="Times New Roman" w:eastAsia="宋体"/>
                <w:kern w:val="2"/>
                <w:sz w:val="21"/>
                <w:szCs w:val="21"/>
                <w:lang w:eastAsia="zh-CN"/>
              </w:rPr>
            </w:pPr>
            <w:r>
              <w:rPr>
                <w:rFonts w:hint="eastAsia" w:hAnsi="Times New Roman" w:eastAsia="宋体"/>
                <w:kern w:val="2"/>
                <w:sz w:val="21"/>
                <w:szCs w:val="21"/>
                <w:lang w:eastAsia="zh-CN"/>
              </w:rPr>
              <w:t>550.84</w:t>
            </w:r>
          </w:p>
        </w:tc>
      </w:tr>
    </w:tbl>
    <w:p>
      <w:pPr>
        <w:spacing w:line="360" w:lineRule="auto"/>
        <w:ind w:firstLine="480" w:firstLineChars="200"/>
        <w:rPr>
          <w:rFonts w:hAnsi="Times New Roman" w:eastAsiaTheme="minorEastAsia"/>
          <w:szCs w:val="22"/>
          <w:lang w:eastAsia="zh-CN"/>
        </w:rPr>
      </w:pPr>
      <w:r>
        <w:rPr>
          <w:rFonts w:hAnsi="Times New Roman" w:eastAsiaTheme="minorEastAsia"/>
          <w:szCs w:val="22"/>
          <w:lang w:eastAsia="zh-CN"/>
        </w:rPr>
        <w:t>本项目废水最大外排量为3018.2m</w:t>
      </w:r>
      <w:r>
        <w:rPr>
          <w:rFonts w:hAnsi="Times New Roman" w:eastAsiaTheme="minorEastAsia"/>
          <w:szCs w:val="22"/>
          <w:vertAlign w:val="superscript"/>
          <w:lang w:eastAsia="zh-CN"/>
        </w:rPr>
        <w:t>3</w:t>
      </w:r>
      <w:r>
        <w:rPr>
          <w:rFonts w:hAnsi="Times New Roman" w:eastAsiaTheme="minorEastAsia"/>
          <w:szCs w:val="22"/>
          <w:lang w:eastAsia="zh-CN"/>
        </w:rPr>
        <w:t>/d，水污染物当量取最大值</w:t>
      </w:r>
      <w:r>
        <w:rPr>
          <w:rFonts w:hint="eastAsia" w:hAnsi="Times New Roman" w:eastAsiaTheme="minorEastAsia"/>
          <w:szCs w:val="22"/>
          <w:lang w:eastAsia="zh-CN"/>
        </w:rPr>
        <w:t>（W）</w:t>
      </w:r>
      <w:r>
        <w:rPr>
          <w:rFonts w:hAnsi="Times New Roman" w:eastAsiaTheme="minorEastAsia"/>
          <w:szCs w:val="22"/>
          <w:lang w:eastAsia="zh-CN"/>
        </w:rPr>
        <w:t>为化学需氧量</w:t>
      </w:r>
      <w:r>
        <w:rPr>
          <w:rFonts w:hint="eastAsia" w:hAnsi="Times New Roman" w:eastAsiaTheme="minorEastAsia"/>
          <w:szCs w:val="22"/>
          <w:lang w:eastAsia="zh-CN"/>
        </w:rPr>
        <w:t>22033.59</w:t>
      </w:r>
      <w:r>
        <w:rPr>
          <w:rFonts w:hAnsi="Times New Roman" w:eastAsiaTheme="minorEastAsia"/>
          <w:szCs w:val="22"/>
          <w:lang w:eastAsia="zh-CN"/>
        </w:rPr>
        <w:t>，因此根据表1.</w:t>
      </w:r>
      <w:r>
        <w:rPr>
          <w:rFonts w:hint="eastAsia" w:hAnsi="Times New Roman" w:eastAsiaTheme="minorEastAsia"/>
          <w:szCs w:val="22"/>
          <w:lang w:eastAsia="zh-CN"/>
        </w:rPr>
        <w:t>6-3</w:t>
      </w:r>
      <w:r>
        <w:rPr>
          <w:rFonts w:hAnsi="Times New Roman" w:eastAsiaTheme="minorEastAsia"/>
          <w:szCs w:val="22"/>
          <w:lang w:eastAsia="zh-CN"/>
        </w:rPr>
        <w:t>判定，确定本项目地表水评价等级为二级。</w:t>
      </w:r>
    </w:p>
    <w:p>
      <w:pPr>
        <w:spacing w:line="360" w:lineRule="auto"/>
        <w:rPr>
          <w:rFonts w:hAnsi="Times New Roman" w:eastAsia="宋体"/>
          <w:b/>
          <w:bCs/>
          <w:szCs w:val="22"/>
          <w:lang w:eastAsia="zh-CN"/>
        </w:rPr>
      </w:pPr>
      <w:r>
        <w:rPr>
          <w:rFonts w:hAnsi="Times New Roman" w:eastAsia="宋体"/>
          <w:b/>
          <w:bCs/>
          <w:szCs w:val="22"/>
          <w:lang w:eastAsia="zh-CN"/>
        </w:rPr>
        <w:t>1.6.1.3 地下水评价等级</w:t>
      </w:r>
    </w:p>
    <w:p>
      <w:pPr>
        <w:spacing w:line="360" w:lineRule="auto"/>
        <w:ind w:firstLine="480" w:firstLineChars="200"/>
        <w:rPr>
          <w:rFonts w:hAnsi="Times New Roman" w:eastAsia="宋体"/>
          <w:lang w:eastAsia="zh-CN"/>
        </w:rPr>
      </w:pPr>
      <w:r>
        <w:rPr>
          <w:rFonts w:hAnsi="Times New Roman" w:eastAsia="宋体"/>
          <w:lang w:eastAsia="zh-CN"/>
        </w:rPr>
        <w:t>本项目属于可能造成地下水水质污染的建设项目，根据《环境影响评价技术导则地下水环境》</w:t>
      </w:r>
      <w:r>
        <w:rPr>
          <w:rFonts w:hint="eastAsia" w:hAnsi="Times New Roman" w:eastAsia="宋体"/>
          <w:lang w:eastAsia="zh-CN"/>
        </w:rPr>
        <w:t>（</w:t>
      </w:r>
      <w:r>
        <w:rPr>
          <w:rFonts w:hAnsi="Times New Roman" w:eastAsia="宋体"/>
          <w:lang w:eastAsia="zh-CN"/>
        </w:rPr>
        <w:t>HJ610-2016</w:t>
      </w:r>
      <w:r>
        <w:rPr>
          <w:rFonts w:hint="eastAsia" w:hAnsi="Times New Roman" w:eastAsia="宋体"/>
          <w:lang w:eastAsia="zh-CN"/>
        </w:rPr>
        <w:t>）</w:t>
      </w:r>
      <w:r>
        <w:rPr>
          <w:rFonts w:hAnsi="Times New Roman" w:eastAsia="宋体"/>
          <w:lang w:eastAsia="zh-CN"/>
        </w:rPr>
        <w:t>中附录A 确定本项目所属地下水环境影响项目类别。</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表1.6-5 附录A（规范附录）地下水环境影响评价行业分类表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60"/>
        <w:gridCol w:w="1277"/>
        <w:gridCol w:w="1548"/>
        <w:gridCol w:w="3133"/>
        <w:gridCol w:w="12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6" w:type="pct"/>
            <w:vMerge w:val="restart"/>
            <w:tcBorders>
              <w:tl2br w:val="single" w:color="000000" w:sz="4" w:space="0"/>
            </w:tcBorders>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 xml:space="preserve">        环评类别</w:t>
            </w:r>
          </w:p>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p>
          <w:p>
            <w:pPr>
              <w:pStyle w:val="43"/>
              <w:keepNext w:val="0"/>
              <w:keepLines w:val="0"/>
              <w:suppressLineNumbers w:val="0"/>
              <w:spacing w:before="0" w:beforeAutospacing="0" w:after="0" w:afterAutospacing="0"/>
              <w:ind w:left="0" w:right="0"/>
              <w:jc w:val="both"/>
              <w:rPr>
                <w:rFonts w:hint="eastAsia" w:hAnsi="Times New Roman" w:eastAsia="宋体"/>
                <w:b/>
                <w:color w:val="auto"/>
                <w:kern w:val="2"/>
                <w:lang w:eastAsia="zh-CN"/>
              </w:rPr>
            </w:pPr>
            <w:r>
              <w:rPr>
                <w:rFonts w:hint="eastAsia" w:hAnsi="Times New Roman" w:eastAsia="宋体"/>
                <w:b/>
                <w:color w:val="auto"/>
                <w:kern w:val="2"/>
                <w:lang w:eastAsia="zh-CN"/>
              </w:rPr>
              <w:t>行业类别</w:t>
            </w:r>
          </w:p>
        </w:tc>
        <w:tc>
          <w:tcPr>
            <w:tcW w:w="683" w:type="pct"/>
            <w:vMerge w:val="restart"/>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报告书</w:t>
            </w:r>
          </w:p>
        </w:tc>
        <w:tc>
          <w:tcPr>
            <w:tcW w:w="828" w:type="pct"/>
            <w:vMerge w:val="restart"/>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报告表</w:t>
            </w:r>
          </w:p>
        </w:tc>
        <w:tc>
          <w:tcPr>
            <w:tcW w:w="2332" w:type="pct"/>
            <w:gridSpan w:val="2"/>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地下水环境影响评价项目类别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6" w:type="pct"/>
            <w:vMerge w:val="continue"/>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p>
        </w:tc>
        <w:tc>
          <w:tcPr>
            <w:tcW w:w="683"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p>
        </w:tc>
        <w:tc>
          <w:tcPr>
            <w:tcW w:w="828"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p>
        </w:tc>
        <w:tc>
          <w:tcPr>
            <w:tcW w:w="1676" w:type="pct"/>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报告书</w:t>
            </w:r>
          </w:p>
        </w:tc>
        <w:tc>
          <w:tcPr>
            <w:tcW w:w="656" w:type="pct"/>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报告表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6"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54、煤矿开采</w:t>
            </w:r>
          </w:p>
        </w:tc>
        <w:tc>
          <w:tcPr>
            <w:tcW w:w="68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全部</w:t>
            </w:r>
          </w:p>
        </w:tc>
        <w:tc>
          <w:tcPr>
            <w:tcW w:w="828"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其他</w:t>
            </w:r>
          </w:p>
        </w:tc>
        <w:tc>
          <w:tcPr>
            <w:tcW w:w="1676"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煤矸石转运场II 类，其余III 类</w:t>
            </w:r>
          </w:p>
        </w:tc>
        <w:tc>
          <w:tcPr>
            <w:tcW w:w="656"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w:t>
            </w:r>
          </w:p>
        </w:tc>
      </w:tr>
    </w:tbl>
    <w:p>
      <w:pPr>
        <w:spacing w:line="360" w:lineRule="auto"/>
        <w:ind w:firstLine="480" w:firstLineChars="200"/>
        <w:rPr>
          <w:rFonts w:hAnsi="Times New Roman" w:eastAsia="宋体"/>
          <w:lang w:eastAsia="zh-CN"/>
        </w:rPr>
      </w:pPr>
      <w:r>
        <w:rPr>
          <w:rFonts w:hAnsi="Times New Roman" w:eastAsia="宋体"/>
          <w:lang w:eastAsia="zh-CN"/>
        </w:rPr>
        <w:t>因此，本项目煤矿区为III 类，本项目煤矸石转运场为</w:t>
      </w:r>
      <w:r>
        <w:rPr>
          <w:rFonts w:hint="eastAsia" w:hAnsi="Times New Roman" w:eastAsia="宋体"/>
          <w:lang w:eastAsia="zh-CN"/>
        </w:rPr>
        <w:t>Ⅱ类</w:t>
      </w:r>
      <w:r>
        <w:rPr>
          <w:rFonts w:hAnsi="Times New Roman" w:eastAsia="宋体"/>
          <w:lang w:eastAsia="zh-CN"/>
        </w:rPr>
        <w:t>项目。根据《环境影响评价技术导则煤炭采选工程》（HJ619-2011</w:t>
      </w:r>
      <w:r>
        <w:rPr>
          <w:rFonts w:hint="eastAsia" w:hAnsi="Times New Roman" w:eastAsia="宋体"/>
          <w:lang w:eastAsia="zh-CN"/>
        </w:rPr>
        <w:t>）</w:t>
      </w:r>
      <w:r>
        <w:rPr>
          <w:rFonts w:hAnsi="Times New Roman" w:eastAsia="宋体"/>
          <w:lang w:eastAsia="zh-CN"/>
        </w:rPr>
        <w:t>：需考虑煤炭开采对地下水水位及水量的影响，因此本次对地下水水位和水量的影响进行分析评价。</w:t>
      </w:r>
    </w:p>
    <w:p>
      <w:pPr>
        <w:spacing w:line="360" w:lineRule="auto"/>
        <w:ind w:firstLine="480" w:firstLineChars="200"/>
        <w:rPr>
          <w:rFonts w:hAnsi="Times New Roman" w:eastAsia="宋体"/>
          <w:lang w:eastAsia="zh-CN"/>
        </w:rPr>
      </w:pPr>
      <w:r>
        <w:rPr>
          <w:rFonts w:hAnsi="Times New Roman" w:eastAsia="宋体"/>
          <w:lang w:eastAsia="zh-CN"/>
        </w:rPr>
        <w:t>根据《环境影响评价技术导则地下水环境》（HJ610-2016），地下水环境敏感程度划分见下表：</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表1.6</w:t>
      </w:r>
      <w:r>
        <w:rPr>
          <w:rFonts w:hint="eastAsia" w:hAnsi="Times New Roman" w:eastAsia="宋体"/>
          <w:b/>
          <w:bCs/>
          <w:sz w:val="21"/>
          <w:szCs w:val="21"/>
          <w:lang w:eastAsia="zh-CN"/>
        </w:rPr>
        <w:t>-</w:t>
      </w:r>
      <w:r>
        <w:rPr>
          <w:rFonts w:hAnsi="Times New Roman" w:eastAsia="宋体"/>
          <w:b/>
          <w:bCs/>
          <w:sz w:val="21"/>
          <w:szCs w:val="21"/>
          <w:lang w:eastAsia="zh-CN"/>
        </w:rPr>
        <w:t>6 地下水环境敏感程度划分表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1"/>
        <w:gridCol w:w="3568"/>
        <w:gridCol w:w="45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8" w:type="pct"/>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分级</w:t>
            </w:r>
          </w:p>
        </w:tc>
        <w:tc>
          <w:tcPr>
            <w:tcW w:w="1909" w:type="pct"/>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项目场地的地下水环境敏感程度</w:t>
            </w:r>
          </w:p>
        </w:tc>
        <w:tc>
          <w:tcPr>
            <w:tcW w:w="2443" w:type="pct"/>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本项目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8"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敏感</w:t>
            </w:r>
          </w:p>
        </w:tc>
        <w:tc>
          <w:tcPr>
            <w:tcW w:w="1909"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集中式饮用水源地（包括已建成的在用、备用、应急水源地，在建和规划的水源地）准保护区；除集中式饮用水源地以外的国家或地方政府设定的与地下水环境相关的其它保护区，如热水、矿泉水、温泉等特殊地下水资源保护区。</w:t>
            </w:r>
          </w:p>
        </w:tc>
        <w:tc>
          <w:tcPr>
            <w:tcW w:w="2443" w:type="pct"/>
            <w:vMerge w:val="restar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根据现场调查，本项目评价范围内，矿区北东侧分布有纸厂沟村（距离1220-1350m）、锁口庙村（距离2550-2300m）；东侧陈家沟村（距离1050-1100m）、保和寨村（距离785-800m）。项目主井工业场地下游1km范围内虽然有</w:t>
            </w:r>
            <w:r>
              <w:rPr>
                <w:rFonts w:hint="eastAsia" w:hAnsi="Times New Roman" w:eastAsia="宋体"/>
                <w:color w:val="auto"/>
                <w:kern w:val="2"/>
                <w:lang w:eastAsia="zh-CN"/>
              </w:rPr>
              <w:t>宣汉县天生镇王一庙（村级）集中式饮用水水源地存在，但项目</w:t>
            </w:r>
            <w:r>
              <w:rPr>
                <w:rFonts w:hint="eastAsia" w:hAnsi="Times New Roman" w:eastAsia="宋体"/>
                <w:color w:val="auto"/>
                <w:kern w:val="2"/>
              </w:rPr>
              <w:t>矿井所处的须家河组第七段、六段、第五段砂岩为煤层顶底板直接充水含水层，珍珠冲组砂岩为煤层顶底板间接充水含水层，</w:t>
            </w:r>
            <w:r>
              <w:rPr>
                <w:rFonts w:hint="eastAsia" w:hAnsi="Times New Roman" w:eastAsia="宋体"/>
                <w:color w:val="auto"/>
                <w:kern w:val="2"/>
                <w:lang w:eastAsia="zh-CN"/>
              </w:rPr>
              <w:t>故</w:t>
            </w:r>
            <w:r>
              <w:rPr>
                <w:rFonts w:hint="eastAsia" w:hAnsi="Times New Roman" w:eastAsia="宋体"/>
                <w:color w:val="auto"/>
                <w:kern w:val="2"/>
              </w:rPr>
              <w:t>其排水主要来自须家河组第七段、第六段、第五段砂岩含水层（本次不开采K10煤层，基本不涉及煤层顶板间接充水含水层珍珠冲组砂岩），同时根据《宣汉县天生镇集中式饮用水水源地划分技术报告》，七里峡煤矿与王一庙（村级）集中式饮用水水源地含水层为侏罗系中统下沙溪庙组（J</w:t>
            </w:r>
            <w:r>
              <w:rPr>
                <w:rFonts w:hint="eastAsia" w:hAnsi="Times New Roman" w:eastAsia="宋体"/>
                <w:color w:val="auto"/>
                <w:kern w:val="2"/>
                <w:vertAlign w:val="subscript"/>
              </w:rPr>
              <w:t>2</w:t>
            </w:r>
            <w:r>
              <w:rPr>
                <w:rFonts w:hint="eastAsia" w:hAnsi="Times New Roman" w:eastAsia="宋体"/>
                <w:color w:val="auto"/>
                <w:kern w:val="2"/>
              </w:rPr>
              <w:t>s），碎屑岩类裂隙孔隙水为主，上部普遍为风化裂隙水，泉水流量0.01</w:t>
            </w:r>
            <w:r>
              <w:rPr>
                <w:rFonts w:hint="eastAsia" w:hAnsi="Times New Roman" w:eastAsia="宋体"/>
                <w:color w:val="auto"/>
                <w:kern w:val="2"/>
                <w:lang w:eastAsia="zh-CN"/>
              </w:rPr>
              <w:t>～</w:t>
            </w:r>
            <w:r>
              <w:rPr>
                <w:rFonts w:hint="eastAsia" w:hAnsi="Times New Roman" w:eastAsia="宋体"/>
                <w:color w:val="auto"/>
                <w:kern w:val="2"/>
              </w:rPr>
              <w:t>0.05升／秒，单井涌水量小于100吨／日，矿化度0.2</w:t>
            </w:r>
            <w:r>
              <w:rPr>
                <w:rFonts w:hint="eastAsia" w:hAnsi="Times New Roman" w:eastAsia="宋体"/>
                <w:color w:val="auto"/>
                <w:kern w:val="2"/>
                <w:lang w:eastAsia="zh-CN"/>
              </w:rPr>
              <w:t>～</w:t>
            </w:r>
            <w:r>
              <w:rPr>
                <w:rFonts w:hint="eastAsia" w:hAnsi="Times New Roman" w:eastAsia="宋体"/>
                <w:color w:val="auto"/>
                <w:kern w:val="2"/>
              </w:rPr>
              <w:t>0.5克／升。宣汉县天生镇地下水水源地位于中－深丘状地貌水文地质单元。区内该单元内一般一条沟谷即为一个独立的水文地质单元，丘顶为渗入补给区，丘坡为径流区，沟谷为埋藏储集区。补给来源主要</w:t>
            </w:r>
            <w:r>
              <w:rPr>
                <w:rFonts w:hint="eastAsia" w:hAnsi="Times New Roman" w:eastAsia="宋体"/>
                <w:color w:val="auto"/>
                <w:kern w:val="2"/>
                <w:lang w:eastAsia="zh-CN"/>
              </w:rPr>
              <w:t>来自</w:t>
            </w:r>
            <w:r>
              <w:rPr>
                <w:rFonts w:hint="eastAsia" w:hAnsi="Times New Roman" w:eastAsia="宋体"/>
                <w:color w:val="auto"/>
                <w:kern w:val="2"/>
              </w:rPr>
              <w:t>大气降水，丘顶接受大气降水垂直入渗补给后，沿丘坡段顺坡发育的风化网状裂隙或地层倾斜层面缓慢渗流形成径流区，在低洼沟谷侵蚀面附近以井泉形式排泄，或在地形较平缓，风化带较厚的区域形成地下潜水，成为埋藏区。因此，本项目七里峡煤矿与王一庙（村级）集中式饮用水水源地保护区属两个不同的水文地质单元，之间不存在水力联系，且项目矿井涌水处理后采用管道引至工业广场下游1500m</w:t>
            </w:r>
            <w:r>
              <w:rPr>
                <w:rFonts w:hint="eastAsia" w:hAnsi="Times New Roman" w:eastAsia="宋体"/>
                <w:color w:val="auto"/>
                <w:kern w:val="2"/>
                <w:lang w:eastAsia="zh-CN"/>
              </w:rPr>
              <w:t>处</w:t>
            </w:r>
            <w:r>
              <w:rPr>
                <w:rFonts w:hint="eastAsia" w:hAnsi="Times New Roman" w:eastAsia="宋体"/>
                <w:color w:val="auto"/>
                <w:kern w:val="2"/>
              </w:rPr>
              <w:t>排放，位于王一庙（村级）集中式饮用水水源地保护区下游，矿井涌水排放也不会对水源保护区产生影响。因此王一庙（村级）集中式饮用水水源地保护区位于项目地下水评价范围以外。</w:t>
            </w:r>
            <w:r>
              <w:rPr>
                <w:rFonts w:hint="eastAsia" w:hAnsi="Times New Roman" w:eastAsia="宋体"/>
                <w:bCs/>
                <w:color w:val="auto"/>
                <w:kern w:val="2"/>
                <w:lang w:eastAsia="zh-CN"/>
              </w:rPr>
              <w:t>根据调查，煤矿生产用水来自处理后的矿井排水，矿区生活用水为矿区附近山泉水；评价区范围内的村民用水水源为山泉水和红层地下井水，根据现场调查和业主提供的资料显示，评价区域内无集中式饮用水水源地和保护区等。综上，本项目评价区地下水主要作为煤矿生产生活用水和周边居民的分散生活用水。根据《全国地下水功能区划分技术大纲》的要求和实地调查矿区内的地下水环境状况，本项目评价区地下水功能为分散式开发利用区。为较敏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8"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较敏感（√）</w:t>
            </w:r>
          </w:p>
        </w:tc>
        <w:tc>
          <w:tcPr>
            <w:tcW w:w="1909"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集中式饮用水水源地（包括已建成的在用、备用、应急水源地，在建和规划的水源地）准保护区以外的补给径流区；特殊地下水资源（如矿泉水、温泉等）保护区以外的分布区以及分散居民饮用水源等其它未列入上述敏感分级的环境敏感区</w:t>
            </w:r>
            <w:r>
              <w:rPr>
                <w:rFonts w:hint="eastAsia" w:hAnsi="Times New Roman" w:eastAsia="宋体"/>
                <w:bCs/>
                <w:color w:val="auto"/>
                <w:kern w:val="2"/>
                <w:vertAlign w:val="superscript"/>
                <w:lang w:eastAsia="zh-CN"/>
              </w:rPr>
              <w:t>a</w:t>
            </w:r>
            <w:r>
              <w:rPr>
                <w:rFonts w:hint="eastAsia" w:hAnsi="Times New Roman" w:eastAsia="宋体"/>
                <w:bCs/>
                <w:color w:val="auto"/>
                <w:kern w:val="2"/>
                <w:lang w:eastAsia="zh-CN"/>
              </w:rPr>
              <w:t>。</w:t>
            </w:r>
          </w:p>
        </w:tc>
        <w:tc>
          <w:tcPr>
            <w:tcW w:w="2443" w:type="pct"/>
            <w:vMerge w:val="continue"/>
            <w:vAlign w:val="center"/>
          </w:tcPr>
          <w:p>
            <w:pPr>
              <w:pStyle w:val="44"/>
              <w:keepNext w:val="0"/>
              <w:keepLines w:val="0"/>
              <w:suppressLineNumbers w:val="0"/>
              <w:overflowPunct w:val="0"/>
              <w:spacing w:before="0" w:beforeAutospacing="0" w:after="0" w:afterAutospacing="0" w:line="360" w:lineRule="exact"/>
              <w:ind w:left="102" w:right="0"/>
              <w:rPr>
                <w:rFonts w:hint="eastAsia" w:hAnsi="Times New Roman" w:eastAsia="宋体"/>
                <w:kern w:val="2"/>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8"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不敏感</w:t>
            </w:r>
          </w:p>
        </w:tc>
        <w:tc>
          <w:tcPr>
            <w:tcW w:w="1909"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上述地区之外的其它地区。</w:t>
            </w:r>
          </w:p>
        </w:tc>
        <w:tc>
          <w:tcPr>
            <w:tcW w:w="2443" w:type="pct"/>
            <w:vMerge w:val="continue"/>
            <w:vAlign w:val="center"/>
          </w:tcPr>
          <w:p>
            <w:pPr>
              <w:pStyle w:val="44"/>
              <w:keepNext w:val="0"/>
              <w:keepLines w:val="0"/>
              <w:suppressLineNumbers w:val="0"/>
              <w:overflowPunct w:val="0"/>
              <w:spacing w:before="0" w:beforeAutospacing="0" w:after="0" w:afterAutospacing="0" w:line="360" w:lineRule="exact"/>
              <w:ind w:left="1119" w:right="0"/>
              <w:rPr>
                <w:rFonts w:hint="eastAsia" w:hAnsi="Times New Roman" w:eastAsia="宋体"/>
                <w:kern w:val="2"/>
                <w:sz w:val="21"/>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3"/>
            <w:vAlign w:val="center"/>
          </w:tcPr>
          <w:p>
            <w:pPr>
              <w:pStyle w:val="43"/>
              <w:keepNext w:val="0"/>
              <w:keepLines w:val="0"/>
              <w:suppressLineNumbers w:val="0"/>
              <w:spacing w:before="0" w:beforeAutospacing="0" w:after="0" w:afterAutospacing="0"/>
              <w:ind w:left="0" w:right="0"/>
              <w:jc w:val="left"/>
              <w:rPr>
                <w:rFonts w:hint="eastAsia" w:hAnsi="Times New Roman" w:eastAsia="宋体"/>
                <w:bCs/>
                <w:color w:val="auto"/>
                <w:kern w:val="2"/>
                <w:lang w:eastAsia="zh-CN"/>
              </w:rPr>
            </w:pPr>
            <w:r>
              <w:rPr>
                <w:rFonts w:hint="eastAsia" w:hAnsi="Times New Roman" w:eastAsia="宋体"/>
                <w:bCs/>
                <w:color w:val="auto"/>
                <w:kern w:val="2"/>
                <w:lang w:eastAsia="zh-CN"/>
              </w:rPr>
              <w:t>注：a“环境敏感区”是指《建设项目环境影响评价分类管理名录》中所界定的涉及地下水的</w:t>
            </w:r>
          </w:p>
          <w:p>
            <w:pPr>
              <w:pStyle w:val="43"/>
              <w:keepNext w:val="0"/>
              <w:keepLines w:val="0"/>
              <w:suppressLineNumbers w:val="0"/>
              <w:spacing w:before="0" w:beforeAutospacing="0" w:after="0" w:afterAutospacing="0"/>
              <w:ind w:left="0" w:right="0"/>
              <w:jc w:val="left"/>
              <w:rPr>
                <w:rFonts w:hint="eastAsia" w:hAnsi="Times New Roman" w:eastAsia="宋体"/>
                <w:color w:val="auto"/>
                <w:kern w:val="2"/>
              </w:rPr>
            </w:pPr>
            <w:r>
              <w:rPr>
                <w:rFonts w:hint="eastAsia" w:hAnsi="Times New Roman" w:eastAsia="宋体"/>
                <w:bCs/>
                <w:color w:val="auto"/>
                <w:kern w:val="2"/>
                <w:lang w:eastAsia="zh-CN"/>
              </w:rPr>
              <w:t>环境敏感区。</w:t>
            </w:r>
          </w:p>
        </w:tc>
      </w:tr>
    </w:tbl>
    <w:p>
      <w:pPr>
        <w:spacing w:line="360" w:lineRule="auto"/>
        <w:ind w:firstLine="480" w:firstLineChars="200"/>
        <w:rPr>
          <w:rFonts w:hAnsi="Times New Roman" w:eastAsia="宋体"/>
          <w:lang w:eastAsia="zh-CN"/>
        </w:rPr>
      </w:pPr>
      <w:r>
        <w:rPr>
          <w:rFonts w:hAnsi="Times New Roman" w:eastAsia="宋体"/>
          <w:lang w:eastAsia="zh-CN"/>
        </w:rPr>
        <w:t>实地调查表明，矿井及工业场地占地范围内无地下水集中式饮用水源地，无特殊地下水环境资源保护区，项目周边有分散居民利用浅层含水层的裂隙水作为饮用水。因此根据导则中上表所示地下水环境敏感程度分级，场地区域地下水环境敏感程度为“较敏感”。</w:t>
      </w:r>
    </w:p>
    <w:p>
      <w:pPr>
        <w:spacing w:line="360" w:lineRule="auto"/>
        <w:ind w:firstLine="480" w:firstLineChars="200"/>
        <w:rPr>
          <w:rFonts w:hAnsi="Times New Roman" w:eastAsia="宋体"/>
          <w:lang w:eastAsia="zh-CN"/>
        </w:rPr>
      </w:pPr>
      <w:r>
        <w:rPr>
          <w:rFonts w:hAnsi="Times New Roman" w:eastAsia="宋体"/>
          <w:lang w:eastAsia="zh-CN"/>
        </w:rPr>
        <w:t>根据《环境影响评价技术导则地下水环境》（HJ610-2016）本项目地下水评价工作等级划分原则如下。</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表1.6-7 地下水评价工作等级划分表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92"/>
        <w:gridCol w:w="1245"/>
        <w:gridCol w:w="1245"/>
        <w:gridCol w:w="45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27" w:type="pct"/>
            <w:tcBorders>
              <w:bottom w:val="single" w:color="auto" w:sz="4" w:space="0"/>
              <w:tl2br w:val="single" w:color="auto" w:sz="2" w:space="0"/>
            </w:tcBorders>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 xml:space="preserve">        项目类别</w:t>
            </w:r>
          </w:p>
          <w:p>
            <w:pPr>
              <w:pStyle w:val="43"/>
              <w:keepNext w:val="0"/>
              <w:keepLines w:val="0"/>
              <w:suppressLineNumbers w:val="0"/>
              <w:spacing w:before="0" w:beforeAutospacing="0" w:after="0" w:afterAutospacing="0"/>
              <w:ind w:left="0" w:right="0"/>
              <w:jc w:val="both"/>
              <w:rPr>
                <w:rFonts w:hint="eastAsia" w:hAnsi="Times New Roman" w:eastAsia="宋体"/>
                <w:b/>
                <w:color w:val="auto"/>
                <w:kern w:val="2"/>
                <w:lang w:eastAsia="zh-CN"/>
              </w:rPr>
            </w:pPr>
            <w:r>
              <w:rPr>
                <w:rFonts w:hint="eastAsia" w:hAnsi="Times New Roman" w:eastAsia="宋体"/>
                <w:b/>
                <w:color w:val="auto"/>
                <w:kern w:val="2"/>
                <w:lang w:eastAsia="zh-CN"/>
              </w:rPr>
              <w:t>环境敏感程度</w:t>
            </w:r>
          </w:p>
        </w:tc>
        <w:tc>
          <w:tcPr>
            <w:tcW w:w="666" w:type="pct"/>
            <w:tcBorders>
              <w:bottom w:val="single" w:color="auto" w:sz="4" w:space="0"/>
            </w:tcBorders>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Ⅱ类项目</w:t>
            </w:r>
          </w:p>
        </w:tc>
        <w:tc>
          <w:tcPr>
            <w:tcW w:w="666" w:type="pct"/>
            <w:tcBorders>
              <w:bottom w:val="single" w:color="auto" w:sz="4" w:space="0"/>
            </w:tcBorders>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Ⅲ类项目</w:t>
            </w:r>
          </w:p>
        </w:tc>
        <w:tc>
          <w:tcPr>
            <w:tcW w:w="2441" w:type="pct"/>
            <w:tcBorders>
              <w:bottom w:val="single" w:color="auto" w:sz="4" w:space="0"/>
            </w:tcBorders>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本项目评价等级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27" w:type="pct"/>
            <w:tcBorders>
              <w:bottom w:val="single" w:color="auto" w:sz="4" w:space="0"/>
            </w:tcBorders>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敏感</w:t>
            </w:r>
          </w:p>
        </w:tc>
        <w:tc>
          <w:tcPr>
            <w:tcW w:w="666" w:type="pct"/>
            <w:tcBorders>
              <w:bottom w:val="single" w:color="auto" w:sz="4" w:space="0"/>
            </w:tcBorders>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一</w:t>
            </w:r>
          </w:p>
        </w:tc>
        <w:tc>
          <w:tcPr>
            <w:tcW w:w="666" w:type="pct"/>
            <w:tcBorders>
              <w:bottom w:val="single" w:color="auto" w:sz="4" w:space="0"/>
            </w:tcBorders>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二</w:t>
            </w:r>
          </w:p>
        </w:tc>
        <w:tc>
          <w:tcPr>
            <w:tcW w:w="2441" w:type="pct"/>
            <w:vMerge w:val="restart"/>
            <w:vAlign w:val="center"/>
          </w:tcPr>
          <w:p>
            <w:pPr>
              <w:pStyle w:val="62"/>
              <w:keepNext w:val="0"/>
              <w:keepLines w:val="0"/>
              <w:suppressLineNumbers w:val="0"/>
              <w:spacing w:before="0" w:beforeAutospacing="0" w:after="0" w:afterAutospacing="0"/>
              <w:ind w:left="0" w:right="0"/>
              <w:jc w:val="both"/>
              <w:rPr>
                <w:rFonts w:hint="eastAsia" w:hAnsi="Times New Roman" w:eastAsia="宋体"/>
                <w:kern w:val="2"/>
                <w:szCs w:val="22"/>
              </w:rPr>
            </w:pPr>
            <w:r>
              <w:rPr>
                <w:rFonts w:hint="eastAsia" w:hAnsi="Times New Roman" w:eastAsia="宋体"/>
                <w:kern w:val="2"/>
                <w:szCs w:val="22"/>
              </w:rPr>
              <w:t>本项目矿山开采及其辅助工程属于Ⅲ类项目，地下水环境敏感程度为较敏感，根据评价工作等级分级表为“三”级评价；</w:t>
            </w:r>
          </w:p>
          <w:p>
            <w:pPr>
              <w:pStyle w:val="62"/>
              <w:keepNext w:val="0"/>
              <w:keepLines w:val="0"/>
              <w:suppressLineNumbers w:val="0"/>
              <w:spacing w:before="0" w:beforeAutospacing="0" w:after="0" w:afterAutospacing="0"/>
              <w:ind w:left="0" w:right="0"/>
              <w:jc w:val="both"/>
              <w:rPr>
                <w:rFonts w:hint="eastAsia" w:hAnsi="Times New Roman" w:eastAsia="宋体"/>
                <w:kern w:val="2"/>
                <w:szCs w:val="22"/>
              </w:rPr>
            </w:pPr>
            <w:r>
              <w:rPr>
                <w:rFonts w:hint="eastAsia" w:hAnsi="Times New Roman" w:eastAsia="宋体"/>
                <w:kern w:val="2"/>
                <w:szCs w:val="22"/>
              </w:rPr>
              <w:t>项目配套的煤矸石转运场属 II 类项目，地下水环境敏感程度为较敏感，根据评价工作等级分级表为“二”级评价。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27" w:type="pct"/>
            <w:tcBorders>
              <w:bottom w:val="single" w:color="auto" w:sz="4" w:space="0"/>
            </w:tcBorders>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较敏感（√）</w:t>
            </w:r>
          </w:p>
        </w:tc>
        <w:tc>
          <w:tcPr>
            <w:tcW w:w="666" w:type="pct"/>
            <w:tcBorders>
              <w:bottom w:val="single" w:color="auto" w:sz="4" w:space="0"/>
            </w:tcBorders>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highlight w:val="lightGray"/>
              </w:rPr>
              <w:t>二</w:t>
            </w:r>
            <w:r>
              <w:rPr>
                <w:rFonts w:hint="eastAsia" w:hAnsi="Times New Roman" w:eastAsia="宋体"/>
                <w:kern w:val="2"/>
                <w:szCs w:val="22"/>
              </w:rPr>
              <w:t>（√）</w:t>
            </w:r>
          </w:p>
        </w:tc>
        <w:tc>
          <w:tcPr>
            <w:tcW w:w="666" w:type="pct"/>
            <w:tcBorders>
              <w:bottom w:val="single" w:color="auto" w:sz="4" w:space="0"/>
            </w:tcBorders>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highlight w:val="lightGray"/>
              </w:rPr>
              <w:t>三</w:t>
            </w:r>
            <w:r>
              <w:rPr>
                <w:rFonts w:hint="eastAsia" w:hAnsi="Times New Roman" w:eastAsia="宋体"/>
                <w:kern w:val="2"/>
                <w:szCs w:val="22"/>
              </w:rPr>
              <w:t>（√）</w:t>
            </w:r>
          </w:p>
        </w:tc>
        <w:tc>
          <w:tcPr>
            <w:tcW w:w="2441" w:type="pct"/>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highlight w:val="lightGray"/>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27"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不敏感</w:t>
            </w:r>
          </w:p>
        </w:tc>
        <w:tc>
          <w:tcPr>
            <w:tcW w:w="666"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三</w:t>
            </w:r>
          </w:p>
        </w:tc>
        <w:tc>
          <w:tcPr>
            <w:tcW w:w="666"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三</w:t>
            </w:r>
          </w:p>
        </w:tc>
        <w:tc>
          <w:tcPr>
            <w:tcW w:w="2441" w:type="pct"/>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p>
        </w:tc>
      </w:tr>
    </w:tbl>
    <w:p>
      <w:pPr>
        <w:spacing w:line="360" w:lineRule="auto"/>
        <w:ind w:firstLine="480"/>
        <w:rPr>
          <w:rFonts w:hAnsi="Times New Roman" w:eastAsia="宋体"/>
        </w:rPr>
      </w:pPr>
      <w:r>
        <w:rPr>
          <w:rFonts w:hAnsi="Times New Roman" w:eastAsia="宋体"/>
        </w:rPr>
        <w:t>根据《环境影响评价技术导则-地下水环境》（HJ610-2016），项目矿山开采及其辅助工程属Ⅲ类项目，地下水环境敏感程度为“较敏感”，根据评价工作等级分级表属“三”级评价；煤矸石堆场属于</w:t>
      </w:r>
      <w:r>
        <w:rPr>
          <w:rFonts w:hint="eastAsia" w:hAnsi="Times New Roman" w:eastAsia="宋体"/>
          <w:lang w:eastAsia="zh-CN"/>
        </w:rPr>
        <w:t>Ⅱ类</w:t>
      </w:r>
      <w:r>
        <w:rPr>
          <w:rFonts w:hAnsi="Times New Roman" w:eastAsia="宋体"/>
        </w:rPr>
        <w:t>项目，地下水敏感程度亦为“较敏感”，属“二”级评价。</w:t>
      </w:r>
    </w:p>
    <w:p>
      <w:pPr>
        <w:spacing w:line="360" w:lineRule="auto"/>
        <w:rPr>
          <w:rFonts w:hAnsi="Times New Roman" w:eastAsia="宋体"/>
          <w:b/>
          <w:bCs/>
          <w:szCs w:val="22"/>
          <w:lang w:eastAsia="zh-CN"/>
        </w:rPr>
      </w:pPr>
      <w:r>
        <w:rPr>
          <w:rFonts w:hAnsi="Times New Roman" w:eastAsia="宋体"/>
          <w:b/>
          <w:bCs/>
          <w:szCs w:val="22"/>
          <w:lang w:eastAsia="zh-CN"/>
        </w:rPr>
        <w:t>1.6.1.4 声环境评价等级</w:t>
      </w:r>
    </w:p>
    <w:p>
      <w:pPr>
        <w:spacing w:line="360" w:lineRule="auto"/>
        <w:ind w:firstLine="480" w:firstLineChars="200"/>
        <w:rPr>
          <w:rFonts w:hAnsi="Times New Roman" w:eastAsia="宋体"/>
          <w:lang w:eastAsia="zh-CN"/>
        </w:rPr>
      </w:pPr>
      <w:r>
        <w:rPr>
          <w:rFonts w:hAnsi="Times New Roman" w:eastAsia="宋体"/>
          <w:lang w:eastAsia="zh-CN"/>
        </w:rPr>
        <w:t>根据《环境影响评价技术导则声环境》（HJ2.4-20</w:t>
      </w:r>
      <w:r>
        <w:rPr>
          <w:rFonts w:hint="eastAsia" w:hAnsi="Times New Roman" w:eastAsia="宋体"/>
          <w:lang w:eastAsia="zh-CN"/>
        </w:rPr>
        <w:t>21</w:t>
      </w:r>
      <w:r>
        <w:rPr>
          <w:rFonts w:hAnsi="Times New Roman" w:eastAsia="宋体"/>
          <w:lang w:eastAsia="zh-CN"/>
        </w:rPr>
        <w:t>），声环境影响评价工作的分级是依据建设项目所在区域的声环境功能区类别、建设项目建设前后所在区域的声环境质量变化程度及受建设项目影响人口的数量。</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表1.6</w:t>
      </w:r>
      <w:r>
        <w:rPr>
          <w:rFonts w:hint="eastAsia" w:hAnsi="Times New Roman" w:eastAsia="宋体"/>
          <w:b/>
          <w:bCs/>
          <w:sz w:val="21"/>
          <w:szCs w:val="21"/>
          <w:lang w:eastAsia="zh-CN"/>
        </w:rPr>
        <w:t>-</w:t>
      </w:r>
      <w:r>
        <w:rPr>
          <w:rFonts w:hAnsi="Times New Roman" w:eastAsia="宋体"/>
          <w:b/>
          <w:bCs/>
          <w:sz w:val="21"/>
          <w:szCs w:val="21"/>
          <w:lang w:eastAsia="zh-CN"/>
        </w:rPr>
        <w:t>8 声环境影响评价等级依据</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2"/>
        <w:gridCol w:w="1620"/>
        <w:gridCol w:w="70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49" w:type="pct"/>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序号</w:t>
            </w:r>
          </w:p>
        </w:tc>
        <w:tc>
          <w:tcPr>
            <w:tcW w:w="867" w:type="pct"/>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评价工作等级</w:t>
            </w:r>
          </w:p>
        </w:tc>
        <w:tc>
          <w:tcPr>
            <w:tcW w:w="3784" w:type="pct"/>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判别依据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9"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1</w:t>
            </w:r>
          </w:p>
        </w:tc>
        <w:tc>
          <w:tcPr>
            <w:tcW w:w="867"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一级</w:t>
            </w:r>
          </w:p>
        </w:tc>
        <w:tc>
          <w:tcPr>
            <w:tcW w:w="3784"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评价范围内</w:t>
            </w:r>
            <w:r>
              <w:rPr>
                <w:rFonts w:hint="eastAsia" w:hAnsi="Times New Roman" w:eastAsia="宋体"/>
                <w:bCs/>
                <w:color w:val="auto"/>
                <w:kern w:val="2"/>
                <w:lang w:val="en-US" w:eastAsia="zh-CN"/>
              </w:rPr>
              <w:t>有</w:t>
            </w:r>
            <w:r>
              <w:rPr>
                <w:rFonts w:hint="eastAsia" w:hAnsi="Times New Roman" w:eastAsia="宋体"/>
                <w:bCs/>
                <w:color w:val="auto"/>
                <w:kern w:val="2"/>
                <w:lang w:eastAsia="zh-CN"/>
              </w:rPr>
              <w:t>适用于GB3096 规定的0 类声环境功能区域，或建设项目建设前后评价范围内敏感目标噪声级增高量达5dB（A）以上（不含5dB（A）），或受影响人口数量显著增多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9"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2</w:t>
            </w:r>
          </w:p>
        </w:tc>
        <w:tc>
          <w:tcPr>
            <w:tcW w:w="867"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二级</w:t>
            </w:r>
          </w:p>
        </w:tc>
        <w:tc>
          <w:tcPr>
            <w:tcW w:w="3784"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建设项目所处的声环境功能区为GB3096 规定的1 类、2 类地区，或建设项目建设前后评价范围内敏感目标噪声级增高量达3dB（A）～5dB（A）（含5dB（A）），或受噪声影响人口数量增加较多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9"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3</w:t>
            </w:r>
          </w:p>
        </w:tc>
        <w:tc>
          <w:tcPr>
            <w:tcW w:w="867"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三级</w:t>
            </w:r>
          </w:p>
        </w:tc>
        <w:tc>
          <w:tcPr>
            <w:tcW w:w="3784"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建设项目所处的声环境功能区为GB3096 规定的3 类、4 类地区，或建设项目建设前后评价范围内敏感目标噪声级增高量在3dB（A）以下（不含3dB（A），且受影响人口数量变化不大</w:t>
            </w:r>
          </w:p>
        </w:tc>
      </w:tr>
    </w:tbl>
    <w:p>
      <w:pPr>
        <w:spacing w:line="360" w:lineRule="auto"/>
        <w:ind w:firstLine="480" w:firstLineChars="200"/>
        <w:rPr>
          <w:rFonts w:hAnsi="Times New Roman" w:eastAsia="宋体"/>
          <w:b/>
          <w:bCs/>
          <w:lang w:eastAsia="zh-CN"/>
        </w:rPr>
      </w:pPr>
      <w:r>
        <w:rPr>
          <w:rFonts w:hAnsi="Times New Roman" w:eastAsia="宋体"/>
          <w:lang w:eastAsia="zh-CN"/>
        </w:rPr>
        <w:t>本项目评价区域为《声环境质量标准》</w:t>
      </w:r>
      <w:r>
        <w:rPr>
          <w:rFonts w:hint="eastAsia" w:hAnsi="Times New Roman" w:eastAsia="宋体"/>
          <w:lang w:eastAsia="zh-CN"/>
        </w:rPr>
        <w:t>（</w:t>
      </w:r>
      <w:r>
        <w:rPr>
          <w:rFonts w:hAnsi="Times New Roman" w:eastAsia="宋体"/>
          <w:lang w:eastAsia="zh-CN"/>
        </w:rPr>
        <w:t>GB3096-2008</w:t>
      </w:r>
      <w:r>
        <w:rPr>
          <w:rFonts w:hint="eastAsia" w:hAnsi="Times New Roman" w:eastAsia="宋体"/>
          <w:lang w:eastAsia="zh-CN"/>
        </w:rPr>
        <w:t>）</w:t>
      </w:r>
      <w:r>
        <w:rPr>
          <w:rFonts w:hAnsi="Times New Roman" w:eastAsia="宋体"/>
          <w:lang w:eastAsia="zh-CN"/>
        </w:rPr>
        <w:t>中2类标准区域，本工程的噪声主要为营运期工业广场机械设备噪声和空压机噪声、运输车辆噪声，风井场地处的设备运行噪声等。采取降噪措施后，上述噪声对环境敏感点的影响不大。根据预测，本项目独立升级改造完成后，评价区敏感目标噪声级增量不超过5dB（A）左右，且项目周边声学环境受影响人口较少。</w:t>
      </w:r>
      <w:r>
        <w:rPr>
          <w:rFonts w:hAnsi="Times New Roman" w:eastAsia="宋体"/>
          <w:b/>
          <w:bCs/>
          <w:lang w:eastAsia="zh-CN"/>
        </w:rPr>
        <w:t>因此，本项目声环境评价工作等级为二级。</w:t>
      </w:r>
    </w:p>
    <w:p>
      <w:pPr>
        <w:spacing w:line="360" w:lineRule="auto"/>
        <w:rPr>
          <w:rFonts w:hAnsi="Times New Roman" w:eastAsia="宋体"/>
          <w:b/>
          <w:bCs/>
          <w:szCs w:val="22"/>
          <w:lang w:eastAsia="zh-CN"/>
        </w:rPr>
      </w:pPr>
      <w:r>
        <w:rPr>
          <w:rFonts w:hAnsi="Times New Roman" w:eastAsia="宋体"/>
          <w:b/>
          <w:bCs/>
          <w:szCs w:val="22"/>
          <w:lang w:eastAsia="zh-CN"/>
        </w:rPr>
        <w:t>1.6.1.5 生态环境评价等级</w:t>
      </w:r>
    </w:p>
    <w:p>
      <w:pPr>
        <w:spacing w:line="360" w:lineRule="auto"/>
        <w:ind w:firstLine="480" w:firstLineChars="200"/>
        <w:rPr>
          <w:rFonts w:hAnsi="Times New Roman" w:eastAsia="宋体"/>
          <w:lang w:eastAsia="zh-CN"/>
        </w:rPr>
      </w:pPr>
      <w:r>
        <w:rPr>
          <w:rFonts w:hAnsi="Times New Roman" w:eastAsia="宋体"/>
          <w:lang w:eastAsia="zh-CN"/>
        </w:rPr>
        <w:t>根据《环境影响评价技术导则》（HJ19-2022），划分生态环境评价工作等级的依据见下表。</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表1.</w:t>
      </w:r>
      <w:r>
        <w:rPr>
          <w:rFonts w:hint="eastAsia" w:hAnsi="Times New Roman" w:eastAsia="宋体"/>
          <w:b/>
          <w:bCs/>
          <w:sz w:val="21"/>
          <w:szCs w:val="21"/>
          <w:lang w:eastAsia="zh-CN"/>
        </w:rPr>
        <w:t>6-9</w:t>
      </w:r>
      <w:r>
        <w:rPr>
          <w:rFonts w:hAnsi="Times New Roman" w:eastAsia="宋体"/>
          <w:b/>
          <w:bCs/>
          <w:sz w:val="21"/>
          <w:szCs w:val="21"/>
          <w:lang w:eastAsia="zh-CN"/>
        </w:rPr>
        <w:t xml:space="preserve"> 生态影响评价工作等级划分表</w:t>
      </w:r>
    </w:p>
    <w:tbl>
      <w:tblPr>
        <w:tblStyle w:val="3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72"/>
        <w:gridCol w:w="46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vAlign w:val="center"/>
          </w:tcPr>
          <w:p>
            <w:pPr>
              <w:keepNext w:val="0"/>
              <w:keepLines w:val="0"/>
              <w:widowControl/>
              <w:suppressLineNumbers w:val="0"/>
              <w:snapToGrid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b/>
                <w:kern w:val="2"/>
                <w:sz w:val="21"/>
                <w:szCs w:val="21"/>
              </w:rPr>
              <w:t>评价等级判定依据</w:t>
            </w:r>
          </w:p>
        </w:tc>
        <w:tc>
          <w:tcPr>
            <w:tcW w:w="2500" w:type="pct"/>
            <w:vAlign w:val="center"/>
          </w:tcPr>
          <w:p>
            <w:pPr>
              <w:keepNext w:val="0"/>
              <w:keepLines w:val="0"/>
              <w:suppressLineNumbers w:val="0"/>
              <w:tabs>
                <w:tab w:val="left" w:pos="1260"/>
                <w:tab w:val="right" w:leader="dot" w:pos="8721"/>
              </w:tabs>
              <w:snapToGrid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iCs/>
                <w:kern w:val="2"/>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vAlign w:val="center"/>
          </w:tcPr>
          <w:p>
            <w:pPr>
              <w:keepNext w:val="0"/>
              <w:keepLines w:val="0"/>
              <w:widowControl/>
              <w:suppressLineNumbers w:val="0"/>
              <w:snapToGrid w:val="0"/>
              <w:spacing w:before="0" w:beforeAutospacing="0" w:after="0" w:afterAutospacing="0"/>
              <w:ind w:left="0" w:right="0"/>
              <w:rPr>
                <w:rFonts w:hint="eastAsia" w:hAnsi="Times New Roman" w:eastAsiaTheme="minorEastAsia"/>
                <w:kern w:val="2"/>
                <w:sz w:val="21"/>
                <w:szCs w:val="21"/>
              </w:rPr>
            </w:pPr>
            <w:r>
              <w:rPr>
                <w:rFonts w:hint="eastAsia" w:hAnsi="Times New Roman" w:eastAsiaTheme="minorEastAsia"/>
                <w:kern w:val="2"/>
                <w:sz w:val="21"/>
                <w:szCs w:val="21"/>
                <w:lang w:bidi="ar"/>
              </w:rPr>
              <w:t>a） 涉及国家公园、自然保护区、世界自然遗产、重要生境时，评价等级为一级</w:t>
            </w:r>
          </w:p>
        </w:tc>
        <w:tc>
          <w:tcPr>
            <w:tcW w:w="2500" w:type="pct"/>
            <w:vAlign w:val="center"/>
          </w:tcPr>
          <w:p>
            <w:pPr>
              <w:keepNext w:val="0"/>
              <w:keepLines w:val="0"/>
              <w:suppressLineNumbers w:val="0"/>
              <w:tabs>
                <w:tab w:val="left" w:pos="1260"/>
                <w:tab w:val="right" w:leader="dot" w:pos="8721"/>
              </w:tabs>
              <w:snapToGrid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iCs/>
                <w:kern w:val="2"/>
                <w:sz w:val="21"/>
                <w:szCs w:val="21"/>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vAlign w:val="center"/>
          </w:tcPr>
          <w:p>
            <w:pPr>
              <w:keepNext w:val="0"/>
              <w:keepLines w:val="0"/>
              <w:widowControl/>
              <w:suppressLineNumbers w:val="0"/>
              <w:snapToGrid w:val="0"/>
              <w:spacing w:before="0" w:beforeAutospacing="0" w:after="0" w:afterAutospacing="0"/>
              <w:ind w:left="0" w:right="0"/>
              <w:rPr>
                <w:rFonts w:hint="eastAsia" w:hAnsi="Times New Roman" w:eastAsiaTheme="minorEastAsia"/>
                <w:kern w:val="2"/>
                <w:sz w:val="21"/>
                <w:szCs w:val="21"/>
              </w:rPr>
            </w:pPr>
            <w:r>
              <w:rPr>
                <w:rFonts w:hint="eastAsia" w:hAnsi="Times New Roman" w:eastAsiaTheme="minorEastAsia"/>
                <w:kern w:val="2"/>
                <w:sz w:val="21"/>
                <w:szCs w:val="21"/>
                <w:lang w:bidi="ar"/>
              </w:rPr>
              <w:t>b） 涉及自然公园时，评价等级为二级</w:t>
            </w:r>
          </w:p>
        </w:tc>
        <w:tc>
          <w:tcPr>
            <w:tcW w:w="2500" w:type="pct"/>
            <w:vAlign w:val="center"/>
          </w:tcPr>
          <w:p>
            <w:pPr>
              <w:keepNext w:val="0"/>
              <w:keepLines w:val="0"/>
              <w:suppressLineNumbers w:val="0"/>
              <w:tabs>
                <w:tab w:val="left" w:pos="1260"/>
                <w:tab w:val="right" w:leader="dot" w:pos="8721"/>
              </w:tabs>
              <w:snapToGrid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iCs/>
                <w:kern w:val="2"/>
                <w:sz w:val="21"/>
                <w:szCs w:val="21"/>
                <w:lang w:eastAsia="zh-CN"/>
              </w:rPr>
              <w:t>+379m主平硐坑道地下穿越宣汉国家森林自然公园，森林公园内无新增施工内容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vAlign w:val="center"/>
          </w:tcPr>
          <w:p>
            <w:pPr>
              <w:keepNext w:val="0"/>
              <w:keepLines w:val="0"/>
              <w:widowControl/>
              <w:suppressLineNumbers w:val="0"/>
              <w:snapToGrid w:val="0"/>
              <w:spacing w:before="0" w:beforeAutospacing="0" w:after="0" w:afterAutospacing="0"/>
              <w:ind w:left="0" w:right="0"/>
              <w:rPr>
                <w:rFonts w:hint="eastAsia" w:hAnsi="Times New Roman" w:eastAsiaTheme="minorEastAsia"/>
                <w:kern w:val="2"/>
                <w:sz w:val="21"/>
                <w:szCs w:val="21"/>
              </w:rPr>
            </w:pPr>
            <w:r>
              <w:rPr>
                <w:rFonts w:hint="eastAsia" w:hAnsi="Times New Roman" w:eastAsiaTheme="minorEastAsia"/>
                <w:kern w:val="2"/>
                <w:sz w:val="21"/>
                <w:szCs w:val="21"/>
                <w:lang w:bidi="ar"/>
              </w:rPr>
              <w:t>c） 涉及生态保护红线时，评价等级不低于二级</w:t>
            </w:r>
          </w:p>
        </w:tc>
        <w:tc>
          <w:tcPr>
            <w:tcW w:w="2500" w:type="pct"/>
            <w:vAlign w:val="center"/>
          </w:tcPr>
          <w:p>
            <w:pPr>
              <w:keepNext w:val="0"/>
              <w:keepLines w:val="0"/>
              <w:suppressLineNumbers w:val="0"/>
              <w:tabs>
                <w:tab w:val="left" w:pos="1260"/>
                <w:tab w:val="right" w:leader="dot" w:pos="8721"/>
              </w:tabs>
              <w:snapToGrid w:val="0"/>
              <w:spacing w:before="0" w:beforeAutospacing="0" w:after="0" w:afterAutospacing="0"/>
              <w:ind w:left="0" w:right="0"/>
              <w:jc w:val="center"/>
              <w:rPr>
                <w:rFonts w:hint="eastAsia" w:hAnsi="Times New Roman" w:eastAsiaTheme="minorEastAsia"/>
                <w:b/>
                <w:bCs/>
                <w:kern w:val="2"/>
                <w:sz w:val="21"/>
                <w:szCs w:val="21"/>
              </w:rPr>
            </w:pPr>
            <w:r>
              <w:rPr>
                <w:rFonts w:hint="eastAsia" w:hAnsi="Times New Roman" w:eastAsiaTheme="minorEastAsia"/>
                <w:iCs/>
                <w:kern w:val="2"/>
                <w:sz w:val="21"/>
                <w:szCs w:val="21"/>
                <w:lang w:eastAsia="zh-CN"/>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napToGrid w:val="0"/>
              <w:spacing w:before="0" w:beforeAutospacing="0" w:after="0" w:afterAutospacing="0"/>
              <w:ind w:left="0" w:right="0"/>
              <w:rPr>
                <w:rFonts w:hint="eastAsia" w:hAnsi="Times New Roman" w:eastAsiaTheme="minorEastAsia"/>
                <w:kern w:val="2"/>
                <w:sz w:val="21"/>
                <w:szCs w:val="21"/>
                <w:lang w:bidi="ar"/>
              </w:rPr>
            </w:pPr>
            <w:r>
              <w:rPr>
                <w:rFonts w:hint="eastAsia" w:hAnsi="Times New Roman" w:eastAsiaTheme="minorEastAsia"/>
                <w:kern w:val="2"/>
                <w:sz w:val="21"/>
                <w:szCs w:val="21"/>
              </w:rPr>
              <w:t>d) 根据HI2.3判断属于水文要素影响型且地表水评价等级不低于二级的建设项目，生态影响评价等级不低于二级</w:t>
            </w:r>
          </w:p>
        </w:tc>
        <w:tc>
          <w:tcPr>
            <w:tcW w:w="2500" w:type="pct"/>
            <w:tcBorders>
              <w:top w:val="single" w:color="auto" w:sz="4" w:space="0"/>
              <w:left w:val="nil"/>
              <w:bottom w:val="single" w:color="auto" w:sz="4" w:space="0"/>
              <w:right w:val="single" w:color="auto" w:sz="4" w:space="0"/>
            </w:tcBorders>
            <w:vAlign w:val="center"/>
          </w:tcPr>
          <w:p>
            <w:pPr>
              <w:keepNext w:val="0"/>
              <w:keepLines w:val="0"/>
              <w:suppressLineNumbers w:val="0"/>
              <w:tabs>
                <w:tab w:val="left" w:pos="329"/>
                <w:tab w:val="left" w:pos="1260"/>
                <w:tab w:val="center" w:pos="2082"/>
                <w:tab w:val="right" w:leader="dot" w:pos="8721"/>
              </w:tabs>
              <w:snapToGrid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iCs/>
                <w:kern w:val="2"/>
                <w:sz w:val="21"/>
                <w:szCs w:val="21"/>
                <w:lang w:eastAsia="zh-CN"/>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500"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napToGrid w:val="0"/>
              <w:spacing w:before="0" w:beforeAutospacing="0" w:after="0" w:afterAutospacing="0"/>
              <w:ind w:left="0" w:right="0"/>
              <w:rPr>
                <w:rFonts w:hint="eastAsia" w:hAnsi="Times New Roman" w:eastAsiaTheme="minorEastAsia"/>
                <w:kern w:val="2"/>
                <w:sz w:val="21"/>
                <w:szCs w:val="21"/>
              </w:rPr>
            </w:pPr>
            <w:r>
              <w:rPr>
                <w:rFonts w:hint="eastAsia" w:hAnsi="Times New Roman" w:eastAsiaTheme="minorEastAsia"/>
                <w:kern w:val="2"/>
                <w:sz w:val="21"/>
                <w:szCs w:val="21"/>
              </w:rPr>
              <w:t>e) 根据HJ 610、HJ 964判断地下水水位或土壤影响范围内分布有天然林、公益林、湿地等生态保护目标的建设项目，生态影响评价等级不低于二级</w:t>
            </w:r>
          </w:p>
        </w:tc>
        <w:tc>
          <w:tcPr>
            <w:tcW w:w="2500" w:type="pct"/>
            <w:tcBorders>
              <w:top w:val="single" w:color="auto" w:sz="4" w:space="0"/>
              <w:left w:val="nil"/>
              <w:bottom w:val="single" w:color="auto" w:sz="4" w:space="0"/>
              <w:right w:val="single" w:color="auto" w:sz="4" w:space="0"/>
            </w:tcBorders>
            <w:vAlign w:val="center"/>
          </w:tcPr>
          <w:p>
            <w:pPr>
              <w:keepNext w:val="0"/>
              <w:keepLines w:val="0"/>
              <w:suppressLineNumbers w:val="0"/>
              <w:tabs>
                <w:tab w:val="left" w:pos="1260"/>
                <w:tab w:val="right" w:leader="dot" w:pos="8721"/>
              </w:tabs>
              <w:snapToGrid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地下水水位和土壤影响范围内</w:t>
            </w:r>
            <w:r>
              <w:rPr>
                <w:rFonts w:hint="eastAsia" w:hAnsi="Times New Roman" w:eastAsiaTheme="minorEastAsia"/>
                <w:kern w:val="2"/>
                <w:sz w:val="21"/>
                <w:szCs w:val="21"/>
                <w:lang w:eastAsia="zh-CN"/>
              </w:rPr>
              <w:t>矿区范围内有公益林分布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vAlign w:val="center"/>
          </w:tcPr>
          <w:p>
            <w:pPr>
              <w:keepNext w:val="0"/>
              <w:keepLines w:val="0"/>
              <w:widowControl/>
              <w:suppressLineNumbers w:val="0"/>
              <w:snapToGrid w:val="0"/>
              <w:spacing w:before="0" w:beforeAutospacing="0" w:after="0" w:afterAutospacing="0"/>
              <w:ind w:left="0" w:right="0"/>
              <w:rPr>
                <w:rFonts w:hint="eastAsia" w:hAnsi="Times New Roman" w:eastAsiaTheme="minorEastAsia"/>
                <w:kern w:val="2"/>
                <w:sz w:val="21"/>
                <w:szCs w:val="21"/>
              </w:rPr>
            </w:pPr>
            <w:r>
              <w:rPr>
                <w:rFonts w:hint="eastAsia" w:hAnsi="Times New Roman" w:eastAsiaTheme="minorEastAsia"/>
                <w:kern w:val="2"/>
                <w:sz w:val="21"/>
                <w:szCs w:val="21"/>
                <w:lang w:bidi="ar"/>
              </w:rPr>
              <w:t>f） 当工程占地规模大于 20 km</w:t>
            </w:r>
            <w:r>
              <w:rPr>
                <w:rFonts w:hint="eastAsia" w:hAnsi="Times New Roman" w:eastAsiaTheme="minorEastAsia"/>
                <w:kern w:val="2"/>
                <w:sz w:val="21"/>
                <w:szCs w:val="21"/>
                <w:vertAlign w:val="superscript"/>
                <w:lang w:bidi="ar"/>
              </w:rPr>
              <w:t xml:space="preserve">2 </w:t>
            </w:r>
            <w:r>
              <w:rPr>
                <w:rFonts w:hint="eastAsia" w:hAnsi="Times New Roman" w:eastAsiaTheme="minorEastAsia"/>
                <w:kern w:val="2"/>
                <w:sz w:val="21"/>
                <w:szCs w:val="21"/>
                <w:lang w:bidi="ar"/>
              </w:rPr>
              <w:t>时（包括永久和临时占用陆域和水域），评价等级不低于二级；改扩建项目的占地范围以新增占地（包括陆域和水域）确定</w:t>
            </w:r>
          </w:p>
        </w:tc>
        <w:tc>
          <w:tcPr>
            <w:tcW w:w="2500" w:type="pct"/>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lang w:eastAsia="zh-CN"/>
              </w:rPr>
              <w:t>总用地面积</w:t>
            </w:r>
            <w:r>
              <w:rPr>
                <w:rFonts w:hint="eastAsia" w:hAnsi="Times New Roman" w:eastAsiaTheme="minorEastAsia"/>
                <w:kern w:val="2"/>
                <w:sz w:val="21"/>
                <w:szCs w:val="21"/>
              </w:rPr>
              <w:t>4.6hm</w:t>
            </w:r>
            <w:r>
              <w:rPr>
                <w:rFonts w:hint="eastAsia" w:hAnsi="Times New Roman" w:eastAsiaTheme="minorEastAsia"/>
                <w:kern w:val="2"/>
                <w:sz w:val="21"/>
                <w:szCs w:val="21"/>
                <w:vertAlign w:val="superscript"/>
                <w:lang w:eastAsia="zh-CN"/>
              </w:rPr>
              <w:t>2</w:t>
            </w:r>
            <w:r>
              <w:rPr>
                <w:rFonts w:hint="eastAsia" w:hAnsi="Times New Roman" w:eastAsiaTheme="minorEastAsia"/>
                <w:kern w:val="2"/>
                <w:sz w:val="21"/>
                <w:szCs w:val="21"/>
                <w:lang w:eastAsia="zh-CN"/>
              </w:rPr>
              <w:t>，占地规模小于20km</w:t>
            </w:r>
            <w:r>
              <w:rPr>
                <w:rFonts w:hint="eastAsia" w:hAnsi="Times New Roman" w:eastAsiaTheme="minorEastAsia"/>
                <w:kern w:val="2"/>
                <w:sz w:val="21"/>
                <w:szCs w:val="21"/>
                <w:vertAlign w:val="superscript"/>
                <w:lang w:eastAsia="zh-CN"/>
              </w:rPr>
              <w:t>2</w:t>
            </w:r>
          </w:p>
        </w:tc>
      </w:tr>
    </w:tbl>
    <w:p>
      <w:pPr>
        <w:spacing w:line="360" w:lineRule="auto"/>
        <w:ind w:firstLine="480" w:firstLineChars="200"/>
        <w:rPr>
          <w:rFonts w:hAnsi="Times New Roman" w:eastAsia="宋体"/>
          <w:szCs w:val="24"/>
          <w:lang w:eastAsia="zh-CN"/>
        </w:rPr>
      </w:pPr>
      <w:r>
        <w:rPr>
          <w:rFonts w:hAnsi="Times New Roman" w:eastAsia="宋体"/>
          <w:szCs w:val="24"/>
        </w:rPr>
        <w:t>根据导则6.1.2中的评价等级确定原则，七里峡煤矿工程占地4.6hm</w:t>
      </w:r>
      <w:r>
        <w:rPr>
          <w:rFonts w:hAnsi="Times New Roman" w:eastAsia="宋体"/>
          <w:szCs w:val="24"/>
          <w:vertAlign w:val="superscript"/>
        </w:rPr>
        <w:t>2</w:t>
      </w:r>
      <w:r>
        <w:rPr>
          <w:rFonts w:hAnsi="Times New Roman" w:eastAsia="宋体"/>
          <w:szCs w:val="24"/>
          <w:lang w:eastAsia="zh-CN"/>
        </w:rPr>
        <w:t>，面积≤2km</w:t>
      </w:r>
      <w:r>
        <w:rPr>
          <w:rFonts w:hAnsi="Times New Roman" w:eastAsia="宋体"/>
          <w:szCs w:val="24"/>
          <w:vertAlign w:val="superscript"/>
          <w:lang w:eastAsia="zh-CN"/>
        </w:rPr>
        <w:t>2</w:t>
      </w:r>
      <w:r>
        <w:rPr>
          <w:rFonts w:hint="eastAsia" w:hAnsi="Times New Roman" w:eastAsia="宋体"/>
          <w:szCs w:val="24"/>
          <w:lang w:eastAsia="zh-CN"/>
        </w:rPr>
        <w:t>；依据《环境影响评价技术导则-生态影响》（HJ19-2022）标准的规定，项目符合生态导则6.1.2中“b）、e）”的评价等级判定依据，判定生态环境评价工作等级为二级；</w:t>
      </w:r>
      <w:r>
        <w:rPr>
          <w:rFonts w:hAnsi="Times New Roman" w:eastAsia="宋体"/>
          <w:szCs w:val="24"/>
          <w:lang w:eastAsia="zh-CN"/>
        </w:rPr>
        <w:t>同时</w:t>
      </w:r>
      <w:r>
        <w:rPr>
          <w:rFonts w:hAnsi="Times New Roman" w:eastAsia="宋体"/>
          <w:szCs w:val="24"/>
        </w:rPr>
        <w:t>根据《环境影响评价技术导则生态影响》</w:t>
      </w:r>
      <w:r>
        <w:rPr>
          <w:rFonts w:hint="eastAsia" w:hAnsi="Times New Roman" w:eastAsia="宋体"/>
          <w:szCs w:val="24"/>
          <w:lang w:eastAsia="zh-CN"/>
        </w:rPr>
        <w:t>6.15章节中，</w:t>
      </w:r>
      <w:r>
        <w:rPr>
          <w:rFonts w:hAnsi="Times New Roman" w:eastAsia="宋体"/>
          <w:szCs w:val="24"/>
        </w:rPr>
        <w:t>地下开采可能会造成地表沉陷，从而对局部区域的土地利用类型的改变较明显，应上调一级</w:t>
      </w:r>
      <w:r>
        <w:rPr>
          <w:rFonts w:hint="eastAsia" w:hAnsi="Times New Roman" w:eastAsia="宋体"/>
          <w:szCs w:val="24"/>
          <w:lang w:eastAsia="zh-CN"/>
        </w:rPr>
        <w:t>。但本项目是在原址上改建施工，无新增占地，故本次评价不上调等级</w:t>
      </w:r>
      <w:r>
        <w:rPr>
          <w:rFonts w:hAnsi="Times New Roman" w:eastAsia="宋体"/>
          <w:szCs w:val="24"/>
        </w:rPr>
        <w:t>。综上，</w:t>
      </w:r>
      <w:r>
        <w:rPr>
          <w:rFonts w:hAnsi="Times New Roman" w:eastAsia="宋体"/>
          <w:b/>
          <w:bCs/>
          <w:szCs w:val="24"/>
          <w:lang w:eastAsia="zh-CN"/>
        </w:rPr>
        <w:t>判定评定</w:t>
      </w:r>
      <w:r>
        <w:rPr>
          <w:rFonts w:hint="eastAsia" w:hAnsi="Times New Roman" w:eastAsia="宋体"/>
          <w:b/>
          <w:bCs/>
          <w:szCs w:val="24"/>
          <w:lang w:eastAsia="zh-CN"/>
        </w:rPr>
        <w:t>陆生</w:t>
      </w:r>
      <w:r>
        <w:rPr>
          <w:rFonts w:hAnsi="Times New Roman" w:eastAsia="宋体"/>
          <w:b/>
          <w:bCs/>
          <w:szCs w:val="24"/>
          <w:lang w:eastAsia="zh-CN" w:bidi="ar"/>
        </w:rPr>
        <w:t>生态环境评价工作等级为</w:t>
      </w:r>
      <w:r>
        <w:rPr>
          <w:rFonts w:hint="eastAsia" w:hAnsi="Times New Roman" w:eastAsia="宋体"/>
          <w:b/>
          <w:bCs/>
          <w:szCs w:val="24"/>
          <w:lang w:eastAsia="zh-CN" w:bidi="ar"/>
        </w:rPr>
        <w:t>二</w:t>
      </w:r>
      <w:r>
        <w:rPr>
          <w:rFonts w:hAnsi="Times New Roman" w:eastAsia="宋体"/>
          <w:b/>
          <w:bCs/>
          <w:szCs w:val="24"/>
          <w:lang w:eastAsia="zh-CN" w:bidi="ar"/>
        </w:rPr>
        <w:t>级</w:t>
      </w:r>
      <w:r>
        <w:rPr>
          <w:rFonts w:hAnsi="Times New Roman" w:eastAsia="宋体"/>
          <w:szCs w:val="24"/>
        </w:rPr>
        <w:t>。</w:t>
      </w:r>
    </w:p>
    <w:p>
      <w:pPr>
        <w:spacing w:line="360" w:lineRule="auto"/>
        <w:ind w:firstLine="512" w:firstLineChars="200"/>
        <w:rPr>
          <w:rFonts w:eastAsiaTheme="minorEastAsia"/>
          <w:b/>
          <w:bCs/>
          <w:lang w:eastAsia="zh-CN"/>
        </w:rPr>
      </w:pPr>
      <w:r>
        <w:rPr>
          <w:rFonts w:hAnsi="Times New Roman" w:eastAsia="宋体"/>
          <w:spacing w:val="8"/>
          <w:szCs w:val="24"/>
        </w:rPr>
        <w:t>本项目</w:t>
      </w:r>
      <w:r>
        <w:rPr>
          <w:rFonts w:hAnsi="Times New Roman" w:eastAsia="宋体"/>
          <w:lang w:eastAsia="zh-CN"/>
        </w:rPr>
        <w:t>为地下开采工程，整个工程无涉水施工</w:t>
      </w:r>
      <w:r>
        <w:rPr>
          <w:rFonts w:hAnsi="Times New Roman" w:eastAsia="宋体"/>
          <w:spacing w:val="8"/>
          <w:szCs w:val="24"/>
        </w:rPr>
        <w:t>；</w:t>
      </w:r>
      <w:r>
        <w:rPr>
          <w:rFonts w:hAnsi="Times New Roman" w:eastAsia="宋体"/>
          <w:spacing w:val="8"/>
          <w:szCs w:val="24"/>
          <w:lang w:eastAsia="zh-CN"/>
        </w:rPr>
        <w:t>但</w:t>
      </w:r>
      <w:r>
        <w:rPr>
          <w:rFonts w:hAnsi="Times New Roman" w:eastAsia="宋体"/>
          <w:spacing w:val="8"/>
          <w:szCs w:val="24"/>
        </w:rPr>
        <w:t>本项</w:t>
      </w:r>
      <w:r>
        <w:rPr>
          <w:rFonts w:hAnsi="Times New Roman" w:eastAsia="宋体"/>
          <w:spacing w:val="8"/>
          <w:szCs w:val="24"/>
          <w:lang w:eastAsia="zh-CN"/>
        </w:rPr>
        <w:t>矿井涌水经过沉淀处理后会有部分外排到河流</w:t>
      </w:r>
      <w:r>
        <w:rPr>
          <w:rFonts w:hAnsi="Times New Roman" w:eastAsia="宋体"/>
          <w:spacing w:val="8"/>
          <w:szCs w:val="24"/>
        </w:rPr>
        <w:t>，不涉及水生生态敏感区、鱼类“三场”和洄游通道。因此，</w:t>
      </w:r>
      <w:r>
        <w:rPr>
          <w:rFonts w:hAnsi="Times New Roman" w:eastAsia="宋体"/>
          <w:b/>
          <w:bCs/>
          <w:spacing w:val="8"/>
          <w:szCs w:val="24"/>
        </w:rPr>
        <w:t>本项目水生生态评价等级为三级。</w:t>
      </w:r>
    </w:p>
    <w:p>
      <w:pPr>
        <w:spacing w:line="360" w:lineRule="auto"/>
        <w:rPr>
          <w:rFonts w:hAnsi="Times New Roman" w:eastAsia="宋体"/>
          <w:b/>
          <w:bCs/>
          <w:szCs w:val="22"/>
          <w:lang w:eastAsia="zh-CN"/>
        </w:rPr>
      </w:pPr>
      <w:r>
        <w:rPr>
          <w:rFonts w:hAnsi="Times New Roman" w:eastAsia="宋体"/>
          <w:b/>
          <w:bCs/>
          <w:szCs w:val="22"/>
          <w:lang w:eastAsia="zh-CN"/>
        </w:rPr>
        <w:t>1.6.1.6 土壤环境评价等级</w:t>
      </w:r>
    </w:p>
    <w:p>
      <w:pPr>
        <w:spacing w:line="360" w:lineRule="auto"/>
        <w:ind w:firstLine="480" w:firstLineChars="200"/>
        <w:rPr>
          <w:rFonts w:hAnsi="Times New Roman" w:eastAsia="宋体"/>
          <w:lang w:eastAsia="zh-CN"/>
        </w:rPr>
      </w:pPr>
      <w:r>
        <w:rPr>
          <w:rFonts w:hAnsi="Times New Roman" w:eastAsia="宋体"/>
          <w:lang w:eastAsia="zh-CN"/>
        </w:rPr>
        <w:t>本项目为煤矿采选项目，按导则规定属于Ⅱ类项目，按影响类型分，建设项目占地属于污染影响型，开采区属于生态影响型，即生态影响和污染影响型两种类型兼有的项目。</w:t>
      </w:r>
    </w:p>
    <w:p>
      <w:pPr>
        <w:spacing w:line="360" w:lineRule="auto"/>
        <w:ind w:firstLine="482" w:firstLineChars="200"/>
        <w:rPr>
          <w:rFonts w:hAnsi="Times New Roman" w:eastAsia="宋体"/>
          <w:b/>
          <w:bCs/>
          <w:lang w:eastAsia="zh-CN"/>
        </w:rPr>
      </w:pPr>
      <w:r>
        <w:rPr>
          <w:rFonts w:hint="eastAsia" w:hAnsi="Times New Roman" w:eastAsia="宋体"/>
          <w:b/>
          <w:bCs/>
          <w:lang w:eastAsia="zh-CN"/>
        </w:rPr>
        <w:t>1）</w:t>
      </w:r>
      <w:r>
        <w:rPr>
          <w:rFonts w:hAnsi="Times New Roman" w:eastAsia="宋体"/>
          <w:b/>
          <w:bCs/>
          <w:lang w:eastAsia="zh-CN"/>
        </w:rPr>
        <w:t>生态影响型</w:t>
      </w:r>
    </w:p>
    <w:p>
      <w:pPr>
        <w:spacing w:line="360" w:lineRule="auto"/>
        <w:ind w:firstLine="480" w:firstLineChars="200"/>
        <w:rPr>
          <w:rFonts w:hAnsi="Times New Roman" w:eastAsia="宋体"/>
          <w:lang w:eastAsia="zh-CN"/>
        </w:rPr>
      </w:pPr>
      <w:r>
        <w:rPr>
          <w:rFonts w:hAnsi="Times New Roman" w:eastAsia="宋体"/>
          <w:lang w:eastAsia="zh-CN"/>
        </w:rPr>
        <w:t>土壤生态影响型的评价重点为盐化、酸化、碱化。对照《环境影响评价技术导则土壤环境（试行）》（HJ964-2018）表1生态影响型敏感程度分级表分别识别盐化、酸化与碱化的敏感性。</w:t>
      </w:r>
    </w:p>
    <w:p>
      <w:pPr>
        <w:pStyle w:val="14"/>
        <w:overflowPunct w:val="0"/>
        <w:spacing w:line="360" w:lineRule="auto"/>
        <w:ind w:right="215" w:firstLine="482" w:firstLineChars="200"/>
        <w:rPr>
          <w:rFonts w:ascii="Times New Roman" w:hAnsi="Times New Roman"/>
          <w:bCs w:val="0"/>
          <w:kern w:val="0"/>
          <w:sz w:val="24"/>
          <w:szCs w:val="22"/>
          <w:lang w:eastAsia="zh-CN"/>
        </w:rPr>
      </w:pPr>
      <w:r>
        <w:rPr>
          <w:rFonts w:ascii="Times New Roman" w:hAnsi="Times New Roman"/>
          <w:b/>
          <w:sz w:val="24"/>
        </w:rPr>
        <w:t>盐化敏感程度：</w:t>
      </w:r>
      <w:r>
        <w:rPr>
          <w:rFonts w:ascii="Times New Roman" w:hAnsi="Times New Roman"/>
          <w:bCs w:val="0"/>
          <w:kern w:val="0"/>
          <w:sz w:val="24"/>
          <w:szCs w:val="22"/>
          <w:lang w:eastAsia="zh-CN"/>
        </w:rPr>
        <w:t>经查询达州市气象资料</w:t>
      </w:r>
      <w:r>
        <w:rPr>
          <w:rFonts w:hint="eastAsia" w:ascii="Times New Roman" w:hAnsi="Times New Roman"/>
          <w:bCs w:val="0"/>
          <w:kern w:val="0"/>
          <w:sz w:val="24"/>
          <w:szCs w:val="22"/>
          <w:lang w:eastAsia="zh-CN"/>
        </w:rPr>
        <w:t>数据</w:t>
      </w:r>
      <w:r>
        <w:rPr>
          <w:rFonts w:ascii="Times New Roman" w:hAnsi="Times New Roman"/>
          <w:bCs w:val="0"/>
          <w:kern w:val="0"/>
          <w:sz w:val="24"/>
          <w:szCs w:val="22"/>
          <w:lang w:eastAsia="zh-CN"/>
        </w:rPr>
        <w:t>，达州市近10年平均降水量为 1100mm，年均蒸发量为1118mm，因此地区的干燥度为1.02＜2.5；达州市的地下水水位埋深大于3.0m，根据土壤检测数据，土壤含盐量为1.2</w:t>
      </w:r>
      <w:r>
        <w:rPr>
          <w:rFonts w:hint="eastAsia" w:ascii="Times New Roman" w:hAnsi="Times New Roman"/>
          <w:bCs w:val="0"/>
          <w:kern w:val="0"/>
          <w:sz w:val="24"/>
          <w:szCs w:val="22"/>
          <w:lang w:eastAsia="zh-CN"/>
        </w:rPr>
        <w:t>～</w:t>
      </w:r>
      <w:r>
        <w:rPr>
          <w:rFonts w:ascii="Times New Roman" w:hAnsi="Times New Roman"/>
          <w:bCs w:val="0"/>
          <w:kern w:val="0"/>
          <w:sz w:val="24"/>
          <w:szCs w:val="22"/>
          <w:lang w:eastAsia="zh-CN"/>
        </w:rPr>
        <w:t>1.5g/kg≤2.0g/kg，盐化敏感程度为不敏感。</w:t>
      </w:r>
    </w:p>
    <w:p>
      <w:pPr>
        <w:pStyle w:val="14"/>
        <w:overflowPunct w:val="0"/>
        <w:spacing w:line="360" w:lineRule="auto"/>
        <w:ind w:right="212" w:firstLine="462" w:firstLineChars="200"/>
        <w:rPr>
          <w:rFonts w:ascii="Times New Roman" w:hAnsi="Times New Roman"/>
          <w:bCs w:val="0"/>
          <w:kern w:val="0"/>
          <w:sz w:val="24"/>
          <w:szCs w:val="22"/>
          <w:lang w:eastAsia="zh-CN"/>
        </w:rPr>
      </w:pPr>
      <w:r>
        <w:rPr>
          <w:rFonts w:ascii="Times New Roman" w:hAnsi="Times New Roman"/>
          <w:b/>
          <w:spacing w:val="-5"/>
          <w:sz w:val="24"/>
        </w:rPr>
        <w:t>酸化、碱化：</w:t>
      </w:r>
      <w:r>
        <w:rPr>
          <w:rFonts w:ascii="Times New Roman" w:hAnsi="Times New Roman"/>
          <w:bCs w:val="0"/>
          <w:kern w:val="0"/>
          <w:sz w:val="24"/>
          <w:szCs w:val="22"/>
          <w:lang w:eastAsia="zh-CN"/>
        </w:rPr>
        <w:t>根据土壤监测数据，土壤 pH值为6.28~7.31，酸化、碱化程度为不敏感。</w:t>
      </w:r>
    </w:p>
    <w:p>
      <w:pPr>
        <w:spacing w:line="360" w:lineRule="auto"/>
        <w:ind w:firstLine="480" w:firstLineChars="200"/>
        <w:rPr>
          <w:rFonts w:hAnsi="Times New Roman" w:eastAsia="宋体"/>
          <w:lang w:eastAsia="zh-CN"/>
        </w:rPr>
      </w:pPr>
      <w:r>
        <w:rPr>
          <w:rFonts w:hAnsi="Times New Roman" w:eastAsia="宋体"/>
          <w:lang w:eastAsia="zh-CN"/>
        </w:rPr>
        <w:t>综上所述，本项目生态敏感程度为不敏感。</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表1.</w:t>
      </w:r>
      <w:r>
        <w:rPr>
          <w:rFonts w:hint="eastAsia" w:hAnsi="Times New Roman" w:eastAsia="宋体"/>
          <w:b/>
          <w:bCs/>
          <w:sz w:val="21"/>
          <w:szCs w:val="21"/>
          <w:lang w:eastAsia="zh-CN"/>
        </w:rPr>
        <w:t>6-10</w:t>
      </w:r>
      <w:r>
        <w:rPr>
          <w:rFonts w:hAnsi="Times New Roman" w:eastAsia="宋体"/>
          <w:b/>
          <w:bCs/>
          <w:sz w:val="21"/>
          <w:szCs w:val="21"/>
          <w:lang w:eastAsia="zh-CN"/>
        </w:rPr>
        <w:t>生态影响型敏感程度分级表</w:t>
      </w:r>
    </w:p>
    <w:tbl>
      <w:tblPr>
        <w:tblStyle w:val="33"/>
        <w:tblW w:w="5000" w:type="pct"/>
        <w:jc w:val="center"/>
        <w:tblLayout w:type="autofit"/>
        <w:tblCellMar>
          <w:top w:w="0" w:type="dxa"/>
          <w:left w:w="108" w:type="dxa"/>
          <w:bottom w:w="0" w:type="dxa"/>
          <w:right w:w="108" w:type="dxa"/>
        </w:tblCellMar>
      </w:tblPr>
      <w:tblGrid>
        <w:gridCol w:w="1289"/>
        <w:gridCol w:w="4050"/>
        <w:gridCol w:w="1845"/>
        <w:gridCol w:w="2160"/>
      </w:tblGrid>
      <w:tr>
        <w:tblPrEx>
          <w:tblCellMar>
            <w:top w:w="0" w:type="dxa"/>
            <w:left w:w="108" w:type="dxa"/>
            <w:bottom w:w="0" w:type="dxa"/>
            <w:right w:w="108" w:type="dxa"/>
          </w:tblCellMar>
        </w:tblPrEx>
        <w:trPr>
          <w:trHeight w:val="340" w:hRule="atLeast"/>
          <w:tblHeader/>
          <w:jc w:val="center"/>
        </w:trPr>
        <w:tc>
          <w:tcPr>
            <w:tcW w:w="690" w:type="pct"/>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val="0"/>
              <w:snapToGrid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敏感程度</w:t>
            </w:r>
          </w:p>
        </w:tc>
        <w:tc>
          <w:tcPr>
            <w:tcW w:w="4310" w:type="pct"/>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val="0"/>
              <w:snapToGrid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判别依据</w:t>
            </w:r>
          </w:p>
        </w:tc>
      </w:tr>
      <w:tr>
        <w:tblPrEx>
          <w:tblCellMar>
            <w:top w:w="0" w:type="dxa"/>
            <w:left w:w="108" w:type="dxa"/>
            <w:bottom w:w="0" w:type="dxa"/>
            <w:right w:w="108" w:type="dxa"/>
          </w:tblCellMar>
        </w:tblPrEx>
        <w:trPr>
          <w:trHeight w:val="340" w:hRule="atLeast"/>
          <w:tblHeader/>
          <w:jc w:val="center"/>
        </w:trPr>
        <w:tc>
          <w:tcPr>
            <w:tcW w:w="690" w:type="pct"/>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val="0"/>
              <w:snapToGrid w:val="0"/>
              <w:spacing w:before="0" w:beforeAutospacing="0" w:after="0" w:afterAutospacing="0"/>
              <w:ind w:left="0" w:right="0"/>
              <w:jc w:val="center"/>
              <w:rPr>
                <w:rFonts w:hint="eastAsia" w:hAnsi="Times New Roman" w:eastAsia="宋体"/>
                <w:b/>
                <w:bCs/>
                <w:kern w:val="2"/>
                <w:sz w:val="21"/>
                <w:szCs w:val="21"/>
              </w:rPr>
            </w:pPr>
          </w:p>
        </w:tc>
        <w:tc>
          <w:tcPr>
            <w:tcW w:w="2167" w:type="pc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val="0"/>
              <w:snapToGrid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盐化</w:t>
            </w:r>
          </w:p>
        </w:tc>
        <w:tc>
          <w:tcPr>
            <w:tcW w:w="987" w:type="pc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val="0"/>
              <w:snapToGrid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酸化</w:t>
            </w:r>
          </w:p>
        </w:tc>
        <w:tc>
          <w:tcPr>
            <w:tcW w:w="1157" w:type="pc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val="0"/>
              <w:snapToGrid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碱化</w:t>
            </w:r>
          </w:p>
        </w:tc>
      </w:tr>
      <w:tr>
        <w:tblPrEx>
          <w:tblCellMar>
            <w:top w:w="0" w:type="dxa"/>
            <w:left w:w="108" w:type="dxa"/>
            <w:bottom w:w="0" w:type="dxa"/>
            <w:right w:w="108" w:type="dxa"/>
          </w:tblCellMar>
        </w:tblPrEx>
        <w:trPr>
          <w:trHeight w:val="340" w:hRule="atLeast"/>
          <w:jc w:val="center"/>
        </w:trPr>
        <w:tc>
          <w:tcPr>
            <w:tcW w:w="690" w:type="pc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敏感</w:t>
            </w:r>
          </w:p>
        </w:tc>
        <w:tc>
          <w:tcPr>
            <w:tcW w:w="2167" w:type="pc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建设项目所在地干燥度 a＞2.5 且常年地下水位平均埋深＜1.5m 的地势平坦 区域；或土壤含盐量＞4g/kg 的区域</w:t>
            </w:r>
          </w:p>
        </w:tc>
        <w:tc>
          <w:tcPr>
            <w:tcW w:w="987" w:type="pc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pH≤4.5</w:t>
            </w:r>
          </w:p>
        </w:tc>
        <w:tc>
          <w:tcPr>
            <w:tcW w:w="1157" w:type="pc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pH≥9.0</w:t>
            </w:r>
          </w:p>
        </w:tc>
      </w:tr>
      <w:tr>
        <w:tblPrEx>
          <w:tblCellMar>
            <w:top w:w="0" w:type="dxa"/>
            <w:left w:w="108" w:type="dxa"/>
            <w:bottom w:w="0" w:type="dxa"/>
            <w:right w:w="108" w:type="dxa"/>
          </w:tblCellMar>
        </w:tblPrEx>
        <w:trPr>
          <w:trHeight w:val="340" w:hRule="atLeast"/>
          <w:jc w:val="center"/>
        </w:trPr>
        <w:tc>
          <w:tcPr>
            <w:tcW w:w="690" w:type="pc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较敏感</w:t>
            </w:r>
          </w:p>
        </w:tc>
        <w:tc>
          <w:tcPr>
            <w:tcW w:w="2167" w:type="pc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建设项目所在地干燥度＞2.5 且常年地下水位平均埋深≥1.5，或 1.8＜干燥度≤2.5 且常年地下水位平均埋深＜1.8m 的地势平坦区域；建设项目所在地干燥 度 a＞2.5 或常年地下水位平均埋深＜ 1.5m 的平原区；或 2g/kg＜土壤含盐量≤4g/kg 的区域</w:t>
            </w:r>
          </w:p>
        </w:tc>
        <w:tc>
          <w:tcPr>
            <w:tcW w:w="987" w:type="pc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4.5＜pH≤5.5</w:t>
            </w:r>
          </w:p>
        </w:tc>
        <w:tc>
          <w:tcPr>
            <w:tcW w:w="1157" w:type="pc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8.5≤pH＜9.0</w:t>
            </w:r>
          </w:p>
        </w:tc>
      </w:tr>
      <w:tr>
        <w:tblPrEx>
          <w:tblCellMar>
            <w:top w:w="0" w:type="dxa"/>
            <w:left w:w="108" w:type="dxa"/>
            <w:bottom w:w="0" w:type="dxa"/>
            <w:right w:w="108" w:type="dxa"/>
          </w:tblCellMar>
        </w:tblPrEx>
        <w:trPr>
          <w:trHeight w:val="340" w:hRule="atLeast"/>
          <w:jc w:val="center"/>
        </w:trPr>
        <w:tc>
          <w:tcPr>
            <w:tcW w:w="690" w:type="pc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不敏感</w:t>
            </w:r>
          </w:p>
        </w:tc>
        <w:tc>
          <w:tcPr>
            <w:tcW w:w="2167" w:type="pc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其他</w:t>
            </w:r>
          </w:p>
        </w:tc>
        <w:tc>
          <w:tcPr>
            <w:tcW w:w="2143" w:type="pct"/>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5.5＜pH＜8.5</w:t>
            </w:r>
          </w:p>
        </w:tc>
      </w:tr>
      <w:tr>
        <w:tblPrEx>
          <w:tblCellMar>
            <w:top w:w="0" w:type="dxa"/>
            <w:left w:w="108" w:type="dxa"/>
            <w:bottom w:w="0" w:type="dxa"/>
            <w:right w:w="108" w:type="dxa"/>
          </w:tblCellMar>
        </w:tblPrEx>
        <w:trPr>
          <w:trHeight w:val="340" w:hRule="atLeast"/>
          <w:jc w:val="center"/>
        </w:trPr>
        <w:tc>
          <w:tcPr>
            <w:tcW w:w="5000" w:type="pct"/>
            <w:gridSpan w:val="4"/>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val="0"/>
              <w:snapToGrid w:val="0"/>
              <w:spacing w:before="0" w:beforeAutospacing="0" w:after="0" w:afterAutospacing="0"/>
              <w:ind w:left="0" w:right="0"/>
              <w:jc w:val="left"/>
              <w:rPr>
                <w:rFonts w:hint="eastAsia" w:hAnsi="Times New Roman" w:eastAsia="宋体"/>
                <w:kern w:val="2"/>
                <w:sz w:val="21"/>
                <w:szCs w:val="21"/>
              </w:rPr>
            </w:pPr>
            <w:r>
              <w:rPr>
                <w:rFonts w:hint="eastAsia" w:hAnsi="Times New Roman" w:eastAsia="宋体"/>
                <w:kern w:val="2"/>
                <w:sz w:val="21"/>
                <w:szCs w:val="21"/>
              </w:rPr>
              <w:t>干燥度是指采用E60观测的多年平均水面蒸发量与降雨量的比值，即蒸降比值。</w:t>
            </w:r>
          </w:p>
        </w:tc>
      </w:tr>
    </w:tbl>
    <w:p>
      <w:pPr>
        <w:pStyle w:val="14"/>
        <w:overflowPunct w:val="0"/>
        <w:spacing w:line="360" w:lineRule="auto"/>
        <w:ind w:right="212" w:firstLine="480" w:firstLineChars="200"/>
        <w:rPr>
          <w:rFonts w:ascii="Times New Roman" w:hAnsi="Times New Roman"/>
          <w:bCs w:val="0"/>
          <w:kern w:val="0"/>
          <w:sz w:val="24"/>
          <w:szCs w:val="22"/>
          <w:lang w:eastAsia="zh-CN"/>
        </w:rPr>
      </w:pPr>
      <w:r>
        <w:rPr>
          <w:rFonts w:ascii="Times New Roman" w:hAnsi="Times New Roman"/>
          <w:bCs w:val="0"/>
          <w:kern w:val="0"/>
          <w:sz w:val="24"/>
          <w:szCs w:val="22"/>
          <w:lang w:eastAsia="zh-CN"/>
        </w:rPr>
        <w:t>对照《环境影响评价技术导则 土壤环境（试行）》（HJ964-2018）表2生态影响型评价工作等级分级表</w:t>
      </w:r>
      <w:r>
        <w:rPr>
          <w:rFonts w:hint="eastAsia" w:ascii="Times New Roman" w:hAnsi="Times New Roman"/>
          <w:bCs w:val="0"/>
          <w:kern w:val="0"/>
          <w:sz w:val="24"/>
          <w:szCs w:val="22"/>
          <w:lang w:eastAsia="zh-CN"/>
        </w:rPr>
        <w:t>（见表1.6-11）</w:t>
      </w:r>
      <w:r>
        <w:rPr>
          <w:rFonts w:ascii="Times New Roman" w:hAnsi="Times New Roman"/>
          <w:bCs w:val="0"/>
          <w:kern w:val="0"/>
          <w:sz w:val="24"/>
          <w:szCs w:val="22"/>
          <w:lang w:eastAsia="zh-CN"/>
        </w:rPr>
        <w:t>，本项目井工开采区生态影响评价工作等级为三级。</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mc:AlternateContent>
          <mc:Choice Requires="wps">
            <w:drawing>
              <wp:anchor distT="0" distB="0" distL="114300" distR="114300" simplePos="0" relativeHeight="251683840" behindDoc="0" locked="0" layoutInCell="1" allowOverlap="1">
                <wp:simplePos x="0" y="0"/>
                <wp:positionH relativeFrom="column">
                  <wp:posOffset>-4445</wp:posOffset>
                </wp:positionH>
                <wp:positionV relativeFrom="paragraph">
                  <wp:posOffset>316865</wp:posOffset>
                </wp:positionV>
                <wp:extent cx="1464945" cy="398145"/>
                <wp:effectExtent l="0" t="0" r="21590" b="21590"/>
                <wp:wrapNone/>
                <wp:docPr id="55766533" name="直接连接符 3"/>
                <wp:cNvGraphicFramePr/>
                <a:graphic xmlns:a="http://schemas.openxmlformats.org/drawingml/2006/main">
                  <a:graphicData uri="http://schemas.microsoft.com/office/word/2010/wordprocessingShape">
                    <wps:wsp>
                      <wps:cNvCnPr/>
                      <wps:spPr>
                        <a:xfrm>
                          <a:off x="0" y="0"/>
                          <a:ext cx="1464734" cy="39793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3" o:spid="_x0000_s1026" o:spt="20" style="position:absolute;left:0pt;margin-left:-0.35pt;margin-top:24.95pt;height:31.35pt;width:115.35pt;z-index:251683840;mso-width-relative:page;mso-height-relative:page;" filled="f" stroked="t" coordsize="21600,21600" o:gfxdata="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tC2d11gAAAAgBAAAPAAAAAAAAAAEAIAAAACIAAABkcnMvZG93bnJldi54bWxQSwECFAAUAAAA&#10;CACHTuJAn/1povABAAC9AwAADgAAAAAAAAABACAAAAAlAQAAZHJzL2Uyb0RvYy54bWxQSwUGAAAA&#10;AAYABgBZAQAAhwUAAAAA&#10;">
                <v:fill on="f" focussize="0,0"/>
                <v:stroke weight="0.5pt" color="#000000 [3213]" miterlimit="8" joinstyle="miter"/>
                <v:imagedata o:title=""/>
                <o:lock v:ext="edit" aspectratio="f"/>
              </v:line>
            </w:pict>
          </mc:Fallback>
        </mc:AlternateContent>
      </w:r>
      <w:r>
        <w:rPr>
          <w:rFonts w:hAnsi="Times New Roman" w:eastAsia="宋体"/>
          <w:b/>
          <w:bCs/>
          <w:sz w:val="21"/>
          <w:szCs w:val="21"/>
          <w:lang w:eastAsia="zh-CN"/>
        </w:rPr>
        <w:t>表1.</w:t>
      </w:r>
      <w:r>
        <w:rPr>
          <w:rFonts w:hint="eastAsia" w:hAnsi="Times New Roman" w:eastAsia="宋体"/>
          <w:b/>
          <w:bCs/>
          <w:sz w:val="21"/>
          <w:szCs w:val="21"/>
          <w:lang w:eastAsia="zh-CN"/>
        </w:rPr>
        <w:t>6-11</w:t>
      </w:r>
      <w:r>
        <w:rPr>
          <w:rFonts w:hAnsi="Times New Roman" w:eastAsia="宋体"/>
          <w:b/>
          <w:bCs/>
          <w:sz w:val="21"/>
          <w:szCs w:val="21"/>
          <w:lang w:eastAsia="zh-CN"/>
        </w:rPr>
        <w:t>生态影响型评价工作等级划分表</w:t>
      </w:r>
    </w:p>
    <w:tbl>
      <w:tblPr>
        <w:tblStyle w:val="3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36"/>
        <w:gridCol w:w="2336"/>
        <w:gridCol w:w="2336"/>
        <w:gridCol w:w="23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0" w:type="pct"/>
            <w:vAlign w:val="center"/>
          </w:tcPr>
          <w:p>
            <w:pPr>
              <w:keepNext w:val="0"/>
              <w:keepLines w:val="0"/>
              <w:suppressLineNumbers w:val="0"/>
              <w:spacing w:before="0" w:beforeAutospacing="0" w:after="0" w:afterAutospacing="0"/>
              <w:ind w:left="0" w:right="0"/>
              <w:jc w:val="right"/>
              <w:rPr>
                <w:rFonts w:hint="eastAsia" w:hAnsi="Times New Roman" w:eastAsia="宋体"/>
                <w:b/>
                <w:kern w:val="2"/>
                <w:sz w:val="21"/>
                <w:szCs w:val="21"/>
              </w:rPr>
            </w:pPr>
            <w:r>
              <w:rPr>
                <w:rFonts w:hint="eastAsia" w:hAnsi="Times New Roman" w:eastAsia="宋体"/>
                <w:b/>
                <w:kern w:val="2"/>
                <w:sz w:val="21"/>
                <w:szCs w:val="21"/>
              </w:rPr>
              <w:t>项目类别</w:t>
            </w:r>
          </w:p>
          <w:p>
            <w:pPr>
              <w:keepNext w:val="0"/>
              <w:keepLines w:val="0"/>
              <w:suppressLineNumbers w:val="0"/>
              <w:spacing w:before="0" w:beforeAutospacing="0" w:after="0" w:afterAutospacing="0"/>
              <w:ind w:left="0" w:right="0"/>
              <w:jc w:val="left"/>
              <w:rPr>
                <w:rFonts w:hint="eastAsia" w:hAnsi="Times New Roman" w:eastAsia="宋体"/>
                <w:b/>
                <w:kern w:val="2"/>
                <w:sz w:val="21"/>
                <w:szCs w:val="21"/>
              </w:rPr>
            </w:pPr>
            <w:r>
              <w:rPr>
                <w:rFonts w:hint="eastAsia" w:hAnsi="Times New Roman" w:eastAsia="宋体"/>
                <w:b/>
                <w:kern w:val="2"/>
                <w:sz w:val="21"/>
                <w:szCs w:val="21"/>
              </w:rPr>
              <w:t>敏感程度</w:t>
            </w:r>
          </w:p>
        </w:tc>
        <w:tc>
          <w:tcPr>
            <w:tcW w:w="1250" w:type="pct"/>
            <w:vAlign w:val="center"/>
          </w:tcPr>
          <w:p>
            <w:pPr>
              <w:keepNext w:val="0"/>
              <w:keepLines w:val="0"/>
              <w:suppressLineNumbers w:val="0"/>
              <w:spacing w:before="0" w:beforeAutospacing="0" w:after="0" w:afterAutospacing="0"/>
              <w:ind w:left="0" w:right="0"/>
              <w:jc w:val="center"/>
              <w:rPr>
                <w:rFonts w:hint="eastAsia" w:hAnsi="Times New Roman" w:eastAsia="宋体"/>
                <w:b/>
                <w:kern w:val="2"/>
                <w:sz w:val="21"/>
                <w:szCs w:val="21"/>
              </w:rPr>
            </w:pPr>
            <w:r>
              <w:rPr>
                <w:rFonts w:hint="eastAsia" w:hAnsi="Times New Roman" w:eastAsia="宋体"/>
                <w:b/>
                <w:kern w:val="2"/>
                <w:sz w:val="21"/>
                <w:szCs w:val="21"/>
              </w:rPr>
              <w:t>I类项目</w:t>
            </w:r>
          </w:p>
        </w:tc>
        <w:tc>
          <w:tcPr>
            <w:tcW w:w="1250" w:type="pct"/>
            <w:vAlign w:val="center"/>
          </w:tcPr>
          <w:p>
            <w:pPr>
              <w:keepNext w:val="0"/>
              <w:keepLines w:val="0"/>
              <w:suppressLineNumbers w:val="0"/>
              <w:spacing w:before="0" w:beforeAutospacing="0" w:after="0" w:afterAutospacing="0"/>
              <w:ind w:left="0" w:right="0"/>
              <w:jc w:val="center"/>
              <w:rPr>
                <w:rFonts w:hint="eastAsia" w:hAnsi="Times New Roman" w:eastAsia="宋体"/>
                <w:b/>
                <w:kern w:val="2"/>
                <w:sz w:val="21"/>
                <w:szCs w:val="21"/>
              </w:rPr>
            </w:pPr>
            <w:r>
              <w:rPr>
                <w:rFonts w:hint="eastAsia" w:hAnsi="Times New Roman" w:eastAsia="宋体"/>
                <w:b/>
                <w:kern w:val="2"/>
                <w:sz w:val="21"/>
                <w:szCs w:val="21"/>
                <w:lang w:eastAsia="zh-CN"/>
              </w:rPr>
              <w:t>Ⅱ类</w:t>
            </w:r>
            <w:r>
              <w:rPr>
                <w:rFonts w:hint="eastAsia" w:hAnsi="Times New Roman" w:eastAsia="宋体"/>
                <w:b/>
                <w:kern w:val="2"/>
                <w:sz w:val="21"/>
                <w:szCs w:val="21"/>
              </w:rPr>
              <w:t>项目</w:t>
            </w:r>
          </w:p>
        </w:tc>
        <w:tc>
          <w:tcPr>
            <w:tcW w:w="1250" w:type="pct"/>
            <w:vAlign w:val="center"/>
          </w:tcPr>
          <w:p>
            <w:pPr>
              <w:keepNext w:val="0"/>
              <w:keepLines w:val="0"/>
              <w:suppressLineNumbers w:val="0"/>
              <w:spacing w:before="0" w:beforeAutospacing="0" w:after="0" w:afterAutospacing="0"/>
              <w:ind w:left="0" w:right="0"/>
              <w:jc w:val="center"/>
              <w:rPr>
                <w:rFonts w:hint="eastAsia" w:hAnsi="Times New Roman" w:eastAsia="宋体"/>
                <w:b/>
                <w:kern w:val="2"/>
                <w:sz w:val="21"/>
                <w:szCs w:val="21"/>
              </w:rPr>
            </w:pPr>
            <w:r>
              <w:rPr>
                <w:rFonts w:hint="eastAsia" w:hAnsi="Times New Roman" w:eastAsia="宋体"/>
                <w:b/>
                <w:kern w:val="2"/>
                <w:sz w:val="21"/>
                <w:szCs w:val="21"/>
              </w:rPr>
              <w:t>III类项目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敏感</w:t>
            </w:r>
          </w:p>
        </w:tc>
        <w:tc>
          <w:tcPr>
            <w:tcW w:w="125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一级</w:t>
            </w:r>
          </w:p>
        </w:tc>
        <w:tc>
          <w:tcPr>
            <w:tcW w:w="125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二级</w:t>
            </w:r>
          </w:p>
        </w:tc>
        <w:tc>
          <w:tcPr>
            <w:tcW w:w="125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较敏感</w:t>
            </w:r>
          </w:p>
        </w:tc>
        <w:tc>
          <w:tcPr>
            <w:tcW w:w="125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二级</w:t>
            </w:r>
          </w:p>
        </w:tc>
        <w:tc>
          <w:tcPr>
            <w:tcW w:w="125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二级</w:t>
            </w:r>
          </w:p>
        </w:tc>
        <w:tc>
          <w:tcPr>
            <w:tcW w:w="125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不敏感</w:t>
            </w:r>
          </w:p>
        </w:tc>
        <w:tc>
          <w:tcPr>
            <w:tcW w:w="125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二级</w:t>
            </w:r>
          </w:p>
        </w:tc>
        <w:tc>
          <w:tcPr>
            <w:tcW w:w="125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三级</w:t>
            </w:r>
            <w:r>
              <w:rPr>
                <w:rFonts w:hint="eastAsia" w:hAnsi="Times New Roman" w:eastAsia="宋体"/>
                <w:b/>
                <w:kern w:val="2"/>
                <w:sz w:val="21"/>
                <w:szCs w:val="21"/>
              </w:rPr>
              <w:t>（√）</w:t>
            </w:r>
          </w:p>
        </w:tc>
        <w:tc>
          <w:tcPr>
            <w:tcW w:w="1250" w:type="pct"/>
            <w:vAlign w:val="center"/>
          </w:tcPr>
          <w:p>
            <w:pPr>
              <w:keepNext w:val="0"/>
              <w:keepLines w:val="0"/>
              <w:suppressLineNumbers w:val="0"/>
              <w:spacing w:before="0" w:beforeAutospacing="0" w:after="0" w:afterAutospacing="0"/>
              <w:ind w:left="0" w:right="0"/>
              <w:jc w:val="center"/>
              <w:rPr>
                <w:rFonts w:hint="eastAsia" w:hAnsi="Times New Roman" w:eastAsia="宋体"/>
                <w:b/>
                <w:kern w:val="2"/>
                <w:sz w:val="21"/>
                <w:szCs w:val="21"/>
              </w:rPr>
            </w:pPr>
            <w:r>
              <w:rPr>
                <w:rFonts w:hint="eastAsia" w:hAnsi="Times New Roman" w:eastAsia="宋体"/>
                <w:b/>
                <w:kern w:val="2"/>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4"/>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rPr>
            </w:pPr>
            <w:r>
              <w:rPr>
                <w:rFonts w:hint="eastAsia" w:hAnsi="Times New Roman" w:eastAsia="宋体"/>
                <w:kern w:val="2"/>
                <w:sz w:val="21"/>
                <w:szCs w:val="21"/>
              </w:rPr>
              <w:t>注：“-”表示可不开展土壤环境影响评价工作。</w:t>
            </w:r>
          </w:p>
        </w:tc>
      </w:tr>
    </w:tbl>
    <w:p>
      <w:pPr>
        <w:pStyle w:val="14"/>
        <w:overflowPunct w:val="0"/>
        <w:spacing w:line="360" w:lineRule="auto"/>
        <w:ind w:right="212" w:firstLine="482" w:firstLineChars="200"/>
        <w:rPr>
          <w:rFonts w:ascii="Times New Roman" w:hAnsi="Times New Roman"/>
          <w:b/>
          <w:kern w:val="0"/>
          <w:sz w:val="24"/>
          <w:szCs w:val="22"/>
          <w:lang w:eastAsia="zh-CN"/>
        </w:rPr>
      </w:pPr>
      <w:r>
        <w:rPr>
          <w:rFonts w:hint="eastAsia" w:ascii="Times New Roman" w:hAnsi="Times New Roman"/>
          <w:b/>
          <w:kern w:val="0"/>
          <w:sz w:val="24"/>
          <w:szCs w:val="22"/>
          <w:lang w:eastAsia="zh-CN"/>
        </w:rPr>
        <w:t>2）</w:t>
      </w:r>
      <w:r>
        <w:rPr>
          <w:rFonts w:ascii="Times New Roman" w:hAnsi="Times New Roman"/>
          <w:b/>
          <w:kern w:val="0"/>
          <w:sz w:val="24"/>
          <w:szCs w:val="22"/>
          <w:lang w:eastAsia="zh-CN"/>
        </w:rPr>
        <w:t>污染影响型</w:t>
      </w:r>
    </w:p>
    <w:p>
      <w:pPr>
        <w:pStyle w:val="14"/>
        <w:overflowPunct w:val="0"/>
        <w:spacing w:line="360" w:lineRule="auto"/>
        <w:ind w:right="212" w:firstLine="480" w:firstLineChars="200"/>
        <w:rPr>
          <w:rFonts w:ascii="Times New Roman" w:hAnsi="Times New Roman"/>
          <w:bCs w:val="0"/>
          <w:kern w:val="0"/>
          <w:sz w:val="24"/>
          <w:szCs w:val="22"/>
          <w:lang w:eastAsia="zh-CN"/>
        </w:rPr>
      </w:pPr>
      <w:r>
        <w:rPr>
          <w:rFonts w:ascii="Times New Roman" w:hAnsi="Times New Roman"/>
          <w:bCs w:val="0"/>
          <w:kern w:val="0"/>
          <w:sz w:val="24"/>
          <w:szCs w:val="22"/>
          <w:lang w:eastAsia="zh-CN"/>
        </w:rPr>
        <w:t>本项目工业场地占地面积</w:t>
      </w:r>
      <w:r>
        <w:rPr>
          <w:rFonts w:hint="eastAsia" w:ascii="Times New Roman" w:hAnsi="Times New Roman"/>
          <w:bCs w:val="0"/>
          <w:kern w:val="0"/>
          <w:sz w:val="24"/>
          <w:szCs w:val="22"/>
          <w:lang w:eastAsia="zh-CN"/>
        </w:rPr>
        <w:t>4.6</w:t>
      </w:r>
      <w:r>
        <w:rPr>
          <w:rFonts w:ascii="Times New Roman" w:hAnsi="Times New Roman"/>
          <w:bCs w:val="0"/>
          <w:kern w:val="0"/>
          <w:sz w:val="24"/>
          <w:szCs w:val="22"/>
          <w:lang w:eastAsia="zh-CN"/>
        </w:rPr>
        <w:t>hm</w:t>
      </w:r>
      <w:r>
        <w:rPr>
          <w:rFonts w:ascii="Times New Roman" w:hAnsi="Times New Roman"/>
          <w:bCs w:val="0"/>
          <w:kern w:val="0"/>
          <w:sz w:val="24"/>
          <w:szCs w:val="22"/>
          <w:vertAlign w:val="superscript"/>
          <w:lang w:eastAsia="zh-CN"/>
        </w:rPr>
        <w:t>2</w:t>
      </w:r>
      <w:r>
        <w:rPr>
          <w:rFonts w:ascii="Times New Roman" w:hAnsi="Times New Roman"/>
          <w:bCs w:val="0"/>
          <w:kern w:val="0"/>
          <w:sz w:val="24"/>
          <w:szCs w:val="22"/>
          <w:lang w:eastAsia="zh-CN"/>
        </w:rPr>
        <w:t>，占地面积在5hm2以下，占地规模为</w:t>
      </w:r>
      <w:r>
        <w:rPr>
          <w:rFonts w:hint="eastAsia" w:ascii="Times New Roman" w:hAnsi="Times New Roman"/>
          <w:bCs w:val="0"/>
          <w:kern w:val="0"/>
          <w:sz w:val="24"/>
          <w:szCs w:val="22"/>
          <w:lang w:eastAsia="zh-CN"/>
        </w:rPr>
        <w:t>小</w:t>
      </w:r>
      <w:r>
        <w:rPr>
          <w:rFonts w:ascii="Times New Roman" w:hAnsi="Times New Roman"/>
          <w:bCs w:val="0"/>
          <w:kern w:val="0"/>
          <w:sz w:val="24"/>
          <w:szCs w:val="22"/>
          <w:lang w:eastAsia="zh-CN"/>
        </w:rPr>
        <w:t>型，由于周边存在耕地及居民点，周边土壤环境度为敏感，评价等级为二级（见表1.</w:t>
      </w:r>
      <w:r>
        <w:rPr>
          <w:rFonts w:hint="eastAsia" w:ascii="Times New Roman" w:hAnsi="Times New Roman"/>
          <w:bCs w:val="0"/>
          <w:kern w:val="0"/>
          <w:sz w:val="24"/>
          <w:szCs w:val="22"/>
          <w:lang w:eastAsia="zh-CN"/>
        </w:rPr>
        <w:t>6-12</w:t>
      </w:r>
      <w:r>
        <w:rPr>
          <w:rFonts w:ascii="Times New Roman" w:hAnsi="Times New Roman"/>
          <w:bCs w:val="0"/>
          <w:kern w:val="0"/>
          <w:sz w:val="24"/>
          <w:szCs w:val="22"/>
          <w:lang w:eastAsia="zh-CN"/>
        </w:rPr>
        <w:t>）。</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表1.</w:t>
      </w:r>
      <w:r>
        <w:rPr>
          <w:rFonts w:hint="eastAsia" w:hAnsi="Times New Roman" w:eastAsia="宋体"/>
          <w:b/>
          <w:bCs/>
          <w:sz w:val="21"/>
          <w:szCs w:val="21"/>
          <w:lang w:eastAsia="zh-CN"/>
        </w:rPr>
        <w:t>6-12</w:t>
      </w:r>
      <w:r>
        <w:rPr>
          <w:rFonts w:hAnsi="Times New Roman" w:eastAsia="宋体"/>
          <w:b/>
          <w:bCs/>
          <w:sz w:val="21"/>
          <w:szCs w:val="21"/>
          <w:lang w:eastAsia="zh-CN"/>
        </w:rPr>
        <w:t>污染影响型评价工作等级划分表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15"/>
        <w:gridCol w:w="678"/>
        <w:gridCol w:w="727"/>
        <w:gridCol w:w="742"/>
        <w:gridCol w:w="727"/>
        <w:gridCol w:w="678"/>
        <w:gridCol w:w="710"/>
        <w:gridCol w:w="678"/>
        <w:gridCol w:w="680"/>
        <w:gridCol w:w="693"/>
        <w:gridCol w:w="8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1185" w:type="pct"/>
            <w:vMerge w:val="restart"/>
          </w:tcPr>
          <w:p>
            <w:pPr>
              <w:pStyle w:val="44"/>
              <w:keepNext w:val="0"/>
              <w:keepLines w:val="0"/>
              <w:suppressLineNumbers w:val="0"/>
              <w:overflowPunct w:val="0"/>
              <w:spacing w:before="0" w:beforeAutospacing="0" w:after="0" w:afterAutospacing="0" w:line="300" w:lineRule="exact"/>
              <w:ind w:left="0" w:right="0"/>
              <w:jc w:val="right"/>
              <w:rPr>
                <w:rFonts w:hint="eastAsia" w:hAnsi="Times New Roman" w:eastAsia="宋体"/>
                <w:b/>
                <w:bCs/>
                <w:kern w:val="2"/>
                <w:sz w:val="21"/>
                <w:szCs w:val="21"/>
                <w:lang w:eastAsia="zh-CN"/>
              </w:rPr>
            </w:pPr>
            <w:r>
              <w:rPr>
                <w:rFonts w:hint="eastAsia" w:hAnsi="Times New Roman" w:eastAsia="宋体"/>
                <w:kern w:val="2"/>
                <w:sz w:val="21"/>
                <w:szCs w:val="21"/>
              </w:rPr>
              <mc:AlternateContent>
                <mc:Choice Requires="wps">
                  <w:drawing>
                    <wp:anchor distT="0" distB="0" distL="114300" distR="114300" simplePos="0" relativeHeight="251678720" behindDoc="0" locked="0" layoutInCell="1" allowOverlap="1">
                      <wp:simplePos x="0" y="0"/>
                      <wp:positionH relativeFrom="column">
                        <wp:posOffset>-67945</wp:posOffset>
                      </wp:positionH>
                      <wp:positionV relativeFrom="paragraph">
                        <wp:posOffset>9525</wp:posOffset>
                      </wp:positionV>
                      <wp:extent cx="972185" cy="638810"/>
                      <wp:effectExtent l="0" t="0" r="19050" b="27940"/>
                      <wp:wrapNone/>
                      <wp:docPr id="228" name="直接连接符 228"/>
                      <wp:cNvGraphicFramePr/>
                      <a:graphic xmlns:a="http://schemas.openxmlformats.org/drawingml/2006/main">
                        <a:graphicData uri="http://schemas.microsoft.com/office/word/2010/wordprocessingShape">
                          <wps:wsp>
                            <wps:cNvCnPr/>
                            <wps:spPr>
                              <a:xfrm flipH="1" flipV="1">
                                <a:off x="0" y="0"/>
                                <a:ext cx="971973" cy="639021"/>
                              </a:xfrm>
                              <a:prstGeom prst="line">
                                <a:avLst/>
                              </a:prstGeom>
                              <a:noFill/>
                              <a:ln w="6350" cap="flat" cmpd="sng" algn="ctr">
                                <a:solidFill>
                                  <a:srgbClr val="000000"/>
                                </a:solidFill>
                                <a:prstDash val="solid"/>
                                <a:miter lim="800000"/>
                              </a:ln>
                              <a:effectLst/>
                            </wps:spPr>
                            <wps:bodyPr/>
                          </wps:wsp>
                        </a:graphicData>
                      </a:graphic>
                    </wp:anchor>
                  </w:drawing>
                </mc:Choice>
                <mc:Fallback>
                  <w:pict>
                    <v:line id="_x0000_s1026" o:spid="_x0000_s1026" o:spt="20" style="position:absolute;left:0pt;flip:x y;margin-left:-5.35pt;margin-top:0.75pt;height:50.3pt;width:76.55pt;z-index:251678720;mso-width-relative:page;mso-height-relative:page;" filled="f" stroked="t" coordsize="21600,21600" o:gfxdata="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XanpNcAAAAJAQAADwAAAAAAAAABACAAAAAiAAAAZHJzL2Rvd25yZXYueG1s&#10;UEsBAhQAFAAAAAgAh07iQPPTW4T5AQAA2wMAAA4AAAAAAAAAAQAgAAAAJgEAAGRycy9lMm9Eb2Mu&#10;eG1sUEsFBgAAAAAGAAYAWQEAAJEFAAAAAA==&#10;">
                      <v:fill on="f" focussize="0,0"/>
                      <v:stroke weight="0.5pt" color="#000000" miterlimit="8" joinstyle="miter"/>
                      <v:imagedata o:title=""/>
                      <o:lock v:ext="edit" aspectratio="f"/>
                    </v:line>
                  </w:pict>
                </mc:Fallback>
              </mc:AlternateContent>
            </w:r>
            <w:r>
              <w:rPr>
                <w:rFonts w:hint="eastAsia" w:hAnsi="Times New Roman" w:eastAsia="宋体"/>
                <w:kern w:val="2"/>
                <w:sz w:val="21"/>
                <w:szCs w:val="21"/>
              </w:rPr>
              <mc:AlternateContent>
                <mc:Choice Requires="wps">
                  <w:drawing>
                    <wp:anchor distT="0" distB="0" distL="114300" distR="114300" simplePos="0" relativeHeight="251677696" behindDoc="0" locked="0" layoutInCell="1" allowOverlap="1">
                      <wp:simplePos x="0" y="0"/>
                      <wp:positionH relativeFrom="column">
                        <wp:posOffset>-67310</wp:posOffset>
                      </wp:positionH>
                      <wp:positionV relativeFrom="paragraph">
                        <wp:posOffset>9525</wp:posOffset>
                      </wp:positionV>
                      <wp:extent cx="1388110" cy="245110"/>
                      <wp:effectExtent l="0" t="0" r="21590" b="21590"/>
                      <wp:wrapNone/>
                      <wp:docPr id="229" name="直接连接符 229"/>
                      <wp:cNvGraphicFramePr/>
                      <a:graphic xmlns:a="http://schemas.openxmlformats.org/drawingml/2006/main">
                        <a:graphicData uri="http://schemas.microsoft.com/office/word/2010/wordprocessingShape">
                          <wps:wsp>
                            <wps:cNvCnPr/>
                            <wps:spPr>
                              <a:xfrm>
                                <a:off x="0" y="0"/>
                                <a:ext cx="1388110" cy="245110"/>
                              </a:xfrm>
                              <a:prstGeom prst="line">
                                <a:avLst/>
                              </a:prstGeom>
                              <a:noFill/>
                              <a:ln w="6350" cap="flat" cmpd="sng" algn="ctr">
                                <a:solidFill>
                                  <a:srgbClr val="000000"/>
                                </a:solidFill>
                                <a:prstDash val="solid"/>
                                <a:miter lim="800000"/>
                              </a:ln>
                              <a:effectLst/>
                            </wps:spPr>
                            <wps:bodyPr/>
                          </wps:wsp>
                        </a:graphicData>
                      </a:graphic>
                    </wp:anchor>
                  </w:drawing>
                </mc:Choice>
                <mc:Fallback>
                  <w:pict>
                    <v:line id="_x0000_s1026" o:spid="_x0000_s1026" o:spt="20" style="position:absolute;left:0pt;margin-left:-5.3pt;margin-top:0.75pt;height:19.3pt;width:109.3pt;z-index:251677696;mso-width-relative:page;mso-height-relative:page;" filled="f" stroked="t" coordsize="21600,21600" o:gfxdata="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NVW&#10;jJ7VAAAACAEAAA8AAAAAAAAAAQAgAAAAIgAAAGRycy9kb3ducmV2LnhtbFBLAQIUABQAAAAIAIdO&#10;4kDNlrND7QEAAMgDAAAOAAAAAAAAAAEAIAAAACQBAABkcnMvZTJvRG9jLnhtbFBLBQYAAAAABgAG&#10;AFkBAACDBQAAAAA=&#10;">
                      <v:fill on="f" focussize="0,0"/>
                      <v:stroke weight="0.5pt" color="#000000" miterlimit="8" joinstyle="miter"/>
                      <v:imagedata o:title=""/>
                      <o:lock v:ext="edit" aspectratio="f"/>
                    </v:line>
                  </w:pict>
                </mc:Fallback>
              </mc:AlternateContent>
            </w:r>
            <w:r>
              <w:rPr>
                <w:rFonts w:hint="eastAsia" w:hAnsi="Times New Roman" w:eastAsia="宋体"/>
                <w:b/>
                <w:bCs/>
                <w:kern w:val="2"/>
                <w:sz w:val="21"/>
                <w:szCs w:val="21"/>
                <w:lang w:eastAsia="zh-CN"/>
              </w:rPr>
              <w:t>项目类别</w:t>
            </w:r>
          </w:p>
          <w:p>
            <w:pPr>
              <w:pStyle w:val="44"/>
              <w:keepNext w:val="0"/>
              <w:keepLines w:val="0"/>
              <w:suppressLineNumbers w:val="0"/>
              <w:overflowPunct w:val="0"/>
              <w:spacing w:before="0" w:beforeAutospacing="0" w:after="0" w:afterAutospacing="0" w:line="30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评价工作等级</w:t>
            </w:r>
          </w:p>
          <w:p>
            <w:pPr>
              <w:pStyle w:val="44"/>
              <w:keepNext w:val="0"/>
              <w:keepLines w:val="0"/>
              <w:suppressLineNumbers w:val="0"/>
              <w:overflowPunct w:val="0"/>
              <w:spacing w:before="0" w:beforeAutospacing="0" w:after="0" w:afterAutospacing="0" w:line="300" w:lineRule="exact"/>
              <w:ind w:left="0" w:right="0"/>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敏感程度</w:t>
            </w:r>
          </w:p>
        </w:tc>
        <w:tc>
          <w:tcPr>
            <w:tcW w:w="1149" w:type="pct"/>
            <w:gridSpan w:val="3"/>
            <w:vAlign w:val="center"/>
          </w:tcPr>
          <w:p>
            <w:pPr>
              <w:pStyle w:val="44"/>
              <w:keepNext w:val="0"/>
              <w:keepLines w:val="0"/>
              <w:suppressLineNumbers w:val="0"/>
              <w:overflowPunct w:val="0"/>
              <w:spacing w:before="0" w:beforeAutospacing="0" w:after="0" w:afterAutospacing="0" w:line="30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I类</w:t>
            </w:r>
          </w:p>
        </w:tc>
        <w:tc>
          <w:tcPr>
            <w:tcW w:w="1132" w:type="pct"/>
            <w:gridSpan w:val="3"/>
            <w:vAlign w:val="center"/>
          </w:tcPr>
          <w:p>
            <w:pPr>
              <w:pStyle w:val="44"/>
              <w:keepNext w:val="0"/>
              <w:keepLines w:val="0"/>
              <w:suppressLineNumbers w:val="0"/>
              <w:overflowPunct w:val="0"/>
              <w:spacing w:before="0" w:beforeAutospacing="0" w:after="0" w:afterAutospacing="0" w:line="30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lang w:eastAsia="zh-CN"/>
              </w:rPr>
              <w:t>Ⅱ类</w:t>
            </w:r>
          </w:p>
        </w:tc>
        <w:tc>
          <w:tcPr>
            <w:tcW w:w="1098" w:type="pct"/>
            <w:gridSpan w:val="3"/>
            <w:vAlign w:val="center"/>
          </w:tcPr>
          <w:p>
            <w:pPr>
              <w:pStyle w:val="44"/>
              <w:keepNext w:val="0"/>
              <w:keepLines w:val="0"/>
              <w:suppressLineNumbers w:val="0"/>
              <w:overflowPunct w:val="0"/>
              <w:spacing w:before="0" w:beforeAutospacing="0" w:after="0" w:afterAutospacing="0" w:line="30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III类</w:t>
            </w:r>
          </w:p>
        </w:tc>
        <w:tc>
          <w:tcPr>
            <w:tcW w:w="436" w:type="pct"/>
            <w:vMerge w:val="restart"/>
            <w:vAlign w:val="center"/>
          </w:tcPr>
          <w:p>
            <w:pPr>
              <w:pStyle w:val="44"/>
              <w:keepNext w:val="0"/>
              <w:keepLines w:val="0"/>
              <w:suppressLineNumbers w:val="0"/>
              <w:overflowPunct w:val="0"/>
              <w:spacing w:before="0" w:beforeAutospacing="0" w:after="0" w:afterAutospacing="0" w:line="30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工作等级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2" w:hRule="atLeast"/>
          <w:jc w:val="center"/>
        </w:trPr>
        <w:tc>
          <w:tcPr>
            <w:tcW w:w="1185" w:type="pct"/>
            <w:vMerge w:val="continue"/>
            <w:vAlign w:val="center"/>
          </w:tcPr>
          <w:p>
            <w:pPr>
              <w:pStyle w:val="44"/>
              <w:keepNext w:val="0"/>
              <w:keepLines w:val="0"/>
              <w:suppressLineNumbers w:val="0"/>
              <w:overflowPunct w:val="0"/>
              <w:spacing w:before="0" w:beforeAutospacing="0" w:after="0" w:afterAutospacing="0" w:line="300" w:lineRule="exact"/>
              <w:ind w:left="0" w:right="0"/>
              <w:jc w:val="center"/>
              <w:rPr>
                <w:rFonts w:hint="eastAsia" w:hAnsi="Times New Roman" w:eastAsia="宋体"/>
                <w:b/>
                <w:bCs/>
                <w:kern w:val="2"/>
                <w:sz w:val="21"/>
                <w:szCs w:val="21"/>
              </w:rPr>
            </w:pPr>
          </w:p>
        </w:tc>
        <w:tc>
          <w:tcPr>
            <w:tcW w:w="363" w:type="pct"/>
            <w:vAlign w:val="center"/>
          </w:tcPr>
          <w:p>
            <w:pPr>
              <w:pStyle w:val="44"/>
              <w:keepNext w:val="0"/>
              <w:keepLines w:val="0"/>
              <w:suppressLineNumbers w:val="0"/>
              <w:overflowPunct w:val="0"/>
              <w:spacing w:before="0" w:beforeAutospacing="0" w:after="0" w:afterAutospacing="0" w:line="30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大</w:t>
            </w:r>
          </w:p>
        </w:tc>
        <w:tc>
          <w:tcPr>
            <w:tcW w:w="389" w:type="pct"/>
            <w:vAlign w:val="center"/>
          </w:tcPr>
          <w:p>
            <w:pPr>
              <w:pStyle w:val="44"/>
              <w:keepNext w:val="0"/>
              <w:keepLines w:val="0"/>
              <w:suppressLineNumbers w:val="0"/>
              <w:overflowPunct w:val="0"/>
              <w:spacing w:before="0" w:beforeAutospacing="0" w:after="0" w:afterAutospacing="0" w:line="30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中</w:t>
            </w:r>
          </w:p>
        </w:tc>
        <w:tc>
          <w:tcPr>
            <w:tcW w:w="397" w:type="pct"/>
            <w:vAlign w:val="center"/>
          </w:tcPr>
          <w:p>
            <w:pPr>
              <w:pStyle w:val="44"/>
              <w:keepNext w:val="0"/>
              <w:keepLines w:val="0"/>
              <w:suppressLineNumbers w:val="0"/>
              <w:overflowPunct w:val="0"/>
              <w:spacing w:before="0" w:beforeAutospacing="0" w:after="0" w:afterAutospacing="0" w:line="30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小</w:t>
            </w:r>
          </w:p>
        </w:tc>
        <w:tc>
          <w:tcPr>
            <w:tcW w:w="389" w:type="pct"/>
            <w:vAlign w:val="center"/>
          </w:tcPr>
          <w:p>
            <w:pPr>
              <w:pStyle w:val="44"/>
              <w:keepNext w:val="0"/>
              <w:keepLines w:val="0"/>
              <w:suppressLineNumbers w:val="0"/>
              <w:overflowPunct w:val="0"/>
              <w:spacing w:before="0" w:beforeAutospacing="0" w:after="0" w:afterAutospacing="0" w:line="30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大</w:t>
            </w:r>
          </w:p>
        </w:tc>
        <w:tc>
          <w:tcPr>
            <w:tcW w:w="363" w:type="pct"/>
            <w:vAlign w:val="center"/>
          </w:tcPr>
          <w:p>
            <w:pPr>
              <w:pStyle w:val="44"/>
              <w:keepNext w:val="0"/>
              <w:keepLines w:val="0"/>
              <w:suppressLineNumbers w:val="0"/>
              <w:overflowPunct w:val="0"/>
              <w:spacing w:before="0" w:beforeAutospacing="0" w:after="0" w:afterAutospacing="0" w:line="30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中</w:t>
            </w:r>
          </w:p>
        </w:tc>
        <w:tc>
          <w:tcPr>
            <w:tcW w:w="380" w:type="pct"/>
            <w:vAlign w:val="center"/>
          </w:tcPr>
          <w:p>
            <w:pPr>
              <w:pStyle w:val="44"/>
              <w:keepNext w:val="0"/>
              <w:keepLines w:val="0"/>
              <w:suppressLineNumbers w:val="0"/>
              <w:overflowPunct w:val="0"/>
              <w:spacing w:before="0" w:beforeAutospacing="0" w:after="0" w:afterAutospacing="0" w:line="30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小</w:t>
            </w:r>
          </w:p>
        </w:tc>
        <w:tc>
          <w:tcPr>
            <w:tcW w:w="363" w:type="pct"/>
            <w:vAlign w:val="center"/>
          </w:tcPr>
          <w:p>
            <w:pPr>
              <w:pStyle w:val="44"/>
              <w:keepNext w:val="0"/>
              <w:keepLines w:val="0"/>
              <w:suppressLineNumbers w:val="0"/>
              <w:overflowPunct w:val="0"/>
              <w:spacing w:before="0" w:beforeAutospacing="0" w:after="0" w:afterAutospacing="0" w:line="30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大</w:t>
            </w:r>
          </w:p>
        </w:tc>
        <w:tc>
          <w:tcPr>
            <w:tcW w:w="364" w:type="pct"/>
            <w:vAlign w:val="center"/>
          </w:tcPr>
          <w:p>
            <w:pPr>
              <w:pStyle w:val="44"/>
              <w:keepNext w:val="0"/>
              <w:keepLines w:val="0"/>
              <w:suppressLineNumbers w:val="0"/>
              <w:overflowPunct w:val="0"/>
              <w:spacing w:before="0" w:beforeAutospacing="0" w:after="0" w:afterAutospacing="0" w:line="30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中</w:t>
            </w:r>
          </w:p>
        </w:tc>
        <w:tc>
          <w:tcPr>
            <w:tcW w:w="371" w:type="pct"/>
            <w:vAlign w:val="center"/>
          </w:tcPr>
          <w:p>
            <w:pPr>
              <w:pStyle w:val="44"/>
              <w:keepNext w:val="0"/>
              <w:keepLines w:val="0"/>
              <w:suppressLineNumbers w:val="0"/>
              <w:overflowPunct w:val="0"/>
              <w:spacing w:before="0" w:beforeAutospacing="0" w:after="0" w:afterAutospacing="0" w:line="30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小</w:t>
            </w:r>
          </w:p>
        </w:tc>
        <w:tc>
          <w:tcPr>
            <w:tcW w:w="436" w:type="pct"/>
            <w:vMerge w:val="continue"/>
            <w:vAlign w:val="center"/>
          </w:tcPr>
          <w:p>
            <w:pPr>
              <w:pStyle w:val="44"/>
              <w:keepNext w:val="0"/>
              <w:keepLines w:val="0"/>
              <w:suppressLineNumbers w:val="0"/>
              <w:overflowPunct w:val="0"/>
              <w:spacing w:before="0" w:beforeAutospacing="0" w:after="0" w:afterAutospacing="0" w:line="300" w:lineRule="exact"/>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1185" w:type="pct"/>
            <w:shd w:val="clear" w:color="auto" w:fill="auto"/>
            <w:vAlign w:val="center"/>
          </w:tcPr>
          <w:p>
            <w:pPr>
              <w:pStyle w:val="44"/>
              <w:keepNext w:val="0"/>
              <w:keepLines w:val="0"/>
              <w:suppressLineNumbers w:val="0"/>
              <w:overflowPunct w:val="0"/>
              <w:spacing w:before="0" w:beforeAutospacing="0" w:after="0" w:afterAutospacing="0" w:line="300" w:lineRule="exact"/>
              <w:ind w:left="0" w:right="0"/>
              <w:jc w:val="center"/>
              <w:rPr>
                <w:rFonts w:hint="eastAsia" w:hAnsi="Times New Roman" w:eastAsia="宋体"/>
                <w:kern w:val="2"/>
                <w:sz w:val="21"/>
                <w:szCs w:val="21"/>
              </w:rPr>
            </w:pPr>
            <w:r>
              <w:rPr>
                <w:rFonts w:hint="eastAsia" w:hAnsi="Times New Roman" w:eastAsia="宋体"/>
                <w:kern w:val="2"/>
                <w:sz w:val="21"/>
                <w:szCs w:val="21"/>
              </w:rPr>
              <w:t>敏感</w:t>
            </w:r>
          </w:p>
        </w:tc>
        <w:tc>
          <w:tcPr>
            <w:tcW w:w="363" w:type="pct"/>
            <w:shd w:val="clear" w:color="auto" w:fill="auto"/>
            <w:vAlign w:val="center"/>
          </w:tcPr>
          <w:p>
            <w:pPr>
              <w:pStyle w:val="44"/>
              <w:keepNext w:val="0"/>
              <w:keepLines w:val="0"/>
              <w:suppressLineNumbers w:val="0"/>
              <w:overflowPunct w:val="0"/>
              <w:spacing w:before="0" w:beforeAutospacing="0" w:after="0" w:afterAutospacing="0" w:line="300" w:lineRule="exact"/>
              <w:ind w:left="0" w:right="0"/>
              <w:jc w:val="center"/>
              <w:rPr>
                <w:rFonts w:hint="eastAsia" w:hAnsi="Times New Roman" w:eastAsia="宋体"/>
                <w:kern w:val="2"/>
                <w:sz w:val="21"/>
                <w:szCs w:val="21"/>
              </w:rPr>
            </w:pPr>
            <w:r>
              <w:rPr>
                <w:rFonts w:hint="eastAsia" w:hAnsi="Times New Roman" w:eastAsia="宋体"/>
                <w:kern w:val="2"/>
                <w:sz w:val="21"/>
                <w:szCs w:val="21"/>
              </w:rPr>
              <w:t>一级</w:t>
            </w:r>
          </w:p>
        </w:tc>
        <w:tc>
          <w:tcPr>
            <w:tcW w:w="389" w:type="pct"/>
            <w:shd w:val="clear" w:color="auto" w:fill="auto"/>
            <w:vAlign w:val="center"/>
          </w:tcPr>
          <w:p>
            <w:pPr>
              <w:pStyle w:val="44"/>
              <w:keepNext w:val="0"/>
              <w:keepLines w:val="0"/>
              <w:suppressLineNumbers w:val="0"/>
              <w:overflowPunct w:val="0"/>
              <w:spacing w:before="0" w:beforeAutospacing="0" w:after="0" w:afterAutospacing="0" w:line="300" w:lineRule="exact"/>
              <w:ind w:left="0" w:right="0"/>
              <w:jc w:val="center"/>
              <w:rPr>
                <w:rFonts w:hint="eastAsia" w:hAnsi="Times New Roman" w:eastAsia="宋体"/>
                <w:kern w:val="2"/>
                <w:sz w:val="21"/>
                <w:szCs w:val="21"/>
              </w:rPr>
            </w:pPr>
            <w:r>
              <w:rPr>
                <w:rFonts w:hint="eastAsia" w:hAnsi="Times New Roman" w:eastAsia="宋体"/>
                <w:kern w:val="2"/>
                <w:sz w:val="21"/>
                <w:szCs w:val="21"/>
              </w:rPr>
              <w:t>一级</w:t>
            </w:r>
          </w:p>
        </w:tc>
        <w:tc>
          <w:tcPr>
            <w:tcW w:w="397" w:type="pct"/>
            <w:shd w:val="clear" w:color="auto" w:fill="auto"/>
            <w:vAlign w:val="center"/>
          </w:tcPr>
          <w:p>
            <w:pPr>
              <w:pStyle w:val="44"/>
              <w:keepNext w:val="0"/>
              <w:keepLines w:val="0"/>
              <w:suppressLineNumbers w:val="0"/>
              <w:overflowPunct w:val="0"/>
              <w:spacing w:before="0" w:beforeAutospacing="0" w:after="0" w:afterAutospacing="0" w:line="300" w:lineRule="exact"/>
              <w:ind w:left="0" w:right="0"/>
              <w:jc w:val="center"/>
              <w:rPr>
                <w:rFonts w:hint="eastAsia" w:hAnsi="Times New Roman" w:eastAsia="宋体"/>
                <w:kern w:val="2"/>
                <w:sz w:val="21"/>
                <w:szCs w:val="21"/>
              </w:rPr>
            </w:pPr>
            <w:r>
              <w:rPr>
                <w:rFonts w:hint="eastAsia" w:hAnsi="Times New Roman" w:eastAsia="宋体"/>
                <w:kern w:val="2"/>
                <w:sz w:val="21"/>
                <w:szCs w:val="21"/>
              </w:rPr>
              <w:t>一级</w:t>
            </w:r>
          </w:p>
        </w:tc>
        <w:tc>
          <w:tcPr>
            <w:tcW w:w="389" w:type="pct"/>
            <w:shd w:val="clear" w:color="auto" w:fill="auto"/>
            <w:vAlign w:val="center"/>
          </w:tcPr>
          <w:p>
            <w:pPr>
              <w:pStyle w:val="44"/>
              <w:keepNext w:val="0"/>
              <w:keepLines w:val="0"/>
              <w:suppressLineNumbers w:val="0"/>
              <w:overflowPunct w:val="0"/>
              <w:spacing w:before="0" w:beforeAutospacing="0" w:after="0" w:afterAutospacing="0" w:line="300" w:lineRule="exact"/>
              <w:ind w:left="0" w:right="0"/>
              <w:jc w:val="center"/>
              <w:rPr>
                <w:rFonts w:hint="eastAsia" w:hAnsi="Times New Roman" w:eastAsia="宋体"/>
                <w:kern w:val="2"/>
                <w:sz w:val="21"/>
                <w:szCs w:val="21"/>
              </w:rPr>
            </w:pPr>
            <w:r>
              <w:rPr>
                <w:rFonts w:hint="eastAsia" w:hAnsi="Times New Roman" w:eastAsia="宋体"/>
                <w:kern w:val="2"/>
                <w:sz w:val="21"/>
                <w:szCs w:val="21"/>
              </w:rPr>
              <w:t>二级</w:t>
            </w:r>
          </w:p>
        </w:tc>
        <w:tc>
          <w:tcPr>
            <w:tcW w:w="363" w:type="pct"/>
            <w:shd w:val="clear" w:color="auto" w:fill="auto"/>
            <w:vAlign w:val="center"/>
          </w:tcPr>
          <w:p>
            <w:pPr>
              <w:pStyle w:val="44"/>
              <w:keepNext w:val="0"/>
              <w:keepLines w:val="0"/>
              <w:suppressLineNumbers w:val="0"/>
              <w:overflowPunct w:val="0"/>
              <w:spacing w:before="0" w:beforeAutospacing="0" w:after="0" w:afterAutospacing="0" w:line="300" w:lineRule="exact"/>
              <w:ind w:left="0" w:right="0"/>
              <w:jc w:val="center"/>
              <w:rPr>
                <w:rFonts w:hint="eastAsia" w:hAnsi="Times New Roman" w:eastAsia="宋体"/>
                <w:kern w:val="2"/>
                <w:sz w:val="21"/>
                <w:szCs w:val="21"/>
              </w:rPr>
            </w:pPr>
            <w:r>
              <w:rPr>
                <w:rFonts w:hint="eastAsia" w:hAnsi="Times New Roman" w:eastAsia="宋体"/>
                <w:kern w:val="2"/>
                <w:sz w:val="21"/>
                <w:szCs w:val="21"/>
              </w:rPr>
              <w:t>二级</w:t>
            </w:r>
          </w:p>
        </w:tc>
        <w:tc>
          <w:tcPr>
            <w:tcW w:w="380" w:type="pct"/>
            <w:shd w:val="clear" w:color="auto" w:fill="E7E6E6"/>
            <w:vAlign w:val="center"/>
          </w:tcPr>
          <w:p>
            <w:pPr>
              <w:pStyle w:val="44"/>
              <w:keepNext w:val="0"/>
              <w:keepLines w:val="0"/>
              <w:suppressLineNumbers w:val="0"/>
              <w:overflowPunct w:val="0"/>
              <w:spacing w:before="0" w:beforeAutospacing="0" w:after="0" w:afterAutospacing="0" w:line="300" w:lineRule="exact"/>
              <w:ind w:left="0" w:right="0"/>
              <w:jc w:val="center"/>
              <w:rPr>
                <w:rFonts w:hint="eastAsia" w:hAnsi="Times New Roman" w:eastAsia="宋体"/>
                <w:kern w:val="2"/>
                <w:sz w:val="21"/>
                <w:szCs w:val="21"/>
              </w:rPr>
            </w:pPr>
            <w:r>
              <w:rPr>
                <w:rFonts w:hint="eastAsia" w:hAnsi="Times New Roman" w:eastAsia="宋体"/>
                <w:kern w:val="2"/>
                <w:sz w:val="21"/>
                <w:szCs w:val="21"/>
              </w:rPr>
              <w:t>二级</w:t>
            </w:r>
          </w:p>
        </w:tc>
        <w:tc>
          <w:tcPr>
            <w:tcW w:w="363" w:type="pct"/>
            <w:vAlign w:val="center"/>
          </w:tcPr>
          <w:p>
            <w:pPr>
              <w:pStyle w:val="44"/>
              <w:keepNext w:val="0"/>
              <w:keepLines w:val="0"/>
              <w:suppressLineNumbers w:val="0"/>
              <w:overflowPunct w:val="0"/>
              <w:spacing w:before="0" w:beforeAutospacing="0" w:after="0" w:afterAutospacing="0" w:line="300" w:lineRule="exact"/>
              <w:ind w:left="0" w:right="0"/>
              <w:jc w:val="center"/>
              <w:rPr>
                <w:rFonts w:hint="eastAsia" w:hAnsi="Times New Roman" w:eastAsia="宋体"/>
                <w:kern w:val="2"/>
                <w:sz w:val="21"/>
                <w:szCs w:val="21"/>
              </w:rPr>
            </w:pPr>
            <w:r>
              <w:rPr>
                <w:rFonts w:hint="eastAsia" w:hAnsi="Times New Roman" w:eastAsia="宋体"/>
                <w:kern w:val="2"/>
                <w:sz w:val="21"/>
                <w:szCs w:val="21"/>
              </w:rPr>
              <w:t>三级</w:t>
            </w:r>
          </w:p>
        </w:tc>
        <w:tc>
          <w:tcPr>
            <w:tcW w:w="364" w:type="pct"/>
            <w:vAlign w:val="center"/>
          </w:tcPr>
          <w:p>
            <w:pPr>
              <w:pStyle w:val="44"/>
              <w:keepNext w:val="0"/>
              <w:keepLines w:val="0"/>
              <w:suppressLineNumbers w:val="0"/>
              <w:overflowPunct w:val="0"/>
              <w:spacing w:before="0" w:beforeAutospacing="0" w:after="0" w:afterAutospacing="0" w:line="300" w:lineRule="exact"/>
              <w:ind w:left="0" w:right="0"/>
              <w:jc w:val="center"/>
              <w:rPr>
                <w:rFonts w:hint="eastAsia" w:hAnsi="Times New Roman" w:eastAsia="宋体"/>
                <w:kern w:val="2"/>
                <w:sz w:val="21"/>
                <w:szCs w:val="21"/>
              </w:rPr>
            </w:pPr>
            <w:r>
              <w:rPr>
                <w:rFonts w:hint="eastAsia" w:hAnsi="Times New Roman" w:eastAsia="宋体"/>
                <w:kern w:val="2"/>
                <w:sz w:val="21"/>
                <w:szCs w:val="21"/>
              </w:rPr>
              <w:t>三级</w:t>
            </w:r>
          </w:p>
        </w:tc>
        <w:tc>
          <w:tcPr>
            <w:tcW w:w="371" w:type="pct"/>
            <w:vAlign w:val="center"/>
          </w:tcPr>
          <w:p>
            <w:pPr>
              <w:pStyle w:val="44"/>
              <w:keepNext w:val="0"/>
              <w:keepLines w:val="0"/>
              <w:suppressLineNumbers w:val="0"/>
              <w:overflowPunct w:val="0"/>
              <w:spacing w:before="0" w:beforeAutospacing="0" w:after="0" w:afterAutospacing="0" w:line="300" w:lineRule="exact"/>
              <w:ind w:left="0" w:right="0"/>
              <w:jc w:val="center"/>
              <w:rPr>
                <w:rFonts w:hint="eastAsia" w:hAnsi="Times New Roman" w:eastAsia="宋体"/>
                <w:kern w:val="2"/>
                <w:sz w:val="21"/>
                <w:szCs w:val="21"/>
              </w:rPr>
            </w:pPr>
            <w:r>
              <w:rPr>
                <w:rFonts w:hint="eastAsia" w:hAnsi="Times New Roman" w:eastAsia="宋体"/>
                <w:kern w:val="2"/>
                <w:sz w:val="21"/>
                <w:szCs w:val="21"/>
              </w:rPr>
              <w:t>三级</w:t>
            </w:r>
          </w:p>
        </w:tc>
        <w:tc>
          <w:tcPr>
            <w:tcW w:w="436" w:type="pct"/>
            <w:vMerge w:val="restart"/>
            <w:vAlign w:val="center"/>
          </w:tcPr>
          <w:p>
            <w:pPr>
              <w:pStyle w:val="44"/>
              <w:keepNext w:val="0"/>
              <w:keepLines w:val="0"/>
              <w:suppressLineNumbers w:val="0"/>
              <w:overflowPunct w:val="0"/>
              <w:spacing w:before="0" w:beforeAutospacing="0" w:after="0" w:afterAutospacing="0" w:line="280" w:lineRule="exact"/>
              <w:ind w:left="111" w:right="0"/>
              <w:jc w:val="center"/>
              <w:rPr>
                <w:rFonts w:hint="eastAsia" w:hAnsi="Times New Roman" w:eastAsia="宋体"/>
                <w:kern w:val="2"/>
                <w:sz w:val="21"/>
                <w:szCs w:val="21"/>
              </w:rPr>
            </w:pPr>
            <w:r>
              <w:rPr>
                <w:rFonts w:hint="eastAsia" w:hAnsi="Times New Roman" w:eastAsia="宋体"/>
                <w:kern w:val="2"/>
                <w:sz w:val="21"/>
                <w:szCs w:val="21"/>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1185" w:type="pct"/>
            <w:vAlign w:val="center"/>
          </w:tcPr>
          <w:p>
            <w:pPr>
              <w:pStyle w:val="44"/>
              <w:keepNext w:val="0"/>
              <w:keepLines w:val="0"/>
              <w:suppressLineNumbers w:val="0"/>
              <w:overflowPunct w:val="0"/>
              <w:spacing w:before="0" w:beforeAutospacing="0" w:after="0" w:afterAutospacing="0" w:line="300" w:lineRule="exact"/>
              <w:ind w:left="0" w:right="0"/>
              <w:jc w:val="center"/>
              <w:rPr>
                <w:rFonts w:hint="eastAsia" w:hAnsi="Times New Roman" w:eastAsia="宋体"/>
                <w:kern w:val="2"/>
                <w:sz w:val="21"/>
                <w:szCs w:val="21"/>
              </w:rPr>
            </w:pPr>
            <w:r>
              <w:rPr>
                <w:rFonts w:hint="eastAsia" w:hAnsi="Times New Roman" w:eastAsia="宋体"/>
                <w:kern w:val="2"/>
                <w:sz w:val="21"/>
                <w:szCs w:val="21"/>
              </w:rPr>
              <w:t>较敏感</w:t>
            </w:r>
          </w:p>
        </w:tc>
        <w:tc>
          <w:tcPr>
            <w:tcW w:w="363" w:type="pct"/>
            <w:vAlign w:val="center"/>
          </w:tcPr>
          <w:p>
            <w:pPr>
              <w:pStyle w:val="44"/>
              <w:keepNext w:val="0"/>
              <w:keepLines w:val="0"/>
              <w:suppressLineNumbers w:val="0"/>
              <w:overflowPunct w:val="0"/>
              <w:spacing w:before="0" w:beforeAutospacing="0" w:after="0" w:afterAutospacing="0" w:line="300" w:lineRule="exact"/>
              <w:ind w:left="0" w:right="0"/>
              <w:jc w:val="center"/>
              <w:rPr>
                <w:rFonts w:hint="eastAsia" w:hAnsi="Times New Roman" w:eastAsia="宋体"/>
                <w:kern w:val="2"/>
                <w:sz w:val="21"/>
                <w:szCs w:val="21"/>
              </w:rPr>
            </w:pPr>
            <w:r>
              <w:rPr>
                <w:rFonts w:hint="eastAsia" w:hAnsi="Times New Roman" w:eastAsia="宋体"/>
                <w:kern w:val="2"/>
                <w:sz w:val="21"/>
                <w:szCs w:val="21"/>
              </w:rPr>
              <w:t>一级</w:t>
            </w:r>
          </w:p>
        </w:tc>
        <w:tc>
          <w:tcPr>
            <w:tcW w:w="389" w:type="pct"/>
            <w:vAlign w:val="center"/>
          </w:tcPr>
          <w:p>
            <w:pPr>
              <w:pStyle w:val="44"/>
              <w:keepNext w:val="0"/>
              <w:keepLines w:val="0"/>
              <w:suppressLineNumbers w:val="0"/>
              <w:overflowPunct w:val="0"/>
              <w:spacing w:before="0" w:beforeAutospacing="0" w:after="0" w:afterAutospacing="0" w:line="300" w:lineRule="exact"/>
              <w:ind w:left="0" w:right="0"/>
              <w:jc w:val="center"/>
              <w:rPr>
                <w:rFonts w:hint="eastAsia" w:hAnsi="Times New Roman" w:eastAsia="宋体"/>
                <w:kern w:val="2"/>
                <w:sz w:val="21"/>
                <w:szCs w:val="21"/>
              </w:rPr>
            </w:pPr>
            <w:r>
              <w:rPr>
                <w:rFonts w:hint="eastAsia" w:hAnsi="Times New Roman" w:eastAsia="宋体"/>
                <w:kern w:val="2"/>
                <w:sz w:val="21"/>
                <w:szCs w:val="21"/>
              </w:rPr>
              <w:t>一级</w:t>
            </w:r>
          </w:p>
        </w:tc>
        <w:tc>
          <w:tcPr>
            <w:tcW w:w="397" w:type="pct"/>
            <w:vAlign w:val="center"/>
          </w:tcPr>
          <w:p>
            <w:pPr>
              <w:pStyle w:val="44"/>
              <w:keepNext w:val="0"/>
              <w:keepLines w:val="0"/>
              <w:suppressLineNumbers w:val="0"/>
              <w:overflowPunct w:val="0"/>
              <w:spacing w:before="0" w:beforeAutospacing="0" w:after="0" w:afterAutospacing="0" w:line="300" w:lineRule="exact"/>
              <w:ind w:left="0" w:right="0"/>
              <w:jc w:val="center"/>
              <w:rPr>
                <w:rFonts w:hint="eastAsia" w:hAnsi="Times New Roman" w:eastAsia="宋体"/>
                <w:kern w:val="2"/>
                <w:sz w:val="21"/>
                <w:szCs w:val="21"/>
              </w:rPr>
            </w:pPr>
            <w:r>
              <w:rPr>
                <w:rFonts w:hint="eastAsia" w:hAnsi="Times New Roman" w:eastAsia="宋体"/>
                <w:kern w:val="2"/>
                <w:sz w:val="21"/>
                <w:szCs w:val="21"/>
              </w:rPr>
              <w:t>二级</w:t>
            </w:r>
          </w:p>
        </w:tc>
        <w:tc>
          <w:tcPr>
            <w:tcW w:w="389" w:type="pct"/>
            <w:vAlign w:val="center"/>
          </w:tcPr>
          <w:p>
            <w:pPr>
              <w:pStyle w:val="44"/>
              <w:keepNext w:val="0"/>
              <w:keepLines w:val="0"/>
              <w:suppressLineNumbers w:val="0"/>
              <w:overflowPunct w:val="0"/>
              <w:spacing w:before="0" w:beforeAutospacing="0" w:after="0" w:afterAutospacing="0" w:line="300" w:lineRule="exact"/>
              <w:ind w:left="0" w:right="0"/>
              <w:jc w:val="center"/>
              <w:rPr>
                <w:rFonts w:hint="eastAsia" w:hAnsi="Times New Roman" w:eastAsia="宋体"/>
                <w:kern w:val="2"/>
                <w:sz w:val="21"/>
                <w:szCs w:val="21"/>
              </w:rPr>
            </w:pPr>
            <w:r>
              <w:rPr>
                <w:rFonts w:hint="eastAsia" w:hAnsi="Times New Roman" w:eastAsia="宋体"/>
                <w:kern w:val="2"/>
                <w:sz w:val="21"/>
                <w:szCs w:val="21"/>
              </w:rPr>
              <w:t>二级</w:t>
            </w:r>
          </w:p>
        </w:tc>
        <w:tc>
          <w:tcPr>
            <w:tcW w:w="363" w:type="pct"/>
            <w:vAlign w:val="center"/>
          </w:tcPr>
          <w:p>
            <w:pPr>
              <w:pStyle w:val="44"/>
              <w:keepNext w:val="0"/>
              <w:keepLines w:val="0"/>
              <w:suppressLineNumbers w:val="0"/>
              <w:overflowPunct w:val="0"/>
              <w:spacing w:before="0" w:beforeAutospacing="0" w:after="0" w:afterAutospacing="0" w:line="300" w:lineRule="exact"/>
              <w:ind w:left="0" w:right="0"/>
              <w:jc w:val="center"/>
              <w:rPr>
                <w:rFonts w:hint="eastAsia" w:hAnsi="Times New Roman" w:eastAsia="宋体"/>
                <w:kern w:val="2"/>
                <w:sz w:val="21"/>
                <w:szCs w:val="21"/>
              </w:rPr>
            </w:pPr>
            <w:r>
              <w:rPr>
                <w:rFonts w:hint="eastAsia" w:hAnsi="Times New Roman" w:eastAsia="宋体"/>
                <w:kern w:val="2"/>
                <w:sz w:val="21"/>
                <w:szCs w:val="21"/>
              </w:rPr>
              <w:t>二级</w:t>
            </w:r>
          </w:p>
        </w:tc>
        <w:tc>
          <w:tcPr>
            <w:tcW w:w="380" w:type="pct"/>
            <w:vAlign w:val="center"/>
          </w:tcPr>
          <w:p>
            <w:pPr>
              <w:pStyle w:val="44"/>
              <w:keepNext w:val="0"/>
              <w:keepLines w:val="0"/>
              <w:suppressLineNumbers w:val="0"/>
              <w:overflowPunct w:val="0"/>
              <w:spacing w:before="0" w:beforeAutospacing="0" w:after="0" w:afterAutospacing="0" w:line="300" w:lineRule="exact"/>
              <w:ind w:left="0" w:right="0"/>
              <w:jc w:val="center"/>
              <w:rPr>
                <w:rFonts w:hint="eastAsia" w:hAnsi="Times New Roman" w:eastAsia="宋体"/>
                <w:kern w:val="2"/>
                <w:sz w:val="21"/>
                <w:szCs w:val="21"/>
              </w:rPr>
            </w:pPr>
            <w:r>
              <w:rPr>
                <w:rFonts w:hint="eastAsia" w:hAnsi="Times New Roman" w:eastAsia="宋体"/>
                <w:kern w:val="2"/>
                <w:sz w:val="21"/>
                <w:szCs w:val="21"/>
              </w:rPr>
              <w:t>三级</w:t>
            </w:r>
          </w:p>
        </w:tc>
        <w:tc>
          <w:tcPr>
            <w:tcW w:w="363" w:type="pct"/>
            <w:vAlign w:val="center"/>
          </w:tcPr>
          <w:p>
            <w:pPr>
              <w:pStyle w:val="44"/>
              <w:keepNext w:val="0"/>
              <w:keepLines w:val="0"/>
              <w:suppressLineNumbers w:val="0"/>
              <w:overflowPunct w:val="0"/>
              <w:spacing w:before="0" w:beforeAutospacing="0" w:after="0" w:afterAutospacing="0" w:line="300" w:lineRule="exact"/>
              <w:ind w:left="0" w:right="0"/>
              <w:jc w:val="center"/>
              <w:rPr>
                <w:rFonts w:hint="eastAsia" w:hAnsi="Times New Roman" w:eastAsia="宋体"/>
                <w:kern w:val="2"/>
                <w:sz w:val="21"/>
                <w:szCs w:val="21"/>
              </w:rPr>
            </w:pPr>
            <w:r>
              <w:rPr>
                <w:rFonts w:hint="eastAsia" w:hAnsi="Times New Roman" w:eastAsia="宋体"/>
                <w:kern w:val="2"/>
                <w:sz w:val="21"/>
                <w:szCs w:val="21"/>
              </w:rPr>
              <w:t>三级</w:t>
            </w:r>
          </w:p>
        </w:tc>
        <w:tc>
          <w:tcPr>
            <w:tcW w:w="364" w:type="pct"/>
            <w:vAlign w:val="center"/>
          </w:tcPr>
          <w:p>
            <w:pPr>
              <w:pStyle w:val="44"/>
              <w:keepNext w:val="0"/>
              <w:keepLines w:val="0"/>
              <w:suppressLineNumbers w:val="0"/>
              <w:overflowPunct w:val="0"/>
              <w:spacing w:before="0" w:beforeAutospacing="0" w:after="0" w:afterAutospacing="0" w:line="300" w:lineRule="exact"/>
              <w:ind w:left="0" w:right="0"/>
              <w:jc w:val="center"/>
              <w:rPr>
                <w:rFonts w:hint="eastAsia" w:hAnsi="Times New Roman" w:eastAsia="宋体"/>
                <w:kern w:val="2"/>
                <w:sz w:val="21"/>
                <w:szCs w:val="21"/>
              </w:rPr>
            </w:pPr>
            <w:r>
              <w:rPr>
                <w:rFonts w:hint="eastAsia" w:hAnsi="Times New Roman" w:eastAsia="宋体"/>
                <w:kern w:val="2"/>
                <w:sz w:val="21"/>
                <w:szCs w:val="21"/>
              </w:rPr>
              <w:t>三级</w:t>
            </w:r>
          </w:p>
        </w:tc>
        <w:tc>
          <w:tcPr>
            <w:tcW w:w="371" w:type="pct"/>
            <w:vAlign w:val="center"/>
          </w:tcPr>
          <w:p>
            <w:pPr>
              <w:pStyle w:val="44"/>
              <w:keepNext w:val="0"/>
              <w:keepLines w:val="0"/>
              <w:suppressLineNumbers w:val="0"/>
              <w:overflowPunct w:val="0"/>
              <w:spacing w:before="0" w:beforeAutospacing="0" w:after="0" w:afterAutospacing="0" w:line="30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436" w:type="pct"/>
            <w:vMerge w:val="continue"/>
            <w:vAlign w:val="center"/>
          </w:tcPr>
          <w:p>
            <w:pPr>
              <w:pStyle w:val="44"/>
              <w:keepNext w:val="0"/>
              <w:keepLines w:val="0"/>
              <w:suppressLineNumbers w:val="0"/>
              <w:overflowPunct w:val="0"/>
              <w:spacing w:before="0" w:beforeAutospacing="0" w:after="0" w:afterAutospacing="0" w:line="280" w:lineRule="exact"/>
              <w:ind w:left="0" w:right="1"/>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1185" w:type="pct"/>
            <w:vAlign w:val="center"/>
          </w:tcPr>
          <w:p>
            <w:pPr>
              <w:pStyle w:val="44"/>
              <w:keepNext w:val="0"/>
              <w:keepLines w:val="0"/>
              <w:suppressLineNumbers w:val="0"/>
              <w:overflowPunct w:val="0"/>
              <w:spacing w:before="0" w:beforeAutospacing="0" w:after="0" w:afterAutospacing="0" w:line="300" w:lineRule="exact"/>
              <w:ind w:left="0" w:right="0"/>
              <w:jc w:val="center"/>
              <w:rPr>
                <w:rFonts w:hint="eastAsia" w:hAnsi="Times New Roman" w:eastAsia="宋体"/>
                <w:kern w:val="2"/>
                <w:sz w:val="21"/>
                <w:szCs w:val="21"/>
              </w:rPr>
            </w:pPr>
            <w:r>
              <w:rPr>
                <w:rFonts w:hint="eastAsia" w:hAnsi="Times New Roman" w:eastAsia="宋体"/>
                <w:kern w:val="2"/>
                <w:sz w:val="21"/>
                <w:szCs w:val="21"/>
              </w:rPr>
              <w:t>不敏感</w:t>
            </w:r>
          </w:p>
        </w:tc>
        <w:tc>
          <w:tcPr>
            <w:tcW w:w="363" w:type="pct"/>
            <w:vAlign w:val="center"/>
          </w:tcPr>
          <w:p>
            <w:pPr>
              <w:pStyle w:val="44"/>
              <w:keepNext w:val="0"/>
              <w:keepLines w:val="0"/>
              <w:suppressLineNumbers w:val="0"/>
              <w:overflowPunct w:val="0"/>
              <w:spacing w:before="0" w:beforeAutospacing="0" w:after="0" w:afterAutospacing="0" w:line="300" w:lineRule="exact"/>
              <w:ind w:left="0" w:right="0"/>
              <w:jc w:val="center"/>
              <w:rPr>
                <w:rFonts w:hint="eastAsia" w:hAnsi="Times New Roman" w:eastAsia="宋体"/>
                <w:kern w:val="2"/>
                <w:sz w:val="21"/>
                <w:szCs w:val="21"/>
              </w:rPr>
            </w:pPr>
            <w:r>
              <w:rPr>
                <w:rFonts w:hint="eastAsia" w:hAnsi="Times New Roman" w:eastAsia="宋体"/>
                <w:kern w:val="2"/>
                <w:sz w:val="21"/>
                <w:szCs w:val="21"/>
              </w:rPr>
              <w:t>一级</w:t>
            </w:r>
          </w:p>
        </w:tc>
        <w:tc>
          <w:tcPr>
            <w:tcW w:w="389" w:type="pct"/>
            <w:vAlign w:val="center"/>
          </w:tcPr>
          <w:p>
            <w:pPr>
              <w:pStyle w:val="44"/>
              <w:keepNext w:val="0"/>
              <w:keepLines w:val="0"/>
              <w:suppressLineNumbers w:val="0"/>
              <w:overflowPunct w:val="0"/>
              <w:spacing w:before="0" w:beforeAutospacing="0" w:after="0" w:afterAutospacing="0" w:line="300" w:lineRule="exact"/>
              <w:ind w:left="0" w:right="0"/>
              <w:jc w:val="center"/>
              <w:rPr>
                <w:rFonts w:hint="eastAsia" w:hAnsi="Times New Roman" w:eastAsia="宋体"/>
                <w:kern w:val="2"/>
                <w:sz w:val="21"/>
                <w:szCs w:val="21"/>
              </w:rPr>
            </w:pPr>
            <w:r>
              <w:rPr>
                <w:rFonts w:hint="eastAsia" w:hAnsi="Times New Roman" w:eastAsia="宋体"/>
                <w:kern w:val="2"/>
                <w:sz w:val="21"/>
                <w:szCs w:val="21"/>
              </w:rPr>
              <w:t>二级</w:t>
            </w:r>
          </w:p>
        </w:tc>
        <w:tc>
          <w:tcPr>
            <w:tcW w:w="397" w:type="pct"/>
            <w:vAlign w:val="center"/>
          </w:tcPr>
          <w:p>
            <w:pPr>
              <w:pStyle w:val="44"/>
              <w:keepNext w:val="0"/>
              <w:keepLines w:val="0"/>
              <w:suppressLineNumbers w:val="0"/>
              <w:overflowPunct w:val="0"/>
              <w:spacing w:before="0" w:beforeAutospacing="0" w:after="0" w:afterAutospacing="0" w:line="300" w:lineRule="exact"/>
              <w:ind w:left="0" w:right="0"/>
              <w:jc w:val="center"/>
              <w:rPr>
                <w:rFonts w:hint="eastAsia" w:hAnsi="Times New Roman" w:eastAsia="宋体"/>
                <w:kern w:val="2"/>
                <w:sz w:val="21"/>
                <w:szCs w:val="21"/>
              </w:rPr>
            </w:pPr>
            <w:r>
              <w:rPr>
                <w:rFonts w:hint="eastAsia" w:hAnsi="Times New Roman" w:eastAsia="宋体"/>
                <w:kern w:val="2"/>
                <w:sz w:val="21"/>
                <w:szCs w:val="21"/>
              </w:rPr>
              <w:t>二级</w:t>
            </w:r>
          </w:p>
        </w:tc>
        <w:tc>
          <w:tcPr>
            <w:tcW w:w="389" w:type="pct"/>
            <w:vAlign w:val="center"/>
          </w:tcPr>
          <w:p>
            <w:pPr>
              <w:pStyle w:val="44"/>
              <w:keepNext w:val="0"/>
              <w:keepLines w:val="0"/>
              <w:suppressLineNumbers w:val="0"/>
              <w:overflowPunct w:val="0"/>
              <w:spacing w:before="0" w:beforeAutospacing="0" w:after="0" w:afterAutospacing="0" w:line="300" w:lineRule="exact"/>
              <w:ind w:left="0" w:right="0"/>
              <w:jc w:val="center"/>
              <w:rPr>
                <w:rFonts w:hint="eastAsia" w:hAnsi="Times New Roman" w:eastAsia="宋体"/>
                <w:kern w:val="2"/>
                <w:sz w:val="21"/>
                <w:szCs w:val="21"/>
              </w:rPr>
            </w:pPr>
            <w:r>
              <w:rPr>
                <w:rFonts w:hint="eastAsia" w:hAnsi="Times New Roman" w:eastAsia="宋体"/>
                <w:kern w:val="2"/>
                <w:sz w:val="21"/>
                <w:szCs w:val="21"/>
              </w:rPr>
              <w:t>二级</w:t>
            </w:r>
          </w:p>
        </w:tc>
        <w:tc>
          <w:tcPr>
            <w:tcW w:w="363" w:type="pct"/>
            <w:vAlign w:val="center"/>
          </w:tcPr>
          <w:p>
            <w:pPr>
              <w:pStyle w:val="44"/>
              <w:keepNext w:val="0"/>
              <w:keepLines w:val="0"/>
              <w:suppressLineNumbers w:val="0"/>
              <w:overflowPunct w:val="0"/>
              <w:spacing w:before="0" w:beforeAutospacing="0" w:after="0" w:afterAutospacing="0" w:line="300" w:lineRule="exact"/>
              <w:ind w:left="0" w:right="0"/>
              <w:jc w:val="center"/>
              <w:rPr>
                <w:rFonts w:hint="eastAsia" w:hAnsi="Times New Roman" w:eastAsia="宋体"/>
                <w:kern w:val="2"/>
                <w:sz w:val="21"/>
                <w:szCs w:val="21"/>
              </w:rPr>
            </w:pPr>
            <w:r>
              <w:rPr>
                <w:rFonts w:hint="eastAsia" w:hAnsi="Times New Roman" w:eastAsia="宋体"/>
                <w:kern w:val="2"/>
                <w:sz w:val="21"/>
                <w:szCs w:val="21"/>
              </w:rPr>
              <w:t>二级</w:t>
            </w:r>
          </w:p>
        </w:tc>
        <w:tc>
          <w:tcPr>
            <w:tcW w:w="380" w:type="pct"/>
            <w:vAlign w:val="center"/>
          </w:tcPr>
          <w:p>
            <w:pPr>
              <w:pStyle w:val="44"/>
              <w:keepNext w:val="0"/>
              <w:keepLines w:val="0"/>
              <w:suppressLineNumbers w:val="0"/>
              <w:overflowPunct w:val="0"/>
              <w:spacing w:before="0" w:beforeAutospacing="0" w:after="0" w:afterAutospacing="0" w:line="300" w:lineRule="exact"/>
              <w:ind w:left="0" w:right="0"/>
              <w:jc w:val="center"/>
              <w:rPr>
                <w:rFonts w:hint="eastAsia" w:hAnsi="Times New Roman" w:eastAsia="宋体"/>
                <w:kern w:val="2"/>
                <w:sz w:val="21"/>
                <w:szCs w:val="21"/>
              </w:rPr>
            </w:pPr>
            <w:r>
              <w:rPr>
                <w:rFonts w:hint="eastAsia" w:hAnsi="Times New Roman" w:eastAsia="宋体"/>
                <w:kern w:val="2"/>
                <w:sz w:val="21"/>
                <w:szCs w:val="21"/>
              </w:rPr>
              <w:t>三级</w:t>
            </w:r>
          </w:p>
        </w:tc>
        <w:tc>
          <w:tcPr>
            <w:tcW w:w="363" w:type="pct"/>
            <w:vAlign w:val="center"/>
          </w:tcPr>
          <w:p>
            <w:pPr>
              <w:pStyle w:val="44"/>
              <w:keepNext w:val="0"/>
              <w:keepLines w:val="0"/>
              <w:suppressLineNumbers w:val="0"/>
              <w:overflowPunct w:val="0"/>
              <w:spacing w:before="0" w:beforeAutospacing="0" w:after="0" w:afterAutospacing="0" w:line="300" w:lineRule="exact"/>
              <w:ind w:left="0" w:right="0"/>
              <w:jc w:val="center"/>
              <w:rPr>
                <w:rFonts w:hint="eastAsia" w:hAnsi="Times New Roman" w:eastAsia="宋体"/>
                <w:kern w:val="2"/>
                <w:sz w:val="21"/>
                <w:szCs w:val="21"/>
              </w:rPr>
            </w:pPr>
            <w:r>
              <w:rPr>
                <w:rFonts w:hint="eastAsia" w:hAnsi="Times New Roman" w:eastAsia="宋体"/>
                <w:kern w:val="2"/>
                <w:sz w:val="21"/>
                <w:szCs w:val="21"/>
              </w:rPr>
              <w:t>三级</w:t>
            </w:r>
          </w:p>
        </w:tc>
        <w:tc>
          <w:tcPr>
            <w:tcW w:w="364" w:type="pct"/>
            <w:vAlign w:val="center"/>
          </w:tcPr>
          <w:p>
            <w:pPr>
              <w:pStyle w:val="44"/>
              <w:keepNext w:val="0"/>
              <w:keepLines w:val="0"/>
              <w:suppressLineNumbers w:val="0"/>
              <w:overflowPunct w:val="0"/>
              <w:spacing w:before="0" w:beforeAutospacing="0" w:after="0" w:afterAutospacing="0" w:line="30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371" w:type="pct"/>
            <w:vAlign w:val="center"/>
          </w:tcPr>
          <w:p>
            <w:pPr>
              <w:pStyle w:val="44"/>
              <w:keepNext w:val="0"/>
              <w:keepLines w:val="0"/>
              <w:suppressLineNumbers w:val="0"/>
              <w:overflowPunct w:val="0"/>
              <w:spacing w:before="0" w:beforeAutospacing="0" w:after="0" w:afterAutospacing="0" w:line="30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436" w:type="pct"/>
            <w:vMerge w:val="continue"/>
            <w:vAlign w:val="center"/>
          </w:tcPr>
          <w:p>
            <w:pPr>
              <w:pStyle w:val="44"/>
              <w:keepNext w:val="0"/>
              <w:keepLines w:val="0"/>
              <w:suppressLineNumbers w:val="0"/>
              <w:overflowPunct w:val="0"/>
              <w:spacing w:before="0" w:beforeAutospacing="0" w:after="0" w:afterAutospacing="0" w:line="280" w:lineRule="exact"/>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5000" w:type="pct"/>
            <w:gridSpan w:val="11"/>
            <w:vAlign w:val="center"/>
          </w:tcPr>
          <w:p>
            <w:pPr>
              <w:pStyle w:val="44"/>
              <w:keepNext w:val="0"/>
              <w:keepLines w:val="0"/>
              <w:suppressLineNumbers w:val="0"/>
              <w:overflowPunct w:val="0"/>
              <w:spacing w:before="0" w:beforeAutospacing="0" w:after="0" w:afterAutospacing="0" w:line="28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rPr>
              <w:t>注：“</w:t>
            </w:r>
            <w:r>
              <w:rPr>
                <w:rFonts w:hint="eastAsia" w:hAnsi="Times New Roman" w:eastAsia="宋体"/>
                <w:kern w:val="2"/>
                <w:sz w:val="21"/>
                <w:szCs w:val="21"/>
                <w:lang w:eastAsia="zh-CN"/>
              </w:rPr>
              <w:t>/</w:t>
            </w:r>
            <w:r>
              <w:rPr>
                <w:rFonts w:hint="eastAsia" w:hAnsi="Times New Roman" w:eastAsia="宋体"/>
                <w:kern w:val="2"/>
                <w:sz w:val="21"/>
                <w:szCs w:val="21"/>
              </w:rPr>
              <w:t>”</w:t>
            </w:r>
            <w:r>
              <w:rPr>
                <w:rFonts w:hint="eastAsia" w:hAnsi="Times New Roman" w:eastAsia="宋体"/>
                <w:kern w:val="2"/>
                <w:sz w:val="21"/>
                <w:szCs w:val="21"/>
                <w:lang w:eastAsia="zh-CN"/>
              </w:rPr>
              <w:t xml:space="preserve"> 表示可不开展土壤环境影响评价工作</w:t>
            </w:r>
          </w:p>
        </w:tc>
      </w:tr>
    </w:tbl>
    <w:p>
      <w:pPr>
        <w:spacing w:line="360" w:lineRule="auto"/>
        <w:ind w:firstLine="482" w:firstLineChars="200"/>
        <w:rPr>
          <w:rFonts w:hAnsi="Times New Roman" w:eastAsia="宋体"/>
          <w:b/>
          <w:bCs/>
          <w:lang w:eastAsia="zh-CN"/>
        </w:rPr>
      </w:pPr>
      <w:r>
        <w:rPr>
          <w:rFonts w:hAnsi="Times New Roman" w:eastAsia="宋体"/>
          <w:b/>
          <w:bCs/>
          <w:lang w:eastAsia="zh-CN"/>
        </w:rPr>
        <w:t>由上表可知，本项目土壤环境影响评价工作等级为二级。</w:t>
      </w:r>
    </w:p>
    <w:p>
      <w:pPr>
        <w:spacing w:line="360" w:lineRule="auto"/>
        <w:ind w:firstLine="480" w:firstLineChars="200"/>
        <w:rPr>
          <w:rFonts w:hAnsi="Times New Roman" w:eastAsia="宋体"/>
          <w:lang w:eastAsia="zh-CN"/>
        </w:rPr>
      </w:pPr>
      <w:r>
        <w:rPr>
          <w:rFonts w:hAnsi="Times New Roman" w:eastAsia="宋体"/>
          <w:szCs w:val="22"/>
          <w:lang w:eastAsia="zh-CN"/>
        </w:rPr>
        <w:t>综上，本项目污染影响型土壤等级为二级，生态影响型土壤等级为三级。</w:t>
      </w:r>
    </w:p>
    <w:p>
      <w:pPr>
        <w:spacing w:line="360" w:lineRule="auto"/>
        <w:rPr>
          <w:rFonts w:hAnsi="Times New Roman" w:eastAsia="宋体"/>
          <w:b/>
          <w:bCs/>
          <w:szCs w:val="22"/>
          <w:lang w:eastAsia="zh-CN"/>
        </w:rPr>
      </w:pPr>
      <w:r>
        <w:rPr>
          <w:rFonts w:hAnsi="Times New Roman" w:eastAsia="宋体"/>
          <w:b/>
          <w:bCs/>
          <w:szCs w:val="22"/>
          <w:lang w:eastAsia="zh-CN"/>
        </w:rPr>
        <w:t>1.6.1.7 环境风险评价等级</w:t>
      </w:r>
    </w:p>
    <w:p>
      <w:pPr>
        <w:spacing w:line="360" w:lineRule="auto"/>
        <w:ind w:firstLine="480" w:firstLineChars="200"/>
        <w:rPr>
          <w:rFonts w:hAnsi="Times New Roman" w:eastAsia="宋体"/>
          <w:lang w:eastAsia="zh-CN"/>
        </w:rPr>
      </w:pPr>
      <w:r>
        <w:rPr>
          <w:rFonts w:hAnsi="Times New Roman" w:eastAsia="宋体"/>
          <w:lang w:eastAsia="zh-CN"/>
        </w:rPr>
        <w:t>本项目涉及的危险物质为矿井瓦斯及废机油等油类物质，危险物质数量与临界量比值Q=0.264＜1。危害程度为轻危害度（P4），且事故风险情况下，</w:t>
      </w:r>
      <w:r>
        <w:rPr>
          <w:rFonts w:hint="eastAsia" w:hAnsi="Times New Roman" w:eastAsia="宋体"/>
          <w:lang w:eastAsia="zh-CN"/>
        </w:rPr>
        <w:t>风险物质</w:t>
      </w:r>
      <w:r>
        <w:rPr>
          <w:rFonts w:hAnsi="Times New Roman" w:eastAsia="宋体"/>
          <w:lang w:eastAsia="zh-CN"/>
        </w:rPr>
        <w:t>泄漏量极少，不会进入环境敏感区，环境敏感程度为环境低度敏感区（E3）。</w:t>
      </w:r>
    </w:p>
    <w:p>
      <w:pPr>
        <w:spacing w:line="360" w:lineRule="auto"/>
        <w:ind w:firstLine="480" w:firstLineChars="200"/>
        <w:rPr>
          <w:rFonts w:hAnsi="Times New Roman" w:eastAsia="宋体"/>
          <w:lang w:eastAsia="zh-CN"/>
        </w:rPr>
      </w:pPr>
      <w:r>
        <w:rPr>
          <w:rFonts w:hAnsi="Times New Roman" w:eastAsia="宋体"/>
          <w:lang w:eastAsia="zh-CN"/>
        </w:rPr>
        <w:t>根据《建设项目环境风险评价技术导则》（HJ/T169-2018）判定，本项目环境风险潜势为I级</w:t>
      </w:r>
      <w:r>
        <w:rPr>
          <w:rFonts w:hint="eastAsia" w:hAnsi="Times New Roman" w:eastAsia="宋体"/>
          <w:lang w:eastAsia="zh-CN"/>
        </w:rPr>
        <w:t>，</w:t>
      </w:r>
      <w:r>
        <w:rPr>
          <w:rFonts w:hAnsi="Times New Roman" w:eastAsia="宋体"/>
          <w:lang w:eastAsia="zh-CN"/>
        </w:rPr>
        <w:t>其环境风险</w:t>
      </w:r>
      <w:r>
        <w:rPr>
          <w:rFonts w:hint="eastAsia" w:hAnsi="Times New Roman" w:eastAsia="宋体"/>
          <w:lang w:eastAsia="zh-CN"/>
        </w:rPr>
        <w:t>评价等级为</w:t>
      </w:r>
      <w:r>
        <w:rPr>
          <w:rFonts w:hAnsi="Times New Roman" w:eastAsia="宋体"/>
          <w:lang w:eastAsia="zh-CN"/>
        </w:rPr>
        <w:t>简单分析。</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表1.6-1</w:t>
      </w:r>
      <w:r>
        <w:rPr>
          <w:rFonts w:hint="eastAsia" w:hAnsi="Times New Roman" w:eastAsia="宋体"/>
          <w:b/>
          <w:bCs/>
          <w:sz w:val="21"/>
          <w:szCs w:val="21"/>
          <w:lang w:eastAsia="zh-CN"/>
        </w:rPr>
        <w:t>3</w:t>
      </w:r>
      <w:r>
        <w:rPr>
          <w:rFonts w:hAnsi="Times New Roman" w:eastAsia="宋体"/>
          <w:b/>
          <w:bCs/>
          <w:sz w:val="21"/>
          <w:szCs w:val="21"/>
          <w:lang w:eastAsia="zh-CN"/>
        </w:rPr>
        <w:t xml:space="preserve"> 环境风险评价工作级别判定表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380"/>
        <w:gridCol w:w="1791"/>
        <w:gridCol w:w="2279"/>
        <w:gridCol w:w="1866"/>
        <w:gridCol w:w="18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55"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环境风险潜势</w:t>
            </w:r>
          </w:p>
        </w:tc>
        <w:tc>
          <w:tcPr>
            <w:tcW w:w="980"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Ⅳ</w:t>
            </w:r>
            <w:r>
              <w:rPr>
                <w:rFonts w:hint="eastAsia" w:hAnsi="Times New Roman" w:eastAsia="宋体"/>
                <w:b/>
                <w:bCs/>
                <w:kern w:val="2"/>
                <w:sz w:val="21"/>
                <w:szCs w:val="21"/>
                <w:vertAlign w:val="superscript"/>
                <w:lang w:eastAsia="zh-CN"/>
              </w:rPr>
              <w:t>+</w:t>
            </w:r>
            <w:r>
              <w:rPr>
                <w:rFonts w:hint="eastAsia" w:hAnsi="Times New Roman" w:eastAsia="宋体"/>
                <w:b/>
                <w:bCs/>
                <w:kern w:val="2"/>
                <w:sz w:val="21"/>
                <w:szCs w:val="21"/>
                <w:lang w:eastAsia="zh-CN"/>
              </w:rPr>
              <w:t>、Ⅳ</w:t>
            </w:r>
          </w:p>
        </w:tc>
        <w:tc>
          <w:tcPr>
            <w:tcW w:w="1247"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Ⅲ</w:t>
            </w:r>
          </w:p>
        </w:tc>
        <w:tc>
          <w:tcPr>
            <w:tcW w:w="1021"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Ⅱ</w:t>
            </w:r>
          </w:p>
        </w:tc>
        <w:tc>
          <w:tcPr>
            <w:tcW w:w="997"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55"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评价工作等级</w:t>
            </w:r>
          </w:p>
        </w:tc>
        <w:tc>
          <w:tcPr>
            <w:tcW w:w="980"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一</w:t>
            </w:r>
          </w:p>
        </w:tc>
        <w:tc>
          <w:tcPr>
            <w:tcW w:w="1247"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二</w:t>
            </w:r>
          </w:p>
        </w:tc>
        <w:tc>
          <w:tcPr>
            <w:tcW w:w="10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三</w:t>
            </w:r>
          </w:p>
        </w:tc>
        <w:tc>
          <w:tcPr>
            <w:tcW w:w="997" w:type="pct"/>
            <w:shd w:val="clear" w:color="auto" w:fill="938953"/>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简单分析a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00" w:type="pct"/>
            <w:gridSpan w:val="5"/>
            <w:vAlign w:val="center"/>
          </w:tcPr>
          <w:p>
            <w:pPr>
              <w:keepNext w:val="0"/>
              <w:keepLines w:val="0"/>
              <w:widowControl/>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18"/>
                <w:szCs w:val="18"/>
                <w:lang w:eastAsia="zh-CN" w:bidi="ar"/>
              </w:rPr>
              <w:t>a 是相对于详细评价工作内容而言，在描述危险物质、环境影响途径、环境危害后果、风险防范措施等方面给出定性说明。</w:t>
            </w:r>
          </w:p>
        </w:tc>
      </w:tr>
    </w:tbl>
    <w:p>
      <w:pPr>
        <w:pStyle w:val="6"/>
        <w:rPr>
          <w:lang w:eastAsia="zh-CN"/>
        </w:rPr>
      </w:pPr>
      <w:bookmarkStart w:id="42" w:name="_Toc163812492"/>
      <w:bookmarkStart w:id="43" w:name="_Toc167095115"/>
      <w:r>
        <w:rPr>
          <w:lang w:eastAsia="zh-CN"/>
        </w:rPr>
        <w:t>1.6.2评价范围</w:t>
      </w:r>
      <w:bookmarkEnd w:id="42"/>
      <w:bookmarkEnd w:id="43"/>
    </w:p>
    <w:p>
      <w:pPr>
        <w:spacing w:line="360" w:lineRule="auto"/>
        <w:ind w:firstLine="482" w:firstLineChars="200"/>
        <w:rPr>
          <w:rFonts w:hAnsi="Times New Roman" w:eastAsia="宋体"/>
          <w:b/>
          <w:bCs/>
          <w:lang w:eastAsia="zh-CN"/>
        </w:rPr>
      </w:pPr>
      <w:r>
        <w:rPr>
          <w:rFonts w:hAnsi="Times New Roman" w:eastAsia="宋体"/>
          <w:b/>
          <w:bCs/>
          <w:lang w:eastAsia="zh-CN"/>
        </w:rPr>
        <w:t>（1）大气评价范围</w:t>
      </w:r>
    </w:p>
    <w:p>
      <w:pPr>
        <w:spacing w:line="360" w:lineRule="auto"/>
        <w:ind w:firstLine="480" w:firstLineChars="200"/>
        <w:rPr>
          <w:rFonts w:hAnsi="Times New Roman" w:eastAsia="宋体"/>
          <w:lang w:eastAsia="zh-CN"/>
        </w:rPr>
      </w:pPr>
      <w:r>
        <w:rPr>
          <w:rFonts w:hAnsi="Times New Roman" w:eastAsia="宋体"/>
          <w:lang w:eastAsia="zh-CN"/>
        </w:rPr>
        <w:t>本项目大气评级等级为二级，依据《环境影响评价技术导则-大气环境》（HJ/T2.2-2018）中5.4.2中的规定，本项目的大气环境影响评价范围为以工业广场为中心，边长约为5km的矩形范围，重点评价工业场地界外200m范围及运煤道路两侧100m范围。</w:t>
      </w:r>
    </w:p>
    <w:p>
      <w:pPr>
        <w:spacing w:line="360" w:lineRule="auto"/>
        <w:ind w:firstLine="482" w:firstLineChars="200"/>
        <w:rPr>
          <w:rFonts w:hAnsi="Times New Roman" w:eastAsia="宋体"/>
          <w:b/>
          <w:bCs/>
          <w:lang w:eastAsia="zh-CN"/>
        </w:rPr>
      </w:pPr>
      <w:r>
        <w:rPr>
          <w:rFonts w:hAnsi="Times New Roman" w:eastAsia="宋体"/>
          <w:b/>
          <w:bCs/>
          <w:lang w:eastAsia="zh-CN"/>
        </w:rPr>
        <w:t>（2）地表水评价范围</w:t>
      </w:r>
    </w:p>
    <w:p>
      <w:pPr>
        <w:spacing w:line="360" w:lineRule="auto"/>
        <w:ind w:firstLine="480" w:firstLineChars="200"/>
        <w:rPr>
          <w:rFonts w:hAnsi="Times New Roman" w:eastAsia="宋体"/>
          <w:highlight w:val="yellow"/>
          <w:lang w:eastAsia="zh-CN"/>
        </w:rPr>
      </w:pPr>
      <w:r>
        <w:rPr>
          <w:rFonts w:hAnsi="Times New Roman" w:eastAsia="宋体"/>
          <w:lang w:eastAsia="zh-CN"/>
        </w:rPr>
        <w:t>七里峡煤矿经过处理后的矿井涌水部分外排至新宁河，向西南方向自流约26.4km后进入明月江，新宁河属于Ⅲ类水域，项目地表水评价范围为矿井涌水汇入新宁河断面上游500m 至下游</w:t>
      </w:r>
      <w:r>
        <w:rPr>
          <w:rFonts w:hint="eastAsia" w:hAnsi="Times New Roman" w:eastAsia="宋体"/>
          <w:lang w:eastAsia="zh-CN"/>
        </w:rPr>
        <w:t>3</w:t>
      </w:r>
      <w:r>
        <w:rPr>
          <w:rFonts w:hAnsi="Times New Roman" w:eastAsia="宋体"/>
          <w:lang w:eastAsia="zh-CN"/>
        </w:rPr>
        <w:t>000m处，全长</w:t>
      </w:r>
      <w:r>
        <w:rPr>
          <w:rFonts w:hint="eastAsia" w:hAnsi="Times New Roman" w:eastAsia="宋体"/>
          <w:lang w:eastAsia="zh-CN"/>
        </w:rPr>
        <w:t>3</w:t>
      </w:r>
      <w:r>
        <w:rPr>
          <w:rFonts w:hAnsi="Times New Roman" w:eastAsia="宋体"/>
          <w:lang w:eastAsia="zh-CN"/>
        </w:rPr>
        <w:t>500m。</w:t>
      </w:r>
    </w:p>
    <w:p>
      <w:pPr>
        <w:spacing w:line="360" w:lineRule="auto"/>
        <w:ind w:firstLine="482" w:firstLineChars="200"/>
        <w:rPr>
          <w:rFonts w:hAnsi="Times New Roman" w:eastAsia="宋体"/>
          <w:b/>
          <w:bCs/>
          <w:lang w:eastAsia="zh-CN"/>
        </w:rPr>
      </w:pPr>
      <w:r>
        <w:rPr>
          <w:rFonts w:hAnsi="Times New Roman" w:eastAsia="宋体"/>
          <w:b/>
          <w:bCs/>
          <w:lang w:eastAsia="zh-CN"/>
        </w:rPr>
        <w:t>（3）地下水评价范围</w:t>
      </w:r>
    </w:p>
    <w:p>
      <w:pPr>
        <w:spacing w:line="360" w:lineRule="auto"/>
        <w:ind w:firstLine="482" w:firstLineChars="200"/>
        <w:rPr>
          <w:rFonts w:hAnsi="Times New Roman" w:eastAsia="宋体"/>
          <w:b/>
          <w:bCs/>
          <w:lang w:eastAsia="zh-CN"/>
        </w:rPr>
      </w:pPr>
      <w:r>
        <w:rPr>
          <w:rFonts w:hAnsi="Times New Roman" w:eastAsia="宋体"/>
          <w:b/>
          <w:bCs/>
          <w:lang w:eastAsia="zh-CN"/>
        </w:rPr>
        <w:t>1）评价范围确定方法</w:t>
      </w:r>
    </w:p>
    <w:p>
      <w:pPr>
        <w:spacing w:line="360" w:lineRule="auto"/>
        <w:ind w:firstLine="480" w:firstLineChars="200"/>
        <w:rPr>
          <w:rFonts w:hAnsi="Times New Roman" w:eastAsia="宋体"/>
          <w:lang w:eastAsia="zh-CN"/>
        </w:rPr>
      </w:pPr>
      <w:r>
        <w:rPr>
          <w:rFonts w:hAnsi="Times New Roman" w:eastAsia="宋体"/>
          <w:lang w:eastAsia="zh-CN"/>
        </w:rPr>
        <w:fldChar w:fldCharType="begin"/>
      </w:r>
      <w:r>
        <w:rPr>
          <w:rFonts w:hAnsi="Times New Roman" w:eastAsia="宋体"/>
          <w:lang w:eastAsia="zh-CN"/>
        </w:rPr>
        <w:instrText xml:space="preserve"> </w:instrText>
      </w:r>
      <w:r>
        <w:rPr>
          <w:rFonts w:hint="eastAsia" w:hAnsi="Times New Roman" w:eastAsia="宋体"/>
          <w:lang w:eastAsia="zh-CN"/>
        </w:rPr>
        <w:instrText xml:space="preserve">= 1 \* GB3</w:instrText>
      </w:r>
      <w:r>
        <w:rPr>
          <w:rFonts w:hAnsi="Times New Roman" w:eastAsia="宋体"/>
          <w:lang w:eastAsia="zh-CN"/>
        </w:rPr>
        <w:instrText xml:space="preserve"> </w:instrText>
      </w:r>
      <w:r>
        <w:rPr>
          <w:rFonts w:hAnsi="Times New Roman" w:eastAsia="宋体"/>
          <w:lang w:eastAsia="zh-CN"/>
        </w:rPr>
        <w:fldChar w:fldCharType="separate"/>
      </w:r>
      <w:r>
        <w:rPr>
          <w:rFonts w:hint="eastAsia" w:hAnsi="Times New Roman" w:eastAsia="宋体"/>
          <w:lang w:eastAsia="zh-CN"/>
        </w:rPr>
        <w:t>①</w:t>
      </w:r>
      <w:r>
        <w:rPr>
          <w:rFonts w:hAnsi="Times New Roman" w:eastAsia="宋体"/>
          <w:lang w:eastAsia="zh-CN"/>
        </w:rPr>
        <w:fldChar w:fldCharType="end"/>
      </w:r>
      <w:r>
        <w:rPr>
          <w:rFonts w:hAnsi="Times New Roman" w:eastAsia="宋体"/>
          <w:lang w:eastAsia="zh-CN"/>
        </w:rPr>
        <w:t>公式计算法</w:t>
      </w:r>
    </w:p>
    <w:p>
      <w:pPr>
        <w:spacing w:line="360" w:lineRule="auto"/>
        <w:ind w:firstLine="480"/>
        <w:rPr>
          <w:rFonts w:hAnsi="Times New Roman" w:eastAsia="宋体"/>
          <w:szCs w:val="24"/>
        </w:rPr>
      </w:pPr>
      <w:r>
        <w:rPr>
          <w:rFonts w:hAnsi="Times New Roman" w:eastAsia="宋体"/>
          <w:szCs w:val="24"/>
        </w:rPr>
        <w:t>当建设项目所在地水文地质条件相对简单，且所掌握的资料能够满足公式计算法的要求时，应采用公式计算法确定：</w:t>
      </w:r>
    </w:p>
    <w:p>
      <w:pPr>
        <w:pStyle w:val="53"/>
        <w:ind w:firstLine="480"/>
        <w:jc w:val="center"/>
        <w:rPr>
          <w:rFonts w:eastAsia="宋体"/>
          <w:szCs w:val="24"/>
        </w:rPr>
      </w:pPr>
      <w:r>
        <w:rPr>
          <w:rFonts w:eastAsia="宋体"/>
          <w:szCs w:val="24"/>
        </w:rPr>
        <w:t>L=α×K×I×T/n</w:t>
      </w:r>
      <w:r>
        <w:rPr>
          <w:rFonts w:eastAsia="宋体"/>
          <w:szCs w:val="24"/>
          <w:vertAlign w:val="subscript"/>
        </w:rPr>
        <w:t>e</w:t>
      </w:r>
    </w:p>
    <w:p>
      <w:pPr>
        <w:pStyle w:val="53"/>
        <w:ind w:firstLine="480"/>
        <w:rPr>
          <w:rFonts w:eastAsia="宋体"/>
          <w:szCs w:val="24"/>
        </w:rPr>
      </w:pPr>
      <w:r>
        <w:rPr>
          <w:rFonts w:eastAsia="宋体"/>
          <w:szCs w:val="24"/>
        </w:rPr>
        <w:t>式中：L—下游迁移距离</w:t>
      </w:r>
    </w:p>
    <w:p>
      <w:pPr>
        <w:pStyle w:val="53"/>
        <w:ind w:firstLine="1200" w:firstLineChars="500"/>
        <w:rPr>
          <w:rFonts w:eastAsia="宋体"/>
          <w:szCs w:val="24"/>
        </w:rPr>
      </w:pPr>
      <w:r>
        <w:rPr>
          <w:rFonts w:eastAsia="宋体"/>
          <w:i/>
          <w:szCs w:val="24"/>
        </w:rPr>
        <w:t>α</w:t>
      </w:r>
      <w:r>
        <w:rPr>
          <w:rFonts w:eastAsia="宋体"/>
          <w:szCs w:val="24"/>
        </w:rPr>
        <w:t>—变化系数，</w:t>
      </w:r>
      <w:r>
        <w:rPr>
          <w:rFonts w:eastAsia="宋体"/>
          <w:i/>
          <w:szCs w:val="24"/>
        </w:rPr>
        <w:t>α≥</w:t>
      </w:r>
      <w:r>
        <w:rPr>
          <w:rFonts w:eastAsia="宋体"/>
          <w:szCs w:val="24"/>
        </w:rPr>
        <w:t>1，一般取2；</w:t>
      </w:r>
    </w:p>
    <w:p>
      <w:pPr>
        <w:pStyle w:val="53"/>
        <w:ind w:firstLine="1200" w:firstLineChars="500"/>
        <w:rPr>
          <w:rFonts w:eastAsia="宋体"/>
          <w:szCs w:val="24"/>
        </w:rPr>
      </w:pPr>
      <w:r>
        <w:rPr>
          <w:rFonts w:eastAsia="宋体"/>
          <w:szCs w:val="24"/>
        </w:rPr>
        <w:t>K—渗透系数，m/d；</w:t>
      </w:r>
    </w:p>
    <w:p>
      <w:pPr>
        <w:pStyle w:val="53"/>
        <w:ind w:firstLine="1200" w:firstLineChars="500"/>
        <w:rPr>
          <w:rFonts w:eastAsia="宋体"/>
          <w:szCs w:val="24"/>
        </w:rPr>
      </w:pPr>
      <w:r>
        <w:rPr>
          <w:rFonts w:eastAsia="宋体"/>
          <w:szCs w:val="24"/>
        </w:rPr>
        <w:t>I—水力坡度，无量纲；</w:t>
      </w:r>
    </w:p>
    <w:p>
      <w:pPr>
        <w:pStyle w:val="53"/>
        <w:ind w:firstLine="1200" w:firstLineChars="500"/>
        <w:rPr>
          <w:rFonts w:eastAsia="宋体"/>
          <w:szCs w:val="24"/>
        </w:rPr>
      </w:pPr>
      <w:r>
        <w:rPr>
          <w:rFonts w:eastAsia="宋体"/>
          <w:szCs w:val="24"/>
        </w:rPr>
        <w:t>T—质点迁移天数，取值不小于5000d；</w:t>
      </w:r>
    </w:p>
    <w:p>
      <w:pPr>
        <w:pStyle w:val="53"/>
        <w:ind w:firstLine="1200" w:firstLineChars="500"/>
        <w:rPr>
          <w:rFonts w:eastAsia="宋体"/>
          <w:szCs w:val="24"/>
        </w:rPr>
      </w:pPr>
      <w:r>
        <w:rPr>
          <w:rFonts w:eastAsia="宋体"/>
          <w:szCs w:val="24"/>
        </w:rPr>
        <w:t>n</w:t>
      </w:r>
      <w:r>
        <w:rPr>
          <w:rFonts w:eastAsia="宋体"/>
          <w:szCs w:val="24"/>
          <w:vertAlign w:val="subscript"/>
        </w:rPr>
        <w:t>e</w:t>
      </w:r>
      <w:r>
        <w:rPr>
          <w:rFonts w:eastAsia="宋体"/>
          <w:szCs w:val="24"/>
        </w:rPr>
        <w:t>—有效孔隙度，无量纲。</w:t>
      </w:r>
    </w:p>
    <w:p>
      <w:pPr>
        <w:pStyle w:val="53"/>
        <w:ind w:firstLine="480"/>
        <w:rPr>
          <w:rFonts w:eastAsia="宋体"/>
          <w:szCs w:val="24"/>
        </w:rPr>
      </w:pPr>
      <w:r>
        <w:rPr>
          <w:rFonts w:eastAsia="宋体"/>
          <w:szCs w:val="24"/>
        </w:rPr>
        <w:fldChar w:fldCharType="begin"/>
      </w:r>
      <w:r>
        <w:rPr>
          <w:rFonts w:eastAsia="宋体"/>
          <w:szCs w:val="24"/>
          <w:lang w:eastAsia="zh-CN"/>
        </w:rPr>
        <w:instrText xml:space="preserve"> </w:instrText>
      </w:r>
      <w:r>
        <w:rPr>
          <w:rFonts w:hint="eastAsia" w:eastAsia="宋体"/>
          <w:szCs w:val="24"/>
          <w:lang w:eastAsia="zh-CN"/>
        </w:rPr>
        <w:instrText xml:space="preserve">= 2 \* GB3</w:instrText>
      </w:r>
      <w:r>
        <w:rPr>
          <w:rFonts w:eastAsia="宋体"/>
          <w:szCs w:val="24"/>
          <w:lang w:eastAsia="zh-CN"/>
        </w:rPr>
        <w:instrText xml:space="preserve"> </w:instrText>
      </w:r>
      <w:r>
        <w:rPr>
          <w:rFonts w:eastAsia="宋体"/>
          <w:szCs w:val="24"/>
        </w:rPr>
        <w:fldChar w:fldCharType="separate"/>
      </w:r>
      <w:r>
        <w:rPr>
          <w:rFonts w:hint="eastAsia" w:eastAsia="宋体"/>
          <w:szCs w:val="24"/>
          <w:lang w:eastAsia="zh-CN"/>
        </w:rPr>
        <w:t>②</w:t>
      </w:r>
      <w:r>
        <w:rPr>
          <w:rFonts w:eastAsia="宋体"/>
          <w:szCs w:val="24"/>
        </w:rPr>
        <w:fldChar w:fldCharType="end"/>
      </w:r>
      <w:r>
        <w:rPr>
          <w:rFonts w:eastAsia="宋体"/>
          <w:szCs w:val="24"/>
        </w:rPr>
        <w:t>查表法</w:t>
      </w:r>
    </w:p>
    <w:p>
      <w:pPr>
        <w:pStyle w:val="53"/>
        <w:ind w:firstLine="480"/>
        <w:rPr>
          <w:rFonts w:eastAsia="宋体"/>
          <w:szCs w:val="24"/>
        </w:rPr>
      </w:pPr>
      <w:r>
        <w:rPr>
          <w:rFonts w:eastAsia="宋体"/>
          <w:szCs w:val="24"/>
        </w:rPr>
        <w:t>当不满足公式计算法的要求时，可采用查表法确定（表</w:t>
      </w:r>
      <w:r>
        <w:rPr>
          <w:rFonts w:hint="eastAsia" w:eastAsia="宋体"/>
          <w:szCs w:val="24"/>
          <w:lang w:eastAsia="zh-CN"/>
        </w:rPr>
        <w:t>1.6-14</w:t>
      </w:r>
      <w:r>
        <w:rPr>
          <w:rFonts w:eastAsia="宋体"/>
          <w:szCs w:val="24"/>
        </w:rPr>
        <w:t>）。</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w:t>
      </w:r>
      <w:r>
        <w:rPr>
          <w:rFonts w:hint="eastAsia" w:hAnsi="Times New Roman" w:eastAsia="宋体"/>
          <w:b/>
          <w:bCs/>
          <w:sz w:val="21"/>
          <w:szCs w:val="21"/>
          <w:lang w:eastAsia="zh-CN"/>
        </w:rPr>
        <w:t>1.6-14</w:t>
      </w:r>
      <w:r>
        <w:rPr>
          <w:rFonts w:hAnsi="Times New Roman" w:eastAsia="宋体"/>
          <w:b/>
          <w:bCs/>
          <w:sz w:val="21"/>
          <w:szCs w:val="21"/>
          <w:lang w:eastAsia="zh-CN"/>
        </w:rPr>
        <w:t xml:space="preserve"> 地下水环境现状调查评价范围参照表</w:t>
      </w:r>
    </w:p>
    <w:tbl>
      <w:tblPr>
        <w:tblStyle w:val="33"/>
        <w:tblW w:w="810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598"/>
        <w:gridCol w:w="2411"/>
        <w:gridCol w:w="409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598"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评价等级</w:t>
            </w:r>
          </w:p>
        </w:tc>
        <w:tc>
          <w:tcPr>
            <w:tcW w:w="2411"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调查评价面积（km</w:t>
            </w:r>
            <w:r>
              <w:rPr>
                <w:rFonts w:hint="eastAsia" w:hAnsi="Times New Roman" w:eastAsia="宋体"/>
                <w:b/>
                <w:bCs/>
                <w:kern w:val="2"/>
                <w:sz w:val="21"/>
                <w:szCs w:val="21"/>
                <w:vertAlign w:val="superscript"/>
                <w:lang w:eastAsia="zh-CN"/>
              </w:rPr>
              <w:t>2</w:t>
            </w:r>
            <w:r>
              <w:rPr>
                <w:rFonts w:hint="eastAsia" w:hAnsi="Times New Roman" w:eastAsia="宋体"/>
                <w:b/>
                <w:bCs/>
                <w:kern w:val="2"/>
                <w:sz w:val="21"/>
                <w:szCs w:val="21"/>
                <w:lang w:eastAsia="zh-CN"/>
              </w:rPr>
              <w:t>）</w:t>
            </w:r>
          </w:p>
        </w:tc>
        <w:tc>
          <w:tcPr>
            <w:tcW w:w="4093"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59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一级</w:t>
            </w:r>
          </w:p>
        </w:tc>
        <w:tc>
          <w:tcPr>
            <w:tcW w:w="2411"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≥20</w:t>
            </w:r>
          </w:p>
        </w:tc>
        <w:tc>
          <w:tcPr>
            <w:tcW w:w="4093" w:type="dxa"/>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应包括重要的地下水环境保护目标，必要时适当扩大范围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59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二级</w:t>
            </w:r>
          </w:p>
        </w:tc>
        <w:tc>
          <w:tcPr>
            <w:tcW w:w="2411"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6～20</w:t>
            </w:r>
          </w:p>
        </w:tc>
        <w:tc>
          <w:tcPr>
            <w:tcW w:w="4093" w:type="dxa"/>
            <w:vMerge w:val="continue"/>
            <w:vAlign w:val="center"/>
          </w:tcPr>
          <w:p>
            <w:pPr>
              <w:pStyle w:val="62"/>
              <w:keepNext w:val="0"/>
              <w:keepLines w:val="0"/>
              <w:suppressLineNumbers w:val="0"/>
              <w:spacing w:before="0" w:beforeAutospacing="0" w:after="0" w:afterAutospacing="0" w:line="360" w:lineRule="auto"/>
              <w:ind w:left="0" w:right="0" w:firstLine="420"/>
              <w:rPr>
                <w:rFonts w:hint="eastAsia" w:hAnsi="Times New Roman" w:eastAsia="宋体"/>
                <w:kern w:val="2"/>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59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三级</w:t>
            </w:r>
          </w:p>
        </w:tc>
        <w:tc>
          <w:tcPr>
            <w:tcW w:w="2411"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≤6</w:t>
            </w:r>
          </w:p>
        </w:tc>
        <w:tc>
          <w:tcPr>
            <w:tcW w:w="4093" w:type="dxa"/>
            <w:vMerge w:val="continue"/>
            <w:vAlign w:val="center"/>
          </w:tcPr>
          <w:p>
            <w:pPr>
              <w:pStyle w:val="62"/>
              <w:keepNext w:val="0"/>
              <w:keepLines w:val="0"/>
              <w:suppressLineNumbers w:val="0"/>
              <w:spacing w:before="0" w:beforeAutospacing="0" w:after="0" w:afterAutospacing="0" w:line="360" w:lineRule="auto"/>
              <w:ind w:left="0" w:right="0" w:firstLine="420"/>
              <w:rPr>
                <w:rFonts w:hint="eastAsia" w:hAnsi="Times New Roman" w:eastAsia="宋体"/>
                <w:kern w:val="2"/>
                <w:sz w:val="24"/>
                <w:szCs w:val="24"/>
              </w:rPr>
            </w:pPr>
          </w:p>
        </w:tc>
      </w:tr>
    </w:tbl>
    <w:p>
      <w:pPr>
        <w:spacing w:line="360" w:lineRule="auto"/>
        <w:ind w:firstLine="480"/>
        <w:rPr>
          <w:rFonts w:hAnsi="Times New Roman" w:eastAsia="宋体"/>
          <w:szCs w:val="24"/>
        </w:rPr>
      </w:pPr>
      <w:r>
        <w:rPr>
          <w:rFonts w:hAnsi="Times New Roman" w:eastAsia="宋体"/>
          <w:szCs w:val="24"/>
        </w:rPr>
        <w:fldChar w:fldCharType="begin"/>
      </w:r>
      <w:r>
        <w:rPr>
          <w:rFonts w:hAnsi="Times New Roman" w:eastAsia="宋体"/>
          <w:szCs w:val="24"/>
          <w:lang w:eastAsia="zh-CN"/>
        </w:rPr>
        <w:instrText xml:space="preserve"> </w:instrText>
      </w:r>
      <w:r>
        <w:rPr>
          <w:rFonts w:hint="eastAsia" w:hAnsi="Times New Roman" w:eastAsia="宋体"/>
          <w:szCs w:val="24"/>
          <w:lang w:eastAsia="zh-CN"/>
        </w:rPr>
        <w:instrText xml:space="preserve">= 3 \* GB3</w:instrText>
      </w:r>
      <w:r>
        <w:rPr>
          <w:rFonts w:hAnsi="Times New Roman" w:eastAsia="宋体"/>
          <w:szCs w:val="24"/>
          <w:lang w:eastAsia="zh-CN"/>
        </w:rPr>
        <w:instrText xml:space="preserve"> </w:instrText>
      </w:r>
      <w:r>
        <w:rPr>
          <w:rFonts w:hAnsi="Times New Roman" w:eastAsia="宋体"/>
          <w:szCs w:val="24"/>
        </w:rPr>
        <w:fldChar w:fldCharType="separate"/>
      </w:r>
      <w:r>
        <w:rPr>
          <w:rFonts w:hint="eastAsia" w:hAnsi="Times New Roman" w:eastAsia="宋体"/>
          <w:szCs w:val="24"/>
          <w:lang w:eastAsia="zh-CN"/>
        </w:rPr>
        <w:t>③</w:t>
      </w:r>
      <w:r>
        <w:rPr>
          <w:rFonts w:hAnsi="Times New Roman" w:eastAsia="宋体"/>
          <w:szCs w:val="24"/>
        </w:rPr>
        <w:fldChar w:fldCharType="end"/>
      </w:r>
      <w:r>
        <w:rPr>
          <w:rFonts w:hAnsi="Times New Roman" w:eastAsia="宋体"/>
          <w:szCs w:val="24"/>
        </w:rPr>
        <w:t>自定义法</w:t>
      </w:r>
    </w:p>
    <w:p>
      <w:pPr>
        <w:spacing w:line="360" w:lineRule="auto"/>
        <w:ind w:firstLine="480"/>
        <w:rPr>
          <w:rFonts w:hAnsi="Times New Roman" w:eastAsia="宋体"/>
          <w:szCs w:val="24"/>
        </w:rPr>
      </w:pPr>
      <w:r>
        <w:rPr>
          <w:rFonts w:hAnsi="Times New Roman" w:eastAsia="宋体"/>
          <w:szCs w:val="24"/>
        </w:rPr>
        <w:t>当计算或查表范围超出所处水文地质单元边界时，应以所处水文地质单元边界为宜，可根据建设项目所在地水文地质条件确定。</w:t>
      </w:r>
    </w:p>
    <w:p>
      <w:pPr>
        <w:spacing w:line="360" w:lineRule="auto"/>
        <w:ind w:firstLine="482" w:firstLineChars="200"/>
        <w:rPr>
          <w:rFonts w:hAnsi="Times New Roman" w:eastAsia="宋体"/>
          <w:b/>
          <w:bCs/>
          <w:lang w:eastAsia="zh-CN"/>
        </w:rPr>
      </w:pPr>
      <w:r>
        <w:rPr>
          <w:rFonts w:hint="eastAsia" w:hAnsi="Times New Roman" w:eastAsia="宋体"/>
          <w:b/>
          <w:bCs/>
          <w:lang w:eastAsia="zh-CN"/>
        </w:rPr>
        <w:t>2）评价范围确定</w:t>
      </w:r>
    </w:p>
    <w:p>
      <w:pPr>
        <w:spacing w:line="360" w:lineRule="auto"/>
        <w:ind w:firstLine="480" w:firstLineChars="200"/>
        <w:rPr>
          <w:rFonts w:hAnsi="Times New Roman" w:eastAsia="宋体"/>
          <w:lang w:eastAsia="zh-CN"/>
        </w:rPr>
      </w:pPr>
      <w:r>
        <w:rPr>
          <w:rFonts w:hint="eastAsia" w:hAnsi="Times New Roman" w:eastAsia="宋体"/>
          <w:lang w:eastAsia="zh-CN"/>
        </w:rPr>
        <w:t>因为该煤矿矿区较大，且跨越多个分水岭，而矿区煤矸石转场、水处理设施占地面积较小，为了便于科学预测，本次评价分别确定地下水现状评价调查范围和预测评价范围。</w:t>
      </w:r>
    </w:p>
    <w:p>
      <w:pPr>
        <w:spacing w:line="360" w:lineRule="auto"/>
        <w:ind w:firstLine="480" w:firstLineChars="200"/>
        <w:rPr>
          <w:rFonts w:hAnsi="Times New Roman" w:eastAsia="宋体"/>
          <w:lang w:eastAsia="zh-CN"/>
        </w:rPr>
      </w:pPr>
      <w:r>
        <w:rPr>
          <w:rFonts w:hAnsi="Times New Roman" w:eastAsia="宋体"/>
          <w:lang w:eastAsia="zh-CN"/>
        </w:rPr>
        <w:fldChar w:fldCharType="begin"/>
      </w:r>
      <w:r>
        <w:rPr>
          <w:rFonts w:hAnsi="Times New Roman" w:eastAsia="宋体"/>
          <w:lang w:eastAsia="zh-CN"/>
        </w:rPr>
        <w:instrText xml:space="preserve"> </w:instrText>
      </w:r>
      <w:r>
        <w:rPr>
          <w:rFonts w:hint="eastAsia" w:hAnsi="Times New Roman" w:eastAsia="宋体"/>
          <w:lang w:eastAsia="zh-CN"/>
        </w:rPr>
        <w:instrText xml:space="preserve">= 1 \* GB3</w:instrText>
      </w:r>
      <w:r>
        <w:rPr>
          <w:rFonts w:hAnsi="Times New Roman" w:eastAsia="宋体"/>
          <w:lang w:eastAsia="zh-CN"/>
        </w:rPr>
        <w:instrText xml:space="preserve"> </w:instrText>
      </w:r>
      <w:r>
        <w:rPr>
          <w:rFonts w:hAnsi="Times New Roman" w:eastAsia="宋体"/>
          <w:lang w:eastAsia="zh-CN"/>
        </w:rPr>
        <w:fldChar w:fldCharType="separate"/>
      </w:r>
      <w:r>
        <w:rPr>
          <w:rFonts w:hint="eastAsia" w:hAnsi="Times New Roman" w:eastAsia="宋体"/>
          <w:lang w:eastAsia="zh-CN"/>
        </w:rPr>
        <w:t>①</w:t>
      </w:r>
      <w:r>
        <w:rPr>
          <w:rFonts w:hAnsi="Times New Roman" w:eastAsia="宋体"/>
          <w:lang w:eastAsia="zh-CN"/>
        </w:rPr>
        <w:fldChar w:fldCharType="end"/>
      </w:r>
      <w:r>
        <w:rPr>
          <w:rFonts w:hint="eastAsia" w:hAnsi="Times New Roman" w:eastAsia="宋体"/>
          <w:lang w:eastAsia="zh-CN"/>
        </w:rPr>
        <w:t>地下水现状评价调查范围</w:t>
      </w:r>
    </w:p>
    <w:p>
      <w:pPr>
        <w:spacing w:line="360" w:lineRule="auto"/>
        <w:ind w:firstLine="480" w:firstLineChars="200"/>
        <w:rPr>
          <w:rFonts w:hAnsi="Times New Roman" w:eastAsia="宋体"/>
          <w:lang w:eastAsia="zh-CN"/>
        </w:rPr>
      </w:pPr>
      <w:r>
        <w:rPr>
          <w:rFonts w:hint="eastAsia" w:hAnsi="Times New Roman" w:eastAsia="宋体"/>
          <w:lang w:eastAsia="zh-CN"/>
        </w:rPr>
        <w:t>项目位于达州市宣汉县七里镇神龙路1号，本次选取自定义法确定本项目地下水环境影响评价范围。以项目区完整水文地质单元作为调查范围：本次煤矿矿区横跨两个大的水文地质单元，新宁河以北的矿区范围调查范围：西侧、北东侧、东侧以自然分水岭为界（隔水边界），南面以新宁河为界；新宁河以南的矿区范围调查范围：西侧、西南侧以自然分水岭为界（隔水边界），东面以新宁河支流为界，北侧则以新宁河为界；</w:t>
      </w:r>
    </w:p>
    <w:p>
      <w:pPr>
        <w:spacing w:line="360" w:lineRule="auto"/>
        <w:ind w:firstLine="480" w:firstLineChars="200"/>
        <w:rPr>
          <w:rFonts w:hAnsi="Times New Roman" w:eastAsia="宋体"/>
          <w:lang w:eastAsia="zh-CN"/>
        </w:rPr>
      </w:pPr>
      <w:r>
        <w:rPr>
          <w:rFonts w:hint="eastAsia" w:hAnsi="Times New Roman" w:eastAsia="宋体"/>
          <w:lang w:eastAsia="zh-CN"/>
        </w:rPr>
        <w:t>根据测算，本项目地下水环境影响调查评价范围约35.96km</w:t>
      </w:r>
      <w:r>
        <w:rPr>
          <w:rFonts w:hint="eastAsia" w:hAnsi="Times New Roman" w:eastAsia="宋体"/>
          <w:vertAlign w:val="superscript"/>
          <w:lang w:eastAsia="zh-CN"/>
        </w:rPr>
        <w:t>2</w:t>
      </w:r>
      <w:r>
        <w:rPr>
          <w:rFonts w:hint="eastAsia" w:hAnsi="Times New Roman" w:eastAsia="宋体"/>
          <w:lang w:eastAsia="zh-CN"/>
        </w:rPr>
        <w:t>。项目调查评价范围见下图1.6-1：</w:t>
      </w:r>
    </w:p>
    <w:p>
      <w:pPr>
        <w:pStyle w:val="62"/>
        <w:ind w:firstLine="480"/>
      </w:pPr>
      <w:r>
        <w:drawing>
          <wp:inline distT="0" distB="0" distL="0" distR="0">
            <wp:extent cx="3239770" cy="3823970"/>
            <wp:effectExtent l="0" t="0" r="0" b="5080"/>
            <wp:docPr id="9103109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310922" name="图片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3239770" cy="3823970"/>
                    </a:xfrm>
                    <a:prstGeom prst="rect">
                      <a:avLst/>
                    </a:prstGeom>
                    <a:noFill/>
                  </pic:spPr>
                </pic:pic>
              </a:graphicData>
            </a:graphic>
          </wp:inline>
        </w:drawing>
      </w:r>
    </w:p>
    <w:p>
      <w:pPr>
        <w:spacing w:line="360" w:lineRule="auto"/>
        <w:ind w:firstLine="422" w:firstLineChars="200"/>
        <w:jc w:val="center"/>
        <w:rPr>
          <w:rFonts w:hAnsi="Times New Roman" w:eastAsia="宋体"/>
          <w:b/>
          <w:bCs/>
          <w:sz w:val="21"/>
          <w:szCs w:val="21"/>
          <w:lang w:eastAsia="zh-CN"/>
        </w:rPr>
      </w:pPr>
      <w:r>
        <w:rPr>
          <w:rFonts w:hint="eastAsia" w:hAnsi="Times New Roman" w:eastAsia="宋体"/>
          <w:b/>
          <w:bCs/>
          <w:sz w:val="21"/>
          <w:szCs w:val="21"/>
          <w:lang w:eastAsia="zh-CN"/>
        </w:rPr>
        <w:t>图1.6-1地下水环境影响评价调查范围</w:t>
      </w:r>
    </w:p>
    <w:p>
      <w:pPr>
        <w:spacing w:line="360" w:lineRule="auto"/>
        <w:ind w:firstLine="480" w:firstLineChars="200"/>
        <w:rPr>
          <w:rFonts w:hAnsi="Times New Roman" w:eastAsia="宋体"/>
          <w:lang w:eastAsia="zh-CN"/>
        </w:rPr>
      </w:pPr>
      <w:r>
        <w:rPr>
          <w:rFonts w:hAnsi="Times New Roman" w:eastAsia="宋体"/>
          <w:lang w:eastAsia="zh-CN"/>
        </w:rPr>
        <w:fldChar w:fldCharType="begin"/>
      </w:r>
      <w:r>
        <w:rPr>
          <w:rFonts w:hAnsi="Times New Roman" w:eastAsia="宋体"/>
          <w:lang w:eastAsia="zh-CN"/>
        </w:rPr>
        <w:instrText xml:space="preserve"> </w:instrText>
      </w:r>
      <w:r>
        <w:rPr>
          <w:rFonts w:hint="eastAsia" w:hAnsi="Times New Roman" w:eastAsia="宋体"/>
          <w:lang w:eastAsia="zh-CN"/>
        </w:rPr>
        <w:instrText xml:space="preserve">= 2 \* GB3</w:instrText>
      </w:r>
      <w:r>
        <w:rPr>
          <w:rFonts w:hAnsi="Times New Roman" w:eastAsia="宋体"/>
          <w:lang w:eastAsia="zh-CN"/>
        </w:rPr>
        <w:instrText xml:space="preserve"> </w:instrText>
      </w:r>
      <w:r>
        <w:rPr>
          <w:rFonts w:hAnsi="Times New Roman" w:eastAsia="宋体"/>
          <w:lang w:eastAsia="zh-CN"/>
        </w:rPr>
        <w:fldChar w:fldCharType="separate"/>
      </w:r>
      <w:r>
        <w:rPr>
          <w:rFonts w:hint="eastAsia" w:hAnsi="Times New Roman" w:eastAsia="宋体"/>
          <w:lang w:eastAsia="zh-CN"/>
        </w:rPr>
        <w:t>②</w:t>
      </w:r>
      <w:r>
        <w:rPr>
          <w:rFonts w:hAnsi="Times New Roman" w:eastAsia="宋体"/>
          <w:lang w:eastAsia="zh-CN"/>
        </w:rPr>
        <w:fldChar w:fldCharType="end"/>
      </w:r>
      <w:r>
        <w:rPr>
          <w:rFonts w:hint="eastAsia" w:hAnsi="Times New Roman" w:eastAsia="宋体"/>
          <w:lang w:eastAsia="zh-CN"/>
        </w:rPr>
        <w:t>预测评价范围</w:t>
      </w:r>
    </w:p>
    <w:p>
      <w:pPr>
        <w:spacing w:line="360" w:lineRule="auto"/>
        <w:ind w:firstLine="480" w:firstLineChars="200"/>
        <w:rPr>
          <w:rFonts w:hAnsi="Times New Roman" w:eastAsia="宋体"/>
          <w:lang w:eastAsia="zh-CN"/>
        </w:rPr>
      </w:pPr>
      <w:r>
        <w:rPr>
          <w:rFonts w:hint="eastAsia" w:hAnsi="Times New Roman" w:eastAsia="宋体"/>
          <w:lang w:eastAsia="zh-CN"/>
        </w:rPr>
        <w:t>根据项目所在位置的区域水文地质情况，预测评价范围北侧以新宁河为界，其余方向均以山脊线分水岭为界，整个预测评价范围共</w:t>
      </w:r>
      <w:r>
        <w:rPr>
          <w:rFonts w:hAnsi="Times New Roman" w:eastAsia="宋体"/>
          <w:lang w:eastAsia="zh-CN"/>
        </w:rPr>
        <w:t>1.54</w:t>
      </w:r>
      <w:r>
        <w:rPr>
          <w:rFonts w:hint="eastAsia" w:hAnsi="Times New Roman" w:eastAsia="宋体"/>
          <w:lang w:eastAsia="zh-CN"/>
        </w:rPr>
        <w:t>km</w:t>
      </w:r>
      <w:r>
        <w:rPr>
          <w:rFonts w:hint="eastAsia" w:hAnsi="Times New Roman" w:eastAsia="宋体"/>
          <w:vertAlign w:val="superscript"/>
          <w:lang w:eastAsia="zh-CN"/>
        </w:rPr>
        <w:t>2</w:t>
      </w:r>
      <w:r>
        <w:rPr>
          <w:rFonts w:hint="eastAsia" w:hAnsi="Times New Roman" w:eastAsia="宋体"/>
          <w:lang w:eastAsia="zh-CN"/>
        </w:rPr>
        <w:t>。本次煤矸石转运场和水处理站预测评价范围如图1.6-2所示。</w:t>
      </w:r>
    </w:p>
    <w:p>
      <w:pPr>
        <w:pStyle w:val="62"/>
      </w:pPr>
      <w:r>
        <w:drawing>
          <wp:inline distT="0" distB="0" distL="0" distR="0">
            <wp:extent cx="4841875" cy="4031615"/>
            <wp:effectExtent l="0" t="0" r="0" b="6985"/>
            <wp:docPr id="99750182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501824" name="图片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4841875" cy="4031615"/>
                    </a:xfrm>
                    <a:prstGeom prst="rect">
                      <a:avLst/>
                    </a:prstGeom>
                    <a:noFill/>
                    <a:ln>
                      <a:noFill/>
                    </a:ln>
                  </pic:spPr>
                </pic:pic>
              </a:graphicData>
            </a:graphic>
          </wp:inline>
        </w:drawing>
      </w:r>
    </w:p>
    <w:p>
      <w:pPr>
        <w:spacing w:line="360" w:lineRule="auto"/>
        <w:ind w:firstLine="422" w:firstLineChars="200"/>
        <w:jc w:val="center"/>
        <w:rPr>
          <w:rFonts w:hAnsi="Times New Roman" w:eastAsia="宋体"/>
          <w:b/>
          <w:bCs/>
          <w:sz w:val="21"/>
          <w:szCs w:val="21"/>
          <w:lang w:eastAsia="zh-CN"/>
        </w:rPr>
      </w:pPr>
      <w:r>
        <w:rPr>
          <w:rFonts w:hint="eastAsia" w:hAnsi="Times New Roman" w:eastAsia="宋体"/>
          <w:b/>
          <w:bCs/>
          <w:sz w:val="21"/>
          <w:szCs w:val="21"/>
          <w:lang w:eastAsia="zh-CN"/>
        </w:rPr>
        <w:t>图1.6-2 预测评价范围</w:t>
      </w:r>
    </w:p>
    <w:p>
      <w:pPr>
        <w:spacing w:line="360" w:lineRule="auto"/>
        <w:ind w:firstLine="482" w:firstLineChars="200"/>
        <w:rPr>
          <w:rFonts w:hAnsi="Times New Roman" w:eastAsia="宋体"/>
          <w:b/>
          <w:bCs/>
          <w:lang w:eastAsia="zh-CN"/>
        </w:rPr>
      </w:pPr>
      <w:r>
        <w:rPr>
          <w:rFonts w:hAnsi="Times New Roman" w:eastAsia="宋体"/>
          <w:b/>
          <w:bCs/>
          <w:lang w:eastAsia="zh-CN"/>
        </w:rPr>
        <w:t>（4）声环境评价范围</w:t>
      </w:r>
    </w:p>
    <w:p>
      <w:pPr>
        <w:spacing w:line="360" w:lineRule="auto"/>
        <w:ind w:firstLine="480" w:firstLineChars="200"/>
        <w:rPr>
          <w:rFonts w:hAnsi="Times New Roman" w:eastAsia="宋体"/>
          <w:lang w:eastAsia="zh-CN"/>
        </w:rPr>
      </w:pPr>
      <w:r>
        <w:rPr>
          <w:rFonts w:hAnsi="Times New Roman" w:eastAsia="宋体"/>
          <w:lang w:eastAsia="zh-CN"/>
        </w:rPr>
        <w:t>按照《环境影响评价技术导则</w:t>
      </w:r>
      <w:r>
        <w:rPr>
          <w:rFonts w:hint="eastAsia" w:hAnsi="Times New Roman" w:eastAsia="宋体"/>
          <w:lang w:eastAsia="zh-CN"/>
        </w:rPr>
        <w:t xml:space="preserve"> </w:t>
      </w:r>
      <w:r>
        <w:rPr>
          <w:rFonts w:hAnsi="Times New Roman" w:eastAsia="宋体"/>
          <w:lang w:eastAsia="zh-CN"/>
        </w:rPr>
        <w:t>声环境》（HJ2.4-20</w:t>
      </w:r>
      <w:r>
        <w:rPr>
          <w:rFonts w:hint="eastAsia" w:hAnsi="Times New Roman" w:eastAsia="宋体"/>
          <w:lang w:eastAsia="zh-CN"/>
        </w:rPr>
        <w:t>21</w:t>
      </w:r>
      <w:r>
        <w:rPr>
          <w:rFonts w:hAnsi="Times New Roman" w:eastAsia="宋体"/>
          <w:lang w:eastAsia="zh-CN"/>
        </w:rPr>
        <w:t>）的规定，本项目噪声评价范围为工业厂界向外延伸200m的区域。</w:t>
      </w:r>
    </w:p>
    <w:p>
      <w:pPr>
        <w:spacing w:line="360" w:lineRule="auto"/>
        <w:ind w:firstLine="482" w:firstLineChars="200"/>
        <w:rPr>
          <w:rFonts w:hAnsi="Times New Roman" w:eastAsia="宋体"/>
          <w:b/>
          <w:bCs/>
          <w:lang w:eastAsia="zh-CN"/>
        </w:rPr>
      </w:pPr>
      <w:r>
        <w:rPr>
          <w:rFonts w:hAnsi="Times New Roman" w:eastAsia="宋体"/>
          <w:b/>
          <w:bCs/>
          <w:lang w:eastAsia="zh-CN"/>
        </w:rPr>
        <w:t>（5）生态环境评价范围</w:t>
      </w:r>
    </w:p>
    <w:p>
      <w:pPr>
        <w:spacing w:line="360" w:lineRule="auto"/>
        <w:ind w:firstLine="480" w:firstLineChars="200"/>
        <w:rPr>
          <w:rFonts w:hAnsi="Times New Roman" w:eastAsia="宋体"/>
          <w:szCs w:val="24"/>
          <w:lang w:eastAsia="zh-CN"/>
        </w:rPr>
      </w:pPr>
      <w:r>
        <w:rPr>
          <w:rFonts w:hAnsi="Times New Roman" w:eastAsia="宋体"/>
          <w:szCs w:val="24"/>
          <w:lang w:eastAsia="zh-CN"/>
        </w:rPr>
        <w:t>陆生生态：根据《环境影响评价技术导则 生态影响》（HJ19-2022）中评价范围的确定原则，以及工程环境影响特点，以矿区边界、工业广场边界等区域向四周外扩500m，若在此范围内达到第一重自然山脊，则以第一重自然山脊为范围边界。为本工程生态环境评价范围，应包括可能受工程施工建设和运营影响的陆生生态单元，即工业广场、主平垌、副平硐工业广场、副平硐办公室、风平硐工业广场、矿区等施工场地，生态评价范围面积为13.2056km</w:t>
      </w:r>
      <w:r>
        <w:rPr>
          <w:rFonts w:hAnsi="Times New Roman" w:eastAsia="宋体"/>
          <w:szCs w:val="24"/>
          <w:vertAlign w:val="superscript"/>
          <w:lang w:eastAsia="zh-CN"/>
        </w:rPr>
        <w:t>2</w:t>
      </w:r>
      <w:r>
        <w:rPr>
          <w:rFonts w:hAnsi="Times New Roman" w:eastAsia="宋体"/>
          <w:szCs w:val="24"/>
          <w:lang w:eastAsia="zh-CN"/>
        </w:rPr>
        <w:t>。</w:t>
      </w:r>
    </w:p>
    <w:p>
      <w:pPr>
        <w:spacing w:line="360" w:lineRule="auto"/>
        <w:ind w:firstLine="480" w:firstLineChars="200"/>
        <w:rPr>
          <w:rFonts w:hAnsi="Times New Roman" w:eastAsia="宋体"/>
          <w:szCs w:val="24"/>
          <w:lang w:eastAsia="zh-CN"/>
        </w:rPr>
      </w:pPr>
      <w:r>
        <w:rPr>
          <w:rFonts w:hAnsi="Times New Roman" w:eastAsia="宋体"/>
          <w:szCs w:val="24"/>
          <w:lang w:eastAsia="zh-CN"/>
        </w:rPr>
        <w:t>水生生态：</w:t>
      </w:r>
      <w:r>
        <w:rPr>
          <w:rFonts w:hAnsi="Times New Roman" w:eastAsia="宋体"/>
          <w:szCs w:val="24"/>
        </w:rPr>
        <w:t>本项目</w:t>
      </w:r>
      <w:r>
        <w:rPr>
          <w:rFonts w:hAnsi="Times New Roman" w:eastAsia="宋体"/>
          <w:szCs w:val="24"/>
          <w:lang w:eastAsia="zh-CN"/>
        </w:rPr>
        <w:t>无涉水施工</w:t>
      </w:r>
      <w:r>
        <w:rPr>
          <w:rFonts w:hAnsi="Times New Roman" w:eastAsia="宋体"/>
          <w:szCs w:val="24"/>
        </w:rPr>
        <w:t>，不涉及水生生态敏感区、</w:t>
      </w:r>
      <w:r>
        <w:rPr>
          <w:rFonts w:hAnsi="Times New Roman" w:eastAsia="宋体"/>
          <w:szCs w:val="24"/>
          <w:lang w:eastAsia="zh-CN"/>
        </w:rPr>
        <w:t>重要</w:t>
      </w:r>
      <w:r>
        <w:rPr>
          <w:rFonts w:hAnsi="Times New Roman" w:eastAsia="宋体"/>
          <w:szCs w:val="24"/>
        </w:rPr>
        <w:t>鱼类</w:t>
      </w:r>
      <w:r>
        <w:rPr>
          <w:rFonts w:hAnsi="Times New Roman" w:eastAsia="宋体"/>
          <w:szCs w:val="24"/>
          <w:lang w:eastAsia="zh-CN"/>
        </w:rPr>
        <w:t>生境等；项目运行过程中会产生涌水</w:t>
      </w:r>
      <w:r>
        <w:rPr>
          <w:rFonts w:hAnsi="Times New Roman" w:eastAsia="宋体"/>
          <w:szCs w:val="24"/>
        </w:rPr>
        <w:t>，</w:t>
      </w:r>
      <w:r>
        <w:rPr>
          <w:rFonts w:hAnsi="Times New Roman" w:eastAsia="宋体"/>
          <w:szCs w:val="24"/>
          <w:lang w:eastAsia="zh-CN"/>
        </w:rPr>
        <w:t>涌水排放河段为评价区内明月江支流</w:t>
      </w:r>
      <w:r>
        <w:rPr>
          <w:rFonts w:hint="eastAsia" w:hAnsi="Times New Roman" w:eastAsia="宋体"/>
          <w:szCs w:val="24"/>
          <w:lang w:eastAsia="zh-CN"/>
        </w:rPr>
        <w:t>新宁河</w:t>
      </w:r>
      <w:r>
        <w:rPr>
          <w:rFonts w:hAnsi="Times New Roman" w:eastAsia="宋体"/>
          <w:szCs w:val="24"/>
          <w:lang w:eastAsia="zh-CN"/>
        </w:rPr>
        <w:t>。</w:t>
      </w:r>
      <w:r>
        <w:rPr>
          <w:rFonts w:hAnsi="Times New Roman" w:eastAsia="宋体"/>
          <w:szCs w:val="24"/>
        </w:rPr>
        <w:t>水生评价范围为评价区内的水域，主要以评价区</w:t>
      </w:r>
      <w:r>
        <w:rPr>
          <w:rFonts w:hAnsi="Times New Roman" w:eastAsia="宋体"/>
          <w:szCs w:val="24"/>
          <w:lang w:eastAsia="zh-CN"/>
        </w:rPr>
        <w:t>内明月江及其支流</w:t>
      </w:r>
      <w:r>
        <w:rPr>
          <w:rFonts w:hint="eastAsia" w:hAnsi="Times New Roman" w:eastAsia="宋体"/>
          <w:szCs w:val="24"/>
          <w:lang w:eastAsia="zh-CN"/>
        </w:rPr>
        <w:t>新宁河</w:t>
      </w:r>
      <w:r>
        <w:rPr>
          <w:rFonts w:hAnsi="Times New Roman" w:eastAsia="宋体"/>
          <w:szCs w:val="24"/>
          <w:lang w:eastAsia="zh-CN"/>
        </w:rPr>
        <w:t>为主</w:t>
      </w:r>
      <w:r>
        <w:rPr>
          <w:rFonts w:hAnsi="Times New Roman" w:eastAsia="宋体"/>
          <w:szCs w:val="24"/>
        </w:rPr>
        <w:t>。</w:t>
      </w:r>
    </w:p>
    <w:p>
      <w:pPr>
        <w:spacing w:line="360" w:lineRule="auto"/>
        <w:ind w:firstLine="482" w:firstLineChars="200"/>
        <w:rPr>
          <w:rFonts w:hAnsi="Times New Roman" w:eastAsia="宋体"/>
          <w:b/>
          <w:bCs/>
          <w:lang w:eastAsia="zh-CN"/>
        </w:rPr>
      </w:pPr>
      <w:r>
        <w:rPr>
          <w:rFonts w:hAnsi="Times New Roman" w:eastAsia="宋体"/>
          <w:b/>
          <w:bCs/>
          <w:lang w:eastAsia="zh-CN"/>
        </w:rPr>
        <w:t>（6）土壤环境评价范围</w:t>
      </w:r>
    </w:p>
    <w:p>
      <w:pPr>
        <w:spacing w:line="360" w:lineRule="auto"/>
        <w:ind w:firstLine="480" w:firstLineChars="200"/>
        <w:rPr>
          <w:rFonts w:hAnsi="Times New Roman" w:eastAsia="宋体"/>
          <w:lang w:eastAsia="zh-CN"/>
        </w:rPr>
      </w:pPr>
      <w:r>
        <w:rPr>
          <w:rFonts w:hAnsi="Times New Roman" w:eastAsia="宋体"/>
          <w:lang w:eastAsia="zh-CN"/>
        </w:rPr>
        <w:t>本项目土壤生态型评价范围以调查范围相同：以矿区范围</w:t>
      </w:r>
      <w:r>
        <w:rPr>
          <w:rFonts w:hint="eastAsia" w:hAnsi="Times New Roman" w:eastAsia="宋体"/>
          <w:lang w:eastAsia="zh-CN"/>
        </w:rPr>
        <w:t>为边界</w:t>
      </w:r>
      <w:r>
        <w:rPr>
          <w:rFonts w:hAnsi="Times New Roman" w:eastAsia="宋体"/>
          <w:lang w:eastAsia="zh-CN"/>
        </w:rPr>
        <w:t>向周边</w:t>
      </w:r>
      <w:r>
        <w:rPr>
          <w:rFonts w:hint="eastAsia" w:hAnsi="Times New Roman" w:eastAsia="宋体"/>
          <w:lang w:eastAsia="zh-CN"/>
        </w:rPr>
        <w:t>外</w:t>
      </w:r>
      <w:r>
        <w:rPr>
          <w:rFonts w:hAnsi="Times New Roman" w:eastAsia="宋体"/>
          <w:lang w:eastAsia="zh-CN"/>
        </w:rPr>
        <w:t>延</w:t>
      </w:r>
      <w:r>
        <w:rPr>
          <w:rFonts w:hint="eastAsia" w:hAnsi="Times New Roman" w:eastAsia="宋体"/>
          <w:lang w:eastAsia="zh-CN"/>
        </w:rPr>
        <w:t>10</w:t>
      </w:r>
      <w:r>
        <w:rPr>
          <w:rFonts w:hAnsi="Times New Roman" w:eastAsia="宋体"/>
          <w:lang w:eastAsia="zh-CN"/>
        </w:rPr>
        <w:t>00m</w:t>
      </w:r>
      <w:r>
        <w:rPr>
          <w:rFonts w:hint="eastAsia" w:hAnsi="Times New Roman" w:eastAsia="宋体"/>
          <w:lang w:eastAsia="zh-CN"/>
        </w:rPr>
        <w:t>的范围；</w:t>
      </w:r>
      <w:r>
        <w:rPr>
          <w:rFonts w:hAnsi="Times New Roman" w:eastAsia="宋体"/>
          <w:lang w:eastAsia="zh-CN"/>
        </w:rPr>
        <w:t>本项目土壤污染型评价范围以调查范围相同：以工业广场</w:t>
      </w:r>
      <w:r>
        <w:rPr>
          <w:rFonts w:hint="eastAsia" w:hAnsi="Times New Roman" w:eastAsia="宋体"/>
          <w:lang w:eastAsia="zh-CN"/>
        </w:rPr>
        <w:t>为边界</w:t>
      </w:r>
      <w:r>
        <w:rPr>
          <w:rFonts w:hAnsi="Times New Roman" w:eastAsia="宋体"/>
          <w:lang w:eastAsia="zh-CN"/>
        </w:rPr>
        <w:t>向周边</w:t>
      </w:r>
      <w:r>
        <w:rPr>
          <w:rFonts w:hint="eastAsia" w:hAnsi="Times New Roman" w:eastAsia="宋体"/>
          <w:lang w:eastAsia="zh-CN"/>
        </w:rPr>
        <w:t>外</w:t>
      </w:r>
      <w:r>
        <w:rPr>
          <w:rFonts w:hAnsi="Times New Roman" w:eastAsia="宋体"/>
          <w:lang w:eastAsia="zh-CN"/>
        </w:rPr>
        <w:t>延200m</w:t>
      </w:r>
      <w:r>
        <w:rPr>
          <w:rFonts w:hint="eastAsia" w:hAnsi="Times New Roman" w:eastAsia="宋体"/>
          <w:lang w:eastAsia="zh-CN"/>
        </w:rPr>
        <w:t>的范围</w:t>
      </w:r>
      <w:r>
        <w:rPr>
          <w:rFonts w:hAnsi="Times New Roman" w:eastAsia="宋体"/>
          <w:lang w:eastAsia="zh-CN"/>
        </w:rPr>
        <w:t>。</w:t>
      </w:r>
    </w:p>
    <w:p>
      <w:pPr>
        <w:spacing w:line="360" w:lineRule="auto"/>
        <w:ind w:firstLine="482" w:firstLineChars="200"/>
        <w:rPr>
          <w:rFonts w:hAnsi="Times New Roman" w:eastAsia="宋体"/>
          <w:b/>
          <w:bCs/>
          <w:lang w:eastAsia="zh-CN"/>
        </w:rPr>
      </w:pPr>
      <w:r>
        <w:rPr>
          <w:rFonts w:hAnsi="Times New Roman" w:eastAsia="宋体"/>
          <w:b/>
          <w:bCs/>
          <w:lang w:eastAsia="zh-CN"/>
        </w:rPr>
        <w:t>（7）环境风险评价范围</w:t>
      </w:r>
    </w:p>
    <w:p>
      <w:pPr>
        <w:spacing w:line="360" w:lineRule="auto"/>
        <w:ind w:firstLine="480" w:firstLineChars="200"/>
        <w:rPr>
          <w:rFonts w:hAnsi="Times New Roman" w:eastAsia="宋体"/>
          <w:lang w:eastAsia="zh-CN"/>
        </w:rPr>
      </w:pPr>
      <w:r>
        <w:rPr>
          <w:rFonts w:hAnsi="Times New Roman" w:eastAsia="宋体"/>
          <w:lang w:eastAsia="zh-CN"/>
        </w:rPr>
        <w:t>根据《建设项目环境风险评价技术导则》（HJ/T169-2018）要求，本项目环境风险进行简单分析，根据导则要求，进行简单分析的项目，环境风险可不设置评价范围。</w:t>
      </w:r>
    </w:p>
    <w:p>
      <w:pPr>
        <w:spacing w:line="360" w:lineRule="auto"/>
        <w:ind w:firstLine="480" w:firstLineChars="200"/>
        <w:rPr>
          <w:rFonts w:hAnsi="Times New Roman" w:eastAsia="宋体"/>
          <w:lang w:eastAsia="zh-CN"/>
        </w:rPr>
      </w:pPr>
      <w:r>
        <w:rPr>
          <w:rFonts w:hAnsi="Times New Roman" w:eastAsia="宋体"/>
          <w:lang w:eastAsia="zh-CN"/>
        </w:rPr>
        <w:t>拟建项目各环境要素评价等级和评价范围见下表。</w:t>
      </w:r>
    </w:p>
    <w:p>
      <w:pPr>
        <w:spacing w:line="360" w:lineRule="auto"/>
        <w:jc w:val="center"/>
        <w:rPr>
          <w:rFonts w:hAnsi="Times New Roman" w:eastAsia="宋体"/>
          <w:b/>
          <w:bCs/>
          <w:lang w:eastAsia="zh-CN"/>
        </w:rPr>
      </w:pPr>
      <w:r>
        <w:rPr>
          <w:rFonts w:hAnsi="Times New Roman" w:eastAsia="宋体"/>
          <w:b/>
          <w:bCs/>
          <w:lang w:eastAsia="zh-CN"/>
        </w:rPr>
        <w:t>表1.6-1</w:t>
      </w:r>
      <w:r>
        <w:rPr>
          <w:rFonts w:hint="eastAsia" w:hAnsi="Times New Roman" w:eastAsia="宋体"/>
          <w:b/>
          <w:bCs/>
          <w:lang w:eastAsia="zh-CN"/>
        </w:rPr>
        <w:t>5</w:t>
      </w:r>
      <w:r>
        <w:rPr>
          <w:rFonts w:hAnsi="Times New Roman" w:eastAsia="宋体"/>
          <w:b/>
          <w:bCs/>
          <w:lang w:eastAsia="zh-CN"/>
        </w:rPr>
        <w:t xml:space="preserve">   评价等级及范围汇总表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365"/>
        <w:gridCol w:w="1760"/>
        <w:gridCol w:w="60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747" w:type="pct"/>
            <w:vAlign w:val="center"/>
          </w:tcPr>
          <w:p>
            <w:pPr>
              <w:keepNext w:val="0"/>
              <w:keepLines w:val="0"/>
              <w:suppressLineNumbers w:val="0"/>
              <w:spacing w:before="0" w:beforeAutospacing="0" w:after="0" w:afterAutospacing="0"/>
              <w:ind w:left="0" w:right="0"/>
              <w:jc w:val="center"/>
              <w:rPr>
                <w:rFonts w:hint="eastAsia" w:hAnsi="Times New Roman" w:eastAsia="宋体"/>
                <w:b/>
                <w:kern w:val="2"/>
                <w:sz w:val="21"/>
                <w:szCs w:val="21"/>
              </w:rPr>
            </w:pPr>
            <w:r>
              <w:rPr>
                <w:rFonts w:hint="eastAsia" w:hAnsi="Times New Roman" w:eastAsia="宋体"/>
                <w:b/>
                <w:kern w:val="2"/>
                <w:sz w:val="21"/>
                <w:szCs w:val="21"/>
              </w:rPr>
              <w:t>环境要素</w:t>
            </w:r>
          </w:p>
        </w:tc>
        <w:tc>
          <w:tcPr>
            <w:tcW w:w="963" w:type="pct"/>
            <w:vAlign w:val="center"/>
          </w:tcPr>
          <w:p>
            <w:pPr>
              <w:keepNext w:val="0"/>
              <w:keepLines w:val="0"/>
              <w:suppressLineNumbers w:val="0"/>
              <w:spacing w:before="0" w:beforeAutospacing="0" w:after="0" w:afterAutospacing="0"/>
              <w:ind w:left="0" w:right="0"/>
              <w:jc w:val="center"/>
              <w:rPr>
                <w:rFonts w:hint="eastAsia" w:hAnsi="Times New Roman" w:eastAsia="宋体"/>
                <w:b/>
                <w:kern w:val="2"/>
                <w:sz w:val="21"/>
                <w:szCs w:val="21"/>
                <w:lang w:eastAsia="zh-CN"/>
              </w:rPr>
            </w:pPr>
            <w:r>
              <w:rPr>
                <w:rFonts w:hint="eastAsia" w:hAnsi="Times New Roman" w:eastAsia="宋体"/>
                <w:b/>
                <w:kern w:val="2"/>
                <w:sz w:val="21"/>
                <w:szCs w:val="21"/>
                <w:lang w:eastAsia="zh-CN"/>
              </w:rPr>
              <w:t>评价等级</w:t>
            </w:r>
          </w:p>
        </w:tc>
        <w:tc>
          <w:tcPr>
            <w:tcW w:w="3290" w:type="pct"/>
            <w:vAlign w:val="center"/>
          </w:tcPr>
          <w:p>
            <w:pPr>
              <w:keepNext w:val="0"/>
              <w:keepLines w:val="0"/>
              <w:suppressLineNumbers w:val="0"/>
              <w:spacing w:before="0" w:beforeAutospacing="0" w:after="0" w:afterAutospacing="0"/>
              <w:ind w:left="0" w:right="0"/>
              <w:jc w:val="center"/>
              <w:rPr>
                <w:rFonts w:hint="eastAsia" w:hAnsi="Times New Roman" w:eastAsia="宋体"/>
                <w:b/>
                <w:kern w:val="2"/>
                <w:sz w:val="21"/>
                <w:szCs w:val="21"/>
              </w:rPr>
            </w:pPr>
            <w:r>
              <w:rPr>
                <w:rFonts w:hint="eastAsia" w:hAnsi="Times New Roman" w:eastAsia="宋体"/>
                <w:b/>
                <w:kern w:val="2"/>
                <w:sz w:val="21"/>
                <w:szCs w:val="21"/>
              </w:rPr>
              <w:t>评价范围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4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大气环境</w:t>
            </w:r>
          </w:p>
        </w:tc>
        <w:tc>
          <w:tcPr>
            <w:tcW w:w="96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二级</w:t>
            </w:r>
          </w:p>
        </w:tc>
        <w:tc>
          <w:tcPr>
            <w:tcW w:w="329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rPr>
              <w:t>以建设项目</w:t>
            </w:r>
            <w:r>
              <w:rPr>
                <w:rFonts w:hint="eastAsia" w:hAnsi="Times New Roman" w:eastAsia="宋体"/>
                <w:kern w:val="2"/>
                <w:sz w:val="21"/>
                <w:szCs w:val="21"/>
                <w:lang w:eastAsia="zh-CN"/>
              </w:rPr>
              <w:t>工业广场</w:t>
            </w:r>
            <w:r>
              <w:rPr>
                <w:rFonts w:hint="eastAsia" w:hAnsi="Times New Roman" w:eastAsia="宋体"/>
                <w:kern w:val="2"/>
                <w:sz w:val="21"/>
                <w:szCs w:val="21"/>
              </w:rPr>
              <w:t>为中心</w:t>
            </w:r>
            <w:r>
              <w:rPr>
                <w:rFonts w:hint="eastAsia" w:hAnsi="Times New Roman" w:eastAsia="宋体"/>
                <w:kern w:val="2"/>
                <w:sz w:val="21"/>
                <w:szCs w:val="21"/>
                <w:lang w:eastAsia="zh-CN"/>
              </w:rPr>
              <w:t>，边长</w:t>
            </w:r>
            <w:r>
              <w:rPr>
                <w:rFonts w:hint="eastAsia" w:hAnsi="Times New Roman" w:eastAsia="宋体"/>
                <w:kern w:val="2"/>
                <w:sz w:val="21"/>
                <w:szCs w:val="21"/>
              </w:rPr>
              <w:t>为</w:t>
            </w:r>
            <w:r>
              <w:rPr>
                <w:rFonts w:hint="eastAsia" w:hAnsi="Times New Roman" w:eastAsia="宋体"/>
                <w:kern w:val="2"/>
                <w:sz w:val="21"/>
                <w:szCs w:val="21"/>
                <w:lang w:eastAsia="zh-CN"/>
              </w:rPr>
              <w:t>5.0</w:t>
            </w:r>
            <w:r>
              <w:rPr>
                <w:rFonts w:hint="eastAsia" w:hAnsi="Times New Roman" w:eastAsia="宋体"/>
                <w:kern w:val="2"/>
                <w:sz w:val="21"/>
                <w:szCs w:val="21"/>
              </w:rPr>
              <w:t>km的</w:t>
            </w:r>
            <w:r>
              <w:rPr>
                <w:rFonts w:hint="eastAsia" w:hAnsi="Times New Roman" w:eastAsia="宋体"/>
                <w:kern w:val="2"/>
                <w:sz w:val="21"/>
                <w:szCs w:val="21"/>
                <w:lang w:eastAsia="zh-CN"/>
              </w:rPr>
              <w:t>矩形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4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水环境</w:t>
            </w:r>
          </w:p>
        </w:tc>
        <w:tc>
          <w:tcPr>
            <w:tcW w:w="96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二级</w:t>
            </w:r>
          </w:p>
        </w:tc>
        <w:tc>
          <w:tcPr>
            <w:tcW w:w="329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新宁</w:t>
            </w:r>
            <w:r>
              <w:rPr>
                <w:rFonts w:hint="eastAsia" w:hAnsi="Times New Roman" w:eastAsia="宋体"/>
                <w:kern w:val="2"/>
                <w:sz w:val="21"/>
                <w:szCs w:val="21"/>
              </w:rPr>
              <w:t>河汇入断面上游500m 至下游</w:t>
            </w:r>
            <w:r>
              <w:rPr>
                <w:rFonts w:hint="eastAsia" w:hAnsi="Times New Roman" w:eastAsia="宋体"/>
                <w:kern w:val="2"/>
                <w:sz w:val="21"/>
                <w:szCs w:val="21"/>
                <w:lang w:eastAsia="zh-CN"/>
              </w:rPr>
              <w:t>3</w:t>
            </w:r>
            <w:r>
              <w:rPr>
                <w:rFonts w:hint="eastAsia" w:hAnsi="Times New Roman" w:eastAsia="宋体"/>
                <w:kern w:val="2"/>
                <w:sz w:val="21"/>
                <w:szCs w:val="21"/>
              </w:rPr>
              <w:t>000m处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4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highlight w:val="yellow"/>
              </w:rPr>
            </w:pPr>
            <w:r>
              <w:rPr>
                <w:rFonts w:hint="eastAsia" w:hAnsi="Times New Roman" w:eastAsia="宋体"/>
                <w:kern w:val="2"/>
                <w:sz w:val="21"/>
                <w:szCs w:val="21"/>
              </w:rPr>
              <w:t>地下水环境</w:t>
            </w:r>
          </w:p>
        </w:tc>
        <w:tc>
          <w:tcPr>
            <w:tcW w:w="96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二级</w:t>
            </w:r>
          </w:p>
        </w:tc>
        <w:tc>
          <w:tcPr>
            <w:tcW w:w="329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北侧以新宁河为界，其余方向均以山脊线分水岭为界，整个预测评价范围共1.54km</w:t>
            </w:r>
            <w:r>
              <w:rPr>
                <w:rFonts w:hint="eastAsia" w:hAnsi="Times New Roman" w:eastAsia="宋体"/>
                <w:kern w:val="2"/>
                <w:sz w:val="21"/>
                <w:szCs w:val="21"/>
                <w:vertAlign w:val="superscript"/>
                <w:lang w:eastAsia="zh-CN"/>
              </w:rPr>
              <w:t>2</w:t>
            </w: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4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声环境</w:t>
            </w:r>
          </w:p>
        </w:tc>
        <w:tc>
          <w:tcPr>
            <w:tcW w:w="96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二级</w:t>
            </w:r>
          </w:p>
        </w:tc>
        <w:tc>
          <w:tcPr>
            <w:tcW w:w="329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2"/>
                <w:lang w:eastAsia="zh-CN"/>
              </w:rPr>
              <w:t>工业广场</w:t>
            </w:r>
            <w:r>
              <w:rPr>
                <w:rFonts w:hint="eastAsia" w:hAnsi="Times New Roman" w:eastAsia="宋体"/>
                <w:kern w:val="2"/>
                <w:sz w:val="21"/>
                <w:szCs w:val="22"/>
              </w:rPr>
              <w:t>厂界周围200m内区域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4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生态环境</w:t>
            </w:r>
          </w:p>
        </w:tc>
        <w:tc>
          <w:tcPr>
            <w:tcW w:w="96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二级</w:t>
            </w:r>
          </w:p>
        </w:tc>
        <w:tc>
          <w:tcPr>
            <w:tcW w:w="3290" w:type="pct"/>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陆生生态：以矿</w:t>
            </w:r>
            <w:r>
              <w:rPr>
                <w:rFonts w:hint="eastAsia" w:hAnsi="Times New Roman" w:eastAsia="宋体"/>
                <w:kern w:val="2"/>
                <w:sz w:val="21"/>
                <w:szCs w:val="21"/>
                <w:lang w:eastAsia="zh-CN"/>
              </w:rPr>
              <w:t>区边界、工业广场边界等</w:t>
            </w:r>
            <w:r>
              <w:rPr>
                <w:rFonts w:hint="eastAsia" w:hAnsi="Times New Roman" w:eastAsia="宋体"/>
                <w:kern w:val="2"/>
                <w:sz w:val="21"/>
                <w:szCs w:val="21"/>
              </w:rPr>
              <w:t>区域</w:t>
            </w:r>
            <w:r>
              <w:rPr>
                <w:rFonts w:hint="eastAsia" w:hAnsi="Times New Roman" w:eastAsia="宋体"/>
                <w:kern w:val="2"/>
                <w:sz w:val="21"/>
                <w:szCs w:val="21"/>
                <w:lang w:eastAsia="zh-CN"/>
              </w:rPr>
              <w:t>向四周</w:t>
            </w:r>
            <w:r>
              <w:rPr>
                <w:rFonts w:hint="eastAsia" w:hAnsi="Times New Roman" w:eastAsia="宋体"/>
                <w:kern w:val="2"/>
                <w:sz w:val="21"/>
                <w:szCs w:val="21"/>
              </w:rPr>
              <w:t>外扩</w:t>
            </w:r>
            <w:r>
              <w:rPr>
                <w:rFonts w:hint="eastAsia" w:hAnsi="Times New Roman" w:eastAsia="宋体"/>
                <w:kern w:val="2"/>
                <w:sz w:val="21"/>
                <w:szCs w:val="21"/>
                <w:lang w:eastAsia="zh-CN"/>
              </w:rPr>
              <w:t>500m，若在此范围内达到第一重自然山脊，则以第一重自然山脊为范围边界。</w:t>
            </w:r>
            <w:r>
              <w:rPr>
                <w:rFonts w:hint="eastAsia" w:hAnsi="Times New Roman" w:eastAsia="宋体"/>
                <w:kern w:val="2"/>
                <w:sz w:val="21"/>
                <w:szCs w:val="21"/>
              </w:rPr>
              <w:t>为本工程生态环境评价范围，应包括可能受工程施工建设和运营影响的陆生生态单元，即</w:t>
            </w:r>
            <w:r>
              <w:rPr>
                <w:rFonts w:hint="eastAsia" w:hAnsi="Times New Roman" w:eastAsia="宋体"/>
                <w:kern w:val="2"/>
                <w:sz w:val="21"/>
                <w:szCs w:val="21"/>
                <w:lang w:eastAsia="zh-CN"/>
              </w:rPr>
              <w:t>工业广场、主平垌、矿区</w:t>
            </w:r>
            <w:r>
              <w:rPr>
                <w:rFonts w:hint="eastAsia" w:hAnsi="Times New Roman" w:eastAsia="宋体"/>
                <w:kern w:val="2"/>
                <w:sz w:val="21"/>
                <w:szCs w:val="21"/>
              </w:rPr>
              <w:t>等施工场地，生态评价范围面积为13.2056km</w:t>
            </w:r>
            <w:r>
              <w:rPr>
                <w:rFonts w:hint="eastAsia" w:hAnsi="Times New Roman" w:eastAsia="宋体"/>
                <w:kern w:val="2"/>
                <w:sz w:val="21"/>
                <w:szCs w:val="21"/>
                <w:vertAlign w:val="superscript"/>
              </w:rPr>
              <w:t>2</w:t>
            </w:r>
            <w:r>
              <w:rPr>
                <w:rFonts w:hint="eastAsia" w:hAnsi="Times New Roman" w:eastAsia="宋体"/>
                <w:kern w:val="2"/>
                <w:sz w:val="21"/>
                <w:szCs w:val="21"/>
              </w:rPr>
              <w:t>。</w:t>
            </w:r>
          </w:p>
          <w:p>
            <w:pPr>
              <w:keepNext w:val="0"/>
              <w:keepLines w:val="0"/>
              <w:suppressLineNumbers w:val="0"/>
              <w:spacing w:before="0" w:beforeAutospacing="0" w:after="0" w:afterAutospacing="0"/>
              <w:ind w:left="0" w:right="0"/>
              <w:rPr>
                <w:rFonts w:hint="eastAsia" w:eastAsiaTheme="minorEastAsia"/>
                <w:kern w:val="2"/>
                <w:sz w:val="21"/>
                <w:szCs w:val="21"/>
                <w:lang w:eastAsia="zh-CN"/>
              </w:rPr>
            </w:pPr>
            <w:r>
              <w:rPr>
                <w:rFonts w:hint="eastAsia" w:hAnsi="Times New Roman" w:eastAsia="宋体"/>
                <w:kern w:val="2"/>
                <w:sz w:val="21"/>
                <w:szCs w:val="21"/>
              </w:rPr>
              <w:t>水生生态：为评价区内的水域，主要以评价区内明月江及其支流新宁河为主。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4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土壤环境</w:t>
            </w:r>
          </w:p>
        </w:tc>
        <w:tc>
          <w:tcPr>
            <w:tcW w:w="963" w:type="pct"/>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2"/>
              </w:rPr>
            </w:pPr>
            <w:r>
              <w:rPr>
                <w:rFonts w:hint="eastAsia" w:hAnsi="Times New Roman" w:eastAsia="宋体"/>
                <w:kern w:val="2"/>
                <w:sz w:val="21"/>
                <w:szCs w:val="22"/>
              </w:rPr>
              <w:t>生态影响型：三级</w:t>
            </w:r>
          </w:p>
          <w:p>
            <w:pPr>
              <w:keepNext w:val="0"/>
              <w:keepLines w:val="0"/>
              <w:suppressLineNumbers w:val="0"/>
              <w:spacing w:before="0" w:beforeAutospacing="0" w:after="0" w:afterAutospacing="0"/>
              <w:ind w:left="0" w:right="0"/>
              <w:jc w:val="left"/>
              <w:rPr>
                <w:rFonts w:hint="eastAsia" w:eastAsiaTheme="minorEastAsia"/>
                <w:kern w:val="2"/>
                <w:szCs w:val="22"/>
                <w:lang w:eastAsia="zh-CN"/>
              </w:rPr>
            </w:pPr>
            <w:r>
              <w:rPr>
                <w:rFonts w:hint="eastAsia" w:hAnsi="Times New Roman" w:eastAsia="宋体"/>
                <w:kern w:val="2"/>
                <w:sz w:val="21"/>
                <w:szCs w:val="22"/>
              </w:rPr>
              <w:t>污染影响型：二级</w:t>
            </w:r>
          </w:p>
        </w:tc>
        <w:tc>
          <w:tcPr>
            <w:tcW w:w="3290" w:type="pct"/>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2"/>
              </w:rPr>
            </w:pPr>
            <w:r>
              <w:rPr>
                <w:rFonts w:hint="eastAsia" w:hAnsi="Times New Roman" w:eastAsia="宋体"/>
                <w:kern w:val="2"/>
                <w:sz w:val="21"/>
                <w:szCs w:val="22"/>
              </w:rPr>
              <w:t>生态影响型：以矿区范围为边界向周边外延1000m的范围；</w:t>
            </w:r>
          </w:p>
          <w:p>
            <w:pPr>
              <w:keepNext w:val="0"/>
              <w:keepLines w:val="0"/>
              <w:suppressLineNumbers w:val="0"/>
              <w:spacing w:before="0" w:beforeAutospacing="0" w:after="0" w:afterAutospacing="0"/>
              <w:ind w:left="0" w:right="0"/>
              <w:jc w:val="left"/>
              <w:rPr>
                <w:rFonts w:hint="eastAsia" w:eastAsiaTheme="minorEastAsia"/>
                <w:kern w:val="2"/>
                <w:szCs w:val="22"/>
                <w:lang w:eastAsia="zh-CN"/>
              </w:rPr>
            </w:pPr>
            <w:r>
              <w:rPr>
                <w:rFonts w:hint="eastAsia" w:hAnsi="Times New Roman" w:eastAsia="宋体"/>
                <w:kern w:val="2"/>
                <w:sz w:val="21"/>
                <w:szCs w:val="22"/>
              </w:rPr>
              <w:t>污染影响型：以工业广场为边界向周边外延200m的范围。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4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rPr>
              <w:t>风险环境</w:t>
            </w:r>
          </w:p>
        </w:tc>
        <w:tc>
          <w:tcPr>
            <w:tcW w:w="96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简单分析</w:t>
            </w:r>
          </w:p>
        </w:tc>
        <w:tc>
          <w:tcPr>
            <w:tcW w:w="329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bl>
    <w:p>
      <w:pPr>
        <w:pStyle w:val="5"/>
        <w:rPr>
          <w:rFonts w:ascii="Times New Roman" w:hAnsi="Times New Roman"/>
          <w:lang w:eastAsia="zh-CN"/>
        </w:rPr>
      </w:pPr>
      <w:bookmarkStart w:id="44" w:name="_Toc163749152"/>
      <w:bookmarkStart w:id="45" w:name="_Toc167095116"/>
      <w:r>
        <w:rPr>
          <w:rFonts w:ascii="Times New Roman" w:hAnsi="Times New Roman"/>
          <w:lang w:eastAsia="zh-CN"/>
        </w:rPr>
        <w:t>1.7 评价工作内容及重点</w:t>
      </w:r>
      <w:bookmarkEnd w:id="44"/>
      <w:bookmarkEnd w:id="45"/>
    </w:p>
    <w:p>
      <w:pPr>
        <w:pStyle w:val="6"/>
        <w:rPr>
          <w:lang w:eastAsia="zh-CN"/>
        </w:rPr>
      </w:pPr>
      <w:bookmarkStart w:id="46" w:name="_Toc167095117"/>
      <w:bookmarkStart w:id="47" w:name="_Toc163812494"/>
      <w:r>
        <w:rPr>
          <w:lang w:eastAsia="zh-CN"/>
        </w:rPr>
        <w:t>1.7.1 评价内容</w:t>
      </w:r>
      <w:bookmarkEnd w:id="46"/>
      <w:bookmarkEnd w:id="47"/>
    </w:p>
    <w:p>
      <w:pPr>
        <w:tabs>
          <w:tab w:val="left" w:pos="2130"/>
        </w:tabs>
        <w:spacing w:line="360" w:lineRule="auto"/>
        <w:ind w:firstLine="480" w:firstLineChars="200"/>
        <w:rPr>
          <w:rFonts w:hAnsi="Times New Roman" w:eastAsia="宋体"/>
          <w:lang w:eastAsia="zh-CN"/>
        </w:rPr>
      </w:pPr>
      <w:r>
        <w:rPr>
          <w:rFonts w:hAnsi="Times New Roman" w:eastAsia="宋体"/>
          <w:lang w:eastAsia="zh-CN"/>
        </w:rPr>
        <w:t>根据项目实际情况确定评价内容主要包括建设项目概况、工程分析、项目所在区域的自然和社会概况、建设项目周围环境质量现状评价、施工期环境影响评价及防治措施、生态环境影响评价、环境影响预测与评价、水土流失防治措施、闭坑期环境影响评价、环境风险分析、生态保护及污染防治措施、清洁生产及总量控制、环境管理与监测。</w:t>
      </w:r>
    </w:p>
    <w:p>
      <w:pPr>
        <w:pStyle w:val="6"/>
        <w:rPr>
          <w:lang w:eastAsia="zh-CN"/>
        </w:rPr>
      </w:pPr>
      <w:bookmarkStart w:id="48" w:name="_Toc167095118"/>
      <w:bookmarkStart w:id="49" w:name="_Toc163812495"/>
      <w:r>
        <w:rPr>
          <w:lang w:eastAsia="zh-CN"/>
        </w:rPr>
        <w:t>1.7.2 评价重点</w:t>
      </w:r>
      <w:bookmarkEnd w:id="48"/>
      <w:bookmarkEnd w:id="49"/>
    </w:p>
    <w:p>
      <w:pPr>
        <w:tabs>
          <w:tab w:val="left" w:pos="2130"/>
        </w:tabs>
        <w:spacing w:line="360" w:lineRule="auto"/>
        <w:ind w:firstLine="480" w:firstLineChars="200"/>
        <w:rPr>
          <w:rFonts w:hAnsi="Times New Roman" w:eastAsia="宋体"/>
          <w:lang w:eastAsia="zh-CN"/>
        </w:rPr>
      </w:pPr>
      <w:r>
        <w:rPr>
          <w:rFonts w:hAnsi="Times New Roman" w:eastAsia="宋体"/>
          <w:lang w:eastAsia="zh-CN"/>
        </w:rPr>
        <w:t>本项目是资源开发项目，根据环境影响识别和工程分析，确定本次评价的工作重点为：工程分析；矿井采煤产生的地表沉陷对生态环境（包括耕地、林地、井泉等）的影响评价；地质灾害风险影响分析及防范措施；水环境现状及影响评价、矿井水资源化利用；煤矸场环境影响分析；生态综合整治措施和污染控制措施技术经济论证。</w:t>
      </w:r>
    </w:p>
    <w:p>
      <w:pPr>
        <w:pStyle w:val="5"/>
        <w:rPr>
          <w:rFonts w:ascii="Times New Roman" w:hAnsi="Times New Roman"/>
          <w:lang w:eastAsia="zh-CN"/>
        </w:rPr>
      </w:pPr>
      <w:bookmarkStart w:id="50" w:name="_Toc167095119"/>
      <w:bookmarkStart w:id="51" w:name="_Toc163749153"/>
      <w:r>
        <w:rPr>
          <w:rFonts w:ascii="Times New Roman" w:hAnsi="Times New Roman"/>
          <w:lang w:eastAsia="zh-CN"/>
        </w:rPr>
        <w:t>1.8 环境保护目标</w:t>
      </w:r>
      <w:bookmarkEnd w:id="50"/>
      <w:bookmarkEnd w:id="51"/>
    </w:p>
    <w:p>
      <w:pPr>
        <w:pStyle w:val="6"/>
        <w:rPr>
          <w:lang w:eastAsia="zh-CN"/>
        </w:rPr>
      </w:pPr>
      <w:bookmarkStart w:id="52" w:name="_Toc163812497"/>
      <w:bookmarkStart w:id="53" w:name="_Toc167095120"/>
      <w:r>
        <w:rPr>
          <w:lang w:eastAsia="zh-CN"/>
        </w:rPr>
        <w:t>1.8.1 外环境关系</w:t>
      </w:r>
      <w:bookmarkEnd w:id="52"/>
      <w:bookmarkEnd w:id="53"/>
    </w:p>
    <w:p>
      <w:pPr>
        <w:spacing w:line="360" w:lineRule="auto"/>
        <w:ind w:firstLine="482" w:firstLineChars="200"/>
        <w:rPr>
          <w:rFonts w:hAnsi="Times New Roman" w:eastAsia="宋体"/>
          <w:b/>
          <w:bCs/>
          <w:lang w:eastAsia="zh-CN"/>
        </w:rPr>
      </w:pPr>
      <w:r>
        <w:rPr>
          <w:rFonts w:hAnsi="Times New Roman" w:eastAsia="宋体"/>
          <w:b/>
          <w:bCs/>
          <w:lang w:eastAsia="zh-CN"/>
        </w:rPr>
        <w:t>1、矿区</w:t>
      </w:r>
      <w:r>
        <w:rPr>
          <w:rFonts w:hint="eastAsia" w:hAnsi="Times New Roman" w:eastAsia="宋体"/>
          <w:b/>
          <w:bCs/>
          <w:lang w:eastAsia="zh-CN"/>
        </w:rPr>
        <w:t>周边</w:t>
      </w:r>
      <w:r>
        <w:rPr>
          <w:rFonts w:hAnsi="Times New Roman" w:eastAsia="宋体"/>
          <w:b/>
          <w:bCs/>
          <w:lang w:eastAsia="zh-CN"/>
        </w:rPr>
        <w:t>外环境关系</w:t>
      </w:r>
    </w:p>
    <w:p>
      <w:pPr>
        <w:spacing w:line="360" w:lineRule="auto"/>
        <w:ind w:firstLine="480" w:firstLineChars="200"/>
        <w:rPr>
          <w:rFonts w:hAnsi="Times New Roman" w:eastAsia="宋体"/>
          <w:lang w:eastAsia="zh-CN"/>
        </w:rPr>
      </w:pPr>
      <w:r>
        <w:rPr>
          <w:rFonts w:hint="eastAsia" w:hAnsi="Times New Roman" w:eastAsia="宋体"/>
          <w:lang w:eastAsia="zh-CN"/>
        </w:rPr>
        <w:t>七里</w:t>
      </w:r>
      <w:r>
        <w:rPr>
          <w:rFonts w:hAnsi="Times New Roman" w:eastAsia="宋体"/>
          <w:lang w:eastAsia="zh-CN"/>
        </w:rPr>
        <w:t>峡煤矿位于四川省宣汉县城区1</w:t>
      </w:r>
      <w:r>
        <w:rPr>
          <w:rFonts w:hint="eastAsia" w:hAnsi="Times New Roman" w:eastAsia="宋体"/>
          <w:lang w:eastAsia="zh-CN"/>
        </w:rPr>
        <w:t>77</w:t>
      </w:r>
      <w:r>
        <w:rPr>
          <w:rFonts w:hAnsi="Times New Roman" w:eastAsia="宋体"/>
          <w:lang w:eastAsia="zh-CN"/>
        </w:rPr>
        <w:t>°方向，直距约</w:t>
      </w:r>
      <w:r>
        <w:rPr>
          <w:rFonts w:hint="eastAsia" w:hAnsi="Times New Roman" w:eastAsia="宋体"/>
          <w:lang w:eastAsia="zh-CN"/>
        </w:rPr>
        <w:t>16</w:t>
      </w:r>
      <w:r>
        <w:rPr>
          <w:rFonts w:hAnsi="Times New Roman" w:eastAsia="宋体"/>
          <w:lang w:eastAsia="zh-CN"/>
        </w:rPr>
        <w:t>km的宣汉县</w:t>
      </w:r>
      <w:r>
        <w:rPr>
          <w:rFonts w:hint="eastAsia" w:hAnsi="Times New Roman" w:eastAsia="宋体"/>
          <w:lang w:eastAsia="zh-CN"/>
        </w:rPr>
        <w:t>天生</w:t>
      </w:r>
      <w:r>
        <w:rPr>
          <w:rFonts w:hAnsi="Times New Roman" w:eastAsia="宋体"/>
          <w:lang w:eastAsia="zh-CN"/>
        </w:rPr>
        <w:t>镇境内。煤矿区中心地理坐标（2000国家大地坐标系）：东经</w:t>
      </w:r>
      <w:r>
        <w:rPr>
          <w:rFonts w:hint="eastAsia" w:hAnsi="Times New Roman" w:eastAsia="宋体"/>
          <w:lang w:eastAsia="zh-CN"/>
        </w:rPr>
        <w:t>107</w:t>
      </w:r>
      <w:r>
        <w:rPr>
          <w:rFonts w:hAnsi="Times New Roman" w:eastAsia="宋体"/>
          <w:lang w:eastAsia="zh-CN"/>
        </w:rPr>
        <w:t>°</w:t>
      </w:r>
      <w:r>
        <w:rPr>
          <w:rFonts w:hint="eastAsia" w:hAnsi="Times New Roman" w:eastAsia="宋体"/>
          <w:lang w:eastAsia="zh-CN"/>
        </w:rPr>
        <w:t>44</w:t>
      </w:r>
      <w:r>
        <w:rPr>
          <w:rFonts w:hAnsi="Times New Roman" w:eastAsia="宋体"/>
          <w:lang w:eastAsia="zh-CN"/>
        </w:rPr>
        <w:t>′</w:t>
      </w:r>
      <w:r>
        <w:rPr>
          <w:rFonts w:hint="eastAsia" w:hAnsi="Times New Roman" w:eastAsia="宋体"/>
          <w:lang w:eastAsia="zh-CN"/>
        </w:rPr>
        <w:t>17</w:t>
      </w:r>
      <w:r>
        <w:rPr>
          <w:rFonts w:hAnsi="Times New Roman" w:eastAsia="宋体"/>
          <w:lang w:eastAsia="zh-CN"/>
        </w:rPr>
        <w:t>"，北纬31°1</w:t>
      </w:r>
      <w:r>
        <w:rPr>
          <w:rFonts w:hint="eastAsia" w:hAnsi="Times New Roman" w:eastAsia="宋体"/>
          <w:lang w:eastAsia="zh-CN"/>
        </w:rPr>
        <w:t>1</w:t>
      </w:r>
      <w:r>
        <w:rPr>
          <w:rFonts w:hAnsi="Times New Roman" w:eastAsia="宋体"/>
          <w:lang w:eastAsia="zh-CN"/>
        </w:rPr>
        <w:t>′26"</w:t>
      </w:r>
      <w:r>
        <w:rPr>
          <w:rFonts w:hint="eastAsia" w:hAnsi="Times New Roman" w:eastAsia="宋体"/>
          <w:lang w:eastAsia="zh-CN"/>
        </w:rPr>
        <w:t>。</w:t>
      </w:r>
      <w:r>
        <w:rPr>
          <w:rFonts w:hAnsi="Times New Roman" w:eastAsia="宋体"/>
          <w:lang w:eastAsia="zh-CN"/>
        </w:rPr>
        <w:t>矿区范围</w:t>
      </w:r>
      <w:r>
        <w:rPr>
          <w:rFonts w:hint="eastAsia" w:hAnsi="Times New Roman" w:eastAsia="宋体"/>
          <w:lang w:eastAsia="zh-CN"/>
        </w:rPr>
        <w:t>走向</w:t>
      </w:r>
      <w:r>
        <w:rPr>
          <w:rFonts w:hAnsi="Times New Roman" w:eastAsia="宋体"/>
          <w:lang w:eastAsia="zh-CN"/>
        </w:rPr>
        <w:t>长约</w:t>
      </w:r>
      <w:r>
        <w:rPr>
          <w:rFonts w:hint="eastAsia" w:hAnsi="Times New Roman" w:eastAsia="宋体"/>
          <w:lang w:eastAsia="zh-CN"/>
        </w:rPr>
        <w:t>16.0</w:t>
      </w:r>
      <w:r>
        <w:rPr>
          <w:rFonts w:hAnsi="Times New Roman" w:eastAsia="宋体"/>
          <w:lang w:eastAsia="zh-CN"/>
        </w:rPr>
        <w:t>km，平均宽约</w:t>
      </w:r>
      <w:r>
        <w:rPr>
          <w:rFonts w:hint="eastAsia" w:hAnsi="Times New Roman" w:eastAsia="宋体"/>
          <w:lang w:eastAsia="zh-CN"/>
        </w:rPr>
        <w:t>230</w:t>
      </w:r>
      <w:r>
        <w:rPr>
          <w:rFonts w:hAnsi="Times New Roman" w:eastAsia="宋体"/>
          <w:lang w:eastAsia="zh-CN"/>
        </w:rPr>
        <w:t>m，面积约</w:t>
      </w:r>
      <w:r>
        <w:rPr>
          <w:rFonts w:hint="eastAsia" w:hAnsi="Times New Roman" w:eastAsia="宋体"/>
          <w:lang w:eastAsia="zh-CN"/>
        </w:rPr>
        <w:t>3.4715</w:t>
      </w:r>
      <w:r>
        <w:rPr>
          <w:rFonts w:hAnsi="Times New Roman" w:eastAsia="宋体"/>
          <w:lang w:eastAsia="zh-CN"/>
        </w:rPr>
        <w:t>km</w:t>
      </w:r>
      <w:r>
        <w:rPr>
          <w:rFonts w:hAnsi="Times New Roman" w:eastAsia="宋体"/>
          <w:vertAlign w:val="superscript"/>
          <w:lang w:eastAsia="zh-CN"/>
        </w:rPr>
        <w:t>2</w:t>
      </w:r>
      <w:r>
        <w:rPr>
          <w:rFonts w:hAnsi="Times New Roman" w:eastAsia="宋体"/>
          <w:lang w:eastAsia="zh-CN"/>
        </w:rPr>
        <w:t>。</w:t>
      </w:r>
    </w:p>
    <w:p>
      <w:pPr>
        <w:spacing w:line="360" w:lineRule="auto"/>
        <w:ind w:firstLine="480" w:firstLineChars="200"/>
        <w:rPr>
          <w:rFonts w:hAnsi="Times New Roman" w:eastAsia="宋体"/>
          <w:lang w:eastAsia="zh-CN"/>
        </w:rPr>
      </w:pPr>
      <w:r>
        <w:rPr>
          <w:rFonts w:hAnsi="Times New Roman" w:eastAsia="宋体"/>
          <w:lang w:eastAsia="zh-CN"/>
        </w:rPr>
        <w:t>项目矿区范围内从</w:t>
      </w:r>
      <w:r>
        <w:rPr>
          <w:rFonts w:hint="eastAsia" w:hAnsi="Times New Roman" w:eastAsia="宋体"/>
          <w:lang w:eastAsia="zh-CN"/>
        </w:rPr>
        <w:t>南</w:t>
      </w:r>
      <w:r>
        <w:rPr>
          <w:rFonts w:hAnsi="Times New Roman" w:eastAsia="宋体"/>
          <w:lang w:eastAsia="zh-CN"/>
        </w:rPr>
        <w:t>至</w:t>
      </w:r>
      <w:r>
        <w:rPr>
          <w:rFonts w:hint="eastAsia" w:hAnsi="Times New Roman" w:eastAsia="宋体"/>
          <w:lang w:eastAsia="zh-CN"/>
        </w:rPr>
        <w:t>北</w:t>
      </w:r>
      <w:r>
        <w:rPr>
          <w:rFonts w:hAnsi="Times New Roman" w:eastAsia="宋体"/>
          <w:lang w:eastAsia="zh-CN"/>
        </w:rPr>
        <w:t>分布有</w:t>
      </w:r>
      <w:r>
        <w:rPr>
          <w:rFonts w:hint="eastAsia" w:hAnsi="Times New Roman" w:eastAsia="宋体"/>
          <w:lang w:eastAsia="zh-CN"/>
        </w:rPr>
        <w:t>大坪</w:t>
      </w:r>
      <w:r>
        <w:rPr>
          <w:rFonts w:hAnsi="Times New Roman" w:eastAsia="宋体"/>
          <w:lang w:eastAsia="zh-CN"/>
        </w:rPr>
        <w:t>、</w:t>
      </w:r>
      <w:r>
        <w:rPr>
          <w:rFonts w:hint="eastAsia" w:hAnsi="Times New Roman" w:eastAsia="宋体"/>
          <w:lang w:eastAsia="zh-CN"/>
        </w:rPr>
        <w:t>庹家院子</w:t>
      </w:r>
      <w:r>
        <w:rPr>
          <w:rFonts w:hAnsi="Times New Roman" w:eastAsia="宋体"/>
          <w:lang w:eastAsia="zh-CN"/>
        </w:rPr>
        <w:t>、</w:t>
      </w:r>
      <w:r>
        <w:rPr>
          <w:rFonts w:hint="eastAsia" w:hAnsi="Times New Roman" w:eastAsia="宋体"/>
          <w:lang w:eastAsia="zh-CN"/>
        </w:rPr>
        <w:t>何家山</w:t>
      </w:r>
      <w:r>
        <w:rPr>
          <w:rFonts w:hAnsi="Times New Roman" w:eastAsia="宋体"/>
          <w:lang w:eastAsia="zh-CN"/>
        </w:rPr>
        <w:t>、马</w:t>
      </w:r>
      <w:r>
        <w:rPr>
          <w:rFonts w:hint="eastAsia" w:hAnsi="Times New Roman" w:eastAsia="宋体"/>
          <w:lang w:eastAsia="zh-CN"/>
        </w:rPr>
        <w:t>家山</w:t>
      </w:r>
      <w:r>
        <w:rPr>
          <w:rFonts w:hAnsi="Times New Roman" w:eastAsia="宋体"/>
          <w:lang w:eastAsia="zh-CN"/>
        </w:rPr>
        <w:t>、</w:t>
      </w:r>
      <w:r>
        <w:rPr>
          <w:rFonts w:hint="eastAsia" w:hAnsi="Times New Roman" w:eastAsia="宋体"/>
          <w:lang w:eastAsia="zh-CN"/>
        </w:rPr>
        <w:t>铁山沟</w:t>
      </w:r>
      <w:r>
        <w:rPr>
          <w:rFonts w:hAnsi="Times New Roman" w:eastAsia="宋体"/>
          <w:lang w:eastAsia="zh-CN"/>
        </w:rPr>
        <w:t>等共计约</w:t>
      </w:r>
      <w:r>
        <w:rPr>
          <w:rFonts w:hint="eastAsia" w:hAnsi="Times New Roman" w:eastAsia="宋体"/>
          <w:lang w:eastAsia="zh-CN"/>
        </w:rPr>
        <w:t>13</w:t>
      </w:r>
      <w:r>
        <w:rPr>
          <w:rFonts w:hAnsi="Times New Roman" w:eastAsia="宋体"/>
          <w:lang w:eastAsia="zh-CN"/>
        </w:rPr>
        <w:t>户村民，采空区上方无居民；矿区范围内无自然保护区及文物设施、无饮用水源保护区。矿区范围与永久基本农田重叠面积10.0630公顷。</w:t>
      </w:r>
    </w:p>
    <w:p>
      <w:pPr>
        <w:spacing w:line="360" w:lineRule="auto"/>
        <w:ind w:firstLine="480" w:firstLineChars="200"/>
        <w:rPr>
          <w:rFonts w:hAnsi="Times New Roman" w:eastAsia="宋体"/>
          <w:lang w:eastAsia="zh-CN"/>
        </w:rPr>
      </w:pPr>
      <w:r>
        <w:rPr>
          <w:rFonts w:hAnsi="Times New Roman" w:eastAsia="宋体"/>
          <w:lang w:eastAsia="zh-CN"/>
        </w:rPr>
        <w:t>矿区范围外500m范围内分布有</w:t>
      </w:r>
      <w:r>
        <w:rPr>
          <w:rFonts w:hint="eastAsia" w:hAnsi="Times New Roman" w:eastAsia="宋体"/>
          <w:lang w:eastAsia="zh-CN"/>
        </w:rPr>
        <w:t>井口湾</w:t>
      </w:r>
      <w:r>
        <w:rPr>
          <w:rFonts w:hAnsi="Times New Roman" w:eastAsia="宋体"/>
          <w:lang w:eastAsia="zh-CN"/>
        </w:rPr>
        <w:t>、</w:t>
      </w:r>
      <w:r>
        <w:rPr>
          <w:rFonts w:hint="eastAsia" w:hAnsi="Times New Roman" w:eastAsia="宋体"/>
          <w:lang w:eastAsia="zh-CN"/>
        </w:rPr>
        <w:t>团堡梁</w:t>
      </w:r>
      <w:r>
        <w:rPr>
          <w:rFonts w:hAnsi="Times New Roman" w:eastAsia="宋体"/>
          <w:lang w:eastAsia="zh-CN"/>
        </w:rPr>
        <w:t>、</w:t>
      </w:r>
      <w:r>
        <w:rPr>
          <w:rFonts w:hint="eastAsia" w:hAnsi="Times New Roman" w:eastAsia="宋体"/>
          <w:lang w:eastAsia="zh-CN"/>
        </w:rPr>
        <w:t>凼里头</w:t>
      </w:r>
      <w:r>
        <w:rPr>
          <w:rFonts w:hAnsi="Times New Roman" w:eastAsia="宋体"/>
          <w:lang w:eastAsia="zh-CN"/>
        </w:rPr>
        <w:t>、</w:t>
      </w:r>
      <w:r>
        <w:rPr>
          <w:rFonts w:hint="eastAsia" w:hAnsi="Times New Roman" w:eastAsia="宋体"/>
          <w:lang w:eastAsia="zh-CN"/>
        </w:rPr>
        <w:t>凉水井</w:t>
      </w:r>
      <w:r>
        <w:rPr>
          <w:rFonts w:hAnsi="Times New Roman" w:eastAsia="宋体"/>
          <w:lang w:eastAsia="zh-CN"/>
        </w:rPr>
        <w:t>、</w:t>
      </w:r>
      <w:r>
        <w:rPr>
          <w:rFonts w:hint="eastAsia" w:hAnsi="Times New Roman" w:eastAsia="宋体"/>
          <w:lang w:eastAsia="zh-CN"/>
        </w:rPr>
        <w:t>寨</w:t>
      </w:r>
      <w:r>
        <w:rPr>
          <w:rFonts w:hAnsi="Times New Roman" w:eastAsia="宋体"/>
          <w:lang w:eastAsia="zh-CN"/>
        </w:rPr>
        <w:t>坪、</w:t>
      </w:r>
      <w:r>
        <w:rPr>
          <w:rFonts w:hint="eastAsia" w:hAnsi="Times New Roman" w:eastAsia="宋体"/>
          <w:lang w:eastAsia="zh-CN"/>
        </w:rPr>
        <w:t>水井湾</w:t>
      </w:r>
      <w:r>
        <w:rPr>
          <w:rFonts w:hAnsi="Times New Roman" w:eastAsia="宋体"/>
          <w:lang w:eastAsia="zh-CN"/>
        </w:rPr>
        <w:t>等约</w:t>
      </w:r>
      <w:r>
        <w:rPr>
          <w:rFonts w:hint="eastAsia" w:hAnsi="Times New Roman" w:eastAsia="宋体"/>
          <w:lang w:eastAsia="zh-CN"/>
        </w:rPr>
        <w:t>42</w:t>
      </w:r>
      <w:r>
        <w:rPr>
          <w:rFonts w:hAnsi="Times New Roman" w:eastAsia="宋体"/>
          <w:lang w:eastAsia="zh-CN"/>
        </w:rPr>
        <w:t>户村民。</w:t>
      </w:r>
      <w:r>
        <w:rPr>
          <w:rFonts w:hint="eastAsia" w:hAnsi="Times New Roman" w:eastAsia="宋体"/>
          <w:lang w:eastAsia="zh-CN"/>
        </w:rPr>
        <w:t>矿区西侧约75m为</w:t>
      </w:r>
      <w:r>
        <w:rPr>
          <w:rFonts w:hAnsi="Times New Roman" w:eastAsia="宋体"/>
          <w:lang w:eastAsia="zh-CN"/>
        </w:rPr>
        <w:t>宣汉国家森林公园观音山景区</w:t>
      </w:r>
      <w:r>
        <w:rPr>
          <w:rFonts w:hint="eastAsia" w:hAnsi="Times New Roman" w:eastAsia="宋体"/>
          <w:lang w:eastAsia="zh-CN"/>
        </w:rPr>
        <w:t>；</w:t>
      </w:r>
      <w:r>
        <w:rPr>
          <w:rFonts w:hAnsi="Times New Roman" w:eastAsia="宋体"/>
          <w:lang w:eastAsia="zh-CN"/>
        </w:rPr>
        <w:t>此外矿区范围外分布有</w:t>
      </w:r>
      <w:r>
        <w:rPr>
          <w:rFonts w:hint="eastAsia" w:hAnsi="Times New Roman" w:eastAsia="宋体"/>
          <w:lang w:eastAsia="zh-CN"/>
        </w:rPr>
        <w:t>一</w:t>
      </w:r>
      <w:r>
        <w:rPr>
          <w:rFonts w:hAnsi="Times New Roman" w:eastAsia="宋体"/>
          <w:lang w:eastAsia="zh-CN"/>
        </w:rPr>
        <w:t>个集中式饮用水源保护区，为宣汉县天生镇王一庙（村级）集中式饮用水水源地（地下水型）（距离矿井</w:t>
      </w:r>
      <w:r>
        <w:rPr>
          <w:rFonts w:hint="eastAsia" w:hAnsi="Times New Roman" w:eastAsia="宋体"/>
          <w:lang w:eastAsia="zh-CN"/>
        </w:rPr>
        <w:t>主井工业广场</w:t>
      </w:r>
      <w:r>
        <w:rPr>
          <w:rFonts w:hAnsi="Times New Roman" w:eastAsia="宋体"/>
          <w:lang w:eastAsia="zh-CN"/>
        </w:rPr>
        <w:t>西</w:t>
      </w:r>
      <w:r>
        <w:rPr>
          <w:rFonts w:hint="eastAsia" w:hAnsi="Times New Roman" w:eastAsia="宋体"/>
          <w:lang w:eastAsia="zh-CN"/>
        </w:rPr>
        <w:t>北</w:t>
      </w:r>
      <w:r>
        <w:rPr>
          <w:rFonts w:hAnsi="Times New Roman" w:eastAsia="宋体"/>
          <w:lang w:eastAsia="zh-CN"/>
        </w:rPr>
        <w:t>侧</w:t>
      </w:r>
      <w:r>
        <w:rPr>
          <w:rFonts w:hint="eastAsia" w:hAnsi="Times New Roman" w:eastAsia="宋体"/>
          <w:lang w:eastAsia="zh-CN"/>
        </w:rPr>
        <w:t>20</w:t>
      </w:r>
      <w:r>
        <w:rPr>
          <w:rFonts w:hAnsi="Times New Roman" w:eastAsia="宋体"/>
          <w:lang w:eastAsia="zh-CN"/>
        </w:rPr>
        <w:t>m）</w:t>
      </w:r>
      <w:r>
        <w:rPr>
          <w:rFonts w:hint="eastAsia" w:hAnsi="Times New Roman" w:eastAsia="宋体"/>
          <w:lang w:eastAsia="zh-CN"/>
        </w:rPr>
        <w:t>。</w:t>
      </w:r>
    </w:p>
    <w:p>
      <w:pPr>
        <w:spacing w:line="360" w:lineRule="auto"/>
        <w:jc w:val="center"/>
      </w:pPr>
      <w:r>
        <w:drawing>
          <wp:inline distT="0" distB="0" distL="0" distR="0">
            <wp:extent cx="5796280" cy="3908425"/>
            <wp:effectExtent l="0" t="0" r="0" b="0"/>
            <wp:docPr id="6053250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325059" name="图片 1"/>
                    <pic:cNvPicPr>
                      <a:picLocks noChangeAspect="1"/>
                    </pic:cNvPicPr>
                  </pic:nvPicPr>
                  <pic:blipFill>
                    <a:blip r:embed="rId37"/>
                    <a:stretch>
                      <a:fillRect/>
                    </a:stretch>
                  </pic:blipFill>
                  <pic:spPr>
                    <a:xfrm>
                      <a:off x="0" y="0"/>
                      <a:ext cx="5796280" cy="3908425"/>
                    </a:xfrm>
                    <a:prstGeom prst="rect">
                      <a:avLst/>
                    </a:prstGeom>
                  </pic:spPr>
                </pic:pic>
              </a:graphicData>
            </a:graphic>
          </wp:inline>
        </w:drawing>
      </w:r>
    </w:p>
    <w:p>
      <w:pPr>
        <w:pStyle w:val="27"/>
        <w:ind w:left="902" w:hanging="422"/>
        <w:jc w:val="center"/>
        <w:rPr>
          <w:lang w:eastAsia="zh-CN"/>
        </w:rPr>
      </w:pPr>
      <w:r>
        <w:rPr>
          <w:rFonts w:hAnsi="Times New Roman" w:eastAsia="宋体"/>
          <w:b/>
          <w:bCs/>
          <w:sz w:val="21"/>
          <w:szCs w:val="21"/>
          <w:lang w:eastAsia="zh-CN"/>
        </w:rPr>
        <w:t>图1.8-1 项目</w:t>
      </w:r>
      <w:r>
        <w:rPr>
          <w:rFonts w:hint="eastAsia" w:hAnsi="Times New Roman" w:eastAsia="宋体"/>
          <w:b/>
          <w:bCs/>
          <w:sz w:val="21"/>
          <w:szCs w:val="21"/>
          <w:lang w:eastAsia="zh-CN"/>
        </w:rPr>
        <w:t>矿区外环境</w:t>
      </w:r>
      <w:r>
        <w:rPr>
          <w:rFonts w:hAnsi="Times New Roman" w:eastAsia="宋体"/>
          <w:b/>
          <w:bCs/>
          <w:sz w:val="21"/>
          <w:szCs w:val="21"/>
          <w:lang w:eastAsia="zh-CN"/>
        </w:rPr>
        <w:t>关系图</w:t>
      </w:r>
    </w:p>
    <w:p>
      <w:pPr>
        <w:spacing w:line="360" w:lineRule="auto"/>
        <w:ind w:firstLine="482" w:firstLineChars="200"/>
        <w:rPr>
          <w:rFonts w:hAnsi="Times New Roman" w:eastAsia="宋体"/>
          <w:b/>
          <w:bCs/>
          <w:lang w:eastAsia="zh-CN"/>
        </w:rPr>
      </w:pPr>
      <w:r>
        <w:rPr>
          <w:rFonts w:hAnsi="Times New Roman" w:eastAsia="宋体"/>
          <w:b/>
          <w:bCs/>
          <w:lang w:eastAsia="zh-CN"/>
        </w:rPr>
        <w:t>2、</w:t>
      </w:r>
      <w:r>
        <w:rPr>
          <w:rFonts w:hint="eastAsia" w:hAnsi="Times New Roman" w:eastAsia="宋体"/>
          <w:b/>
          <w:bCs/>
          <w:lang w:eastAsia="zh-CN"/>
        </w:rPr>
        <w:t>区域敏感目标</w:t>
      </w:r>
    </w:p>
    <w:p>
      <w:pPr>
        <w:spacing w:line="360" w:lineRule="auto"/>
        <w:ind w:firstLine="480" w:firstLineChars="200"/>
        <w:rPr>
          <w:rFonts w:hAnsi="Times New Roman" w:eastAsia="宋体"/>
          <w:lang w:eastAsia="zh-CN"/>
        </w:rPr>
      </w:pPr>
      <w:r>
        <w:rPr>
          <w:rFonts w:hAnsi="Times New Roman" w:eastAsia="宋体"/>
          <w:lang w:eastAsia="zh-CN"/>
        </w:rPr>
        <w:t>（1）</w:t>
      </w:r>
      <w:r>
        <w:rPr>
          <w:rFonts w:hint="eastAsia" w:hAnsi="Times New Roman" w:eastAsia="宋体"/>
          <w:lang w:eastAsia="zh-CN"/>
        </w:rPr>
        <w:t>宣汉国家森林公园</w:t>
      </w:r>
    </w:p>
    <w:p>
      <w:pPr>
        <w:spacing w:line="360" w:lineRule="auto"/>
        <w:ind w:firstLine="480" w:firstLineChars="200"/>
        <w:rPr>
          <w:rFonts w:hAnsi="Times New Roman" w:eastAsia="宋体"/>
          <w:lang w:eastAsia="zh-CN"/>
        </w:rPr>
      </w:pPr>
      <w:r>
        <w:rPr>
          <w:rFonts w:hAnsi="Times New Roman" w:eastAsia="宋体"/>
          <w:lang w:eastAsia="zh-CN"/>
        </w:rPr>
        <w:t>四川宣汉国家森林公园位于四川省宣汉县境内，居川渝鄂陕的十字中心。公园幅园面积4621.27ha，森林覆盖率高达95.02%，海拔330</w:t>
      </w:r>
      <w:r>
        <w:rPr>
          <w:rFonts w:hint="eastAsia" w:hAnsi="Times New Roman" w:eastAsia="宋体"/>
          <w:lang w:eastAsia="zh-CN"/>
        </w:rPr>
        <w:t>～</w:t>
      </w:r>
      <w:r>
        <w:rPr>
          <w:rFonts w:hAnsi="Times New Roman" w:eastAsia="宋体"/>
          <w:lang w:eastAsia="zh-CN"/>
        </w:rPr>
        <w:t>1605米，地理坐标为东经107°38'37''~107°49'59''，北纬31°06'32''~31°45'00''之间。由观音山景区、峨城竹海景区和五马归槽景区“三海”组成。</w:t>
      </w:r>
    </w:p>
    <w:p>
      <w:pPr>
        <w:spacing w:line="360" w:lineRule="auto"/>
        <w:ind w:firstLine="480" w:firstLineChars="200"/>
        <w:rPr>
          <w:rFonts w:hAnsi="Times New Roman" w:eastAsia="宋体"/>
          <w:lang w:eastAsia="zh-CN"/>
        </w:rPr>
      </w:pPr>
      <w:r>
        <w:rPr>
          <w:rFonts w:hAnsi="Times New Roman" w:eastAsia="宋体"/>
          <w:lang w:eastAsia="zh-CN"/>
        </w:rPr>
        <w:t>观音山景区位于达州市宣汉县东南部，面积2188.39ha，森林覆盖率94.83%，海拔330</w:t>
      </w:r>
      <w:r>
        <w:rPr>
          <w:rFonts w:hint="eastAsia" w:hAnsi="Times New Roman" w:eastAsia="宋体"/>
          <w:lang w:eastAsia="zh-CN"/>
        </w:rPr>
        <w:t>～</w:t>
      </w:r>
      <w:r>
        <w:rPr>
          <w:rFonts w:hAnsi="Times New Roman" w:eastAsia="宋体"/>
          <w:lang w:eastAsia="zh-CN"/>
        </w:rPr>
        <w:t>1058m。公园内现有维管束植物76科188属379种。国家一级保护植物有水杉，二级保护植物有中华猕猴桃、红豆树、鹅掌楸、银杏、桢楠等。野生脊椎动物31目40科共计62种，列入国家一级保护动物的有黑鹳、豹、金雕，二级保护有大鲵、穿山甲、红腹锦鸡、鸳鸯等。</w:t>
      </w:r>
    </w:p>
    <w:p>
      <w:pPr>
        <w:spacing w:line="360" w:lineRule="auto"/>
        <w:ind w:firstLine="480" w:firstLineChars="200"/>
        <w:rPr>
          <w:rFonts w:hAnsi="Times New Roman" w:eastAsia="宋体"/>
          <w:lang w:eastAsia="zh-CN"/>
        </w:rPr>
      </w:pPr>
      <w:r>
        <w:rPr>
          <w:rFonts w:hint="eastAsia" w:hAnsi="Times New Roman" w:eastAsia="宋体"/>
          <w:lang w:eastAsia="zh-CN"/>
        </w:rPr>
        <w:t>本项目矿区范围位于宣汉国家森林公园观音山景区东侧，矿区距宣汉国家森林公园最近距离约37m。保留+379m井筒</w:t>
      </w:r>
      <w:r>
        <w:rPr>
          <w:rFonts w:hAnsi="Times New Roman" w:eastAsia="宋体"/>
          <w:lang w:eastAsia="zh-CN"/>
        </w:rPr>
        <w:t>主平硐长1135m，其中73m～971m位于“宣汉国家森林公园观音山景区”下覆岩层中，长度898m，其巷道距地表58m～430m。</w:t>
      </w:r>
    </w:p>
    <w:p>
      <w:pPr>
        <w:spacing w:line="360" w:lineRule="auto"/>
        <w:ind w:firstLine="480" w:firstLineChars="200"/>
        <w:rPr>
          <w:rFonts w:hAnsi="Times New Roman" w:eastAsia="宋体"/>
          <w:lang w:eastAsia="zh-CN"/>
        </w:rPr>
      </w:pPr>
      <w:r>
        <w:rPr>
          <w:rFonts w:hint="eastAsia" w:hAnsi="Times New Roman" w:eastAsia="宋体"/>
          <w:lang w:eastAsia="zh-CN"/>
        </w:rPr>
        <w:t>经叠图分析，项目与宣汉国家森林公园观音山景区位置关系图以及</w:t>
      </w:r>
      <w:r>
        <w:rPr>
          <w:rFonts w:hAnsi="Times New Roman" w:eastAsia="宋体"/>
          <w:lang w:eastAsia="zh-CN"/>
        </w:rPr>
        <w:t>主平硐与森林公园位置关系图</w:t>
      </w:r>
      <w:r>
        <w:rPr>
          <w:rFonts w:hint="eastAsia" w:hAnsi="Times New Roman" w:eastAsia="宋体"/>
          <w:lang w:eastAsia="zh-CN"/>
        </w:rPr>
        <w:t>见下图</w:t>
      </w:r>
      <w:r>
        <w:rPr>
          <w:rFonts w:hAnsi="Times New Roman" w:eastAsia="宋体"/>
          <w:lang w:eastAsia="zh-CN"/>
        </w:rPr>
        <w:t>。</w:t>
      </w:r>
    </w:p>
    <w:p>
      <w:pPr>
        <w:pStyle w:val="2"/>
        <w:ind w:left="0" w:leftChars="0" w:firstLine="0" w:firstLineChars="0"/>
        <w:rPr>
          <w:rFonts w:eastAsiaTheme="minorEastAsia"/>
          <w:lang w:eastAsia="zh-CN"/>
        </w:rPr>
      </w:pPr>
      <w:r>
        <w:drawing>
          <wp:inline distT="0" distB="0" distL="0" distR="0">
            <wp:extent cx="5796280" cy="2225675"/>
            <wp:effectExtent l="19050" t="19050" r="13970" b="22225"/>
            <wp:docPr id="3800468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046827" name="图片 1"/>
                    <pic:cNvPicPr>
                      <a:picLocks noChangeAspect="1"/>
                    </pic:cNvPicPr>
                  </pic:nvPicPr>
                  <pic:blipFill>
                    <a:blip r:embed="rId38"/>
                    <a:stretch>
                      <a:fillRect/>
                    </a:stretch>
                  </pic:blipFill>
                  <pic:spPr>
                    <a:xfrm>
                      <a:off x="0" y="0"/>
                      <a:ext cx="5796280" cy="2225675"/>
                    </a:xfrm>
                    <a:prstGeom prst="rect">
                      <a:avLst/>
                    </a:prstGeom>
                    <a:ln>
                      <a:solidFill>
                        <a:schemeClr val="tx1"/>
                      </a:solidFill>
                    </a:ln>
                  </pic:spPr>
                </pic:pic>
              </a:graphicData>
            </a:graphic>
          </wp:inline>
        </w:drawing>
      </w:r>
    </w:p>
    <w:p>
      <w:pPr>
        <w:spacing w:line="360" w:lineRule="auto"/>
        <w:jc w:val="center"/>
        <w:rPr>
          <w:rFonts w:hAnsi="Times New Roman" w:eastAsia="宋体"/>
          <w:b/>
          <w:bCs/>
          <w:sz w:val="21"/>
          <w:szCs w:val="21"/>
          <w:lang w:eastAsia="zh-CN"/>
        </w:rPr>
      </w:pPr>
      <w:r>
        <w:rPr>
          <w:rFonts w:hint="eastAsia" w:hAnsi="Times New Roman" w:eastAsia="宋体"/>
          <w:b/>
          <w:bCs/>
          <w:sz w:val="21"/>
          <w:szCs w:val="21"/>
          <w:lang w:eastAsia="zh-CN"/>
        </w:rPr>
        <w:t>图1.8-2项目与宣汉国家森林公园观音山景区位置关系图</w:t>
      </w:r>
    </w:p>
    <w:p>
      <w:pPr>
        <w:spacing w:line="360" w:lineRule="auto"/>
        <w:jc w:val="center"/>
        <w:rPr>
          <w:rFonts w:hAnsi="Times New Roman" w:eastAsia="宋体"/>
          <w:b/>
          <w:bCs/>
          <w:sz w:val="21"/>
          <w:szCs w:val="21"/>
          <w:highlight w:val="yellow"/>
          <w:lang w:eastAsia="zh-CN"/>
        </w:rPr>
      </w:pPr>
      <w:r>
        <w:drawing>
          <wp:inline distT="0" distB="0" distL="0" distR="0">
            <wp:extent cx="3947160" cy="4945380"/>
            <wp:effectExtent l="0" t="0" r="0" b="7620"/>
            <wp:docPr id="13067481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748154" name="图片 1"/>
                    <pic:cNvPicPr>
                      <a:picLocks noChangeAspect="1"/>
                    </pic:cNvPicPr>
                  </pic:nvPicPr>
                  <pic:blipFill>
                    <a:blip r:embed="rId39"/>
                    <a:stretch>
                      <a:fillRect/>
                    </a:stretch>
                  </pic:blipFill>
                  <pic:spPr>
                    <a:xfrm>
                      <a:off x="0" y="0"/>
                      <a:ext cx="3947502" cy="4945809"/>
                    </a:xfrm>
                    <a:prstGeom prst="rect">
                      <a:avLst/>
                    </a:prstGeom>
                  </pic:spPr>
                </pic:pic>
              </a:graphicData>
            </a:graphic>
          </wp:inline>
        </w:drawing>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图1.8-</w:t>
      </w:r>
      <w:r>
        <w:rPr>
          <w:rFonts w:hint="eastAsia" w:hAnsi="Times New Roman" w:eastAsia="宋体"/>
          <w:b/>
          <w:bCs/>
          <w:sz w:val="21"/>
          <w:szCs w:val="21"/>
          <w:lang w:eastAsia="zh-CN"/>
        </w:rPr>
        <w:t>3</w:t>
      </w:r>
      <w:r>
        <w:rPr>
          <w:rFonts w:hAnsi="Times New Roman" w:eastAsia="宋体"/>
          <w:b/>
          <w:bCs/>
          <w:sz w:val="21"/>
          <w:szCs w:val="21"/>
          <w:lang w:eastAsia="zh-CN"/>
        </w:rPr>
        <w:t xml:space="preserve"> 本项目</w:t>
      </w:r>
      <w:r>
        <w:rPr>
          <w:rFonts w:hint="eastAsia" w:hAnsi="Times New Roman" w:eastAsia="宋体"/>
          <w:b/>
          <w:bCs/>
          <w:sz w:val="21"/>
          <w:szCs w:val="21"/>
          <w:lang w:eastAsia="zh-CN"/>
        </w:rPr>
        <w:t>主平硐</w:t>
      </w:r>
      <w:r>
        <w:rPr>
          <w:rFonts w:hAnsi="Times New Roman" w:eastAsia="宋体"/>
          <w:b/>
          <w:bCs/>
          <w:sz w:val="21"/>
          <w:szCs w:val="21"/>
          <w:lang w:eastAsia="zh-CN"/>
        </w:rPr>
        <w:t>与宣汉国家森林公园位置关系图</w:t>
      </w:r>
    </w:p>
    <w:p>
      <w:pPr>
        <w:spacing w:line="360" w:lineRule="auto"/>
        <w:ind w:firstLine="482" w:firstLineChars="200"/>
        <w:rPr>
          <w:rFonts w:hAnsi="Times New Roman" w:eastAsia="宋体"/>
          <w:b/>
          <w:bCs/>
          <w:lang w:eastAsia="zh-CN"/>
        </w:rPr>
      </w:pPr>
      <w:r>
        <w:rPr>
          <w:rFonts w:hint="eastAsia" w:hAnsi="Times New Roman" w:eastAsia="宋体"/>
          <w:b/>
          <w:bCs/>
          <w:lang w:eastAsia="zh-CN"/>
        </w:rPr>
        <w:t>（2）</w:t>
      </w:r>
      <w:r>
        <w:rPr>
          <w:rFonts w:hAnsi="Times New Roman" w:eastAsia="宋体"/>
          <w:b/>
          <w:bCs/>
          <w:lang w:eastAsia="zh-CN"/>
        </w:rPr>
        <w:t>基本农田</w:t>
      </w:r>
    </w:p>
    <w:p>
      <w:pPr>
        <w:spacing w:line="360" w:lineRule="auto"/>
        <w:ind w:firstLine="480" w:firstLineChars="200"/>
        <w:rPr>
          <w:rFonts w:hAnsi="Times New Roman" w:eastAsia="宋体"/>
          <w:lang w:eastAsia="zh-CN"/>
        </w:rPr>
      </w:pPr>
      <w:r>
        <w:rPr>
          <w:rFonts w:hAnsi="Times New Roman" w:eastAsia="宋体"/>
          <w:lang w:eastAsia="zh-CN"/>
        </w:rPr>
        <w:t>据宣汉县七里镇土地利用总体规划图（2006-2020年）（2014年调整完善版），矿区范围与少量永久基本农田重叠。</w:t>
      </w:r>
    </w:p>
    <w:p>
      <w:pPr>
        <w:spacing w:line="360" w:lineRule="auto"/>
        <w:ind w:firstLine="480" w:firstLineChars="200"/>
        <w:rPr>
          <w:rFonts w:hAnsi="Times New Roman" w:eastAsia="宋体"/>
          <w:lang w:eastAsia="zh-CN"/>
        </w:rPr>
      </w:pPr>
      <w:r>
        <w:rPr>
          <w:rFonts w:hAnsi="Times New Roman" w:eastAsia="宋体"/>
          <w:lang w:eastAsia="zh-CN"/>
        </w:rPr>
        <w:t>据《达州市宣汉县七里峡煤业有限公司七里峡煤矿七里峡煤矿永久基本农田影响论证报告》：七里峡煤矿矿区范围与永久基本农田重叠面积10.0630公顷，为分布相对零散的永久基本农田，井口及工业场地没有占用永久基本农田。</w:t>
      </w:r>
    </w:p>
    <w:p>
      <w:pPr>
        <w:spacing w:line="360" w:lineRule="auto"/>
        <w:ind w:firstLine="482" w:firstLineChars="200"/>
        <w:rPr>
          <w:rFonts w:hAnsi="Times New Roman" w:eastAsia="宋体"/>
          <w:b/>
          <w:bCs/>
          <w:szCs w:val="22"/>
          <w:lang w:eastAsia="zh-CN"/>
        </w:rPr>
      </w:pPr>
      <w:r>
        <w:rPr>
          <w:rFonts w:hint="eastAsia" w:hAnsi="Times New Roman" w:eastAsia="宋体"/>
          <w:b/>
          <w:bCs/>
          <w:szCs w:val="22"/>
          <w:lang w:eastAsia="zh-CN"/>
        </w:rPr>
        <w:t>（3）公益林</w:t>
      </w:r>
    </w:p>
    <w:p>
      <w:pPr>
        <w:spacing w:line="360" w:lineRule="auto"/>
        <w:ind w:firstLine="480" w:firstLineChars="200"/>
        <w:rPr>
          <w:rFonts w:hAnsi="Times New Roman" w:eastAsia="宋体"/>
          <w:szCs w:val="24"/>
          <w:lang w:eastAsia="zh-CN"/>
        </w:rPr>
      </w:pPr>
      <w:r>
        <w:rPr>
          <w:rFonts w:hint="eastAsia" w:hAnsi="Times New Roman" w:eastAsia="宋体"/>
          <w:szCs w:val="22"/>
          <w:lang w:eastAsia="zh-CN"/>
        </w:rPr>
        <w:t>本项目工业场地占地不涉及二级</w:t>
      </w:r>
      <w:r>
        <w:rPr>
          <w:rFonts w:hint="eastAsia" w:hAnsi="Times New Roman" w:eastAsia="宋体"/>
          <w:szCs w:val="24"/>
          <w:lang w:eastAsia="zh-CN"/>
        </w:rPr>
        <w:t>国家公益林，井田范围内为不连续分布，根据调查，项目评价范围内</w:t>
      </w:r>
      <w:r>
        <w:rPr>
          <w:rFonts w:hAnsi="Times New Roman" w:eastAsia="宋体"/>
          <w:szCs w:val="24"/>
          <w:lang w:eastAsia="zh-CN"/>
        </w:rPr>
        <w:t>分布有</w:t>
      </w:r>
      <w:r>
        <w:rPr>
          <w:rFonts w:hint="eastAsia" w:hAnsi="Times New Roman" w:eastAsia="宋体"/>
          <w:szCs w:val="24"/>
          <w:lang w:eastAsia="zh-CN"/>
        </w:rPr>
        <w:t>国家二级</w:t>
      </w:r>
      <w:r>
        <w:rPr>
          <w:rFonts w:hAnsi="Times New Roman" w:eastAsia="宋体"/>
          <w:szCs w:val="24"/>
          <w:lang w:eastAsia="zh-CN"/>
        </w:rPr>
        <w:t>公益林约</w:t>
      </w:r>
      <w:r>
        <w:rPr>
          <w:rFonts w:hint="eastAsia" w:hAnsi="Times New Roman" w:eastAsia="宋体"/>
          <w:szCs w:val="24"/>
          <w:lang w:eastAsia="zh-CN"/>
        </w:rPr>
        <w:t>229.47</w:t>
      </w:r>
      <w:r>
        <w:rPr>
          <w:rFonts w:hAnsi="Times New Roman" w:eastAsia="宋体"/>
          <w:szCs w:val="24"/>
          <w:lang w:eastAsia="zh-CN"/>
        </w:rPr>
        <w:t>hm</w:t>
      </w:r>
      <w:r>
        <w:rPr>
          <w:rFonts w:hAnsi="Times New Roman" w:eastAsia="宋体"/>
          <w:szCs w:val="24"/>
          <w:vertAlign w:val="superscript"/>
          <w:lang w:eastAsia="zh-CN"/>
        </w:rPr>
        <w:t>2</w:t>
      </w:r>
      <w:r>
        <w:rPr>
          <w:rFonts w:hint="eastAsia" w:hAnsi="Times New Roman" w:eastAsia="宋体"/>
          <w:szCs w:val="24"/>
          <w:lang w:eastAsia="zh-CN"/>
        </w:rPr>
        <w:t>，不涉及国家一级公益林。项目与公益林的位置关系见图1.8-3。</w:t>
      </w:r>
    </w:p>
    <w:p>
      <w:pPr>
        <w:spacing w:line="360" w:lineRule="auto"/>
        <w:jc w:val="center"/>
        <w:rPr>
          <w:rFonts w:hAnsi="Times New Roman" w:eastAsia="宋体"/>
          <w:b/>
          <w:bCs/>
          <w:szCs w:val="24"/>
        </w:rPr>
      </w:pPr>
      <w:r>
        <w:rPr>
          <w:rFonts w:hAnsi="Times New Roman" w:eastAsia="宋体"/>
          <w:b/>
          <w:bCs/>
          <w:szCs w:val="24"/>
        </w:rPr>
        <w:drawing>
          <wp:inline distT="0" distB="0" distL="114300" distR="114300">
            <wp:extent cx="3268980" cy="4619625"/>
            <wp:effectExtent l="0" t="0" r="7620" b="9525"/>
            <wp:docPr id="409994602" name="图片 409994602" descr="评价范围内公益林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94602" name="图片 409994602" descr="评价范围内公益林分布图"/>
                    <pic:cNvPicPr>
                      <a:picLocks noChangeAspect="1"/>
                    </pic:cNvPicPr>
                  </pic:nvPicPr>
                  <pic:blipFill>
                    <a:blip r:embed="rId40"/>
                    <a:stretch>
                      <a:fillRect/>
                    </a:stretch>
                  </pic:blipFill>
                  <pic:spPr>
                    <a:xfrm>
                      <a:off x="0" y="0"/>
                      <a:ext cx="3272138" cy="4624305"/>
                    </a:xfrm>
                    <a:prstGeom prst="rect">
                      <a:avLst/>
                    </a:prstGeom>
                  </pic:spPr>
                </pic:pic>
              </a:graphicData>
            </a:graphic>
          </wp:inline>
        </w:drawing>
      </w:r>
    </w:p>
    <w:p>
      <w:pPr>
        <w:spacing w:line="360" w:lineRule="auto"/>
        <w:jc w:val="center"/>
        <w:rPr>
          <w:rFonts w:hAnsi="Times New Roman" w:eastAsia="宋体"/>
          <w:szCs w:val="24"/>
        </w:rPr>
      </w:pPr>
      <w:r>
        <w:rPr>
          <w:rFonts w:hAnsi="Times New Roman" w:eastAsia="宋体"/>
          <w:b/>
          <w:bCs/>
          <w:sz w:val="21"/>
          <w:szCs w:val="21"/>
          <w:lang w:eastAsia="zh-CN"/>
        </w:rPr>
        <w:t>图</w:t>
      </w:r>
      <w:r>
        <w:rPr>
          <w:rFonts w:hint="eastAsia" w:hAnsi="Times New Roman" w:eastAsia="宋体"/>
          <w:b/>
          <w:bCs/>
          <w:sz w:val="21"/>
          <w:szCs w:val="21"/>
          <w:lang w:eastAsia="zh-CN"/>
        </w:rPr>
        <w:t xml:space="preserve">1.8-4 </w:t>
      </w:r>
      <w:r>
        <w:rPr>
          <w:rFonts w:hAnsi="Times New Roman" w:eastAsia="宋体"/>
          <w:b/>
          <w:bCs/>
          <w:sz w:val="21"/>
          <w:szCs w:val="21"/>
          <w:lang w:eastAsia="zh-CN"/>
        </w:rPr>
        <w:t>项目与公益林位置关系图</w:t>
      </w:r>
    </w:p>
    <w:p>
      <w:pPr>
        <w:spacing w:line="360" w:lineRule="auto"/>
        <w:ind w:firstLine="482" w:firstLineChars="200"/>
        <w:rPr>
          <w:rFonts w:hAnsi="Times New Roman" w:eastAsia="宋体"/>
          <w:b/>
          <w:bCs/>
          <w:lang w:eastAsia="zh-CN"/>
        </w:rPr>
      </w:pPr>
      <w:r>
        <w:rPr>
          <w:rFonts w:hint="eastAsia" w:hAnsi="Times New Roman" w:eastAsia="宋体"/>
          <w:b/>
          <w:bCs/>
          <w:lang w:eastAsia="zh-CN"/>
        </w:rPr>
        <w:t>（4）</w:t>
      </w:r>
      <w:r>
        <w:rPr>
          <w:rFonts w:hAnsi="Times New Roman" w:eastAsia="宋体"/>
          <w:b/>
          <w:bCs/>
          <w:lang w:eastAsia="zh-CN"/>
        </w:rPr>
        <w:t>饮用水水源保护地</w:t>
      </w:r>
    </w:p>
    <w:p>
      <w:pPr>
        <w:spacing w:line="360" w:lineRule="auto"/>
        <w:ind w:firstLine="480" w:firstLineChars="200"/>
        <w:rPr>
          <w:rFonts w:hAnsi="Times New Roman" w:eastAsia="宋体"/>
          <w:lang w:eastAsia="zh-CN"/>
        </w:rPr>
      </w:pPr>
      <w:r>
        <w:rPr>
          <w:rFonts w:hAnsi="Times New Roman" w:eastAsia="宋体"/>
          <w:lang w:eastAsia="zh-CN"/>
        </w:rPr>
        <w:t>根据《达州市人民政府关于划定万源市、宣汉县和大竹县乡镇及以下集中式饮用水水源地保护区的批复》</w:t>
      </w:r>
      <w:r>
        <w:rPr>
          <w:rFonts w:hAnsi="Times New Roman" w:eastAsia="宋体"/>
          <w:szCs w:val="22"/>
          <w:lang w:eastAsia="zh-CN"/>
        </w:rPr>
        <w:t>（达市府函</w:t>
      </w:r>
      <w:r>
        <w:rPr>
          <w:rFonts w:hint="eastAsia" w:hAnsi="Times New Roman" w:eastAsia="宋体"/>
          <w:szCs w:val="22"/>
          <w:lang w:eastAsia="zh-CN"/>
        </w:rPr>
        <w:t>〔</w:t>
      </w:r>
      <w:r>
        <w:rPr>
          <w:rFonts w:hAnsi="Times New Roman" w:eastAsia="宋体"/>
          <w:szCs w:val="22"/>
          <w:lang w:eastAsia="zh-CN"/>
        </w:rPr>
        <w:t>2020</w:t>
      </w:r>
      <w:r>
        <w:rPr>
          <w:rFonts w:hint="eastAsia" w:hAnsi="Times New Roman" w:eastAsia="宋体"/>
          <w:szCs w:val="22"/>
          <w:lang w:eastAsia="zh-CN"/>
        </w:rPr>
        <w:t>〕</w:t>
      </w:r>
      <w:r>
        <w:rPr>
          <w:rFonts w:hAnsi="Times New Roman" w:eastAsia="宋体"/>
          <w:szCs w:val="22"/>
          <w:lang w:eastAsia="zh-CN"/>
        </w:rPr>
        <w:t>124号）</w:t>
      </w:r>
      <w:r>
        <w:rPr>
          <w:rFonts w:hAnsi="Times New Roman" w:eastAsia="宋体"/>
          <w:lang w:eastAsia="zh-CN"/>
        </w:rPr>
        <w:t>，本项目涉及的集中式饮用水水源保护区为“宣汉县天生镇王一庙（村级）集中式饮用水水源地（地下水型）”，取水点位于天生镇塔坝村一组，取水口坐标为E107°43′15.917″，N31°02′0.687″。</w:t>
      </w:r>
      <w:r>
        <w:rPr>
          <w:rFonts w:hint="eastAsia" w:hAnsi="Times New Roman" w:eastAsia="宋体"/>
          <w:szCs w:val="22"/>
          <w:lang w:eastAsia="zh-CN"/>
        </w:rPr>
        <w:t>设计供水规模120t/d，服务樊天生镇洞宫社区。一级保护区范围：以地下水取水点为中心，半径30米范围内，但海拔不低于373.0m的区域；取水口至东侧明月江上游1000米（公路桥处），多年平均水位对应的高程线下的水域范围；与明月江一级保护区水域长度一致、水域边界两岸纵深50米、但左右两岸均不超过七里场镇防洪堤堤顶的全部陆域范围。二级保护区范围：除一级保护区外，以取水点为中心，300米范围内，但不低于海拔373.0m的区域。</w:t>
      </w:r>
      <w:r>
        <w:rPr>
          <w:rFonts w:hAnsi="Times New Roman" w:eastAsia="宋体"/>
          <w:lang w:eastAsia="zh-CN"/>
        </w:rPr>
        <w:t>本项目建设区域位于取水点上游1.0km，</w:t>
      </w:r>
      <w:bookmarkStart w:id="54" w:name="_Hlk166574282"/>
      <w:r>
        <w:rPr>
          <w:rFonts w:hint="eastAsia" w:hAnsi="Times New Roman" w:eastAsia="宋体"/>
          <w:lang w:eastAsia="zh-CN"/>
        </w:rPr>
        <w:t>七里峡煤矿主井工业广场位于</w:t>
      </w:r>
      <w:r>
        <w:rPr>
          <w:rFonts w:hAnsi="Times New Roman" w:eastAsia="宋体"/>
          <w:lang w:eastAsia="zh-CN"/>
        </w:rPr>
        <w:t>王一庙（村级）集中式饮用水水源地</w:t>
      </w:r>
      <w:r>
        <w:rPr>
          <w:rFonts w:hint="eastAsia" w:hAnsi="Times New Roman" w:eastAsia="宋体"/>
          <w:lang w:eastAsia="zh-CN"/>
        </w:rPr>
        <w:t>一级保护区上游，最近距离约20m，</w:t>
      </w:r>
      <w:r>
        <w:rPr>
          <w:rFonts w:hAnsi="Times New Roman" w:eastAsia="宋体"/>
          <w:lang w:eastAsia="zh-CN"/>
        </w:rPr>
        <w:t>不在宣汉县天生镇王一庙（村级）集中式饮用水水源地的一级、二级保护区范围。</w:t>
      </w:r>
      <w:bookmarkStart w:id="55" w:name="_Hlk166574403"/>
      <w:r>
        <w:rPr>
          <w:rFonts w:hint="eastAsia" w:hAnsi="Times New Roman" w:eastAsia="宋体"/>
          <w:lang w:eastAsia="zh-CN"/>
        </w:rPr>
        <w:t>矿区范围距离饮用水源地最近距离约2.5km。</w:t>
      </w:r>
    </w:p>
    <w:bookmarkEnd w:id="54"/>
    <w:bookmarkEnd w:id="55"/>
    <w:p>
      <w:pPr>
        <w:spacing w:line="360" w:lineRule="auto"/>
        <w:ind w:firstLine="420" w:firstLineChars="175"/>
        <w:rPr>
          <w:rFonts w:hAnsi="Times New Roman" w:eastAsia="宋体"/>
          <w:szCs w:val="22"/>
          <w:lang w:eastAsia="zh-CN"/>
        </w:rPr>
      </w:pPr>
      <w:r>
        <w:rPr>
          <w:rFonts w:hAnsi="Times New Roman" w:eastAsia="宋体"/>
          <w:szCs w:val="22"/>
          <w:lang w:eastAsia="zh-CN"/>
        </w:rPr>
        <w:t>项目与集中式生活饮用水源保护区的位置关系见</w:t>
      </w:r>
      <w:r>
        <w:rPr>
          <w:rFonts w:hint="eastAsia" w:hAnsi="Times New Roman" w:eastAsia="宋体"/>
          <w:szCs w:val="22"/>
          <w:lang w:eastAsia="zh-CN"/>
        </w:rPr>
        <w:t>下</w:t>
      </w:r>
      <w:r>
        <w:rPr>
          <w:rFonts w:hAnsi="Times New Roman" w:eastAsia="宋体"/>
          <w:szCs w:val="22"/>
          <w:lang w:eastAsia="zh-CN"/>
        </w:rPr>
        <w:t xml:space="preserve">图。 </w:t>
      </w:r>
    </w:p>
    <w:p>
      <w:pPr>
        <w:pStyle w:val="2"/>
        <w:ind w:left="0" w:leftChars="0" w:firstLine="0" w:firstLineChars="0"/>
        <w:rPr>
          <w:rFonts w:eastAsiaTheme="minorEastAsia"/>
          <w:lang w:eastAsia="zh-CN"/>
        </w:rPr>
      </w:pPr>
      <w:r>
        <w:drawing>
          <wp:inline distT="0" distB="0" distL="0" distR="0">
            <wp:extent cx="5796280" cy="4017010"/>
            <wp:effectExtent l="0" t="0" r="0" b="2540"/>
            <wp:docPr id="10953784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378437" name="图片 1"/>
                    <pic:cNvPicPr>
                      <a:picLocks noChangeAspect="1"/>
                    </pic:cNvPicPr>
                  </pic:nvPicPr>
                  <pic:blipFill>
                    <a:blip r:embed="rId41"/>
                    <a:stretch>
                      <a:fillRect/>
                    </a:stretch>
                  </pic:blipFill>
                  <pic:spPr>
                    <a:xfrm>
                      <a:off x="0" y="0"/>
                      <a:ext cx="5796280" cy="4017010"/>
                    </a:xfrm>
                    <a:prstGeom prst="rect">
                      <a:avLst/>
                    </a:prstGeom>
                  </pic:spPr>
                </pic:pic>
              </a:graphicData>
            </a:graphic>
          </wp:inline>
        </w:drawing>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图1.8-</w:t>
      </w:r>
      <w:r>
        <w:rPr>
          <w:rFonts w:hint="eastAsia" w:hAnsi="Times New Roman" w:eastAsia="宋体"/>
          <w:b/>
          <w:bCs/>
          <w:sz w:val="21"/>
          <w:szCs w:val="21"/>
          <w:lang w:eastAsia="zh-CN"/>
        </w:rPr>
        <w:t>5</w:t>
      </w:r>
      <w:r>
        <w:rPr>
          <w:rFonts w:hAnsi="Times New Roman" w:eastAsia="宋体"/>
          <w:b/>
          <w:bCs/>
          <w:sz w:val="21"/>
          <w:szCs w:val="21"/>
          <w:lang w:eastAsia="zh-CN"/>
        </w:rPr>
        <w:t xml:space="preserve"> 本项目与宣汉县天生镇王一庙（村级）集中式饮用水水源地位置关系图</w:t>
      </w:r>
    </w:p>
    <w:p>
      <w:pPr>
        <w:spacing w:line="360" w:lineRule="auto"/>
        <w:ind w:firstLine="482" w:firstLineChars="200"/>
        <w:rPr>
          <w:rFonts w:hAnsi="Times New Roman" w:eastAsia="宋体"/>
          <w:b/>
          <w:bCs/>
          <w:lang w:eastAsia="zh-CN"/>
        </w:rPr>
      </w:pPr>
      <w:r>
        <w:rPr>
          <w:rFonts w:hint="eastAsia" w:hAnsi="Times New Roman" w:eastAsia="宋体"/>
          <w:b/>
          <w:bCs/>
          <w:lang w:eastAsia="zh-CN"/>
        </w:rPr>
        <w:t>（5）</w:t>
      </w:r>
      <w:r>
        <w:rPr>
          <w:rFonts w:hAnsi="Times New Roman" w:eastAsia="宋体"/>
          <w:b/>
          <w:bCs/>
          <w:lang w:eastAsia="zh-CN"/>
        </w:rPr>
        <w:t>居民住宅</w:t>
      </w:r>
    </w:p>
    <w:p>
      <w:pPr>
        <w:spacing w:line="360" w:lineRule="auto"/>
        <w:ind w:firstLine="480" w:firstLineChars="200"/>
        <w:rPr>
          <w:rFonts w:hAnsi="Times New Roman" w:eastAsia="宋体"/>
          <w:highlight w:val="yellow"/>
          <w:lang w:eastAsia="zh-CN"/>
        </w:rPr>
      </w:pPr>
      <w:r>
        <w:rPr>
          <w:rFonts w:hAnsi="Times New Roman" w:eastAsia="宋体"/>
          <w:lang w:eastAsia="zh-CN"/>
        </w:rPr>
        <w:t>项目井田范围内无居民聚居区，只有少量散居农户，分布在矿区西南部、中部，根据现场调查及卫星图比对，矿区范围内共有农户13户。</w:t>
      </w:r>
    </w:p>
    <w:p>
      <w:pPr>
        <w:spacing w:line="360" w:lineRule="auto"/>
        <w:ind w:firstLine="482" w:firstLineChars="200"/>
        <w:rPr>
          <w:rFonts w:hAnsi="Times New Roman" w:eastAsia="宋体"/>
          <w:b/>
          <w:bCs/>
          <w:lang w:eastAsia="zh-CN"/>
        </w:rPr>
      </w:pPr>
      <w:r>
        <w:rPr>
          <w:rFonts w:hint="eastAsia" w:hAnsi="Times New Roman" w:eastAsia="宋体"/>
          <w:b/>
          <w:bCs/>
          <w:lang w:eastAsia="zh-CN"/>
        </w:rPr>
        <w:t>3</w:t>
      </w:r>
      <w:r>
        <w:rPr>
          <w:rFonts w:hAnsi="Times New Roman" w:eastAsia="宋体"/>
          <w:b/>
          <w:bCs/>
          <w:lang w:eastAsia="zh-CN"/>
        </w:rPr>
        <w:t>、主要地面设施外环境关系</w:t>
      </w:r>
    </w:p>
    <w:p>
      <w:pPr>
        <w:spacing w:line="360" w:lineRule="auto"/>
        <w:ind w:firstLine="480" w:firstLineChars="200"/>
        <w:rPr>
          <w:rFonts w:hAnsi="Times New Roman" w:eastAsia="宋体"/>
          <w:lang w:eastAsia="zh-CN"/>
        </w:rPr>
      </w:pPr>
      <w:r>
        <w:rPr>
          <w:rFonts w:hAnsi="Times New Roman" w:eastAsia="宋体"/>
          <w:lang w:eastAsia="zh-CN"/>
        </w:rPr>
        <w:t>（1）</w:t>
      </w:r>
      <w:r>
        <w:rPr>
          <w:rFonts w:hint="eastAsia" w:hAnsi="Times New Roman" w:eastAsia="宋体"/>
          <w:lang w:eastAsia="zh-CN"/>
        </w:rPr>
        <w:t>主井</w:t>
      </w:r>
      <w:r>
        <w:rPr>
          <w:rFonts w:hAnsi="Times New Roman" w:eastAsia="宋体"/>
          <w:lang w:eastAsia="zh-CN"/>
        </w:rPr>
        <w:t>工业广场</w:t>
      </w:r>
    </w:p>
    <w:p>
      <w:pPr>
        <w:spacing w:line="360" w:lineRule="auto"/>
        <w:ind w:firstLine="480" w:firstLineChars="200"/>
        <w:rPr>
          <w:rFonts w:hAnsi="Times New Roman" w:eastAsia="宋体"/>
          <w:lang w:eastAsia="zh-CN"/>
        </w:rPr>
      </w:pPr>
      <w:r>
        <w:rPr>
          <w:rFonts w:hAnsi="Times New Roman" w:eastAsia="宋体"/>
          <w:lang w:eastAsia="zh-CN"/>
        </w:rPr>
        <w:t>项目工业广场利用现有工业广场，不新增占地。</w:t>
      </w:r>
    </w:p>
    <w:p>
      <w:pPr>
        <w:spacing w:line="360" w:lineRule="auto"/>
        <w:ind w:firstLine="480" w:firstLineChars="200"/>
        <w:rPr>
          <w:rFonts w:hAnsi="Times New Roman" w:eastAsia="宋体"/>
          <w:lang w:eastAsia="zh-CN"/>
        </w:rPr>
      </w:pPr>
      <w:r>
        <w:rPr>
          <w:rFonts w:hAnsi="Times New Roman" w:eastAsia="宋体"/>
          <w:lang w:eastAsia="zh-CN"/>
        </w:rPr>
        <w:t>工业广场南侧为林地分布；东侧紧邻新宁河；西北侧有9户当地居民，最近距离工业广场位置为8m；东北侧有5户当地居民，最近距离工业广场位置为106m。</w:t>
      </w:r>
    </w:p>
    <w:p>
      <w:pPr>
        <w:spacing w:line="360" w:lineRule="auto"/>
        <w:ind w:firstLine="480" w:firstLineChars="200"/>
        <w:rPr>
          <w:rFonts w:hAnsi="Times New Roman" w:eastAsia="宋体"/>
          <w:lang w:eastAsia="zh-CN"/>
        </w:rPr>
      </w:pPr>
      <w:r>
        <w:rPr>
          <w:rFonts w:hAnsi="Times New Roman" w:eastAsia="宋体"/>
          <w:lang w:eastAsia="zh-CN"/>
        </w:rPr>
        <w:t>（2）</w:t>
      </w:r>
      <w:r>
        <w:rPr>
          <w:rFonts w:hint="eastAsia" w:hAnsi="Times New Roman" w:eastAsia="宋体"/>
          <w:lang w:eastAsia="zh-CN"/>
        </w:rPr>
        <w:t>风井</w:t>
      </w:r>
      <w:r>
        <w:rPr>
          <w:rFonts w:hAnsi="Times New Roman" w:eastAsia="宋体"/>
          <w:lang w:eastAsia="zh-CN"/>
        </w:rPr>
        <w:t>场地</w:t>
      </w:r>
    </w:p>
    <w:p>
      <w:pPr>
        <w:spacing w:line="360" w:lineRule="auto"/>
        <w:ind w:firstLine="480" w:firstLineChars="200"/>
        <w:rPr>
          <w:rFonts w:hAnsi="Times New Roman" w:eastAsia="宋体"/>
          <w:szCs w:val="22"/>
          <w:lang w:eastAsia="zh-CN"/>
        </w:rPr>
      </w:pPr>
      <w:r>
        <w:rPr>
          <w:rFonts w:hAnsi="Times New Roman" w:eastAsia="宋体"/>
          <w:szCs w:val="22"/>
          <w:lang w:eastAsia="zh-CN"/>
        </w:rPr>
        <w:t>+572m风井工业场地位于+572.00m回风平硐（X=3452971.670，Y=36476162.960，Z=+572.00m）井口东侧，布置有风机、变电所、值班室、瓦斯抽放泵站等建筑。+548.0m风井工业场地位于+548.0m回风平硐（X=3451891.670，Y=36475603.960，Z=+548.0m）北侧，该场地布置有风机房、变电所、值班室等建筑。</w:t>
      </w:r>
    </w:p>
    <w:p>
      <w:pPr>
        <w:spacing w:line="360" w:lineRule="auto"/>
        <w:ind w:firstLine="480" w:firstLineChars="200"/>
        <w:rPr>
          <w:rFonts w:hAnsi="Times New Roman" w:eastAsia="宋体"/>
          <w:szCs w:val="22"/>
          <w:lang w:eastAsia="zh-CN"/>
        </w:rPr>
      </w:pPr>
      <w:r>
        <w:rPr>
          <w:rFonts w:hAnsi="Times New Roman" w:eastAsia="宋体"/>
          <w:szCs w:val="22"/>
          <w:lang w:eastAsia="zh-CN"/>
        </w:rPr>
        <w:t>风井场地周边以山林为主，200m范围内无居民居住。</w:t>
      </w:r>
    </w:p>
    <w:p>
      <w:pPr>
        <w:spacing w:line="360" w:lineRule="auto"/>
        <w:ind w:firstLine="480" w:firstLineChars="200"/>
        <w:rPr>
          <w:rFonts w:hAnsi="Times New Roman" w:eastAsia="宋体"/>
          <w:lang w:eastAsia="zh-CN"/>
        </w:rPr>
      </w:pPr>
      <w:r>
        <w:rPr>
          <w:rFonts w:hAnsi="Times New Roman" w:eastAsia="宋体"/>
          <w:lang w:eastAsia="zh-CN"/>
        </w:rPr>
        <w:t>（3）炸药库</w:t>
      </w:r>
    </w:p>
    <w:p>
      <w:pPr>
        <w:spacing w:line="360" w:lineRule="auto"/>
        <w:ind w:firstLine="480" w:firstLineChars="200"/>
        <w:rPr>
          <w:rFonts w:hAnsi="Times New Roman" w:eastAsia="宋体"/>
          <w:szCs w:val="22"/>
          <w:lang w:eastAsia="zh-CN"/>
        </w:rPr>
      </w:pPr>
      <w:r>
        <w:rPr>
          <w:rFonts w:hAnsi="Times New Roman" w:eastAsia="宋体"/>
          <w:szCs w:val="22"/>
          <w:lang w:eastAsia="zh-CN"/>
        </w:rPr>
        <w:t>炸药库位于主井工业场地外西南侧的凉风垭口附近，炸药库150m范围内无居民分布。</w:t>
      </w:r>
    </w:p>
    <w:p>
      <w:pPr>
        <w:pStyle w:val="6"/>
        <w:rPr>
          <w:lang w:eastAsia="zh-CN"/>
        </w:rPr>
      </w:pPr>
      <w:bookmarkStart w:id="56" w:name="_Toc167095121"/>
      <w:bookmarkStart w:id="57" w:name="_Toc163812498"/>
      <w:r>
        <w:rPr>
          <w:lang w:eastAsia="zh-CN"/>
        </w:rPr>
        <w:t>1.8.</w:t>
      </w:r>
      <w:r>
        <w:rPr>
          <w:rFonts w:hint="eastAsia"/>
          <w:lang w:eastAsia="zh-CN"/>
        </w:rPr>
        <w:t>2</w:t>
      </w:r>
      <w:r>
        <w:rPr>
          <w:lang w:eastAsia="zh-CN"/>
        </w:rPr>
        <w:t xml:space="preserve"> 环境保护目标</w:t>
      </w:r>
      <w:bookmarkEnd w:id="56"/>
      <w:bookmarkEnd w:id="57"/>
    </w:p>
    <w:p>
      <w:pPr>
        <w:spacing w:line="360" w:lineRule="auto"/>
        <w:ind w:firstLine="480" w:firstLineChars="200"/>
        <w:rPr>
          <w:rFonts w:hAnsi="Times New Roman" w:eastAsia="宋体"/>
          <w:lang w:eastAsia="zh-CN"/>
        </w:rPr>
      </w:pPr>
      <w:r>
        <w:rPr>
          <w:rFonts w:hAnsi="Times New Roman" w:eastAsia="宋体"/>
          <w:lang w:eastAsia="zh-CN"/>
        </w:rPr>
        <w:t>项目环境保护目标主要有：工业场地及其附近居民点的环境空气、声与水环境；矿区内可能受地表沉陷变形影响的基础设施、生态环境等。评价范围内主要环境保护目标基本情况与项目的关系见表1.8-</w:t>
      </w:r>
      <w:r>
        <w:rPr>
          <w:rFonts w:hint="eastAsia" w:hAnsi="Times New Roman" w:eastAsia="宋体"/>
          <w:lang w:eastAsia="zh-CN"/>
        </w:rPr>
        <w:t>1</w:t>
      </w:r>
      <w:r>
        <w:rPr>
          <w:rFonts w:hAnsi="Times New Roman" w:eastAsia="宋体"/>
          <w:lang w:eastAsia="zh-CN"/>
        </w:rPr>
        <w:t>、表1.8-</w:t>
      </w:r>
      <w:r>
        <w:rPr>
          <w:rFonts w:hint="eastAsia" w:hAnsi="Times New Roman" w:eastAsia="宋体"/>
          <w:lang w:eastAsia="zh-CN"/>
        </w:rPr>
        <w:t>2</w:t>
      </w:r>
      <w:r>
        <w:rPr>
          <w:rFonts w:hAnsi="Times New Roman" w:eastAsia="宋体"/>
          <w:lang w:eastAsia="zh-CN"/>
        </w:rPr>
        <w:t>，及附图。</w:t>
      </w:r>
    </w:p>
    <w:p>
      <w:pPr>
        <w:spacing w:line="360" w:lineRule="auto"/>
        <w:jc w:val="center"/>
        <w:rPr>
          <w:rFonts w:hAnsi="Times New Roman" w:eastAsia="宋体"/>
          <w:b/>
          <w:bCs/>
          <w:sz w:val="21"/>
          <w:szCs w:val="21"/>
          <w:highlight w:val="yellow"/>
          <w:lang w:eastAsia="zh-CN"/>
        </w:rPr>
      </w:pPr>
      <w:r>
        <w:rPr>
          <w:rFonts w:hAnsi="Times New Roman" w:eastAsia="宋体"/>
          <w:b/>
          <w:bCs/>
          <w:sz w:val="21"/>
          <w:szCs w:val="21"/>
          <w:lang w:eastAsia="zh-CN"/>
        </w:rPr>
        <w:t>表1.8-</w:t>
      </w:r>
      <w:r>
        <w:rPr>
          <w:rFonts w:hint="eastAsia" w:hAnsi="Times New Roman" w:eastAsia="宋体"/>
          <w:b/>
          <w:bCs/>
          <w:sz w:val="21"/>
          <w:szCs w:val="21"/>
          <w:lang w:eastAsia="zh-CN"/>
        </w:rPr>
        <w:t>1</w:t>
      </w:r>
      <w:r>
        <w:rPr>
          <w:rFonts w:hAnsi="Times New Roman" w:eastAsia="宋体"/>
          <w:b/>
          <w:bCs/>
          <w:sz w:val="21"/>
          <w:szCs w:val="21"/>
          <w:lang w:eastAsia="zh-CN"/>
        </w:rPr>
        <w:t xml:space="preserve"> 大气环境保护目标一览表</w:t>
      </w:r>
    </w:p>
    <w:tbl>
      <w:tblPr>
        <w:tblStyle w:val="33"/>
        <w:tblW w:w="93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0"/>
        <w:gridCol w:w="1057"/>
        <w:gridCol w:w="1089"/>
        <w:gridCol w:w="1575"/>
        <w:gridCol w:w="1316"/>
        <w:gridCol w:w="1130"/>
        <w:gridCol w:w="1499"/>
        <w:gridCol w:w="8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770" w:type="dxa"/>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环境要素</w:t>
            </w:r>
          </w:p>
        </w:tc>
        <w:tc>
          <w:tcPr>
            <w:tcW w:w="2146" w:type="dxa"/>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坐标</w:t>
            </w:r>
          </w:p>
        </w:tc>
        <w:tc>
          <w:tcPr>
            <w:tcW w:w="1575" w:type="dxa"/>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保护对象</w:t>
            </w:r>
          </w:p>
        </w:tc>
        <w:tc>
          <w:tcPr>
            <w:tcW w:w="1316" w:type="dxa"/>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性质</w:t>
            </w:r>
          </w:p>
        </w:tc>
        <w:tc>
          <w:tcPr>
            <w:tcW w:w="1130" w:type="dxa"/>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概况</w:t>
            </w:r>
          </w:p>
        </w:tc>
        <w:tc>
          <w:tcPr>
            <w:tcW w:w="1499" w:type="dxa"/>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相对方位、距离</w:t>
            </w:r>
          </w:p>
        </w:tc>
        <w:tc>
          <w:tcPr>
            <w:tcW w:w="864" w:type="dxa"/>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保护级别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770"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05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经度</w:t>
            </w:r>
          </w:p>
        </w:tc>
        <w:tc>
          <w:tcPr>
            <w:tcW w:w="1089"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纬度</w:t>
            </w:r>
          </w:p>
        </w:tc>
        <w:tc>
          <w:tcPr>
            <w:tcW w:w="1575"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316"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130"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499"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864"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0" w:type="dxa"/>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大气环境</w:t>
            </w:r>
          </w:p>
        </w:tc>
        <w:tc>
          <w:tcPr>
            <w:tcW w:w="105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107.722268627</w:t>
            </w:r>
          </w:p>
        </w:tc>
        <w:tc>
          <w:tcPr>
            <w:tcW w:w="1089"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31.194953682</w:t>
            </w:r>
          </w:p>
        </w:tc>
        <w:tc>
          <w:tcPr>
            <w:tcW w:w="1575"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塔坝村农户</w:t>
            </w:r>
          </w:p>
        </w:tc>
        <w:tc>
          <w:tcPr>
            <w:tcW w:w="1316"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村庄</w:t>
            </w:r>
          </w:p>
        </w:tc>
        <w:tc>
          <w:tcPr>
            <w:tcW w:w="1130"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约600人</w:t>
            </w:r>
          </w:p>
        </w:tc>
        <w:tc>
          <w:tcPr>
            <w:tcW w:w="1499"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工业广场西侧约1130m</w:t>
            </w:r>
          </w:p>
        </w:tc>
        <w:tc>
          <w:tcPr>
            <w:tcW w:w="864" w:type="dxa"/>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环境空气达到《环境空气质量标准》</w:t>
            </w:r>
          </w:p>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（GB3095-2012）中的二级标准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0"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05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107.725215606</w:t>
            </w:r>
          </w:p>
        </w:tc>
        <w:tc>
          <w:tcPr>
            <w:tcW w:w="1089"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31.203642522</w:t>
            </w:r>
          </w:p>
        </w:tc>
        <w:tc>
          <w:tcPr>
            <w:tcW w:w="1575"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七里镇居民</w:t>
            </w:r>
          </w:p>
        </w:tc>
        <w:tc>
          <w:tcPr>
            <w:tcW w:w="1316"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场镇</w:t>
            </w:r>
          </w:p>
        </w:tc>
        <w:tc>
          <w:tcPr>
            <w:tcW w:w="1130"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约1500人</w:t>
            </w:r>
          </w:p>
        </w:tc>
        <w:tc>
          <w:tcPr>
            <w:tcW w:w="1499"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工业广场西北侧约261m</w:t>
            </w:r>
          </w:p>
        </w:tc>
        <w:tc>
          <w:tcPr>
            <w:tcW w:w="864"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0"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05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107.711311034</w:t>
            </w:r>
          </w:p>
        </w:tc>
        <w:tc>
          <w:tcPr>
            <w:tcW w:w="1089"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31.207633649</w:t>
            </w:r>
          </w:p>
        </w:tc>
        <w:tc>
          <w:tcPr>
            <w:tcW w:w="1575"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val="zh-CN" w:eastAsia="zh-CN"/>
              </w:rPr>
            </w:pPr>
            <w:r>
              <w:rPr>
                <w:rFonts w:hint="eastAsia" w:hAnsi="Times New Roman" w:eastAsia="宋体"/>
                <w:kern w:val="2"/>
                <w:sz w:val="21"/>
                <w:szCs w:val="21"/>
                <w:lang w:eastAsia="zh-CN"/>
              </w:rPr>
              <w:t>断桥村农户</w:t>
            </w:r>
          </w:p>
        </w:tc>
        <w:tc>
          <w:tcPr>
            <w:tcW w:w="1316"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村庄</w:t>
            </w:r>
          </w:p>
        </w:tc>
        <w:tc>
          <w:tcPr>
            <w:tcW w:w="1130"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约500人</w:t>
            </w:r>
          </w:p>
        </w:tc>
        <w:tc>
          <w:tcPr>
            <w:tcW w:w="1499"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工业广场西北侧约2120m</w:t>
            </w:r>
          </w:p>
        </w:tc>
        <w:tc>
          <w:tcPr>
            <w:tcW w:w="864"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0"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05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107.723625460</w:t>
            </w:r>
          </w:p>
        </w:tc>
        <w:tc>
          <w:tcPr>
            <w:tcW w:w="1089"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31.225939827</w:t>
            </w:r>
          </w:p>
        </w:tc>
        <w:tc>
          <w:tcPr>
            <w:tcW w:w="1575"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新芽村农户</w:t>
            </w:r>
          </w:p>
        </w:tc>
        <w:tc>
          <w:tcPr>
            <w:tcW w:w="1316"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村庄</w:t>
            </w:r>
          </w:p>
        </w:tc>
        <w:tc>
          <w:tcPr>
            <w:tcW w:w="1130"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约900人</w:t>
            </w:r>
          </w:p>
        </w:tc>
        <w:tc>
          <w:tcPr>
            <w:tcW w:w="1499"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工业广场西北侧约3130m</w:t>
            </w:r>
          </w:p>
        </w:tc>
        <w:tc>
          <w:tcPr>
            <w:tcW w:w="864"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0"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05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107.747743884</w:t>
            </w:r>
          </w:p>
        </w:tc>
        <w:tc>
          <w:tcPr>
            <w:tcW w:w="1089"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31.235638695</w:t>
            </w:r>
          </w:p>
        </w:tc>
        <w:tc>
          <w:tcPr>
            <w:tcW w:w="1575"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大路沟村农户</w:t>
            </w:r>
          </w:p>
        </w:tc>
        <w:tc>
          <w:tcPr>
            <w:tcW w:w="1316"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村庄</w:t>
            </w:r>
          </w:p>
        </w:tc>
        <w:tc>
          <w:tcPr>
            <w:tcW w:w="1130"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约800人</w:t>
            </w:r>
          </w:p>
        </w:tc>
        <w:tc>
          <w:tcPr>
            <w:tcW w:w="1499"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工业广场北侧约4320m</w:t>
            </w:r>
          </w:p>
        </w:tc>
        <w:tc>
          <w:tcPr>
            <w:tcW w:w="864"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0"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05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107.688971320</w:t>
            </w:r>
          </w:p>
        </w:tc>
        <w:tc>
          <w:tcPr>
            <w:tcW w:w="1089"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31.200791435</w:t>
            </w:r>
          </w:p>
        </w:tc>
        <w:tc>
          <w:tcPr>
            <w:tcW w:w="1575"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染沟村农户</w:t>
            </w:r>
          </w:p>
        </w:tc>
        <w:tc>
          <w:tcPr>
            <w:tcW w:w="1316"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村庄</w:t>
            </w:r>
          </w:p>
        </w:tc>
        <w:tc>
          <w:tcPr>
            <w:tcW w:w="1130"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约400人</w:t>
            </w:r>
          </w:p>
        </w:tc>
        <w:tc>
          <w:tcPr>
            <w:tcW w:w="1499"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工业广场西侧约4090m</w:t>
            </w:r>
          </w:p>
        </w:tc>
        <w:tc>
          <w:tcPr>
            <w:tcW w:w="864"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0"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05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107.690130034</w:t>
            </w:r>
          </w:p>
        </w:tc>
        <w:tc>
          <w:tcPr>
            <w:tcW w:w="1089"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31.188732224</w:t>
            </w:r>
          </w:p>
        </w:tc>
        <w:tc>
          <w:tcPr>
            <w:tcW w:w="1575"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民主村农户</w:t>
            </w:r>
          </w:p>
        </w:tc>
        <w:tc>
          <w:tcPr>
            <w:tcW w:w="1316"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村庄</w:t>
            </w:r>
          </w:p>
        </w:tc>
        <w:tc>
          <w:tcPr>
            <w:tcW w:w="1130"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约500人</w:t>
            </w:r>
          </w:p>
        </w:tc>
        <w:tc>
          <w:tcPr>
            <w:tcW w:w="1499"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工业广场西侧约4200m</w:t>
            </w:r>
          </w:p>
        </w:tc>
        <w:tc>
          <w:tcPr>
            <w:tcW w:w="864"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0"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05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107.701288024</w:t>
            </w:r>
          </w:p>
        </w:tc>
        <w:tc>
          <w:tcPr>
            <w:tcW w:w="1089"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31.178175049</w:t>
            </w:r>
          </w:p>
        </w:tc>
        <w:tc>
          <w:tcPr>
            <w:tcW w:w="1575"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乱石村农户</w:t>
            </w:r>
          </w:p>
        </w:tc>
        <w:tc>
          <w:tcPr>
            <w:tcW w:w="1316"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村庄</w:t>
            </w:r>
          </w:p>
        </w:tc>
        <w:tc>
          <w:tcPr>
            <w:tcW w:w="1130"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约400人</w:t>
            </w:r>
          </w:p>
        </w:tc>
        <w:tc>
          <w:tcPr>
            <w:tcW w:w="1499"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工业广场西南侧约3610m</w:t>
            </w:r>
          </w:p>
        </w:tc>
        <w:tc>
          <w:tcPr>
            <w:tcW w:w="864"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0"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05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107.760039130</w:t>
            </w:r>
          </w:p>
        </w:tc>
        <w:tc>
          <w:tcPr>
            <w:tcW w:w="1089"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31.183196144</w:t>
            </w:r>
          </w:p>
        </w:tc>
        <w:tc>
          <w:tcPr>
            <w:tcW w:w="1575"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陈家沟村农户</w:t>
            </w:r>
          </w:p>
        </w:tc>
        <w:tc>
          <w:tcPr>
            <w:tcW w:w="1316"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村庄</w:t>
            </w:r>
          </w:p>
        </w:tc>
        <w:tc>
          <w:tcPr>
            <w:tcW w:w="1130"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约600人</w:t>
            </w:r>
          </w:p>
        </w:tc>
        <w:tc>
          <w:tcPr>
            <w:tcW w:w="1499"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工业广场东侧约3110m</w:t>
            </w:r>
          </w:p>
        </w:tc>
        <w:tc>
          <w:tcPr>
            <w:tcW w:w="864"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0"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05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107.770188609</w:t>
            </w:r>
          </w:p>
        </w:tc>
        <w:tc>
          <w:tcPr>
            <w:tcW w:w="1089"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31.175342636</w:t>
            </w:r>
          </w:p>
        </w:tc>
        <w:tc>
          <w:tcPr>
            <w:tcW w:w="1575"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回龙镇居民</w:t>
            </w:r>
          </w:p>
        </w:tc>
        <w:tc>
          <w:tcPr>
            <w:tcW w:w="1316"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场镇</w:t>
            </w:r>
          </w:p>
        </w:tc>
        <w:tc>
          <w:tcPr>
            <w:tcW w:w="1130"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约2000人</w:t>
            </w:r>
          </w:p>
        </w:tc>
        <w:tc>
          <w:tcPr>
            <w:tcW w:w="1499"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工业广场东侧约4300m</w:t>
            </w:r>
          </w:p>
        </w:tc>
        <w:tc>
          <w:tcPr>
            <w:tcW w:w="864"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0"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05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107.771905223</w:t>
            </w:r>
          </w:p>
        </w:tc>
        <w:tc>
          <w:tcPr>
            <w:tcW w:w="1089"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31.159549789</w:t>
            </w:r>
          </w:p>
        </w:tc>
        <w:tc>
          <w:tcPr>
            <w:tcW w:w="1575"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保和寨村农户</w:t>
            </w:r>
          </w:p>
        </w:tc>
        <w:tc>
          <w:tcPr>
            <w:tcW w:w="1316"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村庄</w:t>
            </w:r>
          </w:p>
        </w:tc>
        <w:tc>
          <w:tcPr>
            <w:tcW w:w="1130"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约500人</w:t>
            </w:r>
          </w:p>
        </w:tc>
        <w:tc>
          <w:tcPr>
            <w:tcW w:w="1499"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工业广场东南侧约2900m</w:t>
            </w:r>
          </w:p>
        </w:tc>
        <w:tc>
          <w:tcPr>
            <w:tcW w:w="864"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0"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05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107.751048365</w:t>
            </w:r>
          </w:p>
        </w:tc>
        <w:tc>
          <w:tcPr>
            <w:tcW w:w="1089"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31.176372604</w:t>
            </w:r>
          </w:p>
        </w:tc>
        <w:tc>
          <w:tcPr>
            <w:tcW w:w="1575"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乐园村农户</w:t>
            </w:r>
          </w:p>
        </w:tc>
        <w:tc>
          <w:tcPr>
            <w:tcW w:w="1316"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村庄</w:t>
            </w:r>
          </w:p>
        </w:tc>
        <w:tc>
          <w:tcPr>
            <w:tcW w:w="1130"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约500人</w:t>
            </w:r>
          </w:p>
        </w:tc>
        <w:tc>
          <w:tcPr>
            <w:tcW w:w="1499"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工业广场东南侧约4460m</w:t>
            </w:r>
          </w:p>
        </w:tc>
        <w:tc>
          <w:tcPr>
            <w:tcW w:w="864"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0"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05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107.732044384</w:t>
            </w:r>
          </w:p>
        </w:tc>
        <w:tc>
          <w:tcPr>
            <w:tcW w:w="1089"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31.200636080</w:t>
            </w:r>
          </w:p>
        </w:tc>
        <w:tc>
          <w:tcPr>
            <w:tcW w:w="1575"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散户</w:t>
            </w:r>
          </w:p>
        </w:tc>
        <w:tc>
          <w:tcPr>
            <w:tcW w:w="1316"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val="zh-CN" w:eastAsia="zh-CN"/>
              </w:rPr>
              <w:t>农户住宅</w:t>
            </w:r>
          </w:p>
        </w:tc>
        <w:tc>
          <w:tcPr>
            <w:tcW w:w="1130"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3户散户约10人</w:t>
            </w:r>
          </w:p>
        </w:tc>
        <w:tc>
          <w:tcPr>
            <w:tcW w:w="1499"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工业广场西北侧约8m</w:t>
            </w:r>
          </w:p>
        </w:tc>
        <w:tc>
          <w:tcPr>
            <w:tcW w:w="864"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0"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05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107.730341712</w:t>
            </w:r>
          </w:p>
        </w:tc>
        <w:tc>
          <w:tcPr>
            <w:tcW w:w="1089"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31.200520579</w:t>
            </w:r>
          </w:p>
        </w:tc>
        <w:tc>
          <w:tcPr>
            <w:tcW w:w="1575"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上院子农户</w:t>
            </w:r>
          </w:p>
        </w:tc>
        <w:tc>
          <w:tcPr>
            <w:tcW w:w="1316"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val="zh-CN" w:eastAsia="zh-CN"/>
              </w:rPr>
            </w:pPr>
            <w:r>
              <w:rPr>
                <w:rFonts w:hint="eastAsia" w:hAnsi="Times New Roman" w:eastAsia="宋体"/>
                <w:kern w:val="2"/>
                <w:sz w:val="21"/>
                <w:szCs w:val="21"/>
                <w:lang w:val="zh-CN" w:eastAsia="zh-CN"/>
              </w:rPr>
              <w:t>农户住宅</w:t>
            </w:r>
          </w:p>
        </w:tc>
        <w:tc>
          <w:tcPr>
            <w:tcW w:w="1130"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9户散户约23人</w:t>
            </w:r>
          </w:p>
        </w:tc>
        <w:tc>
          <w:tcPr>
            <w:tcW w:w="1499"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工业广场西北侧约106m</w:t>
            </w:r>
          </w:p>
        </w:tc>
        <w:tc>
          <w:tcPr>
            <w:tcW w:w="864"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0"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05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107.726994315</w:t>
            </w:r>
          </w:p>
        </w:tc>
        <w:tc>
          <w:tcPr>
            <w:tcW w:w="1089"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31.200185256</w:t>
            </w:r>
          </w:p>
        </w:tc>
        <w:tc>
          <w:tcPr>
            <w:tcW w:w="1575"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val="zh-CN" w:eastAsia="zh-CN"/>
              </w:rPr>
            </w:pPr>
            <w:r>
              <w:rPr>
                <w:rFonts w:hint="eastAsia" w:hAnsi="Times New Roman" w:eastAsia="宋体"/>
                <w:kern w:val="2"/>
                <w:sz w:val="21"/>
                <w:szCs w:val="21"/>
                <w:lang w:eastAsia="zh-CN"/>
              </w:rPr>
              <w:t>下院子农户</w:t>
            </w:r>
          </w:p>
        </w:tc>
        <w:tc>
          <w:tcPr>
            <w:tcW w:w="1316"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val="zh-CN" w:eastAsia="zh-CN"/>
              </w:rPr>
              <w:t>农户住宅</w:t>
            </w:r>
          </w:p>
        </w:tc>
        <w:tc>
          <w:tcPr>
            <w:tcW w:w="1130"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8户散户约17人</w:t>
            </w:r>
          </w:p>
        </w:tc>
        <w:tc>
          <w:tcPr>
            <w:tcW w:w="1499"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工业广场西北侧约590m</w:t>
            </w:r>
          </w:p>
        </w:tc>
        <w:tc>
          <w:tcPr>
            <w:tcW w:w="864"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0"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05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107.734815636</w:t>
            </w:r>
          </w:p>
        </w:tc>
        <w:tc>
          <w:tcPr>
            <w:tcW w:w="1089"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31.200496392</w:t>
            </w:r>
          </w:p>
        </w:tc>
        <w:tc>
          <w:tcPr>
            <w:tcW w:w="1575"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val="zh-CN" w:eastAsia="zh-CN"/>
              </w:rPr>
            </w:pPr>
            <w:r>
              <w:rPr>
                <w:rFonts w:hint="eastAsia" w:hAnsi="Times New Roman" w:eastAsia="宋体"/>
                <w:kern w:val="2"/>
                <w:sz w:val="21"/>
                <w:szCs w:val="21"/>
                <w:lang w:eastAsia="zh-CN"/>
              </w:rPr>
              <w:t>散户</w:t>
            </w:r>
          </w:p>
        </w:tc>
        <w:tc>
          <w:tcPr>
            <w:tcW w:w="1316"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val="zh-CN" w:eastAsia="zh-CN"/>
              </w:rPr>
              <w:t>农户住宅</w:t>
            </w:r>
          </w:p>
        </w:tc>
        <w:tc>
          <w:tcPr>
            <w:tcW w:w="1130"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5户散户约12人</w:t>
            </w:r>
          </w:p>
        </w:tc>
        <w:tc>
          <w:tcPr>
            <w:tcW w:w="1499"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工业广场东北侧约80m</w:t>
            </w:r>
          </w:p>
        </w:tc>
        <w:tc>
          <w:tcPr>
            <w:tcW w:w="864"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0"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3721" w:type="dxa"/>
            <w:gridSpan w:val="3"/>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宣汉国家森林公园观音山景区</w:t>
            </w:r>
          </w:p>
        </w:tc>
        <w:tc>
          <w:tcPr>
            <w:tcW w:w="2446" w:type="dxa"/>
            <w:gridSpan w:val="2"/>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森林公园</w:t>
            </w:r>
          </w:p>
        </w:tc>
        <w:tc>
          <w:tcPr>
            <w:tcW w:w="1499"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西侧约75m</w:t>
            </w:r>
          </w:p>
        </w:tc>
        <w:tc>
          <w:tcPr>
            <w:tcW w:w="864"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《环境空气质量标准》</w:t>
            </w:r>
          </w:p>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（GB3095-2012）中的</w:t>
            </w:r>
            <w:r>
              <w:rPr>
                <w:rFonts w:hint="eastAsia" w:hAnsi="Times New Roman" w:eastAsia="宋体"/>
                <w:kern w:val="2"/>
                <w:sz w:val="21"/>
                <w:szCs w:val="21"/>
                <w:lang w:eastAsia="zh-CN"/>
              </w:rPr>
              <w:t>一</w:t>
            </w:r>
            <w:r>
              <w:rPr>
                <w:rFonts w:hint="eastAsia" w:hAnsi="Times New Roman" w:eastAsia="宋体"/>
                <w:kern w:val="2"/>
                <w:sz w:val="21"/>
                <w:szCs w:val="21"/>
              </w:rPr>
              <w:t>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0" w:type="dxa"/>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声环境</w:t>
            </w:r>
          </w:p>
        </w:tc>
        <w:tc>
          <w:tcPr>
            <w:tcW w:w="105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107.731932413</w:t>
            </w:r>
          </w:p>
        </w:tc>
        <w:tc>
          <w:tcPr>
            <w:tcW w:w="1089"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31.200663270</w:t>
            </w:r>
          </w:p>
        </w:tc>
        <w:tc>
          <w:tcPr>
            <w:tcW w:w="1575"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散户</w:t>
            </w:r>
          </w:p>
        </w:tc>
        <w:tc>
          <w:tcPr>
            <w:tcW w:w="1316"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val="zh-CN" w:eastAsia="zh-CN"/>
              </w:rPr>
            </w:pPr>
            <w:r>
              <w:rPr>
                <w:rFonts w:hint="eastAsia" w:hAnsi="Times New Roman" w:eastAsia="宋体"/>
                <w:kern w:val="2"/>
                <w:sz w:val="21"/>
                <w:szCs w:val="21"/>
                <w:lang w:val="zh-CN" w:eastAsia="zh-CN"/>
              </w:rPr>
              <w:t>农户住宅</w:t>
            </w:r>
          </w:p>
        </w:tc>
        <w:tc>
          <w:tcPr>
            <w:tcW w:w="1130"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9户散户约23人</w:t>
            </w:r>
          </w:p>
        </w:tc>
        <w:tc>
          <w:tcPr>
            <w:tcW w:w="1499"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工业广场西北侧约8m</w:t>
            </w:r>
          </w:p>
        </w:tc>
        <w:tc>
          <w:tcPr>
            <w:tcW w:w="864" w:type="dxa"/>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《声环境质量标准》（GB3096－2008）的2 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0"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05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107.734035265</w:t>
            </w:r>
          </w:p>
        </w:tc>
        <w:tc>
          <w:tcPr>
            <w:tcW w:w="1089"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31.200958313</w:t>
            </w:r>
          </w:p>
        </w:tc>
        <w:tc>
          <w:tcPr>
            <w:tcW w:w="1575"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散户</w:t>
            </w:r>
          </w:p>
        </w:tc>
        <w:tc>
          <w:tcPr>
            <w:tcW w:w="1316"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val="zh-CN" w:eastAsia="zh-CN"/>
              </w:rPr>
            </w:pPr>
            <w:r>
              <w:rPr>
                <w:rFonts w:hint="eastAsia" w:hAnsi="Times New Roman" w:eastAsia="宋体"/>
                <w:kern w:val="2"/>
                <w:sz w:val="21"/>
                <w:szCs w:val="21"/>
                <w:lang w:val="zh-CN" w:eastAsia="zh-CN"/>
              </w:rPr>
              <w:t>农户住宅</w:t>
            </w:r>
          </w:p>
        </w:tc>
        <w:tc>
          <w:tcPr>
            <w:tcW w:w="1130"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5户散户约11人</w:t>
            </w:r>
          </w:p>
        </w:tc>
        <w:tc>
          <w:tcPr>
            <w:tcW w:w="1499" w:type="dxa"/>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工业广场东北侧约106m</w:t>
            </w:r>
          </w:p>
        </w:tc>
        <w:tc>
          <w:tcPr>
            <w:tcW w:w="864"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r>
    </w:tbl>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 xml:space="preserve">表1.8- </w:t>
      </w:r>
      <w:r>
        <w:rPr>
          <w:rFonts w:hint="eastAsia" w:hAnsi="Times New Roman" w:eastAsia="宋体"/>
          <w:b/>
          <w:bCs/>
          <w:sz w:val="21"/>
          <w:szCs w:val="21"/>
          <w:lang w:eastAsia="zh-CN"/>
        </w:rPr>
        <w:t>2</w:t>
      </w:r>
      <w:r>
        <w:rPr>
          <w:rFonts w:hAnsi="Times New Roman" w:eastAsia="宋体"/>
          <w:b/>
          <w:bCs/>
          <w:sz w:val="21"/>
          <w:szCs w:val="21"/>
          <w:lang w:eastAsia="zh-CN"/>
        </w:rPr>
        <w:t xml:space="preserve"> 其它要素环境保护目标一览表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8"/>
        <w:gridCol w:w="1923"/>
        <w:gridCol w:w="1422"/>
        <w:gridCol w:w="1811"/>
        <w:gridCol w:w="33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编号</w:t>
            </w:r>
          </w:p>
        </w:tc>
        <w:tc>
          <w:tcPr>
            <w:tcW w:w="10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保护目标</w:t>
            </w:r>
          </w:p>
        </w:tc>
        <w:tc>
          <w:tcPr>
            <w:tcW w:w="76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方位与距离</w:t>
            </w:r>
          </w:p>
        </w:tc>
        <w:tc>
          <w:tcPr>
            <w:tcW w:w="96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涉及环境要素及保护原因</w:t>
            </w:r>
          </w:p>
        </w:tc>
        <w:tc>
          <w:tcPr>
            <w:tcW w:w="177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保护要求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一</w:t>
            </w:r>
          </w:p>
        </w:tc>
        <w:tc>
          <w:tcPr>
            <w:tcW w:w="4530" w:type="pct"/>
            <w:gridSpan w:val="4"/>
            <w:vAlign w:val="center"/>
          </w:tcPr>
          <w:p>
            <w:pPr>
              <w:keepNext w:val="0"/>
              <w:keepLines w:val="0"/>
              <w:suppressLineNumbers w:val="0"/>
              <w:spacing w:before="0" w:beforeAutospacing="0" w:after="0" w:afterAutospacing="0" w:line="240" w:lineRule="exact"/>
              <w:ind w:left="0" w:right="0"/>
              <w:jc w:val="left"/>
              <w:rPr>
                <w:rFonts w:hint="eastAsia" w:hAnsi="Times New Roman" w:eastAsia="宋体"/>
                <w:kern w:val="2"/>
                <w:sz w:val="21"/>
                <w:szCs w:val="21"/>
              </w:rPr>
            </w:pPr>
            <w:r>
              <w:rPr>
                <w:rFonts w:hint="eastAsia" w:hAnsi="Times New Roman" w:eastAsia="宋体"/>
                <w:kern w:val="2"/>
                <w:sz w:val="21"/>
                <w:szCs w:val="21"/>
              </w:rPr>
              <w:t>生态环境及地面建构筑物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w:t>
            </w:r>
          </w:p>
        </w:tc>
        <w:tc>
          <w:tcPr>
            <w:tcW w:w="1029" w:type="pct"/>
            <w:vAlign w:val="center"/>
          </w:tcPr>
          <w:p>
            <w:pPr>
              <w:keepNext w:val="0"/>
              <w:keepLines w:val="0"/>
              <w:widowControl/>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宣汉国家森林公园观音山景区</w:t>
            </w:r>
          </w:p>
        </w:tc>
        <w:tc>
          <w:tcPr>
            <w:tcW w:w="76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+379m主平硐坑道地下穿越，矿区距宣汉国家森林公园最近距离约37m。保留+379m主平硐坑道地下穿越，穿越长度898m。</w:t>
            </w:r>
          </w:p>
        </w:tc>
        <w:tc>
          <w:tcPr>
            <w:tcW w:w="969" w:type="pct"/>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地表沉陷影响及产生的生态破坏与社会问题</w:t>
            </w:r>
          </w:p>
        </w:tc>
        <w:tc>
          <w:tcPr>
            <w:tcW w:w="177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禁止在与森林公园重叠部分进行采煤，减小对森林公园生态环境的影响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w:t>
            </w:r>
          </w:p>
        </w:tc>
        <w:tc>
          <w:tcPr>
            <w:tcW w:w="10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矿区范围内永久基本农田</w:t>
            </w:r>
          </w:p>
        </w:tc>
        <w:tc>
          <w:tcPr>
            <w:tcW w:w="76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工业场地占地不涉及，井田范围内不连续分布；本次规划矿区范围内共有永久基本农田约10.0630ha。</w:t>
            </w:r>
          </w:p>
        </w:tc>
        <w:tc>
          <w:tcPr>
            <w:tcW w:w="969"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77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除法律规定的重点建设项目选址确实无法避让外，其他任何建设不得占用。矿区基本农田受煤矿开发过程中地表沉陷影响可控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w:t>
            </w:r>
          </w:p>
        </w:tc>
        <w:tc>
          <w:tcPr>
            <w:tcW w:w="10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二级公益林</w:t>
            </w:r>
          </w:p>
        </w:tc>
        <w:tc>
          <w:tcPr>
            <w:tcW w:w="76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工业场地占地不涉及，井田范围内不连续分布</w:t>
            </w:r>
          </w:p>
        </w:tc>
        <w:tc>
          <w:tcPr>
            <w:tcW w:w="969"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77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严格执行《国家级公益林管理办法》，二级国家级公益林在不影响整体森林生态系统功能发挥的前提下，在不破坏森林植被的前提下，可以合理利用其林地资源。矿区二级公益林地受煤矿开发过程中地表沉陷影响可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w:t>
            </w:r>
          </w:p>
        </w:tc>
        <w:tc>
          <w:tcPr>
            <w:tcW w:w="10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井田内乡村公路</w:t>
            </w:r>
          </w:p>
        </w:tc>
        <w:tc>
          <w:tcPr>
            <w:tcW w:w="76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矿区范围内</w:t>
            </w:r>
          </w:p>
        </w:tc>
        <w:tc>
          <w:tcPr>
            <w:tcW w:w="96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受采煤诱发的地表沉陷可能导致公路受到影响</w:t>
            </w:r>
          </w:p>
        </w:tc>
        <w:tc>
          <w:tcPr>
            <w:tcW w:w="177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留设保护煤柱或随沉随填等措施保证公路不受采煤影响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w:t>
            </w:r>
          </w:p>
        </w:tc>
        <w:tc>
          <w:tcPr>
            <w:tcW w:w="10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地表植被、土地</w:t>
            </w:r>
          </w:p>
        </w:tc>
        <w:tc>
          <w:tcPr>
            <w:tcW w:w="76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矿区范围、且外扩500m范围内</w:t>
            </w:r>
          </w:p>
        </w:tc>
        <w:tc>
          <w:tcPr>
            <w:tcW w:w="96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地表沉陷可能导致土地、植被受到破坏</w:t>
            </w:r>
          </w:p>
        </w:tc>
        <w:tc>
          <w:tcPr>
            <w:tcW w:w="177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不减少区域内动植物种类、不破坏生态系统完整性；水土流失以不增加土壤侵蚀为标准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6</w:t>
            </w:r>
          </w:p>
        </w:tc>
        <w:tc>
          <w:tcPr>
            <w:tcW w:w="10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分散居民，约13户</w:t>
            </w:r>
          </w:p>
        </w:tc>
        <w:tc>
          <w:tcPr>
            <w:tcW w:w="76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矿区范围内</w:t>
            </w:r>
          </w:p>
        </w:tc>
        <w:tc>
          <w:tcPr>
            <w:tcW w:w="969" w:type="pct"/>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受地下开采诱发的地表，沉陷影响，地面设施可能遭到破坏</w:t>
            </w:r>
          </w:p>
        </w:tc>
        <w:tc>
          <w:tcPr>
            <w:tcW w:w="1771" w:type="pct"/>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根据影响预测结果，要求加强观测，根据实际情况，必要时采取维修加固措施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7</w:t>
            </w:r>
          </w:p>
        </w:tc>
        <w:tc>
          <w:tcPr>
            <w:tcW w:w="10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分散居民：约42户</w:t>
            </w:r>
          </w:p>
        </w:tc>
        <w:tc>
          <w:tcPr>
            <w:tcW w:w="76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井田边界外扩500m范围内</w:t>
            </w:r>
          </w:p>
        </w:tc>
        <w:tc>
          <w:tcPr>
            <w:tcW w:w="969"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771"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8</w:t>
            </w:r>
          </w:p>
        </w:tc>
        <w:tc>
          <w:tcPr>
            <w:tcW w:w="10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浮游植物、浮游动物、底栖动物、鱼类</w:t>
            </w:r>
          </w:p>
        </w:tc>
        <w:tc>
          <w:tcPr>
            <w:tcW w:w="76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新宁河评价河段范围内</w:t>
            </w:r>
          </w:p>
        </w:tc>
        <w:tc>
          <w:tcPr>
            <w:tcW w:w="96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鱼类组成、种群、资源量的改变及重要生境的改变</w:t>
            </w:r>
          </w:p>
        </w:tc>
        <w:tc>
          <w:tcPr>
            <w:tcW w:w="177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满足</w:t>
            </w:r>
            <w:r>
              <w:rPr>
                <w:rFonts w:hint="eastAsia" w:hAnsi="Times New Roman" w:eastAsia="宋体"/>
                <w:kern w:val="2"/>
                <w:sz w:val="21"/>
                <w:szCs w:val="21"/>
                <w:lang w:eastAsia="zh-CN"/>
              </w:rPr>
              <w:t>水生生态</w:t>
            </w:r>
            <w:r>
              <w:rPr>
                <w:rFonts w:hint="eastAsia" w:hAnsi="Times New Roman" w:eastAsia="宋体"/>
                <w:kern w:val="2"/>
                <w:sz w:val="21"/>
                <w:szCs w:val="21"/>
              </w:rPr>
              <w:t>相关要求，不因</w:t>
            </w:r>
            <w:r>
              <w:rPr>
                <w:rFonts w:hint="eastAsia" w:hAnsi="Times New Roman" w:eastAsia="宋体"/>
                <w:kern w:val="2"/>
                <w:sz w:val="21"/>
                <w:szCs w:val="21"/>
                <w:lang w:eastAsia="zh-CN"/>
              </w:rPr>
              <w:t>项目开采</w:t>
            </w:r>
            <w:r>
              <w:rPr>
                <w:rFonts w:hint="eastAsia" w:hAnsi="Times New Roman" w:eastAsia="宋体"/>
                <w:kern w:val="2"/>
                <w:sz w:val="21"/>
                <w:szCs w:val="21"/>
              </w:rPr>
              <w:t>对</w:t>
            </w:r>
            <w:r>
              <w:rPr>
                <w:rFonts w:hint="eastAsia" w:hAnsi="Times New Roman" w:eastAsia="宋体"/>
                <w:kern w:val="2"/>
                <w:sz w:val="21"/>
                <w:szCs w:val="21"/>
                <w:lang w:eastAsia="zh-CN"/>
              </w:rPr>
              <w:t>水生动植物</w:t>
            </w:r>
            <w:r>
              <w:rPr>
                <w:rFonts w:hint="eastAsia" w:hAnsi="Times New Roman" w:eastAsia="宋体"/>
                <w:kern w:val="2"/>
                <w:sz w:val="21"/>
                <w:szCs w:val="21"/>
              </w:rPr>
              <w:t>造成不利影响</w:t>
            </w:r>
            <w:r>
              <w:rPr>
                <w:rFonts w:hint="eastAsia" w:hAnsi="Times New Roman" w:eastAsia="宋体"/>
                <w:kern w:val="2"/>
                <w:sz w:val="21"/>
                <w:szCs w:val="21"/>
                <w:lang w:eastAsia="zh-CN"/>
              </w:rPr>
              <w:t>，改变河段生境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二</w:t>
            </w:r>
          </w:p>
        </w:tc>
        <w:tc>
          <w:tcPr>
            <w:tcW w:w="4530" w:type="pct"/>
            <w:gridSpan w:val="4"/>
            <w:vAlign w:val="center"/>
          </w:tcPr>
          <w:p>
            <w:pPr>
              <w:keepNext w:val="0"/>
              <w:keepLines w:val="0"/>
              <w:suppressLineNumbers w:val="0"/>
              <w:spacing w:before="0" w:beforeAutospacing="0" w:after="0" w:afterAutospacing="0" w:line="240" w:lineRule="exact"/>
              <w:ind w:left="0" w:right="0"/>
              <w:jc w:val="left"/>
              <w:rPr>
                <w:rFonts w:hint="eastAsia" w:hAnsi="Times New Roman" w:eastAsia="宋体"/>
                <w:kern w:val="2"/>
                <w:sz w:val="21"/>
                <w:szCs w:val="21"/>
              </w:rPr>
            </w:pPr>
            <w:r>
              <w:rPr>
                <w:rFonts w:hint="eastAsia" w:hAnsi="Times New Roman" w:eastAsia="宋体"/>
                <w:kern w:val="2"/>
                <w:sz w:val="21"/>
                <w:szCs w:val="21"/>
                <w:lang w:eastAsia="zh-CN"/>
              </w:rPr>
              <w:t>地表水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w:t>
            </w:r>
          </w:p>
        </w:tc>
        <w:tc>
          <w:tcPr>
            <w:tcW w:w="10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新宁河</w:t>
            </w:r>
          </w:p>
        </w:tc>
        <w:tc>
          <w:tcPr>
            <w:tcW w:w="76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工业广场东侧外8m处径流</w:t>
            </w:r>
          </w:p>
        </w:tc>
        <w:tc>
          <w:tcPr>
            <w:tcW w:w="96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可能受煤矿污废水影响</w:t>
            </w:r>
          </w:p>
        </w:tc>
        <w:tc>
          <w:tcPr>
            <w:tcW w:w="177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《地表水环境质量标准》（GB3838-2002）III 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三</w:t>
            </w:r>
          </w:p>
        </w:tc>
        <w:tc>
          <w:tcPr>
            <w:tcW w:w="4530" w:type="pct"/>
            <w:gridSpan w:val="4"/>
            <w:vAlign w:val="center"/>
          </w:tcPr>
          <w:p>
            <w:pPr>
              <w:keepNext w:val="0"/>
              <w:keepLines w:val="0"/>
              <w:suppressLineNumbers w:val="0"/>
              <w:spacing w:before="0" w:beforeAutospacing="0" w:after="0" w:afterAutospacing="0" w:line="240" w:lineRule="exact"/>
              <w:ind w:left="0" w:right="0"/>
              <w:jc w:val="left"/>
              <w:rPr>
                <w:rFonts w:hint="eastAsia" w:hAnsi="Times New Roman" w:eastAsia="宋体"/>
                <w:kern w:val="2"/>
                <w:sz w:val="21"/>
                <w:szCs w:val="21"/>
              </w:rPr>
            </w:pPr>
            <w:r>
              <w:rPr>
                <w:rFonts w:hint="eastAsia" w:hAnsi="Times New Roman" w:eastAsia="宋体"/>
                <w:kern w:val="2"/>
                <w:sz w:val="21"/>
                <w:szCs w:val="21"/>
                <w:lang w:eastAsia="zh-CN"/>
              </w:rPr>
              <w:t>地下水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w:t>
            </w:r>
          </w:p>
        </w:tc>
        <w:tc>
          <w:tcPr>
            <w:tcW w:w="10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S5泉点，侏罗系中下统珍珠冲组砂岩裂隙水</w:t>
            </w:r>
          </w:p>
        </w:tc>
        <w:tc>
          <w:tcPr>
            <w:tcW w:w="76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工业广场外南侧</w:t>
            </w:r>
          </w:p>
        </w:tc>
        <w:tc>
          <w:tcPr>
            <w:tcW w:w="969" w:type="pct"/>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采区内含水层可能受井下采动影响，导致地下水漏失，裂隙水不能及时补给的影响</w:t>
            </w:r>
          </w:p>
        </w:tc>
        <w:tc>
          <w:tcPr>
            <w:tcW w:w="1771" w:type="pct"/>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GB/T14848-93中Ⅲ类标准，保护地下水，保证居民及农业生产用水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w:t>
            </w:r>
          </w:p>
        </w:tc>
        <w:tc>
          <w:tcPr>
            <w:tcW w:w="10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S6民井，侏罗系中统新田沟组风化裂隙水</w:t>
            </w:r>
          </w:p>
        </w:tc>
        <w:tc>
          <w:tcPr>
            <w:tcW w:w="76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矿区范围外陈家大院子</w:t>
            </w:r>
          </w:p>
        </w:tc>
        <w:tc>
          <w:tcPr>
            <w:tcW w:w="969"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771"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w:t>
            </w:r>
          </w:p>
        </w:tc>
        <w:tc>
          <w:tcPr>
            <w:tcW w:w="10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S7民井，侏罗系中统新田沟组风化裂隙水</w:t>
            </w:r>
          </w:p>
        </w:tc>
        <w:tc>
          <w:tcPr>
            <w:tcW w:w="76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矿区范围外肖家院子</w:t>
            </w:r>
          </w:p>
        </w:tc>
        <w:tc>
          <w:tcPr>
            <w:tcW w:w="969"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771"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w:t>
            </w:r>
          </w:p>
        </w:tc>
        <w:tc>
          <w:tcPr>
            <w:tcW w:w="10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S8泉点，侏罗系中下统珍珠冲组砂岩裂隙水</w:t>
            </w:r>
          </w:p>
        </w:tc>
        <w:tc>
          <w:tcPr>
            <w:tcW w:w="76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矿区范围外凼里头</w:t>
            </w:r>
          </w:p>
        </w:tc>
        <w:tc>
          <w:tcPr>
            <w:tcW w:w="969"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771"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w:t>
            </w:r>
          </w:p>
        </w:tc>
        <w:tc>
          <w:tcPr>
            <w:tcW w:w="10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S9民井，侏罗系中统新田沟组风化裂隙水</w:t>
            </w:r>
          </w:p>
        </w:tc>
        <w:tc>
          <w:tcPr>
            <w:tcW w:w="76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矿区范围外毛家老屋</w:t>
            </w:r>
          </w:p>
        </w:tc>
        <w:tc>
          <w:tcPr>
            <w:tcW w:w="969"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771"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6</w:t>
            </w:r>
          </w:p>
        </w:tc>
        <w:tc>
          <w:tcPr>
            <w:tcW w:w="10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S10民井，侏罗系中统沙溪庙组风化裂隙水</w:t>
            </w:r>
          </w:p>
        </w:tc>
        <w:tc>
          <w:tcPr>
            <w:tcW w:w="76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矿区范围外马家梁</w:t>
            </w:r>
          </w:p>
        </w:tc>
        <w:tc>
          <w:tcPr>
            <w:tcW w:w="969"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771"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7</w:t>
            </w:r>
          </w:p>
        </w:tc>
        <w:tc>
          <w:tcPr>
            <w:tcW w:w="10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S11民井，侏罗系中统沙溪庙组风化裂隙水</w:t>
            </w:r>
          </w:p>
        </w:tc>
        <w:tc>
          <w:tcPr>
            <w:tcW w:w="76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矿区范围外大屋基</w:t>
            </w:r>
          </w:p>
        </w:tc>
        <w:tc>
          <w:tcPr>
            <w:tcW w:w="969"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771"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8</w:t>
            </w:r>
          </w:p>
        </w:tc>
        <w:tc>
          <w:tcPr>
            <w:tcW w:w="10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S12民井，侏罗系中统新田沟组风化裂隙水</w:t>
            </w:r>
          </w:p>
        </w:tc>
        <w:tc>
          <w:tcPr>
            <w:tcW w:w="76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矿区范围外老屋院子</w:t>
            </w:r>
          </w:p>
        </w:tc>
        <w:tc>
          <w:tcPr>
            <w:tcW w:w="969"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771"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9</w:t>
            </w:r>
          </w:p>
        </w:tc>
        <w:tc>
          <w:tcPr>
            <w:tcW w:w="10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S13民井，侏罗系中统沙溪庙组风化裂隙水</w:t>
            </w:r>
          </w:p>
        </w:tc>
        <w:tc>
          <w:tcPr>
            <w:tcW w:w="76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矿区范围外吴家桥边</w:t>
            </w:r>
          </w:p>
        </w:tc>
        <w:tc>
          <w:tcPr>
            <w:tcW w:w="969"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771"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w:t>
            </w:r>
          </w:p>
        </w:tc>
        <w:tc>
          <w:tcPr>
            <w:tcW w:w="10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S14民井，侏罗系中统新田沟组风化裂隙水</w:t>
            </w:r>
          </w:p>
        </w:tc>
        <w:tc>
          <w:tcPr>
            <w:tcW w:w="76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矿区范围外徐家沟</w:t>
            </w:r>
          </w:p>
        </w:tc>
        <w:tc>
          <w:tcPr>
            <w:tcW w:w="969"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771"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11</w:t>
            </w:r>
          </w:p>
        </w:tc>
        <w:tc>
          <w:tcPr>
            <w:tcW w:w="10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S15泉点，三叠系须家河组裂隙水</w:t>
            </w:r>
          </w:p>
        </w:tc>
        <w:tc>
          <w:tcPr>
            <w:tcW w:w="76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矿区范围外老厂沟</w:t>
            </w:r>
          </w:p>
        </w:tc>
        <w:tc>
          <w:tcPr>
            <w:tcW w:w="969"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771"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12</w:t>
            </w:r>
          </w:p>
        </w:tc>
        <w:tc>
          <w:tcPr>
            <w:tcW w:w="10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宣汉县天生镇王一庙（村级）集中式饮用水水源地</w:t>
            </w:r>
          </w:p>
        </w:tc>
        <w:tc>
          <w:tcPr>
            <w:tcW w:w="76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主井工业广场西北侧，最近距离约20m</w:t>
            </w:r>
          </w:p>
        </w:tc>
        <w:tc>
          <w:tcPr>
            <w:tcW w:w="96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工业场地废水通过地表渗透污染地下水</w:t>
            </w:r>
          </w:p>
        </w:tc>
        <w:tc>
          <w:tcPr>
            <w:tcW w:w="1771"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四</w:t>
            </w:r>
          </w:p>
        </w:tc>
        <w:tc>
          <w:tcPr>
            <w:tcW w:w="4530" w:type="pct"/>
            <w:gridSpan w:val="4"/>
            <w:vAlign w:val="center"/>
          </w:tcPr>
          <w:p>
            <w:pPr>
              <w:keepNext w:val="0"/>
              <w:keepLines w:val="0"/>
              <w:suppressLineNumbers w:val="0"/>
              <w:spacing w:before="0" w:beforeAutospacing="0" w:after="0" w:afterAutospacing="0" w:line="24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土壤环境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w:t>
            </w:r>
          </w:p>
        </w:tc>
        <w:tc>
          <w:tcPr>
            <w:tcW w:w="10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农用地</w:t>
            </w:r>
          </w:p>
        </w:tc>
        <w:tc>
          <w:tcPr>
            <w:tcW w:w="761" w:type="pct"/>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工业广场、风井场地周边200m范围内</w:t>
            </w:r>
          </w:p>
        </w:tc>
        <w:tc>
          <w:tcPr>
            <w:tcW w:w="969" w:type="pct"/>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地面设施建设占用及地面设施废水、废气影响</w:t>
            </w:r>
          </w:p>
        </w:tc>
        <w:tc>
          <w:tcPr>
            <w:tcW w:w="177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满足《土壤质量标准农用地土壤污染风险管控标准（试行）》（GB15</w:t>
            </w:r>
          </w:p>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618-2018）要求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w:t>
            </w:r>
          </w:p>
        </w:tc>
        <w:tc>
          <w:tcPr>
            <w:tcW w:w="10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居民用地</w:t>
            </w:r>
          </w:p>
        </w:tc>
        <w:tc>
          <w:tcPr>
            <w:tcW w:w="761"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969"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77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满足《土壤环境质量建设用地土壤污染风险管控标准（试行）》（GB3660-2018）</w:t>
            </w:r>
          </w:p>
        </w:tc>
      </w:tr>
    </w:tbl>
    <w:p>
      <w:pPr>
        <w:spacing w:line="360" w:lineRule="auto"/>
        <w:ind w:firstLine="480" w:firstLineChars="200"/>
        <w:rPr>
          <w:rFonts w:hAnsi="Times New Roman" w:eastAsia="宋体"/>
          <w:lang w:eastAsia="zh-CN"/>
        </w:rPr>
      </w:pPr>
    </w:p>
    <w:p>
      <w:pPr>
        <w:spacing w:line="360" w:lineRule="auto"/>
        <w:ind w:firstLine="480" w:firstLineChars="200"/>
        <w:rPr>
          <w:rFonts w:hAnsi="Times New Roman" w:eastAsia="宋体"/>
          <w:lang w:eastAsia="zh-CN"/>
        </w:rPr>
        <w:sectPr>
          <w:pgSz w:w="11906" w:h="16838"/>
          <w:pgMar w:top="1440" w:right="1304" w:bottom="1440" w:left="1474" w:header="851" w:footer="992" w:gutter="0"/>
          <w:cols w:space="425" w:num="1"/>
          <w:docGrid w:type="lines" w:linePitch="312" w:charSpace="0"/>
        </w:sectPr>
      </w:pPr>
    </w:p>
    <w:p>
      <w:pPr>
        <w:pStyle w:val="4"/>
        <w:rPr>
          <w:lang w:eastAsia="zh-CN"/>
        </w:rPr>
      </w:pPr>
      <w:bookmarkStart w:id="58" w:name="_Toc163749154"/>
      <w:bookmarkStart w:id="59" w:name="_Toc167095122"/>
      <w:r>
        <w:rPr>
          <w:lang w:eastAsia="zh-CN"/>
        </w:rPr>
        <w:t>2 工程概况与工程分析</w:t>
      </w:r>
      <w:bookmarkEnd w:id="58"/>
      <w:bookmarkEnd w:id="59"/>
    </w:p>
    <w:p>
      <w:pPr>
        <w:pStyle w:val="5"/>
        <w:rPr>
          <w:rFonts w:ascii="Times New Roman" w:hAnsi="Times New Roman"/>
          <w:lang w:eastAsia="zh-CN"/>
        </w:rPr>
      </w:pPr>
      <w:bookmarkStart w:id="60" w:name="_Toc163749155"/>
      <w:bookmarkStart w:id="61" w:name="_Toc167095123"/>
      <w:r>
        <w:rPr>
          <w:rFonts w:ascii="Times New Roman" w:hAnsi="Times New Roman"/>
          <w:lang w:eastAsia="zh-CN"/>
        </w:rPr>
        <w:t>2.1 现有工程概况</w:t>
      </w:r>
      <w:bookmarkEnd w:id="60"/>
      <w:bookmarkEnd w:id="61"/>
    </w:p>
    <w:p>
      <w:pPr>
        <w:pStyle w:val="6"/>
        <w:rPr>
          <w:lang w:eastAsia="zh-CN"/>
        </w:rPr>
      </w:pPr>
      <w:bookmarkStart w:id="62" w:name="_Toc167095124"/>
      <w:bookmarkStart w:id="63" w:name="_Toc163812501"/>
      <w:r>
        <w:rPr>
          <w:lang w:eastAsia="zh-CN"/>
        </w:rPr>
        <w:t>2.1.1 矿上建井历史</w:t>
      </w:r>
      <w:bookmarkEnd w:id="62"/>
      <w:bookmarkEnd w:id="63"/>
    </w:p>
    <w:p>
      <w:pPr>
        <w:spacing w:line="360" w:lineRule="auto"/>
        <w:ind w:firstLine="480" w:firstLineChars="200"/>
        <w:rPr>
          <w:rFonts w:hAnsi="Times New Roman" w:eastAsia="宋体"/>
          <w:lang w:eastAsia="zh-CN"/>
        </w:rPr>
      </w:pPr>
      <w:r>
        <w:rPr>
          <w:rFonts w:hAnsi="Times New Roman" w:eastAsia="宋体"/>
          <w:lang w:eastAsia="zh-CN"/>
        </w:rPr>
        <w:t>七里峡煤矿前身为四川省监狱管理局下属的四川省大路煤矿七里峡煤井，该矿井为1976年10月四川省劳改局（现四川省监狱管理局）以公劳生（1976）573号文同意新建，于1993年正式投入生产，1999年10月20日四川省地矿厅首次颁发该矿采矿许可证，核定生产能力为9万吨/年，经十余年开采，上山</w:t>
      </w:r>
      <w:r>
        <w:rPr>
          <w:rFonts w:hint="eastAsia" w:hAnsi="Times New Roman" w:eastAsia="宋体"/>
          <w:lang w:eastAsia="zh-CN"/>
        </w:rPr>
        <w:t>资源</w:t>
      </w:r>
      <w:r>
        <w:rPr>
          <w:rFonts w:hAnsi="Times New Roman" w:eastAsia="宋体"/>
          <w:lang w:eastAsia="zh-CN"/>
        </w:rPr>
        <w:t>逐渐枯竭，在2005年矿井采矿许可证延续时，矿井生产能力调整为6万吨/年，由原四川省国土资源厅颁发的采矿许可证，证号为5100000820324，有效期至2010年11月，该证核定矿区面积为3.4695km</w:t>
      </w:r>
      <w:r>
        <w:rPr>
          <w:rFonts w:hAnsi="Times New Roman" w:eastAsia="宋体"/>
          <w:vertAlign w:val="superscript"/>
          <w:lang w:eastAsia="zh-CN"/>
        </w:rPr>
        <w:t>2</w:t>
      </w:r>
      <w:r>
        <w:rPr>
          <w:rFonts w:hAnsi="Times New Roman" w:eastAsia="宋体"/>
          <w:lang w:eastAsia="zh-CN"/>
        </w:rPr>
        <w:t>，核定开采深度为+670m～+390m标高，核定准采煤层为K</w:t>
      </w:r>
      <w:r>
        <w:rPr>
          <w:rFonts w:hAnsi="Times New Roman" w:eastAsia="宋体"/>
          <w:vertAlign w:val="subscript"/>
          <w:lang w:eastAsia="zh-CN"/>
        </w:rPr>
        <w:t>4</w:t>
      </w:r>
      <w:r>
        <w:rPr>
          <w:rFonts w:hAnsi="Times New Roman" w:eastAsia="宋体"/>
          <w:lang w:eastAsia="zh-CN"/>
        </w:rPr>
        <w:t>～K</w:t>
      </w:r>
      <w:r>
        <w:rPr>
          <w:rFonts w:hAnsi="Times New Roman" w:eastAsia="宋体"/>
          <w:vertAlign w:val="subscript"/>
          <w:lang w:eastAsia="zh-CN"/>
        </w:rPr>
        <w:t>6</w:t>
      </w:r>
      <w:r>
        <w:rPr>
          <w:rFonts w:hAnsi="Times New Roman" w:eastAsia="宋体"/>
          <w:lang w:eastAsia="zh-CN"/>
        </w:rPr>
        <w:t>，K</w:t>
      </w:r>
      <w:r>
        <w:rPr>
          <w:rFonts w:hAnsi="Times New Roman" w:eastAsia="宋体"/>
          <w:vertAlign w:val="subscript"/>
          <w:lang w:eastAsia="zh-CN"/>
        </w:rPr>
        <w:t>8</w:t>
      </w:r>
      <w:r>
        <w:rPr>
          <w:rFonts w:hAnsi="Times New Roman" w:eastAsia="宋体"/>
          <w:lang w:eastAsia="zh-CN"/>
        </w:rPr>
        <w:t>～K</w:t>
      </w:r>
      <w:r>
        <w:rPr>
          <w:rFonts w:hAnsi="Times New Roman" w:eastAsia="宋体"/>
          <w:vertAlign w:val="subscript"/>
          <w:lang w:eastAsia="zh-CN"/>
        </w:rPr>
        <w:t>10</w:t>
      </w:r>
      <w:r>
        <w:rPr>
          <w:rFonts w:hAnsi="Times New Roman" w:eastAsia="宋体"/>
          <w:lang w:eastAsia="zh-CN"/>
        </w:rPr>
        <w:t>煤层。川煤整合函</w:t>
      </w:r>
      <w:r>
        <w:rPr>
          <w:rFonts w:hint="eastAsia" w:hAnsi="Times New Roman" w:eastAsia="宋体"/>
          <w:lang w:eastAsia="zh-CN"/>
        </w:rPr>
        <w:t>〔</w:t>
      </w:r>
      <w:r>
        <w:rPr>
          <w:rFonts w:hAnsi="Times New Roman" w:eastAsia="宋体"/>
          <w:lang w:eastAsia="zh-CN"/>
        </w:rPr>
        <w:t>2009</w:t>
      </w:r>
      <w:r>
        <w:rPr>
          <w:rFonts w:hint="eastAsia" w:hAnsi="Times New Roman" w:eastAsia="宋体"/>
          <w:lang w:eastAsia="zh-CN"/>
        </w:rPr>
        <w:t>〕</w:t>
      </w:r>
      <w:r>
        <w:rPr>
          <w:rFonts w:hAnsi="Times New Roman" w:eastAsia="宋体"/>
          <w:lang w:eastAsia="zh-CN"/>
        </w:rPr>
        <w:t>5号四川省煤炭资源整合办公室关于达州市煤炭矿业权设置调整方案的复函批复的七里峡煤矿调整矿区面积为4.912km</w:t>
      </w:r>
      <w:r>
        <w:rPr>
          <w:rFonts w:hAnsi="Times New Roman" w:eastAsia="宋体"/>
          <w:vertAlign w:val="superscript"/>
          <w:lang w:eastAsia="zh-CN"/>
        </w:rPr>
        <w:t>2</w:t>
      </w:r>
      <w:r>
        <w:rPr>
          <w:rFonts w:hAnsi="Times New Roman" w:eastAsia="宋体"/>
          <w:lang w:eastAsia="zh-CN"/>
        </w:rPr>
        <w:t>，开采深度为+670m～+200m标高，开采煤层为K</w:t>
      </w:r>
      <w:r>
        <w:rPr>
          <w:rFonts w:hAnsi="Times New Roman" w:eastAsia="宋体"/>
          <w:vertAlign w:val="subscript"/>
          <w:lang w:eastAsia="zh-CN"/>
        </w:rPr>
        <w:t>1</w:t>
      </w:r>
      <w:r>
        <w:rPr>
          <w:rFonts w:hAnsi="Times New Roman" w:eastAsia="宋体"/>
          <w:lang w:eastAsia="zh-CN"/>
        </w:rPr>
        <w:t>、K</w:t>
      </w:r>
      <w:r>
        <w:rPr>
          <w:rFonts w:hAnsi="Times New Roman" w:eastAsia="宋体"/>
          <w:vertAlign w:val="subscript"/>
          <w:lang w:eastAsia="zh-CN"/>
        </w:rPr>
        <w:t>4</w:t>
      </w:r>
      <w:r>
        <w:rPr>
          <w:rFonts w:hAnsi="Times New Roman" w:eastAsia="宋体"/>
          <w:lang w:eastAsia="zh-CN"/>
        </w:rPr>
        <w:t>、K</w:t>
      </w:r>
      <w:r>
        <w:rPr>
          <w:rFonts w:hAnsi="Times New Roman" w:eastAsia="宋体"/>
          <w:vertAlign w:val="subscript"/>
          <w:lang w:eastAsia="zh-CN"/>
        </w:rPr>
        <w:t>5</w:t>
      </w:r>
      <w:r>
        <w:rPr>
          <w:rFonts w:hAnsi="Times New Roman" w:eastAsia="宋体"/>
          <w:lang w:eastAsia="zh-CN"/>
        </w:rPr>
        <w:t>、K</w:t>
      </w:r>
      <w:r>
        <w:rPr>
          <w:rFonts w:hAnsi="Times New Roman" w:eastAsia="宋体"/>
          <w:vertAlign w:val="subscript"/>
          <w:lang w:eastAsia="zh-CN"/>
        </w:rPr>
        <w:t>6</w:t>
      </w:r>
      <w:r>
        <w:rPr>
          <w:rFonts w:hAnsi="Times New Roman" w:eastAsia="宋体"/>
          <w:lang w:eastAsia="zh-CN"/>
        </w:rPr>
        <w:t>、K</w:t>
      </w:r>
      <w:r>
        <w:rPr>
          <w:rFonts w:hAnsi="Times New Roman" w:eastAsia="宋体"/>
          <w:vertAlign w:val="subscript"/>
          <w:lang w:eastAsia="zh-CN"/>
        </w:rPr>
        <w:t>8</w:t>
      </w:r>
      <w:r>
        <w:rPr>
          <w:rFonts w:hAnsi="Times New Roman" w:eastAsia="宋体"/>
          <w:lang w:eastAsia="zh-CN"/>
        </w:rPr>
        <w:t>、K</w:t>
      </w:r>
      <w:r>
        <w:rPr>
          <w:rFonts w:hAnsi="Times New Roman" w:eastAsia="宋体"/>
          <w:vertAlign w:val="subscript"/>
          <w:lang w:eastAsia="zh-CN"/>
        </w:rPr>
        <w:t>9</w:t>
      </w:r>
      <w:r>
        <w:rPr>
          <w:rFonts w:hAnsi="Times New Roman" w:eastAsia="宋体"/>
          <w:lang w:eastAsia="zh-CN"/>
        </w:rPr>
        <w:t>、K</w:t>
      </w:r>
      <w:r>
        <w:rPr>
          <w:rFonts w:hAnsi="Times New Roman" w:eastAsia="宋体"/>
          <w:vertAlign w:val="subscript"/>
          <w:lang w:eastAsia="zh-CN"/>
        </w:rPr>
        <w:t>10</w:t>
      </w:r>
      <w:r>
        <w:rPr>
          <w:rFonts w:hAnsi="Times New Roman" w:eastAsia="宋体"/>
          <w:lang w:eastAsia="zh-CN"/>
        </w:rPr>
        <w:t>煤层。扩大范围后的矿井生产能力调整为15万吨/年。</w:t>
      </w:r>
    </w:p>
    <w:p>
      <w:pPr>
        <w:spacing w:line="360" w:lineRule="auto"/>
        <w:ind w:firstLine="480" w:firstLineChars="200"/>
        <w:rPr>
          <w:rFonts w:hAnsi="Times New Roman" w:eastAsia="宋体"/>
          <w:lang w:eastAsia="zh-CN"/>
        </w:rPr>
      </w:pPr>
      <w:r>
        <w:rPr>
          <w:rFonts w:hAnsi="Times New Roman" w:eastAsia="宋体"/>
          <w:lang w:eastAsia="zh-CN"/>
        </w:rPr>
        <w:t>2014年7月，四川省国土资源厅为七里峡煤矿办理了采矿许可证延续，证号：C5100002010111120084196，有效期至2024年7月25日。矿区范围由1～41号拐点坐标圈定，面积为4.9105km</w:t>
      </w:r>
      <w:r>
        <w:rPr>
          <w:rFonts w:hAnsi="Times New Roman" w:eastAsia="宋体"/>
          <w:vertAlign w:val="superscript"/>
          <w:lang w:eastAsia="zh-CN"/>
        </w:rPr>
        <w:t>2</w:t>
      </w:r>
      <w:r>
        <w:rPr>
          <w:rFonts w:hAnsi="Times New Roman" w:eastAsia="宋体"/>
          <w:lang w:eastAsia="zh-CN"/>
        </w:rPr>
        <w:t>，批准开采煤层为K</w:t>
      </w:r>
      <w:r>
        <w:rPr>
          <w:rFonts w:hAnsi="Times New Roman" w:eastAsia="宋体"/>
          <w:vertAlign w:val="subscript"/>
          <w:lang w:eastAsia="zh-CN"/>
        </w:rPr>
        <w:t>1</w:t>
      </w:r>
      <w:r>
        <w:rPr>
          <w:rFonts w:hAnsi="Times New Roman" w:eastAsia="宋体"/>
          <w:lang w:eastAsia="zh-CN"/>
        </w:rPr>
        <w:t>、K</w:t>
      </w:r>
      <w:r>
        <w:rPr>
          <w:rFonts w:hAnsi="Times New Roman" w:eastAsia="宋体"/>
          <w:vertAlign w:val="subscript"/>
          <w:lang w:eastAsia="zh-CN"/>
        </w:rPr>
        <w:t>4</w:t>
      </w:r>
      <w:r>
        <w:rPr>
          <w:rFonts w:hAnsi="Times New Roman" w:eastAsia="宋体"/>
          <w:lang w:eastAsia="zh-CN"/>
        </w:rPr>
        <w:t>、K</w:t>
      </w:r>
      <w:r>
        <w:rPr>
          <w:rFonts w:hAnsi="Times New Roman" w:eastAsia="宋体"/>
          <w:vertAlign w:val="subscript"/>
          <w:lang w:eastAsia="zh-CN"/>
        </w:rPr>
        <w:t>5</w:t>
      </w:r>
      <w:r>
        <w:rPr>
          <w:rFonts w:hAnsi="Times New Roman" w:eastAsia="宋体"/>
          <w:lang w:eastAsia="zh-CN"/>
        </w:rPr>
        <w:t>、K</w:t>
      </w:r>
      <w:r>
        <w:rPr>
          <w:rFonts w:hAnsi="Times New Roman" w:eastAsia="宋体"/>
          <w:vertAlign w:val="subscript"/>
          <w:lang w:eastAsia="zh-CN"/>
        </w:rPr>
        <w:t>6</w:t>
      </w:r>
      <w:r>
        <w:rPr>
          <w:rFonts w:hAnsi="Times New Roman" w:eastAsia="宋体"/>
          <w:lang w:eastAsia="zh-CN"/>
        </w:rPr>
        <w:t>、K</w:t>
      </w:r>
      <w:r>
        <w:rPr>
          <w:rFonts w:hAnsi="Times New Roman" w:eastAsia="宋体"/>
          <w:vertAlign w:val="subscript"/>
          <w:lang w:eastAsia="zh-CN"/>
        </w:rPr>
        <w:t>8</w:t>
      </w:r>
      <w:r>
        <w:rPr>
          <w:rFonts w:hAnsi="Times New Roman" w:eastAsia="宋体"/>
          <w:lang w:eastAsia="zh-CN"/>
        </w:rPr>
        <w:t>、K</w:t>
      </w:r>
      <w:r>
        <w:rPr>
          <w:rFonts w:hAnsi="Times New Roman" w:eastAsia="宋体"/>
          <w:vertAlign w:val="subscript"/>
          <w:lang w:eastAsia="zh-CN"/>
        </w:rPr>
        <w:t>9</w:t>
      </w:r>
      <w:r>
        <w:rPr>
          <w:rFonts w:hAnsi="Times New Roman" w:eastAsia="宋体"/>
          <w:lang w:eastAsia="zh-CN"/>
        </w:rPr>
        <w:t>、K</w:t>
      </w:r>
      <w:r>
        <w:rPr>
          <w:rFonts w:hAnsi="Times New Roman" w:eastAsia="宋体"/>
          <w:vertAlign w:val="subscript"/>
          <w:lang w:eastAsia="zh-CN"/>
        </w:rPr>
        <w:t>10</w:t>
      </w:r>
      <w:r>
        <w:rPr>
          <w:rFonts w:hAnsi="Times New Roman" w:eastAsia="宋体"/>
          <w:lang w:eastAsia="zh-CN"/>
        </w:rPr>
        <w:t>煤层，允许开采深度为+670m～+200m标高，生产规模15.0万吨/年。</w:t>
      </w:r>
    </w:p>
    <w:p>
      <w:pPr>
        <w:spacing w:line="360" w:lineRule="auto"/>
        <w:ind w:firstLine="480" w:firstLineChars="200"/>
        <w:rPr>
          <w:rFonts w:hAnsi="Times New Roman" w:eastAsia="宋体"/>
          <w:lang w:eastAsia="zh-CN"/>
        </w:rPr>
      </w:pPr>
      <w:r>
        <w:rPr>
          <w:rFonts w:hAnsi="Times New Roman" w:eastAsia="宋体"/>
          <w:lang w:eastAsia="zh-CN"/>
        </w:rPr>
        <w:t>201</w:t>
      </w:r>
      <w:r>
        <w:rPr>
          <w:rFonts w:hint="eastAsia" w:hAnsi="Times New Roman" w:eastAsia="宋体"/>
          <w:lang w:eastAsia="zh-CN"/>
        </w:rPr>
        <w:t>4</w:t>
      </w:r>
      <w:r>
        <w:rPr>
          <w:rFonts w:hAnsi="Times New Roman" w:eastAsia="宋体"/>
          <w:lang w:eastAsia="zh-CN"/>
        </w:rPr>
        <w:t>年，建设单位编制完成了《</w:t>
      </w:r>
      <w:r>
        <w:rPr>
          <w:rFonts w:hint="eastAsia" w:hAnsi="Times New Roman" w:eastAsia="宋体"/>
          <w:lang w:eastAsia="zh-CN"/>
        </w:rPr>
        <w:t>达州市宣汉县七里峡煤业有限公司七里峡煤矿150kt/a改扩建项目</w:t>
      </w:r>
      <w:r>
        <w:rPr>
          <w:rFonts w:hAnsi="Times New Roman" w:eastAsia="宋体"/>
          <w:lang w:eastAsia="zh-CN"/>
        </w:rPr>
        <w:t>环境影响报告书》，201</w:t>
      </w:r>
      <w:r>
        <w:rPr>
          <w:rFonts w:hint="eastAsia" w:hAnsi="Times New Roman" w:eastAsia="宋体"/>
          <w:lang w:eastAsia="zh-CN"/>
        </w:rPr>
        <w:t>4</w:t>
      </w:r>
      <w:r>
        <w:rPr>
          <w:rFonts w:hAnsi="Times New Roman" w:eastAsia="宋体"/>
          <w:lang w:eastAsia="zh-CN"/>
        </w:rPr>
        <w:t>年</w:t>
      </w:r>
      <w:r>
        <w:rPr>
          <w:rFonts w:hint="eastAsia" w:hAnsi="Times New Roman" w:eastAsia="宋体"/>
          <w:lang w:eastAsia="zh-CN"/>
        </w:rPr>
        <w:t>11</w:t>
      </w:r>
      <w:r>
        <w:rPr>
          <w:rFonts w:hAnsi="Times New Roman" w:eastAsia="宋体"/>
          <w:lang w:eastAsia="zh-CN"/>
        </w:rPr>
        <w:t>月</w:t>
      </w:r>
      <w:r>
        <w:rPr>
          <w:rFonts w:hint="eastAsia" w:hAnsi="Times New Roman" w:eastAsia="宋体"/>
          <w:lang w:eastAsia="zh-CN"/>
        </w:rPr>
        <w:t>1</w:t>
      </w:r>
      <w:r>
        <w:rPr>
          <w:rFonts w:hAnsi="Times New Roman" w:eastAsia="宋体"/>
          <w:lang w:eastAsia="zh-CN"/>
        </w:rPr>
        <w:t>2日，</w:t>
      </w:r>
      <w:r>
        <w:rPr>
          <w:rFonts w:hint="eastAsia" w:hAnsi="Times New Roman" w:eastAsia="宋体"/>
          <w:lang w:eastAsia="zh-CN"/>
        </w:rPr>
        <w:t>原</w:t>
      </w:r>
      <w:r>
        <w:rPr>
          <w:rFonts w:hAnsi="Times New Roman" w:eastAsia="宋体"/>
          <w:lang w:eastAsia="zh-CN"/>
        </w:rPr>
        <w:t>宣汉县环境保护局出具了《关于</w:t>
      </w:r>
      <w:r>
        <w:rPr>
          <w:rFonts w:hint="eastAsia" w:hAnsi="Times New Roman" w:eastAsia="宋体"/>
          <w:lang w:eastAsia="zh-CN"/>
        </w:rPr>
        <w:t>达州市宣汉县七里峡煤业有限公司七里峡煤矿150kt/a改扩建项目</w:t>
      </w:r>
      <w:r>
        <w:rPr>
          <w:rFonts w:hAnsi="Times New Roman" w:eastAsia="宋体"/>
          <w:lang w:eastAsia="zh-CN"/>
        </w:rPr>
        <w:t>环境影响报告书的批复》（宣环审[201</w:t>
      </w:r>
      <w:r>
        <w:rPr>
          <w:rFonts w:hint="eastAsia" w:hAnsi="Times New Roman" w:eastAsia="宋体"/>
          <w:lang w:eastAsia="zh-CN"/>
        </w:rPr>
        <w:t>4</w:t>
      </w:r>
      <w:r>
        <w:rPr>
          <w:rFonts w:hAnsi="Times New Roman" w:eastAsia="宋体"/>
          <w:lang w:eastAsia="zh-CN"/>
        </w:rPr>
        <w:t>]1</w:t>
      </w:r>
      <w:r>
        <w:rPr>
          <w:rFonts w:hint="eastAsia" w:hAnsi="Times New Roman" w:eastAsia="宋体"/>
          <w:lang w:eastAsia="zh-CN"/>
        </w:rPr>
        <w:t>08</w:t>
      </w:r>
      <w:r>
        <w:rPr>
          <w:rFonts w:hAnsi="Times New Roman" w:eastAsia="宋体"/>
          <w:lang w:eastAsia="zh-CN"/>
        </w:rPr>
        <w:t>号）。</w:t>
      </w:r>
    </w:p>
    <w:p>
      <w:pPr>
        <w:spacing w:line="360" w:lineRule="auto"/>
        <w:ind w:firstLine="480" w:firstLineChars="200"/>
        <w:rPr>
          <w:rFonts w:hAnsi="Times New Roman" w:eastAsia="宋体"/>
          <w:lang w:eastAsia="zh-CN"/>
        </w:rPr>
      </w:pPr>
      <w:bookmarkStart w:id="64" w:name="_Hlk106543483"/>
      <w:r>
        <w:rPr>
          <w:rFonts w:hAnsi="Times New Roman" w:eastAsia="宋体"/>
          <w:lang w:eastAsia="zh-CN"/>
        </w:rPr>
        <w:t>2019年</w:t>
      </w:r>
      <w:r>
        <w:rPr>
          <w:rFonts w:hint="eastAsia" w:hAnsi="Times New Roman" w:eastAsia="宋体"/>
          <w:lang w:eastAsia="zh-CN"/>
        </w:rPr>
        <w:t>3</w:t>
      </w:r>
      <w:r>
        <w:rPr>
          <w:rFonts w:hAnsi="Times New Roman" w:eastAsia="宋体"/>
          <w:lang w:eastAsia="zh-CN"/>
        </w:rPr>
        <w:t>月，</w:t>
      </w:r>
      <w:r>
        <w:rPr>
          <w:rFonts w:hint="eastAsia" w:hAnsi="Times New Roman" w:eastAsia="宋体"/>
          <w:lang w:eastAsia="zh-CN"/>
        </w:rPr>
        <w:t>达州市宣汉县七里峡煤业有限公司委托四川省华检技术检测服务有限公司</w:t>
      </w:r>
      <w:r>
        <w:rPr>
          <w:rFonts w:hAnsi="Times New Roman" w:eastAsia="宋体"/>
          <w:lang w:eastAsia="zh-CN"/>
        </w:rPr>
        <w:t>编制完成《</w:t>
      </w:r>
      <w:r>
        <w:rPr>
          <w:rFonts w:hint="eastAsia" w:hAnsi="Times New Roman" w:eastAsia="宋体"/>
          <w:lang w:eastAsia="zh-CN"/>
        </w:rPr>
        <w:t>达州市宣汉县七里峡煤业有限公司七里峡煤矿150kt/a改扩建项目</w:t>
      </w:r>
      <w:r>
        <w:rPr>
          <w:rFonts w:hAnsi="Times New Roman" w:eastAsia="宋体"/>
          <w:lang w:eastAsia="zh-CN"/>
        </w:rPr>
        <w:t>竣工环境保护验收调查报告》，并通过验收。</w:t>
      </w:r>
    </w:p>
    <w:bookmarkEnd w:id="64"/>
    <w:p>
      <w:pPr>
        <w:pStyle w:val="6"/>
        <w:rPr>
          <w:lang w:eastAsia="zh-CN"/>
        </w:rPr>
      </w:pPr>
      <w:bookmarkStart w:id="65" w:name="_Toc163812502"/>
      <w:bookmarkStart w:id="66" w:name="_Toc167095125"/>
      <w:r>
        <w:rPr>
          <w:lang w:eastAsia="zh-CN"/>
        </w:rPr>
        <w:t>2.1.2 现有煤矿生产情况</w:t>
      </w:r>
      <w:bookmarkEnd w:id="65"/>
      <w:bookmarkEnd w:id="66"/>
    </w:p>
    <w:p>
      <w:pPr>
        <w:spacing w:line="360" w:lineRule="auto"/>
        <w:ind w:firstLine="480" w:firstLineChars="200"/>
        <w:rPr>
          <w:rFonts w:hAnsi="Times New Roman" w:eastAsia="宋体"/>
          <w:lang w:eastAsia="zh-CN"/>
        </w:rPr>
      </w:pPr>
      <w:r>
        <w:rPr>
          <w:rFonts w:hAnsi="Times New Roman" w:eastAsia="宋体"/>
          <w:lang w:eastAsia="zh-CN"/>
        </w:rPr>
        <w:t>2021年1月28日由四川省自然资源厅换发了采矿许可证，证号为C5100002010111120084196；有效期限贰年（自2021年1月28日至2023年1月28日）；经济类型：有限责任公司；开采矿种：煤；开采方式：地下开采；生产规模：15.0万吨/年；准采煤层：K</w:t>
      </w:r>
      <w:r>
        <w:rPr>
          <w:rFonts w:hAnsi="Times New Roman" w:eastAsia="宋体"/>
          <w:vertAlign w:val="subscript"/>
          <w:lang w:eastAsia="zh-CN"/>
        </w:rPr>
        <w:t>4</w:t>
      </w:r>
      <w:r>
        <w:rPr>
          <w:rFonts w:hAnsi="Times New Roman" w:eastAsia="宋体"/>
          <w:lang w:eastAsia="zh-CN"/>
        </w:rPr>
        <w:t>、K</w:t>
      </w:r>
      <w:r>
        <w:rPr>
          <w:rFonts w:hAnsi="Times New Roman" w:eastAsia="宋体"/>
          <w:vertAlign w:val="subscript"/>
          <w:lang w:eastAsia="zh-CN"/>
        </w:rPr>
        <w:t>5</w:t>
      </w:r>
      <w:r>
        <w:rPr>
          <w:rFonts w:hAnsi="Times New Roman" w:eastAsia="宋体"/>
          <w:lang w:eastAsia="zh-CN"/>
        </w:rPr>
        <w:t>、K</w:t>
      </w:r>
      <w:r>
        <w:rPr>
          <w:rFonts w:hAnsi="Times New Roman" w:eastAsia="宋体"/>
          <w:vertAlign w:val="subscript"/>
          <w:lang w:eastAsia="zh-CN"/>
        </w:rPr>
        <w:t>5-1</w:t>
      </w:r>
      <w:r>
        <w:rPr>
          <w:rFonts w:hAnsi="Times New Roman" w:eastAsia="宋体"/>
          <w:lang w:eastAsia="zh-CN"/>
        </w:rPr>
        <w:t>、K</w:t>
      </w:r>
      <w:r>
        <w:rPr>
          <w:rFonts w:hAnsi="Times New Roman" w:eastAsia="宋体"/>
          <w:vertAlign w:val="subscript"/>
          <w:lang w:eastAsia="zh-CN"/>
        </w:rPr>
        <w:t>6</w:t>
      </w:r>
      <w:r>
        <w:rPr>
          <w:rFonts w:hAnsi="Times New Roman" w:eastAsia="宋体"/>
          <w:lang w:eastAsia="zh-CN"/>
        </w:rPr>
        <w:t>、K</w:t>
      </w:r>
      <w:r>
        <w:rPr>
          <w:rFonts w:hAnsi="Times New Roman" w:eastAsia="宋体"/>
          <w:vertAlign w:val="subscript"/>
          <w:lang w:eastAsia="zh-CN"/>
        </w:rPr>
        <w:t>8</w:t>
      </w:r>
      <w:r>
        <w:rPr>
          <w:rFonts w:hAnsi="Times New Roman" w:eastAsia="宋体"/>
          <w:lang w:eastAsia="zh-CN"/>
        </w:rPr>
        <w:t>、K</w:t>
      </w:r>
      <w:r>
        <w:rPr>
          <w:rFonts w:hAnsi="Times New Roman" w:eastAsia="宋体"/>
          <w:vertAlign w:val="subscript"/>
          <w:lang w:eastAsia="zh-CN"/>
        </w:rPr>
        <w:t>10</w:t>
      </w:r>
      <w:r>
        <w:rPr>
          <w:rFonts w:hAnsi="Times New Roman" w:eastAsia="宋体"/>
          <w:lang w:eastAsia="zh-CN"/>
        </w:rPr>
        <w:t>煤层；准采标高：+670m～+200m；矿区面积：3.4715 km</w:t>
      </w:r>
      <w:r>
        <w:rPr>
          <w:rFonts w:hAnsi="Times New Roman" w:eastAsia="宋体"/>
          <w:vertAlign w:val="superscript"/>
          <w:lang w:eastAsia="zh-CN"/>
        </w:rPr>
        <w:t>2</w:t>
      </w:r>
      <w:r>
        <w:rPr>
          <w:rFonts w:hAnsi="Times New Roman" w:eastAsia="宋体"/>
          <w:lang w:eastAsia="zh-CN"/>
        </w:rPr>
        <w:t>，矿区范围由32个拐点圈闭。</w:t>
      </w:r>
    </w:p>
    <w:p>
      <w:pPr>
        <w:pStyle w:val="8"/>
        <w:rPr>
          <w:rFonts w:ascii="Times New Roman" w:hAnsi="Times New Roman"/>
          <w:lang w:eastAsia="zh-CN"/>
        </w:rPr>
      </w:pPr>
      <w:r>
        <w:rPr>
          <w:rFonts w:ascii="Times New Roman" w:hAnsi="Times New Roman"/>
          <w:lang w:eastAsia="zh-CN"/>
        </w:rPr>
        <w:t>2.1.2.1 建设内容及项目组成</w:t>
      </w:r>
    </w:p>
    <w:p>
      <w:pPr>
        <w:spacing w:line="360" w:lineRule="auto"/>
        <w:ind w:firstLine="480" w:firstLineChars="200"/>
        <w:rPr>
          <w:rFonts w:hAnsi="Times New Roman" w:eastAsia="宋体"/>
          <w:lang w:eastAsia="zh-CN"/>
        </w:rPr>
      </w:pPr>
      <w:r>
        <w:rPr>
          <w:rFonts w:hAnsi="Times New Roman" w:eastAsia="宋体"/>
          <w:lang w:eastAsia="zh-CN"/>
        </w:rPr>
        <w:t>现有工业场地现有煤矿为合法生产矿井，生产能力15万t/a的，</w:t>
      </w:r>
      <w:r>
        <w:rPr>
          <w:rFonts w:hAnsi="Times New Roman" w:eastAsia="宋体"/>
          <w:szCs w:val="22"/>
          <w:lang w:eastAsia="zh-CN"/>
        </w:rPr>
        <w:t>建设内容包括井巷工程、地面生产系统及储运系统、辅助工程、公用工程、配套工程及环保工程等。</w:t>
      </w:r>
      <w:r>
        <w:rPr>
          <w:rFonts w:hAnsi="Times New Roman" w:eastAsia="宋体"/>
          <w:lang w:eastAsia="zh-CN"/>
        </w:rPr>
        <w:t>其建设情况详见下。</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表2.1-1 现有项目组成表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528"/>
        <w:gridCol w:w="429"/>
        <w:gridCol w:w="1096"/>
        <w:gridCol w:w="5545"/>
        <w:gridCol w:w="16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86"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名</w:t>
            </w:r>
          </w:p>
          <w:p>
            <w:pPr>
              <w:keepNext w:val="0"/>
              <w:keepLines w:val="0"/>
              <w:suppressLineNumbers w:val="0"/>
              <w:spacing w:before="0" w:beforeAutospacing="0" w:after="0" w:afterAutospacing="0" w:line="26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称</w:t>
            </w:r>
          </w:p>
        </w:tc>
        <w:tc>
          <w:tcPr>
            <w:tcW w:w="3824" w:type="pct"/>
            <w:gridSpan w:val="3"/>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建设内容及规模</w:t>
            </w:r>
          </w:p>
        </w:tc>
        <w:tc>
          <w:tcPr>
            <w:tcW w:w="88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存在的环境问题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86" w:type="pct"/>
            <w:vMerge w:val="restar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主体工程</w:t>
            </w:r>
          </w:p>
        </w:tc>
        <w:tc>
          <w:tcPr>
            <w:tcW w:w="825" w:type="pct"/>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井田</w:t>
            </w:r>
          </w:p>
        </w:tc>
        <w:tc>
          <w:tcPr>
            <w:tcW w:w="299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矿区走向长约16000m，倾斜宽230m左右，面积3.4715km</w:t>
            </w:r>
            <w:r>
              <w:rPr>
                <w:rFonts w:hint="eastAsia" w:hAnsi="Times New Roman" w:eastAsia="宋体"/>
                <w:kern w:val="2"/>
                <w:sz w:val="21"/>
                <w:szCs w:val="21"/>
                <w:vertAlign w:val="superscript"/>
                <w:lang w:eastAsia="zh-CN"/>
              </w:rPr>
              <w:t>2</w:t>
            </w:r>
            <w:r>
              <w:rPr>
                <w:rFonts w:hint="eastAsia" w:hAnsi="Times New Roman" w:eastAsia="宋体"/>
                <w:kern w:val="2"/>
                <w:sz w:val="21"/>
                <w:szCs w:val="21"/>
                <w:lang w:eastAsia="zh-CN"/>
              </w:rPr>
              <w:t>，准采标高：+670 m～+200m。准采煤层：K</w:t>
            </w:r>
            <w:r>
              <w:rPr>
                <w:rFonts w:hint="eastAsia" w:hAnsi="Times New Roman" w:eastAsia="宋体"/>
                <w:kern w:val="2"/>
                <w:sz w:val="21"/>
                <w:szCs w:val="21"/>
                <w:vertAlign w:val="subscript"/>
                <w:lang w:eastAsia="zh-CN"/>
              </w:rPr>
              <w:t>10</w:t>
            </w:r>
            <w:r>
              <w:rPr>
                <w:rFonts w:hint="eastAsia" w:hAnsi="Times New Roman" w:eastAsia="宋体"/>
                <w:kern w:val="2"/>
                <w:sz w:val="21"/>
                <w:szCs w:val="21"/>
                <w:lang w:eastAsia="zh-CN"/>
              </w:rPr>
              <w:t>、K</w:t>
            </w:r>
            <w:r>
              <w:rPr>
                <w:rFonts w:hint="eastAsia" w:hAnsi="Times New Roman" w:eastAsia="宋体"/>
                <w:kern w:val="2"/>
                <w:sz w:val="21"/>
                <w:szCs w:val="21"/>
                <w:vertAlign w:val="subscript"/>
                <w:lang w:eastAsia="zh-CN"/>
              </w:rPr>
              <w:t>8</w:t>
            </w:r>
            <w:r>
              <w:rPr>
                <w:rFonts w:hint="eastAsia" w:hAnsi="Times New Roman" w:eastAsia="宋体"/>
                <w:kern w:val="2"/>
                <w:sz w:val="21"/>
                <w:szCs w:val="21"/>
                <w:lang w:eastAsia="zh-CN"/>
              </w:rPr>
              <w:t>、K</w:t>
            </w:r>
            <w:r>
              <w:rPr>
                <w:rFonts w:hint="eastAsia" w:hAnsi="Times New Roman" w:eastAsia="宋体"/>
                <w:kern w:val="2"/>
                <w:sz w:val="21"/>
                <w:szCs w:val="21"/>
                <w:vertAlign w:val="subscript"/>
                <w:lang w:eastAsia="zh-CN"/>
              </w:rPr>
              <w:t>6</w:t>
            </w:r>
            <w:r>
              <w:rPr>
                <w:rFonts w:hint="eastAsia" w:hAnsi="Times New Roman" w:eastAsia="宋体"/>
                <w:kern w:val="2"/>
                <w:sz w:val="21"/>
                <w:szCs w:val="21"/>
                <w:lang w:eastAsia="zh-CN"/>
              </w:rPr>
              <w:t>、K</w:t>
            </w:r>
            <w:r>
              <w:rPr>
                <w:rFonts w:hint="eastAsia" w:hAnsi="Times New Roman" w:eastAsia="宋体"/>
                <w:kern w:val="2"/>
                <w:sz w:val="21"/>
                <w:szCs w:val="21"/>
                <w:vertAlign w:val="subscript"/>
                <w:lang w:eastAsia="zh-CN"/>
              </w:rPr>
              <w:t>5-1</w:t>
            </w:r>
            <w:r>
              <w:rPr>
                <w:rFonts w:hint="eastAsia" w:hAnsi="Times New Roman" w:eastAsia="宋体"/>
                <w:kern w:val="2"/>
                <w:sz w:val="21"/>
                <w:szCs w:val="21"/>
                <w:lang w:eastAsia="zh-CN"/>
              </w:rPr>
              <w:t>、K</w:t>
            </w:r>
            <w:r>
              <w:rPr>
                <w:rFonts w:hint="eastAsia" w:hAnsi="Times New Roman" w:eastAsia="宋体"/>
                <w:kern w:val="2"/>
                <w:sz w:val="21"/>
                <w:szCs w:val="21"/>
                <w:vertAlign w:val="subscript"/>
                <w:lang w:eastAsia="zh-CN"/>
              </w:rPr>
              <w:t>5</w:t>
            </w:r>
            <w:r>
              <w:rPr>
                <w:rFonts w:hint="eastAsia" w:hAnsi="Times New Roman" w:eastAsia="宋体"/>
                <w:kern w:val="2"/>
                <w:sz w:val="21"/>
                <w:szCs w:val="21"/>
                <w:lang w:eastAsia="zh-CN"/>
              </w:rPr>
              <w:t>和K</w:t>
            </w:r>
            <w:r>
              <w:rPr>
                <w:rFonts w:hint="eastAsia" w:hAnsi="Times New Roman" w:eastAsia="宋体"/>
                <w:kern w:val="2"/>
                <w:sz w:val="21"/>
                <w:szCs w:val="21"/>
                <w:vertAlign w:val="subscript"/>
                <w:lang w:eastAsia="zh-CN"/>
              </w:rPr>
              <w:t>4</w:t>
            </w:r>
            <w:r>
              <w:rPr>
                <w:rFonts w:hint="eastAsia" w:hAnsi="Times New Roman" w:eastAsia="宋体"/>
                <w:kern w:val="2"/>
                <w:sz w:val="21"/>
                <w:szCs w:val="21"/>
                <w:lang w:eastAsia="zh-CN"/>
              </w:rPr>
              <w:t>煤层；</w:t>
            </w:r>
          </w:p>
        </w:tc>
        <w:tc>
          <w:tcPr>
            <w:tcW w:w="88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86"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232" w:type="pct"/>
            <w:vMerge w:val="restar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井巷工程</w:t>
            </w:r>
          </w:p>
        </w:tc>
        <w:tc>
          <w:tcPr>
            <w:tcW w:w="593"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+379m主平硐</w:t>
            </w:r>
          </w:p>
        </w:tc>
        <w:tc>
          <w:tcPr>
            <w:tcW w:w="299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平硐井型，标高+379m，长1082m，承担矿井煤、矸、材料和设备运输，管缆线敷设，进风及安全出口等任务，净断面9.1m</w:t>
            </w:r>
            <w:r>
              <w:rPr>
                <w:rFonts w:hint="eastAsia" w:hAnsi="Times New Roman" w:eastAsia="宋体"/>
                <w:kern w:val="2"/>
                <w:sz w:val="21"/>
                <w:szCs w:val="21"/>
                <w:vertAlign w:val="superscript"/>
                <w:lang w:eastAsia="zh-CN"/>
              </w:rPr>
              <w:t>2</w:t>
            </w:r>
            <w:r>
              <w:rPr>
                <w:rFonts w:hint="eastAsia" w:hAnsi="Times New Roman" w:eastAsia="宋体"/>
                <w:kern w:val="2"/>
                <w:sz w:val="21"/>
                <w:szCs w:val="21"/>
                <w:lang w:eastAsia="zh-CN"/>
              </w:rPr>
              <w:t>，井筒内铺设钢轨。</w:t>
            </w:r>
          </w:p>
        </w:tc>
        <w:tc>
          <w:tcPr>
            <w:tcW w:w="88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86"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232"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p>
        </w:tc>
        <w:tc>
          <w:tcPr>
            <w:tcW w:w="593"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+411m副平硐</w:t>
            </w:r>
          </w:p>
        </w:tc>
        <w:tc>
          <w:tcPr>
            <w:tcW w:w="299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平硐井型，标高+411m，长400m，主要担负矿井二、四采区矸石、材料及设备运输、行人、进风等任务（四采区开采结束后关闭），净断面6.5m</w:t>
            </w:r>
            <w:r>
              <w:rPr>
                <w:rFonts w:hint="eastAsia" w:hAnsi="Times New Roman" w:eastAsia="宋体"/>
                <w:kern w:val="2"/>
                <w:sz w:val="21"/>
                <w:szCs w:val="21"/>
                <w:vertAlign w:val="superscript"/>
                <w:lang w:eastAsia="zh-CN"/>
              </w:rPr>
              <w:t>2</w:t>
            </w:r>
            <w:r>
              <w:rPr>
                <w:rFonts w:hint="eastAsia" w:hAnsi="Times New Roman" w:eastAsia="宋体"/>
                <w:kern w:val="2"/>
                <w:sz w:val="21"/>
                <w:szCs w:val="21"/>
                <w:lang w:eastAsia="zh-CN"/>
              </w:rPr>
              <w:t>。</w:t>
            </w:r>
          </w:p>
        </w:tc>
        <w:tc>
          <w:tcPr>
            <w:tcW w:w="88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86"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232"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593"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+5</w:t>
            </w:r>
            <w:r>
              <w:rPr>
                <w:rFonts w:hint="eastAsia" w:hAnsi="Times New Roman" w:eastAsia="宋体"/>
                <w:kern w:val="2"/>
                <w:sz w:val="21"/>
                <w:szCs w:val="21"/>
                <w:lang w:eastAsia="zh-CN"/>
              </w:rPr>
              <w:t>39.5</w:t>
            </w:r>
            <w:r>
              <w:rPr>
                <w:rFonts w:hint="eastAsia" w:hAnsi="Times New Roman" w:eastAsia="宋体"/>
                <w:kern w:val="2"/>
                <w:sz w:val="21"/>
                <w:szCs w:val="21"/>
              </w:rPr>
              <w:t>m进风斜井</w:t>
            </w:r>
          </w:p>
        </w:tc>
        <w:tc>
          <w:tcPr>
            <w:tcW w:w="299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斜井井型，标高+539.5m，斜长390m，担负全矿井辅助进风、消防洒水管路敷设和安全出口，净断面5.14m</w:t>
            </w:r>
            <w:r>
              <w:rPr>
                <w:rFonts w:hint="eastAsia" w:hAnsi="Times New Roman" w:eastAsia="宋体"/>
                <w:kern w:val="2"/>
                <w:sz w:val="21"/>
                <w:szCs w:val="21"/>
                <w:vertAlign w:val="superscript"/>
                <w:lang w:eastAsia="zh-CN"/>
              </w:rPr>
              <w:t>2</w:t>
            </w:r>
            <w:r>
              <w:rPr>
                <w:rFonts w:hint="eastAsia" w:hAnsi="Times New Roman" w:eastAsia="宋体"/>
                <w:kern w:val="2"/>
                <w:sz w:val="21"/>
                <w:szCs w:val="21"/>
                <w:lang w:eastAsia="zh-CN"/>
              </w:rPr>
              <w:t>。</w:t>
            </w:r>
          </w:p>
        </w:tc>
        <w:tc>
          <w:tcPr>
            <w:tcW w:w="88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86"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232"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p>
        </w:tc>
        <w:tc>
          <w:tcPr>
            <w:tcW w:w="593"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+572m回风平硐</w:t>
            </w:r>
          </w:p>
        </w:tc>
        <w:tc>
          <w:tcPr>
            <w:tcW w:w="299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平硐井型，标高+572m，长118m，担负矿井开丰井田二、四采区回风兼紧急情况下的安全出口（四采区开采结束后关闭），装备主要通风机，净断面7.3m</w:t>
            </w:r>
            <w:r>
              <w:rPr>
                <w:rFonts w:hint="eastAsia" w:hAnsi="Times New Roman" w:eastAsia="宋体"/>
                <w:kern w:val="2"/>
                <w:sz w:val="21"/>
                <w:szCs w:val="21"/>
                <w:vertAlign w:val="superscript"/>
                <w:lang w:eastAsia="zh-CN"/>
              </w:rPr>
              <w:t>2</w:t>
            </w:r>
            <w:r>
              <w:rPr>
                <w:rFonts w:hint="eastAsia" w:hAnsi="Times New Roman" w:eastAsia="宋体"/>
                <w:kern w:val="2"/>
                <w:sz w:val="21"/>
                <w:szCs w:val="21"/>
                <w:lang w:eastAsia="zh-CN"/>
              </w:rPr>
              <w:t>。</w:t>
            </w:r>
          </w:p>
        </w:tc>
        <w:tc>
          <w:tcPr>
            <w:tcW w:w="88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86"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232"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p>
        </w:tc>
        <w:tc>
          <w:tcPr>
            <w:tcW w:w="593"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+548m回风平硐</w:t>
            </w:r>
          </w:p>
        </w:tc>
        <w:tc>
          <w:tcPr>
            <w:tcW w:w="299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平硐井型，标高+548m，长246m，担负矿井长田井田一采区回风兼紧急情况下的安全出口（一采区开采结束后关闭），装备通风设备，净断面7.3m</w:t>
            </w:r>
            <w:r>
              <w:rPr>
                <w:rFonts w:hint="eastAsia" w:hAnsi="Times New Roman" w:eastAsia="宋体"/>
                <w:kern w:val="2"/>
                <w:sz w:val="21"/>
                <w:szCs w:val="21"/>
                <w:vertAlign w:val="superscript"/>
                <w:lang w:eastAsia="zh-CN"/>
              </w:rPr>
              <w:t>2</w:t>
            </w:r>
            <w:r>
              <w:rPr>
                <w:rFonts w:hint="eastAsia" w:hAnsi="Times New Roman" w:eastAsia="宋体"/>
                <w:kern w:val="2"/>
                <w:sz w:val="21"/>
                <w:szCs w:val="21"/>
                <w:lang w:eastAsia="zh-CN"/>
              </w:rPr>
              <w:t>。</w:t>
            </w:r>
          </w:p>
        </w:tc>
        <w:tc>
          <w:tcPr>
            <w:tcW w:w="88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86"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232" w:type="pct"/>
            <w:vMerge w:val="restar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地面生产系统及储运</w:t>
            </w:r>
            <w:r>
              <w:rPr>
                <w:rFonts w:hint="eastAsia" w:hAnsi="Times New Roman" w:eastAsia="宋体"/>
                <w:kern w:val="2"/>
                <w:sz w:val="21"/>
                <w:szCs w:val="21"/>
                <w:lang w:eastAsia="zh-CN"/>
              </w:rPr>
              <w:t>系统</w:t>
            </w:r>
          </w:p>
        </w:tc>
        <w:tc>
          <w:tcPr>
            <w:tcW w:w="593"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工业广场</w:t>
            </w:r>
          </w:p>
        </w:tc>
        <w:tc>
          <w:tcPr>
            <w:tcW w:w="299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spacing w:val="-2"/>
                <w:kern w:val="2"/>
                <w:sz w:val="21"/>
                <w:szCs w:val="22"/>
              </w:rPr>
              <w:t>位于</w:t>
            </w:r>
            <w:r>
              <w:rPr>
                <w:rFonts w:hint="eastAsia" w:hAnsi="Times New Roman" w:eastAsia="宋体"/>
                <w:spacing w:val="-6"/>
                <w:kern w:val="2"/>
                <w:sz w:val="21"/>
                <w:szCs w:val="21"/>
                <w:lang w:eastAsia="zh-CN"/>
              </w:rPr>
              <w:t>+379m</w:t>
            </w:r>
            <w:r>
              <w:rPr>
                <w:rFonts w:hint="eastAsia" w:hAnsi="Times New Roman" w:eastAsia="宋体"/>
                <w:spacing w:val="-2"/>
                <w:kern w:val="2"/>
                <w:sz w:val="21"/>
                <w:szCs w:val="22"/>
              </w:rPr>
              <w:t>主平硐外。包括压风机房、</w:t>
            </w:r>
            <w:r>
              <w:rPr>
                <w:rFonts w:hint="eastAsia" w:hAnsi="Times New Roman" w:eastAsia="宋体"/>
                <w:spacing w:val="-2"/>
                <w:kern w:val="2"/>
                <w:sz w:val="21"/>
                <w:szCs w:val="22"/>
                <w:lang w:eastAsia="zh-CN"/>
              </w:rPr>
              <w:t>窄轨铁路</w:t>
            </w:r>
            <w:r>
              <w:rPr>
                <w:rFonts w:hint="eastAsia" w:hAnsi="Times New Roman" w:eastAsia="宋体"/>
                <w:spacing w:val="-2"/>
                <w:kern w:val="2"/>
                <w:sz w:val="21"/>
                <w:szCs w:val="22"/>
              </w:rPr>
              <w:t>、机修车间、</w:t>
            </w:r>
            <w:r>
              <w:rPr>
                <w:rFonts w:hint="eastAsia" w:hAnsi="Times New Roman" w:eastAsia="宋体"/>
                <w:spacing w:val="-2"/>
                <w:kern w:val="2"/>
                <w:sz w:val="21"/>
                <w:szCs w:val="22"/>
                <w:lang w:eastAsia="zh-CN"/>
              </w:rPr>
              <w:t>变电所、</w:t>
            </w:r>
            <w:r>
              <w:rPr>
                <w:rFonts w:hint="eastAsia" w:hAnsi="Times New Roman" w:eastAsia="宋体"/>
                <w:spacing w:val="-2"/>
                <w:kern w:val="2"/>
                <w:sz w:val="21"/>
                <w:szCs w:val="22"/>
              </w:rPr>
              <w:t>办公楼、</w:t>
            </w:r>
            <w:r>
              <w:rPr>
                <w:rFonts w:hint="eastAsia" w:hAnsi="Times New Roman" w:eastAsia="宋体"/>
                <w:spacing w:val="-2"/>
                <w:kern w:val="2"/>
                <w:sz w:val="21"/>
                <w:szCs w:val="22"/>
                <w:lang w:eastAsia="zh-CN"/>
              </w:rPr>
              <w:t>宿舍楼、一体化污水处理站</w:t>
            </w:r>
            <w:r>
              <w:rPr>
                <w:rFonts w:hint="eastAsia" w:hAnsi="Times New Roman" w:eastAsia="宋体"/>
                <w:spacing w:val="-2"/>
                <w:kern w:val="2"/>
                <w:sz w:val="21"/>
                <w:szCs w:val="22"/>
              </w:rPr>
              <w:t>、</w:t>
            </w:r>
            <w:r>
              <w:rPr>
                <w:rFonts w:hint="eastAsia" w:hAnsi="Times New Roman" w:eastAsia="宋体"/>
                <w:kern w:val="2"/>
                <w:sz w:val="21"/>
                <w:szCs w:val="21"/>
                <w:lang w:eastAsia="zh-CN"/>
              </w:rPr>
              <w:t>综采设备中转库、矿灯房、</w:t>
            </w:r>
            <w:r>
              <w:rPr>
                <w:rFonts w:hint="eastAsia" w:hAnsi="Times New Roman" w:eastAsia="宋体"/>
                <w:spacing w:val="-2"/>
                <w:kern w:val="2"/>
                <w:sz w:val="21"/>
                <w:szCs w:val="22"/>
              </w:rPr>
              <w:t>坑</w:t>
            </w:r>
            <w:r>
              <w:rPr>
                <w:rFonts w:hint="eastAsia" w:hAnsi="Times New Roman" w:eastAsia="宋体"/>
                <w:spacing w:val="-2"/>
                <w:kern w:val="2"/>
                <w:sz w:val="21"/>
                <w:szCs w:val="22"/>
                <w:lang w:eastAsia="zh-CN"/>
              </w:rPr>
              <w:t>木</w:t>
            </w:r>
            <w:r>
              <w:rPr>
                <w:rFonts w:hint="eastAsia" w:hAnsi="Times New Roman" w:eastAsia="宋体"/>
                <w:spacing w:val="-2"/>
                <w:kern w:val="2"/>
                <w:sz w:val="21"/>
                <w:szCs w:val="22"/>
              </w:rPr>
              <w:t>加工房等，占地面积</w:t>
            </w:r>
            <w:r>
              <w:rPr>
                <w:rFonts w:hint="eastAsia" w:hAnsi="Times New Roman" w:eastAsia="宋体"/>
                <w:spacing w:val="-2"/>
                <w:kern w:val="2"/>
                <w:sz w:val="21"/>
                <w:szCs w:val="22"/>
                <w:lang w:eastAsia="zh-CN"/>
              </w:rPr>
              <w:t>4.6hm</w:t>
            </w:r>
            <w:r>
              <w:rPr>
                <w:rFonts w:hint="eastAsia" w:hAnsi="Times New Roman" w:eastAsia="宋体"/>
                <w:spacing w:val="-2"/>
                <w:kern w:val="2"/>
                <w:sz w:val="21"/>
                <w:szCs w:val="22"/>
                <w:vertAlign w:val="superscript"/>
              </w:rPr>
              <w:t>2</w:t>
            </w:r>
            <w:r>
              <w:rPr>
                <w:rFonts w:hint="eastAsia" w:hAnsi="Times New Roman" w:eastAsia="宋体"/>
                <w:kern w:val="2"/>
                <w:sz w:val="21"/>
                <w:szCs w:val="21"/>
                <w:lang w:eastAsia="zh-CN"/>
              </w:rPr>
              <w:t>。</w:t>
            </w:r>
          </w:p>
        </w:tc>
        <w:tc>
          <w:tcPr>
            <w:tcW w:w="88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86"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232"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593"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通风系统</w:t>
            </w:r>
          </w:p>
        </w:tc>
        <w:tc>
          <w:tcPr>
            <w:tcW w:w="299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通风</w:t>
            </w:r>
            <w:r>
              <w:rPr>
                <w:rFonts w:hint="eastAsia" w:hAnsi="Times New Roman" w:eastAsia="宋体"/>
                <w:kern w:val="2"/>
                <w:sz w:val="21"/>
                <w:szCs w:val="21"/>
              </w:rPr>
              <w:t>方式为</w:t>
            </w:r>
            <w:r>
              <w:rPr>
                <w:rFonts w:hint="eastAsia" w:hAnsi="Times New Roman" w:eastAsia="宋体"/>
                <w:kern w:val="2"/>
                <w:sz w:val="21"/>
                <w:szCs w:val="21"/>
                <w:lang w:eastAsia="zh-CN"/>
              </w:rPr>
              <w:t>分列式，风机房100m</w:t>
            </w:r>
            <w:r>
              <w:rPr>
                <w:rFonts w:hint="eastAsia" w:hAnsi="Times New Roman" w:eastAsia="宋体"/>
                <w:kern w:val="2"/>
                <w:sz w:val="21"/>
                <w:szCs w:val="21"/>
                <w:vertAlign w:val="superscript"/>
                <w:lang w:eastAsia="zh-CN"/>
              </w:rPr>
              <w:t>2</w:t>
            </w:r>
            <w:r>
              <w:rPr>
                <w:rFonts w:hint="eastAsia" w:hAnsi="Times New Roman" w:eastAsia="宋体"/>
                <w:kern w:val="2"/>
                <w:sz w:val="21"/>
                <w:szCs w:val="21"/>
                <w:lang w:eastAsia="zh-CN"/>
              </w:rPr>
              <w:t>。+572m回风平硐配备2台通风机，型号为FBCDZ-6-№16B/2×75型隔爆对旋轴流式通风机，一备一用；+548m回风平硐配备2台通风机，型号为FBCDZ-6-№17/2×75型隔爆对旋轴流式通风机，一备一用。进风井为自然进风，不安装设备。</w:t>
            </w:r>
          </w:p>
        </w:tc>
        <w:tc>
          <w:tcPr>
            <w:tcW w:w="88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86"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232"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p>
        </w:tc>
        <w:tc>
          <w:tcPr>
            <w:tcW w:w="593"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压风系统</w:t>
            </w:r>
          </w:p>
        </w:tc>
        <w:tc>
          <w:tcPr>
            <w:tcW w:w="299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主井工业场地配备2台BJ-10/8G型螺杆式空气压缩机；压缩空气站建筑面积135m</w:t>
            </w:r>
            <w:r>
              <w:rPr>
                <w:rFonts w:hint="eastAsia" w:hAnsi="Times New Roman" w:eastAsia="宋体"/>
                <w:kern w:val="2"/>
                <w:sz w:val="21"/>
                <w:szCs w:val="21"/>
                <w:vertAlign w:val="superscript"/>
                <w:lang w:eastAsia="zh-CN"/>
              </w:rPr>
              <w:t>2</w:t>
            </w:r>
          </w:p>
        </w:tc>
        <w:tc>
          <w:tcPr>
            <w:tcW w:w="88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86"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232"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p>
        </w:tc>
        <w:tc>
          <w:tcPr>
            <w:tcW w:w="593"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储煤场及装车场地</w:t>
            </w:r>
          </w:p>
        </w:tc>
        <w:tc>
          <w:tcPr>
            <w:tcW w:w="299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储存、装运原煤；建筑体积1100m</w:t>
            </w:r>
            <w:r>
              <w:rPr>
                <w:rFonts w:hint="eastAsia" w:hAnsi="Times New Roman" w:eastAsia="宋体"/>
                <w:kern w:val="2"/>
                <w:sz w:val="21"/>
                <w:szCs w:val="21"/>
                <w:vertAlign w:val="superscript"/>
                <w:lang w:eastAsia="zh-CN"/>
              </w:rPr>
              <w:t>3</w:t>
            </w:r>
            <w:r>
              <w:rPr>
                <w:rFonts w:hint="eastAsia" w:hAnsi="Times New Roman" w:eastAsia="宋体"/>
                <w:kern w:val="2"/>
                <w:sz w:val="21"/>
                <w:szCs w:val="21"/>
                <w:lang w:eastAsia="zh-CN"/>
              </w:rPr>
              <w:t>，储量约10000t。露天斜坡煤坪。配套建设喷淋除尘措施。</w:t>
            </w:r>
          </w:p>
        </w:tc>
        <w:tc>
          <w:tcPr>
            <w:tcW w:w="88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废气、噪声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86"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232"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p>
        </w:tc>
        <w:tc>
          <w:tcPr>
            <w:tcW w:w="593"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煤矸石堆置场</w:t>
            </w:r>
          </w:p>
        </w:tc>
        <w:tc>
          <w:tcPr>
            <w:tcW w:w="299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堆存矸石；主井工业场地北侧边坡位置，占地面积3600m</w:t>
            </w:r>
            <w:r>
              <w:rPr>
                <w:rFonts w:hint="eastAsia" w:hAnsi="Times New Roman" w:eastAsia="宋体"/>
                <w:kern w:val="2"/>
                <w:sz w:val="21"/>
                <w:szCs w:val="21"/>
                <w:vertAlign w:val="superscript"/>
                <w:lang w:eastAsia="zh-CN"/>
              </w:rPr>
              <w:t>2</w:t>
            </w:r>
            <w:r>
              <w:rPr>
                <w:rFonts w:hint="eastAsia" w:hAnsi="Times New Roman" w:eastAsia="宋体"/>
                <w:kern w:val="2"/>
                <w:sz w:val="21"/>
                <w:szCs w:val="21"/>
                <w:lang w:eastAsia="zh-CN"/>
              </w:rPr>
              <w:t>，容量约1.2万吨。</w:t>
            </w:r>
          </w:p>
        </w:tc>
        <w:tc>
          <w:tcPr>
            <w:tcW w:w="88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排矸场淋溶水未进行收集处理；现有排矸场拦挡不能满足要求。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86" w:type="pct"/>
            <w:vMerge w:val="restar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辅助工程</w:t>
            </w:r>
          </w:p>
        </w:tc>
        <w:tc>
          <w:tcPr>
            <w:tcW w:w="825" w:type="pct"/>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en-US"/>
              </w:rPr>
            </w:pPr>
            <w:r>
              <w:rPr>
                <w:rFonts w:hint="eastAsia" w:hAnsi="Times New Roman" w:eastAsia="宋体"/>
                <w:kern w:val="2"/>
                <w:sz w:val="21"/>
                <w:szCs w:val="21"/>
              </w:rPr>
              <w:t>窄轨铁路</w:t>
            </w:r>
          </w:p>
        </w:tc>
        <w:tc>
          <w:tcPr>
            <w:tcW w:w="299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煤炭及矸石矿车运输；600mm轨距，</w:t>
            </w:r>
            <w:r>
              <w:rPr>
                <w:rFonts w:hint="eastAsia" w:hAnsi="Times New Roman" w:eastAsia="宋体"/>
                <w:kern w:val="2"/>
                <w:sz w:val="21"/>
                <w:szCs w:val="21"/>
                <w:lang w:eastAsia="zh-CN"/>
              </w:rPr>
              <w:t>18</w:t>
            </w:r>
            <w:r>
              <w:rPr>
                <w:rFonts w:hint="eastAsia" w:hAnsi="Times New Roman" w:eastAsia="宋体"/>
                <w:kern w:val="2"/>
                <w:sz w:val="21"/>
                <w:szCs w:val="21"/>
              </w:rPr>
              <w:t>kg/m钢轨，长度约为</w:t>
            </w:r>
            <w:r>
              <w:rPr>
                <w:rFonts w:hint="eastAsia" w:hAnsi="Times New Roman" w:eastAsia="宋体"/>
                <w:kern w:val="2"/>
                <w:sz w:val="21"/>
                <w:szCs w:val="21"/>
                <w:lang w:eastAsia="zh-CN"/>
              </w:rPr>
              <w:t>460</w:t>
            </w:r>
            <w:r>
              <w:rPr>
                <w:rFonts w:hint="eastAsia" w:hAnsi="Times New Roman" w:eastAsia="宋体"/>
                <w:kern w:val="2"/>
                <w:sz w:val="21"/>
                <w:szCs w:val="21"/>
              </w:rPr>
              <w:t>m。</w:t>
            </w:r>
          </w:p>
        </w:tc>
        <w:tc>
          <w:tcPr>
            <w:tcW w:w="88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86"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825" w:type="pct"/>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en-US"/>
              </w:rPr>
            </w:pPr>
            <w:r>
              <w:rPr>
                <w:rFonts w:hint="eastAsia" w:hAnsi="Times New Roman" w:eastAsia="宋体"/>
                <w:kern w:val="2"/>
                <w:sz w:val="21"/>
                <w:szCs w:val="21"/>
              </w:rPr>
              <w:t>地磅房</w:t>
            </w:r>
          </w:p>
        </w:tc>
        <w:tc>
          <w:tcPr>
            <w:tcW w:w="299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进出车辆过磅；建筑面积</w:t>
            </w:r>
            <w:r>
              <w:rPr>
                <w:rFonts w:hint="eastAsia" w:hAnsi="Times New Roman" w:eastAsia="宋体"/>
                <w:kern w:val="2"/>
                <w:sz w:val="21"/>
                <w:szCs w:val="21"/>
                <w:lang w:eastAsia="zh-CN"/>
              </w:rPr>
              <w:t>40</w:t>
            </w:r>
            <w:r>
              <w:rPr>
                <w:rFonts w:hint="eastAsia" w:hAnsi="Times New Roman" w:eastAsia="宋体"/>
                <w:kern w:val="2"/>
                <w:sz w:val="21"/>
                <w:szCs w:val="21"/>
              </w:rPr>
              <w:t>m</w:t>
            </w:r>
            <w:r>
              <w:rPr>
                <w:rFonts w:hint="eastAsia" w:hAnsi="Times New Roman" w:eastAsia="宋体"/>
                <w:kern w:val="2"/>
                <w:sz w:val="21"/>
                <w:szCs w:val="21"/>
                <w:vertAlign w:val="superscript"/>
              </w:rPr>
              <w:t>2</w:t>
            </w:r>
          </w:p>
        </w:tc>
        <w:tc>
          <w:tcPr>
            <w:tcW w:w="88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86"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825" w:type="pct"/>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en-US"/>
              </w:rPr>
            </w:pPr>
            <w:r>
              <w:rPr>
                <w:rFonts w:hint="eastAsia" w:hAnsi="Times New Roman" w:eastAsia="宋体"/>
                <w:kern w:val="2"/>
                <w:sz w:val="21"/>
                <w:szCs w:val="21"/>
              </w:rPr>
              <w:t>机修车间</w:t>
            </w:r>
          </w:p>
        </w:tc>
        <w:tc>
          <w:tcPr>
            <w:tcW w:w="299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主要承担矿井机电设备的日常检修和维护，并承担矿车及拱形支架的修理，建筑面积</w:t>
            </w:r>
            <w:r>
              <w:rPr>
                <w:rFonts w:hint="eastAsia" w:hAnsi="Times New Roman" w:eastAsia="宋体"/>
                <w:kern w:val="2"/>
                <w:sz w:val="21"/>
                <w:szCs w:val="21"/>
                <w:lang w:eastAsia="zh-CN"/>
              </w:rPr>
              <w:t>80</w:t>
            </w:r>
            <w:r>
              <w:rPr>
                <w:rFonts w:hint="eastAsia" w:hAnsi="Times New Roman" w:eastAsia="宋体"/>
                <w:kern w:val="2"/>
                <w:sz w:val="21"/>
                <w:szCs w:val="21"/>
              </w:rPr>
              <w:t>m</w:t>
            </w:r>
            <w:r>
              <w:rPr>
                <w:rFonts w:hint="eastAsia" w:hAnsi="Times New Roman" w:eastAsia="宋体"/>
                <w:kern w:val="2"/>
                <w:sz w:val="21"/>
                <w:szCs w:val="21"/>
                <w:vertAlign w:val="superscript"/>
              </w:rPr>
              <w:t>2</w:t>
            </w:r>
          </w:p>
        </w:tc>
        <w:tc>
          <w:tcPr>
            <w:tcW w:w="88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废气、噪声、固废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86"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825" w:type="pct"/>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综采设备中转库</w:t>
            </w:r>
          </w:p>
        </w:tc>
        <w:tc>
          <w:tcPr>
            <w:tcW w:w="299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主要</w:t>
            </w:r>
            <w:r>
              <w:rPr>
                <w:rFonts w:hint="eastAsia" w:hAnsi="Times New Roman" w:eastAsia="宋体"/>
                <w:kern w:val="2"/>
                <w:sz w:val="21"/>
                <w:szCs w:val="21"/>
              </w:rPr>
              <w:t>承担液压支架、采煤机的临时存放及日常维护和保养</w:t>
            </w:r>
            <w:r>
              <w:rPr>
                <w:rFonts w:hint="eastAsia" w:hAnsi="Times New Roman" w:eastAsia="宋体"/>
                <w:kern w:val="2"/>
                <w:sz w:val="21"/>
                <w:szCs w:val="21"/>
                <w:lang w:eastAsia="zh-CN"/>
              </w:rPr>
              <w:t>，配有20吨LH型电动葫芦双梁桥式起重机1台，</w:t>
            </w:r>
            <w:r>
              <w:rPr>
                <w:rFonts w:hint="eastAsia" w:hAnsi="Times New Roman" w:eastAsia="宋体"/>
                <w:kern w:val="2"/>
                <w:sz w:val="21"/>
                <w:szCs w:val="21"/>
              </w:rPr>
              <w:t>建筑面积</w:t>
            </w:r>
            <w:r>
              <w:rPr>
                <w:rFonts w:hint="eastAsia" w:hAnsi="Times New Roman" w:eastAsia="宋体"/>
                <w:kern w:val="2"/>
                <w:sz w:val="21"/>
                <w:szCs w:val="21"/>
                <w:lang w:eastAsia="zh-CN"/>
              </w:rPr>
              <w:t>300</w:t>
            </w:r>
            <w:r>
              <w:rPr>
                <w:rFonts w:hint="eastAsia" w:hAnsi="Times New Roman" w:eastAsia="宋体"/>
                <w:kern w:val="2"/>
                <w:sz w:val="21"/>
                <w:szCs w:val="21"/>
              </w:rPr>
              <w:t>m</w:t>
            </w:r>
            <w:r>
              <w:rPr>
                <w:rFonts w:hint="eastAsia" w:hAnsi="Times New Roman" w:eastAsia="宋体"/>
                <w:kern w:val="2"/>
                <w:sz w:val="21"/>
                <w:szCs w:val="21"/>
                <w:vertAlign w:val="superscript"/>
              </w:rPr>
              <w:t>2</w:t>
            </w:r>
          </w:p>
        </w:tc>
        <w:tc>
          <w:tcPr>
            <w:tcW w:w="88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86"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825" w:type="pct"/>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en-US"/>
              </w:rPr>
            </w:pPr>
            <w:r>
              <w:rPr>
                <w:rFonts w:hint="eastAsia" w:hAnsi="Times New Roman" w:eastAsia="宋体"/>
                <w:kern w:val="2"/>
                <w:sz w:val="21"/>
                <w:szCs w:val="21"/>
              </w:rPr>
              <w:t>材料库</w:t>
            </w:r>
          </w:p>
        </w:tc>
        <w:tc>
          <w:tcPr>
            <w:tcW w:w="299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存放</w:t>
            </w:r>
            <w:r>
              <w:rPr>
                <w:rFonts w:hint="eastAsia" w:hAnsi="Times New Roman" w:eastAsia="宋体"/>
                <w:kern w:val="2"/>
                <w:sz w:val="21"/>
                <w:szCs w:val="21"/>
              </w:rPr>
              <w:t>材料、设备等；建筑面积</w:t>
            </w:r>
            <w:r>
              <w:rPr>
                <w:rFonts w:hint="eastAsia" w:hAnsi="Times New Roman" w:eastAsia="宋体"/>
                <w:kern w:val="2"/>
                <w:sz w:val="21"/>
                <w:szCs w:val="21"/>
                <w:lang w:eastAsia="zh-CN"/>
              </w:rPr>
              <w:t>60</w:t>
            </w:r>
            <w:r>
              <w:rPr>
                <w:rFonts w:hint="eastAsia" w:hAnsi="Times New Roman" w:eastAsia="宋体"/>
                <w:kern w:val="2"/>
                <w:sz w:val="21"/>
                <w:szCs w:val="21"/>
              </w:rPr>
              <w:t>m</w:t>
            </w:r>
            <w:r>
              <w:rPr>
                <w:rFonts w:hint="eastAsia" w:hAnsi="Times New Roman" w:eastAsia="宋体"/>
                <w:kern w:val="2"/>
                <w:sz w:val="21"/>
                <w:szCs w:val="21"/>
                <w:vertAlign w:val="superscript"/>
              </w:rPr>
              <w:t>2</w:t>
            </w:r>
          </w:p>
        </w:tc>
        <w:tc>
          <w:tcPr>
            <w:tcW w:w="88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86"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825" w:type="pct"/>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检身房</w:t>
            </w:r>
          </w:p>
        </w:tc>
        <w:tc>
          <w:tcPr>
            <w:tcW w:w="299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入井前检身，</w:t>
            </w:r>
            <w:r>
              <w:rPr>
                <w:rFonts w:hint="eastAsia" w:hAnsi="Times New Roman" w:eastAsia="宋体"/>
                <w:kern w:val="2"/>
                <w:sz w:val="21"/>
                <w:szCs w:val="21"/>
              </w:rPr>
              <w:t>建筑面积</w:t>
            </w:r>
            <w:r>
              <w:rPr>
                <w:rFonts w:hint="eastAsia" w:hAnsi="Times New Roman" w:eastAsia="宋体"/>
                <w:kern w:val="2"/>
                <w:sz w:val="21"/>
                <w:szCs w:val="21"/>
                <w:lang w:eastAsia="zh-CN"/>
              </w:rPr>
              <w:t>30</w:t>
            </w:r>
            <w:r>
              <w:rPr>
                <w:rFonts w:hint="eastAsia" w:hAnsi="Times New Roman" w:eastAsia="宋体"/>
                <w:kern w:val="2"/>
                <w:sz w:val="21"/>
                <w:szCs w:val="21"/>
              </w:rPr>
              <w:t>m</w:t>
            </w:r>
            <w:r>
              <w:rPr>
                <w:rFonts w:hint="eastAsia" w:hAnsi="Times New Roman" w:eastAsia="宋体"/>
                <w:kern w:val="2"/>
                <w:sz w:val="21"/>
                <w:szCs w:val="21"/>
                <w:vertAlign w:val="superscript"/>
              </w:rPr>
              <w:t>2</w:t>
            </w:r>
          </w:p>
        </w:tc>
        <w:tc>
          <w:tcPr>
            <w:tcW w:w="88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86"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825" w:type="pct"/>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坑木</w:t>
            </w:r>
            <w:r>
              <w:rPr>
                <w:rFonts w:hint="eastAsia" w:hAnsi="Times New Roman" w:eastAsia="宋体"/>
                <w:kern w:val="2"/>
                <w:sz w:val="21"/>
                <w:szCs w:val="21"/>
                <w:lang w:eastAsia="zh-CN"/>
              </w:rPr>
              <w:t>加工房</w:t>
            </w:r>
          </w:p>
        </w:tc>
        <w:tc>
          <w:tcPr>
            <w:tcW w:w="299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加工坑木，</w:t>
            </w:r>
            <w:r>
              <w:rPr>
                <w:rFonts w:hint="eastAsia" w:hAnsi="Times New Roman" w:eastAsia="宋体"/>
                <w:kern w:val="2"/>
                <w:sz w:val="21"/>
                <w:szCs w:val="21"/>
              </w:rPr>
              <w:t>建筑面积</w:t>
            </w:r>
            <w:r>
              <w:rPr>
                <w:rFonts w:hint="eastAsia" w:hAnsi="Times New Roman" w:eastAsia="宋体"/>
                <w:kern w:val="2"/>
                <w:sz w:val="21"/>
                <w:szCs w:val="21"/>
                <w:lang w:eastAsia="zh-CN"/>
              </w:rPr>
              <w:t>100</w:t>
            </w:r>
            <w:r>
              <w:rPr>
                <w:rFonts w:hint="eastAsia" w:hAnsi="Times New Roman" w:eastAsia="宋体"/>
                <w:kern w:val="2"/>
                <w:sz w:val="21"/>
                <w:szCs w:val="21"/>
              </w:rPr>
              <w:t>m</w:t>
            </w:r>
            <w:r>
              <w:rPr>
                <w:rFonts w:hint="eastAsia" w:hAnsi="Times New Roman" w:eastAsia="宋体"/>
                <w:kern w:val="2"/>
                <w:sz w:val="21"/>
                <w:szCs w:val="21"/>
                <w:vertAlign w:val="superscript"/>
              </w:rPr>
              <w:t>2</w:t>
            </w:r>
          </w:p>
        </w:tc>
        <w:tc>
          <w:tcPr>
            <w:tcW w:w="88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废气、噪声、固废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86"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825" w:type="pct"/>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矿灯房</w:t>
            </w:r>
          </w:p>
        </w:tc>
        <w:tc>
          <w:tcPr>
            <w:tcW w:w="299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储存矿灯、更衣等，</w:t>
            </w:r>
            <w:r>
              <w:rPr>
                <w:rFonts w:hint="eastAsia" w:hAnsi="Times New Roman" w:eastAsia="宋体"/>
                <w:kern w:val="2"/>
                <w:sz w:val="21"/>
                <w:szCs w:val="21"/>
              </w:rPr>
              <w:t>建筑面积</w:t>
            </w:r>
            <w:r>
              <w:rPr>
                <w:rFonts w:hint="eastAsia" w:hAnsi="Times New Roman" w:eastAsia="宋体"/>
                <w:kern w:val="2"/>
                <w:sz w:val="21"/>
                <w:szCs w:val="21"/>
                <w:lang w:eastAsia="zh-CN"/>
              </w:rPr>
              <w:t>200</w:t>
            </w:r>
            <w:r>
              <w:rPr>
                <w:rFonts w:hint="eastAsia" w:hAnsi="Times New Roman" w:eastAsia="宋体"/>
                <w:kern w:val="2"/>
                <w:sz w:val="21"/>
                <w:szCs w:val="21"/>
              </w:rPr>
              <w:t>m</w:t>
            </w:r>
            <w:r>
              <w:rPr>
                <w:rFonts w:hint="eastAsia" w:hAnsi="Times New Roman" w:eastAsia="宋体"/>
                <w:kern w:val="2"/>
                <w:sz w:val="21"/>
                <w:szCs w:val="21"/>
                <w:vertAlign w:val="superscript"/>
              </w:rPr>
              <w:t>2</w:t>
            </w:r>
          </w:p>
        </w:tc>
        <w:tc>
          <w:tcPr>
            <w:tcW w:w="88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86" w:type="pct"/>
            <w:vMerge w:val="restar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公用</w:t>
            </w:r>
          </w:p>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工程</w:t>
            </w:r>
          </w:p>
        </w:tc>
        <w:tc>
          <w:tcPr>
            <w:tcW w:w="825" w:type="pct"/>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浴室</w:t>
            </w:r>
          </w:p>
        </w:tc>
        <w:tc>
          <w:tcPr>
            <w:tcW w:w="299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职工洗浴，</w:t>
            </w:r>
            <w:r>
              <w:rPr>
                <w:rFonts w:hint="eastAsia" w:hAnsi="Times New Roman" w:eastAsia="宋体"/>
                <w:kern w:val="2"/>
                <w:sz w:val="21"/>
                <w:szCs w:val="21"/>
              </w:rPr>
              <w:t>建筑面积</w:t>
            </w:r>
            <w:r>
              <w:rPr>
                <w:rFonts w:hint="eastAsia" w:hAnsi="Times New Roman" w:eastAsia="宋体"/>
                <w:kern w:val="2"/>
                <w:sz w:val="21"/>
                <w:szCs w:val="21"/>
                <w:lang w:eastAsia="zh-CN"/>
              </w:rPr>
              <w:t>60</w:t>
            </w:r>
            <w:r>
              <w:rPr>
                <w:rFonts w:hint="eastAsia" w:hAnsi="Times New Roman" w:eastAsia="宋体"/>
                <w:kern w:val="2"/>
                <w:sz w:val="21"/>
                <w:szCs w:val="21"/>
              </w:rPr>
              <w:t>m</w:t>
            </w:r>
            <w:r>
              <w:rPr>
                <w:rFonts w:hint="eastAsia" w:hAnsi="Times New Roman" w:eastAsia="宋体"/>
                <w:kern w:val="2"/>
                <w:sz w:val="21"/>
                <w:szCs w:val="21"/>
                <w:vertAlign w:val="superscript"/>
              </w:rPr>
              <w:t>2</w:t>
            </w:r>
          </w:p>
        </w:tc>
        <w:tc>
          <w:tcPr>
            <w:tcW w:w="88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86"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825" w:type="pct"/>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食堂</w:t>
            </w:r>
          </w:p>
        </w:tc>
        <w:tc>
          <w:tcPr>
            <w:tcW w:w="299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职工就餐，</w:t>
            </w:r>
            <w:r>
              <w:rPr>
                <w:rFonts w:hint="eastAsia" w:hAnsi="Times New Roman" w:eastAsia="宋体"/>
                <w:kern w:val="2"/>
                <w:sz w:val="21"/>
                <w:szCs w:val="21"/>
              </w:rPr>
              <w:t>建筑面积</w:t>
            </w:r>
            <w:r>
              <w:rPr>
                <w:rFonts w:hint="eastAsia" w:hAnsi="Times New Roman" w:eastAsia="宋体"/>
                <w:kern w:val="2"/>
                <w:sz w:val="21"/>
                <w:szCs w:val="21"/>
                <w:lang w:eastAsia="zh-CN"/>
              </w:rPr>
              <w:t>100</w:t>
            </w:r>
            <w:r>
              <w:rPr>
                <w:rFonts w:hint="eastAsia" w:hAnsi="Times New Roman" w:eastAsia="宋体"/>
                <w:kern w:val="2"/>
                <w:sz w:val="21"/>
                <w:szCs w:val="21"/>
              </w:rPr>
              <w:t>m</w:t>
            </w:r>
            <w:r>
              <w:rPr>
                <w:rFonts w:hint="eastAsia" w:hAnsi="Times New Roman" w:eastAsia="宋体"/>
                <w:kern w:val="2"/>
                <w:sz w:val="21"/>
                <w:szCs w:val="21"/>
                <w:vertAlign w:val="superscript"/>
              </w:rPr>
              <w:t>2</w:t>
            </w:r>
          </w:p>
        </w:tc>
        <w:tc>
          <w:tcPr>
            <w:tcW w:w="88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86"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825" w:type="pct"/>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宿舍</w:t>
            </w:r>
          </w:p>
        </w:tc>
        <w:tc>
          <w:tcPr>
            <w:tcW w:w="299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职工住宿，</w:t>
            </w:r>
            <w:r>
              <w:rPr>
                <w:rFonts w:hint="eastAsia" w:hAnsi="Times New Roman" w:eastAsia="宋体"/>
                <w:kern w:val="2"/>
                <w:sz w:val="21"/>
                <w:szCs w:val="21"/>
              </w:rPr>
              <w:t>建筑面积</w:t>
            </w:r>
            <w:r>
              <w:rPr>
                <w:rFonts w:hint="eastAsia" w:hAnsi="Times New Roman" w:eastAsia="宋体"/>
                <w:kern w:val="2"/>
                <w:sz w:val="21"/>
                <w:szCs w:val="21"/>
                <w:lang w:eastAsia="zh-CN"/>
              </w:rPr>
              <w:t>850</w:t>
            </w:r>
            <w:r>
              <w:rPr>
                <w:rFonts w:hint="eastAsia" w:hAnsi="Times New Roman" w:eastAsia="宋体"/>
                <w:kern w:val="2"/>
                <w:sz w:val="21"/>
                <w:szCs w:val="21"/>
              </w:rPr>
              <w:t>m</w:t>
            </w:r>
            <w:r>
              <w:rPr>
                <w:rFonts w:hint="eastAsia" w:hAnsi="Times New Roman" w:eastAsia="宋体"/>
                <w:kern w:val="2"/>
                <w:sz w:val="21"/>
                <w:szCs w:val="21"/>
                <w:vertAlign w:val="superscript"/>
              </w:rPr>
              <w:t>2</w:t>
            </w:r>
          </w:p>
        </w:tc>
        <w:tc>
          <w:tcPr>
            <w:tcW w:w="88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86"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825" w:type="pct"/>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厕所</w:t>
            </w:r>
          </w:p>
        </w:tc>
        <w:tc>
          <w:tcPr>
            <w:tcW w:w="299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建筑面积</w:t>
            </w:r>
            <w:r>
              <w:rPr>
                <w:rFonts w:hint="eastAsia" w:hAnsi="Times New Roman" w:eastAsia="宋体"/>
                <w:kern w:val="2"/>
                <w:sz w:val="21"/>
                <w:szCs w:val="21"/>
                <w:lang w:eastAsia="zh-CN"/>
              </w:rPr>
              <w:t>30</w:t>
            </w:r>
            <w:r>
              <w:rPr>
                <w:rFonts w:hint="eastAsia" w:hAnsi="Times New Roman" w:eastAsia="宋体"/>
                <w:kern w:val="2"/>
                <w:sz w:val="21"/>
                <w:szCs w:val="21"/>
              </w:rPr>
              <w:t>m</w:t>
            </w:r>
            <w:r>
              <w:rPr>
                <w:rFonts w:hint="eastAsia" w:hAnsi="Times New Roman" w:eastAsia="宋体"/>
                <w:kern w:val="2"/>
                <w:sz w:val="21"/>
                <w:szCs w:val="21"/>
                <w:vertAlign w:val="superscript"/>
              </w:rPr>
              <w:t>2</w:t>
            </w:r>
          </w:p>
        </w:tc>
        <w:tc>
          <w:tcPr>
            <w:tcW w:w="88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86"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825" w:type="pct"/>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办公楼</w:t>
            </w:r>
          </w:p>
        </w:tc>
        <w:tc>
          <w:tcPr>
            <w:tcW w:w="299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职工办公，</w:t>
            </w:r>
            <w:r>
              <w:rPr>
                <w:rFonts w:hint="eastAsia" w:hAnsi="Times New Roman" w:eastAsia="宋体"/>
                <w:kern w:val="2"/>
                <w:sz w:val="21"/>
                <w:szCs w:val="21"/>
              </w:rPr>
              <w:t>建筑面积</w:t>
            </w:r>
            <w:r>
              <w:rPr>
                <w:rFonts w:hint="eastAsia" w:hAnsi="Times New Roman" w:eastAsia="宋体"/>
                <w:kern w:val="2"/>
                <w:sz w:val="21"/>
                <w:szCs w:val="21"/>
                <w:lang w:eastAsia="zh-CN"/>
              </w:rPr>
              <w:t>共630</w:t>
            </w:r>
            <w:r>
              <w:rPr>
                <w:rFonts w:hint="eastAsia" w:hAnsi="Times New Roman" w:eastAsia="宋体"/>
                <w:kern w:val="2"/>
                <w:sz w:val="21"/>
                <w:szCs w:val="21"/>
              </w:rPr>
              <w:t>m</w:t>
            </w:r>
            <w:r>
              <w:rPr>
                <w:rFonts w:hint="eastAsia" w:hAnsi="Times New Roman" w:eastAsia="宋体"/>
                <w:kern w:val="2"/>
                <w:sz w:val="21"/>
                <w:szCs w:val="21"/>
                <w:vertAlign w:val="superscript"/>
              </w:rPr>
              <w:t>2</w:t>
            </w:r>
          </w:p>
        </w:tc>
        <w:tc>
          <w:tcPr>
            <w:tcW w:w="88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86"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825" w:type="pct"/>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供电系统</w:t>
            </w:r>
          </w:p>
        </w:tc>
        <w:tc>
          <w:tcPr>
            <w:tcW w:w="299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矿井供电，双回路电源。变电所建筑面积约</w:t>
            </w:r>
            <w:r>
              <w:rPr>
                <w:rFonts w:hint="eastAsia" w:hAnsi="Times New Roman" w:eastAsia="宋体"/>
                <w:kern w:val="2"/>
                <w:sz w:val="21"/>
                <w:szCs w:val="21"/>
                <w:lang w:eastAsia="zh-CN"/>
              </w:rPr>
              <w:t>168</w:t>
            </w:r>
            <w:r>
              <w:rPr>
                <w:rFonts w:hint="eastAsia" w:hAnsi="Times New Roman" w:eastAsia="宋体"/>
                <w:kern w:val="2"/>
                <w:sz w:val="21"/>
                <w:szCs w:val="21"/>
              </w:rPr>
              <w:t>m</w:t>
            </w:r>
            <w:r>
              <w:rPr>
                <w:rFonts w:hint="eastAsia" w:hAnsi="Times New Roman" w:eastAsia="宋体"/>
                <w:kern w:val="2"/>
                <w:sz w:val="21"/>
                <w:szCs w:val="21"/>
                <w:vertAlign w:val="superscript"/>
              </w:rPr>
              <w:t>2</w:t>
            </w:r>
          </w:p>
        </w:tc>
        <w:tc>
          <w:tcPr>
            <w:tcW w:w="88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86"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825" w:type="pct"/>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供热系统</w:t>
            </w:r>
          </w:p>
        </w:tc>
        <w:tc>
          <w:tcPr>
            <w:tcW w:w="299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主选空气热源泵，利用压风机房压缩空气热源和太阳能电热水器联合供热方式向工业场地澡堂供热</w:t>
            </w:r>
          </w:p>
        </w:tc>
        <w:tc>
          <w:tcPr>
            <w:tcW w:w="88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86"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825" w:type="pct"/>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en-US"/>
              </w:rPr>
            </w:pPr>
            <w:r>
              <w:rPr>
                <w:rFonts w:hint="eastAsia" w:hAnsi="Times New Roman" w:eastAsia="宋体"/>
                <w:kern w:val="2"/>
                <w:sz w:val="21"/>
                <w:szCs w:val="21"/>
              </w:rPr>
              <w:t>供水系统</w:t>
            </w:r>
          </w:p>
        </w:tc>
        <w:tc>
          <w:tcPr>
            <w:tcW w:w="299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生活用水取自主井场地附近的山泉水；</w:t>
            </w:r>
            <w:r>
              <w:rPr>
                <w:rFonts w:hint="eastAsia" w:hAnsi="Times New Roman" w:eastAsia="宋体"/>
                <w:kern w:val="2"/>
                <w:sz w:val="21"/>
                <w:szCs w:val="21"/>
                <w:lang w:eastAsia="zh-CN"/>
              </w:rPr>
              <w:t>生产用水采用处理达标后的矿井水</w:t>
            </w:r>
            <w:r>
              <w:rPr>
                <w:rFonts w:hint="eastAsia" w:hAnsi="Times New Roman" w:eastAsia="宋体"/>
                <w:kern w:val="2"/>
                <w:sz w:val="21"/>
                <w:szCs w:val="21"/>
              </w:rPr>
              <w:t>，现有的</w:t>
            </w:r>
            <w:r>
              <w:rPr>
                <w:rFonts w:hint="eastAsia" w:hAnsi="Times New Roman" w:eastAsia="宋体"/>
                <w:kern w:val="2"/>
                <w:sz w:val="21"/>
                <w:szCs w:val="21"/>
                <w:lang w:eastAsia="zh-CN"/>
              </w:rPr>
              <w:t>1</w:t>
            </w:r>
            <w:r>
              <w:rPr>
                <w:rFonts w:hint="eastAsia" w:hAnsi="Times New Roman" w:eastAsia="宋体"/>
                <w:kern w:val="2"/>
                <w:sz w:val="21"/>
                <w:szCs w:val="21"/>
              </w:rPr>
              <w:t>座</w:t>
            </w:r>
            <w:r>
              <w:rPr>
                <w:rFonts w:hint="eastAsia" w:hAnsi="Times New Roman" w:eastAsia="宋体"/>
                <w:kern w:val="2"/>
                <w:sz w:val="21"/>
                <w:szCs w:val="21"/>
                <w:lang w:eastAsia="zh-CN"/>
              </w:rPr>
              <w:t>1</w:t>
            </w:r>
            <w:r>
              <w:rPr>
                <w:rFonts w:hint="eastAsia" w:hAnsi="Times New Roman" w:eastAsia="宋体"/>
                <w:kern w:val="2"/>
                <w:sz w:val="21"/>
                <w:szCs w:val="21"/>
              </w:rPr>
              <w:t>00m</w:t>
            </w:r>
            <w:r>
              <w:rPr>
                <w:rFonts w:hint="eastAsia" w:hAnsi="Times New Roman" w:eastAsia="宋体"/>
                <w:kern w:val="2"/>
                <w:sz w:val="21"/>
                <w:szCs w:val="21"/>
                <w:vertAlign w:val="superscript"/>
              </w:rPr>
              <w:t>3</w:t>
            </w:r>
            <w:r>
              <w:rPr>
                <w:rFonts w:hint="eastAsia" w:hAnsi="Times New Roman" w:eastAsia="宋体"/>
                <w:kern w:val="2"/>
                <w:sz w:val="21"/>
                <w:szCs w:val="21"/>
              </w:rPr>
              <w:t>生活水池和</w:t>
            </w:r>
            <w:r>
              <w:rPr>
                <w:rFonts w:hint="eastAsia" w:hAnsi="Times New Roman" w:eastAsia="宋体"/>
                <w:kern w:val="2"/>
                <w:sz w:val="21"/>
                <w:szCs w:val="21"/>
                <w:lang w:eastAsia="zh-CN"/>
              </w:rPr>
              <w:t>1</w:t>
            </w:r>
            <w:r>
              <w:rPr>
                <w:rFonts w:hint="eastAsia" w:hAnsi="Times New Roman" w:eastAsia="宋体"/>
                <w:kern w:val="2"/>
                <w:sz w:val="21"/>
                <w:szCs w:val="21"/>
              </w:rPr>
              <w:t>座200m</w:t>
            </w:r>
            <w:r>
              <w:rPr>
                <w:rFonts w:hint="eastAsia" w:hAnsi="Times New Roman" w:eastAsia="宋体"/>
                <w:kern w:val="2"/>
                <w:sz w:val="21"/>
                <w:szCs w:val="21"/>
                <w:vertAlign w:val="superscript"/>
              </w:rPr>
              <w:t>3</w:t>
            </w:r>
            <w:r>
              <w:rPr>
                <w:rFonts w:hint="eastAsia" w:hAnsi="Times New Roman" w:eastAsia="宋体"/>
                <w:kern w:val="2"/>
                <w:sz w:val="21"/>
                <w:szCs w:val="21"/>
              </w:rPr>
              <w:t>生产水池。</w:t>
            </w:r>
          </w:p>
        </w:tc>
        <w:tc>
          <w:tcPr>
            <w:tcW w:w="88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86" w:type="pct"/>
            <w:vMerge w:val="restar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配套</w:t>
            </w:r>
          </w:p>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工程</w:t>
            </w:r>
          </w:p>
        </w:tc>
        <w:tc>
          <w:tcPr>
            <w:tcW w:w="825" w:type="pct"/>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进场道路</w:t>
            </w:r>
          </w:p>
        </w:tc>
        <w:tc>
          <w:tcPr>
            <w:tcW w:w="299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水泥路面，路幅宽4.5m，长约146m</w:t>
            </w:r>
          </w:p>
        </w:tc>
        <w:tc>
          <w:tcPr>
            <w:tcW w:w="88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86"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p>
        </w:tc>
        <w:tc>
          <w:tcPr>
            <w:tcW w:w="825" w:type="pct"/>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炸药库</w:t>
            </w:r>
          </w:p>
        </w:tc>
        <w:tc>
          <w:tcPr>
            <w:tcW w:w="299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存放炸药、雷管；主井工业场地</w:t>
            </w:r>
            <w:r>
              <w:rPr>
                <w:rFonts w:hint="eastAsia" w:hAnsi="Times New Roman" w:eastAsia="宋体"/>
                <w:kern w:val="2"/>
                <w:sz w:val="21"/>
                <w:szCs w:val="21"/>
                <w:lang w:eastAsia="zh-CN"/>
              </w:rPr>
              <w:t>西侧边界处</w:t>
            </w:r>
            <w:r>
              <w:rPr>
                <w:rFonts w:hint="eastAsia" w:hAnsi="Times New Roman" w:eastAsia="宋体"/>
                <w:kern w:val="2"/>
                <w:sz w:val="21"/>
                <w:szCs w:val="21"/>
              </w:rPr>
              <w:t>，储药量0.5t，雷管1万发，占地面积</w:t>
            </w:r>
            <w:r>
              <w:rPr>
                <w:rFonts w:hint="eastAsia" w:hAnsi="Times New Roman" w:eastAsia="宋体"/>
                <w:kern w:val="2"/>
                <w:sz w:val="21"/>
                <w:szCs w:val="21"/>
                <w:lang w:eastAsia="zh-CN"/>
              </w:rPr>
              <w:t>200</w:t>
            </w:r>
            <w:r>
              <w:rPr>
                <w:rFonts w:hint="eastAsia" w:hAnsi="Times New Roman" w:eastAsia="宋体"/>
                <w:kern w:val="2"/>
                <w:sz w:val="21"/>
                <w:szCs w:val="21"/>
              </w:rPr>
              <w:t>m</w:t>
            </w:r>
            <w:r>
              <w:rPr>
                <w:rFonts w:hint="eastAsia" w:hAnsi="Times New Roman" w:eastAsia="宋体"/>
                <w:kern w:val="2"/>
                <w:sz w:val="21"/>
                <w:szCs w:val="21"/>
                <w:vertAlign w:val="superscript"/>
              </w:rPr>
              <w:t>2</w:t>
            </w:r>
            <w:r>
              <w:rPr>
                <w:rFonts w:hint="eastAsia" w:hAnsi="Times New Roman" w:eastAsia="宋体"/>
                <w:kern w:val="2"/>
                <w:sz w:val="21"/>
                <w:szCs w:val="21"/>
              </w:rPr>
              <w:t>。</w:t>
            </w:r>
          </w:p>
        </w:tc>
        <w:tc>
          <w:tcPr>
            <w:tcW w:w="88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86" w:type="pct"/>
            <w:vMerge w:val="restar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环保工程</w:t>
            </w:r>
          </w:p>
        </w:tc>
        <w:tc>
          <w:tcPr>
            <w:tcW w:w="232" w:type="pct"/>
            <w:vMerge w:val="restar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废水</w:t>
            </w:r>
          </w:p>
        </w:tc>
        <w:tc>
          <w:tcPr>
            <w:tcW w:w="593"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排水系统</w:t>
            </w:r>
          </w:p>
        </w:tc>
        <w:tc>
          <w:tcPr>
            <w:tcW w:w="2999" w:type="pct"/>
            <w:vAlign w:val="center"/>
          </w:tcPr>
          <w:p>
            <w:pPr>
              <w:keepNext w:val="0"/>
              <w:keepLines w:val="0"/>
              <w:suppressLineNumbers w:val="0"/>
              <w:spacing w:before="0" w:beforeAutospacing="0" w:after="0" w:afterAutospacing="0" w:line="260" w:lineRule="exact"/>
              <w:ind w:left="0" w:right="0"/>
              <w:rPr>
                <w:rFonts w:hint="eastAsia" w:hAnsi="Times New Roman" w:eastAsia="宋体"/>
                <w:kern w:val="2"/>
                <w:sz w:val="21"/>
                <w:szCs w:val="21"/>
                <w:lang w:eastAsia="zh-CN"/>
              </w:rPr>
            </w:pPr>
            <w:r>
              <w:rPr>
                <w:rFonts w:hint="eastAsia" w:hAnsi="Times New Roman" w:eastAsia="宋体"/>
                <w:kern w:val="2"/>
                <w:sz w:val="21"/>
                <w:szCs w:val="21"/>
                <w:lang w:eastAsia="zh-CN"/>
              </w:rPr>
              <w:t>采用雨污分流。</w:t>
            </w:r>
            <w:r>
              <w:rPr>
                <w:rFonts w:hint="eastAsia" w:hAnsi="Times New Roman" w:eastAsia="宋体"/>
                <w:kern w:val="2"/>
                <w:sz w:val="21"/>
                <w:szCs w:val="21"/>
              </w:rPr>
              <w:t>矿井井口周围设置排水沟；工业场地四周均设置截水沟，截水沟采用 1000mm×1000mm 矩形断面，纵坡最小采用1%；工业场地内竖向坡度按流水坡度考虑，设有排水明水沟和钢筋砼盖板沟，场区内水</w:t>
            </w:r>
            <w:r>
              <w:rPr>
                <w:rFonts w:hint="eastAsia" w:hAnsi="Times New Roman" w:eastAsia="宋体"/>
                <w:kern w:val="2"/>
                <w:sz w:val="21"/>
                <w:szCs w:val="21"/>
                <w:lang w:eastAsia="zh-CN"/>
              </w:rPr>
              <w:t>污水</w:t>
            </w:r>
            <w:r>
              <w:rPr>
                <w:rFonts w:hint="eastAsia" w:hAnsi="Times New Roman" w:eastAsia="宋体"/>
                <w:kern w:val="2"/>
                <w:sz w:val="21"/>
                <w:szCs w:val="21"/>
              </w:rPr>
              <w:t>经水沟收集排入</w:t>
            </w:r>
            <w:r>
              <w:rPr>
                <w:rFonts w:hint="eastAsia" w:hAnsi="Times New Roman" w:eastAsia="宋体"/>
                <w:kern w:val="2"/>
                <w:sz w:val="21"/>
                <w:szCs w:val="21"/>
                <w:lang w:eastAsia="zh-CN"/>
              </w:rPr>
              <w:t>散水收集池，雨水经雨水收集沟收集排入场外。</w:t>
            </w:r>
          </w:p>
        </w:tc>
        <w:tc>
          <w:tcPr>
            <w:tcW w:w="88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86"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p>
        </w:tc>
        <w:tc>
          <w:tcPr>
            <w:tcW w:w="232"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p>
        </w:tc>
        <w:tc>
          <w:tcPr>
            <w:tcW w:w="593"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矿井排水系统</w:t>
            </w:r>
          </w:p>
        </w:tc>
        <w:tc>
          <w:tcPr>
            <w:tcW w:w="2999" w:type="pct"/>
            <w:vAlign w:val="center"/>
          </w:tcPr>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采区内各平巷均布置有=3‰坡度的水沟，平硐以上采空区水大部分经平硐自流出井口，下山采区内涌水经巷道水沟流入+200m标高水仓，由排水泵抽排至+379.0m水平，由主平硐水沟自流出井外。</w:t>
            </w:r>
          </w:p>
        </w:tc>
        <w:tc>
          <w:tcPr>
            <w:tcW w:w="88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86"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p>
        </w:tc>
        <w:tc>
          <w:tcPr>
            <w:tcW w:w="232"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p>
        </w:tc>
        <w:tc>
          <w:tcPr>
            <w:tcW w:w="593"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生活污水</w:t>
            </w:r>
          </w:p>
        </w:tc>
        <w:tc>
          <w:tcPr>
            <w:tcW w:w="2999" w:type="pct"/>
            <w:vAlign w:val="center"/>
          </w:tcPr>
          <w:p>
            <w:pPr>
              <w:keepNext w:val="0"/>
              <w:keepLines w:val="0"/>
              <w:suppressLineNumbers w:val="0"/>
              <w:spacing w:before="0" w:beforeAutospacing="0" w:after="0" w:afterAutospacing="0" w:line="260" w:lineRule="exact"/>
              <w:ind w:left="0" w:right="0"/>
              <w:rPr>
                <w:rFonts w:hint="eastAsia" w:hAnsi="Times New Roman" w:eastAsia="宋体"/>
                <w:kern w:val="2"/>
                <w:sz w:val="21"/>
                <w:szCs w:val="21"/>
                <w:lang w:eastAsia="zh-CN"/>
              </w:rPr>
            </w:pPr>
            <w:r>
              <w:rPr>
                <w:rFonts w:hint="eastAsia" w:hAnsi="Times New Roman" w:eastAsia="宋体"/>
                <w:kern w:val="2"/>
                <w:sz w:val="21"/>
                <w:szCs w:val="21"/>
                <w:lang w:eastAsia="zh-CN"/>
              </w:rPr>
              <w:t>食堂废水经油水分离器预处理后与洗浴废水一起进入一体化污水处理设备（混凝+A</w:t>
            </w:r>
            <w:r>
              <w:rPr>
                <w:rFonts w:hint="eastAsia" w:hAnsi="Times New Roman" w:eastAsia="宋体"/>
                <w:kern w:val="2"/>
                <w:sz w:val="21"/>
                <w:szCs w:val="21"/>
                <w:vertAlign w:val="superscript"/>
                <w:lang w:eastAsia="zh-CN"/>
              </w:rPr>
              <w:t>2</w:t>
            </w:r>
            <w:r>
              <w:rPr>
                <w:rFonts w:hint="eastAsia" w:hAnsi="Times New Roman" w:eastAsia="宋体"/>
                <w:kern w:val="2"/>
                <w:sz w:val="21"/>
                <w:szCs w:val="21"/>
                <w:lang w:eastAsia="zh-CN"/>
              </w:rPr>
              <w:t>O+消毒处理工艺，处理能力70m</w:t>
            </w:r>
            <w:r>
              <w:rPr>
                <w:rFonts w:hint="eastAsia" w:hAnsi="Times New Roman" w:eastAsia="宋体"/>
                <w:kern w:val="2"/>
                <w:sz w:val="21"/>
                <w:szCs w:val="21"/>
                <w:vertAlign w:val="superscript"/>
                <w:lang w:eastAsia="zh-CN"/>
              </w:rPr>
              <w:t>3</w:t>
            </w:r>
            <w:r>
              <w:rPr>
                <w:rFonts w:hint="eastAsia" w:hAnsi="Times New Roman" w:eastAsia="宋体"/>
                <w:kern w:val="2"/>
                <w:sz w:val="21"/>
                <w:szCs w:val="21"/>
                <w:lang w:eastAsia="zh-CN"/>
              </w:rPr>
              <w:t>/d）处理后回用于地面防尘用水、井下消防用水、绿化用水等；办公楼生活污水、宿舍楼生活污水进入化粪池（容积约422.4m</w:t>
            </w:r>
            <w:r>
              <w:rPr>
                <w:rFonts w:hint="eastAsia" w:hAnsi="Times New Roman" w:eastAsia="宋体"/>
                <w:kern w:val="2"/>
                <w:sz w:val="21"/>
                <w:szCs w:val="21"/>
                <w:vertAlign w:val="superscript"/>
                <w:lang w:eastAsia="zh-CN"/>
              </w:rPr>
              <w:t>3</w:t>
            </w:r>
            <w:r>
              <w:rPr>
                <w:rFonts w:hint="eastAsia" w:hAnsi="Times New Roman" w:eastAsia="宋体"/>
                <w:kern w:val="2"/>
                <w:sz w:val="21"/>
                <w:szCs w:val="21"/>
                <w:lang w:eastAsia="zh-CN"/>
              </w:rPr>
              <w:t>）处理后，由达州市鑫通管道疏通有限公司定期清运处置。</w:t>
            </w:r>
          </w:p>
        </w:tc>
        <w:tc>
          <w:tcPr>
            <w:tcW w:w="88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污泥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86"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p>
        </w:tc>
        <w:tc>
          <w:tcPr>
            <w:tcW w:w="232"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p>
        </w:tc>
        <w:tc>
          <w:tcPr>
            <w:tcW w:w="593"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矿井涌水</w:t>
            </w:r>
          </w:p>
        </w:tc>
        <w:tc>
          <w:tcPr>
            <w:tcW w:w="2999" w:type="pct"/>
            <w:vAlign w:val="center"/>
          </w:tcPr>
          <w:p>
            <w:pPr>
              <w:keepNext w:val="0"/>
              <w:keepLines w:val="0"/>
              <w:suppressLineNumbers w:val="0"/>
              <w:spacing w:before="0" w:beforeAutospacing="0" w:after="0" w:afterAutospacing="0" w:line="260" w:lineRule="exact"/>
              <w:ind w:left="0" w:right="0"/>
              <w:rPr>
                <w:rFonts w:hint="eastAsia" w:hAnsi="Times New Roman" w:eastAsia="宋体"/>
                <w:kern w:val="2"/>
                <w:sz w:val="21"/>
                <w:szCs w:val="21"/>
                <w:lang w:eastAsia="zh-CN"/>
              </w:rPr>
            </w:pPr>
            <w:r>
              <w:rPr>
                <w:rFonts w:hint="eastAsia" w:hAnsi="Times New Roman" w:eastAsia="宋体"/>
                <w:kern w:val="2"/>
                <w:sz w:val="21"/>
                <w:szCs w:val="21"/>
                <w:lang w:eastAsia="zh-CN"/>
              </w:rPr>
              <w:t>矿井涌水进入+200m水平处的主、副水仓（总容积约2000m</w:t>
            </w:r>
            <w:r>
              <w:rPr>
                <w:rFonts w:hint="eastAsia" w:hAnsi="Times New Roman" w:eastAsia="宋体"/>
                <w:kern w:val="2"/>
                <w:sz w:val="21"/>
                <w:szCs w:val="21"/>
                <w:vertAlign w:val="superscript"/>
                <w:lang w:eastAsia="zh-CN"/>
              </w:rPr>
              <w:t>3</w:t>
            </w:r>
            <w:r>
              <w:rPr>
                <w:rFonts w:hint="eastAsia" w:hAnsi="Times New Roman" w:eastAsia="宋体"/>
                <w:kern w:val="2"/>
                <w:sz w:val="21"/>
                <w:szCs w:val="21"/>
                <w:lang w:eastAsia="zh-CN"/>
              </w:rPr>
              <w:t>），在井下水仓沉淀处理后，由排水管道排入+379m主平硐工业场地矿井水处理站，处理能力750m</w:t>
            </w:r>
            <w:r>
              <w:rPr>
                <w:rFonts w:hint="eastAsia" w:hAnsi="Times New Roman" w:eastAsia="宋体"/>
                <w:kern w:val="2"/>
                <w:sz w:val="21"/>
                <w:szCs w:val="21"/>
                <w:vertAlign w:val="superscript"/>
                <w:lang w:eastAsia="zh-CN"/>
              </w:rPr>
              <w:t>3</w:t>
            </w:r>
            <w:r>
              <w:rPr>
                <w:rFonts w:hint="eastAsia" w:hAnsi="Times New Roman" w:eastAsia="宋体"/>
                <w:kern w:val="2"/>
                <w:sz w:val="21"/>
                <w:szCs w:val="21"/>
                <w:lang w:eastAsia="zh-CN"/>
              </w:rPr>
              <w:t>/d，采用“调节+混凝沉淀+石英砂过滤+煤泥干化”处理工艺，处理达标后，一部分抽至高位水池暂存回用于井下防尘等生产，剩余部分外排至新宁河。</w:t>
            </w:r>
          </w:p>
        </w:tc>
        <w:tc>
          <w:tcPr>
            <w:tcW w:w="88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煤泥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86"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p>
        </w:tc>
        <w:tc>
          <w:tcPr>
            <w:tcW w:w="232"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p>
        </w:tc>
        <w:tc>
          <w:tcPr>
            <w:tcW w:w="593"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车辆冲洗水</w:t>
            </w:r>
          </w:p>
        </w:tc>
        <w:tc>
          <w:tcPr>
            <w:tcW w:w="299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项目车辆清洗后的废水通过沉淀池处理后循环利用，不外排。</w:t>
            </w:r>
          </w:p>
        </w:tc>
        <w:tc>
          <w:tcPr>
            <w:tcW w:w="88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86"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p>
        </w:tc>
        <w:tc>
          <w:tcPr>
            <w:tcW w:w="232"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p>
        </w:tc>
        <w:tc>
          <w:tcPr>
            <w:tcW w:w="593"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临时储矸场淋溶废水</w:t>
            </w:r>
          </w:p>
        </w:tc>
        <w:tc>
          <w:tcPr>
            <w:tcW w:w="2999" w:type="pct"/>
            <w:vAlign w:val="center"/>
          </w:tcPr>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临时储矸场设置有截排水沟，淋溶废水经过截排水沟自流进入散水收集池。</w:t>
            </w:r>
          </w:p>
        </w:tc>
        <w:tc>
          <w:tcPr>
            <w:tcW w:w="88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86"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825" w:type="pct"/>
            <w:gridSpan w:val="2"/>
            <w:vMerge w:val="restar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废气</w:t>
            </w:r>
          </w:p>
        </w:tc>
        <w:tc>
          <w:tcPr>
            <w:tcW w:w="299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原煤、矸石装卸粉尘、堆场扬尘：煤炭堆场部分设置有彩钢棚，矸石堆场设置有两台雾炮机除尘，储煤场安装喷淋洒水抑尘装置，抑制扬尘产生。</w:t>
            </w:r>
          </w:p>
        </w:tc>
        <w:tc>
          <w:tcPr>
            <w:tcW w:w="88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86"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825" w:type="pct"/>
            <w:gridSpan w:val="2"/>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p>
        </w:tc>
        <w:tc>
          <w:tcPr>
            <w:tcW w:w="299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道路扬尘：硬化运输道路，定期清扫运输道路上的粉尘，定期洒水降尘，降低车速等措施，来降低运输</w:t>
            </w:r>
            <w:r>
              <w:rPr>
                <w:rFonts w:hint="eastAsia" w:hAnsi="Times New Roman" w:eastAsia="宋体"/>
                <w:kern w:val="2"/>
                <w:sz w:val="21"/>
                <w:szCs w:val="21"/>
                <w:lang w:val="en-US" w:eastAsia="zh-CN"/>
              </w:rPr>
              <w:t>扬尘</w:t>
            </w:r>
            <w:r>
              <w:rPr>
                <w:rFonts w:hint="eastAsia" w:hAnsi="Times New Roman" w:eastAsia="宋体"/>
                <w:kern w:val="2"/>
                <w:sz w:val="21"/>
                <w:szCs w:val="21"/>
                <w:lang w:eastAsia="zh-CN"/>
              </w:rPr>
              <w:t>。</w:t>
            </w:r>
          </w:p>
        </w:tc>
        <w:tc>
          <w:tcPr>
            <w:tcW w:w="88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86"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825" w:type="pct"/>
            <w:gridSpan w:val="2"/>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p>
        </w:tc>
        <w:tc>
          <w:tcPr>
            <w:tcW w:w="2999" w:type="pct"/>
            <w:vAlign w:val="center"/>
          </w:tcPr>
          <w:p>
            <w:pPr>
              <w:keepNext w:val="0"/>
              <w:keepLines w:val="0"/>
              <w:suppressLineNumbers w:val="0"/>
              <w:spacing w:before="0" w:beforeAutospacing="0" w:after="0" w:afterAutospacing="0" w:line="260" w:lineRule="exact"/>
              <w:ind w:left="0" w:right="0"/>
              <w:rPr>
                <w:rFonts w:hint="eastAsia" w:hAnsi="Times New Roman" w:eastAsia="宋体"/>
                <w:kern w:val="2"/>
                <w:sz w:val="21"/>
                <w:szCs w:val="21"/>
                <w:lang w:eastAsia="zh-CN"/>
              </w:rPr>
            </w:pPr>
            <w:r>
              <w:rPr>
                <w:rFonts w:hint="eastAsia" w:hAnsi="Times New Roman" w:eastAsia="宋体"/>
                <w:kern w:val="2"/>
                <w:sz w:val="21"/>
                <w:szCs w:val="21"/>
                <w:lang w:eastAsia="zh-CN"/>
              </w:rPr>
              <w:t>食堂油烟：厨房内的灶台设置有油烟净化设施，由烟道引出于楼顶排放。</w:t>
            </w:r>
          </w:p>
        </w:tc>
        <w:tc>
          <w:tcPr>
            <w:tcW w:w="88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660" w:hRule="atLeast"/>
          <w:jc w:val="center"/>
        </w:trPr>
        <w:tc>
          <w:tcPr>
            <w:tcW w:w="286"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825" w:type="pct"/>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固废</w:t>
            </w:r>
          </w:p>
        </w:tc>
        <w:tc>
          <w:tcPr>
            <w:tcW w:w="2999" w:type="pct"/>
            <w:vAlign w:val="center"/>
          </w:tcPr>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spacing w:val="-2"/>
                <w:kern w:val="2"/>
                <w:sz w:val="21"/>
                <w:szCs w:val="22"/>
              </w:rPr>
              <w:t>白矸石在井下直接用于回填采空区，煤矸石</w:t>
            </w:r>
            <w:r>
              <w:rPr>
                <w:rFonts w:hint="eastAsia" w:hAnsi="Times New Roman" w:eastAsia="宋体"/>
                <w:spacing w:val="-2"/>
                <w:kern w:val="2"/>
                <w:sz w:val="21"/>
                <w:szCs w:val="22"/>
                <w:lang w:eastAsia="zh-CN"/>
              </w:rPr>
              <w:t>、</w:t>
            </w:r>
            <w:r>
              <w:rPr>
                <w:rFonts w:hint="eastAsia" w:hAnsi="Times New Roman" w:eastAsia="宋体"/>
                <w:kern w:val="2"/>
                <w:sz w:val="21"/>
                <w:szCs w:val="21"/>
                <w:lang w:eastAsia="zh-CN"/>
              </w:rPr>
              <w:t>沉淀池煤泥：运至宣汉县平桥砖厂用于制砖使用；</w:t>
            </w:r>
          </w:p>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生活垃圾：集中收集后定期运至指定垃圾收集点，由环卫部门清运处理。</w:t>
            </w:r>
          </w:p>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废弃矿灯、废弃蓄电池：全部由厂家回收处理；</w:t>
            </w:r>
          </w:p>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废机油：暂存至危废暂存间内，按危废管理，用于场地内轨道、钢丝润滑。</w:t>
            </w:r>
          </w:p>
        </w:tc>
        <w:tc>
          <w:tcPr>
            <w:tcW w:w="88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86"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825" w:type="pct"/>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2"/>
              </w:rPr>
              <w:t>生态影响</w:t>
            </w:r>
          </w:p>
        </w:tc>
        <w:tc>
          <w:tcPr>
            <w:tcW w:w="2999" w:type="pct"/>
            <w:vAlign w:val="center"/>
          </w:tcPr>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煤矸石堆置场生态恢复：堆置场内堆存的煤矸石及时转运至砖厂综合利用，草木结合，对煤矸石堆置场场地周边种植当地适宜生长的马尾松幼苗和草木，进行场地生态恢复；</w:t>
            </w:r>
          </w:p>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工业场地生态整治：+379m主平硐工业场地周边植树绿化。</w:t>
            </w:r>
          </w:p>
        </w:tc>
        <w:tc>
          <w:tcPr>
            <w:tcW w:w="889"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bl>
    <w:p>
      <w:pPr>
        <w:pStyle w:val="8"/>
        <w:rPr>
          <w:rFonts w:ascii="Times New Roman" w:hAnsi="Times New Roman"/>
          <w:lang w:eastAsia="zh-CN"/>
        </w:rPr>
      </w:pPr>
      <w:r>
        <w:rPr>
          <w:rFonts w:ascii="Times New Roman" w:hAnsi="Times New Roman"/>
          <w:lang w:eastAsia="zh-CN"/>
        </w:rPr>
        <w:t>2.1.2.2 开采情况</w:t>
      </w:r>
    </w:p>
    <w:p>
      <w:pPr>
        <w:spacing w:line="360" w:lineRule="auto"/>
        <w:ind w:firstLine="480" w:firstLineChars="200"/>
        <w:rPr>
          <w:rFonts w:hAnsi="Times New Roman" w:eastAsia="宋体"/>
          <w:lang w:eastAsia="zh-CN"/>
        </w:rPr>
      </w:pPr>
      <w:r>
        <w:rPr>
          <w:rFonts w:hAnsi="Times New Roman" w:eastAsia="宋体"/>
          <w:lang w:eastAsia="zh-CN"/>
        </w:rPr>
        <w:t>七里峡煤矿采用平硐、斜井综合开拓方式，布置有+379m主平硐（X=3452875.670，Y=36474596.960，</w:t>
      </w:r>
      <w:r>
        <w:rPr>
          <w:rFonts w:hAnsi="Times New Roman" w:eastAsia="宋体"/>
        </w:rPr>
        <w:t>Z=+</w:t>
      </w:r>
      <w:r>
        <w:rPr>
          <w:rFonts w:hAnsi="Times New Roman" w:eastAsia="宋体"/>
          <w:lang w:eastAsia="zh-CN"/>
        </w:rPr>
        <w:t>379</w:t>
      </w:r>
      <w:r>
        <w:rPr>
          <w:rFonts w:hAnsi="Times New Roman" w:eastAsia="宋体"/>
        </w:rPr>
        <w:t>m</w:t>
      </w:r>
      <w:r>
        <w:rPr>
          <w:rFonts w:hAnsi="Times New Roman" w:eastAsia="宋体"/>
          <w:lang w:eastAsia="zh-CN"/>
        </w:rPr>
        <w:t>），+411m副平硐（X=3452640.670，Y=36475748.960，</w:t>
      </w:r>
      <w:r>
        <w:rPr>
          <w:rFonts w:hAnsi="Times New Roman" w:eastAsia="宋体"/>
        </w:rPr>
        <w:t>Z=+</w:t>
      </w:r>
      <w:r>
        <w:rPr>
          <w:rFonts w:hAnsi="Times New Roman" w:eastAsia="宋体"/>
          <w:lang w:eastAsia="zh-CN"/>
        </w:rPr>
        <w:t>411</w:t>
      </w:r>
      <w:r>
        <w:rPr>
          <w:rFonts w:hAnsi="Times New Roman" w:eastAsia="宋体"/>
        </w:rPr>
        <w:t>m</w:t>
      </w:r>
      <w:r>
        <w:rPr>
          <w:rFonts w:hAnsi="Times New Roman" w:eastAsia="宋体"/>
          <w:lang w:eastAsia="zh-CN"/>
        </w:rPr>
        <w:t>），+539.5m进风斜井（X=3451913.000，Y=36475495.000，</w:t>
      </w:r>
      <w:r>
        <w:rPr>
          <w:rFonts w:hAnsi="Times New Roman" w:eastAsia="宋体"/>
        </w:rPr>
        <w:t>Z=+</w:t>
      </w:r>
      <w:r>
        <w:rPr>
          <w:rFonts w:hAnsi="Times New Roman" w:eastAsia="宋体"/>
          <w:lang w:eastAsia="zh-CN"/>
        </w:rPr>
        <w:t>539.5</w:t>
      </w:r>
      <w:r>
        <w:rPr>
          <w:rFonts w:hAnsi="Times New Roman" w:eastAsia="宋体"/>
        </w:rPr>
        <w:t>m</w:t>
      </w:r>
      <w:r>
        <w:rPr>
          <w:rFonts w:hAnsi="Times New Roman" w:eastAsia="宋体"/>
          <w:lang w:eastAsia="zh-CN"/>
        </w:rPr>
        <w:t>），+548m回风平硐（X=3451891.670，Y=36475603.960，</w:t>
      </w:r>
      <w:r>
        <w:rPr>
          <w:rFonts w:hAnsi="Times New Roman" w:eastAsia="宋体"/>
        </w:rPr>
        <w:t>Z=+</w:t>
      </w:r>
      <w:r>
        <w:rPr>
          <w:rFonts w:hAnsi="Times New Roman" w:eastAsia="宋体"/>
          <w:lang w:eastAsia="zh-CN"/>
        </w:rPr>
        <w:t>548</w:t>
      </w:r>
      <w:r>
        <w:rPr>
          <w:rFonts w:hAnsi="Times New Roman" w:eastAsia="宋体"/>
        </w:rPr>
        <w:t>m</w:t>
      </w:r>
      <w:r>
        <w:rPr>
          <w:rFonts w:hAnsi="Times New Roman" w:eastAsia="宋体"/>
          <w:lang w:eastAsia="zh-CN"/>
        </w:rPr>
        <w:t>）和+572m回风平硐（X=34352971.670，Y=36476162.960，</w:t>
      </w:r>
      <w:r>
        <w:rPr>
          <w:rFonts w:hAnsi="Times New Roman" w:eastAsia="宋体"/>
        </w:rPr>
        <w:t>Z=+</w:t>
      </w:r>
      <w:r>
        <w:rPr>
          <w:rFonts w:hAnsi="Times New Roman" w:eastAsia="宋体"/>
          <w:lang w:eastAsia="zh-CN"/>
        </w:rPr>
        <w:t>572</w:t>
      </w:r>
      <w:r>
        <w:rPr>
          <w:rFonts w:hAnsi="Times New Roman" w:eastAsia="宋体"/>
        </w:rPr>
        <w:t>m</w:t>
      </w:r>
      <w:r>
        <w:rPr>
          <w:rFonts w:hAnsi="Times New Roman" w:eastAsia="宋体"/>
          <w:lang w:eastAsia="zh-CN"/>
        </w:rPr>
        <w:t>），共有5个井筒。</w:t>
      </w:r>
    </w:p>
    <w:p>
      <w:pPr>
        <w:spacing w:line="360" w:lineRule="auto"/>
        <w:ind w:firstLine="480" w:firstLineChars="200"/>
        <w:rPr>
          <w:rFonts w:hAnsi="Times New Roman" w:eastAsia="宋体"/>
          <w:lang w:eastAsia="zh-CN"/>
        </w:rPr>
      </w:pPr>
      <w:r>
        <w:rPr>
          <w:rFonts w:hAnsi="Times New Roman" w:eastAsia="宋体"/>
          <w:lang w:eastAsia="zh-CN"/>
        </w:rPr>
        <w:t>+379m主平硐位于长田井田，沿煤层底板至顶板穿层布置，担负全矿所有运输和主要进风任务；+411m副平硐位于开丰井田西翼，沿煤层底板至顶板穿层布置，担负矿井开丰井田各采区进风、行人、运送材料等任务；+539.5m进风斜井位于长田井田东翼，沿煤层底板布置，担负矿井辅助进风任务；+548m回风平硐位于长田井田东翼，沿煤层底板布置，担负长田井田一、三采区回风任务；+572m回风平硐位于开丰井田西翼，沿煤层底板至顶板穿层布置，担负矿井开丰井田各采区回风任务。</w:t>
      </w:r>
    </w:p>
    <w:p>
      <w:pPr>
        <w:spacing w:line="360" w:lineRule="auto"/>
        <w:ind w:firstLine="480" w:firstLineChars="200"/>
        <w:rPr>
          <w:rFonts w:hAnsi="Times New Roman" w:eastAsia="宋体"/>
          <w:lang w:eastAsia="zh-CN"/>
        </w:rPr>
      </w:pPr>
      <w:r>
        <w:rPr>
          <w:rFonts w:hAnsi="Times New Roman" w:eastAsia="宋体"/>
          <w:lang w:eastAsia="zh-CN"/>
        </w:rPr>
        <w:t>全矿共划分为+380m、+200m两个水平， +380m水平及以上的资源已经开采完毕，目前正在开采+200m水平的一采区及二采区K</w:t>
      </w:r>
      <w:r>
        <w:rPr>
          <w:rFonts w:hAnsi="Times New Roman" w:eastAsia="宋体"/>
          <w:vertAlign w:val="subscript"/>
          <w:lang w:eastAsia="zh-CN"/>
        </w:rPr>
        <w:t>5</w:t>
      </w:r>
      <w:r>
        <w:rPr>
          <w:rFonts w:hAnsi="Times New Roman" w:eastAsia="宋体"/>
          <w:lang w:eastAsia="zh-CN"/>
        </w:rPr>
        <w:t>煤层。</w:t>
      </w:r>
    </w:p>
    <w:p>
      <w:pPr>
        <w:spacing w:line="360" w:lineRule="auto"/>
        <w:ind w:firstLine="480" w:firstLineChars="200"/>
        <w:rPr>
          <w:rFonts w:hAnsi="Times New Roman" w:eastAsia="宋体"/>
          <w:lang w:eastAsia="zh-CN"/>
        </w:rPr>
      </w:pPr>
      <w:r>
        <w:rPr>
          <w:rFonts w:hAnsi="Times New Roman" w:eastAsia="宋体"/>
          <w:lang w:eastAsia="zh-CN"/>
        </w:rPr>
        <w:t>矿井在主平硐约1.1km处开口由沿煤层底板布置了两条暗斜井至+200m水平，分别为主暗斜井和副暗斜井（兼做一采区人行上山和轨道上山），其中副暗斜井内安设有架空乘人装置，担负行人任务，主暗斜井内安设有提升绞车担负矿井煤炭、矸石、材料运输任务。此外，矿井西翼在+200m水平沿K</w:t>
      </w:r>
      <w:r>
        <w:rPr>
          <w:rFonts w:hAnsi="Times New Roman" w:eastAsia="宋体"/>
          <w:vertAlign w:val="subscript"/>
          <w:lang w:eastAsia="zh-CN"/>
        </w:rPr>
        <w:t>5</w:t>
      </w:r>
      <w:r>
        <w:rPr>
          <w:rFonts w:hAnsi="Times New Roman" w:eastAsia="宋体"/>
          <w:lang w:eastAsia="zh-CN"/>
        </w:rPr>
        <w:t>煤层顶板布置+200m水平东西翼运输大巷；东翼二采区先沿K</w:t>
      </w:r>
      <w:r>
        <w:rPr>
          <w:rFonts w:hAnsi="Times New Roman" w:eastAsia="宋体"/>
          <w:vertAlign w:val="subscript"/>
          <w:lang w:eastAsia="zh-CN"/>
        </w:rPr>
        <w:t>5</w:t>
      </w:r>
      <w:r>
        <w:rPr>
          <w:rFonts w:hAnsi="Times New Roman" w:eastAsia="宋体"/>
          <w:lang w:eastAsia="zh-CN"/>
        </w:rPr>
        <w:t>煤层底板布置+200m水平东翼运输大巷，因底板岩石稳定性较差，而后又转入K</w:t>
      </w:r>
      <w:r>
        <w:rPr>
          <w:rFonts w:hAnsi="Times New Roman" w:eastAsia="宋体"/>
          <w:vertAlign w:val="subscript"/>
          <w:lang w:eastAsia="zh-CN"/>
        </w:rPr>
        <w:t>5</w:t>
      </w:r>
      <w:r>
        <w:rPr>
          <w:rFonts w:hAnsi="Times New Roman" w:eastAsia="宋体"/>
          <w:lang w:eastAsia="zh-CN"/>
        </w:rPr>
        <w:t>煤层顶板。</w:t>
      </w:r>
    </w:p>
    <w:p>
      <w:pPr>
        <w:spacing w:line="360" w:lineRule="auto"/>
        <w:ind w:firstLine="480" w:firstLineChars="200"/>
        <w:rPr>
          <w:rFonts w:hAnsi="Times New Roman" w:eastAsia="宋体"/>
          <w:lang w:eastAsia="zh-CN"/>
        </w:rPr>
      </w:pPr>
      <w:r>
        <w:rPr>
          <w:rFonts w:hAnsi="Times New Roman" w:eastAsia="宋体"/>
        </w:rPr>
        <w:t>矿井在采区下山东侧+</w:t>
      </w:r>
      <w:r>
        <w:rPr>
          <w:rFonts w:hAnsi="Times New Roman" w:eastAsia="宋体"/>
          <w:lang w:eastAsia="zh-CN"/>
        </w:rPr>
        <w:t>28</w:t>
      </w:r>
      <w:r>
        <w:rPr>
          <w:rFonts w:hAnsi="Times New Roman" w:eastAsia="宋体"/>
        </w:rPr>
        <w:t>0m～+</w:t>
      </w:r>
      <w:r>
        <w:rPr>
          <w:rFonts w:hAnsi="Times New Roman" w:eastAsia="宋体"/>
          <w:lang w:eastAsia="zh-CN"/>
        </w:rPr>
        <w:t>200</w:t>
      </w:r>
      <w:r>
        <w:rPr>
          <w:rFonts w:hAnsi="Times New Roman" w:eastAsia="宋体"/>
        </w:rPr>
        <w:t>m之间的K</w:t>
      </w:r>
      <w:r>
        <w:rPr>
          <w:rFonts w:hAnsi="Times New Roman" w:eastAsia="宋体"/>
          <w:vertAlign w:val="subscript"/>
        </w:rPr>
        <w:t>5</w:t>
      </w:r>
      <w:r>
        <w:rPr>
          <w:rFonts w:hAnsi="Times New Roman" w:eastAsia="宋体"/>
        </w:rPr>
        <w:t>煤层中布置有1个采煤工作面</w:t>
      </w:r>
      <w:r>
        <w:rPr>
          <w:rFonts w:hAnsi="Times New Roman" w:eastAsia="宋体"/>
          <w:lang w:eastAsia="zh-CN"/>
        </w:rPr>
        <w:t>（2163采煤工作面）</w:t>
      </w:r>
      <w:r>
        <w:rPr>
          <w:rFonts w:hAnsi="Times New Roman" w:eastAsia="宋体"/>
        </w:rPr>
        <w:t>，采用走向长壁采煤法，</w:t>
      </w:r>
      <w:r>
        <w:rPr>
          <w:rFonts w:hAnsi="Times New Roman" w:eastAsia="宋体"/>
          <w:lang w:eastAsia="zh-CN"/>
        </w:rPr>
        <w:t>炮</w:t>
      </w:r>
      <w:r>
        <w:rPr>
          <w:rFonts w:hAnsi="Times New Roman" w:eastAsia="宋体"/>
        </w:rPr>
        <w:t>采</w:t>
      </w:r>
      <w:r>
        <w:rPr>
          <w:rFonts w:hAnsi="Times New Roman" w:eastAsia="宋体"/>
          <w:lang w:eastAsia="zh-CN"/>
        </w:rPr>
        <w:t>落</w:t>
      </w:r>
      <w:r>
        <w:rPr>
          <w:rFonts w:hAnsi="Times New Roman" w:eastAsia="宋体"/>
        </w:rPr>
        <w:t>煤工艺，单体液压支柱支护工作面，全部垮落法管理顶板。根据开拓</w:t>
      </w:r>
      <w:r>
        <w:rPr>
          <w:rFonts w:hint="eastAsia" w:hAnsi="Times New Roman" w:eastAsia="宋体"/>
          <w:lang w:eastAsia="zh-CN"/>
        </w:rPr>
        <w:t>部署</w:t>
      </w:r>
      <w:r>
        <w:rPr>
          <w:rFonts w:hAnsi="Times New Roman" w:eastAsia="宋体"/>
        </w:rPr>
        <w:t>，矿井采用</w:t>
      </w:r>
      <w:r>
        <w:rPr>
          <w:rFonts w:hAnsi="Times New Roman" w:eastAsia="宋体"/>
          <w:lang w:eastAsia="zh-CN"/>
        </w:rPr>
        <w:t>混合</w:t>
      </w:r>
      <w:r>
        <w:rPr>
          <w:rFonts w:hAnsi="Times New Roman" w:eastAsia="宋体"/>
        </w:rPr>
        <w:t>式通风方式，抽出式通风方法；采煤工作面采用“U”型通风，掘进工作面采用局部通风机压入式通风。</w:t>
      </w:r>
    </w:p>
    <w:p>
      <w:pPr>
        <w:spacing w:line="360" w:lineRule="auto"/>
        <w:ind w:firstLine="480" w:firstLineChars="200"/>
        <w:rPr>
          <w:rFonts w:hAnsi="Times New Roman" w:eastAsia="宋体"/>
          <w:lang w:eastAsia="zh-CN"/>
        </w:rPr>
      </w:pPr>
      <w:r>
        <w:rPr>
          <w:rFonts w:hAnsi="Times New Roman" w:eastAsia="宋体"/>
          <w:lang w:eastAsia="zh-CN"/>
        </w:rPr>
        <w:t>矿井+379m标高以上的涌水主要经+379m主平硐自流排出；+379m标高以下的涌水则采用机械抽排。在副暗斜井水泵房（标高+200m）安装3台水泵（水泵型号：MD280-43×6型，配套电机功率315kw），沿副暗斜井敷设两趟D219×6mm的无缝钢管排水管，将+379m～+200m标高段的矿井涌水抽排至+379m主平硐排水沟自流排出。</w:t>
      </w:r>
    </w:p>
    <w:p>
      <w:pPr>
        <w:spacing w:line="360" w:lineRule="auto"/>
        <w:ind w:firstLine="480" w:firstLineChars="200"/>
        <w:rPr>
          <w:rFonts w:hAnsi="Times New Roman" w:eastAsia="宋体"/>
          <w:lang w:eastAsia="zh-CN"/>
        </w:rPr>
      </w:pPr>
      <w:r>
        <w:rPr>
          <w:rFonts w:hAnsi="Times New Roman" w:eastAsia="宋体"/>
          <w:lang w:eastAsia="zh-CN"/>
        </w:rPr>
        <w:t>矿井在主平硐工业场地建设有1座6kV主变电所，采用两回6kV电源供电，两回电源均来自七里变电站6kV不同母线段，线路采用两趟LGJ-185型架空线路输送电源，单回供电距离2km。</w:t>
      </w:r>
    </w:p>
    <w:p>
      <w:pPr>
        <w:spacing w:line="360" w:lineRule="auto"/>
        <w:ind w:firstLine="480" w:firstLineChars="200"/>
        <w:rPr>
          <w:rFonts w:hAnsi="Times New Roman" w:eastAsia="宋体"/>
          <w:lang w:eastAsia="zh-CN"/>
        </w:rPr>
      </w:pPr>
      <w:r>
        <w:rPr>
          <w:rFonts w:hAnsi="Times New Roman" w:eastAsia="宋体"/>
          <w:lang w:eastAsia="zh-CN"/>
        </w:rPr>
        <w:t>矿井开采K</w:t>
      </w:r>
      <w:r>
        <w:rPr>
          <w:rFonts w:hAnsi="Times New Roman" w:eastAsia="宋体"/>
          <w:vertAlign w:val="subscript"/>
          <w:lang w:eastAsia="zh-CN"/>
        </w:rPr>
        <w:t>10</w:t>
      </w:r>
      <w:r>
        <w:rPr>
          <w:rFonts w:hAnsi="Times New Roman" w:eastAsia="宋体"/>
          <w:lang w:eastAsia="zh-CN"/>
        </w:rPr>
        <w:t>、K</w:t>
      </w:r>
      <w:r>
        <w:rPr>
          <w:rFonts w:hAnsi="Times New Roman" w:eastAsia="宋体"/>
          <w:vertAlign w:val="subscript"/>
          <w:lang w:eastAsia="zh-CN"/>
        </w:rPr>
        <w:t>8</w:t>
      </w:r>
      <w:r>
        <w:rPr>
          <w:rFonts w:hAnsi="Times New Roman" w:eastAsia="宋体"/>
          <w:lang w:eastAsia="zh-CN"/>
        </w:rPr>
        <w:t>、K</w:t>
      </w:r>
      <w:r>
        <w:rPr>
          <w:rFonts w:hAnsi="Times New Roman" w:eastAsia="宋体"/>
          <w:vertAlign w:val="subscript"/>
          <w:lang w:eastAsia="zh-CN"/>
        </w:rPr>
        <w:t>6</w:t>
      </w:r>
      <w:r>
        <w:rPr>
          <w:rFonts w:hAnsi="Times New Roman" w:eastAsia="宋体"/>
          <w:lang w:eastAsia="zh-CN"/>
        </w:rPr>
        <w:t>、K</w:t>
      </w:r>
      <w:r>
        <w:rPr>
          <w:rFonts w:hAnsi="Times New Roman" w:eastAsia="宋体"/>
          <w:vertAlign w:val="subscript"/>
          <w:lang w:eastAsia="zh-CN"/>
        </w:rPr>
        <w:t>5</w:t>
      </w:r>
      <w:r>
        <w:rPr>
          <w:rFonts w:hAnsi="Times New Roman" w:eastAsia="宋体"/>
          <w:lang w:eastAsia="zh-CN"/>
        </w:rPr>
        <w:t>、K</w:t>
      </w:r>
      <w:r>
        <w:rPr>
          <w:rFonts w:hAnsi="Times New Roman" w:eastAsia="宋体"/>
          <w:vertAlign w:val="subscript"/>
          <w:lang w:eastAsia="zh-CN"/>
        </w:rPr>
        <w:t>4</w:t>
      </w:r>
      <w:r>
        <w:rPr>
          <w:rFonts w:hAnsi="Times New Roman" w:eastAsia="宋体"/>
          <w:lang w:eastAsia="zh-CN"/>
        </w:rPr>
        <w:t>煤层，其中K</w:t>
      </w:r>
      <w:r>
        <w:rPr>
          <w:rFonts w:hAnsi="Times New Roman" w:eastAsia="宋体"/>
          <w:vertAlign w:val="subscript"/>
          <w:lang w:eastAsia="zh-CN"/>
        </w:rPr>
        <w:t>10</w:t>
      </w:r>
      <w:r>
        <w:rPr>
          <w:rFonts w:hAnsi="Times New Roman" w:eastAsia="宋体"/>
          <w:lang w:eastAsia="zh-CN"/>
        </w:rPr>
        <w:t>、K</w:t>
      </w:r>
      <w:r>
        <w:rPr>
          <w:rFonts w:hAnsi="Times New Roman" w:eastAsia="宋体"/>
          <w:vertAlign w:val="subscript"/>
          <w:lang w:eastAsia="zh-CN"/>
        </w:rPr>
        <w:t>8</w:t>
      </w:r>
      <w:r>
        <w:rPr>
          <w:rFonts w:hAnsi="Times New Roman" w:eastAsia="宋体"/>
          <w:lang w:eastAsia="zh-CN"/>
        </w:rPr>
        <w:t>、K</w:t>
      </w:r>
      <w:r>
        <w:rPr>
          <w:rFonts w:hAnsi="Times New Roman" w:eastAsia="宋体"/>
          <w:vertAlign w:val="subscript"/>
          <w:lang w:eastAsia="zh-CN"/>
        </w:rPr>
        <w:t>4</w:t>
      </w:r>
      <w:r>
        <w:rPr>
          <w:rFonts w:hAnsi="Times New Roman" w:eastAsia="宋体"/>
          <w:lang w:eastAsia="zh-CN"/>
        </w:rPr>
        <w:t>煤层赋存于长田井田内，K</w:t>
      </w:r>
      <w:r>
        <w:rPr>
          <w:rFonts w:hAnsi="Times New Roman" w:eastAsia="宋体"/>
          <w:vertAlign w:val="subscript"/>
          <w:lang w:eastAsia="zh-CN"/>
        </w:rPr>
        <w:t>6</w:t>
      </w:r>
      <w:r>
        <w:rPr>
          <w:rFonts w:hAnsi="Times New Roman" w:eastAsia="宋体"/>
          <w:lang w:eastAsia="zh-CN"/>
        </w:rPr>
        <w:t>、K</w:t>
      </w:r>
      <w:r>
        <w:rPr>
          <w:rFonts w:hAnsi="Times New Roman" w:eastAsia="宋体"/>
          <w:vertAlign w:val="subscript"/>
          <w:lang w:eastAsia="zh-CN"/>
        </w:rPr>
        <w:t>5</w:t>
      </w:r>
      <w:r>
        <w:rPr>
          <w:rFonts w:hAnsi="Times New Roman" w:eastAsia="宋体"/>
          <w:lang w:eastAsia="zh-CN"/>
        </w:rPr>
        <w:t>煤层赋存于长田井田和开丰井田内。K</w:t>
      </w:r>
      <w:r>
        <w:rPr>
          <w:rFonts w:hAnsi="Times New Roman" w:eastAsia="宋体"/>
          <w:vertAlign w:val="subscript"/>
          <w:lang w:eastAsia="zh-CN"/>
        </w:rPr>
        <w:t>10</w:t>
      </w:r>
      <w:r>
        <w:rPr>
          <w:rFonts w:hAnsi="Times New Roman" w:eastAsia="宋体"/>
          <w:lang w:eastAsia="zh-CN"/>
        </w:rPr>
        <w:t>煤层B-B＇勘探线以西至长田井田西翼边界+480m标高以上、C-C＇勘探线至H-H＇勘探线+380m标高以上均已采空，采空区面积约702508m</w:t>
      </w:r>
      <w:r>
        <w:rPr>
          <w:rFonts w:hAnsi="Times New Roman" w:eastAsia="宋体"/>
          <w:vertAlign w:val="superscript"/>
          <w:lang w:eastAsia="zh-CN"/>
        </w:rPr>
        <w:t>2</w:t>
      </w:r>
      <w:r>
        <w:rPr>
          <w:rFonts w:hAnsi="Times New Roman" w:eastAsia="宋体"/>
          <w:lang w:eastAsia="zh-CN"/>
        </w:rPr>
        <w:t>；K</w:t>
      </w:r>
      <w:r>
        <w:rPr>
          <w:rFonts w:hAnsi="Times New Roman" w:eastAsia="宋体"/>
          <w:vertAlign w:val="subscript"/>
          <w:lang w:eastAsia="zh-CN"/>
        </w:rPr>
        <w:t>8</w:t>
      </w:r>
      <w:r>
        <w:rPr>
          <w:rFonts w:hAnsi="Times New Roman" w:eastAsia="宋体"/>
          <w:lang w:eastAsia="zh-CN"/>
        </w:rPr>
        <w:t>煤层B-B＇勘探线以西至长田井田西翼边界+380m标高以上、D-D＇勘探线至F-F＇勘探线+500m标高以上均已采空，采空区面积约127639m</w:t>
      </w:r>
      <w:r>
        <w:rPr>
          <w:rFonts w:hAnsi="Times New Roman" w:eastAsia="宋体"/>
          <w:vertAlign w:val="superscript"/>
          <w:lang w:eastAsia="zh-CN"/>
        </w:rPr>
        <w:t>2</w:t>
      </w:r>
      <w:r>
        <w:rPr>
          <w:rFonts w:hAnsi="Times New Roman" w:eastAsia="宋体"/>
          <w:lang w:eastAsia="zh-CN"/>
        </w:rPr>
        <w:t>；K</w:t>
      </w:r>
      <w:r>
        <w:rPr>
          <w:rFonts w:hAnsi="Times New Roman" w:eastAsia="宋体"/>
          <w:vertAlign w:val="subscript"/>
          <w:lang w:eastAsia="zh-CN"/>
        </w:rPr>
        <w:t>6</w:t>
      </w:r>
      <w:r>
        <w:rPr>
          <w:rFonts w:hAnsi="Times New Roman" w:eastAsia="宋体"/>
          <w:lang w:eastAsia="zh-CN"/>
        </w:rPr>
        <w:t>煤层长田井田内已全部采空，开丰井田内I-I＇勘探线以西至新宁河河床东翼保护煤柱边界已采空，I-I＇勘探线至V-V＇勘探线+411m标高以上均已采空，采空区面积约791701m</w:t>
      </w:r>
      <w:r>
        <w:rPr>
          <w:rFonts w:hAnsi="Times New Roman" w:eastAsia="宋体"/>
          <w:vertAlign w:val="superscript"/>
          <w:lang w:eastAsia="zh-CN"/>
        </w:rPr>
        <w:t>2</w:t>
      </w:r>
      <w:r>
        <w:rPr>
          <w:rFonts w:hAnsi="Times New Roman" w:eastAsia="宋体"/>
          <w:lang w:eastAsia="zh-CN"/>
        </w:rPr>
        <w:t>；K</w:t>
      </w:r>
      <w:r>
        <w:rPr>
          <w:rFonts w:hAnsi="Times New Roman" w:eastAsia="宋体"/>
          <w:vertAlign w:val="subscript"/>
          <w:lang w:eastAsia="zh-CN"/>
        </w:rPr>
        <w:t>5</w:t>
      </w:r>
      <w:r>
        <w:rPr>
          <w:rFonts w:hAnsi="Times New Roman" w:eastAsia="宋体"/>
          <w:lang w:eastAsia="zh-CN"/>
        </w:rPr>
        <w:t>煤层长田井田内+380m标高以上已采空，采空区面积约683778m</w:t>
      </w:r>
      <w:r>
        <w:rPr>
          <w:rFonts w:hAnsi="Times New Roman" w:eastAsia="宋体"/>
          <w:vertAlign w:val="superscript"/>
          <w:lang w:eastAsia="zh-CN"/>
        </w:rPr>
        <w:t>2</w:t>
      </w:r>
      <w:r>
        <w:rPr>
          <w:rFonts w:hAnsi="Times New Roman" w:eastAsia="宋体"/>
          <w:lang w:eastAsia="zh-CN"/>
        </w:rPr>
        <w:t>；K</w:t>
      </w:r>
      <w:r>
        <w:rPr>
          <w:rFonts w:hAnsi="Times New Roman" w:eastAsia="宋体"/>
          <w:vertAlign w:val="subscript"/>
          <w:lang w:eastAsia="zh-CN"/>
        </w:rPr>
        <w:t>4</w:t>
      </w:r>
      <w:r>
        <w:rPr>
          <w:rFonts w:hAnsi="Times New Roman" w:eastAsia="宋体"/>
          <w:lang w:eastAsia="zh-CN"/>
        </w:rPr>
        <w:t>煤层+480m标高以上已采空，采空区面积约172908m</w:t>
      </w:r>
      <w:r>
        <w:rPr>
          <w:rFonts w:hAnsi="Times New Roman" w:eastAsia="宋体"/>
          <w:vertAlign w:val="superscript"/>
          <w:lang w:eastAsia="zh-CN"/>
        </w:rPr>
        <w:t>2</w:t>
      </w:r>
      <w:r>
        <w:rPr>
          <w:rFonts w:hAnsi="Times New Roman" w:eastAsia="宋体"/>
          <w:lang w:eastAsia="zh-CN"/>
        </w:rPr>
        <w:t>。</w:t>
      </w:r>
    </w:p>
    <w:p>
      <w:pPr>
        <w:spacing w:line="360" w:lineRule="auto"/>
        <w:ind w:firstLine="480" w:firstLineChars="200"/>
        <w:rPr>
          <w:rFonts w:hAnsi="Times New Roman" w:eastAsia="宋体"/>
          <w:lang w:eastAsia="zh-CN"/>
        </w:rPr>
      </w:pPr>
      <w:r>
        <w:rPr>
          <w:rFonts w:hAnsi="Times New Roman" w:eastAsia="宋体"/>
          <w:lang w:eastAsia="zh-CN"/>
        </w:rPr>
        <w:t>根据四川省地质矿产（集团）有限公司2020年8月编制的《四川省宣汉县七里峡井田七里峡煤矿资源量核实报告》，</w:t>
      </w:r>
      <w:r>
        <w:rPr>
          <w:rFonts w:hint="eastAsia" w:hAnsi="Times New Roman" w:eastAsia="宋体"/>
          <w:lang w:eastAsia="zh-CN"/>
        </w:rPr>
        <w:t>截至2020年</w:t>
      </w:r>
      <w:r>
        <w:rPr>
          <w:rFonts w:hAnsi="Times New Roman" w:eastAsia="宋体"/>
          <w:lang w:eastAsia="zh-CN"/>
        </w:rPr>
        <w:t>7月31日，经估算七里峡煤矿保有资源/储量（122b+333）3434kt，其中（122b）类2539kt，（333）类895kt。</w:t>
      </w:r>
    </w:p>
    <w:p>
      <w:pPr>
        <w:pStyle w:val="8"/>
        <w:rPr>
          <w:rFonts w:ascii="Times New Roman" w:hAnsi="Times New Roman"/>
          <w:lang w:eastAsia="zh-CN"/>
        </w:rPr>
      </w:pPr>
      <w:r>
        <w:rPr>
          <w:rFonts w:ascii="Times New Roman" w:hAnsi="Times New Roman"/>
          <w:lang w:eastAsia="zh-CN"/>
        </w:rPr>
        <w:t>2.1.2.3 生产工艺情况</w:t>
      </w:r>
    </w:p>
    <w:p>
      <w:pPr>
        <w:spacing w:line="360" w:lineRule="auto"/>
        <w:ind w:firstLine="480" w:firstLineChars="200"/>
        <w:rPr>
          <w:rFonts w:hAnsi="Times New Roman" w:eastAsia="宋体"/>
          <w:lang w:eastAsia="zh-CN"/>
        </w:rPr>
      </w:pPr>
      <w:r>
        <w:rPr>
          <w:rFonts w:hAnsi="Times New Roman" w:eastAsia="宋体"/>
          <w:lang w:eastAsia="zh-CN"/>
        </w:rPr>
        <w:t>矿井采用平硐、斜井综合开拓方式，走向长壁采煤法，炮</w:t>
      </w:r>
      <w:r>
        <w:rPr>
          <w:rFonts w:hAnsi="Times New Roman" w:eastAsia="宋体"/>
        </w:rPr>
        <w:t>采</w:t>
      </w:r>
      <w:r>
        <w:rPr>
          <w:rFonts w:hAnsi="Times New Roman" w:eastAsia="宋体"/>
          <w:lang w:eastAsia="zh-CN"/>
        </w:rPr>
        <w:t>落</w:t>
      </w:r>
      <w:r>
        <w:rPr>
          <w:rFonts w:hAnsi="Times New Roman" w:eastAsia="宋体"/>
        </w:rPr>
        <w:t>煤工艺</w:t>
      </w:r>
      <w:r>
        <w:rPr>
          <w:rFonts w:hAnsi="Times New Roman" w:eastAsia="宋体"/>
          <w:lang w:eastAsia="zh-CN"/>
        </w:rPr>
        <w:t>，煤炭采用刮板输送机运输，掩护式液压支架支护工作面顶板，全部垮落法处理采空区。</w:t>
      </w:r>
    </w:p>
    <w:p>
      <w:pPr>
        <w:pStyle w:val="8"/>
        <w:rPr>
          <w:rFonts w:ascii="Times New Roman" w:hAnsi="Times New Roman"/>
          <w:lang w:eastAsia="zh-CN"/>
        </w:rPr>
      </w:pPr>
      <w:r>
        <w:rPr>
          <w:rFonts w:ascii="Times New Roman" w:hAnsi="Times New Roman"/>
          <w:lang w:eastAsia="zh-CN"/>
        </w:rPr>
        <w:t>2.1.2.4 环保手续履行情况</w:t>
      </w:r>
    </w:p>
    <w:p>
      <w:pPr>
        <w:spacing w:line="360" w:lineRule="auto"/>
        <w:ind w:firstLine="480" w:firstLineChars="200"/>
        <w:rPr>
          <w:rFonts w:hAnsi="Times New Roman" w:eastAsia="宋体"/>
          <w:lang w:eastAsia="zh-CN"/>
        </w:rPr>
      </w:pPr>
      <w:r>
        <w:rPr>
          <w:rFonts w:hAnsi="Times New Roman" w:eastAsia="宋体"/>
          <w:lang w:eastAsia="zh-CN"/>
        </w:rPr>
        <w:t>2014年达州市宣汉县七里峡煤业有限公司七里峡煤矿委托中煤科工集团重庆设计研究院编制了《达州市宣汉县七里峡煤业有限公司七里峡煤矿150kt/a改扩建项目环境影响报告书》。2014年11月12日，宣汉县环境保护局以“宣环审[2014]108号”文件批复了该项目环境影响报告书。2019年3月委托四川省华检技术检测服务有限公司编制了《达州市宣汉县七里峡煤业有限公司七里峡煤矿150kt/a改扩建项目竣工环境保护验收调查报告》，同月宣汉县七里峡煤矿组织了竣工环境保护验收，取得验收组专家意见。</w:t>
      </w:r>
    </w:p>
    <w:p>
      <w:pPr>
        <w:pStyle w:val="6"/>
        <w:rPr>
          <w:lang w:eastAsia="zh-CN"/>
        </w:rPr>
      </w:pPr>
      <w:bookmarkStart w:id="67" w:name="_Toc167095126"/>
      <w:bookmarkStart w:id="68" w:name="_Toc163812503"/>
      <w:r>
        <w:rPr>
          <w:lang w:eastAsia="zh-CN"/>
        </w:rPr>
        <w:t>2.1.3 现有工程污染物排</w:t>
      </w:r>
      <w:r>
        <w:rPr>
          <w:rFonts w:hint="eastAsia"/>
          <w:lang w:val="en-US" w:eastAsia="zh-CN"/>
        </w:rPr>
        <w:t>放</w:t>
      </w:r>
      <w:r>
        <w:rPr>
          <w:lang w:eastAsia="zh-CN"/>
        </w:rPr>
        <w:t>及治理</w:t>
      </w:r>
      <w:bookmarkEnd w:id="67"/>
      <w:bookmarkEnd w:id="68"/>
    </w:p>
    <w:p>
      <w:pPr>
        <w:spacing w:line="360" w:lineRule="auto"/>
        <w:ind w:firstLine="482" w:firstLineChars="200"/>
        <w:rPr>
          <w:rFonts w:hAnsi="Times New Roman" w:eastAsia="宋体"/>
          <w:lang w:eastAsia="zh-CN"/>
        </w:rPr>
      </w:pPr>
      <w:r>
        <w:rPr>
          <w:rFonts w:hAnsi="Times New Roman" w:eastAsia="宋体"/>
          <w:b/>
          <w:bCs/>
          <w:lang w:eastAsia="zh-CN"/>
        </w:rPr>
        <w:t>根据业主提供的资料，原项目已于2019年9月停产至今，</w:t>
      </w:r>
      <w:r>
        <w:rPr>
          <w:rFonts w:hAnsi="Times New Roman" w:eastAsia="宋体"/>
          <w:lang w:eastAsia="zh-CN"/>
        </w:rPr>
        <w:t>现有工程污染物排</w:t>
      </w:r>
      <w:r>
        <w:rPr>
          <w:rFonts w:hint="eastAsia" w:hAnsi="Times New Roman" w:eastAsia="宋体"/>
          <w:lang w:val="en-US" w:eastAsia="zh-CN"/>
        </w:rPr>
        <w:t>放</w:t>
      </w:r>
      <w:r>
        <w:rPr>
          <w:rFonts w:hAnsi="Times New Roman" w:eastAsia="宋体"/>
          <w:lang w:eastAsia="zh-CN"/>
        </w:rPr>
        <w:t>及治理情况调查，主要根据《达州市宣汉县七里峡煤业有限公司七里峡煤矿150kt/a改扩建项目环境影响报告书》及本次环评现场调查方式开展。</w:t>
      </w:r>
    </w:p>
    <w:p>
      <w:pPr>
        <w:pStyle w:val="8"/>
        <w:rPr>
          <w:rFonts w:ascii="Times New Roman" w:hAnsi="Times New Roman"/>
          <w:lang w:eastAsia="zh-CN"/>
        </w:rPr>
      </w:pPr>
      <w:r>
        <w:rPr>
          <w:rFonts w:ascii="Times New Roman" w:hAnsi="Times New Roman"/>
          <w:lang w:eastAsia="zh-CN"/>
        </w:rPr>
        <w:t>2.1.3.1 废水</w:t>
      </w:r>
    </w:p>
    <w:p>
      <w:pPr>
        <w:spacing w:line="360" w:lineRule="auto"/>
        <w:ind w:firstLine="480" w:firstLineChars="200"/>
        <w:rPr>
          <w:rFonts w:hAnsi="Times New Roman" w:eastAsia="宋体"/>
          <w:lang w:eastAsia="zh-CN"/>
        </w:rPr>
      </w:pPr>
      <w:r>
        <w:rPr>
          <w:rFonts w:hAnsi="Times New Roman" w:eastAsia="宋体"/>
          <w:lang w:eastAsia="zh-CN"/>
        </w:rPr>
        <w:t>根据调查，现有项目产生的废水主要包括矿井涌水、生活污水、场地雨水、车辆冲洗废水。</w:t>
      </w:r>
    </w:p>
    <w:p>
      <w:pPr>
        <w:pStyle w:val="9"/>
        <w:spacing w:line="360" w:lineRule="auto"/>
        <w:rPr>
          <w:rFonts w:hint="default" w:ascii="Times New Roman" w:hAnsi="Times New Roman"/>
          <w:lang w:eastAsia="zh-CN"/>
        </w:rPr>
      </w:pPr>
      <w:r>
        <w:rPr>
          <w:rFonts w:hint="default" w:ascii="Times New Roman" w:hAnsi="Times New Roman"/>
          <w:lang w:eastAsia="zh-CN"/>
        </w:rPr>
        <w:t>2.1.3.1.1废水</w:t>
      </w:r>
      <w:r>
        <w:rPr>
          <w:rFonts w:hint="default" w:ascii="Times New Roman" w:hAnsi="Times New Roman"/>
        </w:rPr>
        <w:t>产生及排放情况</w:t>
      </w:r>
    </w:p>
    <w:p>
      <w:pPr>
        <w:spacing w:line="360" w:lineRule="auto"/>
        <w:ind w:firstLine="480" w:firstLineChars="200"/>
        <w:rPr>
          <w:rFonts w:hAnsi="Times New Roman" w:eastAsia="宋体"/>
          <w:lang w:eastAsia="zh-CN"/>
        </w:rPr>
      </w:pPr>
      <w:r>
        <w:rPr>
          <w:rFonts w:hAnsi="Times New Roman" w:eastAsia="宋体"/>
          <w:lang w:eastAsia="zh-CN"/>
        </w:rPr>
        <w:t>（1）矿井涌水</w:t>
      </w:r>
    </w:p>
    <w:p>
      <w:pPr>
        <w:spacing w:line="360" w:lineRule="auto"/>
        <w:ind w:firstLine="480" w:firstLineChars="200"/>
        <w:rPr>
          <w:rFonts w:hAnsi="Times New Roman" w:eastAsia="宋体"/>
          <w:lang w:eastAsia="zh-CN"/>
        </w:rPr>
      </w:pPr>
      <w:r>
        <w:rPr>
          <w:rFonts w:hAnsi="Times New Roman" w:eastAsia="宋体"/>
          <w:lang w:eastAsia="zh-CN"/>
        </w:rPr>
        <w:t>现有工程矿井涌水主要通过+379m主平硐排出，</w:t>
      </w:r>
      <w:r>
        <w:rPr>
          <w:rFonts w:hAnsi="Times New Roman" w:eastAsia="宋体"/>
          <w:szCs w:val="22"/>
          <w:lang w:eastAsia="zh-CN"/>
        </w:rPr>
        <w:t>根据乐山市五通桥区福源矿业技术服务有限公司2019年4月编制的《达州市宣汉县七里峡煤业有限公司七里峡煤矿矿井水患现状调查报告》，</w:t>
      </w:r>
      <w:r>
        <w:rPr>
          <w:rFonts w:hAnsi="Times New Roman" w:eastAsia="宋体"/>
          <w:lang w:eastAsia="zh-CN"/>
        </w:rPr>
        <w:t>实测矿井+200m水平正常涌水量为85.5m</w:t>
      </w:r>
      <w:r>
        <w:rPr>
          <w:rFonts w:hAnsi="Times New Roman" w:eastAsia="宋体"/>
          <w:vertAlign w:val="superscript"/>
          <w:lang w:eastAsia="zh-CN"/>
        </w:rPr>
        <w:t>3</w:t>
      </w:r>
      <w:r>
        <w:rPr>
          <w:rFonts w:hAnsi="Times New Roman" w:eastAsia="宋体"/>
          <w:lang w:eastAsia="zh-CN"/>
        </w:rPr>
        <w:t>/h（</w:t>
      </w:r>
      <w:r>
        <w:rPr>
          <w:rFonts w:hAnsi="Times New Roman" w:eastAsia="宋体"/>
          <w:szCs w:val="22"/>
          <w:lang w:eastAsia="zh-CN"/>
        </w:rPr>
        <w:t>2052m</w:t>
      </w:r>
      <w:r>
        <w:rPr>
          <w:rFonts w:hAnsi="Times New Roman" w:eastAsia="宋体"/>
          <w:szCs w:val="22"/>
          <w:vertAlign w:val="superscript"/>
          <w:lang w:eastAsia="zh-CN"/>
        </w:rPr>
        <w:t>3</w:t>
      </w:r>
      <w:r>
        <w:rPr>
          <w:rFonts w:hAnsi="Times New Roman" w:eastAsia="宋体"/>
          <w:szCs w:val="22"/>
          <w:lang w:eastAsia="zh-CN"/>
        </w:rPr>
        <w:t>/d），基本能代表当前矿井正常涌水量，查阅矿井近3年的涌水量台账，矿井最大涌水量为128.3m</w:t>
      </w:r>
      <w:r>
        <w:rPr>
          <w:rFonts w:hAnsi="Times New Roman" w:eastAsia="宋体"/>
          <w:szCs w:val="22"/>
          <w:vertAlign w:val="superscript"/>
          <w:lang w:eastAsia="zh-CN"/>
        </w:rPr>
        <w:t>3</w:t>
      </w:r>
      <w:r>
        <w:rPr>
          <w:rFonts w:hAnsi="Times New Roman" w:eastAsia="宋体"/>
          <w:szCs w:val="22"/>
          <w:lang w:eastAsia="zh-CN"/>
        </w:rPr>
        <w:t>/h（3079.2m</w:t>
      </w:r>
      <w:r>
        <w:rPr>
          <w:rFonts w:hAnsi="Times New Roman" w:eastAsia="宋体"/>
          <w:szCs w:val="22"/>
          <w:vertAlign w:val="superscript"/>
          <w:lang w:eastAsia="zh-CN"/>
        </w:rPr>
        <w:t>3</w:t>
      </w:r>
      <w:r>
        <w:rPr>
          <w:rFonts w:hAnsi="Times New Roman" w:eastAsia="宋体"/>
          <w:szCs w:val="22"/>
          <w:lang w:eastAsia="zh-CN"/>
        </w:rPr>
        <w:t>/d）</w:t>
      </w:r>
      <w:r>
        <w:rPr>
          <w:rFonts w:hAnsi="Times New Roman" w:eastAsia="宋体"/>
          <w:lang w:eastAsia="zh-CN"/>
        </w:rPr>
        <w:t>。</w:t>
      </w:r>
    </w:p>
    <w:p>
      <w:pPr>
        <w:spacing w:line="360" w:lineRule="auto"/>
        <w:ind w:firstLine="480" w:firstLineChars="200"/>
        <w:rPr>
          <w:rFonts w:hAnsi="Times New Roman" w:eastAsia="宋体"/>
          <w:lang w:eastAsia="zh-CN"/>
        </w:rPr>
      </w:pPr>
      <w:r>
        <w:rPr>
          <w:rFonts w:hAnsi="Times New Roman" w:eastAsia="宋体"/>
          <w:lang w:eastAsia="zh-CN"/>
        </w:rPr>
        <w:t>矿井在+200m水平设置有主、副两个水仓，其中，主水仓容量1000m</w:t>
      </w:r>
      <w:r>
        <w:rPr>
          <w:rFonts w:hAnsi="Times New Roman" w:eastAsia="宋体"/>
          <w:vertAlign w:val="superscript"/>
          <w:lang w:eastAsia="zh-CN"/>
        </w:rPr>
        <w:t>3</w:t>
      </w:r>
      <w:r>
        <w:rPr>
          <w:rFonts w:hAnsi="Times New Roman" w:eastAsia="宋体"/>
          <w:lang w:eastAsia="zh-CN"/>
        </w:rPr>
        <w:t>、副水仓1000m</w:t>
      </w:r>
      <w:r>
        <w:rPr>
          <w:rFonts w:hAnsi="Times New Roman" w:eastAsia="宋体"/>
          <w:vertAlign w:val="superscript"/>
          <w:lang w:eastAsia="zh-CN"/>
        </w:rPr>
        <w:t>3</w:t>
      </w:r>
      <w:r>
        <w:rPr>
          <w:rFonts w:hAnsi="Times New Roman" w:eastAsia="宋体"/>
          <w:lang w:eastAsia="zh-CN"/>
        </w:rPr>
        <w:t>，采煤废水首先进入主、副水仓内进行调节作用后， 然后由泵抽至主平硐排出后进入矿井水处理站（调节+混凝沉淀+石英砂过滤+煤泥干化）处理后</w:t>
      </w:r>
      <w:r>
        <w:rPr>
          <w:rFonts w:hAnsi="Times New Roman" w:eastAsia="宋体"/>
          <w:szCs w:val="22"/>
          <w:lang w:eastAsia="zh-CN"/>
        </w:rPr>
        <w:t>，达到《煤炭工业污染物排放标准》（GB20426-2006）表2采煤废水污染物排放限值标准，部分排入高位水池暂存回用于生产，剩余少量废水</w:t>
      </w:r>
      <w:r>
        <w:rPr>
          <w:rFonts w:hAnsi="Times New Roman" w:eastAsia="宋体"/>
          <w:lang w:eastAsia="zh-CN"/>
        </w:rPr>
        <w:t>排入新宁河</w:t>
      </w:r>
      <w:r>
        <w:rPr>
          <w:rFonts w:hAnsi="Times New Roman" w:eastAsia="宋体"/>
          <w:szCs w:val="22"/>
          <w:lang w:eastAsia="zh-CN"/>
        </w:rPr>
        <w:t>，外排废水约1546.6m</w:t>
      </w:r>
      <w:r>
        <w:rPr>
          <w:rFonts w:hAnsi="Times New Roman" w:eastAsia="宋体"/>
          <w:szCs w:val="22"/>
          <w:vertAlign w:val="superscript"/>
          <w:lang w:eastAsia="zh-CN"/>
        </w:rPr>
        <w:t>3</w:t>
      </w:r>
      <w:r>
        <w:rPr>
          <w:rFonts w:hAnsi="Times New Roman" w:eastAsia="宋体"/>
          <w:szCs w:val="22"/>
          <w:lang w:eastAsia="zh-CN"/>
        </w:rPr>
        <w:t>/d</w:t>
      </w:r>
      <w:r>
        <w:rPr>
          <w:rFonts w:hAnsi="Times New Roman" w:eastAsia="宋体"/>
          <w:lang w:eastAsia="zh-CN"/>
        </w:rPr>
        <w:t>。</w:t>
      </w:r>
    </w:p>
    <w:p>
      <w:pPr>
        <w:spacing w:line="360" w:lineRule="auto"/>
        <w:ind w:firstLine="480" w:firstLineChars="200"/>
        <w:rPr>
          <w:rFonts w:hAnsi="Times New Roman" w:eastAsia="宋体"/>
          <w:lang w:eastAsia="zh-CN"/>
        </w:rPr>
      </w:pPr>
      <w:r>
        <w:rPr>
          <w:rFonts w:hAnsi="Times New Roman" w:eastAsia="宋体"/>
          <w:lang w:eastAsia="zh-CN"/>
        </w:rPr>
        <w:t>（2）生活污水</w:t>
      </w:r>
    </w:p>
    <w:p>
      <w:pPr>
        <w:spacing w:line="360" w:lineRule="auto"/>
        <w:ind w:firstLine="480" w:firstLineChars="200"/>
        <w:rPr>
          <w:rFonts w:hAnsi="Times New Roman" w:eastAsia="宋体"/>
          <w:lang w:eastAsia="zh-CN"/>
        </w:rPr>
      </w:pPr>
      <w:r>
        <w:rPr>
          <w:rFonts w:hAnsi="Times New Roman" w:eastAsia="宋体"/>
          <w:lang w:eastAsia="zh-CN"/>
        </w:rPr>
        <w:t>根据建设单位提供的资料，现有项目共有员工为419人，均在厂内食宿，实施三班工作制度，主要来自洗澡、洗衣产生的洗浴废水、食堂废水、日常生活污水等，产生量约69.41m</w:t>
      </w:r>
      <w:r>
        <w:rPr>
          <w:rFonts w:hAnsi="Times New Roman" w:eastAsia="宋体"/>
          <w:vertAlign w:val="superscript"/>
          <w:lang w:eastAsia="zh-CN"/>
        </w:rPr>
        <w:t>3</w:t>
      </w:r>
      <w:r>
        <w:rPr>
          <w:rFonts w:hAnsi="Times New Roman" w:eastAsia="宋体"/>
          <w:lang w:eastAsia="zh-CN"/>
        </w:rPr>
        <w:t>/d。</w:t>
      </w:r>
    </w:p>
    <w:p>
      <w:pPr>
        <w:spacing w:line="360" w:lineRule="auto"/>
        <w:ind w:firstLine="480" w:firstLineChars="200"/>
        <w:rPr>
          <w:rFonts w:hAnsi="Times New Roman" w:eastAsia="宋体"/>
          <w:szCs w:val="22"/>
          <w:lang w:eastAsia="zh-CN"/>
        </w:rPr>
      </w:pPr>
      <w:r>
        <w:rPr>
          <w:rFonts w:hAnsi="Times New Roman" w:eastAsia="宋体"/>
          <w:szCs w:val="22"/>
          <w:lang w:eastAsia="zh-CN"/>
        </w:rPr>
        <w:t>项目洗浴废水和食堂废水经一体化污水处理设备处理后回用于地面防尘用水、绿化用水等，生活污水进入化粪池处理后，由达州市鑫通管道疏通有限公司定期清运处置。</w:t>
      </w:r>
    </w:p>
    <w:p>
      <w:pPr>
        <w:spacing w:line="360" w:lineRule="auto"/>
        <w:ind w:firstLine="480" w:firstLineChars="200"/>
        <w:rPr>
          <w:rFonts w:hAnsi="Times New Roman" w:eastAsia="宋体"/>
          <w:szCs w:val="22"/>
          <w:lang w:eastAsia="zh-CN"/>
        </w:rPr>
      </w:pPr>
      <w:r>
        <w:rPr>
          <w:rFonts w:hAnsi="Times New Roman" w:eastAsia="宋体"/>
          <w:szCs w:val="22"/>
          <w:lang w:eastAsia="zh-CN"/>
        </w:rPr>
        <w:t>（3）车辆冲洗废水</w:t>
      </w:r>
    </w:p>
    <w:p>
      <w:pPr>
        <w:spacing w:line="360" w:lineRule="auto"/>
        <w:ind w:firstLine="480" w:firstLineChars="200"/>
        <w:rPr>
          <w:rFonts w:hAnsi="Times New Roman" w:eastAsia="宋体"/>
          <w:szCs w:val="22"/>
          <w:lang w:eastAsia="zh-CN"/>
        </w:rPr>
      </w:pPr>
      <w:r>
        <w:rPr>
          <w:rFonts w:hAnsi="Times New Roman" w:eastAsia="宋体"/>
          <w:szCs w:val="22"/>
          <w:lang w:eastAsia="zh-CN"/>
        </w:rPr>
        <w:t>根据现场调查，建设单位在储煤场及矸石临时堆场出入库设置有简易的车辆冲洗平台，采用移动式喷淋水管对出场车辆轮胎进行清洗。废水通过截排水沟进入散水收集池，冲洗废水产生量约10m</w:t>
      </w:r>
      <w:r>
        <w:rPr>
          <w:rFonts w:hAnsi="Times New Roman" w:eastAsia="宋体"/>
          <w:szCs w:val="22"/>
          <w:vertAlign w:val="superscript"/>
          <w:lang w:eastAsia="zh-CN"/>
        </w:rPr>
        <w:t>3</w:t>
      </w:r>
      <w:r>
        <w:rPr>
          <w:rFonts w:hAnsi="Times New Roman" w:eastAsia="宋体"/>
          <w:szCs w:val="22"/>
          <w:lang w:eastAsia="zh-CN"/>
        </w:rPr>
        <w:t>/d，经混凝沉淀后用于生产场地洒水防尘</w:t>
      </w:r>
      <w:r>
        <w:rPr>
          <w:rFonts w:hint="eastAsia" w:hAnsi="Times New Roman" w:eastAsia="宋体"/>
          <w:szCs w:val="22"/>
          <w:lang w:eastAsia="zh-CN"/>
        </w:rPr>
        <w:t>。</w:t>
      </w:r>
    </w:p>
    <w:p>
      <w:pPr>
        <w:spacing w:line="360" w:lineRule="auto"/>
        <w:ind w:firstLine="480" w:firstLineChars="200"/>
        <w:rPr>
          <w:rFonts w:hAnsi="Times New Roman" w:eastAsia="宋体"/>
          <w:szCs w:val="22"/>
          <w:lang w:eastAsia="zh-CN"/>
        </w:rPr>
      </w:pPr>
      <w:r>
        <w:rPr>
          <w:rFonts w:hAnsi="Times New Roman" w:eastAsia="宋体"/>
          <w:szCs w:val="22"/>
          <w:lang w:eastAsia="zh-CN"/>
        </w:rPr>
        <w:t>（4）场地雨水</w:t>
      </w:r>
    </w:p>
    <w:p>
      <w:pPr>
        <w:spacing w:line="360" w:lineRule="auto"/>
        <w:ind w:firstLine="480" w:firstLineChars="200"/>
        <w:rPr>
          <w:rFonts w:hAnsi="Times New Roman" w:eastAsia="宋体"/>
          <w:szCs w:val="22"/>
          <w:lang w:eastAsia="zh-CN"/>
        </w:rPr>
      </w:pPr>
      <w:r>
        <w:rPr>
          <w:rFonts w:hAnsi="Times New Roman" w:eastAsia="宋体"/>
          <w:szCs w:val="22"/>
          <w:lang w:eastAsia="zh-CN"/>
        </w:rPr>
        <w:t>原项目矿井井口周围设置排水沟；工业场地四周均设置截水沟，截水沟采用1000mm×1000mm矩形断面，纵坡最小采用1%；工业场地内竖向坡度按流水坡度考虑，设有排水明水沟和钢筋砼盖板沟，场区内水经水沟收集排入场外截水沟。</w:t>
      </w:r>
    </w:p>
    <w:tbl>
      <w:tblPr>
        <w:tblStyle w:val="33"/>
        <w:tblW w:w="8958" w:type="dxa"/>
        <w:jc w:val="center"/>
        <w:tblLayout w:type="fixed"/>
        <w:tblCellMar>
          <w:top w:w="0" w:type="dxa"/>
          <w:left w:w="108" w:type="dxa"/>
          <w:bottom w:w="0" w:type="dxa"/>
          <w:right w:w="108" w:type="dxa"/>
        </w:tblCellMar>
      </w:tblPr>
      <w:tblGrid>
        <w:gridCol w:w="4479"/>
        <w:gridCol w:w="4479"/>
      </w:tblGrid>
      <w:tr>
        <w:tblPrEx>
          <w:tblCellMar>
            <w:top w:w="0" w:type="dxa"/>
            <w:left w:w="108" w:type="dxa"/>
            <w:bottom w:w="0" w:type="dxa"/>
            <w:right w:w="108" w:type="dxa"/>
          </w:tblCellMar>
        </w:tblPrEx>
        <w:trPr>
          <w:trHeight w:val="2882" w:hRule="atLeast"/>
          <w:jc w:val="center"/>
        </w:trPr>
        <w:tc>
          <w:tcPr>
            <w:tcW w:w="4479" w:type="dxa"/>
            <w:vAlign w:val="center"/>
          </w:tcPr>
          <w:p>
            <w:pPr>
              <w:pStyle w:val="19"/>
              <w:keepNext w:val="0"/>
              <w:keepLines w:val="0"/>
              <w:suppressLineNumbers w:val="0"/>
              <w:spacing w:before="0" w:beforeAutospacing="0" w:after="0" w:afterAutospacing="0" w:line="240" w:lineRule="auto"/>
              <w:ind w:left="0" w:right="0" w:firstLine="0" w:firstLineChars="0"/>
              <w:rPr>
                <w:rFonts w:hint="eastAsia"/>
              </w:rPr>
            </w:pPr>
            <w:r>
              <w:rPr>
                <w:rFonts w:hint="eastAsia"/>
              </w:rPr>
              <w:drawing>
                <wp:inline distT="0" distB="0" distL="114300" distR="114300">
                  <wp:extent cx="2776220" cy="1724025"/>
                  <wp:effectExtent l="0" t="0" r="5080" b="9525"/>
                  <wp:docPr id="5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0"/>
                          <pic:cNvPicPr>
                            <a:picLocks noChangeAspect="1"/>
                          </pic:cNvPicPr>
                        </pic:nvPicPr>
                        <pic:blipFill>
                          <a:blip r:embed="rId42"/>
                          <a:stretch>
                            <a:fillRect/>
                          </a:stretch>
                        </pic:blipFill>
                        <pic:spPr>
                          <a:xfrm>
                            <a:off x="0" y="0"/>
                            <a:ext cx="2776220" cy="1724025"/>
                          </a:xfrm>
                          <a:prstGeom prst="rect">
                            <a:avLst/>
                          </a:prstGeom>
                          <a:noFill/>
                          <a:ln>
                            <a:noFill/>
                          </a:ln>
                        </pic:spPr>
                      </pic:pic>
                    </a:graphicData>
                  </a:graphic>
                </wp:inline>
              </w:drawing>
            </w:r>
          </w:p>
        </w:tc>
        <w:tc>
          <w:tcPr>
            <w:tcW w:w="4479" w:type="dxa"/>
            <w:vAlign w:val="center"/>
          </w:tcPr>
          <w:p>
            <w:pPr>
              <w:pStyle w:val="19"/>
              <w:keepNext w:val="0"/>
              <w:keepLines w:val="0"/>
              <w:suppressLineNumbers w:val="0"/>
              <w:spacing w:before="0" w:beforeAutospacing="0" w:after="0" w:afterAutospacing="0" w:line="240" w:lineRule="auto"/>
              <w:ind w:left="0" w:right="0" w:firstLine="0" w:firstLineChars="0"/>
              <w:rPr>
                <w:rFonts w:hint="eastAsia"/>
              </w:rPr>
            </w:pPr>
            <w:r>
              <w:rPr>
                <w:rFonts w:hint="eastAsia"/>
              </w:rPr>
              <w:drawing>
                <wp:inline distT="0" distB="0" distL="114300" distR="114300">
                  <wp:extent cx="2700655" cy="1717040"/>
                  <wp:effectExtent l="0" t="0" r="4445" b="16510"/>
                  <wp:docPr id="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2"/>
                          <pic:cNvPicPr>
                            <a:picLocks noChangeAspect="1"/>
                          </pic:cNvPicPr>
                        </pic:nvPicPr>
                        <pic:blipFill>
                          <a:blip r:embed="rId43"/>
                          <a:stretch>
                            <a:fillRect/>
                          </a:stretch>
                        </pic:blipFill>
                        <pic:spPr>
                          <a:xfrm>
                            <a:off x="0" y="0"/>
                            <a:ext cx="2700655" cy="1717040"/>
                          </a:xfrm>
                          <a:prstGeom prst="rect">
                            <a:avLst/>
                          </a:prstGeom>
                          <a:noFill/>
                          <a:ln>
                            <a:noFill/>
                          </a:ln>
                        </pic:spPr>
                      </pic:pic>
                    </a:graphicData>
                  </a:graphic>
                </wp:inline>
              </w:drawing>
            </w:r>
          </w:p>
        </w:tc>
      </w:tr>
      <w:tr>
        <w:tblPrEx>
          <w:tblCellMar>
            <w:top w:w="0" w:type="dxa"/>
            <w:left w:w="108" w:type="dxa"/>
            <w:bottom w:w="0" w:type="dxa"/>
            <w:right w:w="108" w:type="dxa"/>
          </w:tblCellMar>
        </w:tblPrEx>
        <w:trPr>
          <w:jc w:val="center"/>
        </w:trPr>
        <w:tc>
          <w:tcPr>
            <w:tcW w:w="8958" w:type="dxa"/>
            <w:gridSpan w:val="2"/>
            <w:vAlign w:val="center"/>
          </w:tcPr>
          <w:p>
            <w:pPr>
              <w:pStyle w:val="19"/>
              <w:keepNext w:val="0"/>
              <w:keepLines w:val="0"/>
              <w:suppressLineNumbers w:val="0"/>
              <w:spacing w:before="0" w:beforeAutospacing="0" w:after="0" w:afterAutospacing="0" w:line="240" w:lineRule="auto"/>
              <w:ind w:left="0" w:right="0" w:firstLine="0" w:firstLineChars="0"/>
              <w:jc w:val="center"/>
              <w:rPr>
                <w:rFonts w:hint="eastAsia"/>
              </w:rPr>
            </w:pPr>
            <w:r>
              <w:rPr>
                <w:rFonts w:hint="eastAsia"/>
                <w:lang w:eastAsia="zh-CN"/>
              </w:rPr>
              <w:t>生产废水沉淀池</w:t>
            </w:r>
          </w:p>
        </w:tc>
      </w:tr>
      <w:tr>
        <w:tblPrEx>
          <w:tblCellMar>
            <w:top w:w="0" w:type="dxa"/>
            <w:left w:w="108" w:type="dxa"/>
            <w:bottom w:w="0" w:type="dxa"/>
            <w:right w:w="108" w:type="dxa"/>
          </w:tblCellMar>
        </w:tblPrEx>
        <w:trPr>
          <w:jc w:val="center"/>
        </w:trPr>
        <w:tc>
          <w:tcPr>
            <w:tcW w:w="4479" w:type="dxa"/>
            <w:vAlign w:val="center"/>
          </w:tcPr>
          <w:p>
            <w:pPr>
              <w:pStyle w:val="19"/>
              <w:keepNext w:val="0"/>
              <w:keepLines w:val="0"/>
              <w:suppressLineNumbers w:val="0"/>
              <w:spacing w:before="0" w:beforeAutospacing="0" w:after="0" w:afterAutospacing="0" w:line="240" w:lineRule="auto"/>
              <w:ind w:left="0" w:right="0" w:firstLine="0" w:firstLineChars="0"/>
              <w:rPr>
                <w:rFonts w:hint="eastAsia"/>
              </w:rPr>
            </w:pPr>
            <w:r>
              <w:rPr>
                <w:rFonts w:hint="eastAsia"/>
              </w:rPr>
              <w:drawing>
                <wp:inline distT="0" distB="0" distL="114300" distR="114300">
                  <wp:extent cx="2705735" cy="1840865"/>
                  <wp:effectExtent l="0" t="0" r="18415" b="6985"/>
                  <wp:docPr id="3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4"/>
                          <pic:cNvPicPr>
                            <a:picLocks noChangeAspect="1"/>
                          </pic:cNvPicPr>
                        </pic:nvPicPr>
                        <pic:blipFill>
                          <a:blip r:embed="rId44"/>
                          <a:stretch>
                            <a:fillRect/>
                          </a:stretch>
                        </pic:blipFill>
                        <pic:spPr>
                          <a:xfrm>
                            <a:off x="0" y="0"/>
                            <a:ext cx="2705735" cy="1840865"/>
                          </a:xfrm>
                          <a:prstGeom prst="rect">
                            <a:avLst/>
                          </a:prstGeom>
                          <a:noFill/>
                          <a:ln>
                            <a:noFill/>
                          </a:ln>
                        </pic:spPr>
                      </pic:pic>
                    </a:graphicData>
                  </a:graphic>
                </wp:inline>
              </w:drawing>
            </w:r>
          </w:p>
        </w:tc>
        <w:tc>
          <w:tcPr>
            <w:tcW w:w="4479" w:type="dxa"/>
            <w:vAlign w:val="center"/>
          </w:tcPr>
          <w:p>
            <w:pPr>
              <w:pStyle w:val="19"/>
              <w:keepNext w:val="0"/>
              <w:keepLines w:val="0"/>
              <w:suppressLineNumbers w:val="0"/>
              <w:spacing w:before="0" w:beforeAutospacing="0" w:after="0" w:afterAutospacing="0" w:line="240" w:lineRule="auto"/>
              <w:ind w:left="0" w:right="0" w:firstLine="0" w:firstLineChars="0"/>
              <w:rPr>
                <w:rFonts w:hint="eastAsia"/>
              </w:rPr>
            </w:pPr>
            <w:r>
              <w:rPr>
                <w:rFonts w:hint="eastAsia"/>
              </w:rPr>
              <w:drawing>
                <wp:inline distT="0" distB="0" distL="114300" distR="114300">
                  <wp:extent cx="2701925" cy="1874520"/>
                  <wp:effectExtent l="0" t="0" r="3175" b="11430"/>
                  <wp:docPr id="234"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45"/>
                          <pic:cNvPicPr>
                            <a:picLocks noChangeAspect="1"/>
                          </pic:cNvPicPr>
                        </pic:nvPicPr>
                        <pic:blipFill>
                          <a:blip r:embed="rId45"/>
                          <a:stretch>
                            <a:fillRect/>
                          </a:stretch>
                        </pic:blipFill>
                        <pic:spPr>
                          <a:xfrm>
                            <a:off x="0" y="0"/>
                            <a:ext cx="2701925" cy="1874520"/>
                          </a:xfrm>
                          <a:prstGeom prst="rect">
                            <a:avLst/>
                          </a:prstGeom>
                          <a:noFill/>
                          <a:ln>
                            <a:noFill/>
                          </a:ln>
                        </pic:spPr>
                      </pic:pic>
                    </a:graphicData>
                  </a:graphic>
                </wp:inline>
              </w:drawing>
            </w:r>
          </w:p>
        </w:tc>
      </w:tr>
      <w:tr>
        <w:tblPrEx>
          <w:tblCellMar>
            <w:top w:w="0" w:type="dxa"/>
            <w:left w:w="108" w:type="dxa"/>
            <w:bottom w:w="0" w:type="dxa"/>
            <w:right w:w="108" w:type="dxa"/>
          </w:tblCellMar>
        </w:tblPrEx>
        <w:trPr>
          <w:jc w:val="center"/>
        </w:trPr>
        <w:tc>
          <w:tcPr>
            <w:tcW w:w="4479" w:type="dxa"/>
            <w:vAlign w:val="center"/>
          </w:tcPr>
          <w:p>
            <w:pPr>
              <w:pStyle w:val="19"/>
              <w:keepNext w:val="0"/>
              <w:keepLines w:val="0"/>
              <w:suppressLineNumbers w:val="0"/>
              <w:spacing w:before="0" w:beforeAutospacing="0" w:after="0" w:afterAutospacing="0" w:line="240" w:lineRule="auto"/>
              <w:ind w:left="0" w:right="0" w:firstLine="0" w:firstLineChars="0"/>
              <w:jc w:val="center"/>
              <w:rPr>
                <w:rFonts w:hint="eastAsia"/>
              </w:rPr>
            </w:pPr>
            <w:r>
              <w:rPr>
                <w:rFonts w:hint="eastAsia"/>
                <w:lang w:eastAsia="zh-CN"/>
              </w:rPr>
              <w:t>压滤机</w:t>
            </w:r>
          </w:p>
        </w:tc>
        <w:tc>
          <w:tcPr>
            <w:tcW w:w="4479" w:type="dxa"/>
            <w:vAlign w:val="center"/>
          </w:tcPr>
          <w:p>
            <w:pPr>
              <w:pStyle w:val="19"/>
              <w:keepNext w:val="0"/>
              <w:keepLines w:val="0"/>
              <w:suppressLineNumbers w:val="0"/>
              <w:spacing w:before="0" w:beforeAutospacing="0" w:after="0" w:afterAutospacing="0" w:line="240" w:lineRule="auto"/>
              <w:ind w:left="0" w:right="0" w:firstLine="0" w:firstLineChars="0"/>
              <w:jc w:val="center"/>
              <w:rPr>
                <w:rFonts w:hint="eastAsia"/>
                <w:lang w:eastAsia="zh-CN"/>
              </w:rPr>
            </w:pPr>
            <w:r>
              <w:rPr>
                <w:rFonts w:hint="eastAsia"/>
                <w:lang w:eastAsia="zh-CN"/>
              </w:rPr>
              <w:t>矿井用水外排口</w:t>
            </w:r>
          </w:p>
        </w:tc>
      </w:tr>
      <w:tr>
        <w:tblPrEx>
          <w:tblCellMar>
            <w:top w:w="0" w:type="dxa"/>
            <w:left w:w="108" w:type="dxa"/>
            <w:bottom w:w="0" w:type="dxa"/>
            <w:right w:w="108" w:type="dxa"/>
          </w:tblCellMar>
        </w:tblPrEx>
        <w:trPr>
          <w:jc w:val="center"/>
        </w:trPr>
        <w:tc>
          <w:tcPr>
            <w:tcW w:w="4479" w:type="dxa"/>
            <w:vAlign w:val="center"/>
          </w:tcPr>
          <w:p>
            <w:pPr>
              <w:pStyle w:val="19"/>
              <w:keepNext w:val="0"/>
              <w:keepLines w:val="0"/>
              <w:suppressLineNumbers w:val="0"/>
              <w:spacing w:before="0" w:beforeAutospacing="0" w:after="0" w:afterAutospacing="0" w:line="240" w:lineRule="auto"/>
              <w:ind w:left="0" w:right="0" w:firstLine="0" w:firstLineChars="0"/>
              <w:jc w:val="center"/>
              <w:rPr>
                <w:rFonts w:hint="eastAsia"/>
                <w:lang w:eastAsia="zh-CN"/>
              </w:rPr>
            </w:pPr>
            <w:r>
              <w:rPr>
                <w:rFonts w:hint="eastAsia"/>
              </w:rPr>
              <w:drawing>
                <wp:inline distT="0" distB="0" distL="114300" distR="114300">
                  <wp:extent cx="2701290" cy="1633855"/>
                  <wp:effectExtent l="0" t="0" r="3810" b="4445"/>
                  <wp:docPr id="23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46"/>
                          <pic:cNvPicPr>
                            <a:picLocks noChangeAspect="1"/>
                          </pic:cNvPicPr>
                        </pic:nvPicPr>
                        <pic:blipFill>
                          <a:blip r:embed="rId46"/>
                          <a:stretch>
                            <a:fillRect/>
                          </a:stretch>
                        </pic:blipFill>
                        <pic:spPr>
                          <a:xfrm>
                            <a:off x="0" y="0"/>
                            <a:ext cx="2702981" cy="1635090"/>
                          </a:xfrm>
                          <a:prstGeom prst="rect">
                            <a:avLst/>
                          </a:prstGeom>
                          <a:noFill/>
                          <a:ln>
                            <a:noFill/>
                          </a:ln>
                        </pic:spPr>
                      </pic:pic>
                    </a:graphicData>
                  </a:graphic>
                </wp:inline>
              </w:drawing>
            </w:r>
          </w:p>
        </w:tc>
        <w:tc>
          <w:tcPr>
            <w:tcW w:w="4479" w:type="dxa"/>
            <w:vAlign w:val="center"/>
          </w:tcPr>
          <w:p>
            <w:pPr>
              <w:pStyle w:val="19"/>
              <w:keepNext w:val="0"/>
              <w:keepLines w:val="0"/>
              <w:suppressLineNumbers w:val="0"/>
              <w:spacing w:before="0" w:beforeAutospacing="0" w:after="0" w:afterAutospacing="0" w:line="240" w:lineRule="auto"/>
              <w:ind w:left="0" w:right="0" w:firstLine="0" w:firstLineChars="0"/>
              <w:jc w:val="center"/>
              <w:rPr>
                <w:rFonts w:hint="eastAsia"/>
                <w:lang w:eastAsia="zh-CN"/>
              </w:rPr>
            </w:pPr>
            <w:r>
              <w:rPr>
                <w:rFonts w:hint="eastAsia"/>
              </w:rPr>
              <w:drawing>
                <wp:inline distT="0" distB="0" distL="114300" distR="114300">
                  <wp:extent cx="2703195" cy="1710055"/>
                  <wp:effectExtent l="0" t="0" r="1905" b="4445"/>
                  <wp:docPr id="236"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47"/>
                          <pic:cNvPicPr>
                            <a:picLocks noChangeAspect="1"/>
                          </pic:cNvPicPr>
                        </pic:nvPicPr>
                        <pic:blipFill>
                          <a:blip r:embed="rId47"/>
                          <a:stretch>
                            <a:fillRect/>
                          </a:stretch>
                        </pic:blipFill>
                        <pic:spPr>
                          <a:xfrm>
                            <a:off x="0" y="0"/>
                            <a:ext cx="2705811" cy="1711922"/>
                          </a:xfrm>
                          <a:prstGeom prst="rect">
                            <a:avLst/>
                          </a:prstGeom>
                          <a:noFill/>
                          <a:ln>
                            <a:noFill/>
                          </a:ln>
                        </pic:spPr>
                      </pic:pic>
                    </a:graphicData>
                  </a:graphic>
                </wp:inline>
              </w:drawing>
            </w:r>
          </w:p>
        </w:tc>
      </w:tr>
      <w:tr>
        <w:tblPrEx>
          <w:tblCellMar>
            <w:top w:w="0" w:type="dxa"/>
            <w:left w:w="108" w:type="dxa"/>
            <w:bottom w:w="0" w:type="dxa"/>
            <w:right w:w="108" w:type="dxa"/>
          </w:tblCellMar>
        </w:tblPrEx>
        <w:trPr>
          <w:jc w:val="center"/>
        </w:trPr>
        <w:tc>
          <w:tcPr>
            <w:tcW w:w="4479" w:type="dxa"/>
            <w:vAlign w:val="center"/>
          </w:tcPr>
          <w:p>
            <w:pPr>
              <w:pStyle w:val="19"/>
              <w:keepNext w:val="0"/>
              <w:keepLines w:val="0"/>
              <w:suppressLineNumbers w:val="0"/>
              <w:spacing w:before="0" w:beforeAutospacing="0" w:after="0" w:afterAutospacing="0" w:line="240" w:lineRule="auto"/>
              <w:ind w:left="0" w:right="0" w:firstLine="0" w:firstLineChars="0"/>
              <w:jc w:val="center"/>
              <w:rPr>
                <w:rFonts w:hint="eastAsia"/>
                <w:lang w:eastAsia="zh-CN"/>
              </w:rPr>
            </w:pPr>
            <w:r>
              <w:rPr>
                <w:rFonts w:hint="eastAsia"/>
                <w:lang w:eastAsia="zh-CN"/>
              </w:rPr>
              <w:t>生活污水一体化处理设备</w:t>
            </w:r>
          </w:p>
        </w:tc>
        <w:tc>
          <w:tcPr>
            <w:tcW w:w="4479" w:type="dxa"/>
            <w:vAlign w:val="center"/>
          </w:tcPr>
          <w:p>
            <w:pPr>
              <w:pStyle w:val="19"/>
              <w:keepNext w:val="0"/>
              <w:keepLines w:val="0"/>
              <w:suppressLineNumbers w:val="0"/>
              <w:spacing w:before="0" w:beforeAutospacing="0" w:after="0" w:afterAutospacing="0" w:line="240" w:lineRule="auto"/>
              <w:ind w:left="0" w:right="0" w:firstLine="0" w:firstLineChars="0"/>
              <w:jc w:val="center"/>
              <w:rPr>
                <w:rFonts w:hint="eastAsia"/>
                <w:lang w:eastAsia="zh-CN"/>
              </w:rPr>
            </w:pPr>
            <w:r>
              <w:rPr>
                <w:rFonts w:hint="eastAsia"/>
                <w:lang w:eastAsia="zh-CN"/>
              </w:rPr>
              <w:t>食堂油水分离器</w:t>
            </w:r>
          </w:p>
        </w:tc>
      </w:tr>
      <w:tr>
        <w:tblPrEx>
          <w:tblCellMar>
            <w:top w:w="0" w:type="dxa"/>
            <w:left w:w="108" w:type="dxa"/>
            <w:bottom w:w="0" w:type="dxa"/>
            <w:right w:w="108" w:type="dxa"/>
          </w:tblCellMar>
        </w:tblPrEx>
        <w:trPr>
          <w:jc w:val="center"/>
        </w:trPr>
        <w:tc>
          <w:tcPr>
            <w:tcW w:w="4479" w:type="dxa"/>
            <w:vAlign w:val="center"/>
          </w:tcPr>
          <w:p>
            <w:pPr>
              <w:pStyle w:val="19"/>
              <w:keepNext w:val="0"/>
              <w:keepLines w:val="0"/>
              <w:suppressLineNumbers w:val="0"/>
              <w:spacing w:before="0" w:beforeAutospacing="0" w:after="0" w:afterAutospacing="0" w:line="240" w:lineRule="auto"/>
              <w:ind w:left="0" w:right="0" w:firstLine="0" w:firstLineChars="0"/>
              <w:jc w:val="center"/>
              <w:rPr>
                <w:rFonts w:hint="eastAsia"/>
                <w:lang w:eastAsia="zh-CN"/>
              </w:rPr>
            </w:pPr>
            <w:r>
              <w:rPr>
                <w:rFonts w:hint="eastAsia"/>
              </w:rPr>
              <w:drawing>
                <wp:inline distT="0" distB="0" distL="114300" distR="114300">
                  <wp:extent cx="2703195" cy="1685925"/>
                  <wp:effectExtent l="0" t="0" r="1905" b="9525"/>
                  <wp:docPr id="237"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48"/>
                          <pic:cNvPicPr>
                            <a:picLocks noChangeAspect="1"/>
                          </pic:cNvPicPr>
                        </pic:nvPicPr>
                        <pic:blipFill>
                          <a:blip r:embed="rId48"/>
                          <a:stretch>
                            <a:fillRect/>
                          </a:stretch>
                        </pic:blipFill>
                        <pic:spPr>
                          <a:xfrm>
                            <a:off x="0" y="0"/>
                            <a:ext cx="2703195" cy="1685925"/>
                          </a:xfrm>
                          <a:prstGeom prst="rect">
                            <a:avLst/>
                          </a:prstGeom>
                          <a:noFill/>
                          <a:ln>
                            <a:noFill/>
                          </a:ln>
                        </pic:spPr>
                      </pic:pic>
                    </a:graphicData>
                  </a:graphic>
                </wp:inline>
              </w:drawing>
            </w:r>
          </w:p>
        </w:tc>
        <w:tc>
          <w:tcPr>
            <w:tcW w:w="4479" w:type="dxa"/>
            <w:vAlign w:val="center"/>
          </w:tcPr>
          <w:p>
            <w:pPr>
              <w:pStyle w:val="19"/>
              <w:keepNext w:val="0"/>
              <w:keepLines w:val="0"/>
              <w:suppressLineNumbers w:val="0"/>
              <w:spacing w:before="0" w:beforeAutospacing="0" w:after="0" w:afterAutospacing="0" w:line="240" w:lineRule="auto"/>
              <w:ind w:left="0" w:right="0" w:firstLine="0" w:firstLineChars="0"/>
              <w:jc w:val="center"/>
              <w:rPr>
                <w:rFonts w:hint="eastAsia"/>
                <w:lang w:eastAsia="zh-CN"/>
              </w:rPr>
            </w:pPr>
            <w:r>
              <w:rPr>
                <w:rFonts w:hint="eastAsia"/>
              </w:rPr>
              <w:drawing>
                <wp:inline distT="0" distB="0" distL="114300" distR="114300">
                  <wp:extent cx="2703195" cy="1678940"/>
                  <wp:effectExtent l="0" t="0" r="1905" b="16510"/>
                  <wp:docPr id="238"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49"/>
                          <pic:cNvPicPr>
                            <a:picLocks noChangeAspect="1"/>
                          </pic:cNvPicPr>
                        </pic:nvPicPr>
                        <pic:blipFill>
                          <a:blip r:embed="rId49"/>
                          <a:stretch>
                            <a:fillRect/>
                          </a:stretch>
                        </pic:blipFill>
                        <pic:spPr>
                          <a:xfrm>
                            <a:off x="0" y="0"/>
                            <a:ext cx="2703195" cy="1678940"/>
                          </a:xfrm>
                          <a:prstGeom prst="rect">
                            <a:avLst/>
                          </a:prstGeom>
                          <a:noFill/>
                          <a:ln>
                            <a:noFill/>
                          </a:ln>
                        </pic:spPr>
                      </pic:pic>
                    </a:graphicData>
                  </a:graphic>
                </wp:inline>
              </w:drawing>
            </w:r>
          </w:p>
        </w:tc>
      </w:tr>
      <w:tr>
        <w:tblPrEx>
          <w:tblCellMar>
            <w:top w:w="0" w:type="dxa"/>
            <w:left w:w="108" w:type="dxa"/>
            <w:bottom w:w="0" w:type="dxa"/>
            <w:right w:w="108" w:type="dxa"/>
          </w:tblCellMar>
        </w:tblPrEx>
        <w:trPr>
          <w:jc w:val="center"/>
        </w:trPr>
        <w:tc>
          <w:tcPr>
            <w:tcW w:w="4479" w:type="dxa"/>
            <w:vAlign w:val="center"/>
          </w:tcPr>
          <w:p>
            <w:pPr>
              <w:pStyle w:val="19"/>
              <w:keepNext w:val="0"/>
              <w:keepLines w:val="0"/>
              <w:suppressLineNumbers w:val="0"/>
              <w:spacing w:before="0" w:beforeAutospacing="0" w:after="0" w:afterAutospacing="0" w:line="240" w:lineRule="auto"/>
              <w:ind w:left="0" w:right="0" w:firstLine="0" w:firstLineChars="0"/>
              <w:jc w:val="center"/>
              <w:rPr>
                <w:rFonts w:hint="eastAsia"/>
                <w:lang w:eastAsia="zh-CN"/>
              </w:rPr>
            </w:pPr>
            <w:r>
              <w:rPr>
                <w:rFonts w:hint="eastAsia"/>
                <w:lang w:eastAsia="zh-CN"/>
              </w:rPr>
              <w:t>矿井水调节池</w:t>
            </w:r>
          </w:p>
        </w:tc>
        <w:tc>
          <w:tcPr>
            <w:tcW w:w="4479" w:type="dxa"/>
            <w:vAlign w:val="center"/>
          </w:tcPr>
          <w:p>
            <w:pPr>
              <w:pStyle w:val="19"/>
              <w:keepNext w:val="0"/>
              <w:keepLines w:val="0"/>
              <w:suppressLineNumbers w:val="0"/>
              <w:spacing w:before="0" w:beforeAutospacing="0" w:after="0" w:afterAutospacing="0" w:line="240" w:lineRule="auto"/>
              <w:ind w:left="0" w:right="0" w:firstLine="0" w:firstLineChars="0"/>
              <w:jc w:val="center"/>
              <w:rPr>
                <w:rFonts w:hint="eastAsia"/>
                <w:lang w:eastAsia="zh-CN"/>
              </w:rPr>
            </w:pPr>
            <w:r>
              <w:rPr>
                <w:rFonts w:hint="eastAsia"/>
                <w:lang w:eastAsia="zh-CN"/>
              </w:rPr>
              <w:t>车辆冲洗平台</w:t>
            </w:r>
          </w:p>
        </w:tc>
      </w:tr>
      <w:tr>
        <w:tblPrEx>
          <w:tblCellMar>
            <w:top w:w="0" w:type="dxa"/>
            <w:left w:w="108" w:type="dxa"/>
            <w:bottom w:w="0" w:type="dxa"/>
            <w:right w:w="108" w:type="dxa"/>
          </w:tblCellMar>
        </w:tblPrEx>
        <w:trPr>
          <w:jc w:val="center"/>
        </w:trPr>
        <w:tc>
          <w:tcPr>
            <w:tcW w:w="8958" w:type="dxa"/>
            <w:gridSpan w:val="2"/>
            <w:vAlign w:val="center"/>
          </w:tcPr>
          <w:p>
            <w:pPr>
              <w:keepNext w:val="0"/>
              <w:keepLines w:val="0"/>
              <w:suppressLineNumbers w:val="0"/>
              <w:spacing w:before="0" w:beforeAutospacing="0" w:after="0" w:afterAutospacing="0" w:line="300" w:lineRule="exact"/>
              <w:ind w:left="0" w:right="0" w:firstLine="480" w:firstLineChars="200"/>
              <w:jc w:val="center"/>
              <w:rPr>
                <w:rFonts w:hint="eastAsia" w:hAnsi="Times New Roman" w:eastAsia="宋体"/>
                <w:kern w:val="2"/>
                <w:szCs w:val="22"/>
              </w:rPr>
            </w:pPr>
            <w:r>
              <w:rPr>
                <w:rFonts w:hint="eastAsia" w:hAnsi="Times New Roman" w:eastAsia="宋体"/>
                <w:kern w:val="2"/>
                <w:szCs w:val="22"/>
                <w:lang w:eastAsia="zh-CN"/>
              </w:rPr>
              <w:t>图 2.1- 1 现有工程废水处理设施</w:t>
            </w:r>
          </w:p>
        </w:tc>
      </w:tr>
    </w:tbl>
    <w:p>
      <w:pPr>
        <w:pStyle w:val="9"/>
        <w:spacing w:line="360" w:lineRule="auto"/>
        <w:rPr>
          <w:rFonts w:hint="default" w:ascii="Times New Roman" w:hAnsi="Times New Roman"/>
          <w:lang w:eastAsia="zh-CN"/>
        </w:rPr>
      </w:pPr>
      <w:r>
        <w:rPr>
          <w:rFonts w:hint="default" w:ascii="Times New Roman" w:hAnsi="Times New Roman"/>
          <w:lang w:eastAsia="zh-CN"/>
        </w:rPr>
        <w:t>2.1.3.1.2现有</w:t>
      </w:r>
      <w:r>
        <w:rPr>
          <w:rFonts w:hint="default" w:ascii="Times New Roman" w:hAnsi="Times New Roman"/>
        </w:rPr>
        <w:t>项目废水达标性分析</w:t>
      </w:r>
    </w:p>
    <w:p>
      <w:pPr>
        <w:spacing w:line="360" w:lineRule="auto"/>
        <w:ind w:firstLine="480" w:firstLineChars="200"/>
        <w:rPr>
          <w:rFonts w:hAnsi="Times New Roman" w:eastAsia="宋体"/>
          <w:lang w:eastAsia="zh-CN"/>
        </w:rPr>
      </w:pPr>
      <w:r>
        <w:rPr>
          <w:rFonts w:hAnsi="Times New Roman" w:eastAsia="宋体"/>
          <w:lang w:eastAsia="zh-CN"/>
        </w:rPr>
        <w:t>本次环评期间，项目处于停产阶段，本次评价收集了</w:t>
      </w:r>
      <w:r>
        <w:rPr>
          <w:rFonts w:hint="eastAsia" w:hAnsi="Times New Roman" w:eastAsia="宋体"/>
          <w:lang w:eastAsia="zh-CN"/>
        </w:rPr>
        <w:t>项目在正常生产时期四川省华检技术检测服务有限公司2019年1月30日</w:t>
      </w:r>
      <w:r>
        <w:rPr>
          <w:rFonts w:hAnsi="Times New Roman" w:eastAsia="宋体"/>
          <w:lang w:eastAsia="zh-CN"/>
        </w:rPr>
        <w:t>《达州市宣汉县七里峡煤业有限公司七里峡煤矿150kt/a改扩建项目竣工环境保护验收调查报告验收检测》（川华检字（2018）第2646号）中对矿井废水监测结果</w:t>
      </w:r>
      <w:r>
        <w:rPr>
          <w:rFonts w:hint="eastAsia" w:hAnsi="Times New Roman" w:eastAsia="宋体"/>
          <w:lang w:eastAsia="zh-CN"/>
        </w:rPr>
        <w:t>。同时引用达州恒福环境监测服务有限公司2022年1月18日</w:t>
      </w:r>
      <w:r>
        <w:rPr>
          <w:rFonts w:hAnsi="Times New Roman" w:eastAsia="宋体"/>
          <w:lang w:eastAsia="zh-CN"/>
        </w:rPr>
        <w:t>《达州市宣汉县七里峡煤业有限公司七里峡煤矿扩建工程项目入河排污口设置论证报告》（恒福环检</w:t>
      </w:r>
      <w:r>
        <w:rPr>
          <w:rFonts w:hint="eastAsia" w:hAnsi="Times New Roman" w:eastAsia="宋体"/>
          <w:lang w:eastAsia="zh-CN"/>
        </w:rPr>
        <w:t>〔2022〕</w:t>
      </w:r>
      <w:r>
        <w:rPr>
          <w:rFonts w:hAnsi="Times New Roman" w:eastAsia="宋体"/>
          <w:lang w:eastAsia="zh-CN"/>
        </w:rPr>
        <w:t>第</w:t>
      </w:r>
      <w:r>
        <w:rPr>
          <w:rFonts w:hint="eastAsia" w:hAnsi="Times New Roman" w:eastAsia="宋体"/>
          <w:lang w:eastAsia="zh-CN"/>
        </w:rPr>
        <w:t>0043</w:t>
      </w:r>
      <w:r>
        <w:rPr>
          <w:rFonts w:hAnsi="Times New Roman" w:eastAsia="宋体"/>
          <w:lang w:eastAsia="zh-CN"/>
        </w:rPr>
        <w:t>号）</w:t>
      </w:r>
      <w:r>
        <w:rPr>
          <w:rFonts w:hint="eastAsia" w:hAnsi="Times New Roman" w:eastAsia="宋体"/>
          <w:lang w:eastAsia="zh-CN"/>
        </w:rPr>
        <w:t>中对矿井涌水排口的监测数据。</w:t>
      </w:r>
    </w:p>
    <w:p>
      <w:pPr>
        <w:jc w:val="center"/>
        <w:rPr>
          <w:rFonts w:hAnsi="Times New Roman" w:eastAsia="宋体"/>
          <w:b/>
          <w:bCs/>
          <w:sz w:val="21"/>
          <w:szCs w:val="21"/>
          <w:lang w:eastAsia="zh-CN"/>
        </w:rPr>
      </w:pPr>
      <w:r>
        <w:rPr>
          <w:rFonts w:hAnsi="Times New Roman" w:eastAsia="宋体"/>
          <w:lang w:eastAsia="zh-CN"/>
        </w:rPr>
        <w:t xml:space="preserve">     </w:t>
      </w:r>
      <w:r>
        <w:rPr>
          <w:rFonts w:hAnsi="Times New Roman" w:eastAsia="宋体"/>
          <w:b/>
          <w:bCs/>
          <w:sz w:val="21"/>
          <w:szCs w:val="21"/>
          <w:lang w:eastAsia="zh-CN"/>
        </w:rPr>
        <w:t>表 2.1-2</w:t>
      </w:r>
      <w:r>
        <w:rPr>
          <w:rFonts w:hAnsi="Times New Roman" w:eastAsia="宋体"/>
          <w:b/>
          <w:bCs/>
          <w:sz w:val="21"/>
          <w:szCs w:val="21"/>
          <w:lang w:eastAsia="zh-CN"/>
        </w:rPr>
        <w:tab/>
      </w:r>
      <w:r>
        <w:rPr>
          <w:rFonts w:hAnsi="Times New Roman" w:eastAsia="宋体"/>
          <w:b/>
          <w:bCs/>
          <w:sz w:val="21"/>
          <w:szCs w:val="21"/>
          <w:lang w:eastAsia="zh-CN"/>
        </w:rPr>
        <w:t>矿井涌水排放情况</w:t>
      </w:r>
      <w:r>
        <w:rPr>
          <w:rFonts w:hAnsi="Times New Roman" w:eastAsia="宋体"/>
          <w:b/>
          <w:bCs/>
          <w:sz w:val="21"/>
          <w:szCs w:val="21"/>
          <w:lang w:eastAsia="zh-CN"/>
        </w:rPr>
        <w:tab/>
      </w:r>
      <w:r>
        <w:rPr>
          <w:rFonts w:hAnsi="Times New Roman" w:eastAsia="宋体"/>
          <w:b/>
          <w:bCs/>
          <w:sz w:val="21"/>
          <w:szCs w:val="21"/>
          <w:lang w:eastAsia="zh-CN"/>
        </w:rPr>
        <w:t xml:space="preserve">  单位 mg/L</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4"/>
        <w:gridCol w:w="1497"/>
        <w:gridCol w:w="787"/>
        <w:gridCol w:w="783"/>
        <w:gridCol w:w="811"/>
        <w:gridCol w:w="824"/>
        <w:gridCol w:w="785"/>
        <w:gridCol w:w="785"/>
        <w:gridCol w:w="811"/>
        <w:gridCol w:w="837"/>
        <w:gridCol w:w="6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2" w:hRule="atLeast"/>
          <w:jc w:val="center"/>
        </w:trPr>
        <w:tc>
          <w:tcPr>
            <w:tcW w:w="398" w:type="pct"/>
            <w:vMerge w:val="restart"/>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
                <w:color w:val="auto"/>
                <w:kern w:val="2"/>
                <w:lang w:eastAsia="zh-CN"/>
              </w:rPr>
            </w:pPr>
            <w:r>
              <w:rPr>
                <w:rFonts w:hint="eastAsia" w:hAnsi="Times New Roman" w:eastAsia="宋体"/>
                <w:b/>
                <w:color w:val="auto"/>
                <w:kern w:val="2"/>
                <w:lang w:eastAsia="zh-CN"/>
              </w:rPr>
              <w:t>检测点位置</w:t>
            </w:r>
          </w:p>
        </w:tc>
        <w:tc>
          <w:tcPr>
            <w:tcW w:w="801" w:type="pct"/>
            <w:vMerge w:val="restart"/>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
                <w:color w:val="auto"/>
                <w:kern w:val="2"/>
                <w:lang w:eastAsia="zh-CN"/>
              </w:rPr>
            </w:pPr>
            <w:r>
              <w:rPr>
                <w:rFonts w:hint="eastAsia" w:hAnsi="Times New Roman" w:eastAsia="宋体"/>
                <w:b/>
                <w:color w:val="auto"/>
                <w:kern w:val="2"/>
                <w:lang w:eastAsia="zh-CN"/>
              </w:rPr>
              <w:t>检测因子</w:t>
            </w:r>
          </w:p>
        </w:tc>
        <w:tc>
          <w:tcPr>
            <w:tcW w:w="3437" w:type="pct"/>
            <w:gridSpan w:val="8"/>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
                <w:color w:val="auto"/>
                <w:kern w:val="2"/>
                <w:lang w:eastAsia="zh-CN"/>
              </w:rPr>
            </w:pPr>
            <w:r>
              <w:rPr>
                <w:rFonts w:hint="eastAsia" w:hAnsi="Times New Roman" w:eastAsia="宋体"/>
                <w:b/>
                <w:color w:val="auto"/>
                <w:kern w:val="2"/>
                <w:lang w:eastAsia="zh-CN"/>
              </w:rPr>
              <w:t>检测数据</w:t>
            </w:r>
          </w:p>
        </w:tc>
        <w:tc>
          <w:tcPr>
            <w:tcW w:w="364" w:type="pct"/>
            <w:vMerge w:val="restart"/>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
                <w:color w:val="auto"/>
                <w:kern w:val="2"/>
                <w:lang w:eastAsia="zh-CN"/>
              </w:rPr>
            </w:pPr>
            <w:r>
              <w:rPr>
                <w:rFonts w:hint="eastAsia" w:hAnsi="Times New Roman" w:eastAsia="宋体"/>
                <w:b/>
                <w:color w:val="auto"/>
                <w:kern w:val="2"/>
                <w:lang w:eastAsia="zh-CN"/>
              </w:rPr>
              <w:t>排放限值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 w:hRule="atLeast"/>
          <w:jc w:val="center"/>
        </w:trPr>
        <w:tc>
          <w:tcPr>
            <w:tcW w:w="398" w:type="pct"/>
            <w:vMerge w:val="continue"/>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
                <w:color w:val="auto"/>
                <w:kern w:val="2"/>
                <w:lang w:eastAsia="zh-CN"/>
              </w:rPr>
            </w:pPr>
          </w:p>
        </w:tc>
        <w:tc>
          <w:tcPr>
            <w:tcW w:w="801" w:type="pct"/>
            <w:vMerge w:val="continue"/>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
                <w:color w:val="auto"/>
                <w:kern w:val="2"/>
                <w:lang w:eastAsia="zh-CN"/>
              </w:rPr>
            </w:pPr>
          </w:p>
        </w:tc>
        <w:tc>
          <w:tcPr>
            <w:tcW w:w="1715" w:type="pct"/>
            <w:gridSpan w:val="4"/>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
                <w:color w:val="auto"/>
                <w:kern w:val="2"/>
                <w:lang w:eastAsia="zh-CN"/>
              </w:rPr>
            </w:pPr>
            <w:r>
              <w:rPr>
                <w:rFonts w:hint="eastAsia" w:hAnsi="Times New Roman" w:eastAsia="宋体"/>
                <w:b/>
                <w:color w:val="auto"/>
                <w:kern w:val="2"/>
                <w:lang w:eastAsia="zh-CN"/>
              </w:rPr>
              <w:t>2019/01/22</w:t>
            </w:r>
          </w:p>
        </w:tc>
        <w:tc>
          <w:tcPr>
            <w:tcW w:w="1722" w:type="pct"/>
            <w:gridSpan w:val="4"/>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
                <w:color w:val="auto"/>
                <w:kern w:val="2"/>
                <w:lang w:eastAsia="zh-CN"/>
              </w:rPr>
            </w:pPr>
            <w:r>
              <w:rPr>
                <w:rFonts w:hint="eastAsia" w:hAnsi="Times New Roman" w:eastAsia="宋体"/>
                <w:b/>
                <w:color w:val="auto"/>
                <w:kern w:val="2"/>
                <w:lang w:eastAsia="zh-CN"/>
              </w:rPr>
              <w:t>2019/01/23</w:t>
            </w:r>
          </w:p>
        </w:tc>
        <w:tc>
          <w:tcPr>
            <w:tcW w:w="364" w:type="pct"/>
            <w:vMerge w:val="continue"/>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
                <w:color w:val="auto"/>
                <w:kern w:val="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398" w:type="pct"/>
            <w:vMerge w:val="continue"/>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p>
        </w:tc>
        <w:tc>
          <w:tcPr>
            <w:tcW w:w="801" w:type="pct"/>
            <w:vMerge w:val="continue"/>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p>
        </w:tc>
        <w:tc>
          <w:tcPr>
            <w:tcW w:w="421" w:type="pct"/>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
                <w:color w:val="auto"/>
                <w:spacing w:val="-20"/>
                <w:kern w:val="2"/>
                <w:lang w:eastAsia="zh-CN"/>
              </w:rPr>
            </w:pPr>
            <w:r>
              <w:rPr>
                <w:rFonts w:hint="eastAsia" w:hAnsi="Times New Roman" w:eastAsia="宋体"/>
                <w:b/>
                <w:color w:val="auto"/>
                <w:spacing w:val="-20"/>
                <w:kern w:val="2"/>
                <w:lang w:eastAsia="zh-CN"/>
              </w:rPr>
              <w:t>第一次</w:t>
            </w:r>
          </w:p>
        </w:tc>
        <w:tc>
          <w:tcPr>
            <w:tcW w:w="419" w:type="pct"/>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
                <w:color w:val="auto"/>
                <w:spacing w:val="-20"/>
                <w:kern w:val="2"/>
                <w:lang w:eastAsia="zh-CN"/>
              </w:rPr>
            </w:pPr>
            <w:r>
              <w:rPr>
                <w:rFonts w:hint="eastAsia" w:hAnsi="Times New Roman" w:eastAsia="宋体"/>
                <w:b/>
                <w:color w:val="auto"/>
                <w:spacing w:val="-20"/>
                <w:kern w:val="2"/>
                <w:lang w:eastAsia="zh-CN"/>
              </w:rPr>
              <w:t>第二次</w:t>
            </w:r>
          </w:p>
        </w:tc>
        <w:tc>
          <w:tcPr>
            <w:tcW w:w="434" w:type="pct"/>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
                <w:color w:val="auto"/>
                <w:spacing w:val="-20"/>
                <w:kern w:val="2"/>
                <w:lang w:eastAsia="zh-CN"/>
              </w:rPr>
            </w:pPr>
            <w:r>
              <w:rPr>
                <w:rFonts w:hint="eastAsia" w:hAnsi="Times New Roman" w:eastAsia="宋体"/>
                <w:b/>
                <w:color w:val="auto"/>
                <w:spacing w:val="-20"/>
                <w:kern w:val="2"/>
                <w:lang w:eastAsia="zh-CN"/>
              </w:rPr>
              <w:t>第三次</w:t>
            </w:r>
          </w:p>
        </w:tc>
        <w:tc>
          <w:tcPr>
            <w:tcW w:w="441" w:type="pct"/>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
                <w:color w:val="auto"/>
                <w:spacing w:val="-20"/>
                <w:kern w:val="2"/>
                <w:lang w:eastAsia="zh-CN"/>
              </w:rPr>
            </w:pPr>
            <w:r>
              <w:rPr>
                <w:rFonts w:hint="eastAsia" w:hAnsi="Times New Roman" w:eastAsia="宋体"/>
                <w:b/>
                <w:color w:val="auto"/>
                <w:spacing w:val="-20"/>
                <w:kern w:val="2"/>
                <w:lang w:eastAsia="zh-CN"/>
              </w:rPr>
              <w:t>第四次</w:t>
            </w:r>
          </w:p>
        </w:tc>
        <w:tc>
          <w:tcPr>
            <w:tcW w:w="420" w:type="pct"/>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
                <w:color w:val="auto"/>
                <w:spacing w:val="-20"/>
                <w:kern w:val="2"/>
                <w:lang w:eastAsia="zh-CN"/>
              </w:rPr>
            </w:pPr>
            <w:r>
              <w:rPr>
                <w:rFonts w:hint="eastAsia" w:hAnsi="Times New Roman" w:eastAsia="宋体"/>
                <w:b/>
                <w:color w:val="auto"/>
                <w:spacing w:val="-20"/>
                <w:kern w:val="2"/>
                <w:lang w:eastAsia="zh-CN"/>
              </w:rPr>
              <w:t>第一次</w:t>
            </w:r>
          </w:p>
        </w:tc>
        <w:tc>
          <w:tcPr>
            <w:tcW w:w="420" w:type="pct"/>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
                <w:color w:val="auto"/>
                <w:spacing w:val="-20"/>
                <w:kern w:val="2"/>
                <w:lang w:eastAsia="zh-CN"/>
              </w:rPr>
            </w:pPr>
            <w:r>
              <w:rPr>
                <w:rFonts w:hint="eastAsia" w:hAnsi="Times New Roman" w:eastAsia="宋体"/>
                <w:b/>
                <w:color w:val="auto"/>
                <w:spacing w:val="-20"/>
                <w:kern w:val="2"/>
                <w:lang w:eastAsia="zh-CN"/>
              </w:rPr>
              <w:t>第二次</w:t>
            </w:r>
          </w:p>
        </w:tc>
        <w:tc>
          <w:tcPr>
            <w:tcW w:w="434" w:type="pct"/>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
                <w:color w:val="auto"/>
                <w:spacing w:val="-20"/>
                <w:kern w:val="2"/>
                <w:lang w:eastAsia="zh-CN"/>
              </w:rPr>
            </w:pPr>
            <w:r>
              <w:rPr>
                <w:rFonts w:hint="eastAsia" w:hAnsi="Times New Roman" w:eastAsia="宋体"/>
                <w:b/>
                <w:color w:val="auto"/>
                <w:spacing w:val="-20"/>
                <w:kern w:val="2"/>
                <w:lang w:eastAsia="zh-CN"/>
              </w:rPr>
              <w:t>第三次</w:t>
            </w:r>
          </w:p>
        </w:tc>
        <w:tc>
          <w:tcPr>
            <w:tcW w:w="448" w:type="pct"/>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
                <w:color w:val="auto"/>
                <w:spacing w:val="-20"/>
                <w:kern w:val="2"/>
                <w:lang w:eastAsia="zh-CN"/>
              </w:rPr>
            </w:pPr>
            <w:r>
              <w:rPr>
                <w:rFonts w:hint="eastAsia" w:hAnsi="Times New Roman" w:eastAsia="宋体"/>
                <w:b/>
                <w:color w:val="auto"/>
                <w:spacing w:val="-20"/>
                <w:kern w:val="2"/>
                <w:lang w:eastAsia="zh-CN"/>
              </w:rPr>
              <w:t>第四次</w:t>
            </w:r>
          </w:p>
        </w:tc>
        <w:tc>
          <w:tcPr>
            <w:tcW w:w="364" w:type="pct"/>
            <w:vMerge w:val="continue"/>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
                <w:color w:val="auto"/>
                <w:kern w:val="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398" w:type="pct"/>
            <w:vMerge w:val="restart"/>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矿井水处理站出口</w:t>
            </w:r>
          </w:p>
        </w:tc>
        <w:tc>
          <w:tcPr>
            <w:tcW w:w="801" w:type="pct"/>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bCs/>
                <w:kern w:val="2"/>
                <w:sz w:val="21"/>
                <w:szCs w:val="21"/>
                <w:lang w:eastAsia="zh-CN"/>
              </w:rPr>
            </w:pPr>
            <w:r>
              <w:rPr>
                <w:rFonts w:hint="eastAsia" w:hAnsi="Times New Roman" w:eastAsia="宋体" w:cs="Times New Roman"/>
                <w:kern w:val="2"/>
                <w:sz w:val="21"/>
                <w:szCs w:val="21"/>
              </w:rPr>
              <w:t>pH（无量纲）</w:t>
            </w:r>
          </w:p>
        </w:tc>
        <w:tc>
          <w:tcPr>
            <w:tcW w:w="42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7.54</w:t>
            </w:r>
          </w:p>
        </w:tc>
        <w:tc>
          <w:tcPr>
            <w:tcW w:w="41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7.56</w:t>
            </w:r>
          </w:p>
        </w:tc>
        <w:tc>
          <w:tcPr>
            <w:tcW w:w="43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7.41</w:t>
            </w:r>
          </w:p>
        </w:tc>
        <w:tc>
          <w:tcPr>
            <w:tcW w:w="44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7.48</w:t>
            </w:r>
          </w:p>
        </w:tc>
        <w:tc>
          <w:tcPr>
            <w:tcW w:w="42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7.43</w:t>
            </w:r>
          </w:p>
        </w:tc>
        <w:tc>
          <w:tcPr>
            <w:tcW w:w="42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7.49</w:t>
            </w:r>
          </w:p>
        </w:tc>
        <w:tc>
          <w:tcPr>
            <w:tcW w:w="43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7.45</w:t>
            </w:r>
          </w:p>
        </w:tc>
        <w:tc>
          <w:tcPr>
            <w:tcW w:w="448"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7.52</w:t>
            </w:r>
          </w:p>
        </w:tc>
        <w:tc>
          <w:tcPr>
            <w:tcW w:w="364" w:type="pct"/>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398" w:type="pct"/>
            <w:vMerge w:val="continue"/>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p>
        </w:tc>
        <w:tc>
          <w:tcPr>
            <w:tcW w:w="801" w:type="pct"/>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bCs/>
                <w:kern w:val="2"/>
                <w:sz w:val="21"/>
                <w:szCs w:val="21"/>
                <w:lang w:eastAsia="zh-CN"/>
              </w:rPr>
            </w:pPr>
            <w:r>
              <w:rPr>
                <w:rFonts w:hint="eastAsia" w:hAnsi="Times New Roman" w:eastAsia="宋体" w:cs="Times New Roman"/>
                <w:kern w:val="2"/>
                <w:sz w:val="21"/>
                <w:szCs w:val="21"/>
                <w:lang w:bidi="ar"/>
              </w:rPr>
              <w:t>悬浮物</w:t>
            </w:r>
          </w:p>
        </w:tc>
        <w:tc>
          <w:tcPr>
            <w:tcW w:w="42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7</w:t>
            </w:r>
          </w:p>
        </w:tc>
        <w:tc>
          <w:tcPr>
            <w:tcW w:w="41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6</w:t>
            </w:r>
          </w:p>
        </w:tc>
        <w:tc>
          <w:tcPr>
            <w:tcW w:w="43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8</w:t>
            </w:r>
          </w:p>
        </w:tc>
        <w:tc>
          <w:tcPr>
            <w:tcW w:w="44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7</w:t>
            </w:r>
          </w:p>
        </w:tc>
        <w:tc>
          <w:tcPr>
            <w:tcW w:w="42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6</w:t>
            </w:r>
          </w:p>
        </w:tc>
        <w:tc>
          <w:tcPr>
            <w:tcW w:w="42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7</w:t>
            </w:r>
          </w:p>
        </w:tc>
        <w:tc>
          <w:tcPr>
            <w:tcW w:w="43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7</w:t>
            </w:r>
          </w:p>
        </w:tc>
        <w:tc>
          <w:tcPr>
            <w:tcW w:w="448"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8</w:t>
            </w:r>
          </w:p>
        </w:tc>
        <w:tc>
          <w:tcPr>
            <w:tcW w:w="364" w:type="pct"/>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398" w:type="pct"/>
            <w:vMerge w:val="continue"/>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p>
        </w:tc>
        <w:tc>
          <w:tcPr>
            <w:tcW w:w="801" w:type="pct"/>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bCs/>
                <w:kern w:val="2"/>
                <w:sz w:val="21"/>
                <w:szCs w:val="21"/>
                <w:lang w:eastAsia="zh-CN"/>
              </w:rPr>
            </w:pPr>
            <w:r>
              <w:rPr>
                <w:rFonts w:hint="eastAsia" w:hAnsi="Times New Roman" w:eastAsia="宋体" w:cs="Times New Roman"/>
                <w:kern w:val="2"/>
                <w:sz w:val="21"/>
                <w:szCs w:val="21"/>
                <w:lang w:bidi="ar"/>
              </w:rPr>
              <w:t>化学需氧量</w:t>
            </w:r>
          </w:p>
        </w:tc>
        <w:tc>
          <w:tcPr>
            <w:tcW w:w="42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13</w:t>
            </w:r>
          </w:p>
        </w:tc>
        <w:tc>
          <w:tcPr>
            <w:tcW w:w="41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11</w:t>
            </w:r>
          </w:p>
        </w:tc>
        <w:tc>
          <w:tcPr>
            <w:tcW w:w="43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10</w:t>
            </w:r>
          </w:p>
        </w:tc>
        <w:tc>
          <w:tcPr>
            <w:tcW w:w="44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11</w:t>
            </w:r>
          </w:p>
        </w:tc>
        <w:tc>
          <w:tcPr>
            <w:tcW w:w="42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11</w:t>
            </w:r>
          </w:p>
        </w:tc>
        <w:tc>
          <w:tcPr>
            <w:tcW w:w="42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12</w:t>
            </w:r>
          </w:p>
        </w:tc>
        <w:tc>
          <w:tcPr>
            <w:tcW w:w="43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11</w:t>
            </w:r>
          </w:p>
        </w:tc>
        <w:tc>
          <w:tcPr>
            <w:tcW w:w="448"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13</w:t>
            </w:r>
          </w:p>
        </w:tc>
        <w:tc>
          <w:tcPr>
            <w:tcW w:w="364" w:type="pct"/>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r>
              <w:rPr>
                <w:rFonts w:hint="eastAsia" w:hAnsi="Times New Roman" w:eastAsia="宋体"/>
                <w:color w:val="auto"/>
                <w:kern w:val="2"/>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398" w:type="pct"/>
            <w:vMerge w:val="continue"/>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p>
        </w:tc>
        <w:tc>
          <w:tcPr>
            <w:tcW w:w="801" w:type="pct"/>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bCs/>
                <w:kern w:val="2"/>
                <w:sz w:val="21"/>
                <w:szCs w:val="21"/>
                <w:lang w:eastAsia="zh-CN"/>
              </w:rPr>
            </w:pPr>
            <w:r>
              <w:rPr>
                <w:rFonts w:hint="eastAsia" w:hAnsi="Times New Roman" w:eastAsia="宋体" w:cs="Times New Roman"/>
                <w:spacing w:val="-20"/>
                <w:kern w:val="2"/>
                <w:sz w:val="21"/>
                <w:szCs w:val="21"/>
                <w:lang w:bidi="ar"/>
              </w:rPr>
              <w:t>五日生化需氧量</w:t>
            </w:r>
          </w:p>
        </w:tc>
        <w:tc>
          <w:tcPr>
            <w:tcW w:w="42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1.6</w:t>
            </w:r>
          </w:p>
        </w:tc>
        <w:tc>
          <w:tcPr>
            <w:tcW w:w="41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1.4</w:t>
            </w:r>
          </w:p>
        </w:tc>
        <w:tc>
          <w:tcPr>
            <w:tcW w:w="43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1.2</w:t>
            </w:r>
          </w:p>
        </w:tc>
        <w:tc>
          <w:tcPr>
            <w:tcW w:w="44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1.5</w:t>
            </w:r>
          </w:p>
        </w:tc>
        <w:tc>
          <w:tcPr>
            <w:tcW w:w="42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1.7</w:t>
            </w:r>
          </w:p>
        </w:tc>
        <w:tc>
          <w:tcPr>
            <w:tcW w:w="42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1.4</w:t>
            </w:r>
          </w:p>
        </w:tc>
        <w:tc>
          <w:tcPr>
            <w:tcW w:w="43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1.4</w:t>
            </w:r>
          </w:p>
        </w:tc>
        <w:tc>
          <w:tcPr>
            <w:tcW w:w="448"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1.6</w:t>
            </w:r>
          </w:p>
        </w:tc>
        <w:tc>
          <w:tcPr>
            <w:tcW w:w="364" w:type="pct"/>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r>
              <w:rPr>
                <w:rFonts w:hint="eastAsia" w:hAnsi="Times New Roman" w:eastAsia="宋体"/>
                <w:color w:val="auto"/>
                <w:spacing w:val="-1"/>
                <w:kern w:val="2"/>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398" w:type="pct"/>
            <w:vMerge w:val="continue"/>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p>
        </w:tc>
        <w:tc>
          <w:tcPr>
            <w:tcW w:w="801" w:type="pct"/>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bCs/>
                <w:kern w:val="2"/>
                <w:sz w:val="21"/>
                <w:szCs w:val="21"/>
                <w:lang w:eastAsia="zh-CN"/>
              </w:rPr>
            </w:pPr>
            <w:r>
              <w:rPr>
                <w:rFonts w:hint="eastAsia" w:hAnsi="Times New Roman" w:eastAsia="宋体" w:cs="Times New Roman"/>
                <w:kern w:val="2"/>
                <w:sz w:val="21"/>
                <w:szCs w:val="21"/>
                <w:lang w:bidi="ar"/>
              </w:rPr>
              <w:t>氨氮</w:t>
            </w:r>
          </w:p>
        </w:tc>
        <w:tc>
          <w:tcPr>
            <w:tcW w:w="42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0.050</w:t>
            </w:r>
          </w:p>
        </w:tc>
        <w:tc>
          <w:tcPr>
            <w:tcW w:w="41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0.053</w:t>
            </w:r>
          </w:p>
        </w:tc>
        <w:tc>
          <w:tcPr>
            <w:tcW w:w="43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0.050</w:t>
            </w:r>
          </w:p>
        </w:tc>
        <w:tc>
          <w:tcPr>
            <w:tcW w:w="44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0.055</w:t>
            </w:r>
          </w:p>
        </w:tc>
        <w:tc>
          <w:tcPr>
            <w:tcW w:w="42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0.054</w:t>
            </w:r>
          </w:p>
        </w:tc>
        <w:tc>
          <w:tcPr>
            <w:tcW w:w="42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0.053</w:t>
            </w:r>
          </w:p>
        </w:tc>
        <w:tc>
          <w:tcPr>
            <w:tcW w:w="43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0.047</w:t>
            </w:r>
          </w:p>
        </w:tc>
        <w:tc>
          <w:tcPr>
            <w:tcW w:w="448"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0.047</w:t>
            </w:r>
          </w:p>
        </w:tc>
        <w:tc>
          <w:tcPr>
            <w:tcW w:w="364" w:type="pct"/>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r>
              <w:rPr>
                <w:rFonts w:hint="eastAsia" w:hAnsi="Times New Roman" w:eastAsia="宋体"/>
                <w:color w:val="auto"/>
                <w:spacing w:val="-1"/>
                <w:kern w:val="2"/>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398" w:type="pct"/>
            <w:vMerge w:val="continue"/>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p>
        </w:tc>
        <w:tc>
          <w:tcPr>
            <w:tcW w:w="801" w:type="pct"/>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bCs/>
                <w:kern w:val="2"/>
                <w:sz w:val="21"/>
                <w:szCs w:val="21"/>
                <w:lang w:eastAsia="zh-CN"/>
              </w:rPr>
            </w:pPr>
            <w:r>
              <w:rPr>
                <w:rFonts w:hint="eastAsia" w:hAnsi="Times New Roman" w:eastAsia="宋体" w:cs="Times New Roman"/>
                <w:kern w:val="2"/>
                <w:sz w:val="21"/>
                <w:szCs w:val="21"/>
                <w:lang w:bidi="ar"/>
              </w:rPr>
              <w:t>石油类</w:t>
            </w:r>
          </w:p>
        </w:tc>
        <w:tc>
          <w:tcPr>
            <w:tcW w:w="42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0.14</w:t>
            </w:r>
          </w:p>
        </w:tc>
        <w:tc>
          <w:tcPr>
            <w:tcW w:w="41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0.11</w:t>
            </w:r>
          </w:p>
        </w:tc>
        <w:tc>
          <w:tcPr>
            <w:tcW w:w="43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0.12</w:t>
            </w:r>
          </w:p>
        </w:tc>
        <w:tc>
          <w:tcPr>
            <w:tcW w:w="44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0.17</w:t>
            </w:r>
          </w:p>
        </w:tc>
        <w:tc>
          <w:tcPr>
            <w:tcW w:w="42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0.15</w:t>
            </w:r>
          </w:p>
        </w:tc>
        <w:tc>
          <w:tcPr>
            <w:tcW w:w="42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0.15</w:t>
            </w:r>
          </w:p>
        </w:tc>
        <w:tc>
          <w:tcPr>
            <w:tcW w:w="43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0.12</w:t>
            </w:r>
          </w:p>
        </w:tc>
        <w:tc>
          <w:tcPr>
            <w:tcW w:w="448"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0.11</w:t>
            </w:r>
          </w:p>
        </w:tc>
        <w:tc>
          <w:tcPr>
            <w:tcW w:w="364" w:type="pct"/>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r>
              <w:rPr>
                <w:rFonts w:hint="eastAsia" w:hAnsi="Times New Roman" w:eastAsia="宋体"/>
                <w:color w:val="auto"/>
                <w:spacing w:val="-1"/>
                <w:kern w:val="2"/>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398" w:type="pct"/>
            <w:vMerge w:val="continue"/>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p>
        </w:tc>
        <w:tc>
          <w:tcPr>
            <w:tcW w:w="801" w:type="pct"/>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bCs/>
                <w:kern w:val="2"/>
                <w:sz w:val="21"/>
                <w:szCs w:val="21"/>
                <w:lang w:eastAsia="zh-CN"/>
              </w:rPr>
            </w:pPr>
            <w:r>
              <w:rPr>
                <w:rFonts w:hint="eastAsia" w:hAnsi="Times New Roman" w:eastAsia="宋体" w:cs="Times New Roman"/>
                <w:kern w:val="2"/>
                <w:sz w:val="21"/>
                <w:szCs w:val="21"/>
                <w:lang w:eastAsia="zh-CN"/>
              </w:rPr>
              <w:t>总</w:t>
            </w:r>
            <w:r>
              <w:rPr>
                <w:rFonts w:hint="eastAsia" w:hAnsi="Times New Roman" w:eastAsia="宋体" w:cs="Times New Roman"/>
                <w:kern w:val="2"/>
                <w:sz w:val="21"/>
                <w:szCs w:val="21"/>
              </w:rPr>
              <w:t>铁</w:t>
            </w:r>
          </w:p>
        </w:tc>
        <w:tc>
          <w:tcPr>
            <w:tcW w:w="42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0.07</w:t>
            </w:r>
          </w:p>
        </w:tc>
        <w:tc>
          <w:tcPr>
            <w:tcW w:w="41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0.12</w:t>
            </w:r>
          </w:p>
        </w:tc>
        <w:tc>
          <w:tcPr>
            <w:tcW w:w="43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0.08</w:t>
            </w:r>
          </w:p>
        </w:tc>
        <w:tc>
          <w:tcPr>
            <w:tcW w:w="44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0.12</w:t>
            </w:r>
          </w:p>
        </w:tc>
        <w:tc>
          <w:tcPr>
            <w:tcW w:w="42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0.13</w:t>
            </w:r>
          </w:p>
        </w:tc>
        <w:tc>
          <w:tcPr>
            <w:tcW w:w="42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0.09</w:t>
            </w:r>
          </w:p>
        </w:tc>
        <w:tc>
          <w:tcPr>
            <w:tcW w:w="43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0.09</w:t>
            </w:r>
          </w:p>
        </w:tc>
        <w:tc>
          <w:tcPr>
            <w:tcW w:w="448"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0.14</w:t>
            </w:r>
          </w:p>
        </w:tc>
        <w:tc>
          <w:tcPr>
            <w:tcW w:w="364" w:type="pct"/>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r>
              <w:rPr>
                <w:rFonts w:hint="eastAsia" w:hAnsi="Times New Roman" w:eastAsia="宋体"/>
                <w:color w:val="auto"/>
                <w:kern w:val="2"/>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398" w:type="pct"/>
            <w:vMerge w:val="continue"/>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p>
        </w:tc>
        <w:tc>
          <w:tcPr>
            <w:tcW w:w="801" w:type="pct"/>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bCs/>
                <w:kern w:val="2"/>
                <w:sz w:val="21"/>
                <w:szCs w:val="21"/>
                <w:lang w:eastAsia="zh-CN"/>
              </w:rPr>
            </w:pPr>
            <w:r>
              <w:rPr>
                <w:rFonts w:hint="eastAsia" w:hAnsi="Times New Roman" w:eastAsia="宋体" w:cs="Times New Roman"/>
                <w:kern w:val="2"/>
                <w:sz w:val="21"/>
                <w:szCs w:val="21"/>
                <w:lang w:eastAsia="zh-CN"/>
              </w:rPr>
              <w:t>总</w:t>
            </w:r>
            <w:r>
              <w:rPr>
                <w:rFonts w:hint="eastAsia" w:hAnsi="Times New Roman" w:eastAsia="宋体" w:cs="Times New Roman"/>
                <w:kern w:val="2"/>
                <w:sz w:val="21"/>
                <w:szCs w:val="21"/>
              </w:rPr>
              <w:t>锰</w:t>
            </w:r>
          </w:p>
        </w:tc>
        <w:tc>
          <w:tcPr>
            <w:tcW w:w="42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0.01</w:t>
            </w:r>
            <w:r>
              <w:rPr>
                <w:rFonts w:hint="eastAsia" w:hAnsi="Times New Roman" w:eastAsia="宋体"/>
                <w:spacing w:val="-20"/>
                <w:kern w:val="2"/>
                <w:sz w:val="21"/>
                <w:szCs w:val="21"/>
                <w:vertAlign w:val="superscript"/>
                <w:lang w:eastAsia="zh-CN"/>
              </w:rPr>
              <w:t>L</w:t>
            </w:r>
          </w:p>
        </w:tc>
        <w:tc>
          <w:tcPr>
            <w:tcW w:w="41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0.01</w:t>
            </w:r>
            <w:r>
              <w:rPr>
                <w:rFonts w:hint="eastAsia" w:hAnsi="Times New Roman" w:eastAsia="宋体"/>
                <w:spacing w:val="-20"/>
                <w:kern w:val="2"/>
                <w:sz w:val="21"/>
                <w:szCs w:val="21"/>
                <w:vertAlign w:val="superscript"/>
                <w:lang w:eastAsia="zh-CN"/>
              </w:rPr>
              <w:t>L</w:t>
            </w:r>
          </w:p>
        </w:tc>
        <w:tc>
          <w:tcPr>
            <w:tcW w:w="43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0.01</w:t>
            </w:r>
            <w:r>
              <w:rPr>
                <w:rFonts w:hint="eastAsia" w:hAnsi="Times New Roman" w:eastAsia="宋体"/>
                <w:spacing w:val="-20"/>
                <w:kern w:val="2"/>
                <w:sz w:val="21"/>
                <w:szCs w:val="21"/>
                <w:vertAlign w:val="superscript"/>
                <w:lang w:eastAsia="zh-CN"/>
              </w:rPr>
              <w:t>L</w:t>
            </w:r>
          </w:p>
        </w:tc>
        <w:tc>
          <w:tcPr>
            <w:tcW w:w="44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0.01</w:t>
            </w:r>
            <w:r>
              <w:rPr>
                <w:rFonts w:hint="eastAsia" w:hAnsi="Times New Roman" w:eastAsia="宋体"/>
                <w:spacing w:val="-20"/>
                <w:kern w:val="2"/>
                <w:sz w:val="21"/>
                <w:szCs w:val="21"/>
                <w:vertAlign w:val="superscript"/>
                <w:lang w:eastAsia="zh-CN"/>
              </w:rPr>
              <w:t>L</w:t>
            </w:r>
          </w:p>
        </w:tc>
        <w:tc>
          <w:tcPr>
            <w:tcW w:w="42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0.01</w:t>
            </w:r>
            <w:r>
              <w:rPr>
                <w:rFonts w:hint="eastAsia" w:hAnsi="Times New Roman" w:eastAsia="宋体"/>
                <w:spacing w:val="-20"/>
                <w:kern w:val="2"/>
                <w:sz w:val="21"/>
                <w:szCs w:val="21"/>
                <w:vertAlign w:val="superscript"/>
                <w:lang w:eastAsia="zh-CN"/>
              </w:rPr>
              <w:t>L</w:t>
            </w:r>
          </w:p>
        </w:tc>
        <w:tc>
          <w:tcPr>
            <w:tcW w:w="42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0.01</w:t>
            </w:r>
            <w:r>
              <w:rPr>
                <w:rFonts w:hint="eastAsia" w:hAnsi="Times New Roman" w:eastAsia="宋体"/>
                <w:spacing w:val="-20"/>
                <w:kern w:val="2"/>
                <w:sz w:val="21"/>
                <w:szCs w:val="21"/>
                <w:vertAlign w:val="superscript"/>
                <w:lang w:eastAsia="zh-CN"/>
              </w:rPr>
              <w:t>L</w:t>
            </w:r>
          </w:p>
        </w:tc>
        <w:tc>
          <w:tcPr>
            <w:tcW w:w="43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0.01</w:t>
            </w:r>
            <w:r>
              <w:rPr>
                <w:rFonts w:hint="eastAsia" w:hAnsi="Times New Roman" w:eastAsia="宋体"/>
                <w:spacing w:val="-20"/>
                <w:kern w:val="2"/>
                <w:sz w:val="21"/>
                <w:szCs w:val="21"/>
                <w:vertAlign w:val="superscript"/>
                <w:lang w:eastAsia="zh-CN"/>
              </w:rPr>
              <w:t>L</w:t>
            </w:r>
          </w:p>
        </w:tc>
        <w:tc>
          <w:tcPr>
            <w:tcW w:w="448"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0.01</w:t>
            </w:r>
            <w:r>
              <w:rPr>
                <w:rFonts w:hint="eastAsia" w:hAnsi="Times New Roman" w:eastAsia="宋体"/>
                <w:spacing w:val="-20"/>
                <w:kern w:val="2"/>
                <w:sz w:val="21"/>
                <w:szCs w:val="21"/>
                <w:vertAlign w:val="superscript"/>
                <w:lang w:eastAsia="zh-CN"/>
              </w:rPr>
              <w:t>L</w:t>
            </w:r>
          </w:p>
        </w:tc>
        <w:tc>
          <w:tcPr>
            <w:tcW w:w="364" w:type="pct"/>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4</w:t>
            </w:r>
          </w:p>
        </w:tc>
      </w:tr>
    </w:tbl>
    <w:p>
      <w:pPr>
        <w:ind w:firstLine="360" w:firstLineChars="200"/>
        <w:rPr>
          <w:rFonts w:hAnsi="Times New Roman" w:eastAsia="宋体"/>
          <w:lang w:eastAsia="zh-CN"/>
        </w:rPr>
      </w:pPr>
      <w:r>
        <w:rPr>
          <w:rFonts w:hAnsi="Times New Roman" w:eastAsia="宋体"/>
          <w:sz w:val="18"/>
          <w:szCs w:val="18"/>
          <w:lang w:eastAsia="zh-CN"/>
        </w:rPr>
        <w:t>注：检测结果“检出限+L”表示未检出。</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 xml:space="preserve"> 表 2.1-</w:t>
      </w:r>
      <w:r>
        <w:rPr>
          <w:rFonts w:hint="eastAsia" w:hAnsi="Times New Roman" w:eastAsia="宋体"/>
          <w:b/>
          <w:bCs/>
          <w:sz w:val="21"/>
          <w:szCs w:val="21"/>
          <w:lang w:eastAsia="zh-CN"/>
        </w:rPr>
        <w:t>3</w:t>
      </w:r>
      <w:r>
        <w:rPr>
          <w:rFonts w:hAnsi="Times New Roman" w:eastAsia="宋体"/>
          <w:b/>
          <w:bCs/>
          <w:sz w:val="21"/>
          <w:szCs w:val="21"/>
          <w:lang w:eastAsia="zh-CN"/>
        </w:rPr>
        <w:tab/>
      </w:r>
      <w:r>
        <w:rPr>
          <w:rFonts w:hAnsi="Times New Roman" w:eastAsia="宋体"/>
          <w:b/>
          <w:bCs/>
          <w:sz w:val="21"/>
          <w:szCs w:val="21"/>
          <w:lang w:eastAsia="zh-CN"/>
        </w:rPr>
        <w:t>矿井</w:t>
      </w:r>
      <w:r>
        <w:rPr>
          <w:rFonts w:hint="eastAsia" w:hAnsi="Times New Roman" w:eastAsia="宋体"/>
          <w:b/>
          <w:bCs/>
          <w:sz w:val="21"/>
          <w:szCs w:val="21"/>
          <w:lang w:eastAsia="zh-CN"/>
        </w:rPr>
        <w:t>停产阶段</w:t>
      </w:r>
      <w:r>
        <w:rPr>
          <w:rFonts w:hAnsi="Times New Roman" w:eastAsia="宋体"/>
          <w:b/>
          <w:bCs/>
          <w:sz w:val="21"/>
          <w:szCs w:val="21"/>
          <w:lang w:eastAsia="zh-CN"/>
        </w:rPr>
        <w:t>涌水排放情况</w:t>
      </w:r>
      <w:r>
        <w:rPr>
          <w:rFonts w:hAnsi="Times New Roman" w:eastAsia="宋体"/>
          <w:b/>
          <w:bCs/>
          <w:sz w:val="21"/>
          <w:szCs w:val="21"/>
          <w:lang w:eastAsia="zh-CN"/>
        </w:rPr>
        <w:tab/>
      </w:r>
      <w:r>
        <w:rPr>
          <w:rFonts w:hAnsi="Times New Roman" w:eastAsia="宋体"/>
          <w:b/>
          <w:bCs/>
          <w:sz w:val="21"/>
          <w:szCs w:val="21"/>
          <w:lang w:eastAsia="zh-CN"/>
        </w:rPr>
        <w:t xml:space="preserve">  单位 mg/L</w:t>
      </w:r>
    </w:p>
    <w:tbl>
      <w:tblPr>
        <w:tblStyle w:val="33"/>
        <w:tblW w:w="970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1"/>
        <w:gridCol w:w="1430"/>
        <w:gridCol w:w="752"/>
        <w:gridCol w:w="748"/>
        <w:gridCol w:w="775"/>
        <w:gridCol w:w="788"/>
        <w:gridCol w:w="750"/>
        <w:gridCol w:w="750"/>
        <w:gridCol w:w="775"/>
        <w:gridCol w:w="800"/>
        <w:gridCol w:w="777"/>
        <w:gridCol w:w="6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2" w:hRule="atLeast"/>
          <w:jc w:val="center"/>
        </w:trPr>
        <w:tc>
          <w:tcPr>
            <w:tcW w:w="711" w:type="dxa"/>
            <w:vMerge w:val="restart"/>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
                <w:color w:val="auto"/>
                <w:kern w:val="2"/>
                <w:lang w:eastAsia="zh-CN"/>
              </w:rPr>
            </w:pPr>
            <w:r>
              <w:rPr>
                <w:rFonts w:hint="eastAsia" w:hAnsi="Times New Roman" w:eastAsia="宋体"/>
                <w:b/>
                <w:color w:val="auto"/>
                <w:kern w:val="2"/>
                <w:lang w:eastAsia="zh-CN"/>
              </w:rPr>
              <w:t>检测点位置</w:t>
            </w:r>
          </w:p>
        </w:tc>
        <w:tc>
          <w:tcPr>
            <w:tcW w:w="1430" w:type="dxa"/>
            <w:vMerge w:val="restart"/>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
                <w:color w:val="auto"/>
                <w:kern w:val="2"/>
                <w:lang w:eastAsia="zh-CN"/>
              </w:rPr>
            </w:pPr>
            <w:r>
              <w:rPr>
                <w:rFonts w:hint="eastAsia" w:hAnsi="Times New Roman" w:eastAsia="宋体"/>
                <w:b/>
                <w:color w:val="auto"/>
                <w:kern w:val="2"/>
                <w:lang w:eastAsia="zh-CN"/>
              </w:rPr>
              <w:t>检测因子</w:t>
            </w:r>
          </w:p>
        </w:tc>
        <w:tc>
          <w:tcPr>
            <w:tcW w:w="6915" w:type="dxa"/>
            <w:gridSpan w:val="9"/>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
                <w:color w:val="auto"/>
                <w:kern w:val="2"/>
                <w:lang w:eastAsia="zh-CN"/>
              </w:rPr>
            </w:pPr>
            <w:r>
              <w:rPr>
                <w:rFonts w:hint="eastAsia" w:hAnsi="Times New Roman" w:eastAsia="宋体"/>
                <w:b/>
                <w:color w:val="auto"/>
                <w:kern w:val="2"/>
                <w:lang w:eastAsia="zh-CN"/>
              </w:rPr>
              <w:t>检测数据</w:t>
            </w:r>
          </w:p>
        </w:tc>
        <w:tc>
          <w:tcPr>
            <w:tcW w:w="650" w:type="dxa"/>
            <w:vMerge w:val="restart"/>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
                <w:color w:val="auto"/>
                <w:kern w:val="2"/>
                <w:lang w:eastAsia="zh-CN"/>
              </w:rPr>
            </w:pPr>
            <w:r>
              <w:rPr>
                <w:rFonts w:hint="eastAsia" w:hAnsi="Times New Roman" w:eastAsia="宋体"/>
                <w:b/>
                <w:color w:val="auto"/>
                <w:kern w:val="2"/>
                <w:lang w:eastAsia="zh-CN"/>
              </w:rPr>
              <w:t>排放限值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 w:hRule="atLeast"/>
          <w:jc w:val="center"/>
        </w:trPr>
        <w:tc>
          <w:tcPr>
            <w:tcW w:w="711" w:type="dxa"/>
            <w:vMerge w:val="continue"/>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
                <w:color w:val="auto"/>
                <w:kern w:val="2"/>
                <w:lang w:eastAsia="zh-CN"/>
              </w:rPr>
            </w:pPr>
          </w:p>
        </w:tc>
        <w:tc>
          <w:tcPr>
            <w:tcW w:w="1430" w:type="dxa"/>
            <w:vMerge w:val="continue"/>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
                <w:color w:val="auto"/>
                <w:kern w:val="2"/>
                <w:lang w:eastAsia="zh-CN"/>
              </w:rPr>
            </w:pPr>
          </w:p>
        </w:tc>
        <w:tc>
          <w:tcPr>
            <w:tcW w:w="2275" w:type="dxa"/>
            <w:gridSpan w:val="3"/>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
                <w:color w:val="auto"/>
                <w:kern w:val="2"/>
                <w:lang w:eastAsia="zh-CN"/>
              </w:rPr>
            </w:pPr>
            <w:r>
              <w:rPr>
                <w:rFonts w:hint="eastAsia" w:hAnsi="Times New Roman" w:eastAsia="宋体"/>
                <w:b/>
                <w:color w:val="auto"/>
                <w:kern w:val="2"/>
                <w:lang w:eastAsia="zh-CN"/>
              </w:rPr>
              <w:t>2022/01/03</w:t>
            </w:r>
          </w:p>
        </w:tc>
        <w:tc>
          <w:tcPr>
            <w:tcW w:w="2288" w:type="dxa"/>
            <w:gridSpan w:val="3"/>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
                <w:color w:val="auto"/>
                <w:kern w:val="2"/>
                <w:lang w:eastAsia="zh-CN"/>
              </w:rPr>
            </w:pPr>
            <w:r>
              <w:rPr>
                <w:rFonts w:hint="eastAsia" w:hAnsi="Times New Roman" w:eastAsia="宋体"/>
                <w:b/>
                <w:color w:val="auto"/>
                <w:kern w:val="2"/>
                <w:lang w:eastAsia="zh-CN"/>
              </w:rPr>
              <w:t>2022/01/04</w:t>
            </w:r>
          </w:p>
        </w:tc>
        <w:tc>
          <w:tcPr>
            <w:tcW w:w="2352" w:type="dxa"/>
            <w:gridSpan w:val="3"/>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
                <w:color w:val="auto"/>
                <w:kern w:val="2"/>
                <w:lang w:eastAsia="zh-CN"/>
              </w:rPr>
            </w:pPr>
            <w:r>
              <w:rPr>
                <w:rFonts w:hint="eastAsia" w:hAnsi="Times New Roman" w:eastAsia="宋体"/>
                <w:b/>
                <w:color w:val="auto"/>
                <w:kern w:val="2"/>
                <w:lang w:eastAsia="zh-CN"/>
              </w:rPr>
              <w:t>2022/01/05</w:t>
            </w:r>
          </w:p>
        </w:tc>
        <w:tc>
          <w:tcPr>
            <w:tcW w:w="650" w:type="dxa"/>
            <w:vMerge w:val="continue"/>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
                <w:color w:val="auto"/>
                <w:kern w:val="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711" w:type="dxa"/>
            <w:vMerge w:val="continue"/>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p>
        </w:tc>
        <w:tc>
          <w:tcPr>
            <w:tcW w:w="1430" w:type="dxa"/>
            <w:vMerge w:val="continue"/>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p>
        </w:tc>
        <w:tc>
          <w:tcPr>
            <w:tcW w:w="752" w:type="dxa"/>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
                <w:color w:val="auto"/>
                <w:spacing w:val="-20"/>
                <w:kern w:val="2"/>
                <w:lang w:eastAsia="zh-CN"/>
              </w:rPr>
            </w:pPr>
            <w:r>
              <w:rPr>
                <w:rFonts w:hint="eastAsia" w:hAnsi="Times New Roman" w:eastAsia="宋体"/>
                <w:b/>
                <w:color w:val="auto"/>
                <w:spacing w:val="-20"/>
                <w:kern w:val="2"/>
                <w:lang w:eastAsia="zh-CN"/>
              </w:rPr>
              <w:t>第一次</w:t>
            </w:r>
          </w:p>
        </w:tc>
        <w:tc>
          <w:tcPr>
            <w:tcW w:w="748" w:type="dxa"/>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
                <w:color w:val="auto"/>
                <w:spacing w:val="-20"/>
                <w:kern w:val="2"/>
                <w:lang w:eastAsia="zh-CN"/>
              </w:rPr>
            </w:pPr>
            <w:r>
              <w:rPr>
                <w:rFonts w:hint="eastAsia" w:hAnsi="Times New Roman" w:eastAsia="宋体"/>
                <w:b/>
                <w:color w:val="auto"/>
                <w:spacing w:val="-20"/>
                <w:kern w:val="2"/>
                <w:lang w:eastAsia="zh-CN"/>
              </w:rPr>
              <w:t>第二次</w:t>
            </w:r>
          </w:p>
        </w:tc>
        <w:tc>
          <w:tcPr>
            <w:tcW w:w="775" w:type="dxa"/>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
                <w:color w:val="auto"/>
                <w:spacing w:val="-20"/>
                <w:kern w:val="2"/>
                <w:lang w:eastAsia="zh-CN"/>
              </w:rPr>
            </w:pPr>
            <w:r>
              <w:rPr>
                <w:rFonts w:hint="eastAsia" w:hAnsi="Times New Roman" w:eastAsia="宋体"/>
                <w:b/>
                <w:color w:val="auto"/>
                <w:spacing w:val="-20"/>
                <w:kern w:val="2"/>
                <w:lang w:eastAsia="zh-CN"/>
              </w:rPr>
              <w:t>第三次</w:t>
            </w:r>
          </w:p>
        </w:tc>
        <w:tc>
          <w:tcPr>
            <w:tcW w:w="788" w:type="dxa"/>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
                <w:color w:val="auto"/>
                <w:spacing w:val="-20"/>
                <w:kern w:val="2"/>
                <w:lang w:eastAsia="zh-CN"/>
              </w:rPr>
            </w:pPr>
            <w:r>
              <w:rPr>
                <w:rFonts w:hint="eastAsia" w:hAnsi="Times New Roman" w:eastAsia="宋体"/>
                <w:b/>
                <w:color w:val="auto"/>
                <w:spacing w:val="-20"/>
                <w:kern w:val="2"/>
                <w:lang w:eastAsia="zh-CN"/>
              </w:rPr>
              <w:t>第一次</w:t>
            </w:r>
          </w:p>
        </w:tc>
        <w:tc>
          <w:tcPr>
            <w:tcW w:w="750" w:type="dxa"/>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
                <w:color w:val="auto"/>
                <w:spacing w:val="-20"/>
                <w:kern w:val="2"/>
                <w:lang w:eastAsia="zh-CN"/>
              </w:rPr>
            </w:pPr>
            <w:r>
              <w:rPr>
                <w:rFonts w:hint="eastAsia" w:hAnsi="Times New Roman" w:eastAsia="宋体"/>
                <w:b/>
                <w:color w:val="auto"/>
                <w:spacing w:val="-20"/>
                <w:kern w:val="2"/>
                <w:lang w:eastAsia="zh-CN"/>
              </w:rPr>
              <w:t>第二次</w:t>
            </w:r>
          </w:p>
        </w:tc>
        <w:tc>
          <w:tcPr>
            <w:tcW w:w="750" w:type="dxa"/>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
                <w:color w:val="auto"/>
                <w:spacing w:val="-20"/>
                <w:kern w:val="2"/>
                <w:lang w:eastAsia="zh-CN"/>
              </w:rPr>
            </w:pPr>
            <w:r>
              <w:rPr>
                <w:rFonts w:hint="eastAsia" w:hAnsi="Times New Roman" w:eastAsia="宋体"/>
                <w:b/>
                <w:color w:val="auto"/>
                <w:spacing w:val="-20"/>
                <w:kern w:val="2"/>
                <w:lang w:eastAsia="zh-CN"/>
              </w:rPr>
              <w:t>第三次</w:t>
            </w:r>
          </w:p>
        </w:tc>
        <w:tc>
          <w:tcPr>
            <w:tcW w:w="775" w:type="dxa"/>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
                <w:color w:val="auto"/>
                <w:spacing w:val="-20"/>
                <w:kern w:val="2"/>
                <w:lang w:eastAsia="zh-CN"/>
              </w:rPr>
            </w:pPr>
            <w:r>
              <w:rPr>
                <w:rFonts w:hint="eastAsia" w:hAnsi="Times New Roman" w:eastAsia="宋体"/>
                <w:b/>
                <w:color w:val="auto"/>
                <w:spacing w:val="-20"/>
                <w:kern w:val="2"/>
                <w:lang w:eastAsia="zh-CN"/>
              </w:rPr>
              <w:t>第一次</w:t>
            </w:r>
          </w:p>
        </w:tc>
        <w:tc>
          <w:tcPr>
            <w:tcW w:w="800" w:type="dxa"/>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
                <w:color w:val="auto"/>
                <w:spacing w:val="-20"/>
                <w:kern w:val="2"/>
                <w:lang w:eastAsia="zh-CN"/>
              </w:rPr>
            </w:pPr>
            <w:r>
              <w:rPr>
                <w:rFonts w:hint="eastAsia" w:hAnsi="Times New Roman" w:eastAsia="宋体"/>
                <w:b/>
                <w:color w:val="auto"/>
                <w:spacing w:val="-20"/>
                <w:kern w:val="2"/>
                <w:lang w:eastAsia="zh-CN"/>
              </w:rPr>
              <w:t>第二次</w:t>
            </w:r>
          </w:p>
        </w:tc>
        <w:tc>
          <w:tcPr>
            <w:tcW w:w="777" w:type="dxa"/>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
                <w:color w:val="auto"/>
                <w:spacing w:val="-20"/>
                <w:kern w:val="2"/>
                <w:lang w:eastAsia="zh-CN"/>
              </w:rPr>
            </w:pPr>
            <w:r>
              <w:rPr>
                <w:rFonts w:hint="eastAsia" w:hAnsi="Times New Roman" w:eastAsia="宋体"/>
                <w:b/>
                <w:color w:val="auto"/>
                <w:spacing w:val="-20"/>
                <w:kern w:val="2"/>
                <w:lang w:eastAsia="zh-CN"/>
              </w:rPr>
              <w:t>第三次</w:t>
            </w:r>
          </w:p>
        </w:tc>
        <w:tc>
          <w:tcPr>
            <w:tcW w:w="650" w:type="dxa"/>
            <w:vMerge w:val="continue"/>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
                <w:color w:val="auto"/>
                <w:kern w:val="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711" w:type="dxa"/>
            <w:vMerge w:val="restart"/>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W2，沉淀池排水口</w:t>
            </w:r>
          </w:p>
        </w:tc>
        <w:tc>
          <w:tcPr>
            <w:tcW w:w="143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val="en-US" w:eastAsia="zh-CN"/>
              </w:rPr>
            </w:pPr>
            <w:r>
              <w:rPr>
                <w:rFonts w:hint="eastAsia" w:hAnsi="Times New Roman" w:eastAsia="宋体"/>
                <w:kern w:val="2"/>
                <w:sz w:val="21"/>
                <w:szCs w:val="21"/>
                <w:lang w:bidi="ar"/>
              </w:rPr>
              <w:t>水温</w:t>
            </w:r>
            <w:r>
              <w:rPr>
                <w:rFonts w:hint="eastAsia" w:hAnsi="Times New Roman" w:eastAsia="宋体"/>
                <w:kern w:val="2"/>
                <w:sz w:val="21"/>
                <w:szCs w:val="21"/>
                <w:lang w:eastAsia="zh-CN" w:bidi="ar"/>
              </w:rPr>
              <w:t>（</w:t>
            </w:r>
            <w:r>
              <w:rPr>
                <w:rFonts w:hint="eastAsia" w:hAnsi="Times New Roman" w:eastAsia="宋体"/>
                <w:kern w:val="2"/>
                <w:sz w:val="21"/>
                <w:szCs w:val="21"/>
              </w:rPr>
              <w:t>℃</w:t>
            </w:r>
            <w:r>
              <w:rPr>
                <w:rFonts w:hint="eastAsia" w:hAnsi="Times New Roman" w:eastAsia="宋体"/>
                <w:kern w:val="2"/>
                <w:sz w:val="21"/>
                <w:szCs w:val="21"/>
                <w:lang w:eastAsia="zh-CN"/>
              </w:rPr>
              <w:t>）</w:t>
            </w:r>
          </w:p>
        </w:tc>
        <w:tc>
          <w:tcPr>
            <w:tcW w:w="75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8.6</w:t>
            </w:r>
          </w:p>
        </w:tc>
        <w:tc>
          <w:tcPr>
            <w:tcW w:w="74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8.7</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8.8</w:t>
            </w:r>
          </w:p>
        </w:tc>
        <w:tc>
          <w:tcPr>
            <w:tcW w:w="7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9.3</w:t>
            </w:r>
          </w:p>
        </w:tc>
        <w:tc>
          <w:tcPr>
            <w:tcW w:w="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9.5</w:t>
            </w:r>
          </w:p>
        </w:tc>
        <w:tc>
          <w:tcPr>
            <w:tcW w:w="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9.0</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9.3</w:t>
            </w:r>
          </w:p>
        </w:tc>
        <w:tc>
          <w:tcPr>
            <w:tcW w:w="80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9.5</w:t>
            </w:r>
          </w:p>
        </w:tc>
        <w:tc>
          <w:tcPr>
            <w:tcW w:w="77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9.8</w:t>
            </w:r>
          </w:p>
        </w:tc>
        <w:tc>
          <w:tcPr>
            <w:tcW w:w="650" w:type="dxa"/>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711" w:type="dxa"/>
            <w:vMerge w:val="continue"/>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p>
        </w:tc>
        <w:tc>
          <w:tcPr>
            <w:tcW w:w="143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kern w:val="2"/>
                <w:sz w:val="21"/>
                <w:szCs w:val="21"/>
              </w:rPr>
              <w:t>流速</w:t>
            </w:r>
            <w:r>
              <w:rPr>
                <w:rFonts w:hint="eastAsia" w:hAnsi="Times New Roman" w:eastAsia="宋体"/>
                <w:kern w:val="2"/>
                <w:sz w:val="21"/>
                <w:szCs w:val="21"/>
                <w:lang w:eastAsia="zh-CN"/>
              </w:rPr>
              <w:t>（</w:t>
            </w:r>
            <w:r>
              <w:rPr>
                <w:rFonts w:hint="eastAsia" w:hAnsi="Times New Roman" w:eastAsia="宋体"/>
                <w:kern w:val="2"/>
                <w:sz w:val="21"/>
                <w:szCs w:val="21"/>
              </w:rPr>
              <w:t>m/s</w:t>
            </w:r>
            <w:r>
              <w:rPr>
                <w:rFonts w:hint="eastAsia" w:hAnsi="Times New Roman" w:eastAsia="宋体"/>
                <w:kern w:val="2"/>
                <w:sz w:val="21"/>
                <w:szCs w:val="21"/>
                <w:lang w:eastAsia="zh-CN"/>
              </w:rPr>
              <w:t>）</w:t>
            </w:r>
          </w:p>
        </w:tc>
        <w:tc>
          <w:tcPr>
            <w:tcW w:w="75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0.48</w:t>
            </w:r>
          </w:p>
        </w:tc>
        <w:tc>
          <w:tcPr>
            <w:tcW w:w="74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0.49</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0.48</w:t>
            </w:r>
          </w:p>
        </w:tc>
        <w:tc>
          <w:tcPr>
            <w:tcW w:w="7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0.47</w:t>
            </w:r>
          </w:p>
        </w:tc>
        <w:tc>
          <w:tcPr>
            <w:tcW w:w="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0.49</w:t>
            </w:r>
          </w:p>
        </w:tc>
        <w:tc>
          <w:tcPr>
            <w:tcW w:w="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0.49</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0.49</w:t>
            </w:r>
          </w:p>
        </w:tc>
        <w:tc>
          <w:tcPr>
            <w:tcW w:w="80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0.47</w:t>
            </w:r>
          </w:p>
        </w:tc>
        <w:tc>
          <w:tcPr>
            <w:tcW w:w="77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0.48</w:t>
            </w:r>
          </w:p>
        </w:tc>
        <w:tc>
          <w:tcPr>
            <w:tcW w:w="650" w:type="dxa"/>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711" w:type="dxa"/>
            <w:vMerge w:val="continue"/>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p>
        </w:tc>
        <w:tc>
          <w:tcPr>
            <w:tcW w:w="1430" w:type="dxa"/>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bCs/>
                <w:kern w:val="2"/>
                <w:sz w:val="21"/>
                <w:szCs w:val="21"/>
                <w:lang w:eastAsia="zh-CN"/>
              </w:rPr>
            </w:pPr>
            <w:r>
              <w:rPr>
                <w:rFonts w:hint="eastAsia" w:hAnsi="Times New Roman" w:eastAsia="宋体" w:cs="Times New Roman"/>
                <w:kern w:val="2"/>
                <w:sz w:val="21"/>
                <w:szCs w:val="21"/>
                <w:lang w:bidi="ar"/>
              </w:rPr>
              <w:t>流量</w:t>
            </w:r>
            <w:r>
              <w:rPr>
                <w:rFonts w:hint="eastAsia" w:hAnsi="Times New Roman" w:eastAsia="宋体" w:cs="Times New Roman"/>
                <w:kern w:val="2"/>
                <w:sz w:val="21"/>
                <w:szCs w:val="21"/>
                <w:lang w:eastAsia="zh-CN" w:bidi="ar"/>
              </w:rPr>
              <w:t>（</w:t>
            </w:r>
            <w:r>
              <w:rPr>
                <w:rFonts w:hint="eastAsia" w:hAnsi="Times New Roman" w:eastAsia="宋体" w:cs="Times New Roman"/>
                <w:kern w:val="2"/>
                <w:sz w:val="21"/>
                <w:szCs w:val="21"/>
                <w:lang w:bidi="ar"/>
              </w:rPr>
              <w:t>m</w:t>
            </w:r>
            <w:r>
              <w:rPr>
                <w:rFonts w:hint="eastAsia" w:hAnsi="Times New Roman" w:eastAsia="宋体" w:cs="Times New Roman"/>
                <w:kern w:val="2"/>
                <w:sz w:val="21"/>
                <w:szCs w:val="21"/>
                <w:vertAlign w:val="superscript"/>
                <w:lang w:bidi="ar"/>
              </w:rPr>
              <w:t>3</w:t>
            </w:r>
            <w:r>
              <w:rPr>
                <w:rFonts w:hint="eastAsia" w:hAnsi="Times New Roman" w:eastAsia="宋体" w:cs="Times New Roman"/>
                <w:kern w:val="2"/>
                <w:sz w:val="21"/>
                <w:szCs w:val="21"/>
                <w:lang w:bidi="ar"/>
              </w:rPr>
              <w:t>/h</w:t>
            </w:r>
            <w:r>
              <w:rPr>
                <w:rFonts w:hint="eastAsia" w:hAnsi="Times New Roman" w:eastAsia="宋体" w:cs="Times New Roman"/>
                <w:kern w:val="2"/>
                <w:sz w:val="21"/>
                <w:szCs w:val="21"/>
                <w:lang w:eastAsia="zh-CN" w:bidi="ar"/>
              </w:rPr>
              <w:t>）</w:t>
            </w:r>
          </w:p>
        </w:tc>
        <w:tc>
          <w:tcPr>
            <w:tcW w:w="75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276</w:t>
            </w:r>
          </w:p>
        </w:tc>
        <w:tc>
          <w:tcPr>
            <w:tcW w:w="74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282</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276</w:t>
            </w:r>
          </w:p>
        </w:tc>
        <w:tc>
          <w:tcPr>
            <w:tcW w:w="7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270</w:t>
            </w:r>
          </w:p>
        </w:tc>
        <w:tc>
          <w:tcPr>
            <w:tcW w:w="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282</w:t>
            </w:r>
          </w:p>
        </w:tc>
        <w:tc>
          <w:tcPr>
            <w:tcW w:w="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423</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282</w:t>
            </w:r>
          </w:p>
        </w:tc>
        <w:tc>
          <w:tcPr>
            <w:tcW w:w="80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270</w:t>
            </w:r>
          </w:p>
        </w:tc>
        <w:tc>
          <w:tcPr>
            <w:tcW w:w="77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276</w:t>
            </w:r>
          </w:p>
        </w:tc>
        <w:tc>
          <w:tcPr>
            <w:tcW w:w="650" w:type="dxa"/>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711" w:type="dxa"/>
            <w:vMerge w:val="continue"/>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p>
        </w:tc>
        <w:tc>
          <w:tcPr>
            <w:tcW w:w="1430" w:type="dxa"/>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bCs/>
                <w:kern w:val="2"/>
                <w:sz w:val="21"/>
                <w:szCs w:val="21"/>
                <w:lang w:eastAsia="zh-CN"/>
              </w:rPr>
            </w:pPr>
            <w:r>
              <w:rPr>
                <w:rFonts w:hint="eastAsia" w:hAnsi="Times New Roman" w:eastAsia="宋体" w:cs="Times New Roman"/>
                <w:kern w:val="2"/>
                <w:sz w:val="21"/>
                <w:szCs w:val="21"/>
              </w:rPr>
              <w:t>pH（无量纲）</w:t>
            </w:r>
          </w:p>
        </w:tc>
        <w:tc>
          <w:tcPr>
            <w:tcW w:w="75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7.5</w:t>
            </w:r>
          </w:p>
        </w:tc>
        <w:tc>
          <w:tcPr>
            <w:tcW w:w="74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7.3</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7.5</w:t>
            </w:r>
          </w:p>
        </w:tc>
        <w:tc>
          <w:tcPr>
            <w:tcW w:w="7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7.3</w:t>
            </w:r>
          </w:p>
        </w:tc>
        <w:tc>
          <w:tcPr>
            <w:tcW w:w="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7.3</w:t>
            </w:r>
          </w:p>
        </w:tc>
        <w:tc>
          <w:tcPr>
            <w:tcW w:w="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7.3</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7.4</w:t>
            </w:r>
          </w:p>
        </w:tc>
        <w:tc>
          <w:tcPr>
            <w:tcW w:w="80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7.3</w:t>
            </w:r>
          </w:p>
        </w:tc>
        <w:tc>
          <w:tcPr>
            <w:tcW w:w="77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7.3</w:t>
            </w:r>
          </w:p>
        </w:tc>
        <w:tc>
          <w:tcPr>
            <w:tcW w:w="650" w:type="dxa"/>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711" w:type="dxa"/>
            <w:vMerge w:val="continue"/>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p>
        </w:tc>
        <w:tc>
          <w:tcPr>
            <w:tcW w:w="1430" w:type="dxa"/>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bCs/>
                <w:kern w:val="2"/>
                <w:sz w:val="21"/>
                <w:szCs w:val="21"/>
                <w:lang w:eastAsia="zh-CN"/>
              </w:rPr>
            </w:pPr>
            <w:r>
              <w:rPr>
                <w:rFonts w:hint="eastAsia" w:hAnsi="Times New Roman" w:eastAsia="宋体" w:cs="Times New Roman"/>
                <w:kern w:val="2"/>
                <w:sz w:val="21"/>
                <w:szCs w:val="21"/>
                <w:lang w:bidi="ar"/>
              </w:rPr>
              <w:t>悬浮物</w:t>
            </w:r>
          </w:p>
        </w:tc>
        <w:tc>
          <w:tcPr>
            <w:tcW w:w="75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21</w:t>
            </w:r>
          </w:p>
        </w:tc>
        <w:tc>
          <w:tcPr>
            <w:tcW w:w="74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13</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16</w:t>
            </w:r>
          </w:p>
        </w:tc>
        <w:tc>
          <w:tcPr>
            <w:tcW w:w="7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21</w:t>
            </w:r>
          </w:p>
        </w:tc>
        <w:tc>
          <w:tcPr>
            <w:tcW w:w="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19</w:t>
            </w:r>
          </w:p>
        </w:tc>
        <w:tc>
          <w:tcPr>
            <w:tcW w:w="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17</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14</w:t>
            </w:r>
          </w:p>
        </w:tc>
        <w:tc>
          <w:tcPr>
            <w:tcW w:w="80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20</w:t>
            </w:r>
          </w:p>
        </w:tc>
        <w:tc>
          <w:tcPr>
            <w:tcW w:w="77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18</w:t>
            </w:r>
          </w:p>
        </w:tc>
        <w:tc>
          <w:tcPr>
            <w:tcW w:w="650" w:type="dxa"/>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711" w:type="dxa"/>
            <w:vMerge w:val="continue"/>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p>
        </w:tc>
        <w:tc>
          <w:tcPr>
            <w:tcW w:w="1430" w:type="dxa"/>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bCs/>
                <w:kern w:val="2"/>
                <w:sz w:val="21"/>
                <w:szCs w:val="21"/>
                <w:lang w:eastAsia="zh-CN"/>
              </w:rPr>
            </w:pPr>
            <w:r>
              <w:rPr>
                <w:rFonts w:hint="eastAsia" w:hAnsi="Times New Roman" w:eastAsia="宋体" w:cs="Times New Roman"/>
                <w:kern w:val="2"/>
                <w:sz w:val="21"/>
                <w:szCs w:val="21"/>
                <w:lang w:bidi="ar"/>
              </w:rPr>
              <w:t>化学需氧量</w:t>
            </w:r>
          </w:p>
        </w:tc>
        <w:tc>
          <w:tcPr>
            <w:tcW w:w="75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7</w:t>
            </w:r>
          </w:p>
        </w:tc>
        <w:tc>
          <w:tcPr>
            <w:tcW w:w="74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9</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10</w:t>
            </w:r>
          </w:p>
        </w:tc>
        <w:tc>
          <w:tcPr>
            <w:tcW w:w="7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5</w:t>
            </w:r>
          </w:p>
        </w:tc>
        <w:tc>
          <w:tcPr>
            <w:tcW w:w="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7</w:t>
            </w:r>
          </w:p>
        </w:tc>
        <w:tc>
          <w:tcPr>
            <w:tcW w:w="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9</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8</w:t>
            </w:r>
          </w:p>
        </w:tc>
        <w:tc>
          <w:tcPr>
            <w:tcW w:w="80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12</w:t>
            </w:r>
          </w:p>
        </w:tc>
        <w:tc>
          <w:tcPr>
            <w:tcW w:w="77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10</w:t>
            </w:r>
          </w:p>
        </w:tc>
        <w:tc>
          <w:tcPr>
            <w:tcW w:w="650" w:type="dxa"/>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r>
              <w:rPr>
                <w:rFonts w:hint="eastAsia" w:hAnsi="Times New Roman" w:eastAsia="宋体"/>
                <w:color w:val="auto"/>
                <w:kern w:val="2"/>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711" w:type="dxa"/>
            <w:vMerge w:val="continue"/>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p>
        </w:tc>
        <w:tc>
          <w:tcPr>
            <w:tcW w:w="1430" w:type="dxa"/>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bCs/>
                <w:kern w:val="2"/>
                <w:sz w:val="21"/>
                <w:szCs w:val="21"/>
                <w:lang w:eastAsia="zh-CN"/>
              </w:rPr>
            </w:pPr>
            <w:r>
              <w:rPr>
                <w:rFonts w:hint="eastAsia" w:hAnsi="Times New Roman" w:eastAsia="宋体" w:cs="Times New Roman"/>
                <w:spacing w:val="-20"/>
                <w:kern w:val="2"/>
                <w:sz w:val="21"/>
                <w:szCs w:val="21"/>
                <w:lang w:bidi="ar"/>
              </w:rPr>
              <w:t>五日生化需氧量</w:t>
            </w:r>
          </w:p>
        </w:tc>
        <w:tc>
          <w:tcPr>
            <w:tcW w:w="75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1.2</w:t>
            </w:r>
          </w:p>
        </w:tc>
        <w:tc>
          <w:tcPr>
            <w:tcW w:w="74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2.1</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2.3</w:t>
            </w:r>
          </w:p>
        </w:tc>
        <w:tc>
          <w:tcPr>
            <w:tcW w:w="7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1.1</w:t>
            </w:r>
          </w:p>
        </w:tc>
        <w:tc>
          <w:tcPr>
            <w:tcW w:w="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1.4</w:t>
            </w:r>
          </w:p>
        </w:tc>
        <w:tc>
          <w:tcPr>
            <w:tcW w:w="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1.6</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1.8</w:t>
            </w:r>
          </w:p>
        </w:tc>
        <w:tc>
          <w:tcPr>
            <w:tcW w:w="80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2.5</w:t>
            </w:r>
          </w:p>
        </w:tc>
        <w:tc>
          <w:tcPr>
            <w:tcW w:w="77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2.3</w:t>
            </w:r>
          </w:p>
        </w:tc>
        <w:tc>
          <w:tcPr>
            <w:tcW w:w="650" w:type="dxa"/>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r>
              <w:rPr>
                <w:rFonts w:hint="eastAsia" w:hAnsi="Times New Roman" w:eastAsia="宋体"/>
                <w:color w:val="auto"/>
                <w:spacing w:val="-1"/>
                <w:kern w:val="2"/>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711" w:type="dxa"/>
            <w:vMerge w:val="continue"/>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p>
        </w:tc>
        <w:tc>
          <w:tcPr>
            <w:tcW w:w="1430" w:type="dxa"/>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bCs/>
                <w:kern w:val="2"/>
                <w:sz w:val="21"/>
                <w:szCs w:val="21"/>
                <w:lang w:eastAsia="zh-CN"/>
              </w:rPr>
            </w:pPr>
            <w:r>
              <w:rPr>
                <w:rFonts w:hint="eastAsia" w:hAnsi="Times New Roman" w:eastAsia="宋体" w:cs="Times New Roman"/>
                <w:kern w:val="2"/>
                <w:sz w:val="21"/>
                <w:szCs w:val="21"/>
                <w:lang w:bidi="ar"/>
              </w:rPr>
              <w:t>氨氮</w:t>
            </w:r>
          </w:p>
        </w:tc>
        <w:tc>
          <w:tcPr>
            <w:tcW w:w="75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0.128</w:t>
            </w:r>
          </w:p>
        </w:tc>
        <w:tc>
          <w:tcPr>
            <w:tcW w:w="74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0.108</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0.122</w:t>
            </w:r>
          </w:p>
        </w:tc>
        <w:tc>
          <w:tcPr>
            <w:tcW w:w="7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0.114</w:t>
            </w:r>
          </w:p>
        </w:tc>
        <w:tc>
          <w:tcPr>
            <w:tcW w:w="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0.133</w:t>
            </w:r>
          </w:p>
        </w:tc>
        <w:tc>
          <w:tcPr>
            <w:tcW w:w="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0.091</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0.114</w:t>
            </w:r>
          </w:p>
        </w:tc>
        <w:tc>
          <w:tcPr>
            <w:tcW w:w="80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0.125</w:t>
            </w:r>
          </w:p>
        </w:tc>
        <w:tc>
          <w:tcPr>
            <w:tcW w:w="77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0.105</w:t>
            </w:r>
          </w:p>
        </w:tc>
        <w:tc>
          <w:tcPr>
            <w:tcW w:w="650" w:type="dxa"/>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r>
              <w:rPr>
                <w:rFonts w:hint="eastAsia" w:hAnsi="Times New Roman" w:eastAsia="宋体"/>
                <w:color w:val="auto"/>
                <w:spacing w:val="-1"/>
                <w:kern w:val="2"/>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711" w:type="dxa"/>
            <w:vMerge w:val="continue"/>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p>
        </w:tc>
        <w:tc>
          <w:tcPr>
            <w:tcW w:w="1430" w:type="dxa"/>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bCs/>
                <w:kern w:val="2"/>
                <w:sz w:val="21"/>
                <w:szCs w:val="21"/>
                <w:lang w:eastAsia="zh-CN"/>
              </w:rPr>
            </w:pPr>
            <w:r>
              <w:rPr>
                <w:rFonts w:hint="eastAsia" w:hAnsi="Times New Roman" w:eastAsia="宋体" w:cs="Times New Roman"/>
                <w:kern w:val="2"/>
                <w:sz w:val="21"/>
                <w:szCs w:val="21"/>
                <w:lang w:eastAsia="zh-CN"/>
              </w:rPr>
              <w:t>氯化物</w:t>
            </w:r>
          </w:p>
        </w:tc>
        <w:tc>
          <w:tcPr>
            <w:tcW w:w="75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2.26</w:t>
            </w:r>
          </w:p>
        </w:tc>
        <w:tc>
          <w:tcPr>
            <w:tcW w:w="74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2.46</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2.12</w:t>
            </w:r>
          </w:p>
        </w:tc>
        <w:tc>
          <w:tcPr>
            <w:tcW w:w="7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2.11</w:t>
            </w:r>
          </w:p>
        </w:tc>
        <w:tc>
          <w:tcPr>
            <w:tcW w:w="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1.81</w:t>
            </w:r>
          </w:p>
        </w:tc>
        <w:tc>
          <w:tcPr>
            <w:tcW w:w="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2.24</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2.19</w:t>
            </w:r>
          </w:p>
        </w:tc>
        <w:tc>
          <w:tcPr>
            <w:tcW w:w="80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2.15</w:t>
            </w:r>
          </w:p>
        </w:tc>
        <w:tc>
          <w:tcPr>
            <w:tcW w:w="77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2.24</w:t>
            </w:r>
          </w:p>
        </w:tc>
        <w:tc>
          <w:tcPr>
            <w:tcW w:w="650" w:type="dxa"/>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711" w:type="dxa"/>
            <w:vMerge w:val="continue"/>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p>
        </w:tc>
        <w:tc>
          <w:tcPr>
            <w:tcW w:w="1430" w:type="dxa"/>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bCs/>
                <w:kern w:val="2"/>
                <w:sz w:val="21"/>
                <w:szCs w:val="21"/>
                <w:lang w:eastAsia="zh-CN"/>
              </w:rPr>
            </w:pPr>
            <w:r>
              <w:rPr>
                <w:rFonts w:hint="eastAsia" w:hAnsi="Times New Roman" w:eastAsia="宋体" w:cs="Times New Roman"/>
                <w:kern w:val="2"/>
                <w:sz w:val="21"/>
                <w:szCs w:val="21"/>
                <w:lang w:bidi="ar"/>
              </w:rPr>
              <w:t>石油类</w:t>
            </w:r>
          </w:p>
        </w:tc>
        <w:tc>
          <w:tcPr>
            <w:tcW w:w="75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0.01</w:t>
            </w:r>
            <w:r>
              <w:rPr>
                <w:rFonts w:hint="eastAsia" w:hAnsi="Times New Roman" w:eastAsia="宋体"/>
                <w:spacing w:val="-20"/>
                <w:kern w:val="2"/>
                <w:sz w:val="21"/>
                <w:szCs w:val="21"/>
                <w:vertAlign w:val="superscript"/>
                <w:lang w:eastAsia="zh-CN"/>
              </w:rPr>
              <w:t>L</w:t>
            </w:r>
          </w:p>
        </w:tc>
        <w:tc>
          <w:tcPr>
            <w:tcW w:w="74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0.01</w:t>
            </w:r>
            <w:r>
              <w:rPr>
                <w:rFonts w:hint="eastAsia" w:hAnsi="Times New Roman" w:eastAsia="宋体"/>
                <w:spacing w:val="-20"/>
                <w:kern w:val="2"/>
                <w:sz w:val="21"/>
                <w:szCs w:val="21"/>
                <w:vertAlign w:val="superscript"/>
                <w:lang w:eastAsia="zh-CN"/>
              </w:rPr>
              <w:t>L</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0.01</w:t>
            </w:r>
            <w:r>
              <w:rPr>
                <w:rFonts w:hint="eastAsia" w:hAnsi="Times New Roman" w:eastAsia="宋体"/>
                <w:spacing w:val="-20"/>
                <w:kern w:val="2"/>
                <w:sz w:val="21"/>
                <w:szCs w:val="21"/>
                <w:vertAlign w:val="superscript"/>
                <w:lang w:eastAsia="zh-CN"/>
              </w:rPr>
              <w:t>L</w:t>
            </w:r>
          </w:p>
        </w:tc>
        <w:tc>
          <w:tcPr>
            <w:tcW w:w="7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0.01</w:t>
            </w:r>
            <w:r>
              <w:rPr>
                <w:rFonts w:hint="eastAsia" w:hAnsi="Times New Roman" w:eastAsia="宋体"/>
                <w:spacing w:val="-20"/>
                <w:kern w:val="2"/>
                <w:sz w:val="21"/>
                <w:szCs w:val="21"/>
                <w:vertAlign w:val="superscript"/>
                <w:lang w:eastAsia="zh-CN"/>
              </w:rPr>
              <w:t>L</w:t>
            </w:r>
          </w:p>
        </w:tc>
        <w:tc>
          <w:tcPr>
            <w:tcW w:w="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0.01</w:t>
            </w:r>
            <w:r>
              <w:rPr>
                <w:rFonts w:hint="eastAsia" w:hAnsi="Times New Roman" w:eastAsia="宋体"/>
                <w:spacing w:val="-20"/>
                <w:kern w:val="2"/>
                <w:sz w:val="21"/>
                <w:szCs w:val="21"/>
                <w:vertAlign w:val="superscript"/>
                <w:lang w:eastAsia="zh-CN"/>
              </w:rPr>
              <w:t>L</w:t>
            </w:r>
          </w:p>
        </w:tc>
        <w:tc>
          <w:tcPr>
            <w:tcW w:w="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0.01</w:t>
            </w:r>
            <w:r>
              <w:rPr>
                <w:rFonts w:hint="eastAsia" w:hAnsi="Times New Roman" w:eastAsia="宋体"/>
                <w:spacing w:val="-20"/>
                <w:kern w:val="2"/>
                <w:sz w:val="21"/>
                <w:szCs w:val="21"/>
                <w:vertAlign w:val="superscript"/>
                <w:lang w:eastAsia="zh-CN"/>
              </w:rPr>
              <w:t>L</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0.01</w:t>
            </w:r>
            <w:r>
              <w:rPr>
                <w:rFonts w:hint="eastAsia" w:hAnsi="Times New Roman" w:eastAsia="宋体"/>
                <w:spacing w:val="-20"/>
                <w:kern w:val="2"/>
                <w:sz w:val="21"/>
                <w:szCs w:val="21"/>
                <w:vertAlign w:val="superscript"/>
                <w:lang w:eastAsia="zh-CN"/>
              </w:rPr>
              <w:t>L</w:t>
            </w:r>
          </w:p>
        </w:tc>
        <w:tc>
          <w:tcPr>
            <w:tcW w:w="80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0.01</w:t>
            </w:r>
            <w:r>
              <w:rPr>
                <w:rFonts w:hint="eastAsia" w:hAnsi="Times New Roman" w:eastAsia="宋体"/>
                <w:spacing w:val="-20"/>
                <w:kern w:val="2"/>
                <w:sz w:val="21"/>
                <w:szCs w:val="21"/>
                <w:vertAlign w:val="superscript"/>
                <w:lang w:eastAsia="zh-CN"/>
              </w:rPr>
              <w:t>L</w:t>
            </w:r>
          </w:p>
        </w:tc>
        <w:tc>
          <w:tcPr>
            <w:tcW w:w="77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0.01</w:t>
            </w:r>
            <w:r>
              <w:rPr>
                <w:rFonts w:hint="eastAsia" w:hAnsi="Times New Roman" w:eastAsia="宋体"/>
                <w:spacing w:val="-20"/>
                <w:kern w:val="2"/>
                <w:sz w:val="21"/>
                <w:szCs w:val="21"/>
                <w:vertAlign w:val="superscript"/>
                <w:lang w:eastAsia="zh-CN"/>
              </w:rPr>
              <w:t>L</w:t>
            </w:r>
          </w:p>
        </w:tc>
        <w:tc>
          <w:tcPr>
            <w:tcW w:w="650" w:type="dxa"/>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r>
              <w:rPr>
                <w:rFonts w:hint="eastAsia" w:hAnsi="Times New Roman" w:eastAsia="宋体"/>
                <w:color w:val="auto"/>
                <w:spacing w:val="-1"/>
                <w:kern w:val="2"/>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711" w:type="dxa"/>
            <w:vMerge w:val="continue"/>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p>
        </w:tc>
        <w:tc>
          <w:tcPr>
            <w:tcW w:w="1430" w:type="dxa"/>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bCs/>
                <w:kern w:val="2"/>
                <w:sz w:val="21"/>
                <w:szCs w:val="21"/>
                <w:lang w:eastAsia="zh-CN"/>
              </w:rPr>
            </w:pPr>
            <w:r>
              <w:rPr>
                <w:rFonts w:hint="eastAsia" w:hAnsi="Times New Roman" w:eastAsia="宋体" w:cs="Times New Roman"/>
                <w:kern w:val="2"/>
                <w:sz w:val="21"/>
                <w:szCs w:val="21"/>
              </w:rPr>
              <w:t>铁</w:t>
            </w:r>
          </w:p>
        </w:tc>
        <w:tc>
          <w:tcPr>
            <w:tcW w:w="75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0.02</w:t>
            </w:r>
            <w:r>
              <w:rPr>
                <w:rFonts w:hint="eastAsia" w:hAnsi="Times New Roman" w:eastAsia="宋体"/>
                <w:spacing w:val="-20"/>
                <w:kern w:val="2"/>
                <w:sz w:val="21"/>
                <w:szCs w:val="21"/>
                <w:vertAlign w:val="superscript"/>
                <w:lang w:eastAsia="zh-CN"/>
              </w:rPr>
              <w:t>L</w:t>
            </w:r>
          </w:p>
        </w:tc>
        <w:tc>
          <w:tcPr>
            <w:tcW w:w="74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0.02</w:t>
            </w:r>
            <w:r>
              <w:rPr>
                <w:rFonts w:hint="eastAsia" w:hAnsi="Times New Roman" w:eastAsia="宋体"/>
                <w:spacing w:val="-20"/>
                <w:kern w:val="2"/>
                <w:sz w:val="21"/>
                <w:szCs w:val="21"/>
                <w:vertAlign w:val="superscript"/>
                <w:lang w:eastAsia="zh-CN"/>
              </w:rPr>
              <w:t>L</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0.02</w:t>
            </w:r>
            <w:r>
              <w:rPr>
                <w:rFonts w:hint="eastAsia" w:hAnsi="Times New Roman" w:eastAsia="宋体"/>
                <w:spacing w:val="-20"/>
                <w:kern w:val="2"/>
                <w:sz w:val="21"/>
                <w:szCs w:val="21"/>
                <w:vertAlign w:val="superscript"/>
                <w:lang w:eastAsia="zh-CN"/>
              </w:rPr>
              <w:t>L</w:t>
            </w:r>
          </w:p>
        </w:tc>
        <w:tc>
          <w:tcPr>
            <w:tcW w:w="7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0.02</w:t>
            </w:r>
            <w:r>
              <w:rPr>
                <w:rFonts w:hint="eastAsia" w:hAnsi="Times New Roman" w:eastAsia="宋体"/>
                <w:spacing w:val="-20"/>
                <w:kern w:val="2"/>
                <w:sz w:val="21"/>
                <w:szCs w:val="21"/>
                <w:vertAlign w:val="superscript"/>
                <w:lang w:eastAsia="zh-CN"/>
              </w:rPr>
              <w:t>L</w:t>
            </w:r>
          </w:p>
        </w:tc>
        <w:tc>
          <w:tcPr>
            <w:tcW w:w="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0.02</w:t>
            </w:r>
            <w:r>
              <w:rPr>
                <w:rFonts w:hint="eastAsia" w:hAnsi="Times New Roman" w:eastAsia="宋体"/>
                <w:spacing w:val="-20"/>
                <w:kern w:val="2"/>
                <w:sz w:val="21"/>
                <w:szCs w:val="21"/>
                <w:vertAlign w:val="superscript"/>
                <w:lang w:eastAsia="zh-CN"/>
              </w:rPr>
              <w:t>L</w:t>
            </w:r>
          </w:p>
        </w:tc>
        <w:tc>
          <w:tcPr>
            <w:tcW w:w="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0.02</w:t>
            </w:r>
            <w:r>
              <w:rPr>
                <w:rFonts w:hint="eastAsia" w:hAnsi="Times New Roman" w:eastAsia="宋体"/>
                <w:spacing w:val="-20"/>
                <w:kern w:val="2"/>
                <w:sz w:val="21"/>
                <w:szCs w:val="21"/>
                <w:vertAlign w:val="superscript"/>
                <w:lang w:eastAsia="zh-CN"/>
              </w:rPr>
              <w:t>L</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0.02</w:t>
            </w:r>
            <w:r>
              <w:rPr>
                <w:rFonts w:hint="eastAsia" w:hAnsi="Times New Roman" w:eastAsia="宋体"/>
                <w:spacing w:val="-20"/>
                <w:kern w:val="2"/>
                <w:sz w:val="21"/>
                <w:szCs w:val="21"/>
                <w:vertAlign w:val="superscript"/>
                <w:lang w:eastAsia="zh-CN"/>
              </w:rPr>
              <w:t>L</w:t>
            </w:r>
          </w:p>
        </w:tc>
        <w:tc>
          <w:tcPr>
            <w:tcW w:w="80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0.02</w:t>
            </w:r>
            <w:r>
              <w:rPr>
                <w:rFonts w:hint="eastAsia" w:hAnsi="Times New Roman" w:eastAsia="宋体"/>
                <w:spacing w:val="-20"/>
                <w:kern w:val="2"/>
                <w:sz w:val="21"/>
                <w:szCs w:val="21"/>
                <w:vertAlign w:val="superscript"/>
                <w:lang w:eastAsia="zh-CN"/>
              </w:rPr>
              <w:t>L</w:t>
            </w:r>
          </w:p>
        </w:tc>
        <w:tc>
          <w:tcPr>
            <w:tcW w:w="77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0.02</w:t>
            </w:r>
            <w:r>
              <w:rPr>
                <w:rFonts w:hint="eastAsia" w:hAnsi="Times New Roman" w:eastAsia="宋体"/>
                <w:spacing w:val="-20"/>
                <w:kern w:val="2"/>
                <w:sz w:val="21"/>
                <w:szCs w:val="21"/>
                <w:vertAlign w:val="superscript"/>
                <w:lang w:eastAsia="zh-CN"/>
              </w:rPr>
              <w:t>L</w:t>
            </w:r>
          </w:p>
        </w:tc>
        <w:tc>
          <w:tcPr>
            <w:tcW w:w="650" w:type="dxa"/>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r>
              <w:rPr>
                <w:rFonts w:hint="eastAsia" w:hAnsi="Times New Roman" w:eastAsia="宋体"/>
                <w:color w:val="auto"/>
                <w:kern w:val="2"/>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711" w:type="dxa"/>
            <w:vMerge w:val="continue"/>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p>
        </w:tc>
        <w:tc>
          <w:tcPr>
            <w:tcW w:w="1430" w:type="dxa"/>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bCs/>
                <w:kern w:val="2"/>
                <w:sz w:val="21"/>
                <w:szCs w:val="21"/>
                <w:lang w:eastAsia="zh-CN"/>
              </w:rPr>
            </w:pPr>
            <w:r>
              <w:rPr>
                <w:rFonts w:hint="eastAsia" w:hAnsi="Times New Roman" w:eastAsia="宋体" w:cs="Times New Roman"/>
                <w:kern w:val="2"/>
                <w:sz w:val="21"/>
                <w:szCs w:val="21"/>
              </w:rPr>
              <w:t>锰</w:t>
            </w:r>
          </w:p>
        </w:tc>
        <w:tc>
          <w:tcPr>
            <w:tcW w:w="75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0.004</w:t>
            </w:r>
            <w:r>
              <w:rPr>
                <w:rFonts w:hint="eastAsia" w:hAnsi="Times New Roman" w:eastAsia="宋体"/>
                <w:spacing w:val="-20"/>
                <w:kern w:val="2"/>
                <w:sz w:val="21"/>
                <w:szCs w:val="21"/>
                <w:vertAlign w:val="superscript"/>
                <w:lang w:eastAsia="zh-CN"/>
              </w:rPr>
              <w:t>L</w:t>
            </w:r>
          </w:p>
        </w:tc>
        <w:tc>
          <w:tcPr>
            <w:tcW w:w="74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0.004</w:t>
            </w:r>
            <w:r>
              <w:rPr>
                <w:rFonts w:hint="eastAsia" w:hAnsi="Times New Roman" w:eastAsia="宋体"/>
                <w:spacing w:val="-20"/>
                <w:kern w:val="2"/>
                <w:sz w:val="21"/>
                <w:szCs w:val="21"/>
                <w:vertAlign w:val="superscript"/>
                <w:lang w:eastAsia="zh-CN"/>
              </w:rPr>
              <w:t>L</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0.004</w:t>
            </w:r>
            <w:r>
              <w:rPr>
                <w:rFonts w:hint="eastAsia" w:hAnsi="Times New Roman" w:eastAsia="宋体"/>
                <w:spacing w:val="-20"/>
                <w:kern w:val="2"/>
                <w:sz w:val="21"/>
                <w:szCs w:val="21"/>
                <w:vertAlign w:val="superscript"/>
                <w:lang w:eastAsia="zh-CN"/>
              </w:rPr>
              <w:t>L</w:t>
            </w:r>
          </w:p>
        </w:tc>
        <w:tc>
          <w:tcPr>
            <w:tcW w:w="7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0.004</w:t>
            </w:r>
            <w:r>
              <w:rPr>
                <w:rFonts w:hint="eastAsia" w:hAnsi="Times New Roman" w:eastAsia="宋体"/>
                <w:spacing w:val="-20"/>
                <w:kern w:val="2"/>
                <w:sz w:val="21"/>
                <w:szCs w:val="21"/>
                <w:vertAlign w:val="superscript"/>
                <w:lang w:eastAsia="zh-CN"/>
              </w:rPr>
              <w:t>L</w:t>
            </w:r>
          </w:p>
        </w:tc>
        <w:tc>
          <w:tcPr>
            <w:tcW w:w="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0.004</w:t>
            </w:r>
            <w:r>
              <w:rPr>
                <w:rFonts w:hint="eastAsia" w:hAnsi="Times New Roman" w:eastAsia="宋体"/>
                <w:spacing w:val="-20"/>
                <w:kern w:val="2"/>
                <w:sz w:val="21"/>
                <w:szCs w:val="21"/>
                <w:vertAlign w:val="superscript"/>
                <w:lang w:eastAsia="zh-CN"/>
              </w:rPr>
              <w:t>L</w:t>
            </w:r>
          </w:p>
        </w:tc>
        <w:tc>
          <w:tcPr>
            <w:tcW w:w="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0.004</w:t>
            </w:r>
            <w:r>
              <w:rPr>
                <w:rFonts w:hint="eastAsia" w:hAnsi="Times New Roman" w:eastAsia="宋体"/>
                <w:spacing w:val="-20"/>
                <w:kern w:val="2"/>
                <w:sz w:val="21"/>
                <w:szCs w:val="21"/>
                <w:vertAlign w:val="superscript"/>
                <w:lang w:eastAsia="zh-CN"/>
              </w:rPr>
              <w:t>L</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0.004</w:t>
            </w:r>
            <w:r>
              <w:rPr>
                <w:rFonts w:hint="eastAsia" w:hAnsi="Times New Roman" w:eastAsia="宋体"/>
                <w:spacing w:val="-20"/>
                <w:kern w:val="2"/>
                <w:sz w:val="21"/>
                <w:szCs w:val="21"/>
                <w:vertAlign w:val="superscript"/>
                <w:lang w:eastAsia="zh-CN"/>
              </w:rPr>
              <w:t>L</w:t>
            </w:r>
          </w:p>
        </w:tc>
        <w:tc>
          <w:tcPr>
            <w:tcW w:w="80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0.004</w:t>
            </w:r>
            <w:r>
              <w:rPr>
                <w:rFonts w:hint="eastAsia" w:hAnsi="Times New Roman" w:eastAsia="宋体"/>
                <w:spacing w:val="-20"/>
                <w:kern w:val="2"/>
                <w:sz w:val="21"/>
                <w:szCs w:val="21"/>
                <w:vertAlign w:val="superscript"/>
                <w:lang w:eastAsia="zh-CN"/>
              </w:rPr>
              <w:t>L</w:t>
            </w:r>
          </w:p>
        </w:tc>
        <w:tc>
          <w:tcPr>
            <w:tcW w:w="77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0.004</w:t>
            </w:r>
            <w:r>
              <w:rPr>
                <w:rFonts w:hint="eastAsia" w:hAnsi="Times New Roman" w:eastAsia="宋体"/>
                <w:spacing w:val="-20"/>
                <w:kern w:val="2"/>
                <w:sz w:val="21"/>
                <w:szCs w:val="21"/>
                <w:vertAlign w:val="superscript"/>
                <w:lang w:eastAsia="zh-CN"/>
              </w:rPr>
              <w:t>L</w:t>
            </w:r>
          </w:p>
        </w:tc>
        <w:tc>
          <w:tcPr>
            <w:tcW w:w="650" w:type="dxa"/>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711" w:type="dxa"/>
            <w:vMerge w:val="continue"/>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p>
        </w:tc>
        <w:tc>
          <w:tcPr>
            <w:tcW w:w="1430" w:type="dxa"/>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bCs/>
                <w:kern w:val="2"/>
                <w:sz w:val="21"/>
                <w:szCs w:val="21"/>
                <w:lang w:eastAsia="zh-CN"/>
              </w:rPr>
            </w:pPr>
            <w:r>
              <w:rPr>
                <w:rFonts w:hint="eastAsia" w:hAnsi="Times New Roman" w:eastAsia="宋体" w:cs="Times New Roman"/>
                <w:kern w:val="2"/>
                <w:sz w:val="21"/>
                <w:szCs w:val="21"/>
                <w:lang w:bidi="ar"/>
              </w:rPr>
              <w:t>氟化物</w:t>
            </w:r>
          </w:p>
        </w:tc>
        <w:tc>
          <w:tcPr>
            <w:tcW w:w="75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0.012</w:t>
            </w:r>
          </w:p>
        </w:tc>
        <w:tc>
          <w:tcPr>
            <w:tcW w:w="74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0.020</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0.022</w:t>
            </w:r>
          </w:p>
        </w:tc>
        <w:tc>
          <w:tcPr>
            <w:tcW w:w="7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0.060</w:t>
            </w:r>
          </w:p>
        </w:tc>
        <w:tc>
          <w:tcPr>
            <w:tcW w:w="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0.052</w:t>
            </w:r>
          </w:p>
        </w:tc>
        <w:tc>
          <w:tcPr>
            <w:tcW w:w="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0.050</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0.040</w:t>
            </w:r>
          </w:p>
        </w:tc>
        <w:tc>
          <w:tcPr>
            <w:tcW w:w="80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0.035</w:t>
            </w:r>
          </w:p>
        </w:tc>
        <w:tc>
          <w:tcPr>
            <w:tcW w:w="77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0.028</w:t>
            </w:r>
          </w:p>
        </w:tc>
        <w:tc>
          <w:tcPr>
            <w:tcW w:w="650" w:type="dxa"/>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711" w:type="dxa"/>
            <w:vMerge w:val="continue"/>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p>
        </w:tc>
        <w:tc>
          <w:tcPr>
            <w:tcW w:w="1430" w:type="dxa"/>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bCs/>
                <w:kern w:val="2"/>
                <w:sz w:val="21"/>
                <w:szCs w:val="21"/>
                <w:lang w:eastAsia="zh-CN"/>
              </w:rPr>
            </w:pPr>
            <w:r>
              <w:rPr>
                <w:rFonts w:hint="eastAsia" w:hAnsi="Times New Roman" w:eastAsia="宋体" w:cs="Times New Roman"/>
                <w:kern w:val="2"/>
                <w:sz w:val="21"/>
                <w:szCs w:val="21"/>
                <w:lang w:bidi="ar"/>
              </w:rPr>
              <w:t>硫化物</w:t>
            </w:r>
          </w:p>
        </w:tc>
        <w:tc>
          <w:tcPr>
            <w:tcW w:w="75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0.005</w:t>
            </w:r>
            <w:r>
              <w:rPr>
                <w:rFonts w:hint="eastAsia" w:hAnsi="Times New Roman" w:eastAsia="宋体"/>
                <w:spacing w:val="-20"/>
                <w:kern w:val="2"/>
                <w:sz w:val="21"/>
                <w:szCs w:val="21"/>
                <w:vertAlign w:val="superscript"/>
                <w:lang w:eastAsia="zh-CN"/>
              </w:rPr>
              <w:t>L</w:t>
            </w:r>
          </w:p>
        </w:tc>
        <w:tc>
          <w:tcPr>
            <w:tcW w:w="74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0.005</w:t>
            </w:r>
            <w:r>
              <w:rPr>
                <w:rFonts w:hint="eastAsia" w:hAnsi="Times New Roman" w:eastAsia="宋体"/>
                <w:spacing w:val="-20"/>
                <w:kern w:val="2"/>
                <w:sz w:val="21"/>
                <w:szCs w:val="21"/>
                <w:vertAlign w:val="superscript"/>
                <w:lang w:eastAsia="zh-CN"/>
              </w:rPr>
              <w:t>L</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0.005</w:t>
            </w:r>
            <w:r>
              <w:rPr>
                <w:rFonts w:hint="eastAsia" w:hAnsi="Times New Roman" w:eastAsia="宋体"/>
                <w:spacing w:val="-20"/>
                <w:kern w:val="2"/>
                <w:sz w:val="21"/>
                <w:szCs w:val="21"/>
                <w:vertAlign w:val="superscript"/>
                <w:lang w:eastAsia="zh-CN"/>
              </w:rPr>
              <w:t>L</w:t>
            </w:r>
          </w:p>
        </w:tc>
        <w:tc>
          <w:tcPr>
            <w:tcW w:w="7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0.005</w:t>
            </w:r>
            <w:r>
              <w:rPr>
                <w:rFonts w:hint="eastAsia" w:hAnsi="Times New Roman" w:eastAsia="宋体"/>
                <w:spacing w:val="-20"/>
                <w:kern w:val="2"/>
                <w:sz w:val="21"/>
                <w:szCs w:val="21"/>
                <w:vertAlign w:val="superscript"/>
                <w:lang w:eastAsia="zh-CN"/>
              </w:rPr>
              <w:t>L</w:t>
            </w:r>
          </w:p>
        </w:tc>
        <w:tc>
          <w:tcPr>
            <w:tcW w:w="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0.005</w:t>
            </w:r>
            <w:r>
              <w:rPr>
                <w:rFonts w:hint="eastAsia" w:hAnsi="Times New Roman" w:eastAsia="宋体"/>
                <w:spacing w:val="-20"/>
                <w:kern w:val="2"/>
                <w:sz w:val="21"/>
                <w:szCs w:val="21"/>
                <w:vertAlign w:val="superscript"/>
                <w:lang w:eastAsia="zh-CN"/>
              </w:rPr>
              <w:t>L</w:t>
            </w:r>
          </w:p>
        </w:tc>
        <w:tc>
          <w:tcPr>
            <w:tcW w:w="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0.005</w:t>
            </w:r>
            <w:r>
              <w:rPr>
                <w:rFonts w:hint="eastAsia" w:hAnsi="Times New Roman" w:eastAsia="宋体"/>
                <w:spacing w:val="-20"/>
                <w:kern w:val="2"/>
                <w:sz w:val="21"/>
                <w:szCs w:val="21"/>
                <w:vertAlign w:val="superscript"/>
                <w:lang w:eastAsia="zh-CN"/>
              </w:rPr>
              <w:t>L</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0.005</w:t>
            </w:r>
            <w:r>
              <w:rPr>
                <w:rFonts w:hint="eastAsia" w:hAnsi="Times New Roman" w:eastAsia="宋体"/>
                <w:spacing w:val="-20"/>
                <w:kern w:val="2"/>
                <w:sz w:val="21"/>
                <w:szCs w:val="21"/>
                <w:vertAlign w:val="superscript"/>
                <w:lang w:eastAsia="zh-CN"/>
              </w:rPr>
              <w:t>L</w:t>
            </w:r>
          </w:p>
        </w:tc>
        <w:tc>
          <w:tcPr>
            <w:tcW w:w="80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0.005</w:t>
            </w:r>
            <w:r>
              <w:rPr>
                <w:rFonts w:hint="eastAsia" w:hAnsi="Times New Roman" w:eastAsia="宋体"/>
                <w:spacing w:val="-20"/>
                <w:kern w:val="2"/>
                <w:sz w:val="21"/>
                <w:szCs w:val="21"/>
                <w:vertAlign w:val="superscript"/>
                <w:lang w:eastAsia="zh-CN"/>
              </w:rPr>
              <w:t>L</w:t>
            </w:r>
          </w:p>
        </w:tc>
        <w:tc>
          <w:tcPr>
            <w:tcW w:w="77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0.005</w:t>
            </w:r>
            <w:r>
              <w:rPr>
                <w:rFonts w:hint="eastAsia" w:hAnsi="Times New Roman" w:eastAsia="宋体"/>
                <w:spacing w:val="-20"/>
                <w:kern w:val="2"/>
                <w:sz w:val="21"/>
                <w:szCs w:val="21"/>
                <w:vertAlign w:val="superscript"/>
                <w:lang w:eastAsia="zh-CN"/>
              </w:rPr>
              <w:t>L</w:t>
            </w:r>
          </w:p>
        </w:tc>
        <w:tc>
          <w:tcPr>
            <w:tcW w:w="650" w:type="dxa"/>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711" w:type="dxa"/>
            <w:vMerge w:val="continue"/>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p>
        </w:tc>
        <w:tc>
          <w:tcPr>
            <w:tcW w:w="1430" w:type="dxa"/>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bCs/>
                <w:kern w:val="2"/>
                <w:sz w:val="21"/>
                <w:szCs w:val="21"/>
                <w:lang w:eastAsia="zh-CN"/>
              </w:rPr>
            </w:pPr>
            <w:r>
              <w:rPr>
                <w:rFonts w:hint="eastAsia" w:hAnsi="Times New Roman" w:eastAsia="宋体" w:cs="Times New Roman"/>
                <w:kern w:val="2"/>
                <w:sz w:val="21"/>
                <w:szCs w:val="21"/>
                <w:lang w:bidi="ar"/>
              </w:rPr>
              <w:t>汞</w:t>
            </w:r>
          </w:p>
        </w:tc>
        <w:tc>
          <w:tcPr>
            <w:tcW w:w="75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0.0000015</w:t>
            </w:r>
            <w:r>
              <w:rPr>
                <w:rFonts w:hint="eastAsia" w:hAnsi="Times New Roman" w:eastAsia="宋体"/>
                <w:spacing w:val="-20"/>
                <w:kern w:val="2"/>
                <w:sz w:val="21"/>
                <w:szCs w:val="21"/>
                <w:vertAlign w:val="superscript"/>
                <w:lang w:eastAsia="zh-CN"/>
              </w:rPr>
              <w:t>L</w:t>
            </w:r>
          </w:p>
        </w:tc>
        <w:tc>
          <w:tcPr>
            <w:tcW w:w="74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0.0000015</w:t>
            </w:r>
            <w:r>
              <w:rPr>
                <w:rFonts w:hint="eastAsia" w:hAnsi="Times New Roman" w:eastAsia="宋体"/>
                <w:spacing w:val="-20"/>
                <w:kern w:val="2"/>
                <w:sz w:val="21"/>
                <w:szCs w:val="21"/>
                <w:vertAlign w:val="superscript"/>
                <w:lang w:eastAsia="zh-CN"/>
              </w:rPr>
              <w:t>L</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0.0000015</w:t>
            </w:r>
            <w:r>
              <w:rPr>
                <w:rFonts w:hint="eastAsia" w:hAnsi="Times New Roman" w:eastAsia="宋体"/>
                <w:spacing w:val="-20"/>
                <w:kern w:val="2"/>
                <w:sz w:val="21"/>
                <w:szCs w:val="21"/>
                <w:vertAlign w:val="superscript"/>
                <w:lang w:eastAsia="zh-CN"/>
              </w:rPr>
              <w:t>L</w:t>
            </w:r>
          </w:p>
        </w:tc>
        <w:tc>
          <w:tcPr>
            <w:tcW w:w="7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0.0000015</w:t>
            </w:r>
            <w:r>
              <w:rPr>
                <w:rFonts w:hint="eastAsia" w:hAnsi="Times New Roman" w:eastAsia="宋体"/>
                <w:spacing w:val="-20"/>
                <w:kern w:val="2"/>
                <w:sz w:val="21"/>
                <w:szCs w:val="21"/>
                <w:vertAlign w:val="superscript"/>
                <w:lang w:eastAsia="zh-CN"/>
              </w:rPr>
              <w:t>L</w:t>
            </w:r>
          </w:p>
        </w:tc>
        <w:tc>
          <w:tcPr>
            <w:tcW w:w="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0.0000015</w:t>
            </w:r>
            <w:r>
              <w:rPr>
                <w:rFonts w:hint="eastAsia" w:hAnsi="Times New Roman" w:eastAsia="宋体"/>
                <w:spacing w:val="-20"/>
                <w:kern w:val="2"/>
                <w:sz w:val="21"/>
                <w:szCs w:val="21"/>
                <w:vertAlign w:val="superscript"/>
                <w:lang w:eastAsia="zh-CN"/>
              </w:rPr>
              <w:t>L</w:t>
            </w:r>
          </w:p>
        </w:tc>
        <w:tc>
          <w:tcPr>
            <w:tcW w:w="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0.0000015</w:t>
            </w:r>
            <w:r>
              <w:rPr>
                <w:rFonts w:hint="eastAsia" w:hAnsi="Times New Roman" w:eastAsia="宋体"/>
                <w:spacing w:val="-20"/>
                <w:kern w:val="2"/>
                <w:sz w:val="21"/>
                <w:szCs w:val="21"/>
                <w:vertAlign w:val="superscript"/>
                <w:lang w:eastAsia="zh-CN"/>
              </w:rPr>
              <w:t>L</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0.0000015</w:t>
            </w:r>
            <w:r>
              <w:rPr>
                <w:rFonts w:hint="eastAsia" w:hAnsi="Times New Roman" w:eastAsia="宋体"/>
                <w:spacing w:val="-20"/>
                <w:kern w:val="2"/>
                <w:sz w:val="21"/>
                <w:szCs w:val="21"/>
                <w:vertAlign w:val="superscript"/>
                <w:lang w:eastAsia="zh-CN"/>
              </w:rPr>
              <w:t>L</w:t>
            </w:r>
          </w:p>
        </w:tc>
        <w:tc>
          <w:tcPr>
            <w:tcW w:w="80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0.0000015</w:t>
            </w:r>
            <w:r>
              <w:rPr>
                <w:rFonts w:hint="eastAsia" w:hAnsi="Times New Roman" w:eastAsia="宋体"/>
                <w:spacing w:val="-20"/>
                <w:kern w:val="2"/>
                <w:sz w:val="21"/>
                <w:szCs w:val="21"/>
                <w:vertAlign w:val="superscript"/>
                <w:lang w:eastAsia="zh-CN"/>
              </w:rPr>
              <w:t>L</w:t>
            </w:r>
          </w:p>
        </w:tc>
        <w:tc>
          <w:tcPr>
            <w:tcW w:w="77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0.0000015</w:t>
            </w:r>
            <w:r>
              <w:rPr>
                <w:rFonts w:hint="eastAsia" w:hAnsi="Times New Roman" w:eastAsia="宋体"/>
                <w:spacing w:val="-20"/>
                <w:kern w:val="2"/>
                <w:sz w:val="21"/>
                <w:szCs w:val="21"/>
                <w:vertAlign w:val="superscript"/>
                <w:lang w:eastAsia="zh-CN"/>
              </w:rPr>
              <w:t>L</w:t>
            </w:r>
          </w:p>
        </w:tc>
        <w:tc>
          <w:tcPr>
            <w:tcW w:w="650" w:type="dxa"/>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0.0001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711" w:type="dxa"/>
            <w:vMerge w:val="continue"/>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p>
        </w:tc>
        <w:tc>
          <w:tcPr>
            <w:tcW w:w="1430" w:type="dxa"/>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bCs/>
                <w:kern w:val="2"/>
                <w:sz w:val="21"/>
                <w:szCs w:val="21"/>
                <w:lang w:eastAsia="zh-CN"/>
              </w:rPr>
            </w:pPr>
            <w:r>
              <w:rPr>
                <w:rFonts w:hint="eastAsia" w:hAnsi="Times New Roman" w:eastAsia="宋体" w:cs="Times New Roman"/>
                <w:kern w:val="2"/>
                <w:sz w:val="21"/>
                <w:szCs w:val="21"/>
                <w:lang w:bidi="ar"/>
              </w:rPr>
              <w:t>镉</w:t>
            </w:r>
          </w:p>
        </w:tc>
        <w:tc>
          <w:tcPr>
            <w:tcW w:w="75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0.0010</w:t>
            </w:r>
          </w:p>
        </w:tc>
        <w:tc>
          <w:tcPr>
            <w:tcW w:w="74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0.0010</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0.0021</w:t>
            </w:r>
          </w:p>
        </w:tc>
        <w:tc>
          <w:tcPr>
            <w:tcW w:w="7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0.0001</w:t>
            </w:r>
            <w:r>
              <w:rPr>
                <w:rFonts w:hint="eastAsia" w:hAnsi="Times New Roman" w:eastAsia="宋体"/>
                <w:spacing w:val="-20"/>
                <w:kern w:val="2"/>
                <w:sz w:val="21"/>
                <w:szCs w:val="21"/>
                <w:vertAlign w:val="superscript"/>
                <w:lang w:eastAsia="zh-CN"/>
              </w:rPr>
              <w:t>L</w:t>
            </w:r>
          </w:p>
        </w:tc>
        <w:tc>
          <w:tcPr>
            <w:tcW w:w="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0.0001</w:t>
            </w:r>
            <w:r>
              <w:rPr>
                <w:rFonts w:hint="eastAsia" w:hAnsi="Times New Roman" w:eastAsia="宋体"/>
                <w:spacing w:val="-20"/>
                <w:kern w:val="2"/>
                <w:sz w:val="21"/>
                <w:szCs w:val="21"/>
                <w:vertAlign w:val="superscript"/>
                <w:lang w:eastAsia="zh-CN"/>
              </w:rPr>
              <w:t>L</w:t>
            </w:r>
          </w:p>
        </w:tc>
        <w:tc>
          <w:tcPr>
            <w:tcW w:w="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0.0029</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0.0016</w:t>
            </w:r>
          </w:p>
        </w:tc>
        <w:tc>
          <w:tcPr>
            <w:tcW w:w="80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0.0015</w:t>
            </w:r>
          </w:p>
        </w:tc>
        <w:tc>
          <w:tcPr>
            <w:tcW w:w="77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0.0031</w:t>
            </w:r>
          </w:p>
        </w:tc>
        <w:tc>
          <w:tcPr>
            <w:tcW w:w="650" w:type="dxa"/>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711" w:type="dxa"/>
            <w:vMerge w:val="continue"/>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p>
        </w:tc>
        <w:tc>
          <w:tcPr>
            <w:tcW w:w="1430" w:type="dxa"/>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bCs/>
                <w:kern w:val="2"/>
                <w:sz w:val="21"/>
                <w:szCs w:val="21"/>
                <w:lang w:eastAsia="zh-CN"/>
              </w:rPr>
            </w:pPr>
            <w:r>
              <w:rPr>
                <w:rFonts w:hint="eastAsia" w:hAnsi="Times New Roman" w:eastAsia="宋体" w:cs="Times New Roman"/>
                <w:kern w:val="2"/>
                <w:sz w:val="21"/>
                <w:szCs w:val="21"/>
                <w:lang w:bidi="ar"/>
              </w:rPr>
              <w:t>铬</w:t>
            </w:r>
          </w:p>
        </w:tc>
        <w:tc>
          <w:tcPr>
            <w:tcW w:w="75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0.03</w:t>
            </w:r>
            <w:r>
              <w:rPr>
                <w:rFonts w:hint="eastAsia" w:hAnsi="Times New Roman" w:eastAsia="宋体"/>
                <w:spacing w:val="-20"/>
                <w:kern w:val="2"/>
                <w:sz w:val="21"/>
                <w:szCs w:val="21"/>
                <w:vertAlign w:val="superscript"/>
                <w:lang w:eastAsia="zh-CN"/>
              </w:rPr>
              <w:t>L</w:t>
            </w:r>
          </w:p>
        </w:tc>
        <w:tc>
          <w:tcPr>
            <w:tcW w:w="74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0.03</w:t>
            </w:r>
            <w:r>
              <w:rPr>
                <w:rFonts w:hint="eastAsia" w:hAnsi="Times New Roman" w:eastAsia="宋体"/>
                <w:spacing w:val="-20"/>
                <w:kern w:val="2"/>
                <w:sz w:val="21"/>
                <w:szCs w:val="21"/>
                <w:vertAlign w:val="superscript"/>
                <w:lang w:eastAsia="zh-CN"/>
              </w:rPr>
              <w:t>L</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0.03</w:t>
            </w:r>
            <w:r>
              <w:rPr>
                <w:rFonts w:hint="eastAsia" w:hAnsi="Times New Roman" w:eastAsia="宋体"/>
                <w:spacing w:val="-20"/>
                <w:kern w:val="2"/>
                <w:sz w:val="21"/>
                <w:szCs w:val="21"/>
                <w:vertAlign w:val="superscript"/>
                <w:lang w:eastAsia="zh-CN"/>
              </w:rPr>
              <w:t>L</w:t>
            </w:r>
          </w:p>
        </w:tc>
        <w:tc>
          <w:tcPr>
            <w:tcW w:w="7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0.03</w:t>
            </w:r>
            <w:r>
              <w:rPr>
                <w:rFonts w:hint="eastAsia" w:hAnsi="Times New Roman" w:eastAsia="宋体"/>
                <w:spacing w:val="-20"/>
                <w:kern w:val="2"/>
                <w:sz w:val="21"/>
                <w:szCs w:val="21"/>
                <w:vertAlign w:val="superscript"/>
                <w:lang w:eastAsia="zh-CN"/>
              </w:rPr>
              <w:t>L</w:t>
            </w:r>
          </w:p>
        </w:tc>
        <w:tc>
          <w:tcPr>
            <w:tcW w:w="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0.03</w:t>
            </w:r>
            <w:r>
              <w:rPr>
                <w:rFonts w:hint="eastAsia" w:hAnsi="Times New Roman" w:eastAsia="宋体"/>
                <w:spacing w:val="-20"/>
                <w:kern w:val="2"/>
                <w:sz w:val="21"/>
                <w:szCs w:val="21"/>
                <w:vertAlign w:val="superscript"/>
                <w:lang w:eastAsia="zh-CN"/>
              </w:rPr>
              <w:t>L</w:t>
            </w:r>
          </w:p>
        </w:tc>
        <w:tc>
          <w:tcPr>
            <w:tcW w:w="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0.03</w:t>
            </w:r>
            <w:r>
              <w:rPr>
                <w:rFonts w:hint="eastAsia" w:hAnsi="Times New Roman" w:eastAsia="宋体"/>
                <w:spacing w:val="-20"/>
                <w:kern w:val="2"/>
                <w:sz w:val="21"/>
                <w:szCs w:val="21"/>
                <w:vertAlign w:val="superscript"/>
                <w:lang w:eastAsia="zh-CN"/>
              </w:rPr>
              <w:t>L</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0.03</w:t>
            </w:r>
            <w:r>
              <w:rPr>
                <w:rFonts w:hint="eastAsia" w:hAnsi="Times New Roman" w:eastAsia="宋体"/>
                <w:spacing w:val="-20"/>
                <w:kern w:val="2"/>
                <w:sz w:val="21"/>
                <w:szCs w:val="21"/>
                <w:vertAlign w:val="superscript"/>
                <w:lang w:eastAsia="zh-CN"/>
              </w:rPr>
              <w:t>L</w:t>
            </w:r>
          </w:p>
        </w:tc>
        <w:tc>
          <w:tcPr>
            <w:tcW w:w="80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0.03</w:t>
            </w:r>
            <w:r>
              <w:rPr>
                <w:rFonts w:hint="eastAsia" w:hAnsi="Times New Roman" w:eastAsia="宋体"/>
                <w:spacing w:val="-20"/>
                <w:kern w:val="2"/>
                <w:sz w:val="21"/>
                <w:szCs w:val="21"/>
                <w:vertAlign w:val="superscript"/>
                <w:lang w:eastAsia="zh-CN"/>
              </w:rPr>
              <w:t>L</w:t>
            </w:r>
          </w:p>
        </w:tc>
        <w:tc>
          <w:tcPr>
            <w:tcW w:w="77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0.03</w:t>
            </w:r>
            <w:r>
              <w:rPr>
                <w:rFonts w:hint="eastAsia" w:hAnsi="Times New Roman" w:eastAsia="宋体"/>
                <w:spacing w:val="-20"/>
                <w:kern w:val="2"/>
                <w:sz w:val="21"/>
                <w:szCs w:val="21"/>
                <w:vertAlign w:val="superscript"/>
                <w:lang w:eastAsia="zh-CN"/>
              </w:rPr>
              <w:t>L</w:t>
            </w:r>
          </w:p>
        </w:tc>
        <w:tc>
          <w:tcPr>
            <w:tcW w:w="650" w:type="dxa"/>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711" w:type="dxa"/>
            <w:vMerge w:val="continue"/>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p>
        </w:tc>
        <w:tc>
          <w:tcPr>
            <w:tcW w:w="1430" w:type="dxa"/>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bCs/>
                <w:kern w:val="2"/>
                <w:sz w:val="21"/>
                <w:szCs w:val="21"/>
                <w:lang w:eastAsia="zh-CN"/>
              </w:rPr>
            </w:pPr>
            <w:r>
              <w:rPr>
                <w:rFonts w:hint="eastAsia" w:hAnsi="Times New Roman" w:eastAsia="宋体" w:cs="Times New Roman"/>
                <w:kern w:val="2"/>
                <w:sz w:val="21"/>
                <w:szCs w:val="21"/>
                <w:lang w:bidi="ar"/>
              </w:rPr>
              <w:t>六价铬</w:t>
            </w:r>
          </w:p>
        </w:tc>
        <w:tc>
          <w:tcPr>
            <w:tcW w:w="75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0.004</w:t>
            </w:r>
            <w:r>
              <w:rPr>
                <w:rFonts w:hint="eastAsia" w:hAnsi="Times New Roman" w:eastAsia="宋体"/>
                <w:spacing w:val="-20"/>
                <w:kern w:val="2"/>
                <w:sz w:val="21"/>
                <w:szCs w:val="21"/>
                <w:vertAlign w:val="superscript"/>
                <w:lang w:eastAsia="zh-CN"/>
              </w:rPr>
              <w:t>L</w:t>
            </w:r>
          </w:p>
        </w:tc>
        <w:tc>
          <w:tcPr>
            <w:tcW w:w="74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0.004</w:t>
            </w:r>
            <w:r>
              <w:rPr>
                <w:rFonts w:hint="eastAsia" w:hAnsi="Times New Roman" w:eastAsia="宋体"/>
                <w:spacing w:val="-20"/>
                <w:kern w:val="2"/>
                <w:sz w:val="21"/>
                <w:szCs w:val="21"/>
                <w:vertAlign w:val="superscript"/>
                <w:lang w:eastAsia="zh-CN"/>
              </w:rPr>
              <w:t>L</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0.004</w:t>
            </w:r>
            <w:r>
              <w:rPr>
                <w:rFonts w:hint="eastAsia" w:hAnsi="Times New Roman" w:eastAsia="宋体"/>
                <w:spacing w:val="-20"/>
                <w:kern w:val="2"/>
                <w:sz w:val="21"/>
                <w:szCs w:val="21"/>
                <w:vertAlign w:val="superscript"/>
                <w:lang w:eastAsia="zh-CN"/>
              </w:rPr>
              <w:t>L</w:t>
            </w:r>
          </w:p>
        </w:tc>
        <w:tc>
          <w:tcPr>
            <w:tcW w:w="7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0.004</w:t>
            </w:r>
            <w:r>
              <w:rPr>
                <w:rFonts w:hint="eastAsia" w:hAnsi="Times New Roman" w:eastAsia="宋体"/>
                <w:spacing w:val="-20"/>
                <w:kern w:val="2"/>
                <w:sz w:val="21"/>
                <w:szCs w:val="21"/>
                <w:vertAlign w:val="superscript"/>
                <w:lang w:eastAsia="zh-CN"/>
              </w:rPr>
              <w:t>L</w:t>
            </w:r>
          </w:p>
        </w:tc>
        <w:tc>
          <w:tcPr>
            <w:tcW w:w="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0.004</w:t>
            </w:r>
            <w:r>
              <w:rPr>
                <w:rFonts w:hint="eastAsia" w:hAnsi="Times New Roman" w:eastAsia="宋体"/>
                <w:spacing w:val="-20"/>
                <w:kern w:val="2"/>
                <w:sz w:val="21"/>
                <w:szCs w:val="21"/>
                <w:vertAlign w:val="superscript"/>
                <w:lang w:eastAsia="zh-CN"/>
              </w:rPr>
              <w:t>L</w:t>
            </w:r>
          </w:p>
        </w:tc>
        <w:tc>
          <w:tcPr>
            <w:tcW w:w="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0.004</w:t>
            </w:r>
            <w:r>
              <w:rPr>
                <w:rFonts w:hint="eastAsia" w:hAnsi="Times New Roman" w:eastAsia="宋体"/>
                <w:spacing w:val="-20"/>
                <w:kern w:val="2"/>
                <w:sz w:val="21"/>
                <w:szCs w:val="21"/>
                <w:vertAlign w:val="superscript"/>
                <w:lang w:eastAsia="zh-CN"/>
              </w:rPr>
              <w:t>L</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0.004</w:t>
            </w:r>
            <w:r>
              <w:rPr>
                <w:rFonts w:hint="eastAsia" w:hAnsi="Times New Roman" w:eastAsia="宋体"/>
                <w:spacing w:val="-20"/>
                <w:kern w:val="2"/>
                <w:sz w:val="21"/>
                <w:szCs w:val="21"/>
                <w:vertAlign w:val="superscript"/>
                <w:lang w:eastAsia="zh-CN"/>
              </w:rPr>
              <w:t>L</w:t>
            </w:r>
          </w:p>
        </w:tc>
        <w:tc>
          <w:tcPr>
            <w:tcW w:w="80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0.004</w:t>
            </w:r>
            <w:r>
              <w:rPr>
                <w:rFonts w:hint="eastAsia" w:hAnsi="Times New Roman" w:eastAsia="宋体"/>
                <w:spacing w:val="-20"/>
                <w:kern w:val="2"/>
                <w:sz w:val="21"/>
                <w:szCs w:val="21"/>
                <w:vertAlign w:val="superscript"/>
                <w:lang w:eastAsia="zh-CN"/>
              </w:rPr>
              <w:t>L</w:t>
            </w:r>
          </w:p>
        </w:tc>
        <w:tc>
          <w:tcPr>
            <w:tcW w:w="77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0.004</w:t>
            </w:r>
            <w:r>
              <w:rPr>
                <w:rFonts w:hint="eastAsia" w:hAnsi="Times New Roman" w:eastAsia="宋体"/>
                <w:spacing w:val="-20"/>
                <w:kern w:val="2"/>
                <w:sz w:val="21"/>
                <w:szCs w:val="21"/>
                <w:vertAlign w:val="superscript"/>
                <w:lang w:eastAsia="zh-CN"/>
              </w:rPr>
              <w:t>L</w:t>
            </w:r>
          </w:p>
        </w:tc>
        <w:tc>
          <w:tcPr>
            <w:tcW w:w="650" w:type="dxa"/>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711" w:type="dxa"/>
            <w:vMerge w:val="continue"/>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p>
        </w:tc>
        <w:tc>
          <w:tcPr>
            <w:tcW w:w="1430" w:type="dxa"/>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bCs/>
                <w:kern w:val="2"/>
                <w:sz w:val="21"/>
                <w:szCs w:val="21"/>
                <w:lang w:eastAsia="zh-CN"/>
              </w:rPr>
            </w:pPr>
            <w:r>
              <w:rPr>
                <w:rFonts w:hint="eastAsia" w:hAnsi="Times New Roman" w:eastAsia="宋体" w:cs="Times New Roman"/>
                <w:kern w:val="2"/>
                <w:sz w:val="21"/>
                <w:szCs w:val="21"/>
                <w:lang w:bidi="ar"/>
              </w:rPr>
              <w:t>铅</w:t>
            </w:r>
          </w:p>
        </w:tc>
        <w:tc>
          <w:tcPr>
            <w:tcW w:w="75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0.001</w:t>
            </w:r>
          </w:p>
        </w:tc>
        <w:tc>
          <w:tcPr>
            <w:tcW w:w="74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0.002</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0.003</w:t>
            </w:r>
          </w:p>
        </w:tc>
        <w:tc>
          <w:tcPr>
            <w:tcW w:w="7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0.002</w:t>
            </w:r>
          </w:p>
        </w:tc>
        <w:tc>
          <w:tcPr>
            <w:tcW w:w="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0.003</w:t>
            </w:r>
          </w:p>
        </w:tc>
        <w:tc>
          <w:tcPr>
            <w:tcW w:w="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0.005</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0.003</w:t>
            </w:r>
          </w:p>
        </w:tc>
        <w:tc>
          <w:tcPr>
            <w:tcW w:w="80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0.005</w:t>
            </w:r>
          </w:p>
        </w:tc>
        <w:tc>
          <w:tcPr>
            <w:tcW w:w="77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0.001</w:t>
            </w:r>
          </w:p>
        </w:tc>
        <w:tc>
          <w:tcPr>
            <w:tcW w:w="650" w:type="dxa"/>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711" w:type="dxa"/>
            <w:vMerge w:val="continue"/>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p>
        </w:tc>
        <w:tc>
          <w:tcPr>
            <w:tcW w:w="1430" w:type="dxa"/>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bCs/>
                <w:kern w:val="2"/>
                <w:sz w:val="21"/>
                <w:szCs w:val="21"/>
                <w:lang w:eastAsia="zh-CN"/>
              </w:rPr>
            </w:pPr>
            <w:r>
              <w:rPr>
                <w:rFonts w:hint="eastAsia" w:hAnsi="Times New Roman" w:eastAsia="宋体" w:cs="Times New Roman"/>
                <w:kern w:val="2"/>
                <w:sz w:val="21"/>
                <w:szCs w:val="21"/>
                <w:lang w:bidi="ar"/>
              </w:rPr>
              <w:t>砷</w:t>
            </w:r>
          </w:p>
        </w:tc>
        <w:tc>
          <w:tcPr>
            <w:tcW w:w="75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0.0003</w:t>
            </w:r>
            <w:r>
              <w:rPr>
                <w:rFonts w:hint="eastAsia" w:hAnsi="Times New Roman" w:eastAsia="宋体"/>
                <w:spacing w:val="-20"/>
                <w:kern w:val="2"/>
                <w:sz w:val="21"/>
                <w:szCs w:val="21"/>
                <w:vertAlign w:val="superscript"/>
                <w:lang w:eastAsia="zh-CN"/>
              </w:rPr>
              <w:t>L</w:t>
            </w:r>
          </w:p>
        </w:tc>
        <w:tc>
          <w:tcPr>
            <w:tcW w:w="74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0.0003</w:t>
            </w:r>
            <w:r>
              <w:rPr>
                <w:rFonts w:hint="eastAsia" w:hAnsi="Times New Roman" w:eastAsia="宋体"/>
                <w:spacing w:val="-20"/>
                <w:kern w:val="2"/>
                <w:sz w:val="21"/>
                <w:szCs w:val="21"/>
                <w:vertAlign w:val="superscript"/>
                <w:lang w:eastAsia="zh-CN"/>
              </w:rPr>
              <w:t>L</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0.0003</w:t>
            </w:r>
            <w:r>
              <w:rPr>
                <w:rFonts w:hint="eastAsia" w:hAnsi="Times New Roman" w:eastAsia="宋体"/>
                <w:spacing w:val="-20"/>
                <w:kern w:val="2"/>
                <w:sz w:val="21"/>
                <w:szCs w:val="21"/>
                <w:vertAlign w:val="superscript"/>
                <w:lang w:eastAsia="zh-CN"/>
              </w:rPr>
              <w:t>L</w:t>
            </w:r>
          </w:p>
        </w:tc>
        <w:tc>
          <w:tcPr>
            <w:tcW w:w="7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0.0003</w:t>
            </w:r>
            <w:r>
              <w:rPr>
                <w:rFonts w:hint="eastAsia" w:hAnsi="Times New Roman" w:eastAsia="宋体"/>
                <w:spacing w:val="-20"/>
                <w:kern w:val="2"/>
                <w:sz w:val="21"/>
                <w:szCs w:val="21"/>
                <w:vertAlign w:val="superscript"/>
                <w:lang w:eastAsia="zh-CN"/>
              </w:rPr>
              <w:t>L</w:t>
            </w:r>
          </w:p>
        </w:tc>
        <w:tc>
          <w:tcPr>
            <w:tcW w:w="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0.0003</w:t>
            </w:r>
            <w:r>
              <w:rPr>
                <w:rFonts w:hint="eastAsia" w:hAnsi="Times New Roman" w:eastAsia="宋体"/>
                <w:spacing w:val="-20"/>
                <w:kern w:val="2"/>
                <w:sz w:val="21"/>
                <w:szCs w:val="21"/>
                <w:vertAlign w:val="superscript"/>
                <w:lang w:eastAsia="zh-CN"/>
              </w:rPr>
              <w:t>L</w:t>
            </w:r>
          </w:p>
        </w:tc>
        <w:tc>
          <w:tcPr>
            <w:tcW w:w="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0.0003</w:t>
            </w:r>
            <w:r>
              <w:rPr>
                <w:rFonts w:hint="eastAsia" w:hAnsi="Times New Roman" w:eastAsia="宋体"/>
                <w:spacing w:val="-20"/>
                <w:kern w:val="2"/>
                <w:sz w:val="21"/>
                <w:szCs w:val="21"/>
                <w:vertAlign w:val="superscript"/>
                <w:lang w:eastAsia="zh-CN"/>
              </w:rPr>
              <w:t>L</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0.0003</w:t>
            </w:r>
            <w:r>
              <w:rPr>
                <w:rFonts w:hint="eastAsia" w:hAnsi="Times New Roman" w:eastAsia="宋体"/>
                <w:spacing w:val="-20"/>
                <w:kern w:val="2"/>
                <w:sz w:val="21"/>
                <w:szCs w:val="21"/>
                <w:vertAlign w:val="superscript"/>
                <w:lang w:eastAsia="zh-CN"/>
              </w:rPr>
              <w:t>L</w:t>
            </w:r>
          </w:p>
        </w:tc>
        <w:tc>
          <w:tcPr>
            <w:tcW w:w="80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0.0003</w:t>
            </w:r>
            <w:r>
              <w:rPr>
                <w:rFonts w:hint="eastAsia" w:hAnsi="Times New Roman" w:eastAsia="宋体"/>
                <w:spacing w:val="-20"/>
                <w:kern w:val="2"/>
                <w:sz w:val="21"/>
                <w:szCs w:val="21"/>
                <w:vertAlign w:val="superscript"/>
                <w:lang w:eastAsia="zh-CN"/>
              </w:rPr>
              <w:t>L</w:t>
            </w:r>
          </w:p>
        </w:tc>
        <w:tc>
          <w:tcPr>
            <w:tcW w:w="77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0.0003</w:t>
            </w:r>
            <w:r>
              <w:rPr>
                <w:rFonts w:hint="eastAsia" w:hAnsi="Times New Roman" w:eastAsia="宋体"/>
                <w:spacing w:val="-20"/>
                <w:kern w:val="2"/>
                <w:sz w:val="21"/>
                <w:szCs w:val="21"/>
                <w:vertAlign w:val="superscript"/>
                <w:lang w:eastAsia="zh-CN"/>
              </w:rPr>
              <w:t>L</w:t>
            </w:r>
          </w:p>
        </w:tc>
        <w:tc>
          <w:tcPr>
            <w:tcW w:w="650" w:type="dxa"/>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711" w:type="dxa"/>
            <w:vMerge w:val="continue"/>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p>
        </w:tc>
        <w:tc>
          <w:tcPr>
            <w:tcW w:w="1430" w:type="dxa"/>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bCs/>
                <w:kern w:val="2"/>
                <w:sz w:val="21"/>
                <w:szCs w:val="21"/>
                <w:lang w:eastAsia="zh-CN"/>
              </w:rPr>
            </w:pPr>
            <w:r>
              <w:rPr>
                <w:rFonts w:hint="eastAsia" w:hAnsi="Times New Roman" w:eastAsia="宋体" w:cs="Times New Roman"/>
                <w:kern w:val="2"/>
                <w:sz w:val="21"/>
                <w:szCs w:val="21"/>
                <w:lang w:eastAsia="zh-CN"/>
              </w:rPr>
              <w:t>铜</w:t>
            </w:r>
          </w:p>
        </w:tc>
        <w:tc>
          <w:tcPr>
            <w:tcW w:w="75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0.006</w:t>
            </w:r>
            <w:r>
              <w:rPr>
                <w:rFonts w:hint="eastAsia" w:hAnsi="Times New Roman" w:eastAsia="宋体"/>
                <w:spacing w:val="-20"/>
                <w:kern w:val="2"/>
                <w:sz w:val="21"/>
                <w:szCs w:val="21"/>
                <w:vertAlign w:val="superscript"/>
                <w:lang w:eastAsia="zh-CN"/>
              </w:rPr>
              <w:t>L</w:t>
            </w:r>
          </w:p>
        </w:tc>
        <w:tc>
          <w:tcPr>
            <w:tcW w:w="74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0.006</w:t>
            </w:r>
            <w:r>
              <w:rPr>
                <w:rFonts w:hint="eastAsia" w:hAnsi="Times New Roman" w:eastAsia="宋体"/>
                <w:spacing w:val="-20"/>
                <w:kern w:val="2"/>
                <w:sz w:val="21"/>
                <w:szCs w:val="21"/>
                <w:vertAlign w:val="superscript"/>
                <w:lang w:eastAsia="zh-CN"/>
              </w:rPr>
              <w:t>L</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0.006</w:t>
            </w:r>
            <w:r>
              <w:rPr>
                <w:rFonts w:hint="eastAsia" w:hAnsi="Times New Roman" w:eastAsia="宋体"/>
                <w:spacing w:val="-20"/>
                <w:kern w:val="2"/>
                <w:sz w:val="21"/>
                <w:szCs w:val="21"/>
                <w:vertAlign w:val="superscript"/>
                <w:lang w:eastAsia="zh-CN"/>
              </w:rPr>
              <w:t>L</w:t>
            </w:r>
          </w:p>
        </w:tc>
        <w:tc>
          <w:tcPr>
            <w:tcW w:w="7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0.006</w:t>
            </w:r>
            <w:r>
              <w:rPr>
                <w:rFonts w:hint="eastAsia" w:hAnsi="Times New Roman" w:eastAsia="宋体"/>
                <w:spacing w:val="-20"/>
                <w:kern w:val="2"/>
                <w:sz w:val="21"/>
                <w:szCs w:val="21"/>
                <w:vertAlign w:val="superscript"/>
                <w:lang w:eastAsia="zh-CN"/>
              </w:rPr>
              <w:t>L</w:t>
            </w:r>
          </w:p>
        </w:tc>
        <w:tc>
          <w:tcPr>
            <w:tcW w:w="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0.006</w:t>
            </w:r>
            <w:r>
              <w:rPr>
                <w:rFonts w:hint="eastAsia" w:hAnsi="Times New Roman" w:eastAsia="宋体"/>
                <w:spacing w:val="-20"/>
                <w:kern w:val="2"/>
                <w:sz w:val="21"/>
                <w:szCs w:val="21"/>
                <w:vertAlign w:val="superscript"/>
                <w:lang w:eastAsia="zh-CN"/>
              </w:rPr>
              <w:t>L</w:t>
            </w:r>
          </w:p>
        </w:tc>
        <w:tc>
          <w:tcPr>
            <w:tcW w:w="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0.006</w:t>
            </w:r>
            <w:r>
              <w:rPr>
                <w:rFonts w:hint="eastAsia" w:hAnsi="Times New Roman" w:eastAsia="宋体"/>
                <w:spacing w:val="-20"/>
                <w:kern w:val="2"/>
                <w:sz w:val="21"/>
                <w:szCs w:val="21"/>
                <w:vertAlign w:val="superscript"/>
                <w:lang w:eastAsia="zh-CN"/>
              </w:rPr>
              <w:t>L</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0.006</w:t>
            </w:r>
            <w:r>
              <w:rPr>
                <w:rFonts w:hint="eastAsia" w:hAnsi="Times New Roman" w:eastAsia="宋体"/>
                <w:spacing w:val="-20"/>
                <w:kern w:val="2"/>
                <w:sz w:val="21"/>
                <w:szCs w:val="21"/>
                <w:vertAlign w:val="superscript"/>
                <w:lang w:eastAsia="zh-CN"/>
              </w:rPr>
              <w:t>L</w:t>
            </w:r>
          </w:p>
        </w:tc>
        <w:tc>
          <w:tcPr>
            <w:tcW w:w="80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0.006</w:t>
            </w:r>
            <w:r>
              <w:rPr>
                <w:rFonts w:hint="eastAsia" w:hAnsi="Times New Roman" w:eastAsia="宋体"/>
                <w:spacing w:val="-20"/>
                <w:kern w:val="2"/>
                <w:sz w:val="21"/>
                <w:szCs w:val="21"/>
                <w:vertAlign w:val="superscript"/>
                <w:lang w:eastAsia="zh-CN"/>
              </w:rPr>
              <w:t>L</w:t>
            </w:r>
          </w:p>
        </w:tc>
        <w:tc>
          <w:tcPr>
            <w:tcW w:w="77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0.006</w:t>
            </w:r>
            <w:r>
              <w:rPr>
                <w:rFonts w:hint="eastAsia" w:hAnsi="Times New Roman" w:eastAsia="宋体"/>
                <w:spacing w:val="-20"/>
                <w:kern w:val="2"/>
                <w:sz w:val="21"/>
                <w:szCs w:val="21"/>
                <w:vertAlign w:val="superscript"/>
                <w:lang w:eastAsia="zh-CN"/>
              </w:rPr>
              <w:t>L</w:t>
            </w:r>
          </w:p>
        </w:tc>
        <w:tc>
          <w:tcPr>
            <w:tcW w:w="650" w:type="dxa"/>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711" w:type="dxa"/>
            <w:vMerge w:val="continue"/>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p>
        </w:tc>
        <w:tc>
          <w:tcPr>
            <w:tcW w:w="1430" w:type="dxa"/>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bCs/>
                <w:kern w:val="2"/>
                <w:sz w:val="21"/>
                <w:szCs w:val="21"/>
                <w:lang w:eastAsia="zh-CN"/>
              </w:rPr>
            </w:pPr>
            <w:r>
              <w:rPr>
                <w:rFonts w:hint="eastAsia" w:hAnsi="Times New Roman" w:eastAsia="宋体" w:cs="Times New Roman"/>
                <w:kern w:val="2"/>
                <w:sz w:val="21"/>
                <w:szCs w:val="21"/>
                <w:lang w:bidi="ar"/>
              </w:rPr>
              <w:t>锌</w:t>
            </w:r>
          </w:p>
        </w:tc>
        <w:tc>
          <w:tcPr>
            <w:tcW w:w="75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0.004</w:t>
            </w:r>
            <w:r>
              <w:rPr>
                <w:rFonts w:hint="eastAsia" w:hAnsi="Times New Roman" w:eastAsia="宋体"/>
                <w:spacing w:val="-20"/>
                <w:kern w:val="2"/>
                <w:sz w:val="21"/>
                <w:szCs w:val="21"/>
                <w:vertAlign w:val="superscript"/>
                <w:lang w:eastAsia="zh-CN"/>
              </w:rPr>
              <w:t>L</w:t>
            </w:r>
          </w:p>
        </w:tc>
        <w:tc>
          <w:tcPr>
            <w:tcW w:w="74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0.004</w:t>
            </w:r>
            <w:r>
              <w:rPr>
                <w:rFonts w:hint="eastAsia" w:hAnsi="Times New Roman" w:eastAsia="宋体"/>
                <w:spacing w:val="-20"/>
                <w:kern w:val="2"/>
                <w:sz w:val="21"/>
                <w:szCs w:val="21"/>
                <w:vertAlign w:val="superscript"/>
                <w:lang w:eastAsia="zh-CN"/>
              </w:rPr>
              <w:t>L</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0.004</w:t>
            </w:r>
            <w:r>
              <w:rPr>
                <w:rFonts w:hint="eastAsia" w:hAnsi="Times New Roman" w:eastAsia="宋体"/>
                <w:spacing w:val="-20"/>
                <w:kern w:val="2"/>
                <w:sz w:val="21"/>
                <w:szCs w:val="21"/>
                <w:vertAlign w:val="superscript"/>
                <w:lang w:eastAsia="zh-CN"/>
              </w:rPr>
              <w:t>L</w:t>
            </w:r>
          </w:p>
        </w:tc>
        <w:tc>
          <w:tcPr>
            <w:tcW w:w="7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0.004</w:t>
            </w:r>
            <w:r>
              <w:rPr>
                <w:rFonts w:hint="eastAsia" w:hAnsi="Times New Roman" w:eastAsia="宋体"/>
                <w:spacing w:val="-20"/>
                <w:kern w:val="2"/>
                <w:sz w:val="21"/>
                <w:szCs w:val="21"/>
                <w:vertAlign w:val="superscript"/>
                <w:lang w:eastAsia="zh-CN"/>
              </w:rPr>
              <w:t>L</w:t>
            </w:r>
          </w:p>
        </w:tc>
        <w:tc>
          <w:tcPr>
            <w:tcW w:w="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0.004</w:t>
            </w:r>
            <w:r>
              <w:rPr>
                <w:rFonts w:hint="eastAsia" w:hAnsi="Times New Roman" w:eastAsia="宋体"/>
                <w:spacing w:val="-20"/>
                <w:kern w:val="2"/>
                <w:sz w:val="21"/>
                <w:szCs w:val="21"/>
                <w:vertAlign w:val="superscript"/>
                <w:lang w:eastAsia="zh-CN"/>
              </w:rPr>
              <w:t>L</w:t>
            </w:r>
          </w:p>
        </w:tc>
        <w:tc>
          <w:tcPr>
            <w:tcW w:w="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0.004</w:t>
            </w:r>
            <w:r>
              <w:rPr>
                <w:rFonts w:hint="eastAsia" w:hAnsi="Times New Roman" w:eastAsia="宋体"/>
                <w:spacing w:val="-20"/>
                <w:kern w:val="2"/>
                <w:sz w:val="21"/>
                <w:szCs w:val="21"/>
                <w:vertAlign w:val="superscript"/>
                <w:lang w:eastAsia="zh-CN"/>
              </w:rPr>
              <w:t>L</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0.004</w:t>
            </w:r>
            <w:r>
              <w:rPr>
                <w:rFonts w:hint="eastAsia" w:hAnsi="Times New Roman" w:eastAsia="宋体"/>
                <w:spacing w:val="-20"/>
                <w:kern w:val="2"/>
                <w:sz w:val="21"/>
                <w:szCs w:val="21"/>
                <w:vertAlign w:val="superscript"/>
                <w:lang w:eastAsia="zh-CN"/>
              </w:rPr>
              <w:t>L</w:t>
            </w:r>
          </w:p>
        </w:tc>
        <w:tc>
          <w:tcPr>
            <w:tcW w:w="80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0.004</w:t>
            </w:r>
            <w:r>
              <w:rPr>
                <w:rFonts w:hint="eastAsia" w:hAnsi="Times New Roman" w:eastAsia="宋体"/>
                <w:spacing w:val="-20"/>
                <w:kern w:val="2"/>
                <w:sz w:val="21"/>
                <w:szCs w:val="21"/>
                <w:vertAlign w:val="superscript"/>
                <w:lang w:eastAsia="zh-CN"/>
              </w:rPr>
              <w:t>L</w:t>
            </w:r>
          </w:p>
        </w:tc>
        <w:tc>
          <w:tcPr>
            <w:tcW w:w="77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0.004</w:t>
            </w:r>
            <w:r>
              <w:rPr>
                <w:rFonts w:hint="eastAsia" w:hAnsi="Times New Roman" w:eastAsia="宋体"/>
                <w:spacing w:val="-20"/>
                <w:kern w:val="2"/>
                <w:sz w:val="21"/>
                <w:szCs w:val="21"/>
                <w:vertAlign w:val="superscript"/>
                <w:lang w:eastAsia="zh-CN"/>
              </w:rPr>
              <w:t>L</w:t>
            </w:r>
          </w:p>
        </w:tc>
        <w:tc>
          <w:tcPr>
            <w:tcW w:w="650" w:type="dxa"/>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711" w:type="dxa"/>
            <w:vMerge w:val="continue"/>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p>
        </w:tc>
        <w:tc>
          <w:tcPr>
            <w:tcW w:w="1430" w:type="dxa"/>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bCs/>
                <w:kern w:val="2"/>
                <w:sz w:val="21"/>
                <w:szCs w:val="21"/>
                <w:lang w:eastAsia="zh-CN"/>
              </w:rPr>
            </w:pPr>
            <w:r>
              <w:rPr>
                <w:rFonts w:hint="eastAsia" w:hAnsi="Times New Roman" w:eastAsia="宋体" w:cs="Times New Roman"/>
                <w:kern w:val="2"/>
                <w:sz w:val="21"/>
                <w:szCs w:val="21"/>
                <w:lang w:eastAsia="zh-CN"/>
              </w:rPr>
              <w:t>总磷</w:t>
            </w:r>
          </w:p>
        </w:tc>
        <w:tc>
          <w:tcPr>
            <w:tcW w:w="75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0.03</w:t>
            </w:r>
          </w:p>
        </w:tc>
        <w:tc>
          <w:tcPr>
            <w:tcW w:w="74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0.02</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0.02</w:t>
            </w:r>
          </w:p>
        </w:tc>
        <w:tc>
          <w:tcPr>
            <w:tcW w:w="7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0.03</w:t>
            </w:r>
          </w:p>
        </w:tc>
        <w:tc>
          <w:tcPr>
            <w:tcW w:w="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0.03</w:t>
            </w:r>
          </w:p>
        </w:tc>
        <w:tc>
          <w:tcPr>
            <w:tcW w:w="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0.03</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0.02</w:t>
            </w:r>
          </w:p>
        </w:tc>
        <w:tc>
          <w:tcPr>
            <w:tcW w:w="80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0.02</w:t>
            </w:r>
          </w:p>
        </w:tc>
        <w:tc>
          <w:tcPr>
            <w:tcW w:w="77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0.03</w:t>
            </w:r>
          </w:p>
        </w:tc>
        <w:tc>
          <w:tcPr>
            <w:tcW w:w="650" w:type="dxa"/>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711" w:type="dxa"/>
            <w:vMerge w:val="continue"/>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p>
        </w:tc>
        <w:tc>
          <w:tcPr>
            <w:tcW w:w="1430" w:type="dxa"/>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bCs/>
                <w:kern w:val="2"/>
                <w:sz w:val="21"/>
                <w:szCs w:val="21"/>
                <w:lang w:eastAsia="zh-CN"/>
              </w:rPr>
            </w:pPr>
            <w:r>
              <w:rPr>
                <w:rFonts w:hint="eastAsia" w:hAnsi="Times New Roman" w:eastAsia="宋体" w:cs="Times New Roman"/>
                <w:kern w:val="2"/>
                <w:sz w:val="21"/>
                <w:szCs w:val="21"/>
                <w:lang w:eastAsia="zh-CN" w:bidi="ar"/>
              </w:rPr>
              <w:t>总氮</w:t>
            </w:r>
          </w:p>
        </w:tc>
        <w:tc>
          <w:tcPr>
            <w:tcW w:w="75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1.13</w:t>
            </w:r>
          </w:p>
        </w:tc>
        <w:tc>
          <w:tcPr>
            <w:tcW w:w="74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0.94</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1.11</w:t>
            </w:r>
          </w:p>
        </w:tc>
        <w:tc>
          <w:tcPr>
            <w:tcW w:w="7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1.17</w:t>
            </w:r>
          </w:p>
        </w:tc>
        <w:tc>
          <w:tcPr>
            <w:tcW w:w="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1.33</w:t>
            </w:r>
          </w:p>
        </w:tc>
        <w:tc>
          <w:tcPr>
            <w:tcW w:w="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1.02</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1.10</w:t>
            </w:r>
          </w:p>
        </w:tc>
        <w:tc>
          <w:tcPr>
            <w:tcW w:w="80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1.04</w:t>
            </w:r>
          </w:p>
        </w:tc>
        <w:tc>
          <w:tcPr>
            <w:tcW w:w="77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1.00</w:t>
            </w:r>
          </w:p>
        </w:tc>
        <w:tc>
          <w:tcPr>
            <w:tcW w:w="650" w:type="dxa"/>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711" w:type="dxa"/>
            <w:vMerge w:val="continue"/>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p>
        </w:tc>
        <w:tc>
          <w:tcPr>
            <w:tcW w:w="1430" w:type="dxa"/>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bCs/>
                <w:kern w:val="2"/>
                <w:sz w:val="21"/>
                <w:szCs w:val="21"/>
                <w:lang w:eastAsia="zh-CN"/>
              </w:rPr>
            </w:pPr>
            <w:r>
              <w:rPr>
                <w:rFonts w:hint="eastAsia" w:hAnsi="Times New Roman" w:eastAsia="宋体" w:cs="Times New Roman"/>
                <w:kern w:val="2"/>
                <w:sz w:val="21"/>
                <w:szCs w:val="21"/>
                <w:lang w:eastAsia="zh-CN" w:bidi="ar"/>
              </w:rPr>
              <w:t>含</w:t>
            </w:r>
            <w:r>
              <w:rPr>
                <w:rFonts w:hint="eastAsia" w:hAnsi="Times New Roman" w:eastAsia="宋体" w:cs="Times New Roman"/>
                <w:kern w:val="2"/>
                <w:sz w:val="21"/>
                <w:szCs w:val="21"/>
                <w:lang w:bidi="ar"/>
              </w:rPr>
              <w:t>盐量</w:t>
            </w:r>
          </w:p>
        </w:tc>
        <w:tc>
          <w:tcPr>
            <w:tcW w:w="75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231</w:t>
            </w:r>
          </w:p>
        </w:tc>
        <w:tc>
          <w:tcPr>
            <w:tcW w:w="74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279</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252</w:t>
            </w:r>
          </w:p>
        </w:tc>
        <w:tc>
          <w:tcPr>
            <w:tcW w:w="7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295</w:t>
            </w:r>
          </w:p>
        </w:tc>
        <w:tc>
          <w:tcPr>
            <w:tcW w:w="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248</w:t>
            </w:r>
          </w:p>
        </w:tc>
        <w:tc>
          <w:tcPr>
            <w:tcW w:w="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509</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354</w:t>
            </w:r>
          </w:p>
        </w:tc>
        <w:tc>
          <w:tcPr>
            <w:tcW w:w="80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309</w:t>
            </w:r>
          </w:p>
        </w:tc>
        <w:tc>
          <w:tcPr>
            <w:tcW w:w="77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20"/>
                <w:kern w:val="2"/>
                <w:sz w:val="21"/>
                <w:szCs w:val="21"/>
                <w:lang w:eastAsia="zh-CN"/>
              </w:rPr>
            </w:pPr>
            <w:r>
              <w:rPr>
                <w:rFonts w:hint="eastAsia" w:hAnsi="Times New Roman" w:eastAsia="宋体"/>
                <w:spacing w:val="-20"/>
                <w:kern w:val="2"/>
                <w:sz w:val="21"/>
                <w:szCs w:val="21"/>
                <w:lang w:eastAsia="zh-CN"/>
              </w:rPr>
              <w:t>299</w:t>
            </w:r>
          </w:p>
        </w:tc>
        <w:tc>
          <w:tcPr>
            <w:tcW w:w="650" w:type="dxa"/>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1000</w:t>
            </w:r>
          </w:p>
        </w:tc>
      </w:tr>
    </w:tbl>
    <w:p>
      <w:pPr>
        <w:ind w:firstLine="360" w:firstLineChars="200"/>
        <w:rPr>
          <w:rFonts w:hAnsi="Times New Roman" w:eastAsia="宋体"/>
          <w:sz w:val="18"/>
          <w:szCs w:val="18"/>
          <w:lang w:eastAsia="zh-CN"/>
        </w:rPr>
      </w:pPr>
      <w:r>
        <w:rPr>
          <w:rFonts w:hAnsi="Times New Roman" w:eastAsia="宋体"/>
          <w:sz w:val="18"/>
          <w:szCs w:val="18"/>
          <w:lang w:eastAsia="zh-CN"/>
        </w:rPr>
        <w:t>注：检测结果“检出限+L”表示未检出。</w:t>
      </w:r>
    </w:p>
    <w:p>
      <w:pPr>
        <w:spacing w:line="360" w:lineRule="auto"/>
        <w:ind w:firstLine="480" w:firstLineChars="200"/>
        <w:rPr>
          <w:rFonts w:hAnsi="Times New Roman" w:eastAsia="宋体"/>
          <w:szCs w:val="22"/>
          <w:lang w:eastAsia="zh-CN"/>
        </w:rPr>
      </w:pPr>
      <w:r>
        <w:rPr>
          <w:rFonts w:hint="eastAsia" w:hAnsi="Times New Roman" w:eastAsia="宋体"/>
          <w:szCs w:val="22"/>
          <w:lang w:eastAsia="zh-CN"/>
        </w:rPr>
        <w:t>由于本矿目前处于停产状态，地下涌水处于自然状态出水，仅经过主水仓、副水仓以及地面沉淀池进行简单处理，本项目矿井涌水水质较好，满足《地表水环境质量标准》（GB3838-2002）Ⅲ类标准。但通过对比项目正常生产时期监测数据可知项目石油类依靠现有废水处理工艺不能达标排放。</w:t>
      </w:r>
    </w:p>
    <w:p>
      <w:pPr>
        <w:spacing w:line="360" w:lineRule="auto"/>
        <w:ind w:firstLine="480" w:firstLineChars="200"/>
        <w:rPr>
          <w:rFonts w:hAnsi="Times New Roman" w:eastAsia="宋体"/>
          <w:lang w:eastAsia="zh-CN"/>
        </w:rPr>
      </w:pPr>
      <w:r>
        <w:rPr>
          <w:rFonts w:hint="eastAsia" w:hAnsi="Times New Roman" w:eastAsia="宋体"/>
          <w:szCs w:val="22"/>
          <w:lang w:eastAsia="zh-CN"/>
        </w:rPr>
        <w:t>项目经过改扩建正式投入运营后，</w:t>
      </w:r>
      <w:r>
        <w:rPr>
          <w:rFonts w:hAnsi="Times New Roman" w:eastAsia="宋体"/>
          <w:szCs w:val="22"/>
          <w:lang w:eastAsia="zh-CN"/>
        </w:rPr>
        <w:t>矿涌水水质和目前的水质现状相似，但由于人为因素的干扰，可能导致矿坑涌水中的</w:t>
      </w:r>
      <w:r>
        <w:rPr>
          <w:rFonts w:hint="eastAsia" w:hAnsi="Times New Roman" w:eastAsia="宋体"/>
          <w:szCs w:val="22"/>
          <w:lang w:eastAsia="zh-CN"/>
        </w:rPr>
        <w:t>部分污染物浓度增加，主要是COD、SS、石油类等。根据监测数据，本项目应重点关注石油类的处理。同时现有矿井涌水处理站处理规模较小，不能满足项目改扩建后废水处理的需要</w:t>
      </w:r>
      <w:r>
        <w:rPr>
          <w:rFonts w:hAnsi="Times New Roman" w:eastAsia="宋体"/>
          <w:lang w:eastAsia="zh-CN"/>
        </w:rPr>
        <w:t>。</w:t>
      </w:r>
    </w:p>
    <w:p>
      <w:pPr>
        <w:pStyle w:val="9"/>
        <w:spacing w:line="360" w:lineRule="auto"/>
        <w:rPr>
          <w:rFonts w:hint="default" w:ascii="Times New Roman" w:hAnsi="Times New Roman"/>
          <w:lang w:eastAsia="zh-CN"/>
        </w:rPr>
      </w:pPr>
      <w:r>
        <w:rPr>
          <w:rFonts w:hint="default" w:ascii="Times New Roman" w:hAnsi="Times New Roman"/>
          <w:lang w:eastAsia="zh-CN"/>
        </w:rPr>
        <w:t>2.1.3.1.3现有</w:t>
      </w:r>
      <w:r>
        <w:rPr>
          <w:rFonts w:hint="default" w:ascii="Times New Roman" w:hAnsi="Times New Roman"/>
        </w:rPr>
        <w:t>项目存在的问题</w:t>
      </w:r>
    </w:p>
    <w:p>
      <w:pPr>
        <w:spacing w:line="360" w:lineRule="auto"/>
        <w:ind w:firstLine="480" w:firstLineChars="200"/>
        <w:rPr>
          <w:rFonts w:hAnsi="Times New Roman" w:eastAsia="宋体"/>
          <w:szCs w:val="22"/>
          <w:lang w:eastAsia="zh-CN"/>
        </w:rPr>
      </w:pPr>
      <w:r>
        <w:rPr>
          <w:rFonts w:hAnsi="Times New Roman" w:eastAsia="宋体"/>
          <w:szCs w:val="22"/>
          <w:lang w:eastAsia="zh-CN"/>
        </w:rPr>
        <w:t>①矿井涌水经现有矿井水处理站处理，处理能力为750m</w:t>
      </w:r>
      <w:r>
        <w:rPr>
          <w:rFonts w:hAnsi="Times New Roman" w:eastAsia="宋体"/>
          <w:szCs w:val="22"/>
          <w:vertAlign w:val="superscript"/>
          <w:lang w:eastAsia="zh-CN"/>
        </w:rPr>
        <w:t>3</w:t>
      </w:r>
      <w:r>
        <w:rPr>
          <w:rFonts w:hAnsi="Times New Roman" w:eastAsia="宋体"/>
          <w:szCs w:val="22"/>
          <w:lang w:eastAsia="zh-CN"/>
        </w:rPr>
        <w:t>/d，矿井水处理站处理能力不能满足矿井扩建后矿井涌水的要求。</w:t>
      </w:r>
    </w:p>
    <w:p>
      <w:pPr>
        <w:pStyle w:val="14"/>
        <w:overflowPunct w:val="0"/>
        <w:spacing w:line="360" w:lineRule="auto"/>
        <w:ind w:right="232" w:firstLine="480" w:firstLineChars="200"/>
        <w:rPr>
          <w:rFonts w:ascii="Times New Roman" w:hAnsi="Times New Roman"/>
          <w:sz w:val="24"/>
          <w:lang w:eastAsia="zh-CN"/>
        </w:rPr>
      </w:pPr>
      <w:r>
        <w:rPr>
          <w:rFonts w:ascii="Times New Roman" w:hAnsi="Times New Roman"/>
          <w:sz w:val="24"/>
        </w:rPr>
        <w:t>②</w:t>
      </w:r>
      <w:r>
        <w:rPr>
          <w:rFonts w:ascii="Times New Roman" w:hAnsi="Times New Roman"/>
          <w:sz w:val="24"/>
          <w:lang w:eastAsia="zh-CN"/>
        </w:rPr>
        <w:t>车辆冲洗平台现为简易的</w:t>
      </w:r>
      <w:r>
        <w:rPr>
          <w:rFonts w:ascii="Times New Roman" w:hAnsi="Times New Roman"/>
          <w:sz w:val="24"/>
        </w:rPr>
        <w:t>车辆冲洗平台，采用移动式喷淋水管对出场车辆轮胎进行清洗</w:t>
      </w:r>
      <w:r>
        <w:rPr>
          <w:rFonts w:ascii="Times New Roman" w:hAnsi="Times New Roman"/>
          <w:sz w:val="24"/>
          <w:lang w:eastAsia="zh-CN"/>
        </w:rPr>
        <w:t>，水资源消耗量大，还可能因为水压小影响车辆冲洗质量，造成路面二次沾染。</w:t>
      </w:r>
    </w:p>
    <w:p>
      <w:pPr>
        <w:pStyle w:val="14"/>
        <w:overflowPunct w:val="0"/>
        <w:spacing w:line="360" w:lineRule="auto"/>
        <w:ind w:right="232" w:firstLine="480" w:firstLineChars="200"/>
        <w:rPr>
          <w:rFonts w:ascii="Times New Roman" w:hAnsi="Times New Roman"/>
          <w:sz w:val="24"/>
          <w:lang w:eastAsia="zh-CN"/>
        </w:rPr>
      </w:pPr>
      <w:r>
        <w:rPr>
          <w:rFonts w:ascii="Times New Roman" w:hAnsi="Times New Roman"/>
          <w:sz w:val="24"/>
          <w:lang w:eastAsia="zh-CN"/>
        </w:rPr>
        <w:t>③</w:t>
      </w:r>
      <w:r>
        <w:rPr>
          <w:rFonts w:ascii="Times New Roman" w:hAnsi="Times New Roman"/>
          <w:sz w:val="24"/>
        </w:rPr>
        <w:t>矿井水外排口未安装在线监测系统</w:t>
      </w:r>
      <w:r>
        <w:rPr>
          <w:rFonts w:ascii="Times New Roman" w:hAnsi="Times New Roman"/>
          <w:spacing w:val="-48"/>
          <w:sz w:val="24"/>
        </w:rPr>
        <w:t>，</w:t>
      </w:r>
      <w:r>
        <w:rPr>
          <w:rFonts w:ascii="Times New Roman" w:hAnsi="Times New Roman"/>
          <w:sz w:val="24"/>
        </w:rPr>
        <w:t>不符</w:t>
      </w:r>
      <w:r>
        <w:rPr>
          <w:rFonts w:ascii="Times New Roman" w:hAnsi="Times New Roman"/>
          <w:spacing w:val="-46"/>
          <w:sz w:val="24"/>
        </w:rPr>
        <w:t>合</w:t>
      </w:r>
      <w:r>
        <w:rPr>
          <w:rFonts w:ascii="Times New Roman" w:hAnsi="Times New Roman"/>
          <w:sz w:val="24"/>
        </w:rPr>
        <w:t>《关于印发进一步加强煤炭资源开发环境影响评价管理的通知》（环环评</w:t>
      </w:r>
      <w:r>
        <w:rPr>
          <w:rFonts w:hint="eastAsia" w:ascii="Times New Roman" w:hAnsi="Times New Roman"/>
          <w:sz w:val="24"/>
        </w:rPr>
        <w:t>〔2020〕</w:t>
      </w:r>
      <w:r>
        <w:rPr>
          <w:rFonts w:ascii="Times New Roman" w:hAnsi="Times New Roman"/>
          <w:sz w:val="24"/>
        </w:rPr>
        <w:t>63号）的现行要求。</w:t>
      </w:r>
    </w:p>
    <w:p>
      <w:pPr>
        <w:pStyle w:val="9"/>
        <w:spacing w:line="360" w:lineRule="auto"/>
        <w:rPr>
          <w:rFonts w:hint="default" w:ascii="Times New Roman" w:hAnsi="Times New Roman"/>
          <w:szCs w:val="22"/>
          <w:lang w:eastAsia="zh-CN"/>
        </w:rPr>
      </w:pPr>
      <w:r>
        <w:rPr>
          <w:rFonts w:hint="default" w:ascii="Times New Roman" w:hAnsi="Times New Roman"/>
          <w:szCs w:val="22"/>
          <w:lang w:eastAsia="zh-CN"/>
        </w:rPr>
        <w:t>2.1.3.1.4以新带老措施</w:t>
      </w:r>
    </w:p>
    <w:p>
      <w:pPr>
        <w:pStyle w:val="14"/>
        <w:kinsoku w:val="0"/>
        <w:overflowPunct w:val="0"/>
        <w:spacing w:line="342" w:lineRule="auto"/>
        <w:ind w:right="110" w:firstLine="480"/>
        <w:rPr>
          <w:rFonts w:ascii="Times New Roman" w:hAnsi="Times New Roman"/>
          <w:sz w:val="24"/>
          <w:lang w:eastAsia="zh-CN"/>
        </w:rPr>
      </w:pPr>
      <w:r>
        <w:rPr>
          <w:rFonts w:ascii="Times New Roman" w:hAnsi="Times New Roman"/>
          <w:sz w:val="24"/>
        </w:rPr>
        <w:t>①本次拟</w:t>
      </w:r>
      <w:r>
        <w:rPr>
          <w:rFonts w:ascii="Times New Roman" w:hAnsi="Times New Roman"/>
          <w:sz w:val="24"/>
          <w:lang w:eastAsia="zh-CN"/>
        </w:rPr>
        <w:t>采用</w:t>
      </w:r>
      <w:r>
        <w:rPr>
          <w:rFonts w:ascii="Times New Roman" w:hAnsi="Times New Roman"/>
          <w:spacing w:val="-61"/>
          <w:sz w:val="24"/>
        </w:rPr>
        <w:t xml:space="preserve"> </w:t>
      </w:r>
      <w:r>
        <w:rPr>
          <w:rFonts w:ascii="Times New Roman" w:hAnsi="Times New Roman"/>
          <w:sz w:val="24"/>
          <w:lang w:eastAsia="zh-CN"/>
        </w:rPr>
        <w:t>2</w:t>
      </w:r>
      <w:r>
        <w:rPr>
          <w:rFonts w:ascii="Times New Roman" w:hAnsi="Times New Roman"/>
          <w:sz w:val="24"/>
        </w:rPr>
        <w:t>套型号为YWS-200，单台处理量为200m</w:t>
      </w:r>
      <w:r>
        <w:rPr>
          <w:rFonts w:ascii="Times New Roman" w:hAnsi="Times New Roman"/>
          <w:sz w:val="24"/>
          <w:vertAlign w:val="superscript"/>
        </w:rPr>
        <w:t>3</w:t>
      </w:r>
      <w:r>
        <w:rPr>
          <w:rFonts w:ascii="Times New Roman" w:hAnsi="Times New Roman"/>
          <w:sz w:val="24"/>
        </w:rPr>
        <w:t>/h的含煤废水处理装置</w:t>
      </w:r>
      <w:r>
        <w:rPr>
          <w:rFonts w:ascii="Times New Roman" w:hAnsi="Times New Roman"/>
          <w:sz w:val="24"/>
          <w:lang w:eastAsia="zh-CN"/>
        </w:rPr>
        <w:t>对矿井涌水</w:t>
      </w:r>
      <w:r>
        <w:rPr>
          <w:rFonts w:ascii="Times New Roman" w:hAnsi="Times New Roman"/>
          <w:sz w:val="24"/>
        </w:rPr>
        <w:t>进行处理。</w:t>
      </w:r>
      <w:r>
        <w:rPr>
          <w:rFonts w:ascii="Times New Roman" w:hAnsi="Times New Roman"/>
          <w:spacing w:val="2"/>
          <w:sz w:val="24"/>
        </w:rPr>
        <w:t>矿井水处理工艺为“</w:t>
      </w:r>
      <w:r>
        <w:rPr>
          <w:rFonts w:ascii="Times New Roman" w:hAnsi="Times New Roman"/>
          <w:spacing w:val="2"/>
          <w:sz w:val="24"/>
          <w:lang w:eastAsia="zh-CN"/>
        </w:rPr>
        <w:t>隔油+预沉调节+混凝沉淀+斜</w:t>
      </w:r>
      <w:r>
        <w:rPr>
          <w:rFonts w:hint="eastAsia" w:ascii="Times New Roman" w:hAnsi="Times New Roman"/>
          <w:spacing w:val="2"/>
          <w:sz w:val="24"/>
          <w:lang w:eastAsia="zh-CN"/>
        </w:rPr>
        <w:t>管</w:t>
      </w:r>
      <w:r>
        <w:rPr>
          <w:rFonts w:ascii="Times New Roman" w:hAnsi="Times New Roman"/>
          <w:spacing w:val="2"/>
          <w:sz w:val="24"/>
          <w:lang w:eastAsia="zh-CN"/>
        </w:rPr>
        <w:t>沉淀+石英砂过滤+消毒</w:t>
      </w:r>
      <w:r>
        <w:rPr>
          <w:rFonts w:ascii="Times New Roman" w:hAnsi="Times New Roman"/>
          <w:sz w:val="24"/>
        </w:rPr>
        <w:t>”。处理后的矿井涌水部分抽至高位水池作为井下降尘及地面生产用水等使用，其余部分外排</w:t>
      </w:r>
      <w:r>
        <w:rPr>
          <w:rFonts w:ascii="Times New Roman" w:hAnsi="Times New Roman"/>
          <w:spacing w:val="19"/>
          <w:sz w:val="24"/>
        </w:rPr>
        <w:t>，外排的矿井涌水要求达到《地表水环境质量标准》</w:t>
      </w:r>
      <w:r>
        <w:rPr>
          <w:rFonts w:ascii="Times New Roman" w:hAnsi="Times New Roman"/>
          <w:spacing w:val="-1"/>
          <w:sz w:val="24"/>
        </w:rPr>
        <w:t>（GB3838-2002）中</w:t>
      </w:r>
      <w:r>
        <w:rPr>
          <w:rFonts w:ascii="Times New Roman" w:hAnsi="Times New Roman"/>
          <w:spacing w:val="-2"/>
          <w:sz w:val="24"/>
        </w:rPr>
        <w:t>Ⅲ</w:t>
      </w:r>
      <w:r>
        <w:rPr>
          <w:rFonts w:ascii="Times New Roman" w:hAnsi="Times New Roman"/>
          <w:spacing w:val="-1"/>
          <w:sz w:val="24"/>
        </w:rPr>
        <w:t>类</w:t>
      </w:r>
      <w:r>
        <w:rPr>
          <w:rFonts w:ascii="Times New Roman" w:hAnsi="Times New Roman"/>
          <w:sz w:val="24"/>
          <w:szCs w:val="32"/>
          <w:lang w:eastAsia="zh-CN"/>
        </w:rPr>
        <w:t>、全盐量小于1000mg/L的限值要求</w:t>
      </w:r>
      <w:r>
        <w:rPr>
          <w:rFonts w:ascii="Times New Roman" w:hAnsi="Times New Roman"/>
          <w:spacing w:val="-1"/>
          <w:sz w:val="24"/>
          <w:lang w:eastAsia="zh-CN"/>
        </w:rPr>
        <w:t>。</w:t>
      </w:r>
    </w:p>
    <w:p>
      <w:pPr>
        <w:pStyle w:val="14"/>
        <w:overflowPunct w:val="0"/>
        <w:spacing w:before="51" w:line="338" w:lineRule="auto"/>
        <w:ind w:right="235" w:firstLine="480"/>
        <w:rPr>
          <w:rFonts w:ascii="Times New Roman" w:hAnsi="Times New Roman"/>
          <w:spacing w:val="-1"/>
          <w:sz w:val="24"/>
        </w:rPr>
      </w:pPr>
      <w:r>
        <w:rPr>
          <w:rFonts w:ascii="Times New Roman" w:hAnsi="Times New Roman"/>
          <w:sz w:val="24"/>
        </w:rPr>
        <w:t>②本次拟在厂区进出口设置1套</w:t>
      </w:r>
      <w:r>
        <w:rPr>
          <w:rFonts w:ascii="Times New Roman" w:hAnsi="Times New Roman"/>
          <w:sz w:val="24"/>
          <w:lang w:eastAsia="zh-CN"/>
        </w:rPr>
        <w:t>自动高压喷淋式</w:t>
      </w:r>
      <w:r>
        <w:rPr>
          <w:rFonts w:ascii="Times New Roman" w:hAnsi="Times New Roman"/>
          <w:sz w:val="24"/>
        </w:rPr>
        <w:t>车辆冲洗平台对进出车辆进行冲洗，同时设计1个</w:t>
      </w:r>
      <w:r>
        <w:rPr>
          <w:rFonts w:ascii="Times New Roman" w:hAnsi="Times New Roman"/>
          <w:sz w:val="24"/>
          <w:lang w:eastAsia="zh-CN"/>
        </w:rPr>
        <w:t>5</w:t>
      </w:r>
      <w:r>
        <w:rPr>
          <w:rFonts w:ascii="Times New Roman" w:hAnsi="Times New Roman"/>
          <w:sz w:val="24"/>
        </w:rPr>
        <w:t>m</w:t>
      </w:r>
      <w:r>
        <w:rPr>
          <w:rFonts w:ascii="Times New Roman" w:hAnsi="Times New Roman"/>
          <w:sz w:val="24"/>
          <w:vertAlign w:val="superscript"/>
        </w:rPr>
        <w:t>3</w:t>
      </w:r>
      <w:r>
        <w:rPr>
          <w:rFonts w:ascii="Times New Roman" w:hAnsi="Times New Roman"/>
          <w:sz w:val="24"/>
        </w:rPr>
        <w:t>的隔油沉淀池对车辆冲洗废水进行处理，处理后回用于车辆清洗工序。</w:t>
      </w:r>
    </w:p>
    <w:p>
      <w:pPr>
        <w:pStyle w:val="14"/>
        <w:kinsoku w:val="0"/>
        <w:overflowPunct w:val="0"/>
        <w:spacing w:before="27" w:line="357" w:lineRule="auto"/>
        <w:ind w:right="110" w:firstLine="480"/>
        <w:rPr>
          <w:rFonts w:ascii="Times New Roman" w:hAnsi="Times New Roman"/>
          <w:sz w:val="24"/>
        </w:rPr>
      </w:pPr>
      <w:r>
        <w:rPr>
          <w:rFonts w:ascii="Times New Roman" w:hAnsi="Times New Roman"/>
          <w:sz w:val="24"/>
        </w:rPr>
        <w:t>③</w:t>
      </w:r>
      <w:r>
        <w:rPr>
          <w:rFonts w:ascii="Times New Roman" w:hAnsi="Times New Roman"/>
          <w:spacing w:val="3"/>
          <w:sz w:val="24"/>
        </w:rPr>
        <w:t>本次拟在矿井水外排口安装在线监测系统，相关环境数据向社会公</w:t>
      </w:r>
      <w:r>
        <w:rPr>
          <w:rFonts w:ascii="Times New Roman" w:hAnsi="Times New Roman"/>
          <w:sz w:val="24"/>
        </w:rPr>
        <w:t>开，与相关部门联网，接受监督。</w:t>
      </w:r>
    </w:p>
    <w:p>
      <w:pPr>
        <w:pStyle w:val="8"/>
        <w:rPr>
          <w:rFonts w:ascii="Times New Roman" w:hAnsi="Times New Roman"/>
          <w:lang w:eastAsia="zh-CN"/>
        </w:rPr>
      </w:pPr>
      <w:r>
        <w:rPr>
          <w:rFonts w:ascii="Times New Roman" w:hAnsi="Times New Roman"/>
          <w:lang w:eastAsia="zh-CN"/>
        </w:rPr>
        <w:t>2.1.3.2 废气</w:t>
      </w:r>
    </w:p>
    <w:p>
      <w:pPr>
        <w:spacing w:line="360" w:lineRule="auto"/>
        <w:ind w:firstLine="480" w:firstLineChars="200"/>
        <w:rPr>
          <w:rFonts w:hAnsi="Times New Roman" w:eastAsia="宋体"/>
          <w:lang w:eastAsia="zh-CN"/>
        </w:rPr>
      </w:pPr>
      <w:r>
        <w:rPr>
          <w:rFonts w:hAnsi="Times New Roman" w:eastAsia="宋体"/>
          <w:lang w:eastAsia="zh-CN"/>
        </w:rPr>
        <w:t>现有工程运营期间废气主要来源于储煤</w:t>
      </w:r>
      <w:r>
        <w:rPr>
          <w:rFonts w:hint="eastAsia" w:hAnsi="Times New Roman" w:eastAsia="宋体"/>
          <w:lang w:val="en-US" w:eastAsia="zh-CN"/>
        </w:rPr>
        <w:t>场</w:t>
      </w:r>
      <w:r>
        <w:rPr>
          <w:rFonts w:hAnsi="Times New Roman" w:eastAsia="宋体"/>
          <w:lang w:eastAsia="zh-CN"/>
        </w:rPr>
        <w:t>、矸石临时堆场扬尘、道路扬尘、瓦斯及食堂油烟。</w:t>
      </w:r>
    </w:p>
    <w:p>
      <w:pPr>
        <w:pStyle w:val="9"/>
        <w:spacing w:line="360" w:lineRule="auto"/>
        <w:rPr>
          <w:rFonts w:hint="default" w:ascii="Times New Roman" w:hAnsi="Times New Roman"/>
          <w:szCs w:val="22"/>
          <w:lang w:eastAsia="zh-CN"/>
        </w:rPr>
      </w:pPr>
      <w:r>
        <w:rPr>
          <w:rFonts w:hint="default" w:ascii="Times New Roman" w:hAnsi="Times New Roman"/>
          <w:szCs w:val="22"/>
          <w:lang w:eastAsia="zh-CN"/>
        </w:rPr>
        <w:t>2.1.3.2.1废气产生及排放情况</w:t>
      </w:r>
    </w:p>
    <w:p>
      <w:pPr>
        <w:spacing w:line="360" w:lineRule="auto"/>
        <w:ind w:firstLine="482" w:firstLineChars="200"/>
        <w:rPr>
          <w:rFonts w:hAnsi="Times New Roman" w:eastAsia="宋体"/>
          <w:b/>
          <w:bCs/>
          <w:lang w:eastAsia="zh-CN"/>
        </w:rPr>
      </w:pPr>
      <w:r>
        <w:rPr>
          <w:rFonts w:hAnsi="Times New Roman" w:eastAsia="宋体"/>
          <w:b/>
          <w:bCs/>
          <w:lang w:eastAsia="zh-CN"/>
        </w:rPr>
        <w:t>（1）储煤场、临时储装卸扬尘</w:t>
      </w:r>
    </w:p>
    <w:p>
      <w:pPr>
        <w:spacing w:line="360" w:lineRule="auto"/>
        <w:ind w:firstLine="480" w:firstLineChars="200"/>
        <w:rPr>
          <w:rFonts w:hAnsi="Times New Roman" w:eastAsia="宋体"/>
          <w:lang w:eastAsia="zh-CN"/>
        </w:rPr>
      </w:pPr>
      <w:r>
        <w:rPr>
          <w:rFonts w:hAnsi="Times New Roman" w:eastAsia="宋体"/>
          <w:lang w:eastAsia="zh-CN"/>
        </w:rPr>
        <w:t>现有项目主平硐开采出的原煤及矸石利用窄轨铁路进行运输，将原煤及矸石均运输至煤炭堆场及矸石临时堆场处，采用翻笼形式煤炭卸载，在卸载煤炭及矸石的过程中会产生卸载粉尘。</w:t>
      </w:r>
    </w:p>
    <w:p>
      <w:pPr>
        <w:spacing w:line="360" w:lineRule="auto"/>
        <w:ind w:firstLine="480" w:firstLineChars="200"/>
        <w:rPr>
          <w:rFonts w:hAnsi="Times New Roman" w:eastAsia="宋体"/>
          <w:lang w:eastAsia="zh-CN"/>
        </w:rPr>
      </w:pPr>
      <w:r>
        <w:rPr>
          <w:rFonts w:hAnsi="Times New Roman" w:eastAsia="宋体"/>
          <w:lang w:eastAsia="zh-CN"/>
        </w:rPr>
        <w:t>现有项目废气产生量12.17t/a，其中储煤场粉尘产生量为11.06t/a，矸石临时堆场扬尘产生量约为1.11t/a。采取措施后，项目装卸扬尘排放量为3.76t/a，排放速率为2.28kg/h。</w:t>
      </w:r>
    </w:p>
    <w:p>
      <w:pPr>
        <w:spacing w:line="360" w:lineRule="auto"/>
        <w:ind w:firstLine="482" w:firstLineChars="200"/>
        <w:rPr>
          <w:rFonts w:hAnsi="Times New Roman" w:eastAsia="宋体"/>
          <w:b/>
          <w:bCs/>
          <w:szCs w:val="22"/>
          <w:lang w:eastAsia="zh-CN"/>
        </w:rPr>
      </w:pPr>
      <w:r>
        <w:rPr>
          <w:rFonts w:hAnsi="Times New Roman" w:eastAsia="宋体"/>
          <w:b/>
          <w:bCs/>
          <w:szCs w:val="22"/>
          <w:lang w:eastAsia="zh-CN"/>
        </w:rPr>
        <w:t>（2）储煤场、临时储堆场扬尘</w:t>
      </w:r>
    </w:p>
    <w:p>
      <w:pPr>
        <w:spacing w:line="360" w:lineRule="auto"/>
        <w:ind w:firstLine="480" w:firstLineChars="200"/>
        <w:rPr>
          <w:rFonts w:hAnsi="Times New Roman" w:eastAsia="宋体"/>
          <w:lang w:eastAsia="zh-CN"/>
        </w:rPr>
      </w:pPr>
      <w:r>
        <w:rPr>
          <w:rFonts w:hAnsi="Times New Roman" w:eastAsia="宋体"/>
          <w:lang w:eastAsia="zh-CN"/>
        </w:rPr>
        <w:t>原煤和矸石在堆放过程中，会产生堆煤扬尘。根据调查，储煤场已设置有半封闭式彩钢棚，并设置有喷雾装置。矸石临时堆场则露天堆放，</w:t>
      </w:r>
      <w:r>
        <w:rPr>
          <w:rFonts w:hAnsi="Times New Roman" w:eastAsia="宋体"/>
          <w:szCs w:val="22"/>
          <w:lang w:eastAsia="zh-CN"/>
        </w:rPr>
        <w:t>矸石临时堆场采用防尘网覆盖的方式减少堆场扬尘的产生，同时</w:t>
      </w:r>
      <w:r>
        <w:rPr>
          <w:rFonts w:hAnsi="Times New Roman" w:eastAsia="宋体"/>
          <w:lang w:eastAsia="zh-CN"/>
        </w:rPr>
        <w:t>设置有两台雾炮机除尘。</w:t>
      </w:r>
    </w:p>
    <w:p>
      <w:pPr>
        <w:spacing w:line="360" w:lineRule="auto"/>
        <w:ind w:firstLine="480" w:firstLineChars="200"/>
        <w:rPr>
          <w:rFonts w:hAnsi="Times New Roman" w:eastAsia="宋体"/>
          <w:szCs w:val="22"/>
          <w:lang w:eastAsia="zh-CN"/>
        </w:rPr>
      </w:pPr>
      <w:r>
        <w:rPr>
          <w:rFonts w:hAnsi="Times New Roman" w:eastAsia="宋体"/>
          <w:szCs w:val="22"/>
          <w:lang w:eastAsia="zh-CN"/>
        </w:rPr>
        <w:t>现有项目煤炭堆场扬尘产生量为2.28t/a，矸石临时堆场扬尘产生量为0.228t/a。</w:t>
      </w:r>
      <w:r>
        <w:rPr>
          <w:rFonts w:hAnsi="Times New Roman" w:eastAsia="宋体"/>
          <w:lang w:eastAsia="zh-CN"/>
        </w:rPr>
        <w:t>采取措施后，项目无堆场扬尘排放量为0.774t/a，排放速率为0.098kg/h。</w:t>
      </w:r>
    </w:p>
    <w:p>
      <w:pPr>
        <w:spacing w:line="360" w:lineRule="auto"/>
        <w:ind w:firstLine="482" w:firstLineChars="200"/>
        <w:rPr>
          <w:rFonts w:hAnsi="Times New Roman" w:eastAsia="宋体"/>
          <w:b/>
          <w:bCs/>
          <w:lang w:eastAsia="zh-CN"/>
        </w:rPr>
      </w:pPr>
      <w:r>
        <w:rPr>
          <w:rFonts w:hAnsi="Times New Roman" w:eastAsia="宋体"/>
          <w:b/>
          <w:bCs/>
          <w:lang w:eastAsia="zh-CN"/>
        </w:rPr>
        <w:t>（3）道路扬尘</w:t>
      </w:r>
    </w:p>
    <w:p>
      <w:pPr>
        <w:spacing w:line="360" w:lineRule="auto"/>
        <w:ind w:firstLine="480" w:firstLineChars="200"/>
        <w:rPr>
          <w:rFonts w:hAnsi="Times New Roman" w:eastAsia="宋体"/>
          <w:lang w:eastAsia="zh-CN"/>
        </w:rPr>
      </w:pPr>
      <w:r>
        <w:rPr>
          <w:rFonts w:hAnsi="Times New Roman" w:eastAsia="宋体"/>
          <w:lang w:eastAsia="zh-CN"/>
        </w:rPr>
        <w:t>现有项目从储煤场和矸石临时堆场向北进入乡道，运输过程中，由于路面存在粉尘，在车运行的扰动下，将产生扬尘。</w:t>
      </w:r>
    </w:p>
    <w:p>
      <w:pPr>
        <w:spacing w:line="360" w:lineRule="auto"/>
        <w:ind w:firstLine="480" w:firstLineChars="200"/>
        <w:rPr>
          <w:rFonts w:hAnsi="Times New Roman" w:eastAsia="宋体"/>
          <w:lang w:eastAsia="zh-CN"/>
        </w:rPr>
      </w:pPr>
      <w:r>
        <w:rPr>
          <w:rFonts w:hAnsi="Times New Roman" w:eastAsia="宋体"/>
          <w:lang w:eastAsia="zh-CN"/>
        </w:rPr>
        <w:t>目前，建设单位通过硬化运输道路，定期清扫运输道路上的粉尘，定期洒水降尘，降低车速等措施，来降低运输过程产生的扬尘。</w:t>
      </w:r>
    </w:p>
    <w:p>
      <w:pPr>
        <w:spacing w:line="360" w:lineRule="auto"/>
        <w:ind w:firstLine="482" w:firstLineChars="200"/>
        <w:rPr>
          <w:rFonts w:hAnsi="Times New Roman" w:eastAsia="宋体"/>
          <w:b/>
          <w:bCs/>
          <w:lang w:eastAsia="zh-CN"/>
        </w:rPr>
      </w:pPr>
      <w:r>
        <w:rPr>
          <w:rFonts w:hAnsi="Times New Roman" w:eastAsia="宋体"/>
          <w:b/>
          <w:bCs/>
          <w:lang w:eastAsia="zh-CN"/>
        </w:rPr>
        <w:t>（4）瓦斯</w:t>
      </w:r>
    </w:p>
    <w:p>
      <w:pPr>
        <w:spacing w:line="360" w:lineRule="auto"/>
        <w:ind w:firstLine="480" w:firstLineChars="200"/>
        <w:rPr>
          <w:rFonts w:hAnsi="Times New Roman" w:eastAsia="宋体"/>
          <w:szCs w:val="22"/>
          <w:lang w:eastAsia="zh-CN"/>
        </w:rPr>
      </w:pPr>
      <w:r>
        <w:rPr>
          <w:rFonts w:hAnsi="Times New Roman" w:eastAsia="宋体"/>
          <w:szCs w:val="22"/>
          <w:lang w:eastAsia="zh-CN"/>
        </w:rPr>
        <w:t>根据四川科恩工程安全技术咨询有限公司《达州市宣汉县七里峡煤业有限公司七里峡煤矿（2018年度）矿井瓦斯涌出量测定报告》（报告编号201812），矿井绝对瓦斯涌出量为1.542m</w:t>
      </w:r>
      <w:r>
        <w:rPr>
          <w:rFonts w:hAnsi="Times New Roman" w:eastAsia="宋体"/>
          <w:szCs w:val="22"/>
          <w:vertAlign w:val="superscript"/>
          <w:lang w:eastAsia="zh-CN"/>
        </w:rPr>
        <w:t>3</w:t>
      </w:r>
      <w:r>
        <w:rPr>
          <w:rFonts w:hAnsi="Times New Roman" w:eastAsia="宋体"/>
          <w:szCs w:val="22"/>
          <w:lang w:eastAsia="zh-CN"/>
        </w:rPr>
        <w:t>/min，矿井相对瓦斯涌出量为5.250m</w:t>
      </w:r>
      <w:r>
        <w:rPr>
          <w:rFonts w:hAnsi="Times New Roman" w:eastAsia="宋体"/>
          <w:szCs w:val="22"/>
          <w:vertAlign w:val="superscript"/>
          <w:lang w:eastAsia="zh-CN"/>
        </w:rPr>
        <w:t>3</w:t>
      </w:r>
      <w:r>
        <w:rPr>
          <w:rFonts w:hAnsi="Times New Roman" w:eastAsia="宋体"/>
          <w:szCs w:val="22"/>
          <w:lang w:eastAsia="zh-CN"/>
        </w:rPr>
        <w:t>/t；采面绝对瓦斯涌出量最大为0.267m</w:t>
      </w:r>
      <w:r>
        <w:rPr>
          <w:rFonts w:hAnsi="Times New Roman" w:eastAsia="宋体"/>
          <w:szCs w:val="22"/>
          <w:vertAlign w:val="superscript"/>
          <w:lang w:eastAsia="zh-CN"/>
        </w:rPr>
        <w:t>3</w:t>
      </w:r>
      <w:r>
        <w:rPr>
          <w:rFonts w:hAnsi="Times New Roman" w:eastAsia="宋体"/>
          <w:szCs w:val="22"/>
          <w:lang w:eastAsia="zh-CN"/>
        </w:rPr>
        <w:t>/min，掘进面绝对瓦斯涌出量最大为0.065 m</w:t>
      </w:r>
      <w:r>
        <w:rPr>
          <w:rFonts w:hAnsi="Times New Roman" w:eastAsia="宋体"/>
          <w:szCs w:val="22"/>
          <w:vertAlign w:val="superscript"/>
          <w:lang w:eastAsia="zh-CN"/>
        </w:rPr>
        <w:t>3</w:t>
      </w:r>
      <w:r>
        <w:rPr>
          <w:rFonts w:hAnsi="Times New Roman" w:eastAsia="宋体"/>
          <w:szCs w:val="22"/>
          <w:lang w:eastAsia="zh-CN"/>
        </w:rPr>
        <w:t>/min；无瓦斯动力和喷出现象，测定七里峡煤矿为低瓦斯矿井。</w:t>
      </w:r>
    </w:p>
    <w:p>
      <w:pPr>
        <w:spacing w:line="360" w:lineRule="auto"/>
        <w:ind w:firstLine="480" w:firstLineChars="200"/>
        <w:rPr>
          <w:rFonts w:hAnsi="Times New Roman" w:eastAsia="宋体"/>
          <w:szCs w:val="22"/>
          <w:lang w:eastAsia="zh-CN"/>
        </w:rPr>
      </w:pPr>
      <w:r>
        <w:rPr>
          <w:rFonts w:hAnsi="Times New Roman" w:eastAsia="宋体"/>
          <w:szCs w:val="22"/>
          <w:lang w:eastAsia="zh-CN"/>
        </w:rPr>
        <w:t>瓦斯主要成分是烷烃，其中甲烷占绝大多数，另有少量的其他物质（氧气、氮气等）。矿井选择机械抽出式通风方法。煤矿瓦斯通过机械抽风换气系统由风井口排放，能达到《煤层气</w:t>
      </w:r>
      <w:r>
        <w:rPr>
          <w:rFonts w:hint="eastAsia" w:hAnsi="Times New Roman" w:eastAsia="宋体"/>
          <w:szCs w:val="22"/>
          <w:lang w:eastAsia="zh-CN"/>
        </w:rPr>
        <w:t>（</w:t>
      </w:r>
      <w:r>
        <w:rPr>
          <w:rFonts w:hAnsi="Times New Roman" w:eastAsia="宋体"/>
          <w:szCs w:val="22"/>
          <w:lang w:eastAsia="zh-CN"/>
        </w:rPr>
        <w:t>煤矿瓦斯</w:t>
      </w:r>
      <w:r>
        <w:rPr>
          <w:rFonts w:hint="eastAsia" w:hAnsi="Times New Roman" w:eastAsia="宋体"/>
          <w:szCs w:val="22"/>
          <w:lang w:eastAsia="zh-CN"/>
        </w:rPr>
        <w:t>）</w:t>
      </w:r>
      <w:r>
        <w:rPr>
          <w:rFonts w:hAnsi="Times New Roman" w:eastAsia="宋体"/>
          <w:szCs w:val="22"/>
          <w:lang w:eastAsia="zh-CN"/>
        </w:rPr>
        <w:t>排放标准</w:t>
      </w:r>
      <w:r>
        <w:rPr>
          <w:rFonts w:hint="eastAsia" w:hAnsi="Times New Roman" w:eastAsia="宋体"/>
          <w:szCs w:val="22"/>
          <w:lang w:eastAsia="zh-CN"/>
        </w:rPr>
        <w:t>（</w:t>
      </w:r>
      <w:r>
        <w:rPr>
          <w:rFonts w:hAnsi="Times New Roman" w:eastAsia="宋体"/>
          <w:szCs w:val="22"/>
          <w:lang w:eastAsia="zh-CN"/>
        </w:rPr>
        <w:t>暂行</w:t>
      </w:r>
      <w:r>
        <w:rPr>
          <w:rFonts w:hint="eastAsia" w:hAnsi="Times New Roman" w:eastAsia="宋体"/>
          <w:szCs w:val="22"/>
          <w:lang w:eastAsia="zh-CN"/>
        </w:rPr>
        <w:t>）</w:t>
      </w:r>
      <w:r>
        <w:rPr>
          <w:rFonts w:hAnsi="Times New Roman" w:eastAsia="宋体"/>
          <w:szCs w:val="22"/>
          <w:lang w:eastAsia="zh-CN"/>
        </w:rPr>
        <w:t>》</w:t>
      </w:r>
      <w:r>
        <w:rPr>
          <w:rFonts w:hint="eastAsia" w:hAnsi="Times New Roman" w:eastAsia="宋体"/>
          <w:szCs w:val="22"/>
          <w:lang w:eastAsia="zh-CN"/>
        </w:rPr>
        <w:t>（</w:t>
      </w:r>
      <w:r>
        <w:rPr>
          <w:rFonts w:hAnsi="Times New Roman" w:eastAsia="宋体"/>
          <w:szCs w:val="22"/>
          <w:lang w:eastAsia="zh-CN"/>
        </w:rPr>
        <w:t>GB21522-2008</w:t>
      </w:r>
      <w:r>
        <w:rPr>
          <w:rFonts w:hint="eastAsia" w:hAnsi="Times New Roman" w:eastAsia="宋体"/>
          <w:szCs w:val="22"/>
          <w:lang w:eastAsia="zh-CN"/>
        </w:rPr>
        <w:t>）</w:t>
      </w:r>
      <w:r>
        <w:rPr>
          <w:rFonts w:hAnsi="Times New Roman" w:eastAsia="宋体"/>
          <w:szCs w:val="22"/>
          <w:lang w:eastAsia="zh-CN"/>
        </w:rPr>
        <w:t>中相关要求。</w:t>
      </w:r>
    </w:p>
    <w:p>
      <w:pPr>
        <w:spacing w:line="360" w:lineRule="auto"/>
        <w:ind w:firstLine="482" w:firstLineChars="200"/>
        <w:rPr>
          <w:rFonts w:hAnsi="Times New Roman" w:eastAsia="宋体"/>
          <w:b/>
          <w:bCs/>
          <w:lang w:eastAsia="zh-CN"/>
        </w:rPr>
      </w:pPr>
      <w:r>
        <w:rPr>
          <w:rFonts w:hAnsi="Times New Roman" w:eastAsia="宋体"/>
          <w:b/>
          <w:bCs/>
          <w:lang w:eastAsia="zh-CN"/>
        </w:rPr>
        <w:t>（5）食堂油烟</w:t>
      </w:r>
    </w:p>
    <w:p>
      <w:pPr>
        <w:spacing w:line="360" w:lineRule="auto"/>
        <w:ind w:firstLine="480" w:firstLineChars="200"/>
        <w:rPr>
          <w:rFonts w:hAnsi="Times New Roman" w:eastAsia="宋体"/>
          <w:lang w:eastAsia="zh-CN"/>
        </w:rPr>
      </w:pPr>
      <w:r>
        <w:rPr>
          <w:rFonts w:hAnsi="Times New Roman" w:eastAsia="宋体"/>
          <w:lang w:eastAsia="zh-CN"/>
        </w:rPr>
        <w:t>根据现场调查，七里峡煤矿厨房内的灶台设置有油烟净化设施，由烟道引出于楼顶排放。</w:t>
      </w:r>
    </w:p>
    <w:tbl>
      <w:tblPr>
        <w:tblStyle w:val="33"/>
        <w:tblW w:w="8958" w:type="dxa"/>
        <w:tblInd w:w="5" w:type="dxa"/>
        <w:tblLayout w:type="fixed"/>
        <w:tblCellMar>
          <w:top w:w="0" w:type="dxa"/>
          <w:left w:w="108" w:type="dxa"/>
          <w:bottom w:w="0" w:type="dxa"/>
          <w:right w:w="108" w:type="dxa"/>
        </w:tblCellMar>
      </w:tblPr>
      <w:tblGrid>
        <w:gridCol w:w="4479"/>
        <w:gridCol w:w="4479"/>
      </w:tblGrid>
      <w:tr>
        <w:tblPrEx>
          <w:tblCellMar>
            <w:top w:w="0" w:type="dxa"/>
            <w:left w:w="108" w:type="dxa"/>
            <w:bottom w:w="0" w:type="dxa"/>
            <w:right w:w="108" w:type="dxa"/>
          </w:tblCellMar>
        </w:tblPrEx>
        <w:tc>
          <w:tcPr>
            <w:tcW w:w="4479" w:type="dxa"/>
            <w:vAlign w:val="center"/>
          </w:tcPr>
          <w:p>
            <w:pPr>
              <w:pStyle w:val="19"/>
              <w:keepNext w:val="0"/>
              <w:keepLines w:val="0"/>
              <w:suppressLineNumbers w:val="0"/>
              <w:spacing w:before="0" w:beforeAutospacing="0" w:after="0" w:afterAutospacing="0" w:line="240" w:lineRule="auto"/>
              <w:ind w:left="0" w:right="0" w:firstLine="0" w:firstLineChars="0"/>
              <w:jc w:val="center"/>
              <w:rPr>
                <w:rFonts w:hint="eastAsia"/>
                <w:highlight w:val="yellow"/>
              </w:rPr>
            </w:pPr>
            <w:r>
              <w:rPr>
                <w:rFonts w:hint="eastAsia"/>
              </w:rPr>
              <w:drawing>
                <wp:inline distT="0" distB="0" distL="114300" distR="114300">
                  <wp:extent cx="1924050" cy="1892300"/>
                  <wp:effectExtent l="0" t="0" r="0" b="12700"/>
                  <wp:docPr id="63"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5"/>
                          <pic:cNvPicPr>
                            <a:picLocks noChangeAspect="1"/>
                          </pic:cNvPicPr>
                        </pic:nvPicPr>
                        <pic:blipFill>
                          <a:blip r:embed="rId50"/>
                          <a:stretch>
                            <a:fillRect/>
                          </a:stretch>
                        </pic:blipFill>
                        <pic:spPr>
                          <a:xfrm>
                            <a:off x="0" y="0"/>
                            <a:ext cx="1924050" cy="1892300"/>
                          </a:xfrm>
                          <a:prstGeom prst="rect">
                            <a:avLst/>
                          </a:prstGeom>
                          <a:noFill/>
                          <a:ln>
                            <a:noFill/>
                          </a:ln>
                        </pic:spPr>
                      </pic:pic>
                    </a:graphicData>
                  </a:graphic>
                </wp:inline>
              </w:drawing>
            </w:r>
          </w:p>
        </w:tc>
        <w:tc>
          <w:tcPr>
            <w:tcW w:w="4479" w:type="dxa"/>
            <w:vAlign w:val="center"/>
          </w:tcPr>
          <w:p>
            <w:pPr>
              <w:pStyle w:val="19"/>
              <w:keepNext w:val="0"/>
              <w:keepLines w:val="0"/>
              <w:suppressLineNumbers w:val="0"/>
              <w:spacing w:before="0" w:beforeAutospacing="0" w:after="0" w:afterAutospacing="0" w:line="240" w:lineRule="auto"/>
              <w:ind w:left="0" w:right="0" w:firstLine="0" w:firstLineChars="0"/>
              <w:rPr>
                <w:rFonts w:hint="eastAsia"/>
                <w:highlight w:val="yellow"/>
              </w:rPr>
            </w:pPr>
            <w:r>
              <w:rPr>
                <w:rFonts w:hint="eastAsia"/>
              </w:rPr>
              <w:drawing>
                <wp:inline distT="0" distB="0" distL="114300" distR="114300">
                  <wp:extent cx="2703830" cy="1593850"/>
                  <wp:effectExtent l="0" t="0" r="1270" b="6350"/>
                  <wp:docPr id="2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4"/>
                          <pic:cNvPicPr>
                            <a:picLocks noChangeAspect="1"/>
                          </pic:cNvPicPr>
                        </pic:nvPicPr>
                        <pic:blipFill>
                          <a:blip r:embed="rId51"/>
                          <a:stretch>
                            <a:fillRect/>
                          </a:stretch>
                        </pic:blipFill>
                        <pic:spPr>
                          <a:xfrm>
                            <a:off x="0" y="0"/>
                            <a:ext cx="2703830" cy="1593850"/>
                          </a:xfrm>
                          <a:prstGeom prst="rect">
                            <a:avLst/>
                          </a:prstGeom>
                          <a:noFill/>
                          <a:ln>
                            <a:noFill/>
                          </a:ln>
                        </pic:spPr>
                      </pic:pic>
                    </a:graphicData>
                  </a:graphic>
                </wp:inline>
              </w:drawing>
            </w:r>
          </w:p>
        </w:tc>
      </w:tr>
      <w:tr>
        <w:tblPrEx>
          <w:tblCellMar>
            <w:top w:w="0" w:type="dxa"/>
            <w:left w:w="108" w:type="dxa"/>
            <w:bottom w:w="0" w:type="dxa"/>
            <w:right w:w="108" w:type="dxa"/>
          </w:tblCellMar>
        </w:tblPrEx>
        <w:tc>
          <w:tcPr>
            <w:tcW w:w="4479" w:type="dxa"/>
            <w:vAlign w:val="center"/>
          </w:tcPr>
          <w:p>
            <w:pPr>
              <w:pStyle w:val="19"/>
              <w:keepNext w:val="0"/>
              <w:keepLines w:val="0"/>
              <w:suppressLineNumbers w:val="0"/>
              <w:spacing w:before="0" w:beforeAutospacing="0" w:after="0" w:afterAutospacing="0" w:line="240" w:lineRule="auto"/>
              <w:ind w:left="0" w:right="0" w:firstLine="0" w:firstLineChars="0"/>
              <w:jc w:val="center"/>
              <w:rPr>
                <w:rFonts w:hint="eastAsia"/>
                <w:sz w:val="21"/>
                <w:szCs w:val="21"/>
                <w:lang w:eastAsia="zh-CN"/>
              </w:rPr>
            </w:pPr>
            <w:r>
              <w:rPr>
                <w:rFonts w:hint="eastAsia"/>
                <w:sz w:val="21"/>
                <w:szCs w:val="21"/>
              </w:rPr>
              <w:t>煤炭堆场喷淋</w:t>
            </w:r>
            <w:r>
              <w:rPr>
                <w:rFonts w:hint="eastAsia"/>
                <w:sz w:val="21"/>
                <w:szCs w:val="21"/>
                <w:lang w:eastAsia="zh-CN"/>
              </w:rPr>
              <w:t>水</w:t>
            </w:r>
            <w:r>
              <w:rPr>
                <w:rFonts w:hint="eastAsia"/>
                <w:sz w:val="21"/>
                <w:szCs w:val="21"/>
              </w:rPr>
              <w:t>管</w:t>
            </w:r>
            <w:r>
              <w:rPr>
                <w:rFonts w:hint="eastAsia"/>
                <w:sz w:val="21"/>
                <w:szCs w:val="21"/>
                <w:lang w:eastAsia="zh-CN"/>
              </w:rPr>
              <w:t>及半封闭式彩钢棚</w:t>
            </w:r>
          </w:p>
        </w:tc>
        <w:tc>
          <w:tcPr>
            <w:tcW w:w="4479" w:type="dxa"/>
            <w:vAlign w:val="center"/>
          </w:tcPr>
          <w:p>
            <w:pPr>
              <w:pStyle w:val="19"/>
              <w:keepNext w:val="0"/>
              <w:keepLines w:val="0"/>
              <w:suppressLineNumbers w:val="0"/>
              <w:spacing w:before="0" w:beforeAutospacing="0" w:after="0" w:afterAutospacing="0" w:line="240" w:lineRule="auto"/>
              <w:ind w:left="0" w:right="0" w:firstLine="0" w:firstLineChars="0"/>
              <w:jc w:val="center"/>
              <w:rPr>
                <w:rFonts w:hint="eastAsia"/>
                <w:sz w:val="21"/>
                <w:szCs w:val="21"/>
                <w:lang w:eastAsia="zh-CN"/>
              </w:rPr>
            </w:pPr>
            <w:r>
              <w:rPr>
                <w:rFonts w:hint="eastAsia"/>
                <w:sz w:val="21"/>
                <w:szCs w:val="21"/>
              </w:rPr>
              <w:t>矸石临时堆场</w:t>
            </w:r>
            <w:r>
              <w:rPr>
                <w:rFonts w:hint="eastAsia"/>
                <w:sz w:val="21"/>
                <w:szCs w:val="21"/>
                <w:lang w:eastAsia="zh-CN"/>
              </w:rPr>
              <w:t>喷淋水管</w:t>
            </w:r>
          </w:p>
        </w:tc>
      </w:tr>
      <w:tr>
        <w:tblPrEx>
          <w:tblCellMar>
            <w:top w:w="0" w:type="dxa"/>
            <w:left w:w="108" w:type="dxa"/>
            <w:bottom w:w="0" w:type="dxa"/>
            <w:right w:w="108" w:type="dxa"/>
          </w:tblCellMar>
        </w:tblPrEx>
        <w:trPr>
          <w:trHeight w:val="90" w:hRule="atLeast"/>
        </w:trPr>
        <w:tc>
          <w:tcPr>
            <w:tcW w:w="4479" w:type="dxa"/>
            <w:vAlign w:val="center"/>
          </w:tcPr>
          <w:p>
            <w:pPr>
              <w:pStyle w:val="19"/>
              <w:keepNext w:val="0"/>
              <w:keepLines w:val="0"/>
              <w:suppressLineNumbers w:val="0"/>
              <w:spacing w:before="0" w:beforeAutospacing="0" w:after="0" w:afterAutospacing="0" w:line="240" w:lineRule="auto"/>
              <w:ind w:left="0" w:right="0" w:firstLine="0" w:firstLineChars="0"/>
              <w:jc w:val="center"/>
              <w:rPr>
                <w:rFonts w:hint="eastAsia"/>
              </w:rPr>
            </w:pPr>
            <w:r>
              <w:rPr>
                <w:rFonts w:hint="eastAsia"/>
              </w:rPr>
              <w:drawing>
                <wp:inline distT="0" distB="0" distL="114300" distR="114300">
                  <wp:extent cx="2701290" cy="2662555"/>
                  <wp:effectExtent l="0" t="0" r="3810" b="4445"/>
                  <wp:docPr id="24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50"/>
                          <pic:cNvPicPr>
                            <a:picLocks noChangeAspect="1"/>
                          </pic:cNvPicPr>
                        </pic:nvPicPr>
                        <pic:blipFill>
                          <a:blip r:embed="rId52"/>
                          <a:stretch>
                            <a:fillRect/>
                          </a:stretch>
                        </pic:blipFill>
                        <pic:spPr>
                          <a:xfrm>
                            <a:off x="0" y="0"/>
                            <a:ext cx="2701290" cy="2662555"/>
                          </a:xfrm>
                          <a:prstGeom prst="rect">
                            <a:avLst/>
                          </a:prstGeom>
                          <a:noFill/>
                          <a:ln>
                            <a:noFill/>
                          </a:ln>
                        </pic:spPr>
                      </pic:pic>
                    </a:graphicData>
                  </a:graphic>
                </wp:inline>
              </w:drawing>
            </w:r>
          </w:p>
        </w:tc>
        <w:tc>
          <w:tcPr>
            <w:tcW w:w="4479" w:type="dxa"/>
            <w:vAlign w:val="center"/>
          </w:tcPr>
          <w:p>
            <w:pPr>
              <w:pStyle w:val="19"/>
              <w:keepNext w:val="0"/>
              <w:keepLines w:val="0"/>
              <w:suppressLineNumbers w:val="0"/>
              <w:spacing w:before="0" w:beforeAutospacing="0" w:after="0" w:afterAutospacing="0" w:line="240" w:lineRule="auto"/>
              <w:ind w:left="0" w:right="0" w:firstLine="0" w:firstLineChars="0"/>
              <w:jc w:val="center"/>
              <w:rPr>
                <w:rFonts w:hint="eastAsia"/>
              </w:rPr>
            </w:pPr>
            <w:r>
              <w:rPr>
                <w:rFonts w:hint="eastAsia"/>
              </w:rPr>
              <w:drawing>
                <wp:inline distT="0" distB="0" distL="114300" distR="114300">
                  <wp:extent cx="2710815" cy="2595245"/>
                  <wp:effectExtent l="0" t="0" r="13335" b="14605"/>
                  <wp:docPr id="23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19"/>
                          <pic:cNvPicPr>
                            <a:picLocks noChangeAspect="1"/>
                          </pic:cNvPicPr>
                        </pic:nvPicPr>
                        <pic:blipFill>
                          <a:blip r:embed="rId53"/>
                          <a:stretch>
                            <a:fillRect/>
                          </a:stretch>
                        </pic:blipFill>
                        <pic:spPr>
                          <a:xfrm>
                            <a:off x="0" y="0"/>
                            <a:ext cx="2710815" cy="2595245"/>
                          </a:xfrm>
                          <a:prstGeom prst="rect">
                            <a:avLst/>
                          </a:prstGeom>
                          <a:noFill/>
                          <a:ln>
                            <a:noFill/>
                          </a:ln>
                        </pic:spPr>
                      </pic:pic>
                    </a:graphicData>
                  </a:graphic>
                </wp:inline>
              </w:drawing>
            </w:r>
          </w:p>
        </w:tc>
      </w:tr>
      <w:tr>
        <w:tblPrEx>
          <w:tblCellMar>
            <w:top w:w="0" w:type="dxa"/>
            <w:left w:w="108" w:type="dxa"/>
            <w:bottom w:w="0" w:type="dxa"/>
            <w:right w:w="108" w:type="dxa"/>
          </w:tblCellMar>
        </w:tblPrEx>
        <w:tc>
          <w:tcPr>
            <w:tcW w:w="4479" w:type="dxa"/>
            <w:vAlign w:val="center"/>
          </w:tcPr>
          <w:p>
            <w:pPr>
              <w:pStyle w:val="19"/>
              <w:keepNext w:val="0"/>
              <w:keepLines w:val="0"/>
              <w:suppressLineNumbers w:val="0"/>
              <w:spacing w:before="0" w:beforeAutospacing="0" w:after="0" w:afterAutospacing="0" w:line="240" w:lineRule="auto"/>
              <w:ind w:left="0" w:right="0" w:firstLine="0" w:firstLineChars="0"/>
              <w:jc w:val="center"/>
              <w:rPr>
                <w:rFonts w:hint="eastAsia"/>
                <w:b/>
                <w:bCs w:val="0"/>
                <w:sz w:val="21"/>
                <w:szCs w:val="21"/>
                <w:lang w:eastAsia="zh-CN"/>
              </w:rPr>
            </w:pPr>
            <w:r>
              <w:rPr>
                <w:rFonts w:hint="eastAsia"/>
                <w:b/>
                <w:bCs w:val="0"/>
                <w:sz w:val="21"/>
                <w:szCs w:val="21"/>
                <w:lang w:eastAsia="zh-CN"/>
              </w:rPr>
              <w:t>运输轨道设置封闭式彩钢棚及喷雾设施</w:t>
            </w:r>
          </w:p>
        </w:tc>
        <w:tc>
          <w:tcPr>
            <w:tcW w:w="4479" w:type="dxa"/>
            <w:vAlign w:val="center"/>
          </w:tcPr>
          <w:p>
            <w:pPr>
              <w:pStyle w:val="19"/>
              <w:keepNext w:val="0"/>
              <w:keepLines w:val="0"/>
              <w:suppressLineNumbers w:val="0"/>
              <w:spacing w:before="0" w:beforeAutospacing="0" w:after="0" w:afterAutospacing="0" w:line="240" w:lineRule="auto"/>
              <w:ind w:left="0" w:right="0" w:firstLine="0" w:firstLineChars="0"/>
              <w:jc w:val="center"/>
              <w:rPr>
                <w:rFonts w:hint="eastAsia"/>
                <w:b/>
                <w:bCs w:val="0"/>
                <w:sz w:val="21"/>
                <w:szCs w:val="21"/>
              </w:rPr>
            </w:pPr>
            <w:r>
              <w:rPr>
                <w:rFonts w:hint="eastAsia"/>
                <w:b/>
                <w:bCs w:val="0"/>
                <w:sz w:val="21"/>
                <w:szCs w:val="21"/>
                <w:lang w:eastAsia="zh-CN"/>
              </w:rPr>
              <w:t>食堂油烟净化装置</w:t>
            </w:r>
          </w:p>
        </w:tc>
      </w:tr>
      <w:tr>
        <w:tblPrEx>
          <w:tblCellMar>
            <w:top w:w="0" w:type="dxa"/>
            <w:left w:w="108" w:type="dxa"/>
            <w:bottom w:w="0" w:type="dxa"/>
            <w:right w:w="108" w:type="dxa"/>
          </w:tblCellMar>
        </w:tblPrEx>
        <w:tc>
          <w:tcPr>
            <w:tcW w:w="8958" w:type="dxa"/>
            <w:gridSpan w:val="2"/>
            <w:vAlign w:val="center"/>
          </w:tcPr>
          <w:p>
            <w:pPr>
              <w:keepNext w:val="0"/>
              <w:keepLines w:val="0"/>
              <w:suppressLineNumbers w:val="0"/>
              <w:spacing w:before="0" w:beforeAutospacing="0" w:after="0" w:afterAutospacing="0" w:line="300" w:lineRule="exact"/>
              <w:ind w:left="0" w:right="0" w:firstLine="422" w:firstLineChars="200"/>
              <w:jc w:val="center"/>
              <w:rPr>
                <w:rFonts w:hint="eastAsia" w:hAnsi="Times New Roman" w:eastAsia="宋体"/>
                <w:b/>
                <w:kern w:val="2"/>
                <w:sz w:val="21"/>
                <w:szCs w:val="21"/>
              </w:rPr>
            </w:pPr>
            <w:r>
              <w:rPr>
                <w:rFonts w:hint="eastAsia" w:hAnsi="Times New Roman" w:eastAsia="宋体"/>
                <w:b/>
                <w:kern w:val="2"/>
                <w:sz w:val="21"/>
                <w:szCs w:val="21"/>
                <w:lang w:eastAsia="zh-CN"/>
              </w:rPr>
              <w:t>图 2.1-2 现有工程废气处理措施</w:t>
            </w:r>
          </w:p>
        </w:tc>
      </w:tr>
    </w:tbl>
    <w:p>
      <w:pPr>
        <w:pStyle w:val="9"/>
        <w:spacing w:line="360" w:lineRule="auto"/>
        <w:rPr>
          <w:rFonts w:hint="default" w:ascii="Times New Roman" w:hAnsi="Times New Roman"/>
          <w:szCs w:val="22"/>
          <w:lang w:eastAsia="zh-CN"/>
        </w:rPr>
      </w:pPr>
      <w:r>
        <w:rPr>
          <w:rFonts w:hint="default" w:ascii="Times New Roman" w:hAnsi="Times New Roman"/>
          <w:szCs w:val="22"/>
          <w:lang w:eastAsia="zh-CN"/>
        </w:rPr>
        <w:t>2.1.2.2.2现有项目废气达标性分析</w:t>
      </w:r>
    </w:p>
    <w:p>
      <w:pPr>
        <w:spacing w:line="360" w:lineRule="auto"/>
        <w:ind w:firstLine="480" w:firstLineChars="200"/>
        <w:rPr>
          <w:rFonts w:hAnsi="Times New Roman" w:eastAsia="宋体"/>
          <w:lang w:eastAsia="zh-CN"/>
        </w:rPr>
      </w:pPr>
      <w:r>
        <w:rPr>
          <w:rFonts w:hAnsi="Times New Roman" w:eastAsia="宋体"/>
          <w:lang w:eastAsia="zh-CN"/>
        </w:rPr>
        <w:t>现有项目</w:t>
      </w:r>
      <w:r>
        <w:rPr>
          <w:rFonts w:hint="eastAsia" w:hAnsi="Times New Roman" w:eastAsia="宋体"/>
          <w:lang w:eastAsia="zh-CN"/>
        </w:rPr>
        <w:t>废气</w:t>
      </w:r>
      <w:r>
        <w:rPr>
          <w:rFonts w:hAnsi="Times New Roman" w:eastAsia="宋体"/>
          <w:lang w:eastAsia="zh-CN"/>
        </w:rPr>
        <w:t>主要来</w:t>
      </w:r>
      <w:r>
        <w:rPr>
          <w:rFonts w:hint="eastAsia" w:hAnsi="Times New Roman" w:eastAsia="宋体"/>
          <w:lang w:eastAsia="zh-CN"/>
        </w:rPr>
        <w:t>储煤场、临时矸石堆场转运扬尘</w:t>
      </w:r>
      <w:r>
        <w:rPr>
          <w:rFonts w:hAnsi="Times New Roman" w:eastAsia="宋体"/>
          <w:lang w:eastAsia="zh-CN"/>
        </w:rPr>
        <w:t>。</w:t>
      </w:r>
    </w:p>
    <w:p>
      <w:pPr>
        <w:spacing w:line="360" w:lineRule="auto"/>
        <w:ind w:firstLine="480" w:firstLineChars="200"/>
        <w:rPr>
          <w:rFonts w:hAnsi="Times New Roman" w:eastAsia="宋体"/>
          <w:lang w:eastAsia="zh-CN"/>
        </w:rPr>
      </w:pPr>
      <w:r>
        <w:rPr>
          <w:rFonts w:hAnsi="Times New Roman" w:eastAsia="宋体"/>
          <w:lang w:eastAsia="zh-CN"/>
        </w:rPr>
        <w:t>因环评阶段现有项目停产，因此未对现有项目</w:t>
      </w:r>
      <w:r>
        <w:rPr>
          <w:rFonts w:hint="eastAsia" w:hAnsi="Times New Roman" w:eastAsia="宋体"/>
          <w:lang w:eastAsia="zh-CN"/>
        </w:rPr>
        <w:t>无组织废气</w:t>
      </w:r>
      <w:r>
        <w:rPr>
          <w:rFonts w:hAnsi="Times New Roman" w:eastAsia="宋体"/>
          <w:lang w:eastAsia="zh-CN"/>
        </w:rPr>
        <w:t>进行实测，本次评价收集了《达州市宣汉县七里峡煤业有限公司七里峡煤矿150kt/a改扩建项目竣工环境保护验收调查报告验收检测》（川华检字（2018）第 2646号）对工业广场的</w:t>
      </w:r>
      <w:r>
        <w:rPr>
          <w:rFonts w:hint="eastAsia" w:hAnsi="Times New Roman" w:eastAsia="宋体"/>
          <w:lang w:eastAsia="zh-CN"/>
        </w:rPr>
        <w:t>无组织废气</w:t>
      </w:r>
      <w:r>
        <w:rPr>
          <w:rFonts w:hAnsi="Times New Roman" w:eastAsia="宋体"/>
          <w:lang w:eastAsia="zh-CN"/>
        </w:rPr>
        <w:t>排放监测数据，以此来说明现有项目运营期间，工业广场厂界</w:t>
      </w:r>
      <w:r>
        <w:rPr>
          <w:rFonts w:hint="eastAsia" w:hAnsi="Times New Roman" w:eastAsia="宋体"/>
          <w:lang w:eastAsia="zh-CN"/>
        </w:rPr>
        <w:t>无组织废气</w:t>
      </w:r>
      <w:r>
        <w:rPr>
          <w:rFonts w:hAnsi="Times New Roman" w:eastAsia="宋体"/>
          <w:lang w:eastAsia="zh-CN"/>
        </w:rPr>
        <w:t>排放情况，如下表所示。</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表2.1-</w:t>
      </w:r>
      <w:r>
        <w:rPr>
          <w:rFonts w:hint="eastAsia" w:hAnsi="Times New Roman" w:eastAsia="宋体"/>
          <w:b/>
          <w:bCs/>
          <w:sz w:val="21"/>
          <w:szCs w:val="21"/>
          <w:lang w:eastAsia="zh-CN"/>
        </w:rPr>
        <w:t>4</w:t>
      </w:r>
      <w:r>
        <w:rPr>
          <w:rFonts w:hAnsi="Times New Roman" w:eastAsia="宋体"/>
          <w:b/>
          <w:bCs/>
          <w:sz w:val="21"/>
          <w:szCs w:val="21"/>
          <w:lang w:eastAsia="zh-CN"/>
        </w:rPr>
        <w:t xml:space="preserve"> 现有项目无组织废气检测结果表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7"/>
        <w:gridCol w:w="1173"/>
        <w:gridCol w:w="2609"/>
        <w:gridCol w:w="979"/>
        <w:gridCol w:w="1036"/>
        <w:gridCol w:w="1049"/>
        <w:gridCol w:w="924"/>
        <w:gridCol w:w="8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blHeader/>
          <w:jc w:val="center"/>
        </w:trPr>
        <w:tc>
          <w:tcPr>
            <w:tcW w:w="409" w:type="pct"/>
            <w:vMerge w:val="restart"/>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检测因子</w:t>
            </w:r>
          </w:p>
        </w:tc>
        <w:tc>
          <w:tcPr>
            <w:tcW w:w="454" w:type="pct"/>
            <w:vMerge w:val="restart"/>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检测日期</w:t>
            </w:r>
          </w:p>
        </w:tc>
        <w:tc>
          <w:tcPr>
            <w:tcW w:w="1421" w:type="pct"/>
            <w:vMerge w:val="restart"/>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检测点编号及位置</w:t>
            </w:r>
          </w:p>
        </w:tc>
        <w:tc>
          <w:tcPr>
            <w:tcW w:w="2232" w:type="pct"/>
            <w:gridSpan w:val="4"/>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检测数据</w:t>
            </w:r>
          </w:p>
        </w:tc>
        <w:tc>
          <w:tcPr>
            <w:tcW w:w="485"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b/>
                <w:kern w:val="2"/>
                <w:sz w:val="21"/>
                <w:szCs w:val="21"/>
                <w:lang w:eastAsia="zh-CN"/>
              </w:rPr>
            </w:pPr>
            <w:r>
              <w:rPr>
                <w:rFonts w:hint="eastAsia" w:hAnsi="Times New Roman" w:eastAsia="宋体"/>
                <w:b/>
                <w:kern w:val="2"/>
                <w:sz w:val="21"/>
                <w:szCs w:val="21"/>
                <w:lang w:eastAsia="zh-CN"/>
              </w:rPr>
              <w:t>排放限值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tblHeader/>
          <w:jc w:val="center"/>
        </w:trPr>
        <w:tc>
          <w:tcPr>
            <w:tcW w:w="409"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p>
        </w:tc>
        <w:tc>
          <w:tcPr>
            <w:tcW w:w="454"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p>
        </w:tc>
        <w:tc>
          <w:tcPr>
            <w:tcW w:w="1421"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p>
        </w:tc>
        <w:tc>
          <w:tcPr>
            <w:tcW w:w="549" w:type="pct"/>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第一次</w:t>
            </w:r>
          </w:p>
        </w:tc>
        <w:tc>
          <w:tcPr>
            <w:tcW w:w="579" w:type="pct"/>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第二次</w:t>
            </w:r>
          </w:p>
        </w:tc>
        <w:tc>
          <w:tcPr>
            <w:tcW w:w="586" w:type="pct"/>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第三次</w:t>
            </w:r>
          </w:p>
        </w:tc>
        <w:tc>
          <w:tcPr>
            <w:tcW w:w="519" w:type="pct"/>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第四次</w:t>
            </w:r>
          </w:p>
        </w:tc>
        <w:tc>
          <w:tcPr>
            <w:tcW w:w="485"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b/>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1" w:hRule="atLeast"/>
          <w:jc w:val="center"/>
        </w:trPr>
        <w:tc>
          <w:tcPr>
            <w:tcW w:w="409" w:type="pct"/>
            <w:vMerge w:val="restar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颗</w:t>
            </w:r>
          </w:p>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粒</w:t>
            </w:r>
          </w:p>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物</w:t>
            </w:r>
          </w:p>
        </w:tc>
        <w:tc>
          <w:tcPr>
            <w:tcW w:w="454" w:type="pct"/>
            <w:vMerge w:val="restar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2019/01/22</w:t>
            </w:r>
          </w:p>
        </w:tc>
        <w:tc>
          <w:tcPr>
            <w:tcW w:w="1421"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1#，住宿楼南侧厂界外约3m处（参考点）</w:t>
            </w:r>
          </w:p>
        </w:tc>
        <w:tc>
          <w:tcPr>
            <w:tcW w:w="549"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0.232</w:t>
            </w:r>
          </w:p>
        </w:tc>
        <w:tc>
          <w:tcPr>
            <w:tcW w:w="579"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0.206</w:t>
            </w:r>
          </w:p>
        </w:tc>
        <w:tc>
          <w:tcPr>
            <w:tcW w:w="586"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0.243</w:t>
            </w:r>
          </w:p>
        </w:tc>
        <w:tc>
          <w:tcPr>
            <w:tcW w:w="519"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0.215</w:t>
            </w:r>
          </w:p>
        </w:tc>
        <w:tc>
          <w:tcPr>
            <w:tcW w:w="485"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1" w:hRule="atLeast"/>
          <w:jc w:val="center"/>
        </w:trPr>
        <w:tc>
          <w:tcPr>
            <w:tcW w:w="409"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454"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1421"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2#，煤炭堆场西侧厂界外约2m处（监控点）</w:t>
            </w:r>
          </w:p>
        </w:tc>
        <w:tc>
          <w:tcPr>
            <w:tcW w:w="549"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0.089</w:t>
            </w:r>
          </w:p>
        </w:tc>
        <w:tc>
          <w:tcPr>
            <w:tcW w:w="579"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0.152</w:t>
            </w:r>
          </w:p>
        </w:tc>
        <w:tc>
          <w:tcPr>
            <w:tcW w:w="586"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0.099</w:t>
            </w:r>
          </w:p>
        </w:tc>
        <w:tc>
          <w:tcPr>
            <w:tcW w:w="519"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0.144</w:t>
            </w:r>
          </w:p>
        </w:tc>
        <w:tc>
          <w:tcPr>
            <w:tcW w:w="485"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1" w:hRule="atLeast"/>
          <w:jc w:val="center"/>
        </w:trPr>
        <w:tc>
          <w:tcPr>
            <w:tcW w:w="409"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454"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1421"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3#，煤炭堆场北侧厂界外约2m处（监控点）</w:t>
            </w:r>
          </w:p>
        </w:tc>
        <w:tc>
          <w:tcPr>
            <w:tcW w:w="549"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0.116</w:t>
            </w:r>
          </w:p>
        </w:tc>
        <w:tc>
          <w:tcPr>
            <w:tcW w:w="579"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0.170</w:t>
            </w:r>
          </w:p>
        </w:tc>
        <w:tc>
          <w:tcPr>
            <w:tcW w:w="586"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0.153</w:t>
            </w:r>
          </w:p>
        </w:tc>
        <w:tc>
          <w:tcPr>
            <w:tcW w:w="519"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0.126</w:t>
            </w:r>
          </w:p>
        </w:tc>
        <w:tc>
          <w:tcPr>
            <w:tcW w:w="485"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1" w:hRule="atLeast"/>
          <w:jc w:val="center"/>
        </w:trPr>
        <w:tc>
          <w:tcPr>
            <w:tcW w:w="409"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454"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1421"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4#，煤炭堆场东北侧厂界外约2m处（监控点）</w:t>
            </w:r>
          </w:p>
        </w:tc>
        <w:tc>
          <w:tcPr>
            <w:tcW w:w="549"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0.125</w:t>
            </w:r>
          </w:p>
        </w:tc>
        <w:tc>
          <w:tcPr>
            <w:tcW w:w="579"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0.197</w:t>
            </w:r>
          </w:p>
        </w:tc>
        <w:tc>
          <w:tcPr>
            <w:tcW w:w="586"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0.108</w:t>
            </w:r>
          </w:p>
        </w:tc>
        <w:tc>
          <w:tcPr>
            <w:tcW w:w="519"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0.162</w:t>
            </w:r>
          </w:p>
        </w:tc>
        <w:tc>
          <w:tcPr>
            <w:tcW w:w="485"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1" w:hRule="atLeast"/>
          <w:jc w:val="center"/>
        </w:trPr>
        <w:tc>
          <w:tcPr>
            <w:tcW w:w="409"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454"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1421"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5#，矸石堆场东侧厂界外约2m处（监控点）</w:t>
            </w:r>
          </w:p>
        </w:tc>
        <w:tc>
          <w:tcPr>
            <w:tcW w:w="549"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0.098</w:t>
            </w:r>
          </w:p>
        </w:tc>
        <w:tc>
          <w:tcPr>
            <w:tcW w:w="579"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0.179</w:t>
            </w:r>
          </w:p>
        </w:tc>
        <w:tc>
          <w:tcPr>
            <w:tcW w:w="586"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0.126</w:t>
            </w:r>
          </w:p>
        </w:tc>
        <w:tc>
          <w:tcPr>
            <w:tcW w:w="519"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0.180</w:t>
            </w:r>
          </w:p>
        </w:tc>
        <w:tc>
          <w:tcPr>
            <w:tcW w:w="485"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1" w:hRule="atLeast"/>
          <w:jc w:val="center"/>
        </w:trPr>
        <w:tc>
          <w:tcPr>
            <w:tcW w:w="409"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454" w:type="pct"/>
            <w:vMerge w:val="restar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2019/01/23</w:t>
            </w:r>
          </w:p>
        </w:tc>
        <w:tc>
          <w:tcPr>
            <w:tcW w:w="1421"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1#，住宿楼南侧厂界外约3m处（参考点）</w:t>
            </w:r>
          </w:p>
        </w:tc>
        <w:tc>
          <w:tcPr>
            <w:tcW w:w="549"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0.223</w:t>
            </w:r>
          </w:p>
        </w:tc>
        <w:tc>
          <w:tcPr>
            <w:tcW w:w="579"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0.242</w:t>
            </w:r>
          </w:p>
        </w:tc>
        <w:tc>
          <w:tcPr>
            <w:tcW w:w="586"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0.207</w:t>
            </w:r>
          </w:p>
        </w:tc>
        <w:tc>
          <w:tcPr>
            <w:tcW w:w="519"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0.242</w:t>
            </w:r>
          </w:p>
        </w:tc>
        <w:tc>
          <w:tcPr>
            <w:tcW w:w="485"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bCs/>
                <w:kern w:val="2"/>
                <w:sz w:val="21"/>
                <w:szCs w:val="21"/>
                <w:lang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1" w:hRule="atLeast"/>
          <w:jc w:val="center"/>
        </w:trPr>
        <w:tc>
          <w:tcPr>
            <w:tcW w:w="409"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454"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1421"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2#，煤炭堆场西侧厂界外约2m处（监控点）</w:t>
            </w:r>
          </w:p>
        </w:tc>
        <w:tc>
          <w:tcPr>
            <w:tcW w:w="549"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0.152</w:t>
            </w:r>
          </w:p>
        </w:tc>
        <w:tc>
          <w:tcPr>
            <w:tcW w:w="579"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0.099</w:t>
            </w:r>
          </w:p>
        </w:tc>
        <w:tc>
          <w:tcPr>
            <w:tcW w:w="586"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0.171</w:t>
            </w:r>
          </w:p>
        </w:tc>
        <w:tc>
          <w:tcPr>
            <w:tcW w:w="519"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0.090</w:t>
            </w:r>
          </w:p>
        </w:tc>
        <w:tc>
          <w:tcPr>
            <w:tcW w:w="485"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1" w:hRule="atLeast"/>
          <w:jc w:val="center"/>
        </w:trPr>
        <w:tc>
          <w:tcPr>
            <w:tcW w:w="409"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454"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1421"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3#，煤炭堆场北侧厂界外约2m处（监控点）</w:t>
            </w:r>
          </w:p>
        </w:tc>
        <w:tc>
          <w:tcPr>
            <w:tcW w:w="549"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0.161</w:t>
            </w:r>
          </w:p>
        </w:tc>
        <w:tc>
          <w:tcPr>
            <w:tcW w:w="579"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0.162</w:t>
            </w:r>
          </w:p>
        </w:tc>
        <w:tc>
          <w:tcPr>
            <w:tcW w:w="586"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0.144</w:t>
            </w:r>
          </w:p>
        </w:tc>
        <w:tc>
          <w:tcPr>
            <w:tcW w:w="519"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0.081</w:t>
            </w:r>
          </w:p>
        </w:tc>
        <w:tc>
          <w:tcPr>
            <w:tcW w:w="485"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1" w:hRule="atLeast"/>
          <w:jc w:val="center"/>
        </w:trPr>
        <w:tc>
          <w:tcPr>
            <w:tcW w:w="409"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454"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1421"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4#，煤炭堆场东北侧厂界外约2m处（监控点）</w:t>
            </w:r>
          </w:p>
        </w:tc>
        <w:tc>
          <w:tcPr>
            <w:tcW w:w="549"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0.152</w:t>
            </w:r>
          </w:p>
        </w:tc>
        <w:tc>
          <w:tcPr>
            <w:tcW w:w="579"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0.099</w:t>
            </w:r>
          </w:p>
        </w:tc>
        <w:tc>
          <w:tcPr>
            <w:tcW w:w="586"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0.162</w:t>
            </w:r>
          </w:p>
        </w:tc>
        <w:tc>
          <w:tcPr>
            <w:tcW w:w="519"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0.135</w:t>
            </w:r>
          </w:p>
        </w:tc>
        <w:tc>
          <w:tcPr>
            <w:tcW w:w="485"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1" w:hRule="atLeast"/>
          <w:jc w:val="center"/>
        </w:trPr>
        <w:tc>
          <w:tcPr>
            <w:tcW w:w="409"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454"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1421"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5#，矸石堆场东侧厂界外约2m处（监控点）</w:t>
            </w:r>
          </w:p>
        </w:tc>
        <w:tc>
          <w:tcPr>
            <w:tcW w:w="549"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0.107</w:t>
            </w:r>
          </w:p>
        </w:tc>
        <w:tc>
          <w:tcPr>
            <w:tcW w:w="579"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0.153</w:t>
            </w:r>
          </w:p>
        </w:tc>
        <w:tc>
          <w:tcPr>
            <w:tcW w:w="586"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0.153</w:t>
            </w:r>
          </w:p>
        </w:tc>
        <w:tc>
          <w:tcPr>
            <w:tcW w:w="519"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0.108</w:t>
            </w:r>
          </w:p>
        </w:tc>
        <w:tc>
          <w:tcPr>
            <w:tcW w:w="485"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bl>
    <w:p>
      <w:pPr>
        <w:spacing w:line="360" w:lineRule="auto"/>
        <w:ind w:firstLine="480" w:firstLineChars="200"/>
        <w:rPr>
          <w:rFonts w:hAnsi="Times New Roman" w:eastAsia="宋体"/>
          <w:lang w:eastAsia="zh-CN"/>
        </w:rPr>
      </w:pPr>
      <w:r>
        <w:rPr>
          <w:rFonts w:hAnsi="Times New Roman" w:eastAsia="宋体"/>
          <w:lang w:eastAsia="zh-CN"/>
        </w:rPr>
        <w:t>根据上表可知，现有项目在运营期间，厂界颗粒物无组织排放满足《煤炭工业污染物排放标准》（GB20426-2006）表5限值要求。</w:t>
      </w:r>
    </w:p>
    <w:p>
      <w:pPr>
        <w:pStyle w:val="9"/>
        <w:spacing w:line="360" w:lineRule="auto"/>
        <w:rPr>
          <w:rFonts w:hint="default" w:ascii="Times New Roman" w:hAnsi="Times New Roman"/>
          <w:szCs w:val="22"/>
          <w:lang w:eastAsia="zh-CN"/>
        </w:rPr>
      </w:pPr>
      <w:r>
        <w:rPr>
          <w:rFonts w:hint="default" w:ascii="Times New Roman" w:hAnsi="Times New Roman"/>
          <w:szCs w:val="22"/>
          <w:lang w:eastAsia="zh-CN"/>
        </w:rPr>
        <w:t>2.1.2.2.3现有项目存在的问题</w:t>
      </w:r>
    </w:p>
    <w:p>
      <w:pPr>
        <w:spacing w:line="360" w:lineRule="auto"/>
        <w:ind w:firstLine="480" w:firstLineChars="200"/>
        <w:rPr>
          <w:rFonts w:hAnsi="Times New Roman" w:eastAsia="宋体"/>
          <w:szCs w:val="22"/>
          <w:lang w:eastAsia="zh-CN"/>
        </w:rPr>
      </w:pPr>
      <w:r>
        <w:rPr>
          <w:rFonts w:hAnsi="Times New Roman" w:eastAsia="宋体"/>
          <w:szCs w:val="22"/>
          <w:lang w:eastAsia="zh-CN"/>
        </w:rPr>
        <w:t>矸石临时堆场露天堆放，储煤场为半封闭式堆放，仅做简单覆盖，原煤及矸石装卸无组织扬尘排放严重。</w:t>
      </w:r>
    </w:p>
    <w:p>
      <w:pPr>
        <w:pStyle w:val="9"/>
        <w:spacing w:line="360" w:lineRule="auto"/>
        <w:rPr>
          <w:rFonts w:hint="default" w:ascii="Times New Roman" w:hAnsi="Times New Roman"/>
          <w:szCs w:val="22"/>
          <w:lang w:eastAsia="zh-CN"/>
        </w:rPr>
      </w:pPr>
      <w:r>
        <w:rPr>
          <w:rFonts w:hint="default" w:ascii="Times New Roman" w:hAnsi="Times New Roman"/>
          <w:szCs w:val="22"/>
          <w:lang w:eastAsia="zh-CN"/>
        </w:rPr>
        <w:t>2.1.3.2.4以新带老措施</w:t>
      </w:r>
    </w:p>
    <w:p>
      <w:pPr>
        <w:spacing w:line="360" w:lineRule="auto"/>
        <w:ind w:firstLine="480" w:firstLineChars="200"/>
        <w:rPr>
          <w:rFonts w:hAnsi="Times New Roman" w:eastAsia="宋体"/>
          <w:szCs w:val="22"/>
          <w:lang w:eastAsia="zh-CN"/>
        </w:rPr>
      </w:pPr>
      <w:r>
        <w:rPr>
          <w:rFonts w:hAnsi="Times New Roman" w:eastAsia="宋体"/>
          <w:szCs w:val="22"/>
          <w:lang w:eastAsia="zh-CN"/>
        </w:rPr>
        <w:t>本次拟将储煤场、矸石临时堆场建为顶部遮盖、三面围挡封闭的半封闭式的钢架结构彩钢棚，并在矸石临时堆场的敞开位置，加设防尘网和防尘水雾喷洒系统，</w:t>
      </w:r>
      <w:r>
        <w:rPr>
          <w:rFonts w:hint="eastAsia" w:hAnsi="Times New Roman" w:eastAsia="宋体"/>
          <w:szCs w:val="22"/>
          <w:lang w:eastAsia="zh-CN"/>
        </w:rPr>
        <w:t>在煤矸石堆场转运点进行封闭，并设置喷雾降尘装置，防止粉尘污染</w:t>
      </w:r>
      <w:r>
        <w:rPr>
          <w:rFonts w:hAnsi="Times New Roman" w:eastAsia="宋体"/>
          <w:szCs w:val="22"/>
          <w:lang w:eastAsia="zh-CN"/>
        </w:rPr>
        <w:t>。</w:t>
      </w:r>
    </w:p>
    <w:p>
      <w:pPr>
        <w:pStyle w:val="8"/>
        <w:rPr>
          <w:rFonts w:ascii="Times New Roman" w:hAnsi="Times New Roman"/>
          <w:lang w:eastAsia="zh-CN"/>
        </w:rPr>
      </w:pPr>
      <w:r>
        <w:rPr>
          <w:rFonts w:ascii="Times New Roman" w:hAnsi="Times New Roman"/>
          <w:lang w:eastAsia="zh-CN"/>
        </w:rPr>
        <w:t>2.1.3.3 噪声</w:t>
      </w:r>
    </w:p>
    <w:p>
      <w:pPr>
        <w:spacing w:line="360" w:lineRule="auto"/>
        <w:ind w:firstLine="480" w:firstLineChars="200"/>
        <w:rPr>
          <w:rFonts w:hAnsi="Times New Roman" w:eastAsia="宋体"/>
          <w:lang w:eastAsia="zh-CN"/>
        </w:rPr>
      </w:pPr>
      <w:r>
        <w:rPr>
          <w:rFonts w:hAnsi="Times New Roman" w:eastAsia="宋体"/>
          <w:lang w:eastAsia="zh-CN"/>
        </w:rPr>
        <w:t>现有项目噪声主要来自风井场地通风机，工业场地压风机等产生的空气动力噪声，原煤、矸石装载场地、机修车间、坑木加工房等产生的机械噪声。</w:t>
      </w:r>
    </w:p>
    <w:p>
      <w:pPr>
        <w:spacing w:line="360" w:lineRule="auto"/>
        <w:ind w:firstLine="480" w:firstLineChars="200"/>
        <w:rPr>
          <w:rFonts w:hAnsi="Times New Roman" w:eastAsia="宋体"/>
          <w:lang w:eastAsia="zh-CN"/>
        </w:rPr>
      </w:pPr>
      <w:r>
        <w:rPr>
          <w:rFonts w:hAnsi="Times New Roman" w:eastAsia="宋体"/>
          <w:lang w:eastAsia="zh-CN"/>
        </w:rPr>
        <w:t>本次评价收集了</w:t>
      </w:r>
      <w:r>
        <w:rPr>
          <w:rFonts w:hint="eastAsia" w:hAnsi="Times New Roman" w:eastAsia="宋体"/>
          <w:lang w:eastAsia="zh-CN"/>
        </w:rPr>
        <w:t>四川省华检技术检测服务有限公司2019年1月30日</w:t>
      </w:r>
      <w:r>
        <w:rPr>
          <w:rFonts w:hAnsi="Times New Roman" w:eastAsia="宋体"/>
          <w:lang w:eastAsia="zh-CN"/>
        </w:rPr>
        <w:t>《达州市宣汉县七里峡煤业有限公司七里峡煤矿150kt/a改扩建项目竣工环境保护验收调查报告验收检测》（川华检字（2018）第 2646号）对项目</w:t>
      </w:r>
      <w:r>
        <w:rPr>
          <w:rFonts w:hint="eastAsia" w:hAnsi="Times New Roman" w:eastAsia="宋体"/>
          <w:lang w:eastAsia="zh-CN"/>
        </w:rPr>
        <w:t>主井</w:t>
      </w:r>
      <w:r>
        <w:rPr>
          <w:rFonts w:hAnsi="Times New Roman" w:eastAsia="宋体"/>
          <w:lang w:eastAsia="zh-CN"/>
        </w:rPr>
        <w:t>工业广场的噪声排放监测数据，以此来说明现有项目运营期间</w:t>
      </w:r>
      <w:r>
        <w:rPr>
          <w:rFonts w:hint="eastAsia" w:hAnsi="Times New Roman" w:eastAsia="宋体"/>
          <w:lang w:eastAsia="zh-CN"/>
        </w:rPr>
        <w:t>主井</w:t>
      </w:r>
      <w:r>
        <w:rPr>
          <w:rFonts w:hAnsi="Times New Roman" w:eastAsia="宋体"/>
          <w:lang w:eastAsia="zh-CN"/>
        </w:rPr>
        <w:t>工业广场厂界噪声排放情况</w:t>
      </w:r>
      <w:r>
        <w:rPr>
          <w:rFonts w:hint="eastAsia" w:hAnsi="Times New Roman" w:eastAsia="宋体"/>
          <w:lang w:eastAsia="zh-CN"/>
        </w:rPr>
        <w:t>。项目虽处于停产阶段，风井场地风机仍处于运转状态，故</w:t>
      </w:r>
      <w:r>
        <w:rPr>
          <w:rFonts w:hAnsi="Times New Roman" w:eastAsia="宋体"/>
          <w:szCs w:val="32"/>
          <w:lang w:eastAsia="zh-CN"/>
        </w:rPr>
        <w:t>引用达州恒福环境监测服务有限公司</w:t>
      </w:r>
      <w:r>
        <w:rPr>
          <w:rFonts w:hint="eastAsia" w:hAnsi="Times New Roman" w:eastAsia="宋体"/>
          <w:szCs w:val="32"/>
          <w:lang w:eastAsia="zh-CN"/>
        </w:rPr>
        <w:t>2022年1月27日《达州市宣汉县七里峡煤业有限公司七里峡煤矿扩建工程项目检测报告》（恒福（环）检字（2022）第0083号）</w:t>
      </w:r>
      <w:r>
        <w:rPr>
          <w:rFonts w:hAnsi="Times New Roman" w:eastAsia="宋体"/>
          <w:szCs w:val="32"/>
          <w:lang w:eastAsia="zh-CN"/>
        </w:rPr>
        <w:t>对+</w:t>
      </w:r>
      <w:r>
        <w:rPr>
          <w:rFonts w:hint="eastAsia" w:hAnsi="Times New Roman" w:eastAsia="宋体"/>
          <w:szCs w:val="32"/>
          <w:lang w:eastAsia="zh-CN"/>
        </w:rPr>
        <w:t>548</w:t>
      </w:r>
      <w:r>
        <w:rPr>
          <w:rFonts w:hAnsi="Times New Roman" w:eastAsia="宋体"/>
          <w:szCs w:val="32"/>
          <w:lang w:eastAsia="zh-CN"/>
        </w:rPr>
        <w:t>m回风</w:t>
      </w:r>
      <w:r>
        <w:rPr>
          <w:rFonts w:hint="eastAsia" w:hAnsi="Times New Roman" w:eastAsia="宋体"/>
          <w:szCs w:val="32"/>
          <w:lang w:eastAsia="zh-CN"/>
        </w:rPr>
        <w:t>平硐</w:t>
      </w:r>
      <w:r>
        <w:rPr>
          <w:rFonts w:hAnsi="Times New Roman" w:eastAsia="宋体"/>
          <w:szCs w:val="32"/>
          <w:lang w:eastAsia="zh-CN"/>
        </w:rPr>
        <w:t>场地</w:t>
      </w:r>
      <w:r>
        <w:rPr>
          <w:rFonts w:hint="eastAsia" w:hAnsi="Times New Roman" w:eastAsia="宋体"/>
          <w:szCs w:val="32"/>
          <w:lang w:eastAsia="zh-CN"/>
        </w:rPr>
        <w:t>、+572m回风平硐场地</w:t>
      </w:r>
      <w:r>
        <w:rPr>
          <w:rFonts w:hAnsi="Times New Roman" w:eastAsia="宋体"/>
          <w:szCs w:val="32"/>
          <w:lang w:eastAsia="zh-CN"/>
        </w:rPr>
        <w:t>噪声监测结果</w:t>
      </w:r>
      <w:r>
        <w:rPr>
          <w:rFonts w:hint="eastAsia" w:hAnsi="Times New Roman" w:eastAsia="宋体"/>
          <w:szCs w:val="32"/>
          <w:lang w:eastAsia="zh-CN"/>
        </w:rPr>
        <w:t>说明项目风井场地噪声排放情况</w:t>
      </w:r>
      <w:r>
        <w:rPr>
          <w:rFonts w:hAnsi="Times New Roman" w:eastAsia="宋体"/>
          <w:lang w:eastAsia="zh-CN"/>
        </w:rPr>
        <w:t>，如下表所示。</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表2.1-</w:t>
      </w:r>
      <w:r>
        <w:rPr>
          <w:rFonts w:hint="eastAsia" w:hAnsi="Times New Roman" w:eastAsia="宋体"/>
          <w:b/>
          <w:bCs/>
          <w:sz w:val="21"/>
          <w:szCs w:val="21"/>
          <w:lang w:eastAsia="zh-CN"/>
        </w:rPr>
        <w:t>5</w:t>
      </w:r>
      <w:r>
        <w:rPr>
          <w:rFonts w:hAnsi="Times New Roman" w:eastAsia="宋体"/>
          <w:b/>
          <w:bCs/>
          <w:sz w:val="21"/>
          <w:szCs w:val="21"/>
          <w:lang w:eastAsia="zh-CN"/>
        </w:rPr>
        <w:t xml:space="preserve"> 现有项目噪声检测结果  单位dB（A）</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61"/>
        <w:gridCol w:w="3472"/>
        <w:gridCol w:w="1052"/>
        <w:gridCol w:w="1052"/>
        <w:gridCol w:w="1052"/>
        <w:gridCol w:w="10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889" w:type="pct"/>
            <w:vMerge w:val="restart"/>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检测日期</w:t>
            </w:r>
          </w:p>
        </w:tc>
        <w:tc>
          <w:tcPr>
            <w:tcW w:w="1858" w:type="pct"/>
            <w:vMerge w:val="restart"/>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检测点位及编号</w:t>
            </w:r>
          </w:p>
        </w:tc>
        <w:tc>
          <w:tcPr>
            <w:tcW w:w="1126" w:type="pct"/>
            <w:gridSpan w:val="2"/>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监测结果</w:t>
            </w:r>
          </w:p>
        </w:tc>
        <w:tc>
          <w:tcPr>
            <w:tcW w:w="1127" w:type="pct"/>
            <w:gridSpan w:val="2"/>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排放限值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889"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p>
        </w:tc>
        <w:tc>
          <w:tcPr>
            <w:tcW w:w="1858"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昼间</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夜间</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昼间</w:t>
            </w:r>
          </w:p>
        </w:tc>
        <w:tc>
          <w:tcPr>
            <w:tcW w:w="564" w:type="pct"/>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889" w:type="pct"/>
            <w:vMerge w:val="restar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2019/01/22</w:t>
            </w:r>
          </w:p>
        </w:tc>
        <w:tc>
          <w:tcPr>
            <w:tcW w:w="1858" w:type="pct"/>
            <w:vAlign w:val="center"/>
          </w:tcPr>
          <w:p>
            <w:pPr>
              <w:pStyle w:val="43"/>
              <w:keepNext w:val="0"/>
              <w:keepLines w:val="0"/>
              <w:suppressLineNumbers w:val="0"/>
              <w:spacing w:before="0" w:beforeAutospacing="0" w:after="0" w:afterAutospacing="0" w:line="26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N1，住宿楼南侧厂界外1m处</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47</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45</w:t>
            </w:r>
          </w:p>
        </w:tc>
        <w:tc>
          <w:tcPr>
            <w:tcW w:w="563" w:type="pct"/>
            <w:vMerge w:val="restar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60</w:t>
            </w:r>
          </w:p>
        </w:tc>
        <w:tc>
          <w:tcPr>
            <w:tcW w:w="564" w:type="pct"/>
            <w:vMerge w:val="restar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89"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1858"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N2，办公楼西侧厂界外1m处</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54</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45</w:t>
            </w:r>
          </w:p>
        </w:tc>
        <w:tc>
          <w:tcPr>
            <w:tcW w:w="563"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564"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89"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1858"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N3，堆料区西侧厂界外1m处</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54</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46</w:t>
            </w:r>
          </w:p>
        </w:tc>
        <w:tc>
          <w:tcPr>
            <w:tcW w:w="563"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564"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889"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1858"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N4，煤炭堆场北侧厂界外1m处</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58</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49</w:t>
            </w:r>
          </w:p>
        </w:tc>
        <w:tc>
          <w:tcPr>
            <w:tcW w:w="563"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564"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889"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1858"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N5，煤炭堆场东北侧厂界外1m处</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59</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49</w:t>
            </w:r>
          </w:p>
        </w:tc>
        <w:tc>
          <w:tcPr>
            <w:tcW w:w="563"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564"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889" w:type="pct"/>
            <w:vMerge w:val="restar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2019/01/23</w:t>
            </w:r>
          </w:p>
        </w:tc>
        <w:tc>
          <w:tcPr>
            <w:tcW w:w="1858" w:type="pct"/>
            <w:vAlign w:val="center"/>
          </w:tcPr>
          <w:p>
            <w:pPr>
              <w:pStyle w:val="43"/>
              <w:keepNext w:val="0"/>
              <w:keepLines w:val="0"/>
              <w:suppressLineNumbers w:val="0"/>
              <w:spacing w:before="0" w:beforeAutospacing="0" w:after="0" w:afterAutospacing="0" w:line="26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N1，住宿楼南侧厂界外1m处</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47</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45</w:t>
            </w:r>
          </w:p>
        </w:tc>
        <w:tc>
          <w:tcPr>
            <w:tcW w:w="563"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564"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889"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1858"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N2，办公楼西侧厂界外1m处</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54</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45</w:t>
            </w:r>
          </w:p>
        </w:tc>
        <w:tc>
          <w:tcPr>
            <w:tcW w:w="563"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564"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889"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1858"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N3，堆料区西侧厂界外1m处</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54</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45</w:t>
            </w:r>
          </w:p>
        </w:tc>
        <w:tc>
          <w:tcPr>
            <w:tcW w:w="563"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564"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889"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1858"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N4，煤炭堆场北侧厂界外1m处</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59</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49</w:t>
            </w:r>
          </w:p>
        </w:tc>
        <w:tc>
          <w:tcPr>
            <w:tcW w:w="563"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564"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889"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1858"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N5，煤炭堆场东北侧厂界外1m处</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58</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49</w:t>
            </w:r>
          </w:p>
        </w:tc>
        <w:tc>
          <w:tcPr>
            <w:tcW w:w="563"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564"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889" w:type="pct"/>
            <w:vMerge w:val="restar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2022/01/09</w:t>
            </w:r>
          </w:p>
        </w:tc>
        <w:tc>
          <w:tcPr>
            <w:tcW w:w="1858"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N11，+548m回风平硐场地东侧</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65</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69</w:t>
            </w:r>
          </w:p>
        </w:tc>
        <w:tc>
          <w:tcPr>
            <w:tcW w:w="563"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564"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889"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1858"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N12，+548m回风平硐场地南侧</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67</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65</w:t>
            </w:r>
          </w:p>
        </w:tc>
        <w:tc>
          <w:tcPr>
            <w:tcW w:w="563"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564"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889"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1858"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N13，+548m回风平硐场地西侧</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58</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54</w:t>
            </w:r>
          </w:p>
        </w:tc>
        <w:tc>
          <w:tcPr>
            <w:tcW w:w="563"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564"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889" w:type="pct"/>
            <w:vMerge w:val="continue"/>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1858"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N14，+548m回风平硐场地北侧</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71</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68</w:t>
            </w:r>
          </w:p>
        </w:tc>
        <w:tc>
          <w:tcPr>
            <w:tcW w:w="563" w:type="pct"/>
            <w:vMerge w:val="continue"/>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564" w:type="pct"/>
            <w:vMerge w:val="continue"/>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889" w:type="pct"/>
            <w:vMerge w:val="continue"/>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1858"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N15，+572m回风平硐场地东侧</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69</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79</w:t>
            </w:r>
          </w:p>
        </w:tc>
        <w:tc>
          <w:tcPr>
            <w:tcW w:w="563" w:type="pct"/>
            <w:vMerge w:val="continue"/>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564" w:type="pct"/>
            <w:vMerge w:val="continue"/>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889" w:type="pct"/>
            <w:vMerge w:val="continue"/>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1858"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N16，+572m回风平硐场地南侧</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71</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80</w:t>
            </w:r>
          </w:p>
        </w:tc>
        <w:tc>
          <w:tcPr>
            <w:tcW w:w="563" w:type="pct"/>
            <w:vMerge w:val="continue"/>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564" w:type="pct"/>
            <w:vMerge w:val="continue"/>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889" w:type="pct"/>
            <w:vMerge w:val="continue"/>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1858"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N17，+572m回风平硐场地西侧</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83</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74</w:t>
            </w:r>
          </w:p>
        </w:tc>
        <w:tc>
          <w:tcPr>
            <w:tcW w:w="563" w:type="pct"/>
            <w:vMerge w:val="continue"/>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564" w:type="pct"/>
            <w:vMerge w:val="continue"/>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889" w:type="pct"/>
            <w:vMerge w:val="continue"/>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1858"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N18，+572m回风平硐场地北侧</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75</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82</w:t>
            </w:r>
          </w:p>
        </w:tc>
        <w:tc>
          <w:tcPr>
            <w:tcW w:w="563" w:type="pct"/>
            <w:vMerge w:val="continue"/>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564" w:type="pct"/>
            <w:vMerge w:val="continue"/>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889" w:type="pct"/>
            <w:vMerge w:val="restar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2022/01/10</w:t>
            </w:r>
          </w:p>
        </w:tc>
        <w:tc>
          <w:tcPr>
            <w:tcW w:w="1858"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N11，+548m回风平硐场地东侧</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65</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66</w:t>
            </w:r>
          </w:p>
        </w:tc>
        <w:tc>
          <w:tcPr>
            <w:tcW w:w="563" w:type="pct"/>
            <w:vMerge w:val="continue"/>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564" w:type="pct"/>
            <w:vMerge w:val="continue"/>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889"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1858"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N12，+548m回风平硐场地南侧</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64</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73</w:t>
            </w:r>
          </w:p>
        </w:tc>
        <w:tc>
          <w:tcPr>
            <w:tcW w:w="563" w:type="pct"/>
            <w:vMerge w:val="continue"/>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564" w:type="pct"/>
            <w:vMerge w:val="continue"/>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889"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1858"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N13，+548m回风平硐场地西侧</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58</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59</w:t>
            </w:r>
          </w:p>
        </w:tc>
        <w:tc>
          <w:tcPr>
            <w:tcW w:w="563" w:type="pct"/>
            <w:vMerge w:val="continue"/>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564" w:type="pct"/>
            <w:vMerge w:val="continue"/>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889" w:type="pct"/>
            <w:vMerge w:val="continue"/>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1858"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N14，+548m回风平硐场地北侧</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66</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75</w:t>
            </w:r>
          </w:p>
        </w:tc>
        <w:tc>
          <w:tcPr>
            <w:tcW w:w="563" w:type="pct"/>
            <w:vMerge w:val="continue"/>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564" w:type="pct"/>
            <w:vMerge w:val="continue"/>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889" w:type="pct"/>
            <w:vMerge w:val="continue"/>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1858"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N15，+572m回风平硐场地东侧</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75</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76</w:t>
            </w:r>
          </w:p>
        </w:tc>
        <w:tc>
          <w:tcPr>
            <w:tcW w:w="563" w:type="pct"/>
            <w:vMerge w:val="continue"/>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564" w:type="pct"/>
            <w:vMerge w:val="continue"/>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889" w:type="pct"/>
            <w:vMerge w:val="continue"/>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1858"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N16，+572m回风平硐场地南侧</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72</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72</w:t>
            </w:r>
          </w:p>
        </w:tc>
        <w:tc>
          <w:tcPr>
            <w:tcW w:w="563" w:type="pct"/>
            <w:vMerge w:val="continue"/>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564" w:type="pct"/>
            <w:vMerge w:val="continue"/>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889" w:type="pct"/>
            <w:vMerge w:val="continue"/>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1858"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N17，+572m回风平硐场地西侧</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74</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69</w:t>
            </w:r>
          </w:p>
        </w:tc>
        <w:tc>
          <w:tcPr>
            <w:tcW w:w="563" w:type="pct"/>
            <w:vMerge w:val="continue"/>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564" w:type="pct"/>
            <w:vMerge w:val="continue"/>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889" w:type="pct"/>
            <w:vMerge w:val="continue"/>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1858"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N18，+572m回风平硐场地北侧</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78</w:t>
            </w:r>
          </w:p>
        </w:tc>
        <w:tc>
          <w:tcPr>
            <w:tcW w:w="56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72</w:t>
            </w:r>
          </w:p>
        </w:tc>
        <w:tc>
          <w:tcPr>
            <w:tcW w:w="563" w:type="pct"/>
            <w:vMerge w:val="continue"/>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564" w:type="pct"/>
            <w:vMerge w:val="continue"/>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r>
    </w:tbl>
    <w:p>
      <w:pPr>
        <w:spacing w:line="360" w:lineRule="auto"/>
        <w:ind w:firstLine="480" w:firstLineChars="200"/>
        <w:rPr>
          <w:rFonts w:hAnsi="Times New Roman" w:eastAsia="宋体"/>
          <w:lang w:eastAsia="zh-CN"/>
        </w:rPr>
      </w:pPr>
      <w:r>
        <w:rPr>
          <w:rFonts w:hAnsi="Times New Roman" w:eastAsia="宋体"/>
          <w:lang w:eastAsia="zh-CN"/>
        </w:rPr>
        <w:t>根据上表可知，项目</w:t>
      </w:r>
      <w:r>
        <w:rPr>
          <w:rFonts w:hint="eastAsia" w:hAnsi="Times New Roman" w:eastAsia="宋体"/>
          <w:lang w:eastAsia="zh-CN"/>
        </w:rPr>
        <w:t>主井</w:t>
      </w:r>
      <w:r>
        <w:rPr>
          <w:rFonts w:hAnsi="Times New Roman" w:eastAsia="宋体"/>
          <w:lang w:eastAsia="zh-CN"/>
        </w:rPr>
        <w:t>工业广场正常运营期间，昼间</w:t>
      </w:r>
      <w:r>
        <w:rPr>
          <w:rFonts w:hint="eastAsia" w:hAnsi="Times New Roman" w:eastAsia="宋体"/>
          <w:lang w:eastAsia="zh-CN"/>
        </w:rPr>
        <w:t>、夜间</w:t>
      </w:r>
      <w:r>
        <w:rPr>
          <w:rFonts w:hAnsi="Times New Roman" w:eastAsia="宋体"/>
          <w:lang w:eastAsia="zh-CN"/>
        </w:rPr>
        <w:t>排放值能够达到《工业企业厂界环境噪声排放标准》（GB12348-2008）表1中2类标准。</w:t>
      </w:r>
      <w:r>
        <w:rPr>
          <w:rFonts w:hAnsi="Times New Roman" w:eastAsia="宋体"/>
          <w:szCs w:val="32"/>
          <w:lang w:eastAsia="zh-CN"/>
        </w:rPr>
        <w:t>+</w:t>
      </w:r>
      <w:r>
        <w:rPr>
          <w:rFonts w:hint="eastAsia" w:hAnsi="Times New Roman" w:eastAsia="宋体"/>
          <w:szCs w:val="32"/>
          <w:lang w:eastAsia="zh-CN"/>
        </w:rPr>
        <w:t>548</w:t>
      </w:r>
      <w:r>
        <w:rPr>
          <w:rFonts w:hAnsi="Times New Roman" w:eastAsia="宋体"/>
          <w:szCs w:val="32"/>
          <w:lang w:eastAsia="zh-CN"/>
        </w:rPr>
        <w:t>m回风</w:t>
      </w:r>
      <w:r>
        <w:rPr>
          <w:rFonts w:hint="eastAsia" w:hAnsi="Times New Roman" w:eastAsia="宋体"/>
          <w:szCs w:val="32"/>
          <w:lang w:eastAsia="zh-CN"/>
        </w:rPr>
        <w:t>平硐</w:t>
      </w:r>
      <w:r>
        <w:rPr>
          <w:rFonts w:hAnsi="Times New Roman" w:eastAsia="宋体"/>
          <w:szCs w:val="32"/>
          <w:lang w:eastAsia="zh-CN"/>
        </w:rPr>
        <w:t>场地</w:t>
      </w:r>
      <w:r>
        <w:rPr>
          <w:rFonts w:hint="eastAsia" w:hAnsi="Times New Roman" w:eastAsia="宋体"/>
          <w:szCs w:val="32"/>
          <w:lang w:eastAsia="zh-CN"/>
        </w:rPr>
        <w:t>、+572m回风平硐场地</w:t>
      </w:r>
      <w:r>
        <w:rPr>
          <w:rFonts w:hint="eastAsia" w:hAnsi="Times New Roman" w:eastAsia="宋体"/>
          <w:lang w:eastAsia="zh-CN"/>
        </w:rPr>
        <w:t>昼间、夜间排放至不能满足</w:t>
      </w:r>
      <w:r>
        <w:rPr>
          <w:rFonts w:hAnsi="Times New Roman" w:eastAsia="宋体"/>
          <w:lang w:eastAsia="zh-CN"/>
        </w:rPr>
        <w:t>《工业企业厂界环境噪声排放标准》（GB12348-2008）表1中2类标准。</w:t>
      </w:r>
      <w:r>
        <w:rPr>
          <w:rFonts w:hint="eastAsia" w:hAnsi="Times New Roman" w:eastAsia="宋体"/>
          <w:lang w:eastAsia="zh-CN"/>
        </w:rPr>
        <w:t>但项目风井场地200m范围内无居民敏感点，通过距离衰减后，噪声对外环境影响不大</w:t>
      </w:r>
      <w:r>
        <w:rPr>
          <w:rFonts w:hAnsi="Times New Roman" w:eastAsia="宋体"/>
          <w:lang w:eastAsia="zh-CN"/>
        </w:rPr>
        <w:t>。</w:t>
      </w:r>
    </w:p>
    <w:p>
      <w:pPr>
        <w:pStyle w:val="8"/>
        <w:rPr>
          <w:rFonts w:ascii="Times New Roman" w:hAnsi="Times New Roman"/>
          <w:lang w:eastAsia="zh-CN"/>
        </w:rPr>
      </w:pPr>
      <w:r>
        <w:rPr>
          <w:rFonts w:ascii="Times New Roman" w:hAnsi="Times New Roman"/>
          <w:lang w:eastAsia="zh-CN"/>
        </w:rPr>
        <w:t>2.1.3.4 固体废物</w:t>
      </w:r>
    </w:p>
    <w:p>
      <w:pPr>
        <w:spacing w:line="360" w:lineRule="auto"/>
        <w:ind w:firstLine="480" w:firstLineChars="200"/>
        <w:rPr>
          <w:rFonts w:hAnsi="Times New Roman" w:eastAsia="宋体"/>
          <w:lang w:eastAsia="zh-CN"/>
        </w:rPr>
      </w:pPr>
      <w:r>
        <w:rPr>
          <w:rFonts w:hAnsi="Times New Roman" w:eastAsia="宋体"/>
          <w:lang w:eastAsia="zh-CN"/>
        </w:rPr>
        <w:t>根据现场调查，七里峡煤矿现有项目煤矸石、沉淀池煤泥运至宣汉县平桥砖厂用于制砖使用；生活垃圾集中收集后定期运至指定垃圾收集点，由环卫部门清运处理，七里峡煤矿现有项目产生的废弃矿灯、废弃蓄电池全部由厂家回收处理，产生的废机油暂存至危废暂存间内，按危废管理，用于场地内轨道、钢丝润滑。</w:t>
      </w:r>
      <w:r>
        <w:rPr>
          <w:rFonts w:hint="eastAsia" w:hAnsi="Times New Roman" w:eastAsia="宋体"/>
          <w:lang w:eastAsia="zh-CN"/>
        </w:rPr>
        <w:t>本项目固废处理符合环保要求，无存在的环境问题。</w:t>
      </w:r>
    </w:p>
    <w:tbl>
      <w:tblPr>
        <w:tblStyle w:val="34"/>
        <w:tblW w:w="934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72"/>
        <w:gridCol w:w="46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4" w:hRule="atLeast"/>
        </w:trPr>
        <w:tc>
          <w:tcPr>
            <w:tcW w:w="4672" w:type="dxa"/>
            <w:vAlign w:val="center"/>
          </w:tcPr>
          <w:p>
            <w:pPr>
              <w:keepNext w:val="0"/>
              <w:keepLines w:val="0"/>
              <w:suppressLineNumbers w:val="0"/>
              <w:spacing w:before="0" w:beforeAutospacing="0" w:after="0" w:afterAutospacing="0" w:line="360" w:lineRule="auto"/>
              <w:ind w:left="0" w:right="0"/>
              <w:jc w:val="center"/>
              <w:rPr>
                <w:rFonts w:hint="eastAsia" w:hAnsi="Times New Roman" w:eastAsia="宋体"/>
                <w:kern w:val="2"/>
                <w:szCs w:val="22"/>
                <w:highlight w:val="yellow"/>
                <w:lang w:eastAsia="zh-CN"/>
              </w:rPr>
            </w:pPr>
            <w:r>
              <w:rPr>
                <w:rFonts w:hint="eastAsia" w:hAnsi="Times New Roman" w:eastAsia="宋体"/>
                <w:kern w:val="2"/>
                <w:szCs w:val="22"/>
              </w:rPr>
              <w:drawing>
                <wp:inline distT="0" distB="0" distL="114300" distR="114300">
                  <wp:extent cx="2828925" cy="1905000"/>
                  <wp:effectExtent l="0" t="0" r="9525" b="0"/>
                  <wp:docPr id="6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6"/>
                          <pic:cNvPicPr>
                            <a:picLocks noChangeAspect="1"/>
                          </pic:cNvPicPr>
                        </pic:nvPicPr>
                        <pic:blipFill>
                          <a:blip r:embed="rId54"/>
                          <a:stretch>
                            <a:fillRect/>
                          </a:stretch>
                        </pic:blipFill>
                        <pic:spPr>
                          <a:xfrm>
                            <a:off x="0" y="0"/>
                            <a:ext cx="2828925" cy="1905000"/>
                          </a:xfrm>
                          <a:prstGeom prst="rect">
                            <a:avLst/>
                          </a:prstGeom>
                          <a:noFill/>
                          <a:ln>
                            <a:noFill/>
                          </a:ln>
                        </pic:spPr>
                      </pic:pic>
                    </a:graphicData>
                  </a:graphic>
                </wp:inline>
              </w:drawing>
            </w:r>
          </w:p>
        </w:tc>
        <w:tc>
          <w:tcPr>
            <w:tcW w:w="4672" w:type="dxa"/>
          </w:tcPr>
          <w:p>
            <w:pPr>
              <w:keepNext w:val="0"/>
              <w:keepLines w:val="0"/>
              <w:suppressLineNumbers w:val="0"/>
              <w:spacing w:before="0" w:beforeAutospacing="0" w:after="0" w:afterAutospacing="0" w:line="360" w:lineRule="auto"/>
              <w:ind w:left="0" w:right="0"/>
              <w:jc w:val="center"/>
              <w:rPr>
                <w:rFonts w:hint="eastAsia" w:hAnsi="Times New Roman" w:eastAsia="宋体"/>
                <w:kern w:val="2"/>
                <w:szCs w:val="22"/>
                <w:highlight w:val="yellow"/>
                <w:lang w:eastAsia="zh-CN"/>
              </w:rPr>
            </w:pPr>
            <w:r>
              <w:rPr>
                <w:rFonts w:hint="eastAsia" w:hAnsi="Times New Roman" w:eastAsia="宋体"/>
                <w:kern w:val="2"/>
                <w:szCs w:val="22"/>
              </w:rPr>
              <w:drawing>
                <wp:inline distT="0" distB="0" distL="114300" distR="114300">
                  <wp:extent cx="1914525" cy="2080895"/>
                  <wp:effectExtent l="0" t="0" r="9525" b="14605"/>
                  <wp:docPr id="9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37"/>
                          <pic:cNvPicPr>
                            <a:picLocks noChangeAspect="1"/>
                          </pic:cNvPicPr>
                        </pic:nvPicPr>
                        <pic:blipFill>
                          <a:blip r:embed="rId55"/>
                          <a:stretch>
                            <a:fillRect/>
                          </a:stretch>
                        </pic:blipFill>
                        <pic:spPr>
                          <a:xfrm>
                            <a:off x="0" y="0"/>
                            <a:ext cx="1914525" cy="2080895"/>
                          </a:xfrm>
                          <a:prstGeom prst="rect">
                            <a:avLst/>
                          </a:prstGeom>
                          <a:noFill/>
                          <a:ln>
                            <a:noFill/>
                          </a:ln>
                        </pic:spPr>
                      </pic:pic>
                    </a:graphicData>
                  </a:graphic>
                </wp:inline>
              </w:drawing>
            </w:r>
          </w:p>
        </w:tc>
      </w:tr>
    </w:tbl>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图2.1- 4危废暂存间</w:t>
      </w:r>
    </w:p>
    <w:p>
      <w:pPr>
        <w:pStyle w:val="8"/>
        <w:rPr>
          <w:rFonts w:ascii="Times New Roman" w:hAnsi="Times New Roman"/>
          <w:lang w:eastAsia="zh-CN"/>
        </w:rPr>
      </w:pPr>
      <w:r>
        <w:rPr>
          <w:rFonts w:ascii="Times New Roman" w:hAnsi="Times New Roman"/>
          <w:lang w:eastAsia="zh-CN"/>
        </w:rPr>
        <w:t>2.1.3.5 生态环境</w:t>
      </w:r>
    </w:p>
    <w:p>
      <w:pPr>
        <w:spacing w:line="360" w:lineRule="auto"/>
        <w:ind w:firstLine="480" w:firstLineChars="200"/>
        <w:rPr>
          <w:rFonts w:hAnsi="Times New Roman" w:eastAsia="宋体"/>
          <w:lang w:eastAsia="zh-CN"/>
        </w:rPr>
      </w:pPr>
      <w:r>
        <w:rPr>
          <w:rFonts w:hAnsi="Times New Roman" w:eastAsia="宋体"/>
          <w:lang w:eastAsia="zh-CN"/>
        </w:rPr>
        <w:t>根据现场调查，在矿区范围内未见明显的滑坡、危岩崩塌、泥石流、地面塌陷等地质灾害现象，矿区开采未引起周围植被覆盖率明显减少。</w:t>
      </w:r>
    </w:p>
    <w:p>
      <w:pPr>
        <w:spacing w:line="360" w:lineRule="auto"/>
        <w:ind w:firstLine="480" w:firstLineChars="200"/>
        <w:rPr>
          <w:rFonts w:hAnsi="Times New Roman" w:eastAsia="宋体"/>
          <w:lang w:eastAsia="zh-CN"/>
        </w:rPr>
      </w:pPr>
      <w:r>
        <w:rPr>
          <w:rFonts w:hAnsi="Times New Roman" w:eastAsia="宋体"/>
          <w:lang w:eastAsia="zh-CN"/>
        </w:rPr>
        <w:t>经对矿区已形成的采空区进行现场踏勘，未发现明显的地面塌陷区域，也未发现因矿区开采形成的地面裂缝。说明原项目地下开采未对地面造成明显的沉陷，现有项目开采对区域的影响较小。</w:t>
      </w:r>
    </w:p>
    <w:p>
      <w:pPr>
        <w:pStyle w:val="8"/>
        <w:rPr>
          <w:rFonts w:ascii="Times New Roman" w:hAnsi="Times New Roman"/>
          <w:lang w:eastAsia="zh-CN"/>
        </w:rPr>
      </w:pPr>
      <w:r>
        <w:rPr>
          <w:rFonts w:ascii="Times New Roman" w:hAnsi="Times New Roman"/>
          <w:lang w:eastAsia="zh-CN"/>
        </w:rPr>
        <w:t>2.1.3.6 现有工程污染物产生及排放</w:t>
      </w:r>
    </w:p>
    <w:p>
      <w:pPr>
        <w:spacing w:line="360" w:lineRule="auto"/>
        <w:ind w:firstLine="480" w:firstLineChars="200"/>
        <w:rPr>
          <w:rFonts w:hAnsi="Times New Roman" w:eastAsia="宋体"/>
          <w:lang w:eastAsia="zh-CN"/>
        </w:rPr>
      </w:pPr>
      <w:r>
        <w:rPr>
          <w:rFonts w:hAnsi="Times New Roman" w:eastAsia="宋体"/>
          <w:lang w:eastAsia="zh-CN"/>
        </w:rPr>
        <w:t>由于本次环评调查期间，现有项目未进行开采，现有污染源情况主要依据现有项目环评文件、验收以及业主提供的相关资料等进行计算，现有项目污染物排放估算汇总情况见如表所示。</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表2.1-</w:t>
      </w:r>
      <w:r>
        <w:rPr>
          <w:rFonts w:hint="eastAsia" w:hAnsi="Times New Roman" w:eastAsia="宋体"/>
          <w:b/>
          <w:bCs/>
          <w:sz w:val="21"/>
          <w:szCs w:val="21"/>
          <w:lang w:eastAsia="zh-CN"/>
        </w:rPr>
        <w:t>6</w:t>
      </w:r>
      <w:r>
        <w:rPr>
          <w:rFonts w:hAnsi="Times New Roman" w:eastAsia="宋体"/>
          <w:b/>
          <w:bCs/>
          <w:sz w:val="21"/>
          <w:szCs w:val="21"/>
          <w:lang w:eastAsia="zh-CN"/>
        </w:rPr>
        <w:t xml:space="preserve"> 现有项目运营期间“三废”产排汇总一览表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87"/>
        <w:gridCol w:w="1045"/>
        <w:gridCol w:w="1071"/>
        <w:gridCol w:w="3058"/>
        <w:gridCol w:w="751"/>
        <w:gridCol w:w="1714"/>
        <w:gridCol w:w="9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321" w:type="pct"/>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种</w:t>
            </w:r>
          </w:p>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类</w:t>
            </w:r>
          </w:p>
        </w:tc>
        <w:tc>
          <w:tcPr>
            <w:tcW w:w="572" w:type="pct"/>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产污工序</w:t>
            </w:r>
          </w:p>
        </w:tc>
        <w:tc>
          <w:tcPr>
            <w:tcW w:w="586" w:type="pct"/>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污染物</w:t>
            </w:r>
          </w:p>
        </w:tc>
        <w:tc>
          <w:tcPr>
            <w:tcW w:w="1673" w:type="pct"/>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处理措施</w:t>
            </w:r>
          </w:p>
        </w:tc>
        <w:tc>
          <w:tcPr>
            <w:tcW w:w="411" w:type="pct"/>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
                <w:color w:val="auto"/>
                <w:kern w:val="2"/>
                <w:lang w:eastAsia="zh-CN"/>
              </w:rPr>
            </w:pPr>
            <w:r>
              <w:rPr>
                <w:rFonts w:hint="eastAsia" w:hAnsi="Times New Roman" w:eastAsia="宋体"/>
                <w:b/>
                <w:color w:val="auto"/>
                <w:kern w:val="2"/>
                <w:lang w:eastAsia="zh-CN"/>
              </w:rPr>
              <w:t>产生量</w:t>
            </w:r>
          </w:p>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（t/a）</w:t>
            </w:r>
          </w:p>
        </w:tc>
        <w:tc>
          <w:tcPr>
            <w:tcW w:w="938" w:type="pct"/>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排放浓度及排放量</w:t>
            </w:r>
          </w:p>
        </w:tc>
        <w:tc>
          <w:tcPr>
            <w:tcW w:w="499" w:type="pct"/>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排放去</w:t>
            </w:r>
          </w:p>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321" w:type="pct"/>
            <w:vMerge w:val="restar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废水</w:t>
            </w:r>
          </w:p>
        </w:tc>
        <w:tc>
          <w:tcPr>
            <w:tcW w:w="572" w:type="pct"/>
            <w:vMerge w:val="restar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矿井涌水</w:t>
            </w:r>
          </w:p>
        </w:tc>
        <w:tc>
          <w:tcPr>
            <w:tcW w:w="586"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废水量</w:t>
            </w:r>
          </w:p>
        </w:tc>
        <w:tc>
          <w:tcPr>
            <w:tcW w:w="1673" w:type="pct"/>
            <w:vMerge w:val="restar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矿井涌水进入+200m主、副水仓（总容积约2000m</w:t>
            </w:r>
            <w:r>
              <w:rPr>
                <w:rFonts w:hint="eastAsia" w:hAnsi="Times New Roman" w:eastAsia="宋体"/>
                <w:bCs/>
                <w:color w:val="auto"/>
                <w:kern w:val="2"/>
                <w:vertAlign w:val="superscript"/>
                <w:lang w:eastAsia="zh-CN"/>
              </w:rPr>
              <w:t>3</w:t>
            </w:r>
            <w:r>
              <w:rPr>
                <w:rFonts w:hint="eastAsia" w:hAnsi="Times New Roman" w:eastAsia="宋体"/>
                <w:bCs/>
                <w:color w:val="auto"/>
                <w:kern w:val="2"/>
                <w:lang w:eastAsia="zh-CN"/>
              </w:rPr>
              <w:t>）沉淀处理后，进入矿井水处理站，处理能力750m</w:t>
            </w:r>
            <w:r>
              <w:rPr>
                <w:rFonts w:hint="eastAsia" w:hAnsi="Times New Roman" w:eastAsia="宋体"/>
                <w:bCs/>
                <w:color w:val="auto"/>
                <w:kern w:val="2"/>
                <w:vertAlign w:val="superscript"/>
                <w:lang w:eastAsia="zh-CN"/>
              </w:rPr>
              <w:t>3</w:t>
            </w:r>
            <w:r>
              <w:rPr>
                <w:rFonts w:hint="eastAsia" w:hAnsi="Times New Roman" w:eastAsia="宋体"/>
                <w:bCs/>
                <w:color w:val="auto"/>
                <w:kern w:val="2"/>
                <w:lang w:eastAsia="zh-CN"/>
              </w:rPr>
              <w:t>/d，处理工艺：“调节+混凝沉淀+石英砂过滤+煤泥干化”处理达标后，</w:t>
            </w:r>
            <w:r>
              <w:rPr>
                <w:rFonts w:hint="eastAsia" w:hAnsi="Times New Roman" w:eastAsia="宋体"/>
                <w:color w:val="auto"/>
                <w:kern w:val="2"/>
                <w:lang w:eastAsia="zh-CN"/>
              </w:rPr>
              <w:t>部分抽至高位水池暂存回用于井下防尘等生产，剩余部分外排入新宁河。</w:t>
            </w:r>
          </w:p>
        </w:tc>
        <w:tc>
          <w:tcPr>
            <w:tcW w:w="411" w:type="pct"/>
            <w:vMerge w:val="restar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74.90万</w:t>
            </w:r>
          </w:p>
        </w:tc>
        <w:tc>
          <w:tcPr>
            <w:tcW w:w="938"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56.45万m</w:t>
            </w:r>
            <w:r>
              <w:rPr>
                <w:rFonts w:hint="eastAsia" w:hAnsi="Times New Roman" w:eastAsia="宋体"/>
                <w:bCs/>
                <w:color w:val="auto"/>
                <w:kern w:val="2"/>
                <w:vertAlign w:val="superscript"/>
                <w:lang w:eastAsia="zh-CN"/>
              </w:rPr>
              <w:t>3</w:t>
            </w:r>
          </w:p>
        </w:tc>
        <w:tc>
          <w:tcPr>
            <w:tcW w:w="499" w:type="pct"/>
            <w:vMerge w:val="restar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部分回用于生产，部分排入新宁河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321"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572"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586"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COD</w:t>
            </w:r>
          </w:p>
        </w:tc>
        <w:tc>
          <w:tcPr>
            <w:tcW w:w="1673"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411"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938"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13.0mg/L；</w:t>
            </w:r>
          </w:p>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7.34t/a</w:t>
            </w:r>
          </w:p>
        </w:tc>
        <w:tc>
          <w:tcPr>
            <w:tcW w:w="499"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321"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572"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586"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SS</w:t>
            </w:r>
          </w:p>
        </w:tc>
        <w:tc>
          <w:tcPr>
            <w:tcW w:w="1673"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411"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938"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8.0mg/L；</w:t>
            </w:r>
          </w:p>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4.52t/a</w:t>
            </w:r>
          </w:p>
        </w:tc>
        <w:tc>
          <w:tcPr>
            <w:tcW w:w="499"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321"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572"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586" w:type="pct"/>
            <w:vAlign w:val="center"/>
          </w:tcPr>
          <w:p>
            <w:pPr>
              <w:pStyle w:val="44"/>
              <w:keepNext w:val="0"/>
              <w:keepLines w:val="0"/>
              <w:suppressLineNumbers w:val="0"/>
              <w:overflowPunct w:val="0"/>
              <w:spacing w:before="33" w:beforeAutospacing="0" w:after="0" w:afterAutospacing="0" w:line="200" w:lineRule="exact"/>
              <w:ind w:left="0" w:right="0"/>
              <w:jc w:val="center"/>
              <w:rPr>
                <w:rFonts w:hint="eastAsia" w:hAnsi="Times New Roman" w:eastAsia="宋体"/>
                <w:bCs/>
                <w:kern w:val="2"/>
                <w:sz w:val="21"/>
                <w:szCs w:val="21"/>
                <w:lang w:eastAsia="zh-CN"/>
              </w:rPr>
            </w:pPr>
            <w:r>
              <w:rPr>
                <w:rFonts w:hint="eastAsia" w:hAnsi="Times New Roman" w:eastAsia="宋体"/>
                <w:spacing w:val="-2"/>
                <w:kern w:val="2"/>
                <w:sz w:val="21"/>
                <w:szCs w:val="21"/>
                <w:lang w:eastAsia="zh-CN"/>
              </w:rPr>
              <w:t>NH</w:t>
            </w:r>
            <w:r>
              <w:rPr>
                <w:rFonts w:hint="eastAsia" w:hAnsi="Times New Roman" w:eastAsia="宋体"/>
                <w:spacing w:val="-2"/>
                <w:kern w:val="2"/>
                <w:sz w:val="21"/>
                <w:szCs w:val="21"/>
                <w:vertAlign w:val="subscript"/>
                <w:lang w:eastAsia="zh-CN"/>
              </w:rPr>
              <w:t>3</w:t>
            </w:r>
            <w:r>
              <w:rPr>
                <w:rFonts w:hint="eastAsia" w:hAnsi="Times New Roman" w:eastAsia="宋体"/>
                <w:spacing w:val="-2"/>
                <w:kern w:val="2"/>
                <w:sz w:val="21"/>
                <w:szCs w:val="21"/>
                <w:lang w:eastAsia="zh-CN"/>
              </w:rPr>
              <w:t>-N</w:t>
            </w:r>
          </w:p>
        </w:tc>
        <w:tc>
          <w:tcPr>
            <w:tcW w:w="1673"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411"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938"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0.055mg/L；</w:t>
            </w:r>
          </w:p>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0.03t/a</w:t>
            </w:r>
          </w:p>
        </w:tc>
        <w:tc>
          <w:tcPr>
            <w:tcW w:w="499"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321"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572"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586" w:type="pct"/>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石油类</w:t>
            </w:r>
          </w:p>
        </w:tc>
        <w:tc>
          <w:tcPr>
            <w:tcW w:w="1673"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411"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938"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0.17mg/L；</w:t>
            </w:r>
          </w:p>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0.10t/a</w:t>
            </w:r>
          </w:p>
        </w:tc>
        <w:tc>
          <w:tcPr>
            <w:tcW w:w="499"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321"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572" w:type="pct"/>
            <w:vMerge w:val="restar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生活污水</w:t>
            </w:r>
          </w:p>
        </w:tc>
        <w:tc>
          <w:tcPr>
            <w:tcW w:w="586"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废水量</w:t>
            </w:r>
          </w:p>
        </w:tc>
        <w:tc>
          <w:tcPr>
            <w:tcW w:w="1673" w:type="pct"/>
            <w:vMerge w:val="restar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color w:val="auto"/>
                <w:kern w:val="2"/>
                <w:lang w:eastAsia="zh-CN"/>
              </w:rPr>
              <w:t>食堂废水采用油水分离器处理后与洗浴废水一同进入一体化污水处理设备（混凝+A</w:t>
            </w:r>
            <w:r>
              <w:rPr>
                <w:rFonts w:hint="eastAsia" w:hAnsi="Times New Roman" w:eastAsia="宋体"/>
                <w:color w:val="auto"/>
                <w:kern w:val="2"/>
                <w:vertAlign w:val="superscript"/>
                <w:lang w:eastAsia="zh-CN"/>
              </w:rPr>
              <w:t>2</w:t>
            </w:r>
            <w:r>
              <w:rPr>
                <w:rFonts w:hint="eastAsia" w:hAnsi="Times New Roman" w:eastAsia="宋体"/>
                <w:color w:val="auto"/>
                <w:kern w:val="2"/>
                <w:lang w:eastAsia="zh-CN"/>
              </w:rPr>
              <w:t>O+消毒处理工艺，处理能力为70m</w:t>
            </w:r>
            <w:r>
              <w:rPr>
                <w:rFonts w:hint="eastAsia" w:hAnsi="Times New Roman" w:eastAsia="宋体"/>
                <w:color w:val="auto"/>
                <w:kern w:val="2"/>
                <w:vertAlign w:val="superscript"/>
                <w:lang w:eastAsia="zh-CN"/>
              </w:rPr>
              <w:t>3</w:t>
            </w:r>
            <w:r>
              <w:rPr>
                <w:rFonts w:hint="eastAsia" w:hAnsi="Times New Roman" w:eastAsia="宋体"/>
                <w:color w:val="auto"/>
                <w:kern w:val="2"/>
                <w:lang w:eastAsia="zh-CN"/>
              </w:rPr>
              <w:t>/d）处理后回用于地面防尘用水、井下消防用水、绿化用水等，生活污水进入化粪池（容积约422.4m</w:t>
            </w:r>
            <w:r>
              <w:rPr>
                <w:rFonts w:hint="eastAsia" w:hAnsi="Times New Roman" w:eastAsia="宋体"/>
                <w:color w:val="auto"/>
                <w:kern w:val="2"/>
                <w:vertAlign w:val="superscript"/>
                <w:lang w:eastAsia="zh-CN"/>
              </w:rPr>
              <w:t>3</w:t>
            </w:r>
            <w:r>
              <w:rPr>
                <w:rFonts w:hint="eastAsia" w:hAnsi="Times New Roman" w:eastAsia="宋体"/>
                <w:color w:val="auto"/>
                <w:kern w:val="2"/>
                <w:lang w:eastAsia="zh-CN"/>
              </w:rPr>
              <w:t>）处理后，由达州市鑫通管道疏通有限公司定期清运处置。</w:t>
            </w:r>
          </w:p>
        </w:tc>
        <w:tc>
          <w:tcPr>
            <w:tcW w:w="411" w:type="pct"/>
            <w:vMerge w:val="restar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2.29万</w:t>
            </w:r>
          </w:p>
        </w:tc>
        <w:tc>
          <w:tcPr>
            <w:tcW w:w="938" w:type="pct"/>
            <w:vMerge w:val="restar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w:t>
            </w:r>
          </w:p>
        </w:tc>
        <w:tc>
          <w:tcPr>
            <w:tcW w:w="499" w:type="pct"/>
            <w:vMerge w:val="restar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321"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572"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586"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COD</w:t>
            </w:r>
          </w:p>
        </w:tc>
        <w:tc>
          <w:tcPr>
            <w:tcW w:w="1673"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color w:val="auto"/>
                <w:kern w:val="2"/>
                <w:lang w:eastAsia="zh-CN"/>
              </w:rPr>
            </w:pPr>
          </w:p>
        </w:tc>
        <w:tc>
          <w:tcPr>
            <w:tcW w:w="411"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938"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499"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321"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572"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586"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氨氮</w:t>
            </w:r>
          </w:p>
        </w:tc>
        <w:tc>
          <w:tcPr>
            <w:tcW w:w="1673"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color w:val="auto"/>
                <w:kern w:val="2"/>
                <w:lang w:eastAsia="zh-CN"/>
              </w:rPr>
            </w:pPr>
          </w:p>
        </w:tc>
        <w:tc>
          <w:tcPr>
            <w:tcW w:w="411"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938"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499"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321"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572"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车辆冲洗废</w:t>
            </w:r>
          </w:p>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水</w:t>
            </w:r>
          </w:p>
        </w:tc>
        <w:tc>
          <w:tcPr>
            <w:tcW w:w="586"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SS</w:t>
            </w:r>
          </w:p>
        </w:tc>
        <w:tc>
          <w:tcPr>
            <w:tcW w:w="167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项目车辆清洗后的废水进入沉淀池，出水由泵送至矿井涌水沉淀池和矿井涌水一同处理，处理后循环使用，不外排</w:t>
            </w:r>
          </w:p>
        </w:tc>
        <w:tc>
          <w:tcPr>
            <w:tcW w:w="411"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0.33万</w:t>
            </w:r>
          </w:p>
        </w:tc>
        <w:tc>
          <w:tcPr>
            <w:tcW w:w="938"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0</w:t>
            </w:r>
          </w:p>
        </w:tc>
        <w:tc>
          <w:tcPr>
            <w:tcW w:w="499"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循环利用，不外排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321" w:type="pct"/>
            <w:vMerge w:val="restar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废气</w:t>
            </w:r>
          </w:p>
        </w:tc>
        <w:tc>
          <w:tcPr>
            <w:tcW w:w="572"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储煤场、临时储装卸扬尘</w:t>
            </w:r>
          </w:p>
        </w:tc>
        <w:tc>
          <w:tcPr>
            <w:tcW w:w="586"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颗粒物</w:t>
            </w:r>
          </w:p>
        </w:tc>
        <w:tc>
          <w:tcPr>
            <w:tcW w:w="1673" w:type="pct"/>
            <w:vMerge w:val="restar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储煤场部分设置有彩钢棚进行密闭；设置有喷雾装置，矸石临时堆场则露天堆放，设置两台雾炮机除尘</w:t>
            </w:r>
          </w:p>
        </w:tc>
        <w:tc>
          <w:tcPr>
            <w:tcW w:w="411"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12.17</w:t>
            </w:r>
          </w:p>
        </w:tc>
        <w:tc>
          <w:tcPr>
            <w:tcW w:w="938" w:type="pct"/>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color w:val="auto"/>
                <w:kern w:val="2"/>
                <w:lang w:eastAsia="zh-CN"/>
              </w:rPr>
            </w:pPr>
            <w:r>
              <w:rPr>
                <w:rFonts w:hint="eastAsia" w:hAnsi="Times New Roman" w:eastAsia="宋体"/>
                <w:color w:val="auto"/>
                <w:kern w:val="2"/>
                <w:lang w:eastAsia="zh-CN"/>
              </w:rPr>
              <w:t>3.76t/a，</w:t>
            </w:r>
          </w:p>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r>
              <w:rPr>
                <w:rFonts w:hint="eastAsia" w:hAnsi="Times New Roman" w:eastAsia="宋体"/>
                <w:color w:val="auto"/>
                <w:kern w:val="2"/>
                <w:lang w:eastAsia="zh-CN"/>
              </w:rPr>
              <w:t>2.28kg/h</w:t>
            </w:r>
          </w:p>
        </w:tc>
        <w:tc>
          <w:tcPr>
            <w:tcW w:w="499" w:type="pct"/>
            <w:vMerge w:val="restar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大气环境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321"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572"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储煤场、临时储堆场扬尘</w:t>
            </w:r>
          </w:p>
        </w:tc>
        <w:tc>
          <w:tcPr>
            <w:tcW w:w="586"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颗粒物</w:t>
            </w:r>
          </w:p>
        </w:tc>
        <w:tc>
          <w:tcPr>
            <w:tcW w:w="1673"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411"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2.28</w:t>
            </w:r>
          </w:p>
        </w:tc>
        <w:tc>
          <w:tcPr>
            <w:tcW w:w="938" w:type="pct"/>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color w:val="auto"/>
                <w:kern w:val="2"/>
                <w:lang w:eastAsia="zh-CN"/>
              </w:rPr>
            </w:pPr>
            <w:r>
              <w:rPr>
                <w:rFonts w:hint="eastAsia" w:hAnsi="Times New Roman" w:eastAsia="宋体"/>
                <w:color w:val="auto"/>
                <w:kern w:val="2"/>
                <w:lang w:eastAsia="zh-CN"/>
              </w:rPr>
              <w:t>0.774t/a，</w:t>
            </w:r>
          </w:p>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r>
              <w:rPr>
                <w:rFonts w:hint="eastAsia" w:hAnsi="Times New Roman" w:eastAsia="宋体"/>
                <w:color w:val="auto"/>
                <w:kern w:val="2"/>
                <w:lang w:eastAsia="zh-CN"/>
              </w:rPr>
              <w:t>0.098kg/h</w:t>
            </w:r>
          </w:p>
        </w:tc>
        <w:tc>
          <w:tcPr>
            <w:tcW w:w="499"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321"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572"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食堂</w:t>
            </w:r>
          </w:p>
        </w:tc>
        <w:tc>
          <w:tcPr>
            <w:tcW w:w="586"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油烟</w:t>
            </w:r>
          </w:p>
        </w:tc>
        <w:tc>
          <w:tcPr>
            <w:tcW w:w="167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灶台设置有油烟净化设施，由</w:t>
            </w:r>
          </w:p>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烟道引出于楼顶排放。</w:t>
            </w:r>
          </w:p>
        </w:tc>
        <w:tc>
          <w:tcPr>
            <w:tcW w:w="41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少量</w:t>
            </w:r>
          </w:p>
        </w:tc>
        <w:tc>
          <w:tcPr>
            <w:tcW w:w="938"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少量</w:t>
            </w:r>
          </w:p>
        </w:tc>
        <w:tc>
          <w:tcPr>
            <w:tcW w:w="499"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321"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572"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道路扬尘</w:t>
            </w:r>
          </w:p>
        </w:tc>
        <w:tc>
          <w:tcPr>
            <w:tcW w:w="586"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颗粒物</w:t>
            </w:r>
          </w:p>
        </w:tc>
        <w:tc>
          <w:tcPr>
            <w:tcW w:w="167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定期洒水降尘，降低车速等措施</w:t>
            </w:r>
          </w:p>
        </w:tc>
        <w:tc>
          <w:tcPr>
            <w:tcW w:w="41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少量</w:t>
            </w:r>
          </w:p>
        </w:tc>
        <w:tc>
          <w:tcPr>
            <w:tcW w:w="938"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少量</w:t>
            </w:r>
          </w:p>
        </w:tc>
        <w:tc>
          <w:tcPr>
            <w:tcW w:w="499"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321" w:type="pct"/>
            <w:vMerge w:val="restar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固体废物</w:t>
            </w:r>
          </w:p>
        </w:tc>
        <w:tc>
          <w:tcPr>
            <w:tcW w:w="572"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矿石开采</w:t>
            </w:r>
          </w:p>
        </w:tc>
        <w:tc>
          <w:tcPr>
            <w:tcW w:w="586"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煤矸石</w:t>
            </w:r>
          </w:p>
        </w:tc>
        <w:tc>
          <w:tcPr>
            <w:tcW w:w="167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运至宣汉县平桥砖厂用于制砖使用</w:t>
            </w:r>
          </w:p>
        </w:tc>
        <w:tc>
          <w:tcPr>
            <w:tcW w:w="411"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1.5</w:t>
            </w:r>
          </w:p>
        </w:tc>
        <w:tc>
          <w:tcPr>
            <w:tcW w:w="938"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运至宣汉县平桥砖厂用于制砖使用</w:t>
            </w:r>
          </w:p>
        </w:tc>
        <w:tc>
          <w:tcPr>
            <w:tcW w:w="499" w:type="pct"/>
            <w:vMerge w:val="restar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综合利用，合理处置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321"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572"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办公生活</w:t>
            </w:r>
          </w:p>
        </w:tc>
        <w:tc>
          <w:tcPr>
            <w:tcW w:w="586"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生活垃圾</w:t>
            </w:r>
          </w:p>
        </w:tc>
        <w:tc>
          <w:tcPr>
            <w:tcW w:w="167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集中收集后定期运至指定垃圾</w:t>
            </w:r>
          </w:p>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收集点</w:t>
            </w:r>
          </w:p>
        </w:tc>
        <w:tc>
          <w:tcPr>
            <w:tcW w:w="411"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68.97</w:t>
            </w:r>
          </w:p>
        </w:tc>
        <w:tc>
          <w:tcPr>
            <w:tcW w:w="938"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集中收集后定期运至指定垃圾收集点，由环卫部门清运处理</w:t>
            </w:r>
          </w:p>
        </w:tc>
        <w:tc>
          <w:tcPr>
            <w:tcW w:w="499"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
                <w:szCs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321"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572"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矿井水处理</w:t>
            </w:r>
          </w:p>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站煤泥</w:t>
            </w:r>
          </w:p>
        </w:tc>
        <w:tc>
          <w:tcPr>
            <w:tcW w:w="586"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煤泥</w:t>
            </w:r>
          </w:p>
        </w:tc>
        <w:tc>
          <w:tcPr>
            <w:tcW w:w="167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煤泥定期清掏后，和原煤一起</w:t>
            </w:r>
          </w:p>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外售</w:t>
            </w:r>
          </w:p>
        </w:tc>
        <w:tc>
          <w:tcPr>
            <w:tcW w:w="411"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65</w:t>
            </w:r>
          </w:p>
        </w:tc>
        <w:tc>
          <w:tcPr>
            <w:tcW w:w="938"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运至宣汉县平桥砖厂用于制砖使用</w:t>
            </w:r>
          </w:p>
        </w:tc>
        <w:tc>
          <w:tcPr>
            <w:tcW w:w="499"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
                <w:szCs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321"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572"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更换矿灯</w:t>
            </w:r>
          </w:p>
        </w:tc>
        <w:tc>
          <w:tcPr>
            <w:tcW w:w="586"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废矿灯</w:t>
            </w:r>
          </w:p>
        </w:tc>
        <w:tc>
          <w:tcPr>
            <w:tcW w:w="167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由厂家回收处理</w:t>
            </w:r>
          </w:p>
        </w:tc>
        <w:tc>
          <w:tcPr>
            <w:tcW w:w="411"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0.04</w:t>
            </w:r>
          </w:p>
        </w:tc>
        <w:tc>
          <w:tcPr>
            <w:tcW w:w="938" w:type="pct"/>
            <w:vMerge w:val="restar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全部由厂家回收处理</w:t>
            </w:r>
          </w:p>
        </w:tc>
        <w:tc>
          <w:tcPr>
            <w:tcW w:w="499"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
                <w:szCs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321"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572"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更换蓄电池</w:t>
            </w:r>
          </w:p>
        </w:tc>
        <w:tc>
          <w:tcPr>
            <w:tcW w:w="586"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废蓄电池</w:t>
            </w:r>
          </w:p>
        </w:tc>
        <w:tc>
          <w:tcPr>
            <w:tcW w:w="167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由厂家回收处理</w:t>
            </w:r>
          </w:p>
        </w:tc>
        <w:tc>
          <w:tcPr>
            <w:tcW w:w="411"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0.1</w:t>
            </w:r>
          </w:p>
        </w:tc>
        <w:tc>
          <w:tcPr>
            <w:tcW w:w="938"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499"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
                <w:szCs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321"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572"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机械维修保养</w:t>
            </w:r>
          </w:p>
        </w:tc>
        <w:tc>
          <w:tcPr>
            <w:tcW w:w="586"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废机油</w:t>
            </w:r>
          </w:p>
        </w:tc>
        <w:tc>
          <w:tcPr>
            <w:tcW w:w="167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作为传动带托辊润滑使用</w:t>
            </w:r>
          </w:p>
        </w:tc>
        <w:tc>
          <w:tcPr>
            <w:tcW w:w="411"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0.3</w:t>
            </w:r>
          </w:p>
        </w:tc>
        <w:tc>
          <w:tcPr>
            <w:tcW w:w="938"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暂存至危废暂存间内，按危废管理，用于场地内轨道、钢丝润滑</w:t>
            </w:r>
          </w:p>
        </w:tc>
        <w:tc>
          <w:tcPr>
            <w:tcW w:w="499"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
                <w:szCs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321" w:type="pct"/>
            <w:vMerge w:val="continue"/>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p>
        </w:tc>
        <w:tc>
          <w:tcPr>
            <w:tcW w:w="572"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含油抹布及</w:t>
            </w:r>
          </w:p>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手套</w:t>
            </w:r>
          </w:p>
        </w:tc>
        <w:tc>
          <w:tcPr>
            <w:tcW w:w="586"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含油抹布</w:t>
            </w:r>
          </w:p>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及手套</w:t>
            </w:r>
          </w:p>
        </w:tc>
        <w:tc>
          <w:tcPr>
            <w:tcW w:w="1673"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混入生活垃圾</w:t>
            </w:r>
          </w:p>
        </w:tc>
        <w:tc>
          <w:tcPr>
            <w:tcW w:w="411"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0.03</w:t>
            </w:r>
          </w:p>
        </w:tc>
        <w:tc>
          <w:tcPr>
            <w:tcW w:w="938"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由环卫部门清运处理</w:t>
            </w:r>
          </w:p>
        </w:tc>
        <w:tc>
          <w:tcPr>
            <w:tcW w:w="499"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
                <w:szCs w:val="2"/>
              </w:rPr>
            </w:pPr>
          </w:p>
        </w:tc>
      </w:tr>
    </w:tbl>
    <w:p>
      <w:pPr>
        <w:pStyle w:val="6"/>
        <w:rPr>
          <w:lang w:eastAsia="zh-CN"/>
        </w:rPr>
      </w:pPr>
      <w:bookmarkStart w:id="69" w:name="_Toc167095127"/>
      <w:bookmarkStart w:id="70" w:name="_Toc163812504"/>
      <w:r>
        <w:rPr>
          <w:lang w:eastAsia="zh-CN"/>
        </w:rPr>
        <w:t>2.1.4 现有煤矿存在的主要环境问题及“以新带老”措施</w:t>
      </w:r>
      <w:bookmarkEnd w:id="69"/>
      <w:bookmarkEnd w:id="70"/>
    </w:p>
    <w:p>
      <w:pPr>
        <w:spacing w:line="360" w:lineRule="auto"/>
        <w:ind w:firstLine="480" w:firstLineChars="200"/>
        <w:rPr>
          <w:rFonts w:hAnsi="Times New Roman" w:eastAsia="宋体"/>
          <w:szCs w:val="22"/>
          <w:lang w:eastAsia="zh-CN"/>
        </w:rPr>
      </w:pPr>
      <w:r>
        <w:rPr>
          <w:rFonts w:hAnsi="Times New Roman" w:eastAsia="宋体"/>
          <w:szCs w:val="22"/>
          <w:lang w:eastAsia="zh-CN"/>
        </w:rPr>
        <w:t>项目存在的环境问题及本次评价提出的“以新带老”措施见表2.1-</w:t>
      </w:r>
      <w:r>
        <w:rPr>
          <w:rFonts w:hint="eastAsia" w:hAnsi="Times New Roman" w:eastAsia="宋体"/>
          <w:szCs w:val="22"/>
          <w:lang w:eastAsia="zh-CN"/>
        </w:rPr>
        <w:t>7</w:t>
      </w:r>
      <w:r>
        <w:rPr>
          <w:rFonts w:hAnsi="Times New Roman" w:eastAsia="宋体"/>
          <w:szCs w:val="22"/>
          <w:lang w:eastAsia="zh-CN"/>
        </w:rPr>
        <w:t>。</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 2.1-</w:t>
      </w:r>
      <w:r>
        <w:rPr>
          <w:rFonts w:hint="eastAsia" w:hAnsi="Times New Roman" w:eastAsia="宋体"/>
          <w:b/>
          <w:bCs/>
          <w:sz w:val="21"/>
          <w:szCs w:val="21"/>
          <w:lang w:eastAsia="zh-CN"/>
        </w:rPr>
        <w:t>7</w:t>
      </w:r>
      <w:r>
        <w:rPr>
          <w:rFonts w:hAnsi="Times New Roman" w:eastAsia="宋体"/>
          <w:b/>
          <w:bCs/>
          <w:sz w:val="21"/>
          <w:szCs w:val="21"/>
          <w:lang w:eastAsia="zh-CN"/>
        </w:rPr>
        <w:tab/>
      </w:r>
      <w:r>
        <w:rPr>
          <w:rFonts w:hAnsi="Times New Roman" w:eastAsia="宋体"/>
          <w:b/>
          <w:bCs/>
          <w:sz w:val="21"/>
          <w:szCs w:val="21"/>
          <w:lang w:eastAsia="zh-CN"/>
        </w:rPr>
        <w:t>项目存在的环境问题及 “以新带老”措施一览表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3022"/>
        <w:gridCol w:w="3740"/>
        <w:gridCol w:w="1059"/>
        <w:gridCol w:w="10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tblHeader/>
          <w:jc w:val="center"/>
        </w:trPr>
        <w:tc>
          <w:tcPr>
            <w:tcW w:w="221" w:type="pct"/>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
                <w:color w:val="auto"/>
                <w:kern w:val="2"/>
                <w:lang w:eastAsia="zh-CN"/>
              </w:rPr>
            </w:pPr>
            <w:r>
              <w:rPr>
                <w:rFonts w:hint="eastAsia" w:hAnsi="Times New Roman" w:eastAsia="宋体"/>
                <w:b/>
                <w:color w:val="auto"/>
                <w:kern w:val="2"/>
                <w:lang w:eastAsia="zh-CN"/>
              </w:rPr>
              <w:t>编号</w:t>
            </w:r>
          </w:p>
        </w:tc>
        <w:tc>
          <w:tcPr>
            <w:tcW w:w="1619" w:type="pct"/>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
                <w:color w:val="auto"/>
                <w:kern w:val="2"/>
                <w:lang w:eastAsia="zh-CN"/>
              </w:rPr>
            </w:pPr>
            <w:r>
              <w:rPr>
                <w:rFonts w:hint="eastAsia" w:hAnsi="Times New Roman" w:eastAsia="宋体"/>
                <w:b/>
                <w:color w:val="auto"/>
                <w:kern w:val="2"/>
                <w:lang w:eastAsia="zh-CN"/>
              </w:rPr>
              <w:t>原项目存在的环境问题</w:t>
            </w:r>
          </w:p>
        </w:tc>
        <w:tc>
          <w:tcPr>
            <w:tcW w:w="2003" w:type="pct"/>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
                <w:color w:val="auto"/>
                <w:kern w:val="2"/>
                <w:lang w:eastAsia="zh-CN"/>
              </w:rPr>
            </w:pPr>
            <w:r>
              <w:rPr>
                <w:rFonts w:hint="eastAsia" w:hAnsi="Times New Roman" w:eastAsia="宋体"/>
                <w:b/>
                <w:color w:val="auto"/>
                <w:kern w:val="2"/>
                <w:lang w:eastAsia="zh-CN"/>
              </w:rPr>
              <w:t>“以新带老”措施</w:t>
            </w:r>
          </w:p>
        </w:tc>
        <w:tc>
          <w:tcPr>
            <w:tcW w:w="568" w:type="pct"/>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
                <w:color w:val="auto"/>
                <w:kern w:val="2"/>
                <w:lang w:eastAsia="zh-CN"/>
              </w:rPr>
            </w:pPr>
            <w:r>
              <w:rPr>
                <w:rFonts w:hint="eastAsia" w:hAnsi="Times New Roman" w:eastAsia="宋体"/>
                <w:b/>
                <w:color w:val="auto"/>
                <w:kern w:val="2"/>
                <w:lang w:eastAsia="zh-CN"/>
              </w:rPr>
              <w:t>责任主体</w:t>
            </w:r>
          </w:p>
        </w:tc>
        <w:tc>
          <w:tcPr>
            <w:tcW w:w="588" w:type="pct"/>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
                <w:color w:val="auto"/>
                <w:kern w:val="2"/>
                <w:lang w:eastAsia="zh-CN"/>
              </w:rPr>
            </w:pPr>
            <w:r>
              <w:rPr>
                <w:rFonts w:hint="eastAsia" w:hAnsi="Times New Roman" w:eastAsia="宋体"/>
                <w:b/>
                <w:color w:val="auto"/>
                <w:kern w:val="2"/>
                <w:lang w:eastAsia="zh-CN"/>
              </w:rPr>
              <w:t>完成时限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221" w:type="pct"/>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1</w:t>
            </w:r>
          </w:p>
        </w:tc>
        <w:tc>
          <w:tcPr>
            <w:tcW w:w="1619" w:type="pct"/>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矿井涌水经现有矿井水处理站处理，处理能力为750m</w:t>
            </w:r>
            <w:r>
              <w:rPr>
                <w:rFonts w:hint="eastAsia" w:hAnsi="Times New Roman" w:eastAsia="宋体"/>
                <w:bCs/>
                <w:color w:val="auto"/>
                <w:kern w:val="2"/>
                <w:vertAlign w:val="superscript"/>
                <w:lang w:eastAsia="zh-CN"/>
              </w:rPr>
              <w:t>3</w:t>
            </w:r>
            <w:r>
              <w:rPr>
                <w:rFonts w:hint="eastAsia" w:hAnsi="Times New Roman" w:eastAsia="宋体"/>
                <w:bCs/>
                <w:color w:val="auto"/>
                <w:kern w:val="2"/>
                <w:lang w:eastAsia="zh-CN"/>
              </w:rPr>
              <w:t>/d，矿井水处理站处理能力不能满足矿井扩建后矿井涌水的要求。</w:t>
            </w:r>
          </w:p>
        </w:tc>
        <w:tc>
          <w:tcPr>
            <w:tcW w:w="2003" w:type="pct"/>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r>
              <w:rPr>
                <w:rFonts w:hint="eastAsia" w:hAnsi="Times New Roman" w:eastAsia="宋体"/>
                <w:color w:val="auto"/>
                <w:kern w:val="2"/>
              </w:rPr>
              <w:t>本次拟</w:t>
            </w:r>
            <w:r>
              <w:rPr>
                <w:rFonts w:hint="eastAsia" w:hAnsi="Times New Roman" w:eastAsia="宋体"/>
                <w:color w:val="auto"/>
                <w:kern w:val="2"/>
                <w:lang w:eastAsia="zh-CN"/>
              </w:rPr>
              <w:t>采用2</w:t>
            </w:r>
            <w:r>
              <w:rPr>
                <w:rFonts w:hint="eastAsia" w:hAnsi="Times New Roman" w:eastAsia="宋体"/>
                <w:color w:val="auto"/>
                <w:kern w:val="2"/>
              </w:rPr>
              <w:t>套型号为YWS-200，单台处理量为200m</w:t>
            </w:r>
            <w:r>
              <w:rPr>
                <w:rFonts w:hint="eastAsia" w:hAnsi="Times New Roman" w:eastAsia="宋体"/>
                <w:color w:val="auto"/>
                <w:kern w:val="2"/>
                <w:vertAlign w:val="superscript"/>
              </w:rPr>
              <w:t>3</w:t>
            </w:r>
            <w:r>
              <w:rPr>
                <w:rFonts w:hint="eastAsia" w:hAnsi="Times New Roman" w:eastAsia="宋体"/>
                <w:color w:val="auto"/>
                <w:kern w:val="2"/>
              </w:rPr>
              <w:t>/h的含煤废水处理装置</w:t>
            </w:r>
            <w:r>
              <w:rPr>
                <w:rFonts w:hint="eastAsia" w:hAnsi="Times New Roman" w:eastAsia="宋体"/>
                <w:color w:val="auto"/>
                <w:kern w:val="2"/>
                <w:lang w:eastAsia="zh-CN"/>
              </w:rPr>
              <w:t>对矿井涌水</w:t>
            </w:r>
            <w:r>
              <w:rPr>
                <w:rFonts w:hint="eastAsia" w:hAnsi="Times New Roman" w:eastAsia="宋体"/>
                <w:color w:val="auto"/>
                <w:kern w:val="2"/>
              </w:rPr>
              <w:t>进行处理。矿井水处理工艺为“</w:t>
            </w:r>
            <w:r>
              <w:rPr>
                <w:rFonts w:hint="eastAsia" w:hAnsi="Times New Roman" w:eastAsia="宋体"/>
                <w:color w:val="auto"/>
                <w:kern w:val="2"/>
                <w:szCs w:val="24"/>
                <w:lang w:eastAsia="zh-CN"/>
              </w:rPr>
              <w:t>隔油+预沉调节+混凝沉淀+斜管沉淀+石英砂过滤+消毒</w:t>
            </w:r>
            <w:r>
              <w:rPr>
                <w:rFonts w:hint="eastAsia" w:hAnsi="Times New Roman" w:eastAsia="宋体"/>
                <w:color w:val="auto"/>
                <w:kern w:val="2"/>
              </w:rPr>
              <w:t>”。处理后的矿井涌水部分抽至高位水池作为井下降尘及地面生产用水等使用，</w:t>
            </w:r>
            <w:r>
              <w:rPr>
                <w:rFonts w:hint="eastAsia" w:hAnsi="Times New Roman" w:eastAsia="宋体"/>
                <w:color w:val="auto"/>
                <w:kern w:val="2"/>
                <w:lang w:eastAsia="zh-CN"/>
              </w:rPr>
              <w:t>为井下降尘及地面生产用水等使用，其余部分通过1.5km排水管道引至天生镇王一庙水源保护区下游河段（新宁河）排放</w:t>
            </w:r>
            <w:r>
              <w:rPr>
                <w:rFonts w:hint="eastAsia" w:hAnsi="Times New Roman" w:eastAsia="宋体"/>
                <w:color w:val="auto"/>
                <w:kern w:val="2"/>
              </w:rPr>
              <w:t>，外排的矿井涌水要求达到《地表水环境质量标准》（GB3838-2002）中Ⅲ类限值。</w:t>
            </w:r>
          </w:p>
        </w:tc>
        <w:tc>
          <w:tcPr>
            <w:tcW w:w="568" w:type="pct"/>
            <w:vMerge w:val="restart"/>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color w:val="auto"/>
                <w:kern w:val="2"/>
              </w:rPr>
            </w:pPr>
            <w:r>
              <w:rPr>
                <w:rFonts w:hint="eastAsia" w:hAnsi="Times New Roman" w:eastAsia="宋体"/>
                <w:color w:val="auto"/>
                <w:kern w:val="2"/>
                <w:lang w:eastAsia="zh-CN"/>
              </w:rPr>
              <w:t>七里峡煤矿主要负责人</w:t>
            </w:r>
          </w:p>
        </w:tc>
        <w:tc>
          <w:tcPr>
            <w:tcW w:w="588" w:type="pct"/>
            <w:vMerge w:val="restart"/>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color w:val="auto"/>
                <w:kern w:val="2"/>
              </w:rPr>
            </w:pPr>
            <w:r>
              <w:rPr>
                <w:rFonts w:hint="eastAsia" w:hAnsi="Times New Roman" w:eastAsia="宋体"/>
                <w:color w:val="auto"/>
                <w:kern w:val="2"/>
                <w:lang w:eastAsia="zh-CN"/>
              </w:rPr>
              <w:t>煤矿正式投入运营前，与主体工程同时设计，同时施工，同时投入使用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221" w:type="pct"/>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2</w:t>
            </w:r>
          </w:p>
        </w:tc>
        <w:tc>
          <w:tcPr>
            <w:tcW w:w="1619" w:type="pct"/>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车辆冲洗平台现为简易的车辆冲洗平台，采用移动式喷淋水管对出场车辆轮胎进行清洗，水资源消耗量大，还可能因为水压小影响车辆冲洗质量，造成路面二次沾染。</w:t>
            </w:r>
          </w:p>
        </w:tc>
        <w:tc>
          <w:tcPr>
            <w:tcW w:w="2003" w:type="pct"/>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r>
              <w:rPr>
                <w:rFonts w:hint="eastAsia" w:hAnsi="Times New Roman" w:eastAsia="宋体"/>
                <w:color w:val="auto"/>
                <w:kern w:val="2"/>
              </w:rPr>
              <w:t>本次拟在厂区进出口设置1套</w:t>
            </w:r>
            <w:r>
              <w:rPr>
                <w:rFonts w:hint="eastAsia" w:hAnsi="Times New Roman" w:eastAsia="宋体"/>
                <w:color w:val="auto"/>
                <w:kern w:val="2"/>
                <w:lang w:eastAsia="zh-CN"/>
              </w:rPr>
              <w:t>自动高压喷淋式</w:t>
            </w:r>
            <w:r>
              <w:rPr>
                <w:rFonts w:hint="eastAsia" w:hAnsi="Times New Roman" w:eastAsia="宋体"/>
                <w:color w:val="auto"/>
                <w:kern w:val="2"/>
              </w:rPr>
              <w:t>车辆冲洗平台对进出车辆进行冲洗，同时设计1个</w:t>
            </w:r>
            <w:r>
              <w:rPr>
                <w:rFonts w:hint="eastAsia" w:hAnsi="Times New Roman" w:eastAsia="宋体"/>
                <w:color w:val="auto"/>
                <w:kern w:val="2"/>
                <w:lang w:eastAsia="zh-CN"/>
              </w:rPr>
              <w:t>5</w:t>
            </w:r>
            <w:r>
              <w:rPr>
                <w:rFonts w:hint="eastAsia" w:hAnsi="Times New Roman" w:eastAsia="宋体"/>
                <w:color w:val="auto"/>
                <w:kern w:val="2"/>
              </w:rPr>
              <w:t>m</w:t>
            </w:r>
            <w:r>
              <w:rPr>
                <w:rFonts w:hint="eastAsia" w:hAnsi="Times New Roman" w:eastAsia="宋体"/>
                <w:color w:val="auto"/>
                <w:kern w:val="2"/>
                <w:vertAlign w:val="superscript"/>
              </w:rPr>
              <w:t>3</w:t>
            </w:r>
            <w:r>
              <w:rPr>
                <w:rFonts w:hint="eastAsia" w:hAnsi="Times New Roman" w:eastAsia="宋体"/>
                <w:color w:val="auto"/>
                <w:kern w:val="2"/>
              </w:rPr>
              <w:t>的隔油沉淀池对车辆冲洗废水进行处理，处理后回用于车辆清洗工序。</w:t>
            </w:r>
          </w:p>
        </w:tc>
        <w:tc>
          <w:tcPr>
            <w:tcW w:w="568" w:type="pct"/>
            <w:vMerge w:val="continue"/>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color w:val="auto"/>
                <w:kern w:val="2"/>
              </w:rPr>
            </w:pPr>
          </w:p>
        </w:tc>
        <w:tc>
          <w:tcPr>
            <w:tcW w:w="588" w:type="pct"/>
            <w:vMerge w:val="continue"/>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color w:val="auto"/>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221" w:type="pct"/>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3</w:t>
            </w:r>
          </w:p>
        </w:tc>
        <w:tc>
          <w:tcPr>
            <w:tcW w:w="1619" w:type="pct"/>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矿井水外排口未安装在线自动监测系统，不符合《关于印发进一步加强煤炭资源开发环境影响评价管理的通知》（环环评〔2020〕63号）的现行要求。</w:t>
            </w:r>
          </w:p>
        </w:tc>
        <w:tc>
          <w:tcPr>
            <w:tcW w:w="2003" w:type="pct"/>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r>
              <w:rPr>
                <w:rFonts w:hint="eastAsia" w:hAnsi="Times New Roman" w:eastAsia="宋体"/>
                <w:color w:val="auto"/>
                <w:spacing w:val="3"/>
                <w:kern w:val="2"/>
              </w:rPr>
              <w:t>本次拟在矿井水外排口安装在线自动监测系统，相关环境数据向社会公</w:t>
            </w:r>
            <w:r>
              <w:rPr>
                <w:rFonts w:hint="eastAsia" w:hAnsi="Times New Roman" w:eastAsia="宋体"/>
                <w:color w:val="auto"/>
                <w:kern w:val="2"/>
              </w:rPr>
              <w:t>开，与相关部门联网，接受监督。</w:t>
            </w:r>
          </w:p>
        </w:tc>
        <w:tc>
          <w:tcPr>
            <w:tcW w:w="568" w:type="pct"/>
            <w:vMerge w:val="continue"/>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color w:val="auto"/>
                <w:spacing w:val="3"/>
                <w:kern w:val="2"/>
              </w:rPr>
            </w:pPr>
          </w:p>
        </w:tc>
        <w:tc>
          <w:tcPr>
            <w:tcW w:w="588" w:type="pct"/>
            <w:vMerge w:val="continue"/>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color w:val="auto"/>
                <w:spacing w:val="3"/>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221" w:type="pct"/>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4</w:t>
            </w:r>
          </w:p>
        </w:tc>
        <w:tc>
          <w:tcPr>
            <w:tcW w:w="1619" w:type="pct"/>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矸石临时堆场露天堆放，储煤场为半封闭式堆放，仅做简单覆盖，原煤及矸石装卸无组织扬尘排放严重。</w:t>
            </w:r>
          </w:p>
        </w:tc>
        <w:tc>
          <w:tcPr>
            <w:tcW w:w="2003" w:type="pct"/>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本次拟将储煤场、矸石临时堆场建为顶部遮盖、三面围挡封闭的半封闭式的钢架结构彩钢棚，并在矸石临时堆场的敞开位置，加设防尘网和防尘水雾喷洒系统，</w:t>
            </w:r>
            <w:r>
              <w:rPr>
                <w:rFonts w:hint="eastAsia" w:hAnsi="Times New Roman" w:eastAsia="宋体"/>
                <w:color w:val="auto"/>
                <w:kern w:val="2"/>
                <w:szCs w:val="22"/>
                <w:lang w:eastAsia="zh-CN"/>
              </w:rPr>
              <w:t>在煤矸石堆场转运点进行封闭，并设置喷雾降尘装置，防止粉尘污染</w:t>
            </w:r>
            <w:r>
              <w:rPr>
                <w:rFonts w:hint="eastAsia" w:hAnsi="Times New Roman" w:eastAsia="宋体"/>
                <w:bCs/>
                <w:color w:val="auto"/>
                <w:kern w:val="2"/>
                <w:lang w:eastAsia="zh-CN"/>
              </w:rPr>
              <w:t>。</w:t>
            </w:r>
          </w:p>
        </w:tc>
        <w:tc>
          <w:tcPr>
            <w:tcW w:w="568" w:type="pct"/>
            <w:vMerge w:val="continue"/>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p>
        </w:tc>
        <w:tc>
          <w:tcPr>
            <w:tcW w:w="588" w:type="pct"/>
            <w:vMerge w:val="continue"/>
            <w:vAlign w:val="center"/>
          </w:tcPr>
          <w:p>
            <w:pPr>
              <w:pStyle w:val="43"/>
              <w:keepNext w:val="0"/>
              <w:keepLines w:val="0"/>
              <w:suppressLineNumbers w:val="0"/>
              <w:spacing w:before="0" w:beforeAutospacing="0" w:after="0" w:afterAutospacing="0" w:line="240" w:lineRule="exact"/>
              <w:ind w:left="0" w:right="0"/>
              <w:rPr>
                <w:rFonts w:hint="eastAsia" w:hAnsi="Times New Roman" w:eastAsia="宋体"/>
                <w:bCs/>
                <w:color w:val="auto"/>
                <w:kern w:val="2"/>
                <w:lang w:eastAsia="zh-CN"/>
              </w:rPr>
            </w:pPr>
          </w:p>
        </w:tc>
      </w:tr>
    </w:tbl>
    <w:p>
      <w:pPr>
        <w:pStyle w:val="5"/>
        <w:rPr>
          <w:rFonts w:ascii="Times New Roman" w:hAnsi="Times New Roman"/>
          <w:lang w:eastAsia="zh-CN"/>
        </w:rPr>
      </w:pPr>
      <w:bookmarkStart w:id="71" w:name="_Toc163749156"/>
      <w:bookmarkStart w:id="72" w:name="_Toc167095128"/>
      <w:r>
        <w:rPr>
          <w:rFonts w:ascii="Times New Roman" w:hAnsi="Times New Roman"/>
          <w:lang w:eastAsia="zh-CN"/>
        </w:rPr>
        <w:t>2.2 拟建工程概况</w:t>
      </w:r>
      <w:bookmarkEnd w:id="71"/>
      <w:bookmarkEnd w:id="72"/>
    </w:p>
    <w:p>
      <w:pPr>
        <w:pStyle w:val="6"/>
        <w:rPr>
          <w:lang w:eastAsia="zh-CN"/>
        </w:rPr>
      </w:pPr>
      <w:bookmarkStart w:id="73" w:name="_Toc167095129"/>
      <w:bookmarkStart w:id="74" w:name="_Toc163812506"/>
      <w:r>
        <w:rPr>
          <w:lang w:eastAsia="zh-CN"/>
        </w:rPr>
        <w:t>2.2.1 项目基本情况</w:t>
      </w:r>
      <w:bookmarkEnd w:id="73"/>
      <w:bookmarkEnd w:id="74"/>
    </w:p>
    <w:p>
      <w:pPr>
        <w:spacing w:line="360" w:lineRule="auto"/>
        <w:ind w:firstLine="480" w:firstLineChars="200"/>
        <w:rPr>
          <w:rFonts w:hAnsi="Times New Roman" w:eastAsia="宋体"/>
          <w:szCs w:val="22"/>
          <w:lang w:eastAsia="zh-CN"/>
        </w:rPr>
      </w:pPr>
      <w:r>
        <w:rPr>
          <w:rFonts w:hAnsi="Times New Roman" w:eastAsia="宋体"/>
          <w:szCs w:val="22"/>
          <w:lang w:eastAsia="zh-CN"/>
        </w:rPr>
        <w:t>（1）项目名称：达州市宣汉县七里峡煤业有限公司七里峡煤矿扩建工程项目；</w:t>
      </w:r>
    </w:p>
    <w:p>
      <w:pPr>
        <w:spacing w:line="360" w:lineRule="auto"/>
        <w:ind w:firstLine="480" w:firstLineChars="200"/>
        <w:rPr>
          <w:rFonts w:hAnsi="Times New Roman" w:eastAsia="宋体"/>
          <w:lang w:eastAsia="zh-CN"/>
        </w:rPr>
      </w:pPr>
      <w:r>
        <w:rPr>
          <w:rFonts w:hAnsi="Times New Roman" w:eastAsia="宋体"/>
          <w:lang w:eastAsia="zh-CN"/>
        </w:rPr>
        <w:t>（2）建设性质：改扩建；</w:t>
      </w:r>
    </w:p>
    <w:p>
      <w:pPr>
        <w:spacing w:line="360" w:lineRule="auto"/>
        <w:ind w:firstLine="480" w:firstLineChars="200"/>
        <w:rPr>
          <w:rFonts w:hAnsi="Times New Roman" w:eastAsia="宋体"/>
          <w:lang w:eastAsia="zh-CN"/>
        </w:rPr>
      </w:pPr>
      <w:r>
        <w:rPr>
          <w:rFonts w:hAnsi="Times New Roman" w:eastAsia="宋体"/>
          <w:lang w:eastAsia="zh-CN"/>
        </w:rPr>
        <w:t>（3）建设地点：四川省达州市宣汉县天生镇洞宫社区神龙路1号，矿区中心地理坐标：107°44′17″，北纬31°11′26″。</w:t>
      </w:r>
    </w:p>
    <w:p>
      <w:pPr>
        <w:spacing w:line="360" w:lineRule="auto"/>
        <w:ind w:firstLine="480" w:firstLineChars="200"/>
        <w:rPr>
          <w:rFonts w:hAnsi="Times New Roman" w:eastAsia="宋体"/>
          <w:lang w:eastAsia="zh-CN"/>
        </w:rPr>
      </w:pPr>
      <w:r>
        <w:rPr>
          <w:rFonts w:hAnsi="Times New Roman" w:eastAsia="宋体"/>
          <w:lang w:eastAsia="zh-CN"/>
        </w:rPr>
        <w:t>（4）建设单位：达州市宣汉县七里峡煤业有限公司；</w:t>
      </w:r>
    </w:p>
    <w:p>
      <w:pPr>
        <w:spacing w:line="360" w:lineRule="auto"/>
        <w:ind w:firstLine="480" w:firstLineChars="200"/>
        <w:rPr>
          <w:rFonts w:hAnsi="Times New Roman" w:eastAsia="宋体"/>
          <w:lang w:eastAsia="zh-CN"/>
        </w:rPr>
      </w:pPr>
      <w:r>
        <w:rPr>
          <w:rFonts w:hAnsi="Times New Roman" w:eastAsia="宋体"/>
          <w:lang w:eastAsia="zh-CN"/>
        </w:rPr>
        <w:t>（5）服务年限：约</w:t>
      </w:r>
      <w:r>
        <w:rPr>
          <w:rFonts w:hint="eastAsia" w:hAnsi="Times New Roman" w:eastAsia="宋体"/>
          <w:lang w:eastAsia="zh-CN"/>
        </w:rPr>
        <w:t>5.2</w:t>
      </w:r>
      <w:r>
        <w:rPr>
          <w:rFonts w:hAnsi="Times New Roman" w:eastAsia="宋体"/>
          <w:lang w:eastAsia="zh-CN"/>
        </w:rPr>
        <w:t>年；</w:t>
      </w:r>
    </w:p>
    <w:p>
      <w:pPr>
        <w:spacing w:line="360" w:lineRule="auto"/>
        <w:ind w:firstLine="480" w:firstLineChars="200"/>
        <w:rPr>
          <w:rFonts w:hAnsi="Times New Roman" w:eastAsia="宋体"/>
          <w:lang w:eastAsia="zh-CN"/>
        </w:rPr>
      </w:pPr>
      <w:r>
        <w:rPr>
          <w:rFonts w:hAnsi="Times New Roman" w:eastAsia="宋体"/>
          <w:lang w:eastAsia="zh-CN"/>
        </w:rPr>
        <w:t>（6）开采方式：地下开采、走向长壁采煤法；</w:t>
      </w:r>
    </w:p>
    <w:p>
      <w:pPr>
        <w:spacing w:line="360" w:lineRule="auto"/>
        <w:ind w:firstLine="480" w:firstLineChars="200"/>
        <w:rPr>
          <w:rFonts w:hAnsi="Times New Roman" w:eastAsia="宋体"/>
          <w:lang w:eastAsia="zh-CN"/>
        </w:rPr>
      </w:pPr>
      <w:r>
        <w:rPr>
          <w:rFonts w:hAnsi="Times New Roman" w:eastAsia="宋体"/>
          <w:lang w:eastAsia="zh-CN"/>
        </w:rPr>
        <w:t>（7）工程总投资：4753.86万元</w:t>
      </w:r>
    </w:p>
    <w:p>
      <w:pPr>
        <w:pStyle w:val="6"/>
        <w:rPr>
          <w:lang w:eastAsia="zh-CN"/>
        </w:rPr>
      </w:pPr>
      <w:bookmarkStart w:id="75" w:name="_Toc163812507"/>
      <w:bookmarkStart w:id="76" w:name="_Toc167095130"/>
      <w:r>
        <w:rPr>
          <w:lang w:eastAsia="zh-CN"/>
        </w:rPr>
        <w:t>2.2.2 项目组成</w:t>
      </w:r>
      <w:bookmarkEnd w:id="75"/>
      <w:bookmarkEnd w:id="76"/>
    </w:p>
    <w:p>
      <w:pPr>
        <w:spacing w:line="360" w:lineRule="auto"/>
        <w:ind w:firstLine="480" w:firstLineChars="200"/>
        <w:rPr>
          <w:rFonts w:hAnsi="Times New Roman" w:eastAsia="宋体"/>
          <w:lang w:eastAsia="zh-CN"/>
        </w:rPr>
      </w:pPr>
      <w:r>
        <w:rPr>
          <w:rFonts w:hAnsi="Times New Roman" w:eastAsia="宋体"/>
          <w:lang w:eastAsia="zh-CN"/>
        </w:rPr>
        <w:t>原七里峡煤矿为合法生产矿井，其井筒工程、工业场地、办公楼及储煤场、机修车间等生产设施等已建成；工业场地供水、供电、交通运输等已形成。七里峡煤矿30万t/a独立升级改造项目组成见下表所示。</w:t>
      </w:r>
    </w:p>
    <w:p>
      <w:pPr>
        <w:spacing w:line="360" w:lineRule="auto"/>
        <w:ind w:firstLine="480" w:firstLineChars="200"/>
        <w:rPr>
          <w:rFonts w:hAnsi="Times New Roman" w:eastAsia="宋体"/>
          <w:lang w:eastAsia="zh-CN"/>
        </w:rPr>
        <w:sectPr>
          <w:pgSz w:w="11906" w:h="16838"/>
          <w:pgMar w:top="1440" w:right="1304" w:bottom="1440" w:left="1474" w:header="851" w:footer="992" w:gutter="0"/>
          <w:cols w:space="425" w:num="1"/>
          <w:docGrid w:type="lines" w:linePitch="312" w:charSpace="0"/>
        </w:sectPr>
      </w:pP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表2.2-1 七里峡煤矿30万吨/年独立升级改造项目组成表名称</w:t>
      </w:r>
    </w:p>
    <w:tbl>
      <w:tblPr>
        <w:tblStyle w:val="33"/>
        <w:tblW w:w="1395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873"/>
        <w:gridCol w:w="804"/>
        <w:gridCol w:w="25"/>
        <w:gridCol w:w="1599"/>
        <w:gridCol w:w="4637"/>
        <w:gridCol w:w="4427"/>
        <w:gridCol w:w="15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3301" w:type="dxa"/>
            <w:gridSpan w:val="4"/>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名称</w:t>
            </w:r>
          </w:p>
        </w:tc>
        <w:tc>
          <w:tcPr>
            <w:tcW w:w="9064" w:type="dxa"/>
            <w:gridSpan w:val="2"/>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建设内容及规模</w:t>
            </w:r>
          </w:p>
        </w:tc>
        <w:tc>
          <w:tcPr>
            <w:tcW w:w="1585" w:type="dxa"/>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产生的环</w:t>
            </w:r>
          </w:p>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境问题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3301" w:type="dxa"/>
            <w:gridSpan w:val="4"/>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p>
        </w:tc>
        <w:tc>
          <w:tcPr>
            <w:tcW w:w="4637"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现有工程</w:t>
            </w:r>
          </w:p>
        </w:tc>
        <w:tc>
          <w:tcPr>
            <w:tcW w:w="4427"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改扩建工程及利用情况</w:t>
            </w:r>
          </w:p>
        </w:tc>
        <w:tc>
          <w:tcPr>
            <w:tcW w:w="1585"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73" w:type="dxa"/>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主体工程</w:t>
            </w:r>
          </w:p>
        </w:tc>
        <w:tc>
          <w:tcPr>
            <w:tcW w:w="2428" w:type="dxa"/>
            <w:gridSpan w:val="3"/>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井田</w:t>
            </w:r>
          </w:p>
        </w:tc>
        <w:tc>
          <w:tcPr>
            <w:tcW w:w="46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矿区范围由32个拐点坐标圈定，面积3.4715km</w:t>
            </w:r>
            <w:r>
              <w:rPr>
                <w:rFonts w:hint="eastAsia" w:hAnsi="Times New Roman" w:eastAsia="宋体"/>
                <w:kern w:val="2"/>
                <w:sz w:val="21"/>
                <w:szCs w:val="21"/>
                <w:vertAlign w:val="superscript"/>
                <w:lang w:eastAsia="zh-CN"/>
              </w:rPr>
              <w:t>2</w:t>
            </w:r>
            <w:r>
              <w:rPr>
                <w:rFonts w:hint="eastAsia" w:hAnsi="Times New Roman" w:eastAsia="宋体"/>
                <w:kern w:val="2"/>
                <w:sz w:val="21"/>
                <w:szCs w:val="21"/>
                <w:lang w:eastAsia="zh-CN"/>
              </w:rPr>
              <w:t>，准采煤层：K</w:t>
            </w:r>
            <w:r>
              <w:rPr>
                <w:rFonts w:hint="eastAsia" w:hAnsi="Times New Roman" w:eastAsia="宋体"/>
                <w:kern w:val="2"/>
                <w:sz w:val="21"/>
                <w:szCs w:val="21"/>
                <w:vertAlign w:val="subscript"/>
                <w:lang w:eastAsia="zh-CN"/>
              </w:rPr>
              <w:t>10</w:t>
            </w:r>
            <w:r>
              <w:rPr>
                <w:rFonts w:hint="eastAsia" w:hAnsi="Times New Roman" w:eastAsia="宋体"/>
                <w:kern w:val="2"/>
                <w:sz w:val="21"/>
                <w:szCs w:val="21"/>
                <w:lang w:eastAsia="zh-CN"/>
              </w:rPr>
              <w:t>、K</w:t>
            </w:r>
            <w:r>
              <w:rPr>
                <w:rFonts w:hint="eastAsia" w:hAnsi="Times New Roman" w:eastAsia="宋体"/>
                <w:kern w:val="2"/>
                <w:sz w:val="21"/>
                <w:szCs w:val="21"/>
                <w:vertAlign w:val="subscript"/>
                <w:lang w:eastAsia="zh-CN"/>
              </w:rPr>
              <w:t>8</w:t>
            </w:r>
            <w:r>
              <w:rPr>
                <w:rFonts w:hint="eastAsia" w:hAnsi="Times New Roman" w:eastAsia="宋体"/>
                <w:kern w:val="2"/>
                <w:sz w:val="21"/>
                <w:szCs w:val="21"/>
                <w:lang w:eastAsia="zh-CN"/>
              </w:rPr>
              <w:t>、K</w:t>
            </w:r>
            <w:r>
              <w:rPr>
                <w:rFonts w:hint="eastAsia" w:hAnsi="Times New Roman" w:eastAsia="宋体"/>
                <w:kern w:val="2"/>
                <w:sz w:val="21"/>
                <w:szCs w:val="21"/>
                <w:vertAlign w:val="subscript"/>
                <w:lang w:eastAsia="zh-CN"/>
              </w:rPr>
              <w:t>6</w:t>
            </w:r>
            <w:r>
              <w:rPr>
                <w:rFonts w:hint="eastAsia" w:hAnsi="Times New Roman" w:eastAsia="宋体"/>
                <w:kern w:val="2"/>
                <w:sz w:val="21"/>
                <w:szCs w:val="21"/>
                <w:lang w:eastAsia="zh-CN"/>
              </w:rPr>
              <w:t>、K</w:t>
            </w:r>
            <w:r>
              <w:rPr>
                <w:rFonts w:hint="eastAsia" w:hAnsi="Times New Roman" w:eastAsia="宋体"/>
                <w:kern w:val="2"/>
                <w:sz w:val="21"/>
                <w:szCs w:val="21"/>
                <w:vertAlign w:val="subscript"/>
                <w:lang w:eastAsia="zh-CN"/>
              </w:rPr>
              <w:t>5-1</w:t>
            </w:r>
            <w:r>
              <w:rPr>
                <w:rFonts w:hint="eastAsia" w:hAnsi="Times New Roman" w:eastAsia="宋体"/>
                <w:kern w:val="2"/>
                <w:sz w:val="21"/>
                <w:szCs w:val="21"/>
                <w:lang w:eastAsia="zh-CN"/>
              </w:rPr>
              <w:t>、K</w:t>
            </w:r>
            <w:r>
              <w:rPr>
                <w:rFonts w:hint="eastAsia" w:hAnsi="Times New Roman" w:eastAsia="宋体"/>
                <w:kern w:val="2"/>
                <w:sz w:val="21"/>
                <w:szCs w:val="21"/>
                <w:vertAlign w:val="subscript"/>
                <w:lang w:eastAsia="zh-CN"/>
              </w:rPr>
              <w:t>5</w:t>
            </w:r>
            <w:r>
              <w:rPr>
                <w:rFonts w:hint="eastAsia" w:hAnsi="Times New Roman" w:eastAsia="宋体"/>
                <w:kern w:val="2"/>
                <w:sz w:val="21"/>
                <w:szCs w:val="21"/>
                <w:lang w:eastAsia="zh-CN"/>
              </w:rPr>
              <w:t>和K</w:t>
            </w:r>
            <w:r>
              <w:rPr>
                <w:rFonts w:hint="eastAsia" w:hAnsi="Times New Roman" w:eastAsia="宋体"/>
                <w:kern w:val="2"/>
                <w:sz w:val="21"/>
                <w:szCs w:val="21"/>
                <w:vertAlign w:val="subscript"/>
                <w:lang w:eastAsia="zh-CN"/>
              </w:rPr>
              <w:t>4</w:t>
            </w:r>
            <w:r>
              <w:rPr>
                <w:rFonts w:hint="eastAsia" w:hAnsi="Times New Roman" w:eastAsia="宋体"/>
                <w:kern w:val="2"/>
                <w:sz w:val="21"/>
                <w:szCs w:val="21"/>
                <w:lang w:eastAsia="zh-CN"/>
              </w:rPr>
              <w:t>煤层；准采标高：+670 m～+200m</w:t>
            </w:r>
          </w:p>
        </w:tc>
        <w:tc>
          <w:tcPr>
            <w:tcW w:w="442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矿区范围由20个拐点坐标圈定，面积1.6285km</w:t>
            </w:r>
            <w:r>
              <w:rPr>
                <w:rFonts w:hint="eastAsia" w:hAnsi="Times New Roman" w:eastAsia="宋体"/>
                <w:kern w:val="2"/>
                <w:sz w:val="21"/>
                <w:szCs w:val="21"/>
                <w:vertAlign w:val="superscript"/>
                <w:lang w:eastAsia="zh-CN"/>
              </w:rPr>
              <w:t>2</w:t>
            </w:r>
            <w:r>
              <w:rPr>
                <w:rFonts w:hint="eastAsia" w:hAnsi="Times New Roman" w:eastAsia="宋体"/>
                <w:kern w:val="2"/>
                <w:sz w:val="21"/>
                <w:szCs w:val="21"/>
                <w:lang w:eastAsia="zh-CN"/>
              </w:rPr>
              <w:t>，准采煤层：K</w:t>
            </w:r>
            <w:r>
              <w:rPr>
                <w:rFonts w:hint="eastAsia" w:hAnsi="Times New Roman" w:eastAsia="宋体"/>
                <w:kern w:val="2"/>
                <w:sz w:val="21"/>
                <w:szCs w:val="21"/>
                <w:vertAlign w:val="subscript"/>
                <w:lang w:eastAsia="zh-CN"/>
              </w:rPr>
              <w:t>6</w:t>
            </w:r>
            <w:r>
              <w:rPr>
                <w:rFonts w:hint="eastAsia" w:hAnsi="Times New Roman" w:eastAsia="宋体"/>
                <w:kern w:val="2"/>
                <w:sz w:val="21"/>
                <w:szCs w:val="21"/>
                <w:lang w:eastAsia="zh-CN"/>
              </w:rPr>
              <w:t>、K</w:t>
            </w:r>
            <w:r>
              <w:rPr>
                <w:rFonts w:hint="eastAsia" w:hAnsi="Times New Roman" w:eastAsia="宋体"/>
                <w:kern w:val="2"/>
                <w:sz w:val="21"/>
                <w:szCs w:val="21"/>
                <w:vertAlign w:val="subscript"/>
                <w:lang w:eastAsia="zh-CN"/>
              </w:rPr>
              <w:t>5-1</w:t>
            </w:r>
            <w:r>
              <w:rPr>
                <w:rFonts w:hint="eastAsia" w:hAnsi="Times New Roman" w:eastAsia="宋体"/>
                <w:kern w:val="2"/>
                <w:sz w:val="21"/>
                <w:szCs w:val="21"/>
                <w:lang w:eastAsia="zh-CN"/>
              </w:rPr>
              <w:t>、K</w:t>
            </w:r>
            <w:r>
              <w:rPr>
                <w:rFonts w:hint="eastAsia" w:hAnsi="Times New Roman" w:eastAsia="宋体"/>
                <w:kern w:val="2"/>
                <w:sz w:val="21"/>
                <w:szCs w:val="21"/>
                <w:vertAlign w:val="subscript"/>
                <w:lang w:eastAsia="zh-CN"/>
              </w:rPr>
              <w:t>5</w:t>
            </w:r>
            <w:r>
              <w:rPr>
                <w:rFonts w:hint="eastAsia" w:hAnsi="Times New Roman" w:eastAsia="宋体"/>
                <w:kern w:val="2"/>
                <w:sz w:val="21"/>
                <w:szCs w:val="21"/>
                <w:lang w:eastAsia="zh-CN"/>
              </w:rPr>
              <w:t>煤层；准采标高：+670 m～+200m。项目通过提高机械化采煤程度来实现增产至30 万吨/年。</w:t>
            </w:r>
          </w:p>
        </w:tc>
        <w:tc>
          <w:tcPr>
            <w:tcW w:w="158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生态破坏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73"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804" w:type="dxa"/>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井巷工程</w:t>
            </w:r>
          </w:p>
        </w:tc>
        <w:tc>
          <w:tcPr>
            <w:tcW w:w="1624" w:type="dxa"/>
            <w:gridSpan w:val="2"/>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+379m主平硐</w:t>
            </w:r>
          </w:p>
        </w:tc>
        <w:tc>
          <w:tcPr>
            <w:tcW w:w="46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rPr>
              <w:t>平硐井型，断面采用直墙半圆拱，净宽</w:t>
            </w:r>
            <w:r>
              <w:rPr>
                <w:rFonts w:hint="eastAsia" w:hAnsi="Times New Roman" w:eastAsia="宋体"/>
                <w:kern w:val="2"/>
                <w:sz w:val="21"/>
                <w:szCs w:val="21"/>
                <w:lang w:eastAsia="zh-CN"/>
              </w:rPr>
              <w:t>4.6</w:t>
            </w:r>
            <w:r>
              <w:rPr>
                <w:rFonts w:hint="eastAsia" w:hAnsi="Times New Roman" w:eastAsia="宋体"/>
                <w:kern w:val="2"/>
                <w:sz w:val="21"/>
                <w:szCs w:val="21"/>
              </w:rPr>
              <w:t>m，净高3.</w:t>
            </w:r>
            <w:r>
              <w:rPr>
                <w:rFonts w:hint="eastAsia" w:hAnsi="Times New Roman" w:eastAsia="宋体"/>
                <w:kern w:val="2"/>
                <w:sz w:val="21"/>
                <w:szCs w:val="21"/>
                <w:lang w:eastAsia="zh-CN"/>
              </w:rPr>
              <w:t>7</w:t>
            </w:r>
            <w:r>
              <w:rPr>
                <w:rFonts w:hint="eastAsia" w:hAnsi="Times New Roman" w:eastAsia="宋体"/>
                <w:kern w:val="2"/>
                <w:sz w:val="21"/>
                <w:szCs w:val="21"/>
              </w:rPr>
              <w:t>m，净断面积</w:t>
            </w:r>
            <w:r>
              <w:rPr>
                <w:rFonts w:hint="eastAsia" w:hAnsi="Times New Roman" w:eastAsia="宋体"/>
                <w:kern w:val="2"/>
                <w:sz w:val="21"/>
                <w:szCs w:val="21"/>
                <w:lang w:eastAsia="zh-CN"/>
              </w:rPr>
              <w:t>14.8</w:t>
            </w:r>
            <w:r>
              <w:rPr>
                <w:rFonts w:hint="eastAsia" w:hAnsi="Times New Roman" w:eastAsia="宋体"/>
                <w:kern w:val="2"/>
                <w:sz w:val="21"/>
                <w:szCs w:val="21"/>
              </w:rPr>
              <w:t>m</w:t>
            </w:r>
            <w:r>
              <w:rPr>
                <w:rFonts w:hint="eastAsia" w:hAnsi="Times New Roman" w:eastAsia="宋体"/>
                <w:kern w:val="2"/>
                <w:sz w:val="21"/>
                <w:szCs w:val="21"/>
                <w:vertAlign w:val="superscript"/>
              </w:rPr>
              <w:t>2</w:t>
            </w:r>
            <w:r>
              <w:rPr>
                <w:rFonts w:hint="eastAsia" w:hAnsi="Times New Roman" w:eastAsia="宋体"/>
                <w:kern w:val="2"/>
                <w:sz w:val="21"/>
                <w:szCs w:val="21"/>
                <w:lang w:eastAsia="zh-CN"/>
              </w:rPr>
              <w:t>，</w:t>
            </w:r>
            <w:r>
              <w:rPr>
                <w:rFonts w:hint="eastAsia" w:hAnsi="Times New Roman" w:eastAsia="宋体"/>
                <w:kern w:val="2"/>
                <w:sz w:val="21"/>
                <w:szCs w:val="21"/>
              </w:rPr>
              <w:t>担负矿井煤炭、矸石、材料、设备、人员上下班运输、进风、敷设管线及排水等任务。铺设22kg/m钢轨，轨距600mm</w:t>
            </w:r>
            <w:r>
              <w:rPr>
                <w:rFonts w:hint="eastAsia" w:hAnsi="Times New Roman" w:eastAsia="宋体"/>
                <w:kern w:val="2"/>
                <w:sz w:val="21"/>
                <w:szCs w:val="21"/>
                <w:lang w:eastAsia="zh-CN"/>
              </w:rPr>
              <w:t>。</w:t>
            </w:r>
          </w:p>
        </w:tc>
        <w:tc>
          <w:tcPr>
            <w:tcW w:w="442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2"/>
              </w:rPr>
            </w:pPr>
            <w:r>
              <w:rPr>
                <w:rFonts w:hint="eastAsia" w:hAnsi="Times New Roman" w:eastAsia="宋体"/>
                <w:kern w:val="2"/>
                <w:sz w:val="21"/>
                <w:szCs w:val="21"/>
                <w:lang w:eastAsia="zh-CN"/>
              </w:rPr>
              <w:t>沿用原+379m主平硐，担负全矿井煤炭、矸石、材料、设备运输和进风、行人、排水及管线敷设等任务。同时在+379m主平硐内约1150m处布置有主、副暗斜井</w:t>
            </w:r>
            <w:r>
              <w:rPr>
                <w:rFonts w:hint="eastAsia" w:hAnsi="Times New Roman" w:eastAsia="宋体"/>
                <w:b/>
                <w:bCs/>
                <w:kern w:val="2"/>
                <w:sz w:val="21"/>
                <w:szCs w:val="21"/>
                <w:lang w:eastAsia="zh-CN"/>
              </w:rPr>
              <w:t>（位于宣汉国家森林公园观音山景区范围以外）</w:t>
            </w:r>
            <w:r>
              <w:rPr>
                <w:rFonts w:hint="eastAsia" w:hAnsi="Times New Roman" w:eastAsia="宋体"/>
                <w:kern w:val="2"/>
                <w:sz w:val="21"/>
                <w:szCs w:val="21"/>
                <w:lang w:eastAsia="zh-CN"/>
              </w:rPr>
              <w:t>。主暗斜井为三心拱形断面，净宽4.8m，净高3.017m，净断面积12.8m</w:t>
            </w:r>
            <w:r>
              <w:rPr>
                <w:rFonts w:hint="eastAsia" w:hAnsi="Times New Roman" w:eastAsia="宋体"/>
                <w:kern w:val="2"/>
                <w:sz w:val="21"/>
                <w:szCs w:val="21"/>
                <w:vertAlign w:val="superscript"/>
                <w:lang w:eastAsia="zh-CN"/>
              </w:rPr>
              <w:t>2</w:t>
            </w:r>
            <w:r>
              <w:rPr>
                <w:rFonts w:hint="eastAsia" w:hAnsi="Times New Roman" w:eastAsia="宋体"/>
                <w:kern w:val="2"/>
                <w:sz w:val="21"/>
                <w:szCs w:val="21"/>
                <w:lang w:eastAsia="zh-CN"/>
              </w:rPr>
              <w:t>，在主暗斜井内安设带式输送机和架空乘人装置，担负矿井煤炭运输及运送人员上下班和进风、敷设管线等任务。副暗斜井为半圆拱形断面，净宽3.5m，净高2.7m，净断面积7.4m</w:t>
            </w:r>
            <w:r>
              <w:rPr>
                <w:rFonts w:hint="eastAsia" w:hAnsi="Times New Roman" w:eastAsia="宋体"/>
                <w:kern w:val="2"/>
                <w:sz w:val="21"/>
                <w:szCs w:val="21"/>
                <w:vertAlign w:val="superscript"/>
                <w:lang w:eastAsia="zh-CN"/>
              </w:rPr>
              <w:t>2</w:t>
            </w:r>
            <w:r>
              <w:rPr>
                <w:rFonts w:hint="eastAsia" w:hAnsi="Times New Roman" w:eastAsia="宋体"/>
                <w:kern w:val="2"/>
                <w:sz w:val="21"/>
                <w:szCs w:val="21"/>
                <w:lang w:eastAsia="zh-CN"/>
              </w:rPr>
              <w:t>，在副暗斜井内敷设有22kg/m轨道，担负矿井矸石、材料、设备等辅助提升运输任务。</w:t>
            </w:r>
          </w:p>
        </w:tc>
        <w:tc>
          <w:tcPr>
            <w:tcW w:w="158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73"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804"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624" w:type="dxa"/>
            <w:gridSpan w:val="2"/>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+411m进风平硐</w:t>
            </w:r>
          </w:p>
        </w:tc>
        <w:tc>
          <w:tcPr>
            <w:tcW w:w="46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rPr>
              <w:t>平硐井型，长</w:t>
            </w:r>
            <w:r>
              <w:rPr>
                <w:rFonts w:hint="eastAsia" w:hAnsi="Times New Roman" w:eastAsia="宋体"/>
                <w:kern w:val="2"/>
                <w:sz w:val="21"/>
                <w:szCs w:val="21"/>
                <w:lang w:eastAsia="zh-CN"/>
              </w:rPr>
              <w:t>388</w:t>
            </w:r>
            <w:r>
              <w:rPr>
                <w:rFonts w:hint="eastAsia" w:hAnsi="Times New Roman" w:eastAsia="宋体"/>
                <w:kern w:val="2"/>
                <w:sz w:val="21"/>
                <w:szCs w:val="21"/>
              </w:rPr>
              <w:t>m，断面采用直墙半圆拱，净宽</w:t>
            </w:r>
            <w:r>
              <w:rPr>
                <w:rFonts w:hint="eastAsia" w:hAnsi="Times New Roman" w:eastAsia="宋体"/>
                <w:kern w:val="2"/>
                <w:sz w:val="21"/>
                <w:szCs w:val="21"/>
                <w:lang w:eastAsia="zh-CN"/>
              </w:rPr>
              <w:t>3.0</w:t>
            </w:r>
            <w:r>
              <w:rPr>
                <w:rFonts w:hint="eastAsia" w:hAnsi="Times New Roman" w:eastAsia="宋体"/>
                <w:kern w:val="2"/>
                <w:sz w:val="21"/>
                <w:szCs w:val="21"/>
              </w:rPr>
              <w:t>m，净高</w:t>
            </w:r>
            <w:r>
              <w:rPr>
                <w:rFonts w:hint="eastAsia" w:hAnsi="Times New Roman" w:eastAsia="宋体"/>
                <w:kern w:val="2"/>
                <w:sz w:val="21"/>
                <w:szCs w:val="21"/>
                <w:lang w:eastAsia="zh-CN"/>
              </w:rPr>
              <w:t>3.0</w:t>
            </w:r>
            <w:r>
              <w:rPr>
                <w:rFonts w:hint="eastAsia" w:hAnsi="Times New Roman" w:eastAsia="宋体"/>
                <w:kern w:val="2"/>
                <w:sz w:val="21"/>
                <w:szCs w:val="21"/>
              </w:rPr>
              <w:t>m，净断面积</w:t>
            </w:r>
            <w:r>
              <w:rPr>
                <w:rFonts w:hint="eastAsia" w:hAnsi="Times New Roman" w:eastAsia="宋体"/>
                <w:kern w:val="2"/>
                <w:sz w:val="21"/>
                <w:szCs w:val="21"/>
                <w:lang w:eastAsia="zh-CN"/>
              </w:rPr>
              <w:t>8.0</w:t>
            </w:r>
            <w:r>
              <w:rPr>
                <w:rFonts w:hint="eastAsia" w:hAnsi="Times New Roman" w:eastAsia="宋体"/>
                <w:kern w:val="2"/>
                <w:sz w:val="21"/>
                <w:szCs w:val="21"/>
              </w:rPr>
              <w:t>m</w:t>
            </w:r>
            <w:r>
              <w:rPr>
                <w:rFonts w:hint="eastAsia" w:hAnsi="Times New Roman" w:eastAsia="宋体"/>
                <w:kern w:val="2"/>
                <w:sz w:val="21"/>
                <w:szCs w:val="21"/>
                <w:vertAlign w:val="superscript"/>
              </w:rPr>
              <w:t>2</w:t>
            </w:r>
            <w:r>
              <w:rPr>
                <w:rFonts w:hint="eastAsia" w:hAnsi="Times New Roman" w:eastAsia="宋体"/>
                <w:kern w:val="2"/>
                <w:sz w:val="21"/>
                <w:szCs w:val="21"/>
              </w:rPr>
              <w:t>，主要担负矿井二、四采区行人、运送材料和辅助进风等任务</w:t>
            </w:r>
            <w:r>
              <w:rPr>
                <w:rFonts w:hint="eastAsia" w:hAnsi="Times New Roman" w:eastAsia="宋体"/>
                <w:kern w:val="2"/>
                <w:sz w:val="21"/>
                <w:szCs w:val="21"/>
                <w:lang w:eastAsia="zh-CN"/>
              </w:rPr>
              <w:t>。</w:t>
            </w:r>
          </w:p>
        </w:tc>
        <w:tc>
          <w:tcPr>
            <w:tcW w:w="442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2"/>
              </w:rPr>
            </w:pPr>
            <w:r>
              <w:rPr>
                <w:rFonts w:hint="eastAsia" w:hAnsi="Times New Roman" w:eastAsia="宋体"/>
                <w:kern w:val="2"/>
                <w:sz w:val="21"/>
                <w:szCs w:val="21"/>
                <w:lang w:eastAsia="zh-CN"/>
              </w:rPr>
              <w:t>沿用原+411m进风平硐，担负开丰井田内一采区的辅助进风及安全出口任务，在开丰井田二采区生产时予以报废。</w:t>
            </w:r>
          </w:p>
        </w:tc>
        <w:tc>
          <w:tcPr>
            <w:tcW w:w="158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73"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804"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624" w:type="dxa"/>
            <w:gridSpan w:val="2"/>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+645m东进风斜井</w:t>
            </w:r>
          </w:p>
        </w:tc>
        <w:tc>
          <w:tcPr>
            <w:tcW w:w="46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斜井井型，</w:t>
            </w:r>
            <w:r>
              <w:rPr>
                <w:rFonts w:hint="eastAsia" w:hAnsi="Times New Roman" w:eastAsia="宋体"/>
                <w:kern w:val="2"/>
                <w:sz w:val="21"/>
                <w:szCs w:val="21"/>
              </w:rPr>
              <w:t>井筒为半圆拱形断面，净宽3.0m，净高3.0m，净断面积8.0m</w:t>
            </w:r>
            <w:r>
              <w:rPr>
                <w:rFonts w:hint="eastAsia" w:hAnsi="Times New Roman" w:eastAsia="宋体"/>
                <w:kern w:val="2"/>
                <w:sz w:val="21"/>
                <w:szCs w:val="21"/>
                <w:vertAlign w:val="superscript"/>
              </w:rPr>
              <w:t>2</w:t>
            </w:r>
            <w:r>
              <w:rPr>
                <w:rFonts w:hint="eastAsia" w:hAnsi="Times New Roman" w:eastAsia="宋体"/>
                <w:kern w:val="2"/>
                <w:sz w:val="21"/>
                <w:szCs w:val="21"/>
              </w:rPr>
              <w:t>，主要担负矿井二、四采区</w:t>
            </w:r>
            <w:r>
              <w:rPr>
                <w:rFonts w:hint="eastAsia" w:hAnsi="Times New Roman" w:eastAsia="宋体"/>
                <w:kern w:val="2"/>
                <w:sz w:val="21"/>
                <w:szCs w:val="21"/>
                <w:lang w:eastAsia="zh-CN"/>
              </w:rPr>
              <w:t>辅助进风及安全出口任务。</w:t>
            </w:r>
          </w:p>
        </w:tc>
        <w:tc>
          <w:tcPr>
            <w:tcW w:w="442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沿用原+645m东进风斜井，担负开丰井田内二采区的辅助进风及安全出口任务。长田井田内三采区生产时予以报废。</w:t>
            </w:r>
          </w:p>
        </w:tc>
        <w:tc>
          <w:tcPr>
            <w:tcW w:w="158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73"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804"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624" w:type="dxa"/>
            <w:gridSpan w:val="2"/>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+548m回风平硐</w:t>
            </w:r>
          </w:p>
        </w:tc>
        <w:tc>
          <w:tcPr>
            <w:tcW w:w="46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平硐井型，长246m，断面采用直墙半圆拱，净宽3.0m，净高3.0m，净断面积8.0m</w:t>
            </w:r>
            <w:r>
              <w:rPr>
                <w:rFonts w:hint="eastAsia" w:hAnsi="Times New Roman" w:eastAsia="宋体"/>
                <w:kern w:val="2"/>
                <w:sz w:val="21"/>
                <w:szCs w:val="21"/>
                <w:vertAlign w:val="superscript"/>
                <w:lang w:eastAsia="zh-CN"/>
              </w:rPr>
              <w:t>2</w:t>
            </w:r>
            <w:r>
              <w:rPr>
                <w:rFonts w:hint="eastAsia" w:hAnsi="Times New Roman" w:eastAsia="宋体"/>
                <w:kern w:val="2"/>
                <w:sz w:val="21"/>
                <w:szCs w:val="21"/>
                <w:lang w:eastAsia="zh-CN"/>
              </w:rPr>
              <w:t>，担负矿井长田井田一采区回风兼紧急情况下的安全出口</w:t>
            </w:r>
            <w:r>
              <w:rPr>
                <w:rFonts w:hint="eastAsia" w:hAnsi="Times New Roman" w:eastAsia="宋体"/>
                <w:kern w:val="2"/>
                <w:sz w:val="21"/>
                <w:szCs w:val="21"/>
              </w:rPr>
              <w:t>。</w:t>
            </w:r>
          </w:p>
        </w:tc>
        <w:tc>
          <w:tcPr>
            <w:tcW w:w="442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沿用原+548m回风平硐作为扩建后长田井田三采区的回风井，担负矿井三采区的回风及紧急情况下的安全出口任务。</w:t>
            </w:r>
          </w:p>
        </w:tc>
        <w:tc>
          <w:tcPr>
            <w:tcW w:w="158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73"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804"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624" w:type="dxa"/>
            <w:gridSpan w:val="2"/>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+548回风斜井</w:t>
            </w:r>
          </w:p>
        </w:tc>
        <w:tc>
          <w:tcPr>
            <w:tcW w:w="46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斜井井型，长76m，</w:t>
            </w:r>
            <w:r>
              <w:rPr>
                <w:rFonts w:hint="eastAsia" w:hAnsi="Times New Roman" w:eastAsia="宋体"/>
                <w:kern w:val="2"/>
                <w:sz w:val="21"/>
                <w:szCs w:val="21"/>
              </w:rPr>
              <w:t>井筒为半圆拱形断面，净宽3.0m，净高3.0m，净断面积8.0m</w:t>
            </w:r>
            <w:r>
              <w:rPr>
                <w:rFonts w:hint="eastAsia" w:hAnsi="Times New Roman" w:eastAsia="宋体"/>
                <w:kern w:val="2"/>
                <w:sz w:val="21"/>
                <w:szCs w:val="21"/>
                <w:vertAlign w:val="superscript"/>
              </w:rPr>
              <w:t>2</w:t>
            </w:r>
            <w:r>
              <w:rPr>
                <w:rFonts w:hint="eastAsia" w:hAnsi="Times New Roman" w:eastAsia="宋体"/>
                <w:kern w:val="2"/>
                <w:sz w:val="21"/>
                <w:szCs w:val="21"/>
              </w:rPr>
              <w:t>。</w:t>
            </w:r>
            <w:r>
              <w:rPr>
                <w:rFonts w:hint="eastAsia" w:hAnsi="Times New Roman" w:eastAsia="宋体"/>
                <w:kern w:val="2"/>
                <w:sz w:val="21"/>
                <w:szCs w:val="21"/>
                <w:lang w:eastAsia="zh-CN"/>
              </w:rPr>
              <w:t>担负矿井长田井田一采区回风兼紧急情况下的安全出口。</w:t>
            </w:r>
          </w:p>
        </w:tc>
        <w:tc>
          <w:tcPr>
            <w:tcW w:w="442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沿用原+548m进风斜井作为长田井田三采区的进风斜井，担负长田井田内三采区的进风兼安全出口等任务。</w:t>
            </w:r>
          </w:p>
        </w:tc>
        <w:tc>
          <w:tcPr>
            <w:tcW w:w="158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73"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804"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624" w:type="dxa"/>
            <w:gridSpan w:val="2"/>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+572m回风平硐</w:t>
            </w:r>
          </w:p>
        </w:tc>
        <w:tc>
          <w:tcPr>
            <w:tcW w:w="46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平硐井型，长118m，断面采用直墙半圆拱，净宽3.0m，净高3.0m，净断面积8.0m</w:t>
            </w:r>
            <w:r>
              <w:rPr>
                <w:rFonts w:hint="eastAsia" w:hAnsi="Times New Roman" w:eastAsia="宋体"/>
                <w:kern w:val="2"/>
                <w:sz w:val="21"/>
                <w:szCs w:val="21"/>
                <w:vertAlign w:val="superscript"/>
                <w:lang w:eastAsia="zh-CN"/>
              </w:rPr>
              <w:t>2</w:t>
            </w:r>
            <w:r>
              <w:rPr>
                <w:rFonts w:hint="eastAsia" w:hAnsi="Times New Roman" w:eastAsia="宋体"/>
                <w:kern w:val="2"/>
                <w:sz w:val="21"/>
                <w:szCs w:val="21"/>
                <w:lang w:eastAsia="zh-CN"/>
              </w:rPr>
              <w:t>，担负矿井开丰井田二、四采区回风兼紧急情况下的安全出口。</w:t>
            </w:r>
          </w:p>
        </w:tc>
        <w:tc>
          <w:tcPr>
            <w:tcW w:w="442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沿用原+572m回风平硐，作为扩建后开丰井田内一、二采区的回风井，担负矿井一、二采区的回风及紧急情况下的安全出口任务。长田井田内三采区生产时予以报废。</w:t>
            </w:r>
          </w:p>
        </w:tc>
        <w:tc>
          <w:tcPr>
            <w:tcW w:w="158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73"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804" w:type="dxa"/>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地面生产系统及储运系统</w:t>
            </w:r>
          </w:p>
        </w:tc>
        <w:tc>
          <w:tcPr>
            <w:tcW w:w="1624" w:type="dxa"/>
            <w:gridSpan w:val="2"/>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主井工业场地</w:t>
            </w:r>
          </w:p>
        </w:tc>
        <w:tc>
          <w:tcPr>
            <w:tcW w:w="4637" w:type="dxa"/>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lang w:eastAsia="zh-CN"/>
              </w:rPr>
            </w:pPr>
            <w:r>
              <w:rPr>
                <w:rFonts w:hint="eastAsia" w:hAnsi="Times New Roman" w:eastAsia="宋体"/>
                <w:spacing w:val="-2"/>
                <w:kern w:val="2"/>
                <w:sz w:val="21"/>
                <w:szCs w:val="22"/>
              </w:rPr>
              <w:t>位于</w:t>
            </w:r>
            <w:r>
              <w:rPr>
                <w:rFonts w:hint="eastAsia" w:hAnsi="Times New Roman" w:eastAsia="宋体"/>
                <w:spacing w:val="-6"/>
                <w:kern w:val="2"/>
                <w:sz w:val="21"/>
                <w:szCs w:val="21"/>
                <w:lang w:eastAsia="zh-CN"/>
              </w:rPr>
              <w:t>+379m</w:t>
            </w:r>
            <w:r>
              <w:rPr>
                <w:rFonts w:hint="eastAsia" w:hAnsi="Times New Roman" w:eastAsia="宋体"/>
                <w:spacing w:val="-2"/>
                <w:kern w:val="2"/>
                <w:sz w:val="21"/>
                <w:szCs w:val="22"/>
              </w:rPr>
              <w:t>主平硐外。包括压风机房、</w:t>
            </w:r>
            <w:r>
              <w:rPr>
                <w:rFonts w:hint="eastAsia" w:hAnsi="Times New Roman" w:eastAsia="宋体"/>
                <w:spacing w:val="-2"/>
                <w:kern w:val="2"/>
                <w:sz w:val="21"/>
                <w:szCs w:val="22"/>
                <w:lang w:eastAsia="zh-CN"/>
              </w:rPr>
              <w:t>窄轨铁路</w:t>
            </w:r>
            <w:r>
              <w:rPr>
                <w:rFonts w:hint="eastAsia" w:hAnsi="Times New Roman" w:eastAsia="宋体"/>
                <w:spacing w:val="-2"/>
                <w:kern w:val="2"/>
                <w:sz w:val="21"/>
                <w:szCs w:val="22"/>
              </w:rPr>
              <w:t>、机修车间、</w:t>
            </w:r>
            <w:r>
              <w:rPr>
                <w:rFonts w:hint="eastAsia" w:hAnsi="Times New Roman" w:eastAsia="宋体"/>
                <w:spacing w:val="-2"/>
                <w:kern w:val="2"/>
                <w:sz w:val="21"/>
                <w:szCs w:val="22"/>
                <w:lang w:eastAsia="zh-CN"/>
              </w:rPr>
              <w:t>变电所、</w:t>
            </w:r>
            <w:r>
              <w:rPr>
                <w:rFonts w:hint="eastAsia" w:hAnsi="Times New Roman" w:eastAsia="宋体"/>
                <w:spacing w:val="-2"/>
                <w:kern w:val="2"/>
                <w:sz w:val="21"/>
                <w:szCs w:val="22"/>
              </w:rPr>
              <w:t>办公楼、</w:t>
            </w:r>
            <w:r>
              <w:rPr>
                <w:rFonts w:hint="eastAsia" w:hAnsi="Times New Roman" w:eastAsia="宋体"/>
                <w:spacing w:val="-2"/>
                <w:kern w:val="2"/>
                <w:sz w:val="21"/>
                <w:szCs w:val="22"/>
                <w:lang w:eastAsia="zh-CN"/>
              </w:rPr>
              <w:t>宿舍楼、一体化污水处理站</w:t>
            </w:r>
            <w:r>
              <w:rPr>
                <w:rFonts w:hint="eastAsia" w:hAnsi="Times New Roman" w:eastAsia="宋体"/>
                <w:spacing w:val="-2"/>
                <w:kern w:val="2"/>
                <w:sz w:val="21"/>
                <w:szCs w:val="22"/>
              </w:rPr>
              <w:t>、</w:t>
            </w:r>
            <w:r>
              <w:rPr>
                <w:rFonts w:hint="eastAsia" w:hAnsi="Times New Roman" w:eastAsia="宋体"/>
                <w:kern w:val="2"/>
                <w:sz w:val="21"/>
                <w:szCs w:val="21"/>
                <w:lang w:eastAsia="zh-CN"/>
              </w:rPr>
              <w:t>综采设备中转库、矿灯房、</w:t>
            </w:r>
            <w:r>
              <w:rPr>
                <w:rFonts w:hint="eastAsia" w:hAnsi="Times New Roman" w:eastAsia="宋体"/>
                <w:spacing w:val="-2"/>
                <w:kern w:val="2"/>
                <w:sz w:val="21"/>
                <w:szCs w:val="22"/>
              </w:rPr>
              <w:t>坑</w:t>
            </w:r>
            <w:r>
              <w:rPr>
                <w:rFonts w:hint="eastAsia" w:hAnsi="Times New Roman" w:eastAsia="宋体"/>
                <w:spacing w:val="-2"/>
                <w:kern w:val="2"/>
                <w:sz w:val="21"/>
                <w:szCs w:val="22"/>
                <w:lang w:eastAsia="zh-CN"/>
              </w:rPr>
              <w:t>木</w:t>
            </w:r>
            <w:r>
              <w:rPr>
                <w:rFonts w:hint="eastAsia" w:hAnsi="Times New Roman" w:eastAsia="宋体"/>
                <w:spacing w:val="-2"/>
                <w:kern w:val="2"/>
                <w:sz w:val="21"/>
                <w:szCs w:val="22"/>
              </w:rPr>
              <w:t>加工房等，占地面积</w:t>
            </w:r>
            <w:r>
              <w:rPr>
                <w:rFonts w:hint="eastAsia" w:hAnsi="Times New Roman" w:eastAsia="宋体"/>
                <w:spacing w:val="-2"/>
                <w:kern w:val="2"/>
                <w:sz w:val="21"/>
                <w:szCs w:val="22"/>
                <w:lang w:eastAsia="zh-CN"/>
              </w:rPr>
              <w:t>4.6hm</w:t>
            </w:r>
            <w:r>
              <w:rPr>
                <w:rFonts w:hint="eastAsia" w:hAnsi="Times New Roman" w:eastAsia="宋体"/>
                <w:spacing w:val="-2"/>
                <w:kern w:val="2"/>
                <w:sz w:val="21"/>
                <w:szCs w:val="22"/>
                <w:vertAlign w:val="superscript"/>
              </w:rPr>
              <w:t>2</w:t>
            </w:r>
            <w:r>
              <w:rPr>
                <w:rFonts w:hint="eastAsia" w:hAnsi="Times New Roman" w:eastAsia="宋体"/>
                <w:spacing w:val="-2"/>
                <w:kern w:val="2"/>
                <w:sz w:val="21"/>
                <w:szCs w:val="22"/>
                <w:lang w:eastAsia="zh-CN"/>
              </w:rPr>
              <w:t>。</w:t>
            </w:r>
          </w:p>
        </w:tc>
        <w:tc>
          <w:tcPr>
            <w:tcW w:w="442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2"/>
              </w:rPr>
            </w:pPr>
            <w:r>
              <w:rPr>
                <w:rFonts w:hint="eastAsia" w:hAnsi="Times New Roman" w:eastAsia="宋体"/>
                <w:kern w:val="2"/>
                <w:sz w:val="21"/>
                <w:szCs w:val="21"/>
                <w:lang w:eastAsia="zh-CN"/>
              </w:rPr>
              <w:t>利用+改扩建：改造储煤场及矸石堆场，将储煤场、矸石临时堆场建为顶部遮盖、三面围挡封闭的半封闭式的钢架结构彩钢棚</w:t>
            </w:r>
          </w:p>
        </w:tc>
        <w:tc>
          <w:tcPr>
            <w:tcW w:w="158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废气、废水、噪声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73"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804"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624" w:type="dxa"/>
            <w:gridSpan w:val="2"/>
            <w:vAlign w:val="center"/>
          </w:tcPr>
          <w:p>
            <w:pPr>
              <w:pStyle w:val="44"/>
              <w:keepNext w:val="0"/>
              <w:keepLines w:val="0"/>
              <w:suppressLineNumbers w:val="0"/>
              <w:spacing w:before="0" w:beforeAutospacing="0" w:after="0" w:afterAutospacing="0" w:line="240" w:lineRule="exact"/>
              <w:ind w:left="108" w:right="0"/>
              <w:jc w:val="center"/>
              <w:rPr>
                <w:rFonts w:hint="eastAsia" w:hAnsi="Times New Roman" w:eastAsia="宋体"/>
                <w:kern w:val="2"/>
                <w:sz w:val="21"/>
                <w:szCs w:val="21"/>
              </w:rPr>
            </w:pPr>
            <w:r>
              <w:rPr>
                <w:rFonts w:hint="eastAsia" w:hAnsi="Times New Roman" w:eastAsia="宋体"/>
                <w:spacing w:val="-6"/>
                <w:kern w:val="2"/>
                <w:sz w:val="21"/>
                <w:szCs w:val="21"/>
                <w:lang w:eastAsia="zh-CN"/>
              </w:rPr>
              <w:t>+572m风井场地</w:t>
            </w:r>
          </w:p>
        </w:tc>
        <w:tc>
          <w:tcPr>
            <w:tcW w:w="4637" w:type="dxa"/>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spacing w:val="-6"/>
                <w:kern w:val="2"/>
                <w:sz w:val="21"/>
                <w:szCs w:val="21"/>
                <w:lang w:eastAsia="zh-CN"/>
              </w:rPr>
              <w:t>位于+572m回风井外，</w:t>
            </w:r>
            <w:r>
              <w:rPr>
                <w:rFonts w:hint="eastAsia" w:hAnsi="Times New Roman" w:eastAsia="宋体"/>
                <w:kern w:val="2"/>
                <w:sz w:val="21"/>
                <w:szCs w:val="21"/>
              </w:rPr>
              <w:t>该场地布置</w:t>
            </w:r>
            <w:r>
              <w:rPr>
                <w:rFonts w:hint="eastAsia" w:hAnsi="Times New Roman" w:eastAsia="宋体"/>
                <w:kern w:val="2"/>
                <w:sz w:val="21"/>
                <w:szCs w:val="21"/>
                <w:lang w:eastAsia="zh-CN"/>
              </w:rPr>
              <w:t>有</w:t>
            </w:r>
            <w:r>
              <w:rPr>
                <w:rFonts w:hint="eastAsia" w:hAnsi="Times New Roman" w:eastAsia="宋体"/>
                <w:kern w:val="2"/>
                <w:sz w:val="21"/>
                <w:szCs w:val="21"/>
              </w:rPr>
              <w:t>风机平台、配电房及值班室等建筑设施</w:t>
            </w:r>
            <w:r>
              <w:rPr>
                <w:rFonts w:hint="eastAsia" w:hAnsi="Times New Roman" w:eastAsia="宋体"/>
                <w:kern w:val="2"/>
                <w:sz w:val="21"/>
                <w:szCs w:val="21"/>
                <w:lang w:eastAsia="zh-CN"/>
              </w:rPr>
              <w:t>，</w:t>
            </w:r>
            <w:r>
              <w:rPr>
                <w:rFonts w:hint="eastAsia" w:hAnsi="Times New Roman" w:eastAsia="宋体"/>
                <w:kern w:val="2"/>
                <w:sz w:val="21"/>
                <w:szCs w:val="21"/>
              </w:rPr>
              <w:t>占地约</w:t>
            </w:r>
            <w:r>
              <w:rPr>
                <w:rFonts w:hint="eastAsia" w:hAnsi="Times New Roman" w:eastAsia="宋体"/>
                <w:kern w:val="2"/>
                <w:sz w:val="21"/>
                <w:szCs w:val="21"/>
                <w:lang w:eastAsia="zh-CN"/>
              </w:rPr>
              <w:t>1.8h</w:t>
            </w:r>
            <w:r>
              <w:rPr>
                <w:rFonts w:hint="eastAsia" w:hAnsi="Times New Roman" w:eastAsia="宋体"/>
                <w:kern w:val="2"/>
                <w:sz w:val="21"/>
                <w:szCs w:val="21"/>
              </w:rPr>
              <w:t>m</w:t>
            </w:r>
            <w:r>
              <w:rPr>
                <w:rFonts w:hint="eastAsia" w:hAnsi="Times New Roman" w:eastAsia="宋体"/>
                <w:kern w:val="2"/>
                <w:sz w:val="21"/>
                <w:szCs w:val="21"/>
                <w:vertAlign w:val="superscript"/>
              </w:rPr>
              <w:t>2</w:t>
            </w:r>
            <w:r>
              <w:rPr>
                <w:rFonts w:hint="eastAsia" w:hAnsi="Times New Roman" w:eastAsia="宋体"/>
                <w:kern w:val="2"/>
                <w:sz w:val="21"/>
                <w:szCs w:val="21"/>
              </w:rPr>
              <w:t>。</w:t>
            </w:r>
          </w:p>
        </w:tc>
        <w:tc>
          <w:tcPr>
            <w:tcW w:w="442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2"/>
                <w:lang w:eastAsia="zh-CN"/>
              </w:rPr>
            </w:pPr>
            <w:r>
              <w:rPr>
                <w:rFonts w:hint="eastAsia" w:hAnsi="Times New Roman" w:eastAsia="宋体"/>
                <w:kern w:val="2"/>
                <w:sz w:val="21"/>
                <w:szCs w:val="21"/>
                <w:lang w:eastAsia="zh-CN"/>
              </w:rPr>
              <w:t>利用</w:t>
            </w:r>
          </w:p>
        </w:tc>
        <w:tc>
          <w:tcPr>
            <w:tcW w:w="158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73"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804"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624" w:type="dxa"/>
            <w:gridSpan w:val="2"/>
            <w:vAlign w:val="center"/>
          </w:tcPr>
          <w:p>
            <w:pPr>
              <w:pStyle w:val="44"/>
              <w:keepNext w:val="0"/>
              <w:keepLines w:val="0"/>
              <w:suppressLineNumbers w:val="0"/>
              <w:spacing w:before="0" w:beforeAutospacing="0" w:after="0" w:afterAutospacing="0" w:line="240" w:lineRule="exact"/>
              <w:ind w:left="108" w:right="0"/>
              <w:jc w:val="center"/>
              <w:rPr>
                <w:rFonts w:hint="eastAsia" w:hAnsi="Times New Roman" w:eastAsia="宋体"/>
                <w:kern w:val="2"/>
                <w:sz w:val="21"/>
                <w:szCs w:val="21"/>
              </w:rPr>
            </w:pPr>
            <w:r>
              <w:rPr>
                <w:rFonts w:hint="eastAsia" w:hAnsi="Times New Roman" w:eastAsia="宋体"/>
                <w:spacing w:val="-6"/>
                <w:kern w:val="2"/>
                <w:sz w:val="21"/>
                <w:szCs w:val="21"/>
                <w:lang w:eastAsia="zh-CN"/>
              </w:rPr>
              <w:t>+548m风井场地</w:t>
            </w:r>
          </w:p>
        </w:tc>
        <w:tc>
          <w:tcPr>
            <w:tcW w:w="4637" w:type="dxa"/>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spacing w:val="-6"/>
                <w:kern w:val="2"/>
                <w:sz w:val="21"/>
                <w:szCs w:val="21"/>
                <w:lang w:eastAsia="zh-CN"/>
              </w:rPr>
              <w:t>位于+548m回风井外，</w:t>
            </w:r>
            <w:r>
              <w:rPr>
                <w:rFonts w:hint="eastAsia" w:hAnsi="Times New Roman" w:eastAsia="宋体"/>
                <w:kern w:val="2"/>
                <w:sz w:val="21"/>
                <w:szCs w:val="21"/>
              </w:rPr>
              <w:t>该场地布置</w:t>
            </w:r>
            <w:r>
              <w:rPr>
                <w:rFonts w:hint="eastAsia" w:hAnsi="Times New Roman" w:eastAsia="宋体"/>
                <w:kern w:val="2"/>
                <w:sz w:val="21"/>
                <w:szCs w:val="21"/>
                <w:lang w:eastAsia="zh-CN"/>
              </w:rPr>
              <w:t>有</w:t>
            </w:r>
            <w:r>
              <w:rPr>
                <w:rFonts w:hint="eastAsia" w:hAnsi="Times New Roman" w:eastAsia="宋体"/>
                <w:kern w:val="2"/>
                <w:sz w:val="21"/>
                <w:szCs w:val="21"/>
              </w:rPr>
              <w:t>风机平台、配电房及值班室等建筑设施</w:t>
            </w:r>
            <w:r>
              <w:rPr>
                <w:rFonts w:hint="eastAsia" w:hAnsi="Times New Roman" w:eastAsia="宋体"/>
                <w:kern w:val="2"/>
                <w:sz w:val="21"/>
                <w:szCs w:val="21"/>
                <w:lang w:eastAsia="zh-CN"/>
              </w:rPr>
              <w:t>，</w:t>
            </w:r>
            <w:r>
              <w:rPr>
                <w:rFonts w:hint="eastAsia" w:hAnsi="Times New Roman" w:eastAsia="宋体"/>
                <w:kern w:val="2"/>
                <w:sz w:val="21"/>
                <w:szCs w:val="21"/>
              </w:rPr>
              <w:t>占地约</w:t>
            </w:r>
            <w:r>
              <w:rPr>
                <w:rFonts w:hint="eastAsia" w:hAnsi="Times New Roman" w:eastAsia="宋体"/>
                <w:kern w:val="2"/>
                <w:sz w:val="21"/>
                <w:szCs w:val="21"/>
                <w:lang w:eastAsia="zh-CN"/>
              </w:rPr>
              <w:t>1.3h</w:t>
            </w:r>
            <w:r>
              <w:rPr>
                <w:rFonts w:hint="eastAsia" w:hAnsi="Times New Roman" w:eastAsia="宋体"/>
                <w:kern w:val="2"/>
                <w:sz w:val="21"/>
                <w:szCs w:val="21"/>
              </w:rPr>
              <w:t>m</w:t>
            </w:r>
            <w:r>
              <w:rPr>
                <w:rFonts w:hint="eastAsia" w:hAnsi="Times New Roman" w:eastAsia="宋体"/>
                <w:kern w:val="2"/>
                <w:sz w:val="21"/>
                <w:szCs w:val="21"/>
                <w:vertAlign w:val="superscript"/>
              </w:rPr>
              <w:t>2</w:t>
            </w:r>
            <w:r>
              <w:rPr>
                <w:rFonts w:hint="eastAsia" w:hAnsi="Times New Roman" w:eastAsia="宋体"/>
                <w:kern w:val="2"/>
                <w:sz w:val="21"/>
                <w:szCs w:val="21"/>
              </w:rPr>
              <w:t>。</w:t>
            </w:r>
          </w:p>
        </w:tc>
        <w:tc>
          <w:tcPr>
            <w:tcW w:w="442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2"/>
              </w:rPr>
            </w:pPr>
            <w:r>
              <w:rPr>
                <w:rFonts w:hint="eastAsia" w:hAnsi="Times New Roman" w:eastAsia="宋体"/>
                <w:kern w:val="2"/>
                <w:sz w:val="21"/>
                <w:szCs w:val="22"/>
                <w:lang w:eastAsia="zh-CN"/>
              </w:rPr>
              <w:t>利用</w:t>
            </w:r>
          </w:p>
        </w:tc>
        <w:tc>
          <w:tcPr>
            <w:tcW w:w="158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73"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804"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624" w:type="dxa"/>
            <w:gridSpan w:val="2"/>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储煤场</w:t>
            </w:r>
          </w:p>
        </w:tc>
        <w:tc>
          <w:tcPr>
            <w:tcW w:w="46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rPr>
              <w:t>储存、装运原煤；</w:t>
            </w:r>
            <w:r>
              <w:rPr>
                <w:rFonts w:hint="eastAsia" w:hAnsi="Times New Roman" w:eastAsia="宋体"/>
                <w:kern w:val="2"/>
                <w:sz w:val="21"/>
                <w:szCs w:val="21"/>
                <w:lang w:eastAsia="zh-CN"/>
              </w:rPr>
              <w:t>建筑体积1100m</w:t>
            </w:r>
            <w:r>
              <w:rPr>
                <w:rFonts w:hint="eastAsia" w:hAnsi="Times New Roman" w:eastAsia="宋体"/>
                <w:kern w:val="2"/>
                <w:sz w:val="21"/>
                <w:szCs w:val="21"/>
                <w:vertAlign w:val="superscript"/>
                <w:lang w:eastAsia="zh-CN"/>
              </w:rPr>
              <w:t>3</w:t>
            </w:r>
            <w:r>
              <w:rPr>
                <w:rFonts w:hint="eastAsia" w:hAnsi="Times New Roman" w:eastAsia="宋体"/>
                <w:kern w:val="2"/>
                <w:sz w:val="21"/>
                <w:szCs w:val="21"/>
                <w:lang w:eastAsia="zh-CN"/>
              </w:rPr>
              <w:t>，储量约10000t</w:t>
            </w:r>
            <w:r>
              <w:rPr>
                <w:rFonts w:hint="eastAsia" w:hAnsi="Times New Roman" w:eastAsia="宋体"/>
                <w:kern w:val="2"/>
                <w:sz w:val="21"/>
                <w:szCs w:val="21"/>
              </w:rPr>
              <w:t>。半封闭式</w:t>
            </w:r>
            <w:r>
              <w:rPr>
                <w:rFonts w:hint="eastAsia" w:hAnsi="Times New Roman" w:eastAsia="宋体"/>
                <w:kern w:val="2"/>
                <w:sz w:val="21"/>
                <w:szCs w:val="21"/>
                <w:lang w:eastAsia="zh-CN"/>
              </w:rPr>
              <w:t>，配套建设喷淋除尘措施</w:t>
            </w:r>
          </w:p>
        </w:tc>
        <w:tc>
          <w:tcPr>
            <w:tcW w:w="4427" w:type="dxa"/>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lang w:eastAsia="zh-CN"/>
              </w:rPr>
              <w:t>改造利用：将现有储煤场封闭，煤炭堆场的屋顶四周新增喷雾装置。</w:t>
            </w:r>
          </w:p>
        </w:tc>
        <w:tc>
          <w:tcPr>
            <w:tcW w:w="158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废气</w:t>
            </w:r>
            <w:r>
              <w:rPr>
                <w:rFonts w:hint="eastAsia" w:hAnsi="Times New Roman" w:eastAsia="宋体"/>
                <w:kern w:val="2"/>
                <w:sz w:val="21"/>
                <w:szCs w:val="21"/>
              </w:rPr>
              <w:t>、噪声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37" w:hRule="atLeast"/>
        </w:trPr>
        <w:tc>
          <w:tcPr>
            <w:tcW w:w="873"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804"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624" w:type="dxa"/>
            <w:gridSpan w:val="2"/>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rPr>
              <w:t>煤矸石周转场地</w:t>
            </w:r>
          </w:p>
        </w:tc>
        <w:tc>
          <w:tcPr>
            <w:tcW w:w="46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紧邻储煤场</w:t>
            </w:r>
            <w:r>
              <w:rPr>
                <w:rFonts w:hint="eastAsia" w:hAnsi="Times New Roman" w:eastAsia="宋体"/>
                <w:kern w:val="2"/>
                <w:sz w:val="21"/>
                <w:szCs w:val="21"/>
                <w:lang w:eastAsia="zh-CN"/>
              </w:rPr>
              <w:t>南</w:t>
            </w:r>
            <w:r>
              <w:rPr>
                <w:rFonts w:hint="eastAsia" w:hAnsi="Times New Roman" w:eastAsia="宋体"/>
                <w:kern w:val="2"/>
                <w:sz w:val="21"/>
                <w:szCs w:val="21"/>
              </w:rPr>
              <w:t>侧，占地面积约</w:t>
            </w:r>
            <w:r>
              <w:rPr>
                <w:rFonts w:hint="eastAsia" w:hAnsi="Times New Roman" w:eastAsia="宋体"/>
                <w:kern w:val="2"/>
                <w:sz w:val="21"/>
                <w:szCs w:val="21"/>
                <w:lang w:eastAsia="zh-CN"/>
              </w:rPr>
              <w:t>3600</w:t>
            </w:r>
            <w:r>
              <w:rPr>
                <w:rFonts w:hint="eastAsia" w:hAnsi="Times New Roman" w:eastAsia="宋体"/>
                <w:kern w:val="2"/>
                <w:sz w:val="21"/>
                <w:szCs w:val="21"/>
              </w:rPr>
              <w:t>m</w:t>
            </w:r>
            <w:r>
              <w:rPr>
                <w:rFonts w:hint="eastAsia" w:hAnsi="Times New Roman" w:eastAsia="宋体"/>
                <w:kern w:val="2"/>
                <w:sz w:val="21"/>
                <w:szCs w:val="21"/>
                <w:vertAlign w:val="superscript"/>
              </w:rPr>
              <w:t>2</w:t>
            </w:r>
            <w:r>
              <w:rPr>
                <w:rFonts w:hint="eastAsia" w:hAnsi="Times New Roman" w:eastAsia="宋体"/>
                <w:kern w:val="2"/>
                <w:sz w:val="21"/>
                <w:szCs w:val="21"/>
              </w:rPr>
              <w:t>，煤矸石暂存量约</w:t>
            </w:r>
            <w:r>
              <w:rPr>
                <w:rFonts w:hint="eastAsia" w:hAnsi="Times New Roman" w:eastAsia="宋体"/>
                <w:kern w:val="2"/>
                <w:sz w:val="21"/>
                <w:szCs w:val="21"/>
                <w:lang w:eastAsia="zh-CN"/>
              </w:rPr>
              <w:t>1.2万</w:t>
            </w:r>
            <w:r>
              <w:rPr>
                <w:rFonts w:hint="eastAsia" w:hAnsi="Times New Roman" w:eastAsia="宋体"/>
                <w:kern w:val="2"/>
                <w:sz w:val="21"/>
                <w:szCs w:val="21"/>
              </w:rPr>
              <w:t>t，为</w:t>
            </w:r>
            <w:r>
              <w:rPr>
                <w:rFonts w:hint="eastAsia" w:hAnsi="Times New Roman" w:eastAsia="宋体"/>
                <w:kern w:val="2"/>
                <w:sz w:val="21"/>
                <w:szCs w:val="21"/>
                <w:lang w:eastAsia="zh-CN"/>
              </w:rPr>
              <w:t>露天布置</w:t>
            </w:r>
            <w:r>
              <w:rPr>
                <w:rFonts w:hint="eastAsia" w:hAnsi="Times New Roman" w:eastAsia="宋体"/>
                <w:kern w:val="2"/>
                <w:sz w:val="21"/>
                <w:szCs w:val="21"/>
              </w:rPr>
              <w:t>。</w:t>
            </w:r>
          </w:p>
        </w:tc>
        <w:tc>
          <w:tcPr>
            <w:tcW w:w="4427" w:type="dxa"/>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lang w:eastAsia="zh-CN"/>
              </w:rPr>
            </w:pPr>
            <w:r>
              <w:rPr>
                <w:rFonts w:hint="eastAsia" w:hAnsi="Times New Roman" w:eastAsia="宋体"/>
                <w:kern w:val="2"/>
                <w:sz w:val="21"/>
                <w:szCs w:val="21"/>
                <w:lang w:eastAsia="zh-CN"/>
              </w:rPr>
              <w:t>改造利用：矸石周转场地封闭，矸石翻笼处设置喷淋装置，在矸石临时堆场屋顶四周新增喷雾装置；排矸场增设重力式挡墙、四周增设截排水沟、地势最低处增设20m</w:t>
            </w:r>
            <w:r>
              <w:rPr>
                <w:rFonts w:hint="eastAsia" w:hAnsi="Times New Roman" w:eastAsia="宋体"/>
                <w:kern w:val="2"/>
                <w:sz w:val="21"/>
                <w:szCs w:val="21"/>
                <w:vertAlign w:val="superscript"/>
                <w:lang w:eastAsia="zh-CN"/>
              </w:rPr>
              <w:t>3</w:t>
            </w:r>
            <w:r>
              <w:rPr>
                <w:rFonts w:hint="eastAsia" w:hAnsi="Times New Roman" w:eastAsia="宋体"/>
                <w:kern w:val="2"/>
                <w:sz w:val="21"/>
                <w:szCs w:val="21"/>
                <w:lang w:eastAsia="zh-CN"/>
              </w:rPr>
              <w:t>沉淀池。</w:t>
            </w:r>
          </w:p>
        </w:tc>
        <w:tc>
          <w:tcPr>
            <w:tcW w:w="158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废气</w:t>
            </w:r>
            <w:r>
              <w:rPr>
                <w:rFonts w:hint="eastAsia" w:hAnsi="Times New Roman" w:eastAsia="宋体"/>
                <w:kern w:val="2"/>
                <w:sz w:val="21"/>
                <w:szCs w:val="21"/>
              </w:rPr>
              <w:t>、噪声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73"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804"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624" w:type="dxa"/>
            <w:gridSpan w:val="2"/>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zh-CN"/>
              </w:rPr>
              <w:t>瓦斯抽放系统</w:t>
            </w:r>
          </w:p>
        </w:tc>
        <w:tc>
          <w:tcPr>
            <w:tcW w:w="46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4427" w:type="dxa"/>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lang w:eastAsia="zh-CN"/>
              </w:rPr>
              <w:t>+572m回风平硐工业场地建设瓦斯抽采泵站，</w:t>
            </w:r>
            <w:r>
              <w:rPr>
                <w:rFonts w:hint="eastAsia" w:hAnsi="Times New Roman" w:eastAsia="宋体"/>
                <w:kern w:val="2"/>
                <w:sz w:val="21"/>
                <w:szCs w:val="21"/>
              </w:rPr>
              <w:t>建筑面积</w:t>
            </w:r>
            <w:r>
              <w:rPr>
                <w:rFonts w:hint="eastAsia" w:hAnsi="Times New Roman" w:eastAsia="宋体"/>
                <w:kern w:val="2"/>
                <w:sz w:val="21"/>
                <w:szCs w:val="21"/>
                <w:lang w:eastAsia="zh-CN"/>
              </w:rPr>
              <w:t>120</w:t>
            </w:r>
            <w:r>
              <w:rPr>
                <w:rFonts w:hint="eastAsia" w:hAnsi="Times New Roman" w:eastAsia="宋体"/>
                <w:kern w:val="2"/>
                <w:sz w:val="21"/>
                <w:szCs w:val="21"/>
              </w:rPr>
              <w:t>m</w:t>
            </w:r>
            <w:r>
              <w:rPr>
                <w:rFonts w:hint="eastAsia" w:hAnsi="Times New Roman" w:eastAsia="宋体"/>
                <w:kern w:val="2"/>
                <w:sz w:val="21"/>
                <w:szCs w:val="21"/>
                <w:vertAlign w:val="superscript"/>
              </w:rPr>
              <w:t>2</w:t>
            </w:r>
            <w:r>
              <w:rPr>
                <w:rFonts w:hint="eastAsia" w:hAnsi="Times New Roman" w:eastAsia="宋体"/>
                <w:kern w:val="2"/>
                <w:sz w:val="21"/>
                <w:szCs w:val="21"/>
                <w:lang w:eastAsia="zh-CN"/>
              </w:rPr>
              <w:t>，设置一套低负压固定抽采系统。</w:t>
            </w:r>
          </w:p>
        </w:tc>
        <w:tc>
          <w:tcPr>
            <w:tcW w:w="158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rPr>
              <w:t>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73" w:type="dxa"/>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辅助工程</w:t>
            </w:r>
          </w:p>
        </w:tc>
        <w:tc>
          <w:tcPr>
            <w:tcW w:w="2428" w:type="dxa"/>
            <w:gridSpan w:val="3"/>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井口值班检身房</w:t>
            </w:r>
          </w:p>
        </w:tc>
        <w:tc>
          <w:tcPr>
            <w:tcW w:w="46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入井前检身，</w:t>
            </w:r>
            <w:r>
              <w:rPr>
                <w:rFonts w:hint="eastAsia" w:hAnsi="Times New Roman" w:eastAsia="宋体"/>
                <w:kern w:val="2"/>
                <w:sz w:val="21"/>
                <w:szCs w:val="21"/>
              </w:rPr>
              <w:t>建筑面积</w:t>
            </w:r>
            <w:r>
              <w:rPr>
                <w:rFonts w:hint="eastAsia" w:hAnsi="Times New Roman" w:eastAsia="宋体"/>
                <w:kern w:val="2"/>
                <w:sz w:val="21"/>
                <w:szCs w:val="21"/>
                <w:lang w:eastAsia="zh-CN"/>
              </w:rPr>
              <w:t>30</w:t>
            </w:r>
            <w:r>
              <w:rPr>
                <w:rFonts w:hint="eastAsia" w:hAnsi="Times New Roman" w:eastAsia="宋体"/>
                <w:kern w:val="2"/>
                <w:sz w:val="21"/>
                <w:szCs w:val="21"/>
              </w:rPr>
              <w:t>m</w:t>
            </w:r>
            <w:r>
              <w:rPr>
                <w:rFonts w:hint="eastAsia" w:hAnsi="Times New Roman" w:eastAsia="宋体"/>
                <w:kern w:val="2"/>
                <w:sz w:val="21"/>
                <w:szCs w:val="21"/>
                <w:vertAlign w:val="superscript"/>
              </w:rPr>
              <w:t>2</w:t>
            </w:r>
          </w:p>
        </w:tc>
        <w:tc>
          <w:tcPr>
            <w:tcW w:w="442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2"/>
              </w:rPr>
            </w:pPr>
            <w:r>
              <w:rPr>
                <w:rFonts w:hint="eastAsia" w:hAnsi="Times New Roman" w:eastAsia="宋体"/>
                <w:kern w:val="2"/>
                <w:sz w:val="21"/>
                <w:szCs w:val="22"/>
                <w:lang w:eastAsia="zh-CN"/>
              </w:rPr>
              <w:t>利用</w:t>
            </w:r>
          </w:p>
        </w:tc>
        <w:tc>
          <w:tcPr>
            <w:tcW w:w="158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73"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2428" w:type="dxa"/>
            <w:gridSpan w:val="3"/>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窄轨铁路</w:t>
            </w:r>
          </w:p>
        </w:tc>
        <w:tc>
          <w:tcPr>
            <w:tcW w:w="46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煤炭及矸石矿车运输；600mm轨距，</w:t>
            </w:r>
            <w:r>
              <w:rPr>
                <w:rFonts w:hint="eastAsia" w:hAnsi="Times New Roman" w:eastAsia="宋体"/>
                <w:kern w:val="2"/>
                <w:sz w:val="21"/>
                <w:szCs w:val="21"/>
                <w:lang w:eastAsia="zh-CN"/>
              </w:rPr>
              <w:t>18</w:t>
            </w:r>
            <w:r>
              <w:rPr>
                <w:rFonts w:hint="eastAsia" w:hAnsi="Times New Roman" w:eastAsia="宋体"/>
                <w:kern w:val="2"/>
                <w:sz w:val="21"/>
                <w:szCs w:val="21"/>
              </w:rPr>
              <w:t>kg/m钢轨，长度约为</w:t>
            </w:r>
            <w:r>
              <w:rPr>
                <w:rFonts w:hint="eastAsia" w:hAnsi="Times New Roman" w:eastAsia="宋体"/>
                <w:kern w:val="2"/>
                <w:sz w:val="21"/>
                <w:szCs w:val="21"/>
                <w:lang w:eastAsia="zh-CN"/>
              </w:rPr>
              <w:t>460</w:t>
            </w:r>
            <w:r>
              <w:rPr>
                <w:rFonts w:hint="eastAsia" w:hAnsi="Times New Roman" w:eastAsia="宋体"/>
                <w:kern w:val="2"/>
                <w:sz w:val="21"/>
                <w:szCs w:val="21"/>
              </w:rPr>
              <w:t>m。</w:t>
            </w:r>
          </w:p>
        </w:tc>
        <w:tc>
          <w:tcPr>
            <w:tcW w:w="442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2"/>
                <w:lang w:eastAsia="zh-CN"/>
              </w:rPr>
            </w:pPr>
            <w:r>
              <w:rPr>
                <w:rFonts w:hint="eastAsia" w:hAnsi="Times New Roman" w:eastAsia="宋体"/>
                <w:kern w:val="2"/>
                <w:sz w:val="21"/>
                <w:szCs w:val="22"/>
                <w:lang w:eastAsia="zh-CN"/>
              </w:rPr>
              <w:t>利用</w:t>
            </w:r>
          </w:p>
        </w:tc>
        <w:tc>
          <w:tcPr>
            <w:tcW w:w="158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73"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2428" w:type="dxa"/>
            <w:gridSpan w:val="3"/>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rPr>
              <w:t>地磅房</w:t>
            </w:r>
          </w:p>
        </w:tc>
        <w:tc>
          <w:tcPr>
            <w:tcW w:w="46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rPr>
              <w:t>进出车辆过磅；建筑面积</w:t>
            </w:r>
            <w:r>
              <w:rPr>
                <w:rFonts w:hint="eastAsia" w:hAnsi="Times New Roman" w:eastAsia="宋体"/>
                <w:kern w:val="2"/>
                <w:sz w:val="21"/>
                <w:szCs w:val="21"/>
                <w:lang w:eastAsia="zh-CN"/>
              </w:rPr>
              <w:t>40</w:t>
            </w:r>
            <w:r>
              <w:rPr>
                <w:rFonts w:hint="eastAsia" w:hAnsi="Times New Roman" w:eastAsia="宋体"/>
                <w:kern w:val="2"/>
                <w:sz w:val="21"/>
                <w:szCs w:val="21"/>
              </w:rPr>
              <w:t>m</w:t>
            </w:r>
            <w:r>
              <w:rPr>
                <w:rFonts w:hint="eastAsia" w:hAnsi="Times New Roman" w:eastAsia="宋体"/>
                <w:kern w:val="2"/>
                <w:sz w:val="21"/>
                <w:szCs w:val="21"/>
                <w:vertAlign w:val="superscript"/>
              </w:rPr>
              <w:t>2</w:t>
            </w:r>
            <w:r>
              <w:rPr>
                <w:rFonts w:hint="eastAsia" w:hAnsi="Times New Roman" w:eastAsia="宋体"/>
                <w:kern w:val="2"/>
                <w:sz w:val="21"/>
                <w:szCs w:val="21"/>
              </w:rPr>
              <w:t>。</w:t>
            </w:r>
          </w:p>
        </w:tc>
        <w:tc>
          <w:tcPr>
            <w:tcW w:w="442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2"/>
              </w:rPr>
            </w:pPr>
            <w:r>
              <w:rPr>
                <w:rFonts w:hint="eastAsia" w:hAnsi="Times New Roman" w:eastAsia="宋体"/>
                <w:kern w:val="2"/>
                <w:sz w:val="21"/>
                <w:szCs w:val="22"/>
                <w:lang w:eastAsia="zh-CN"/>
              </w:rPr>
              <w:t>利用</w:t>
            </w:r>
          </w:p>
        </w:tc>
        <w:tc>
          <w:tcPr>
            <w:tcW w:w="158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73"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2428" w:type="dxa"/>
            <w:gridSpan w:val="3"/>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rPr>
              <w:t>机修车间</w:t>
            </w:r>
          </w:p>
        </w:tc>
        <w:tc>
          <w:tcPr>
            <w:tcW w:w="46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rPr>
              <w:t>主要承担矿井机电设备的日常检修和维护，并承担矿车及拱形支架的修理，建筑面积</w:t>
            </w:r>
            <w:r>
              <w:rPr>
                <w:rFonts w:hint="eastAsia" w:hAnsi="Times New Roman" w:eastAsia="宋体"/>
                <w:kern w:val="2"/>
                <w:sz w:val="21"/>
                <w:szCs w:val="21"/>
                <w:lang w:eastAsia="zh-CN"/>
              </w:rPr>
              <w:t>80</w:t>
            </w:r>
            <w:r>
              <w:rPr>
                <w:rFonts w:hint="eastAsia" w:hAnsi="Times New Roman" w:eastAsia="宋体"/>
                <w:kern w:val="2"/>
                <w:sz w:val="21"/>
                <w:szCs w:val="21"/>
              </w:rPr>
              <w:t>m</w:t>
            </w:r>
            <w:r>
              <w:rPr>
                <w:rFonts w:hint="eastAsia" w:hAnsi="Times New Roman" w:eastAsia="宋体"/>
                <w:kern w:val="2"/>
                <w:sz w:val="21"/>
                <w:szCs w:val="21"/>
                <w:vertAlign w:val="superscript"/>
              </w:rPr>
              <w:t>2</w:t>
            </w:r>
          </w:p>
        </w:tc>
        <w:tc>
          <w:tcPr>
            <w:tcW w:w="442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2"/>
              </w:rPr>
            </w:pPr>
            <w:r>
              <w:rPr>
                <w:rFonts w:hint="eastAsia" w:hAnsi="Times New Roman" w:eastAsia="宋体"/>
                <w:kern w:val="2"/>
                <w:sz w:val="21"/>
                <w:szCs w:val="22"/>
                <w:lang w:eastAsia="zh-CN"/>
              </w:rPr>
              <w:t>利用</w:t>
            </w:r>
          </w:p>
        </w:tc>
        <w:tc>
          <w:tcPr>
            <w:tcW w:w="158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zh-CN"/>
              </w:rPr>
              <w:t>噪声、固废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73"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2428" w:type="dxa"/>
            <w:gridSpan w:val="3"/>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综采设备中转库</w:t>
            </w:r>
          </w:p>
        </w:tc>
        <w:tc>
          <w:tcPr>
            <w:tcW w:w="46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主要</w:t>
            </w:r>
            <w:r>
              <w:rPr>
                <w:rFonts w:hint="eastAsia" w:hAnsi="Times New Roman" w:eastAsia="宋体"/>
                <w:kern w:val="2"/>
                <w:sz w:val="21"/>
                <w:szCs w:val="21"/>
              </w:rPr>
              <w:t>承担液压支架、采煤机的临时存放及日常维护和保养</w:t>
            </w:r>
            <w:r>
              <w:rPr>
                <w:rFonts w:hint="eastAsia" w:hAnsi="Times New Roman" w:eastAsia="宋体"/>
                <w:kern w:val="2"/>
                <w:sz w:val="21"/>
                <w:szCs w:val="21"/>
                <w:lang w:eastAsia="zh-CN"/>
              </w:rPr>
              <w:t>，配有20吨LH型电动葫芦双梁桥式起重机1台，</w:t>
            </w:r>
            <w:r>
              <w:rPr>
                <w:rFonts w:hint="eastAsia" w:hAnsi="Times New Roman" w:eastAsia="宋体"/>
                <w:kern w:val="2"/>
                <w:sz w:val="21"/>
                <w:szCs w:val="21"/>
              </w:rPr>
              <w:t>建筑面积</w:t>
            </w:r>
            <w:r>
              <w:rPr>
                <w:rFonts w:hint="eastAsia" w:hAnsi="Times New Roman" w:eastAsia="宋体"/>
                <w:kern w:val="2"/>
                <w:sz w:val="21"/>
                <w:szCs w:val="21"/>
                <w:lang w:eastAsia="zh-CN"/>
              </w:rPr>
              <w:t>300</w:t>
            </w:r>
            <w:r>
              <w:rPr>
                <w:rFonts w:hint="eastAsia" w:hAnsi="Times New Roman" w:eastAsia="宋体"/>
                <w:kern w:val="2"/>
                <w:sz w:val="21"/>
                <w:szCs w:val="21"/>
              </w:rPr>
              <w:t>m</w:t>
            </w:r>
            <w:r>
              <w:rPr>
                <w:rFonts w:hint="eastAsia" w:hAnsi="Times New Roman" w:eastAsia="宋体"/>
                <w:kern w:val="2"/>
                <w:sz w:val="21"/>
                <w:szCs w:val="21"/>
                <w:vertAlign w:val="superscript"/>
              </w:rPr>
              <w:t>2</w:t>
            </w:r>
          </w:p>
        </w:tc>
        <w:tc>
          <w:tcPr>
            <w:tcW w:w="442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2"/>
              </w:rPr>
            </w:pPr>
            <w:r>
              <w:rPr>
                <w:rFonts w:hint="eastAsia" w:hAnsi="Times New Roman" w:eastAsia="宋体"/>
                <w:kern w:val="2"/>
                <w:sz w:val="21"/>
                <w:szCs w:val="22"/>
                <w:lang w:eastAsia="zh-CN"/>
              </w:rPr>
              <w:t>利用</w:t>
            </w:r>
          </w:p>
        </w:tc>
        <w:tc>
          <w:tcPr>
            <w:tcW w:w="158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73"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2428" w:type="dxa"/>
            <w:gridSpan w:val="3"/>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压风机房</w:t>
            </w:r>
          </w:p>
        </w:tc>
        <w:tc>
          <w:tcPr>
            <w:tcW w:w="46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向全矿供风；装备</w:t>
            </w:r>
            <w:r>
              <w:rPr>
                <w:rFonts w:hint="eastAsia" w:hAnsi="Times New Roman" w:eastAsia="宋体"/>
                <w:kern w:val="2"/>
                <w:sz w:val="21"/>
                <w:szCs w:val="21"/>
                <w:lang w:eastAsia="zh-CN"/>
              </w:rPr>
              <w:t>BJ-10/8G型螺杆式空气压缩机</w:t>
            </w:r>
            <w:r>
              <w:rPr>
                <w:rFonts w:hint="eastAsia" w:hAnsi="Times New Roman" w:eastAsia="宋体"/>
                <w:kern w:val="2"/>
                <w:sz w:val="21"/>
                <w:szCs w:val="21"/>
              </w:rPr>
              <w:t>，压风机房面积为</w:t>
            </w:r>
            <w:r>
              <w:rPr>
                <w:rFonts w:hint="eastAsia" w:hAnsi="Times New Roman" w:eastAsia="宋体"/>
                <w:kern w:val="2"/>
                <w:sz w:val="21"/>
                <w:szCs w:val="21"/>
                <w:lang w:eastAsia="zh-CN"/>
              </w:rPr>
              <w:t>100</w:t>
            </w:r>
            <w:r>
              <w:rPr>
                <w:rFonts w:hint="eastAsia" w:hAnsi="Times New Roman" w:eastAsia="宋体"/>
                <w:kern w:val="2"/>
                <w:sz w:val="21"/>
                <w:szCs w:val="21"/>
              </w:rPr>
              <w:t>m</w:t>
            </w:r>
            <w:r>
              <w:rPr>
                <w:rFonts w:hint="eastAsia" w:hAnsi="Times New Roman" w:eastAsia="宋体"/>
                <w:kern w:val="2"/>
                <w:sz w:val="21"/>
                <w:szCs w:val="21"/>
                <w:vertAlign w:val="superscript"/>
              </w:rPr>
              <w:t>2</w:t>
            </w:r>
          </w:p>
        </w:tc>
        <w:tc>
          <w:tcPr>
            <w:tcW w:w="442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2"/>
                <w:lang w:eastAsia="zh-CN"/>
              </w:rPr>
            </w:pPr>
            <w:r>
              <w:rPr>
                <w:rFonts w:hint="eastAsia" w:hAnsi="Times New Roman" w:eastAsia="宋体"/>
                <w:kern w:val="2"/>
                <w:sz w:val="21"/>
                <w:szCs w:val="22"/>
                <w:lang w:eastAsia="zh-CN"/>
              </w:rPr>
              <w:t>利用</w:t>
            </w:r>
          </w:p>
        </w:tc>
        <w:tc>
          <w:tcPr>
            <w:tcW w:w="158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73"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2428" w:type="dxa"/>
            <w:gridSpan w:val="3"/>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rPr>
              <w:t>材料库</w:t>
            </w:r>
          </w:p>
        </w:tc>
        <w:tc>
          <w:tcPr>
            <w:tcW w:w="46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存放</w:t>
            </w:r>
            <w:r>
              <w:rPr>
                <w:rFonts w:hint="eastAsia" w:hAnsi="Times New Roman" w:eastAsia="宋体"/>
                <w:kern w:val="2"/>
                <w:sz w:val="21"/>
                <w:szCs w:val="21"/>
              </w:rPr>
              <w:t>材料、设备等；建筑面积</w:t>
            </w:r>
            <w:r>
              <w:rPr>
                <w:rFonts w:hint="eastAsia" w:hAnsi="Times New Roman" w:eastAsia="宋体"/>
                <w:kern w:val="2"/>
                <w:sz w:val="21"/>
                <w:szCs w:val="21"/>
                <w:lang w:eastAsia="zh-CN"/>
              </w:rPr>
              <w:t>60</w:t>
            </w:r>
            <w:r>
              <w:rPr>
                <w:rFonts w:hint="eastAsia" w:hAnsi="Times New Roman" w:eastAsia="宋体"/>
                <w:kern w:val="2"/>
                <w:sz w:val="21"/>
                <w:szCs w:val="21"/>
              </w:rPr>
              <w:t>m</w:t>
            </w:r>
            <w:r>
              <w:rPr>
                <w:rFonts w:hint="eastAsia" w:hAnsi="Times New Roman" w:eastAsia="宋体"/>
                <w:kern w:val="2"/>
                <w:sz w:val="21"/>
                <w:szCs w:val="21"/>
                <w:vertAlign w:val="superscript"/>
              </w:rPr>
              <w:t>2</w:t>
            </w:r>
          </w:p>
        </w:tc>
        <w:tc>
          <w:tcPr>
            <w:tcW w:w="442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2"/>
              </w:rPr>
            </w:pPr>
            <w:r>
              <w:rPr>
                <w:rFonts w:hint="eastAsia" w:hAnsi="Times New Roman" w:eastAsia="宋体"/>
                <w:kern w:val="2"/>
                <w:sz w:val="21"/>
                <w:szCs w:val="22"/>
                <w:lang w:eastAsia="zh-CN"/>
              </w:rPr>
              <w:t>利用</w:t>
            </w:r>
          </w:p>
        </w:tc>
        <w:tc>
          <w:tcPr>
            <w:tcW w:w="158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73"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2428" w:type="dxa"/>
            <w:gridSpan w:val="3"/>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rPr>
              <w:t>坑木堆放及加工</w:t>
            </w:r>
          </w:p>
        </w:tc>
        <w:tc>
          <w:tcPr>
            <w:tcW w:w="46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加工坑木，</w:t>
            </w:r>
            <w:r>
              <w:rPr>
                <w:rFonts w:hint="eastAsia" w:hAnsi="Times New Roman" w:eastAsia="宋体"/>
                <w:kern w:val="2"/>
                <w:sz w:val="21"/>
                <w:szCs w:val="21"/>
              </w:rPr>
              <w:t>建筑面积</w:t>
            </w:r>
            <w:r>
              <w:rPr>
                <w:rFonts w:hint="eastAsia" w:hAnsi="Times New Roman" w:eastAsia="宋体"/>
                <w:kern w:val="2"/>
                <w:sz w:val="21"/>
                <w:szCs w:val="21"/>
                <w:lang w:eastAsia="zh-CN"/>
              </w:rPr>
              <w:t>100</w:t>
            </w:r>
            <w:r>
              <w:rPr>
                <w:rFonts w:hint="eastAsia" w:hAnsi="Times New Roman" w:eastAsia="宋体"/>
                <w:kern w:val="2"/>
                <w:sz w:val="21"/>
                <w:szCs w:val="21"/>
              </w:rPr>
              <w:t>m</w:t>
            </w:r>
            <w:r>
              <w:rPr>
                <w:rFonts w:hint="eastAsia" w:hAnsi="Times New Roman" w:eastAsia="宋体"/>
                <w:kern w:val="2"/>
                <w:sz w:val="21"/>
                <w:szCs w:val="21"/>
                <w:vertAlign w:val="superscript"/>
              </w:rPr>
              <w:t>2</w:t>
            </w:r>
          </w:p>
        </w:tc>
        <w:tc>
          <w:tcPr>
            <w:tcW w:w="442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2"/>
              </w:rPr>
            </w:pPr>
            <w:r>
              <w:rPr>
                <w:rFonts w:hint="eastAsia" w:hAnsi="Times New Roman" w:eastAsia="宋体"/>
                <w:kern w:val="2"/>
                <w:sz w:val="21"/>
                <w:szCs w:val="22"/>
                <w:lang w:eastAsia="zh-CN"/>
              </w:rPr>
              <w:t>利用</w:t>
            </w:r>
          </w:p>
        </w:tc>
        <w:tc>
          <w:tcPr>
            <w:tcW w:w="158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粉尘、噪声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73"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2428" w:type="dxa"/>
            <w:gridSpan w:val="3"/>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危废暂存间</w:t>
            </w:r>
          </w:p>
        </w:tc>
        <w:tc>
          <w:tcPr>
            <w:tcW w:w="46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位于机修车间北侧，建筑面积20m</w:t>
            </w:r>
            <w:r>
              <w:rPr>
                <w:rFonts w:hint="eastAsia" w:hAnsi="Times New Roman" w:eastAsia="宋体"/>
                <w:kern w:val="2"/>
                <w:sz w:val="21"/>
                <w:szCs w:val="21"/>
                <w:vertAlign w:val="superscript"/>
                <w:lang w:eastAsia="zh-CN"/>
              </w:rPr>
              <w:t>2</w:t>
            </w:r>
          </w:p>
        </w:tc>
        <w:tc>
          <w:tcPr>
            <w:tcW w:w="442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2"/>
                <w:lang w:eastAsia="zh-CN"/>
              </w:rPr>
            </w:pPr>
            <w:r>
              <w:rPr>
                <w:rFonts w:hint="eastAsia" w:hAnsi="Times New Roman" w:eastAsia="宋体"/>
                <w:kern w:val="2"/>
                <w:sz w:val="21"/>
                <w:szCs w:val="22"/>
                <w:lang w:eastAsia="zh-CN"/>
              </w:rPr>
              <w:t>利用</w:t>
            </w:r>
          </w:p>
        </w:tc>
        <w:tc>
          <w:tcPr>
            <w:tcW w:w="158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2"/>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73"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2428" w:type="dxa"/>
            <w:gridSpan w:val="3"/>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zh-CN"/>
              </w:rPr>
              <w:t>矿灯房</w:t>
            </w:r>
          </w:p>
        </w:tc>
        <w:tc>
          <w:tcPr>
            <w:tcW w:w="46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储存矿灯、更衣等，</w:t>
            </w:r>
            <w:r>
              <w:rPr>
                <w:rFonts w:hint="eastAsia" w:hAnsi="Times New Roman" w:eastAsia="宋体"/>
                <w:kern w:val="2"/>
                <w:sz w:val="21"/>
                <w:szCs w:val="21"/>
              </w:rPr>
              <w:t>建筑面积</w:t>
            </w:r>
            <w:r>
              <w:rPr>
                <w:rFonts w:hint="eastAsia" w:hAnsi="Times New Roman" w:eastAsia="宋体"/>
                <w:kern w:val="2"/>
                <w:sz w:val="21"/>
                <w:szCs w:val="21"/>
                <w:lang w:eastAsia="zh-CN"/>
              </w:rPr>
              <w:t>200</w:t>
            </w:r>
            <w:r>
              <w:rPr>
                <w:rFonts w:hint="eastAsia" w:hAnsi="Times New Roman" w:eastAsia="宋体"/>
                <w:kern w:val="2"/>
                <w:sz w:val="21"/>
                <w:szCs w:val="21"/>
              </w:rPr>
              <w:t>m</w:t>
            </w:r>
            <w:r>
              <w:rPr>
                <w:rFonts w:hint="eastAsia" w:hAnsi="Times New Roman" w:eastAsia="宋体"/>
                <w:kern w:val="2"/>
                <w:sz w:val="21"/>
                <w:szCs w:val="21"/>
                <w:vertAlign w:val="superscript"/>
              </w:rPr>
              <w:t>2</w:t>
            </w:r>
          </w:p>
        </w:tc>
        <w:tc>
          <w:tcPr>
            <w:tcW w:w="442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2"/>
              </w:rPr>
            </w:pPr>
            <w:r>
              <w:rPr>
                <w:rFonts w:hint="eastAsia" w:hAnsi="Times New Roman" w:eastAsia="宋体"/>
                <w:kern w:val="2"/>
                <w:sz w:val="21"/>
                <w:szCs w:val="22"/>
                <w:lang w:eastAsia="zh-CN"/>
              </w:rPr>
              <w:t>利用</w:t>
            </w:r>
          </w:p>
        </w:tc>
        <w:tc>
          <w:tcPr>
            <w:tcW w:w="158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rPr>
              <w:t>废气、噪声、固废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73" w:type="dxa"/>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公用配套工程</w:t>
            </w:r>
          </w:p>
        </w:tc>
        <w:tc>
          <w:tcPr>
            <w:tcW w:w="2428" w:type="dxa"/>
            <w:gridSpan w:val="3"/>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zh-CN"/>
              </w:rPr>
              <w:t>进场道路</w:t>
            </w:r>
          </w:p>
        </w:tc>
        <w:tc>
          <w:tcPr>
            <w:tcW w:w="46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水泥路面，路幅宽4.5m，长约146m</w:t>
            </w:r>
          </w:p>
        </w:tc>
        <w:tc>
          <w:tcPr>
            <w:tcW w:w="442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2"/>
              </w:rPr>
            </w:pPr>
            <w:r>
              <w:rPr>
                <w:rFonts w:hint="eastAsia" w:hAnsi="Times New Roman" w:eastAsia="宋体"/>
                <w:kern w:val="2"/>
                <w:sz w:val="21"/>
                <w:szCs w:val="22"/>
                <w:lang w:eastAsia="zh-CN"/>
              </w:rPr>
              <w:t>利用</w:t>
            </w:r>
          </w:p>
        </w:tc>
        <w:tc>
          <w:tcPr>
            <w:tcW w:w="158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zh-CN"/>
              </w:rPr>
              <w:t>粉尘、噪声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73"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2428" w:type="dxa"/>
            <w:gridSpan w:val="3"/>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rPr>
              <w:t>炸药库</w:t>
            </w:r>
          </w:p>
        </w:tc>
        <w:tc>
          <w:tcPr>
            <w:tcW w:w="46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rPr>
              <w:t>存放炸药、雷管；主井工业场地</w:t>
            </w:r>
            <w:r>
              <w:rPr>
                <w:rFonts w:hint="eastAsia" w:hAnsi="Times New Roman" w:eastAsia="宋体"/>
                <w:kern w:val="2"/>
                <w:sz w:val="21"/>
                <w:szCs w:val="21"/>
                <w:lang w:eastAsia="zh-CN"/>
              </w:rPr>
              <w:t>西侧边界处</w:t>
            </w:r>
            <w:r>
              <w:rPr>
                <w:rFonts w:hint="eastAsia" w:hAnsi="Times New Roman" w:eastAsia="宋体"/>
                <w:kern w:val="2"/>
                <w:sz w:val="21"/>
                <w:szCs w:val="21"/>
              </w:rPr>
              <w:t xml:space="preserve">，储药量 0.5t，雷管1万发，占地面积 </w:t>
            </w:r>
            <w:r>
              <w:rPr>
                <w:rFonts w:hint="eastAsia" w:hAnsi="Times New Roman" w:eastAsia="宋体"/>
                <w:kern w:val="2"/>
                <w:sz w:val="21"/>
                <w:szCs w:val="21"/>
                <w:lang w:eastAsia="zh-CN"/>
              </w:rPr>
              <w:t>200</w:t>
            </w:r>
            <w:r>
              <w:rPr>
                <w:rFonts w:hint="eastAsia" w:hAnsi="Times New Roman" w:eastAsia="宋体"/>
                <w:kern w:val="2"/>
                <w:sz w:val="21"/>
                <w:szCs w:val="21"/>
              </w:rPr>
              <w:t>m</w:t>
            </w:r>
            <w:r>
              <w:rPr>
                <w:rFonts w:hint="eastAsia" w:hAnsi="Times New Roman" w:eastAsia="宋体"/>
                <w:kern w:val="2"/>
                <w:sz w:val="21"/>
                <w:szCs w:val="21"/>
                <w:vertAlign w:val="superscript"/>
              </w:rPr>
              <w:t>2</w:t>
            </w:r>
            <w:r>
              <w:rPr>
                <w:rFonts w:hint="eastAsia" w:hAnsi="Times New Roman" w:eastAsia="宋体"/>
                <w:kern w:val="2"/>
                <w:sz w:val="21"/>
                <w:szCs w:val="21"/>
              </w:rPr>
              <w:t>。</w:t>
            </w:r>
          </w:p>
        </w:tc>
        <w:tc>
          <w:tcPr>
            <w:tcW w:w="442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2"/>
              </w:rPr>
            </w:pPr>
            <w:r>
              <w:rPr>
                <w:rFonts w:hint="eastAsia" w:hAnsi="Times New Roman" w:eastAsia="宋体"/>
                <w:kern w:val="2"/>
                <w:sz w:val="21"/>
                <w:szCs w:val="22"/>
                <w:lang w:eastAsia="zh-CN"/>
              </w:rPr>
              <w:t>利用</w:t>
            </w:r>
          </w:p>
        </w:tc>
        <w:tc>
          <w:tcPr>
            <w:tcW w:w="158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9" w:hRule="atLeast"/>
        </w:trPr>
        <w:tc>
          <w:tcPr>
            <w:tcW w:w="873" w:type="dxa"/>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办公生活设施</w:t>
            </w:r>
          </w:p>
        </w:tc>
        <w:tc>
          <w:tcPr>
            <w:tcW w:w="2428" w:type="dxa"/>
            <w:gridSpan w:val="3"/>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zh-CN"/>
              </w:rPr>
              <w:t>浴室</w:t>
            </w:r>
          </w:p>
        </w:tc>
        <w:tc>
          <w:tcPr>
            <w:tcW w:w="46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职工洗浴，</w:t>
            </w:r>
            <w:r>
              <w:rPr>
                <w:rFonts w:hint="eastAsia" w:hAnsi="Times New Roman" w:eastAsia="宋体"/>
                <w:kern w:val="2"/>
                <w:sz w:val="21"/>
                <w:szCs w:val="21"/>
              </w:rPr>
              <w:t>建筑面积</w:t>
            </w:r>
            <w:r>
              <w:rPr>
                <w:rFonts w:hint="eastAsia" w:hAnsi="Times New Roman" w:eastAsia="宋体"/>
                <w:kern w:val="2"/>
                <w:sz w:val="21"/>
                <w:szCs w:val="21"/>
                <w:lang w:eastAsia="zh-CN"/>
              </w:rPr>
              <w:t>60</w:t>
            </w:r>
            <w:r>
              <w:rPr>
                <w:rFonts w:hint="eastAsia" w:hAnsi="Times New Roman" w:eastAsia="宋体"/>
                <w:kern w:val="2"/>
                <w:sz w:val="21"/>
                <w:szCs w:val="21"/>
              </w:rPr>
              <w:t>m</w:t>
            </w:r>
            <w:r>
              <w:rPr>
                <w:rFonts w:hint="eastAsia" w:hAnsi="Times New Roman" w:eastAsia="宋体"/>
                <w:kern w:val="2"/>
                <w:sz w:val="21"/>
                <w:szCs w:val="21"/>
                <w:vertAlign w:val="superscript"/>
              </w:rPr>
              <w:t>2</w:t>
            </w:r>
          </w:p>
        </w:tc>
        <w:tc>
          <w:tcPr>
            <w:tcW w:w="442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2"/>
              </w:rPr>
            </w:pPr>
            <w:r>
              <w:rPr>
                <w:rFonts w:hint="eastAsia" w:hAnsi="Times New Roman" w:eastAsia="宋体"/>
                <w:kern w:val="2"/>
                <w:sz w:val="21"/>
                <w:szCs w:val="22"/>
                <w:lang w:eastAsia="zh-CN"/>
              </w:rPr>
              <w:t>利用</w:t>
            </w:r>
          </w:p>
        </w:tc>
        <w:tc>
          <w:tcPr>
            <w:tcW w:w="158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73"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p>
        </w:tc>
        <w:tc>
          <w:tcPr>
            <w:tcW w:w="2428" w:type="dxa"/>
            <w:gridSpan w:val="3"/>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食堂</w:t>
            </w:r>
          </w:p>
        </w:tc>
        <w:tc>
          <w:tcPr>
            <w:tcW w:w="46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职工就餐，</w:t>
            </w:r>
            <w:r>
              <w:rPr>
                <w:rFonts w:hint="eastAsia" w:hAnsi="Times New Roman" w:eastAsia="宋体"/>
                <w:kern w:val="2"/>
                <w:sz w:val="21"/>
                <w:szCs w:val="21"/>
              </w:rPr>
              <w:t>建筑面积</w:t>
            </w:r>
            <w:r>
              <w:rPr>
                <w:rFonts w:hint="eastAsia" w:hAnsi="Times New Roman" w:eastAsia="宋体"/>
                <w:kern w:val="2"/>
                <w:sz w:val="21"/>
                <w:szCs w:val="21"/>
                <w:lang w:eastAsia="zh-CN"/>
              </w:rPr>
              <w:t>100</w:t>
            </w:r>
            <w:r>
              <w:rPr>
                <w:rFonts w:hint="eastAsia" w:hAnsi="Times New Roman" w:eastAsia="宋体"/>
                <w:kern w:val="2"/>
                <w:sz w:val="21"/>
                <w:szCs w:val="21"/>
              </w:rPr>
              <w:t>m</w:t>
            </w:r>
            <w:r>
              <w:rPr>
                <w:rFonts w:hint="eastAsia" w:hAnsi="Times New Roman" w:eastAsia="宋体"/>
                <w:kern w:val="2"/>
                <w:sz w:val="21"/>
                <w:szCs w:val="21"/>
                <w:vertAlign w:val="superscript"/>
              </w:rPr>
              <w:t>2</w:t>
            </w:r>
          </w:p>
        </w:tc>
        <w:tc>
          <w:tcPr>
            <w:tcW w:w="442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2"/>
              </w:rPr>
            </w:pPr>
            <w:r>
              <w:rPr>
                <w:rFonts w:hint="eastAsia" w:hAnsi="Times New Roman" w:eastAsia="宋体"/>
                <w:kern w:val="2"/>
                <w:sz w:val="21"/>
                <w:szCs w:val="22"/>
                <w:lang w:eastAsia="zh-CN"/>
              </w:rPr>
              <w:t>利用</w:t>
            </w:r>
          </w:p>
        </w:tc>
        <w:tc>
          <w:tcPr>
            <w:tcW w:w="1585" w:type="dxa"/>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生活垃圾、生活污水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73"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2428" w:type="dxa"/>
            <w:gridSpan w:val="3"/>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zh-CN"/>
              </w:rPr>
              <w:t>宿舍</w:t>
            </w:r>
          </w:p>
        </w:tc>
        <w:tc>
          <w:tcPr>
            <w:tcW w:w="46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职工住宿，</w:t>
            </w:r>
            <w:r>
              <w:rPr>
                <w:rFonts w:hint="eastAsia" w:hAnsi="Times New Roman" w:eastAsia="宋体"/>
                <w:kern w:val="2"/>
                <w:sz w:val="21"/>
                <w:szCs w:val="21"/>
              </w:rPr>
              <w:t>建筑面积</w:t>
            </w:r>
            <w:r>
              <w:rPr>
                <w:rFonts w:hint="eastAsia" w:hAnsi="Times New Roman" w:eastAsia="宋体"/>
                <w:kern w:val="2"/>
                <w:sz w:val="21"/>
                <w:szCs w:val="21"/>
                <w:lang w:eastAsia="zh-CN"/>
              </w:rPr>
              <w:t>850</w:t>
            </w:r>
            <w:r>
              <w:rPr>
                <w:rFonts w:hint="eastAsia" w:hAnsi="Times New Roman" w:eastAsia="宋体"/>
                <w:kern w:val="2"/>
                <w:sz w:val="21"/>
                <w:szCs w:val="21"/>
              </w:rPr>
              <w:t>m</w:t>
            </w:r>
            <w:r>
              <w:rPr>
                <w:rFonts w:hint="eastAsia" w:hAnsi="Times New Roman" w:eastAsia="宋体"/>
                <w:kern w:val="2"/>
                <w:sz w:val="21"/>
                <w:szCs w:val="21"/>
                <w:vertAlign w:val="superscript"/>
              </w:rPr>
              <w:t>2</w:t>
            </w:r>
          </w:p>
        </w:tc>
        <w:tc>
          <w:tcPr>
            <w:tcW w:w="442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2"/>
              </w:rPr>
            </w:pPr>
            <w:r>
              <w:rPr>
                <w:rFonts w:hint="eastAsia" w:hAnsi="Times New Roman" w:eastAsia="宋体"/>
                <w:kern w:val="2"/>
                <w:sz w:val="21"/>
                <w:szCs w:val="22"/>
                <w:lang w:eastAsia="zh-CN"/>
              </w:rPr>
              <w:t>利用</w:t>
            </w:r>
          </w:p>
        </w:tc>
        <w:tc>
          <w:tcPr>
            <w:tcW w:w="1585"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73"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2428" w:type="dxa"/>
            <w:gridSpan w:val="3"/>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zh-CN"/>
              </w:rPr>
              <w:t>厕所</w:t>
            </w:r>
          </w:p>
        </w:tc>
        <w:tc>
          <w:tcPr>
            <w:tcW w:w="46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rPr>
              <w:t>建筑面积</w:t>
            </w:r>
            <w:r>
              <w:rPr>
                <w:rFonts w:hint="eastAsia" w:hAnsi="Times New Roman" w:eastAsia="宋体"/>
                <w:kern w:val="2"/>
                <w:sz w:val="21"/>
                <w:szCs w:val="21"/>
                <w:lang w:eastAsia="zh-CN"/>
              </w:rPr>
              <w:t>30</w:t>
            </w:r>
            <w:r>
              <w:rPr>
                <w:rFonts w:hint="eastAsia" w:hAnsi="Times New Roman" w:eastAsia="宋体"/>
                <w:kern w:val="2"/>
                <w:sz w:val="21"/>
                <w:szCs w:val="21"/>
              </w:rPr>
              <w:t>m</w:t>
            </w:r>
            <w:r>
              <w:rPr>
                <w:rFonts w:hint="eastAsia" w:hAnsi="Times New Roman" w:eastAsia="宋体"/>
                <w:kern w:val="2"/>
                <w:sz w:val="21"/>
                <w:szCs w:val="21"/>
                <w:vertAlign w:val="superscript"/>
              </w:rPr>
              <w:t>2</w:t>
            </w:r>
          </w:p>
        </w:tc>
        <w:tc>
          <w:tcPr>
            <w:tcW w:w="442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2"/>
              </w:rPr>
            </w:pPr>
            <w:r>
              <w:rPr>
                <w:rFonts w:hint="eastAsia" w:hAnsi="Times New Roman" w:eastAsia="宋体"/>
                <w:kern w:val="2"/>
                <w:sz w:val="21"/>
                <w:szCs w:val="22"/>
                <w:lang w:eastAsia="zh-CN"/>
              </w:rPr>
              <w:t>利用</w:t>
            </w:r>
          </w:p>
        </w:tc>
        <w:tc>
          <w:tcPr>
            <w:tcW w:w="1585"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73"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2428" w:type="dxa"/>
            <w:gridSpan w:val="3"/>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zh-CN"/>
              </w:rPr>
              <w:t>办公楼</w:t>
            </w:r>
          </w:p>
        </w:tc>
        <w:tc>
          <w:tcPr>
            <w:tcW w:w="46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职工办公，</w:t>
            </w:r>
            <w:r>
              <w:rPr>
                <w:rFonts w:hint="eastAsia" w:hAnsi="Times New Roman" w:eastAsia="宋体"/>
                <w:kern w:val="2"/>
                <w:sz w:val="21"/>
                <w:szCs w:val="21"/>
              </w:rPr>
              <w:t>建筑面积</w:t>
            </w:r>
            <w:r>
              <w:rPr>
                <w:rFonts w:hint="eastAsia" w:hAnsi="Times New Roman" w:eastAsia="宋体"/>
                <w:kern w:val="2"/>
                <w:sz w:val="21"/>
                <w:szCs w:val="21"/>
                <w:lang w:eastAsia="zh-CN"/>
              </w:rPr>
              <w:t>共630</w:t>
            </w:r>
            <w:r>
              <w:rPr>
                <w:rFonts w:hint="eastAsia" w:hAnsi="Times New Roman" w:eastAsia="宋体"/>
                <w:kern w:val="2"/>
                <w:sz w:val="21"/>
                <w:szCs w:val="21"/>
              </w:rPr>
              <w:t>m</w:t>
            </w:r>
            <w:r>
              <w:rPr>
                <w:rFonts w:hint="eastAsia" w:hAnsi="Times New Roman" w:eastAsia="宋体"/>
                <w:kern w:val="2"/>
                <w:sz w:val="21"/>
                <w:szCs w:val="21"/>
                <w:vertAlign w:val="superscript"/>
              </w:rPr>
              <w:t>2</w:t>
            </w:r>
          </w:p>
        </w:tc>
        <w:tc>
          <w:tcPr>
            <w:tcW w:w="442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2"/>
              </w:rPr>
            </w:pPr>
            <w:r>
              <w:rPr>
                <w:rFonts w:hint="eastAsia" w:hAnsi="Times New Roman" w:eastAsia="宋体"/>
                <w:kern w:val="2"/>
                <w:sz w:val="21"/>
                <w:szCs w:val="22"/>
                <w:lang w:eastAsia="zh-CN"/>
              </w:rPr>
              <w:t>利用</w:t>
            </w:r>
          </w:p>
        </w:tc>
        <w:tc>
          <w:tcPr>
            <w:tcW w:w="1585"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73" w:type="dxa"/>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公用工程</w:t>
            </w:r>
          </w:p>
        </w:tc>
        <w:tc>
          <w:tcPr>
            <w:tcW w:w="2428" w:type="dxa"/>
            <w:gridSpan w:val="3"/>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rPr>
              <w:t>供电系统</w:t>
            </w:r>
          </w:p>
        </w:tc>
        <w:tc>
          <w:tcPr>
            <w:tcW w:w="46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rPr>
              <w:t>矿井供电，双回路电源。变电所建筑面积约</w:t>
            </w:r>
            <w:r>
              <w:rPr>
                <w:rFonts w:hint="eastAsia" w:hAnsi="Times New Roman" w:eastAsia="宋体"/>
                <w:kern w:val="2"/>
                <w:sz w:val="21"/>
                <w:szCs w:val="21"/>
                <w:lang w:eastAsia="zh-CN"/>
              </w:rPr>
              <w:t>168</w:t>
            </w:r>
            <w:r>
              <w:rPr>
                <w:rFonts w:hint="eastAsia" w:hAnsi="Times New Roman" w:eastAsia="宋体"/>
                <w:kern w:val="2"/>
                <w:sz w:val="21"/>
                <w:szCs w:val="21"/>
              </w:rPr>
              <w:t>m</w:t>
            </w:r>
            <w:r>
              <w:rPr>
                <w:rFonts w:hint="eastAsia" w:hAnsi="Times New Roman" w:eastAsia="宋体"/>
                <w:kern w:val="2"/>
                <w:sz w:val="21"/>
                <w:szCs w:val="21"/>
                <w:vertAlign w:val="superscript"/>
              </w:rPr>
              <w:t>2</w:t>
            </w:r>
          </w:p>
        </w:tc>
        <w:tc>
          <w:tcPr>
            <w:tcW w:w="442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2"/>
              </w:rPr>
            </w:pPr>
            <w:r>
              <w:rPr>
                <w:rFonts w:hint="eastAsia" w:hAnsi="Times New Roman" w:eastAsia="宋体"/>
                <w:kern w:val="2"/>
                <w:sz w:val="21"/>
                <w:szCs w:val="22"/>
                <w:lang w:eastAsia="zh-CN"/>
              </w:rPr>
              <w:t>利用</w:t>
            </w:r>
          </w:p>
        </w:tc>
        <w:tc>
          <w:tcPr>
            <w:tcW w:w="158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73"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2428" w:type="dxa"/>
            <w:gridSpan w:val="3"/>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供热系统</w:t>
            </w:r>
          </w:p>
        </w:tc>
        <w:tc>
          <w:tcPr>
            <w:tcW w:w="46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主选空气热源泵，利用压风机房压缩空气热源和太阳能电热水器联合供热方式向工业场地澡堂供热</w:t>
            </w:r>
          </w:p>
        </w:tc>
        <w:tc>
          <w:tcPr>
            <w:tcW w:w="442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2"/>
              </w:rPr>
            </w:pPr>
            <w:r>
              <w:rPr>
                <w:rFonts w:hint="eastAsia" w:hAnsi="Times New Roman" w:eastAsia="宋体"/>
                <w:kern w:val="2"/>
                <w:sz w:val="21"/>
                <w:szCs w:val="22"/>
                <w:lang w:eastAsia="zh-CN"/>
              </w:rPr>
              <w:t>利用</w:t>
            </w:r>
          </w:p>
        </w:tc>
        <w:tc>
          <w:tcPr>
            <w:tcW w:w="158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73"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2428" w:type="dxa"/>
            <w:gridSpan w:val="3"/>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rPr>
              <w:t>供水系统</w:t>
            </w:r>
          </w:p>
        </w:tc>
        <w:tc>
          <w:tcPr>
            <w:tcW w:w="46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rPr>
              <w:t>生活用水取自主井场地附近的山泉水；</w:t>
            </w:r>
            <w:r>
              <w:rPr>
                <w:rFonts w:hint="eastAsia" w:hAnsi="Times New Roman" w:eastAsia="宋体"/>
                <w:kern w:val="2"/>
                <w:sz w:val="21"/>
                <w:szCs w:val="21"/>
                <w:lang w:eastAsia="zh-CN"/>
              </w:rPr>
              <w:t>生产用水采用处理达标后的矿井水</w:t>
            </w:r>
            <w:r>
              <w:rPr>
                <w:rFonts w:hint="eastAsia" w:hAnsi="Times New Roman" w:eastAsia="宋体"/>
                <w:kern w:val="2"/>
                <w:sz w:val="21"/>
                <w:szCs w:val="21"/>
              </w:rPr>
              <w:t>，现有的</w:t>
            </w:r>
            <w:r>
              <w:rPr>
                <w:rFonts w:hint="eastAsia" w:hAnsi="Times New Roman" w:eastAsia="宋体"/>
                <w:kern w:val="2"/>
                <w:sz w:val="21"/>
                <w:szCs w:val="21"/>
                <w:lang w:eastAsia="zh-CN"/>
              </w:rPr>
              <w:t>1</w:t>
            </w:r>
            <w:r>
              <w:rPr>
                <w:rFonts w:hint="eastAsia" w:hAnsi="Times New Roman" w:eastAsia="宋体"/>
                <w:kern w:val="2"/>
                <w:sz w:val="21"/>
                <w:szCs w:val="21"/>
              </w:rPr>
              <w:t>座</w:t>
            </w:r>
            <w:r>
              <w:rPr>
                <w:rFonts w:hint="eastAsia" w:hAnsi="Times New Roman" w:eastAsia="宋体"/>
                <w:kern w:val="2"/>
                <w:sz w:val="21"/>
                <w:szCs w:val="21"/>
                <w:lang w:eastAsia="zh-CN"/>
              </w:rPr>
              <w:t>1</w:t>
            </w:r>
            <w:r>
              <w:rPr>
                <w:rFonts w:hint="eastAsia" w:hAnsi="Times New Roman" w:eastAsia="宋体"/>
                <w:kern w:val="2"/>
                <w:sz w:val="21"/>
                <w:szCs w:val="21"/>
              </w:rPr>
              <w:t>00m</w:t>
            </w:r>
            <w:r>
              <w:rPr>
                <w:rFonts w:hint="eastAsia" w:hAnsi="Times New Roman" w:eastAsia="宋体"/>
                <w:kern w:val="2"/>
                <w:sz w:val="21"/>
                <w:szCs w:val="21"/>
                <w:vertAlign w:val="superscript"/>
              </w:rPr>
              <w:t>3</w:t>
            </w:r>
            <w:r>
              <w:rPr>
                <w:rFonts w:hint="eastAsia" w:hAnsi="Times New Roman" w:eastAsia="宋体"/>
                <w:kern w:val="2"/>
                <w:sz w:val="21"/>
                <w:szCs w:val="21"/>
              </w:rPr>
              <w:t>生活水池和</w:t>
            </w:r>
            <w:r>
              <w:rPr>
                <w:rFonts w:hint="eastAsia" w:hAnsi="Times New Roman" w:eastAsia="宋体"/>
                <w:kern w:val="2"/>
                <w:sz w:val="21"/>
                <w:szCs w:val="21"/>
                <w:lang w:eastAsia="zh-CN"/>
              </w:rPr>
              <w:t>1</w:t>
            </w:r>
            <w:r>
              <w:rPr>
                <w:rFonts w:hint="eastAsia" w:hAnsi="Times New Roman" w:eastAsia="宋体"/>
                <w:kern w:val="2"/>
                <w:sz w:val="21"/>
                <w:szCs w:val="21"/>
              </w:rPr>
              <w:t>座200m</w:t>
            </w:r>
            <w:r>
              <w:rPr>
                <w:rFonts w:hint="eastAsia" w:hAnsi="Times New Roman" w:eastAsia="宋体"/>
                <w:kern w:val="2"/>
                <w:sz w:val="21"/>
                <w:szCs w:val="21"/>
                <w:vertAlign w:val="superscript"/>
              </w:rPr>
              <w:t>3</w:t>
            </w:r>
            <w:r>
              <w:rPr>
                <w:rFonts w:hint="eastAsia" w:hAnsi="Times New Roman" w:eastAsia="宋体"/>
                <w:kern w:val="2"/>
                <w:sz w:val="21"/>
                <w:szCs w:val="21"/>
              </w:rPr>
              <w:t>生产水池。</w:t>
            </w:r>
          </w:p>
        </w:tc>
        <w:tc>
          <w:tcPr>
            <w:tcW w:w="442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2"/>
              </w:rPr>
            </w:pPr>
            <w:r>
              <w:rPr>
                <w:rFonts w:hint="eastAsia" w:hAnsi="Times New Roman" w:eastAsia="宋体"/>
                <w:kern w:val="2"/>
                <w:sz w:val="21"/>
                <w:szCs w:val="22"/>
                <w:lang w:eastAsia="zh-CN"/>
              </w:rPr>
              <w:t>利用</w:t>
            </w:r>
          </w:p>
        </w:tc>
        <w:tc>
          <w:tcPr>
            <w:tcW w:w="158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73" w:type="dxa"/>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环保工程</w:t>
            </w:r>
          </w:p>
        </w:tc>
        <w:tc>
          <w:tcPr>
            <w:tcW w:w="829" w:type="dxa"/>
            <w:gridSpan w:val="2"/>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废水</w:t>
            </w:r>
          </w:p>
        </w:tc>
        <w:tc>
          <w:tcPr>
            <w:tcW w:w="1599"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地面</w:t>
            </w:r>
            <w:r>
              <w:rPr>
                <w:rFonts w:hint="eastAsia" w:hAnsi="Times New Roman" w:eastAsia="宋体"/>
                <w:kern w:val="2"/>
                <w:sz w:val="21"/>
                <w:szCs w:val="21"/>
              </w:rPr>
              <w:t>排水系统</w:t>
            </w:r>
          </w:p>
        </w:tc>
        <w:tc>
          <w:tcPr>
            <w:tcW w:w="4637" w:type="dxa"/>
            <w:vAlign w:val="center"/>
          </w:tcPr>
          <w:p>
            <w:pPr>
              <w:keepNext w:val="0"/>
              <w:keepLines w:val="0"/>
              <w:suppressLineNumbers w:val="0"/>
              <w:spacing w:before="0" w:beforeAutospacing="0" w:after="0" w:afterAutospacing="0" w:line="240" w:lineRule="exact"/>
              <w:ind w:left="0" w:right="0"/>
              <w:rPr>
                <w:rFonts w:hint="eastAsia" w:hAnsi="Times New Roman" w:eastAsia="宋体"/>
                <w:kern w:val="2"/>
                <w:sz w:val="21"/>
                <w:szCs w:val="21"/>
                <w:lang w:eastAsia="zh-CN"/>
              </w:rPr>
            </w:pPr>
            <w:r>
              <w:rPr>
                <w:rFonts w:hint="eastAsia" w:hAnsi="Times New Roman" w:eastAsia="宋体"/>
                <w:kern w:val="2"/>
                <w:sz w:val="21"/>
                <w:szCs w:val="21"/>
                <w:lang w:eastAsia="zh-CN"/>
              </w:rPr>
              <w:t>采用雨污分流。</w:t>
            </w:r>
            <w:r>
              <w:rPr>
                <w:rFonts w:hint="eastAsia" w:hAnsi="Times New Roman" w:eastAsia="宋体"/>
                <w:kern w:val="2"/>
                <w:sz w:val="21"/>
                <w:szCs w:val="21"/>
              </w:rPr>
              <w:t>矿井井口周围设置排水沟；工业场地四周均设置截水沟，截水沟采用 1000mm×1000mm矩形断面，纵坡最小采用1%；工业场地内竖向坡度按流水坡度考虑，设有排水明水沟和钢筋砼盖板沟，场区内水</w:t>
            </w:r>
            <w:r>
              <w:rPr>
                <w:rFonts w:hint="eastAsia" w:hAnsi="Times New Roman" w:eastAsia="宋体"/>
                <w:kern w:val="2"/>
                <w:sz w:val="21"/>
                <w:szCs w:val="21"/>
                <w:lang w:eastAsia="zh-CN"/>
              </w:rPr>
              <w:t>污水</w:t>
            </w:r>
            <w:r>
              <w:rPr>
                <w:rFonts w:hint="eastAsia" w:hAnsi="Times New Roman" w:eastAsia="宋体"/>
                <w:kern w:val="2"/>
                <w:sz w:val="21"/>
                <w:szCs w:val="21"/>
              </w:rPr>
              <w:t>经水沟收集排入</w:t>
            </w:r>
            <w:r>
              <w:rPr>
                <w:rFonts w:hint="eastAsia" w:hAnsi="Times New Roman" w:eastAsia="宋体"/>
                <w:kern w:val="2"/>
                <w:sz w:val="21"/>
                <w:szCs w:val="21"/>
                <w:lang w:eastAsia="zh-CN"/>
              </w:rPr>
              <w:t>散水收集池，雨水经雨水收集沟收集排入场外。</w:t>
            </w:r>
          </w:p>
        </w:tc>
        <w:tc>
          <w:tcPr>
            <w:tcW w:w="4427" w:type="dxa"/>
            <w:vAlign w:val="center"/>
          </w:tcPr>
          <w:p>
            <w:pPr>
              <w:keepNext w:val="0"/>
              <w:keepLines w:val="0"/>
              <w:suppressLineNumbers w:val="0"/>
              <w:spacing w:before="0" w:beforeAutospacing="0" w:after="0" w:afterAutospacing="0"/>
              <w:ind w:left="0" w:right="0"/>
              <w:jc w:val="center"/>
              <w:rPr>
                <w:rFonts w:hint="eastAsia" w:hAnsi="Times New Roman" w:eastAsia="宋体"/>
                <w:w w:val="99"/>
                <w:kern w:val="2"/>
                <w:sz w:val="21"/>
                <w:szCs w:val="22"/>
                <w:lang w:eastAsia="zh-CN"/>
              </w:rPr>
            </w:pPr>
            <w:r>
              <w:rPr>
                <w:rFonts w:hint="eastAsia" w:hAnsi="Times New Roman" w:eastAsia="宋体"/>
                <w:kern w:val="2"/>
                <w:sz w:val="21"/>
                <w:szCs w:val="22"/>
                <w:lang w:eastAsia="zh-CN"/>
              </w:rPr>
              <w:t>改造利用：矿井地面采用雨污分流措施，设置矿井水事故应急水池，水池容积约5000m</w:t>
            </w:r>
            <w:r>
              <w:rPr>
                <w:rFonts w:hint="eastAsia" w:hAnsi="Times New Roman" w:eastAsia="宋体"/>
                <w:kern w:val="2"/>
                <w:sz w:val="21"/>
                <w:szCs w:val="22"/>
                <w:vertAlign w:val="superscript"/>
                <w:lang w:eastAsia="zh-CN"/>
              </w:rPr>
              <w:t>3</w:t>
            </w:r>
            <w:r>
              <w:rPr>
                <w:rFonts w:hint="eastAsia" w:hAnsi="Times New Roman" w:eastAsia="宋体"/>
                <w:kern w:val="2"/>
                <w:sz w:val="21"/>
                <w:szCs w:val="22"/>
                <w:lang w:eastAsia="zh-CN"/>
              </w:rPr>
              <w:t>，防止矿井水外排，</w:t>
            </w:r>
            <w:r>
              <w:rPr>
                <w:rFonts w:hint="eastAsia" w:hAnsi="Times New Roman" w:eastAsia="宋体"/>
                <w:kern w:val="2"/>
                <w:sz w:val="21"/>
                <w:szCs w:val="21"/>
                <w:lang w:eastAsia="zh-CN"/>
              </w:rPr>
              <w:t>雨水经雨水收集沟收集排入场外。</w:t>
            </w:r>
          </w:p>
        </w:tc>
        <w:tc>
          <w:tcPr>
            <w:tcW w:w="1585" w:type="dxa"/>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w w:val="99"/>
                <w:kern w:val="2"/>
                <w:sz w:val="21"/>
                <w:szCs w:val="22"/>
                <w:lang w:eastAsia="zh-CN"/>
              </w:rPr>
              <w:t>固废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73"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p>
        </w:tc>
        <w:tc>
          <w:tcPr>
            <w:tcW w:w="829" w:type="dxa"/>
            <w:gridSpan w:val="2"/>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599"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矿井排水系统</w:t>
            </w:r>
          </w:p>
        </w:tc>
        <w:tc>
          <w:tcPr>
            <w:tcW w:w="4637" w:type="dxa"/>
            <w:vAlign w:val="center"/>
          </w:tcPr>
          <w:p>
            <w:pPr>
              <w:keepNext w:val="0"/>
              <w:keepLines w:val="0"/>
              <w:suppressLineNumbers w:val="0"/>
              <w:spacing w:before="0" w:beforeAutospacing="0" w:after="0" w:afterAutospacing="0" w:line="24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采区内各平巷均布置有=3‰坡度的水沟，平硐以上采空区水大部分经平硐自流出井口，下山采区内涌水经巷道水沟流入+200m标高水仓，由排水泵抽排至+379m水平，由主平硐水沟自流出井外。</w:t>
            </w:r>
          </w:p>
        </w:tc>
        <w:tc>
          <w:tcPr>
            <w:tcW w:w="4427" w:type="dxa"/>
            <w:vAlign w:val="center"/>
          </w:tcPr>
          <w:p>
            <w:pPr>
              <w:keepNext w:val="0"/>
              <w:keepLines w:val="0"/>
              <w:suppressLineNumbers w:val="0"/>
              <w:spacing w:before="0" w:beforeAutospacing="0" w:after="0" w:afterAutospacing="0"/>
              <w:ind w:left="0" w:right="0"/>
              <w:jc w:val="center"/>
              <w:rPr>
                <w:rFonts w:hint="eastAsia" w:hAnsi="Times New Roman" w:eastAsia="宋体"/>
                <w:w w:val="99"/>
                <w:kern w:val="2"/>
                <w:sz w:val="21"/>
                <w:szCs w:val="22"/>
              </w:rPr>
            </w:pPr>
            <w:r>
              <w:rPr>
                <w:rFonts w:hint="eastAsia" w:hAnsi="Times New Roman" w:eastAsia="宋体"/>
                <w:kern w:val="2"/>
                <w:sz w:val="21"/>
                <w:szCs w:val="22"/>
                <w:lang w:eastAsia="zh-CN"/>
              </w:rPr>
              <w:t>利用</w:t>
            </w:r>
          </w:p>
        </w:tc>
        <w:tc>
          <w:tcPr>
            <w:tcW w:w="1585"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w w:val="99"/>
                <w:kern w:val="2"/>
                <w:sz w:val="21"/>
                <w:szCs w:val="2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73"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p>
        </w:tc>
        <w:tc>
          <w:tcPr>
            <w:tcW w:w="829" w:type="dxa"/>
            <w:gridSpan w:val="2"/>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599"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矿井涌水</w:t>
            </w:r>
          </w:p>
        </w:tc>
        <w:tc>
          <w:tcPr>
            <w:tcW w:w="46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bCs/>
                <w:kern w:val="2"/>
                <w:sz w:val="21"/>
                <w:szCs w:val="21"/>
                <w:lang w:eastAsia="zh-CN"/>
              </w:rPr>
              <w:t>矿井涌水进入+200m主、副水仓（总容积约2000m</w:t>
            </w:r>
            <w:r>
              <w:rPr>
                <w:rFonts w:hint="eastAsia" w:hAnsi="Times New Roman" w:eastAsia="宋体"/>
                <w:bCs/>
                <w:kern w:val="2"/>
                <w:sz w:val="21"/>
                <w:szCs w:val="21"/>
                <w:vertAlign w:val="superscript"/>
                <w:lang w:eastAsia="zh-CN"/>
              </w:rPr>
              <w:t>3</w:t>
            </w:r>
            <w:r>
              <w:rPr>
                <w:rFonts w:hint="eastAsia" w:hAnsi="Times New Roman" w:eastAsia="宋体"/>
                <w:bCs/>
                <w:kern w:val="2"/>
                <w:sz w:val="21"/>
                <w:szCs w:val="21"/>
                <w:lang w:eastAsia="zh-CN"/>
              </w:rPr>
              <w:t>）沉淀处理后，进入矿井水处理站，处理能力750m</w:t>
            </w:r>
            <w:r>
              <w:rPr>
                <w:rFonts w:hint="eastAsia" w:hAnsi="Times New Roman" w:eastAsia="宋体"/>
                <w:bCs/>
                <w:kern w:val="2"/>
                <w:sz w:val="21"/>
                <w:szCs w:val="21"/>
                <w:vertAlign w:val="superscript"/>
                <w:lang w:eastAsia="zh-CN"/>
              </w:rPr>
              <w:t>3</w:t>
            </w:r>
            <w:r>
              <w:rPr>
                <w:rFonts w:hint="eastAsia" w:hAnsi="Times New Roman" w:eastAsia="宋体"/>
                <w:bCs/>
                <w:kern w:val="2"/>
                <w:sz w:val="21"/>
                <w:szCs w:val="21"/>
                <w:lang w:eastAsia="zh-CN"/>
              </w:rPr>
              <w:t>/d，处理工艺：“调节+混凝沉淀+石英砂过滤+煤泥干化”处理达标后，</w:t>
            </w:r>
            <w:r>
              <w:rPr>
                <w:rFonts w:hint="eastAsia" w:hAnsi="Times New Roman" w:eastAsia="宋体"/>
                <w:kern w:val="2"/>
                <w:sz w:val="21"/>
                <w:szCs w:val="21"/>
                <w:lang w:eastAsia="zh-CN"/>
              </w:rPr>
              <w:t>部分抽至高位水池暂存回用于井下防尘等生产，剩余部分外排入新宁河。</w:t>
            </w:r>
          </w:p>
        </w:tc>
        <w:tc>
          <w:tcPr>
            <w:tcW w:w="4427" w:type="dxa"/>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lang w:eastAsia="zh-CN"/>
              </w:rPr>
            </w:pPr>
            <w:r>
              <w:rPr>
                <w:rFonts w:hint="eastAsia" w:hAnsi="Times New Roman" w:eastAsia="宋体"/>
                <w:kern w:val="2"/>
                <w:sz w:val="21"/>
                <w:szCs w:val="21"/>
                <w:lang w:eastAsia="zh-CN"/>
              </w:rPr>
              <w:t>改造利用：拟采用2套型号为YWS-200，单台处理量为200m</w:t>
            </w:r>
            <w:r>
              <w:rPr>
                <w:rFonts w:hint="eastAsia" w:hAnsi="Times New Roman" w:eastAsia="宋体"/>
                <w:kern w:val="2"/>
                <w:sz w:val="21"/>
                <w:szCs w:val="21"/>
                <w:vertAlign w:val="superscript"/>
                <w:lang w:eastAsia="zh-CN"/>
              </w:rPr>
              <w:t>3</w:t>
            </w:r>
            <w:r>
              <w:rPr>
                <w:rFonts w:hint="eastAsia" w:hAnsi="Times New Roman" w:eastAsia="宋体"/>
                <w:kern w:val="2"/>
                <w:sz w:val="21"/>
                <w:szCs w:val="21"/>
                <w:lang w:eastAsia="zh-CN"/>
              </w:rPr>
              <w:t>/h的含煤废水处理装置对矿井涌水进行处理。矿井水处理工艺为“隔油+预沉调节+混凝沉淀+斜管沉淀+石英砂过滤+消毒”。处理后的矿井涌水部分抽至高位水池作为井下降尘及地面生产用水等使用，其余部分通过1.5km排水管道引至天生镇王一庙水源保护区下游河段（新宁河）排放。</w:t>
            </w:r>
          </w:p>
        </w:tc>
        <w:tc>
          <w:tcPr>
            <w:tcW w:w="1585"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w w:val="99"/>
                <w:kern w:val="2"/>
                <w:sz w:val="21"/>
                <w:szCs w:val="2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73"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829" w:type="dxa"/>
            <w:gridSpan w:val="2"/>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599"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生活污水</w:t>
            </w:r>
          </w:p>
        </w:tc>
        <w:tc>
          <w:tcPr>
            <w:tcW w:w="46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食堂废水采用油水分离器处理后与洗浴废水一同进入一体化污水处理设备（混凝+A</w:t>
            </w:r>
            <w:r>
              <w:rPr>
                <w:rFonts w:hint="eastAsia" w:hAnsi="Times New Roman" w:eastAsia="宋体"/>
                <w:kern w:val="2"/>
                <w:sz w:val="21"/>
                <w:szCs w:val="21"/>
                <w:vertAlign w:val="superscript"/>
                <w:lang w:eastAsia="zh-CN"/>
              </w:rPr>
              <w:t>2</w:t>
            </w:r>
            <w:r>
              <w:rPr>
                <w:rFonts w:hint="eastAsia" w:hAnsi="Times New Roman" w:eastAsia="宋体"/>
                <w:kern w:val="2"/>
                <w:sz w:val="21"/>
                <w:szCs w:val="21"/>
                <w:lang w:eastAsia="zh-CN"/>
              </w:rPr>
              <w:t>O+消毒处理工艺，处理能力为70m</w:t>
            </w:r>
            <w:r>
              <w:rPr>
                <w:rFonts w:hint="eastAsia" w:hAnsi="Times New Roman" w:eastAsia="宋体"/>
                <w:kern w:val="2"/>
                <w:sz w:val="21"/>
                <w:szCs w:val="21"/>
                <w:vertAlign w:val="superscript"/>
                <w:lang w:eastAsia="zh-CN"/>
              </w:rPr>
              <w:t>3</w:t>
            </w:r>
            <w:r>
              <w:rPr>
                <w:rFonts w:hint="eastAsia" w:hAnsi="Times New Roman" w:eastAsia="宋体"/>
                <w:kern w:val="2"/>
                <w:sz w:val="21"/>
                <w:szCs w:val="21"/>
                <w:lang w:eastAsia="zh-CN"/>
              </w:rPr>
              <w:t>/d）处理后回用于地面防尘用水、井下消防用水、绿化用水等，生活污水进入化粪池（容积约422.4m</w:t>
            </w:r>
            <w:r>
              <w:rPr>
                <w:rFonts w:hint="eastAsia" w:hAnsi="Times New Roman" w:eastAsia="宋体"/>
                <w:kern w:val="2"/>
                <w:sz w:val="21"/>
                <w:szCs w:val="21"/>
                <w:vertAlign w:val="superscript"/>
                <w:lang w:eastAsia="zh-CN"/>
              </w:rPr>
              <w:t>3</w:t>
            </w:r>
            <w:r>
              <w:rPr>
                <w:rFonts w:hint="eastAsia" w:hAnsi="Times New Roman" w:eastAsia="宋体"/>
                <w:kern w:val="2"/>
                <w:sz w:val="21"/>
                <w:szCs w:val="21"/>
                <w:lang w:eastAsia="zh-CN"/>
              </w:rPr>
              <w:t>）处理后，由达州市鑫通管道疏通有限公司定期清运处置。</w:t>
            </w:r>
          </w:p>
        </w:tc>
        <w:tc>
          <w:tcPr>
            <w:tcW w:w="4427" w:type="dxa"/>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lang w:eastAsia="zh-CN"/>
              </w:rPr>
              <w:t>改造利用：增加一体化生活污水处理站处理能力至10m</w:t>
            </w:r>
            <w:r>
              <w:rPr>
                <w:rFonts w:hint="eastAsia" w:hAnsi="Times New Roman" w:eastAsia="宋体"/>
                <w:kern w:val="2"/>
                <w:sz w:val="21"/>
                <w:szCs w:val="21"/>
                <w:vertAlign w:val="superscript"/>
                <w:lang w:eastAsia="zh-CN"/>
              </w:rPr>
              <w:t>3</w:t>
            </w:r>
            <w:r>
              <w:rPr>
                <w:rFonts w:hint="eastAsia" w:hAnsi="Times New Roman" w:eastAsia="宋体"/>
                <w:kern w:val="2"/>
                <w:sz w:val="21"/>
                <w:szCs w:val="21"/>
                <w:lang w:eastAsia="zh-CN"/>
              </w:rPr>
              <w:t>/h，处理后回用于地面防尘用水、绿化用水等，生活污水进入化粪池（容积约422.4m</w:t>
            </w:r>
            <w:r>
              <w:rPr>
                <w:rFonts w:hint="eastAsia" w:hAnsi="Times New Roman" w:eastAsia="宋体"/>
                <w:kern w:val="2"/>
                <w:sz w:val="21"/>
                <w:szCs w:val="21"/>
                <w:vertAlign w:val="superscript"/>
                <w:lang w:eastAsia="zh-CN"/>
              </w:rPr>
              <w:t>3</w:t>
            </w:r>
            <w:r>
              <w:rPr>
                <w:rFonts w:hint="eastAsia" w:hAnsi="Times New Roman" w:eastAsia="宋体"/>
                <w:kern w:val="2"/>
                <w:sz w:val="21"/>
                <w:szCs w:val="21"/>
                <w:lang w:eastAsia="zh-CN"/>
              </w:rPr>
              <w:t>）处理后，由达州市鑫通管道疏通有限公司定期清运处置。</w:t>
            </w:r>
          </w:p>
        </w:tc>
        <w:tc>
          <w:tcPr>
            <w:tcW w:w="1585"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73"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829" w:type="dxa"/>
            <w:gridSpan w:val="2"/>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599"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车辆冲洗水</w:t>
            </w:r>
          </w:p>
        </w:tc>
        <w:tc>
          <w:tcPr>
            <w:tcW w:w="46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项目车辆清洗后的废水进入沉淀池，出水由泵送至矿井涌水沉淀池和矿井涌水一同处理，处理后循环使用，不外排。</w:t>
            </w:r>
          </w:p>
        </w:tc>
        <w:tc>
          <w:tcPr>
            <w:tcW w:w="442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spacing w:val="-1"/>
                <w:kern w:val="2"/>
                <w:sz w:val="21"/>
                <w:szCs w:val="22"/>
              </w:rPr>
              <w:t>设</w:t>
            </w:r>
            <w:r>
              <w:rPr>
                <w:rFonts w:hint="eastAsia" w:hAnsi="Times New Roman" w:eastAsia="宋体"/>
                <w:kern w:val="2"/>
                <w:sz w:val="21"/>
                <w:szCs w:val="22"/>
              </w:rPr>
              <w:t>计</w:t>
            </w:r>
            <w:r>
              <w:rPr>
                <w:rFonts w:hint="eastAsia" w:hAnsi="Times New Roman" w:eastAsia="宋体"/>
                <w:spacing w:val="-64"/>
                <w:kern w:val="2"/>
                <w:sz w:val="21"/>
                <w:szCs w:val="22"/>
              </w:rPr>
              <w:t xml:space="preserve"> </w:t>
            </w:r>
            <w:r>
              <w:rPr>
                <w:rFonts w:hint="eastAsia" w:hAnsi="Times New Roman" w:eastAsia="宋体"/>
                <w:kern w:val="2"/>
                <w:sz w:val="21"/>
                <w:szCs w:val="22"/>
              </w:rPr>
              <w:t>1个</w:t>
            </w:r>
            <w:r>
              <w:rPr>
                <w:rFonts w:hint="eastAsia" w:hAnsi="Times New Roman" w:eastAsia="宋体"/>
                <w:kern w:val="2"/>
                <w:sz w:val="21"/>
                <w:szCs w:val="21"/>
                <w:lang w:eastAsia="zh-CN"/>
              </w:rPr>
              <w:t>5</w:t>
            </w:r>
            <w:r>
              <w:rPr>
                <w:rFonts w:hint="eastAsia" w:hAnsi="Times New Roman" w:eastAsia="宋体"/>
                <w:kern w:val="2"/>
                <w:sz w:val="21"/>
                <w:szCs w:val="22"/>
              </w:rPr>
              <w:t>m</w:t>
            </w:r>
            <w:r>
              <w:rPr>
                <w:rFonts w:hint="eastAsia" w:hAnsi="Times New Roman" w:eastAsia="宋体"/>
                <w:kern w:val="2"/>
                <w:position w:val="7"/>
                <w:sz w:val="13"/>
                <w:szCs w:val="22"/>
              </w:rPr>
              <w:t>3</w:t>
            </w:r>
            <w:r>
              <w:rPr>
                <w:rFonts w:hint="eastAsia" w:hAnsi="Times New Roman" w:eastAsia="宋体"/>
                <w:spacing w:val="-8"/>
                <w:kern w:val="2"/>
                <w:position w:val="7"/>
                <w:sz w:val="13"/>
                <w:szCs w:val="22"/>
              </w:rPr>
              <w:t xml:space="preserve"> </w:t>
            </w:r>
            <w:r>
              <w:rPr>
                <w:rFonts w:hint="eastAsia" w:hAnsi="Times New Roman" w:eastAsia="宋体"/>
                <w:spacing w:val="-1"/>
                <w:kern w:val="2"/>
                <w:sz w:val="21"/>
                <w:szCs w:val="22"/>
              </w:rPr>
              <w:t>的</w:t>
            </w:r>
            <w:r>
              <w:rPr>
                <w:rFonts w:hint="eastAsia" w:hAnsi="Times New Roman" w:eastAsia="宋体"/>
                <w:kern w:val="2"/>
                <w:sz w:val="21"/>
                <w:szCs w:val="21"/>
                <w:lang w:eastAsia="zh-CN"/>
              </w:rPr>
              <w:t>隔油沉淀池对车辆冲洗废水进行处理，处理</w:t>
            </w:r>
            <w:r>
              <w:rPr>
                <w:rFonts w:hint="eastAsia" w:hAnsi="Times New Roman" w:eastAsia="宋体"/>
                <w:kern w:val="2"/>
                <w:sz w:val="21"/>
                <w:szCs w:val="22"/>
              </w:rPr>
              <w:t>后回用于</w:t>
            </w:r>
            <w:r>
              <w:rPr>
                <w:rFonts w:hint="eastAsia" w:hAnsi="Times New Roman" w:eastAsia="宋体"/>
                <w:kern w:val="2"/>
                <w:sz w:val="21"/>
                <w:szCs w:val="22"/>
                <w:lang w:eastAsia="zh-CN"/>
              </w:rPr>
              <w:t>车辆冲洗</w:t>
            </w:r>
          </w:p>
        </w:tc>
        <w:tc>
          <w:tcPr>
            <w:tcW w:w="1585"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73"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829" w:type="dxa"/>
            <w:gridSpan w:val="2"/>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599"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机修车间洗</w:t>
            </w:r>
          </w:p>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手废水</w:t>
            </w:r>
          </w:p>
        </w:tc>
        <w:tc>
          <w:tcPr>
            <w:tcW w:w="463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经收集后直接进入一体化污水处理设备处理。</w:t>
            </w:r>
          </w:p>
        </w:tc>
        <w:tc>
          <w:tcPr>
            <w:tcW w:w="4427" w:type="dxa"/>
            <w:vAlign w:val="center"/>
          </w:tcPr>
          <w:p>
            <w:pPr>
              <w:pStyle w:val="44"/>
              <w:keepNext w:val="0"/>
              <w:keepLines w:val="0"/>
              <w:suppressLineNumbers w:val="0"/>
              <w:kinsoku w:val="0"/>
              <w:overflowPunct w:val="0"/>
              <w:spacing w:before="0" w:beforeAutospacing="0" w:after="0" w:afterAutospacing="0" w:line="277" w:lineRule="exact"/>
              <w:ind w:left="0" w:right="1"/>
              <w:jc w:val="center"/>
              <w:rPr>
                <w:rFonts w:hint="eastAsia" w:hAnsi="Times New Roman" w:eastAsia="宋体"/>
                <w:kern w:val="2"/>
                <w:sz w:val="21"/>
                <w:szCs w:val="21"/>
              </w:rPr>
            </w:pPr>
            <w:r>
              <w:rPr>
                <w:rFonts w:hint="eastAsia" w:hAnsi="Times New Roman" w:eastAsia="宋体"/>
                <w:kern w:val="2"/>
                <w:sz w:val="21"/>
                <w:szCs w:val="21"/>
              </w:rPr>
              <w:t>设置油水分离器</w:t>
            </w:r>
            <w:r>
              <w:rPr>
                <w:rFonts w:hint="eastAsia" w:hAnsi="Times New Roman" w:eastAsia="宋体"/>
                <w:kern w:val="2"/>
                <w:sz w:val="21"/>
                <w:szCs w:val="21"/>
                <w:lang w:eastAsia="zh-CN"/>
              </w:rPr>
              <w:t>处理机修车间洗手废水，经隔油沉淀后回用于地面生产防尘等</w:t>
            </w:r>
          </w:p>
        </w:tc>
        <w:tc>
          <w:tcPr>
            <w:tcW w:w="1585"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73"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2428" w:type="dxa"/>
            <w:gridSpan w:val="3"/>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废气</w:t>
            </w:r>
          </w:p>
        </w:tc>
        <w:tc>
          <w:tcPr>
            <w:tcW w:w="46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原煤、矸石装卸粉尘、堆场扬尘：原煤堆场部分设置有彩钢棚，矸石堆场设置有两台雾炮机除尘，储煤场安装喷淋洒水抑尘装置，抑制扬尘产生。</w:t>
            </w:r>
          </w:p>
        </w:tc>
        <w:tc>
          <w:tcPr>
            <w:tcW w:w="4427" w:type="dxa"/>
            <w:vAlign w:val="center"/>
          </w:tcPr>
          <w:p>
            <w:pPr>
              <w:keepNext w:val="0"/>
              <w:keepLines w:val="0"/>
              <w:suppressLineNumbers w:val="0"/>
              <w:spacing w:before="0" w:beforeAutospacing="0" w:after="0" w:afterAutospacing="0"/>
              <w:ind w:left="0" w:right="0"/>
              <w:rPr>
                <w:rFonts w:hint="eastAsia" w:hAnsi="Times New Roman" w:eastAsia="宋体"/>
                <w:w w:val="99"/>
                <w:kern w:val="2"/>
                <w:sz w:val="21"/>
                <w:szCs w:val="22"/>
              </w:rPr>
            </w:pPr>
            <w:r>
              <w:rPr>
                <w:rFonts w:hint="eastAsia" w:hAnsi="Times New Roman" w:eastAsia="宋体"/>
                <w:kern w:val="2"/>
                <w:sz w:val="21"/>
                <w:szCs w:val="21"/>
                <w:lang w:eastAsia="zh-CN"/>
              </w:rPr>
              <w:t>改造利用：原煤堆场进行封闭处理，留车辆进出口，同时堆场的屋顶四周新增喷雾装置；</w:t>
            </w:r>
            <w:r>
              <w:rPr>
                <w:rFonts w:hint="eastAsia" w:hAnsi="Times New Roman" w:eastAsia="宋体"/>
                <w:spacing w:val="-1"/>
                <w:kern w:val="2"/>
                <w:sz w:val="21"/>
                <w:szCs w:val="22"/>
                <w:lang w:eastAsia="zh-CN"/>
              </w:rPr>
              <w:t>矸石临时堆场建为顶部遮盖、三面围挡封闭的半封闭式的钢架结构彩钢棚，并在矸石临时堆场的敞开位置，加设防尘网和防尘水雾喷洒系统，在煤矸石的转载点设置喷雾降尘装置，防止粉尘污染</w:t>
            </w:r>
            <w:r>
              <w:rPr>
                <w:rFonts w:hint="eastAsia" w:hAnsi="Times New Roman" w:eastAsia="宋体"/>
                <w:kern w:val="2"/>
                <w:sz w:val="21"/>
                <w:szCs w:val="21"/>
                <w:lang w:eastAsia="zh-CN"/>
              </w:rPr>
              <w:t>。</w:t>
            </w:r>
          </w:p>
        </w:tc>
        <w:tc>
          <w:tcPr>
            <w:tcW w:w="1585" w:type="dxa"/>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w w:val="99"/>
                <w:kern w:val="2"/>
                <w:sz w:val="21"/>
                <w:szCs w:val="22"/>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73"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2428" w:type="dxa"/>
            <w:gridSpan w:val="3"/>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4637" w:type="dxa"/>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lang w:eastAsia="zh-CN"/>
              </w:rPr>
            </w:pPr>
            <w:r>
              <w:rPr>
                <w:rFonts w:hint="eastAsia" w:hAnsi="Times New Roman" w:eastAsia="宋体"/>
                <w:kern w:val="2"/>
                <w:sz w:val="21"/>
                <w:szCs w:val="21"/>
                <w:lang w:eastAsia="zh-CN"/>
              </w:rPr>
              <w:t>道路扬尘：硬化运输道路，定期清扫运输道路上的粉尘，定期洒水降尘，降低车速等措施，来降低运输</w:t>
            </w:r>
            <w:r>
              <w:rPr>
                <w:rFonts w:hint="eastAsia" w:hAnsi="Times New Roman" w:eastAsia="宋体"/>
                <w:kern w:val="2"/>
                <w:sz w:val="21"/>
                <w:szCs w:val="21"/>
                <w:lang w:val="en-US" w:eastAsia="zh-CN"/>
              </w:rPr>
              <w:t>扬尘</w:t>
            </w:r>
            <w:r>
              <w:rPr>
                <w:rFonts w:hint="eastAsia" w:hAnsi="Times New Roman" w:eastAsia="宋体"/>
                <w:kern w:val="2"/>
                <w:sz w:val="21"/>
                <w:szCs w:val="21"/>
                <w:lang w:eastAsia="zh-CN"/>
              </w:rPr>
              <w:t>。</w:t>
            </w:r>
          </w:p>
        </w:tc>
        <w:tc>
          <w:tcPr>
            <w:tcW w:w="442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2"/>
              </w:rPr>
            </w:pPr>
            <w:r>
              <w:rPr>
                <w:rFonts w:hint="eastAsia" w:hAnsi="Times New Roman" w:eastAsia="宋体"/>
                <w:kern w:val="2"/>
                <w:sz w:val="21"/>
                <w:szCs w:val="22"/>
                <w:lang w:eastAsia="zh-CN"/>
              </w:rPr>
              <w:t>利用</w:t>
            </w:r>
          </w:p>
        </w:tc>
        <w:tc>
          <w:tcPr>
            <w:tcW w:w="1585"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73"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2428" w:type="dxa"/>
            <w:gridSpan w:val="3"/>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46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食堂油烟：厨房内的灶台设置有油烟净化设施，由烟道引出于楼顶排放。</w:t>
            </w:r>
          </w:p>
        </w:tc>
        <w:tc>
          <w:tcPr>
            <w:tcW w:w="442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2"/>
              </w:rPr>
            </w:pPr>
            <w:r>
              <w:rPr>
                <w:rFonts w:hint="eastAsia" w:hAnsi="Times New Roman" w:eastAsia="宋体"/>
                <w:kern w:val="2"/>
                <w:sz w:val="21"/>
                <w:szCs w:val="22"/>
                <w:lang w:eastAsia="zh-CN"/>
              </w:rPr>
              <w:t>利用</w:t>
            </w:r>
          </w:p>
        </w:tc>
        <w:tc>
          <w:tcPr>
            <w:tcW w:w="1585"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73"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2428" w:type="dxa"/>
            <w:gridSpan w:val="3"/>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噪声</w:t>
            </w:r>
          </w:p>
        </w:tc>
        <w:tc>
          <w:tcPr>
            <w:tcW w:w="46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rPr>
              <w:t>合理布局、基础减振，隔声、减振</w:t>
            </w:r>
          </w:p>
        </w:tc>
        <w:tc>
          <w:tcPr>
            <w:tcW w:w="442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2"/>
                <w:lang w:eastAsia="zh-CN"/>
              </w:rPr>
            </w:pPr>
            <w:r>
              <w:rPr>
                <w:rFonts w:hint="eastAsia" w:hAnsi="Times New Roman" w:eastAsia="宋体"/>
                <w:kern w:val="2"/>
                <w:sz w:val="21"/>
                <w:szCs w:val="22"/>
                <w:lang w:eastAsia="zh-CN"/>
              </w:rPr>
              <w:t>利用</w:t>
            </w:r>
          </w:p>
        </w:tc>
        <w:tc>
          <w:tcPr>
            <w:tcW w:w="158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2"/>
              </w:rPr>
              <w:t>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73"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2428" w:type="dxa"/>
            <w:gridSpan w:val="3"/>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固废</w:t>
            </w:r>
          </w:p>
        </w:tc>
        <w:tc>
          <w:tcPr>
            <w:tcW w:w="4637"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spacing w:val="-2"/>
                <w:kern w:val="2"/>
                <w:sz w:val="21"/>
                <w:szCs w:val="22"/>
              </w:rPr>
              <w:t>白矸石在井下直接用于回填采空区，煤矸石</w:t>
            </w:r>
            <w:r>
              <w:rPr>
                <w:rFonts w:hint="eastAsia" w:hAnsi="Times New Roman" w:eastAsia="宋体"/>
                <w:kern w:val="2"/>
                <w:sz w:val="21"/>
                <w:szCs w:val="21"/>
                <w:lang w:eastAsia="zh-CN"/>
              </w:rPr>
              <w:t>：运至宣汉县平桥砖厂用于制砖使用；</w:t>
            </w:r>
          </w:p>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生活垃圾：集中收集后定期运至指定垃圾收集点，由环卫部门清运处理</w:t>
            </w:r>
          </w:p>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废弃矿灯、废弃蓄电池：全部由厂家回收处理；</w:t>
            </w:r>
          </w:p>
          <w:p>
            <w:pPr>
              <w:keepNext w:val="0"/>
              <w:keepLines w:val="0"/>
              <w:suppressLineNumbers w:val="0"/>
              <w:spacing w:before="0" w:beforeAutospacing="0" w:after="0" w:afterAutospacing="0"/>
              <w:ind w:left="0" w:right="0"/>
              <w:rPr>
                <w:rFonts w:hint="eastAsia" w:hAnsi="Times New Roman" w:eastAsia="宋体"/>
                <w:kern w:val="2"/>
                <w:sz w:val="21"/>
                <w:szCs w:val="21"/>
                <w:lang w:eastAsia="zh-CN"/>
              </w:rPr>
            </w:pPr>
            <w:r>
              <w:rPr>
                <w:rFonts w:hint="eastAsia" w:hAnsi="Times New Roman" w:eastAsia="宋体"/>
                <w:kern w:val="2"/>
                <w:sz w:val="21"/>
                <w:szCs w:val="21"/>
                <w:lang w:eastAsia="zh-CN"/>
              </w:rPr>
              <w:t>废机油：暂存至危废暂存间内，按危废管理，用于场地内轨道、钢丝润滑。</w:t>
            </w:r>
          </w:p>
        </w:tc>
        <w:tc>
          <w:tcPr>
            <w:tcW w:w="442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2"/>
                <w:lang w:eastAsia="zh-CN"/>
              </w:rPr>
            </w:pPr>
            <w:r>
              <w:rPr>
                <w:rFonts w:hint="eastAsia" w:hAnsi="Times New Roman" w:eastAsia="宋体"/>
                <w:kern w:val="2"/>
                <w:sz w:val="21"/>
                <w:szCs w:val="22"/>
                <w:lang w:eastAsia="zh-CN"/>
              </w:rPr>
              <w:t>利用</w:t>
            </w:r>
          </w:p>
        </w:tc>
        <w:tc>
          <w:tcPr>
            <w:tcW w:w="158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873"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2428" w:type="dxa"/>
            <w:gridSpan w:val="3"/>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生态影响</w:t>
            </w:r>
          </w:p>
        </w:tc>
        <w:tc>
          <w:tcPr>
            <w:tcW w:w="4637" w:type="dxa"/>
            <w:vAlign w:val="center"/>
          </w:tcPr>
          <w:p>
            <w:pPr>
              <w:keepNext w:val="0"/>
              <w:keepLines w:val="0"/>
              <w:suppressLineNumbers w:val="0"/>
              <w:spacing w:before="0" w:beforeAutospacing="0" w:after="0" w:afterAutospacing="0" w:line="24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煤矸石堆置场生态恢复：堆置场内堆存的煤矸石及时转运至砖厂综合利用，草木结合，对煤矸石堆置场场地周边种植当地适宜生长的马尾松幼苗和草木，进行场地生态恢复</w:t>
            </w:r>
          </w:p>
          <w:p>
            <w:pPr>
              <w:keepNext w:val="0"/>
              <w:keepLines w:val="0"/>
              <w:suppressLineNumbers w:val="0"/>
              <w:spacing w:before="0" w:beforeAutospacing="0" w:after="0" w:afterAutospacing="0"/>
              <w:ind w:left="0" w:right="0"/>
              <w:rPr>
                <w:rFonts w:hint="eastAsia" w:hAnsi="Times New Roman" w:eastAsia="宋体"/>
                <w:kern w:val="2"/>
                <w:sz w:val="21"/>
                <w:szCs w:val="21"/>
                <w:lang w:eastAsia="zh-CN"/>
              </w:rPr>
            </w:pPr>
            <w:r>
              <w:rPr>
                <w:rFonts w:hint="eastAsia" w:hAnsi="Times New Roman" w:eastAsia="宋体"/>
                <w:kern w:val="2"/>
                <w:sz w:val="21"/>
                <w:szCs w:val="21"/>
                <w:lang w:eastAsia="zh-CN"/>
              </w:rPr>
              <w:t>工业场地生态整治：+379m主平硐工业场地周边植树绿化</w:t>
            </w:r>
          </w:p>
        </w:tc>
        <w:tc>
          <w:tcPr>
            <w:tcW w:w="442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植被恢复</w:t>
            </w:r>
          </w:p>
        </w:tc>
        <w:tc>
          <w:tcPr>
            <w:tcW w:w="158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bl>
    <w:p>
      <w:pPr>
        <w:spacing w:line="360" w:lineRule="auto"/>
        <w:ind w:firstLine="480" w:firstLineChars="200"/>
        <w:rPr>
          <w:rFonts w:hAnsi="Times New Roman" w:eastAsia="宋体"/>
          <w:lang w:eastAsia="zh-CN"/>
        </w:rPr>
        <w:sectPr>
          <w:headerReference r:id="rId7" w:type="default"/>
          <w:pgSz w:w="16838" w:h="11906" w:orient="landscape"/>
          <w:pgMar w:top="1474" w:right="1440" w:bottom="1304" w:left="1440" w:header="851" w:footer="992" w:gutter="0"/>
          <w:cols w:space="425" w:num="1"/>
          <w:docGrid w:type="lines" w:linePitch="312" w:charSpace="0"/>
        </w:sectPr>
      </w:pPr>
    </w:p>
    <w:p>
      <w:pPr>
        <w:pStyle w:val="6"/>
        <w:rPr>
          <w:lang w:eastAsia="zh-CN"/>
        </w:rPr>
      </w:pPr>
      <w:bookmarkStart w:id="77" w:name="_Toc163812508"/>
      <w:bookmarkStart w:id="78" w:name="_Toc167095131"/>
      <w:r>
        <w:rPr>
          <w:lang w:eastAsia="zh-CN"/>
        </w:rPr>
        <w:t>2.2.3 地理位置及交通</w:t>
      </w:r>
      <w:bookmarkEnd w:id="77"/>
      <w:bookmarkEnd w:id="78"/>
    </w:p>
    <w:p>
      <w:pPr>
        <w:spacing w:line="360" w:lineRule="auto"/>
        <w:ind w:firstLine="480" w:firstLineChars="200"/>
        <w:rPr>
          <w:rFonts w:hAnsi="Times New Roman" w:eastAsia="宋体"/>
          <w:lang w:eastAsia="zh-CN"/>
        </w:rPr>
      </w:pPr>
      <w:r>
        <w:rPr>
          <w:rFonts w:hAnsi="Times New Roman" w:eastAsia="宋体"/>
          <w:lang w:eastAsia="zh-CN"/>
        </w:rPr>
        <w:t>达州市宣汉县七里峡煤业有限公司七里峡煤矿，位于宣汉县县城177°方向、直线距离约16km，行政区划隶属宣汉县</w:t>
      </w:r>
      <w:r>
        <w:rPr>
          <w:rFonts w:hAnsi="Times New Roman" w:eastAsia="宋体"/>
          <w:szCs w:val="22"/>
          <w:lang w:eastAsia="zh-CN"/>
        </w:rPr>
        <w:t>天生镇洞宫社区</w:t>
      </w:r>
      <w:r>
        <w:rPr>
          <w:rFonts w:hAnsi="Times New Roman" w:eastAsia="宋体"/>
          <w:lang w:eastAsia="zh-CN"/>
        </w:rPr>
        <w:t>。矿区跨达州市宣汉县、开江县，工业广场位于宣汉县</w:t>
      </w:r>
      <w:r>
        <w:rPr>
          <w:rFonts w:hAnsi="Times New Roman" w:eastAsia="宋体"/>
          <w:szCs w:val="22"/>
          <w:lang w:eastAsia="zh-CN"/>
        </w:rPr>
        <w:t>天生镇</w:t>
      </w:r>
      <w:r>
        <w:rPr>
          <w:rFonts w:hAnsi="Times New Roman" w:eastAsia="宋体"/>
          <w:lang w:eastAsia="zh-CN"/>
        </w:rPr>
        <w:t>。含峨层山矿区长田井田和开丰井田各一部分。矿区中心地理坐标（2000国家大地坐标系，1985国家高程基准）：东经107°44′17″，北纬31°11′26″。矿区主井口坐标：X=3452875.670m，X=36474596.960m，H=379.00m。</w:t>
      </w:r>
    </w:p>
    <w:p>
      <w:pPr>
        <w:spacing w:line="360" w:lineRule="auto"/>
        <w:ind w:firstLine="480" w:firstLineChars="200"/>
        <w:rPr>
          <w:rFonts w:hAnsi="Times New Roman" w:eastAsia="宋体"/>
          <w:lang w:eastAsia="zh-CN"/>
        </w:rPr>
      </w:pPr>
      <w:r>
        <w:rPr>
          <w:rFonts w:hAnsi="Times New Roman" w:eastAsia="宋体"/>
          <w:lang w:eastAsia="zh-CN"/>
        </w:rPr>
        <w:t>矿区有约0.5km公路与开江至宣汉公路相接，约2.5km公路与</w:t>
      </w:r>
      <w:r>
        <w:rPr>
          <w:rFonts w:hint="eastAsia" w:hAnsi="Times New Roman" w:eastAsia="宋体"/>
          <w:lang w:eastAsia="zh-CN"/>
        </w:rPr>
        <w:t>天生镇</w:t>
      </w:r>
      <w:r>
        <w:rPr>
          <w:rFonts w:hAnsi="Times New Roman" w:eastAsia="宋体"/>
          <w:lang w:eastAsia="zh-CN"/>
        </w:rPr>
        <w:t>场镇相接，约8km公路与达（达州）万（万州）高速公路相接，距宣汉县城运距约29km，至开江县火电厂运距15km，距达州火车站74km，交通较为方便。项目区域交通位置见附图。</w:t>
      </w:r>
    </w:p>
    <w:p>
      <w:pPr>
        <w:pStyle w:val="6"/>
        <w:rPr>
          <w:lang w:eastAsia="zh-CN"/>
        </w:rPr>
      </w:pPr>
      <w:bookmarkStart w:id="79" w:name="_Toc167095132"/>
      <w:bookmarkStart w:id="80" w:name="_Toc163812509"/>
      <w:r>
        <w:rPr>
          <w:lang w:eastAsia="zh-CN"/>
        </w:rPr>
        <w:t>2.2.4 产品方案及流向</w:t>
      </w:r>
      <w:bookmarkEnd w:id="79"/>
      <w:bookmarkEnd w:id="80"/>
    </w:p>
    <w:p>
      <w:pPr>
        <w:spacing w:line="360" w:lineRule="auto"/>
        <w:ind w:firstLine="480" w:firstLineChars="200"/>
        <w:rPr>
          <w:rFonts w:hAnsi="Times New Roman" w:eastAsia="宋体"/>
          <w:lang w:eastAsia="zh-CN"/>
        </w:rPr>
      </w:pPr>
      <w:r>
        <w:rPr>
          <w:rFonts w:hAnsi="Times New Roman" w:eastAsia="宋体"/>
          <w:lang w:eastAsia="zh-CN"/>
        </w:rPr>
        <w:t>按照《煤炭质量分级国家标准》（GB/T 15224-2018）和《中国煤炭分类标准》（GB5751-2009）中的规定，结合煤层相关指标，其煤质变化规律已查明。K</w:t>
      </w:r>
      <w:r>
        <w:rPr>
          <w:rFonts w:hAnsi="Times New Roman" w:eastAsia="宋体"/>
          <w:vertAlign w:val="subscript"/>
          <w:lang w:eastAsia="zh-CN"/>
        </w:rPr>
        <w:t>5</w:t>
      </w:r>
      <w:r>
        <w:rPr>
          <w:rFonts w:hAnsi="Times New Roman" w:eastAsia="宋体"/>
          <w:lang w:eastAsia="zh-CN"/>
        </w:rPr>
        <w:t>、K</w:t>
      </w:r>
      <w:r>
        <w:rPr>
          <w:rFonts w:hAnsi="Times New Roman" w:eastAsia="宋体"/>
          <w:vertAlign w:val="subscript"/>
          <w:lang w:eastAsia="zh-CN"/>
        </w:rPr>
        <w:t>5-1</w:t>
      </w:r>
      <w:r>
        <w:rPr>
          <w:rFonts w:hAnsi="Times New Roman" w:eastAsia="宋体"/>
          <w:lang w:eastAsia="zh-CN"/>
        </w:rPr>
        <w:t>、K</w:t>
      </w:r>
      <w:r>
        <w:rPr>
          <w:rFonts w:hAnsi="Times New Roman" w:eastAsia="宋体"/>
          <w:vertAlign w:val="subscript"/>
          <w:lang w:eastAsia="zh-CN"/>
        </w:rPr>
        <w:t>6</w:t>
      </w:r>
      <w:r>
        <w:rPr>
          <w:rFonts w:hAnsi="Times New Roman" w:eastAsia="宋体"/>
          <w:lang w:eastAsia="zh-CN"/>
        </w:rPr>
        <w:t>煤层均为1/3焦煤（1/3JM），数码35。</w:t>
      </w:r>
    </w:p>
    <w:p>
      <w:pPr>
        <w:spacing w:line="360" w:lineRule="auto"/>
        <w:ind w:firstLine="480" w:firstLineChars="200"/>
        <w:rPr>
          <w:rFonts w:hAnsi="Times New Roman" w:eastAsia="宋体"/>
          <w:highlight w:val="yellow"/>
          <w:lang w:eastAsia="zh-CN"/>
        </w:rPr>
      </w:pPr>
      <w:r>
        <w:rPr>
          <w:rFonts w:hAnsi="Times New Roman" w:eastAsia="宋体"/>
          <w:lang w:eastAsia="zh-CN"/>
        </w:rPr>
        <w:t>区内煤层煤质较稳定，K</w:t>
      </w:r>
      <w:r>
        <w:rPr>
          <w:rFonts w:hAnsi="Times New Roman" w:eastAsia="宋体"/>
          <w:vertAlign w:val="subscript"/>
          <w:lang w:eastAsia="zh-CN"/>
        </w:rPr>
        <w:t>6</w:t>
      </w:r>
      <w:r>
        <w:rPr>
          <w:rFonts w:hAnsi="Times New Roman" w:eastAsia="宋体"/>
          <w:lang w:eastAsia="zh-CN"/>
        </w:rPr>
        <w:t>煤层为低灰、低硫、低磷、高热值1/3焦煤，K</w:t>
      </w:r>
      <w:r>
        <w:rPr>
          <w:rFonts w:hAnsi="Times New Roman" w:eastAsia="宋体"/>
          <w:vertAlign w:val="subscript"/>
          <w:lang w:eastAsia="zh-CN"/>
        </w:rPr>
        <w:t>5-1</w:t>
      </w:r>
      <w:r>
        <w:rPr>
          <w:rFonts w:hAnsi="Times New Roman" w:eastAsia="宋体"/>
          <w:lang w:eastAsia="zh-CN"/>
        </w:rPr>
        <w:t>煤层为中灰、中硫、高热值1/3焦煤，K</w:t>
      </w:r>
      <w:r>
        <w:rPr>
          <w:rFonts w:hAnsi="Times New Roman" w:eastAsia="宋体"/>
          <w:vertAlign w:val="subscript"/>
          <w:lang w:eastAsia="zh-CN"/>
        </w:rPr>
        <w:t>5</w:t>
      </w:r>
      <w:r>
        <w:rPr>
          <w:rFonts w:hAnsi="Times New Roman" w:eastAsia="宋体"/>
          <w:lang w:eastAsia="zh-CN"/>
        </w:rPr>
        <w:t>煤层为中灰、低硫、中高热值1/3焦煤，故七里峡煤矿所采煤层大部为1/3焦煤</w:t>
      </w:r>
      <w:r>
        <w:rPr>
          <w:rFonts w:hint="eastAsia" w:hAnsi="Times New Roman" w:eastAsia="宋体"/>
          <w:lang w:eastAsia="zh-CN"/>
        </w:rPr>
        <w:t>（</w:t>
      </w:r>
      <w:r>
        <w:rPr>
          <w:rFonts w:hAnsi="Times New Roman" w:eastAsia="宋体"/>
          <w:lang w:eastAsia="zh-CN"/>
        </w:rPr>
        <w:t>1/3JM</w:t>
      </w:r>
      <w:r>
        <w:rPr>
          <w:rFonts w:hint="eastAsia" w:hAnsi="Times New Roman" w:eastAsia="宋体"/>
          <w:lang w:eastAsia="zh-CN"/>
        </w:rPr>
        <w:t>）</w:t>
      </w:r>
      <w:r>
        <w:rPr>
          <w:rFonts w:hAnsi="Times New Roman" w:eastAsia="宋体"/>
          <w:lang w:eastAsia="zh-CN"/>
        </w:rPr>
        <w:t>，部分为焦煤</w:t>
      </w:r>
      <w:r>
        <w:rPr>
          <w:rFonts w:hint="eastAsia" w:hAnsi="Times New Roman" w:eastAsia="宋体"/>
          <w:lang w:eastAsia="zh-CN"/>
        </w:rPr>
        <w:t>（</w:t>
      </w:r>
      <w:r>
        <w:rPr>
          <w:rFonts w:hAnsi="Times New Roman" w:eastAsia="宋体"/>
          <w:lang w:eastAsia="zh-CN"/>
        </w:rPr>
        <w:t>JM</w:t>
      </w:r>
      <w:r>
        <w:rPr>
          <w:rFonts w:hint="eastAsia" w:hAnsi="Times New Roman" w:eastAsia="宋体"/>
          <w:lang w:eastAsia="zh-CN"/>
        </w:rPr>
        <w:t>）</w:t>
      </w:r>
      <w:r>
        <w:rPr>
          <w:rFonts w:hAnsi="Times New Roman" w:eastAsia="宋体"/>
          <w:lang w:eastAsia="zh-CN"/>
        </w:rPr>
        <w:t>，均可用作配焦用煤和动力用煤。七里峡煤矿生产的煤炭运至</w:t>
      </w:r>
      <w:r>
        <w:rPr>
          <w:rFonts w:hint="eastAsia" w:hAnsi="Times New Roman" w:eastAsia="宋体"/>
          <w:lang w:eastAsia="zh-CN"/>
        </w:rPr>
        <w:t>达州宣汉县大路能源有限公司选煤厂</w:t>
      </w:r>
      <w:r>
        <w:rPr>
          <w:rFonts w:hAnsi="Times New Roman" w:eastAsia="宋体"/>
          <w:lang w:eastAsia="zh-CN"/>
        </w:rPr>
        <w:t>进行原煤洗选加工，洗后精煤主要销往达州钢铁集团有限责任公司、武汉钢铁集团公司等大型企业。</w:t>
      </w:r>
    </w:p>
    <w:p>
      <w:pPr>
        <w:pStyle w:val="6"/>
        <w:rPr>
          <w:lang w:eastAsia="zh-CN"/>
        </w:rPr>
      </w:pPr>
      <w:bookmarkStart w:id="81" w:name="_Toc163812510"/>
      <w:bookmarkStart w:id="82" w:name="_Toc167095133"/>
      <w:r>
        <w:rPr>
          <w:lang w:eastAsia="zh-CN"/>
        </w:rPr>
        <w:t>2.2.5 项目选址、总平面布置及占地</w:t>
      </w:r>
      <w:bookmarkEnd w:id="81"/>
      <w:bookmarkEnd w:id="82"/>
    </w:p>
    <w:p>
      <w:pPr>
        <w:spacing w:line="360" w:lineRule="auto"/>
        <w:ind w:firstLine="482" w:firstLineChars="200"/>
        <w:rPr>
          <w:rFonts w:hAnsi="Times New Roman" w:eastAsia="宋体"/>
          <w:b/>
          <w:bCs/>
          <w:szCs w:val="22"/>
          <w:lang w:eastAsia="zh-CN"/>
        </w:rPr>
      </w:pPr>
      <w:r>
        <w:rPr>
          <w:rFonts w:hAnsi="Times New Roman" w:eastAsia="宋体"/>
          <w:b/>
          <w:bCs/>
          <w:szCs w:val="22"/>
          <w:lang w:eastAsia="zh-CN"/>
        </w:rPr>
        <w:t>2.2.5.1 项目选址</w:t>
      </w:r>
    </w:p>
    <w:p>
      <w:pPr>
        <w:spacing w:line="360" w:lineRule="auto"/>
        <w:ind w:firstLine="480" w:firstLineChars="200"/>
        <w:rPr>
          <w:rFonts w:hAnsi="Times New Roman" w:eastAsia="宋体"/>
          <w:lang w:eastAsia="zh-CN"/>
        </w:rPr>
      </w:pPr>
      <w:r>
        <w:rPr>
          <w:rFonts w:hAnsi="Times New Roman" w:eastAsia="宋体"/>
          <w:lang w:eastAsia="zh-CN"/>
        </w:rPr>
        <w:t>项目地面设施总体布置情况示意见附图。</w:t>
      </w:r>
    </w:p>
    <w:p>
      <w:pPr>
        <w:spacing w:line="360" w:lineRule="auto"/>
        <w:ind w:firstLine="480" w:firstLineChars="200"/>
        <w:rPr>
          <w:rFonts w:hAnsi="Times New Roman" w:eastAsia="宋体"/>
          <w:szCs w:val="22"/>
          <w:lang w:eastAsia="zh-CN"/>
        </w:rPr>
      </w:pPr>
      <w:r>
        <w:rPr>
          <w:rFonts w:hAnsi="Times New Roman" w:eastAsia="宋体"/>
          <w:szCs w:val="22"/>
          <w:lang w:eastAsia="zh-CN"/>
        </w:rPr>
        <w:t>（1）工业广场</w:t>
      </w:r>
    </w:p>
    <w:p>
      <w:pPr>
        <w:spacing w:line="360" w:lineRule="auto"/>
        <w:ind w:firstLine="480" w:firstLineChars="200"/>
        <w:rPr>
          <w:rFonts w:hAnsi="Times New Roman" w:eastAsia="宋体"/>
          <w:highlight w:val="yellow"/>
          <w:lang w:eastAsia="zh-CN"/>
        </w:rPr>
      </w:pPr>
      <w:r>
        <w:rPr>
          <w:rFonts w:hAnsi="Times New Roman" w:eastAsia="宋体"/>
          <w:lang w:eastAsia="zh-CN"/>
        </w:rPr>
        <w:t>根据井筒布置，工业广场布置在主平硐口，利用主平硐工业场地建筑，及辅助生产、生活设施。该场地地面开阔，现有矿山道路与乡镇（七里～回龙）公路相连，交通便利。工业广场共占地约4.6hm</w:t>
      </w:r>
      <w:r>
        <w:rPr>
          <w:rFonts w:hAnsi="Times New Roman" w:eastAsia="宋体"/>
          <w:vertAlign w:val="superscript"/>
          <w:lang w:eastAsia="zh-CN"/>
        </w:rPr>
        <w:t>2</w:t>
      </w:r>
      <w:r>
        <w:rPr>
          <w:rFonts w:hAnsi="Times New Roman" w:eastAsia="宋体"/>
          <w:lang w:eastAsia="zh-CN"/>
        </w:rPr>
        <w:t>。</w:t>
      </w:r>
    </w:p>
    <w:p>
      <w:pPr>
        <w:spacing w:line="360" w:lineRule="auto"/>
        <w:ind w:firstLine="480" w:firstLineChars="200"/>
        <w:rPr>
          <w:rFonts w:hAnsi="Times New Roman" w:eastAsia="宋体"/>
          <w:lang w:eastAsia="zh-CN"/>
        </w:rPr>
      </w:pPr>
      <w:r>
        <w:rPr>
          <w:rFonts w:hAnsi="Times New Roman" w:eastAsia="宋体"/>
          <w:lang w:eastAsia="zh-CN"/>
        </w:rPr>
        <w:t>（2）+572m回风平硐工业场地</w:t>
      </w:r>
    </w:p>
    <w:p>
      <w:pPr>
        <w:spacing w:line="360" w:lineRule="auto"/>
        <w:ind w:firstLine="480" w:firstLineChars="200"/>
        <w:rPr>
          <w:rFonts w:hAnsi="Times New Roman" w:eastAsia="宋体"/>
          <w:lang w:eastAsia="zh-CN"/>
        </w:rPr>
      </w:pPr>
      <w:r>
        <w:rPr>
          <w:rFonts w:hAnsi="Times New Roman" w:eastAsia="宋体"/>
          <w:szCs w:val="22"/>
          <w:lang w:eastAsia="zh-CN"/>
        </w:rPr>
        <w:t>矿井利用原+572m回风平硐场地，</w:t>
      </w:r>
      <w:r>
        <w:rPr>
          <w:rFonts w:hAnsi="Times New Roman" w:eastAsia="宋体"/>
          <w:lang w:eastAsia="zh-CN"/>
        </w:rPr>
        <w:t>该场地布置风机平台、配电房及值班室等建筑。</w:t>
      </w:r>
      <w:r>
        <w:rPr>
          <w:rFonts w:hAnsi="Times New Roman" w:eastAsia="宋体"/>
          <w:szCs w:val="22"/>
          <w:lang w:eastAsia="zh-CN"/>
        </w:rPr>
        <w:t>新建瓦斯抽放泵站位于+572m回风平硐井口西侧，距离+548m回风平硐井口及主要建筑物50m以上，满足相关要求</w:t>
      </w:r>
      <w:r>
        <w:rPr>
          <w:rFonts w:hAnsi="Times New Roman" w:eastAsia="宋体"/>
          <w:lang w:eastAsia="zh-CN"/>
        </w:rPr>
        <w:t>。</w:t>
      </w:r>
      <w:r>
        <w:rPr>
          <w:rFonts w:hAnsi="Times New Roman" w:eastAsia="宋体"/>
          <w:szCs w:val="22"/>
          <w:lang w:eastAsia="zh-CN"/>
        </w:rPr>
        <w:t>+572m回风平硐场地</w:t>
      </w:r>
      <w:r>
        <w:rPr>
          <w:rFonts w:hAnsi="Times New Roman" w:eastAsia="宋体"/>
          <w:lang w:eastAsia="zh-CN"/>
        </w:rPr>
        <w:t>占地约1.8hm</w:t>
      </w:r>
      <w:r>
        <w:rPr>
          <w:rFonts w:hAnsi="Times New Roman" w:eastAsia="宋体"/>
          <w:vertAlign w:val="superscript"/>
          <w:lang w:eastAsia="zh-CN"/>
        </w:rPr>
        <w:t>2</w:t>
      </w:r>
      <w:r>
        <w:rPr>
          <w:rFonts w:hAnsi="Times New Roman" w:eastAsia="宋体"/>
          <w:lang w:eastAsia="zh-CN"/>
        </w:rPr>
        <w:t>。</w:t>
      </w:r>
    </w:p>
    <w:p>
      <w:pPr>
        <w:spacing w:line="360" w:lineRule="auto"/>
        <w:ind w:firstLine="480" w:firstLineChars="200"/>
        <w:rPr>
          <w:rFonts w:hAnsi="Times New Roman" w:eastAsia="宋体"/>
          <w:lang w:eastAsia="zh-CN"/>
        </w:rPr>
      </w:pPr>
      <w:r>
        <w:rPr>
          <w:rFonts w:hAnsi="Times New Roman" w:eastAsia="宋体"/>
          <w:lang w:eastAsia="zh-CN"/>
        </w:rPr>
        <w:t>（3）+548m回风平硐工业场地</w:t>
      </w:r>
    </w:p>
    <w:p>
      <w:pPr>
        <w:spacing w:line="360" w:lineRule="auto"/>
        <w:ind w:firstLine="480" w:firstLineChars="200"/>
        <w:rPr>
          <w:rFonts w:hAnsi="Times New Roman" w:eastAsia="宋体"/>
          <w:lang w:eastAsia="zh-CN"/>
        </w:rPr>
      </w:pPr>
      <w:r>
        <w:rPr>
          <w:rFonts w:hAnsi="Times New Roman" w:eastAsia="宋体"/>
          <w:szCs w:val="22"/>
          <w:lang w:eastAsia="zh-CN"/>
        </w:rPr>
        <w:t>矿井利用原+548m回风平硐场地，</w:t>
      </w:r>
      <w:r>
        <w:rPr>
          <w:rFonts w:hAnsi="Times New Roman" w:eastAsia="宋体"/>
          <w:lang w:eastAsia="zh-CN"/>
        </w:rPr>
        <w:t>该场地布置风机平台、配电房及值班室等建筑；</w:t>
      </w:r>
      <w:r>
        <w:rPr>
          <w:rFonts w:hAnsi="Times New Roman" w:eastAsia="宋体"/>
          <w:szCs w:val="22"/>
          <w:lang w:eastAsia="zh-CN"/>
        </w:rPr>
        <w:t>在+548m回风平硐场地内新建瓦斯抽放泵站，距离+548m回风平硐井口及主要建筑物50m以上，满足相关要求</w:t>
      </w:r>
      <w:r>
        <w:rPr>
          <w:rFonts w:hAnsi="Times New Roman" w:eastAsia="宋体"/>
          <w:lang w:eastAsia="zh-CN"/>
        </w:rPr>
        <w:t>。+548m回风平硐工业场地占地约1.3hm</w:t>
      </w:r>
      <w:r>
        <w:rPr>
          <w:rFonts w:hAnsi="Times New Roman" w:eastAsia="宋体"/>
          <w:vertAlign w:val="superscript"/>
          <w:lang w:eastAsia="zh-CN"/>
        </w:rPr>
        <w:t>2</w:t>
      </w:r>
      <w:r>
        <w:rPr>
          <w:rFonts w:hAnsi="Times New Roman" w:eastAsia="宋体"/>
          <w:lang w:eastAsia="zh-CN"/>
        </w:rPr>
        <w:t>。</w:t>
      </w:r>
    </w:p>
    <w:p>
      <w:pPr>
        <w:spacing w:line="360" w:lineRule="auto"/>
        <w:ind w:firstLine="480" w:firstLineChars="200"/>
        <w:rPr>
          <w:rFonts w:hAnsi="Times New Roman" w:eastAsia="宋体"/>
          <w:lang w:eastAsia="zh-CN"/>
        </w:rPr>
      </w:pPr>
      <w:r>
        <w:rPr>
          <w:rFonts w:hAnsi="Times New Roman" w:eastAsia="宋体"/>
          <w:lang w:eastAsia="zh-CN"/>
        </w:rPr>
        <w:t>（4）炸药库</w:t>
      </w:r>
    </w:p>
    <w:p>
      <w:pPr>
        <w:spacing w:line="360" w:lineRule="auto"/>
        <w:ind w:firstLine="480" w:firstLineChars="200"/>
        <w:rPr>
          <w:rFonts w:hAnsi="Times New Roman" w:eastAsia="宋体"/>
          <w:b/>
          <w:bCs/>
          <w:szCs w:val="22"/>
          <w:lang w:eastAsia="zh-CN"/>
        </w:rPr>
      </w:pPr>
      <w:r>
        <w:rPr>
          <w:rFonts w:hAnsi="Times New Roman" w:eastAsia="宋体"/>
          <w:szCs w:val="22"/>
          <w:lang w:eastAsia="zh-CN"/>
        </w:rPr>
        <w:t>由于井下炸药用量较小，地面设置有炸药库，井下不设炸药库和炸药发放硐室。井下掘进工作面需要炸药由爆破工从地面爆炸材料库领取。矿井炸药库布置在主井工业场地西南侧的凉风垭口附近，占地面积约1.0hm</w:t>
      </w:r>
      <w:r>
        <w:rPr>
          <w:rFonts w:hAnsi="Times New Roman" w:eastAsia="宋体"/>
          <w:szCs w:val="22"/>
          <w:vertAlign w:val="superscript"/>
          <w:lang w:eastAsia="zh-CN"/>
        </w:rPr>
        <w:t>2</w:t>
      </w:r>
      <w:r>
        <w:rPr>
          <w:rFonts w:hAnsi="Times New Roman" w:eastAsia="宋体"/>
          <w:szCs w:val="22"/>
          <w:lang w:eastAsia="zh-CN"/>
        </w:rPr>
        <w:t>，分设有炸药库、雷管库，与工业场地之间被一山坡隔开，距离工业场地直线距离约200m，原有爆破材料库按《民用爆破器材工程设计安全规范》要求留足安全距离，附属设施齐全，已通过当地公安部门验收后投入使用，本次改扩建利用原有设施，不再新建。</w:t>
      </w:r>
    </w:p>
    <w:p>
      <w:pPr>
        <w:spacing w:line="360" w:lineRule="auto"/>
        <w:ind w:firstLine="482" w:firstLineChars="200"/>
        <w:rPr>
          <w:rFonts w:hAnsi="Times New Roman" w:eastAsia="宋体"/>
          <w:b/>
          <w:bCs/>
          <w:szCs w:val="22"/>
          <w:lang w:eastAsia="zh-CN"/>
        </w:rPr>
      </w:pPr>
      <w:r>
        <w:rPr>
          <w:rFonts w:hAnsi="Times New Roman" w:eastAsia="宋体"/>
          <w:b/>
          <w:bCs/>
          <w:szCs w:val="22"/>
          <w:lang w:eastAsia="zh-CN"/>
        </w:rPr>
        <w:t>2.2.5.2工业场地布置</w:t>
      </w:r>
    </w:p>
    <w:p>
      <w:pPr>
        <w:spacing w:line="360" w:lineRule="auto"/>
        <w:ind w:firstLine="482" w:firstLineChars="200"/>
        <w:rPr>
          <w:rFonts w:hAnsi="Times New Roman" w:eastAsia="宋体"/>
          <w:b/>
          <w:bCs/>
          <w:szCs w:val="22"/>
          <w:lang w:eastAsia="zh-CN"/>
        </w:rPr>
      </w:pPr>
      <w:r>
        <w:rPr>
          <w:rFonts w:hAnsi="Times New Roman" w:eastAsia="宋体"/>
          <w:b/>
          <w:bCs/>
          <w:szCs w:val="22"/>
          <w:lang w:eastAsia="zh-CN"/>
        </w:rPr>
        <w:t>（1）工业场地平面布置</w:t>
      </w:r>
    </w:p>
    <w:p>
      <w:pPr>
        <w:spacing w:line="360" w:lineRule="auto"/>
        <w:ind w:firstLine="480" w:firstLineChars="200"/>
        <w:rPr>
          <w:rFonts w:hAnsi="Times New Roman" w:eastAsia="宋体"/>
          <w:szCs w:val="22"/>
          <w:lang w:eastAsia="zh-CN"/>
        </w:rPr>
      </w:pPr>
      <w:r>
        <w:rPr>
          <w:rFonts w:hAnsi="Times New Roman" w:eastAsia="宋体"/>
          <w:szCs w:val="22"/>
          <w:lang w:eastAsia="zh-CN"/>
        </w:rPr>
        <w:t xml:space="preserve">  根据上述原则，结合矿井</w:t>
      </w:r>
      <w:r>
        <w:rPr>
          <w:rFonts w:hint="eastAsia" w:hAnsi="Times New Roman" w:eastAsia="宋体"/>
          <w:szCs w:val="22"/>
          <w:lang w:eastAsia="zh-CN"/>
        </w:rPr>
        <w:t>开拓部</w:t>
      </w:r>
      <w:r>
        <w:rPr>
          <w:rFonts w:hAnsi="Times New Roman" w:eastAsia="宋体"/>
          <w:szCs w:val="22"/>
          <w:lang w:eastAsia="zh-CN"/>
        </w:rPr>
        <w:t>署、对外运输方式、场外公路及场区自然地形条件，设计将整个工业场地按功能分为生产储运区、辅助生产区、行政办公区共三大功能区，现分述如下：</w:t>
      </w:r>
    </w:p>
    <w:p>
      <w:pPr>
        <w:spacing w:line="360" w:lineRule="auto"/>
        <w:ind w:firstLine="480" w:firstLineChars="200"/>
        <w:rPr>
          <w:rFonts w:hAnsi="Times New Roman" w:eastAsia="宋体"/>
          <w:szCs w:val="22"/>
          <w:lang w:eastAsia="zh-CN"/>
        </w:rPr>
      </w:pPr>
      <w:r>
        <w:rPr>
          <w:rFonts w:hAnsi="Times New Roman" w:eastAsia="宋体"/>
          <w:szCs w:val="22"/>
          <w:lang w:eastAsia="zh-CN"/>
        </w:rPr>
        <w:t xml:space="preserve"> 工业场地按功能分区布置有生产储运区、辅助生产区、行政办公区。</w:t>
      </w:r>
    </w:p>
    <w:p>
      <w:pPr>
        <w:spacing w:line="360" w:lineRule="auto"/>
        <w:ind w:firstLine="480" w:firstLineChars="200"/>
        <w:rPr>
          <w:rFonts w:hAnsi="Times New Roman" w:eastAsia="宋体"/>
          <w:szCs w:val="22"/>
          <w:lang w:eastAsia="zh-CN"/>
        </w:rPr>
      </w:pPr>
      <w:r>
        <w:rPr>
          <w:rFonts w:hAnsi="Times New Roman" w:eastAsia="宋体"/>
          <w:szCs w:val="22"/>
          <w:lang w:eastAsia="zh-CN"/>
        </w:rPr>
        <w:t xml:space="preserve"> 1）生产储运区位于主井工业广场北部，便于与进场道路联系，主要由窄轨铁路、储煤场、矸石转运场等组成，工艺简捷流畅、使用快捷方便。原煤从主平硐出井口后，经地面窄轨铁路由机车牵引至工业广场北部的储煤坪上方，经翻车机卸入储煤坪，由装载机转入汽车运至宣汉县大路煤矿洗选厂进行洗选加工。井下矸石由主平硐井口出井后，经地面窄轨铁路运至场地北侧的矸石转运场上方，由翻车机卸入矸石转运场临时堆放，再</w:t>
      </w:r>
      <w:r>
        <w:rPr>
          <w:rFonts w:hint="eastAsia" w:hAnsi="Times New Roman" w:eastAsia="宋体"/>
          <w:szCs w:val="22"/>
          <w:lang w:eastAsia="zh-CN"/>
        </w:rPr>
        <w:t>由</w:t>
      </w:r>
      <w:r>
        <w:rPr>
          <w:rFonts w:hAnsi="Times New Roman" w:eastAsia="宋体"/>
          <w:szCs w:val="22"/>
          <w:lang w:eastAsia="zh-CN"/>
        </w:rPr>
        <w:t>装载机装入汽车外运至当地矸石砖厂作原料。</w:t>
      </w:r>
    </w:p>
    <w:p>
      <w:pPr>
        <w:spacing w:line="360" w:lineRule="auto"/>
        <w:ind w:firstLine="480" w:firstLineChars="200"/>
        <w:rPr>
          <w:rFonts w:hAnsi="Times New Roman" w:eastAsia="宋体"/>
          <w:szCs w:val="22"/>
          <w:lang w:eastAsia="zh-CN"/>
        </w:rPr>
      </w:pPr>
      <w:r>
        <w:rPr>
          <w:rFonts w:hAnsi="Times New Roman" w:eastAsia="宋体"/>
          <w:szCs w:val="22"/>
          <w:lang w:eastAsia="zh-CN"/>
        </w:rPr>
        <w:t xml:space="preserve">2）辅助生产区由坑木加工房、机修车间、变电所、空压机房、矿灯房、材料库房、消防材料库、综采设备中转库等组成。辅助生产区布置在主平硐井口东西两侧，便于与主平硐井口联系。井口值班室、矿灯房、材料库房利用原建筑，位于主井口东侧，便于与主井口联系方便；综采设备库于主井口西侧，利用原有轨道系统，运输快捷方便；空压机房利用原建筑，位于主井口东侧，靠近主井口，并留有符合规范要求的安全距离；机修车间、坑木加工房位于主井口西侧，并留有符合规范要求的安全距离；变电所利用原有场地，位于主井口西侧，靠近负荷中心，能够满足要求。    </w:t>
      </w:r>
    </w:p>
    <w:p>
      <w:pPr>
        <w:spacing w:line="360" w:lineRule="auto"/>
        <w:ind w:firstLine="480" w:firstLineChars="200"/>
        <w:rPr>
          <w:rFonts w:hAnsi="Times New Roman" w:eastAsia="宋体"/>
          <w:szCs w:val="22"/>
          <w:lang w:eastAsia="zh-CN"/>
        </w:rPr>
      </w:pPr>
      <w:r>
        <w:rPr>
          <w:rFonts w:hAnsi="Times New Roman" w:eastAsia="宋体"/>
          <w:szCs w:val="22"/>
          <w:lang w:eastAsia="zh-CN"/>
        </w:rPr>
        <w:t>3）行政办公区利用原有场地和建筑设施，位于场地中部，其中由综合楼、职工宿舍、食堂、浴室等组成的生活区；生活污水处理站位于浴室西侧，职工宿舍位于场地西南侧。行政办公区原有场地和建筑设施能满足矿井扩建后的需要。这里避开了生产区的污染，具有较好的通风、采光、绿化条件，供人员集散、办公、休息、车辆停放和绿化美化。</w:t>
      </w:r>
    </w:p>
    <w:p>
      <w:pPr>
        <w:spacing w:line="360" w:lineRule="auto"/>
        <w:ind w:firstLine="480" w:firstLineChars="200"/>
        <w:rPr>
          <w:rFonts w:hAnsi="Times New Roman" w:eastAsia="宋体"/>
          <w:szCs w:val="22"/>
          <w:lang w:eastAsia="zh-CN"/>
        </w:rPr>
      </w:pPr>
      <w:r>
        <w:rPr>
          <w:rFonts w:hAnsi="Times New Roman" w:eastAsia="宋体"/>
          <w:szCs w:val="22"/>
          <w:lang w:eastAsia="zh-CN"/>
        </w:rPr>
        <w:t>地面总平面布置做到充分利用原有设施，平面布置</w:t>
      </w:r>
      <w:r>
        <w:rPr>
          <w:rFonts w:hint="eastAsia" w:hAnsi="Times New Roman" w:eastAsia="宋体"/>
          <w:szCs w:val="22"/>
          <w:lang w:eastAsia="zh-CN"/>
        </w:rPr>
        <w:t>合理紧凑</w:t>
      </w:r>
      <w:r>
        <w:rPr>
          <w:rFonts w:hAnsi="Times New Roman" w:eastAsia="宋体"/>
          <w:szCs w:val="22"/>
          <w:lang w:eastAsia="zh-CN"/>
        </w:rPr>
        <w:t>，功能分区基本明确</w:t>
      </w:r>
      <w:r>
        <w:rPr>
          <w:rFonts w:hint="eastAsia" w:hAnsi="Times New Roman" w:eastAsia="宋体"/>
          <w:szCs w:val="22"/>
          <w:lang w:eastAsia="zh-CN"/>
        </w:rPr>
        <w:t>，</w:t>
      </w:r>
      <w:r>
        <w:rPr>
          <w:rFonts w:hAnsi="Times New Roman" w:eastAsia="宋体"/>
          <w:szCs w:val="22"/>
          <w:lang w:eastAsia="zh-CN"/>
        </w:rPr>
        <w:t>互不干扰，有利生产，方便生活，并满足防火、卫生、安全、环保等要求。本次设计主要建筑充分利用原有场地设施，新增+572m回风平硐工业场地瓦斯抽放泵站等设施。</w:t>
      </w:r>
    </w:p>
    <w:p>
      <w:pPr>
        <w:spacing w:line="360" w:lineRule="auto"/>
        <w:ind w:firstLine="480" w:firstLineChars="200"/>
        <w:rPr>
          <w:rFonts w:hAnsi="Times New Roman" w:eastAsia="宋体"/>
          <w:szCs w:val="22"/>
          <w:lang w:eastAsia="zh-CN"/>
        </w:rPr>
      </w:pPr>
      <w:r>
        <w:rPr>
          <w:rFonts w:hAnsi="Times New Roman" w:eastAsia="宋体"/>
          <w:szCs w:val="22"/>
          <w:lang w:eastAsia="zh-CN"/>
        </w:rPr>
        <w:t>项目工业广场总平布置情况见附图。</w:t>
      </w:r>
    </w:p>
    <w:p>
      <w:pPr>
        <w:spacing w:line="360" w:lineRule="auto"/>
        <w:ind w:firstLine="482" w:firstLineChars="200"/>
        <w:rPr>
          <w:rFonts w:hAnsi="Times New Roman" w:eastAsia="宋体"/>
          <w:b/>
          <w:bCs/>
          <w:szCs w:val="22"/>
          <w:lang w:eastAsia="zh-CN"/>
        </w:rPr>
      </w:pPr>
      <w:r>
        <w:rPr>
          <w:rFonts w:hAnsi="Times New Roman" w:eastAsia="宋体"/>
          <w:b/>
          <w:bCs/>
          <w:szCs w:val="22"/>
          <w:lang w:eastAsia="zh-CN"/>
        </w:rPr>
        <w:t>（2）工业场地竖向布置</w:t>
      </w:r>
    </w:p>
    <w:p>
      <w:pPr>
        <w:spacing w:line="360" w:lineRule="auto"/>
        <w:ind w:firstLine="480" w:firstLineChars="200"/>
        <w:rPr>
          <w:rFonts w:hAnsi="Times New Roman" w:eastAsia="宋体"/>
          <w:szCs w:val="22"/>
          <w:lang w:eastAsia="zh-CN"/>
        </w:rPr>
      </w:pPr>
      <w:r>
        <w:rPr>
          <w:rFonts w:hAnsi="Times New Roman" w:eastAsia="宋体"/>
          <w:szCs w:val="22"/>
          <w:lang w:eastAsia="zh-CN"/>
        </w:rPr>
        <w:t>根据场区自然地形条件及生产工艺布置要求，设计采用台阶式布置方式。主井工业广场的生产区分两个台阶，储煤场和临时堆矸场位于+374m，辅助生产区为一个台阶，标高为+379m。行政办公区位于井口西北方，根据场地条件，布置在+379m标高上。场地内台阶之间以挡土墙连接。</w:t>
      </w:r>
    </w:p>
    <w:p>
      <w:pPr>
        <w:spacing w:line="360" w:lineRule="auto"/>
        <w:ind w:firstLine="480" w:firstLineChars="200"/>
        <w:rPr>
          <w:rFonts w:hAnsi="Times New Roman" w:eastAsia="宋体"/>
          <w:szCs w:val="22"/>
          <w:lang w:eastAsia="zh-CN"/>
        </w:rPr>
      </w:pPr>
      <w:r>
        <w:rPr>
          <w:rFonts w:hAnsi="Times New Roman" w:eastAsia="宋体"/>
          <w:szCs w:val="22"/>
          <w:lang w:eastAsia="zh-CN"/>
        </w:rPr>
        <w:t>场内排水设计为建筑周边均设明沟，排至场内道路边水沟中，再集中排到场外。为排除场地上游汇水，在场地四周设置截水沟，将场外雨水直接排至场外。</w:t>
      </w:r>
    </w:p>
    <w:p>
      <w:pPr>
        <w:spacing w:line="360" w:lineRule="auto"/>
        <w:ind w:firstLine="480" w:firstLineChars="200"/>
        <w:rPr>
          <w:rFonts w:hAnsi="Times New Roman" w:eastAsia="宋体"/>
          <w:szCs w:val="22"/>
          <w:lang w:eastAsia="zh-CN"/>
        </w:rPr>
      </w:pPr>
      <w:r>
        <w:rPr>
          <w:rFonts w:hAnsi="Times New Roman" w:eastAsia="宋体"/>
          <w:szCs w:val="22"/>
          <w:lang w:eastAsia="zh-CN"/>
        </w:rPr>
        <w:t>工业场地东侧紧邻新宁河，矿井主平硐井口位于新宁河最高洪水位之上，场地不受洪水威胁。为防止在雨季洪涝对矿井工业场地和井下造成破坏，设计在工业场地四周均设有截水沟。工业场地内竖向坡度按流水坡度考虑，设有排水明沟和钢筋砼盖板沟，场区内水经水沟收集排入场外截水沟无内涝危害。</w:t>
      </w:r>
    </w:p>
    <w:p>
      <w:pPr>
        <w:spacing w:line="360" w:lineRule="auto"/>
        <w:ind w:firstLine="480" w:firstLineChars="200"/>
        <w:rPr>
          <w:rFonts w:hAnsi="Times New Roman" w:eastAsia="宋体"/>
          <w:szCs w:val="22"/>
          <w:lang w:eastAsia="zh-CN"/>
        </w:rPr>
      </w:pPr>
      <w:r>
        <w:rPr>
          <w:rFonts w:hAnsi="Times New Roman" w:eastAsia="宋体"/>
          <w:szCs w:val="22"/>
          <w:lang w:eastAsia="zh-CN"/>
        </w:rPr>
        <w:t>根据现场调查，工业场地位于沟谷地带，工业场地主要受山谷风影响，工业广场居民点主要位于上风向和侧风向，受工业场地影响相对减小。行政办公区与生产区间位于不同标高，且处于生产区的上风向和侧风向，矿井办公楼及职工宿舍等受生产区粉尘的影响较小，主井工业场地布置合理。</w:t>
      </w:r>
    </w:p>
    <w:p>
      <w:pPr>
        <w:spacing w:line="360" w:lineRule="auto"/>
        <w:ind w:firstLine="482" w:firstLineChars="200"/>
        <w:rPr>
          <w:rFonts w:hAnsi="Times New Roman" w:eastAsia="宋体"/>
          <w:b/>
          <w:bCs/>
          <w:szCs w:val="22"/>
          <w:lang w:eastAsia="zh-CN"/>
        </w:rPr>
      </w:pPr>
      <w:bookmarkStart w:id="83" w:name="2.2.5.3占地情况"/>
      <w:bookmarkEnd w:id="83"/>
      <w:r>
        <w:rPr>
          <w:rFonts w:hAnsi="Times New Roman" w:eastAsia="宋体"/>
          <w:b/>
          <w:bCs/>
          <w:szCs w:val="22"/>
          <w:lang w:eastAsia="zh-CN"/>
        </w:rPr>
        <w:t>2.2.5.3占地情况</w:t>
      </w:r>
    </w:p>
    <w:p>
      <w:pPr>
        <w:spacing w:line="360" w:lineRule="auto"/>
        <w:ind w:firstLine="480" w:firstLineChars="200"/>
        <w:rPr>
          <w:rFonts w:hAnsi="Times New Roman" w:eastAsia="宋体"/>
          <w:szCs w:val="22"/>
          <w:highlight w:val="yellow"/>
          <w:lang w:eastAsia="zh-CN"/>
        </w:rPr>
      </w:pPr>
      <w:r>
        <w:rPr>
          <w:rFonts w:hAnsi="Times New Roman" w:eastAsia="宋体"/>
          <w:szCs w:val="22"/>
          <w:lang w:eastAsia="zh-CN"/>
        </w:rPr>
        <w:t>本项目不再新建工业场地，工业场地均为利用现有场地进行，不新增占地。原租地均按国家规定和租赁协议一次性或按期支付各种费用，项目不存在移民搬迁问题，也不存在建设项目占用土地补偿问题。</w:t>
      </w:r>
      <w:r>
        <w:rPr>
          <w:rFonts w:hint="eastAsia" w:hAnsi="Times New Roman" w:eastAsia="宋体"/>
          <w:szCs w:val="22"/>
          <w:lang w:eastAsia="zh-CN"/>
        </w:rPr>
        <w:t>宣汉县自然资源局为本项目出具了说明，明确原有土地可以继续使用，详见附件31。</w:t>
      </w:r>
    </w:p>
    <w:p>
      <w:pPr>
        <w:pStyle w:val="6"/>
        <w:rPr>
          <w:lang w:eastAsia="zh-CN"/>
        </w:rPr>
      </w:pPr>
      <w:bookmarkStart w:id="84" w:name="_Toc167095134"/>
      <w:bookmarkStart w:id="85" w:name="_Toc163812511"/>
      <w:r>
        <w:rPr>
          <w:lang w:eastAsia="zh-CN"/>
        </w:rPr>
        <w:t>2.2.6 劳动定员及生产效率</w:t>
      </w:r>
      <w:bookmarkEnd w:id="84"/>
      <w:bookmarkEnd w:id="85"/>
    </w:p>
    <w:p>
      <w:pPr>
        <w:spacing w:line="360" w:lineRule="auto"/>
        <w:ind w:firstLine="482" w:firstLineChars="200"/>
        <w:rPr>
          <w:rFonts w:hAnsi="Times New Roman" w:eastAsia="宋体"/>
          <w:b/>
          <w:bCs/>
          <w:lang w:eastAsia="zh-CN"/>
        </w:rPr>
      </w:pPr>
      <w:r>
        <w:rPr>
          <w:rFonts w:hAnsi="Times New Roman" w:eastAsia="宋体"/>
          <w:b/>
          <w:bCs/>
          <w:lang w:eastAsia="zh-CN"/>
        </w:rPr>
        <w:t>（1）劳动定员</w:t>
      </w:r>
    </w:p>
    <w:p>
      <w:pPr>
        <w:spacing w:line="360" w:lineRule="auto"/>
        <w:ind w:firstLine="480" w:firstLineChars="200"/>
        <w:rPr>
          <w:rFonts w:hAnsi="Times New Roman" w:eastAsia="宋体"/>
          <w:lang w:eastAsia="zh-CN"/>
        </w:rPr>
      </w:pPr>
      <w:r>
        <w:rPr>
          <w:rFonts w:hAnsi="Times New Roman" w:eastAsia="宋体"/>
          <w:lang w:eastAsia="zh-CN"/>
        </w:rPr>
        <w:t>矿井工作制度为按“三·八”制考虑，年工作日为330d。采煤工作面每天二班采煤，一班准备，掘进工作面三班掘进。</w:t>
      </w:r>
    </w:p>
    <w:p>
      <w:pPr>
        <w:spacing w:line="360" w:lineRule="auto"/>
        <w:ind w:firstLine="480" w:firstLineChars="200"/>
        <w:rPr>
          <w:rFonts w:hAnsi="Times New Roman" w:eastAsia="宋体"/>
          <w:lang w:eastAsia="zh-CN"/>
        </w:rPr>
      </w:pPr>
      <w:r>
        <w:rPr>
          <w:rFonts w:hAnsi="Times New Roman" w:eastAsia="宋体"/>
          <w:lang w:eastAsia="zh-CN"/>
        </w:rPr>
        <w:t>考虑到生产工人实行节假日轮休、探亲等原因，井下生产工人在籍系数取1.4，地面生产人员在籍系数取1.3，管理人员、服务人员和其他人员在籍系数1.0。</w:t>
      </w:r>
    </w:p>
    <w:p>
      <w:pPr>
        <w:spacing w:line="360" w:lineRule="auto"/>
        <w:ind w:firstLine="480" w:firstLineChars="200"/>
        <w:rPr>
          <w:rFonts w:hAnsi="Times New Roman" w:eastAsia="宋体"/>
          <w:lang w:eastAsia="zh-CN"/>
        </w:rPr>
      </w:pPr>
      <w:r>
        <w:rPr>
          <w:rFonts w:hAnsi="Times New Roman" w:eastAsia="宋体"/>
          <w:lang w:eastAsia="zh-CN"/>
        </w:rPr>
        <w:t>各类劳动定员详见下表所示。</w:t>
      </w:r>
    </w:p>
    <w:p>
      <w:pPr>
        <w:spacing w:line="360" w:lineRule="auto"/>
        <w:jc w:val="center"/>
        <w:rPr>
          <w:rFonts w:hAnsi="Times New Roman" w:eastAsia="宋体"/>
          <w:b/>
          <w:bCs/>
          <w:lang w:eastAsia="zh-CN"/>
        </w:rPr>
      </w:pPr>
      <w:r>
        <w:rPr>
          <w:rFonts w:hAnsi="Times New Roman" w:eastAsia="宋体"/>
          <w:b/>
          <w:bCs/>
          <w:lang w:eastAsia="zh-CN"/>
        </w:rPr>
        <w:t>表2.2-2 劳动定员汇总表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8"/>
        <w:gridCol w:w="591"/>
        <w:gridCol w:w="2779"/>
        <w:gridCol w:w="768"/>
        <w:gridCol w:w="768"/>
        <w:gridCol w:w="716"/>
        <w:gridCol w:w="1018"/>
        <w:gridCol w:w="931"/>
        <w:gridCol w:w="12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304" w:type="pct"/>
            <w:vMerge w:val="restar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rPr>
            </w:pPr>
            <w:r>
              <w:rPr>
                <w:rFonts w:hint="eastAsia" w:hAnsi="Times New Roman" w:eastAsia="宋体"/>
                <w:kern w:val="2"/>
                <w:sz w:val="21"/>
                <w:szCs w:val="21"/>
              </w:rPr>
              <w:t>序号</w:t>
            </w:r>
          </w:p>
        </w:tc>
        <w:tc>
          <w:tcPr>
            <w:tcW w:w="1803" w:type="pct"/>
            <w:gridSpan w:val="2"/>
            <w:vMerge w:val="restar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rPr>
            </w:pPr>
            <w:r>
              <w:rPr>
                <w:rFonts w:hint="eastAsia" w:hAnsi="Times New Roman" w:eastAsia="宋体"/>
                <w:kern w:val="2"/>
                <w:sz w:val="21"/>
                <w:szCs w:val="21"/>
              </w:rPr>
              <w:t>人员类别</w:t>
            </w:r>
          </w:p>
        </w:tc>
        <w:tc>
          <w:tcPr>
            <w:tcW w:w="1749" w:type="pct"/>
            <w:gridSpan w:val="4"/>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rPr>
            </w:pPr>
            <w:r>
              <w:rPr>
                <w:rFonts w:hint="eastAsia" w:hAnsi="Times New Roman" w:eastAsia="宋体"/>
                <w:kern w:val="2"/>
                <w:sz w:val="21"/>
                <w:szCs w:val="21"/>
              </w:rPr>
              <w:t>出勤人数（人）</w:t>
            </w:r>
          </w:p>
        </w:tc>
        <w:tc>
          <w:tcPr>
            <w:tcW w:w="498" w:type="pct"/>
            <w:vMerge w:val="restar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rPr>
            </w:pPr>
            <w:r>
              <w:rPr>
                <w:rFonts w:hint="eastAsia" w:hAnsi="Times New Roman" w:eastAsia="宋体"/>
                <w:kern w:val="2"/>
                <w:sz w:val="21"/>
                <w:szCs w:val="21"/>
              </w:rPr>
              <w:t>在籍系数</w:t>
            </w:r>
          </w:p>
        </w:tc>
        <w:tc>
          <w:tcPr>
            <w:tcW w:w="645"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rPr>
            </w:pPr>
            <w:r>
              <w:rPr>
                <w:rFonts w:hint="eastAsia" w:hAnsi="Times New Roman" w:eastAsia="宋体"/>
                <w:kern w:val="2"/>
                <w:sz w:val="21"/>
                <w:szCs w:val="21"/>
              </w:rPr>
              <w:t>在籍人数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304" w:type="pct"/>
            <w:vMerge w:val="continue"/>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p>
        </w:tc>
        <w:tc>
          <w:tcPr>
            <w:tcW w:w="1803" w:type="pct"/>
            <w:gridSpan w:val="2"/>
            <w:vMerge w:val="continue"/>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p>
        </w:tc>
        <w:tc>
          <w:tcPr>
            <w:tcW w:w="411"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rPr>
            </w:pPr>
            <w:r>
              <w:rPr>
                <w:rFonts w:hint="eastAsia" w:hAnsi="Times New Roman" w:eastAsia="宋体"/>
                <w:kern w:val="2"/>
                <w:sz w:val="21"/>
                <w:szCs w:val="21"/>
              </w:rPr>
              <w:t>Ⅰ</w:t>
            </w:r>
          </w:p>
        </w:tc>
        <w:tc>
          <w:tcPr>
            <w:tcW w:w="411"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rPr>
            </w:pPr>
            <w:r>
              <w:rPr>
                <w:rFonts w:hint="eastAsia" w:hAnsi="Times New Roman" w:eastAsia="宋体"/>
                <w:kern w:val="2"/>
                <w:sz w:val="21"/>
                <w:szCs w:val="21"/>
              </w:rPr>
              <w:t>Ⅱ</w:t>
            </w:r>
          </w:p>
        </w:tc>
        <w:tc>
          <w:tcPr>
            <w:tcW w:w="38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rPr>
            </w:pPr>
            <w:r>
              <w:rPr>
                <w:rFonts w:hint="eastAsia" w:hAnsi="Times New Roman" w:eastAsia="宋体"/>
                <w:kern w:val="2"/>
                <w:sz w:val="21"/>
                <w:szCs w:val="21"/>
              </w:rPr>
              <w:t>Ⅲ</w:t>
            </w:r>
          </w:p>
        </w:tc>
        <w:tc>
          <w:tcPr>
            <w:tcW w:w="545"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rPr>
            </w:pPr>
            <w:r>
              <w:rPr>
                <w:rFonts w:hint="eastAsia" w:hAnsi="Times New Roman" w:eastAsia="宋体"/>
                <w:kern w:val="2"/>
                <w:sz w:val="21"/>
                <w:szCs w:val="21"/>
              </w:rPr>
              <w:t>合计</w:t>
            </w:r>
          </w:p>
        </w:tc>
        <w:tc>
          <w:tcPr>
            <w:tcW w:w="498" w:type="pct"/>
            <w:vMerge w:val="continue"/>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p>
        </w:tc>
        <w:tc>
          <w:tcPr>
            <w:tcW w:w="645"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rPr>
            </w:pPr>
            <w:r>
              <w:rPr>
                <w:rFonts w:hint="eastAsia" w:hAnsi="Times New Roman" w:eastAsia="宋体"/>
                <w:kern w:val="2"/>
                <w:sz w:val="21"/>
                <w:szCs w:val="21"/>
              </w:rPr>
              <w:t>（人）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304" w:type="pct"/>
            <w:vMerge w:val="restart"/>
            <w:tcBorders>
              <w:top w:val="nil"/>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rPr>
            </w:pPr>
            <w:r>
              <w:rPr>
                <w:rFonts w:hint="eastAsia" w:hAnsi="Times New Roman" w:eastAsia="宋体"/>
                <w:kern w:val="2"/>
                <w:sz w:val="21"/>
                <w:szCs w:val="21"/>
              </w:rPr>
              <w:t>一</w:t>
            </w:r>
          </w:p>
        </w:tc>
        <w:tc>
          <w:tcPr>
            <w:tcW w:w="316" w:type="pct"/>
            <w:vMerge w:val="restart"/>
            <w:tcBorders>
              <w:top w:val="nil"/>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rPr>
            </w:pPr>
            <w:r>
              <w:rPr>
                <w:rFonts w:hint="eastAsia" w:hAnsi="Times New Roman" w:eastAsia="宋体"/>
                <w:kern w:val="2"/>
                <w:sz w:val="21"/>
                <w:szCs w:val="21"/>
              </w:rPr>
              <w:t>原煤生产人员</w:t>
            </w:r>
          </w:p>
        </w:tc>
        <w:tc>
          <w:tcPr>
            <w:tcW w:w="1486"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rPr>
                <w:rFonts w:hint="eastAsia" w:hAnsi="Times New Roman" w:eastAsia="宋体"/>
                <w:kern w:val="2"/>
                <w:sz w:val="21"/>
                <w:szCs w:val="21"/>
              </w:rPr>
            </w:pPr>
            <w:r>
              <w:rPr>
                <w:rFonts w:hint="eastAsia" w:hAnsi="Times New Roman" w:eastAsia="宋体"/>
                <w:kern w:val="2"/>
                <w:sz w:val="21"/>
                <w:szCs w:val="21"/>
              </w:rPr>
              <w:t>1、生产工人</w:t>
            </w:r>
          </w:p>
        </w:tc>
        <w:tc>
          <w:tcPr>
            <w:tcW w:w="411"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78</w:t>
            </w:r>
          </w:p>
        </w:tc>
        <w:tc>
          <w:tcPr>
            <w:tcW w:w="411"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78</w:t>
            </w:r>
          </w:p>
        </w:tc>
        <w:tc>
          <w:tcPr>
            <w:tcW w:w="38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64</w:t>
            </w:r>
          </w:p>
        </w:tc>
        <w:tc>
          <w:tcPr>
            <w:tcW w:w="545"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220</w:t>
            </w:r>
          </w:p>
        </w:tc>
        <w:tc>
          <w:tcPr>
            <w:tcW w:w="498"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p>
        </w:tc>
        <w:tc>
          <w:tcPr>
            <w:tcW w:w="645"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304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304" w:type="pct"/>
            <w:vMerge w:val="continue"/>
            <w:tcBorders>
              <w:top w:val="nil"/>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p>
        </w:tc>
        <w:tc>
          <w:tcPr>
            <w:tcW w:w="316" w:type="pct"/>
            <w:vMerge w:val="continue"/>
            <w:tcBorders>
              <w:top w:val="nil"/>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p>
        </w:tc>
        <w:tc>
          <w:tcPr>
            <w:tcW w:w="1486"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rPr>
            </w:pPr>
            <w:r>
              <w:rPr>
                <w:rFonts w:hint="eastAsia" w:hAnsi="Times New Roman" w:eastAsia="宋体"/>
                <w:kern w:val="2"/>
                <w:sz w:val="21"/>
                <w:szCs w:val="21"/>
              </w:rPr>
              <w:t>其中：井下</w:t>
            </w:r>
          </w:p>
        </w:tc>
        <w:tc>
          <w:tcPr>
            <w:tcW w:w="411"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63</w:t>
            </w:r>
          </w:p>
        </w:tc>
        <w:tc>
          <w:tcPr>
            <w:tcW w:w="411"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63</w:t>
            </w:r>
          </w:p>
        </w:tc>
        <w:tc>
          <w:tcPr>
            <w:tcW w:w="38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51</w:t>
            </w:r>
          </w:p>
        </w:tc>
        <w:tc>
          <w:tcPr>
            <w:tcW w:w="545"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177</w:t>
            </w:r>
          </w:p>
        </w:tc>
        <w:tc>
          <w:tcPr>
            <w:tcW w:w="498"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1.4</w:t>
            </w:r>
          </w:p>
        </w:tc>
        <w:tc>
          <w:tcPr>
            <w:tcW w:w="645"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248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04" w:type="pct"/>
            <w:vMerge w:val="continue"/>
            <w:tcBorders>
              <w:top w:val="nil"/>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p>
        </w:tc>
        <w:tc>
          <w:tcPr>
            <w:tcW w:w="316" w:type="pct"/>
            <w:vMerge w:val="continue"/>
            <w:tcBorders>
              <w:top w:val="nil"/>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p>
        </w:tc>
        <w:tc>
          <w:tcPr>
            <w:tcW w:w="1486"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rPr>
                <w:rFonts w:hint="eastAsia" w:hAnsi="Times New Roman" w:eastAsia="宋体"/>
                <w:kern w:val="2"/>
                <w:sz w:val="21"/>
                <w:szCs w:val="21"/>
              </w:rPr>
            </w:pPr>
            <w:r>
              <w:rPr>
                <w:rFonts w:hint="eastAsia" w:hAnsi="Times New Roman" w:eastAsia="宋体"/>
                <w:kern w:val="2"/>
                <w:sz w:val="21"/>
                <w:szCs w:val="21"/>
              </w:rPr>
              <w:t xml:space="preserve">          地面</w:t>
            </w:r>
          </w:p>
        </w:tc>
        <w:tc>
          <w:tcPr>
            <w:tcW w:w="411"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15</w:t>
            </w:r>
          </w:p>
        </w:tc>
        <w:tc>
          <w:tcPr>
            <w:tcW w:w="411"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15</w:t>
            </w:r>
          </w:p>
        </w:tc>
        <w:tc>
          <w:tcPr>
            <w:tcW w:w="38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13</w:t>
            </w:r>
          </w:p>
        </w:tc>
        <w:tc>
          <w:tcPr>
            <w:tcW w:w="545"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43</w:t>
            </w:r>
          </w:p>
        </w:tc>
        <w:tc>
          <w:tcPr>
            <w:tcW w:w="498"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1.3</w:t>
            </w:r>
          </w:p>
        </w:tc>
        <w:tc>
          <w:tcPr>
            <w:tcW w:w="645"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304" w:type="pct"/>
            <w:vMerge w:val="continue"/>
            <w:tcBorders>
              <w:top w:val="nil"/>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p>
        </w:tc>
        <w:tc>
          <w:tcPr>
            <w:tcW w:w="316" w:type="pct"/>
            <w:vMerge w:val="continue"/>
            <w:tcBorders>
              <w:top w:val="nil"/>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p>
        </w:tc>
        <w:tc>
          <w:tcPr>
            <w:tcW w:w="1486"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rPr>
                <w:rFonts w:hint="eastAsia" w:hAnsi="Times New Roman" w:eastAsia="宋体"/>
                <w:kern w:val="2"/>
                <w:sz w:val="21"/>
                <w:szCs w:val="21"/>
              </w:rPr>
            </w:pPr>
            <w:r>
              <w:rPr>
                <w:rFonts w:hint="eastAsia" w:hAnsi="Times New Roman" w:eastAsia="宋体"/>
                <w:kern w:val="2"/>
                <w:sz w:val="21"/>
                <w:szCs w:val="21"/>
              </w:rPr>
              <w:t>2、管理人员</w:t>
            </w:r>
          </w:p>
        </w:tc>
        <w:tc>
          <w:tcPr>
            <w:tcW w:w="411"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24</w:t>
            </w:r>
          </w:p>
        </w:tc>
        <w:tc>
          <w:tcPr>
            <w:tcW w:w="411"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13</w:t>
            </w:r>
          </w:p>
        </w:tc>
        <w:tc>
          <w:tcPr>
            <w:tcW w:w="38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13</w:t>
            </w:r>
          </w:p>
        </w:tc>
        <w:tc>
          <w:tcPr>
            <w:tcW w:w="545"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50</w:t>
            </w:r>
          </w:p>
        </w:tc>
        <w:tc>
          <w:tcPr>
            <w:tcW w:w="498"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1.0</w:t>
            </w:r>
          </w:p>
        </w:tc>
        <w:tc>
          <w:tcPr>
            <w:tcW w:w="645"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304" w:type="pct"/>
            <w:vMerge w:val="continue"/>
            <w:tcBorders>
              <w:top w:val="nil"/>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p>
        </w:tc>
        <w:tc>
          <w:tcPr>
            <w:tcW w:w="316" w:type="pct"/>
            <w:vMerge w:val="continue"/>
            <w:tcBorders>
              <w:top w:val="nil"/>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p>
        </w:tc>
        <w:tc>
          <w:tcPr>
            <w:tcW w:w="1486"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rPr>
            </w:pPr>
            <w:r>
              <w:rPr>
                <w:rFonts w:hint="eastAsia" w:hAnsi="Times New Roman" w:eastAsia="宋体"/>
                <w:kern w:val="2"/>
                <w:sz w:val="21"/>
                <w:szCs w:val="21"/>
              </w:rPr>
              <w:t>其中</w:t>
            </w:r>
            <w:r>
              <w:rPr>
                <w:rFonts w:hint="eastAsia" w:hAnsi="Times New Roman" w:eastAsia="宋体"/>
                <w:kern w:val="2"/>
                <w:sz w:val="21"/>
                <w:szCs w:val="21"/>
                <w:lang w:eastAsia="zh-CN"/>
              </w:rPr>
              <w:t>：</w:t>
            </w:r>
            <w:r>
              <w:rPr>
                <w:rFonts w:hint="eastAsia" w:hAnsi="Times New Roman" w:eastAsia="宋体"/>
                <w:kern w:val="2"/>
                <w:sz w:val="21"/>
                <w:szCs w:val="21"/>
              </w:rPr>
              <w:t>工程技术人员</w:t>
            </w:r>
          </w:p>
        </w:tc>
        <w:tc>
          <w:tcPr>
            <w:tcW w:w="411"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12</w:t>
            </w:r>
          </w:p>
        </w:tc>
        <w:tc>
          <w:tcPr>
            <w:tcW w:w="411"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12</w:t>
            </w:r>
          </w:p>
        </w:tc>
        <w:tc>
          <w:tcPr>
            <w:tcW w:w="38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12</w:t>
            </w:r>
          </w:p>
        </w:tc>
        <w:tc>
          <w:tcPr>
            <w:tcW w:w="545"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36</w:t>
            </w:r>
          </w:p>
        </w:tc>
        <w:tc>
          <w:tcPr>
            <w:tcW w:w="498"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1.0</w:t>
            </w:r>
          </w:p>
        </w:tc>
        <w:tc>
          <w:tcPr>
            <w:tcW w:w="645"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04" w:type="pct"/>
            <w:vMerge w:val="continue"/>
            <w:tcBorders>
              <w:top w:val="nil"/>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p>
        </w:tc>
        <w:tc>
          <w:tcPr>
            <w:tcW w:w="316" w:type="pct"/>
            <w:vMerge w:val="continue"/>
            <w:tcBorders>
              <w:top w:val="nil"/>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p>
        </w:tc>
        <w:tc>
          <w:tcPr>
            <w:tcW w:w="1486"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rPr>
                <w:rFonts w:hint="eastAsia" w:hAnsi="Times New Roman" w:eastAsia="宋体"/>
                <w:kern w:val="2"/>
                <w:sz w:val="21"/>
                <w:szCs w:val="21"/>
              </w:rPr>
            </w:pPr>
            <w:r>
              <w:rPr>
                <w:rFonts w:hint="eastAsia" w:hAnsi="Times New Roman" w:eastAsia="宋体"/>
                <w:kern w:val="2"/>
                <w:sz w:val="21"/>
                <w:szCs w:val="21"/>
              </w:rPr>
              <w:t>3、最大班下井人数</w:t>
            </w:r>
          </w:p>
        </w:tc>
        <w:tc>
          <w:tcPr>
            <w:tcW w:w="411"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75</w:t>
            </w:r>
          </w:p>
        </w:tc>
        <w:tc>
          <w:tcPr>
            <w:tcW w:w="411"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75</w:t>
            </w:r>
          </w:p>
        </w:tc>
        <w:tc>
          <w:tcPr>
            <w:tcW w:w="38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63</w:t>
            </w:r>
          </w:p>
        </w:tc>
        <w:tc>
          <w:tcPr>
            <w:tcW w:w="545"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213</w:t>
            </w:r>
          </w:p>
        </w:tc>
        <w:tc>
          <w:tcPr>
            <w:tcW w:w="498"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p>
        </w:tc>
        <w:tc>
          <w:tcPr>
            <w:tcW w:w="645"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304" w:type="pct"/>
            <w:vMerge w:val="continue"/>
            <w:tcBorders>
              <w:top w:val="nil"/>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p>
        </w:tc>
        <w:tc>
          <w:tcPr>
            <w:tcW w:w="316" w:type="pct"/>
            <w:vMerge w:val="continue"/>
            <w:tcBorders>
              <w:top w:val="nil"/>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p>
        </w:tc>
        <w:tc>
          <w:tcPr>
            <w:tcW w:w="1486"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rPr>
            </w:pPr>
            <w:r>
              <w:rPr>
                <w:rFonts w:hint="eastAsia" w:hAnsi="Times New Roman" w:eastAsia="宋体"/>
                <w:kern w:val="2"/>
                <w:sz w:val="21"/>
                <w:szCs w:val="21"/>
              </w:rPr>
              <w:t>合计</w:t>
            </w:r>
          </w:p>
        </w:tc>
        <w:tc>
          <w:tcPr>
            <w:tcW w:w="411"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102</w:t>
            </w:r>
          </w:p>
        </w:tc>
        <w:tc>
          <w:tcPr>
            <w:tcW w:w="411"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91</w:t>
            </w:r>
          </w:p>
        </w:tc>
        <w:tc>
          <w:tcPr>
            <w:tcW w:w="38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77</w:t>
            </w:r>
          </w:p>
        </w:tc>
        <w:tc>
          <w:tcPr>
            <w:tcW w:w="545"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270</w:t>
            </w:r>
          </w:p>
        </w:tc>
        <w:tc>
          <w:tcPr>
            <w:tcW w:w="498"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p>
        </w:tc>
        <w:tc>
          <w:tcPr>
            <w:tcW w:w="645"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354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304"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rPr>
            </w:pPr>
            <w:r>
              <w:rPr>
                <w:rFonts w:hint="eastAsia" w:hAnsi="Times New Roman" w:eastAsia="宋体"/>
                <w:kern w:val="2"/>
                <w:sz w:val="21"/>
                <w:szCs w:val="21"/>
              </w:rPr>
              <w:t>二</w:t>
            </w:r>
          </w:p>
        </w:tc>
        <w:tc>
          <w:tcPr>
            <w:tcW w:w="1803" w:type="pct"/>
            <w:gridSpan w:val="2"/>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rPr>
            </w:pPr>
            <w:r>
              <w:rPr>
                <w:rFonts w:hint="eastAsia" w:hAnsi="Times New Roman" w:eastAsia="宋体"/>
                <w:kern w:val="2"/>
                <w:sz w:val="21"/>
                <w:szCs w:val="21"/>
              </w:rPr>
              <w:t>服务人员</w:t>
            </w:r>
          </w:p>
        </w:tc>
        <w:tc>
          <w:tcPr>
            <w:tcW w:w="411"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10</w:t>
            </w:r>
          </w:p>
        </w:tc>
        <w:tc>
          <w:tcPr>
            <w:tcW w:w="411"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10</w:t>
            </w:r>
          </w:p>
        </w:tc>
        <w:tc>
          <w:tcPr>
            <w:tcW w:w="38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9</w:t>
            </w:r>
          </w:p>
        </w:tc>
        <w:tc>
          <w:tcPr>
            <w:tcW w:w="545"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29</w:t>
            </w:r>
          </w:p>
        </w:tc>
        <w:tc>
          <w:tcPr>
            <w:tcW w:w="498"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1.0</w:t>
            </w:r>
          </w:p>
        </w:tc>
        <w:tc>
          <w:tcPr>
            <w:tcW w:w="645"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304"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rPr>
            </w:pPr>
            <w:r>
              <w:rPr>
                <w:rFonts w:hint="eastAsia" w:hAnsi="Times New Roman" w:eastAsia="宋体"/>
                <w:kern w:val="2"/>
                <w:sz w:val="21"/>
                <w:szCs w:val="21"/>
              </w:rPr>
              <w:t>三</w:t>
            </w:r>
          </w:p>
        </w:tc>
        <w:tc>
          <w:tcPr>
            <w:tcW w:w="1803" w:type="pct"/>
            <w:gridSpan w:val="2"/>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rPr>
            </w:pPr>
            <w:r>
              <w:rPr>
                <w:rFonts w:hint="eastAsia" w:hAnsi="Times New Roman" w:eastAsia="宋体"/>
                <w:kern w:val="2"/>
                <w:sz w:val="21"/>
                <w:szCs w:val="21"/>
              </w:rPr>
              <w:t>其他人员（含1名兼职救护队长和1名应急装备管理员）</w:t>
            </w:r>
          </w:p>
        </w:tc>
        <w:tc>
          <w:tcPr>
            <w:tcW w:w="411"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6</w:t>
            </w:r>
          </w:p>
        </w:tc>
        <w:tc>
          <w:tcPr>
            <w:tcW w:w="411"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6</w:t>
            </w:r>
          </w:p>
        </w:tc>
        <w:tc>
          <w:tcPr>
            <w:tcW w:w="38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4</w:t>
            </w:r>
          </w:p>
        </w:tc>
        <w:tc>
          <w:tcPr>
            <w:tcW w:w="545"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16</w:t>
            </w:r>
          </w:p>
        </w:tc>
        <w:tc>
          <w:tcPr>
            <w:tcW w:w="498"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1.0</w:t>
            </w:r>
          </w:p>
        </w:tc>
        <w:tc>
          <w:tcPr>
            <w:tcW w:w="645"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304"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rPr>
            </w:pPr>
            <w:r>
              <w:rPr>
                <w:rFonts w:hint="eastAsia" w:hAnsi="Times New Roman" w:eastAsia="宋体"/>
                <w:kern w:val="2"/>
                <w:sz w:val="21"/>
                <w:szCs w:val="21"/>
              </w:rPr>
              <w:t>四</w:t>
            </w:r>
          </w:p>
        </w:tc>
        <w:tc>
          <w:tcPr>
            <w:tcW w:w="1803" w:type="pct"/>
            <w:gridSpan w:val="2"/>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rPr>
            </w:pPr>
            <w:r>
              <w:rPr>
                <w:rFonts w:hint="eastAsia" w:hAnsi="Times New Roman" w:eastAsia="宋体"/>
                <w:kern w:val="2"/>
                <w:sz w:val="21"/>
                <w:szCs w:val="21"/>
              </w:rPr>
              <w:t>全部定员</w:t>
            </w:r>
          </w:p>
        </w:tc>
        <w:tc>
          <w:tcPr>
            <w:tcW w:w="411"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118</w:t>
            </w:r>
          </w:p>
        </w:tc>
        <w:tc>
          <w:tcPr>
            <w:tcW w:w="411"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107</w:t>
            </w:r>
          </w:p>
        </w:tc>
        <w:tc>
          <w:tcPr>
            <w:tcW w:w="38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90</w:t>
            </w:r>
          </w:p>
        </w:tc>
        <w:tc>
          <w:tcPr>
            <w:tcW w:w="545"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315</w:t>
            </w:r>
          </w:p>
        </w:tc>
        <w:tc>
          <w:tcPr>
            <w:tcW w:w="498"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rPr>
            </w:pPr>
          </w:p>
        </w:tc>
        <w:tc>
          <w:tcPr>
            <w:tcW w:w="645"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0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399</w:t>
            </w:r>
          </w:p>
        </w:tc>
      </w:tr>
    </w:tbl>
    <w:p>
      <w:pPr>
        <w:spacing w:line="360" w:lineRule="auto"/>
        <w:ind w:firstLine="482" w:firstLineChars="200"/>
        <w:rPr>
          <w:rFonts w:hAnsi="Times New Roman" w:eastAsia="宋体"/>
          <w:b/>
          <w:bCs/>
          <w:lang w:eastAsia="zh-CN"/>
        </w:rPr>
      </w:pPr>
      <w:r>
        <w:rPr>
          <w:rFonts w:hAnsi="Times New Roman" w:eastAsia="宋体"/>
          <w:b/>
          <w:bCs/>
          <w:lang w:eastAsia="zh-CN"/>
        </w:rPr>
        <w:t>（2）生产效率</w:t>
      </w:r>
    </w:p>
    <w:p>
      <w:pPr>
        <w:spacing w:line="360" w:lineRule="auto"/>
        <w:ind w:firstLine="480" w:firstLineChars="200"/>
        <w:rPr>
          <w:rFonts w:hAnsi="Times New Roman" w:eastAsia="宋体"/>
          <w:lang w:eastAsia="zh-CN"/>
        </w:rPr>
      </w:pPr>
      <w:r>
        <w:rPr>
          <w:rFonts w:hAnsi="Times New Roman" w:eastAsia="宋体"/>
          <w:lang w:eastAsia="zh-CN"/>
        </w:rPr>
        <w:t>根据劳动定员概算结果，计算全员效率的矿井原煤生产人员出勤人数2</w:t>
      </w:r>
      <w:r>
        <w:rPr>
          <w:rFonts w:hint="eastAsia" w:hAnsi="Times New Roman" w:eastAsia="宋体"/>
          <w:lang w:eastAsia="zh-CN"/>
        </w:rPr>
        <w:t>7</w:t>
      </w:r>
      <w:r>
        <w:rPr>
          <w:rFonts w:hAnsi="Times New Roman" w:eastAsia="宋体"/>
          <w:lang w:eastAsia="zh-CN"/>
        </w:rPr>
        <w:t>0人。矿井设计生产能力300kt/a，年工作日330d。</w:t>
      </w:r>
    </w:p>
    <w:p>
      <w:pPr>
        <w:spacing w:line="360" w:lineRule="auto"/>
        <w:ind w:firstLine="480" w:firstLineChars="200"/>
        <w:rPr>
          <w:rFonts w:hAnsi="Times New Roman" w:eastAsia="宋体"/>
          <w:lang w:eastAsia="zh-CN"/>
        </w:rPr>
      </w:pPr>
      <w:r>
        <w:rPr>
          <w:rFonts w:hAnsi="Times New Roman" w:eastAsia="宋体"/>
          <w:lang w:eastAsia="zh-CN"/>
        </w:rPr>
        <w:t>矿井全员工效=设计日产量÷生产人员=300000÷330÷2</w:t>
      </w:r>
      <w:r>
        <w:rPr>
          <w:rFonts w:hint="eastAsia" w:hAnsi="Times New Roman" w:eastAsia="宋体"/>
          <w:lang w:eastAsia="zh-CN"/>
        </w:rPr>
        <w:t>7</w:t>
      </w:r>
      <w:r>
        <w:rPr>
          <w:rFonts w:hAnsi="Times New Roman" w:eastAsia="宋体"/>
          <w:lang w:eastAsia="zh-CN"/>
        </w:rPr>
        <w:t>0 =3.</w:t>
      </w:r>
      <w:r>
        <w:rPr>
          <w:rFonts w:hint="eastAsia" w:hAnsi="Times New Roman" w:eastAsia="宋体"/>
          <w:lang w:eastAsia="zh-CN"/>
        </w:rPr>
        <w:t>37</w:t>
      </w:r>
      <w:r>
        <w:rPr>
          <w:rFonts w:hAnsi="Times New Roman" w:eastAsia="宋体"/>
          <w:lang w:eastAsia="zh-CN"/>
        </w:rPr>
        <w:t>t/工日</w:t>
      </w:r>
    </w:p>
    <w:p>
      <w:pPr>
        <w:spacing w:line="360" w:lineRule="auto"/>
        <w:ind w:firstLine="480" w:firstLineChars="200"/>
        <w:rPr>
          <w:rFonts w:hAnsi="Times New Roman" w:eastAsia="宋体"/>
          <w:lang w:eastAsia="zh-CN"/>
        </w:rPr>
      </w:pPr>
      <w:r>
        <w:rPr>
          <w:rFonts w:hAnsi="Times New Roman" w:eastAsia="宋体"/>
          <w:lang w:eastAsia="zh-CN"/>
        </w:rPr>
        <w:t>从全员效率计算结果来看，矿井全员效率3.</w:t>
      </w:r>
      <w:r>
        <w:rPr>
          <w:rFonts w:hint="eastAsia" w:hAnsi="Times New Roman" w:eastAsia="宋体"/>
          <w:lang w:eastAsia="zh-CN"/>
        </w:rPr>
        <w:t>37</w:t>
      </w:r>
      <w:r>
        <w:rPr>
          <w:rFonts w:hAnsi="Times New Roman" w:eastAsia="宋体"/>
          <w:lang w:eastAsia="zh-CN"/>
        </w:rPr>
        <w:t>t/工日与目前类似矿井全员效率水平相当，与矿井的机械化相符。</w:t>
      </w:r>
    </w:p>
    <w:p>
      <w:pPr>
        <w:pStyle w:val="6"/>
        <w:rPr>
          <w:lang w:eastAsia="zh-CN"/>
        </w:rPr>
      </w:pPr>
      <w:bookmarkStart w:id="86" w:name="_Toc167095135"/>
      <w:bookmarkStart w:id="87" w:name="_Toc163812512"/>
      <w:r>
        <w:rPr>
          <w:lang w:eastAsia="zh-CN"/>
        </w:rPr>
        <w:t>2.2.7 建设计划</w:t>
      </w:r>
      <w:bookmarkEnd w:id="86"/>
      <w:bookmarkEnd w:id="87"/>
    </w:p>
    <w:p>
      <w:pPr>
        <w:spacing w:line="360" w:lineRule="auto"/>
        <w:ind w:firstLine="480" w:firstLineChars="200"/>
        <w:rPr>
          <w:rFonts w:hAnsi="Times New Roman" w:eastAsia="宋体"/>
          <w:szCs w:val="22"/>
          <w:lang w:eastAsia="zh-CN"/>
        </w:rPr>
      </w:pPr>
      <w:r>
        <w:rPr>
          <w:rFonts w:hAnsi="Times New Roman" w:eastAsia="宋体"/>
          <w:szCs w:val="22"/>
          <w:lang w:eastAsia="zh-CN"/>
        </w:rPr>
        <w:t>矿井升级改造前属生产矿井，各井筒、大巷均已形成，采区巷道大部分均已形成，本次设计加以改造利用，仅将运输上山贯通及回采工作面形成等。</w:t>
      </w:r>
    </w:p>
    <w:p>
      <w:pPr>
        <w:spacing w:line="360" w:lineRule="auto"/>
        <w:ind w:firstLine="480" w:firstLineChars="200"/>
        <w:rPr>
          <w:rFonts w:hAnsi="Times New Roman" w:eastAsia="宋体"/>
          <w:szCs w:val="22"/>
          <w:lang w:eastAsia="zh-CN"/>
        </w:rPr>
      </w:pPr>
      <w:r>
        <w:rPr>
          <w:rFonts w:hAnsi="Times New Roman" w:eastAsia="宋体"/>
          <w:szCs w:val="22"/>
          <w:lang w:eastAsia="zh-CN"/>
        </w:rPr>
        <w:t>（1）运输上山贯通工期</w:t>
      </w:r>
    </w:p>
    <w:p>
      <w:pPr>
        <w:spacing w:line="360" w:lineRule="auto"/>
        <w:ind w:firstLine="480" w:firstLineChars="200"/>
        <w:rPr>
          <w:rFonts w:hAnsi="Times New Roman" w:eastAsia="宋体"/>
          <w:szCs w:val="22"/>
          <w:lang w:eastAsia="zh-CN"/>
        </w:rPr>
      </w:pPr>
      <w:r>
        <w:rPr>
          <w:rFonts w:hAnsi="Times New Roman" w:eastAsia="宋体"/>
          <w:szCs w:val="22"/>
          <w:lang w:eastAsia="zh-CN"/>
        </w:rPr>
        <w:t>掘进1组：运输上山下平台→运输上山→运输上山上平台→+300m回风石门，合计工期3.0个月。</w:t>
      </w:r>
    </w:p>
    <w:p>
      <w:pPr>
        <w:spacing w:line="360" w:lineRule="auto"/>
        <w:ind w:firstLine="480" w:firstLineChars="200"/>
        <w:rPr>
          <w:rFonts w:hAnsi="Times New Roman" w:eastAsia="宋体"/>
          <w:szCs w:val="22"/>
          <w:lang w:eastAsia="zh-CN"/>
        </w:rPr>
      </w:pPr>
      <w:r>
        <w:rPr>
          <w:rFonts w:hAnsi="Times New Roman" w:eastAsia="宋体"/>
          <w:szCs w:val="22"/>
          <w:lang w:eastAsia="zh-CN"/>
        </w:rPr>
        <w:t>（2）回采工作面形成工期</w:t>
      </w:r>
    </w:p>
    <w:p>
      <w:pPr>
        <w:spacing w:line="360" w:lineRule="auto"/>
        <w:ind w:firstLine="480" w:firstLineChars="200"/>
        <w:rPr>
          <w:rFonts w:hAnsi="Times New Roman" w:eastAsia="宋体"/>
          <w:szCs w:val="22"/>
          <w:lang w:eastAsia="zh-CN"/>
        </w:rPr>
      </w:pPr>
      <w:r>
        <w:rPr>
          <w:rFonts w:hAnsi="Times New Roman" w:eastAsia="宋体"/>
          <w:szCs w:val="22"/>
          <w:lang w:eastAsia="zh-CN"/>
        </w:rPr>
        <w:t>掘进2组：由于2262回采工作面部分巷道已经形成，该工作面形成工期比较短，形成工期10.9个月。</w:t>
      </w:r>
    </w:p>
    <w:p>
      <w:pPr>
        <w:spacing w:line="360" w:lineRule="auto"/>
        <w:ind w:firstLine="480" w:firstLineChars="200"/>
        <w:rPr>
          <w:rFonts w:hAnsi="Times New Roman" w:eastAsia="宋体"/>
          <w:szCs w:val="22"/>
          <w:lang w:eastAsia="zh-CN"/>
        </w:rPr>
      </w:pPr>
      <w:r>
        <w:rPr>
          <w:rFonts w:hAnsi="Times New Roman" w:eastAsia="宋体"/>
          <w:lang w:eastAsia="zh-CN"/>
        </w:rPr>
        <w:t>根据扩建工程矿井施工进度计划，矿井移交生产建设总工期为</w:t>
      </w:r>
      <w:r>
        <w:rPr>
          <w:rFonts w:hint="eastAsia" w:hAnsi="Times New Roman" w:eastAsia="宋体"/>
          <w:lang w:eastAsia="zh-CN"/>
        </w:rPr>
        <w:t>18.6</w:t>
      </w:r>
      <w:r>
        <w:rPr>
          <w:rFonts w:hAnsi="Times New Roman" w:eastAsia="宋体"/>
          <w:lang w:eastAsia="zh-CN"/>
        </w:rPr>
        <w:t>个月</w:t>
      </w:r>
      <w:r>
        <w:rPr>
          <w:rFonts w:hAnsi="Times New Roman" w:eastAsia="宋体"/>
          <w:szCs w:val="22"/>
          <w:lang w:eastAsia="zh-CN"/>
        </w:rPr>
        <w:t>。</w:t>
      </w:r>
    </w:p>
    <w:p>
      <w:pPr>
        <w:pStyle w:val="6"/>
        <w:rPr>
          <w:lang w:eastAsia="zh-CN"/>
        </w:rPr>
      </w:pPr>
      <w:bookmarkStart w:id="88" w:name="_Toc163812513"/>
      <w:bookmarkStart w:id="89" w:name="_Toc167095136"/>
      <w:r>
        <w:rPr>
          <w:lang w:eastAsia="zh-CN"/>
        </w:rPr>
        <w:t>2.2.8 项目主要经济指标</w:t>
      </w:r>
      <w:bookmarkEnd w:id="88"/>
      <w:bookmarkEnd w:id="89"/>
    </w:p>
    <w:p>
      <w:pPr>
        <w:spacing w:line="360" w:lineRule="auto"/>
        <w:ind w:firstLine="480" w:firstLineChars="200"/>
        <w:rPr>
          <w:rFonts w:hAnsi="Times New Roman" w:eastAsia="宋体"/>
          <w:lang w:eastAsia="zh-CN"/>
        </w:rPr>
      </w:pPr>
      <w:r>
        <w:rPr>
          <w:rFonts w:hAnsi="Times New Roman" w:eastAsia="宋体"/>
          <w:lang w:eastAsia="zh-CN"/>
        </w:rPr>
        <w:t>项目扩建后主要技术经济指标如下表所示。</w:t>
      </w:r>
    </w:p>
    <w:p>
      <w:pPr>
        <w:spacing w:line="360" w:lineRule="auto"/>
        <w:jc w:val="center"/>
        <w:rPr>
          <w:rFonts w:hAnsi="Times New Roman" w:eastAsia="宋体"/>
          <w:b/>
          <w:bCs/>
          <w:lang w:eastAsia="zh-CN"/>
        </w:rPr>
      </w:pPr>
      <w:r>
        <w:rPr>
          <w:rFonts w:hAnsi="Times New Roman" w:eastAsia="宋体"/>
          <w:b/>
          <w:bCs/>
          <w:lang w:eastAsia="zh-CN"/>
        </w:rPr>
        <w:t>表2.2-3 项目主要技术经济指标表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9"/>
        <w:gridCol w:w="2332"/>
        <w:gridCol w:w="1015"/>
        <w:gridCol w:w="3054"/>
        <w:gridCol w:w="20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blHeader/>
          <w:jc w:val="center"/>
        </w:trPr>
        <w:tc>
          <w:tcPr>
            <w:tcW w:w="460" w:type="pct"/>
            <w:vAlign w:val="center"/>
          </w:tcPr>
          <w:p>
            <w:pPr>
              <w:pStyle w:val="92"/>
              <w:keepNext w:val="0"/>
              <w:keepLines w:val="0"/>
              <w:suppressLineNumbers w:val="0"/>
              <w:spacing w:before="0" w:beforeAutospacing="0" w:after="0" w:afterAutospacing="0" w:line="240" w:lineRule="auto"/>
              <w:ind w:left="0" w:right="0"/>
              <w:jc w:val="center"/>
              <w:rPr>
                <w:rFonts w:hint="eastAsia" w:ascii="Times New Roman" w:hAnsi="Times New Roman" w:cs="Times New Roman"/>
                <w:b/>
                <w:bCs/>
                <w:kern w:val="2"/>
                <w:sz w:val="21"/>
                <w:szCs w:val="21"/>
              </w:rPr>
            </w:pPr>
            <w:r>
              <w:rPr>
                <w:rFonts w:hint="eastAsia" w:ascii="Times New Roman" w:hAnsi="Times New Roman" w:cs="Times New Roman"/>
                <w:b/>
                <w:bCs/>
                <w:kern w:val="2"/>
                <w:sz w:val="21"/>
                <w:szCs w:val="21"/>
              </w:rPr>
              <w:t>序 号</w:t>
            </w:r>
          </w:p>
        </w:tc>
        <w:tc>
          <w:tcPr>
            <w:tcW w:w="1248" w:type="pct"/>
            <w:vAlign w:val="center"/>
          </w:tcPr>
          <w:p>
            <w:pPr>
              <w:pStyle w:val="92"/>
              <w:keepNext w:val="0"/>
              <w:keepLines w:val="0"/>
              <w:suppressLineNumbers w:val="0"/>
              <w:spacing w:before="0" w:beforeAutospacing="0" w:after="0" w:afterAutospacing="0" w:line="240" w:lineRule="auto"/>
              <w:ind w:left="0" w:right="0"/>
              <w:jc w:val="center"/>
              <w:rPr>
                <w:rFonts w:hint="eastAsia" w:ascii="Times New Roman" w:hAnsi="Times New Roman" w:cs="Times New Roman"/>
                <w:b/>
                <w:bCs/>
                <w:kern w:val="2"/>
                <w:sz w:val="21"/>
                <w:szCs w:val="21"/>
              </w:rPr>
            </w:pPr>
            <w:r>
              <w:rPr>
                <w:rFonts w:hint="eastAsia" w:ascii="Times New Roman" w:hAnsi="Times New Roman" w:cs="Times New Roman"/>
                <w:b/>
                <w:bCs/>
                <w:kern w:val="2"/>
                <w:sz w:val="21"/>
                <w:szCs w:val="21"/>
              </w:rPr>
              <w:t>指  标  名  称</w:t>
            </w:r>
          </w:p>
        </w:tc>
        <w:tc>
          <w:tcPr>
            <w:tcW w:w="543" w:type="pct"/>
            <w:vAlign w:val="center"/>
          </w:tcPr>
          <w:p>
            <w:pPr>
              <w:pStyle w:val="92"/>
              <w:keepNext w:val="0"/>
              <w:keepLines w:val="0"/>
              <w:suppressLineNumbers w:val="0"/>
              <w:spacing w:before="0" w:beforeAutospacing="0" w:after="0" w:afterAutospacing="0" w:line="240" w:lineRule="auto"/>
              <w:ind w:left="0" w:right="0"/>
              <w:jc w:val="center"/>
              <w:rPr>
                <w:rFonts w:hint="eastAsia" w:ascii="Times New Roman" w:hAnsi="Times New Roman" w:cs="Times New Roman"/>
                <w:b/>
                <w:bCs/>
                <w:kern w:val="2"/>
                <w:sz w:val="21"/>
                <w:szCs w:val="21"/>
              </w:rPr>
            </w:pPr>
            <w:r>
              <w:rPr>
                <w:rFonts w:hint="eastAsia" w:ascii="Times New Roman" w:hAnsi="Times New Roman" w:cs="Times New Roman"/>
                <w:b/>
                <w:bCs/>
                <w:kern w:val="2"/>
                <w:sz w:val="21"/>
                <w:szCs w:val="21"/>
              </w:rPr>
              <w:t>单  位</w:t>
            </w:r>
          </w:p>
        </w:tc>
        <w:tc>
          <w:tcPr>
            <w:tcW w:w="1634" w:type="pct"/>
            <w:vAlign w:val="center"/>
          </w:tcPr>
          <w:p>
            <w:pPr>
              <w:pStyle w:val="92"/>
              <w:keepNext w:val="0"/>
              <w:keepLines w:val="0"/>
              <w:suppressLineNumbers w:val="0"/>
              <w:spacing w:before="0" w:beforeAutospacing="0" w:after="0" w:afterAutospacing="0" w:line="240" w:lineRule="auto"/>
              <w:ind w:left="0" w:right="0"/>
              <w:jc w:val="center"/>
              <w:rPr>
                <w:rFonts w:hint="eastAsia" w:ascii="Times New Roman" w:hAnsi="Times New Roman" w:cs="Times New Roman"/>
                <w:b/>
                <w:bCs/>
                <w:kern w:val="2"/>
                <w:sz w:val="21"/>
                <w:szCs w:val="21"/>
              </w:rPr>
            </w:pPr>
            <w:r>
              <w:rPr>
                <w:rFonts w:hint="eastAsia" w:ascii="Times New Roman" w:hAnsi="Times New Roman" w:cs="Times New Roman"/>
                <w:b/>
                <w:bCs/>
                <w:kern w:val="2"/>
                <w:sz w:val="21"/>
                <w:szCs w:val="21"/>
              </w:rPr>
              <w:t>指  标</w:t>
            </w:r>
          </w:p>
        </w:tc>
        <w:tc>
          <w:tcPr>
            <w:tcW w:w="1115" w:type="pct"/>
            <w:vAlign w:val="center"/>
          </w:tcPr>
          <w:p>
            <w:pPr>
              <w:pStyle w:val="92"/>
              <w:keepNext w:val="0"/>
              <w:keepLines w:val="0"/>
              <w:suppressLineNumbers w:val="0"/>
              <w:spacing w:before="0" w:beforeAutospacing="0" w:after="0" w:afterAutospacing="0" w:line="240" w:lineRule="auto"/>
              <w:ind w:left="0" w:right="0"/>
              <w:jc w:val="center"/>
              <w:rPr>
                <w:rFonts w:hint="eastAsia" w:ascii="Times New Roman" w:hAnsi="Times New Roman" w:cs="Times New Roman"/>
                <w:b/>
                <w:bCs/>
                <w:kern w:val="2"/>
                <w:sz w:val="21"/>
                <w:szCs w:val="21"/>
              </w:rPr>
            </w:pPr>
            <w:r>
              <w:rPr>
                <w:rFonts w:hint="eastAsia" w:ascii="Times New Roman" w:hAnsi="Times New Roman" w:cs="Times New Roman"/>
                <w:b/>
                <w:bCs/>
                <w:kern w:val="2"/>
                <w:sz w:val="21"/>
                <w:szCs w:val="21"/>
              </w:rPr>
              <w:t>备  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vAlign w:val="center"/>
          </w:tcPr>
          <w:p>
            <w:pPr>
              <w:keepNext w:val="0"/>
              <w:keepLines w:val="0"/>
              <w:suppressLineNumbers w:val="0"/>
              <w:spacing w:before="0" w:beforeAutospacing="0" w:after="0" w:afterAutospacing="0"/>
              <w:ind w:left="0" w:right="0"/>
              <w:jc w:val="center"/>
              <w:rPr>
                <w:rFonts w:hint="eastAsia" w:hAnsi="Times New Roman" w:eastAsia="宋体"/>
                <w:b/>
                <w:kern w:val="2"/>
                <w:sz w:val="21"/>
                <w:szCs w:val="21"/>
              </w:rPr>
            </w:pPr>
            <w:r>
              <w:rPr>
                <w:rFonts w:hint="eastAsia" w:hAnsi="Times New Roman" w:eastAsia="宋体"/>
                <w:b/>
                <w:kern w:val="2"/>
                <w:sz w:val="21"/>
                <w:szCs w:val="21"/>
              </w:rPr>
              <w:t>1</w:t>
            </w:r>
          </w:p>
        </w:tc>
        <w:tc>
          <w:tcPr>
            <w:tcW w:w="1248" w:type="pct"/>
            <w:vAlign w:val="center"/>
          </w:tcPr>
          <w:p>
            <w:pPr>
              <w:keepNext w:val="0"/>
              <w:keepLines w:val="0"/>
              <w:suppressLineNumbers w:val="0"/>
              <w:spacing w:before="0" w:beforeAutospacing="0" w:after="0" w:afterAutospacing="0"/>
              <w:ind w:left="0" w:right="0"/>
              <w:rPr>
                <w:rFonts w:hint="eastAsia" w:hAnsi="Times New Roman" w:eastAsia="宋体"/>
                <w:b/>
                <w:kern w:val="2"/>
                <w:sz w:val="21"/>
                <w:szCs w:val="21"/>
              </w:rPr>
            </w:pPr>
            <w:r>
              <w:rPr>
                <w:rFonts w:hint="eastAsia" w:hAnsi="Times New Roman" w:eastAsia="宋体"/>
                <w:b/>
                <w:kern w:val="2"/>
                <w:sz w:val="21"/>
                <w:szCs w:val="21"/>
              </w:rPr>
              <w:t>井田范围</w:t>
            </w:r>
          </w:p>
        </w:tc>
        <w:tc>
          <w:tcPr>
            <w:tcW w:w="54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63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11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1.1</w:t>
            </w:r>
          </w:p>
        </w:tc>
        <w:tc>
          <w:tcPr>
            <w:tcW w:w="1248" w:type="pct"/>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平均走向长度</w:t>
            </w:r>
          </w:p>
        </w:tc>
        <w:tc>
          <w:tcPr>
            <w:tcW w:w="54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km</w:t>
            </w:r>
          </w:p>
        </w:tc>
        <w:tc>
          <w:tcPr>
            <w:tcW w:w="1634"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8.78</w:t>
            </w:r>
          </w:p>
        </w:tc>
        <w:tc>
          <w:tcPr>
            <w:tcW w:w="111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1.2</w:t>
            </w:r>
          </w:p>
        </w:tc>
        <w:tc>
          <w:tcPr>
            <w:tcW w:w="1248" w:type="pct"/>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平均倾斜宽度</w:t>
            </w:r>
          </w:p>
        </w:tc>
        <w:tc>
          <w:tcPr>
            <w:tcW w:w="54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km</w:t>
            </w:r>
          </w:p>
        </w:tc>
        <w:tc>
          <w:tcPr>
            <w:tcW w:w="1634"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0.23</w:t>
            </w:r>
          </w:p>
        </w:tc>
        <w:tc>
          <w:tcPr>
            <w:tcW w:w="111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1.3</w:t>
            </w:r>
          </w:p>
        </w:tc>
        <w:tc>
          <w:tcPr>
            <w:tcW w:w="1248" w:type="pct"/>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开采标高</w:t>
            </w:r>
          </w:p>
        </w:tc>
        <w:tc>
          <w:tcPr>
            <w:tcW w:w="54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m</w:t>
            </w:r>
          </w:p>
        </w:tc>
        <w:tc>
          <w:tcPr>
            <w:tcW w:w="1634"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+670～+200</w:t>
            </w:r>
          </w:p>
        </w:tc>
        <w:tc>
          <w:tcPr>
            <w:tcW w:w="111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w:t>
            </w:r>
            <w:r>
              <w:rPr>
                <w:rFonts w:hint="eastAsia" w:hAnsi="Times New Roman" w:eastAsia="宋体"/>
                <w:kern w:val="2"/>
                <w:sz w:val="21"/>
                <w:szCs w:val="21"/>
                <w:lang w:eastAsia="zh-CN"/>
              </w:rPr>
              <w:t>4</w:t>
            </w:r>
          </w:p>
        </w:tc>
        <w:tc>
          <w:tcPr>
            <w:tcW w:w="1248" w:type="pct"/>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井田面积</w:t>
            </w:r>
          </w:p>
        </w:tc>
        <w:tc>
          <w:tcPr>
            <w:tcW w:w="54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vertAlign w:val="superscript"/>
              </w:rPr>
            </w:pPr>
            <w:r>
              <w:rPr>
                <w:rFonts w:hint="eastAsia" w:hAnsi="Times New Roman" w:eastAsia="宋体"/>
                <w:kern w:val="2"/>
                <w:sz w:val="21"/>
                <w:szCs w:val="21"/>
              </w:rPr>
              <w:t>km</w:t>
            </w:r>
            <w:r>
              <w:rPr>
                <w:rFonts w:hint="eastAsia" w:hAnsi="Times New Roman" w:eastAsia="宋体"/>
                <w:kern w:val="2"/>
                <w:sz w:val="21"/>
                <w:szCs w:val="21"/>
                <w:vertAlign w:val="superscript"/>
              </w:rPr>
              <w:t>2</w:t>
            </w:r>
          </w:p>
        </w:tc>
        <w:tc>
          <w:tcPr>
            <w:tcW w:w="1634"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1.6285</w:t>
            </w:r>
          </w:p>
        </w:tc>
        <w:tc>
          <w:tcPr>
            <w:tcW w:w="111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vAlign w:val="center"/>
          </w:tcPr>
          <w:p>
            <w:pPr>
              <w:keepNext w:val="0"/>
              <w:keepLines w:val="0"/>
              <w:suppressLineNumbers w:val="0"/>
              <w:spacing w:before="0" w:beforeAutospacing="0" w:after="0" w:afterAutospacing="0"/>
              <w:ind w:left="0" w:right="0"/>
              <w:jc w:val="center"/>
              <w:rPr>
                <w:rFonts w:hint="eastAsia" w:hAnsi="Times New Roman" w:eastAsia="宋体"/>
                <w:b/>
                <w:kern w:val="2"/>
                <w:sz w:val="21"/>
                <w:szCs w:val="21"/>
              </w:rPr>
            </w:pPr>
            <w:r>
              <w:rPr>
                <w:rFonts w:hint="eastAsia" w:hAnsi="Times New Roman" w:eastAsia="宋体"/>
                <w:b/>
                <w:kern w:val="2"/>
                <w:sz w:val="21"/>
                <w:szCs w:val="21"/>
              </w:rPr>
              <w:t>2</w:t>
            </w:r>
          </w:p>
        </w:tc>
        <w:tc>
          <w:tcPr>
            <w:tcW w:w="1248" w:type="pct"/>
            <w:vAlign w:val="center"/>
          </w:tcPr>
          <w:p>
            <w:pPr>
              <w:keepNext w:val="0"/>
              <w:keepLines w:val="0"/>
              <w:suppressLineNumbers w:val="0"/>
              <w:spacing w:before="0" w:beforeAutospacing="0" w:after="0" w:afterAutospacing="0"/>
              <w:ind w:left="0" w:right="0"/>
              <w:rPr>
                <w:rFonts w:hint="eastAsia" w:hAnsi="Times New Roman" w:eastAsia="宋体"/>
                <w:b/>
                <w:kern w:val="2"/>
                <w:sz w:val="21"/>
                <w:szCs w:val="21"/>
              </w:rPr>
            </w:pPr>
            <w:r>
              <w:rPr>
                <w:rFonts w:hint="eastAsia" w:hAnsi="Times New Roman" w:eastAsia="宋体"/>
                <w:b/>
                <w:kern w:val="2"/>
                <w:sz w:val="21"/>
                <w:szCs w:val="21"/>
              </w:rPr>
              <w:t>煤层</w:t>
            </w:r>
          </w:p>
        </w:tc>
        <w:tc>
          <w:tcPr>
            <w:tcW w:w="54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63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11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w:t>
            </w:r>
            <w:r>
              <w:rPr>
                <w:rFonts w:hint="eastAsia" w:hAnsi="Times New Roman" w:eastAsia="宋体"/>
                <w:kern w:val="2"/>
                <w:sz w:val="21"/>
                <w:szCs w:val="21"/>
                <w:lang w:eastAsia="zh-CN"/>
              </w:rPr>
              <w:t>1</w:t>
            </w:r>
          </w:p>
        </w:tc>
        <w:tc>
          <w:tcPr>
            <w:tcW w:w="1248" w:type="pct"/>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可采煤层总厚度</w:t>
            </w:r>
          </w:p>
        </w:tc>
        <w:tc>
          <w:tcPr>
            <w:tcW w:w="54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m</w:t>
            </w:r>
          </w:p>
        </w:tc>
        <w:tc>
          <w:tcPr>
            <w:tcW w:w="163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1.92～6.70</w:t>
            </w:r>
          </w:p>
        </w:tc>
        <w:tc>
          <w:tcPr>
            <w:tcW w:w="111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K</w:t>
            </w:r>
            <w:r>
              <w:rPr>
                <w:rFonts w:hint="eastAsia" w:hAnsi="Times New Roman" w:eastAsia="宋体"/>
                <w:kern w:val="2"/>
                <w:sz w:val="21"/>
                <w:szCs w:val="21"/>
                <w:vertAlign w:val="subscript"/>
              </w:rPr>
              <w:t>6</w:t>
            </w:r>
            <w:r>
              <w:rPr>
                <w:rFonts w:hint="eastAsia" w:hAnsi="Times New Roman" w:eastAsia="宋体"/>
                <w:kern w:val="2"/>
                <w:sz w:val="21"/>
                <w:szCs w:val="21"/>
              </w:rPr>
              <w:t>、K</w:t>
            </w:r>
            <w:r>
              <w:rPr>
                <w:rFonts w:hint="eastAsia" w:hAnsi="Times New Roman" w:eastAsia="宋体"/>
                <w:kern w:val="2"/>
                <w:sz w:val="21"/>
                <w:szCs w:val="21"/>
                <w:vertAlign w:val="subscript"/>
              </w:rPr>
              <w:t>5-1</w:t>
            </w:r>
            <w:r>
              <w:rPr>
                <w:rFonts w:hint="eastAsia" w:hAnsi="Times New Roman" w:eastAsia="宋体"/>
                <w:kern w:val="2"/>
                <w:sz w:val="21"/>
                <w:szCs w:val="21"/>
              </w:rPr>
              <w:t>、K</w:t>
            </w:r>
            <w:r>
              <w:rPr>
                <w:rFonts w:hint="eastAsia" w:hAnsi="Times New Roman" w:eastAsia="宋体"/>
                <w:kern w:val="2"/>
                <w:sz w:val="21"/>
                <w:szCs w:val="21"/>
                <w:vertAlign w:val="subscript"/>
              </w:rPr>
              <w:t>5</w:t>
            </w:r>
            <w:r>
              <w:rPr>
                <w:rFonts w:hint="eastAsia" w:hAnsi="Times New Roman" w:eastAsia="宋体"/>
                <w:kern w:val="2"/>
                <w:sz w:val="21"/>
                <w:szCs w:val="21"/>
              </w:rPr>
              <w:t>煤层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w:t>
            </w:r>
            <w:r>
              <w:rPr>
                <w:rFonts w:hint="eastAsia" w:hAnsi="Times New Roman" w:eastAsia="宋体"/>
                <w:kern w:val="2"/>
                <w:sz w:val="21"/>
                <w:szCs w:val="21"/>
                <w:lang w:eastAsia="zh-CN"/>
              </w:rPr>
              <w:t>2</w:t>
            </w:r>
          </w:p>
        </w:tc>
        <w:tc>
          <w:tcPr>
            <w:tcW w:w="1248" w:type="pct"/>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首采煤层总厚度</w:t>
            </w:r>
          </w:p>
        </w:tc>
        <w:tc>
          <w:tcPr>
            <w:tcW w:w="54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m</w:t>
            </w:r>
          </w:p>
        </w:tc>
        <w:tc>
          <w:tcPr>
            <w:tcW w:w="163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1.15</w:t>
            </w:r>
          </w:p>
        </w:tc>
        <w:tc>
          <w:tcPr>
            <w:tcW w:w="111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vertAlign w:val="subscript"/>
              </w:rPr>
            </w:pPr>
            <w:r>
              <w:rPr>
                <w:rFonts w:hint="eastAsia" w:hAnsi="Times New Roman" w:eastAsia="宋体"/>
                <w:kern w:val="2"/>
                <w:sz w:val="21"/>
                <w:szCs w:val="21"/>
              </w:rPr>
              <w:t>K</w:t>
            </w:r>
            <w:r>
              <w:rPr>
                <w:rFonts w:hint="eastAsia" w:hAnsi="Times New Roman" w:eastAsia="宋体"/>
                <w:kern w:val="2"/>
                <w:sz w:val="21"/>
                <w:szCs w:val="21"/>
                <w:vertAlign w:val="subscript"/>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w:t>
            </w:r>
            <w:r>
              <w:rPr>
                <w:rFonts w:hint="eastAsia" w:hAnsi="Times New Roman" w:eastAsia="宋体"/>
                <w:kern w:val="2"/>
                <w:sz w:val="21"/>
                <w:szCs w:val="21"/>
                <w:lang w:eastAsia="zh-CN"/>
              </w:rPr>
              <w:t>3</w:t>
            </w:r>
          </w:p>
        </w:tc>
        <w:tc>
          <w:tcPr>
            <w:tcW w:w="1248" w:type="pct"/>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煤层倾角</w:t>
            </w:r>
          </w:p>
        </w:tc>
        <w:tc>
          <w:tcPr>
            <w:tcW w:w="54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163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45～55°</w:t>
            </w:r>
          </w:p>
        </w:tc>
        <w:tc>
          <w:tcPr>
            <w:tcW w:w="111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vAlign w:val="center"/>
          </w:tcPr>
          <w:p>
            <w:pPr>
              <w:keepNext w:val="0"/>
              <w:keepLines w:val="0"/>
              <w:suppressLineNumbers w:val="0"/>
              <w:spacing w:before="0" w:beforeAutospacing="0" w:after="0" w:afterAutospacing="0"/>
              <w:ind w:left="0" w:right="0"/>
              <w:jc w:val="center"/>
              <w:rPr>
                <w:rFonts w:hint="eastAsia" w:hAnsi="Times New Roman" w:eastAsia="宋体"/>
                <w:b/>
                <w:kern w:val="2"/>
                <w:sz w:val="21"/>
                <w:szCs w:val="21"/>
              </w:rPr>
            </w:pPr>
            <w:r>
              <w:rPr>
                <w:rFonts w:hint="eastAsia" w:hAnsi="Times New Roman" w:eastAsia="宋体"/>
                <w:b/>
                <w:kern w:val="2"/>
                <w:sz w:val="21"/>
                <w:szCs w:val="21"/>
              </w:rPr>
              <w:t>3</w:t>
            </w:r>
          </w:p>
        </w:tc>
        <w:tc>
          <w:tcPr>
            <w:tcW w:w="1248" w:type="pct"/>
            <w:vAlign w:val="center"/>
          </w:tcPr>
          <w:p>
            <w:pPr>
              <w:keepNext w:val="0"/>
              <w:keepLines w:val="0"/>
              <w:suppressLineNumbers w:val="0"/>
              <w:spacing w:before="0" w:beforeAutospacing="0" w:after="0" w:afterAutospacing="0"/>
              <w:ind w:left="0" w:right="0"/>
              <w:rPr>
                <w:rFonts w:hint="eastAsia" w:hAnsi="Times New Roman" w:eastAsia="宋体"/>
                <w:b/>
                <w:kern w:val="2"/>
                <w:sz w:val="21"/>
                <w:szCs w:val="21"/>
              </w:rPr>
            </w:pPr>
            <w:r>
              <w:rPr>
                <w:rFonts w:hint="eastAsia" w:hAnsi="Times New Roman" w:eastAsia="宋体"/>
                <w:b/>
                <w:kern w:val="2"/>
                <w:sz w:val="21"/>
                <w:szCs w:val="21"/>
              </w:rPr>
              <w:t>资源/储量</w:t>
            </w:r>
          </w:p>
        </w:tc>
        <w:tc>
          <w:tcPr>
            <w:tcW w:w="54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63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11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3.1</w:t>
            </w:r>
          </w:p>
        </w:tc>
        <w:tc>
          <w:tcPr>
            <w:tcW w:w="1248" w:type="pct"/>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地质资源量</w:t>
            </w:r>
          </w:p>
        </w:tc>
        <w:tc>
          <w:tcPr>
            <w:tcW w:w="54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kt</w:t>
            </w:r>
          </w:p>
        </w:tc>
        <w:tc>
          <w:tcPr>
            <w:tcW w:w="163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2824</w:t>
            </w:r>
          </w:p>
        </w:tc>
        <w:tc>
          <w:tcPr>
            <w:tcW w:w="111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3.2</w:t>
            </w:r>
          </w:p>
        </w:tc>
        <w:tc>
          <w:tcPr>
            <w:tcW w:w="1248" w:type="pct"/>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设计储量</w:t>
            </w:r>
          </w:p>
        </w:tc>
        <w:tc>
          <w:tcPr>
            <w:tcW w:w="54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kt</w:t>
            </w:r>
          </w:p>
        </w:tc>
        <w:tc>
          <w:tcPr>
            <w:tcW w:w="163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2504.3</w:t>
            </w:r>
          </w:p>
        </w:tc>
        <w:tc>
          <w:tcPr>
            <w:tcW w:w="111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3.3</w:t>
            </w:r>
          </w:p>
        </w:tc>
        <w:tc>
          <w:tcPr>
            <w:tcW w:w="1248" w:type="pct"/>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设计可采储量</w:t>
            </w:r>
          </w:p>
        </w:tc>
        <w:tc>
          <w:tcPr>
            <w:tcW w:w="54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kt</w:t>
            </w:r>
          </w:p>
        </w:tc>
        <w:tc>
          <w:tcPr>
            <w:tcW w:w="163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2128.7</w:t>
            </w:r>
          </w:p>
        </w:tc>
        <w:tc>
          <w:tcPr>
            <w:tcW w:w="111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vAlign w:val="center"/>
          </w:tcPr>
          <w:p>
            <w:pPr>
              <w:keepNext w:val="0"/>
              <w:keepLines w:val="0"/>
              <w:suppressLineNumbers w:val="0"/>
              <w:spacing w:before="0" w:beforeAutospacing="0" w:after="0" w:afterAutospacing="0"/>
              <w:ind w:left="0" w:right="0"/>
              <w:jc w:val="center"/>
              <w:rPr>
                <w:rFonts w:hint="eastAsia" w:hAnsi="Times New Roman" w:eastAsia="宋体"/>
                <w:b/>
                <w:kern w:val="2"/>
                <w:sz w:val="21"/>
                <w:szCs w:val="21"/>
              </w:rPr>
            </w:pPr>
            <w:r>
              <w:rPr>
                <w:rFonts w:hint="eastAsia" w:hAnsi="Times New Roman" w:eastAsia="宋体"/>
                <w:b/>
                <w:kern w:val="2"/>
                <w:sz w:val="21"/>
                <w:szCs w:val="21"/>
              </w:rPr>
              <w:t>4</w:t>
            </w:r>
          </w:p>
        </w:tc>
        <w:tc>
          <w:tcPr>
            <w:tcW w:w="1248" w:type="pct"/>
            <w:vAlign w:val="center"/>
          </w:tcPr>
          <w:p>
            <w:pPr>
              <w:keepNext w:val="0"/>
              <w:keepLines w:val="0"/>
              <w:suppressLineNumbers w:val="0"/>
              <w:spacing w:before="0" w:beforeAutospacing="0" w:after="0" w:afterAutospacing="0"/>
              <w:ind w:left="0" w:right="0"/>
              <w:rPr>
                <w:rFonts w:hint="eastAsia" w:hAnsi="Times New Roman" w:eastAsia="宋体"/>
                <w:b/>
                <w:kern w:val="2"/>
                <w:sz w:val="21"/>
                <w:szCs w:val="21"/>
              </w:rPr>
            </w:pPr>
            <w:r>
              <w:rPr>
                <w:rFonts w:hint="eastAsia" w:hAnsi="Times New Roman" w:eastAsia="宋体"/>
                <w:b/>
                <w:kern w:val="2"/>
                <w:sz w:val="21"/>
                <w:szCs w:val="21"/>
              </w:rPr>
              <w:t>煤类</w:t>
            </w:r>
          </w:p>
        </w:tc>
        <w:tc>
          <w:tcPr>
            <w:tcW w:w="54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63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rPr>
              <w:t>均为1/3焦煤</w:t>
            </w:r>
            <w:r>
              <w:rPr>
                <w:rFonts w:hint="eastAsia" w:hAnsi="Times New Roman" w:eastAsia="宋体"/>
                <w:kern w:val="2"/>
                <w:sz w:val="21"/>
                <w:szCs w:val="21"/>
                <w:lang w:eastAsia="zh-CN"/>
              </w:rPr>
              <w:t>（</w:t>
            </w:r>
            <w:r>
              <w:rPr>
                <w:rFonts w:hint="eastAsia" w:hAnsi="Times New Roman" w:eastAsia="宋体"/>
                <w:kern w:val="2"/>
                <w:sz w:val="21"/>
                <w:szCs w:val="21"/>
              </w:rPr>
              <w:t>1/3JM</w:t>
            </w:r>
            <w:r>
              <w:rPr>
                <w:rFonts w:hint="eastAsia" w:hAnsi="Times New Roman" w:eastAsia="宋体"/>
                <w:kern w:val="2"/>
                <w:sz w:val="21"/>
                <w:szCs w:val="21"/>
                <w:lang w:eastAsia="zh-CN"/>
              </w:rPr>
              <w:t>）</w:t>
            </w:r>
          </w:p>
        </w:tc>
        <w:tc>
          <w:tcPr>
            <w:tcW w:w="111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vAlign w:val="center"/>
          </w:tcPr>
          <w:p>
            <w:pPr>
              <w:keepNext w:val="0"/>
              <w:keepLines w:val="0"/>
              <w:suppressLineNumbers w:val="0"/>
              <w:spacing w:before="0" w:beforeAutospacing="0" w:after="0" w:afterAutospacing="0"/>
              <w:ind w:left="0" w:right="0"/>
              <w:jc w:val="center"/>
              <w:rPr>
                <w:rFonts w:hint="eastAsia" w:hAnsi="Times New Roman" w:eastAsia="宋体"/>
                <w:b/>
                <w:kern w:val="2"/>
                <w:sz w:val="21"/>
                <w:szCs w:val="21"/>
              </w:rPr>
            </w:pPr>
            <w:r>
              <w:rPr>
                <w:rFonts w:hint="eastAsia" w:hAnsi="Times New Roman" w:eastAsia="宋体"/>
                <w:b/>
                <w:kern w:val="2"/>
                <w:sz w:val="21"/>
                <w:szCs w:val="21"/>
              </w:rPr>
              <w:t>5</w:t>
            </w:r>
          </w:p>
        </w:tc>
        <w:tc>
          <w:tcPr>
            <w:tcW w:w="1248" w:type="pct"/>
            <w:vAlign w:val="center"/>
          </w:tcPr>
          <w:p>
            <w:pPr>
              <w:keepNext w:val="0"/>
              <w:keepLines w:val="0"/>
              <w:suppressLineNumbers w:val="0"/>
              <w:spacing w:before="0" w:beforeAutospacing="0" w:after="0" w:afterAutospacing="0"/>
              <w:ind w:left="0" w:right="0"/>
              <w:rPr>
                <w:rFonts w:hint="eastAsia" w:hAnsi="Times New Roman" w:eastAsia="宋体"/>
                <w:b/>
                <w:kern w:val="2"/>
                <w:sz w:val="21"/>
                <w:szCs w:val="21"/>
              </w:rPr>
            </w:pPr>
            <w:r>
              <w:rPr>
                <w:rFonts w:hint="eastAsia" w:hAnsi="Times New Roman" w:eastAsia="宋体"/>
                <w:b/>
                <w:kern w:val="2"/>
                <w:sz w:val="21"/>
                <w:szCs w:val="21"/>
              </w:rPr>
              <w:t>煤质</w:t>
            </w:r>
          </w:p>
        </w:tc>
        <w:tc>
          <w:tcPr>
            <w:tcW w:w="54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63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11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5.1</w:t>
            </w:r>
          </w:p>
        </w:tc>
        <w:tc>
          <w:tcPr>
            <w:tcW w:w="1248" w:type="pct"/>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灰分（原煤）</w:t>
            </w:r>
          </w:p>
        </w:tc>
        <w:tc>
          <w:tcPr>
            <w:tcW w:w="54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1634" w:type="pct"/>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K</w:t>
            </w:r>
            <w:r>
              <w:rPr>
                <w:rFonts w:hint="eastAsia" w:hAnsi="Times New Roman" w:eastAsia="宋体"/>
                <w:kern w:val="2"/>
                <w:sz w:val="21"/>
                <w:szCs w:val="21"/>
                <w:vertAlign w:val="subscript"/>
              </w:rPr>
              <w:t>6</w:t>
            </w:r>
            <w:r>
              <w:rPr>
                <w:rFonts w:hint="eastAsia" w:hAnsi="Times New Roman" w:eastAsia="宋体"/>
                <w:kern w:val="2"/>
                <w:sz w:val="21"/>
                <w:szCs w:val="21"/>
              </w:rPr>
              <w:t>：19.93，K</w:t>
            </w:r>
            <w:r>
              <w:rPr>
                <w:rFonts w:hint="eastAsia" w:hAnsi="Times New Roman" w:eastAsia="宋体"/>
                <w:kern w:val="2"/>
                <w:sz w:val="21"/>
                <w:szCs w:val="21"/>
                <w:vertAlign w:val="subscript"/>
              </w:rPr>
              <w:t>5-1</w:t>
            </w:r>
            <w:r>
              <w:rPr>
                <w:rFonts w:hint="eastAsia" w:hAnsi="Times New Roman" w:eastAsia="宋体"/>
                <w:kern w:val="2"/>
                <w:sz w:val="21"/>
                <w:szCs w:val="21"/>
              </w:rPr>
              <w:t>：20.30，K</w:t>
            </w:r>
            <w:r>
              <w:rPr>
                <w:rFonts w:hint="eastAsia" w:hAnsi="Times New Roman" w:eastAsia="宋体"/>
                <w:kern w:val="2"/>
                <w:sz w:val="21"/>
                <w:szCs w:val="21"/>
                <w:vertAlign w:val="subscript"/>
              </w:rPr>
              <w:t>5</w:t>
            </w:r>
            <w:r>
              <w:rPr>
                <w:rFonts w:hint="eastAsia" w:hAnsi="Times New Roman" w:eastAsia="宋体"/>
                <w:kern w:val="2"/>
                <w:sz w:val="21"/>
                <w:szCs w:val="21"/>
              </w:rPr>
              <w:t>：24.20。</w:t>
            </w:r>
          </w:p>
        </w:tc>
        <w:tc>
          <w:tcPr>
            <w:tcW w:w="111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5.2</w:t>
            </w:r>
          </w:p>
        </w:tc>
        <w:tc>
          <w:tcPr>
            <w:tcW w:w="1248" w:type="pct"/>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硫分（原煤）</w:t>
            </w:r>
          </w:p>
        </w:tc>
        <w:tc>
          <w:tcPr>
            <w:tcW w:w="54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1634" w:type="pct"/>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K</w:t>
            </w:r>
            <w:r>
              <w:rPr>
                <w:rFonts w:hint="eastAsia" w:hAnsi="Times New Roman" w:eastAsia="宋体"/>
                <w:kern w:val="2"/>
                <w:sz w:val="21"/>
                <w:szCs w:val="21"/>
                <w:vertAlign w:val="subscript"/>
              </w:rPr>
              <w:t>6</w:t>
            </w:r>
            <w:r>
              <w:rPr>
                <w:rFonts w:hint="eastAsia" w:hAnsi="Times New Roman" w:eastAsia="宋体"/>
                <w:kern w:val="2"/>
                <w:sz w:val="21"/>
                <w:szCs w:val="21"/>
              </w:rPr>
              <w:t>：0.84，K</w:t>
            </w:r>
            <w:r>
              <w:rPr>
                <w:rFonts w:hint="eastAsia" w:hAnsi="Times New Roman" w:eastAsia="宋体"/>
                <w:kern w:val="2"/>
                <w:sz w:val="21"/>
                <w:szCs w:val="21"/>
                <w:vertAlign w:val="subscript"/>
              </w:rPr>
              <w:t>5-1</w:t>
            </w:r>
            <w:r>
              <w:rPr>
                <w:rFonts w:hint="eastAsia" w:hAnsi="Times New Roman" w:eastAsia="宋体"/>
                <w:kern w:val="2"/>
                <w:sz w:val="21"/>
                <w:szCs w:val="21"/>
              </w:rPr>
              <w:t>：1.04，K</w:t>
            </w:r>
            <w:r>
              <w:rPr>
                <w:rFonts w:hint="eastAsia" w:hAnsi="Times New Roman" w:eastAsia="宋体"/>
                <w:kern w:val="2"/>
                <w:sz w:val="21"/>
                <w:szCs w:val="21"/>
                <w:vertAlign w:val="subscript"/>
              </w:rPr>
              <w:t>5</w:t>
            </w:r>
            <w:r>
              <w:rPr>
                <w:rFonts w:hint="eastAsia" w:hAnsi="Times New Roman" w:eastAsia="宋体"/>
                <w:kern w:val="2"/>
                <w:sz w:val="21"/>
                <w:szCs w:val="21"/>
              </w:rPr>
              <w:t>：0.88。</w:t>
            </w:r>
          </w:p>
        </w:tc>
        <w:tc>
          <w:tcPr>
            <w:tcW w:w="111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5.3</w:t>
            </w:r>
          </w:p>
        </w:tc>
        <w:tc>
          <w:tcPr>
            <w:tcW w:w="1248" w:type="pct"/>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挥发分（浮煤）</w:t>
            </w:r>
          </w:p>
        </w:tc>
        <w:tc>
          <w:tcPr>
            <w:tcW w:w="54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1634" w:type="pct"/>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K</w:t>
            </w:r>
            <w:r>
              <w:rPr>
                <w:rFonts w:hint="eastAsia" w:hAnsi="Times New Roman" w:eastAsia="宋体"/>
                <w:kern w:val="2"/>
                <w:sz w:val="21"/>
                <w:szCs w:val="21"/>
                <w:vertAlign w:val="subscript"/>
              </w:rPr>
              <w:t>6</w:t>
            </w:r>
            <w:r>
              <w:rPr>
                <w:rFonts w:hint="eastAsia" w:hAnsi="Times New Roman" w:eastAsia="宋体"/>
                <w:kern w:val="2"/>
                <w:sz w:val="21"/>
                <w:szCs w:val="21"/>
              </w:rPr>
              <w:t>：31.69，K</w:t>
            </w:r>
            <w:r>
              <w:rPr>
                <w:rFonts w:hint="eastAsia" w:hAnsi="Times New Roman" w:eastAsia="宋体"/>
                <w:kern w:val="2"/>
                <w:sz w:val="21"/>
                <w:szCs w:val="21"/>
                <w:vertAlign w:val="subscript"/>
              </w:rPr>
              <w:t>5-1</w:t>
            </w:r>
            <w:r>
              <w:rPr>
                <w:rFonts w:hint="eastAsia" w:hAnsi="Times New Roman" w:eastAsia="宋体"/>
                <w:kern w:val="2"/>
                <w:sz w:val="21"/>
                <w:szCs w:val="21"/>
              </w:rPr>
              <w:t>：31.69，K</w:t>
            </w:r>
            <w:r>
              <w:rPr>
                <w:rFonts w:hint="eastAsia" w:hAnsi="Times New Roman" w:eastAsia="宋体"/>
                <w:kern w:val="2"/>
                <w:sz w:val="21"/>
                <w:szCs w:val="21"/>
                <w:vertAlign w:val="subscript"/>
              </w:rPr>
              <w:t>5</w:t>
            </w:r>
            <w:r>
              <w:rPr>
                <w:rFonts w:hint="eastAsia" w:hAnsi="Times New Roman" w:eastAsia="宋体"/>
                <w:kern w:val="2"/>
                <w:sz w:val="21"/>
                <w:szCs w:val="21"/>
              </w:rPr>
              <w:t>：31.32。</w:t>
            </w:r>
          </w:p>
        </w:tc>
        <w:tc>
          <w:tcPr>
            <w:tcW w:w="111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5.4</w:t>
            </w:r>
          </w:p>
        </w:tc>
        <w:tc>
          <w:tcPr>
            <w:tcW w:w="1248" w:type="pct"/>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发热量</w:t>
            </w:r>
          </w:p>
        </w:tc>
        <w:tc>
          <w:tcPr>
            <w:tcW w:w="54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MJ/kg</w:t>
            </w:r>
          </w:p>
        </w:tc>
        <w:tc>
          <w:tcPr>
            <w:tcW w:w="1634" w:type="pct"/>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K</w:t>
            </w:r>
            <w:r>
              <w:rPr>
                <w:rFonts w:hint="eastAsia" w:hAnsi="Times New Roman" w:eastAsia="宋体"/>
                <w:kern w:val="2"/>
                <w:sz w:val="21"/>
                <w:szCs w:val="21"/>
                <w:vertAlign w:val="subscript"/>
              </w:rPr>
              <w:t>6</w:t>
            </w:r>
            <w:r>
              <w:rPr>
                <w:rFonts w:hint="eastAsia" w:hAnsi="Times New Roman" w:eastAsia="宋体"/>
                <w:kern w:val="2"/>
                <w:sz w:val="21"/>
                <w:szCs w:val="21"/>
              </w:rPr>
              <w:t>：27.65，K</w:t>
            </w:r>
            <w:r>
              <w:rPr>
                <w:rFonts w:hint="eastAsia" w:hAnsi="Times New Roman" w:eastAsia="宋体"/>
                <w:kern w:val="2"/>
                <w:sz w:val="21"/>
                <w:szCs w:val="21"/>
                <w:vertAlign w:val="subscript"/>
              </w:rPr>
              <w:t>5-1</w:t>
            </w:r>
            <w:r>
              <w:rPr>
                <w:rFonts w:hint="eastAsia" w:hAnsi="Times New Roman" w:eastAsia="宋体"/>
                <w:kern w:val="2"/>
                <w:sz w:val="21"/>
                <w:szCs w:val="21"/>
              </w:rPr>
              <w:t>：28.09，K</w:t>
            </w:r>
            <w:r>
              <w:rPr>
                <w:rFonts w:hint="eastAsia" w:hAnsi="Times New Roman" w:eastAsia="宋体"/>
                <w:kern w:val="2"/>
                <w:sz w:val="21"/>
                <w:szCs w:val="21"/>
                <w:vertAlign w:val="subscript"/>
              </w:rPr>
              <w:t>5</w:t>
            </w:r>
            <w:r>
              <w:rPr>
                <w:rFonts w:hint="eastAsia" w:hAnsi="Times New Roman" w:eastAsia="宋体"/>
                <w:kern w:val="2"/>
                <w:sz w:val="21"/>
                <w:szCs w:val="21"/>
              </w:rPr>
              <w:t>：24.98。</w:t>
            </w:r>
          </w:p>
        </w:tc>
        <w:tc>
          <w:tcPr>
            <w:tcW w:w="111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6</w:t>
            </w:r>
          </w:p>
        </w:tc>
        <w:tc>
          <w:tcPr>
            <w:tcW w:w="1248" w:type="pct"/>
            <w:vAlign w:val="center"/>
          </w:tcPr>
          <w:p>
            <w:pPr>
              <w:keepNext w:val="0"/>
              <w:keepLines w:val="0"/>
              <w:suppressLineNumbers w:val="0"/>
              <w:spacing w:before="0" w:beforeAutospacing="0" w:after="0" w:afterAutospacing="0"/>
              <w:ind w:left="0" w:right="0"/>
              <w:rPr>
                <w:rFonts w:hint="eastAsia" w:hAnsi="Times New Roman" w:eastAsia="宋体"/>
                <w:b/>
                <w:bCs/>
                <w:kern w:val="2"/>
                <w:sz w:val="21"/>
                <w:szCs w:val="21"/>
              </w:rPr>
            </w:pPr>
            <w:r>
              <w:rPr>
                <w:rFonts w:hint="eastAsia" w:hAnsi="Times New Roman" w:eastAsia="宋体"/>
                <w:b/>
                <w:bCs/>
                <w:kern w:val="2"/>
                <w:sz w:val="21"/>
                <w:szCs w:val="21"/>
              </w:rPr>
              <w:t>矿井设计生产能力</w:t>
            </w:r>
          </w:p>
        </w:tc>
        <w:tc>
          <w:tcPr>
            <w:tcW w:w="54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63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11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6.1</w:t>
            </w:r>
          </w:p>
        </w:tc>
        <w:tc>
          <w:tcPr>
            <w:tcW w:w="1248" w:type="pct"/>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年设计生产能力</w:t>
            </w:r>
          </w:p>
        </w:tc>
        <w:tc>
          <w:tcPr>
            <w:tcW w:w="54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kt/a</w:t>
            </w:r>
          </w:p>
        </w:tc>
        <w:tc>
          <w:tcPr>
            <w:tcW w:w="163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300</w:t>
            </w:r>
          </w:p>
        </w:tc>
        <w:tc>
          <w:tcPr>
            <w:tcW w:w="111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6.2</w:t>
            </w:r>
          </w:p>
        </w:tc>
        <w:tc>
          <w:tcPr>
            <w:tcW w:w="1248" w:type="pct"/>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日设计生产能力</w:t>
            </w:r>
          </w:p>
        </w:tc>
        <w:tc>
          <w:tcPr>
            <w:tcW w:w="54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t/d</w:t>
            </w:r>
          </w:p>
        </w:tc>
        <w:tc>
          <w:tcPr>
            <w:tcW w:w="163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909</w:t>
            </w:r>
          </w:p>
        </w:tc>
        <w:tc>
          <w:tcPr>
            <w:tcW w:w="111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vAlign w:val="center"/>
          </w:tcPr>
          <w:p>
            <w:pPr>
              <w:keepNext w:val="0"/>
              <w:keepLines w:val="0"/>
              <w:suppressLineNumbers w:val="0"/>
              <w:spacing w:before="0" w:beforeAutospacing="0" w:after="0" w:afterAutospacing="0"/>
              <w:ind w:left="0" w:right="0"/>
              <w:jc w:val="center"/>
              <w:rPr>
                <w:rFonts w:hint="eastAsia" w:hAnsi="Times New Roman" w:eastAsia="宋体"/>
                <w:b/>
                <w:kern w:val="2"/>
                <w:sz w:val="21"/>
                <w:szCs w:val="21"/>
              </w:rPr>
            </w:pPr>
            <w:r>
              <w:rPr>
                <w:rFonts w:hint="eastAsia" w:hAnsi="Times New Roman" w:eastAsia="宋体"/>
                <w:b/>
                <w:kern w:val="2"/>
                <w:sz w:val="21"/>
                <w:szCs w:val="21"/>
              </w:rPr>
              <w:t>7</w:t>
            </w:r>
          </w:p>
        </w:tc>
        <w:tc>
          <w:tcPr>
            <w:tcW w:w="1248" w:type="pct"/>
            <w:vAlign w:val="center"/>
          </w:tcPr>
          <w:p>
            <w:pPr>
              <w:keepNext w:val="0"/>
              <w:keepLines w:val="0"/>
              <w:suppressLineNumbers w:val="0"/>
              <w:spacing w:before="0" w:beforeAutospacing="0" w:after="0" w:afterAutospacing="0"/>
              <w:ind w:left="0" w:right="0"/>
              <w:rPr>
                <w:rFonts w:hint="eastAsia" w:hAnsi="Times New Roman" w:eastAsia="宋体"/>
                <w:b/>
                <w:kern w:val="2"/>
                <w:sz w:val="21"/>
                <w:szCs w:val="21"/>
              </w:rPr>
            </w:pPr>
            <w:r>
              <w:rPr>
                <w:rFonts w:hint="eastAsia" w:hAnsi="Times New Roman" w:eastAsia="宋体"/>
                <w:b/>
                <w:kern w:val="2"/>
                <w:sz w:val="21"/>
                <w:szCs w:val="21"/>
              </w:rPr>
              <w:t>矿井服务年限</w:t>
            </w:r>
          </w:p>
        </w:tc>
        <w:tc>
          <w:tcPr>
            <w:tcW w:w="54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63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11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7.1</w:t>
            </w:r>
          </w:p>
        </w:tc>
        <w:tc>
          <w:tcPr>
            <w:tcW w:w="1248" w:type="pct"/>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矿井服务年限</w:t>
            </w:r>
          </w:p>
        </w:tc>
        <w:tc>
          <w:tcPr>
            <w:tcW w:w="54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a</w:t>
            </w:r>
          </w:p>
        </w:tc>
        <w:tc>
          <w:tcPr>
            <w:tcW w:w="163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5.2</w:t>
            </w:r>
          </w:p>
        </w:tc>
        <w:tc>
          <w:tcPr>
            <w:tcW w:w="111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8</w:t>
            </w:r>
          </w:p>
        </w:tc>
        <w:tc>
          <w:tcPr>
            <w:tcW w:w="1248"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矿井设计工作制度</w:t>
            </w:r>
          </w:p>
        </w:tc>
        <w:tc>
          <w:tcPr>
            <w:tcW w:w="54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634"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“三八”</w:t>
            </w:r>
          </w:p>
        </w:tc>
        <w:tc>
          <w:tcPr>
            <w:tcW w:w="1115"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8.1</w:t>
            </w:r>
          </w:p>
        </w:tc>
        <w:tc>
          <w:tcPr>
            <w:tcW w:w="1248"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年工作天数</w:t>
            </w:r>
          </w:p>
        </w:tc>
        <w:tc>
          <w:tcPr>
            <w:tcW w:w="54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d</w:t>
            </w:r>
          </w:p>
        </w:tc>
        <w:tc>
          <w:tcPr>
            <w:tcW w:w="1634"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330</w:t>
            </w:r>
          </w:p>
        </w:tc>
        <w:tc>
          <w:tcPr>
            <w:tcW w:w="1115"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8.2</w:t>
            </w:r>
          </w:p>
        </w:tc>
        <w:tc>
          <w:tcPr>
            <w:tcW w:w="1248"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日工作班数</w:t>
            </w:r>
          </w:p>
        </w:tc>
        <w:tc>
          <w:tcPr>
            <w:tcW w:w="54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班</w:t>
            </w:r>
          </w:p>
        </w:tc>
        <w:tc>
          <w:tcPr>
            <w:tcW w:w="1634"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3</w:t>
            </w:r>
          </w:p>
        </w:tc>
        <w:tc>
          <w:tcPr>
            <w:tcW w:w="1115"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b/>
                <w:kern w:val="2"/>
                <w:sz w:val="21"/>
                <w:szCs w:val="21"/>
              </w:rPr>
              <w:t>9</w:t>
            </w:r>
          </w:p>
        </w:tc>
        <w:tc>
          <w:tcPr>
            <w:tcW w:w="1248" w:type="pct"/>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b/>
                <w:kern w:val="2"/>
                <w:sz w:val="21"/>
                <w:szCs w:val="21"/>
              </w:rPr>
              <w:t>井田开拓</w:t>
            </w:r>
          </w:p>
        </w:tc>
        <w:tc>
          <w:tcPr>
            <w:tcW w:w="54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63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11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9.1</w:t>
            </w:r>
          </w:p>
        </w:tc>
        <w:tc>
          <w:tcPr>
            <w:tcW w:w="1248" w:type="pct"/>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开拓方式</w:t>
            </w:r>
          </w:p>
        </w:tc>
        <w:tc>
          <w:tcPr>
            <w:tcW w:w="54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63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平硐+斜井综合开拓</w:t>
            </w:r>
          </w:p>
        </w:tc>
        <w:tc>
          <w:tcPr>
            <w:tcW w:w="111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9.2</w:t>
            </w:r>
          </w:p>
        </w:tc>
        <w:tc>
          <w:tcPr>
            <w:tcW w:w="1248" w:type="pct"/>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水平数目</w:t>
            </w:r>
          </w:p>
        </w:tc>
        <w:tc>
          <w:tcPr>
            <w:tcW w:w="54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个</w:t>
            </w:r>
          </w:p>
        </w:tc>
        <w:tc>
          <w:tcPr>
            <w:tcW w:w="163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1个，即+200m水平。</w:t>
            </w:r>
          </w:p>
        </w:tc>
        <w:tc>
          <w:tcPr>
            <w:tcW w:w="111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b/>
                <w:kern w:val="2"/>
                <w:sz w:val="21"/>
                <w:szCs w:val="21"/>
              </w:rPr>
              <w:t>10</w:t>
            </w:r>
          </w:p>
        </w:tc>
        <w:tc>
          <w:tcPr>
            <w:tcW w:w="1248" w:type="pct"/>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b/>
                <w:kern w:val="2"/>
                <w:sz w:val="21"/>
                <w:szCs w:val="21"/>
              </w:rPr>
              <w:t>采区</w:t>
            </w:r>
          </w:p>
        </w:tc>
        <w:tc>
          <w:tcPr>
            <w:tcW w:w="54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63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11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10.1</w:t>
            </w:r>
          </w:p>
        </w:tc>
        <w:tc>
          <w:tcPr>
            <w:tcW w:w="1248" w:type="pct"/>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采区个数</w:t>
            </w:r>
          </w:p>
        </w:tc>
        <w:tc>
          <w:tcPr>
            <w:tcW w:w="54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个</w:t>
            </w:r>
          </w:p>
        </w:tc>
        <w:tc>
          <w:tcPr>
            <w:tcW w:w="163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3</w:t>
            </w:r>
          </w:p>
        </w:tc>
        <w:tc>
          <w:tcPr>
            <w:tcW w:w="111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10.2</w:t>
            </w:r>
          </w:p>
        </w:tc>
        <w:tc>
          <w:tcPr>
            <w:tcW w:w="1248" w:type="pct"/>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回采工作面个数</w:t>
            </w:r>
          </w:p>
        </w:tc>
        <w:tc>
          <w:tcPr>
            <w:tcW w:w="54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个</w:t>
            </w:r>
          </w:p>
        </w:tc>
        <w:tc>
          <w:tcPr>
            <w:tcW w:w="163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w:t>
            </w:r>
          </w:p>
        </w:tc>
        <w:tc>
          <w:tcPr>
            <w:tcW w:w="111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10.3</w:t>
            </w:r>
          </w:p>
        </w:tc>
        <w:tc>
          <w:tcPr>
            <w:tcW w:w="1248" w:type="pct"/>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掘进工作面个数</w:t>
            </w:r>
          </w:p>
        </w:tc>
        <w:tc>
          <w:tcPr>
            <w:tcW w:w="54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个</w:t>
            </w:r>
          </w:p>
        </w:tc>
        <w:tc>
          <w:tcPr>
            <w:tcW w:w="163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w:t>
            </w:r>
          </w:p>
        </w:tc>
        <w:tc>
          <w:tcPr>
            <w:tcW w:w="111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10.4</w:t>
            </w:r>
          </w:p>
        </w:tc>
        <w:tc>
          <w:tcPr>
            <w:tcW w:w="1248" w:type="pct"/>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采煤方法</w:t>
            </w:r>
          </w:p>
        </w:tc>
        <w:tc>
          <w:tcPr>
            <w:tcW w:w="54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63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走向长壁采煤法</w:t>
            </w:r>
          </w:p>
        </w:tc>
        <w:tc>
          <w:tcPr>
            <w:tcW w:w="111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10.5</w:t>
            </w:r>
          </w:p>
        </w:tc>
        <w:tc>
          <w:tcPr>
            <w:tcW w:w="1248" w:type="pct"/>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采煤工艺</w:t>
            </w:r>
          </w:p>
        </w:tc>
        <w:tc>
          <w:tcPr>
            <w:tcW w:w="54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63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综采</w:t>
            </w:r>
          </w:p>
        </w:tc>
        <w:tc>
          <w:tcPr>
            <w:tcW w:w="111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10.5.1</w:t>
            </w:r>
          </w:p>
        </w:tc>
        <w:tc>
          <w:tcPr>
            <w:tcW w:w="1248" w:type="pct"/>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采面采煤机选型</w:t>
            </w:r>
          </w:p>
        </w:tc>
        <w:tc>
          <w:tcPr>
            <w:tcW w:w="54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63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MG100/240-BWD</w:t>
            </w:r>
          </w:p>
        </w:tc>
        <w:tc>
          <w:tcPr>
            <w:tcW w:w="111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10.5.2</w:t>
            </w:r>
          </w:p>
        </w:tc>
        <w:tc>
          <w:tcPr>
            <w:tcW w:w="1248" w:type="pct"/>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采面刮板输送机</w:t>
            </w:r>
          </w:p>
        </w:tc>
        <w:tc>
          <w:tcPr>
            <w:tcW w:w="54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63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SGB630/2×90</w:t>
            </w:r>
          </w:p>
        </w:tc>
        <w:tc>
          <w:tcPr>
            <w:tcW w:w="111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10.5.3</w:t>
            </w:r>
          </w:p>
        </w:tc>
        <w:tc>
          <w:tcPr>
            <w:tcW w:w="1248" w:type="pct"/>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运输巷带式输送机</w:t>
            </w:r>
          </w:p>
        </w:tc>
        <w:tc>
          <w:tcPr>
            <w:tcW w:w="54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63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DSJ65/20/2×55</w:t>
            </w:r>
          </w:p>
        </w:tc>
        <w:tc>
          <w:tcPr>
            <w:tcW w:w="111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b/>
                <w:kern w:val="2"/>
                <w:sz w:val="21"/>
                <w:szCs w:val="21"/>
              </w:rPr>
              <w:t>11</w:t>
            </w:r>
          </w:p>
        </w:tc>
        <w:tc>
          <w:tcPr>
            <w:tcW w:w="1248" w:type="pct"/>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b/>
                <w:kern w:val="2"/>
                <w:sz w:val="21"/>
                <w:szCs w:val="21"/>
              </w:rPr>
              <w:t>地面建筑</w:t>
            </w:r>
          </w:p>
        </w:tc>
        <w:tc>
          <w:tcPr>
            <w:tcW w:w="54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63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11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11.1</w:t>
            </w:r>
          </w:p>
        </w:tc>
        <w:tc>
          <w:tcPr>
            <w:tcW w:w="1248" w:type="pct"/>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工业建（构）筑总面积</w:t>
            </w:r>
          </w:p>
        </w:tc>
        <w:tc>
          <w:tcPr>
            <w:tcW w:w="54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m</w:t>
            </w:r>
            <w:r>
              <w:rPr>
                <w:rFonts w:hint="eastAsia" w:hAnsi="Times New Roman" w:eastAsia="宋体"/>
                <w:kern w:val="2"/>
                <w:sz w:val="21"/>
                <w:szCs w:val="21"/>
                <w:vertAlign w:val="superscript"/>
              </w:rPr>
              <w:t>2</w:t>
            </w:r>
          </w:p>
        </w:tc>
        <w:tc>
          <w:tcPr>
            <w:tcW w:w="163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bidi="ar"/>
              </w:rPr>
              <w:t>2144.25</w:t>
            </w:r>
          </w:p>
        </w:tc>
        <w:tc>
          <w:tcPr>
            <w:tcW w:w="111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11.2</w:t>
            </w:r>
          </w:p>
        </w:tc>
        <w:tc>
          <w:tcPr>
            <w:tcW w:w="1248" w:type="pct"/>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生活区、行政公共建筑物总面积</w:t>
            </w:r>
          </w:p>
        </w:tc>
        <w:tc>
          <w:tcPr>
            <w:tcW w:w="54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m</w:t>
            </w:r>
            <w:r>
              <w:rPr>
                <w:rFonts w:hint="eastAsia" w:hAnsi="Times New Roman" w:eastAsia="宋体"/>
                <w:kern w:val="2"/>
                <w:sz w:val="21"/>
                <w:szCs w:val="21"/>
                <w:vertAlign w:val="superscript"/>
              </w:rPr>
              <w:t>2</w:t>
            </w:r>
          </w:p>
        </w:tc>
        <w:tc>
          <w:tcPr>
            <w:tcW w:w="163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2115.3</w:t>
            </w:r>
          </w:p>
        </w:tc>
        <w:tc>
          <w:tcPr>
            <w:tcW w:w="111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b/>
                <w:kern w:val="2"/>
                <w:sz w:val="21"/>
                <w:szCs w:val="21"/>
              </w:rPr>
              <w:t>12</w:t>
            </w:r>
          </w:p>
        </w:tc>
        <w:tc>
          <w:tcPr>
            <w:tcW w:w="1248" w:type="pct"/>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12.1 在籍员工总数</w:t>
            </w:r>
          </w:p>
        </w:tc>
        <w:tc>
          <w:tcPr>
            <w:tcW w:w="54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人</w:t>
            </w:r>
          </w:p>
        </w:tc>
        <w:tc>
          <w:tcPr>
            <w:tcW w:w="163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399</w:t>
            </w:r>
          </w:p>
        </w:tc>
        <w:tc>
          <w:tcPr>
            <w:tcW w:w="111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12.1</w:t>
            </w:r>
          </w:p>
        </w:tc>
        <w:tc>
          <w:tcPr>
            <w:tcW w:w="1248" w:type="pct"/>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12.2 原煤生产在籍人数</w:t>
            </w:r>
          </w:p>
        </w:tc>
        <w:tc>
          <w:tcPr>
            <w:tcW w:w="54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人</w:t>
            </w:r>
          </w:p>
        </w:tc>
        <w:tc>
          <w:tcPr>
            <w:tcW w:w="163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354</w:t>
            </w:r>
          </w:p>
        </w:tc>
        <w:tc>
          <w:tcPr>
            <w:tcW w:w="111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12.2</w:t>
            </w:r>
          </w:p>
        </w:tc>
        <w:tc>
          <w:tcPr>
            <w:tcW w:w="1248" w:type="pct"/>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12.2.1 井下工人</w:t>
            </w:r>
          </w:p>
        </w:tc>
        <w:tc>
          <w:tcPr>
            <w:tcW w:w="54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人</w:t>
            </w:r>
          </w:p>
        </w:tc>
        <w:tc>
          <w:tcPr>
            <w:tcW w:w="163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248</w:t>
            </w:r>
          </w:p>
        </w:tc>
        <w:tc>
          <w:tcPr>
            <w:tcW w:w="111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12.3</w:t>
            </w:r>
          </w:p>
        </w:tc>
        <w:tc>
          <w:tcPr>
            <w:tcW w:w="1248" w:type="pct"/>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12.2.2 地面工人</w:t>
            </w:r>
          </w:p>
        </w:tc>
        <w:tc>
          <w:tcPr>
            <w:tcW w:w="54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人</w:t>
            </w:r>
          </w:p>
        </w:tc>
        <w:tc>
          <w:tcPr>
            <w:tcW w:w="163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56</w:t>
            </w:r>
          </w:p>
        </w:tc>
        <w:tc>
          <w:tcPr>
            <w:tcW w:w="111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12.4</w:t>
            </w:r>
          </w:p>
        </w:tc>
        <w:tc>
          <w:tcPr>
            <w:tcW w:w="1248" w:type="pct"/>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12.2.3 管理人员</w:t>
            </w:r>
          </w:p>
        </w:tc>
        <w:tc>
          <w:tcPr>
            <w:tcW w:w="54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人</w:t>
            </w:r>
          </w:p>
        </w:tc>
        <w:tc>
          <w:tcPr>
            <w:tcW w:w="163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50</w:t>
            </w:r>
          </w:p>
        </w:tc>
        <w:tc>
          <w:tcPr>
            <w:tcW w:w="111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12.5</w:t>
            </w:r>
          </w:p>
        </w:tc>
        <w:tc>
          <w:tcPr>
            <w:tcW w:w="1248" w:type="pct"/>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12.3 全员工效</w:t>
            </w:r>
          </w:p>
        </w:tc>
        <w:tc>
          <w:tcPr>
            <w:tcW w:w="54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t/工</w:t>
            </w:r>
          </w:p>
        </w:tc>
        <w:tc>
          <w:tcPr>
            <w:tcW w:w="163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3.37</w:t>
            </w:r>
          </w:p>
        </w:tc>
        <w:tc>
          <w:tcPr>
            <w:tcW w:w="111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b/>
                <w:kern w:val="2"/>
                <w:sz w:val="21"/>
                <w:szCs w:val="21"/>
              </w:rPr>
              <w:t>13</w:t>
            </w:r>
          </w:p>
        </w:tc>
        <w:tc>
          <w:tcPr>
            <w:tcW w:w="1248" w:type="pct"/>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工程总投资</w:t>
            </w:r>
          </w:p>
        </w:tc>
        <w:tc>
          <w:tcPr>
            <w:tcW w:w="54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万元</w:t>
            </w:r>
          </w:p>
        </w:tc>
        <w:tc>
          <w:tcPr>
            <w:tcW w:w="163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4753.86</w:t>
            </w:r>
          </w:p>
        </w:tc>
        <w:tc>
          <w:tcPr>
            <w:tcW w:w="111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b/>
                <w:kern w:val="2"/>
                <w:sz w:val="21"/>
                <w:szCs w:val="21"/>
              </w:rPr>
              <w:t>14</w:t>
            </w:r>
          </w:p>
        </w:tc>
        <w:tc>
          <w:tcPr>
            <w:tcW w:w="1248"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项目建设工期</w:t>
            </w:r>
          </w:p>
        </w:tc>
        <w:tc>
          <w:tcPr>
            <w:tcW w:w="54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月</w:t>
            </w:r>
          </w:p>
        </w:tc>
        <w:tc>
          <w:tcPr>
            <w:tcW w:w="1634"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18.6</w:t>
            </w:r>
          </w:p>
        </w:tc>
        <w:tc>
          <w:tcPr>
            <w:tcW w:w="1115"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b/>
                <w:kern w:val="2"/>
                <w:sz w:val="21"/>
                <w:szCs w:val="21"/>
              </w:rPr>
              <w:t>15</w:t>
            </w:r>
          </w:p>
        </w:tc>
        <w:tc>
          <w:tcPr>
            <w:tcW w:w="1248"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15.1税后财务内部收益率</w:t>
            </w:r>
          </w:p>
        </w:tc>
        <w:tc>
          <w:tcPr>
            <w:tcW w:w="54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1634"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36.12</w:t>
            </w:r>
          </w:p>
        </w:tc>
        <w:tc>
          <w:tcPr>
            <w:tcW w:w="1115"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248" w:type="pct"/>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15.2税后投资回收期</w:t>
            </w:r>
          </w:p>
        </w:tc>
        <w:tc>
          <w:tcPr>
            <w:tcW w:w="54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a</w:t>
            </w:r>
          </w:p>
        </w:tc>
        <w:tc>
          <w:tcPr>
            <w:tcW w:w="163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3.02</w:t>
            </w:r>
          </w:p>
        </w:tc>
        <w:tc>
          <w:tcPr>
            <w:tcW w:w="111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248" w:type="pct"/>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15.3税后投资净现值</w:t>
            </w:r>
          </w:p>
        </w:tc>
        <w:tc>
          <w:tcPr>
            <w:tcW w:w="54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万元</w:t>
            </w:r>
          </w:p>
        </w:tc>
        <w:tc>
          <w:tcPr>
            <w:tcW w:w="163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5370.67</w:t>
            </w:r>
          </w:p>
        </w:tc>
        <w:tc>
          <w:tcPr>
            <w:tcW w:w="111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248" w:type="pct"/>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15.</w:t>
            </w:r>
            <w:r>
              <w:rPr>
                <w:rFonts w:hint="eastAsia" w:hAnsi="Times New Roman" w:eastAsia="宋体"/>
                <w:kern w:val="2"/>
                <w:sz w:val="21"/>
                <w:szCs w:val="21"/>
                <w:lang w:eastAsia="zh-CN"/>
              </w:rPr>
              <w:t>4</w:t>
            </w:r>
            <w:r>
              <w:rPr>
                <w:rFonts w:hint="eastAsia" w:hAnsi="Times New Roman" w:eastAsia="宋体"/>
                <w:kern w:val="2"/>
                <w:sz w:val="21"/>
                <w:szCs w:val="21"/>
              </w:rPr>
              <w:t>总投资收益率（%）</w:t>
            </w:r>
          </w:p>
        </w:tc>
        <w:tc>
          <w:tcPr>
            <w:tcW w:w="54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163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39.44</w:t>
            </w:r>
          </w:p>
        </w:tc>
        <w:tc>
          <w:tcPr>
            <w:tcW w:w="111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248" w:type="pct"/>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15.</w:t>
            </w:r>
            <w:r>
              <w:rPr>
                <w:rFonts w:hint="eastAsia" w:hAnsi="Times New Roman" w:eastAsia="宋体"/>
                <w:kern w:val="2"/>
                <w:sz w:val="21"/>
                <w:szCs w:val="21"/>
                <w:lang w:eastAsia="zh-CN"/>
              </w:rPr>
              <w:t>5</w:t>
            </w:r>
            <w:r>
              <w:rPr>
                <w:rFonts w:hint="eastAsia" w:hAnsi="Times New Roman" w:eastAsia="宋体"/>
                <w:kern w:val="2"/>
                <w:sz w:val="21"/>
                <w:szCs w:val="21"/>
              </w:rPr>
              <w:t>投资利税率</w:t>
            </w:r>
          </w:p>
        </w:tc>
        <w:tc>
          <w:tcPr>
            <w:tcW w:w="54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163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57.23</w:t>
            </w:r>
          </w:p>
        </w:tc>
        <w:tc>
          <w:tcPr>
            <w:tcW w:w="111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6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248" w:type="pct"/>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bCs/>
                <w:kern w:val="2"/>
                <w:sz w:val="21"/>
                <w:szCs w:val="21"/>
              </w:rPr>
              <w:t>15.</w:t>
            </w:r>
            <w:r>
              <w:rPr>
                <w:rFonts w:hint="eastAsia" w:hAnsi="Times New Roman" w:eastAsia="宋体"/>
                <w:bCs/>
                <w:kern w:val="2"/>
                <w:sz w:val="21"/>
                <w:szCs w:val="21"/>
                <w:lang w:eastAsia="zh-CN"/>
              </w:rPr>
              <w:t>6</w:t>
            </w:r>
            <w:r>
              <w:rPr>
                <w:rFonts w:hint="eastAsia" w:hAnsi="Times New Roman" w:eastAsia="宋体"/>
                <w:bCs/>
                <w:kern w:val="2"/>
                <w:sz w:val="21"/>
                <w:szCs w:val="21"/>
              </w:rPr>
              <w:t>项目资本金净利润率</w:t>
            </w:r>
          </w:p>
        </w:tc>
        <w:tc>
          <w:tcPr>
            <w:tcW w:w="54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163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bCs/>
                <w:kern w:val="2"/>
                <w:sz w:val="21"/>
                <w:szCs w:val="21"/>
              </w:rPr>
              <w:t>31.34</w:t>
            </w:r>
          </w:p>
        </w:tc>
        <w:tc>
          <w:tcPr>
            <w:tcW w:w="111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bl>
    <w:p>
      <w:pPr>
        <w:pStyle w:val="6"/>
        <w:rPr>
          <w:lang w:eastAsia="zh-CN"/>
        </w:rPr>
      </w:pPr>
      <w:bookmarkStart w:id="90" w:name="_Toc167095137"/>
      <w:bookmarkStart w:id="91" w:name="_Toc163812514"/>
      <w:r>
        <w:rPr>
          <w:lang w:eastAsia="zh-CN"/>
        </w:rPr>
        <w:t>2.2.9 井（矿）田境界及资源概况</w:t>
      </w:r>
      <w:bookmarkEnd w:id="90"/>
      <w:bookmarkEnd w:id="91"/>
    </w:p>
    <w:p>
      <w:pPr>
        <w:spacing w:line="360" w:lineRule="auto"/>
        <w:ind w:firstLine="480" w:firstLineChars="200"/>
        <w:rPr>
          <w:rFonts w:hAnsi="Times New Roman" w:eastAsia="宋体"/>
          <w:szCs w:val="22"/>
          <w:lang w:eastAsia="zh-CN"/>
        </w:rPr>
      </w:pPr>
      <w:r>
        <w:rPr>
          <w:rFonts w:hAnsi="Times New Roman" w:eastAsia="宋体"/>
          <w:szCs w:val="22"/>
          <w:lang w:eastAsia="zh-CN"/>
        </w:rPr>
        <w:t>2.2.9.1 井田境界</w:t>
      </w:r>
    </w:p>
    <w:p>
      <w:pPr>
        <w:spacing w:line="360" w:lineRule="auto"/>
        <w:ind w:firstLine="482" w:firstLineChars="200"/>
        <w:rPr>
          <w:rFonts w:hAnsi="Times New Roman" w:eastAsia="宋体"/>
          <w:b/>
          <w:bCs/>
          <w:lang w:eastAsia="zh-CN"/>
        </w:rPr>
      </w:pPr>
      <w:r>
        <w:rPr>
          <w:rFonts w:hint="eastAsia" w:hAnsi="Times New Roman" w:eastAsia="宋体"/>
          <w:b/>
          <w:bCs/>
          <w:lang w:eastAsia="zh-CN"/>
        </w:rPr>
        <w:t>1、采矿许可证矿区范围</w:t>
      </w:r>
    </w:p>
    <w:p>
      <w:pPr>
        <w:spacing w:line="360" w:lineRule="auto"/>
        <w:ind w:firstLine="480" w:firstLineChars="200"/>
        <w:rPr>
          <w:rFonts w:hAnsi="Times New Roman" w:eastAsia="宋体"/>
          <w:lang w:eastAsia="zh-CN"/>
        </w:rPr>
      </w:pPr>
      <w:r>
        <w:rPr>
          <w:rFonts w:hint="eastAsia" w:hAnsi="Times New Roman" w:eastAsia="宋体"/>
          <w:lang w:eastAsia="zh-CN"/>
        </w:rPr>
        <w:t>该矿因避让四川宣汉国家森林公园观音山景区保护范围后于</w:t>
      </w:r>
      <w:bookmarkStart w:id="92" w:name="_Hlk68862847"/>
      <w:r>
        <w:rPr>
          <w:rFonts w:hint="eastAsia" w:hAnsi="Times New Roman" w:eastAsia="宋体"/>
          <w:lang w:eastAsia="zh-CN"/>
        </w:rPr>
        <w:t>2021年1月28日由四川省自然资源厅换发了《采矿许可证》，证号为：C5100002010111120084196，矿区范围由1～32号拐点坐标圈定，面积为3.4715km</w:t>
      </w:r>
      <w:r>
        <w:rPr>
          <w:rFonts w:hint="eastAsia" w:hAnsi="Times New Roman" w:eastAsia="宋体"/>
          <w:vertAlign w:val="superscript"/>
          <w:lang w:eastAsia="zh-CN"/>
        </w:rPr>
        <w:t>2</w:t>
      </w:r>
      <w:r>
        <w:rPr>
          <w:rFonts w:hint="eastAsia" w:hAnsi="Times New Roman" w:eastAsia="宋体"/>
          <w:lang w:eastAsia="zh-CN"/>
        </w:rPr>
        <w:t>，批准开采煤层为K</w:t>
      </w:r>
      <w:r>
        <w:rPr>
          <w:rFonts w:hint="eastAsia" w:hAnsi="Times New Roman" w:eastAsia="宋体"/>
          <w:vertAlign w:val="subscript"/>
          <w:lang w:eastAsia="zh-CN"/>
        </w:rPr>
        <w:t>10</w:t>
      </w:r>
      <w:r>
        <w:rPr>
          <w:rFonts w:hint="eastAsia" w:hAnsi="Times New Roman" w:eastAsia="宋体"/>
          <w:lang w:eastAsia="zh-CN"/>
        </w:rPr>
        <w:t>、K</w:t>
      </w:r>
      <w:r>
        <w:rPr>
          <w:rFonts w:hint="eastAsia" w:hAnsi="Times New Roman" w:eastAsia="宋体"/>
          <w:vertAlign w:val="subscript"/>
          <w:lang w:eastAsia="zh-CN"/>
        </w:rPr>
        <w:t>8</w:t>
      </w:r>
      <w:r>
        <w:rPr>
          <w:rFonts w:hint="eastAsia" w:hAnsi="Times New Roman" w:eastAsia="宋体"/>
          <w:lang w:eastAsia="zh-CN"/>
        </w:rPr>
        <w:t>、K</w:t>
      </w:r>
      <w:r>
        <w:rPr>
          <w:rFonts w:hint="eastAsia" w:hAnsi="Times New Roman" w:eastAsia="宋体"/>
          <w:vertAlign w:val="subscript"/>
          <w:lang w:eastAsia="zh-CN"/>
        </w:rPr>
        <w:t>6</w:t>
      </w:r>
      <w:r>
        <w:rPr>
          <w:rFonts w:hint="eastAsia" w:hAnsi="Times New Roman" w:eastAsia="宋体"/>
          <w:lang w:eastAsia="zh-CN"/>
        </w:rPr>
        <w:t>、K</w:t>
      </w:r>
      <w:r>
        <w:rPr>
          <w:rFonts w:hint="eastAsia" w:hAnsi="Times New Roman" w:eastAsia="宋体"/>
          <w:vertAlign w:val="subscript"/>
          <w:lang w:eastAsia="zh-CN"/>
        </w:rPr>
        <w:t>5-1</w:t>
      </w:r>
      <w:r>
        <w:rPr>
          <w:rFonts w:hint="eastAsia" w:hAnsi="Times New Roman" w:eastAsia="宋体"/>
          <w:lang w:eastAsia="zh-CN"/>
        </w:rPr>
        <w:t>、K</w:t>
      </w:r>
      <w:r>
        <w:rPr>
          <w:rFonts w:hint="eastAsia" w:hAnsi="Times New Roman" w:eastAsia="宋体"/>
          <w:vertAlign w:val="subscript"/>
          <w:lang w:eastAsia="zh-CN"/>
        </w:rPr>
        <w:t>5</w:t>
      </w:r>
      <w:r>
        <w:rPr>
          <w:rFonts w:hint="eastAsia" w:hAnsi="Times New Roman" w:eastAsia="宋体"/>
          <w:lang w:eastAsia="zh-CN"/>
        </w:rPr>
        <w:t>、K</w:t>
      </w:r>
      <w:r>
        <w:rPr>
          <w:rFonts w:hint="eastAsia" w:hAnsi="Times New Roman" w:eastAsia="宋体"/>
          <w:vertAlign w:val="subscript"/>
          <w:lang w:eastAsia="zh-CN"/>
        </w:rPr>
        <w:t>4</w:t>
      </w:r>
      <w:r>
        <w:rPr>
          <w:rFonts w:hint="eastAsia" w:hAnsi="Times New Roman" w:eastAsia="宋体"/>
          <w:lang w:eastAsia="zh-CN"/>
        </w:rPr>
        <w:t>煤层，允许开采深度为+670m～+200m标高。</w:t>
      </w:r>
      <w:bookmarkEnd w:id="92"/>
    </w:p>
    <w:p>
      <w:pPr>
        <w:spacing w:line="360" w:lineRule="auto"/>
        <w:ind w:firstLine="480" w:firstLineChars="200"/>
        <w:rPr>
          <w:rFonts w:hAnsi="Times New Roman" w:eastAsia="宋体"/>
          <w:lang w:eastAsia="zh-CN"/>
        </w:rPr>
      </w:pPr>
      <w:r>
        <w:rPr>
          <w:rFonts w:hint="eastAsia" w:hAnsi="Times New Roman" w:eastAsia="宋体"/>
          <w:lang w:eastAsia="zh-CN"/>
        </w:rPr>
        <w:t>避让退出后现矿区</w:t>
      </w:r>
      <w:r>
        <w:rPr>
          <w:rFonts w:hAnsi="Times New Roman" w:eastAsia="宋体"/>
          <w:lang w:eastAsia="zh-CN"/>
        </w:rPr>
        <w:t>范围由32个拐点圈闭，拐点坐标详见表2.2-4。</w:t>
      </w:r>
    </w:p>
    <w:p>
      <w:pPr>
        <w:spacing w:line="360" w:lineRule="auto"/>
        <w:jc w:val="center"/>
        <w:rPr>
          <w:rFonts w:hAnsi="Times New Roman" w:eastAsia="宋体"/>
          <w:b/>
          <w:bCs/>
          <w:lang w:eastAsia="zh-CN"/>
        </w:rPr>
      </w:pPr>
      <w:r>
        <w:rPr>
          <w:rFonts w:hAnsi="Times New Roman" w:eastAsia="宋体"/>
          <w:b/>
          <w:bCs/>
          <w:lang w:eastAsia="zh-CN"/>
        </w:rPr>
        <w:t>表2.2-4 划定矿区范围拐点坐标表</w:t>
      </w:r>
    </w:p>
    <w:tbl>
      <w:tblPr>
        <w:tblStyle w:val="33"/>
        <w:tblW w:w="934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8"/>
        <w:gridCol w:w="1588"/>
        <w:gridCol w:w="1587"/>
        <w:gridCol w:w="1301"/>
        <w:gridCol w:w="1714"/>
        <w:gridCol w:w="18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78" w:type="dxa"/>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b/>
                <w:kern w:val="2"/>
                <w:sz w:val="21"/>
                <w:szCs w:val="21"/>
                <w:lang w:eastAsia="en-US"/>
              </w:rPr>
            </w:pPr>
            <w:r>
              <w:rPr>
                <w:rFonts w:hint="eastAsia" w:hAnsi="Times New Roman" w:eastAsia="宋体"/>
                <w:b/>
                <w:kern w:val="2"/>
                <w:sz w:val="21"/>
                <w:szCs w:val="21"/>
                <w:lang w:eastAsia="en-US"/>
              </w:rPr>
              <w:t>编号</w:t>
            </w:r>
          </w:p>
        </w:tc>
        <w:tc>
          <w:tcPr>
            <w:tcW w:w="3175" w:type="dxa"/>
            <w:gridSpan w:val="2"/>
            <w:vAlign w:val="center"/>
          </w:tcPr>
          <w:p>
            <w:pPr>
              <w:keepNext w:val="0"/>
              <w:keepLines w:val="0"/>
              <w:suppressLineNumbers w:val="0"/>
              <w:spacing w:before="0" w:beforeAutospacing="0" w:after="0" w:afterAutospacing="0"/>
              <w:ind w:left="0" w:right="0"/>
              <w:jc w:val="center"/>
              <w:rPr>
                <w:rFonts w:hint="eastAsia" w:hAnsi="Times New Roman" w:eastAsia="宋体"/>
                <w:b/>
                <w:kern w:val="2"/>
                <w:sz w:val="21"/>
                <w:szCs w:val="21"/>
                <w:lang w:eastAsia="en-US"/>
              </w:rPr>
            </w:pPr>
            <w:r>
              <w:rPr>
                <w:rFonts w:hint="eastAsia" w:hAnsi="Times New Roman" w:eastAsia="宋体"/>
                <w:b/>
                <w:kern w:val="2"/>
                <w:sz w:val="21"/>
                <w:szCs w:val="21"/>
                <w:lang w:eastAsia="en-US"/>
              </w:rPr>
              <w:t>2000国家大地坐标系</w:t>
            </w:r>
          </w:p>
        </w:tc>
        <w:tc>
          <w:tcPr>
            <w:tcW w:w="1301" w:type="dxa"/>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b/>
                <w:kern w:val="2"/>
                <w:sz w:val="21"/>
                <w:szCs w:val="21"/>
                <w:lang w:eastAsia="en-US"/>
              </w:rPr>
            </w:pPr>
            <w:r>
              <w:rPr>
                <w:rFonts w:hint="eastAsia" w:hAnsi="Times New Roman" w:eastAsia="宋体"/>
                <w:b/>
                <w:kern w:val="2"/>
                <w:sz w:val="21"/>
                <w:szCs w:val="21"/>
                <w:lang w:eastAsia="en-US"/>
              </w:rPr>
              <w:t>编号</w:t>
            </w:r>
          </w:p>
        </w:tc>
        <w:tc>
          <w:tcPr>
            <w:tcW w:w="3590" w:type="dxa"/>
            <w:gridSpan w:val="2"/>
            <w:vAlign w:val="center"/>
          </w:tcPr>
          <w:p>
            <w:pPr>
              <w:keepNext w:val="0"/>
              <w:keepLines w:val="0"/>
              <w:suppressLineNumbers w:val="0"/>
              <w:spacing w:before="0" w:beforeAutospacing="0" w:after="0" w:afterAutospacing="0"/>
              <w:ind w:left="0" w:right="0"/>
              <w:jc w:val="center"/>
              <w:rPr>
                <w:rFonts w:hint="eastAsia" w:hAnsi="Times New Roman" w:eastAsia="宋体"/>
                <w:b/>
                <w:kern w:val="2"/>
                <w:sz w:val="21"/>
                <w:szCs w:val="21"/>
                <w:lang w:eastAsia="en-US"/>
              </w:rPr>
            </w:pPr>
            <w:r>
              <w:rPr>
                <w:rFonts w:hint="eastAsia" w:hAnsi="Times New Roman" w:eastAsia="宋体"/>
                <w:b/>
                <w:kern w:val="2"/>
                <w:sz w:val="21"/>
                <w:szCs w:val="21"/>
                <w:lang w:eastAsia="en-US"/>
              </w:rPr>
              <w:t>2000国家大地坐标系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78"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b/>
                <w:kern w:val="2"/>
                <w:sz w:val="21"/>
                <w:szCs w:val="21"/>
                <w:lang w:eastAsia="en-US"/>
              </w:rPr>
            </w:pPr>
          </w:p>
        </w:tc>
        <w:tc>
          <w:tcPr>
            <w:tcW w:w="1588" w:type="dxa"/>
            <w:vAlign w:val="center"/>
          </w:tcPr>
          <w:p>
            <w:pPr>
              <w:keepNext w:val="0"/>
              <w:keepLines w:val="0"/>
              <w:suppressLineNumbers w:val="0"/>
              <w:spacing w:before="0" w:beforeAutospacing="0" w:after="0" w:afterAutospacing="0"/>
              <w:ind w:left="0" w:right="0"/>
              <w:jc w:val="center"/>
              <w:rPr>
                <w:rFonts w:hint="eastAsia" w:hAnsi="Times New Roman" w:eastAsia="宋体"/>
                <w:b/>
                <w:kern w:val="2"/>
                <w:sz w:val="21"/>
                <w:szCs w:val="21"/>
                <w:lang w:eastAsia="en-US"/>
              </w:rPr>
            </w:pPr>
            <w:r>
              <w:rPr>
                <w:rFonts w:hint="eastAsia" w:hAnsi="Times New Roman" w:eastAsia="宋体"/>
                <w:b/>
                <w:kern w:val="2"/>
                <w:sz w:val="21"/>
                <w:szCs w:val="21"/>
                <w:lang w:eastAsia="en-US"/>
              </w:rPr>
              <w:t>X(m)</w:t>
            </w:r>
          </w:p>
        </w:tc>
        <w:tc>
          <w:tcPr>
            <w:tcW w:w="1587" w:type="dxa"/>
            <w:vAlign w:val="center"/>
          </w:tcPr>
          <w:p>
            <w:pPr>
              <w:keepNext w:val="0"/>
              <w:keepLines w:val="0"/>
              <w:suppressLineNumbers w:val="0"/>
              <w:spacing w:before="0" w:beforeAutospacing="0" w:after="0" w:afterAutospacing="0"/>
              <w:ind w:left="0" w:right="0"/>
              <w:jc w:val="center"/>
              <w:rPr>
                <w:rFonts w:hint="eastAsia" w:hAnsi="Times New Roman" w:eastAsia="宋体"/>
                <w:b/>
                <w:kern w:val="2"/>
                <w:sz w:val="21"/>
                <w:szCs w:val="21"/>
                <w:lang w:eastAsia="en-US"/>
              </w:rPr>
            </w:pPr>
            <w:r>
              <w:rPr>
                <w:rFonts w:hint="eastAsia" w:hAnsi="Times New Roman" w:eastAsia="宋体"/>
                <w:b/>
                <w:kern w:val="2"/>
                <w:sz w:val="21"/>
                <w:szCs w:val="21"/>
                <w:lang w:eastAsia="en-US"/>
              </w:rPr>
              <w:t>Y(m)</w:t>
            </w:r>
          </w:p>
        </w:tc>
        <w:tc>
          <w:tcPr>
            <w:tcW w:w="1301"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b/>
                <w:kern w:val="2"/>
                <w:sz w:val="21"/>
                <w:szCs w:val="21"/>
                <w:lang w:eastAsia="en-US"/>
              </w:rPr>
            </w:pPr>
          </w:p>
        </w:tc>
        <w:tc>
          <w:tcPr>
            <w:tcW w:w="1714" w:type="dxa"/>
            <w:vAlign w:val="center"/>
          </w:tcPr>
          <w:p>
            <w:pPr>
              <w:keepNext w:val="0"/>
              <w:keepLines w:val="0"/>
              <w:suppressLineNumbers w:val="0"/>
              <w:spacing w:before="0" w:beforeAutospacing="0" w:after="0" w:afterAutospacing="0"/>
              <w:ind w:left="0" w:right="0"/>
              <w:jc w:val="center"/>
              <w:rPr>
                <w:rFonts w:hint="eastAsia" w:hAnsi="Times New Roman" w:eastAsia="宋体"/>
                <w:b/>
                <w:kern w:val="2"/>
                <w:sz w:val="21"/>
                <w:szCs w:val="21"/>
                <w:lang w:eastAsia="en-US"/>
              </w:rPr>
            </w:pPr>
            <w:r>
              <w:rPr>
                <w:rFonts w:hint="eastAsia" w:hAnsi="Times New Roman" w:eastAsia="宋体"/>
                <w:b/>
                <w:kern w:val="2"/>
                <w:sz w:val="21"/>
                <w:szCs w:val="21"/>
                <w:lang w:eastAsia="en-US"/>
              </w:rPr>
              <w:t>X(m)</w:t>
            </w:r>
          </w:p>
        </w:tc>
        <w:tc>
          <w:tcPr>
            <w:tcW w:w="1876" w:type="dxa"/>
            <w:vAlign w:val="center"/>
          </w:tcPr>
          <w:p>
            <w:pPr>
              <w:keepNext w:val="0"/>
              <w:keepLines w:val="0"/>
              <w:suppressLineNumbers w:val="0"/>
              <w:spacing w:before="0" w:beforeAutospacing="0" w:after="0" w:afterAutospacing="0"/>
              <w:ind w:left="0" w:right="0"/>
              <w:jc w:val="center"/>
              <w:rPr>
                <w:rFonts w:hint="eastAsia" w:hAnsi="Times New Roman" w:eastAsia="宋体"/>
                <w:b/>
                <w:kern w:val="2"/>
                <w:sz w:val="21"/>
                <w:szCs w:val="21"/>
                <w:lang w:eastAsia="en-US"/>
              </w:rPr>
            </w:pPr>
            <w:r>
              <w:rPr>
                <w:rFonts w:hint="eastAsia" w:hAnsi="Times New Roman" w:eastAsia="宋体"/>
                <w:b/>
                <w:kern w:val="2"/>
                <w:sz w:val="21"/>
                <w:szCs w:val="21"/>
                <w:lang w:eastAsia="en-US"/>
              </w:rPr>
              <w:t>Y(m)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78"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en-US"/>
              </w:rPr>
              <w:t>1</w:t>
            </w:r>
          </w:p>
        </w:tc>
        <w:tc>
          <w:tcPr>
            <w:tcW w:w="1588"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en-US"/>
              </w:rPr>
              <w:t>3451794.77</w:t>
            </w:r>
          </w:p>
        </w:tc>
        <w:tc>
          <w:tcPr>
            <w:tcW w:w="1587"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en-US"/>
              </w:rPr>
              <w:t>36475493.97</w:t>
            </w:r>
          </w:p>
        </w:tc>
        <w:tc>
          <w:tcPr>
            <w:tcW w:w="1301"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en-US"/>
              </w:rPr>
            </w:pPr>
            <w:r>
              <w:rPr>
                <w:rFonts w:hint="eastAsia" w:hAnsi="Times New Roman" w:eastAsia="宋体"/>
                <w:kern w:val="2"/>
                <w:sz w:val="21"/>
                <w:szCs w:val="21"/>
              </w:rPr>
              <w:t>17</w:t>
            </w:r>
          </w:p>
        </w:tc>
        <w:tc>
          <w:tcPr>
            <w:tcW w:w="1714"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kern w:val="2"/>
                <w:sz w:val="21"/>
                <w:szCs w:val="21"/>
              </w:rPr>
              <w:t>3447621.77</w:t>
            </w:r>
          </w:p>
        </w:tc>
        <w:tc>
          <w:tcPr>
            <w:tcW w:w="1876"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kern w:val="2"/>
                <w:sz w:val="21"/>
                <w:szCs w:val="21"/>
              </w:rPr>
              <w:t>36472988.97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78"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en-US"/>
              </w:rPr>
              <w:t>2</w:t>
            </w:r>
          </w:p>
        </w:tc>
        <w:tc>
          <w:tcPr>
            <w:tcW w:w="1588"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en-US"/>
              </w:rPr>
              <w:t>3450978.77</w:t>
            </w:r>
          </w:p>
        </w:tc>
        <w:tc>
          <w:tcPr>
            <w:tcW w:w="1587"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en-US"/>
              </w:rPr>
              <w:t>36474996.97</w:t>
            </w:r>
          </w:p>
        </w:tc>
        <w:tc>
          <w:tcPr>
            <w:tcW w:w="1301"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en-US"/>
              </w:rPr>
            </w:pPr>
            <w:r>
              <w:rPr>
                <w:rFonts w:hint="eastAsia" w:hAnsi="Times New Roman" w:eastAsia="宋体"/>
                <w:kern w:val="2"/>
                <w:sz w:val="21"/>
                <w:szCs w:val="21"/>
              </w:rPr>
              <w:t>18</w:t>
            </w:r>
          </w:p>
        </w:tc>
        <w:tc>
          <w:tcPr>
            <w:tcW w:w="1714"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kern w:val="2"/>
                <w:sz w:val="21"/>
                <w:szCs w:val="21"/>
              </w:rPr>
              <w:t>3449283.77</w:t>
            </w:r>
          </w:p>
        </w:tc>
        <w:tc>
          <w:tcPr>
            <w:tcW w:w="1876"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kern w:val="2"/>
                <w:sz w:val="21"/>
                <w:szCs w:val="21"/>
              </w:rPr>
              <w:t>36474192.97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78"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en-US"/>
              </w:rPr>
              <w:t>3</w:t>
            </w:r>
          </w:p>
        </w:tc>
        <w:tc>
          <w:tcPr>
            <w:tcW w:w="1588"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en-US"/>
              </w:rPr>
              <w:t>3450219.77</w:t>
            </w:r>
          </w:p>
        </w:tc>
        <w:tc>
          <w:tcPr>
            <w:tcW w:w="1587"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en-US"/>
              </w:rPr>
              <w:t>36474498.97</w:t>
            </w:r>
          </w:p>
        </w:tc>
        <w:tc>
          <w:tcPr>
            <w:tcW w:w="1301"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en-US"/>
              </w:rPr>
            </w:pPr>
            <w:r>
              <w:rPr>
                <w:rFonts w:hint="eastAsia" w:hAnsi="Times New Roman" w:eastAsia="宋体"/>
                <w:kern w:val="2"/>
                <w:sz w:val="21"/>
                <w:szCs w:val="21"/>
              </w:rPr>
              <w:t>19</w:t>
            </w:r>
          </w:p>
        </w:tc>
        <w:tc>
          <w:tcPr>
            <w:tcW w:w="1714"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kern w:val="2"/>
                <w:sz w:val="21"/>
                <w:szCs w:val="21"/>
              </w:rPr>
              <w:t>3450841.77</w:t>
            </w:r>
          </w:p>
        </w:tc>
        <w:tc>
          <w:tcPr>
            <w:tcW w:w="1876"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kern w:val="2"/>
                <w:sz w:val="21"/>
                <w:szCs w:val="21"/>
              </w:rPr>
              <w:t>36475203.97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78"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en-US"/>
              </w:rPr>
              <w:t>4</w:t>
            </w:r>
          </w:p>
        </w:tc>
        <w:tc>
          <w:tcPr>
            <w:tcW w:w="1588"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en-US"/>
              </w:rPr>
              <w:t>3449431.77</w:t>
            </w:r>
          </w:p>
        </w:tc>
        <w:tc>
          <w:tcPr>
            <w:tcW w:w="1587"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en-US"/>
              </w:rPr>
              <w:t>36473981.97</w:t>
            </w:r>
          </w:p>
        </w:tc>
        <w:tc>
          <w:tcPr>
            <w:tcW w:w="1301"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en-US"/>
              </w:rPr>
            </w:pPr>
            <w:r>
              <w:rPr>
                <w:rFonts w:hint="eastAsia" w:hAnsi="Times New Roman" w:eastAsia="宋体"/>
                <w:kern w:val="2"/>
                <w:sz w:val="21"/>
                <w:szCs w:val="21"/>
              </w:rPr>
              <w:t>20</w:t>
            </w:r>
          </w:p>
        </w:tc>
        <w:tc>
          <w:tcPr>
            <w:tcW w:w="1714"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kern w:val="2"/>
                <w:sz w:val="21"/>
                <w:szCs w:val="21"/>
              </w:rPr>
              <w:t>3453537.77</w:t>
            </w:r>
          </w:p>
        </w:tc>
        <w:tc>
          <w:tcPr>
            <w:tcW w:w="1876"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kern w:val="2"/>
                <w:sz w:val="21"/>
                <w:szCs w:val="21"/>
              </w:rPr>
              <w:t>36477012.97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78"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en-US"/>
              </w:rPr>
              <w:t>5</w:t>
            </w:r>
          </w:p>
        </w:tc>
        <w:tc>
          <w:tcPr>
            <w:tcW w:w="1588"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en-US"/>
              </w:rPr>
              <w:t>3449370.77</w:t>
            </w:r>
          </w:p>
        </w:tc>
        <w:tc>
          <w:tcPr>
            <w:tcW w:w="1587"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en-US"/>
              </w:rPr>
              <w:t>36474068.97</w:t>
            </w:r>
          </w:p>
        </w:tc>
        <w:tc>
          <w:tcPr>
            <w:tcW w:w="1301"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en-US"/>
              </w:rPr>
            </w:pPr>
            <w:r>
              <w:rPr>
                <w:rFonts w:hint="eastAsia" w:hAnsi="Times New Roman" w:eastAsia="宋体"/>
                <w:kern w:val="2"/>
                <w:sz w:val="21"/>
                <w:szCs w:val="21"/>
              </w:rPr>
              <w:t>21</w:t>
            </w:r>
          </w:p>
        </w:tc>
        <w:tc>
          <w:tcPr>
            <w:tcW w:w="1714"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kern w:val="2"/>
                <w:sz w:val="21"/>
                <w:szCs w:val="21"/>
              </w:rPr>
              <w:t>3455042.77</w:t>
            </w:r>
          </w:p>
        </w:tc>
        <w:tc>
          <w:tcPr>
            <w:tcW w:w="1876"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kern w:val="2"/>
                <w:sz w:val="21"/>
                <w:szCs w:val="21"/>
              </w:rPr>
              <w:t>36478045.97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78"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en-US"/>
              </w:rPr>
              <w:t>6</w:t>
            </w:r>
          </w:p>
        </w:tc>
        <w:tc>
          <w:tcPr>
            <w:tcW w:w="1588"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en-US"/>
              </w:rPr>
              <w:t>3448571.77</w:t>
            </w:r>
          </w:p>
        </w:tc>
        <w:tc>
          <w:tcPr>
            <w:tcW w:w="1587"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en-US"/>
              </w:rPr>
              <w:t>36473390.97</w:t>
            </w:r>
          </w:p>
        </w:tc>
        <w:tc>
          <w:tcPr>
            <w:tcW w:w="1301"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en-US"/>
              </w:rPr>
            </w:pPr>
            <w:r>
              <w:rPr>
                <w:rFonts w:hint="eastAsia" w:hAnsi="Times New Roman" w:eastAsia="宋体"/>
                <w:kern w:val="2"/>
                <w:sz w:val="21"/>
                <w:szCs w:val="21"/>
              </w:rPr>
              <w:t>22</w:t>
            </w:r>
          </w:p>
        </w:tc>
        <w:tc>
          <w:tcPr>
            <w:tcW w:w="1714"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kern w:val="2"/>
                <w:sz w:val="21"/>
                <w:szCs w:val="21"/>
              </w:rPr>
              <w:t>3455862.77</w:t>
            </w:r>
          </w:p>
        </w:tc>
        <w:tc>
          <w:tcPr>
            <w:tcW w:w="1876"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kern w:val="2"/>
                <w:sz w:val="21"/>
                <w:szCs w:val="21"/>
              </w:rPr>
              <w:t>36478559.97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78"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en-US"/>
              </w:rPr>
              <w:t>7</w:t>
            </w:r>
          </w:p>
        </w:tc>
        <w:tc>
          <w:tcPr>
            <w:tcW w:w="1588"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en-US"/>
              </w:rPr>
              <w:t>3447775.77</w:t>
            </w:r>
          </w:p>
        </w:tc>
        <w:tc>
          <w:tcPr>
            <w:tcW w:w="1587"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en-US"/>
              </w:rPr>
              <w:t>36472756.97</w:t>
            </w:r>
          </w:p>
        </w:tc>
        <w:tc>
          <w:tcPr>
            <w:tcW w:w="1301"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en-US"/>
              </w:rPr>
            </w:pPr>
            <w:r>
              <w:rPr>
                <w:rFonts w:hint="eastAsia" w:hAnsi="Times New Roman" w:eastAsia="宋体"/>
                <w:kern w:val="2"/>
                <w:sz w:val="21"/>
                <w:szCs w:val="21"/>
              </w:rPr>
              <w:t>23</w:t>
            </w:r>
          </w:p>
        </w:tc>
        <w:tc>
          <w:tcPr>
            <w:tcW w:w="1714"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kern w:val="2"/>
                <w:sz w:val="21"/>
                <w:szCs w:val="21"/>
              </w:rPr>
              <w:t>3456525.77</w:t>
            </w:r>
          </w:p>
        </w:tc>
        <w:tc>
          <w:tcPr>
            <w:tcW w:w="1876"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kern w:val="2"/>
                <w:sz w:val="21"/>
                <w:szCs w:val="21"/>
              </w:rPr>
              <w:t>36479190.97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78"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en-US"/>
              </w:rPr>
              <w:t>8</w:t>
            </w:r>
          </w:p>
        </w:tc>
        <w:tc>
          <w:tcPr>
            <w:tcW w:w="1588"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en-US"/>
              </w:rPr>
              <w:t>3447069.77</w:t>
            </w:r>
          </w:p>
        </w:tc>
        <w:tc>
          <w:tcPr>
            <w:tcW w:w="1587"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en-US"/>
              </w:rPr>
              <w:t>36472253.97</w:t>
            </w:r>
          </w:p>
        </w:tc>
        <w:tc>
          <w:tcPr>
            <w:tcW w:w="1301"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en-US"/>
              </w:rPr>
            </w:pPr>
            <w:r>
              <w:rPr>
                <w:rFonts w:hint="eastAsia" w:hAnsi="Times New Roman" w:eastAsia="宋体"/>
                <w:kern w:val="2"/>
                <w:sz w:val="21"/>
                <w:szCs w:val="21"/>
              </w:rPr>
              <w:t>24</w:t>
            </w:r>
          </w:p>
        </w:tc>
        <w:tc>
          <w:tcPr>
            <w:tcW w:w="1714"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kern w:val="2"/>
                <w:sz w:val="21"/>
                <w:szCs w:val="21"/>
              </w:rPr>
              <w:t>3456630.77</w:t>
            </w:r>
          </w:p>
        </w:tc>
        <w:tc>
          <w:tcPr>
            <w:tcW w:w="1876"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kern w:val="2"/>
                <w:sz w:val="21"/>
                <w:szCs w:val="21"/>
              </w:rPr>
              <w:t>36479072.97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78"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en-US"/>
              </w:rPr>
              <w:t>9</w:t>
            </w:r>
          </w:p>
        </w:tc>
        <w:tc>
          <w:tcPr>
            <w:tcW w:w="1588"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en-US"/>
              </w:rPr>
              <w:t>3446267.77</w:t>
            </w:r>
          </w:p>
        </w:tc>
        <w:tc>
          <w:tcPr>
            <w:tcW w:w="1587"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en-US"/>
              </w:rPr>
              <w:t>36471886.97</w:t>
            </w:r>
          </w:p>
        </w:tc>
        <w:tc>
          <w:tcPr>
            <w:tcW w:w="1301"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en-US"/>
              </w:rPr>
            </w:pPr>
            <w:r>
              <w:rPr>
                <w:rFonts w:hint="eastAsia" w:hAnsi="Times New Roman" w:eastAsia="宋体"/>
                <w:kern w:val="2"/>
                <w:sz w:val="21"/>
                <w:szCs w:val="21"/>
              </w:rPr>
              <w:t>25</w:t>
            </w:r>
          </w:p>
        </w:tc>
        <w:tc>
          <w:tcPr>
            <w:tcW w:w="1714"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kern w:val="2"/>
                <w:sz w:val="21"/>
                <w:szCs w:val="21"/>
              </w:rPr>
              <w:t>3455123.77</w:t>
            </w:r>
          </w:p>
        </w:tc>
        <w:tc>
          <w:tcPr>
            <w:tcW w:w="1876"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kern w:val="2"/>
                <w:sz w:val="21"/>
                <w:szCs w:val="21"/>
              </w:rPr>
              <w:t>36477945.97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78"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en-US"/>
              </w:rPr>
              <w:t>10</w:t>
            </w:r>
          </w:p>
        </w:tc>
        <w:tc>
          <w:tcPr>
            <w:tcW w:w="1588"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en-US"/>
              </w:rPr>
              <w:t>3445766.77</w:t>
            </w:r>
          </w:p>
        </w:tc>
        <w:tc>
          <w:tcPr>
            <w:tcW w:w="1587"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en-US"/>
              </w:rPr>
              <w:t>36471527.97</w:t>
            </w:r>
          </w:p>
        </w:tc>
        <w:tc>
          <w:tcPr>
            <w:tcW w:w="1301"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en-US"/>
              </w:rPr>
            </w:pPr>
            <w:r>
              <w:rPr>
                <w:rFonts w:hint="eastAsia" w:hAnsi="Times New Roman" w:eastAsia="宋体"/>
                <w:kern w:val="2"/>
                <w:sz w:val="21"/>
                <w:szCs w:val="21"/>
              </w:rPr>
              <w:t>26</w:t>
            </w:r>
          </w:p>
        </w:tc>
        <w:tc>
          <w:tcPr>
            <w:tcW w:w="1714"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kern w:val="2"/>
                <w:sz w:val="21"/>
                <w:szCs w:val="21"/>
              </w:rPr>
              <w:t>3454471.77</w:t>
            </w:r>
          </w:p>
        </w:tc>
        <w:tc>
          <w:tcPr>
            <w:tcW w:w="1876"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kern w:val="2"/>
                <w:sz w:val="21"/>
                <w:szCs w:val="21"/>
              </w:rPr>
              <w:t>36477479.97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78"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en-US"/>
              </w:rPr>
              <w:t>11</w:t>
            </w:r>
          </w:p>
        </w:tc>
        <w:tc>
          <w:tcPr>
            <w:tcW w:w="1588"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en-US"/>
              </w:rPr>
              <w:t>3445792.77</w:t>
            </w:r>
          </w:p>
        </w:tc>
        <w:tc>
          <w:tcPr>
            <w:tcW w:w="1587"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en-US"/>
              </w:rPr>
              <w:t>36471491.97</w:t>
            </w:r>
          </w:p>
        </w:tc>
        <w:tc>
          <w:tcPr>
            <w:tcW w:w="1301"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en-US"/>
              </w:rPr>
            </w:pPr>
            <w:r>
              <w:rPr>
                <w:rFonts w:hint="eastAsia" w:hAnsi="Times New Roman" w:eastAsia="宋体"/>
                <w:kern w:val="2"/>
                <w:sz w:val="21"/>
                <w:szCs w:val="21"/>
              </w:rPr>
              <w:t>27</w:t>
            </w:r>
          </w:p>
        </w:tc>
        <w:tc>
          <w:tcPr>
            <w:tcW w:w="1714"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kern w:val="2"/>
                <w:sz w:val="21"/>
                <w:szCs w:val="21"/>
              </w:rPr>
              <w:t>3453665.77</w:t>
            </w:r>
          </w:p>
        </w:tc>
        <w:tc>
          <w:tcPr>
            <w:tcW w:w="1876"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kern w:val="2"/>
                <w:sz w:val="21"/>
                <w:szCs w:val="21"/>
              </w:rPr>
              <w:t>36476937.97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78"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12</w:t>
            </w:r>
          </w:p>
        </w:tc>
        <w:tc>
          <w:tcPr>
            <w:tcW w:w="1588"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en-US"/>
              </w:rPr>
              <w:t>3444278.77</w:t>
            </w:r>
          </w:p>
        </w:tc>
        <w:tc>
          <w:tcPr>
            <w:tcW w:w="1587"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en-US"/>
              </w:rPr>
              <w:t>36470462.97</w:t>
            </w:r>
          </w:p>
        </w:tc>
        <w:tc>
          <w:tcPr>
            <w:tcW w:w="1301"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en-US"/>
              </w:rPr>
            </w:pPr>
            <w:r>
              <w:rPr>
                <w:rFonts w:hint="eastAsia" w:hAnsi="Times New Roman" w:eastAsia="宋体"/>
                <w:kern w:val="2"/>
                <w:sz w:val="21"/>
                <w:szCs w:val="21"/>
              </w:rPr>
              <w:t>28</w:t>
            </w:r>
          </w:p>
        </w:tc>
        <w:tc>
          <w:tcPr>
            <w:tcW w:w="1714"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kern w:val="2"/>
                <w:sz w:val="21"/>
                <w:szCs w:val="21"/>
              </w:rPr>
              <w:t>3453677.77</w:t>
            </w:r>
          </w:p>
        </w:tc>
        <w:tc>
          <w:tcPr>
            <w:tcW w:w="1876"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kern w:val="2"/>
                <w:sz w:val="21"/>
                <w:szCs w:val="21"/>
              </w:rPr>
              <w:t>36476919.97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78"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13</w:t>
            </w:r>
          </w:p>
        </w:tc>
        <w:tc>
          <w:tcPr>
            <w:tcW w:w="1588"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en-US"/>
              </w:rPr>
              <w:t>3443609.77</w:t>
            </w:r>
          </w:p>
        </w:tc>
        <w:tc>
          <w:tcPr>
            <w:tcW w:w="1587"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en-US"/>
              </w:rPr>
              <w:t>36470008.97</w:t>
            </w:r>
          </w:p>
        </w:tc>
        <w:tc>
          <w:tcPr>
            <w:tcW w:w="1301"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en-US"/>
              </w:rPr>
            </w:pPr>
            <w:r>
              <w:rPr>
                <w:rFonts w:hint="eastAsia" w:hAnsi="Times New Roman" w:eastAsia="宋体"/>
                <w:kern w:val="2"/>
                <w:sz w:val="21"/>
                <w:szCs w:val="21"/>
              </w:rPr>
              <w:t>29</w:t>
            </w:r>
          </w:p>
        </w:tc>
        <w:tc>
          <w:tcPr>
            <w:tcW w:w="1714"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kern w:val="2"/>
                <w:sz w:val="21"/>
                <w:szCs w:val="21"/>
              </w:rPr>
              <w:t>3451899.77</w:t>
            </w:r>
          </w:p>
        </w:tc>
        <w:tc>
          <w:tcPr>
            <w:tcW w:w="1876"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kern w:val="2"/>
                <w:sz w:val="21"/>
                <w:szCs w:val="21"/>
              </w:rPr>
              <w:t>36475673.97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78"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14</w:t>
            </w:r>
          </w:p>
        </w:tc>
        <w:tc>
          <w:tcPr>
            <w:tcW w:w="1588"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en-US"/>
              </w:rPr>
              <w:t>3443407.77</w:t>
            </w:r>
          </w:p>
        </w:tc>
        <w:tc>
          <w:tcPr>
            <w:tcW w:w="1587"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en-US"/>
              </w:rPr>
              <w:t>36470249.97</w:t>
            </w:r>
          </w:p>
        </w:tc>
        <w:tc>
          <w:tcPr>
            <w:tcW w:w="1301"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en-US"/>
              </w:rPr>
            </w:pPr>
            <w:r>
              <w:rPr>
                <w:rFonts w:hint="eastAsia" w:hAnsi="Times New Roman" w:eastAsia="宋体"/>
                <w:kern w:val="2"/>
                <w:sz w:val="21"/>
                <w:szCs w:val="21"/>
              </w:rPr>
              <w:t>30</w:t>
            </w:r>
          </w:p>
        </w:tc>
        <w:tc>
          <w:tcPr>
            <w:tcW w:w="1714"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kern w:val="2"/>
                <w:sz w:val="21"/>
                <w:szCs w:val="21"/>
              </w:rPr>
              <w:t>3451919.77</w:t>
            </w:r>
          </w:p>
        </w:tc>
        <w:tc>
          <w:tcPr>
            <w:tcW w:w="1876"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kern w:val="2"/>
                <w:sz w:val="21"/>
                <w:szCs w:val="21"/>
              </w:rPr>
              <w:t>36475573.97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78"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15</w:t>
            </w:r>
          </w:p>
        </w:tc>
        <w:tc>
          <w:tcPr>
            <w:tcW w:w="1588"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en-US"/>
              </w:rPr>
              <w:t>3445642.77</w:t>
            </w:r>
          </w:p>
        </w:tc>
        <w:tc>
          <w:tcPr>
            <w:tcW w:w="1587"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en-US"/>
              </w:rPr>
              <w:t>36471701.97</w:t>
            </w:r>
          </w:p>
        </w:tc>
        <w:tc>
          <w:tcPr>
            <w:tcW w:w="1301"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en-US"/>
              </w:rPr>
            </w:pPr>
            <w:r>
              <w:rPr>
                <w:rFonts w:hint="eastAsia" w:hAnsi="Times New Roman" w:eastAsia="宋体"/>
                <w:kern w:val="2"/>
                <w:sz w:val="21"/>
                <w:szCs w:val="21"/>
              </w:rPr>
              <w:t>31</w:t>
            </w:r>
          </w:p>
        </w:tc>
        <w:tc>
          <w:tcPr>
            <w:tcW w:w="1714"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kern w:val="2"/>
                <w:sz w:val="21"/>
                <w:szCs w:val="21"/>
              </w:rPr>
              <w:t>3452064.77</w:t>
            </w:r>
          </w:p>
        </w:tc>
        <w:tc>
          <w:tcPr>
            <w:tcW w:w="1876"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kern w:val="2"/>
                <w:sz w:val="21"/>
                <w:szCs w:val="21"/>
              </w:rPr>
              <w:t>36475223.97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78"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16</w:t>
            </w:r>
          </w:p>
        </w:tc>
        <w:tc>
          <w:tcPr>
            <w:tcW w:w="1588"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en-US"/>
              </w:rPr>
              <w:t>3446878.77</w:t>
            </w:r>
          </w:p>
        </w:tc>
        <w:tc>
          <w:tcPr>
            <w:tcW w:w="1587"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en-US"/>
              </w:rPr>
              <w:t>36472542.97</w:t>
            </w:r>
          </w:p>
        </w:tc>
        <w:tc>
          <w:tcPr>
            <w:tcW w:w="1301"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en-US"/>
              </w:rPr>
            </w:pPr>
            <w:r>
              <w:rPr>
                <w:rFonts w:hint="eastAsia" w:hAnsi="Times New Roman" w:eastAsia="宋体"/>
                <w:kern w:val="2"/>
                <w:sz w:val="21"/>
                <w:szCs w:val="21"/>
              </w:rPr>
              <w:t>32</w:t>
            </w:r>
          </w:p>
        </w:tc>
        <w:tc>
          <w:tcPr>
            <w:tcW w:w="1714"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kern w:val="2"/>
                <w:sz w:val="21"/>
                <w:szCs w:val="21"/>
              </w:rPr>
              <w:t>3452036.77</w:t>
            </w:r>
          </w:p>
        </w:tc>
        <w:tc>
          <w:tcPr>
            <w:tcW w:w="1876" w:type="dxa"/>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en-US"/>
              </w:rPr>
            </w:pPr>
            <w:r>
              <w:rPr>
                <w:rFonts w:hint="eastAsia" w:hAnsi="Times New Roman" w:eastAsia="宋体"/>
                <w:kern w:val="2"/>
                <w:sz w:val="21"/>
                <w:szCs w:val="21"/>
              </w:rPr>
              <w:t>36475203.97</w:t>
            </w:r>
          </w:p>
        </w:tc>
      </w:tr>
    </w:tbl>
    <w:p>
      <w:pPr>
        <w:spacing w:line="360" w:lineRule="auto"/>
        <w:ind w:firstLine="482" w:firstLineChars="200"/>
        <w:rPr>
          <w:rFonts w:hAnsi="Times New Roman" w:eastAsia="宋体"/>
          <w:b/>
          <w:bCs/>
          <w:lang w:eastAsia="zh-CN"/>
        </w:rPr>
      </w:pPr>
      <w:r>
        <w:rPr>
          <w:rFonts w:hint="eastAsia" w:hAnsi="Times New Roman" w:eastAsia="宋体"/>
          <w:b/>
          <w:bCs/>
          <w:lang w:eastAsia="zh-CN"/>
        </w:rPr>
        <w:t>2、规划矿区范围</w:t>
      </w:r>
    </w:p>
    <w:p>
      <w:pPr>
        <w:spacing w:line="360" w:lineRule="auto"/>
        <w:ind w:firstLine="480" w:firstLineChars="200"/>
        <w:rPr>
          <w:rFonts w:hAnsi="Times New Roman" w:eastAsia="宋体"/>
          <w:lang w:eastAsia="zh-CN"/>
        </w:rPr>
      </w:pPr>
      <w:r>
        <w:rPr>
          <w:rFonts w:hint="eastAsia" w:hAnsi="Times New Roman" w:eastAsia="宋体"/>
          <w:lang w:eastAsia="zh-CN"/>
        </w:rPr>
        <w:t>按照四川省发展和改革委员会《关于宣汉县煤炭矿区总体规划的批复》（川发改能源〔2022〕253号），七里峡煤矿规划矿区范围由24个拐点坐标圈定，面积约3.8145km</w:t>
      </w:r>
      <w:r>
        <w:rPr>
          <w:rFonts w:hint="eastAsia" w:hAnsi="Times New Roman" w:eastAsia="宋体"/>
          <w:vertAlign w:val="superscript"/>
          <w:lang w:eastAsia="zh-CN"/>
        </w:rPr>
        <w:t>2</w:t>
      </w:r>
      <w:r>
        <w:rPr>
          <w:rFonts w:hint="eastAsia" w:hAnsi="Times New Roman" w:eastAsia="宋体"/>
          <w:lang w:eastAsia="zh-CN"/>
        </w:rPr>
        <w:t>，开采深度为+670m～±0m，开采煤层为K</w:t>
      </w:r>
      <w:r>
        <w:rPr>
          <w:rFonts w:hint="eastAsia" w:hAnsi="Times New Roman" w:eastAsia="宋体"/>
          <w:vertAlign w:val="subscript"/>
          <w:lang w:eastAsia="zh-CN"/>
        </w:rPr>
        <w:t>6</w:t>
      </w:r>
      <w:r>
        <w:rPr>
          <w:rFonts w:hint="eastAsia" w:hAnsi="Times New Roman" w:eastAsia="宋体"/>
          <w:lang w:eastAsia="zh-CN"/>
        </w:rPr>
        <w:t>、K</w:t>
      </w:r>
      <w:r>
        <w:rPr>
          <w:rFonts w:hint="eastAsia" w:hAnsi="Times New Roman" w:eastAsia="宋体"/>
          <w:vertAlign w:val="subscript"/>
          <w:lang w:eastAsia="zh-CN"/>
        </w:rPr>
        <w:t>5-1</w:t>
      </w:r>
      <w:r>
        <w:rPr>
          <w:rFonts w:hint="eastAsia" w:hAnsi="Times New Roman" w:eastAsia="宋体"/>
          <w:lang w:eastAsia="zh-CN"/>
        </w:rPr>
        <w:t>、K</w:t>
      </w:r>
      <w:r>
        <w:rPr>
          <w:rFonts w:hint="eastAsia" w:hAnsi="Times New Roman" w:eastAsia="宋体"/>
          <w:vertAlign w:val="subscript"/>
          <w:lang w:eastAsia="zh-CN"/>
        </w:rPr>
        <w:t>5</w:t>
      </w:r>
      <w:r>
        <w:rPr>
          <w:rFonts w:hint="eastAsia" w:hAnsi="Times New Roman" w:eastAsia="宋体"/>
          <w:lang w:eastAsia="zh-CN"/>
        </w:rPr>
        <w:t>煤层，规划规模30万吨/年。规划矿区</w:t>
      </w:r>
      <w:r>
        <w:rPr>
          <w:rFonts w:hAnsi="Times New Roman" w:eastAsia="宋体"/>
          <w:lang w:eastAsia="zh-CN"/>
        </w:rPr>
        <w:t>范围拐点坐标详见表</w:t>
      </w:r>
      <w:r>
        <w:rPr>
          <w:rFonts w:hint="eastAsia" w:hAnsi="Times New Roman" w:eastAsia="宋体"/>
          <w:lang w:eastAsia="zh-CN"/>
        </w:rPr>
        <w:t>2.2-5。</w:t>
      </w:r>
    </w:p>
    <w:p>
      <w:pPr>
        <w:spacing w:line="360" w:lineRule="auto"/>
        <w:jc w:val="center"/>
        <w:rPr>
          <w:rFonts w:hAnsi="Times New Roman" w:eastAsia="宋体"/>
          <w:b/>
          <w:bCs/>
          <w:lang w:eastAsia="zh-CN"/>
        </w:rPr>
      </w:pPr>
      <w:r>
        <w:rPr>
          <w:rFonts w:hAnsi="Times New Roman" w:eastAsia="宋体"/>
          <w:b/>
          <w:bCs/>
          <w:lang w:eastAsia="zh-CN"/>
        </w:rPr>
        <w:t>表</w:t>
      </w:r>
      <w:r>
        <w:rPr>
          <w:rFonts w:hint="eastAsia" w:hAnsi="Times New Roman" w:eastAsia="宋体"/>
          <w:b/>
          <w:bCs/>
          <w:lang w:eastAsia="zh-CN"/>
        </w:rPr>
        <w:t>2.2-5</w:t>
      </w:r>
      <w:r>
        <w:rPr>
          <w:rFonts w:hAnsi="Times New Roman" w:eastAsia="宋体"/>
          <w:b/>
          <w:bCs/>
          <w:lang w:eastAsia="zh-CN"/>
        </w:rPr>
        <w:t xml:space="preserve"> </w:t>
      </w:r>
      <w:r>
        <w:rPr>
          <w:rFonts w:hint="eastAsia" w:hAnsi="Times New Roman" w:eastAsia="宋体"/>
          <w:b/>
          <w:bCs/>
          <w:lang w:eastAsia="zh-CN"/>
        </w:rPr>
        <w:t>七里峡煤矿规划矿区范围拐点坐标表</w:t>
      </w:r>
    </w:p>
    <w:tbl>
      <w:tblPr>
        <w:tblStyle w:val="33"/>
        <w:tblW w:w="8824" w:type="dxa"/>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95"/>
        <w:gridCol w:w="1564"/>
        <w:gridCol w:w="1562"/>
        <w:gridCol w:w="1182"/>
        <w:gridCol w:w="1759"/>
        <w:gridCol w:w="15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1195" w:type="dxa"/>
            <w:vMerge w:val="restart"/>
            <w:tcBorders>
              <w:top w:val="single" w:color="auto" w:sz="4" w:space="0"/>
              <w:left w:val="single" w:color="auto" w:sz="4" w:space="0"/>
              <w:bottom w:val="single" w:color="auto" w:sz="4" w:space="0"/>
              <w:right w:val="single" w:color="auto" w:sz="4" w:space="0"/>
              <w:tl2br w:val="single" w:color="auto" w:sz="4" w:space="0"/>
            </w:tcBorders>
            <w:vAlign w:val="center"/>
          </w:tcPr>
          <w:p>
            <w:pPr>
              <w:keepNext w:val="0"/>
              <w:keepLines w:val="0"/>
              <w:suppressLineNumbers w:val="0"/>
              <w:spacing w:before="0" w:beforeAutospacing="0" w:after="0" w:afterAutospacing="0" w:line="0" w:lineRule="atLeast"/>
              <w:ind w:left="0" w:right="0" w:firstLine="420" w:firstLineChars="200"/>
              <w:rPr>
                <w:rFonts w:hint="eastAsia" w:hAnsi="Times New Roman" w:eastAsiaTheme="minorEastAsia"/>
                <w:kern w:val="2"/>
                <w:sz w:val="21"/>
                <w:szCs w:val="21"/>
              </w:rPr>
            </w:pPr>
            <w:r>
              <w:rPr>
                <w:rFonts w:hint="eastAsia" w:hAnsi="Times New Roman" w:eastAsiaTheme="minorEastAsia"/>
                <w:kern w:val="2"/>
                <w:sz w:val="21"/>
                <w:szCs w:val="21"/>
              </w:rPr>
              <w:t>坐标</w:t>
            </w:r>
          </w:p>
          <w:p>
            <w:pPr>
              <w:keepNext w:val="0"/>
              <w:keepLines w:val="0"/>
              <w:suppressLineNumbers w:val="0"/>
              <w:spacing w:before="0" w:beforeAutospacing="0" w:after="0" w:afterAutospacing="0" w:line="0" w:lineRule="atLeast"/>
              <w:ind w:left="0" w:right="0"/>
              <w:rPr>
                <w:rFonts w:hint="eastAsia" w:hAnsi="Times New Roman" w:eastAsiaTheme="minorEastAsia"/>
                <w:kern w:val="2"/>
                <w:sz w:val="21"/>
                <w:szCs w:val="21"/>
              </w:rPr>
            </w:pPr>
            <w:r>
              <w:rPr>
                <w:rFonts w:hint="eastAsia" w:hAnsi="Times New Roman" w:eastAsiaTheme="minorEastAsia"/>
                <w:kern w:val="2"/>
                <w:sz w:val="21"/>
                <w:szCs w:val="21"/>
              </w:rPr>
              <w:t>拐点</w:t>
            </w:r>
          </w:p>
        </w:tc>
        <w:tc>
          <w:tcPr>
            <w:tcW w:w="3126" w:type="dxa"/>
            <w:gridSpan w:val="2"/>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0" w:lineRule="atLeast"/>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2000国家大地坐标</w:t>
            </w:r>
          </w:p>
        </w:tc>
        <w:tc>
          <w:tcPr>
            <w:tcW w:w="1182" w:type="dxa"/>
            <w:vMerge w:val="restart"/>
            <w:tcBorders>
              <w:top w:val="single" w:color="auto" w:sz="4" w:space="0"/>
              <w:left w:val="single" w:color="auto" w:sz="4" w:space="0"/>
              <w:bottom w:val="single" w:color="auto" w:sz="4" w:space="0"/>
              <w:right w:val="single" w:color="auto" w:sz="4" w:space="0"/>
              <w:tl2br w:val="single" w:color="auto" w:sz="4" w:space="0"/>
            </w:tcBorders>
            <w:vAlign w:val="center"/>
          </w:tcPr>
          <w:p>
            <w:pPr>
              <w:keepNext w:val="0"/>
              <w:keepLines w:val="0"/>
              <w:suppressLineNumbers w:val="0"/>
              <w:spacing w:before="0" w:beforeAutospacing="0" w:after="0" w:afterAutospacing="0" w:line="0" w:lineRule="atLeast"/>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 xml:space="preserve">    坐标</w:t>
            </w:r>
          </w:p>
          <w:p>
            <w:pPr>
              <w:keepNext w:val="0"/>
              <w:keepLines w:val="0"/>
              <w:suppressLineNumbers w:val="0"/>
              <w:spacing w:before="0" w:beforeAutospacing="0" w:after="0" w:afterAutospacing="0" w:line="0" w:lineRule="atLeast"/>
              <w:ind w:left="0" w:right="0"/>
              <w:rPr>
                <w:rFonts w:hint="eastAsia" w:hAnsi="Times New Roman" w:eastAsiaTheme="minorEastAsia"/>
                <w:kern w:val="2"/>
                <w:sz w:val="21"/>
                <w:szCs w:val="21"/>
              </w:rPr>
            </w:pPr>
            <w:r>
              <w:rPr>
                <w:rFonts w:hint="eastAsia" w:hAnsi="Times New Roman" w:eastAsiaTheme="minorEastAsia"/>
                <w:kern w:val="2"/>
                <w:sz w:val="21"/>
                <w:szCs w:val="21"/>
              </w:rPr>
              <w:t>拐点</w:t>
            </w:r>
          </w:p>
        </w:tc>
        <w:tc>
          <w:tcPr>
            <w:tcW w:w="3321" w:type="dxa"/>
            <w:gridSpan w:val="2"/>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0" w:lineRule="atLeast"/>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2000国家大地坐标系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1195"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p>
        </w:tc>
        <w:tc>
          <w:tcPr>
            <w:tcW w:w="1564"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0" w:lineRule="atLeast"/>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X（m）</w:t>
            </w:r>
          </w:p>
        </w:tc>
        <w:tc>
          <w:tcPr>
            <w:tcW w:w="156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0" w:lineRule="atLeast"/>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Y（m）</w:t>
            </w:r>
          </w:p>
        </w:tc>
        <w:tc>
          <w:tcPr>
            <w:tcW w:w="1182"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p>
        </w:tc>
        <w:tc>
          <w:tcPr>
            <w:tcW w:w="1759"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0" w:lineRule="atLeast"/>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X（m）</w:t>
            </w:r>
          </w:p>
        </w:tc>
        <w:tc>
          <w:tcPr>
            <w:tcW w:w="156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0" w:lineRule="atLeast"/>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Y（m）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95"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1＇</w:t>
            </w:r>
          </w:p>
        </w:tc>
        <w:tc>
          <w:tcPr>
            <w:tcW w:w="1564"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3451955.22</w:t>
            </w:r>
          </w:p>
        </w:tc>
        <w:tc>
          <w:tcPr>
            <w:tcW w:w="156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36475125.82</w:t>
            </w:r>
          </w:p>
        </w:tc>
        <w:tc>
          <w:tcPr>
            <w:tcW w:w="118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13＇</w:t>
            </w:r>
          </w:p>
        </w:tc>
        <w:tc>
          <w:tcPr>
            <w:tcW w:w="1759"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3456729.30</w:t>
            </w:r>
          </w:p>
        </w:tc>
        <w:tc>
          <w:tcPr>
            <w:tcW w:w="156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36478960.92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95"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2＇</w:t>
            </w:r>
          </w:p>
        </w:tc>
        <w:tc>
          <w:tcPr>
            <w:tcW w:w="1564"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3451725.20</w:t>
            </w:r>
          </w:p>
        </w:tc>
        <w:tc>
          <w:tcPr>
            <w:tcW w:w="156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36475304.66</w:t>
            </w:r>
          </w:p>
        </w:tc>
        <w:tc>
          <w:tcPr>
            <w:tcW w:w="118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14＇</w:t>
            </w:r>
          </w:p>
        </w:tc>
        <w:tc>
          <w:tcPr>
            <w:tcW w:w="1759"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3454769.82</w:t>
            </w:r>
          </w:p>
        </w:tc>
        <w:tc>
          <w:tcPr>
            <w:tcW w:w="156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36477476.00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95"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3＇</w:t>
            </w:r>
          </w:p>
        </w:tc>
        <w:tc>
          <w:tcPr>
            <w:tcW w:w="1564"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3449460.42</w:t>
            </w:r>
          </w:p>
        </w:tc>
        <w:tc>
          <w:tcPr>
            <w:tcW w:w="156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36473943.82</w:t>
            </w:r>
          </w:p>
        </w:tc>
        <w:tc>
          <w:tcPr>
            <w:tcW w:w="118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15＇</w:t>
            </w:r>
          </w:p>
        </w:tc>
        <w:tc>
          <w:tcPr>
            <w:tcW w:w="1759"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3452979.75</w:t>
            </w:r>
          </w:p>
        </w:tc>
        <w:tc>
          <w:tcPr>
            <w:tcW w:w="156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36476268.90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95"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4＇</w:t>
            </w:r>
          </w:p>
        </w:tc>
        <w:tc>
          <w:tcPr>
            <w:tcW w:w="1564"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3449229.53</w:t>
            </w:r>
          </w:p>
        </w:tc>
        <w:tc>
          <w:tcPr>
            <w:tcW w:w="156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36474281.18</w:t>
            </w:r>
          </w:p>
        </w:tc>
        <w:tc>
          <w:tcPr>
            <w:tcW w:w="118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16＇</w:t>
            </w:r>
          </w:p>
        </w:tc>
        <w:tc>
          <w:tcPr>
            <w:tcW w:w="1759"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3453056.71</w:t>
            </w:r>
          </w:p>
        </w:tc>
        <w:tc>
          <w:tcPr>
            <w:tcW w:w="156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36476119.22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95"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5＇</w:t>
            </w:r>
          </w:p>
        </w:tc>
        <w:tc>
          <w:tcPr>
            <w:tcW w:w="1564"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3451780.43</w:t>
            </w:r>
          </w:p>
        </w:tc>
        <w:tc>
          <w:tcPr>
            <w:tcW w:w="156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36475898.85</w:t>
            </w:r>
          </w:p>
        </w:tc>
        <w:tc>
          <w:tcPr>
            <w:tcW w:w="118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17＇</w:t>
            </w:r>
          </w:p>
        </w:tc>
        <w:tc>
          <w:tcPr>
            <w:tcW w:w="1759"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3452939.95</w:t>
            </w:r>
          </w:p>
        </w:tc>
        <w:tc>
          <w:tcPr>
            <w:tcW w:w="156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36476064.09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95"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6＇</w:t>
            </w:r>
          </w:p>
        </w:tc>
        <w:tc>
          <w:tcPr>
            <w:tcW w:w="1564"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3453514.94</w:t>
            </w:r>
          </w:p>
        </w:tc>
        <w:tc>
          <w:tcPr>
            <w:tcW w:w="156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36477124.44</w:t>
            </w:r>
          </w:p>
        </w:tc>
        <w:tc>
          <w:tcPr>
            <w:tcW w:w="118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18＇</w:t>
            </w:r>
          </w:p>
        </w:tc>
        <w:tc>
          <w:tcPr>
            <w:tcW w:w="1759"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3452876.32</w:t>
            </w:r>
          </w:p>
        </w:tc>
        <w:tc>
          <w:tcPr>
            <w:tcW w:w="156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36476186.44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95"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7＇</w:t>
            </w:r>
          </w:p>
        </w:tc>
        <w:tc>
          <w:tcPr>
            <w:tcW w:w="1564"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3454992.96</w:t>
            </w:r>
          </w:p>
        </w:tc>
        <w:tc>
          <w:tcPr>
            <w:tcW w:w="156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36478109.06</w:t>
            </w:r>
          </w:p>
        </w:tc>
        <w:tc>
          <w:tcPr>
            <w:tcW w:w="118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19＇</w:t>
            </w:r>
          </w:p>
        </w:tc>
        <w:tc>
          <w:tcPr>
            <w:tcW w:w="1759"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3452582.00</w:t>
            </w:r>
          </w:p>
        </w:tc>
        <w:tc>
          <w:tcPr>
            <w:tcW w:w="156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36475999.93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95"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8＇</w:t>
            </w:r>
          </w:p>
        </w:tc>
        <w:tc>
          <w:tcPr>
            <w:tcW w:w="1564"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3455501.01</w:t>
            </w:r>
          </w:p>
        </w:tc>
        <w:tc>
          <w:tcPr>
            <w:tcW w:w="156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36478411.70</w:t>
            </w:r>
          </w:p>
        </w:tc>
        <w:tc>
          <w:tcPr>
            <w:tcW w:w="118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20＇</w:t>
            </w:r>
          </w:p>
        </w:tc>
        <w:tc>
          <w:tcPr>
            <w:tcW w:w="1759"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3452726.99</w:t>
            </w:r>
          </w:p>
        </w:tc>
        <w:tc>
          <w:tcPr>
            <w:tcW w:w="156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36475723.23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95"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9＇</w:t>
            </w:r>
          </w:p>
        </w:tc>
        <w:tc>
          <w:tcPr>
            <w:tcW w:w="1564"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3454465.72</w:t>
            </w:r>
          </w:p>
        </w:tc>
        <w:tc>
          <w:tcPr>
            <w:tcW w:w="156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36479241.41</w:t>
            </w:r>
          </w:p>
        </w:tc>
        <w:tc>
          <w:tcPr>
            <w:tcW w:w="118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21＇</w:t>
            </w:r>
          </w:p>
        </w:tc>
        <w:tc>
          <w:tcPr>
            <w:tcW w:w="1759"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3452609.86</w:t>
            </w:r>
          </w:p>
        </w:tc>
        <w:tc>
          <w:tcPr>
            <w:tcW w:w="156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36475660.59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95"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10＇</w:t>
            </w:r>
          </w:p>
        </w:tc>
        <w:tc>
          <w:tcPr>
            <w:tcW w:w="1564"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3454560.04</w:t>
            </w:r>
          </w:p>
        </w:tc>
        <w:tc>
          <w:tcPr>
            <w:tcW w:w="156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36479361.64</w:t>
            </w:r>
          </w:p>
        </w:tc>
        <w:tc>
          <w:tcPr>
            <w:tcW w:w="118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22＇</w:t>
            </w:r>
          </w:p>
        </w:tc>
        <w:tc>
          <w:tcPr>
            <w:tcW w:w="1759"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3452450.67</w:t>
            </w:r>
          </w:p>
        </w:tc>
        <w:tc>
          <w:tcPr>
            <w:tcW w:w="156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36475951.28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95"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11＇</w:t>
            </w:r>
          </w:p>
        </w:tc>
        <w:tc>
          <w:tcPr>
            <w:tcW w:w="1564"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3455632.57</w:t>
            </w:r>
          </w:p>
        </w:tc>
        <w:tc>
          <w:tcPr>
            <w:tcW w:w="156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36478489.03</w:t>
            </w:r>
          </w:p>
        </w:tc>
        <w:tc>
          <w:tcPr>
            <w:tcW w:w="118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23＇</w:t>
            </w:r>
          </w:p>
        </w:tc>
        <w:tc>
          <w:tcPr>
            <w:tcW w:w="1759"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3451997.13</w:t>
            </w:r>
          </w:p>
        </w:tc>
        <w:tc>
          <w:tcPr>
            <w:tcW w:w="156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36475629.11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95"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12＇</w:t>
            </w:r>
          </w:p>
        </w:tc>
        <w:tc>
          <w:tcPr>
            <w:tcW w:w="1564"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3456494.18</w:t>
            </w:r>
          </w:p>
        </w:tc>
        <w:tc>
          <w:tcPr>
            <w:tcW w:w="156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36479235.61</w:t>
            </w:r>
          </w:p>
        </w:tc>
        <w:tc>
          <w:tcPr>
            <w:tcW w:w="118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24＇</w:t>
            </w:r>
          </w:p>
        </w:tc>
        <w:tc>
          <w:tcPr>
            <w:tcW w:w="1759"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3452092.64</w:t>
            </w:r>
          </w:p>
        </w:tc>
        <w:tc>
          <w:tcPr>
            <w:tcW w:w="1562"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Theme="minorEastAsia"/>
                <w:kern w:val="2"/>
                <w:sz w:val="21"/>
                <w:szCs w:val="21"/>
              </w:rPr>
            </w:pPr>
            <w:r>
              <w:rPr>
                <w:rFonts w:hint="eastAsia" w:hAnsi="Times New Roman" w:eastAsiaTheme="minorEastAsia"/>
                <w:kern w:val="2"/>
                <w:sz w:val="21"/>
                <w:szCs w:val="21"/>
              </w:rPr>
              <w:t>36475211.99</w:t>
            </w:r>
          </w:p>
        </w:tc>
      </w:tr>
    </w:tbl>
    <w:p>
      <w:pPr>
        <w:spacing w:line="360" w:lineRule="auto"/>
        <w:ind w:firstLine="482" w:firstLineChars="200"/>
        <w:rPr>
          <w:rFonts w:hAnsi="Times New Roman" w:eastAsia="宋体"/>
          <w:b/>
          <w:bCs/>
          <w:lang w:eastAsia="zh-CN"/>
        </w:rPr>
      </w:pPr>
      <w:r>
        <w:rPr>
          <w:rFonts w:hint="eastAsia" w:hAnsi="Times New Roman" w:eastAsia="宋体"/>
          <w:b/>
          <w:bCs/>
          <w:lang w:eastAsia="zh-CN"/>
        </w:rPr>
        <w:t>3、设计矿区范围</w:t>
      </w:r>
    </w:p>
    <w:p>
      <w:pPr>
        <w:spacing w:line="360" w:lineRule="auto"/>
        <w:ind w:firstLine="480" w:firstLineChars="200"/>
        <w:rPr>
          <w:rFonts w:hAnsi="Times New Roman" w:eastAsia="宋体"/>
          <w:lang w:eastAsia="zh-CN"/>
        </w:rPr>
      </w:pPr>
      <w:r>
        <w:rPr>
          <w:rFonts w:hint="eastAsia" w:hAnsi="Times New Roman" w:eastAsia="宋体"/>
          <w:lang w:eastAsia="zh-CN"/>
        </w:rPr>
        <w:t>由于七里峡煤矿现持采矿许可证矿区范围部分未在四川省发展和改革委员会《关于宣汉县煤炭矿区总体规划的批复》（川发改能源〔2022〕253号）范围内，因此本次设计将未在规划范围内的范围予以退出，退出后七里峡煤矿设计矿区范围由20个拐点坐标圈定，面积约1.6285km</w:t>
      </w:r>
      <w:r>
        <w:rPr>
          <w:rFonts w:hint="eastAsia" w:hAnsi="Times New Roman" w:eastAsia="宋体"/>
          <w:vertAlign w:val="superscript"/>
          <w:lang w:eastAsia="zh-CN"/>
        </w:rPr>
        <w:t>2</w:t>
      </w:r>
      <w:r>
        <w:rPr>
          <w:rFonts w:hint="eastAsia" w:hAnsi="Times New Roman" w:eastAsia="宋体"/>
          <w:lang w:eastAsia="zh-CN"/>
        </w:rPr>
        <w:t>，开采深度为+670m～+200m，开采煤层为K</w:t>
      </w:r>
      <w:r>
        <w:rPr>
          <w:rFonts w:hint="eastAsia" w:hAnsi="Times New Roman" w:eastAsia="宋体"/>
          <w:vertAlign w:val="subscript"/>
          <w:lang w:eastAsia="zh-CN"/>
        </w:rPr>
        <w:t>6</w:t>
      </w:r>
      <w:r>
        <w:rPr>
          <w:rFonts w:hint="eastAsia" w:hAnsi="Times New Roman" w:eastAsia="宋体"/>
          <w:lang w:eastAsia="zh-CN"/>
        </w:rPr>
        <w:t>、K</w:t>
      </w:r>
      <w:r>
        <w:rPr>
          <w:rFonts w:hint="eastAsia" w:hAnsi="Times New Roman" w:eastAsia="宋体"/>
          <w:vertAlign w:val="subscript"/>
          <w:lang w:eastAsia="zh-CN"/>
        </w:rPr>
        <w:t>5-1</w:t>
      </w:r>
      <w:r>
        <w:rPr>
          <w:rFonts w:hint="eastAsia" w:hAnsi="Times New Roman" w:eastAsia="宋体"/>
          <w:lang w:eastAsia="zh-CN"/>
        </w:rPr>
        <w:t>、K</w:t>
      </w:r>
      <w:r>
        <w:rPr>
          <w:rFonts w:hint="eastAsia" w:hAnsi="Times New Roman" w:eastAsia="宋体"/>
          <w:vertAlign w:val="subscript"/>
          <w:lang w:eastAsia="zh-CN"/>
        </w:rPr>
        <w:t>5</w:t>
      </w:r>
      <w:r>
        <w:rPr>
          <w:rFonts w:hint="eastAsia" w:hAnsi="Times New Roman" w:eastAsia="宋体"/>
          <w:lang w:eastAsia="zh-CN"/>
        </w:rPr>
        <w:t>煤层。设计规模30万吨/年。设计矿区</w:t>
      </w:r>
      <w:r>
        <w:rPr>
          <w:rFonts w:hAnsi="Times New Roman" w:eastAsia="宋体"/>
          <w:lang w:eastAsia="zh-CN"/>
        </w:rPr>
        <w:t>范围拐点坐标详见表</w:t>
      </w:r>
      <w:r>
        <w:rPr>
          <w:rFonts w:hint="eastAsia" w:hAnsi="Times New Roman" w:eastAsia="宋体"/>
          <w:lang w:eastAsia="zh-CN"/>
        </w:rPr>
        <w:t>2.2-6。</w:t>
      </w:r>
    </w:p>
    <w:p>
      <w:pPr>
        <w:spacing w:line="360" w:lineRule="auto"/>
        <w:ind w:firstLine="480" w:firstLineChars="200"/>
        <w:rPr>
          <w:rFonts w:hAnsi="Times New Roman" w:eastAsia="宋体"/>
          <w:lang w:eastAsia="zh-CN"/>
        </w:rPr>
      </w:pPr>
      <w:r>
        <w:rPr>
          <w:rFonts w:hint="eastAsia" w:hAnsi="Times New Roman" w:eastAsia="宋体"/>
          <w:lang w:eastAsia="zh-CN"/>
        </w:rPr>
        <w:t>经核实，七里峡煤矿设计矿区范围位于规划范围和采矿许可证范围内，建设规模与规划相符，开采方案与总体规划方案基本一致。七里峡煤矿30万吨/年扩建项目符合宣汉县煤炭矿区总体规划。</w:t>
      </w:r>
    </w:p>
    <w:p>
      <w:pPr>
        <w:spacing w:line="360" w:lineRule="auto"/>
        <w:jc w:val="center"/>
      </w:pPr>
      <w:r>
        <w:rPr>
          <w:rFonts w:hAnsi="Times New Roman" w:eastAsia="宋体"/>
          <w:b/>
          <w:bCs/>
          <w:lang w:eastAsia="zh-CN"/>
        </w:rPr>
        <w:t>表</w:t>
      </w:r>
      <w:r>
        <w:rPr>
          <w:rFonts w:hint="eastAsia" w:hAnsi="Times New Roman" w:eastAsia="宋体"/>
          <w:b/>
          <w:bCs/>
          <w:lang w:eastAsia="zh-CN"/>
        </w:rPr>
        <w:t>2.2-6七里峡煤矿设计矿区范围拐点坐标表</w:t>
      </w:r>
      <w:r>
        <w:rPr>
          <w:rFonts w:hint="eastAsia"/>
        </w:rPr>
        <w:drawing>
          <wp:anchor distT="0" distB="0" distL="114300" distR="114300" simplePos="0" relativeHeight="251685888" behindDoc="1" locked="0" layoutInCell="1" allowOverlap="1">
            <wp:simplePos x="0" y="0"/>
            <wp:positionH relativeFrom="column">
              <wp:posOffset>0</wp:posOffset>
            </wp:positionH>
            <wp:positionV relativeFrom="paragraph">
              <wp:posOffset>270510</wp:posOffset>
            </wp:positionV>
            <wp:extent cx="5796280" cy="2571115"/>
            <wp:effectExtent l="0" t="0" r="0" b="635"/>
            <wp:wrapTight wrapText="bothSides">
              <wp:wrapPolygon>
                <wp:start x="2840" y="320"/>
                <wp:lineTo x="213" y="640"/>
                <wp:lineTo x="0" y="800"/>
                <wp:lineTo x="0" y="21445"/>
                <wp:lineTo x="21510" y="21445"/>
                <wp:lineTo x="21510" y="640"/>
                <wp:lineTo x="13559" y="320"/>
                <wp:lineTo x="2840" y="320"/>
              </wp:wrapPolygon>
            </wp:wrapTight>
            <wp:docPr id="1982163139" name="图片 2" descr="2、七里峡煤矿项目核准图纸（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163139" name="图片 2" descr="2、七里峡煤矿项目核准图纸（1.4）"/>
                    <pic:cNvPicPr>
                      <a:picLocks noChangeAspect="1" noChangeArrowheads="1"/>
                    </pic:cNvPicPr>
                  </pic:nvPicPr>
                  <pic:blipFill>
                    <a:blip r:embed="rId56" cstate="print">
                      <a:extLst>
                        <a:ext uri="{28A0092B-C50C-407E-A947-70E740481C1C}">
                          <a14:useLocalDpi xmlns:a14="http://schemas.microsoft.com/office/drawing/2010/main" val="0"/>
                        </a:ext>
                      </a:extLst>
                    </a:blip>
                    <a:srcRect l="9326" t="8960" r="7809" b="10826"/>
                    <a:stretch>
                      <a:fillRect/>
                    </a:stretch>
                  </pic:blipFill>
                  <pic:spPr>
                    <a:xfrm>
                      <a:off x="0" y="0"/>
                      <a:ext cx="5796280" cy="2571115"/>
                    </a:xfrm>
                    <a:prstGeom prst="rect">
                      <a:avLst/>
                    </a:prstGeom>
                    <a:noFill/>
                    <a:ln>
                      <a:noFill/>
                    </a:ln>
                  </pic:spPr>
                </pic:pic>
              </a:graphicData>
            </a:graphic>
          </wp:anchor>
        </w:drawing>
      </w:r>
    </w:p>
    <w:p>
      <w:pPr>
        <w:spacing w:line="360" w:lineRule="auto"/>
        <w:ind w:firstLine="480" w:firstLineChars="200"/>
        <w:rPr>
          <w:rFonts w:hAnsi="Times New Roman" w:eastAsia="宋体"/>
          <w:lang w:eastAsia="zh-CN"/>
        </w:rPr>
      </w:pPr>
      <w:r>
        <w:rPr>
          <w:rFonts w:hint="eastAsia"/>
        </w:rPr>
        <w:drawing>
          <wp:anchor distT="0" distB="0" distL="114300" distR="114300" simplePos="0" relativeHeight="251684864" behindDoc="0" locked="0" layoutInCell="1" allowOverlap="1">
            <wp:simplePos x="0" y="0"/>
            <wp:positionH relativeFrom="column">
              <wp:posOffset>-149225</wp:posOffset>
            </wp:positionH>
            <wp:positionV relativeFrom="paragraph">
              <wp:posOffset>3158490</wp:posOffset>
            </wp:positionV>
            <wp:extent cx="6009640" cy="2099310"/>
            <wp:effectExtent l="0" t="0" r="0" b="0"/>
            <wp:wrapSquare wrapText="bothSides"/>
            <wp:docPr id="511624693" name="图片 1" descr="2、七里峡煤矿项目核准图纸(审查后修改2023.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624693" name="图片 1" descr="2、七里峡煤矿项目核准图纸(审查后修改2023.11.23)"/>
                    <pic:cNvPicPr>
                      <a:picLocks noChangeAspect="1" noChangeArrowheads="1"/>
                    </pic:cNvPicPr>
                  </pic:nvPicPr>
                  <pic:blipFill>
                    <a:blip r:embed="rId57" cstate="print">
                      <a:extLst>
                        <a:ext uri="{28A0092B-C50C-407E-A947-70E740481C1C}">
                          <a14:useLocalDpi xmlns:a14="http://schemas.microsoft.com/office/drawing/2010/main" val="0"/>
                        </a:ext>
                      </a:extLst>
                    </a:blip>
                    <a:srcRect l="12411" t="28246" r="3998" b="37024"/>
                    <a:stretch>
                      <a:fillRect/>
                    </a:stretch>
                  </pic:blipFill>
                  <pic:spPr>
                    <a:xfrm>
                      <a:off x="0" y="0"/>
                      <a:ext cx="6009640" cy="2099310"/>
                    </a:xfrm>
                    <a:prstGeom prst="rect">
                      <a:avLst/>
                    </a:prstGeom>
                    <a:noFill/>
                    <a:ln>
                      <a:noFill/>
                    </a:ln>
                    <a:effectLst/>
                  </pic:spPr>
                </pic:pic>
              </a:graphicData>
            </a:graphic>
          </wp:anchor>
        </w:drawing>
      </w:r>
      <w:r>
        <w:rPr>
          <w:rFonts w:hint="eastAsia" w:hAnsi="Times New Roman" w:eastAsia="宋体"/>
          <w:lang w:eastAsia="zh-CN"/>
        </w:rPr>
        <w:t>矿井采矿许可证范围、总体规划范围、设计开采范围关系见图2.2-1。</w:t>
      </w:r>
    </w:p>
    <w:p>
      <w:pPr>
        <w:spacing w:line="360" w:lineRule="auto"/>
        <w:jc w:val="center"/>
        <w:rPr>
          <w:rFonts w:hAnsi="Times New Roman" w:eastAsia="宋体"/>
          <w:b/>
          <w:bCs/>
          <w:lang w:eastAsia="zh-CN"/>
        </w:rPr>
      </w:pPr>
      <w:r>
        <w:rPr>
          <w:rFonts w:hint="eastAsia" w:hAnsi="Times New Roman" w:eastAsia="宋体"/>
          <w:b/>
          <w:bCs/>
          <w:lang w:eastAsia="zh-CN"/>
        </w:rPr>
        <w:t>图2.2-1 设计开采范围与采矿许可证及总体规划范围的关系图</w:t>
      </w:r>
    </w:p>
    <w:p>
      <w:pPr>
        <w:spacing w:line="360" w:lineRule="auto"/>
        <w:ind w:firstLine="480" w:firstLineChars="200"/>
        <w:rPr>
          <w:rFonts w:hAnsi="Times New Roman" w:eastAsia="宋体"/>
          <w:szCs w:val="22"/>
          <w:lang w:eastAsia="zh-CN"/>
        </w:rPr>
      </w:pPr>
      <w:r>
        <w:rPr>
          <w:rFonts w:hint="eastAsia" w:hAnsi="Times New Roman" w:eastAsia="宋体"/>
          <w:szCs w:val="22"/>
          <w:lang w:eastAsia="zh-CN"/>
        </w:rPr>
        <w:t>2.2.9.2相邻矿井关系</w:t>
      </w:r>
    </w:p>
    <w:p>
      <w:pPr>
        <w:spacing w:line="360" w:lineRule="auto"/>
        <w:ind w:firstLine="480" w:firstLineChars="200"/>
        <w:rPr>
          <w:rFonts w:hAnsi="Times New Roman" w:eastAsia="宋体"/>
          <w:lang w:eastAsia="zh-CN"/>
        </w:rPr>
      </w:pPr>
      <w:r>
        <w:rPr>
          <w:rFonts w:hint="eastAsia" w:hAnsi="Times New Roman" w:eastAsia="宋体"/>
          <w:lang w:eastAsia="zh-CN"/>
        </w:rPr>
        <w:t>七里峡煤矿横跨长田、开丰两个井田，南西侧与开江县长田凤凰坝煤矿</w:t>
      </w:r>
      <w:r>
        <w:rPr>
          <w:rFonts w:hAnsi="Times New Roman" w:eastAsia="宋体"/>
          <w:lang w:eastAsia="zh-CN"/>
        </w:rPr>
        <w:t>相邻</w:t>
      </w:r>
      <w:r>
        <w:rPr>
          <w:rFonts w:hint="eastAsia" w:hAnsi="Times New Roman" w:eastAsia="宋体"/>
          <w:lang w:eastAsia="zh-CN"/>
        </w:rPr>
        <w:t>，北东</w:t>
      </w:r>
      <w:r>
        <w:rPr>
          <w:rFonts w:hAnsi="Times New Roman" w:eastAsia="宋体"/>
          <w:lang w:eastAsia="zh-CN"/>
        </w:rPr>
        <w:t>与</w:t>
      </w:r>
      <w:r>
        <w:rPr>
          <w:rFonts w:hint="eastAsia" w:hAnsi="Times New Roman" w:eastAsia="宋体"/>
          <w:lang w:eastAsia="zh-CN"/>
        </w:rPr>
        <w:t>开江县纸厂沟</w:t>
      </w:r>
      <w:r>
        <w:rPr>
          <w:rFonts w:hAnsi="Times New Roman" w:eastAsia="宋体"/>
          <w:lang w:eastAsia="zh-CN"/>
        </w:rPr>
        <w:t>煤</w:t>
      </w:r>
      <w:r>
        <w:rPr>
          <w:rFonts w:hint="eastAsia" w:hAnsi="Times New Roman" w:eastAsia="宋体"/>
          <w:lang w:eastAsia="zh-CN"/>
        </w:rPr>
        <w:t>厂、四川省大路煤矿有限责任公司大路煤矿相邻。除四川省大路煤矿有限责任公司大路煤矿外，其余矿均已关闭。</w:t>
      </w:r>
    </w:p>
    <w:p>
      <w:pPr>
        <w:spacing w:line="360" w:lineRule="auto"/>
        <w:ind w:firstLine="482" w:firstLineChars="200"/>
        <w:rPr>
          <w:rFonts w:hAnsi="Times New Roman" w:eastAsia="宋体"/>
          <w:b/>
          <w:bCs/>
          <w:lang w:eastAsia="zh-CN"/>
        </w:rPr>
      </w:pPr>
      <w:r>
        <w:rPr>
          <w:rFonts w:hint="eastAsia" w:hAnsi="Times New Roman" w:eastAsia="宋体"/>
          <w:b/>
          <w:bCs/>
          <w:lang w:eastAsia="zh-CN"/>
        </w:rPr>
        <w:t>1、开江县长田凤凰坝煤矿（2020年6月由开江县人民政府关闭）</w:t>
      </w:r>
    </w:p>
    <w:p>
      <w:pPr>
        <w:spacing w:line="360" w:lineRule="auto"/>
        <w:ind w:firstLine="480" w:firstLineChars="200"/>
        <w:rPr>
          <w:rFonts w:hAnsi="Times New Roman" w:eastAsia="宋体"/>
          <w:lang w:eastAsia="zh-CN"/>
        </w:rPr>
      </w:pPr>
      <w:r>
        <w:rPr>
          <w:rFonts w:hint="eastAsia" w:hAnsi="Times New Roman" w:eastAsia="宋体"/>
          <w:lang w:eastAsia="zh-CN"/>
        </w:rPr>
        <w:t>凤凰坝煤矿位于长田井田，与七里峡煤矿南西侧相邻，与七里峡煤矿矿区边界相距30m，边界清楚。矿区面积1.1777km</w:t>
      </w:r>
      <w:r>
        <w:rPr>
          <w:rFonts w:hint="eastAsia" w:hAnsi="Times New Roman" w:eastAsia="宋体"/>
          <w:vertAlign w:val="superscript"/>
          <w:lang w:eastAsia="zh-CN"/>
        </w:rPr>
        <w:t>2</w:t>
      </w:r>
      <w:r>
        <w:rPr>
          <w:rFonts w:hint="eastAsia" w:hAnsi="Times New Roman" w:eastAsia="宋体"/>
          <w:lang w:eastAsia="zh-CN"/>
        </w:rPr>
        <w:t>；准许开采矿区范围内的K</w:t>
      </w:r>
      <w:r>
        <w:rPr>
          <w:rFonts w:hint="eastAsia" w:hAnsi="Times New Roman" w:eastAsia="宋体"/>
          <w:vertAlign w:val="subscript"/>
          <w:lang w:eastAsia="zh-CN"/>
        </w:rPr>
        <w:t>1</w:t>
      </w:r>
      <w:r>
        <w:rPr>
          <w:rFonts w:hint="eastAsia" w:hAnsi="Times New Roman" w:eastAsia="宋体"/>
          <w:lang w:eastAsia="zh-CN"/>
        </w:rPr>
        <w:t>、K</w:t>
      </w:r>
      <w:r>
        <w:rPr>
          <w:rFonts w:hint="eastAsia" w:hAnsi="Times New Roman" w:eastAsia="宋体"/>
          <w:vertAlign w:val="subscript"/>
          <w:lang w:eastAsia="zh-CN"/>
        </w:rPr>
        <w:t>3</w:t>
      </w:r>
      <w:r>
        <w:rPr>
          <w:rFonts w:hint="eastAsia" w:hAnsi="Times New Roman" w:eastAsia="宋体"/>
          <w:lang w:eastAsia="zh-CN"/>
        </w:rPr>
        <w:t>、K</w:t>
      </w:r>
      <w:r>
        <w:rPr>
          <w:rFonts w:hint="eastAsia" w:hAnsi="Times New Roman" w:eastAsia="宋体"/>
          <w:vertAlign w:val="subscript"/>
          <w:lang w:eastAsia="zh-CN"/>
        </w:rPr>
        <w:t>5</w:t>
      </w:r>
      <w:r>
        <w:rPr>
          <w:rFonts w:hint="eastAsia" w:hAnsi="Times New Roman" w:eastAsia="宋体"/>
          <w:lang w:eastAsia="zh-CN"/>
        </w:rPr>
        <w:t>、K</w:t>
      </w:r>
      <w:r>
        <w:rPr>
          <w:rFonts w:hint="eastAsia" w:hAnsi="Times New Roman" w:eastAsia="宋体"/>
          <w:vertAlign w:val="subscript"/>
          <w:lang w:eastAsia="zh-CN"/>
        </w:rPr>
        <w:t>8</w:t>
      </w:r>
      <w:r>
        <w:rPr>
          <w:rFonts w:hint="eastAsia" w:hAnsi="Times New Roman" w:eastAsia="宋体"/>
          <w:lang w:eastAsia="zh-CN"/>
        </w:rPr>
        <w:t>煤层共四层煤，开采深度标高+830～+507m，该矿已于2020年6月关闭。</w:t>
      </w:r>
    </w:p>
    <w:p>
      <w:pPr>
        <w:spacing w:line="360" w:lineRule="auto"/>
        <w:ind w:firstLine="480" w:firstLineChars="200"/>
        <w:rPr>
          <w:rFonts w:hAnsi="Times New Roman" w:eastAsia="宋体"/>
          <w:lang w:eastAsia="zh-CN"/>
        </w:rPr>
      </w:pPr>
      <w:r>
        <w:rPr>
          <w:rFonts w:hint="eastAsia" w:hAnsi="Times New Roman" w:eastAsia="宋体"/>
          <w:lang w:eastAsia="zh-CN"/>
        </w:rPr>
        <w:t>关闭时，仅布置2个井筒：+507m主井，+713m风井。K</w:t>
      </w:r>
      <w:r>
        <w:rPr>
          <w:rFonts w:hint="eastAsia" w:hAnsi="Times New Roman" w:eastAsia="宋体"/>
          <w:vertAlign w:val="subscript"/>
          <w:lang w:eastAsia="zh-CN"/>
        </w:rPr>
        <w:t>8</w:t>
      </w:r>
      <w:r>
        <w:rPr>
          <w:rFonts w:hint="eastAsia" w:hAnsi="Times New Roman" w:eastAsia="宋体"/>
          <w:lang w:eastAsia="zh-CN"/>
        </w:rPr>
        <w:t>煤层：该煤层主要分布于矿区南段，厚0.40～0.50m ，平均厚0.45m，不含夹矸，顶、底板均为砂岩。在矿区内属局部可采煤层，+515m以上大部分已采，采空面积0.135km</w:t>
      </w:r>
      <w:r>
        <w:rPr>
          <w:rFonts w:hint="eastAsia" w:hAnsi="Times New Roman" w:eastAsia="宋体"/>
          <w:vertAlign w:val="superscript"/>
          <w:lang w:eastAsia="zh-CN"/>
        </w:rPr>
        <w:t>2</w:t>
      </w:r>
      <w:r>
        <w:rPr>
          <w:rFonts w:hint="eastAsia" w:hAnsi="Times New Roman" w:eastAsia="宋体"/>
          <w:lang w:eastAsia="zh-CN"/>
        </w:rPr>
        <w:t>。</w:t>
      </w:r>
    </w:p>
    <w:p>
      <w:pPr>
        <w:spacing w:line="360" w:lineRule="auto"/>
        <w:ind w:firstLine="480" w:firstLineChars="200"/>
        <w:rPr>
          <w:rFonts w:hAnsi="Times New Roman" w:eastAsia="宋体"/>
          <w:lang w:eastAsia="zh-CN"/>
        </w:rPr>
      </w:pPr>
      <w:r>
        <w:rPr>
          <w:rFonts w:hint="eastAsia" w:hAnsi="Times New Roman" w:eastAsia="宋体"/>
          <w:lang w:eastAsia="zh-CN"/>
        </w:rPr>
        <w:t>K</w:t>
      </w:r>
      <w:r>
        <w:rPr>
          <w:rFonts w:hint="eastAsia" w:hAnsi="Times New Roman" w:eastAsia="宋体"/>
          <w:vertAlign w:val="subscript"/>
          <w:lang w:eastAsia="zh-CN"/>
        </w:rPr>
        <w:t>1</w:t>
      </w:r>
      <w:r>
        <w:rPr>
          <w:rFonts w:hint="eastAsia" w:hAnsi="Times New Roman" w:eastAsia="宋体"/>
          <w:lang w:eastAsia="zh-CN"/>
        </w:rPr>
        <w:t>、K</w:t>
      </w:r>
      <w:r>
        <w:rPr>
          <w:rFonts w:hint="eastAsia" w:hAnsi="Times New Roman" w:eastAsia="宋体"/>
          <w:vertAlign w:val="subscript"/>
          <w:lang w:eastAsia="zh-CN"/>
        </w:rPr>
        <w:t>3</w:t>
      </w:r>
      <w:r>
        <w:rPr>
          <w:rFonts w:hint="eastAsia" w:hAnsi="Times New Roman" w:eastAsia="宋体"/>
          <w:lang w:eastAsia="zh-CN"/>
        </w:rPr>
        <w:t>、K</w:t>
      </w:r>
      <w:r>
        <w:rPr>
          <w:rFonts w:hint="eastAsia" w:hAnsi="Times New Roman" w:eastAsia="宋体"/>
          <w:vertAlign w:val="subscript"/>
          <w:lang w:eastAsia="zh-CN"/>
        </w:rPr>
        <w:t>5</w:t>
      </w:r>
      <w:r>
        <w:rPr>
          <w:rFonts w:hint="eastAsia" w:hAnsi="Times New Roman" w:eastAsia="宋体"/>
          <w:lang w:eastAsia="zh-CN"/>
        </w:rPr>
        <w:t>煤层资源由于发热量较低，关闭前均未开采；但K</w:t>
      </w:r>
      <w:r>
        <w:rPr>
          <w:rFonts w:hint="eastAsia" w:hAnsi="Times New Roman" w:eastAsia="宋体"/>
          <w:vertAlign w:val="subscript"/>
          <w:lang w:eastAsia="zh-CN"/>
        </w:rPr>
        <w:t>3</w:t>
      </w:r>
      <w:r>
        <w:rPr>
          <w:rFonts w:hint="eastAsia" w:hAnsi="Times New Roman" w:eastAsia="宋体"/>
          <w:lang w:eastAsia="zh-CN"/>
        </w:rPr>
        <w:t>煤层在+598m、+515m标高向西各掘进有800m巷道，K1煤层在+598m向东掘进巷道600m，均未采煤。</w:t>
      </w:r>
    </w:p>
    <w:p>
      <w:pPr>
        <w:spacing w:line="360" w:lineRule="auto"/>
        <w:ind w:firstLine="480" w:firstLineChars="200"/>
        <w:rPr>
          <w:rFonts w:hAnsi="Times New Roman" w:eastAsia="宋体"/>
          <w:lang w:eastAsia="zh-CN"/>
        </w:rPr>
      </w:pPr>
      <w:r>
        <w:rPr>
          <w:rFonts w:hint="eastAsia" w:hAnsi="Times New Roman" w:eastAsia="宋体"/>
          <w:lang w:eastAsia="zh-CN"/>
        </w:rPr>
        <w:t>根据2018年4月四川兴华地质矿产勘查有限公司编制的《开江县长田凤凰坝煤矿矿井水患现状调查报告》，凤凰坝煤矿采用平硐开拓方式，无下山开采，矿井水通过井口自流出井，无采空区积水。凤凰坝煤矿关闭前最低开采巷道标高为+507m主平硐，矿井北东翼尚未开采，矿井边界煤柱完整；七里峡煤矿矿区南西侧与凤凰坝煤矿矿区范围相距30m，七里峡煤矿南西翼尚未开采，矿井边界煤柱完整，与相邻的凤凰坝煤矿无巷道和采空区贯通。凤凰坝煤矿各封闭井口的位置相对较高，留有泄水孔，关闭后采空区水可通过各井筒自流出井，采空区无积水，对七里峡煤矿的开采无影响。</w:t>
      </w:r>
    </w:p>
    <w:p>
      <w:pPr>
        <w:spacing w:line="360" w:lineRule="auto"/>
        <w:ind w:firstLine="482" w:firstLineChars="200"/>
        <w:rPr>
          <w:rFonts w:hAnsi="Times New Roman" w:eastAsia="宋体"/>
          <w:b/>
          <w:bCs/>
          <w:lang w:eastAsia="zh-CN"/>
        </w:rPr>
      </w:pPr>
      <w:r>
        <w:rPr>
          <w:rFonts w:hint="eastAsia" w:hAnsi="Times New Roman" w:eastAsia="宋体"/>
          <w:b/>
          <w:bCs/>
          <w:lang w:eastAsia="zh-CN"/>
        </w:rPr>
        <w:t>2、开江县纸厂沟煤厂（2018年6月由开江县人民政府关闭）</w:t>
      </w:r>
    </w:p>
    <w:p>
      <w:pPr>
        <w:spacing w:line="360" w:lineRule="auto"/>
        <w:ind w:firstLine="480" w:firstLineChars="200"/>
        <w:rPr>
          <w:rFonts w:hAnsi="Times New Roman" w:eastAsia="宋体"/>
          <w:lang w:eastAsia="zh-CN"/>
        </w:rPr>
      </w:pPr>
      <w:r>
        <w:rPr>
          <w:rFonts w:hint="eastAsia" w:hAnsi="Times New Roman" w:eastAsia="宋体"/>
          <w:lang w:eastAsia="zh-CN"/>
        </w:rPr>
        <w:t>开江县纸厂沟煤厂位于开丰井田北侧，关闭前矿区面积1.2985km</w:t>
      </w:r>
      <w:r>
        <w:rPr>
          <w:rFonts w:hint="eastAsia" w:hAnsi="Times New Roman" w:eastAsia="宋体"/>
          <w:vertAlign w:val="superscript"/>
          <w:lang w:eastAsia="zh-CN"/>
        </w:rPr>
        <w:t>2</w:t>
      </w:r>
      <w:r>
        <w:rPr>
          <w:rFonts w:hint="eastAsia" w:hAnsi="Times New Roman" w:eastAsia="宋体"/>
          <w:lang w:eastAsia="zh-CN"/>
        </w:rPr>
        <w:t>，批准开采K</w:t>
      </w:r>
      <w:r>
        <w:rPr>
          <w:rFonts w:hint="eastAsia" w:hAnsi="Times New Roman" w:eastAsia="宋体"/>
          <w:vertAlign w:val="subscript"/>
          <w:lang w:eastAsia="zh-CN"/>
        </w:rPr>
        <w:t>1</w:t>
      </w:r>
      <w:r>
        <w:rPr>
          <w:rFonts w:hint="eastAsia" w:hAnsi="Times New Roman" w:eastAsia="宋体"/>
          <w:lang w:eastAsia="zh-CN"/>
        </w:rPr>
        <w:t>、K</w:t>
      </w:r>
      <w:r>
        <w:rPr>
          <w:rFonts w:hint="eastAsia" w:hAnsi="Times New Roman" w:eastAsia="宋体"/>
          <w:vertAlign w:val="subscript"/>
          <w:lang w:eastAsia="zh-CN"/>
        </w:rPr>
        <w:t>3</w:t>
      </w:r>
      <w:r>
        <w:rPr>
          <w:rFonts w:hint="eastAsia" w:hAnsi="Times New Roman" w:eastAsia="宋体"/>
          <w:lang w:eastAsia="zh-CN"/>
        </w:rPr>
        <w:t>、K</w:t>
      </w:r>
      <w:r>
        <w:rPr>
          <w:rFonts w:hint="eastAsia" w:hAnsi="Times New Roman" w:eastAsia="宋体"/>
          <w:vertAlign w:val="subscript"/>
          <w:lang w:eastAsia="zh-CN"/>
        </w:rPr>
        <w:t>5-1</w:t>
      </w:r>
      <w:r>
        <w:rPr>
          <w:rFonts w:hint="eastAsia" w:hAnsi="Times New Roman" w:eastAsia="宋体"/>
          <w:lang w:eastAsia="zh-CN"/>
        </w:rPr>
        <w:t>、K</w:t>
      </w:r>
      <w:r>
        <w:rPr>
          <w:rFonts w:hint="eastAsia" w:hAnsi="Times New Roman" w:eastAsia="宋体"/>
          <w:vertAlign w:val="subscript"/>
          <w:lang w:eastAsia="zh-CN"/>
        </w:rPr>
        <w:t>8</w:t>
      </w:r>
      <w:r>
        <w:rPr>
          <w:rFonts w:hint="eastAsia" w:hAnsi="Times New Roman" w:eastAsia="宋体"/>
          <w:lang w:eastAsia="zh-CN"/>
        </w:rPr>
        <w:t>、K</w:t>
      </w:r>
      <w:r>
        <w:rPr>
          <w:rFonts w:hint="eastAsia" w:hAnsi="Times New Roman" w:eastAsia="宋体"/>
          <w:vertAlign w:val="subscript"/>
          <w:lang w:eastAsia="zh-CN"/>
        </w:rPr>
        <w:t>9</w:t>
      </w:r>
      <w:r>
        <w:rPr>
          <w:rFonts w:hint="eastAsia" w:hAnsi="Times New Roman" w:eastAsia="宋体"/>
          <w:lang w:eastAsia="zh-CN"/>
        </w:rPr>
        <w:t>煤层，开采深度标高+950～+530m。开江县纸厂沟煤厂与七峡煤矿平面范围存在重叠。</w:t>
      </w:r>
    </w:p>
    <w:p>
      <w:pPr>
        <w:spacing w:line="360" w:lineRule="auto"/>
        <w:ind w:firstLine="480" w:firstLineChars="200"/>
        <w:rPr>
          <w:rFonts w:hAnsi="Times New Roman" w:eastAsia="宋体"/>
          <w:lang w:eastAsia="zh-CN"/>
        </w:rPr>
      </w:pPr>
      <w:r>
        <w:rPr>
          <w:rFonts w:hint="eastAsia" w:hAnsi="Times New Roman" w:eastAsia="宋体"/>
          <w:lang w:eastAsia="zh-CN"/>
        </w:rPr>
        <w:t>纸厂沟煤矿关闭前布置有+530m主平硐、+653风井。主平硐井口标高为+530.72m，该主平硐关闭前已掘进1530m左右，在1400m处揭露K</w:t>
      </w:r>
      <w:r>
        <w:rPr>
          <w:rFonts w:hint="eastAsia" w:hAnsi="Times New Roman" w:eastAsia="宋体"/>
          <w:vertAlign w:val="subscript"/>
          <w:lang w:eastAsia="zh-CN"/>
        </w:rPr>
        <w:t>1</w:t>
      </w:r>
      <w:r>
        <w:rPr>
          <w:rFonts w:hint="eastAsia" w:hAnsi="Times New Roman" w:eastAsia="宋体"/>
          <w:lang w:eastAsia="zh-CN"/>
        </w:rPr>
        <w:t>煤层，沿K</w:t>
      </w:r>
      <w:r>
        <w:rPr>
          <w:rFonts w:hint="eastAsia" w:hAnsi="Times New Roman" w:eastAsia="宋体"/>
          <w:vertAlign w:val="subscript"/>
          <w:lang w:eastAsia="zh-CN"/>
        </w:rPr>
        <w:t>1</w:t>
      </w:r>
      <w:r>
        <w:rPr>
          <w:rFonts w:hint="eastAsia" w:hAnsi="Times New Roman" w:eastAsia="宋体"/>
          <w:lang w:eastAsia="zh-CN"/>
        </w:rPr>
        <w:t>煤层向东施工巷道550m，向西施工巷道650m，两端均遇断层而停掘巷道；在1530m处揭露K</w:t>
      </w:r>
      <w:r>
        <w:rPr>
          <w:rFonts w:hint="eastAsia" w:hAnsi="Times New Roman" w:eastAsia="宋体"/>
          <w:vertAlign w:val="subscript"/>
          <w:lang w:eastAsia="zh-CN"/>
        </w:rPr>
        <w:t>5-1</w:t>
      </w:r>
      <w:r>
        <w:rPr>
          <w:rFonts w:hint="eastAsia" w:hAnsi="Times New Roman" w:eastAsia="宋体"/>
          <w:lang w:eastAsia="zh-CN"/>
        </w:rPr>
        <w:t>煤层，沿K</w:t>
      </w:r>
      <w:r>
        <w:rPr>
          <w:rFonts w:hint="eastAsia" w:hAnsi="Times New Roman" w:eastAsia="宋体"/>
          <w:vertAlign w:val="subscript"/>
          <w:lang w:eastAsia="zh-CN"/>
        </w:rPr>
        <w:t>5-1</w:t>
      </w:r>
      <w:r>
        <w:rPr>
          <w:rFonts w:hint="eastAsia" w:hAnsi="Times New Roman" w:eastAsia="宋体"/>
          <w:lang w:eastAsia="zh-CN"/>
        </w:rPr>
        <w:t>煤层向东施工巷道长470m，未向西掘进巷道。K</w:t>
      </w:r>
      <w:r>
        <w:rPr>
          <w:rFonts w:hint="eastAsia" w:hAnsi="Times New Roman" w:eastAsia="宋体"/>
          <w:vertAlign w:val="subscript"/>
          <w:lang w:eastAsia="zh-CN"/>
        </w:rPr>
        <w:t>9</w:t>
      </w:r>
      <w:r>
        <w:rPr>
          <w:rFonts w:hint="eastAsia" w:hAnsi="Times New Roman" w:eastAsia="宋体"/>
          <w:lang w:eastAsia="zh-CN"/>
        </w:rPr>
        <w:t>煤层、K</w:t>
      </w:r>
      <w:r>
        <w:rPr>
          <w:rFonts w:hint="eastAsia" w:hAnsi="Times New Roman" w:eastAsia="宋体"/>
          <w:vertAlign w:val="subscript"/>
          <w:lang w:eastAsia="zh-CN"/>
        </w:rPr>
        <w:t>8</w:t>
      </w:r>
      <w:r>
        <w:rPr>
          <w:rFonts w:hint="eastAsia" w:hAnsi="Times New Roman" w:eastAsia="宋体"/>
          <w:lang w:eastAsia="zh-CN"/>
        </w:rPr>
        <w:t>煤层、K</w:t>
      </w:r>
      <w:r>
        <w:rPr>
          <w:rFonts w:hint="eastAsia" w:hAnsi="Times New Roman" w:eastAsia="宋体"/>
          <w:vertAlign w:val="subscript"/>
          <w:lang w:eastAsia="zh-CN"/>
        </w:rPr>
        <w:t>3</w:t>
      </w:r>
      <w:r>
        <w:rPr>
          <w:rFonts w:hint="eastAsia" w:hAnsi="Times New Roman" w:eastAsia="宋体"/>
          <w:lang w:eastAsia="zh-CN"/>
        </w:rPr>
        <w:t>煤层尚未揭露。+530m水平至+776m水平煤层未进行开采。其矿区其他开采范围如下：</w:t>
      </w:r>
    </w:p>
    <w:p>
      <w:pPr>
        <w:spacing w:line="360" w:lineRule="auto"/>
        <w:ind w:firstLine="480" w:firstLineChars="200"/>
        <w:rPr>
          <w:rFonts w:hAnsi="Times New Roman" w:eastAsia="宋体"/>
          <w:lang w:eastAsia="zh-CN"/>
        </w:rPr>
      </w:pPr>
      <w:r>
        <w:rPr>
          <w:rFonts w:hint="eastAsia" w:hAnsi="Times New Roman" w:eastAsia="宋体"/>
          <w:lang w:eastAsia="zh-CN"/>
        </w:rPr>
        <w:t>矿区浅部南端K</w:t>
      </w:r>
      <w:r>
        <w:rPr>
          <w:rFonts w:hint="eastAsia" w:hAnsi="Times New Roman" w:eastAsia="宋体"/>
          <w:vertAlign w:val="subscript"/>
          <w:lang w:eastAsia="zh-CN"/>
        </w:rPr>
        <w:t>5-1</w:t>
      </w:r>
      <w:r>
        <w:rPr>
          <w:rFonts w:hint="eastAsia" w:hAnsi="Times New Roman" w:eastAsia="宋体"/>
          <w:lang w:eastAsia="zh-CN"/>
        </w:rPr>
        <w:t>煤层由早先已关闭的废窑开采，+800m标高以上已采空，累计采空面积约0.113km</w:t>
      </w:r>
      <w:r>
        <w:rPr>
          <w:rFonts w:hint="eastAsia" w:hAnsi="Times New Roman" w:eastAsia="宋体"/>
          <w:vertAlign w:val="superscript"/>
          <w:lang w:eastAsia="zh-CN"/>
        </w:rPr>
        <w:t>2</w:t>
      </w:r>
      <w:r>
        <w:rPr>
          <w:rFonts w:hint="eastAsia" w:hAnsi="Times New Roman" w:eastAsia="宋体"/>
          <w:lang w:eastAsia="zh-CN"/>
        </w:rPr>
        <w:t>。矿区南段K</w:t>
      </w:r>
      <w:r>
        <w:rPr>
          <w:rFonts w:hint="eastAsia" w:hAnsi="Times New Roman" w:eastAsia="宋体"/>
          <w:vertAlign w:val="subscript"/>
          <w:lang w:eastAsia="zh-CN"/>
        </w:rPr>
        <w:t>1</w:t>
      </w:r>
      <w:r>
        <w:rPr>
          <w:rFonts w:hint="eastAsia" w:hAnsi="Times New Roman" w:eastAsia="宋体"/>
          <w:lang w:eastAsia="zh-CN"/>
        </w:rPr>
        <w:t>煤层不可采，北段外围+815m标高以上大部分采空，采空面积0.072km</w:t>
      </w:r>
      <w:r>
        <w:rPr>
          <w:rFonts w:hint="eastAsia" w:hAnsi="Times New Roman" w:eastAsia="宋体"/>
          <w:vertAlign w:val="superscript"/>
          <w:lang w:eastAsia="zh-CN"/>
        </w:rPr>
        <w:t>2</w:t>
      </w:r>
      <w:r>
        <w:rPr>
          <w:rFonts w:hint="eastAsia" w:hAnsi="Times New Roman" w:eastAsia="宋体"/>
          <w:lang w:eastAsia="zh-CN"/>
        </w:rPr>
        <w:t>。</w:t>
      </w:r>
    </w:p>
    <w:p>
      <w:pPr>
        <w:spacing w:line="360" w:lineRule="auto"/>
        <w:ind w:firstLine="480" w:firstLineChars="200"/>
        <w:rPr>
          <w:rFonts w:hAnsi="Times New Roman" w:eastAsia="宋体"/>
          <w:lang w:eastAsia="zh-CN"/>
        </w:rPr>
      </w:pPr>
      <w:r>
        <w:rPr>
          <w:rFonts w:hint="eastAsia" w:hAnsi="Times New Roman" w:eastAsia="宋体"/>
          <w:lang w:eastAsia="zh-CN"/>
        </w:rPr>
        <w:t>根据2021年10月四川科恩工程安全技术咨询有限公司编制的《四川省达州市开江县（峨城山矿区）达州天师煤业有限公司开江县纸厂沟煤矿关闭煤矿矿井水患普查报告》，纸厂沟煤矿采用平硐开拓，无下山开采，矿井水通过井口自流出井，无采空区积水。七里峡煤矿允许开采的K</w:t>
      </w:r>
      <w:r>
        <w:rPr>
          <w:rFonts w:hint="eastAsia" w:hAnsi="Times New Roman" w:eastAsia="宋体"/>
          <w:vertAlign w:val="subscript"/>
          <w:lang w:eastAsia="zh-CN"/>
        </w:rPr>
        <w:t>6</w:t>
      </w:r>
      <w:r>
        <w:rPr>
          <w:rFonts w:hint="eastAsia" w:hAnsi="Times New Roman" w:eastAsia="宋体"/>
          <w:lang w:eastAsia="zh-CN"/>
        </w:rPr>
        <w:t>煤层采高1.</w:t>
      </w:r>
      <w:r>
        <w:rPr>
          <w:rFonts w:hAnsi="Times New Roman" w:eastAsia="宋体"/>
          <w:lang w:eastAsia="zh-CN"/>
        </w:rPr>
        <w:t>3</w:t>
      </w:r>
      <w:r>
        <w:rPr>
          <w:rFonts w:hint="eastAsia" w:hAnsi="Times New Roman" w:eastAsia="宋体"/>
          <w:lang w:eastAsia="zh-CN"/>
        </w:rPr>
        <w:t>0m左右，K</w:t>
      </w:r>
      <w:r>
        <w:rPr>
          <w:rFonts w:hint="eastAsia" w:hAnsi="Times New Roman" w:eastAsia="宋体"/>
          <w:vertAlign w:val="subscript"/>
          <w:lang w:eastAsia="zh-CN"/>
        </w:rPr>
        <w:t>5-1</w:t>
      </w:r>
      <w:r>
        <w:rPr>
          <w:rFonts w:hint="eastAsia" w:hAnsi="Times New Roman" w:eastAsia="宋体"/>
          <w:lang w:eastAsia="zh-CN"/>
        </w:rPr>
        <w:t>煤层采高1</w:t>
      </w:r>
      <w:r>
        <w:rPr>
          <w:rFonts w:hAnsi="Times New Roman" w:eastAsia="宋体"/>
          <w:lang w:eastAsia="zh-CN"/>
        </w:rPr>
        <w:t>.</w:t>
      </w:r>
      <w:r>
        <w:rPr>
          <w:rFonts w:hint="eastAsia" w:hAnsi="Times New Roman" w:eastAsia="宋体"/>
          <w:lang w:eastAsia="zh-CN"/>
        </w:rPr>
        <w:t>30m左右，K</w:t>
      </w:r>
      <w:r>
        <w:rPr>
          <w:rFonts w:hint="eastAsia" w:hAnsi="Times New Roman" w:eastAsia="宋体"/>
          <w:vertAlign w:val="subscript"/>
          <w:lang w:eastAsia="zh-CN"/>
        </w:rPr>
        <w:t>5</w:t>
      </w:r>
      <w:r>
        <w:rPr>
          <w:rFonts w:hint="eastAsia" w:hAnsi="Times New Roman" w:eastAsia="宋体"/>
          <w:lang w:eastAsia="zh-CN"/>
        </w:rPr>
        <w:t>煤层采高1.</w:t>
      </w:r>
      <w:r>
        <w:rPr>
          <w:rFonts w:hAnsi="Times New Roman" w:eastAsia="宋体"/>
          <w:lang w:eastAsia="zh-CN"/>
        </w:rPr>
        <w:t>32</w:t>
      </w:r>
      <w:r>
        <w:rPr>
          <w:rFonts w:hint="eastAsia" w:hAnsi="Times New Roman" w:eastAsia="宋体"/>
          <w:lang w:eastAsia="zh-CN"/>
        </w:rPr>
        <w:t>m左右。经计算，矿井煤层开采后冒落带最大高度7.2m；导水裂隙最大影响带高度43m。纸厂沟煤矿采用平硐开采，开采标高+950～+530m；七里峡煤矿北翼开采标高+412m～+200m，两矿矿区范围相距垂高118m，矿区边界煤柱完整，无巷道贯通。经计算矿井开采后导水裂隙最大影响带高度43m，两矿矿区范围相距垂高118m，因此矿井开采后的导水裂隙最大影响带高度未到达纸厂沟煤矿范围。因此，关闭后的纸厂沟煤矿采空区水可通过各井筒自流出井，采空区无积水，对七里峡煤矿的开采无影响。</w:t>
      </w:r>
    </w:p>
    <w:p>
      <w:pPr>
        <w:spacing w:line="360" w:lineRule="auto"/>
        <w:ind w:firstLine="482" w:firstLineChars="200"/>
        <w:rPr>
          <w:rFonts w:hAnsi="Times New Roman" w:eastAsia="宋体"/>
          <w:b/>
          <w:bCs/>
          <w:lang w:eastAsia="zh-CN"/>
        </w:rPr>
      </w:pPr>
      <w:r>
        <w:rPr>
          <w:rFonts w:hint="eastAsia" w:hAnsi="Times New Roman" w:eastAsia="宋体"/>
          <w:b/>
          <w:bCs/>
          <w:lang w:eastAsia="zh-CN"/>
        </w:rPr>
        <w:t>3、四川省大路煤矿有限责任公司大路煤矿</w:t>
      </w:r>
    </w:p>
    <w:p>
      <w:pPr>
        <w:spacing w:line="360" w:lineRule="auto"/>
        <w:ind w:firstLine="480" w:firstLineChars="200"/>
        <w:rPr>
          <w:rFonts w:hAnsi="Times New Roman" w:eastAsia="宋体"/>
          <w:lang w:eastAsia="zh-CN"/>
        </w:rPr>
      </w:pPr>
      <w:r>
        <w:rPr>
          <w:rFonts w:hint="eastAsia" w:hAnsi="Times New Roman" w:eastAsia="宋体"/>
          <w:lang w:eastAsia="zh-CN"/>
        </w:rPr>
        <w:t>四川省大路煤矿有限责任公司大路煤矿（拟升级改造的生产矿井）位于大路沟井田、七里峡煤矿北侧外围，两矿间距离大于500m，批准开采K</w:t>
      </w:r>
      <w:r>
        <w:rPr>
          <w:rFonts w:hint="eastAsia" w:hAnsi="Times New Roman" w:eastAsia="宋体"/>
          <w:vertAlign w:val="subscript"/>
          <w:lang w:eastAsia="zh-CN"/>
        </w:rPr>
        <w:t>10</w:t>
      </w:r>
      <w:r>
        <w:rPr>
          <w:rFonts w:hint="eastAsia" w:hAnsi="Times New Roman" w:eastAsia="宋体"/>
          <w:lang w:eastAsia="zh-CN"/>
        </w:rPr>
        <w:t>、K</w:t>
      </w:r>
      <w:r>
        <w:rPr>
          <w:rFonts w:hint="eastAsia" w:hAnsi="Times New Roman" w:eastAsia="宋体"/>
          <w:vertAlign w:val="subscript"/>
          <w:lang w:eastAsia="zh-CN"/>
        </w:rPr>
        <w:t>9</w:t>
      </w:r>
      <w:r>
        <w:rPr>
          <w:rFonts w:hint="eastAsia" w:hAnsi="Times New Roman" w:eastAsia="宋体"/>
          <w:lang w:eastAsia="zh-CN"/>
        </w:rPr>
        <w:t>、K</w:t>
      </w:r>
      <w:r>
        <w:rPr>
          <w:rFonts w:hint="eastAsia" w:hAnsi="Times New Roman" w:eastAsia="宋体"/>
          <w:vertAlign w:val="subscript"/>
          <w:lang w:eastAsia="zh-CN"/>
        </w:rPr>
        <w:t>8</w:t>
      </w:r>
      <w:r>
        <w:rPr>
          <w:rFonts w:hint="eastAsia" w:hAnsi="Times New Roman" w:eastAsia="宋体"/>
          <w:lang w:eastAsia="zh-CN"/>
        </w:rPr>
        <w:t>、K</w:t>
      </w:r>
      <w:r>
        <w:rPr>
          <w:rFonts w:hint="eastAsia" w:hAnsi="Times New Roman" w:eastAsia="宋体"/>
          <w:vertAlign w:val="subscript"/>
          <w:lang w:eastAsia="zh-CN"/>
        </w:rPr>
        <w:t>7</w:t>
      </w:r>
      <w:r>
        <w:rPr>
          <w:rFonts w:hint="eastAsia" w:hAnsi="Times New Roman" w:eastAsia="宋体"/>
          <w:lang w:eastAsia="zh-CN"/>
        </w:rPr>
        <w:t>、K</w:t>
      </w:r>
      <w:r>
        <w:rPr>
          <w:rFonts w:hint="eastAsia" w:hAnsi="Times New Roman" w:eastAsia="宋体"/>
          <w:vertAlign w:val="subscript"/>
          <w:lang w:eastAsia="zh-CN"/>
        </w:rPr>
        <w:t>4</w:t>
      </w:r>
      <w:r>
        <w:rPr>
          <w:rFonts w:hint="eastAsia" w:hAnsi="Times New Roman" w:eastAsia="宋体"/>
          <w:lang w:eastAsia="zh-CN"/>
        </w:rPr>
        <w:t>煤层，准采标高+440～+300m。该矿由南、北两个相对独立的开拓系统开采，采用斜井、平硐开拓，分煤层按采区前进、区内后退式开采，与七里峡煤矿相邻段分别位于峨层山背斜东区内后退式开采，与七里峡煤矿相邻段分别位于峨层山背斜东、西两翼，间距大于500m，两矿之间无巷道贯通，对七里峡煤矿的开采无影响。</w:t>
      </w:r>
    </w:p>
    <w:p>
      <w:pPr>
        <w:spacing w:line="360" w:lineRule="auto"/>
        <w:ind w:firstLine="480" w:firstLineChars="200"/>
        <w:rPr>
          <w:rFonts w:hAnsi="Times New Roman" w:eastAsia="宋体"/>
          <w:lang w:eastAsia="zh-CN"/>
        </w:rPr>
      </w:pPr>
      <w:r>
        <w:rPr>
          <w:rFonts w:hint="eastAsia" w:hAnsi="Times New Roman" w:eastAsia="宋体"/>
          <w:lang w:eastAsia="zh-CN"/>
        </w:rPr>
        <w:t>综上所述，相邻矿井对本矿井开采无影响，与相邻矿井之间无矿业权纠纷。相邻矿井位置关系见图2.2-2。</w:t>
      </w:r>
    </w:p>
    <w:p>
      <w:pPr>
        <w:pStyle w:val="2"/>
        <w:ind w:left="0" w:leftChars="0" w:firstLine="0" w:firstLineChars="0"/>
        <w:jc w:val="center"/>
        <w:rPr>
          <w:rFonts w:eastAsiaTheme="minorEastAsia"/>
          <w:lang w:eastAsia="zh-CN"/>
        </w:rPr>
      </w:pPr>
      <w:r>
        <w:drawing>
          <wp:inline distT="0" distB="0" distL="0" distR="0">
            <wp:extent cx="5537200" cy="1981200"/>
            <wp:effectExtent l="0" t="0" r="6350" b="0"/>
            <wp:docPr id="37162869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628697" name="图片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5537200" cy="1981200"/>
                    </a:xfrm>
                    <a:prstGeom prst="rect">
                      <a:avLst/>
                    </a:prstGeom>
                    <a:noFill/>
                    <a:ln>
                      <a:noFill/>
                    </a:ln>
                    <a:effectLst/>
                  </pic:spPr>
                </pic:pic>
              </a:graphicData>
            </a:graphic>
          </wp:inline>
        </w:drawing>
      </w:r>
    </w:p>
    <w:p>
      <w:pPr>
        <w:spacing w:line="360" w:lineRule="auto"/>
        <w:jc w:val="center"/>
        <w:rPr>
          <w:rFonts w:hAnsi="Times New Roman" w:eastAsia="宋体"/>
          <w:b/>
          <w:bCs/>
          <w:lang w:eastAsia="zh-CN"/>
        </w:rPr>
      </w:pPr>
      <w:r>
        <w:rPr>
          <w:rFonts w:hAnsi="Times New Roman" w:eastAsia="宋体"/>
          <w:b/>
          <w:bCs/>
          <w:lang w:eastAsia="zh-CN"/>
        </w:rPr>
        <w:t>图2.2-</w:t>
      </w:r>
      <w:r>
        <w:rPr>
          <w:rFonts w:hint="eastAsia" w:hAnsi="Times New Roman" w:eastAsia="宋体"/>
          <w:b/>
          <w:bCs/>
          <w:lang w:eastAsia="zh-CN"/>
        </w:rPr>
        <w:t>2</w:t>
      </w:r>
      <w:r>
        <w:rPr>
          <w:rFonts w:hAnsi="Times New Roman" w:eastAsia="宋体"/>
          <w:b/>
          <w:bCs/>
          <w:lang w:eastAsia="zh-CN"/>
        </w:rPr>
        <w:t xml:space="preserve"> 七里峡煤矿与相邻煤矿相对位置关系示意图</w:t>
      </w:r>
    </w:p>
    <w:p>
      <w:pPr>
        <w:spacing w:line="360" w:lineRule="auto"/>
        <w:ind w:firstLine="480" w:firstLineChars="200"/>
        <w:rPr>
          <w:rFonts w:hAnsi="Times New Roman" w:eastAsia="宋体"/>
          <w:szCs w:val="22"/>
          <w:lang w:eastAsia="zh-CN"/>
        </w:rPr>
      </w:pPr>
      <w:r>
        <w:rPr>
          <w:rFonts w:hAnsi="Times New Roman" w:eastAsia="宋体"/>
          <w:szCs w:val="22"/>
          <w:lang w:eastAsia="zh-CN"/>
        </w:rPr>
        <w:t>2.2.9.</w:t>
      </w:r>
      <w:r>
        <w:rPr>
          <w:rFonts w:hint="eastAsia" w:hAnsi="Times New Roman" w:eastAsia="宋体"/>
          <w:szCs w:val="22"/>
          <w:lang w:eastAsia="zh-CN"/>
        </w:rPr>
        <w:t>3</w:t>
      </w:r>
      <w:r>
        <w:rPr>
          <w:rFonts w:hAnsi="Times New Roman" w:eastAsia="宋体"/>
          <w:szCs w:val="22"/>
          <w:lang w:eastAsia="zh-CN"/>
        </w:rPr>
        <w:t xml:space="preserve"> 资源概况</w:t>
      </w:r>
    </w:p>
    <w:p>
      <w:pPr>
        <w:spacing w:line="360" w:lineRule="auto"/>
        <w:ind w:firstLine="480" w:firstLineChars="200"/>
        <w:rPr>
          <w:rFonts w:hAnsi="Times New Roman" w:eastAsia="宋体"/>
          <w:lang w:eastAsia="zh-CN"/>
        </w:rPr>
      </w:pPr>
      <w:r>
        <w:rPr>
          <w:rFonts w:hAnsi="Times New Roman" w:eastAsia="宋体"/>
          <w:lang w:eastAsia="zh-CN"/>
        </w:rPr>
        <w:t>1、煤层概况</w:t>
      </w:r>
    </w:p>
    <w:p>
      <w:pPr>
        <w:spacing w:line="360" w:lineRule="auto"/>
        <w:ind w:firstLine="480" w:firstLineChars="200"/>
        <w:rPr>
          <w:rFonts w:hAnsi="Times New Roman" w:eastAsia="宋体"/>
        </w:rPr>
      </w:pPr>
      <w:r>
        <w:rPr>
          <w:rFonts w:hint="eastAsia" w:hAnsi="Times New Roman" w:eastAsia="宋体"/>
        </w:rPr>
        <w:t>（</w:t>
      </w:r>
      <w:r>
        <w:rPr>
          <w:rFonts w:hAnsi="Times New Roman" w:eastAsia="宋体"/>
        </w:rPr>
        <w:t>1</w:t>
      </w:r>
      <w:r>
        <w:rPr>
          <w:rFonts w:hint="eastAsia" w:hAnsi="Times New Roman" w:eastAsia="宋体"/>
        </w:rPr>
        <w:t>）</w:t>
      </w:r>
      <w:r>
        <w:rPr>
          <w:rFonts w:hAnsi="Times New Roman" w:eastAsia="宋体"/>
        </w:rPr>
        <w:t>含煤性</w:t>
      </w:r>
    </w:p>
    <w:p>
      <w:pPr>
        <w:spacing w:line="360" w:lineRule="auto"/>
        <w:ind w:firstLine="480" w:firstLineChars="200"/>
        <w:rPr>
          <w:rFonts w:hAnsi="Times New Roman" w:eastAsia="宋体"/>
        </w:rPr>
      </w:pPr>
      <w:r>
        <w:rPr>
          <w:rFonts w:hAnsi="Times New Roman" w:eastAsia="宋体"/>
        </w:rPr>
        <w:t>矿区主要含煤地层为三叠系上统须家河组（T</w:t>
      </w:r>
      <w:r>
        <w:rPr>
          <w:rFonts w:hAnsi="Times New Roman" w:eastAsia="宋体"/>
          <w:vertAlign w:val="subscript"/>
        </w:rPr>
        <w:t>3</w:t>
      </w:r>
      <w:r>
        <w:rPr>
          <w:rFonts w:hAnsi="Times New Roman" w:eastAsia="宋体"/>
        </w:rPr>
        <w:t>xj），为一套陆相碎屑沉积。本区须家河组总厚度为580m，该套地层在区内按岩性组合特征又可分为七个岩性段，其中含煤段为须家河组第一段、第三段、第五段、第七段，累计厚138m，占全组总厚约24%；砂岩段为须家河组第二段、第四段、第六段，累计厚442m，占全组总厚76%以上。须家河组（T</w:t>
      </w:r>
      <w:r>
        <w:rPr>
          <w:rFonts w:hAnsi="Times New Roman" w:eastAsia="宋体"/>
          <w:vertAlign w:val="subscript"/>
        </w:rPr>
        <w:t>3</w:t>
      </w:r>
      <w:r>
        <w:rPr>
          <w:rFonts w:hAnsi="Times New Roman" w:eastAsia="宋体"/>
        </w:rPr>
        <w:t>xj）平均总厚度含煤为4.34m，含煤系数为3.14%，可采煤层平均总厚度为3.21m，可采含煤系数为2.33%。</w:t>
      </w:r>
    </w:p>
    <w:p>
      <w:pPr>
        <w:spacing w:line="360" w:lineRule="auto"/>
        <w:ind w:firstLine="480" w:firstLineChars="200"/>
        <w:rPr>
          <w:rFonts w:hAnsi="Times New Roman" w:eastAsia="宋体"/>
        </w:rPr>
      </w:pPr>
      <w:r>
        <w:rPr>
          <w:rFonts w:hAnsi="Times New Roman" w:eastAsia="宋体"/>
        </w:rPr>
        <w:t>本区须家河组有四个含煤段，其中须家河组第一段（T</w:t>
      </w:r>
      <w:r>
        <w:rPr>
          <w:rFonts w:hAnsi="Times New Roman" w:eastAsia="宋体"/>
          <w:vertAlign w:val="subscript"/>
        </w:rPr>
        <w:t>3</w:t>
      </w:r>
      <w:r>
        <w:rPr>
          <w:rFonts w:hAnsi="Times New Roman" w:eastAsia="宋体"/>
        </w:rPr>
        <w:t>xj</w:t>
      </w:r>
      <w:r>
        <w:rPr>
          <w:rFonts w:hAnsi="Times New Roman" w:eastAsia="宋体"/>
          <w:vertAlign w:val="superscript"/>
        </w:rPr>
        <w:t>1</w:t>
      </w:r>
      <w:r>
        <w:rPr>
          <w:rFonts w:hAnsi="Times New Roman" w:eastAsia="宋体"/>
        </w:rPr>
        <w:t>）含煤层数少，厚度及结构变化大，分布不稳定，煤层常呈透镜状产出；须家河组第三段（T</w:t>
      </w:r>
      <w:r>
        <w:rPr>
          <w:rFonts w:hAnsi="Times New Roman" w:eastAsia="宋体"/>
          <w:vertAlign w:val="subscript"/>
        </w:rPr>
        <w:t>3</w:t>
      </w:r>
      <w:r>
        <w:rPr>
          <w:rFonts w:hAnsi="Times New Roman" w:eastAsia="宋体"/>
        </w:rPr>
        <w:t>xj</w:t>
      </w:r>
      <w:r>
        <w:rPr>
          <w:rFonts w:hAnsi="Times New Roman" w:eastAsia="宋体"/>
          <w:vertAlign w:val="superscript"/>
        </w:rPr>
        <w:t>3</w:t>
      </w:r>
      <w:r>
        <w:rPr>
          <w:rFonts w:hAnsi="Times New Roman" w:eastAsia="宋体"/>
        </w:rPr>
        <w:t>）煤层薄，结构复杂，变化大，分布不稳定，在矿区范围内因断层切割地表无出露。矿区可采煤层主要赋存层位为须家河组第七段（T</w:t>
      </w:r>
      <w:r>
        <w:rPr>
          <w:rFonts w:hAnsi="Times New Roman" w:eastAsia="宋体"/>
          <w:vertAlign w:val="subscript"/>
        </w:rPr>
        <w:t>3</w:t>
      </w:r>
      <w:r>
        <w:rPr>
          <w:rFonts w:hAnsi="Times New Roman" w:eastAsia="宋体"/>
        </w:rPr>
        <w:t>xj</w:t>
      </w:r>
      <w:r>
        <w:rPr>
          <w:rFonts w:hAnsi="Times New Roman" w:eastAsia="宋体"/>
          <w:vertAlign w:val="superscript"/>
        </w:rPr>
        <w:t>7</w:t>
      </w:r>
      <w:r>
        <w:rPr>
          <w:rFonts w:hAnsi="Times New Roman" w:eastAsia="宋体"/>
        </w:rPr>
        <w:t>，俗称上煤组）及须家河组第五段（T</w:t>
      </w:r>
      <w:r>
        <w:rPr>
          <w:rFonts w:hAnsi="Times New Roman" w:eastAsia="宋体"/>
          <w:vertAlign w:val="subscript"/>
        </w:rPr>
        <w:t>3</w:t>
      </w:r>
      <w:r>
        <w:rPr>
          <w:rFonts w:hAnsi="Times New Roman" w:eastAsia="宋体"/>
        </w:rPr>
        <w:t>xj</w:t>
      </w:r>
      <w:r>
        <w:rPr>
          <w:rFonts w:hAnsi="Times New Roman" w:eastAsia="宋体"/>
          <w:vertAlign w:val="superscript"/>
        </w:rPr>
        <w:t>5</w:t>
      </w:r>
      <w:r>
        <w:rPr>
          <w:rFonts w:hAnsi="Times New Roman" w:eastAsia="宋体"/>
        </w:rPr>
        <w:t>，俗称中煤组）。</w:t>
      </w:r>
    </w:p>
    <w:p>
      <w:pPr>
        <w:pStyle w:val="55"/>
        <w:spacing w:line="360" w:lineRule="auto"/>
        <w:rPr>
          <w:rFonts w:hAnsi="Times New Roman" w:eastAsia="宋体"/>
        </w:rPr>
      </w:pPr>
      <w:r>
        <w:rPr>
          <w:rFonts w:hint="eastAsia" w:hAnsi="Times New Roman" w:eastAsia="宋体"/>
        </w:rPr>
        <w:t>（</w:t>
      </w:r>
      <w:r>
        <w:rPr>
          <w:rFonts w:hAnsi="Times New Roman" w:eastAsia="宋体"/>
        </w:rPr>
        <w:t>2</w:t>
      </w:r>
      <w:r>
        <w:rPr>
          <w:rFonts w:hint="eastAsia" w:hAnsi="Times New Roman" w:eastAsia="宋体"/>
        </w:rPr>
        <w:t>）</w:t>
      </w:r>
      <w:r>
        <w:rPr>
          <w:rFonts w:hAnsi="Times New Roman" w:eastAsia="宋体"/>
        </w:rPr>
        <w:t>可采煤层</w:t>
      </w:r>
    </w:p>
    <w:p>
      <w:pPr>
        <w:spacing w:line="360" w:lineRule="auto"/>
        <w:ind w:firstLine="480" w:firstLineChars="200"/>
        <w:rPr>
          <w:rFonts w:hAnsi="Times New Roman" w:eastAsia="宋体"/>
        </w:rPr>
      </w:pPr>
      <w:r>
        <w:rPr>
          <w:rFonts w:hAnsi="Times New Roman" w:eastAsia="宋体"/>
        </w:rPr>
        <w:t>七里峡煤矿避让退出后，设计矿区范围内可采煤层共3层，由上至下依次为K</w:t>
      </w:r>
      <w:r>
        <w:rPr>
          <w:rFonts w:hAnsi="Times New Roman" w:eastAsia="宋体"/>
          <w:vertAlign w:val="subscript"/>
        </w:rPr>
        <w:t>6</w:t>
      </w:r>
      <w:r>
        <w:rPr>
          <w:rFonts w:hAnsi="Times New Roman" w:eastAsia="宋体"/>
        </w:rPr>
        <w:t>、K</w:t>
      </w:r>
      <w:r>
        <w:rPr>
          <w:rFonts w:hAnsi="Times New Roman" w:eastAsia="宋体"/>
          <w:vertAlign w:val="subscript"/>
        </w:rPr>
        <w:t>5-1</w:t>
      </w:r>
      <w:r>
        <w:rPr>
          <w:rFonts w:hAnsi="Times New Roman" w:eastAsia="宋体"/>
        </w:rPr>
        <w:t>、K</w:t>
      </w:r>
      <w:r>
        <w:rPr>
          <w:rFonts w:hAnsi="Times New Roman" w:eastAsia="宋体"/>
          <w:vertAlign w:val="subscript"/>
        </w:rPr>
        <w:t>5</w:t>
      </w:r>
      <w:r>
        <w:rPr>
          <w:rFonts w:hAnsi="Times New Roman" w:eastAsia="宋体"/>
        </w:rPr>
        <w:t>煤层，K</w:t>
      </w:r>
      <w:r>
        <w:rPr>
          <w:rFonts w:hAnsi="Times New Roman" w:eastAsia="宋体"/>
          <w:vertAlign w:val="subscript"/>
        </w:rPr>
        <w:t>6</w:t>
      </w:r>
      <w:r>
        <w:rPr>
          <w:rFonts w:hAnsi="Times New Roman" w:eastAsia="宋体"/>
        </w:rPr>
        <w:t>、K</w:t>
      </w:r>
      <w:r>
        <w:rPr>
          <w:rFonts w:hAnsi="Times New Roman" w:eastAsia="宋体"/>
          <w:vertAlign w:val="subscript"/>
        </w:rPr>
        <w:t>5-1</w:t>
      </w:r>
      <w:r>
        <w:rPr>
          <w:rFonts w:hAnsi="Times New Roman" w:eastAsia="宋体"/>
        </w:rPr>
        <w:t>、K</w:t>
      </w:r>
      <w:r>
        <w:rPr>
          <w:rFonts w:hAnsi="Times New Roman" w:eastAsia="宋体"/>
          <w:vertAlign w:val="subscript"/>
        </w:rPr>
        <w:t>5</w:t>
      </w:r>
      <w:r>
        <w:rPr>
          <w:rFonts w:hAnsi="Times New Roman" w:eastAsia="宋体"/>
        </w:rPr>
        <w:t>煤层赋存于须家河组五段（T</w:t>
      </w:r>
      <w:r>
        <w:rPr>
          <w:rFonts w:hAnsi="Times New Roman" w:eastAsia="宋体"/>
          <w:vertAlign w:val="subscript"/>
        </w:rPr>
        <w:t>3</w:t>
      </w:r>
      <w:r>
        <w:rPr>
          <w:rFonts w:hAnsi="Times New Roman" w:eastAsia="宋体"/>
        </w:rPr>
        <w:t>xj</w:t>
      </w:r>
      <w:r>
        <w:rPr>
          <w:rFonts w:hAnsi="Times New Roman" w:eastAsia="宋体"/>
          <w:vertAlign w:val="superscript"/>
        </w:rPr>
        <w:t>5</w:t>
      </w:r>
      <w:r>
        <w:rPr>
          <w:rFonts w:hAnsi="Times New Roman" w:eastAsia="宋体"/>
        </w:rPr>
        <w:t>）。依据四川省地质矿产（集团）有限公司2020年8月编制的《四川省宣汉县七里峡井田七里峡煤矿资源量核实报告</w:t>
      </w:r>
      <w:r>
        <w:rPr>
          <w:rFonts w:hint="eastAsia" w:hAnsi="Times New Roman" w:eastAsia="宋体"/>
          <w:lang w:eastAsia="zh-CN"/>
        </w:rPr>
        <w:t>》《</w:t>
      </w:r>
      <w:r>
        <w:rPr>
          <w:rFonts w:hAnsi="Times New Roman" w:eastAsia="宋体"/>
          <w:kern w:val="2"/>
        </w:rPr>
        <w:t>矿井生产地质报告》</w:t>
      </w:r>
      <w:r>
        <w:rPr>
          <w:rFonts w:hAnsi="Times New Roman" w:eastAsia="宋体"/>
        </w:rPr>
        <w:t>和宣汉县自然资源局2021年12月21日出具的《关于达州市宣汉县七里峡煤业有限公司七里峡煤矿开采煤层结构参数的说明》，现将各煤层分述如下：</w:t>
      </w:r>
    </w:p>
    <w:p>
      <w:pPr>
        <w:adjustRightInd w:val="0"/>
        <w:snapToGrid w:val="0"/>
        <w:spacing w:line="360" w:lineRule="auto"/>
        <w:ind w:firstLine="480" w:firstLineChars="200"/>
        <w:rPr>
          <w:rFonts w:hAnsi="Times New Roman" w:eastAsia="宋体"/>
        </w:rPr>
      </w:pPr>
      <w:r>
        <w:rPr>
          <w:rFonts w:hAnsi="Times New Roman" w:eastAsia="宋体"/>
        </w:rPr>
        <w:t>1）K</w:t>
      </w:r>
      <w:r>
        <w:rPr>
          <w:rFonts w:hAnsi="Times New Roman" w:eastAsia="宋体"/>
          <w:vertAlign w:val="subscript"/>
        </w:rPr>
        <w:t>6</w:t>
      </w:r>
      <w:r>
        <w:rPr>
          <w:rFonts w:hAnsi="Times New Roman" w:eastAsia="宋体"/>
        </w:rPr>
        <w:t>煤层</w:t>
      </w:r>
    </w:p>
    <w:p>
      <w:pPr>
        <w:adjustRightInd w:val="0"/>
        <w:snapToGrid w:val="0"/>
        <w:spacing w:line="360" w:lineRule="auto"/>
        <w:ind w:firstLine="480" w:firstLineChars="200"/>
        <w:rPr>
          <w:rFonts w:hAnsi="Times New Roman" w:eastAsia="宋体"/>
        </w:rPr>
      </w:pPr>
      <w:r>
        <w:rPr>
          <w:rFonts w:hAnsi="Times New Roman" w:eastAsia="宋体"/>
        </w:rPr>
        <w:t>赋存于须家河组第五段（T</w:t>
      </w:r>
      <w:r>
        <w:rPr>
          <w:rFonts w:hAnsi="Times New Roman" w:eastAsia="宋体"/>
          <w:vertAlign w:val="subscript"/>
        </w:rPr>
        <w:t>3</w:t>
      </w:r>
      <w:r>
        <w:rPr>
          <w:rFonts w:hAnsi="Times New Roman" w:eastAsia="宋体"/>
        </w:rPr>
        <w:t>xj</w:t>
      </w:r>
      <w:r>
        <w:rPr>
          <w:rFonts w:hAnsi="Times New Roman" w:eastAsia="宋体"/>
          <w:vertAlign w:val="superscript"/>
        </w:rPr>
        <w:t>5</w:t>
      </w:r>
      <w:r>
        <w:rPr>
          <w:rFonts w:hAnsi="Times New Roman" w:eastAsia="宋体"/>
        </w:rPr>
        <w:t>）中下部，下距K</w:t>
      </w:r>
      <w:r>
        <w:rPr>
          <w:rFonts w:hAnsi="Times New Roman" w:eastAsia="宋体"/>
          <w:vertAlign w:val="subscript"/>
        </w:rPr>
        <w:t>5-1</w:t>
      </w:r>
      <w:r>
        <w:rPr>
          <w:rFonts w:hAnsi="Times New Roman" w:eastAsia="宋体"/>
        </w:rPr>
        <w:t>煤层5.78m～8.41m，平均7.10m。分布于开丰井田范围内，煤层平均倾角53°。煤层总厚度为0.13～0.69m，平均0.48m；采用厚度0.31～0.69m，平均0.49m；含夹矸两层，岩性均为泥岩，夹矸总厚度0.36～0.52m，平均厚度0.40m；该煤层有0.35～0.50m的炭质泥岩伪顶，煤层采高可达1.30m。可采区主要分布于J号～V号勘查线之间，不可采区主要分布于J号勘查线以西及V号勘查线以东地段。煤层顶板为炭质泥岩，底板为泥质粉砂岩。该煤层属较稳定的大部可采煤层。</w:t>
      </w:r>
    </w:p>
    <w:p>
      <w:pPr>
        <w:adjustRightInd w:val="0"/>
        <w:snapToGrid w:val="0"/>
        <w:spacing w:line="360" w:lineRule="auto"/>
        <w:ind w:firstLine="480" w:firstLineChars="200"/>
        <w:rPr>
          <w:rFonts w:hAnsi="Times New Roman" w:eastAsia="宋体"/>
        </w:rPr>
      </w:pPr>
      <w:r>
        <w:rPr>
          <w:rFonts w:hAnsi="Times New Roman" w:eastAsia="宋体"/>
        </w:rPr>
        <w:t>2）K</w:t>
      </w:r>
      <w:r>
        <w:rPr>
          <w:rFonts w:hAnsi="Times New Roman" w:eastAsia="宋体"/>
          <w:vertAlign w:val="subscript"/>
        </w:rPr>
        <w:t>5-1</w:t>
      </w:r>
      <w:r>
        <w:rPr>
          <w:rFonts w:hAnsi="Times New Roman" w:eastAsia="宋体"/>
        </w:rPr>
        <w:t>煤层</w:t>
      </w:r>
    </w:p>
    <w:p>
      <w:pPr>
        <w:spacing w:line="360" w:lineRule="auto"/>
        <w:ind w:firstLine="480" w:firstLineChars="200"/>
        <w:rPr>
          <w:rFonts w:hAnsi="Times New Roman" w:eastAsia="宋体"/>
        </w:rPr>
      </w:pPr>
      <w:r>
        <w:rPr>
          <w:rFonts w:hAnsi="Times New Roman" w:eastAsia="宋体"/>
        </w:rPr>
        <w:t>赋存于须家河组第五段（T</w:t>
      </w:r>
      <w:r>
        <w:rPr>
          <w:rFonts w:hAnsi="Times New Roman" w:eastAsia="宋体"/>
          <w:vertAlign w:val="subscript"/>
        </w:rPr>
        <w:t>3</w:t>
      </w:r>
      <w:r>
        <w:rPr>
          <w:rFonts w:hAnsi="Times New Roman" w:eastAsia="宋体"/>
        </w:rPr>
        <w:t>xj</w:t>
      </w:r>
      <w:r>
        <w:rPr>
          <w:rFonts w:hAnsi="Times New Roman" w:eastAsia="宋体"/>
          <w:vertAlign w:val="superscript"/>
        </w:rPr>
        <w:t>5</w:t>
      </w:r>
      <w:r>
        <w:rPr>
          <w:rFonts w:hAnsi="Times New Roman" w:eastAsia="宋体"/>
        </w:rPr>
        <w:t>）下部，上距须家河组第六段砂岩30m</w:t>
      </w:r>
      <w:r>
        <w:rPr>
          <w:rFonts w:hAnsi="Times New Roman" w:eastAsia="宋体"/>
          <w:bCs/>
        </w:rPr>
        <w:t>～</w:t>
      </w:r>
      <w:r>
        <w:rPr>
          <w:rFonts w:hAnsi="Times New Roman" w:eastAsia="宋体"/>
        </w:rPr>
        <w:t>71m；上距K</w:t>
      </w:r>
      <w:r>
        <w:rPr>
          <w:rFonts w:hAnsi="Times New Roman" w:eastAsia="宋体"/>
          <w:vertAlign w:val="subscript"/>
        </w:rPr>
        <w:t>6</w:t>
      </w:r>
      <w:r>
        <w:rPr>
          <w:rFonts w:hAnsi="Times New Roman" w:eastAsia="宋体"/>
        </w:rPr>
        <w:t>煤层5.78m～8.41m，平均7.10m，</w:t>
      </w:r>
      <w:r>
        <w:rPr>
          <w:rFonts w:hAnsi="Times New Roman" w:eastAsia="宋体"/>
          <w:bCs/>
        </w:rPr>
        <w:t>下距K</w:t>
      </w:r>
      <w:r>
        <w:rPr>
          <w:rFonts w:hAnsi="Times New Roman" w:eastAsia="宋体"/>
          <w:bCs/>
          <w:vertAlign w:val="subscript"/>
        </w:rPr>
        <w:t>5</w:t>
      </w:r>
      <w:r>
        <w:rPr>
          <w:rFonts w:hAnsi="Times New Roman" w:eastAsia="宋体"/>
          <w:bCs/>
        </w:rPr>
        <w:t>煤层4.50～9.20m，平均6.85m</w:t>
      </w:r>
      <w:r>
        <w:rPr>
          <w:rFonts w:hAnsi="Times New Roman" w:eastAsia="宋体"/>
        </w:rPr>
        <w:t>。分布于开丰井田范围内，煤层平均倾角52°。煤层总厚度为0.38～0.51m，平均0.45m；采用厚度0.38～0.51m，平均0.45m；含夹矸两层，岩性均为泥岩，夹矸总厚度0.35～0.50m，平均厚度0.42m；该煤层有0.33～0.48m的炭质泥岩伪顶，煤层采高可达1.30m。煤层顶板为炭质泥岩，底板为泥质粉砂岩。该煤层属不稳定的局部可采煤层。</w:t>
      </w:r>
    </w:p>
    <w:p>
      <w:pPr>
        <w:spacing w:line="360" w:lineRule="auto"/>
        <w:ind w:firstLine="480" w:firstLineChars="200"/>
        <w:rPr>
          <w:rFonts w:hAnsi="Times New Roman" w:eastAsia="宋体"/>
        </w:rPr>
      </w:pPr>
      <w:r>
        <w:rPr>
          <w:rFonts w:hAnsi="Times New Roman" w:eastAsia="宋体"/>
        </w:rPr>
        <w:t>3）K</w:t>
      </w:r>
      <w:r>
        <w:rPr>
          <w:rFonts w:hAnsi="Times New Roman" w:eastAsia="宋体"/>
          <w:vertAlign w:val="subscript"/>
        </w:rPr>
        <w:t>5</w:t>
      </w:r>
      <w:r>
        <w:rPr>
          <w:rFonts w:hAnsi="Times New Roman" w:eastAsia="宋体"/>
        </w:rPr>
        <w:t>煤层</w:t>
      </w:r>
    </w:p>
    <w:p>
      <w:pPr>
        <w:spacing w:line="360" w:lineRule="auto"/>
        <w:ind w:firstLine="480" w:firstLineChars="200"/>
        <w:rPr>
          <w:rFonts w:hAnsi="Times New Roman" w:eastAsia="宋体"/>
        </w:rPr>
      </w:pPr>
      <w:r>
        <w:rPr>
          <w:rFonts w:hAnsi="Times New Roman" w:eastAsia="宋体"/>
        </w:rPr>
        <w:t>赋存于须家河组第五段（T</w:t>
      </w:r>
      <w:r>
        <w:rPr>
          <w:rFonts w:hAnsi="Times New Roman" w:eastAsia="宋体"/>
          <w:vertAlign w:val="subscript"/>
        </w:rPr>
        <w:t>3</w:t>
      </w:r>
      <w:r>
        <w:rPr>
          <w:rFonts w:hAnsi="Times New Roman" w:eastAsia="宋体"/>
        </w:rPr>
        <w:t>xj</w:t>
      </w:r>
      <w:r>
        <w:rPr>
          <w:rFonts w:hAnsi="Times New Roman" w:eastAsia="宋体"/>
          <w:vertAlign w:val="superscript"/>
        </w:rPr>
        <w:t>5</w:t>
      </w:r>
      <w:r>
        <w:rPr>
          <w:rFonts w:hAnsi="Times New Roman" w:eastAsia="宋体"/>
        </w:rPr>
        <w:t>）下部，上距K</w:t>
      </w:r>
      <w:r>
        <w:rPr>
          <w:rFonts w:hAnsi="Times New Roman" w:eastAsia="宋体"/>
          <w:vertAlign w:val="subscript"/>
        </w:rPr>
        <w:t>5-1</w:t>
      </w:r>
      <w:r>
        <w:rPr>
          <w:rFonts w:hAnsi="Times New Roman" w:eastAsia="宋体"/>
        </w:rPr>
        <w:t>煤层</w:t>
      </w:r>
      <w:r>
        <w:rPr>
          <w:rFonts w:hAnsi="Times New Roman" w:eastAsia="宋体"/>
          <w:bCs/>
        </w:rPr>
        <w:t>4.50～9.20m，平均6.85m</w:t>
      </w:r>
      <w:r>
        <w:rPr>
          <w:rFonts w:hAnsi="Times New Roman" w:eastAsia="宋体"/>
        </w:rPr>
        <w:t>；</w:t>
      </w:r>
      <w:r>
        <w:rPr>
          <w:rFonts w:hAnsi="Times New Roman" w:eastAsia="宋体"/>
          <w:bCs/>
        </w:rPr>
        <w:t>下距K</w:t>
      </w:r>
      <w:r>
        <w:rPr>
          <w:rFonts w:hAnsi="Times New Roman" w:eastAsia="宋体"/>
          <w:bCs/>
          <w:vertAlign w:val="subscript"/>
        </w:rPr>
        <w:t>4</w:t>
      </w:r>
      <w:r>
        <w:rPr>
          <w:rFonts w:hAnsi="Times New Roman" w:eastAsia="宋体"/>
          <w:bCs/>
        </w:rPr>
        <w:t>煤层14.0m～21.0m，平均18.0m</w:t>
      </w:r>
      <w:r>
        <w:rPr>
          <w:rFonts w:hAnsi="Times New Roman" w:eastAsia="宋体"/>
        </w:rPr>
        <w:t>。分布于长田、开丰井田范围内，煤层平均倾角52°。煤层总厚度为0.12～0.85m，平均0.43m；采用厚度0.30～0.69m，平均0.44m；含夹矸两层，岩性均为泥岩，夹矸总厚度0.32～0.51m，平均厚度0.40m；该煤层有0.42～0.58m的炭质泥岩伪顶，煤层采高可达1.32m。可采区主要分布I号～Ⅳ号勘查线区域，不可采区主要分布于I号勘查线以西及Ⅳ号Ⅵ勘查线地段。煤层顶板为砂质泥岩，底板为粉砂岩。该煤层属较稳定大部可采煤层。</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表2.2-</w:t>
      </w:r>
      <w:r>
        <w:rPr>
          <w:rFonts w:hint="eastAsia" w:hAnsi="Times New Roman" w:eastAsia="宋体"/>
          <w:b/>
          <w:bCs/>
          <w:sz w:val="21"/>
          <w:szCs w:val="21"/>
          <w:lang w:eastAsia="zh-CN"/>
        </w:rPr>
        <w:t>7</w:t>
      </w:r>
      <w:r>
        <w:rPr>
          <w:rFonts w:hAnsi="Times New Roman" w:eastAsia="宋体"/>
          <w:b/>
          <w:bCs/>
          <w:sz w:val="21"/>
          <w:szCs w:val="21"/>
          <w:lang w:eastAsia="zh-CN"/>
        </w:rPr>
        <w:t xml:space="preserve"> 可采煤层特征表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719"/>
        <w:gridCol w:w="1316"/>
        <w:gridCol w:w="1370"/>
        <w:gridCol w:w="608"/>
        <w:gridCol w:w="610"/>
        <w:gridCol w:w="1218"/>
        <w:gridCol w:w="1218"/>
        <w:gridCol w:w="1218"/>
        <w:gridCol w:w="9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09" w:hRule="atLeast"/>
          <w:jc w:val="center"/>
        </w:trPr>
        <w:tc>
          <w:tcPr>
            <w:tcW w:w="389"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18"/>
                <w:szCs w:val="18"/>
              </w:rPr>
            </w:pPr>
            <w:r>
              <w:rPr>
                <w:rFonts w:hint="eastAsia" w:hAnsi="Times New Roman" w:eastAsia="宋体"/>
                <w:b/>
                <w:bCs/>
                <w:kern w:val="2"/>
                <w:sz w:val="18"/>
                <w:szCs w:val="18"/>
              </w:rPr>
              <w:t>煤层</w:t>
            </w:r>
          </w:p>
          <w:p>
            <w:pPr>
              <w:keepNext w:val="0"/>
              <w:keepLines w:val="0"/>
              <w:suppressLineNumbers w:val="0"/>
              <w:spacing w:before="0" w:beforeAutospacing="0" w:after="0" w:afterAutospacing="0"/>
              <w:ind w:left="0" w:right="0"/>
              <w:jc w:val="center"/>
              <w:rPr>
                <w:rFonts w:hint="eastAsia" w:hAnsi="Times New Roman" w:eastAsia="宋体"/>
                <w:b/>
                <w:bCs/>
                <w:kern w:val="2"/>
                <w:sz w:val="18"/>
                <w:szCs w:val="18"/>
              </w:rPr>
            </w:pPr>
            <w:r>
              <w:rPr>
                <w:rFonts w:hint="eastAsia" w:hAnsi="Times New Roman" w:eastAsia="宋体"/>
                <w:b/>
                <w:bCs/>
                <w:kern w:val="2"/>
                <w:sz w:val="18"/>
                <w:szCs w:val="18"/>
              </w:rPr>
              <w:t>编号</w:t>
            </w:r>
          </w:p>
        </w:tc>
        <w:tc>
          <w:tcPr>
            <w:tcW w:w="712"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18"/>
                <w:szCs w:val="18"/>
              </w:rPr>
            </w:pPr>
            <w:r>
              <w:rPr>
                <w:rFonts w:hint="eastAsia" w:hAnsi="Times New Roman" w:eastAsia="宋体"/>
                <w:b/>
                <w:bCs/>
                <w:kern w:val="2"/>
                <w:sz w:val="18"/>
                <w:szCs w:val="18"/>
              </w:rPr>
              <w:t>煤层厚度（m）</w:t>
            </w:r>
          </w:p>
        </w:tc>
        <w:tc>
          <w:tcPr>
            <w:tcW w:w="741"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18"/>
                <w:szCs w:val="18"/>
              </w:rPr>
            </w:pPr>
            <w:r>
              <w:rPr>
                <w:rFonts w:hint="eastAsia" w:hAnsi="Times New Roman" w:eastAsia="宋体"/>
                <w:b/>
                <w:bCs/>
                <w:kern w:val="2"/>
                <w:sz w:val="18"/>
                <w:szCs w:val="18"/>
              </w:rPr>
              <w:t>层间距（m）</w:t>
            </w:r>
          </w:p>
        </w:tc>
        <w:tc>
          <w:tcPr>
            <w:tcW w:w="659" w:type="pct"/>
            <w:gridSpan w:val="2"/>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18"/>
                <w:szCs w:val="18"/>
              </w:rPr>
            </w:pPr>
            <w:r>
              <w:rPr>
                <w:rFonts w:hint="eastAsia" w:hAnsi="Times New Roman" w:eastAsia="宋体"/>
                <w:b/>
                <w:bCs/>
                <w:kern w:val="2"/>
                <w:sz w:val="18"/>
                <w:szCs w:val="18"/>
              </w:rPr>
              <w:t>煤层结构</w:t>
            </w:r>
          </w:p>
        </w:tc>
        <w:tc>
          <w:tcPr>
            <w:tcW w:w="1318" w:type="pct"/>
            <w:gridSpan w:val="2"/>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18"/>
                <w:szCs w:val="18"/>
              </w:rPr>
            </w:pPr>
            <w:r>
              <w:rPr>
                <w:rFonts w:hint="eastAsia" w:hAnsi="Times New Roman" w:eastAsia="宋体"/>
                <w:b/>
                <w:bCs/>
                <w:kern w:val="2"/>
                <w:sz w:val="18"/>
                <w:szCs w:val="18"/>
              </w:rPr>
              <w:t>顶底板岩性</w:t>
            </w:r>
          </w:p>
        </w:tc>
        <w:tc>
          <w:tcPr>
            <w:tcW w:w="659"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18"/>
                <w:szCs w:val="18"/>
              </w:rPr>
            </w:pPr>
            <w:r>
              <w:rPr>
                <w:rFonts w:hint="eastAsia" w:hAnsi="Times New Roman" w:eastAsia="宋体"/>
                <w:b/>
                <w:bCs/>
                <w:kern w:val="2"/>
                <w:sz w:val="18"/>
                <w:szCs w:val="18"/>
              </w:rPr>
              <w:t>稳定性</w:t>
            </w:r>
          </w:p>
          <w:p>
            <w:pPr>
              <w:keepNext w:val="0"/>
              <w:keepLines w:val="0"/>
              <w:suppressLineNumbers w:val="0"/>
              <w:spacing w:before="0" w:beforeAutospacing="0" w:after="0" w:afterAutospacing="0"/>
              <w:ind w:left="0" w:right="0"/>
              <w:jc w:val="center"/>
              <w:rPr>
                <w:rFonts w:hint="eastAsia" w:hAnsi="Times New Roman" w:eastAsia="宋体"/>
                <w:b/>
                <w:bCs/>
                <w:kern w:val="2"/>
                <w:sz w:val="18"/>
                <w:szCs w:val="18"/>
              </w:rPr>
            </w:pPr>
            <w:r>
              <w:rPr>
                <w:rFonts w:hint="eastAsia" w:hAnsi="Times New Roman" w:eastAsia="宋体"/>
                <w:b/>
                <w:bCs/>
                <w:kern w:val="2"/>
                <w:sz w:val="18"/>
                <w:szCs w:val="18"/>
              </w:rPr>
              <w:t>及可采性</w:t>
            </w:r>
          </w:p>
        </w:tc>
        <w:tc>
          <w:tcPr>
            <w:tcW w:w="523"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18"/>
                <w:szCs w:val="18"/>
              </w:rPr>
            </w:pPr>
            <w:r>
              <w:rPr>
                <w:rFonts w:hint="eastAsia" w:hAnsi="Times New Roman" w:eastAsia="宋体"/>
                <w:b/>
                <w:bCs/>
                <w:kern w:val="2"/>
                <w:sz w:val="18"/>
                <w:szCs w:val="18"/>
              </w:rPr>
              <w:t>平均倾角（°）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507" w:hRule="atLeast"/>
          <w:jc w:val="center"/>
        </w:trPr>
        <w:tc>
          <w:tcPr>
            <w:tcW w:w="389" w:type="pct"/>
            <w:vMerge w:val="continue"/>
            <w:vAlign w:val="center"/>
          </w:tcPr>
          <w:p>
            <w:pPr>
              <w:keepNext w:val="0"/>
              <w:keepLines w:val="0"/>
              <w:suppressLineNumbers w:val="0"/>
              <w:spacing w:before="0" w:beforeAutospacing="0" w:after="0" w:afterAutospacing="0"/>
              <w:ind w:left="0" w:right="0"/>
              <w:rPr>
                <w:rFonts w:hint="eastAsia" w:hAnsi="Times New Roman" w:eastAsia="宋体"/>
                <w:b/>
                <w:bCs/>
                <w:kern w:val="2"/>
                <w:sz w:val="18"/>
                <w:szCs w:val="18"/>
              </w:rPr>
            </w:pPr>
          </w:p>
        </w:tc>
        <w:tc>
          <w:tcPr>
            <w:tcW w:w="712"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18"/>
                <w:szCs w:val="18"/>
                <w:u w:val="single"/>
              </w:rPr>
            </w:pPr>
            <w:r>
              <w:rPr>
                <w:rFonts w:hint="eastAsia" w:hAnsi="Times New Roman" w:eastAsia="宋体"/>
                <w:b/>
                <w:bCs/>
                <w:kern w:val="2"/>
                <w:sz w:val="18"/>
                <w:szCs w:val="18"/>
                <w:u w:val="single"/>
              </w:rPr>
              <w:t>最小～最大</w:t>
            </w:r>
          </w:p>
          <w:p>
            <w:pPr>
              <w:keepNext w:val="0"/>
              <w:keepLines w:val="0"/>
              <w:suppressLineNumbers w:val="0"/>
              <w:spacing w:before="0" w:beforeAutospacing="0" w:after="0" w:afterAutospacing="0"/>
              <w:ind w:left="0" w:right="0"/>
              <w:jc w:val="center"/>
              <w:rPr>
                <w:rFonts w:hint="eastAsia" w:hAnsi="Times New Roman" w:eastAsia="宋体"/>
                <w:b/>
                <w:bCs/>
                <w:kern w:val="2"/>
                <w:sz w:val="18"/>
                <w:szCs w:val="18"/>
                <w:u w:val="single"/>
              </w:rPr>
            </w:pPr>
            <w:r>
              <w:rPr>
                <w:rFonts w:hint="eastAsia" w:hAnsi="Times New Roman" w:eastAsia="宋体"/>
                <w:b/>
                <w:bCs/>
                <w:kern w:val="2"/>
                <w:sz w:val="18"/>
                <w:szCs w:val="18"/>
              </w:rPr>
              <w:t>平均</w:t>
            </w:r>
          </w:p>
        </w:tc>
        <w:tc>
          <w:tcPr>
            <w:tcW w:w="741"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18"/>
                <w:szCs w:val="18"/>
                <w:u w:val="single"/>
              </w:rPr>
            </w:pPr>
            <w:r>
              <w:rPr>
                <w:rFonts w:hint="eastAsia" w:hAnsi="Times New Roman" w:eastAsia="宋体"/>
                <w:b/>
                <w:bCs/>
                <w:kern w:val="2"/>
                <w:sz w:val="18"/>
                <w:szCs w:val="18"/>
                <w:u w:val="single"/>
              </w:rPr>
              <w:t>最小～最大</w:t>
            </w:r>
          </w:p>
          <w:p>
            <w:pPr>
              <w:keepNext w:val="0"/>
              <w:keepLines w:val="0"/>
              <w:suppressLineNumbers w:val="0"/>
              <w:spacing w:before="0" w:beforeAutospacing="0" w:after="0" w:afterAutospacing="0"/>
              <w:ind w:left="0" w:right="0"/>
              <w:jc w:val="center"/>
              <w:rPr>
                <w:rFonts w:hint="eastAsia" w:hAnsi="Times New Roman" w:eastAsia="宋体"/>
                <w:b/>
                <w:bCs/>
                <w:kern w:val="2"/>
                <w:sz w:val="18"/>
                <w:szCs w:val="18"/>
              </w:rPr>
            </w:pPr>
            <w:r>
              <w:rPr>
                <w:rFonts w:hint="eastAsia" w:hAnsi="Times New Roman" w:eastAsia="宋体"/>
                <w:b/>
                <w:bCs/>
                <w:kern w:val="2"/>
                <w:sz w:val="18"/>
                <w:szCs w:val="18"/>
              </w:rPr>
              <w:t>平均</w:t>
            </w:r>
          </w:p>
        </w:tc>
        <w:tc>
          <w:tcPr>
            <w:tcW w:w="329"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18"/>
                <w:szCs w:val="18"/>
              </w:rPr>
            </w:pPr>
            <w:r>
              <w:rPr>
                <w:rFonts w:hint="eastAsia" w:hAnsi="Times New Roman" w:eastAsia="宋体"/>
                <w:b/>
                <w:bCs/>
                <w:kern w:val="2"/>
                <w:sz w:val="18"/>
                <w:szCs w:val="18"/>
              </w:rPr>
              <w:t>结构</w:t>
            </w:r>
          </w:p>
        </w:tc>
        <w:tc>
          <w:tcPr>
            <w:tcW w:w="329"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18"/>
                <w:szCs w:val="18"/>
              </w:rPr>
            </w:pPr>
            <w:r>
              <w:rPr>
                <w:rFonts w:hint="eastAsia" w:hAnsi="Times New Roman" w:eastAsia="宋体"/>
                <w:b/>
                <w:bCs/>
                <w:kern w:val="2"/>
                <w:sz w:val="18"/>
                <w:szCs w:val="18"/>
              </w:rPr>
              <w:t>夹矸</w:t>
            </w:r>
          </w:p>
          <w:p>
            <w:pPr>
              <w:keepNext w:val="0"/>
              <w:keepLines w:val="0"/>
              <w:suppressLineNumbers w:val="0"/>
              <w:spacing w:before="0" w:beforeAutospacing="0" w:after="0" w:afterAutospacing="0"/>
              <w:ind w:left="0" w:right="0"/>
              <w:jc w:val="center"/>
              <w:rPr>
                <w:rFonts w:hint="eastAsia" w:hAnsi="Times New Roman" w:eastAsia="宋体"/>
                <w:b/>
                <w:bCs/>
                <w:kern w:val="2"/>
                <w:sz w:val="18"/>
                <w:szCs w:val="18"/>
              </w:rPr>
            </w:pPr>
            <w:r>
              <w:rPr>
                <w:rFonts w:hint="eastAsia" w:hAnsi="Times New Roman" w:eastAsia="宋体"/>
                <w:b/>
                <w:bCs/>
                <w:kern w:val="2"/>
                <w:sz w:val="18"/>
                <w:szCs w:val="18"/>
              </w:rPr>
              <w:t>层数</w:t>
            </w:r>
          </w:p>
        </w:tc>
        <w:tc>
          <w:tcPr>
            <w:tcW w:w="659"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18"/>
                <w:szCs w:val="18"/>
              </w:rPr>
            </w:pPr>
            <w:r>
              <w:rPr>
                <w:rFonts w:hint="eastAsia" w:hAnsi="Times New Roman" w:eastAsia="宋体"/>
                <w:b/>
                <w:bCs/>
                <w:kern w:val="2"/>
                <w:sz w:val="18"/>
                <w:szCs w:val="18"/>
              </w:rPr>
              <w:t>顶板</w:t>
            </w:r>
          </w:p>
        </w:tc>
        <w:tc>
          <w:tcPr>
            <w:tcW w:w="659"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18"/>
                <w:szCs w:val="18"/>
              </w:rPr>
            </w:pPr>
            <w:r>
              <w:rPr>
                <w:rFonts w:hint="eastAsia" w:hAnsi="Times New Roman" w:eastAsia="宋体"/>
                <w:b/>
                <w:bCs/>
                <w:kern w:val="2"/>
                <w:sz w:val="18"/>
                <w:szCs w:val="18"/>
              </w:rPr>
              <w:t>底板</w:t>
            </w:r>
          </w:p>
        </w:tc>
        <w:tc>
          <w:tcPr>
            <w:tcW w:w="659"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18"/>
                <w:szCs w:val="18"/>
              </w:rPr>
            </w:pPr>
          </w:p>
        </w:tc>
        <w:tc>
          <w:tcPr>
            <w:tcW w:w="523"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98" w:hRule="atLeast"/>
          <w:jc w:val="center"/>
        </w:trPr>
        <w:tc>
          <w:tcPr>
            <w:tcW w:w="389"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rPr>
            </w:pPr>
            <w:r>
              <w:rPr>
                <w:rFonts w:hint="eastAsia" w:hAnsi="Times New Roman" w:eastAsia="宋体"/>
                <w:kern w:val="2"/>
                <w:sz w:val="18"/>
                <w:szCs w:val="18"/>
              </w:rPr>
              <w:t>K</w:t>
            </w:r>
            <w:r>
              <w:rPr>
                <w:rFonts w:hint="eastAsia" w:hAnsi="Times New Roman" w:eastAsia="宋体"/>
                <w:kern w:val="2"/>
                <w:sz w:val="18"/>
                <w:szCs w:val="18"/>
                <w:vertAlign w:val="subscript"/>
              </w:rPr>
              <w:t>6</w:t>
            </w:r>
          </w:p>
        </w:tc>
        <w:tc>
          <w:tcPr>
            <w:tcW w:w="712"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u w:val="single"/>
              </w:rPr>
            </w:pPr>
            <w:r>
              <w:rPr>
                <w:rFonts w:hint="eastAsia" w:hAnsi="Times New Roman" w:eastAsia="宋体"/>
                <w:kern w:val="2"/>
                <w:sz w:val="18"/>
                <w:szCs w:val="18"/>
                <w:u w:val="single"/>
              </w:rPr>
              <w:t>0.13～0.69</w:t>
            </w:r>
          </w:p>
          <w:p>
            <w:pPr>
              <w:keepNext w:val="0"/>
              <w:keepLines w:val="0"/>
              <w:suppressLineNumbers w:val="0"/>
              <w:spacing w:before="0" w:beforeAutospacing="0" w:after="0" w:afterAutospacing="0"/>
              <w:ind w:left="0" w:right="0"/>
              <w:jc w:val="center"/>
              <w:rPr>
                <w:rFonts w:hint="eastAsia" w:hAnsi="Times New Roman" w:eastAsia="宋体"/>
                <w:kern w:val="2"/>
                <w:sz w:val="18"/>
                <w:szCs w:val="18"/>
              </w:rPr>
            </w:pPr>
            <w:r>
              <w:rPr>
                <w:rFonts w:hint="eastAsia" w:hAnsi="Times New Roman" w:eastAsia="宋体"/>
                <w:kern w:val="2"/>
                <w:sz w:val="18"/>
                <w:szCs w:val="18"/>
              </w:rPr>
              <w:t>0.49</w:t>
            </w:r>
          </w:p>
        </w:tc>
        <w:tc>
          <w:tcPr>
            <w:tcW w:w="741" w:type="pct"/>
            <w:vAlign w:val="center"/>
          </w:tcPr>
          <w:p>
            <w:pPr>
              <w:keepNext w:val="0"/>
              <w:keepLines w:val="0"/>
              <w:suppressLineNumbers w:val="0"/>
              <w:spacing w:before="0" w:beforeAutospacing="0" w:after="0" w:afterAutospacing="0"/>
              <w:ind w:left="0" w:right="0"/>
              <w:rPr>
                <w:rFonts w:hint="eastAsia" w:hAnsi="Times New Roman" w:eastAsia="宋体"/>
                <w:kern w:val="2"/>
                <w:sz w:val="18"/>
                <w:szCs w:val="18"/>
              </w:rPr>
            </w:pPr>
          </w:p>
        </w:tc>
        <w:tc>
          <w:tcPr>
            <w:tcW w:w="329"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rPr>
            </w:pPr>
            <w:r>
              <w:rPr>
                <w:rFonts w:hint="eastAsia" w:hAnsi="Times New Roman" w:eastAsia="宋体"/>
                <w:kern w:val="2"/>
                <w:sz w:val="18"/>
                <w:szCs w:val="18"/>
              </w:rPr>
              <w:t>复合</w:t>
            </w:r>
          </w:p>
        </w:tc>
        <w:tc>
          <w:tcPr>
            <w:tcW w:w="329"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rPr>
            </w:pPr>
            <w:r>
              <w:rPr>
                <w:rFonts w:hint="eastAsia" w:hAnsi="Times New Roman" w:eastAsia="宋体"/>
                <w:kern w:val="2"/>
                <w:sz w:val="18"/>
                <w:szCs w:val="18"/>
              </w:rPr>
              <w:t>2</w:t>
            </w:r>
          </w:p>
        </w:tc>
        <w:tc>
          <w:tcPr>
            <w:tcW w:w="659"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rPr>
            </w:pPr>
            <w:r>
              <w:rPr>
                <w:rFonts w:hint="eastAsia" w:hAnsi="Times New Roman" w:eastAsia="宋体"/>
                <w:kern w:val="2"/>
                <w:sz w:val="18"/>
                <w:szCs w:val="18"/>
              </w:rPr>
              <w:t>炭质泥岩</w:t>
            </w:r>
          </w:p>
        </w:tc>
        <w:tc>
          <w:tcPr>
            <w:tcW w:w="659"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rPr>
            </w:pPr>
            <w:r>
              <w:rPr>
                <w:rFonts w:hint="eastAsia" w:hAnsi="Times New Roman" w:eastAsia="宋体"/>
                <w:kern w:val="2"/>
                <w:sz w:val="18"/>
                <w:szCs w:val="18"/>
              </w:rPr>
              <w:t>泥质砂岩</w:t>
            </w:r>
          </w:p>
        </w:tc>
        <w:tc>
          <w:tcPr>
            <w:tcW w:w="659"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rPr>
            </w:pPr>
            <w:r>
              <w:rPr>
                <w:rFonts w:hint="eastAsia" w:hAnsi="Times New Roman" w:eastAsia="宋体"/>
                <w:kern w:val="2"/>
                <w:sz w:val="18"/>
                <w:szCs w:val="18"/>
              </w:rPr>
              <w:t>较稳定，大部可采</w:t>
            </w:r>
          </w:p>
        </w:tc>
        <w:tc>
          <w:tcPr>
            <w:tcW w:w="523"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rPr>
            </w:pPr>
            <w:r>
              <w:rPr>
                <w:rFonts w:hint="eastAsia" w:hAnsi="Times New Roman" w:eastAsia="宋体"/>
                <w:kern w:val="2"/>
                <w:sz w:val="18"/>
                <w:szCs w:val="18"/>
              </w:rPr>
              <w:t>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12" w:hRule="atLeast"/>
          <w:jc w:val="center"/>
        </w:trPr>
        <w:tc>
          <w:tcPr>
            <w:tcW w:w="389" w:type="pct"/>
            <w:vMerge w:val="continue"/>
            <w:vAlign w:val="center"/>
          </w:tcPr>
          <w:p>
            <w:pPr>
              <w:keepNext w:val="0"/>
              <w:keepLines w:val="0"/>
              <w:suppressLineNumbers w:val="0"/>
              <w:spacing w:before="0" w:beforeAutospacing="0" w:after="0" w:afterAutospacing="0"/>
              <w:ind w:left="0" w:right="0"/>
              <w:rPr>
                <w:rFonts w:hint="eastAsia" w:hAnsi="Times New Roman" w:eastAsia="宋体"/>
                <w:kern w:val="2"/>
                <w:sz w:val="18"/>
                <w:szCs w:val="18"/>
              </w:rPr>
            </w:pPr>
          </w:p>
        </w:tc>
        <w:tc>
          <w:tcPr>
            <w:tcW w:w="712" w:type="pct"/>
            <w:vMerge w:val="continue"/>
            <w:vAlign w:val="center"/>
          </w:tcPr>
          <w:p>
            <w:pPr>
              <w:keepNext w:val="0"/>
              <w:keepLines w:val="0"/>
              <w:suppressLineNumbers w:val="0"/>
              <w:spacing w:before="0" w:beforeAutospacing="0" w:after="0" w:afterAutospacing="0"/>
              <w:ind w:left="0" w:right="0"/>
              <w:rPr>
                <w:rFonts w:hint="eastAsia" w:hAnsi="Times New Roman" w:eastAsia="宋体"/>
                <w:kern w:val="2"/>
                <w:sz w:val="18"/>
                <w:szCs w:val="18"/>
              </w:rPr>
            </w:pPr>
          </w:p>
        </w:tc>
        <w:tc>
          <w:tcPr>
            <w:tcW w:w="741"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u w:val="single"/>
              </w:rPr>
            </w:pPr>
            <w:r>
              <w:rPr>
                <w:rFonts w:hint="eastAsia" w:hAnsi="Times New Roman" w:eastAsia="宋体"/>
                <w:kern w:val="2"/>
                <w:sz w:val="18"/>
                <w:szCs w:val="18"/>
                <w:u w:val="single"/>
              </w:rPr>
              <w:t>5.78～8.41</w:t>
            </w:r>
          </w:p>
          <w:p>
            <w:pPr>
              <w:keepNext w:val="0"/>
              <w:keepLines w:val="0"/>
              <w:suppressLineNumbers w:val="0"/>
              <w:spacing w:before="0" w:beforeAutospacing="0" w:after="0" w:afterAutospacing="0"/>
              <w:ind w:left="0" w:right="0"/>
              <w:jc w:val="center"/>
              <w:rPr>
                <w:rFonts w:hint="eastAsia" w:hAnsi="Times New Roman" w:eastAsia="宋体"/>
                <w:kern w:val="2"/>
                <w:sz w:val="18"/>
                <w:szCs w:val="18"/>
              </w:rPr>
            </w:pPr>
            <w:r>
              <w:rPr>
                <w:rFonts w:hint="eastAsia" w:hAnsi="Times New Roman" w:eastAsia="宋体"/>
                <w:kern w:val="2"/>
                <w:sz w:val="18"/>
                <w:szCs w:val="18"/>
              </w:rPr>
              <w:t>7.10</w:t>
            </w:r>
          </w:p>
        </w:tc>
        <w:tc>
          <w:tcPr>
            <w:tcW w:w="329" w:type="pct"/>
            <w:vMerge w:val="continue"/>
            <w:vAlign w:val="center"/>
          </w:tcPr>
          <w:p>
            <w:pPr>
              <w:keepNext w:val="0"/>
              <w:keepLines w:val="0"/>
              <w:suppressLineNumbers w:val="0"/>
              <w:spacing w:before="0" w:beforeAutospacing="0" w:after="0" w:afterAutospacing="0"/>
              <w:ind w:left="0" w:right="0"/>
              <w:rPr>
                <w:rFonts w:hint="eastAsia" w:hAnsi="Times New Roman" w:eastAsia="宋体"/>
                <w:kern w:val="2"/>
                <w:sz w:val="18"/>
                <w:szCs w:val="18"/>
              </w:rPr>
            </w:pPr>
          </w:p>
        </w:tc>
        <w:tc>
          <w:tcPr>
            <w:tcW w:w="329" w:type="pct"/>
            <w:vMerge w:val="continue"/>
            <w:vAlign w:val="center"/>
          </w:tcPr>
          <w:p>
            <w:pPr>
              <w:keepNext w:val="0"/>
              <w:keepLines w:val="0"/>
              <w:suppressLineNumbers w:val="0"/>
              <w:spacing w:before="0" w:beforeAutospacing="0" w:after="0" w:afterAutospacing="0"/>
              <w:ind w:left="0" w:right="0"/>
              <w:rPr>
                <w:rFonts w:hint="eastAsia" w:hAnsi="Times New Roman" w:eastAsia="宋体"/>
                <w:kern w:val="2"/>
                <w:sz w:val="18"/>
                <w:szCs w:val="18"/>
              </w:rPr>
            </w:pPr>
          </w:p>
        </w:tc>
        <w:tc>
          <w:tcPr>
            <w:tcW w:w="659" w:type="pct"/>
            <w:vMerge w:val="continue"/>
            <w:vAlign w:val="center"/>
          </w:tcPr>
          <w:p>
            <w:pPr>
              <w:keepNext w:val="0"/>
              <w:keepLines w:val="0"/>
              <w:suppressLineNumbers w:val="0"/>
              <w:spacing w:before="0" w:beforeAutospacing="0" w:after="0" w:afterAutospacing="0"/>
              <w:ind w:left="0" w:right="0"/>
              <w:rPr>
                <w:rFonts w:hint="eastAsia" w:hAnsi="Times New Roman" w:eastAsia="宋体"/>
                <w:kern w:val="2"/>
                <w:sz w:val="18"/>
                <w:szCs w:val="18"/>
              </w:rPr>
            </w:pPr>
          </w:p>
        </w:tc>
        <w:tc>
          <w:tcPr>
            <w:tcW w:w="659" w:type="pct"/>
            <w:vMerge w:val="continue"/>
            <w:vAlign w:val="center"/>
          </w:tcPr>
          <w:p>
            <w:pPr>
              <w:keepNext w:val="0"/>
              <w:keepLines w:val="0"/>
              <w:suppressLineNumbers w:val="0"/>
              <w:spacing w:before="0" w:beforeAutospacing="0" w:after="0" w:afterAutospacing="0"/>
              <w:ind w:left="0" w:right="0"/>
              <w:rPr>
                <w:rFonts w:hint="eastAsia" w:hAnsi="Times New Roman" w:eastAsia="宋体"/>
                <w:kern w:val="2"/>
                <w:sz w:val="18"/>
                <w:szCs w:val="18"/>
              </w:rPr>
            </w:pPr>
          </w:p>
        </w:tc>
        <w:tc>
          <w:tcPr>
            <w:tcW w:w="659" w:type="pct"/>
            <w:vMerge w:val="continue"/>
            <w:vAlign w:val="center"/>
          </w:tcPr>
          <w:p>
            <w:pPr>
              <w:keepNext w:val="0"/>
              <w:keepLines w:val="0"/>
              <w:suppressLineNumbers w:val="0"/>
              <w:spacing w:before="0" w:beforeAutospacing="0" w:after="0" w:afterAutospacing="0"/>
              <w:ind w:left="0" w:right="0"/>
              <w:rPr>
                <w:rFonts w:hint="eastAsia" w:hAnsi="Times New Roman" w:eastAsia="宋体"/>
                <w:kern w:val="2"/>
                <w:sz w:val="18"/>
                <w:szCs w:val="18"/>
              </w:rPr>
            </w:pPr>
          </w:p>
        </w:tc>
        <w:tc>
          <w:tcPr>
            <w:tcW w:w="523" w:type="pct"/>
            <w:vMerge w:val="continue"/>
            <w:vAlign w:val="center"/>
          </w:tcPr>
          <w:p>
            <w:pPr>
              <w:keepNext w:val="0"/>
              <w:keepLines w:val="0"/>
              <w:suppressLineNumbers w:val="0"/>
              <w:spacing w:before="0" w:beforeAutospacing="0" w:after="0" w:afterAutospacing="0"/>
              <w:ind w:left="0" w:right="0"/>
              <w:rPr>
                <w:rFonts w:hint="eastAsia" w:hAnsi="Times New Roman" w:eastAsia="宋体"/>
                <w:kern w:val="2"/>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476" w:hRule="atLeast"/>
          <w:jc w:val="center"/>
        </w:trPr>
        <w:tc>
          <w:tcPr>
            <w:tcW w:w="389"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rPr>
            </w:pPr>
            <w:r>
              <w:rPr>
                <w:rFonts w:hint="eastAsia" w:hAnsi="Times New Roman" w:eastAsia="宋体"/>
                <w:kern w:val="2"/>
                <w:sz w:val="18"/>
                <w:szCs w:val="18"/>
              </w:rPr>
              <w:t>K</w:t>
            </w:r>
            <w:r>
              <w:rPr>
                <w:rFonts w:hint="eastAsia" w:hAnsi="Times New Roman" w:eastAsia="宋体"/>
                <w:kern w:val="2"/>
                <w:sz w:val="18"/>
                <w:szCs w:val="18"/>
                <w:vertAlign w:val="subscript"/>
              </w:rPr>
              <w:t>5-1</w:t>
            </w:r>
          </w:p>
        </w:tc>
        <w:tc>
          <w:tcPr>
            <w:tcW w:w="712"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u w:val="single"/>
              </w:rPr>
            </w:pPr>
            <w:r>
              <w:rPr>
                <w:rFonts w:hint="eastAsia" w:hAnsi="Times New Roman" w:eastAsia="宋体"/>
                <w:kern w:val="2"/>
                <w:sz w:val="18"/>
                <w:szCs w:val="18"/>
                <w:u w:val="single"/>
              </w:rPr>
              <w:t>0.38～0.51</w:t>
            </w:r>
          </w:p>
          <w:p>
            <w:pPr>
              <w:keepNext w:val="0"/>
              <w:keepLines w:val="0"/>
              <w:suppressLineNumbers w:val="0"/>
              <w:spacing w:before="0" w:beforeAutospacing="0" w:after="0" w:afterAutospacing="0"/>
              <w:ind w:left="0" w:right="0"/>
              <w:jc w:val="center"/>
              <w:rPr>
                <w:rFonts w:hint="eastAsia" w:hAnsi="Times New Roman" w:eastAsia="宋体"/>
                <w:kern w:val="2"/>
                <w:sz w:val="18"/>
                <w:szCs w:val="18"/>
              </w:rPr>
            </w:pPr>
            <w:r>
              <w:rPr>
                <w:rFonts w:hint="eastAsia" w:hAnsi="Times New Roman" w:eastAsia="宋体"/>
                <w:kern w:val="2"/>
                <w:sz w:val="18"/>
                <w:szCs w:val="18"/>
              </w:rPr>
              <w:t>0.45</w:t>
            </w:r>
          </w:p>
        </w:tc>
        <w:tc>
          <w:tcPr>
            <w:tcW w:w="741" w:type="pct"/>
            <w:vMerge w:val="continue"/>
            <w:vAlign w:val="center"/>
          </w:tcPr>
          <w:p>
            <w:pPr>
              <w:keepNext w:val="0"/>
              <w:keepLines w:val="0"/>
              <w:suppressLineNumbers w:val="0"/>
              <w:spacing w:before="0" w:beforeAutospacing="0" w:after="0" w:afterAutospacing="0"/>
              <w:ind w:left="0" w:right="0"/>
              <w:rPr>
                <w:rFonts w:hint="eastAsia" w:hAnsi="Times New Roman" w:eastAsia="宋体"/>
                <w:kern w:val="2"/>
                <w:sz w:val="18"/>
                <w:szCs w:val="18"/>
              </w:rPr>
            </w:pPr>
          </w:p>
        </w:tc>
        <w:tc>
          <w:tcPr>
            <w:tcW w:w="329"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rPr>
            </w:pPr>
            <w:r>
              <w:rPr>
                <w:rFonts w:hint="eastAsia" w:hAnsi="Times New Roman" w:eastAsia="宋体"/>
                <w:kern w:val="2"/>
                <w:sz w:val="18"/>
                <w:szCs w:val="18"/>
              </w:rPr>
              <w:t>复合</w:t>
            </w:r>
          </w:p>
        </w:tc>
        <w:tc>
          <w:tcPr>
            <w:tcW w:w="329"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rPr>
            </w:pPr>
            <w:r>
              <w:rPr>
                <w:rFonts w:hint="eastAsia" w:hAnsi="Times New Roman" w:eastAsia="宋体"/>
                <w:kern w:val="2"/>
                <w:sz w:val="18"/>
                <w:szCs w:val="18"/>
              </w:rPr>
              <w:t>2</w:t>
            </w:r>
          </w:p>
        </w:tc>
        <w:tc>
          <w:tcPr>
            <w:tcW w:w="659"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rPr>
            </w:pPr>
            <w:r>
              <w:rPr>
                <w:rFonts w:hint="eastAsia" w:hAnsi="Times New Roman" w:eastAsia="宋体"/>
                <w:kern w:val="2"/>
                <w:sz w:val="18"/>
                <w:szCs w:val="18"/>
              </w:rPr>
              <w:t>炭质泥岩</w:t>
            </w:r>
          </w:p>
        </w:tc>
        <w:tc>
          <w:tcPr>
            <w:tcW w:w="659"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rPr>
            </w:pPr>
            <w:r>
              <w:rPr>
                <w:rFonts w:hint="eastAsia" w:hAnsi="Times New Roman" w:eastAsia="宋体"/>
                <w:kern w:val="2"/>
                <w:sz w:val="18"/>
                <w:szCs w:val="18"/>
              </w:rPr>
              <w:t>泥质粉砂岩</w:t>
            </w:r>
          </w:p>
        </w:tc>
        <w:tc>
          <w:tcPr>
            <w:tcW w:w="659"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rPr>
            </w:pPr>
            <w:r>
              <w:rPr>
                <w:rFonts w:hint="eastAsia" w:hAnsi="Times New Roman" w:eastAsia="宋体"/>
                <w:kern w:val="2"/>
                <w:sz w:val="18"/>
                <w:szCs w:val="18"/>
              </w:rPr>
              <w:t>不稳定，局部可采</w:t>
            </w:r>
          </w:p>
        </w:tc>
        <w:tc>
          <w:tcPr>
            <w:tcW w:w="523"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rPr>
            </w:pPr>
            <w:r>
              <w:rPr>
                <w:rFonts w:hint="eastAsia" w:hAnsi="Times New Roman" w:eastAsia="宋体"/>
                <w:kern w:val="2"/>
                <w:sz w:val="18"/>
                <w:szCs w:val="18"/>
              </w:rPr>
              <w:t>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12" w:hRule="atLeast"/>
          <w:jc w:val="center"/>
        </w:trPr>
        <w:tc>
          <w:tcPr>
            <w:tcW w:w="389" w:type="pct"/>
            <w:vMerge w:val="continue"/>
            <w:vAlign w:val="center"/>
          </w:tcPr>
          <w:p>
            <w:pPr>
              <w:keepNext w:val="0"/>
              <w:keepLines w:val="0"/>
              <w:suppressLineNumbers w:val="0"/>
              <w:spacing w:before="0" w:beforeAutospacing="0" w:after="0" w:afterAutospacing="0"/>
              <w:ind w:left="0" w:right="0"/>
              <w:rPr>
                <w:rFonts w:hint="eastAsia" w:hAnsi="Times New Roman" w:eastAsia="宋体"/>
                <w:kern w:val="2"/>
                <w:sz w:val="18"/>
                <w:szCs w:val="18"/>
              </w:rPr>
            </w:pPr>
          </w:p>
        </w:tc>
        <w:tc>
          <w:tcPr>
            <w:tcW w:w="712" w:type="pct"/>
            <w:vMerge w:val="continue"/>
            <w:vAlign w:val="center"/>
          </w:tcPr>
          <w:p>
            <w:pPr>
              <w:keepNext w:val="0"/>
              <w:keepLines w:val="0"/>
              <w:suppressLineNumbers w:val="0"/>
              <w:spacing w:before="0" w:beforeAutospacing="0" w:after="0" w:afterAutospacing="0"/>
              <w:ind w:left="0" w:right="0"/>
              <w:rPr>
                <w:rFonts w:hint="eastAsia" w:hAnsi="Times New Roman" w:eastAsia="宋体"/>
                <w:kern w:val="2"/>
                <w:sz w:val="18"/>
                <w:szCs w:val="18"/>
              </w:rPr>
            </w:pPr>
          </w:p>
        </w:tc>
        <w:tc>
          <w:tcPr>
            <w:tcW w:w="741"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u w:val="single"/>
              </w:rPr>
            </w:pPr>
            <w:r>
              <w:rPr>
                <w:rFonts w:hint="eastAsia" w:hAnsi="Times New Roman" w:eastAsia="宋体"/>
                <w:kern w:val="2"/>
                <w:sz w:val="18"/>
                <w:szCs w:val="18"/>
                <w:u w:val="single"/>
              </w:rPr>
              <w:t>4.5～9.2</w:t>
            </w:r>
          </w:p>
          <w:p>
            <w:pPr>
              <w:keepNext w:val="0"/>
              <w:keepLines w:val="0"/>
              <w:suppressLineNumbers w:val="0"/>
              <w:spacing w:before="0" w:beforeAutospacing="0" w:after="0" w:afterAutospacing="0"/>
              <w:ind w:left="0" w:right="0"/>
              <w:jc w:val="center"/>
              <w:rPr>
                <w:rFonts w:hint="eastAsia" w:hAnsi="Times New Roman" w:eastAsia="宋体"/>
                <w:kern w:val="2"/>
                <w:sz w:val="18"/>
                <w:szCs w:val="18"/>
              </w:rPr>
            </w:pPr>
            <w:r>
              <w:rPr>
                <w:rFonts w:hint="eastAsia" w:hAnsi="Times New Roman" w:eastAsia="宋体"/>
                <w:kern w:val="2"/>
                <w:sz w:val="18"/>
                <w:szCs w:val="18"/>
              </w:rPr>
              <w:t>6.85</w:t>
            </w:r>
          </w:p>
        </w:tc>
        <w:tc>
          <w:tcPr>
            <w:tcW w:w="329" w:type="pct"/>
            <w:vMerge w:val="continue"/>
            <w:vAlign w:val="center"/>
          </w:tcPr>
          <w:p>
            <w:pPr>
              <w:keepNext w:val="0"/>
              <w:keepLines w:val="0"/>
              <w:suppressLineNumbers w:val="0"/>
              <w:spacing w:before="0" w:beforeAutospacing="0" w:after="0" w:afterAutospacing="0"/>
              <w:ind w:left="0" w:right="0"/>
              <w:rPr>
                <w:rFonts w:hint="eastAsia" w:hAnsi="Times New Roman" w:eastAsia="宋体"/>
                <w:kern w:val="2"/>
                <w:sz w:val="18"/>
                <w:szCs w:val="18"/>
              </w:rPr>
            </w:pPr>
          </w:p>
        </w:tc>
        <w:tc>
          <w:tcPr>
            <w:tcW w:w="329" w:type="pct"/>
            <w:vMerge w:val="continue"/>
            <w:vAlign w:val="center"/>
          </w:tcPr>
          <w:p>
            <w:pPr>
              <w:keepNext w:val="0"/>
              <w:keepLines w:val="0"/>
              <w:suppressLineNumbers w:val="0"/>
              <w:spacing w:before="0" w:beforeAutospacing="0" w:after="0" w:afterAutospacing="0"/>
              <w:ind w:left="0" w:right="0"/>
              <w:rPr>
                <w:rFonts w:hint="eastAsia" w:hAnsi="Times New Roman" w:eastAsia="宋体"/>
                <w:kern w:val="2"/>
                <w:sz w:val="18"/>
                <w:szCs w:val="18"/>
              </w:rPr>
            </w:pPr>
          </w:p>
        </w:tc>
        <w:tc>
          <w:tcPr>
            <w:tcW w:w="659" w:type="pct"/>
            <w:vMerge w:val="continue"/>
            <w:vAlign w:val="center"/>
          </w:tcPr>
          <w:p>
            <w:pPr>
              <w:keepNext w:val="0"/>
              <w:keepLines w:val="0"/>
              <w:suppressLineNumbers w:val="0"/>
              <w:spacing w:before="0" w:beforeAutospacing="0" w:after="0" w:afterAutospacing="0"/>
              <w:ind w:left="0" w:right="0"/>
              <w:rPr>
                <w:rFonts w:hint="eastAsia" w:hAnsi="Times New Roman" w:eastAsia="宋体"/>
                <w:kern w:val="2"/>
                <w:sz w:val="18"/>
                <w:szCs w:val="18"/>
              </w:rPr>
            </w:pPr>
          </w:p>
        </w:tc>
        <w:tc>
          <w:tcPr>
            <w:tcW w:w="659" w:type="pct"/>
            <w:vMerge w:val="continue"/>
            <w:vAlign w:val="center"/>
          </w:tcPr>
          <w:p>
            <w:pPr>
              <w:keepNext w:val="0"/>
              <w:keepLines w:val="0"/>
              <w:suppressLineNumbers w:val="0"/>
              <w:spacing w:before="0" w:beforeAutospacing="0" w:after="0" w:afterAutospacing="0"/>
              <w:ind w:left="0" w:right="0"/>
              <w:rPr>
                <w:rFonts w:hint="eastAsia" w:hAnsi="Times New Roman" w:eastAsia="宋体"/>
                <w:kern w:val="2"/>
                <w:sz w:val="18"/>
                <w:szCs w:val="18"/>
              </w:rPr>
            </w:pPr>
          </w:p>
        </w:tc>
        <w:tc>
          <w:tcPr>
            <w:tcW w:w="659" w:type="pct"/>
            <w:vMerge w:val="continue"/>
            <w:vAlign w:val="center"/>
          </w:tcPr>
          <w:p>
            <w:pPr>
              <w:keepNext w:val="0"/>
              <w:keepLines w:val="0"/>
              <w:suppressLineNumbers w:val="0"/>
              <w:spacing w:before="0" w:beforeAutospacing="0" w:after="0" w:afterAutospacing="0"/>
              <w:ind w:left="0" w:right="0"/>
              <w:rPr>
                <w:rFonts w:hint="eastAsia" w:hAnsi="Times New Roman" w:eastAsia="宋体"/>
                <w:kern w:val="2"/>
                <w:sz w:val="18"/>
                <w:szCs w:val="18"/>
              </w:rPr>
            </w:pPr>
          </w:p>
        </w:tc>
        <w:tc>
          <w:tcPr>
            <w:tcW w:w="523" w:type="pct"/>
            <w:vMerge w:val="continue"/>
            <w:vAlign w:val="center"/>
          </w:tcPr>
          <w:p>
            <w:pPr>
              <w:keepNext w:val="0"/>
              <w:keepLines w:val="0"/>
              <w:suppressLineNumbers w:val="0"/>
              <w:spacing w:before="0" w:beforeAutospacing="0" w:after="0" w:afterAutospacing="0"/>
              <w:ind w:left="0" w:right="0"/>
              <w:rPr>
                <w:rFonts w:hint="eastAsia" w:hAnsi="Times New Roman" w:eastAsia="宋体"/>
                <w:kern w:val="2"/>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476" w:hRule="atLeast"/>
          <w:jc w:val="center"/>
        </w:trPr>
        <w:tc>
          <w:tcPr>
            <w:tcW w:w="389"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rPr>
            </w:pPr>
            <w:r>
              <w:rPr>
                <w:rFonts w:hint="eastAsia" w:hAnsi="Times New Roman" w:eastAsia="宋体"/>
                <w:kern w:val="2"/>
                <w:sz w:val="18"/>
                <w:szCs w:val="18"/>
              </w:rPr>
              <w:t>K</w:t>
            </w:r>
            <w:r>
              <w:rPr>
                <w:rFonts w:hint="eastAsia" w:hAnsi="Times New Roman" w:eastAsia="宋体"/>
                <w:kern w:val="2"/>
                <w:sz w:val="18"/>
                <w:szCs w:val="18"/>
                <w:vertAlign w:val="subscript"/>
              </w:rPr>
              <w:t>5</w:t>
            </w:r>
          </w:p>
        </w:tc>
        <w:tc>
          <w:tcPr>
            <w:tcW w:w="712"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u w:val="single"/>
              </w:rPr>
            </w:pPr>
            <w:r>
              <w:rPr>
                <w:rFonts w:hint="eastAsia" w:hAnsi="Times New Roman" w:eastAsia="宋体"/>
                <w:kern w:val="2"/>
                <w:sz w:val="18"/>
                <w:szCs w:val="18"/>
                <w:u w:val="single"/>
              </w:rPr>
              <w:t>0.12～0.85</w:t>
            </w:r>
          </w:p>
          <w:p>
            <w:pPr>
              <w:keepNext w:val="0"/>
              <w:keepLines w:val="0"/>
              <w:suppressLineNumbers w:val="0"/>
              <w:spacing w:before="0" w:beforeAutospacing="0" w:after="0" w:afterAutospacing="0"/>
              <w:ind w:left="0" w:right="0"/>
              <w:jc w:val="center"/>
              <w:rPr>
                <w:rFonts w:hint="eastAsia" w:hAnsi="Times New Roman" w:eastAsia="宋体"/>
                <w:kern w:val="2"/>
                <w:sz w:val="18"/>
                <w:szCs w:val="18"/>
              </w:rPr>
            </w:pPr>
            <w:r>
              <w:rPr>
                <w:rFonts w:hint="eastAsia" w:hAnsi="Times New Roman" w:eastAsia="宋体"/>
                <w:kern w:val="2"/>
                <w:sz w:val="18"/>
                <w:szCs w:val="18"/>
              </w:rPr>
              <w:t>0.44</w:t>
            </w:r>
          </w:p>
        </w:tc>
        <w:tc>
          <w:tcPr>
            <w:tcW w:w="741" w:type="pct"/>
            <w:vMerge w:val="continue"/>
            <w:vAlign w:val="center"/>
          </w:tcPr>
          <w:p>
            <w:pPr>
              <w:keepNext w:val="0"/>
              <w:keepLines w:val="0"/>
              <w:suppressLineNumbers w:val="0"/>
              <w:spacing w:before="0" w:beforeAutospacing="0" w:after="0" w:afterAutospacing="0"/>
              <w:ind w:left="0" w:right="0"/>
              <w:rPr>
                <w:rFonts w:hint="eastAsia" w:hAnsi="Times New Roman" w:eastAsia="宋体"/>
                <w:kern w:val="2"/>
                <w:sz w:val="18"/>
                <w:szCs w:val="18"/>
              </w:rPr>
            </w:pPr>
          </w:p>
        </w:tc>
        <w:tc>
          <w:tcPr>
            <w:tcW w:w="329"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rPr>
            </w:pPr>
            <w:r>
              <w:rPr>
                <w:rFonts w:hint="eastAsia" w:hAnsi="Times New Roman" w:eastAsia="宋体"/>
                <w:kern w:val="2"/>
                <w:sz w:val="18"/>
                <w:szCs w:val="18"/>
              </w:rPr>
              <w:t>复合</w:t>
            </w:r>
          </w:p>
        </w:tc>
        <w:tc>
          <w:tcPr>
            <w:tcW w:w="329"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rPr>
            </w:pPr>
            <w:r>
              <w:rPr>
                <w:rFonts w:hint="eastAsia" w:hAnsi="Times New Roman" w:eastAsia="宋体"/>
                <w:kern w:val="2"/>
                <w:sz w:val="18"/>
                <w:szCs w:val="18"/>
              </w:rPr>
              <w:t>2</w:t>
            </w:r>
          </w:p>
        </w:tc>
        <w:tc>
          <w:tcPr>
            <w:tcW w:w="659"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rPr>
            </w:pPr>
            <w:r>
              <w:rPr>
                <w:rFonts w:hint="eastAsia" w:hAnsi="Times New Roman" w:eastAsia="宋体"/>
                <w:kern w:val="2"/>
                <w:sz w:val="18"/>
                <w:szCs w:val="18"/>
              </w:rPr>
              <w:t>粉砂质泥岩</w:t>
            </w:r>
          </w:p>
        </w:tc>
        <w:tc>
          <w:tcPr>
            <w:tcW w:w="659"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rPr>
            </w:pPr>
            <w:r>
              <w:rPr>
                <w:rFonts w:hint="eastAsia" w:hAnsi="Times New Roman" w:eastAsia="宋体"/>
                <w:kern w:val="2"/>
                <w:sz w:val="18"/>
                <w:szCs w:val="18"/>
              </w:rPr>
              <w:t>泥岩</w:t>
            </w:r>
          </w:p>
        </w:tc>
        <w:tc>
          <w:tcPr>
            <w:tcW w:w="659"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rPr>
            </w:pPr>
            <w:r>
              <w:rPr>
                <w:rFonts w:hint="eastAsia" w:hAnsi="Times New Roman" w:eastAsia="宋体"/>
                <w:kern w:val="2"/>
                <w:sz w:val="18"/>
                <w:szCs w:val="18"/>
              </w:rPr>
              <w:t>较稳定，大部可采</w:t>
            </w:r>
          </w:p>
        </w:tc>
        <w:tc>
          <w:tcPr>
            <w:tcW w:w="523"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rPr>
            </w:pPr>
            <w:r>
              <w:rPr>
                <w:rFonts w:hint="eastAsia" w:hAnsi="Times New Roman" w:eastAsia="宋体"/>
                <w:kern w:val="2"/>
                <w:sz w:val="18"/>
                <w:szCs w:val="18"/>
              </w:rPr>
              <w:t>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74" w:hRule="atLeast"/>
          <w:jc w:val="center"/>
        </w:trPr>
        <w:tc>
          <w:tcPr>
            <w:tcW w:w="389" w:type="pct"/>
            <w:vMerge w:val="continue"/>
            <w:vAlign w:val="center"/>
          </w:tcPr>
          <w:p>
            <w:pPr>
              <w:keepNext w:val="0"/>
              <w:keepLines w:val="0"/>
              <w:suppressLineNumbers w:val="0"/>
              <w:spacing w:before="0" w:beforeAutospacing="0" w:after="0" w:afterAutospacing="0"/>
              <w:ind w:left="0" w:right="0"/>
              <w:rPr>
                <w:rFonts w:hint="eastAsia" w:hAnsi="Times New Roman" w:eastAsia="宋体"/>
                <w:kern w:val="2"/>
                <w:sz w:val="18"/>
                <w:szCs w:val="18"/>
              </w:rPr>
            </w:pPr>
          </w:p>
        </w:tc>
        <w:tc>
          <w:tcPr>
            <w:tcW w:w="712" w:type="pct"/>
            <w:vMerge w:val="continue"/>
            <w:vAlign w:val="center"/>
          </w:tcPr>
          <w:p>
            <w:pPr>
              <w:keepNext w:val="0"/>
              <w:keepLines w:val="0"/>
              <w:suppressLineNumbers w:val="0"/>
              <w:spacing w:before="0" w:beforeAutospacing="0" w:after="0" w:afterAutospacing="0"/>
              <w:ind w:left="0" w:right="0"/>
              <w:rPr>
                <w:rFonts w:hint="eastAsia" w:hAnsi="Times New Roman" w:eastAsia="宋体"/>
                <w:kern w:val="2"/>
                <w:sz w:val="18"/>
                <w:szCs w:val="18"/>
              </w:rPr>
            </w:pPr>
          </w:p>
        </w:tc>
        <w:tc>
          <w:tcPr>
            <w:tcW w:w="741"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rPr>
            </w:pPr>
          </w:p>
        </w:tc>
        <w:tc>
          <w:tcPr>
            <w:tcW w:w="329" w:type="pct"/>
            <w:vMerge w:val="continue"/>
            <w:vAlign w:val="center"/>
          </w:tcPr>
          <w:p>
            <w:pPr>
              <w:keepNext w:val="0"/>
              <w:keepLines w:val="0"/>
              <w:suppressLineNumbers w:val="0"/>
              <w:spacing w:before="0" w:beforeAutospacing="0" w:after="0" w:afterAutospacing="0"/>
              <w:ind w:left="0" w:right="0"/>
              <w:rPr>
                <w:rFonts w:hint="eastAsia" w:hAnsi="Times New Roman" w:eastAsia="宋体"/>
                <w:kern w:val="2"/>
                <w:sz w:val="18"/>
                <w:szCs w:val="18"/>
              </w:rPr>
            </w:pPr>
          </w:p>
        </w:tc>
        <w:tc>
          <w:tcPr>
            <w:tcW w:w="329" w:type="pct"/>
            <w:vMerge w:val="continue"/>
            <w:vAlign w:val="center"/>
          </w:tcPr>
          <w:p>
            <w:pPr>
              <w:keepNext w:val="0"/>
              <w:keepLines w:val="0"/>
              <w:suppressLineNumbers w:val="0"/>
              <w:spacing w:before="0" w:beforeAutospacing="0" w:after="0" w:afterAutospacing="0"/>
              <w:ind w:left="0" w:right="0"/>
              <w:rPr>
                <w:rFonts w:hint="eastAsia" w:hAnsi="Times New Roman" w:eastAsia="宋体"/>
                <w:kern w:val="2"/>
                <w:sz w:val="18"/>
                <w:szCs w:val="18"/>
              </w:rPr>
            </w:pPr>
          </w:p>
        </w:tc>
        <w:tc>
          <w:tcPr>
            <w:tcW w:w="659" w:type="pct"/>
            <w:vMerge w:val="continue"/>
            <w:vAlign w:val="center"/>
          </w:tcPr>
          <w:p>
            <w:pPr>
              <w:keepNext w:val="0"/>
              <w:keepLines w:val="0"/>
              <w:suppressLineNumbers w:val="0"/>
              <w:spacing w:before="0" w:beforeAutospacing="0" w:after="0" w:afterAutospacing="0"/>
              <w:ind w:left="0" w:right="0"/>
              <w:rPr>
                <w:rFonts w:hint="eastAsia" w:hAnsi="Times New Roman" w:eastAsia="宋体"/>
                <w:kern w:val="2"/>
                <w:sz w:val="18"/>
                <w:szCs w:val="18"/>
              </w:rPr>
            </w:pPr>
          </w:p>
        </w:tc>
        <w:tc>
          <w:tcPr>
            <w:tcW w:w="659" w:type="pct"/>
            <w:vMerge w:val="continue"/>
            <w:vAlign w:val="center"/>
          </w:tcPr>
          <w:p>
            <w:pPr>
              <w:keepNext w:val="0"/>
              <w:keepLines w:val="0"/>
              <w:suppressLineNumbers w:val="0"/>
              <w:spacing w:before="0" w:beforeAutospacing="0" w:after="0" w:afterAutospacing="0"/>
              <w:ind w:left="0" w:right="0"/>
              <w:rPr>
                <w:rFonts w:hint="eastAsia" w:hAnsi="Times New Roman" w:eastAsia="宋体"/>
                <w:kern w:val="2"/>
                <w:sz w:val="18"/>
                <w:szCs w:val="18"/>
              </w:rPr>
            </w:pPr>
          </w:p>
        </w:tc>
        <w:tc>
          <w:tcPr>
            <w:tcW w:w="659" w:type="pct"/>
            <w:vMerge w:val="continue"/>
            <w:vAlign w:val="center"/>
          </w:tcPr>
          <w:p>
            <w:pPr>
              <w:keepNext w:val="0"/>
              <w:keepLines w:val="0"/>
              <w:suppressLineNumbers w:val="0"/>
              <w:spacing w:before="0" w:beforeAutospacing="0" w:after="0" w:afterAutospacing="0"/>
              <w:ind w:left="0" w:right="0"/>
              <w:rPr>
                <w:rFonts w:hint="eastAsia" w:hAnsi="Times New Roman" w:eastAsia="宋体"/>
                <w:kern w:val="2"/>
                <w:sz w:val="18"/>
                <w:szCs w:val="18"/>
              </w:rPr>
            </w:pPr>
          </w:p>
        </w:tc>
        <w:tc>
          <w:tcPr>
            <w:tcW w:w="523" w:type="pct"/>
            <w:vMerge w:val="continue"/>
            <w:vAlign w:val="center"/>
          </w:tcPr>
          <w:p>
            <w:pPr>
              <w:keepNext w:val="0"/>
              <w:keepLines w:val="0"/>
              <w:suppressLineNumbers w:val="0"/>
              <w:spacing w:before="0" w:beforeAutospacing="0" w:after="0" w:afterAutospacing="0"/>
              <w:ind w:left="0" w:right="0"/>
              <w:rPr>
                <w:rFonts w:hint="eastAsia" w:hAnsi="Times New Roman" w:eastAsia="宋体"/>
                <w:kern w:val="2"/>
                <w:sz w:val="18"/>
                <w:szCs w:val="18"/>
              </w:rPr>
            </w:pPr>
          </w:p>
        </w:tc>
      </w:tr>
    </w:tbl>
    <w:p>
      <w:pPr>
        <w:spacing w:line="360" w:lineRule="auto"/>
        <w:ind w:firstLine="480" w:firstLineChars="200"/>
        <w:rPr>
          <w:rFonts w:hAnsi="Times New Roman" w:eastAsia="宋体"/>
          <w:lang w:eastAsia="zh-CN"/>
        </w:rPr>
      </w:pPr>
      <w:r>
        <w:rPr>
          <w:rFonts w:hAnsi="Times New Roman" w:eastAsia="宋体"/>
          <w:lang w:eastAsia="zh-CN"/>
        </w:rPr>
        <w:t>2、煤类、煤质</w:t>
      </w:r>
    </w:p>
    <w:p>
      <w:pPr>
        <w:spacing w:line="360" w:lineRule="auto"/>
        <w:ind w:firstLine="480" w:firstLineChars="200"/>
        <w:rPr>
          <w:rFonts w:hAnsi="Times New Roman" w:eastAsia="宋体"/>
          <w:lang w:eastAsia="zh-CN"/>
        </w:rPr>
      </w:pPr>
      <w:r>
        <w:rPr>
          <w:rFonts w:hAnsi="Times New Roman" w:eastAsia="宋体"/>
          <w:lang w:eastAsia="zh-CN"/>
        </w:rPr>
        <w:t>（1）煤岩类型及物理性质</w:t>
      </w:r>
    </w:p>
    <w:p>
      <w:pPr>
        <w:spacing w:line="360" w:lineRule="auto"/>
        <w:ind w:firstLine="480" w:firstLineChars="200"/>
        <w:rPr>
          <w:rFonts w:hAnsi="Times New Roman" w:eastAsia="宋体"/>
          <w:lang w:eastAsia="zh-CN"/>
        </w:rPr>
      </w:pPr>
      <w:r>
        <w:rPr>
          <w:rFonts w:hAnsi="Times New Roman" w:eastAsia="宋体"/>
          <w:lang w:eastAsia="zh-CN"/>
        </w:rPr>
        <w:t>矿区范围内各煤层颜色均为黑色、条痕色为褐黑色、棕黑色；玻璃光泽～弱玻璃光泽，多呈条带状～线理状结构，少量条带状结构，层状构造，内生、外生裂隙不发育；断口以平坦状、参差状，阶梯状次之；质松软，坚硬程度均为半坚硬。</w:t>
      </w:r>
    </w:p>
    <w:p>
      <w:pPr>
        <w:spacing w:line="360" w:lineRule="auto"/>
        <w:ind w:firstLine="480" w:firstLineChars="200"/>
        <w:rPr>
          <w:rFonts w:hAnsi="Times New Roman" w:eastAsia="宋体"/>
          <w:lang w:eastAsia="zh-CN"/>
        </w:rPr>
      </w:pPr>
      <w:r>
        <w:rPr>
          <w:rFonts w:hAnsi="Times New Roman" w:eastAsia="宋体"/>
          <w:lang w:eastAsia="zh-CN"/>
        </w:rPr>
        <w:t>矿区内各可采煤层宏观煤岩类型以半亮煤、半暗煤为主，暗淡煤次之。煤岩组分以亮煤为主，镜煤、暗煤次之，丝炭少见，夹细～中条带状镜煤条带，丝炭呈团块状、透镜状、线理状夹于亮煤之中。</w:t>
      </w:r>
    </w:p>
    <w:p>
      <w:pPr>
        <w:spacing w:line="360" w:lineRule="auto"/>
        <w:ind w:firstLine="480" w:firstLineChars="200"/>
        <w:rPr>
          <w:rFonts w:hAnsi="Times New Roman" w:eastAsia="宋体"/>
          <w:lang w:eastAsia="zh-CN"/>
        </w:rPr>
      </w:pPr>
      <w:r>
        <w:rPr>
          <w:rFonts w:hAnsi="Times New Roman" w:eastAsia="宋体"/>
          <w:lang w:eastAsia="zh-CN"/>
        </w:rPr>
        <w:t>（2）煤质</w:t>
      </w:r>
    </w:p>
    <w:p>
      <w:pPr>
        <w:spacing w:line="360" w:lineRule="auto"/>
        <w:ind w:firstLine="480" w:firstLineChars="200"/>
        <w:rPr>
          <w:rFonts w:hAnsi="Times New Roman" w:eastAsia="宋体"/>
          <w:lang w:eastAsia="zh-CN"/>
        </w:rPr>
      </w:pPr>
      <w:r>
        <w:rPr>
          <w:rFonts w:hAnsi="Times New Roman" w:eastAsia="宋体"/>
          <w:lang w:eastAsia="zh-CN"/>
        </w:rPr>
        <w:t>根据《四川省开江县华蓥山煤田峨城山背斜长田井田地质报告》（1990年9月）、《四川省华蓥山煤田峨城山矿区开丰井田地质普查报告》</w:t>
      </w:r>
      <w:r>
        <w:rPr>
          <w:rFonts w:hint="eastAsia" w:hAnsi="Times New Roman" w:eastAsia="宋体"/>
          <w:lang w:eastAsia="zh-CN"/>
        </w:rPr>
        <w:t>（</w:t>
      </w:r>
      <w:r>
        <w:rPr>
          <w:rFonts w:hAnsi="Times New Roman" w:eastAsia="宋体"/>
          <w:lang w:eastAsia="zh-CN"/>
        </w:rPr>
        <w:t>1975年12月</w:t>
      </w:r>
      <w:r>
        <w:rPr>
          <w:rFonts w:hint="eastAsia" w:hAnsi="Times New Roman" w:eastAsia="宋体"/>
          <w:lang w:eastAsia="zh-CN"/>
        </w:rPr>
        <w:t>）</w:t>
      </w:r>
      <w:r>
        <w:rPr>
          <w:rFonts w:hAnsi="Times New Roman" w:eastAsia="宋体"/>
          <w:lang w:eastAsia="zh-CN"/>
        </w:rPr>
        <w:t>和《四川省宣汉县刘家沟井田七里峡煤矿资源量核实报告》（2009年6月）和本次核实采样化验成果，各煤层煤质主要指标综合成果见表2.2-</w:t>
      </w:r>
      <w:r>
        <w:rPr>
          <w:rFonts w:hint="eastAsia" w:hAnsi="Times New Roman" w:eastAsia="宋体"/>
          <w:lang w:eastAsia="zh-CN"/>
        </w:rPr>
        <w:t>8</w:t>
      </w:r>
      <w:r>
        <w:rPr>
          <w:rFonts w:hAnsi="Times New Roman" w:eastAsia="宋体"/>
          <w:lang w:eastAsia="zh-CN"/>
        </w:rPr>
        <w:t>。</w:t>
      </w:r>
    </w:p>
    <w:p>
      <w:pPr>
        <w:spacing w:line="360" w:lineRule="auto"/>
        <w:jc w:val="center"/>
        <w:rPr>
          <w:rFonts w:hAnsi="Times New Roman" w:eastAsia="宋体"/>
          <w:b/>
          <w:bCs/>
          <w:lang w:eastAsia="zh-CN"/>
        </w:rPr>
      </w:pPr>
      <w:r>
        <w:rPr>
          <w:rFonts w:hAnsi="Times New Roman" w:eastAsia="宋体"/>
          <w:b/>
          <w:bCs/>
          <w:lang w:eastAsia="zh-CN"/>
        </w:rPr>
        <w:t>表2.2-</w:t>
      </w:r>
      <w:r>
        <w:rPr>
          <w:rFonts w:hint="eastAsia" w:hAnsi="Times New Roman" w:eastAsia="宋体"/>
          <w:b/>
          <w:bCs/>
          <w:lang w:eastAsia="zh-CN"/>
        </w:rPr>
        <w:t>8</w:t>
      </w:r>
      <w:r>
        <w:rPr>
          <w:rFonts w:hAnsi="Times New Roman" w:eastAsia="宋体"/>
          <w:b/>
          <w:bCs/>
          <w:lang w:eastAsia="zh-CN"/>
        </w:rPr>
        <w:t xml:space="preserve"> 各煤层煤质主要指标综合成果表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03"/>
        <w:gridCol w:w="852"/>
        <w:gridCol w:w="2329"/>
        <w:gridCol w:w="2330"/>
        <w:gridCol w:w="23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6" w:hRule="atLeast"/>
          <w:tblHeader/>
          <w:jc w:val="center"/>
        </w:trPr>
        <w:tc>
          <w:tcPr>
            <w:tcW w:w="1260" w:type="pct"/>
            <w:gridSpan w:val="2"/>
            <w:vAlign w:val="center"/>
          </w:tcPr>
          <w:p>
            <w:pPr>
              <w:keepNext w:val="0"/>
              <w:keepLines w:val="0"/>
              <w:suppressLineNumbers w:val="0"/>
              <w:spacing w:before="0" w:beforeAutospacing="0" w:after="0" w:afterAutospacing="0"/>
              <w:ind w:left="0" w:right="0"/>
              <w:jc w:val="right"/>
              <w:rPr>
                <w:rFonts w:hint="eastAsia" w:hAnsi="Times New Roman" w:eastAsia="宋体"/>
                <w:b/>
                <w:kern w:val="2"/>
                <w:sz w:val="21"/>
                <w:szCs w:val="21"/>
                <w:lang w:eastAsia="en-US"/>
              </w:rPr>
            </w:pPr>
            <w:r>
              <w:rPr>
                <w:rFonts w:hint="eastAsia" w:hAnsi="Times New Roman" w:eastAsia="宋体"/>
                <w:b/>
                <w:kern w:val="2"/>
                <w:sz w:val="21"/>
                <w:szCs w:val="21"/>
                <w:lang w:eastAsia="zh-CN"/>
              </w:rPr>
              <mc:AlternateContent>
                <mc:Choice Requires="wps">
                  <w:drawing>
                    <wp:anchor distT="0" distB="0" distL="114300" distR="114300" simplePos="0" relativeHeight="251682816" behindDoc="0" locked="0" layoutInCell="1" allowOverlap="1">
                      <wp:simplePos x="0" y="0"/>
                      <wp:positionH relativeFrom="column">
                        <wp:posOffset>-70485</wp:posOffset>
                      </wp:positionH>
                      <wp:positionV relativeFrom="paragraph">
                        <wp:posOffset>2540</wp:posOffset>
                      </wp:positionV>
                      <wp:extent cx="1455420" cy="548640"/>
                      <wp:effectExtent l="0" t="0" r="30480" b="22860"/>
                      <wp:wrapNone/>
                      <wp:docPr id="921333466" name="直接连接符 1"/>
                      <wp:cNvGraphicFramePr/>
                      <a:graphic xmlns:a="http://schemas.openxmlformats.org/drawingml/2006/main">
                        <a:graphicData uri="http://schemas.microsoft.com/office/word/2010/wordprocessingShape">
                          <wps:wsp>
                            <wps:cNvCnPr/>
                            <wps:spPr>
                              <a:xfrm>
                                <a:off x="0" y="0"/>
                                <a:ext cx="1455420" cy="5486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1" o:spid="_x0000_s1026" o:spt="20" style="position:absolute;left:0pt;margin-left:-5.55pt;margin-top:0.2pt;height:43.2pt;width:114.6pt;z-index:251682816;mso-width-relative:page;mso-height-relative:page;" filled="f" stroked="t" coordsize="21600,21600" o:gfxdata="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Au&#10;r6jB1AAAAAcBAAAPAAAAAAAAAAEAIAAAACIAAABkcnMvZG93bnJldi54bWxQSwECFAAUAAAACACH&#10;TuJAA0nAL+8BAAC+AwAADgAAAAAAAAABACAAAAAjAQAAZHJzL2Uyb0RvYy54bWxQSwUGAAAAAAYA&#10;BgBZAQAAhAUAAAAA&#10;">
                      <v:fill on="f" focussize="0,0"/>
                      <v:stroke weight="0.5pt" color="#000000 [3213]" miterlimit="8" joinstyle="miter"/>
                      <v:imagedata o:title=""/>
                      <o:lock v:ext="edit" aspectratio="f"/>
                    </v:line>
                  </w:pict>
                </mc:Fallback>
              </mc:AlternateContent>
            </w:r>
            <w:r>
              <w:rPr>
                <w:rFonts w:hint="eastAsia" w:hAnsi="Times New Roman" w:eastAsia="宋体"/>
                <w:b/>
                <w:kern w:val="2"/>
                <w:sz w:val="21"/>
                <w:szCs w:val="21"/>
                <w:lang w:eastAsia="zh-CN"/>
              </w:rPr>
              <w:t xml:space="preserve">      </w:t>
            </w:r>
            <w:r>
              <w:rPr>
                <w:rFonts w:hint="eastAsia" w:hAnsi="Times New Roman" w:eastAsia="宋体"/>
                <w:b/>
                <w:kern w:val="2"/>
                <w:sz w:val="21"/>
                <w:szCs w:val="21"/>
                <w:lang w:eastAsia="en-US"/>
              </w:rPr>
              <w:t>煤层</w:t>
            </w:r>
          </w:p>
          <w:p>
            <w:pPr>
              <w:keepNext w:val="0"/>
              <w:keepLines w:val="0"/>
              <w:suppressLineNumbers w:val="0"/>
              <w:spacing w:before="0" w:beforeAutospacing="0" w:after="0" w:afterAutospacing="0"/>
              <w:ind w:left="0" w:right="0"/>
              <w:rPr>
                <w:rFonts w:hint="eastAsia" w:hAnsi="Times New Roman" w:eastAsia="宋体"/>
                <w:b/>
                <w:kern w:val="2"/>
                <w:sz w:val="21"/>
                <w:szCs w:val="21"/>
                <w:lang w:eastAsia="en-US"/>
              </w:rPr>
            </w:pPr>
            <w:r>
              <w:rPr>
                <w:rFonts w:hint="eastAsia" w:hAnsi="Times New Roman" w:eastAsia="宋体"/>
                <w:b/>
                <w:kern w:val="2"/>
                <w:sz w:val="21"/>
                <w:szCs w:val="21"/>
                <w:lang w:eastAsia="en-US"/>
              </w:rPr>
              <w:t>煤质指标</w:t>
            </w:r>
          </w:p>
        </w:tc>
        <w:tc>
          <w:tcPr>
            <w:tcW w:w="1246" w:type="pct"/>
            <w:vAlign w:val="center"/>
          </w:tcPr>
          <w:p>
            <w:pPr>
              <w:keepNext w:val="0"/>
              <w:keepLines w:val="0"/>
              <w:suppressLineNumbers w:val="0"/>
              <w:spacing w:before="0" w:beforeAutospacing="0" w:after="0" w:afterAutospacing="0"/>
              <w:ind w:left="0" w:right="0"/>
              <w:jc w:val="center"/>
              <w:rPr>
                <w:rFonts w:hint="eastAsia" w:hAnsi="Times New Roman" w:eastAsia="宋体"/>
                <w:b/>
                <w:kern w:val="2"/>
                <w:sz w:val="21"/>
                <w:szCs w:val="21"/>
                <w:lang w:eastAsia="en-US"/>
              </w:rPr>
            </w:pPr>
            <w:r>
              <w:rPr>
                <w:rFonts w:hint="eastAsia" w:hAnsi="Times New Roman" w:eastAsia="宋体"/>
                <w:b/>
                <w:kern w:val="2"/>
                <w:sz w:val="21"/>
                <w:szCs w:val="21"/>
                <w:lang w:eastAsia="en-US"/>
              </w:rPr>
              <w:t>K</w:t>
            </w:r>
            <w:r>
              <w:rPr>
                <w:rFonts w:hint="eastAsia" w:hAnsi="Times New Roman" w:eastAsia="宋体"/>
                <w:b/>
                <w:kern w:val="2"/>
                <w:sz w:val="21"/>
                <w:szCs w:val="21"/>
                <w:vertAlign w:val="subscript"/>
                <w:lang w:eastAsia="en-US"/>
              </w:rPr>
              <w:t>6</w:t>
            </w:r>
          </w:p>
        </w:tc>
        <w:tc>
          <w:tcPr>
            <w:tcW w:w="1247" w:type="pct"/>
            <w:vAlign w:val="center"/>
          </w:tcPr>
          <w:p>
            <w:pPr>
              <w:keepNext w:val="0"/>
              <w:keepLines w:val="0"/>
              <w:suppressLineNumbers w:val="0"/>
              <w:spacing w:before="0" w:beforeAutospacing="0" w:after="0" w:afterAutospacing="0"/>
              <w:ind w:left="0" w:right="0"/>
              <w:jc w:val="center"/>
              <w:rPr>
                <w:rFonts w:hint="eastAsia" w:hAnsi="Times New Roman" w:eastAsia="宋体"/>
                <w:b/>
                <w:kern w:val="2"/>
                <w:sz w:val="21"/>
                <w:szCs w:val="21"/>
                <w:lang w:eastAsia="en-US"/>
              </w:rPr>
            </w:pPr>
            <w:r>
              <w:rPr>
                <w:rFonts w:hint="eastAsia" w:hAnsi="Times New Roman" w:eastAsia="宋体"/>
                <w:b/>
                <w:kern w:val="2"/>
                <w:sz w:val="21"/>
                <w:szCs w:val="21"/>
                <w:lang w:eastAsia="en-US"/>
              </w:rPr>
              <w:t>K</w:t>
            </w:r>
            <w:r>
              <w:rPr>
                <w:rFonts w:hint="eastAsia" w:hAnsi="Times New Roman" w:eastAsia="宋体"/>
                <w:b/>
                <w:kern w:val="2"/>
                <w:sz w:val="21"/>
                <w:szCs w:val="21"/>
                <w:vertAlign w:val="subscript"/>
                <w:lang w:eastAsia="en-US"/>
              </w:rPr>
              <w:t>5</w:t>
            </w:r>
          </w:p>
        </w:tc>
        <w:tc>
          <w:tcPr>
            <w:tcW w:w="1247" w:type="pct"/>
            <w:vAlign w:val="center"/>
          </w:tcPr>
          <w:p>
            <w:pPr>
              <w:keepNext w:val="0"/>
              <w:keepLines w:val="0"/>
              <w:suppressLineNumbers w:val="0"/>
              <w:spacing w:before="0" w:beforeAutospacing="0" w:after="0" w:afterAutospacing="0"/>
              <w:ind w:left="0" w:right="0"/>
              <w:jc w:val="center"/>
              <w:rPr>
                <w:rFonts w:hint="eastAsia" w:hAnsi="Times New Roman" w:eastAsia="宋体"/>
                <w:b/>
                <w:kern w:val="2"/>
                <w:sz w:val="21"/>
                <w:szCs w:val="21"/>
                <w:lang w:eastAsia="en-US"/>
              </w:rPr>
            </w:pPr>
            <w:r>
              <w:rPr>
                <w:rFonts w:hint="eastAsia" w:hAnsi="Times New Roman" w:eastAsia="宋体"/>
                <w:b/>
                <w:kern w:val="2"/>
                <w:sz w:val="21"/>
                <w:szCs w:val="21"/>
                <w:lang w:eastAsia="en-US"/>
              </w:rPr>
              <w:t>K</w:t>
            </w:r>
            <w:r>
              <w:rPr>
                <w:rFonts w:hint="eastAsia" w:hAnsi="Times New Roman" w:eastAsia="宋体"/>
                <w:b/>
                <w:kern w:val="2"/>
                <w:sz w:val="21"/>
                <w:szCs w:val="21"/>
                <w:vertAlign w:val="subscript"/>
                <w:lang w:eastAsia="en-US"/>
              </w:rPr>
              <w:t>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2" w:hRule="atLeast"/>
          <w:jc w:val="center"/>
        </w:trPr>
        <w:tc>
          <w:tcPr>
            <w:tcW w:w="804" w:type="pct"/>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18"/>
                <w:szCs w:val="18"/>
                <w:vertAlign w:val="subscript"/>
              </w:rPr>
            </w:pPr>
            <w:r>
              <w:rPr>
                <w:rFonts w:hint="eastAsia" w:hAnsi="Times New Roman" w:eastAsia="宋体"/>
                <w:kern w:val="2"/>
                <w:sz w:val="18"/>
                <w:szCs w:val="18"/>
              </w:rPr>
              <w:t>水分M</w:t>
            </w:r>
            <w:r>
              <w:rPr>
                <w:rFonts w:hint="eastAsia" w:hAnsi="Times New Roman" w:eastAsia="宋体"/>
                <w:kern w:val="2"/>
                <w:sz w:val="18"/>
                <w:szCs w:val="18"/>
                <w:vertAlign w:val="subscript"/>
              </w:rPr>
              <w:t>ad</w:t>
            </w:r>
          </w:p>
          <w:p>
            <w:pPr>
              <w:keepNext w:val="0"/>
              <w:keepLines w:val="0"/>
              <w:suppressLineNumbers w:val="0"/>
              <w:spacing w:before="0" w:beforeAutospacing="0" w:after="0" w:afterAutospacing="0" w:line="240" w:lineRule="exact"/>
              <w:ind w:left="0" w:right="0"/>
              <w:jc w:val="center"/>
              <w:rPr>
                <w:rFonts w:hint="eastAsia" w:hAnsi="Times New Roman" w:eastAsia="宋体"/>
                <w:kern w:val="2"/>
                <w:sz w:val="18"/>
                <w:szCs w:val="18"/>
              </w:rPr>
            </w:pPr>
            <w:r>
              <w:rPr>
                <w:rFonts w:hint="eastAsia" w:hAnsi="Times New Roman" w:eastAsia="宋体"/>
                <w:kern w:val="2"/>
                <w:sz w:val="18"/>
                <w:szCs w:val="18"/>
              </w:rPr>
              <w:t>（%）</w:t>
            </w:r>
          </w:p>
        </w:tc>
        <w:tc>
          <w:tcPr>
            <w:tcW w:w="45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18"/>
                <w:szCs w:val="18"/>
              </w:rPr>
            </w:pPr>
            <w:r>
              <w:rPr>
                <w:rFonts w:hint="eastAsia" w:hAnsi="Times New Roman" w:eastAsia="宋体"/>
                <w:kern w:val="2"/>
                <w:sz w:val="18"/>
                <w:szCs w:val="18"/>
              </w:rPr>
              <w:t>原煤</w:t>
            </w:r>
          </w:p>
        </w:tc>
        <w:tc>
          <w:tcPr>
            <w:tcW w:w="1246" w:type="pct"/>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18"/>
                <w:szCs w:val="18"/>
                <w:u w:val="single"/>
              </w:rPr>
            </w:pPr>
            <w:r>
              <w:rPr>
                <w:rFonts w:hint="eastAsia" w:hAnsi="Times New Roman" w:eastAsia="宋体"/>
                <w:kern w:val="2"/>
                <w:sz w:val="18"/>
                <w:szCs w:val="18"/>
                <w:u w:val="single"/>
              </w:rPr>
              <w:t>0.76-0.83</w:t>
            </w:r>
          </w:p>
          <w:p>
            <w:pPr>
              <w:keepNext w:val="0"/>
              <w:keepLines w:val="0"/>
              <w:suppressLineNumbers w:val="0"/>
              <w:autoSpaceDN w:val="0"/>
              <w:spacing w:before="0" w:beforeAutospacing="0" w:after="0" w:afterAutospacing="0" w:line="240" w:lineRule="exact"/>
              <w:ind w:left="0" w:right="0"/>
              <w:jc w:val="center"/>
              <w:textAlignment w:val="center"/>
              <w:rPr>
                <w:rFonts w:hint="eastAsia" w:hAnsi="Times New Roman" w:eastAsia="宋体"/>
                <w:kern w:val="2"/>
                <w:sz w:val="18"/>
                <w:szCs w:val="18"/>
                <w:u w:val="single"/>
              </w:rPr>
            </w:pPr>
            <w:r>
              <w:rPr>
                <w:rFonts w:hint="eastAsia" w:hAnsi="Times New Roman" w:eastAsia="宋体"/>
                <w:kern w:val="2"/>
                <w:sz w:val="18"/>
                <w:szCs w:val="18"/>
              </w:rPr>
              <w:t>0.80(2)</w:t>
            </w:r>
          </w:p>
        </w:tc>
        <w:tc>
          <w:tcPr>
            <w:tcW w:w="1247" w:type="pct"/>
            <w:vAlign w:val="center"/>
          </w:tcPr>
          <w:p>
            <w:pPr>
              <w:keepNext w:val="0"/>
              <w:keepLines w:val="0"/>
              <w:suppressLineNumbers w:val="0"/>
              <w:autoSpaceDN w:val="0"/>
              <w:spacing w:before="0" w:beforeAutospacing="0" w:after="0" w:afterAutospacing="0" w:line="240" w:lineRule="exact"/>
              <w:ind w:left="0" w:right="0"/>
              <w:jc w:val="center"/>
              <w:textAlignment w:val="center"/>
              <w:rPr>
                <w:rFonts w:hint="eastAsia" w:hAnsi="Times New Roman" w:eastAsia="宋体"/>
                <w:kern w:val="2"/>
                <w:sz w:val="18"/>
                <w:szCs w:val="18"/>
                <w:u w:val="single"/>
              </w:rPr>
            </w:pPr>
            <w:r>
              <w:rPr>
                <w:rFonts w:hint="eastAsia" w:hAnsi="Times New Roman" w:eastAsia="宋体"/>
                <w:kern w:val="2"/>
                <w:sz w:val="18"/>
                <w:szCs w:val="18"/>
                <w:u w:val="single"/>
              </w:rPr>
              <w:t>0.47-0.47</w:t>
            </w:r>
          </w:p>
          <w:p>
            <w:pPr>
              <w:keepNext w:val="0"/>
              <w:keepLines w:val="0"/>
              <w:suppressLineNumbers w:val="0"/>
              <w:autoSpaceDN w:val="0"/>
              <w:spacing w:before="0" w:beforeAutospacing="0" w:after="0" w:afterAutospacing="0" w:line="240" w:lineRule="exact"/>
              <w:ind w:left="0" w:right="0"/>
              <w:jc w:val="center"/>
              <w:textAlignment w:val="center"/>
              <w:rPr>
                <w:rFonts w:hint="eastAsia" w:hAnsi="Times New Roman" w:eastAsia="宋体"/>
                <w:kern w:val="2"/>
                <w:sz w:val="18"/>
                <w:szCs w:val="18"/>
              </w:rPr>
            </w:pPr>
            <w:r>
              <w:rPr>
                <w:rFonts w:hint="eastAsia" w:hAnsi="Times New Roman" w:eastAsia="宋体"/>
                <w:kern w:val="2"/>
                <w:sz w:val="18"/>
                <w:szCs w:val="18"/>
              </w:rPr>
              <w:t>0.47（2）</w:t>
            </w:r>
          </w:p>
        </w:tc>
        <w:tc>
          <w:tcPr>
            <w:tcW w:w="1247" w:type="pct"/>
            <w:vAlign w:val="center"/>
          </w:tcPr>
          <w:p>
            <w:pPr>
              <w:keepNext w:val="0"/>
              <w:keepLines w:val="0"/>
              <w:suppressLineNumbers w:val="0"/>
              <w:autoSpaceDN w:val="0"/>
              <w:spacing w:before="0" w:beforeAutospacing="0" w:after="0" w:afterAutospacing="0" w:line="240" w:lineRule="exact"/>
              <w:ind w:left="0" w:right="0"/>
              <w:jc w:val="center"/>
              <w:textAlignment w:val="center"/>
              <w:rPr>
                <w:rFonts w:hint="eastAsia" w:hAnsi="Times New Roman" w:eastAsia="宋体"/>
                <w:kern w:val="2"/>
                <w:sz w:val="18"/>
                <w:szCs w:val="18"/>
                <w:u w:val="single"/>
              </w:rPr>
            </w:pPr>
            <w:r>
              <w:rPr>
                <w:rFonts w:hint="eastAsia" w:hAnsi="Times New Roman" w:eastAsia="宋体"/>
                <w:kern w:val="2"/>
                <w:sz w:val="18"/>
                <w:szCs w:val="18"/>
                <w:u w:val="single"/>
              </w:rPr>
              <w:t>0.03-0.34</w:t>
            </w:r>
          </w:p>
          <w:p>
            <w:pPr>
              <w:keepNext w:val="0"/>
              <w:keepLines w:val="0"/>
              <w:suppressLineNumbers w:val="0"/>
              <w:autoSpaceDN w:val="0"/>
              <w:spacing w:before="0" w:beforeAutospacing="0" w:after="0" w:afterAutospacing="0" w:line="240" w:lineRule="exact"/>
              <w:ind w:left="0" w:right="0"/>
              <w:jc w:val="center"/>
              <w:textAlignment w:val="center"/>
              <w:rPr>
                <w:rFonts w:hint="eastAsia" w:hAnsi="Times New Roman" w:eastAsia="宋体"/>
                <w:kern w:val="2"/>
                <w:sz w:val="18"/>
                <w:szCs w:val="18"/>
              </w:rPr>
            </w:pPr>
            <w:r>
              <w:rPr>
                <w:rFonts w:hint="eastAsia" w:hAnsi="Times New Roman" w:eastAsia="宋体"/>
                <w:kern w:val="2"/>
                <w:sz w:val="18"/>
                <w:szCs w:val="18"/>
              </w:rPr>
              <w:t>0.18（3）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4" w:hRule="atLeast"/>
          <w:jc w:val="center"/>
        </w:trPr>
        <w:tc>
          <w:tcPr>
            <w:tcW w:w="804"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18"/>
                <w:szCs w:val="18"/>
              </w:rPr>
            </w:pPr>
          </w:p>
        </w:tc>
        <w:tc>
          <w:tcPr>
            <w:tcW w:w="45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18"/>
                <w:szCs w:val="18"/>
              </w:rPr>
            </w:pPr>
            <w:r>
              <w:rPr>
                <w:rFonts w:hint="eastAsia" w:hAnsi="Times New Roman" w:eastAsia="宋体"/>
                <w:kern w:val="2"/>
                <w:sz w:val="18"/>
                <w:szCs w:val="18"/>
              </w:rPr>
              <w:t>浮煤</w:t>
            </w:r>
          </w:p>
        </w:tc>
        <w:tc>
          <w:tcPr>
            <w:tcW w:w="1246" w:type="pct"/>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18"/>
                <w:szCs w:val="18"/>
                <w:u w:val="single"/>
              </w:rPr>
            </w:pPr>
            <w:r>
              <w:rPr>
                <w:rFonts w:hint="eastAsia" w:hAnsi="Times New Roman" w:eastAsia="宋体"/>
                <w:kern w:val="2"/>
                <w:sz w:val="18"/>
                <w:szCs w:val="18"/>
                <w:u w:val="single"/>
              </w:rPr>
              <w:t>0.50-0.69</w:t>
            </w:r>
          </w:p>
          <w:p>
            <w:pPr>
              <w:keepNext w:val="0"/>
              <w:keepLines w:val="0"/>
              <w:suppressLineNumbers w:val="0"/>
              <w:autoSpaceDN w:val="0"/>
              <w:spacing w:before="0" w:beforeAutospacing="0" w:after="0" w:afterAutospacing="0" w:line="240" w:lineRule="exact"/>
              <w:ind w:left="0" w:right="0"/>
              <w:jc w:val="center"/>
              <w:textAlignment w:val="center"/>
              <w:rPr>
                <w:rFonts w:hint="eastAsia" w:hAnsi="Times New Roman" w:eastAsia="宋体"/>
                <w:kern w:val="2"/>
                <w:sz w:val="18"/>
                <w:szCs w:val="18"/>
                <w:u w:val="single"/>
              </w:rPr>
            </w:pPr>
            <w:r>
              <w:rPr>
                <w:rFonts w:hint="eastAsia" w:hAnsi="Times New Roman" w:eastAsia="宋体"/>
                <w:kern w:val="2"/>
                <w:sz w:val="18"/>
                <w:szCs w:val="18"/>
              </w:rPr>
              <w:t>0.60(2)</w:t>
            </w:r>
          </w:p>
        </w:tc>
        <w:tc>
          <w:tcPr>
            <w:tcW w:w="1247" w:type="pct"/>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18"/>
                <w:szCs w:val="18"/>
                <w:u w:val="single"/>
              </w:rPr>
            </w:pPr>
            <w:r>
              <w:rPr>
                <w:rFonts w:hint="eastAsia" w:hAnsi="Times New Roman" w:eastAsia="宋体"/>
                <w:kern w:val="2"/>
                <w:sz w:val="18"/>
                <w:szCs w:val="18"/>
                <w:u w:val="single"/>
              </w:rPr>
              <w:t>0.05-0.11</w:t>
            </w:r>
          </w:p>
          <w:p>
            <w:pPr>
              <w:keepNext w:val="0"/>
              <w:keepLines w:val="0"/>
              <w:suppressLineNumbers w:val="0"/>
              <w:autoSpaceDN w:val="0"/>
              <w:spacing w:before="0" w:beforeAutospacing="0" w:after="0" w:afterAutospacing="0" w:line="240" w:lineRule="exact"/>
              <w:ind w:left="0" w:right="0"/>
              <w:jc w:val="center"/>
              <w:textAlignment w:val="center"/>
              <w:rPr>
                <w:rFonts w:hint="eastAsia" w:hAnsi="Times New Roman" w:eastAsia="宋体"/>
                <w:kern w:val="2"/>
                <w:sz w:val="18"/>
                <w:szCs w:val="18"/>
              </w:rPr>
            </w:pPr>
            <w:r>
              <w:rPr>
                <w:rFonts w:hint="eastAsia" w:hAnsi="Times New Roman" w:eastAsia="宋体"/>
                <w:kern w:val="2"/>
                <w:sz w:val="18"/>
                <w:szCs w:val="18"/>
              </w:rPr>
              <w:t>0.08(2)</w:t>
            </w:r>
          </w:p>
        </w:tc>
        <w:tc>
          <w:tcPr>
            <w:tcW w:w="1247" w:type="pct"/>
            <w:vAlign w:val="center"/>
          </w:tcPr>
          <w:p>
            <w:pPr>
              <w:keepNext w:val="0"/>
              <w:keepLines w:val="0"/>
              <w:suppressLineNumbers w:val="0"/>
              <w:autoSpaceDN w:val="0"/>
              <w:spacing w:before="0" w:beforeAutospacing="0" w:after="0" w:afterAutospacing="0" w:line="240" w:lineRule="exact"/>
              <w:ind w:left="0" w:right="0"/>
              <w:jc w:val="center"/>
              <w:textAlignment w:val="center"/>
              <w:rPr>
                <w:rFonts w:hint="eastAsia" w:hAnsi="Times New Roman" w:eastAsia="宋体"/>
                <w:kern w:val="2"/>
                <w:sz w:val="18"/>
                <w:szCs w:val="18"/>
                <w:u w:val="single"/>
              </w:rPr>
            </w:pPr>
            <w:r>
              <w:rPr>
                <w:rFonts w:hint="eastAsia" w:hAnsi="Times New Roman" w:eastAsia="宋体"/>
                <w:kern w:val="2"/>
                <w:sz w:val="18"/>
                <w:szCs w:val="18"/>
                <w:u w:val="single"/>
              </w:rPr>
              <w:t>0.05-0.48</w:t>
            </w:r>
          </w:p>
          <w:p>
            <w:pPr>
              <w:keepNext w:val="0"/>
              <w:keepLines w:val="0"/>
              <w:suppressLineNumbers w:val="0"/>
              <w:autoSpaceDN w:val="0"/>
              <w:spacing w:before="0" w:beforeAutospacing="0" w:after="0" w:afterAutospacing="0" w:line="240" w:lineRule="exact"/>
              <w:ind w:left="0" w:right="0"/>
              <w:jc w:val="center"/>
              <w:textAlignment w:val="center"/>
              <w:rPr>
                <w:rFonts w:hint="eastAsia" w:hAnsi="Times New Roman" w:eastAsia="宋体"/>
                <w:kern w:val="2"/>
                <w:sz w:val="18"/>
                <w:szCs w:val="18"/>
              </w:rPr>
            </w:pPr>
            <w:r>
              <w:rPr>
                <w:rFonts w:hint="eastAsia" w:hAnsi="Times New Roman" w:eastAsia="宋体"/>
                <w:kern w:val="2"/>
                <w:sz w:val="18"/>
                <w:szCs w:val="18"/>
              </w:rPr>
              <w:t>0.33（3）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2" w:hRule="atLeast"/>
          <w:jc w:val="center"/>
        </w:trPr>
        <w:tc>
          <w:tcPr>
            <w:tcW w:w="804" w:type="pct"/>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18"/>
                <w:szCs w:val="18"/>
                <w:vertAlign w:val="subscript"/>
              </w:rPr>
            </w:pPr>
            <w:r>
              <w:rPr>
                <w:rFonts w:hint="eastAsia" w:hAnsi="Times New Roman" w:eastAsia="宋体"/>
                <w:kern w:val="2"/>
                <w:sz w:val="18"/>
                <w:szCs w:val="18"/>
              </w:rPr>
              <w:t>灰分A</w:t>
            </w:r>
            <w:r>
              <w:rPr>
                <w:rFonts w:hint="eastAsia" w:hAnsi="Times New Roman" w:eastAsia="宋体"/>
                <w:kern w:val="2"/>
                <w:sz w:val="18"/>
                <w:szCs w:val="18"/>
                <w:vertAlign w:val="subscript"/>
              </w:rPr>
              <w:t>d</w:t>
            </w:r>
          </w:p>
          <w:p>
            <w:pPr>
              <w:keepNext w:val="0"/>
              <w:keepLines w:val="0"/>
              <w:suppressLineNumbers w:val="0"/>
              <w:spacing w:before="0" w:beforeAutospacing="0" w:after="0" w:afterAutospacing="0" w:line="240" w:lineRule="exact"/>
              <w:ind w:left="0" w:right="0"/>
              <w:jc w:val="center"/>
              <w:rPr>
                <w:rFonts w:hint="eastAsia" w:hAnsi="Times New Roman" w:eastAsia="宋体"/>
                <w:kern w:val="2"/>
                <w:sz w:val="18"/>
                <w:szCs w:val="18"/>
              </w:rPr>
            </w:pPr>
            <w:r>
              <w:rPr>
                <w:rFonts w:hint="eastAsia" w:hAnsi="Times New Roman" w:eastAsia="宋体"/>
                <w:kern w:val="2"/>
                <w:sz w:val="18"/>
                <w:szCs w:val="18"/>
              </w:rPr>
              <w:t>（%）</w:t>
            </w:r>
          </w:p>
        </w:tc>
        <w:tc>
          <w:tcPr>
            <w:tcW w:w="45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18"/>
                <w:szCs w:val="18"/>
              </w:rPr>
            </w:pPr>
            <w:r>
              <w:rPr>
                <w:rFonts w:hint="eastAsia" w:hAnsi="Times New Roman" w:eastAsia="宋体"/>
                <w:kern w:val="2"/>
                <w:sz w:val="18"/>
                <w:szCs w:val="18"/>
              </w:rPr>
              <w:t>原煤</w:t>
            </w:r>
          </w:p>
        </w:tc>
        <w:tc>
          <w:tcPr>
            <w:tcW w:w="1246" w:type="pct"/>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18"/>
                <w:szCs w:val="18"/>
                <w:u w:val="single"/>
              </w:rPr>
            </w:pPr>
            <w:r>
              <w:rPr>
                <w:rFonts w:hint="eastAsia" w:hAnsi="Times New Roman" w:eastAsia="宋体"/>
                <w:kern w:val="2"/>
                <w:sz w:val="18"/>
                <w:szCs w:val="18"/>
                <w:u w:val="single"/>
              </w:rPr>
              <w:t>18.23-23.10</w:t>
            </w:r>
          </w:p>
          <w:p>
            <w:pPr>
              <w:keepNext w:val="0"/>
              <w:keepLines w:val="0"/>
              <w:suppressLineNumbers w:val="0"/>
              <w:autoSpaceDN w:val="0"/>
              <w:spacing w:before="0" w:beforeAutospacing="0" w:after="0" w:afterAutospacing="0" w:line="240" w:lineRule="exact"/>
              <w:ind w:left="0" w:right="0"/>
              <w:jc w:val="center"/>
              <w:textAlignment w:val="center"/>
              <w:rPr>
                <w:rFonts w:hint="eastAsia" w:hAnsi="Times New Roman" w:eastAsia="宋体"/>
                <w:kern w:val="2"/>
                <w:sz w:val="18"/>
                <w:szCs w:val="18"/>
                <w:u w:val="single"/>
              </w:rPr>
            </w:pPr>
            <w:r>
              <w:rPr>
                <w:rFonts w:hint="eastAsia" w:hAnsi="Times New Roman" w:eastAsia="宋体"/>
                <w:kern w:val="2"/>
                <w:sz w:val="18"/>
                <w:szCs w:val="18"/>
              </w:rPr>
              <w:t>19.93(3)</w:t>
            </w:r>
          </w:p>
        </w:tc>
        <w:tc>
          <w:tcPr>
            <w:tcW w:w="1247" w:type="pct"/>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18"/>
                <w:szCs w:val="18"/>
                <w:u w:val="single"/>
              </w:rPr>
            </w:pPr>
            <w:r>
              <w:rPr>
                <w:rFonts w:hint="eastAsia" w:hAnsi="Times New Roman" w:eastAsia="宋体"/>
                <w:kern w:val="2"/>
                <w:sz w:val="18"/>
                <w:szCs w:val="18"/>
                <w:u w:val="single"/>
              </w:rPr>
              <w:t>16.45-32.17</w:t>
            </w:r>
          </w:p>
          <w:p>
            <w:pPr>
              <w:keepNext w:val="0"/>
              <w:keepLines w:val="0"/>
              <w:suppressLineNumbers w:val="0"/>
              <w:autoSpaceDN w:val="0"/>
              <w:spacing w:before="0" w:beforeAutospacing="0" w:after="0" w:afterAutospacing="0" w:line="240" w:lineRule="exact"/>
              <w:ind w:left="0" w:right="0"/>
              <w:jc w:val="center"/>
              <w:textAlignment w:val="center"/>
              <w:rPr>
                <w:rFonts w:hint="eastAsia" w:hAnsi="Times New Roman" w:eastAsia="宋体"/>
                <w:kern w:val="2"/>
                <w:sz w:val="18"/>
                <w:szCs w:val="18"/>
              </w:rPr>
            </w:pPr>
            <w:r>
              <w:rPr>
                <w:rFonts w:hint="eastAsia" w:hAnsi="Times New Roman" w:eastAsia="宋体"/>
                <w:kern w:val="2"/>
                <w:sz w:val="18"/>
                <w:szCs w:val="18"/>
              </w:rPr>
              <w:t>24.20(5)</w:t>
            </w:r>
          </w:p>
        </w:tc>
        <w:tc>
          <w:tcPr>
            <w:tcW w:w="1247" w:type="pct"/>
            <w:vAlign w:val="center"/>
          </w:tcPr>
          <w:p>
            <w:pPr>
              <w:keepNext w:val="0"/>
              <w:keepLines w:val="0"/>
              <w:suppressLineNumbers w:val="0"/>
              <w:autoSpaceDN w:val="0"/>
              <w:spacing w:before="0" w:beforeAutospacing="0" w:after="0" w:afterAutospacing="0" w:line="240" w:lineRule="exact"/>
              <w:ind w:left="0" w:right="0"/>
              <w:jc w:val="center"/>
              <w:textAlignment w:val="center"/>
              <w:rPr>
                <w:rFonts w:hint="eastAsia" w:hAnsi="Times New Roman" w:eastAsia="宋体"/>
                <w:kern w:val="2"/>
                <w:sz w:val="18"/>
                <w:szCs w:val="18"/>
                <w:u w:val="single"/>
              </w:rPr>
            </w:pPr>
            <w:r>
              <w:rPr>
                <w:rFonts w:hint="eastAsia" w:hAnsi="Times New Roman" w:eastAsia="宋体"/>
                <w:kern w:val="2"/>
                <w:sz w:val="18"/>
                <w:szCs w:val="18"/>
                <w:u w:val="single"/>
              </w:rPr>
              <w:t>17.25-26.01</w:t>
            </w:r>
          </w:p>
          <w:p>
            <w:pPr>
              <w:keepNext w:val="0"/>
              <w:keepLines w:val="0"/>
              <w:suppressLineNumbers w:val="0"/>
              <w:autoSpaceDN w:val="0"/>
              <w:spacing w:before="0" w:beforeAutospacing="0" w:after="0" w:afterAutospacing="0" w:line="240" w:lineRule="exact"/>
              <w:ind w:left="0" w:right="0"/>
              <w:jc w:val="center"/>
              <w:textAlignment w:val="center"/>
              <w:rPr>
                <w:rFonts w:hint="eastAsia" w:hAnsi="Times New Roman" w:eastAsia="宋体"/>
                <w:kern w:val="2"/>
                <w:sz w:val="18"/>
                <w:szCs w:val="18"/>
                <w:u w:val="single"/>
              </w:rPr>
            </w:pPr>
            <w:r>
              <w:rPr>
                <w:rFonts w:hint="eastAsia" w:hAnsi="Times New Roman" w:eastAsia="宋体"/>
                <w:kern w:val="2"/>
                <w:sz w:val="18"/>
                <w:szCs w:val="18"/>
              </w:rPr>
              <w:t>20.30（3）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 w:hRule="atLeast"/>
          <w:jc w:val="center"/>
        </w:trPr>
        <w:tc>
          <w:tcPr>
            <w:tcW w:w="804"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18"/>
                <w:szCs w:val="18"/>
              </w:rPr>
            </w:pPr>
          </w:p>
        </w:tc>
        <w:tc>
          <w:tcPr>
            <w:tcW w:w="45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18"/>
                <w:szCs w:val="18"/>
              </w:rPr>
            </w:pPr>
            <w:r>
              <w:rPr>
                <w:rFonts w:hint="eastAsia" w:hAnsi="Times New Roman" w:eastAsia="宋体"/>
                <w:kern w:val="2"/>
                <w:sz w:val="18"/>
                <w:szCs w:val="18"/>
              </w:rPr>
              <w:t>浮煤</w:t>
            </w:r>
          </w:p>
        </w:tc>
        <w:tc>
          <w:tcPr>
            <w:tcW w:w="1246" w:type="pct"/>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18"/>
                <w:szCs w:val="18"/>
                <w:u w:val="single"/>
              </w:rPr>
            </w:pPr>
            <w:r>
              <w:rPr>
                <w:rFonts w:hint="eastAsia" w:hAnsi="Times New Roman" w:eastAsia="宋体"/>
                <w:kern w:val="2"/>
                <w:sz w:val="18"/>
                <w:szCs w:val="18"/>
                <w:u w:val="single"/>
              </w:rPr>
              <w:t>8.91-9.01</w:t>
            </w:r>
          </w:p>
          <w:p>
            <w:pPr>
              <w:keepNext w:val="0"/>
              <w:keepLines w:val="0"/>
              <w:suppressLineNumbers w:val="0"/>
              <w:autoSpaceDN w:val="0"/>
              <w:spacing w:before="0" w:beforeAutospacing="0" w:after="0" w:afterAutospacing="0" w:line="240" w:lineRule="exact"/>
              <w:ind w:left="0" w:right="0"/>
              <w:jc w:val="center"/>
              <w:textAlignment w:val="center"/>
              <w:rPr>
                <w:rFonts w:hint="eastAsia" w:hAnsi="Times New Roman" w:eastAsia="宋体"/>
                <w:kern w:val="2"/>
                <w:sz w:val="18"/>
                <w:szCs w:val="18"/>
                <w:u w:val="single"/>
              </w:rPr>
            </w:pPr>
            <w:r>
              <w:rPr>
                <w:rFonts w:hint="eastAsia" w:hAnsi="Times New Roman" w:eastAsia="宋体"/>
                <w:kern w:val="2"/>
                <w:sz w:val="18"/>
                <w:szCs w:val="18"/>
              </w:rPr>
              <w:t>8.96(2)</w:t>
            </w:r>
          </w:p>
        </w:tc>
        <w:tc>
          <w:tcPr>
            <w:tcW w:w="1247" w:type="pct"/>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18"/>
                <w:szCs w:val="18"/>
                <w:u w:val="single"/>
              </w:rPr>
            </w:pPr>
            <w:r>
              <w:rPr>
                <w:rFonts w:hint="eastAsia" w:hAnsi="Times New Roman" w:eastAsia="宋体"/>
                <w:kern w:val="2"/>
                <w:sz w:val="18"/>
                <w:szCs w:val="18"/>
                <w:u w:val="single"/>
              </w:rPr>
              <w:t>11.07-11.08</w:t>
            </w:r>
          </w:p>
          <w:p>
            <w:pPr>
              <w:keepNext w:val="0"/>
              <w:keepLines w:val="0"/>
              <w:suppressLineNumbers w:val="0"/>
              <w:autoSpaceDN w:val="0"/>
              <w:spacing w:before="0" w:beforeAutospacing="0" w:after="0" w:afterAutospacing="0" w:line="240" w:lineRule="exact"/>
              <w:ind w:left="0" w:right="0"/>
              <w:jc w:val="center"/>
              <w:textAlignment w:val="center"/>
              <w:rPr>
                <w:rFonts w:hint="eastAsia" w:hAnsi="Times New Roman" w:eastAsia="宋体"/>
                <w:kern w:val="2"/>
                <w:sz w:val="18"/>
                <w:szCs w:val="18"/>
              </w:rPr>
            </w:pPr>
            <w:r>
              <w:rPr>
                <w:rFonts w:hint="eastAsia" w:hAnsi="Times New Roman" w:eastAsia="宋体"/>
                <w:kern w:val="2"/>
                <w:sz w:val="18"/>
                <w:szCs w:val="18"/>
              </w:rPr>
              <w:t>11.08(2)</w:t>
            </w:r>
          </w:p>
        </w:tc>
        <w:tc>
          <w:tcPr>
            <w:tcW w:w="1247" w:type="pct"/>
            <w:vAlign w:val="center"/>
          </w:tcPr>
          <w:p>
            <w:pPr>
              <w:keepNext w:val="0"/>
              <w:keepLines w:val="0"/>
              <w:suppressLineNumbers w:val="0"/>
              <w:autoSpaceDN w:val="0"/>
              <w:spacing w:before="0" w:beforeAutospacing="0" w:after="0" w:afterAutospacing="0" w:line="240" w:lineRule="exact"/>
              <w:ind w:left="0" w:right="0"/>
              <w:jc w:val="center"/>
              <w:textAlignment w:val="center"/>
              <w:rPr>
                <w:rFonts w:hint="eastAsia" w:hAnsi="Times New Roman" w:eastAsia="宋体"/>
                <w:kern w:val="2"/>
                <w:sz w:val="18"/>
                <w:szCs w:val="18"/>
                <w:u w:val="single"/>
              </w:rPr>
            </w:pPr>
            <w:r>
              <w:rPr>
                <w:rFonts w:hint="eastAsia" w:hAnsi="Times New Roman" w:eastAsia="宋体"/>
                <w:kern w:val="2"/>
                <w:sz w:val="18"/>
                <w:szCs w:val="18"/>
                <w:u w:val="single"/>
              </w:rPr>
              <w:t>8.60-10.69</w:t>
            </w:r>
          </w:p>
          <w:p>
            <w:pPr>
              <w:keepNext w:val="0"/>
              <w:keepLines w:val="0"/>
              <w:suppressLineNumbers w:val="0"/>
              <w:autoSpaceDN w:val="0"/>
              <w:spacing w:before="0" w:beforeAutospacing="0" w:after="0" w:afterAutospacing="0" w:line="240" w:lineRule="exact"/>
              <w:ind w:left="0" w:right="0"/>
              <w:jc w:val="center"/>
              <w:textAlignment w:val="center"/>
              <w:rPr>
                <w:rFonts w:hint="eastAsia" w:hAnsi="Times New Roman" w:eastAsia="宋体"/>
                <w:kern w:val="2"/>
                <w:sz w:val="18"/>
                <w:szCs w:val="18"/>
              </w:rPr>
            </w:pPr>
            <w:r>
              <w:rPr>
                <w:rFonts w:hint="eastAsia" w:hAnsi="Times New Roman" w:eastAsia="宋体"/>
                <w:kern w:val="2"/>
                <w:sz w:val="18"/>
                <w:szCs w:val="18"/>
              </w:rPr>
              <w:t>9.52（3）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2" w:hRule="atLeast"/>
          <w:jc w:val="center"/>
        </w:trPr>
        <w:tc>
          <w:tcPr>
            <w:tcW w:w="804" w:type="pct"/>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18"/>
                <w:szCs w:val="18"/>
              </w:rPr>
            </w:pPr>
            <w:r>
              <w:rPr>
                <w:rFonts w:hint="eastAsia" w:hAnsi="Times New Roman" w:eastAsia="宋体"/>
                <w:kern w:val="2"/>
                <w:sz w:val="18"/>
                <w:szCs w:val="18"/>
              </w:rPr>
              <w:t>挥发分</w:t>
            </w:r>
          </w:p>
          <w:p>
            <w:pPr>
              <w:keepNext w:val="0"/>
              <w:keepLines w:val="0"/>
              <w:suppressLineNumbers w:val="0"/>
              <w:spacing w:before="0" w:beforeAutospacing="0" w:after="0" w:afterAutospacing="0" w:line="240" w:lineRule="exact"/>
              <w:ind w:left="0" w:right="0"/>
              <w:jc w:val="center"/>
              <w:rPr>
                <w:rFonts w:hint="eastAsia" w:hAnsi="Times New Roman" w:eastAsia="宋体"/>
                <w:kern w:val="2"/>
                <w:sz w:val="18"/>
                <w:szCs w:val="18"/>
                <w:vertAlign w:val="subscript"/>
              </w:rPr>
            </w:pPr>
            <w:r>
              <w:rPr>
                <w:rFonts w:hint="eastAsia" w:hAnsi="Times New Roman" w:eastAsia="宋体"/>
                <w:kern w:val="2"/>
                <w:sz w:val="18"/>
                <w:szCs w:val="18"/>
              </w:rPr>
              <w:t>V</w:t>
            </w:r>
            <w:r>
              <w:rPr>
                <w:rFonts w:hint="eastAsia" w:hAnsi="Times New Roman" w:eastAsia="宋体"/>
                <w:kern w:val="2"/>
                <w:sz w:val="18"/>
                <w:szCs w:val="18"/>
                <w:vertAlign w:val="subscript"/>
              </w:rPr>
              <w:t>daf</w:t>
            </w:r>
          </w:p>
          <w:p>
            <w:pPr>
              <w:keepNext w:val="0"/>
              <w:keepLines w:val="0"/>
              <w:suppressLineNumbers w:val="0"/>
              <w:spacing w:before="0" w:beforeAutospacing="0" w:after="0" w:afterAutospacing="0" w:line="240" w:lineRule="exact"/>
              <w:ind w:left="0" w:right="0"/>
              <w:jc w:val="center"/>
              <w:rPr>
                <w:rFonts w:hint="eastAsia" w:hAnsi="Times New Roman" w:eastAsia="宋体"/>
                <w:kern w:val="2"/>
                <w:sz w:val="18"/>
                <w:szCs w:val="18"/>
              </w:rPr>
            </w:pPr>
            <w:r>
              <w:rPr>
                <w:rFonts w:hint="eastAsia" w:hAnsi="Times New Roman" w:eastAsia="宋体"/>
                <w:kern w:val="2"/>
                <w:sz w:val="18"/>
                <w:szCs w:val="18"/>
              </w:rPr>
              <w:t>（%）</w:t>
            </w:r>
          </w:p>
        </w:tc>
        <w:tc>
          <w:tcPr>
            <w:tcW w:w="45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18"/>
                <w:szCs w:val="18"/>
              </w:rPr>
            </w:pPr>
            <w:r>
              <w:rPr>
                <w:rFonts w:hint="eastAsia" w:hAnsi="Times New Roman" w:eastAsia="宋体"/>
                <w:kern w:val="2"/>
                <w:sz w:val="18"/>
                <w:szCs w:val="18"/>
              </w:rPr>
              <w:t>原煤</w:t>
            </w:r>
          </w:p>
        </w:tc>
        <w:tc>
          <w:tcPr>
            <w:tcW w:w="1246" w:type="pct"/>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18"/>
                <w:szCs w:val="18"/>
                <w:u w:val="single"/>
              </w:rPr>
            </w:pPr>
            <w:r>
              <w:rPr>
                <w:rFonts w:hint="eastAsia" w:hAnsi="Times New Roman" w:eastAsia="宋体"/>
                <w:kern w:val="2"/>
                <w:sz w:val="18"/>
                <w:szCs w:val="18"/>
                <w:u w:val="single"/>
              </w:rPr>
              <w:t>31.31-32.06</w:t>
            </w:r>
          </w:p>
          <w:p>
            <w:pPr>
              <w:keepNext w:val="0"/>
              <w:keepLines w:val="0"/>
              <w:suppressLineNumbers w:val="0"/>
              <w:autoSpaceDN w:val="0"/>
              <w:spacing w:before="0" w:beforeAutospacing="0" w:after="0" w:afterAutospacing="0" w:line="240" w:lineRule="exact"/>
              <w:ind w:left="0" w:right="0"/>
              <w:jc w:val="center"/>
              <w:textAlignment w:val="center"/>
              <w:rPr>
                <w:rFonts w:hint="eastAsia" w:hAnsi="Times New Roman" w:eastAsia="宋体"/>
                <w:kern w:val="2"/>
                <w:sz w:val="18"/>
                <w:szCs w:val="18"/>
                <w:u w:val="single"/>
              </w:rPr>
            </w:pPr>
            <w:r>
              <w:rPr>
                <w:rFonts w:hint="eastAsia" w:hAnsi="Times New Roman" w:eastAsia="宋体"/>
                <w:kern w:val="2"/>
                <w:sz w:val="18"/>
                <w:szCs w:val="18"/>
              </w:rPr>
              <w:t>31.69(2)</w:t>
            </w:r>
          </w:p>
        </w:tc>
        <w:tc>
          <w:tcPr>
            <w:tcW w:w="1247" w:type="pct"/>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18"/>
                <w:szCs w:val="18"/>
                <w:u w:val="single"/>
              </w:rPr>
            </w:pPr>
            <w:r>
              <w:rPr>
                <w:rFonts w:hint="eastAsia" w:hAnsi="Times New Roman" w:eastAsia="宋体"/>
                <w:kern w:val="2"/>
                <w:sz w:val="18"/>
                <w:szCs w:val="18"/>
                <w:u w:val="single"/>
              </w:rPr>
              <w:t>28.88-33.76</w:t>
            </w:r>
          </w:p>
          <w:p>
            <w:pPr>
              <w:keepNext w:val="0"/>
              <w:keepLines w:val="0"/>
              <w:suppressLineNumbers w:val="0"/>
              <w:autoSpaceDN w:val="0"/>
              <w:spacing w:before="0" w:beforeAutospacing="0" w:after="0" w:afterAutospacing="0" w:line="240" w:lineRule="exact"/>
              <w:ind w:left="0" w:right="0"/>
              <w:jc w:val="center"/>
              <w:textAlignment w:val="center"/>
              <w:rPr>
                <w:rFonts w:hint="eastAsia" w:hAnsi="Times New Roman" w:eastAsia="宋体"/>
                <w:kern w:val="2"/>
                <w:sz w:val="18"/>
                <w:szCs w:val="18"/>
              </w:rPr>
            </w:pPr>
            <w:r>
              <w:rPr>
                <w:rFonts w:hint="eastAsia" w:hAnsi="Times New Roman" w:eastAsia="宋体"/>
                <w:kern w:val="2"/>
                <w:sz w:val="18"/>
                <w:szCs w:val="18"/>
              </w:rPr>
              <w:t>31.32(2)</w:t>
            </w:r>
          </w:p>
        </w:tc>
        <w:tc>
          <w:tcPr>
            <w:tcW w:w="1247" w:type="pct"/>
            <w:vAlign w:val="center"/>
          </w:tcPr>
          <w:p>
            <w:pPr>
              <w:keepNext w:val="0"/>
              <w:keepLines w:val="0"/>
              <w:suppressLineNumbers w:val="0"/>
              <w:autoSpaceDN w:val="0"/>
              <w:spacing w:before="0" w:beforeAutospacing="0" w:after="0" w:afterAutospacing="0" w:line="240" w:lineRule="exact"/>
              <w:ind w:left="0" w:right="0"/>
              <w:jc w:val="center"/>
              <w:textAlignment w:val="center"/>
              <w:rPr>
                <w:rFonts w:hint="eastAsia" w:hAnsi="Times New Roman" w:eastAsia="宋体"/>
                <w:kern w:val="2"/>
                <w:sz w:val="18"/>
                <w:szCs w:val="18"/>
                <w:u w:val="single"/>
              </w:rPr>
            </w:pPr>
            <w:r>
              <w:rPr>
                <w:rFonts w:hint="eastAsia" w:hAnsi="Times New Roman" w:eastAsia="宋体"/>
                <w:kern w:val="2"/>
                <w:sz w:val="18"/>
                <w:szCs w:val="18"/>
                <w:u w:val="single"/>
              </w:rPr>
              <w:t>31.26-32.19</w:t>
            </w:r>
          </w:p>
          <w:p>
            <w:pPr>
              <w:keepNext w:val="0"/>
              <w:keepLines w:val="0"/>
              <w:suppressLineNumbers w:val="0"/>
              <w:autoSpaceDN w:val="0"/>
              <w:spacing w:before="0" w:beforeAutospacing="0" w:after="0" w:afterAutospacing="0" w:line="240" w:lineRule="exact"/>
              <w:ind w:left="0" w:right="0"/>
              <w:jc w:val="center"/>
              <w:textAlignment w:val="center"/>
              <w:rPr>
                <w:rFonts w:hint="eastAsia" w:hAnsi="Times New Roman" w:eastAsia="宋体"/>
                <w:kern w:val="2"/>
                <w:sz w:val="18"/>
                <w:szCs w:val="18"/>
                <w:u w:val="single"/>
              </w:rPr>
            </w:pPr>
            <w:r>
              <w:rPr>
                <w:rFonts w:hint="eastAsia" w:hAnsi="Times New Roman" w:eastAsia="宋体"/>
                <w:kern w:val="2"/>
                <w:sz w:val="18"/>
                <w:szCs w:val="18"/>
              </w:rPr>
              <w:t>31.69（3）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5" w:hRule="atLeast"/>
          <w:jc w:val="center"/>
        </w:trPr>
        <w:tc>
          <w:tcPr>
            <w:tcW w:w="804"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18"/>
                <w:szCs w:val="18"/>
              </w:rPr>
            </w:pPr>
          </w:p>
        </w:tc>
        <w:tc>
          <w:tcPr>
            <w:tcW w:w="45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18"/>
                <w:szCs w:val="18"/>
              </w:rPr>
            </w:pPr>
            <w:r>
              <w:rPr>
                <w:rFonts w:hint="eastAsia" w:hAnsi="Times New Roman" w:eastAsia="宋体"/>
                <w:kern w:val="2"/>
                <w:sz w:val="18"/>
                <w:szCs w:val="18"/>
              </w:rPr>
              <w:t>浮煤</w:t>
            </w:r>
          </w:p>
        </w:tc>
        <w:tc>
          <w:tcPr>
            <w:tcW w:w="1246" w:type="pct"/>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18"/>
                <w:szCs w:val="18"/>
                <w:u w:val="single"/>
              </w:rPr>
            </w:pPr>
            <w:r>
              <w:rPr>
                <w:rFonts w:hint="eastAsia" w:hAnsi="Times New Roman" w:eastAsia="宋体"/>
                <w:kern w:val="2"/>
                <w:sz w:val="18"/>
                <w:szCs w:val="18"/>
                <w:u w:val="single"/>
              </w:rPr>
              <w:t>24.12-31.40</w:t>
            </w:r>
          </w:p>
          <w:p>
            <w:pPr>
              <w:keepNext w:val="0"/>
              <w:keepLines w:val="0"/>
              <w:suppressLineNumbers w:val="0"/>
              <w:autoSpaceDN w:val="0"/>
              <w:spacing w:before="0" w:beforeAutospacing="0" w:after="0" w:afterAutospacing="0" w:line="240" w:lineRule="exact"/>
              <w:ind w:left="0" w:right="0"/>
              <w:jc w:val="center"/>
              <w:textAlignment w:val="center"/>
              <w:rPr>
                <w:rFonts w:hint="eastAsia" w:hAnsi="Times New Roman" w:eastAsia="宋体"/>
                <w:kern w:val="2"/>
                <w:sz w:val="18"/>
                <w:szCs w:val="18"/>
                <w:u w:val="single"/>
              </w:rPr>
            </w:pPr>
            <w:r>
              <w:rPr>
                <w:rFonts w:hint="eastAsia" w:hAnsi="Times New Roman" w:eastAsia="宋体"/>
                <w:kern w:val="2"/>
                <w:sz w:val="18"/>
                <w:szCs w:val="18"/>
              </w:rPr>
              <w:t>28.90(3)</w:t>
            </w:r>
          </w:p>
        </w:tc>
        <w:tc>
          <w:tcPr>
            <w:tcW w:w="1247" w:type="pct"/>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18"/>
                <w:szCs w:val="18"/>
                <w:u w:val="single"/>
              </w:rPr>
            </w:pPr>
            <w:r>
              <w:rPr>
                <w:rFonts w:hint="eastAsia" w:hAnsi="Times New Roman" w:eastAsia="宋体"/>
                <w:kern w:val="2"/>
                <w:sz w:val="18"/>
                <w:szCs w:val="18"/>
                <w:u w:val="single"/>
              </w:rPr>
              <w:t>17.24-31.14</w:t>
            </w:r>
          </w:p>
          <w:p>
            <w:pPr>
              <w:keepNext w:val="0"/>
              <w:keepLines w:val="0"/>
              <w:suppressLineNumbers w:val="0"/>
              <w:autoSpaceDN w:val="0"/>
              <w:spacing w:before="0" w:beforeAutospacing="0" w:after="0" w:afterAutospacing="0" w:line="240" w:lineRule="exact"/>
              <w:ind w:left="0" w:right="0"/>
              <w:jc w:val="center"/>
              <w:textAlignment w:val="center"/>
              <w:rPr>
                <w:rFonts w:hint="eastAsia" w:hAnsi="Times New Roman" w:eastAsia="宋体"/>
                <w:kern w:val="2"/>
                <w:sz w:val="18"/>
                <w:szCs w:val="18"/>
              </w:rPr>
            </w:pPr>
            <w:r>
              <w:rPr>
                <w:rFonts w:hint="eastAsia" w:hAnsi="Times New Roman" w:eastAsia="宋体"/>
                <w:kern w:val="2"/>
                <w:sz w:val="18"/>
                <w:szCs w:val="18"/>
              </w:rPr>
              <w:t>23.49(5)</w:t>
            </w:r>
          </w:p>
        </w:tc>
        <w:tc>
          <w:tcPr>
            <w:tcW w:w="1247" w:type="pct"/>
            <w:vAlign w:val="center"/>
          </w:tcPr>
          <w:p>
            <w:pPr>
              <w:keepNext w:val="0"/>
              <w:keepLines w:val="0"/>
              <w:suppressLineNumbers w:val="0"/>
              <w:autoSpaceDN w:val="0"/>
              <w:spacing w:before="0" w:beforeAutospacing="0" w:after="0" w:afterAutospacing="0" w:line="240" w:lineRule="exact"/>
              <w:ind w:left="0" w:right="0"/>
              <w:jc w:val="center"/>
              <w:textAlignment w:val="center"/>
              <w:rPr>
                <w:rFonts w:hint="eastAsia" w:hAnsi="Times New Roman" w:eastAsia="宋体"/>
                <w:kern w:val="2"/>
                <w:sz w:val="18"/>
                <w:szCs w:val="18"/>
                <w:u w:val="single"/>
              </w:rPr>
            </w:pPr>
            <w:r>
              <w:rPr>
                <w:rFonts w:hint="eastAsia" w:hAnsi="Times New Roman" w:eastAsia="宋体"/>
                <w:kern w:val="2"/>
                <w:sz w:val="18"/>
                <w:szCs w:val="18"/>
                <w:u w:val="single"/>
              </w:rPr>
              <w:t>28.08-32.17</w:t>
            </w:r>
          </w:p>
          <w:p>
            <w:pPr>
              <w:keepNext w:val="0"/>
              <w:keepLines w:val="0"/>
              <w:suppressLineNumbers w:val="0"/>
              <w:autoSpaceDN w:val="0"/>
              <w:spacing w:before="0" w:beforeAutospacing="0" w:after="0" w:afterAutospacing="0" w:line="240" w:lineRule="exact"/>
              <w:ind w:left="0" w:right="0"/>
              <w:jc w:val="center"/>
              <w:textAlignment w:val="center"/>
              <w:rPr>
                <w:rFonts w:hint="eastAsia" w:hAnsi="Times New Roman" w:eastAsia="宋体"/>
                <w:kern w:val="2"/>
                <w:sz w:val="18"/>
                <w:szCs w:val="18"/>
                <w:u w:val="single"/>
              </w:rPr>
            </w:pPr>
            <w:r>
              <w:rPr>
                <w:rFonts w:hint="eastAsia" w:hAnsi="Times New Roman" w:eastAsia="宋体"/>
                <w:kern w:val="2"/>
                <w:sz w:val="18"/>
                <w:szCs w:val="18"/>
              </w:rPr>
              <w:t>30.48（3）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2" w:hRule="atLeast"/>
          <w:jc w:val="center"/>
        </w:trPr>
        <w:tc>
          <w:tcPr>
            <w:tcW w:w="804" w:type="pct"/>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18"/>
                <w:szCs w:val="18"/>
              </w:rPr>
            </w:pPr>
            <w:r>
              <w:rPr>
                <w:rFonts w:hint="eastAsia" w:hAnsi="Times New Roman" w:eastAsia="宋体"/>
                <w:kern w:val="2"/>
                <w:sz w:val="18"/>
                <w:szCs w:val="18"/>
              </w:rPr>
              <w:t>固定碳</w:t>
            </w:r>
          </w:p>
          <w:p>
            <w:pPr>
              <w:keepNext w:val="0"/>
              <w:keepLines w:val="0"/>
              <w:suppressLineNumbers w:val="0"/>
              <w:spacing w:before="0" w:beforeAutospacing="0" w:after="0" w:afterAutospacing="0" w:line="240" w:lineRule="exact"/>
              <w:ind w:left="0" w:right="0"/>
              <w:jc w:val="center"/>
              <w:rPr>
                <w:rFonts w:hint="eastAsia" w:hAnsi="Times New Roman" w:eastAsia="宋体"/>
                <w:kern w:val="2"/>
                <w:sz w:val="18"/>
                <w:szCs w:val="18"/>
                <w:vertAlign w:val="subscript"/>
              </w:rPr>
            </w:pPr>
            <w:r>
              <w:rPr>
                <w:rFonts w:hint="eastAsia" w:hAnsi="Times New Roman" w:eastAsia="宋体"/>
                <w:kern w:val="2"/>
                <w:sz w:val="18"/>
                <w:szCs w:val="18"/>
              </w:rPr>
              <w:t>FC</w:t>
            </w:r>
            <w:r>
              <w:rPr>
                <w:rFonts w:hint="eastAsia" w:hAnsi="Times New Roman" w:eastAsia="宋体"/>
                <w:kern w:val="2"/>
                <w:sz w:val="18"/>
                <w:szCs w:val="18"/>
                <w:vertAlign w:val="subscript"/>
              </w:rPr>
              <w:t>d</w:t>
            </w:r>
          </w:p>
          <w:p>
            <w:pPr>
              <w:keepNext w:val="0"/>
              <w:keepLines w:val="0"/>
              <w:suppressLineNumbers w:val="0"/>
              <w:spacing w:before="0" w:beforeAutospacing="0" w:after="0" w:afterAutospacing="0" w:line="240" w:lineRule="exact"/>
              <w:ind w:left="0" w:right="0"/>
              <w:jc w:val="center"/>
              <w:rPr>
                <w:rFonts w:hint="eastAsia" w:hAnsi="Times New Roman" w:eastAsia="宋体"/>
                <w:kern w:val="2"/>
                <w:sz w:val="18"/>
                <w:szCs w:val="18"/>
              </w:rPr>
            </w:pPr>
            <w:r>
              <w:rPr>
                <w:rFonts w:hint="eastAsia" w:hAnsi="Times New Roman" w:eastAsia="宋体"/>
                <w:kern w:val="2"/>
                <w:sz w:val="18"/>
                <w:szCs w:val="18"/>
              </w:rPr>
              <w:t>（%）</w:t>
            </w:r>
          </w:p>
        </w:tc>
        <w:tc>
          <w:tcPr>
            <w:tcW w:w="45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18"/>
                <w:szCs w:val="18"/>
              </w:rPr>
            </w:pPr>
            <w:r>
              <w:rPr>
                <w:rFonts w:hint="eastAsia" w:hAnsi="Times New Roman" w:eastAsia="宋体"/>
                <w:kern w:val="2"/>
                <w:sz w:val="18"/>
                <w:szCs w:val="18"/>
              </w:rPr>
              <w:t>原煤</w:t>
            </w:r>
          </w:p>
        </w:tc>
        <w:tc>
          <w:tcPr>
            <w:tcW w:w="1246" w:type="pct"/>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18"/>
                <w:szCs w:val="18"/>
                <w:u w:val="single"/>
              </w:rPr>
            </w:pPr>
            <w:r>
              <w:rPr>
                <w:rFonts w:hint="eastAsia" w:hAnsi="Times New Roman" w:eastAsia="宋体"/>
                <w:kern w:val="2"/>
                <w:sz w:val="18"/>
                <w:szCs w:val="18"/>
                <w:u w:val="single"/>
              </w:rPr>
              <w:t>55.09-55.59</w:t>
            </w:r>
          </w:p>
          <w:p>
            <w:pPr>
              <w:keepNext w:val="0"/>
              <w:keepLines w:val="0"/>
              <w:suppressLineNumbers w:val="0"/>
              <w:autoSpaceDN w:val="0"/>
              <w:spacing w:before="0" w:beforeAutospacing="0" w:after="0" w:afterAutospacing="0" w:line="240" w:lineRule="exact"/>
              <w:ind w:left="0" w:right="0"/>
              <w:jc w:val="center"/>
              <w:textAlignment w:val="center"/>
              <w:rPr>
                <w:rFonts w:hint="eastAsia" w:hAnsi="Times New Roman" w:eastAsia="宋体"/>
                <w:kern w:val="2"/>
                <w:sz w:val="18"/>
                <w:szCs w:val="18"/>
                <w:u w:val="single"/>
              </w:rPr>
            </w:pPr>
            <w:r>
              <w:rPr>
                <w:rFonts w:hint="eastAsia" w:hAnsi="Times New Roman" w:eastAsia="宋体"/>
                <w:kern w:val="2"/>
                <w:sz w:val="18"/>
                <w:szCs w:val="18"/>
              </w:rPr>
              <w:t>55.34(2)</w:t>
            </w:r>
          </w:p>
        </w:tc>
        <w:tc>
          <w:tcPr>
            <w:tcW w:w="1247" w:type="pct"/>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18"/>
                <w:szCs w:val="18"/>
                <w:u w:val="single"/>
              </w:rPr>
            </w:pPr>
            <w:r>
              <w:rPr>
                <w:rFonts w:hint="eastAsia" w:hAnsi="Times New Roman" w:eastAsia="宋体"/>
                <w:kern w:val="2"/>
                <w:sz w:val="18"/>
                <w:szCs w:val="18"/>
                <w:u w:val="single"/>
              </w:rPr>
              <w:t>50.79-51.49</w:t>
            </w:r>
          </w:p>
          <w:p>
            <w:pPr>
              <w:keepNext w:val="0"/>
              <w:keepLines w:val="0"/>
              <w:suppressLineNumbers w:val="0"/>
              <w:autoSpaceDN w:val="0"/>
              <w:spacing w:before="0" w:beforeAutospacing="0" w:after="0" w:afterAutospacing="0" w:line="240" w:lineRule="exact"/>
              <w:ind w:left="0" w:right="0"/>
              <w:jc w:val="center"/>
              <w:textAlignment w:val="center"/>
              <w:rPr>
                <w:rFonts w:hint="eastAsia" w:hAnsi="Times New Roman" w:eastAsia="宋体"/>
                <w:kern w:val="2"/>
                <w:sz w:val="18"/>
                <w:szCs w:val="18"/>
              </w:rPr>
            </w:pPr>
            <w:r>
              <w:rPr>
                <w:rFonts w:hint="eastAsia" w:hAnsi="Times New Roman" w:eastAsia="宋体"/>
                <w:kern w:val="2"/>
                <w:sz w:val="18"/>
                <w:szCs w:val="18"/>
              </w:rPr>
              <w:t>51.14(2)</w:t>
            </w:r>
          </w:p>
        </w:tc>
        <w:tc>
          <w:tcPr>
            <w:tcW w:w="1247" w:type="pct"/>
            <w:vAlign w:val="center"/>
          </w:tcPr>
          <w:p>
            <w:pPr>
              <w:keepNext w:val="0"/>
              <w:keepLines w:val="0"/>
              <w:suppressLineNumbers w:val="0"/>
              <w:autoSpaceDN w:val="0"/>
              <w:spacing w:before="0" w:beforeAutospacing="0" w:after="0" w:afterAutospacing="0" w:line="240" w:lineRule="exact"/>
              <w:ind w:left="0" w:right="0"/>
              <w:jc w:val="center"/>
              <w:textAlignment w:val="center"/>
              <w:rPr>
                <w:rFonts w:hint="eastAsia" w:hAnsi="Times New Roman" w:eastAsia="宋体"/>
                <w:kern w:val="2"/>
                <w:sz w:val="18"/>
                <w:szCs w:val="18"/>
                <w:u w:val="single"/>
              </w:rPr>
            </w:pPr>
            <w:r>
              <w:rPr>
                <w:rFonts w:hint="eastAsia" w:hAnsi="Times New Roman" w:eastAsia="宋体"/>
                <w:kern w:val="2"/>
                <w:sz w:val="18"/>
                <w:szCs w:val="18"/>
                <w:u w:val="single"/>
              </w:rPr>
              <w:t>50.00-56.56</w:t>
            </w:r>
          </w:p>
          <w:p>
            <w:pPr>
              <w:keepNext w:val="0"/>
              <w:keepLines w:val="0"/>
              <w:suppressLineNumbers w:val="0"/>
              <w:autoSpaceDN w:val="0"/>
              <w:spacing w:before="0" w:beforeAutospacing="0" w:after="0" w:afterAutospacing="0" w:line="240" w:lineRule="exact"/>
              <w:ind w:left="0" w:right="0"/>
              <w:jc w:val="center"/>
              <w:textAlignment w:val="center"/>
              <w:rPr>
                <w:rFonts w:hint="eastAsia" w:hAnsi="Times New Roman" w:eastAsia="宋体"/>
                <w:kern w:val="2"/>
                <w:sz w:val="18"/>
                <w:szCs w:val="18"/>
              </w:rPr>
            </w:pPr>
            <w:r>
              <w:rPr>
                <w:rFonts w:hint="eastAsia" w:hAnsi="Times New Roman" w:eastAsia="宋体"/>
                <w:kern w:val="2"/>
                <w:sz w:val="18"/>
                <w:szCs w:val="18"/>
              </w:rPr>
              <w:t>54.36（3）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81" w:hRule="atLeast"/>
          <w:jc w:val="center"/>
        </w:trPr>
        <w:tc>
          <w:tcPr>
            <w:tcW w:w="804"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18"/>
                <w:szCs w:val="18"/>
              </w:rPr>
            </w:pPr>
          </w:p>
        </w:tc>
        <w:tc>
          <w:tcPr>
            <w:tcW w:w="45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18"/>
                <w:szCs w:val="18"/>
              </w:rPr>
            </w:pPr>
            <w:r>
              <w:rPr>
                <w:rFonts w:hint="eastAsia" w:hAnsi="Times New Roman" w:eastAsia="宋体"/>
                <w:kern w:val="2"/>
                <w:sz w:val="18"/>
                <w:szCs w:val="18"/>
              </w:rPr>
              <w:t>浮煤</w:t>
            </w:r>
          </w:p>
        </w:tc>
        <w:tc>
          <w:tcPr>
            <w:tcW w:w="1246" w:type="pct"/>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18"/>
                <w:szCs w:val="18"/>
                <w:u w:val="single"/>
              </w:rPr>
            </w:pPr>
            <w:r>
              <w:rPr>
                <w:rFonts w:hint="eastAsia" w:hAnsi="Times New Roman" w:eastAsia="宋体"/>
                <w:kern w:val="2"/>
                <w:sz w:val="18"/>
                <w:szCs w:val="18"/>
                <w:u w:val="single"/>
              </w:rPr>
              <w:t>62.06-62.31</w:t>
            </w:r>
          </w:p>
          <w:p>
            <w:pPr>
              <w:keepNext w:val="0"/>
              <w:keepLines w:val="0"/>
              <w:suppressLineNumbers w:val="0"/>
              <w:autoSpaceDN w:val="0"/>
              <w:spacing w:before="0" w:beforeAutospacing="0" w:after="0" w:afterAutospacing="0" w:line="240" w:lineRule="exact"/>
              <w:ind w:left="0" w:right="0"/>
              <w:jc w:val="center"/>
              <w:textAlignment w:val="center"/>
              <w:rPr>
                <w:rFonts w:hint="eastAsia" w:hAnsi="Times New Roman" w:eastAsia="宋体"/>
                <w:kern w:val="2"/>
                <w:sz w:val="18"/>
                <w:szCs w:val="18"/>
                <w:u w:val="single"/>
              </w:rPr>
            </w:pPr>
            <w:r>
              <w:rPr>
                <w:rFonts w:hint="eastAsia" w:hAnsi="Times New Roman" w:eastAsia="宋体"/>
                <w:kern w:val="2"/>
                <w:sz w:val="18"/>
                <w:szCs w:val="18"/>
              </w:rPr>
              <w:t>62.19(2)</w:t>
            </w:r>
          </w:p>
        </w:tc>
        <w:tc>
          <w:tcPr>
            <w:tcW w:w="1247" w:type="pct"/>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18"/>
                <w:szCs w:val="18"/>
                <w:u w:val="single"/>
              </w:rPr>
            </w:pPr>
            <w:r>
              <w:rPr>
                <w:rFonts w:hint="eastAsia" w:hAnsi="Times New Roman" w:eastAsia="宋体"/>
                <w:kern w:val="2"/>
                <w:sz w:val="18"/>
                <w:szCs w:val="18"/>
                <w:u w:val="single"/>
              </w:rPr>
              <w:t>61.21-64.51</w:t>
            </w:r>
          </w:p>
          <w:p>
            <w:pPr>
              <w:keepNext w:val="0"/>
              <w:keepLines w:val="0"/>
              <w:suppressLineNumbers w:val="0"/>
              <w:autoSpaceDN w:val="0"/>
              <w:spacing w:before="0" w:beforeAutospacing="0" w:after="0" w:afterAutospacing="0" w:line="240" w:lineRule="exact"/>
              <w:ind w:left="0" w:right="0"/>
              <w:jc w:val="center"/>
              <w:textAlignment w:val="center"/>
              <w:rPr>
                <w:rFonts w:hint="eastAsia" w:hAnsi="Times New Roman" w:eastAsia="宋体"/>
                <w:kern w:val="2"/>
                <w:sz w:val="18"/>
                <w:szCs w:val="18"/>
              </w:rPr>
            </w:pPr>
            <w:r>
              <w:rPr>
                <w:rFonts w:hint="eastAsia" w:hAnsi="Times New Roman" w:eastAsia="宋体"/>
                <w:kern w:val="2"/>
                <w:sz w:val="18"/>
                <w:szCs w:val="18"/>
              </w:rPr>
              <w:t>62.86(2)</w:t>
            </w:r>
          </w:p>
        </w:tc>
        <w:tc>
          <w:tcPr>
            <w:tcW w:w="1247" w:type="pct"/>
            <w:vAlign w:val="center"/>
          </w:tcPr>
          <w:p>
            <w:pPr>
              <w:keepNext w:val="0"/>
              <w:keepLines w:val="0"/>
              <w:suppressLineNumbers w:val="0"/>
              <w:autoSpaceDN w:val="0"/>
              <w:spacing w:before="0" w:beforeAutospacing="0" w:after="0" w:afterAutospacing="0" w:line="240" w:lineRule="exact"/>
              <w:ind w:left="0" w:right="0"/>
              <w:jc w:val="center"/>
              <w:textAlignment w:val="center"/>
              <w:rPr>
                <w:rFonts w:hint="eastAsia" w:hAnsi="Times New Roman" w:eastAsia="宋体"/>
                <w:kern w:val="2"/>
                <w:sz w:val="18"/>
                <w:szCs w:val="18"/>
                <w:u w:val="single"/>
              </w:rPr>
            </w:pPr>
            <w:r>
              <w:rPr>
                <w:rFonts w:hint="eastAsia" w:hAnsi="Times New Roman" w:eastAsia="宋体"/>
                <w:kern w:val="2"/>
                <w:sz w:val="18"/>
                <w:szCs w:val="18"/>
                <w:u w:val="single"/>
              </w:rPr>
              <w:t>61.96-63.94</w:t>
            </w:r>
          </w:p>
          <w:p>
            <w:pPr>
              <w:keepNext w:val="0"/>
              <w:keepLines w:val="0"/>
              <w:suppressLineNumbers w:val="0"/>
              <w:autoSpaceDN w:val="0"/>
              <w:spacing w:before="0" w:beforeAutospacing="0" w:after="0" w:afterAutospacing="0" w:line="240" w:lineRule="exact"/>
              <w:ind w:left="0" w:right="0"/>
              <w:jc w:val="center"/>
              <w:textAlignment w:val="center"/>
              <w:rPr>
                <w:rFonts w:hint="eastAsia" w:hAnsi="Times New Roman" w:eastAsia="宋体"/>
                <w:kern w:val="2"/>
                <w:sz w:val="18"/>
                <w:szCs w:val="18"/>
              </w:rPr>
            </w:pPr>
            <w:r>
              <w:rPr>
                <w:rFonts w:hint="eastAsia" w:hAnsi="Times New Roman" w:eastAsia="宋体"/>
                <w:kern w:val="2"/>
                <w:sz w:val="18"/>
                <w:szCs w:val="18"/>
              </w:rPr>
              <w:t>62.68（3）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2" w:hRule="atLeast"/>
          <w:jc w:val="center"/>
        </w:trPr>
        <w:tc>
          <w:tcPr>
            <w:tcW w:w="804" w:type="pct"/>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18"/>
                <w:szCs w:val="18"/>
                <w:vertAlign w:val="subscript"/>
              </w:rPr>
            </w:pPr>
            <w:r>
              <w:rPr>
                <w:rFonts w:hint="eastAsia" w:hAnsi="Times New Roman" w:eastAsia="宋体"/>
                <w:bCs/>
                <w:kern w:val="2"/>
                <w:sz w:val="18"/>
                <w:szCs w:val="18"/>
              </w:rPr>
              <w:t>全硫</w:t>
            </w:r>
            <w:r>
              <w:rPr>
                <w:rFonts w:hint="eastAsia" w:hAnsi="Times New Roman" w:eastAsia="宋体"/>
                <w:kern w:val="2"/>
                <w:sz w:val="18"/>
                <w:szCs w:val="18"/>
              </w:rPr>
              <w:t>S</w:t>
            </w:r>
            <w:r>
              <w:rPr>
                <w:rFonts w:hint="eastAsia" w:hAnsi="Times New Roman" w:eastAsia="宋体"/>
                <w:kern w:val="2"/>
                <w:sz w:val="18"/>
                <w:szCs w:val="18"/>
                <w:vertAlign w:val="subscript"/>
              </w:rPr>
              <w:t>t,d</w:t>
            </w:r>
          </w:p>
          <w:p>
            <w:pPr>
              <w:keepNext w:val="0"/>
              <w:keepLines w:val="0"/>
              <w:suppressLineNumbers w:val="0"/>
              <w:spacing w:before="0" w:beforeAutospacing="0" w:after="0" w:afterAutospacing="0" w:line="240" w:lineRule="exact"/>
              <w:ind w:left="0" w:right="0"/>
              <w:jc w:val="center"/>
              <w:rPr>
                <w:rFonts w:hint="eastAsia" w:hAnsi="Times New Roman" w:eastAsia="宋体"/>
                <w:kern w:val="2"/>
                <w:sz w:val="18"/>
                <w:szCs w:val="18"/>
              </w:rPr>
            </w:pPr>
            <w:r>
              <w:rPr>
                <w:rFonts w:hint="eastAsia" w:hAnsi="Times New Roman" w:eastAsia="宋体"/>
                <w:kern w:val="2"/>
                <w:sz w:val="18"/>
                <w:szCs w:val="18"/>
              </w:rPr>
              <w:t>（%）</w:t>
            </w:r>
          </w:p>
        </w:tc>
        <w:tc>
          <w:tcPr>
            <w:tcW w:w="45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18"/>
                <w:szCs w:val="18"/>
              </w:rPr>
            </w:pPr>
            <w:r>
              <w:rPr>
                <w:rFonts w:hint="eastAsia" w:hAnsi="Times New Roman" w:eastAsia="宋体"/>
                <w:kern w:val="2"/>
                <w:sz w:val="18"/>
                <w:szCs w:val="18"/>
              </w:rPr>
              <w:t>原煤</w:t>
            </w:r>
          </w:p>
        </w:tc>
        <w:tc>
          <w:tcPr>
            <w:tcW w:w="1246" w:type="pct"/>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18"/>
                <w:szCs w:val="18"/>
                <w:u w:val="single"/>
              </w:rPr>
            </w:pPr>
            <w:r>
              <w:rPr>
                <w:rFonts w:hint="eastAsia" w:hAnsi="Times New Roman" w:eastAsia="宋体"/>
                <w:kern w:val="2"/>
                <w:sz w:val="18"/>
                <w:szCs w:val="18"/>
                <w:u w:val="single"/>
              </w:rPr>
              <w:t>0.59-0.99</w:t>
            </w:r>
          </w:p>
          <w:p>
            <w:pPr>
              <w:keepNext w:val="0"/>
              <w:keepLines w:val="0"/>
              <w:suppressLineNumbers w:val="0"/>
              <w:autoSpaceDN w:val="0"/>
              <w:spacing w:before="0" w:beforeAutospacing="0" w:after="0" w:afterAutospacing="0" w:line="240" w:lineRule="exact"/>
              <w:ind w:left="0" w:right="0"/>
              <w:jc w:val="center"/>
              <w:textAlignment w:val="center"/>
              <w:rPr>
                <w:rFonts w:hint="eastAsia" w:hAnsi="Times New Roman" w:eastAsia="宋体"/>
                <w:kern w:val="2"/>
                <w:sz w:val="18"/>
                <w:szCs w:val="18"/>
              </w:rPr>
            </w:pPr>
            <w:r>
              <w:rPr>
                <w:rFonts w:hint="eastAsia" w:hAnsi="Times New Roman" w:eastAsia="宋体"/>
                <w:kern w:val="2"/>
                <w:sz w:val="18"/>
                <w:szCs w:val="18"/>
              </w:rPr>
              <w:t>0.84(3)</w:t>
            </w:r>
          </w:p>
        </w:tc>
        <w:tc>
          <w:tcPr>
            <w:tcW w:w="1247" w:type="pct"/>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18"/>
                <w:szCs w:val="18"/>
                <w:u w:val="single"/>
              </w:rPr>
            </w:pPr>
            <w:r>
              <w:rPr>
                <w:rFonts w:hint="eastAsia" w:hAnsi="Times New Roman" w:eastAsia="宋体"/>
                <w:kern w:val="2"/>
                <w:sz w:val="18"/>
                <w:szCs w:val="18"/>
                <w:u w:val="single"/>
              </w:rPr>
              <w:t>0.34-1.59</w:t>
            </w:r>
          </w:p>
          <w:p>
            <w:pPr>
              <w:keepNext w:val="0"/>
              <w:keepLines w:val="0"/>
              <w:suppressLineNumbers w:val="0"/>
              <w:autoSpaceDN w:val="0"/>
              <w:spacing w:before="0" w:beforeAutospacing="0" w:after="0" w:afterAutospacing="0" w:line="240" w:lineRule="exact"/>
              <w:ind w:left="0" w:right="0"/>
              <w:jc w:val="center"/>
              <w:textAlignment w:val="center"/>
              <w:rPr>
                <w:rFonts w:hint="eastAsia" w:hAnsi="Times New Roman" w:eastAsia="宋体"/>
                <w:kern w:val="2"/>
                <w:sz w:val="18"/>
                <w:szCs w:val="18"/>
              </w:rPr>
            </w:pPr>
            <w:r>
              <w:rPr>
                <w:rFonts w:hint="eastAsia" w:hAnsi="Times New Roman" w:eastAsia="宋体"/>
                <w:kern w:val="2"/>
                <w:sz w:val="18"/>
                <w:szCs w:val="18"/>
              </w:rPr>
              <w:t>0.88(5)</w:t>
            </w:r>
          </w:p>
        </w:tc>
        <w:tc>
          <w:tcPr>
            <w:tcW w:w="1247" w:type="pct"/>
            <w:vAlign w:val="center"/>
          </w:tcPr>
          <w:p>
            <w:pPr>
              <w:keepNext w:val="0"/>
              <w:keepLines w:val="0"/>
              <w:suppressLineNumbers w:val="0"/>
              <w:autoSpaceDN w:val="0"/>
              <w:spacing w:before="0" w:beforeAutospacing="0" w:after="0" w:afterAutospacing="0" w:line="240" w:lineRule="exact"/>
              <w:ind w:left="0" w:right="0"/>
              <w:jc w:val="center"/>
              <w:textAlignment w:val="center"/>
              <w:rPr>
                <w:rFonts w:hint="eastAsia" w:hAnsi="Times New Roman" w:eastAsia="宋体"/>
                <w:kern w:val="2"/>
                <w:sz w:val="18"/>
                <w:szCs w:val="18"/>
                <w:u w:val="single"/>
              </w:rPr>
            </w:pPr>
            <w:r>
              <w:rPr>
                <w:rFonts w:hint="eastAsia" w:hAnsi="Times New Roman" w:eastAsia="宋体"/>
                <w:kern w:val="2"/>
                <w:sz w:val="18"/>
                <w:szCs w:val="18"/>
                <w:u w:val="single"/>
              </w:rPr>
              <w:t>0.95-1.19</w:t>
            </w:r>
          </w:p>
          <w:p>
            <w:pPr>
              <w:keepNext w:val="0"/>
              <w:keepLines w:val="0"/>
              <w:suppressLineNumbers w:val="0"/>
              <w:autoSpaceDN w:val="0"/>
              <w:spacing w:before="0" w:beforeAutospacing="0" w:after="0" w:afterAutospacing="0" w:line="240" w:lineRule="exact"/>
              <w:ind w:left="0" w:right="0"/>
              <w:jc w:val="center"/>
              <w:textAlignment w:val="center"/>
              <w:rPr>
                <w:rFonts w:hint="eastAsia" w:hAnsi="Times New Roman" w:eastAsia="宋体"/>
                <w:kern w:val="2"/>
                <w:sz w:val="18"/>
                <w:szCs w:val="18"/>
                <w:u w:val="single"/>
              </w:rPr>
            </w:pPr>
            <w:r>
              <w:rPr>
                <w:rFonts w:hint="eastAsia" w:hAnsi="Times New Roman" w:eastAsia="宋体"/>
                <w:kern w:val="2"/>
                <w:sz w:val="18"/>
                <w:szCs w:val="18"/>
              </w:rPr>
              <w:t>1.04（3）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2" w:hRule="atLeast"/>
          <w:jc w:val="center"/>
        </w:trPr>
        <w:tc>
          <w:tcPr>
            <w:tcW w:w="804"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18"/>
                <w:szCs w:val="18"/>
              </w:rPr>
            </w:pPr>
          </w:p>
        </w:tc>
        <w:tc>
          <w:tcPr>
            <w:tcW w:w="45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18"/>
                <w:szCs w:val="18"/>
              </w:rPr>
            </w:pPr>
            <w:r>
              <w:rPr>
                <w:rFonts w:hint="eastAsia" w:hAnsi="Times New Roman" w:eastAsia="宋体"/>
                <w:kern w:val="2"/>
                <w:sz w:val="18"/>
                <w:szCs w:val="18"/>
              </w:rPr>
              <w:t>浮煤</w:t>
            </w:r>
          </w:p>
        </w:tc>
        <w:tc>
          <w:tcPr>
            <w:tcW w:w="1246" w:type="pct"/>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18"/>
                <w:szCs w:val="18"/>
                <w:u w:val="single"/>
              </w:rPr>
            </w:pPr>
            <w:r>
              <w:rPr>
                <w:rFonts w:hint="eastAsia" w:hAnsi="Times New Roman" w:eastAsia="宋体"/>
                <w:kern w:val="2"/>
                <w:sz w:val="18"/>
                <w:szCs w:val="18"/>
                <w:u w:val="single"/>
              </w:rPr>
              <w:t>0.80-0.88</w:t>
            </w:r>
          </w:p>
          <w:p>
            <w:pPr>
              <w:keepNext w:val="0"/>
              <w:keepLines w:val="0"/>
              <w:suppressLineNumbers w:val="0"/>
              <w:autoSpaceDN w:val="0"/>
              <w:spacing w:before="0" w:beforeAutospacing="0" w:after="0" w:afterAutospacing="0" w:line="240" w:lineRule="exact"/>
              <w:ind w:left="0" w:right="0"/>
              <w:jc w:val="center"/>
              <w:textAlignment w:val="center"/>
              <w:rPr>
                <w:rFonts w:hint="eastAsia" w:hAnsi="Times New Roman" w:eastAsia="宋体"/>
                <w:kern w:val="2"/>
                <w:sz w:val="18"/>
                <w:szCs w:val="18"/>
              </w:rPr>
            </w:pPr>
            <w:r>
              <w:rPr>
                <w:rFonts w:hint="eastAsia" w:hAnsi="Times New Roman" w:eastAsia="宋体"/>
                <w:kern w:val="2"/>
                <w:sz w:val="18"/>
                <w:szCs w:val="18"/>
              </w:rPr>
              <w:t>0.84(2)</w:t>
            </w:r>
          </w:p>
        </w:tc>
        <w:tc>
          <w:tcPr>
            <w:tcW w:w="1247" w:type="pct"/>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18"/>
                <w:szCs w:val="18"/>
                <w:u w:val="single"/>
              </w:rPr>
            </w:pPr>
            <w:r>
              <w:rPr>
                <w:rFonts w:hint="eastAsia" w:hAnsi="Times New Roman" w:eastAsia="宋体"/>
                <w:kern w:val="2"/>
                <w:sz w:val="18"/>
                <w:szCs w:val="18"/>
                <w:u w:val="single"/>
              </w:rPr>
              <w:t>1.05-1.13</w:t>
            </w:r>
          </w:p>
          <w:p>
            <w:pPr>
              <w:keepNext w:val="0"/>
              <w:keepLines w:val="0"/>
              <w:suppressLineNumbers w:val="0"/>
              <w:autoSpaceDN w:val="0"/>
              <w:spacing w:before="0" w:beforeAutospacing="0" w:after="0" w:afterAutospacing="0" w:line="240" w:lineRule="exact"/>
              <w:ind w:left="0" w:right="0"/>
              <w:jc w:val="center"/>
              <w:textAlignment w:val="center"/>
              <w:rPr>
                <w:rFonts w:hint="eastAsia" w:hAnsi="Times New Roman" w:eastAsia="宋体"/>
                <w:kern w:val="2"/>
                <w:sz w:val="18"/>
                <w:szCs w:val="18"/>
              </w:rPr>
            </w:pPr>
            <w:r>
              <w:rPr>
                <w:rFonts w:hint="eastAsia" w:hAnsi="Times New Roman" w:eastAsia="宋体"/>
                <w:kern w:val="2"/>
                <w:sz w:val="18"/>
                <w:szCs w:val="18"/>
              </w:rPr>
              <w:t>1.09(2)</w:t>
            </w:r>
          </w:p>
        </w:tc>
        <w:tc>
          <w:tcPr>
            <w:tcW w:w="1247" w:type="pct"/>
            <w:vAlign w:val="center"/>
          </w:tcPr>
          <w:p>
            <w:pPr>
              <w:keepNext w:val="0"/>
              <w:keepLines w:val="0"/>
              <w:suppressLineNumbers w:val="0"/>
              <w:autoSpaceDN w:val="0"/>
              <w:spacing w:before="0" w:beforeAutospacing="0" w:after="0" w:afterAutospacing="0" w:line="240" w:lineRule="exact"/>
              <w:ind w:left="0" w:right="0"/>
              <w:jc w:val="center"/>
              <w:textAlignment w:val="center"/>
              <w:rPr>
                <w:rFonts w:hint="eastAsia" w:hAnsi="Times New Roman" w:eastAsia="宋体"/>
                <w:kern w:val="2"/>
                <w:sz w:val="18"/>
                <w:szCs w:val="18"/>
                <w:u w:val="single"/>
              </w:rPr>
            </w:pPr>
            <w:r>
              <w:rPr>
                <w:rFonts w:hint="eastAsia" w:hAnsi="Times New Roman" w:eastAsia="宋体"/>
                <w:kern w:val="2"/>
                <w:sz w:val="18"/>
                <w:szCs w:val="18"/>
                <w:u w:val="single"/>
              </w:rPr>
              <w:t>0.68-1.07</w:t>
            </w:r>
          </w:p>
          <w:p>
            <w:pPr>
              <w:keepNext w:val="0"/>
              <w:keepLines w:val="0"/>
              <w:suppressLineNumbers w:val="0"/>
              <w:autoSpaceDN w:val="0"/>
              <w:spacing w:before="0" w:beforeAutospacing="0" w:after="0" w:afterAutospacing="0" w:line="240" w:lineRule="exact"/>
              <w:ind w:left="0" w:right="0"/>
              <w:jc w:val="center"/>
              <w:textAlignment w:val="center"/>
              <w:rPr>
                <w:rFonts w:hint="eastAsia" w:hAnsi="Times New Roman" w:eastAsia="宋体"/>
                <w:kern w:val="2"/>
                <w:sz w:val="18"/>
                <w:szCs w:val="18"/>
                <w:u w:val="single"/>
              </w:rPr>
            </w:pPr>
            <w:r>
              <w:rPr>
                <w:rFonts w:hint="eastAsia" w:hAnsi="Times New Roman" w:eastAsia="宋体"/>
                <w:kern w:val="2"/>
                <w:sz w:val="18"/>
                <w:szCs w:val="18"/>
              </w:rPr>
              <w:t>0.82（3）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54" w:hRule="atLeast"/>
          <w:jc w:val="center"/>
        </w:trPr>
        <w:tc>
          <w:tcPr>
            <w:tcW w:w="804" w:type="pct"/>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18"/>
                <w:szCs w:val="18"/>
                <w:vertAlign w:val="subscript"/>
              </w:rPr>
            </w:pPr>
            <w:r>
              <w:rPr>
                <w:rFonts w:hint="eastAsia" w:hAnsi="Times New Roman" w:eastAsia="宋体"/>
                <w:kern w:val="2"/>
                <w:sz w:val="18"/>
                <w:szCs w:val="18"/>
              </w:rPr>
              <w:t>发热量Q</w:t>
            </w:r>
            <w:r>
              <w:rPr>
                <w:rFonts w:hint="eastAsia" w:hAnsi="Times New Roman" w:eastAsia="宋体"/>
                <w:kern w:val="2"/>
                <w:sz w:val="18"/>
                <w:szCs w:val="18"/>
                <w:vertAlign w:val="subscript"/>
              </w:rPr>
              <w:t>gr,v,d</w:t>
            </w:r>
          </w:p>
          <w:p>
            <w:pPr>
              <w:keepNext w:val="0"/>
              <w:keepLines w:val="0"/>
              <w:suppressLineNumbers w:val="0"/>
              <w:spacing w:before="0" w:beforeAutospacing="0" w:after="0" w:afterAutospacing="0" w:line="240" w:lineRule="exact"/>
              <w:ind w:left="0" w:right="0"/>
              <w:jc w:val="center"/>
              <w:rPr>
                <w:rFonts w:hint="eastAsia" w:hAnsi="Times New Roman" w:eastAsia="宋体"/>
                <w:kern w:val="2"/>
                <w:sz w:val="18"/>
                <w:szCs w:val="18"/>
              </w:rPr>
            </w:pPr>
            <w:r>
              <w:rPr>
                <w:rFonts w:hint="eastAsia" w:hAnsi="Times New Roman" w:eastAsia="宋体"/>
                <w:kern w:val="2"/>
                <w:sz w:val="18"/>
                <w:szCs w:val="18"/>
              </w:rPr>
              <w:t>(MJ/kg)</w:t>
            </w:r>
          </w:p>
        </w:tc>
        <w:tc>
          <w:tcPr>
            <w:tcW w:w="45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18"/>
                <w:szCs w:val="18"/>
              </w:rPr>
            </w:pPr>
            <w:r>
              <w:rPr>
                <w:rFonts w:hint="eastAsia" w:hAnsi="Times New Roman" w:eastAsia="宋体"/>
                <w:kern w:val="2"/>
                <w:sz w:val="18"/>
                <w:szCs w:val="18"/>
              </w:rPr>
              <w:t>原煤</w:t>
            </w:r>
          </w:p>
        </w:tc>
        <w:tc>
          <w:tcPr>
            <w:tcW w:w="1246" w:type="pct"/>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18"/>
                <w:szCs w:val="18"/>
                <w:u w:val="single"/>
              </w:rPr>
            </w:pPr>
            <w:r>
              <w:rPr>
                <w:rFonts w:hint="eastAsia" w:hAnsi="Times New Roman" w:eastAsia="宋体"/>
                <w:kern w:val="2"/>
                <w:sz w:val="18"/>
                <w:szCs w:val="18"/>
                <w:u w:val="single"/>
              </w:rPr>
              <w:t>25.63-28.70</w:t>
            </w:r>
          </w:p>
          <w:p>
            <w:pPr>
              <w:keepNext w:val="0"/>
              <w:keepLines w:val="0"/>
              <w:suppressLineNumbers w:val="0"/>
              <w:autoSpaceDN w:val="0"/>
              <w:spacing w:before="0" w:beforeAutospacing="0" w:after="0" w:afterAutospacing="0" w:line="240" w:lineRule="exact"/>
              <w:ind w:left="0" w:right="0"/>
              <w:jc w:val="center"/>
              <w:textAlignment w:val="center"/>
              <w:rPr>
                <w:rFonts w:hint="eastAsia" w:hAnsi="Times New Roman" w:eastAsia="宋体"/>
                <w:kern w:val="2"/>
                <w:sz w:val="18"/>
                <w:szCs w:val="18"/>
              </w:rPr>
            </w:pPr>
            <w:r>
              <w:rPr>
                <w:rFonts w:hint="eastAsia" w:hAnsi="Times New Roman" w:eastAsia="宋体"/>
                <w:kern w:val="2"/>
                <w:sz w:val="18"/>
                <w:szCs w:val="18"/>
              </w:rPr>
              <w:t>27.65(3)</w:t>
            </w:r>
          </w:p>
        </w:tc>
        <w:tc>
          <w:tcPr>
            <w:tcW w:w="1247" w:type="pct"/>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18"/>
                <w:szCs w:val="18"/>
                <w:u w:val="single"/>
              </w:rPr>
            </w:pPr>
            <w:r>
              <w:rPr>
                <w:rFonts w:hint="eastAsia" w:hAnsi="Times New Roman" w:eastAsia="宋体"/>
                <w:kern w:val="2"/>
                <w:sz w:val="18"/>
                <w:szCs w:val="18"/>
                <w:u w:val="single"/>
              </w:rPr>
              <w:t>22.35-27.40</w:t>
            </w:r>
          </w:p>
          <w:p>
            <w:pPr>
              <w:keepNext w:val="0"/>
              <w:keepLines w:val="0"/>
              <w:suppressLineNumbers w:val="0"/>
              <w:autoSpaceDN w:val="0"/>
              <w:spacing w:before="0" w:beforeAutospacing="0" w:after="0" w:afterAutospacing="0" w:line="240" w:lineRule="exact"/>
              <w:ind w:left="0" w:right="0"/>
              <w:jc w:val="center"/>
              <w:textAlignment w:val="center"/>
              <w:rPr>
                <w:rFonts w:hint="eastAsia" w:hAnsi="Times New Roman" w:eastAsia="宋体"/>
                <w:kern w:val="2"/>
                <w:sz w:val="18"/>
                <w:szCs w:val="18"/>
              </w:rPr>
            </w:pPr>
            <w:r>
              <w:rPr>
                <w:rFonts w:hint="eastAsia" w:hAnsi="Times New Roman" w:eastAsia="宋体"/>
                <w:kern w:val="2"/>
                <w:sz w:val="18"/>
                <w:szCs w:val="18"/>
              </w:rPr>
              <w:t>24.98(5)</w:t>
            </w:r>
          </w:p>
        </w:tc>
        <w:tc>
          <w:tcPr>
            <w:tcW w:w="1247" w:type="pct"/>
            <w:vAlign w:val="center"/>
          </w:tcPr>
          <w:p>
            <w:pPr>
              <w:keepNext w:val="0"/>
              <w:keepLines w:val="0"/>
              <w:suppressLineNumbers w:val="0"/>
              <w:autoSpaceDN w:val="0"/>
              <w:spacing w:before="0" w:beforeAutospacing="0" w:after="0" w:afterAutospacing="0" w:line="240" w:lineRule="exact"/>
              <w:ind w:left="0" w:right="0"/>
              <w:jc w:val="center"/>
              <w:textAlignment w:val="center"/>
              <w:rPr>
                <w:rFonts w:hint="eastAsia" w:hAnsi="Times New Roman" w:eastAsia="宋体"/>
                <w:kern w:val="2"/>
                <w:sz w:val="18"/>
                <w:szCs w:val="18"/>
                <w:u w:val="single"/>
              </w:rPr>
            </w:pPr>
            <w:r>
              <w:rPr>
                <w:rFonts w:hint="eastAsia" w:hAnsi="Times New Roman" w:eastAsia="宋体"/>
                <w:kern w:val="2"/>
                <w:sz w:val="18"/>
                <w:szCs w:val="18"/>
                <w:u w:val="single"/>
              </w:rPr>
              <w:t>25.86-29.31</w:t>
            </w:r>
          </w:p>
          <w:p>
            <w:pPr>
              <w:keepNext w:val="0"/>
              <w:keepLines w:val="0"/>
              <w:suppressLineNumbers w:val="0"/>
              <w:autoSpaceDN w:val="0"/>
              <w:spacing w:before="0" w:beforeAutospacing="0" w:after="0" w:afterAutospacing="0" w:line="240" w:lineRule="exact"/>
              <w:ind w:left="0" w:right="0"/>
              <w:jc w:val="center"/>
              <w:textAlignment w:val="center"/>
              <w:rPr>
                <w:rFonts w:hint="eastAsia" w:hAnsi="Times New Roman" w:eastAsia="宋体"/>
                <w:kern w:val="2"/>
                <w:sz w:val="18"/>
                <w:szCs w:val="18"/>
                <w:u w:val="single"/>
              </w:rPr>
            </w:pPr>
            <w:r>
              <w:rPr>
                <w:rFonts w:hint="eastAsia" w:hAnsi="Times New Roman" w:eastAsia="宋体"/>
                <w:kern w:val="2"/>
                <w:sz w:val="18"/>
                <w:szCs w:val="18"/>
              </w:rPr>
              <w:t>28.09（3）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50" w:hRule="atLeast"/>
          <w:jc w:val="center"/>
        </w:trPr>
        <w:tc>
          <w:tcPr>
            <w:tcW w:w="804"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18"/>
                <w:szCs w:val="18"/>
              </w:rPr>
            </w:pPr>
          </w:p>
        </w:tc>
        <w:tc>
          <w:tcPr>
            <w:tcW w:w="45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18"/>
                <w:szCs w:val="18"/>
              </w:rPr>
            </w:pPr>
            <w:r>
              <w:rPr>
                <w:rFonts w:hint="eastAsia" w:hAnsi="Times New Roman" w:eastAsia="宋体"/>
                <w:kern w:val="2"/>
                <w:sz w:val="18"/>
                <w:szCs w:val="18"/>
              </w:rPr>
              <w:t>浮煤</w:t>
            </w:r>
          </w:p>
        </w:tc>
        <w:tc>
          <w:tcPr>
            <w:tcW w:w="1246" w:type="pct"/>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18"/>
                <w:szCs w:val="18"/>
                <w:u w:val="single"/>
              </w:rPr>
            </w:pPr>
            <w:r>
              <w:rPr>
                <w:rFonts w:hint="eastAsia" w:hAnsi="Times New Roman" w:eastAsia="宋体"/>
                <w:kern w:val="2"/>
                <w:sz w:val="18"/>
                <w:szCs w:val="18"/>
                <w:u w:val="single"/>
              </w:rPr>
              <w:t>32.30-32.32</w:t>
            </w:r>
          </w:p>
          <w:p>
            <w:pPr>
              <w:keepNext w:val="0"/>
              <w:keepLines w:val="0"/>
              <w:suppressLineNumbers w:val="0"/>
              <w:autoSpaceDN w:val="0"/>
              <w:spacing w:before="0" w:beforeAutospacing="0" w:after="0" w:afterAutospacing="0" w:line="240" w:lineRule="exact"/>
              <w:ind w:left="0" w:right="0"/>
              <w:jc w:val="center"/>
              <w:textAlignment w:val="center"/>
              <w:rPr>
                <w:rFonts w:hint="eastAsia" w:hAnsi="Times New Roman" w:eastAsia="宋体"/>
                <w:kern w:val="2"/>
                <w:sz w:val="18"/>
                <w:szCs w:val="18"/>
              </w:rPr>
            </w:pPr>
            <w:r>
              <w:rPr>
                <w:rFonts w:hint="eastAsia" w:hAnsi="Times New Roman" w:eastAsia="宋体"/>
                <w:kern w:val="2"/>
                <w:sz w:val="18"/>
                <w:szCs w:val="18"/>
              </w:rPr>
              <w:t>32.31(2)</w:t>
            </w:r>
          </w:p>
        </w:tc>
        <w:tc>
          <w:tcPr>
            <w:tcW w:w="1247" w:type="pct"/>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18"/>
                <w:szCs w:val="18"/>
                <w:u w:val="single"/>
              </w:rPr>
            </w:pPr>
            <w:r>
              <w:rPr>
                <w:rFonts w:hint="eastAsia" w:hAnsi="Times New Roman" w:eastAsia="宋体"/>
                <w:kern w:val="2"/>
                <w:sz w:val="18"/>
                <w:szCs w:val="18"/>
                <w:u w:val="single"/>
              </w:rPr>
              <w:t>31.65-31.68</w:t>
            </w:r>
          </w:p>
          <w:p>
            <w:pPr>
              <w:keepNext w:val="0"/>
              <w:keepLines w:val="0"/>
              <w:suppressLineNumbers w:val="0"/>
              <w:autoSpaceDN w:val="0"/>
              <w:spacing w:before="0" w:beforeAutospacing="0" w:after="0" w:afterAutospacing="0" w:line="240" w:lineRule="exact"/>
              <w:ind w:left="0" w:right="0"/>
              <w:jc w:val="center"/>
              <w:textAlignment w:val="center"/>
              <w:rPr>
                <w:rFonts w:hint="eastAsia" w:hAnsi="Times New Roman" w:eastAsia="宋体"/>
                <w:kern w:val="2"/>
                <w:sz w:val="18"/>
                <w:szCs w:val="18"/>
              </w:rPr>
            </w:pPr>
            <w:r>
              <w:rPr>
                <w:rFonts w:hint="eastAsia" w:hAnsi="Times New Roman" w:eastAsia="宋体"/>
                <w:kern w:val="2"/>
                <w:sz w:val="18"/>
                <w:szCs w:val="18"/>
              </w:rPr>
              <w:t>31.67(2)</w:t>
            </w:r>
          </w:p>
        </w:tc>
        <w:tc>
          <w:tcPr>
            <w:tcW w:w="1247" w:type="pct"/>
            <w:vAlign w:val="center"/>
          </w:tcPr>
          <w:p>
            <w:pPr>
              <w:keepNext w:val="0"/>
              <w:keepLines w:val="0"/>
              <w:suppressLineNumbers w:val="0"/>
              <w:autoSpaceDN w:val="0"/>
              <w:spacing w:before="0" w:beforeAutospacing="0" w:after="0" w:afterAutospacing="0" w:line="240" w:lineRule="exact"/>
              <w:ind w:left="0" w:right="0"/>
              <w:jc w:val="center"/>
              <w:textAlignment w:val="center"/>
              <w:rPr>
                <w:rFonts w:hint="eastAsia" w:hAnsi="Times New Roman" w:eastAsia="宋体"/>
                <w:kern w:val="2"/>
                <w:sz w:val="18"/>
                <w:szCs w:val="18"/>
                <w:u w:val="single"/>
              </w:rPr>
            </w:pPr>
            <w:r>
              <w:rPr>
                <w:rFonts w:hint="eastAsia" w:hAnsi="Times New Roman" w:eastAsia="宋体"/>
                <w:kern w:val="2"/>
                <w:sz w:val="18"/>
                <w:szCs w:val="18"/>
                <w:u w:val="single"/>
              </w:rPr>
              <w:t>31.69-32.62</w:t>
            </w:r>
          </w:p>
          <w:p>
            <w:pPr>
              <w:keepNext w:val="0"/>
              <w:keepLines w:val="0"/>
              <w:suppressLineNumbers w:val="0"/>
              <w:autoSpaceDN w:val="0"/>
              <w:spacing w:before="0" w:beforeAutospacing="0" w:after="0" w:afterAutospacing="0" w:line="240" w:lineRule="exact"/>
              <w:ind w:left="0" w:right="0"/>
              <w:jc w:val="center"/>
              <w:textAlignment w:val="center"/>
              <w:rPr>
                <w:rFonts w:hint="eastAsia" w:hAnsi="Times New Roman" w:eastAsia="宋体"/>
                <w:kern w:val="2"/>
                <w:sz w:val="18"/>
                <w:szCs w:val="18"/>
              </w:rPr>
            </w:pPr>
            <w:r>
              <w:rPr>
                <w:rFonts w:hint="eastAsia" w:hAnsi="Times New Roman" w:eastAsia="宋体"/>
                <w:kern w:val="2"/>
                <w:sz w:val="18"/>
                <w:szCs w:val="18"/>
              </w:rPr>
              <w:t>32.18（3）</w:t>
            </w:r>
          </w:p>
        </w:tc>
      </w:tr>
    </w:tbl>
    <w:p>
      <w:pPr>
        <w:spacing w:line="360" w:lineRule="auto"/>
        <w:ind w:firstLine="480" w:firstLineChars="200"/>
        <w:rPr>
          <w:rFonts w:hAnsi="Times New Roman" w:eastAsia="宋体"/>
          <w:lang w:eastAsia="zh-CN"/>
        </w:rPr>
      </w:pPr>
      <w:r>
        <w:rPr>
          <w:rFonts w:hAnsi="Times New Roman" w:eastAsia="宋体"/>
          <w:lang w:eastAsia="zh-CN"/>
        </w:rPr>
        <w:t>按照《煤炭质量分级国家标准》（GB/T 15224-2018）和《中国煤炭分类标准》（GB5751-2009）中的规定，结合煤层相关指标，其煤质变化规律已查明。K</w:t>
      </w:r>
      <w:r>
        <w:rPr>
          <w:rFonts w:hAnsi="Times New Roman" w:eastAsia="宋体"/>
          <w:vertAlign w:val="subscript"/>
          <w:lang w:eastAsia="zh-CN"/>
        </w:rPr>
        <w:t>6</w:t>
      </w:r>
      <w:r>
        <w:rPr>
          <w:rFonts w:hAnsi="Times New Roman" w:eastAsia="宋体"/>
          <w:lang w:eastAsia="zh-CN"/>
        </w:rPr>
        <w:t>煤层为低灰、低硫、低磷、高热值煤，煤类为1/3焦煤（1/3JM），数码35；K</w:t>
      </w:r>
      <w:r>
        <w:rPr>
          <w:rFonts w:hAnsi="Times New Roman" w:eastAsia="宋体"/>
          <w:vertAlign w:val="subscript"/>
          <w:lang w:eastAsia="zh-CN"/>
        </w:rPr>
        <w:t>5-1</w:t>
      </w:r>
      <w:r>
        <w:rPr>
          <w:rFonts w:hAnsi="Times New Roman" w:eastAsia="宋体"/>
          <w:lang w:eastAsia="zh-CN"/>
        </w:rPr>
        <w:t>煤层为中灰、中硫、高热值煤，煤类为1/3焦煤（1/3JM），数码35；K</w:t>
      </w:r>
      <w:r>
        <w:rPr>
          <w:rFonts w:hAnsi="Times New Roman" w:eastAsia="宋体"/>
          <w:vertAlign w:val="subscript"/>
          <w:lang w:eastAsia="zh-CN"/>
        </w:rPr>
        <w:t>5</w:t>
      </w:r>
      <w:r>
        <w:rPr>
          <w:rFonts w:hAnsi="Times New Roman" w:eastAsia="宋体"/>
          <w:lang w:eastAsia="zh-CN"/>
        </w:rPr>
        <w:t>煤层为中灰、低硫、中高热值煤，煤类为1/3焦煤（1/3JM），数码35。</w:t>
      </w:r>
    </w:p>
    <w:p>
      <w:pPr>
        <w:spacing w:line="360" w:lineRule="auto"/>
        <w:ind w:firstLine="480" w:firstLineChars="200"/>
        <w:rPr>
          <w:rFonts w:hAnsi="Times New Roman" w:eastAsia="宋体"/>
          <w:lang w:eastAsia="zh-CN"/>
        </w:rPr>
      </w:pPr>
      <w:r>
        <w:rPr>
          <w:rFonts w:hAnsi="Times New Roman" w:eastAsia="宋体"/>
          <w:lang w:eastAsia="zh-CN"/>
        </w:rPr>
        <w:t>3、储量</w:t>
      </w:r>
    </w:p>
    <w:p>
      <w:pPr>
        <w:pStyle w:val="55"/>
        <w:rPr>
          <w:rFonts w:hAnsi="Times New Roman" w:eastAsia="宋体"/>
          <w:lang w:eastAsia="zh-CN"/>
        </w:rPr>
      </w:pPr>
      <w:r>
        <w:rPr>
          <w:rFonts w:hAnsi="Times New Roman" w:eastAsia="宋体"/>
          <w:lang w:eastAsia="zh-CN"/>
        </w:rPr>
        <w:t>根据四川省地质矿产（集团）有限公司2020年8月提交的《四川省宣汉县七里峡井田七里峡煤矿资源量核实报告》，</w:t>
      </w:r>
      <w:r>
        <w:rPr>
          <w:rFonts w:hint="eastAsia" w:hAnsi="Times New Roman" w:eastAsia="宋体"/>
          <w:lang w:eastAsia="zh-CN"/>
        </w:rPr>
        <w:t>截至2020年</w:t>
      </w:r>
      <w:r>
        <w:rPr>
          <w:rFonts w:hAnsi="Times New Roman" w:eastAsia="宋体"/>
          <w:lang w:eastAsia="zh-CN"/>
        </w:rPr>
        <w:t>7月31日，</w:t>
      </w:r>
      <w:r>
        <w:rPr>
          <w:rFonts w:hint="eastAsia" w:hAnsi="Times New Roman" w:eastAsia="宋体"/>
          <w:lang w:eastAsia="zh-CN"/>
        </w:rPr>
        <w:t>七里峡煤矿原采矿许可证范围内保有资源储量3434kt，其中控制的资源量2498kt，推断的资源量936kt；本次设计范围内保有资源量2824kt，其中控制的资源量2021kt，推断的资源量803kt。</w:t>
      </w:r>
    </w:p>
    <w:p>
      <w:pPr>
        <w:spacing w:line="360" w:lineRule="auto"/>
        <w:ind w:firstLine="480" w:firstLineChars="200"/>
        <w:rPr>
          <w:rFonts w:hAnsi="Times New Roman" w:eastAsia="宋体"/>
          <w:lang w:eastAsia="zh-CN"/>
        </w:rPr>
      </w:pPr>
      <w:r>
        <w:rPr>
          <w:rFonts w:hAnsi="Times New Roman" w:eastAsia="宋体"/>
          <w:lang w:eastAsia="zh-CN"/>
        </w:rPr>
        <w:t>4、开采技术条件</w:t>
      </w:r>
    </w:p>
    <w:p>
      <w:pPr>
        <w:spacing w:line="360" w:lineRule="auto"/>
        <w:ind w:firstLine="480" w:firstLineChars="200"/>
        <w:rPr>
          <w:rFonts w:hAnsi="Times New Roman" w:eastAsia="宋体"/>
          <w:lang w:eastAsia="zh-CN"/>
        </w:rPr>
      </w:pPr>
      <w:r>
        <w:rPr>
          <w:rFonts w:hAnsi="Times New Roman" w:eastAsia="宋体"/>
          <w:lang w:eastAsia="zh-CN"/>
        </w:rPr>
        <w:t>（1）煤层顶、底板情况</w:t>
      </w:r>
    </w:p>
    <w:p>
      <w:pPr>
        <w:spacing w:line="360" w:lineRule="auto"/>
        <w:ind w:firstLine="480" w:firstLineChars="200"/>
        <w:rPr>
          <w:rFonts w:hAnsi="Times New Roman" w:eastAsia="宋体"/>
          <w:lang w:eastAsia="zh-CN"/>
        </w:rPr>
      </w:pPr>
      <w:r>
        <w:rPr>
          <w:rFonts w:hAnsi="Times New Roman" w:eastAsia="宋体"/>
          <w:lang w:eastAsia="zh-CN"/>
        </w:rPr>
        <w:t>煤层顶底板比较平整，岩体完整性较好，稳定性较好，节理裂隙不发育，局部受砂岩裂隙水渗透影响，易产生膨胀变形，发生片邦、冒顶及底鼓等。顶、底板易于管理。</w:t>
      </w:r>
    </w:p>
    <w:p>
      <w:pPr>
        <w:spacing w:line="360" w:lineRule="auto"/>
        <w:ind w:firstLine="480" w:firstLineChars="200"/>
        <w:rPr>
          <w:rFonts w:hAnsi="Times New Roman" w:eastAsia="宋体"/>
          <w:lang w:eastAsia="zh-CN"/>
        </w:rPr>
      </w:pPr>
      <w:r>
        <w:rPr>
          <w:rFonts w:hAnsi="Times New Roman" w:eastAsia="宋体"/>
          <w:lang w:eastAsia="zh-CN"/>
        </w:rPr>
        <w:t>（2）矿井瓦斯</w:t>
      </w:r>
    </w:p>
    <w:p>
      <w:pPr>
        <w:spacing w:line="360" w:lineRule="auto"/>
        <w:ind w:firstLine="480" w:firstLineChars="200"/>
        <w:rPr>
          <w:rFonts w:hAnsi="Times New Roman" w:eastAsia="宋体"/>
          <w:lang w:eastAsia="zh-CN"/>
        </w:rPr>
      </w:pPr>
      <w:r>
        <w:rPr>
          <w:rFonts w:hAnsi="Times New Roman" w:eastAsia="宋体"/>
          <w:lang w:eastAsia="zh-CN"/>
        </w:rPr>
        <w:t>根据四川科恩工程安全技术咨询有限公司提交的《达州市宣汉县七里峡煤业有限公司七里峡煤矿2018年度矿井瓦斯等级鉴定报告》的鉴定结果，矿井绝对瓦斯涌出量1.542m</w:t>
      </w:r>
      <w:r>
        <w:rPr>
          <w:rFonts w:hAnsi="Times New Roman" w:eastAsia="宋体"/>
          <w:vertAlign w:val="superscript"/>
          <w:lang w:eastAsia="zh-CN"/>
        </w:rPr>
        <w:t>3</w:t>
      </w:r>
      <w:r>
        <w:rPr>
          <w:rFonts w:hAnsi="Times New Roman" w:eastAsia="宋体"/>
          <w:lang w:eastAsia="zh-CN"/>
        </w:rPr>
        <w:t>/min，矿井相对瓦斯涌出量5.250m</w:t>
      </w:r>
      <w:r>
        <w:rPr>
          <w:rFonts w:hAnsi="Times New Roman" w:eastAsia="宋体"/>
          <w:vertAlign w:val="superscript"/>
          <w:lang w:eastAsia="zh-CN"/>
        </w:rPr>
        <w:t>3</w:t>
      </w:r>
      <w:r>
        <w:rPr>
          <w:rFonts w:hAnsi="Times New Roman" w:eastAsia="宋体"/>
          <w:lang w:eastAsia="zh-CN"/>
        </w:rPr>
        <w:t>/t</w:t>
      </w:r>
      <w:r>
        <w:rPr>
          <w:rFonts w:hint="eastAsia" w:hAnsi="Times New Roman" w:eastAsia="宋体"/>
          <w:lang w:eastAsia="zh-CN"/>
        </w:rPr>
        <w:t>，属于</w:t>
      </w:r>
      <w:r>
        <w:rPr>
          <w:rFonts w:hAnsi="Times New Roman" w:eastAsia="宋体"/>
          <w:lang w:eastAsia="zh-CN"/>
        </w:rPr>
        <w:t>低瓦斯矿井。</w:t>
      </w:r>
    </w:p>
    <w:p>
      <w:pPr>
        <w:spacing w:line="360" w:lineRule="auto"/>
        <w:ind w:firstLine="480" w:firstLineChars="200"/>
        <w:rPr>
          <w:rFonts w:hAnsi="Times New Roman" w:eastAsia="宋体"/>
          <w:lang w:eastAsia="zh-CN"/>
        </w:rPr>
      </w:pPr>
      <w:r>
        <w:rPr>
          <w:rFonts w:hint="eastAsia" w:hAnsi="Times New Roman" w:eastAsia="宋体"/>
          <w:lang w:eastAsia="zh-CN"/>
        </w:rPr>
        <w:t>根据项目申请与安全审核报告（代可行性研究报告）预测计算，七里峡煤矿扩建后矿井相对瓦斯涌出量为6.371m</w:t>
      </w:r>
      <w:r>
        <w:rPr>
          <w:rFonts w:hint="eastAsia" w:hAnsi="Times New Roman" w:eastAsia="宋体"/>
          <w:vertAlign w:val="superscript"/>
          <w:lang w:eastAsia="zh-CN"/>
        </w:rPr>
        <w:t>3</w:t>
      </w:r>
      <w:r>
        <w:rPr>
          <w:rFonts w:hint="eastAsia" w:hAnsi="Times New Roman" w:eastAsia="宋体"/>
          <w:lang w:eastAsia="zh-CN"/>
        </w:rPr>
        <w:t>/t，最大绝对瓦斯涌出量为4.026m</w:t>
      </w:r>
      <w:r>
        <w:rPr>
          <w:rFonts w:hint="eastAsia" w:hAnsi="Times New Roman" w:eastAsia="宋体"/>
          <w:vertAlign w:val="superscript"/>
          <w:lang w:eastAsia="zh-CN"/>
        </w:rPr>
        <w:t>3</w:t>
      </w:r>
      <w:r>
        <w:rPr>
          <w:rFonts w:hint="eastAsia" w:hAnsi="Times New Roman" w:eastAsia="宋体"/>
          <w:lang w:eastAsia="zh-CN"/>
        </w:rPr>
        <w:t>/min，采煤工作面最大绝对瓦斯涌出量为1.827m</w:t>
      </w:r>
      <w:r>
        <w:rPr>
          <w:rFonts w:hint="eastAsia" w:hAnsi="Times New Roman" w:eastAsia="宋体"/>
          <w:vertAlign w:val="superscript"/>
          <w:lang w:eastAsia="zh-CN"/>
        </w:rPr>
        <w:t>3</w:t>
      </w:r>
      <w:r>
        <w:rPr>
          <w:rFonts w:hint="eastAsia" w:hAnsi="Times New Roman" w:eastAsia="宋体"/>
          <w:lang w:eastAsia="zh-CN"/>
        </w:rPr>
        <w:t>/min，掘进工作面最大绝对瓦斯涌出量为0.22m</w:t>
      </w:r>
      <w:r>
        <w:rPr>
          <w:rFonts w:hint="eastAsia" w:hAnsi="Times New Roman" w:eastAsia="宋体"/>
          <w:vertAlign w:val="superscript"/>
          <w:lang w:eastAsia="zh-CN"/>
        </w:rPr>
        <w:t>3</w:t>
      </w:r>
      <w:r>
        <w:rPr>
          <w:rFonts w:hint="eastAsia" w:hAnsi="Times New Roman" w:eastAsia="宋体"/>
          <w:lang w:eastAsia="zh-CN"/>
        </w:rPr>
        <w:t>/min。根据《煤矿安全规程》第169条规定，该矿属低瓦斯矿井。</w:t>
      </w:r>
    </w:p>
    <w:p>
      <w:pPr>
        <w:spacing w:line="360" w:lineRule="auto"/>
        <w:ind w:firstLine="480" w:firstLineChars="200"/>
        <w:rPr>
          <w:rFonts w:hAnsi="Times New Roman" w:eastAsia="宋体"/>
          <w:lang w:eastAsia="zh-CN"/>
        </w:rPr>
      </w:pPr>
      <w:r>
        <w:rPr>
          <w:rFonts w:hAnsi="Times New Roman" w:eastAsia="宋体"/>
          <w:lang w:eastAsia="zh-CN"/>
        </w:rPr>
        <w:t>矿山在生产过程中需加强矿井“一通三防”管理，杜绝微风、无风、瓦斯超限作业，加强通风和管理，做好煤与瓦斯突出的预防工作，防止瓦斯事故的发生。</w:t>
      </w:r>
    </w:p>
    <w:p>
      <w:pPr>
        <w:spacing w:line="360" w:lineRule="auto"/>
        <w:ind w:firstLine="480" w:firstLineChars="200"/>
        <w:rPr>
          <w:rFonts w:hAnsi="Times New Roman" w:eastAsia="宋体"/>
          <w:lang w:eastAsia="zh-CN"/>
        </w:rPr>
      </w:pPr>
      <w:r>
        <w:rPr>
          <w:rFonts w:hAnsi="Times New Roman" w:eastAsia="宋体"/>
          <w:lang w:eastAsia="zh-CN"/>
        </w:rPr>
        <w:t>（3）煤层自燃倾向性与煤尘爆炸危险性</w:t>
      </w:r>
    </w:p>
    <w:p>
      <w:pPr>
        <w:spacing w:line="360" w:lineRule="auto"/>
        <w:ind w:firstLine="480" w:firstLineChars="200"/>
        <w:rPr>
          <w:rFonts w:hAnsi="Times New Roman" w:eastAsia="宋体"/>
          <w:lang w:eastAsia="zh-CN"/>
        </w:rPr>
      </w:pPr>
      <w:r>
        <w:rPr>
          <w:rFonts w:hAnsi="Times New Roman" w:eastAsia="宋体"/>
          <w:lang w:eastAsia="zh-CN"/>
        </w:rPr>
        <w:t>根据2020年4月四川省煤炭产品质量监督检验站的检验报告，矿井</w:t>
      </w:r>
      <w:r>
        <w:rPr>
          <w:rFonts w:hint="eastAsia" w:hAnsi="Times New Roman" w:eastAsia="宋体"/>
          <w:lang w:eastAsia="zh-CN"/>
        </w:rPr>
        <w:t>拟</w:t>
      </w:r>
      <w:r>
        <w:rPr>
          <w:rFonts w:hAnsi="Times New Roman" w:eastAsia="宋体"/>
          <w:lang w:eastAsia="zh-CN"/>
        </w:rPr>
        <w:t>开采的K</w:t>
      </w:r>
      <w:r>
        <w:rPr>
          <w:rFonts w:hAnsi="Times New Roman" w:eastAsia="宋体"/>
          <w:vertAlign w:val="subscript"/>
          <w:lang w:eastAsia="zh-CN"/>
        </w:rPr>
        <w:t>6</w:t>
      </w:r>
      <w:r>
        <w:rPr>
          <w:rFonts w:hAnsi="Times New Roman" w:eastAsia="宋体"/>
          <w:lang w:eastAsia="zh-CN"/>
        </w:rPr>
        <w:t>、K</w:t>
      </w:r>
      <w:r>
        <w:rPr>
          <w:rFonts w:hAnsi="Times New Roman" w:eastAsia="宋体"/>
          <w:vertAlign w:val="subscript"/>
          <w:lang w:eastAsia="zh-CN"/>
        </w:rPr>
        <w:t>5-1</w:t>
      </w:r>
      <w:r>
        <w:rPr>
          <w:rFonts w:hAnsi="Times New Roman" w:eastAsia="宋体"/>
          <w:lang w:eastAsia="zh-CN"/>
        </w:rPr>
        <w:t>和K</w:t>
      </w:r>
      <w:r>
        <w:rPr>
          <w:rFonts w:hAnsi="Times New Roman" w:eastAsia="宋体"/>
          <w:vertAlign w:val="subscript"/>
          <w:lang w:eastAsia="zh-CN"/>
        </w:rPr>
        <w:t>5</w:t>
      </w:r>
      <w:r>
        <w:rPr>
          <w:rFonts w:hAnsi="Times New Roman" w:eastAsia="宋体"/>
          <w:lang w:eastAsia="zh-CN"/>
        </w:rPr>
        <w:t>煤层自燃发火倾向性等级均为Ⅲ类，属不易自燃。</w:t>
      </w:r>
    </w:p>
    <w:p>
      <w:pPr>
        <w:spacing w:line="360" w:lineRule="auto"/>
        <w:ind w:firstLine="480" w:firstLineChars="200"/>
        <w:rPr>
          <w:rFonts w:hAnsi="Times New Roman" w:eastAsia="宋体"/>
          <w:lang w:eastAsia="zh-CN"/>
        </w:rPr>
      </w:pPr>
      <w:r>
        <w:rPr>
          <w:rFonts w:hAnsi="Times New Roman" w:eastAsia="宋体"/>
          <w:lang w:eastAsia="zh-CN"/>
        </w:rPr>
        <w:t>根据2020年4月四川省煤炭产品质量监督检验站的检验报告，矿井</w:t>
      </w:r>
      <w:r>
        <w:rPr>
          <w:rFonts w:hint="eastAsia" w:hAnsi="Times New Roman" w:eastAsia="宋体"/>
          <w:lang w:eastAsia="zh-CN"/>
        </w:rPr>
        <w:t>拟</w:t>
      </w:r>
      <w:r>
        <w:rPr>
          <w:rFonts w:hAnsi="Times New Roman" w:eastAsia="宋体"/>
          <w:lang w:eastAsia="zh-CN"/>
        </w:rPr>
        <w:t>开采的K</w:t>
      </w:r>
      <w:r>
        <w:rPr>
          <w:rFonts w:hAnsi="Times New Roman" w:eastAsia="宋体"/>
          <w:vertAlign w:val="subscript"/>
          <w:lang w:eastAsia="zh-CN"/>
        </w:rPr>
        <w:t>6</w:t>
      </w:r>
      <w:r>
        <w:rPr>
          <w:rFonts w:hAnsi="Times New Roman" w:eastAsia="宋体"/>
          <w:lang w:eastAsia="zh-CN"/>
        </w:rPr>
        <w:t>、K</w:t>
      </w:r>
      <w:r>
        <w:rPr>
          <w:rFonts w:hAnsi="Times New Roman" w:eastAsia="宋体"/>
          <w:vertAlign w:val="subscript"/>
          <w:lang w:eastAsia="zh-CN"/>
        </w:rPr>
        <w:t>5-1</w:t>
      </w:r>
      <w:r>
        <w:rPr>
          <w:rFonts w:hAnsi="Times New Roman" w:eastAsia="宋体"/>
          <w:lang w:eastAsia="zh-CN"/>
        </w:rPr>
        <w:t>和K</w:t>
      </w:r>
      <w:r>
        <w:rPr>
          <w:rFonts w:hAnsi="Times New Roman" w:eastAsia="宋体"/>
          <w:vertAlign w:val="subscript"/>
          <w:lang w:eastAsia="zh-CN"/>
        </w:rPr>
        <w:t>5</w:t>
      </w:r>
      <w:r>
        <w:rPr>
          <w:rFonts w:hAnsi="Times New Roman" w:eastAsia="宋体"/>
          <w:lang w:eastAsia="zh-CN"/>
        </w:rPr>
        <w:t>煤层均无煤尘爆炸危险性。</w:t>
      </w:r>
    </w:p>
    <w:p>
      <w:pPr>
        <w:spacing w:line="360" w:lineRule="auto"/>
        <w:ind w:firstLine="480" w:firstLineChars="200"/>
        <w:rPr>
          <w:rFonts w:hAnsi="Times New Roman" w:eastAsia="宋体"/>
          <w:lang w:eastAsia="zh-CN"/>
        </w:rPr>
      </w:pPr>
      <w:r>
        <w:rPr>
          <w:rFonts w:hAnsi="Times New Roman" w:eastAsia="宋体"/>
          <w:lang w:eastAsia="zh-CN"/>
        </w:rPr>
        <w:t>（4）地温及冲击地压</w:t>
      </w:r>
    </w:p>
    <w:p>
      <w:pPr>
        <w:spacing w:line="360" w:lineRule="auto"/>
        <w:ind w:firstLine="480" w:firstLineChars="200"/>
        <w:rPr>
          <w:rFonts w:hAnsi="Times New Roman" w:eastAsia="宋体"/>
          <w:lang w:eastAsia="zh-CN"/>
        </w:rPr>
      </w:pPr>
      <w:r>
        <w:rPr>
          <w:rFonts w:hAnsi="Times New Roman" w:eastAsia="宋体"/>
          <w:lang w:eastAsia="zh-CN"/>
        </w:rPr>
        <w:t>本区属正常地温区，地温梯度约为2℃/100m，当井下通风时，矿井最低水平巷道（+200m）内温度一般可控制在20℃左右。无冲击地压现象。</w:t>
      </w:r>
    </w:p>
    <w:p>
      <w:pPr>
        <w:spacing w:line="360" w:lineRule="auto"/>
        <w:ind w:firstLine="480" w:firstLineChars="200"/>
        <w:rPr>
          <w:rFonts w:hAnsi="Times New Roman" w:eastAsia="宋体"/>
          <w:lang w:eastAsia="zh-CN"/>
        </w:rPr>
      </w:pPr>
      <w:r>
        <w:rPr>
          <w:rFonts w:hAnsi="Times New Roman" w:eastAsia="宋体"/>
          <w:lang w:eastAsia="zh-CN"/>
        </w:rPr>
        <w:t>（</w:t>
      </w:r>
      <w:r>
        <w:rPr>
          <w:rFonts w:hint="eastAsia" w:hAnsi="Times New Roman" w:eastAsia="宋体"/>
          <w:lang w:eastAsia="zh-CN"/>
        </w:rPr>
        <w:t>5</w:t>
      </w:r>
      <w:r>
        <w:rPr>
          <w:rFonts w:hAnsi="Times New Roman" w:eastAsia="宋体"/>
          <w:lang w:eastAsia="zh-CN"/>
        </w:rPr>
        <w:t>）</w:t>
      </w:r>
      <w:r>
        <w:rPr>
          <w:rFonts w:hint="eastAsia" w:hAnsi="Times New Roman" w:eastAsia="宋体"/>
          <w:lang w:eastAsia="zh-CN"/>
        </w:rPr>
        <w:t>原煤、矸石放射性分析</w:t>
      </w:r>
    </w:p>
    <w:p>
      <w:pPr>
        <w:spacing w:line="360" w:lineRule="auto"/>
        <w:ind w:firstLine="480" w:firstLineChars="200"/>
        <w:rPr>
          <w:rFonts w:hAnsi="Times New Roman" w:eastAsia="宋体"/>
          <w:lang w:eastAsia="zh-CN"/>
        </w:rPr>
      </w:pPr>
      <w:r>
        <w:rPr>
          <w:rFonts w:hAnsi="Times New Roman" w:eastAsia="宋体"/>
          <w:lang w:eastAsia="zh-CN"/>
        </w:rPr>
        <w:t>根据《四川省核工业辐射测试防护院（四川省核应急技术支持中心）检测报告》对</w:t>
      </w:r>
      <w:r>
        <w:rPr>
          <w:rFonts w:hint="eastAsia" w:hAnsi="Times New Roman" w:eastAsia="宋体"/>
          <w:lang w:eastAsia="zh-CN"/>
        </w:rPr>
        <w:t>七里峡</w:t>
      </w:r>
      <w:r>
        <w:rPr>
          <w:rFonts w:hAnsi="Times New Roman" w:eastAsia="宋体"/>
          <w:lang w:eastAsia="zh-CN"/>
        </w:rPr>
        <w:t>煤矿2022年1月20日原煤、矸石送样分析检测结果，</w:t>
      </w:r>
      <w:r>
        <w:rPr>
          <w:rFonts w:hAnsi="Times New Roman" w:eastAsia="宋体"/>
          <w:b/>
          <w:bCs/>
          <w:lang w:eastAsia="zh-CN"/>
        </w:rPr>
        <w:t>本项目原煤、煤开石中铀、</w:t>
      </w:r>
      <w:r>
        <w:rPr>
          <w:rFonts w:hint="eastAsia" w:hAnsi="Times New Roman" w:eastAsia="宋体"/>
          <w:b/>
          <w:bCs/>
          <w:lang w:eastAsia="zh-CN"/>
        </w:rPr>
        <w:t>钍</w:t>
      </w:r>
      <w:r>
        <w:rPr>
          <w:rFonts w:hAnsi="Times New Roman" w:eastAsia="宋体"/>
          <w:b/>
          <w:bCs/>
          <w:lang w:eastAsia="zh-CN"/>
        </w:rPr>
        <w:t>、镭单个核素活度浓度均未超过1Bg/g</w:t>
      </w:r>
      <w:r>
        <w:rPr>
          <w:rFonts w:hAnsi="Times New Roman" w:eastAsia="宋体"/>
          <w:lang w:eastAsia="zh-CN"/>
        </w:rPr>
        <w:t>。检测结果见下表。</w:t>
      </w:r>
    </w:p>
    <w:p>
      <w:pPr>
        <w:spacing w:line="360" w:lineRule="auto"/>
        <w:jc w:val="center"/>
        <w:rPr>
          <w:rFonts w:hAnsi="Times New Roman" w:eastAsia="宋体"/>
          <w:b/>
          <w:bCs/>
          <w:sz w:val="21"/>
          <w:szCs w:val="21"/>
          <w:lang w:eastAsia="zh-CN"/>
        </w:rPr>
      </w:pPr>
    </w:p>
    <w:p>
      <w:pPr>
        <w:spacing w:line="360" w:lineRule="auto"/>
        <w:jc w:val="center"/>
        <w:rPr>
          <w:rFonts w:hAnsi="Times New Roman" w:eastAsia="宋体"/>
          <w:b/>
          <w:bCs/>
          <w:sz w:val="21"/>
          <w:szCs w:val="21"/>
          <w:lang w:eastAsia="zh-CN"/>
        </w:rPr>
      </w:pP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表2.2-</w:t>
      </w:r>
      <w:r>
        <w:rPr>
          <w:rFonts w:hint="eastAsia" w:hAnsi="Times New Roman" w:eastAsia="宋体"/>
          <w:b/>
          <w:bCs/>
          <w:sz w:val="21"/>
          <w:szCs w:val="21"/>
          <w:lang w:eastAsia="zh-CN"/>
        </w:rPr>
        <w:t>9</w:t>
      </w:r>
      <w:r>
        <w:rPr>
          <w:rFonts w:hAnsi="Times New Roman" w:eastAsia="宋体"/>
          <w:b/>
          <w:bCs/>
          <w:sz w:val="21"/>
          <w:szCs w:val="21"/>
          <w:lang w:eastAsia="zh-CN"/>
        </w:rPr>
        <w:t xml:space="preserve"> </w:t>
      </w:r>
      <w:r>
        <w:rPr>
          <w:rFonts w:hint="eastAsia" w:hAnsi="Times New Roman" w:eastAsia="宋体"/>
          <w:b/>
          <w:bCs/>
          <w:sz w:val="21"/>
          <w:szCs w:val="21"/>
          <w:lang w:eastAsia="zh-CN"/>
        </w:rPr>
        <w:t>煤炭资源开采天然放射性核素限量检测</w:t>
      </w:r>
      <w:r>
        <w:rPr>
          <w:rFonts w:hAnsi="Times New Roman" w:eastAsia="宋体"/>
          <w:b/>
          <w:bCs/>
          <w:sz w:val="21"/>
          <w:szCs w:val="21"/>
          <w:lang w:eastAsia="zh-CN"/>
        </w:rPr>
        <w:t>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474"/>
        <w:gridCol w:w="1594"/>
        <w:gridCol w:w="2312"/>
        <w:gridCol w:w="1952"/>
        <w:gridCol w:w="18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0" w:hRule="atLeast"/>
          <w:jc w:val="center"/>
        </w:trPr>
        <w:tc>
          <w:tcPr>
            <w:tcW w:w="807"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b/>
                <w:kern w:val="2"/>
                <w:sz w:val="21"/>
                <w:szCs w:val="21"/>
                <w:lang w:eastAsia="zh-CN"/>
              </w:rPr>
            </w:pPr>
            <w:r>
              <w:rPr>
                <w:rFonts w:hint="eastAsia" w:hAnsi="Times New Roman" w:eastAsia="宋体"/>
                <w:b/>
                <w:kern w:val="2"/>
                <w:sz w:val="21"/>
                <w:szCs w:val="21"/>
                <w:lang w:eastAsia="zh-CN"/>
              </w:rPr>
              <w:t>原样编号</w:t>
            </w:r>
          </w:p>
        </w:tc>
        <w:tc>
          <w:tcPr>
            <w:tcW w:w="872"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b/>
                <w:kern w:val="2"/>
                <w:sz w:val="21"/>
                <w:szCs w:val="21"/>
                <w:lang w:eastAsia="zh-CN"/>
              </w:rPr>
            </w:pPr>
            <w:r>
              <w:rPr>
                <w:rFonts w:hint="eastAsia" w:hAnsi="Times New Roman" w:eastAsia="宋体"/>
                <w:b/>
                <w:kern w:val="2"/>
                <w:sz w:val="21"/>
                <w:szCs w:val="21"/>
                <w:lang w:eastAsia="zh-CN"/>
              </w:rPr>
              <w:t>检测编号</w:t>
            </w:r>
          </w:p>
        </w:tc>
        <w:tc>
          <w:tcPr>
            <w:tcW w:w="3322" w:type="pct"/>
            <w:gridSpan w:val="3"/>
            <w:vAlign w:val="center"/>
          </w:tcPr>
          <w:p>
            <w:pPr>
              <w:keepNext w:val="0"/>
              <w:keepLines w:val="0"/>
              <w:suppressLineNumbers w:val="0"/>
              <w:spacing w:before="0" w:beforeAutospacing="0" w:after="0" w:afterAutospacing="0"/>
              <w:ind w:left="0" w:right="0"/>
              <w:jc w:val="center"/>
              <w:rPr>
                <w:rFonts w:hint="eastAsia" w:hAnsi="Times New Roman" w:eastAsia="宋体"/>
                <w:b/>
                <w:kern w:val="2"/>
                <w:sz w:val="21"/>
                <w:szCs w:val="21"/>
                <w:lang w:eastAsia="zh-CN"/>
              </w:rPr>
            </w:pPr>
            <w:r>
              <w:rPr>
                <w:rFonts w:hint="eastAsia" w:hAnsi="Times New Roman" w:eastAsia="宋体"/>
                <w:b/>
                <w:kern w:val="2"/>
                <w:sz w:val="21"/>
                <w:szCs w:val="21"/>
                <w:lang w:eastAsia="zh-CN"/>
              </w:rPr>
              <w:t>检测项目及检测结果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1" w:hRule="atLeast"/>
          <w:jc w:val="center"/>
        </w:trPr>
        <w:tc>
          <w:tcPr>
            <w:tcW w:w="807"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b/>
                <w:kern w:val="2"/>
                <w:sz w:val="21"/>
                <w:szCs w:val="21"/>
                <w:lang w:eastAsia="zh-CN"/>
              </w:rPr>
            </w:pPr>
          </w:p>
        </w:tc>
        <w:tc>
          <w:tcPr>
            <w:tcW w:w="872"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b/>
                <w:kern w:val="2"/>
                <w:sz w:val="21"/>
                <w:szCs w:val="21"/>
                <w:lang w:eastAsia="zh-CN"/>
              </w:rPr>
            </w:pPr>
          </w:p>
        </w:tc>
        <w:tc>
          <w:tcPr>
            <w:tcW w:w="1265" w:type="pct"/>
            <w:vAlign w:val="center"/>
          </w:tcPr>
          <w:p>
            <w:pPr>
              <w:keepNext w:val="0"/>
              <w:keepLines w:val="0"/>
              <w:suppressLineNumbers w:val="0"/>
              <w:spacing w:before="0" w:beforeAutospacing="0" w:after="0" w:afterAutospacing="0"/>
              <w:ind w:left="0" w:right="0"/>
              <w:jc w:val="center"/>
              <w:rPr>
                <w:rFonts w:hint="eastAsia" w:hAnsi="Times New Roman" w:eastAsia="宋体"/>
                <w:b/>
                <w:kern w:val="2"/>
                <w:sz w:val="21"/>
                <w:szCs w:val="21"/>
                <w:lang w:eastAsia="zh-CN"/>
              </w:rPr>
            </w:pPr>
            <w:r>
              <w:rPr>
                <w:rFonts w:hint="eastAsia" w:hAnsi="Times New Roman" w:eastAsia="宋体"/>
                <w:b/>
                <w:kern w:val="2"/>
                <w:sz w:val="21"/>
                <w:szCs w:val="21"/>
                <w:lang w:eastAsia="zh-CN"/>
              </w:rPr>
              <w:t>钍-232（Bq/kg）</w:t>
            </w:r>
          </w:p>
        </w:tc>
        <w:tc>
          <w:tcPr>
            <w:tcW w:w="1068" w:type="pct"/>
            <w:vAlign w:val="center"/>
          </w:tcPr>
          <w:p>
            <w:pPr>
              <w:keepNext w:val="0"/>
              <w:keepLines w:val="0"/>
              <w:suppressLineNumbers w:val="0"/>
              <w:spacing w:before="0" w:beforeAutospacing="0" w:after="0" w:afterAutospacing="0"/>
              <w:ind w:left="0" w:right="0"/>
              <w:jc w:val="center"/>
              <w:rPr>
                <w:rFonts w:hint="eastAsia" w:hAnsi="Times New Roman" w:eastAsia="宋体"/>
                <w:b/>
                <w:kern w:val="2"/>
                <w:sz w:val="21"/>
                <w:szCs w:val="21"/>
                <w:lang w:eastAsia="zh-CN"/>
              </w:rPr>
            </w:pPr>
            <w:r>
              <w:rPr>
                <w:rFonts w:hint="eastAsia" w:hAnsi="Times New Roman" w:eastAsia="宋体"/>
                <w:b/>
                <w:kern w:val="2"/>
                <w:sz w:val="21"/>
                <w:szCs w:val="21"/>
                <w:lang w:eastAsia="zh-CN"/>
              </w:rPr>
              <w:t>铀-238（Bq/kg）</w:t>
            </w:r>
          </w:p>
        </w:tc>
        <w:tc>
          <w:tcPr>
            <w:tcW w:w="989" w:type="pct"/>
            <w:vAlign w:val="center"/>
          </w:tcPr>
          <w:p>
            <w:pPr>
              <w:keepNext w:val="0"/>
              <w:keepLines w:val="0"/>
              <w:suppressLineNumbers w:val="0"/>
              <w:spacing w:before="0" w:beforeAutospacing="0" w:after="0" w:afterAutospacing="0"/>
              <w:ind w:left="0" w:right="0"/>
              <w:jc w:val="center"/>
              <w:rPr>
                <w:rFonts w:hint="eastAsia" w:hAnsi="Times New Roman" w:eastAsia="宋体"/>
                <w:b/>
                <w:kern w:val="2"/>
                <w:sz w:val="21"/>
                <w:szCs w:val="21"/>
                <w:lang w:eastAsia="zh-CN"/>
              </w:rPr>
            </w:pPr>
            <w:r>
              <w:rPr>
                <w:rFonts w:hint="eastAsia" w:hAnsi="Times New Roman" w:eastAsia="宋体"/>
                <w:b/>
                <w:kern w:val="2"/>
                <w:sz w:val="21"/>
                <w:szCs w:val="21"/>
                <w:lang w:eastAsia="zh-CN"/>
              </w:rPr>
              <w:t>镭-226（Bq/kg）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1" w:hRule="atLeast"/>
          <w:jc w:val="center"/>
        </w:trPr>
        <w:tc>
          <w:tcPr>
            <w:tcW w:w="807"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煤</w:t>
            </w:r>
          </w:p>
        </w:tc>
        <w:tc>
          <w:tcPr>
            <w:tcW w:w="872"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2022LY-23-1</w:t>
            </w:r>
          </w:p>
        </w:tc>
        <w:tc>
          <w:tcPr>
            <w:tcW w:w="1265"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3.20×10</w:t>
            </w:r>
            <w:r>
              <w:rPr>
                <w:rFonts w:hint="eastAsia" w:hAnsi="Times New Roman" w:eastAsia="宋体"/>
                <w:bCs/>
                <w:kern w:val="2"/>
                <w:sz w:val="21"/>
                <w:szCs w:val="21"/>
                <w:vertAlign w:val="superscript"/>
                <w:lang w:eastAsia="zh-CN"/>
              </w:rPr>
              <w:t>1</w:t>
            </w:r>
          </w:p>
        </w:tc>
        <w:tc>
          <w:tcPr>
            <w:tcW w:w="1068"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7.72×10</w:t>
            </w:r>
            <w:r>
              <w:rPr>
                <w:rFonts w:hint="eastAsia" w:hAnsi="Times New Roman" w:eastAsia="宋体"/>
                <w:bCs/>
                <w:kern w:val="2"/>
                <w:sz w:val="21"/>
                <w:szCs w:val="21"/>
                <w:vertAlign w:val="superscript"/>
                <w:lang w:eastAsia="zh-CN"/>
              </w:rPr>
              <w:t>1</w:t>
            </w:r>
          </w:p>
        </w:tc>
        <w:tc>
          <w:tcPr>
            <w:tcW w:w="989"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3.79×10</w:t>
            </w:r>
            <w:r>
              <w:rPr>
                <w:rFonts w:hint="eastAsia" w:hAnsi="Times New Roman" w:eastAsia="宋体"/>
                <w:bCs/>
                <w:kern w:val="2"/>
                <w:sz w:val="21"/>
                <w:szCs w:val="21"/>
                <w:vertAlign w:val="superscript"/>
                <w:lang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9" w:hRule="atLeast"/>
          <w:jc w:val="center"/>
        </w:trPr>
        <w:tc>
          <w:tcPr>
            <w:tcW w:w="807"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矸石</w:t>
            </w:r>
          </w:p>
        </w:tc>
        <w:tc>
          <w:tcPr>
            <w:tcW w:w="872"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2022LY-23-2</w:t>
            </w:r>
          </w:p>
        </w:tc>
        <w:tc>
          <w:tcPr>
            <w:tcW w:w="1265"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6.56×10</w:t>
            </w:r>
            <w:r>
              <w:rPr>
                <w:rFonts w:hint="eastAsia" w:hAnsi="Times New Roman" w:eastAsia="宋体"/>
                <w:bCs/>
                <w:kern w:val="2"/>
                <w:sz w:val="21"/>
                <w:szCs w:val="21"/>
                <w:vertAlign w:val="superscript"/>
                <w:lang w:eastAsia="zh-CN"/>
              </w:rPr>
              <w:t>1</w:t>
            </w:r>
          </w:p>
        </w:tc>
        <w:tc>
          <w:tcPr>
            <w:tcW w:w="1068"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4.95×10</w:t>
            </w:r>
            <w:r>
              <w:rPr>
                <w:rFonts w:hint="eastAsia" w:hAnsi="Times New Roman" w:eastAsia="宋体"/>
                <w:bCs/>
                <w:kern w:val="2"/>
                <w:sz w:val="21"/>
                <w:szCs w:val="21"/>
                <w:vertAlign w:val="superscript"/>
                <w:lang w:eastAsia="zh-CN"/>
              </w:rPr>
              <w:t>1</w:t>
            </w:r>
          </w:p>
        </w:tc>
        <w:tc>
          <w:tcPr>
            <w:tcW w:w="989"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4.48×10</w:t>
            </w:r>
            <w:r>
              <w:rPr>
                <w:rFonts w:hint="eastAsia" w:hAnsi="Times New Roman" w:eastAsia="宋体"/>
                <w:bCs/>
                <w:kern w:val="2"/>
                <w:sz w:val="21"/>
                <w:szCs w:val="21"/>
                <w:vertAlign w:val="superscript"/>
                <w:lang w:eastAsia="zh-CN"/>
              </w:rPr>
              <w:t>1</w:t>
            </w:r>
          </w:p>
        </w:tc>
      </w:tr>
    </w:tbl>
    <w:p>
      <w:pPr>
        <w:pStyle w:val="5"/>
        <w:rPr>
          <w:rFonts w:ascii="Times New Roman" w:hAnsi="Times New Roman"/>
          <w:lang w:eastAsia="zh-CN"/>
        </w:rPr>
      </w:pPr>
      <w:bookmarkStart w:id="93" w:name="_Toc167095138"/>
      <w:bookmarkStart w:id="94" w:name="_Toc163749157"/>
      <w:r>
        <w:rPr>
          <w:rFonts w:ascii="Times New Roman" w:hAnsi="Times New Roman"/>
          <w:lang w:eastAsia="zh-CN"/>
        </w:rPr>
        <w:t>2.3 工程分析</w:t>
      </w:r>
      <w:bookmarkEnd w:id="93"/>
      <w:bookmarkEnd w:id="94"/>
    </w:p>
    <w:p>
      <w:pPr>
        <w:pStyle w:val="6"/>
        <w:rPr>
          <w:lang w:eastAsia="zh-CN"/>
        </w:rPr>
      </w:pPr>
      <w:bookmarkStart w:id="95" w:name="_Toc167095139"/>
      <w:bookmarkStart w:id="96" w:name="_Toc163812516"/>
      <w:r>
        <w:rPr>
          <w:lang w:eastAsia="zh-CN"/>
        </w:rPr>
        <w:t>2.3.1 井田开拓及开采</w:t>
      </w:r>
      <w:bookmarkEnd w:id="95"/>
      <w:bookmarkEnd w:id="96"/>
    </w:p>
    <w:p>
      <w:pPr>
        <w:spacing w:line="360" w:lineRule="auto"/>
        <w:ind w:firstLine="480" w:firstLineChars="200"/>
        <w:rPr>
          <w:rFonts w:hAnsi="Times New Roman" w:eastAsia="宋体"/>
          <w:lang w:eastAsia="zh-CN"/>
        </w:rPr>
      </w:pPr>
      <w:r>
        <w:rPr>
          <w:rFonts w:hAnsi="Times New Roman" w:eastAsia="宋体"/>
          <w:lang w:eastAsia="zh-CN"/>
        </w:rPr>
        <w:t>（1）井田开拓方式</w:t>
      </w:r>
    </w:p>
    <w:p>
      <w:pPr>
        <w:spacing w:line="360" w:lineRule="auto"/>
        <w:ind w:firstLine="480" w:firstLineChars="200"/>
        <w:rPr>
          <w:rFonts w:hAnsi="Times New Roman" w:eastAsia="宋体"/>
          <w:lang w:eastAsia="zh-CN"/>
        </w:rPr>
      </w:pPr>
      <w:r>
        <w:rPr>
          <w:rFonts w:hAnsi="Times New Roman" w:eastAsia="宋体"/>
          <w:lang w:eastAsia="zh-CN"/>
        </w:rPr>
        <w:t>本次30万t/a 改造项目利用现有+379.0m工业场地作为扩建后的主井工业场地。扩建后七里峡煤矿采用平硐、斜井综合开拓方式。</w:t>
      </w:r>
      <w:r>
        <w:rPr>
          <w:rFonts w:hint="eastAsia" w:hAnsi="Times New Roman" w:eastAsia="宋体"/>
          <w:lang w:eastAsia="zh-CN"/>
        </w:rPr>
        <w:t>共布置6个通往地面的井筒和2个暗斜井。</w:t>
      </w:r>
    </w:p>
    <w:p>
      <w:pPr>
        <w:spacing w:line="360" w:lineRule="auto"/>
        <w:ind w:firstLine="480" w:firstLineChars="200"/>
        <w:rPr>
          <w:rFonts w:hAnsi="Times New Roman" w:eastAsia="宋体"/>
          <w:lang w:eastAsia="zh-CN"/>
        </w:rPr>
      </w:pPr>
      <w:r>
        <w:rPr>
          <w:rFonts w:hint="eastAsia" w:hAnsi="Times New Roman" w:eastAsia="宋体"/>
          <w:lang w:eastAsia="zh-CN"/>
        </w:rPr>
        <w:t>利用现有+379m主平硐作为扩建后的主平硐（X=3452926，Y=36474559，Z=+379m），井筒内安设带式输送机和铺设22kg/m的钢轨，担负全矿井煤炭、矸石、材料、设备运输和进风、行人、排水及管线敷设等任务；利用开丰井田东翼边界附近现有的+411m副平硐作为扩建后的进风平硐（X=3452687，Y=36475723，Z=+411m），担负开丰井田一采区的辅助进风及安全出口任务；利用开丰井田东翼现有的+572m回风平硐（X=3453022，Y=36476125，Z=+572m）作为扩建后开丰井田一、二采区的回风井，担负矿井一、二采区的回风及紧急情况下的安全出口任务；利用+548m进风斜井作为长田井田三采区的进风斜井（X=3451947.00，Y=36475613.00，Z=+548m），担负长田井田内三采区的进风兼安全出口等任务；利用长田井田东翼边界附近的+548m回风平硐（X=3451891.67，Y=36475603.96，Z=+548m）作为扩建后长田井田内三采区的回风井，担负矿井三采区的回风及紧急情况下的安全出口任务。利用原开丰井田东翼+645m进风斜井作为扩建后的东进风斜井（X=3454110.00，Y=36478060.00，Z=+645m），倾角25°，斜长1053m，落平于+200m水平，与+200m水平东运输大巷连通，担负开丰井田内二采区的辅助进风及安全出口任务。</w:t>
      </w:r>
    </w:p>
    <w:p>
      <w:pPr>
        <w:spacing w:line="360" w:lineRule="auto"/>
        <w:ind w:firstLine="480" w:firstLineChars="200"/>
        <w:rPr>
          <w:rFonts w:hAnsi="Times New Roman" w:eastAsia="宋体"/>
          <w:lang w:eastAsia="zh-CN"/>
        </w:rPr>
      </w:pPr>
      <w:r>
        <w:rPr>
          <w:rFonts w:hint="eastAsia" w:hAnsi="Times New Roman" w:eastAsia="宋体"/>
          <w:lang w:eastAsia="zh-CN"/>
        </w:rPr>
        <w:t>改造利用+379m主平硐内约1150m 处沿K</w:t>
      </w:r>
      <w:r>
        <w:rPr>
          <w:rFonts w:hint="eastAsia" w:hAnsi="Times New Roman" w:eastAsia="宋体"/>
          <w:vertAlign w:val="subscript"/>
          <w:lang w:eastAsia="zh-CN"/>
        </w:rPr>
        <w:t>5</w:t>
      </w:r>
      <w:r>
        <w:rPr>
          <w:rFonts w:hint="eastAsia" w:hAnsi="Times New Roman" w:eastAsia="宋体"/>
          <w:lang w:eastAsia="zh-CN"/>
        </w:rPr>
        <w:t>煤层底板布置的副暗斜井，作为矿井扩建后的主暗斜井，在其中安设带式输送机和架空乘人装置，担负全矿井煤炭运输及运送人员上下班和进风、敷设管线等任务；利用现有的主暗斜井作为矿井扩建后的副暗斜井，敷设有22kg/m轨道，担负矿井矸石、材料、设备等辅助提升运输任务；利用现有的+200m水平中央变电所及水泵房、主副水仓、避难硐室、消防材料等主要硐室，能满足矿井扩建后的要求。</w:t>
      </w:r>
    </w:p>
    <w:p>
      <w:pPr>
        <w:spacing w:line="360" w:lineRule="auto"/>
        <w:ind w:firstLine="480" w:firstLineChars="200"/>
        <w:rPr>
          <w:rFonts w:hAnsi="Times New Roman" w:eastAsia="宋体"/>
          <w:lang w:eastAsia="zh-CN"/>
        </w:rPr>
      </w:pPr>
      <w:r>
        <w:rPr>
          <w:rFonts w:hint="eastAsia" w:hAnsi="Times New Roman" w:eastAsia="宋体"/>
          <w:lang w:eastAsia="zh-CN"/>
        </w:rPr>
        <w:t>矿井扩建投产时（开丰井田一采区生产时），布置3个井筒：+379m主平硐、+411m进风平硐、+572m回风平硐；其余井筒暂不启用，予以封闭。开丰井田二采区生产时，布置3个井筒：+379m主平硐、+645m东进风斜井、+572m回风平硐，封闭报废+411m进风平硐。长田井田内三采区生产时，布置3个井筒：+379m主平硐、+548m进风斜井、+548m回风平硐，封闭报废+645m东进风斜井、+572m回风平硐。</w:t>
      </w:r>
    </w:p>
    <w:p>
      <w:pPr>
        <w:spacing w:line="360" w:lineRule="auto"/>
        <w:ind w:firstLine="480" w:firstLineChars="200"/>
        <w:rPr>
          <w:rFonts w:hAnsi="Times New Roman" w:eastAsia="宋体"/>
          <w:lang w:eastAsia="zh-CN"/>
        </w:rPr>
      </w:pPr>
      <w:r>
        <w:rPr>
          <w:rFonts w:hAnsi="Times New Roman" w:eastAsia="宋体"/>
          <w:lang w:eastAsia="zh-CN"/>
        </w:rPr>
        <w:t>（2）水平划分及采区</w:t>
      </w:r>
    </w:p>
    <w:p>
      <w:pPr>
        <w:spacing w:line="360" w:lineRule="auto"/>
        <w:ind w:firstLine="480" w:firstLineChars="200"/>
        <w:rPr>
          <w:rFonts w:hAnsi="Times New Roman" w:eastAsia="宋体"/>
          <w:lang w:eastAsia="zh-CN"/>
        </w:rPr>
      </w:pPr>
      <w:r>
        <w:rPr>
          <w:rFonts w:hAnsi="Times New Roman" w:eastAsia="宋体"/>
          <w:lang w:eastAsia="zh-CN"/>
        </w:rPr>
        <w:t>本次扩建全矿共划分为+200m一个水平，上下山开采。</w:t>
      </w:r>
    </w:p>
    <w:p>
      <w:pPr>
        <w:spacing w:line="360" w:lineRule="auto"/>
        <w:ind w:firstLine="480" w:firstLineChars="200"/>
        <w:rPr>
          <w:rFonts w:hAnsi="Times New Roman" w:eastAsia="宋体"/>
          <w:lang w:eastAsia="zh-CN"/>
        </w:rPr>
      </w:pPr>
      <w:r>
        <w:rPr>
          <w:rFonts w:hAnsi="Times New Roman" w:eastAsia="宋体"/>
          <w:lang w:eastAsia="zh-CN"/>
        </w:rPr>
        <w:t>矿井划分为</w:t>
      </w:r>
      <w:r>
        <w:rPr>
          <w:rFonts w:hint="eastAsia" w:hAnsi="Times New Roman" w:eastAsia="宋体"/>
          <w:lang w:eastAsia="zh-CN"/>
        </w:rPr>
        <w:t>3</w:t>
      </w:r>
      <w:r>
        <w:rPr>
          <w:rFonts w:hAnsi="Times New Roman" w:eastAsia="宋体"/>
          <w:lang w:eastAsia="zh-CN"/>
        </w:rPr>
        <w:t>个采区，其中</w:t>
      </w:r>
      <w:r>
        <w:rPr>
          <w:rFonts w:hint="eastAsia" w:hAnsi="Times New Roman" w:eastAsia="宋体"/>
          <w:lang w:eastAsia="zh-CN"/>
        </w:rPr>
        <w:t>开丰</w:t>
      </w:r>
      <w:r>
        <w:rPr>
          <w:rFonts w:hAnsi="Times New Roman" w:eastAsia="宋体"/>
          <w:lang w:eastAsia="zh-CN"/>
        </w:rPr>
        <w:t>井田</w:t>
      </w:r>
      <w:r>
        <w:rPr>
          <w:rFonts w:hint="eastAsia" w:hAnsi="Times New Roman" w:eastAsia="宋体"/>
          <w:lang w:eastAsia="zh-CN"/>
        </w:rPr>
        <w:t>2</w:t>
      </w:r>
      <w:r>
        <w:rPr>
          <w:rFonts w:hAnsi="Times New Roman" w:eastAsia="宋体"/>
          <w:lang w:eastAsia="zh-CN"/>
        </w:rPr>
        <w:t>个采区（一、</w:t>
      </w:r>
      <w:r>
        <w:rPr>
          <w:rFonts w:hint="eastAsia" w:hAnsi="Times New Roman" w:eastAsia="宋体"/>
          <w:lang w:eastAsia="zh-CN"/>
        </w:rPr>
        <w:t>二</w:t>
      </w:r>
      <w:r>
        <w:rPr>
          <w:rFonts w:hAnsi="Times New Roman" w:eastAsia="宋体"/>
          <w:lang w:eastAsia="zh-CN"/>
        </w:rPr>
        <w:t>采区），</w:t>
      </w:r>
      <w:r>
        <w:rPr>
          <w:rFonts w:hint="eastAsia" w:hAnsi="Times New Roman" w:eastAsia="宋体"/>
          <w:lang w:eastAsia="zh-CN"/>
        </w:rPr>
        <w:t>长田</w:t>
      </w:r>
      <w:r>
        <w:rPr>
          <w:rFonts w:hAnsi="Times New Roman" w:eastAsia="宋体"/>
          <w:lang w:eastAsia="zh-CN"/>
        </w:rPr>
        <w:t>井田</w:t>
      </w:r>
      <w:r>
        <w:rPr>
          <w:rFonts w:hint="eastAsia" w:hAnsi="Times New Roman" w:eastAsia="宋体"/>
          <w:lang w:eastAsia="zh-CN"/>
        </w:rPr>
        <w:t>1</w:t>
      </w:r>
      <w:r>
        <w:rPr>
          <w:rFonts w:hAnsi="Times New Roman" w:eastAsia="宋体"/>
          <w:lang w:eastAsia="zh-CN"/>
        </w:rPr>
        <w:t>个采区（</w:t>
      </w:r>
      <w:r>
        <w:rPr>
          <w:rFonts w:hint="eastAsia" w:hAnsi="Times New Roman" w:eastAsia="宋体"/>
          <w:lang w:eastAsia="zh-CN"/>
        </w:rPr>
        <w:t>三</w:t>
      </w:r>
      <w:r>
        <w:rPr>
          <w:rFonts w:hAnsi="Times New Roman" w:eastAsia="宋体"/>
          <w:lang w:eastAsia="zh-CN"/>
        </w:rPr>
        <w:t>采区）。</w:t>
      </w:r>
    </w:p>
    <w:p>
      <w:pPr>
        <w:spacing w:line="360" w:lineRule="auto"/>
        <w:ind w:firstLine="480" w:firstLineChars="200"/>
        <w:rPr>
          <w:rFonts w:hAnsi="Times New Roman" w:eastAsia="宋体"/>
          <w:lang w:eastAsia="zh-CN"/>
        </w:rPr>
      </w:pPr>
      <w:r>
        <w:rPr>
          <w:rFonts w:hAnsi="Times New Roman" w:eastAsia="宋体"/>
          <w:lang w:eastAsia="zh-CN"/>
        </w:rPr>
        <w:t>（3）开采顺序</w:t>
      </w:r>
    </w:p>
    <w:p>
      <w:pPr>
        <w:spacing w:line="360" w:lineRule="auto"/>
        <w:ind w:firstLine="480" w:firstLineChars="200"/>
        <w:rPr>
          <w:rFonts w:hAnsi="Times New Roman" w:eastAsia="宋体"/>
          <w:lang w:eastAsia="zh-CN"/>
        </w:rPr>
      </w:pPr>
      <w:r>
        <w:rPr>
          <w:rFonts w:hint="eastAsia" w:hAnsi="Times New Roman" w:eastAsia="宋体"/>
          <w:lang w:eastAsia="zh-CN"/>
        </w:rPr>
        <w:t>采区开采顺序为：一采区→二采区→三采区。</w:t>
      </w:r>
    </w:p>
    <w:p>
      <w:pPr>
        <w:spacing w:line="360" w:lineRule="auto"/>
        <w:ind w:firstLine="480" w:firstLineChars="200"/>
        <w:rPr>
          <w:rFonts w:hAnsi="Times New Roman" w:eastAsia="宋体"/>
          <w:lang w:eastAsia="zh-CN"/>
        </w:rPr>
      </w:pPr>
      <w:r>
        <w:rPr>
          <w:rFonts w:hint="eastAsia" w:hAnsi="Times New Roman" w:eastAsia="宋体"/>
          <w:lang w:eastAsia="zh-CN"/>
        </w:rPr>
        <w:t>采区内区段开采顺序为由高到低，先采上区段，后采下区段；回采工作面开采方式为后退式，由采区边界向采区上山方向回采。</w:t>
      </w:r>
    </w:p>
    <w:p>
      <w:pPr>
        <w:spacing w:line="360" w:lineRule="auto"/>
        <w:ind w:firstLine="480" w:firstLineChars="200"/>
        <w:rPr>
          <w:rFonts w:hAnsi="Times New Roman" w:eastAsia="宋体"/>
          <w:lang w:eastAsia="zh-CN"/>
        </w:rPr>
      </w:pPr>
      <w:r>
        <w:rPr>
          <w:rFonts w:hint="eastAsia" w:hAnsi="Times New Roman" w:eastAsia="宋体"/>
          <w:lang w:eastAsia="zh-CN"/>
        </w:rPr>
        <w:t>K</w:t>
      </w:r>
      <w:r>
        <w:rPr>
          <w:rFonts w:hAnsi="Times New Roman" w:eastAsia="宋体"/>
          <w:vertAlign w:val="subscript"/>
          <w:lang w:eastAsia="zh-CN"/>
        </w:rPr>
        <w:t>6</w:t>
      </w:r>
      <w:r>
        <w:rPr>
          <w:rFonts w:hint="eastAsia" w:hAnsi="Times New Roman" w:eastAsia="宋体"/>
          <w:lang w:eastAsia="zh-CN"/>
        </w:rPr>
        <w:t>、K</w:t>
      </w:r>
      <w:r>
        <w:rPr>
          <w:rFonts w:hAnsi="Times New Roman" w:eastAsia="宋体"/>
          <w:vertAlign w:val="subscript"/>
          <w:lang w:eastAsia="zh-CN"/>
        </w:rPr>
        <w:t>5-1</w:t>
      </w:r>
      <w:r>
        <w:rPr>
          <w:rFonts w:hint="eastAsia" w:hAnsi="Times New Roman" w:eastAsia="宋体"/>
          <w:lang w:eastAsia="zh-CN"/>
        </w:rPr>
        <w:t>、K</w:t>
      </w:r>
      <w:r>
        <w:rPr>
          <w:rFonts w:hAnsi="Times New Roman" w:eastAsia="宋体"/>
          <w:vertAlign w:val="subscript"/>
          <w:lang w:eastAsia="zh-CN"/>
        </w:rPr>
        <w:t>5</w:t>
      </w:r>
      <w:r>
        <w:rPr>
          <w:rFonts w:hint="eastAsia" w:hAnsi="Times New Roman" w:eastAsia="宋体"/>
          <w:lang w:eastAsia="zh-CN"/>
        </w:rPr>
        <w:t>煤层属近距离煤层，各可采煤层采用联合布置，采区内煤层开采顺序为先采上层后采下层。</w:t>
      </w:r>
    </w:p>
    <w:p>
      <w:pPr>
        <w:spacing w:line="360" w:lineRule="auto"/>
        <w:ind w:firstLine="480" w:firstLineChars="200"/>
        <w:rPr>
          <w:rFonts w:hAnsi="Times New Roman" w:eastAsia="宋体"/>
          <w:lang w:eastAsia="zh-CN"/>
        </w:rPr>
      </w:pPr>
      <w:r>
        <w:rPr>
          <w:rFonts w:hAnsi="Times New Roman" w:eastAsia="宋体"/>
          <w:lang w:eastAsia="zh-CN"/>
        </w:rPr>
        <w:t>（4）主要巷道布置</w:t>
      </w:r>
    </w:p>
    <w:p>
      <w:pPr>
        <w:spacing w:line="360" w:lineRule="auto"/>
        <w:ind w:firstLine="480" w:firstLineChars="200"/>
        <w:rPr>
          <w:rFonts w:hAnsi="Times New Roman" w:eastAsia="宋体"/>
          <w:lang w:eastAsia="zh-CN"/>
        </w:rPr>
      </w:pPr>
      <w:r>
        <w:rPr>
          <w:rFonts w:hint="eastAsia" w:hAnsi="Times New Roman" w:eastAsia="宋体"/>
          <w:lang w:eastAsia="zh-CN"/>
        </w:rPr>
        <w:t>矿井扩建前，+200m水平运输大巷布置在K</w:t>
      </w:r>
      <w:r>
        <w:rPr>
          <w:rFonts w:hint="eastAsia" w:hAnsi="Times New Roman" w:eastAsia="宋体"/>
          <w:vertAlign w:val="subscript"/>
          <w:lang w:eastAsia="zh-CN"/>
        </w:rPr>
        <w:t>5</w:t>
      </w:r>
      <w:r>
        <w:rPr>
          <w:rFonts w:hint="eastAsia" w:hAnsi="Times New Roman" w:eastAsia="宋体"/>
          <w:lang w:eastAsia="zh-CN"/>
        </w:rPr>
        <w:t>煤层底板距K</w:t>
      </w:r>
      <w:r>
        <w:rPr>
          <w:rFonts w:hint="eastAsia" w:hAnsi="Times New Roman" w:eastAsia="宋体"/>
          <w:vertAlign w:val="subscript"/>
          <w:lang w:eastAsia="zh-CN"/>
        </w:rPr>
        <w:t>5</w:t>
      </w:r>
      <w:r>
        <w:rPr>
          <w:rFonts w:hint="eastAsia" w:hAnsi="Times New Roman" w:eastAsia="宋体"/>
          <w:lang w:eastAsia="zh-CN"/>
        </w:rPr>
        <w:t>煤层法向距离约40m砂岩中，开丰井田内+411m回风大巷布置在K</w:t>
      </w:r>
      <w:r>
        <w:rPr>
          <w:rFonts w:hint="eastAsia" w:hAnsi="Times New Roman" w:eastAsia="宋体"/>
          <w:vertAlign w:val="subscript"/>
          <w:lang w:eastAsia="zh-CN"/>
        </w:rPr>
        <w:t>5</w:t>
      </w:r>
      <w:r>
        <w:rPr>
          <w:rFonts w:hint="eastAsia" w:hAnsi="Times New Roman" w:eastAsia="宋体"/>
          <w:lang w:eastAsia="zh-CN"/>
        </w:rPr>
        <w:t>煤层顶板距K</w:t>
      </w:r>
      <w:r>
        <w:rPr>
          <w:rFonts w:hint="eastAsia" w:hAnsi="Times New Roman" w:eastAsia="宋体"/>
          <w:vertAlign w:val="subscript"/>
          <w:lang w:eastAsia="zh-CN"/>
        </w:rPr>
        <w:t>5</w:t>
      </w:r>
      <w:r>
        <w:rPr>
          <w:rFonts w:hint="eastAsia" w:hAnsi="Times New Roman" w:eastAsia="宋体"/>
          <w:lang w:eastAsia="zh-CN"/>
        </w:rPr>
        <w:t>煤层法向距离约20m的砂岩中，长田井田内+380m回风大巷布置在K</w:t>
      </w:r>
      <w:r>
        <w:rPr>
          <w:rFonts w:hint="eastAsia" w:hAnsi="Times New Roman" w:eastAsia="宋体"/>
          <w:vertAlign w:val="subscript"/>
          <w:lang w:eastAsia="zh-CN"/>
        </w:rPr>
        <w:t>5</w:t>
      </w:r>
      <w:r>
        <w:rPr>
          <w:rFonts w:hint="eastAsia" w:hAnsi="Times New Roman" w:eastAsia="宋体"/>
          <w:lang w:eastAsia="zh-CN"/>
        </w:rPr>
        <w:t>煤层底板距K</w:t>
      </w:r>
      <w:r>
        <w:rPr>
          <w:rFonts w:hint="eastAsia" w:hAnsi="Times New Roman" w:eastAsia="宋体"/>
          <w:vertAlign w:val="subscript"/>
          <w:lang w:eastAsia="zh-CN"/>
        </w:rPr>
        <w:t>5</w:t>
      </w:r>
      <w:r>
        <w:rPr>
          <w:rFonts w:hint="eastAsia" w:hAnsi="Times New Roman" w:eastAsia="宋体"/>
          <w:lang w:eastAsia="zh-CN"/>
        </w:rPr>
        <w:t>煤层法向距离约30m的砂岩中。</w:t>
      </w:r>
    </w:p>
    <w:p>
      <w:pPr>
        <w:spacing w:line="360" w:lineRule="auto"/>
        <w:ind w:firstLine="480" w:firstLineChars="200"/>
        <w:rPr>
          <w:rFonts w:eastAsiaTheme="minorEastAsia"/>
          <w:lang w:eastAsia="zh-CN"/>
        </w:rPr>
      </w:pPr>
      <w:r>
        <w:rPr>
          <w:rFonts w:hint="eastAsia" w:hAnsi="Times New Roman" w:eastAsia="宋体"/>
          <w:lang w:eastAsia="zh-CN"/>
        </w:rPr>
        <w:t>为减少煤柱损失，充分利用现有大巷，本次扩建后将+200m水平运输大巷仍布置在K</w:t>
      </w:r>
      <w:r>
        <w:rPr>
          <w:rFonts w:hint="eastAsia" w:hAnsi="Times New Roman" w:eastAsia="宋体"/>
          <w:vertAlign w:val="subscript"/>
          <w:lang w:eastAsia="zh-CN"/>
        </w:rPr>
        <w:t>5</w:t>
      </w:r>
      <w:r>
        <w:rPr>
          <w:rFonts w:hint="eastAsia" w:hAnsi="Times New Roman" w:eastAsia="宋体"/>
          <w:lang w:eastAsia="zh-CN"/>
        </w:rPr>
        <w:t>煤层底板距K</w:t>
      </w:r>
      <w:r>
        <w:rPr>
          <w:rFonts w:hint="eastAsia" w:hAnsi="Times New Roman" w:eastAsia="宋体"/>
          <w:vertAlign w:val="subscript"/>
          <w:lang w:eastAsia="zh-CN"/>
        </w:rPr>
        <w:t>5</w:t>
      </w:r>
      <w:r>
        <w:rPr>
          <w:rFonts w:hint="eastAsia" w:hAnsi="Times New Roman" w:eastAsia="宋体"/>
          <w:lang w:eastAsia="zh-CN"/>
        </w:rPr>
        <w:t>煤层法向距离约40m砂岩中，开丰井田内+411m回风大巷仍布置在K</w:t>
      </w:r>
      <w:r>
        <w:rPr>
          <w:rFonts w:hint="eastAsia" w:hAnsi="Times New Roman" w:eastAsia="宋体"/>
          <w:vertAlign w:val="subscript"/>
          <w:lang w:eastAsia="zh-CN"/>
        </w:rPr>
        <w:t>5</w:t>
      </w:r>
      <w:r>
        <w:rPr>
          <w:rFonts w:hint="eastAsia" w:hAnsi="Times New Roman" w:eastAsia="宋体"/>
          <w:lang w:eastAsia="zh-CN"/>
        </w:rPr>
        <w:t>煤层顶板距K</w:t>
      </w:r>
      <w:r>
        <w:rPr>
          <w:rFonts w:hint="eastAsia" w:hAnsi="Times New Roman" w:eastAsia="宋体"/>
          <w:vertAlign w:val="subscript"/>
          <w:lang w:eastAsia="zh-CN"/>
        </w:rPr>
        <w:t>5</w:t>
      </w:r>
      <w:r>
        <w:rPr>
          <w:rFonts w:hint="eastAsia" w:hAnsi="Times New Roman" w:eastAsia="宋体"/>
          <w:lang w:eastAsia="zh-CN"/>
        </w:rPr>
        <w:t>煤层法向距离约20m的砂岩中，长田井田内+380m回风大巷仍布置在K</w:t>
      </w:r>
      <w:r>
        <w:rPr>
          <w:rFonts w:hint="eastAsia" w:hAnsi="Times New Roman" w:eastAsia="宋体"/>
          <w:vertAlign w:val="subscript"/>
          <w:lang w:eastAsia="zh-CN"/>
        </w:rPr>
        <w:t>5</w:t>
      </w:r>
      <w:r>
        <w:rPr>
          <w:rFonts w:hint="eastAsia" w:hAnsi="Times New Roman" w:eastAsia="宋体"/>
          <w:lang w:eastAsia="zh-CN"/>
        </w:rPr>
        <w:t>煤层底板距K</w:t>
      </w:r>
      <w:r>
        <w:rPr>
          <w:rFonts w:hint="eastAsia" w:hAnsi="Times New Roman" w:eastAsia="宋体"/>
          <w:vertAlign w:val="subscript"/>
          <w:lang w:eastAsia="zh-CN"/>
        </w:rPr>
        <w:t>5</w:t>
      </w:r>
      <w:r>
        <w:rPr>
          <w:rFonts w:hint="eastAsia" w:hAnsi="Times New Roman" w:eastAsia="宋体"/>
          <w:lang w:eastAsia="zh-CN"/>
        </w:rPr>
        <w:t>煤层法向距离约30m的砂岩中。水平运输大巷主要担负各采区进风和水平所有运输任务，设计水平运输大巷采用“机轨合一”方式布置，煤炭采用带式输送机运输，矸石、材料、设备采用轨道运输。</w:t>
      </w:r>
    </w:p>
    <w:p>
      <w:pPr>
        <w:spacing w:line="360" w:lineRule="auto"/>
        <w:ind w:firstLine="480" w:firstLineChars="200"/>
        <w:rPr>
          <w:rFonts w:hAnsi="Times New Roman" w:eastAsia="宋体"/>
          <w:lang w:eastAsia="zh-CN"/>
        </w:rPr>
      </w:pPr>
      <w:r>
        <w:rPr>
          <w:rFonts w:hAnsi="Times New Roman" w:eastAsia="宋体"/>
          <w:lang w:eastAsia="zh-CN"/>
        </w:rPr>
        <w:t>（5）井筒</w:t>
      </w:r>
    </w:p>
    <w:p>
      <w:pPr>
        <w:spacing w:line="360" w:lineRule="auto"/>
        <w:ind w:firstLine="480" w:firstLineChars="200"/>
        <w:rPr>
          <w:rFonts w:hAnsi="Times New Roman" w:eastAsia="宋体"/>
          <w:lang w:eastAsia="zh-CN"/>
        </w:rPr>
      </w:pPr>
      <w:r>
        <w:rPr>
          <w:rFonts w:hint="eastAsia" w:hAnsi="Times New Roman" w:eastAsia="宋体"/>
          <w:lang w:eastAsia="zh-CN"/>
        </w:rPr>
        <w:t>矿井共布置6个通往地面的井筒和2个暗斜井，即：+379m主平硐、+411m进风平硐、+645m东进风斜井、+548m进风斜井、+572m回风平硐、+548m回风平硐和主、副暗斜井。</w:t>
      </w:r>
    </w:p>
    <w:p>
      <w:pPr>
        <w:spacing w:line="360" w:lineRule="auto"/>
        <w:ind w:firstLine="480" w:firstLineChars="200"/>
        <w:rPr>
          <w:rFonts w:hAnsi="Times New Roman" w:eastAsia="宋体"/>
          <w:lang w:eastAsia="zh-CN"/>
        </w:rPr>
      </w:pPr>
      <w:r>
        <w:rPr>
          <w:rFonts w:hint="eastAsia" w:hAnsi="Times New Roman" w:eastAsia="宋体"/>
          <w:lang w:eastAsia="zh-CN"/>
        </w:rPr>
        <w:t>1）+379m</w:t>
      </w:r>
      <w:r>
        <w:rPr>
          <w:rFonts w:hAnsi="Times New Roman" w:eastAsia="宋体"/>
          <w:lang w:eastAsia="zh-CN"/>
        </w:rPr>
        <w:t>主</w:t>
      </w:r>
      <w:r>
        <w:rPr>
          <w:rFonts w:hint="eastAsia" w:hAnsi="Times New Roman" w:eastAsia="宋体"/>
          <w:lang w:eastAsia="zh-CN"/>
        </w:rPr>
        <w:t>平硐（改造利用）</w:t>
      </w:r>
    </w:p>
    <w:p>
      <w:pPr>
        <w:spacing w:line="360" w:lineRule="auto"/>
        <w:ind w:firstLine="480" w:firstLineChars="200"/>
        <w:rPr>
          <w:rFonts w:hAnsi="Times New Roman" w:eastAsia="宋体"/>
          <w:lang w:eastAsia="zh-CN"/>
        </w:rPr>
      </w:pPr>
      <w:r>
        <w:rPr>
          <w:rFonts w:hint="eastAsia" w:hAnsi="Times New Roman" w:eastAsia="宋体"/>
          <w:lang w:eastAsia="zh-CN"/>
        </w:rPr>
        <w:t>利用+379m主平硐作为矿井扩建后的主平硐（X=3452926，Y=36474559，Z=+379m），井筒为半圆拱形断面，净宽4.6m，净高3.7m，净断面积14.8m2，井筒内安设带式输送机和铺设22kg/m的钢轨，担负全矿井煤炭、矸石、材料、设备运输和进风、行人、排水及管线敷设等任务。</w:t>
      </w:r>
    </w:p>
    <w:p>
      <w:pPr>
        <w:spacing w:line="360" w:lineRule="auto"/>
        <w:ind w:firstLine="480" w:firstLineChars="200"/>
        <w:rPr>
          <w:rFonts w:hAnsi="Times New Roman" w:eastAsia="宋体"/>
          <w:lang w:eastAsia="zh-CN"/>
        </w:rPr>
      </w:pPr>
      <w:r>
        <w:rPr>
          <w:rFonts w:hint="eastAsia" w:hAnsi="Times New Roman" w:eastAsia="宋体"/>
          <w:lang w:eastAsia="zh-CN"/>
        </w:rPr>
        <w:t>2）+</w:t>
      </w:r>
      <w:r>
        <w:rPr>
          <w:rFonts w:hAnsi="Times New Roman" w:eastAsia="宋体"/>
          <w:lang w:eastAsia="zh-CN"/>
        </w:rPr>
        <w:t>411</w:t>
      </w:r>
      <w:r>
        <w:rPr>
          <w:rFonts w:hint="eastAsia" w:hAnsi="Times New Roman" w:eastAsia="宋体"/>
          <w:lang w:eastAsia="zh-CN"/>
        </w:rPr>
        <w:t>m进风平硐</w:t>
      </w:r>
      <w:r>
        <w:rPr>
          <w:rFonts w:hAnsi="Times New Roman" w:eastAsia="宋体"/>
          <w:lang w:eastAsia="zh-CN"/>
        </w:rPr>
        <w:t>（</w:t>
      </w:r>
      <w:r>
        <w:rPr>
          <w:rFonts w:hint="eastAsia" w:hAnsi="Times New Roman" w:eastAsia="宋体"/>
          <w:lang w:eastAsia="zh-CN"/>
        </w:rPr>
        <w:t>利用</w:t>
      </w:r>
      <w:r>
        <w:rPr>
          <w:rFonts w:hAnsi="Times New Roman" w:eastAsia="宋体"/>
          <w:lang w:eastAsia="zh-CN"/>
        </w:rPr>
        <w:t>）</w:t>
      </w:r>
    </w:p>
    <w:p>
      <w:pPr>
        <w:spacing w:line="360" w:lineRule="auto"/>
        <w:ind w:firstLine="480" w:firstLineChars="200"/>
        <w:rPr>
          <w:rFonts w:hAnsi="Times New Roman" w:eastAsia="宋体"/>
          <w:lang w:eastAsia="zh-CN"/>
        </w:rPr>
      </w:pPr>
      <w:r>
        <w:rPr>
          <w:rFonts w:hint="eastAsia" w:hAnsi="Times New Roman" w:eastAsia="宋体"/>
          <w:lang w:eastAsia="zh-CN"/>
        </w:rPr>
        <w:t>利用开丰井田东翼边界+411m副平硐作为扩建后的进风平硐（X=3452687，Y=36475723，Z=+411m），井筒为半圆拱形断面，净宽3.0m，净高3.0m，净断面积8.0m2，担负开丰井田内一采区的辅助进风及安全出口任务。</w:t>
      </w:r>
    </w:p>
    <w:p>
      <w:pPr>
        <w:spacing w:line="360" w:lineRule="auto"/>
        <w:ind w:firstLine="480" w:firstLineChars="200"/>
        <w:rPr>
          <w:rFonts w:hAnsi="Times New Roman" w:eastAsia="宋体"/>
          <w:lang w:eastAsia="zh-CN"/>
        </w:rPr>
      </w:pPr>
      <w:r>
        <w:rPr>
          <w:rFonts w:hint="eastAsia" w:hAnsi="Times New Roman" w:eastAsia="宋体"/>
          <w:lang w:eastAsia="zh-CN"/>
        </w:rPr>
        <w:t>3）+645m东进风斜井（利用）</w:t>
      </w:r>
    </w:p>
    <w:p>
      <w:pPr>
        <w:spacing w:line="360" w:lineRule="auto"/>
        <w:ind w:firstLine="480" w:firstLineChars="200"/>
        <w:rPr>
          <w:rFonts w:hAnsi="Times New Roman" w:eastAsia="宋体"/>
          <w:lang w:eastAsia="zh-CN"/>
        </w:rPr>
      </w:pPr>
      <w:r>
        <w:rPr>
          <w:rFonts w:hint="eastAsia" w:hAnsi="Times New Roman" w:eastAsia="宋体"/>
          <w:lang w:eastAsia="zh-CN"/>
        </w:rPr>
        <w:t>利用开丰井田+645m东进风斜井（X=3454110.00，Y=36478060.00，Z=+645m），井筒为半圆拱形断面，净宽3.0m，净高3.0m，净断面积8.0m2，担负开丰井田内二采区的辅助进风及安全出口任务。</w:t>
      </w:r>
    </w:p>
    <w:p>
      <w:pPr>
        <w:spacing w:line="360" w:lineRule="auto"/>
        <w:ind w:firstLine="480" w:firstLineChars="200"/>
        <w:rPr>
          <w:rFonts w:hAnsi="Times New Roman" w:eastAsia="宋体"/>
          <w:lang w:eastAsia="zh-CN"/>
        </w:rPr>
      </w:pPr>
      <w:r>
        <w:rPr>
          <w:rFonts w:hint="eastAsia" w:hAnsi="Times New Roman" w:eastAsia="宋体"/>
          <w:lang w:eastAsia="zh-CN"/>
        </w:rPr>
        <w:t>4）+548m进风斜井（利用）</w:t>
      </w:r>
    </w:p>
    <w:p>
      <w:pPr>
        <w:spacing w:line="360" w:lineRule="auto"/>
        <w:ind w:firstLine="480" w:firstLineChars="200"/>
        <w:rPr>
          <w:rFonts w:hAnsi="Times New Roman" w:eastAsia="宋体"/>
          <w:lang w:eastAsia="zh-CN"/>
        </w:rPr>
      </w:pPr>
      <w:r>
        <w:rPr>
          <w:rFonts w:hint="eastAsia" w:hAnsi="Times New Roman" w:eastAsia="宋体"/>
          <w:lang w:eastAsia="zh-CN"/>
        </w:rPr>
        <w:t>利用+548m进风斜井作为长田井田三采区的进风斜井（X=3451947.00，Y=36475613.00，Z=+548m），担负长田井田内三采区的进风兼安全出口等任务，井筒为半圆拱形断面，净宽3.0m，净高3.0m，净断面积8.0m2，担负长田井田内三采区的进风兼安全出口等任务。</w:t>
      </w:r>
    </w:p>
    <w:p>
      <w:pPr>
        <w:spacing w:line="360" w:lineRule="auto"/>
        <w:ind w:firstLine="480" w:firstLineChars="200"/>
        <w:rPr>
          <w:rFonts w:hAnsi="Times New Roman" w:eastAsia="宋体"/>
          <w:lang w:eastAsia="zh-CN"/>
        </w:rPr>
      </w:pPr>
      <w:r>
        <w:rPr>
          <w:rFonts w:hint="eastAsia" w:hAnsi="Times New Roman" w:eastAsia="宋体"/>
          <w:lang w:eastAsia="zh-CN"/>
        </w:rPr>
        <w:t>5）+572m回风平硐（利用）</w:t>
      </w:r>
    </w:p>
    <w:p>
      <w:pPr>
        <w:spacing w:line="360" w:lineRule="auto"/>
        <w:ind w:firstLine="480" w:firstLineChars="200"/>
        <w:rPr>
          <w:rFonts w:hAnsi="Times New Roman" w:eastAsia="宋体"/>
          <w:lang w:eastAsia="zh-CN"/>
        </w:rPr>
      </w:pPr>
      <w:r>
        <w:rPr>
          <w:rFonts w:hint="eastAsia" w:hAnsi="Times New Roman" w:eastAsia="宋体"/>
          <w:lang w:eastAsia="zh-CN"/>
        </w:rPr>
        <w:t>利用开丰井田东翼+572m回风平硐（X=3453022，Y=36476125，Z=+572m）作为扩建后开丰井田内一、二采区的回风井，井筒为半圆拱形断面，净宽3.0m，净高3.0m，净断面积8.0m2，担负矿井一、二采区的回风及紧急情况下的安全出口任务。</w:t>
      </w:r>
    </w:p>
    <w:p>
      <w:pPr>
        <w:spacing w:line="360" w:lineRule="auto"/>
        <w:ind w:firstLine="480" w:firstLineChars="200"/>
        <w:rPr>
          <w:rFonts w:hAnsi="Times New Roman" w:eastAsia="宋体"/>
          <w:lang w:eastAsia="zh-CN"/>
        </w:rPr>
      </w:pPr>
      <w:r>
        <w:rPr>
          <w:rFonts w:hint="eastAsia" w:hAnsi="Times New Roman" w:eastAsia="宋体"/>
          <w:lang w:eastAsia="zh-CN"/>
        </w:rPr>
        <w:t>6）+548m回风平硐（利用）</w:t>
      </w:r>
    </w:p>
    <w:p>
      <w:pPr>
        <w:spacing w:line="360" w:lineRule="auto"/>
        <w:ind w:firstLine="480" w:firstLineChars="200"/>
        <w:rPr>
          <w:rFonts w:hAnsi="Times New Roman" w:eastAsia="宋体"/>
          <w:lang w:eastAsia="zh-CN"/>
        </w:rPr>
      </w:pPr>
      <w:r>
        <w:rPr>
          <w:rFonts w:hint="eastAsia" w:hAnsi="Times New Roman" w:eastAsia="宋体"/>
          <w:lang w:eastAsia="zh-CN"/>
        </w:rPr>
        <w:t>利用长田井田东翼边界+548m回风平硐作为扩建后长田井田三采区的回风井（X=3451891.67，Y=36475603.96，Z=+548m），井筒为半圆拱形断面，净宽3.0m，净高3.0m，净断面积8.0m2，担负矿井三采区的回风及紧急情况下的安全出口任务。</w:t>
      </w:r>
    </w:p>
    <w:p>
      <w:pPr>
        <w:spacing w:line="360" w:lineRule="auto"/>
        <w:ind w:firstLine="480" w:firstLineChars="200"/>
        <w:rPr>
          <w:rFonts w:hAnsi="Times New Roman" w:eastAsia="宋体"/>
          <w:lang w:eastAsia="zh-CN"/>
        </w:rPr>
      </w:pPr>
      <w:r>
        <w:rPr>
          <w:rFonts w:hint="eastAsia" w:hAnsi="Times New Roman" w:eastAsia="宋体"/>
          <w:lang w:eastAsia="zh-CN"/>
        </w:rPr>
        <w:t>在+379m主平硐内约 1150m处布置有主、副暗斜井，主暗斜井为三心拱形断面，净宽4.8m，净高3.017m，净断面积12.8m2，在主暗斜井内安设带式输送机和架空乘人装置，担负矿井煤炭运输及运送人员上下班和进风、敷设管线等任务。副暗斜井为半圆拱形断面，净宽3.5m，净高2.7m，净断面积7.4m2，在副暗斜井内敷设有22kg/m轨道，担负矿井矸石、材料、设备等辅助提升运输任务。</w:t>
      </w:r>
    </w:p>
    <w:p>
      <w:pPr>
        <w:spacing w:line="360" w:lineRule="auto"/>
        <w:ind w:firstLine="480" w:firstLineChars="200"/>
        <w:rPr>
          <w:rFonts w:hAnsi="Times New Roman" w:eastAsia="宋体"/>
          <w:lang w:eastAsia="zh-CN"/>
        </w:rPr>
      </w:pPr>
      <w:r>
        <w:rPr>
          <w:rFonts w:hAnsi="Times New Roman" w:eastAsia="宋体"/>
          <w:lang w:eastAsia="zh-CN"/>
        </w:rPr>
        <w:t>各井筒主要功能及特征参数见下表所示。</w:t>
      </w:r>
    </w:p>
    <w:p>
      <w:pPr>
        <w:spacing w:line="360" w:lineRule="auto"/>
        <w:ind w:firstLine="480" w:firstLineChars="200"/>
        <w:rPr>
          <w:rFonts w:hAnsi="Times New Roman" w:eastAsia="宋体"/>
          <w:lang w:eastAsia="zh-CN"/>
        </w:rPr>
        <w:sectPr>
          <w:headerReference r:id="rId8" w:type="default"/>
          <w:pgSz w:w="11906" w:h="16838"/>
          <w:pgMar w:top="1440" w:right="1304" w:bottom="1440" w:left="1474" w:header="851" w:footer="992" w:gutter="0"/>
          <w:cols w:space="425" w:num="1"/>
          <w:docGrid w:type="lines" w:linePitch="312" w:charSpace="0"/>
        </w:sectPr>
      </w:pP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表2.3-1 井筒特征表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6"/>
        <w:gridCol w:w="563"/>
        <w:gridCol w:w="729"/>
        <w:gridCol w:w="1659"/>
        <w:gridCol w:w="2268"/>
        <w:gridCol w:w="2524"/>
        <w:gridCol w:w="1815"/>
        <w:gridCol w:w="1815"/>
        <w:gridCol w:w="18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7" w:type="pct"/>
            <w:gridSpan w:val="2"/>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名称</w:t>
            </w:r>
          </w:p>
        </w:tc>
        <w:tc>
          <w:tcPr>
            <w:tcW w:w="257"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单位</w:t>
            </w:r>
          </w:p>
        </w:tc>
        <w:tc>
          <w:tcPr>
            <w:tcW w:w="585"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+379m主平硐</w:t>
            </w:r>
          </w:p>
        </w:tc>
        <w:tc>
          <w:tcPr>
            <w:tcW w:w="80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+411m进风平硐</w:t>
            </w:r>
          </w:p>
        </w:tc>
        <w:tc>
          <w:tcPr>
            <w:tcW w:w="89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+645m东进风斜井</w:t>
            </w:r>
          </w:p>
        </w:tc>
        <w:tc>
          <w:tcPr>
            <w:tcW w:w="64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+548m进风斜井</w:t>
            </w:r>
          </w:p>
        </w:tc>
        <w:tc>
          <w:tcPr>
            <w:tcW w:w="64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+572m回风平硐</w:t>
            </w:r>
          </w:p>
        </w:tc>
        <w:tc>
          <w:tcPr>
            <w:tcW w:w="64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+548m回风平硐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8" w:type="pct"/>
            <w:vMerge w:val="restar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井口</w:t>
            </w:r>
          </w:p>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坐标</w:t>
            </w:r>
          </w:p>
        </w:tc>
        <w:tc>
          <w:tcPr>
            <w:tcW w:w="199"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X</w:t>
            </w:r>
          </w:p>
        </w:tc>
        <w:tc>
          <w:tcPr>
            <w:tcW w:w="257"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m</w:t>
            </w:r>
          </w:p>
        </w:tc>
        <w:tc>
          <w:tcPr>
            <w:tcW w:w="585"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3452926</w:t>
            </w:r>
          </w:p>
        </w:tc>
        <w:tc>
          <w:tcPr>
            <w:tcW w:w="80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3452687</w:t>
            </w:r>
          </w:p>
        </w:tc>
        <w:tc>
          <w:tcPr>
            <w:tcW w:w="89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3454110.00</w:t>
            </w:r>
          </w:p>
        </w:tc>
        <w:tc>
          <w:tcPr>
            <w:tcW w:w="64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3451947.00</w:t>
            </w:r>
          </w:p>
        </w:tc>
        <w:tc>
          <w:tcPr>
            <w:tcW w:w="64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3453022</w:t>
            </w:r>
          </w:p>
        </w:tc>
        <w:tc>
          <w:tcPr>
            <w:tcW w:w="64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3451891.67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8" w:type="pct"/>
            <w:vMerge w:val="continue"/>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p>
        </w:tc>
        <w:tc>
          <w:tcPr>
            <w:tcW w:w="199"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Y</w:t>
            </w:r>
          </w:p>
        </w:tc>
        <w:tc>
          <w:tcPr>
            <w:tcW w:w="257"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m</w:t>
            </w:r>
          </w:p>
        </w:tc>
        <w:tc>
          <w:tcPr>
            <w:tcW w:w="585"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36474559</w:t>
            </w:r>
          </w:p>
        </w:tc>
        <w:tc>
          <w:tcPr>
            <w:tcW w:w="80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36475723</w:t>
            </w:r>
          </w:p>
        </w:tc>
        <w:tc>
          <w:tcPr>
            <w:tcW w:w="89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36478060.00</w:t>
            </w:r>
          </w:p>
        </w:tc>
        <w:tc>
          <w:tcPr>
            <w:tcW w:w="64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36475613.00</w:t>
            </w:r>
          </w:p>
        </w:tc>
        <w:tc>
          <w:tcPr>
            <w:tcW w:w="64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36476125</w:t>
            </w:r>
          </w:p>
        </w:tc>
        <w:tc>
          <w:tcPr>
            <w:tcW w:w="64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36475603.96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8" w:type="pct"/>
            <w:vMerge w:val="continue"/>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p>
        </w:tc>
        <w:tc>
          <w:tcPr>
            <w:tcW w:w="199"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Z</w:t>
            </w:r>
          </w:p>
        </w:tc>
        <w:tc>
          <w:tcPr>
            <w:tcW w:w="257"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m</w:t>
            </w:r>
          </w:p>
        </w:tc>
        <w:tc>
          <w:tcPr>
            <w:tcW w:w="585"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+379</w:t>
            </w:r>
          </w:p>
        </w:tc>
        <w:tc>
          <w:tcPr>
            <w:tcW w:w="80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+411</w:t>
            </w:r>
          </w:p>
        </w:tc>
        <w:tc>
          <w:tcPr>
            <w:tcW w:w="89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+645</w:t>
            </w:r>
          </w:p>
        </w:tc>
        <w:tc>
          <w:tcPr>
            <w:tcW w:w="64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+548</w:t>
            </w:r>
          </w:p>
        </w:tc>
        <w:tc>
          <w:tcPr>
            <w:tcW w:w="64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+572</w:t>
            </w:r>
          </w:p>
        </w:tc>
        <w:tc>
          <w:tcPr>
            <w:tcW w:w="64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+548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7" w:type="pct"/>
            <w:gridSpan w:val="2"/>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井筒长度</w:t>
            </w:r>
          </w:p>
        </w:tc>
        <w:tc>
          <w:tcPr>
            <w:tcW w:w="257"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m</w:t>
            </w:r>
          </w:p>
        </w:tc>
        <w:tc>
          <w:tcPr>
            <w:tcW w:w="585"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1150</w:t>
            </w:r>
          </w:p>
        </w:tc>
        <w:tc>
          <w:tcPr>
            <w:tcW w:w="80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505</w:t>
            </w:r>
          </w:p>
        </w:tc>
        <w:tc>
          <w:tcPr>
            <w:tcW w:w="89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1053</w:t>
            </w:r>
          </w:p>
        </w:tc>
        <w:tc>
          <w:tcPr>
            <w:tcW w:w="64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405</w:t>
            </w:r>
          </w:p>
        </w:tc>
        <w:tc>
          <w:tcPr>
            <w:tcW w:w="64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165</w:t>
            </w:r>
          </w:p>
        </w:tc>
        <w:tc>
          <w:tcPr>
            <w:tcW w:w="64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7" w:type="pct"/>
            <w:gridSpan w:val="2"/>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井筒坡度</w:t>
            </w:r>
          </w:p>
        </w:tc>
        <w:tc>
          <w:tcPr>
            <w:tcW w:w="257"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p>
        </w:tc>
        <w:tc>
          <w:tcPr>
            <w:tcW w:w="585"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3‰</w:t>
            </w:r>
          </w:p>
        </w:tc>
        <w:tc>
          <w:tcPr>
            <w:tcW w:w="80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3‰</w:t>
            </w:r>
          </w:p>
        </w:tc>
        <w:tc>
          <w:tcPr>
            <w:tcW w:w="89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 xml:space="preserve"> 25°</w:t>
            </w:r>
          </w:p>
        </w:tc>
        <w:tc>
          <w:tcPr>
            <w:tcW w:w="64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 xml:space="preserve"> 25°</w:t>
            </w:r>
          </w:p>
        </w:tc>
        <w:tc>
          <w:tcPr>
            <w:tcW w:w="64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3‰</w:t>
            </w:r>
          </w:p>
        </w:tc>
        <w:tc>
          <w:tcPr>
            <w:tcW w:w="64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7" w:type="pct"/>
            <w:gridSpan w:val="2"/>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断面形状</w:t>
            </w:r>
          </w:p>
        </w:tc>
        <w:tc>
          <w:tcPr>
            <w:tcW w:w="257"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585"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半圆拱</w:t>
            </w:r>
          </w:p>
        </w:tc>
        <w:tc>
          <w:tcPr>
            <w:tcW w:w="80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半圆拱</w:t>
            </w:r>
          </w:p>
        </w:tc>
        <w:tc>
          <w:tcPr>
            <w:tcW w:w="89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半圆拱</w:t>
            </w:r>
          </w:p>
        </w:tc>
        <w:tc>
          <w:tcPr>
            <w:tcW w:w="64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半圆拱</w:t>
            </w:r>
          </w:p>
        </w:tc>
        <w:tc>
          <w:tcPr>
            <w:tcW w:w="64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半圆拱</w:t>
            </w:r>
          </w:p>
        </w:tc>
        <w:tc>
          <w:tcPr>
            <w:tcW w:w="64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半圆拱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7" w:type="pct"/>
            <w:gridSpan w:val="2"/>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井筒净宽度</w:t>
            </w:r>
          </w:p>
        </w:tc>
        <w:tc>
          <w:tcPr>
            <w:tcW w:w="257"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m</w:t>
            </w:r>
          </w:p>
        </w:tc>
        <w:tc>
          <w:tcPr>
            <w:tcW w:w="585"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4.6</w:t>
            </w:r>
          </w:p>
        </w:tc>
        <w:tc>
          <w:tcPr>
            <w:tcW w:w="80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3.0</w:t>
            </w:r>
          </w:p>
        </w:tc>
        <w:tc>
          <w:tcPr>
            <w:tcW w:w="89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3.0</w:t>
            </w:r>
          </w:p>
        </w:tc>
        <w:tc>
          <w:tcPr>
            <w:tcW w:w="64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3.0</w:t>
            </w:r>
          </w:p>
        </w:tc>
        <w:tc>
          <w:tcPr>
            <w:tcW w:w="64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3.0</w:t>
            </w:r>
          </w:p>
        </w:tc>
        <w:tc>
          <w:tcPr>
            <w:tcW w:w="64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7" w:type="pct"/>
            <w:gridSpan w:val="2"/>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井筒净断面</w:t>
            </w:r>
          </w:p>
        </w:tc>
        <w:tc>
          <w:tcPr>
            <w:tcW w:w="257"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m</w:t>
            </w:r>
            <w:r>
              <w:rPr>
                <w:rFonts w:hint="eastAsia" w:hAnsi="Times New Roman" w:eastAsia="宋体"/>
                <w:kern w:val="2"/>
                <w:sz w:val="21"/>
                <w:szCs w:val="21"/>
                <w:vertAlign w:val="superscript"/>
              </w:rPr>
              <w:t>2</w:t>
            </w:r>
          </w:p>
        </w:tc>
        <w:tc>
          <w:tcPr>
            <w:tcW w:w="585"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14.8</w:t>
            </w:r>
          </w:p>
        </w:tc>
        <w:tc>
          <w:tcPr>
            <w:tcW w:w="80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8.0</w:t>
            </w:r>
          </w:p>
        </w:tc>
        <w:tc>
          <w:tcPr>
            <w:tcW w:w="89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8.0</w:t>
            </w:r>
          </w:p>
        </w:tc>
        <w:tc>
          <w:tcPr>
            <w:tcW w:w="64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8.0</w:t>
            </w:r>
          </w:p>
        </w:tc>
        <w:tc>
          <w:tcPr>
            <w:tcW w:w="64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8.0</w:t>
            </w:r>
          </w:p>
        </w:tc>
        <w:tc>
          <w:tcPr>
            <w:tcW w:w="64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7" w:type="pct"/>
            <w:gridSpan w:val="2"/>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支护厚度</w:t>
            </w:r>
          </w:p>
        </w:tc>
        <w:tc>
          <w:tcPr>
            <w:tcW w:w="257"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mm</w:t>
            </w:r>
          </w:p>
        </w:tc>
        <w:tc>
          <w:tcPr>
            <w:tcW w:w="585"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100</w:t>
            </w:r>
          </w:p>
        </w:tc>
        <w:tc>
          <w:tcPr>
            <w:tcW w:w="80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100</w:t>
            </w:r>
          </w:p>
        </w:tc>
        <w:tc>
          <w:tcPr>
            <w:tcW w:w="89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100</w:t>
            </w:r>
          </w:p>
        </w:tc>
        <w:tc>
          <w:tcPr>
            <w:tcW w:w="64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100</w:t>
            </w:r>
          </w:p>
        </w:tc>
        <w:tc>
          <w:tcPr>
            <w:tcW w:w="64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100</w:t>
            </w:r>
          </w:p>
        </w:tc>
        <w:tc>
          <w:tcPr>
            <w:tcW w:w="64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7" w:type="pct"/>
            <w:gridSpan w:val="2"/>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支护要求</w:t>
            </w:r>
          </w:p>
        </w:tc>
        <w:tc>
          <w:tcPr>
            <w:tcW w:w="257"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585"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锚喷</w:t>
            </w:r>
          </w:p>
        </w:tc>
        <w:tc>
          <w:tcPr>
            <w:tcW w:w="80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锚喷</w:t>
            </w:r>
          </w:p>
        </w:tc>
        <w:tc>
          <w:tcPr>
            <w:tcW w:w="89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锚喷</w:t>
            </w:r>
          </w:p>
        </w:tc>
        <w:tc>
          <w:tcPr>
            <w:tcW w:w="64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锚喷</w:t>
            </w:r>
          </w:p>
        </w:tc>
        <w:tc>
          <w:tcPr>
            <w:tcW w:w="64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锚喷</w:t>
            </w:r>
          </w:p>
        </w:tc>
        <w:tc>
          <w:tcPr>
            <w:tcW w:w="64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锚喷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7" w:type="pct"/>
            <w:gridSpan w:val="2"/>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巷道性质</w:t>
            </w:r>
          </w:p>
        </w:tc>
        <w:tc>
          <w:tcPr>
            <w:tcW w:w="257"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585"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岩石</w:t>
            </w:r>
          </w:p>
        </w:tc>
        <w:tc>
          <w:tcPr>
            <w:tcW w:w="80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岩石</w:t>
            </w:r>
          </w:p>
        </w:tc>
        <w:tc>
          <w:tcPr>
            <w:tcW w:w="89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岩石</w:t>
            </w:r>
          </w:p>
        </w:tc>
        <w:tc>
          <w:tcPr>
            <w:tcW w:w="64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岩石</w:t>
            </w:r>
          </w:p>
        </w:tc>
        <w:tc>
          <w:tcPr>
            <w:tcW w:w="64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岩石</w:t>
            </w:r>
          </w:p>
        </w:tc>
        <w:tc>
          <w:tcPr>
            <w:tcW w:w="64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岩石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7" w:type="pct"/>
            <w:gridSpan w:val="2"/>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井筒设备</w:t>
            </w:r>
          </w:p>
        </w:tc>
        <w:tc>
          <w:tcPr>
            <w:tcW w:w="257"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p>
        </w:tc>
        <w:tc>
          <w:tcPr>
            <w:tcW w:w="585"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带式输送机22kg/m轨道</w:t>
            </w:r>
          </w:p>
        </w:tc>
        <w:tc>
          <w:tcPr>
            <w:tcW w:w="80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89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640" w:type="pct"/>
            <w:vAlign w:val="center"/>
          </w:tcPr>
          <w:p>
            <w:pPr>
              <w:keepNext w:val="0"/>
              <w:keepLines w:val="0"/>
              <w:suppressLineNumbers w:val="0"/>
              <w:spacing w:before="0" w:beforeAutospacing="0" w:after="0" w:afterAutospacing="0" w:line="36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64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主要通风机</w:t>
            </w:r>
          </w:p>
        </w:tc>
        <w:tc>
          <w:tcPr>
            <w:tcW w:w="64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主要通风机</w:t>
            </w:r>
          </w:p>
        </w:tc>
      </w:tr>
    </w:tbl>
    <w:p>
      <w:pPr>
        <w:pStyle w:val="2"/>
        <w:ind w:left="0" w:leftChars="0" w:firstLine="0" w:firstLineChars="0"/>
        <w:rPr>
          <w:rFonts w:eastAsiaTheme="minorEastAsia"/>
          <w:lang w:eastAsia="zh-CN"/>
        </w:rPr>
      </w:pPr>
    </w:p>
    <w:p>
      <w:pPr>
        <w:spacing w:line="360" w:lineRule="auto"/>
        <w:ind w:firstLine="480" w:firstLineChars="200"/>
        <w:rPr>
          <w:rFonts w:hAnsi="Times New Roman" w:eastAsia="宋体"/>
          <w:lang w:eastAsia="zh-CN"/>
        </w:rPr>
        <w:sectPr>
          <w:headerReference r:id="rId9" w:type="default"/>
          <w:pgSz w:w="16838" w:h="11906" w:orient="landscape"/>
          <w:pgMar w:top="1304" w:right="1440" w:bottom="1191" w:left="1440" w:header="851" w:footer="992" w:gutter="0"/>
          <w:cols w:space="0" w:num="1"/>
          <w:docGrid w:type="lines" w:linePitch="326" w:charSpace="0"/>
        </w:sectPr>
      </w:pPr>
    </w:p>
    <w:p>
      <w:pPr>
        <w:spacing w:line="360" w:lineRule="auto"/>
        <w:ind w:firstLine="482" w:firstLineChars="200"/>
        <w:rPr>
          <w:rFonts w:hAnsi="Times New Roman" w:eastAsia="宋体"/>
          <w:b/>
          <w:bCs/>
          <w:szCs w:val="22"/>
          <w:lang w:eastAsia="zh-CN"/>
        </w:rPr>
      </w:pPr>
      <w:r>
        <w:rPr>
          <w:rFonts w:hAnsi="Times New Roman" w:eastAsia="宋体"/>
          <w:b/>
          <w:bCs/>
          <w:szCs w:val="22"/>
          <w:lang w:eastAsia="zh-CN"/>
        </w:rPr>
        <w:t>（6）井底车场及硐室</w:t>
      </w:r>
    </w:p>
    <w:p>
      <w:pPr>
        <w:spacing w:line="360" w:lineRule="auto"/>
        <w:ind w:firstLine="480" w:firstLineChars="200"/>
        <w:rPr>
          <w:rFonts w:hAnsi="Times New Roman" w:eastAsia="宋体"/>
          <w:szCs w:val="22"/>
          <w:lang w:eastAsia="zh-CN"/>
        </w:rPr>
      </w:pPr>
      <w:r>
        <w:rPr>
          <w:rFonts w:hAnsi="Times New Roman" w:eastAsia="宋体"/>
          <w:szCs w:val="22"/>
          <w:lang w:eastAsia="zh-CN"/>
        </w:rPr>
        <w:t>1）井底车场形式的确定</w:t>
      </w:r>
    </w:p>
    <w:p>
      <w:pPr>
        <w:spacing w:line="360" w:lineRule="auto"/>
        <w:ind w:firstLine="480" w:firstLineChars="200"/>
        <w:rPr>
          <w:rFonts w:hAnsi="Times New Roman" w:eastAsia="宋体"/>
          <w:szCs w:val="22"/>
          <w:lang w:eastAsia="zh-CN"/>
        </w:rPr>
      </w:pPr>
      <w:r>
        <w:rPr>
          <w:rFonts w:hAnsi="Times New Roman" w:eastAsia="宋体"/>
          <w:szCs w:val="22"/>
          <w:lang w:eastAsia="zh-CN"/>
        </w:rPr>
        <w:t>该矿采用</w:t>
      </w:r>
      <w:r>
        <w:rPr>
          <w:rFonts w:hint="eastAsia" w:hAnsi="Times New Roman" w:eastAsia="宋体"/>
          <w:szCs w:val="22"/>
          <w:lang w:eastAsia="zh-CN"/>
        </w:rPr>
        <w:t>平硐+斜井开拓方式</w:t>
      </w:r>
      <w:r>
        <w:rPr>
          <w:rFonts w:hAnsi="Times New Roman" w:eastAsia="宋体"/>
          <w:szCs w:val="22"/>
          <w:lang w:eastAsia="zh-CN"/>
        </w:rPr>
        <w:t>，</w:t>
      </w:r>
      <w:r>
        <w:rPr>
          <w:rFonts w:hint="eastAsia" w:hAnsi="Times New Roman" w:eastAsia="宋体"/>
          <w:szCs w:val="22"/>
          <w:lang w:eastAsia="zh-CN"/>
        </w:rPr>
        <w:t>+</w:t>
      </w:r>
      <w:r>
        <w:rPr>
          <w:rFonts w:hAnsi="Times New Roman" w:eastAsia="宋体"/>
          <w:szCs w:val="22"/>
          <w:lang w:eastAsia="zh-CN"/>
        </w:rPr>
        <w:t>200</w:t>
      </w:r>
      <w:r>
        <w:rPr>
          <w:rFonts w:hint="eastAsia" w:hAnsi="Times New Roman" w:eastAsia="宋体"/>
          <w:szCs w:val="22"/>
          <w:lang w:eastAsia="zh-CN"/>
        </w:rPr>
        <w:t>m水平采用暗斜井开拓，布置有主、副暗斜井，均</w:t>
      </w:r>
      <w:r>
        <w:rPr>
          <w:rFonts w:hAnsi="Times New Roman" w:eastAsia="宋体"/>
          <w:szCs w:val="22"/>
          <w:lang w:eastAsia="zh-CN"/>
        </w:rPr>
        <w:t>落平</w:t>
      </w:r>
      <w:r>
        <w:rPr>
          <w:rFonts w:hint="eastAsia" w:hAnsi="Times New Roman" w:eastAsia="宋体"/>
          <w:szCs w:val="22"/>
          <w:lang w:eastAsia="zh-CN"/>
        </w:rPr>
        <w:t>于+</w:t>
      </w:r>
      <w:r>
        <w:rPr>
          <w:rFonts w:hAnsi="Times New Roman" w:eastAsia="宋体"/>
          <w:szCs w:val="22"/>
          <w:lang w:eastAsia="zh-CN"/>
        </w:rPr>
        <w:t>200m</w:t>
      </w:r>
      <w:r>
        <w:rPr>
          <w:rFonts w:hint="eastAsia" w:hAnsi="Times New Roman" w:eastAsia="宋体"/>
          <w:szCs w:val="22"/>
          <w:lang w:eastAsia="zh-CN"/>
        </w:rPr>
        <w:t>标高，落平点</w:t>
      </w:r>
      <w:r>
        <w:rPr>
          <w:rFonts w:hAnsi="Times New Roman" w:eastAsia="宋体"/>
          <w:szCs w:val="22"/>
          <w:lang w:eastAsia="zh-CN"/>
        </w:rPr>
        <w:t>附</w:t>
      </w:r>
      <w:r>
        <w:rPr>
          <w:rFonts w:hint="eastAsia" w:hAnsi="Times New Roman" w:eastAsia="宋体"/>
          <w:szCs w:val="22"/>
          <w:lang w:eastAsia="zh-CN"/>
        </w:rPr>
        <w:t>近已布置有</w:t>
      </w:r>
      <w:r>
        <w:rPr>
          <w:rFonts w:hAnsi="Times New Roman" w:eastAsia="宋体"/>
          <w:szCs w:val="22"/>
          <w:lang w:eastAsia="zh-CN"/>
        </w:rPr>
        <w:t>井底车场</w:t>
      </w:r>
      <w:r>
        <w:rPr>
          <w:rFonts w:hint="eastAsia" w:hAnsi="Times New Roman" w:eastAsia="宋体"/>
          <w:szCs w:val="22"/>
          <w:lang w:eastAsia="zh-CN"/>
        </w:rPr>
        <w:t>，采用平车场布置形式。采区轨道上山上、下车场均采用平车场布置形式，各区段采用甩车场布置。</w:t>
      </w:r>
    </w:p>
    <w:p>
      <w:pPr>
        <w:spacing w:line="360" w:lineRule="auto"/>
        <w:ind w:firstLine="480" w:firstLineChars="200"/>
        <w:rPr>
          <w:rFonts w:hAnsi="Times New Roman" w:eastAsia="宋体"/>
          <w:szCs w:val="22"/>
          <w:lang w:eastAsia="zh-CN"/>
        </w:rPr>
      </w:pPr>
      <w:r>
        <w:rPr>
          <w:rFonts w:hAnsi="Times New Roman" w:eastAsia="宋体"/>
          <w:szCs w:val="22"/>
          <w:lang w:eastAsia="zh-CN"/>
        </w:rPr>
        <w:t xml:space="preserve">2）主要硐室的设定   </w:t>
      </w:r>
    </w:p>
    <w:p>
      <w:pPr>
        <w:spacing w:line="360" w:lineRule="auto"/>
        <w:ind w:firstLine="480" w:firstLineChars="200"/>
        <w:rPr>
          <w:rFonts w:hAnsi="Times New Roman" w:eastAsia="宋体"/>
          <w:szCs w:val="22"/>
          <w:lang w:eastAsia="zh-CN"/>
        </w:rPr>
      </w:pPr>
      <w:r>
        <w:rPr>
          <w:rFonts w:hAnsi="Times New Roman" w:eastAsia="宋体"/>
          <w:szCs w:val="22"/>
          <w:lang w:eastAsia="zh-CN"/>
        </w:rPr>
        <w:t>矿井在副暗斜井+200m落平点车场附近已布置有+200m变电所及水泵房、水仓、消防材料库、避难硐室等主要硐室。+200m变电所设在副暗斜井与主暗斜井之间，采用半圆拱形断面；水泵房与中央变电所联合布置，半圆拱断面，砌碹支护。</w:t>
      </w:r>
      <w:r>
        <w:rPr>
          <w:rFonts w:hint="eastAsia" w:hAnsi="Times New Roman" w:eastAsia="宋体"/>
          <w:szCs w:val="22"/>
          <w:lang w:eastAsia="zh-CN"/>
        </w:rPr>
        <w:t>在主暗斜井落平点附近东侧布置有+200m水仓，水仓位于K</w:t>
      </w:r>
      <w:r>
        <w:rPr>
          <w:rFonts w:hint="eastAsia" w:hAnsi="Times New Roman" w:eastAsia="宋体"/>
          <w:szCs w:val="22"/>
          <w:vertAlign w:val="subscript"/>
          <w:lang w:eastAsia="zh-CN"/>
        </w:rPr>
        <w:t>5</w:t>
      </w:r>
      <w:r>
        <w:rPr>
          <w:rFonts w:hint="eastAsia" w:hAnsi="Times New Roman" w:eastAsia="宋体"/>
          <w:szCs w:val="22"/>
          <w:lang w:eastAsia="zh-CN"/>
        </w:rPr>
        <w:t>煤层底板稳定的砂岩中。采用主副水仓布置形式，水仓净宽3.8m，净高3.3m。主水仓长度200m，有效容积1728m</w:t>
      </w:r>
      <w:r>
        <w:rPr>
          <w:rFonts w:hint="eastAsia" w:hAnsi="Times New Roman" w:eastAsia="宋体"/>
          <w:szCs w:val="22"/>
          <w:vertAlign w:val="superscript"/>
          <w:lang w:eastAsia="zh-CN"/>
        </w:rPr>
        <w:t>3</w:t>
      </w:r>
      <w:r>
        <w:rPr>
          <w:rFonts w:hint="eastAsia" w:hAnsi="Times New Roman" w:eastAsia="宋体"/>
          <w:szCs w:val="22"/>
          <w:lang w:eastAsia="zh-CN"/>
        </w:rPr>
        <w:t>；副水仓长度125m，有效容积1080m</w:t>
      </w:r>
      <w:r>
        <w:rPr>
          <w:rFonts w:hint="eastAsia" w:hAnsi="Times New Roman" w:eastAsia="宋体"/>
          <w:szCs w:val="22"/>
          <w:vertAlign w:val="superscript"/>
          <w:lang w:eastAsia="zh-CN"/>
        </w:rPr>
        <w:t>3</w:t>
      </w:r>
      <w:r>
        <w:rPr>
          <w:rFonts w:hint="eastAsia" w:hAnsi="Times New Roman" w:eastAsia="宋体"/>
          <w:szCs w:val="22"/>
          <w:lang w:eastAsia="zh-CN"/>
        </w:rPr>
        <w:t>；主副水仓有效总容积2808m</w:t>
      </w:r>
      <w:r>
        <w:rPr>
          <w:rFonts w:hint="eastAsia" w:hAnsi="Times New Roman" w:eastAsia="宋体"/>
          <w:szCs w:val="22"/>
          <w:vertAlign w:val="superscript"/>
          <w:lang w:eastAsia="zh-CN"/>
        </w:rPr>
        <w:t>3</w:t>
      </w:r>
      <w:r>
        <w:rPr>
          <w:rFonts w:hint="eastAsia" w:hAnsi="Times New Roman" w:eastAsia="宋体"/>
          <w:szCs w:val="22"/>
          <w:lang w:eastAsia="zh-CN"/>
        </w:rPr>
        <w:t>。</w:t>
      </w:r>
      <w:r>
        <w:rPr>
          <w:rFonts w:hAnsi="Times New Roman" w:eastAsia="宋体"/>
          <w:szCs w:val="22"/>
          <w:lang w:eastAsia="zh-CN"/>
        </w:rPr>
        <w:t>消防材料库布置在水仓附近的+200m水平运输大巷南侧，硐室长</w:t>
      </w:r>
      <w:r>
        <w:rPr>
          <w:rFonts w:hint="eastAsia" w:hAnsi="Times New Roman" w:eastAsia="宋体"/>
          <w:szCs w:val="22"/>
          <w:lang w:eastAsia="zh-CN"/>
        </w:rPr>
        <w:t>37</w:t>
      </w:r>
      <w:r>
        <w:rPr>
          <w:rFonts w:hAnsi="Times New Roman" w:eastAsia="宋体"/>
          <w:szCs w:val="22"/>
          <w:lang w:eastAsia="zh-CN"/>
        </w:rPr>
        <w:t>m。避难硐室设在</w:t>
      </w:r>
      <w:r>
        <w:rPr>
          <w:rFonts w:hint="eastAsia" w:hAnsi="Times New Roman" w:eastAsia="宋体"/>
          <w:szCs w:val="22"/>
          <w:lang w:eastAsia="zh-CN"/>
        </w:rPr>
        <w:t>主暗斜井落平点附近西侧，位于K</w:t>
      </w:r>
      <w:r>
        <w:rPr>
          <w:rFonts w:hint="eastAsia" w:hAnsi="Times New Roman" w:eastAsia="宋体"/>
          <w:szCs w:val="22"/>
          <w:vertAlign w:val="subscript"/>
          <w:lang w:eastAsia="zh-CN"/>
        </w:rPr>
        <w:t>5</w:t>
      </w:r>
      <w:r>
        <w:rPr>
          <w:rFonts w:hint="eastAsia" w:hAnsi="Times New Roman" w:eastAsia="宋体"/>
          <w:szCs w:val="22"/>
          <w:lang w:eastAsia="zh-CN"/>
        </w:rPr>
        <w:t>煤层底板稳定的砂岩中</w:t>
      </w:r>
      <w:r>
        <w:rPr>
          <w:rFonts w:hAnsi="Times New Roman" w:eastAsia="宋体"/>
          <w:szCs w:val="22"/>
          <w:lang w:eastAsia="zh-CN"/>
        </w:rPr>
        <w:t>，采用半圆拱形断面，硐室长45m；由于在建设时已考虑了</w:t>
      </w:r>
      <w:r>
        <w:rPr>
          <w:rFonts w:hint="eastAsia" w:hAnsi="Times New Roman" w:eastAsia="宋体"/>
          <w:szCs w:val="22"/>
          <w:lang w:eastAsia="zh-CN"/>
        </w:rPr>
        <w:t>较大的富余</w:t>
      </w:r>
      <w:r>
        <w:rPr>
          <w:rFonts w:hAnsi="Times New Roman" w:eastAsia="宋体"/>
          <w:szCs w:val="22"/>
          <w:lang w:eastAsia="zh-CN"/>
        </w:rPr>
        <w:t>系数，这些硐室完全能够满足本次扩建后的需要，故不需改造，直接利用。</w:t>
      </w:r>
    </w:p>
    <w:p>
      <w:pPr>
        <w:spacing w:line="360" w:lineRule="auto"/>
        <w:ind w:firstLine="480" w:firstLineChars="200"/>
        <w:rPr>
          <w:rFonts w:hAnsi="Times New Roman" w:eastAsia="宋体"/>
          <w:szCs w:val="22"/>
          <w:lang w:eastAsia="zh-CN"/>
        </w:rPr>
      </w:pPr>
      <w:r>
        <w:rPr>
          <w:rFonts w:hAnsi="Times New Roman" w:eastAsia="宋体"/>
          <w:szCs w:val="22"/>
          <w:lang w:eastAsia="zh-CN"/>
        </w:rPr>
        <w:t>3）井底车场主要巷道和硐室支护</w:t>
      </w:r>
    </w:p>
    <w:p>
      <w:pPr>
        <w:spacing w:line="360" w:lineRule="auto"/>
        <w:ind w:firstLine="480" w:firstLineChars="200"/>
        <w:rPr>
          <w:rFonts w:hAnsi="Times New Roman" w:eastAsia="宋体"/>
          <w:szCs w:val="22"/>
          <w:lang w:eastAsia="zh-CN"/>
        </w:rPr>
      </w:pPr>
      <w:r>
        <w:rPr>
          <w:rFonts w:hAnsi="Times New Roman" w:eastAsia="宋体"/>
          <w:szCs w:val="22"/>
          <w:lang w:eastAsia="zh-CN"/>
        </w:rPr>
        <w:t>车场及硐室布置在底板岩层中，车场段采用锚网喷支护，支护厚度为100mm；硐室采用锚网喷或混凝土碹支护，支护厚度视硐室断面大小和支护形式而定，一般挂网锚喷为100～150mm，混凝土为250mm～300mm。</w:t>
      </w:r>
    </w:p>
    <w:p>
      <w:pPr>
        <w:spacing w:line="360" w:lineRule="auto"/>
        <w:ind w:firstLine="482" w:firstLineChars="200"/>
        <w:rPr>
          <w:rFonts w:hAnsi="Times New Roman" w:eastAsia="宋体"/>
          <w:b/>
          <w:bCs/>
          <w:szCs w:val="22"/>
          <w:lang w:eastAsia="zh-CN"/>
        </w:rPr>
      </w:pPr>
      <w:r>
        <w:rPr>
          <w:rFonts w:hAnsi="Times New Roman" w:eastAsia="宋体"/>
          <w:b/>
          <w:bCs/>
          <w:szCs w:val="22"/>
          <w:lang w:eastAsia="zh-CN"/>
        </w:rPr>
        <w:t>（7）采区巷道布置</w:t>
      </w:r>
    </w:p>
    <w:p>
      <w:pPr>
        <w:spacing w:line="360" w:lineRule="auto"/>
        <w:ind w:firstLine="480" w:firstLineChars="200"/>
        <w:rPr>
          <w:rFonts w:hAnsi="Times New Roman" w:eastAsia="宋体"/>
          <w:szCs w:val="22"/>
          <w:lang w:eastAsia="zh-CN"/>
        </w:rPr>
      </w:pPr>
      <w:r>
        <w:rPr>
          <w:rFonts w:hint="eastAsia" w:hAnsi="Times New Roman" w:eastAsia="宋体"/>
          <w:szCs w:val="22"/>
          <w:lang w:eastAsia="zh-CN"/>
        </w:rPr>
        <w:t>由于一采区大部分巷道系统已经形成，设计K</w:t>
      </w:r>
      <w:r>
        <w:rPr>
          <w:rFonts w:hAnsi="Times New Roman" w:eastAsia="宋体"/>
          <w:szCs w:val="22"/>
          <w:vertAlign w:val="subscript"/>
          <w:lang w:eastAsia="zh-CN"/>
        </w:rPr>
        <w:t>6</w:t>
      </w:r>
      <w:r>
        <w:rPr>
          <w:rFonts w:hint="eastAsia" w:hAnsi="Times New Roman" w:eastAsia="宋体"/>
          <w:szCs w:val="22"/>
          <w:lang w:eastAsia="zh-CN"/>
        </w:rPr>
        <w:t>、K</w:t>
      </w:r>
      <w:r>
        <w:rPr>
          <w:rFonts w:hAnsi="Times New Roman" w:eastAsia="宋体"/>
          <w:szCs w:val="22"/>
          <w:vertAlign w:val="subscript"/>
          <w:lang w:eastAsia="zh-CN"/>
        </w:rPr>
        <w:t>5-1</w:t>
      </w:r>
      <w:r>
        <w:rPr>
          <w:rFonts w:hint="eastAsia" w:hAnsi="Times New Roman" w:eastAsia="宋体"/>
          <w:szCs w:val="22"/>
          <w:lang w:eastAsia="zh-CN"/>
        </w:rPr>
        <w:t>、K</w:t>
      </w:r>
      <w:r>
        <w:rPr>
          <w:rFonts w:hint="eastAsia" w:hAnsi="Times New Roman" w:eastAsia="宋体"/>
          <w:szCs w:val="22"/>
          <w:vertAlign w:val="subscript"/>
          <w:lang w:eastAsia="zh-CN"/>
        </w:rPr>
        <w:t>5</w:t>
      </w:r>
      <w:r>
        <w:rPr>
          <w:rFonts w:hint="eastAsia" w:hAnsi="Times New Roman" w:eastAsia="宋体"/>
          <w:szCs w:val="22"/>
          <w:lang w:eastAsia="zh-CN"/>
        </w:rPr>
        <w:t>煤层采用联合布置。</w:t>
      </w:r>
      <w:r>
        <w:rPr>
          <w:rFonts w:hAnsi="Times New Roman" w:eastAsia="宋体"/>
          <w:szCs w:val="22"/>
          <w:lang w:eastAsia="zh-CN"/>
        </w:rPr>
        <w:t>利用已经形成轨道上山、行人上山和回风上山，在行人上山和回风上山之间布置一条运输上山，与行人上山平行于同一投影面布置；由于中部车场及各区段石门也已经形成，运输顺槽分别通过轨道斜巷、运输斜巷与区段石门相连，各区段石门分别与各自对应的轨道上山、行人上山、运输上山和回风上山相连，形成回采条件。采区巷道布置具体情况分述如下：</w:t>
      </w:r>
    </w:p>
    <w:p>
      <w:pPr>
        <w:spacing w:line="360" w:lineRule="auto"/>
        <w:ind w:firstLine="480" w:firstLineChars="200"/>
        <w:rPr>
          <w:rFonts w:hAnsi="Times New Roman" w:eastAsia="宋体"/>
          <w:szCs w:val="22"/>
          <w:lang w:eastAsia="zh-CN"/>
        </w:rPr>
      </w:pPr>
      <w:r>
        <w:rPr>
          <w:rFonts w:hAnsi="Times New Roman" w:eastAsia="宋体"/>
          <w:szCs w:val="22"/>
          <w:lang w:eastAsia="zh-CN"/>
        </w:rPr>
        <w:t>①轨道上山</w:t>
      </w:r>
    </w:p>
    <w:p>
      <w:pPr>
        <w:spacing w:line="360" w:lineRule="auto"/>
        <w:ind w:firstLine="480" w:firstLineChars="200"/>
        <w:rPr>
          <w:rFonts w:hAnsi="Times New Roman" w:eastAsia="宋体"/>
          <w:szCs w:val="22"/>
          <w:lang w:eastAsia="zh-CN"/>
        </w:rPr>
      </w:pPr>
      <w:r>
        <w:rPr>
          <w:rFonts w:hAnsi="Times New Roman" w:eastAsia="宋体"/>
          <w:szCs w:val="22"/>
          <w:lang w:eastAsia="zh-CN"/>
        </w:rPr>
        <w:t>轨道上山已经形成，</w:t>
      </w:r>
      <w:r>
        <w:rPr>
          <w:rFonts w:hint="eastAsia" w:hAnsi="Times New Roman" w:eastAsia="宋体"/>
          <w:szCs w:val="22"/>
          <w:lang w:eastAsia="zh-CN"/>
        </w:rPr>
        <w:t>利用原开丰井田西翼+200m水平生产采区的轨道上山作为一采区的轨道上山，布置在K</w:t>
      </w:r>
      <w:r>
        <w:rPr>
          <w:rFonts w:hint="eastAsia" w:hAnsi="Times New Roman" w:eastAsia="宋体"/>
          <w:szCs w:val="22"/>
          <w:vertAlign w:val="subscript"/>
          <w:lang w:eastAsia="zh-CN"/>
        </w:rPr>
        <w:t>5</w:t>
      </w:r>
      <w:r>
        <w:rPr>
          <w:rFonts w:hint="eastAsia" w:hAnsi="Times New Roman" w:eastAsia="宋体"/>
          <w:szCs w:val="22"/>
          <w:lang w:eastAsia="zh-CN"/>
        </w:rPr>
        <w:t>煤层底板岩石中，上山倾角25°，长度为499m，为半圆拱断面，锚喷支护，巷道净宽3.5m，净高2.7m，净断面积7.4m</w:t>
      </w:r>
      <w:r>
        <w:rPr>
          <w:rFonts w:hint="eastAsia" w:hAnsi="Times New Roman" w:eastAsia="宋体"/>
          <w:szCs w:val="22"/>
          <w:vertAlign w:val="superscript"/>
          <w:lang w:eastAsia="zh-CN"/>
        </w:rPr>
        <w:t>2</w:t>
      </w:r>
      <w:r>
        <w:rPr>
          <w:rFonts w:hint="eastAsia" w:hAnsi="Times New Roman" w:eastAsia="宋体"/>
          <w:szCs w:val="22"/>
          <w:lang w:eastAsia="zh-CN"/>
        </w:rPr>
        <w:t>，轨道上山敷设22kg/m钢轨，采用绞车提升，担负一采区矸石、材料、设备等运输任务。</w:t>
      </w:r>
    </w:p>
    <w:p>
      <w:pPr>
        <w:spacing w:line="360" w:lineRule="auto"/>
        <w:ind w:firstLine="480" w:firstLineChars="200"/>
        <w:rPr>
          <w:rFonts w:hAnsi="Times New Roman" w:eastAsia="宋体"/>
          <w:szCs w:val="22"/>
          <w:lang w:eastAsia="zh-CN"/>
        </w:rPr>
      </w:pPr>
      <w:r>
        <w:rPr>
          <w:rFonts w:hAnsi="Times New Roman" w:eastAsia="宋体"/>
          <w:szCs w:val="22"/>
          <w:lang w:eastAsia="zh-CN"/>
        </w:rPr>
        <w:t>②回风上山</w:t>
      </w:r>
    </w:p>
    <w:p>
      <w:pPr>
        <w:spacing w:line="360" w:lineRule="auto"/>
        <w:ind w:firstLine="480" w:firstLineChars="200"/>
        <w:rPr>
          <w:rFonts w:hAnsi="Times New Roman" w:eastAsia="宋体"/>
          <w:szCs w:val="22"/>
          <w:lang w:eastAsia="zh-CN"/>
        </w:rPr>
      </w:pPr>
      <w:r>
        <w:rPr>
          <w:rFonts w:hint="eastAsia" w:hAnsi="Times New Roman" w:eastAsia="宋体"/>
          <w:szCs w:val="22"/>
          <w:lang w:eastAsia="zh-CN"/>
        </w:rPr>
        <w:t>由于原采区回风上山布置在K</w:t>
      </w:r>
      <w:r>
        <w:rPr>
          <w:rFonts w:hint="eastAsia" w:hAnsi="Times New Roman" w:eastAsia="宋体"/>
          <w:szCs w:val="22"/>
          <w:vertAlign w:val="subscript"/>
          <w:lang w:eastAsia="zh-CN"/>
        </w:rPr>
        <w:t>6</w:t>
      </w:r>
      <w:r>
        <w:rPr>
          <w:rFonts w:hint="eastAsia" w:hAnsi="Times New Roman" w:eastAsia="宋体"/>
          <w:szCs w:val="22"/>
          <w:lang w:eastAsia="zh-CN"/>
        </w:rPr>
        <w:t>煤层中，不便于巷道维护且煤柱损失较大，报废该回风上山，利用原人行上山作为一采区的回风上山，上山倾角25°，长度为499m，为半圆拱断面，锚喷支护，净宽3.0m，净高3.0m，净断面积8.0m2，担负一采区的回风任务</w:t>
      </w:r>
      <w:r>
        <w:rPr>
          <w:rFonts w:hAnsi="Times New Roman" w:eastAsia="宋体"/>
          <w:szCs w:val="22"/>
          <w:lang w:eastAsia="zh-CN"/>
        </w:rPr>
        <w:t>。</w:t>
      </w:r>
    </w:p>
    <w:p>
      <w:pPr>
        <w:spacing w:line="360" w:lineRule="auto"/>
        <w:ind w:firstLine="480" w:firstLineChars="200"/>
        <w:rPr>
          <w:rFonts w:hAnsi="Times New Roman" w:eastAsia="宋体"/>
          <w:szCs w:val="22"/>
          <w:lang w:eastAsia="zh-CN"/>
        </w:rPr>
      </w:pPr>
      <w:r>
        <w:rPr>
          <w:rFonts w:hAnsi="Times New Roman" w:eastAsia="宋体"/>
          <w:szCs w:val="22"/>
          <w:lang w:eastAsia="zh-CN"/>
        </w:rPr>
        <w:t>③行人上山</w:t>
      </w:r>
    </w:p>
    <w:p>
      <w:pPr>
        <w:spacing w:line="360" w:lineRule="auto"/>
        <w:ind w:firstLine="480" w:firstLineChars="200"/>
        <w:rPr>
          <w:rFonts w:hAnsi="Times New Roman" w:eastAsia="宋体"/>
          <w:szCs w:val="22"/>
          <w:lang w:eastAsia="zh-CN"/>
        </w:rPr>
      </w:pPr>
      <w:r>
        <w:rPr>
          <w:rFonts w:hint="eastAsia" w:hAnsi="Times New Roman" w:eastAsia="宋体"/>
          <w:szCs w:val="22"/>
          <w:lang w:eastAsia="zh-CN"/>
        </w:rPr>
        <w:t>在轨道上山和回风上山之间的K</w:t>
      </w:r>
      <w:r>
        <w:rPr>
          <w:rFonts w:hint="eastAsia" w:hAnsi="Times New Roman" w:eastAsia="宋体"/>
          <w:szCs w:val="22"/>
          <w:vertAlign w:val="subscript"/>
          <w:lang w:eastAsia="zh-CN"/>
        </w:rPr>
        <w:t>5</w:t>
      </w:r>
      <w:r>
        <w:rPr>
          <w:rFonts w:hint="eastAsia" w:hAnsi="Times New Roman" w:eastAsia="宋体"/>
          <w:szCs w:val="22"/>
          <w:lang w:eastAsia="zh-CN"/>
        </w:rPr>
        <w:t>煤层底板岩石中布置一条运输人行上山，上山倾角16°，长度为765m，三心圆拱断面，净宽4.8m，净高3.017m，净断面积12.8m2，巷道一侧安设带式输送机，另一侧安装架空乘人装置，担负一采区煤炭运输和运送人员上下班等任务。</w:t>
      </w:r>
    </w:p>
    <w:p>
      <w:pPr>
        <w:spacing w:line="360" w:lineRule="auto"/>
        <w:ind w:firstLine="480" w:firstLineChars="200"/>
        <w:rPr>
          <w:rFonts w:hAnsi="Times New Roman" w:eastAsia="宋体"/>
          <w:szCs w:val="22"/>
          <w:lang w:eastAsia="zh-CN"/>
        </w:rPr>
      </w:pPr>
      <w:r>
        <w:rPr>
          <w:rFonts w:hint="eastAsia" w:hAnsi="Times New Roman" w:eastAsia="宋体"/>
          <w:szCs w:val="22"/>
          <w:lang w:eastAsia="zh-CN"/>
        </w:rPr>
        <w:t>三条上山在+200m水平通过石门与+200m水平东运输大巷相连，在+411m标高通过石门、+411m东回风大巷及东回风斜巷与+572m回风平硐连通，形成通风系统。</w:t>
      </w:r>
    </w:p>
    <w:p>
      <w:pPr>
        <w:spacing w:line="360" w:lineRule="auto"/>
        <w:ind w:firstLine="480" w:firstLineChars="200"/>
        <w:rPr>
          <w:rFonts w:hAnsi="Times New Roman" w:eastAsia="宋体"/>
          <w:szCs w:val="22"/>
          <w:lang w:eastAsia="zh-CN"/>
        </w:rPr>
      </w:pPr>
      <w:r>
        <w:rPr>
          <w:rFonts w:hint="eastAsia" w:hAnsi="Times New Roman" w:eastAsia="宋体"/>
          <w:szCs w:val="22"/>
          <w:lang w:eastAsia="zh-CN"/>
        </w:rPr>
        <w:t xml:space="preserve">轨道上山、运输人行上山、回风上山分别在+411m、+300m标高布置有运输人行石门和回风石门揭穿K6煤层，然后沿K6煤层布置有工作面回风巷和工作面运输巷；一采区煤炭由工作面运输巷带式输送机转载至+300m运输石门带式输送机上，通过区段煤仓溜放至采区运输人行上山带式输送机上，由带式输送机运至采区下部煤仓，实现采区连续运输系统；在采区煤仓下部将煤炭溜放至+200m水平东运输大巷带式输送机上，由带式输送机运至主暗斜井带式输送机上，由主暗斜井带式输送机运至主暗斜井上部带式输送机上，经主平硐带式输送机运出矿井，再由地面生产系统带式输送机直接运至储煤坪，实现矿井煤炭的连续运输系统。 </w:t>
      </w:r>
    </w:p>
    <w:p>
      <w:pPr>
        <w:spacing w:line="360" w:lineRule="auto"/>
        <w:ind w:firstLine="480" w:firstLineChars="200"/>
        <w:rPr>
          <w:rFonts w:hAnsi="Times New Roman" w:eastAsia="宋体"/>
          <w:szCs w:val="22"/>
          <w:lang w:eastAsia="zh-CN"/>
        </w:rPr>
      </w:pPr>
      <w:r>
        <w:rPr>
          <w:rFonts w:hint="eastAsia" w:hAnsi="Times New Roman" w:eastAsia="宋体"/>
          <w:szCs w:val="22"/>
          <w:lang w:eastAsia="zh-CN"/>
        </w:rPr>
        <w:t>采区上山通过区段车场、运输石门、回风石门与工作面回采巷道相连，工作面运输巷及回风巷沿煤层走向方向布置在煤层中，工作面运输巷和工作面回风巷通过工作面开切眼相连，从而形成进、回风系统，工作面采用“U” 型通风。另外上区段工作面运输巷留设作为下区段工作面回风巷。</w:t>
      </w:r>
    </w:p>
    <w:p>
      <w:pPr>
        <w:spacing w:line="360" w:lineRule="auto"/>
        <w:ind w:firstLine="480" w:firstLineChars="200"/>
        <w:rPr>
          <w:rFonts w:hAnsi="Times New Roman" w:eastAsia="宋体"/>
          <w:lang w:eastAsia="zh-CN"/>
        </w:rPr>
      </w:pPr>
      <w:r>
        <w:rPr>
          <w:rFonts w:hAnsi="Times New Roman" w:eastAsia="宋体"/>
          <w:lang w:eastAsia="zh-CN"/>
        </w:rPr>
        <w:t>（8）采煤方法</w:t>
      </w:r>
    </w:p>
    <w:p>
      <w:pPr>
        <w:spacing w:line="360" w:lineRule="auto"/>
        <w:ind w:firstLine="480" w:firstLineChars="200"/>
        <w:rPr>
          <w:rFonts w:hAnsi="Times New Roman" w:eastAsia="宋体"/>
          <w:lang w:eastAsia="zh-CN"/>
        </w:rPr>
      </w:pPr>
      <w:r>
        <w:rPr>
          <w:rFonts w:hint="eastAsia" w:hAnsi="Times New Roman" w:eastAsia="宋体"/>
          <w:lang w:eastAsia="zh-CN"/>
        </w:rPr>
        <w:t>根据矿区范围内煤层的赋存情况，K</w:t>
      </w:r>
      <w:r>
        <w:rPr>
          <w:rFonts w:hint="eastAsia" w:hAnsi="Times New Roman" w:eastAsia="宋体"/>
          <w:vertAlign w:val="subscript"/>
          <w:lang w:eastAsia="zh-CN"/>
        </w:rPr>
        <w:t>6</w:t>
      </w:r>
      <w:r>
        <w:rPr>
          <w:rFonts w:hint="eastAsia" w:hAnsi="Times New Roman" w:eastAsia="宋体"/>
          <w:lang w:eastAsia="zh-CN"/>
        </w:rPr>
        <w:t>、K</w:t>
      </w:r>
      <w:r>
        <w:rPr>
          <w:rFonts w:hint="eastAsia" w:hAnsi="Times New Roman" w:eastAsia="宋体"/>
          <w:vertAlign w:val="subscript"/>
          <w:lang w:eastAsia="zh-CN"/>
        </w:rPr>
        <w:t>5-1</w:t>
      </w:r>
      <w:r>
        <w:rPr>
          <w:rFonts w:hint="eastAsia" w:hAnsi="Times New Roman" w:eastAsia="宋体"/>
          <w:lang w:eastAsia="zh-CN"/>
        </w:rPr>
        <w:t>、K</w:t>
      </w:r>
      <w:r>
        <w:rPr>
          <w:rFonts w:hint="eastAsia" w:hAnsi="Times New Roman" w:eastAsia="宋体"/>
          <w:vertAlign w:val="subscript"/>
          <w:lang w:eastAsia="zh-CN"/>
        </w:rPr>
        <w:t>5</w:t>
      </w:r>
      <w:r>
        <w:rPr>
          <w:rFonts w:hint="eastAsia" w:hAnsi="Times New Roman" w:eastAsia="宋体"/>
          <w:lang w:eastAsia="zh-CN"/>
        </w:rPr>
        <w:t>煤层倾角一般在45～55°之间，采高在1.30m～1.32m，煤层赋存较稳定，设计采用走向长壁采煤法。</w:t>
      </w:r>
    </w:p>
    <w:p>
      <w:pPr>
        <w:spacing w:line="360" w:lineRule="auto"/>
        <w:ind w:firstLine="480" w:firstLineChars="200"/>
        <w:rPr>
          <w:rFonts w:hAnsi="Times New Roman" w:eastAsia="宋体"/>
          <w:lang w:eastAsia="zh-CN"/>
        </w:rPr>
      </w:pPr>
      <w:r>
        <w:rPr>
          <w:rFonts w:hint="eastAsia" w:hAnsi="Times New Roman" w:eastAsia="宋体"/>
          <w:lang w:eastAsia="zh-CN"/>
        </w:rPr>
        <w:t>根据矿井煤层赋存条件，矿井地质类型为中等，煤层倾角一般在45～55°，各煤层平均采高在1.3m～1.32m，赋存较稳定，具备综合机械化开采的条件，本次设计采用综合机械化采煤工艺。</w:t>
      </w:r>
    </w:p>
    <w:p>
      <w:pPr>
        <w:spacing w:line="360" w:lineRule="auto"/>
        <w:ind w:firstLine="480" w:firstLineChars="200"/>
        <w:rPr>
          <w:rFonts w:hAnsi="Times New Roman" w:eastAsia="宋体"/>
          <w:lang w:eastAsia="zh-CN"/>
        </w:rPr>
      </w:pPr>
      <w:r>
        <w:rPr>
          <w:rFonts w:hAnsi="Times New Roman" w:eastAsia="宋体"/>
          <w:lang w:eastAsia="zh-CN"/>
        </w:rPr>
        <w:t>综合机械化采煤：采用双滚筒采煤机采煤，前滚筒破煤、装煤，后滚筒清收浮煤。工作面采用综采液压支架支护顶板，采空区全部垮落法管理顶板。</w:t>
      </w:r>
    </w:p>
    <w:p>
      <w:pPr>
        <w:spacing w:line="360" w:lineRule="auto"/>
        <w:ind w:firstLine="480" w:firstLineChars="200"/>
        <w:rPr>
          <w:rFonts w:hAnsi="Times New Roman" w:eastAsia="宋体"/>
          <w:szCs w:val="22"/>
          <w:lang w:eastAsia="zh-CN"/>
        </w:rPr>
      </w:pPr>
      <w:r>
        <w:rPr>
          <w:rFonts w:hAnsi="Times New Roman" w:eastAsia="宋体"/>
          <w:szCs w:val="22"/>
          <w:lang w:eastAsia="zh-CN"/>
        </w:rPr>
        <w:t>（9）</w:t>
      </w:r>
      <w:r>
        <w:rPr>
          <w:rFonts w:hint="eastAsia" w:hAnsi="Times New Roman" w:eastAsia="宋体"/>
          <w:szCs w:val="22"/>
          <w:lang w:eastAsia="zh-CN"/>
        </w:rPr>
        <w:t>采煤</w:t>
      </w:r>
      <w:r>
        <w:rPr>
          <w:rFonts w:hAnsi="Times New Roman" w:eastAsia="宋体"/>
          <w:szCs w:val="22"/>
          <w:lang w:eastAsia="zh-CN"/>
        </w:rPr>
        <w:t>工作面</w:t>
      </w:r>
      <w:r>
        <w:rPr>
          <w:rFonts w:hint="eastAsia" w:hAnsi="Times New Roman" w:eastAsia="宋体"/>
          <w:szCs w:val="22"/>
          <w:lang w:eastAsia="zh-CN"/>
        </w:rPr>
        <w:t>布置</w:t>
      </w:r>
    </w:p>
    <w:p>
      <w:pPr>
        <w:pStyle w:val="19"/>
        <w:ind w:firstLine="480"/>
        <w:rPr>
          <w:lang w:eastAsia="zh-CN"/>
        </w:rPr>
      </w:pPr>
      <w:r>
        <w:rPr>
          <w:rFonts w:hint="eastAsia"/>
          <w:lang w:eastAsia="zh-CN"/>
        </w:rPr>
        <w:t>1）采煤工作面巷道布置</w:t>
      </w:r>
    </w:p>
    <w:p>
      <w:pPr>
        <w:pStyle w:val="19"/>
        <w:ind w:firstLine="480"/>
        <w:rPr>
          <w:lang w:eastAsia="zh-CN"/>
        </w:rPr>
      </w:pPr>
      <w:r>
        <w:rPr>
          <w:rFonts w:hint="eastAsia"/>
          <w:lang w:eastAsia="zh-CN"/>
        </w:rPr>
        <w:t>根据煤层赋存条件及开采技术条件，将首采工作面布置在开丰井田西翼+200m水平的一采区，首采工作面采用“U”型布置方式，沿煤层走向布置一条工作面运输巷和一条工作面回风巷，随后在采区边界沿煤层倾向布置一条开切眼将工作面运输巷和回风巷道贯通，从而形成回采工作面。采用沿空留巷，即上区段工作面运输巷留设作为下一个区段工作面的回风巷。</w:t>
      </w:r>
    </w:p>
    <w:p>
      <w:pPr>
        <w:pStyle w:val="19"/>
        <w:ind w:firstLine="480"/>
        <w:rPr>
          <w:lang w:eastAsia="zh-CN"/>
        </w:rPr>
      </w:pPr>
      <w:r>
        <w:rPr>
          <w:rFonts w:hint="eastAsia"/>
          <w:lang w:eastAsia="zh-CN"/>
        </w:rPr>
        <w:t>2）工作面长度及工作面推进</w:t>
      </w:r>
    </w:p>
    <w:p>
      <w:pPr>
        <w:pStyle w:val="19"/>
        <w:ind w:firstLine="480"/>
        <w:rPr>
          <w:lang w:eastAsia="zh-CN"/>
        </w:rPr>
      </w:pPr>
      <w:r>
        <w:rPr>
          <w:rFonts w:hint="eastAsia"/>
          <w:lang w:eastAsia="zh-CN"/>
        </w:rPr>
        <w:t>结合矿井投产采区已形成的回采区段（+411m～+300m区段）实际情况，将首采工作面（K6煤层2161工作面）长度确定为140m。</w:t>
      </w:r>
    </w:p>
    <w:p>
      <w:pPr>
        <w:pStyle w:val="19"/>
        <w:ind w:firstLine="480"/>
        <w:rPr>
          <w:lang w:eastAsia="zh-CN"/>
        </w:rPr>
      </w:pPr>
      <w:r>
        <w:rPr>
          <w:lang w:eastAsia="zh-CN"/>
        </w:rPr>
        <w:t>矿井工作制度仍遵循矿井现有的“三八制”，两班采煤，一班准备。采煤工作面每班完成3个循环，每个循环进度0.8m，日进度4.8m，按年工作日330天，循环率取</w:t>
      </w:r>
      <w:r>
        <w:rPr>
          <w:rFonts w:hint="eastAsia"/>
          <w:lang w:eastAsia="zh-CN"/>
        </w:rPr>
        <w:t>8</w:t>
      </w:r>
      <w:r>
        <w:rPr>
          <w:lang w:eastAsia="zh-CN"/>
        </w:rPr>
        <w:t>0％计算，工作面年推进度为1</w:t>
      </w:r>
      <w:r>
        <w:rPr>
          <w:rFonts w:hint="eastAsia"/>
          <w:lang w:eastAsia="zh-CN"/>
        </w:rPr>
        <w:t>267</w:t>
      </w:r>
      <w:r>
        <w:rPr>
          <w:lang w:eastAsia="zh-CN"/>
        </w:rPr>
        <w:t>m。</w:t>
      </w:r>
    </w:p>
    <w:p>
      <w:pPr>
        <w:pStyle w:val="6"/>
        <w:rPr>
          <w:lang w:eastAsia="zh-CN"/>
        </w:rPr>
      </w:pPr>
      <w:bookmarkStart w:id="97" w:name="_Toc167095140"/>
      <w:bookmarkStart w:id="98" w:name="_Toc163812517"/>
      <w:r>
        <w:rPr>
          <w:lang w:eastAsia="zh-CN"/>
        </w:rPr>
        <w:t>2.3.2 井下运输</w:t>
      </w:r>
      <w:bookmarkEnd w:id="97"/>
      <w:bookmarkEnd w:id="98"/>
    </w:p>
    <w:p>
      <w:pPr>
        <w:pStyle w:val="19"/>
        <w:ind w:firstLine="480"/>
        <w:rPr>
          <w:lang w:eastAsia="zh-CN"/>
        </w:rPr>
      </w:pPr>
      <w:r>
        <w:rPr>
          <w:lang w:eastAsia="zh-CN"/>
        </w:rPr>
        <w:t>投产时布置一个采区，采区生产能力按300kt/a。+379m主平硐、+200m水平东运输大巷采用轨道运输方式（铺设22kg/m钢轨，轨距600mm），利用已有矿用防爆特殊型蓄电池机车运输煤炭；运输斜巷采用刮板运输机运输煤炭；工作面运输巷 “机轨合一”采用带式输送机运输煤炭。</w:t>
      </w:r>
    </w:p>
    <w:p>
      <w:pPr>
        <w:pStyle w:val="19"/>
        <w:ind w:firstLine="480"/>
        <w:rPr>
          <w:lang w:eastAsia="zh-CN"/>
        </w:rPr>
      </w:pPr>
      <w:r>
        <w:rPr>
          <w:lang w:eastAsia="zh-CN"/>
        </w:rPr>
        <w:t>煤流线路</w:t>
      </w:r>
      <w:r>
        <w:rPr>
          <w:rFonts w:hint="eastAsia"/>
          <w:lang w:eastAsia="zh-CN"/>
        </w:rPr>
        <w:t>：</w:t>
      </w:r>
    </w:p>
    <w:p>
      <w:pPr>
        <w:pStyle w:val="19"/>
        <w:ind w:firstLine="480"/>
      </w:pPr>
      <w:r>
        <w:rPr>
          <w:rFonts w:hint="eastAsia"/>
        </w:rPr>
        <w:t>采煤工作面（刮板运输机）→工作面运输巷（带式输送机）→+300m运输石门（固定带式输送机）→区段煤仓→一采区运输人行上山（带式输送机）→一采区煤仓→+200m水平东运输大巷（带式输送机）→主暗斜井（固定式上运深槽大倾角带式输送机）→主平硐III段（带式输送机）→主平硐II段（带式输送机）→主平硐I段（带式输送机）→地面煤仓。</w:t>
      </w:r>
    </w:p>
    <w:p>
      <w:pPr>
        <w:pStyle w:val="6"/>
        <w:rPr>
          <w:lang w:eastAsia="zh-CN"/>
        </w:rPr>
      </w:pPr>
      <w:bookmarkStart w:id="99" w:name="_Toc163812518"/>
      <w:bookmarkStart w:id="100" w:name="_Toc167095141"/>
      <w:r>
        <w:rPr>
          <w:lang w:eastAsia="zh-CN"/>
        </w:rPr>
        <w:t>2.3.3 矿井通风</w:t>
      </w:r>
      <w:bookmarkEnd w:id="99"/>
      <w:bookmarkEnd w:id="100"/>
    </w:p>
    <w:p>
      <w:pPr>
        <w:spacing w:line="360" w:lineRule="auto"/>
        <w:ind w:firstLine="480" w:firstLineChars="200"/>
        <w:rPr>
          <w:rFonts w:hAnsi="Times New Roman" w:eastAsia="宋体"/>
          <w:lang w:eastAsia="zh-CN"/>
        </w:rPr>
      </w:pPr>
      <w:r>
        <w:rPr>
          <w:rFonts w:hAnsi="Times New Roman" w:eastAsia="宋体"/>
          <w:lang w:eastAsia="zh-CN"/>
        </w:rPr>
        <w:t>改扩建项目完成后，矿井通风方法和现有通风方法一致，均采用抽出式通风方式，采煤工作面采用“U”型通风，</w:t>
      </w:r>
      <w:r>
        <w:rPr>
          <w:rFonts w:hint="eastAsia" w:hAnsi="Times New Roman" w:eastAsia="宋体"/>
          <w:lang w:eastAsia="zh-CN"/>
        </w:rPr>
        <w:t>混合式</w:t>
      </w:r>
      <w:r>
        <w:rPr>
          <w:rFonts w:hAnsi="Times New Roman" w:eastAsia="宋体"/>
          <w:lang w:eastAsia="zh-CN"/>
        </w:rPr>
        <w:t>通风方式。矿井扩能改造完成时共有</w:t>
      </w:r>
      <w:r>
        <w:rPr>
          <w:rFonts w:hint="eastAsia" w:hAnsi="Times New Roman" w:eastAsia="宋体"/>
          <w:lang w:eastAsia="zh-CN"/>
        </w:rPr>
        <w:t>3</w:t>
      </w:r>
      <w:r>
        <w:rPr>
          <w:rFonts w:hAnsi="Times New Roman" w:eastAsia="宋体"/>
          <w:lang w:eastAsia="zh-CN"/>
        </w:rPr>
        <w:t>个</w:t>
      </w:r>
      <w:r>
        <w:rPr>
          <w:rFonts w:hint="eastAsia" w:hAnsi="Times New Roman" w:eastAsia="宋体"/>
          <w:lang w:eastAsia="zh-CN"/>
        </w:rPr>
        <w:t>进、回风</w:t>
      </w:r>
      <w:r>
        <w:rPr>
          <w:rFonts w:hAnsi="Times New Roman" w:eastAsia="宋体"/>
          <w:lang w:eastAsia="zh-CN"/>
        </w:rPr>
        <w:t>井，即+379m主平硐、+411m</w:t>
      </w:r>
      <w:r>
        <w:rPr>
          <w:rFonts w:hint="eastAsia" w:hAnsi="Times New Roman" w:eastAsia="宋体"/>
          <w:lang w:eastAsia="zh-CN"/>
        </w:rPr>
        <w:t>进风</w:t>
      </w:r>
      <w:r>
        <w:rPr>
          <w:rFonts w:hAnsi="Times New Roman" w:eastAsia="宋体"/>
          <w:lang w:eastAsia="zh-CN"/>
        </w:rPr>
        <w:t>平硐和+572m回风平硐。</w:t>
      </w:r>
    </w:p>
    <w:p>
      <w:pPr>
        <w:spacing w:line="360" w:lineRule="auto"/>
        <w:ind w:firstLine="480" w:firstLineChars="200"/>
        <w:rPr>
          <w:rFonts w:hAnsi="Times New Roman" w:eastAsia="宋体"/>
          <w:lang w:eastAsia="zh-CN"/>
        </w:rPr>
      </w:pPr>
      <w:r>
        <w:rPr>
          <w:rFonts w:hAnsi="Times New Roman" w:eastAsia="宋体"/>
          <w:lang w:eastAsia="zh-CN"/>
        </w:rPr>
        <w:t>通风线路为：</w:t>
      </w:r>
      <w:r>
        <w:rPr>
          <w:rFonts w:hint="eastAsia" w:hAnsi="Times New Roman" w:eastAsia="宋体"/>
          <w:lang w:eastAsia="zh-CN"/>
        </w:rPr>
        <w:t>新鲜风流由主平硐和+</w:t>
      </w:r>
      <w:r>
        <w:rPr>
          <w:rFonts w:hAnsi="Times New Roman" w:eastAsia="宋体"/>
          <w:lang w:eastAsia="zh-CN"/>
        </w:rPr>
        <w:t>411</w:t>
      </w:r>
      <w:r>
        <w:rPr>
          <w:rFonts w:hint="eastAsia" w:hAnsi="Times New Roman" w:eastAsia="宋体"/>
          <w:lang w:eastAsia="zh-CN"/>
        </w:rPr>
        <w:t>m进风平硐进入，污风通过+</w:t>
      </w:r>
      <w:r>
        <w:rPr>
          <w:rFonts w:hAnsi="Times New Roman" w:eastAsia="宋体"/>
          <w:lang w:eastAsia="zh-CN"/>
        </w:rPr>
        <w:t>572</w:t>
      </w:r>
      <w:r>
        <w:rPr>
          <w:rFonts w:hint="eastAsia" w:hAnsi="Times New Roman" w:eastAsia="宋体"/>
          <w:lang w:eastAsia="zh-CN"/>
        </w:rPr>
        <w:t>m回风平硐排出。回采工作面和各掘进工作面均采用独立通风，回采工作面采用“U型”通风，掘进工作面采用压入式通风。投产时布置</w:t>
      </w:r>
      <w:r>
        <w:rPr>
          <w:rFonts w:hAnsi="Times New Roman" w:eastAsia="宋体"/>
          <w:lang w:eastAsia="zh-CN"/>
        </w:rPr>
        <w:t>1</w:t>
      </w:r>
      <w:r>
        <w:rPr>
          <w:rFonts w:hint="eastAsia" w:hAnsi="Times New Roman" w:eastAsia="宋体"/>
          <w:lang w:eastAsia="zh-CN"/>
        </w:rPr>
        <w:t>个综采工作面、2个掘进工作面。</w:t>
      </w:r>
    </w:p>
    <w:p>
      <w:pPr>
        <w:pStyle w:val="6"/>
        <w:rPr>
          <w:lang w:eastAsia="zh-CN"/>
        </w:rPr>
      </w:pPr>
      <w:bookmarkStart w:id="101" w:name="_Toc167095142"/>
      <w:bookmarkStart w:id="102" w:name="_Toc163812519"/>
      <w:r>
        <w:rPr>
          <w:lang w:eastAsia="zh-CN"/>
        </w:rPr>
        <w:t>2.3.4 矿井瓦斯抽采系统</w:t>
      </w:r>
      <w:bookmarkEnd w:id="101"/>
      <w:bookmarkEnd w:id="102"/>
    </w:p>
    <w:p>
      <w:pPr>
        <w:spacing w:line="360" w:lineRule="auto"/>
        <w:ind w:firstLine="480" w:firstLineChars="200"/>
        <w:rPr>
          <w:rFonts w:hAnsi="Times New Roman" w:eastAsia="宋体"/>
          <w:lang w:eastAsia="zh-CN"/>
        </w:rPr>
      </w:pPr>
      <w:r>
        <w:rPr>
          <w:rFonts w:hAnsi="Times New Roman" w:eastAsia="宋体"/>
          <w:lang w:eastAsia="zh-CN"/>
        </w:rPr>
        <w:t>该矿按低瓦斯矿井设计，按生产能力300kt/a设计瓦斯抽采系统。建立一套低负压固定抽采系统，选用2台2BE</w:t>
      </w:r>
      <w:r>
        <w:rPr>
          <w:rFonts w:hint="eastAsia" w:hAnsi="Times New Roman" w:eastAsia="宋体"/>
          <w:lang w:eastAsia="zh-CN"/>
        </w:rPr>
        <w:t>A-253</w:t>
      </w:r>
      <w:r>
        <w:rPr>
          <w:rFonts w:hAnsi="Times New Roman" w:eastAsia="宋体"/>
          <w:lang w:eastAsia="zh-CN"/>
        </w:rPr>
        <w:t>型水环真空泵（1用1备），矿井投产及达产时瓦斯抽采泵站设置+572m回风平硐工业场地附近，为开采</w:t>
      </w:r>
      <w:r>
        <w:rPr>
          <w:rFonts w:hint="eastAsia" w:hAnsi="Times New Roman" w:eastAsia="宋体"/>
          <w:lang w:eastAsia="zh-CN"/>
        </w:rPr>
        <w:t>一、二</w:t>
      </w:r>
      <w:r>
        <w:rPr>
          <w:rFonts w:hAnsi="Times New Roman" w:eastAsia="宋体"/>
          <w:lang w:eastAsia="zh-CN"/>
        </w:rPr>
        <w:t>采区瓦斯抽采服务；待</w:t>
      </w:r>
      <w:r>
        <w:rPr>
          <w:rFonts w:hint="eastAsia" w:hAnsi="Times New Roman" w:eastAsia="宋体"/>
          <w:lang w:eastAsia="zh-CN"/>
        </w:rPr>
        <w:t>一、二</w:t>
      </w:r>
      <w:r>
        <w:rPr>
          <w:rFonts w:hAnsi="Times New Roman" w:eastAsia="宋体"/>
          <w:lang w:eastAsia="zh-CN"/>
        </w:rPr>
        <w:t>采区开采完毕后，瓦斯抽采泵站搬迁至+548m回风平硐工业场地附近，为开采</w:t>
      </w:r>
      <w:r>
        <w:rPr>
          <w:rFonts w:hint="eastAsia" w:hAnsi="Times New Roman" w:eastAsia="宋体"/>
          <w:lang w:eastAsia="zh-CN"/>
        </w:rPr>
        <w:t>三</w:t>
      </w:r>
      <w:r>
        <w:rPr>
          <w:rFonts w:hAnsi="Times New Roman" w:eastAsia="宋体"/>
          <w:lang w:eastAsia="zh-CN"/>
        </w:rPr>
        <w:t>采区瓦斯抽采服务。</w:t>
      </w:r>
    </w:p>
    <w:p>
      <w:pPr>
        <w:pStyle w:val="6"/>
        <w:rPr>
          <w:lang w:eastAsia="zh-CN"/>
        </w:rPr>
      </w:pPr>
      <w:bookmarkStart w:id="103" w:name="_Toc167095143"/>
      <w:bookmarkStart w:id="104" w:name="_Toc163812520"/>
      <w:r>
        <w:rPr>
          <w:lang w:eastAsia="zh-CN"/>
        </w:rPr>
        <w:t>2.3.5 矿井排水</w:t>
      </w:r>
      <w:bookmarkEnd w:id="103"/>
      <w:bookmarkEnd w:id="104"/>
    </w:p>
    <w:p>
      <w:pPr>
        <w:spacing w:line="360" w:lineRule="auto"/>
        <w:ind w:firstLine="480" w:firstLineChars="200"/>
        <w:rPr>
          <w:rFonts w:hAnsi="Times New Roman" w:eastAsia="宋体"/>
          <w:lang w:eastAsia="zh-CN"/>
        </w:rPr>
      </w:pPr>
      <w:r>
        <w:rPr>
          <w:rFonts w:hAnsi="Times New Roman" w:eastAsia="宋体"/>
          <w:lang w:eastAsia="zh-CN"/>
        </w:rPr>
        <w:t>矿井采用平硐、斜井综合开拓方式，采用一级机械排水方式。在副暗斜井井底车场附近+200m标高设置水泵房，安设排水设备，将矿井涌水量经+200m水泵沿副暗斜井排水管（两趟D219×6无缝钢管）排至+379m主平硐水沟，然后自流出地面。</w:t>
      </w:r>
    </w:p>
    <w:p>
      <w:pPr>
        <w:spacing w:line="360" w:lineRule="auto"/>
        <w:ind w:firstLine="480" w:firstLineChars="200"/>
        <w:rPr>
          <w:rFonts w:hAnsi="Times New Roman" w:eastAsia="宋体"/>
          <w:lang w:eastAsia="zh-CN"/>
        </w:rPr>
      </w:pPr>
      <w:r>
        <w:rPr>
          <w:rFonts w:hAnsi="Times New Roman" w:eastAsia="宋体"/>
          <w:lang w:eastAsia="zh-CN"/>
        </w:rPr>
        <w:t>+200m水泵房选用</w:t>
      </w:r>
      <w:r>
        <w:rPr>
          <w:rFonts w:hint="eastAsia" w:hAnsi="Times New Roman" w:eastAsia="宋体"/>
          <w:lang w:eastAsia="zh-CN"/>
        </w:rPr>
        <w:t>4</w:t>
      </w:r>
      <w:r>
        <w:rPr>
          <w:rFonts w:hAnsi="Times New Roman" w:eastAsia="宋体"/>
          <w:lang w:eastAsia="zh-CN"/>
        </w:rPr>
        <w:t>台MD280-43×6型离心式水泵（额定流量280m</w:t>
      </w:r>
      <w:r>
        <w:rPr>
          <w:rFonts w:hAnsi="Times New Roman" w:eastAsia="宋体"/>
          <w:vertAlign w:val="superscript"/>
          <w:lang w:eastAsia="zh-CN"/>
        </w:rPr>
        <w:t>3</w:t>
      </w:r>
      <w:r>
        <w:rPr>
          <w:rFonts w:hAnsi="Times New Roman" w:eastAsia="宋体"/>
          <w:lang w:eastAsia="zh-CN"/>
        </w:rPr>
        <w:t>/h，额定扬程258m，额定功率315kW）能满足排水要求。</w:t>
      </w:r>
    </w:p>
    <w:p>
      <w:pPr>
        <w:pStyle w:val="6"/>
        <w:rPr>
          <w:lang w:eastAsia="zh-CN"/>
        </w:rPr>
      </w:pPr>
      <w:bookmarkStart w:id="105" w:name="_Toc167095144"/>
      <w:bookmarkStart w:id="106" w:name="_Toc163812521"/>
      <w:r>
        <w:rPr>
          <w:lang w:eastAsia="zh-CN"/>
        </w:rPr>
        <w:t>2.3.6 矿井地面生产系统</w:t>
      </w:r>
      <w:bookmarkEnd w:id="105"/>
      <w:bookmarkEnd w:id="106"/>
    </w:p>
    <w:p>
      <w:pPr>
        <w:spacing w:line="360" w:lineRule="auto"/>
        <w:ind w:firstLine="480" w:firstLineChars="200"/>
        <w:rPr>
          <w:rFonts w:hAnsi="Times New Roman" w:eastAsia="宋体"/>
          <w:lang w:eastAsia="zh-CN"/>
        </w:rPr>
      </w:pPr>
      <w:r>
        <w:rPr>
          <w:rFonts w:hAnsi="Times New Roman" w:eastAsia="宋体"/>
          <w:lang w:eastAsia="zh-CN"/>
        </w:rPr>
        <w:t>目前七里峡煤矿地面生产系统由主平硐生产系统、储运系统和辅助生产线系统。七里峡煤矿独立升级改造主要利用现有的地面生产系统为主，仅对部分生产系统进行适应性升级改造。</w:t>
      </w:r>
    </w:p>
    <w:p>
      <w:pPr>
        <w:pStyle w:val="8"/>
        <w:rPr>
          <w:rFonts w:ascii="Times New Roman" w:hAnsi="Times New Roman"/>
          <w:lang w:eastAsia="zh-CN"/>
        </w:rPr>
      </w:pPr>
      <w:r>
        <w:rPr>
          <w:rFonts w:ascii="Times New Roman" w:hAnsi="Times New Roman"/>
          <w:lang w:eastAsia="zh-CN"/>
        </w:rPr>
        <w:t>2.3.6.1 原煤生产系统</w:t>
      </w:r>
    </w:p>
    <w:p>
      <w:pPr>
        <w:spacing w:line="360" w:lineRule="auto"/>
        <w:ind w:firstLine="480" w:firstLineChars="200"/>
        <w:rPr>
          <w:rFonts w:hAnsi="Times New Roman" w:eastAsia="宋体"/>
          <w:lang w:eastAsia="zh-CN"/>
        </w:rPr>
      </w:pPr>
      <w:r>
        <w:rPr>
          <w:rFonts w:hAnsi="Times New Roman" w:eastAsia="宋体"/>
          <w:lang w:eastAsia="zh-CN"/>
        </w:rPr>
        <w:t>地面生产系统将由受煤、储煤、装车及计量等环节组成。矿井原煤矿车由机车从井下拉至地面生产系统翻车机房，经人工摘钩后再经翻车机将原煤卸至斜坡煤场。原煤通过汽车外运。煤炭计量采用地磅方式。</w:t>
      </w:r>
    </w:p>
    <w:p>
      <w:pPr>
        <w:spacing w:line="440" w:lineRule="exact"/>
        <w:ind w:firstLine="482" w:firstLineChars="200"/>
        <w:rPr>
          <w:rFonts w:hAnsi="Times New Roman" w:eastAsia="宋体"/>
          <w:lang w:eastAsia="zh-CN"/>
        </w:rPr>
      </w:pPr>
      <w:r>
        <w:rPr>
          <w:rFonts w:hAnsi="Times New Roman" w:eastAsia="宋体"/>
          <w:b/>
          <w:bCs/>
          <w:lang w:eastAsia="zh-CN"/>
        </w:rPr>
        <w:t>受煤：</w:t>
      </w:r>
      <w:r>
        <w:rPr>
          <w:rFonts w:hAnsi="Times New Roman" w:eastAsia="宋体"/>
          <w:lang w:eastAsia="zh-CN"/>
        </w:rPr>
        <w:t>矿车为1t 标准矿车，设计上采用1t 矿车单车摘钩翻车机，矿车轨距为600mm，环形车站。</w:t>
      </w:r>
    </w:p>
    <w:p>
      <w:pPr>
        <w:spacing w:line="440" w:lineRule="exact"/>
        <w:ind w:firstLine="482" w:firstLineChars="200"/>
        <w:rPr>
          <w:rFonts w:hAnsi="Times New Roman" w:eastAsia="宋体"/>
          <w:lang w:eastAsia="zh-CN"/>
        </w:rPr>
      </w:pPr>
      <w:r>
        <w:rPr>
          <w:rFonts w:hAnsi="Times New Roman" w:eastAsia="宋体"/>
          <w:b/>
          <w:bCs/>
          <w:lang w:eastAsia="zh-CN"/>
        </w:rPr>
        <w:t>储煤：</w:t>
      </w:r>
      <w:r>
        <w:rPr>
          <w:rFonts w:hAnsi="Times New Roman" w:eastAsia="宋体"/>
          <w:lang w:eastAsia="zh-CN"/>
        </w:rPr>
        <w:t>采用半封闭式储煤场，该方式投资少，储煤能力大，便于装车外运，储煤能力约为煤矿11天的产量，约为10000t。</w:t>
      </w:r>
    </w:p>
    <w:p>
      <w:pPr>
        <w:spacing w:line="440" w:lineRule="exact"/>
        <w:ind w:firstLine="482" w:firstLineChars="200"/>
        <w:rPr>
          <w:rFonts w:hAnsi="Times New Roman" w:eastAsia="宋体"/>
          <w:lang w:eastAsia="zh-CN"/>
        </w:rPr>
      </w:pPr>
      <w:r>
        <w:rPr>
          <w:rFonts w:hAnsi="Times New Roman" w:eastAsia="宋体"/>
          <w:b/>
          <w:bCs/>
          <w:lang w:eastAsia="zh-CN"/>
        </w:rPr>
        <w:t>装车：</w:t>
      </w:r>
      <w:r>
        <w:rPr>
          <w:rFonts w:hAnsi="Times New Roman" w:eastAsia="宋体"/>
          <w:lang w:eastAsia="zh-CN"/>
        </w:rPr>
        <w:t>产品外运方式为汽车运输，设计上考虑通过装载机装车外运。计量：原煤计量采用地磅。</w:t>
      </w:r>
    </w:p>
    <w:p>
      <w:pPr>
        <w:pStyle w:val="8"/>
        <w:spacing w:line="440" w:lineRule="exact"/>
        <w:rPr>
          <w:rFonts w:ascii="Times New Roman" w:hAnsi="Times New Roman"/>
          <w:lang w:eastAsia="zh-CN"/>
        </w:rPr>
      </w:pPr>
      <w:r>
        <w:rPr>
          <w:rFonts w:ascii="Times New Roman" w:hAnsi="Times New Roman"/>
          <w:lang w:eastAsia="zh-CN"/>
        </w:rPr>
        <w:t>2.3.6.2 排矸系统</w:t>
      </w:r>
    </w:p>
    <w:p>
      <w:pPr>
        <w:spacing w:line="440" w:lineRule="exact"/>
        <w:ind w:firstLine="480" w:firstLineChars="200"/>
        <w:rPr>
          <w:rFonts w:hAnsi="Times New Roman" w:eastAsia="宋体"/>
          <w:lang w:eastAsia="zh-CN"/>
        </w:rPr>
      </w:pPr>
      <w:r>
        <w:rPr>
          <w:rFonts w:hAnsi="Times New Roman" w:eastAsia="宋体"/>
          <w:lang w:eastAsia="zh-CN"/>
        </w:rPr>
        <w:t>按矿井能力、生产工艺计算，项目排矸量为30kt/a（约1.6万m</w:t>
      </w:r>
      <w:r>
        <w:rPr>
          <w:rFonts w:hAnsi="Times New Roman" w:eastAsia="宋体"/>
          <w:vertAlign w:val="superscript"/>
          <w:lang w:eastAsia="zh-CN"/>
        </w:rPr>
        <w:t>3</w:t>
      </w:r>
      <w:r>
        <w:rPr>
          <w:rFonts w:hAnsi="Times New Roman" w:eastAsia="宋体"/>
          <w:lang w:eastAsia="zh-CN"/>
        </w:rPr>
        <w:t>/a）。井下矸石由主平硐蓄电池机车牵引出井后，通过地面窄轨铁路运输到矸石转运场上方，由翻车机将矸石翻卸到矸石转运场。再通过汽车运输到当地的矸砖厂（与宣汉县平桥砖厂签订有《煤矸石处理协议》），作为制砖原料和燃料。</w:t>
      </w:r>
    </w:p>
    <w:p>
      <w:pPr>
        <w:pStyle w:val="8"/>
        <w:spacing w:line="440" w:lineRule="exact"/>
        <w:rPr>
          <w:rFonts w:ascii="Times New Roman" w:hAnsi="Times New Roman"/>
          <w:lang w:eastAsia="zh-CN"/>
        </w:rPr>
      </w:pPr>
      <w:r>
        <w:rPr>
          <w:rFonts w:ascii="Times New Roman" w:hAnsi="Times New Roman"/>
          <w:lang w:eastAsia="zh-CN"/>
        </w:rPr>
        <w:t>2.3.6.3 洗煤厂</w:t>
      </w:r>
    </w:p>
    <w:p>
      <w:pPr>
        <w:spacing w:line="440" w:lineRule="exact"/>
        <w:ind w:firstLine="480" w:firstLineChars="200"/>
        <w:rPr>
          <w:rFonts w:hAnsi="Times New Roman" w:eastAsia="宋体"/>
          <w:lang w:eastAsia="zh-CN"/>
        </w:rPr>
      </w:pPr>
      <w:r>
        <w:rPr>
          <w:rFonts w:hAnsi="Times New Roman" w:eastAsia="宋体"/>
          <w:lang w:eastAsia="zh-CN"/>
        </w:rPr>
        <w:t>七里峡煤矿扩建工程完成后，产生的煤炭委托</w:t>
      </w:r>
      <w:r>
        <w:rPr>
          <w:rFonts w:hint="eastAsia" w:hAnsi="Times New Roman" w:eastAsia="宋体"/>
          <w:lang w:eastAsia="zh-CN"/>
        </w:rPr>
        <w:t>达州宣汉县大路能源有限公司选煤厂</w:t>
      </w:r>
      <w:r>
        <w:rPr>
          <w:rFonts w:hAnsi="Times New Roman" w:eastAsia="宋体"/>
          <w:lang w:eastAsia="zh-CN"/>
        </w:rPr>
        <w:t>进行原煤洗选加工。该选煤厂位于达州市宣汉县天生镇</w:t>
      </w:r>
      <w:r>
        <w:rPr>
          <w:rFonts w:hint="eastAsia" w:hAnsi="Times New Roman" w:eastAsia="宋体"/>
          <w:lang w:eastAsia="zh-CN"/>
        </w:rPr>
        <w:t>一</w:t>
      </w:r>
      <w:r>
        <w:rPr>
          <w:rFonts w:hAnsi="Times New Roman" w:eastAsia="宋体"/>
          <w:lang w:eastAsia="zh-CN"/>
        </w:rPr>
        <w:t>村，距离七里峡煤矿约9km，原煤入洗能力为</w:t>
      </w:r>
      <w:r>
        <w:rPr>
          <w:rFonts w:hint="eastAsia" w:hAnsi="Times New Roman" w:eastAsia="宋体"/>
          <w:lang w:eastAsia="zh-CN"/>
        </w:rPr>
        <w:t>6</w:t>
      </w:r>
      <w:r>
        <w:rPr>
          <w:rFonts w:hAnsi="Times New Roman" w:eastAsia="宋体"/>
          <w:lang w:eastAsia="zh-CN"/>
        </w:rPr>
        <w:t>00kt/a，洗选工艺为重介洗选。目前该洗选厂主要为大路煤矿和七里峡煤矿进行洗选加工，其余部分为外购煤，大路煤矿扩建后生产能力为300kt/a，七里峡煤矿扩建后生产能力为300kt/a，因而该洗选厂完全能够满足七里峡煤矿的原煤全部进入该洗选厂进行洗选加工。洗后精煤主要供达州钢铁厂</w:t>
      </w:r>
      <w:r>
        <w:rPr>
          <w:rFonts w:hint="eastAsia" w:hAnsi="Times New Roman" w:eastAsia="宋体"/>
          <w:lang w:eastAsia="zh-CN"/>
        </w:rPr>
        <w:t>及其他单位</w:t>
      </w:r>
      <w:r>
        <w:rPr>
          <w:rFonts w:hAnsi="Times New Roman" w:eastAsia="宋体"/>
          <w:lang w:eastAsia="zh-CN"/>
        </w:rPr>
        <w:t>，中煤供电厂或外销，矸石和煤泥用作制矸砖和水泥。</w:t>
      </w:r>
    </w:p>
    <w:p>
      <w:pPr>
        <w:pStyle w:val="8"/>
        <w:jc w:val="center"/>
        <w:rPr>
          <w:rFonts w:ascii="Times New Roman" w:hAnsi="Times New Roman"/>
          <w:lang w:eastAsia="zh-CN"/>
        </w:rPr>
      </w:pPr>
      <w:r>
        <w:drawing>
          <wp:inline distT="0" distB="0" distL="114300" distR="114300">
            <wp:extent cx="5363210" cy="3387725"/>
            <wp:effectExtent l="0" t="0" r="8890" b="3175"/>
            <wp:docPr id="249"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63"/>
                    <pic:cNvPicPr>
                      <a:picLocks noChangeAspect="1"/>
                    </pic:cNvPicPr>
                  </pic:nvPicPr>
                  <pic:blipFill>
                    <a:blip r:embed="rId59"/>
                    <a:stretch>
                      <a:fillRect/>
                    </a:stretch>
                  </pic:blipFill>
                  <pic:spPr>
                    <a:xfrm>
                      <a:off x="0" y="0"/>
                      <a:ext cx="5363210" cy="3387725"/>
                    </a:xfrm>
                    <a:prstGeom prst="rect">
                      <a:avLst/>
                    </a:prstGeom>
                    <a:noFill/>
                    <a:ln>
                      <a:noFill/>
                    </a:ln>
                  </pic:spPr>
                </pic:pic>
              </a:graphicData>
            </a:graphic>
          </wp:inline>
        </w:drawing>
      </w:r>
    </w:p>
    <w:p>
      <w:pPr>
        <w:snapToGrid w:val="0"/>
        <w:spacing w:line="360" w:lineRule="auto"/>
        <w:jc w:val="center"/>
        <w:rPr>
          <w:rFonts w:hAnsi="Times New Roman" w:eastAsia="宋体"/>
          <w:b/>
          <w:bCs/>
          <w:sz w:val="21"/>
          <w:szCs w:val="21"/>
          <w:lang w:eastAsia="zh-CN"/>
        </w:rPr>
      </w:pPr>
      <w:r>
        <w:rPr>
          <w:rFonts w:hAnsi="Times New Roman" w:eastAsia="宋体"/>
          <w:b/>
          <w:bCs/>
          <w:sz w:val="21"/>
          <w:szCs w:val="21"/>
          <w:lang w:eastAsia="zh-CN"/>
        </w:rPr>
        <w:t xml:space="preserve">图2.3-1 </w:t>
      </w:r>
      <w:r>
        <w:rPr>
          <w:rFonts w:hint="eastAsia" w:hAnsi="Times New Roman" w:eastAsia="宋体"/>
          <w:b/>
          <w:bCs/>
          <w:sz w:val="21"/>
          <w:szCs w:val="21"/>
          <w:lang w:eastAsia="zh-CN"/>
        </w:rPr>
        <w:t>原</w:t>
      </w:r>
      <w:r>
        <w:rPr>
          <w:rFonts w:hAnsi="Times New Roman" w:eastAsia="宋体"/>
          <w:b/>
          <w:bCs/>
          <w:sz w:val="21"/>
          <w:szCs w:val="21"/>
          <w:lang w:eastAsia="zh-CN"/>
        </w:rPr>
        <w:t>煤、</w:t>
      </w:r>
      <w:r>
        <w:rPr>
          <w:rFonts w:hint="eastAsia" w:hAnsi="Times New Roman" w:eastAsia="宋体"/>
          <w:b/>
          <w:bCs/>
          <w:sz w:val="21"/>
          <w:szCs w:val="21"/>
          <w:lang w:eastAsia="zh-CN"/>
        </w:rPr>
        <w:t>矸石转运</w:t>
      </w:r>
      <w:r>
        <w:rPr>
          <w:rFonts w:hAnsi="Times New Roman" w:eastAsia="宋体"/>
          <w:b/>
          <w:bCs/>
          <w:sz w:val="21"/>
          <w:szCs w:val="21"/>
          <w:lang w:eastAsia="zh-CN"/>
        </w:rPr>
        <w:t>路线</w:t>
      </w:r>
    </w:p>
    <w:p>
      <w:pPr>
        <w:pStyle w:val="8"/>
        <w:rPr>
          <w:rFonts w:ascii="Times New Roman" w:hAnsi="Times New Roman"/>
          <w:lang w:eastAsia="zh-CN"/>
        </w:rPr>
      </w:pPr>
      <w:r>
        <w:rPr>
          <w:rFonts w:ascii="Times New Roman" w:hAnsi="Times New Roman"/>
          <w:lang w:eastAsia="zh-CN"/>
        </w:rPr>
        <w:t>2.3.6.4 辅助设施</w:t>
      </w:r>
    </w:p>
    <w:p>
      <w:pPr>
        <w:spacing w:line="360" w:lineRule="auto"/>
        <w:ind w:firstLine="480" w:firstLineChars="200"/>
        <w:rPr>
          <w:rFonts w:hAnsi="Times New Roman" w:eastAsia="宋体"/>
          <w:lang w:eastAsia="zh-CN"/>
        </w:rPr>
      </w:pPr>
      <w:r>
        <w:rPr>
          <w:rFonts w:hAnsi="Times New Roman" w:eastAsia="宋体"/>
          <w:lang w:eastAsia="zh-CN"/>
        </w:rPr>
        <w:t>（1）机修车间</w:t>
      </w:r>
    </w:p>
    <w:p>
      <w:pPr>
        <w:spacing w:line="360" w:lineRule="auto"/>
        <w:ind w:firstLine="480" w:firstLineChars="200"/>
        <w:rPr>
          <w:rFonts w:hAnsi="Times New Roman" w:eastAsia="宋体"/>
          <w:lang w:eastAsia="zh-CN"/>
        </w:rPr>
      </w:pPr>
      <w:r>
        <w:rPr>
          <w:rFonts w:hAnsi="Times New Roman" w:eastAsia="宋体"/>
          <w:lang w:eastAsia="zh-CN"/>
        </w:rPr>
        <w:t>矿井工业广场内设机修车间，主要负责矿井机电设备的日常检修和维护，保养，承担矿车及拱形金属支柱等材料性设备的修理，不生产配件。</w:t>
      </w:r>
    </w:p>
    <w:p>
      <w:pPr>
        <w:spacing w:line="360" w:lineRule="auto"/>
        <w:ind w:firstLine="480" w:firstLineChars="200"/>
        <w:rPr>
          <w:rFonts w:hAnsi="Times New Roman" w:eastAsia="宋体"/>
          <w:lang w:eastAsia="zh-CN"/>
        </w:rPr>
      </w:pPr>
      <w:r>
        <w:rPr>
          <w:rFonts w:hAnsi="Times New Roman" w:eastAsia="宋体"/>
          <w:lang w:eastAsia="zh-CN"/>
        </w:rPr>
        <w:t>矿井修理车间采用联合布置，由机械加工及钳工修理工段、锻铆焊工段、矿车修理工段、支柱维修工段四个工段组成，机修车间建筑面积480m</w:t>
      </w:r>
      <w:r>
        <w:rPr>
          <w:rFonts w:hAnsi="Times New Roman" w:eastAsia="宋体"/>
          <w:vertAlign w:val="superscript"/>
          <w:lang w:eastAsia="zh-CN"/>
        </w:rPr>
        <w:t>2</w:t>
      </w:r>
      <w:r>
        <w:rPr>
          <w:rFonts w:hAnsi="Times New Roman" w:eastAsia="宋体"/>
          <w:lang w:eastAsia="zh-CN"/>
        </w:rPr>
        <w:t>。</w:t>
      </w:r>
    </w:p>
    <w:p>
      <w:pPr>
        <w:spacing w:line="360" w:lineRule="auto"/>
        <w:ind w:firstLine="480" w:firstLineChars="200"/>
        <w:rPr>
          <w:rFonts w:hAnsi="Times New Roman" w:eastAsia="宋体"/>
          <w:lang w:eastAsia="zh-CN"/>
        </w:rPr>
      </w:pPr>
      <w:r>
        <w:rPr>
          <w:rFonts w:hAnsi="Times New Roman" w:eastAsia="宋体"/>
          <w:lang w:eastAsia="zh-CN"/>
        </w:rPr>
        <w:t>（2）综采设备中转库</w:t>
      </w:r>
    </w:p>
    <w:p>
      <w:pPr>
        <w:spacing w:line="360" w:lineRule="auto"/>
        <w:ind w:firstLine="480" w:firstLineChars="200"/>
        <w:rPr>
          <w:rFonts w:hAnsi="Times New Roman" w:eastAsia="宋体"/>
          <w:lang w:eastAsia="zh-CN"/>
        </w:rPr>
      </w:pPr>
      <w:r>
        <w:rPr>
          <w:rFonts w:hAnsi="Times New Roman" w:eastAsia="宋体"/>
          <w:lang w:eastAsia="zh-CN"/>
        </w:rPr>
        <w:t>矿井采用综合机械化采煤工艺，工业场地设有设备中转库1座，承担液压支架、采煤机的临时存放及日常维护和保养，配有20吨LH型电动葫芦双梁桥式起重机1台，中转库面积为300m</w:t>
      </w:r>
      <w:r>
        <w:rPr>
          <w:rFonts w:hAnsi="Times New Roman" w:eastAsia="宋体"/>
          <w:vertAlign w:val="superscript"/>
          <w:lang w:eastAsia="zh-CN"/>
        </w:rPr>
        <w:t>2</w:t>
      </w:r>
      <w:r>
        <w:rPr>
          <w:rFonts w:hAnsi="Times New Roman" w:eastAsia="宋体"/>
          <w:lang w:eastAsia="zh-CN"/>
        </w:rPr>
        <w:t>。</w:t>
      </w:r>
    </w:p>
    <w:p>
      <w:pPr>
        <w:spacing w:line="360" w:lineRule="auto"/>
        <w:ind w:firstLine="480" w:firstLineChars="200"/>
        <w:rPr>
          <w:rFonts w:hAnsi="Times New Roman" w:eastAsia="宋体"/>
          <w:lang w:eastAsia="zh-CN"/>
        </w:rPr>
      </w:pPr>
      <w:r>
        <w:rPr>
          <w:rFonts w:hAnsi="Times New Roman" w:eastAsia="宋体"/>
          <w:lang w:eastAsia="zh-CN"/>
        </w:rPr>
        <w:t>（3）坑木加工房</w:t>
      </w:r>
    </w:p>
    <w:p>
      <w:pPr>
        <w:spacing w:line="360" w:lineRule="auto"/>
        <w:ind w:firstLine="480" w:firstLineChars="200"/>
        <w:rPr>
          <w:rFonts w:hAnsi="Times New Roman" w:eastAsia="宋体"/>
          <w:lang w:eastAsia="zh-CN"/>
        </w:rPr>
      </w:pPr>
      <w:r>
        <w:rPr>
          <w:rFonts w:hAnsi="Times New Roman" w:eastAsia="宋体"/>
          <w:lang w:eastAsia="zh-CN"/>
        </w:rPr>
        <w:t>在主平硐工业广场内设坑木加工房一座，主要承担矿井生产煤炭所需的坑木加工，亦可承担部分房建维修所需的木材加工。</w:t>
      </w:r>
    </w:p>
    <w:p>
      <w:pPr>
        <w:spacing w:line="360" w:lineRule="auto"/>
        <w:ind w:firstLine="480" w:firstLineChars="200"/>
        <w:rPr>
          <w:rFonts w:hAnsi="Times New Roman" w:eastAsia="宋体"/>
          <w:lang w:eastAsia="zh-CN"/>
        </w:rPr>
      </w:pPr>
      <w:r>
        <w:rPr>
          <w:rFonts w:hAnsi="Times New Roman" w:eastAsia="宋体"/>
          <w:lang w:eastAsia="zh-CN"/>
        </w:rPr>
        <w:t>坑木房主要配备加工木材的木工圆锯机一台，承担矿井木材的加工；设置的万能刃磨机一台，承担木工圆锯机设备，圆盘锯锯齿的刃磨。</w:t>
      </w:r>
    </w:p>
    <w:p>
      <w:pPr>
        <w:spacing w:line="360" w:lineRule="auto"/>
        <w:ind w:firstLine="480" w:firstLineChars="200"/>
        <w:rPr>
          <w:rFonts w:hAnsi="Times New Roman" w:eastAsia="宋体"/>
          <w:lang w:eastAsia="zh-CN"/>
        </w:rPr>
      </w:pPr>
      <w:r>
        <w:rPr>
          <w:rFonts w:hAnsi="Times New Roman" w:eastAsia="宋体"/>
          <w:lang w:eastAsia="zh-CN"/>
        </w:rPr>
        <w:t>（4）材料库</w:t>
      </w:r>
    </w:p>
    <w:p>
      <w:pPr>
        <w:spacing w:line="360" w:lineRule="auto"/>
        <w:ind w:firstLine="480" w:firstLineChars="200"/>
        <w:rPr>
          <w:rFonts w:hAnsi="Times New Roman" w:eastAsia="宋体"/>
          <w:lang w:eastAsia="zh-CN"/>
        </w:rPr>
      </w:pPr>
      <w:r>
        <w:rPr>
          <w:rFonts w:hAnsi="Times New Roman" w:eastAsia="宋体"/>
          <w:lang w:eastAsia="zh-CN"/>
        </w:rPr>
        <w:t>矿井设置零件、材料、工具库，供矿井普通设备、材料、工具的存放、转运用，厂房内铺设轨道与工业场地贯通，建筑面积360m</w:t>
      </w:r>
      <w:r>
        <w:rPr>
          <w:rFonts w:hAnsi="Times New Roman" w:eastAsia="宋体"/>
          <w:vertAlign w:val="superscript"/>
          <w:lang w:eastAsia="zh-CN"/>
        </w:rPr>
        <w:t>2</w:t>
      </w:r>
      <w:r>
        <w:rPr>
          <w:rFonts w:hAnsi="Times New Roman" w:eastAsia="宋体"/>
          <w:lang w:eastAsia="zh-CN"/>
        </w:rPr>
        <w:t>。</w:t>
      </w:r>
    </w:p>
    <w:p>
      <w:pPr>
        <w:pStyle w:val="6"/>
        <w:rPr>
          <w:lang w:eastAsia="zh-CN"/>
        </w:rPr>
      </w:pPr>
      <w:bookmarkStart w:id="107" w:name="_Toc163812522"/>
      <w:bookmarkStart w:id="108" w:name="_Toc167095145"/>
      <w:r>
        <w:rPr>
          <w:lang w:eastAsia="zh-CN"/>
        </w:rPr>
        <w:t>2.3.7 主要设备选型</w:t>
      </w:r>
      <w:bookmarkEnd w:id="107"/>
      <w:bookmarkEnd w:id="108"/>
    </w:p>
    <w:p>
      <w:pPr>
        <w:spacing w:line="360" w:lineRule="auto"/>
        <w:ind w:firstLine="480" w:firstLineChars="200"/>
        <w:rPr>
          <w:rFonts w:hAnsi="Times New Roman" w:eastAsia="宋体"/>
          <w:lang w:eastAsia="zh-CN"/>
        </w:rPr>
      </w:pPr>
      <w:r>
        <w:rPr>
          <w:rFonts w:hAnsi="Times New Roman" w:eastAsia="宋体"/>
          <w:lang w:eastAsia="zh-CN"/>
        </w:rPr>
        <w:t>七里峡煤矿独立升级改造完成后，主要设备见下表所示。</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表2.3-2 主要采掘设备配备表</w:t>
      </w:r>
    </w:p>
    <w:tbl>
      <w:tblPr>
        <w:tblStyle w:val="3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68"/>
        <w:gridCol w:w="1652"/>
        <w:gridCol w:w="2472"/>
        <w:gridCol w:w="784"/>
        <w:gridCol w:w="850"/>
        <w:gridCol w:w="941"/>
        <w:gridCol w:w="780"/>
        <w:gridCol w:w="10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31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kern w:val="2"/>
                <w:sz w:val="21"/>
                <w:szCs w:val="21"/>
                <w:lang w:eastAsia="zh-CN"/>
              </w:rPr>
            </w:pPr>
            <w:r>
              <w:rPr>
                <w:rFonts w:hint="eastAsia" w:hAnsi="Times New Roman" w:eastAsia="宋体"/>
                <w:b/>
                <w:kern w:val="2"/>
                <w:sz w:val="21"/>
                <w:szCs w:val="21"/>
                <w:lang w:eastAsia="zh-CN"/>
              </w:rPr>
              <w:t>序号</w:t>
            </w:r>
          </w:p>
        </w:tc>
        <w:tc>
          <w:tcPr>
            <w:tcW w:w="90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kern w:val="2"/>
                <w:sz w:val="21"/>
                <w:szCs w:val="21"/>
                <w:lang w:eastAsia="zh-CN"/>
              </w:rPr>
            </w:pPr>
            <w:r>
              <w:rPr>
                <w:rFonts w:hint="eastAsia" w:hAnsi="Times New Roman" w:eastAsia="宋体"/>
                <w:b/>
                <w:kern w:val="2"/>
                <w:sz w:val="21"/>
                <w:szCs w:val="21"/>
                <w:lang w:eastAsia="zh-CN"/>
              </w:rPr>
              <w:t>设备器材名称</w:t>
            </w:r>
          </w:p>
        </w:tc>
        <w:tc>
          <w:tcPr>
            <w:tcW w:w="1353"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kern w:val="2"/>
                <w:sz w:val="21"/>
                <w:szCs w:val="21"/>
                <w:lang w:eastAsia="zh-CN"/>
              </w:rPr>
            </w:pPr>
            <w:r>
              <w:rPr>
                <w:rFonts w:hint="eastAsia" w:hAnsi="Times New Roman" w:eastAsia="宋体"/>
                <w:b/>
                <w:kern w:val="2"/>
                <w:sz w:val="21"/>
                <w:szCs w:val="21"/>
                <w:lang w:eastAsia="zh-CN"/>
              </w:rPr>
              <w:t>型号及规格</w:t>
            </w:r>
          </w:p>
        </w:tc>
        <w:tc>
          <w:tcPr>
            <w:tcW w:w="4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kern w:val="2"/>
                <w:sz w:val="21"/>
                <w:szCs w:val="21"/>
                <w:lang w:eastAsia="zh-CN"/>
              </w:rPr>
            </w:pPr>
            <w:r>
              <w:rPr>
                <w:rFonts w:hint="eastAsia" w:hAnsi="Times New Roman" w:eastAsia="宋体"/>
                <w:b/>
                <w:kern w:val="2"/>
                <w:sz w:val="21"/>
                <w:szCs w:val="21"/>
                <w:lang w:eastAsia="zh-CN"/>
              </w:rPr>
              <w:t>单位</w:t>
            </w:r>
          </w:p>
        </w:tc>
        <w:tc>
          <w:tcPr>
            <w:tcW w:w="46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kern w:val="2"/>
                <w:sz w:val="21"/>
                <w:szCs w:val="21"/>
                <w:lang w:eastAsia="zh-CN"/>
              </w:rPr>
            </w:pPr>
            <w:r>
              <w:rPr>
                <w:rFonts w:hint="eastAsia" w:hAnsi="Times New Roman" w:eastAsia="宋体"/>
                <w:b/>
                <w:kern w:val="2"/>
                <w:sz w:val="21"/>
                <w:szCs w:val="21"/>
                <w:lang w:eastAsia="zh-CN"/>
              </w:rPr>
              <w:t>现有</w:t>
            </w:r>
          </w:p>
        </w:tc>
        <w:tc>
          <w:tcPr>
            <w:tcW w:w="51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kern w:val="2"/>
                <w:sz w:val="21"/>
                <w:szCs w:val="21"/>
                <w:lang w:eastAsia="zh-CN"/>
              </w:rPr>
            </w:pPr>
            <w:r>
              <w:rPr>
                <w:rFonts w:hint="eastAsia" w:hAnsi="Times New Roman" w:eastAsia="宋体"/>
                <w:b/>
                <w:kern w:val="2"/>
                <w:sz w:val="21"/>
                <w:szCs w:val="21"/>
                <w:lang w:eastAsia="zh-CN"/>
              </w:rPr>
              <w:t>新增</w:t>
            </w:r>
          </w:p>
        </w:tc>
        <w:tc>
          <w:tcPr>
            <w:tcW w:w="427"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kern w:val="2"/>
                <w:sz w:val="21"/>
                <w:szCs w:val="21"/>
                <w:lang w:eastAsia="zh-CN"/>
              </w:rPr>
            </w:pPr>
            <w:r>
              <w:rPr>
                <w:rFonts w:hint="eastAsia" w:hAnsi="Times New Roman" w:eastAsia="宋体"/>
                <w:b/>
                <w:kern w:val="2"/>
                <w:sz w:val="21"/>
                <w:szCs w:val="21"/>
                <w:lang w:eastAsia="zh-CN"/>
              </w:rPr>
              <w:t>合计</w:t>
            </w:r>
          </w:p>
        </w:tc>
        <w:tc>
          <w:tcPr>
            <w:tcW w:w="596"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kern w:val="2"/>
                <w:sz w:val="21"/>
                <w:szCs w:val="21"/>
                <w:lang w:eastAsia="zh-CN"/>
              </w:rPr>
            </w:pPr>
            <w:r>
              <w:rPr>
                <w:rFonts w:hint="eastAsia" w:hAnsi="Times New Roman" w:eastAsia="宋体"/>
                <w:b/>
                <w:kern w:val="2"/>
                <w:sz w:val="21"/>
                <w:szCs w:val="21"/>
                <w:lang w:eastAsia="zh-CN"/>
              </w:rPr>
              <w:t>备 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5000" w:type="pct"/>
            <w:gridSpan w:val="8"/>
            <w:vAlign w:val="center"/>
          </w:tcPr>
          <w:p>
            <w:pPr>
              <w:keepNext w:val="0"/>
              <w:keepLines w:val="0"/>
              <w:suppressLineNumbers w:val="0"/>
              <w:spacing w:before="0" w:beforeAutospacing="0" w:after="0" w:afterAutospacing="0" w:line="240" w:lineRule="exact"/>
              <w:ind w:left="0" w:right="0"/>
              <w:rPr>
                <w:rFonts w:hint="eastAsia" w:hAnsi="Times New Roman" w:eastAsia="宋体"/>
                <w:bCs/>
                <w:kern w:val="2"/>
                <w:sz w:val="21"/>
                <w:szCs w:val="21"/>
                <w:lang w:eastAsia="zh-CN"/>
              </w:rPr>
            </w:pPr>
            <w:r>
              <w:rPr>
                <w:rFonts w:hint="eastAsia" w:hAnsi="Times New Roman" w:eastAsia="宋体"/>
                <w:bCs/>
                <w:kern w:val="2"/>
                <w:sz w:val="21"/>
                <w:szCs w:val="21"/>
                <w:lang w:eastAsia="zh-CN"/>
              </w:rPr>
              <w:t xml:space="preserve">一、井筒及大巷运输设备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31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w:t>
            </w:r>
          </w:p>
        </w:tc>
        <w:tc>
          <w:tcPr>
            <w:tcW w:w="90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1t 固定箱式矿车</w:t>
            </w:r>
          </w:p>
        </w:tc>
        <w:tc>
          <w:tcPr>
            <w:tcW w:w="1353"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MGC1.1-6</w:t>
            </w:r>
          </w:p>
        </w:tc>
        <w:tc>
          <w:tcPr>
            <w:tcW w:w="4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辆</w:t>
            </w:r>
          </w:p>
        </w:tc>
        <w:tc>
          <w:tcPr>
            <w:tcW w:w="46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305</w:t>
            </w:r>
          </w:p>
        </w:tc>
        <w:tc>
          <w:tcPr>
            <w:tcW w:w="51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0</w:t>
            </w:r>
          </w:p>
        </w:tc>
        <w:tc>
          <w:tcPr>
            <w:tcW w:w="427"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305</w:t>
            </w:r>
          </w:p>
        </w:tc>
        <w:tc>
          <w:tcPr>
            <w:tcW w:w="596"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28辆备用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31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2</w:t>
            </w:r>
          </w:p>
        </w:tc>
        <w:tc>
          <w:tcPr>
            <w:tcW w:w="90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1t 材料车</w:t>
            </w:r>
          </w:p>
        </w:tc>
        <w:tc>
          <w:tcPr>
            <w:tcW w:w="1353"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MLC1-6</w:t>
            </w:r>
          </w:p>
        </w:tc>
        <w:tc>
          <w:tcPr>
            <w:tcW w:w="4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辆</w:t>
            </w:r>
          </w:p>
        </w:tc>
        <w:tc>
          <w:tcPr>
            <w:tcW w:w="46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9</w:t>
            </w:r>
          </w:p>
        </w:tc>
        <w:tc>
          <w:tcPr>
            <w:tcW w:w="51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0</w:t>
            </w:r>
          </w:p>
        </w:tc>
        <w:tc>
          <w:tcPr>
            <w:tcW w:w="427"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9</w:t>
            </w:r>
          </w:p>
        </w:tc>
        <w:tc>
          <w:tcPr>
            <w:tcW w:w="596"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 辆备用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31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3</w:t>
            </w:r>
          </w:p>
        </w:tc>
        <w:tc>
          <w:tcPr>
            <w:tcW w:w="90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1t 平板车</w:t>
            </w:r>
          </w:p>
        </w:tc>
        <w:tc>
          <w:tcPr>
            <w:tcW w:w="1353"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MPC1-6A</w:t>
            </w:r>
          </w:p>
        </w:tc>
        <w:tc>
          <w:tcPr>
            <w:tcW w:w="4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辆</w:t>
            </w:r>
          </w:p>
        </w:tc>
        <w:tc>
          <w:tcPr>
            <w:tcW w:w="46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9</w:t>
            </w:r>
          </w:p>
        </w:tc>
        <w:tc>
          <w:tcPr>
            <w:tcW w:w="51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0</w:t>
            </w:r>
          </w:p>
        </w:tc>
        <w:tc>
          <w:tcPr>
            <w:tcW w:w="427"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9</w:t>
            </w:r>
          </w:p>
        </w:tc>
        <w:tc>
          <w:tcPr>
            <w:tcW w:w="596"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 辆备用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31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4</w:t>
            </w:r>
          </w:p>
        </w:tc>
        <w:tc>
          <w:tcPr>
            <w:tcW w:w="90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3t 平板车</w:t>
            </w:r>
          </w:p>
        </w:tc>
        <w:tc>
          <w:tcPr>
            <w:tcW w:w="1353"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MPC3-6</w:t>
            </w:r>
          </w:p>
        </w:tc>
        <w:tc>
          <w:tcPr>
            <w:tcW w:w="4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辆</w:t>
            </w:r>
          </w:p>
        </w:tc>
        <w:tc>
          <w:tcPr>
            <w:tcW w:w="46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6</w:t>
            </w:r>
          </w:p>
        </w:tc>
        <w:tc>
          <w:tcPr>
            <w:tcW w:w="51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2</w:t>
            </w:r>
          </w:p>
        </w:tc>
        <w:tc>
          <w:tcPr>
            <w:tcW w:w="427"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8</w:t>
            </w:r>
          </w:p>
        </w:tc>
        <w:tc>
          <w:tcPr>
            <w:tcW w:w="596"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 辆备用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31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5</w:t>
            </w:r>
          </w:p>
        </w:tc>
        <w:tc>
          <w:tcPr>
            <w:tcW w:w="90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5t 平板车</w:t>
            </w:r>
          </w:p>
        </w:tc>
        <w:tc>
          <w:tcPr>
            <w:tcW w:w="1353"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MPC5-6</w:t>
            </w:r>
          </w:p>
        </w:tc>
        <w:tc>
          <w:tcPr>
            <w:tcW w:w="4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辆</w:t>
            </w:r>
          </w:p>
        </w:tc>
        <w:tc>
          <w:tcPr>
            <w:tcW w:w="46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3</w:t>
            </w:r>
          </w:p>
        </w:tc>
        <w:tc>
          <w:tcPr>
            <w:tcW w:w="51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2</w:t>
            </w:r>
          </w:p>
        </w:tc>
        <w:tc>
          <w:tcPr>
            <w:tcW w:w="427"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5</w:t>
            </w:r>
          </w:p>
        </w:tc>
        <w:tc>
          <w:tcPr>
            <w:tcW w:w="596"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 辆备用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31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6</w:t>
            </w:r>
          </w:p>
        </w:tc>
        <w:tc>
          <w:tcPr>
            <w:tcW w:w="90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10t 平板车</w:t>
            </w:r>
          </w:p>
        </w:tc>
        <w:tc>
          <w:tcPr>
            <w:tcW w:w="1353"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MPC10-6</w:t>
            </w:r>
          </w:p>
        </w:tc>
        <w:tc>
          <w:tcPr>
            <w:tcW w:w="4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辆</w:t>
            </w:r>
          </w:p>
        </w:tc>
        <w:tc>
          <w:tcPr>
            <w:tcW w:w="46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3</w:t>
            </w:r>
          </w:p>
        </w:tc>
        <w:tc>
          <w:tcPr>
            <w:tcW w:w="51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2</w:t>
            </w:r>
          </w:p>
        </w:tc>
        <w:tc>
          <w:tcPr>
            <w:tcW w:w="427"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5</w:t>
            </w:r>
          </w:p>
        </w:tc>
        <w:tc>
          <w:tcPr>
            <w:tcW w:w="596"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 辆备用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31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7</w:t>
            </w:r>
          </w:p>
        </w:tc>
        <w:tc>
          <w:tcPr>
            <w:tcW w:w="90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平巷人车</w:t>
            </w:r>
          </w:p>
        </w:tc>
        <w:tc>
          <w:tcPr>
            <w:tcW w:w="1353"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kern w:val="2"/>
                <w:sz w:val="21"/>
                <w:szCs w:val="21"/>
              </w:rPr>
              <w:t>PRC12-6/3</w:t>
            </w:r>
          </w:p>
        </w:tc>
        <w:tc>
          <w:tcPr>
            <w:tcW w:w="4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辆</w:t>
            </w:r>
          </w:p>
        </w:tc>
        <w:tc>
          <w:tcPr>
            <w:tcW w:w="46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2</w:t>
            </w:r>
          </w:p>
        </w:tc>
        <w:tc>
          <w:tcPr>
            <w:tcW w:w="51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w:t>
            </w:r>
          </w:p>
        </w:tc>
        <w:tc>
          <w:tcPr>
            <w:tcW w:w="427"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3</w:t>
            </w:r>
          </w:p>
        </w:tc>
        <w:tc>
          <w:tcPr>
            <w:tcW w:w="596"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 辆备用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3462" w:type="pct"/>
            <w:gridSpan w:val="5"/>
            <w:vAlign w:val="center"/>
          </w:tcPr>
          <w:p>
            <w:pPr>
              <w:keepNext w:val="0"/>
              <w:keepLines w:val="0"/>
              <w:suppressLineNumbers w:val="0"/>
              <w:spacing w:before="0" w:beforeAutospacing="0" w:after="0" w:afterAutospacing="0" w:line="240" w:lineRule="exact"/>
              <w:ind w:left="0" w:right="0"/>
              <w:rPr>
                <w:rFonts w:hint="eastAsia" w:hAnsi="Times New Roman" w:eastAsia="宋体"/>
                <w:bCs/>
                <w:kern w:val="2"/>
                <w:sz w:val="21"/>
                <w:szCs w:val="21"/>
                <w:lang w:eastAsia="zh-CN"/>
              </w:rPr>
            </w:pPr>
            <w:r>
              <w:rPr>
                <w:rFonts w:hint="eastAsia" w:hAnsi="Times New Roman" w:eastAsia="宋体"/>
                <w:bCs/>
                <w:kern w:val="2"/>
                <w:sz w:val="21"/>
                <w:szCs w:val="21"/>
                <w:lang w:eastAsia="zh-CN"/>
              </w:rPr>
              <w:t>二、采掘设备</w:t>
            </w:r>
          </w:p>
        </w:tc>
        <w:tc>
          <w:tcPr>
            <w:tcW w:w="51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p>
        </w:tc>
        <w:tc>
          <w:tcPr>
            <w:tcW w:w="1023" w:type="pct"/>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31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kern w:val="2"/>
                <w:sz w:val="21"/>
                <w:szCs w:val="21"/>
              </w:rPr>
              <w:t>1</w:t>
            </w:r>
          </w:p>
        </w:tc>
        <w:tc>
          <w:tcPr>
            <w:tcW w:w="90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采煤机</w:t>
            </w:r>
          </w:p>
        </w:tc>
        <w:tc>
          <w:tcPr>
            <w:tcW w:w="1353"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MG100/240-BW1</w:t>
            </w:r>
          </w:p>
        </w:tc>
        <w:tc>
          <w:tcPr>
            <w:tcW w:w="4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台</w:t>
            </w:r>
          </w:p>
        </w:tc>
        <w:tc>
          <w:tcPr>
            <w:tcW w:w="46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0</w:t>
            </w:r>
          </w:p>
        </w:tc>
        <w:tc>
          <w:tcPr>
            <w:tcW w:w="51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kern w:val="2"/>
                <w:sz w:val="21"/>
                <w:szCs w:val="21"/>
              </w:rPr>
              <w:t>1</w:t>
            </w:r>
          </w:p>
        </w:tc>
        <w:tc>
          <w:tcPr>
            <w:tcW w:w="427"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kern w:val="2"/>
                <w:sz w:val="21"/>
                <w:szCs w:val="21"/>
              </w:rPr>
              <w:t>1</w:t>
            </w:r>
          </w:p>
        </w:tc>
        <w:tc>
          <w:tcPr>
            <w:tcW w:w="596"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31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kern w:val="2"/>
                <w:sz w:val="21"/>
                <w:szCs w:val="21"/>
              </w:rPr>
              <w:t>2</w:t>
            </w:r>
          </w:p>
        </w:tc>
        <w:tc>
          <w:tcPr>
            <w:tcW w:w="90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刮板输送机</w:t>
            </w:r>
          </w:p>
        </w:tc>
        <w:tc>
          <w:tcPr>
            <w:tcW w:w="1353"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SGB630/150</w:t>
            </w:r>
          </w:p>
        </w:tc>
        <w:tc>
          <w:tcPr>
            <w:tcW w:w="4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台</w:t>
            </w:r>
          </w:p>
        </w:tc>
        <w:tc>
          <w:tcPr>
            <w:tcW w:w="46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kern w:val="2"/>
                <w:sz w:val="21"/>
                <w:szCs w:val="21"/>
              </w:rPr>
              <w:t>1</w:t>
            </w:r>
          </w:p>
        </w:tc>
        <w:tc>
          <w:tcPr>
            <w:tcW w:w="51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0</w:t>
            </w:r>
          </w:p>
        </w:tc>
        <w:tc>
          <w:tcPr>
            <w:tcW w:w="427"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kern w:val="2"/>
                <w:sz w:val="21"/>
                <w:szCs w:val="21"/>
              </w:rPr>
              <w:t>1</w:t>
            </w:r>
          </w:p>
        </w:tc>
        <w:tc>
          <w:tcPr>
            <w:tcW w:w="596"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31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kern w:val="2"/>
                <w:sz w:val="21"/>
                <w:szCs w:val="21"/>
              </w:rPr>
              <w:t>3</w:t>
            </w:r>
          </w:p>
        </w:tc>
        <w:tc>
          <w:tcPr>
            <w:tcW w:w="90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桥式转载机</w:t>
            </w:r>
          </w:p>
        </w:tc>
        <w:tc>
          <w:tcPr>
            <w:tcW w:w="1353"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SZB-730/40</w:t>
            </w:r>
          </w:p>
        </w:tc>
        <w:tc>
          <w:tcPr>
            <w:tcW w:w="4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台</w:t>
            </w:r>
          </w:p>
        </w:tc>
        <w:tc>
          <w:tcPr>
            <w:tcW w:w="46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kern w:val="2"/>
                <w:sz w:val="21"/>
                <w:szCs w:val="21"/>
              </w:rPr>
              <w:t>1</w:t>
            </w:r>
          </w:p>
        </w:tc>
        <w:tc>
          <w:tcPr>
            <w:tcW w:w="51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0</w:t>
            </w:r>
          </w:p>
        </w:tc>
        <w:tc>
          <w:tcPr>
            <w:tcW w:w="427"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kern w:val="2"/>
                <w:sz w:val="21"/>
                <w:szCs w:val="21"/>
              </w:rPr>
              <w:t>1</w:t>
            </w:r>
          </w:p>
        </w:tc>
        <w:tc>
          <w:tcPr>
            <w:tcW w:w="596"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31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kern w:val="2"/>
                <w:sz w:val="21"/>
                <w:szCs w:val="21"/>
              </w:rPr>
              <w:t>4</w:t>
            </w:r>
          </w:p>
        </w:tc>
        <w:tc>
          <w:tcPr>
            <w:tcW w:w="90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破碎机</w:t>
            </w:r>
          </w:p>
        </w:tc>
        <w:tc>
          <w:tcPr>
            <w:tcW w:w="1353"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2PLF-50/60</w:t>
            </w:r>
          </w:p>
        </w:tc>
        <w:tc>
          <w:tcPr>
            <w:tcW w:w="4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台</w:t>
            </w:r>
          </w:p>
        </w:tc>
        <w:tc>
          <w:tcPr>
            <w:tcW w:w="46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kern w:val="2"/>
                <w:sz w:val="21"/>
                <w:szCs w:val="21"/>
                <w:lang w:eastAsia="zh-CN"/>
              </w:rPr>
              <w:t>0</w:t>
            </w:r>
          </w:p>
        </w:tc>
        <w:tc>
          <w:tcPr>
            <w:tcW w:w="51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kern w:val="2"/>
                <w:sz w:val="21"/>
                <w:szCs w:val="21"/>
              </w:rPr>
              <w:t>1</w:t>
            </w:r>
          </w:p>
        </w:tc>
        <w:tc>
          <w:tcPr>
            <w:tcW w:w="427"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kern w:val="2"/>
                <w:sz w:val="21"/>
                <w:szCs w:val="21"/>
              </w:rPr>
              <w:t>1</w:t>
            </w:r>
          </w:p>
        </w:tc>
        <w:tc>
          <w:tcPr>
            <w:tcW w:w="596"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31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kern w:val="2"/>
                <w:sz w:val="21"/>
                <w:szCs w:val="21"/>
              </w:rPr>
              <w:t>5</w:t>
            </w:r>
          </w:p>
        </w:tc>
        <w:tc>
          <w:tcPr>
            <w:tcW w:w="90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可伸缩带式输送机</w:t>
            </w:r>
          </w:p>
        </w:tc>
        <w:tc>
          <w:tcPr>
            <w:tcW w:w="1353"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DSJ65/20/2×55</w:t>
            </w:r>
          </w:p>
        </w:tc>
        <w:tc>
          <w:tcPr>
            <w:tcW w:w="4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台</w:t>
            </w:r>
          </w:p>
        </w:tc>
        <w:tc>
          <w:tcPr>
            <w:tcW w:w="46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kern w:val="2"/>
                <w:sz w:val="21"/>
                <w:szCs w:val="21"/>
              </w:rPr>
              <w:t>1</w:t>
            </w:r>
          </w:p>
        </w:tc>
        <w:tc>
          <w:tcPr>
            <w:tcW w:w="51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0</w:t>
            </w:r>
          </w:p>
        </w:tc>
        <w:tc>
          <w:tcPr>
            <w:tcW w:w="427"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kern w:val="2"/>
                <w:sz w:val="21"/>
                <w:szCs w:val="21"/>
              </w:rPr>
              <w:t>1</w:t>
            </w:r>
          </w:p>
        </w:tc>
        <w:tc>
          <w:tcPr>
            <w:tcW w:w="596"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31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kern w:val="2"/>
                <w:sz w:val="21"/>
                <w:szCs w:val="21"/>
              </w:rPr>
              <w:t>6</w:t>
            </w:r>
          </w:p>
        </w:tc>
        <w:tc>
          <w:tcPr>
            <w:tcW w:w="90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掩护式液压支架</w:t>
            </w:r>
          </w:p>
        </w:tc>
        <w:tc>
          <w:tcPr>
            <w:tcW w:w="1353"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ZY3000/07/17Q</w:t>
            </w:r>
          </w:p>
        </w:tc>
        <w:tc>
          <w:tcPr>
            <w:tcW w:w="4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架</w:t>
            </w:r>
          </w:p>
        </w:tc>
        <w:tc>
          <w:tcPr>
            <w:tcW w:w="46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70</w:t>
            </w:r>
          </w:p>
        </w:tc>
        <w:tc>
          <w:tcPr>
            <w:tcW w:w="51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10</w:t>
            </w:r>
          </w:p>
        </w:tc>
        <w:tc>
          <w:tcPr>
            <w:tcW w:w="427"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kern w:val="2"/>
                <w:sz w:val="21"/>
                <w:szCs w:val="21"/>
              </w:rPr>
              <w:t>80</w:t>
            </w:r>
          </w:p>
        </w:tc>
        <w:tc>
          <w:tcPr>
            <w:tcW w:w="596"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31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kern w:val="2"/>
                <w:sz w:val="21"/>
                <w:szCs w:val="21"/>
              </w:rPr>
              <w:t>7</w:t>
            </w:r>
          </w:p>
        </w:tc>
        <w:tc>
          <w:tcPr>
            <w:tcW w:w="90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单体液压支柱</w:t>
            </w:r>
          </w:p>
        </w:tc>
        <w:tc>
          <w:tcPr>
            <w:tcW w:w="1353"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DW28-250/100X</w:t>
            </w:r>
          </w:p>
        </w:tc>
        <w:tc>
          <w:tcPr>
            <w:tcW w:w="4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根</w:t>
            </w:r>
          </w:p>
        </w:tc>
        <w:tc>
          <w:tcPr>
            <w:tcW w:w="46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70</w:t>
            </w:r>
          </w:p>
        </w:tc>
        <w:tc>
          <w:tcPr>
            <w:tcW w:w="51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0</w:t>
            </w:r>
          </w:p>
        </w:tc>
        <w:tc>
          <w:tcPr>
            <w:tcW w:w="427"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kern w:val="2"/>
                <w:sz w:val="21"/>
                <w:szCs w:val="21"/>
              </w:rPr>
              <w:t>70</w:t>
            </w:r>
          </w:p>
        </w:tc>
        <w:tc>
          <w:tcPr>
            <w:tcW w:w="596"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31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kern w:val="2"/>
                <w:sz w:val="21"/>
                <w:szCs w:val="21"/>
              </w:rPr>
              <w:t>8</w:t>
            </w:r>
          </w:p>
        </w:tc>
        <w:tc>
          <w:tcPr>
            <w:tcW w:w="90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金属铰接顶梁</w:t>
            </w:r>
          </w:p>
        </w:tc>
        <w:tc>
          <w:tcPr>
            <w:tcW w:w="1353"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DJB-1200/300</w:t>
            </w:r>
          </w:p>
        </w:tc>
        <w:tc>
          <w:tcPr>
            <w:tcW w:w="4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根</w:t>
            </w:r>
          </w:p>
        </w:tc>
        <w:tc>
          <w:tcPr>
            <w:tcW w:w="46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70</w:t>
            </w:r>
          </w:p>
        </w:tc>
        <w:tc>
          <w:tcPr>
            <w:tcW w:w="51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0</w:t>
            </w:r>
          </w:p>
        </w:tc>
        <w:tc>
          <w:tcPr>
            <w:tcW w:w="427"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kern w:val="2"/>
                <w:sz w:val="21"/>
                <w:szCs w:val="21"/>
              </w:rPr>
              <w:t>70</w:t>
            </w:r>
          </w:p>
        </w:tc>
        <w:tc>
          <w:tcPr>
            <w:tcW w:w="596"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31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kern w:val="2"/>
                <w:sz w:val="21"/>
                <w:szCs w:val="21"/>
              </w:rPr>
              <w:t>9</w:t>
            </w:r>
          </w:p>
        </w:tc>
        <w:tc>
          <w:tcPr>
            <w:tcW w:w="90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乳化液泵站</w:t>
            </w:r>
          </w:p>
        </w:tc>
        <w:tc>
          <w:tcPr>
            <w:tcW w:w="1353"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BRW250/31.5</w:t>
            </w:r>
          </w:p>
        </w:tc>
        <w:tc>
          <w:tcPr>
            <w:tcW w:w="4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台</w:t>
            </w:r>
          </w:p>
        </w:tc>
        <w:tc>
          <w:tcPr>
            <w:tcW w:w="46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w:t>
            </w:r>
          </w:p>
        </w:tc>
        <w:tc>
          <w:tcPr>
            <w:tcW w:w="51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0</w:t>
            </w:r>
          </w:p>
        </w:tc>
        <w:tc>
          <w:tcPr>
            <w:tcW w:w="427"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kern w:val="2"/>
                <w:sz w:val="21"/>
                <w:szCs w:val="21"/>
              </w:rPr>
              <w:t>1</w:t>
            </w:r>
          </w:p>
        </w:tc>
        <w:tc>
          <w:tcPr>
            <w:tcW w:w="596"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31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kern w:val="2"/>
                <w:sz w:val="21"/>
                <w:szCs w:val="21"/>
              </w:rPr>
              <w:t>10</w:t>
            </w:r>
          </w:p>
        </w:tc>
        <w:tc>
          <w:tcPr>
            <w:tcW w:w="90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喷雾泵站</w:t>
            </w:r>
          </w:p>
        </w:tc>
        <w:tc>
          <w:tcPr>
            <w:tcW w:w="1353"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BPW250/5.5</w:t>
            </w:r>
          </w:p>
        </w:tc>
        <w:tc>
          <w:tcPr>
            <w:tcW w:w="4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台</w:t>
            </w:r>
          </w:p>
        </w:tc>
        <w:tc>
          <w:tcPr>
            <w:tcW w:w="46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w:t>
            </w:r>
          </w:p>
        </w:tc>
        <w:tc>
          <w:tcPr>
            <w:tcW w:w="51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0</w:t>
            </w:r>
          </w:p>
        </w:tc>
        <w:tc>
          <w:tcPr>
            <w:tcW w:w="427"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kern w:val="2"/>
                <w:sz w:val="21"/>
                <w:szCs w:val="21"/>
              </w:rPr>
              <w:t>1</w:t>
            </w:r>
          </w:p>
        </w:tc>
        <w:tc>
          <w:tcPr>
            <w:tcW w:w="596"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31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kern w:val="2"/>
                <w:sz w:val="21"/>
                <w:szCs w:val="21"/>
              </w:rPr>
              <w:t>11</w:t>
            </w:r>
          </w:p>
        </w:tc>
        <w:tc>
          <w:tcPr>
            <w:tcW w:w="90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双速绞车</w:t>
            </w:r>
          </w:p>
        </w:tc>
        <w:tc>
          <w:tcPr>
            <w:tcW w:w="1353"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JSDB-16</w:t>
            </w:r>
          </w:p>
        </w:tc>
        <w:tc>
          <w:tcPr>
            <w:tcW w:w="4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台</w:t>
            </w:r>
          </w:p>
        </w:tc>
        <w:tc>
          <w:tcPr>
            <w:tcW w:w="46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w:t>
            </w:r>
          </w:p>
        </w:tc>
        <w:tc>
          <w:tcPr>
            <w:tcW w:w="51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0</w:t>
            </w:r>
          </w:p>
        </w:tc>
        <w:tc>
          <w:tcPr>
            <w:tcW w:w="427"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kern w:val="2"/>
                <w:sz w:val="21"/>
                <w:szCs w:val="21"/>
              </w:rPr>
              <w:t>1</w:t>
            </w:r>
          </w:p>
        </w:tc>
        <w:tc>
          <w:tcPr>
            <w:tcW w:w="596"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31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kern w:val="2"/>
                <w:sz w:val="21"/>
                <w:szCs w:val="21"/>
              </w:rPr>
              <w:t>12</w:t>
            </w:r>
          </w:p>
        </w:tc>
        <w:tc>
          <w:tcPr>
            <w:tcW w:w="90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设备列车</w:t>
            </w:r>
          </w:p>
        </w:tc>
        <w:tc>
          <w:tcPr>
            <w:tcW w:w="1353"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c>
          <w:tcPr>
            <w:tcW w:w="4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列</w:t>
            </w:r>
          </w:p>
        </w:tc>
        <w:tc>
          <w:tcPr>
            <w:tcW w:w="46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w:t>
            </w:r>
          </w:p>
        </w:tc>
        <w:tc>
          <w:tcPr>
            <w:tcW w:w="51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0</w:t>
            </w:r>
          </w:p>
        </w:tc>
        <w:tc>
          <w:tcPr>
            <w:tcW w:w="427"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kern w:val="2"/>
                <w:sz w:val="21"/>
                <w:szCs w:val="21"/>
              </w:rPr>
              <w:t>1</w:t>
            </w:r>
          </w:p>
        </w:tc>
        <w:tc>
          <w:tcPr>
            <w:tcW w:w="596"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31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13</w:t>
            </w:r>
          </w:p>
        </w:tc>
        <w:tc>
          <w:tcPr>
            <w:tcW w:w="90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综掘机</w:t>
            </w:r>
          </w:p>
        </w:tc>
        <w:tc>
          <w:tcPr>
            <w:tcW w:w="1353"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EBZ75</w:t>
            </w:r>
          </w:p>
        </w:tc>
        <w:tc>
          <w:tcPr>
            <w:tcW w:w="4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台</w:t>
            </w:r>
          </w:p>
        </w:tc>
        <w:tc>
          <w:tcPr>
            <w:tcW w:w="46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0</w:t>
            </w:r>
          </w:p>
        </w:tc>
        <w:tc>
          <w:tcPr>
            <w:tcW w:w="51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2</w:t>
            </w:r>
          </w:p>
        </w:tc>
        <w:tc>
          <w:tcPr>
            <w:tcW w:w="427"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2</w:t>
            </w:r>
          </w:p>
        </w:tc>
        <w:tc>
          <w:tcPr>
            <w:tcW w:w="596"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31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14</w:t>
            </w:r>
          </w:p>
        </w:tc>
        <w:tc>
          <w:tcPr>
            <w:tcW w:w="90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风动凿岩机</w:t>
            </w:r>
          </w:p>
        </w:tc>
        <w:tc>
          <w:tcPr>
            <w:tcW w:w="1353"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YT28A</w:t>
            </w:r>
          </w:p>
        </w:tc>
        <w:tc>
          <w:tcPr>
            <w:tcW w:w="4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台</w:t>
            </w:r>
          </w:p>
        </w:tc>
        <w:tc>
          <w:tcPr>
            <w:tcW w:w="46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w:t>
            </w:r>
          </w:p>
        </w:tc>
        <w:tc>
          <w:tcPr>
            <w:tcW w:w="51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0</w:t>
            </w:r>
          </w:p>
        </w:tc>
        <w:tc>
          <w:tcPr>
            <w:tcW w:w="427"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w:t>
            </w:r>
          </w:p>
        </w:tc>
        <w:tc>
          <w:tcPr>
            <w:tcW w:w="596"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31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15</w:t>
            </w:r>
          </w:p>
        </w:tc>
        <w:tc>
          <w:tcPr>
            <w:tcW w:w="90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探水钻机</w:t>
            </w:r>
          </w:p>
        </w:tc>
        <w:tc>
          <w:tcPr>
            <w:tcW w:w="1353"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ZDY-750</w:t>
            </w:r>
          </w:p>
        </w:tc>
        <w:tc>
          <w:tcPr>
            <w:tcW w:w="4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台</w:t>
            </w:r>
          </w:p>
        </w:tc>
        <w:tc>
          <w:tcPr>
            <w:tcW w:w="46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w:t>
            </w:r>
          </w:p>
        </w:tc>
        <w:tc>
          <w:tcPr>
            <w:tcW w:w="51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0</w:t>
            </w:r>
          </w:p>
        </w:tc>
        <w:tc>
          <w:tcPr>
            <w:tcW w:w="427"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w:t>
            </w:r>
          </w:p>
        </w:tc>
        <w:tc>
          <w:tcPr>
            <w:tcW w:w="596"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31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16</w:t>
            </w:r>
          </w:p>
        </w:tc>
        <w:tc>
          <w:tcPr>
            <w:tcW w:w="90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挖掘式装岩机</w:t>
            </w:r>
          </w:p>
        </w:tc>
        <w:tc>
          <w:tcPr>
            <w:tcW w:w="1353"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ZWY80/18.5T</w:t>
            </w:r>
          </w:p>
        </w:tc>
        <w:tc>
          <w:tcPr>
            <w:tcW w:w="4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台</w:t>
            </w:r>
          </w:p>
        </w:tc>
        <w:tc>
          <w:tcPr>
            <w:tcW w:w="46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w:t>
            </w:r>
          </w:p>
        </w:tc>
        <w:tc>
          <w:tcPr>
            <w:tcW w:w="51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0</w:t>
            </w:r>
          </w:p>
        </w:tc>
        <w:tc>
          <w:tcPr>
            <w:tcW w:w="427"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w:t>
            </w:r>
          </w:p>
        </w:tc>
        <w:tc>
          <w:tcPr>
            <w:tcW w:w="596"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31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17</w:t>
            </w:r>
          </w:p>
        </w:tc>
        <w:tc>
          <w:tcPr>
            <w:tcW w:w="90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锚杆打眼安装机</w:t>
            </w:r>
          </w:p>
        </w:tc>
        <w:tc>
          <w:tcPr>
            <w:tcW w:w="1353"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MQT-130/3.0C</w:t>
            </w:r>
          </w:p>
        </w:tc>
        <w:tc>
          <w:tcPr>
            <w:tcW w:w="4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台</w:t>
            </w:r>
          </w:p>
        </w:tc>
        <w:tc>
          <w:tcPr>
            <w:tcW w:w="46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w:t>
            </w:r>
          </w:p>
        </w:tc>
        <w:tc>
          <w:tcPr>
            <w:tcW w:w="51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0</w:t>
            </w:r>
          </w:p>
        </w:tc>
        <w:tc>
          <w:tcPr>
            <w:tcW w:w="427"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w:t>
            </w:r>
          </w:p>
        </w:tc>
        <w:tc>
          <w:tcPr>
            <w:tcW w:w="596"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3462" w:type="pct"/>
            <w:gridSpan w:val="5"/>
            <w:vAlign w:val="center"/>
          </w:tcPr>
          <w:p>
            <w:pPr>
              <w:keepNext w:val="0"/>
              <w:keepLines w:val="0"/>
              <w:suppressLineNumbers w:val="0"/>
              <w:spacing w:before="0" w:beforeAutospacing="0" w:after="0" w:afterAutospacing="0" w:line="240" w:lineRule="exact"/>
              <w:ind w:left="0" w:right="0"/>
              <w:rPr>
                <w:rFonts w:hint="eastAsia" w:hAnsi="Times New Roman" w:eastAsia="宋体"/>
                <w:bCs/>
                <w:kern w:val="2"/>
                <w:sz w:val="21"/>
                <w:szCs w:val="21"/>
                <w:lang w:eastAsia="zh-CN"/>
              </w:rPr>
            </w:pPr>
            <w:r>
              <w:rPr>
                <w:rFonts w:hint="eastAsia" w:hAnsi="Times New Roman" w:eastAsia="宋体"/>
                <w:bCs/>
                <w:kern w:val="2"/>
                <w:sz w:val="21"/>
                <w:szCs w:val="21"/>
                <w:lang w:eastAsia="zh-CN"/>
              </w:rPr>
              <w:t>三、提升系统</w:t>
            </w:r>
          </w:p>
        </w:tc>
        <w:tc>
          <w:tcPr>
            <w:tcW w:w="51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p>
        </w:tc>
        <w:tc>
          <w:tcPr>
            <w:tcW w:w="1023" w:type="pct"/>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31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w:t>
            </w:r>
          </w:p>
        </w:tc>
        <w:tc>
          <w:tcPr>
            <w:tcW w:w="90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提升绞车</w:t>
            </w:r>
          </w:p>
        </w:tc>
        <w:tc>
          <w:tcPr>
            <w:tcW w:w="1353"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2JTPB-1.6×1.2P</w:t>
            </w:r>
          </w:p>
        </w:tc>
        <w:tc>
          <w:tcPr>
            <w:tcW w:w="4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台</w:t>
            </w:r>
          </w:p>
        </w:tc>
        <w:tc>
          <w:tcPr>
            <w:tcW w:w="46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w:t>
            </w:r>
          </w:p>
        </w:tc>
        <w:tc>
          <w:tcPr>
            <w:tcW w:w="51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0</w:t>
            </w:r>
          </w:p>
        </w:tc>
        <w:tc>
          <w:tcPr>
            <w:tcW w:w="427"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w:t>
            </w:r>
          </w:p>
        </w:tc>
        <w:tc>
          <w:tcPr>
            <w:tcW w:w="596"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31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2</w:t>
            </w:r>
          </w:p>
        </w:tc>
        <w:tc>
          <w:tcPr>
            <w:tcW w:w="90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zh-CN"/>
              </w:rPr>
              <w:t>游动天轮</w:t>
            </w:r>
          </w:p>
        </w:tc>
        <w:tc>
          <w:tcPr>
            <w:tcW w:w="1353"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en-US"/>
              </w:rPr>
            </w:pPr>
            <w:r>
              <w:rPr>
                <w:rFonts w:hint="eastAsia" w:hAnsi="Times New Roman" w:eastAsia="宋体"/>
                <w:kern w:val="2"/>
                <w:sz w:val="21"/>
                <w:szCs w:val="21"/>
              </w:rPr>
              <w:t>TZD1400/740</w:t>
            </w:r>
          </w:p>
        </w:tc>
        <w:tc>
          <w:tcPr>
            <w:tcW w:w="4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个</w:t>
            </w:r>
          </w:p>
        </w:tc>
        <w:tc>
          <w:tcPr>
            <w:tcW w:w="46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w:t>
            </w:r>
          </w:p>
        </w:tc>
        <w:tc>
          <w:tcPr>
            <w:tcW w:w="51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0</w:t>
            </w:r>
          </w:p>
        </w:tc>
        <w:tc>
          <w:tcPr>
            <w:tcW w:w="427"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w:t>
            </w:r>
          </w:p>
        </w:tc>
        <w:tc>
          <w:tcPr>
            <w:tcW w:w="596"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31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3</w:t>
            </w:r>
          </w:p>
        </w:tc>
        <w:tc>
          <w:tcPr>
            <w:tcW w:w="90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常闭式斜井防跑车装置</w:t>
            </w:r>
          </w:p>
        </w:tc>
        <w:tc>
          <w:tcPr>
            <w:tcW w:w="1353"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en-US"/>
              </w:rPr>
            </w:pPr>
            <w:r>
              <w:rPr>
                <w:rFonts w:hint="eastAsia" w:hAnsi="Times New Roman" w:eastAsia="宋体"/>
                <w:kern w:val="2"/>
                <w:sz w:val="21"/>
                <w:szCs w:val="21"/>
              </w:rPr>
              <w:t>ZDC30-2.2</w:t>
            </w:r>
          </w:p>
        </w:tc>
        <w:tc>
          <w:tcPr>
            <w:tcW w:w="4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zh-CN"/>
              </w:rPr>
              <w:t>个</w:t>
            </w:r>
          </w:p>
        </w:tc>
        <w:tc>
          <w:tcPr>
            <w:tcW w:w="46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w:t>
            </w:r>
          </w:p>
        </w:tc>
        <w:tc>
          <w:tcPr>
            <w:tcW w:w="51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0</w:t>
            </w:r>
          </w:p>
        </w:tc>
        <w:tc>
          <w:tcPr>
            <w:tcW w:w="427"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w:t>
            </w:r>
          </w:p>
        </w:tc>
        <w:tc>
          <w:tcPr>
            <w:tcW w:w="596"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31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4</w:t>
            </w:r>
          </w:p>
        </w:tc>
        <w:tc>
          <w:tcPr>
            <w:tcW w:w="90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zh-CN"/>
              </w:rPr>
              <w:t>提升绞车</w:t>
            </w:r>
          </w:p>
        </w:tc>
        <w:tc>
          <w:tcPr>
            <w:tcW w:w="1353"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JTPB-1.2×1P</w:t>
            </w:r>
          </w:p>
        </w:tc>
        <w:tc>
          <w:tcPr>
            <w:tcW w:w="4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zh-CN"/>
              </w:rPr>
              <w:t>台</w:t>
            </w:r>
          </w:p>
        </w:tc>
        <w:tc>
          <w:tcPr>
            <w:tcW w:w="46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w:t>
            </w:r>
          </w:p>
        </w:tc>
        <w:tc>
          <w:tcPr>
            <w:tcW w:w="51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0</w:t>
            </w:r>
          </w:p>
        </w:tc>
        <w:tc>
          <w:tcPr>
            <w:tcW w:w="427"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w:t>
            </w:r>
          </w:p>
        </w:tc>
        <w:tc>
          <w:tcPr>
            <w:tcW w:w="596"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31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5</w:t>
            </w:r>
          </w:p>
        </w:tc>
        <w:tc>
          <w:tcPr>
            <w:tcW w:w="90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zh-CN"/>
              </w:rPr>
              <w:t>游动天轮</w:t>
            </w:r>
          </w:p>
        </w:tc>
        <w:tc>
          <w:tcPr>
            <w:tcW w:w="1353"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TD800/700</w:t>
            </w:r>
          </w:p>
        </w:tc>
        <w:tc>
          <w:tcPr>
            <w:tcW w:w="4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zh-CN"/>
              </w:rPr>
              <w:t>个</w:t>
            </w:r>
          </w:p>
        </w:tc>
        <w:tc>
          <w:tcPr>
            <w:tcW w:w="46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w:t>
            </w:r>
          </w:p>
        </w:tc>
        <w:tc>
          <w:tcPr>
            <w:tcW w:w="51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0</w:t>
            </w:r>
          </w:p>
        </w:tc>
        <w:tc>
          <w:tcPr>
            <w:tcW w:w="427"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w:t>
            </w:r>
          </w:p>
        </w:tc>
        <w:tc>
          <w:tcPr>
            <w:tcW w:w="596"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31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6</w:t>
            </w:r>
          </w:p>
        </w:tc>
        <w:tc>
          <w:tcPr>
            <w:tcW w:w="90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常闭式斜井防跑车装置</w:t>
            </w:r>
          </w:p>
        </w:tc>
        <w:tc>
          <w:tcPr>
            <w:tcW w:w="1353"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ZDC30-2.2</w:t>
            </w:r>
          </w:p>
        </w:tc>
        <w:tc>
          <w:tcPr>
            <w:tcW w:w="4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zh-CN"/>
              </w:rPr>
              <w:t>个</w:t>
            </w:r>
          </w:p>
        </w:tc>
        <w:tc>
          <w:tcPr>
            <w:tcW w:w="46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w:t>
            </w:r>
          </w:p>
        </w:tc>
        <w:tc>
          <w:tcPr>
            <w:tcW w:w="51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0</w:t>
            </w:r>
          </w:p>
        </w:tc>
        <w:tc>
          <w:tcPr>
            <w:tcW w:w="427"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w:t>
            </w:r>
          </w:p>
        </w:tc>
        <w:tc>
          <w:tcPr>
            <w:tcW w:w="596"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31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7</w:t>
            </w:r>
          </w:p>
        </w:tc>
        <w:tc>
          <w:tcPr>
            <w:tcW w:w="90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zh-CN"/>
              </w:rPr>
              <w:t>双速绞车</w:t>
            </w:r>
          </w:p>
        </w:tc>
        <w:tc>
          <w:tcPr>
            <w:tcW w:w="1353"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JSDB-30</w:t>
            </w:r>
          </w:p>
        </w:tc>
        <w:tc>
          <w:tcPr>
            <w:tcW w:w="4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zh-CN"/>
              </w:rPr>
              <w:t>台</w:t>
            </w:r>
          </w:p>
        </w:tc>
        <w:tc>
          <w:tcPr>
            <w:tcW w:w="46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0</w:t>
            </w:r>
          </w:p>
        </w:tc>
        <w:tc>
          <w:tcPr>
            <w:tcW w:w="51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2</w:t>
            </w:r>
          </w:p>
        </w:tc>
        <w:tc>
          <w:tcPr>
            <w:tcW w:w="427"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2</w:t>
            </w:r>
          </w:p>
        </w:tc>
        <w:tc>
          <w:tcPr>
            <w:tcW w:w="596"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31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8</w:t>
            </w:r>
          </w:p>
        </w:tc>
        <w:tc>
          <w:tcPr>
            <w:tcW w:w="90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zh-CN"/>
              </w:rPr>
              <w:t>架空乘人装置</w:t>
            </w:r>
          </w:p>
        </w:tc>
        <w:tc>
          <w:tcPr>
            <w:tcW w:w="1353"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RJY37-26/455</w:t>
            </w:r>
          </w:p>
        </w:tc>
        <w:tc>
          <w:tcPr>
            <w:tcW w:w="4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zh-CN"/>
              </w:rPr>
              <w:t>台</w:t>
            </w:r>
          </w:p>
        </w:tc>
        <w:tc>
          <w:tcPr>
            <w:tcW w:w="46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w:t>
            </w:r>
          </w:p>
        </w:tc>
        <w:tc>
          <w:tcPr>
            <w:tcW w:w="51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0</w:t>
            </w:r>
          </w:p>
        </w:tc>
        <w:tc>
          <w:tcPr>
            <w:tcW w:w="427"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w:t>
            </w:r>
          </w:p>
        </w:tc>
        <w:tc>
          <w:tcPr>
            <w:tcW w:w="596"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31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9</w:t>
            </w:r>
          </w:p>
        </w:tc>
        <w:tc>
          <w:tcPr>
            <w:tcW w:w="90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zh-CN"/>
              </w:rPr>
              <w:t>架空乘人装置</w:t>
            </w:r>
          </w:p>
        </w:tc>
        <w:tc>
          <w:tcPr>
            <w:tcW w:w="1353"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RJY30-35/800（A）</w:t>
            </w:r>
          </w:p>
        </w:tc>
        <w:tc>
          <w:tcPr>
            <w:tcW w:w="4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zh-CN"/>
              </w:rPr>
              <w:t>台</w:t>
            </w:r>
          </w:p>
        </w:tc>
        <w:tc>
          <w:tcPr>
            <w:tcW w:w="46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w:t>
            </w:r>
          </w:p>
        </w:tc>
        <w:tc>
          <w:tcPr>
            <w:tcW w:w="51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0</w:t>
            </w:r>
          </w:p>
        </w:tc>
        <w:tc>
          <w:tcPr>
            <w:tcW w:w="427"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w:t>
            </w:r>
          </w:p>
        </w:tc>
        <w:tc>
          <w:tcPr>
            <w:tcW w:w="596"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en-US"/>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5000" w:type="pct"/>
            <w:gridSpan w:val="8"/>
            <w:vAlign w:val="center"/>
          </w:tcPr>
          <w:p>
            <w:pPr>
              <w:keepNext w:val="0"/>
              <w:keepLines w:val="0"/>
              <w:suppressLineNumbers w:val="0"/>
              <w:spacing w:before="0" w:beforeAutospacing="0" w:after="0" w:afterAutospacing="0" w:line="240" w:lineRule="exact"/>
              <w:ind w:left="0" w:right="0"/>
              <w:rPr>
                <w:rFonts w:hint="eastAsia" w:hAnsi="Times New Roman" w:eastAsia="宋体"/>
                <w:bCs/>
                <w:kern w:val="2"/>
                <w:sz w:val="21"/>
                <w:szCs w:val="21"/>
                <w:lang w:eastAsia="zh-CN"/>
              </w:rPr>
            </w:pPr>
            <w:r>
              <w:rPr>
                <w:rFonts w:hint="eastAsia" w:hAnsi="Times New Roman" w:eastAsia="宋体"/>
                <w:bCs/>
                <w:kern w:val="2"/>
                <w:sz w:val="21"/>
                <w:szCs w:val="21"/>
                <w:lang w:eastAsia="zh-CN"/>
              </w:rPr>
              <w:t>四、通风系统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31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w:t>
            </w:r>
          </w:p>
        </w:tc>
        <w:tc>
          <w:tcPr>
            <w:tcW w:w="90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隔爆对旋轴流式通风机</w:t>
            </w:r>
          </w:p>
        </w:tc>
        <w:tc>
          <w:tcPr>
            <w:tcW w:w="1353"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FBCDZ-6-№16B</w:t>
            </w:r>
          </w:p>
        </w:tc>
        <w:tc>
          <w:tcPr>
            <w:tcW w:w="4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台</w:t>
            </w:r>
          </w:p>
        </w:tc>
        <w:tc>
          <w:tcPr>
            <w:tcW w:w="46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0</w:t>
            </w:r>
          </w:p>
        </w:tc>
        <w:tc>
          <w:tcPr>
            <w:tcW w:w="51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2</w:t>
            </w:r>
          </w:p>
        </w:tc>
        <w:tc>
          <w:tcPr>
            <w:tcW w:w="427"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2</w:t>
            </w:r>
          </w:p>
        </w:tc>
        <w:tc>
          <w:tcPr>
            <w:tcW w:w="596"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1台备用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31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2</w:t>
            </w:r>
          </w:p>
        </w:tc>
        <w:tc>
          <w:tcPr>
            <w:tcW w:w="90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隔爆对旋轴流式通风机</w:t>
            </w:r>
          </w:p>
        </w:tc>
        <w:tc>
          <w:tcPr>
            <w:tcW w:w="1353"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FBCDZ-6-№17</w:t>
            </w:r>
          </w:p>
        </w:tc>
        <w:tc>
          <w:tcPr>
            <w:tcW w:w="4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台</w:t>
            </w:r>
          </w:p>
        </w:tc>
        <w:tc>
          <w:tcPr>
            <w:tcW w:w="46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2</w:t>
            </w:r>
          </w:p>
        </w:tc>
        <w:tc>
          <w:tcPr>
            <w:tcW w:w="51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0</w:t>
            </w:r>
          </w:p>
        </w:tc>
        <w:tc>
          <w:tcPr>
            <w:tcW w:w="427"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2</w:t>
            </w:r>
          </w:p>
        </w:tc>
        <w:tc>
          <w:tcPr>
            <w:tcW w:w="596"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1台备用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31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3</w:t>
            </w:r>
          </w:p>
        </w:tc>
        <w:tc>
          <w:tcPr>
            <w:tcW w:w="90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对旋式局部通风机</w:t>
            </w:r>
          </w:p>
        </w:tc>
        <w:tc>
          <w:tcPr>
            <w:tcW w:w="1353"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kern w:val="2"/>
                <w:sz w:val="21"/>
                <w:szCs w:val="21"/>
              </w:rPr>
              <w:t>FBDNo5.6</w:t>
            </w:r>
          </w:p>
        </w:tc>
        <w:tc>
          <w:tcPr>
            <w:tcW w:w="4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台</w:t>
            </w:r>
          </w:p>
        </w:tc>
        <w:tc>
          <w:tcPr>
            <w:tcW w:w="46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6</w:t>
            </w:r>
          </w:p>
        </w:tc>
        <w:tc>
          <w:tcPr>
            <w:tcW w:w="51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0</w:t>
            </w:r>
          </w:p>
        </w:tc>
        <w:tc>
          <w:tcPr>
            <w:tcW w:w="427"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6</w:t>
            </w:r>
          </w:p>
        </w:tc>
        <w:tc>
          <w:tcPr>
            <w:tcW w:w="596"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3台备用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5000" w:type="pct"/>
            <w:gridSpan w:val="8"/>
            <w:vAlign w:val="center"/>
          </w:tcPr>
          <w:p>
            <w:pPr>
              <w:keepNext w:val="0"/>
              <w:keepLines w:val="0"/>
              <w:suppressLineNumbers w:val="0"/>
              <w:spacing w:before="0" w:beforeAutospacing="0" w:after="0" w:afterAutospacing="0" w:line="240" w:lineRule="exact"/>
              <w:ind w:left="0" w:right="0"/>
              <w:rPr>
                <w:rFonts w:hint="eastAsia" w:hAnsi="Times New Roman" w:eastAsia="宋体"/>
                <w:bCs/>
                <w:kern w:val="2"/>
                <w:sz w:val="21"/>
                <w:szCs w:val="21"/>
                <w:lang w:eastAsia="zh-CN"/>
              </w:rPr>
            </w:pPr>
            <w:r>
              <w:rPr>
                <w:rFonts w:hint="eastAsia" w:hAnsi="Times New Roman" w:eastAsia="宋体"/>
                <w:bCs/>
                <w:kern w:val="2"/>
                <w:sz w:val="21"/>
                <w:szCs w:val="21"/>
                <w:lang w:eastAsia="zh-CN"/>
              </w:rPr>
              <w:t>五、排水系统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31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w:t>
            </w:r>
          </w:p>
        </w:tc>
        <w:tc>
          <w:tcPr>
            <w:tcW w:w="90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离心式水泵</w:t>
            </w:r>
          </w:p>
        </w:tc>
        <w:tc>
          <w:tcPr>
            <w:tcW w:w="1353"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MD280-43×6</w:t>
            </w:r>
          </w:p>
        </w:tc>
        <w:tc>
          <w:tcPr>
            <w:tcW w:w="4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台</w:t>
            </w:r>
          </w:p>
        </w:tc>
        <w:tc>
          <w:tcPr>
            <w:tcW w:w="46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3</w:t>
            </w:r>
          </w:p>
        </w:tc>
        <w:tc>
          <w:tcPr>
            <w:tcW w:w="51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0</w:t>
            </w:r>
          </w:p>
        </w:tc>
        <w:tc>
          <w:tcPr>
            <w:tcW w:w="427"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3</w:t>
            </w:r>
          </w:p>
        </w:tc>
        <w:tc>
          <w:tcPr>
            <w:tcW w:w="596"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1台备用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5000" w:type="pct"/>
            <w:gridSpan w:val="8"/>
            <w:vAlign w:val="center"/>
          </w:tcPr>
          <w:p>
            <w:pPr>
              <w:keepNext w:val="0"/>
              <w:keepLines w:val="0"/>
              <w:suppressLineNumbers w:val="0"/>
              <w:spacing w:before="0" w:beforeAutospacing="0" w:after="0" w:afterAutospacing="0" w:line="240" w:lineRule="exact"/>
              <w:ind w:left="0" w:right="0"/>
              <w:rPr>
                <w:rFonts w:hint="eastAsia" w:hAnsi="Times New Roman" w:eastAsia="宋体"/>
                <w:bCs/>
                <w:kern w:val="2"/>
                <w:sz w:val="21"/>
                <w:szCs w:val="21"/>
                <w:lang w:eastAsia="zh-CN"/>
              </w:rPr>
            </w:pPr>
            <w:r>
              <w:rPr>
                <w:rFonts w:hint="eastAsia" w:hAnsi="Times New Roman" w:eastAsia="宋体"/>
                <w:bCs/>
                <w:kern w:val="2"/>
                <w:sz w:val="21"/>
                <w:szCs w:val="21"/>
                <w:lang w:eastAsia="zh-CN"/>
              </w:rPr>
              <w:t>六、坑木加工房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31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w:t>
            </w:r>
          </w:p>
        </w:tc>
        <w:tc>
          <w:tcPr>
            <w:tcW w:w="90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手动进料木工圆锯机</w:t>
            </w:r>
          </w:p>
        </w:tc>
        <w:tc>
          <w:tcPr>
            <w:tcW w:w="1353"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MJ109，Ф900，3kW，38 0V</w:t>
            </w:r>
          </w:p>
        </w:tc>
        <w:tc>
          <w:tcPr>
            <w:tcW w:w="4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台</w:t>
            </w:r>
          </w:p>
        </w:tc>
        <w:tc>
          <w:tcPr>
            <w:tcW w:w="46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w:t>
            </w:r>
          </w:p>
        </w:tc>
        <w:tc>
          <w:tcPr>
            <w:tcW w:w="51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0</w:t>
            </w:r>
          </w:p>
        </w:tc>
        <w:tc>
          <w:tcPr>
            <w:tcW w:w="427"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w:t>
            </w:r>
          </w:p>
        </w:tc>
        <w:tc>
          <w:tcPr>
            <w:tcW w:w="596"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31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2</w:t>
            </w:r>
          </w:p>
        </w:tc>
        <w:tc>
          <w:tcPr>
            <w:tcW w:w="90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万能刃磨机</w:t>
            </w:r>
          </w:p>
        </w:tc>
        <w:tc>
          <w:tcPr>
            <w:tcW w:w="1353"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c>
          <w:tcPr>
            <w:tcW w:w="4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台</w:t>
            </w:r>
          </w:p>
        </w:tc>
        <w:tc>
          <w:tcPr>
            <w:tcW w:w="46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w:t>
            </w:r>
          </w:p>
        </w:tc>
        <w:tc>
          <w:tcPr>
            <w:tcW w:w="51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0</w:t>
            </w:r>
          </w:p>
        </w:tc>
        <w:tc>
          <w:tcPr>
            <w:tcW w:w="427"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w:t>
            </w:r>
          </w:p>
        </w:tc>
        <w:tc>
          <w:tcPr>
            <w:tcW w:w="596"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5000" w:type="pct"/>
            <w:gridSpan w:val="8"/>
            <w:vAlign w:val="center"/>
          </w:tcPr>
          <w:p>
            <w:pPr>
              <w:keepNext w:val="0"/>
              <w:keepLines w:val="0"/>
              <w:suppressLineNumbers w:val="0"/>
              <w:spacing w:before="0" w:beforeAutospacing="0" w:after="0" w:afterAutospacing="0" w:line="240" w:lineRule="exact"/>
              <w:ind w:left="0" w:right="0"/>
              <w:rPr>
                <w:rFonts w:hint="eastAsia" w:hAnsi="Times New Roman" w:eastAsia="宋体"/>
                <w:bCs/>
                <w:kern w:val="2"/>
                <w:sz w:val="21"/>
                <w:szCs w:val="21"/>
                <w:lang w:eastAsia="zh-CN"/>
              </w:rPr>
            </w:pPr>
            <w:r>
              <w:rPr>
                <w:rFonts w:hint="eastAsia" w:hAnsi="Times New Roman" w:eastAsia="宋体"/>
                <w:bCs/>
                <w:kern w:val="2"/>
                <w:sz w:val="21"/>
                <w:szCs w:val="21"/>
                <w:lang w:eastAsia="zh-CN"/>
              </w:rPr>
              <w:t>七、地面给排水管路及设备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31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p>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p>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w:t>
            </w:r>
          </w:p>
        </w:tc>
        <w:tc>
          <w:tcPr>
            <w:tcW w:w="90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矿井废水处理系统</w:t>
            </w:r>
          </w:p>
        </w:tc>
        <w:tc>
          <w:tcPr>
            <w:tcW w:w="1353"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调节（2000m</w:t>
            </w:r>
            <w:r>
              <w:rPr>
                <w:rFonts w:hint="eastAsia" w:hAnsi="Times New Roman" w:eastAsia="宋体"/>
                <w:bCs/>
                <w:kern w:val="2"/>
                <w:sz w:val="21"/>
                <w:szCs w:val="21"/>
                <w:vertAlign w:val="superscript"/>
                <w:lang w:eastAsia="zh-CN"/>
              </w:rPr>
              <w:t>3</w:t>
            </w:r>
            <w:r>
              <w:rPr>
                <w:rFonts w:hint="eastAsia" w:hAnsi="Times New Roman" w:eastAsia="宋体"/>
                <w:bCs/>
                <w:kern w:val="2"/>
                <w:sz w:val="21"/>
                <w:szCs w:val="21"/>
                <w:lang w:eastAsia="zh-CN"/>
              </w:rPr>
              <w:t>水仓）+混凝沉淀（三级沉淀池，每个沉淀池50m</w:t>
            </w:r>
            <w:r>
              <w:rPr>
                <w:rFonts w:hint="eastAsia" w:hAnsi="Times New Roman" w:eastAsia="宋体"/>
                <w:bCs/>
                <w:kern w:val="2"/>
                <w:sz w:val="21"/>
                <w:szCs w:val="21"/>
                <w:vertAlign w:val="superscript"/>
                <w:lang w:eastAsia="zh-CN"/>
              </w:rPr>
              <w:t>3</w:t>
            </w:r>
            <w:r>
              <w:rPr>
                <w:rFonts w:hint="eastAsia" w:hAnsi="Times New Roman" w:eastAsia="宋体"/>
                <w:bCs/>
                <w:kern w:val="2"/>
                <w:sz w:val="21"/>
                <w:szCs w:val="21"/>
                <w:lang w:eastAsia="zh-CN"/>
              </w:rPr>
              <w:t>）投加PAM、PAC并搅拌）+过滤（一体化净水设备，石英砂过滤，处理能力400m</w:t>
            </w:r>
            <w:r>
              <w:rPr>
                <w:rFonts w:hint="eastAsia" w:hAnsi="Times New Roman" w:eastAsia="宋体"/>
                <w:bCs/>
                <w:kern w:val="2"/>
                <w:sz w:val="21"/>
                <w:szCs w:val="21"/>
                <w:vertAlign w:val="superscript"/>
                <w:lang w:eastAsia="zh-CN"/>
              </w:rPr>
              <w:t>3</w:t>
            </w:r>
            <w:r>
              <w:rPr>
                <w:rFonts w:hint="eastAsia" w:hAnsi="Times New Roman" w:eastAsia="宋体"/>
                <w:bCs/>
                <w:kern w:val="2"/>
                <w:sz w:val="21"/>
                <w:szCs w:val="21"/>
                <w:lang w:eastAsia="zh-CN"/>
              </w:rPr>
              <w:t>/h）</w:t>
            </w:r>
          </w:p>
        </w:tc>
        <w:tc>
          <w:tcPr>
            <w:tcW w:w="4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套</w:t>
            </w:r>
          </w:p>
        </w:tc>
        <w:tc>
          <w:tcPr>
            <w:tcW w:w="46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0</w:t>
            </w:r>
          </w:p>
        </w:tc>
        <w:tc>
          <w:tcPr>
            <w:tcW w:w="51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w:t>
            </w:r>
          </w:p>
        </w:tc>
        <w:tc>
          <w:tcPr>
            <w:tcW w:w="427"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w:t>
            </w:r>
          </w:p>
        </w:tc>
        <w:tc>
          <w:tcPr>
            <w:tcW w:w="596"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31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p>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2</w:t>
            </w:r>
          </w:p>
        </w:tc>
        <w:tc>
          <w:tcPr>
            <w:tcW w:w="90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生活污水处理系统</w:t>
            </w:r>
          </w:p>
        </w:tc>
        <w:tc>
          <w:tcPr>
            <w:tcW w:w="1353"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一体化生活污水处理装置（型号JYJ-10，处理能力 10m</w:t>
            </w:r>
            <w:r>
              <w:rPr>
                <w:rFonts w:hint="eastAsia" w:hAnsi="Times New Roman" w:eastAsia="宋体"/>
                <w:bCs/>
                <w:kern w:val="2"/>
                <w:sz w:val="21"/>
                <w:szCs w:val="21"/>
                <w:vertAlign w:val="superscript"/>
                <w:lang w:eastAsia="zh-CN"/>
              </w:rPr>
              <w:t>3</w:t>
            </w:r>
            <w:r>
              <w:rPr>
                <w:rFonts w:hint="eastAsia" w:hAnsi="Times New Roman" w:eastAsia="宋体"/>
                <w:bCs/>
                <w:kern w:val="2"/>
                <w:sz w:val="21"/>
                <w:szCs w:val="21"/>
                <w:lang w:eastAsia="zh-CN"/>
              </w:rPr>
              <w:t>/h）</w:t>
            </w:r>
          </w:p>
        </w:tc>
        <w:tc>
          <w:tcPr>
            <w:tcW w:w="4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套</w:t>
            </w:r>
          </w:p>
        </w:tc>
        <w:tc>
          <w:tcPr>
            <w:tcW w:w="46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0</w:t>
            </w:r>
          </w:p>
        </w:tc>
        <w:tc>
          <w:tcPr>
            <w:tcW w:w="51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w:t>
            </w:r>
          </w:p>
        </w:tc>
        <w:tc>
          <w:tcPr>
            <w:tcW w:w="427"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w:t>
            </w:r>
          </w:p>
        </w:tc>
        <w:tc>
          <w:tcPr>
            <w:tcW w:w="596"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5000" w:type="pct"/>
            <w:gridSpan w:val="8"/>
            <w:vAlign w:val="center"/>
          </w:tcPr>
          <w:p>
            <w:pPr>
              <w:keepNext w:val="0"/>
              <w:keepLines w:val="0"/>
              <w:suppressLineNumbers w:val="0"/>
              <w:spacing w:before="0" w:beforeAutospacing="0" w:after="0" w:afterAutospacing="0" w:line="240" w:lineRule="exact"/>
              <w:ind w:left="0" w:right="0"/>
              <w:rPr>
                <w:rFonts w:hint="eastAsia" w:hAnsi="Times New Roman" w:eastAsia="宋体"/>
                <w:bCs/>
                <w:kern w:val="2"/>
                <w:sz w:val="21"/>
                <w:szCs w:val="21"/>
                <w:lang w:eastAsia="zh-CN"/>
              </w:rPr>
            </w:pPr>
            <w:r>
              <w:rPr>
                <w:rFonts w:hint="eastAsia" w:hAnsi="Times New Roman" w:eastAsia="宋体"/>
                <w:bCs/>
                <w:kern w:val="2"/>
                <w:sz w:val="21"/>
                <w:szCs w:val="21"/>
                <w:lang w:eastAsia="zh-CN"/>
              </w:rPr>
              <w:t>八、地面防尘设备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31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w:t>
            </w:r>
          </w:p>
        </w:tc>
        <w:tc>
          <w:tcPr>
            <w:tcW w:w="90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喷雾降尘装置</w:t>
            </w:r>
          </w:p>
        </w:tc>
        <w:tc>
          <w:tcPr>
            <w:tcW w:w="1353"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非标设备</w:t>
            </w:r>
          </w:p>
        </w:tc>
        <w:tc>
          <w:tcPr>
            <w:tcW w:w="4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套</w:t>
            </w:r>
          </w:p>
        </w:tc>
        <w:tc>
          <w:tcPr>
            <w:tcW w:w="46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2</w:t>
            </w:r>
          </w:p>
        </w:tc>
        <w:tc>
          <w:tcPr>
            <w:tcW w:w="51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2</w:t>
            </w:r>
          </w:p>
        </w:tc>
        <w:tc>
          <w:tcPr>
            <w:tcW w:w="427"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4</w:t>
            </w:r>
          </w:p>
        </w:tc>
        <w:tc>
          <w:tcPr>
            <w:tcW w:w="596"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5000" w:type="pct"/>
            <w:gridSpan w:val="8"/>
            <w:vAlign w:val="center"/>
          </w:tcPr>
          <w:p>
            <w:pPr>
              <w:keepNext w:val="0"/>
              <w:keepLines w:val="0"/>
              <w:suppressLineNumbers w:val="0"/>
              <w:spacing w:before="0" w:beforeAutospacing="0" w:after="0" w:afterAutospacing="0" w:line="240" w:lineRule="exact"/>
              <w:ind w:left="0" w:right="0"/>
              <w:rPr>
                <w:rFonts w:hint="eastAsia" w:hAnsi="Times New Roman" w:eastAsia="宋体"/>
                <w:bCs/>
                <w:kern w:val="2"/>
                <w:sz w:val="21"/>
                <w:szCs w:val="21"/>
                <w:lang w:eastAsia="zh-CN"/>
              </w:rPr>
            </w:pPr>
            <w:r>
              <w:rPr>
                <w:rFonts w:hint="eastAsia" w:hAnsi="Times New Roman" w:eastAsia="宋体"/>
                <w:bCs/>
                <w:kern w:val="2"/>
                <w:sz w:val="21"/>
                <w:szCs w:val="21"/>
                <w:lang w:eastAsia="zh-CN"/>
              </w:rPr>
              <w:t>九、地面生产系统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311" w:type="pct"/>
            <w:vAlign w:val="center"/>
          </w:tcPr>
          <w:p>
            <w:pPr>
              <w:pStyle w:val="44"/>
              <w:keepNext w:val="0"/>
              <w:keepLines w:val="0"/>
              <w:suppressLineNumbers w:val="0"/>
              <w:spacing w:before="47" w:beforeAutospacing="0" w:after="0" w:afterAutospacing="0" w:line="240" w:lineRule="exact"/>
              <w:ind w:left="10" w:right="0"/>
              <w:jc w:val="center"/>
              <w:rPr>
                <w:rFonts w:hint="eastAsia" w:hAnsi="Times New Roman" w:eastAsia="宋体"/>
                <w:bCs/>
                <w:kern w:val="2"/>
                <w:sz w:val="21"/>
                <w:szCs w:val="21"/>
                <w:lang w:eastAsia="zh-CN"/>
              </w:rPr>
            </w:pPr>
            <w:r>
              <w:rPr>
                <w:rFonts w:hint="eastAsia" w:hAnsi="Times New Roman" w:eastAsia="宋体"/>
                <w:w w:val="99"/>
                <w:kern w:val="2"/>
                <w:sz w:val="21"/>
                <w:szCs w:val="22"/>
              </w:rPr>
              <w:t>1</w:t>
            </w:r>
          </w:p>
        </w:tc>
        <w:tc>
          <w:tcPr>
            <w:tcW w:w="90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空气能热泵</w:t>
            </w:r>
          </w:p>
        </w:tc>
        <w:tc>
          <w:tcPr>
            <w:tcW w:w="1353"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p>
        </w:tc>
        <w:tc>
          <w:tcPr>
            <w:tcW w:w="42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台</w:t>
            </w:r>
          </w:p>
        </w:tc>
        <w:tc>
          <w:tcPr>
            <w:tcW w:w="46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4</w:t>
            </w:r>
          </w:p>
        </w:tc>
        <w:tc>
          <w:tcPr>
            <w:tcW w:w="51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0</w:t>
            </w:r>
          </w:p>
        </w:tc>
        <w:tc>
          <w:tcPr>
            <w:tcW w:w="427"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4</w:t>
            </w:r>
          </w:p>
        </w:tc>
        <w:tc>
          <w:tcPr>
            <w:tcW w:w="596"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r>
    </w:tbl>
    <w:p>
      <w:pPr>
        <w:pStyle w:val="6"/>
        <w:rPr>
          <w:lang w:eastAsia="zh-CN"/>
        </w:rPr>
      </w:pPr>
      <w:bookmarkStart w:id="109" w:name="_Toc167095146"/>
      <w:bookmarkStart w:id="110" w:name="_Toc163812523"/>
      <w:r>
        <w:rPr>
          <w:lang w:eastAsia="zh-CN"/>
        </w:rPr>
        <w:t>2.3.8 给排水</w:t>
      </w:r>
      <w:bookmarkEnd w:id="109"/>
      <w:bookmarkEnd w:id="110"/>
    </w:p>
    <w:p>
      <w:pPr>
        <w:pStyle w:val="8"/>
        <w:rPr>
          <w:rFonts w:ascii="Times New Roman" w:hAnsi="Times New Roman"/>
          <w:lang w:eastAsia="zh-CN"/>
        </w:rPr>
      </w:pPr>
      <w:r>
        <w:rPr>
          <w:rFonts w:ascii="Times New Roman" w:hAnsi="Times New Roman"/>
          <w:lang w:eastAsia="zh-CN"/>
        </w:rPr>
        <w:t>2.3.8.1 给水工程</w:t>
      </w:r>
    </w:p>
    <w:p>
      <w:pPr>
        <w:spacing w:line="360" w:lineRule="auto"/>
        <w:ind w:firstLine="482" w:firstLineChars="200"/>
        <w:rPr>
          <w:rFonts w:hAnsi="Times New Roman" w:eastAsia="宋体"/>
          <w:b/>
          <w:bCs/>
          <w:lang w:eastAsia="zh-CN"/>
        </w:rPr>
      </w:pPr>
      <w:r>
        <w:rPr>
          <w:rFonts w:hAnsi="Times New Roman" w:eastAsia="宋体"/>
          <w:b/>
          <w:bCs/>
          <w:lang w:eastAsia="zh-CN"/>
        </w:rPr>
        <w:t>（1）水量</w:t>
      </w:r>
    </w:p>
    <w:p>
      <w:pPr>
        <w:spacing w:line="360" w:lineRule="auto"/>
        <w:ind w:firstLine="480" w:firstLineChars="200"/>
        <w:rPr>
          <w:rFonts w:hAnsi="Times New Roman" w:eastAsia="宋体"/>
          <w:lang w:eastAsia="zh-CN"/>
        </w:rPr>
      </w:pPr>
      <w:r>
        <w:rPr>
          <w:rFonts w:hAnsi="Times New Roman" w:eastAsia="宋体"/>
          <w:lang w:eastAsia="zh-CN"/>
        </w:rPr>
        <w:t>本矿井总用水量为704.97m</w:t>
      </w:r>
      <w:r>
        <w:rPr>
          <w:rFonts w:hAnsi="Times New Roman" w:eastAsia="宋体"/>
          <w:vertAlign w:val="superscript"/>
          <w:lang w:eastAsia="zh-CN"/>
        </w:rPr>
        <w:t>3</w:t>
      </w:r>
      <w:r>
        <w:rPr>
          <w:rFonts w:hAnsi="Times New Roman" w:eastAsia="宋体"/>
          <w:lang w:eastAsia="zh-CN"/>
        </w:rPr>
        <w:t>/d，其中生活用水量111.54m</w:t>
      </w:r>
      <w:r>
        <w:rPr>
          <w:rFonts w:hAnsi="Times New Roman" w:eastAsia="宋体"/>
          <w:vertAlign w:val="superscript"/>
          <w:lang w:eastAsia="zh-CN"/>
        </w:rPr>
        <w:t>3</w:t>
      </w:r>
      <w:r>
        <w:rPr>
          <w:rFonts w:hAnsi="Times New Roman" w:eastAsia="宋体"/>
          <w:lang w:eastAsia="zh-CN"/>
        </w:rPr>
        <w:t>/d，生产用水量593.43m</w:t>
      </w:r>
      <w:r>
        <w:rPr>
          <w:rFonts w:hAnsi="Times New Roman" w:eastAsia="宋体"/>
          <w:vertAlign w:val="superscript"/>
          <w:lang w:eastAsia="zh-CN"/>
        </w:rPr>
        <w:t>3</w:t>
      </w:r>
      <w:r>
        <w:rPr>
          <w:rFonts w:hAnsi="Times New Roman" w:eastAsia="宋体"/>
          <w:lang w:eastAsia="zh-CN"/>
        </w:rPr>
        <w:t>/d。各项用水量计算如下表。</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表2.3-3 项目用水量统计表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67"/>
        <w:gridCol w:w="1842"/>
        <w:gridCol w:w="1615"/>
        <w:gridCol w:w="1385"/>
        <w:gridCol w:w="1411"/>
        <w:gridCol w:w="22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1" w:hRule="atLeast"/>
          <w:tblHeader/>
          <w:jc w:val="center"/>
        </w:trPr>
        <w:tc>
          <w:tcPr>
            <w:tcW w:w="365"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
                <w:kern w:val="2"/>
                <w:sz w:val="21"/>
                <w:szCs w:val="21"/>
                <w:lang w:eastAsia="zh-CN"/>
              </w:rPr>
            </w:pPr>
            <w:r>
              <w:rPr>
                <w:rFonts w:hint="eastAsia" w:hAnsi="Times New Roman" w:eastAsia="宋体"/>
                <w:b/>
                <w:kern w:val="2"/>
                <w:sz w:val="21"/>
                <w:szCs w:val="21"/>
                <w:lang w:eastAsia="zh-CN"/>
              </w:rPr>
              <w:t>序号</w:t>
            </w:r>
          </w:p>
        </w:tc>
        <w:tc>
          <w:tcPr>
            <w:tcW w:w="1008"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
                <w:kern w:val="2"/>
                <w:sz w:val="21"/>
                <w:szCs w:val="21"/>
                <w:lang w:eastAsia="zh-CN"/>
              </w:rPr>
            </w:pPr>
            <w:r>
              <w:rPr>
                <w:rFonts w:hint="eastAsia" w:hAnsi="Times New Roman" w:eastAsia="宋体"/>
                <w:b/>
                <w:kern w:val="2"/>
                <w:sz w:val="21"/>
                <w:szCs w:val="21"/>
                <w:lang w:eastAsia="zh-CN"/>
              </w:rPr>
              <w:t>用水项目</w:t>
            </w:r>
          </w:p>
        </w:tc>
        <w:tc>
          <w:tcPr>
            <w:tcW w:w="884"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
                <w:kern w:val="2"/>
                <w:sz w:val="21"/>
                <w:szCs w:val="21"/>
                <w:lang w:eastAsia="zh-CN"/>
              </w:rPr>
            </w:pPr>
            <w:r>
              <w:rPr>
                <w:rFonts w:hint="eastAsia" w:hAnsi="Times New Roman" w:eastAsia="宋体"/>
                <w:b/>
                <w:kern w:val="2"/>
                <w:sz w:val="21"/>
                <w:szCs w:val="21"/>
                <w:lang w:eastAsia="zh-CN"/>
              </w:rPr>
              <w:t>规模</w:t>
            </w:r>
          </w:p>
        </w:tc>
        <w:tc>
          <w:tcPr>
            <w:tcW w:w="758"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
                <w:kern w:val="2"/>
                <w:sz w:val="21"/>
                <w:szCs w:val="21"/>
                <w:lang w:eastAsia="zh-CN"/>
              </w:rPr>
            </w:pPr>
            <w:r>
              <w:rPr>
                <w:rFonts w:hint="eastAsia" w:hAnsi="Times New Roman" w:eastAsia="宋体"/>
                <w:b/>
                <w:kern w:val="2"/>
                <w:sz w:val="21"/>
                <w:szCs w:val="21"/>
                <w:lang w:eastAsia="zh-CN"/>
              </w:rPr>
              <w:t>用水标准</w:t>
            </w:r>
          </w:p>
        </w:tc>
        <w:tc>
          <w:tcPr>
            <w:tcW w:w="772"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
                <w:kern w:val="2"/>
                <w:sz w:val="21"/>
                <w:szCs w:val="21"/>
                <w:lang w:eastAsia="zh-CN"/>
              </w:rPr>
            </w:pPr>
            <w:r>
              <w:rPr>
                <w:rFonts w:hint="eastAsia" w:hAnsi="Times New Roman" w:eastAsia="宋体"/>
                <w:b/>
                <w:kern w:val="2"/>
                <w:sz w:val="21"/>
                <w:szCs w:val="21"/>
                <w:lang w:eastAsia="zh-CN"/>
              </w:rPr>
              <w:t>用水（m</w:t>
            </w:r>
            <w:r>
              <w:rPr>
                <w:rFonts w:hint="eastAsia" w:hAnsi="Times New Roman" w:eastAsia="宋体"/>
                <w:b/>
                <w:kern w:val="2"/>
                <w:sz w:val="21"/>
                <w:szCs w:val="21"/>
                <w:vertAlign w:val="superscript"/>
                <w:lang w:eastAsia="zh-CN"/>
              </w:rPr>
              <w:t>3</w:t>
            </w:r>
            <w:r>
              <w:rPr>
                <w:rFonts w:hint="eastAsia" w:hAnsi="Times New Roman" w:eastAsia="宋体"/>
                <w:b/>
                <w:kern w:val="2"/>
                <w:sz w:val="21"/>
                <w:szCs w:val="21"/>
                <w:lang w:eastAsia="zh-CN"/>
              </w:rPr>
              <w:t>/d）</w:t>
            </w:r>
          </w:p>
        </w:tc>
        <w:tc>
          <w:tcPr>
            <w:tcW w:w="1214"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
                <w:kern w:val="2"/>
                <w:sz w:val="21"/>
                <w:szCs w:val="21"/>
                <w:lang w:eastAsia="zh-CN"/>
              </w:rPr>
            </w:pPr>
            <w:r>
              <w:rPr>
                <w:rFonts w:hint="eastAsia" w:hAnsi="Times New Roman" w:eastAsia="宋体"/>
                <w:b/>
                <w:kern w:val="2"/>
                <w:sz w:val="21"/>
                <w:szCs w:val="21"/>
                <w:lang w:eastAsia="zh-CN"/>
              </w:rPr>
              <w:t>备</w:t>
            </w:r>
            <w:r>
              <w:rPr>
                <w:rFonts w:hint="eastAsia" w:hAnsi="Times New Roman" w:eastAsia="宋体"/>
                <w:b/>
                <w:kern w:val="2"/>
                <w:sz w:val="21"/>
                <w:szCs w:val="21"/>
                <w:lang w:eastAsia="zh-CN"/>
              </w:rPr>
              <w:tab/>
            </w:r>
            <w:r>
              <w:rPr>
                <w:rFonts w:hint="eastAsia" w:hAnsi="Times New Roman" w:eastAsia="宋体"/>
                <w:b/>
                <w:kern w:val="2"/>
                <w:sz w:val="21"/>
                <w:szCs w:val="21"/>
                <w:lang w:eastAsia="zh-CN"/>
              </w:rPr>
              <w:t>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1" w:hRule="atLeast"/>
          <w:jc w:val="center"/>
        </w:trPr>
        <w:tc>
          <w:tcPr>
            <w:tcW w:w="5000" w:type="pct"/>
            <w:gridSpan w:val="6"/>
            <w:vAlign w:val="center"/>
          </w:tcPr>
          <w:p>
            <w:pPr>
              <w:keepNext w:val="0"/>
              <w:keepLines w:val="0"/>
              <w:suppressLineNumbers w:val="0"/>
              <w:spacing w:before="0" w:beforeAutospacing="0" w:after="0" w:afterAutospacing="0" w:line="280" w:lineRule="exact"/>
              <w:ind w:left="0" w:right="0"/>
              <w:rPr>
                <w:rFonts w:hint="eastAsia" w:hAnsi="Times New Roman" w:eastAsia="宋体"/>
                <w:bCs/>
                <w:kern w:val="2"/>
                <w:sz w:val="21"/>
                <w:szCs w:val="21"/>
                <w:lang w:eastAsia="zh-CN"/>
              </w:rPr>
            </w:pPr>
            <w:r>
              <w:rPr>
                <w:rFonts w:hint="eastAsia" w:hAnsi="Times New Roman" w:eastAsia="宋体"/>
                <w:bCs/>
                <w:kern w:val="2"/>
                <w:sz w:val="21"/>
                <w:szCs w:val="21"/>
                <w:lang w:eastAsia="zh-CN"/>
              </w:rPr>
              <w:t>一、生活用水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1" w:hRule="atLeast"/>
          <w:jc w:val="center"/>
        </w:trPr>
        <w:tc>
          <w:tcPr>
            <w:tcW w:w="365"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w:t>
            </w:r>
          </w:p>
        </w:tc>
        <w:tc>
          <w:tcPr>
            <w:tcW w:w="1008"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日常生活用水</w:t>
            </w:r>
          </w:p>
        </w:tc>
        <w:tc>
          <w:tcPr>
            <w:tcW w:w="884"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335人①</w:t>
            </w:r>
          </w:p>
        </w:tc>
        <w:tc>
          <w:tcPr>
            <w:tcW w:w="758"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35L/人·班</w:t>
            </w:r>
          </w:p>
        </w:tc>
        <w:tc>
          <w:tcPr>
            <w:tcW w:w="772"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11.72</w:t>
            </w:r>
          </w:p>
        </w:tc>
        <w:tc>
          <w:tcPr>
            <w:tcW w:w="1214"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1" w:hRule="atLeast"/>
          <w:jc w:val="center"/>
        </w:trPr>
        <w:tc>
          <w:tcPr>
            <w:tcW w:w="365"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2</w:t>
            </w:r>
          </w:p>
        </w:tc>
        <w:tc>
          <w:tcPr>
            <w:tcW w:w="1008"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淋浴用水</w:t>
            </w:r>
          </w:p>
        </w:tc>
        <w:tc>
          <w:tcPr>
            <w:tcW w:w="884"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淋浴器 30个</w:t>
            </w:r>
          </w:p>
        </w:tc>
        <w:tc>
          <w:tcPr>
            <w:tcW w:w="758"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540L/个·h</w:t>
            </w:r>
          </w:p>
        </w:tc>
        <w:tc>
          <w:tcPr>
            <w:tcW w:w="772"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48.6</w:t>
            </w:r>
          </w:p>
        </w:tc>
        <w:tc>
          <w:tcPr>
            <w:tcW w:w="1214"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3h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1" w:hRule="atLeast"/>
          <w:jc w:val="center"/>
        </w:trPr>
        <w:tc>
          <w:tcPr>
            <w:tcW w:w="365"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3</w:t>
            </w:r>
          </w:p>
        </w:tc>
        <w:tc>
          <w:tcPr>
            <w:tcW w:w="1008"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食堂用水</w:t>
            </w:r>
          </w:p>
        </w:tc>
        <w:tc>
          <w:tcPr>
            <w:tcW w:w="884"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335人</w:t>
            </w:r>
          </w:p>
        </w:tc>
        <w:tc>
          <w:tcPr>
            <w:tcW w:w="758"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20L/人·餐</w:t>
            </w:r>
          </w:p>
        </w:tc>
        <w:tc>
          <w:tcPr>
            <w:tcW w:w="772"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13.4</w:t>
            </w:r>
          </w:p>
        </w:tc>
        <w:tc>
          <w:tcPr>
            <w:tcW w:w="1214"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2餐/人.日计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1" w:hRule="atLeast"/>
          <w:jc w:val="center"/>
        </w:trPr>
        <w:tc>
          <w:tcPr>
            <w:tcW w:w="365"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4</w:t>
            </w:r>
          </w:p>
        </w:tc>
        <w:tc>
          <w:tcPr>
            <w:tcW w:w="1008"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洗衣房用水</w:t>
            </w:r>
          </w:p>
        </w:tc>
        <w:tc>
          <w:tcPr>
            <w:tcW w:w="884"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194人</w:t>
            </w:r>
          </w:p>
        </w:tc>
        <w:tc>
          <w:tcPr>
            <w:tcW w:w="758"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80L/kg·干衣</w:t>
            </w:r>
          </w:p>
        </w:tc>
        <w:tc>
          <w:tcPr>
            <w:tcW w:w="772"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15.52</w:t>
            </w:r>
          </w:p>
        </w:tc>
        <w:tc>
          <w:tcPr>
            <w:tcW w:w="1214"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1" w:hRule="atLeast"/>
          <w:jc w:val="center"/>
        </w:trPr>
        <w:tc>
          <w:tcPr>
            <w:tcW w:w="365"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5</w:t>
            </w:r>
          </w:p>
        </w:tc>
        <w:tc>
          <w:tcPr>
            <w:tcW w:w="1008"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单身职工生活用水</w:t>
            </w:r>
          </w:p>
        </w:tc>
        <w:tc>
          <w:tcPr>
            <w:tcW w:w="884"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122人③</w:t>
            </w:r>
          </w:p>
        </w:tc>
        <w:tc>
          <w:tcPr>
            <w:tcW w:w="758"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100L/人·d②</w:t>
            </w:r>
          </w:p>
        </w:tc>
        <w:tc>
          <w:tcPr>
            <w:tcW w:w="772"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12.2</w:t>
            </w:r>
          </w:p>
        </w:tc>
        <w:tc>
          <w:tcPr>
            <w:tcW w:w="1214"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1" w:hRule="atLeast"/>
          <w:jc w:val="center"/>
        </w:trPr>
        <w:tc>
          <w:tcPr>
            <w:tcW w:w="365"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6</w:t>
            </w:r>
          </w:p>
        </w:tc>
        <w:tc>
          <w:tcPr>
            <w:tcW w:w="1008"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未预见水量</w:t>
            </w:r>
          </w:p>
        </w:tc>
        <w:tc>
          <w:tcPr>
            <w:tcW w:w="884"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c>
          <w:tcPr>
            <w:tcW w:w="758"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c>
          <w:tcPr>
            <w:tcW w:w="772"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10.1</w:t>
            </w:r>
          </w:p>
        </w:tc>
        <w:tc>
          <w:tcPr>
            <w:tcW w:w="1214"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按1～5项之和的10%计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1" w:hRule="atLeast"/>
          <w:jc w:val="center"/>
        </w:trPr>
        <w:tc>
          <w:tcPr>
            <w:tcW w:w="1373" w:type="pct"/>
            <w:gridSpan w:val="2"/>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小计</w:t>
            </w:r>
          </w:p>
        </w:tc>
        <w:tc>
          <w:tcPr>
            <w:tcW w:w="884"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c>
          <w:tcPr>
            <w:tcW w:w="758"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c>
          <w:tcPr>
            <w:tcW w:w="772"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111.54</w:t>
            </w:r>
          </w:p>
        </w:tc>
        <w:tc>
          <w:tcPr>
            <w:tcW w:w="1214"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1" w:hRule="atLeast"/>
          <w:jc w:val="center"/>
        </w:trPr>
        <w:tc>
          <w:tcPr>
            <w:tcW w:w="5000" w:type="pct"/>
            <w:gridSpan w:val="6"/>
            <w:vAlign w:val="center"/>
          </w:tcPr>
          <w:p>
            <w:pPr>
              <w:keepNext w:val="0"/>
              <w:keepLines w:val="0"/>
              <w:suppressLineNumbers w:val="0"/>
              <w:spacing w:before="0" w:beforeAutospacing="0" w:after="0" w:afterAutospacing="0" w:line="280" w:lineRule="exact"/>
              <w:ind w:left="0" w:right="0"/>
              <w:rPr>
                <w:rFonts w:hint="eastAsia" w:hAnsi="Times New Roman" w:eastAsia="宋体"/>
                <w:bCs/>
                <w:kern w:val="2"/>
                <w:sz w:val="21"/>
                <w:szCs w:val="21"/>
                <w:lang w:eastAsia="zh-CN"/>
              </w:rPr>
            </w:pPr>
            <w:r>
              <w:rPr>
                <w:rFonts w:hint="eastAsia" w:hAnsi="Times New Roman" w:eastAsia="宋体"/>
                <w:bCs/>
                <w:kern w:val="2"/>
                <w:sz w:val="21"/>
                <w:szCs w:val="21"/>
                <w:lang w:eastAsia="zh-CN"/>
              </w:rPr>
              <w:t>二、地面生产用水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1" w:hRule="atLeast"/>
          <w:jc w:val="center"/>
        </w:trPr>
        <w:tc>
          <w:tcPr>
            <w:tcW w:w="365"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w:t>
            </w:r>
          </w:p>
        </w:tc>
        <w:tc>
          <w:tcPr>
            <w:tcW w:w="1008"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瓦斯抽采站冷却补充用水</w:t>
            </w:r>
          </w:p>
        </w:tc>
        <w:tc>
          <w:tcPr>
            <w:tcW w:w="88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按抽采泵冷却水量的5%计</w:t>
            </w:r>
          </w:p>
        </w:tc>
        <w:tc>
          <w:tcPr>
            <w:tcW w:w="758"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kern w:val="2"/>
                <w:sz w:val="21"/>
                <w:szCs w:val="21"/>
              </w:rPr>
              <w:t>122.4m</w:t>
            </w:r>
            <w:r>
              <w:rPr>
                <w:rFonts w:hint="eastAsia" w:hAnsi="Times New Roman" w:eastAsia="宋体"/>
                <w:kern w:val="2"/>
                <w:sz w:val="21"/>
                <w:szCs w:val="21"/>
                <w:vertAlign w:val="superscript"/>
              </w:rPr>
              <w:t>3</w:t>
            </w:r>
          </w:p>
        </w:tc>
        <w:tc>
          <w:tcPr>
            <w:tcW w:w="772"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6.12</w:t>
            </w:r>
          </w:p>
        </w:tc>
        <w:tc>
          <w:tcPr>
            <w:tcW w:w="121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1" w:hRule="atLeast"/>
          <w:jc w:val="center"/>
        </w:trPr>
        <w:tc>
          <w:tcPr>
            <w:tcW w:w="365"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2</w:t>
            </w:r>
          </w:p>
        </w:tc>
        <w:tc>
          <w:tcPr>
            <w:tcW w:w="1008"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地面生产系统防尘洒水</w:t>
            </w:r>
          </w:p>
        </w:tc>
        <w:tc>
          <w:tcPr>
            <w:tcW w:w="884"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909t</w:t>
            </w:r>
          </w:p>
        </w:tc>
        <w:tc>
          <w:tcPr>
            <w:tcW w:w="758"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0.06m</w:t>
            </w:r>
            <w:r>
              <w:rPr>
                <w:rFonts w:hint="eastAsia" w:hAnsi="Times New Roman" w:eastAsia="宋体"/>
                <w:bCs/>
                <w:kern w:val="2"/>
                <w:sz w:val="21"/>
                <w:szCs w:val="21"/>
                <w:vertAlign w:val="superscript"/>
                <w:lang w:eastAsia="zh-CN"/>
              </w:rPr>
              <w:t>3</w:t>
            </w:r>
            <w:r>
              <w:rPr>
                <w:rFonts w:hint="eastAsia" w:hAnsi="Times New Roman" w:eastAsia="宋体"/>
                <w:bCs/>
                <w:kern w:val="2"/>
                <w:sz w:val="21"/>
                <w:szCs w:val="21"/>
                <w:lang w:eastAsia="zh-CN"/>
              </w:rPr>
              <w:t>/t 原煤</w:t>
            </w:r>
          </w:p>
        </w:tc>
        <w:tc>
          <w:tcPr>
            <w:tcW w:w="772"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54.45</w:t>
            </w:r>
          </w:p>
        </w:tc>
        <w:tc>
          <w:tcPr>
            <w:tcW w:w="1214"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1" w:hRule="atLeast"/>
          <w:jc w:val="center"/>
        </w:trPr>
        <w:tc>
          <w:tcPr>
            <w:tcW w:w="365"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3</w:t>
            </w:r>
          </w:p>
        </w:tc>
        <w:tc>
          <w:tcPr>
            <w:tcW w:w="1008"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车辆清洗</w:t>
            </w:r>
          </w:p>
        </w:tc>
        <w:tc>
          <w:tcPr>
            <w:tcW w:w="884"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20辆</w:t>
            </w:r>
          </w:p>
        </w:tc>
        <w:tc>
          <w:tcPr>
            <w:tcW w:w="758"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0.5/m</w:t>
            </w:r>
            <w:r>
              <w:rPr>
                <w:rFonts w:hint="eastAsia" w:hAnsi="Times New Roman" w:eastAsia="宋体"/>
                <w:bCs/>
                <w:kern w:val="2"/>
                <w:sz w:val="21"/>
                <w:szCs w:val="21"/>
                <w:vertAlign w:val="superscript"/>
                <w:lang w:eastAsia="zh-CN"/>
              </w:rPr>
              <w:t>3</w:t>
            </w:r>
            <w:r>
              <w:rPr>
                <w:rFonts w:hint="eastAsia" w:hAnsi="Times New Roman" w:eastAsia="宋体"/>
                <w:bCs/>
                <w:kern w:val="2"/>
                <w:sz w:val="21"/>
                <w:szCs w:val="21"/>
                <w:lang w:eastAsia="zh-CN"/>
              </w:rPr>
              <w:t>·辆</w:t>
            </w:r>
          </w:p>
        </w:tc>
        <w:tc>
          <w:tcPr>
            <w:tcW w:w="772"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10</w:t>
            </w:r>
          </w:p>
        </w:tc>
        <w:tc>
          <w:tcPr>
            <w:tcW w:w="1214"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1" w:hRule="atLeast"/>
          <w:jc w:val="center"/>
        </w:trPr>
        <w:tc>
          <w:tcPr>
            <w:tcW w:w="365"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4</w:t>
            </w:r>
          </w:p>
        </w:tc>
        <w:tc>
          <w:tcPr>
            <w:tcW w:w="1008"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机修车间洗手用水</w:t>
            </w:r>
          </w:p>
        </w:tc>
        <w:tc>
          <w:tcPr>
            <w:tcW w:w="88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12人</w:t>
            </w:r>
          </w:p>
        </w:tc>
        <w:tc>
          <w:tcPr>
            <w:tcW w:w="758"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kern w:val="2"/>
                <w:sz w:val="21"/>
                <w:szCs w:val="21"/>
                <w:lang w:eastAsia="zh-CN"/>
              </w:rPr>
              <w:t>20</w:t>
            </w:r>
            <w:r>
              <w:rPr>
                <w:rFonts w:hint="eastAsia" w:hAnsi="Times New Roman" w:eastAsia="宋体"/>
                <w:spacing w:val="-2"/>
                <w:kern w:val="2"/>
                <w:sz w:val="21"/>
                <w:szCs w:val="21"/>
              </w:rPr>
              <w:t>L/t.</w:t>
            </w:r>
            <w:r>
              <w:rPr>
                <w:rFonts w:hint="eastAsia" w:hAnsi="Times New Roman" w:eastAsia="宋体"/>
                <w:kern w:val="2"/>
                <w:sz w:val="21"/>
                <w:szCs w:val="21"/>
              </w:rPr>
              <w:t>d</w:t>
            </w:r>
          </w:p>
        </w:tc>
        <w:tc>
          <w:tcPr>
            <w:tcW w:w="772"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0.24</w:t>
            </w:r>
          </w:p>
        </w:tc>
        <w:tc>
          <w:tcPr>
            <w:tcW w:w="1214"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1" w:hRule="atLeast"/>
          <w:jc w:val="center"/>
        </w:trPr>
        <w:tc>
          <w:tcPr>
            <w:tcW w:w="365"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5</w:t>
            </w:r>
          </w:p>
        </w:tc>
        <w:tc>
          <w:tcPr>
            <w:tcW w:w="1008"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其他用人</w:t>
            </w:r>
          </w:p>
        </w:tc>
        <w:tc>
          <w:tcPr>
            <w:tcW w:w="884"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c>
          <w:tcPr>
            <w:tcW w:w="758"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c>
          <w:tcPr>
            <w:tcW w:w="772"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10.62</w:t>
            </w:r>
          </w:p>
        </w:tc>
        <w:tc>
          <w:tcPr>
            <w:tcW w:w="1214"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按以上各项用水之和的 15%计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1" w:hRule="atLeast"/>
          <w:jc w:val="center"/>
        </w:trPr>
        <w:tc>
          <w:tcPr>
            <w:tcW w:w="1373" w:type="pct"/>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小计</w:t>
            </w:r>
          </w:p>
        </w:tc>
        <w:tc>
          <w:tcPr>
            <w:tcW w:w="884"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c>
          <w:tcPr>
            <w:tcW w:w="758"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c>
          <w:tcPr>
            <w:tcW w:w="772"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81.43</w:t>
            </w:r>
          </w:p>
        </w:tc>
        <w:tc>
          <w:tcPr>
            <w:tcW w:w="121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1" w:hRule="atLeast"/>
          <w:jc w:val="center"/>
        </w:trPr>
        <w:tc>
          <w:tcPr>
            <w:tcW w:w="5000" w:type="pct"/>
            <w:gridSpan w:val="6"/>
            <w:vAlign w:val="center"/>
          </w:tcPr>
          <w:p>
            <w:pPr>
              <w:keepNext w:val="0"/>
              <w:keepLines w:val="0"/>
              <w:suppressLineNumbers w:val="0"/>
              <w:spacing w:before="0" w:beforeAutospacing="0" w:after="0" w:afterAutospacing="0" w:line="280" w:lineRule="exact"/>
              <w:ind w:left="0" w:right="0"/>
              <w:rPr>
                <w:rFonts w:hint="eastAsia" w:hAnsi="Times New Roman" w:eastAsia="宋体"/>
                <w:bCs/>
                <w:kern w:val="2"/>
                <w:sz w:val="21"/>
                <w:szCs w:val="21"/>
                <w:lang w:eastAsia="zh-CN"/>
              </w:rPr>
            </w:pPr>
            <w:r>
              <w:rPr>
                <w:rFonts w:hint="eastAsia" w:hAnsi="Times New Roman" w:eastAsia="宋体"/>
                <w:bCs/>
                <w:kern w:val="2"/>
                <w:sz w:val="21"/>
                <w:szCs w:val="21"/>
                <w:lang w:eastAsia="zh-CN"/>
              </w:rPr>
              <w:t>三、绿化用水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1" w:hRule="atLeast"/>
          <w:jc w:val="center"/>
        </w:trPr>
        <w:tc>
          <w:tcPr>
            <w:tcW w:w="36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w:t>
            </w:r>
          </w:p>
        </w:tc>
        <w:tc>
          <w:tcPr>
            <w:tcW w:w="1008"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绿化用水</w:t>
            </w:r>
          </w:p>
        </w:tc>
        <w:tc>
          <w:tcPr>
            <w:tcW w:w="88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3300m</w:t>
            </w:r>
            <w:r>
              <w:rPr>
                <w:rFonts w:hint="eastAsia" w:hAnsi="Times New Roman" w:eastAsia="宋体"/>
                <w:bCs/>
                <w:kern w:val="2"/>
                <w:sz w:val="21"/>
                <w:szCs w:val="21"/>
                <w:vertAlign w:val="superscript"/>
                <w:lang w:eastAsia="zh-CN"/>
              </w:rPr>
              <w:t>2</w:t>
            </w:r>
          </w:p>
        </w:tc>
        <w:tc>
          <w:tcPr>
            <w:tcW w:w="758"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2L/m</w:t>
            </w:r>
            <w:r>
              <w:rPr>
                <w:rFonts w:hint="eastAsia" w:hAnsi="Times New Roman" w:eastAsia="宋体"/>
                <w:bCs/>
                <w:kern w:val="2"/>
                <w:sz w:val="21"/>
                <w:szCs w:val="21"/>
                <w:vertAlign w:val="superscript"/>
                <w:lang w:eastAsia="zh-CN"/>
              </w:rPr>
              <w:t>2</w:t>
            </w:r>
            <w:r>
              <w:rPr>
                <w:rFonts w:hint="eastAsia" w:hAnsi="Times New Roman" w:eastAsia="宋体"/>
                <w:bCs/>
                <w:kern w:val="2"/>
                <w:sz w:val="21"/>
                <w:szCs w:val="21"/>
                <w:lang w:eastAsia="zh-CN"/>
              </w:rPr>
              <w:t>·次</w:t>
            </w:r>
          </w:p>
        </w:tc>
        <w:tc>
          <w:tcPr>
            <w:tcW w:w="772"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6.6</w:t>
            </w:r>
          </w:p>
        </w:tc>
        <w:tc>
          <w:tcPr>
            <w:tcW w:w="121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1" w:hRule="atLeast"/>
          <w:jc w:val="center"/>
        </w:trPr>
        <w:tc>
          <w:tcPr>
            <w:tcW w:w="5000" w:type="pct"/>
            <w:gridSpan w:val="6"/>
            <w:vAlign w:val="center"/>
          </w:tcPr>
          <w:p>
            <w:pPr>
              <w:keepNext w:val="0"/>
              <w:keepLines w:val="0"/>
              <w:suppressLineNumbers w:val="0"/>
              <w:spacing w:before="0" w:beforeAutospacing="0" w:after="0" w:afterAutospacing="0" w:line="280" w:lineRule="exact"/>
              <w:ind w:left="0" w:right="0"/>
              <w:rPr>
                <w:rFonts w:hint="eastAsia" w:hAnsi="Times New Roman" w:eastAsia="宋体"/>
                <w:bCs/>
                <w:kern w:val="2"/>
                <w:sz w:val="21"/>
                <w:szCs w:val="21"/>
                <w:lang w:eastAsia="zh-CN"/>
              </w:rPr>
            </w:pPr>
            <w:r>
              <w:rPr>
                <w:rFonts w:hint="eastAsia" w:hAnsi="Times New Roman" w:eastAsia="宋体"/>
                <w:bCs/>
                <w:kern w:val="2"/>
                <w:sz w:val="21"/>
                <w:szCs w:val="21"/>
                <w:lang w:eastAsia="zh-CN"/>
              </w:rPr>
              <w:t>四、井下防尘用水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1" w:hRule="atLeast"/>
          <w:jc w:val="center"/>
        </w:trPr>
        <w:tc>
          <w:tcPr>
            <w:tcW w:w="36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w:t>
            </w:r>
          </w:p>
        </w:tc>
        <w:tc>
          <w:tcPr>
            <w:tcW w:w="1008"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井下防尘洒水</w:t>
            </w:r>
          </w:p>
        </w:tc>
        <w:tc>
          <w:tcPr>
            <w:tcW w:w="88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c>
          <w:tcPr>
            <w:tcW w:w="758"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c>
          <w:tcPr>
            <w:tcW w:w="772"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505.4</w:t>
            </w:r>
          </w:p>
        </w:tc>
        <w:tc>
          <w:tcPr>
            <w:tcW w:w="121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设计数据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1" w:hRule="atLeast"/>
          <w:jc w:val="center"/>
        </w:trPr>
        <w:tc>
          <w:tcPr>
            <w:tcW w:w="1373" w:type="pct"/>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合计</w:t>
            </w:r>
          </w:p>
        </w:tc>
        <w:tc>
          <w:tcPr>
            <w:tcW w:w="88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c>
          <w:tcPr>
            <w:tcW w:w="758"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c>
          <w:tcPr>
            <w:tcW w:w="772"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704.97</w:t>
            </w:r>
          </w:p>
        </w:tc>
        <w:tc>
          <w:tcPr>
            <w:tcW w:w="121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1" w:hRule="atLeast"/>
          <w:jc w:val="center"/>
        </w:trPr>
        <w:tc>
          <w:tcPr>
            <w:tcW w:w="5000" w:type="pct"/>
            <w:gridSpan w:val="6"/>
            <w:vAlign w:val="center"/>
          </w:tcPr>
          <w:p>
            <w:pPr>
              <w:keepNext w:val="0"/>
              <w:keepLines w:val="0"/>
              <w:suppressLineNumbers w:val="0"/>
              <w:spacing w:before="0" w:beforeAutospacing="0" w:after="0" w:afterAutospacing="0" w:line="280" w:lineRule="exact"/>
              <w:ind w:left="0" w:right="0"/>
              <w:rPr>
                <w:rFonts w:hint="eastAsia" w:hAnsi="Times New Roman" w:eastAsia="宋体"/>
                <w:bCs/>
                <w:kern w:val="2"/>
                <w:sz w:val="21"/>
                <w:szCs w:val="21"/>
                <w:lang w:eastAsia="zh-CN"/>
              </w:rPr>
            </w:pPr>
            <w:r>
              <w:rPr>
                <w:rFonts w:hint="eastAsia" w:hAnsi="Times New Roman" w:eastAsia="宋体"/>
                <w:bCs/>
                <w:kern w:val="2"/>
                <w:sz w:val="21"/>
                <w:szCs w:val="21"/>
                <w:lang w:eastAsia="zh-CN"/>
              </w:rPr>
              <w:t>五、消防用水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1" w:hRule="atLeast"/>
          <w:jc w:val="center"/>
        </w:trPr>
        <w:tc>
          <w:tcPr>
            <w:tcW w:w="36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w:t>
            </w:r>
          </w:p>
        </w:tc>
        <w:tc>
          <w:tcPr>
            <w:tcW w:w="1008"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地面消防用水</w:t>
            </w:r>
          </w:p>
        </w:tc>
        <w:tc>
          <w:tcPr>
            <w:tcW w:w="88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补充水量按48h计</w:t>
            </w:r>
          </w:p>
        </w:tc>
        <w:tc>
          <w:tcPr>
            <w:tcW w:w="758" w:type="pct"/>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室外20L/s，室内15L/s</w:t>
            </w:r>
          </w:p>
        </w:tc>
        <w:tc>
          <w:tcPr>
            <w:tcW w:w="772"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kern w:val="2"/>
                <w:sz w:val="21"/>
                <w:szCs w:val="21"/>
              </w:rPr>
              <w:t>324.0</w:t>
            </w:r>
          </w:p>
        </w:tc>
        <w:tc>
          <w:tcPr>
            <w:tcW w:w="121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一次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1" w:hRule="atLeast"/>
          <w:jc w:val="center"/>
        </w:trPr>
        <w:tc>
          <w:tcPr>
            <w:tcW w:w="365"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2</w:t>
            </w:r>
          </w:p>
        </w:tc>
        <w:tc>
          <w:tcPr>
            <w:tcW w:w="1008"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井下消防用水</w:t>
            </w:r>
          </w:p>
        </w:tc>
        <w:tc>
          <w:tcPr>
            <w:tcW w:w="88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补充水量按48h计</w:t>
            </w:r>
          </w:p>
        </w:tc>
        <w:tc>
          <w:tcPr>
            <w:tcW w:w="758" w:type="pct"/>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消火栓7.5L/s，自喷4L/s</w:t>
            </w:r>
          </w:p>
        </w:tc>
        <w:tc>
          <w:tcPr>
            <w:tcW w:w="772"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kern w:val="2"/>
                <w:sz w:val="21"/>
                <w:szCs w:val="21"/>
              </w:rPr>
              <w:t>162.0</w:t>
            </w:r>
          </w:p>
        </w:tc>
        <w:tc>
          <w:tcPr>
            <w:tcW w:w="121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一次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1" w:hRule="atLeast"/>
          <w:jc w:val="center"/>
        </w:trPr>
        <w:tc>
          <w:tcPr>
            <w:tcW w:w="1373" w:type="pct"/>
            <w:gridSpan w:val="2"/>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小计</w:t>
            </w:r>
          </w:p>
        </w:tc>
        <w:tc>
          <w:tcPr>
            <w:tcW w:w="884"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p>
        </w:tc>
        <w:tc>
          <w:tcPr>
            <w:tcW w:w="758"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p>
        </w:tc>
        <w:tc>
          <w:tcPr>
            <w:tcW w:w="772"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486.0</w:t>
            </w:r>
          </w:p>
        </w:tc>
        <w:tc>
          <w:tcPr>
            <w:tcW w:w="1214"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1" w:hRule="atLeast"/>
          <w:jc w:val="center"/>
        </w:trPr>
        <w:tc>
          <w:tcPr>
            <w:tcW w:w="5000" w:type="pct"/>
            <w:gridSpan w:val="6"/>
            <w:vAlign w:val="center"/>
          </w:tcPr>
          <w:p>
            <w:pPr>
              <w:keepNext w:val="0"/>
              <w:keepLines w:val="0"/>
              <w:suppressLineNumbers w:val="0"/>
              <w:spacing w:before="0" w:beforeAutospacing="0" w:after="0" w:afterAutospacing="0" w:line="280" w:lineRule="exact"/>
              <w:ind w:left="0" w:right="0"/>
              <w:jc w:val="left"/>
              <w:rPr>
                <w:rFonts w:hint="eastAsia" w:hAnsi="Times New Roman" w:eastAsia="宋体"/>
                <w:bCs/>
                <w:kern w:val="2"/>
                <w:sz w:val="21"/>
                <w:szCs w:val="21"/>
                <w:lang w:eastAsia="zh-CN"/>
              </w:rPr>
            </w:pPr>
            <w:r>
              <w:rPr>
                <w:rFonts w:hint="eastAsia" w:hAnsi="Times New Roman" w:eastAsia="宋体"/>
                <w:bCs/>
                <w:kern w:val="2"/>
                <w:sz w:val="21"/>
                <w:szCs w:val="21"/>
                <w:lang w:eastAsia="zh-CN"/>
              </w:rPr>
              <w:t>注：①：井下工人在籍系数取 1.4，管理人员、服务人员、其他人员在籍系数取 1.0。②：据《用水定额》（DB51/T 2138-2016）修正。③：根据建设单位提供的资料，七里峡煤矿员工多数为外聘，住宿员工人数约为335人。</w:t>
            </w:r>
          </w:p>
        </w:tc>
      </w:tr>
    </w:tbl>
    <w:p>
      <w:pPr>
        <w:spacing w:line="360" w:lineRule="auto"/>
        <w:ind w:firstLine="482" w:firstLineChars="200"/>
        <w:rPr>
          <w:rFonts w:hAnsi="Times New Roman" w:eastAsia="宋体"/>
          <w:b/>
          <w:bCs/>
          <w:lang w:eastAsia="zh-CN"/>
        </w:rPr>
      </w:pPr>
      <w:r>
        <w:rPr>
          <w:rFonts w:hAnsi="Times New Roman" w:eastAsia="宋体"/>
          <w:b/>
          <w:bCs/>
          <w:lang w:eastAsia="zh-CN"/>
        </w:rPr>
        <w:t>（2）供水水源</w:t>
      </w:r>
    </w:p>
    <w:p>
      <w:pPr>
        <w:spacing w:line="360" w:lineRule="auto"/>
        <w:ind w:firstLine="480" w:firstLineChars="200"/>
        <w:rPr>
          <w:rFonts w:hAnsi="Times New Roman" w:eastAsia="宋体"/>
          <w:lang w:eastAsia="zh-CN"/>
        </w:rPr>
      </w:pPr>
      <w:r>
        <w:rPr>
          <w:rFonts w:hAnsi="Times New Roman" w:eastAsia="宋体"/>
          <w:lang w:eastAsia="zh-CN"/>
        </w:rPr>
        <w:t>项目生活用水水源取自矿区附近出露的山泉水，该水源水量充沛稳定，水质较好，净化处理后能满足生活用水卫生标准。项目生活用水水源工程已形成，本次扩能工程利用现有水源地工程，水源来自矿区附近山泉水，在工业场地附近+410m处山坡已建有一座100m</w:t>
      </w:r>
      <w:r>
        <w:rPr>
          <w:rFonts w:hAnsi="Times New Roman" w:eastAsia="宋体"/>
          <w:vertAlign w:val="superscript"/>
          <w:lang w:eastAsia="zh-CN"/>
        </w:rPr>
        <w:t>3</w:t>
      </w:r>
      <w:r>
        <w:rPr>
          <w:rFonts w:hAnsi="Times New Roman" w:eastAsia="宋体"/>
          <w:lang w:eastAsia="zh-CN"/>
        </w:rPr>
        <w:t>的生活高位水池，通过现有水源输水管道将水输送至生活高位水池，水池中贮水经消毒处理后再通过一条管径为DN80的钢丝骨架复合管道向工业场地各生活用水点静压供水，并在工业场地内形成枝状供水管网。</w:t>
      </w:r>
    </w:p>
    <w:p>
      <w:pPr>
        <w:spacing w:line="360" w:lineRule="auto"/>
        <w:ind w:firstLine="480" w:firstLineChars="200"/>
        <w:rPr>
          <w:rFonts w:hAnsi="Times New Roman" w:eastAsia="宋体"/>
          <w:lang w:eastAsia="zh-CN"/>
        </w:rPr>
      </w:pPr>
      <w:r>
        <w:rPr>
          <w:rFonts w:hAnsi="Times New Roman" w:eastAsia="宋体"/>
          <w:lang w:eastAsia="zh-CN"/>
        </w:rPr>
        <w:t>矿井生产用水、消防洒水来源于经处理后回用的矿井涌水。矿井涌水处理达标后经加压泵提升至设在主井工业场地附近+410m标高和+548m回风平硐的两座400m</w:t>
      </w:r>
      <w:r>
        <w:rPr>
          <w:rFonts w:hAnsi="Times New Roman" w:eastAsia="宋体"/>
          <w:vertAlign w:val="superscript"/>
          <w:lang w:eastAsia="zh-CN"/>
        </w:rPr>
        <w:t>3</w:t>
      </w:r>
      <w:r>
        <w:rPr>
          <w:rFonts w:hAnsi="Times New Roman" w:eastAsia="宋体"/>
          <w:lang w:eastAsia="zh-CN"/>
        </w:rPr>
        <w:t>高位水池，由该两座水池接管，静压供工业场地各生产消防用水及井下消防洒水。</w:t>
      </w:r>
    </w:p>
    <w:p>
      <w:pPr>
        <w:pStyle w:val="8"/>
        <w:rPr>
          <w:rFonts w:ascii="Times New Roman" w:hAnsi="Times New Roman"/>
          <w:lang w:eastAsia="zh-CN"/>
        </w:rPr>
      </w:pPr>
      <w:r>
        <w:rPr>
          <w:rFonts w:ascii="Times New Roman" w:hAnsi="Times New Roman"/>
          <w:lang w:eastAsia="zh-CN"/>
        </w:rPr>
        <w:t>2.3.8.2 排水</w:t>
      </w:r>
    </w:p>
    <w:p>
      <w:pPr>
        <w:spacing w:line="360" w:lineRule="auto"/>
        <w:ind w:firstLine="482" w:firstLineChars="200"/>
        <w:rPr>
          <w:rFonts w:hAnsi="Times New Roman" w:eastAsia="宋体"/>
          <w:b/>
          <w:bCs/>
          <w:lang w:eastAsia="zh-CN"/>
        </w:rPr>
      </w:pPr>
      <w:r>
        <w:rPr>
          <w:rFonts w:hAnsi="Times New Roman" w:eastAsia="宋体"/>
          <w:b/>
          <w:bCs/>
          <w:lang w:eastAsia="zh-CN"/>
        </w:rPr>
        <w:t>（1）矿井排水</w:t>
      </w:r>
    </w:p>
    <w:p>
      <w:pPr>
        <w:spacing w:line="360" w:lineRule="auto"/>
        <w:ind w:firstLine="480" w:firstLineChars="200"/>
        <w:rPr>
          <w:rFonts w:hAnsi="Times New Roman" w:eastAsia="宋体"/>
          <w:lang w:eastAsia="zh-CN"/>
        </w:rPr>
      </w:pPr>
      <w:r>
        <w:rPr>
          <w:rFonts w:hAnsi="Times New Roman" w:eastAsia="宋体"/>
          <w:lang w:eastAsia="zh-CN"/>
        </w:rPr>
        <w:t>项目升级改造后，根据预测，矿井+200m水平以上矿井（后期）正常涌水量为147.9m</w:t>
      </w:r>
      <w:r>
        <w:rPr>
          <w:rFonts w:hAnsi="Times New Roman" w:eastAsia="宋体"/>
          <w:vertAlign w:val="superscript"/>
          <w:lang w:eastAsia="zh-CN"/>
        </w:rPr>
        <w:t>3</w:t>
      </w:r>
      <w:r>
        <w:rPr>
          <w:rFonts w:hAnsi="Times New Roman" w:eastAsia="宋体"/>
          <w:lang w:eastAsia="zh-CN"/>
        </w:rPr>
        <w:t>/h（3549.6m</w:t>
      </w:r>
      <w:r>
        <w:rPr>
          <w:rFonts w:hAnsi="Times New Roman" w:eastAsia="宋体"/>
          <w:vertAlign w:val="superscript"/>
          <w:lang w:eastAsia="zh-CN"/>
        </w:rPr>
        <w:t>3</w:t>
      </w:r>
      <w:r>
        <w:rPr>
          <w:rFonts w:hAnsi="Times New Roman" w:eastAsia="宋体"/>
          <w:lang w:eastAsia="zh-CN"/>
        </w:rPr>
        <w:t>/d），最大涌水量为221.9m</w:t>
      </w:r>
      <w:r>
        <w:rPr>
          <w:rFonts w:hAnsi="Times New Roman" w:eastAsia="宋体"/>
          <w:vertAlign w:val="superscript"/>
          <w:lang w:eastAsia="zh-CN"/>
        </w:rPr>
        <w:t>3</w:t>
      </w:r>
      <w:r>
        <w:rPr>
          <w:rFonts w:hAnsi="Times New Roman" w:eastAsia="宋体"/>
          <w:lang w:eastAsia="zh-CN"/>
        </w:rPr>
        <w:t>/h（5325.6m</w:t>
      </w:r>
      <w:r>
        <w:rPr>
          <w:rFonts w:hAnsi="Times New Roman" w:eastAsia="宋体"/>
          <w:vertAlign w:val="superscript"/>
          <w:lang w:eastAsia="zh-CN"/>
        </w:rPr>
        <w:t>3</w:t>
      </w:r>
      <w:r>
        <w:rPr>
          <w:rFonts w:hAnsi="Times New Roman" w:eastAsia="宋体"/>
          <w:lang w:eastAsia="zh-CN"/>
        </w:rPr>
        <w:t>/d）。</w:t>
      </w:r>
    </w:p>
    <w:p>
      <w:pPr>
        <w:spacing w:line="360" w:lineRule="auto"/>
        <w:ind w:firstLine="480" w:firstLineChars="200"/>
        <w:rPr>
          <w:rFonts w:hAnsi="Times New Roman" w:eastAsia="宋体"/>
          <w:lang w:eastAsia="zh-CN"/>
        </w:rPr>
      </w:pPr>
      <w:r>
        <w:rPr>
          <w:rFonts w:hAnsi="Times New Roman" w:eastAsia="宋体"/>
          <w:lang w:eastAsia="zh-CN"/>
        </w:rPr>
        <w:t>矿井排出的矿井涌水自流到+200m标高处水仓（布置在主暗斜井井底车场附近，服务于矿井整个矿井，采用主副水仓布置形式，主副水仓有效总容积2</w:t>
      </w:r>
      <w:r>
        <w:rPr>
          <w:rFonts w:hint="eastAsia" w:hAnsi="Times New Roman" w:eastAsia="宋体"/>
          <w:lang w:eastAsia="zh-CN"/>
        </w:rPr>
        <w:t>808</w:t>
      </w:r>
      <w:r>
        <w:rPr>
          <w:rFonts w:hAnsi="Times New Roman" w:eastAsia="宋体"/>
          <w:lang w:eastAsia="zh-CN"/>
        </w:rPr>
        <w:t>m</w:t>
      </w:r>
      <w:r>
        <w:rPr>
          <w:rFonts w:hAnsi="Times New Roman" w:eastAsia="宋体"/>
          <w:vertAlign w:val="superscript"/>
          <w:lang w:eastAsia="zh-CN"/>
        </w:rPr>
        <w:t>3</w:t>
      </w:r>
      <w:r>
        <w:rPr>
          <w:rFonts w:hAnsi="Times New Roman" w:eastAsia="宋体"/>
          <w:lang w:eastAsia="zh-CN"/>
        </w:rPr>
        <w:t>，能容纳</w:t>
      </w:r>
      <w:r>
        <w:rPr>
          <w:rFonts w:hint="eastAsia" w:hAnsi="Times New Roman" w:eastAsia="宋体"/>
          <w:lang w:eastAsia="zh-CN"/>
        </w:rPr>
        <w:t>18.99</w:t>
      </w:r>
      <w:r>
        <w:rPr>
          <w:rFonts w:hAnsi="Times New Roman" w:eastAsia="宋体"/>
          <w:lang w:eastAsia="zh-CN"/>
        </w:rPr>
        <w:t>h的正常涌水量或</w:t>
      </w:r>
      <w:r>
        <w:rPr>
          <w:rFonts w:hint="eastAsia" w:hAnsi="Times New Roman" w:eastAsia="宋体"/>
          <w:lang w:eastAsia="zh-CN"/>
        </w:rPr>
        <w:t>12.65</w:t>
      </w:r>
      <w:r>
        <w:rPr>
          <w:rFonts w:hAnsi="Times New Roman" w:eastAsia="宋体"/>
          <w:lang w:eastAsia="zh-CN"/>
        </w:rPr>
        <w:t>h的最大涌水量）进行调节沉淀后，进入主井工业广场的生产废水沉淀池，再进入矿井水处理设施（</w:t>
      </w:r>
      <w:r>
        <w:rPr>
          <w:rFonts w:hint="eastAsia" w:hAnsi="Times New Roman" w:eastAsia="宋体"/>
          <w:szCs w:val="24"/>
          <w:lang w:eastAsia="zh-CN"/>
        </w:rPr>
        <w:t>隔油+预沉调节+混凝沉淀+斜管沉淀+石英砂过滤+消毒</w:t>
      </w:r>
      <w:r>
        <w:rPr>
          <w:rFonts w:hAnsi="Times New Roman" w:eastAsia="宋体"/>
          <w:lang w:eastAsia="zh-CN"/>
        </w:rPr>
        <w:t>）处理后部分用泵抽送高位水池暂存回用于生产，</w:t>
      </w:r>
      <w:r>
        <w:rPr>
          <w:rFonts w:hint="eastAsia" w:hAnsi="Times New Roman" w:eastAsia="宋体"/>
          <w:lang w:eastAsia="zh-CN"/>
        </w:rPr>
        <w:t>剩</w:t>
      </w:r>
      <w:r>
        <w:rPr>
          <w:rFonts w:hAnsi="Times New Roman" w:eastAsia="宋体"/>
          <w:lang w:eastAsia="zh-CN"/>
        </w:rPr>
        <w:t>余部分通过1.5km排水管道引至</w:t>
      </w:r>
      <w:r>
        <w:rPr>
          <w:rFonts w:hint="eastAsia" w:hAnsi="Times New Roman" w:eastAsia="宋体"/>
          <w:lang w:eastAsia="zh-CN"/>
        </w:rPr>
        <w:t>天生镇王一庙</w:t>
      </w:r>
      <w:r>
        <w:rPr>
          <w:rFonts w:hAnsi="Times New Roman" w:eastAsia="宋体"/>
          <w:lang w:eastAsia="zh-CN"/>
        </w:rPr>
        <w:t>水源保护区下游河段</w:t>
      </w:r>
      <w:r>
        <w:rPr>
          <w:rFonts w:hint="eastAsia" w:hAnsi="Times New Roman" w:eastAsia="宋体"/>
          <w:lang w:eastAsia="zh-CN"/>
        </w:rPr>
        <w:t>（新宁河）</w:t>
      </w:r>
      <w:r>
        <w:rPr>
          <w:rFonts w:hAnsi="Times New Roman" w:eastAsia="宋体"/>
          <w:lang w:eastAsia="zh-CN"/>
        </w:rPr>
        <w:t>排放。</w:t>
      </w:r>
    </w:p>
    <w:p>
      <w:pPr>
        <w:spacing w:line="360" w:lineRule="auto"/>
        <w:ind w:firstLine="482" w:firstLineChars="200"/>
        <w:rPr>
          <w:rFonts w:hAnsi="Times New Roman" w:eastAsia="宋体"/>
          <w:b/>
          <w:bCs/>
          <w:lang w:eastAsia="zh-CN"/>
        </w:rPr>
      </w:pPr>
      <w:r>
        <w:rPr>
          <w:rFonts w:hAnsi="Times New Roman" w:eastAsia="宋体"/>
          <w:b/>
          <w:bCs/>
          <w:lang w:eastAsia="zh-CN"/>
        </w:rPr>
        <w:t>（2）生活污水</w:t>
      </w:r>
    </w:p>
    <w:p>
      <w:pPr>
        <w:spacing w:line="360" w:lineRule="auto"/>
        <w:ind w:firstLine="480" w:firstLineChars="200"/>
        <w:rPr>
          <w:rFonts w:hAnsi="Times New Roman" w:eastAsia="宋体"/>
          <w:lang w:eastAsia="zh-CN"/>
        </w:rPr>
      </w:pPr>
      <w:r>
        <w:rPr>
          <w:rFonts w:hAnsi="Times New Roman" w:eastAsia="宋体"/>
          <w:lang w:eastAsia="zh-CN"/>
        </w:rPr>
        <w:t>矿井生活污水主要来自矿办公楼、浴室、洗衣房、食堂等生活行政设施污水，主要污染因子为CODcr、BOD</w:t>
      </w:r>
      <w:r>
        <w:rPr>
          <w:rFonts w:hAnsi="Times New Roman" w:eastAsia="宋体"/>
          <w:vertAlign w:val="subscript"/>
          <w:lang w:eastAsia="zh-CN"/>
        </w:rPr>
        <w:t>5</w:t>
      </w:r>
      <w:r>
        <w:rPr>
          <w:rFonts w:hAnsi="Times New Roman" w:eastAsia="宋体"/>
          <w:lang w:eastAsia="zh-CN"/>
        </w:rPr>
        <w:t>、SS、NH</w:t>
      </w:r>
      <w:r>
        <w:rPr>
          <w:rFonts w:hAnsi="Times New Roman" w:eastAsia="宋体"/>
          <w:vertAlign w:val="subscript"/>
          <w:lang w:eastAsia="zh-CN"/>
        </w:rPr>
        <w:t>3</w:t>
      </w:r>
      <w:r>
        <w:rPr>
          <w:rFonts w:hAnsi="Times New Roman" w:eastAsia="宋体"/>
          <w:lang w:eastAsia="zh-CN"/>
        </w:rPr>
        <w:t>-N、总磷、总氮和少量油类。项目改造后，实际生活用水量111.54m</w:t>
      </w:r>
      <w:r>
        <w:rPr>
          <w:rFonts w:hAnsi="Times New Roman" w:eastAsia="宋体"/>
          <w:vertAlign w:val="superscript"/>
          <w:lang w:eastAsia="zh-CN"/>
        </w:rPr>
        <w:t>3</w:t>
      </w:r>
      <w:r>
        <w:rPr>
          <w:rFonts w:hAnsi="Times New Roman" w:eastAsia="宋体"/>
          <w:lang w:eastAsia="zh-CN"/>
        </w:rPr>
        <w:t>/d，生活污水以用水量的0.8计，则产生量为89.232m</w:t>
      </w:r>
      <w:r>
        <w:rPr>
          <w:rFonts w:hAnsi="Times New Roman" w:eastAsia="宋体"/>
          <w:vertAlign w:val="superscript"/>
          <w:lang w:eastAsia="zh-CN"/>
        </w:rPr>
        <w:t>3</w:t>
      </w:r>
      <w:r>
        <w:rPr>
          <w:rFonts w:hAnsi="Times New Roman" w:eastAsia="宋体"/>
          <w:lang w:eastAsia="zh-CN"/>
        </w:rPr>
        <w:t>/d。</w:t>
      </w:r>
    </w:p>
    <w:p>
      <w:pPr>
        <w:spacing w:line="360" w:lineRule="auto"/>
        <w:ind w:firstLine="480" w:firstLineChars="200"/>
        <w:rPr>
          <w:rFonts w:hAnsi="Times New Roman" w:eastAsia="宋体"/>
          <w:lang w:eastAsia="zh-CN"/>
        </w:rPr>
      </w:pPr>
      <w:r>
        <w:rPr>
          <w:rFonts w:hAnsi="Times New Roman" w:eastAsia="宋体"/>
          <w:lang w:eastAsia="zh-CN"/>
        </w:rPr>
        <w:t>项目洗浴废水、食堂废水、洗衣房用水经一体化污水处理设备处理后回用于地面防尘用水、绿化用水等，办公生活用水和职工宿舍用水进入化粪池处理后，由达州市鑫通管道疏通有限公司定期清运处置，均不外排。</w:t>
      </w:r>
    </w:p>
    <w:p>
      <w:pPr>
        <w:spacing w:line="360" w:lineRule="auto"/>
        <w:ind w:firstLine="482" w:firstLineChars="200"/>
        <w:rPr>
          <w:rFonts w:hAnsi="Times New Roman" w:eastAsia="宋体"/>
          <w:b/>
          <w:bCs/>
          <w:lang w:eastAsia="zh-CN"/>
        </w:rPr>
      </w:pPr>
      <w:r>
        <w:rPr>
          <w:rFonts w:hAnsi="Times New Roman" w:eastAsia="宋体"/>
          <w:b/>
          <w:bCs/>
          <w:lang w:eastAsia="zh-CN"/>
        </w:rPr>
        <w:t>（3）机修车间洗手废水</w:t>
      </w:r>
    </w:p>
    <w:p>
      <w:pPr>
        <w:spacing w:line="360" w:lineRule="auto"/>
        <w:ind w:firstLine="480" w:firstLineChars="200"/>
        <w:rPr>
          <w:rFonts w:hAnsi="Times New Roman" w:eastAsia="宋体"/>
          <w:b/>
          <w:bCs/>
          <w:lang w:eastAsia="zh-CN"/>
        </w:rPr>
      </w:pPr>
      <w:r>
        <w:rPr>
          <w:rFonts w:hAnsi="Times New Roman" w:eastAsia="宋体"/>
          <w:szCs w:val="22"/>
          <w:lang w:eastAsia="zh-CN"/>
        </w:rPr>
        <w:t>本项目机修车间洗手废水，含油量较高，项目扩建完成后，机修车间洗手用水量为0.24m</w:t>
      </w:r>
      <w:r>
        <w:rPr>
          <w:rFonts w:hAnsi="Times New Roman" w:eastAsia="宋体"/>
          <w:szCs w:val="22"/>
          <w:vertAlign w:val="superscript"/>
          <w:lang w:eastAsia="zh-CN"/>
        </w:rPr>
        <w:t>3</w:t>
      </w:r>
      <w:r>
        <w:rPr>
          <w:rFonts w:hAnsi="Times New Roman" w:eastAsia="宋体"/>
          <w:szCs w:val="22"/>
          <w:lang w:eastAsia="zh-CN"/>
        </w:rPr>
        <w:t>/d，废水量以0.8计，则机修车间洗手废水排放量为0.20m</w:t>
      </w:r>
      <w:r>
        <w:rPr>
          <w:rFonts w:hAnsi="Times New Roman" w:eastAsia="宋体"/>
          <w:szCs w:val="22"/>
          <w:vertAlign w:val="superscript"/>
          <w:lang w:eastAsia="zh-CN"/>
        </w:rPr>
        <w:t>3</w:t>
      </w:r>
      <w:r>
        <w:rPr>
          <w:rFonts w:hAnsi="Times New Roman" w:eastAsia="宋体"/>
          <w:szCs w:val="22"/>
          <w:lang w:eastAsia="zh-CN"/>
        </w:rPr>
        <w:t>/d。洗手废水经隔油池沉淀后用于地面洒水降尘。</w:t>
      </w:r>
    </w:p>
    <w:p>
      <w:pPr>
        <w:spacing w:line="360" w:lineRule="auto"/>
        <w:ind w:firstLine="482" w:firstLineChars="200"/>
        <w:rPr>
          <w:rFonts w:hAnsi="Times New Roman" w:eastAsia="宋体"/>
          <w:b/>
          <w:bCs/>
          <w:lang w:eastAsia="zh-CN"/>
        </w:rPr>
      </w:pPr>
      <w:r>
        <w:rPr>
          <w:rFonts w:hAnsi="Times New Roman" w:eastAsia="宋体"/>
          <w:b/>
          <w:bCs/>
          <w:lang w:eastAsia="zh-CN"/>
        </w:rPr>
        <w:t>（4）车辆冲洗废水</w:t>
      </w:r>
    </w:p>
    <w:p>
      <w:pPr>
        <w:spacing w:line="360" w:lineRule="auto"/>
        <w:ind w:firstLine="480" w:firstLineChars="200"/>
        <w:rPr>
          <w:rFonts w:hAnsi="Times New Roman" w:eastAsia="宋体"/>
          <w:lang w:eastAsia="zh-CN"/>
        </w:rPr>
      </w:pPr>
      <w:r>
        <w:rPr>
          <w:rFonts w:hAnsi="Times New Roman" w:eastAsia="宋体"/>
          <w:lang w:eastAsia="zh-CN"/>
        </w:rPr>
        <w:t>项目改造完成后，车辆冲洗废水由冲洗平台一侧设置的隔油池</w:t>
      </w:r>
      <w:r>
        <w:rPr>
          <w:rFonts w:hAnsi="Times New Roman" w:eastAsia="宋体"/>
          <w:szCs w:val="22"/>
          <w:lang w:eastAsia="zh-CN"/>
        </w:rPr>
        <w:t>隔油沉淀后回用于车辆冲洗工序，不外排</w:t>
      </w:r>
      <w:r>
        <w:rPr>
          <w:rFonts w:hAnsi="Times New Roman" w:eastAsia="宋体"/>
          <w:lang w:eastAsia="zh-CN"/>
        </w:rPr>
        <w:t>。</w:t>
      </w:r>
    </w:p>
    <w:p>
      <w:pPr>
        <w:pStyle w:val="8"/>
        <w:rPr>
          <w:rFonts w:ascii="Times New Roman" w:hAnsi="Times New Roman"/>
          <w:lang w:eastAsia="zh-CN"/>
        </w:rPr>
      </w:pPr>
      <w:r>
        <w:rPr>
          <w:rFonts w:ascii="Times New Roman" w:hAnsi="Times New Roman"/>
          <w:lang w:eastAsia="zh-CN"/>
        </w:rPr>
        <w:t>2.3.8.3 水平衡</w:t>
      </w:r>
    </w:p>
    <w:p>
      <w:pPr>
        <w:spacing w:line="360" w:lineRule="auto"/>
        <w:ind w:firstLine="480" w:firstLineChars="200"/>
        <w:rPr>
          <w:rFonts w:hAnsi="Times New Roman" w:eastAsia="宋体"/>
          <w:lang w:eastAsia="zh-CN"/>
        </w:rPr>
      </w:pPr>
      <w:r>
        <w:rPr>
          <w:rFonts w:hAnsi="Times New Roman" w:eastAsia="宋体"/>
          <w:lang w:eastAsia="zh-CN"/>
        </w:rPr>
        <w:t>根据分析可知，七里峡煤矿升级改造完成后，矿井正常涌水时外排量为3018.186m</w:t>
      </w:r>
      <w:r>
        <w:rPr>
          <w:rFonts w:hAnsi="Times New Roman" w:eastAsia="宋体"/>
          <w:vertAlign w:val="superscript"/>
          <w:lang w:eastAsia="zh-CN"/>
        </w:rPr>
        <w:t>3</w:t>
      </w:r>
      <w:r>
        <w:rPr>
          <w:rFonts w:hAnsi="Times New Roman" w:eastAsia="宋体"/>
          <w:lang w:eastAsia="zh-CN"/>
        </w:rPr>
        <w:t>/d，矿井最大涌水时外排量为4794.186m</w:t>
      </w:r>
      <w:r>
        <w:rPr>
          <w:rFonts w:hAnsi="Times New Roman" w:eastAsia="宋体"/>
          <w:vertAlign w:val="superscript"/>
          <w:lang w:eastAsia="zh-CN"/>
        </w:rPr>
        <w:t>3</w:t>
      </w:r>
      <w:r>
        <w:rPr>
          <w:rFonts w:hAnsi="Times New Roman" w:eastAsia="宋体"/>
          <w:lang w:eastAsia="zh-CN"/>
        </w:rPr>
        <w:t>/d，项目水平衡见下图所示。</w:t>
      </w:r>
    </w:p>
    <w:p>
      <w:pPr>
        <w:spacing w:line="360" w:lineRule="auto"/>
        <w:jc w:val="center"/>
        <w:rPr>
          <w:rFonts w:hAnsi="Times New Roman" w:eastAsia="宋体"/>
          <w:highlight w:val="yellow"/>
          <w:lang w:eastAsia="zh-CN"/>
        </w:rPr>
      </w:pPr>
      <w:r>
        <w:rPr>
          <w:rFonts w:hAnsi="Times New Roman" w:eastAsia="宋体"/>
        </w:rPr>
        <w:drawing>
          <wp:inline distT="0" distB="0" distL="114300" distR="114300">
            <wp:extent cx="5824855" cy="3121025"/>
            <wp:effectExtent l="0" t="0" r="4445" b="3175"/>
            <wp:docPr id="24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51"/>
                    <pic:cNvPicPr>
                      <a:picLocks noChangeAspect="1"/>
                    </pic:cNvPicPr>
                  </pic:nvPicPr>
                  <pic:blipFill>
                    <a:blip r:embed="rId60"/>
                    <a:stretch>
                      <a:fillRect/>
                    </a:stretch>
                  </pic:blipFill>
                  <pic:spPr>
                    <a:xfrm>
                      <a:off x="0" y="0"/>
                      <a:ext cx="5824855" cy="3121025"/>
                    </a:xfrm>
                    <a:prstGeom prst="rect">
                      <a:avLst/>
                    </a:prstGeom>
                    <a:noFill/>
                    <a:ln>
                      <a:noFill/>
                    </a:ln>
                  </pic:spPr>
                </pic:pic>
              </a:graphicData>
            </a:graphic>
          </wp:inline>
        </w:drawing>
      </w:r>
    </w:p>
    <w:p>
      <w:pPr>
        <w:spacing w:line="360" w:lineRule="auto"/>
        <w:jc w:val="center"/>
        <w:rPr>
          <w:rFonts w:hAnsi="Times New Roman" w:eastAsia="宋体"/>
          <w:b/>
          <w:bCs/>
          <w:lang w:eastAsia="zh-CN"/>
        </w:rPr>
      </w:pPr>
      <w:r>
        <w:rPr>
          <w:rFonts w:hAnsi="Times New Roman" w:eastAsia="宋体"/>
          <w:b/>
          <w:bCs/>
          <w:lang w:eastAsia="zh-CN"/>
        </w:rPr>
        <w:t>图2.3-1</w:t>
      </w:r>
      <w:r>
        <w:rPr>
          <w:rFonts w:hint="eastAsia" w:hAnsi="Times New Roman" w:eastAsia="宋体"/>
          <w:b/>
          <w:bCs/>
          <w:lang w:eastAsia="zh-CN"/>
        </w:rPr>
        <w:t>（1）</w:t>
      </w:r>
      <w:r>
        <w:rPr>
          <w:rFonts w:hAnsi="Times New Roman" w:eastAsia="宋体"/>
          <w:b/>
          <w:bCs/>
          <w:lang w:eastAsia="zh-CN"/>
        </w:rPr>
        <w:t xml:space="preserve"> </w:t>
      </w:r>
      <w:r>
        <w:rPr>
          <w:rFonts w:hint="eastAsia" w:hAnsi="Times New Roman" w:eastAsia="宋体"/>
          <w:b/>
          <w:bCs/>
          <w:lang w:eastAsia="zh-CN"/>
        </w:rPr>
        <w:t>枯水期（正常涌水下）</w:t>
      </w:r>
      <w:r>
        <w:rPr>
          <w:rFonts w:hAnsi="Times New Roman" w:eastAsia="宋体"/>
          <w:b/>
          <w:bCs/>
          <w:lang w:eastAsia="zh-CN"/>
        </w:rPr>
        <w:t>水平衡图（m</w:t>
      </w:r>
      <w:r>
        <w:rPr>
          <w:rFonts w:hAnsi="Times New Roman" w:eastAsia="宋体"/>
          <w:b/>
          <w:bCs/>
          <w:vertAlign w:val="superscript"/>
          <w:lang w:eastAsia="zh-CN"/>
        </w:rPr>
        <w:t>3</w:t>
      </w:r>
      <w:r>
        <w:rPr>
          <w:rFonts w:hAnsi="Times New Roman" w:eastAsia="宋体"/>
          <w:b/>
          <w:bCs/>
          <w:lang w:eastAsia="zh-CN"/>
        </w:rPr>
        <w:t>/d）</w:t>
      </w:r>
    </w:p>
    <w:p>
      <w:pPr>
        <w:pStyle w:val="2"/>
        <w:ind w:left="0" w:leftChars="0" w:firstLine="0" w:firstLineChars="0"/>
        <w:rPr>
          <w:rFonts w:eastAsiaTheme="minorEastAsia"/>
          <w:lang w:eastAsia="zh-CN"/>
        </w:rPr>
      </w:pPr>
      <w:r>
        <w:drawing>
          <wp:inline distT="0" distB="0" distL="0" distR="0">
            <wp:extent cx="5795645" cy="2848610"/>
            <wp:effectExtent l="0" t="0" r="0" b="8890"/>
            <wp:docPr id="20683629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362940" name="图片 1"/>
                    <pic:cNvPicPr>
                      <a:picLocks noChangeAspect="1"/>
                    </pic:cNvPicPr>
                  </pic:nvPicPr>
                  <pic:blipFill>
                    <a:blip r:embed="rId61"/>
                    <a:stretch>
                      <a:fillRect/>
                    </a:stretch>
                  </pic:blipFill>
                  <pic:spPr>
                    <a:xfrm>
                      <a:off x="0" y="0"/>
                      <a:ext cx="5795645" cy="2848610"/>
                    </a:xfrm>
                    <a:prstGeom prst="rect">
                      <a:avLst/>
                    </a:prstGeom>
                  </pic:spPr>
                </pic:pic>
              </a:graphicData>
            </a:graphic>
          </wp:inline>
        </w:drawing>
      </w:r>
    </w:p>
    <w:p>
      <w:pPr>
        <w:spacing w:line="360" w:lineRule="auto"/>
        <w:jc w:val="center"/>
        <w:rPr>
          <w:rFonts w:hAnsi="Times New Roman" w:eastAsia="宋体"/>
          <w:b/>
          <w:bCs/>
          <w:lang w:eastAsia="zh-CN"/>
        </w:rPr>
      </w:pPr>
      <w:r>
        <w:rPr>
          <w:rFonts w:hAnsi="Times New Roman" w:eastAsia="宋体"/>
          <w:b/>
          <w:bCs/>
          <w:lang w:eastAsia="zh-CN"/>
        </w:rPr>
        <w:t>图2.3-1</w:t>
      </w:r>
      <w:r>
        <w:rPr>
          <w:rFonts w:hint="eastAsia" w:hAnsi="Times New Roman" w:eastAsia="宋体"/>
          <w:b/>
          <w:bCs/>
          <w:lang w:eastAsia="zh-CN"/>
        </w:rPr>
        <w:t>（2）</w:t>
      </w:r>
      <w:r>
        <w:rPr>
          <w:rFonts w:hAnsi="Times New Roman" w:eastAsia="宋体"/>
          <w:b/>
          <w:bCs/>
          <w:lang w:eastAsia="zh-CN"/>
        </w:rPr>
        <w:t xml:space="preserve"> </w:t>
      </w:r>
      <w:r>
        <w:rPr>
          <w:rFonts w:hint="eastAsia" w:hAnsi="Times New Roman" w:eastAsia="宋体"/>
          <w:b/>
          <w:bCs/>
          <w:lang w:eastAsia="zh-CN"/>
        </w:rPr>
        <w:t>丰水期（最大涌水下）</w:t>
      </w:r>
      <w:r>
        <w:rPr>
          <w:rFonts w:hAnsi="Times New Roman" w:eastAsia="宋体"/>
          <w:b/>
          <w:bCs/>
          <w:lang w:eastAsia="zh-CN"/>
        </w:rPr>
        <w:t>水平衡图（m</w:t>
      </w:r>
      <w:r>
        <w:rPr>
          <w:rFonts w:hAnsi="Times New Roman" w:eastAsia="宋体"/>
          <w:b/>
          <w:bCs/>
          <w:vertAlign w:val="superscript"/>
          <w:lang w:eastAsia="zh-CN"/>
        </w:rPr>
        <w:t>3</w:t>
      </w:r>
      <w:r>
        <w:rPr>
          <w:rFonts w:hAnsi="Times New Roman" w:eastAsia="宋体"/>
          <w:b/>
          <w:bCs/>
          <w:lang w:eastAsia="zh-CN"/>
        </w:rPr>
        <w:t>/d）</w:t>
      </w:r>
    </w:p>
    <w:p>
      <w:pPr>
        <w:rPr>
          <w:rFonts w:eastAsiaTheme="minorEastAsia"/>
          <w:lang w:eastAsia="zh-CN"/>
        </w:rPr>
      </w:pPr>
    </w:p>
    <w:p>
      <w:pPr>
        <w:pStyle w:val="6"/>
        <w:rPr>
          <w:lang w:eastAsia="zh-CN"/>
        </w:rPr>
      </w:pPr>
      <w:bookmarkStart w:id="111" w:name="_Toc167095147"/>
      <w:bookmarkStart w:id="112" w:name="_Toc163812524"/>
      <w:r>
        <w:rPr>
          <w:lang w:eastAsia="zh-CN"/>
        </w:rPr>
        <w:t>2.3.9 采暖、供热</w:t>
      </w:r>
      <w:bookmarkEnd w:id="111"/>
      <w:bookmarkEnd w:id="112"/>
    </w:p>
    <w:p>
      <w:pPr>
        <w:spacing w:line="360" w:lineRule="auto"/>
        <w:ind w:firstLine="480" w:firstLineChars="200"/>
        <w:rPr>
          <w:rFonts w:hAnsi="Times New Roman" w:eastAsia="宋体"/>
          <w:lang w:eastAsia="zh-CN"/>
        </w:rPr>
      </w:pPr>
      <w:r>
        <w:rPr>
          <w:rFonts w:hAnsi="Times New Roman" w:eastAsia="宋体"/>
          <w:lang w:eastAsia="zh-CN"/>
        </w:rPr>
        <w:t>本矿地处非采暖地区。矿井的浴室热水采用空气源热泵热水机组，能够满足本矿井洗浴用水要求。机组运行中不产生有害气体，绿色环保。</w:t>
      </w:r>
    </w:p>
    <w:p>
      <w:pPr>
        <w:pStyle w:val="6"/>
        <w:rPr>
          <w:lang w:eastAsia="zh-CN"/>
        </w:rPr>
      </w:pPr>
      <w:bookmarkStart w:id="113" w:name="_Toc167095149"/>
      <w:bookmarkStart w:id="114" w:name="_Toc163812526"/>
      <w:r>
        <w:rPr>
          <w:lang w:eastAsia="zh-CN"/>
        </w:rPr>
        <w:t>2.3.11 道路工程</w:t>
      </w:r>
      <w:bookmarkEnd w:id="113"/>
      <w:bookmarkEnd w:id="114"/>
    </w:p>
    <w:p>
      <w:pPr>
        <w:spacing w:line="360" w:lineRule="auto"/>
        <w:ind w:firstLine="480" w:firstLineChars="200"/>
        <w:rPr>
          <w:rFonts w:hAnsi="Times New Roman" w:eastAsia="宋体"/>
          <w:lang w:eastAsia="zh-CN"/>
        </w:rPr>
      </w:pPr>
      <w:r>
        <w:rPr>
          <w:rFonts w:hAnsi="Times New Roman" w:eastAsia="宋体"/>
          <w:lang w:eastAsia="zh-CN"/>
        </w:rPr>
        <w:t>七里峡煤矿独立升级改造完成后，场外运输方式和现有场外运输方式一致，项目采出的原煤和矸石在储煤场及矸石临时堆场通过自卸车向场外运输。</w:t>
      </w:r>
    </w:p>
    <w:p>
      <w:pPr>
        <w:pStyle w:val="6"/>
        <w:rPr>
          <w:lang w:eastAsia="zh-CN"/>
        </w:rPr>
      </w:pPr>
      <w:bookmarkStart w:id="115" w:name="_Toc163812525"/>
      <w:bookmarkStart w:id="116" w:name="_Toc167095148"/>
      <w:bookmarkStart w:id="117" w:name="_Toc163749158"/>
      <w:bookmarkStart w:id="118" w:name="_Toc167095150"/>
      <w:r>
        <w:rPr>
          <w:lang w:eastAsia="zh-CN"/>
        </w:rPr>
        <w:t>2.3.10 供电</w:t>
      </w:r>
      <w:bookmarkEnd w:id="115"/>
      <w:bookmarkEnd w:id="116"/>
    </w:p>
    <w:p>
      <w:pPr>
        <w:spacing w:line="360" w:lineRule="auto"/>
        <w:ind w:firstLine="480" w:firstLineChars="200"/>
        <w:rPr>
          <w:rFonts w:hAnsi="Times New Roman" w:eastAsia="宋体"/>
          <w:lang w:eastAsia="zh-CN"/>
        </w:rPr>
      </w:pPr>
      <w:r>
        <w:rPr>
          <w:rFonts w:hAnsi="Times New Roman" w:eastAsia="宋体"/>
          <w:lang w:eastAsia="zh-CN"/>
        </w:rPr>
        <w:t>矿井设计采用两回6kV的电源线路供电：矿井在主平硐工业场地现建有6kV主变电所1座，该变电所采用两回6kV</w:t>
      </w:r>
      <w:r>
        <w:rPr>
          <w:rFonts w:hAnsi="Times New Roman" w:eastAsia="宋体"/>
          <w:szCs w:val="22"/>
          <w:lang w:eastAsia="zh-CN"/>
        </w:rPr>
        <w:t>高压</w:t>
      </w:r>
      <w:r>
        <w:rPr>
          <w:rFonts w:hAnsi="Times New Roman" w:eastAsia="宋体"/>
          <w:lang w:eastAsia="zh-CN"/>
        </w:rPr>
        <w:t>电源供电，6kV双电源来自国网七里变电站6kV不同母线段，采用两趟LGJ-95型架空线路供电（未分接其它负荷），线路长度2km。</w:t>
      </w:r>
    </w:p>
    <w:p>
      <w:pPr>
        <w:spacing w:line="360" w:lineRule="auto"/>
        <w:ind w:firstLine="480" w:firstLineChars="200"/>
        <w:rPr>
          <w:rFonts w:hAnsi="Times New Roman" w:eastAsia="宋体"/>
          <w:szCs w:val="22"/>
          <w:lang w:eastAsia="zh-CN"/>
        </w:rPr>
      </w:pPr>
      <w:r>
        <w:rPr>
          <w:rFonts w:hAnsi="Times New Roman" w:eastAsia="宋体"/>
          <w:szCs w:val="22"/>
          <w:lang w:eastAsia="zh-CN"/>
        </w:rPr>
        <w:t>井下高压采用6kV，采工作面采用1140V，照明信号采用127V，</w:t>
      </w:r>
      <w:r>
        <w:rPr>
          <w:rFonts w:hint="eastAsia" w:hAnsi="Times New Roman" w:eastAsia="宋体"/>
          <w:szCs w:val="22"/>
          <w:lang w:eastAsia="zh-CN"/>
        </w:rPr>
        <w:t>其他</w:t>
      </w:r>
      <w:r>
        <w:rPr>
          <w:rFonts w:hAnsi="Times New Roman" w:eastAsia="宋体"/>
          <w:szCs w:val="22"/>
          <w:lang w:eastAsia="zh-CN"/>
        </w:rPr>
        <w:t>设备采用660V。地面低压配电采用380/220V电压等级。</w:t>
      </w:r>
    </w:p>
    <w:p>
      <w:pPr>
        <w:pStyle w:val="5"/>
        <w:rPr>
          <w:rFonts w:ascii="Times New Roman" w:hAnsi="Times New Roman"/>
          <w:lang w:eastAsia="zh-CN"/>
        </w:rPr>
      </w:pPr>
      <w:r>
        <w:rPr>
          <w:rFonts w:ascii="Times New Roman" w:hAnsi="Times New Roman"/>
          <w:lang w:eastAsia="zh-CN"/>
        </w:rPr>
        <w:t>2.4 污染源及环境影响因素分析</w:t>
      </w:r>
      <w:bookmarkEnd w:id="117"/>
      <w:bookmarkEnd w:id="118"/>
    </w:p>
    <w:p>
      <w:pPr>
        <w:pStyle w:val="6"/>
        <w:rPr>
          <w:lang w:eastAsia="zh-CN"/>
        </w:rPr>
      </w:pPr>
      <w:bookmarkStart w:id="119" w:name="_Toc167095151"/>
      <w:bookmarkStart w:id="120" w:name="_Toc163812528"/>
      <w:r>
        <w:rPr>
          <w:lang w:eastAsia="zh-CN"/>
        </w:rPr>
        <w:t>2.4.1 施工期污染源及环境影响因素分析</w:t>
      </w:r>
      <w:bookmarkEnd w:id="119"/>
      <w:bookmarkEnd w:id="120"/>
    </w:p>
    <w:p>
      <w:pPr>
        <w:spacing w:line="360" w:lineRule="auto"/>
        <w:ind w:firstLine="482" w:firstLineChars="200"/>
        <w:rPr>
          <w:rFonts w:hAnsi="Times New Roman" w:eastAsia="宋体"/>
          <w:b/>
          <w:bCs/>
          <w:lang w:eastAsia="zh-CN"/>
        </w:rPr>
      </w:pPr>
      <w:r>
        <w:rPr>
          <w:rFonts w:hAnsi="Times New Roman" w:eastAsia="宋体"/>
          <w:b/>
          <w:bCs/>
          <w:lang w:eastAsia="zh-CN"/>
        </w:rPr>
        <w:t>（1）工艺流程及产污环节</w:t>
      </w:r>
    </w:p>
    <w:p>
      <w:pPr>
        <w:spacing w:line="360" w:lineRule="auto"/>
        <w:ind w:firstLine="480" w:firstLineChars="200"/>
        <w:rPr>
          <w:rFonts w:hAnsi="Times New Roman" w:eastAsia="宋体"/>
          <w:lang w:eastAsia="zh-CN"/>
        </w:rPr>
      </w:pPr>
      <w:r>
        <w:rPr>
          <w:rFonts w:hAnsi="Times New Roman" w:eastAsia="宋体"/>
          <w:lang w:eastAsia="zh-CN"/>
        </w:rPr>
        <w:t>根据四川蜀能矿山开发技术咨询有限公司编制的《达州市宣汉县七里峡煤业有限公司七里峡煤矿扩建工程项目申请与安全审核报告（代可行性研究报告）》，七里峡煤矿从现有的15万吨/年开采规模升级改造为30万吨/年的开采规模，</w:t>
      </w:r>
      <w:r>
        <w:rPr>
          <w:rFonts w:hAnsi="Times New Roman" w:eastAsia="宋体"/>
          <w:szCs w:val="22"/>
          <w:lang w:eastAsia="zh-CN"/>
        </w:rPr>
        <w:t>不新增采煤工作面，通过提高采煤机械化程度，由原普通机械化采煤提高到综合机械化采煤来达到扩建后的生产能力。</w:t>
      </w:r>
      <w:r>
        <w:rPr>
          <w:rFonts w:hAnsi="Times New Roman" w:eastAsia="宋体"/>
          <w:lang w:eastAsia="zh-CN"/>
        </w:rPr>
        <w:t>施工期主要包括地面改造、井下掘进、井下机电安装等。</w:t>
      </w:r>
    </w:p>
    <w:p>
      <w:pPr>
        <w:spacing w:line="360" w:lineRule="auto"/>
        <w:jc w:val="center"/>
        <w:rPr>
          <w:rFonts w:hAnsi="Times New Roman" w:eastAsia="宋体"/>
          <w:lang w:eastAsia="zh-CN"/>
        </w:rPr>
      </w:pPr>
      <w:r>
        <w:rPr>
          <w:rFonts w:hAnsi="Times New Roman" w:eastAsia="宋体"/>
          <w:lang w:eastAsia="zh-CN"/>
        </w:rPr>
        <w:object>
          <v:shape id="_x0000_i1025" o:spt="75" type="#_x0000_t75" style="height:72.7pt;width:436.2pt;" o:ole="t" filled="f" o:preferrelative="t" stroked="f" coordsize="21600,21600">
            <v:path/>
            <v:fill on="f" focussize="0,0"/>
            <v:stroke on="f" joinstyle="miter"/>
            <v:imagedata r:id="rId63" o:title=""/>
            <o:lock v:ext="edit" aspectratio="t"/>
            <w10:wrap type="none"/>
            <w10:anchorlock/>
          </v:shape>
          <o:OLEObject Type="Embed" ProgID="Visio.Drawing.11" ShapeID="_x0000_i1025" DrawAspect="Content" ObjectID="_1468075725" r:id="rId62">
            <o:LockedField>false</o:LockedField>
          </o:OLEObject>
        </w:objec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图2.4-1 施工期工艺流程及产物环节图</w:t>
      </w:r>
    </w:p>
    <w:p>
      <w:pPr>
        <w:spacing w:line="360" w:lineRule="auto"/>
        <w:ind w:firstLine="480" w:firstLineChars="200"/>
        <w:rPr>
          <w:rFonts w:hAnsi="Times New Roman" w:eastAsia="宋体"/>
          <w:lang w:eastAsia="zh-CN"/>
        </w:rPr>
      </w:pPr>
      <w:r>
        <w:rPr>
          <w:rFonts w:hAnsi="Times New Roman" w:eastAsia="宋体"/>
          <w:lang w:eastAsia="zh-CN"/>
        </w:rPr>
        <w:t>地面改造：七里峡煤矿独立升级改造地面系统均利用现有的生产生活设施，地面改造部分主要为原煤堆场及临时储矸场封闭，在+572m回风平硐场地建设瓦斯抽放站以及矿井水处理设施扩容等工程。</w:t>
      </w:r>
    </w:p>
    <w:p>
      <w:pPr>
        <w:spacing w:line="360" w:lineRule="auto"/>
        <w:ind w:firstLine="480" w:firstLineChars="200"/>
        <w:rPr>
          <w:rFonts w:hAnsi="Times New Roman" w:eastAsia="宋体"/>
          <w:lang w:eastAsia="zh-CN"/>
        </w:rPr>
      </w:pPr>
      <w:r>
        <w:rPr>
          <w:rFonts w:hAnsi="Times New Roman" w:eastAsia="宋体"/>
          <w:lang w:eastAsia="zh-CN"/>
        </w:rPr>
        <w:t>井下掘进：主要包括225-13回风巷、2264运输巷、+200m水平东运输大巷掘进等。</w:t>
      </w:r>
    </w:p>
    <w:p>
      <w:pPr>
        <w:spacing w:line="360" w:lineRule="auto"/>
        <w:ind w:firstLine="480" w:firstLineChars="200"/>
        <w:rPr>
          <w:rFonts w:hAnsi="Times New Roman" w:eastAsia="宋体"/>
          <w:lang w:eastAsia="zh-CN"/>
        </w:rPr>
      </w:pPr>
      <w:r>
        <w:rPr>
          <w:rFonts w:hAnsi="Times New Roman" w:eastAsia="宋体"/>
          <w:lang w:eastAsia="zh-CN"/>
        </w:rPr>
        <w:t>井下机电安装：井下安装主要包括井下供电、井下消防洒水系统、井下工作面机械设备的安装。</w:t>
      </w:r>
    </w:p>
    <w:p>
      <w:pPr>
        <w:spacing w:line="360" w:lineRule="auto"/>
        <w:ind w:firstLine="482" w:firstLineChars="200"/>
        <w:rPr>
          <w:rFonts w:hAnsi="Times New Roman" w:eastAsia="宋体"/>
          <w:b/>
          <w:bCs/>
          <w:lang w:eastAsia="zh-CN"/>
        </w:rPr>
      </w:pPr>
      <w:r>
        <w:rPr>
          <w:rFonts w:hAnsi="Times New Roman" w:eastAsia="宋体"/>
          <w:b/>
          <w:bCs/>
          <w:lang w:eastAsia="zh-CN"/>
        </w:rPr>
        <w:t>（2）污染因素分析</w:t>
      </w:r>
    </w:p>
    <w:p>
      <w:pPr>
        <w:spacing w:line="360" w:lineRule="auto"/>
        <w:ind w:firstLine="480" w:firstLineChars="200"/>
        <w:rPr>
          <w:rFonts w:hAnsi="Times New Roman" w:eastAsia="宋体"/>
          <w:lang w:eastAsia="zh-CN"/>
        </w:rPr>
      </w:pPr>
      <w:r>
        <w:rPr>
          <w:rFonts w:hAnsi="Times New Roman" w:eastAsia="宋体"/>
          <w:lang w:eastAsia="zh-CN"/>
        </w:rPr>
        <w:t>七里峡煤矿</w:t>
      </w:r>
      <w:r>
        <w:rPr>
          <w:rFonts w:hint="eastAsia" w:hAnsi="Times New Roman" w:eastAsia="宋体"/>
          <w:lang w:eastAsia="zh-CN"/>
        </w:rPr>
        <w:t>扩建工程</w:t>
      </w:r>
      <w:r>
        <w:rPr>
          <w:rFonts w:hAnsi="Times New Roman" w:eastAsia="宋体"/>
          <w:lang w:eastAsia="zh-CN"/>
        </w:rPr>
        <w:t>项目地面工程主要利用现有生产生活设施，施工期间仅需要进行地面改造、井下掘进、井下机电安装等，施工期间产生的废水主要包括井下废水、生活污水；废气主要为井下作业粉尘、矸石装卸粉尘、车辆运输扬尘；噪声主要为井下掘进时工业场地风压机、风井场地通风机、车辆运输等机型发出的噪声；固废主要为井下掘进的矸石、生活垃圾、矿井水处理站污泥、废机油、含油抹布及手套等。</w:t>
      </w:r>
    </w:p>
    <w:p>
      <w:pPr>
        <w:pStyle w:val="6"/>
        <w:rPr>
          <w:lang w:eastAsia="zh-CN"/>
        </w:rPr>
      </w:pPr>
      <w:bookmarkStart w:id="121" w:name="_Toc163812529"/>
      <w:bookmarkStart w:id="122" w:name="_Toc167095152"/>
      <w:r>
        <w:rPr>
          <w:lang w:eastAsia="zh-CN"/>
        </w:rPr>
        <w:t>2.4.2 运营期污染源及环境影响分析</w:t>
      </w:r>
      <w:bookmarkEnd w:id="121"/>
      <w:bookmarkEnd w:id="122"/>
    </w:p>
    <w:p>
      <w:pPr>
        <w:pStyle w:val="8"/>
        <w:rPr>
          <w:rFonts w:ascii="Times New Roman" w:hAnsi="Times New Roman"/>
          <w:lang w:eastAsia="zh-CN"/>
        </w:rPr>
      </w:pPr>
      <w:r>
        <w:rPr>
          <w:rFonts w:ascii="Times New Roman" w:hAnsi="Times New Roman"/>
          <w:lang w:eastAsia="zh-CN"/>
        </w:rPr>
        <w:t>2.4.2.1 工艺流程及产污环节</w:t>
      </w:r>
    </w:p>
    <w:p>
      <w:pPr>
        <w:spacing w:line="360" w:lineRule="auto"/>
        <w:ind w:firstLine="480" w:firstLineChars="200"/>
        <w:rPr>
          <w:rFonts w:hAnsi="Times New Roman" w:eastAsia="宋体"/>
          <w:lang w:eastAsia="zh-CN"/>
        </w:rPr>
      </w:pPr>
      <w:r>
        <w:rPr>
          <w:rFonts w:hAnsi="Times New Roman" w:eastAsia="宋体"/>
          <w:lang w:eastAsia="zh-CN"/>
        </w:rPr>
        <w:t>项目运营期间工艺流程及产污环节见下图所示。</w:t>
      </w:r>
    </w:p>
    <w:p>
      <w:pPr>
        <w:spacing w:line="360" w:lineRule="auto"/>
        <w:jc w:val="center"/>
        <w:rPr>
          <w:rFonts w:hAnsi="Times New Roman" w:eastAsia="宋体"/>
          <w:lang w:eastAsia="zh-CN"/>
        </w:rPr>
      </w:pPr>
      <w:r>
        <w:drawing>
          <wp:inline distT="0" distB="0" distL="0" distR="0">
            <wp:extent cx="5795645" cy="4071620"/>
            <wp:effectExtent l="0" t="0" r="0" b="5080"/>
            <wp:docPr id="16443935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393553" name="图片 1"/>
                    <pic:cNvPicPr>
                      <a:picLocks noChangeAspect="1"/>
                    </pic:cNvPicPr>
                  </pic:nvPicPr>
                  <pic:blipFill>
                    <a:blip r:embed="rId64"/>
                    <a:stretch>
                      <a:fillRect/>
                    </a:stretch>
                  </pic:blipFill>
                  <pic:spPr>
                    <a:xfrm>
                      <a:off x="0" y="0"/>
                      <a:ext cx="5795645" cy="4071620"/>
                    </a:xfrm>
                    <a:prstGeom prst="rect">
                      <a:avLst/>
                    </a:prstGeom>
                  </pic:spPr>
                </pic:pic>
              </a:graphicData>
            </a:graphic>
          </wp:inline>
        </w:drawing>
      </w:r>
    </w:p>
    <w:p>
      <w:pPr>
        <w:pStyle w:val="16"/>
        <w:ind w:left="0"/>
        <w:jc w:val="center"/>
        <w:rPr>
          <w:rFonts w:hAnsi="Times New Roman" w:eastAsia="宋体" w:cs="Times New Roman"/>
          <w:b/>
          <w:bCs/>
          <w:i w:val="0"/>
          <w:iCs w:val="0"/>
          <w:sz w:val="21"/>
          <w:szCs w:val="21"/>
          <w:lang w:eastAsia="zh-CN"/>
        </w:rPr>
      </w:pPr>
      <w:r>
        <w:rPr>
          <w:rFonts w:hAnsi="Times New Roman" w:eastAsia="宋体" w:cs="Times New Roman"/>
          <w:b/>
          <w:bCs/>
          <w:i w:val="0"/>
          <w:iCs w:val="0"/>
          <w:sz w:val="21"/>
          <w:szCs w:val="21"/>
          <w:lang w:eastAsia="zh-CN"/>
        </w:rPr>
        <w:t>图2.4-</w:t>
      </w:r>
      <w:r>
        <w:rPr>
          <w:rFonts w:hint="eastAsia" w:hAnsi="Times New Roman" w:eastAsia="宋体" w:cs="Times New Roman"/>
          <w:b/>
          <w:bCs/>
          <w:i w:val="0"/>
          <w:iCs w:val="0"/>
          <w:sz w:val="21"/>
          <w:szCs w:val="21"/>
          <w:lang w:eastAsia="zh-CN"/>
        </w:rPr>
        <w:t>2</w:t>
      </w:r>
      <w:r>
        <w:rPr>
          <w:rFonts w:hAnsi="Times New Roman" w:eastAsia="宋体" w:cs="Times New Roman"/>
          <w:b/>
          <w:bCs/>
          <w:i w:val="0"/>
          <w:iCs w:val="0"/>
          <w:sz w:val="21"/>
          <w:szCs w:val="21"/>
          <w:lang w:eastAsia="zh-CN"/>
        </w:rPr>
        <w:t xml:space="preserve"> 项目工艺流程及产污环节</w:t>
      </w:r>
    </w:p>
    <w:p>
      <w:pPr>
        <w:spacing w:line="360" w:lineRule="auto"/>
        <w:ind w:firstLine="480" w:firstLineChars="200"/>
        <w:rPr>
          <w:rFonts w:hAnsi="Times New Roman" w:eastAsia="宋体"/>
          <w:szCs w:val="22"/>
          <w:lang w:eastAsia="zh-CN"/>
        </w:rPr>
      </w:pPr>
      <w:r>
        <w:rPr>
          <w:rFonts w:hAnsi="Times New Roman" w:eastAsia="宋体"/>
          <w:szCs w:val="22"/>
          <w:lang w:eastAsia="zh-CN"/>
        </w:rPr>
        <w:t>工艺流程简介</w:t>
      </w:r>
      <w:r>
        <w:rPr>
          <w:rFonts w:hint="eastAsia" w:hAnsi="Times New Roman" w:eastAsia="宋体"/>
          <w:szCs w:val="22"/>
          <w:lang w:eastAsia="zh-CN"/>
        </w:rPr>
        <w:t>：</w:t>
      </w:r>
    </w:p>
    <w:p>
      <w:pPr>
        <w:spacing w:line="360" w:lineRule="auto"/>
        <w:ind w:firstLine="480" w:firstLineChars="200"/>
        <w:rPr>
          <w:rFonts w:hAnsi="Times New Roman" w:eastAsia="宋体"/>
          <w:szCs w:val="22"/>
          <w:lang w:eastAsia="zh-CN"/>
        </w:rPr>
      </w:pPr>
      <w:r>
        <w:rPr>
          <w:rFonts w:hAnsi="Times New Roman" w:eastAsia="宋体"/>
          <w:szCs w:val="22"/>
          <w:lang w:eastAsia="zh-CN"/>
        </w:rPr>
        <w:t>根据矿井煤层赋存条件、采区巷道布置，矿井可以采用的有普通机械化采煤工艺和综合机械化采煤工艺。根据矿井开采煤层赋存情况及开采技术条件，设计采用综合机械化采煤工艺。</w:t>
      </w:r>
    </w:p>
    <w:p>
      <w:pPr>
        <w:spacing w:line="360" w:lineRule="auto"/>
        <w:ind w:firstLine="480" w:firstLineChars="200"/>
        <w:rPr>
          <w:rFonts w:hAnsi="Times New Roman" w:eastAsia="宋体"/>
          <w:szCs w:val="22"/>
          <w:lang w:eastAsia="zh-CN"/>
        </w:rPr>
      </w:pPr>
      <w:r>
        <w:rPr>
          <w:rFonts w:hAnsi="Times New Roman" w:eastAsia="宋体"/>
          <w:szCs w:val="22"/>
          <w:lang w:eastAsia="zh-CN"/>
        </w:rPr>
        <w:t>综合机械开采工艺如下：</w:t>
      </w:r>
    </w:p>
    <w:p>
      <w:pPr>
        <w:spacing w:line="360" w:lineRule="auto"/>
        <w:ind w:firstLine="480" w:firstLineChars="200"/>
        <w:rPr>
          <w:rFonts w:hAnsi="Times New Roman" w:eastAsia="宋体"/>
          <w:szCs w:val="22"/>
          <w:lang w:eastAsia="zh-CN"/>
        </w:rPr>
      </w:pPr>
      <w:r>
        <w:rPr>
          <w:rFonts w:hAnsi="Times New Roman" w:eastAsia="宋体"/>
          <w:szCs w:val="22"/>
          <w:lang w:eastAsia="zh-CN"/>
        </w:rPr>
        <w:t>破煤：采用双滚筒采煤机采煤，前滚筒破煤、装煤，后滚筒清收浮煤。</w:t>
      </w:r>
    </w:p>
    <w:p>
      <w:pPr>
        <w:spacing w:line="360" w:lineRule="auto"/>
        <w:ind w:firstLine="480" w:firstLineChars="200"/>
        <w:rPr>
          <w:rFonts w:hAnsi="Times New Roman" w:eastAsia="宋体"/>
          <w:szCs w:val="22"/>
          <w:lang w:eastAsia="zh-CN"/>
        </w:rPr>
      </w:pPr>
      <w:r>
        <w:rPr>
          <w:rFonts w:hAnsi="Times New Roman" w:eastAsia="宋体"/>
          <w:szCs w:val="22"/>
          <w:lang w:eastAsia="zh-CN"/>
        </w:rPr>
        <w:t>支护和采空区处理：由于采煤机截深为800mm，工作面采用单体液压支柱配合金属铰接顶梁支护顶板，采空区采用全部垮落法管理顶板。</w:t>
      </w:r>
    </w:p>
    <w:p>
      <w:pPr>
        <w:spacing w:line="360" w:lineRule="auto"/>
        <w:ind w:firstLine="480" w:firstLineChars="200"/>
        <w:rPr>
          <w:rFonts w:hAnsi="Times New Roman" w:eastAsia="宋体"/>
          <w:szCs w:val="22"/>
          <w:lang w:eastAsia="zh-CN"/>
        </w:rPr>
      </w:pPr>
      <w:r>
        <w:rPr>
          <w:rFonts w:hAnsi="Times New Roman" w:eastAsia="宋体"/>
          <w:szCs w:val="22"/>
          <w:lang w:eastAsia="zh-CN"/>
        </w:rPr>
        <w:t>运煤：采煤工作面煤炭采用刮板运输机运至工作面运输巷，运输巷配备刮板转载机转载至运输巷可伸缩带式输送机。井下主平硐采用轨道机车运输煤炭，主暗斜井采用提升绞车运输煤炭。</w:t>
      </w:r>
    </w:p>
    <w:p>
      <w:pPr>
        <w:spacing w:line="360" w:lineRule="auto"/>
        <w:ind w:firstLine="480" w:firstLineChars="200"/>
        <w:rPr>
          <w:rFonts w:hAnsi="Times New Roman" w:eastAsia="宋体"/>
          <w:szCs w:val="22"/>
          <w:lang w:eastAsia="zh-CN"/>
        </w:rPr>
      </w:pPr>
      <w:r>
        <w:rPr>
          <w:rFonts w:hAnsi="Times New Roman" w:eastAsia="宋体"/>
          <w:szCs w:val="22"/>
          <w:lang w:eastAsia="zh-CN"/>
        </w:rPr>
        <w:t>出主井外运出的煤炭通过窄轨运输采用翻笼形式卸载至储煤场内，矸石通过窄轨运输采用翻笼形式卸载煤矸石临时堆场内，煤炭及矸石均采用自卸式汽车外运。</w:t>
      </w:r>
    </w:p>
    <w:p>
      <w:pPr>
        <w:pStyle w:val="8"/>
        <w:rPr>
          <w:rFonts w:ascii="Times New Roman" w:hAnsi="Times New Roman"/>
          <w:lang w:eastAsia="zh-CN"/>
        </w:rPr>
      </w:pPr>
      <w:r>
        <w:rPr>
          <w:rFonts w:ascii="Times New Roman" w:hAnsi="Times New Roman"/>
          <w:lang w:eastAsia="zh-CN"/>
        </w:rPr>
        <w:t>2.4.2.2 水污染源、污染物及防治措施</w:t>
      </w:r>
    </w:p>
    <w:p>
      <w:pPr>
        <w:spacing w:line="360" w:lineRule="auto"/>
        <w:ind w:firstLine="480" w:firstLineChars="200"/>
        <w:rPr>
          <w:rFonts w:hAnsi="Times New Roman" w:eastAsia="宋体"/>
          <w:lang w:eastAsia="zh-CN"/>
        </w:rPr>
      </w:pPr>
      <w:r>
        <w:rPr>
          <w:rFonts w:hAnsi="Times New Roman" w:eastAsia="宋体"/>
          <w:lang w:eastAsia="zh-CN"/>
        </w:rPr>
        <w:t>项目废水主要包括矿井涌水、生活污水、车辆冲洗废水、机修车间洗手废水。</w:t>
      </w:r>
    </w:p>
    <w:p>
      <w:pPr>
        <w:spacing w:line="360" w:lineRule="auto"/>
        <w:ind w:firstLine="480" w:firstLineChars="200"/>
        <w:rPr>
          <w:rFonts w:hAnsi="Times New Roman" w:eastAsia="宋体"/>
          <w:lang w:eastAsia="zh-CN"/>
        </w:rPr>
      </w:pPr>
      <w:r>
        <w:rPr>
          <w:rFonts w:hAnsi="Times New Roman" w:eastAsia="宋体"/>
          <w:lang w:eastAsia="zh-CN"/>
        </w:rPr>
        <w:t>（1）矿井涌水</w:t>
      </w:r>
    </w:p>
    <w:p>
      <w:pPr>
        <w:spacing w:line="360" w:lineRule="auto"/>
        <w:ind w:firstLine="480" w:firstLineChars="200"/>
        <w:rPr>
          <w:rFonts w:hAnsi="Times New Roman" w:eastAsia="宋体"/>
          <w:lang w:eastAsia="zh-CN"/>
        </w:rPr>
      </w:pPr>
      <w:r>
        <w:rPr>
          <w:rFonts w:hAnsi="Times New Roman" w:eastAsia="宋体"/>
          <w:lang w:eastAsia="zh-CN"/>
        </w:rPr>
        <w:t>根据2019年矿井水患现状调查报告，矿井目前正常涌水量为85.5m</w:t>
      </w:r>
      <w:r>
        <w:rPr>
          <w:rFonts w:hAnsi="Times New Roman" w:eastAsia="宋体"/>
          <w:vertAlign w:val="superscript"/>
          <w:lang w:eastAsia="zh-CN"/>
        </w:rPr>
        <w:t>3</w:t>
      </w:r>
      <w:r>
        <w:rPr>
          <w:rFonts w:hAnsi="Times New Roman" w:eastAsia="宋体"/>
          <w:lang w:eastAsia="zh-CN"/>
        </w:rPr>
        <w:t>/h（2052.0m</w:t>
      </w:r>
      <w:r>
        <w:rPr>
          <w:rFonts w:hAnsi="Times New Roman" w:eastAsia="宋体"/>
          <w:vertAlign w:val="superscript"/>
          <w:lang w:eastAsia="zh-CN"/>
        </w:rPr>
        <w:t>3</w:t>
      </w:r>
      <w:r>
        <w:rPr>
          <w:rFonts w:hAnsi="Times New Roman" w:eastAsia="宋体"/>
          <w:lang w:eastAsia="zh-CN"/>
        </w:rPr>
        <w:t>/d），最大涌水量为128.3m</w:t>
      </w:r>
      <w:r>
        <w:rPr>
          <w:rFonts w:hAnsi="Times New Roman" w:eastAsia="宋体"/>
          <w:vertAlign w:val="superscript"/>
          <w:lang w:eastAsia="zh-CN"/>
        </w:rPr>
        <w:t>3</w:t>
      </w:r>
      <w:r>
        <w:rPr>
          <w:rFonts w:hAnsi="Times New Roman" w:eastAsia="宋体"/>
          <w:lang w:eastAsia="zh-CN"/>
        </w:rPr>
        <w:t>/h（3079.2m</w:t>
      </w:r>
      <w:r>
        <w:rPr>
          <w:rFonts w:hAnsi="Times New Roman" w:eastAsia="宋体"/>
          <w:vertAlign w:val="superscript"/>
          <w:lang w:eastAsia="zh-CN"/>
        </w:rPr>
        <w:t>3</w:t>
      </w:r>
      <w:r>
        <w:rPr>
          <w:rFonts w:hAnsi="Times New Roman" w:eastAsia="宋体"/>
          <w:lang w:eastAsia="zh-CN"/>
        </w:rPr>
        <w:t>/d）。</w:t>
      </w:r>
      <w:r>
        <w:rPr>
          <w:rFonts w:hAnsi="Times New Roman" w:eastAsia="宋体"/>
          <w:szCs w:val="22"/>
          <w:lang w:eastAsia="zh-CN"/>
        </w:rPr>
        <w:t>经过改扩建后</w:t>
      </w:r>
      <w:r>
        <w:rPr>
          <w:rFonts w:hAnsi="Times New Roman" w:eastAsia="宋体"/>
          <w:lang w:eastAsia="zh-CN"/>
        </w:rPr>
        <w:t>，矿井+200m水平以上矿井（后期）正常涌水量为147.9m</w:t>
      </w:r>
      <w:r>
        <w:rPr>
          <w:rFonts w:hAnsi="Times New Roman" w:eastAsia="宋体"/>
          <w:vertAlign w:val="superscript"/>
          <w:lang w:eastAsia="zh-CN"/>
        </w:rPr>
        <w:t>3</w:t>
      </w:r>
      <w:r>
        <w:rPr>
          <w:rFonts w:hAnsi="Times New Roman" w:eastAsia="宋体"/>
          <w:lang w:eastAsia="zh-CN"/>
        </w:rPr>
        <w:t>/h（3549.6m</w:t>
      </w:r>
      <w:r>
        <w:rPr>
          <w:rFonts w:hAnsi="Times New Roman" w:eastAsia="宋体"/>
          <w:vertAlign w:val="superscript"/>
          <w:lang w:eastAsia="zh-CN"/>
        </w:rPr>
        <w:t>3</w:t>
      </w:r>
      <w:r>
        <w:rPr>
          <w:rFonts w:hAnsi="Times New Roman" w:eastAsia="宋体"/>
          <w:lang w:eastAsia="zh-CN"/>
        </w:rPr>
        <w:t>/d），最大涌水量为221.9m</w:t>
      </w:r>
      <w:r>
        <w:rPr>
          <w:rFonts w:hAnsi="Times New Roman" w:eastAsia="宋体"/>
          <w:vertAlign w:val="superscript"/>
          <w:lang w:eastAsia="zh-CN"/>
        </w:rPr>
        <w:t>3</w:t>
      </w:r>
      <w:r>
        <w:rPr>
          <w:rFonts w:hAnsi="Times New Roman" w:eastAsia="宋体"/>
          <w:lang w:eastAsia="zh-CN"/>
        </w:rPr>
        <w:t>/h（5325.6m</w:t>
      </w:r>
      <w:r>
        <w:rPr>
          <w:rFonts w:hAnsi="Times New Roman" w:eastAsia="宋体"/>
          <w:vertAlign w:val="superscript"/>
          <w:lang w:eastAsia="zh-CN"/>
        </w:rPr>
        <w:t>3</w:t>
      </w:r>
      <w:r>
        <w:rPr>
          <w:rFonts w:hAnsi="Times New Roman" w:eastAsia="宋体"/>
          <w:lang w:eastAsia="zh-CN"/>
        </w:rPr>
        <w:t>/d）</w:t>
      </w:r>
      <w:r>
        <w:rPr>
          <w:rFonts w:hint="eastAsia" w:hAnsi="Times New Roman" w:eastAsia="宋体"/>
          <w:lang w:eastAsia="zh-CN"/>
        </w:rPr>
        <w:t>。</w:t>
      </w:r>
      <w:r>
        <w:rPr>
          <w:rFonts w:hint="eastAsia" w:hAnsi="Times New Roman" w:eastAsia="宋体"/>
          <w:szCs w:val="24"/>
          <w:lang w:eastAsia="zh-CN"/>
        </w:rPr>
        <w:t>根据监测数据可知，现有矿井涌水处理工艺石油类</w:t>
      </w:r>
      <w:r>
        <w:rPr>
          <w:rFonts w:hint="eastAsia" w:hAnsi="Times New Roman" w:eastAsia="宋体"/>
          <w:lang w:eastAsia="zh-CN"/>
        </w:rPr>
        <w:t>不能满足《地表水环境质量标准》（GB3838-2002）Ⅲ类标准，且矿井涌水处理站规模小，不能满足改扩建工程的矿井涌水处理能力。</w:t>
      </w:r>
    </w:p>
    <w:p>
      <w:pPr>
        <w:spacing w:line="360" w:lineRule="auto"/>
        <w:ind w:firstLine="480" w:firstLineChars="200"/>
        <w:rPr>
          <w:rFonts w:hAnsi="Times New Roman" w:eastAsia="宋体"/>
          <w:lang w:eastAsia="zh-CN"/>
        </w:rPr>
      </w:pPr>
      <w:r>
        <w:rPr>
          <w:rFonts w:hAnsi="Times New Roman" w:eastAsia="宋体"/>
          <w:lang w:eastAsia="zh-CN"/>
        </w:rPr>
        <w:t>为防止</w:t>
      </w:r>
      <w:r>
        <w:rPr>
          <w:rFonts w:hint="eastAsia" w:hAnsi="Times New Roman" w:eastAsia="宋体"/>
          <w:lang w:eastAsia="zh-CN"/>
        </w:rPr>
        <w:t>矿井涌水</w:t>
      </w:r>
      <w:r>
        <w:rPr>
          <w:rFonts w:hAnsi="Times New Roman" w:eastAsia="宋体"/>
          <w:lang w:eastAsia="zh-CN"/>
        </w:rPr>
        <w:t>对</w:t>
      </w:r>
      <w:r>
        <w:rPr>
          <w:rFonts w:hint="eastAsia" w:hAnsi="Times New Roman" w:eastAsia="宋体"/>
          <w:lang w:eastAsia="zh-CN"/>
        </w:rPr>
        <w:t>地表水</w:t>
      </w:r>
      <w:r>
        <w:rPr>
          <w:rFonts w:hAnsi="Times New Roman" w:eastAsia="宋体"/>
          <w:lang w:eastAsia="zh-CN"/>
        </w:rPr>
        <w:t>环境的污染，环评要求：</w:t>
      </w:r>
    </w:p>
    <w:p>
      <w:pPr>
        <w:spacing w:line="360" w:lineRule="auto"/>
        <w:ind w:firstLine="480" w:firstLineChars="200"/>
        <w:rPr>
          <w:rFonts w:hAnsi="Times New Roman" w:eastAsia="宋体"/>
          <w:lang w:eastAsia="zh-CN"/>
        </w:rPr>
      </w:pPr>
      <w:r>
        <w:rPr>
          <w:rFonts w:hAnsi="Times New Roman" w:eastAsia="宋体"/>
          <w:lang w:eastAsia="zh-CN"/>
        </w:rPr>
        <w:t>本次扩建新增2套型号为YWS-200的一体化水处理</w:t>
      </w:r>
      <w:r>
        <w:rPr>
          <w:rFonts w:hint="eastAsia" w:hAnsi="Times New Roman" w:eastAsia="宋体"/>
          <w:lang w:eastAsia="zh-CN"/>
        </w:rPr>
        <w:t>设备</w:t>
      </w:r>
      <w:r>
        <w:rPr>
          <w:rFonts w:hAnsi="Times New Roman" w:eastAsia="宋体"/>
          <w:lang w:eastAsia="zh-CN"/>
        </w:rPr>
        <w:t>。</w:t>
      </w:r>
      <w:r>
        <w:rPr>
          <w:rFonts w:hint="eastAsia" w:hAnsi="Times New Roman" w:eastAsia="宋体"/>
          <w:lang w:eastAsia="zh-CN"/>
        </w:rPr>
        <w:t>采用</w:t>
      </w:r>
      <w:r>
        <w:rPr>
          <w:rFonts w:hAnsi="Times New Roman" w:eastAsia="宋体"/>
          <w:szCs w:val="24"/>
          <w:lang w:eastAsia="zh-CN"/>
        </w:rPr>
        <w:t>“</w:t>
      </w:r>
      <w:r>
        <w:rPr>
          <w:rFonts w:hint="eastAsia" w:hAnsi="Times New Roman" w:eastAsia="宋体"/>
          <w:szCs w:val="24"/>
          <w:lang w:eastAsia="zh-CN"/>
        </w:rPr>
        <w:t>隔油+预沉调节+混凝沉淀+斜管沉淀+石英砂过滤+消毒</w:t>
      </w:r>
      <w:r>
        <w:rPr>
          <w:rFonts w:hAnsi="Times New Roman" w:eastAsia="宋体"/>
          <w:szCs w:val="24"/>
          <w:lang w:eastAsia="zh-CN"/>
        </w:rPr>
        <w:t>”</w:t>
      </w:r>
      <w:r>
        <w:rPr>
          <w:rFonts w:hint="eastAsia" w:hAnsi="Times New Roman" w:eastAsia="宋体"/>
          <w:szCs w:val="24"/>
          <w:lang w:eastAsia="zh-CN"/>
        </w:rPr>
        <w:t>处理工艺</w:t>
      </w:r>
      <w:r>
        <w:rPr>
          <w:rFonts w:hAnsi="Times New Roman" w:eastAsia="宋体"/>
          <w:szCs w:val="24"/>
          <w:lang w:eastAsia="zh-CN"/>
        </w:rPr>
        <w:t>，</w:t>
      </w:r>
      <w:r>
        <w:rPr>
          <w:rFonts w:hint="eastAsia" w:hAnsi="Times New Roman" w:eastAsia="宋体"/>
          <w:szCs w:val="24"/>
          <w:lang w:eastAsia="zh-CN"/>
        </w:rPr>
        <w:t>设计处理能力</w:t>
      </w:r>
      <w:r>
        <w:rPr>
          <w:rFonts w:hAnsi="Times New Roman" w:eastAsia="宋体"/>
          <w:lang w:eastAsia="zh-CN"/>
        </w:rPr>
        <w:t>为400m</w:t>
      </w:r>
      <w:r>
        <w:rPr>
          <w:rFonts w:hAnsi="Times New Roman" w:eastAsia="宋体"/>
          <w:vertAlign w:val="superscript"/>
          <w:lang w:eastAsia="zh-CN"/>
        </w:rPr>
        <w:t>3</w:t>
      </w:r>
      <w:r>
        <w:rPr>
          <w:rFonts w:hAnsi="Times New Roman" w:eastAsia="宋体"/>
          <w:lang w:eastAsia="zh-CN"/>
        </w:rPr>
        <w:t>/h（9600m</w:t>
      </w:r>
      <w:r>
        <w:rPr>
          <w:rFonts w:hAnsi="Times New Roman" w:eastAsia="宋体"/>
          <w:vertAlign w:val="superscript"/>
          <w:lang w:eastAsia="zh-CN"/>
        </w:rPr>
        <w:t>3</w:t>
      </w:r>
      <w:r>
        <w:rPr>
          <w:rFonts w:hAnsi="Times New Roman" w:eastAsia="宋体"/>
          <w:lang w:eastAsia="zh-CN"/>
        </w:rPr>
        <w:t>/d）满足</w:t>
      </w:r>
      <w:r>
        <w:rPr>
          <w:rFonts w:hAnsi="Times New Roman" w:eastAsia="宋体"/>
          <w:szCs w:val="24"/>
          <w:lang w:eastAsia="zh-CN"/>
        </w:rPr>
        <w:t>正常涌水量、</w:t>
      </w:r>
      <w:r>
        <w:rPr>
          <w:rFonts w:hAnsi="Times New Roman" w:eastAsia="宋体"/>
          <w:lang w:eastAsia="zh-CN"/>
        </w:rPr>
        <w:t>最大涌水量处理要求。经处理后的矿坑水一部分（531.414m</w:t>
      </w:r>
      <w:r>
        <w:rPr>
          <w:rFonts w:hAnsi="Times New Roman" w:eastAsia="宋体"/>
          <w:vertAlign w:val="superscript"/>
          <w:lang w:eastAsia="zh-CN"/>
        </w:rPr>
        <w:t>3</w:t>
      </w:r>
      <w:r>
        <w:rPr>
          <w:rFonts w:hAnsi="Times New Roman" w:eastAsia="宋体"/>
          <w:lang w:eastAsia="zh-CN"/>
        </w:rPr>
        <w:t>/d）抽至高位水池作为井下降尘及地面生产用水使用，</w:t>
      </w:r>
      <w:r>
        <w:rPr>
          <w:rFonts w:hint="eastAsia" w:hAnsi="Times New Roman" w:eastAsia="宋体"/>
          <w:lang w:eastAsia="zh-CN"/>
        </w:rPr>
        <w:t>剩</w:t>
      </w:r>
      <w:r>
        <w:rPr>
          <w:rFonts w:hAnsi="Times New Roman" w:eastAsia="宋体"/>
          <w:lang w:eastAsia="zh-CN"/>
        </w:rPr>
        <w:t>余部分通过1.5km排水管道引至</w:t>
      </w:r>
      <w:r>
        <w:rPr>
          <w:rFonts w:hint="eastAsia" w:hAnsi="Times New Roman" w:eastAsia="宋体"/>
          <w:lang w:eastAsia="zh-CN"/>
        </w:rPr>
        <w:t>天生镇王一庙</w:t>
      </w:r>
      <w:r>
        <w:rPr>
          <w:rFonts w:hAnsi="Times New Roman" w:eastAsia="宋体"/>
          <w:lang w:eastAsia="zh-CN"/>
        </w:rPr>
        <w:t>水源保护区下游河段</w:t>
      </w:r>
      <w:r>
        <w:rPr>
          <w:rFonts w:hint="eastAsia" w:hAnsi="Times New Roman" w:eastAsia="宋体"/>
          <w:lang w:eastAsia="zh-CN"/>
        </w:rPr>
        <w:t>（新宁河）</w:t>
      </w:r>
      <w:r>
        <w:rPr>
          <w:rFonts w:hAnsi="Times New Roman" w:eastAsia="宋体"/>
          <w:lang w:eastAsia="zh-CN"/>
        </w:rPr>
        <w:t>排放。矿井正常涌水时外排量为3018.186m</w:t>
      </w:r>
      <w:r>
        <w:rPr>
          <w:rFonts w:hAnsi="Times New Roman" w:eastAsia="宋体"/>
          <w:vertAlign w:val="superscript"/>
          <w:lang w:eastAsia="zh-CN"/>
        </w:rPr>
        <w:t>3</w:t>
      </w:r>
      <w:r>
        <w:rPr>
          <w:rFonts w:hAnsi="Times New Roman" w:eastAsia="宋体"/>
          <w:lang w:eastAsia="zh-CN"/>
        </w:rPr>
        <w:t>/d，矿井最大涌水时外排量为4794.186m</w:t>
      </w:r>
      <w:r>
        <w:rPr>
          <w:rFonts w:hAnsi="Times New Roman" w:eastAsia="宋体"/>
          <w:vertAlign w:val="superscript"/>
          <w:lang w:eastAsia="zh-CN"/>
        </w:rPr>
        <w:t>3</w:t>
      </w:r>
      <w:r>
        <w:rPr>
          <w:rFonts w:hAnsi="Times New Roman" w:eastAsia="宋体"/>
          <w:lang w:eastAsia="zh-CN"/>
        </w:rPr>
        <w:t>/d。</w:t>
      </w:r>
    </w:p>
    <w:p>
      <w:pPr>
        <w:spacing w:line="360" w:lineRule="auto"/>
        <w:ind w:firstLine="480" w:firstLineChars="200"/>
        <w:rPr>
          <w:rFonts w:hAnsi="Times New Roman" w:eastAsia="宋体"/>
          <w:lang w:eastAsia="zh-CN"/>
        </w:rPr>
      </w:pPr>
      <w:r>
        <w:rPr>
          <w:rFonts w:hint="eastAsia" w:hAnsi="Times New Roman" w:eastAsia="宋体"/>
          <w:lang w:eastAsia="zh-CN"/>
        </w:rPr>
        <w:t>项目工业广场东侧紧邻新宁河，且工业广场外新宁河下游约20m为宣汉县天生镇王一庙集中式饮用水水源地一级保护区。项目在工业广场设置污废水收集沟，工业广场污废水进入矿井</w:t>
      </w:r>
      <w:r>
        <w:rPr>
          <w:rFonts w:hAnsi="Times New Roman" w:eastAsia="宋体"/>
          <w:lang w:eastAsia="zh-CN"/>
        </w:rPr>
        <w:t>一体化水处理</w:t>
      </w:r>
      <w:r>
        <w:rPr>
          <w:rFonts w:hint="eastAsia" w:hAnsi="Times New Roman" w:eastAsia="宋体"/>
          <w:lang w:eastAsia="zh-CN"/>
        </w:rPr>
        <w:t>设备进行处理，严禁工业广场污废水直接外排新宁河，项目并设置有事故应急池（容积为5000m</w:t>
      </w:r>
      <w:r>
        <w:rPr>
          <w:rFonts w:hint="eastAsia" w:hAnsi="Times New Roman" w:eastAsia="宋体"/>
          <w:vertAlign w:val="superscript"/>
          <w:lang w:eastAsia="zh-CN"/>
        </w:rPr>
        <w:t>3</w:t>
      </w:r>
      <w:r>
        <w:rPr>
          <w:rFonts w:hint="eastAsia" w:hAnsi="Times New Roman" w:eastAsia="宋体"/>
          <w:lang w:eastAsia="zh-CN"/>
        </w:rPr>
        <w:t>），事故应急池能满足矿井24h最大涌水量。剩余矿井涌水不能在工业广场外排入新宁河，需通过沿新宁河右岸30m架设1.5km排水管道</w:t>
      </w:r>
      <w:r>
        <w:rPr>
          <w:rFonts w:hAnsi="Times New Roman" w:eastAsia="宋体"/>
          <w:lang w:eastAsia="zh-CN"/>
        </w:rPr>
        <w:t>引至</w:t>
      </w:r>
      <w:r>
        <w:rPr>
          <w:rFonts w:hint="eastAsia" w:hAnsi="Times New Roman" w:eastAsia="宋体"/>
          <w:lang w:eastAsia="zh-CN"/>
        </w:rPr>
        <w:t>天生镇王一庙</w:t>
      </w:r>
      <w:r>
        <w:rPr>
          <w:rFonts w:hAnsi="Times New Roman" w:eastAsia="宋体"/>
          <w:lang w:eastAsia="zh-CN"/>
        </w:rPr>
        <w:t>水源保护区下游河段排放</w:t>
      </w:r>
      <w:r>
        <w:rPr>
          <w:rFonts w:hint="eastAsia" w:hAnsi="Times New Roman" w:eastAsia="宋体"/>
          <w:lang w:eastAsia="zh-CN"/>
        </w:rPr>
        <w:t>，排放口位于宣汉县天生镇塔坝村一组，坐标为：</w:t>
      </w:r>
      <w:r>
        <w:rPr>
          <w:rFonts w:hAnsi="Times New Roman" w:eastAsia="宋体"/>
          <w:szCs w:val="22"/>
          <w:lang w:eastAsia="zh-CN"/>
        </w:rPr>
        <w:t>东经</w:t>
      </w:r>
      <w:r>
        <w:rPr>
          <w:rFonts w:hint="eastAsia" w:hAnsi="Times New Roman" w:eastAsia="宋体"/>
          <w:szCs w:val="22"/>
          <w:lang w:eastAsia="zh-CN"/>
        </w:rPr>
        <w:t>107.720023256</w:t>
      </w:r>
      <w:r>
        <w:rPr>
          <w:rFonts w:hAnsi="Times New Roman" w:eastAsia="宋体"/>
          <w:szCs w:val="22"/>
          <w:lang w:eastAsia="zh-CN"/>
        </w:rPr>
        <w:t>，北纬</w:t>
      </w:r>
      <w:r>
        <w:rPr>
          <w:rFonts w:hint="eastAsia" w:hAnsi="Times New Roman" w:eastAsia="宋体"/>
          <w:szCs w:val="22"/>
          <w:lang w:eastAsia="zh-CN"/>
        </w:rPr>
        <w:t>31.195051547</w:t>
      </w:r>
      <w:r>
        <w:rPr>
          <w:rFonts w:hint="eastAsia" w:hAnsi="Times New Roman" w:eastAsia="宋体"/>
          <w:lang w:eastAsia="zh-CN"/>
        </w:rPr>
        <w:t>。矿井涌水对宣汉县天生镇王一庙集中式饮用水水质无影响。</w:t>
      </w:r>
    </w:p>
    <w:p>
      <w:pPr>
        <w:spacing w:line="360" w:lineRule="auto"/>
        <w:ind w:firstLine="480" w:firstLineChars="200"/>
        <w:rPr>
          <w:rFonts w:hAnsi="Times New Roman" w:eastAsia="宋体"/>
          <w:lang w:eastAsia="zh-CN"/>
        </w:rPr>
      </w:pPr>
      <w:r>
        <w:rPr>
          <w:rFonts w:hAnsi="Times New Roman" w:eastAsia="宋体"/>
          <w:lang w:eastAsia="zh-CN"/>
        </w:rPr>
        <w:t>（2）车辆冲洗废水</w:t>
      </w:r>
    </w:p>
    <w:p>
      <w:pPr>
        <w:spacing w:line="360" w:lineRule="auto"/>
        <w:ind w:firstLine="480" w:firstLineChars="200"/>
        <w:rPr>
          <w:rFonts w:hAnsi="Times New Roman" w:eastAsia="宋体"/>
          <w:lang w:eastAsia="zh-CN"/>
        </w:rPr>
      </w:pPr>
      <w:r>
        <w:rPr>
          <w:rFonts w:hAnsi="Times New Roman" w:eastAsia="宋体"/>
          <w:lang w:eastAsia="zh-CN"/>
        </w:rPr>
        <w:t>根据现场调查，建设单位在储煤场及矸石临时堆场的出入口设置有车辆冲洗平台，采用移动式喷淋水管对出场车辆进行清洗。</w:t>
      </w:r>
    </w:p>
    <w:p>
      <w:pPr>
        <w:spacing w:line="360" w:lineRule="auto"/>
        <w:ind w:firstLine="480" w:firstLineChars="200"/>
        <w:rPr>
          <w:rFonts w:hAnsi="Times New Roman" w:eastAsia="宋体"/>
          <w:lang w:eastAsia="zh-CN"/>
        </w:rPr>
      </w:pPr>
      <w:r>
        <w:rPr>
          <w:rFonts w:hAnsi="Times New Roman" w:eastAsia="宋体"/>
          <w:lang w:eastAsia="zh-CN"/>
        </w:rPr>
        <w:t>项目成品煤堆场年总运输量为30万吨/年、煤矸石年运输量为3万吨/年，载重汽车以每辆20t的载重能力计算，则每日需要载重汽车20辆。每辆汽车冲洗水以0.5m</w:t>
      </w:r>
      <w:r>
        <w:rPr>
          <w:rFonts w:hAnsi="Times New Roman" w:eastAsia="宋体"/>
          <w:vertAlign w:val="superscript"/>
          <w:lang w:eastAsia="zh-CN"/>
        </w:rPr>
        <w:t>3</w:t>
      </w:r>
      <w:r>
        <w:rPr>
          <w:rFonts w:hAnsi="Times New Roman" w:eastAsia="宋体"/>
          <w:lang w:eastAsia="zh-CN"/>
        </w:rPr>
        <w:t>计算，则车辆冲洗用水量为10m</w:t>
      </w:r>
      <w:r>
        <w:rPr>
          <w:rFonts w:hAnsi="Times New Roman" w:eastAsia="宋体"/>
          <w:vertAlign w:val="superscript"/>
          <w:lang w:eastAsia="zh-CN"/>
        </w:rPr>
        <w:t>3</w:t>
      </w:r>
      <w:r>
        <w:rPr>
          <w:rFonts w:hAnsi="Times New Roman" w:eastAsia="宋体"/>
          <w:lang w:eastAsia="zh-CN"/>
        </w:rPr>
        <w:t>/d，以20%损失，则其中回用8m</w:t>
      </w:r>
      <w:r>
        <w:rPr>
          <w:rFonts w:hAnsi="Times New Roman" w:eastAsia="宋体"/>
          <w:vertAlign w:val="superscript"/>
          <w:lang w:eastAsia="zh-CN"/>
        </w:rPr>
        <w:t>3</w:t>
      </w:r>
      <w:r>
        <w:rPr>
          <w:rFonts w:hAnsi="Times New Roman" w:eastAsia="宋体"/>
          <w:lang w:eastAsia="zh-CN"/>
        </w:rPr>
        <w:t>/d，损耗2m</w:t>
      </w:r>
      <w:r>
        <w:rPr>
          <w:rFonts w:hAnsi="Times New Roman" w:eastAsia="宋体"/>
          <w:vertAlign w:val="superscript"/>
          <w:lang w:eastAsia="zh-CN"/>
        </w:rPr>
        <w:t>3</w:t>
      </w:r>
      <w:r>
        <w:rPr>
          <w:rFonts w:hAnsi="Times New Roman" w:eastAsia="宋体"/>
          <w:lang w:eastAsia="zh-CN"/>
        </w:rPr>
        <w:t>/d。</w:t>
      </w:r>
    </w:p>
    <w:p>
      <w:pPr>
        <w:spacing w:line="360" w:lineRule="auto"/>
        <w:ind w:firstLine="482" w:firstLineChars="200"/>
        <w:rPr>
          <w:rFonts w:hAnsi="Times New Roman" w:eastAsia="宋体"/>
          <w:lang w:eastAsia="zh-CN"/>
        </w:rPr>
      </w:pPr>
      <w:r>
        <w:rPr>
          <w:rFonts w:hAnsi="Times New Roman" w:eastAsia="宋体"/>
          <w:b/>
          <w:bCs/>
          <w:szCs w:val="22"/>
          <w:lang w:eastAsia="zh-CN"/>
        </w:rPr>
        <w:t>本次环评要求在厂区车辆出入口设置1套车辆自动冲洗装置对车辆进行冲洗。在车辆冲洗平台旁设置1座容积为5m</w:t>
      </w:r>
      <w:r>
        <w:rPr>
          <w:rFonts w:hAnsi="Times New Roman" w:eastAsia="宋体"/>
          <w:b/>
          <w:bCs/>
          <w:szCs w:val="22"/>
          <w:vertAlign w:val="superscript"/>
          <w:lang w:eastAsia="zh-CN"/>
        </w:rPr>
        <w:t>3</w:t>
      </w:r>
      <w:r>
        <w:rPr>
          <w:rFonts w:hAnsi="Times New Roman" w:eastAsia="宋体"/>
          <w:b/>
          <w:bCs/>
          <w:szCs w:val="22"/>
          <w:lang w:eastAsia="zh-CN"/>
        </w:rPr>
        <w:t>的隔油沉淀池处理车辆冲洗废水，处理后的冲洗废水回用于车辆冲洗，并每日添加3.0m</w:t>
      </w:r>
      <w:r>
        <w:rPr>
          <w:rFonts w:hAnsi="Times New Roman" w:eastAsia="宋体"/>
          <w:b/>
          <w:bCs/>
          <w:szCs w:val="22"/>
          <w:vertAlign w:val="superscript"/>
          <w:lang w:eastAsia="zh-CN"/>
        </w:rPr>
        <w:t>3</w:t>
      </w:r>
      <w:r>
        <w:rPr>
          <w:rFonts w:hAnsi="Times New Roman" w:eastAsia="宋体"/>
          <w:b/>
          <w:bCs/>
          <w:szCs w:val="22"/>
          <w:lang w:eastAsia="zh-CN"/>
        </w:rPr>
        <w:t>的补充水。同时，车辆四周及轮胎必须冲洗干净方可离场，冲洗废水必须收集，冲洗平台边界设置高出0.2m围堰，废水不得随地排放</w:t>
      </w:r>
      <w:r>
        <w:rPr>
          <w:rFonts w:hAnsi="Times New Roman" w:eastAsia="宋体"/>
          <w:lang w:eastAsia="zh-CN"/>
        </w:rPr>
        <w:t>。</w:t>
      </w:r>
    </w:p>
    <w:p>
      <w:pPr>
        <w:spacing w:line="360" w:lineRule="auto"/>
        <w:ind w:firstLine="480" w:firstLineChars="200"/>
        <w:rPr>
          <w:rFonts w:hAnsi="Times New Roman" w:eastAsia="宋体"/>
          <w:lang w:eastAsia="zh-CN"/>
        </w:rPr>
      </w:pPr>
      <w:r>
        <w:rPr>
          <w:rFonts w:hAnsi="Times New Roman" w:eastAsia="宋体"/>
          <w:lang w:eastAsia="zh-CN"/>
        </w:rPr>
        <w:t>（3）机修车间洗手废水</w:t>
      </w:r>
    </w:p>
    <w:p>
      <w:pPr>
        <w:spacing w:line="360" w:lineRule="auto"/>
        <w:ind w:firstLine="480" w:firstLineChars="200"/>
        <w:rPr>
          <w:rFonts w:hAnsi="Times New Roman" w:eastAsia="宋体"/>
          <w:szCs w:val="22"/>
          <w:lang w:eastAsia="zh-CN"/>
        </w:rPr>
      </w:pPr>
      <w:r>
        <w:rPr>
          <w:rFonts w:hAnsi="Times New Roman" w:eastAsia="宋体"/>
          <w:szCs w:val="22"/>
          <w:lang w:eastAsia="zh-CN"/>
        </w:rPr>
        <w:t>本项目机修车间洗手废水，含油量较高，项目扩建完成后，机修车间洗手用水量为0.24m</w:t>
      </w:r>
      <w:r>
        <w:rPr>
          <w:rFonts w:hAnsi="Times New Roman" w:eastAsia="宋体"/>
          <w:szCs w:val="22"/>
          <w:vertAlign w:val="superscript"/>
          <w:lang w:eastAsia="zh-CN"/>
        </w:rPr>
        <w:t>3</w:t>
      </w:r>
      <w:r>
        <w:rPr>
          <w:rFonts w:hAnsi="Times New Roman" w:eastAsia="宋体"/>
          <w:szCs w:val="22"/>
          <w:lang w:eastAsia="zh-CN"/>
        </w:rPr>
        <w:t>/d，废水量以0.8计，则机修车间洗手废水排放量为0.20m</w:t>
      </w:r>
      <w:r>
        <w:rPr>
          <w:rFonts w:hAnsi="Times New Roman" w:eastAsia="宋体"/>
          <w:szCs w:val="22"/>
          <w:vertAlign w:val="superscript"/>
          <w:lang w:eastAsia="zh-CN"/>
        </w:rPr>
        <w:t>3</w:t>
      </w:r>
      <w:r>
        <w:rPr>
          <w:rFonts w:hAnsi="Times New Roman" w:eastAsia="宋体"/>
          <w:szCs w:val="22"/>
          <w:lang w:eastAsia="zh-CN"/>
        </w:rPr>
        <w:t>/d。</w:t>
      </w:r>
    </w:p>
    <w:p>
      <w:pPr>
        <w:spacing w:line="360" w:lineRule="auto"/>
        <w:ind w:firstLine="482" w:firstLineChars="200"/>
        <w:rPr>
          <w:rFonts w:hAnsi="Times New Roman" w:eastAsia="宋体"/>
          <w:b/>
          <w:bCs/>
          <w:szCs w:val="22"/>
          <w:lang w:eastAsia="zh-CN"/>
        </w:rPr>
      </w:pPr>
      <w:r>
        <w:rPr>
          <w:rFonts w:hint="eastAsia" w:hAnsi="Times New Roman" w:eastAsia="宋体"/>
          <w:b/>
          <w:bCs/>
          <w:szCs w:val="22"/>
          <w:lang w:eastAsia="zh-CN"/>
        </w:rPr>
        <w:t>本次环评要求在机修车间设置油水分离器</w:t>
      </w:r>
      <w:r>
        <w:rPr>
          <w:rFonts w:hAnsi="Times New Roman" w:eastAsia="宋体"/>
          <w:b/>
          <w:bCs/>
          <w:szCs w:val="22"/>
          <w:lang w:eastAsia="zh-CN"/>
        </w:rPr>
        <w:t>处理机修车间洗手废水中油污，隔油沉淀处理后最终回用于地面防尘用水。</w:t>
      </w:r>
    </w:p>
    <w:p>
      <w:pPr>
        <w:spacing w:line="360" w:lineRule="auto"/>
        <w:ind w:firstLine="480" w:firstLineChars="200"/>
        <w:rPr>
          <w:rFonts w:hAnsi="Times New Roman" w:eastAsia="宋体"/>
          <w:lang w:eastAsia="zh-CN"/>
        </w:rPr>
      </w:pPr>
      <w:r>
        <w:rPr>
          <w:rFonts w:hAnsi="Times New Roman" w:eastAsia="宋体"/>
          <w:lang w:eastAsia="zh-CN"/>
        </w:rPr>
        <w:t>（4）工业场地初期雨水</w:t>
      </w:r>
    </w:p>
    <w:p>
      <w:pPr>
        <w:spacing w:line="360" w:lineRule="auto"/>
        <w:ind w:firstLine="480" w:firstLineChars="200"/>
        <w:rPr>
          <w:rFonts w:hAnsi="Times New Roman" w:eastAsia="宋体"/>
          <w:lang w:eastAsia="zh-CN"/>
        </w:rPr>
      </w:pPr>
      <w:r>
        <w:rPr>
          <w:rFonts w:hAnsi="Times New Roman" w:eastAsia="宋体"/>
          <w:lang w:eastAsia="zh-CN"/>
        </w:rPr>
        <w:t>在下雨时，项目工业广场会产生场地初期雨水，初期雨水会携带较多SS，需要进行收集，如果直接外排会对地表水体水质造成较大影响。</w:t>
      </w:r>
    </w:p>
    <w:p>
      <w:pPr>
        <w:spacing w:line="360" w:lineRule="auto"/>
        <w:ind w:firstLine="480" w:firstLineChars="200"/>
        <w:rPr>
          <w:rFonts w:hAnsi="Times New Roman" w:eastAsia="宋体"/>
          <w:lang w:eastAsia="zh-CN"/>
        </w:rPr>
      </w:pPr>
      <w:r>
        <w:rPr>
          <w:rFonts w:hAnsi="Times New Roman" w:eastAsia="宋体"/>
          <w:lang w:eastAsia="zh-CN"/>
        </w:rPr>
        <w:t>项目工业广场实行“雨污分流”。从地形条件分析，场地初期雨水主要产生源为北部储煤及矸石堆场区，场地初期雨水其汇水面积约为3000m</w:t>
      </w:r>
      <w:r>
        <w:rPr>
          <w:rFonts w:hAnsi="Times New Roman" w:eastAsia="宋体"/>
          <w:vertAlign w:val="superscript"/>
          <w:lang w:eastAsia="zh-CN"/>
        </w:rPr>
        <w:t>2</w:t>
      </w:r>
      <w:r>
        <w:rPr>
          <w:rFonts w:hAnsi="Times New Roman" w:eastAsia="宋体"/>
          <w:lang w:eastAsia="zh-CN"/>
        </w:rPr>
        <w:t>，将通过地势较低的北部排出。</w:t>
      </w:r>
    </w:p>
    <w:p>
      <w:pPr>
        <w:spacing w:line="360" w:lineRule="auto"/>
        <w:ind w:firstLine="480" w:firstLineChars="200"/>
        <w:rPr>
          <w:rFonts w:hAnsi="Times New Roman" w:eastAsia="宋体"/>
          <w:lang w:eastAsia="zh-CN"/>
        </w:rPr>
      </w:pPr>
      <w:r>
        <w:rPr>
          <w:rFonts w:hAnsi="Times New Roman" w:eastAsia="宋体"/>
          <w:lang w:eastAsia="zh-CN"/>
        </w:rPr>
        <w:t>①暴雨强度及雨水流量计算</w:t>
      </w:r>
    </w:p>
    <w:p>
      <w:pPr>
        <w:spacing w:line="360" w:lineRule="auto"/>
        <w:ind w:firstLine="480" w:firstLineChars="200"/>
        <w:rPr>
          <w:rFonts w:hAnsi="Times New Roman" w:eastAsia="宋体"/>
          <w:lang w:eastAsia="zh-CN"/>
        </w:rPr>
      </w:pPr>
      <w:r>
        <w:rPr>
          <w:rFonts w:hAnsi="Times New Roman" w:eastAsia="宋体"/>
          <w:lang w:eastAsia="zh-CN"/>
        </w:rPr>
        <w:t>暴雨强度是描述暴雨雨量的重要指标，强度越大，雨越猛烈。同时暴雨强度也是决定雨水设计流量的重要参数之一。暴雨强度公式是暴雨强度q、降雨历时t与重现期P之间关系的数字表达式，是设计雨水管渠的依据。</w:t>
      </w:r>
    </w:p>
    <w:p>
      <w:pPr>
        <w:spacing w:line="360" w:lineRule="auto"/>
        <w:ind w:firstLine="480" w:firstLineChars="200"/>
        <w:rPr>
          <w:rFonts w:hAnsi="Times New Roman" w:eastAsia="宋体"/>
          <w:lang w:eastAsia="zh-CN"/>
        </w:rPr>
      </w:pPr>
      <w:r>
        <w:rPr>
          <w:rFonts w:hAnsi="Times New Roman" w:eastAsia="宋体"/>
          <w:lang w:eastAsia="zh-CN"/>
        </w:rPr>
        <w:t>雨水流量计算公式如下：</w:t>
      </w:r>
    </w:p>
    <w:p>
      <w:pPr>
        <w:spacing w:line="360" w:lineRule="auto"/>
        <w:ind w:firstLine="480" w:firstLineChars="200"/>
        <w:jc w:val="center"/>
        <w:rPr>
          <w:rFonts w:hAnsi="Times New Roman" w:eastAsia="宋体"/>
          <w:lang w:eastAsia="zh-CN"/>
        </w:rPr>
      </w:pPr>
      <w:r>
        <w:rPr>
          <w:rFonts w:hAnsi="Times New Roman" w:eastAsia="宋体"/>
          <w:lang w:eastAsia="zh-CN"/>
        </w:rPr>
        <w:t>Qy=Ψ·q·F</w:t>
      </w:r>
    </w:p>
    <w:p>
      <w:pPr>
        <w:spacing w:line="360" w:lineRule="auto"/>
        <w:ind w:firstLine="480" w:firstLineChars="200"/>
        <w:rPr>
          <w:rFonts w:hAnsi="Times New Roman" w:eastAsia="宋体"/>
          <w:lang w:eastAsia="zh-CN"/>
        </w:rPr>
      </w:pPr>
      <w:r>
        <w:rPr>
          <w:rFonts w:hAnsi="Times New Roman" w:eastAsia="宋体"/>
          <w:lang w:eastAsia="zh-CN"/>
        </w:rPr>
        <w:t>式中：</w:t>
      </w:r>
    </w:p>
    <w:p>
      <w:pPr>
        <w:spacing w:line="360" w:lineRule="auto"/>
        <w:ind w:firstLine="480" w:firstLineChars="200"/>
        <w:rPr>
          <w:rFonts w:hAnsi="Times New Roman" w:eastAsia="宋体"/>
          <w:lang w:eastAsia="zh-CN"/>
        </w:rPr>
      </w:pPr>
      <w:r>
        <w:rPr>
          <w:rFonts w:hAnsi="Times New Roman" w:eastAsia="宋体"/>
          <w:lang w:eastAsia="zh-CN"/>
        </w:rPr>
        <w:t>Qy—设计雨水流量</w:t>
      </w:r>
      <w:r>
        <w:rPr>
          <w:rFonts w:hint="eastAsia" w:hAnsi="Times New Roman" w:eastAsia="宋体"/>
          <w:lang w:eastAsia="zh-CN"/>
        </w:rPr>
        <w:t>（</w:t>
      </w:r>
      <w:r>
        <w:rPr>
          <w:rFonts w:hAnsi="Times New Roman" w:eastAsia="宋体"/>
          <w:lang w:eastAsia="zh-CN"/>
        </w:rPr>
        <w:t>L/s</w:t>
      </w:r>
      <w:r>
        <w:rPr>
          <w:rFonts w:hint="eastAsia" w:hAnsi="Times New Roman" w:eastAsia="宋体"/>
          <w:lang w:eastAsia="zh-CN"/>
        </w:rPr>
        <w:t>）；</w:t>
      </w:r>
    </w:p>
    <w:p>
      <w:pPr>
        <w:spacing w:line="360" w:lineRule="auto"/>
        <w:ind w:firstLine="480" w:firstLineChars="200"/>
        <w:rPr>
          <w:rFonts w:hint="default" w:hAnsi="Times New Roman" w:eastAsia="宋体"/>
          <w:lang w:val="en-US" w:eastAsia="zh-CN"/>
        </w:rPr>
      </w:pPr>
      <w:r>
        <w:rPr>
          <w:rFonts w:hAnsi="Times New Roman" w:eastAsia="宋体"/>
          <w:lang w:eastAsia="zh-CN"/>
        </w:rPr>
        <w:t>Ψ—径流系数；取0.9</w:t>
      </w:r>
      <w:r>
        <w:rPr>
          <w:rFonts w:hint="eastAsia" w:hAnsi="Times New Roman" w:eastAsia="宋体"/>
          <w:lang w:eastAsia="zh-CN"/>
        </w:rPr>
        <w:t>；</w:t>
      </w:r>
    </w:p>
    <w:p>
      <w:pPr>
        <w:spacing w:line="360" w:lineRule="auto"/>
        <w:ind w:firstLine="480" w:firstLineChars="200"/>
        <w:rPr>
          <w:rFonts w:hAnsi="Times New Roman" w:eastAsia="宋体"/>
          <w:lang w:eastAsia="zh-CN"/>
        </w:rPr>
      </w:pPr>
      <w:r>
        <w:rPr>
          <w:rFonts w:hAnsi="Times New Roman" w:eastAsia="宋体"/>
          <w:lang w:eastAsia="zh-CN"/>
        </w:rPr>
        <w:t>q—暴雨强度（L/s·ha）</w:t>
      </w:r>
      <w:r>
        <w:rPr>
          <w:rFonts w:hint="eastAsia" w:hAnsi="Times New Roman" w:eastAsia="宋体"/>
          <w:lang w:eastAsia="zh-CN"/>
        </w:rPr>
        <w:t>；</w:t>
      </w:r>
    </w:p>
    <w:p>
      <w:pPr>
        <w:spacing w:line="360" w:lineRule="auto"/>
        <w:ind w:firstLine="480" w:firstLineChars="200"/>
        <w:rPr>
          <w:rFonts w:hAnsi="Times New Roman" w:eastAsia="宋体"/>
          <w:lang w:eastAsia="zh-CN"/>
        </w:rPr>
      </w:pPr>
      <w:r>
        <w:rPr>
          <w:rFonts w:hAnsi="Times New Roman" w:eastAsia="宋体"/>
          <w:lang w:eastAsia="zh-CN"/>
        </w:rPr>
        <w:t>F—汇水面积（ha）。</w:t>
      </w:r>
    </w:p>
    <w:p>
      <w:pPr>
        <w:spacing w:line="360" w:lineRule="auto"/>
        <w:ind w:firstLine="480" w:firstLineChars="200"/>
        <w:rPr>
          <w:rFonts w:hAnsi="Times New Roman" w:eastAsia="宋体"/>
          <w:lang w:eastAsia="zh-CN"/>
        </w:rPr>
      </w:pPr>
      <w:r>
        <w:rPr>
          <w:rFonts w:hAnsi="Times New Roman" w:eastAsia="宋体"/>
          <w:lang w:eastAsia="zh-CN"/>
        </w:rPr>
        <w:t>其中，暴雨强度是在各地自己雨量记录分析整理的基础上，按数理统计法推算而得出，据《达州市主城区暴雨强度公式编制报告》，达州的暴雨强度公式如下：</w:t>
      </w:r>
    </w:p>
    <w:p>
      <w:pPr>
        <w:spacing w:line="360" w:lineRule="auto"/>
        <w:ind w:firstLine="480" w:firstLineChars="200"/>
        <w:jc w:val="center"/>
        <w:rPr>
          <w:rFonts w:hAnsi="Times New Roman" w:eastAsia="宋体"/>
          <w:lang w:eastAsia="zh-CN"/>
        </w:rPr>
      </w:pPr>
      <w:r>
        <w:rPr>
          <w:rFonts w:hAnsi="Times New Roman" w:eastAsia="宋体"/>
          <w:lang w:eastAsia="zh-CN"/>
        </w:rPr>
        <w:t>q=928.799×(1+0.818lgP)/(t+5.788)0.565</w:t>
      </w:r>
    </w:p>
    <w:p>
      <w:pPr>
        <w:spacing w:line="360" w:lineRule="auto"/>
        <w:ind w:firstLine="480" w:firstLineChars="200"/>
        <w:rPr>
          <w:rFonts w:hAnsi="Times New Roman" w:eastAsia="宋体"/>
          <w:lang w:eastAsia="zh-CN"/>
        </w:rPr>
      </w:pPr>
      <w:r>
        <w:rPr>
          <w:rFonts w:hAnsi="Times New Roman" w:eastAsia="宋体"/>
          <w:lang w:eastAsia="zh-CN"/>
        </w:rPr>
        <w:t>式中：</w:t>
      </w:r>
    </w:p>
    <w:p>
      <w:pPr>
        <w:spacing w:line="360" w:lineRule="auto"/>
        <w:ind w:firstLine="480" w:firstLineChars="200"/>
        <w:rPr>
          <w:rFonts w:hAnsi="Times New Roman" w:eastAsia="宋体"/>
          <w:lang w:eastAsia="zh-CN"/>
        </w:rPr>
      </w:pPr>
      <w:r>
        <w:rPr>
          <w:rFonts w:hAnsi="Times New Roman" w:eastAsia="宋体"/>
          <w:lang w:eastAsia="zh-CN"/>
        </w:rPr>
        <w:t>q—暴雨强度（L/s·ha）</w:t>
      </w:r>
    </w:p>
    <w:p>
      <w:pPr>
        <w:spacing w:line="360" w:lineRule="auto"/>
        <w:ind w:firstLine="480" w:firstLineChars="200"/>
        <w:rPr>
          <w:rFonts w:hAnsi="Times New Roman" w:eastAsia="宋体"/>
          <w:lang w:eastAsia="zh-CN"/>
        </w:rPr>
      </w:pPr>
      <w:r>
        <w:rPr>
          <w:rFonts w:hAnsi="Times New Roman" w:eastAsia="宋体"/>
          <w:lang w:eastAsia="zh-CN"/>
        </w:rPr>
        <w:t>P—设计重现期，取2年</w:t>
      </w:r>
    </w:p>
    <w:p>
      <w:pPr>
        <w:spacing w:line="360" w:lineRule="auto"/>
        <w:ind w:firstLine="480" w:firstLineChars="200"/>
        <w:rPr>
          <w:rFonts w:hAnsi="Times New Roman" w:eastAsia="宋体"/>
          <w:lang w:eastAsia="zh-CN"/>
        </w:rPr>
      </w:pPr>
      <w:r>
        <w:rPr>
          <w:rFonts w:hAnsi="Times New Roman" w:eastAsia="宋体"/>
          <w:lang w:eastAsia="zh-CN"/>
        </w:rPr>
        <w:t>t—降雨历时（min）；取60min。</w:t>
      </w:r>
    </w:p>
    <w:p>
      <w:pPr>
        <w:spacing w:line="360" w:lineRule="auto"/>
        <w:ind w:firstLine="480" w:firstLineChars="200"/>
        <w:rPr>
          <w:rFonts w:hAnsi="Times New Roman" w:eastAsia="宋体"/>
          <w:lang w:eastAsia="zh-CN"/>
        </w:rPr>
      </w:pPr>
      <w:r>
        <w:rPr>
          <w:rFonts w:hAnsi="Times New Roman" w:eastAsia="宋体"/>
          <w:lang w:eastAsia="zh-CN"/>
        </w:rPr>
        <w:t>根据四川省达州市暴雨强度计算公式估算（按重现期2年，降雨历时60min估算），项目所在区域暴雨强度为108.71L/s·hm</w:t>
      </w:r>
      <w:r>
        <w:rPr>
          <w:rFonts w:hAnsi="Times New Roman" w:eastAsia="宋体"/>
          <w:vertAlign w:val="superscript"/>
          <w:lang w:eastAsia="zh-CN"/>
        </w:rPr>
        <w:t>2</w:t>
      </w:r>
      <w:r>
        <w:rPr>
          <w:rFonts w:hAnsi="Times New Roman" w:eastAsia="宋体"/>
          <w:lang w:eastAsia="zh-CN"/>
        </w:rPr>
        <w:t>。初期雨水按15min收集量计，产生量为26.4m</w:t>
      </w:r>
      <w:r>
        <w:rPr>
          <w:rFonts w:hAnsi="Times New Roman" w:eastAsia="宋体"/>
          <w:vertAlign w:val="superscript"/>
          <w:lang w:eastAsia="zh-CN"/>
        </w:rPr>
        <w:t>3</w:t>
      </w:r>
      <w:r>
        <w:rPr>
          <w:rFonts w:hAnsi="Times New Roman" w:eastAsia="宋体"/>
          <w:lang w:eastAsia="zh-CN"/>
        </w:rPr>
        <w:t>/次。初期雨水的污染物主要以SS为主，经初期雨水池沉淀后回用于场地防尘用水，不外排。</w:t>
      </w:r>
    </w:p>
    <w:p>
      <w:pPr>
        <w:spacing w:line="360" w:lineRule="auto"/>
        <w:ind w:firstLine="480" w:firstLineChars="200"/>
        <w:rPr>
          <w:rFonts w:hAnsi="Times New Roman" w:eastAsia="宋体"/>
          <w:lang w:eastAsia="zh-CN"/>
        </w:rPr>
      </w:pPr>
      <w:r>
        <w:rPr>
          <w:rFonts w:hAnsi="Times New Roman" w:eastAsia="宋体"/>
          <w:lang w:eastAsia="zh-CN"/>
        </w:rPr>
        <w:t>为防止初期雨水对环境的污染，环评要求：</w:t>
      </w:r>
    </w:p>
    <w:p>
      <w:pPr>
        <w:spacing w:line="360" w:lineRule="auto"/>
        <w:ind w:firstLine="480" w:firstLineChars="200"/>
        <w:rPr>
          <w:rFonts w:hAnsi="Times New Roman" w:eastAsia="宋体"/>
          <w:lang w:eastAsia="zh-CN"/>
        </w:rPr>
      </w:pPr>
      <w:r>
        <w:rPr>
          <w:rFonts w:hAnsi="Times New Roman" w:eastAsia="宋体"/>
          <w:lang w:eastAsia="zh-CN"/>
        </w:rPr>
        <w:t>在煤炭、矸石储运场地上游外侧（场地南侧、东侧设置截洪沟），场地外部雨水经截水沟排入周边自然径流系统。沿储运场地各厂房、地面构筑物外墙砌筑环形集水沟与初期雨水沉淀池（容积20m</w:t>
      </w:r>
      <w:r>
        <w:rPr>
          <w:rFonts w:hAnsi="Times New Roman" w:eastAsia="宋体"/>
          <w:vertAlign w:val="superscript"/>
          <w:lang w:eastAsia="zh-CN"/>
        </w:rPr>
        <w:t>3</w:t>
      </w:r>
      <w:r>
        <w:rPr>
          <w:rFonts w:hAnsi="Times New Roman" w:eastAsia="宋体"/>
          <w:lang w:eastAsia="zh-CN"/>
        </w:rPr>
        <w:t>）相连，避免场地雨水漫流。</w:t>
      </w:r>
      <w:r>
        <w:rPr>
          <w:rFonts w:hint="eastAsia" w:hAnsi="Times New Roman" w:eastAsia="宋体"/>
          <w:lang w:eastAsia="zh-CN"/>
        </w:rPr>
        <w:t>初期雨水经初期雨水池沉淀后回用于场地防尘用水，不外排。</w:t>
      </w:r>
    </w:p>
    <w:p>
      <w:pPr>
        <w:spacing w:line="360" w:lineRule="auto"/>
        <w:ind w:firstLine="480" w:firstLineChars="200"/>
        <w:rPr>
          <w:rFonts w:hAnsi="Times New Roman" w:eastAsia="宋体"/>
          <w:lang w:eastAsia="zh-CN"/>
        </w:rPr>
      </w:pPr>
      <w:r>
        <w:rPr>
          <w:rFonts w:hAnsi="Times New Roman" w:eastAsia="宋体"/>
          <w:lang w:eastAsia="zh-CN"/>
        </w:rPr>
        <w:t>（5）生活污水</w:t>
      </w:r>
    </w:p>
    <w:p>
      <w:pPr>
        <w:spacing w:line="360" w:lineRule="auto"/>
        <w:ind w:firstLine="480" w:firstLineChars="200"/>
        <w:rPr>
          <w:rFonts w:hAnsi="Times New Roman" w:eastAsia="宋体"/>
          <w:lang w:eastAsia="zh-CN"/>
        </w:rPr>
      </w:pPr>
      <w:r>
        <w:rPr>
          <w:rFonts w:hAnsi="Times New Roman" w:eastAsia="宋体"/>
          <w:lang w:eastAsia="zh-CN"/>
        </w:rPr>
        <w:t>项目扩建后生活用水量111.54m</w:t>
      </w:r>
      <w:r>
        <w:rPr>
          <w:rFonts w:hAnsi="Times New Roman" w:eastAsia="宋体"/>
          <w:vertAlign w:val="superscript"/>
          <w:lang w:eastAsia="zh-CN"/>
        </w:rPr>
        <w:t>3</w:t>
      </w:r>
      <w:r>
        <w:rPr>
          <w:rFonts w:hAnsi="Times New Roman" w:eastAsia="宋体"/>
          <w:lang w:eastAsia="zh-CN"/>
        </w:rPr>
        <w:t>/d，生活污水以用水量的0.8计，则产生量为89.232m</w:t>
      </w:r>
      <w:r>
        <w:rPr>
          <w:rFonts w:hAnsi="Times New Roman" w:eastAsia="宋体"/>
          <w:vertAlign w:val="superscript"/>
          <w:lang w:eastAsia="zh-CN"/>
        </w:rPr>
        <w:t>3</w:t>
      </w:r>
      <w:r>
        <w:rPr>
          <w:rFonts w:hAnsi="Times New Roman" w:eastAsia="宋体"/>
          <w:lang w:eastAsia="zh-CN"/>
        </w:rPr>
        <w:t>/d。生活污水主</w:t>
      </w:r>
      <w:r>
        <w:rPr>
          <w:rFonts w:hint="eastAsia" w:hAnsi="Times New Roman" w:eastAsia="宋体"/>
          <w:lang w:eastAsia="zh-CN"/>
        </w:rPr>
        <w:t>要污</w:t>
      </w:r>
      <w:r>
        <w:rPr>
          <w:rFonts w:hAnsi="Times New Roman" w:eastAsia="宋体"/>
          <w:lang w:eastAsia="zh-CN"/>
        </w:rPr>
        <w:t>染因子为COD、BOD</w:t>
      </w:r>
      <w:r>
        <w:rPr>
          <w:rFonts w:hAnsi="Times New Roman" w:eastAsia="宋体"/>
          <w:vertAlign w:val="subscript"/>
          <w:lang w:eastAsia="zh-CN"/>
        </w:rPr>
        <w:t>5</w:t>
      </w:r>
      <w:r>
        <w:rPr>
          <w:rFonts w:hAnsi="Times New Roman" w:eastAsia="宋体"/>
          <w:lang w:eastAsia="zh-CN"/>
        </w:rPr>
        <w:t>、SS、NH</w:t>
      </w:r>
      <w:r>
        <w:rPr>
          <w:rFonts w:hAnsi="Times New Roman" w:eastAsia="宋体"/>
          <w:vertAlign w:val="subscript"/>
          <w:lang w:eastAsia="zh-CN"/>
        </w:rPr>
        <w:t>3</w:t>
      </w:r>
      <w:r>
        <w:rPr>
          <w:rFonts w:hAnsi="Times New Roman" w:eastAsia="宋体"/>
          <w:lang w:eastAsia="zh-CN"/>
        </w:rPr>
        <w:t>-N和少量油类。</w:t>
      </w:r>
    </w:p>
    <w:p>
      <w:pPr>
        <w:spacing w:line="360" w:lineRule="auto"/>
        <w:ind w:firstLine="480" w:firstLineChars="200"/>
        <w:rPr>
          <w:rFonts w:hAnsi="Times New Roman" w:eastAsia="宋体"/>
          <w:lang w:eastAsia="zh-CN"/>
        </w:rPr>
      </w:pPr>
      <w:r>
        <w:rPr>
          <w:rFonts w:hAnsi="Times New Roman" w:eastAsia="宋体"/>
          <w:lang w:eastAsia="zh-CN"/>
        </w:rPr>
        <w:t>原项目食堂废水采用油水分离器进行预处理，污废水采用自流方式与浴室、洗衣房废水一同进入生活污水处理站（处理能力为3.0m</w:t>
      </w:r>
      <w:r>
        <w:rPr>
          <w:rFonts w:hAnsi="Times New Roman" w:eastAsia="宋体"/>
          <w:vertAlign w:val="superscript"/>
          <w:lang w:eastAsia="zh-CN"/>
        </w:rPr>
        <w:t>3</w:t>
      </w:r>
      <w:r>
        <w:rPr>
          <w:rFonts w:hAnsi="Times New Roman" w:eastAsia="宋体"/>
          <w:lang w:eastAsia="zh-CN"/>
        </w:rPr>
        <w:t>/h，即72m</w:t>
      </w:r>
      <w:r>
        <w:rPr>
          <w:rFonts w:hAnsi="Times New Roman" w:eastAsia="宋体"/>
          <w:vertAlign w:val="superscript"/>
          <w:lang w:eastAsia="zh-CN"/>
        </w:rPr>
        <w:t>3</w:t>
      </w:r>
      <w:r>
        <w:rPr>
          <w:rFonts w:hAnsi="Times New Roman" w:eastAsia="宋体"/>
          <w:lang w:eastAsia="zh-CN"/>
        </w:rPr>
        <w:t>/d）处理后</w:t>
      </w:r>
      <w:r>
        <w:rPr>
          <w:rFonts w:hAnsi="Times New Roman" w:eastAsia="宋体"/>
          <w:szCs w:val="22"/>
          <w:lang w:eastAsia="zh-CN"/>
        </w:rPr>
        <w:t>回用于地面防尘用水、绿化用水等；</w:t>
      </w:r>
      <w:r>
        <w:rPr>
          <w:rFonts w:hAnsi="Times New Roman" w:eastAsia="宋体"/>
          <w:lang w:eastAsia="zh-CN"/>
        </w:rPr>
        <w:t>办公生活用水和职工宿舍用水进入化粪池处理后，由达州市鑫通管道疏通有限公司定期清运处置，均不外排。</w:t>
      </w:r>
    </w:p>
    <w:p>
      <w:pPr>
        <w:spacing w:line="360" w:lineRule="auto"/>
        <w:ind w:firstLine="480" w:firstLineChars="200"/>
        <w:rPr>
          <w:rFonts w:hAnsi="Times New Roman" w:eastAsia="宋体"/>
          <w:lang w:eastAsia="zh-CN"/>
        </w:rPr>
      </w:pPr>
      <w:r>
        <w:rPr>
          <w:rFonts w:hAnsi="Times New Roman" w:eastAsia="宋体"/>
          <w:szCs w:val="22"/>
          <w:lang w:eastAsia="zh-CN"/>
        </w:rPr>
        <w:t>根据煤矿设计资料可知，新建2座容积均为1.5m</w:t>
      </w:r>
      <w:r>
        <w:rPr>
          <w:rFonts w:hAnsi="Times New Roman" w:eastAsia="宋体"/>
          <w:szCs w:val="22"/>
          <w:vertAlign w:val="superscript"/>
          <w:lang w:eastAsia="zh-CN"/>
        </w:rPr>
        <w:t>3</w:t>
      </w:r>
      <w:r>
        <w:rPr>
          <w:rFonts w:hAnsi="Times New Roman" w:eastAsia="宋体"/>
          <w:szCs w:val="22"/>
          <w:lang w:eastAsia="zh-CN"/>
        </w:rPr>
        <w:t>的毛发集污井初步处理洗浴废水；上述污水预处理后汇入污水处理一体化设施（</w:t>
      </w:r>
      <w:r>
        <w:rPr>
          <w:rFonts w:hAnsi="Times New Roman" w:eastAsia="宋体"/>
          <w:lang w:eastAsia="zh-CN"/>
        </w:rPr>
        <w:t>处理能力为10m</w:t>
      </w:r>
      <w:r>
        <w:rPr>
          <w:rFonts w:hAnsi="Times New Roman" w:eastAsia="宋体"/>
          <w:vertAlign w:val="superscript"/>
          <w:lang w:eastAsia="zh-CN"/>
        </w:rPr>
        <w:t>3</w:t>
      </w:r>
      <w:r>
        <w:rPr>
          <w:rFonts w:hAnsi="Times New Roman" w:eastAsia="宋体"/>
          <w:lang w:eastAsia="zh-CN"/>
        </w:rPr>
        <w:t>/h</w:t>
      </w:r>
      <w:r>
        <w:rPr>
          <w:rFonts w:hAnsi="Times New Roman" w:eastAsia="宋体"/>
          <w:szCs w:val="22"/>
          <w:lang w:eastAsia="zh-CN"/>
        </w:rPr>
        <w:t>），处理后最终回用于地面防尘用水、绿化用水等不外排，</w:t>
      </w:r>
      <w:r>
        <w:rPr>
          <w:rFonts w:hAnsi="Times New Roman" w:eastAsia="宋体"/>
          <w:lang w:eastAsia="zh-CN"/>
        </w:rPr>
        <w:t>办公生活用水和职工宿舍用水</w:t>
      </w:r>
      <w:r>
        <w:rPr>
          <w:rFonts w:hAnsi="Times New Roman" w:eastAsia="宋体"/>
          <w:szCs w:val="22"/>
          <w:lang w:eastAsia="zh-CN"/>
        </w:rPr>
        <w:t>进入化粪池（容积约422.4m</w:t>
      </w:r>
      <w:r>
        <w:rPr>
          <w:rFonts w:hAnsi="Times New Roman" w:eastAsia="宋体"/>
          <w:szCs w:val="22"/>
          <w:vertAlign w:val="superscript"/>
          <w:lang w:eastAsia="zh-CN"/>
        </w:rPr>
        <w:t>3</w:t>
      </w:r>
      <w:r>
        <w:rPr>
          <w:rFonts w:hAnsi="Times New Roman" w:eastAsia="宋体"/>
          <w:szCs w:val="22"/>
          <w:lang w:eastAsia="zh-CN"/>
        </w:rPr>
        <w:t>）处理后，由达州市鑫通管道疏通有限公司定期清运处置，不外排</w:t>
      </w:r>
      <w:r>
        <w:rPr>
          <w:rFonts w:hAnsi="Times New Roman" w:eastAsia="宋体"/>
          <w:lang w:eastAsia="zh-CN"/>
        </w:rPr>
        <w:t>。</w:t>
      </w:r>
    </w:p>
    <w:p>
      <w:pPr>
        <w:spacing w:line="360" w:lineRule="auto"/>
        <w:ind w:firstLine="480" w:firstLineChars="200"/>
        <w:rPr>
          <w:rFonts w:hAnsi="Times New Roman" w:eastAsia="宋体"/>
          <w:lang w:eastAsia="zh-CN"/>
        </w:rPr>
      </w:pPr>
      <w:r>
        <w:rPr>
          <w:rFonts w:hAnsi="Times New Roman" w:eastAsia="宋体"/>
          <w:lang w:eastAsia="zh-CN"/>
        </w:rPr>
        <w:t>风井场地（回风）场地内不设生活设施，仅有少量值班人员，其少量生活污水采用旱厕收集处理后，用于附近农田作农肥，不外排。</w:t>
      </w:r>
    </w:p>
    <w:p>
      <w:pPr>
        <w:spacing w:line="360" w:lineRule="auto"/>
        <w:ind w:firstLine="480" w:firstLineChars="200"/>
        <w:rPr>
          <w:rFonts w:hAnsi="Times New Roman" w:eastAsia="宋体"/>
          <w:lang w:eastAsia="zh-CN"/>
        </w:rPr>
      </w:pPr>
      <w:r>
        <w:rPr>
          <w:rFonts w:hAnsi="Times New Roman" w:eastAsia="宋体"/>
          <w:lang w:eastAsia="zh-CN"/>
        </w:rPr>
        <w:t>水污染源及污染物产、排情况及治理措施见下表。</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表2.4-1 运营期水污染源及污染物产排情况一览表</w:t>
      </w:r>
    </w:p>
    <w:tbl>
      <w:tblPr>
        <w:tblStyle w:val="33"/>
        <w:tblW w:w="90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09"/>
        <w:gridCol w:w="843"/>
        <w:gridCol w:w="806"/>
        <w:gridCol w:w="912"/>
        <w:gridCol w:w="775"/>
        <w:gridCol w:w="975"/>
        <w:gridCol w:w="3152"/>
        <w:gridCol w:w="10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450" w:type="dxa"/>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kern w:val="2"/>
                <w:sz w:val="21"/>
                <w:szCs w:val="21"/>
                <w:lang w:eastAsia="zh-CN"/>
              </w:rPr>
            </w:pPr>
            <w:r>
              <w:rPr>
                <w:rFonts w:hint="eastAsia" w:hAnsi="Times New Roman" w:eastAsia="宋体"/>
                <w:b/>
                <w:kern w:val="2"/>
                <w:sz w:val="21"/>
                <w:szCs w:val="21"/>
                <w:lang w:eastAsia="zh-CN"/>
              </w:rPr>
              <w:t>污染源及污染物</w:t>
            </w:r>
          </w:p>
        </w:tc>
        <w:tc>
          <w:tcPr>
            <w:tcW w:w="1719" w:type="dxa"/>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kern w:val="2"/>
                <w:sz w:val="21"/>
                <w:szCs w:val="21"/>
                <w:lang w:eastAsia="zh-CN"/>
              </w:rPr>
            </w:pPr>
            <w:r>
              <w:rPr>
                <w:rFonts w:hint="eastAsia" w:hAnsi="Times New Roman" w:eastAsia="宋体"/>
                <w:b/>
                <w:kern w:val="2"/>
                <w:sz w:val="21"/>
                <w:szCs w:val="21"/>
                <w:lang w:eastAsia="zh-CN"/>
              </w:rPr>
              <w:t>产生情况</w:t>
            </w:r>
          </w:p>
        </w:tc>
        <w:tc>
          <w:tcPr>
            <w:tcW w:w="1750" w:type="dxa"/>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kern w:val="2"/>
                <w:sz w:val="21"/>
                <w:szCs w:val="21"/>
                <w:lang w:eastAsia="zh-CN"/>
              </w:rPr>
            </w:pPr>
            <w:r>
              <w:rPr>
                <w:rFonts w:hint="eastAsia" w:hAnsi="Times New Roman" w:eastAsia="宋体"/>
                <w:b/>
                <w:kern w:val="2"/>
                <w:sz w:val="21"/>
                <w:szCs w:val="21"/>
                <w:lang w:eastAsia="zh-CN"/>
              </w:rPr>
              <w:t>排放情况</w:t>
            </w:r>
          </w:p>
        </w:tc>
        <w:tc>
          <w:tcPr>
            <w:tcW w:w="3153" w:type="dxa"/>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kern w:val="2"/>
                <w:sz w:val="21"/>
                <w:szCs w:val="21"/>
                <w:lang w:eastAsia="zh-CN"/>
              </w:rPr>
            </w:pPr>
            <w:r>
              <w:rPr>
                <w:rFonts w:hint="eastAsia" w:hAnsi="Times New Roman" w:eastAsia="宋体"/>
                <w:b/>
                <w:kern w:val="2"/>
                <w:sz w:val="21"/>
                <w:szCs w:val="21"/>
                <w:lang w:eastAsia="zh-CN"/>
              </w:rPr>
              <w:t>污染防治措施</w:t>
            </w:r>
          </w:p>
        </w:tc>
        <w:tc>
          <w:tcPr>
            <w:tcW w:w="1017" w:type="dxa"/>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kern w:val="2"/>
                <w:sz w:val="21"/>
                <w:szCs w:val="21"/>
                <w:lang w:eastAsia="zh-CN"/>
              </w:rPr>
            </w:pPr>
            <w:r>
              <w:rPr>
                <w:rFonts w:hint="eastAsia" w:hAnsi="Times New Roman" w:eastAsia="宋体"/>
                <w:b/>
                <w:kern w:val="2"/>
                <w:sz w:val="21"/>
                <w:szCs w:val="21"/>
                <w:lang w:eastAsia="zh-CN"/>
              </w:rPr>
              <w:t>排放去向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06"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kern w:val="2"/>
                <w:sz w:val="21"/>
                <w:szCs w:val="21"/>
                <w:lang w:eastAsia="zh-CN"/>
              </w:rPr>
            </w:pPr>
            <w:r>
              <w:rPr>
                <w:rFonts w:hint="eastAsia" w:hAnsi="Times New Roman" w:eastAsia="宋体"/>
                <w:b/>
                <w:kern w:val="2"/>
                <w:sz w:val="21"/>
                <w:szCs w:val="21"/>
                <w:lang w:eastAsia="zh-CN"/>
              </w:rPr>
              <w:t>污染源</w:t>
            </w:r>
          </w:p>
        </w:tc>
        <w:tc>
          <w:tcPr>
            <w:tcW w:w="844"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kern w:val="2"/>
                <w:sz w:val="21"/>
                <w:szCs w:val="21"/>
                <w:lang w:eastAsia="zh-CN"/>
              </w:rPr>
            </w:pPr>
            <w:r>
              <w:rPr>
                <w:rFonts w:hint="eastAsia" w:hAnsi="Times New Roman" w:eastAsia="宋体"/>
                <w:b/>
                <w:kern w:val="2"/>
                <w:sz w:val="21"/>
                <w:szCs w:val="21"/>
                <w:lang w:eastAsia="zh-CN"/>
              </w:rPr>
              <w:t>污染物</w:t>
            </w:r>
          </w:p>
        </w:tc>
        <w:tc>
          <w:tcPr>
            <w:tcW w:w="80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kern w:val="2"/>
                <w:sz w:val="21"/>
                <w:szCs w:val="21"/>
                <w:lang w:eastAsia="zh-CN"/>
              </w:rPr>
            </w:pPr>
            <w:r>
              <w:rPr>
                <w:rFonts w:hint="eastAsia" w:hAnsi="Times New Roman" w:eastAsia="宋体"/>
                <w:b/>
                <w:kern w:val="2"/>
                <w:sz w:val="21"/>
                <w:szCs w:val="21"/>
                <w:lang w:eastAsia="zh-CN"/>
              </w:rPr>
              <w:t>产生量</w:t>
            </w:r>
          </w:p>
          <w:p>
            <w:pPr>
              <w:keepNext w:val="0"/>
              <w:keepLines w:val="0"/>
              <w:suppressLineNumbers w:val="0"/>
              <w:spacing w:before="0" w:beforeAutospacing="0" w:after="0" w:afterAutospacing="0" w:line="240" w:lineRule="exact"/>
              <w:ind w:left="0" w:right="0"/>
              <w:jc w:val="center"/>
              <w:rPr>
                <w:rFonts w:hint="eastAsia" w:hAnsi="Times New Roman" w:eastAsia="宋体"/>
                <w:b/>
                <w:kern w:val="2"/>
                <w:sz w:val="21"/>
                <w:szCs w:val="21"/>
                <w:lang w:eastAsia="zh-CN"/>
              </w:rPr>
            </w:pPr>
            <w:r>
              <w:rPr>
                <w:rFonts w:hint="eastAsia" w:hAnsi="Times New Roman" w:eastAsia="宋体"/>
                <w:b/>
                <w:kern w:val="2"/>
                <w:sz w:val="21"/>
                <w:szCs w:val="21"/>
                <w:lang w:eastAsia="zh-CN"/>
              </w:rPr>
              <w:t>（t/a）</w:t>
            </w:r>
          </w:p>
        </w:tc>
        <w:tc>
          <w:tcPr>
            <w:tcW w:w="91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kern w:val="2"/>
                <w:sz w:val="21"/>
                <w:szCs w:val="21"/>
                <w:lang w:eastAsia="zh-CN"/>
              </w:rPr>
            </w:pPr>
            <w:r>
              <w:rPr>
                <w:rFonts w:hint="eastAsia" w:hAnsi="Times New Roman" w:eastAsia="宋体"/>
                <w:b/>
                <w:kern w:val="2"/>
                <w:sz w:val="21"/>
                <w:szCs w:val="21"/>
                <w:lang w:eastAsia="zh-CN"/>
              </w:rPr>
              <w:t>浓度</w:t>
            </w:r>
          </w:p>
          <w:p>
            <w:pPr>
              <w:keepNext w:val="0"/>
              <w:keepLines w:val="0"/>
              <w:suppressLineNumbers w:val="0"/>
              <w:spacing w:before="0" w:beforeAutospacing="0" w:after="0" w:afterAutospacing="0" w:line="240" w:lineRule="exact"/>
              <w:ind w:left="0" w:right="0"/>
              <w:jc w:val="center"/>
              <w:rPr>
                <w:rFonts w:hint="eastAsia" w:hAnsi="Times New Roman" w:eastAsia="宋体"/>
                <w:b/>
                <w:kern w:val="2"/>
                <w:sz w:val="21"/>
                <w:szCs w:val="21"/>
                <w:lang w:eastAsia="zh-CN"/>
              </w:rPr>
            </w:pPr>
            <w:r>
              <w:rPr>
                <w:rFonts w:hint="eastAsia" w:hAnsi="Times New Roman" w:eastAsia="宋体"/>
                <w:b/>
                <w:kern w:val="2"/>
                <w:sz w:val="21"/>
                <w:szCs w:val="21"/>
                <w:lang w:eastAsia="zh-CN"/>
              </w:rPr>
              <w:t>（mg/L）</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kern w:val="2"/>
                <w:sz w:val="21"/>
                <w:szCs w:val="21"/>
                <w:lang w:eastAsia="zh-CN"/>
              </w:rPr>
            </w:pPr>
            <w:r>
              <w:rPr>
                <w:rFonts w:hint="eastAsia" w:hAnsi="Times New Roman" w:eastAsia="宋体"/>
                <w:b/>
                <w:kern w:val="2"/>
                <w:sz w:val="21"/>
                <w:szCs w:val="21"/>
                <w:lang w:eastAsia="zh-CN"/>
              </w:rPr>
              <w:t>排放量</w:t>
            </w:r>
          </w:p>
          <w:p>
            <w:pPr>
              <w:keepNext w:val="0"/>
              <w:keepLines w:val="0"/>
              <w:suppressLineNumbers w:val="0"/>
              <w:spacing w:before="0" w:beforeAutospacing="0" w:after="0" w:afterAutospacing="0" w:line="240" w:lineRule="exact"/>
              <w:ind w:left="0" w:right="0"/>
              <w:jc w:val="center"/>
              <w:rPr>
                <w:rFonts w:hint="eastAsia" w:hAnsi="Times New Roman" w:eastAsia="宋体"/>
                <w:b/>
                <w:kern w:val="2"/>
                <w:sz w:val="21"/>
                <w:szCs w:val="21"/>
                <w:lang w:eastAsia="zh-CN"/>
              </w:rPr>
            </w:pPr>
            <w:r>
              <w:rPr>
                <w:rFonts w:hint="eastAsia" w:hAnsi="Times New Roman" w:eastAsia="宋体"/>
                <w:b/>
                <w:kern w:val="2"/>
                <w:sz w:val="21"/>
                <w:szCs w:val="21"/>
                <w:lang w:eastAsia="zh-CN"/>
              </w:rPr>
              <w:t>（t/d）</w:t>
            </w:r>
          </w:p>
        </w:tc>
        <w:tc>
          <w:tcPr>
            <w:tcW w:w="9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kern w:val="2"/>
                <w:sz w:val="21"/>
                <w:szCs w:val="21"/>
                <w:lang w:eastAsia="zh-CN"/>
              </w:rPr>
            </w:pPr>
            <w:r>
              <w:rPr>
                <w:rFonts w:hint="eastAsia" w:hAnsi="Times New Roman" w:eastAsia="宋体"/>
                <w:b/>
                <w:kern w:val="2"/>
                <w:sz w:val="21"/>
                <w:szCs w:val="21"/>
                <w:lang w:eastAsia="zh-CN"/>
              </w:rPr>
              <w:t>浓度</w:t>
            </w:r>
          </w:p>
          <w:p>
            <w:pPr>
              <w:keepNext w:val="0"/>
              <w:keepLines w:val="0"/>
              <w:suppressLineNumbers w:val="0"/>
              <w:spacing w:before="0" w:beforeAutospacing="0" w:after="0" w:afterAutospacing="0" w:line="240" w:lineRule="exact"/>
              <w:ind w:left="0" w:right="0"/>
              <w:jc w:val="center"/>
              <w:rPr>
                <w:rFonts w:hint="eastAsia" w:hAnsi="Times New Roman" w:eastAsia="宋体"/>
                <w:b/>
                <w:kern w:val="2"/>
                <w:sz w:val="21"/>
                <w:szCs w:val="21"/>
                <w:lang w:eastAsia="zh-CN"/>
              </w:rPr>
            </w:pPr>
            <w:r>
              <w:rPr>
                <w:rFonts w:hint="eastAsia" w:hAnsi="Times New Roman" w:eastAsia="宋体"/>
                <w:b/>
                <w:kern w:val="2"/>
                <w:sz w:val="21"/>
                <w:szCs w:val="21"/>
                <w:lang w:eastAsia="zh-CN"/>
              </w:rPr>
              <w:t>（mg/L）</w:t>
            </w:r>
          </w:p>
        </w:tc>
        <w:tc>
          <w:tcPr>
            <w:tcW w:w="3153"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
                <w:szCs w:val="2"/>
              </w:rPr>
            </w:pPr>
          </w:p>
        </w:tc>
        <w:tc>
          <w:tcPr>
            <w:tcW w:w="1017"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
                <w:szCs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06" w:type="dxa"/>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p>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矿井排水</w:t>
            </w:r>
          </w:p>
        </w:tc>
        <w:tc>
          <w:tcPr>
            <w:tcW w:w="844"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水量</w:t>
            </w:r>
          </w:p>
        </w:tc>
        <w:tc>
          <w:tcPr>
            <w:tcW w:w="1719" w:type="dxa"/>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129.56万</w:t>
            </w:r>
          </w:p>
        </w:tc>
        <w:tc>
          <w:tcPr>
            <w:tcW w:w="1750" w:type="dxa"/>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110.16万</w:t>
            </w:r>
          </w:p>
        </w:tc>
        <w:tc>
          <w:tcPr>
            <w:tcW w:w="3153" w:type="dxa"/>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2"/>
              </w:rPr>
            </w:pPr>
            <w:r>
              <w:rPr>
                <w:rFonts w:hint="eastAsia" w:hAnsi="Times New Roman" w:eastAsia="宋体"/>
                <w:bCs/>
                <w:kern w:val="2"/>
                <w:sz w:val="21"/>
                <w:szCs w:val="21"/>
                <w:lang w:eastAsia="zh-CN"/>
              </w:rPr>
              <w:t>采用2套台型号为YWS-200的矿井水处理设备（处理能力为400m</w:t>
            </w:r>
            <w:r>
              <w:rPr>
                <w:rFonts w:hint="eastAsia" w:hAnsi="Times New Roman" w:eastAsia="宋体"/>
                <w:bCs/>
                <w:kern w:val="2"/>
                <w:sz w:val="21"/>
                <w:szCs w:val="21"/>
                <w:vertAlign w:val="superscript"/>
                <w:lang w:eastAsia="zh-CN"/>
              </w:rPr>
              <w:t>3</w:t>
            </w:r>
            <w:r>
              <w:rPr>
                <w:rFonts w:hint="eastAsia" w:hAnsi="Times New Roman" w:eastAsia="宋体"/>
                <w:bCs/>
                <w:kern w:val="2"/>
                <w:sz w:val="21"/>
                <w:szCs w:val="21"/>
                <w:lang w:eastAsia="zh-CN"/>
              </w:rPr>
              <w:t>/h），</w:t>
            </w:r>
            <w:r>
              <w:rPr>
                <w:rFonts w:hint="eastAsia" w:hAnsi="Times New Roman" w:eastAsia="宋体"/>
                <w:kern w:val="2"/>
                <w:sz w:val="21"/>
                <w:szCs w:val="21"/>
                <w:lang w:eastAsia="zh-CN"/>
              </w:rPr>
              <w:t>采用（隔油+预沉调节+混凝沉淀+斜管沉淀+石英砂过滤+消毒）处理</w:t>
            </w:r>
            <w:r>
              <w:rPr>
                <w:rFonts w:hint="eastAsia" w:hAnsi="Times New Roman" w:eastAsia="宋体"/>
                <w:bCs/>
                <w:kern w:val="2"/>
                <w:sz w:val="21"/>
                <w:szCs w:val="21"/>
                <w:lang w:eastAsia="zh-CN"/>
              </w:rPr>
              <w:t>。处理后部分回用于为井下降尘及地面生产用水等，其余部分通过1.5km排水管道引至天生镇王一庙水源保护区下游河段（新宁河）排放。</w:t>
            </w:r>
          </w:p>
        </w:tc>
        <w:tc>
          <w:tcPr>
            <w:tcW w:w="1017" w:type="dxa"/>
            <w:vMerge w:val="restart"/>
            <w:vAlign w:val="center"/>
          </w:tcPr>
          <w:p>
            <w:pPr>
              <w:pStyle w:val="44"/>
              <w:keepNext w:val="0"/>
              <w:keepLines w:val="0"/>
              <w:suppressLineNumbers w:val="0"/>
              <w:spacing w:before="6" w:beforeAutospacing="0" w:after="0" w:afterAutospacing="0" w:line="240" w:lineRule="exact"/>
              <w:ind w:left="0" w:right="0"/>
              <w:jc w:val="center"/>
              <w:rPr>
                <w:rFonts w:hint="eastAsia" w:hAnsi="Times New Roman" w:eastAsia="宋体"/>
                <w:b/>
                <w:kern w:val="2"/>
                <w:sz w:val="22"/>
                <w:szCs w:val="22"/>
              </w:rPr>
            </w:pPr>
          </w:p>
          <w:p>
            <w:pPr>
              <w:pStyle w:val="44"/>
              <w:keepNext w:val="0"/>
              <w:keepLines w:val="0"/>
              <w:suppressLineNumbers w:val="0"/>
              <w:spacing w:before="0" w:beforeAutospacing="0" w:after="0" w:afterAutospacing="0" w:line="240" w:lineRule="exact"/>
              <w:ind w:left="125" w:right="115" w:firstLine="2"/>
              <w:jc w:val="center"/>
              <w:rPr>
                <w:rFonts w:hint="eastAsia" w:hAnsi="Times New Roman" w:eastAsia="宋体"/>
                <w:kern w:val="2"/>
                <w:sz w:val="21"/>
                <w:szCs w:val="22"/>
              </w:rPr>
            </w:pPr>
            <w:r>
              <w:rPr>
                <w:rFonts w:hint="eastAsia" w:hAnsi="Times New Roman" w:eastAsia="宋体"/>
                <w:bCs/>
                <w:kern w:val="2"/>
                <w:sz w:val="21"/>
                <w:szCs w:val="21"/>
                <w:lang w:eastAsia="zh-CN"/>
              </w:rPr>
              <w:t>部分回用、剩余排入新宁河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06"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p>
        </w:tc>
        <w:tc>
          <w:tcPr>
            <w:tcW w:w="844"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SS</w:t>
            </w:r>
          </w:p>
        </w:tc>
        <w:tc>
          <w:tcPr>
            <w:tcW w:w="80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194.34</w:t>
            </w:r>
          </w:p>
        </w:tc>
        <w:tc>
          <w:tcPr>
            <w:tcW w:w="91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150</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23.13</w:t>
            </w:r>
          </w:p>
        </w:tc>
        <w:tc>
          <w:tcPr>
            <w:tcW w:w="9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21</w:t>
            </w:r>
          </w:p>
        </w:tc>
        <w:tc>
          <w:tcPr>
            <w:tcW w:w="3153"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
                <w:szCs w:val="2"/>
              </w:rPr>
            </w:pPr>
          </w:p>
        </w:tc>
        <w:tc>
          <w:tcPr>
            <w:tcW w:w="1017"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
                <w:szCs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06"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p>
        </w:tc>
        <w:tc>
          <w:tcPr>
            <w:tcW w:w="844"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CODcr</w:t>
            </w:r>
          </w:p>
        </w:tc>
        <w:tc>
          <w:tcPr>
            <w:tcW w:w="80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124.38</w:t>
            </w:r>
          </w:p>
        </w:tc>
        <w:tc>
          <w:tcPr>
            <w:tcW w:w="91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96</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13.22</w:t>
            </w:r>
          </w:p>
        </w:tc>
        <w:tc>
          <w:tcPr>
            <w:tcW w:w="9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12</w:t>
            </w:r>
          </w:p>
        </w:tc>
        <w:tc>
          <w:tcPr>
            <w:tcW w:w="3153"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
                <w:szCs w:val="2"/>
              </w:rPr>
            </w:pPr>
          </w:p>
        </w:tc>
        <w:tc>
          <w:tcPr>
            <w:tcW w:w="1017"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
                <w:szCs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06"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p>
        </w:tc>
        <w:tc>
          <w:tcPr>
            <w:tcW w:w="844"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kern w:val="2"/>
                <w:sz w:val="21"/>
                <w:szCs w:val="21"/>
              </w:rPr>
              <w:t>氨氮</w:t>
            </w:r>
          </w:p>
        </w:tc>
        <w:tc>
          <w:tcPr>
            <w:tcW w:w="80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1.36</w:t>
            </w:r>
          </w:p>
        </w:tc>
        <w:tc>
          <w:tcPr>
            <w:tcW w:w="91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1.05</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0.14</w:t>
            </w:r>
          </w:p>
        </w:tc>
        <w:tc>
          <w:tcPr>
            <w:tcW w:w="9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0.133</w:t>
            </w:r>
          </w:p>
        </w:tc>
        <w:tc>
          <w:tcPr>
            <w:tcW w:w="3153"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
                <w:szCs w:val="2"/>
              </w:rPr>
            </w:pPr>
          </w:p>
        </w:tc>
        <w:tc>
          <w:tcPr>
            <w:tcW w:w="1017"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
                <w:szCs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06"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p>
        </w:tc>
        <w:tc>
          <w:tcPr>
            <w:tcW w:w="844"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石油类</w:t>
            </w:r>
          </w:p>
        </w:tc>
        <w:tc>
          <w:tcPr>
            <w:tcW w:w="80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0.22</w:t>
            </w:r>
          </w:p>
        </w:tc>
        <w:tc>
          <w:tcPr>
            <w:tcW w:w="91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0.17</w:t>
            </w:r>
          </w:p>
        </w:tc>
        <w:tc>
          <w:tcPr>
            <w:tcW w:w="7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0.006</w:t>
            </w:r>
          </w:p>
        </w:tc>
        <w:tc>
          <w:tcPr>
            <w:tcW w:w="9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0.005</w:t>
            </w:r>
          </w:p>
        </w:tc>
        <w:tc>
          <w:tcPr>
            <w:tcW w:w="3153"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
                <w:szCs w:val="2"/>
              </w:rPr>
            </w:pPr>
          </w:p>
        </w:tc>
        <w:tc>
          <w:tcPr>
            <w:tcW w:w="1017"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
                <w:szCs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06" w:type="dxa"/>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生活污水</w:t>
            </w:r>
          </w:p>
        </w:tc>
        <w:tc>
          <w:tcPr>
            <w:tcW w:w="844"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水量</w:t>
            </w:r>
          </w:p>
        </w:tc>
        <w:tc>
          <w:tcPr>
            <w:tcW w:w="1719" w:type="dxa"/>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2.9446万</w:t>
            </w:r>
          </w:p>
        </w:tc>
        <w:tc>
          <w:tcPr>
            <w:tcW w:w="1750" w:type="dxa"/>
            <w:gridSpan w:val="2"/>
            <w:vAlign w:val="center"/>
          </w:tcPr>
          <w:p>
            <w:pPr>
              <w:pStyle w:val="44"/>
              <w:keepNext w:val="0"/>
              <w:keepLines w:val="0"/>
              <w:suppressLineNumbers w:val="0"/>
              <w:spacing w:before="0" w:beforeAutospacing="0" w:after="0" w:afterAutospacing="0" w:line="200" w:lineRule="exact"/>
              <w:ind w:left="0" w:right="0"/>
              <w:jc w:val="center"/>
              <w:rPr>
                <w:rFonts w:hint="eastAsia" w:hAnsi="Times New Roman" w:eastAsia="宋体"/>
                <w:bCs/>
                <w:kern w:val="2"/>
                <w:sz w:val="21"/>
                <w:szCs w:val="21"/>
                <w:highlight w:val="yellow"/>
                <w:lang w:eastAsia="zh-CN"/>
              </w:rPr>
            </w:pPr>
            <w:r>
              <w:rPr>
                <w:rFonts w:hint="eastAsia" w:hAnsi="Times New Roman" w:eastAsia="宋体"/>
                <w:kern w:val="2"/>
                <w:sz w:val="21"/>
                <w:szCs w:val="21"/>
                <w:lang w:eastAsia="zh-CN"/>
              </w:rPr>
              <w:t>/</w:t>
            </w:r>
          </w:p>
        </w:tc>
        <w:tc>
          <w:tcPr>
            <w:tcW w:w="3153" w:type="dxa"/>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kern w:val="2"/>
                <w:sz w:val="21"/>
                <w:szCs w:val="21"/>
                <w:lang w:eastAsia="zh-CN"/>
              </w:rPr>
              <w:t>食堂废水和洗浴废水预处理后汇入污水处理一体化设施，最终回用于地面防尘用水、绿化用水等不外排，办公生活用水和职工宿舍用水进入化粪池（容积约422.4m</w:t>
            </w:r>
            <w:r>
              <w:rPr>
                <w:rFonts w:hint="eastAsia" w:hAnsi="Times New Roman" w:eastAsia="宋体"/>
                <w:kern w:val="2"/>
                <w:sz w:val="21"/>
                <w:szCs w:val="21"/>
                <w:vertAlign w:val="superscript"/>
                <w:lang w:eastAsia="zh-CN"/>
              </w:rPr>
              <w:t>3</w:t>
            </w:r>
            <w:r>
              <w:rPr>
                <w:rFonts w:hint="eastAsia" w:hAnsi="Times New Roman" w:eastAsia="宋体"/>
                <w:kern w:val="2"/>
                <w:sz w:val="21"/>
                <w:szCs w:val="21"/>
                <w:lang w:eastAsia="zh-CN"/>
              </w:rPr>
              <w:t>）处理后，由达州市鑫通管道疏通有限公司定期清运处置</w:t>
            </w:r>
            <w:r>
              <w:rPr>
                <w:rFonts w:hint="eastAsia" w:hAnsi="Times New Roman" w:eastAsia="宋体"/>
                <w:bCs/>
                <w:kern w:val="2"/>
                <w:sz w:val="21"/>
                <w:szCs w:val="21"/>
                <w:lang w:eastAsia="zh-CN"/>
              </w:rPr>
              <w:t>。</w:t>
            </w:r>
          </w:p>
        </w:tc>
        <w:tc>
          <w:tcPr>
            <w:tcW w:w="1017" w:type="dxa"/>
            <w:vMerge w:val="restart"/>
            <w:vAlign w:val="center"/>
          </w:tcPr>
          <w:p>
            <w:pPr>
              <w:pStyle w:val="44"/>
              <w:keepNext w:val="0"/>
              <w:keepLines w:val="0"/>
              <w:suppressLineNumbers w:val="0"/>
              <w:spacing w:before="0" w:beforeAutospacing="0" w:after="0" w:afterAutospacing="0" w:line="240" w:lineRule="exact"/>
              <w:ind w:left="125" w:right="115" w:firstLine="2"/>
              <w:jc w:val="center"/>
              <w:rPr>
                <w:rFonts w:hint="eastAsia" w:hAnsi="Times New Roman" w:eastAsia="宋体"/>
                <w:kern w:val="2"/>
                <w:sz w:val="2"/>
                <w:szCs w:val="2"/>
              </w:rPr>
            </w:pPr>
            <w:r>
              <w:rPr>
                <w:rFonts w:hint="eastAsia" w:hAnsi="Times New Roman" w:eastAsia="宋体"/>
                <w:bCs/>
                <w:kern w:val="2"/>
                <w:sz w:val="21"/>
                <w:szCs w:val="21"/>
                <w:lang w:eastAsia="zh-CN"/>
              </w:rPr>
              <w:t>全部回用，不外排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06"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p>
        </w:tc>
        <w:tc>
          <w:tcPr>
            <w:tcW w:w="844" w:type="dxa"/>
            <w:vAlign w:val="center"/>
          </w:tcPr>
          <w:p>
            <w:pPr>
              <w:pStyle w:val="44"/>
              <w:keepNext w:val="0"/>
              <w:keepLines w:val="0"/>
              <w:suppressLineNumbers w:val="0"/>
              <w:spacing w:before="34" w:beforeAutospacing="0" w:after="0" w:afterAutospacing="0" w:line="240" w:lineRule="exact"/>
              <w:ind w:left="22" w:right="12"/>
              <w:jc w:val="center"/>
              <w:rPr>
                <w:rFonts w:hint="eastAsia" w:hAnsi="Times New Roman" w:eastAsia="宋体"/>
                <w:bCs/>
                <w:kern w:val="2"/>
                <w:sz w:val="21"/>
                <w:szCs w:val="21"/>
                <w:lang w:eastAsia="zh-CN"/>
              </w:rPr>
            </w:pPr>
            <w:r>
              <w:rPr>
                <w:rFonts w:hint="eastAsia" w:hAnsi="Times New Roman" w:eastAsia="宋体"/>
                <w:kern w:val="2"/>
                <w:sz w:val="21"/>
                <w:szCs w:val="22"/>
              </w:rPr>
              <w:t>SS</w:t>
            </w:r>
          </w:p>
        </w:tc>
        <w:tc>
          <w:tcPr>
            <w:tcW w:w="807" w:type="dxa"/>
            <w:vAlign w:val="center"/>
          </w:tcPr>
          <w:p>
            <w:pPr>
              <w:pStyle w:val="44"/>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4.00</w:t>
            </w:r>
          </w:p>
        </w:tc>
        <w:tc>
          <w:tcPr>
            <w:tcW w:w="912" w:type="dxa"/>
            <w:vAlign w:val="center"/>
          </w:tcPr>
          <w:p>
            <w:pPr>
              <w:pStyle w:val="44"/>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136</w:t>
            </w:r>
          </w:p>
        </w:tc>
        <w:tc>
          <w:tcPr>
            <w:tcW w:w="775" w:type="dxa"/>
            <w:vAlign w:val="center"/>
          </w:tcPr>
          <w:p>
            <w:pPr>
              <w:keepNext w:val="0"/>
              <w:keepLines w:val="0"/>
              <w:widowControl/>
              <w:suppressLineNumbers w:val="0"/>
              <w:spacing w:before="0" w:beforeAutospacing="0" w:after="0" w:afterAutospacing="0" w:line="200" w:lineRule="exact"/>
              <w:ind w:left="0" w:right="0"/>
              <w:jc w:val="center"/>
              <w:rPr>
                <w:rFonts w:hint="eastAsia" w:hAnsi="Times New Roman" w:eastAsia="宋体"/>
                <w:bCs/>
                <w:kern w:val="2"/>
                <w:sz w:val="21"/>
                <w:szCs w:val="21"/>
                <w:highlight w:val="yellow"/>
                <w:lang w:eastAsia="zh-CN"/>
              </w:rPr>
            </w:pPr>
            <w:r>
              <w:rPr>
                <w:rFonts w:hint="eastAsia" w:hAnsi="Times New Roman" w:eastAsia="宋体"/>
                <w:kern w:val="2"/>
                <w:sz w:val="21"/>
                <w:szCs w:val="21"/>
                <w:lang w:eastAsia="zh-CN"/>
              </w:rPr>
              <w:t>/</w:t>
            </w:r>
          </w:p>
        </w:tc>
        <w:tc>
          <w:tcPr>
            <w:tcW w:w="975" w:type="dxa"/>
            <w:vAlign w:val="center"/>
          </w:tcPr>
          <w:p>
            <w:pPr>
              <w:keepNext w:val="0"/>
              <w:keepLines w:val="0"/>
              <w:suppressLineNumbers w:val="0"/>
              <w:spacing w:before="0" w:beforeAutospacing="0" w:after="0" w:afterAutospacing="0" w:line="200" w:lineRule="exact"/>
              <w:ind w:left="0" w:right="191"/>
              <w:jc w:val="center"/>
              <w:rPr>
                <w:rFonts w:hint="eastAsia" w:hAnsi="Times New Roman" w:eastAsia="宋体"/>
                <w:bCs/>
                <w:kern w:val="2"/>
                <w:sz w:val="21"/>
                <w:szCs w:val="21"/>
                <w:highlight w:val="yellow"/>
                <w:lang w:eastAsia="zh-CN"/>
              </w:rPr>
            </w:pPr>
            <w:r>
              <w:rPr>
                <w:rFonts w:hint="eastAsia" w:hAnsi="Times New Roman" w:eastAsia="宋体"/>
                <w:kern w:val="2"/>
                <w:sz w:val="21"/>
                <w:szCs w:val="21"/>
                <w:lang w:eastAsia="zh-CN"/>
              </w:rPr>
              <w:t>/</w:t>
            </w:r>
          </w:p>
        </w:tc>
        <w:tc>
          <w:tcPr>
            <w:tcW w:w="3153"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
                <w:szCs w:val="2"/>
              </w:rPr>
            </w:pPr>
          </w:p>
        </w:tc>
        <w:tc>
          <w:tcPr>
            <w:tcW w:w="1017"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
                <w:szCs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06"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p>
        </w:tc>
        <w:tc>
          <w:tcPr>
            <w:tcW w:w="844" w:type="dxa"/>
            <w:vAlign w:val="center"/>
          </w:tcPr>
          <w:p>
            <w:pPr>
              <w:pStyle w:val="44"/>
              <w:keepNext w:val="0"/>
              <w:keepLines w:val="0"/>
              <w:suppressLineNumbers w:val="0"/>
              <w:spacing w:before="32" w:beforeAutospacing="0" w:after="0" w:afterAutospacing="0" w:line="240" w:lineRule="exact"/>
              <w:ind w:left="0" w:right="108"/>
              <w:jc w:val="center"/>
              <w:rPr>
                <w:rFonts w:hint="eastAsia" w:hAnsi="Times New Roman" w:eastAsia="宋体"/>
                <w:bCs/>
                <w:kern w:val="2"/>
                <w:sz w:val="21"/>
                <w:szCs w:val="21"/>
                <w:lang w:eastAsia="zh-CN"/>
              </w:rPr>
            </w:pPr>
            <w:r>
              <w:rPr>
                <w:rFonts w:hint="eastAsia" w:hAnsi="Times New Roman" w:eastAsia="宋体"/>
                <w:w w:val="95"/>
                <w:kern w:val="2"/>
                <w:sz w:val="21"/>
                <w:szCs w:val="22"/>
              </w:rPr>
              <w:t>CODcr</w:t>
            </w:r>
          </w:p>
        </w:tc>
        <w:tc>
          <w:tcPr>
            <w:tcW w:w="807" w:type="dxa"/>
            <w:vAlign w:val="center"/>
          </w:tcPr>
          <w:p>
            <w:pPr>
              <w:pStyle w:val="44"/>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4.86</w:t>
            </w:r>
          </w:p>
        </w:tc>
        <w:tc>
          <w:tcPr>
            <w:tcW w:w="912" w:type="dxa"/>
            <w:vAlign w:val="center"/>
          </w:tcPr>
          <w:p>
            <w:pPr>
              <w:pStyle w:val="44"/>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165</w:t>
            </w:r>
          </w:p>
        </w:tc>
        <w:tc>
          <w:tcPr>
            <w:tcW w:w="775" w:type="dxa"/>
            <w:vAlign w:val="center"/>
          </w:tcPr>
          <w:p>
            <w:pPr>
              <w:keepNext w:val="0"/>
              <w:keepLines w:val="0"/>
              <w:widowControl/>
              <w:suppressLineNumbers w:val="0"/>
              <w:spacing w:before="0" w:beforeAutospacing="0" w:after="0" w:afterAutospacing="0" w:line="200" w:lineRule="exact"/>
              <w:ind w:left="0" w:right="0"/>
              <w:jc w:val="center"/>
              <w:rPr>
                <w:rFonts w:hint="eastAsia" w:hAnsi="Times New Roman" w:eastAsia="宋体"/>
                <w:bCs/>
                <w:kern w:val="2"/>
                <w:sz w:val="21"/>
                <w:szCs w:val="21"/>
                <w:highlight w:val="yellow"/>
                <w:lang w:eastAsia="zh-CN"/>
              </w:rPr>
            </w:pPr>
            <w:r>
              <w:rPr>
                <w:rFonts w:hint="eastAsia" w:hAnsi="Times New Roman" w:eastAsia="宋体"/>
                <w:kern w:val="2"/>
                <w:sz w:val="21"/>
                <w:szCs w:val="21"/>
                <w:lang w:eastAsia="zh-CN"/>
              </w:rPr>
              <w:t>/</w:t>
            </w:r>
          </w:p>
        </w:tc>
        <w:tc>
          <w:tcPr>
            <w:tcW w:w="975" w:type="dxa"/>
            <w:vAlign w:val="center"/>
          </w:tcPr>
          <w:p>
            <w:pPr>
              <w:keepNext w:val="0"/>
              <w:keepLines w:val="0"/>
              <w:suppressLineNumbers w:val="0"/>
              <w:spacing w:before="0" w:beforeAutospacing="0" w:after="0" w:afterAutospacing="0" w:line="200" w:lineRule="exact"/>
              <w:ind w:left="0" w:right="191"/>
              <w:jc w:val="center"/>
              <w:rPr>
                <w:rFonts w:hint="eastAsia" w:hAnsi="Times New Roman" w:eastAsia="宋体"/>
                <w:bCs/>
                <w:kern w:val="2"/>
                <w:sz w:val="21"/>
                <w:szCs w:val="21"/>
                <w:highlight w:val="yellow"/>
                <w:lang w:eastAsia="zh-CN"/>
              </w:rPr>
            </w:pPr>
            <w:r>
              <w:rPr>
                <w:rFonts w:hint="eastAsia" w:hAnsi="Times New Roman" w:eastAsia="宋体"/>
                <w:kern w:val="2"/>
                <w:sz w:val="21"/>
                <w:szCs w:val="21"/>
                <w:lang w:eastAsia="zh-CN"/>
              </w:rPr>
              <w:t>/</w:t>
            </w:r>
          </w:p>
        </w:tc>
        <w:tc>
          <w:tcPr>
            <w:tcW w:w="3153"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
                <w:szCs w:val="2"/>
              </w:rPr>
            </w:pPr>
          </w:p>
        </w:tc>
        <w:tc>
          <w:tcPr>
            <w:tcW w:w="1017"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
                <w:szCs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06"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p>
        </w:tc>
        <w:tc>
          <w:tcPr>
            <w:tcW w:w="844" w:type="dxa"/>
            <w:vAlign w:val="center"/>
          </w:tcPr>
          <w:p>
            <w:pPr>
              <w:pStyle w:val="44"/>
              <w:keepNext w:val="0"/>
              <w:keepLines w:val="0"/>
              <w:suppressLineNumbers w:val="0"/>
              <w:spacing w:before="29" w:beforeAutospacing="0" w:after="0" w:afterAutospacing="0" w:line="240" w:lineRule="exact"/>
              <w:ind w:left="0" w:right="157"/>
              <w:jc w:val="center"/>
              <w:rPr>
                <w:rFonts w:hint="eastAsia" w:hAnsi="Times New Roman" w:eastAsia="宋体"/>
                <w:bCs/>
                <w:kern w:val="2"/>
                <w:sz w:val="21"/>
                <w:szCs w:val="21"/>
                <w:lang w:eastAsia="zh-CN"/>
              </w:rPr>
            </w:pPr>
            <w:r>
              <w:rPr>
                <w:rFonts w:hint="eastAsia" w:hAnsi="Times New Roman" w:eastAsia="宋体"/>
                <w:kern w:val="2"/>
                <w:position w:val="2"/>
                <w:sz w:val="21"/>
                <w:szCs w:val="22"/>
              </w:rPr>
              <w:t>BOD</w:t>
            </w:r>
            <w:r>
              <w:rPr>
                <w:rFonts w:hint="eastAsia" w:hAnsi="Times New Roman" w:eastAsia="宋体"/>
                <w:kern w:val="2"/>
                <w:position w:val="2"/>
                <w:sz w:val="21"/>
                <w:szCs w:val="22"/>
                <w:vertAlign w:val="subscript"/>
              </w:rPr>
              <w:t>5</w:t>
            </w:r>
          </w:p>
        </w:tc>
        <w:tc>
          <w:tcPr>
            <w:tcW w:w="807" w:type="dxa"/>
            <w:vAlign w:val="center"/>
          </w:tcPr>
          <w:p>
            <w:pPr>
              <w:pStyle w:val="44"/>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2.74</w:t>
            </w:r>
          </w:p>
        </w:tc>
        <w:tc>
          <w:tcPr>
            <w:tcW w:w="912" w:type="dxa"/>
            <w:vAlign w:val="center"/>
          </w:tcPr>
          <w:p>
            <w:pPr>
              <w:pStyle w:val="44"/>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93.3</w:t>
            </w:r>
          </w:p>
        </w:tc>
        <w:tc>
          <w:tcPr>
            <w:tcW w:w="775" w:type="dxa"/>
            <w:vAlign w:val="center"/>
          </w:tcPr>
          <w:p>
            <w:pPr>
              <w:keepNext w:val="0"/>
              <w:keepLines w:val="0"/>
              <w:widowControl/>
              <w:suppressLineNumbers w:val="0"/>
              <w:spacing w:before="0" w:beforeAutospacing="0" w:after="0" w:afterAutospacing="0" w:line="200" w:lineRule="exact"/>
              <w:ind w:left="0" w:right="0"/>
              <w:jc w:val="center"/>
              <w:rPr>
                <w:rFonts w:hint="eastAsia" w:hAnsi="Times New Roman" w:eastAsia="宋体"/>
                <w:bCs/>
                <w:kern w:val="2"/>
                <w:sz w:val="21"/>
                <w:szCs w:val="21"/>
                <w:highlight w:val="yellow"/>
                <w:lang w:eastAsia="zh-CN"/>
              </w:rPr>
            </w:pPr>
            <w:r>
              <w:rPr>
                <w:rFonts w:hint="eastAsia" w:hAnsi="Times New Roman" w:eastAsia="宋体"/>
                <w:kern w:val="2"/>
                <w:sz w:val="21"/>
                <w:szCs w:val="21"/>
                <w:lang w:eastAsia="zh-CN"/>
              </w:rPr>
              <w:t>/</w:t>
            </w:r>
          </w:p>
        </w:tc>
        <w:tc>
          <w:tcPr>
            <w:tcW w:w="975" w:type="dxa"/>
            <w:vAlign w:val="center"/>
          </w:tcPr>
          <w:p>
            <w:pPr>
              <w:keepNext w:val="0"/>
              <w:keepLines w:val="0"/>
              <w:suppressLineNumbers w:val="0"/>
              <w:spacing w:before="0" w:beforeAutospacing="0" w:after="0" w:afterAutospacing="0" w:line="200" w:lineRule="exact"/>
              <w:ind w:left="0" w:right="191"/>
              <w:jc w:val="center"/>
              <w:rPr>
                <w:rFonts w:hint="eastAsia" w:hAnsi="Times New Roman" w:eastAsia="宋体"/>
                <w:bCs/>
                <w:kern w:val="2"/>
                <w:sz w:val="21"/>
                <w:szCs w:val="21"/>
                <w:highlight w:val="yellow"/>
                <w:lang w:eastAsia="zh-CN"/>
              </w:rPr>
            </w:pPr>
            <w:r>
              <w:rPr>
                <w:rFonts w:hint="eastAsia" w:hAnsi="Times New Roman" w:eastAsia="宋体"/>
                <w:kern w:val="2"/>
                <w:sz w:val="21"/>
                <w:szCs w:val="21"/>
                <w:lang w:eastAsia="zh-CN"/>
              </w:rPr>
              <w:t>/</w:t>
            </w:r>
          </w:p>
        </w:tc>
        <w:tc>
          <w:tcPr>
            <w:tcW w:w="3153"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
                <w:szCs w:val="2"/>
              </w:rPr>
            </w:pPr>
          </w:p>
        </w:tc>
        <w:tc>
          <w:tcPr>
            <w:tcW w:w="1017"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
                <w:szCs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06"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p>
        </w:tc>
        <w:tc>
          <w:tcPr>
            <w:tcW w:w="844" w:type="dxa"/>
            <w:vAlign w:val="center"/>
          </w:tcPr>
          <w:p>
            <w:pPr>
              <w:pStyle w:val="44"/>
              <w:keepNext w:val="0"/>
              <w:keepLines w:val="0"/>
              <w:suppressLineNumbers w:val="0"/>
              <w:spacing w:before="34" w:beforeAutospacing="0" w:after="0" w:afterAutospacing="0" w:line="240" w:lineRule="exact"/>
              <w:ind w:left="22" w:right="12"/>
              <w:jc w:val="center"/>
              <w:rPr>
                <w:rFonts w:hint="eastAsia" w:hAnsi="Times New Roman" w:eastAsia="宋体"/>
                <w:kern w:val="2"/>
                <w:sz w:val="21"/>
                <w:szCs w:val="22"/>
                <w:lang w:eastAsia="zh-CN"/>
              </w:rPr>
            </w:pPr>
            <w:r>
              <w:rPr>
                <w:rFonts w:hint="eastAsia" w:hAnsi="Times New Roman" w:eastAsia="宋体"/>
                <w:kern w:val="2"/>
                <w:sz w:val="21"/>
                <w:szCs w:val="21"/>
              </w:rPr>
              <w:t>氨氮</w:t>
            </w:r>
          </w:p>
        </w:tc>
        <w:tc>
          <w:tcPr>
            <w:tcW w:w="807" w:type="dxa"/>
            <w:vAlign w:val="center"/>
          </w:tcPr>
          <w:p>
            <w:pPr>
              <w:pStyle w:val="44"/>
              <w:keepNext w:val="0"/>
              <w:keepLines w:val="0"/>
              <w:suppressLineNumbers w:val="0"/>
              <w:spacing w:before="34" w:beforeAutospacing="0" w:after="0" w:afterAutospacing="0" w:line="240" w:lineRule="exact"/>
              <w:ind w:left="22" w:right="12"/>
              <w:jc w:val="center"/>
              <w:rPr>
                <w:rFonts w:hint="eastAsia" w:hAnsi="Times New Roman" w:eastAsia="宋体"/>
                <w:kern w:val="2"/>
                <w:sz w:val="21"/>
                <w:szCs w:val="22"/>
                <w:lang w:eastAsia="zh-CN"/>
              </w:rPr>
            </w:pPr>
            <w:r>
              <w:rPr>
                <w:rFonts w:hint="eastAsia" w:hAnsi="Times New Roman" w:eastAsia="宋体"/>
                <w:kern w:val="2"/>
                <w:sz w:val="21"/>
                <w:szCs w:val="22"/>
                <w:lang w:eastAsia="zh-CN"/>
              </w:rPr>
              <w:t>0.79</w:t>
            </w:r>
          </w:p>
        </w:tc>
        <w:tc>
          <w:tcPr>
            <w:tcW w:w="912" w:type="dxa"/>
            <w:vAlign w:val="center"/>
          </w:tcPr>
          <w:p>
            <w:pPr>
              <w:pStyle w:val="44"/>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26.8</w:t>
            </w:r>
          </w:p>
        </w:tc>
        <w:tc>
          <w:tcPr>
            <w:tcW w:w="775" w:type="dxa"/>
            <w:vAlign w:val="center"/>
          </w:tcPr>
          <w:p>
            <w:pPr>
              <w:keepNext w:val="0"/>
              <w:keepLines w:val="0"/>
              <w:widowControl/>
              <w:suppressLineNumbers w:val="0"/>
              <w:spacing w:before="0" w:beforeAutospacing="0" w:after="0" w:afterAutospacing="0" w:line="200" w:lineRule="exact"/>
              <w:ind w:left="0" w:right="0"/>
              <w:jc w:val="center"/>
              <w:rPr>
                <w:rFonts w:hint="eastAsia" w:hAnsi="Times New Roman" w:eastAsia="宋体"/>
                <w:bCs/>
                <w:kern w:val="2"/>
                <w:sz w:val="21"/>
                <w:szCs w:val="21"/>
                <w:highlight w:val="yellow"/>
                <w:lang w:eastAsia="zh-CN"/>
              </w:rPr>
            </w:pPr>
            <w:r>
              <w:rPr>
                <w:rFonts w:hint="eastAsia" w:hAnsi="Times New Roman" w:eastAsia="宋体"/>
                <w:kern w:val="2"/>
                <w:sz w:val="21"/>
                <w:szCs w:val="21"/>
                <w:lang w:eastAsia="zh-CN"/>
              </w:rPr>
              <w:t>/</w:t>
            </w:r>
          </w:p>
        </w:tc>
        <w:tc>
          <w:tcPr>
            <w:tcW w:w="975" w:type="dxa"/>
            <w:vAlign w:val="center"/>
          </w:tcPr>
          <w:p>
            <w:pPr>
              <w:keepNext w:val="0"/>
              <w:keepLines w:val="0"/>
              <w:suppressLineNumbers w:val="0"/>
              <w:spacing w:before="0" w:beforeAutospacing="0" w:after="0" w:afterAutospacing="0" w:line="200" w:lineRule="exact"/>
              <w:ind w:left="0" w:right="0"/>
              <w:jc w:val="center"/>
              <w:rPr>
                <w:rFonts w:hint="eastAsia" w:hAnsi="Times New Roman" w:eastAsia="宋体"/>
                <w:bCs/>
                <w:kern w:val="2"/>
                <w:sz w:val="21"/>
                <w:szCs w:val="21"/>
                <w:highlight w:val="yellow"/>
                <w:lang w:eastAsia="zh-CN"/>
              </w:rPr>
            </w:pPr>
            <w:r>
              <w:rPr>
                <w:rFonts w:hint="eastAsia" w:hAnsi="Times New Roman" w:eastAsia="宋体"/>
                <w:kern w:val="2"/>
                <w:sz w:val="21"/>
                <w:szCs w:val="21"/>
                <w:lang w:eastAsia="zh-CN"/>
              </w:rPr>
              <w:t>/</w:t>
            </w:r>
          </w:p>
        </w:tc>
        <w:tc>
          <w:tcPr>
            <w:tcW w:w="3153"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
                <w:szCs w:val="2"/>
              </w:rPr>
            </w:pPr>
          </w:p>
        </w:tc>
        <w:tc>
          <w:tcPr>
            <w:tcW w:w="1017"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
                <w:szCs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10" w:type="dxa"/>
            <w:vAlign w:val="center"/>
          </w:tcPr>
          <w:p>
            <w:pPr>
              <w:pStyle w:val="44"/>
              <w:keepNext w:val="0"/>
              <w:keepLines w:val="0"/>
              <w:suppressLineNumbers w:val="0"/>
              <w:spacing w:before="34" w:beforeAutospacing="0" w:after="0" w:afterAutospacing="0" w:line="240" w:lineRule="exact"/>
              <w:ind w:left="22" w:right="12"/>
              <w:jc w:val="center"/>
              <w:rPr>
                <w:rFonts w:hint="eastAsia" w:hAnsi="Times New Roman" w:eastAsia="宋体"/>
                <w:kern w:val="2"/>
                <w:sz w:val="21"/>
                <w:szCs w:val="21"/>
              </w:rPr>
            </w:pPr>
            <w:r>
              <w:rPr>
                <w:rFonts w:hint="eastAsia" w:hAnsi="Times New Roman" w:eastAsia="宋体"/>
                <w:kern w:val="2"/>
                <w:sz w:val="21"/>
                <w:szCs w:val="21"/>
                <w:lang w:eastAsia="zh-CN"/>
              </w:rPr>
              <w:t>机修车间</w:t>
            </w:r>
          </w:p>
        </w:tc>
        <w:tc>
          <w:tcPr>
            <w:tcW w:w="840" w:type="dxa"/>
            <w:vAlign w:val="center"/>
          </w:tcPr>
          <w:p>
            <w:pPr>
              <w:pStyle w:val="44"/>
              <w:keepNext w:val="0"/>
              <w:keepLines w:val="0"/>
              <w:suppressLineNumbers w:val="0"/>
              <w:spacing w:before="34" w:beforeAutospacing="0" w:after="0" w:afterAutospacing="0" w:line="240" w:lineRule="exact"/>
              <w:ind w:left="22" w:right="12"/>
              <w:jc w:val="center"/>
              <w:rPr>
                <w:rFonts w:hint="eastAsia" w:hAnsi="Times New Roman" w:eastAsia="宋体"/>
                <w:kern w:val="2"/>
                <w:sz w:val="21"/>
                <w:szCs w:val="21"/>
                <w:lang w:eastAsia="zh-CN"/>
              </w:rPr>
            </w:pPr>
            <w:r>
              <w:rPr>
                <w:rFonts w:hint="eastAsia" w:hAnsi="Times New Roman" w:eastAsia="宋体"/>
                <w:kern w:val="2"/>
                <w:sz w:val="21"/>
                <w:szCs w:val="21"/>
                <w:lang w:eastAsia="zh-CN"/>
              </w:rPr>
              <w:t>洗手废水</w:t>
            </w:r>
          </w:p>
        </w:tc>
        <w:tc>
          <w:tcPr>
            <w:tcW w:w="1719" w:type="dxa"/>
            <w:gridSpan w:val="2"/>
            <w:vAlign w:val="center"/>
          </w:tcPr>
          <w:p>
            <w:pPr>
              <w:pStyle w:val="44"/>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0.0066</w:t>
            </w:r>
          </w:p>
        </w:tc>
        <w:tc>
          <w:tcPr>
            <w:tcW w:w="1750" w:type="dxa"/>
            <w:gridSpan w:val="2"/>
            <w:vAlign w:val="center"/>
          </w:tcPr>
          <w:p>
            <w:pPr>
              <w:pStyle w:val="44"/>
              <w:keepNext w:val="0"/>
              <w:keepLines w:val="0"/>
              <w:suppressLineNumbers w:val="0"/>
              <w:spacing w:before="0" w:beforeAutospacing="0" w:after="0" w:afterAutospacing="0" w:line="240" w:lineRule="exact"/>
              <w:ind w:left="0" w:right="0"/>
              <w:jc w:val="center"/>
              <w:rPr>
                <w:rFonts w:hint="eastAsia" w:hAnsi="Times New Roman" w:eastAsia="宋体"/>
                <w:w w:val="99"/>
                <w:kern w:val="2"/>
                <w:sz w:val="21"/>
                <w:szCs w:val="22"/>
                <w:lang w:eastAsia="zh-CN"/>
              </w:rPr>
            </w:pPr>
            <w:r>
              <w:rPr>
                <w:rFonts w:hint="eastAsia" w:hAnsi="Times New Roman" w:eastAsia="宋体"/>
                <w:w w:val="99"/>
                <w:kern w:val="2"/>
                <w:sz w:val="21"/>
                <w:szCs w:val="22"/>
                <w:lang w:eastAsia="zh-CN"/>
              </w:rPr>
              <w:t>/</w:t>
            </w:r>
          </w:p>
        </w:tc>
        <w:tc>
          <w:tcPr>
            <w:tcW w:w="4170" w:type="dxa"/>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
                <w:szCs w:val="2"/>
              </w:rPr>
            </w:pPr>
            <w:r>
              <w:rPr>
                <w:rFonts w:hint="eastAsia" w:hAnsi="Times New Roman" w:eastAsia="宋体"/>
                <w:kern w:val="2"/>
                <w:sz w:val="21"/>
                <w:szCs w:val="21"/>
                <w:lang w:eastAsia="zh-CN"/>
              </w:rPr>
              <w:t>经隔油沉淀后回用于地面生产防尘等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06"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洗车平台</w:t>
            </w:r>
          </w:p>
        </w:tc>
        <w:tc>
          <w:tcPr>
            <w:tcW w:w="844"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车辆冲洗废水</w:t>
            </w:r>
          </w:p>
        </w:tc>
        <w:tc>
          <w:tcPr>
            <w:tcW w:w="7639" w:type="dxa"/>
            <w:gridSpan w:val="6"/>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kern w:val="2"/>
                <w:sz w:val="21"/>
                <w:szCs w:val="21"/>
                <w:lang w:eastAsia="zh-CN"/>
              </w:rPr>
              <w:t>隔油沉淀池处理</w:t>
            </w:r>
            <w:r>
              <w:rPr>
                <w:rFonts w:hint="eastAsia" w:hAnsi="Times New Roman" w:eastAsia="宋体"/>
                <w:kern w:val="2"/>
                <w:sz w:val="21"/>
                <w:szCs w:val="22"/>
              </w:rPr>
              <w:t>后回用于</w:t>
            </w:r>
            <w:r>
              <w:rPr>
                <w:rFonts w:hint="eastAsia" w:hAnsi="Times New Roman" w:eastAsia="宋体"/>
                <w:kern w:val="2"/>
                <w:sz w:val="21"/>
                <w:szCs w:val="22"/>
                <w:lang w:eastAsia="zh-CN"/>
              </w:rPr>
              <w:t>车辆冲洗</w:t>
            </w: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06"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场地初期雨水</w:t>
            </w:r>
          </w:p>
        </w:tc>
        <w:tc>
          <w:tcPr>
            <w:tcW w:w="844"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p>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SS</w:t>
            </w:r>
          </w:p>
        </w:tc>
        <w:tc>
          <w:tcPr>
            <w:tcW w:w="7639" w:type="dxa"/>
            <w:gridSpan w:val="6"/>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在煤炭、矸石储运场地上游外侧（场地南侧、东侧设置截洪沟），场地外部雨水经截水沟排入周边自然径流系统。沿储运场地各厂房、地面构筑物外墙砌筑环形集水沟与初期雨水沉淀池（容积20m</w:t>
            </w:r>
            <w:r>
              <w:rPr>
                <w:rFonts w:hint="eastAsia" w:hAnsi="Times New Roman" w:eastAsia="宋体"/>
                <w:bCs/>
                <w:kern w:val="2"/>
                <w:sz w:val="21"/>
                <w:szCs w:val="21"/>
                <w:vertAlign w:val="superscript"/>
                <w:lang w:eastAsia="zh-CN"/>
              </w:rPr>
              <w:t>3</w:t>
            </w:r>
            <w:r>
              <w:rPr>
                <w:rFonts w:hint="eastAsia" w:hAnsi="Times New Roman" w:eastAsia="宋体"/>
                <w:bCs/>
                <w:kern w:val="2"/>
                <w:sz w:val="21"/>
                <w:szCs w:val="21"/>
                <w:lang w:eastAsia="zh-CN"/>
              </w:rPr>
              <w:t>）相连，避免场地雨水漫流。设置矿井水事故应急水池，水池容积约5000m</w:t>
            </w:r>
            <w:r>
              <w:rPr>
                <w:rFonts w:hint="eastAsia" w:hAnsi="Times New Roman" w:eastAsia="宋体"/>
                <w:bCs/>
                <w:kern w:val="2"/>
                <w:sz w:val="21"/>
                <w:szCs w:val="21"/>
                <w:vertAlign w:val="superscript"/>
                <w:lang w:eastAsia="zh-CN"/>
              </w:rPr>
              <w:t>3</w:t>
            </w:r>
            <w:r>
              <w:rPr>
                <w:rFonts w:hint="eastAsia" w:hAnsi="Times New Roman" w:eastAsia="宋体"/>
                <w:bCs/>
                <w:kern w:val="2"/>
                <w:sz w:val="21"/>
                <w:szCs w:val="21"/>
                <w:lang w:eastAsia="zh-CN"/>
              </w:rPr>
              <w:t>，防止矿井水外排。</w:t>
            </w:r>
          </w:p>
        </w:tc>
      </w:tr>
    </w:tbl>
    <w:p>
      <w:pPr>
        <w:pStyle w:val="8"/>
        <w:rPr>
          <w:rFonts w:ascii="Times New Roman" w:hAnsi="Times New Roman"/>
          <w:lang w:eastAsia="zh-CN"/>
        </w:rPr>
      </w:pPr>
      <w:r>
        <w:rPr>
          <w:rFonts w:ascii="Times New Roman" w:hAnsi="Times New Roman"/>
          <w:lang w:eastAsia="zh-CN"/>
        </w:rPr>
        <w:t>2.4.2.3 大气污染源、污染物及防治措施</w:t>
      </w:r>
    </w:p>
    <w:p>
      <w:pPr>
        <w:spacing w:line="360" w:lineRule="auto"/>
        <w:ind w:firstLine="480" w:firstLineChars="200"/>
        <w:rPr>
          <w:rFonts w:hAnsi="Times New Roman" w:eastAsia="宋体"/>
          <w:lang w:eastAsia="zh-CN"/>
        </w:rPr>
      </w:pPr>
      <w:r>
        <w:rPr>
          <w:rFonts w:hAnsi="Times New Roman" w:eastAsia="宋体"/>
          <w:lang w:eastAsia="zh-CN"/>
        </w:rPr>
        <w:t>（1）井下作业粉尘</w:t>
      </w:r>
    </w:p>
    <w:p>
      <w:pPr>
        <w:spacing w:line="360" w:lineRule="auto"/>
        <w:ind w:firstLine="480" w:firstLineChars="200"/>
        <w:rPr>
          <w:rFonts w:hAnsi="Times New Roman" w:eastAsia="宋体"/>
          <w:lang w:eastAsia="zh-CN"/>
        </w:rPr>
      </w:pPr>
      <w:r>
        <w:rPr>
          <w:rFonts w:hAnsi="Times New Roman" w:eastAsia="宋体"/>
          <w:lang w:eastAsia="zh-CN"/>
        </w:rPr>
        <w:t>井下粉尘主要来源于工作面爆破、井下装运产生的粉尘，通过井下抽风换气系统由回风井口排放，根据《煤矿井下粉尘浓度的测定与计算方法》（李云、黄志军，2000年10月）计算可知，井下粉尘浓度一般在20</w:t>
      </w:r>
      <w:r>
        <w:rPr>
          <w:rFonts w:hint="eastAsia" w:hAnsi="Times New Roman" w:eastAsia="宋体"/>
          <w:lang w:eastAsia="zh-CN"/>
        </w:rPr>
        <w:t>～</w:t>
      </w:r>
      <w:r>
        <w:rPr>
          <w:rFonts w:hAnsi="Times New Roman" w:eastAsia="宋体"/>
          <w:lang w:eastAsia="zh-CN"/>
        </w:rPr>
        <w:t>70mg/m</w:t>
      </w:r>
      <w:r>
        <w:rPr>
          <w:rFonts w:hAnsi="Times New Roman" w:eastAsia="宋体"/>
          <w:vertAlign w:val="superscript"/>
          <w:lang w:eastAsia="zh-CN"/>
        </w:rPr>
        <w:t>3</w:t>
      </w:r>
      <w:r>
        <w:rPr>
          <w:rFonts w:hAnsi="Times New Roman" w:eastAsia="宋体"/>
          <w:lang w:eastAsia="zh-CN"/>
        </w:rPr>
        <w:t>。井下防尘已有措施及效果：</w:t>
      </w:r>
    </w:p>
    <w:p>
      <w:pPr>
        <w:spacing w:line="360" w:lineRule="auto"/>
        <w:ind w:firstLine="480" w:firstLineChars="200"/>
        <w:rPr>
          <w:rFonts w:hAnsi="Times New Roman" w:eastAsia="宋体"/>
          <w:lang w:eastAsia="zh-CN"/>
        </w:rPr>
      </w:pPr>
      <w:r>
        <w:rPr>
          <w:rFonts w:hAnsi="Times New Roman" w:eastAsia="宋体"/>
          <w:lang w:eastAsia="zh-CN"/>
        </w:rPr>
        <w:t>①在采掘工作面、井下溜煤眼放煤口、输送机转载点和卸载点，区段运输石门、工作面机巷以及地面转载点等作业地点，均设喷雾洒水装置，作业时进行喷雾降尘以控制各产尘点的粉尘。该方法简单方便、经济、有效、降尘率为30%～60%。</w:t>
      </w:r>
    </w:p>
    <w:p>
      <w:pPr>
        <w:spacing w:line="360" w:lineRule="auto"/>
        <w:ind w:firstLine="480" w:firstLineChars="200"/>
        <w:rPr>
          <w:rFonts w:hAnsi="Times New Roman" w:eastAsia="宋体"/>
          <w:lang w:eastAsia="zh-CN"/>
        </w:rPr>
      </w:pPr>
      <w:r>
        <w:rPr>
          <w:rFonts w:hAnsi="Times New Roman" w:eastAsia="宋体"/>
          <w:lang w:eastAsia="zh-CN"/>
        </w:rPr>
        <w:t>②风流净化：在工作面机巷、工作面回风巷中设置净化水幕，及装煤点下风侧15m处设置一处风流净化水幕，以降低粉尘浓度，避免进风流污染。</w:t>
      </w:r>
    </w:p>
    <w:p>
      <w:pPr>
        <w:spacing w:line="360" w:lineRule="auto"/>
        <w:ind w:firstLine="480" w:firstLineChars="200"/>
        <w:rPr>
          <w:rFonts w:hAnsi="Times New Roman" w:eastAsia="宋体"/>
          <w:lang w:eastAsia="zh-CN"/>
        </w:rPr>
      </w:pPr>
      <w:r>
        <w:rPr>
          <w:rFonts w:hAnsi="Times New Roman" w:eastAsia="宋体"/>
          <w:lang w:eastAsia="zh-CN"/>
        </w:rPr>
        <w:t>③湿式作业。在掘进井巷和硐室时，必须采取湿式钻眼、冲洗井巷壁帮、水炮泥封孔、爆破时应喷雾降尘、装岩（煤）洒水。</w:t>
      </w:r>
    </w:p>
    <w:p>
      <w:pPr>
        <w:spacing w:line="360" w:lineRule="auto"/>
        <w:ind w:firstLine="480" w:firstLineChars="200"/>
        <w:rPr>
          <w:rFonts w:hAnsi="Times New Roman" w:eastAsia="宋体"/>
          <w:lang w:eastAsia="zh-CN"/>
        </w:rPr>
      </w:pPr>
      <w:r>
        <w:rPr>
          <w:rFonts w:hAnsi="Times New Roman" w:eastAsia="宋体"/>
          <w:lang w:eastAsia="zh-CN"/>
        </w:rPr>
        <w:t>④及时调整和控制各巷道风速，防止因风速过小而不能及时带出空气中的浮尘和风速过大重新扬起落尘。</w:t>
      </w:r>
    </w:p>
    <w:p>
      <w:pPr>
        <w:spacing w:line="360" w:lineRule="auto"/>
        <w:ind w:firstLine="480" w:firstLineChars="200"/>
        <w:rPr>
          <w:rFonts w:hAnsi="Times New Roman" w:eastAsia="宋体"/>
          <w:lang w:eastAsia="zh-CN"/>
        </w:rPr>
      </w:pPr>
      <w:r>
        <w:rPr>
          <w:rFonts w:hAnsi="Times New Roman" w:eastAsia="宋体"/>
          <w:lang w:eastAsia="zh-CN"/>
        </w:rPr>
        <w:t>⑤定期清扫和冲洗井下巷道（如工作面机巷、采区车场、运输大巷等）壁上的煤尘，防止煤尘积聚，并用石灰水粉刷。</w:t>
      </w:r>
    </w:p>
    <w:p>
      <w:pPr>
        <w:spacing w:line="360" w:lineRule="auto"/>
        <w:ind w:firstLine="480" w:firstLineChars="200"/>
        <w:rPr>
          <w:rFonts w:hAnsi="Times New Roman" w:eastAsia="宋体"/>
          <w:lang w:eastAsia="zh-CN"/>
        </w:rPr>
      </w:pPr>
      <w:r>
        <w:rPr>
          <w:rFonts w:hAnsi="Times New Roman" w:eastAsia="宋体"/>
          <w:lang w:eastAsia="zh-CN"/>
        </w:rPr>
        <w:t>⑥溜煤眼保持一定的存煤，不得放空，防止风流通过，把煤尘带出扩散到巷道中去。</w:t>
      </w:r>
    </w:p>
    <w:p>
      <w:pPr>
        <w:spacing w:line="360" w:lineRule="auto"/>
        <w:ind w:firstLine="480" w:firstLineChars="200"/>
        <w:rPr>
          <w:rFonts w:hAnsi="Times New Roman" w:eastAsia="宋体"/>
          <w:lang w:eastAsia="zh-CN"/>
        </w:rPr>
      </w:pPr>
      <w:r>
        <w:rPr>
          <w:rFonts w:hAnsi="Times New Roman" w:eastAsia="宋体"/>
          <w:lang w:eastAsia="zh-CN"/>
        </w:rPr>
        <w:t>⑦矿井建立完善的防尘洒水系统。矿井主要进回风巷、采煤工作面机风巷、掘进巷道、煤仓放煤口，溜煤眼放煤口、胶带运输巷、原煤卸载点等地点敷设防尘供水管路，并安装支管和阀门。</w:t>
      </w:r>
    </w:p>
    <w:p>
      <w:pPr>
        <w:spacing w:line="360" w:lineRule="auto"/>
        <w:ind w:firstLine="480" w:firstLineChars="200"/>
        <w:rPr>
          <w:rFonts w:hAnsi="Times New Roman" w:eastAsia="宋体"/>
          <w:lang w:eastAsia="zh-CN"/>
        </w:rPr>
      </w:pPr>
      <w:r>
        <w:rPr>
          <w:rFonts w:hAnsi="Times New Roman" w:eastAsia="宋体"/>
          <w:lang w:eastAsia="zh-CN"/>
        </w:rPr>
        <w:t>采取上述措施后，经过喷水增湿、回风巷的沉降、以及井下排风稀释后，项目风硐口的粉尘浓度可降到1mg/m</w:t>
      </w:r>
      <w:r>
        <w:rPr>
          <w:rFonts w:hAnsi="Times New Roman" w:eastAsia="宋体"/>
          <w:vertAlign w:val="superscript"/>
          <w:lang w:eastAsia="zh-CN"/>
        </w:rPr>
        <w:t>3</w:t>
      </w:r>
      <w:r>
        <w:rPr>
          <w:rFonts w:hAnsi="Times New Roman" w:eastAsia="宋体"/>
          <w:lang w:eastAsia="zh-CN"/>
        </w:rPr>
        <w:t>以下。对外环境影响很小。</w:t>
      </w:r>
    </w:p>
    <w:p>
      <w:pPr>
        <w:spacing w:line="360" w:lineRule="auto"/>
        <w:ind w:left="480" w:leftChars="200"/>
        <w:rPr>
          <w:rFonts w:hAnsi="Times New Roman" w:eastAsia="宋体"/>
          <w:lang w:eastAsia="zh-CN"/>
        </w:rPr>
      </w:pPr>
      <w:r>
        <w:rPr>
          <w:rFonts w:hAnsi="Times New Roman" w:eastAsia="宋体"/>
          <w:b/>
          <w:bCs/>
          <w:szCs w:val="22"/>
          <w:lang w:eastAsia="zh-CN"/>
        </w:rPr>
        <w:t>（2）装卸扬尘</w:t>
      </w:r>
    </w:p>
    <w:p>
      <w:pPr>
        <w:spacing w:line="360" w:lineRule="auto"/>
        <w:ind w:firstLine="480" w:firstLineChars="200"/>
        <w:rPr>
          <w:rFonts w:hAnsi="Times New Roman" w:eastAsia="宋体"/>
          <w:lang w:eastAsia="zh-CN"/>
        </w:rPr>
      </w:pPr>
      <w:r>
        <w:rPr>
          <w:rFonts w:hAnsi="Times New Roman" w:eastAsia="宋体"/>
          <w:lang w:eastAsia="zh-CN"/>
        </w:rPr>
        <w:t>本项目原煤装卸、煤矸石装卸等过程中将产生扬尘，装卸扬尘量采用《煤炭装卸堆放起尘规律及煤尘扩散规律的研究》中装卸起尘的经验公式：</w:t>
      </w:r>
    </w:p>
    <w:p>
      <w:pPr>
        <w:spacing w:line="360" w:lineRule="auto"/>
        <w:ind w:firstLine="480" w:firstLineChars="200"/>
        <w:rPr>
          <w:rFonts w:hAnsi="Times New Roman" w:eastAsia="宋体"/>
          <w:lang w:eastAsia="zh-CN"/>
        </w:rPr>
      </w:pPr>
      <w:r>
        <w:rPr>
          <w:rFonts w:hAnsi="Times New Roman" w:eastAsia="宋体"/>
          <w:lang w:eastAsia="zh-CN"/>
        </w:rPr>
        <w:t>Q=0.03×V</w:t>
      </w:r>
      <w:r>
        <w:rPr>
          <w:rFonts w:hAnsi="Times New Roman" w:eastAsia="宋体"/>
          <w:vertAlign w:val="superscript"/>
          <w:lang w:eastAsia="zh-CN"/>
        </w:rPr>
        <w:t>1.6</w:t>
      </w:r>
      <w:r>
        <w:rPr>
          <w:rFonts w:hAnsi="Times New Roman" w:eastAsia="宋体"/>
          <w:lang w:eastAsia="zh-CN"/>
        </w:rPr>
        <w:t>×H</w:t>
      </w:r>
      <w:r>
        <w:rPr>
          <w:rFonts w:hAnsi="Times New Roman" w:eastAsia="宋体"/>
          <w:vertAlign w:val="superscript"/>
          <w:lang w:eastAsia="zh-CN"/>
        </w:rPr>
        <w:t>1.23</w:t>
      </w:r>
      <w:r>
        <w:rPr>
          <w:rFonts w:hAnsi="Times New Roman" w:eastAsia="宋体"/>
          <w:lang w:eastAsia="zh-CN"/>
        </w:rPr>
        <w:t>×e</w:t>
      </w:r>
      <w:r>
        <w:rPr>
          <w:rFonts w:hAnsi="Times New Roman" w:eastAsia="宋体"/>
          <w:vertAlign w:val="superscript"/>
          <w:lang w:eastAsia="zh-CN"/>
        </w:rPr>
        <w:t>-0.28w</w:t>
      </w:r>
    </w:p>
    <w:p>
      <w:pPr>
        <w:spacing w:line="360" w:lineRule="auto"/>
        <w:ind w:firstLine="480" w:firstLineChars="200"/>
        <w:rPr>
          <w:rFonts w:hAnsi="Times New Roman" w:eastAsia="宋体"/>
          <w:lang w:eastAsia="zh-CN"/>
        </w:rPr>
      </w:pPr>
      <w:r>
        <w:rPr>
          <w:rFonts w:hAnsi="Times New Roman" w:eastAsia="宋体"/>
          <w:lang w:eastAsia="zh-CN"/>
        </w:rPr>
        <w:t>其中，V—风速，m/s，取1.3；</w:t>
      </w:r>
    </w:p>
    <w:p>
      <w:pPr>
        <w:pStyle w:val="16"/>
        <w:spacing w:line="360" w:lineRule="auto"/>
        <w:rPr>
          <w:rFonts w:hAnsi="Times New Roman" w:eastAsia="宋体" w:cs="Times New Roman"/>
          <w:i w:val="0"/>
          <w:iCs w:val="0"/>
          <w:sz w:val="24"/>
          <w:szCs w:val="22"/>
          <w:lang w:eastAsia="zh-CN"/>
        </w:rPr>
      </w:pPr>
      <w:r>
        <w:rPr>
          <w:rFonts w:hAnsi="Times New Roman" w:eastAsia="宋体" w:cs="Times New Roman"/>
          <w:i w:val="0"/>
          <w:iCs w:val="0"/>
          <w:sz w:val="24"/>
          <w:szCs w:val="22"/>
          <w:lang w:eastAsia="zh-CN"/>
        </w:rPr>
        <w:t xml:space="preserve">  H—装卸高度，m，取1.5；</w:t>
      </w:r>
    </w:p>
    <w:p>
      <w:pPr>
        <w:spacing w:line="360" w:lineRule="auto"/>
        <w:ind w:firstLine="1200" w:firstLineChars="500"/>
        <w:rPr>
          <w:rFonts w:hAnsi="Times New Roman" w:eastAsia="宋体"/>
          <w:szCs w:val="22"/>
          <w:lang w:eastAsia="zh-CN"/>
        </w:rPr>
      </w:pPr>
      <w:r>
        <w:rPr>
          <w:rFonts w:hAnsi="Times New Roman" w:eastAsia="宋体"/>
          <w:szCs w:val="22"/>
          <w:lang w:eastAsia="zh-CN"/>
        </w:rPr>
        <w:t>w—含水率，%，取7%；</w:t>
      </w:r>
    </w:p>
    <w:p>
      <w:pPr>
        <w:pStyle w:val="16"/>
        <w:spacing w:line="360" w:lineRule="auto"/>
        <w:rPr>
          <w:rFonts w:hAnsi="Times New Roman" w:eastAsia="宋体" w:cs="Times New Roman"/>
          <w:i w:val="0"/>
          <w:iCs w:val="0"/>
          <w:sz w:val="24"/>
          <w:szCs w:val="22"/>
          <w:lang w:eastAsia="zh-CN"/>
        </w:rPr>
      </w:pPr>
      <w:r>
        <w:rPr>
          <w:rFonts w:hAnsi="Times New Roman" w:eastAsia="宋体" w:cs="Times New Roman"/>
          <w:i w:val="0"/>
          <w:iCs w:val="0"/>
          <w:sz w:val="24"/>
          <w:szCs w:val="22"/>
          <w:lang w:eastAsia="zh-CN"/>
        </w:rPr>
        <w:t xml:space="preserve">  Q—装卸起尘量，kg/t。</w:t>
      </w:r>
    </w:p>
    <w:p>
      <w:pPr>
        <w:pStyle w:val="14"/>
        <w:kinsoku w:val="0"/>
        <w:overflowPunct w:val="0"/>
        <w:spacing w:line="360" w:lineRule="auto"/>
        <w:ind w:firstLine="480" w:firstLineChars="200"/>
        <w:rPr>
          <w:rFonts w:ascii="Times New Roman" w:hAnsi="Times New Roman"/>
          <w:sz w:val="24"/>
        </w:rPr>
      </w:pPr>
      <w:r>
        <w:rPr>
          <w:rFonts w:ascii="Times New Roman" w:hAnsi="Times New Roman"/>
          <w:sz w:val="24"/>
        </w:rPr>
        <w:t>经计算，</w:t>
      </w:r>
      <w:r>
        <w:rPr>
          <w:rFonts w:ascii="Times New Roman" w:hAnsi="Times New Roman"/>
          <w:sz w:val="24"/>
          <w:lang w:eastAsia="zh-CN"/>
        </w:rPr>
        <w:t>原煤装卸扬尘产生量</w:t>
      </w:r>
      <w:r>
        <w:rPr>
          <w:rFonts w:ascii="Times New Roman" w:hAnsi="Times New Roman"/>
          <w:sz w:val="24"/>
        </w:rPr>
        <w:t>为</w:t>
      </w:r>
      <w:r>
        <w:rPr>
          <w:rFonts w:ascii="Times New Roman" w:hAnsi="Times New Roman"/>
          <w:spacing w:val="-63"/>
          <w:sz w:val="24"/>
        </w:rPr>
        <w:t xml:space="preserve"> </w:t>
      </w:r>
      <w:r>
        <w:rPr>
          <w:rFonts w:ascii="Times New Roman" w:hAnsi="Times New Roman"/>
          <w:spacing w:val="-1"/>
          <w:sz w:val="24"/>
          <w:lang w:eastAsia="zh-CN"/>
        </w:rPr>
        <w:t>22.11</w:t>
      </w:r>
      <w:r>
        <w:rPr>
          <w:rFonts w:ascii="Times New Roman" w:hAnsi="Times New Roman"/>
          <w:spacing w:val="-1"/>
          <w:sz w:val="24"/>
        </w:rPr>
        <w:t>t/a</w:t>
      </w:r>
      <w:r>
        <w:rPr>
          <w:rFonts w:ascii="Times New Roman" w:hAnsi="Times New Roman"/>
          <w:spacing w:val="-1"/>
          <w:sz w:val="24"/>
          <w:lang w:eastAsia="zh-CN"/>
        </w:rPr>
        <w:t>，煤矸石装卸扬尘产生量为2.21</w:t>
      </w:r>
      <w:r>
        <w:rPr>
          <w:rFonts w:ascii="Times New Roman" w:hAnsi="Times New Roman"/>
          <w:spacing w:val="-1"/>
          <w:sz w:val="24"/>
        </w:rPr>
        <w:t>t/a</w:t>
      </w:r>
      <w:r>
        <w:rPr>
          <w:rFonts w:ascii="Times New Roman" w:hAnsi="Times New Roman"/>
          <w:sz w:val="24"/>
        </w:rPr>
        <w:t>。</w:t>
      </w:r>
    </w:p>
    <w:p>
      <w:pPr>
        <w:pStyle w:val="14"/>
        <w:kinsoku w:val="0"/>
        <w:overflowPunct w:val="0"/>
        <w:spacing w:line="360" w:lineRule="auto"/>
        <w:ind w:firstLine="480" w:firstLineChars="200"/>
        <w:rPr>
          <w:rFonts w:ascii="Times New Roman" w:hAnsi="Times New Roman"/>
          <w:b/>
          <w:bCs w:val="0"/>
          <w:sz w:val="24"/>
          <w:lang w:eastAsia="zh-CN"/>
        </w:rPr>
      </w:pPr>
      <w:r>
        <w:rPr>
          <w:rFonts w:ascii="Times New Roman" w:hAnsi="Times New Roman"/>
          <w:sz w:val="24"/>
          <w:lang w:eastAsia="zh-CN"/>
        </w:rPr>
        <w:t>矿井原煤由矿车输送至地面储煤场，煤矸石由列车转运至矸石</w:t>
      </w:r>
      <w:r>
        <w:rPr>
          <w:rFonts w:ascii="Times New Roman" w:hAnsi="Times New Roman"/>
          <w:sz w:val="24"/>
        </w:rPr>
        <w:t>临时堆场。</w:t>
      </w:r>
      <w:r>
        <w:rPr>
          <w:rFonts w:ascii="Times New Roman" w:hAnsi="Times New Roman"/>
          <w:sz w:val="24"/>
          <w:lang w:eastAsia="zh-CN"/>
        </w:rPr>
        <w:t>煤矸石堆场现状为采取表面覆盖，雾炮机洒水等措施。</w:t>
      </w:r>
      <w:r>
        <w:rPr>
          <w:rFonts w:ascii="Times New Roman" w:hAnsi="Times New Roman"/>
          <w:b/>
          <w:bCs w:val="0"/>
          <w:sz w:val="24"/>
          <w:lang w:eastAsia="zh-CN"/>
        </w:rPr>
        <w:t>环评要求：矸石临时堆场建为顶部遮盖、三面围挡的半封闭式的钢架结构彩钢棚，并在矸石临时堆场的敞开位置，加设防尘网和防尘水雾喷洒系统，在煤矸石的转载点设置喷雾降尘装置，防止粉尘污染。</w:t>
      </w:r>
    </w:p>
    <w:p>
      <w:pPr>
        <w:pStyle w:val="14"/>
        <w:kinsoku w:val="0"/>
        <w:overflowPunct w:val="0"/>
        <w:spacing w:line="360" w:lineRule="auto"/>
        <w:ind w:firstLine="480" w:firstLineChars="200"/>
        <w:rPr>
          <w:rFonts w:ascii="Times New Roman" w:hAnsi="Times New Roman"/>
          <w:sz w:val="24"/>
          <w:highlight w:val="yellow"/>
          <w:lang w:eastAsia="zh-CN"/>
        </w:rPr>
      </w:pPr>
      <w:r>
        <w:rPr>
          <w:rFonts w:ascii="Times New Roman" w:hAnsi="Times New Roman"/>
          <w:sz w:val="24"/>
        </w:rPr>
        <w:t>根据《扬尘源颗粒物排放清单编制技术指南（试行）》中“表12-堆场操作扬尘控制措施的控制效率”可知，采用三边围挡遮围措施后，TSP控制率可达90%</w:t>
      </w:r>
      <w:r>
        <w:rPr>
          <w:rFonts w:ascii="Times New Roman" w:hAnsi="Times New Roman"/>
          <w:sz w:val="24"/>
          <w:lang w:eastAsia="zh-CN"/>
        </w:rPr>
        <w:t>，煤矸石</w:t>
      </w:r>
      <w:r>
        <w:rPr>
          <w:rFonts w:ascii="Times New Roman" w:hAnsi="Times New Roman"/>
          <w:sz w:val="24"/>
        </w:rPr>
        <w:t>装卸过程中扬尘排放量为</w:t>
      </w:r>
      <w:r>
        <w:rPr>
          <w:rFonts w:ascii="Times New Roman" w:hAnsi="Times New Roman"/>
          <w:sz w:val="24"/>
          <w:lang w:eastAsia="zh-CN"/>
        </w:rPr>
        <w:t>0.22</w:t>
      </w:r>
      <w:r>
        <w:rPr>
          <w:rFonts w:ascii="Times New Roman" w:hAnsi="Times New Roman"/>
          <w:sz w:val="24"/>
        </w:rPr>
        <w:t>t/a，排放速率为</w:t>
      </w:r>
      <w:r>
        <w:rPr>
          <w:rFonts w:ascii="Times New Roman" w:hAnsi="Times New Roman"/>
          <w:sz w:val="24"/>
          <w:lang w:eastAsia="zh-CN"/>
        </w:rPr>
        <w:t>0.134</w:t>
      </w:r>
      <w:r>
        <w:rPr>
          <w:rFonts w:ascii="Times New Roman" w:hAnsi="Times New Roman"/>
          <w:sz w:val="24"/>
        </w:rPr>
        <w:t>kg/h。</w:t>
      </w:r>
    </w:p>
    <w:p>
      <w:pPr>
        <w:pStyle w:val="14"/>
        <w:overflowPunct w:val="0"/>
        <w:spacing w:line="360" w:lineRule="auto"/>
        <w:ind w:firstLine="480" w:firstLineChars="200"/>
        <w:rPr>
          <w:rFonts w:ascii="Times New Roman" w:hAnsi="Times New Roman"/>
          <w:sz w:val="24"/>
          <w:highlight w:val="yellow"/>
        </w:rPr>
      </w:pPr>
      <w:r>
        <w:rPr>
          <w:rFonts w:ascii="Times New Roman" w:hAnsi="Times New Roman"/>
          <w:sz w:val="24"/>
          <w:lang w:eastAsia="zh-CN"/>
        </w:rPr>
        <w:t>储煤场为封闭式设计，并且在原煤装卸口设置有喷雾降尘装置，其除尘效率可达99%，</w:t>
      </w:r>
      <w:r>
        <w:rPr>
          <w:rFonts w:ascii="Times New Roman" w:hAnsi="Times New Roman"/>
          <w:sz w:val="24"/>
        </w:rPr>
        <w:t>矸石装卸过程中扬尘排放量为</w:t>
      </w:r>
      <w:r>
        <w:rPr>
          <w:rFonts w:ascii="Times New Roman" w:hAnsi="Times New Roman"/>
          <w:sz w:val="24"/>
          <w:lang w:eastAsia="zh-CN"/>
        </w:rPr>
        <w:t>0.22</w:t>
      </w:r>
      <w:r>
        <w:rPr>
          <w:rFonts w:ascii="Times New Roman" w:hAnsi="Times New Roman"/>
          <w:sz w:val="24"/>
        </w:rPr>
        <w:t>t/a，排放速率为</w:t>
      </w:r>
      <w:r>
        <w:rPr>
          <w:rFonts w:ascii="Times New Roman" w:hAnsi="Times New Roman"/>
          <w:sz w:val="24"/>
          <w:lang w:eastAsia="zh-CN"/>
        </w:rPr>
        <w:t>0.134</w:t>
      </w:r>
      <w:r>
        <w:rPr>
          <w:rFonts w:ascii="Times New Roman" w:hAnsi="Times New Roman"/>
          <w:sz w:val="24"/>
        </w:rPr>
        <w:t>kg/h。</w:t>
      </w:r>
    </w:p>
    <w:p>
      <w:pPr>
        <w:spacing w:line="360" w:lineRule="auto"/>
        <w:ind w:firstLine="480" w:firstLineChars="200"/>
        <w:rPr>
          <w:rFonts w:hAnsi="Times New Roman" w:eastAsia="宋体"/>
          <w:lang w:eastAsia="zh-CN"/>
        </w:rPr>
      </w:pPr>
      <w:r>
        <w:rPr>
          <w:rFonts w:hAnsi="Times New Roman" w:eastAsia="宋体"/>
        </w:rPr>
        <w:t>采取上述措施后，装卸过程中扬尘排放量为</w:t>
      </w:r>
      <w:r>
        <w:rPr>
          <w:rFonts w:hAnsi="Times New Roman" w:eastAsia="宋体"/>
          <w:lang w:eastAsia="zh-CN"/>
        </w:rPr>
        <w:t>0.44</w:t>
      </w:r>
      <w:r>
        <w:rPr>
          <w:rFonts w:hAnsi="Times New Roman" w:eastAsia="宋体"/>
        </w:rPr>
        <w:t>t/a，排放速率为</w:t>
      </w:r>
      <w:r>
        <w:rPr>
          <w:rFonts w:hAnsi="Times New Roman" w:eastAsia="宋体"/>
          <w:lang w:eastAsia="zh-CN"/>
        </w:rPr>
        <w:t>0.268</w:t>
      </w:r>
      <w:r>
        <w:rPr>
          <w:rFonts w:hAnsi="Times New Roman" w:eastAsia="宋体"/>
        </w:rPr>
        <w:t>kg/h。</w:t>
      </w:r>
    </w:p>
    <w:p>
      <w:pPr>
        <w:spacing w:line="360" w:lineRule="auto"/>
        <w:ind w:firstLine="482" w:firstLineChars="200"/>
        <w:rPr>
          <w:rFonts w:hAnsi="Times New Roman" w:eastAsia="宋体"/>
          <w:b/>
          <w:bCs/>
          <w:szCs w:val="22"/>
          <w:lang w:eastAsia="zh-CN"/>
        </w:rPr>
      </w:pPr>
      <w:r>
        <w:rPr>
          <w:rFonts w:hAnsi="Times New Roman" w:eastAsia="宋体"/>
          <w:b/>
          <w:bCs/>
          <w:szCs w:val="22"/>
          <w:lang w:eastAsia="zh-CN"/>
        </w:rPr>
        <w:t>（3）堆场煤尘</w:t>
      </w:r>
    </w:p>
    <w:p>
      <w:pPr>
        <w:spacing w:line="360" w:lineRule="auto"/>
        <w:ind w:firstLine="480" w:firstLineChars="200"/>
        <w:rPr>
          <w:rFonts w:hAnsi="Times New Roman" w:eastAsia="宋体"/>
          <w:lang w:eastAsia="zh-CN"/>
        </w:rPr>
      </w:pPr>
      <w:r>
        <w:rPr>
          <w:rFonts w:hAnsi="Times New Roman" w:eastAsia="宋体"/>
          <w:lang w:eastAsia="zh-CN"/>
        </w:rPr>
        <w:t>项目堆场扬尘采用《大气环境影响评价实用技术》介绍的秦皇岛码头煤堆起尘量计算公式计算，具体公式为：</w:t>
      </w:r>
    </w:p>
    <w:p>
      <w:pPr>
        <w:spacing w:line="360" w:lineRule="auto"/>
        <w:ind w:firstLine="480" w:firstLineChars="200"/>
        <w:rPr>
          <w:rFonts w:hAnsi="Times New Roman" w:eastAsia="宋体"/>
          <w:lang w:eastAsia="zh-CN"/>
        </w:rPr>
      </w:pPr>
      <w:r>
        <w:rPr>
          <w:rFonts w:hAnsi="Times New Roman" w:eastAsia="宋体"/>
          <w:lang w:eastAsia="zh-CN"/>
        </w:rPr>
        <w:t>Q=2.1K×(U-U</w:t>
      </w:r>
      <w:r>
        <w:rPr>
          <w:rFonts w:hAnsi="Times New Roman" w:eastAsia="宋体"/>
          <w:vertAlign w:val="subscript"/>
          <w:lang w:eastAsia="zh-CN"/>
        </w:rPr>
        <w:t>0</w:t>
      </w:r>
      <w:r>
        <w:rPr>
          <w:rFonts w:hAnsi="Times New Roman" w:eastAsia="宋体"/>
          <w:lang w:eastAsia="zh-CN"/>
        </w:rPr>
        <w:t>)</w:t>
      </w:r>
      <w:r>
        <w:rPr>
          <w:rFonts w:hAnsi="Times New Roman" w:eastAsia="宋体"/>
          <w:vertAlign w:val="superscript"/>
          <w:lang w:eastAsia="zh-CN"/>
        </w:rPr>
        <w:t>3</w:t>
      </w:r>
      <w:r>
        <w:rPr>
          <w:rFonts w:hAnsi="Times New Roman" w:eastAsia="宋体"/>
          <w:lang w:eastAsia="zh-CN"/>
        </w:rPr>
        <w:t>×e</w:t>
      </w:r>
      <w:r>
        <w:rPr>
          <w:rFonts w:hAnsi="Times New Roman" w:eastAsia="宋体"/>
          <w:vertAlign w:val="superscript"/>
          <w:lang w:eastAsia="zh-CN"/>
        </w:rPr>
        <w:t>-1.023w</w:t>
      </w:r>
      <w:r>
        <w:rPr>
          <w:rFonts w:hAnsi="Times New Roman" w:eastAsia="宋体"/>
          <w:lang w:eastAsia="zh-CN"/>
        </w:rPr>
        <w:t>×P</w:t>
      </w:r>
    </w:p>
    <w:p>
      <w:pPr>
        <w:spacing w:line="360" w:lineRule="auto"/>
        <w:ind w:firstLine="480" w:firstLineChars="200"/>
        <w:rPr>
          <w:rFonts w:hAnsi="Times New Roman" w:eastAsia="宋体"/>
          <w:szCs w:val="22"/>
          <w:lang w:eastAsia="zh-CN"/>
        </w:rPr>
      </w:pPr>
      <w:r>
        <w:rPr>
          <w:rFonts w:hAnsi="Times New Roman" w:eastAsia="宋体"/>
          <w:szCs w:val="22"/>
          <w:lang w:eastAsia="zh-CN"/>
        </w:rPr>
        <w:t>其中，Q—堆场起尘量，kg/a</w:t>
      </w:r>
    </w:p>
    <w:p>
      <w:pPr>
        <w:spacing w:line="360" w:lineRule="auto"/>
        <w:ind w:firstLine="480" w:firstLineChars="200"/>
        <w:rPr>
          <w:rFonts w:hAnsi="Times New Roman" w:eastAsia="宋体"/>
          <w:szCs w:val="22"/>
          <w:lang w:eastAsia="zh-CN"/>
        </w:rPr>
      </w:pPr>
      <w:r>
        <w:rPr>
          <w:rFonts w:hAnsi="Times New Roman" w:eastAsia="宋体"/>
          <w:szCs w:val="22"/>
          <w:lang w:eastAsia="zh-CN"/>
        </w:rPr>
        <w:t xml:space="preserve">      K—经验系数，含水量函数</w:t>
      </w:r>
      <w:r>
        <w:rPr>
          <w:rFonts w:hint="eastAsia" w:hAnsi="Times New Roman" w:eastAsia="宋体"/>
          <w:szCs w:val="22"/>
          <w:lang w:eastAsia="zh-CN"/>
        </w:rPr>
        <w:t>，</w:t>
      </w:r>
      <w:r>
        <w:rPr>
          <w:rFonts w:hAnsi="Times New Roman" w:eastAsia="宋体"/>
          <w:szCs w:val="22"/>
          <w:lang w:eastAsia="zh-CN"/>
        </w:rPr>
        <w:t>取值0.971；</w:t>
      </w:r>
    </w:p>
    <w:p>
      <w:pPr>
        <w:spacing w:line="360" w:lineRule="auto"/>
        <w:ind w:firstLine="480" w:firstLineChars="200"/>
        <w:rPr>
          <w:rFonts w:hAnsi="Times New Roman" w:eastAsia="宋体"/>
          <w:szCs w:val="22"/>
          <w:lang w:eastAsia="zh-CN"/>
        </w:rPr>
      </w:pPr>
      <w:r>
        <w:rPr>
          <w:rFonts w:hAnsi="Times New Roman" w:eastAsia="宋体"/>
          <w:szCs w:val="22"/>
          <w:lang w:eastAsia="zh-CN"/>
        </w:rPr>
        <w:t xml:space="preserve">      U—堆场平均起尘风速，取2.5；</w:t>
      </w:r>
    </w:p>
    <w:p>
      <w:pPr>
        <w:spacing w:line="360" w:lineRule="auto"/>
        <w:ind w:firstLine="1200" w:firstLineChars="500"/>
        <w:rPr>
          <w:rFonts w:hAnsi="Times New Roman" w:eastAsia="宋体"/>
          <w:szCs w:val="22"/>
          <w:lang w:eastAsia="zh-CN"/>
        </w:rPr>
      </w:pPr>
      <w:r>
        <w:rPr>
          <w:rFonts w:hAnsi="Times New Roman" w:eastAsia="宋体"/>
          <w:szCs w:val="22"/>
          <w:lang w:eastAsia="zh-CN"/>
        </w:rPr>
        <w:t>U</w:t>
      </w:r>
      <w:r>
        <w:rPr>
          <w:rFonts w:hAnsi="Times New Roman" w:eastAsia="宋体"/>
          <w:szCs w:val="22"/>
          <w:vertAlign w:val="subscript"/>
          <w:lang w:eastAsia="zh-CN"/>
        </w:rPr>
        <w:t>0</w:t>
      </w:r>
      <w:r>
        <w:rPr>
          <w:rFonts w:hAnsi="Times New Roman" w:eastAsia="宋体"/>
          <w:szCs w:val="22"/>
          <w:lang w:eastAsia="zh-CN"/>
        </w:rPr>
        <w:t>—启动风速，（考虑到喷淋后含湿量增加，启动风速增加）</w:t>
      </w:r>
      <w:r>
        <w:rPr>
          <w:rFonts w:hint="eastAsia" w:hAnsi="Times New Roman" w:eastAsia="宋体"/>
          <w:szCs w:val="22"/>
          <w:lang w:eastAsia="zh-CN"/>
        </w:rPr>
        <w:t>，</w:t>
      </w:r>
      <w:r>
        <w:rPr>
          <w:rFonts w:hAnsi="Times New Roman" w:eastAsia="宋体"/>
          <w:szCs w:val="22"/>
          <w:lang w:eastAsia="zh-CN"/>
        </w:rPr>
        <w:t>取2.3；</w:t>
      </w:r>
    </w:p>
    <w:p>
      <w:pPr>
        <w:spacing w:line="360" w:lineRule="auto"/>
        <w:ind w:firstLine="1200" w:firstLineChars="500"/>
        <w:rPr>
          <w:rFonts w:hAnsi="Times New Roman" w:eastAsia="宋体"/>
          <w:szCs w:val="22"/>
          <w:lang w:eastAsia="zh-CN"/>
        </w:rPr>
      </w:pPr>
      <w:r>
        <w:rPr>
          <w:rFonts w:hAnsi="Times New Roman" w:eastAsia="宋体"/>
          <w:szCs w:val="22"/>
          <w:lang w:eastAsia="zh-CN"/>
        </w:rPr>
        <w:t>w—表面含水率，%，取7；</w:t>
      </w:r>
    </w:p>
    <w:p>
      <w:pPr>
        <w:spacing w:line="360" w:lineRule="auto"/>
        <w:ind w:firstLine="1200" w:firstLineChars="500"/>
        <w:rPr>
          <w:rFonts w:hAnsi="Times New Roman" w:eastAsia="宋体"/>
          <w:szCs w:val="22"/>
          <w:lang w:eastAsia="zh-CN"/>
        </w:rPr>
      </w:pPr>
      <w:r>
        <w:rPr>
          <w:rFonts w:hAnsi="Times New Roman" w:eastAsia="宋体"/>
          <w:szCs w:val="22"/>
          <w:lang w:eastAsia="zh-CN"/>
        </w:rPr>
        <w:t>P—堆场累计堆放量，t，煤矸石堆场为30000，储煤场为300000。</w:t>
      </w:r>
    </w:p>
    <w:p>
      <w:pPr>
        <w:pStyle w:val="14"/>
        <w:kinsoku w:val="0"/>
        <w:overflowPunct w:val="0"/>
        <w:spacing w:line="360" w:lineRule="auto"/>
        <w:ind w:firstLine="480" w:firstLineChars="200"/>
        <w:rPr>
          <w:rFonts w:ascii="Times New Roman" w:hAnsi="Times New Roman"/>
          <w:sz w:val="24"/>
          <w:lang w:eastAsia="zh-CN"/>
        </w:rPr>
      </w:pPr>
      <w:r>
        <w:rPr>
          <w:rFonts w:ascii="Times New Roman" w:hAnsi="Times New Roman"/>
          <w:sz w:val="24"/>
        </w:rPr>
        <w:t>经计算，</w:t>
      </w:r>
      <w:r>
        <w:rPr>
          <w:rFonts w:ascii="Times New Roman" w:hAnsi="Times New Roman"/>
          <w:sz w:val="24"/>
          <w:lang w:eastAsia="zh-CN"/>
        </w:rPr>
        <w:t>储煤场扬尘产生量</w:t>
      </w:r>
      <w:r>
        <w:rPr>
          <w:rFonts w:ascii="Times New Roman" w:hAnsi="Times New Roman"/>
          <w:sz w:val="24"/>
        </w:rPr>
        <w:t>为</w:t>
      </w:r>
      <w:r>
        <w:rPr>
          <w:rFonts w:ascii="Times New Roman" w:hAnsi="Times New Roman"/>
          <w:sz w:val="24"/>
          <w:lang w:eastAsia="zh-CN"/>
        </w:rPr>
        <w:t>4.556</w:t>
      </w:r>
      <w:r>
        <w:rPr>
          <w:rFonts w:ascii="Times New Roman" w:hAnsi="Times New Roman"/>
          <w:spacing w:val="-1"/>
          <w:sz w:val="24"/>
        </w:rPr>
        <w:t>t/a</w:t>
      </w:r>
      <w:r>
        <w:rPr>
          <w:rFonts w:ascii="Times New Roman" w:hAnsi="Times New Roman"/>
          <w:spacing w:val="-1"/>
          <w:sz w:val="24"/>
          <w:lang w:eastAsia="zh-CN"/>
        </w:rPr>
        <w:t>，煤矸石临时堆场扬尘产生量为0.456</w:t>
      </w:r>
      <w:r>
        <w:rPr>
          <w:rFonts w:ascii="Times New Roman" w:hAnsi="Times New Roman"/>
          <w:spacing w:val="-1"/>
          <w:sz w:val="24"/>
        </w:rPr>
        <w:t>t/a</w:t>
      </w:r>
      <w:r>
        <w:rPr>
          <w:rFonts w:ascii="Times New Roman" w:hAnsi="Times New Roman"/>
          <w:sz w:val="24"/>
        </w:rPr>
        <w:t>。</w:t>
      </w:r>
    </w:p>
    <w:p>
      <w:pPr>
        <w:pStyle w:val="14"/>
        <w:overflowPunct w:val="0"/>
        <w:spacing w:line="360" w:lineRule="auto"/>
        <w:ind w:firstLine="480" w:firstLineChars="200"/>
        <w:rPr>
          <w:rFonts w:ascii="Times New Roman" w:hAnsi="Times New Roman"/>
          <w:sz w:val="24"/>
        </w:rPr>
      </w:pPr>
      <w:r>
        <w:rPr>
          <w:rFonts w:ascii="Times New Roman" w:hAnsi="Times New Roman"/>
          <w:sz w:val="24"/>
          <w:lang w:eastAsia="zh-CN"/>
        </w:rPr>
        <w:t>根据现场调查，储煤场为封闭式设计，并且在原煤装卸口设置有喷雾降尘装置，其除尘效率可达99%，储煤场</w:t>
      </w:r>
      <w:r>
        <w:rPr>
          <w:rFonts w:ascii="Times New Roman" w:hAnsi="Times New Roman"/>
          <w:sz w:val="24"/>
        </w:rPr>
        <w:t>扬尘排放量为</w:t>
      </w:r>
      <w:r>
        <w:rPr>
          <w:rFonts w:ascii="Times New Roman" w:hAnsi="Times New Roman"/>
          <w:sz w:val="24"/>
          <w:lang w:eastAsia="zh-CN"/>
        </w:rPr>
        <w:t>0.046</w:t>
      </w:r>
      <w:r>
        <w:rPr>
          <w:rFonts w:ascii="Times New Roman" w:hAnsi="Times New Roman"/>
          <w:sz w:val="24"/>
        </w:rPr>
        <w:t>t/a，排放速率为</w:t>
      </w:r>
      <w:r>
        <w:rPr>
          <w:rFonts w:ascii="Times New Roman" w:hAnsi="Times New Roman"/>
          <w:sz w:val="24"/>
          <w:lang w:eastAsia="zh-CN"/>
        </w:rPr>
        <w:t>0.0058</w:t>
      </w:r>
      <w:r>
        <w:rPr>
          <w:rFonts w:ascii="Times New Roman" w:hAnsi="Times New Roman"/>
          <w:sz w:val="24"/>
        </w:rPr>
        <w:t>kg/h。</w:t>
      </w:r>
    </w:p>
    <w:p>
      <w:pPr>
        <w:pStyle w:val="14"/>
        <w:overflowPunct w:val="0"/>
        <w:spacing w:line="360" w:lineRule="auto"/>
        <w:ind w:firstLine="480" w:firstLineChars="200"/>
        <w:rPr>
          <w:rFonts w:ascii="Times New Roman" w:hAnsi="Times New Roman"/>
          <w:b/>
          <w:bCs w:val="0"/>
          <w:sz w:val="24"/>
          <w:lang w:eastAsia="zh-CN"/>
        </w:rPr>
      </w:pPr>
      <w:r>
        <w:rPr>
          <w:rFonts w:ascii="Times New Roman" w:hAnsi="Times New Roman"/>
          <w:sz w:val="24"/>
        </w:rPr>
        <w:t>矸石临时堆场采用防尘网覆盖的方式减少堆场扬尘的产生。</w:t>
      </w:r>
      <w:r>
        <w:rPr>
          <w:rFonts w:ascii="Times New Roman" w:hAnsi="Times New Roman"/>
          <w:b/>
          <w:bCs w:val="0"/>
          <w:sz w:val="24"/>
        </w:rPr>
        <w:t>本次环评要求：矸石临时堆场建为顶部遮盖、三面围挡封闭的半封闭式的钢架结构彩钢棚，并在矸石临时堆场的敞开位置加设防尘网和防尘水雾喷洒系统，在煤矸石的转载点设置喷雾降尘装置，防止粉尘污染。</w:t>
      </w:r>
      <w:r>
        <w:rPr>
          <w:rFonts w:ascii="Times New Roman" w:hAnsi="Times New Roman"/>
          <w:sz w:val="24"/>
          <w:lang w:eastAsia="zh-CN"/>
        </w:rPr>
        <w:t>其除尘效率为90%，则矸石临时堆场扬尘排放量为0.046</w:t>
      </w:r>
      <w:r>
        <w:rPr>
          <w:rFonts w:ascii="Times New Roman" w:hAnsi="Times New Roman"/>
          <w:sz w:val="24"/>
        </w:rPr>
        <w:t>t/a，排放速率为</w:t>
      </w:r>
      <w:r>
        <w:rPr>
          <w:rFonts w:ascii="Times New Roman" w:hAnsi="Times New Roman"/>
          <w:sz w:val="24"/>
          <w:lang w:eastAsia="zh-CN"/>
        </w:rPr>
        <w:t>0.0058</w:t>
      </w:r>
      <w:r>
        <w:rPr>
          <w:rFonts w:ascii="Times New Roman" w:hAnsi="Times New Roman"/>
          <w:sz w:val="24"/>
        </w:rPr>
        <w:t>kg/h。</w:t>
      </w:r>
    </w:p>
    <w:p>
      <w:pPr>
        <w:pStyle w:val="14"/>
        <w:kinsoku w:val="0"/>
        <w:overflowPunct w:val="0"/>
        <w:spacing w:before="36" w:line="338" w:lineRule="auto"/>
        <w:ind w:right="110" w:firstLine="480"/>
        <w:rPr>
          <w:rFonts w:ascii="Times New Roman" w:hAnsi="Times New Roman"/>
          <w:sz w:val="24"/>
        </w:rPr>
      </w:pPr>
      <w:r>
        <w:rPr>
          <w:rFonts w:ascii="Times New Roman" w:hAnsi="Times New Roman"/>
          <w:sz w:val="24"/>
        </w:rPr>
        <w:t>采取上述措施后，</w:t>
      </w:r>
      <w:r>
        <w:rPr>
          <w:rFonts w:ascii="Times New Roman" w:hAnsi="Times New Roman"/>
          <w:sz w:val="24"/>
          <w:lang w:eastAsia="zh-CN"/>
        </w:rPr>
        <w:t>堆场扬尘</w:t>
      </w:r>
      <w:r>
        <w:rPr>
          <w:rFonts w:ascii="Times New Roman" w:hAnsi="Times New Roman"/>
          <w:sz w:val="24"/>
        </w:rPr>
        <w:t>排放量为</w:t>
      </w:r>
      <w:r>
        <w:rPr>
          <w:rFonts w:ascii="Times New Roman" w:hAnsi="Times New Roman"/>
          <w:sz w:val="24"/>
          <w:lang w:eastAsia="zh-CN"/>
        </w:rPr>
        <w:t>0.092</w:t>
      </w:r>
      <w:r>
        <w:rPr>
          <w:rFonts w:ascii="Times New Roman" w:hAnsi="Times New Roman"/>
          <w:sz w:val="24"/>
        </w:rPr>
        <w:t>t/a，排放速率为</w:t>
      </w:r>
      <w:r>
        <w:rPr>
          <w:rFonts w:ascii="Times New Roman" w:hAnsi="Times New Roman"/>
          <w:sz w:val="24"/>
          <w:lang w:eastAsia="zh-CN"/>
        </w:rPr>
        <w:t>0.0116</w:t>
      </w:r>
      <w:r>
        <w:rPr>
          <w:rFonts w:ascii="Times New Roman" w:hAnsi="Times New Roman"/>
          <w:sz w:val="24"/>
        </w:rPr>
        <w:t>kg/h。</w:t>
      </w:r>
    </w:p>
    <w:p>
      <w:pPr>
        <w:spacing w:line="360" w:lineRule="auto"/>
        <w:ind w:firstLine="482" w:firstLineChars="200"/>
        <w:rPr>
          <w:rFonts w:hAnsi="Times New Roman" w:eastAsia="宋体"/>
          <w:b/>
          <w:bCs/>
          <w:lang w:eastAsia="zh-CN"/>
        </w:rPr>
      </w:pPr>
      <w:r>
        <w:rPr>
          <w:rFonts w:hAnsi="Times New Roman" w:eastAsia="宋体"/>
          <w:b/>
          <w:bCs/>
          <w:lang w:eastAsia="zh-CN"/>
        </w:rPr>
        <w:t>（4）道路扬尘</w:t>
      </w:r>
    </w:p>
    <w:p>
      <w:pPr>
        <w:spacing w:line="360" w:lineRule="auto"/>
        <w:ind w:firstLine="480" w:firstLineChars="200"/>
        <w:rPr>
          <w:rFonts w:hAnsi="Times New Roman" w:eastAsia="宋体"/>
          <w:lang w:eastAsia="zh-CN"/>
        </w:rPr>
      </w:pPr>
      <w:r>
        <w:rPr>
          <w:rFonts w:hAnsi="Times New Roman" w:eastAsia="宋体"/>
          <w:lang w:eastAsia="zh-CN"/>
        </w:rPr>
        <w:t>项目原煤、矸石等通过汽车运输，会产生运输扬尘，为了控制汽车运输产生的扬尘。环评要求：</w:t>
      </w:r>
    </w:p>
    <w:p>
      <w:pPr>
        <w:spacing w:line="360" w:lineRule="auto"/>
        <w:ind w:firstLine="480" w:firstLineChars="200"/>
        <w:rPr>
          <w:rFonts w:hAnsi="Times New Roman" w:eastAsia="宋体"/>
          <w:lang w:eastAsia="zh-CN"/>
        </w:rPr>
      </w:pPr>
      <w:r>
        <w:rPr>
          <w:rFonts w:hAnsi="Times New Roman" w:eastAsia="宋体"/>
          <w:lang w:eastAsia="zh-CN"/>
        </w:rPr>
        <w:t>工业场地厂区出口设置车辆冲洗平台，运煤车辆离厂前冲洗车轮、底盘以及车身，以防止车辆带尘上路；运煤、运矸汽车装载后加盖篷布，进行限速限重；对运输道路定期洒水降尘，并派专人维护路面平整。</w:t>
      </w:r>
    </w:p>
    <w:p>
      <w:pPr>
        <w:spacing w:line="360" w:lineRule="auto"/>
        <w:ind w:firstLine="482" w:firstLineChars="200"/>
        <w:rPr>
          <w:rFonts w:hAnsi="Times New Roman" w:eastAsia="宋体"/>
          <w:b/>
          <w:bCs/>
          <w:szCs w:val="22"/>
          <w:lang w:eastAsia="zh-CN"/>
        </w:rPr>
      </w:pPr>
      <w:r>
        <w:rPr>
          <w:rFonts w:hAnsi="Times New Roman" w:eastAsia="宋体"/>
          <w:b/>
          <w:bCs/>
          <w:szCs w:val="22"/>
          <w:lang w:eastAsia="zh-CN"/>
        </w:rPr>
        <w:t>（5）瓦斯</w:t>
      </w:r>
    </w:p>
    <w:p>
      <w:pPr>
        <w:spacing w:line="360" w:lineRule="auto"/>
        <w:ind w:firstLine="480" w:firstLineChars="200"/>
        <w:rPr>
          <w:rFonts w:hAnsi="Times New Roman" w:eastAsia="宋体"/>
          <w:lang w:eastAsia="zh-CN"/>
        </w:rPr>
      </w:pPr>
      <w:r>
        <w:rPr>
          <w:rFonts w:hAnsi="Times New Roman" w:eastAsia="宋体"/>
          <w:lang w:eastAsia="zh-CN"/>
        </w:rPr>
        <w:t>根据四川科恩工程安全技术咨询有限公司《达州市宣汉县七里峡煤业有限公司七里峡煤矿（2018年度）矿井瓦斯涌出量测定报告》（报告编号201812），矿井绝对瓦斯涌出量为1.542m</w:t>
      </w:r>
      <w:r>
        <w:rPr>
          <w:rFonts w:hAnsi="Times New Roman" w:eastAsia="宋体"/>
          <w:vertAlign w:val="superscript"/>
          <w:lang w:eastAsia="zh-CN"/>
        </w:rPr>
        <w:t>3</w:t>
      </w:r>
      <w:r>
        <w:rPr>
          <w:rFonts w:hAnsi="Times New Roman" w:eastAsia="宋体"/>
          <w:lang w:eastAsia="zh-CN"/>
        </w:rPr>
        <w:t>/min，矿井相对瓦斯涌出量为5.250m</w:t>
      </w:r>
      <w:r>
        <w:rPr>
          <w:rFonts w:hAnsi="Times New Roman" w:eastAsia="宋体"/>
          <w:vertAlign w:val="superscript"/>
          <w:lang w:eastAsia="zh-CN"/>
        </w:rPr>
        <w:t>3</w:t>
      </w:r>
      <w:r>
        <w:rPr>
          <w:rFonts w:hAnsi="Times New Roman" w:eastAsia="宋体"/>
          <w:lang w:eastAsia="zh-CN"/>
        </w:rPr>
        <w:t>/t；采面最大绝对瓦斯涌出量为0.267m</w:t>
      </w:r>
      <w:r>
        <w:rPr>
          <w:rFonts w:hAnsi="Times New Roman" w:eastAsia="宋体"/>
          <w:vertAlign w:val="superscript"/>
          <w:lang w:eastAsia="zh-CN"/>
        </w:rPr>
        <w:t>3</w:t>
      </w:r>
      <w:r>
        <w:rPr>
          <w:rFonts w:hAnsi="Times New Roman" w:eastAsia="宋体"/>
          <w:lang w:eastAsia="zh-CN"/>
        </w:rPr>
        <w:t>/min，掘进面绝对瓦斯涌出量最大为0.065 m</w:t>
      </w:r>
      <w:r>
        <w:rPr>
          <w:rFonts w:hAnsi="Times New Roman" w:eastAsia="宋体"/>
          <w:vertAlign w:val="superscript"/>
          <w:lang w:eastAsia="zh-CN"/>
        </w:rPr>
        <w:t>3</w:t>
      </w:r>
      <w:r>
        <w:rPr>
          <w:rFonts w:hAnsi="Times New Roman" w:eastAsia="宋体"/>
          <w:lang w:eastAsia="zh-CN"/>
        </w:rPr>
        <w:t>/min；无瓦斯动力和喷出现象，测定七里峡煤矿为低瓦斯矿井。</w:t>
      </w:r>
    </w:p>
    <w:p>
      <w:pPr>
        <w:spacing w:line="360" w:lineRule="auto"/>
        <w:ind w:firstLine="480" w:firstLineChars="200"/>
        <w:rPr>
          <w:rFonts w:hAnsi="Times New Roman" w:eastAsia="宋体"/>
          <w:szCs w:val="22"/>
          <w:lang w:eastAsia="zh-CN"/>
        </w:rPr>
      </w:pPr>
      <w:r>
        <w:rPr>
          <w:rFonts w:hAnsi="Times New Roman" w:eastAsia="宋体"/>
          <w:szCs w:val="22"/>
          <w:lang w:eastAsia="zh-CN"/>
        </w:rPr>
        <w:t>瓦斯主要成分是烷烃，其中甲烷占绝大多数，另有少量的其他物质（氧气、氮气等）。矿井选择机械抽出式通风方法。煤矿瓦斯通过机械抽风换气系统由风井口排放，能达到《煤层气</w:t>
      </w:r>
      <w:r>
        <w:rPr>
          <w:rFonts w:hint="eastAsia" w:hAnsi="Times New Roman" w:eastAsia="宋体"/>
          <w:szCs w:val="22"/>
          <w:lang w:eastAsia="zh-CN"/>
        </w:rPr>
        <w:t>（</w:t>
      </w:r>
      <w:r>
        <w:rPr>
          <w:rFonts w:hAnsi="Times New Roman" w:eastAsia="宋体"/>
          <w:szCs w:val="22"/>
          <w:lang w:eastAsia="zh-CN"/>
        </w:rPr>
        <w:t>煤矿瓦斯</w:t>
      </w:r>
      <w:r>
        <w:rPr>
          <w:rFonts w:hint="eastAsia" w:hAnsi="Times New Roman" w:eastAsia="宋体"/>
          <w:szCs w:val="22"/>
          <w:lang w:eastAsia="zh-CN"/>
        </w:rPr>
        <w:t>）</w:t>
      </w:r>
      <w:r>
        <w:rPr>
          <w:rFonts w:hAnsi="Times New Roman" w:eastAsia="宋体"/>
          <w:szCs w:val="22"/>
          <w:lang w:eastAsia="zh-CN"/>
        </w:rPr>
        <w:t>排放标准</w:t>
      </w:r>
      <w:r>
        <w:rPr>
          <w:rFonts w:hint="eastAsia" w:hAnsi="Times New Roman" w:eastAsia="宋体"/>
          <w:szCs w:val="22"/>
          <w:lang w:eastAsia="zh-CN"/>
        </w:rPr>
        <w:t>（</w:t>
      </w:r>
      <w:r>
        <w:rPr>
          <w:rFonts w:hAnsi="Times New Roman" w:eastAsia="宋体"/>
          <w:szCs w:val="22"/>
          <w:lang w:eastAsia="zh-CN"/>
        </w:rPr>
        <w:t>暂行</w:t>
      </w:r>
      <w:r>
        <w:rPr>
          <w:rFonts w:hint="eastAsia" w:hAnsi="Times New Roman" w:eastAsia="宋体"/>
          <w:szCs w:val="22"/>
          <w:lang w:eastAsia="zh-CN"/>
        </w:rPr>
        <w:t>）</w:t>
      </w:r>
      <w:r>
        <w:rPr>
          <w:rFonts w:hAnsi="Times New Roman" w:eastAsia="宋体"/>
          <w:szCs w:val="22"/>
          <w:lang w:eastAsia="zh-CN"/>
        </w:rPr>
        <w:t>》</w:t>
      </w:r>
      <w:r>
        <w:rPr>
          <w:rFonts w:hint="eastAsia" w:hAnsi="Times New Roman" w:eastAsia="宋体"/>
          <w:szCs w:val="22"/>
          <w:lang w:eastAsia="zh-CN"/>
        </w:rPr>
        <w:t>（</w:t>
      </w:r>
      <w:r>
        <w:rPr>
          <w:rFonts w:hAnsi="Times New Roman" w:eastAsia="宋体"/>
          <w:szCs w:val="22"/>
          <w:lang w:eastAsia="zh-CN"/>
        </w:rPr>
        <w:t>GB21522-2008</w:t>
      </w:r>
      <w:r>
        <w:rPr>
          <w:rFonts w:hint="eastAsia" w:hAnsi="Times New Roman" w:eastAsia="宋体"/>
          <w:szCs w:val="22"/>
          <w:lang w:eastAsia="zh-CN"/>
        </w:rPr>
        <w:t>）</w:t>
      </w:r>
      <w:r>
        <w:rPr>
          <w:rFonts w:hAnsi="Times New Roman" w:eastAsia="宋体"/>
          <w:szCs w:val="22"/>
          <w:lang w:eastAsia="zh-CN"/>
        </w:rPr>
        <w:t>中相关要求。矿井设计生产能力为 300kt/a，根据项目预测计算，七里峡煤矿扩建后</w:t>
      </w:r>
      <w:r>
        <w:rPr>
          <w:rFonts w:hAnsi="Times New Roman" w:eastAsia="宋体"/>
          <w:szCs w:val="24"/>
        </w:rPr>
        <w:t>矿井最大相对瓦斯涌出量为</w:t>
      </w:r>
      <w:r>
        <w:rPr>
          <w:rFonts w:hAnsi="Times New Roman" w:eastAsia="宋体"/>
          <w:szCs w:val="24"/>
          <w:lang w:eastAsia="zh-CN"/>
        </w:rPr>
        <w:t>6.86</w:t>
      </w:r>
      <w:r>
        <w:rPr>
          <w:rFonts w:hAnsi="Times New Roman" w:eastAsia="宋体"/>
          <w:szCs w:val="24"/>
        </w:rPr>
        <w:t>m</w:t>
      </w:r>
      <w:r>
        <w:rPr>
          <w:rFonts w:hAnsi="Times New Roman" w:eastAsia="宋体"/>
          <w:szCs w:val="24"/>
          <w:vertAlign w:val="superscript"/>
        </w:rPr>
        <w:t>3</w:t>
      </w:r>
      <w:r>
        <w:rPr>
          <w:rFonts w:hAnsi="Times New Roman" w:eastAsia="宋体"/>
          <w:szCs w:val="24"/>
        </w:rPr>
        <w:t>/t，绝对瓦斯涌出量为</w:t>
      </w:r>
      <w:r>
        <w:rPr>
          <w:rFonts w:hAnsi="Times New Roman" w:eastAsia="宋体"/>
          <w:szCs w:val="24"/>
          <w:lang w:eastAsia="zh-CN"/>
        </w:rPr>
        <w:t>4.42</w:t>
      </w:r>
      <w:r>
        <w:rPr>
          <w:rFonts w:hAnsi="Times New Roman" w:eastAsia="宋体"/>
          <w:szCs w:val="24"/>
        </w:rPr>
        <w:t>m</w:t>
      </w:r>
      <w:r>
        <w:rPr>
          <w:rFonts w:hAnsi="Times New Roman" w:eastAsia="宋体"/>
          <w:szCs w:val="24"/>
          <w:vertAlign w:val="superscript"/>
        </w:rPr>
        <w:t>3</w:t>
      </w:r>
      <w:r>
        <w:rPr>
          <w:rFonts w:hAnsi="Times New Roman" w:eastAsia="宋体"/>
          <w:szCs w:val="24"/>
        </w:rPr>
        <w:t>/min</w:t>
      </w:r>
      <w:r>
        <w:rPr>
          <w:rFonts w:hAnsi="Times New Roman" w:eastAsia="宋体"/>
          <w:szCs w:val="24"/>
          <w:lang w:eastAsia="zh-CN"/>
        </w:rPr>
        <w:t>，</w:t>
      </w:r>
      <w:r>
        <w:rPr>
          <w:rFonts w:hAnsi="Times New Roman" w:eastAsia="宋体"/>
          <w:szCs w:val="24"/>
        </w:rPr>
        <w:t>采煤工作面最大绝对瓦斯涌出量为</w:t>
      </w:r>
      <w:r>
        <w:rPr>
          <w:rFonts w:hAnsi="Times New Roman" w:eastAsia="宋体"/>
          <w:szCs w:val="24"/>
          <w:lang w:eastAsia="zh-CN"/>
        </w:rPr>
        <w:t>2.34</w:t>
      </w:r>
      <w:r>
        <w:rPr>
          <w:rFonts w:hAnsi="Times New Roman" w:eastAsia="宋体"/>
          <w:szCs w:val="24"/>
        </w:rPr>
        <w:t>m</w:t>
      </w:r>
      <w:r>
        <w:rPr>
          <w:rFonts w:hAnsi="Times New Roman" w:eastAsia="宋体"/>
          <w:szCs w:val="24"/>
          <w:vertAlign w:val="superscript"/>
        </w:rPr>
        <w:t>3</w:t>
      </w:r>
      <w:r>
        <w:rPr>
          <w:rFonts w:hAnsi="Times New Roman" w:eastAsia="宋体"/>
          <w:szCs w:val="24"/>
        </w:rPr>
        <w:t>/min，</w:t>
      </w:r>
      <w:r>
        <w:rPr>
          <w:rFonts w:hAnsi="Times New Roman" w:eastAsia="宋体"/>
          <w:szCs w:val="24"/>
          <w:lang w:eastAsia="zh-CN"/>
        </w:rPr>
        <w:t>单个</w:t>
      </w:r>
      <w:r>
        <w:rPr>
          <w:rFonts w:hAnsi="Times New Roman" w:eastAsia="宋体"/>
          <w:szCs w:val="24"/>
        </w:rPr>
        <w:t>掘进工作面最大绝对瓦斯涌出量为</w:t>
      </w:r>
      <w:r>
        <w:rPr>
          <w:rFonts w:hAnsi="Times New Roman" w:eastAsia="宋体"/>
          <w:szCs w:val="24"/>
          <w:lang w:eastAsia="zh-CN"/>
        </w:rPr>
        <w:t>0.528</w:t>
      </w:r>
      <w:r>
        <w:rPr>
          <w:rFonts w:hAnsi="Times New Roman" w:eastAsia="宋体"/>
          <w:szCs w:val="22"/>
          <w:lang w:eastAsia="zh-CN"/>
        </w:rPr>
        <w:t>m</w:t>
      </w:r>
      <w:r>
        <w:rPr>
          <w:rFonts w:hAnsi="Times New Roman" w:eastAsia="宋体"/>
          <w:szCs w:val="22"/>
          <w:vertAlign w:val="superscript"/>
          <w:lang w:eastAsia="zh-CN"/>
        </w:rPr>
        <w:t>3</w:t>
      </w:r>
      <w:r>
        <w:rPr>
          <w:rFonts w:hAnsi="Times New Roman" w:eastAsia="宋体"/>
          <w:szCs w:val="22"/>
          <w:lang w:eastAsia="zh-CN"/>
        </w:rPr>
        <w:t>/min。预测七里峡煤矿扩建后仍为低瓦斯矿井。</w:t>
      </w:r>
    </w:p>
    <w:p>
      <w:pPr>
        <w:spacing w:line="360" w:lineRule="auto"/>
        <w:ind w:firstLine="480" w:firstLineChars="200"/>
        <w:rPr>
          <w:rFonts w:hAnsi="Times New Roman" w:eastAsia="宋体"/>
          <w:b/>
          <w:bCs/>
          <w:szCs w:val="22"/>
          <w:lang w:eastAsia="zh-CN"/>
        </w:rPr>
      </w:pPr>
      <w:r>
        <w:rPr>
          <w:rFonts w:hint="eastAsia" w:hAnsi="Times New Roman" w:eastAsia="宋体"/>
          <w:szCs w:val="24"/>
          <w:lang w:eastAsia="zh-CN"/>
        </w:rPr>
        <w:t>根据《关于进一步加强煤炭资源开发环境影响评价管理的通知》（环环评〔2020〕63号）要求：“提高煤矿瓦斯利用率，控制温室气体排放。高瓦斯、煤与瓦斯突出矿井应配套建设瓦斯抽采与综合利用设施，甲烷体积浓度大于等于8%的抽采瓦斯，在确保安全的前提下，应进行综合利用。鼓励对甲烷体积浓度在2%（含）至8%的抽采瓦斯以及乏风瓦斯，探索开展综合利用。确需排放的，应满足《煤层气（煤矿瓦斯）排放标准（暂行）》要求。”</w:t>
      </w:r>
      <w:r>
        <w:rPr>
          <w:rFonts w:hint="eastAsia" w:hAnsi="Times New Roman" w:eastAsia="宋体"/>
          <w:b/>
          <w:bCs/>
          <w:szCs w:val="24"/>
          <w:lang w:eastAsia="zh-CN"/>
        </w:rPr>
        <w:t>本项目瓦斯浓度为0.12%，</w:t>
      </w:r>
      <w:r>
        <w:rPr>
          <w:rFonts w:hint="eastAsia" w:hAnsi="Times New Roman" w:eastAsia="宋体"/>
          <w:b/>
          <w:bCs/>
          <w:szCs w:val="22"/>
          <w:lang w:eastAsia="zh-CN"/>
        </w:rPr>
        <w:t>为低瓦斯矿井，矿井瓦斯涌出量较小，瓦斯暂无利用价值。</w:t>
      </w:r>
      <w:r>
        <w:rPr>
          <w:rFonts w:hint="eastAsia" w:hAnsi="Times New Roman" w:eastAsia="宋体"/>
          <w:szCs w:val="22"/>
          <w:lang w:eastAsia="zh-CN"/>
        </w:rPr>
        <w:t>根据国家煤矿安全监察局</w:t>
      </w:r>
      <w:r>
        <w:rPr>
          <w:rFonts w:hAnsi="Times New Roman" w:eastAsia="宋体"/>
          <w:szCs w:val="22"/>
          <w:lang w:eastAsia="zh-CN"/>
        </w:rPr>
        <w:t>2016</w:t>
      </w:r>
      <w:r>
        <w:rPr>
          <w:rFonts w:hint="eastAsia" w:hAnsi="Times New Roman" w:eastAsia="宋体"/>
          <w:szCs w:val="22"/>
          <w:lang w:eastAsia="zh-CN"/>
        </w:rPr>
        <w:t>年颁布的《煤矿安全规程》第</w:t>
      </w:r>
      <w:r>
        <w:rPr>
          <w:rFonts w:hAnsi="Times New Roman" w:eastAsia="宋体"/>
          <w:szCs w:val="22"/>
          <w:lang w:eastAsia="zh-CN"/>
        </w:rPr>
        <w:t>181</w:t>
      </w:r>
      <w:r>
        <w:rPr>
          <w:rFonts w:hint="eastAsia" w:hAnsi="Times New Roman" w:eastAsia="宋体"/>
          <w:szCs w:val="22"/>
          <w:lang w:eastAsia="zh-CN"/>
        </w:rPr>
        <w:t>条和《煤矿瓦斯抽采工程设计标准》（</w:t>
      </w:r>
      <w:r>
        <w:rPr>
          <w:rFonts w:hAnsi="Times New Roman" w:eastAsia="宋体"/>
          <w:szCs w:val="22"/>
          <w:lang w:eastAsia="zh-CN"/>
        </w:rPr>
        <w:t>GB50471-2018</w:t>
      </w:r>
      <w:r>
        <w:rPr>
          <w:rFonts w:hint="eastAsia" w:hAnsi="Times New Roman" w:eastAsia="宋体"/>
          <w:szCs w:val="22"/>
          <w:lang w:eastAsia="zh-CN"/>
        </w:rPr>
        <w:t>）第</w:t>
      </w:r>
      <w:r>
        <w:rPr>
          <w:rFonts w:hAnsi="Times New Roman" w:eastAsia="宋体"/>
          <w:szCs w:val="22"/>
          <w:lang w:eastAsia="zh-CN"/>
        </w:rPr>
        <w:t>5.1.1</w:t>
      </w:r>
      <w:r>
        <w:rPr>
          <w:rFonts w:hint="eastAsia" w:hAnsi="Times New Roman" w:eastAsia="宋体"/>
          <w:szCs w:val="22"/>
          <w:lang w:eastAsia="zh-CN"/>
        </w:rPr>
        <w:t>条规定该项目可以不建瓦斯抽采系统。</w:t>
      </w:r>
      <w:r>
        <w:rPr>
          <w:rFonts w:hint="eastAsia" w:hAnsi="Times New Roman" w:eastAsia="宋体"/>
          <w:b/>
          <w:bCs/>
          <w:szCs w:val="22"/>
          <w:lang w:eastAsia="zh-CN"/>
        </w:rPr>
        <w:t>但为了应对今后矿井局部区域瓦斯涌出量增加，防治采煤工作面回风隅角瓦斯超限，项目设计提出建立瓦斯抽采系统。</w:t>
      </w:r>
    </w:p>
    <w:p>
      <w:pPr>
        <w:spacing w:line="360" w:lineRule="auto"/>
        <w:ind w:firstLine="480" w:firstLineChars="200"/>
        <w:rPr>
          <w:rFonts w:hAnsi="Times New Roman" w:eastAsia="宋体"/>
          <w:szCs w:val="22"/>
          <w:lang w:eastAsia="zh-CN"/>
        </w:rPr>
      </w:pPr>
      <w:r>
        <w:rPr>
          <w:rFonts w:hAnsi="Times New Roman" w:eastAsia="宋体"/>
          <w:szCs w:val="22"/>
          <w:lang w:eastAsia="zh-CN"/>
        </w:rPr>
        <w:t>设计采用地面固定瓦斯抽采系统，矿井初期投产时在+572m回风平硐工业场地附近建立固定瓦斯抽采泵站，站内配备瓦斯抽采设备，为开采</w:t>
      </w:r>
      <w:r>
        <w:rPr>
          <w:rFonts w:hint="eastAsia" w:hAnsi="Times New Roman" w:eastAsia="宋体"/>
          <w:szCs w:val="22"/>
          <w:lang w:eastAsia="zh-CN"/>
        </w:rPr>
        <w:t>一、二</w:t>
      </w:r>
      <w:r>
        <w:rPr>
          <w:rFonts w:hAnsi="Times New Roman" w:eastAsia="宋体"/>
          <w:szCs w:val="22"/>
          <w:lang w:eastAsia="zh-CN"/>
        </w:rPr>
        <w:t>采区瓦斯抽采服务，由抽采泵站沿+572m回风平硐敷设瓦斯抽采主管、支管路至井下采煤工作面回风巷，并设置相应附属设施所组成的专用管道系统，将采煤工作面采空区顶板裂隙瓦斯抽排至+572m回风平硐地面；待</w:t>
      </w:r>
      <w:r>
        <w:rPr>
          <w:rFonts w:hint="eastAsia" w:hAnsi="Times New Roman" w:eastAsia="宋体"/>
          <w:szCs w:val="22"/>
          <w:lang w:eastAsia="zh-CN"/>
        </w:rPr>
        <w:t>一、二</w:t>
      </w:r>
      <w:r>
        <w:rPr>
          <w:rFonts w:hAnsi="Times New Roman" w:eastAsia="宋体"/>
          <w:szCs w:val="22"/>
          <w:lang w:eastAsia="zh-CN"/>
        </w:rPr>
        <w:t>采区开采完毕后，瓦斯抽采泵站搬迁至+548m回风平硐工业场地附近，为开采</w:t>
      </w:r>
      <w:r>
        <w:rPr>
          <w:rFonts w:hint="eastAsia" w:hAnsi="Times New Roman" w:eastAsia="宋体"/>
          <w:szCs w:val="22"/>
          <w:lang w:eastAsia="zh-CN"/>
        </w:rPr>
        <w:t>三</w:t>
      </w:r>
      <w:r>
        <w:rPr>
          <w:rFonts w:hAnsi="Times New Roman" w:eastAsia="宋体"/>
          <w:szCs w:val="22"/>
          <w:lang w:eastAsia="zh-CN"/>
        </w:rPr>
        <w:t>采区瓦斯抽采服务。其特点是能较有效地抽出部分采空区瓦斯，防止工作面上隅角瓦斯超限。</w:t>
      </w:r>
    </w:p>
    <w:p>
      <w:pPr>
        <w:widowControl/>
        <w:adjustRightInd w:val="0"/>
        <w:spacing w:line="360" w:lineRule="auto"/>
        <w:ind w:firstLine="480" w:firstLineChars="200"/>
        <w:rPr>
          <w:rFonts w:hAnsi="Times New Roman" w:eastAsia="宋体"/>
          <w:lang w:bidi="en-US"/>
        </w:rPr>
      </w:pPr>
      <w:r>
        <w:rPr>
          <w:rFonts w:hAnsi="Times New Roman" w:eastAsia="宋体"/>
          <w:lang w:eastAsia="zh-CN" w:bidi="en-US"/>
        </w:rPr>
        <w:t>七里峡</w:t>
      </w:r>
      <w:r>
        <w:rPr>
          <w:rFonts w:hAnsi="Times New Roman" w:eastAsia="宋体"/>
          <w:lang w:bidi="en-US"/>
        </w:rPr>
        <w:t>煤矿总瓦斯资源量为</w:t>
      </w:r>
      <w:r>
        <w:rPr>
          <w:rFonts w:hAnsi="Times New Roman" w:eastAsia="宋体"/>
          <w:lang w:eastAsia="zh-CN" w:bidi="en-US"/>
        </w:rPr>
        <w:t>3006.0</w:t>
      </w:r>
      <w:r>
        <w:rPr>
          <w:rFonts w:hAnsi="Times New Roman" w:eastAsia="宋体"/>
          <w:lang w:bidi="en-US"/>
        </w:rPr>
        <w:t>万m</w:t>
      </w:r>
      <w:r>
        <w:rPr>
          <w:rFonts w:hAnsi="Times New Roman" w:eastAsia="宋体"/>
          <w:vertAlign w:val="superscript"/>
          <w:lang w:bidi="en-US"/>
        </w:rPr>
        <w:t>3</w:t>
      </w:r>
      <w:r>
        <w:rPr>
          <w:rFonts w:hAnsi="Times New Roman" w:eastAsia="宋体"/>
          <w:lang w:bidi="en-US"/>
        </w:rPr>
        <w:t>，</w:t>
      </w:r>
      <w:bookmarkStart w:id="123" w:name="_Hlk77847742"/>
      <w:r>
        <w:rPr>
          <w:rFonts w:hAnsi="Times New Roman" w:eastAsia="宋体"/>
          <w:lang w:bidi="en-US"/>
        </w:rPr>
        <w:t>矿井可抽出瓦斯量为</w:t>
      </w:r>
      <w:r>
        <w:rPr>
          <w:rFonts w:hAnsi="Times New Roman" w:eastAsia="宋体"/>
          <w:lang w:eastAsia="zh-CN" w:bidi="en-US"/>
        </w:rPr>
        <w:t>426.39</w:t>
      </w:r>
      <w:r>
        <w:rPr>
          <w:rFonts w:hAnsi="Times New Roman" w:eastAsia="宋体"/>
          <w:lang w:bidi="en-US"/>
        </w:rPr>
        <w:t>万m</w:t>
      </w:r>
      <w:r>
        <w:rPr>
          <w:rFonts w:hAnsi="Times New Roman" w:eastAsia="宋体"/>
          <w:vertAlign w:val="superscript"/>
          <w:lang w:bidi="en-US"/>
        </w:rPr>
        <w:t>3</w:t>
      </w:r>
      <w:r>
        <w:rPr>
          <w:rFonts w:hAnsi="Times New Roman" w:eastAsia="宋体"/>
          <w:lang w:bidi="en-US"/>
        </w:rPr>
        <w:t>，按矿井服务年限</w:t>
      </w:r>
      <w:r>
        <w:rPr>
          <w:rFonts w:hint="eastAsia" w:hAnsi="Times New Roman" w:eastAsia="宋体"/>
          <w:lang w:eastAsia="zh-CN" w:bidi="en-US"/>
        </w:rPr>
        <w:t>5.2</w:t>
      </w:r>
      <w:r>
        <w:rPr>
          <w:rFonts w:hAnsi="Times New Roman" w:eastAsia="宋体"/>
          <w:lang w:bidi="en-US"/>
        </w:rPr>
        <w:t>a计算，年抽采量</w:t>
      </w:r>
      <w:r>
        <w:rPr>
          <w:rFonts w:hAnsi="Times New Roman" w:eastAsia="宋体"/>
          <w:lang w:eastAsia="zh-CN" w:bidi="en-US"/>
        </w:rPr>
        <w:t>69.90</w:t>
      </w:r>
      <w:r>
        <w:rPr>
          <w:rFonts w:hAnsi="Times New Roman" w:eastAsia="宋体"/>
          <w:lang w:bidi="en-US"/>
        </w:rPr>
        <w:t>万m</w:t>
      </w:r>
      <w:r>
        <w:rPr>
          <w:rFonts w:hAnsi="Times New Roman" w:eastAsia="宋体"/>
          <w:vertAlign w:val="superscript"/>
          <w:lang w:bidi="en-US"/>
        </w:rPr>
        <w:t>3</w:t>
      </w:r>
      <w:r>
        <w:rPr>
          <w:rFonts w:hAnsi="Times New Roman" w:eastAsia="宋体"/>
          <w:lang w:bidi="en-US"/>
        </w:rPr>
        <w:t>。</w:t>
      </w:r>
      <w:bookmarkEnd w:id="123"/>
      <w:r>
        <w:rPr>
          <w:rFonts w:hAnsi="Times New Roman" w:eastAsia="宋体"/>
          <w:lang w:bidi="en-US"/>
        </w:rPr>
        <w:t>按年抽采时间365天计算，则矿井瓦斯抽采量为1.</w:t>
      </w:r>
      <w:r>
        <w:rPr>
          <w:rFonts w:hAnsi="Times New Roman" w:eastAsia="宋体"/>
          <w:lang w:eastAsia="zh-CN" w:bidi="en-US"/>
        </w:rPr>
        <w:t>33</w:t>
      </w:r>
      <w:r>
        <w:rPr>
          <w:rFonts w:hAnsi="Times New Roman" w:eastAsia="宋体"/>
          <w:lang w:bidi="en-US"/>
        </w:rPr>
        <w:t>m</w:t>
      </w:r>
      <w:r>
        <w:rPr>
          <w:rFonts w:hAnsi="Times New Roman" w:eastAsia="宋体"/>
          <w:vertAlign w:val="superscript"/>
          <w:lang w:bidi="en-US"/>
        </w:rPr>
        <w:t>3</w:t>
      </w:r>
      <w:r>
        <w:rPr>
          <w:rFonts w:hAnsi="Times New Roman" w:eastAsia="宋体"/>
          <w:lang w:bidi="en-US"/>
        </w:rPr>
        <w:t>/min。</w:t>
      </w:r>
    </w:p>
    <w:p>
      <w:pPr>
        <w:pStyle w:val="14"/>
        <w:overflowPunct w:val="0"/>
        <w:spacing w:line="360" w:lineRule="auto"/>
        <w:ind w:right="217" w:firstLine="480"/>
        <w:rPr>
          <w:rFonts w:ascii="Times New Roman" w:hAnsi="Times New Roman"/>
          <w:spacing w:val="-1"/>
          <w:sz w:val="24"/>
        </w:rPr>
      </w:pPr>
      <w:r>
        <w:rPr>
          <w:rFonts w:ascii="Times New Roman" w:hAnsi="Times New Roman"/>
          <w:sz w:val="24"/>
        </w:rPr>
        <w:t>矿井通过瓦斯抽采系统抽采井下至生产采区各抽采地点的瓦斯</w:t>
      </w:r>
      <w:r>
        <w:rPr>
          <w:rFonts w:ascii="Times New Roman" w:hAnsi="Times New Roman"/>
          <w:spacing w:val="-48"/>
          <w:sz w:val="24"/>
        </w:rPr>
        <w:t>，</w:t>
      </w:r>
      <w:r>
        <w:rPr>
          <w:rFonts w:ascii="Times New Roman" w:hAnsi="Times New Roman"/>
          <w:sz w:val="24"/>
        </w:rPr>
        <w:t>能达</w:t>
      </w:r>
      <w:r>
        <w:rPr>
          <w:rFonts w:ascii="Times New Roman" w:hAnsi="Times New Roman"/>
          <w:spacing w:val="-46"/>
          <w:sz w:val="24"/>
        </w:rPr>
        <w:t>到</w:t>
      </w:r>
      <w:r>
        <w:rPr>
          <w:rFonts w:ascii="Times New Roman" w:hAnsi="Times New Roman"/>
          <w:sz w:val="24"/>
        </w:rPr>
        <w:t>《煤</w:t>
      </w:r>
      <w:r>
        <w:rPr>
          <w:rFonts w:ascii="Times New Roman" w:hAnsi="Times New Roman"/>
          <w:spacing w:val="-1"/>
          <w:sz w:val="24"/>
        </w:rPr>
        <w:t>层气</w:t>
      </w:r>
      <w:r>
        <w:rPr>
          <w:rFonts w:hint="eastAsia" w:ascii="Times New Roman" w:hAnsi="Times New Roman"/>
          <w:spacing w:val="-1"/>
          <w:sz w:val="24"/>
        </w:rPr>
        <w:t>（</w:t>
      </w:r>
      <w:r>
        <w:rPr>
          <w:rFonts w:ascii="Times New Roman" w:hAnsi="Times New Roman"/>
          <w:spacing w:val="-1"/>
          <w:sz w:val="24"/>
        </w:rPr>
        <w:t>煤矿瓦斯</w:t>
      </w:r>
      <w:r>
        <w:rPr>
          <w:rFonts w:hint="eastAsia" w:ascii="Times New Roman" w:hAnsi="Times New Roman"/>
          <w:spacing w:val="-1"/>
          <w:sz w:val="24"/>
        </w:rPr>
        <w:t>）</w:t>
      </w:r>
      <w:r>
        <w:rPr>
          <w:rFonts w:ascii="Times New Roman" w:hAnsi="Times New Roman"/>
          <w:spacing w:val="-1"/>
          <w:sz w:val="24"/>
        </w:rPr>
        <w:t>排放标准</w:t>
      </w:r>
      <w:r>
        <w:rPr>
          <w:rFonts w:hint="eastAsia" w:ascii="Times New Roman" w:hAnsi="Times New Roman"/>
          <w:spacing w:val="-1"/>
          <w:sz w:val="24"/>
        </w:rPr>
        <w:t>（</w:t>
      </w:r>
      <w:r>
        <w:rPr>
          <w:rFonts w:ascii="Times New Roman" w:hAnsi="Times New Roman"/>
          <w:spacing w:val="-1"/>
          <w:sz w:val="24"/>
        </w:rPr>
        <w:t>暂行</w:t>
      </w:r>
      <w:r>
        <w:rPr>
          <w:rFonts w:hint="eastAsia" w:ascii="Times New Roman" w:hAnsi="Times New Roman"/>
          <w:spacing w:val="-1"/>
          <w:sz w:val="24"/>
        </w:rPr>
        <w:t>）</w:t>
      </w:r>
      <w:r>
        <w:rPr>
          <w:rFonts w:ascii="Times New Roman" w:hAnsi="Times New Roman"/>
          <w:spacing w:val="-1"/>
          <w:sz w:val="24"/>
        </w:rPr>
        <w:t>》</w:t>
      </w:r>
      <w:r>
        <w:rPr>
          <w:rFonts w:hint="eastAsia" w:ascii="Times New Roman" w:hAnsi="Times New Roman"/>
          <w:spacing w:val="-1"/>
          <w:sz w:val="24"/>
        </w:rPr>
        <w:t>（</w:t>
      </w:r>
      <w:r>
        <w:rPr>
          <w:rFonts w:ascii="Times New Roman" w:hAnsi="Times New Roman"/>
          <w:spacing w:val="-1"/>
          <w:sz w:val="24"/>
        </w:rPr>
        <w:t>GB21522-2008</w:t>
      </w:r>
      <w:r>
        <w:rPr>
          <w:rFonts w:hint="eastAsia" w:ascii="Times New Roman" w:hAnsi="Times New Roman"/>
          <w:spacing w:val="-1"/>
          <w:sz w:val="24"/>
        </w:rPr>
        <w:t>）</w:t>
      </w:r>
      <w:r>
        <w:rPr>
          <w:rFonts w:ascii="Times New Roman" w:hAnsi="Times New Roman"/>
          <w:spacing w:val="-1"/>
          <w:sz w:val="24"/>
        </w:rPr>
        <w:t>中相关要求。</w:t>
      </w:r>
    </w:p>
    <w:p>
      <w:pPr>
        <w:spacing w:line="360" w:lineRule="auto"/>
        <w:ind w:firstLine="482" w:firstLineChars="200"/>
        <w:rPr>
          <w:rFonts w:hAnsi="Times New Roman" w:eastAsia="宋体"/>
          <w:b/>
          <w:bCs/>
          <w:szCs w:val="22"/>
          <w:lang w:eastAsia="zh-CN"/>
        </w:rPr>
      </w:pPr>
      <w:r>
        <w:rPr>
          <w:rFonts w:hAnsi="Times New Roman" w:eastAsia="宋体"/>
          <w:b/>
          <w:bCs/>
          <w:szCs w:val="22"/>
          <w:lang w:eastAsia="zh-CN"/>
        </w:rPr>
        <w:t>（6）食堂油烟</w:t>
      </w:r>
    </w:p>
    <w:p>
      <w:pPr>
        <w:pStyle w:val="14"/>
        <w:kinsoku w:val="0"/>
        <w:overflowPunct w:val="0"/>
        <w:spacing w:line="360" w:lineRule="auto"/>
        <w:ind w:right="100" w:firstLine="480" w:firstLineChars="200"/>
        <w:rPr>
          <w:rFonts w:ascii="Times New Roman" w:hAnsi="Times New Roman"/>
          <w:spacing w:val="-1"/>
          <w:sz w:val="24"/>
        </w:rPr>
      </w:pPr>
      <w:r>
        <w:rPr>
          <w:rFonts w:ascii="Times New Roman" w:hAnsi="Times New Roman"/>
          <w:kern w:val="0"/>
          <w:sz w:val="24"/>
        </w:rPr>
        <w:t>本项目劳动定员</w:t>
      </w:r>
      <w:r>
        <w:rPr>
          <w:rFonts w:ascii="Times New Roman" w:hAnsi="Times New Roman"/>
          <w:kern w:val="0"/>
          <w:sz w:val="24"/>
          <w:lang w:eastAsia="zh-CN"/>
        </w:rPr>
        <w:t>425人</w:t>
      </w:r>
      <w:r>
        <w:rPr>
          <w:rFonts w:ascii="Times New Roman" w:hAnsi="Times New Roman"/>
          <w:spacing w:val="-24"/>
          <w:sz w:val="24"/>
        </w:rPr>
        <w:t>，</w:t>
      </w:r>
      <w:r>
        <w:rPr>
          <w:rFonts w:ascii="Times New Roman" w:hAnsi="Times New Roman"/>
          <w:sz w:val="24"/>
        </w:rPr>
        <w:t>提供</w:t>
      </w:r>
      <w:r>
        <w:rPr>
          <w:rFonts w:ascii="Times New Roman" w:hAnsi="Times New Roman"/>
          <w:spacing w:val="-60"/>
          <w:sz w:val="24"/>
        </w:rPr>
        <w:t xml:space="preserve"> </w:t>
      </w:r>
      <w:r>
        <w:rPr>
          <w:rFonts w:ascii="Times New Roman" w:hAnsi="Times New Roman"/>
          <w:sz w:val="24"/>
        </w:rPr>
        <w:t>2餐/</w:t>
      </w:r>
      <w:r>
        <w:rPr>
          <w:rFonts w:ascii="Times New Roman" w:hAnsi="Times New Roman"/>
          <w:spacing w:val="-3"/>
          <w:sz w:val="24"/>
        </w:rPr>
        <w:t>d</w:t>
      </w:r>
      <w:r>
        <w:rPr>
          <w:rFonts w:ascii="Times New Roman" w:hAnsi="Times New Roman"/>
          <w:spacing w:val="-24"/>
          <w:sz w:val="24"/>
        </w:rPr>
        <w:t>。</w:t>
      </w:r>
      <w:r>
        <w:rPr>
          <w:rFonts w:ascii="Times New Roman" w:hAnsi="Times New Roman"/>
          <w:sz w:val="24"/>
        </w:rPr>
        <w:t>食堂在烹饪</w:t>
      </w:r>
      <w:r>
        <w:rPr>
          <w:rFonts w:ascii="Times New Roman" w:hAnsi="Times New Roman"/>
          <w:spacing w:val="-24"/>
          <w:sz w:val="24"/>
        </w:rPr>
        <w:t>、</w:t>
      </w:r>
      <w:r>
        <w:rPr>
          <w:rFonts w:ascii="Times New Roman" w:hAnsi="Times New Roman"/>
          <w:sz w:val="24"/>
        </w:rPr>
        <w:t>加工过程中会挥发出油脂</w:t>
      </w:r>
      <w:r>
        <w:rPr>
          <w:rFonts w:ascii="Times New Roman" w:hAnsi="Times New Roman"/>
          <w:spacing w:val="-32"/>
          <w:sz w:val="24"/>
        </w:rPr>
        <w:t>、</w:t>
      </w:r>
      <w:r>
        <w:rPr>
          <w:rFonts w:ascii="Times New Roman" w:hAnsi="Times New Roman"/>
          <w:sz w:val="24"/>
        </w:rPr>
        <w:t>有机质及热分解或裂解产物</w:t>
      </w:r>
      <w:r>
        <w:rPr>
          <w:rFonts w:ascii="Times New Roman" w:hAnsi="Times New Roman"/>
          <w:spacing w:val="-32"/>
          <w:sz w:val="24"/>
        </w:rPr>
        <w:t>，</w:t>
      </w:r>
      <w:r>
        <w:rPr>
          <w:rFonts w:ascii="Times New Roman" w:hAnsi="Times New Roman"/>
          <w:sz w:val="24"/>
        </w:rPr>
        <w:t>从而产生油烟废气</w:t>
      </w:r>
      <w:r>
        <w:rPr>
          <w:rFonts w:ascii="Times New Roman" w:hAnsi="Times New Roman"/>
          <w:spacing w:val="-32"/>
          <w:sz w:val="24"/>
        </w:rPr>
        <w:t>。</w:t>
      </w:r>
      <w:r>
        <w:rPr>
          <w:rFonts w:ascii="Times New Roman" w:hAnsi="Times New Roman"/>
          <w:sz w:val="24"/>
        </w:rPr>
        <w:t>根据对四川省居民用油情况的类比调查</w:t>
      </w:r>
      <w:r>
        <w:rPr>
          <w:rFonts w:ascii="Times New Roman" w:hAnsi="Times New Roman"/>
          <w:spacing w:val="-32"/>
          <w:sz w:val="24"/>
        </w:rPr>
        <w:t>，</w:t>
      </w:r>
      <w:r>
        <w:rPr>
          <w:rFonts w:ascii="Times New Roman" w:hAnsi="Times New Roman"/>
          <w:sz w:val="24"/>
        </w:rPr>
        <w:t>目前人均食用油日用量约</w:t>
      </w:r>
      <w:r>
        <w:rPr>
          <w:rFonts w:ascii="Times New Roman" w:hAnsi="Times New Roman"/>
          <w:spacing w:val="-59"/>
          <w:sz w:val="24"/>
        </w:rPr>
        <w:t xml:space="preserve"> </w:t>
      </w:r>
      <w:r>
        <w:rPr>
          <w:rFonts w:ascii="Times New Roman" w:hAnsi="Times New Roman"/>
          <w:sz w:val="24"/>
        </w:rPr>
        <w:t>30</w:t>
      </w:r>
      <w:r>
        <w:rPr>
          <w:rFonts w:ascii="Times New Roman" w:hAnsi="Times New Roman"/>
          <w:spacing w:val="-3"/>
          <w:sz w:val="24"/>
        </w:rPr>
        <w:t>g</w:t>
      </w:r>
      <w:r>
        <w:rPr>
          <w:rFonts w:ascii="Times New Roman" w:hAnsi="Times New Roman"/>
          <w:spacing w:val="3"/>
          <w:sz w:val="24"/>
        </w:rPr>
        <w:t>/</w:t>
      </w:r>
      <w:r>
        <w:rPr>
          <w:rFonts w:ascii="Times New Roman" w:hAnsi="Times New Roman"/>
          <w:sz w:val="24"/>
        </w:rPr>
        <w:t>人</w:t>
      </w:r>
      <w:r>
        <w:rPr>
          <w:rFonts w:ascii="Times New Roman" w:hAnsi="Times New Roman"/>
          <w:spacing w:val="-1"/>
          <w:sz w:val="24"/>
        </w:rPr>
        <w:t>·</w:t>
      </w:r>
      <w:r>
        <w:rPr>
          <w:rFonts w:ascii="Times New Roman" w:hAnsi="Times New Roman"/>
          <w:sz w:val="24"/>
        </w:rPr>
        <w:t>d</w:t>
      </w:r>
      <w:r>
        <w:rPr>
          <w:rFonts w:ascii="Times New Roman" w:hAnsi="Times New Roman"/>
          <w:spacing w:val="-29"/>
          <w:sz w:val="24"/>
        </w:rPr>
        <w:t>，</w:t>
      </w:r>
      <w:r>
        <w:rPr>
          <w:rFonts w:ascii="Times New Roman" w:hAnsi="Times New Roman"/>
          <w:sz w:val="24"/>
        </w:rPr>
        <w:t>油烟挥发量按总耗油量的</w:t>
      </w:r>
      <w:r>
        <w:rPr>
          <w:rFonts w:ascii="Times New Roman" w:hAnsi="Times New Roman"/>
          <w:spacing w:val="-1"/>
          <w:sz w:val="24"/>
        </w:rPr>
        <w:t>8%计算，则油烟产生量约为</w:t>
      </w:r>
      <w:r>
        <w:rPr>
          <w:rFonts w:ascii="Times New Roman" w:hAnsi="Times New Roman"/>
          <w:spacing w:val="-63"/>
          <w:sz w:val="24"/>
        </w:rPr>
        <w:t xml:space="preserve"> </w:t>
      </w:r>
      <w:r>
        <w:rPr>
          <w:rFonts w:ascii="Times New Roman" w:hAnsi="Times New Roman"/>
          <w:spacing w:val="-1"/>
          <w:sz w:val="24"/>
        </w:rPr>
        <w:t>0.</w:t>
      </w:r>
      <w:r>
        <w:rPr>
          <w:rFonts w:ascii="Times New Roman" w:hAnsi="Times New Roman"/>
          <w:spacing w:val="-1"/>
          <w:sz w:val="24"/>
          <w:lang w:eastAsia="zh-CN"/>
        </w:rPr>
        <w:t>337</w:t>
      </w:r>
      <w:r>
        <w:rPr>
          <w:rFonts w:ascii="Times New Roman" w:hAnsi="Times New Roman"/>
          <w:spacing w:val="-1"/>
          <w:sz w:val="24"/>
        </w:rPr>
        <w:t>t/a。</w:t>
      </w:r>
    </w:p>
    <w:p>
      <w:pPr>
        <w:pStyle w:val="14"/>
        <w:kinsoku w:val="0"/>
        <w:overflowPunct w:val="0"/>
        <w:spacing w:line="360" w:lineRule="auto"/>
        <w:ind w:right="217" w:firstLine="480" w:firstLineChars="200"/>
        <w:rPr>
          <w:rFonts w:ascii="Times New Roman" w:hAnsi="Times New Roman"/>
          <w:spacing w:val="-1"/>
          <w:sz w:val="24"/>
        </w:rPr>
      </w:pPr>
      <w:r>
        <w:rPr>
          <w:rFonts w:ascii="Times New Roman" w:hAnsi="Times New Roman"/>
          <w:sz w:val="24"/>
        </w:rPr>
        <w:t>根据现场调查</w:t>
      </w:r>
      <w:r>
        <w:rPr>
          <w:rFonts w:ascii="Times New Roman" w:hAnsi="Times New Roman"/>
          <w:spacing w:val="-48"/>
          <w:sz w:val="24"/>
        </w:rPr>
        <w:t>，</w:t>
      </w:r>
      <w:r>
        <w:rPr>
          <w:rFonts w:ascii="Times New Roman" w:hAnsi="Times New Roman"/>
          <w:sz w:val="24"/>
        </w:rPr>
        <w:t>原项目厨房内灶台设置有抽油烟机</w:t>
      </w:r>
      <w:r>
        <w:rPr>
          <w:rFonts w:ascii="Times New Roman" w:hAnsi="Times New Roman"/>
          <w:spacing w:val="-46"/>
          <w:sz w:val="24"/>
        </w:rPr>
        <w:t>，</w:t>
      </w:r>
      <w:r>
        <w:rPr>
          <w:rFonts w:ascii="Times New Roman" w:hAnsi="Times New Roman"/>
          <w:sz w:val="24"/>
        </w:rPr>
        <w:t>产生的油烟由烟道引出于楼顶排放，抽</w:t>
      </w:r>
      <w:r>
        <w:rPr>
          <w:rFonts w:ascii="Times New Roman" w:hAnsi="Times New Roman"/>
          <w:spacing w:val="-1"/>
          <w:sz w:val="24"/>
        </w:rPr>
        <w:t>油烟机对油烟无处理效果，不满足环保要求。 环评要求在职工食堂灶具上方安装集气罩，油烟废气经收集后进入油烟净化器处理，处理后经专</w:t>
      </w:r>
      <w:r>
        <w:rPr>
          <w:rFonts w:ascii="Times New Roman" w:hAnsi="Times New Roman"/>
          <w:sz w:val="24"/>
        </w:rPr>
        <w:t>用烟道在食堂楼顶排放。油烟净化器净化效率不低于</w:t>
      </w:r>
      <w:r>
        <w:rPr>
          <w:rFonts w:ascii="Times New Roman" w:hAnsi="Times New Roman"/>
          <w:spacing w:val="-60"/>
          <w:sz w:val="24"/>
        </w:rPr>
        <w:t xml:space="preserve"> </w:t>
      </w:r>
      <w:r>
        <w:rPr>
          <w:rFonts w:ascii="Times New Roman" w:hAnsi="Times New Roman"/>
          <w:spacing w:val="-1"/>
          <w:sz w:val="24"/>
        </w:rPr>
        <w:t>85%，</w:t>
      </w:r>
      <w:r>
        <w:rPr>
          <w:rFonts w:ascii="Times New Roman" w:hAnsi="Times New Roman"/>
          <w:sz w:val="24"/>
        </w:rPr>
        <w:t>风机风量为</w:t>
      </w:r>
      <w:r>
        <w:rPr>
          <w:rFonts w:ascii="Times New Roman" w:hAnsi="Times New Roman"/>
          <w:sz w:val="24"/>
          <w:lang w:eastAsia="zh-CN"/>
        </w:rPr>
        <w:t>5</w:t>
      </w:r>
      <w:r>
        <w:rPr>
          <w:rFonts w:ascii="Times New Roman" w:hAnsi="Times New Roman"/>
          <w:sz w:val="24"/>
        </w:rPr>
        <w:t>000m</w:t>
      </w:r>
      <w:r>
        <w:rPr>
          <w:rFonts w:ascii="Times New Roman" w:hAnsi="Times New Roman"/>
          <w:position w:val="8"/>
          <w:sz w:val="15"/>
        </w:rPr>
        <w:t>3</w:t>
      </w:r>
      <w:r>
        <w:rPr>
          <w:rFonts w:ascii="Times New Roman" w:hAnsi="Times New Roman"/>
          <w:sz w:val="24"/>
        </w:rPr>
        <w:t>/h，油烟排放浓度应≤2.0mg/m</w:t>
      </w:r>
      <w:r>
        <w:rPr>
          <w:rFonts w:ascii="Times New Roman" w:hAnsi="Times New Roman"/>
          <w:position w:val="8"/>
          <w:sz w:val="15"/>
        </w:rPr>
        <w:t>3</w:t>
      </w:r>
      <w:r>
        <w:rPr>
          <w:rFonts w:ascii="Times New Roman" w:hAnsi="Times New Roman"/>
          <w:sz w:val="24"/>
        </w:rPr>
        <w:t>。采取上述措施后，食堂油烟排放量为</w:t>
      </w:r>
      <w:r>
        <w:rPr>
          <w:rFonts w:ascii="Times New Roman" w:hAnsi="Times New Roman"/>
          <w:sz w:val="24"/>
          <w:lang w:eastAsia="zh-CN"/>
        </w:rPr>
        <w:t>0.05</w:t>
      </w:r>
      <w:r>
        <w:rPr>
          <w:rFonts w:ascii="Times New Roman" w:hAnsi="Times New Roman"/>
          <w:sz w:val="24"/>
        </w:rPr>
        <w:t>t/a，排</w:t>
      </w:r>
      <w:r>
        <w:rPr>
          <w:rFonts w:ascii="Times New Roman" w:hAnsi="Times New Roman"/>
          <w:spacing w:val="-1"/>
          <w:sz w:val="24"/>
        </w:rPr>
        <w:t>放浓度为</w:t>
      </w:r>
      <w:r>
        <w:rPr>
          <w:rFonts w:ascii="Times New Roman" w:hAnsi="Times New Roman"/>
          <w:spacing w:val="-62"/>
          <w:sz w:val="24"/>
        </w:rPr>
        <w:t xml:space="preserve"> </w:t>
      </w:r>
      <w:r>
        <w:rPr>
          <w:rFonts w:ascii="Times New Roman" w:hAnsi="Times New Roman"/>
          <w:spacing w:val="-1"/>
          <w:sz w:val="24"/>
        </w:rPr>
        <w:t>1</w:t>
      </w:r>
      <w:r>
        <w:rPr>
          <w:rFonts w:ascii="Times New Roman" w:hAnsi="Times New Roman"/>
          <w:spacing w:val="-1"/>
          <w:sz w:val="24"/>
          <w:lang w:eastAsia="zh-CN"/>
        </w:rPr>
        <w:t>.5</w:t>
      </w:r>
      <w:r>
        <w:rPr>
          <w:rFonts w:ascii="Times New Roman" w:hAnsi="Times New Roman"/>
          <w:spacing w:val="-1"/>
          <w:sz w:val="24"/>
        </w:rPr>
        <w:t>mg/m</w:t>
      </w:r>
      <w:r>
        <w:rPr>
          <w:rFonts w:ascii="Times New Roman" w:hAnsi="Times New Roman"/>
          <w:spacing w:val="-1"/>
          <w:position w:val="8"/>
          <w:sz w:val="15"/>
        </w:rPr>
        <w:t>3</w:t>
      </w:r>
      <w:r>
        <w:rPr>
          <w:rFonts w:ascii="Times New Roman" w:hAnsi="Times New Roman"/>
          <w:spacing w:val="-1"/>
          <w:sz w:val="24"/>
        </w:rPr>
        <w:t>。</w:t>
      </w:r>
    </w:p>
    <w:p>
      <w:pPr>
        <w:spacing w:line="360" w:lineRule="auto"/>
        <w:ind w:firstLine="480" w:firstLineChars="200"/>
        <w:rPr>
          <w:rFonts w:hAnsi="Times New Roman" w:eastAsia="宋体"/>
          <w:lang w:eastAsia="zh-CN"/>
        </w:rPr>
      </w:pPr>
      <w:r>
        <w:rPr>
          <w:rFonts w:hAnsi="Times New Roman" w:eastAsia="宋体"/>
          <w:lang w:eastAsia="zh-CN"/>
        </w:rPr>
        <w:t>环境空气污染源、污染防治措施及污染物产</w:t>
      </w:r>
      <w:r>
        <w:rPr>
          <w:rFonts w:hint="eastAsia" w:hAnsi="Times New Roman" w:eastAsia="宋体"/>
          <w:lang w:eastAsia="zh-CN"/>
        </w:rPr>
        <w:t>、</w:t>
      </w:r>
      <w:r>
        <w:rPr>
          <w:rFonts w:hAnsi="Times New Roman" w:eastAsia="宋体"/>
          <w:lang w:eastAsia="zh-CN"/>
        </w:rPr>
        <w:t>排量见下表。</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表2.4-2 运营期环境空气污染源、防治措施及污染物产、排情况一览表</w:t>
      </w:r>
    </w:p>
    <w:tbl>
      <w:tblPr>
        <w:tblStyle w:val="33"/>
        <w:tblW w:w="91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130"/>
        <w:gridCol w:w="1253"/>
        <w:gridCol w:w="2080"/>
        <w:gridCol w:w="1329"/>
        <w:gridCol w:w="1195"/>
        <w:gridCol w:w="21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83" w:type="dxa"/>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污染源及污染物</w:t>
            </w:r>
          </w:p>
        </w:tc>
        <w:tc>
          <w:tcPr>
            <w:tcW w:w="2080" w:type="dxa"/>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污染源特征</w:t>
            </w:r>
          </w:p>
        </w:tc>
        <w:tc>
          <w:tcPr>
            <w:tcW w:w="1329" w:type="dxa"/>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产生情况</w:t>
            </w:r>
          </w:p>
        </w:tc>
        <w:tc>
          <w:tcPr>
            <w:tcW w:w="1195" w:type="dxa"/>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排放情况</w:t>
            </w:r>
          </w:p>
        </w:tc>
        <w:tc>
          <w:tcPr>
            <w:tcW w:w="2133" w:type="dxa"/>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污染防治措施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3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污染源</w:t>
            </w:r>
          </w:p>
        </w:tc>
        <w:tc>
          <w:tcPr>
            <w:tcW w:w="125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污染物</w:t>
            </w:r>
          </w:p>
        </w:tc>
        <w:tc>
          <w:tcPr>
            <w:tcW w:w="2080"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p>
        </w:tc>
        <w:tc>
          <w:tcPr>
            <w:tcW w:w="1329"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p>
        </w:tc>
        <w:tc>
          <w:tcPr>
            <w:tcW w:w="1195"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p>
        </w:tc>
        <w:tc>
          <w:tcPr>
            <w:tcW w:w="2133"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3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井下作业</w:t>
            </w:r>
          </w:p>
        </w:tc>
        <w:tc>
          <w:tcPr>
            <w:tcW w:w="125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颗粒物</w:t>
            </w:r>
          </w:p>
        </w:tc>
        <w:tc>
          <w:tcPr>
            <w:tcW w:w="208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329" w:type="dxa"/>
            <w:vAlign w:val="center"/>
          </w:tcPr>
          <w:p>
            <w:pPr>
              <w:pStyle w:val="44"/>
              <w:keepNext w:val="0"/>
              <w:keepLines w:val="0"/>
              <w:suppressLineNumbers w:val="0"/>
              <w:spacing w:before="0" w:beforeAutospacing="0" w:after="0" w:afterAutospacing="0" w:line="240" w:lineRule="exact"/>
              <w:ind w:left="6" w:right="0"/>
              <w:jc w:val="center"/>
              <w:rPr>
                <w:rFonts w:hint="eastAsia" w:hAnsi="Times New Roman" w:eastAsia="宋体"/>
                <w:kern w:val="2"/>
                <w:sz w:val="21"/>
                <w:szCs w:val="21"/>
                <w:lang w:eastAsia="zh-CN"/>
              </w:rPr>
            </w:pPr>
            <w:r>
              <w:rPr>
                <w:rFonts w:hint="eastAsia" w:hAnsi="Times New Roman" w:eastAsia="宋体"/>
                <w:w w:val="99"/>
                <w:kern w:val="2"/>
                <w:sz w:val="21"/>
                <w:szCs w:val="21"/>
              </w:rPr>
              <w:t>＜</w:t>
            </w:r>
            <w:r>
              <w:rPr>
                <w:rFonts w:hint="eastAsia" w:hAnsi="Times New Roman" w:eastAsia="宋体"/>
                <w:kern w:val="2"/>
                <w:sz w:val="21"/>
                <w:szCs w:val="21"/>
              </w:rPr>
              <w:t>1</w:t>
            </w:r>
            <w:r>
              <w:rPr>
                <w:rFonts w:hint="eastAsia" w:hAnsi="Times New Roman" w:eastAsia="宋体"/>
                <w:kern w:val="2"/>
                <w:sz w:val="21"/>
                <w:szCs w:val="21"/>
                <w:lang w:eastAsia="zh-CN"/>
              </w:rPr>
              <w:t>.0</w:t>
            </w:r>
            <w:r>
              <w:rPr>
                <w:rFonts w:hint="eastAsia" w:hAnsi="Times New Roman" w:eastAsia="宋体"/>
                <w:kern w:val="2"/>
                <w:sz w:val="21"/>
                <w:szCs w:val="21"/>
              </w:rPr>
              <w:t>mg/m</w:t>
            </w:r>
            <w:r>
              <w:rPr>
                <w:rFonts w:hint="eastAsia" w:hAnsi="Times New Roman" w:eastAsia="宋体"/>
                <w:kern w:val="2"/>
                <w:position w:val="7"/>
                <w:sz w:val="21"/>
                <w:szCs w:val="21"/>
              </w:rPr>
              <w:t>3</w:t>
            </w:r>
          </w:p>
        </w:tc>
        <w:tc>
          <w:tcPr>
            <w:tcW w:w="119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无组织</w:t>
            </w:r>
          </w:p>
        </w:tc>
        <w:tc>
          <w:tcPr>
            <w:tcW w:w="213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井下防尘洒水、矿层注水采掘、巷道沉降等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3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装卸扬尘</w:t>
            </w:r>
          </w:p>
        </w:tc>
        <w:tc>
          <w:tcPr>
            <w:tcW w:w="1253" w:type="dxa"/>
            <w:vAlign w:val="center"/>
          </w:tcPr>
          <w:p>
            <w:pPr>
              <w:pStyle w:val="44"/>
              <w:keepNext w:val="0"/>
              <w:keepLines w:val="0"/>
              <w:suppressLineNumbers w:val="0"/>
              <w:kinsoku w:val="0"/>
              <w:overflowPunct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颗粒物</w:t>
            </w:r>
          </w:p>
        </w:tc>
        <w:tc>
          <w:tcPr>
            <w:tcW w:w="208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煤炭、矸石装卸过程产生的粉尘</w:t>
            </w:r>
          </w:p>
        </w:tc>
        <w:tc>
          <w:tcPr>
            <w:tcW w:w="1329" w:type="dxa"/>
            <w:vAlign w:val="center"/>
          </w:tcPr>
          <w:p>
            <w:pPr>
              <w:pStyle w:val="44"/>
              <w:keepNext w:val="0"/>
              <w:keepLines w:val="0"/>
              <w:suppressLineNumbers w:val="0"/>
              <w:spacing w:before="0" w:beforeAutospacing="0" w:after="0" w:afterAutospacing="0" w:line="240" w:lineRule="exact"/>
              <w:ind w:left="136" w:right="128"/>
              <w:jc w:val="center"/>
              <w:rPr>
                <w:rFonts w:hint="eastAsia" w:hAnsi="Times New Roman" w:eastAsia="宋体"/>
                <w:kern w:val="2"/>
                <w:sz w:val="21"/>
                <w:szCs w:val="21"/>
                <w:lang w:eastAsia="zh-CN"/>
              </w:rPr>
            </w:pPr>
            <w:r>
              <w:rPr>
                <w:rFonts w:hint="eastAsia" w:hAnsi="Times New Roman" w:eastAsia="宋体"/>
                <w:kern w:val="2"/>
                <w:sz w:val="21"/>
                <w:szCs w:val="21"/>
                <w:lang w:eastAsia="zh-CN"/>
              </w:rPr>
              <w:t>0.44</w:t>
            </w:r>
            <w:r>
              <w:rPr>
                <w:rFonts w:hint="eastAsia" w:hAnsi="Times New Roman" w:eastAsia="宋体"/>
                <w:kern w:val="2"/>
                <w:sz w:val="21"/>
                <w:szCs w:val="21"/>
              </w:rPr>
              <w:t>t/a</w:t>
            </w:r>
            <w:r>
              <w:rPr>
                <w:rFonts w:hint="eastAsia" w:hAnsi="Times New Roman" w:eastAsia="宋体"/>
                <w:kern w:val="2"/>
                <w:sz w:val="21"/>
                <w:szCs w:val="21"/>
                <w:lang w:eastAsia="zh-CN"/>
              </w:rPr>
              <w:t>，0.268kg/h</w:t>
            </w:r>
          </w:p>
        </w:tc>
        <w:tc>
          <w:tcPr>
            <w:tcW w:w="119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无组织</w:t>
            </w:r>
          </w:p>
        </w:tc>
        <w:tc>
          <w:tcPr>
            <w:tcW w:w="2133" w:type="dxa"/>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封闭式储煤场，</w:t>
            </w:r>
          </w:p>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顶部覆盖、三面围挡封闭的半封闭式矸石堆场，在煤矸石堆场转运点进行封闭，并设置喷雾降尘装置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3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堆场扬尘</w:t>
            </w:r>
          </w:p>
        </w:tc>
        <w:tc>
          <w:tcPr>
            <w:tcW w:w="1253" w:type="dxa"/>
            <w:vAlign w:val="center"/>
          </w:tcPr>
          <w:p>
            <w:pPr>
              <w:pStyle w:val="44"/>
              <w:keepNext w:val="0"/>
              <w:keepLines w:val="0"/>
              <w:suppressLineNumbers w:val="0"/>
              <w:kinsoku w:val="0"/>
              <w:overflowPunct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颗粒物</w:t>
            </w:r>
          </w:p>
        </w:tc>
        <w:tc>
          <w:tcPr>
            <w:tcW w:w="208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储煤场、临时矸石堆场堆放产生的粉尘</w:t>
            </w:r>
          </w:p>
        </w:tc>
        <w:tc>
          <w:tcPr>
            <w:tcW w:w="1329" w:type="dxa"/>
            <w:vAlign w:val="center"/>
          </w:tcPr>
          <w:p>
            <w:pPr>
              <w:pStyle w:val="44"/>
              <w:keepNext w:val="0"/>
              <w:keepLines w:val="0"/>
              <w:suppressLineNumbers w:val="0"/>
              <w:spacing w:before="0" w:beforeAutospacing="0" w:after="0" w:afterAutospacing="0" w:line="240" w:lineRule="exact"/>
              <w:ind w:left="136" w:right="128"/>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0.092</w:t>
            </w:r>
            <w:r>
              <w:rPr>
                <w:rFonts w:hint="eastAsia" w:hAnsi="Times New Roman" w:eastAsia="宋体"/>
                <w:kern w:val="2"/>
                <w:sz w:val="21"/>
                <w:szCs w:val="21"/>
              </w:rPr>
              <w:t>t/a，0.0116kg/h</w:t>
            </w:r>
          </w:p>
        </w:tc>
        <w:tc>
          <w:tcPr>
            <w:tcW w:w="119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无组织</w:t>
            </w:r>
          </w:p>
        </w:tc>
        <w:tc>
          <w:tcPr>
            <w:tcW w:w="2133"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3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道路运输</w:t>
            </w:r>
          </w:p>
        </w:tc>
        <w:tc>
          <w:tcPr>
            <w:tcW w:w="1253" w:type="dxa"/>
            <w:vAlign w:val="center"/>
          </w:tcPr>
          <w:p>
            <w:pPr>
              <w:pStyle w:val="44"/>
              <w:keepNext w:val="0"/>
              <w:keepLines w:val="0"/>
              <w:suppressLineNumbers w:val="0"/>
              <w:kinsoku w:val="0"/>
              <w:overflowPunct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颗粒物</w:t>
            </w:r>
          </w:p>
        </w:tc>
        <w:tc>
          <w:tcPr>
            <w:tcW w:w="208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煤炭、矸石等道路运输产生的道路扬尘及运输过程中洒落煤粉产生扬尘污染</w:t>
            </w:r>
          </w:p>
        </w:tc>
        <w:tc>
          <w:tcPr>
            <w:tcW w:w="1329" w:type="dxa"/>
            <w:vAlign w:val="center"/>
          </w:tcPr>
          <w:p>
            <w:pPr>
              <w:pStyle w:val="44"/>
              <w:keepNext w:val="0"/>
              <w:keepLines w:val="0"/>
              <w:suppressLineNumbers w:val="0"/>
              <w:spacing w:before="0" w:beforeAutospacing="0" w:after="0" w:afterAutospacing="0" w:line="240" w:lineRule="exact"/>
              <w:ind w:left="7" w:right="0"/>
              <w:jc w:val="center"/>
              <w:rPr>
                <w:rFonts w:hint="eastAsia" w:hAnsi="Times New Roman" w:eastAsia="宋体"/>
                <w:kern w:val="2"/>
                <w:sz w:val="21"/>
                <w:szCs w:val="21"/>
                <w:lang w:eastAsia="zh-CN"/>
              </w:rPr>
            </w:pPr>
            <w:r>
              <w:rPr>
                <w:rFonts w:hint="eastAsia" w:hAnsi="Times New Roman" w:eastAsia="宋体"/>
                <w:w w:val="99"/>
                <w:kern w:val="2"/>
                <w:sz w:val="21"/>
                <w:szCs w:val="22"/>
              </w:rPr>
              <w:t>/</w:t>
            </w:r>
          </w:p>
        </w:tc>
        <w:tc>
          <w:tcPr>
            <w:tcW w:w="119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无组织</w:t>
            </w:r>
          </w:p>
        </w:tc>
        <w:tc>
          <w:tcPr>
            <w:tcW w:w="213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汽车装载加盖篷布，控制装载量，运输道路洒水抑尘，工业广场出口设置洗车平台。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30" w:type="dxa"/>
            <w:vAlign w:val="center"/>
          </w:tcPr>
          <w:p>
            <w:pPr>
              <w:pStyle w:val="44"/>
              <w:keepNext w:val="0"/>
              <w:keepLines w:val="0"/>
              <w:suppressLineNumbers w:val="0"/>
              <w:kinsoku w:val="0"/>
              <w:overflowPunct w:val="0"/>
              <w:spacing w:before="0" w:beforeAutospacing="0" w:after="0" w:afterAutospacing="0" w:line="240" w:lineRule="exact"/>
              <w:ind w:left="0" w:right="1"/>
              <w:jc w:val="center"/>
              <w:rPr>
                <w:rFonts w:hint="eastAsia" w:hAnsi="Times New Roman" w:eastAsia="宋体"/>
                <w:kern w:val="2"/>
                <w:sz w:val="21"/>
                <w:szCs w:val="21"/>
                <w:lang w:eastAsia="zh-CN"/>
              </w:rPr>
            </w:pPr>
            <w:r>
              <w:rPr>
                <w:rFonts w:hint="eastAsia" w:hAnsi="Times New Roman" w:eastAsia="宋体"/>
                <w:spacing w:val="-1"/>
                <w:kern w:val="2"/>
                <w:sz w:val="21"/>
                <w:szCs w:val="22"/>
              </w:rPr>
              <w:t>瓦斯</w:t>
            </w:r>
          </w:p>
        </w:tc>
        <w:tc>
          <w:tcPr>
            <w:tcW w:w="1253" w:type="dxa"/>
            <w:vAlign w:val="center"/>
          </w:tcPr>
          <w:p>
            <w:pPr>
              <w:pStyle w:val="44"/>
              <w:keepNext w:val="0"/>
              <w:keepLines w:val="0"/>
              <w:suppressLineNumbers w:val="0"/>
              <w:kinsoku w:val="0"/>
              <w:overflowPunct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CH</w:t>
            </w:r>
            <w:r>
              <w:rPr>
                <w:rFonts w:hint="eastAsia" w:hAnsi="Times New Roman" w:eastAsia="宋体"/>
                <w:kern w:val="2"/>
                <w:sz w:val="21"/>
                <w:szCs w:val="21"/>
                <w:vertAlign w:val="subscript"/>
                <w:lang w:eastAsia="zh-CN"/>
              </w:rPr>
              <w:t>4</w:t>
            </w:r>
          </w:p>
        </w:tc>
        <w:tc>
          <w:tcPr>
            <w:tcW w:w="208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329" w:type="dxa"/>
            <w:vAlign w:val="center"/>
          </w:tcPr>
          <w:p>
            <w:pPr>
              <w:pStyle w:val="44"/>
              <w:keepNext w:val="0"/>
              <w:keepLines w:val="0"/>
              <w:suppressLineNumbers w:val="0"/>
              <w:spacing w:before="0" w:beforeAutospacing="0" w:after="0" w:afterAutospacing="0" w:line="240" w:lineRule="exact"/>
              <w:ind w:left="7" w:right="0"/>
              <w:jc w:val="center"/>
              <w:rPr>
                <w:rFonts w:hint="eastAsia" w:hAnsi="Times New Roman" w:eastAsia="宋体"/>
                <w:w w:val="99"/>
                <w:kern w:val="2"/>
                <w:sz w:val="21"/>
                <w:szCs w:val="22"/>
                <w:highlight w:val="yellow"/>
              </w:rPr>
            </w:pPr>
            <w:r>
              <w:rPr>
                <w:rFonts w:hint="eastAsia" w:hAnsi="Times New Roman" w:eastAsia="宋体"/>
                <w:w w:val="99"/>
                <w:kern w:val="2"/>
                <w:sz w:val="21"/>
                <w:szCs w:val="22"/>
                <w:lang w:eastAsia="zh-CN"/>
              </w:rPr>
              <w:t>69.9</w:t>
            </w:r>
            <w:r>
              <w:rPr>
                <w:rFonts w:hint="eastAsia" w:hAnsi="Times New Roman" w:eastAsia="宋体"/>
                <w:w w:val="99"/>
                <w:kern w:val="2"/>
                <w:sz w:val="21"/>
                <w:szCs w:val="22"/>
              </w:rPr>
              <w:t>m</w:t>
            </w:r>
            <w:r>
              <w:rPr>
                <w:rFonts w:hint="eastAsia" w:hAnsi="Times New Roman" w:eastAsia="宋体"/>
                <w:w w:val="99"/>
                <w:kern w:val="2"/>
                <w:sz w:val="21"/>
                <w:szCs w:val="22"/>
                <w:vertAlign w:val="superscript"/>
                <w:lang w:eastAsia="zh-CN"/>
              </w:rPr>
              <w:t>3</w:t>
            </w:r>
            <w:r>
              <w:rPr>
                <w:rFonts w:hint="eastAsia" w:hAnsi="Times New Roman" w:eastAsia="宋体"/>
                <w:w w:val="99"/>
                <w:kern w:val="2"/>
                <w:sz w:val="21"/>
                <w:szCs w:val="22"/>
              </w:rPr>
              <w:t>/a</w:t>
            </w:r>
          </w:p>
        </w:tc>
        <w:tc>
          <w:tcPr>
            <w:tcW w:w="119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w w:val="99"/>
                <w:kern w:val="2"/>
                <w:sz w:val="21"/>
                <w:szCs w:val="22"/>
              </w:rPr>
              <w:t>/</w:t>
            </w:r>
          </w:p>
        </w:tc>
        <w:tc>
          <w:tcPr>
            <w:tcW w:w="213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建立1套瓦斯抽采系统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30" w:type="dxa"/>
            <w:vAlign w:val="center"/>
          </w:tcPr>
          <w:p>
            <w:pPr>
              <w:pStyle w:val="44"/>
              <w:keepNext w:val="0"/>
              <w:keepLines w:val="0"/>
              <w:suppressLineNumbers w:val="0"/>
              <w:kinsoku w:val="0"/>
              <w:overflowPunct w:val="0"/>
              <w:spacing w:before="0" w:beforeAutospacing="0" w:after="0" w:afterAutospacing="0" w:line="240" w:lineRule="exact"/>
              <w:ind w:left="0" w:right="1"/>
              <w:jc w:val="center"/>
              <w:rPr>
                <w:rFonts w:hint="eastAsia" w:hAnsi="Times New Roman" w:eastAsia="宋体"/>
                <w:kern w:val="2"/>
                <w:sz w:val="21"/>
                <w:szCs w:val="21"/>
                <w:lang w:eastAsia="zh-CN"/>
              </w:rPr>
            </w:pPr>
            <w:r>
              <w:rPr>
                <w:rFonts w:hint="eastAsia" w:hAnsi="Times New Roman" w:eastAsia="宋体"/>
                <w:spacing w:val="-1"/>
                <w:kern w:val="2"/>
                <w:sz w:val="21"/>
                <w:szCs w:val="22"/>
              </w:rPr>
              <w:t>食堂</w:t>
            </w:r>
          </w:p>
        </w:tc>
        <w:tc>
          <w:tcPr>
            <w:tcW w:w="1253" w:type="dxa"/>
            <w:vAlign w:val="center"/>
          </w:tcPr>
          <w:p>
            <w:pPr>
              <w:pStyle w:val="44"/>
              <w:keepNext w:val="0"/>
              <w:keepLines w:val="0"/>
              <w:suppressLineNumbers w:val="0"/>
              <w:kinsoku w:val="0"/>
              <w:overflowPunct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油烟</w:t>
            </w:r>
          </w:p>
        </w:tc>
        <w:tc>
          <w:tcPr>
            <w:tcW w:w="208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329" w:type="dxa"/>
            <w:vAlign w:val="center"/>
          </w:tcPr>
          <w:p>
            <w:pPr>
              <w:pStyle w:val="44"/>
              <w:keepNext w:val="0"/>
              <w:keepLines w:val="0"/>
              <w:suppressLineNumbers w:val="0"/>
              <w:spacing w:before="0" w:beforeAutospacing="0" w:after="0" w:afterAutospacing="0" w:line="240" w:lineRule="exact"/>
              <w:ind w:left="7" w:right="0"/>
              <w:jc w:val="center"/>
              <w:rPr>
                <w:rFonts w:hint="eastAsia" w:hAnsi="Times New Roman" w:eastAsia="宋体"/>
                <w:w w:val="99"/>
                <w:kern w:val="2"/>
                <w:sz w:val="21"/>
                <w:szCs w:val="22"/>
                <w:highlight w:val="yellow"/>
                <w:lang w:eastAsia="zh-CN"/>
              </w:rPr>
            </w:pPr>
            <w:r>
              <w:rPr>
                <w:rFonts w:hint="eastAsia" w:hAnsi="Times New Roman" w:eastAsia="宋体"/>
                <w:w w:val="99"/>
                <w:kern w:val="2"/>
                <w:sz w:val="21"/>
                <w:szCs w:val="22"/>
                <w:lang w:eastAsia="zh-CN"/>
              </w:rPr>
              <w:t>0.05</w:t>
            </w:r>
            <w:r>
              <w:rPr>
                <w:rFonts w:hint="eastAsia" w:hAnsi="Times New Roman" w:eastAsia="宋体"/>
                <w:kern w:val="2"/>
                <w:sz w:val="21"/>
                <w:szCs w:val="21"/>
              </w:rPr>
              <w:t>t/a</w:t>
            </w:r>
          </w:p>
        </w:tc>
        <w:tc>
          <w:tcPr>
            <w:tcW w:w="119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有组织</w:t>
            </w:r>
          </w:p>
        </w:tc>
        <w:tc>
          <w:tcPr>
            <w:tcW w:w="213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油烟净化器</w:t>
            </w:r>
          </w:p>
        </w:tc>
      </w:tr>
    </w:tbl>
    <w:p>
      <w:pPr>
        <w:pStyle w:val="8"/>
        <w:rPr>
          <w:rFonts w:ascii="Times New Roman" w:hAnsi="Times New Roman"/>
          <w:lang w:eastAsia="zh-CN"/>
        </w:rPr>
      </w:pPr>
      <w:r>
        <w:rPr>
          <w:rFonts w:ascii="Times New Roman" w:hAnsi="Times New Roman"/>
          <w:lang w:eastAsia="zh-CN"/>
        </w:rPr>
        <w:t>2.4.2.4 噪声污染源及防治措施</w:t>
      </w:r>
    </w:p>
    <w:p>
      <w:pPr>
        <w:spacing w:line="360" w:lineRule="auto"/>
        <w:ind w:firstLine="480" w:firstLineChars="200"/>
        <w:rPr>
          <w:rFonts w:hAnsi="Times New Roman" w:eastAsia="宋体"/>
          <w:lang w:eastAsia="zh-CN"/>
        </w:rPr>
      </w:pPr>
      <w:r>
        <w:rPr>
          <w:rFonts w:hAnsi="Times New Roman" w:eastAsia="宋体"/>
          <w:lang w:eastAsia="zh-CN"/>
        </w:rPr>
        <w:t>运营期噪声主要来源于煤矿工业场地、交通运输及风井场地。</w:t>
      </w:r>
    </w:p>
    <w:p>
      <w:pPr>
        <w:spacing w:line="360" w:lineRule="auto"/>
        <w:ind w:firstLine="480" w:firstLineChars="200"/>
        <w:rPr>
          <w:rFonts w:hAnsi="Times New Roman" w:eastAsia="宋体"/>
          <w:lang w:eastAsia="zh-CN"/>
        </w:rPr>
      </w:pPr>
      <w:r>
        <w:rPr>
          <w:rFonts w:hAnsi="Times New Roman" w:eastAsia="宋体"/>
          <w:lang w:eastAsia="zh-CN"/>
        </w:rPr>
        <w:t>项目改扩建后主要噪声源有：工业场地压风机等产生的空气动力噪声；机修车间、坑木加工房、水处理站泵房、空压机房等产生的机械噪声；风井场地通风机产生的空气动力噪声。</w:t>
      </w:r>
    </w:p>
    <w:p>
      <w:pPr>
        <w:spacing w:line="360" w:lineRule="auto"/>
        <w:ind w:firstLine="480" w:firstLineChars="200"/>
        <w:rPr>
          <w:rFonts w:hAnsi="Times New Roman" w:eastAsia="宋体"/>
          <w:lang w:eastAsia="zh-CN"/>
        </w:rPr>
      </w:pPr>
      <w:r>
        <w:rPr>
          <w:rFonts w:hAnsi="Times New Roman" w:eastAsia="宋体"/>
          <w:lang w:eastAsia="zh-CN"/>
        </w:rPr>
        <w:t>设备噪声源大部分是宽频带的，且多为固定、连续噪声源。工业场地各种设备在运转过程中由</w:t>
      </w:r>
      <w:r>
        <w:rPr>
          <w:rFonts w:hint="eastAsia" w:hAnsi="Times New Roman" w:eastAsia="宋体"/>
          <w:lang w:eastAsia="zh-CN"/>
        </w:rPr>
        <w:t>振动</w:t>
      </w:r>
      <w:r>
        <w:rPr>
          <w:rFonts w:hAnsi="Times New Roman" w:eastAsia="宋体"/>
          <w:lang w:eastAsia="zh-CN"/>
        </w:rPr>
        <w:t>、</w:t>
      </w:r>
      <w:r>
        <w:rPr>
          <w:rFonts w:hint="eastAsia" w:hAnsi="Times New Roman" w:eastAsia="宋体"/>
          <w:lang w:eastAsia="zh-CN"/>
        </w:rPr>
        <w:t>摩擦</w:t>
      </w:r>
      <w:r>
        <w:rPr>
          <w:rFonts w:hAnsi="Times New Roman" w:eastAsia="宋体"/>
          <w:lang w:eastAsia="zh-CN"/>
        </w:rPr>
        <w:t>、碰撞而产生的机械动力噪声和由风管、</w:t>
      </w:r>
      <w:r>
        <w:rPr>
          <w:rFonts w:hint="eastAsia" w:hAnsi="Times New Roman" w:eastAsia="宋体"/>
          <w:lang w:eastAsia="zh-CN"/>
        </w:rPr>
        <w:t>气管</w:t>
      </w:r>
      <w:r>
        <w:rPr>
          <w:rFonts w:hAnsi="Times New Roman" w:eastAsia="宋体"/>
          <w:lang w:eastAsia="zh-CN"/>
        </w:rPr>
        <w:t>中介质的扩容、节流、排</w:t>
      </w:r>
      <w:r>
        <w:rPr>
          <w:rFonts w:hint="eastAsia" w:hAnsi="Times New Roman" w:eastAsia="宋体"/>
          <w:lang w:val="en-US" w:eastAsia="zh-CN"/>
        </w:rPr>
        <w:t>气</w:t>
      </w:r>
      <w:r>
        <w:rPr>
          <w:rFonts w:hAnsi="Times New Roman" w:eastAsia="宋体"/>
          <w:lang w:eastAsia="zh-CN"/>
        </w:rPr>
        <w:t>、漏</w:t>
      </w:r>
      <w:r>
        <w:rPr>
          <w:rFonts w:hint="eastAsia" w:hAnsi="Times New Roman" w:eastAsia="宋体"/>
          <w:lang w:val="en-US" w:eastAsia="zh-CN"/>
        </w:rPr>
        <w:t>气</w:t>
      </w:r>
      <w:r>
        <w:rPr>
          <w:rFonts w:hAnsi="Times New Roman" w:eastAsia="宋体"/>
          <w:lang w:eastAsia="zh-CN"/>
        </w:rPr>
        <w:t>而产生的气体动力噪声。运输产生的噪声源主要为线性、间断噪声源。</w:t>
      </w:r>
    </w:p>
    <w:p>
      <w:pPr>
        <w:spacing w:line="360" w:lineRule="auto"/>
        <w:ind w:firstLine="480" w:firstLineChars="200"/>
        <w:rPr>
          <w:rFonts w:hAnsi="Times New Roman" w:eastAsia="宋体"/>
          <w:lang w:eastAsia="zh-CN"/>
        </w:rPr>
      </w:pPr>
      <w:r>
        <w:rPr>
          <w:rFonts w:hAnsi="Times New Roman" w:eastAsia="宋体"/>
          <w:lang w:eastAsia="zh-CN"/>
        </w:rPr>
        <w:t>生产运营期噪声污染源及治理措施见下表。</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表2.4- 3 噪声污染源污染物产生及排放情况一览表单位：dB（A）</w:t>
      </w:r>
    </w:p>
    <w:tbl>
      <w:tblPr>
        <w:tblStyle w:val="3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6"/>
        <w:gridCol w:w="1291"/>
        <w:gridCol w:w="1052"/>
        <w:gridCol w:w="1478"/>
        <w:gridCol w:w="951"/>
        <w:gridCol w:w="860"/>
        <w:gridCol w:w="29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5" w:type="pct"/>
            <w:gridSpan w:val="2"/>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噪声源</w:t>
            </w:r>
          </w:p>
        </w:tc>
        <w:tc>
          <w:tcPr>
            <w:tcW w:w="563" w:type="pct"/>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污染源特征</w:t>
            </w:r>
          </w:p>
        </w:tc>
        <w:tc>
          <w:tcPr>
            <w:tcW w:w="791" w:type="pct"/>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产噪设备</w:t>
            </w:r>
          </w:p>
        </w:tc>
        <w:tc>
          <w:tcPr>
            <w:tcW w:w="509" w:type="pct"/>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产生源强</w:t>
            </w:r>
          </w:p>
        </w:tc>
        <w:tc>
          <w:tcPr>
            <w:tcW w:w="460" w:type="pct"/>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数量</w:t>
            </w:r>
          </w:p>
        </w:tc>
        <w:tc>
          <w:tcPr>
            <w:tcW w:w="1592" w:type="pct"/>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降噪措施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restart"/>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rPr>
              <w:t>主井工业场地</w:t>
            </w:r>
          </w:p>
        </w:tc>
        <w:tc>
          <w:tcPr>
            <w:tcW w:w="691" w:type="pct"/>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rPr>
              <w:t>污水/废水处理设施</w:t>
            </w:r>
          </w:p>
        </w:tc>
        <w:tc>
          <w:tcPr>
            <w:tcW w:w="563" w:type="pct"/>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rPr>
              <w:t>连续</w:t>
            </w:r>
          </w:p>
        </w:tc>
        <w:tc>
          <w:tcPr>
            <w:tcW w:w="791" w:type="pct"/>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rPr>
              <w:t>水泵</w:t>
            </w:r>
          </w:p>
        </w:tc>
        <w:tc>
          <w:tcPr>
            <w:tcW w:w="509" w:type="pct"/>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75</w:t>
            </w:r>
          </w:p>
        </w:tc>
        <w:tc>
          <w:tcPr>
            <w:tcW w:w="460" w:type="pct"/>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2</w:t>
            </w:r>
            <w:r>
              <w:rPr>
                <w:rFonts w:hint="eastAsia" w:hAnsi="Times New Roman" w:eastAsia="宋体"/>
                <w:kern w:val="2"/>
                <w:sz w:val="21"/>
                <w:szCs w:val="21"/>
              </w:rPr>
              <w:t>套</w:t>
            </w:r>
          </w:p>
        </w:tc>
        <w:tc>
          <w:tcPr>
            <w:tcW w:w="1592" w:type="pct"/>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rPr>
              <w:t>设备基座减振、水泵与进出口管道间安装软橡胶接头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kern w:val="2"/>
                <w:sz w:val="21"/>
                <w:szCs w:val="21"/>
              </w:rPr>
            </w:pPr>
          </w:p>
        </w:tc>
        <w:tc>
          <w:tcPr>
            <w:tcW w:w="691" w:type="pct"/>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rPr>
              <w:t>坑木房</w:t>
            </w:r>
          </w:p>
        </w:tc>
        <w:tc>
          <w:tcPr>
            <w:tcW w:w="563" w:type="pct"/>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rPr>
              <w:t>间歇</w:t>
            </w:r>
          </w:p>
        </w:tc>
        <w:tc>
          <w:tcPr>
            <w:tcW w:w="791" w:type="pct"/>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rPr>
              <w:t>木工带锯机</w:t>
            </w:r>
          </w:p>
        </w:tc>
        <w:tc>
          <w:tcPr>
            <w:tcW w:w="509" w:type="pct"/>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95</w:t>
            </w:r>
          </w:p>
        </w:tc>
        <w:tc>
          <w:tcPr>
            <w:tcW w:w="460" w:type="pct"/>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rPr>
              <w:t>1台</w:t>
            </w:r>
          </w:p>
        </w:tc>
        <w:tc>
          <w:tcPr>
            <w:tcW w:w="1592" w:type="pct"/>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rPr>
              <w:t>木工设备位于厂房，设置隔声门窗，设备基础减振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kern w:val="2"/>
                <w:sz w:val="21"/>
                <w:szCs w:val="21"/>
              </w:rPr>
            </w:pPr>
          </w:p>
        </w:tc>
        <w:tc>
          <w:tcPr>
            <w:tcW w:w="691" w:type="pct"/>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rPr>
              <w:t>机修车间</w:t>
            </w:r>
          </w:p>
        </w:tc>
        <w:tc>
          <w:tcPr>
            <w:tcW w:w="563" w:type="pct"/>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rPr>
              <w:t>间歇</w:t>
            </w:r>
          </w:p>
        </w:tc>
        <w:tc>
          <w:tcPr>
            <w:tcW w:w="791" w:type="pct"/>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rPr>
              <w:t>车床、钻床等</w:t>
            </w:r>
          </w:p>
        </w:tc>
        <w:tc>
          <w:tcPr>
            <w:tcW w:w="509" w:type="pct"/>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80</w:t>
            </w:r>
          </w:p>
        </w:tc>
        <w:tc>
          <w:tcPr>
            <w:tcW w:w="460" w:type="pct"/>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rPr>
              <w:t>若干</w:t>
            </w:r>
          </w:p>
        </w:tc>
        <w:tc>
          <w:tcPr>
            <w:tcW w:w="1592" w:type="pct"/>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rPr>
              <w:t>机修设备位于厂房，设置隔声门窗，设备基础减振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kern w:val="2"/>
                <w:sz w:val="21"/>
                <w:szCs w:val="21"/>
              </w:rPr>
            </w:pPr>
          </w:p>
        </w:tc>
        <w:tc>
          <w:tcPr>
            <w:tcW w:w="691" w:type="pct"/>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rPr>
              <w:t>空压机房</w:t>
            </w:r>
          </w:p>
        </w:tc>
        <w:tc>
          <w:tcPr>
            <w:tcW w:w="563" w:type="pct"/>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rPr>
              <w:t>间歇</w:t>
            </w:r>
          </w:p>
        </w:tc>
        <w:tc>
          <w:tcPr>
            <w:tcW w:w="791" w:type="pct"/>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rPr>
              <w:t>空压机</w:t>
            </w:r>
          </w:p>
        </w:tc>
        <w:tc>
          <w:tcPr>
            <w:tcW w:w="509" w:type="pct"/>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80</w:t>
            </w:r>
          </w:p>
        </w:tc>
        <w:tc>
          <w:tcPr>
            <w:tcW w:w="460" w:type="pct"/>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rPr>
              <w:t>2台</w:t>
            </w:r>
          </w:p>
        </w:tc>
        <w:tc>
          <w:tcPr>
            <w:tcW w:w="1592" w:type="pct"/>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rPr>
              <w:t>隔振机座、进排风口消声器、隔声门窗、建筑物隔声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restart"/>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rPr>
              <w:t>风井场地</w:t>
            </w:r>
          </w:p>
        </w:tc>
        <w:tc>
          <w:tcPr>
            <w:tcW w:w="691" w:type="pct"/>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rPr>
              <w:t>风机</w:t>
            </w:r>
          </w:p>
        </w:tc>
        <w:tc>
          <w:tcPr>
            <w:tcW w:w="563" w:type="pct"/>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rPr>
              <w:t>连续</w:t>
            </w:r>
          </w:p>
        </w:tc>
        <w:tc>
          <w:tcPr>
            <w:tcW w:w="791" w:type="pct"/>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rPr>
              <w:t>通风机</w:t>
            </w:r>
          </w:p>
        </w:tc>
        <w:tc>
          <w:tcPr>
            <w:tcW w:w="509" w:type="pct"/>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100</w:t>
            </w:r>
          </w:p>
        </w:tc>
        <w:tc>
          <w:tcPr>
            <w:tcW w:w="460" w:type="pct"/>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rPr>
              <w:t>2台</w:t>
            </w:r>
          </w:p>
        </w:tc>
        <w:tc>
          <w:tcPr>
            <w:tcW w:w="1592" w:type="pct"/>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rPr>
              <w:t>通风机的进、出口安装阻性消声器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Merge w:val="continue"/>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kern w:val="2"/>
                <w:sz w:val="21"/>
                <w:szCs w:val="21"/>
              </w:rPr>
            </w:pPr>
          </w:p>
        </w:tc>
        <w:tc>
          <w:tcPr>
            <w:tcW w:w="691" w:type="pct"/>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rPr>
              <w:t>瓦斯抽采系统</w:t>
            </w:r>
          </w:p>
        </w:tc>
        <w:tc>
          <w:tcPr>
            <w:tcW w:w="563" w:type="pct"/>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rPr>
              <w:t>连续</w:t>
            </w:r>
          </w:p>
        </w:tc>
        <w:tc>
          <w:tcPr>
            <w:tcW w:w="791" w:type="pct"/>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rPr>
              <w:t>各种泵</w:t>
            </w:r>
          </w:p>
        </w:tc>
        <w:tc>
          <w:tcPr>
            <w:tcW w:w="509" w:type="pct"/>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80</w:t>
            </w:r>
          </w:p>
        </w:tc>
        <w:tc>
          <w:tcPr>
            <w:tcW w:w="460" w:type="pct"/>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rPr>
              <w:t>1套</w:t>
            </w:r>
          </w:p>
        </w:tc>
        <w:tc>
          <w:tcPr>
            <w:tcW w:w="1592" w:type="pct"/>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rPr>
              <w:t>设备基座减振、泵与进出口管道间安装软橡胶接头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rPr>
              <w:t>运输车辆</w:t>
            </w:r>
          </w:p>
        </w:tc>
        <w:tc>
          <w:tcPr>
            <w:tcW w:w="691" w:type="pct"/>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rPr>
              <w:t>交通噪声</w:t>
            </w:r>
          </w:p>
        </w:tc>
        <w:tc>
          <w:tcPr>
            <w:tcW w:w="563" w:type="pct"/>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rPr>
              <w:t>间歇</w:t>
            </w:r>
          </w:p>
        </w:tc>
        <w:tc>
          <w:tcPr>
            <w:tcW w:w="791" w:type="pct"/>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rPr>
              <w:t>运输车辆</w:t>
            </w:r>
          </w:p>
        </w:tc>
        <w:tc>
          <w:tcPr>
            <w:tcW w:w="509" w:type="pct"/>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rPr>
              <w:t>80</w:t>
            </w:r>
          </w:p>
        </w:tc>
        <w:tc>
          <w:tcPr>
            <w:tcW w:w="460" w:type="pct"/>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1592" w:type="pct"/>
            <w:vAlign w:val="center"/>
          </w:tcPr>
          <w:p>
            <w:pPr>
              <w:pStyle w:val="44"/>
              <w:keepNext w:val="0"/>
              <w:keepLines w:val="0"/>
              <w:suppressLineNumbers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rPr>
              <w:t>控制运输时间，限制车辆行驶速度、严禁超载等</w:t>
            </w:r>
          </w:p>
        </w:tc>
      </w:tr>
    </w:tbl>
    <w:p>
      <w:pPr>
        <w:pStyle w:val="8"/>
        <w:rPr>
          <w:rFonts w:ascii="Times New Roman" w:hAnsi="Times New Roman"/>
          <w:lang w:eastAsia="zh-CN"/>
        </w:rPr>
      </w:pPr>
      <w:r>
        <w:rPr>
          <w:rFonts w:ascii="Times New Roman" w:hAnsi="Times New Roman"/>
          <w:lang w:eastAsia="zh-CN"/>
        </w:rPr>
        <w:t>2.4.2.5 固废污染源及防治措施</w:t>
      </w:r>
    </w:p>
    <w:p>
      <w:pPr>
        <w:spacing w:line="360" w:lineRule="auto"/>
        <w:ind w:firstLine="480" w:firstLineChars="200"/>
        <w:rPr>
          <w:rFonts w:hAnsi="Times New Roman" w:eastAsia="宋体"/>
          <w:lang w:eastAsia="zh-CN"/>
        </w:rPr>
      </w:pPr>
      <w:r>
        <w:rPr>
          <w:rFonts w:hAnsi="Times New Roman" w:eastAsia="宋体"/>
          <w:lang w:eastAsia="zh-CN"/>
        </w:rPr>
        <w:t>项目生产运营期排放的主要固体废物为煤矸石、生活垃圾、生活污水处理站污泥、矿井水处理站煤泥，废弃矿灯、蓄电池、废机油、含油抹布及手套。</w:t>
      </w:r>
    </w:p>
    <w:p>
      <w:pPr>
        <w:spacing w:line="360" w:lineRule="auto"/>
        <w:ind w:firstLine="482" w:firstLineChars="200"/>
        <w:rPr>
          <w:rFonts w:hAnsi="Times New Roman" w:eastAsia="宋体"/>
          <w:b/>
          <w:bCs/>
          <w:lang w:eastAsia="zh-CN"/>
        </w:rPr>
      </w:pPr>
      <w:r>
        <w:rPr>
          <w:rFonts w:hAnsi="Times New Roman" w:eastAsia="宋体"/>
          <w:b/>
          <w:bCs/>
          <w:lang w:eastAsia="zh-CN"/>
        </w:rPr>
        <w:t>（1）一般固废</w:t>
      </w:r>
    </w:p>
    <w:p>
      <w:pPr>
        <w:spacing w:line="360" w:lineRule="auto"/>
        <w:ind w:firstLine="482" w:firstLineChars="200"/>
        <w:rPr>
          <w:rFonts w:hAnsi="Times New Roman" w:eastAsia="宋体"/>
          <w:b/>
          <w:bCs/>
          <w:lang w:eastAsia="zh-CN"/>
        </w:rPr>
      </w:pPr>
      <w:r>
        <w:rPr>
          <w:rFonts w:hAnsi="Times New Roman" w:eastAsia="宋体"/>
          <w:b/>
          <w:bCs/>
          <w:lang w:eastAsia="zh-CN"/>
        </w:rPr>
        <w:t>①煤矸石</w:t>
      </w:r>
    </w:p>
    <w:p>
      <w:pPr>
        <w:spacing w:line="360" w:lineRule="auto"/>
        <w:ind w:firstLine="480" w:firstLineChars="200"/>
        <w:rPr>
          <w:rFonts w:hAnsi="Times New Roman" w:eastAsia="宋体"/>
          <w:lang w:eastAsia="zh-CN"/>
        </w:rPr>
      </w:pPr>
      <w:r>
        <w:rPr>
          <w:rFonts w:hAnsi="Times New Roman" w:eastAsia="宋体"/>
          <w:lang w:eastAsia="zh-CN"/>
        </w:rPr>
        <w:t>矿井生产运营期煤矸石主要为采掘出井矸石，根据七里峡煤矿项目申请代可行性</w:t>
      </w:r>
      <w:r>
        <w:rPr>
          <w:rFonts w:hint="eastAsia" w:hAnsi="Times New Roman" w:eastAsia="宋体"/>
          <w:lang w:val="en-US" w:eastAsia="zh-CN"/>
        </w:rPr>
        <w:t>研究</w:t>
      </w:r>
      <w:r>
        <w:rPr>
          <w:rFonts w:hAnsi="Times New Roman" w:eastAsia="宋体"/>
          <w:lang w:eastAsia="zh-CN"/>
        </w:rPr>
        <w:t>报告，部分白矸（约1.5t/a）用于井下回填采空区，煤矸石出井量均为3万t/a。出井后转运煤临时储矸场暂存，由宣汉县平桥砖厂每日清运制砖。</w:t>
      </w:r>
    </w:p>
    <w:p>
      <w:pPr>
        <w:spacing w:line="360" w:lineRule="auto"/>
        <w:ind w:firstLine="480" w:firstLineChars="200"/>
        <w:rPr>
          <w:rFonts w:hAnsi="Times New Roman" w:eastAsia="宋体"/>
          <w:lang w:eastAsia="zh-CN"/>
        </w:rPr>
      </w:pPr>
      <w:r>
        <w:rPr>
          <w:rFonts w:hAnsi="Times New Roman" w:eastAsia="宋体"/>
          <w:lang w:eastAsia="zh-CN"/>
        </w:rPr>
        <w:t>本公司已与宣汉县平桥砖厂签订了矸石处理协议（见附件）。宣汉县平桥砖厂位于宣汉县七里乡民主村，位于七里峡煤矿临时储矸场西侧约2.2km处。该砖厂年消耗煤矸石5万吨，可以完全消纳项目改造后的煤矸石量。</w:t>
      </w:r>
    </w:p>
    <w:p>
      <w:pPr>
        <w:spacing w:line="360" w:lineRule="auto"/>
        <w:ind w:firstLine="480" w:firstLineChars="200"/>
        <w:rPr>
          <w:rFonts w:hAnsi="Times New Roman" w:eastAsia="宋体"/>
          <w:szCs w:val="22"/>
          <w:lang w:eastAsia="zh-CN"/>
        </w:rPr>
      </w:pPr>
      <w:r>
        <w:rPr>
          <w:rFonts w:hint="eastAsia" w:hAnsi="Times New Roman" w:eastAsia="宋体"/>
          <w:szCs w:val="22"/>
          <w:lang w:eastAsia="zh-CN"/>
        </w:rPr>
        <w:t>本次环评引用四川中四诺检测服务有限公司《四川省达州市宣汉县煤炭矿区总体规划检测报告》（中斯诺环检字（2021）第12051-1号）和</w:t>
      </w:r>
      <w:r>
        <w:rPr>
          <w:rFonts w:hAnsi="Times New Roman" w:eastAsia="宋体"/>
          <w:szCs w:val="22"/>
          <w:lang w:eastAsia="zh-CN"/>
        </w:rPr>
        <w:t>达州恒福环境监测服务有限公司《达州市宣汉县七里峡煤业有限公司七里峡煤矿扩建工程项目》检测报告（恒福（环）检字（2022）第0083号）中对七里峡煤矿出井矸石浸出毒性试验的检测数据，监测结果见下表所示。</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w:t>
      </w:r>
      <w:r>
        <w:rPr>
          <w:rFonts w:hint="eastAsia" w:hAnsi="Times New Roman" w:eastAsia="宋体"/>
          <w:b/>
          <w:bCs/>
          <w:sz w:val="21"/>
          <w:szCs w:val="21"/>
          <w:lang w:eastAsia="zh-CN"/>
        </w:rPr>
        <w:t xml:space="preserve">2.4-4  </w:t>
      </w:r>
      <w:r>
        <w:rPr>
          <w:rFonts w:hAnsi="Times New Roman" w:eastAsia="宋体"/>
          <w:b/>
          <w:bCs/>
          <w:sz w:val="21"/>
          <w:szCs w:val="21"/>
          <w:lang w:eastAsia="zh-CN"/>
        </w:rPr>
        <w:t>煤矸石（浸出毒性</w:t>
      </w:r>
      <w:r>
        <w:rPr>
          <w:rFonts w:hint="eastAsia" w:hAnsi="Times New Roman" w:eastAsia="宋体"/>
          <w:b/>
          <w:bCs/>
          <w:sz w:val="21"/>
          <w:szCs w:val="21"/>
          <w:lang w:eastAsia="zh-CN"/>
        </w:rPr>
        <w:t>～</w:t>
      </w:r>
      <w:r>
        <w:rPr>
          <w:rFonts w:hAnsi="Times New Roman" w:eastAsia="宋体"/>
          <w:b/>
          <w:bCs/>
          <w:sz w:val="21"/>
          <w:szCs w:val="21"/>
          <w:lang w:eastAsia="zh-CN"/>
        </w:rPr>
        <w:t>酸浸）监测结果 单位：mg/L，pH 无量纲</w:t>
      </w:r>
    </w:p>
    <w:tbl>
      <w:tblPr>
        <w:tblStyle w:val="3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3"/>
        <w:gridCol w:w="2061"/>
        <w:gridCol w:w="3808"/>
        <w:gridCol w:w="25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8"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序号</w:t>
            </w:r>
          </w:p>
        </w:tc>
        <w:tc>
          <w:tcPr>
            <w:tcW w:w="1103"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监测项目</w:t>
            </w:r>
          </w:p>
        </w:tc>
        <w:tc>
          <w:tcPr>
            <w:tcW w:w="2038"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采样日期、监测点位及监测结果</w:t>
            </w:r>
          </w:p>
        </w:tc>
        <w:tc>
          <w:tcPr>
            <w:tcW w:w="1381"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8"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p>
        </w:tc>
        <w:tc>
          <w:tcPr>
            <w:tcW w:w="1103"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p>
        </w:tc>
        <w:tc>
          <w:tcPr>
            <w:tcW w:w="2038"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2021.8.20</w:t>
            </w:r>
          </w:p>
        </w:tc>
        <w:tc>
          <w:tcPr>
            <w:tcW w:w="1381"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8"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p>
        </w:tc>
        <w:tc>
          <w:tcPr>
            <w:tcW w:w="1103"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p>
        </w:tc>
        <w:tc>
          <w:tcPr>
            <w:tcW w:w="2038"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4#，G2112021-1-411（七里峡煤矿）</w:t>
            </w:r>
          </w:p>
        </w:tc>
        <w:tc>
          <w:tcPr>
            <w:tcW w:w="1381"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w:t>
            </w:r>
          </w:p>
        </w:tc>
        <w:tc>
          <w:tcPr>
            <w:tcW w:w="110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pH值（腐蚀性）</w:t>
            </w:r>
          </w:p>
        </w:tc>
        <w:tc>
          <w:tcPr>
            <w:tcW w:w="203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7.1</w:t>
            </w:r>
          </w:p>
        </w:tc>
        <w:tc>
          <w:tcPr>
            <w:tcW w:w="1381"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pH值≥12.5，pH值＜2.0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w:t>
            </w:r>
          </w:p>
        </w:tc>
        <w:tc>
          <w:tcPr>
            <w:tcW w:w="110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总铬</w:t>
            </w:r>
          </w:p>
        </w:tc>
        <w:tc>
          <w:tcPr>
            <w:tcW w:w="203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0.12</w:t>
            </w:r>
          </w:p>
        </w:tc>
        <w:tc>
          <w:tcPr>
            <w:tcW w:w="1381"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w:t>
            </w:r>
          </w:p>
        </w:tc>
        <w:tc>
          <w:tcPr>
            <w:tcW w:w="110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铬（六价）</w:t>
            </w:r>
          </w:p>
        </w:tc>
        <w:tc>
          <w:tcPr>
            <w:tcW w:w="203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未检出</w:t>
            </w:r>
          </w:p>
        </w:tc>
        <w:tc>
          <w:tcPr>
            <w:tcW w:w="1381"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w:t>
            </w:r>
          </w:p>
        </w:tc>
        <w:tc>
          <w:tcPr>
            <w:tcW w:w="1103" w:type="pct"/>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汞（以总计）</w:t>
            </w:r>
          </w:p>
        </w:tc>
        <w:tc>
          <w:tcPr>
            <w:tcW w:w="203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未检出</w:t>
            </w:r>
          </w:p>
        </w:tc>
        <w:tc>
          <w:tcPr>
            <w:tcW w:w="1381"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w:t>
            </w:r>
          </w:p>
        </w:tc>
        <w:tc>
          <w:tcPr>
            <w:tcW w:w="1103" w:type="pct"/>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镉（以总镉计）</w:t>
            </w:r>
          </w:p>
        </w:tc>
        <w:tc>
          <w:tcPr>
            <w:tcW w:w="2038" w:type="pct"/>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未检出</w:t>
            </w:r>
          </w:p>
        </w:tc>
        <w:tc>
          <w:tcPr>
            <w:tcW w:w="1381" w:type="pct"/>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6</w:t>
            </w:r>
          </w:p>
        </w:tc>
        <w:tc>
          <w:tcPr>
            <w:tcW w:w="1103" w:type="pct"/>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砷（以总砷计）</w:t>
            </w:r>
          </w:p>
        </w:tc>
        <w:tc>
          <w:tcPr>
            <w:tcW w:w="2038" w:type="pct"/>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0.0265</w:t>
            </w:r>
          </w:p>
        </w:tc>
        <w:tc>
          <w:tcPr>
            <w:tcW w:w="1381" w:type="pct"/>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7</w:t>
            </w:r>
          </w:p>
        </w:tc>
        <w:tc>
          <w:tcPr>
            <w:tcW w:w="1103" w:type="pct"/>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铅（以总铅计）</w:t>
            </w:r>
          </w:p>
        </w:tc>
        <w:tc>
          <w:tcPr>
            <w:tcW w:w="2038" w:type="pct"/>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0.18</w:t>
            </w:r>
          </w:p>
        </w:tc>
        <w:tc>
          <w:tcPr>
            <w:tcW w:w="1381" w:type="pct"/>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8</w:t>
            </w:r>
          </w:p>
        </w:tc>
        <w:tc>
          <w:tcPr>
            <w:tcW w:w="1103" w:type="pct"/>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镍（以总镍计）</w:t>
            </w:r>
          </w:p>
        </w:tc>
        <w:tc>
          <w:tcPr>
            <w:tcW w:w="2038" w:type="pct"/>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0.09</w:t>
            </w:r>
          </w:p>
        </w:tc>
        <w:tc>
          <w:tcPr>
            <w:tcW w:w="1381" w:type="pct"/>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9</w:t>
            </w:r>
          </w:p>
        </w:tc>
        <w:tc>
          <w:tcPr>
            <w:tcW w:w="1103" w:type="pct"/>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铍（以总铍计）</w:t>
            </w:r>
          </w:p>
        </w:tc>
        <w:tc>
          <w:tcPr>
            <w:tcW w:w="2038" w:type="pct"/>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0.010</w:t>
            </w:r>
          </w:p>
        </w:tc>
        <w:tc>
          <w:tcPr>
            <w:tcW w:w="1381" w:type="pct"/>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w:t>
            </w:r>
          </w:p>
        </w:tc>
        <w:tc>
          <w:tcPr>
            <w:tcW w:w="1103" w:type="pct"/>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总银</w:t>
            </w:r>
          </w:p>
        </w:tc>
        <w:tc>
          <w:tcPr>
            <w:tcW w:w="2038" w:type="pct"/>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未检出</w:t>
            </w:r>
          </w:p>
        </w:tc>
        <w:tc>
          <w:tcPr>
            <w:tcW w:w="1381" w:type="pct"/>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11</w:t>
            </w:r>
          </w:p>
        </w:tc>
        <w:tc>
          <w:tcPr>
            <w:tcW w:w="1103" w:type="pct"/>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铜（以总铜计）</w:t>
            </w:r>
          </w:p>
        </w:tc>
        <w:tc>
          <w:tcPr>
            <w:tcW w:w="2038" w:type="pct"/>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0.94</w:t>
            </w:r>
          </w:p>
        </w:tc>
        <w:tc>
          <w:tcPr>
            <w:tcW w:w="1381" w:type="pct"/>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12</w:t>
            </w:r>
          </w:p>
        </w:tc>
        <w:tc>
          <w:tcPr>
            <w:tcW w:w="1103" w:type="pct"/>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锌（以总锌计）</w:t>
            </w:r>
          </w:p>
        </w:tc>
        <w:tc>
          <w:tcPr>
            <w:tcW w:w="2038" w:type="pct"/>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0.84</w:t>
            </w:r>
          </w:p>
        </w:tc>
        <w:tc>
          <w:tcPr>
            <w:tcW w:w="1381" w:type="pct"/>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13</w:t>
            </w:r>
          </w:p>
        </w:tc>
        <w:tc>
          <w:tcPr>
            <w:tcW w:w="1103" w:type="pct"/>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总锰</w:t>
            </w:r>
          </w:p>
        </w:tc>
        <w:tc>
          <w:tcPr>
            <w:tcW w:w="2038" w:type="pct"/>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4.21</w:t>
            </w:r>
          </w:p>
        </w:tc>
        <w:tc>
          <w:tcPr>
            <w:tcW w:w="1381" w:type="pct"/>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14</w:t>
            </w:r>
          </w:p>
        </w:tc>
        <w:tc>
          <w:tcPr>
            <w:tcW w:w="1103" w:type="pct"/>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无机氟化物</w:t>
            </w:r>
          </w:p>
        </w:tc>
        <w:tc>
          <w:tcPr>
            <w:tcW w:w="2038" w:type="pct"/>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0.48</w:t>
            </w:r>
          </w:p>
        </w:tc>
        <w:tc>
          <w:tcPr>
            <w:tcW w:w="1381" w:type="pct"/>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15</w:t>
            </w:r>
          </w:p>
        </w:tc>
        <w:tc>
          <w:tcPr>
            <w:tcW w:w="1103" w:type="pct"/>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氰化物</w:t>
            </w:r>
          </w:p>
        </w:tc>
        <w:tc>
          <w:tcPr>
            <w:tcW w:w="2038" w:type="pct"/>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未检出</w:t>
            </w:r>
          </w:p>
        </w:tc>
        <w:tc>
          <w:tcPr>
            <w:tcW w:w="1381" w:type="pct"/>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000" w:type="pct"/>
            <w:gridSpan w:val="4"/>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lang w:eastAsia="zh-CN"/>
              </w:rPr>
            </w:pPr>
            <w:r>
              <w:rPr>
                <w:rFonts w:hint="eastAsia" w:hAnsi="Times New Roman" w:eastAsia="宋体"/>
                <w:kern w:val="2"/>
                <w:sz w:val="21"/>
                <w:szCs w:val="21"/>
                <w:lang w:eastAsia="zh-CN"/>
              </w:rPr>
              <w:t>备注：浸出方法为：HJ/T299-2007</w:t>
            </w:r>
            <w:r>
              <w:rPr>
                <w:rFonts w:hint="eastAsia" w:hAnsi="Times New Roman" w:eastAsia="宋体"/>
                <w:kern w:val="2"/>
                <w:sz w:val="21"/>
                <w:szCs w:val="21"/>
              </w:rPr>
              <w:t>：《固体废弃物 浸出毒性浸出方法 硫酸硝酸法》</w:t>
            </w:r>
          </w:p>
        </w:tc>
      </w:tr>
    </w:tbl>
    <w:p>
      <w:pPr>
        <w:spacing w:line="360" w:lineRule="auto"/>
        <w:jc w:val="center"/>
        <w:rPr>
          <w:rFonts w:hAnsi="Times New Roman" w:eastAsia="宋体"/>
          <w:b/>
          <w:bCs/>
          <w:sz w:val="21"/>
          <w:szCs w:val="21"/>
          <w:lang w:eastAsia="zh-CN"/>
        </w:rPr>
      </w:pP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 2.4-</w:t>
      </w:r>
      <w:r>
        <w:rPr>
          <w:rFonts w:hint="eastAsia" w:hAnsi="Times New Roman" w:eastAsia="宋体"/>
          <w:b/>
          <w:bCs/>
          <w:sz w:val="21"/>
          <w:szCs w:val="21"/>
          <w:lang w:eastAsia="zh-CN"/>
        </w:rPr>
        <w:t>5</w:t>
      </w:r>
      <w:r>
        <w:rPr>
          <w:rFonts w:hAnsi="Times New Roman" w:eastAsia="宋体"/>
          <w:b/>
          <w:bCs/>
          <w:sz w:val="21"/>
          <w:szCs w:val="21"/>
          <w:lang w:eastAsia="zh-CN"/>
        </w:rPr>
        <w:tab/>
      </w:r>
      <w:r>
        <w:rPr>
          <w:rFonts w:hAnsi="Times New Roman" w:eastAsia="宋体"/>
          <w:b/>
          <w:bCs/>
          <w:sz w:val="21"/>
          <w:szCs w:val="21"/>
          <w:lang w:eastAsia="zh-CN"/>
        </w:rPr>
        <w:t>煤矸石浸出液检测结果表   单位：mg/L</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5"/>
        <w:gridCol w:w="1989"/>
        <w:gridCol w:w="2314"/>
        <w:gridCol w:w="1937"/>
        <w:gridCol w:w="19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4" w:hRule="atLeast"/>
          <w:tblHeader/>
          <w:jc w:val="center"/>
        </w:trPr>
        <w:tc>
          <w:tcPr>
            <w:tcW w:w="538"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检测日期</w:t>
            </w:r>
          </w:p>
        </w:tc>
        <w:tc>
          <w:tcPr>
            <w:tcW w:w="1086"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b/>
                <w:bCs/>
                <w:kern w:val="2"/>
                <w:sz w:val="21"/>
                <w:szCs w:val="21"/>
              </w:rPr>
              <w:t>检测点编号及位置</w:t>
            </w:r>
          </w:p>
        </w:tc>
        <w:tc>
          <w:tcPr>
            <w:tcW w:w="126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检测因子</w:t>
            </w:r>
          </w:p>
        </w:tc>
        <w:tc>
          <w:tcPr>
            <w:tcW w:w="1058"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检测结果</w:t>
            </w:r>
          </w:p>
        </w:tc>
        <w:tc>
          <w:tcPr>
            <w:tcW w:w="1058"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5" w:hRule="atLeast"/>
          <w:jc w:val="center"/>
        </w:trPr>
        <w:tc>
          <w:tcPr>
            <w:tcW w:w="538" w:type="pct"/>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spacing w:val="-2"/>
                <w:kern w:val="2"/>
                <w:sz w:val="21"/>
                <w:szCs w:val="21"/>
              </w:rPr>
              <w:t>2022</w:t>
            </w:r>
            <w:r>
              <w:rPr>
                <w:rFonts w:hint="eastAsia" w:hAnsi="Times New Roman" w:eastAsia="宋体"/>
                <w:bCs/>
                <w:kern w:val="2"/>
                <w:sz w:val="21"/>
                <w:szCs w:val="21"/>
              </w:rPr>
              <w:t>/01/06</w:t>
            </w:r>
          </w:p>
        </w:tc>
        <w:tc>
          <w:tcPr>
            <w:tcW w:w="1086" w:type="pct"/>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厂区煤矸石场</w:t>
            </w:r>
          </w:p>
        </w:tc>
        <w:tc>
          <w:tcPr>
            <w:tcW w:w="126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pH（无量纲）</w:t>
            </w:r>
          </w:p>
        </w:tc>
        <w:tc>
          <w:tcPr>
            <w:tcW w:w="1058"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6.82</w:t>
            </w:r>
          </w:p>
        </w:tc>
        <w:tc>
          <w:tcPr>
            <w:tcW w:w="1058"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5" w:hRule="atLeast"/>
          <w:jc w:val="center"/>
        </w:trPr>
        <w:tc>
          <w:tcPr>
            <w:tcW w:w="538"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086"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26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总铬</w:t>
            </w:r>
          </w:p>
        </w:tc>
        <w:tc>
          <w:tcPr>
            <w:tcW w:w="1058"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ND</w:t>
            </w:r>
          </w:p>
        </w:tc>
        <w:tc>
          <w:tcPr>
            <w:tcW w:w="1058"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5" w:hRule="atLeast"/>
          <w:jc w:val="center"/>
        </w:trPr>
        <w:tc>
          <w:tcPr>
            <w:tcW w:w="538"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086"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26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总汞</w:t>
            </w:r>
          </w:p>
        </w:tc>
        <w:tc>
          <w:tcPr>
            <w:tcW w:w="1058"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0.00149</w:t>
            </w:r>
          </w:p>
        </w:tc>
        <w:tc>
          <w:tcPr>
            <w:tcW w:w="1058"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5" w:hRule="atLeast"/>
          <w:jc w:val="center"/>
        </w:trPr>
        <w:tc>
          <w:tcPr>
            <w:tcW w:w="538"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086" w:type="pct"/>
            <w:vMerge w:val="continue"/>
            <w:vAlign w:val="center"/>
          </w:tcPr>
          <w:p>
            <w:pPr>
              <w:pStyle w:val="57"/>
              <w:keepNext w:val="0"/>
              <w:keepLines w:val="0"/>
              <w:suppressLineNumbers w:val="0"/>
              <w:spacing w:before="0" w:beforeAutospacing="0" w:after="0" w:afterAutospacing="0" w:line="240" w:lineRule="exact"/>
              <w:ind w:left="0" w:right="0"/>
              <w:rPr>
                <w:rFonts w:hint="eastAsia" w:hAnsi="Times New Roman" w:eastAsia="宋体" w:cs="Times New Roman"/>
                <w:kern w:val="2"/>
                <w:sz w:val="21"/>
                <w:szCs w:val="21"/>
              </w:rPr>
            </w:pPr>
          </w:p>
        </w:tc>
        <w:tc>
          <w:tcPr>
            <w:tcW w:w="126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六价铬</w:t>
            </w:r>
          </w:p>
        </w:tc>
        <w:tc>
          <w:tcPr>
            <w:tcW w:w="1058"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ND</w:t>
            </w:r>
          </w:p>
        </w:tc>
        <w:tc>
          <w:tcPr>
            <w:tcW w:w="1058"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5" w:hRule="atLeast"/>
          <w:jc w:val="center"/>
        </w:trPr>
        <w:tc>
          <w:tcPr>
            <w:tcW w:w="538"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086" w:type="pct"/>
            <w:vMerge w:val="continue"/>
            <w:vAlign w:val="center"/>
          </w:tcPr>
          <w:p>
            <w:pPr>
              <w:pStyle w:val="57"/>
              <w:keepNext w:val="0"/>
              <w:keepLines w:val="0"/>
              <w:suppressLineNumbers w:val="0"/>
              <w:spacing w:before="0" w:beforeAutospacing="0" w:after="0" w:afterAutospacing="0" w:line="240" w:lineRule="exact"/>
              <w:ind w:left="0" w:right="0"/>
              <w:rPr>
                <w:rFonts w:hint="eastAsia" w:hAnsi="Times New Roman" w:eastAsia="宋体" w:cs="Times New Roman"/>
                <w:kern w:val="2"/>
                <w:sz w:val="21"/>
                <w:szCs w:val="21"/>
              </w:rPr>
            </w:pPr>
          </w:p>
        </w:tc>
        <w:tc>
          <w:tcPr>
            <w:tcW w:w="126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总镉</w:t>
            </w:r>
          </w:p>
        </w:tc>
        <w:tc>
          <w:tcPr>
            <w:tcW w:w="1058"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ND</w:t>
            </w:r>
          </w:p>
        </w:tc>
        <w:tc>
          <w:tcPr>
            <w:tcW w:w="1058"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5" w:hRule="atLeast"/>
          <w:jc w:val="center"/>
        </w:trPr>
        <w:tc>
          <w:tcPr>
            <w:tcW w:w="538"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086" w:type="pct"/>
            <w:vMerge w:val="continue"/>
            <w:vAlign w:val="center"/>
          </w:tcPr>
          <w:p>
            <w:pPr>
              <w:pStyle w:val="57"/>
              <w:keepNext w:val="0"/>
              <w:keepLines w:val="0"/>
              <w:suppressLineNumbers w:val="0"/>
              <w:spacing w:before="0" w:beforeAutospacing="0" w:after="0" w:afterAutospacing="0" w:line="240" w:lineRule="exact"/>
              <w:ind w:left="0" w:right="0"/>
              <w:rPr>
                <w:rFonts w:hint="eastAsia" w:hAnsi="Times New Roman" w:eastAsia="宋体" w:cs="Times New Roman"/>
                <w:kern w:val="2"/>
                <w:sz w:val="21"/>
                <w:szCs w:val="21"/>
              </w:rPr>
            </w:pPr>
          </w:p>
        </w:tc>
        <w:tc>
          <w:tcPr>
            <w:tcW w:w="126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总砷</w:t>
            </w:r>
          </w:p>
        </w:tc>
        <w:tc>
          <w:tcPr>
            <w:tcW w:w="1058"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0.00175</w:t>
            </w:r>
          </w:p>
        </w:tc>
        <w:tc>
          <w:tcPr>
            <w:tcW w:w="1058"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80" w:hRule="atLeast"/>
          <w:jc w:val="center"/>
        </w:trPr>
        <w:tc>
          <w:tcPr>
            <w:tcW w:w="538"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086"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26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总铅</w:t>
            </w:r>
          </w:p>
        </w:tc>
        <w:tc>
          <w:tcPr>
            <w:tcW w:w="1058"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ND</w:t>
            </w:r>
          </w:p>
        </w:tc>
        <w:tc>
          <w:tcPr>
            <w:tcW w:w="1058" w:type="pct"/>
          </w:tcPr>
          <w:p>
            <w:pPr>
              <w:pStyle w:val="44"/>
              <w:keepNext w:val="0"/>
              <w:keepLines w:val="0"/>
              <w:suppressLineNumbers w:val="0"/>
              <w:kinsoku w:val="0"/>
              <w:overflowPunct w:val="0"/>
              <w:spacing w:before="35"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80" w:hRule="atLeast"/>
          <w:jc w:val="center"/>
        </w:trPr>
        <w:tc>
          <w:tcPr>
            <w:tcW w:w="538"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086" w:type="pct"/>
            <w:vMerge w:val="continue"/>
            <w:vAlign w:val="center"/>
          </w:tcPr>
          <w:p>
            <w:pPr>
              <w:pStyle w:val="57"/>
              <w:keepNext w:val="0"/>
              <w:keepLines w:val="0"/>
              <w:suppressLineNumbers w:val="0"/>
              <w:spacing w:before="0" w:beforeAutospacing="0" w:after="0" w:afterAutospacing="0" w:line="240" w:lineRule="exact"/>
              <w:ind w:left="0" w:right="0"/>
              <w:rPr>
                <w:rFonts w:hint="eastAsia" w:hAnsi="Times New Roman" w:eastAsia="宋体" w:cs="Times New Roman"/>
                <w:kern w:val="2"/>
                <w:sz w:val="21"/>
                <w:szCs w:val="21"/>
              </w:rPr>
            </w:pPr>
          </w:p>
        </w:tc>
        <w:tc>
          <w:tcPr>
            <w:tcW w:w="126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总镍</w:t>
            </w:r>
          </w:p>
        </w:tc>
        <w:tc>
          <w:tcPr>
            <w:tcW w:w="1058"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ND</w:t>
            </w:r>
          </w:p>
        </w:tc>
        <w:tc>
          <w:tcPr>
            <w:tcW w:w="1058" w:type="pct"/>
          </w:tcPr>
          <w:p>
            <w:pPr>
              <w:pStyle w:val="44"/>
              <w:keepNext w:val="0"/>
              <w:keepLines w:val="0"/>
              <w:suppressLineNumbers w:val="0"/>
              <w:kinsoku w:val="0"/>
              <w:overflowPunct w:val="0"/>
              <w:spacing w:before="35"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80" w:hRule="atLeast"/>
          <w:jc w:val="center"/>
        </w:trPr>
        <w:tc>
          <w:tcPr>
            <w:tcW w:w="538"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086" w:type="pct"/>
            <w:vMerge w:val="continue"/>
            <w:vAlign w:val="center"/>
          </w:tcPr>
          <w:p>
            <w:pPr>
              <w:pStyle w:val="57"/>
              <w:keepNext w:val="0"/>
              <w:keepLines w:val="0"/>
              <w:suppressLineNumbers w:val="0"/>
              <w:spacing w:before="0" w:beforeAutospacing="0" w:after="0" w:afterAutospacing="0" w:line="240" w:lineRule="exact"/>
              <w:ind w:left="0" w:right="0"/>
              <w:rPr>
                <w:rFonts w:hint="eastAsia" w:hAnsi="Times New Roman" w:eastAsia="宋体" w:cs="Times New Roman"/>
                <w:kern w:val="2"/>
                <w:sz w:val="21"/>
                <w:szCs w:val="21"/>
              </w:rPr>
            </w:pPr>
          </w:p>
        </w:tc>
        <w:tc>
          <w:tcPr>
            <w:tcW w:w="126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总铍</w:t>
            </w:r>
          </w:p>
        </w:tc>
        <w:tc>
          <w:tcPr>
            <w:tcW w:w="1058"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ND</w:t>
            </w:r>
          </w:p>
        </w:tc>
        <w:tc>
          <w:tcPr>
            <w:tcW w:w="1058" w:type="pct"/>
          </w:tcPr>
          <w:p>
            <w:pPr>
              <w:pStyle w:val="44"/>
              <w:keepNext w:val="0"/>
              <w:keepLines w:val="0"/>
              <w:suppressLineNumbers w:val="0"/>
              <w:kinsoku w:val="0"/>
              <w:overflowPunct w:val="0"/>
              <w:spacing w:before="35"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80" w:hRule="atLeast"/>
          <w:jc w:val="center"/>
        </w:trPr>
        <w:tc>
          <w:tcPr>
            <w:tcW w:w="538"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086" w:type="pct"/>
            <w:vMerge w:val="continue"/>
            <w:vAlign w:val="center"/>
          </w:tcPr>
          <w:p>
            <w:pPr>
              <w:pStyle w:val="57"/>
              <w:keepNext w:val="0"/>
              <w:keepLines w:val="0"/>
              <w:suppressLineNumbers w:val="0"/>
              <w:spacing w:before="0" w:beforeAutospacing="0" w:after="0" w:afterAutospacing="0" w:line="240" w:lineRule="exact"/>
              <w:ind w:left="0" w:right="0"/>
              <w:rPr>
                <w:rFonts w:hint="eastAsia" w:hAnsi="Times New Roman" w:eastAsia="宋体" w:cs="Times New Roman"/>
                <w:kern w:val="2"/>
                <w:sz w:val="21"/>
                <w:szCs w:val="21"/>
              </w:rPr>
            </w:pPr>
          </w:p>
        </w:tc>
        <w:tc>
          <w:tcPr>
            <w:tcW w:w="126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总铜</w:t>
            </w:r>
          </w:p>
        </w:tc>
        <w:tc>
          <w:tcPr>
            <w:tcW w:w="1058"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ND</w:t>
            </w:r>
          </w:p>
        </w:tc>
        <w:tc>
          <w:tcPr>
            <w:tcW w:w="1058" w:type="pct"/>
          </w:tcPr>
          <w:p>
            <w:pPr>
              <w:pStyle w:val="44"/>
              <w:keepNext w:val="0"/>
              <w:keepLines w:val="0"/>
              <w:suppressLineNumbers w:val="0"/>
              <w:kinsoku w:val="0"/>
              <w:overflowPunct w:val="0"/>
              <w:spacing w:before="35"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80" w:hRule="atLeast"/>
          <w:jc w:val="center"/>
        </w:trPr>
        <w:tc>
          <w:tcPr>
            <w:tcW w:w="538"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086" w:type="pct"/>
            <w:vMerge w:val="continue"/>
            <w:vAlign w:val="center"/>
          </w:tcPr>
          <w:p>
            <w:pPr>
              <w:pStyle w:val="57"/>
              <w:keepNext w:val="0"/>
              <w:keepLines w:val="0"/>
              <w:suppressLineNumbers w:val="0"/>
              <w:spacing w:before="0" w:beforeAutospacing="0" w:after="0" w:afterAutospacing="0" w:line="240" w:lineRule="exact"/>
              <w:ind w:left="0" w:right="0"/>
              <w:rPr>
                <w:rFonts w:hint="eastAsia" w:hAnsi="Times New Roman" w:eastAsia="宋体" w:cs="Times New Roman"/>
                <w:kern w:val="2"/>
                <w:sz w:val="21"/>
                <w:szCs w:val="21"/>
              </w:rPr>
            </w:pPr>
          </w:p>
        </w:tc>
        <w:tc>
          <w:tcPr>
            <w:tcW w:w="1260" w:type="pct"/>
            <w:vAlign w:val="center"/>
          </w:tcPr>
          <w:p>
            <w:pPr>
              <w:pStyle w:val="57"/>
              <w:keepNext w:val="0"/>
              <w:keepLines w:val="0"/>
              <w:suppressLineNumbers w:val="0"/>
              <w:spacing w:before="0" w:beforeAutospacing="0" w:after="0" w:afterAutospacing="0" w:line="240" w:lineRule="exact"/>
              <w:ind w:left="0" w:right="0"/>
              <w:rPr>
                <w:rFonts w:hint="eastAsia" w:hAnsi="Times New Roman" w:eastAsia="宋体" w:cs="Times New Roman"/>
                <w:bCs/>
                <w:kern w:val="2"/>
                <w:sz w:val="21"/>
                <w:szCs w:val="21"/>
              </w:rPr>
            </w:pPr>
            <w:r>
              <w:rPr>
                <w:rFonts w:hint="eastAsia" w:hAnsi="Times New Roman" w:eastAsia="宋体" w:cs="Times New Roman"/>
                <w:bCs/>
                <w:kern w:val="2"/>
                <w:sz w:val="21"/>
                <w:szCs w:val="21"/>
              </w:rPr>
              <w:t>总锌</w:t>
            </w:r>
          </w:p>
        </w:tc>
        <w:tc>
          <w:tcPr>
            <w:tcW w:w="1058"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0.68</w:t>
            </w:r>
          </w:p>
        </w:tc>
        <w:tc>
          <w:tcPr>
            <w:tcW w:w="1058" w:type="pct"/>
          </w:tcPr>
          <w:p>
            <w:pPr>
              <w:pStyle w:val="44"/>
              <w:keepNext w:val="0"/>
              <w:keepLines w:val="0"/>
              <w:suppressLineNumbers w:val="0"/>
              <w:kinsoku w:val="0"/>
              <w:overflowPunct w:val="0"/>
              <w:spacing w:before="35"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80" w:hRule="atLeast"/>
          <w:jc w:val="center"/>
        </w:trPr>
        <w:tc>
          <w:tcPr>
            <w:tcW w:w="538"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086" w:type="pct"/>
            <w:vMerge w:val="continue"/>
            <w:vAlign w:val="center"/>
          </w:tcPr>
          <w:p>
            <w:pPr>
              <w:pStyle w:val="57"/>
              <w:keepNext w:val="0"/>
              <w:keepLines w:val="0"/>
              <w:suppressLineNumbers w:val="0"/>
              <w:spacing w:before="0" w:beforeAutospacing="0" w:after="0" w:afterAutospacing="0" w:line="240" w:lineRule="exact"/>
              <w:ind w:left="0" w:right="0"/>
              <w:rPr>
                <w:rFonts w:hint="eastAsia" w:hAnsi="Times New Roman" w:eastAsia="宋体" w:cs="Times New Roman"/>
                <w:kern w:val="2"/>
                <w:sz w:val="21"/>
                <w:szCs w:val="21"/>
              </w:rPr>
            </w:pPr>
          </w:p>
        </w:tc>
        <w:tc>
          <w:tcPr>
            <w:tcW w:w="1260" w:type="pct"/>
            <w:vAlign w:val="center"/>
          </w:tcPr>
          <w:p>
            <w:pPr>
              <w:pStyle w:val="57"/>
              <w:keepNext w:val="0"/>
              <w:keepLines w:val="0"/>
              <w:suppressLineNumbers w:val="0"/>
              <w:spacing w:before="0" w:beforeAutospacing="0" w:after="0" w:afterAutospacing="0" w:line="240" w:lineRule="exact"/>
              <w:ind w:left="0" w:right="0"/>
              <w:rPr>
                <w:rFonts w:hint="eastAsia" w:hAnsi="Times New Roman" w:eastAsia="宋体" w:cs="Times New Roman"/>
                <w:bCs/>
                <w:kern w:val="2"/>
                <w:sz w:val="21"/>
                <w:szCs w:val="21"/>
              </w:rPr>
            </w:pPr>
            <w:r>
              <w:rPr>
                <w:rFonts w:hint="eastAsia" w:hAnsi="Times New Roman" w:eastAsia="宋体" w:cs="Times New Roman"/>
                <w:bCs/>
                <w:kern w:val="2"/>
                <w:sz w:val="21"/>
                <w:szCs w:val="21"/>
              </w:rPr>
              <w:t>总锰</w:t>
            </w:r>
          </w:p>
        </w:tc>
        <w:tc>
          <w:tcPr>
            <w:tcW w:w="1058"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ND</w:t>
            </w:r>
          </w:p>
        </w:tc>
        <w:tc>
          <w:tcPr>
            <w:tcW w:w="1058" w:type="pct"/>
          </w:tcPr>
          <w:p>
            <w:pPr>
              <w:pStyle w:val="44"/>
              <w:keepNext w:val="0"/>
              <w:keepLines w:val="0"/>
              <w:suppressLineNumbers w:val="0"/>
              <w:kinsoku w:val="0"/>
              <w:overflowPunct w:val="0"/>
              <w:spacing w:before="35"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5" w:hRule="atLeast"/>
          <w:jc w:val="center"/>
        </w:trPr>
        <w:tc>
          <w:tcPr>
            <w:tcW w:w="538"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086"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26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氟化物*</w:t>
            </w:r>
          </w:p>
        </w:tc>
        <w:tc>
          <w:tcPr>
            <w:tcW w:w="1058"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0.196</w:t>
            </w:r>
          </w:p>
        </w:tc>
        <w:tc>
          <w:tcPr>
            <w:tcW w:w="1058"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6" w:hRule="atLeast"/>
          <w:jc w:val="center"/>
        </w:trPr>
        <w:tc>
          <w:tcPr>
            <w:tcW w:w="5000" w:type="pct"/>
            <w:gridSpan w:val="5"/>
            <w:vAlign w:val="center"/>
          </w:tcPr>
          <w:p>
            <w:pPr>
              <w:keepNext w:val="0"/>
              <w:keepLines w:val="0"/>
              <w:suppressLineNumbers w:val="0"/>
              <w:spacing w:before="0" w:beforeAutospacing="0" w:after="0" w:afterAutospacing="0" w:line="240" w:lineRule="exact"/>
              <w:ind w:left="0" w:right="0"/>
              <w:rPr>
                <w:rFonts w:hint="eastAsia" w:hAnsi="Times New Roman" w:eastAsia="宋体"/>
                <w:kern w:val="2"/>
                <w:sz w:val="21"/>
                <w:szCs w:val="21"/>
                <w:lang w:eastAsia="zh-CN"/>
              </w:rPr>
            </w:pPr>
            <w:r>
              <w:rPr>
                <w:rFonts w:hint="eastAsia" w:hAnsi="Times New Roman" w:eastAsia="宋体"/>
                <w:kern w:val="2"/>
                <w:sz w:val="21"/>
                <w:szCs w:val="21"/>
                <w:lang w:eastAsia="zh-CN"/>
              </w:rPr>
              <w:t>备注：“ND”表示未检出，</w:t>
            </w:r>
            <w:r>
              <w:rPr>
                <w:rFonts w:hint="eastAsia" w:hAnsi="Times New Roman" w:eastAsia="宋体"/>
                <w:bCs/>
                <w:kern w:val="2"/>
                <w:sz w:val="21"/>
                <w:szCs w:val="21"/>
                <w:lang w:eastAsia="zh-CN"/>
              </w:rPr>
              <w:t>《固体废物浸出毒性浸出方法水平振荡法》（HJ557-2010）</w:t>
            </w:r>
          </w:p>
        </w:tc>
      </w:tr>
    </w:tbl>
    <w:p>
      <w:pPr>
        <w:spacing w:line="360" w:lineRule="auto"/>
        <w:ind w:firstLine="480" w:firstLineChars="200"/>
        <w:rPr>
          <w:rFonts w:hAnsi="Times New Roman" w:eastAsia="宋体"/>
          <w:szCs w:val="22"/>
          <w:lang w:eastAsia="zh-CN"/>
        </w:rPr>
      </w:pPr>
      <w:r>
        <w:rPr>
          <w:rFonts w:hAnsi="Times New Roman" w:eastAsia="宋体"/>
          <w:szCs w:val="24"/>
          <w:lang w:eastAsia="zh-CN"/>
        </w:rPr>
        <w:t>由监测结果可知，本项目煤矸石酸法浸出的各监测指标均能满足《危险废物鉴别标准浸出毒性鉴别》（GB 5085.3-2007），矸石不属于危险废物。此外，矸石浸出的各有毒有害成分均未超过《污水综合排放标准》（GB189718-2002）中的第一类污染物的最高允许排放浓度。因此，矸石属于I类一般工业固体废物</w:t>
      </w:r>
      <w:r>
        <w:rPr>
          <w:rFonts w:hAnsi="Times New Roman" w:eastAsia="宋体"/>
          <w:szCs w:val="22"/>
          <w:lang w:eastAsia="zh-CN"/>
        </w:rPr>
        <w:t>。</w:t>
      </w:r>
    </w:p>
    <w:p>
      <w:pPr>
        <w:spacing w:line="360" w:lineRule="auto"/>
        <w:ind w:firstLine="482" w:firstLineChars="200"/>
        <w:rPr>
          <w:rFonts w:hAnsi="Times New Roman" w:eastAsia="宋体"/>
          <w:b/>
          <w:bCs/>
          <w:lang w:eastAsia="zh-CN"/>
        </w:rPr>
      </w:pPr>
      <w:r>
        <w:rPr>
          <w:rFonts w:hAnsi="Times New Roman" w:eastAsia="宋体"/>
          <w:b/>
          <w:bCs/>
          <w:lang w:eastAsia="zh-CN"/>
        </w:rPr>
        <w:t>②生活垃圾</w:t>
      </w:r>
    </w:p>
    <w:p>
      <w:pPr>
        <w:spacing w:line="360" w:lineRule="auto"/>
        <w:ind w:firstLine="480" w:firstLineChars="200"/>
        <w:rPr>
          <w:rFonts w:hAnsi="Times New Roman" w:eastAsia="宋体"/>
          <w:lang w:eastAsia="zh-CN"/>
        </w:rPr>
      </w:pPr>
      <w:r>
        <w:rPr>
          <w:rFonts w:hAnsi="Times New Roman" w:eastAsia="宋体"/>
          <w:lang w:eastAsia="zh-CN"/>
        </w:rPr>
        <w:t>七里峡煤矿独立升级改造完成后，日最大出勤约335人，生活垃圾产生系数以0.5kg/人.d，生活垃圾产生量为0.1675t/d，55.3t/a。在工业场地的主要建筑物及作业场所设置垃圾桶和垃圾箱，垃圾袋装收集后，投放至工业广场的生活垃圾收集点，由乡镇环卫部门清运处置。</w:t>
      </w:r>
    </w:p>
    <w:p>
      <w:pPr>
        <w:spacing w:line="360" w:lineRule="auto"/>
        <w:ind w:firstLine="482" w:firstLineChars="200"/>
        <w:rPr>
          <w:rFonts w:hAnsi="Times New Roman" w:eastAsia="宋体"/>
          <w:b/>
          <w:bCs/>
          <w:lang w:eastAsia="zh-CN"/>
        </w:rPr>
      </w:pPr>
      <w:r>
        <w:rPr>
          <w:rFonts w:hAnsi="Times New Roman" w:eastAsia="宋体"/>
          <w:b/>
          <w:bCs/>
          <w:lang w:eastAsia="zh-CN"/>
        </w:rPr>
        <w:t>③矿井水处理站煤泥</w:t>
      </w:r>
    </w:p>
    <w:p>
      <w:pPr>
        <w:spacing w:line="360" w:lineRule="auto"/>
        <w:ind w:firstLine="480" w:firstLineChars="200"/>
        <w:rPr>
          <w:rFonts w:hAnsi="Times New Roman" w:eastAsia="宋体"/>
          <w:lang w:eastAsia="zh-CN"/>
        </w:rPr>
      </w:pPr>
      <w:r>
        <w:rPr>
          <w:rFonts w:hAnsi="Times New Roman" w:eastAsia="宋体"/>
          <w:lang w:eastAsia="zh-CN"/>
        </w:rPr>
        <w:t>矿井水处理站污泥约80t/a，此类污泥中所含成分主要是煤屑，其特性与选煤厂煤泥相似，矿井水处理站污泥经压滤脱水后掺入末煤对外销售。</w:t>
      </w:r>
    </w:p>
    <w:p>
      <w:pPr>
        <w:spacing w:line="360" w:lineRule="auto"/>
        <w:ind w:firstLine="482" w:firstLineChars="200"/>
        <w:rPr>
          <w:rFonts w:hAnsi="Times New Roman" w:eastAsia="宋体"/>
          <w:b/>
          <w:bCs/>
          <w:lang w:eastAsia="zh-CN"/>
        </w:rPr>
      </w:pPr>
      <w:r>
        <w:rPr>
          <w:rFonts w:hAnsi="Times New Roman" w:eastAsia="宋体"/>
          <w:b/>
          <w:bCs/>
          <w:lang w:eastAsia="zh-CN"/>
        </w:rPr>
        <w:t>④生活污水处理站污泥</w:t>
      </w:r>
    </w:p>
    <w:p>
      <w:pPr>
        <w:spacing w:line="360" w:lineRule="auto"/>
        <w:ind w:firstLine="480" w:firstLineChars="200"/>
        <w:rPr>
          <w:rFonts w:hAnsi="Times New Roman" w:eastAsia="宋体"/>
          <w:highlight w:val="yellow"/>
          <w:lang w:eastAsia="zh-CN"/>
        </w:rPr>
      </w:pPr>
      <w:r>
        <w:rPr>
          <w:rFonts w:hAnsi="Times New Roman" w:eastAsia="宋体"/>
          <w:lang w:eastAsia="zh-CN"/>
        </w:rPr>
        <w:t>本项目采用一体式污水处理设备处理生活污水。据《集中式污染治理设施产排污系数手册（2010修订）》中“A/O、A</w:t>
      </w:r>
      <w:r>
        <w:rPr>
          <w:rFonts w:hAnsi="Times New Roman" w:eastAsia="宋体"/>
          <w:vertAlign w:val="superscript"/>
          <w:lang w:eastAsia="zh-CN"/>
        </w:rPr>
        <w:t>2</w:t>
      </w:r>
      <w:r>
        <w:rPr>
          <w:rFonts w:hAnsi="Times New Roman" w:eastAsia="宋体"/>
          <w:lang w:eastAsia="zh-CN"/>
        </w:rPr>
        <w:t>/O类工艺-无污泥消化”。项目污泥核算系数取1.45t/t-CODcr去除量，进水SS修正系数取1.3，则项目污泥产生系数为1.885t/t-CODcr去除量。项目生活污水站年消减CODcr量约4.6t/a，则污泥产生量8.67t/a（含水率80%）。污泥干化含水率小于60%后的泥饼4.33t/a）与生活垃圾一同交当地环卫部门统一处置。</w:t>
      </w:r>
    </w:p>
    <w:p>
      <w:pPr>
        <w:spacing w:line="360" w:lineRule="auto"/>
        <w:ind w:firstLine="482" w:firstLineChars="200"/>
        <w:rPr>
          <w:rFonts w:hAnsi="Times New Roman" w:eastAsia="宋体"/>
          <w:b/>
          <w:bCs/>
          <w:lang w:eastAsia="zh-CN"/>
        </w:rPr>
      </w:pPr>
      <w:r>
        <w:rPr>
          <w:rFonts w:hAnsi="Times New Roman" w:eastAsia="宋体"/>
          <w:b/>
          <w:bCs/>
          <w:lang w:eastAsia="zh-CN"/>
        </w:rPr>
        <w:t>⑤含油手套、抹布</w:t>
      </w:r>
    </w:p>
    <w:p>
      <w:pPr>
        <w:spacing w:line="360" w:lineRule="auto"/>
        <w:ind w:firstLine="480" w:firstLineChars="200"/>
        <w:rPr>
          <w:rFonts w:hAnsi="Times New Roman" w:eastAsia="宋体"/>
          <w:lang w:eastAsia="zh-CN"/>
        </w:rPr>
      </w:pPr>
      <w:r>
        <w:rPr>
          <w:rFonts w:hAnsi="Times New Roman" w:eastAsia="宋体"/>
          <w:lang w:eastAsia="zh-CN"/>
        </w:rPr>
        <w:t>运营期间各类生产设备日常维护、检修、擦拭产品产生含油抹布及劳保用品产生量约0.05t/a。根据《国家危险废物名录（2021年版）》可知，含油手套及抹布属于危险废物为豁免物品。环评要求含油手套、抹布同生活垃圾一同交由环卫部门处理。</w:t>
      </w:r>
    </w:p>
    <w:p>
      <w:pPr>
        <w:spacing w:line="360" w:lineRule="auto"/>
        <w:ind w:firstLine="482" w:firstLineChars="200"/>
        <w:rPr>
          <w:rFonts w:hAnsi="Times New Roman" w:eastAsia="宋体"/>
          <w:b/>
          <w:bCs/>
          <w:lang w:eastAsia="zh-CN"/>
        </w:rPr>
      </w:pPr>
      <w:r>
        <w:rPr>
          <w:rFonts w:hAnsi="Times New Roman" w:eastAsia="宋体"/>
          <w:b/>
          <w:bCs/>
          <w:lang w:eastAsia="zh-CN"/>
        </w:rPr>
        <w:t>⑥废蓄电池</w:t>
      </w:r>
    </w:p>
    <w:p>
      <w:pPr>
        <w:spacing w:line="360" w:lineRule="auto"/>
        <w:ind w:firstLine="480" w:firstLineChars="200"/>
        <w:rPr>
          <w:rFonts w:hAnsi="Times New Roman" w:eastAsia="宋体"/>
          <w:lang w:eastAsia="zh-CN"/>
        </w:rPr>
      </w:pPr>
      <w:r>
        <w:rPr>
          <w:rFonts w:hAnsi="Times New Roman" w:eastAsia="宋体"/>
          <w:lang w:eastAsia="zh-CN"/>
        </w:rPr>
        <w:t>矿井采用防爆特殊型蓄电池机车牵引运输煤炭出井，机车会产生一定量的废锂电池，产生量约2个/a，约0.1t/a。查阅《国家危险废物目录（2021 年版）》，废锂电池不属于危险废物，为一般固体废物，由厂家回收处理。</w:t>
      </w:r>
    </w:p>
    <w:p>
      <w:pPr>
        <w:spacing w:line="360" w:lineRule="auto"/>
        <w:ind w:firstLine="482" w:firstLineChars="200"/>
        <w:rPr>
          <w:rFonts w:hAnsi="Times New Roman" w:eastAsia="宋体"/>
          <w:b/>
          <w:bCs/>
          <w:lang w:eastAsia="zh-CN"/>
        </w:rPr>
      </w:pPr>
      <w:r>
        <w:rPr>
          <w:rFonts w:hAnsi="Times New Roman" w:eastAsia="宋体"/>
          <w:b/>
          <w:bCs/>
          <w:lang w:eastAsia="zh-CN"/>
        </w:rPr>
        <w:t>⑦废矿灯</w:t>
      </w:r>
    </w:p>
    <w:p>
      <w:pPr>
        <w:spacing w:line="360" w:lineRule="auto"/>
        <w:ind w:firstLine="480" w:firstLineChars="200"/>
        <w:rPr>
          <w:rFonts w:hAnsi="Times New Roman" w:eastAsia="宋体"/>
          <w:lang w:eastAsia="zh-CN"/>
        </w:rPr>
      </w:pPr>
      <w:r>
        <w:rPr>
          <w:rFonts w:hAnsi="Times New Roman" w:eastAsia="宋体"/>
          <w:lang w:eastAsia="zh-CN"/>
        </w:rPr>
        <w:t>本项目采用锂离子电池矿灯用于井下人员照明，废弃原因主要为人为损坏和电池耐久度不够所致，产生量约100个/a，约0.05t/a，属于一般固体废物，由厂家回收处理。</w:t>
      </w:r>
    </w:p>
    <w:p>
      <w:pPr>
        <w:spacing w:line="360" w:lineRule="auto"/>
        <w:ind w:firstLine="482" w:firstLineChars="200"/>
        <w:rPr>
          <w:rFonts w:hAnsi="Times New Roman" w:eastAsia="宋体"/>
          <w:b/>
          <w:bCs/>
          <w:lang w:eastAsia="zh-CN"/>
        </w:rPr>
      </w:pPr>
      <w:r>
        <w:rPr>
          <w:rFonts w:hAnsi="Times New Roman" w:eastAsia="宋体"/>
          <w:b/>
          <w:bCs/>
          <w:lang w:eastAsia="zh-CN"/>
        </w:rPr>
        <w:t>（2）危险废物</w:t>
      </w:r>
    </w:p>
    <w:p>
      <w:pPr>
        <w:spacing w:line="360" w:lineRule="auto"/>
        <w:ind w:firstLine="480" w:firstLineChars="200"/>
        <w:rPr>
          <w:rFonts w:hAnsi="Times New Roman" w:eastAsia="宋体"/>
          <w:lang w:eastAsia="zh-CN"/>
        </w:rPr>
      </w:pPr>
      <w:r>
        <w:rPr>
          <w:rFonts w:hAnsi="Times New Roman" w:eastAsia="宋体"/>
          <w:lang w:eastAsia="zh-CN"/>
        </w:rPr>
        <w:t>项目机修车间会对机车、空压机等设备进行维护，将产生一定的废机油，根据企业机油使用情况，项目废机油约0.4t/a。据《国家危险废物目录（2021年版）》，废机油属于危险废物（HW08废矿物油与含矿物油废物，代码900-214-08）。废机油集中收集，暂存于危废暂存间，按危废管理，用于场地内轨道、钢丝润滑。</w:t>
      </w:r>
    </w:p>
    <w:p>
      <w:pPr>
        <w:spacing w:line="360" w:lineRule="auto"/>
        <w:ind w:firstLine="480" w:firstLineChars="200"/>
        <w:rPr>
          <w:rFonts w:hAnsi="Times New Roman" w:eastAsia="宋体"/>
          <w:lang w:eastAsia="zh-CN"/>
        </w:rPr>
      </w:pPr>
      <w:r>
        <w:rPr>
          <w:rFonts w:hAnsi="Times New Roman" w:eastAsia="宋体"/>
          <w:lang w:eastAsia="zh-CN"/>
        </w:rPr>
        <w:t>现有矿井建设有专用危废暂存间，用于危险废物的暂存。危废暂存间内地面为水泥硬化防渗地坪，具备防风、防雨、防漫流等功能。危险废物用符合规范的封闭、防渗容器封闭储存。设置危险废物标识，分类收集，由专人负责，并建立储存记录，并主动到当地主管部门进行备案。</w:t>
      </w:r>
    </w:p>
    <w:p>
      <w:pPr>
        <w:spacing w:line="360" w:lineRule="auto"/>
        <w:ind w:firstLine="480" w:firstLineChars="200"/>
        <w:rPr>
          <w:rFonts w:hAnsi="Times New Roman" w:eastAsia="宋体"/>
          <w:lang w:eastAsia="zh-CN"/>
        </w:rPr>
      </w:pPr>
      <w:r>
        <w:rPr>
          <w:rFonts w:hAnsi="Times New Roman" w:eastAsia="宋体"/>
          <w:lang w:eastAsia="zh-CN"/>
        </w:rPr>
        <w:t>固体废物污染物产生及处置情况详见下表。</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表2.4-6运营期固废产生及治理措施</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6"/>
        <w:gridCol w:w="1088"/>
        <w:gridCol w:w="1351"/>
        <w:gridCol w:w="1686"/>
        <w:gridCol w:w="1215"/>
        <w:gridCol w:w="33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7" w:hRule="atLeast"/>
          <w:tblHeader/>
          <w:jc w:val="center"/>
        </w:trPr>
        <w:tc>
          <w:tcPr>
            <w:tcW w:w="367"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
                <w:kern w:val="2"/>
                <w:sz w:val="21"/>
                <w:szCs w:val="21"/>
              </w:rPr>
            </w:pPr>
            <w:r>
              <w:rPr>
                <w:rFonts w:hint="eastAsia" w:hAnsi="Times New Roman" w:eastAsia="宋体"/>
                <w:b/>
                <w:kern w:val="2"/>
                <w:sz w:val="21"/>
                <w:szCs w:val="21"/>
              </w:rPr>
              <w:t>序号</w:t>
            </w:r>
          </w:p>
        </w:tc>
        <w:tc>
          <w:tcPr>
            <w:tcW w:w="582"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
                <w:kern w:val="2"/>
                <w:sz w:val="21"/>
                <w:szCs w:val="21"/>
                <w:lang w:eastAsia="zh-CN"/>
              </w:rPr>
            </w:pPr>
            <w:r>
              <w:rPr>
                <w:rFonts w:hint="eastAsia" w:hAnsi="Times New Roman" w:eastAsia="宋体"/>
                <w:b/>
                <w:kern w:val="2"/>
                <w:sz w:val="21"/>
                <w:szCs w:val="21"/>
                <w:lang w:eastAsia="zh-CN"/>
              </w:rPr>
              <w:t>污染物产生点</w:t>
            </w:r>
          </w:p>
        </w:tc>
        <w:tc>
          <w:tcPr>
            <w:tcW w:w="723"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
                <w:kern w:val="2"/>
                <w:sz w:val="21"/>
                <w:szCs w:val="21"/>
                <w:lang w:eastAsia="zh-CN"/>
              </w:rPr>
            </w:pPr>
            <w:r>
              <w:rPr>
                <w:rFonts w:hint="eastAsia" w:hAnsi="Times New Roman" w:eastAsia="宋体"/>
                <w:b/>
                <w:kern w:val="2"/>
                <w:sz w:val="21"/>
                <w:szCs w:val="21"/>
                <w:lang w:eastAsia="zh-CN"/>
              </w:rPr>
              <w:t>主要污染物</w:t>
            </w:r>
          </w:p>
        </w:tc>
        <w:tc>
          <w:tcPr>
            <w:tcW w:w="902"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
                <w:kern w:val="2"/>
                <w:sz w:val="21"/>
                <w:szCs w:val="21"/>
                <w:lang w:eastAsia="zh-CN"/>
              </w:rPr>
            </w:pPr>
            <w:r>
              <w:rPr>
                <w:rFonts w:hint="eastAsia" w:hAnsi="Times New Roman" w:eastAsia="宋体"/>
                <w:b/>
                <w:kern w:val="2"/>
                <w:sz w:val="21"/>
                <w:szCs w:val="21"/>
                <w:lang w:eastAsia="zh-CN"/>
              </w:rPr>
              <w:t>性质</w:t>
            </w:r>
          </w:p>
        </w:tc>
        <w:tc>
          <w:tcPr>
            <w:tcW w:w="650"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
                <w:kern w:val="2"/>
                <w:sz w:val="21"/>
                <w:szCs w:val="21"/>
                <w:lang w:eastAsia="zh-CN"/>
              </w:rPr>
            </w:pPr>
            <w:r>
              <w:rPr>
                <w:rFonts w:hint="eastAsia" w:hAnsi="Times New Roman" w:eastAsia="宋体"/>
                <w:b/>
                <w:kern w:val="2"/>
                <w:sz w:val="21"/>
                <w:szCs w:val="21"/>
                <w:lang w:eastAsia="zh-CN"/>
              </w:rPr>
              <w:t>产生量</w:t>
            </w:r>
          </w:p>
        </w:tc>
        <w:tc>
          <w:tcPr>
            <w:tcW w:w="1775"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
                <w:kern w:val="2"/>
                <w:sz w:val="21"/>
                <w:szCs w:val="21"/>
                <w:lang w:eastAsia="zh-CN"/>
              </w:rPr>
            </w:pPr>
            <w:r>
              <w:rPr>
                <w:rFonts w:hint="eastAsia" w:hAnsi="Times New Roman" w:eastAsia="宋体"/>
                <w:b/>
                <w:kern w:val="2"/>
                <w:sz w:val="21"/>
                <w:szCs w:val="21"/>
                <w:lang w:eastAsia="zh-CN"/>
              </w:rPr>
              <w:t>处理方式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5" w:hRule="atLeast"/>
          <w:jc w:val="center"/>
        </w:trPr>
        <w:tc>
          <w:tcPr>
            <w:tcW w:w="367"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w:t>
            </w:r>
          </w:p>
        </w:tc>
        <w:tc>
          <w:tcPr>
            <w:tcW w:w="582"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采掘</w:t>
            </w:r>
          </w:p>
        </w:tc>
        <w:tc>
          <w:tcPr>
            <w:tcW w:w="723"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煤矸石</w:t>
            </w:r>
          </w:p>
        </w:tc>
        <w:tc>
          <w:tcPr>
            <w:tcW w:w="902"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一般固废</w:t>
            </w:r>
          </w:p>
        </w:tc>
        <w:tc>
          <w:tcPr>
            <w:tcW w:w="650" w:type="pct"/>
            <w:vAlign w:val="center"/>
          </w:tcPr>
          <w:p>
            <w:pPr>
              <w:pStyle w:val="44"/>
              <w:keepNext w:val="0"/>
              <w:keepLines w:val="0"/>
              <w:suppressLineNumbers w:val="0"/>
              <w:spacing w:before="0" w:beforeAutospacing="0" w:after="0" w:afterAutospacing="0" w:line="280" w:lineRule="exact"/>
              <w:ind w:left="136" w:right="128"/>
              <w:jc w:val="center"/>
              <w:rPr>
                <w:rFonts w:hint="eastAsia" w:hAnsi="Times New Roman" w:eastAsia="宋体"/>
                <w:kern w:val="2"/>
                <w:sz w:val="21"/>
                <w:szCs w:val="21"/>
              </w:rPr>
            </w:pPr>
            <w:r>
              <w:rPr>
                <w:rFonts w:hint="eastAsia" w:hAnsi="Times New Roman" w:eastAsia="宋体"/>
                <w:kern w:val="2"/>
                <w:sz w:val="21"/>
                <w:szCs w:val="22"/>
              </w:rPr>
              <w:t>3万t/a</w:t>
            </w:r>
          </w:p>
        </w:tc>
        <w:tc>
          <w:tcPr>
            <w:tcW w:w="1775"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转运煤矸石临时堆场暂存后，全部运至</w:t>
            </w:r>
            <w:r>
              <w:rPr>
                <w:rFonts w:hint="eastAsia" w:hAnsi="Times New Roman" w:eastAsia="宋体"/>
                <w:kern w:val="2"/>
                <w:sz w:val="21"/>
                <w:szCs w:val="21"/>
                <w:lang w:eastAsia="zh-CN"/>
              </w:rPr>
              <w:t>宣汉县平桥砖厂</w:t>
            </w:r>
            <w:r>
              <w:rPr>
                <w:rFonts w:hint="eastAsia" w:hAnsi="Times New Roman" w:eastAsia="宋体"/>
                <w:kern w:val="2"/>
                <w:sz w:val="21"/>
                <w:szCs w:val="21"/>
              </w:rPr>
              <w:t>用于制砖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2" w:hRule="atLeast"/>
          <w:jc w:val="center"/>
        </w:trPr>
        <w:tc>
          <w:tcPr>
            <w:tcW w:w="367"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w:t>
            </w:r>
          </w:p>
        </w:tc>
        <w:tc>
          <w:tcPr>
            <w:tcW w:w="582"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职工生活</w:t>
            </w:r>
          </w:p>
        </w:tc>
        <w:tc>
          <w:tcPr>
            <w:tcW w:w="723"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生活垃圾</w:t>
            </w:r>
          </w:p>
        </w:tc>
        <w:tc>
          <w:tcPr>
            <w:tcW w:w="902"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一般固废</w:t>
            </w:r>
          </w:p>
        </w:tc>
        <w:tc>
          <w:tcPr>
            <w:tcW w:w="650" w:type="pct"/>
            <w:vAlign w:val="center"/>
          </w:tcPr>
          <w:p>
            <w:pPr>
              <w:pStyle w:val="44"/>
              <w:keepNext w:val="0"/>
              <w:keepLines w:val="0"/>
              <w:suppressLineNumbers w:val="0"/>
              <w:spacing w:before="1" w:beforeAutospacing="0" w:after="0" w:afterAutospacing="0" w:line="280" w:lineRule="exact"/>
              <w:ind w:left="136" w:right="128"/>
              <w:jc w:val="center"/>
              <w:rPr>
                <w:rFonts w:hint="eastAsia" w:hAnsi="Times New Roman" w:eastAsia="宋体"/>
                <w:kern w:val="2"/>
                <w:sz w:val="21"/>
                <w:szCs w:val="21"/>
              </w:rPr>
            </w:pPr>
            <w:r>
              <w:rPr>
                <w:rFonts w:hint="eastAsia" w:hAnsi="Times New Roman" w:eastAsia="宋体"/>
                <w:kern w:val="2"/>
                <w:sz w:val="21"/>
                <w:szCs w:val="22"/>
                <w:lang w:eastAsia="zh-CN"/>
              </w:rPr>
              <w:t>55.3</w:t>
            </w:r>
            <w:r>
              <w:rPr>
                <w:rFonts w:hint="eastAsia" w:hAnsi="Times New Roman" w:eastAsia="宋体"/>
                <w:kern w:val="2"/>
                <w:sz w:val="21"/>
                <w:szCs w:val="22"/>
              </w:rPr>
              <w:t>t/a</w:t>
            </w:r>
          </w:p>
        </w:tc>
        <w:tc>
          <w:tcPr>
            <w:tcW w:w="1775"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垃圾集中收集后定期运至指定垃圾收集点，交由乡镇环卫部门清运处置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5" w:hRule="atLeast"/>
          <w:jc w:val="center"/>
        </w:trPr>
        <w:tc>
          <w:tcPr>
            <w:tcW w:w="367"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w:t>
            </w:r>
          </w:p>
        </w:tc>
        <w:tc>
          <w:tcPr>
            <w:tcW w:w="582"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矿井水处理站</w:t>
            </w:r>
          </w:p>
        </w:tc>
        <w:tc>
          <w:tcPr>
            <w:tcW w:w="723"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煤泥</w:t>
            </w:r>
          </w:p>
        </w:tc>
        <w:tc>
          <w:tcPr>
            <w:tcW w:w="902"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一般固废</w:t>
            </w:r>
          </w:p>
        </w:tc>
        <w:tc>
          <w:tcPr>
            <w:tcW w:w="650" w:type="pct"/>
            <w:vAlign w:val="center"/>
          </w:tcPr>
          <w:p>
            <w:pPr>
              <w:pStyle w:val="44"/>
              <w:keepNext w:val="0"/>
              <w:keepLines w:val="0"/>
              <w:suppressLineNumbers w:val="0"/>
              <w:spacing w:before="0" w:beforeAutospacing="0" w:after="0" w:afterAutospacing="0" w:line="280" w:lineRule="exact"/>
              <w:ind w:left="134" w:right="128"/>
              <w:jc w:val="center"/>
              <w:rPr>
                <w:rFonts w:hint="eastAsia" w:hAnsi="Times New Roman" w:eastAsia="宋体"/>
                <w:kern w:val="2"/>
                <w:sz w:val="21"/>
                <w:szCs w:val="21"/>
              </w:rPr>
            </w:pPr>
            <w:r>
              <w:rPr>
                <w:rFonts w:hint="eastAsia" w:hAnsi="Times New Roman" w:eastAsia="宋体"/>
                <w:kern w:val="2"/>
                <w:sz w:val="21"/>
                <w:szCs w:val="22"/>
              </w:rPr>
              <w:t>80t/a</w:t>
            </w:r>
          </w:p>
        </w:tc>
        <w:tc>
          <w:tcPr>
            <w:tcW w:w="1775"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定期清掏后，和原煤一起外售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5" w:hRule="atLeast"/>
          <w:jc w:val="center"/>
        </w:trPr>
        <w:tc>
          <w:tcPr>
            <w:tcW w:w="367"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w:t>
            </w:r>
          </w:p>
        </w:tc>
        <w:tc>
          <w:tcPr>
            <w:tcW w:w="582"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生活污水处理站</w:t>
            </w:r>
          </w:p>
        </w:tc>
        <w:tc>
          <w:tcPr>
            <w:tcW w:w="723"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污泥</w:t>
            </w:r>
          </w:p>
        </w:tc>
        <w:tc>
          <w:tcPr>
            <w:tcW w:w="902"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一般固废</w:t>
            </w:r>
          </w:p>
        </w:tc>
        <w:tc>
          <w:tcPr>
            <w:tcW w:w="650" w:type="pct"/>
            <w:vAlign w:val="center"/>
          </w:tcPr>
          <w:p>
            <w:pPr>
              <w:pStyle w:val="44"/>
              <w:keepNext w:val="0"/>
              <w:keepLines w:val="0"/>
              <w:suppressLineNumbers w:val="0"/>
              <w:spacing w:before="0" w:beforeAutospacing="0" w:after="0" w:afterAutospacing="0" w:line="280" w:lineRule="exact"/>
              <w:ind w:left="136" w:right="128"/>
              <w:jc w:val="center"/>
              <w:rPr>
                <w:rFonts w:hint="eastAsia" w:hAnsi="Times New Roman" w:eastAsia="宋体"/>
                <w:kern w:val="2"/>
                <w:sz w:val="21"/>
                <w:szCs w:val="21"/>
              </w:rPr>
            </w:pPr>
            <w:r>
              <w:rPr>
                <w:rFonts w:hint="eastAsia" w:hAnsi="Times New Roman" w:eastAsia="宋体"/>
                <w:kern w:val="2"/>
                <w:sz w:val="21"/>
                <w:szCs w:val="22"/>
              </w:rPr>
              <w:t>4.33t/a</w:t>
            </w:r>
          </w:p>
        </w:tc>
        <w:tc>
          <w:tcPr>
            <w:tcW w:w="1775"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定期清掏，交由乡镇环卫部门清运处置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5" w:hRule="atLeast"/>
          <w:jc w:val="center"/>
        </w:trPr>
        <w:tc>
          <w:tcPr>
            <w:tcW w:w="367"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w:t>
            </w:r>
          </w:p>
        </w:tc>
        <w:tc>
          <w:tcPr>
            <w:tcW w:w="582"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设备检修</w:t>
            </w:r>
          </w:p>
        </w:tc>
        <w:tc>
          <w:tcPr>
            <w:tcW w:w="723"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含油手套、抹布</w:t>
            </w:r>
          </w:p>
        </w:tc>
        <w:tc>
          <w:tcPr>
            <w:tcW w:w="902"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一般固废</w:t>
            </w:r>
          </w:p>
        </w:tc>
        <w:tc>
          <w:tcPr>
            <w:tcW w:w="650" w:type="pct"/>
            <w:vAlign w:val="center"/>
          </w:tcPr>
          <w:p>
            <w:pPr>
              <w:pStyle w:val="44"/>
              <w:keepNext w:val="0"/>
              <w:keepLines w:val="0"/>
              <w:suppressLineNumbers w:val="0"/>
              <w:spacing w:before="0" w:beforeAutospacing="0" w:after="0" w:afterAutospacing="0" w:line="280" w:lineRule="exact"/>
              <w:ind w:left="136" w:right="125"/>
              <w:jc w:val="center"/>
              <w:rPr>
                <w:rFonts w:hint="eastAsia" w:hAnsi="Times New Roman" w:eastAsia="宋体"/>
                <w:kern w:val="2"/>
                <w:sz w:val="21"/>
                <w:szCs w:val="21"/>
              </w:rPr>
            </w:pPr>
            <w:r>
              <w:rPr>
                <w:rFonts w:hint="eastAsia" w:hAnsi="Times New Roman" w:eastAsia="宋体"/>
                <w:kern w:val="2"/>
                <w:sz w:val="21"/>
                <w:szCs w:val="22"/>
              </w:rPr>
              <w:t>0.</w:t>
            </w:r>
            <w:r>
              <w:rPr>
                <w:rFonts w:hint="eastAsia" w:hAnsi="Times New Roman" w:eastAsia="宋体"/>
                <w:kern w:val="2"/>
                <w:sz w:val="21"/>
                <w:szCs w:val="22"/>
                <w:lang w:eastAsia="zh-CN"/>
              </w:rPr>
              <w:t>05</w:t>
            </w:r>
            <w:r>
              <w:rPr>
                <w:rFonts w:hint="eastAsia" w:hAnsi="Times New Roman" w:eastAsia="宋体"/>
                <w:kern w:val="2"/>
                <w:sz w:val="21"/>
                <w:szCs w:val="22"/>
              </w:rPr>
              <w:t>t/a</w:t>
            </w:r>
          </w:p>
        </w:tc>
        <w:tc>
          <w:tcPr>
            <w:tcW w:w="1775"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交由乡镇环卫部门清运处置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6" w:hRule="atLeast"/>
          <w:jc w:val="center"/>
        </w:trPr>
        <w:tc>
          <w:tcPr>
            <w:tcW w:w="367"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6</w:t>
            </w:r>
          </w:p>
        </w:tc>
        <w:tc>
          <w:tcPr>
            <w:tcW w:w="582"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照明运输</w:t>
            </w:r>
          </w:p>
        </w:tc>
        <w:tc>
          <w:tcPr>
            <w:tcW w:w="723"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废蓄电池</w:t>
            </w:r>
          </w:p>
        </w:tc>
        <w:tc>
          <w:tcPr>
            <w:tcW w:w="902"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一般固废</w:t>
            </w:r>
          </w:p>
        </w:tc>
        <w:tc>
          <w:tcPr>
            <w:tcW w:w="65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0.1t/a</w:t>
            </w:r>
          </w:p>
        </w:tc>
        <w:tc>
          <w:tcPr>
            <w:tcW w:w="1775" w:type="pct"/>
            <w:vMerge w:val="restar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由厂家回收处理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9" w:hRule="atLeast"/>
          <w:jc w:val="center"/>
        </w:trPr>
        <w:tc>
          <w:tcPr>
            <w:tcW w:w="367"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7</w:t>
            </w:r>
          </w:p>
        </w:tc>
        <w:tc>
          <w:tcPr>
            <w:tcW w:w="582"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highlight w:val="yellow"/>
                <w:lang w:eastAsia="zh-CN"/>
              </w:rPr>
            </w:pPr>
            <w:r>
              <w:rPr>
                <w:rFonts w:hint="eastAsia" w:hAnsi="Times New Roman" w:eastAsia="宋体"/>
                <w:kern w:val="2"/>
                <w:sz w:val="21"/>
                <w:szCs w:val="21"/>
                <w:lang w:eastAsia="zh-CN"/>
              </w:rPr>
              <w:t>照明运输</w:t>
            </w:r>
          </w:p>
        </w:tc>
        <w:tc>
          <w:tcPr>
            <w:tcW w:w="723" w:type="pct"/>
            <w:vAlign w:val="center"/>
          </w:tcPr>
          <w:p>
            <w:pPr>
              <w:keepNext w:val="0"/>
              <w:keepLines w:val="0"/>
              <w:suppressLineNumbers w:val="0"/>
              <w:tabs>
                <w:tab w:val="left" w:pos="2895"/>
              </w:tabs>
              <w:spacing w:before="0" w:beforeAutospacing="0" w:after="0" w:afterAutospacing="0" w:line="240" w:lineRule="exact"/>
              <w:ind w:left="0" w:right="0"/>
              <w:jc w:val="center"/>
              <w:rPr>
                <w:rFonts w:hint="eastAsia" w:hAnsi="Times New Roman" w:eastAsia="宋体"/>
                <w:kern w:val="2"/>
                <w:sz w:val="21"/>
                <w:szCs w:val="21"/>
                <w:highlight w:val="yellow"/>
                <w:lang w:eastAsia="zh-CN"/>
              </w:rPr>
            </w:pPr>
            <w:r>
              <w:rPr>
                <w:rFonts w:hint="eastAsia" w:hAnsi="Times New Roman" w:eastAsia="宋体"/>
                <w:bCs/>
                <w:kern w:val="2"/>
                <w:sz w:val="21"/>
                <w:szCs w:val="21"/>
                <w:lang w:eastAsia="zh-CN"/>
              </w:rPr>
              <w:t>废矿灯</w:t>
            </w:r>
          </w:p>
        </w:tc>
        <w:tc>
          <w:tcPr>
            <w:tcW w:w="902"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highlight w:val="yellow"/>
                <w:lang w:eastAsia="zh-CN"/>
              </w:rPr>
            </w:pPr>
            <w:r>
              <w:rPr>
                <w:rFonts w:hint="eastAsia" w:hAnsi="Times New Roman" w:eastAsia="宋体"/>
                <w:kern w:val="2"/>
                <w:sz w:val="21"/>
                <w:szCs w:val="21"/>
                <w:lang w:eastAsia="zh-CN"/>
              </w:rPr>
              <w:t>一般固废</w:t>
            </w:r>
          </w:p>
        </w:tc>
        <w:tc>
          <w:tcPr>
            <w:tcW w:w="65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highlight w:val="yellow"/>
                <w:lang w:eastAsia="zh-CN"/>
              </w:rPr>
            </w:pPr>
            <w:r>
              <w:rPr>
                <w:rFonts w:hint="eastAsia" w:hAnsi="Times New Roman" w:eastAsia="宋体"/>
                <w:kern w:val="2"/>
                <w:sz w:val="21"/>
                <w:szCs w:val="21"/>
                <w:lang w:eastAsia="zh-CN"/>
              </w:rPr>
              <w:t>0.05t/a</w:t>
            </w:r>
          </w:p>
        </w:tc>
        <w:tc>
          <w:tcPr>
            <w:tcW w:w="1775" w:type="pct"/>
            <w:vMerge w:val="continue"/>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3" w:hRule="atLeast"/>
          <w:jc w:val="center"/>
        </w:trPr>
        <w:tc>
          <w:tcPr>
            <w:tcW w:w="367"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8</w:t>
            </w:r>
          </w:p>
        </w:tc>
        <w:tc>
          <w:tcPr>
            <w:tcW w:w="582"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highlight w:val="yellow"/>
                <w:lang w:eastAsia="zh-CN"/>
              </w:rPr>
            </w:pPr>
            <w:r>
              <w:rPr>
                <w:rFonts w:hint="eastAsia" w:hAnsi="Times New Roman" w:eastAsia="宋体"/>
                <w:kern w:val="2"/>
                <w:sz w:val="21"/>
                <w:szCs w:val="21"/>
                <w:lang w:eastAsia="zh-CN"/>
              </w:rPr>
              <w:t>设备检修</w:t>
            </w:r>
          </w:p>
        </w:tc>
        <w:tc>
          <w:tcPr>
            <w:tcW w:w="723"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highlight w:val="yellow"/>
                <w:lang w:eastAsia="zh-CN"/>
              </w:rPr>
            </w:pPr>
            <w:r>
              <w:rPr>
                <w:rFonts w:hint="eastAsia" w:hAnsi="Times New Roman" w:eastAsia="宋体"/>
                <w:kern w:val="2"/>
                <w:sz w:val="21"/>
                <w:szCs w:val="21"/>
                <w:lang w:eastAsia="zh-CN"/>
              </w:rPr>
              <w:t>废机油</w:t>
            </w:r>
          </w:p>
        </w:tc>
        <w:tc>
          <w:tcPr>
            <w:tcW w:w="902"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highlight w:val="yellow"/>
                <w:lang w:eastAsia="zh-CN"/>
              </w:rPr>
            </w:pPr>
            <w:r>
              <w:rPr>
                <w:rFonts w:hint="eastAsia" w:hAnsi="Times New Roman" w:eastAsia="宋体"/>
                <w:kern w:val="2"/>
                <w:sz w:val="21"/>
                <w:szCs w:val="21"/>
              </w:rPr>
              <w:t>危废（HW08 废矿物油与含矿物油废物，代码900-214-08）</w:t>
            </w:r>
          </w:p>
        </w:tc>
        <w:tc>
          <w:tcPr>
            <w:tcW w:w="65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highlight w:val="yellow"/>
                <w:lang w:eastAsia="zh-CN"/>
              </w:rPr>
            </w:pPr>
            <w:r>
              <w:rPr>
                <w:rFonts w:hint="eastAsia" w:hAnsi="Times New Roman" w:eastAsia="宋体"/>
                <w:kern w:val="2"/>
                <w:sz w:val="21"/>
                <w:szCs w:val="21"/>
              </w:rPr>
              <w:t>0.4t/a</w:t>
            </w:r>
          </w:p>
        </w:tc>
        <w:tc>
          <w:tcPr>
            <w:tcW w:w="1775"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暂存于危废间，</w:t>
            </w:r>
            <w:r>
              <w:rPr>
                <w:rFonts w:hint="eastAsia" w:hAnsi="Times New Roman" w:eastAsia="宋体"/>
                <w:kern w:val="2"/>
                <w:sz w:val="21"/>
                <w:szCs w:val="21"/>
                <w:lang w:eastAsia="zh-CN"/>
              </w:rPr>
              <w:t>按危废管理，</w:t>
            </w:r>
            <w:r>
              <w:rPr>
                <w:rFonts w:hint="eastAsia" w:hAnsi="Times New Roman" w:eastAsia="宋体"/>
                <w:kern w:val="2"/>
                <w:sz w:val="21"/>
                <w:szCs w:val="21"/>
              </w:rPr>
              <w:t>用于场地内轨道、钢丝润滑</w:t>
            </w:r>
          </w:p>
        </w:tc>
      </w:tr>
    </w:tbl>
    <w:p>
      <w:pPr>
        <w:spacing w:line="360" w:lineRule="auto"/>
        <w:ind w:firstLine="480" w:firstLineChars="200"/>
        <w:rPr>
          <w:rFonts w:hAnsi="Times New Roman" w:eastAsia="宋体"/>
          <w:lang w:eastAsia="zh-CN"/>
        </w:rPr>
      </w:pPr>
      <w:r>
        <w:rPr>
          <w:rFonts w:hAnsi="Times New Roman" w:eastAsia="宋体"/>
          <w:lang w:eastAsia="zh-CN"/>
        </w:rPr>
        <w:t>根据《建设项目危险废物环境影响评价指南》，危险废物污染防治措施、危险废物贮存场所等情况详见下表：</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表2.4-7危险废物产生及处置情况汇总表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5"/>
        <w:gridCol w:w="780"/>
        <w:gridCol w:w="1124"/>
        <w:gridCol w:w="778"/>
        <w:gridCol w:w="740"/>
        <w:gridCol w:w="663"/>
        <w:gridCol w:w="790"/>
        <w:gridCol w:w="889"/>
        <w:gridCol w:w="703"/>
        <w:gridCol w:w="665"/>
        <w:gridCol w:w="11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0" w:hRule="atLeast"/>
          <w:jc w:val="center"/>
        </w:trPr>
        <w:tc>
          <w:tcPr>
            <w:tcW w:w="592" w:type="pct"/>
            <w:vAlign w:val="center"/>
          </w:tcPr>
          <w:p>
            <w:pPr>
              <w:pStyle w:val="46"/>
              <w:keepNext w:val="0"/>
              <w:keepLines w:val="0"/>
              <w:suppressLineNumbers w:val="0"/>
              <w:spacing w:before="0" w:beforeAutospacing="0" w:after="0" w:afterAutospacing="0"/>
              <w:ind w:left="0" w:right="0"/>
              <w:rPr>
                <w:rFonts w:hint="eastAsia" w:hAnsi="Times New Roman" w:eastAsia="宋体"/>
                <w:b/>
                <w:color w:val="auto"/>
                <w:kern w:val="2"/>
                <w:szCs w:val="18"/>
              </w:rPr>
            </w:pPr>
            <w:r>
              <w:rPr>
                <w:rFonts w:hint="eastAsia" w:hAnsi="Times New Roman" w:eastAsia="宋体"/>
                <w:b/>
                <w:color w:val="auto"/>
                <w:kern w:val="2"/>
                <w:szCs w:val="18"/>
              </w:rPr>
              <w:t>危险废物名称</w:t>
            </w:r>
          </w:p>
        </w:tc>
        <w:tc>
          <w:tcPr>
            <w:tcW w:w="418" w:type="pct"/>
            <w:vAlign w:val="center"/>
          </w:tcPr>
          <w:p>
            <w:pPr>
              <w:pStyle w:val="46"/>
              <w:keepNext w:val="0"/>
              <w:keepLines w:val="0"/>
              <w:suppressLineNumbers w:val="0"/>
              <w:spacing w:before="0" w:beforeAutospacing="0" w:after="0" w:afterAutospacing="0"/>
              <w:ind w:left="0" w:right="0"/>
              <w:rPr>
                <w:rFonts w:hint="eastAsia" w:hAnsi="Times New Roman" w:eastAsia="宋体"/>
                <w:b/>
                <w:color w:val="auto"/>
                <w:kern w:val="2"/>
                <w:szCs w:val="18"/>
              </w:rPr>
            </w:pPr>
            <w:r>
              <w:rPr>
                <w:rFonts w:hint="eastAsia" w:hAnsi="Times New Roman" w:eastAsia="宋体"/>
                <w:b/>
                <w:color w:val="auto"/>
                <w:kern w:val="2"/>
                <w:szCs w:val="18"/>
              </w:rPr>
              <w:t>危险废物类别</w:t>
            </w:r>
          </w:p>
        </w:tc>
        <w:tc>
          <w:tcPr>
            <w:tcW w:w="602" w:type="pct"/>
            <w:vAlign w:val="center"/>
          </w:tcPr>
          <w:p>
            <w:pPr>
              <w:pStyle w:val="46"/>
              <w:keepNext w:val="0"/>
              <w:keepLines w:val="0"/>
              <w:suppressLineNumbers w:val="0"/>
              <w:spacing w:before="0" w:beforeAutospacing="0" w:after="0" w:afterAutospacing="0"/>
              <w:ind w:left="0" w:right="0"/>
              <w:rPr>
                <w:rFonts w:hint="eastAsia" w:hAnsi="Times New Roman" w:eastAsia="宋体"/>
                <w:b/>
                <w:color w:val="auto"/>
                <w:kern w:val="2"/>
                <w:szCs w:val="18"/>
              </w:rPr>
            </w:pPr>
            <w:r>
              <w:rPr>
                <w:rFonts w:hint="eastAsia" w:hAnsi="Times New Roman" w:eastAsia="宋体"/>
                <w:b/>
                <w:color w:val="auto"/>
                <w:kern w:val="2"/>
                <w:szCs w:val="18"/>
              </w:rPr>
              <w:t>危险废物代码</w:t>
            </w:r>
          </w:p>
        </w:tc>
        <w:tc>
          <w:tcPr>
            <w:tcW w:w="414" w:type="pct"/>
            <w:vAlign w:val="center"/>
          </w:tcPr>
          <w:p>
            <w:pPr>
              <w:pStyle w:val="46"/>
              <w:keepNext w:val="0"/>
              <w:keepLines w:val="0"/>
              <w:suppressLineNumbers w:val="0"/>
              <w:spacing w:before="0" w:beforeAutospacing="0" w:after="0" w:afterAutospacing="0"/>
              <w:ind w:left="0" w:right="0"/>
              <w:rPr>
                <w:rFonts w:hint="eastAsia" w:hAnsi="Times New Roman" w:eastAsia="宋体"/>
                <w:b/>
                <w:color w:val="auto"/>
                <w:kern w:val="2"/>
                <w:szCs w:val="18"/>
              </w:rPr>
            </w:pPr>
            <w:r>
              <w:rPr>
                <w:rFonts w:hint="eastAsia" w:hAnsi="Times New Roman" w:eastAsia="宋体"/>
                <w:b/>
                <w:color w:val="auto"/>
                <w:kern w:val="2"/>
                <w:szCs w:val="18"/>
              </w:rPr>
              <w:t>产生量（t/a）</w:t>
            </w:r>
          </w:p>
        </w:tc>
        <w:tc>
          <w:tcPr>
            <w:tcW w:w="396" w:type="pct"/>
            <w:vAlign w:val="center"/>
          </w:tcPr>
          <w:p>
            <w:pPr>
              <w:pStyle w:val="46"/>
              <w:keepNext w:val="0"/>
              <w:keepLines w:val="0"/>
              <w:suppressLineNumbers w:val="0"/>
              <w:spacing w:before="0" w:beforeAutospacing="0" w:after="0" w:afterAutospacing="0"/>
              <w:ind w:left="0" w:right="0"/>
              <w:rPr>
                <w:rFonts w:hint="eastAsia" w:hAnsi="Times New Roman" w:eastAsia="宋体"/>
                <w:b/>
                <w:color w:val="auto"/>
                <w:kern w:val="2"/>
                <w:szCs w:val="18"/>
              </w:rPr>
            </w:pPr>
            <w:r>
              <w:rPr>
                <w:rFonts w:hint="eastAsia" w:hAnsi="Times New Roman" w:eastAsia="宋体"/>
                <w:b/>
                <w:color w:val="auto"/>
                <w:kern w:val="2"/>
                <w:szCs w:val="18"/>
              </w:rPr>
              <w:t>产生工序</w:t>
            </w:r>
          </w:p>
        </w:tc>
        <w:tc>
          <w:tcPr>
            <w:tcW w:w="355" w:type="pct"/>
            <w:vAlign w:val="center"/>
          </w:tcPr>
          <w:p>
            <w:pPr>
              <w:pStyle w:val="46"/>
              <w:keepNext w:val="0"/>
              <w:keepLines w:val="0"/>
              <w:suppressLineNumbers w:val="0"/>
              <w:spacing w:before="0" w:beforeAutospacing="0" w:after="0" w:afterAutospacing="0"/>
              <w:ind w:left="0" w:right="0"/>
              <w:rPr>
                <w:rFonts w:hint="eastAsia" w:hAnsi="Times New Roman" w:eastAsia="宋体"/>
                <w:b/>
                <w:color w:val="auto"/>
                <w:kern w:val="2"/>
                <w:szCs w:val="18"/>
              </w:rPr>
            </w:pPr>
            <w:r>
              <w:rPr>
                <w:rFonts w:hint="eastAsia" w:hAnsi="Times New Roman" w:eastAsia="宋体"/>
                <w:b/>
                <w:color w:val="auto"/>
                <w:kern w:val="2"/>
                <w:szCs w:val="18"/>
              </w:rPr>
              <w:t>形态</w:t>
            </w:r>
          </w:p>
        </w:tc>
        <w:tc>
          <w:tcPr>
            <w:tcW w:w="423" w:type="pct"/>
            <w:vAlign w:val="center"/>
          </w:tcPr>
          <w:p>
            <w:pPr>
              <w:pStyle w:val="46"/>
              <w:keepNext w:val="0"/>
              <w:keepLines w:val="0"/>
              <w:suppressLineNumbers w:val="0"/>
              <w:spacing w:before="0" w:beforeAutospacing="0" w:after="0" w:afterAutospacing="0"/>
              <w:ind w:left="0" w:right="0"/>
              <w:rPr>
                <w:rFonts w:hint="eastAsia" w:hAnsi="Times New Roman" w:eastAsia="宋体"/>
                <w:b/>
                <w:color w:val="auto"/>
                <w:kern w:val="2"/>
                <w:szCs w:val="18"/>
              </w:rPr>
            </w:pPr>
            <w:r>
              <w:rPr>
                <w:rFonts w:hint="eastAsia" w:hAnsi="Times New Roman" w:eastAsia="宋体"/>
                <w:b/>
                <w:color w:val="auto"/>
                <w:kern w:val="2"/>
                <w:szCs w:val="18"/>
              </w:rPr>
              <w:t>主要成分</w:t>
            </w:r>
          </w:p>
        </w:tc>
        <w:tc>
          <w:tcPr>
            <w:tcW w:w="476" w:type="pct"/>
            <w:vAlign w:val="center"/>
          </w:tcPr>
          <w:p>
            <w:pPr>
              <w:pStyle w:val="46"/>
              <w:keepNext w:val="0"/>
              <w:keepLines w:val="0"/>
              <w:suppressLineNumbers w:val="0"/>
              <w:spacing w:before="0" w:beforeAutospacing="0" w:after="0" w:afterAutospacing="0"/>
              <w:ind w:left="0" w:right="0"/>
              <w:rPr>
                <w:rFonts w:hint="eastAsia" w:hAnsi="Times New Roman" w:eastAsia="宋体"/>
                <w:b/>
                <w:color w:val="auto"/>
                <w:kern w:val="2"/>
                <w:szCs w:val="18"/>
              </w:rPr>
            </w:pPr>
            <w:r>
              <w:rPr>
                <w:rFonts w:hint="eastAsia" w:hAnsi="Times New Roman" w:eastAsia="宋体"/>
                <w:b/>
                <w:color w:val="auto"/>
                <w:kern w:val="2"/>
                <w:szCs w:val="18"/>
              </w:rPr>
              <w:t>有害成分</w:t>
            </w:r>
          </w:p>
        </w:tc>
        <w:tc>
          <w:tcPr>
            <w:tcW w:w="376" w:type="pct"/>
            <w:vAlign w:val="center"/>
          </w:tcPr>
          <w:p>
            <w:pPr>
              <w:pStyle w:val="46"/>
              <w:keepNext w:val="0"/>
              <w:keepLines w:val="0"/>
              <w:suppressLineNumbers w:val="0"/>
              <w:spacing w:before="0" w:beforeAutospacing="0" w:after="0" w:afterAutospacing="0"/>
              <w:ind w:left="0" w:right="0"/>
              <w:rPr>
                <w:rFonts w:hint="eastAsia" w:hAnsi="Times New Roman" w:eastAsia="宋体"/>
                <w:b/>
                <w:color w:val="auto"/>
                <w:kern w:val="2"/>
                <w:szCs w:val="18"/>
              </w:rPr>
            </w:pPr>
            <w:r>
              <w:rPr>
                <w:rFonts w:hint="eastAsia" w:hAnsi="Times New Roman" w:eastAsia="宋体"/>
                <w:b/>
                <w:color w:val="auto"/>
                <w:kern w:val="2"/>
                <w:szCs w:val="18"/>
              </w:rPr>
              <w:t>产废周期</w:t>
            </w:r>
          </w:p>
        </w:tc>
        <w:tc>
          <w:tcPr>
            <w:tcW w:w="356" w:type="pct"/>
            <w:vAlign w:val="center"/>
          </w:tcPr>
          <w:p>
            <w:pPr>
              <w:pStyle w:val="46"/>
              <w:keepNext w:val="0"/>
              <w:keepLines w:val="0"/>
              <w:suppressLineNumbers w:val="0"/>
              <w:spacing w:before="0" w:beforeAutospacing="0" w:after="0" w:afterAutospacing="0"/>
              <w:ind w:left="0" w:right="0"/>
              <w:rPr>
                <w:rFonts w:hint="eastAsia" w:hAnsi="Times New Roman" w:eastAsia="宋体"/>
                <w:b/>
                <w:color w:val="auto"/>
                <w:kern w:val="2"/>
                <w:szCs w:val="18"/>
              </w:rPr>
            </w:pPr>
            <w:r>
              <w:rPr>
                <w:rFonts w:hint="eastAsia" w:hAnsi="Times New Roman" w:eastAsia="宋体"/>
                <w:b/>
                <w:color w:val="auto"/>
                <w:kern w:val="2"/>
                <w:szCs w:val="18"/>
              </w:rPr>
              <w:t>危险特性</w:t>
            </w:r>
          </w:p>
        </w:tc>
        <w:tc>
          <w:tcPr>
            <w:tcW w:w="593" w:type="pct"/>
            <w:vAlign w:val="center"/>
          </w:tcPr>
          <w:p>
            <w:pPr>
              <w:pStyle w:val="46"/>
              <w:keepNext w:val="0"/>
              <w:keepLines w:val="0"/>
              <w:suppressLineNumbers w:val="0"/>
              <w:spacing w:before="0" w:beforeAutospacing="0" w:after="0" w:afterAutospacing="0"/>
              <w:ind w:left="0" w:right="0"/>
              <w:rPr>
                <w:rFonts w:hint="eastAsia" w:hAnsi="Times New Roman" w:eastAsia="宋体"/>
                <w:b/>
                <w:color w:val="auto"/>
                <w:kern w:val="2"/>
                <w:szCs w:val="18"/>
              </w:rPr>
            </w:pPr>
            <w:r>
              <w:rPr>
                <w:rFonts w:hint="eastAsia" w:hAnsi="Times New Roman" w:eastAsia="宋体"/>
                <w:b/>
                <w:color w:val="auto"/>
                <w:kern w:val="2"/>
                <w:szCs w:val="18"/>
              </w:rPr>
              <w:t>污染物防治措施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18" w:hRule="atLeast"/>
          <w:tblHeader/>
          <w:jc w:val="center"/>
        </w:trPr>
        <w:tc>
          <w:tcPr>
            <w:tcW w:w="592" w:type="pct"/>
            <w:vAlign w:val="center"/>
          </w:tcPr>
          <w:p>
            <w:pPr>
              <w:pStyle w:val="46"/>
              <w:keepNext w:val="0"/>
              <w:keepLines w:val="0"/>
              <w:suppressLineNumbers w:val="0"/>
              <w:spacing w:before="0" w:beforeAutospacing="0" w:after="0" w:afterAutospacing="0"/>
              <w:ind w:left="0" w:right="0"/>
              <w:rPr>
                <w:rFonts w:hint="eastAsia" w:hAnsi="Times New Roman" w:eastAsia="宋体"/>
                <w:color w:val="auto"/>
                <w:kern w:val="2"/>
                <w:szCs w:val="18"/>
                <w:lang w:eastAsia="zh-CN"/>
              </w:rPr>
            </w:pPr>
            <w:r>
              <w:rPr>
                <w:rFonts w:hint="eastAsia" w:hAnsi="Times New Roman" w:eastAsia="宋体"/>
                <w:color w:val="auto"/>
                <w:kern w:val="2"/>
                <w:szCs w:val="18"/>
                <w:lang w:eastAsia="zh-CN"/>
              </w:rPr>
              <w:t>废机油</w:t>
            </w:r>
          </w:p>
        </w:tc>
        <w:tc>
          <w:tcPr>
            <w:tcW w:w="418" w:type="pct"/>
            <w:vAlign w:val="center"/>
          </w:tcPr>
          <w:p>
            <w:pPr>
              <w:pStyle w:val="46"/>
              <w:keepNext w:val="0"/>
              <w:keepLines w:val="0"/>
              <w:suppressLineNumbers w:val="0"/>
              <w:spacing w:before="0" w:beforeAutospacing="0" w:after="0" w:afterAutospacing="0"/>
              <w:ind w:left="0" w:right="0"/>
              <w:rPr>
                <w:rFonts w:hint="eastAsia" w:hAnsi="Times New Roman" w:eastAsia="宋体"/>
                <w:color w:val="auto"/>
                <w:kern w:val="2"/>
                <w:szCs w:val="18"/>
                <w:lang w:eastAsia="zh-CN"/>
              </w:rPr>
            </w:pPr>
            <w:r>
              <w:rPr>
                <w:rFonts w:hint="eastAsia" w:hAnsi="Times New Roman" w:eastAsia="宋体"/>
                <w:color w:val="auto"/>
                <w:kern w:val="2"/>
                <w:szCs w:val="18"/>
                <w:lang w:eastAsia="zh-CN"/>
              </w:rPr>
              <w:t>HW08</w:t>
            </w:r>
          </w:p>
        </w:tc>
        <w:tc>
          <w:tcPr>
            <w:tcW w:w="602" w:type="pct"/>
            <w:vAlign w:val="center"/>
          </w:tcPr>
          <w:p>
            <w:pPr>
              <w:pStyle w:val="46"/>
              <w:keepNext w:val="0"/>
              <w:keepLines w:val="0"/>
              <w:suppressLineNumbers w:val="0"/>
              <w:spacing w:before="0" w:beforeAutospacing="0" w:after="0" w:afterAutospacing="0"/>
              <w:ind w:left="0" w:right="0"/>
              <w:rPr>
                <w:rFonts w:hint="eastAsia" w:hAnsi="Times New Roman" w:eastAsia="宋体"/>
                <w:color w:val="auto"/>
                <w:kern w:val="2"/>
                <w:szCs w:val="18"/>
                <w:lang w:eastAsia="zh-CN"/>
              </w:rPr>
            </w:pPr>
            <w:r>
              <w:rPr>
                <w:rFonts w:hint="eastAsia" w:hAnsi="Times New Roman" w:eastAsia="宋体"/>
                <w:color w:val="auto"/>
                <w:kern w:val="2"/>
                <w:szCs w:val="18"/>
                <w:lang w:eastAsia="zh-CN"/>
              </w:rPr>
              <w:t>900-214-08</w:t>
            </w:r>
          </w:p>
        </w:tc>
        <w:tc>
          <w:tcPr>
            <w:tcW w:w="414" w:type="pct"/>
            <w:vAlign w:val="center"/>
          </w:tcPr>
          <w:p>
            <w:pPr>
              <w:pStyle w:val="46"/>
              <w:keepNext w:val="0"/>
              <w:keepLines w:val="0"/>
              <w:suppressLineNumbers w:val="0"/>
              <w:spacing w:before="0" w:beforeAutospacing="0" w:after="0" w:afterAutospacing="0"/>
              <w:ind w:left="0" w:right="0"/>
              <w:rPr>
                <w:rFonts w:hint="eastAsia" w:hAnsi="Times New Roman" w:eastAsia="宋体"/>
                <w:color w:val="auto"/>
                <w:kern w:val="2"/>
                <w:szCs w:val="18"/>
                <w:lang w:eastAsia="zh-CN"/>
              </w:rPr>
            </w:pPr>
            <w:r>
              <w:rPr>
                <w:rFonts w:hint="eastAsia" w:hAnsi="Times New Roman" w:eastAsia="宋体"/>
                <w:color w:val="auto"/>
                <w:kern w:val="2"/>
                <w:szCs w:val="18"/>
                <w:lang w:eastAsia="zh-CN"/>
              </w:rPr>
              <w:t>0.4</w:t>
            </w:r>
          </w:p>
        </w:tc>
        <w:tc>
          <w:tcPr>
            <w:tcW w:w="396" w:type="pct"/>
            <w:vAlign w:val="center"/>
          </w:tcPr>
          <w:p>
            <w:pPr>
              <w:pStyle w:val="46"/>
              <w:keepNext w:val="0"/>
              <w:keepLines w:val="0"/>
              <w:suppressLineNumbers w:val="0"/>
              <w:spacing w:before="0" w:beforeAutospacing="0" w:after="0" w:afterAutospacing="0"/>
              <w:ind w:left="0" w:right="0"/>
              <w:rPr>
                <w:rFonts w:hint="eastAsia" w:hAnsi="Times New Roman" w:eastAsia="宋体"/>
                <w:color w:val="auto"/>
                <w:kern w:val="2"/>
                <w:szCs w:val="18"/>
                <w:lang w:eastAsia="zh-CN"/>
              </w:rPr>
            </w:pPr>
            <w:r>
              <w:rPr>
                <w:rFonts w:hint="eastAsia" w:hAnsi="Times New Roman" w:eastAsia="宋体"/>
                <w:color w:val="auto"/>
                <w:kern w:val="2"/>
                <w:szCs w:val="18"/>
                <w:lang w:eastAsia="zh-CN"/>
              </w:rPr>
              <w:t>设备</w:t>
            </w:r>
          </w:p>
          <w:p>
            <w:pPr>
              <w:pStyle w:val="46"/>
              <w:keepNext w:val="0"/>
              <w:keepLines w:val="0"/>
              <w:suppressLineNumbers w:val="0"/>
              <w:spacing w:before="0" w:beforeAutospacing="0" w:after="0" w:afterAutospacing="0"/>
              <w:ind w:left="0" w:right="0"/>
              <w:rPr>
                <w:rFonts w:hint="eastAsia" w:hAnsi="Times New Roman" w:eastAsia="宋体"/>
                <w:color w:val="auto"/>
                <w:kern w:val="2"/>
                <w:szCs w:val="18"/>
                <w:lang w:eastAsia="zh-CN"/>
              </w:rPr>
            </w:pPr>
            <w:r>
              <w:rPr>
                <w:rFonts w:hint="eastAsia" w:hAnsi="Times New Roman" w:eastAsia="宋体"/>
                <w:color w:val="auto"/>
                <w:kern w:val="2"/>
                <w:szCs w:val="18"/>
                <w:lang w:eastAsia="zh-CN"/>
              </w:rPr>
              <w:t>维护</w:t>
            </w:r>
          </w:p>
        </w:tc>
        <w:tc>
          <w:tcPr>
            <w:tcW w:w="355" w:type="pct"/>
            <w:vAlign w:val="center"/>
          </w:tcPr>
          <w:p>
            <w:pPr>
              <w:pStyle w:val="46"/>
              <w:keepNext w:val="0"/>
              <w:keepLines w:val="0"/>
              <w:suppressLineNumbers w:val="0"/>
              <w:spacing w:before="0" w:beforeAutospacing="0" w:after="0" w:afterAutospacing="0"/>
              <w:ind w:left="0" w:right="0"/>
              <w:rPr>
                <w:rFonts w:hint="eastAsia" w:hAnsi="Times New Roman" w:eastAsia="宋体"/>
                <w:color w:val="auto"/>
                <w:kern w:val="2"/>
                <w:szCs w:val="18"/>
                <w:lang w:eastAsia="zh-CN"/>
              </w:rPr>
            </w:pPr>
            <w:r>
              <w:rPr>
                <w:rFonts w:hint="eastAsia" w:hAnsi="Times New Roman" w:eastAsia="宋体"/>
                <w:color w:val="auto"/>
                <w:kern w:val="2"/>
                <w:szCs w:val="18"/>
                <w:lang w:eastAsia="zh-CN"/>
              </w:rPr>
              <w:t>液体</w:t>
            </w:r>
          </w:p>
        </w:tc>
        <w:tc>
          <w:tcPr>
            <w:tcW w:w="423" w:type="pct"/>
            <w:vAlign w:val="center"/>
          </w:tcPr>
          <w:p>
            <w:pPr>
              <w:pStyle w:val="46"/>
              <w:keepNext w:val="0"/>
              <w:keepLines w:val="0"/>
              <w:suppressLineNumbers w:val="0"/>
              <w:spacing w:before="0" w:beforeAutospacing="0" w:after="0" w:afterAutospacing="0"/>
              <w:ind w:left="0" w:right="0"/>
              <w:rPr>
                <w:rFonts w:hint="eastAsia" w:hAnsi="Times New Roman" w:eastAsia="宋体"/>
                <w:color w:val="auto"/>
                <w:kern w:val="2"/>
                <w:szCs w:val="18"/>
                <w:lang w:eastAsia="zh-CN"/>
              </w:rPr>
            </w:pPr>
            <w:r>
              <w:rPr>
                <w:rFonts w:hint="eastAsia" w:hAnsi="Times New Roman" w:eastAsia="宋体"/>
                <w:color w:val="auto"/>
                <w:kern w:val="2"/>
                <w:szCs w:val="18"/>
                <w:lang w:eastAsia="zh-CN"/>
              </w:rPr>
              <w:t>矿物油</w:t>
            </w:r>
          </w:p>
        </w:tc>
        <w:tc>
          <w:tcPr>
            <w:tcW w:w="476" w:type="pct"/>
            <w:vAlign w:val="center"/>
          </w:tcPr>
          <w:p>
            <w:pPr>
              <w:pStyle w:val="46"/>
              <w:keepNext w:val="0"/>
              <w:keepLines w:val="0"/>
              <w:suppressLineNumbers w:val="0"/>
              <w:spacing w:before="0" w:beforeAutospacing="0" w:after="0" w:afterAutospacing="0"/>
              <w:ind w:left="0" w:right="0"/>
              <w:rPr>
                <w:rFonts w:hint="eastAsia" w:hAnsi="Times New Roman" w:eastAsia="宋体"/>
                <w:color w:val="auto"/>
                <w:kern w:val="2"/>
                <w:szCs w:val="18"/>
                <w:lang w:eastAsia="zh-CN"/>
              </w:rPr>
            </w:pPr>
            <w:r>
              <w:rPr>
                <w:rFonts w:hint="eastAsia" w:hAnsi="Times New Roman" w:eastAsia="宋体"/>
                <w:color w:val="auto"/>
                <w:kern w:val="2"/>
                <w:szCs w:val="18"/>
                <w:lang w:eastAsia="zh-CN"/>
              </w:rPr>
              <w:t>矿物油</w:t>
            </w:r>
          </w:p>
        </w:tc>
        <w:tc>
          <w:tcPr>
            <w:tcW w:w="376" w:type="pct"/>
            <w:vAlign w:val="center"/>
          </w:tcPr>
          <w:p>
            <w:pPr>
              <w:pStyle w:val="46"/>
              <w:keepNext w:val="0"/>
              <w:keepLines w:val="0"/>
              <w:suppressLineNumbers w:val="0"/>
              <w:spacing w:before="0" w:beforeAutospacing="0" w:after="0" w:afterAutospacing="0"/>
              <w:ind w:left="0" w:right="0"/>
              <w:rPr>
                <w:rFonts w:hint="eastAsia" w:hAnsi="Times New Roman" w:eastAsia="宋体"/>
                <w:color w:val="auto"/>
                <w:kern w:val="2"/>
                <w:szCs w:val="18"/>
                <w:lang w:eastAsia="zh-CN"/>
              </w:rPr>
            </w:pPr>
            <w:r>
              <w:rPr>
                <w:rFonts w:hint="eastAsia" w:hAnsi="Times New Roman" w:eastAsia="宋体"/>
                <w:color w:val="auto"/>
                <w:kern w:val="2"/>
                <w:szCs w:val="18"/>
                <w:lang w:eastAsia="zh-CN"/>
              </w:rPr>
              <w:t>不定期</w:t>
            </w:r>
          </w:p>
        </w:tc>
        <w:tc>
          <w:tcPr>
            <w:tcW w:w="356" w:type="pct"/>
            <w:vAlign w:val="center"/>
          </w:tcPr>
          <w:p>
            <w:pPr>
              <w:pStyle w:val="46"/>
              <w:keepNext w:val="0"/>
              <w:keepLines w:val="0"/>
              <w:suppressLineNumbers w:val="0"/>
              <w:spacing w:before="0" w:beforeAutospacing="0" w:after="0" w:afterAutospacing="0"/>
              <w:ind w:left="0" w:right="0"/>
              <w:rPr>
                <w:rFonts w:hint="eastAsia" w:hAnsi="Times New Roman" w:eastAsia="宋体"/>
                <w:color w:val="auto"/>
                <w:kern w:val="2"/>
                <w:szCs w:val="18"/>
                <w:lang w:eastAsia="zh-CN"/>
              </w:rPr>
            </w:pPr>
            <w:r>
              <w:rPr>
                <w:rFonts w:hint="eastAsia" w:hAnsi="Times New Roman" w:eastAsia="宋体"/>
                <w:color w:val="auto"/>
                <w:kern w:val="2"/>
                <w:szCs w:val="18"/>
                <w:lang w:eastAsia="zh-CN"/>
              </w:rPr>
              <w:t>T、I</w:t>
            </w:r>
          </w:p>
        </w:tc>
        <w:tc>
          <w:tcPr>
            <w:tcW w:w="593" w:type="pct"/>
            <w:vAlign w:val="center"/>
          </w:tcPr>
          <w:p>
            <w:pPr>
              <w:pStyle w:val="46"/>
              <w:keepNext w:val="0"/>
              <w:keepLines w:val="0"/>
              <w:suppressLineNumbers w:val="0"/>
              <w:spacing w:before="0" w:beforeAutospacing="0" w:after="0" w:afterAutospacing="0"/>
              <w:ind w:left="0" w:right="0"/>
              <w:rPr>
                <w:rFonts w:hint="eastAsia" w:hAnsi="Times New Roman" w:eastAsia="宋体"/>
                <w:color w:val="auto"/>
                <w:kern w:val="2"/>
                <w:szCs w:val="18"/>
                <w:lang w:eastAsia="zh-CN"/>
              </w:rPr>
            </w:pPr>
            <w:r>
              <w:rPr>
                <w:rFonts w:hint="eastAsia" w:hAnsi="Times New Roman" w:eastAsia="宋体"/>
                <w:color w:val="auto"/>
                <w:kern w:val="2"/>
                <w:sz w:val="21"/>
                <w:szCs w:val="21"/>
              </w:rPr>
              <w:t>暂存于危废间，</w:t>
            </w:r>
            <w:r>
              <w:rPr>
                <w:rFonts w:hint="eastAsia" w:hAnsi="Times New Roman" w:eastAsia="宋体"/>
                <w:color w:val="auto"/>
                <w:kern w:val="2"/>
                <w:sz w:val="21"/>
                <w:szCs w:val="21"/>
                <w:lang w:eastAsia="zh-CN"/>
              </w:rPr>
              <w:t>按危废管理，</w:t>
            </w:r>
            <w:r>
              <w:rPr>
                <w:rFonts w:hint="eastAsia" w:hAnsi="Times New Roman" w:eastAsia="宋体"/>
                <w:color w:val="auto"/>
                <w:kern w:val="2"/>
                <w:sz w:val="21"/>
                <w:szCs w:val="21"/>
              </w:rPr>
              <w:t>用于场地内轨道、钢丝润滑</w:t>
            </w:r>
          </w:p>
        </w:tc>
      </w:tr>
    </w:tbl>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表2.4-8 项目危险废物贮存场所（设施）基本情况表</w:t>
      </w:r>
    </w:p>
    <w:tbl>
      <w:tblPr>
        <w:tblStyle w:val="3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3"/>
        <w:gridCol w:w="1245"/>
        <w:gridCol w:w="1163"/>
        <w:gridCol w:w="972"/>
        <w:gridCol w:w="1165"/>
        <w:gridCol w:w="742"/>
        <w:gridCol w:w="780"/>
        <w:gridCol w:w="755"/>
        <w:gridCol w:w="19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80" w:type="pct"/>
            <w:vAlign w:val="center"/>
          </w:tcPr>
          <w:p>
            <w:pPr>
              <w:keepNext w:val="0"/>
              <w:keepLines w:val="0"/>
              <w:suppressLineNumbers w:val="0"/>
              <w:tabs>
                <w:tab w:val="left" w:pos="2895"/>
              </w:tabs>
              <w:spacing w:before="0" w:beforeAutospacing="0" w:after="0" w:afterAutospacing="0"/>
              <w:ind w:left="0" w:right="0"/>
              <w:jc w:val="center"/>
              <w:rPr>
                <w:rFonts w:hint="eastAsia" w:hAnsi="Times New Roman" w:eastAsia="宋体"/>
                <w:b/>
                <w:kern w:val="2"/>
                <w:sz w:val="18"/>
                <w:szCs w:val="18"/>
              </w:rPr>
            </w:pPr>
            <w:r>
              <w:rPr>
                <w:rFonts w:hint="eastAsia" w:hAnsi="Times New Roman" w:eastAsia="宋体"/>
                <w:b/>
                <w:kern w:val="2"/>
                <w:sz w:val="18"/>
                <w:szCs w:val="18"/>
              </w:rPr>
              <w:t>序号</w:t>
            </w:r>
          </w:p>
        </w:tc>
        <w:tc>
          <w:tcPr>
            <w:tcW w:w="666" w:type="pct"/>
            <w:vAlign w:val="center"/>
          </w:tcPr>
          <w:p>
            <w:pPr>
              <w:keepNext w:val="0"/>
              <w:keepLines w:val="0"/>
              <w:suppressLineNumbers w:val="0"/>
              <w:tabs>
                <w:tab w:val="left" w:pos="2895"/>
              </w:tabs>
              <w:spacing w:before="0" w:beforeAutospacing="0" w:after="0" w:afterAutospacing="0"/>
              <w:ind w:left="0" w:right="0"/>
              <w:jc w:val="center"/>
              <w:rPr>
                <w:rFonts w:hint="eastAsia" w:hAnsi="Times New Roman" w:eastAsia="宋体"/>
                <w:b/>
                <w:kern w:val="2"/>
                <w:sz w:val="18"/>
                <w:szCs w:val="18"/>
              </w:rPr>
            </w:pPr>
            <w:r>
              <w:rPr>
                <w:rFonts w:hint="eastAsia" w:hAnsi="Times New Roman" w:eastAsia="宋体"/>
                <w:b/>
                <w:kern w:val="2"/>
                <w:sz w:val="18"/>
                <w:szCs w:val="18"/>
              </w:rPr>
              <w:t>贮存场所（设施）名称</w:t>
            </w:r>
          </w:p>
        </w:tc>
        <w:tc>
          <w:tcPr>
            <w:tcW w:w="622" w:type="pct"/>
            <w:vAlign w:val="center"/>
          </w:tcPr>
          <w:p>
            <w:pPr>
              <w:keepNext w:val="0"/>
              <w:keepLines w:val="0"/>
              <w:suppressLineNumbers w:val="0"/>
              <w:tabs>
                <w:tab w:val="left" w:pos="2895"/>
              </w:tabs>
              <w:spacing w:before="0" w:beforeAutospacing="0" w:after="0" w:afterAutospacing="0"/>
              <w:ind w:left="0" w:right="0"/>
              <w:jc w:val="center"/>
              <w:rPr>
                <w:rFonts w:hint="eastAsia" w:hAnsi="Times New Roman" w:eastAsia="宋体"/>
                <w:b/>
                <w:kern w:val="2"/>
                <w:sz w:val="18"/>
                <w:szCs w:val="18"/>
              </w:rPr>
            </w:pPr>
            <w:r>
              <w:rPr>
                <w:rFonts w:hint="eastAsia" w:hAnsi="Times New Roman" w:eastAsia="宋体"/>
                <w:b/>
                <w:kern w:val="2"/>
                <w:sz w:val="18"/>
                <w:szCs w:val="18"/>
              </w:rPr>
              <w:t>危险废物名</w:t>
            </w:r>
          </w:p>
          <w:p>
            <w:pPr>
              <w:keepNext w:val="0"/>
              <w:keepLines w:val="0"/>
              <w:suppressLineNumbers w:val="0"/>
              <w:tabs>
                <w:tab w:val="left" w:pos="2895"/>
              </w:tabs>
              <w:spacing w:before="0" w:beforeAutospacing="0" w:after="0" w:afterAutospacing="0"/>
              <w:ind w:left="0" w:right="0"/>
              <w:jc w:val="center"/>
              <w:rPr>
                <w:rFonts w:hint="eastAsia" w:hAnsi="Times New Roman" w:eastAsia="宋体"/>
                <w:b/>
                <w:kern w:val="2"/>
                <w:sz w:val="18"/>
                <w:szCs w:val="18"/>
              </w:rPr>
            </w:pPr>
            <w:r>
              <w:rPr>
                <w:rFonts w:hint="eastAsia" w:hAnsi="Times New Roman" w:eastAsia="宋体"/>
                <w:b/>
                <w:kern w:val="2"/>
                <w:sz w:val="18"/>
                <w:szCs w:val="18"/>
              </w:rPr>
              <w:t>称</w:t>
            </w:r>
          </w:p>
        </w:tc>
        <w:tc>
          <w:tcPr>
            <w:tcW w:w="520" w:type="pct"/>
            <w:vAlign w:val="center"/>
          </w:tcPr>
          <w:p>
            <w:pPr>
              <w:keepNext w:val="0"/>
              <w:keepLines w:val="0"/>
              <w:suppressLineNumbers w:val="0"/>
              <w:tabs>
                <w:tab w:val="left" w:pos="2895"/>
              </w:tabs>
              <w:spacing w:before="0" w:beforeAutospacing="0" w:after="0" w:afterAutospacing="0"/>
              <w:ind w:left="0" w:right="0"/>
              <w:jc w:val="center"/>
              <w:rPr>
                <w:rFonts w:hint="eastAsia" w:hAnsi="Times New Roman" w:eastAsia="宋体"/>
                <w:b/>
                <w:kern w:val="2"/>
                <w:sz w:val="18"/>
                <w:szCs w:val="18"/>
              </w:rPr>
            </w:pPr>
            <w:r>
              <w:rPr>
                <w:rFonts w:hint="eastAsia" w:hAnsi="Times New Roman" w:eastAsia="宋体"/>
                <w:b/>
                <w:kern w:val="2"/>
                <w:sz w:val="18"/>
                <w:szCs w:val="18"/>
              </w:rPr>
              <w:t>危险废物类别</w:t>
            </w:r>
          </w:p>
        </w:tc>
        <w:tc>
          <w:tcPr>
            <w:tcW w:w="623" w:type="pct"/>
            <w:vAlign w:val="center"/>
          </w:tcPr>
          <w:p>
            <w:pPr>
              <w:keepNext w:val="0"/>
              <w:keepLines w:val="0"/>
              <w:suppressLineNumbers w:val="0"/>
              <w:tabs>
                <w:tab w:val="left" w:pos="2895"/>
              </w:tabs>
              <w:spacing w:before="0" w:beforeAutospacing="0" w:after="0" w:afterAutospacing="0"/>
              <w:ind w:left="0" w:right="0"/>
              <w:jc w:val="center"/>
              <w:rPr>
                <w:rFonts w:hint="eastAsia" w:hAnsi="Times New Roman" w:eastAsia="宋体"/>
                <w:b/>
                <w:kern w:val="2"/>
                <w:sz w:val="18"/>
                <w:szCs w:val="18"/>
              </w:rPr>
            </w:pPr>
            <w:r>
              <w:rPr>
                <w:rFonts w:hint="eastAsia" w:hAnsi="Times New Roman" w:eastAsia="宋体"/>
                <w:b/>
                <w:kern w:val="2"/>
                <w:sz w:val="18"/>
                <w:szCs w:val="18"/>
              </w:rPr>
              <w:t>危险废物代码</w:t>
            </w:r>
          </w:p>
        </w:tc>
        <w:tc>
          <w:tcPr>
            <w:tcW w:w="397" w:type="pct"/>
            <w:vAlign w:val="center"/>
          </w:tcPr>
          <w:p>
            <w:pPr>
              <w:keepNext w:val="0"/>
              <w:keepLines w:val="0"/>
              <w:suppressLineNumbers w:val="0"/>
              <w:tabs>
                <w:tab w:val="left" w:pos="2895"/>
              </w:tabs>
              <w:spacing w:before="0" w:beforeAutospacing="0" w:after="0" w:afterAutospacing="0"/>
              <w:ind w:left="0" w:right="0"/>
              <w:jc w:val="center"/>
              <w:rPr>
                <w:rFonts w:hint="eastAsia" w:hAnsi="Times New Roman" w:eastAsia="宋体"/>
                <w:b/>
                <w:kern w:val="2"/>
                <w:sz w:val="18"/>
                <w:szCs w:val="18"/>
              </w:rPr>
            </w:pPr>
            <w:r>
              <w:rPr>
                <w:rFonts w:hint="eastAsia" w:hAnsi="Times New Roman" w:eastAsia="宋体"/>
                <w:b/>
                <w:kern w:val="2"/>
                <w:sz w:val="18"/>
                <w:szCs w:val="18"/>
              </w:rPr>
              <w:t>位置</w:t>
            </w:r>
          </w:p>
        </w:tc>
        <w:tc>
          <w:tcPr>
            <w:tcW w:w="417" w:type="pct"/>
            <w:vAlign w:val="center"/>
          </w:tcPr>
          <w:p>
            <w:pPr>
              <w:keepNext w:val="0"/>
              <w:keepLines w:val="0"/>
              <w:suppressLineNumbers w:val="0"/>
              <w:tabs>
                <w:tab w:val="left" w:pos="2895"/>
              </w:tabs>
              <w:spacing w:before="0" w:beforeAutospacing="0" w:after="0" w:afterAutospacing="0"/>
              <w:ind w:left="0" w:right="0"/>
              <w:jc w:val="center"/>
              <w:rPr>
                <w:rFonts w:hint="eastAsia" w:hAnsi="Times New Roman" w:eastAsia="宋体"/>
                <w:b/>
                <w:kern w:val="2"/>
                <w:sz w:val="18"/>
                <w:szCs w:val="18"/>
              </w:rPr>
            </w:pPr>
            <w:r>
              <w:rPr>
                <w:rFonts w:hint="eastAsia" w:hAnsi="Times New Roman" w:eastAsia="宋体"/>
                <w:b/>
                <w:kern w:val="2"/>
                <w:sz w:val="18"/>
                <w:szCs w:val="18"/>
              </w:rPr>
              <w:t>占地</w:t>
            </w:r>
          </w:p>
          <w:p>
            <w:pPr>
              <w:keepNext w:val="0"/>
              <w:keepLines w:val="0"/>
              <w:suppressLineNumbers w:val="0"/>
              <w:tabs>
                <w:tab w:val="left" w:pos="2895"/>
              </w:tabs>
              <w:spacing w:before="0" w:beforeAutospacing="0" w:after="0" w:afterAutospacing="0"/>
              <w:ind w:left="0" w:right="0"/>
              <w:jc w:val="center"/>
              <w:rPr>
                <w:rFonts w:hint="eastAsia" w:hAnsi="Times New Roman" w:eastAsia="宋体"/>
                <w:b/>
                <w:kern w:val="2"/>
                <w:sz w:val="18"/>
                <w:szCs w:val="18"/>
              </w:rPr>
            </w:pPr>
            <w:r>
              <w:rPr>
                <w:rFonts w:hint="eastAsia" w:hAnsi="Times New Roman" w:eastAsia="宋体"/>
                <w:b/>
                <w:kern w:val="2"/>
                <w:sz w:val="18"/>
                <w:szCs w:val="18"/>
              </w:rPr>
              <w:t>面积</w:t>
            </w:r>
          </w:p>
        </w:tc>
        <w:tc>
          <w:tcPr>
            <w:tcW w:w="404" w:type="pct"/>
            <w:vAlign w:val="center"/>
          </w:tcPr>
          <w:p>
            <w:pPr>
              <w:keepNext w:val="0"/>
              <w:keepLines w:val="0"/>
              <w:suppressLineNumbers w:val="0"/>
              <w:tabs>
                <w:tab w:val="left" w:pos="2895"/>
              </w:tabs>
              <w:spacing w:before="0" w:beforeAutospacing="0" w:after="0" w:afterAutospacing="0"/>
              <w:ind w:left="0" w:right="0"/>
              <w:jc w:val="center"/>
              <w:rPr>
                <w:rFonts w:hint="eastAsia" w:hAnsi="Times New Roman" w:eastAsia="宋体"/>
                <w:b/>
                <w:kern w:val="2"/>
                <w:sz w:val="18"/>
                <w:szCs w:val="18"/>
              </w:rPr>
            </w:pPr>
            <w:r>
              <w:rPr>
                <w:rFonts w:hint="eastAsia" w:hAnsi="Times New Roman" w:eastAsia="宋体"/>
                <w:b/>
                <w:kern w:val="2"/>
                <w:sz w:val="18"/>
                <w:szCs w:val="18"/>
              </w:rPr>
              <w:t>贮存</w:t>
            </w:r>
          </w:p>
          <w:p>
            <w:pPr>
              <w:keepNext w:val="0"/>
              <w:keepLines w:val="0"/>
              <w:suppressLineNumbers w:val="0"/>
              <w:tabs>
                <w:tab w:val="left" w:pos="2895"/>
              </w:tabs>
              <w:spacing w:before="0" w:beforeAutospacing="0" w:after="0" w:afterAutospacing="0"/>
              <w:ind w:left="0" w:right="0"/>
              <w:jc w:val="center"/>
              <w:rPr>
                <w:rFonts w:hint="eastAsia" w:hAnsi="Times New Roman" w:eastAsia="宋体"/>
                <w:b/>
                <w:kern w:val="2"/>
                <w:sz w:val="18"/>
                <w:szCs w:val="18"/>
              </w:rPr>
            </w:pPr>
            <w:r>
              <w:rPr>
                <w:rFonts w:hint="eastAsia" w:hAnsi="Times New Roman" w:eastAsia="宋体"/>
                <w:b/>
                <w:kern w:val="2"/>
                <w:sz w:val="18"/>
                <w:szCs w:val="18"/>
              </w:rPr>
              <w:t>方式</w:t>
            </w:r>
          </w:p>
        </w:tc>
        <w:tc>
          <w:tcPr>
            <w:tcW w:w="1069" w:type="pct"/>
            <w:vAlign w:val="center"/>
          </w:tcPr>
          <w:p>
            <w:pPr>
              <w:keepNext w:val="0"/>
              <w:keepLines w:val="0"/>
              <w:suppressLineNumbers w:val="0"/>
              <w:tabs>
                <w:tab w:val="left" w:pos="2895"/>
              </w:tabs>
              <w:spacing w:before="0" w:beforeAutospacing="0" w:after="0" w:afterAutospacing="0"/>
              <w:ind w:left="0" w:right="0"/>
              <w:jc w:val="center"/>
              <w:rPr>
                <w:rFonts w:hint="eastAsia" w:hAnsi="Times New Roman" w:eastAsia="宋体"/>
                <w:b/>
                <w:kern w:val="2"/>
                <w:sz w:val="18"/>
                <w:szCs w:val="18"/>
              </w:rPr>
            </w:pPr>
            <w:r>
              <w:rPr>
                <w:rFonts w:hint="eastAsia" w:hAnsi="Times New Roman" w:eastAsia="宋体"/>
                <w:b/>
                <w:kern w:val="2"/>
                <w:sz w:val="18"/>
                <w:szCs w:val="18"/>
              </w:rPr>
              <w:t>贮存</w:t>
            </w:r>
          </w:p>
          <w:p>
            <w:pPr>
              <w:keepNext w:val="0"/>
              <w:keepLines w:val="0"/>
              <w:suppressLineNumbers w:val="0"/>
              <w:tabs>
                <w:tab w:val="left" w:pos="2895"/>
              </w:tabs>
              <w:spacing w:before="0" w:beforeAutospacing="0" w:after="0" w:afterAutospacing="0"/>
              <w:ind w:left="0" w:right="0"/>
              <w:jc w:val="center"/>
              <w:rPr>
                <w:rFonts w:hint="eastAsia" w:hAnsi="Times New Roman" w:eastAsia="宋体"/>
                <w:b/>
                <w:kern w:val="2"/>
                <w:sz w:val="18"/>
                <w:szCs w:val="18"/>
              </w:rPr>
            </w:pPr>
            <w:r>
              <w:rPr>
                <w:rFonts w:hint="eastAsia" w:hAnsi="Times New Roman" w:eastAsia="宋体"/>
                <w:b/>
                <w:kern w:val="2"/>
                <w:sz w:val="18"/>
                <w:szCs w:val="18"/>
              </w:rPr>
              <w:t>周期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0" w:type="pct"/>
            <w:vAlign w:val="center"/>
          </w:tcPr>
          <w:p>
            <w:pPr>
              <w:keepNext w:val="0"/>
              <w:keepLines w:val="0"/>
              <w:suppressLineNumbers w:val="0"/>
              <w:tabs>
                <w:tab w:val="left" w:pos="2895"/>
              </w:tabs>
              <w:spacing w:before="0" w:beforeAutospacing="0" w:after="0" w:afterAutospacing="0"/>
              <w:ind w:left="0" w:right="0"/>
              <w:jc w:val="center"/>
              <w:rPr>
                <w:rFonts w:hint="eastAsia" w:hAnsi="Times New Roman" w:eastAsia="宋体"/>
                <w:kern w:val="2"/>
                <w:sz w:val="18"/>
                <w:szCs w:val="18"/>
              </w:rPr>
            </w:pPr>
            <w:r>
              <w:rPr>
                <w:rFonts w:hint="eastAsia" w:hAnsi="Times New Roman" w:eastAsia="宋体"/>
                <w:kern w:val="2"/>
                <w:sz w:val="18"/>
                <w:szCs w:val="18"/>
              </w:rPr>
              <w:t>1</w:t>
            </w:r>
          </w:p>
        </w:tc>
        <w:tc>
          <w:tcPr>
            <w:tcW w:w="666" w:type="pct"/>
            <w:vAlign w:val="center"/>
          </w:tcPr>
          <w:p>
            <w:pPr>
              <w:keepNext w:val="0"/>
              <w:keepLines w:val="0"/>
              <w:suppressLineNumbers w:val="0"/>
              <w:tabs>
                <w:tab w:val="left" w:pos="2895"/>
              </w:tabs>
              <w:spacing w:before="0" w:beforeAutospacing="0" w:after="0" w:afterAutospacing="0"/>
              <w:ind w:left="0" w:right="0"/>
              <w:jc w:val="center"/>
              <w:rPr>
                <w:rFonts w:hint="eastAsia" w:hAnsi="Times New Roman" w:eastAsia="宋体"/>
                <w:kern w:val="2"/>
                <w:sz w:val="18"/>
                <w:szCs w:val="18"/>
              </w:rPr>
            </w:pPr>
            <w:r>
              <w:rPr>
                <w:rFonts w:hint="eastAsia" w:hAnsi="Times New Roman" w:eastAsia="宋体"/>
                <w:kern w:val="2"/>
                <w:sz w:val="18"/>
                <w:szCs w:val="18"/>
              </w:rPr>
              <w:t>危废暂存间</w:t>
            </w:r>
          </w:p>
        </w:tc>
        <w:tc>
          <w:tcPr>
            <w:tcW w:w="622" w:type="pct"/>
            <w:vAlign w:val="center"/>
          </w:tcPr>
          <w:p>
            <w:pPr>
              <w:keepNext w:val="0"/>
              <w:keepLines w:val="0"/>
              <w:suppressLineNumbers w:val="0"/>
              <w:tabs>
                <w:tab w:val="left" w:pos="2895"/>
              </w:tabs>
              <w:spacing w:before="0" w:beforeAutospacing="0" w:after="0" w:afterAutospacing="0"/>
              <w:ind w:left="0" w:right="0"/>
              <w:jc w:val="center"/>
              <w:rPr>
                <w:rFonts w:hint="eastAsia" w:hAnsi="Times New Roman" w:eastAsia="宋体"/>
                <w:bCs/>
                <w:kern w:val="2"/>
                <w:sz w:val="18"/>
                <w:szCs w:val="18"/>
              </w:rPr>
            </w:pPr>
            <w:r>
              <w:rPr>
                <w:rFonts w:hint="eastAsia" w:hAnsi="Times New Roman" w:eastAsia="宋体"/>
                <w:bCs/>
                <w:kern w:val="2"/>
                <w:sz w:val="18"/>
                <w:szCs w:val="18"/>
              </w:rPr>
              <w:t>废机油</w:t>
            </w:r>
          </w:p>
        </w:tc>
        <w:tc>
          <w:tcPr>
            <w:tcW w:w="520" w:type="pct"/>
            <w:vAlign w:val="center"/>
          </w:tcPr>
          <w:p>
            <w:pPr>
              <w:keepNext w:val="0"/>
              <w:keepLines w:val="0"/>
              <w:suppressLineNumbers w:val="0"/>
              <w:tabs>
                <w:tab w:val="left" w:pos="2895"/>
              </w:tabs>
              <w:spacing w:before="0" w:beforeAutospacing="0" w:after="0" w:afterAutospacing="0"/>
              <w:ind w:left="0" w:right="0"/>
              <w:jc w:val="center"/>
              <w:rPr>
                <w:rFonts w:hint="eastAsia" w:hAnsi="Times New Roman" w:eastAsia="宋体"/>
                <w:bCs/>
                <w:kern w:val="2"/>
                <w:sz w:val="18"/>
                <w:szCs w:val="18"/>
              </w:rPr>
            </w:pPr>
            <w:r>
              <w:rPr>
                <w:rFonts w:hint="eastAsia" w:hAnsi="Times New Roman" w:eastAsia="宋体"/>
                <w:bCs/>
                <w:kern w:val="2"/>
                <w:sz w:val="18"/>
                <w:szCs w:val="18"/>
              </w:rPr>
              <w:t>HW08</w:t>
            </w:r>
          </w:p>
        </w:tc>
        <w:tc>
          <w:tcPr>
            <w:tcW w:w="623" w:type="pct"/>
            <w:vAlign w:val="center"/>
          </w:tcPr>
          <w:p>
            <w:pPr>
              <w:keepNext w:val="0"/>
              <w:keepLines w:val="0"/>
              <w:suppressLineNumbers w:val="0"/>
              <w:tabs>
                <w:tab w:val="left" w:pos="2895"/>
              </w:tabs>
              <w:spacing w:before="0" w:beforeAutospacing="0" w:after="0" w:afterAutospacing="0"/>
              <w:ind w:left="0" w:right="0"/>
              <w:jc w:val="center"/>
              <w:rPr>
                <w:rFonts w:hint="eastAsia" w:hAnsi="Times New Roman" w:eastAsia="宋体"/>
                <w:bCs/>
                <w:kern w:val="2"/>
                <w:sz w:val="18"/>
                <w:szCs w:val="18"/>
              </w:rPr>
            </w:pPr>
            <w:r>
              <w:rPr>
                <w:rFonts w:hint="eastAsia" w:hAnsi="Times New Roman" w:eastAsia="宋体"/>
                <w:bCs/>
                <w:kern w:val="2"/>
                <w:sz w:val="18"/>
                <w:szCs w:val="18"/>
              </w:rPr>
              <w:t>900-214-08</w:t>
            </w:r>
          </w:p>
        </w:tc>
        <w:tc>
          <w:tcPr>
            <w:tcW w:w="397" w:type="pct"/>
            <w:vAlign w:val="center"/>
          </w:tcPr>
          <w:p>
            <w:pPr>
              <w:keepNext w:val="0"/>
              <w:keepLines w:val="0"/>
              <w:suppressLineNumbers w:val="0"/>
              <w:tabs>
                <w:tab w:val="left" w:pos="2895"/>
              </w:tabs>
              <w:spacing w:before="0" w:beforeAutospacing="0" w:after="0" w:afterAutospacing="0"/>
              <w:ind w:left="0" w:right="0"/>
              <w:jc w:val="center"/>
              <w:rPr>
                <w:rFonts w:hint="eastAsia" w:hAnsi="Times New Roman" w:eastAsia="宋体"/>
                <w:kern w:val="2"/>
                <w:sz w:val="18"/>
                <w:szCs w:val="18"/>
              </w:rPr>
            </w:pPr>
            <w:r>
              <w:rPr>
                <w:rFonts w:hint="eastAsia" w:hAnsi="Times New Roman" w:eastAsia="宋体"/>
                <w:kern w:val="2"/>
                <w:sz w:val="18"/>
                <w:szCs w:val="18"/>
              </w:rPr>
              <w:t>危废暂存间</w:t>
            </w:r>
          </w:p>
        </w:tc>
        <w:tc>
          <w:tcPr>
            <w:tcW w:w="417" w:type="pct"/>
            <w:vAlign w:val="center"/>
          </w:tcPr>
          <w:p>
            <w:pPr>
              <w:keepNext w:val="0"/>
              <w:keepLines w:val="0"/>
              <w:suppressLineNumbers w:val="0"/>
              <w:tabs>
                <w:tab w:val="left" w:pos="2895"/>
              </w:tabs>
              <w:spacing w:before="0" w:beforeAutospacing="0" w:after="0" w:afterAutospacing="0"/>
              <w:ind w:left="0" w:right="0"/>
              <w:jc w:val="center"/>
              <w:rPr>
                <w:rFonts w:hint="eastAsia" w:hAnsi="Times New Roman" w:eastAsia="宋体"/>
                <w:kern w:val="2"/>
                <w:sz w:val="18"/>
                <w:szCs w:val="18"/>
              </w:rPr>
            </w:pPr>
            <w:r>
              <w:rPr>
                <w:rFonts w:hint="eastAsia" w:hAnsi="Times New Roman" w:eastAsia="宋体"/>
                <w:kern w:val="2"/>
                <w:sz w:val="18"/>
                <w:szCs w:val="18"/>
                <w:lang w:eastAsia="zh-CN"/>
              </w:rPr>
              <w:t>10.0</w:t>
            </w:r>
            <w:r>
              <w:rPr>
                <w:rFonts w:hint="eastAsia" w:hAnsi="Times New Roman" w:eastAsia="宋体"/>
                <w:kern w:val="2"/>
                <w:sz w:val="18"/>
                <w:szCs w:val="18"/>
              </w:rPr>
              <w:t>m</w:t>
            </w:r>
            <w:r>
              <w:rPr>
                <w:rFonts w:hint="eastAsia" w:hAnsi="Times New Roman" w:eastAsia="宋体"/>
                <w:kern w:val="2"/>
                <w:sz w:val="18"/>
                <w:szCs w:val="18"/>
                <w:vertAlign w:val="superscript"/>
              </w:rPr>
              <w:t>2</w:t>
            </w:r>
          </w:p>
        </w:tc>
        <w:tc>
          <w:tcPr>
            <w:tcW w:w="404" w:type="pct"/>
            <w:vAlign w:val="center"/>
          </w:tcPr>
          <w:p>
            <w:pPr>
              <w:keepNext w:val="0"/>
              <w:keepLines w:val="0"/>
              <w:suppressLineNumbers w:val="0"/>
              <w:tabs>
                <w:tab w:val="left" w:pos="2895"/>
              </w:tabs>
              <w:spacing w:before="0" w:beforeAutospacing="0" w:after="0" w:afterAutospacing="0"/>
              <w:ind w:left="0" w:right="0"/>
              <w:jc w:val="center"/>
              <w:rPr>
                <w:rFonts w:hint="eastAsia" w:hAnsi="Times New Roman" w:eastAsia="宋体"/>
                <w:kern w:val="2"/>
                <w:sz w:val="18"/>
                <w:szCs w:val="18"/>
              </w:rPr>
            </w:pPr>
            <w:r>
              <w:rPr>
                <w:rFonts w:hint="eastAsia" w:hAnsi="Times New Roman" w:eastAsia="宋体"/>
                <w:kern w:val="2"/>
                <w:sz w:val="18"/>
                <w:szCs w:val="18"/>
              </w:rPr>
              <w:t>桶装</w:t>
            </w:r>
          </w:p>
        </w:tc>
        <w:tc>
          <w:tcPr>
            <w:tcW w:w="1069" w:type="pct"/>
            <w:vAlign w:val="center"/>
          </w:tcPr>
          <w:p>
            <w:pPr>
              <w:keepNext w:val="0"/>
              <w:keepLines w:val="0"/>
              <w:suppressLineNumbers w:val="0"/>
              <w:tabs>
                <w:tab w:val="left" w:pos="2895"/>
              </w:tabs>
              <w:spacing w:before="0" w:beforeAutospacing="0" w:after="0" w:afterAutospacing="0"/>
              <w:ind w:left="0" w:right="0"/>
              <w:jc w:val="center"/>
              <w:rPr>
                <w:rFonts w:hint="eastAsia" w:hAnsi="Times New Roman" w:eastAsia="宋体"/>
                <w:kern w:val="2"/>
                <w:sz w:val="18"/>
                <w:szCs w:val="18"/>
              </w:rPr>
            </w:pPr>
            <w:r>
              <w:rPr>
                <w:rFonts w:hint="eastAsia" w:hAnsi="Times New Roman" w:eastAsia="宋体"/>
                <w:kern w:val="2"/>
                <w:sz w:val="18"/>
                <w:szCs w:val="18"/>
              </w:rPr>
              <w:t>暂存于危废间，按危废管理，用于场地内轨道、钢丝润滑</w:t>
            </w:r>
          </w:p>
        </w:tc>
      </w:tr>
    </w:tbl>
    <w:p>
      <w:pPr>
        <w:pStyle w:val="8"/>
        <w:rPr>
          <w:rFonts w:ascii="Times New Roman" w:hAnsi="Times New Roman"/>
          <w:lang w:eastAsia="zh-CN"/>
        </w:rPr>
      </w:pPr>
      <w:r>
        <w:rPr>
          <w:rFonts w:ascii="Times New Roman" w:hAnsi="Times New Roman"/>
          <w:lang w:eastAsia="zh-CN"/>
        </w:rPr>
        <w:t>2.4.2.6 生态影响因素分析</w:t>
      </w:r>
    </w:p>
    <w:p>
      <w:pPr>
        <w:spacing w:line="360" w:lineRule="auto"/>
        <w:ind w:firstLine="482" w:firstLineChars="200"/>
        <w:rPr>
          <w:rFonts w:hAnsi="Times New Roman" w:eastAsia="宋体"/>
          <w:lang w:eastAsia="zh-CN"/>
        </w:rPr>
      </w:pPr>
      <w:r>
        <w:rPr>
          <w:rFonts w:hAnsi="Times New Roman" w:eastAsia="宋体"/>
          <w:b/>
          <w:bCs/>
          <w:lang w:eastAsia="zh-CN"/>
        </w:rPr>
        <w:t>占地影响：</w:t>
      </w:r>
      <w:r>
        <w:rPr>
          <w:rFonts w:hAnsi="Times New Roman" w:eastAsia="宋体"/>
          <w:lang w:eastAsia="zh-CN"/>
        </w:rPr>
        <w:t>由于本项目地面设施均在现有工业场地内建设，无新增占地，故运营期生态环境影响因素主要表现在井工开采导致的地表沉陷生态环境影响。</w:t>
      </w:r>
    </w:p>
    <w:p>
      <w:pPr>
        <w:spacing w:line="360" w:lineRule="auto"/>
        <w:ind w:firstLine="482" w:firstLineChars="200"/>
        <w:rPr>
          <w:rFonts w:hAnsi="Times New Roman" w:eastAsia="宋体"/>
          <w:lang w:eastAsia="zh-CN"/>
        </w:rPr>
      </w:pPr>
      <w:r>
        <w:rPr>
          <w:rFonts w:hAnsi="Times New Roman" w:eastAsia="宋体"/>
          <w:b/>
          <w:bCs/>
          <w:lang w:eastAsia="zh-CN"/>
        </w:rPr>
        <w:t>地表变形：</w:t>
      </w:r>
      <w:r>
        <w:rPr>
          <w:rFonts w:hAnsi="Times New Roman" w:eastAsia="宋体"/>
          <w:lang w:eastAsia="zh-CN"/>
        </w:rPr>
        <w:t>由于地下煤层的开采，将使采空区上方地表产生不同程度的移动和变形，少数地段可能引起的地表沉陷、出现裂隙或滑坡等不良工程地质现象。此外，因地下水疏干可能导致植被减少、农业减产、水土流失加剧等生态环境问题。</w:t>
      </w:r>
    </w:p>
    <w:p>
      <w:pPr>
        <w:spacing w:line="360" w:lineRule="auto"/>
        <w:ind w:firstLine="482" w:firstLineChars="200"/>
        <w:rPr>
          <w:rFonts w:hAnsi="Times New Roman" w:eastAsia="宋体"/>
          <w:lang w:eastAsia="zh-CN"/>
        </w:rPr>
      </w:pPr>
      <w:r>
        <w:rPr>
          <w:rFonts w:hAnsi="Times New Roman" w:eastAsia="宋体"/>
          <w:b/>
          <w:bCs/>
          <w:lang w:eastAsia="zh-CN"/>
        </w:rPr>
        <w:t>水资源的影响：</w:t>
      </w:r>
      <w:r>
        <w:rPr>
          <w:rFonts w:hAnsi="Times New Roman" w:eastAsia="宋体"/>
          <w:lang w:eastAsia="zh-CN"/>
        </w:rPr>
        <w:t>采煤过程中形成的地表裂缝可能与地表水体连通，使地表水漏失，影响水资源的开发与利用，对井田内浅部含水层等造成一定的影响，可能危及农业生产和农民生活饮用水水源。</w:t>
      </w:r>
    </w:p>
    <w:p>
      <w:pPr>
        <w:spacing w:line="360" w:lineRule="auto"/>
        <w:ind w:firstLine="482" w:firstLineChars="200"/>
        <w:rPr>
          <w:rFonts w:hAnsi="Times New Roman" w:eastAsia="宋体"/>
          <w:lang w:eastAsia="zh-CN"/>
        </w:rPr>
      </w:pPr>
      <w:r>
        <w:rPr>
          <w:rFonts w:hAnsi="Times New Roman" w:eastAsia="宋体"/>
          <w:b/>
          <w:bCs/>
          <w:lang w:eastAsia="zh-CN"/>
        </w:rPr>
        <w:t>农业、林业、生态环境和资源利用：</w:t>
      </w:r>
      <w:r>
        <w:rPr>
          <w:rFonts w:hAnsi="Times New Roman" w:eastAsia="宋体"/>
          <w:lang w:eastAsia="zh-CN"/>
        </w:rPr>
        <w:t>矿产开采导致局部区域（特别</w:t>
      </w:r>
      <w:r>
        <w:rPr>
          <w:rFonts w:hint="eastAsia" w:hAnsi="Times New Roman" w:eastAsia="宋体"/>
          <w:lang w:eastAsia="zh-CN"/>
        </w:rPr>
        <w:t>是</w:t>
      </w:r>
      <w:r>
        <w:rPr>
          <w:rFonts w:hAnsi="Times New Roman" w:eastAsia="宋体"/>
          <w:lang w:eastAsia="zh-CN"/>
        </w:rPr>
        <w:t>矿层距地面较近的煤层露头区）地表沉陷，地表变形等，使井田上部的农林生态环境受到影响，影响水利资源、土地资源，破坏现有的耕地的耕作条件。矿井建设，使局部区域地下水疏干，影响地表植被等生长，对当地的森林生态系统等带来一定的冲击影响。</w:t>
      </w:r>
    </w:p>
    <w:p>
      <w:pPr>
        <w:pStyle w:val="8"/>
        <w:rPr>
          <w:rFonts w:ascii="Times New Roman" w:hAnsi="Times New Roman"/>
          <w:lang w:eastAsia="zh-CN"/>
        </w:rPr>
      </w:pPr>
      <w:r>
        <w:rPr>
          <w:rFonts w:ascii="Times New Roman" w:hAnsi="Times New Roman"/>
          <w:lang w:eastAsia="zh-CN"/>
        </w:rPr>
        <w:t>2.4.2.7 地下水影响因素分析</w:t>
      </w:r>
    </w:p>
    <w:p>
      <w:pPr>
        <w:spacing w:line="360" w:lineRule="auto"/>
        <w:ind w:firstLine="480" w:firstLineChars="200"/>
        <w:rPr>
          <w:rFonts w:hAnsi="Times New Roman" w:eastAsia="宋体"/>
          <w:lang w:eastAsia="zh-CN"/>
        </w:rPr>
      </w:pPr>
      <w:r>
        <w:rPr>
          <w:rFonts w:hAnsi="Times New Roman" w:eastAsia="宋体"/>
          <w:lang w:eastAsia="zh-CN"/>
        </w:rPr>
        <w:t>运行期地下水环境影响因素主要为工业场地区污废水处理不当使污染物下渗到地下水环境、及采煤区导水裂缝带对地下含水层地下水的影响，其中以采煤区地下水环境影响是主要影响，其特征是影响范围较大、持续时间长，是工程投入运行需重点关注的环境影响之一。</w:t>
      </w:r>
    </w:p>
    <w:p>
      <w:pPr>
        <w:pStyle w:val="8"/>
        <w:rPr>
          <w:rFonts w:ascii="Times New Roman" w:hAnsi="Times New Roman"/>
          <w:lang w:eastAsia="zh-CN"/>
        </w:rPr>
      </w:pPr>
      <w:r>
        <w:rPr>
          <w:rFonts w:ascii="Times New Roman" w:hAnsi="Times New Roman"/>
          <w:lang w:eastAsia="zh-CN"/>
        </w:rPr>
        <w:t>2.4.2.8 污染源变化情况分析及污染物“三本账”</w:t>
      </w:r>
    </w:p>
    <w:p>
      <w:pPr>
        <w:spacing w:line="360" w:lineRule="auto"/>
        <w:ind w:firstLine="480" w:firstLineChars="200"/>
        <w:rPr>
          <w:rFonts w:hAnsi="Times New Roman" w:eastAsia="宋体"/>
          <w:lang w:eastAsia="zh-CN"/>
        </w:rPr>
      </w:pPr>
      <w:r>
        <w:rPr>
          <w:rFonts w:hAnsi="Times New Roman" w:eastAsia="宋体"/>
          <w:lang w:eastAsia="zh-CN"/>
        </w:rPr>
        <w:t>七里峡煤矿升级改造</w:t>
      </w:r>
      <w:r>
        <w:rPr>
          <w:rFonts w:hint="eastAsia" w:hAnsi="Times New Roman" w:eastAsia="宋体"/>
          <w:lang w:eastAsia="zh-CN"/>
        </w:rPr>
        <w:t>完成</w:t>
      </w:r>
      <w:r>
        <w:rPr>
          <w:rFonts w:hAnsi="Times New Roman" w:eastAsia="宋体"/>
          <w:lang w:eastAsia="zh-CN"/>
        </w:rPr>
        <w:t>前后污染物排放“三本账”汇总见下表所示。</w:t>
      </w:r>
    </w:p>
    <w:p>
      <w:pPr>
        <w:spacing w:line="360" w:lineRule="auto"/>
        <w:jc w:val="center"/>
        <w:rPr>
          <w:rFonts w:hAnsi="Times New Roman" w:eastAsia="宋体"/>
          <w:b/>
          <w:bCs/>
          <w:lang w:eastAsia="zh-CN"/>
        </w:rPr>
      </w:pPr>
      <w:r>
        <w:rPr>
          <w:rFonts w:hAnsi="Times New Roman" w:eastAsia="宋体"/>
          <w:b/>
          <w:bCs/>
          <w:lang w:eastAsia="zh-CN"/>
        </w:rPr>
        <w:t xml:space="preserve"> 表2.4-9 扩建前后“三本</w:t>
      </w:r>
      <w:r>
        <w:rPr>
          <w:rFonts w:hint="eastAsia" w:hAnsi="Times New Roman" w:eastAsia="宋体"/>
          <w:b/>
          <w:bCs/>
          <w:lang w:eastAsia="zh-CN"/>
        </w:rPr>
        <w:t>账</w:t>
      </w:r>
      <w:r>
        <w:rPr>
          <w:rFonts w:hAnsi="Times New Roman" w:eastAsia="宋体"/>
          <w:b/>
          <w:bCs/>
          <w:lang w:eastAsia="zh-CN"/>
        </w:rPr>
        <w:t>”变化情况           单位：t/a</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9"/>
        <w:gridCol w:w="1187"/>
        <w:gridCol w:w="1519"/>
        <w:gridCol w:w="1368"/>
        <w:gridCol w:w="1368"/>
        <w:gridCol w:w="1465"/>
        <w:gridCol w:w="16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5" w:hRule="atLeast"/>
          <w:jc w:val="center"/>
        </w:trPr>
        <w:tc>
          <w:tcPr>
            <w:tcW w:w="412"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类别</w:t>
            </w:r>
          </w:p>
        </w:tc>
        <w:tc>
          <w:tcPr>
            <w:tcW w:w="635"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污染物</w:t>
            </w:r>
          </w:p>
        </w:tc>
        <w:tc>
          <w:tcPr>
            <w:tcW w:w="813"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原项目污染物排放量</w:t>
            </w:r>
            <w:r>
              <w:rPr>
                <w:rFonts w:hint="eastAsia" w:hAnsi="Times New Roman" w:eastAsia="宋体"/>
                <w:b/>
                <w:bCs/>
                <w:kern w:val="2"/>
                <w:sz w:val="21"/>
                <w:szCs w:val="21"/>
                <w:lang w:eastAsia="zh-CN"/>
              </w:rPr>
              <w:t>（</w:t>
            </w:r>
            <w:r>
              <w:rPr>
                <w:rFonts w:hint="eastAsia" w:hAnsi="Times New Roman" w:eastAsia="宋体"/>
                <w:b/>
                <w:bCs/>
                <w:kern w:val="2"/>
                <w:sz w:val="21"/>
                <w:szCs w:val="21"/>
              </w:rPr>
              <w:t>t/a</w:t>
            </w:r>
            <w:r>
              <w:rPr>
                <w:rFonts w:hint="eastAsia" w:hAnsi="Times New Roman" w:eastAsia="宋体"/>
                <w:b/>
                <w:bCs/>
                <w:kern w:val="2"/>
                <w:sz w:val="21"/>
                <w:szCs w:val="21"/>
                <w:lang w:eastAsia="zh-CN"/>
              </w:rPr>
              <w:t>）</w:t>
            </w:r>
          </w:p>
        </w:tc>
        <w:tc>
          <w:tcPr>
            <w:tcW w:w="732" w:type="pct"/>
            <w:vAlign w:val="center"/>
          </w:tcPr>
          <w:p>
            <w:pPr>
              <w:keepNext w:val="0"/>
              <w:keepLines w:val="0"/>
              <w:suppressLineNumbers w:val="0"/>
              <w:spacing w:before="0" w:beforeAutospacing="0" w:after="0" w:afterAutospacing="0"/>
              <w:ind w:left="0" w:right="0"/>
              <w:jc w:val="center"/>
              <w:rPr>
                <w:rFonts w:hint="eastAsia" w:hAnsi="Times New Roman" w:eastAsia="宋体"/>
                <w:b/>
                <w:bCs/>
                <w:spacing w:val="-1"/>
                <w:kern w:val="2"/>
                <w:sz w:val="21"/>
                <w:szCs w:val="21"/>
                <w:lang w:eastAsia="zh-CN"/>
              </w:rPr>
            </w:pPr>
            <w:r>
              <w:rPr>
                <w:rFonts w:hint="eastAsia" w:hAnsi="Times New Roman" w:eastAsia="宋体"/>
                <w:b/>
                <w:bCs/>
                <w:kern w:val="2"/>
                <w:sz w:val="21"/>
                <w:szCs w:val="21"/>
                <w:lang w:eastAsia="zh-CN"/>
              </w:rPr>
              <w:t>新增</w:t>
            </w:r>
            <w:r>
              <w:rPr>
                <w:rFonts w:hint="eastAsia" w:hAnsi="Times New Roman" w:eastAsia="宋体"/>
                <w:b/>
                <w:bCs/>
                <w:kern w:val="2"/>
                <w:sz w:val="21"/>
                <w:szCs w:val="21"/>
              </w:rPr>
              <w:t>污染物排放量（t/a）</w:t>
            </w:r>
          </w:p>
        </w:tc>
        <w:tc>
          <w:tcPr>
            <w:tcW w:w="732"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“以新带老”削减量</w:t>
            </w:r>
            <w:r>
              <w:rPr>
                <w:rFonts w:hint="eastAsia" w:hAnsi="Times New Roman" w:eastAsia="宋体"/>
                <w:b/>
                <w:bCs/>
                <w:kern w:val="2"/>
                <w:sz w:val="21"/>
                <w:szCs w:val="21"/>
                <w:lang w:eastAsia="zh-CN"/>
              </w:rPr>
              <w:t>（</w:t>
            </w:r>
            <w:r>
              <w:rPr>
                <w:rFonts w:hint="eastAsia" w:hAnsi="Times New Roman" w:eastAsia="宋体"/>
                <w:b/>
                <w:bCs/>
                <w:kern w:val="2"/>
                <w:sz w:val="21"/>
                <w:szCs w:val="21"/>
              </w:rPr>
              <w:t>t/a</w:t>
            </w:r>
            <w:r>
              <w:rPr>
                <w:rFonts w:hint="eastAsia" w:hAnsi="Times New Roman" w:eastAsia="宋体"/>
                <w:b/>
                <w:bCs/>
                <w:kern w:val="2"/>
                <w:sz w:val="21"/>
                <w:szCs w:val="21"/>
                <w:lang w:eastAsia="zh-CN"/>
              </w:rPr>
              <w:t>）</w:t>
            </w:r>
          </w:p>
        </w:tc>
        <w:tc>
          <w:tcPr>
            <w:tcW w:w="784"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改扩建后总排放量</w:t>
            </w:r>
            <w:r>
              <w:rPr>
                <w:rFonts w:hint="eastAsia" w:hAnsi="Times New Roman" w:eastAsia="宋体"/>
                <w:b/>
                <w:bCs/>
                <w:kern w:val="2"/>
                <w:sz w:val="21"/>
                <w:szCs w:val="21"/>
                <w:lang w:eastAsia="zh-CN"/>
              </w:rPr>
              <w:t>（</w:t>
            </w:r>
            <w:r>
              <w:rPr>
                <w:rFonts w:hint="eastAsia" w:hAnsi="Times New Roman" w:eastAsia="宋体"/>
                <w:b/>
                <w:bCs/>
                <w:kern w:val="2"/>
                <w:sz w:val="21"/>
                <w:szCs w:val="21"/>
              </w:rPr>
              <w:t>t/a</w:t>
            </w:r>
            <w:r>
              <w:rPr>
                <w:rFonts w:hint="eastAsia" w:hAnsi="Times New Roman" w:eastAsia="宋体"/>
                <w:b/>
                <w:bCs/>
                <w:kern w:val="2"/>
                <w:sz w:val="21"/>
                <w:szCs w:val="21"/>
                <w:lang w:eastAsia="zh-CN"/>
              </w:rPr>
              <w:t>）</w:t>
            </w:r>
          </w:p>
        </w:tc>
        <w:tc>
          <w:tcPr>
            <w:tcW w:w="892"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污染物增减量变化情况</w:t>
            </w:r>
            <w:r>
              <w:rPr>
                <w:rFonts w:hint="eastAsia" w:hAnsi="Times New Roman" w:eastAsia="宋体"/>
                <w:b/>
                <w:bCs/>
                <w:kern w:val="2"/>
                <w:sz w:val="21"/>
                <w:szCs w:val="21"/>
                <w:lang w:eastAsia="zh-CN"/>
              </w:rPr>
              <w:t>（</w:t>
            </w:r>
            <w:r>
              <w:rPr>
                <w:rFonts w:hint="eastAsia" w:hAnsi="Times New Roman" w:eastAsia="宋体"/>
                <w:b/>
                <w:bCs/>
                <w:kern w:val="2"/>
                <w:sz w:val="21"/>
                <w:szCs w:val="21"/>
              </w:rPr>
              <w:t>t/a</w:t>
            </w:r>
            <w:r>
              <w:rPr>
                <w:rFonts w:hint="eastAsia" w:hAnsi="Times New Roman" w:eastAsia="宋体"/>
                <w:b/>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412" w:type="pct"/>
            <w:vMerge w:val="restart"/>
            <w:vAlign w:val="center"/>
          </w:tcPr>
          <w:p>
            <w:pPr>
              <w:pStyle w:val="44"/>
              <w:keepNext w:val="0"/>
              <w:keepLines w:val="0"/>
              <w:suppressLineNumbers w:val="0"/>
              <w:overflowPunct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spacing w:val="-1"/>
                <w:kern w:val="2"/>
                <w:sz w:val="21"/>
                <w:szCs w:val="21"/>
                <w:lang w:eastAsia="zh-CN"/>
              </w:rPr>
              <w:t>废水</w:t>
            </w:r>
          </w:p>
        </w:tc>
        <w:tc>
          <w:tcPr>
            <w:tcW w:w="635" w:type="pct"/>
            <w:vAlign w:val="center"/>
          </w:tcPr>
          <w:p>
            <w:pPr>
              <w:pStyle w:val="44"/>
              <w:keepNext w:val="0"/>
              <w:keepLines w:val="0"/>
              <w:suppressLineNumbers w:val="0"/>
              <w:overflowPunct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水量</w:t>
            </w:r>
          </w:p>
        </w:tc>
        <w:tc>
          <w:tcPr>
            <w:tcW w:w="813" w:type="pct"/>
            <w:vAlign w:val="center"/>
          </w:tcPr>
          <w:p>
            <w:pPr>
              <w:pStyle w:val="44"/>
              <w:keepNext w:val="0"/>
              <w:keepLines w:val="0"/>
              <w:suppressLineNumbers w:val="0"/>
              <w:overflowPunct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spacing w:val="-1"/>
                <w:kern w:val="2"/>
                <w:sz w:val="21"/>
                <w:szCs w:val="21"/>
                <w:lang w:eastAsia="zh-CN"/>
              </w:rPr>
              <w:t>56.45万</w:t>
            </w:r>
          </w:p>
        </w:tc>
        <w:tc>
          <w:tcPr>
            <w:tcW w:w="732" w:type="pct"/>
            <w:vAlign w:val="center"/>
          </w:tcPr>
          <w:p>
            <w:pPr>
              <w:pStyle w:val="44"/>
              <w:keepNext w:val="0"/>
              <w:keepLines w:val="0"/>
              <w:suppressLineNumbers w:val="0"/>
              <w:overflowPunct w:val="0"/>
              <w:spacing w:before="0" w:beforeAutospacing="0" w:after="0" w:afterAutospacing="0" w:line="260" w:lineRule="exact"/>
              <w:ind w:left="0" w:right="0"/>
              <w:jc w:val="center"/>
              <w:rPr>
                <w:rFonts w:hint="eastAsia" w:hAnsi="Times New Roman" w:eastAsia="宋体"/>
                <w:spacing w:val="-1"/>
                <w:kern w:val="2"/>
                <w:sz w:val="21"/>
                <w:szCs w:val="21"/>
                <w:highlight w:val="yellow"/>
                <w:lang w:eastAsia="zh-CN"/>
              </w:rPr>
            </w:pPr>
            <w:r>
              <w:rPr>
                <w:rFonts w:hint="eastAsia" w:hAnsi="Times New Roman" w:eastAsia="宋体"/>
                <w:spacing w:val="-1"/>
                <w:kern w:val="2"/>
                <w:sz w:val="21"/>
                <w:szCs w:val="21"/>
              </w:rPr>
              <w:t>+</w:t>
            </w:r>
            <w:r>
              <w:rPr>
                <w:rFonts w:hint="eastAsia" w:hAnsi="Times New Roman" w:eastAsia="宋体"/>
                <w:spacing w:val="-1"/>
                <w:kern w:val="2"/>
                <w:sz w:val="21"/>
                <w:szCs w:val="21"/>
                <w:lang w:eastAsia="zh-CN"/>
              </w:rPr>
              <w:t>53.71万</w:t>
            </w:r>
          </w:p>
        </w:tc>
        <w:tc>
          <w:tcPr>
            <w:tcW w:w="732" w:type="pct"/>
            <w:vAlign w:val="center"/>
          </w:tcPr>
          <w:p>
            <w:pPr>
              <w:pStyle w:val="44"/>
              <w:keepNext w:val="0"/>
              <w:keepLines w:val="0"/>
              <w:suppressLineNumbers w:val="0"/>
              <w:overflowPunct w:val="0"/>
              <w:spacing w:before="0" w:beforeAutospacing="0" w:after="0" w:afterAutospacing="0" w:line="260" w:lineRule="exact"/>
              <w:ind w:left="0" w:right="0"/>
              <w:jc w:val="center"/>
              <w:rPr>
                <w:rFonts w:hint="eastAsia" w:hAnsi="Times New Roman" w:eastAsia="宋体"/>
                <w:kern w:val="2"/>
                <w:sz w:val="21"/>
                <w:szCs w:val="21"/>
                <w:highlight w:val="yellow"/>
              </w:rPr>
            </w:pPr>
            <w:r>
              <w:rPr>
                <w:rFonts w:hint="eastAsia" w:hAnsi="Times New Roman" w:eastAsia="宋体"/>
                <w:spacing w:val="-1"/>
                <w:kern w:val="2"/>
                <w:sz w:val="21"/>
                <w:szCs w:val="21"/>
                <w:lang w:eastAsia="zh-CN"/>
              </w:rPr>
              <w:t>/</w:t>
            </w:r>
          </w:p>
        </w:tc>
        <w:tc>
          <w:tcPr>
            <w:tcW w:w="784" w:type="pct"/>
            <w:vAlign w:val="center"/>
          </w:tcPr>
          <w:p>
            <w:pPr>
              <w:pStyle w:val="44"/>
              <w:keepNext w:val="0"/>
              <w:keepLines w:val="0"/>
              <w:suppressLineNumbers w:val="0"/>
              <w:overflowPunct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spacing w:val="-1"/>
                <w:kern w:val="2"/>
                <w:sz w:val="21"/>
                <w:szCs w:val="21"/>
                <w:lang w:eastAsia="zh-CN"/>
              </w:rPr>
              <w:t>110.16万</w:t>
            </w:r>
          </w:p>
        </w:tc>
        <w:tc>
          <w:tcPr>
            <w:tcW w:w="892" w:type="pct"/>
            <w:vAlign w:val="center"/>
          </w:tcPr>
          <w:p>
            <w:pPr>
              <w:pStyle w:val="44"/>
              <w:keepNext w:val="0"/>
              <w:keepLines w:val="0"/>
              <w:suppressLineNumbers w:val="0"/>
              <w:overflowPunct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spacing w:val="-1"/>
                <w:kern w:val="2"/>
                <w:sz w:val="21"/>
                <w:szCs w:val="21"/>
              </w:rPr>
              <w:t>+</w:t>
            </w:r>
            <w:r>
              <w:rPr>
                <w:rFonts w:hint="eastAsia" w:hAnsi="Times New Roman" w:eastAsia="宋体"/>
                <w:spacing w:val="-1"/>
                <w:kern w:val="2"/>
                <w:sz w:val="21"/>
                <w:szCs w:val="21"/>
                <w:lang w:eastAsia="zh-CN"/>
              </w:rPr>
              <w:t>53.71万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412" w:type="pct"/>
            <w:vMerge w:val="continue"/>
            <w:vAlign w:val="center"/>
          </w:tcPr>
          <w:p>
            <w:pPr>
              <w:pStyle w:val="44"/>
              <w:keepNext w:val="0"/>
              <w:keepLines w:val="0"/>
              <w:suppressLineNumbers w:val="0"/>
              <w:overflowPunct w:val="0"/>
              <w:spacing w:before="0" w:beforeAutospacing="0" w:after="0" w:afterAutospacing="0" w:line="260" w:lineRule="exact"/>
              <w:ind w:left="243" w:right="0"/>
              <w:jc w:val="center"/>
              <w:rPr>
                <w:rFonts w:hint="eastAsia" w:hAnsi="Times New Roman" w:eastAsia="宋体"/>
                <w:kern w:val="2"/>
                <w:sz w:val="21"/>
                <w:szCs w:val="21"/>
              </w:rPr>
            </w:pPr>
          </w:p>
        </w:tc>
        <w:tc>
          <w:tcPr>
            <w:tcW w:w="635" w:type="pct"/>
            <w:vAlign w:val="center"/>
          </w:tcPr>
          <w:p>
            <w:pPr>
              <w:pStyle w:val="44"/>
              <w:keepNext w:val="0"/>
              <w:keepLines w:val="0"/>
              <w:suppressLineNumbers w:val="0"/>
              <w:overflowPunct w:val="0"/>
              <w:spacing w:before="33"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SS</w:t>
            </w:r>
          </w:p>
        </w:tc>
        <w:tc>
          <w:tcPr>
            <w:tcW w:w="813" w:type="pct"/>
            <w:vAlign w:val="center"/>
          </w:tcPr>
          <w:p>
            <w:pPr>
              <w:pStyle w:val="44"/>
              <w:keepNext w:val="0"/>
              <w:keepLines w:val="0"/>
              <w:suppressLineNumbers w:val="0"/>
              <w:overflowPunct w:val="0"/>
              <w:spacing w:before="0" w:beforeAutospacing="0" w:after="0" w:afterAutospacing="0" w:line="260" w:lineRule="exact"/>
              <w:ind w:left="0" w:right="0"/>
              <w:jc w:val="center"/>
              <w:rPr>
                <w:rFonts w:hint="eastAsia" w:hAnsi="Times New Roman" w:eastAsia="宋体"/>
                <w:spacing w:val="-1"/>
                <w:kern w:val="2"/>
                <w:sz w:val="21"/>
                <w:szCs w:val="21"/>
                <w:lang w:eastAsia="zh-CN"/>
              </w:rPr>
            </w:pPr>
            <w:r>
              <w:rPr>
                <w:rFonts w:hint="eastAsia" w:hAnsi="Times New Roman" w:eastAsia="宋体"/>
                <w:spacing w:val="-1"/>
                <w:kern w:val="2"/>
                <w:sz w:val="21"/>
                <w:szCs w:val="21"/>
                <w:lang w:eastAsia="zh-CN"/>
              </w:rPr>
              <w:t>28.225</w:t>
            </w:r>
          </w:p>
        </w:tc>
        <w:tc>
          <w:tcPr>
            <w:tcW w:w="732" w:type="pct"/>
            <w:vAlign w:val="center"/>
          </w:tcPr>
          <w:p>
            <w:pPr>
              <w:pStyle w:val="44"/>
              <w:keepNext w:val="0"/>
              <w:keepLines w:val="0"/>
              <w:suppressLineNumbers w:val="0"/>
              <w:overflowPunct w:val="0"/>
              <w:spacing w:before="0" w:beforeAutospacing="0" w:after="0" w:afterAutospacing="0" w:line="260" w:lineRule="exact"/>
              <w:ind w:left="0" w:right="0"/>
              <w:jc w:val="center"/>
              <w:rPr>
                <w:rFonts w:hint="eastAsia" w:hAnsi="Times New Roman" w:eastAsia="宋体"/>
                <w:spacing w:val="-1"/>
                <w:kern w:val="2"/>
                <w:sz w:val="21"/>
                <w:szCs w:val="21"/>
                <w:lang w:eastAsia="zh-CN"/>
              </w:rPr>
            </w:pPr>
            <w:r>
              <w:rPr>
                <w:rFonts w:hint="eastAsia" w:hAnsi="Times New Roman" w:eastAsia="宋体"/>
                <w:spacing w:val="-1"/>
                <w:kern w:val="2"/>
                <w:sz w:val="21"/>
                <w:szCs w:val="21"/>
                <w:lang w:eastAsia="zh-CN"/>
              </w:rPr>
              <w:t>10.742</w:t>
            </w:r>
          </w:p>
        </w:tc>
        <w:tc>
          <w:tcPr>
            <w:tcW w:w="732" w:type="pct"/>
            <w:vAlign w:val="center"/>
          </w:tcPr>
          <w:p>
            <w:pPr>
              <w:pStyle w:val="44"/>
              <w:keepNext w:val="0"/>
              <w:keepLines w:val="0"/>
              <w:suppressLineNumbers w:val="0"/>
              <w:overflowPunct w:val="0"/>
              <w:spacing w:before="0" w:beforeAutospacing="0" w:after="0" w:afterAutospacing="0" w:line="260" w:lineRule="exact"/>
              <w:ind w:left="0" w:right="0"/>
              <w:jc w:val="center"/>
              <w:rPr>
                <w:rFonts w:hint="eastAsia" w:hAnsi="Times New Roman" w:eastAsia="宋体"/>
                <w:spacing w:val="-1"/>
                <w:kern w:val="2"/>
                <w:sz w:val="21"/>
                <w:szCs w:val="21"/>
                <w:lang w:eastAsia="zh-CN"/>
              </w:rPr>
            </w:pPr>
            <w:r>
              <w:rPr>
                <w:rFonts w:hint="eastAsia" w:hAnsi="Times New Roman" w:eastAsia="宋体"/>
                <w:spacing w:val="-1"/>
                <w:kern w:val="2"/>
                <w:sz w:val="21"/>
                <w:szCs w:val="21"/>
                <w:lang w:eastAsia="zh-CN"/>
              </w:rPr>
              <w:t>16.935</w:t>
            </w:r>
          </w:p>
        </w:tc>
        <w:tc>
          <w:tcPr>
            <w:tcW w:w="784" w:type="pct"/>
            <w:vAlign w:val="center"/>
          </w:tcPr>
          <w:p>
            <w:pPr>
              <w:pStyle w:val="44"/>
              <w:keepNext w:val="0"/>
              <w:keepLines w:val="0"/>
              <w:suppressLineNumbers w:val="0"/>
              <w:overflowPunct w:val="0"/>
              <w:spacing w:before="0" w:beforeAutospacing="0" w:after="0" w:afterAutospacing="0" w:line="260" w:lineRule="exact"/>
              <w:ind w:left="0" w:right="0"/>
              <w:jc w:val="center"/>
              <w:rPr>
                <w:rFonts w:hint="eastAsia" w:hAnsi="Times New Roman" w:eastAsia="宋体"/>
                <w:spacing w:val="-1"/>
                <w:kern w:val="2"/>
                <w:sz w:val="21"/>
                <w:szCs w:val="21"/>
                <w:lang w:eastAsia="zh-CN"/>
              </w:rPr>
            </w:pPr>
            <w:r>
              <w:rPr>
                <w:rFonts w:hint="eastAsia" w:hAnsi="Times New Roman" w:eastAsia="宋体"/>
                <w:spacing w:val="-1"/>
                <w:kern w:val="2"/>
                <w:sz w:val="21"/>
                <w:szCs w:val="21"/>
                <w:lang w:eastAsia="zh-CN"/>
              </w:rPr>
              <w:t>22.032</w:t>
            </w:r>
          </w:p>
        </w:tc>
        <w:tc>
          <w:tcPr>
            <w:tcW w:w="892" w:type="pct"/>
            <w:vAlign w:val="center"/>
          </w:tcPr>
          <w:p>
            <w:pPr>
              <w:pStyle w:val="44"/>
              <w:keepNext w:val="0"/>
              <w:keepLines w:val="0"/>
              <w:suppressLineNumbers w:val="0"/>
              <w:overflowPunct w:val="0"/>
              <w:spacing w:before="33"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spacing w:val="-2"/>
                <w:kern w:val="2"/>
                <w:sz w:val="21"/>
                <w:szCs w:val="21"/>
                <w:lang w:eastAsia="zh-CN"/>
              </w:rPr>
              <w:t>-6.193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412" w:type="pct"/>
            <w:vMerge w:val="continue"/>
            <w:vAlign w:val="center"/>
          </w:tcPr>
          <w:p>
            <w:pPr>
              <w:pStyle w:val="44"/>
              <w:keepNext w:val="0"/>
              <w:keepLines w:val="0"/>
              <w:suppressLineNumbers w:val="0"/>
              <w:overflowPunct w:val="0"/>
              <w:spacing w:before="0" w:beforeAutospacing="0" w:after="0" w:afterAutospacing="0" w:line="260" w:lineRule="exact"/>
              <w:ind w:left="243" w:right="0"/>
              <w:jc w:val="center"/>
              <w:rPr>
                <w:rFonts w:hint="eastAsia" w:hAnsi="Times New Roman" w:eastAsia="宋体"/>
                <w:kern w:val="2"/>
                <w:sz w:val="21"/>
                <w:szCs w:val="21"/>
              </w:rPr>
            </w:pPr>
          </w:p>
        </w:tc>
        <w:tc>
          <w:tcPr>
            <w:tcW w:w="635" w:type="pct"/>
            <w:vAlign w:val="center"/>
          </w:tcPr>
          <w:p>
            <w:pPr>
              <w:pStyle w:val="44"/>
              <w:keepNext w:val="0"/>
              <w:keepLines w:val="0"/>
              <w:suppressLineNumbers w:val="0"/>
              <w:overflowPunct w:val="0"/>
              <w:spacing w:before="33" w:beforeAutospacing="0" w:after="0" w:afterAutospacing="0" w:line="260" w:lineRule="exact"/>
              <w:ind w:left="0" w:right="0"/>
              <w:jc w:val="center"/>
              <w:rPr>
                <w:rFonts w:hint="eastAsia" w:hAnsi="Times New Roman" w:eastAsia="宋体"/>
                <w:spacing w:val="-2"/>
                <w:kern w:val="2"/>
                <w:sz w:val="21"/>
                <w:szCs w:val="21"/>
                <w:lang w:eastAsia="zh-CN"/>
              </w:rPr>
            </w:pPr>
            <w:r>
              <w:rPr>
                <w:rFonts w:hint="eastAsia" w:hAnsi="Times New Roman" w:eastAsia="宋体"/>
                <w:spacing w:val="-2"/>
                <w:kern w:val="2"/>
                <w:sz w:val="21"/>
                <w:szCs w:val="21"/>
              </w:rPr>
              <w:t>COD</w:t>
            </w:r>
          </w:p>
        </w:tc>
        <w:tc>
          <w:tcPr>
            <w:tcW w:w="813" w:type="pct"/>
            <w:vAlign w:val="center"/>
          </w:tcPr>
          <w:p>
            <w:pPr>
              <w:pStyle w:val="44"/>
              <w:keepNext w:val="0"/>
              <w:keepLines w:val="0"/>
              <w:suppressLineNumbers w:val="0"/>
              <w:overflowPunct w:val="0"/>
              <w:spacing w:before="0" w:beforeAutospacing="0" w:after="0" w:afterAutospacing="0" w:line="260" w:lineRule="exact"/>
              <w:ind w:left="0" w:right="0"/>
              <w:jc w:val="center"/>
              <w:rPr>
                <w:rFonts w:hint="eastAsia" w:hAnsi="Times New Roman" w:eastAsia="宋体"/>
                <w:spacing w:val="-1"/>
                <w:kern w:val="2"/>
                <w:sz w:val="21"/>
                <w:szCs w:val="21"/>
                <w:lang w:eastAsia="zh-CN"/>
              </w:rPr>
            </w:pPr>
            <w:r>
              <w:rPr>
                <w:rFonts w:hint="eastAsia" w:hAnsi="Times New Roman" w:eastAsia="宋体"/>
                <w:spacing w:val="-1"/>
                <w:kern w:val="2"/>
                <w:sz w:val="21"/>
                <w:szCs w:val="21"/>
                <w:lang w:eastAsia="zh-CN"/>
              </w:rPr>
              <w:t>28.225</w:t>
            </w:r>
          </w:p>
        </w:tc>
        <w:tc>
          <w:tcPr>
            <w:tcW w:w="732" w:type="pct"/>
            <w:vAlign w:val="center"/>
          </w:tcPr>
          <w:p>
            <w:pPr>
              <w:pStyle w:val="44"/>
              <w:keepNext w:val="0"/>
              <w:keepLines w:val="0"/>
              <w:suppressLineNumbers w:val="0"/>
              <w:overflowPunct w:val="0"/>
              <w:spacing w:before="0" w:beforeAutospacing="0" w:after="0" w:afterAutospacing="0" w:line="260" w:lineRule="exact"/>
              <w:ind w:left="0" w:right="0"/>
              <w:jc w:val="center"/>
              <w:rPr>
                <w:rFonts w:hint="eastAsia" w:hAnsi="Times New Roman" w:eastAsia="宋体"/>
                <w:spacing w:val="-1"/>
                <w:kern w:val="2"/>
                <w:sz w:val="21"/>
                <w:szCs w:val="21"/>
                <w:lang w:eastAsia="zh-CN"/>
              </w:rPr>
            </w:pPr>
            <w:r>
              <w:rPr>
                <w:rFonts w:hint="eastAsia" w:hAnsi="Times New Roman" w:eastAsia="宋体"/>
                <w:spacing w:val="-1"/>
                <w:kern w:val="2"/>
                <w:sz w:val="21"/>
                <w:szCs w:val="21"/>
                <w:lang w:eastAsia="zh-CN"/>
              </w:rPr>
              <w:t>10.742</w:t>
            </w:r>
          </w:p>
        </w:tc>
        <w:tc>
          <w:tcPr>
            <w:tcW w:w="732" w:type="pct"/>
            <w:vAlign w:val="center"/>
          </w:tcPr>
          <w:p>
            <w:pPr>
              <w:pStyle w:val="44"/>
              <w:keepNext w:val="0"/>
              <w:keepLines w:val="0"/>
              <w:suppressLineNumbers w:val="0"/>
              <w:overflowPunct w:val="0"/>
              <w:spacing w:before="0" w:beforeAutospacing="0" w:after="0" w:afterAutospacing="0" w:line="260" w:lineRule="exact"/>
              <w:ind w:left="0" w:right="0"/>
              <w:jc w:val="center"/>
              <w:rPr>
                <w:rFonts w:hint="eastAsia" w:hAnsi="Times New Roman" w:eastAsia="宋体"/>
                <w:spacing w:val="-1"/>
                <w:kern w:val="2"/>
                <w:sz w:val="21"/>
                <w:szCs w:val="21"/>
                <w:lang w:eastAsia="zh-CN"/>
              </w:rPr>
            </w:pPr>
            <w:r>
              <w:rPr>
                <w:rFonts w:hint="eastAsia" w:hAnsi="Times New Roman" w:eastAsia="宋体"/>
                <w:spacing w:val="-1"/>
                <w:kern w:val="2"/>
                <w:sz w:val="21"/>
                <w:szCs w:val="21"/>
                <w:lang w:eastAsia="zh-CN"/>
              </w:rPr>
              <w:t>16.935</w:t>
            </w:r>
          </w:p>
        </w:tc>
        <w:tc>
          <w:tcPr>
            <w:tcW w:w="784" w:type="pct"/>
            <w:vAlign w:val="center"/>
          </w:tcPr>
          <w:p>
            <w:pPr>
              <w:pStyle w:val="44"/>
              <w:keepNext w:val="0"/>
              <w:keepLines w:val="0"/>
              <w:suppressLineNumbers w:val="0"/>
              <w:overflowPunct w:val="0"/>
              <w:spacing w:before="0" w:beforeAutospacing="0" w:after="0" w:afterAutospacing="0" w:line="260" w:lineRule="exact"/>
              <w:ind w:left="0" w:right="0"/>
              <w:jc w:val="center"/>
              <w:rPr>
                <w:rFonts w:hint="eastAsia" w:hAnsi="Times New Roman" w:eastAsia="宋体"/>
                <w:spacing w:val="-1"/>
                <w:kern w:val="2"/>
                <w:sz w:val="21"/>
                <w:szCs w:val="21"/>
                <w:lang w:eastAsia="zh-CN"/>
              </w:rPr>
            </w:pPr>
            <w:r>
              <w:rPr>
                <w:rFonts w:hint="eastAsia" w:hAnsi="Times New Roman" w:eastAsia="宋体"/>
                <w:spacing w:val="-1"/>
                <w:kern w:val="2"/>
                <w:sz w:val="21"/>
                <w:szCs w:val="21"/>
                <w:lang w:eastAsia="zh-CN"/>
              </w:rPr>
              <w:t>22.032</w:t>
            </w:r>
          </w:p>
        </w:tc>
        <w:tc>
          <w:tcPr>
            <w:tcW w:w="892" w:type="pct"/>
            <w:vAlign w:val="center"/>
          </w:tcPr>
          <w:p>
            <w:pPr>
              <w:pStyle w:val="44"/>
              <w:keepNext w:val="0"/>
              <w:keepLines w:val="0"/>
              <w:suppressLineNumbers w:val="0"/>
              <w:overflowPunct w:val="0"/>
              <w:spacing w:before="33" w:beforeAutospacing="0" w:after="0" w:afterAutospacing="0" w:line="260" w:lineRule="exact"/>
              <w:ind w:left="0" w:right="0"/>
              <w:jc w:val="center"/>
              <w:rPr>
                <w:rFonts w:hint="eastAsia" w:hAnsi="Times New Roman" w:eastAsia="宋体"/>
                <w:b/>
                <w:bCs/>
                <w:spacing w:val="-2"/>
                <w:kern w:val="2"/>
                <w:sz w:val="21"/>
                <w:szCs w:val="21"/>
              </w:rPr>
            </w:pPr>
            <w:r>
              <w:rPr>
                <w:rFonts w:hint="eastAsia" w:hAnsi="Times New Roman" w:eastAsia="宋体"/>
                <w:spacing w:val="-2"/>
                <w:kern w:val="2"/>
                <w:sz w:val="21"/>
                <w:szCs w:val="21"/>
                <w:lang w:eastAsia="zh-CN"/>
              </w:rPr>
              <w:t>-6.193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412" w:type="pct"/>
            <w:vMerge w:val="continue"/>
            <w:vAlign w:val="center"/>
          </w:tcPr>
          <w:p>
            <w:pPr>
              <w:pStyle w:val="44"/>
              <w:keepNext w:val="0"/>
              <w:keepLines w:val="0"/>
              <w:suppressLineNumbers w:val="0"/>
              <w:overflowPunct w:val="0"/>
              <w:spacing w:before="0" w:beforeAutospacing="0" w:after="0" w:afterAutospacing="0" w:line="260" w:lineRule="exact"/>
              <w:ind w:left="243" w:right="0"/>
              <w:jc w:val="center"/>
              <w:rPr>
                <w:rFonts w:hint="eastAsia" w:hAnsi="Times New Roman" w:eastAsia="宋体"/>
                <w:kern w:val="2"/>
                <w:sz w:val="21"/>
                <w:szCs w:val="21"/>
              </w:rPr>
            </w:pPr>
          </w:p>
        </w:tc>
        <w:tc>
          <w:tcPr>
            <w:tcW w:w="635" w:type="pct"/>
            <w:vAlign w:val="center"/>
          </w:tcPr>
          <w:p>
            <w:pPr>
              <w:pStyle w:val="44"/>
              <w:keepNext w:val="0"/>
              <w:keepLines w:val="0"/>
              <w:suppressLineNumbers w:val="0"/>
              <w:overflowPunct w:val="0"/>
              <w:spacing w:before="33" w:beforeAutospacing="0" w:after="0" w:afterAutospacing="0" w:line="260" w:lineRule="exact"/>
              <w:ind w:left="0" w:right="0"/>
              <w:jc w:val="center"/>
              <w:rPr>
                <w:rFonts w:hint="eastAsia" w:hAnsi="Times New Roman" w:eastAsia="宋体"/>
                <w:spacing w:val="-2"/>
                <w:kern w:val="2"/>
                <w:sz w:val="21"/>
                <w:szCs w:val="21"/>
                <w:lang w:eastAsia="zh-CN"/>
              </w:rPr>
            </w:pPr>
            <w:r>
              <w:rPr>
                <w:rFonts w:hint="eastAsia" w:hAnsi="Times New Roman" w:eastAsia="宋体"/>
                <w:spacing w:val="-2"/>
                <w:kern w:val="2"/>
                <w:sz w:val="21"/>
                <w:szCs w:val="21"/>
                <w:lang w:eastAsia="zh-CN"/>
              </w:rPr>
              <w:t>NH</w:t>
            </w:r>
            <w:r>
              <w:rPr>
                <w:rFonts w:hint="eastAsia" w:hAnsi="Times New Roman" w:eastAsia="宋体"/>
                <w:spacing w:val="-2"/>
                <w:kern w:val="2"/>
                <w:sz w:val="21"/>
                <w:szCs w:val="21"/>
                <w:vertAlign w:val="subscript"/>
                <w:lang w:eastAsia="zh-CN"/>
              </w:rPr>
              <w:t>3</w:t>
            </w:r>
            <w:r>
              <w:rPr>
                <w:rFonts w:hint="eastAsia" w:hAnsi="Times New Roman" w:eastAsia="宋体"/>
                <w:spacing w:val="-2"/>
                <w:kern w:val="2"/>
                <w:sz w:val="21"/>
                <w:szCs w:val="21"/>
                <w:lang w:eastAsia="zh-CN"/>
              </w:rPr>
              <w:t>-N</w:t>
            </w:r>
          </w:p>
        </w:tc>
        <w:tc>
          <w:tcPr>
            <w:tcW w:w="813" w:type="pct"/>
            <w:vAlign w:val="center"/>
          </w:tcPr>
          <w:p>
            <w:pPr>
              <w:pStyle w:val="44"/>
              <w:keepNext w:val="0"/>
              <w:keepLines w:val="0"/>
              <w:suppressLineNumbers w:val="0"/>
              <w:overflowPunct w:val="0"/>
              <w:spacing w:before="0" w:beforeAutospacing="0" w:after="0" w:afterAutospacing="0" w:line="260" w:lineRule="exact"/>
              <w:ind w:left="0" w:right="0"/>
              <w:jc w:val="center"/>
              <w:rPr>
                <w:rFonts w:hint="eastAsia" w:hAnsi="Times New Roman" w:eastAsia="宋体"/>
                <w:spacing w:val="-1"/>
                <w:kern w:val="2"/>
                <w:sz w:val="21"/>
                <w:szCs w:val="21"/>
                <w:lang w:eastAsia="zh-CN"/>
              </w:rPr>
            </w:pPr>
            <w:r>
              <w:rPr>
                <w:rFonts w:hint="eastAsia" w:hAnsi="Times New Roman" w:eastAsia="宋体"/>
                <w:spacing w:val="-1"/>
                <w:kern w:val="2"/>
                <w:sz w:val="21"/>
                <w:szCs w:val="21"/>
                <w:lang w:eastAsia="zh-CN"/>
              </w:rPr>
              <w:t>0.847</w:t>
            </w:r>
          </w:p>
        </w:tc>
        <w:tc>
          <w:tcPr>
            <w:tcW w:w="732" w:type="pct"/>
            <w:vAlign w:val="center"/>
          </w:tcPr>
          <w:p>
            <w:pPr>
              <w:pStyle w:val="44"/>
              <w:keepNext w:val="0"/>
              <w:keepLines w:val="0"/>
              <w:suppressLineNumbers w:val="0"/>
              <w:overflowPunct w:val="0"/>
              <w:spacing w:before="0" w:beforeAutospacing="0" w:after="0" w:afterAutospacing="0" w:line="260" w:lineRule="exact"/>
              <w:ind w:left="0" w:right="0"/>
              <w:jc w:val="center"/>
              <w:rPr>
                <w:rFonts w:hint="eastAsia" w:hAnsi="Times New Roman" w:eastAsia="宋体"/>
                <w:spacing w:val="-1"/>
                <w:kern w:val="2"/>
                <w:sz w:val="21"/>
                <w:szCs w:val="21"/>
                <w:lang w:eastAsia="zh-CN"/>
              </w:rPr>
            </w:pPr>
            <w:r>
              <w:rPr>
                <w:rFonts w:hint="eastAsia" w:hAnsi="Times New Roman" w:eastAsia="宋体"/>
                <w:spacing w:val="-1"/>
                <w:kern w:val="2"/>
                <w:sz w:val="21"/>
                <w:szCs w:val="21"/>
                <w:lang w:eastAsia="zh-CN"/>
              </w:rPr>
              <w:t>0.537</w:t>
            </w:r>
          </w:p>
        </w:tc>
        <w:tc>
          <w:tcPr>
            <w:tcW w:w="732" w:type="pct"/>
            <w:vAlign w:val="center"/>
          </w:tcPr>
          <w:p>
            <w:pPr>
              <w:pStyle w:val="44"/>
              <w:keepNext w:val="0"/>
              <w:keepLines w:val="0"/>
              <w:suppressLineNumbers w:val="0"/>
              <w:overflowPunct w:val="0"/>
              <w:spacing w:before="0" w:beforeAutospacing="0" w:after="0" w:afterAutospacing="0" w:line="260" w:lineRule="exact"/>
              <w:ind w:left="0" w:right="0"/>
              <w:jc w:val="center"/>
              <w:rPr>
                <w:rFonts w:hint="eastAsia" w:hAnsi="Times New Roman" w:eastAsia="宋体"/>
                <w:spacing w:val="-1"/>
                <w:kern w:val="2"/>
                <w:sz w:val="21"/>
                <w:szCs w:val="21"/>
                <w:lang w:eastAsia="zh-CN"/>
              </w:rPr>
            </w:pPr>
            <w:r>
              <w:rPr>
                <w:rFonts w:hint="eastAsia" w:hAnsi="Times New Roman" w:eastAsia="宋体"/>
                <w:spacing w:val="-1"/>
                <w:kern w:val="2"/>
                <w:sz w:val="21"/>
                <w:szCs w:val="21"/>
                <w:lang w:eastAsia="zh-CN"/>
              </w:rPr>
              <w:t>0.282</w:t>
            </w:r>
          </w:p>
        </w:tc>
        <w:tc>
          <w:tcPr>
            <w:tcW w:w="784" w:type="pct"/>
            <w:vAlign w:val="center"/>
          </w:tcPr>
          <w:p>
            <w:pPr>
              <w:pStyle w:val="44"/>
              <w:keepNext w:val="0"/>
              <w:keepLines w:val="0"/>
              <w:suppressLineNumbers w:val="0"/>
              <w:overflowPunct w:val="0"/>
              <w:spacing w:before="0" w:beforeAutospacing="0" w:after="0" w:afterAutospacing="0" w:line="260" w:lineRule="exact"/>
              <w:ind w:left="0" w:right="0"/>
              <w:jc w:val="center"/>
              <w:rPr>
                <w:rFonts w:hint="eastAsia" w:hAnsi="Times New Roman" w:eastAsia="宋体"/>
                <w:spacing w:val="-1"/>
                <w:kern w:val="2"/>
                <w:sz w:val="21"/>
                <w:szCs w:val="21"/>
                <w:lang w:eastAsia="zh-CN"/>
              </w:rPr>
            </w:pPr>
            <w:r>
              <w:rPr>
                <w:rFonts w:hint="eastAsia" w:hAnsi="Times New Roman" w:eastAsia="宋体"/>
                <w:spacing w:val="-1"/>
                <w:kern w:val="2"/>
                <w:sz w:val="21"/>
                <w:szCs w:val="21"/>
                <w:lang w:eastAsia="zh-CN"/>
              </w:rPr>
              <w:t>1.102</w:t>
            </w:r>
          </w:p>
        </w:tc>
        <w:tc>
          <w:tcPr>
            <w:tcW w:w="892" w:type="pct"/>
            <w:vAlign w:val="center"/>
          </w:tcPr>
          <w:p>
            <w:pPr>
              <w:pStyle w:val="44"/>
              <w:keepNext w:val="0"/>
              <w:keepLines w:val="0"/>
              <w:suppressLineNumbers w:val="0"/>
              <w:overflowPunct w:val="0"/>
              <w:spacing w:before="33" w:beforeAutospacing="0" w:after="0" w:afterAutospacing="0" w:line="260" w:lineRule="exact"/>
              <w:ind w:left="0" w:right="0"/>
              <w:jc w:val="center"/>
              <w:rPr>
                <w:rFonts w:hint="eastAsia" w:hAnsi="Times New Roman" w:eastAsia="宋体"/>
                <w:spacing w:val="-2"/>
                <w:kern w:val="2"/>
                <w:sz w:val="21"/>
                <w:szCs w:val="21"/>
              </w:rPr>
            </w:pPr>
            <w:r>
              <w:rPr>
                <w:rFonts w:hint="eastAsia" w:hAnsi="Times New Roman" w:eastAsia="宋体"/>
                <w:spacing w:val="-2"/>
                <w:kern w:val="2"/>
                <w:sz w:val="21"/>
                <w:szCs w:val="21"/>
                <w:lang w:eastAsia="zh-CN"/>
              </w:rPr>
              <w:t>0.255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412" w:type="pct"/>
            <w:vMerge w:val="continue"/>
            <w:vAlign w:val="center"/>
          </w:tcPr>
          <w:p>
            <w:pPr>
              <w:pStyle w:val="44"/>
              <w:keepNext w:val="0"/>
              <w:keepLines w:val="0"/>
              <w:suppressLineNumbers w:val="0"/>
              <w:overflowPunct w:val="0"/>
              <w:spacing w:before="0" w:beforeAutospacing="0" w:after="0" w:afterAutospacing="0" w:line="260" w:lineRule="exact"/>
              <w:ind w:left="243" w:right="0"/>
              <w:jc w:val="center"/>
              <w:rPr>
                <w:rFonts w:hint="eastAsia" w:hAnsi="Times New Roman" w:eastAsia="宋体"/>
                <w:kern w:val="2"/>
                <w:sz w:val="21"/>
                <w:szCs w:val="21"/>
              </w:rPr>
            </w:pPr>
          </w:p>
        </w:tc>
        <w:tc>
          <w:tcPr>
            <w:tcW w:w="635" w:type="pct"/>
            <w:vAlign w:val="center"/>
          </w:tcPr>
          <w:p>
            <w:pPr>
              <w:pStyle w:val="44"/>
              <w:keepNext w:val="0"/>
              <w:keepLines w:val="0"/>
              <w:suppressLineNumbers w:val="0"/>
              <w:overflowPunct w:val="0"/>
              <w:spacing w:before="33" w:beforeAutospacing="0" w:after="0" w:afterAutospacing="0" w:line="260" w:lineRule="exact"/>
              <w:ind w:left="0" w:right="0"/>
              <w:jc w:val="center"/>
              <w:rPr>
                <w:rFonts w:hint="eastAsia" w:hAnsi="Times New Roman" w:eastAsia="宋体"/>
                <w:spacing w:val="-2"/>
                <w:kern w:val="2"/>
                <w:sz w:val="21"/>
                <w:szCs w:val="21"/>
                <w:lang w:eastAsia="zh-CN"/>
              </w:rPr>
            </w:pPr>
            <w:r>
              <w:rPr>
                <w:rFonts w:hint="eastAsia" w:hAnsi="Times New Roman" w:eastAsia="宋体"/>
                <w:spacing w:val="-2"/>
                <w:kern w:val="2"/>
                <w:sz w:val="21"/>
                <w:szCs w:val="21"/>
                <w:lang w:eastAsia="zh-CN"/>
              </w:rPr>
              <w:t>石油类</w:t>
            </w:r>
          </w:p>
        </w:tc>
        <w:tc>
          <w:tcPr>
            <w:tcW w:w="813" w:type="pct"/>
            <w:vAlign w:val="center"/>
          </w:tcPr>
          <w:p>
            <w:pPr>
              <w:pStyle w:val="44"/>
              <w:keepNext w:val="0"/>
              <w:keepLines w:val="0"/>
              <w:suppressLineNumbers w:val="0"/>
              <w:overflowPunct w:val="0"/>
              <w:spacing w:before="0" w:beforeAutospacing="0" w:after="0" w:afterAutospacing="0" w:line="260" w:lineRule="exact"/>
              <w:ind w:left="0" w:right="0"/>
              <w:jc w:val="center"/>
              <w:rPr>
                <w:rFonts w:hint="eastAsia" w:hAnsi="Times New Roman" w:eastAsia="宋体"/>
                <w:spacing w:val="-1"/>
                <w:kern w:val="2"/>
                <w:sz w:val="21"/>
                <w:szCs w:val="21"/>
                <w:lang w:eastAsia="zh-CN"/>
              </w:rPr>
            </w:pPr>
            <w:r>
              <w:rPr>
                <w:rFonts w:hint="eastAsia" w:hAnsi="Times New Roman" w:eastAsia="宋体"/>
                <w:spacing w:val="-1"/>
                <w:kern w:val="2"/>
                <w:sz w:val="21"/>
                <w:szCs w:val="21"/>
                <w:lang w:eastAsia="zh-CN"/>
              </w:rPr>
              <w:t>2.823</w:t>
            </w:r>
          </w:p>
        </w:tc>
        <w:tc>
          <w:tcPr>
            <w:tcW w:w="732" w:type="pct"/>
            <w:vAlign w:val="center"/>
          </w:tcPr>
          <w:p>
            <w:pPr>
              <w:pStyle w:val="44"/>
              <w:keepNext w:val="0"/>
              <w:keepLines w:val="0"/>
              <w:suppressLineNumbers w:val="0"/>
              <w:overflowPunct w:val="0"/>
              <w:spacing w:before="0" w:beforeAutospacing="0" w:after="0" w:afterAutospacing="0" w:line="260" w:lineRule="exact"/>
              <w:ind w:left="0" w:right="0"/>
              <w:jc w:val="center"/>
              <w:rPr>
                <w:rFonts w:hint="eastAsia" w:hAnsi="Times New Roman" w:eastAsia="宋体"/>
                <w:spacing w:val="-1"/>
                <w:kern w:val="2"/>
                <w:sz w:val="21"/>
                <w:szCs w:val="21"/>
                <w:lang w:eastAsia="zh-CN"/>
              </w:rPr>
            </w:pPr>
            <w:r>
              <w:rPr>
                <w:rFonts w:hint="eastAsia" w:hAnsi="Times New Roman" w:eastAsia="宋体"/>
                <w:spacing w:val="-1"/>
                <w:kern w:val="2"/>
                <w:sz w:val="21"/>
                <w:szCs w:val="21"/>
                <w:lang w:eastAsia="zh-CN"/>
              </w:rPr>
              <w:t>0.027</w:t>
            </w:r>
          </w:p>
        </w:tc>
        <w:tc>
          <w:tcPr>
            <w:tcW w:w="732" w:type="pct"/>
            <w:vAlign w:val="center"/>
          </w:tcPr>
          <w:p>
            <w:pPr>
              <w:pStyle w:val="44"/>
              <w:keepNext w:val="0"/>
              <w:keepLines w:val="0"/>
              <w:suppressLineNumbers w:val="0"/>
              <w:overflowPunct w:val="0"/>
              <w:spacing w:before="0" w:beforeAutospacing="0" w:after="0" w:afterAutospacing="0" w:line="260" w:lineRule="exact"/>
              <w:ind w:left="0" w:right="0"/>
              <w:jc w:val="center"/>
              <w:rPr>
                <w:rFonts w:hint="eastAsia" w:hAnsi="Times New Roman" w:eastAsia="宋体"/>
                <w:spacing w:val="-1"/>
                <w:kern w:val="2"/>
                <w:sz w:val="21"/>
                <w:szCs w:val="21"/>
                <w:lang w:eastAsia="zh-CN"/>
              </w:rPr>
            </w:pPr>
            <w:r>
              <w:rPr>
                <w:rFonts w:hint="eastAsia" w:hAnsi="Times New Roman" w:eastAsia="宋体"/>
                <w:spacing w:val="-1"/>
                <w:kern w:val="2"/>
                <w:sz w:val="21"/>
                <w:szCs w:val="21"/>
                <w:lang w:eastAsia="zh-CN"/>
              </w:rPr>
              <w:t>2.794</w:t>
            </w:r>
          </w:p>
        </w:tc>
        <w:tc>
          <w:tcPr>
            <w:tcW w:w="784" w:type="pct"/>
            <w:vAlign w:val="center"/>
          </w:tcPr>
          <w:p>
            <w:pPr>
              <w:pStyle w:val="44"/>
              <w:keepNext w:val="0"/>
              <w:keepLines w:val="0"/>
              <w:suppressLineNumbers w:val="0"/>
              <w:overflowPunct w:val="0"/>
              <w:spacing w:before="0" w:beforeAutospacing="0" w:after="0" w:afterAutospacing="0" w:line="260" w:lineRule="exact"/>
              <w:ind w:left="0" w:right="0"/>
              <w:jc w:val="center"/>
              <w:rPr>
                <w:rFonts w:hint="eastAsia" w:hAnsi="Times New Roman" w:eastAsia="宋体"/>
                <w:spacing w:val="-1"/>
                <w:kern w:val="2"/>
                <w:sz w:val="21"/>
                <w:szCs w:val="21"/>
                <w:lang w:eastAsia="zh-CN"/>
              </w:rPr>
            </w:pPr>
            <w:r>
              <w:rPr>
                <w:rFonts w:hint="eastAsia" w:hAnsi="Times New Roman" w:eastAsia="宋体"/>
                <w:spacing w:val="-1"/>
                <w:kern w:val="2"/>
                <w:sz w:val="21"/>
                <w:szCs w:val="21"/>
                <w:lang w:eastAsia="zh-CN"/>
              </w:rPr>
              <w:t>0.055</w:t>
            </w:r>
          </w:p>
        </w:tc>
        <w:tc>
          <w:tcPr>
            <w:tcW w:w="892" w:type="pct"/>
            <w:vAlign w:val="center"/>
          </w:tcPr>
          <w:p>
            <w:pPr>
              <w:pStyle w:val="44"/>
              <w:keepNext w:val="0"/>
              <w:keepLines w:val="0"/>
              <w:suppressLineNumbers w:val="0"/>
              <w:overflowPunct w:val="0"/>
              <w:spacing w:before="33" w:beforeAutospacing="0" w:after="0" w:afterAutospacing="0" w:line="260" w:lineRule="exact"/>
              <w:ind w:left="0" w:right="0"/>
              <w:jc w:val="center"/>
              <w:rPr>
                <w:rFonts w:hint="eastAsia" w:hAnsi="Times New Roman" w:eastAsia="宋体"/>
                <w:spacing w:val="-2"/>
                <w:kern w:val="2"/>
                <w:sz w:val="21"/>
                <w:szCs w:val="21"/>
                <w:lang w:eastAsia="zh-CN"/>
              </w:rPr>
            </w:pPr>
            <w:r>
              <w:rPr>
                <w:rFonts w:hint="eastAsia" w:hAnsi="Times New Roman" w:eastAsia="宋体"/>
                <w:spacing w:val="-2"/>
                <w:kern w:val="2"/>
                <w:sz w:val="21"/>
                <w:szCs w:val="21"/>
                <w:lang w:eastAsia="zh-CN"/>
              </w:rPr>
              <w:t>-2.767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412" w:type="pct"/>
            <w:vMerge w:val="restart"/>
            <w:vAlign w:val="center"/>
          </w:tcPr>
          <w:p>
            <w:pPr>
              <w:pStyle w:val="44"/>
              <w:keepNext w:val="0"/>
              <w:keepLines w:val="0"/>
              <w:suppressLineNumbers w:val="0"/>
              <w:overflowPunct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废气</w:t>
            </w:r>
          </w:p>
        </w:tc>
        <w:tc>
          <w:tcPr>
            <w:tcW w:w="635" w:type="pct"/>
            <w:vAlign w:val="center"/>
          </w:tcPr>
          <w:p>
            <w:pPr>
              <w:pStyle w:val="44"/>
              <w:keepNext w:val="0"/>
              <w:keepLines w:val="0"/>
              <w:suppressLineNumbers w:val="0"/>
              <w:overflowPunct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装卸扬尘</w:t>
            </w:r>
          </w:p>
        </w:tc>
        <w:tc>
          <w:tcPr>
            <w:tcW w:w="813" w:type="pct"/>
            <w:vAlign w:val="center"/>
          </w:tcPr>
          <w:p>
            <w:pPr>
              <w:pStyle w:val="44"/>
              <w:keepNext w:val="0"/>
              <w:keepLines w:val="0"/>
              <w:suppressLineNumbers w:val="0"/>
              <w:overflowPunct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spacing w:val="-1"/>
                <w:kern w:val="2"/>
                <w:sz w:val="21"/>
                <w:szCs w:val="21"/>
                <w:lang w:eastAsia="zh-CN"/>
              </w:rPr>
              <w:t>3.76</w:t>
            </w:r>
          </w:p>
        </w:tc>
        <w:tc>
          <w:tcPr>
            <w:tcW w:w="732" w:type="pct"/>
            <w:vAlign w:val="center"/>
          </w:tcPr>
          <w:p>
            <w:pPr>
              <w:pStyle w:val="44"/>
              <w:keepNext w:val="0"/>
              <w:keepLines w:val="0"/>
              <w:suppressLineNumbers w:val="0"/>
              <w:overflowPunct w:val="0"/>
              <w:spacing w:before="0" w:beforeAutospacing="0" w:after="0" w:afterAutospacing="0" w:line="260" w:lineRule="exact"/>
              <w:ind w:left="0" w:right="0"/>
              <w:jc w:val="center"/>
              <w:rPr>
                <w:rFonts w:hint="eastAsia" w:hAnsi="Times New Roman" w:eastAsia="宋体"/>
                <w:spacing w:val="-1"/>
                <w:kern w:val="2"/>
                <w:sz w:val="21"/>
                <w:szCs w:val="21"/>
                <w:lang w:eastAsia="zh-CN"/>
              </w:rPr>
            </w:pPr>
            <w:r>
              <w:rPr>
                <w:rFonts w:hint="eastAsia" w:hAnsi="Times New Roman" w:eastAsia="宋体"/>
                <w:spacing w:val="-1"/>
                <w:kern w:val="2"/>
                <w:sz w:val="21"/>
                <w:szCs w:val="21"/>
                <w:lang w:eastAsia="zh-CN"/>
              </w:rPr>
              <w:t>0.31</w:t>
            </w:r>
          </w:p>
        </w:tc>
        <w:tc>
          <w:tcPr>
            <w:tcW w:w="732" w:type="pct"/>
            <w:vAlign w:val="center"/>
          </w:tcPr>
          <w:p>
            <w:pPr>
              <w:pStyle w:val="44"/>
              <w:keepNext w:val="0"/>
              <w:keepLines w:val="0"/>
              <w:suppressLineNumbers w:val="0"/>
              <w:overflowPunct w:val="0"/>
              <w:spacing w:before="0" w:beforeAutospacing="0" w:after="0" w:afterAutospacing="0" w:line="260" w:lineRule="exact"/>
              <w:ind w:left="0" w:right="0"/>
              <w:jc w:val="center"/>
              <w:rPr>
                <w:rFonts w:hint="eastAsia" w:hAnsi="Times New Roman" w:eastAsia="宋体"/>
                <w:spacing w:val="-1"/>
                <w:kern w:val="2"/>
                <w:sz w:val="21"/>
                <w:szCs w:val="21"/>
                <w:lang w:eastAsia="zh-CN"/>
              </w:rPr>
            </w:pPr>
            <w:r>
              <w:rPr>
                <w:rFonts w:hint="eastAsia" w:hAnsi="Times New Roman" w:eastAsia="宋体"/>
                <w:spacing w:val="-1"/>
                <w:kern w:val="2"/>
                <w:sz w:val="21"/>
                <w:szCs w:val="21"/>
                <w:lang w:eastAsia="zh-CN"/>
              </w:rPr>
              <w:t>3.63</w:t>
            </w:r>
          </w:p>
        </w:tc>
        <w:tc>
          <w:tcPr>
            <w:tcW w:w="784" w:type="pct"/>
            <w:vAlign w:val="center"/>
          </w:tcPr>
          <w:p>
            <w:pPr>
              <w:pStyle w:val="44"/>
              <w:keepNext w:val="0"/>
              <w:keepLines w:val="0"/>
              <w:suppressLineNumbers w:val="0"/>
              <w:overflowPunct w:val="0"/>
              <w:spacing w:before="0" w:beforeAutospacing="0" w:after="0" w:afterAutospacing="0" w:line="260" w:lineRule="exact"/>
              <w:ind w:left="0" w:right="2"/>
              <w:jc w:val="center"/>
              <w:rPr>
                <w:rFonts w:hint="eastAsia" w:hAnsi="Times New Roman" w:eastAsia="宋体"/>
                <w:kern w:val="2"/>
                <w:sz w:val="21"/>
                <w:szCs w:val="21"/>
              </w:rPr>
            </w:pPr>
            <w:r>
              <w:rPr>
                <w:rFonts w:hint="eastAsia" w:hAnsi="Times New Roman" w:eastAsia="宋体"/>
                <w:spacing w:val="-1"/>
                <w:kern w:val="2"/>
                <w:sz w:val="21"/>
                <w:szCs w:val="21"/>
                <w:lang w:eastAsia="zh-CN"/>
              </w:rPr>
              <w:t>0.44</w:t>
            </w:r>
          </w:p>
        </w:tc>
        <w:tc>
          <w:tcPr>
            <w:tcW w:w="892" w:type="pct"/>
            <w:vAlign w:val="center"/>
          </w:tcPr>
          <w:p>
            <w:pPr>
              <w:pStyle w:val="44"/>
              <w:keepNext w:val="0"/>
              <w:keepLines w:val="0"/>
              <w:suppressLineNumbers w:val="0"/>
              <w:overflowPunct w:val="0"/>
              <w:spacing w:before="0" w:beforeAutospacing="0" w:after="0" w:afterAutospacing="0" w:line="260" w:lineRule="exact"/>
              <w:ind w:left="0" w:right="0"/>
              <w:jc w:val="center"/>
              <w:rPr>
                <w:rFonts w:hint="eastAsia" w:hAnsi="Times New Roman" w:eastAsia="宋体"/>
                <w:spacing w:val="-1"/>
                <w:kern w:val="2"/>
                <w:sz w:val="21"/>
                <w:szCs w:val="21"/>
                <w:lang w:eastAsia="zh-CN"/>
              </w:rPr>
            </w:pPr>
            <w:r>
              <w:rPr>
                <w:rFonts w:hint="eastAsia" w:hAnsi="Times New Roman" w:eastAsia="宋体"/>
                <w:spacing w:val="-2"/>
                <w:kern w:val="2"/>
                <w:sz w:val="21"/>
                <w:szCs w:val="21"/>
                <w:lang w:eastAsia="zh-CN"/>
              </w:rPr>
              <w:t>-</w:t>
            </w:r>
            <w:r>
              <w:rPr>
                <w:rFonts w:hint="eastAsia" w:hAnsi="Times New Roman" w:eastAsia="宋体"/>
                <w:spacing w:val="-1"/>
                <w:kern w:val="2"/>
                <w:sz w:val="21"/>
                <w:szCs w:val="21"/>
                <w:lang w:eastAsia="zh-CN"/>
              </w:rPr>
              <w:t>3.32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412" w:type="pct"/>
            <w:vMerge w:val="continue"/>
            <w:vAlign w:val="center"/>
          </w:tcPr>
          <w:p>
            <w:pPr>
              <w:pStyle w:val="44"/>
              <w:keepNext w:val="0"/>
              <w:keepLines w:val="0"/>
              <w:suppressLineNumbers w:val="0"/>
              <w:overflowPunct w:val="0"/>
              <w:spacing w:before="0" w:beforeAutospacing="0" w:after="0" w:afterAutospacing="0" w:line="260" w:lineRule="exact"/>
              <w:ind w:left="0" w:right="0"/>
              <w:jc w:val="center"/>
              <w:rPr>
                <w:rFonts w:hint="eastAsia" w:hAnsi="Times New Roman" w:eastAsia="宋体"/>
                <w:kern w:val="2"/>
                <w:sz w:val="21"/>
                <w:szCs w:val="21"/>
              </w:rPr>
            </w:pPr>
          </w:p>
        </w:tc>
        <w:tc>
          <w:tcPr>
            <w:tcW w:w="635" w:type="pct"/>
            <w:vAlign w:val="center"/>
          </w:tcPr>
          <w:p>
            <w:pPr>
              <w:pStyle w:val="44"/>
              <w:keepNext w:val="0"/>
              <w:keepLines w:val="0"/>
              <w:suppressLineNumbers w:val="0"/>
              <w:overflowPunct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堆场扬尘</w:t>
            </w:r>
          </w:p>
        </w:tc>
        <w:tc>
          <w:tcPr>
            <w:tcW w:w="813" w:type="pct"/>
            <w:vAlign w:val="center"/>
          </w:tcPr>
          <w:p>
            <w:pPr>
              <w:pStyle w:val="44"/>
              <w:keepNext w:val="0"/>
              <w:keepLines w:val="0"/>
              <w:suppressLineNumbers w:val="0"/>
              <w:overflowPunct w:val="0"/>
              <w:spacing w:before="0" w:beforeAutospacing="0" w:after="0" w:afterAutospacing="0" w:line="260" w:lineRule="exact"/>
              <w:ind w:left="0" w:right="0"/>
              <w:jc w:val="center"/>
              <w:rPr>
                <w:rFonts w:hint="eastAsia" w:hAnsi="Times New Roman" w:eastAsia="宋体"/>
                <w:spacing w:val="-1"/>
                <w:kern w:val="2"/>
                <w:sz w:val="21"/>
                <w:szCs w:val="21"/>
                <w:lang w:eastAsia="zh-CN"/>
              </w:rPr>
            </w:pPr>
            <w:r>
              <w:rPr>
                <w:rFonts w:hint="eastAsia" w:hAnsi="Times New Roman" w:eastAsia="宋体"/>
                <w:spacing w:val="-1"/>
                <w:kern w:val="2"/>
                <w:sz w:val="21"/>
                <w:szCs w:val="21"/>
                <w:lang w:eastAsia="zh-CN"/>
              </w:rPr>
              <w:t>0.744</w:t>
            </w:r>
          </w:p>
        </w:tc>
        <w:tc>
          <w:tcPr>
            <w:tcW w:w="732" w:type="pct"/>
            <w:vAlign w:val="center"/>
          </w:tcPr>
          <w:p>
            <w:pPr>
              <w:pStyle w:val="44"/>
              <w:keepNext w:val="0"/>
              <w:keepLines w:val="0"/>
              <w:suppressLineNumbers w:val="0"/>
              <w:overflowPunct w:val="0"/>
              <w:spacing w:before="0" w:beforeAutospacing="0" w:after="0" w:afterAutospacing="0" w:line="260" w:lineRule="exact"/>
              <w:ind w:left="0" w:right="0"/>
              <w:jc w:val="center"/>
              <w:rPr>
                <w:rFonts w:hint="eastAsia" w:hAnsi="Times New Roman" w:eastAsia="宋体"/>
                <w:spacing w:val="-1"/>
                <w:kern w:val="2"/>
                <w:sz w:val="21"/>
                <w:szCs w:val="21"/>
                <w:lang w:eastAsia="zh-CN"/>
              </w:rPr>
            </w:pPr>
            <w:r>
              <w:rPr>
                <w:rFonts w:hint="eastAsia" w:hAnsi="Times New Roman" w:eastAsia="宋体"/>
                <w:spacing w:val="-1"/>
                <w:kern w:val="2"/>
                <w:sz w:val="21"/>
                <w:szCs w:val="21"/>
                <w:lang w:eastAsia="zh-CN"/>
              </w:rPr>
              <w:t>0.07</w:t>
            </w:r>
          </w:p>
        </w:tc>
        <w:tc>
          <w:tcPr>
            <w:tcW w:w="732" w:type="pct"/>
            <w:vAlign w:val="center"/>
          </w:tcPr>
          <w:p>
            <w:pPr>
              <w:pStyle w:val="44"/>
              <w:keepNext w:val="0"/>
              <w:keepLines w:val="0"/>
              <w:suppressLineNumbers w:val="0"/>
              <w:overflowPunct w:val="0"/>
              <w:spacing w:before="0" w:beforeAutospacing="0" w:after="0" w:afterAutospacing="0" w:line="260" w:lineRule="exact"/>
              <w:ind w:left="0" w:right="0"/>
              <w:jc w:val="center"/>
              <w:rPr>
                <w:rFonts w:hint="eastAsia" w:hAnsi="Times New Roman" w:eastAsia="宋体"/>
                <w:spacing w:val="-1"/>
                <w:kern w:val="2"/>
                <w:sz w:val="21"/>
                <w:szCs w:val="21"/>
                <w:lang w:eastAsia="zh-CN"/>
              </w:rPr>
            </w:pPr>
            <w:r>
              <w:rPr>
                <w:rFonts w:hint="eastAsia" w:hAnsi="Times New Roman" w:eastAsia="宋体"/>
                <w:spacing w:val="-1"/>
                <w:kern w:val="2"/>
                <w:sz w:val="21"/>
                <w:szCs w:val="21"/>
                <w:lang w:eastAsia="zh-CN"/>
              </w:rPr>
              <w:t>0.722</w:t>
            </w:r>
          </w:p>
        </w:tc>
        <w:tc>
          <w:tcPr>
            <w:tcW w:w="784" w:type="pct"/>
            <w:vAlign w:val="center"/>
          </w:tcPr>
          <w:p>
            <w:pPr>
              <w:pStyle w:val="44"/>
              <w:keepNext w:val="0"/>
              <w:keepLines w:val="0"/>
              <w:suppressLineNumbers w:val="0"/>
              <w:overflowPunct w:val="0"/>
              <w:spacing w:before="0" w:beforeAutospacing="0" w:after="0" w:afterAutospacing="0" w:line="260" w:lineRule="exact"/>
              <w:ind w:left="0" w:right="2"/>
              <w:jc w:val="center"/>
              <w:rPr>
                <w:rFonts w:hint="eastAsia" w:hAnsi="Times New Roman" w:eastAsia="宋体"/>
                <w:spacing w:val="-1"/>
                <w:kern w:val="2"/>
                <w:sz w:val="21"/>
                <w:szCs w:val="21"/>
                <w:lang w:eastAsia="zh-CN"/>
              </w:rPr>
            </w:pPr>
            <w:r>
              <w:rPr>
                <w:rFonts w:hint="eastAsia" w:hAnsi="Times New Roman" w:eastAsia="宋体"/>
                <w:spacing w:val="-1"/>
                <w:kern w:val="2"/>
                <w:sz w:val="21"/>
                <w:szCs w:val="21"/>
                <w:lang w:eastAsia="zh-CN"/>
              </w:rPr>
              <w:t>0.092</w:t>
            </w:r>
          </w:p>
        </w:tc>
        <w:tc>
          <w:tcPr>
            <w:tcW w:w="892" w:type="pct"/>
            <w:vAlign w:val="center"/>
          </w:tcPr>
          <w:p>
            <w:pPr>
              <w:pStyle w:val="44"/>
              <w:keepNext w:val="0"/>
              <w:keepLines w:val="0"/>
              <w:suppressLineNumbers w:val="0"/>
              <w:overflowPunct w:val="0"/>
              <w:spacing w:before="0" w:beforeAutospacing="0" w:after="0" w:afterAutospacing="0" w:line="260" w:lineRule="exact"/>
              <w:ind w:left="0" w:right="0"/>
              <w:jc w:val="center"/>
              <w:rPr>
                <w:rFonts w:hint="eastAsia" w:hAnsi="Times New Roman" w:eastAsia="宋体"/>
                <w:spacing w:val="-1"/>
                <w:kern w:val="2"/>
                <w:sz w:val="21"/>
                <w:szCs w:val="21"/>
                <w:lang w:eastAsia="zh-CN"/>
              </w:rPr>
            </w:pPr>
            <w:r>
              <w:rPr>
                <w:rFonts w:hint="eastAsia" w:hAnsi="Times New Roman" w:eastAsia="宋体"/>
                <w:spacing w:val="-2"/>
                <w:kern w:val="2"/>
                <w:sz w:val="21"/>
                <w:szCs w:val="21"/>
                <w:lang w:eastAsia="zh-CN"/>
              </w:rPr>
              <w:t>-0.652</w:t>
            </w:r>
          </w:p>
        </w:tc>
      </w:tr>
    </w:tbl>
    <w:p>
      <w:pPr>
        <w:spacing w:line="360" w:lineRule="auto"/>
        <w:ind w:firstLine="480" w:firstLineChars="200"/>
        <w:rPr>
          <w:rFonts w:hAnsi="Times New Roman" w:eastAsia="宋体"/>
          <w:lang w:eastAsia="zh-CN"/>
        </w:rPr>
      </w:pPr>
    </w:p>
    <w:p>
      <w:pPr>
        <w:spacing w:line="360" w:lineRule="auto"/>
        <w:ind w:firstLine="480" w:firstLineChars="200"/>
        <w:rPr>
          <w:rFonts w:hAnsi="Times New Roman" w:eastAsia="宋体"/>
          <w:lang w:eastAsia="zh-CN"/>
        </w:rPr>
      </w:pPr>
    </w:p>
    <w:p>
      <w:pPr>
        <w:spacing w:line="360" w:lineRule="auto"/>
        <w:ind w:firstLine="480" w:firstLineChars="200"/>
        <w:rPr>
          <w:rFonts w:hAnsi="Times New Roman" w:eastAsia="宋体"/>
          <w:lang w:eastAsia="zh-CN"/>
        </w:rPr>
        <w:sectPr>
          <w:headerReference r:id="rId10" w:type="default"/>
          <w:pgSz w:w="11905" w:h="16838"/>
          <w:pgMar w:top="1440" w:right="1304" w:bottom="1440" w:left="1474" w:header="850" w:footer="992" w:gutter="0"/>
          <w:cols w:space="0" w:num="1"/>
          <w:docGrid w:type="lines" w:linePitch="332" w:charSpace="0"/>
        </w:sectPr>
      </w:pPr>
    </w:p>
    <w:p>
      <w:pPr>
        <w:pStyle w:val="4"/>
        <w:rPr>
          <w:lang w:eastAsia="zh-CN"/>
        </w:rPr>
      </w:pPr>
      <w:bookmarkStart w:id="124" w:name="_Toc163749159"/>
      <w:bookmarkStart w:id="125" w:name="_Toc167095153"/>
      <w:r>
        <w:rPr>
          <w:lang w:eastAsia="zh-CN"/>
        </w:rPr>
        <w:t>3 建设项目区环境概况</w:t>
      </w:r>
      <w:bookmarkEnd w:id="124"/>
      <w:bookmarkEnd w:id="125"/>
    </w:p>
    <w:p>
      <w:pPr>
        <w:pStyle w:val="5"/>
        <w:rPr>
          <w:rFonts w:ascii="Times New Roman" w:hAnsi="Times New Roman"/>
          <w:lang w:eastAsia="zh-CN"/>
        </w:rPr>
      </w:pPr>
      <w:bookmarkStart w:id="126" w:name="_Toc167095154"/>
      <w:bookmarkStart w:id="127" w:name="_Toc163749160"/>
      <w:r>
        <w:rPr>
          <w:rFonts w:ascii="Times New Roman" w:hAnsi="Times New Roman"/>
          <w:lang w:eastAsia="zh-CN"/>
        </w:rPr>
        <w:t>3.1 区域自然环境</w:t>
      </w:r>
      <w:bookmarkEnd w:id="126"/>
      <w:bookmarkEnd w:id="127"/>
    </w:p>
    <w:p>
      <w:pPr>
        <w:pStyle w:val="6"/>
        <w:rPr>
          <w:lang w:eastAsia="zh-CN"/>
        </w:rPr>
      </w:pPr>
      <w:bookmarkStart w:id="128" w:name="_Toc163812532"/>
      <w:bookmarkStart w:id="129" w:name="_Toc167095155"/>
      <w:r>
        <w:rPr>
          <w:lang w:eastAsia="zh-CN"/>
        </w:rPr>
        <w:t>3.1.1 地理位置</w:t>
      </w:r>
      <w:bookmarkEnd w:id="128"/>
      <w:bookmarkEnd w:id="129"/>
    </w:p>
    <w:p>
      <w:pPr>
        <w:spacing w:line="360" w:lineRule="auto"/>
        <w:ind w:firstLine="480" w:firstLineChars="200"/>
        <w:rPr>
          <w:rFonts w:hAnsi="Times New Roman" w:eastAsia="宋体"/>
          <w:lang w:eastAsia="zh-CN"/>
        </w:rPr>
      </w:pPr>
      <w:r>
        <w:rPr>
          <w:rFonts w:hAnsi="Times New Roman" w:eastAsia="宋体"/>
          <w:lang w:eastAsia="zh-CN"/>
        </w:rPr>
        <w:t>达州市宣汉县七里峡煤业有限公司七里峡煤矿，位于宣汉县县城177°方向、直线距离约16km，行政区划隶属</w:t>
      </w:r>
      <w:r>
        <w:rPr>
          <w:rFonts w:hAnsi="Times New Roman" w:eastAsia="宋体"/>
          <w:szCs w:val="22"/>
          <w:lang w:eastAsia="zh-CN"/>
        </w:rPr>
        <w:t>宣汉县天生镇洞宫社区</w:t>
      </w:r>
      <w:r>
        <w:rPr>
          <w:rFonts w:hAnsi="Times New Roman" w:eastAsia="宋体"/>
          <w:lang w:eastAsia="zh-CN"/>
        </w:rPr>
        <w:t>。矿区跨达州市宣汉县、开江县和达川区，工业广场位于</w:t>
      </w:r>
      <w:r>
        <w:rPr>
          <w:rFonts w:hAnsi="Times New Roman" w:eastAsia="宋体"/>
          <w:szCs w:val="22"/>
          <w:lang w:eastAsia="zh-CN"/>
        </w:rPr>
        <w:t>宣汉县天生镇洞宫社区神龙路1号</w:t>
      </w:r>
      <w:r>
        <w:rPr>
          <w:rFonts w:hAnsi="Times New Roman" w:eastAsia="宋体"/>
          <w:lang w:eastAsia="zh-CN"/>
        </w:rPr>
        <w:t>。含峨层山矿区长田井田和开丰井田各一部分。矿区中心地理坐标（2000国家大地坐标系，1985国家高程基准）：东经107°44′17″，北纬31°11′26″。矿区主井口坐标：X=3452875.670m，X=36474596.960m，H=379.00m。</w:t>
      </w:r>
    </w:p>
    <w:p>
      <w:pPr>
        <w:spacing w:line="360" w:lineRule="auto"/>
        <w:ind w:firstLine="480" w:firstLineChars="200"/>
        <w:rPr>
          <w:rFonts w:hAnsi="Times New Roman" w:eastAsia="宋体"/>
          <w:lang w:eastAsia="zh-CN"/>
        </w:rPr>
      </w:pPr>
      <w:r>
        <w:rPr>
          <w:rFonts w:hAnsi="Times New Roman" w:eastAsia="宋体"/>
          <w:lang w:eastAsia="zh-CN"/>
        </w:rPr>
        <w:t>矿区有约0.5km公路与开江至宣汉公路相接，约2.5km公路与七里镇场镇相接，约8km公路与达（达州）万（万州）高速公路相接，距宣汉县城运距约29km，至开江县火电厂运距15km，距达州火车站74km，交通较为方便。项目区域交通位置见附图。</w:t>
      </w:r>
    </w:p>
    <w:p>
      <w:pPr>
        <w:pStyle w:val="6"/>
        <w:rPr>
          <w:lang w:eastAsia="zh-CN"/>
        </w:rPr>
      </w:pPr>
      <w:bookmarkStart w:id="130" w:name="_Toc163812533"/>
      <w:bookmarkStart w:id="131" w:name="_Toc167095156"/>
      <w:r>
        <w:rPr>
          <w:lang w:eastAsia="zh-CN"/>
        </w:rPr>
        <w:t>3.1.2 地形地貌</w:t>
      </w:r>
      <w:bookmarkEnd w:id="130"/>
      <w:bookmarkEnd w:id="131"/>
    </w:p>
    <w:p>
      <w:pPr>
        <w:spacing w:line="360" w:lineRule="auto"/>
        <w:ind w:firstLine="480" w:firstLineChars="200"/>
        <w:rPr>
          <w:rFonts w:hAnsi="Times New Roman" w:eastAsia="宋体"/>
          <w:szCs w:val="24"/>
          <w:lang w:eastAsia="zh-CN"/>
        </w:rPr>
      </w:pPr>
      <w:r>
        <w:rPr>
          <w:rFonts w:hAnsi="Times New Roman" w:eastAsia="宋体"/>
          <w:szCs w:val="24"/>
          <w:lang w:eastAsia="zh-CN"/>
        </w:rPr>
        <w:t>矿区属中等切割的低山区，以构造剥蚀地貌为主。矿区总体地势呈中部低，东西两侧高，为山地地形。矿区一带最高点位于矿区西部马踏坪，海拔+1160m；最低点位于新宁河附近，海拔约+380m，区最大相对高差880m左右。</w:t>
      </w:r>
    </w:p>
    <w:p>
      <w:pPr>
        <w:pStyle w:val="6"/>
        <w:rPr>
          <w:szCs w:val="24"/>
          <w:lang w:eastAsia="zh-CN"/>
        </w:rPr>
      </w:pPr>
      <w:bookmarkStart w:id="132" w:name="_Toc163812534"/>
      <w:bookmarkStart w:id="133" w:name="_Toc167095157"/>
      <w:r>
        <w:rPr>
          <w:szCs w:val="24"/>
          <w:lang w:eastAsia="zh-CN"/>
        </w:rPr>
        <w:t>3.1.3 环境地质特征</w:t>
      </w:r>
      <w:bookmarkEnd w:id="132"/>
      <w:bookmarkEnd w:id="133"/>
    </w:p>
    <w:p>
      <w:pPr>
        <w:spacing w:line="360" w:lineRule="auto"/>
        <w:rPr>
          <w:rFonts w:hAnsi="Times New Roman" w:eastAsia="宋体"/>
          <w:b/>
          <w:bCs/>
          <w:szCs w:val="24"/>
          <w:lang w:eastAsia="zh-CN"/>
        </w:rPr>
      </w:pPr>
      <w:r>
        <w:rPr>
          <w:rFonts w:hAnsi="Times New Roman" w:eastAsia="宋体"/>
          <w:b/>
          <w:bCs/>
          <w:szCs w:val="24"/>
          <w:lang w:eastAsia="zh-CN"/>
        </w:rPr>
        <w:t>3.1.3.1 矿区出露地层</w:t>
      </w:r>
    </w:p>
    <w:p>
      <w:pPr>
        <w:tabs>
          <w:tab w:val="left" w:leader="dot" w:pos="7770"/>
        </w:tabs>
        <w:spacing w:line="360" w:lineRule="auto"/>
        <w:ind w:firstLine="480" w:firstLineChars="200"/>
        <w:rPr>
          <w:rFonts w:hAnsi="Times New Roman" w:eastAsia="宋体"/>
          <w:szCs w:val="24"/>
        </w:rPr>
      </w:pPr>
      <w:r>
        <w:rPr>
          <w:rFonts w:hAnsi="Times New Roman" w:eastAsia="宋体"/>
          <w:szCs w:val="24"/>
        </w:rPr>
        <w:t>矿区出露最老地层为三叠系中统雷口坡组（T</w:t>
      </w:r>
      <w:r>
        <w:rPr>
          <w:rFonts w:hAnsi="Times New Roman" w:eastAsia="宋体"/>
          <w:szCs w:val="24"/>
          <w:vertAlign w:val="subscript"/>
        </w:rPr>
        <w:t>2</w:t>
      </w:r>
      <w:r>
        <w:rPr>
          <w:rFonts w:hAnsi="Times New Roman" w:eastAsia="宋体"/>
          <w:szCs w:val="24"/>
        </w:rPr>
        <w:t>l），最新地层为侏罗系中下统自流井组</w:t>
      </w:r>
      <w:r>
        <w:rPr>
          <w:rFonts w:hAnsi="Times New Roman" w:eastAsia="宋体"/>
          <w:szCs w:val="24"/>
          <w:lang w:val="zh-CN"/>
        </w:rPr>
        <w:t>（J</w:t>
      </w:r>
      <w:r>
        <w:rPr>
          <w:rFonts w:hAnsi="Times New Roman" w:eastAsia="宋体"/>
          <w:szCs w:val="24"/>
          <w:vertAlign w:val="subscript"/>
          <w:lang w:val="zh-CN"/>
        </w:rPr>
        <w:t>1-2</w:t>
      </w:r>
      <w:r>
        <w:rPr>
          <w:rFonts w:hAnsi="Times New Roman" w:eastAsia="宋体"/>
          <w:szCs w:val="24"/>
          <w:lang w:val="zh-CN"/>
        </w:rPr>
        <w:t>z）</w:t>
      </w:r>
      <w:r>
        <w:rPr>
          <w:rFonts w:hAnsi="Times New Roman" w:eastAsia="宋体"/>
          <w:szCs w:val="24"/>
        </w:rPr>
        <w:t>。现将矿区地层按由老到新的地层层序简述如下：</w:t>
      </w:r>
    </w:p>
    <w:p>
      <w:pPr>
        <w:spacing w:line="360" w:lineRule="auto"/>
        <w:ind w:firstLine="482" w:firstLineChars="200"/>
        <w:rPr>
          <w:rFonts w:hAnsi="Times New Roman" w:eastAsia="宋体"/>
          <w:b/>
          <w:szCs w:val="24"/>
        </w:rPr>
      </w:pPr>
      <w:r>
        <w:rPr>
          <w:rFonts w:hAnsi="Times New Roman" w:eastAsia="宋体"/>
          <w:b/>
          <w:szCs w:val="24"/>
          <w:lang w:eastAsia="zh-CN"/>
        </w:rPr>
        <w:t>（1）三叠系中统雷口坡组（T</w:t>
      </w:r>
      <w:r>
        <w:rPr>
          <w:rFonts w:hAnsi="Times New Roman" w:eastAsia="宋体"/>
          <w:b/>
          <w:szCs w:val="24"/>
          <w:vertAlign w:val="subscript"/>
          <w:lang w:eastAsia="zh-CN"/>
        </w:rPr>
        <w:t>2</w:t>
      </w:r>
      <w:r>
        <w:rPr>
          <w:rFonts w:hAnsi="Times New Roman" w:eastAsia="宋体"/>
          <w:b/>
          <w:szCs w:val="24"/>
          <w:lang w:eastAsia="zh-CN"/>
        </w:rPr>
        <w:t>l）</w:t>
      </w:r>
    </w:p>
    <w:p>
      <w:pPr>
        <w:spacing w:line="360" w:lineRule="auto"/>
        <w:ind w:firstLine="555"/>
        <w:rPr>
          <w:rFonts w:hAnsi="Times New Roman" w:eastAsia="宋体"/>
          <w:spacing w:val="-4"/>
          <w:szCs w:val="24"/>
        </w:rPr>
      </w:pPr>
      <w:r>
        <w:rPr>
          <w:rFonts w:hAnsi="Times New Roman" w:eastAsia="宋体"/>
          <w:spacing w:val="-4"/>
          <w:szCs w:val="24"/>
        </w:rPr>
        <w:t>该地层厚约130m，顶部一般为暗灰色、灰黄色泥质石灰岩，偶见腕足类化石；上部为灰、青灰色中厚层灰岩，夹薄层钙质泥岩；下部为棕黄色及黄灰色薄层泥质灰岩和钙质泥岩；底部为浅灰色白云质灰岩及灰黄色钙质泥岩。</w:t>
      </w:r>
    </w:p>
    <w:p>
      <w:pPr>
        <w:spacing w:line="360" w:lineRule="auto"/>
        <w:ind w:firstLine="482" w:firstLineChars="200"/>
        <w:rPr>
          <w:rFonts w:hint="eastAsia" w:hAnsi="Times New Roman" w:eastAsia="宋体"/>
          <w:b/>
          <w:szCs w:val="24"/>
          <w:lang w:eastAsia="zh-CN"/>
        </w:rPr>
      </w:pPr>
      <w:r>
        <w:rPr>
          <w:rFonts w:hAnsi="Times New Roman" w:eastAsia="宋体"/>
          <w:b/>
          <w:szCs w:val="24"/>
          <w:lang w:eastAsia="zh-CN"/>
        </w:rPr>
        <w:t>（2）</w:t>
      </w:r>
      <w:r>
        <w:rPr>
          <w:rFonts w:hAnsi="Times New Roman" w:eastAsia="宋体"/>
          <w:b/>
          <w:szCs w:val="24"/>
        </w:rPr>
        <w:t>三叠系上统须家河组</w:t>
      </w:r>
      <w:r>
        <w:rPr>
          <w:rFonts w:hint="eastAsia" w:hAnsi="Times New Roman" w:eastAsia="宋体"/>
          <w:b/>
          <w:szCs w:val="24"/>
          <w:lang w:eastAsia="zh-CN"/>
        </w:rPr>
        <w:t>（</w:t>
      </w:r>
      <w:r>
        <w:rPr>
          <w:rFonts w:hAnsi="Times New Roman" w:eastAsia="宋体"/>
          <w:b/>
          <w:szCs w:val="24"/>
        </w:rPr>
        <w:t>T</w:t>
      </w:r>
      <w:r>
        <w:rPr>
          <w:rFonts w:hAnsi="Times New Roman" w:eastAsia="宋体"/>
          <w:b/>
          <w:szCs w:val="24"/>
          <w:vertAlign w:val="subscript"/>
        </w:rPr>
        <w:t>3</w:t>
      </w:r>
      <w:r>
        <w:rPr>
          <w:rFonts w:hAnsi="Times New Roman" w:eastAsia="宋体"/>
          <w:b/>
          <w:i/>
          <w:szCs w:val="24"/>
        </w:rPr>
        <w:t>xj</w:t>
      </w:r>
      <w:r>
        <w:rPr>
          <w:rFonts w:hint="eastAsia" w:hAnsi="Times New Roman" w:eastAsia="宋体"/>
          <w:b/>
          <w:i w:val="0"/>
          <w:iCs/>
          <w:szCs w:val="24"/>
          <w:lang w:eastAsia="zh-CN"/>
        </w:rPr>
        <w:t>）</w:t>
      </w:r>
    </w:p>
    <w:p>
      <w:pPr>
        <w:spacing w:line="360" w:lineRule="auto"/>
        <w:ind w:firstLine="480" w:firstLineChars="200"/>
        <w:rPr>
          <w:rFonts w:hAnsi="Times New Roman" w:eastAsia="宋体"/>
          <w:szCs w:val="24"/>
        </w:rPr>
      </w:pPr>
      <w:r>
        <w:rPr>
          <w:rFonts w:hAnsi="Times New Roman" w:eastAsia="宋体"/>
          <w:szCs w:val="24"/>
        </w:rPr>
        <w:t>上三叠统晚期沉积的上三叠统须家河组（T</w:t>
      </w:r>
      <w:r>
        <w:rPr>
          <w:rFonts w:hAnsi="Times New Roman" w:eastAsia="宋体"/>
          <w:szCs w:val="24"/>
          <w:vertAlign w:val="subscript"/>
        </w:rPr>
        <w:t>3</w:t>
      </w:r>
      <w:r>
        <w:rPr>
          <w:rFonts w:hAnsi="Times New Roman" w:eastAsia="宋体"/>
          <w:szCs w:val="24"/>
        </w:rPr>
        <w:t>xj），为一套含煤陆相碎屑沉积岩，属井田含煤地层。按其岩性，岩相特征将本组分为七段，一、三、五、七段为含煤段，其中五、七段为主要含煤段，二、四和六段为砂岩段。按其岩性、岩相特征由下往上为。</w:t>
      </w:r>
    </w:p>
    <w:p>
      <w:pPr>
        <w:pStyle w:val="14"/>
        <w:spacing w:line="360" w:lineRule="auto"/>
        <w:ind w:firstLine="480" w:firstLineChars="200"/>
        <w:rPr>
          <w:rFonts w:hint="eastAsia" w:ascii="Times New Roman" w:hAnsi="Times New Roman" w:eastAsia="宋体"/>
          <w:sz w:val="24"/>
          <w:lang w:eastAsia="zh-CN"/>
        </w:rPr>
      </w:pPr>
      <w:r>
        <w:rPr>
          <w:rFonts w:ascii="Times New Roman" w:hAnsi="Times New Roman"/>
          <w:sz w:val="24"/>
        </w:rPr>
        <w:t>第一段</w:t>
      </w:r>
      <w:r>
        <w:rPr>
          <w:rFonts w:hint="eastAsia" w:ascii="Times New Roman" w:hAnsi="Times New Roman"/>
          <w:sz w:val="24"/>
          <w:lang w:eastAsia="zh-CN"/>
        </w:rPr>
        <w:t>（</w:t>
      </w:r>
      <w:r>
        <w:rPr>
          <w:rFonts w:ascii="Times New Roman" w:hAnsi="Times New Roman"/>
          <w:sz w:val="24"/>
        </w:rPr>
        <w:t>T</w:t>
      </w:r>
      <w:r>
        <w:rPr>
          <w:rFonts w:ascii="Times New Roman" w:hAnsi="Times New Roman"/>
          <w:sz w:val="24"/>
          <w:vertAlign w:val="subscript"/>
        </w:rPr>
        <w:t>3</w:t>
      </w:r>
      <w:r>
        <w:rPr>
          <w:rFonts w:ascii="Times New Roman" w:hAnsi="Times New Roman"/>
          <w:i/>
          <w:sz w:val="24"/>
        </w:rPr>
        <w:t>xj</w:t>
      </w:r>
      <w:r>
        <w:rPr>
          <w:rFonts w:ascii="Times New Roman" w:hAnsi="Times New Roman"/>
          <w:sz w:val="24"/>
          <w:vertAlign w:val="superscript"/>
        </w:rPr>
        <w:t>1</w:t>
      </w:r>
      <w:r>
        <w:rPr>
          <w:rFonts w:hint="eastAsia" w:ascii="Times New Roman" w:hAnsi="Times New Roman"/>
          <w:sz w:val="24"/>
          <w:lang w:eastAsia="zh-CN"/>
        </w:rPr>
        <w:t>）</w:t>
      </w:r>
    </w:p>
    <w:p>
      <w:pPr>
        <w:tabs>
          <w:tab w:val="left" w:leader="dot" w:pos="7770"/>
        </w:tabs>
        <w:spacing w:line="360" w:lineRule="auto"/>
        <w:ind w:firstLine="480" w:firstLineChars="200"/>
        <w:rPr>
          <w:rFonts w:hAnsi="Times New Roman" w:eastAsia="宋体"/>
          <w:szCs w:val="24"/>
        </w:rPr>
      </w:pPr>
      <w:r>
        <w:rPr>
          <w:rFonts w:hAnsi="Times New Roman" w:eastAsia="宋体"/>
          <w:szCs w:val="24"/>
        </w:rPr>
        <w:t>以灰色及深灰色泥岩、粉砂质泥岩为主，夹灰色细砂岩及薄层粉砂岩，含K1煤层及煤线。厚35～55m。与下伏雷口坡组（T</w:t>
      </w:r>
      <w:r>
        <w:rPr>
          <w:rFonts w:hAnsi="Times New Roman" w:eastAsia="宋体"/>
          <w:szCs w:val="24"/>
          <w:vertAlign w:val="subscript"/>
        </w:rPr>
        <w:t>2</w:t>
      </w:r>
      <w:r>
        <w:rPr>
          <w:rFonts w:hAnsi="Times New Roman" w:eastAsia="宋体"/>
          <w:szCs w:val="24"/>
        </w:rPr>
        <w:t>l）为假整合接触。</w:t>
      </w:r>
    </w:p>
    <w:p>
      <w:pPr>
        <w:spacing w:line="360" w:lineRule="auto"/>
        <w:ind w:firstLine="480" w:firstLineChars="200"/>
        <w:rPr>
          <w:rFonts w:hint="eastAsia" w:hAnsi="Times New Roman" w:eastAsia="宋体"/>
          <w:szCs w:val="24"/>
          <w:lang w:eastAsia="zh-CN"/>
        </w:rPr>
      </w:pPr>
      <w:r>
        <w:rPr>
          <w:rFonts w:hAnsi="Times New Roman" w:eastAsia="宋体"/>
          <w:szCs w:val="24"/>
        </w:rPr>
        <w:t>第二段</w:t>
      </w:r>
      <w:r>
        <w:rPr>
          <w:rFonts w:hint="eastAsia" w:hAnsi="Times New Roman" w:eastAsia="宋体"/>
          <w:szCs w:val="24"/>
          <w:lang w:eastAsia="zh-CN"/>
        </w:rPr>
        <w:t>（</w:t>
      </w:r>
      <w:r>
        <w:rPr>
          <w:rFonts w:hAnsi="Times New Roman" w:eastAsia="宋体"/>
          <w:szCs w:val="24"/>
        </w:rPr>
        <w:t>T</w:t>
      </w:r>
      <w:r>
        <w:rPr>
          <w:rFonts w:hAnsi="Times New Roman" w:eastAsia="宋体"/>
          <w:szCs w:val="24"/>
          <w:vertAlign w:val="subscript"/>
        </w:rPr>
        <w:t>3</w:t>
      </w:r>
      <w:r>
        <w:rPr>
          <w:rFonts w:hAnsi="Times New Roman" w:eastAsia="宋体"/>
          <w:i/>
          <w:szCs w:val="24"/>
        </w:rPr>
        <w:t>xj</w:t>
      </w:r>
      <w:r>
        <w:rPr>
          <w:rFonts w:hAnsi="Times New Roman" w:eastAsia="宋体"/>
          <w:szCs w:val="24"/>
          <w:vertAlign w:val="superscript"/>
        </w:rPr>
        <w:t>2</w:t>
      </w:r>
      <w:r>
        <w:rPr>
          <w:rFonts w:hint="eastAsia" w:hAnsi="Times New Roman" w:eastAsia="宋体"/>
          <w:szCs w:val="24"/>
          <w:lang w:eastAsia="zh-CN"/>
        </w:rPr>
        <w:t>）</w:t>
      </w:r>
    </w:p>
    <w:p>
      <w:pPr>
        <w:pStyle w:val="14"/>
        <w:spacing w:line="360" w:lineRule="auto"/>
        <w:ind w:firstLine="480" w:firstLineChars="200"/>
        <w:rPr>
          <w:rFonts w:ascii="Times New Roman" w:hAnsi="Times New Roman"/>
          <w:sz w:val="24"/>
        </w:rPr>
      </w:pPr>
      <w:r>
        <w:rPr>
          <w:rFonts w:ascii="Times New Roman" w:hAnsi="Times New Roman"/>
          <w:sz w:val="24"/>
        </w:rPr>
        <w:t xml:space="preserve">上部为灰黄色中厚层状细至中粒长石石英砂岩，中部夹薄层灰色砂质泥岩、黄灰色薄层粉砂岩及深灰色泥岩，夹煤线及炭质泥岩数层。斜层理发育，常见硅化木和泥质包裹体。厚度大约170m。 </w:t>
      </w:r>
    </w:p>
    <w:p>
      <w:pPr>
        <w:spacing w:line="360" w:lineRule="auto"/>
        <w:ind w:firstLine="480" w:firstLineChars="200"/>
        <w:rPr>
          <w:rFonts w:hint="eastAsia" w:hAnsi="Times New Roman" w:eastAsia="宋体"/>
          <w:szCs w:val="24"/>
          <w:lang w:eastAsia="zh-CN"/>
        </w:rPr>
      </w:pPr>
      <w:r>
        <w:rPr>
          <w:rFonts w:hAnsi="Times New Roman" w:eastAsia="宋体"/>
          <w:szCs w:val="24"/>
        </w:rPr>
        <w:t>第三段</w:t>
      </w:r>
      <w:r>
        <w:rPr>
          <w:rFonts w:hint="eastAsia" w:hAnsi="Times New Roman" w:eastAsia="宋体"/>
          <w:szCs w:val="24"/>
          <w:lang w:eastAsia="zh-CN"/>
        </w:rPr>
        <w:t>（</w:t>
      </w:r>
      <w:r>
        <w:rPr>
          <w:rFonts w:hAnsi="Times New Roman" w:eastAsia="宋体"/>
          <w:szCs w:val="24"/>
        </w:rPr>
        <w:t>T</w:t>
      </w:r>
      <w:r>
        <w:rPr>
          <w:rFonts w:hAnsi="Times New Roman" w:eastAsia="宋体"/>
          <w:szCs w:val="24"/>
          <w:vertAlign w:val="subscript"/>
        </w:rPr>
        <w:t>3</w:t>
      </w:r>
      <w:r>
        <w:rPr>
          <w:rFonts w:hAnsi="Times New Roman" w:eastAsia="宋体"/>
          <w:i/>
          <w:szCs w:val="24"/>
        </w:rPr>
        <w:t>xj</w:t>
      </w:r>
      <w:r>
        <w:rPr>
          <w:rFonts w:hAnsi="Times New Roman" w:eastAsia="宋体"/>
          <w:szCs w:val="24"/>
          <w:vertAlign w:val="superscript"/>
        </w:rPr>
        <w:t>3</w:t>
      </w:r>
      <w:r>
        <w:rPr>
          <w:rFonts w:hint="eastAsia" w:hAnsi="Times New Roman" w:eastAsia="宋体"/>
          <w:szCs w:val="24"/>
          <w:lang w:eastAsia="zh-CN"/>
        </w:rPr>
        <w:t>）</w:t>
      </w:r>
    </w:p>
    <w:p>
      <w:pPr>
        <w:tabs>
          <w:tab w:val="left" w:leader="dot" w:pos="7770"/>
        </w:tabs>
        <w:spacing w:line="360" w:lineRule="auto"/>
        <w:ind w:firstLine="480" w:firstLineChars="200"/>
        <w:rPr>
          <w:rFonts w:hAnsi="Times New Roman" w:eastAsia="宋体"/>
          <w:szCs w:val="24"/>
        </w:rPr>
      </w:pPr>
      <w:r>
        <w:rPr>
          <w:rFonts w:hAnsi="Times New Roman" w:eastAsia="宋体"/>
          <w:szCs w:val="24"/>
        </w:rPr>
        <w:t>为灰色、深灰色泥岩，砂质泥岩，炭质泥岩、煤及薄至中厚层状砂岩、粉砂岩等组成，含煤层（线）。平均厚59m。</w:t>
      </w:r>
    </w:p>
    <w:p>
      <w:pPr>
        <w:spacing w:line="360" w:lineRule="auto"/>
        <w:ind w:firstLine="480" w:firstLineChars="200"/>
        <w:rPr>
          <w:rFonts w:hint="eastAsia" w:hAnsi="Times New Roman" w:eastAsia="宋体"/>
          <w:szCs w:val="24"/>
          <w:lang w:eastAsia="zh-CN"/>
        </w:rPr>
      </w:pPr>
      <w:r>
        <w:rPr>
          <w:rFonts w:hAnsi="Times New Roman" w:eastAsia="宋体"/>
          <w:szCs w:val="24"/>
        </w:rPr>
        <w:t>第四段</w:t>
      </w:r>
      <w:r>
        <w:rPr>
          <w:rFonts w:hint="eastAsia" w:hAnsi="Times New Roman" w:eastAsia="宋体"/>
          <w:szCs w:val="24"/>
          <w:lang w:eastAsia="zh-CN"/>
        </w:rPr>
        <w:t>（</w:t>
      </w:r>
      <w:r>
        <w:rPr>
          <w:rFonts w:hAnsi="Times New Roman" w:eastAsia="宋体"/>
          <w:szCs w:val="24"/>
        </w:rPr>
        <w:t>T</w:t>
      </w:r>
      <w:r>
        <w:rPr>
          <w:rFonts w:hAnsi="Times New Roman" w:eastAsia="宋体"/>
          <w:szCs w:val="24"/>
          <w:vertAlign w:val="subscript"/>
        </w:rPr>
        <w:t>3</w:t>
      </w:r>
      <w:r>
        <w:rPr>
          <w:rFonts w:hAnsi="Times New Roman" w:eastAsia="宋体"/>
          <w:i/>
          <w:szCs w:val="24"/>
        </w:rPr>
        <w:t>xj</w:t>
      </w:r>
      <w:r>
        <w:rPr>
          <w:rFonts w:hAnsi="Times New Roman" w:eastAsia="宋体"/>
          <w:szCs w:val="24"/>
          <w:vertAlign w:val="superscript"/>
        </w:rPr>
        <w:t>4</w:t>
      </w:r>
      <w:r>
        <w:rPr>
          <w:rFonts w:hint="eastAsia" w:hAnsi="Times New Roman" w:eastAsia="宋体"/>
          <w:szCs w:val="24"/>
          <w:lang w:eastAsia="zh-CN"/>
        </w:rPr>
        <w:t>）</w:t>
      </w:r>
    </w:p>
    <w:p>
      <w:pPr>
        <w:tabs>
          <w:tab w:val="left" w:leader="dot" w:pos="7770"/>
        </w:tabs>
        <w:spacing w:line="360" w:lineRule="auto"/>
        <w:ind w:firstLine="480" w:firstLineChars="200"/>
        <w:rPr>
          <w:rFonts w:hAnsi="Times New Roman" w:eastAsia="宋体"/>
          <w:szCs w:val="24"/>
        </w:rPr>
      </w:pPr>
      <w:r>
        <w:rPr>
          <w:rFonts w:hAnsi="Times New Roman" w:eastAsia="宋体"/>
          <w:szCs w:val="24"/>
        </w:rPr>
        <w:t>主要由灰色及黄灰色中粒砂岩组成。顶部为薄层至中厚层状，中上部为厚层状，主要矿物</w:t>
      </w:r>
      <w:r>
        <w:rPr>
          <w:rFonts w:hint="eastAsia" w:hAnsi="Times New Roman" w:eastAsia="宋体"/>
          <w:szCs w:val="24"/>
          <w:lang w:eastAsia="zh-CN"/>
        </w:rPr>
        <w:t>成分</w:t>
      </w:r>
      <w:r>
        <w:rPr>
          <w:rFonts w:hAnsi="Times New Roman" w:eastAsia="宋体"/>
          <w:szCs w:val="24"/>
        </w:rPr>
        <w:t>为长石石英，含少量暗色矿物，致密坚硬，含泥质包裹体和砾石，泥质胶结，斜层理及交错层理发育，平均厚85m。</w:t>
      </w:r>
    </w:p>
    <w:p>
      <w:pPr>
        <w:spacing w:line="360" w:lineRule="auto"/>
        <w:ind w:firstLine="480" w:firstLineChars="200"/>
        <w:rPr>
          <w:rFonts w:hint="eastAsia" w:hAnsi="Times New Roman" w:eastAsia="宋体"/>
          <w:szCs w:val="24"/>
          <w:lang w:eastAsia="zh-CN"/>
        </w:rPr>
      </w:pPr>
      <w:r>
        <w:rPr>
          <w:rFonts w:hAnsi="Times New Roman" w:eastAsia="宋体"/>
          <w:szCs w:val="24"/>
        </w:rPr>
        <w:t>第五段</w:t>
      </w:r>
      <w:r>
        <w:rPr>
          <w:rFonts w:hint="eastAsia" w:hAnsi="Times New Roman" w:eastAsia="宋体"/>
          <w:szCs w:val="24"/>
          <w:lang w:eastAsia="zh-CN"/>
        </w:rPr>
        <w:t>（</w:t>
      </w:r>
      <w:r>
        <w:rPr>
          <w:rFonts w:hAnsi="Times New Roman" w:eastAsia="宋体"/>
          <w:szCs w:val="24"/>
        </w:rPr>
        <w:t>T</w:t>
      </w:r>
      <w:r>
        <w:rPr>
          <w:rFonts w:hAnsi="Times New Roman" w:eastAsia="宋体"/>
          <w:szCs w:val="24"/>
          <w:vertAlign w:val="subscript"/>
        </w:rPr>
        <w:t>3</w:t>
      </w:r>
      <w:r>
        <w:rPr>
          <w:rFonts w:hAnsi="Times New Roman" w:eastAsia="宋体"/>
          <w:i/>
          <w:szCs w:val="24"/>
        </w:rPr>
        <w:t>xj</w:t>
      </w:r>
      <w:r>
        <w:rPr>
          <w:rFonts w:hAnsi="Times New Roman" w:eastAsia="宋体"/>
          <w:szCs w:val="24"/>
          <w:vertAlign w:val="superscript"/>
        </w:rPr>
        <w:t>5</w:t>
      </w:r>
      <w:r>
        <w:rPr>
          <w:rFonts w:hint="eastAsia" w:hAnsi="Times New Roman" w:eastAsia="宋体"/>
          <w:szCs w:val="24"/>
          <w:lang w:eastAsia="zh-CN"/>
        </w:rPr>
        <w:t>）</w:t>
      </w:r>
    </w:p>
    <w:p>
      <w:pPr>
        <w:tabs>
          <w:tab w:val="left" w:leader="dot" w:pos="7770"/>
        </w:tabs>
        <w:spacing w:line="360" w:lineRule="auto"/>
        <w:ind w:firstLine="480" w:firstLineChars="200"/>
        <w:rPr>
          <w:rFonts w:hAnsi="Times New Roman" w:eastAsia="宋体"/>
          <w:szCs w:val="24"/>
        </w:rPr>
      </w:pPr>
      <w:r>
        <w:rPr>
          <w:rFonts w:hAnsi="Times New Roman" w:eastAsia="宋体"/>
          <w:szCs w:val="24"/>
        </w:rPr>
        <w:t>主要由灰色和深灰色泥岩、粉砂质泥岩、炭质泥岩和薄煤层（煤线）组成，间夹数层厚度不等的灰色粉砂岩和细粒砂岩。含大量植物化石，含K</w:t>
      </w:r>
      <w:r>
        <w:rPr>
          <w:rFonts w:hAnsi="Times New Roman" w:eastAsia="宋体"/>
          <w:szCs w:val="24"/>
          <w:vertAlign w:val="subscript"/>
        </w:rPr>
        <w:t>4</w:t>
      </w:r>
      <w:r>
        <w:rPr>
          <w:rFonts w:hAnsi="Times New Roman" w:eastAsia="宋体"/>
          <w:szCs w:val="24"/>
        </w:rPr>
        <w:t>、K</w:t>
      </w:r>
      <w:r>
        <w:rPr>
          <w:rFonts w:hAnsi="Times New Roman" w:eastAsia="宋体"/>
          <w:szCs w:val="24"/>
          <w:vertAlign w:val="subscript"/>
        </w:rPr>
        <w:t>5</w:t>
      </w:r>
      <w:r>
        <w:rPr>
          <w:rFonts w:hAnsi="Times New Roman" w:eastAsia="宋体"/>
          <w:szCs w:val="24"/>
        </w:rPr>
        <w:t>、K</w:t>
      </w:r>
      <w:r>
        <w:rPr>
          <w:rFonts w:hAnsi="Times New Roman" w:eastAsia="宋体"/>
          <w:szCs w:val="24"/>
          <w:vertAlign w:val="subscript"/>
        </w:rPr>
        <w:t>5-1</w:t>
      </w:r>
      <w:r>
        <w:rPr>
          <w:rFonts w:hAnsi="Times New Roman" w:eastAsia="宋体"/>
          <w:szCs w:val="24"/>
        </w:rPr>
        <w:t>、K</w:t>
      </w:r>
      <w:r>
        <w:rPr>
          <w:rFonts w:hAnsi="Times New Roman" w:eastAsia="宋体"/>
          <w:szCs w:val="24"/>
          <w:vertAlign w:val="subscript"/>
        </w:rPr>
        <w:t>6</w:t>
      </w:r>
      <w:r>
        <w:rPr>
          <w:rFonts w:hAnsi="Times New Roman" w:eastAsia="宋体"/>
          <w:szCs w:val="24"/>
        </w:rPr>
        <w:t>和K</w:t>
      </w:r>
      <w:r>
        <w:rPr>
          <w:rFonts w:hAnsi="Times New Roman" w:eastAsia="宋体"/>
          <w:szCs w:val="24"/>
          <w:vertAlign w:val="subscript"/>
        </w:rPr>
        <w:t>8</w:t>
      </w:r>
      <w:r>
        <w:rPr>
          <w:rFonts w:hAnsi="Times New Roman" w:eastAsia="宋体"/>
          <w:szCs w:val="24"/>
        </w:rPr>
        <w:t>煤层。厚50m左右。</w:t>
      </w:r>
    </w:p>
    <w:p>
      <w:pPr>
        <w:spacing w:line="360" w:lineRule="auto"/>
        <w:ind w:firstLine="480" w:firstLineChars="200"/>
        <w:rPr>
          <w:rFonts w:hint="eastAsia" w:hAnsi="Times New Roman" w:eastAsia="宋体"/>
          <w:szCs w:val="24"/>
          <w:lang w:eastAsia="zh-CN"/>
        </w:rPr>
      </w:pPr>
      <w:r>
        <w:rPr>
          <w:rFonts w:hAnsi="Times New Roman" w:eastAsia="宋体"/>
          <w:szCs w:val="24"/>
        </w:rPr>
        <w:t>第六段</w:t>
      </w:r>
      <w:r>
        <w:rPr>
          <w:rFonts w:hint="eastAsia" w:hAnsi="Times New Roman" w:eastAsia="宋体"/>
          <w:szCs w:val="24"/>
          <w:lang w:eastAsia="zh-CN"/>
        </w:rPr>
        <w:t>（</w:t>
      </w:r>
      <w:r>
        <w:rPr>
          <w:rFonts w:hAnsi="Times New Roman" w:eastAsia="宋体"/>
          <w:szCs w:val="24"/>
        </w:rPr>
        <w:t>T</w:t>
      </w:r>
      <w:r>
        <w:rPr>
          <w:rFonts w:hAnsi="Times New Roman" w:eastAsia="宋体"/>
          <w:szCs w:val="24"/>
          <w:vertAlign w:val="subscript"/>
        </w:rPr>
        <w:t>3</w:t>
      </w:r>
      <w:r>
        <w:rPr>
          <w:rFonts w:hAnsi="Times New Roman" w:eastAsia="宋体"/>
          <w:i/>
          <w:szCs w:val="24"/>
        </w:rPr>
        <w:t>xj</w:t>
      </w:r>
      <w:r>
        <w:rPr>
          <w:rFonts w:hAnsi="Times New Roman" w:eastAsia="宋体"/>
          <w:szCs w:val="24"/>
          <w:vertAlign w:val="superscript"/>
        </w:rPr>
        <w:t>6</w:t>
      </w:r>
      <w:r>
        <w:rPr>
          <w:rFonts w:hint="eastAsia" w:hAnsi="Times New Roman" w:eastAsia="宋体"/>
          <w:szCs w:val="24"/>
          <w:lang w:eastAsia="zh-CN"/>
        </w:rPr>
        <w:t>）</w:t>
      </w:r>
    </w:p>
    <w:p>
      <w:pPr>
        <w:tabs>
          <w:tab w:val="left" w:leader="dot" w:pos="7770"/>
        </w:tabs>
        <w:spacing w:line="360" w:lineRule="auto"/>
        <w:ind w:firstLine="480" w:firstLineChars="200"/>
        <w:rPr>
          <w:rFonts w:hAnsi="Times New Roman" w:eastAsia="宋体"/>
          <w:szCs w:val="24"/>
        </w:rPr>
      </w:pPr>
      <w:r>
        <w:rPr>
          <w:rFonts w:hAnsi="Times New Roman" w:eastAsia="宋体"/>
          <w:szCs w:val="24"/>
        </w:rPr>
        <w:t>上部以灰色、灰黄色中厚层至厚层状细粒长石石英砂岩为主，夹有灰色砂质泥岩、泥岩及薄层状粉砂岩和煤线。下部为浅灰色、黄灰色厚层状中粒长石石英砂岩，含黑色矿物较多；底部为灰色及灰黄色巨厚层状粗粒长石石英砂岩，含少量砾石。本段砂岩一般为泥质，局部为铁质胶结，较松散，粗细不均，分选性差，含泥质包体及炭屑。平均厚64m。</w:t>
      </w:r>
    </w:p>
    <w:p>
      <w:pPr>
        <w:spacing w:line="360" w:lineRule="auto"/>
        <w:ind w:firstLine="480" w:firstLineChars="200"/>
        <w:rPr>
          <w:rFonts w:hint="eastAsia" w:hAnsi="Times New Roman" w:eastAsia="宋体"/>
          <w:szCs w:val="24"/>
          <w:lang w:eastAsia="zh-CN"/>
        </w:rPr>
      </w:pPr>
      <w:r>
        <w:rPr>
          <w:rFonts w:hAnsi="Times New Roman" w:eastAsia="宋体"/>
          <w:szCs w:val="24"/>
        </w:rPr>
        <w:t>第</w:t>
      </w:r>
      <w:r>
        <w:rPr>
          <w:rFonts w:hAnsi="Times New Roman" w:eastAsia="宋体"/>
          <w:szCs w:val="24"/>
          <w:lang w:eastAsia="zh-CN"/>
        </w:rPr>
        <w:t>七</w:t>
      </w:r>
      <w:r>
        <w:rPr>
          <w:rFonts w:hAnsi="Times New Roman" w:eastAsia="宋体"/>
          <w:szCs w:val="24"/>
        </w:rPr>
        <w:t>段</w:t>
      </w:r>
      <w:r>
        <w:rPr>
          <w:rFonts w:hint="eastAsia" w:hAnsi="Times New Roman" w:eastAsia="宋体"/>
          <w:szCs w:val="24"/>
          <w:lang w:eastAsia="zh-CN"/>
        </w:rPr>
        <w:t>（</w:t>
      </w:r>
      <w:r>
        <w:rPr>
          <w:rFonts w:hAnsi="Times New Roman" w:eastAsia="宋体"/>
          <w:szCs w:val="24"/>
        </w:rPr>
        <w:t>T</w:t>
      </w:r>
      <w:r>
        <w:rPr>
          <w:rFonts w:hAnsi="Times New Roman" w:eastAsia="宋体"/>
          <w:szCs w:val="24"/>
          <w:vertAlign w:val="subscript"/>
        </w:rPr>
        <w:t>3</w:t>
      </w:r>
      <w:r>
        <w:rPr>
          <w:rFonts w:hAnsi="Times New Roman" w:eastAsia="宋体"/>
          <w:i/>
          <w:szCs w:val="24"/>
        </w:rPr>
        <w:t>xj</w:t>
      </w:r>
      <w:r>
        <w:rPr>
          <w:rFonts w:hAnsi="Times New Roman" w:eastAsia="宋体"/>
          <w:szCs w:val="24"/>
          <w:vertAlign w:val="superscript"/>
          <w:lang w:eastAsia="zh-CN"/>
        </w:rPr>
        <w:t>7</w:t>
      </w:r>
      <w:r>
        <w:rPr>
          <w:rFonts w:hint="eastAsia" w:hAnsi="Times New Roman" w:eastAsia="宋体"/>
          <w:szCs w:val="24"/>
          <w:lang w:eastAsia="zh-CN"/>
        </w:rPr>
        <w:t>）</w:t>
      </w:r>
    </w:p>
    <w:p>
      <w:pPr>
        <w:tabs>
          <w:tab w:val="left" w:leader="dot" w:pos="7770"/>
        </w:tabs>
        <w:spacing w:line="360" w:lineRule="auto"/>
        <w:ind w:firstLine="480" w:firstLineChars="200"/>
        <w:rPr>
          <w:rFonts w:hAnsi="Times New Roman" w:eastAsia="宋体"/>
          <w:szCs w:val="24"/>
        </w:rPr>
      </w:pPr>
      <w:r>
        <w:rPr>
          <w:rFonts w:hAnsi="Times New Roman" w:eastAsia="宋体"/>
          <w:szCs w:val="24"/>
        </w:rPr>
        <w:t>上部为灰色及灰黑色泥岩、砂质泥岩为主夹粉砂岩。中部为灰色细粒砂岩及中粒砂岩。下部为深灰色泥岩、粉砂质泥岩夹粉砂岩，含K9和K10煤层。平均厚75m。</w:t>
      </w:r>
    </w:p>
    <w:p>
      <w:pPr>
        <w:tabs>
          <w:tab w:val="left" w:leader="dot" w:pos="7770"/>
        </w:tabs>
        <w:spacing w:line="360" w:lineRule="auto"/>
        <w:ind w:firstLine="480" w:firstLineChars="200"/>
        <w:rPr>
          <w:rFonts w:hAnsi="Times New Roman" w:eastAsia="宋体"/>
          <w:szCs w:val="24"/>
        </w:rPr>
      </w:pPr>
      <w:r>
        <w:rPr>
          <w:rFonts w:hAnsi="Times New Roman" w:eastAsia="宋体"/>
          <w:szCs w:val="24"/>
        </w:rPr>
        <w:t>煤系地层划分及含煤情况详见插图</w:t>
      </w:r>
      <w:r>
        <w:rPr>
          <w:rFonts w:hAnsi="Times New Roman" w:eastAsia="宋体"/>
          <w:szCs w:val="24"/>
          <w:lang w:eastAsia="zh-CN"/>
        </w:rPr>
        <w:t>1.3</w:t>
      </w:r>
      <w:r>
        <w:rPr>
          <w:rFonts w:hAnsi="Times New Roman" w:eastAsia="宋体"/>
          <w:szCs w:val="24"/>
        </w:rPr>
        <w:t>-1。</w:t>
      </w:r>
    </w:p>
    <w:p>
      <w:pPr>
        <w:spacing w:line="360" w:lineRule="auto"/>
        <w:ind w:firstLine="482" w:firstLineChars="200"/>
        <w:rPr>
          <w:rFonts w:hAnsi="Times New Roman" w:eastAsia="宋体"/>
          <w:b/>
          <w:szCs w:val="24"/>
        </w:rPr>
      </w:pPr>
      <w:r>
        <w:rPr>
          <w:rFonts w:hAnsi="Times New Roman" w:eastAsia="宋体"/>
          <w:b/>
          <w:szCs w:val="24"/>
          <w:lang w:val="zh-CN"/>
        </w:rPr>
        <w:t>（</w:t>
      </w:r>
      <w:r>
        <w:rPr>
          <w:rFonts w:hAnsi="Times New Roman" w:eastAsia="宋体"/>
          <w:b/>
          <w:szCs w:val="24"/>
          <w:lang w:eastAsia="zh-CN"/>
        </w:rPr>
        <w:t>3</w:t>
      </w:r>
      <w:r>
        <w:rPr>
          <w:rFonts w:hAnsi="Times New Roman" w:eastAsia="宋体"/>
          <w:b/>
          <w:szCs w:val="24"/>
          <w:lang w:val="zh-CN"/>
        </w:rPr>
        <w:t>）侏罗系下统珍珠冲组（J</w:t>
      </w:r>
      <w:r>
        <w:rPr>
          <w:rFonts w:hAnsi="Times New Roman" w:eastAsia="宋体"/>
          <w:b/>
          <w:szCs w:val="24"/>
          <w:vertAlign w:val="subscript"/>
          <w:lang w:val="zh-CN"/>
        </w:rPr>
        <w:t>1</w:t>
      </w:r>
      <w:r>
        <w:rPr>
          <w:rFonts w:hAnsi="Times New Roman" w:eastAsia="宋体"/>
          <w:b/>
          <w:szCs w:val="24"/>
          <w:lang w:val="zh-CN"/>
        </w:rPr>
        <w:t>zh）</w:t>
      </w:r>
    </w:p>
    <w:p>
      <w:pPr>
        <w:tabs>
          <w:tab w:val="left" w:leader="dot" w:pos="7770"/>
        </w:tabs>
        <w:spacing w:line="360" w:lineRule="auto"/>
        <w:ind w:firstLine="480" w:firstLineChars="200"/>
        <w:rPr>
          <w:rFonts w:hAnsi="Times New Roman" w:eastAsia="宋体"/>
          <w:szCs w:val="24"/>
        </w:rPr>
      </w:pPr>
      <w:r>
        <w:rPr>
          <w:rFonts w:hAnsi="Times New Roman" w:eastAsia="宋体"/>
          <w:szCs w:val="24"/>
        </w:rPr>
        <w:t>上部为灰～灰绿色细～中粒长石石英砂岩；中部为灰色局部为紫红色泥岩，泥质粉砂岩；下部为灰色中厚层状细粒长石石英砂岩。该组与下伏三叠系上统须家河组为假整合接触。厚约180m。</w:t>
      </w:r>
    </w:p>
    <w:p>
      <w:pPr>
        <w:spacing w:line="360" w:lineRule="auto"/>
        <w:ind w:firstLine="482" w:firstLineChars="200"/>
        <w:rPr>
          <w:rFonts w:hAnsi="Times New Roman" w:eastAsia="宋体"/>
          <w:b/>
          <w:szCs w:val="24"/>
          <w:lang w:val="zh-CN"/>
        </w:rPr>
      </w:pPr>
      <w:r>
        <w:rPr>
          <w:rFonts w:hAnsi="Times New Roman" w:eastAsia="宋体"/>
          <w:b/>
          <w:szCs w:val="24"/>
          <w:lang w:val="zh-CN"/>
        </w:rPr>
        <w:t>（</w:t>
      </w:r>
      <w:r>
        <w:rPr>
          <w:rFonts w:hAnsi="Times New Roman" w:eastAsia="宋体"/>
          <w:b/>
          <w:szCs w:val="24"/>
          <w:lang w:eastAsia="zh-CN"/>
        </w:rPr>
        <w:t>4</w:t>
      </w:r>
      <w:r>
        <w:rPr>
          <w:rFonts w:hAnsi="Times New Roman" w:eastAsia="宋体"/>
          <w:b/>
          <w:szCs w:val="24"/>
          <w:lang w:val="zh-CN"/>
        </w:rPr>
        <w:t>）侏罗系中下统自流井组（J</w:t>
      </w:r>
      <w:r>
        <w:rPr>
          <w:rFonts w:hAnsi="Times New Roman" w:eastAsia="宋体"/>
          <w:b/>
          <w:szCs w:val="24"/>
          <w:vertAlign w:val="subscript"/>
          <w:lang w:val="zh-CN"/>
        </w:rPr>
        <w:t>1-2</w:t>
      </w:r>
      <w:r>
        <w:rPr>
          <w:rFonts w:hAnsi="Times New Roman" w:eastAsia="宋体"/>
          <w:b/>
          <w:szCs w:val="24"/>
          <w:lang w:val="zh-CN"/>
        </w:rPr>
        <w:t>z）</w:t>
      </w:r>
    </w:p>
    <w:p>
      <w:pPr>
        <w:tabs>
          <w:tab w:val="left" w:leader="dot" w:pos="7770"/>
        </w:tabs>
        <w:spacing w:line="360" w:lineRule="auto"/>
        <w:ind w:firstLine="480" w:firstLineChars="200"/>
        <w:rPr>
          <w:rFonts w:hAnsi="Times New Roman" w:eastAsia="宋体"/>
          <w:szCs w:val="24"/>
        </w:rPr>
      </w:pPr>
      <w:r>
        <w:rPr>
          <w:rFonts w:hAnsi="Times New Roman" w:eastAsia="宋体"/>
          <w:szCs w:val="24"/>
        </w:rPr>
        <w:t>本组可分为三段，从上到下为：</w:t>
      </w:r>
    </w:p>
    <w:p>
      <w:pPr>
        <w:tabs>
          <w:tab w:val="left" w:leader="dot" w:pos="7770"/>
        </w:tabs>
        <w:spacing w:line="360" w:lineRule="auto"/>
        <w:ind w:firstLine="480" w:firstLineChars="200"/>
        <w:rPr>
          <w:rFonts w:hAnsi="Times New Roman" w:eastAsia="宋体"/>
          <w:szCs w:val="24"/>
        </w:rPr>
      </w:pPr>
      <w:r>
        <w:rPr>
          <w:rFonts w:hAnsi="Times New Roman" w:eastAsia="宋体"/>
          <w:szCs w:val="24"/>
        </w:rPr>
        <w:t>大安寨段（J</w:t>
      </w:r>
      <w:r>
        <w:rPr>
          <w:rFonts w:hAnsi="Times New Roman" w:eastAsia="宋体"/>
          <w:szCs w:val="24"/>
          <w:vertAlign w:val="subscript"/>
        </w:rPr>
        <w:t>1-2</w:t>
      </w:r>
      <w:r>
        <w:rPr>
          <w:rFonts w:hAnsi="Times New Roman" w:eastAsia="宋体"/>
          <w:szCs w:val="24"/>
        </w:rPr>
        <w:t>z</w:t>
      </w:r>
      <w:r>
        <w:rPr>
          <w:rFonts w:hAnsi="Times New Roman" w:eastAsia="宋体"/>
          <w:szCs w:val="24"/>
          <w:vertAlign w:val="superscript"/>
        </w:rPr>
        <w:t>3</w:t>
      </w:r>
      <w:r>
        <w:rPr>
          <w:rFonts w:hAnsi="Times New Roman" w:eastAsia="宋体"/>
          <w:szCs w:val="24"/>
        </w:rPr>
        <w:t>）：本段为深灰色泥岩为主。间夹数层灰色灰岩和生物碎屑灰岩。夹数层厚0.2～1.0m的土黄、黄褐色泥灰岩、泥岩及页岩。</w:t>
      </w:r>
    </w:p>
    <w:p>
      <w:pPr>
        <w:tabs>
          <w:tab w:val="left" w:leader="dot" w:pos="7770"/>
        </w:tabs>
        <w:spacing w:line="360" w:lineRule="auto"/>
        <w:ind w:firstLine="480" w:firstLineChars="200"/>
        <w:rPr>
          <w:rFonts w:hAnsi="Times New Roman" w:eastAsia="宋体"/>
          <w:szCs w:val="24"/>
        </w:rPr>
      </w:pPr>
      <w:r>
        <w:rPr>
          <w:rFonts w:hAnsi="Times New Roman" w:eastAsia="宋体"/>
          <w:szCs w:val="24"/>
        </w:rPr>
        <w:t>马鞍山段（J</w:t>
      </w:r>
      <w:r>
        <w:rPr>
          <w:rFonts w:hAnsi="Times New Roman" w:eastAsia="宋体"/>
          <w:szCs w:val="24"/>
          <w:vertAlign w:val="subscript"/>
        </w:rPr>
        <w:t>1-2</w:t>
      </w:r>
      <w:r>
        <w:rPr>
          <w:rFonts w:hAnsi="Times New Roman" w:eastAsia="宋体"/>
          <w:szCs w:val="24"/>
        </w:rPr>
        <w:t>z</w:t>
      </w:r>
      <w:r>
        <w:rPr>
          <w:rFonts w:hAnsi="Times New Roman" w:eastAsia="宋体"/>
          <w:szCs w:val="24"/>
          <w:vertAlign w:val="superscript"/>
        </w:rPr>
        <w:t>2</w:t>
      </w:r>
      <w:r>
        <w:rPr>
          <w:rFonts w:hAnsi="Times New Roman" w:eastAsia="宋体"/>
          <w:szCs w:val="24"/>
        </w:rPr>
        <w:t>）：主要由灰色泥岩、粉砂质泥岩组成。其中夹多层灰色钙质粉砂岩。</w:t>
      </w:r>
    </w:p>
    <w:p>
      <w:pPr>
        <w:tabs>
          <w:tab w:val="left" w:leader="dot" w:pos="7770"/>
        </w:tabs>
        <w:spacing w:line="360" w:lineRule="auto"/>
        <w:ind w:firstLine="480" w:firstLineChars="200"/>
        <w:rPr>
          <w:rFonts w:hAnsi="Times New Roman" w:eastAsia="宋体"/>
          <w:szCs w:val="24"/>
        </w:rPr>
      </w:pPr>
      <w:r>
        <w:rPr>
          <w:rFonts w:hAnsi="Times New Roman" w:eastAsia="宋体"/>
          <w:szCs w:val="24"/>
        </w:rPr>
        <w:t>东岳庙段（J</w:t>
      </w:r>
      <w:r>
        <w:rPr>
          <w:rFonts w:hAnsi="Times New Roman" w:eastAsia="宋体"/>
          <w:szCs w:val="24"/>
          <w:vertAlign w:val="subscript"/>
        </w:rPr>
        <w:t>1-2</w:t>
      </w:r>
      <w:r>
        <w:rPr>
          <w:rFonts w:hAnsi="Times New Roman" w:eastAsia="宋体"/>
          <w:szCs w:val="24"/>
        </w:rPr>
        <w:t>z</w:t>
      </w:r>
      <w:r>
        <w:rPr>
          <w:rFonts w:hAnsi="Times New Roman" w:eastAsia="宋体"/>
          <w:szCs w:val="24"/>
          <w:vertAlign w:val="superscript"/>
        </w:rPr>
        <w:t>1</w:t>
      </w:r>
      <w:r>
        <w:rPr>
          <w:rFonts w:hAnsi="Times New Roman" w:eastAsia="宋体"/>
          <w:szCs w:val="24"/>
        </w:rPr>
        <w:t>）：上</w:t>
      </w:r>
      <w:r>
        <w:rPr>
          <w:rFonts w:hint="eastAsia" w:hAnsi="Times New Roman" w:eastAsia="宋体"/>
          <w:szCs w:val="24"/>
          <w:lang w:eastAsia="zh-CN"/>
        </w:rPr>
        <w:t>部为</w:t>
      </w:r>
      <w:r>
        <w:rPr>
          <w:rFonts w:hAnsi="Times New Roman" w:eastAsia="宋体"/>
          <w:szCs w:val="24"/>
        </w:rPr>
        <w:t>灰色泥岩及薄层粉砂岩；下部为灰黑色泥岩夹介壳灰岩；底部为介壳粉砂岩。</w:t>
      </w:r>
    </w:p>
    <w:p>
      <w:pPr>
        <w:tabs>
          <w:tab w:val="left" w:leader="dot" w:pos="7770"/>
        </w:tabs>
        <w:spacing w:line="360" w:lineRule="auto"/>
        <w:ind w:firstLine="480" w:firstLineChars="200"/>
        <w:rPr>
          <w:rFonts w:hAnsi="Times New Roman" w:eastAsia="宋体"/>
          <w:szCs w:val="24"/>
        </w:rPr>
      </w:pPr>
      <w:r>
        <w:rPr>
          <w:rFonts w:hAnsi="Times New Roman" w:eastAsia="宋体"/>
          <w:szCs w:val="24"/>
        </w:rPr>
        <w:t>本组总厚200m左右，与下伏珍珠冲组（J</w:t>
      </w:r>
      <w:r>
        <w:rPr>
          <w:rFonts w:hAnsi="Times New Roman" w:eastAsia="宋体"/>
          <w:szCs w:val="24"/>
          <w:vertAlign w:val="subscript"/>
        </w:rPr>
        <w:t>1</w:t>
      </w:r>
      <w:r>
        <w:rPr>
          <w:rFonts w:hAnsi="Times New Roman" w:eastAsia="宋体"/>
          <w:szCs w:val="24"/>
        </w:rPr>
        <w:t>zh）为整合接触。</w:t>
      </w:r>
    </w:p>
    <w:p>
      <w:pPr>
        <w:spacing w:line="360" w:lineRule="auto"/>
        <w:jc w:val="center"/>
        <w:rPr>
          <w:rFonts w:hAnsi="Times New Roman" w:eastAsia="宋体"/>
          <w:szCs w:val="24"/>
          <w:lang w:eastAsia="zh-CN"/>
        </w:rPr>
      </w:pPr>
      <w:r>
        <w:rPr>
          <w:rFonts w:hAnsi="Times New Roman" w:eastAsia="宋体"/>
        </w:rPr>
        <w:drawing>
          <wp:inline distT="0" distB="0" distL="114300" distR="114300">
            <wp:extent cx="5795010" cy="8605520"/>
            <wp:effectExtent l="0" t="0" r="15240" b="5080"/>
            <wp:docPr id="28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36"/>
                    <pic:cNvPicPr>
                      <a:picLocks noChangeAspect="1"/>
                    </pic:cNvPicPr>
                  </pic:nvPicPr>
                  <pic:blipFill>
                    <a:blip r:embed="rId65"/>
                    <a:stretch>
                      <a:fillRect/>
                    </a:stretch>
                  </pic:blipFill>
                  <pic:spPr>
                    <a:xfrm>
                      <a:off x="0" y="0"/>
                      <a:ext cx="5795010" cy="8605520"/>
                    </a:xfrm>
                    <a:prstGeom prst="rect">
                      <a:avLst/>
                    </a:prstGeom>
                    <a:noFill/>
                    <a:ln>
                      <a:noFill/>
                    </a:ln>
                  </pic:spPr>
                </pic:pic>
              </a:graphicData>
            </a:graphic>
          </wp:inline>
        </w:drawing>
      </w:r>
    </w:p>
    <w:p>
      <w:pPr>
        <w:spacing w:line="260" w:lineRule="exact"/>
        <w:jc w:val="center"/>
        <w:rPr>
          <w:rFonts w:hAnsi="Times New Roman" w:eastAsia="宋体"/>
          <w:b/>
          <w:bCs/>
          <w:szCs w:val="24"/>
          <w:lang w:eastAsia="zh-CN"/>
        </w:rPr>
      </w:pPr>
      <w:r>
        <w:rPr>
          <w:rFonts w:hAnsi="Times New Roman" w:eastAsia="宋体"/>
          <w:b/>
          <w:bCs/>
          <w:szCs w:val="24"/>
          <w:lang w:eastAsia="zh-CN"/>
        </w:rPr>
        <w:t>图3.1-1矿区地层综合柱状图</w:t>
      </w:r>
    </w:p>
    <w:p>
      <w:pPr>
        <w:spacing w:line="360" w:lineRule="auto"/>
        <w:rPr>
          <w:rFonts w:hAnsi="Times New Roman" w:eastAsia="宋体"/>
          <w:b/>
          <w:bCs/>
          <w:szCs w:val="24"/>
          <w:lang w:eastAsia="zh-CN"/>
        </w:rPr>
      </w:pPr>
      <w:r>
        <w:rPr>
          <w:rFonts w:hAnsi="Times New Roman" w:eastAsia="宋体"/>
          <w:b/>
          <w:bCs/>
          <w:szCs w:val="24"/>
          <w:lang w:eastAsia="zh-CN"/>
        </w:rPr>
        <w:t>3.1.3.2 地质构造</w:t>
      </w:r>
    </w:p>
    <w:p>
      <w:pPr>
        <w:spacing w:line="360" w:lineRule="auto"/>
        <w:ind w:firstLine="480" w:firstLineChars="200"/>
        <w:rPr>
          <w:rFonts w:hAnsi="Times New Roman" w:eastAsia="宋体"/>
          <w:lang w:eastAsia="zh-CN"/>
        </w:rPr>
      </w:pPr>
      <w:r>
        <w:rPr>
          <w:rFonts w:hAnsi="Times New Roman" w:eastAsia="宋体"/>
          <w:lang w:eastAsia="zh-CN"/>
        </w:rPr>
        <w:t>矿区主要位于峨层山背斜的东翼，总体呈一单斜构造，地跨长田井田和开丰井田，矿区范围内褶皱、断裂较为发育。区内地层倾向35～60°，倾角50～78°。褶曲、断层发育情况分述如下：</w:t>
      </w:r>
    </w:p>
    <w:p>
      <w:pPr>
        <w:spacing w:line="360" w:lineRule="auto"/>
        <w:ind w:firstLine="480" w:firstLineChars="200"/>
        <w:rPr>
          <w:rFonts w:hAnsi="Times New Roman" w:eastAsia="宋体"/>
          <w:lang w:eastAsia="zh-CN"/>
        </w:rPr>
      </w:pPr>
      <w:r>
        <w:rPr>
          <w:rFonts w:hAnsi="Times New Roman" w:eastAsia="宋体"/>
          <w:lang w:eastAsia="zh-CN"/>
        </w:rPr>
        <w:t>1、褶曲</w:t>
      </w:r>
    </w:p>
    <w:p>
      <w:pPr>
        <w:spacing w:line="360" w:lineRule="auto"/>
        <w:ind w:firstLine="480" w:firstLineChars="200"/>
        <w:rPr>
          <w:rFonts w:hAnsi="Times New Roman" w:eastAsia="宋体"/>
          <w:lang w:eastAsia="zh-CN"/>
        </w:rPr>
      </w:pPr>
      <w:r>
        <w:rPr>
          <w:rFonts w:hAnsi="Times New Roman" w:eastAsia="宋体"/>
          <w:lang w:eastAsia="zh-CN"/>
        </w:rPr>
        <w:t>峨层山背斜是主体构造，该背斜为东翼较陡且西翼较缓的不对称背斜，在矿区内，含煤地层倾角一般50～78°。东部断层破坏，两翼依次为须家河组（T</w:t>
      </w:r>
      <w:r>
        <w:rPr>
          <w:rFonts w:hAnsi="Times New Roman" w:eastAsia="宋体"/>
          <w:vertAlign w:val="subscript"/>
          <w:lang w:eastAsia="zh-CN"/>
        </w:rPr>
        <w:t>3</w:t>
      </w:r>
      <w:r>
        <w:rPr>
          <w:rFonts w:hAnsi="Times New Roman" w:eastAsia="宋体"/>
          <w:lang w:eastAsia="zh-CN"/>
        </w:rPr>
        <w:t>xj）、珍珠冲组（J</w:t>
      </w:r>
      <w:r>
        <w:rPr>
          <w:rFonts w:hAnsi="Times New Roman" w:eastAsia="宋体"/>
          <w:vertAlign w:val="subscript"/>
          <w:lang w:eastAsia="zh-CN"/>
        </w:rPr>
        <w:t>1</w:t>
      </w:r>
      <w:r>
        <w:rPr>
          <w:rFonts w:hAnsi="Times New Roman" w:eastAsia="宋体"/>
          <w:lang w:eastAsia="zh-CN"/>
        </w:rPr>
        <w:t>zh）、自流井组（J</w:t>
      </w:r>
      <w:r>
        <w:rPr>
          <w:rFonts w:hAnsi="Times New Roman" w:eastAsia="宋体"/>
          <w:vertAlign w:val="subscript"/>
          <w:lang w:eastAsia="zh-CN"/>
        </w:rPr>
        <w:t>1-2</w:t>
      </w:r>
      <w:r>
        <w:rPr>
          <w:rFonts w:hAnsi="Times New Roman" w:eastAsia="宋体"/>
          <w:lang w:eastAsia="zh-CN"/>
        </w:rPr>
        <w:t>z）。</w:t>
      </w:r>
    </w:p>
    <w:p>
      <w:pPr>
        <w:spacing w:line="360" w:lineRule="auto"/>
        <w:ind w:firstLine="480" w:firstLineChars="200"/>
        <w:rPr>
          <w:rFonts w:hAnsi="Times New Roman" w:eastAsia="宋体"/>
          <w:lang w:eastAsia="zh-CN"/>
        </w:rPr>
      </w:pPr>
      <w:r>
        <w:rPr>
          <w:rFonts w:hAnsi="Times New Roman" w:eastAsia="宋体"/>
          <w:lang w:eastAsia="zh-CN"/>
        </w:rPr>
        <w:t>太棚寺背斜为峨层山背斜同一应力场伴生的次级褶皱，与峨层山背斜平行展布，南起油麻湾，北至蔡家山附近倾伏消失，全长约6100m。轴向30°，轴面倾向北西，轴部常被断层破坏。东翼煤层走向变化不大，较稳定。</w:t>
      </w:r>
    </w:p>
    <w:p>
      <w:pPr>
        <w:spacing w:line="360" w:lineRule="auto"/>
        <w:ind w:firstLine="480" w:firstLineChars="200"/>
        <w:rPr>
          <w:rFonts w:hAnsi="Times New Roman" w:eastAsia="宋体"/>
          <w:lang w:eastAsia="zh-CN"/>
        </w:rPr>
      </w:pPr>
      <w:r>
        <w:rPr>
          <w:rFonts w:hAnsi="Times New Roman" w:eastAsia="宋体"/>
          <w:lang w:eastAsia="zh-CN"/>
        </w:rPr>
        <w:t>2、断层</w:t>
      </w:r>
    </w:p>
    <w:p>
      <w:pPr>
        <w:spacing w:line="360" w:lineRule="auto"/>
        <w:ind w:firstLine="480" w:firstLineChars="200"/>
        <w:rPr>
          <w:rFonts w:hAnsi="Times New Roman" w:eastAsia="宋体"/>
          <w:lang w:eastAsia="zh-CN"/>
        </w:rPr>
      </w:pPr>
      <w:r>
        <w:rPr>
          <w:rFonts w:hAnsi="Times New Roman" w:eastAsia="宋体"/>
          <w:lang w:eastAsia="zh-CN"/>
        </w:rPr>
        <w:t>区内断层性质皆表现为高角度走向逆断层，力学性质为压扭性，主要断裂F1为峨层山背斜的同期构造，F2、F3为与F1产生于同一应力场的同生次级构造，F1-1、F1-2、F1-3、F1-4等均属F1断层派生“入”字型次级分支断层。</w:t>
      </w:r>
    </w:p>
    <w:p>
      <w:pPr>
        <w:spacing w:line="360" w:lineRule="auto"/>
        <w:ind w:firstLine="480" w:firstLineChars="200"/>
        <w:rPr>
          <w:rFonts w:hAnsi="Times New Roman" w:eastAsia="宋体"/>
          <w:lang w:eastAsia="zh-CN"/>
        </w:rPr>
      </w:pPr>
      <w:r>
        <w:rPr>
          <w:rFonts w:hAnsi="Times New Roman" w:eastAsia="宋体"/>
          <w:lang w:eastAsia="zh-CN"/>
        </w:rPr>
        <w:t>（1）Fl走向逆断层</w:t>
      </w:r>
    </w:p>
    <w:p>
      <w:pPr>
        <w:spacing w:line="360" w:lineRule="auto"/>
        <w:ind w:firstLine="480" w:firstLineChars="200"/>
        <w:rPr>
          <w:rFonts w:hAnsi="Times New Roman" w:eastAsia="宋体"/>
          <w:lang w:eastAsia="zh-CN"/>
        </w:rPr>
      </w:pPr>
      <w:r>
        <w:rPr>
          <w:rFonts w:hAnsi="Times New Roman" w:eastAsia="宋体"/>
          <w:lang w:eastAsia="zh-CN"/>
        </w:rPr>
        <w:t>为区内起控制作用的主干断裂，沿峨层山背斜核部延伸纵贯全区，走向30～40°，倾向NW，倾角35°～60°，局部地段随地层倒转而扭转。其断距表现为南段大，垂直断距约250m，北端逐渐变小，如在七里峡河边垂直断距约110m。由于该断裂的影响，造成背斜轴部多被破坏，东翼地层须家河组第四段（T</w:t>
      </w:r>
      <w:r>
        <w:rPr>
          <w:rFonts w:hAnsi="Times New Roman" w:eastAsia="宋体"/>
          <w:vertAlign w:val="subscript"/>
          <w:lang w:eastAsia="zh-CN"/>
        </w:rPr>
        <w:t>3</w:t>
      </w:r>
      <w:r>
        <w:rPr>
          <w:rFonts w:hAnsi="Times New Roman" w:eastAsia="宋体"/>
          <w:lang w:eastAsia="zh-CN"/>
        </w:rPr>
        <w:t>xj</w:t>
      </w:r>
      <w:r>
        <w:rPr>
          <w:rFonts w:hAnsi="Times New Roman" w:eastAsia="宋体"/>
          <w:vertAlign w:val="superscript"/>
          <w:lang w:eastAsia="zh-CN"/>
        </w:rPr>
        <w:t>4</w:t>
      </w:r>
      <w:r>
        <w:rPr>
          <w:rFonts w:hAnsi="Times New Roman" w:eastAsia="宋体"/>
          <w:lang w:eastAsia="zh-CN"/>
        </w:rPr>
        <w:t>）以下常被切割出露。　</w:t>
      </w:r>
    </w:p>
    <w:p>
      <w:pPr>
        <w:spacing w:line="360" w:lineRule="auto"/>
        <w:ind w:firstLine="480" w:firstLineChars="200"/>
        <w:rPr>
          <w:rFonts w:hAnsi="Times New Roman" w:eastAsia="宋体"/>
          <w:lang w:eastAsia="zh-CN"/>
        </w:rPr>
      </w:pPr>
      <w:r>
        <w:rPr>
          <w:rFonts w:hAnsi="Times New Roman" w:eastAsia="宋体"/>
          <w:lang w:eastAsia="zh-CN"/>
        </w:rPr>
        <w:t>（2）F2走向逆断层</w:t>
      </w:r>
    </w:p>
    <w:p>
      <w:pPr>
        <w:spacing w:line="360" w:lineRule="auto"/>
        <w:ind w:firstLine="480" w:firstLineChars="200"/>
        <w:rPr>
          <w:rFonts w:hAnsi="Times New Roman" w:eastAsia="宋体"/>
          <w:lang w:eastAsia="zh-CN"/>
        </w:rPr>
      </w:pPr>
      <w:r>
        <w:rPr>
          <w:rFonts w:hAnsi="Times New Roman" w:eastAsia="宋体"/>
          <w:lang w:eastAsia="zh-CN"/>
        </w:rPr>
        <w:t>为主干断裂F1的同生次级构造。断层走向30°，倾向北西，倾角30°～45°，垂直断距80m～130m，常切割破坏太棚寺背斜西翼的须家河组五段（T</w:t>
      </w:r>
      <w:r>
        <w:rPr>
          <w:rFonts w:hAnsi="Times New Roman" w:eastAsia="宋体"/>
          <w:vertAlign w:val="subscript"/>
          <w:lang w:eastAsia="zh-CN"/>
        </w:rPr>
        <w:t>3</w:t>
      </w:r>
      <w:r>
        <w:rPr>
          <w:rFonts w:hAnsi="Times New Roman" w:eastAsia="宋体"/>
          <w:lang w:eastAsia="zh-CN"/>
        </w:rPr>
        <w:t>xj</w:t>
      </w:r>
      <w:r>
        <w:rPr>
          <w:rFonts w:hAnsi="Times New Roman" w:eastAsia="宋体"/>
          <w:vertAlign w:val="superscript"/>
          <w:lang w:eastAsia="zh-CN"/>
        </w:rPr>
        <w:t>5</w:t>
      </w:r>
      <w:r>
        <w:rPr>
          <w:rFonts w:hAnsi="Times New Roman" w:eastAsia="宋体"/>
          <w:lang w:eastAsia="zh-CN"/>
        </w:rPr>
        <w:t>）含煤地层。</w:t>
      </w:r>
    </w:p>
    <w:p>
      <w:pPr>
        <w:spacing w:line="360" w:lineRule="auto"/>
        <w:ind w:firstLine="480" w:firstLineChars="200"/>
        <w:rPr>
          <w:rFonts w:hAnsi="Times New Roman" w:eastAsia="宋体"/>
          <w:lang w:eastAsia="zh-CN"/>
        </w:rPr>
      </w:pPr>
      <w:r>
        <w:rPr>
          <w:rFonts w:hAnsi="Times New Roman" w:eastAsia="宋体"/>
          <w:lang w:eastAsia="zh-CN"/>
        </w:rPr>
        <w:t>（3）F3走向逆断层</w:t>
      </w:r>
    </w:p>
    <w:p>
      <w:pPr>
        <w:spacing w:line="360" w:lineRule="auto"/>
        <w:ind w:firstLine="480" w:firstLineChars="200"/>
        <w:rPr>
          <w:rFonts w:hAnsi="Times New Roman" w:eastAsia="宋体"/>
          <w:lang w:eastAsia="zh-CN"/>
        </w:rPr>
      </w:pPr>
      <w:r>
        <w:rPr>
          <w:rFonts w:hAnsi="Times New Roman" w:eastAsia="宋体"/>
          <w:lang w:eastAsia="zh-CN"/>
        </w:rPr>
        <w:t>属Fl断层同生次级构造，断层走向30°～35°，倾向北西，倾角60～65°，垂直断距20m～40m，一般30m，由于该断层的影响，使须家河组第五段（T</w:t>
      </w:r>
      <w:r>
        <w:rPr>
          <w:rFonts w:hAnsi="Times New Roman" w:eastAsia="宋体"/>
          <w:vertAlign w:val="subscript"/>
          <w:lang w:eastAsia="zh-CN"/>
        </w:rPr>
        <w:t>3</w:t>
      </w:r>
      <w:r>
        <w:rPr>
          <w:rFonts w:hAnsi="Times New Roman" w:eastAsia="宋体"/>
          <w:lang w:eastAsia="zh-CN"/>
        </w:rPr>
        <w:t>xj</w:t>
      </w:r>
      <w:r>
        <w:rPr>
          <w:rFonts w:hAnsi="Times New Roman" w:eastAsia="宋体"/>
          <w:vertAlign w:val="superscript"/>
          <w:lang w:eastAsia="zh-CN"/>
        </w:rPr>
        <w:t>5</w:t>
      </w:r>
      <w:r>
        <w:rPr>
          <w:rFonts w:hAnsi="Times New Roman" w:eastAsia="宋体"/>
          <w:lang w:eastAsia="zh-CN"/>
        </w:rPr>
        <w:t>）的浅部被切割破坏，致使该段所含煤层露头常不连续分布。</w:t>
      </w:r>
    </w:p>
    <w:p>
      <w:pPr>
        <w:spacing w:line="360" w:lineRule="auto"/>
        <w:ind w:firstLine="480" w:firstLineChars="200"/>
        <w:rPr>
          <w:rFonts w:hAnsi="Times New Roman" w:eastAsia="宋体"/>
          <w:lang w:eastAsia="zh-CN"/>
        </w:rPr>
        <w:sectPr>
          <w:pgSz w:w="11905" w:h="16838"/>
          <w:pgMar w:top="1440" w:right="1304" w:bottom="1440" w:left="1474" w:header="850" w:footer="992" w:gutter="0"/>
          <w:cols w:space="0" w:num="1"/>
          <w:docGrid w:type="lines" w:linePitch="332" w:charSpace="0"/>
        </w:sectPr>
      </w:pPr>
      <w:r>
        <w:rPr>
          <w:rFonts w:hint="eastAsia" w:hAnsi="Times New Roman" w:eastAsia="宋体"/>
          <w:lang w:eastAsia="zh-CN"/>
        </w:rPr>
        <w:t>综上所述</w:t>
      </w:r>
      <w:r>
        <w:rPr>
          <w:rFonts w:hAnsi="Times New Roman" w:eastAsia="宋体"/>
          <w:lang w:eastAsia="zh-CN"/>
        </w:rPr>
        <w:t>：七里峡煤矿构造复杂程度属“中等”类型。</w:t>
      </w:r>
    </w:p>
    <w:p>
      <w:pPr>
        <w:spacing w:line="360" w:lineRule="auto"/>
        <w:jc w:val="center"/>
        <w:rPr>
          <w:rFonts w:hAnsi="Times New Roman" w:eastAsia="宋体"/>
          <w:b/>
          <w:bCs/>
          <w:sz w:val="21"/>
          <w:szCs w:val="21"/>
          <w:lang w:eastAsia="zh-CN"/>
        </w:rPr>
      </w:pPr>
      <w:r>
        <w:rPr>
          <w:rFonts w:hAnsi="Times New Roman" w:eastAsia="宋体"/>
          <w:b/>
          <w:bCs/>
          <w:szCs w:val="24"/>
          <w:lang w:eastAsia="zh-CN"/>
        </w:rPr>
        <w:drawing>
          <wp:inline distT="0" distB="0" distL="114300" distR="114300">
            <wp:extent cx="5731510" cy="4973320"/>
            <wp:effectExtent l="0" t="0" r="2540" b="17780"/>
            <wp:docPr id="223" name="图片 223" descr="963c94dabfc4952cb4136b68e524c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descr="963c94dabfc4952cb4136b68e524cc3"/>
                    <pic:cNvPicPr>
                      <a:picLocks noChangeAspect="1"/>
                    </pic:cNvPicPr>
                  </pic:nvPicPr>
                  <pic:blipFill>
                    <a:blip r:embed="rId66"/>
                    <a:stretch>
                      <a:fillRect/>
                    </a:stretch>
                  </pic:blipFill>
                  <pic:spPr>
                    <a:xfrm>
                      <a:off x="0" y="0"/>
                      <a:ext cx="5731510" cy="4973320"/>
                    </a:xfrm>
                    <a:prstGeom prst="rect">
                      <a:avLst/>
                    </a:prstGeom>
                  </pic:spPr>
                </pic:pic>
              </a:graphicData>
            </a:graphic>
          </wp:inline>
        </w:drawing>
      </w:r>
      <w:r>
        <w:rPr>
          <w:rFonts w:hAnsi="Times New Roman" w:eastAsia="宋体"/>
          <w:b/>
          <w:bCs/>
          <w:sz w:val="21"/>
          <w:szCs w:val="21"/>
          <w:lang w:eastAsia="zh-CN"/>
        </w:rPr>
        <w:t>图3.1-2构造刚要图</w:t>
      </w:r>
    </w:p>
    <w:p>
      <w:pPr>
        <w:pStyle w:val="6"/>
        <w:rPr>
          <w:lang w:eastAsia="zh-CN"/>
        </w:rPr>
      </w:pPr>
      <w:bookmarkStart w:id="134" w:name="_Toc167095158"/>
      <w:bookmarkStart w:id="135" w:name="_Toc163812535"/>
      <w:r>
        <w:rPr>
          <w:lang w:eastAsia="zh-CN"/>
        </w:rPr>
        <w:t>3.1.4 气象条件</w:t>
      </w:r>
      <w:bookmarkEnd w:id="134"/>
      <w:bookmarkEnd w:id="135"/>
    </w:p>
    <w:p>
      <w:pPr>
        <w:spacing w:line="360" w:lineRule="auto"/>
        <w:ind w:firstLine="480" w:firstLineChars="200"/>
        <w:rPr>
          <w:rFonts w:hAnsi="Times New Roman" w:eastAsia="宋体"/>
          <w:lang w:eastAsia="zh-CN"/>
        </w:rPr>
      </w:pPr>
      <w:r>
        <w:rPr>
          <w:rFonts w:hAnsi="Times New Roman" w:eastAsia="宋体"/>
          <w:lang w:eastAsia="zh-CN"/>
        </w:rPr>
        <w:t>宣汉县处于盆地丘陵向盆缘山区过渡地区，所以年降水量比较充沛。由于北部大巴山为其屏障，西北寒冷空气不易侵入，境内南部地区具有气候温和，春暖雨早，夏热少雨伏旱，秋多绵雨，冬干少雨，无霜期长，日照较多，湿度大，雨量充沛，春、夏、秋、冬四季分明的特点。而北部山区，地势较高，气温随地势高度的上升而下降，据多点实测，每上升100m，年平均气温降低0.561℃，降雨随地势升高而</w:t>
      </w:r>
      <w:r>
        <w:rPr>
          <w:rFonts w:hint="eastAsia" w:hAnsi="Times New Roman" w:eastAsia="宋体"/>
          <w:lang w:eastAsia="zh-CN"/>
        </w:rPr>
        <w:t>增大</w:t>
      </w:r>
      <w:r>
        <w:rPr>
          <w:rFonts w:hAnsi="Times New Roman" w:eastAsia="宋体"/>
          <w:lang w:eastAsia="zh-CN"/>
        </w:rPr>
        <w:t>，据测每上升100m，增多雨量约36mm。北部山地区具有春退、秋早、冬长、夏秋短的特点。不利于农业生产的灾害天气，主要是夏伏旱，其次洪涝、冰雹等。</w:t>
      </w:r>
    </w:p>
    <w:p>
      <w:pPr>
        <w:spacing w:line="360" w:lineRule="auto"/>
        <w:ind w:firstLine="480" w:firstLineChars="200"/>
        <w:rPr>
          <w:rFonts w:hAnsi="Times New Roman" w:eastAsia="宋体"/>
          <w:lang w:eastAsia="zh-CN"/>
        </w:rPr>
      </w:pPr>
      <w:r>
        <w:rPr>
          <w:rFonts w:hAnsi="Times New Roman" w:eastAsia="宋体"/>
          <w:lang w:eastAsia="zh-CN"/>
        </w:rPr>
        <w:t>本项目所处地区主要为亚热带湿润季风气候，但由于立体地貌构成了立体气候特征具有北亚热带和南温带气候特征。全年平均气温在8.0～17.3℃。根据宣汉县气象统计资料，月平均气温7月最高，达27.6℃，1月最低，达5.6℃，极端最高气温41.3℃（1959 年8月24日），极端最低气温-5.3℃（1975 年2月15日），多年平均最高气温38℃，多年平均最低气温-2.5℃；区内多年平均降雨量1213.5mm，最高降雨量为1698mm（1958年），最低降雨量为865.9mm（1966年），降雨主要集中分布于5～10月占年降雨量70%左右；十年一遇24h最大降雨量240mm，十年一遇最大3五降雨量115.6mm，二十年一遇24h 最大降雨量300mm，最大三日降雨量335.9nm，最大1h降雨量为54.4mm，全年平均雨日143天。年平均相对湿度1~3月份为</w:t>
      </w:r>
      <w:r>
        <w:rPr>
          <w:rFonts w:hint="eastAsia" w:hAnsi="Times New Roman" w:eastAsia="宋体"/>
          <w:lang w:eastAsia="zh-CN"/>
        </w:rPr>
        <w:t>77%～72%</w:t>
      </w:r>
      <w:r>
        <w:rPr>
          <w:rFonts w:hAnsi="Times New Roman" w:eastAsia="宋体"/>
          <w:lang w:eastAsia="zh-CN"/>
        </w:rPr>
        <w:t>，6～9月份为</w:t>
      </w:r>
      <w:r>
        <w:rPr>
          <w:rFonts w:hint="eastAsia" w:hAnsi="Times New Roman" w:eastAsia="宋体"/>
          <w:lang w:eastAsia="zh-CN"/>
        </w:rPr>
        <w:t>79%～84%</w:t>
      </w:r>
      <w:r>
        <w:rPr>
          <w:rFonts w:hAnsi="Times New Roman" w:eastAsia="宋体"/>
          <w:lang w:eastAsia="zh-CN"/>
        </w:rPr>
        <w:t>。年蒸发量为1215.9mm，无霜期达210天。夏季主导风向及频率：NE，26%；冬季主导风向及频率：NNE，18%</w:t>
      </w:r>
      <w:r>
        <w:rPr>
          <w:rFonts w:hint="eastAsia" w:hAnsi="Times New Roman" w:eastAsia="宋体"/>
          <w:lang w:eastAsia="zh-CN"/>
        </w:rPr>
        <w:t>：</w:t>
      </w:r>
      <w:r>
        <w:rPr>
          <w:rFonts w:hAnsi="Times New Roman" w:eastAsia="宋体"/>
          <w:lang w:eastAsia="zh-CN"/>
        </w:rPr>
        <w:t>全年各月份均有发生8级以上雷雨大风或寒潮大风天气。宣汉县主要气象参数如下表所示。</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表3.1-1 宣汉县主要气象参数表</w:t>
      </w:r>
    </w:p>
    <w:tbl>
      <w:tblPr>
        <w:tblStyle w:val="3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95"/>
        <w:gridCol w:w="1390"/>
        <w:gridCol w:w="2293"/>
        <w:gridCol w:w="1977"/>
        <w:gridCol w:w="21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800"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序号</w:t>
            </w:r>
          </w:p>
        </w:tc>
        <w:tc>
          <w:tcPr>
            <w:tcW w:w="1971" w:type="pct"/>
            <w:gridSpan w:val="2"/>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气象要素</w:t>
            </w:r>
          </w:p>
        </w:tc>
        <w:tc>
          <w:tcPr>
            <w:tcW w:w="1058"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单位</w:t>
            </w:r>
          </w:p>
        </w:tc>
        <w:tc>
          <w:tcPr>
            <w:tcW w:w="1172"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数值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800" w:type="pct"/>
            <w:vMerge w:val="restar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w:t>
            </w:r>
          </w:p>
        </w:tc>
        <w:tc>
          <w:tcPr>
            <w:tcW w:w="744" w:type="pct"/>
            <w:vMerge w:val="restar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气温</w:t>
            </w:r>
          </w:p>
        </w:tc>
        <w:tc>
          <w:tcPr>
            <w:tcW w:w="122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多年平均气温</w:t>
            </w:r>
          </w:p>
        </w:tc>
        <w:tc>
          <w:tcPr>
            <w:tcW w:w="1058"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w:t>
            </w:r>
          </w:p>
        </w:tc>
        <w:tc>
          <w:tcPr>
            <w:tcW w:w="1172"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8.0~17.3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 w:hRule="atLeast"/>
        </w:trPr>
        <w:tc>
          <w:tcPr>
            <w:tcW w:w="800" w:type="pct"/>
            <w:vMerge w:val="continue"/>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p>
        </w:tc>
        <w:tc>
          <w:tcPr>
            <w:tcW w:w="744" w:type="pct"/>
            <w:vMerge w:val="continue"/>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22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极端最高</w:t>
            </w:r>
          </w:p>
        </w:tc>
        <w:tc>
          <w:tcPr>
            <w:tcW w:w="1058"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w:t>
            </w:r>
          </w:p>
        </w:tc>
        <w:tc>
          <w:tcPr>
            <w:tcW w:w="1172"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pct"/>
            <w:vMerge w:val="continue"/>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p>
        </w:tc>
        <w:tc>
          <w:tcPr>
            <w:tcW w:w="744" w:type="pct"/>
            <w:vMerge w:val="continue"/>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22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极端最低</w:t>
            </w:r>
          </w:p>
        </w:tc>
        <w:tc>
          <w:tcPr>
            <w:tcW w:w="1058"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w:t>
            </w:r>
          </w:p>
        </w:tc>
        <w:tc>
          <w:tcPr>
            <w:tcW w:w="1172"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pct"/>
            <w:vMerge w:val="continue"/>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744" w:type="pct"/>
            <w:vMerge w:val="continue"/>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22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年均最高气温</w:t>
            </w:r>
          </w:p>
        </w:tc>
        <w:tc>
          <w:tcPr>
            <w:tcW w:w="1058"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w:t>
            </w:r>
          </w:p>
        </w:tc>
        <w:tc>
          <w:tcPr>
            <w:tcW w:w="1172"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pct"/>
            <w:vMerge w:val="continue"/>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744" w:type="pct"/>
            <w:vMerge w:val="continue"/>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22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年均最低气温</w:t>
            </w:r>
          </w:p>
        </w:tc>
        <w:tc>
          <w:tcPr>
            <w:tcW w:w="1058"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w:t>
            </w:r>
          </w:p>
        </w:tc>
        <w:tc>
          <w:tcPr>
            <w:tcW w:w="1172"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pct"/>
            <w:vMerge w:val="continue"/>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744" w:type="pct"/>
            <w:vMerge w:val="continue"/>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22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年均≥10℃的积温</w:t>
            </w:r>
          </w:p>
        </w:tc>
        <w:tc>
          <w:tcPr>
            <w:tcW w:w="1058"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w:t>
            </w:r>
          </w:p>
        </w:tc>
        <w:tc>
          <w:tcPr>
            <w:tcW w:w="1172"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pct"/>
            <w:vMerge w:val="restar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w:t>
            </w:r>
          </w:p>
        </w:tc>
        <w:tc>
          <w:tcPr>
            <w:tcW w:w="744" w:type="pct"/>
            <w:vMerge w:val="restar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降水</w:t>
            </w:r>
          </w:p>
        </w:tc>
        <w:tc>
          <w:tcPr>
            <w:tcW w:w="122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年平均降水量</w:t>
            </w:r>
          </w:p>
        </w:tc>
        <w:tc>
          <w:tcPr>
            <w:tcW w:w="1058"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mm</w:t>
            </w:r>
          </w:p>
        </w:tc>
        <w:tc>
          <w:tcPr>
            <w:tcW w:w="1172"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1213.5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pct"/>
            <w:vMerge w:val="continue"/>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744" w:type="pct"/>
            <w:vMerge w:val="continue"/>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22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年最大降水量</w:t>
            </w:r>
          </w:p>
        </w:tc>
        <w:tc>
          <w:tcPr>
            <w:tcW w:w="1058"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mm</w:t>
            </w:r>
          </w:p>
        </w:tc>
        <w:tc>
          <w:tcPr>
            <w:tcW w:w="1172"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1698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pct"/>
            <w:vMerge w:val="continue"/>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744" w:type="pct"/>
            <w:vMerge w:val="continue"/>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22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年最小降水量</w:t>
            </w:r>
          </w:p>
        </w:tc>
        <w:tc>
          <w:tcPr>
            <w:tcW w:w="1058"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mm</w:t>
            </w:r>
          </w:p>
        </w:tc>
        <w:tc>
          <w:tcPr>
            <w:tcW w:w="1172"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865.9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pct"/>
            <w:vMerge w:val="continue"/>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744" w:type="pct"/>
            <w:vMerge w:val="continue"/>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22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最大1小时降水量</w:t>
            </w:r>
          </w:p>
        </w:tc>
        <w:tc>
          <w:tcPr>
            <w:tcW w:w="1058"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mm</w:t>
            </w:r>
          </w:p>
        </w:tc>
        <w:tc>
          <w:tcPr>
            <w:tcW w:w="1172"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pct"/>
            <w:vMerge w:val="restar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w:t>
            </w:r>
          </w:p>
        </w:tc>
        <w:tc>
          <w:tcPr>
            <w:tcW w:w="744" w:type="pct"/>
            <w:vMerge w:val="restar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相对湿度</w:t>
            </w:r>
          </w:p>
        </w:tc>
        <w:tc>
          <w:tcPr>
            <w:tcW w:w="122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1~3月</w:t>
            </w:r>
          </w:p>
        </w:tc>
        <w:tc>
          <w:tcPr>
            <w:tcW w:w="1058"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172"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72~77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pct"/>
            <w:vMerge w:val="continue"/>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744" w:type="pct"/>
            <w:vMerge w:val="continue"/>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22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6~9月</w:t>
            </w:r>
          </w:p>
        </w:tc>
        <w:tc>
          <w:tcPr>
            <w:tcW w:w="1058"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172"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79~84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w:t>
            </w:r>
          </w:p>
        </w:tc>
        <w:tc>
          <w:tcPr>
            <w:tcW w:w="1971" w:type="pct"/>
            <w:gridSpan w:val="2"/>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年平均蒸发量</w:t>
            </w:r>
          </w:p>
        </w:tc>
        <w:tc>
          <w:tcPr>
            <w:tcW w:w="1058"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mm</w:t>
            </w:r>
          </w:p>
        </w:tc>
        <w:tc>
          <w:tcPr>
            <w:tcW w:w="1172"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1215.9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w:t>
            </w:r>
          </w:p>
        </w:tc>
        <w:tc>
          <w:tcPr>
            <w:tcW w:w="1971" w:type="pct"/>
            <w:gridSpan w:val="2"/>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年无霜天数</w:t>
            </w:r>
          </w:p>
        </w:tc>
        <w:tc>
          <w:tcPr>
            <w:tcW w:w="1058"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d</w:t>
            </w:r>
          </w:p>
        </w:tc>
        <w:tc>
          <w:tcPr>
            <w:tcW w:w="1172"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pct"/>
            <w:vMerge w:val="restar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6</w:t>
            </w:r>
          </w:p>
        </w:tc>
        <w:tc>
          <w:tcPr>
            <w:tcW w:w="744" w:type="pct"/>
            <w:vMerge w:val="restar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主导风向</w:t>
            </w:r>
          </w:p>
        </w:tc>
        <w:tc>
          <w:tcPr>
            <w:tcW w:w="122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夏季</w:t>
            </w:r>
          </w:p>
        </w:tc>
        <w:tc>
          <w:tcPr>
            <w:tcW w:w="1058"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172"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pct"/>
            <w:vMerge w:val="continue"/>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744" w:type="pct"/>
            <w:vMerge w:val="continue"/>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22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冬季</w:t>
            </w:r>
          </w:p>
        </w:tc>
        <w:tc>
          <w:tcPr>
            <w:tcW w:w="1058"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172"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NNE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pct"/>
            <w:vMerge w:val="restar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7</w:t>
            </w:r>
          </w:p>
        </w:tc>
        <w:tc>
          <w:tcPr>
            <w:tcW w:w="744" w:type="pct"/>
            <w:vMerge w:val="restar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主导风频率</w:t>
            </w:r>
          </w:p>
        </w:tc>
        <w:tc>
          <w:tcPr>
            <w:tcW w:w="122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夏季</w:t>
            </w:r>
          </w:p>
        </w:tc>
        <w:tc>
          <w:tcPr>
            <w:tcW w:w="1058"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w:t>
            </w:r>
          </w:p>
        </w:tc>
        <w:tc>
          <w:tcPr>
            <w:tcW w:w="1172"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pct"/>
            <w:vMerge w:val="continue"/>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744" w:type="pct"/>
            <w:vMerge w:val="continue"/>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22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冬季</w:t>
            </w:r>
          </w:p>
        </w:tc>
        <w:tc>
          <w:tcPr>
            <w:tcW w:w="1058"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w:t>
            </w:r>
          </w:p>
        </w:tc>
        <w:tc>
          <w:tcPr>
            <w:tcW w:w="1172"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8</w:t>
            </w:r>
          </w:p>
        </w:tc>
        <w:tc>
          <w:tcPr>
            <w:tcW w:w="744"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平均风速</w:t>
            </w:r>
          </w:p>
        </w:tc>
        <w:tc>
          <w:tcPr>
            <w:tcW w:w="122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多年</w:t>
            </w:r>
          </w:p>
        </w:tc>
        <w:tc>
          <w:tcPr>
            <w:tcW w:w="1058"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m/s</w:t>
            </w:r>
          </w:p>
        </w:tc>
        <w:tc>
          <w:tcPr>
            <w:tcW w:w="1172"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1.3</w:t>
            </w:r>
          </w:p>
        </w:tc>
      </w:tr>
    </w:tbl>
    <w:p>
      <w:pPr>
        <w:pStyle w:val="6"/>
        <w:rPr>
          <w:lang w:eastAsia="zh-CN"/>
        </w:rPr>
      </w:pPr>
      <w:bookmarkStart w:id="136" w:name="_Toc163812536"/>
      <w:bookmarkStart w:id="137" w:name="_Toc167095159"/>
      <w:r>
        <w:rPr>
          <w:lang w:eastAsia="zh-CN"/>
        </w:rPr>
        <w:t>3.1.5 水文及河流分布</w:t>
      </w:r>
      <w:bookmarkEnd w:id="136"/>
      <w:bookmarkEnd w:id="137"/>
    </w:p>
    <w:p>
      <w:pPr>
        <w:spacing w:line="360" w:lineRule="auto"/>
        <w:ind w:firstLine="480" w:firstLineChars="200"/>
        <w:rPr>
          <w:rFonts w:hAnsi="Times New Roman" w:eastAsia="宋体"/>
          <w:lang w:eastAsia="zh-CN"/>
        </w:rPr>
      </w:pPr>
      <w:r>
        <w:rPr>
          <w:rFonts w:hAnsi="Times New Roman" w:eastAsia="宋体"/>
          <w:lang w:eastAsia="zh-CN"/>
        </w:rPr>
        <w:t>本区河流系渠江水系。</w:t>
      </w:r>
    </w:p>
    <w:p>
      <w:pPr>
        <w:spacing w:line="360" w:lineRule="auto"/>
        <w:ind w:firstLine="480" w:firstLineChars="200"/>
        <w:rPr>
          <w:rFonts w:hAnsi="Times New Roman" w:eastAsia="宋体"/>
          <w:lang w:eastAsia="zh-CN"/>
        </w:rPr>
      </w:pPr>
      <w:r>
        <w:rPr>
          <w:rFonts w:hAnsi="Times New Roman" w:eastAsia="宋体"/>
          <w:lang w:eastAsia="zh-CN"/>
        </w:rPr>
        <w:t>矿区最大的地表水体为新宁河，其余均属季节性溪沟，矿区内</w:t>
      </w:r>
      <w:r>
        <w:rPr>
          <w:rFonts w:hint="eastAsia" w:hAnsi="Times New Roman" w:eastAsia="宋体"/>
          <w:lang w:eastAsia="zh-CN"/>
        </w:rPr>
        <w:t>无其他</w:t>
      </w:r>
      <w:r>
        <w:rPr>
          <w:rFonts w:hAnsi="Times New Roman" w:eastAsia="宋体"/>
          <w:lang w:eastAsia="zh-CN"/>
        </w:rPr>
        <w:t>大的地表积水体。新宁河河水呈北西～南东向从矿区中部穿过，流量约为9350m</w:t>
      </w:r>
      <w:r>
        <w:rPr>
          <w:rFonts w:hAnsi="Times New Roman" w:eastAsia="宋体"/>
          <w:vertAlign w:val="superscript"/>
          <w:lang w:eastAsia="zh-CN"/>
        </w:rPr>
        <w:t>3</w:t>
      </w:r>
      <w:r>
        <w:rPr>
          <w:rFonts w:hAnsi="Times New Roman" w:eastAsia="宋体"/>
          <w:lang w:eastAsia="zh-CN"/>
        </w:rPr>
        <w:t>/h，系区内最低侵蚀基准面。区内河流、溪沟流水具有涨落迅速之特点，暴雨时，最大水深增幅约2m，水量较一般期增大3～7倍。区内地表集水、地下水均汇入新宁河，经柏树镇于达川区江阳汇入明月江，再经明月江注入州河，属长江支流渠江水系。</w:t>
      </w:r>
    </w:p>
    <w:p>
      <w:pPr>
        <w:spacing w:line="360" w:lineRule="auto"/>
        <w:ind w:firstLine="480" w:firstLineChars="200"/>
        <w:rPr>
          <w:rFonts w:hAnsi="Times New Roman" w:eastAsia="宋体"/>
          <w:lang w:eastAsia="zh-CN"/>
        </w:rPr>
      </w:pPr>
      <w:r>
        <w:rPr>
          <w:rFonts w:hAnsi="Times New Roman" w:eastAsia="宋体"/>
          <w:lang w:eastAsia="zh-CN"/>
        </w:rPr>
        <w:t>区内无大的水库和堰塘等地表水体，矿区内近于纵向发育有几条浅切割的横向溪沟，多为季节性冲沟，一般无水流，但雨季沟水暴涨，由于沟谷坡降比较大，</w:t>
      </w:r>
      <w:r>
        <w:rPr>
          <w:rFonts w:hint="eastAsia" w:hAnsi="Times New Roman" w:eastAsia="宋体"/>
          <w:lang w:eastAsia="zh-CN"/>
        </w:rPr>
        <w:t>径流</w:t>
      </w:r>
      <w:r>
        <w:rPr>
          <w:rFonts w:hAnsi="Times New Roman" w:eastAsia="宋体"/>
          <w:lang w:eastAsia="zh-CN"/>
        </w:rPr>
        <w:t>条件好，沟水迅速排出区外，对矿井充水影响小。</w:t>
      </w:r>
    </w:p>
    <w:p>
      <w:pPr>
        <w:spacing w:line="360" w:lineRule="auto"/>
        <w:ind w:firstLine="480" w:firstLineChars="200"/>
        <w:rPr>
          <w:rFonts w:hAnsi="Times New Roman" w:eastAsia="宋体"/>
          <w:lang w:eastAsia="zh-CN"/>
        </w:rPr>
      </w:pPr>
      <w:r>
        <w:rPr>
          <w:rFonts w:hAnsi="Times New Roman" w:eastAsia="宋体"/>
          <w:lang w:eastAsia="zh-CN"/>
        </w:rPr>
        <w:t>七里峡煤矿</w:t>
      </w:r>
      <w:r>
        <w:rPr>
          <w:rFonts w:hint="eastAsia" w:hAnsi="Times New Roman" w:eastAsia="宋体"/>
          <w:lang w:val="en-US" w:eastAsia="zh-CN"/>
        </w:rPr>
        <w:t>矿区</w:t>
      </w:r>
      <w:r>
        <w:rPr>
          <w:rFonts w:hAnsi="Times New Roman" w:eastAsia="宋体"/>
          <w:lang w:eastAsia="zh-CN"/>
        </w:rPr>
        <w:t>地表水系分布图见附图。</w:t>
      </w:r>
    </w:p>
    <w:p>
      <w:pPr>
        <w:pStyle w:val="6"/>
        <w:rPr>
          <w:lang w:eastAsia="zh-CN"/>
        </w:rPr>
      </w:pPr>
      <w:bookmarkStart w:id="138" w:name="_Toc163812537"/>
      <w:bookmarkStart w:id="139" w:name="_Toc167095160"/>
      <w:r>
        <w:rPr>
          <w:lang w:eastAsia="zh-CN"/>
        </w:rPr>
        <w:t>3.1.6 地震</w:t>
      </w:r>
      <w:bookmarkEnd w:id="138"/>
      <w:bookmarkEnd w:id="139"/>
    </w:p>
    <w:p>
      <w:pPr>
        <w:spacing w:line="360" w:lineRule="auto"/>
        <w:ind w:firstLine="480" w:firstLineChars="200"/>
        <w:rPr>
          <w:rFonts w:hAnsi="Times New Roman" w:eastAsia="宋体"/>
          <w:lang w:eastAsia="zh-CN"/>
        </w:rPr>
      </w:pPr>
      <w:r>
        <w:rPr>
          <w:rFonts w:hAnsi="Times New Roman" w:eastAsia="宋体"/>
          <w:lang w:eastAsia="zh-CN"/>
        </w:rPr>
        <w:t>根据《建筑抗震设计规范》</w:t>
      </w:r>
      <w:r>
        <w:rPr>
          <w:rFonts w:hint="eastAsia" w:hAnsi="Times New Roman" w:eastAsia="宋体"/>
          <w:lang w:eastAsia="zh-CN"/>
        </w:rPr>
        <w:t>（</w:t>
      </w:r>
      <w:r>
        <w:rPr>
          <w:rFonts w:hAnsi="Times New Roman" w:eastAsia="宋体"/>
          <w:lang w:eastAsia="zh-CN"/>
        </w:rPr>
        <w:t>GB 50011-2010</w:t>
      </w:r>
      <w:r>
        <w:rPr>
          <w:rFonts w:hint="eastAsia" w:hAnsi="Times New Roman" w:eastAsia="宋体"/>
          <w:lang w:eastAsia="zh-CN"/>
        </w:rPr>
        <w:t>）（</w:t>
      </w:r>
      <w:r>
        <w:rPr>
          <w:rFonts w:hAnsi="Times New Roman" w:eastAsia="宋体"/>
          <w:lang w:eastAsia="zh-CN"/>
        </w:rPr>
        <w:t>2016年版</w:t>
      </w:r>
      <w:r>
        <w:rPr>
          <w:rFonts w:hint="eastAsia" w:hAnsi="Times New Roman" w:eastAsia="宋体"/>
          <w:lang w:eastAsia="zh-CN"/>
        </w:rPr>
        <w:t>）</w:t>
      </w:r>
      <w:r>
        <w:rPr>
          <w:rFonts w:hAnsi="Times New Roman" w:eastAsia="宋体"/>
          <w:lang w:eastAsia="zh-CN"/>
        </w:rPr>
        <w:t>及《中国地震动参数区划图》</w:t>
      </w:r>
      <w:r>
        <w:rPr>
          <w:rFonts w:hint="eastAsia" w:hAnsi="Times New Roman" w:eastAsia="宋体"/>
          <w:lang w:eastAsia="zh-CN"/>
        </w:rPr>
        <w:t>（</w:t>
      </w:r>
      <w:r>
        <w:rPr>
          <w:rFonts w:hAnsi="Times New Roman" w:eastAsia="宋体"/>
          <w:lang w:eastAsia="zh-CN"/>
        </w:rPr>
        <w:t>GB 18306－2015</w:t>
      </w:r>
      <w:r>
        <w:rPr>
          <w:rFonts w:hint="eastAsia" w:hAnsi="Times New Roman" w:eastAsia="宋体"/>
          <w:lang w:eastAsia="zh-CN"/>
        </w:rPr>
        <w:t>）</w:t>
      </w:r>
      <w:r>
        <w:rPr>
          <w:rFonts w:hAnsi="Times New Roman" w:eastAsia="宋体"/>
          <w:lang w:eastAsia="zh-CN"/>
        </w:rPr>
        <w:t>：矿区地震基本烈度为Ⅵ度，地震动加速度值0.05g，地震动反应谱特征周期值0.35s。2008年“5·12”汶川特大地震和2013年“4·20”芦山7.0级地震对矿山影响较小。总体上讲，地震活动对七里峡煤矿影响较小，区域稳定性较好。</w:t>
      </w:r>
    </w:p>
    <w:p>
      <w:pPr>
        <w:pStyle w:val="6"/>
        <w:rPr>
          <w:lang w:eastAsia="zh-CN"/>
        </w:rPr>
      </w:pPr>
      <w:bookmarkStart w:id="140" w:name="_Toc163812538"/>
      <w:bookmarkStart w:id="141" w:name="_Toc167095161"/>
      <w:r>
        <w:rPr>
          <w:lang w:eastAsia="zh-CN"/>
        </w:rPr>
        <w:t>3.1.7 自然景观及人文景观</w:t>
      </w:r>
      <w:bookmarkEnd w:id="140"/>
      <w:bookmarkEnd w:id="141"/>
    </w:p>
    <w:p>
      <w:pPr>
        <w:spacing w:line="360" w:lineRule="auto"/>
        <w:ind w:firstLine="480" w:firstLineChars="200"/>
        <w:rPr>
          <w:rFonts w:hAnsi="Times New Roman" w:eastAsia="宋体"/>
          <w:lang w:eastAsia="zh-CN"/>
        </w:rPr>
      </w:pPr>
      <w:r>
        <w:rPr>
          <w:rFonts w:hAnsi="Times New Roman" w:eastAsia="宋体"/>
          <w:lang w:eastAsia="zh-CN"/>
        </w:rPr>
        <w:t>项目矿区、及评价范围内无受特殊保护的自然景观及人文景观。</w:t>
      </w:r>
    </w:p>
    <w:p>
      <w:pPr>
        <w:pStyle w:val="5"/>
        <w:rPr>
          <w:rFonts w:ascii="Times New Roman" w:hAnsi="Times New Roman"/>
          <w:lang w:eastAsia="zh-CN"/>
        </w:rPr>
      </w:pPr>
      <w:bookmarkStart w:id="142" w:name="_Toc163749161"/>
      <w:bookmarkStart w:id="143" w:name="_Toc167095162"/>
      <w:r>
        <w:rPr>
          <w:rFonts w:ascii="Times New Roman" w:hAnsi="Times New Roman"/>
          <w:lang w:eastAsia="zh-CN"/>
        </w:rPr>
        <w:t>3.2 区域环境质量现状</w:t>
      </w:r>
      <w:bookmarkEnd w:id="142"/>
      <w:bookmarkEnd w:id="143"/>
    </w:p>
    <w:p>
      <w:pPr>
        <w:pStyle w:val="6"/>
        <w:rPr>
          <w:lang w:eastAsia="zh-CN"/>
        </w:rPr>
      </w:pPr>
      <w:bookmarkStart w:id="144" w:name="_Toc163812540"/>
      <w:bookmarkStart w:id="145" w:name="_Toc167095163"/>
      <w:r>
        <w:rPr>
          <w:lang w:eastAsia="zh-CN"/>
        </w:rPr>
        <w:t>3.2.1 环境空气质量现状调查与评价</w:t>
      </w:r>
      <w:bookmarkEnd w:id="144"/>
      <w:bookmarkEnd w:id="145"/>
    </w:p>
    <w:p>
      <w:pPr>
        <w:pStyle w:val="16"/>
        <w:spacing w:line="360" w:lineRule="auto"/>
        <w:ind w:left="0" w:firstLine="482" w:firstLineChars="200"/>
        <w:rPr>
          <w:rFonts w:hAnsi="Times New Roman" w:eastAsia="宋体" w:cs="Times New Roman"/>
          <w:b/>
          <w:bCs/>
          <w:i w:val="0"/>
          <w:iCs w:val="0"/>
          <w:sz w:val="24"/>
          <w:szCs w:val="24"/>
          <w:lang w:eastAsia="zh-CN"/>
        </w:rPr>
      </w:pPr>
      <w:r>
        <w:rPr>
          <w:rFonts w:hAnsi="Times New Roman" w:eastAsia="宋体" w:cs="Times New Roman"/>
          <w:b/>
          <w:bCs/>
          <w:i w:val="0"/>
          <w:iCs w:val="0"/>
          <w:sz w:val="24"/>
          <w:szCs w:val="24"/>
          <w:lang w:eastAsia="zh-CN"/>
        </w:rPr>
        <w:t>（1）项目所在区域环境质量达标情况</w:t>
      </w:r>
    </w:p>
    <w:p>
      <w:pPr>
        <w:spacing w:line="360" w:lineRule="auto"/>
        <w:ind w:firstLine="480" w:firstLineChars="200"/>
        <w:rPr>
          <w:rFonts w:hAnsi="Times New Roman" w:eastAsia="宋体"/>
          <w:lang w:eastAsia="zh-CN"/>
        </w:rPr>
      </w:pPr>
      <w:r>
        <w:rPr>
          <w:rFonts w:hAnsi="Times New Roman" w:eastAsia="宋体"/>
          <w:lang w:eastAsia="zh-CN"/>
        </w:rPr>
        <w:t>根据达州市生态环境局官方网站发布的2022年1～12月《达州市各县（市、区）环境空气质量月报》中的数据进行评价，2022年达州市宣汉县各月环境空气质量见下表。</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w:t>
      </w:r>
      <w:r>
        <w:rPr>
          <w:rFonts w:hint="eastAsia" w:hAnsi="Times New Roman" w:eastAsia="宋体"/>
          <w:b/>
          <w:bCs/>
          <w:sz w:val="21"/>
          <w:szCs w:val="21"/>
          <w:lang w:eastAsia="zh-CN"/>
        </w:rPr>
        <w:t>3.2-1</w:t>
      </w:r>
      <w:r>
        <w:rPr>
          <w:rFonts w:hAnsi="Times New Roman" w:eastAsia="宋体"/>
          <w:b/>
          <w:bCs/>
          <w:sz w:val="21"/>
          <w:szCs w:val="21"/>
          <w:lang w:eastAsia="zh-CN"/>
        </w:rPr>
        <w:t xml:space="preserve"> 区域空气质量现状评价表</w:t>
      </w:r>
    </w:p>
    <w:tbl>
      <w:tblPr>
        <w:tblStyle w:val="33"/>
        <w:tblW w:w="5000"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539"/>
        <w:gridCol w:w="1019"/>
        <w:gridCol w:w="861"/>
        <w:gridCol w:w="1001"/>
        <w:gridCol w:w="940"/>
        <w:gridCol w:w="940"/>
        <w:gridCol w:w="940"/>
        <w:gridCol w:w="647"/>
        <w:gridCol w:w="647"/>
        <w:gridCol w:w="612"/>
        <w:gridCol w:w="612"/>
        <w:gridCol w:w="384"/>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7" w:hRule="atLeast"/>
          <w:tblHeader/>
          <w:jc w:val="center"/>
        </w:trPr>
        <w:tc>
          <w:tcPr>
            <w:tcW w:w="295"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18"/>
                <w:szCs w:val="18"/>
                <w:lang w:bidi="ar"/>
              </w:rPr>
            </w:pPr>
            <w:r>
              <w:rPr>
                <w:rFonts w:hint="eastAsia" w:hAnsi="Times New Roman" w:eastAsia="宋体"/>
                <w:b/>
                <w:bCs/>
                <w:kern w:val="2"/>
                <w:sz w:val="18"/>
                <w:szCs w:val="18"/>
                <w:lang w:bidi="ar"/>
              </w:rPr>
              <w:t>月份</w:t>
            </w:r>
          </w:p>
        </w:tc>
        <w:tc>
          <w:tcPr>
            <w:tcW w:w="557"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18"/>
                <w:szCs w:val="18"/>
                <w:lang w:bidi="ar"/>
              </w:rPr>
            </w:pPr>
            <w:r>
              <w:rPr>
                <w:rFonts w:hint="eastAsia" w:hAnsi="Times New Roman" w:eastAsia="宋体"/>
                <w:b/>
                <w:bCs/>
                <w:kern w:val="2"/>
                <w:sz w:val="18"/>
                <w:szCs w:val="18"/>
                <w:lang w:bidi="ar"/>
              </w:rPr>
              <w:t>SO</w:t>
            </w:r>
            <w:r>
              <w:rPr>
                <w:rFonts w:hint="eastAsia" w:hAnsi="Times New Roman" w:eastAsia="宋体"/>
                <w:b/>
                <w:bCs/>
                <w:kern w:val="2"/>
                <w:sz w:val="18"/>
                <w:szCs w:val="18"/>
                <w:vertAlign w:val="subscript"/>
                <w:lang w:bidi="ar"/>
              </w:rPr>
              <w:t>2</w:t>
            </w:r>
            <w:r>
              <w:rPr>
                <w:rFonts w:hint="eastAsia" w:hAnsi="Times New Roman" w:eastAsia="宋体"/>
                <w:b/>
                <w:bCs/>
                <w:kern w:val="2"/>
                <w:sz w:val="18"/>
                <w:szCs w:val="18"/>
                <w:lang w:bidi="ar"/>
              </w:rPr>
              <w:t>（</w:t>
            </w:r>
            <w:r>
              <w:rPr>
                <w:rFonts w:hint="eastAsia" w:hAnsi="Times New Roman" w:eastAsia="宋体"/>
                <w:b/>
                <w:bCs/>
                <w:kern w:val="2"/>
                <w:sz w:val="18"/>
                <w:szCs w:val="18"/>
                <w:lang w:eastAsia="zh-CN" w:bidi="ar"/>
              </w:rPr>
              <w:t>μg/m</w:t>
            </w:r>
            <w:r>
              <w:rPr>
                <w:rFonts w:hint="eastAsia" w:hAnsi="Times New Roman" w:eastAsia="宋体"/>
                <w:b/>
                <w:bCs/>
                <w:kern w:val="2"/>
                <w:sz w:val="18"/>
                <w:szCs w:val="18"/>
                <w:vertAlign w:val="superscript"/>
                <w:lang w:eastAsia="zh-CN" w:bidi="ar"/>
              </w:rPr>
              <w:t>3</w:t>
            </w:r>
            <w:r>
              <w:rPr>
                <w:rFonts w:hint="eastAsia" w:hAnsi="Times New Roman" w:eastAsia="宋体"/>
                <w:b/>
                <w:bCs/>
                <w:kern w:val="2"/>
                <w:sz w:val="18"/>
                <w:szCs w:val="18"/>
                <w:lang w:bidi="ar"/>
              </w:rPr>
              <w:t>）</w:t>
            </w:r>
          </w:p>
        </w:tc>
        <w:tc>
          <w:tcPr>
            <w:tcW w:w="471"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18"/>
                <w:szCs w:val="18"/>
                <w:vertAlign w:val="subscript"/>
                <w:lang w:bidi="ar"/>
              </w:rPr>
            </w:pPr>
            <w:r>
              <w:rPr>
                <w:rFonts w:hint="eastAsia" w:hAnsi="Times New Roman" w:eastAsia="宋体"/>
                <w:b/>
                <w:bCs/>
                <w:kern w:val="2"/>
                <w:sz w:val="18"/>
                <w:szCs w:val="18"/>
                <w:lang w:bidi="ar"/>
              </w:rPr>
              <w:t>NO</w:t>
            </w:r>
            <w:r>
              <w:rPr>
                <w:rFonts w:hint="eastAsia" w:hAnsi="Times New Roman" w:eastAsia="宋体"/>
                <w:b/>
                <w:bCs/>
                <w:kern w:val="2"/>
                <w:sz w:val="18"/>
                <w:szCs w:val="18"/>
                <w:vertAlign w:val="subscript"/>
                <w:lang w:bidi="ar"/>
              </w:rPr>
              <w:t>2</w:t>
            </w:r>
          </w:p>
          <w:p>
            <w:pPr>
              <w:keepNext w:val="0"/>
              <w:keepLines w:val="0"/>
              <w:suppressLineNumbers w:val="0"/>
              <w:spacing w:before="0" w:beforeAutospacing="0" w:after="0" w:afterAutospacing="0"/>
              <w:ind w:left="0" w:right="0"/>
              <w:jc w:val="center"/>
              <w:rPr>
                <w:rFonts w:hint="eastAsia" w:hAnsi="Times New Roman" w:eastAsia="宋体"/>
                <w:b/>
                <w:bCs/>
                <w:kern w:val="2"/>
                <w:sz w:val="18"/>
                <w:szCs w:val="18"/>
                <w:lang w:bidi="ar"/>
              </w:rPr>
            </w:pPr>
            <w:r>
              <w:rPr>
                <w:rFonts w:hint="eastAsia" w:hAnsi="Times New Roman" w:eastAsia="宋体"/>
                <w:b/>
                <w:bCs/>
                <w:kern w:val="2"/>
                <w:sz w:val="18"/>
                <w:szCs w:val="18"/>
                <w:lang w:bidi="ar"/>
              </w:rPr>
              <w:t>（</w:t>
            </w:r>
            <w:r>
              <w:rPr>
                <w:rFonts w:hint="eastAsia" w:hAnsi="Times New Roman" w:eastAsia="宋体"/>
                <w:b/>
                <w:bCs/>
                <w:kern w:val="2"/>
                <w:sz w:val="18"/>
                <w:szCs w:val="18"/>
                <w:lang w:eastAsia="zh-CN" w:bidi="ar"/>
              </w:rPr>
              <w:t>μg/m</w:t>
            </w:r>
            <w:r>
              <w:rPr>
                <w:rFonts w:hint="eastAsia" w:hAnsi="Times New Roman" w:eastAsia="宋体"/>
                <w:b/>
                <w:bCs/>
                <w:kern w:val="2"/>
                <w:sz w:val="18"/>
                <w:szCs w:val="18"/>
                <w:vertAlign w:val="superscript"/>
                <w:lang w:eastAsia="zh-CN" w:bidi="ar"/>
              </w:rPr>
              <w:t>3</w:t>
            </w:r>
            <w:r>
              <w:rPr>
                <w:rFonts w:hint="eastAsia" w:hAnsi="Times New Roman" w:eastAsia="宋体"/>
                <w:b/>
                <w:bCs/>
                <w:kern w:val="2"/>
                <w:sz w:val="18"/>
                <w:szCs w:val="18"/>
                <w:lang w:bidi="ar"/>
              </w:rPr>
              <w:t>）</w:t>
            </w:r>
          </w:p>
        </w:tc>
        <w:tc>
          <w:tcPr>
            <w:tcW w:w="547"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18"/>
                <w:szCs w:val="18"/>
                <w:lang w:bidi="ar"/>
              </w:rPr>
            </w:pPr>
            <w:r>
              <w:rPr>
                <w:rFonts w:hint="eastAsia" w:hAnsi="Times New Roman" w:eastAsia="宋体"/>
                <w:b/>
                <w:bCs/>
                <w:kern w:val="2"/>
                <w:sz w:val="18"/>
                <w:szCs w:val="18"/>
                <w:lang w:bidi="ar"/>
              </w:rPr>
              <w:t>CO（mg/m</w:t>
            </w:r>
            <w:r>
              <w:rPr>
                <w:rFonts w:hint="eastAsia" w:hAnsi="Times New Roman" w:eastAsia="宋体"/>
                <w:b/>
                <w:bCs/>
                <w:kern w:val="2"/>
                <w:sz w:val="18"/>
                <w:szCs w:val="18"/>
                <w:vertAlign w:val="superscript"/>
                <w:lang w:bidi="ar"/>
              </w:rPr>
              <w:t>3</w:t>
            </w:r>
            <w:r>
              <w:rPr>
                <w:rFonts w:hint="eastAsia" w:hAnsi="Times New Roman" w:eastAsia="宋体"/>
                <w:b/>
                <w:bCs/>
                <w:kern w:val="2"/>
                <w:sz w:val="18"/>
                <w:szCs w:val="18"/>
                <w:lang w:bidi="ar"/>
              </w:rPr>
              <w:t>）</w:t>
            </w:r>
          </w:p>
        </w:tc>
        <w:tc>
          <w:tcPr>
            <w:tcW w:w="514"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18"/>
                <w:szCs w:val="18"/>
                <w:lang w:bidi="ar"/>
              </w:rPr>
            </w:pPr>
            <w:r>
              <w:rPr>
                <w:rFonts w:hint="eastAsia" w:hAnsi="Times New Roman" w:eastAsia="宋体"/>
                <w:b/>
                <w:bCs/>
                <w:kern w:val="2"/>
                <w:sz w:val="18"/>
                <w:szCs w:val="18"/>
                <w:lang w:bidi="ar"/>
              </w:rPr>
              <w:t>O</w:t>
            </w:r>
            <w:r>
              <w:rPr>
                <w:rFonts w:hint="eastAsia" w:hAnsi="Times New Roman" w:eastAsia="宋体"/>
                <w:b/>
                <w:bCs/>
                <w:kern w:val="2"/>
                <w:sz w:val="18"/>
                <w:szCs w:val="18"/>
                <w:vertAlign w:val="subscript"/>
                <w:lang w:bidi="ar"/>
              </w:rPr>
              <w:t>3</w:t>
            </w:r>
            <w:r>
              <w:rPr>
                <w:rFonts w:hint="eastAsia" w:hAnsi="Times New Roman" w:eastAsia="宋体"/>
                <w:b/>
                <w:bCs/>
                <w:kern w:val="2"/>
                <w:sz w:val="18"/>
                <w:szCs w:val="18"/>
                <w:lang w:bidi="ar"/>
              </w:rPr>
              <w:t>（</w:t>
            </w:r>
            <w:r>
              <w:rPr>
                <w:rFonts w:hint="eastAsia" w:hAnsi="Times New Roman" w:eastAsia="宋体"/>
                <w:b/>
                <w:bCs/>
                <w:kern w:val="2"/>
                <w:sz w:val="18"/>
                <w:szCs w:val="18"/>
                <w:lang w:eastAsia="zh-CN" w:bidi="ar"/>
              </w:rPr>
              <w:t>μg/m</w:t>
            </w:r>
            <w:r>
              <w:rPr>
                <w:rFonts w:hint="eastAsia" w:hAnsi="Times New Roman" w:eastAsia="宋体"/>
                <w:b/>
                <w:bCs/>
                <w:kern w:val="2"/>
                <w:sz w:val="18"/>
                <w:szCs w:val="18"/>
                <w:vertAlign w:val="superscript"/>
                <w:lang w:eastAsia="zh-CN" w:bidi="ar"/>
              </w:rPr>
              <w:t>3</w:t>
            </w:r>
            <w:r>
              <w:rPr>
                <w:rFonts w:hint="eastAsia" w:hAnsi="Times New Roman" w:eastAsia="宋体"/>
                <w:b/>
                <w:bCs/>
                <w:kern w:val="2"/>
                <w:sz w:val="18"/>
                <w:szCs w:val="18"/>
                <w:lang w:bidi="ar"/>
              </w:rPr>
              <w:t>）</w:t>
            </w:r>
          </w:p>
        </w:tc>
        <w:tc>
          <w:tcPr>
            <w:tcW w:w="514"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18"/>
                <w:szCs w:val="18"/>
                <w:vertAlign w:val="subscript"/>
                <w:lang w:bidi="ar"/>
              </w:rPr>
            </w:pPr>
            <w:r>
              <w:rPr>
                <w:rFonts w:hint="eastAsia" w:hAnsi="Times New Roman" w:eastAsia="宋体"/>
                <w:b/>
                <w:bCs/>
                <w:kern w:val="2"/>
                <w:sz w:val="18"/>
                <w:szCs w:val="18"/>
                <w:lang w:bidi="ar"/>
              </w:rPr>
              <w:t>PM</w:t>
            </w:r>
            <w:r>
              <w:rPr>
                <w:rFonts w:hint="eastAsia" w:hAnsi="Times New Roman" w:eastAsia="宋体"/>
                <w:b/>
                <w:bCs/>
                <w:kern w:val="2"/>
                <w:sz w:val="18"/>
                <w:szCs w:val="18"/>
                <w:vertAlign w:val="subscript"/>
                <w:lang w:bidi="ar"/>
              </w:rPr>
              <w:t>2.5</w:t>
            </w:r>
          </w:p>
          <w:p>
            <w:pPr>
              <w:keepNext w:val="0"/>
              <w:keepLines w:val="0"/>
              <w:suppressLineNumbers w:val="0"/>
              <w:spacing w:before="0" w:beforeAutospacing="0" w:after="0" w:afterAutospacing="0"/>
              <w:ind w:left="0" w:right="0"/>
              <w:jc w:val="center"/>
              <w:rPr>
                <w:rFonts w:hint="eastAsia" w:hAnsi="Times New Roman" w:eastAsia="宋体"/>
                <w:b/>
                <w:bCs/>
                <w:kern w:val="2"/>
                <w:sz w:val="18"/>
                <w:szCs w:val="18"/>
                <w:lang w:bidi="ar"/>
              </w:rPr>
            </w:pPr>
            <w:r>
              <w:rPr>
                <w:rFonts w:hint="eastAsia" w:hAnsi="Times New Roman" w:eastAsia="宋体"/>
                <w:b/>
                <w:bCs/>
                <w:kern w:val="2"/>
                <w:sz w:val="18"/>
                <w:szCs w:val="18"/>
                <w:lang w:bidi="ar"/>
              </w:rPr>
              <w:t>（</w:t>
            </w:r>
            <w:r>
              <w:rPr>
                <w:rFonts w:hint="eastAsia" w:hAnsi="Times New Roman" w:eastAsia="宋体"/>
                <w:b/>
                <w:bCs/>
                <w:kern w:val="2"/>
                <w:sz w:val="18"/>
                <w:szCs w:val="18"/>
                <w:lang w:eastAsia="zh-CN" w:bidi="ar"/>
              </w:rPr>
              <w:t>μg/m</w:t>
            </w:r>
            <w:r>
              <w:rPr>
                <w:rFonts w:hint="eastAsia" w:hAnsi="Times New Roman" w:eastAsia="宋体"/>
                <w:b/>
                <w:bCs/>
                <w:kern w:val="2"/>
                <w:sz w:val="18"/>
                <w:szCs w:val="18"/>
                <w:vertAlign w:val="superscript"/>
                <w:lang w:eastAsia="zh-CN" w:bidi="ar"/>
              </w:rPr>
              <w:t>3</w:t>
            </w:r>
            <w:r>
              <w:rPr>
                <w:rFonts w:hint="eastAsia" w:hAnsi="Times New Roman" w:eastAsia="宋体"/>
                <w:b/>
                <w:bCs/>
                <w:kern w:val="2"/>
                <w:sz w:val="18"/>
                <w:szCs w:val="18"/>
                <w:lang w:bidi="ar"/>
              </w:rPr>
              <w:t>）</w:t>
            </w:r>
          </w:p>
        </w:tc>
        <w:tc>
          <w:tcPr>
            <w:tcW w:w="514"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18"/>
                <w:szCs w:val="18"/>
                <w:vertAlign w:val="subscript"/>
                <w:lang w:bidi="ar"/>
              </w:rPr>
            </w:pPr>
            <w:r>
              <w:rPr>
                <w:rFonts w:hint="eastAsia" w:hAnsi="Times New Roman" w:eastAsia="宋体"/>
                <w:b/>
                <w:bCs/>
                <w:kern w:val="2"/>
                <w:sz w:val="18"/>
                <w:szCs w:val="18"/>
                <w:lang w:bidi="ar"/>
              </w:rPr>
              <w:t>PM</w:t>
            </w:r>
            <w:r>
              <w:rPr>
                <w:rFonts w:hint="eastAsia" w:hAnsi="Times New Roman" w:eastAsia="宋体"/>
                <w:b/>
                <w:bCs/>
                <w:kern w:val="2"/>
                <w:sz w:val="18"/>
                <w:szCs w:val="18"/>
                <w:vertAlign w:val="subscript"/>
                <w:lang w:bidi="ar"/>
              </w:rPr>
              <w:t>10</w:t>
            </w:r>
          </w:p>
          <w:p>
            <w:pPr>
              <w:keepNext w:val="0"/>
              <w:keepLines w:val="0"/>
              <w:suppressLineNumbers w:val="0"/>
              <w:spacing w:before="0" w:beforeAutospacing="0" w:after="0" w:afterAutospacing="0"/>
              <w:ind w:left="0" w:right="0"/>
              <w:jc w:val="center"/>
              <w:rPr>
                <w:rFonts w:hint="eastAsia" w:hAnsi="Times New Roman" w:eastAsia="宋体"/>
                <w:b/>
                <w:bCs/>
                <w:kern w:val="2"/>
                <w:sz w:val="18"/>
                <w:szCs w:val="18"/>
                <w:lang w:bidi="ar"/>
              </w:rPr>
            </w:pPr>
            <w:r>
              <w:rPr>
                <w:rFonts w:hint="eastAsia" w:hAnsi="Times New Roman" w:eastAsia="宋体"/>
                <w:b/>
                <w:bCs/>
                <w:kern w:val="2"/>
                <w:sz w:val="18"/>
                <w:szCs w:val="18"/>
                <w:lang w:bidi="ar"/>
              </w:rPr>
              <w:t>（</w:t>
            </w:r>
            <w:r>
              <w:rPr>
                <w:rFonts w:hint="eastAsia" w:hAnsi="Times New Roman" w:eastAsia="宋体"/>
                <w:b/>
                <w:bCs/>
                <w:kern w:val="2"/>
                <w:sz w:val="18"/>
                <w:szCs w:val="18"/>
                <w:lang w:eastAsia="zh-CN" w:bidi="ar"/>
              </w:rPr>
              <w:t>μg/m</w:t>
            </w:r>
            <w:r>
              <w:rPr>
                <w:rFonts w:hint="eastAsia" w:hAnsi="Times New Roman" w:eastAsia="宋体"/>
                <w:b/>
                <w:bCs/>
                <w:kern w:val="2"/>
                <w:sz w:val="18"/>
                <w:szCs w:val="18"/>
                <w:vertAlign w:val="superscript"/>
                <w:lang w:eastAsia="zh-CN" w:bidi="ar"/>
              </w:rPr>
              <w:t>3</w:t>
            </w:r>
            <w:r>
              <w:rPr>
                <w:rFonts w:hint="eastAsia" w:hAnsi="Times New Roman" w:eastAsia="宋体"/>
                <w:b/>
                <w:bCs/>
                <w:kern w:val="2"/>
                <w:sz w:val="18"/>
                <w:szCs w:val="18"/>
                <w:lang w:bidi="ar"/>
              </w:rPr>
              <w:t>）</w:t>
            </w:r>
          </w:p>
        </w:tc>
        <w:tc>
          <w:tcPr>
            <w:tcW w:w="354"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18"/>
                <w:szCs w:val="18"/>
                <w:lang w:bidi="ar"/>
              </w:rPr>
            </w:pPr>
            <w:r>
              <w:rPr>
                <w:rFonts w:hint="eastAsia" w:hAnsi="Times New Roman" w:eastAsia="宋体"/>
                <w:b/>
                <w:bCs/>
                <w:kern w:val="2"/>
                <w:sz w:val="18"/>
                <w:szCs w:val="18"/>
                <w:lang w:bidi="ar"/>
              </w:rPr>
              <w:t>有效监测天数（天）</w:t>
            </w:r>
          </w:p>
        </w:tc>
        <w:tc>
          <w:tcPr>
            <w:tcW w:w="354"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18"/>
                <w:szCs w:val="18"/>
                <w:lang w:bidi="ar"/>
              </w:rPr>
            </w:pPr>
            <w:r>
              <w:rPr>
                <w:rFonts w:hint="eastAsia" w:hAnsi="Times New Roman" w:eastAsia="宋体"/>
                <w:b/>
                <w:bCs/>
                <w:kern w:val="2"/>
                <w:sz w:val="18"/>
                <w:szCs w:val="18"/>
                <w:lang w:bidi="ar"/>
              </w:rPr>
              <w:t>达标天数（天）</w:t>
            </w:r>
          </w:p>
        </w:tc>
        <w:tc>
          <w:tcPr>
            <w:tcW w:w="335"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18"/>
                <w:szCs w:val="18"/>
                <w:lang w:bidi="ar"/>
              </w:rPr>
            </w:pPr>
            <w:r>
              <w:rPr>
                <w:rFonts w:hint="eastAsia" w:hAnsi="Times New Roman" w:eastAsia="宋体"/>
                <w:b/>
                <w:bCs/>
                <w:kern w:val="2"/>
                <w:sz w:val="18"/>
                <w:szCs w:val="18"/>
                <w:lang w:bidi="ar"/>
              </w:rPr>
              <w:t>达标率（%）</w:t>
            </w:r>
          </w:p>
        </w:tc>
        <w:tc>
          <w:tcPr>
            <w:tcW w:w="335"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18"/>
                <w:szCs w:val="18"/>
                <w:lang w:bidi="ar"/>
              </w:rPr>
            </w:pPr>
            <w:r>
              <w:rPr>
                <w:rFonts w:hint="eastAsia" w:hAnsi="Times New Roman" w:eastAsia="宋体"/>
                <w:b/>
                <w:bCs/>
                <w:kern w:val="2"/>
                <w:sz w:val="18"/>
                <w:szCs w:val="18"/>
                <w:lang w:bidi="ar"/>
              </w:rPr>
              <w:t>达标率同比（%）</w:t>
            </w:r>
          </w:p>
        </w:tc>
        <w:tc>
          <w:tcPr>
            <w:tcW w:w="210"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18"/>
                <w:szCs w:val="18"/>
                <w:lang w:bidi="ar"/>
              </w:rPr>
            </w:pPr>
            <w:r>
              <w:rPr>
                <w:rFonts w:hint="eastAsia" w:hAnsi="Times New Roman" w:eastAsia="宋体"/>
                <w:b/>
                <w:bCs/>
                <w:kern w:val="2"/>
                <w:sz w:val="18"/>
                <w:szCs w:val="18"/>
                <w:lang w:bidi="ar"/>
              </w:rPr>
              <w:t>空气质量综合指数</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29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1月</w:t>
            </w:r>
          </w:p>
        </w:tc>
        <w:tc>
          <w:tcPr>
            <w:tcW w:w="55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5</w:t>
            </w:r>
          </w:p>
        </w:tc>
        <w:tc>
          <w:tcPr>
            <w:tcW w:w="471"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11</w:t>
            </w:r>
          </w:p>
        </w:tc>
        <w:tc>
          <w:tcPr>
            <w:tcW w:w="54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1.3</w:t>
            </w:r>
          </w:p>
        </w:tc>
        <w:tc>
          <w:tcPr>
            <w:tcW w:w="51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30</w:t>
            </w:r>
          </w:p>
        </w:tc>
        <w:tc>
          <w:tcPr>
            <w:tcW w:w="51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52</w:t>
            </w:r>
          </w:p>
        </w:tc>
        <w:tc>
          <w:tcPr>
            <w:tcW w:w="51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65</w:t>
            </w:r>
          </w:p>
        </w:tc>
        <w:tc>
          <w:tcPr>
            <w:tcW w:w="35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31</w:t>
            </w:r>
          </w:p>
        </w:tc>
        <w:tc>
          <w:tcPr>
            <w:tcW w:w="35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26</w:t>
            </w:r>
          </w:p>
        </w:tc>
        <w:tc>
          <w:tcPr>
            <w:tcW w:w="33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83.9</w:t>
            </w:r>
          </w:p>
        </w:tc>
        <w:tc>
          <w:tcPr>
            <w:tcW w:w="33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29.1</w:t>
            </w:r>
          </w:p>
        </w:tc>
        <w:tc>
          <w:tcPr>
            <w:tcW w:w="21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3.29</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29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2月</w:t>
            </w:r>
          </w:p>
        </w:tc>
        <w:tc>
          <w:tcPr>
            <w:tcW w:w="55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3</w:t>
            </w:r>
          </w:p>
        </w:tc>
        <w:tc>
          <w:tcPr>
            <w:tcW w:w="471"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19</w:t>
            </w:r>
          </w:p>
        </w:tc>
        <w:tc>
          <w:tcPr>
            <w:tcW w:w="54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0.8</w:t>
            </w:r>
          </w:p>
        </w:tc>
        <w:tc>
          <w:tcPr>
            <w:tcW w:w="51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35</w:t>
            </w:r>
          </w:p>
        </w:tc>
        <w:tc>
          <w:tcPr>
            <w:tcW w:w="51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37</w:t>
            </w:r>
          </w:p>
        </w:tc>
        <w:tc>
          <w:tcPr>
            <w:tcW w:w="51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51</w:t>
            </w:r>
          </w:p>
        </w:tc>
        <w:tc>
          <w:tcPr>
            <w:tcW w:w="35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28</w:t>
            </w:r>
          </w:p>
        </w:tc>
        <w:tc>
          <w:tcPr>
            <w:tcW w:w="35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28</w:t>
            </w:r>
          </w:p>
        </w:tc>
        <w:tc>
          <w:tcPr>
            <w:tcW w:w="33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100</w:t>
            </w:r>
          </w:p>
        </w:tc>
        <w:tc>
          <w:tcPr>
            <w:tcW w:w="33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17.9</w:t>
            </w:r>
          </w:p>
        </w:tc>
        <w:tc>
          <w:tcPr>
            <w:tcW w:w="21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2.74</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29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3月</w:t>
            </w:r>
          </w:p>
        </w:tc>
        <w:tc>
          <w:tcPr>
            <w:tcW w:w="55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3</w:t>
            </w:r>
          </w:p>
        </w:tc>
        <w:tc>
          <w:tcPr>
            <w:tcW w:w="471"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22</w:t>
            </w:r>
          </w:p>
        </w:tc>
        <w:tc>
          <w:tcPr>
            <w:tcW w:w="54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0.8</w:t>
            </w:r>
          </w:p>
        </w:tc>
        <w:tc>
          <w:tcPr>
            <w:tcW w:w="51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98</w:t>
            </w:r>
          </w:p>
        </w:tc>
        <w:tc>
          <w:tcPr>
            <w:tcW w:w="51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28</w:t>
            </w:r>
          </w:p>
        </w:tc>
        <w:tc>
          <w:tcPr>
            <w:tcW w:w="51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55</w:t>
            </w:r>
          </w:p>
        </w:tc>
        <w:tc>
          <w:tcPr>
            <w:tcW w:w="35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31</w:t>
            </w:r>
          </w:p>
        </w:tc>
        <w:tc>
          <w:tcPr>
            <w:tcW w:w="35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31</w:t>
            </w:r>
          </w:p>
        </w:tc>
        <w:tc>
          <w:tcPr>
            <w:tcW w:w="33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100</w:t>
            </w:r>
          </w:p>
        </w:tc>
        <w:tc>
          <w:tcPr>
            <w:tcW w:w="33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0</w:t>
            </w:r>
          </w:p>
        </w:tc>
        <w:tc>
          <w:tcPr>
            <w:tcW w:w="21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3.0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29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4月</w:t>
            </w:r>
          </w:p>
        </w:tc>
        <w:tc>
          <w:tcPr>
            <w:tcW w:w="55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3</w:t>
            </w:r>
          </w:p>
        </w:tc>
        <w:tc>
          <w:tcPr>
            <w:tcW w:w="471"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20</w:t>
            </w:r>
          </w:p>
        </w:tc>
        <w:tc>
          <w:tcPr>
            <w:tcW w:w="54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0.6</w:t>
            </w:r>
          </w:p>
        </w:tc>
        <w:tc>
          <w:tcPr>
            <w:tcW w:w="51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110</w:t>
            </w:r>
          </w:p>
        </w:tc>
        <w:tc>
          <w:tcPr>
            <w:tcW w:w="51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19</w:t>
            </w:r>
          </w:p>
        </w:tc>
        <w:tc>
          <w:tcPr>
            <w:tcW w:w="51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47</w:t>
            </w:r>
          </w:p>
        </w:tc>
        <w:tc>
          <w:tcPr>
            <w:tcW w:w="35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30</w:t>
            </w:r>
          </w:p>
        </w:tc>
        <w:tc>
          <w:tcPr>
            <w:tcW w:w="35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30</w:t>
            </w:r>
          </w:p>
        </w:tc>
        <w:tc>
          <w:tcPr>
            <w:tcW w:w="33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100</w:t>
            </w:r>
          </w:p>
        </w:tc>
        <w:tc>
          <w:tcPr>
            <w:tcW w:w="33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0</w:t>
            </w:r>
          </w:p>
        </w:tc>
        <w:tc>
          <w:tcPr>
            <w:tcW w:w="21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2.60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29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5月</w:t>
            </w:r>
          </w:p>
        </w:tc>
        <w:tc>
          <w:tcPr>
            <w:tcW w:w="55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4</w:t>
            </w:r>
          </w:p>
        </w:tc>
        <w:tc>
          <w:tcPr>
            <w:tcW w:w="471"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22</w:t>
            </w:r>
          </w:p>
        </w:tc>
        <w:tc>
          <w:tcPr>
            <w:tcW w:w="54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0.7</w:t>
            </w:r>
          </w:p>
        </w:tc>
        <w:tc>
          <w:tcPr>
            <w:tcW w:w="51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113</w:t>
            </w:r>
          </w:p>
        </w:tc>
        <w:tc>
          <w:tcPr>
            <w:tcW w:w="51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22</w:t>
            </w:r>
          </w:p>
        </w:tc>
        <w:tc>
          <w:tcPr>
            <w:tcW w:w="51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46</w:t>
            </w:r>
          </w:p>
        </w:tc>
        <w:tc>
          <w:tcPr>
            <w:tcW w:w="35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31</w:t>
            </w:r>
          </w:p>
        </w:tc>
        <w:tc>
          <w:tcPr>
            <w:tcW w:w="35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31</w:t>
            </w:r>
          </w:p>
        </w:tc>
        <w:tc>
          <w:tcPr>
            <w:tcW w:w="33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100</w:t>
            </w:r>
          </w:p>
        </w:tc>
        <w:tc>
          <w:tcPr>
            <w:tcW w:w="33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0</w:t>
            </w:r>
          </w:p>
        </w:tc>
        <w:tc>
          <w:tcPr>
            <w:tcW w:w="21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2.80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29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6月</w:t>
            </w:r>
          </w:p>
        </w:tc>
        <w:tc>
          <w:tcPr>
            <w:tcW w:w="55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6</w:t>
            </w:r>
          </w:p>
        </w:tc>
        <w:tc>
          <w:tcPr>
            <w:tcW w:w="471"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22</w:t>
            </w:r>
          </w:p>
        </w:tc>
        <w:tc>
          <w:tcPr>
            <w:tcW w:w="54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0.7</w:t>
            </w:r>
          </w:p>
        </w:tc>
        <w:tc>
          <w:tcPr>
            <w:tcW w:w="51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123</w:t>
            </w:r>
          </w:p>
        </w:tc>
        <w:tc>
          <w:tcPr>
            <w:tcW w:w="51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16</w:t>
            </w:r>
          </w:p>
        </w:tc>
        <w:tc>
          <w:tcPr>
            <w:tcW w:w="51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43</w:t>
            </w:r>
          </w:p>
        </w:tc>
        <w:tc>
          <w:tcPr>
            <w:tcW w:w="35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30</w:t>
            </w:r>
          </w:p>
        </w:tc>
        <w:tc>
          <w:tcPr>
            <w:tcW w:w="35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30</w:t>
            </w:r>
          </w:p>
        </w:tc>
        <w:tc>
          <w:tcPr>
            <w:tcW w:w="33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100</w:t>
            </w:r>
          </w:p>
        </w:tc>
        <w:tc>
          <w:tcPr>
            <w:tcW w:w="33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0</w:t>
            </w:r>
          </w:p>
        </w:tc>
        <w:tc>
          <w:tcPr>
            <w:tcW w:w="21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2.67</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29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7月</w:t>
            </w:r>
          </w:p>
        </w:tc>
        <w:tc>
          <w:tcPr>
            <w:tcW w:w="55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4</w:t>
            </w:r>
          </w:p>
        </w:tc>
        <w:tc>
          <w:tcPr>
            <w:tcW w:w="471"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16</w:t>
            </w:r>
          </w:p>
        </w:tc>
        <w:tc>
          <w:tcPr>
            <w:tcW w:w="54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0.4</w:t>
            </w:r>
          </w:p>
        </w:tc>
        <w:tc>
          <w:tcPr>
            <w:tcW w:w="51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84</w:t>
            </w:r>
          </w:p>
        </w:tc>
        <w:tc>
          <w:tcPr>
            <w:tcW w:w="51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12</w:t>
            </w:r>
          </w:p>
        </w:tc>
        <w:tc>
          <w:tcPr>
            <w:tcW w:w="51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28</w:t>
            </w:r>
          </w:p>
        </w:tc>
        <w:tc>
          <w:tcPr>
            <w:tcW w:w="35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31</w:t>
            </w:r>
          </w:p>
        </w:tc>
        <w:tc>
          <w:tcPr>
            <w:tcW w:w="35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31</w:t>
            </w:r>
          </w:p>
        </w:tc>
        <w:tc>
          <w:tcPr>
            <w:tcW w:w="33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100</w:t>
            </w:r>
          </w:p>
        </w:tc>
        <w:tc>
          <w:tcPr>
            <w:tcW w:w="33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0</w:t>
            </w:r>
          </w:p>
        </w:tc>
        <w:tc>
          <w:tcPr>
            <w:tcW w:w="21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1.83</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29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8月</w:t>
            </w:r>
          </w:p>
        </w:tc>
        <w:tc>
          <w:tcPr>
            <w:tcW w:w="55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6</w:t>
            </w:r>
          </w:p>
        </w:tc>
        <w:tc>
          <w:tcPr>
            <w:tcW w:w="471"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13</w:t>
            </w:r>
          </w:p>
        </w:tc>
        <w:tc>
          <w:tcPr>
            <w:tcW w:w="54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1.0</w:t>
            </w:r>
          </w:p>
        </w:tc>
        <w:tc>
          <w:tcPr>
            <w:tcW w:w="51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88</w:t>
            </w:r>
          </w:p>
        </w:tc>
        <w:tc>
          <w:tcPr>
            <w:tcW w:w="51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14</w:t>
            </w:r>
          </w:p>
        </w:tc>
        <w:tc>
          <w:tcPr>
            <w:tcW w:w="51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29</w:t>
            </w:r>
          </w:p>
        </w:tc>
        <w:tc>
          <w:tcPr>
            <w:tcW w:w="35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31</w:t>
            </w:r>
          </w:p>
        </w:tc>
        <w:tc>
          <w:tcPr>
            <w:tcW w:w="35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31</w:t>
            </w:r>
          </w:p>
        </w:tc>
        <w:tc>
          <w:tcPr>
            <w:tcW w:w="33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100</w:t>
            </w:r>
          </w:p>
        </w:tc>
        <w:tc>
          <w:tcPr>
            <w:tcW w:w="33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0</w:t>
            </w:r>
          </w:p>
        </w:tc>
        <w:tc>
          <w:tcPr>
            <w:tcW w:w="21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2.03</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29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9月</w:t>
            </w:r>
          </w:p>
        </w:tc>
        <w:tc>
          <w:tcPr>
            <w:tcW w:w="55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6</w:t>
            </w:r>
          </w:p>
        </w:tc>
        <w:tc>
          <w:tcPr>
            <w:tcW w:w="471"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15</w:t>
            </w:r>
          </w:p>
        </w:tc>
        <w:tc>
          <w:tcPr>
            <w:tcW w:w="54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1.1</w:t>
            </w:r>
          </w:p>
        </w:tc>
        <w:tc>
          <w:tcPr>
            <w:tcW w:w="51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91</w:t>
            </w:r>
          </w:p>
        </w:tc>
        <w:tc>
          <w:tcPr>
            <w:tcW w:w="51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24</w:t>
            </w:r>
          </w:p>
        </w:tc>
        <w:tc>
          <w:tcPr>
            <w:tcW w:w="51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51</w:t>
            </w:r>
          </w:p>
        </w:tc>
        <w:tc>
          <w:tcPr>
            <w:tcW w:w="35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30</w:t>
            </w:r>
          </w:p>
        </w:tc>
        <w:tc>
          <w:tcPr>
            <w:tcW w:w="35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30</w:t>
            </w:r>
          </w:p>
        </w:tc>
        <w:tc>
          <w:tcPr>
            <w:tcW w:w="33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100</w:t>
            </w:r>
          </w:p>
        </w:tc>
        <w:tc>
          <w:tcPr>
            <w:tcW w:w="33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0</w:t>
            </w:r>
          </w:p>
        </w:tc>
        <w:tc>
          <w:tcPr>
            <w:tcW w:w="21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2.75</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29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10月</w:t>
            </w:r>
          </w:p>
        </w:tc>
        <w:tc>
          <w:tcPr>
            <w:tcW w:w="55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6</w:t>
            </w:r>
          </w:p>
        </w:tc>
        <w:tc>
          <w:tcPr>
            <w:tcW w:w="471"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22</w:t>
            </w:r>
          </w:p>
        </w:tc>
        <w:tc>
          <w:tcPr>
            <w:tcW w:w="54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1.1</w:t>
            </w:r>
          </w:p>
        </w:tc>
        <w:tc>
          <w:tcPr>
            <w:tcW w:w="51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86</w:t>
            </w:r>
          </w:p>
        </w:tc>
        <w:tc>
          <w:tcPr>
            <w:tcW w:w="51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26</w:t>
            </w:r>
          </w:p>
        </w:tc>
        <w:tc>
          <w:tcPr>
            <w:tcW w:w="51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51</w:t>
            </w:r>
          </w:p>
        </w:tc>
        <w:tc>
          <w:tcPr>
            <w:tcW w:w="35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31</w:t>
            </w:r>
          </w:p>
        </w:tc>
        <w:tc>
          <w:tcPr>
            <w:tcW w:w="35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31</w:t>
            </w:r>
          </w:p>
        </w:tc>
        <w:tc>
          <w:tcPr>
            <w:tcW w:w="33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100</w:t>
            </w:r>
          </w:p>
        </w:tc>
        <w:tc>
          <w:tcPr>
            <w:tcW w:w="33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0</w:t>
            </w:r>
          </w:p>
        </w:tc>
        <w:tc>
          <w:tcPr>
            <w:tcW w:w="21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2.94</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29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11月</w:t>
            </w:r>
          </w:p>
        </w:tc>
        <w:tc>
          <w:tcPr>
            <w:tcW w:w="55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6</w:t>
            </w:r>
          </w:p>
        </w:tc>
        <w:tc>
          <w:tcPr>
            <w:tcW w:w="471"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22</w:t>
            </w:r>
          </w:p>
        </w:tc>
        <w:tc>
          <w:tcPr>
            <w:tcW w:w="54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0.9</w:t>
            </w:r>
          </w:p>
        </w:tc>
        <w:tc>
          <w:tcPr>
            <w:tcW w:w="51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61</w:t>
            </w:r>
          </w:p>
        </w:tc>
        <w:tc>
          <w:tcPr>
            <w:tcW w:w="51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23</w:t>
            </w:r>
          </w:p>
        </w:tc>
        <w:tc>
          <w:tcPr>
            <w:tcW w:w="51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47</w:t>
            </w:r>
          </w:p>
        </w:tc>
        <w:tc>
          <w:tcPr>
            <w:tcW w:w="35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30</w:t>
            </w:r>
          </w:p>
        </w:tc>
        <w:tc>
          <w:tcPr>
            <w:tcW w:w="35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30</w:t>
            </w:r>
          </w:p>
        </w:tc>
        <w:tc>
          <w:tcPr>
            <w:tcW w:w="33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100</w:t>
            </w:r>
          </w:p>
        </w:tc>
        <w:tc>
          <w:tcPr>
            <w:tcW w:w="33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3.3</w:t>
            </w:r>
          </w:p>
        </w:tc>
        <w:tc>
          <w:tcPr>
            <w:tcW w:w="21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2.58</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29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12月</w:t>
            </w:r>
          </w:p>
        </w:tc>
        <w:tc>
          <w:tcPr>
            <w:tcW w:w="55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5</w:t>
            </w:r>
          </w:p>
        </w:tc>
        <w:tc>
          <w:tcPr>
            <w:tcW w:w="471"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23</w:t>
            </w:r>
          </w:p>
        </w:tc>
        <w:tc>
          <w:tcPr>
            <w:tcW w:w="54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1.2</w:t>
            </w:r>
          </w:p>
        </w:tc>
        <w:tc>
          <w:tcPr>
            <w:tcW w:w="51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47</w:t>
            </w:r>
          </w:p>
        </w:tc>
        <w:tc>
          <w:tcPr>
            <w:tcW w:w="51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53</w:t>
            </w:r>
          </w:p>
        </w:tc>
        <w:tc>
          <w:tcPr>
            <w:tcW w:w="51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84</w:t>
            </w:r>
          </w:p>
        </w:tc>
        <w:tc>
          <w:tcPr>
            <w:tcW w:w="35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31</w:t>
            </w:r>
          </w:p>
        </w:tc>
        <w:tc>
          <w:tcPr>
            <w:tcW w:w="35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26</w:t>
            </w:r>
          </w:p>
        </w:tc>
        <w:tc>
          <w:tcPr>
            <w:tcW w:w="33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83.9</w:t>
            </w:r>
          </w:p>
        </w:tc>
        <w:tc>
          <w:tcPr>
            <w:tcW w:w="33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-3.2</w:t>
            </w:r>
          </w:p>
        </w:tc>
        <w:tc>
          <w:tcPr>
            <w:tcW w:w="21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3.96</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29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平均值</w:t>
            </w:r>
          </w:p>
        </w:tc>
        <w:tc>
          <w:tcPr>
            <w:tcW w:w="55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5</w:t>
            </w:r>
          </w:p>
        </w:tc>
        <w:tc>
          <w:tcPr>
            <w:tcW w:w="471"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19</w:t>
            </w:r>
          </w:p>
        </w:tc>
        <w:tc>
          <w:tcPr>
            <w:tcW w:w="54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0.9</w:t>
            </w:r>
          </w:p>
        </w:tc>
        <w:tc>
          <w:tcPr>
            <w:tcW w:w="51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81</w:t>
            </w:r>
          </w:p>
        </w:tc>
        <w:tc>
          <w:tcPr>
            <w:tcW w:w="51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27</w:t>
            </w:r>
          </w:p>
        </w:tc>
        <w:tc>
          <w:tcPr>
            <w:tcW w:w="51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50</w:t>
            </w:r>
          </w:p>
        </w:tc>
        <w:tc>
          <w:tcPr>
            <w:tcW w:w="35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365（总天数）</w:t>
            </w:r>
          </w:p>
        </w:tc>
        <w:tc>
          <w:tcPr>
            <w:tcW w:w="35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355（总天数）</w:t>
            </w:r>
          </w:p>
        </w:tc>
        <w:tc>
          <w:tcPr>
            <w:tcW w:w="33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97.32</w:t>
            </w:r>
          </w:p>
        </w:tc>
        <w:tc>
          <w:tcPr>
            <w:tcW w:w="33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3.93</w:t>
            </w:r>
          </w:p>
        </w:tc>
        <w:tc>
          <w:tcPr>
            <w:tcW w:w="21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lang w:bidi="ar"/>
              </w:rPr>
            </w:pPr>
            <w:r>
              <w:rPr>
                <w:rFonts w:hint="eastAsia" w:hAnsi="Times New Roman" w:eastAsia="宋体"/>
                <w:kern w:val="2"/>
                <w:sz w:val="18"/>
                <w:szCs w:val="18"/>
                <w:lang w:bidi="ar"/>
              </w:rPr>
              <w:t>2.77</w:t>
            </w:r>
          </w:p>
        </w:tc>
      </w:tr>
    </w:tbl>
    <w:p>
      <w:pPr>
        <w:spacing w:line="360" w:lineRule="auto"/>
        <w:ind w:firstLine="480" w:firstLineChars="200"/>
        <w:rPr>
          <w:rFonts w:hAnsi="Times New Roman" w:eastAsia="宋体"/>
          <w:lang w:eastAsia="zh-CN"/>
        </w:rPr>
      </w:pPr>
      <w:r>
        <w:rPr>
          <w:rFonts w:hAnsi="Times New Roman" w:eastAsia="宋体"/>
          <w:lang w:eastAsia="zh-CN"/>
        </w:rPr>
        <w:t>由上表可知，达州市宣汉县2022年环境空气质量达标率为97.32%，同比增长3.93%，宣汉县2022年环境空气质量满足《环境空气质量标准》（GB3095-2012）二级标准要求，属于达标区域。因此，本项目所在地为空气质量达标区。</w:t>
      </w:r>
    </w:p>
    <w:p>
      <w:pPr>
        <w:pStyle w:val="16"/>
        <w:spacing w:line="360" w:lineRule="auto"/>
        <w:ind w:left="0" w:firstLine="482" w:firstLineChars="200"/>
        <w:rPr>
          <w:rFonts w:hAnsi="Times New Roman" w:eastAsia="宋体" w:cs="Times New Roman"/>
          <w:b/>
          <w:bCs/>
          <w:i w:val="0"/>
          <w:iCs w:val="0"/>
          <w:sz w:val="24"/>
          <w:szCs w:val="24"/>
          <w:lang w:eastAsia="zh-CN"/>
        </w:rPr>
      </w:pPr>
      <w:r>
        <w:rPr>
          <w:rFonts w:hAnsi="Times New Roman" w:eastAsia="宋体" w:cs="Times New Roman"/>
          <w:b/>
          <w:bCs/>
          <w:i w:val="0"/>
          <w:iCs w:val="0"/>
          <w:sz w:val="24"/>
          <w:szCs w:val="24"/>
          <w:lang w:eastAsia="zh-CN"/>
        </w:rPr>
        <w:t>（2）大气环境质量现状补充监测</w:t>
      </w:r>
    </w:p>
    <w:p>
      <w:pPr>
        <w:adjustRightInd w:val="0"/>
        <w:snapToGrid w:val="0"/>
        <w:spacing w:line="360" w:lineRule="auto"/>
        <w:ind w:firstLine="480" w:firstLineChars="200"/>
        <w:rPr>
          <w:rFonts w:hAnsi="Times New Roman" w:eastAsia="宋体"/>
          <w:snapToGrid w:val="0"/>
          <w:lang w:eastAsia="zh-CN"/>
        </w:rPr>
      </w:pPr>
      <w:r>
        <w:rPr>
          <w:rFonts w:hint="eastAsia" w:hAnsi="Times New Roman" w:eastAsia="宋体"/>
          <w:szCs w:val="24"/>
          <w:lang w:eastAsia="zh-CN"/>
        </w:rPr>
        <w:t>七里峡</w:t>
      </w:r>
      <w:r>
        <w:rPr>
          <w:rFonts w:hAnsi="Times New Roman" w:eastAsia="宋体"/>
          <w:szCs w:val="24"/>
          <w:lang w:eastAsia="zh-CN"/>
        </w:rPr>
        <w:t>煤矿涉及的其他污染物主要为TSP，属于基本污染物以外的其他污染物。本次评价</w:t>
      </w:r>
      <w:r>
        <w:rPr>
          <w:rFonts w:hint="eastAsia" w:hAnsi="Times New Roman" w:eastAsia="宋体"/>
          <w:szCs w:val="24"/>
          <w:lang w:eastAsia="zh-CN"/>
        </w:rPr>
        <w:t>宣汉国家森林公园引用《四川省宣汉县煤炭矿区总体规划环境影响报告书》中的监测数据。</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w:t>
      </w:r>
      <w:r>
        <w:rPr>
          <w:rFonts w:hint="eastAsia" w:hAnsi="Times New Roman" w:eastAsia="宋体"/>
          <w:b/>
          <w:bCs/>
          <w:sz w:val="21"/>
          <w:szCs w:val="21"/>
          <w:lang w:eastAsia="zh-CN"/>
        </w:rPr>
        <w:t>3.2</w:t>
      </w:r>
      <w:r>
        <w:rPr>
          <w:rFonts w:hAnsi="Times New Roman" w:eastAsia="宋体"/>
          <w:b/>
          <w:bCs/>
          <w:sz w:val="21"/>
          <w:szCs w:val="21"/>
          <w:lang w:eastAsia="zh-CN"/>
        </w:rPr>
        <w:t>-</w:t>
      </w:r>
      <w:r>
        <w:rPr>
          <w:rFonts w:hint="eastAsia" w:hAnsi="Times New Roman" w:eastAsia="宋体"/>
          <w:b/>
          <w:bCs/>
          <w:sz w:val="21"/>
          <w:szCs w:val="21"/>
          <w:lang w:eastAsia="zh-CN"/>
        </w:rPr>
        <w:t>2</w:t>
      </w:r>
      <w:r>
        <w:rPr>
          <w:rFonts w:hAnsi="Times New Roman" w:eastAsia="宋体"/>
          <w:b/>
          <w:bCs/>
          <w:sz w:val="21"/>
          <w:szCs w:val="21"/>
          <w:lang w:eastAsia="zh-CN"/>
        </w:rPr>
        <w:t xml:space="preserve">  </w:t>
      </w:r>
      <w:r>
        <w:rPr>
          <w:rFonts w:hint="eastAsia" w:hAnsi="Times New Roman" w:eastAsia="宋体"/>
          <w:b/>
          <w:bCs/>
          <w:sz w:val="21"/>
          <w:szCs w:val="21"/>
          <w:lang w:eastAsia="zh-CN"/>
        </w:rPr>
        <w:t>环境空气补充监测结果  mg/m</w:t>
      </w:r>
      <w:r>
        <w:rPr>
          <w:rFonts w:hint="eastAsia" w:hAnsi="Times New Roman" w:eastAsia="宋体"/>
          <w:b/>
          <w:bCs/>
          <w:sz w:val="21"/>
          <w:szCs w:val="21"/>
          <w:vertAlign w:val="superscript"/>
          <w:lang w:eastAsia="zh-CN"/>
        </w:rPr>
        <w:t>3</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3"/>
        <w:gridCol w:w="3025"/>
        <w:gridCol w:w="1844"/>
        <w:gridCol w:w="1790"/>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tblHeader/>
          <w:jc w:val="center"/>
        </w:trPr>
        <w:tc>
          <w:tcPr>
            <w:tcW w:w="676"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spacing w:val="12"/>
                <w:kern w:val="28"/>
                <w:sz w:val="21"/>
                <w:szCs w:val="21"/>
                <w:lang w:eastAsia="zh-CN"/>
              </w:rPr>
            </w:pPr>
            <w:r>
              <w:rPr>
                <w:rFonts w:hint="eastAsia" w:hAnsi="Times New Roman" w:eastAsia="宋体"/>
                <w:b/>
                <w:bCs/>
                <w:spacing w:val="12"/>
                <w:kern w:val="28"/>
                <w:sz w:val="21"/>
                <w:szCs w:val="21"/>
                <w:lang w:eastAsia="zh-CN"/>
              </w:rPr>
              <w:t>环境空气类别</w:t>
            </w:r>
          </w:p>
        </w:tc>
        <w:tc>
          <w:tcPr>
            <w:tcW w:w="161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spacing w:val="12"/>
                <w:kern w:val="28"/>
                <w:sz w:val="21"/>
                <w:szCs w:val="21"/>
                <w:lang w:eastAsia="zh-CN"/>
              </w:rPr>
            </w:pPr>
            <w:r>
              <w:rPr>
                <w:rFonts w:hint="eastAsia" w:hAnsi="Times New Roman" w:eastAsia="宋体"/>
                <w:b/>
                <w:bCs/>
                <w:spacing w:val="12"/>
                <w:kern w:val="28"/>
                <w:sz w:val="21"/>
                <w:szCs w:val="21"/>
                <w:lang w:eastAsia="zh-CN"/>
              </w:rPr>
              <w:t>监测点位</w:t>
            </w:r>
          </w:p>
        </w:tc>
        <w:tc>
          <w:tcPr>
            <w:tcW w:w="987"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spacing w:val="12"/>
                <w:kern w:val="28"/>
                <w:sz w:val="21"/>
                <w:szCs w:val="21"/>
                <w:lang w:eastAsia="zh-CN"/>
              </w:rPr>
            </w:pPr>
            <w:r>
              <w:rPr>
                <w:rFonts w:hint="eastAsia" w:hAnsi="Times New Roman" w:eastAsia="宋体"/>
                <w:b/>
                <w:bCs/>
                <w:spacing w:val="12"/>
                <w:kern w:val="28"/>
                <w:sz w:val="21"/>
                <w:szCs w:val="21"/>
                <w:lang w:eastAsia="zh-CN"/>
              </w:rPr>
              <w:t>监测日期</w:t>
            </w:r>
          </w:p>
        </w:tc>
        <w:tc>
          <w:tcPr>
            <w:tcW w:w="958"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spacing w:val="12"/>
                <w:kern w:val="28"/>
                <w:sz w:val="21"/>
                <w:szCs w:val="21"/>
                <w:lang w:eastAsia="zh-CN"/>
              </w:rPr>
            </w:pPr>
            <w:r>
              <w:rPr>
                <w:rFonts w:hint="eastAsia" w:hAnsi="Times New Roman" w:eastAsia="宋体"/>
                <w:b/>
                <w:bCs/>
                <w:spacing w:val="12"/>
                <w:kern w:val="28"/>
                <w:sz w:val="21"/>
                <w:szCs w:val="21"/>
                <w:lang w:eastAsia="zh-CN"/>
              </w:rPr>
              <w:t>TSP监测结果</w:t>
            </w:r>
          </w:p>
        </w:tc>
        <w:tc>
          <w:tcPr>
            <w:tcW w:w="76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spacing w:val="12"/>
                <w:kern w:val="28"/>
                <w:sz w:val="21"/>
                <w:szCs w:val="21"/>
                <w:lang w:eastAsia="zh-CN"/>
              </w:rPr>
            </w:pPr>
            <w:r>
              <w:rPr>
                <w:rFonts w:hint="eastAsia" w:hAnsi="Times New Roman" w:eastAsia="宋体"/>
                <w:b/>
                <w:bCs/>
                <w:spacing w:val="12"/>
                <w:kern w:val="28"/>
                <w:sz w:val="21"/>
                <w:szCs w:val="21"/>
                <w:lang w:eastAsia="zh-CN"/>
              </w:rP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676"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一类区</w:t>
            </w:r>
          </w:p>
        </w:tc>
        <w:tc>
          <w:tcPr>
            <w:tcW w:w="161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宣汉国家森林公园</w:t>
            </w:r>
          </w:p>
        </w:tc>
        <w:tc>
          <w:tcPr>
            <w:tcW w:w="987"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2021.8.15~21</w:t>
            </w:r>
          </w:p>
        </w:tc>
        <w:tc>
          <w:tcPr>
            <w:tcW w:w="958"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0.108</w:t>
            </w:r>
          </w:p>
        </w:tc>
        <w:tc>
          <w:tcPr>
            <w:tcW w:w="76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0.12</w:t>
            </w:r>
          </w:p>
        </w:tc>
      </w:tr>
    </w:tbl>
    <w:p>
      <w:pPr>
        <w:adjustRightInd w:val="0"/>
        <w:snapToGrid w:val="0"/>
        <w:spacing w:line="360" w:lineRule="auto"/>
        <w:ind w:firstLine="480" w:firstLineChars="200"/>
        <w:rPr>
          <w:rFonts w:hAnsi="Times New Roman" w:eastAsia="宋体"/>
          <w:snapToGrid w:val="0"/>
          <w:lang w:eastAsia="zh-CN"/>
        </w:rPr>
      </w:pPr>
      <w:r>
        <w:rPr>
          <w:rFonts w:hint="eastAsia" w:hAnsi="Times New Roman" w:eastAsia="宋体"/>
          <w:snapToGrid w:val="0"/>
          <w:lang w:eastAsia="zh-CN"/>
        </w:rPr>
        <w:t>在此次环评期间，本项目委托达州恒福环境监测服务有限公司对七里峡煤矿所在地的环境空气质量进行了环境现状检测</w:t>
      </w:r>
    </w:p>
    <w:p>
      <w:pPr>
        <w:adjustRightInd w:val="0"/>
        <w:snapToGrid w:val="0"/>
        <w:spacing w:line="360" w:lineRule="auto"/>
        <w:ind w:firstLine="480" w:firstLineChars="200"/>
        <w:rPr>
          <w:rFonts w:hAnsi="Times New Roman" w:eastAsia="宋体"/>
          <w:snapToGrid w:val="0"/>
        </w:rPr>
      </w:pPr>
      <w:r>
        <w:rPr>
          <w:rFonts w:hAnsi="Times New Roman" w:eastAsia="宋体"/>
          <w:snapToGrid w:val="0"/>
          <w:lang w:eastAsia="zh-CN"/>
        </w:rPr>
        <w:t>①</w:t>
      </w:r>
      <w:r>
        <w:rPr>
          <w:rFonts w:hAnsi="Times New Roman" w:eastAsia="宋体"/>
          <w:snapToGrid w:val="0"/>
        </w:rPr>
        <w:t>监测点位、监测项目</w:t>
      </w:r>
    </w:p>
    <w:p>
      <w:pPr>
        <w:jc w:val="center"/>
        <w:rPr>
          <w:rFonts w:hAnsi="Times New Roman" w:eastAsia="宋体"/>
          <w:b/>
          <w:bCs/>
          <w:sz w:val="21"/>
          <w:szCs w:val="21"/>
          <w:lang w:eastAsia="zh-CN"/>
        </w:rPr>
      </w:pPr>
      <w:r>
        <w:rPr>
          <w:rFonts w:hAnsi="Times New Roman" w:eastAsia="宋体"/>
          <w:b/>
          <w:bCs/>
          <w:sz w:val="21"/>
          <w:szCs w:val="21"/>
          <w:lang w:eastAsia="zh-CN"/>
        </w:rPr>
        <w:t>表3.2-</w:t>
      </w:r>
      <w:r>
        <w:rPr>
          <w:rFonts w:hint="eastAsia" w:hAnsi="Times New Roman" w:eastAsia="宋体"/>
          <w:b/>
          <w:bCs/>
          <w:sz w:val="21"/>
          <w:szCs w:val="21"/>
          <w:lang w:eastAsia="zh-CN"/>
        </w:rPr>
        <w:t>3</w:t>
      </w:r>
      <w:r>
        <w:rPr>
          <w:rFonts w:hAnsi="Times New Roman" w:eastAsia="宋体"/>
          <w:b/>
          <w:bCs/>
          <w:sz w:val="21"/>
          <w:szCs w:val="21"/>
          <w:lang w:eastAsia="zh-CN"/>
        </w:rPr>
        <w:t xml:space="preserve">  环境空气监测点位</w:t>
      </w:r>
    </w:p>
    <w:tbl>
      <w:tblPr>
        <w:tblStyle w:val="33"/>
        <w:tblpPr w:leftFromText="180" w:rightFromText="180" w:vertAnchor="text" w:horzAnchor="margin" w:tblpXSpec="center" w:tblpY="162"/>
        <w:tblOverlap w:val="never"/>
        <w:tblW w:w="88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45"/>
        <w:gridCol w:w="2289"/>
        <w:gridCol w:w="3000"/>
        <w:gridCol w:w="24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104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kern w:val="2"/>
                <w:sz w:val="21"/>
                <w:szCs w:val="21"/>
                <w:lang w:eastAsia="zh-CN"/>
              </w:rPr>
            </w:pPr>
            <w:r>
              <w:rPr>
                <w:rFonts w:hint="eastAsia" w:hAnsi="Times New Roman" w:eastAsia="宋体"/>
                <w:b/>
                <w:bCs/>
                <w:spacing w:val="12"/>
                <w:kern w:val="28"/>
                <w:sz w:val="21"/>
                <w:szCs w:val="21"/>
                <w:lang w:eastAsia="zh-CN"/>
              </w:rPr>
              <w:t>编号</w:t>
            </w:r>
          </w:p>
        </w:tc>
        <w:tc>
          <w:tcPr>
            <w:tcW w:w="2289"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kern w:val="2"/>
                <w:sz w:val="21"/>
                <w:szCs w:val="21"/>
                <w:lang w:eastAsia="zh-CN"/>
              </w:rPr>
            </w:pPr>
            <w:r>
              <w:rPr>
                <w:rFonts w:hint="eastAsia" w:hAnsi="Times New Roman" w:eastAsia="宋体"/>
                <w:b/>
                <w:kern w:val="2"/>
                <w:sz w:val="21"/>
                <w:szCs w:val="21"/>
                <w:lang w:eastAsia="zh-CN"/>
              </w:rPr>
              <w:t>检测点位</w:t>
            </w:r>
          </w:p>
        </w:tc>
        <w:tc>
          <w:tcPr>
            <w:tcW w:w="300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kern w:val="2"/>
                <w:sz w:val="21"/>
                <w:szCs w:val="21"/>
                <w:lang w:eastAsia="zh-CN"/>
              </w:rPr>
            </w:pPr>
            <w:r>
              <w:rPr>
                <w:rFonts w:hint="eastAsia" w:hAnsi="Times New Roman" w:eastAsia="宋体"/>
                <w:b/>
                <w:bCs/>
                <w:spacing w:val="12"/>
                <w:kern w:val="28"/>
                <w:sz w:val="21"/>
                <w:szCs w:val="21"/>
                <w:lang w:eastAsia="zh-CN"/>
              </w:rPr>
              <w:t>经纬度</w:t>
            </w:r>
          </w:p>
        </w:tc>
        <w:tc>
          <w:tcPr>
            <w:tcW w:w="248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b/>
                <w:kern w:val="2"/>
                <w:sz w:val="21"/>
                <w:szCs w:val="21"/>
                <w:lang w:eastAsia="zh-CN"/>
              </w:rPr>
            </w:pPr>
            <w:r>
              <w:rPr>
                <w:rFonts w:hint="eastAsia" w:hAnsi="Times New Roman" w:eastAsia="宋体"/>
                <w:b/>
                <w:kern w:val="2"/>
                <w:sz w:val="21"/>
                <w:szCs w:val="21"/>
              </w:rPr>
              <w:t>特征污染物监测项目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104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spacing w:val="12"/>
                <w:kern w:val="28"/>
                <w:sz w:val="21"/>
                <w:szCs w:val="21"/>
                <w:lang w:eastAsia="zh-CN"/>
              </w:rPr>
            </w:pPr>
            <w:r>
              <w:rPr>
                <w:rFonts w:hint="eastAsia" w:hAnsi="Times New Roman" w:eastAsia="宋体"/>
                <w:spacing w:val="12"/>
                <w:kern w:val="28"/>
                <w:sz w:val="21"/>
                <w:szCs w:val="21"/>
                <w:lang w:eastAsia="zh-CN"/>
              </w:rPr>
              <w:t>1#</w:t>
            </w:r>
          </w:p>
        </w:tc>
        <w:tc>
          <w:tcPr>
            <w:tcW w:w="228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临时储矸场下风向</w:t>
            </w:r>
          </w:p>
        </w:tc>
        <w:tc>
          <w:tcPr>
            <w:tcW w:w="3000" w:type="dxa"/>
            <w:vAlign w:val="center"/>
          </w:tcPr>
          <w:p>
            <w:pPr>
              <w:pStyle w:val="19"/>
              <w:keepNext w:val="0"/>
              <w:keepLines w:val="0"/>
              <w:suppressLineNumbers w:val="0"/>
              <w:spacing w:before="0" w:beforeAutospacing="0" w:after="0" w:afterAutospacing="0" w:line="240" w:lineRule="exact"/>
              <w:ind w:left="0" w:right="0" w:firstLine="0" w:firstLineChars="0"/>
              <w:jc w:val="center"/>
              <w:rPr>
                <w:rFonts w:hint="eastAsia"/>
                <w:sz w:val="21"/>
                <w:szCs w:val="21"/>
                <w:lang w:eastAsia="zh-CN"/>
              </w:rPr>
            </w:pPr>
            <w:r>
              <w:rPr>
                <w:rFonts w:hint="eastAsia"/>
                <w:sz w:val="21"/>
                <w:szCs w:val="21"/>
                <w:lang w:eastAsia="zh-CN"/>
              </w:rPr>
              <w:t>107.32615460，31.200177144</w:t>
            </w:r>
          </w:p>
        </w:tc>
        <w:tc>
          <w:tcPr>
            <w:tcW w:w="2486" w:type="dxa"/>
            <w:vMerge w:val="restart"/>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spacing w:val="12"/>
                <w:kern w:val="28"/>
                <w:sz w:val="21"/>
                <w:szCs w:val="21"/>
                <w:lang w:eastAsia="zh-CN"/>
              </w:rPr>
            </w:pPr>
            <w:r>
              <w:rPr>
                <w:rFonts w:hint="eastAsia" w:hAnsi="Times New Roman" w:eastAsia="宋体"/>
                <w:kern w:val="2"/>
                <w:sz w:val="21"/>
                <w:szCs w:val="21"/>
                <w:lang w:eastAsia="zh-CN"/>
              </w:rPr>
              <w:t>TSP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104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spacing w:val="12"/>
                <w:kern w:val="28"/>
                <w:sz w:val="21"/>
                <w:szCs w:val="21"/>
                <w:lang w:eastAsia="zh-CN"/>
              </w:rPr>
              <w:t>2#</w:t>
            </w:r>
          </w:p>
        </w:tc>
        <w:tc>
          <w:tcPr>
            <w:tcW w:w="228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主井工业广场下风向</w:t>
            </w:r>
          </w:p>
        </w:tc>
        <w:tc>
          <w:tcPr>
            <w:tcW w:w="3000" w:type="dxa"/>
            <w:vAlign w:val="center"/>
          </w:tcPr>
          <w:p>
            <w:pPr>
              <w:pStyle w:val="19"/>
              <w:keepNext w:val="0"/>
              <w:keepLines w:val="0"/>
              <w:suppressLineNumbers w:val="0"/>
              <w:spacing w:before="0" w:beforeAutospacing="0" w:after="0" w:afterAutospacing="0" w:line="240" w:lineRule="exact"/>
              <w:ind w:left="0" w:right="0" w:firstLine="0" w:firstLineChars="0"/>
              <w:jc w:val="center"/>
              <w:rPr>
                <w:rFonts w:hint="eastAsia"/>
                <w:sz w:val="21"/>
                <w:szCs w:val="21"/>
                <w:highlight w:val="red"/>
                <w:lang w:eastAsia="zh-CN"/>
              </w:rPr>
            </w:pPr>
            <w:r>
              <w:rPr>
                <w:rFonts w:hint="eastAsia"/>
                <w:sz w:val="21"/>
                <w:szCs w:val="21"/>
                <w:lang w:eastAsia="zh-CN"/>
              </w:rPr>
              <w:t>107.31993188，31.196851205</w:t>
            </w:r>
          </w:p>
        </w:tc>
        <w:tc>
          <w:tcPr>
            <w:tcW w:w="2486" w:type="dxa"/>
            <w:vMerge w:val="continue"/>
            <w:vAlign w:val="center"/>
          </w:tcPr>
          <w:p>
            <w:pPr>
              <w:pStyle w:val="19"/>
              <w:keepNext w:val="0"/>
              <w:keepLines w:val="0"/>
              <w:suppressLineNumbers w:val="0"/>
              <w:spacing w:before="0" w:beforeAutospacing="0" w:after="0" w:afterAutospacing="0" w:line="300" w:lineRule="exact"/>
              <w:ind w:left="200" w:right="0" w:firstLine="420"/>
              <w:jc w:val="center"/>
              <w:rPr>
                <w:rFonts w:hint="eastAsia"/>
                <w:sz w:val="21"/>
                <w:szCs w:val="21"/>
              </w:rPr>
            </w:pPr>
          </w:p>
        </w:tc>
      </w:tr>
    </w:tbl>
    <w:p>
      <w:pPr>
        <w:adjustRightInd w:val="0"/>
        <w:snapToGrid w:val="0"/>
        <w:spacing w:before="169" w:beforeLines="50" w:line="360" w:lineRule="auto"/>
        <w:ind w:firstLine="480" w:firstLineChars="200"/>
        <w:rPr>
          <w:rFonts w:hAnsi="Times New Roman" w:eastAsia="宋体"/>
        </w:rPr>
      </w:pPr>
      <w:r>
        <w:rPr>
          <w:rFonts w:hAnsi="Times New Roman" w:eastAsia="宋体"/>
          <w:lang w:eastAsia="zh-CN"/>
        </w:rPr>
        <w:t>②监测频次</w:t>
      </w:r>
    </w:p>
    <w:p>
      <w:pPr>
        <w:adjustRightInd w:val="0"/>
        <w:snapToGrid w:val="0"/>
        <w:spacing w:line="360" w:lineRule="auto"/>
        <w:ind w:firstLine="480" w:firstLineChars="200"/>
        <w:rPr>
          <w:rFonts w:hAnsi="Times New Roman" w:eastAsia="宋体"/>
        </w:rPr>
      </w:pPr>
      <w:r>
        <w:rPr>
          <w:rFonts w:hAnsi="Times New Roman" w:eastAsia="宋体"/>
        </w:rPr>
        <w:t>监测7天，24h连续监测</w:t>
      </w:r>
      <w:r>
        <w:rPr>
          <w:rFonts w:hAnsi="Times New Roman" w:eastAsia="宋体"/>
          <w:lang w:eastAsia="zh-CN"/>
        </w:rPr>
        <w:t>。</w:t>
      </w:r>
    </w:p>
    <w:p>
      <w:pPr>
        <w:adjustRightInd w:val="0"/>
        <w:snapToGrid w:val="0"/>
        <w:spacing w:line="360" w:lineRule="auto"/>
        <w:ind w:firstLine="480" w:firstLineChars="200"/>
        <w:rPr>
          <w:rFonts w:hAnsi="Times New Roman" w:eastAsia="宋体"/>
        </w:rPr>
      </w:pPr>
      <w:r>
        <w:rPr>
          <w:rFonts w:hAnsi="Times New Roman" w:eastAsia="宋体"/>
          <w:lang w:eastAsia="zh-CN"/>
        </w:rPr>
        <w:t>③</w:t>
      </w:r>
      <w:r>
        <w:rPr>
          <w:rFonts w:hAnsi="Times New Roman" w:eastAsia="宋体"/>
        </w:rPr>
        <w:t>评价方法</w:t>
      </w:r>
    </w:p>
    <w:p>
      <w:pPr>
        <w:adjustRightInd w:val="0"/>
        <w:snapToGrid w:val="0"/>
        <w:spacing w:line="360" w:lineRule="auto"/>
        <w:ind w:firstLine="480" w:firstLineChars="200"/>
        <w:jc w:val="left"/>
        <w:rPr>
          <w:rFonts w:hAnsi="Times New Roman" w:eastAsia="宋体"/>
          <w:szCs w:val="22"/>
        </w:rPr>
      </w:pPr>
      <w:r>
        <w:rPr>
          <w:rFonts w:hAnsi="Times New Roman" w:eastAsia="宋体"/>
          <w:szCs w:val="22"/>
        </w:rPr>
        <w:t>采用占标率法进行评价</w:t>
      </w:r>
      <w:r>
        <w:rPr>
          <w:rFonts w:hAnsi="Times New Roman" w:eastAsia="宋体"/>
          <w:szCs w:val="22"/>
          <w:lang w:eastAsia="zh-CN"/>
        </w:rPr>
        <w:t>，</w:t>
      </w:r>
      <w:r>
        <w:rPr>
          <w:rFonts w:hAnsi="Times New Roman" w:eastAsia="宋体"/>
          <w:szCs w:val="22"/>
        </w:rPr>
        <w:t>其公式为：</w:t>
      </w:r>
    </w:p>
    <w:p>
      <w:pPr>
        <w:adjustRightInd w:val="0"/>
        <w:snapToGrid w:val="0"/>
        <w:spacing w:line="360" w:lineRule="auto"/>
        <w:jc w:val="center"/>
        <w:rPr>
          <w:rFonts w:hAnsi="Times New Roman" w:eastAsia="宋体"/>
          <w:szCs w:val="22"/>
        </w:rPr>
      </w:pPr>
      <w:r>
        <w:rPr>
          <w:rFonts w:hAnsi="Times New Roman" w:eastAsia="宋体"/>
          <w:i/>
          <w:szCs w:val="22"/>
        </w:rPr>
        <w:t>I</w:t>
      </w:r>
      <w:r>
        <w:rPr>
          <w:rFonts w:hAnsi="Times New Roman" w:eastAsia="宋体"/>
          <w:i/>
          <w:szCs w:val="22"/>
          <w:vertAlign w:val="subscript"/>
        </w:rPr>
        <w:t>i</w:t>
      </w:r>
      <w:r>
        <w:rPr>
          <w:rFonts w:hAnsi="Times New Roman" w:eastAsia="宋体"/>
          <w:i/>
          <w:szCs w:val="22"/>
        </w:rPr>
        <w:t>=C</w:t>
      </w:r>
      <w:r>
        <w:rPr>
          <w:rFonts w:hAnsi="Times New Roman" w:eastAsia="宋体"/>
          <w:i/>
          <w:szCs w:val="22"/>
          <w:vertAlign w:val="subscript"/>
        </w:rPr>
        <w:t>i</w:t>
      </w:r>
      <w:r>
        <w:rPr>
          <w:rFonts w:hAnsi="Times New Roman" w:eastAsia="宋体"/>
          <w:i/>
          <w:szCs w:val="22"/>
        </w:rPr>
        <w:t>/S</w:t>
      </w:r>
      <w:r>
        <w:rPr>
          <w:rFonts w:hAnsi="Times New Roman" w:eastAsia="宋体"/>
          <w:i/>
          <w:szCs w:val="22"/>
          <w:vertAlign w:val="subscript"/>
        </w:rPr>
        <w:t>i</w:t>
      </w:r>
      <w:r>
        <w:rPr>
          <w:rFonts w:hAnsi="Times New Roman" w:eastAsia="宋体"/>
          <w:szCs w:val="22"/>
          <w:lang w:eastAsia="zh-CN"/>
        </w:rPr>
        <w:t>×</w:t>
      </w:r>
      <w:r>
        <w:rPr>
          <w:rFonts w:hAnsi="Times New Roman" w:eastAsia="宋体"/>
          <w:szCs w:val="22"/>
        </w:rPr>
        <w:t>100%</w:t>
      </w:r>
    </w:p>
    <w:p>
      <w:pPr>
        <w:adjustRightInd w:val="0"/>
        <w:snapToGrid w:val="0"/>
        <w:spacing w:line="360" w:lineRule="auto"/>
        <w:ind w:firstLine="480" w:firstLineChars="200"/>
        <w:jc w:val="left"/>
        <w:rPr>
          <w:rFonts w:hAnsi="Times New Roman" w:eastAsia="宋体"/>
          <w:szCs w:val="22"/>
        </w:rPr>
      </w:pPr>
      <w:r>
        <w:rPr>
          <w:rFonts w:hAnsi="Times New Roman" w:eastAsia="宋体"/>
          <w:szCs w:val="22"/>
        </w:rPr>
        <w:t>式中：</w:t>
      </w:r>
      <w:r>
        <w:rPr>
          <w:rFonts w:hAnsi="Times New Roman" w:eastAsia="宋体"/>
          <w:i/>
          <w:szCs w:val="22"/>
        </w:rPr>
        <w:t>I</w:t>
      </w:r>
      <w:r>
        <w:rPr>
          <w:rFonts w:hAnsi="Times New Roman" w:eastAsia="宋体"/>
          <w:i/>
          <w:szCs w:val="22"/>
          <w:vertAlign w:val="subscript"/>
        </w:rPr>
        <w:t>i</w:t>
      </w:r>
      <w:r>
        <w:rPr>
          <w:rFonts w:hAnsi="Times New Roman" w:eastAsia="宋体"/>
          <w:szCs w:val="22"/>
        </w:rPr>
        <w:t>——第</w:t>
      </w:r>
      <w:r>
        <w:rPr>
          <w:rFonts w:hAnsi="Times New Roman" w:eastAsia="宋体"/>
          <w:i/>
          <w:szCs w:val="22"/>
        </w:rPr>
        <w:t>i</w:t>
      </w:r>
      <w:r>
        <w:rPr>
          <w:rFonts w:hAnsi="Times New Roman" w:eastAsia="宋体"/>
          <w:szCs w:val="22"/>
        </w:rPr>
        <w:t>种污染物的最大质量浓度占标率</w:t>
      </w:r>
      <w:r>
        <w:rPr>
          <w:rFonts w:hAnsi="Times New Roman" w:eastAsia="宋体"/>
          <w:szCs w:val="22"/>
          <w:lang w:eastAsia="zh-CN"/>
        </w:rPr>
        <w:t>；</w:t>
      </w:r>
    </w:p>
    <w:p>
      <w:pPr>
        <w:adjustRightInd w:val="0"/>
        <w:snapToGrid w:val="0"/>
        <w:spacing w:line="360" w:lineRule="auto"/>
        <w:ind w:firstLine="1200" w:firstLineChars="500"/>
        <w:jc w:val="left"/>
        <w:rPr>
          <w:rFonts w:hAnsi="Times New Roman" w:eastAsia="宋体"/>
          <w:szCs w:val="22"/>
          <w:vertAlign w:val="superscript"/>
        </w:rPr>
      </w:pPr>
      <w:r>
        <w:rPr>
          <w:rFonts w:hAnsi="Times New Roman" w:eastAsia="宋体"/>
          <w:i/>
          <w:szCs w:val="22"/>
        </w:rPr>
        <w:t>Ci</w:t>
      </w:r>
      <w:r>
        <w:rPr>
          <w:rFonts w:hAnsi="Times New Roman" w:eastAsia="宋体"/>
          <w:szCs w:val="22"/>
        </w:rPr>
        <w:t>——第</w:t>
      </w:r>
      <w:r>
        <w:rPr>
          <w:rFonts w:hAnsi="Times New Roman" w:eastAsia="宋体"/>
          <w:i/>
          <w:szCs w:val="22"/>
        </w:rPr>
        <w:t>i</w:t>
      </w:r>
      <w:r>
        <w:rPr>
          <w:rFonts w:hAnsi="Times New Roman" w:eastAsia="宋体"/>
          <w:szCs w:val="22"/>
        </w:rPr>
        <w:t>种污染物实测最大质量浓度</w:t>
      </w:r>
      <w:r>
        <w:rPr>
          <w:rFonts w:hAnsi="Times New Roman" w:eastAsia="宋体"/>
          <w:szCs w:val="22"/>
          <w:lang w:eastAsia="zh-CN"/>
        </w:rPr>
        <w:t>，</w:t>
      </w:r>
      <w:r>
        <w:rPr>
          <w:rFonts w:hAnsi="Times New Roman" w:eastAsia="宋体"/>
          <w:szCs w:val="22"/>
        </w:rPr>
        <w:t>mg/</w:t>
      </w:r>
      <w:r>
        <w:rPr>
          <w:rFonts w:hAnsi="Times New Roman" w:eastAsia="宋体"/>
          <w:szCs w:val="22"/>
          <w:lang w:eastAsia="zh-CN"/>
        </w:rPr>
        <w:t>m</w:t>
      </w:r>
      <w:r>
        <w:rPr>
          <w:rFonts w:hAnsi="Times New Roman" w:eastAsia="宋体"/>
          <w:szCs w:val="22"/>
          <w:vertAlign w:val="superscript"/>
          <w:lang w:eastAsia="zh-CN"/>
        </w:rPr>
        <w:t>3</w:t>
      </w:r>
    </w:p>
    <w:p>
      <w:pPr>
        <w:adjustRightInd w:val="0"/>
        <w:snapToGrid w:val="0"/>
        <w:spacing w:line="360" w:lineRule="auto"/>
        <w:ind w:firstLine="1200" w:firstLineChars="500"/>
        <w:jc w:val="left"/>
        <w:rPr>
          <w:rFonts w:hAnsi="Times New Roman" w:eastAsia="宋体"/>
          <w:szCs w:val="22"/>
          <w:vertAlign w:val="superscript"/>
        </w:rPr>
      </w:pPr>
      <w:r>
        <w:rPr>
          <w:rFonts w:hAnsi="Times New Roman" w:eastAsia="宋体"/>
          <w:i/>
          <w:szCs w:val="22"/>
        </w:rPr>
        <w:t>Si</w:t>
      </w:r>
      <w:r>
        <w:rPr>
          <w:rFonts w:hAnsi="Times New Roman" w:eastAsia="宋体"/>
          <w:szCs w:val="22"/>
        </w:rPr>
        <w:t>——第</w:t>
      </w:r>
      <w:r>
        <w:rPr>
          <w:rFonts w:hAnsi="Times New Roman" w:eastAsia="宋体"/>
          <w:i/>
          <w:szCs w:val="22"/>
        </w:rPr>
        <w:t>i</w:t>
      </w:r>
      <w:r>
        <w:rPr>
          <w:rFonts w:hAnsi="Times New Roman" w:eastAsia="宋体"/>
          <w:szCs w:val="22"/>
        </w:rPr>
        <w:t>种污染物环境空气质量浓度标准</w:t>
      </w:r>
      <w:r>
        <w:rPr>
          <w:rFonts w:hAnsi="Times New Roman" w:eastAsia="宋体"/>
          <w:szCs w:val="22"/>
          <w:lang w:eastAsia="zh-CN"/>
        </w:rPr>
        <w:t>，</w:t>
      </w:r>
      <w:r>
        <w:rPr>
          <w:rFonts w:hAnsi="Times New Roman" w:eastAsia="宋体"/>
          <w:szCs w:val="22"/>
        </w:rPr>
        <w:t>mg/</w:t>
      </w:r>
      <w:r>
        <w:rPr>
          <w:rFonts w:hAnsi="Times New Roman" w:eastAsia="宋体"/>
          <w:szCs w:val="22"/>
          <w:lang w:eastAsia="zh-CN"/>
        </w:rPr>
        <w:t>m</w:t>
      </w:r>
      <w:r>
        <w:rPr>
          <w:rFonts w:hAnsi="Times New Roman" w:eastAsia="宋体"/>
          <w:szCs w:val="22"/>
          <w:vertAlign w:val="superscript"/>
          <w:lang w:eastAsia="zh-CN"/>
        </w:rPr>
        <w:t>3</w:t>
      </w:r>
    </w:p>
    <w:p>
      <w:pPr>
        <w:adjustRightInd w:val="0"/>
        <w:snapToGrid w:val="0"/>
        <w:spacing w:line="360" w:lineRule="auto"/>
        <w:ind w:firstLine="480" w:firstLineChars="200"/>
        <w:rPr>
          <w:rFonts w:hAnsi="Times New Roman" w:eastAsia="宋体"/>
        </w:rPr>
      </w:pPr>
      <w:r>
        <w:rPr>
          <w:rFonts w:hAnsi="Times New Roman" w:eastAsia="宋体"/>
          <w:lang w:eastAsia="zh-CN"/>
        </w:rPr>
        <w:t>④</w:t>
      </w:r>
      <w:r>
        <w:rPr>
          <w:rFonts w:hAnsi="Times New Roman" w:eastAsia="宋体"/>
        </w:rPr>
        <w:t>监测结果统计与评价</w:t>
      </w:r>
    </w:p>
    <w:p>
      <w:pPr>
        <w:adjustRightInd w:val="0"/>
        <w:snapToGrid w:val="0"/>
        <w:spacing w:line="360" w:lineRule="auto"/>
        <w:ind w:firstLine="480" w:firstLineChars="200"/>
        <w:jc w:val="left"/>
        <w:rPr>
          <w:rFonts w:hAnsi="Times New Roman" w:eastAsia="宋体"/>
          <w:szCs w:val="22"/>
        </w:rPr>
      </w:pPr>
      <w:r>
        <w:rPr>
          <w:rFonts w:hAnsi="Times New Roman" w:eastAsia="宋体"/>
          <w:szCs w:val="22"/>
        </w:rPr>
        <w:t>监测统计结果见下表。</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表3.2-</w:t>
      </w:r>
      <w:r>
        <w:rPr>
          <w:rFonts w:hint="eastAsia" w:hAnsi="Times New Roman" w:eastAsia="宋体"/>
          <w:b/>
          <w:bCs/>
          <w:sz w:val="21"/>
          <w:szCs w:val="21"/>
          <w:lang w:eastAsia="zh-CN"/>
        </w:rPr>
        <w:t>4</w:t>
      </w:r>
      <w:r>
        <w:rPr>
          <w:rFonts w:hAnsi="Times New Roman" w:eastAsia="宋体"/>
          <w:b/>
          <w:bCs/>
          <w:sz w:val="21"/>
          <w:szCs w:val="21"/>
          <w:lang w:eastAsia="zh-CN"/>
        </w:rPr>
        <w:t xml:space="preserve">  环境空气监测结果表</w:t>
      </w:r>
    </w:p>
    <w:tbl>
      <w:tblPr>
        <w:tblStyle w:val="33"/>
        <w:tblW w:w="91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1"/>
        <w:gridCol w:w="731"/>
        <w:gridCol w:w="1600"/>
        <w:gridCol w:w="675"/>
        <w:gridCol w:w="1559"/>
        <w:gridCol w:w="1173"/>
        <w:gridCol w:w="1154"/>
        <w:gridCol w:w="859"/>
        <w:gridCol w:w="7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711" w:type="dxa"/>
            <w:vAlign w:val="center"/>
          </w:tcPr>
          <w:p>
            <w:pPr>
              <w:keepNext w:val="0"/>
              <w:keepLines w:val="0"/>
              <w:suppressLineNumbers w:val="0"/>
              <w:spacing w:before="0" w:beforeAutospacing="0" w:after="0" w:afterAutospacing="0"/>
              <w:ind w:left="0" w:right="0"/>
              <w:jc w:val="center"/>
              <w:outlineLvl w:val="4"/>
              <w:rPr>
                <w:rFonts w:hint="eastAsia" w:hAnsi="Times New Roman" w:eastAsia="宋体"/>
                <w:b/>
                <w:kern w:val="2"/>
                <w:sz w:val="21"/>
                <w:szCs w:val="21"/>
              </w:rPr>
            </w:pPr>
            <w:r>
              <w:rPr>
                <w:rFonts w:hint="eastAsia" w:hAnsi="Times New Roman" w:eastAsia="宋体"/>
                <w:b/>
                <w:kern w:val="2"/>
                <w:sz w:val="21"/>
                <w:szCs w:val="21"/>
              </w:rPr>
              <w:t>监测</w:t>
            </w:r>
          </w:p>
          <w:p>
            <w:pPr>
              <w:keepNext w:val="0"/>
              <w:keepLines w:val="0"/>
              <w:suppressLineNumbers w:val="0"/>
              <w:spacing w:before="0" w:beforeAutospacing="0" w:after="0" w:afterAutospacing="0"/>
              <w:ind w:left="0" w:right="0"/>
              <w:jc w:val="center"/>
              <w:outlineLvl w:val="4"/>
              <w:rPr>
                <w:rFonts w:hint="eastAsia" w:hAnsi="Times New Roman" w:eastAsia="宋体"/>
                <w:b/>
                <w:kern w:val="2"/>
                <w:sz w:val="21"/>
                <w:szCs w:val="21"/>
              </w:rPr>
            </w:pPr>
            <w:r>
              <w:rPr>
                <w:rFonts w:hint="eastAsia" w:hAnsi="Times New Roman" w:eastAsia="宋体"/>
                <w:b/>
                <w:kern w:val="2"/>
                <w:sz w:val="21"/>
                <w:szCs w:val="21"/>
              </w:rPr>
              <w:t>点位</w:t>
            </w:r>
          </w:p>
        </w:tc>
        <w:tc>
          <w:tcPr>
            <w:tcW w:w="731" w:type="dxa"/>
            <w:vAlign w:val="center"/>
          </w:tcPr>
          <w:p>
            <w:pPr>
              <w:keepNext w:val="0"/>
              <w:keepLines w:val="0"/>
              <w:suppressLineNumbers w:val="0"/>
              <w:spacing w:before="0" w:beforeAutospacing="0" w:after="0" w:afterAutospacing="0"/>
              <w:ind w:left="0" w:right="0"/>
              <w:jc w:val="center"/>
              <w:outlineLvl w:val="4"/>
              <w:rPr>
                <w:rFonts w:hint="eastAsia" w:hAnsi="Times New Roman" w:eastAsia="宋体"/>
                <w:b/>
                <w:kern w:val="2"/>
                <w:sz w:val="21"/>
                <w:szCs w:val="21"/>
              </w:rPr>
            </w:pPr>
            <w:r>
              <w:rPr>
                <w:rFonts w:hint="eastAsia" w:hAnsi="Times New Roman" w:eastAsia="宋体"/>
                <w:b/>
                <w:kern w:val="2"/>
                <w:sz w:val="21"/>
                <w:szCs w:val="21"/>
              </w:rPr>
              <w:t>监测项目</w:t>
            </w:r>
          </w:p>
        </w:tc>
        <w:tc>
          <w:tcPr>
            <w:tcW w:w="1600" w:type="dxa"/>
            <w:vAlign w:val="center"/>
          </w:tcPr>
          <w:p>
            <w:pPr>
              <w:keepNext w:val="0"/>
              <w:keepLines w:val="0"/>
              <w:suppressLineNumbers w:val="0"/>
              <w:spacing w:before="0" w:beforeAutospacing="0" w:after="0" w:afterAutospacing="0"/>
              <w:ind w:left="0" w:right="0"/>
              <w:jc w:val="center"/>
              <w:outlineLvl w:val="4"/>
              <w:rPr>
                <w:rFonts w:hint="eastAsia" w:hAnsi="Times New Roman" w:eastAsia="宋体"/>
                <w:b/>
                <w:kern w:val="2"/>
                <w:sz w:val="21"/>
                <w:szCs w:val="21"/>
              </w:rPr>
            </w:pPr>
            <w:r>
              <w:rPr>
                <w:rFonts w:hint="eastAsia" w:hAnsi="Times New Roman" w:eastAsia="宋体"/>
                <w:b/>
                <w:kern w:val="2"/>
                <w:sz w:val="21"/>
                <w:szCs w:val="21"/>
              </w:rPr>
              <w:t>采样时间</w:t>
            </w:r>
          </w:p>
        </w:tc>
        <w:tc>
          <w:tcPr>
            <w:tcW w:w="675" w:type="dxa"/>
            <w:vAlign w:val="center"/>
          </w:tcPr>
          <w:p>
            <w:pPr>
              <w:keepNext w:val="0"/>
              <w:keepLines w:val="0"/>
              <w:suppressLineNumbers w:val="0"/>
              <w:spacing w:before="0" w:beforeAutospacing="0" w:after="0" w:afterAutospacing="0"/>
              <w:ind w:left="0" w:right="0"/>
              <w:jc w:val="center"/>
              <w:outlineLvl w:val="4"/>
              <w:rPr>
                <w:rFonts w:hint="eastAsia" w:hAnsi="Times New Roman" w:eastAsia="宋体"/>
                <w:b/>
                <w:kern w:val="2"/>
                <w:sz w:val="21"/>
                <w:szCs w:val="21"/>
              </w:rPr>
            </w:pPr>
            <w:r>
              <w:rPr>
                <w:rFonts w:hint="eastAsia" w:hAnsi="Times New Roman" w:eastAsia="宋体"/>
                <w:b/>
                <w:kern w:val="2"/>
                <w:sz w:val="21"/>
                <w:szCs w:val="21"/>
              </w:rPr>
              <w:t>采样</w:t>
            </w:r>
          </w:p>
          <w:p>
            <w:pPr>
              <w:keepNext w:val="0"/>
              <w:keepLines w:val="0"/>
              <w:suppressLineNumbers w:val="0"/>
              <w:spacing w:before="0" w:beforeAutospacing="0" w:after="0" w:afterAutospacing="0"/>
              <w:ind w:left="0" w:right="0"/>
              <w:jc w:val="center"/>
              <w:outlineLvl w:val="4"/>
              <w:rPr>
                <w:rFonts w:hint="eastAsia" w:hAnsi="Times New Roman" w:eastAsia="宋体"/>
                <w:b/>
                <w:kern w:val="2"/>
                <w:sz w:val="21"/>
                <w:szCs w:val="21"/>
              </w:rPr>
            </w:pPr>
            <w:r>
              <w:rPr>
                <w:rFonts w:hint="eastAsia" w:hAnsi="Times New Roman" w:eastAsia="宋体"/>
                <w:b/>
                <w:kern w:val="2"/>
                <w:sz w:val="21"/>
                <w:szCs w:val="21"/>
              </w:rPr>
              <w:t>个数</w:t>
            </w:r>
          </w:p>
        </w:tc>
        <w:tc>
          <w:tcPr>
            <w:tcW w:w="1559" w:type="dxa"/>
            <w:vAlign w:val="center"/>
          </w:tcPr>
          <w:p>
            <w:pPr>
              <w:keepNext w:val="0"/>
              <w:keepLines w:val="0"/>
              <w:suppressLineNumbers w:val="0"/>
              <w:spacing w:before="0" w:beforeAutospacing="0" w:after="0" w:afterAutospacing="0"/>
              <w:ind w:left="0" w:right="0"/>
              <w:jc w:val="center"/>
              <w:outlineLvl w:val="4"/>
              <w:rPr>
                <w:rFonts w:hint="eastAsia" w:hAnsi="Times New Roman" w:eastAsia="宋体"/>
                <w:b/>
                <w:kern w:val="2"/>
                <w:sz w:val="21"/>
                <w:szCs w:val="21"/>
              </w:rPr>
            </w:pPr>
            <w:r>
              <w:rPr>
                <w:rFonts w:hint="eastAsia" w:hAnsi="Times New Roman" w:eastAsia="宋体"/>
                <w:b/>
                <w:kern w:val="2"/>
                <w:sz w:val="21"/>
                <w:szCs w:val="21"/>
              </w:rPr>
              <w:t>浓度范围（mg/</w:t>
            </w:r>
            <w:r>
              <w:rPr>
                <w:rFonts w:hint="eastAsia" w:hAnsi="Times New Roman" w:eastAsia="宋体"/>
                <w:b/>
                <w:kern w:val="2"/>
                <w:sz w:val="21"/>
                <w:szCs w:val="21"/>
                <w:lang w:eastAsia="zh-CN"/>
              </w:rPr>
              <w:t>m</w:t>
            </w:r>
            <w:r>
              <w:rPr>
                <w:rFonts w:hint="eastAsia" w:hAnsi="Times New Roman" w:eastAsia="宋体"/>
                <w:b/>
                <w:kern w:val="2"/>
                <w:sz w:val="21"/>
                <w:szCs w:val="21"/>
                <w:vertAlign w:val="superscript"/>
                <w:lang w:eastAsia="zh-CN"/>
              </w:rPr>
              <w:t>3</w:t>
            </w:r>
            <w:r>
              <w:rPr>
                <w:rFonts w:hint="eastAsia" w:hAnsi="Times New Roman" w:eastAsia="宋体"/>
                <w:b/>
                <w:kern w:val="2"/>
                <w:sz w:val="21"/>
                <w:szCs w:val="21"/>
              </w:rPr>
              <w:t>）</w:t>
            </w:r>
          </w:p>
        </w:tc>
        <w:tc>
          <w:tcPr>
            <w:tcW w:w="1173" w:type="dxa"/>
            <w:vAlign w:val="center"/>
          </w:tcPr>
          <w:p>
            <w:pPr>
              <w:keepNext w:val="0"/>
              <w:keepLines w:val="0"/>
              <w:suppressLineNumbers w:val="0"/>
              <w:spacing w:before="0" w:beforeAutospacing="0" w:after="0" w:afterAutospacing="0"/>
              <w:ind w:left="0" w:right="0"/>
              <w:jc w:val="center"/>
              <w:outlineLvl w:val="4"/>
              <w:rPr>
                <w:rFonts w:hint="eastAsia" w:hAnsi="Times New Roman" w:eastAsia="宋体"/>
                <w:b/>
                <w:kern w:val="2"/>
                <w:sz w:val="21"/>
                <w:szCs w:val="21"/>
              </w:rPr>
            </w:pPr>
            <w:r>
              <w:rPr>
                <w:rFonts w:hint="eastAsia" w:hAnsi="Times New Roman" w:eastAsia="宋体"/>
                <w:b/>
                <w:kern w:val="2"/>
                <w:sz w:val="21"/>
                <w:szCs w:val="21"/>
              </w:rPr>
              <w:t>标准值（mg/</w:t>
            </w:r>
            <w:r>
              <w:rPr>
                <w:rFonts w:hint="eastAsia" w:hAnsi="Times New Roman" w:eastAsia="宋体"/>
                <w:b/>
                <w:kern w:val="2"/>
                <w:sz w:val="21"/>
                <w:szCs w:val="21"/>
                <w:lang w:eastAsia="zh-CN"/>
              </w:rPr>
              <w:t>m</w:t>
            </w:r>
            <w:r>
              <w:rPr>
                <w:rFonts w:hint="eastAsia" w:hAnsi="Times New Roman" w:eastAsia="宋体"/>
                <w:b/>
                <w:kern w:val="2"/>
                <w:sz w:val="21"/>
                <w:szCs w:val="21"/>
                <w:vertAlign w:val="superscript"/>
                <w:lang w:eastAsia="zh-CN"/>
              </w:rPr>
              <w:t>3</w:t>
            </w:r>
            <w:r>
              <w:rPr>
                <w:rFonts w:hint="eastAsia" w:hAnsi="Times New Roman" w:eastAsia="宋体"/>
                <w:b/>
                <w:kern w:val="2"/>
                <w:sz w:val="21"/>
                <w:szCs w:val="21"/>
              </w:rPr>
              <w:t>）</w:t>
            </w:r>
          </w:p>
        </w:tc>
        <w:tc>
          <w:tcPr>
            <w:tcW w:w="1154" w:type="dxa"/>
            <w:vAlign w:val="center"/>
          </w:tcPr>
          <w:p>
            <w:pPr>
              <w:keepNext w:val="0"/>
              <w:keepLines w:val="0"/>
              <w:suppressLineNumbers w:val="0"/>
              <w:spacing w:before="0" w:beforeAutospacing="0" w:after="0" w:afterAutospacing="0"/>
              <w:ind w:left="0" w:right="0"/>
              <w:jc w:val="center"/>
              <w:outlineLvl w:val="4"/>
              <w:rPr>
                <w:rFonts w:hint="eastAsia" w:hAnsi="Times New Roman" w:eastAsia="宋体"/>
                <w:b/>
                <w:kern w:val="2"/>
                <w:sz w:val="21"/>
                <w:szCs w:val="21"/>
              </w:rPr>
            </w:pPr>
            <w:r>
              <w:rPr>
                <w:rFonts w:hint="eastAsia" w:hAnsi="Times New Roman" w:eastAsia="宋体"/>
                <w:b/>
                <w:kern w:val="2"/>
                <w:sz w:val="21"/>
                <w:szCs w:val="21"/>
              </w:rPr>
              <w:t>最大浓度占标率%</w:t>
            </w:r>
          </w:p>
        </w:tc>
        <w:tc>
          <w:tcPr>
            <w:tcW w:w="859" w:type="dxa"/>
            <w:vAlign w:val="center"/>
          </w:tcPr>
          <w:p>
            <w:pPr>
              <w:keepNext w:val="0"/>
              <w:keepLines w:val="0"/>
              <w:suppressLineNumbers w:val="0"/>
              <w:spacing w:before="0" w:beforeAutospacing="0" w:after="0" w:afterAutospacing="0"/>
              <w:ind w:left="0" w:right="0"/>
              <w:jc w:val="center"/>
              <w:outlineLvl w:val="4"/>
              <w:rPr>
                <w:rFonts w:hint="eastAsia" w:hAnsi="Times New Roman" w:eastAsia="宋体"/>
                <w:b/>
                <w:kern w:val="2"/>
                <w:sz w:val="21"/>
                <w:szCs w:val="21"/>
              </w:rPr>
            </w:pPr>
            <w:r>
              <w:rPr>
                <w:rFonts w:hint="eastAsia" w:hAnsi="Times New Roman" w:eastAsia="宋体"/>
                <w:b/>
                <w:kern w:val="2"/>
                <w:sz w:val="21"/>
                <w:szCs w:val="21"/>
              </w:rPr>
              <w:t>超标率</w:t>
            </w:r>
          </w:p>
        </w:tc>
        <w:tc>
          <w:tcPr>
            <w:tcW w:w="712" w:type="dxa"/>
            <w:vAlign w:val="center"/>
          </w:tcPr>
          <w:p>
            <w:pPr>
              <w:keepNext w:val="0"/>
              <w:keepLines w:val="0"/>
              <w:suppressLineNumbers w:val="0"/>
              <w:spacing w:before="0" w:beforeAutospacing="0" w:after="0" w:afterAutospacing="0"/>
              <w:ind w:left="0" w:right="0"/>
              <w:jc w:val="center"/>
              <w:outlineLvl w:val="4"/>
              <w:rPr>
                <w:rFonts w:hint="eastAsia" w:hAnsi="Times New Roman" w:eastAsia="宋体"/>
                <w:b/>
                <w:kern w:val="2"/>
                <w:sz w:val="21"/>
                <w:szCs w:val="21"/>
              </w:rPr>
            </w:pPr>
            <w:r>
              <w:rPr>
                <w:rFonts w:hint="eastAsia" w:hAnsi="Times New Roman" w:eastAsia="宋体"/>
                <w:b/>
                <w:kern w:val="2"/>
                <w:sz w:val="21"/>
                <w:szCs w:val="21"/>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711"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spacing w:val="12"/>
                <w:kern w:val="28"/>
                <w:sz w:val="21"/>
                <w:szCs w:val="21"/>
                <w:lang w:eastAsia="zh-CN"/>
              </w:rPr>
              <w:t>1#</w:t>
            </w:r>
          </w:p>
        </w:tc>
        <w:tc>
          <w:tcPr>
            <w:tcW w:w="731" w:type="dxa"/>
            <w:vAlign w:val="center"/>
          </w:tcPr>
          <w:p>
            <w:pPr>
              <w:keepNext w:val="0"/>
              <w:keepLines w:val="0"/>
              <w:suppressLineNumbers w:val="0"/>
              <w:spacing w:before="0" w:beforeAutospacing="0" w:after="0" w:afterAutospacing="0"/>
              <w:ind w:left="0" w:right="0"/>
              <w:jc w:val="center"/>
              <w:outlineLvl w:val="4"/>
              <w:rPr>
                <w:rFonts w:hint="eastAsia" w:hAnsi="Times New Roman" w:eastAsia="宋体"/>
                <w:kern w:val="2"/>
                <w:sz w:val="21"/>
                <w:szCs w:val="21"/>
                <w:lang w:eastAsia="zh-CN"/>
              </w:rPr>
            </w:pPr>
            <w:r>
              <w:rPr>
                <w:rFonts w:hint="eastAsia" w:hAnsi="Times New Roman" w:eastAsia="宋体"/>
                <w:kern w:val="2"/>
                <w:sz w:val="21"/>
                <w:szCs w:val="21"/>
                <w:lang w:eastAsia="zh-CN"/>
              </w:rPr>
              <w:t>TSP</w:t>
            </w:r>
          </w:p>
        </w:tc>
        <w:tc>
          <w:tcPr>
            <w:tcW w:w="1600" w:type="dxa"/>
            <w:vAlign w:val="center"/>
          </w:tcPr>
          <w:p>
            <w:pPr>
              <w:keepNext w:val="0"/>
              <w:keepLines w:val="0"/>
              <w:suppressLineNumbers w:val="0"/>
              <w:spacing w:before="0" w:beforeAutospacing="0" w:after="0" w:afterAutospacing="0"/>
              <w:ind w:left="0" w:right="0"/>
              <w:jc w:val="center"/>
              <w:outlineLvl w:val="4"/>
              <w:rPr>
                <w:rFonts w:hint="eastAsia" w:hAnsi="Times New Roman" w:eastAsia="宋体"/>
                <w:kern w:val="2"/>
                <w:sz w:val="21"/>
                <w:szCs w:val="21"/>
                <w:lang w:eastAsia="zh-CN"/>
              </w:rPr>
            </w:pPr>
            <w:r>
              <w:rPr>
                <w:rFonts w:hint="eastAsia" w:hAnsi="Times New Roman" w:eastAsia="宋体"/>
                <w:kern w:val="2"/>
                <w:sz w:val="21"/>
                <w:szCs w:val="21"/>
                <w:lang w:eastAsia="zh-CN"/>
              </w:rPr>
              <w:t>2022.1.6～1.12</w:t>
            </w:r>
          </w:p>
        </w:tc>
        <w:tc>
          <w:tcPr>
            <w:tcW w:w="67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Cs w:val="22"/>
                <w:lang w:eastAsia="zh-CN"/>
              </w:rPr>
            </w:pPr>
            <w:r>
              <w:rPr>
                <w:rFonts w:hint="eastAsia" w:hAnsi="Times New Roman" w:eastAsia="宋体"/>
                <w:kern w:val="2"/>
                <w:szCs w:val="22"/>
                <w:lang w:eastAsia="zh-CN"/>
              </w:rPr>
              <w:t>7</w:t>
            </w:r>
          </w:p>
        </w:tc>
        <w:tc>
          <w:tcPr>
            <w:tcW w:w="1559" w:type="dxa"/>
            <w:vAlign w:val="center"/>
          </w:tcPr>
          <w:p>
            <w:pPr>
              <w:keepNext w:val="0"/>
              <w:keepLines w:val="0"/>
              <w:suppressLineNumbers w:val="0"/>
              <w:spacing w:before="0" w:beforeAutospacing="0" w:after="0" w:afterAutospacing="0"/>
              <w:ind w:left="0" w:right="0"/>
              <w:jc w:val="center"/>
              <w:outlineLvl w:val="4"/>
              <w:rPr>
                <w:rFonts w:hint="eastAsia" w:hAnsi="Times New Roman" w:eastAsia="宋体"/>
                <w:kern w:val="2"/>
                <w:sz w:val="21"/>
                <w:szCs w:val="21"/>
                <w:lang w:eastAsia="zh-CN"/>
              </w:rPr>
            </w:pPr>
            <w:r>
              <w:rPr>
                <w:rFonts w:hint="eastAsia" w:hAnsi="Times New Roman" w:eastAsia="宋体"/>
                <w:kern w:val="2"/>
                <w:sz w:val="21"/>
                <w:szCs w:val="21"/>
                <w:lang w:eastAsia="zh-CN"/>
              </w:rPr>
              <w:t>0.240～0.298</w:t>
            </w:r>
          </w:p>
        </w:tc>
        <w:tc>
          <w:tcPr>
            <w:tcW w:w="1173" w:type="dxa"/>
            <w:vAlign w:val="center"/>
          </w:tcPr>
          <w:p>
            <w:pPr>
              <w:keepNext w:val="0"/>
              <w:keepLines w:val="0"/>
              <w:suppressLineNumbers w:val="0"/>
              <w:spacing w:before="0" w:beforeAutospacing="0" w:after="0" w:afterAutospacing="0"/>
              <w:ind w:left="0" w:right="0"/>
              <w:jc w:val="center"/>
              <w:outlineLvl w:val="4"/>
              <w:rPr>
                <w:rFonts w:hint="eastAsia" w:hAnsi="Times New Roman" w:eastAsia="宋体"/>
                <w:kern w:val="2"/>
                <w:sz w:val="21"/>
                <w:szCs w:val="21"/>
                <w:lang w:eastAsia="zh-CN"/>
              </w:rPr>
            </w:pPr>
            <w:r>
              <w:rPr>
                <w:rFonts w:hint="eastAsia" w:hAnsi="Times New Roman" w:eastAsia="宋体"/>
                <w:kern w:val="2"/>
                <w:sz w:val="21"/>
                <w:szCs w:val="21"/>
                <w:lang w:eastAsia="zh-CN"/>
              </w:rPr>
              <w:t>0.90</w:t>
            </w:r>
          </w:p>
        </w:tc>
        <w:tc>
          <w:tcPr>
            <w:tcW w:w="1154" w:type="dxa"/>
            <w:vAlign w:val="center"/>
          </w:tcPr>
          <w:p>
            <w:pPr>
              <w:keepNext w:val="0"/>
              <w:keepLines w:val="0"/>
              <w:suppressLineNumbers w:val="0"/>
              <w:spacing w:before="0" w:beforeAutospacing="0" w:after="0" w:afterAutospacing="0"/>
              <w:ind w:left="0" w:right="0"/>
              <w:jc w:val="center"/>
              <w:outlineLvl w:val="4"/>
              <w:rPr>
                <w:rFonts w:hint="eastAsia" w:hAnsi="Times New Roman" w:eastAsia="宋体"/>
                <w:kern w:val="2"/>
                <w:sz w:val="21"/>
                <w:szCs w:val="21"/>
                <w:lang w:eastAsia="zh-CN"/>
              </w:rPr>
            </w:pPr>
            <w:r>
              <w:rPr>
                <w:rFonts w:hint="eastAsia" w:hAnsi="Times New Roman" w:eastAsia="宋体"/>
                <w:kern w:val="2"/>
                <w:sz w:val="21"/>
                <w:szCs w:val="21"/>
                <w:lang w:eastAsia="zh-CN"/>
              </w:rPr>
              <w:t>66.9</w:t>
            </w:r>
          </w:p>
        </w:tc>
        <w:tc>
          <w:tcPr>
            <w:tcW w:w="859" w:type="dxa"/>
            <w:vAlign w:val="center"/>
          </w:tcPr>
          <w:p>
            <w:pPr>
              <w:keepNext w:val="0"/>
              <w:keepLines w:val="0"/>
              <w:suppressLineNumbers w:val="0"/>
              <w:spacing w:before="0" w:beforeAutospacing="0" w:after="0" w:afterAutospacing="0"/>
              <w:ind w:left="0" w:right="0"/>
              <w:jc w:val="center"/>
              <w:outlineLvl w:val="4"/>
              <w:rPr>
                <w:rFonts w:hint="eastAsia" w:hAnsi="Times New Roman" w:eastAsia="宋体"/>
                <w:kern w:val="2"/>
                <w:sz w:val="21"/>
                <w:szCs w:val="21"/>
                <w:lang w:eastAsia="zh-CN"/>
              </w:rPr>
            </w:pPr>
            <w:r>
              <w:rPr>
                <w:rFonts w:hint="eastAsia" w:hAnsi="Times New Roman" w:eastAsia="宋体"/>
                <w:kern w:val="2"/>
                <w:sz w:val="21"/>
                <w:szCs w:val="21"/>
                <w:lang w:eastAsia="zh-CN"/>
              </w:rPr>
              <w:t>0</w:t>
            </w:r>
          </w:p>
        </w:tc>
        <w:tc>
          <w:tcPr>
            <w:tcW w:w="712" w:type="dxa"/>
            <w:vAlign w:val="center"/>
          </w:tcPr>
          <w:p>
            <w:pPr>
              <w:keepNext w:val="0"/>
              <w:keepLines w:val="0"/>
              <w:suppressLineNumbers w:val="0"/>
              <w:spacing w:before="0" w:beforeAutospacing="0" w:after="0" w:afterAutospacing="0"/>
              <w:ind w:left="0" w:right="0"/>
              <w:jc w:val="center"/>
              <w:outlineLvl w:val="4"/>
              <w:rPr>
                <w:rFonts w:hint="eastAsia" w:hAnsi="Times New Roman" w:eastAsia="宋体"/>
                <w:kern w:val="2"/>
                <w:sz w:val="21"/>
                <w:szCs w:val="21"/>
              </w:rPr>
            </w:pPr>
            <w:r>
              <w:rPr>
                <w:rFonts w:hint="eastAsia" w:hAnsi="Times New Roman" w:eastAsia="宋体"/>
                <w:kern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711"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spacing w:val="12"/>
                <w:kern w:val="28"/>
                <w:sz w:val="21"/>
                <w:szCs w:val="21"/>
                <w:lang w:eastAsia="zh-CN"/>
              </w:rPr>
              <w:t>2#</w:t>
            </w:r>
          </w:p>
        </w:tc>
        <w:tc>
          <w:tcPr>
            <w:tcW w:w="731" w:type="dxa"/>
          </w:tcPr>
          <w:p>
            <w:pPr>
              <w:keepNext w:val="0"/>
              <w:keepLines w:val="0"/>
              <w:suppressLineNumbers w:val="0"/>
              <w:spacing w:before="0" w:beforeAutospacing="0" w:after="0" w:afterAutospacing="0"/>
              <w:ind w:left="0" w:right="0"/>
              <w:jc w:val="center"/>
              <w:outlineLvl w:val="4"/>
              <w:rPr>
                <w:rFonts w:hint="eastAsia" w:hAnsi="Times New Roman" w:eastAsia="宋体"/>
                <w:kern w:val="2"/>
                <w:sz w:val="21"/>
                <w:szCs w:val="21"/>
              </w:rPr>
            </w:pPr>
            <w:r>
              <w:rPr>
                <w:rFonts w:hint="eastAsia" w:hAnsi="Times New Roman" w:eastAsia="宋体"/>
                <w:kern w:val="2"/>
                <w:sz w:val="21"/>
                <w:szCs w:val="21"/>
                <w:lang w:eastAsia="zh-CN"/>
              </w:rPr>
              <w:t>TSP</w:t>
            </w:r>
          </w:p>
        </w:tc>
        <w:tc>
          <w:tcPr>
            <w:tcW w:w="1600" w:type="dxa"/>
          </w:tcPr>
          <w:p>
            <w:pPr>
              <w:keepNext w:val="0"/>
              <w:keepLines w:val="0"/>
              <w:suppressLineNumbers w:val="0"/>
              <w:spacing w:before="0" w:beforeAutospacing="0" w:after="0" w:afterAutospacing="0"/>
              <w:ind w:left="0" w:right="0"/>
              <w:jc w:val="center"/>
              <w:outlineLvl w:val="4"/>
              <w:rPr>
                <w:rFonts w:hint="eastAsia" w:hAnsi="Times New Roman" w:eastAsia="宋体"/>
                <w:kern w:val="2"/>
                <w:sz w:val="21"/>
                <w:szCs w:val="21"/>
              </w:rPr>
            </w:pPr>
            <w:r>
              <w:rPr>
                <w:rFonts w:hint="eastAsia" w:hAnsi="Times New Roman" w:eastAsia="宋体"/>
                <w:kern w:val="2"/>
                <w:sz w:val="21"/>
                <w:szCs w:val="21"/>
                <w:lang w:eastAsia="zh-CN"/>
              </w:rPr>
              <w:t>2022.1.6～1.12</w:t>
            </w:r>
          </w:p>
        </w:tc>
        <w:tc>
          <w:tcPr>
            <w:tcW w:w="675" w:type="dxa"/>
          </w:tcPr>
          <w:p>
            <w:pPr>
              <w:keepNext w:val="0"/>
              <w:keepLines w:val="0"/>
              <w:suppressLineNumbers w:val="0"/>
              <w:spacing w:before="0" w:beforeAutospacing="0" w:after="0" w:afterAutospacing="0"/>
              <w:ind w:left="0" w:right="0"/>
              <w:jc w:val="center"/>
              <w:rPr>
                <w:rFonts w:hint="eastAsia" w:hAnsi="Times New Roman" w:eastAsia="宋体"/>
                <w:kern w:val="2"/>
                <w:szCs w:val="22"/>
                <w:lang w:eastAsia="zh-CN"/>
              </w:rPr>
            </w:pPr>
            <w:r>
              <w:rPr>
                <w:rFonts w:hint="eastAsia" w:hAnsi="Times New Roman" w:eastAsia="宋体"/>
                <w:kern w:val="2"/>
                <w:szCs w:val="22"/>
                <w:lang w:eastAsia="zh-CN"/>
              </w:rPr>
              <w:t>7</w:t>
            </w:r>
          </w:p>
        </w:tc>
        <w:tc>
          <w:tcPr>
            <w:tcW w:w="1559" w:type="dxa"/>
          </w:tcPr>
          <w:p>
            <w:pPr>
              <w:keepNext w:val="0"/>
              <w:keepLines w:val="0"/>
              <w:suppressLineNumbers w:val="0"/>
              <w:spacing w:before="0" w:beforeAutospacing="0" w:after="0" w:afterAutospacing="0"/>
              <w:ind w:left="0" w:right="0"/>
              <w:jc w:val="center"/>
              <w:outlineLvl w:val="4"/>
              <w:rPr>
                <w:rFonts w:hint="eastAsia" w:hAnsi="Times New Roman" w:eastAsia="宋体"/>
                <w:kern w:val="2"/>
                <w:sz w:val="21"/>
                <w:szCs w:val="21"/>
                <w:lang w:eastAsia="zh-CN"/>
              </w:rPr>
            </w:pPr>
            <w:r>
              <w:rPr>
                <w:rFonts w:hint="eastAsia" w:hAnsi="Times New Roman" w:eastAsia="宋体"/>
                <w:kern w:val="2"/>
                <w:sz w:val="21"/>
                <w:szCs w:val="21"/>
                <w:lang w:eastAsia="zh-CN"/>
              </w:rPr>
              <w:t>0.236～0.284</w:t>
            </w:r>
          </w:p>
        </w:tc>
        <w:tc>
          <w:tcPr>
            <w:tcW w:w="1173" w:type="dxa"/>
          </w:tcPr>
          <w:p>
            <w:pPr>
              <w:keepNext w:val="0"/>
              <w:keepLines w:val="0"/>
              <w:suppressLineNumbers w:val="0"/>
              <w:spacing w:before="0" w:beforeAutospacing="0" w:after="0" w:afterAutospacing="0"/>
              <w:ind w:left="0" w:right="0"/>
              <w:jc w:val="center"/>
              <w:outlineLvl w:val="4"/>
              <w:rPr>
                <w:rFonts w:hint="eastAsia" w:hAnsi="Times New Roman" w:eastAsia="宋体"/>
                <w:kern w:val="2"/>
                <w:sz w:val="21"/>
                <w:szCs w:val="21"/>
                <w:lang w:eastAsia="zh-CN"/>
              </w:rPr>
            </w:pPr>
            <w:r>
              <w:rPr>
                <w:rFonts w:hint="eastAsia" w:hAnsi="Times New Roman" w:eastAsia="宋体"/>
                <w:kern w:val="2"/>
                <w:sz w:val="21"/>
                <w:szCs w:val="21"/>
                <w:lang w:eastAsia="zh-CN"/>
              </w:rPr>
              <w:t>0.90</w:t>
            </w:r>
          </w:p>
        </w:tc>
        <w:tc>
          <w:tcPr>
            <w:tcW w:w="1154" w:type="dxa"/>
          </w:tcPr>
          <w:p>
            <w:pPr>
              <w:keepNext w:val="0"/>
              <w:keepLines w:val="0"/>
              <w:suppressLineNumbers w:val="0"/>
              <w:spacing w:before="0" w:beforeAutospacing="0" w:after="0" w:afterAutospacing="0"/>
              <w:ind w:left="0" w:right="0"/>
              <w:jc w:val="center"/>
              <w:outlineLvl w:val="4"/>
              <w:rPr>
                <w:rFonts w:hint="eastAsia" w:hAnsi="Times New Roman" w:eastAsia="宋体"/>
                <w:kern w:val="2"/>
                <w:sz w:val="21"/>
                <w:szCs w:val="21"/>
                <w:lang w:eastAsia="zh-CN"/>
              </w:rPr>
            </w:pPr>
            <w:r>
              <w:rPr>
                <w:rFonts w:hint="eastAsia" w:hAnsi="Times New Roman" w:eastAsia="宋体"/>
                <w:kern w:val="2"/>
                <w:sz w:val="21"/>
                <w:szCs w:val="21"/>
                <w:lang w:eastAsia="zh-CN"/>
              </w:rPr>
              <w:t>68.4</w:t>
            </w:r>
          </w:p>
        </w:tc>
        <w:tc>
          <w:tcPr>
            <w:tcW w:w="859" w:type="dxa"/>
            <w:vAlign w:val="center"/>
          </w:tcPr>
          <w:p>
            <w:pPr>
              <w:keepNext w:val="0"/>
              <w:keepLines w:val="0"/>
              <w:suppressLineNumbers w:val="0"/>
              <w:spacing w:before="0" w:beforeAutospacing="0" w:after="0" w:afterAutospacing="0"/>
              <w:ind w:left="0" w:right="0"/>
              <w:jc w:val="center"/>
              <w:outlineLvl w:val="4"/>
              <w:rPr>
                <w:rFonts w:hint="eastAsia" w:hAnsi="Times New Roman" w:eastAsia="宋体"/>
                <w:kern w:val="2"/>
                <w:sz w:val="21"/>
                <w:szCs w:val="21"/>
                <w:lang w:eastAsia="zh-CN"/>
              </w:rPr>
            </w:pPr>
            <w:r>
              <w:rPr>
                <w:rFonts w:hint="eastAsia" w:hAnsi="Times New Roman" w:eastAsia="宋体"/>
                <w:kern w:val="2"/>
                <w:sz w:val="21"/>
                <w:szCs w:val="21"/>
                <w:lang w:eastAsia="zh-CN"/>
              </w:rPr>
              <w:t>0</w:t>
            </w:r>
          </w:p>
        </w:tc>
        <w:tc>
          <w:tcPr>
            <w:tcW w:w="712" w:type="dxa"/>
            <w:vAlign w:val="center"/>
          </w:tcPr>
          <w:p>
            <w:pPr>
              <w:keepNext w:val="0"/>
              <w:keepLines w:val="0"/>
              <w:suppressLineNumbers w:val="0"/>
              <w:spacing w:before="0" w:beforeAutospacing="0" w:after="0" w:afterAutospacing="0"/>
              <w:ind w:left="0" w:right="0"/>
              <w:jc w:val="center"/>
              <w:outlineLvl w:val="4"/>
              <w:rPr>
                <w:rFonts w:hint="eastAsia" w:hAnsi="Times New Roman" w:eastAsia="宋体"/>
                <w:kern w:val="2"/>
                <w:sz w:val="21"/>
                <w:szCs w:val="21"/>
              </w:rPr>
            </w:pPr>
            <w:r>
              <w:rPr>
                <w:rFonts w:hint="eastAsia" w:hAnsi="Times New Roman" w:eastAsia="宋体"/>
                <w:kern w:val="2"/>
                <w:sz w:val="21"/>
                <w:szCs w:val="21"/>
              </w:rPr>
              <w:t>达标</w:t>
            </w:r>
          </w:p>
        </w:tc>
      </w:tr>
    </w:tbl>
    <w:p>
      <w:pPr>
        <w:spacing w:line="360" w:lineRule="auto"/>
        <w:ind w:firstLine="496" w:firstLineChars="200"/>
        <w:rPr>
          <w:rFonts w:hAnsi="Times New Roman" w:eastAsia="宋体"/>
          <w:spacing w:val="4"/>
          <w:lang w:eastAsia="zh-CN"/>
        </w:rPr>
      </w:pPr>
      <w:r>
        <w:rPr>
          <w:rFonts w:hAnsi="Times New Roman" w:eastAsia="宋体"/>
          <w:spacing w:val="4"/>
          <w:lang w:eastAsia="zh-CN"/>
        </w:rPr>
        <w:t>⑤评价结论</w:t>
      </w:r>
    </w:p>
    <w:p>
      <w:pPr>
        <w:spacing w:line="360" w:lineRule="auto"/>
        <w:ind w:firstLine="480" w:firstLineChars="200"/>
        <w:rPr>
          <w:rFonts w:hAnsi="Times New Roman" w:eastAsia="宋体"/>
          <w:szCs w:val="22"/>
          <w:lang w:eastAsia="zh-CN"/>
        </w:rPr>
      </w:pPr>
      <w:r>
        <w:rPr>
          <w:rFonts w:hAnsi="Times New Roman" w:eastAsia="宋体"/>
          <w:szCs w:val="22"/>
          <w:lang w:eastAsia="zh-CN"/>
        </w:rPr>
        <w:t>本项目监测点TSP监测因子的最大浓度占标率均小于1，环境空气质量满足《环境空气质量标准》（GB 3095-2012）二级标准。评价区域空气环境质量状况较好。</w:t>
      </w:r>
    </w:p>
    <w:p>
      <w:pPr>
        <w:pStyle w:val="6"/>
        <w:rPr>
          <w:lang w:eastAsia="zh-CN"/>
        </w:rPr>
      </w:pPr>
      <w:bookmarkStart w:id="146" w:name="_Toc163812541"/>
      <w:bookmarkStart w:id="147" w:name="_Toc167095164"/>
      <w:r>
        <w:rPr>
          <w:lang w:eastAsia="zh-CN"/>
        </w:rPr>
        <w:t>3.2.2 地表水质量现状调查与评价</w:t>
      </w:r>
      <w:bookmarkEnd w:id="146"/>
      <w:bookmarkEnd w:id="147"/>
    </w:p>
    <w:p>
      <w:pPr>
        <w:spacing w:line="360" w:lineRule="auto"/>
        <w:ind w:firstLine="480" w:firstLineChars="200"/>
        <w:rPr>
          <w:rFonts w:hAnsi="Times New Roman" w:eastAsia="宋体"/>
          <w:lang w:eastAsia="zh-CN"/>
        </w:rPr>
      </w:pPr>
      <w:r>
        <w:rPr>
          <w:rFonts w:hAnsi="Times New Roman" w:eastAsia="宋体"/>
          <w:lang w:eastAsia="zh-CN"/>
        </w:rPr>
        <w:t>本项目地表水评价等级为二级，根据《环境影响评价技术导则地表水环境》（HJ/2.3-2018）中水环境质量现状调查的原则：“水环境质量现状调查应优先采用国务院生态环境保护主管部门统一发布的水环境状况信息，当现有资料不能满足要求时，应按照不同等级对应的评价时期要求开展现状监测”。为了解区域环境质量现状，本次评价查阅了达州市生态环境局发布的水环境质量，根据达州市生态环境局202</w:t>
      </w:r>
      <w:r>
        <w:rPr>
          <w:rFonts w:hint="eastAsia" w:hAnsi="Times New Roman" w:eastAsia="宋体"/>
          <w:lang w:eastAsia="zh-CN"/>
        </w:rPr>
        <w:t>4</w:t>
      </w:r>
      <w:r>
        <w:rPr>
          <w:rFonts w:hAnsi="Times New Roman" w:eastAsia="宋体"/>
          <w:lang w:eastAsia="zh-CN"/>
        </w:rPr>
        <w:t>年</w:t>
      </w:r>
      <w:r>
        <w:rPr>
          <w:rFonts w:hint="eastAsia" w:hAnsi="Times New Roman" w:eastAsia="宋体"/>
          <w:lang w:eastAsia="zh-CN"/>
        </w:rPr>
        <w:t>5</w:t>
      </w:r>
      <w:r>
        <w:rPr>
          <w:rFonts w:hAnsi="Times New Roman" w:eastAsia="宋体"/>
          <w:lang w:eastAsia="zh-CN"/>
        </w:rPr>
        <w:t>月发布的202</w:t>
      </w:r>
      <w:r>
        <w:rPr>
          <w:rFonts w:hint="eastAsia" w:hAnsi="Times New Roman" w:eastAsia="宋体"/>
          <w:lang w:eastAsia="zh-CN"/>
        </w:rPr>
        <w:t>4</w:t>
      </w:r>
      <w:r>
        <w:rPr>
          <w:rFonts w:hAnsi="Times New Roman" w:eastAsia="宋体"/>
          <w:lang w:eastAsia="zh-CN"/>
        </w:rPr>
        <w:t>年</w:t>
      </w:r>
      <w:r>
        <w:rPr>
          <w:rFonts w:hint="eastAsia" w:hAnsi="Times New Roman" w:eastAsia="宋体"/>
          <w:lang w:eastAsia="zh-CN"/>
        </w:rPr>
        <w:t>4</w:t>
      </w:r>
      <w:r>
        <w:rPr>
          <w:rFonts w:hAnsi="Times New Roman" w:eastAsia="宋体"/>
          <w:lang w:eastAsia="zh-CN"/>
        </w:rPr>
        <w:t xml:space="preserve">月达州市地表水水质月报（https://sthjj.dazhou.gov.cn/news-show-19027.html）：2024 </w:t>
      </w:r>
      <w:r>
        <w:rPr>
          <w:rFonts w:hint="eastAsia" w:hAnsi="Times New Roman" w:eastAsia="宋体"/>
          <w:lang w:eastAsia="zh-CN"/>
        </w:rPr>
        <w:t>年</w:t>
      </w:r>
      <w:r>
        <w:rPr>
          <w:rFonts w:hAnsi="Times New Roman" w:eastAsia="宋体"/>
          <w:lang w:eastAsia="zh-CN"/>
        </w:rPr>
        <w:t xml:space="preserve"> 4 </w:t>
      </w:r>
      <w:r>
        <w:rPr>
          <w:rFonts w:hint="eastAsia" w:hAnsi="Times New Roman" w:eastAsia="宋体"/>
          <w:lang w:eastAsia="zh-CN"/>
        </w:rPr>
        <w:t>月全市</w:t>
      </w:r>
      <w:r>
        <w:rPr>
          <w:rFonts w:hAnsi="Times New Roman" w:eastAsia="宋体"/>
          <w:lang w:eastAsia="zh-CN"/>
        </w:rPr>
        <w:t>37</w:t>
      </w:r>
      <w:r>
        <w:rPr>
          <w:rFonts w:hint="eastAsia" w:hAnsi="Times New Roman" w:eastAsia="宋体"/>
          <w:lang w:eastAsia="zh-CN"/>
        </w:rPr>
        <w:t>个河流断面中，优（Ⅰ</w:t>
      </w:r>
      <w:r>
        <w:rPr>
          <w:rFonts w:hAnsi="Times New Roman" w:eastAsia="宋体"/>
          <w:lang w:eastAsia="zh-CN"/>
        </w:rPr>
        <w:t>~</w:t>
      </w:r>
      <w:r>
        <w:rPr>
          <w:rFonts w:hint="eastAsia" w:hAnsi="Times New Roman" w:eastAsia="宋体"/>
          <w:lang w:eastAsia="zh-CN"/>
        </w:rPr>
        <w:t>Ⅱ类）良（Ⅲ类）水质断面</w:t>
      </w:r>
      <w:r>
        <w:rPr>
          <w:rFonts w:hAnsi="Times New Roman" w:eastAsia="宋体"/>
          <w:lang w:eastAsia="zh-CN"/>
        </w:rPr>
        <w:t xml:space="preserve"> 34</w:t>
      </w:r>
      <w:r>
        <w:rPr>
          <w:rFonts w:hint="eastAsia" w:hAnsi="Times New Roman" w:eastAsia="宋体"/>
          <w:lang w:eastAsia="zh-CN"/>
        </w:rPr>
        <w:t>个，占比</w:t>
      </w:r>
      <w:r>
        <w:rPr>
          <w:rFonts w:hAnsi="Times New Roman" w:eastAsia="宋体"/>
          <w:lang w:eastAsia="zh-CN"/>
        </w:rPr>
        <w:t>91.9%</w:t>
      </w:r>
      <w:r>
        <w:rPr>
          <w:rFonts w:hint="eastAsia" w:hAnsi="Times New Roman" w:eastAsia="宋体"/>
          <w:lang w:eastAsia="zh-CN"/>
        </w:rPr>
        <w:t>；轻度污染（Ⅳ类）水质断面</w:t>
      </w:r>
      <w:r>
        <w:rPr>
          <w:rFonts w:hAnsi="Times New Roman" w:eastAsia="宋体"/>
          <w:lang w:eastAsia="zh-CN"/>
        </w:rPr>
        <w:t>3</w:t>
      </w:r>
      <w:r>
        <w:rPr>
          <w:rFonts w:hint="eastAsia" w:hAnsi="Times New Roman" w:eastAsia="宋体"/>
          <w:lang w:eastAsia="zh-CN"/>
        </w:rPr>
        <w:t>个，占比</w:t>
      </w:r>
      <w:r>
        <w:rPr>
          <w:rFonts w:hAnsi="Times New Roman" w:eastAsia="宋体"/>
          <w:lang w:eastAsia="zh-CN"/>
        </w:rPr>
        <w:t>8.1%</w:t>
      </w:r>
      <w:r>
        <w:rPr>
          <w:rFonts w:hint="eastAsia" w:hAnsi="Times New Roman" w:eastAsia="宋体"/>
          <w:lang w:eastAsia="zh-CN"/>
        </w:rPr>
        <w:t>。</w:t>
      </w:r>
    </w:p>
    <w:p>
      <w:pPr>
        <w:spacing w:line="360" w:lineRule="auto"/>
        <w:ind w:firstLine="480" w:firstLineChars="200"/>
        <w:rPr>
          <w:rFonts w:hAnsi="Times New Roman" w:eastAsia="宋体"/>
          <w:lang w:eastAsia="zh-CN"/>
        </w:rPr>
      </w:pPr>
      <w:r>
        <w:rPr>
          <w:rFonts w:hint="eastAsia" w:hAnsi="Times New Roman" w:eastAsia="宋体"/>
          <w:lang w:eastAsia="zh-CN"/>
        </w:rPr>
        <w:t>全市河流超标情况为：流江河白兔乡断面受到轻度污染，主要污染指标为五日生化需氧量；施家河岩登坡桥、平滩河碧山中学断面受到轻度污染，主要污染指标均为高锰酸盐指数。</w:t>
      </w:r>
    </w:p>
    <w:p>
      <w:pPr>
        <w:spacing w:line="360" w:lineRule="auto"/>
        <w:ind w:firstLine="480" w:firstLineChars="200"/>
        <w:rPr>
          <w:rFonts w:hAnsi="Times New Roman" w:eastAsia="宋体"/>
          <w:lang w:eastAsia="zh-CN"/>
        </w:rPr>
      </w:pPr>
      <w:r>
        <w:rPr>
          <w:rFonts w:hAnsi="Times New Roman" w:eastAsia="宋体"/>
          <w:lang w:eastAsia="zh-CN"/>
        </w:rPr>
        <w:t>和项目区域地表水有联系的监测断面水质评价结果情况见下表所示。</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表3.2-</w:t>
      </w:r>
      <w:r>
        <w:rPr>
          <w:rFonts w:hint="eastAsia" w:hAnsi="Times New Roman" w:eastAsia="宋体"/>
          <w:b/>
          <w:bCs/>
          <w:sz w:val="21"/>
          <w:szCs w:val="21"/>
          <w:lang w:eastAsia="zh-CN"/>
        </w:rPr>
        <w:t>5</w:t>
      </w:r>
      <w:r>
        <w:rPr>
          <w:rFonts w:hAnsi="Times New Roman" w:eastAsia="宋体"/>
          <w:b/>
          <w:bCs/>
          <w:sz w:val="21"/>
          <w:szCs w:val="21"/>
          <w:lang w:eastAsia="zh-CN"/>
        </w:rPr>
        <w:t xml:space="preserve"> 202</w:t>
      </w:r>
      <w:r>
        <w:rPr>
          <w:rFonts w:hint="eastAsia" w:hAnsi="Times New Roman" w:eastAsia="宋体"/>
          <w:b/>
          <w:bCs/>
          <w:sz w:val="21"/>
          <w:szCs w:val="21"/>
          <w:lang w:eastAsia="zh-CN"/>
        </w:rPr>
        <w:t>4</w:t>
      </w:r>
      <w:r>
        <w:rPr>
          <w:rFonts w:hAnsi="Times New Roman" w:eastAsia="宋体"/>
          <w:b/>
          <w:bCs/>
          <w:sz w:val="21"/>
          <w:szCs w:val="21"/>
          <w:lang w:eastAsia="zh-CN"/>
        </w:rPr>
        <w:t>年</w:t>
      </w:r>
      <w:r>
        <w:rPr>
          <w:rFonts w:hint="eastAsia" w:hAnsi="Times New Roman" w:eastAsia="宋体"/>
          <w:b/>
          <w:bCs/>
          <w:sz w:val="21"/>
          <w:szCs w:val="21"/>
          <w:lang w:eastAsia="zh-CN"/>
        </w:rPr>
        <w:t>5</w:t>
      </w:r>
      <w:r>
        <w:rPr>
          <w:rFonts w:hAnsi="Times New Roman" w:eastAsia="宋体"/>
          <w:b/>
          <w:bCs/>
          <w:sz w:val="21"/>
          <w:szCs w:val="21"/>
          <w:lang w:eastAsia="zh-CN"/>
        </w:rPr>
        <w:t>月达州市河流水质评价结果表</w:t>
      </w:r>
    </w:p>
    <w:tbl>
      <w:tblPr>
        <w:tblStyle w:val="33"/>
        <w:tblW w:w="93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7"/>
        <w:gridCol w:w="639"/>
        <w:gridCol w:w="700"/>
        <w:gridCol w:w="1125"/>
        <w:gridCol w:w="1863"/>
        <w:gridCol w:w="807"/>
        <w:gridCol w:w="1166"/>
        <w:gridCol w:w="1166"/>
        <w:gridCol w:w="11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97" w:type="dxa"/>
            <w:vAlign w:val="center"/>
          </w:tcPr>
          <w:p>
            <w:pPr>
              <w:pStyle w:val="43"/>
              <w:keepNext w:val="0"/>
              <w:keepLines w:val="0"/>
              <w:suppressLineNumbers w:val="0"/>
              <w:spacing w:before="0" w:beforeAutospacing="0" w:after="0" w:afterAutospacing="0" w:line="260" w:lineRule="exact"/>
              <w:ind w:left="0" w:right="0"/>
              <w:rPr>
                <w:rFonts w:hint="eastAsia" w:hAnsi="Times New Roman" w:eastAsia="宋体"/>
                <w:b/>
                <w:color w:val="auto"/>
                <w:kern w:val="2"/>
                <w:lang w:eastAsia="zh-CN"/>
              </w:rPr>
            </w:pPr>
            <w:r>
              <w:rPr>
                <w:rFonts w:hint="eastAsia" w:hAnsi="Times New Roman" w:eastAsia="宋体"/>
                <w:b/>
                <w:color w:val="auto"/>
                <w:kern w:val="2"/>
                <w:lang w:eastAsia="zh-CN"/>
              </w:rPr>
              <w:t>序号</w:t>
            </w:r>
          </w:p>
        </w:tc>
        <w:tc>
          <w:tcPr>
            <w:tcW w:w="1339" w:type="dxa"/>
            <w:gridSpan w:val="2"/>
            <w:vAlign w:val="center"/>
          </w:tcPr>
          <w:p>
            <w:pPr>
              <w:pStyle w:val="43"/>
              <w:keepNext w:val="0"/>
              <w:keepLines w:val="0"/>
              <w:suppressLineNumbers w:val="0"/>
              <w:spacing w:before="0" w:beforeAutospacing="0" w:after="0" w:afterAutospacing="0" w:line="260" w:lineRule="exact"/>
              <w:ind w:left="0" w:right="0"/>
              <w:rPr>
                <w:rFonts w:hint="eastAsia" w:hAnsi="Times New Roman" w:eastAsia="宋体"/>
                <w:b/>
                <w:color w:val="auto"/>
                <w:kern w:val="2"/>
                <w:lang w:eastAsia="zh-CN"/>
              </w:rPr>
            </w:pPr>
            <w:r>
              <w:rPr>
                <w:rFonts w:hint="eastAsia" w:hAnsi="Times New Roman" w:eastAsia="宋体"/>
                <w:b/>
                <w:color w:val="auto"/>
                <w:kern w:val="2"/>
                <w:lang w:eastAsia="zh-CN"/>
              </w:rPr>
              <w:t>河流</w:t>
            </w:r>
          </w:p>
        </w:tc>
        <w:tc>
          <w:tcPr>
            <w:tcW w:w="1125" w:type="dxa"/>
            <w:vAlign w:val="center"/>
          </w:tcPr>
          <w:p>
            <w:pPr>
              <w:pStyle w:val="43"/>
              <w:keepNext w:val="0"/>
              <w:keepLines w:val="0"/>
              <w:suppressLineNumbers w:val="0"/>
              <w:spacing w:before="0" w:beforeAutospacing="0" w:after="0" w:afterAutospacing="0" w:line="260" w:lineRule="exact"/>
              <w:ind w:left="0" w:right="0"/>
              <w:rPr>
                <w:rFonts w:hint="eastAsia" w:hAnsi="Times New Roman" w:eastAsia="宋体"/>
                <w:b/>
                <w:color w:val="auto"/>
                <w:kern w:val="2"/>
                <w:lang w:eastAsia="zh-CN"/>
              </w:rPr>
            </w:pPr>
            <w:r>
              <w:rPr>
                <w:rFonts w:hint="eastAsia" w:hAnsi="Times New Roman" w:eastAsia="宋体"/>
                <w:b/>
                <w:color w:val="auto"/>
                <w:kern w:val="2"/>
                <w:lang w:eastAsia="zh-CN"/>
              </w:rPr>
              <w:t>断面名称</w:t>
            </w:r>
          </w:p>
        </w:tc>
        <w:tc>
          <w:tcPr>
            <w:tcW w:w="1863" w:type="dxa"/>
            <w:vAlign w:val="center"/>
          </w:tcPr>
          <w:p>
            <w:pPr>
              <w:pStyle w:val="43"/>
              <w:keepNext w:val="0"/>
              <w:keepLines w:val="0"/>
              <w:suppressLineNumbers w:val="0"/>
              <w:spacing w:before="0" w:beforeAutospacing="0" w:after="0" w:afterAutospacing="0" w:line="260" w:lineRule="exact"/>
              <w:ind w:left="0" w:right="0"/>
              <w:rPr>
                <w:rFonts w:hint="eastAsia" w:hAnsi="Times New Roman" w:eastAsia="宋体"/>
                <w:b/>
                <w:color w:val="auto"/>
                <w:kern w:val="2"/>
                <w:lang w:eastAsia="zh-CN"/>
              </w:rPr>
            </w:pPr>
            <w:r>
              <w:rPr>
                <w:rFonts w:hint="eastAsia" w:hAnsi="Times New Roman" w:eastAsia="宋体"/>
                <w:b/>
                <w:color w:val="auto"/>
                <w:kern w:val="2"/>
                <w:lang w:eastAsia="zh-CN"/>
              </w:rPr>
              <w:t>交界情况</w:t>
            </w:r>
          </w:p>
        </w:tc>
        <w:tc>
          <w:tcPr>
            <w:tcW w:w="807" w:type="dxa"/>
            <w:vAlign w:val="center"/>
          </w:tcPr>
          <w:p>
            <w:pPr>
              <w:pStyle w:val="43"/>
              <w:keepNext w:val="0"/>
              <w:keepLines w:val="0"/>
              <w:suppressLineNumbers w:val="0"/>
              <w:spacing w:before="0" w:beforeAutospacing="0" w:after="0" w:afterAutospacing="0" w:line="260" w:lineRule="exact"/>
              <w:ind w:left="0" w:right="0"/>
              <w:rPr>
                <w:rFonts w:hint="eastAsia" w:hAnsi="Times New Roman" w:eastAsia="宋体"/>
                <w:b/>
                <w:color w:val="auto"/>
                <w:kern w:val="2"/>
                <w:lang w:eastAsia="zh-CN"/>
              </w:rPr>
            </w:pPr>
            <w:r>
              <w:rPr>
                <w:rFonts w:hint="eastAsia" w:hAnsi="Times New Roman" w:eastAsia="宋体"/>
                <w:b/>
                <w:color w:val="auto"/>
                <w:kern w:val="2"/>
                <w:lang w:eastAsia="zh-CN"/>
              </w:rPr>
              <w:t>断面性质</w:t>
            </w:r>
          </w:p>
        </w:tc>
        <w:tc>
          <w:tcPr>
            <w:tcW w:w="1166" w:type="dxa"/>
            <w:vAlign w:val="center"/>
          </w:tcPr>
          <w:p>
            <w:pPr>
              <w:pStyle w:val="43"/>
              <w:keepNext w:val="0"/>
              <w:keepLines w:val="0"/>
              <w:suppressLineNumbers w:val="0"/>
              <w:spacing w:before="0" w:beforeAutospacing="0" w:after="0" w:afterAutospacing="0" w:line="260" w:lineRule="exact"/>
              <w:ind w:left="0" w:right="0"/>
              <w:rPr>
                <w:rFonts w:hint="eastAsia" w:hAnsi="Times New Roman" w:eastAsia="宋体"/>
                <w:b/>
                <w:color w:val="auto"/>
                <w:kern w:val="2"/>
                <w:lang w:eastAsia="zh-CN"/>
              </w:rPr>
            </w:pPr>
            <w:r>
              <w:rPr>
                <w:rFonts w:hint="eastAsia" w:hAnsi="Times New Roman" w:eastAsia="宋体"/>
                <w:b/>
                <w:color w:val="auto"/>
                <w:kern w:val="2"/>
                <w:lang w:eastAsia="zh-CN"/>
              </w:rPr>
              <w:t>上年同期</w:t>
            </w:r>
          </w:p>
        </w:tc>
        <w:tc>
          <w:tcPr>
            <w:tcW w:w="1166" w:type="dxa"/>
            <w:vAlign w:val="center"/>
          </w:tcPr>
          <w:p>
            <w:pPr>
              <w:pStyle w:val="43"/>
              <w:keepNext w:val="0"/>
              <w:keepLines w:val="0"/>
              <w:suppressLineNumbers w:val="0"/>
              <w:spacing w:before="0" w:beforeAutospacing="0" w:after="0" w:afterAutospacing="0" w:line="260" w:lineRule="exact"/>
              <w:ind w:left="0" w:right="0"/>
              <w:rPr>
                <w:rFonts w:hint="eastAsia" w:hAnsi="Times New Roman" w:eastAsia="宋体"/>
                <w:b/>
                <w:color w:val="auto"/>
                <w:kern w:val="2"/>
                <w:lang w:eastAsia="zh-CN"/>
              </w:rPr>
            </w:pPr>
            <w:r>
              <w:rPr>
                <w:rFonts w:hint="eastAsia" w:hAnsi="Times New Roman" w:eastAsia="宋体"/>
                <w:b/>
                <w:color w:val="auto"/>
                <w:kern w:val="2"/>
                <w:lang w:eastAsia="zh-CN"/>
              </w:rPr>
              <w:t>上月类别</w:t>
            </w:r>
          </w:p>
        </w:tc>
        <w:tc>
          <w:tcPr>
            <w:tcW w:w="1174" w:type="dxa"/>
            <w:vAlign w:val="center"/>
          </w:tcPr>
          <w:p>
            <w:pPr>
              <w:pStyle w:val="43"/>
              <w:keepNext w:val="0"/>
              <w:keepLines w:val="0"/>
              <w:suppressLineNumbers w:val="0"/>
              <w:spacing w:before="0" w:beforeAutospacing="0" w:after="0" w:afterAutospacing="0" w:line="260" w:lineRule="exact"/>
              <w:ind w:left="0" w:right="0"/>
              <w:rPr>
                <w:rFonts w:hint="eastAsia" w:hAnsi="Times New Roman" w:eastAsia="宋体"/>
                <w:b/>
                <w:color w:val="auto"/>
                <w:kern w:val="2"/>
                <w:lang w:eastAsia="zh-CN"/>
              </w:rPr>
            </w:pPr>
            <w:r>
              <w:rPr>
                <w:rFonts w:hint="eastAsia" w:hAnsi="Times New Roman" w:eastAsia="宋体"/>
                <w:b/>
                <w:color w:val="auto"/>
                <w:kern w:val="2"/>
                <w:lang w:eastAsia="zh-CN"/>
              </w:rPr>
              <w:t>本月类别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97" w:type="dxa"/>
            <w:vAlign w:val="center"/>
          </w:tcPr>
          <w:p>
            <w:pPr>
              <w:pStyle w:val="43"/>
              <w:keepNext w:val="0"/>
              <w:keepLines w:val="0"/>
              <w:suppressLineNumbers w:val="0"/>
              <w:spacing w:before="0" w:beforeAutospacing="0" w:after="0" w:afterAutospacing="0" w:line="26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1</w:t>
            </w:r>
          </w:p>
        </w:tc>
        <w:tc>
          <w:tcPr>
            <w:tcW w:w="639" w:type="dxa"/>
            <w:vMerge w:val="restart"/>
            <w:vAlign w:val="center"/>
          </w:tcPr>
          <w:p>
            <w:pPr>
              <w:pStyle w:val="43"/>
              <w:keepNext w:val="0"/>
              <w:keepLines w:val="0"/>
              <w:suppressLineNumbers w:val="0"/>
              <w:spacing w:before="0" w:beforeAutospacing="0" w:after="0" w:afterAutospacing="0" w:line="26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州河水系</w:t>
            </w:r>
          </w:p>
        </w:tc>
        <w:tc>
          <w:tcPr>
            <w:tcW w:w="700" w:type="dxa"/>
            <w:vMerge w:val="restart"/>
            <w:vAlign w:val="center"/>
          </w:tcPr>
          <w:p>
            <w:pPr>
              <w:pStyle w:val="43"/>
              <w:keepNext w:val="0"/>
              <w:keepLines w:val="0"/>
              <w:suppressLineNumbers w:val="0"/>
              <w:spacing w:before="0" w:beforeAutospacing="0" w:after="0" w:afterAutospacing="0" w:line="26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明月江</w:t>
            </w:r>
          </w:p>
        </w:tc>
        <w:tc>
          <w:tcPr>
            <w:tcW w:w="1125" w:type="dxa"/>
            <w:vAlign w:val="center"/>
          </w:tcPr>
          <w:p>
            <w:pPr>
              <w:pStyle w:val="43"/>
              <w:keepNext w:val="0"/>
              <w:keepLines w:val="0"/>
              <w:suppressLineNumbers w:val="0"/>
              <w:spacing w:before="0" w:beforeAutospacing="0" w:after="0" w:afterAutospacing="0" w:line="26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葫芦电站</w:t>
            </w:r>
          </w:p>
        </w:tc>
        <w:tc>
          <w:tcPr>
            <w:tcW w:w="1863" w:type="dxa"/>
            <w:vAlign w:val="center"/>
          </w:tcPr>
          <w:p>
            <w:pPr>
              <w:pStyle w:val="43"/>
              <w:keepNext w:val="0"/>
              <w:keepLines w:val="0"/>
              <w:suppressLineNumbers w:val="0"/>
              <w:spacing w:before="0" w:beforeAutospacing="0" w:after="0" w:afterAutospacing="0" w:line="26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县界</w:t>
            </w:r>
          </w:p>
          <w:p>
            <w:pPr>
              <w:pStyle w:val="43"/>
              <w:keepNext w:val="0"/>
              <w:keepLines w:val="0"/>
              <w:suppressLineNumbers w:val="0"/>
              <w:spacing w:before="0" w:beforeAutospacing="0" w:after="0" w:afterAutospacing="0" w:line="26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（开江县-达川区）</w:t>
            </w:r>
          </w:p>
        </w:tc>
        <w:tc>
          <w:tcPr>
            <w:tcW w:w="807" w:type="dxa"/>
            <w:vAlign w:val="center"/>
          </w:tcPr>
          <w:p>
            <w:pPr>
              <w:pStyle w:val="43"/>
              <w:keepNext w:val="0"/>
              <w:keepLines w:val="0"/>
              <w:suppressLineNumbers w:val="0"/>
              <w:spacing w:before="0" w:beforeAutospacing="0" w:after="0" w:afterAutospacing="0" w:line="26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省控考核评价</w:t>
            </w:r>
          </w:p>
        </w:tc>
        <w:tc>
          <w:tcPr>
            <w:tcW w:w="1166" w:type="dxa"/>
            <w:vAlign w:val="center"/>
          </w:tcPr>
          <w:p>
            <w:pPr>
              <w:pStyle w:val="43"/>
              <w:keepNext w:val="0"/>
              <w:keepLines w:val="0"/>
              <w:suppressLineNumbers w:val="0"/>
              <w:spacing w:before="0" w:beforeAutospacing="0" w:after="0" w:afterAutospacing="0" w:line="26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Ⅲ</w:t>
            </w:r>
          </w:p>
        </w:tc>
        <w:tc>
          <w:tcPr>
            <w:tcW w:w="1166" w:type="dxa"/>
            <w:vAlign w:val="center"/>
          </w:tcPr>
          <w:p>
            <w:pPr>
              <w:pStyle w:val="43"/>
              <w:keepNext w:val="0"/>
              <w:keepLines w:val="0"/>
              <w:suppressLineNumbers w:val="0"/>
              <w:spacing w:before="0" w:beforeAutospacing="0" w:after="0" w:afterAutospacing="0" w:line="26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Ⅲ</w:t>
            </w:r>
          </w:p>
        </w:tc>
        <w:tc>
          <w:tcPr>
            <w:tcW w:w="1174" w:type="dxa"/>
            <w:vAlign w:val="center"/>
          </w:tcPr>
          <w:p>
            <w:pPr>
              <w:pStyle w:val="43"/>
              <w:keepNext w:val="0"/>
              <w:keepLines w:val="0"/>
              <w:suppressLineNumbers w:val="0"/>
              <w:spacing w:before="0" w:beforeAutospacing="0" w:after="0" w:afterAutospacing="0" w:line="26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97" w:type="dxa"/>
            <w:vAlign w:val="center"/>
          </w:tcPr>
          <w:p>
            <w:pPr>
              <w:pStyle w:val="43"/>
              <w:keepNext w:val="0"/>
              <w:keepLines w:val="0"/>
              <w:suppressLineNumbers w:val="0"/>
              <w:spacing w:before="0" w:beforeAutospacing="0" w:after="0" w:afterAutospacing="0" w:line="26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2</w:t>
            </w:r>
          </w:p>
        </w:tc>
        <w:tc>
          <w:tcPr>
            <w:tcW w:w="639" w:type="dxa"/>
            <w:vMerge w:val="continue"/>
            <w:vAlign w:val="center"/>
          </w:tcPr>
          <w:p>
            <w:pPr>
              <w:pStyle w:val="43"/>
              <w:keepNext w:val="0"/>
              <w:keepLines w:val="0"/>
              <w:suppressLineNumbers w:val="0"/>
              <w:spacing w:before="0" w:beforeAutospacing="0" w:after="0" w:afterAutospacing="0" w:line="260" w:lineRule="exact"/>
              <w:ind w:left="0" w:right="0"/>
              <w:rPr>
                <w:rFonts w:hint="eastAsia" w:hAnsi="Times New Roman" w:eastAsia="宋体"/>
                <w:bCs/>
                <w:color w:val="auto"/>
                <w:kern w:val="2"/>
                <w:lang w:eastAsia="zh-CN"/>
              </w:rPr>
            </w:pPr>
          </w:p>
        </w:tc>
        <w:tc>
          <w:tcPr>
            <w:tcW w:w="700" w:type="dxa"/>
            <w:vMerge w:val="continue"/>
            <w:vAlign w:val="center"/>
          </w:tcPr>
          <w:p>
            <w:pPr>
              <w:pStyle w:val="43"/>
              <w:keepNext w:val="0"/>
              <w:keepLines w:val="0"/>
              <w:suppressLineNumbers w:val="0"/>
              <w:spacing w:before="0" w:beforeAutospacing="0" w:after="0" w:afterAutospacing="0" w:line="260" w:lineRule="exact"/>
              <w:ind w:left="0" w:right="0"/>
              <w:rPr>
                <w:rFonts w:hint="eastAsia" w:hAnsi="Times New Roman" w:eastAsia="宋体"/>
                <w:bCs/>
                <w:color w:val="auto"/>
                <w:kern w:val="2"/>
                <w:lang w:eastAsia="zh-CN"/>
              </w:rPr>
            </w:pPr>
          </w:p>
        </w:tc>
        <w:tc>
          <w:tcPr>
            <w:tcW w:w="1125" w:type="dxa"/>
            <w:vAlign w:val="center"/>
          </w:tcPr>
          <w:p>
            <w:pPr>
              <w:pStyle w:val="43"/>
              <w:keepNext w:val="0"/>
              <w:keepLines w:val="0"/>
              <w:suppressLineNumbers w:val="0"/>
              <w:spacing w:before="0" w:beforeAutospacing="0" w:after="0" w:afterAutospacing="0" w:line="26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李家渡</w:t>
            </w:r>
          </w:p>
        </w:tc>
        <w:tc>
          <w:tcPr>
            <w:tcW w:w="1863" w:type="dxa"/>
            <w:vAlign w:val="center"/>
          </w:tcPr>
          <w:p>
            <w:pPr>
              <w:pStyle w:val="43"/>
              <w:keepNext w:val="0"/>
              <w:keepLines w:val="0"/>
              <w:suppressLineNumbers w:val="0"/>
              <w:spacing w:before="0" w:beforeAutospacing="0" w:after="0" w:afterAutospacing="0" w:line="26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县界</w:t>
            </w:r>
          </w:p>
          <w:p>
            <w:pPr>
              <w:pStyle w:val="43"/>
              <w:keepNext w:val="0"/>
              <w:keepLines w:val="0"/>
              <w:suppressLineNumbers w:val="0"/>
              <w:spacing w:before="0" w:beforeAutospacing="0" w:after="0" w:afterAutospacing="0" w:line="26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（达川</w:t>
            </w:r>
            <w:r>
              <w:rPr>
                <w:rFonts w:hint="eastAsia" w:hAnsi="Times New Roman" w:eastAsia="宋体"/>
                <w:bCs/>
                <w:color w:val="auto"/>
                <w:kern w:val="2"/>
                <w:lang w:val="en-US" w:eastAsia="zh-CN"/>
              </w:rPr>
              <w:t>区</w:t>
            </w:r>
            <w:r>
              <w:rPr>
                <w:rFonts w:hint="eastAsia" w:hAnsi="Times New Roman" w:eastAsia="宋体"/>
                <w:bCs/>
                <w:color w:val="auto"/>
                <w:kern w:val="2"/>
                <w:lang w:eastAsia="zh-CN"/>
              </w:rPr>
              <w:t>-通川区）</w:t>
            </w:r>
          </w:p>
        </w:tc>
        <w:tc>
          <w:tcPr>
            <w:tcW w:w="807" w:type="dxa"/>
            <w:vAlign w:val="center"/>
          </w:tcPr>
          <w:p>
            <w:pPr>
              <w:pStyle w:val="43"/>
              <w:keepNext w:val="0"/>
              <w:keepLines w:val="0"/>
              <w:suppressLineNumbers w:val="0"/>
              <w:spacing w:before="0" w:beforeAutospacing="0" w:after="0" w:afterAutospacing="0" w:line="26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国考</w:t>
            </w:r>
          </w:p>
        </w:tc>
        <w:tc>
          <w:tcPr>
            <w:tcW w:w="1166" w:type="dxa"/>
            <w:vAlign w:val="center"/>
          </w:tcPr>
          <w:p>
            <w:pPr>
              <w:pStyle w:val="43"/>
              <w:keepNext w:val="0"/>
              <w:keepLines w:val="0"/>
              <w:suppressLineNumbers w:val="0"/>
              <w:spacing w:before="0" w:beforeAutospacing="0" w:after="0" w:afterAutospacing="0" w:line="26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Ⅲ</w:t>
            </w:r>
          </w:p>
        </w:tc>
        <w:tc>
          <w:tcPr>
            <w:tcW w:w="1166" w:type="dxa"/>
            <w:vAlign w:val="center"/>
          </w:tcPr>
          <w:p>
            <w:pPr>
              <w:pStyle w:val="43"/>
              <w:keepNext w:val="0"/>
              <w:keepLines w:val="0"/>
              <w:suppressLineNumbers w:val="0"/>
              <w:spacing w:before="0" w:beforeAutospacing="0" w:after="0" w:afterAutospacing="0" w:line="26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Ⅲ</w:t>
            </w:r>
          </w:p>
        </w:tc>
        <w:tc>
          <w:tcPr>
            <w:tcW w:w="1174" w:type="dxa"/>
            <w:vAlign w:val="center"/>
          </w:tcPr>
          <w:p>
            <w:pPr>
              <w:pStyle w:val="43"/>
              <w:keepNext w:val="0"/>
              <w:keepLines w:val="0"/>
              <w:suppressLineNumbers w:val="0"/>
              <w:spacing w:before="0" w:beforeAutospacing="0" w:after="0" w:afterAutospacing="0" w:line="26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97" w:type="dxa"/>
            <w:vAlign w:val="center"/>
          </w:tcPr>
          <w:p>
            <w:pPr>
              <w:pStyle w:val="43"/>
              <w:keepNext w:val="0"/>
              <w:keepLines w:val="0"/>
              <w:suppressLineNumbers w:val="0"/>
              <w:spacing w:before="0" w:beforeAutospacing="0" w:after="0" w:afterAutospacing="0" w:line="26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3</w:t>
            </w:r>
          </w:p>
        </w:tc>
        <w:tc>
          <w:tcPr>
            <w:tcW w:w="639" w:type="dxa"/>
            <w:vMerge w:val="continue"/>
            <w:vAlign w:val="center"/>
          </w:tcPr>
          <w:p>
            <w:pPr>
              <w:pStyle w:val="43"/>
              <w:keepNext w:val="0"/>
              <w:keepLines w:val="0"/>
              <w:suppressLineNumbers w:val="0"/>
              <w:spacing w:before="0" w:beforeAutospacing="0" w:after="0" w:afterAutospacing="0" w:line="260" w:lineRule="exact"/>
              <w:ind w:left="0" w:right="0"/>
              <w:rPr>
                <w:rFonts w:hint="eastAsia" w:hAnsi="Times New Roman" w:eastAsia="宋体"/>
                <w:bCs/>
                <w:color w:val="auto"/>
                <w:kern w:val="2"/>
                <w:lang w:eastAsia="zh-CN"/>
              </w:rPr>
            </w:pPr>
          </w:p>
        </w:tc>
        <w:tc>
          <w:tcPr>
            <w:tcW w:w="700" w:type="dxa"/>
            <w:vAlign w:val="center"/>
          </w:tcPr>
          <w:p>
            <w:pPr>
              <w:pStyle w:val="43"/>
              <w:keepNext w:val="0"/>
              <w:keepLines w:val="0"/>
              <w:suppressLineNumbers w:val="0"/>
              <w:spacing w:before="0" w:beforeAutospacing="0" w:after="0" w:afterAutospacing="0" w:line="26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新宁河</w:t>
            </w:r>
          </w:p>
        </w:tc>
        <w:tc>
          <w:tcPr>
            <w:tcW w:w="1125" w:type="dxa"/>
            <w:vAlign w:val="center"/>
          </w:tcPr>
          <w:p>
            <w:pPr>
              <w:pStyle w:val="43"/>
              <w:keepNext w:val="0"/>
              <w:keepLines w:val="0"/>
              <w:suppressLineNumbers w:val="0"/>
              <w:spacing w:before="0" w:beforeAutospacing="0" w:after="0" w:afterAutospacing="0" w:line="26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大石堡平桥</w:t>
            </w:r>
          </w:p>
        </w:tc>
        <w:tc>
          <w:tcPr>
            <w:tcW w:w="1863" w:type="dxa"/>
            <w:vAlign w:val="center"/>
          </w:tcPr>
          <w:p>
            <w:pPr>
              <w:pStyle w:val="43"/>
              <w:keepNext w:val="0"/>
              <w:keepLines w:val="0"/>
              <w:suppressLineNumbers w:val="0"/>
              <w:spacing w:before="0" w:beforeAutospacing="0" w:after="0" w:afterAutospacing="0" w:line="26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县界</w:t>
            </w:r>
          </w:p>
          <w:p>
            <w:pPr>
              <w:pStyle w:val="43"/>
              <w:keepNext w:val="0"/>
              <w:keepLines w:val="0"/>
              <w:suppressLineNumbers w:val="0"/>
              <w:spacing w:before="0" w:beforeAutospacing="0" w:after="0" w:afterAutospacing="0" w:line="26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（开江县-宣汉）</w:t>
            </w:r>
          </w:p>
        </w:tc>
        <w:tc>
          <w:tcPr>
            <w:tcW w:w="807" w:type="dxa"/>
            <w:vAlign w:val="center"/>
          </w:tcPr>
          <w:p>
            <w:pPr>
              <w:pStyle w:val="43"/>
              <w:keepNext w:val="0"/>
              <w:keepLines w:val="0"/>
              <w:suppressLineNumbers w:val="0"/>
              <w:spacing w:before="0" w:beforeAutospacing="0" w:after="0" w:afterAutospacing="0" w:line="26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省控考核评价</w:t>
            </w:r>
          </w:p>
        </w:tc>
        <w:tc>
          <w:tcPr>
            <w:tcW w:w="1166" w:type="dxa"/>
            <w:vAlign w:val="center"/>
          </w:tcPr>
          <w:p>
            <w:pPr>
              <w:pStyle w:val="43"/>
              <w:keepNext w:val="0"/>
              <w:keepLines w:val="0"/>
              <w:suppressLineNumbers w:val="0"/>
              <w:spacing w:before="0" w:beforeAutospacing="0" w:after="0" w:afterAutospacing="0" w:line="26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Ⅲ</w:t>
            </w:r>
          </w:p>
        </w:tc>
        <w:tc>
          <w:tcPr>
            <w:tcW w:w="1166" w:type="dxa"/>
            <w:vAlign w:val="center"/>
          </w:tcPr>
          <w:p>
            <w:pPr>
              <w:pStyle w:val="43"/>
              <w:keepNext w:val="0"/>
              <w:keepLines w:val="0"/>
              <w:suppressLineNumbers w:val="0"/>
              <w:spacing w:before="0" w:beforeAutospacing="0" w:after="0" w:afterAutospacing="0" w:line="26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Ⅲ</w:t>
            </w:r>
          </w:p>
        </w:tc>
        <w:tc>
          <w:tcPr>
            <w:tcW w:w="1174" w:type="dxa"/>
            <w:vAlign w:val="center"/>
          </w:tcPr>
          <w:p>
            <w:pPr>
              <w:pStyle w:val="43"/>
              <w:keepNext w:val="0"/>
              <w:keepLines w:val="0"/>
              <w:suppressLineNumbers w:val="0"/>
              <w:spacing w:before="0" w:beforeAutospacing="0" w:after="0" w:afterAutospacing="0" w:line="260" w:lineRule="exact"/>
              <w:ind w:left="0" w:right="0"/>
              <w:rPr>
                <w:rFonts w:hint="eastAsia" w:hAnsi="Times New Roman" w:eastAsia="宋体"/>
                <w:bCs/>
                <w:color w:val="auto"/>
                <w:kern w:val="2"/>
                <w:lang w:eastAsia="zh-CN"/>
              </w:rPr>
            </w:pPr>
            <w:r>
              <w:rPr>
                <w:rFonts w:hint="eastAsia" w:hAnsi="Times New Roman" w:eastAsia="宋体"/>
                <w:bCs/>
                <w:color w:val="auto"/>
                <w:kern w:val="2"/>
                <w:lang w:eastAsia="zh-CN"/>
              </w:rPr>
              <w:t>Ⅲ</w:t>
            </w:r>
          </w:p>
        </w:tc>
      </w:tr>
    </w:tbl>
    <w:p>
      <w:pPr>
        <w:spacing w:line="360" w:lineRule="auto"/>
        <w:ind w:firstLine="480" w:firstLineChars="200"/>
        <w:rPr>
          <w:rFonts w:hAnsi="Times New Roman" w:eastAsia="宋体"/>
          <w:lang w:eastAsia="zh-CN"/>
        </w:rPr>
      </w:pPr>
      <w:r>
        <w:rPr>
          <w:rFonts w:hAnsi="Times New Roman" w:eastAsia="宋体"/>
          <w:lang w:eastAsia="zh-CN"/>
        </w:rPr>
        <w:t>新宁河和明月江均执行《地表水环境质量标准》（GB8978-2002）III类标准，根据上表可知，和本项目有关联的地表水体监测断面水质能够满足《地表水环境质量标准》（GB8978-2002）III类标准，项目所在区地表水环境质量现状良好。</w:t>
      </w:r>
    </w:p>
    <w:p>
      <w:pPr>
        <w:spacing w:line="360" w:lineRule="auto"/>
        <w:ind w:firstLine="482" w:firstLineChars="200"/>
        <w:rPr>
          <w:rFonts w:hAnsi="Times New Roman" w:eastAsia="宋体"/>
          <w:b/>
          <w:bCs/>
          <w:lang w:eastAsia="zh-CN"/>
        </w:rPr>
      </w:pPr>
      <w:r>
        <w:rPr>
          <w:rFonts w:hAnsi="Times New Roman" w:eastAsia="宋体"/>
          <w:b/>
          <w:bCs/>
          <w:lang w:eastAsia="zh-CN"/>
        </w:rPr>
        <w:t>1、区域地表水环境质量数据及变化趋势</w:t>
      </w:r>
    </w:p>
    <w:p>
      <w:pPr>
        <w:spacing w:line="360" w:lineRule="auto"/>
        <w:ind w:firstLine="480" w:firstLineChars="200"/>
        <w:rPr>
          <w:rFonts w:hAnsi="Times New Roman" w:eastAsia="宋体"/>
          <w:lang w:eastAsia="zh-CN"/>
        </w:rPr>
      </w:pPr>
      <w:r>
        <w:rPr>
          <w:rFonts w:hAnsi="Times New Roman" w:eastAsia="宋体"/>
          <w:lang w:eastAsia="zh-CN"/>
        </w:rPr>
        <w:t>根据《环境影响评价技术导则地表水环境》（HJ/2.3-2018）6.6.3.4水污染影响型建设项目一级、二级评价时，应调查受纳水体近3年的水环境质量数据，分析其变化趋势，本次环评收集了达州市生态环境局公布的20</w:t>
      </w:r>
      <w:r>
        <w:rPr>
          <w:rFonts w:hint="eastAsia" w:hAnsi="Times New Roman" w:eastAsia="宋体"/>
          <w:lang w:eastAsia="zh-CN"/>
        </w:rPr>
        <w:t>21</w:t>
      </w:r>
      <w:r>
        <w:rPr>
          <w:rFonts w:hAnsi="Times New Roman" w:eastAsia="宋体"/>
          <w:lang w:eastAsia="zh-CN"/>
        </w:rPr>
        <w:t>年</w:t>
      </w:r>
      <w:r>
        <w:rPr>
          <w:rFonts w:hint="eastAsia" w:hAnsi="Times New Roman" w:eastAsia="宋体"/>
          <w:lang w:eastAsia="zh-CN"/>
        </w:rPr>
        <w:t>1</w:t>
      </w:r>
      <w:r>
        <w:rPr>
          <w:rFonts w:hAnsi="Times New Roman" w:eastAsia="宋体"/>
          <w:lang w:eastAsia="zh-CN"/>
        </w:rPr>
        <w:t>月至202</w:t>
      </w:r>
      <w:r>
        <w:rPr>
          <w:rFonts w:hint="eastAsia" w:hAnsi="Times New Roman" w:eastAsia="宋体"/>
          <w:lang w:eastAsia="zh-CN"/>
        </w:rPr>
        <w:t>4</w:t>
      </w:r>
      <w:r>
        <w:rPr>
          <w:rFonts w:hAnsi="Times New Roman" w:eastAsia="宋体"/>
          <w:lang w:eastAsia="zh-CN"/>
        </w:rPr>
        <w:t>年</w:t>
      </w:r>
      <w:r>
        <w:rPr>
          <w:rFonts w:hint="eastAsia" w:hAnsi="Times New Roman" w:eastAsia="宋体"/>
          <w:lang w:eastAsia="zh-CN"/>
        </w:rPr>
        <w:t>4</w:t>
      </w:r>
      <w:r>
        <w:rPr>
          <w:rFonts w:hAnsi="Times New Roman" w:eastAsia="宋体"/>
          <w:lang w:eastAsia="zh-CN"/>
        </w:rPr>
        <w:t>月</w:t>
      </w:r>
      <w:r>
        <w:rPr>
          <w:rFonts w:hint="eastAsia" w:hAnsi="Times New Roman" w:eastAsia="宋体"/>
          <w:lang w:eastAsia="zh-CN"/>
        </w:rPr>
        <w:t>逐</w:t>
      </w:r>
      <w:r>
        <w:rPr>
          <w:rFonts w:hAnsi="Times New Roman" w:eastAsia="宋体"/>
          <w:lang w:eastAsia="zh-CN"/>
        </w:rPr>
        <w:t>月的州河水系大石堡平桥断面水质评价结果表，用于评价项目区域州河水质变化趋势，见下表。</w:t>
      </w:r>
    </w:p>
    <w:p>
      <w:pPr>
        <w:spacing w:line="360" w:lineRule="auto"/>
        <w:ind w:firstLine="422" w:firstLineChars="200"/>
        <w:jc w:val="center"/>
        <w:rPr>
          <w:rFonts w:hAnsi="Times New Roman" w:eastAsia="宋体"/>
          <w:b/>
          <w:bCs/>
          <w:sz w:val="21"/>
          <w:szCs w:val="21"/>
          <w:lang w:eastAsia="zh-CN"/>
        </w:rPr>
      </w:pPr>
      <w:r>
        <w:rPr>
          <w:rFonts w:hAnsi="Times New Roman" w:eastAsia="宋体"/>
          <w:b/>
          <w:bCs/>
          <w:sz w:val="21"/>
          <w:szCs w:val="21"/>
          <w:lang w:eastAsia="zh-CN"/>
        </w:rPr>
        <w:t>表3.2-</w:t>
      </w:r>
      <w:r>
        <w:rPr>
          <w:rFonts w:hint="eastAsia" w:hAnsi="Times New Roman" w:eastAsia="宋体"/>
          <w:b/>
          <w:bCs/>
          <w:sz w:val="21"/>
          <w:szCs w:val="21"/>
          <w:lang w:eastAsia="zh-CN"/>
        </w:rPr>
        <w:t>6</w:t>
      </w:r>
      <w:r>
        <w:rPr>
          <w:rFonts w:hAnsi="Times New Roman" w:eastAsia="宋体"/>
          <w:b/>
          <w:bCs/>
          <w:sz w:val="21"/>
          <w:szCs w:val="21"/>
          <w:lang w:eastAsia="zh-CN"/>
        </w:rPr>
        <w:t xml:space="preserve"> 州河水系大石堡平桥断面水质评价结果一览表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68"/>
        <w:gridCol w:w="2022"/>
        <w:gridCol w:w="1820"/>
        <w:gridCol w:w="2037"/>
        <w:gridCol w:w="19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86" w:type="pct"/>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断面位置</w:t>
            </w:r>
          </w:p>
        </w:tc>
        <w:tc>
          <w:tcPr>
            <w:tcW w:w="4214" w:type="pct"/>
            <w:gridSpan w:val="4"/>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州河水系大石堡平桥断面水质类别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86" w:type="pct"/>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时间</w:t>
            </w:r>
          </w:p>
        </w:tc>
        <w:tc>
          <w:tcPr>
            <w:tcW w:w="1082" w:type="pct"/>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2021年</w:t>
            </w:r>
          </w:p>
        </w:tc>
        <w:tc>
          <w:tcPr>
            <w:tcW w:w="974" w:type="pct"/>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2022年</w:t>
            </w:r>
          </w:p>
        </w:tc>
        <w:tc>
          <w:tcPr>
            <w:tcW w:w="1090" w:type="pct"/>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2023年</w:t>
            </w:r>
          </w:p>
        </w:tc>
        <w:tc>
          <w:tcPr>
            <w:tcW w:w="1068" w:type="pct"/>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color w:val="auto"/>
                <w:kern w:val="2"/>
                <w:lang w:eastAsia="zh-CN"/>
              </w:rPr>
              <w:t>2024年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86"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1月</w:t>
            </w:r>
          </w:p>
        </w:tc>
        <w:tc>
          <w:tcPr>
            <w:tcW w:w="1082"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w:t>
            </w:r>
          </w:p>
        </w:tc>
        <w:tc>
          <w:tcPr>
            <w:tcW w:w="974"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Ⅲ</w:t>
            </w:r>
          </w:p>
        </w:tc>
        <w:tc>
          <w:tcPr>
            <w:tcW w:w="1090"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Ⅲ</w:t>
            </w:r>
          </w:p>
        </w:tc>
        <w:tc>
          <w:tcPr>
            <w:tcW w:w="1068"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86"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2月</w:t>
            </w:r>
          </w:p>
        </w:tc>
        <w:tc>
          <w:tcPr>
            <w:tcW w:w="1082"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w:t>
            </w:r>
          </w:p>
        </w:tc>
        <w:tc>
          <w:tcPr>
            <w:tcW w:w="974"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Ⅲ</w:t>
            </w:r>
          </w:p>
        </w:tc>
        <w:tc>
          <w:tcPr>
            <w:tcW w:w="1090"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Ⅲ</w:t>
            </w:r>
          </w:p>
        </w:tc>
        <w:tc>
          <w:tcPr>
            <w:tcW w:w="1068"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86"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3月</w:t>
            </w:r>
          </w:p>
        </w:tc>
        <w:tc>
          <w:tcPr>
            <w:tcW w:w="1082"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w:t>
            </w:r>
          </w:p>
        </w:tc>
        <w:tc>
          <w:tcPr>
            <w:tcW w:w="974"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Ⅲ</w:t>
            </w:r>
          </w:p>
        </w:tc>
        <w:tc>
          <w:tcPr>
            <w:tcW w:w="1090"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Ⅲ</w:t>
            </w:r>
          </w:p>
        </w:tc>
        <w:tc>
          <w:tcPr>
            <w:tcW w:w="1068"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86"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4月</w:t>
            </w:r>
          </w:p>
        </w:tc>
        <w:tc>
          <w:tcPr>
            <w:tcW w:w="1082"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w:t>
            </w:r>
          </w:p>
        </w:tc>
        <w:tc>
          <w:tcPr>
            <w:tcW w:w="974"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Ⅲ</w:t>
            </w:r>
          </w:p>
        </w:tc>
        <w:tc>
          <w:tcPr>
            <w:tcW w:w="1090"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Ⅲ</w:t>
            </w:r>
          </w:p>
        </w:tc>
        <w:tc>
          <w:tcPr>
            <w:tcW w:w="1068"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86"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5月</w:t>
            </w:r>
          </w:p>
        </w:tc>
        <w:tc>
          <w:tcPr>
            <w:tcW w:w="1082"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fldChar w:fldCharType="begin"/>
            </w:r>
            <w:r>
              <w:rPr>
                <w:rFonts w:hint="eastAsia" w:hAnsi="Times New Roman" w:eastAsia="宋体"/>
                <w:bCs/>
                <w:color w:val="auto"/>
                <w:kern w:val="2"/>
                <w:lang w:eastAsia="zh-CN"/>
              </w:rPr>
              <w:instrText xml:space="preserve"> = 4 \* ROMAN </w:instrText>
            </w:r>
            <w:r>
              <w:rPr>
                <w:rFonts w:hint="eastAsia" w:hAnsi="Times New Roman" w:eastAsia="宋体"/>
                <w:bCs/>
                <w:color w:val="auto"/>
                <w:kern w:val="2"/>
                <w:lang w:eastAsia="zh-CN"/>
              </w:rPr>
              <w:fldChar w:fldCharType="separate"/>
            </w:r>
            <w:r>
              <w:rPr>
                <w:rFonts w:hint="eastAsia" w:hAnsi="Times New Roman" w:eastAsia="宋体"/>
                <w:bCs/>
                <w:color w:val="auto"/>
                <w:kern w:val="2"/>
                <w:lang w:eastAsia="zh-CN"/>
              </w:rPr>
              <w:t>IV</w:t>
            </w:r>
            <w:r>
              <w:rPr>
                <w:rFonts w:hint="eastAsia" w:hAnsi="Times New Roman" w:eastAsia="宋体"/>
                <w:bCs/>
                <w:color w:val="auto"/>
                <w:kern w:val="2"/>
                <w:lang w:eastAsia="zh-CN"/>
              </w:rPr>
              <w:fldChar w:fldCharType="end"/>
            </w:r>
          </w:p>
        </w:tc>
        <w:tc>
          <w:tcPr>
            <w:tcW w:w="974"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Ⅲ</w:t>
            </w:r>
          </w:p>
        </w:tc>
        <w:tc>
          <w:tcPr>
            <w:tcW w:w="1090"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Ⅲ</w:t>
            </w:r>
          </w:p>
        </w:tc>
        <w:tc>
          <w:tcPr>
            <w:tcW w:w="1068"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86"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6月</w:t>
            </w:r>
          </w:p>
        </w:tc>
        <w:tc>
          <w:tcPr>
            <w:tcW w:w="1082"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fldChar w:fldCharType="begin"/>
            </w:r>
            <w:r>
              <w:rPr>
                <w:rFonts w:hint="eastAsia" w:hAnsi="Times New Roman" w:eastAsia="宋体"/>
                <w:bCs/>
                <w:color w:val="auto"/>
                <w:kern w:val="2"/>
                <w:lang w:eastAsia="zh-CN"/>
              </w:rPr>
              <w:instrText xml:space="preserve"> = 5 \* ROMAN </w:instrText>
            </w:r>
            <w:r>
              <w:rPr>
                <w:rFonts w:hint="eastAsia" w:hAnsi="Times New Roman" w:eastAsia="宋体"/>
                <w:bCs/>
                <w:color w:val="auto"/>
                <w:kern w:val="2"/>
                <w:lang w:eastAsia="zh-CN"/>
              </w:rPr>
              <w:fldChar w:fldCharType="separate"/>
            </w:r>
            <w:r>
              <w:rPr>
                <w:rFonts w:hint="eastAsia" w:hAnsi="Times New Roman" w:eastAsia="宋体"/>
                <w:bCs/>
                <w:color w:val="auto"/>
                <w:kern w:val="2"/>
                <w:lang w:eastAsia="zh-CN"/>
              </w:rPr>
              <w:t>V</w:t>
            </w:r>
            <w:r>
              <w:rPr>
                <w:rFonts w:hint="eastAsia" w:hAnsi="Times New Roman" w:eastAsia="宋体"/>
                <w:bCs/>
                <w:color w:val="auto"/>
                <w:kern w:val="2"/>
                <w:lang w:eastAsia="zh-CN"/>
              </w:rPr>
              <w:fldChar w:fldCharType="end"/>
            </w:r>
          </w:p>
        </w:tc>
        <w:tc>
          <w:tcPr>
            <w:tcW w:w="974"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Ⅲ</w:t>
            </w:r>
          </w:p>
        </w:tc>
        <w:tc>
          <w:tcPr>
            <w:tcW w:w="1090"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Ⅲ</w:t>
            </w:r>
          </w:p>
        </w:tc>
        <w:tc>
          <w:tcPr>
            <w:tcW w:w="1068"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86"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7月</w:t>
            </w:r>
          </w:p>
        </w:tc>
        <w:tc>
          <w:tcPr>
            <w:tcW w:w="1082"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fldChar w:fldCharType="begin"/>
            </w:r>
            <w:r>
              <w:rPr>
                <w:rFonts w:hint="eastAsia" w:hAnsi="Times New Roman" w:eastAsia="宋体"/>
                <w:bCs/>
                <w:color w:val="auto"/>
                <w:kern w:val="2"/>
                <w:lang w:eastAsia="zh-CN"/>
              </w:rPr>
              <w:instrText xml:space="preserve"> = 4 \* ROMAN </w:instrText>
            </w:r>
            <w:r>
              <w:rPr>
                <w:rFonts w:hint="eastAsia" w:hAnsi="Times New Roman" w:eastAsia="宋体"/>
                <w:bCs/>
                <w:color w:val="auto"/>
                <w:kern w:val="2"/>
                <w:lang w:eastAsia="zh-CN"/>
              </w:rPr>
              <w:fldChar w:fldCharType="separate"/>
            </w:r>
            <w:r>
              <w:rPr>
                <w:rFonts w:hint="eastAsia" w:hAnsi="Times New Roman" w:eastAsia="宋体"/>
                <w:bCs/>
                <w:color w:val="auto"/>
                <w:kern w:val="2"/>
                <w:lang w:eastAsia="zh-CN"/>
              </w:rPr>
              <w:t>IV</w:t>
            </w:r>
            <w:r>
              <w:rPr>
                <w:rFonts w:hint="eastAsia" w:hAnsi="Times New Roman" w:eastAsia="宋体"/>
                <w:bCs/>
                <w:color w:val="auto"/>
                <w:kern w:val="2"/>
                <w:lang w:eastAsia="zh-CN"/>
              </w:rPr>
              <w:fldChar w:fldCharType="end"/>
            </w:r>
          </w:p>
        </w:tc>
        <w:tc>
          <w:tcPr>
            <w:tcW w:w="974"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Ⅲ</w:t>
            </w:r>
          </w:p>
        </w:tc>
        <w:tc>
          <w:tcPr>
            <w:tcW w:w="1090"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Ⅲ</w:t>
            </w:r>
          </w:p>
        </w:tc>
        <w:tc>
          <w:tcPr>
            <w:tcW w:w="1068"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86"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8月</w:t>
            </w:r>
          </w:p>
        </w:tc>
        <w:tc>
          <w:tcPr>
            <w:tcW w:w="1082"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Ⅲ</w:t>
            </w:r>
          </w:p>
        </w:tc>
        <w:tc>
          <w:tcPr>
            <w:tcW w:w="974"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Ⅲ</w:t>
            </w:r>
          </w:p>
        </w:tc>
        <w:tc>
          <w:tcPr>
            <w:tcW w:w="1090"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Ⅲ</w:t>
            </w:r>
          </w:p>
        </w:tc>
        <w:tc>
          <w:tcPr>
            <w:tcW w:w="1068"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86"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9月</w:t>
            </w:r>
          </w:p>
        </w:tc>
        <w:tc>
          <w:tcPr>
            <w:tcW w:w="1082"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Ⅲ</w:t>
            </w:r>
          </w:p>
        </w:tc>
        <w:tc>
          <w:tcPr>
            <w:tcW w:w="974"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Ⅲ</w:t>
            </w:r>
          </w:p>
        </w:tc>
        <w:tc>
          <w:tcPr>
            <w:tcW w:w="1090"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Ⅲ</w:t>
            </w:r>
          </w:p>
        </w:tc>
        <w:tc>
          <w:tcPr>
            <w:tcW w:w="1068"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86"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10月</w:t>
            </w:r>
          </w:p>
        </w:tc>
        <w:tc>
          <w:tcPr>
            <w:tcW w:w="1082"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Ⅲ</w:t>
            </w:r>
          </w:p>
        </w:tc>
        <w:tc>
          <w:tcPr>
            <w:tcW w:w="974"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Ⅲ</w:t>
            </w:r>
          </w:p>
        </w:tc>
        <w:tc>
          <w:tcPr>
            <w:tcW w:w="1090"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Ⅲ</w:t>
            </w:r>
          </w:p>
        </w:tc>
        <w:tc>
          <w:tcPr>
            <w:tcW w:w="1068"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86"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11月</w:t>
            </w:r>
          </w:p>
        </w:tc>
        <w:tc>
          <w:tcPr>
            <w:tcW w:w="1082"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Ⅲ</w:t>
            </w:r>
          </w:p>
        </w:tc>
        <w:tc>
          <w:tcPr>
            <w:tcW w:w="974"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Ⅲ</w:t>
            </w:r>
          </w:p>
        </w:tc>
        <w:tc>
          <w:tcPr>
            <w:tcW w:w="1090"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fldChar w:fldCharType="begin"/>
            </w:r>
            <w:r>
              <w:rPr>
                <w:rFonts w:hint="eastAsia" w:hAnsi="Times New Roman" w:eastAsia="宋体"/>
                <w:bCs/>
                <w:kern w:val="2"/>
                <w:sz w:val="21"/>
                <w:szCs w:val="21"/>
                <w:lang w:eastAsia="zh-CN"/>
              </w:rPr>
              <w:instrText xml:space="preserve"> = 2 \* ROMAN </w:instrText>
            </w:r>
            <w:r>
              <w:rPr>
                <w:rFonts w:hint="eastAsia" w:hAnsi="Times New Roman" w:eastAsia="宋体"/>
                <w:bCs/>
                <w:kern w:val="2"/>
                <w:sz w:val="21"/>
                <w:szCs w:val="21"/>
                <w:lang w:eastAsia="zh-CN"/>
              </w:rPr>
              <w:fldChar w:fldCharType="separate"/>
            </w:r>
            <w:r>
              <w:rPr>
                <w:rFonts w:hint="eastAsia" w:hAnsi="Times New Roman" w:eastAsia="宋体"/>
                <w:bCs/>
                <w:kern w:val="2"/>
                <w:sz w:val="21"/>
                <w:szCs w:val="21"/>
                <w:lang w:eastAsia="zh-CN"/>
              </w:rPr>
              <w:t>II</w:t>
            </w:r>
            <w:r>
              <w:rPr>
                <w:rFonts w:hint="eastAsia" w:hAnsi="Times New Roman" w:eastAsia="宋体"/>
                <w:bCs/>
                <w:kern w:val="2"/>
                <w:sz w:val="21"/>
                <w:szCs w:val="21"/>
                <w:lang w:eastAsia="zh-CN"/>
              </w:rPr>
              <w:fldChar w:fldCharType="end"/>
            </w:r>
          </w:p>
        </w:tc>
        <w:tc>
          <w:tcPr>
            <w:tcW w:w="1068"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86"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12月</w:t>
            </w:r>
          </w:p>
        </w:tc>
        <w:tc>
          <w:tcPr>
            <w:tcW w:w="1082"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Ⅲ</w:t>
            </w:r>
          </w:p>
        </w:tc>
        <w:tc>
          <w:tcPr>
            <w:tcW w:w="974" w:type="pct"/>
            <w:vAlign w:val="center"/>
          </w:tcPr>
          <w:p>
            <w:pPr>
              <w:pStyle w:val="43"/>
              <w:keepNext w:val="0"/>
              <w:keepLines w:val="0"/>
              <w:suppressLineNumbers w:val="0"/>
              <w:spacing w:before="0" w:beforeAutospacing="0" w:after="0" w:afterAutospacing="0"/>
              <w:ind w:left="0" w:right="0"/>
              <w:rPr>
                <w:rFonts w:hint="eastAsia" w:hAnsi="Times New Roman" w:eastAsia="宋体"/>
                <w:bCs/>
                <w:color w:val="auto"/>
                <w:kern w:val="2"/>
                <w:lang w:eastAsia="zh-CN"/>
              </w:rPr>
            </w:pPr>
            <w:r>
              <w:rPr>
                <w:rFonts w:hint="eastAsia" w:hAnsi="Times New Roman" w:eastAsia="宋体"/>
                <w:bCs/>
                <w:color w:val="auto"/>
                <w:kern w:val="2"/>
                <w:lang w:eastAsia="zh-CN"/>
              </w:rPr>
              <w:t>Ⅲ</w:t>
            </w:r>
          </w:p>
        </w:tc>
        <w:tc>
          <w:tcPr>
            <w:tcW w:w="1090"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Ⅲ</w:t>
            </w:r>
          </w:p>
        </w:tc>
        <w:tc>
          <w:tcPr>
            <w:tcW w:w="1068"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r>
    </w:tbl>
    <w:p>
      <w:pPr>
        <w:spacing w:line="360" w:lineRule="auto"/>
        <w:ind w:firstLine="480" w:firstLineChars="200"/>
        <w:rPr>
          <w:rFonts w:hAnsi="Times New Roman" w:eastAsia="宋体"/>
          <w:lang w:eastAsia="zh-CN"/>
        </w:rPr>
      </w:pPr>
      <w:r>
        <w:rPr>
          <w:rFonts w:hAnsi="Times New Roman" w:eastAsia="宋体"/>
          <w:lang w:eastAsia="zh-CN"/>
        </w:rPr>
        <w:t>从上表可知，州河水系</w:t>
      </w:r>
      <w:r>
        <w:rPr>
          <w:rFonts w:hint="eastAsia" w:hAnsi="Times New Roman" w:eastAsia="宋体"/>
          <w:lang w:eastAsia="zh-CN"/>
        </w:rPr>
        <w:t>新宁河</w:t>
      </w:r>
      <w:r>
        <w:rPr>
          <w:rFonts w:hAnsi="Times New Roman" w:eastAsia="宋体"/>
          <w:lang w:eastAsia="zh-CN"/>
        </w:rPr>
        <w:t>大石堡平桥断面水质</w:t>
      </w:r>
      <w:r>
        <w:rPr>
          <w:rFonts w:hint="eastAsia" w:hAnsi="Times New Roman" w:eastAsia="宋体"/>
          <w:lang w:eastAsia="zh-CN"/>
        </w:rPr>
        <w:t>自2021年8月以来均</w:t>
      </w:r>
      <w:r>
        <w:rPr>
          <w:rFonts w:hAnsi="Times New Roman" w:eastAsia="宋体"/>
          <w:lang w:eastAsia="zh-CN"/>
        </w:rPr>
        <w:t>维持在《地表水环境质量标准》（GB3838-2002）III类水域</w:t>
      </w:r>
      <w:r>
        <w:rPr>
          <w:rFonts w:hint="eastAsia" w:hAnsi="Times New Roman" w:eastAsia="宋体"/>
          <w:lang w:eastAsia="zh-CN"/>
        </w:rPr>
        <w:t>及以上</w:t>
      </w:r>
      <w:r>
        <w:rPr>
          <w:rFonts w:hAnsi="Times New Roman" w:eastAsia="宋体"/>
          <w:lang w:eastAsia="zh-CN"/>
        </w:rPr>
        <w:t>标准要求。</w:t>
      </w:r>
    </w:p>
    <w:p>
      <w:pPr>
        <w:spacing w:line="360" w:lineRule="auto"/>
        <w:ind w:firstLine="482" w:firstLineChars="200"/>
        <w:rPr>
          <w:rFonts w:hAnsi="Times New Roman" w:eastAsia="宋体"/>
          <w:b/>
          <w:bCs/>
          <w:lang w:eastAsia="zh-CN"/>
        </w:rPr>
      </w:pPr>
      <w:r>
        <w:rPr>
          <w:rFonts w:hAnsi="Times New Roman" w:eastAsia="宋体"/>
          <w:b/>
          <w:bCs/>
          <w:lang w:eastAsia="zh-CN"/>
        </w:rPr>
        <w:t>2、补充监测</w:t>
      </w:r>
    </w:p>
    <w:p>
      <w:pPr>
        <w:spacing w:line="360" w:lineRule="auto"/>
        <w:ind w:firstLine="480" w:firstLineChars="200"/>
        <w:rPr>
          <w:rFonts w:hAnsi="Times New Roman" w:eastAsia="宋体"/>
          <w:lang w:eastAsia="zh-CN"/>
        </w:rPr>
      </w:pPr>
      <w:r>
        <w:rPr>
          <w:rFonts w:hAnsi="Times New Roman" w:eastAsia="宋体"/>
          <w:lang w:eastAsia="zh-CN"/>
        </w:rPr>
        <w:t>为调查了解项目所在位置地表水质量状况，本次评价</w:t>
      </w:r>
      <w:r>
        <w:rPr>
          <w:rFonts w:hint="eastAsia" w:hAnsi="Times New Roman" w:eastAsia="宋体"/>
          <w:lang w:eastAsia="zh-CN"/>
        </w:rPr>
        <w:t>引用</w:t>
      </w:r>
      <w:r>
        <w:rPr>
          <w:rFonts w:hAnsi="Times New Roman" w:eastAsia="宋体"/>
          <w:lang w:eastAsia="zh-CN"/>
        </w:rPr>
        <w:t>项目</w:t>
      </w:r>
      <w:r>
        <w:rPr>
          <w:rFonts w:hint="eastAsia" w:hAnsi="Times New Roman" w:eastAsia="宋体"/>
          <w:lang w:eastAsia="zh-CN"/>
        </w:rPr>
        <w:t>入河排污口论证报告对</w:t>
      </w:r>
      <w:r>
        <w:rPr>
          <w:rFonts w:hAnsi="Times New Roman" w:eastAsia="宋体"/>
          <w:lang w:eastAsia="zh-CN"/>
        </w:rPr>
        <w:t>所在地地表水进行了现场监测，具体监测项目、监测点位、监测时间及频率、监测方法及数据如下：</w:t>
      </w:r>
    </w:p>
    <w:p>
      <w:pPr>
        <w:spacing w:line="360" w:lineRule="auto"/>
        <w:ind w:firstLine="482" w:firstLineChars="200"/>
        <w:rPr>
          <w:rFonts w:hAnsi="Times New Roman" w:eastAsia="宋体"/>
          <w:b/>
          <w:bCs/>
          <w:lang w:eastAsia="zh-CN"/>
        </w:rPr>
      </w:pPr>
      <w:r>
        <w:rPr>
          <w:rFonts w:hAnsi="Times New Roman" w:eastAsia="宋体"/>
          <w:b/>
          <w:bCs/>
          <w:lang w:eastAsia="zh-CN"/>
        </w:rPr>
        <w:t>（1）监测断面</w:t>
      </w:r>
    </w:p>
    <w:p>
      <w:pPr>
        <w:spacing w:line="360" w:lineRule="auto"/>
        <w:ind w:firstLine="482" w:firstLineChars="200"/>
        <w:rPr>
          <w:rFonts w:hAnsi="Times New Roman" w:eastAsia="宋体"/>
          <w:b/>
          <w:bCs/>
          <w:lang w:eastAsia="zh-CN"/>
        </w:rPr>
      </w:pPr>
      <w:r>
        <w:rPr>
          <w:rFonts w:hAnsi="Times New Roman" w:eastAsia="宋体"/>
          <w:b/>
          <w:bCs/>
          <w:lang w:eastAsia="zh-CN"/>
        </w:rPr>
        <w:t>①监测断面</w:t>
      </w:r>
    </w:p>
    <w:p>
      <w:pPr>
        <w:spacing w:line="360" w:lineRule="auto"/>
        <w:ind w:firstLine="480" w:firstLineChars="200"/>
        <w:rPr>
          <w:rFonts w:hAnsi="Times New Roman" w:eastAsia="宋体"/>
          <w:lang w:eastAsia="zh-CN"/>
        </w:rPr>
      </w:pPr>
      <w:r>
        <w:rPr>
          <w:rFonts w:hAnsi="Times New Roman" w:eastAsia="宋体"/>
          <w:lang w:eastAsia="zh-CN"/>
        </w:rPr>
        <w:t>共设置2个监测断面，具体见表3.2-</w:t>
      </w:r>
      <w:r>
        <w:rPr>
          <w:rFonts w:hint="eastAsia" w:hAnsi="Times New Roman" w:eastAsia="宋体"/>
          <w:lang w:eastAsia="zh-CN"/>
        </w:rPr>
        <w:t>7</w:t>
      </w:r>
      <w:r>
        <w:rPr>
          <w:rFonts w:hAnsi="Times New Roman" w:eastAsia="宋体"/>
          <w:lang w:eastAsia="zh-CN"/>
        </w:rPr>
        <w:t>所示。</w:t>
      </w:r>
    </w:p>
    <w:p>
      <w:pPr>
        <w:spacing w:line="360" w:lineRule="auto"/>
        <w:ind w:firstLine="422" w:firstLineChars="200"/>
        <w:jc w:val="center"/>
        <w:rPr>
          <w:rFonts w:hAnsi="Times New Roman" w:eastAsia="宋体"/>
          <w:sz w:val="21"/>
          <w:szCs w:val="21"/>
          <w:lang w:eastAsia="zh-CN"/>
        </w:rPr>
      </w:pPr>
      <w:r>
        <w:rPr>
          <w:rFonts w:hAnsi="Times New Roman" w:eastAsia="宋体"/>
          <w:b/>
          <w:bCs/>
          <w:sz w:val="21"/>
          <w:szCs w:val="21"/>
          <w:lang w:eastAsia="zh-CN"/>
        </w:rPr>
        <w:t>表3.2-</w:t>
      </w:r>
      <w:r>
        <w:rPr>
          <w:rFonts w:hint="eastAsia" w:hAnsi="Times New Roman" w:eastAsia="宋体"/>
          <w:b/>
          <w:bCs/>
          <w:sz w:val="21"/>
          <w:szCs w:val="21"/>
          <w:lang w:eastAsia="zh-CN"/>
        </w:rPr>
        <w:t>7</w:t>
      </w:r>
      <w:r>
        <w:rPr>
          <w:rFonts w:hAnsi="Times New Roman" w:eastAsia="宋体"/>
          <w:b/>
          <w:bCs/>
          <w:sz w:val="21"/>
          <w:szCs w:val="21"/>
          <w:lang w:eastAsia="zh-CN"/>
        </w:rPr>
        <w:t xml:space="preserve"> 地表水水质监测断面分布一览表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28"/>
        <w:gridCol w:w="4898"/>
        <w:gridCol w:w="31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2" w:hRule="atLeast"/>
          <w:jc w:val="center"/>
        </w:trPr>
        <w:tc>
          <w:tcPr>
            <w:tcW w:w="711" w:type="pct"/>
            <w:vAlign w:val="center"/>
          </w:tcPr>
          <w:p>
            <w:pPr>
              <w:pStyle w:val="43"/>
              <w:keepNext w:val="0"/>
              <w:keepLines w:val="0"/>
              <w:suppressLineNumbers w:val="0"/>
              <w:spacing w:before="0" w:beforeAutospacing="0" w:after="0" w:afterAutospacing="0"/>
              <w:ind w:left="0" w:right="0"/>
              <w:rPr>
                <w:rFonts w:hint="eastAsia" w:hAnsi="Times New Roman" w:eastAsia="宋体"/>
                <w:b/>
                <w:color w:val="auto"/>
                <w:kern w:val="2"/>
                <w:lang w:eastAsia="zh-CN"/>
              </w:rPr>
            </w:pPr>
            <w:r>
              <w:rPr>
                <w:rFonts w:hint="eastAsia" w:hAnsi="Times New Roman" w:eastAsia="宋体"/>
                <w:b/>
                <w:bCs/>
                <w:color w:val="auto"/>
                <w:spacing w:val="12"/>
                <w:kern w:val="28"/>
                <w:lang w:eastAsia="zh-CN"/>
              </w:rPr>
              <w:t>编号</w:t>
            </w:r>
          </w:p>
        </w:tc>
        <w:tc>
          <w:tcPr>
            <w:tcW w:w="2621" w:type="pct"/>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b/>
                <w:kern w:val="2"/>
                <w:sz w:val="21"/>
                <w:szCs w:val="21"/>
                <w:lang w:eastAsia="zh-CN"/>
              </w:rPr>
            </w:pPr>
            <w:r>
              <w:rPr>
                <w:rFonts w:hint="eastAsia" w:hAnsi="Times New Roman" w:eastAsia="宋体"/>
                <w:b/>
                <w:kern w:val="2"/>
                <w:sz w:val="21"/>
                <w:szCs w:val="21"/>
                <w:lang w:eastAsia="zh-CN"/>
              </w:rPr>
              <w:t>监测点位</w:t>
            </w:r>
          </w:p>
        </w:tc>
        <w:tc>
          <w:tcPr>
            <w:tcW w:w="1668" w:type="pct"/>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b/>
                <w:kern w:val="2"/>
                <w:sz w:val="21"/>
                <w:szCs w:val="21"/>
                <w:lang w:eastAsia="zh-CN"/>
              </w:rPr>
            </w:pPr>
            <w:r>
              <w:rPr>
                <w:rFonts w:hint="eastAsia" w:hAnsi="Times New Roman" w:eastAsia="宋体"/>
                <w:b/>
                <w:kern w:val="2"/>
                <w:sz w:val="21"/>
                <w:szCs w:val="21"/>
              </w:rPr>
              <w:t>采用标准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9" w:hRule="atLeast"/>
          <w:jc w:val="center"/>
        </w:trPr>
        <w:tc>
          <w:tcPr>
            <w:tcW w:w="711" w:type="pct"/>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spacing w:val="12"/>
                <w:kern w:val="28"/>
                <w:sz w:val="21"/>
                <w:szCs w:val="21"/>
                <w:lang w:eastAsia="zh-CN"/>
              </w:rPr>
            </w:pPr>
            <w:r>
              <w:rPr>
                <w:rFonts w:hint="eastAsia" w:hAnsi="Times New Roman" w:eastAsia="宋体"/>
                <w:spacing w:val="12"/>
                <w:kern w:val="28"/>
                <w:sz w:val="21"/>
                <w:szCs w:val="21"/>
                <w:lang w:eastAsia="zh-CN"/>
              </w:rPr>
              <w:t>Ⅰ</w:t>
            </w:r>
          </w:p>
        </w:tc>
        <w:tc>
          <w:tcPr>
            <w:tcW w:w="2621" w:type="pct"/>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入河排污口新宁河上游500m</w:t>
            </w:r>
          </w:p>
        </w:tc>
        <w:tc>
          <w:tcPr>
            <w:tcW w:w="1668" w:type="pct"/>
            <w:vMerge w:val="restart"/>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《地表水环境质量标准》</w:t>
            </w:r>
            <w:r>
              <w:rPr>
                <w:rFonts w:hint="eastAsia" w:hAnsi="Times New Roman" w:eastAsia="宋体"/>
                <w:kern w:val="2"/>
                <w:sz w:val="21"/>
                <w:szCs w:val="21"/>
                <w:lang w:eastAsia="zh-CN"/>
              </w:rPr>
              <w:t>（</w:t>
            </w:r>
            <w:r>
              <w:rPr>
                <w:rFonts w:hint="eastAsia" w:hAnsi="Times New Roman" w:eastAsia="宋体"/>
                <w:kern w:val="2"/>
                <w:sz w:val="21"/>
                <w:szCs w:val="21"/>
              </w:rPr>
              <w:t>GB3838-2002</w:t>
            </w:r>
            <w:r>
              <w:rPr>
                <w:rFonts w:hint="eastAsia" w:hAnsi="Times New Roman" w:eastAsia="宋体"/>
                <w:kern w:val="2"/>
                <w:sz w:val="21"/>
                <w:szCs w:val="21"/>
                <w:lang w:eastAsia="zh-CN"/>
              </w:rPr>
              <w:t>）III类标准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711" w:type="pct"/>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spacing w:val="12"/>
                <w:kern w:val="28"/>
                <w:sz w:val="21"/>
                <w:szCs w:val="21"/>
                <w:lang w:eastAsia="zh-CN"/>
              </w:rPr>
            </w:pPr>
            <w:r>
              <w:rPr>
                <w:rFonts w:hint="eastAsia" w:hAnsi="Times New Roman" w:eastAsia="宋体"/>
                <w:spacing w:val="12"/>
                <w:kern w:val="28"/>
                <w:sz w:val="21"/>
                <w:szCs w:val="21"/>
                <w:lang w:eastAsia="zh-CN"/>
              </w:rPr>
              <w:fldChar w:fldCharType="begin"/>
            </w:r>
            <w:r>
              <w:rPr>
                <w:rFonts w:hint="eastAsia" w:hAnsi="Times New Roman" w:eastAsia="宋体"/>
                <w:spacing w:val="12"/>
                <w:kern w:val="28"/>
                <w:sz w:val="21"/>
                <w:szCs w:val="21"/>
                <w:lang w:eastAsia="zh-CN"/>
              </w:rPr>
              <w:instrText xml:space="preserve"> = 2 \* ROMAN </w:instrText>
            </w:r>
            <w:r>
              <w:rPr>
                <w:rFonts w:hint="eastAsia" w:hAnsi="Times New Roman" w:eastAsia="宋体"/>
                <w:spacing w:val="12"/>
                <w:kern w:val="28"/>
                <w:sz w:val="21"/>
                <w:szCs w:val="21"/>
                <w:lang w:eastAsia="zh-CN"/>
              </w:rPr>
              <w:fldChar w:fldCharType="separate"/>
            </w:r>
            <w:r>
              <w:rPr>
                <w:rFonts w:hint="eastAsia" w:hAnsi="Times New Roman" w:eastAsia="宋体"/>
                <w:spacing w:val="12"/>
                <w:kern w:val="28"/>
                <w:sz w:val="21"/>
                <w:szCs w:val="21"/>
                <w:lang w:eastAsia="zh-CN"/>
              </w:rPr>
              <w:t>II</w:t>
            </w:r>
            <w:r>
              <w:rPr>
                <w:rFonts w:hint="eastAsia" w:hAnsi="Times New Roman" w:eastAsia="宋体"/>
                <w:spacing w:val="12"/>
                <w:kern w:val="28"/>
                <w:sz w:val="21"/>
                <w:szCs w:val="21"/>
                <w:lang w:eastAsia="zh-CN"/>
              </w:rPr>
              <w:fldChar w:fldCharType="end"/>
            </w:r>
          </w:p>
        </w:tc>
        <w:tc>
          <w:tcPr>
            <w:tcW w:w="2621" w:type="pct"/>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入河排污口新宁河下游1000m</w:t>
            </w:r>
          </w:p>
        </w:tc>
        <w:tc>
          <w:tcPr>
            <w:tcW w:w="1668" w:type="pct"/>
            <w:vMerge w:val="continue"/>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711" w:type="pct"/>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Ⅲ</w:t>
            </w:r>
          </w:p>
        </w:tc>
        <w:tc>
          <w:tcPr>
            <w:tcW w:w="2621" w:type="pct"/>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入河排污口新宁河下游3000m</w:t>
            </w:r>
          </w:p>
        </w:tc>
        <w:tc>
          <w:tcPr>
            <w:tcW w:w="1668" w:type="pct"/>
            <w:vMerge w:val="continue"/>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p>
        </w:tc>
      </w:tr>
    </w:tbl>
    <w:p>
      <w:pPr>
        <w:spacing w:line="360" w:lineRule="auto"/>
        <w:ind w:firstLine="482" w:firstLineChars="200"/>
        <w:rPr>
          <w:rFonts w:hAnsi="Times New Roman" w:eastAsia="宋体"/>
          <w:b/>
          <w:bCs/>
          <w:lang w:eastAsia="zh-CN"/>
        </w:rPr>
      </w:pPr>
      <w:r>
        <w:rPr>
          <w:rFonts w:hAnsi="Times New Roman" w:eastAsia="宋体"/>
          <w:b/>
          <w:bCs/>
          <w:lang w:eastAsia="zh-CN"/>
        </w:rPr>
        <w:t>②监测因子</w:t>
      </w:r>
    </w:p>
    <w:p>
      <w:pPr>
        <w:spacing w:line="360" w:lineRule="auto"/>
        <w:ind w:firstLine="480" w:firstLineChars="200"/>
        <w:rPr>
          <w:rFonts w:hAnsi="Times New Roman" w:eastAsia="宋体"/>
          <w:szCs w:val="24"/>
          <w:lang w:eastAsia="zh-CN"/>
        </w:rPr>
      </w:pPr>
      <w:r>
        <w:rPr>
          <w:rFonts w:hAnsi="Times New Roman" w:eastAsia="宋体"/>
          <w:szCs w:val="24"/>
          <w:lang w:eastAsia="zh-CN"/>
        </w:rPr>
        <w:t>水温、流速、流量、pH、化学需氧量、五日生化需氧量、氨氮、溶解氧、总磷、总氮、悬浮物、石油类、氯化物、硫化物、氟化物、六价铬、硫酸盐、硝酸盐、挥发酚、氰化物、铜、锌、硒、镉、铅、铁、锰、砷、汞、粪大肠菌群、阴离子表面活性剂、高锰酸盐指数、全盐量、蛔虫卵数</w:t>
      </w:r>
    </w:p>
    <w:p>
      <w:pPr>
        <w:spacing w:line="360" w:lineRule="auto"/>
        <w:ind w:firstLine="482" w:firstLineChars="200"/>
        <w:rPr>
          <w:rFonts w:hAnsi="Times New Roman" w:eastAsia="宋体"/>
          <w:b/>
          <w:bCs/>
          <w:szCs w:val="24"/>
          <w:lang w:eastAsia="zh-CN"/>
        </w:rPr>
      </w:pPr>
      <w:r>
        <w:rPr>
          <w:rFonts w:hAnsi="Times New Roman" w:eastAsia="宋体"/>
          <w:b/>
          <w:bCs/>
          <w:szCs w:val="24"/>
          <w:lang w:eastAsia="zh-CN"/>
        </w:rPr>
        <w:t>③监测时间及频次</w:t>
      </w:r>
    </w:p>
    <w:p>
      <w:pPr>
        <w:spacing w:line="360" w:lineRule="auto"/>
        <w:ind w:firstLine="480" w:firstLineChars="200"/>
        <w:rPr>
          <w:rFonts w:hAnsi="Times New Roman" w:eastAsia="宋体"/>
          <w:szCs w:val="24"/>
          <w:lang w:eastAsia="zh-CN"/>
        </w:rPr>
      </w:pPr>
      <w:r>
        <w:rPr>
          <w:rFonts w:hAnsi="Times New Roman" w:eastAsia="宋体"/>
          <w:szCs w:val="24"/>
          <w:lang w:eastAsia="zh-CN"/>
        </w:rPr>
        <w:t>连续3天，每天采样1次。</w:t>
      </w:r>
    </w:p>
    <w:p>
      <w:pPr>
        <w:spacing w:line="360" w:lineRule="auto"/>
        <w:ind w:firstLine="482" w:firstLineChars="200"/>
        <w:rPr>
          <w:rFonts w:hAnsi="Times New Roman" w:eastAsia="宋体"/>
          <w:b/>
          <w:bCs/>
          <w:szCs w:val="24"/>
          <w:lang w:eastAsia="zh-CN"/>
        </w:rPr>
      </w:pPr>
      <w:r>
        <w:rPr>
          <w:rFonts w:hAnsi="Times New Roman" w:eastAsia="宋体"/>
          <w:b/>
          <w:bCs/>
          <w:szCs w:val="24"/>
          <w:lang w:eastAsia="zh-CN"/>
        </w:rPr>
        <w:t>④采样及分析方法：</w:t>
      </w:r>
    </w:p>
    <w:p>
      <w:pPr>
        <w:spacing w:line="360" w:lineRule="auto"/>
        <w:ind w:firstLine="480" w:firstLineChars="200"/>
        <w:rPr>
          <w:rFonts w:hAnsi="Times New Roman" w:eastAsia="宋体"/>
          <w:szCs w:val="24"/>
          <w:lang w:eastAsia="zh-CN"/>
        </w:rPr>
      </w:pPr>
      <w:r>
        <w:rPr>
          <w:rFonts w:hAnsi="Times New Roman" w:eastAsia="宋体"/>
          <w:szCs w:val="24"/>
          <w:lang w:eastAsia="zh-CN"/>
        </w:rPr>
        <w:t>按《地表水环境质量标准》（GB3838—2002）相关规定执行。</w:t>
      </w:r>
    </w:p>
    <w:p>
      <w:pPr>
        <w:spacing w:line="360" w:lineRule="auto"/>
        <w:ind w:firstLine="482" w:firstLineChars="200"/>
        <w:rPr>
          <w:rFonts w:hAnsi="Times New Roman" w:eastAsia="宋体"/>
          <w:b/>
          <w:bCs/>
          <w:szCs w:val="24"/>
          <w:lang w:eastAsia="zh-CN"/>
        </w:rPr>
      </w:pPr>
      <w:r>
        <w:rPr>
          <w:rFonts w:hAnsi="Times New Roman" w:eastAsia="宋体"/>
          <w:b/>
          <w:bCs/>
          <w:szCs w:val="24"/>
          <w:lang w:eastAsia="zh-CN"/>
        </w:rPr>
        <w:t>（2）监测结果</w:t>
      </w:r>
    </w:p>
    <w:p>
      <w:pPr>
        <w:spacing w:line="360" w:lineRule="auto"/>
        <w:ind w:firstLine="480" w:firstLineChars="200"/>
        <w:rPr>
          <w:rFonts w:hAnsi="Times New Roman" w:eastAsia="宋体"/>
          <w:szCs w:val="24"/>
          <w:lang w:eastAsia="zh-CN"/>
        </w:rPr>
      </w:pPr>
      <w:r>
        <w:rPr>
          <w:rFonts w:hAnsi="Times New Roman" w:eastAsia="宋体"/>
          <w:szCs w:val="24"/>
          <w:lang w:eastAsia="zh-CN"/>
        </w:rPr>
        <w:t>地表水监测结果见表3.2-</w:t>
      </w:r>
      <w:r>
        <w:rPr>
          <w:rFonts w:hint="eastAsia" w:hAnsi="Times New Roman" w:eastAsia="宋体"/>
          <w:szCs w:val="24"/>
          <w:lang w:eastAsia="zh-CN"/>
        </w:rPr>
        <w:t>8</w:t>
      </w:r>
      <w:r>
        <w:rPr>
          <w:rFonts w:hAnsi="Times New Roman" w:eastAsia="宋体"/>
          <w:szCs w:val="24"/>
          <w:lang w:eastAsia="zh-CN"/>
        </w:rPr>
        <w:t>所示。</w:t>
      </w:r>
    </w:p>
    <w:p>
      <w:pPr>
        <w:spacing w:line="360" w:lineRule="auto"/>
        <w:jc w:val="center"/>
        <w:rPr>
          <w:rFonts w:hAnsi="Times New Roman" w:eastAsia="宋体"/>
          <w:b/>
          <w:bCs/>
          <w:szCs w:val="24"/>
          <w:lang w:eastAsia="zh-CN"/>
        </w:rPr>
      </w:pPr>
      <w:r>
        <w:rPr>
          <w:rFonts w:hAnsi="Times New Roman" w:eastAsia="宋体"/>
          <w:b/>
          <w:bCs/>
          <w:szCs w:val="24"/>
          <w:lang w:eastAsia="zh-CN"/>
        </w:rPr>
        <w:t xml:space="preserve">             </w:t>
      </w:r>
    </w:p>
    <w:p>
      <w:pPr>
        <w:spacing w:line="360" w:lineRule="auto"/>
        <w:jc w:val="center"/>
        <w:rPr>
          <w:rFonts w:hAnsi="Times New Roman" w:eastAsia="宋体"/>
          <w:b/>
          <w:bCs/>
          <w:szCs w:val="24"/>
          <w:lang w:eastAsia="zh-CN"/>
        </w:rPr>
      </w:pP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 xml:space="preserve"> 表3.2-</w:t>
      </w:r>
      <w:r>
        <w:rPr>
          <w:rFonts w:hint="eastAsia" w:hAnsi="Times New Roman" w:eastAsia="宋体"/>
          <w:b/>
          <w:bCs/>
          <w:sz w:val="21"/>
          <w:szCs w:val="21"/>
          <w:lang w:eastAsia="zh-CN"/>
        </w:rPr>
        <w:t>8</w:t>
      </w:r>
      <w:r>
        <w:rPr>
          <w:rFonts w:hAnsi="Times New Roman" w:eastAsia="宋体"/>
          <w:b/>
          <w:bCs/>
          <w:sz w:val="21"/>
          <w:szCs w:val="21"/>
          <w:lang w:eastAsia="zh-CN"/>
        </w:rPr>
        <w:t xml:space="preserve"> 地表水环境质量现状监测结果    单位：mg/L</w:t>
      </w:r>
    </w:p>
    <w:tbl>
      <w:tblPr>
        <w:tblStyle w:val="3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3"/>
        <w:gridCol w:w="848"/>
        <w:gridCol w:w="846"/>
        <w:gridCol w:w="850"/>
        <w:gridCol w:w="848"/>
        <w:gridCol w:w="846"/>
        <w:gridCol w:w="850"/>
        <w:gridCol w:w="830"/>
        <w:gridCol w:w="830"/>
        <w:gridCol w:w="8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blHeader/>
          <w:jc w:val="center"/>
        </w:trPr>
        <w:tc>
          <w:tcPr>
            <w:tcW w:w="1663" w:type="dxa"/>
            <w:vMerge w:val="restart"/>
            <w:tcBorders>
              <w:tl2br w:val="single" w:color="auto" w:sz="4" w:space="0"/>
            </w:tcBorders>
            <w:vAlign w:val="center"/>
          </w:tcPr>
          <w:p>
            <w:pPr>
              <w:keepNext w:val="0"/>
              <w:keepLines w:val="0"/>
              <w:suppressLineNumbers w:val="0"/>
              <w:spacing w:before="0" w:beforeAutospacing="0" w:after="0" w:afterAutospacing="0" w:line="300" w:lineRule="exact"/>
              <w:ind w:left="0" w:right="0"/>
              <w:jc w:val="right"/>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检测位置</w:t>
            </w:r>
          </w:p>
          <w:p>
            <w:pPr>
              <w:keepNext w:val="0"/>
              <w:keepLines w:val="0"/>
              <w:suppressLineNumbers w:val="0"/>
              <w:spacing w:before="0" w:beforeAutospacing="0" w:after="0" w:afterAutospacing="0" w:line="300" w:lineRule="exact"/>
              <w:ind w:left="0" w:right="0"/>
              <w:jc w:val="right"/>
              <w:rPr>
                <w:rFonts w:hint="eastAsia" w:hAnsi="Times New Roman" w:eastAsia="宋体"/>
                <w:b/>
                <w:bCs/>
                <w:kern w:val="2"/>
                <w:sz w:val="21"/>
                <w:szCs w:val="21"/>
                <w:lang w:eastAsia="zh-CN"/>
              </w:rPr>
            </w:pPr>
            <w:r>
              <w:rPr>
                <w:rFonts w:hint="eastAsia" w:hAnsi="Times New Roman" w:eastAsia="宋体"/>
                <w:b/>
                <w:bCs/>
                <w:kern w:val="2"/>
                <w:sz w:val="21"/>
                <w:szCs w:val="21"/>
                <w:lang w:eastAsia="zh-CN"/>
              </w:rPr>
              <w:t>采样时间</w:t>
            </w:r>
          </w:p>
          <w:p>
            <w:pPr>
              <w:keepNext w:val="0"/>
              <w:keepLines w:val="0"/>
              <w:suppressLineNumbers w:val="0"/>
              <w:spacing w:before="0" w:beforeAutospacing="0" w:after="0" w:afterAutospacing="0" w:line="300" w:lineRule="exact"/>
              <w:ind w:left="0" w:right="0"/>
              <w:jc w:val="left"/>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检测因子</w:t>
            </w:r>
          </w:p>
        </w:tc>
        <w:tc>
          <w:tcPr>
            <w:tcW w:w="2544" w:type="dxa"/>
            <w:gridSpan w:val="3"/>
            <w:vAlign w:val="center"/>
          </w:tcPr>
          <w:p>
            <w:pPr>
              <w:pStyle w:val="19"/>
              <w:keepNext w:val="0"/>
              <w:keepLines w:val="0"/>
              <w:suppressLineNumbers w:val="0"/>
              <w:spacing w:before="0" w:beforeAutospacing="0" w:after="0" w:afterAutospacing="0" w:line="300" w:lineRule="exact"/>
              <w:ind w:left="0" w:right="-48" w:rightChars="-20" w:firstLine="0" w:firstLineChars="0"/>
              <w:jc w:val="center"/>
              <w:rPr>
                <w:rFonts w:hint="eastAsia"/>
                <w:b/>
                <w:kern w:val="0"/>
                <w:sz w:val="21"/>
                <w:szCs w:val="21"/>
                <w:lang w:eastAsia="zh-CN"/>
              </w:rPr>
            </w:pPr>
            <w:r>
              <w:rPr>
                <w:rFonts w:hint="eastAsia"/>
                <w:b/>
                <w:kern w:val="0"/>
                <w:sz w:val="21"/>
                <w:szCs w:val="21"/>
                <w:lang w:eastAsia="zh-CN"/>
              </w:rPr>
              <w:t>Ⅰ，入河排污口新宁河上游500m</w:t>
            </w:r>
          </w:p>
        </w:tc>
        <w:tc>
          <w:tcPr>
            <w:tcW w:w="2544" w:type="dxa"/>
            <w:gridSpan w:val="3"/>
            <w:vAlign w:val="center"/>
          </w:tcPr>
          <w:p>
            <w:pPr>
              <w:keepNext w:val="0"/>
              <w:keepLines w:val="0"/>
              <w:suppressLineNumbers w:val="0"/>
              <w:spacing w:before="0" w:beforeAutospacing="0" w:after="0" w:afterAutospacing="0" w:line="300" w:lineRule="exact"/>
              <w:ind w:left="0" w:right="-48" w:rightChars="-2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Ⅱ，入河排污口新宁河下游1000m</w:t>
            </w:r>
          </w:p>
        </w:tc>
        <w:tc>
          <w:tcPr>
            <w:tcW w:w="2489" w:type="dxa"/>
            <w:gridSpan w:val="3"/>
            <w:vAlign w:val="center"/>
          </w:tcPr>
          <w:p>
            <w:pPr>
              <w:keepNext w:val="0"/>
              <w:keepLines w:val="0"/>
              <w:suppressLineNumbers w:val="0"/>
              <w:spacing w:before="0" w:beforeAutospacing="0" w:after="0" w:afterAutospacing="0" w:line="300" w:lineRule="exact"/>
              <w:ind w:left="0" w:right="-48" w:rightChars="-2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Ⅲ，入河排污口新宁河下游3000m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blHeader/>
          <w:jc w:val="center"/>
        </w:trPr>
        <w:tc>
          <w:tcPr>
            <w:tcW w:w="1663" w:type="dxa"/>
            <w:vMerge w:val="continue"/>
            <w:tcBorders>
              <w:tl2br w:val="single" w:color="auto" w:sz="4" w:space="0"/>
            </w:tcBorders>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p>
        </w:tc>
        <w:tc>
          <w:tcPr>
            <w:tcW w:w="848" w:type="dxa"/>
            <w:vAlign w:val="center"/>
          </w:tcPr>
          <w:p>
            <w:pPr>
              <w:pStyle w:val="19"/>
              <w:keepNext w:val="0"/>
              <w:keepLines w:val="0"/>
              <w:suppressLineNumbers w:val="0"/>
              <w:spacing w:before="0" w:beforeAutospacing="0" w:after="0" w:afterAutospacing="0" w:line="300" w:lineRule="exact"/>
              <w:ind w:left="0" w:right="-48" w:rightChars="-20" w:firstLine="0" w:firstLineChars="0"/>
              <w:jc w:val="center"/>
              <w:rPr>
                <w:rFonts w:hint="eastAsia"/>
                <w:b/>
                <w:kern w:val="0"/>
                <w:sz w:val="21"/>
                <w:szCs w:val="21"/>
                <w:lang w:eastAsia="zh-CN"/>
              </w:rPr>
            </w:pPr>
            <w:r>
              <w:rPr>
                <w:rFonts w:hint="eastAsia"/>
                <w:b/>
                <w:kern w:val="0"/>
                <w:sz w:val="21"/>
                <w:szCs w:val="21"/>
                <w:lang w:eastAsia="zh-CN"/>
              </w:rPr>
              <w:t>2022/01/03</w:t>
            </w:r>
          </w:p>
        </w:tc>
        <w:tc>
          <w:tcPr>
            <w:tcW w:w="846" w:type="dxa"/>
            <w:vAlign w:val="center"/>
          </w:tcPr>
          <w:p>
            <w:pPr>
              <w:keepNext w:val="0"/>
              <w:keepLines w:val="0"/>
              <w:suppressLineNumbers w:val="0"/>
              <w:spacing w:before="0" w:beforeAutospacing="0" w:after="0" w:afterAutospacing="0" w:line="300" w:lineRule="exact"/>
              <w:ind w:left="0" w:right="-48" w:rightChars="-2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2022/01/04</w:t>
            </w:r>
          </w:p>
        </w:tc>
        <w:tc>
          <w:tcPr>
            <w:tcW w:w="850" w:type="dxa"/>
            <w:vAlign w:val="center"/>
          </w:tcPr>
          <w:p>
            <w:pPr>
              <w:keepNext w:val="0"/>
              <w:keepLines w:val="0"/>
              <w:suppressLineNumbers w:val="0"/>
              <w:spacing w:before="0" w:beforeAutospacing="0" w:after="0" w:afterAutospacing="0" w:line="300" w:lineRule="exact"/>
              <w:ind w:left="0" w:right="-48" w:rightChars="-2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2022/01/05</w:t>
            </w:r>
          </w:p>
        </w:tc>
        <w:tc>
          <w:tcPr>
            <w:tcW w:w="848" w:type="dxa"/>
            <w:vAlign w:val="center"/>
          </w:tcPr>
          <w:p>
            <w:pPr>
              <w:pStyle w:val="19"/>
              <w:keepNext w:val="0"/>
              <w:keepLines w:val="0"/>
              <w:suppressLineNumbers w:val="0"/>
              <w:spacing w:before="0" w:beforeAutospacing="0" w:after="0" w:afterAutospacing="0" w:line="300" w:lineRule="exact"/>
              <w:ind w:left="0" w:right="-48" w:rightChars="-20" w:firstLine="0" w:firstLineChars="0"/>
              <w:jc w:val="center"/>
              <w:rPr>
                <w:rFonts w:hint="eastAsia"/>
                <w:b/>
                <w:kern w:val="0"/>
                <w:sz w:val="21"/>
                <w:szCs w:val="21"/>
                <w:lang w:eastAsia="zh-CN"/>
              </w:rPr>
            </w:pPr>
            <w:r>
              <w:rPr>
                <w:rFonts w:hint="eastAsia"/>
                <w:b/>
                <w:kern w:val="0"/>
                <w:sz w:val="21"/>
                <w:szCs w:val="21"/>
                <w:lang w:eastAsia="zh-CN"/>
              </w:rPr>
              <w:t>2022/01/03</w:t>
            </w:r>
          </w:p>
        </w:tc>
        <w:tc>
          <w:tcPr>
            <w:tcW w:w="846" w:type="dxa"/>
            <w:vAlign w:val="center"/>
          </w:tcPr>
          <w:p>
            <w:pPr>
              <w:keepNext w:val="0"/>
              <w:keepLines w:val="0"/>
              <w:suppressLineNumbers w:val="0"/>
              <w:spacing w:before="0" w:beforeAutospacing="0" w:after="0" w:afterAutospacing="0" w:line="300" w:lineRule="exact"/>
              <w:ind w:left="0" w:right="-48" w:rightChars="-2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2022/01/04</w:t>
            </w:r>
          </w:p>
        </w:tc>
        <w:tc>
          <w:tcPr>
            <w:tcW w:w="850" w:type="dxa"/>
            <w:vAlign w:val="center"/>
          </w:tcPr>
          <w:p>
            <w:pPr>
              <w:keepNext w:val="0"/>
              <w:keepLines w:val="0"/>
              <w:suppressLineNumbers w:val="0"/>
              <w:spacing w:before="0" w:beforeAutospacing="0" w:after="0" w:afterAutospacing="0" w:line="300" w:lineRule="exact"/>
              <w:ind w:left="0" w:right="-48" w:rightChars="-2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2022/01/05</w:t>
            </w:r>
          </w:p>
        </w:tc>
        <w:tc>
          <w:tcPr>
            <w:tcW w:w="830" w:type="dxa"/>
            <w:vAlign w:val="center"/>
          </w:tcPr>
          <w:p>
            <w:pPr>
              <w:pStyle w:val="19"/>
              <w:keepNext w:val="0"/>
              <w:keepLines w:val="0"/>
              <w:suppressLineNumbers w:val="0"/>
              <w:spacing w:before="0" w:beforeAutospacing="0" w:after="0" w:afterAutospacing="0" w:line="300" w:lineRule="exact"/>
              <w:ind w:left="0" w:right="-48" w:rightChars="-20" w:firstLine="0" w:firstLineChars="0"/>
              <w:jc w:val="center"/>
              <w:rPr>
                <w:rFonts w:hint="eastAsia"/>
                <w:b/>
                <w:kern w:val="0"/>
                <w:sz w:val="21"/>
                <w:szCs w:val="21"/>
                <w:lang w:eastAsia="zh-CN"/>
              </w:rPr>
            </w:pPr>
            <w:r>
              <w:rPr>
                <w:rFonts w:hint="eastAsia"/>
                <w:b/>
                <w:kern w:val="0"/>
                <w:sz w:val="21"/>
                <w:szCs w:val="21"/>
                <w:lang w:eastAsia="zh-CN"/>
              </w:rPr>
              <w:t>2022/01/03</w:t>
            </w:r>
          </w:p>
        </w:tc>
        <w:tc>
          <w:tcPr>
            <w:tcW w:w="830" w:type="dxa"/>
            <w:vAlign w:val="center"/>
          </w:tcPr>
          <w:p>
            <w:pPr>
              <w:keepNext w:val="0"/>
              <w:keepLines w:val="0"/>
              <w:suppressLineNumbers w:val="0"/>
              <w:spacing w:before="0" w:beforeAutospacing="0" w:after="0" w:afterAutospacing="0" w:line="300" w:lineRule="exact"/>
              <w:ind w:left="0" w:right="-48" w:rightChars="-2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2022/01/04</w:t>
            </w:r>
          </w:p>
        </w:tc>
        <w:tc>
          <w:tcPr>
            <w:tcW w:w="829" w:type="dxa"/>
            <w:vAlign w:val="center"/>
          </w:tcPr>
          <w:p>
            <w:pPr>
              <w:keepNext w:val="0"/>
              <w:keepLines w:val="0"/>
              <w:suppressLineNumbers w:val="0"/>
              <w:spacing w:before="0" w:beforeAutospacing="0" w:after="0" w:afterAutospacing="0" w:line="300" w:lineRule="exact"/>
              <w:ind w:left="0" w:right="-48" w:rightChars="-2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2022/01/05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66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水温（℃）</w:t>
            </w:r>
          </w:p>
        </w:tc>
        <w:tc>
          <w:tcPr>
            <w:tcW w:w="848" w:type="dxa"/>
            <w:vAlign w:val="center"/>
          </w:tcPr>
          <w:p>
            <w:pPr>
              <w:keepNext w:val="0"/>
              <w:keepLines w:val="0"/>
              <w:suppressLineNumbers w:val="0"/>
              <w:spacing w:before="0" w:beforeAutospacing="0" w:after="0" w:afterAutospacing="0" w:line="300" w:lineRule="exact"/>
              <w:ind w:left="0" w:right="-24" w:rightChars="-10"/>
              <w:jc w:val="center"/>
              <w:rPr>
                <w:rFonts w:hint="eastAsia" w:hAnsi="Times New Roman" w:eastAsia="宋体"/>
                <w:kern w:val="2"/>
                <w:sz w:val="21"/>
                <w:szCs w:val="21"/>
                <w:lang w:eastAsia="zh-CN"/>
              </w:rPr>
            </w:pPr>
            <w:r>
              <w:rPr>
                <w:rFonts w:hint="eastAsia" w:hAnsi="Times New Roman" w:eastAsia="宋体"/>
                <w:kern w:val="2"/>
                <w:sz w:val="21"/>
                <w:szCs w:val="21"/>
                <w:lang w:eastAsia="zh-CN"/>
              </w:rPr>
              <w:t>8.6</w:t>
            </w:r>
          </w:p>
        </w:tc>
        <w:tc>
          <w:tcPr>
            <w:tcW w:w="846" w:type="dxa"/>
            <w:vAlign w:val="center"/>
          </w:tcPr>
          <w:p>
            <w:pPr>
              <w:keepNext w:val="0"/>
              <w:keepLines w:val="0"/>
              <w:suppressLineNumbers w:val="0"/>
              <w:spacing w:before="0" w:beforeAutospacing="0" w:after="0" w:afterAutospacing="0" w:line="300" w:lineRule="exact"/>
              <w:ind w:left="0" w:right="-24" w:rightChars="-1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5.4</w:t>
            </w:r>
          </w:p>
        </w:tc>
        <w:tc>
          <w:tcPr>
            <w:tcW w:w="850" w:type="dxa"/>
            <w:vAlign w:val="center"/>
          </w:tcPr>
          <w:p>
            <w:pPr>
              <w:keepNext w:val="0"/>
              <w:keepLines w:val="0"/>
              <w:suppressLineNumbers w:val="0"/>
              <w:spacing w:before="0" w:beforeAutospacing="0" w:after="0" w:afterAutospacing="0" w:line="300" w:lineRule="exact"/>
              <w:ind w:left="0" w:right="-24" w:rightChars="-10"/>
              <w:jc w:val="center"/>
              <w:rPr>
                <w:rFonts w:hint="eastAsia" w:hAnsi="Times New Roman" w:eastAsia="宋体"/>
                <w:kern w:val="2"/>
                <w:sz w:val="21"/>
                <w:szCs w:val="21"/>
                <w:lang w:eastAsia="zh-CN"/>
              </w:rPr>
            </w:pPr>
            <w:r>
              <w:rPr>
                <w:rFonts w:hint="eastAsia" w:hAnsi="Times New Roman" w:eastAsia="宋体"/>
                <w:kern w:val="2"/>
                <w:sz w:val="21"/>
                <w:szCs w:val="21"/>
                <w:lang w:eastAsia="zh-CN"/>
              </w:rPr>
              <w:t>7.6</w:t>
            </w:r>
          </w:p>
        </w:tc>
        <w:tc>
          <w:tcPr>
            <w:tcW w:w="848" w:type="dxa"/>
            <w:vAlign w:val="center"/>
          </w:tcPr>
          <w:p>
            <w:pPr>
              <w:keepNext w:val="0"/>
              <w:keepLines w:val="0"/>
              <w:suppressLineNumbers w:val="0"/>
              <w:spacing w:before="0" w:beforeAutospacing="0" w:after="0" w:afterAutospacing="0" w:line="300" w:lineRule="exact"/>
              <w:ind w:left="0" w:right="-24" w:rightChars="-10"/>
              <w:jc w:val="center"/>
              <w:rPr>
                <w:rFonts w:hint="eastAsia" w:hAnsi="Times New Roman" w:eastAsia="宋体"/>
                <w:kern w:val="2"/>
                <w:sz w:val="21"/>
                <w:szCs w:val="21"/>
                <w:lang w:eastAsia="zh-CN"/>
              </w:rPr>
            </w:pPr>
            <w:r>
              <w:rPr>
                <w:rFonts w:hint="eastAsia" w:hAnsi="Times New Roman" w:eastAsia="宋体"/>
                <w:kern w:val="2"/>
                <w:sz w:val="21"/>
                <w:szCs w:val="21"/>
                <w:lang w:eastAsia="zh-CN"/>
              </w:rPr>
              <w:t>8.5</w:t>
            </w:r>
          </w:p>
        </w:tc>
        <w:tc>
          <w:tcPr>
            <w:tcW w:w="846" w:type="dxa"/>
            <w:vAlign w:val="center"/>
          </w:tcPr>
          <w:p>
            <w:pPr>
              <w:keepNext w:val="0"/>
              <w:keepLines w:val="0"/>
              <w:suppressLineNumbers w:val="0"/>
              <w:spacing w:before="0" w:beforeAutospacing="0" w:after="0" w:afterAutospacing="0" w:line="300" w:lineRule="exact"/>
              <w:ind w:left="0" w:right="-24" w:rightChars="-1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5.5</w:t>
            </w:r>
          </w:p>
        </w:tc>
        <w:tc>
          <w:tcPr>
            <w:tcW w:w="850" w:type="dxa"/>
            <w:vAlign w:val="center"/>
          </w:tcPr>
          <w:p>
            <w:pPr>
              <w:keepNext w:val="0"/>
              <w:keepLines w:val="0"/>
              <w:suppressLineNumbers w:val="0"/>
              <w:spacing w:before="0" w:beforeAutospacing="0" w:after="0" w:afterAutospacing="0" w:line="300" w:lineRule="exact"/>
              <w:ind w:left="0" w:right="-24" w:rightChars="-10"/>
              <w:jc w:val="center"/>
              <w:rPr>
                <w:rFonts w:hint="eastAsia" w:hAnsi="Times New Roman" w:eastAsia="宋体"/>
                <w:kern w:val="2"/>
                <w:sz w:val="21"/>
                <w:szCs w:val="21"/>
                <w:lang w:eastAsia="zh-CN"/>
              </w:rPr>
            </w:pPr>
            <w:r>
              <w:rPr>
                <w:rFonts w:hint="eastAsia" w:hAnsi="Times New Roman" w:eastAsia="宋体"/>
                <w:kern w:val="2"/>
                <w:sz w:val="21"/>
                <w:szCs w:val="21"/>
                <w:lang w:eastAsia="zh-CN"/>
              </w:rPr>
              <w:t>7.6</w:t>
            </w:r>
          </w:p>
        </w:tc>
        <w:tc>
          <w:tcPr>
            <w:tcW w:w="830" w:type="dxa"/>
            <w:vAlign w:val="center"/>
          </w:tcPr>
          <w:p>
            <w:pPr>
              <w:keepNext w:val="0"/>
              <w:keepLines w:val="0"/>
              <w:suppressLineNumbers w:val="0"/>
              <w:spacing w:before="0" w:beforeAutospacing="0" w:after="0" w:afterAutospacing="0" w:line="300" w:lineRule="exact"/>
              <w:ind w:left="0" w:right="-24" w:rightChars="-10"/>
              <w:jc w:val="center"/>
              <w:rPr>
                <w:rFonts w:hint="eastAsia" w:hAnsi="Times New Roman" w:eastAsia="宋体"/>
                <w:kern w:val="2"/>
                <w:sz w:val="21"/>
                <w:szCs w:val="21"/>
                <w:lang w:eastAsia="zh-CN"/>
              </w:rPr>
            </w:pPr>
            <w:r>
              <w:rPr>
                <w:rFonts w:hint="eastAsia" w:hAnsi="Times New Roman" w:eastAsia="宋体"/>
                <w:kern w:val="2"/>
                <w:sz w:val="21"/>
                <w:szCs w:val="21"/>
                <w:lang w:eastAsia="zh-CN"/>
              </w:rPr>
              <w:t>8.9</w:t>
            </w:r>
          </w:p>
        </w:tc>
        <w:tc>
          <w:tcPr>
            <w:tcW w:w="830" w:type="dxa"/>
            <w:vAlign w:val="center"/>
          </w:tcPr>
          <w:p>
            <w:pPr>
              <w:keepNext w:val="0"/>
              <w:keepLines w:val="0"/>
              <w:suppressLineNumbers w:val="0"/>
              <w:spacing w:before="0" w:beforeAutospacing="0" w:after="0" w:afterAutospacing="0" w:line="300" w:lineRule="exact"/>
              <w:ind w:left="0" w:right="-24" w:rightChars="-1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5.6</w:t>
            </w:r>
          </w:p>
        </w:tc>
        <w:tc>
          <w:tcPr>
            <w:tcW w:w="829" w:type="dxa"/>
            <w:vAlign w:val="center"/>
          </w:tcPr>
          <w:p>
            <w:pPr>
              <w:keepNext w:val="0"/>
              <w:keepLines w:val="0"/>
              <w:suppressLineNumbers w:val="0"/>
              <w:spacing w:before="0" w:beforeAutospacing="0" w:after="0" w:afterAutospacing="0" w:line="300" w:lineRule="exact"/>
              <w:ind w:left="0" w:right="-24" w:rightChars="-10"/>
              <w:jc w:val="center"/>
              <w:rPr>
                <w:rFonts w:hint="eastAsia" w:hAnsi="Times New Roman" w:eastAsia="宋体"/>
                <w:kern w:val="2"/>
                <w:sz w:val="21"/>
                <w:szCs w:val="21"/>
                <w:lang w:eastAsia="zh-CN"/>
              </w:rPr>
            </w:pPr>
            <w:r>
              <w:rPr>
                <w:rFonts w:hint="eastAsia" w:hAnsi="Times New Roman" w:eastAsia="宋体"/>
                <w:kern w:val="2"/>
                <w:sz w:val="21"/>
                <w:szCs w:val="21"/>
                <w:lang w:eastAsia="zh-CN"/>
              </w:rPr>
              <w:t>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66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流速（m/s）</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0.23</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0.19</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0.20</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0.22</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0.20</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0.22</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0.20</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0.22</w:t>
            </w:r>
          </w:p>
        </w:tc>
        <w:tc>
          <w:tcPr>
            <w:tcW w:w="82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66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流量（m</w:t>
            </w:r>
            <w:r>
              <w:rPr>
                <w:rFonts w:hint="eastAsia" w:hAnsi="Times New Roman" w:eastAsia="宋体"/>
                <w:kern w:val="2"/>
                <w:sz w:val="21"/>
                <w:szCs w:val="21"/>
                <w:vertAlign w:val="superscript"/>
                <w:lang w:eastAsia="zh-CN"/>
              </w:rPr>
              <w:t>3</w:t>
            </w:r>
            <w:r>
              <w:rPr>
                <w:rFonts w:hint="eastAsia" w:hAnsi="Times New Roman" w:eastAsia="宋体"/>
                <w:kern w:val="2"/>
                <w:sz w:val="21"/>
                <w:szCs w:val="21"/>
                <w:lang w:eastAsia="zh-CN"/>
              </w:rPr>
              <w:t>/h）</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4968</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4104</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4320</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5068</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4608</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4942</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4608</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4752</w:t>
            </w:r>
          </w:p>
        </w:tc>
        <w:tc>
          <w:tcPr>
            <w:tcW w:w="82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4536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66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pH（无量纲）</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7.5</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7.3</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7.2</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7.4</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7.3</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7.3</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7.6</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7.4</w:t>
            </w:r>
          </w:p>
        </w:tc>
        <w:tc>
          <w:tcPr>
            <w:tcW w:w="82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66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悬浮物</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38</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40</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37</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29</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30</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27</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36</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40</w:t>
            </w:r>
          </w:p>
        </w:tc>
        <w:tc>
          <w:tcPr>
            <w:tcW w:w="82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66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化学需氧量</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20</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18</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17</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14</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14</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16</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19</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15</w:t>
            </w:r>
          </w:p>
        </w:tc>
        <w:tc>
          <w:tcPr>
            <w:tcW w:w="82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66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五日生化需氧量</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3.3</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3.7</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3.4</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3.6</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3.9</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3.3</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2.9</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3.3</w:t>
            </w:r>
          </w:p>
        </w:tc>
        <w:tc>
          <w:tcPr>
            <w:tcW w:w="82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66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氨氮</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0.625</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0.583</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0.514</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0.605</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0.561</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0.483</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0.636</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0.505</w:t>
            </w:r>
          </w:p>
        </w:tc>
        <w:tc>
          <w:tcPr>
            <w:tcW w:w="82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0.558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66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溶解氧</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6.8</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6.9</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6.8</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6.9</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7.0</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6.8</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6.9</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7.0</w:t>
            </w:r>
          </w:p>
        </w:tc>
        <w:tc>
          <w:tcPr>
            <w:tcW w:w="82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66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石油类</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0.01L</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0.01L</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0.01L</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0.01L</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0.01L</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0.01L</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0.01L</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0.01L</w:t>
            </w:r>
          </w:p>
        </w:tc>
        <w:tc>
          <w:tcPr>
            <w:tcW w:w="82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0.01L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66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铁</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0.02L</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0.02L</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0.02L</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0.02L</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0.02L</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0.02L</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0.02L</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0.02L</w:t>
            </w:r>
          </w:p>
        </w:tc>
        <w:tc>
          <w:tcPr>
            <w:tcW w:w="82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0.02L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66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锰</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0.004L</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0.004L</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0.004L</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0.004L</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0.004L</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0.004L</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0.004L</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0.004L</w:t>
            </w:r>
          </w:p>
        </w:tc>
        <w:tc>
          <w:tcPr>
            <w:tcW w:w="82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0.004L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66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氟化物</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0.089</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0.164</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0.090</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0.063</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0.088</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0.030</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0.033</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0.039</w:t>
            </w:r>
          </w:p>
        </w:tc>
        <w:tc>
          <w:tcPr>
            <w:tcW w:w="82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66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硫化物</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0.005L</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0.005L</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0.005L</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0.005L</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0.005L</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0.005L</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0.005L</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0.005L</w:t>
            </w:r>
          </w:p>
        </w:tc>
        <w:tc>
          <w:tcPr>
            <w:tcW w:w="82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0.005L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66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汞</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0.0000015L</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0.0000015L</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0.0000015L</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0.0000015L</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0.0000015L</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0.0000015L</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0.0000015L</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0.0000015L</w:t>
            </w:r>
          </w:p>
        </w:tc>
        <w:tc>
          <w:tcPr>
            <w:tcW w:w="82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0.0000015L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66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镉</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0.0010</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0.0011</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0.0011</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0.0022</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0.0031</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0.0042</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0.0014</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0.0015</w:t>
            </w:r>
          </w:p>
        </w:tc>
        <w:tc>
          <w:tcPr>
            <w:tcW w:w="82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66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六价铬</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0.004L</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0.004L</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0.004L</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0.004L</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0.004L</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0.004L</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0.004L</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0.004L</w:t>
            </w:r>
          </w:p>
        </w:tc>
        <w:tc>
          <w:tcPr>
            <w:tcW w:w="82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0.004L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66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总磷</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0.16</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0.14</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0.13</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0.12</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0.13</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0.09</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0.09</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0.07</w:t>
            </w:r>
          </w:p>
        </w:tc>
        <w:tc>
          <w:tcPr>
            <w:tcW w:w="82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66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总氮</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2.94</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3.17</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3.14</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3.01</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3.26</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2.90</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3.23</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3.40</w:t>
            </w:r>
          </w:p>
        </w:tc>
        <w:tc>
          <w:tcPr>
            <w:tcW w:w="82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66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氯化物</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10.9</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10.3</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10.5</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10.5</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11.0</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11.1</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10.0</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10.6</w:t>
            </w:r>
          </w:p>
        </w:tc>
        <w:tc>
          <w:tcPr>
            <w:tcW w:w="82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66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硫酸盐</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4.98</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5.12</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2.15</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5.27</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15.9</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2.17</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5.41</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5.36</w:t>
            </w:r>
          </w:p>
        </w:tc>
        <w:tc>
          <w:tcPr>
            <w:tcW w:w="82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66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硝酸盐</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2.09</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2.14</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2.31</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2.08</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2.17</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2.37</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1.99</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2.08</w:t>
            </w:r>
          </w:p>
        </w:tc>
        <w:tc>
          <w:tcPr>
            <w:tcW w:w="82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66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挥发酚</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0.0003L</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0.0003L</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0.0003L</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0.0003L</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0.0003L</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0.0003L</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0.0003L</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0.0003L</w:t>
            </w:r>
          </w:p>
        </w:tc>
        <w:tc>
          <w:tcPr>
            <w:tcW w:w="82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0.0003L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66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氰化物</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0.001L</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0.001L</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0.001L</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0.001L</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0.001L</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0.001L</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0.001L</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0.001L</w:t>
            </w:r>
          </w:p>
        </w:tc>
        <w:tc>
          <w:tcPr>
            <w:tcW w:w="82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0.001L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66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铜</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0.006L</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0.006L</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0.006L</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0.006L</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0.006L</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0.006L</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0.006L</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0.006L</w:t>
            </w:r>
          </w:p>
        </w:tc>
        <w:tc>
          <w:tcPr>
            <w:tcW w:w="82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0.006L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66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硒</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0.0004L</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0.0004L</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0.0004L</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0.0004L</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0.0004L</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0.0004L</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0.0004L</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0.0004L</w:t>
            </w:r>
          </w:p>
        </w:tc>
        <w:tc>
          <w:tcPr>
            <w:tcW w:w="82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0.0004L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66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粪大肠菌群（MPN/L）</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5.4×103</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9.2×103</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4.3×103</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2.5×103</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3.5×103</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2.8×103</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5.4×103</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9.2×103</w:t>
            </w:r>
          </w:p>
        </w:tc>
        <w:tc>
          <w:tcPr>
            <w:tcW w:w="82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3.5×103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66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阴离子表面活性剂</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0.05L</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0.05L</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0.05L</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0.05L</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0.05L</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0.05L</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0.05L</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0.05L</w:t>
            </w:r>
          </w:p>
        </w:tc>
        <w:tc>
          <w:tcPr>
            <w:tcW w:w="82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0.05L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66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高锰酸盐指数</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5.5</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5.6</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5.7</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5.6</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5.8</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5.9</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5.5</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5.6</w:t>
            </w:r>
          </w:p>
        </w:tc>
        <w:tc>
          <w:tcPr>
            <w:tcW w:w="82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66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蛔虫卵数（个/10L）</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5L</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5L</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5L</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5L</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5L</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5L</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5L</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5L</w:t>
            </w:r>
          </w:p>
        </w:tc>
        <w:tc>
          <w:tcPr>
            <w:tcW w:w="82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66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铅</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0.005</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0.007</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0.009</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0.008</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0.013</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0.016</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0.006</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0.008</w:t>
            </w:r>
          </w:p>
        </w:tc>
        <w:tc>
          <w:tcPr>
            <w:tcW w:w="82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66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砷</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0.0003L</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0.0003L</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0.0003L</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0.0003L</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0.0003L</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0.0003L</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0.0003L</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0.0003L</w:t>
            </w:r>
          </w:p>
        </w:tc>
        <w:tc>
          <w:tcPr>
            <w:tcW w:w="82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0.0003L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66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锌</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0.004L</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0.004L</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0.004L</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0.004L</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0.004L</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0.004L</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0.004L</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0.004L</w:t>
            </w:r>
          </w:p>
        </w:tc>
        <w:tc>
          <w:tcPr>
            <w:tcW w:w="82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0.004L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66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含盐量</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463</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376</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373</w:t>
            </w:r>
          </w:p>
        </w:tc>
        <w:tc>
          <w:tcPr>
            <w:tcW w:w="84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564</w:t>
            </w:r>
          </w:p>
        </w:tc>
        <w:tc>
          <w:tcPr>
            <w:tcW w:w="846"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542</w:t>
            </w:r>
          </w:p>
        </w:tc>
        <w:tc>
          <w:tcPr>
            <w:tcW w:w="85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647</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633</w:t>
            </w:r>
          </w:p>
        </w:tc>
        <w:tc>
          <w:tcPr>
            <w:tcW w:w="83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392</w:t>
            </w:r>
          </w:p>
        </w:tc>
        <w:tc>
          <w:tcPr>
            <w:tcW w:w="82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429</w:t>
            </w:r>
          </w:p>
        </w:tc>
      </w:tr>
    </w:tbl>
    <w:p>
      <w:pPr>
        <w:spacing w:line="360" w:lineRule="auto"/>
        <w:ind w:firstLine="482" w:firstLineChars="200"/>
        <w:rPr>
          <w:rFonts w:hAnsi="Times New Roman" w:eastAsia="宋体"/>
          <w:b/>
          <w:bCs/>
          <w:lang w:eastAsia="zh-CN"/>
        </w:rPr>
      </w:pPr>
      <w:r>
        <w:rPr>
          <w:rFonts w:hAnsi="Times New Roman" w:eastAsia="宋体"/>
          <w:b/>
          <w:bCs/>
          <w:lang w:eastAsia="zh-CN"/>
        </w:rPr>
        <w:t>（3）现状评价</w:t>
      </w:r>
    </w:p>
    <w:p>
      <w:pPr>
        <w:spacing w:line="360" w:lineRule="auto"/>
        <w:ind w:firstLine="482" w:firstLineChars="200"/>
        <w:rPr>
          <w:rFonts w:hAnsi="Times New Roman" w:eastAsia="宋体"/>
          <w:b/>
          <w:bCs/>
          <w:lang w:eastAsia="zh-CN"/>
        </w:rPr>
      </w:pPr>
      <w:r>
        <w:rPr>
          <w:rFonts w:hAnsi="Times New Roman" w:eastAsia="宋体"/>
          <w:b/>
          <w:bCs/>
          <w:lang w:eastAsia="zh-CN"/>
        </w:rPr>
        <w:t>①评价方法</w:t>
      </w:r>
    </w:p>
    <w:p>
      <w:pPr>
        <w:spacing w:line="360" w:lineRule="auto"/>
        <w:ind w:firstLine="480" w:firstLineChars="200"/>
        <w:rPr>
          <w:rFonts w:hAnsi="Times New Roman" w:eastAsia="宋体"/>
          <w:szCs w:val="24"/>
          <w:lang w:eastAsia="zh-CN"/>
        </w:rPr>
      </w:pPr>
      <w:r>
        <w:rPr>
          <w:rFonts w:hAnsi="Times New Roman" w:eastAsia="宋体"/>
          <w:szCs w:val="24"/>
          <w:lang w:eastAsia="zh-CN"/>
        </w:rPr>
        <w:t>根据《环境影响评价技术导则-地面水环境》（HJ2.3-2018），本次地面水环境影响评价采用水质指数法评价。其计算公式为：</w:t>
      </w:r>
    </w:p>
    <w:p>
      <w:pPr>
        <w:spacing w:line="360" w:lineRule="auto"/>
        <w:ind w:firstLine="480" w:firstLineChars="200"/>
        <w:rPr>
          <w:rFonts w:hAnsi="Times New Roman" w:eastAsia="宋体"/>
          <w:szCs w:val="24"/>
          <w:lang w:eastAsia="zh-CN"/>
        </w:rPr>
      </w:pPr>
      <w:r>
        <w:rPr>
          <w:rFonts w:hAnsi="Times New Roman" w:eastAsia="宋体"/>
          <w:szCs w:val="24"/>
          <w:lang w:eastAsia="zh-CN"/>
        </w:rPr>
        <w:t>一般性水质因子的指数计算公式为：</w:t>
      </w:r>
    </w:p>
    <w:p>
      <w:pPr>
        <w:spacing w:line="360" w:lineRule="auto"/>
        <w:ind w:firstLine="482" w:firstLineChars="200"/>
        <w:rPr>
          <w:rFonts w:hAnsi="Times New Roman" w:eastAsia="宋体"/>
          <w:szCs w:val="24"/>
          <w:lang w:eastAsia="zh-CN"/>
        </w:rPr>
      </w:pPr>
      <w:r>
        <w:rPr>
          <w:rFonts w:hAnsi="Times New Roman" w:eastAsia="宋体"/>
          <w:b/>
          <w:bCs/>
          <w:szCs w:val="24"/>
          <w:lang w:eastAsia="zh-CN"/>
        </w:rPr>
        <w:t>a.对于一般污染物：</w:t>
      </w:r>
    </w:p>
    <w:p>
      <w:pPr>
        <w:spacing w:line="360" w:lineRule="auto"/>
        <w:ind w:firstLine="480" w:firstLineChars="200"/>
        <w:rPr>
          <w:rFonts w:hAnsi="Times New Roman" w:eastAsia="宋体"/>
          <w:szCs w:val="24"/>
          <w:lang w:eastAsia="zh-CN"/>
        </w:rPr>
      </w:pPr>
      <m:oMathPara>
        <m:oMath>
          <m:sSub>
            <m:sSubPr>
              <m:ctrlPr>
                <w:rPr>
                  <w:rFonts w:ascii="Cambria Math" w:hAnsi="Cambria Math" w:eastAsia="宋体"/>
                  <w:szCs w:val="24"/>
                  <w:lang w:eastAsia="zh-CN"/>
                </w:rPr>
              </m:ctrlPr>
            </m:sSubPr>
            <m:e>
              <m:r>
                <m:rPr>
                  <m:sty m:val="p"/>
                </m:rPr>
                <w:rPr>
                  <w:rFonts w:ascii="Cambria Math" w:hAnsi="Cambria Math" w:eastAsia="宋体"/>
                  <w:szCs w:val="24"/>
                  <w:lang w:eastAsia="zh-CN"/>
                </w:rPr>
                <m:t>S</m:t>
              </m:r>
              <m:ctrlPr>
                <w:rPr>
                  <w:rFonts w:ascii="Cambria Math" w:hAnsi="Cambria Math" w:eastAsia="宋体"/>
                  <w:szCs w:val="24"/>
                  <w:lang w:eastAsia="zh-CN"/>
                </w:rPr>
              </m:ctrlPr>
            </m:e>
            <m:sub>
              <m:r>
                <m:rPr>
                  <m:sty m:val="p"/>
                </m:rPr>
                <w:rPr>
                  <w:rFonts w:ascii="Cambria Math" w:hAnsi="Cambria Math" w:eastAsia="宋体"/>
                  <w:szCs w:val="24"/>
                  <w:lang w:eastAsia="zh-CN"/>
                </w:rPr>
                <m:t>ij</m:t>
              </m:r>
              <m:ctrlPr>
                <w:rPr>
                  <w:rFonts w:ascii="Cambria Math" w:hAnsi="Cambria Math" w:eastAsia="宋体"/>
                  <w:szCs w:val="24"/>
                  <w:lang w:eastAsia="zh-CN"/>
                </w:rPr>
              </m:ctrlPr>
            </m:sub>
          </m:sSub>
          <m:r>
            <m:rPr>
              <m:sty m:val="p"/>
            </m:rPr>
            <w:rPr>
              <w:rFonts w:ascii="Cambria Math" w:hAnsi="Cambria Math" w:eastAsia="宋体"/>
              <w:szCs w:val="24"/>
              <w:lang w:eastAsia="zh-CN"/>
            </w:rPr>
            <m:t>=</m:t>
          </m:r>
          <m:box>
            <m:boxPr>
              <m:ctrlPr>
                <w:rPr>
                  <w:rFonts w:ascii="Cambria Math" w:hAnsi="Cambria Math" w:eastAsia="宋体"/>
                  <w:szCs w:val="24"/>
                  <w:lang w:eastAsia="zh-CN"/>
                </w:rPr>
              </m:ctrlPr>
            </m:boxPr>
            <m:e>
              <m:argPr>
                <m:argSz m:val="-1"/>
              </m:argPr>
              <m:f>
                <m:fPr>
                  <m:ctrlPr>
                    <w:rPr>
                      <w:rFonts w:ascii="Cambria Math" w:hAnsi="Cambria Math" w:eastAsia="宋体"/>
                      <w:szCs w:val="24"/>
                      <w:lang w:eastAsia="zh-CN"/>
                    </w:rPr>
                  </m:ctrlPr>
                </m:fPr>
                <m:num>
                  <m:sSub>
                    <m:sSubPr>
                      <m:ctrlPr>
                        <w:rPr>
                          <w:rFonts w:ascii="Cambria Math" w:hAnsi="Cambria Math" w:eastAsia="宋体"/>
                          <w:szCs w:val="24"/>
                          <w:lang w:eastAsia="zh-CN"/>
                        </w:rPr>
                      </m:ctrlPr>
                    </m:sSubPr>
                    <m:e>
                      <m:r>
                        <m:rPr>
                          <m:sty m:val="p"/>
                        </m:rPr>
                        <w:rPr>
                          <w:rFonts w:ascii="Cambria Math" w:hAnsi="Cambria Math" w:eastAsia="宋体"/>
                          <w:szCs w:val="24"/>
                          <w:lang w:eastAsia="zh-CN"/>
                        </w:rPr>
                        <m:t>C</m:t>
                      </m:r>
                      <m:ctrlPr>
                        <w:rPr>
                          <w:rFonts w:ascii="Cambria Math" w:hAnsi="Cambria Math" w:eastAsia="宋体"/>
                          <w:szCs w:val="24"/>
                          <w:lang w:eastAsia="zh-CN"/>
                        </w:rPr>
                      </m:ctrlPr>
                    </m:e>
                    <m:sub>
                      <m:r>
                        <m:rPr>
                          <m:sty m:val="p"/>
                        </m:rPr>
                        <w:rPr>
                          <w:rFonts w:ascii="Cambria Math" w:hAnsi="Cambria Math" w:eastAsia="宋体"/>
                          <w:szCs w:val="24"/>
                          <w:lang w:eastAsia="zh-CN"/>
                        </w:rPr>
                        <m:t>ij</m:t>
                      </m:r>
                      <m:ctrlPr>
                        <w:rPr>
                          <w:rFonts w:ascii="Cambria Math" w:hAnsi="Cambria Math" w:eastAsia="宋体"/>
                          <w:szCs w:val="24"/>
                          <w:lang w:eastAsia="zh-CN"/>
                        </w:rPr>
                      </m:ctrlPr>
                    </m:sub>
                  </m:sSub>
                  <m:ctrlPr>
                    <w:rPr>
                      <w:rFonts w:ascii="Cambria Math" w:hAnsi="Cambria Math" w:eastAsia="宋体"/>
                      <w:szCs w:val="24"/>
                      <w:lang w:eastAsia="zh-CN"/>
                    </w:rPr>
                  </m:ctrlPr>
                </m:num>
                <m:den>
                  <m:r>
                    <m:rPr>
                      <m:sty m:val="p"/>
                    </m:rPr>
                    <w:rPr>
                      <w:rFonts w:ascii="Cambria Math" w:hAnsi="Cambria Math" w:eastAsia="宋体"/>
                      <w:szCs w:val="24"/>
                      <w:lang w:eastAsia="zh-CN"/>
                    </w:rPr>
                    <m:t>Csi</m:t>
                  </m:r>
                  <m:ctrlPr>
                    <w:rPr>
                      <w:rFonts w:ascii="Cambria Math" w:hAnsi="Cambria Math" w:eastAsia="宋体"/>
                      <w:szCs w:val="24"/>
                      <w:lang w:eastAsia="zh-CN"/>
                    </w:rPr>
                  </m:ctrlPr>
                </m:den>
              </m:f>
              <m:ctrlPr>
                <w:rPr>
                  <w:rFonts w:ascii="Cambria Math" w:hAnsi="Cambria Math" w:eastAsia="宋体"/>
                  <w:szCs w:val="24"/>
                  <w:lang w:eastAsia="zh-CN"/>
                </w:rPr>
              </m:ctrlPr>
            </m:e>
          </m:box>
        </m:oMath>
      </m:oMathPara>
    </w:p>
    <w:p>
      <w:pPr>
        <w:spacing w:line="360" w:lineRule="auto"/>
        <w:ind w:firstLine="480" w:firstLineChars="200"/>
        <w:rPr>
          <w:rFonts w:hAnsi="Times New Roman" w:eastAsia="宋体"/>
          <w:szCs w:val="24"/>
          <w:lang w:eastAsia="zh-CN"/>
        </w:rPr>
      </w:pPr>
      <w:r>
        <w:rPr>
          <w:rFonts w:hAnsi="Times New Roman" w:eastAsia="宋体"/>
          <w:szCs w:val="24"/>
          <w:lang w:eastAsia="zh-CN"/>
        </w:rPr>
        <w:t>式中：Si，j——单项水质因子i在第j点的标准指数；</w:t>
      </w:r>
    </w:p>
    <w:p>
      <w:pPr>
        <w:spacing w:line="360" w:lineRule="auto"/>
        <w:ind w:firstLine="480" w:firstLineChars="200"/>
        <w:rPr>
          <w:rFonts w:hAnsi="Times New Roman" w:eastAsia="宋体"/>
          <w:szCs w:val="24"/>
          <w:lang w:eastAsia="zh-CN"/>
        </w:rPr>
      </w:pPr>
      <w:r>
        <w:rPr>
          <w:rFonts w:hAnsi="Times New Roman" w:eastAsia="宋体"/>
          <w:szCs w:val="24"/>
          <w:lang w:eastAsia="zh-CN"/>
        </w:rPr>
        <w:t>Ci，j——（i，j）点的评价因子水质浓度或水质因子i在监测点（或预测</w:t>
      </w:r>
    </w:p>
    <w:p>
      <w:pPr>
        <w:spacing w:line="360" w:lineRule="auto"/>
        <w:ind w:firstLine="480" w:firstLineChars="200"/>
        <w:rPr>
          <w:rFonts w:hAnsi="Times New Roman" w:eastAsia="宋体"/>
          <w:szCs w:val="24"/>
          <w:lang w:eastAsia="zh-CN"/>
        </w:rPr>
      </w:pPr>
      <w:r>
        <w:rPr>
          <w:rFonts w:hAnsi="Times New Roman" w:eastAsia="宋体"/>
          <w:szCs w:val="24"/>
          <w:lang w:eastAsia="zh-CN"/>
        </w:rPr>
        <w:t>点）j的水质浓度，mg/L；</w:t>
      </w:r>
    </w:p>
    <w:p>
      <w:pPr>
        <w:spacing w:line="360" w:lineRule="auto"/>
        <w:ind w:firstLine="480" w:firstLineChars="200"/>
        <w:rPr>
          <w:rFonts w:hAnsi="Times New Roman" w:eastAsia="宋体"/>
          <w:szCs w:val="24"/>
          <w:lang w:eastAsia="zh-CN"/>
        </w:rPr>
      </w:pPr>
      <w:r>
        <w:rPr>
          <w:rFonts w:hAnsi="Times New Roman" w:eastAsia="宋体"/>
          <w:szCs w:val="24"/>
          <w:lang w:eastAsia="zh-CN"/>
        </w:rPr>
        <w:t>Csj——水质评价因子i的水质评价标准限值，mg/L。</w:t>
      </w:r>
    </w:p>
    <w:p>
      <w:pPr>
        <w:spacing w:line="360" w:lineRule="auto"/>
        <w:ind w:firstLine="482" w:firstLineChars="200"/>
        <w:rPr>
          <w:rFonts w:hAnsi="Times New Roman" w:eastAsia="宋体"/>
          <w:szCs w:val="24"/>
          <w:lang w:eastAsia="zh-CN"/>
        </w:rPr>
      </w:pPr>
      <w:r>
        <w:rPr>
          <w:rFonts w:hAnsi="Times New Roman" w:eastAsia="宋体"/>
          <w:b/>
          <w:bCs/>
          <w:szCs w:val="24"/>
          <w:lang w:eastAsia="zh-CN"/>
        </w:rPr>
        <w:t>b.对具有上、下限标准值的指标pH，公式为：</w:t>
      </w:r>
    </w:p>
    <w:p>
      <w:pPr>
        <w:spacing w:line="360" w:lineRule="auto"/>
        <w:ind w:firstLine="480" w:firstLineChars="200"/>
        <w:jc w:val="center"/>
        <w:rPr>
          <w:rFonts w:hAnsi="Times New Roman" w:eastAsia="宋体"/>
          <w:szCs w:val="24"/>
          <w:lang w:eastAsia="zh-CN"/>
        </w:rPr>
      </w:pPr>
      <w:r>
        <w:rPr>
          <w:rFonts w:hAnsi="Times New Roman" w:eastAsia="宋体"/>
          <w:szCs w:val="24"/>
          <w:lang w:eastAsia="zh-CN"/>
        </w:rPr>
        <w:t>SpH，j =（7.0-pHj）/（7.0-pHsd）  pHj≤7.0</w:t>
      </w:r>
    </w:p>
    <w:p>
      <w:pPr>
        <w:spacing w:line="360" w:lineRule="auto"/>
        <w:ind w:firstLine="480" w:firstLineChars="200"/>
        <w:jc w:val="center"/>
        <w:rPr>
          <w:rFonts w:hAnsi="Times New Roman" w:eastAsia="宋体"/>
          <w:szCs w:val="24"/>
          <w:lang w:eastAsia="zh-CN"/>
        </w:rPr>
      </w:pPr>
      <w:r>
        <w:rPr>
          <w:rFonts w:hAnsi="Times New Roman" w:eastAsia="宋体"/>
          <w:szCs w:val="24"/>
          <w:lang w:eastAsia="zh-CN"/>
        </w:rPr>
        <w:t>SpH，j =（pHj-7.0）/（pHsu-7.0）  pHj＞7.0</w:t>
      </w:r>
    </w:p>
    <w:p>
      <w:pPr>
        <w:spacing w:line="360" w:lineRule="auto"/>
        <w:ind w:firstLine="480" w:firstLineChars="200"/>
        <w:rPr>
          <w:rFonts w:hAnsi="Times New Roman" w:eastAsia="宋体"/>
          <w:szCs w:val="24"/>
          <w:lang w:eastAsia="zh-CN"/>
        </w:rPr>
      </w:pPr>
      <w:r>
        <w:rPr>
          <w:rFonts w:hAnsi="Times New Roman" w:eastAsia="宋体"/>
          <w:szCs w:val="24"/>
          <w:lang w:eastAsia="zh-CN"/>
        </w:rPr>
        <w:t>式中：SpH，j ——pH值的标准指数；</w:t>
      </w:r>
    </w:p>
    <w:p>
      <w:pPr>
        <w:spacing w:line="360" w:lineRule="auto"/>
        <w:ind w:firstLine="480" w:firstLineChars="200"/>
        <w:rPr>
          <w:rFonts w:hAnsi="Times New Roman" w:eastAsia="宋体"/>
          <w:szCs w:val="24"/>
          <w:lang w:eastAsia="zh-CN"/>
        </w:rPr>
      </w:pPr>
      <w:r>
        <w:rPr>
          <w:rFonts w:hAnsi="Times New Roman" w:eastAsia="宋体"/>
          <w:szCs w:val="24"/>
          <w:lang w:eastAsia="zh-CN"/>
        </w:rPr>
        <w:t>pHj ——pH值实测值；</w:t>
      </w:r>
    </w:p>
    <w:p>
      <w:pPr>
        <w:spacing w:line="360" w:lineRule="auto"/>
        <w:ind w:firstLine="480" w:firstLineChars="200"/>
        <w:rPr>
          <w:rFonts w:hAnsi="Times New Roman" w:eastAsia="宋体"/>
          <w:szCs w:val="24"/>
          <w:lang w:eastAsia="zh-CN"/>
        </w:rPr>
      </w:pPr>
      <w:r>
        <w:rPr>
          <w:rFonts w:hAnsi="Times New Roman" w:eastAsia="宋体"/>
          <w:szCs w:val="24"/>
          <w:lang w:eastAsia="zh-CN"/>
        </w:rPr>
        <w:t>pHsd ——水质标准中规定的pH值下限值；</w:t>
      </w:r>
    </w:p>
    <w:p>
      <w:pPr>
        <w:spacing w:line="360" w:lineRule="auto"/>
        <w:ind w:firstLine="480" w:firstLineChars="200"/>
        <w:rPr>
          <w:rFonts w:hAnsi="Times New Roman" w:eastAsia="宋体"/>
          <w:szCs w:val="24"/>
          <w:lang w:eastAsia="zh-CN"/>
        </w:rPr>
      </w:pPr>
      <w:r>
        <w:rPr>
          <w:rFonts w:hAnsi="Times New Roman" w:eastAsia="宋体"/>
          <w:szCs w:val="24"/>
          <w:lang w:eastAsia="zh-CN"/>
        </w:rPr>
        <w:t>pHsu ——水质标准中规定的pH值上限值。</w:t>
      </w:r>
    </w:p>
    <w:p>
      <w:pPr>
        <w:snapToGrid w:val="0"/>
        <w:spacing w:line="360" w:lineRule="auto"/>
        <w:ind w:firstLine="482" w:firstLineChars="200"/>
        <w:jc w:val="left"/>
        <w:rPr>
          <w:rFonts w:hAnsi="Times New Roman" w:eastAsia="宋体"/>
          <w:b/>
          <w:bCs/>
        </w:rPr>
      </w:pPr>
      <w:r>
        <w:rPr>
          <w:rFonts w:hAnsi="Times New Roman" w:eastAsia="宋体"/>
          <w:b/>
          <w:bCs/>
          <w:lang w:eastAsia="zh-CN"/>
        </w:rPr>
        <w:t>c.</w:t>
      </w:r>
      <w:r>
        <w:rPr>
          <w:rFonts w:hAnsi="Times New Roman" w:eastAsia="宋体"/>
          <w:b/>
          <w:bCs/>
        </w:rPr>
        <w:t>对</w:t>
      </w:r>
      <w:r>
        <w:rPr>
          <w:rFonts w:hAnsi="Times New Roman" w:eastAsia="宋体"/>
          <w:b/>
          <w:bCs/>
          <w:lang w:eastAsia="zh-CN"/>
        </w:rPr>
        <w:t>溶解氧</w:t>
      </w:r>
      <w:r>
        <w:rPr>
          <w:rFonts w:hAnsi="Times New Roman" w:eastAsia="宋体"/>
          <w:b/>
          <w:bCs/>
        </w:rPr>
        <w:t>，公式为：</w:t>
      </w:r>
    </w:p>
    <w:p>
      <w:pPr>
        <w:pStyle w:val="27"/>
        <w:ind w:left="960" w:hanging="480"/>
        <w:rPr>
          <w:rFonts w:hAnsi="Times New Roman" w:eastAsia="宋体"/>
          <w:lang w:eastAsia="zh-CN"/>
        </w:rPr>
      </w:pPr>
      <w:r>
        <w:rPr>
          <w:rFonts w:hAnsi="Times New Roman" w:eastAsia="宋体"/>
          <w:lang w:eastAsia="zh-CN"/>
        </w:rPr>
        <w:t xml:space="preserve">               </w:t>
      </w:r>
      <w:r>
        <w:rPr>
          <w:rFonts w:hAnsi="Times New Roman" w:eastAsia="宋体"/>
          <w:position w:val="-96"/>
          <w:lang w:eastAsia="zh-CN"/>
        </w:rPr>
        <w:object>
          <v:shape id="_x0000_i1026" o:spt="75" type="#_x0000_t75" style="height:102pt;width:207.4pt;" o:ole="t" filled="f" o:preferrelative="t" stroked="f" coordsize="21600,21600">
            <v:path/>
            <v:fill on="f" focussize="0,0"/>
            <v:stroke on="f" joinstyle="miter"/>
            <v:imagedata r:id="rId68" o:title=""/>
            <o:lock v:ext="edit" aspectratio="t"/>
            <w10:wrap type="none"/>
            <w10:anchorlock/>
          </v:shape>
          <o:OLEObject Type="Embed" ProgID="Equation.KSEE3" ShapeID="_x0000_i1026" DrawAspect="Content" ObjectID="_1468075726" r:id="rId67">
            <o:LockedField>false</o:LockedField>
          </o:OLEObject>
        </w:object>
      </w:r>
    </w:p>
    <w:p>
      <w:pPr>
        <w:snapToGrid w:val="0"/>
        <w:spacing w:line="360" w:lineRule="auto"/>
        <w:ind w:firstLine="480" w:firstLineChars="200"/>
        <w:jc w:val="left"/>
        <w:rPr>
          <w:rFonts w:hAnsi="Times New Roman" w:eastAsia="宋体"/>
        </w:rPr>
      </w:pPr>
      <w:r>
        <w:rPr>
          <w:rFonts w:hAnsi="Times New Roman" w:eastAsia="宋体"/>
        </w:rPr>
        <w:t>式中：</w:t>
      </w:r>
      <w:r>
        <w:rPr>
          <w:rFonts w:hAnsi="Times New Roman" w:eastAsia="宋体"/>
          <w:i/>
        </w:rPr>
        <w:t>S</w:t>
      </w:r>
      <w:r>
        <w:rPr>
          <w:rFonts w:hAnsi="Times New Roman" w:eastAsia="宋体"/>
          <w:vertAlign w:val="subscript"/>
          <w:lang w:eastAsia="zh-CN"/>
        </w:rPr>
        <w:t>DO</w:t>
      </w:r>
      <w:r>
        <w:rPr>
          <w:rFonts w:hAnsi="Times New Roman" w:eastAsia="宋体"/>
          <w:vertAlign w:val="subscript"/>
        </w:rPr>
        <w:t>，</w:t>
      </w:r>
      <w:r>
        <w:rPr>
          <w:rFonts w:hAnsi="Times New Roman" w:eastAsia="宋体"/>
          <w:i/>
          <w:vertAlign w:val="subscript"/>
        </w:rPr>
        <w:t xml:space="preserve">j </w:t>
      </w:r>
      <w:r>
        <w:rPr>
          <w:rFonts w:hAnsi="Times New Roman" w:eastAsia="宋体"/>
        </w:rPr>
        <w:t>——</w:t>
      </w:r>
      <w:r>
        <w:rPr>
          <w:rFonts w:hAnsi="Times New Roman" w:eastAsia="宋体"/>
          <w:lang w:eastAsia="zh-CN"/>
        </w:rPr>
        <w:t>溶解氧</w:t>
      </w:r>
      <w:r>
        <w:rPr>
          <w:rFonts w:hAnsi="Times New Roman" w:eastAsia="宋体"/>
        </w:rPr>
        <w:t>的标准指数</w:t>
      </w:r>
      <w:r>
        <w:rPr>
          <w:rFonts w:hAnsi="Times New Roman" w:eastAsia="宋体"/>
          <w:lang w:eastAsia="zh-CN"/>
        </w:rPr>
        <w:t>，大于1表明该水质超标</w:t>
      </w:r>
      <w:r>
        <w:rPr>
          <w:rFonts w:hAnsi="Times New Roman" w:eastAsia="宋体"/>
        </w:rPr>
        <w:t>；</w:t>
      </w:r>
    </w:p>
    <w:p>
      <w:pPr>
        <w:snapToGrid w:val="0"/>
        <w:spacing w:line="360" w:lineRule="auto"/>
        <w:ind w:firstLine="1200" w:firstLineChars="500"/>
        <w:jc w:val="left"/>
        <w:rPr>
          <w:rFonts w:hAnsi="Times New Roman" w:eastAsia="宋体"/>
        </w:rPr>
      </w:pPr>
      <w:r>
        <w:rPr>
          <w:rFonts w:hAnsi="Times New Roman" w:eastAsia="宋体"/>
          <w:lang w:eastAsia="zh-CN"/>
        </w:rPr>
        <w:t>DO</w:t>
      </w:r>
      <w:r>
        <w:rPr>
          <w:rFonts w:hAnsi="Times New Roman" w:eastAsia="宋体"/>
          <w:vertAlign w:val="subscript"/>
          <w:lang w:eastAsia="zh-CN"/>
        </w:rPr>
        <w:t>j</w:t>
      </w:r>
      <w:r>
        <w:rPr>
          <w:rFonts w:hAnsi="Times New Roman" w:eastAsia="宋体"/>
        </w:rPr>
        <w:t>——</w:t>
      </w:r>
      <w:r>
        <w:rPr>
          <w:rFonts w:hAnsi="Times New Roman" w:eastAsia="宋体"/>
          <w:lang w:eastAsia="zh-CN"/>
        </w:rPr>
        <w:t>溶解氧在j点的实测统计代表值，mg/L</w:t>
      </w:r>
      <w:r>
        <w:rPr>
          <w:rFonts w:hAnsi="Times New Roman" w:eastAsia="宋体"/>
        </w:rPr>
        <w:t>；</w:t>
      </w:r>
    </w:p>
    <w:p>
      <w:pPr>
        <w:snapToGrid w:val="0"/>
        <w:spacing w:line="360" w:lineRule="auto"/>
        <w:ind w:firstLine="1200" w:firstLineChars="500"/>
        <w:jc w:val="left"/>
        <w:rPr>
          <w:rFonts w:hAnsi="Times New Roman" w:eastAsia="宋体"/>
        </w:rPr>
      </w:pPr>
      <w:r>
        <w:rPr>
          <w:rFonts w:hAnsi="Times New Roman" w:eastAsia="宋体"/>
          <w:lang w:eastAsia="zh-CN"/>
        </w:rPr>
        <w:t>DO</w:t>
      </w:r>
      <w:r>
        <w:rPr>
          <w:rFonts w:hAnsi="Times New Roman" w:eastAsia="宋体"/>
          <w:vertAlign w:val="subscript"/>
          <w:lang w:eastAsia="zh-CN"/>
        </w:rPr>
        <w:t>s</w:t>
      </w:r>
      <w:r>
        <w:rPr>
          <w:rFonts w:hAnsi="Times New Roman" w:eastAsia="宋体"/>
        </w:rPr>
        <w:t>——</w:t>
      </w:r>
      <w:r>
        <w:rPr>
          <w:rFonts w:hAnsi="Times New Roman" w:eastAsia="宋体"/>
          <w:lang w:eastAsia="zh-CN"/>
        </w:rPr>
        <w:t>溶解氧的水质评价标准限值，mg/L</w:t>
      </w:r>
      <w:r>
        <w:rPr>
          <w:rFonts w:hAnsi="Times New Roman" w:eastAsia="宋体"/>
        </w:rPr>
        <w:t>；</w:t>
      </w:r>
    </w:p>
    <w:p>
      <w:pPr>
        <w:spacing w:line="360" w:lineRule="auto"/>
        <w:ind w:firstLine="480" w:firstLineChars="200"/>
        <w:rPr>
          <w:rFonts w:hAnsi="Times New Roman" w:eastAsia="宋体"/>
          <w:szCs w:val="24"/>
          <w:lang w:eastAsia="zh-CN"/>
        </w:rPr>
      </w:pPr>
      <w:r>
        <w:rPr>
          <w:rFonts w:hAnsi="Times New Roman" w:eastAsia="宋体"/>
          <w:lang w:eastAsia="zh-CN"/>
        </w:rPr>
        <w:t>DO</w:t>
      </w:r>
      <w:r>
        <w:rPr>
          <w:rFonts w:hAnsi="Times New Roman" w:eastAsia="宋体"/>
          <w:vertAlign w:val="subscript"/>
          <w:lang w:eastAsia="zh-CN"/>
        </w:rPr>
        <w:t>f</w:t>
      </w:r>
      <w:r>
        <w:rPr>
          <w:rFonts w:hAnsi="Times New Roman" w:eastAsia="宋体"/>
        </w:rPr>
        <w:t>——</w:t>
      </w:r>
      <w:r>
        <w:rPr>
          <w:rFonts w:hAnsi="Times New Roman" w:eastAsia="宋体"/>
          <w:lang w:eastAsia="zh-CN"/>
        </w:rPr>
        <w:t>饱和溶解氧浓度，mg/L，对于河流，DO</w:t>
      </w:r>
      <w:r>
        <w:rPr>
          <w:rFonts w:hAnsi="Times New Roman" w:eastAsia="宋体"/>
          <w:vertAlign w:val="subscript"/>
          <w:lang w:eastAsia="zh-CN"/>
        </w:rPr>
        <w:t>f</w:t>
      </w:r>
      <w:r>
        <w:rPr>
          <w:rFonts w:hAnsi="Times New Roman" w:eastAsia="宋体"/>
          <w:lang w:eastAsia="zh-CN"/>
        </w:rPr>
        <w:t>=468/（31.6+T）</w:t>
      </w:r>
      <w:r>
        <w:rPr>
          <w:rFonts w:hAnsi="Times New Roman" w:eastAsia="宋体"/>
        </w:rPr>
        <w:t>。</w:t>
      </w:r>
    </w:p>
    <w:p>
      <w:pPr>
        <w:spacing w:line="360" w:lineRule="auto"/>
        <w:ind w:firstLine="480" w:firstLineChars="200"/>
        <w:rPr>
          <w:rFonts w:hAnsi="Times New Roman" w:eastAsia="宋体"/>
          <w:szCs w:val="24"/>
          <w:lang w:eastAsia="zh-CN"/>
        </w:rPr>
      </w:pPr>
      <w:r>
        <w:rPr>
          <w:rFonts w:hAnsi="Times New Roman" w:eastAsia="宋体"/>
          <w:szCs w:val="24"/>
          <w:lang w:eastAsia="zh-CN"/>
        </w:rPr>
        <w:t>水质评价因子的标准指数大于1时，表明该评价因子的水质超过了规定的水质标准，已经不能满足相应的水域功能要求。</w:t>
      </w:r>
    </w:p>
    <w:p>
      <w:pPr>
        <w:spacing w:line="360" w:lineRule="auto"/>
        <w:ind w:firstLine="482" w:firstLineChars="200"/>
        <w:rPr>
          <w:rFonts w:hAnsi="Times New Roman" w:eastAsia="宋体"/>
          <w:b/>
          <w:bCs/>
          <w:lang w:eastAsia="zh-CN"/>
        </w:rPr>
      </w:pPr>
      <w:r>
        <w:rPr>
          <w:rFonts w:hAnsi="Times New Roman" w:eastAsia="宋体"/>
          <w:b/>
          <w:bCs/>
          <w:lang w:eastAsia="zh-CN"/>
        </w:rPr>
        <w:t>②</w:t>
      </w:r>
      <w:r>
        <w:rPr>
          <w:rFonts w:hAnsi="Times New Roman" w:eastAsia="宋体"/>
          <w:b/>
          <w:bCs/>
          <w:szCs w:val="22"/>
          <w:lang w:eastAsia="zh-CN"/>
        </w:rPr>
        <w:t>评价</w:t>
      </w:r>
      <w:r>
        <w:rPr>
          <w:rFonts w:hAnsi="Times New Roman" w:eastAsia="宋体"/>
          <w:b/>
          <w:bCs/>
          <w:lang w:eastAsia="zh-CN"/>
        </w:rPr>
        <w:t>结果</w:t>
      </w:r>
    </w:p>
    <w:p>
      <w:pPr>
        <w:spacing w:line="360" w:lineRule="auto"/>
        <w:ind w:firstLine="480" w:firstLineChars="200"/>
        <w:rPr>
          <w:rFonts w:hAnsi="Times New Roman" w:eastAsia="宋体"/>
          <w:szCs w:val="24"/>
          <w:lang w:eastAsia="zh-CN"/>
        </w:rPr>
      </w:pPr>
      <w:r>
        <w:rPr>
          <w:rFonts w:hAnsi="Times New Roman" w:eastAsia="宋体"/>
          <w:szCs w:val="24"/>
          <w:lang w:eastAsia="zh-CN"/>
        </w:rPr>
        <w:t>地表水环境质量评价结果见下表所示。</w:t>
      </w:r>
    </w:p>
    <w:p>
      <w:pPr>
        <w:spacing w:line="360" w:lineRule="auto"/>
        <w:jc w:val="center"/>
        <w:rPr>
          <w:rFonts w:hAnsi="Times New Roman" w:eastAsia="宋体"/>
          <w:b/>
          <w:bCs/>
          <w:sz w:val="21"/>
          <w:szCs w:val="21"/>
          <w:lang w:eastAsia="zh-CN"/>
        </w:rPr>
      </w:pPr>
      <w:r>
        <w:rPr>
          <w:rFonts w:hAnsi="Times New Roman" w:eastAsia="宋体"/>
          <w:b/>
          <w:bCs/>
          <w:lang w:eastAsia="zh-CN"/>
        </w:rPr>
        <w:t xml:space="preserve">     </w:t>
      </w:r>
      <w:r>
        <w:rPr>
          <w:rFonts w:hAnsi="Times New Roman" w:eastAsia="宋体"/>
          <w:b/>
          <w:bCs/>
          <w:sz w:val="21"/>
          <w:szCs w:val="21"/>
          <w:lang w:eastAsia="zh-CN"/>
        </w:rPr>
        <w:t xml:space="preserve">   表3.2-</w:t>
      </w:r>
      <w:r>
        <w:rPr>
          <w:rFonts w:hint="eastAsia" w:hAnsi="Times New Roman" w:eastAsia="宋体"/>
          <w:b/>
          <w:bCs/>
          <w:sz w:val="21"/>
          <w:szCs w:val="21"/>
          <w:lang w:eastAsia="zh-CN"/>
        </w:rPr>
        <w:t>9</w:t>
      </w:r>
      <w:r>
        <w:rPr>
          <w:rFonts w:hAnsi="Times New Roman" w:eastAsia="宋体"/>
          <w:b/>
          <w:bCs/>
          <w:sz w:val="21"/>
          <w:szCs w:val="21"/>
          <w:lang w:eastAsia="zh-CN"/>
        </w:rPr>
        <w:t>地表水环境质量评价结果        单位mg/L，pH 无量纲</w:t>
      </w:r>
    </w:p>
    <w:tbl>
      <w:tblPr>
        <w:tblStyle w:val="33"/>
        <w:tblW w:w="0" w:type="auto"/>
        <w:jc w:val="center"/>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
      <w:tblGrid>
        <w:gridCol w:w="1317"/>
        <w:gridCol w:w="1119"/>
        <w:gridCol w:w="970"/>
        <w:gridCol w:w="1373"/>
        <w:gridCol w:w="1178"/>
        <w:gridCol w:w="1133"/>
        <w:gridCol w:w="1015"/>
        <w:gridCol w:w="1015"/>
      </w:tblGrid>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99" w:hRule="atLeast"/>
          <w:tblHeader/>
          <w:jc w:val="center"/>
        </w:trPr>
        <w:tc>
          <w:tcPr>
            <w:tcW w:w="1317" w:type="dxa"/>
            <w:vMerge w:val="restart"/>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监测指标</w:t>
            </w:r>
          </w:p>
        </w:tc>
        <w:tc>
          <w:tcPr>
            <w:tcW w:w="2089" w:type="dxa"/>
            <w:gridSpan w:val="2"/>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Ⅰ</w:t>
            </w:r>
          </w:p>
        </w:tc>
        <w:tc>
          <w:tcPr>
            <w:tcW w:w="2551" w:type="dxa"/>
            <w:gridSpan w:val="2"/>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Ⅱ</w:t>
            </w:r>
          </w:p>
        </w:tc>
        <w:tc>
          <w:tcPr>
            <w:tcW w:w="2148" w:type="dxa"/>
            <w:gridSpan w:val="2"/>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Ⅲ</w:t>
            </w:r>
          </w:p>
        </w:tc>
        <w:tc>
          <w:tcPr>
            <w:tcW w:w="1015" w:type="dxa"/>
            <w:vMerge w:val="restart"/>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评价标准</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59" w:hRule="atLeast"/>
          <w:tblHeader/>
          <w:jc w:val="center"/>
        </w:trPr>
        <w:tc>
          <w:tcPr>
            <w:tcW w:w="1317" w:type="dxa"/>
            <w:vMerge w:val="continue"/>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p>
        </w:tc>
        <w:tc>
          <w:tcPr>
            <w:tcW w:w="111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浓度范围</w:t>
            </w:r>
          </w:p>
        </w:tc>
        <w:tc>
          <w:tcPr>
            <w:tcW w:w="97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Si 最大</w:t>
            </w:r>
          </w:p>
        </w:tc>
        <w:tc>
          <w:tcPr>
            <w:tcW w:w="137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浓度范围</w:t>
            </w:r>
          </w:p>
        </w:tc>
        <w:tc>
          <w:tcPr>
            <w:tcW w:w="117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Si 最大</w:t>
            </w:r>
          </w:p>
        </w:tc>
        <w:tc>
          <w:tcPr>
            <w:tcW w:w="113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浓度范围</w:t>
            </w:r>
          </w:p>
        </w:tc>
        <w:tc>
          <w:tcPr>
            <w:tcW w:w="1015"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Si 最大</w:t>
            </w:r>
          </w:p>
        </w:tc>
        <w:tc>
          <w:tcPr>
            <w:tcW w:w="1015" w:type="dxa"/>
            <w:vMerge w:val="continue"/>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1317"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pH（无量纲）</w:t>
            </w:r>
          </w:p>
        </w:tc>
        <w:tc>
          <w:tcPr>
            <w:tcW w:w="111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7.2~7.5</w:t>
            </w:r>
          </w:p>
        </w:tc>
        <w:tc>
          <w:tcPr>
            <w:tcW w:w="97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0.25</w:t>
            </w:r>
          </w:p>
        </w:tc>
        <w:tc>
          <w:tcPr>
            <w:tcW w:w="137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7.3~7.4</w:t>
            </w:r>
          </w:p>
        </w:tc>
        <w:tc>
          <w:tcPr>
            <w:tcW w:w="117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0.20</w:t>
            </w:r>
          </w:p>
        </w:tc>
        <w:tc>
          <w:tcPr>
            <w:tcW w:w="113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7.3~7.6</w:t>
            </w:r>
          </w:p>
        </w:tc>
        <w:tc>
          <w:tcPr>
            <w:tcW w:w="1015"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0.30</w:t>
            </w:r>
          </w:p>
        </w:tc>
        <w:tc>
          <w:tcPr>
            <w:tcW w:w="1015"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6~9</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1317"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悬浮物</w:t>
            </w:r>
          </w:p>
        </w:tc>
        <w:tc>
          <w:tcPr>
            <w:tcW w:w="111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37~40</w:t>
            </w:r>
          </w:p>
        </w:tc>
        <w:tc>
          <w:tcPr>
            <w:tcW w:w="97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0.80</w:t>
            </w:r>
          </w:p>
        </w:tc>
        <w:tc>
          <w:tcPr>
            <w:tcW w:w="137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27~30</w:t>
            </w:r>
          </w:p>
        </w:tc>
        <w:tc>
          <w:tcPr>
            <w:tcW w:w="117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0.60</w:t>
            </w:r>
          </w:p>
        </w:tc>
        <w:tc>
          <w:tcPr>
            <w:tcW w:w="113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36~40</w:t>
            </w:r>
          </w:p>
        </w:tc>
        <w:tc>
          <w:tcPr>
            <w:tcW w:w="1015"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0.80</w:t>
            </w:r>
          </w:p>
        </w:tc>
        <w:tc>
          <w:tcPr>
            <w:tcW w:w="1015"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≤50</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1317"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化学需氧量</w:t>
            </w:r>
          </w:p>
        </w:tc>
        <w:tc>
          <w:tcPr>
            <w:tcW w:w="111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17~20</w:t>
            </w:r>
          </w:p>
        </w:tc>
        <w:tc>
          <w:tcPr>
            <w:tcW w:w="97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w:t>
            </w:r>
          </w:p>
        </w:tc>
        <w:tc>
          <w:tcPr>
            <w:tcW w:w="137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14~16</w:t>
            </w:r>
          </w:p>
        </w:tc>
        <w:tc>
          <w:tcPr>
            <w:tcW w:w="117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0.80</w:t>
            </w:r>
          </w:p>
        </w:tc>
        <w:tc>
          <w:tcPr>
            <w:tcW w:w="113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15~19</w:t>
            </w:r>
          </w:p>
        </w:tc>
        <w:tc>
          <w:tcPr>
            <w:tcW w:w="1015"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0.95</w:t>
            </w:r>
          </w:p>
        </w:tc>
        <w:tc>
          <w:tcPr>
            <w:tcW w:w="1015"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≤20</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586" w:hRule="atLeast"/>
          <w:jc w:val="center"/>
        </w:trPr>
        <w:tc>
          <w:tcPr>
            <w:tcW w:w="1317"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五日生化需氧量</w:t>
            </w:r>
          </w:p>
        </w:tc>
        <w:tc>
          <w:tcPr>
            <w:tcW w:w="111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3.3~3.7</w:t>
            </w:r>
          </w:p>
        </w:tc>
        <w:tc>
          <w:tcPr>
            <w:tcW w:w="97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0.93</w:t>
            </w:r>
          </w:p>
        </w:tc>
        <w:tc>
          <w:tcPr>
            <w:tcW w:w="137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3.3~3.9</w:t>
            </w:r>
          </w:p>
        </w:tc>
        <w:tc>
          <w:tcPr>
            <w:tcW w:w="117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0.98</w:t>
            </w:r>
          </w:p>
        </w:tc>
        <w:tc>
          <w:tcPr>
            <w:tcW w:w="113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2.9~3.5</w:t>
            </w:r>
          </w:p>
        </w:tc>
        <w:tc>
          <w:tcPr>
            <w:tcW w:w="1015"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0.88</w:t>
            </w:r>
          </w:p>
        </w:tc>
        <w:tc>
          <w:tcPr>
            <w:tcW w:w="1015"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586" w:hRule="atLeast"/>
          <w:jc w:val="center"/>
        </w:trPr>
        <w:tc>
          <w:tcPr>
            <w:tcW w:w="1317"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氨氮</w:t>
            </w:r>
          </w:p>
        </w:tc>
        <w:tc>
          <w:tcPr>
            <w:tcW w:w="111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0.514~0.625</w:t>
            </w:r>
          </w:p>
        </w:tc>
        <w:tc>
          <w:tcPr>
            <w:tcW w:w="97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0.625</w:t>
            </w:r>
          </w:p>
        </w:tc>
        <w:tc>
          <w:tcPr>
            <w:tcW w:w="137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0.483~0.605</w:t>
            </w:r>
          </w:p>
        </w:tc>
        <w:tc>
          <w:tcPr>
            <w:tcW w:w="117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0.605</w:t>
            </w:r>
          </w:p>
        </w:tc>
        <w:tc>
          <w:tcPr>
            <w:tcW w:w="113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0.505~0.636</w:t>
            </w:r>
          </w:p>
        </w:tc>
        <w:tc>
          <w:tcPr>
            <w:tcW w:w="1015"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0.636</w:t>
            </w:r>
          </w:p>
        </w:tc>
        <w:tc>
          <w:tcPr>
            <w:tcW w:w="1015"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1317"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溶解氧</w:t>
            </w:r>
          </w:p>
        </w:tc>
        <w:tc>
          <w:tcPr>
            <w:tcW w:w="111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6.8~6.9</w:t>
            </w:r>
          </w:p>
        </w:tc>
        <w:tc>
          <w:tcPr>
            <w:tcW w:w="97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0.72</w:t>
            </w:r>
          </w:p>
        </w:tc>
        <w:tc>
          <w:tcPr>
            <w:tcW w:w="137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6.8~7.0</w:t>
            </w:r>
          </w:p>
        </w:tc>
        <w:tc>
          <w:tcPr>
            <w:tcW w:w="117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0.71</w:t>
            </w:r>
          </w:p>
        </w:tc>
        <w:tc>
          <w:tcPr>
            <w:tcW w:w="113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6.9~7.0</w:t>
            </w:r>
          </w:p>
        </w:tc>
        <w:tc>
          <w:tcPr>
            <w:tcW w:w="1015"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0.71</w:t>
            </w:r>
          </w:p>
        </w:tc>
        <w:tc>
          <w:tcPr>
            <w:tcW w:w="1015"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1317"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石油类</w:t>
            </w:r>
          </w:p>
        </w:tc>
        <w:tc>
          <w:tcPr>
            <w:tcW w:w="111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0.01L</w:t>
            </w:r>
          </w:p>
        </w:tc>
        <w:tc>
          <w:tcPr>
            <w:tcW w:w="97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37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0.01L</w:t>
            </w:r>
          </w:p>
        </w:tc>
        <w:tc>
          <w:tcPr>
            <w:tcW w:w="117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13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0.01L</w:t>
            </w:r>
          </w:p>
        </w:tc>
        <w:tc>
          <w:tcPr>
            <w:tcW w:w="1015"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015"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≤0.05</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1317"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铁</w:t>
            </w:r>
          </w:p>
        </w:tc>
        <w:tc>
          <w:tcPr>
            <w:tcW w:w="111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0.02L</w:t>
            </w:r>
          </w:p>
        </w:tc>
        <w:tc>
          <w:tcPr>
            <w:tcW w:w="97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37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0.02L</w:t>
            </w:r>
          </w:p>
        </w:tc>
        <w:tc>
          <w:tcPr>
            <w:tcW w:w="117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13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0.02L</w:t>
            </w:r>
          </w:p>
        </w:tc>
        <w:tc>
          <w:tcPr>
            <w:tcW w:w="1015"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015"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≤6</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1317"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锰</w:t>
            </w:r>
          </w:p>
        </w:tc>
        <w:tc>
          <w:tcPr>
            <w:tcW w:w="111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0.004L</w:t>
            </w:r>
          </w:p>
        </w:tc>
        <w:tc>
          <w:tcPr>
            <w:tcW w:w="97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37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0.004L</w:t>
            </w:r>
          </w:p>
        </w:tc>
        <w:tc>
          <w:tcPr>
            <w:tcW w:w="117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13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0.004L</w:t>
            </w:r>
          </w:p>
        </w:tc>
        <w:tc>
          <w:tcPr>
            <w:tcW w:w="1015"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015"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586" w:hRule="atLeast"/>
          <w:jc w:val="center"/>
        </w:trPr>
        <w:tc>
          <w:tcPr>
            <w:tcW w:w="1317"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氟化物</w:t>
            </w:r>
          </w:p>
        </w:tc>
        <w:tc>
          <w:tcPr>
            <w:tcW w:w="111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0.089~0.164</w:t>
            </w:r>
          </w:p>
        </w:tc>
        <w:tc>
          <w:tcPr>
            <w:tcW w:w="97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0.164</w:t>
            </w:r>
          </w:p>
        </w:tc>
        <w:tc>
          <w:tcPr>
            <w:tcW w:w="137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0.030~0.088</w:t>
            </w:r>
          </w:p>
        </w:tc>
        <w:tc>
          <w:tcPr>
            <w:tcW w:w="117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0.088</w:t>
            </w:r>
          </w:p>
        </w:tc>
        <w:tc>
          <w:tcPr>
            <w:tcW w:w="113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0.022~0.039</w:t>
            </w:r>
          </w:p>
        </w:tc>
        <w:tc>
          <w:tcPr>
            <w:tcW w:w="1015"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0.039</w:t>
            </w:r>
          </w:p>
        </w:tc>
        <w:tc>
          <w:tcPr>
            <w:tcW w:w="1015"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1317"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硫化物</w:t>
            </w:r>
          </w:p>
        </w:tc>
        <w:tc>
          <w:tcPr>
            <w:tcW w:w="111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0.005L</w:t>
            </w:r>
          </w:p>
        </w:tc>
        <w:tc>
          <w:tcPr>
            <w:tcW w:w="97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37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0.005L</w:t>
            </w:r>
          </w:p>
        </w:tc>
        <w:tc>
          <w:tcPr>
            <w:tcW w:w="117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13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0.005L</w:t>
            </w:r>
          </w:p>
        </w:tc>
        <w:tc>
          <w:tcPr>
            <w:tcW w:w="1015"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015"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≤0.2</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1317"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汞</w:t>
            </w:r>
          </w:p>
        </w:tc>
        <w:tc>
          <w:tcPr>
            <w:tcW w:w="111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0.0000015L</w:t>
            </w:r>
          </w:p>
        </w:tc>
        <w:tc>
          <w:tcPr>
            <w:tcW w:w="97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37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0.0000015L</w:t>
            </w:r>
          </w:p>
        </w:tc>
        <w:tc>
          <w:tcPr>
            <w:tcW w:w="117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13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0.0000015L</w:t>
            </w:r>
          </w:p>
        </w:tc>
        <w:tc>
          <w:tcPr>
            <w:tcW w:w="1015"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015"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≤0.0001</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586" w:hRule="atLeast"/>
          <w:jc w:val="center"/>
        </w:trPr>
        <w:tc>
          <w:tcPr>
            <w:tcW w:w="1317"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镉</w:t>
            </w:r>
          </w:p>
        </w:tc>
        <w:tc>
          <w:tcPr>
            <w:tcW w:w="111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0.0010~0.0011</w:t>
            </w:r>
          </w:p>
        </w:tc>
        <w:tc>
          <w:tcPr>
            <w:tcW w:w="97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0.22</w:t>
            </w:r>
          </w:p>
        </w:tc>
        <w:tc>
          <w:tcPr>
            <w:tcW w:w="137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0.0022~0.0042</w:t>
            </w:r>
          </w:p>
        </w:tc>
        <w:tc>
          <w:tcPr>
            <w:tcW w:w="117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0.84</w:t>
            </w:r>
          </w:p>
        </w:tc>
        <w:tc>
          <w:tcPr>
            <w:tcW w:w="113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0.0014~0.0018</w:t>
            </w:r>
          </w:p>
        </w:tc>
        <w:tc>
          <w:tcPr>
            <w:tcW w:w="1015"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0.36</w:t>
            </w:r>
          </w:p>
        </w:tc>
        <w:tc>
          <w:tcPr>
            <w:tcW w:w="1015"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≤0.005</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1317"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六价铬</w:t>
            </w:r>
          </w:p>
        </w:tc>
        <w:tc>
          <w:tcPr>
            <w:tcW w:w="111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0.004L</w:t>
            </w:r>
          </w:p>
        </w:tc>
        <w:tc>
          <w:tcPr>
            <w:tcW w:w="97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37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0.004L</w:t>
            </w:r>
          </w:p>
        </w:tc>
        <w:tc>
          <w:tcPr>
            <w:tcW w:w="117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13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0.004L</w:t>
            </w:r>
          </w:p>
        </w:tc>
        <w:tc>
          <w:tcPr>
            <w:tcW w:w="1015"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015"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≤0.05</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1317"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总磷</w:t>
            </w:r>
          </w:p>
        </w:tc>
        <w:tc>
          <w:tcPr>
            <w:tcW w:w="111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0.13~0.16</w:t>
            </w:r>
          </w:p>
        </w:tc>
        <w:tc>
          <w:tcPr>
            <w:tcW w:w="97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0.80</w:t>
            </w:r>
          </w:p>
        </w:tc>
        <w:tc>
          <w:tcPr>
            <w:tcW w:w="137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0.09~0.13</w:t>
            </w:r>
          </w:p>
        </w:tc>
        <w:tc>
          <w:tcPr>
            <w:tcW w:w="117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0.65</w:t>
            </w:r>
          </w:p>
        </w:tc>
        <w:tc>
          <w:tcPr>
            <w:tcW w:w="113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0.06~0.09</w:t>
            </w:r>
          </w:p>
        </w:tc>
        <w:tc>
          <w:tcPr>
            <w:tcW w:w="1015"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0.45</w:t>
            </w:r>
          </w:p>
        </w:tc>
        <w:tc>
          <w:tcPr>
            <w:tcW w:w="1015"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≤0.2</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1317"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挥发酚</w:t>
            </w:r>
          </w:p>
        </w:tc>
        <w:tc>
          <w:tcPr>
            <w:tcW w:w="111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0.0003L</w:t>
            </w:r>
          </w:p>
        </w:tc>
        <w:tc>
          <w:tcPr>
            <w:tcW w:w="97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37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0.0003L</w:t>
            </w:r>
          </w:p>
        </w:tc>
        <w:tc>
          <w:tcPr>
            <w:tcW w:w="117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13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0.0003L</w:t>
            </w:r>
          </w:p>
        </w:tc>
        <w:tc>
          <w:tcPr>
            <w:tcW w:w="1015"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015"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≤0.005</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1317"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氰化物</w:t>
            </w:r>
          </w:p>
        </w:tc>
        <w:tc>
          <w:tcPr>
            <w:tcW w:w="111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0.001L</w:t>
            </w:r>
          </w:p>
        </w:tc>
        <w:tc>
          <w:tcPr>
            <w:tcW w:w="97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37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0.001L</w:t>
            </w:r>
          </w:p>
        </w:tc>
        <w:tc>
          <w:tcPr>
            <w:tcW w:w="117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13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0.001L</w:t>
            </w:r>
          </w:p>
        </w:tc>
        <w:tc>
          <w:tcPr>
            <w:tcW w:w="1015"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015"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≤0.2</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1317"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铜</w:t>
            </w:r>
          </w:p>
        </w:tc>
        <w:tc>
          <w:tcPr>
            <w:tcW w:w="111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0.006L</w:t>
            </w:r>
          </w:p>
        </w:tc>
        <w:tc>
          <w:tcPr>
            <w:tcW w:w="97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37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0.006L</w:t>
            </w:r>
          </w:p>
        </w:tc>
        <w:tc>
          <w:tcPr>
            <w:tcW w:w="117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13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0.006L</w:t>
            </w:r>
          </w:p>
        </w:tc>
        <w:tc>
          <w:tcPr>
            <w:tcW w:w="1015"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015"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1317"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硒</w:t>
            </w:r>
          </w:p>
        </w:tc>
        <w:tc>
          <w:tcPr>
            <w:tcW w:w="111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0.0004L</w:t>
            </w:r>
          </w:p>
        </w:tc>
        <w:tc>
          <w:tcPr>
            <w:tcW w:w="97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37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0.0004L</w:t>
            </w:r>
          </w:p>
        </w:tc>
        <w:tc>
          <w:tcPr>
            <w:tcW w:w="117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13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0.0004L</w:t>
            </w:r>
          </w:p>
        </w:tc>
        <w:tc>
          <w:tcPr>
            <w:tcW w:w="1015"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015"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≤0.01</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586" w:hRule="atLeast"/>
          <w:jc w:val="center"/>
        </w:trPr>
        <w:tc>
          <w:tcPr>
            <w:tcW w:w="1317"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粪大肠菌群（MPN/L）</w:t>
            </w:r>
          </w:p>
        </w:tc>
        <w:tc>
          <w:tcPr>
            <w:tcW w:w="111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4.3×103~9.2×103</w:t>
            </w:r>
          </w:p>
        </w:tc>
        <w:tc>
          <w:tcPr>
            <w:tcW w:w="97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0.92</w:t>
            </w:r>
          </w:p>
        </w:tc>
        <w:tc>
          <w:tcPr>
            <w:tcW w:w="137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2.5×103~3.5×103</w:t>
            </w:r>
          </w:p>
        </w:tc>
        <w:tc>
          <w:tcPr>
            <w:tcW w:w="117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0.35</w:t>
            </w:r>
          </w:p>
        </w:tc>
        <w:tc>
          <w:tcPr>
            <w:tcW w:w="113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3.5×103~9.2×103</w:t>
            </w:r>
          </w:p>
        </w:tc>
        <w:tc>
          <w:tcPr>
            <w:tcW w:w="1015"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0.92</w:t>
            </w:r>
          </w:p>
        </w:tc>
        <w:tc>
          <w:tcPr>
            <w:tcW w:w="1015"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≤10000</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586" w:hRule="atLeast"/>
          <w:jc w:val="center"/>
        </w:trPr>
        <w:tc>
          <w:tcPr>
            <w:tcW w:w="1317"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阴离子表面活性剂</w:t>
            </w:r>
          </w:p>
        </w:tc>
        <w:tc>
          <w:tcPr>
            <w:tcW w:w="111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0.05L</w:t>
            </w:r>
          </w:p>
        </w:tc>
        <w:tc>
          <w:tcPr>
            <w:tcW w:w="97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37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0.05L</w:t>
            </w:r>
          </w:p>
        </w:tc>
        <w:tc>
          <w:tcPr>
            <w:tcW w:w="117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13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0.05L</w:t>
            </w:r>
          </w:p>
        </w:tc>
        <w:tc>
          <w:tcPr>
            <w:tcW w:w="1015"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015"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≤0.2</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586" w:hRule="atLeast"/>
          <w:jc w:val="center"/>
        </w:trPr>
        <w:tc>
          <w:tcPr>
            <w:tcW w:w="1317"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高锰酸盐指数</w:t>
            </w:r>
          </w:p>
        </w:tc>
        <w:tc>
          <w:tcPr>
            <w:tcW w:w="111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5.5~5.7</w:t>
            </w:r>
          </w:p>
        </w:tc>
        <w:tc>
          <w:tcPr>
            <w:tcW w:w="97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0.95</w:t>
            </w:r>
          </w:p>
        </w:tc>
        <w:tc>
          <w:tcPr>
            <w:tcW w:w="137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5.6~5.9</w:t>
            </w:r>
          </w:p>
        </w:tc>
        <w:tc>
          <w:tcPr>
            <w:tcW w:w="117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0.98</w:t>
            </w:r>
          </w:p>
        </w:tc>
        <w:tc>
          <w:tcPr>
            <w:tcW w:w="113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5.3~5.6</w:t>
            </w:r>
          </w:p>
        </w:tc>
        <w:tc>
          <w:tcPr>
            <w:tcW w:w="1015"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0.93</w:t>
            </w:r>
          </w:p>
        </w:tc>
        <w:tc>
          <w:tcPr>
            <w:tcW w:w="1015"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≤6</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586" w:hRule="atLeast"/>
          <w:jc w:val="center"/>
        </w:trPr>
        <w:tc>
          <w:tcPr>
            <w:tcW w:w="1317"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铅</w:t>
            </w:r>
          </w:p>
        </w:tc>
        <w:tc>
          <w:tcPr>
            <w:tcW w:w="111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0.005~0.009</w:t>
            </w:r>
          </w:p>
        </w:tc>
        <w:tc>
          <w:tcPr>
            <w:tcW w:w="97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0.18</w:t>
            </w:r>
          </w:p>
        </w:tc>
        <w:tc>
          <w:tcPr>
            <w:tcW w:w="137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0.008~0.016</w:t>
            </w:r>
          </w:p>
        </w:tc>
        <w:tc>
          <w:tcPr>
            <w:tcW w:w="117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0.32</w:t>
            </w:r>
          </w:p>
        </w:tc>
        <w:tc>
          <w:tcPr>
            <w:tcW w:w="113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0.006~0.011</w:t>
            </w:r>
          </w:p>
        </w:tc>
        <w:tc>
          <w:tcPr>
            <w:tcW w:w="1015"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0.22</w:t>
            </w:r>
          </w:p>
        </w:tc>
        <w:tc>
          <w:tcPr>
            <w:tcW w:w="1015"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≤0.05</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1317"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砷</w:t>
            </w:r>
          </w:p>
        </w:tc>
        <w:tc>
          <w:tcPr>
            <w:tcW w:w="111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0.0003L</w:t>
            </w:r>
          </w:p>
        </w:tc>
        <w:tc>
          <w:tcPr>
            <w:tcW w:w="97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37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0.0003L</w:t>
            </w:r>
          </w:p>
        </w:tc>
        <w:tc>
          <w:tcPr>
            <w:tcW w:w="117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13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0.0003L</w:t>
            </w:r>
          </w:p>
        </w:tc>
        <w:tc>
          <w:tcPr>
            <w:tcW w:w="1015"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015"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≤0.05</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1317"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锌</w:t>
            </w:r>
          </w:p>
        </w:tc>
        <w:tc>
          <w:tcPr>
            <w:tcW w:w="111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0.004L</w:t>
            </w:r>
          </w:p>
        </w:tc>
        <w:tc>
          <w:tcPr>
            <w:tcW w:w="97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37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0.004L</w:t>
            </w:r>
          </w:p>
        </w:tc>
        <w:tc>
          <w:tcPr>
            <w:tcW w:w="117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13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0.004L</w:t>
            </w:r>
          </w:p>
        </w:tc>
        <w:tc>
          <w:tcPr>
            <w:tcW w:w="1015"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015"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1317"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含盐量</w:t>
            </w:r>
          </w:p>
        </w:tc>
        <w:tc>
          <w:tcPr>
            <w:tcW w:w="1119"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373~463</w:t>
            </w:r>
          </w:p>
        </w:tc>
        <w:tc>
          <w:tcPr>
            <w:tcW w:w="970"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0.46</w:t>
            </w:r>
          </w:p>
        </w:tc>
        <w:tc>
          <w:tcPr>
            <w:tcW w:w="137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542~647</w:t>
            </w:r>
          </w:p>
        </w:tc>
        <w:tc>
          <w:tcPr>
            <w:tcW w:w="1178"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0.64</w:t>
            </w:r>
          </w:p>
        </w:tc>
        <w:tc>
          <w:tcPr>
            <w:tcW w:w="1133"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392~633</w:t>
            </w:r>
          </w:p>
        </w:tc>
        <w:tc>
          <w:tcPr>
            <w:tcW w:w="1015"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0.63</w:t>
            </w:r>
          </w:p>
        </w:tc>
        <w:tc>
          <w:tcPr>
            <w:tcW w:w="1015" w:type="dxa"/>
            <w:vAlign w:val="center"/>
          </w:tcPr>
          <w:p>
            <w:pPr>
              <w:keepNext w:val="0"/>
              <w:keepLines w:val="0"/>
              <w:suppressLineNumbers w:val="0"/>
              <w:spacing w:before="0" w:beforeAutospacing="0" w:after="0" w:afterAutospacing="0" w:line="30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≤1000</w:t>
            </w:r>
          </w:p>
        </w:tc>
      </w:tr>
    </w:tbl>
    <w:p>
      <w:pPr>
        <w:spacing w:line="360" w:lineRule="auto"/>
        <w:ind w:firstLine="480" w:firstLineChars="200"/>
        <w:rPr>
          <w:rFonts w:hAnsi="Times New Roman" w:eastAsia="宋体"/>
          <w:lang w:eastAsia="zh-CN"/>
        </w:rPr>
      </w:pPr>
      <w:r>
        <w:rPr>
          <w:rFonts w:hAnsi="Times New Roman" w:eastAsia="宋体"/>
          <w:lang w:eastAsia="zh-CN"/>
        </w:rPr>
        <w:t>由上表可知，新宁河地表水水质各单项评价指数均≤1，项目评价区域地表水体</w:t>
      </w:r>
      <w:r>
        <w:rPr>
          <w:rFonts w:hint="eastAsia" w:hAnsi="Times New Roman" w:eastAsia="宋体"/>
          <w:lang w:eastAsia="zh-CN"/>
        </w:rPr>
        <w:t>新宁</w:t>
      </w:r>
      <w:r>
        <w:rPr>
          <w:rFonts w:hAnsi="Times New Roman" w:eastAsia="宋体"/>
          <w:lang w:eastAsia="zh-CN"/>
        </w:rPr>
        <w:t>河的各监测项目均满足《地表水环境质量标准》（GB3838-2002）III类水域标准。</w:t>
      </w:r>
    </w:p>
    <w:p>
      <w:pPr>
        <w:pStyle w:val="6"/>
        <w:rPr>
          <w:lang w:eastAsia="zh-CN"/>
        </w:rPr>
      </w:pPr>
      <w:bookmarkStart w:id="148" w:name="_Toc167095165"/>
      <w:bookmarkStart w:id="149" w:name="_Toc163812542"/>
      <w:r>
        <w:rPr>
          <w:lang w:eastAsia="zh-CN"/>
        </w:rPr>
        <w:t>3.2.3 地下水质量现状调查与评价</w:t>
      </w:r>
      <w:bookmarkEnd w:id="148"/>
      <w:bookmarkEnd w:id="149"/>
    </w:p>
    <w:p>
      <w:pPr>
        <w:spacing w:line="360" w:lineRule="auto"/>
        <w:ind w:firstLine="482" w:firstLineChars="200"/>
        <w:rPr>
          <w:rFonts w:hAnsi="Times New Roman" w:eastAsia="宋体"/>
          <w:b/>
          <w:bCs/>
          <w:szCs w:val="22"/>
          <w:lang w:eastAsia="zh-CN"/>
        </w:rPr>
      </w:pPr>
      <w:r>
        <w:rPr>
          <w:rFonts w:hAnsi="Times New Roman" w:eastAsia="宋体"/>
          <w:b/>
          <w:bCs/>
          <w:szCs w:val="22"/>
          <w:lang w:eastAsia="zh-CN"/>
        </w:rPr>
        <w:t>1、地下水环境质量现状监测</w:t>
      </w:r>
    </w:p>
    <w:p>
      <w:pPr>
        <w:spacing w:line="360" w:lineRule="auto"/>
        <w:ind w:firstLine="480" w:firstLineChars="200"/>
        <w:rPr>
          <w:rFonts w:hAnsi="Times New Roman" w:eastAsia="宋体"/>
          <w:szCs w:val="22"/>
          <w:lang w:eastAsia="zh-CN"/>
        </w:rPr>
      </w:pPr>
      <w:r>
        <w:rPr>
          <w:rFonts w:hAnsi="Times New Roman" w:eastAsia="宋体"/>
          <w:szCs w:val="22"/>
          <w:lang w:eastAsia="zh-CN"/>
        </w:rPr>
        <w:t>为了解区域地下水环境质量现状，本次环评委托达州恒福环境监测服务有限公司</w:t>
      </w:r>
      <w:r>
        <w:rPr>
          <w:rFonts w:hint="eastAsia" w:hAnsi="Times New Roman" w:eastAsia="宋体"/>
          <w:szCs w:val="22"/>
          <w:lang w:eastAsia="zh-CN"/>
        </w:rPr>
        <w:t>分别</w:t>
      </w:r>
      <w:r>
        <w:rPr>
          <w:rFonts w:hAnsi="Times New Roman" w:eastAsia="宋体"/>
          <w:szCs w:val="22"/>
          <w:lang w:eastAsia="zh-CN"/>
        </w:rPr>
        <w:t>于2022年1月</w:t>
      </w:r>
      <w:r>
        <w:rPr>
          <w:rFonts w:hint="eastAsia" w:hAnsi="Times New Roman" w:eastAsia="宋体"/>
          <w:szCs w:val="22"/>
          <w:lang w:eastAsia="zh-CN"/>
        </w:rPr>
        <w:t>6</w:t>
      </w:r>
      <w:r>
        <w:rPr>
          <w:rFonts w:hAnsi="Times New Roman" w:eastAsia="宋体"/>
          <w:szCs w:val="22"/>
          <w:lang w:eastAsia="zh-CN"/>
        </w:rPr>
        <w:t>日</w:t>
      </w:r>
      <w:r>
        <w:rPr>
          <w:rFonts w:hint="eastAsia" w:hAnsi="Times New Roman" w:eastAsia="宋体"/>
          <w:szCs w:val="22"/>
          <w:lang w:eastAsia="zh-CN"/>
        </w:rPr>
        <w:t>和2024年3月1日</w:t>
      </w:r>
      <w:r>
        <w:rPr>
          <w:rFonts w:hAnsi="Times New Roman" w:eastAsia="宋体"/>
          <w:szCs w:val="22"/>
          <w:lang w:eastAsia="zh-CN"/>
        </w:rPr>
        <w:t>进行了</w:t>
      </w:r>
      <w:r>
        <w:rPr>
          <w:rFonts w:hint="eastAsia" w:hAnsi="Times New Roman" w:eastAsia="宋体"/>
          <w:szCs w:val="22"/>
          <w:lang w:eastAsia="zh-CN"/>
        </w:rPr>
        <w:t>地下水环境质量现状</w:t>
      </w:r>
      <w:r>
        <w:rPr>
          <w:rFonts w:hAnsi="Times New Roman" w:eastAsia="宋体"/>
          <w:szCs w:val="22"/>
          <w:lang w:eastAsia="zh-CN"/>
        </w:rPr>
        <w:t>监测。</w:t>
      </w:r>
    </w:p>
    <w:p>
      <w:pPr>
        <w:spacing w:line="360" w:lineRule="auto"/>
        <w:ind w:firstLine="482" w:firstLineChars="200"/>
        <w:rPr>
          <w:rFonts w:hAnsi="Times New Roman" w:eastAsia="宋体"/>
          <w:b/>
          <w:bCs/>
          <w:szCs w:val="24"/>
        </w:rPr>
      </w:pPr>
      <w:r>
        <w:rPr>
          <w:rFonts w:hAnsi="Times New Roman" w:eastAsia="宋体"/>
          <w:b/>
          <w:bCs/>
          <w:szCs w:val="24"/>
        </w:rPr>
        <w:t>（1）监测点位</w:t>
      </w:r>
    </w:p>
    <w:p>
      <w:pPr>
        <w:spacing w:line="360" w:lineRule="auto"/>
        <w:ind w:firstLine="480" w:firstLineChars="200"/>
        <w:rPr>
          <w:rFonts w:hAnsi="Times New Roman" w:eastAsia="宋体"/>
        </w:rPr>
      </w:pPr>
      <w:r>
        <w:rPr>
          <w:rFonts w:hAnsi="Times New Roman" w:eastAsia="宋体"/>
          <w:szCs w:val="24"/>
        </w:rPr>
        <w:t>本次评价地下水</w:t>
      </w:r>
      <w:r>
        <w:rPr>
          <w:rFonts w:hAnsi="Times New Roman" w:eastAsia="宋体"/>
        </w:rPr>
        <w:t>监测点位置见表</w:t>
      </w:r>
      <w:r>
        <w:rPr>
          <w:rFonts w:hAnsi="Times New Roman" w:eastAsia="宋体"/>
          <w:lang w:eastAsia="zh-CN"/>
        </w:rPr>
        <w:t>3.2</w:t>
      </w:r>
      <w:r>
        <w:rPr>
          <w:rFonts w:hAnsi="Times New Roman" w:eastAsia="宋体"/>
        </w:rPr>
        <w:t>-</w:t>
      </w:r>
      <w:r>
        <w:rPr>
          <w:rFonts w:hint="eastAsia" w:hAnsi="Times New Roman" w:eastAsia="宋体"/>
          <w:lang w:eastAsia="zh-CN"/>
        </w:rPr>
        <w:t>10</w:t>
      </w:r>
      <w:r>
        <w:rPr>
          <w:rFonts w:hAnsi="Times New Roman" w:eastAsia="宋体"/>
        </w:rPr>
        <w:t>。</w:t>
      </w:r>
    </w:p>
    <w:p>
      <w:pPr>
        <w:spacing w:line="360" w:lineRule="auto"/>
        <w:jc w:val="center"/>
        <w:rPr>
          <w:rFonts w:hAnsi="Times New Roman" w:eastAsia="宋体"/>
          <w:b/>
          <w:bCs/>
          <w:sz w:val="21"/>
          <w:szCs w:val="21"/>
        </w:rPr>
      </w:pPr>
      <w:r>
        <w:rPr>
          <w:rFonts w:hAnsi="Times New Roman" w:eastAsia="宋体"/>
          <w:b/>
          <w:bCs/>
          <w:sz w:val="21"/>
          <w:szCs w:val="21"/>
        </w:rPr>
        <w:t>表</w:t>
      </w:r>
      <w:r>
        <w:rPr>
          <w:rFonts w:hAnsi="Times New Roman" w:eastAsia="宋体"/>
          <w:b/>
          <w:bCs/>
          <w:sz w:val="21"/>
          <w:szCs w:val="21"/>
          <w:lang w:eastAsia="zh-CN"/>
        </w:rPr>
        <w:t>3.2</w:t>
      </w:r>
      <w:r>
        <w:rPr>
          <w:rFonts w:hAnsi="Times New Roman" w:eastAsia="宋体"/>
          <w:b/>
          <w:bCs/>
          <w:sz w:val="21"/>
          <w:szCs w:val="21"/>
        </w:rPr>
        <w:t>-</w:t>
      </w:r>
      <w:r>
        <w:rPr>
          <w:rFonts w:hint="eastAsia" w:hAnsi="Times New Roman" w:eastAsia="宋体"/>
          <w:b/>
          <w:bCs/>
          <w:sz w:val="21"/>
          <w:szCs w:val="21"/>
          <w:lang w:eastAsia="zh-CN"/>
        </w:rPr>
        <w:t>10</w:t>
      </w:r>
      <w:r>
        <w:rPr>
          <w:rFonts w:hAnsi="Times New Roman" w:eastAsia="宋体"/>
          <w:b/>
          <w:bCs/>
          <w:sz w:val="21"/>
          <w:szCs w:val="21"/>
        </w:rPr>
        <w:t xml:space="preserve">  地下水监测点位置</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1"/>
        <w:gridCol w:w="4625"/>
        <w:gridCol w:w="35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1" w:type="pct"/>
            <w:vAlign w:val="center"/>
          </w:tcPr>
          <w:p>
            <w:pPr>
              <w:keepNext w:val="0"/>
              <w:keepLines w:val="0"/>
              <w:suppressLineNumbers w:val="0"/>
              <w:spacing w:before="0" w:beforeAutospacing="0" w:after="0" w:afterAutospacing="0" w:line="276" w:lineRule="auto"/>
              <w:ind w:left="0" w:right="0"/>
              <w:jc w:val="center"/>
              <w:rPr>
                <w:rFonts w:hint="eastAsia" w:hAnsi="Times New Roman" w:eastAsia="宋体"/>
                <w:b/>
                <w:bCs/>
                <w:kern w:val="2"/>
                <w:sz w:val="21"/>
                <w:szCs w:val="21"/>
              </w:rPr>
            </w:pPr>
            <w:r>
              <w:rPr>
                <w:rFonts w:hint="eastAsia" w:hAnsi="Times New Roman" w:eastAsia="宋体"/>
                <w:b/>
                <w:bCs/>
                <w:kern w:val="2"/>
                <w:sz w:val="21"/>
                <w:szCs w:val="21"/>
              </w:rPr>
              <w:t>编号</w:t>
            </w:r>
          </w:p>
        </w:tc>
        <w:tc>
          <w:tcPr>
            <w:tcW w:w="2475" w:type="pct"/>
            <w:vAlign w:val="center"/>
          </w:tcPr>
          <w:p>
            <w:pPr>
              <w:keepNext w:val="0"/>
              <w:keepLines w:val="0"/>
              <w:suppressLineNumbers w:val="0"/>
              <w:spacing w:before="0" w:beforeAutospacing="0" w:after="0" w:afterAutospacing="0" w:line="276" w:lineRule="auto"/>
              <w:ind w:left="0" w:right="0"/>
              <w:jc w:val="center"/>
              <w:rPr>
                <w:rFonts w:hint="eastAsia" w:hAnsi="Times New Roman" w:eastAsia="宋体"/>
                <w:b/>
                <w:bCs/>
                <w:kern w:val="2"/>
                <w:sz w:val="21"/>
                <w:szCs w:val="21"/>
              </w:rPr>
            </w:pPr>
            <w:r>
              <w:rPr>
                <w:rFonts w:hint="eastAsia" w:hAnsi="Times New Roman" w:eastAsia="宋体"/>
                <w:b/>
                <w:bCs/>
                <w:kern w:val="2"/>
                <w:sz w:val="21"/>
                <w:szCs w:val="21"/>
              </w:rPr>
              <w:t>监测点位置</w:t>
            </w:r>
          </w:p>
        </w:tc>
        <w:tc>
          <w:tcPr>
            <w:tcW w:w="1914" w:type="pct"/>
            <w:vAlign w:val="center"/>
          </w:tcPr>
          <w:p>
            <w:pPr>
              <w:keepNext w:val="0"/>
              <w:keepLines w:val="0"/>
              <w:suppressLineNumbers w:val="0"/>
              <w:spacing w:before="0" w:beforeAutospacing="0" w:after="0" w:afterAutospacing="0" w:line="276" w:lineRule="auto"/>
              <w:ind w:left="0" w:right="0"/>
              <w:jc w:val="center"/>
              <w:rPr>
                <w:rFonts w:hint="eastAsia" w:hAnsi="Times New Roman" w:eastAsia="宋体"/>
                <w:b/>
                <w:bCs/>
                <w:kern w:val="2"/>
                <w:sz w:val="21"/>
                <w:szCs w:val="21"/>
              </w:rPr>
            </w:pPr>
            <w:r>
              <w:rPr>
                <w:rFonts w:hint="eastAsia" w:hAnsi="Times New Roman" w:eastAsia="宋体"/>
                <w:b/>
                <w:bCs/>
                <w:kern w:val="2"/>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1" w:type="pct"/>
            <w:vAlign w:val="center"/>
          </w:tcPr>
          <w:p>
            <w:pPr>
              <w:keepNext w:val="0"/>
              <w:keepLines w:val="0"/>
              <w:suppressLineNumbers w:val="0"/>
              <w:autoSpaceDE w:val="0"/>
              <w:spacing w:before="0" w:beforeAutospacing="0" w:after="0" w:afterAutospacing="0" w:line="270" w:lineRule="exact"/>
              <w:ind w:left="0" w:right="0"/>
              <w:jc w:val="center"/>
              <w:rPr>
                <w:rFonts w:hint="eastAsia" w:hAnsi="Times New Roman" w:eastAsia="宋体"/>
                <w:kern w:val="2"/>
                <w:sz w:val="21"/>
                <w:szCs w:val="21"/>
              </w:rPr>
            </w:pPr>
            <w:r>
              <w:rPr>
                <w:rFonts w:hint="eastAsia" w:hAnsi="Times New Roman" w:eastAsia="宋体"/>
                <w:kern w:val="2"/>
                <w:sz w:val="21"/>
                <w:szCs w:val="21"/>
              </w:rPr>
              <w:t>S1</w:t>
            </w:r>
          </w:p>
        </w:tc>
        <w:tc>
          <w:tcPr>
            <w:tcW w:w="2475" w:type="pct"/>
            <w:vAlign w:val="center"/>
          </w:tcPr>
          <w:p>
            <w:pPr>
              <w:keepNext w:val="0"/>
              <w:keepLines w:val="0"/>
              <w:suppressLineNumbers w:val="0"/>
              <w:autoSpaceDE w:val="0"/>
              <w:spacing w:before="0" w:beforeAutospacing="0" w:after="0" w:afterAutospacing="0" w:line="27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主井工业广场西侧水井</w:t>
            </w:r>
          </w:p>
        </w:tc>
        <w:tc>
          <w:tcPr>
            <w:tcW w:w="1914" w:type="pct"/>
            <w:vAlign w:val="center"/>
          </w:tcPr>
          <w:p>
            <w:pPr>
              <w:keepNext w:val="0"/>
              <w:keepLines w:val="0"/>
              <w:suppressLineNumbers w:val="0"/>
              <w:autoSpaceDE w:val="0"/>
              <w:spacing w:before="0" w:beforeAutospacing="0" w:after="0" w:afterAutospacing="0" w:line="270" w:lineRule="exact"/>
              <w:ind w:left="0" w:right="0"/>
              <w:jc w:val="center"/>
              <w:rPr>
                <w:rFonts w:hint="eastAsia" w:hAnsi="Times New Roman" w:eastAsia="宋体"/>
                <w:kern w:val="2"/>
                <w:sz w:val="21"/>
                <w:szCs w:val="21"/>
              </w:rPr>
            </w:pPr>
            <w:r>
              <w:rPr>
                <w:rFonts w:hint="eastAsia" w:hAnsi="Times New Roman" w:eastAsia="宋体"/>
                <w:kern w:val="2"/>
                <w:sz w:val="21"/>
                <w:szCs w:val="21"/>
              </w:rPr>
              <w:t>水位、水质监测点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1" w:type="pct"/>
            <w:vAlign w:val="center"/>
          </w:tcPr>
          <w:p>
            <w:pPr>
              <w:keepNext w:val="0"/>
              <w:keepLines w:val="0"/>
              <w:suppressLineNumbers w:val="0"/>
              <w:autoSpaceDE w:val="0"/>
              <w:spacing w:before="0" w:beforeAutospacing="0" w:after="0" w:afterAutospacing="0" w:line="270" w:lineRule="exact"/>
              <w:ind w:left="0" w:right="0"/>
              <w:jc w:val="center"/>
              <w:rPr>
                <w:rFonts w:hint="eastAsia" w:hAnsi="Times New Roman" w:eastAsia="宋体"/>
                <w:kern w:val="2"/>
                <w:sz w:val="21"/>
                <w:szCs w:val="21"/>
              </w:rPr>
            </w:pPr>
            <w:r>
              <w:rPr>
                <w:rFonts w:hint="eastAsia" w:hAnsi="Times New Roman" w:eastAsia="宋体"/>
                <w:kern w:val="2"/>
                <w:sz w:val="21"/>
                <w:szCs w:val="21"/>
              </w:rPr>
              <w:t>S2</w:t>
            </w:r>
          </w:p>
        </w:tc>
        <w:tc>
          <w:tcPr>
            <w:tcW w:w="2475" w:type="pct"/>
            <w:vAlign w:val="center"/>
          </w:tcPr>
          <w:p>
            <w:pPr>
              <w:keepNext w:val="0"/>
              <w:keepLines w:val="0"/>
              <w:suppressLineNumbers w:val="0"/>
              <w:autoSpaceDE w:val="0"/>
              <w:spacing w:before="0" w:beforeAutospacing="0" w:after="0" w:afterAutospacing="0" w:line="27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主井工业广场西北侧水井</w:t>
            </w:r>
          </w:p>
        </w:tc>
        <w:tc>
          <w:tcPr>
            <w:tcW w:w="1914" w:type="pct"/>
            <w:vAlign w:val="center"/>
          </w:tcPr>
          <w:p>
            <w:pPr>
              <w:keepNext w:val="0"/>
              <w:keepLines w:val="0"/>
              <w:suppressLineNumbers w:val="0"/>
              <w:autoSpaceDE w:val="0"/>
              <w:spacing w:before="0" w:beforeAutospacing="0" w:after="0" w:afterAutospacing="0" w:line="270" w:lineRule="exact"/>
              <w:ind w:left="0" w:right="0"/>
              <w:jc w:val="center"/>
              <w:rPr>
                <w:rFonts w:hint="eastAsia" w:hAnsi="Times New Roman" w:eastAsia="宋体"/>
                <w:kern w:val="2"/>
                <w:sz w:val="21"/>
                <w:szCs w:val="21"/>
              </w:rPr>
            </w:pPr>
            <w:r>
              <w:rPr>
                <w:rFonts w:hint="eastAsia" w:hAnsi="Times New Roman" w:eastAsia="宋体"/>
                <w:kern w:val="2"/>
                <w:sz w:val="21"/>
                <w:szCs w:val="21"/>
              </w:rPr>
              <w:t>水位、水质监测点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1" w:type="pct"/>
            <w:vAlign w:val="center"/>
          </w:tcPr>
          <w:p>
            <w:pPr>
              <w:keepNext w:val="0"/>
              <w:keepLines w:val="0"/>
              <w:suppressLineNumbers w:val="0"/>
              <w:autoSpaceDE w:val="0"/>
              <w:spacing w:before="0" w:beforeAutospacing="0" w:after="0" w:afterAutospacing="0" w:line="270" w:lineRule="exact"/>
              <w:ind w:left="0" w:right="0"/>
              <w:jc w:val="center"/>
              <w:rPr>
                <w:rFonts w:hint="eastAsia" w:hAnsi="Times New Roman" w:eastAsia="宋体"/>
                <w:kern w:val="2"/>
                <w:sz w:val="21"/>
                <w:szCs w:val="21"/>
              </w:rPr>
            </w:pPr>
            <w:r>
              <w:rPr>
                <w:rFonts w:hint="eastAsia" w:hAnsi="Times New Roman" w:eastAsia="宋体"/>
                <w:kern w:val="2"/>
                <w:sz w:val="21"/>
                <w:szCs w:val="21"/>
              </w:rPr>
              <w:t>S3</w:t>
            </w:r>
          </w:p>
        </w:tc>
        <w:tc>
          <w:tcPr>
            <w:tcW w:w="2475" w:type="pct"/>
            <w:vAlign w:val="center"/>
          </w:tcPr>
          <w:p>
            <w:pPr>
              <w:keepNext w:val="0"/>
              <w:keepLines w:val="0"/>
              <w:suppressLineNumbers w:val="0"/>
              <w:autoSpaceDE w:val="0"/>
              <w:spacing w:before="0" w:beforeAutospacing="0" w:after="0" w:afterAutospacing="0" w:line="27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工业广场外西北侧</w:t>
            </w:r>
          </w:p>
        </w:tc>
        <w:tc>
          <w:tcPr>
            <w:tcW w:w="1914" w:type="pct"/>
            <w:vAlign w:val="center"/>
          </w:tcPr>
          <w:p>
            <w:pPr>
              <w:keepNext w:val="0"/>
              <w:keepLines w:val="0"/>
              <w:suppressLineNumbers w:val="0"/>
              <w:autoSpaceDE w:val="0"/>
              <w:spacing w:before="0" w:beforeAutospacing="0" w:after="0" w:afterAutospacing="0" w:line="270" w:lineRule="exact"/>
              <w:ind w:left="0" w:right="0"/>
              <w:jc w:val="center"/>
              <w:rPr>
                <w:rFonts w:hint="eastAsia" w:hAnsi="Times New Roman" w:eastAsia="宋体"/>
                <w:kern w:val="2"/>
                <w:sz w:val="21"/>
                <w:szCs w:val="21"/>
              </w:rPr>
            </w:pPr>
            <w:r>
              <w:rPr>
                <w:rFonts w:hint="eastAsia" w:hAnsi="Times New Roman" w:eastAsia="宋体"/>
                <w:kern w:val="2"/>
                <w:sz w:val="21"/>
                <w:szCs w:val="21"/>
              </w:rPr>
              <w:t>水位、水质监测点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1"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S4</w:t>
            </w:r>
          </w:p>
        </w:tc>
        <w:tc>
          <w:tcPr>
            <w:tcW w:w="2475" w:type="pct"/>
            <w:vAlign w:val="center"/>
          </w:tcPr>
          <w:p>
            <w:pPr>
              <w:keepNext w:val="0"/>
              <w:keepLines w:val="0"/>
              <w:suppressLineNumbers w:val="0"/>
              <w:autoSpaceDE w:val="0"/>
              <w:spacing w:before="0" w:beforeAutospacing="0" w:after="0" w:afterAutospacing="0" w:line="27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工业广场外西侧</w:t>
            </w:r>
          </w:p>
        </w:tc>
        <w:tc>
          <w:tcPr>
            <w:tcW w:w="1914" w:type="pct"/>
            <w:vAlign w:val="center"/>
          </w:tcPr>
          <w:p>
            <w:pPr>
              <w:keepNext w:val="0"/>
              <w:keepLines w:val="0"/>
              <w:suppressLineNumbers w:val="0"/>
              <w:autoSpaceDE w:val="0"/>
              <w:spacing w:before="0" w:beforeAutospacing="0" w:after="0" w:afterAutospacing="0" w:line="270" w:lineRule="exact"/>
              <w:ind w:left="0" w:right="0"/>
              <w:jc w:val="center"/>
              <w:rPr>
                <w:rFonts w:hint="eastAsia" w:hAnsi="Times New Roman" w:eastAsia="宋体"/>
                <w:kern w:val="2"/>
                <w:sz w:val="21"/>
                <w:szCs w:val="21"/>
              </w:rPr>
            </w:pPr>
            <w:r>
              <w:rPr>
                <w:rFonts w:hint="eastAsia" w:hAnsi="Times New Roman" w:eastAsia="宋体"/>
                <w:kern w:val="2"/>
                <w:sz w:val="21"/>
                <w:szCs w:val="21"/>
              </w:rPr>
              <w:t>水位、水质监测点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1"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S5</w:t>
            </w:r>
          </w:p>
        </w:tc>
        <w:tc>
          <w:tcPr>
            <w:tcW w:w="2475" w:type="pct"/>
            <w:vAlign w:val="center"/>
          </w:tcPr>
          <w:p>
            <w:pPr>
              <w:keepNext w:val="0"/>
              <w:keepLines w:val="0"/>
              <w:suppressLineNumbers w:val="0"/>
              <w:autoSpaceDE w:val="0"/>
              <w:spacing w:before="0" w:beforeAutospacing="0" w:after="0" w:afterAutospacing="0" w:line="27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工业广场外南侧</w:t>
            </w:r>
          </w:p>
        </w:tc>
        <w:tc>
          <w:tcPr>
            <w:tcW w:w="1914" w:type="pct"/>
            <w:vAlign w:val="center"/>
          </w:tcPr>
          <w:p>
            <w:pPr>
              <w:keepNext w:val="0"/>
              <w:keepLines w:val="0"/>
              <w:suppressLineNumbers w:val="0"/>
              <w:autoSpaceDE w:val="0"/>
              <w:spacing w:before="0" w:beforeAutospacing="0" w:after="0" w:afterAutospacing="0" w:line="270" w:lineRule="exact"/>
              <w:ind w:left="0" w:right="0"/>
              <w:jc w:val="center"/>
              <w:rPr>
                <w:rFonts w:hint="eastAsia" w:hAnsi="Times New Roman" w:eastAsia="宋体"/>
                <w:kern w:val="2"/>
                <w:sz w:val="21"/>
                <w:szCs w:val="21"/>
              </w:rPr>
            </w:pPr>
            <w:r>
              <w:rPr>
                <w:rFonts w:hint="eastAsia" w:hAnsi="Times New Roman" w:eastAsia="宋体"/>
                <w:kern w:val="2"/>
                <w:sz w:val="21"/>
                <w:szCs w:val="21"/>
              </w:rPr>
              <w:t>水位、水质监测点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1"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S6</w:t>
            </w:r>
          </w:p>
        </w:tc>
        <w:tc>
          <w:tcPr>
            <w:tcW w:w="2475" w:type="pct"/>
            <w:vAlign w:val="center"/>
          </w:tcPr>
          <w:p>
            <w:pPr>
              <w:keepNext w:val="0"/>
              <w:keepLines w:val="0"/>
              <w:suppressLineNumbers w:val="0"/>
              <w:autoSpaceDE w:val="0"/>
              <w:spacing w:before="0" w:beforeAutospacing="0" w:after="0" w:afterAutospacing="0" w:line="27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矿区范围外陈家大院子</w:t>
            </w:r>
          </w:p>
        </w:tc>
        <w:tc>
          <w:tcPr>
            <w:tcW w:w="1914" w:type="pct"/>
            <w:vAlign w:val="center"/>
          </w:tcPr>
          <w:p>
            <w:pPr>
              <w:keepNext w:val="0"/>
              <w:keepLines w:val="0"/>
              <w:suppressLineNumbers w:val="0"/>
              <w:autoSpaceDE w:val="0"/>
              <w:spacing w:before="0" w:beforeAutospacing="0" w:after="0" w:afterAutospacing="0" w:line="270" w:lineRule="exact"/>
              <w:ind w:left="0" w:right="0"/>
              <w:jc w:val="center"/>
              <w:rPr>
                <w:rFonts w:hint="eastAsia" w:hAnsi="Times New Roman" w:eastAsia="宋体"/>
                <w:kern w:val="2"/>
                <w:sz w:val="21"/>
                <w:szCs w:val="21"/>
              </w:rPr>
            </w:pPr>
            <w:r>
              <w:rPr>
                <w:rFonts w:hint="eastAsia" w:hAnsi="Times New Roman" w:eastAsia="宋体"/>
                <w:kern w:val="2"/>
                <w:sz w:val="21"/>
                <w:szCs w:val="21"/>
              </w:rPr>
              <w:t>水位监测点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1"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S7</w:t>
            </w:r>
          </w:p>
        </w:tc>
        <w:tc>
          <w:tcPr>
            <w:tcW w:w="2475" w:type="pct"/>
            <w:vAlign w:val="center"/>
          </w:tcPr>
          <w:p>
            <w:pPr>
              <w:keepNext w:val="0"/>
              <w:keepLines w:val="0"/>
              <w:suppressLineNumbers w:val="0"/>
              <w:autoSpaceDE w:val="0"/>
              <w:spacing w:before="0" w:beforeAutospacing="0" w:after="0" w:afterAutospacing="0" w:line="27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矿区范围外肖家院子</w:t>
            </w:r>
          </w:p>
        </w:tc>
        <w:tc>
          <w:tcPr>
            <w:tcW w:w="1914" w:type="pct"/>
            <w:vAlign w:val="center"/>
          </w:tcPr>
          <w:p>
            <w:pPr>
              <w:keepNext w:val="0"/>
              <w:keepLines w:val="0"/>
              <w:suppressLineNumbers w:val="0"/>
              <w:autoSpaceDE w:val="0"/>
              <w:spacing w:before="0" w:beforeAutospacing="0" w:after="0" w:afterAutospacing="0" w:line="270" w:lineRule="exact"/>
              <w:ind w:left="0" w:right="0"/>
              <w:jc w:val="center"/>
              <w:rPr>
                <w:rFonts w:hint="eastAsia" w:hAnsi="Times New Roman" w:eastAsia="宋体"/>
                <w:kern w:val="2"/>
                <w:sz w:val="21"/>
                <w:szCs w:val="21"/>
              </w:rPr>
            </w:pPr>
            <w:r>
              <w:rPr>
                <w:rFonts w:hint="eastAsia" w:hAnsi="Times New Roman" w:eastAsia="宋体"/>
                <w:kern w:val="2"/>
                <w:sz w:val="21"/>
                <w:szCs w:val="21"/>
              </w:rPr>
              <w:t>水位监测点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1"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S8</w:t>
            </w:r>
          </w:p>
        </w:tc>
        <w:tc>
          <w:tcPr>
            <w:tcW w:w="2475" w:type="pct"/>
            <w:vAlign w:val="center"/>
          </w:tcPr>
          <w:p>
            <w:pPr>
              <w:keepNext w:val="0"/>
              <w:keepLines w:val="0"/>
              <w:suppressLineNumbers w:val="0"/>
              <w:autoSpaceDE w:val="0"/>
              <w:spacing w:before="0" w:beforeAutospacing="0" w:after="0" w:afterAutospacing="0" w:line="27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矿区范围外凼里头</w:t>
            </w:r>
          </w:p>
        </w:tc>
        <w:tc>
          <w:tcPr>
            <w:tcW w:w="1914" w:type="pct"/>
            <w:vAlign w:val="center"/>
          </w:tcPr>
          <w:p>
            <w:pPr>
              <w:keepNext w:val="0"/>
              <w:keepLines w:val="0"/>
              <w:suppressLineNumbers w:val="0"/>
              <w:autoSpaceDE w:val="0"/>
              <w:spacing w:before="0" w:beforeAutospacing="0" w:after="0" w:afterAutospacing="0" w:line="270" w:lineRule="exact"/>
              <w:ind w:left="0" w:right="0"/>
              <w:jc w:val="center"/>
              <w:rPr>
                <w:rFonts w:hint="eastAsia" w:hAnsi="Times New Roman" w:eastAsia="宋体"/>
                <w:kern w:val="2"/>
                <w:sz w:val="21"/>
                <w:szCs w:val="21"/>
              </w:rPr>
            </w:pPr>
            <w:r>
              <w:rPr>
                <w:rFonts w:hint="eastAsia" w:hAnsi="Times New Roman" w:eastAsia="宋体"/>
                <w:kern w:val="2"/>
                <w:sz w:val="21"/>
                <w:szCs w:val="21"/>
              </w:rPr>
              <w:t>水位监测点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1"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S9</w:t>
            </w:r>
          </w:p>
        </w:tc>
        <w:tc>
          <w:tcPr>
            <w:tcW w:w="2475" w:type="pct"/>
            <w:vAlign w:val="center"/>
          </w:tcPr>
          <w:p>
            <w:pPr>
              <w:keepNext w:val="0"/>
              <w:keepLines w:val="0"/>
              <w:suppressLineNumbers w:val="0"/>
              <w:autoSpaceDE w:val="0"/>
              <w:spacing w:before="0" w:beforeAutospacing="0" w:after="0" w:afterAutospacing="0" w:line="27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矿区范围外毛家老屋</w:t>
            </w:r>
          </w:p>
        </w:tc>
        <w:tc>
          <w:tcPr>
            <w:tcW w:w="1914" w:type="pct"/>
            <w:vAlign w:val="center"/>
          </w:tcPr>
          <w:p>
            <w:pPr>
              <w:keepNext w:val="0"/>
              <w:keepLines w:val="0"/>
              <w:suppressLineNumbers w:val="0"/>
              <w:autoSpaceDE w:val="0"/>
              <w:spacing w:before="0" w:beforeAutospacing="0" w:after="0" w:afterAutospacing="0" w:line="270" w:lineRule="exact"/>
              <w:ind w:left="0" w:right="0"/>
              <w:jc w:val="center"/>
              <w:rPr>
                <w:rFonts w:hint="eastAsia" w:hAnsi="Times New Roman" w:eastAsia="宋体"/>
                <w:kern w:val="2"/>
                <w:sz w:val="21"/>
                <w:szCs w:val="21"/>
              </w:rPr>
            </w:pPr>
            <w:r>
              <w:rPr>
                <w:rFonts w:hint="eastAsia" w:hAnsi="Times New Roman" w:eastAsia="宋体"/>
                <w:kern w:val="2"/>
                <w:sz w:val="21"/>
                <w:szCs w:val="21"/>
              </w:rPr>
              <w:t>水位监测点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1"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S10</w:t>
            </w:r>
          </w:p>
        </w:tc>
        <w:tc>
          <w:tcPr>
            <w:tcW w:w="2475" w:type="pct"/>
            <w:vAlign w:val="center"/>
          </w:tcPr>
          <w:p>
            <w:pPr>
              <w:keepNext w:val="0"/>
              <w:keepLines w:val="0"/>
              <w:suppressLineNumbers w:val="0"/>
              <w:autoSpaceDE w:val="0"/>
              <w:spacing w:before="0" w:beforeAutospacing="0" w:after="0" w:afterAutospacing="0" w:line="27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矿区范围外马家梁</w:t>
            </w:r>
          </w:p>
        </w:tc>
        <w:tc>
          <w:tcPr>
            <w:tcW w:w="1914" w:type="pct"/>
            <w:vAlign w:val="center"/>
          </w:tcPr>
          <w:p>
            <w:pPr>
              <w:keepNext w:val="0"/>
              <w:keepLines w:val="0"/>
              <w:suppressLineNumbers w:val="0"/>
              <w:autoSpaceDE w:val="0"/>
              <w:spacing w:before="0" w:beforeAutospacing="0" w:after="0" w:afterAutospacing="0" w:line="270" w:lineRule="exact"/>
              <w:ind w:left="0" w:right="0"/>
              <w:jc w:val="center"/>
              <w:rPr>
                <w:rFonts w:hint="eastAsia" w:hAnsi="Times New Roman" w:eastAsia="宋体"/>
                <w:kern w:val="2"/>
                <w:sz w:val="21"/>
                <w:szCs w:val="21"/>
              </w:rPr>
            </w:pPr>
            <w:r>
              <w:rPr>
                <w:rFonts w:hint="eastAsia" w:hAnsi="Times New Roman" w:eastAsia="宋体"/>
                <w:kern w:val="2"/>
                <w:sz w:val="21"/>
                <w:szCs w:val="21"/>
              </w:rPr>
              <w:t>水位监测点</w:t>
            </w:r>
          </w:p>
        </w:tc>
      </w:tr>
    </w:tbl>
    <w:p>
      <w:pPr>
        <w:spacing w:line="360" w:lineRule="auto"/>
        <w:ind w:firstLine="361" w:firstLineChars="150"/>
        <w:rPr>
          <w:rFonts w:hAnsi="Times New Roman" w:eastAsia="宋体"/>
          <w:b/>
        </w:rPr>
      </w:pPr>
      <w:r>
        <w:rPr>
          <w:rFonts w:hAnsi="Times New Roman" w:eastAsia="宋体"/>
          <w:b/>
        </w:rPr>
        <w:t>（2）监测项目</w:t>
      </w:r>
    </w:p>
    <w:p>
      <w:pPr>
        <w:spacing w:line="360" w:lineRule="auto"/>
        <w:ind w:firstLine="480" w:firstLineChars="200"/>
        <w:rPr>
          <w:rFonts w:hAnsi="Times New Roman" w:eastAsia="宋体"/>
        </w:rPr>
      </w:pPr>
      <w:r>
        <w:rPr>
          <w:rFonts w:hAnsi="Times New Roman" w:eastAsia="宋体"/>
          <w:szCs w:val="24"/>
        </w:rPr>
        <w:t>①</w:t>
      </w:r>
      <w:r>
        <w:rPr>
          <w:rFonts w:hAnsi="Times New Roman" w:eastAsia="宋体"/>
        </w:rPr>
        <w:t>常规因子：K</w:t>
      </w:r>
      <w:r>
        <w:rPr>
          <w:rFonts w:hAnsi="Times New Roman" w:eastAsia="宋体"/>
          <w:vertAlign w:val="superscript"/>
        </w:rPr>
        <w:t>+</w:t>
      </w:r>
      <w:r>
        <w:rPr>
          <w:rFonts w:hAnsi="Times New Roman" w:eastAsia="宋体"/>
        </w:rPr>
        <w:t>、Na</w:t>
      </w:r>
      <w:r>
        <w:rPr>
          <w:rFonts w:hAnsi="Times New Roman" w:eastAsia="宋体"/>
          <w:vertAlign w:val="superscript"/>
        </w:rPr>
        <w:t>+</w:t>
      </w:r>
      <w:r>
        <w:rPr>
          <w:rFonts w:hAnsi="Times New Roman" w:eastAsia="宋体"/>
        </w:rPr>
        <w:t>、Ca</w:t>
      </w:r>
      <w:r>
        <w:rPr>
          <w:rFonts w:hAnsi="Times New Roman" w:eastAsia="宋体"/>
          <w:vertAlign w:val="superscript"/>
        </w:rPr>
        <w:t>+</w:t>
      </w:r>
      <w:r>
        <w:rPr>
          <w:rFonts w:hAnsi="Times New Roman" w:eastAsia="宋体"/>
        </w:rPr>
        <w:t>、Mg</w:t>
      </w:r>
      <w:r>
        <w:rPr>
          <w:rFonts w:hAnsi="Times New Roman" w:eastAsia="宋体"/>
          <w:vertAlign w:val="superscript"/>
        </w:rPr>
        <w:t>+</w:t>
      </w:r>
      <w:r>
        <w:rPr>
          <w:rFonts w:hAnsi="Times New Roman" w:eastAsia="宋体"/>
        </w:rPr>
        <w:t>、CO</w:t>
      </w:r>
      <w:r>
        <w:rPr>
          <w:rFonts w:hAnsi="Times New Roman" w:eastAsia="宋体"/>
          <w:vertAlign w:val="subscript"/>
        </w:rPr>
        <w:t>3</w:t>
      </w:r>
      <w:r>
        <w:rPr>
          <w:rFonts w:hAnsi="Times New Roman" w:eastAsia="宋体"/>
          <w:vertAlign w:val="superscript"/>
        </w:rPr>
        <w:t>2-</w:t>
      </w:r>
      <w:r>
        <w:rPr>
          <w:rFonts w:hAnsi="Times New Roman" w:eastAsia="宋体"/>
        </w:rPr>
        <w:t>、HCO</w:t>
      </w:r>
      <w:r>
        <w:rPr>
          <w:rFonts w:hAnsi="Times New Roman" w:eastAsia="宋体"/>
          <w:vertAlign w:val="subscript"/>
        </w:rPr>
        <w:t>3</w:t>
      </w:r>
      <w:r>
        <w:rPr>
          <w:rFonts w:hAnsi="Times New Roman" w:eastAsia="宋体"/>
          <w:vertAlign w:val="superscript"/>
        </w:rPr>
        <w:t>-</w:t>
      </w:r>
      <w:r>
        <w:rPr>
          <w:rFonts w:hAnsi="Times New Roman" w:eastAsia="宋体"/>
        </w:rPr>
        <w:t>、Cl</w:t>
      </w:r>
      <w:r>
        <w:rPr>
          <w:rFonts w:hAnsi="Times New Roman" w:eastAsia="宋体"/>
          <w:vertAlign w:val="superscript"/>
        </w:rPr>
        <w:t>-</w:t>
      </w:r>
      <w:r>
        <w:rPr>
          <w:rFonts w:hAnsi="Times New Roman" w:eastAsia="宋体"/>
        </w:rPr>
        <w:t>、SO</w:t>
      </w:r>
      <w:r>
        <w:rPr>
          <w:rFonts w:hAnsi="Times New Roman" w:eastAsia="宋体"/>
          <w:vertAlign w:val="subscript"/>
        </w:rPr>
        <w:t>4</w:t>
      </w:r>
      <w:r>
        <w:rPr>
          <w:rFonts w:hAnsi="Times New Roman" w:eastAsia="宋体"/>
          <w:vertAlign w:val="superscript"/>
        </w:rPr>
        <w:t>2-</w:t>
      </w:r>
      <w:r>
        <w:rPr>
          <w:rFonts w:hAnsi="Times New Roman" w:eastAsia="宋体"/>
        </w:rPr>
        <w:t>；</w:t>
      </w:r>
    </w:p>
    <w:p>
      <w:pPr>
        <w:spacing w:line="360" w:lineRule="auto"/>
        <w:ind w:firstLine="480" w:firstLineChars="200"/>
        <w:rPr>
          <w:rFonts w:hAnsi="Times New Roman" w:eastAsia="宋体"/>
        </w:rPr>
      </w:pPr>
      <w:r>
        <w:rPr>
          <w:rFonts w:hAnsi="Times New Roman" w:eastAsia="宋体"/>
        </w:rPr>
        <w:t>②水质因子：pH、氨氮、硝酸盐、亚硝酸盐、挥发性酚类、氰化物、砷、汞、铬、铬</w:t>
      </w:r>
      <w:r>
        <w:rPr>
          <w:rFonts w:hint="eastAsia" w:hAnsi="Times New Roman" w:eastAsia="宋体"/>
          <w:lang w:eastAsia="zh-CN"/>
        </w:rPr>
        <w:t>（</w:t>
      </w:r>
      <w:r>
        <w:rPr>
          <w:rFonts w:hAnsi="Times New Roman" w:eastAsia="宋体"/>
        </w:rPr>
        <w:t>六价</w:t>
      </w:r>
      <w:r>
        <w:rPr>
          <w:rFonts w:hint="eastAsia" w:hAnsi="Times New Roman" w:eastAsia="宋体"/>
          <w:lang w:eastAsia="zh-CN"/>
        </w:rPr>
        <w:t>）</w:t>
      </w:r>
      <w:r>
        <w:rPr>
          <w:rFonts w:hAnsi="Times New Roman" w:eastAsia="宋体"/>
        </w:rPr>
        <w:t>、总硬度、铅、氟化物、镉、铁、锰、溶解性总固体、高锰酸盐指数、硫酸盐、氯化物、总大肠菌群、石油类、锌</w:t>
      </w:r>
      <w:r>
        <w:rPr>
          <w:rFonts w:hAnsi="Times New Roman" w:eastAsia="宋体"/>
          <w:lang w:eastAsia="zh-CN"/>
        </w:rPr>
        <w:t>、石油类</w:t>
      </w:r>
      <w:r>
        <w:rPr>
          <w:rFonts w:hAnsi="Times New Roman" w:eastAsia="宋体"/>
        </w:rPr>
        <w:t>；</w:t>
      </w:r>
    </w:p>
    <w:p>
      <w:pPr>
        <w:spacing w:line="360" w:lineRule="auto"/>
        <w:ind w:firstLine="361" w:firstLineChars="150"/>
        <w:rPr>
          <w:rFonts w:hAnsi="Times New Roman" w:eastAsia="宋体"/>
          <w:b/>
        </w:rPr>
      </w:pPr>
      <w:r>
        <w:rPr>
          <w:rFonts w:hAnsi="Times New Roman" w:eastAsia="宋体"/>
          <w:b/>
        </w:rPr>
        <w:t>（3）监测时间</w:t>
      </w:r>
    </w:p>
    <w:p>
      <w:pPr>
        <w:spacing w:line="360" w:lineRule="auto"/>
        <w:ind w:firstLine="480"/>
        <w:rPr>
          <w:rFonts w:hAnsi="Times New Roman" w:eastAsia="宋体"/>
          <w:szCs w:val="24"/>
        </w:rPr>
      </w:pPr>
      <w:r>
        <w:rPr>
          <w:rFonts w:hAnsi="Times New Roman" w:eastAsia="宋体"/>
          <w:szCs w:val="24"/>
        </w:rPr>
        <w:t>监测时间：</w:t>
      </w:r>
      <w:r>
        <w:rPr>
          <w:rFonts w:hint="eastAsia" w:hAnsi="Times New Roman" w:eastAsia="宋体"/>
          <w:szCs w:val="24"/>
          <w:lang w:eastAsia="zh-CN"/>
        </w:rPr>
        <w:t>S3~S15为</w:t>
      </w:r>
      <w:r>
        <w:rPr>
          <w:rFonts w:hAnsi="Times New Roman" w:eastAsia="宋体"/>
          <w:szCs w:val="24"/>
          <w:lang w:eastAsia="zh-CN"/>
        </w:rPr>
        <w:t>2022年1月6日</w:t>
      </w:r>
      <w:r>
        <w:rPr>
          <w:rFonts w:hint="eastAsia" w:hAnsi="Times New Roman" w:eastAsia="宋体"/>
          <w:szCs w:val="24"/>
        </w:rPr>
        <w:t>监测</w:t>
      </w:r>
      <w:r>
        <w:rPr>
          <w:rFonts w:hint="eastAsia" w:hAnsi="Times New Roman" w:eastAsia="宋体"/>
          <w:szCs w:val="24"/>
          <w:lang w:eastAsia="zh-CN"/>
        </w:rPr>
        <w:t>1</w:t>
      </w:r>
      <w:r>
        <w:rPr>
          <w:rFonts w:hint="eastAsia" w:hAnsi="Times New Roman" w:eastAsia="宋体"/>
          <w:szCs w:val="24"/>
        </w:rPr>
        <w:t>天；</w:t>
      </w:r>
      <w:r>
        <w:rPr>
          <w:rFonts w:hint="eastAsia" w:hAnsi="Times New Roman" w:eastAsia="宋体"/>
          <w:szCs w:val="24"/>
          <w:lang w:eastAsia="zh-CN"/>
        </w:rPr>
        <w:t>S1~S2为2024年3月1日监测1天</w:t>
      </w:r>
      <w:r>
        <w:rPr>
          <w:rFonts w:hAnsi="Times New Roman" w:eastAsia="宋体"/>
          <w:szCs w:val="24"/>
        </w:rPr>
        <w:t>。</w:t>
      </w:r>
    </w:p>
    <w:p>
      <w:pPr>
        <w:spacing w:line="360" w:lineRule="auto"/>
        <w:ind w:firstLine="361" w:firstLineChars="150"/>
        <w:rPr>
          <w:rFonts w:hAnsi="Times New Roman" w:eastAsia="宋体"/>
          <w:b/>
        </w:rPr>
      </w:pPr>
      <w:r>
        <w:rPr>
          <w:rFonts w:hAnsi="Times New Roman" w:eastAsia="宋体"/>
          <w:b/>
        </w:rPr>
        <w:t>（4）监测结果</w:t>
      </w:r>
    </w:p>
    <w:p>
      <w:pPr>
        <w:spacing w:line="360" w:lineRule="auto"/>
        <w:ind w:firstLine="480" w:firstLineChars="200"/>
        <w:rPr>
          <w:rFonts w:hAnsi="Times New Roman" w:eastAsia="宋体"/>
          <w:szCs w:val="24"/>
        </w:rPr>
      </w:pPr>
      <w:r>
        <w:rPr>
          <w:rFonts w:hAnsi="Times New Roman" w:eastAsia="宋体"/>
          <w:szCs w:val="24"/>
        </w:rPr>
        <w:t>区域地下水环境质量现状监测结果见表</w:t>
      </w:r>
      <w:r>
        <w:rPr>
          <w:rFonts w:hAnsi="Times New Roman" w:eastAsia="宋体"/>
          <w:szCs w:val="24"/>
          <w:lang w:eastAsia="zh-CN"/>
        </w:rPr>
        <w:t>3.2-</w:t>
      </w:r>
      <w:r>
        <w:rPr>
          <w:rFonts w:hint="eastAsia" w:hAnsi="Times New Roman" w:eastAsia="宋体"/>
          <w:szCs w:val="24"/>
          <w:lang w:eastAsia="zh-CN"/>
        </w:rPr>
        <w:t>11</w:t>
      </w:r>
      <w:r>
        <w:rPr>
          <w:rFonts w:hAnsi="Times New Roman" w:eastAsia="宋体"/>
          <w:szCs w:val="24"/>
        </w:rPr>
        <w:t>。</w:t>
      </w:r>
    </w:p>
    <w:p>
      <w:pPr>
        <w:spacing w:line="360" w:lineRule="auto"/>
        <w:jc w:val="center"/>
        <w:rPr>
          <w:rFonts w:hAnsi="Times New Roman" w:eastAsia="宋体"/>
          <w:b/>
          <w:bCs/>
          <w:sz w:val="21"/>
          <w:szCs w:val="21"/>
          <w:lang w:eastAsia="zh-CN"/>
        </w:rPr>
      </w:pPr>
      <w:r>
        <w:rPr>
          <w:rFonts w:hAnsi="Times New Roman" w:eastAsia="宋体"/>
          <w:b/>
          <w:bCs/>
          <w:lang w:eastAsia="zh-CN"/>
        </w:rPr>
        <w:t xml:space="preserve">           </w:t>
      </w:r>
      <w:r>
        <w:rPr>
          <w:rFonts w:hAnsi="Times New Roman" w:eastAsia="宋体"/>
          <w:b/>
          <w:bCs/>
          <w:sz w:val="21"/>
          <w:szCs w:val="21"/>
          <w:lang w:eastAsia="zh-CN"/>
        </w:rPr>
        <w:t xml:space="preserve">       </w:t>
      </w:r>
      <w:r>
        <w:rPr>
          <w:rFonts w:hAnsi="Times New Roman" w:eastAsia="宋体"/>
          <w:b/>
          <w:bCs/>
          <w:sz w:val="21"/>
          <w:szCs w:val="21"/>
        </w:rPr>
        <w:t>表</w:t>
      </w:r>
      <w:r>
        <w:rPr>
          <w:rFonts w:hAnsi="Times New Roman" w:eastAsia="宋体"/>
          <w:b/>
          <w:bCs/>
          <w:sz w:val="21"/>
          <w:szCs w:val="21"/>
          <w:lang w:eastAsia="zh-CN"/>
        </w:rPr>
        <w:t>3.2</w:t>
      </w:r>
      <w:r>
        <w:rPr>
          <w:rFonts w:hAnsi="Times New Roman" w:eastAsia="宋体"/>
          <w:b/>
          <w:bCs/>
          <w:sz w:val="21"/>
          <w:szCs w:val="21"/>
        </w:rPr>
        <w:t>-</w:t>
      </w:r>
      <w:r>
        <w:rPr>
          <w:rFonts w:hint="eastAsia" w:hAnsi="Times New Roman" w:eastAsia="宋体"/>
          <w:b/>
          <w:bCs/>
          <w:sz w:val="21"/>
          <w:szCs w:val="21"/>
          <w:lang w:eastAsia="zh-CN"/>
        </w:rPr>
        <w:t>11</w:t>
      </w:r>
      <w:r>
        <w:rPr>
          <w:rFonts w:hAnsi="Times New Roman" w:eastAsia="宋体"/>
          <w:b/>
          <w:bCs/>
          <w:sz w:val="21"/>
          <w:szCs w:val="21"/>
        </w:rPr>
        <w:t>地下水环境质量现状监测结果</w:t>
      </w:r>
      <w:r>
        <w:rPr>
          <w:rFonts w:hAnsi="Times New Roman" w:eastAsia="宋体"/>
          <w:b/>
          <w:bCs/>
          <w:sz w:val="21"/>
          <w:szCs w:val="21"/>
          <w:lang w:eastAsia="zh-CN"/>
        </w:rPr>
        <w:t xml:space="preserve">              </w:t>
      </w:r>
      <w:r>
        <w:rPr>
          <w:rFonts w:hAnsi="Times New Roman" w:eastAsia="宋体"/>
          <w:sz w:val="21"/>
          <w:szCs w:val="21"/>
        </w:rPr>
        <w:t>单位：mg/L</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6"/>
        <w:gridCol w:w="1547"/>
        <w:gridCol w:w="1495"/>
        <w:gridCol w:w="1250"/>
        <w:gridCol w:w="1173"/>
        <w:gridCol w:w="1174"/>
        <w:gridCol w:w="14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03" w:type="pct"/>
            <w:vMerge w:val="restar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检测因子</w:t>
            </w:r>
          </w:p>
        </w:tc>
        <w:tc>
          <w:tcPr>
            <w:tcW w:w="3641" w:type="pct"/>
            <w:gridSpan w:val="5"/>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检测点位及结果</w:t>
            </w:r>
          </w:p>
        </w:tc>
        <w:tc>
          <w:tcPr>
            <w:tcW w:w="756" w:type="pct"/>
            <w:vMerge w:val="restar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03" w:type="pct"/>
            <w:vMerge w:val="continue"/>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p>
        </w:tc>
        <w:tc>
          <w:tcPr>
            <w:tcW w:w="849"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r>
              <w:rPr>
                <w:rFonts w:hint="eastAsia" w:hAnsi="Times New Roman" w:eastAsia="宋体"/>
                <w:b/>
                <w:kern w:val="2"/>
                <w:sz w:val="21"/>
                <w:szCs w:val="21"/>
              </w:rPr>
              <w:t>S1主井工业广场西侧水井</w:t>
            </w:r>
          </w:p>
        </w:tc>
        <w:tc>
          <w:tcPr>
            <w:tcW w:w="821"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r>
              <w:rPr>
                <w:rFonts w:hint="eastAsia" w:hAnsi="Times New Roman" w:eastAsia="宋体"/>
                <w:b/>
                <w:kern w:val="2"/>
                <w:sz w:val="21"/>
                <w:szCs w:val="21"/>
              </w:rPr>
              <w:t>S2主井工业广场外西北侧水井</w:t>
            </w:r>
          </w:p>
        </w:tc>
        <w:tc>
          <w:tcPr>
            <w:tcW w:w="690"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kern w:val="2"/>
                <w:sz w:val="21"/>
                <w:szCs w:val="21"/>
              </w:rPr>
            </w:pPr>
            <w:r>
              <w:rPr>
                <w:rFonts w:hint="eastAsia" w:hAnsi="Times New Roman" w:eastAsia="宋体"/>
                <w:b/>
                <w:kern w:val="2"/>
                <w:sz w:val="21"/>
                <w:szCs w:val="21"/>
              </w:rPr>
              <w:t>S3工业广场外西北侧</w:t>
            </w:r>
          </w:p>
        </w:tc>
        <w:tc>
          <w:tcPr>
            <w:tcW w:w="637"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kern w:val="2"/>
                <w:sz w:val="21"/>
                <w:szCs w:val="21"/>
              </w:rPr>
            </w:pPr>
            <w:r>
              <w:rPr>
                <w:rFonts w:hint="eastAsia" w:hAnsi="Times New Roman" w:eastAsia="宋体"/>
                <w:b/>
                <w:kern w:val="2"/>
                <w:sz w:val="21"/>
                <w:szCs w:val="21"/>
              </w:rPr>
              <w:t>S4工业广场外西侧</w:t>
            </w:r>
          </w:p>
        </w:tc>
        <w:tc>
          <w:tcPr>
            <w:tcW w:w="644"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kern w:val="2"/>
                <w:sz w:val="21"/>
                <w:szCs w:val="21"/>
              </w:rPr>
            </w:pPr>
            <w:r>
              <w:rPr>
                <w:rFonts w:hint="eastAsia" w:hAnsi="Times New Roman" w:eastAsia="宋体"/>
                <w:b/>
                <w:kern w:val="2"/>
                <w:sz w:val="21"/>
                <w:szCs w:val="21"/>
              </w:rPr>
              <w:t>S5工业广场外南侧</w:t>
            </w:r>
          </w:p>
        </w:tc>
        <w:tc>
          <w:tcPr>
            <w:tcW w:w="756" w:type="pct"/>
            <w:vMerge w:val="continue"/>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03" w:type="pct"/>
            <w:vMerge w:val="continue"/>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p>
        </w:tc>
        <w:tc>
          <w:tcPr>
            <w:tcW w:w="849"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r>
              <w:rPr>
                <w:rFonts w:hint="eastAsia" w:hAnsi="Times New Roman" w:eastAsia="宋体"/>
                <w:bCs/>
                <w:kern w:val="2"/>
                <w:sz w:val="21"/>
                <w:szCs w:val="21"/>
                <w:lang w:eastAsia="zh-CN"/>
              </w:rPr>
              <w:t>2024/03/01</w:t>
            </w:r>
          </w:p>
        </w:tc>
        <w:tc>
          <w:tcPr>
            <w:tcW w:w="821"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r>
              <w:rPr>
                <w:rFonts w:hint="eastAsia" w:hAnsi="Times New Roman" w:eastAsia="宋体"/>
                <w:bCs/>
                <w:kern w:val="2"/>
                <w:sz w:val="21"/>
                <w:szCs w:val="21"/>
                <w:lang w:eastAsia="zh-CN"/>
              </w:rPr>
              <w:t>2024/03/01</w:t>
            </w:r>
          </w:p>
        </w:tc>
        <w:tc>
          <w:tcPr>
            <w:tcW w:w="690"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lang w:eastAsia="zh-CN"/>
              </w:rPr>
              <w:t>2022/01/06</w:t>
            </w:r>
          </w:p>
        </w:tc>
        <w:tc>
          <w:tcPr>
            <w:tcW w:w="637"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lang w:eastAsia="zh-CN"/>
              </w:rPr>
              <w:t>2022/01/06</w:t>
            </w:r>
          </w:p>
        </w:tc>
        <w:tc>
          <w:tcPr>
            <w:tcW w:w="644"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lang w:eastAsia="zh-CN"/>
              </w:rPr>
              <w:t>2022/01/06</w:t>
            </w:r>
          </w:p>
        </w:tc>
        <w:tc>
          <w:tcPr>
            <w:tcW w:w="756" w:type="pct"/>
            <w:vMerge w:val="continue"/>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b/>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pH（无量纲）</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7.</w:t>
            </w:r>
            <w:r>
              <w:rPr>
                <w:rFonts w:hint="eastAsia" w:hAnsi="Times New Roman" w:eastAsia="宋体"/>
                <w:kern w:val="2"/>
                <w:sz w:val="21"/>
                <w:szCs w:val="21"/>
                <w:lang w:eastAsia="zh-CN"/>
              </w:rPr>
              <w:t>4</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7.</w:t>
            </w:r>
            <w:r>
              <w:rPr>
                <w:rFonts w:hint="eastAsia" w:hAnsi="Times New Roman" w:eastAsia="宋体"/>
                <w:kern w:val="2"/>
                <w:sz w:val="21"/>
                <w:szCs w:val="21"/>
                <w:lang w:eastAsia="zh-CN"/>
              </w:rPr>
              <w:t>4</w:t>
            </w:r>
          </w:p>
        </w:tc>
        <w:tc>
          <w:tcPr>
            <w:tcW w:w="690"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rPr>
              <w:t>7.2</w:t>
            </w:r>
          </w:p>
        </w:tc>
        <w:tc>
          <w:tcPr>
            <w:tcW w:w="637"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rPr>
              <w:t>7.3</w:t>
            </w:r>
          </w:p>
        </w:tc>
        <w:tc>
          <w:tcPr>
            <w:tcW w:w="644"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rPr>
              <w:t>7.2</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6.5~8.5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bCs/>
                <w:kern w:val="2"/>
                <w:sz w:val="21"/>
                <w:szCs w:val="21"/>
              </w:rPr>
              <w:t>氨氮</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0.121</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0.088</w:t>
            </w:r>
          </w:p>
        </w:tc>
        <w:tc>
          <w:tcPr>
            <w:tcW w:w="690"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rPr>
              <w:t>0.102</w:t>
            </w:r>
          </w:p>
        </w:tc>
        <w:tc>
          <w:tcPr>
            <w:tcW w:w="637"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0.089</w:t>
            </w:r>
          </w:p>
        </w:tc>
        <w:tc>
          <w:tcPr>
            <w:tcW w:w="644"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0.044</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硝酸盐（以N计）</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0.080</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0.004</w:t>
            </w:r>
            <w:r>
              <w:rPr>
                <w:rFonts w:hint="eastAsia" w:hAnsi="Times New Roman" w:eastAsia="宋体"/>
                <w:kern w:val="2"/>
                <w:sz w:val="21"/>
                <w:szCs w:val="21"/>
                <w:vertAlign w:val="superscript"/>
                <w:lang w:eastAsia="zh-CN"/>
              </w:rPr>
              <w:t>L</w:t>
            </w:r>
          </w:p>
        </w:tc>
        <w:tc>
          <w:tcPr>
            <w:tcW w:w="690"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0.650</w:t>
            </w:r>
          </w:p>
        </w:tc>
        <w:tc>
          <w:tcPr>
            <w:tcW w:w="637"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0.630</w:t>
            </w:r>
          </w:p>
        </w:tc>
        <w:tc>
          <w:tcPr>
            <w:tcW w:w="644"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3.21</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bCs/>
                <w:kern w:val="2"/>
                <w:sz w:val="21"/>
                <w:szCs w:val="21"/>
              </w:rPr>
              <w:t>亚硝酸盐（以N计）</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rPr>
              <w:t>0.</w:t>
            </w:r>
            <w:r>
              <w:rPr>
                <w:rFonts w:hint="eastAsia" w:hAnsi="Times New Roman" w:eastAsia="宋体"/>
                <w:kern w:val="2"/>
                <w:sz w:val="21"/>
                <w:szCs w:val="21"/>
                <w:lang w:eastAsia="zh-CN"/>
              </w:rPr>
              <w:t>041</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0.039</w:t>
            </w:r>
          </w:p>
        </w:tc>
        <w:tc>
          <w:tcPr>
            <w:tcW w:w="690"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0.008</w:t>
            </w:r>
          </w:p>
        </w:tc>
        <w:tc>
          <w:tcPr>
            <w:tcW w:w="637"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0.007</w:t>
            </w:r>
          </w:p>
        </w:tc>
        <w:tc>
          <w:tcPr>
            <w:tcW w:w="644"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0.015</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挥发性酚类</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0.0003</w:t>
            </w:r>
            <w:r>
              <w:rPr>
                <w:rFonts w:hint="eastAsia" w:hAnsi="Times New Roman" w:eastAsia="宋体"/>
                <w:kern w:val="2"/>
                <w:sz w:val="21"/>
                <w:szCs w:val="21"/>
                <w:vertAlign w:val="superscript"/>
              </w:rPr>
              <w:t>L</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0.0003</w:t>
            </w:r>
            <w:r>
              <w:rPr>
                <w:rFonts w:hint="eastAsia" w:hAnsi="Times New Roman" w:eastAsia="宋体"/>
                <w:kern w:val="2"/>
                <w:sz w:val="21"/>
                <w:szCs w:val="21"/>
                <w:vertAlign w:val="superscript"/>
              </w:rPr>
              <w:t>L</w:t>
            </w:r>
          </w:p>
        </w:tc>
        <w:tc>
          <w:tcPr>
            <w:tcW w:w="690"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0.0003</w:t>
            </w:r>
            <w:r>
              <w:rPr>
                <w:rFonts w:hint="eastAsia" w:hAnsi="Times New Roman" w:eastAsia="宋体"/>
                <w:kern w:val="2"/>
                <w:sz w:val="21"/>
                <w:szCs w:val="21"/>
                <w:vertAlign w:val="superscript"/>
                <w:lang w:eastAsia="zh-CN" w:bidi="ar"/>
              </w:rPr>
              <w:t>L</w:t>
            </w:r>
          </w:p>
        </w:tc>
        <w:tc>
          <w:tcPr>
            <w:tcW w:w="637"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0.0003</w:t>
            </w:r>
            <w:r>
              <w:rPr>
                <w:rFonts w:hint="eastAsia" w:hAnsi="Times New Roman" w:eastAsia="宋体"/>
                <w:kern w:val="2"/>
                <w:sz w:val="21"/>
                <w:szCs w:val="21"/>
                <w:vertAlign w:val="superscript"/>
                <w:lang w:eastAsia="zh-CN" w:bidi="ar"/>
              </w:rPr>
              <w:t>L</w:t>
            </w:r>
          </w:p>
        </w:tc>
        <w:tc>
          <w:tcPr>
            <w:tcW w:w="644"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0.0003</w:t>
            </w:r>
            <w:r>
              <w:rPr>
                <w:rFonts w:hint="eastAsia" w:hAnsi="Times New Roman" w:eastAsia="宋体"/>
                <w:kern w:val="2"/>
                <w:sz w:val="21"/>
                <w:szCs w:val="21"/>
                <w:vertAlign w:val="superscript"/>
                <w:lang w:eastAsia="zh-CN" w:bidi="ar"/>
              </w:rPr>
              <w:t>L</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bCs/>
                <w:kern w:val="2"/>
                <w:sz w:val="21"/>
                <w:szCs w:val="21"/>
              </w:rPr>
              <w:t>氰化物</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0.001</w:t>
            </w:r>
            <w:r>
              <w:rPr>
                <w:rFonts w:hint="eastAsia" w:hAnsi="Times New Roman" w:eastAsia="宋体"/>
                <w:kern w:val="2"/>
                <w:sz w:val="21"/>
                <w:szCs w:val="21"/>
                <w:vertAlign w:val="superscript"/>
              </w:rPr>
              <w:t>L</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0.001</w:t>
            </w:r>
            <w:r>
              <w:rPr>
                <w:rFonts w:hint="eastAsia" w:hAnsi="Times New Roman" w:eastAsia="宋体"/>
                <w:kern w:val="2"/>
                <w:sz w:val="21"/>
                <w:szCs w:val="21"/>
                <w:vertAlign w:val="superscript"/>
              </w:rPr>
              <w:t>L</w:t>
            </w:r>
          </w:p>
        </w:tc>
        <w:tc>
          <w:tcPr>
            <w:tcW w:w="690"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0.001</w:t>
            </w:r>
            <w:r>
              <w:rPr>
                <w:rFonts w:hint="eastAsia" w:hAnsi="Times New Roman" w:eastAsia="宋体"/>
                <w:kern w:val="2"/>
                <w:sz w:val="21"/>
                <w:szCs w:val="21"/>
                <w:vertAlign w:val="superscript"/>
                <w:lang w:eastAsia="zh-CN" w:bidi="ar"/>
              </w:rPr>
              <w:t>L</w:t>
            </w:r>
          </w:p>
        </w:tc>
        <w:tc>
          <w:tcPr>
            <w:tcW w:w="637"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0.001</w:t>
            </w:r>
            <w:r>
              <w:rPr>
                <w:rFonts w:hint="eastAsia" w:hAnsi="Times New Roman" w:eastAsia="宋体"/>
                <w:kern w:val="2"/>
                <w:sz w:val="21"/>
                <w:szCs w:val="21"/>
                <w:vertAlign w:val="superscript"/>
                <w:lang w:eastAsia="zh-CN" w:bidi="ar"/>
              </w:rPr>
              <w:t>L</w:t>
            </w:r>
          </w:p>
        </w:tc>
        <w:tc>
          <w:tcPr>
            <w:tcW w:w="644"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0.001</w:t>
            </w:r>
            <w:r>
              <w:rPr>
                <w:rFonts w:hint="eastAsia" w:hAnsi="Times New Roman" w:eastAsia="宋体"/>
                <w:kern w:val="2"/>
                <w:sz w:val="21"/>
                <w:szCs w:val="21"/>
                <w:vertAlign w:val="superscript"/>
                <w:lang w:eastAsia="zh-CN" w:bidi="ar"/>
              </w:rPr>
              <w:t>L</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bCs/>
                <w:kern w:val="2"/>
                <w:sz w:val="21"/>
                <w:szCs w:val="21"/>
              </w:rPr>
              <w:t>砷</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0.0003</w:t>
            </w:r>
            <w:r>
              <w:rPr>
                <w:rFonts w:hint="eastAsia" w:hAnsi="Times New Roman" w:eastAsia="宋体"/>
                <w:kern w:val="2"/>
                <w:sz w:val="21"/>
                <w:szCs w:val="21"/>
                <w:vertAlign w:val="superscript"/>
              </w:rPr>
              <w:t>L</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0.0003</w:t>
            </w:r>
            <w:r>
              <w:rPr>
                <w:rFonts w:hint="eastAsia" w:hAnsi="Times New Roman" w:eastAsia="宋体"/>
                <w:kern w:val="2"/>
                <w:sz w:val="21"/>
                <w:szCs w:val="21"/>
                <w:vertAlign w:val="superscript"/>
              </w:rPr>
              <w:t>L</w:t>
            </w:r>
          </w:p>
        </w:tc>
        <w:tc>
          <w:tcPr>
            <w:tcW w:w="690"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0.0003</w:t>
            </w:r>
            <w:r>
              <w:rPr>
                <w:rFonts w:hint="eastAsia" w:hAnsi="Times New Roman" w:eastAsia="宋体"/>
                <w:kern w:val="2"/>
                <w:sz w:val="21"/>
                <w:szCs w:val="21"/>
                <w:vertAlign w:val="superscript"/>
                <w:lang w:eastAsia="zh-CN" w:bidi="ar"/>
              </w:rPr>
              <w:t>L</w:t>
            </w:r>
          </w:p>
        </w:tc>
        <w:tc>
          <w:tcPr>
            <w:tcW w:w="637"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0.0003</w:t>
            </w:r>
            <w:r>
              <w:rPr>
                <w:rFonts w:hint="eastAsia" w:hAnsi="Times New Roman" w:eastAsia="宋体"/>
                <w:kern w:val="2"/>
                <w:sz w:val="21"/>
                <w:szCs w:val="21"/>
                <w:vertAlign w:val="superscript"/>
                <w:lang w:eastAsia="zh-CN" w:bidi="ar"/>
              </w:rPr>
              <w:t>L</w:t>
            </w:r>
          </w:p>
        </w:tc>
        <w:tc>
          <w:tcPr>
            <w:tcW w:w="644"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0.0003</w:t>
            </w:r>
            <w:r>
              <w:rPr>
                <w:rFonts w:hint="eastAsia" w:hAnsi="Times New Roman" w:eastAsia="宋体"/>
                <w:kern w:val="2"/>
                <w:sz w:val="21"/>
                <w:szCs w:val="21"/>
                <w:vertAlign w:val="superscript"/>
                <w:lang w:eastAsia="zh-CN" w:bidi="ar"/>
              </w:rPr>
              <w:t>L</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bCs/>
                <w:kern w:val="2"/>
                <w:sz w:val="21"/>
                <w:szCs w:val="21"/>
              </w:rPr>
              <w:t>汞</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rPr>
              <w:t>0.0000</w:t>
            </w:r>
            <w:r>
              <w:rPr>
                <w:rFonts w:hint="eastAsia" w:hAnsi="Times New Roman" w:eastAsia="宋体"/>
                <w:kern w:val="2"/>
                <w:sz w:val="21"/>
                <w:szCs w:val="21"/>
                <w:lang w:eastAsia="zh-CN"/>
              </w:rPr>
              <w:t>015</w:t>
            </w:r>
            <w:r>
              <w:rPr>
                <w:rFonts w:hint="eastAsia" w:hAnsi="Times New Roman" w:eastAsia="宋体"/>
                <w:kern w:val="2"/>
                <w:sz w:val="21"/>
                <w:szCs w:val="21"/>
                <w:vertAlign w:val="superscript"/>
                <w:lang w:eastAsia="zh-CN"/>
              </w:rPr>
              <w:t>L</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0.0000</w:t>
            </w:r>
            <w:r>
              <w:rPr>
                <w:rFonts w:hint="eastAsia" w:hAnsi="Times New Roman" w:eastAsia="宋体"/>
                <w:kern w:val="2"/>
                <w:sz w:val="21"/>
                <w:szCs w:val="21"/>
                <w:lang w:eastAsia="zh-CN"/>
              </w:rPr>
              <w:t>015</w:t>
            </w:r>
            <w:r>
              <w:rPr>
                <w:rFonts w:hint="eastAsia" w:hAnsi="Times New Roman" w:eastAsia="宋体"/>
                <w:kern w:val="2"/>
                <w:sz w:val="21"/>
                <w:szCs w:val="21"/>
                <w:vertAlign w:val="superscript"/>
                <w:lang w:eastAsia="zh-CN"/>
              </w:rPr>
              <w:t>L</w:t>
            </w:r>
          </w:p>
        </w:tc>
        <w:tc>
          <w:tcPr>
            <w:tcW w:w="690"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0.0000330</w:t>
            </w:r>
          </w:p>
        </w:tc>
        <w:tc>
          <w:tcPr>
            <w:tcW w:w="637"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0.0000220</w:t>
            </w:r>
          </w:p>
        </w:tc>
        <w:tc>
          <w:tcPr>
            <w:tcW w:w="644"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0.0000390</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bCs/>
                <w:kern w:val="2"/>
                <w:sz w:val="21"/>
                <w:szCs w:val="21"/>
              </w:rPr>
              <w:t>六价铬</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0.004</w:t>
            </w:r>
            <w:r>
              <w:rPr>
                <w:rStyle w:val="68"/>
                <w:rFonts w:hint="default" w:ascii="Times New Roman" w:hAnsi="Times New Roman" w:cs="Times New Roman"/>
                <w:color w:val="auto"/>
                <w:kern w:val="2"/>
                <w:sz w:val="21"/>
                <w:szCs w:val="21"/>
                <w:lang w:eastAsia="zh-CN" w:bidi="ar"/>
              </w:rPr>
              <w:t>L</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0.004</w:t>
            </w:r>
            <w:r>
              <w:rPr>
                <w:rStyle w:val="68"/>
                <w:rFonts w:hint="default" w:ascii="Times New Roman" w:hAnsi="Times New Roman" w:cs="Times New Roman"/>
                <w:color w:val="auto"/>
                <w:kern w:val="2"/>
                <w:sz w:val="21"/>
                <w:szCs w:val="21"/>
                <w:lang w:eastAsia="zh-CN" w:bidi="ar"/>
              </w:rPr>
              <w:t>L</w:t>
            </w:r>
          </w:p>
        </w:tc>
        <w:tc>
          <w:tcPr>
            <w:tcW w:w="690"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0.004</w:t>
            </w:r>
            <w:r>
              <w:rPr>
                <w:rStyle w:val="68"/>
                <w:rFonts w:hint="default" w:ascii="Times New Roman" w:hAnsi="Times New Roman" w:cs="Times New Roman"/>
                <w:color w:val="auto"/>
                <w:kern w:val="2"/>
                <w:sz w:val="21"/>
                <w:szCs w:val="21"/>
                <w:lang w:eastAsia="zh-CN" w:bidi="ar"/>
              </w:rPr>
              <w:t>L</w:t>
            </w:r>
          </w:p>
        </w:tc>
        <w:tc>
          <w:tcPr>
            <w:tcW w:w="637"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0.004</w:t>
            </w:r>
            <w:r>
              <w:rPr>
                <w:rStyle w:val="68"/>
                <w:rFonts w:hint="default" w:ascii="Times New Roman" w:hAnsi="Times New Roman" w:cs="Times New Roman"/>
                <w:color w:val="auto"/>
                <w:kern w:val="2"/>
                <w:sz w:val="21"/>
                <w:szCs w:val="21"/>
                <w:lang w:eastAsia="zh-CN" w:bidi="ar"/>
              </w:rPr>
              <w:t>L</w:t>
            </w:r>
          </w:p>
        </w:tc>
        <w:tc>
          <w:tcPr>
            <w:tcW w:w="644"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0.004</w:t>
            </w:r>
            <w:r>
              <w:rPr>
                <w:rStyle w:val="68"/>
                <w:rFonts w:hint="default" w:ascii="Times New Roman" w:hAnsi="Times New Roman" w:cs="Times New Roman"/>
                <w:color w:val="auto"/>
                <w:kern w:val="2"/>
                <w:sz w:val="21"/>
                <w:szCs w:val="21"/>
                <w:lang w:eastAsia="zh-CN" w:bidi="ar"/>
              </w:rPr>
              <w:t>L</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bCs/>
                <w:kern w:val="2"/>
                <w:sz w:val="21"/>
                <w:szCs w:val="21"/>
              </w:rPr>
              <w:t>总硬度</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12</w:t>
            </w:r>
            <w:r>
              <w:rPr>
                <w:rFonts w:hint="eastAsia" w:hAnsi="Times New Roman" w:eastAsia="宋体"/>
                <w:kern w:val="2"/>
                <w:sz w:val="21"/>
                <w:szCs w:val="21"/>
                <w:lang w:eastAsia="zh-CN"/>
              </w:rPr>
              <w:t>5</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139</w:t>
            </w:r>
          </w:p>
        </w:tc>
        <w:tc>
          <w:tcPr>
            <w:tcW w:w="690"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89</w:t>
            </w:r>
          </w:p>
        </w:tc>
        <w:tc>
          <w:tcPr>
            <w:tcW w:w="637"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152</w:t>
            </w:r>
          </w:p>
        </w:tc>
        <w:tc>
          <w:tcPr>
            <w:tcW w:w="644"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188</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bCs/>
                <w:kern w:val="2"/>
                <w:sz w:val="21"/>
                <w:szCs w:val="21"/>
              </w:rPr>
              <w:t>氟化物</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0.0</w:t>
            </w:r>
            <w:r>
              <w:rPr>
                <w:rFonts w:hint="eastAsia" w:hAnsi="Times New Roman" w:eastAsia="宋体"/>
                <w:kern w:val="2"/>
                <w:sz w:val="21"/>
                <w:szCs w:val="21"/>
                <w:lang w:eastAsia="zh-CN"/>
              </w:rPr>
              <w:t>32</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w:t>
            </w:r>
            <w:r>
              <w:rPr>
                <w:rFonts w:hint="eastAsia" w:hAnsi="Times New Roman" w:eastAsia="宋体"/>
                <w:kern w:val="2"/>
                <w:sz w:val="21"/>
                <w:szCs w:val="21"/>
                <w:lang w:eastAsia="zh-CN"/>
              </w:rPr>
              <w:t>020</w:t>
            </w:r>
          </w:p>
        </w:tc>
        <w:tc>
          <w:tcPr>
            <w:tcW w:w="690"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0.006</w:t>
            </w:r>
            <w:r>
              <w:rPr>
                <w:rFonts w:hint="eastAsia" w:hAnsi="Times New Roman" w:eastAsia="宋体"/>
                <w:kern w:val="2"/>
                <w:sz w:val="21"/>
                <w:szCs w:val="21"/>
                <w:vertAlign w:val="superscript"/>
              </w:rPr>
              <w:t>L</w:t>
            </w:r>
          </w:p>
        </w:tc>
        <w:tc>
          <w:tcPr>
            <w:tcW w:w="637"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0.114</w:t>
            </w:r>
          </w:p>
        </w:tc>
        <w:tc>
          <w:tcPr>
            <w:tcW w:w="644"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0.482</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镉</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0.0001</w:t>
            </w:r>
            <w:r>
              <w:rPr>
                <w:rFonts w:hint="eastAsia" w:hAnsi="Times New Roman" w:eastAsia="宋体"/>
                <w:kern w:val="2"/>
                <w:sz w:val="21"/>
                <w:szCs w:val="21"/>
                <w:vertAlign w:val="superscript"/>
                <w:lang w:eastAsia="zh-CN"/>
              </w:rPr>
              <w:t>L</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0.0001</w:t>
            </w:r>
            <w:r>
              <w:rPr>
                <w:rFonts w:hint="eastAsia" w:hAnsi="Times New Roman" w:eastAsia="宋体"/>
                <w:kern w:val="2"/>
                <w:sz w:val="21"/>
                <w:szCs w:val="21"/>
                <w:vertAlign w:val="superscript"/>
                <w:lang w:eastAsia="zh-CN"/>
              </w:rPr>
              <w:t>L</w:t>
            </w:r>
          </w:p>
        </w:tc>
        <w:tc>
          <w:tcPr>
            <w:tcW w:w="690"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0.0001</w:t>
            </w:r>
            <w:r>
              <w:rPr>
                <w:rFonts w:hint="eastAsia" w:hAnsi="Times New Roman" w:eastAsia="宋体"/>
                <w:kern w:val="2"/>
                <w:sz w:val="21"/>
                <w:szCs w:val="21"/>
                <w:vertAlign w:val="superscript"/>
                <w:lang w:eastAsia="zh-CN"/>
              </w:rPr>
              <w:t>L</w:t>
            </w:r>
          </w:p>
        </w:tc>
        <w:tc>
          <w:tcPr>
            <w:tcW w:w="637"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0.0001</w:t>
            </w:r>
            <w:r>
              <w:rPr>
                <w:rFonts w:hint="eastAsia" w:hAnsi="Times New Roman" w:eastAsia="宋体"/>
                <w:kern w:val="2"/>
                <w:sz w:val="21"/>
                <w:szCs w:val="21"/>
                <w:vertAlign w:val="superscript"/>
                <w:lang w:eastAsia="zh-CN"/>
              </w:rPr>
              <w:t>L</w:t>
            </w:r>
          </w:p>
        </w:tc>
        <w:tc>
          <w:tcPr>
            <w:tcW w:w="644"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0.0001</w:t>
            </w:r>
            <w:r>
              <w:rPr>
                <w:rFonts w:hint="eastAsia" w:hAnsi="Times New Roman" w:eastAsia="宋体"/>
                <w:kern w:val="2"/>
                <w:sz w:val="21"/>
                <w:szCs w:val="21"/>
                <w:vertAlign w:val="superscript"/>
                <w:lang w:eastAsia="zh-CN"/>
              </w:rPr>
              <w:t>L</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bCs/>
                <w:kern w:val="2"/>
                <w:sz w:val="21"/>
                <w:szCs w:val="21"/>
              </w:rPr>
              <w:t>铁</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0.02</w:t>
            </w:r>
            <w:r>
              <w:rPr>
                <w:rFonts w:hint="eastAsia" w:hAnsi="Times New Roman" w:eastAsia="宋体"/>
                <w:kern w:val="2"/>
                <w:sz w:val="21"/>
                <w:szCs w:val="21"/>
                <w:vertAlign w:val="superscript"/>
              </w:rPr>
              <w:t>L</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0.02</w:t>
            </w:r>
            <w:r>
              <w:rPr>
                <w:rFonts w:hint="eastAsia" w:hAnsi="Times New Roman" w:eastAsia="宋体"/>
                <w:kern w:val="2"/>
                <w:sz w:val="21"/>
                <w:szCs w:val="21"/>
                <w:vertAlign w:val="superscript"/>
              </w:rPr>
              <w:t>L</w:t>
            </w:r>
          </w:p>
        </w:tc>
        <w:tc>
          <w:tcPr>
            <w:tcW w:w="690"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0.0001</w:t>
            </w:r>
          </w:p>
        </w:tc>
        <w:tc>
          <w:tcPr>
            <w:tcW w:w="637"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0.0004</w:t>
            </w:r>
          </w:p>
        </w:tc>
        <w:tc>
          <w:tcPr>
            <w:tcW w:w="644"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0.0007</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bCs/>
                <w:kern w:val="2"/>
                <w:sz w:val="21"/>
                <w:szCs w:val="21"/>
              </w:rPr>
              <w:t>锰</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0.004</w:t>
            </w:r>
            <w:r>
              <w:rPr>
                <w:rFonts w:hint="eastAsia" w:hAnsi="Times New Roman" w:eastAsia="宋体"/>
                <w:kern w:val="2"/>
                <w:sz w:val="21"/>
                <w:szCs w:val="21"/>
                <w:vertAlign w:val="superscript"/>
                <w:lang w:eastAsia="zh-CN" w:bidi="ar"/>
              </w:rPr>
              <w:t>L</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0.004</w:t>
            </w:r>
            <w:r>
              <w:rPr>
                <w:rFonts w:hint="eastAsia" w:hAnsi="Times New Roman" w:eastAsia="宋体"/>
                <w:kern w:val="2"/>
                <w:sz w:val="21"/>
                <w:szCs w:val="21"/>
                <w:vertAlign w:val="superscript"/>
                <w:lang w:eastAsia="zh-CN" w:bidi="ar"/>
              </w:rPr>
              <w:t>L</w:t>
            </w:r>
          </w:p>
        </w:tc>
        <w:tc>
          <w:tcPr>
            <w:tcW w:w="690"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0.004</w:t>
            </w:r>
            <w:r>
              <w:rPr>
                <w:rFonts w:hint="eastAsia" w:hAnsi="Times New Roman" w:eastAsia="宋体"/>
                <w:kern w:val="2"/>
                <w:sz w:val="21"/>
                <w:szCs w:val="21"/>
                <w:vertAlign w:val="superscript"/>
                <w:lang w:eastAsia="zh-CN" w:bidi="ar"/>
              </w:rPr>
              <w:t>L</w:t>
            </w:r>
          </w:p>
        </w:tc>
        <w:tc>
          <w:tcPr>
            <w:tcW w:w="637"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0.023</w:t>
            </w:r>
          </w:p>
        </w:tc>
        <w:tc>
          <w:tcPr>
            <w:tcW w:w="644"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0.004</w:t>
            </w:r>
            <w:r>
              <w:rPr>
                <w:rFonts w:hint="eastAsia" w:hAnsi="Times New Roman" w:eastAsia="宋体"/>
                <w:kern w:val="2"/>
                <w:sz w:val="21"/>
                <w:szCs w:val="21"/>
                <w:vertAlign w:val="superscript"/>
                <w:lang w:eastAsia="zh-CN" w:bidi="ar"/>
              </w:rPr>
              <w:t>L</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铅</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0.001</w:t>
            </w:r>
            <w:r>
              <w:rPr>
                <w:rFonts w:hint="eastAsia" w:hAnsi="Times New Roman" w:eastAsia="宋体"/>
                <w:kern w:val="2"/>
                <w:sz w:val="21"/>
                <w:szCs w:val="21"/>
                <w:vertAlign w:val="superscript"/>
              </w:rPr>
              <w:t>L</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0.001</w:t>
            </w:r>
            <w:r>
              <w:rPr>
                <w:rFonts w:hint="eastAsia" w:hAnsi="Times New Roman" w:eastAsia="宋体"/>
                <w:kern w:val="2"/>
                <w:sz w:val="21"/>
                <w:szCs w:val="21"/>
                <w:vertAlign w:val="superscript"/>
              </w:rPr>
              <w:t>L</w:t>
            </w:r>
          </w:p>
        </w:tc>
        <w:tc>
          <w:tcPr>
            <w:tcW w:w="690"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0.001</w:t>
            </w:r>
            <w:r>
              <w:rPr>
                <w:rFonts w:hint="eastAsia" w:hAnsi="Times New Roman" w:eastAsia="宋体"/>
                <w:kern w:val="2"/>
                <w:sz w:val="21"/>
                <w:szCs w:val="21"/>
                <w:vertAlign w:val="superscript"/>
                <w:lang w:eastAsia="zh-CN" w:bidi="ar"/>
              </w:rPr>
              <w:t>L</w:t>
            </w:r>
          </w:p>
        </w:tc>
        <w:tc>
          <w:tcPr>
            <w:tcW w:w="637"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0.001</w:t>
            </w:r>
            <w:r>
              <w:rPr>
                <w:rFonts w:hint="eastAsia" w:hAnsi="Times New Roman" w:eastAsia="宋体"/>
                <w:kern w:val="2"/>
                <w:sz w:val="21"/>
                <w:szCs w:val="21"/>
                <w:vertAlign w:val="superscript"/>
                <w:lang w:eastAsia="zh-CN" w:bidi="ar"/>
              </w:rPr>
              <w:t>L</w:t>
            </w:r>
          </w:p>
        </w:tc>
        <w:tc>
          <w:tcPr>
            <w:tcW w:w="644"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0.001</w:t>
            </w:r>
            <w:r>
              <w:rPr>
                <w:rFonts w:hint="eastAsia" w:hAnsi="Times New Roman" w:eastAsia="宋体"/>
                <w:kern w:val="2"/>
                <w:sz w:val="21"/>
                <w:szCs w:val="21"/>
                <w:vertAlign w:val="superscript"/>
                <w:lang w:eastAsia="zh-CN" w:bidi="ar"/>
              </w:rPr>
              <w:t>L</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bCs/>
                <w:kern w:val="2"/>
                <w:sz w:val="21"/>
                <w:szCs w:val="21"/>
              </w:rPr>
              <w:t>溶解性总固体</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150</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162</w:t>
            </w:r>
          </w:p>
        </w:tc>
        <w:tc>
          <w:tcPr>
            <w:tcW w:w="690"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111</w:t>
            </w:r>
          </w:p>
        </w:tc>
        <w:tc>
          <w:tcPr>
            <w:tcW w:w="637"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186</w:t>
            </w:r>
          </w:p>
        </w:tc>
        <w:tc>
          <w:tcPr>
            <w:tcW w:w="644"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232</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耗氧量</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w:t>
            </w:r>
          </w:p>
        </w:tc>
        <w:tc>
          <w:tcPr>
            <w:tcW w:w="690"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2.24</w:t>
            </w:r>
          </w:p>
        </w:tc>
        <w:tc>
          <w:tcPr>
            <w:tcW w:w="637"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0.91</w:t>
            </w:r>
          </w:p>
        </w:tc>
        <w:tc>
          <w:tcPr>
            <w:tcW w:w="644"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0.88</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氯化物</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1.26</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1.08</w:t>
            </w:r>
          </w:p>
        </w:tc>
        <w:tc>
          <w:tcPr>
            <w:tcW w:w="690"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3.03</w:t>
            </w:r>
          </w:p>
        </w:tc>
        <w:tc>
          <w:tcPr>
            <w:tcW w:w="637"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9.62</w:t>
            </w:r>
          </w:p>
        </w:tc>
        <w:tc>
          <w:tcPr>
            <w:tcW w:w="644"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5.08</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硫酸盐</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2.81</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1.97</w:t>
            </w:r>
          </w:p>
        </w:tc>
        <w:tc>
          <w:tcPr>
            <w:tcW w:w="690"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5.05</w:t>
            </w:r>
          </w:p>
        </w:tc>
        <w:tc>
          <w:tcPr>
            <w:tcW w:w="637"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3.77</w:t>
            </w:r>
          </w:p>
        </w:tc>
        <w:tc>
          <w:tcPr>
            <w:tcW w:w="644"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2.29</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spacing w:val="-8"/>
                <w:kern w:val="2"/>
                <w:sz w:val="21"/>
                <w:szCs w:val="21"/>
              </w:rPr>
            </w:pPr>
            <w:r>
              <w:rPr>
                <w:rFonts w:hint="eastAsia" w:hAnsi="Times New Roman" w:eastAsia="宋体"/>
                <w:bCs/>
                <w:spacing w:val="-8"/>
                <w:kern w:val="2"/>
                <w:sz w:val="21"/>
                <w:szCs w:val="21"/>
              </w:rPr>
              <w:t>总大肠菌群（</w:t>
            </w:r>
            <w:r>
              <w:rPr>
                <w:rFonts w:hint="eastAsia" w:hAnsi="Times New Roman" w:eastAsia="宋体"/>
                <w:spacing w:val="-8"/>
                <w:kern w:val="2"/>
                <w:sz w:val="21"/>
                <w:szCs w:val="21"/>
              </w:rPr>
              <w:t>MPN/L</w:t>
            </w:r>
            <w:r>
              <w:rPr>
                <w:rFonts w:hint="eastAsia" w:hAnsi="Times New Roman" w:eastAsia="宋体"/>
                <w:bCs/>
                <w:spacing w:val="-8"/>
                <w:kern w:val="2"/>
                <w:sz w:val="21"/>
                <w:szCs w:val="21"/>
              </w:rPr>
              <w:t>）</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20</w:t>
            </w:r>
            <w:r>
              <w:rPr>
                <w:rFonts w:hint="eastAsia" w:hAnsi="Times New Roman" w:eastAsia="宋体"/>
                <w:kern w:val="2"/>
                <w:sz w:val="21"/>
                <w:szCs w:val="21"/>
                <w:vertAlign w:val="superscript"/>
              </w:rPr>
              <w:t>L</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20</w:t>
            </w:r>
            <w:r>
              <w:rPr>
                <w:rFonts w:hint="eastAsia" w:hAnsi="Times New Roman" w:eastAsia="宋体"/>
                <w:kern w:val="2"/>
                <w:sz w:val="21"/>
                <w:szCs w:val="21"/>
                <w:vertAlign w:val="superscript"/>
              </w:rPr>
              <w:t>L</w:t>
            </w:r>
          </w:p>
        </w:tc>
        <w:tc>
          <w:tcPr>
            <w:tcW w:w="690"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20</w:t>
            </w:r>
            <w:r>
              <w:rPr>
                <w:rFonts w:hint="eastAsia" w:hAnsi="Times New Roman" w:eastAsia="宋体"/>
                <w:kern w:val="2"/>
                <w:sz w:val="21"/>
                <w:szCs w:val="21"/>
                <w:vertAlign w:val="superscript"/>
                <w:lang w:eastAsia="zh-CN"/>
              </w:rPr>
              <w:t>L</w:t>
            </w:r>
          </w:p>
        </w:tc>
        <w:tc>
          <w:tcPr>
            <w:tcW w:w="637"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20</w:t>
            </w:r>
            <w:r>
              <w:rPr>
                <w:rFonts w:hint="eastAsia" w:hAnsi="Times New Roman" w:eastAsia="宋体"/>
                <w:kern w:val="2"/>
                <w:sz w:val="21"/>
                <w:szCs w:val="21"/>
                <w:vertAlign w:val="superscript"/>
                <w:lang w:eastAsia="zh-CN"/>
              </w:rPr>
              <w:t>L</w:t>
            </w:r>
          </w:p>
        </w:tc>
        <w:tc>
          <w:tcPr>
            <w:tcW w:w="644"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20</w:t>
            </w:r>
            <w:r>
              <w:rPr>
                <w:rFonts w:hint="eastAsia" w:hAnsi="Times New Roman" w:eastAsia="宋体"/>
                <w:kern w:val="2"/>
                <w:sz w:val="21"/>
                <w:szCs w:val="21"/>
                <w:vertAlign w:val="superscript"/>
                <w:lang w:eastAsia="zh-CN"/>
              </w:rPr>
              <w:t>L</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3.0</w:t>
            </w:r>
            <w:r>
              <w:rPr>
                <w:rFonts w:hint="eastAsia" w:hAnsi="Times New Roman" w:eastAsia="宋体"/>
                <w:bCs/>
                <w:spacing w:val="-8"/>
                <w:kern w:val="2"/>
                <w:sz w:val="21"/>
                <w:szCs w:val="21"/>
              </w:rPr>
              <w:t>（</w:t>
            </w:r>
            <w:r>
              <w:rPr>
                <w:rFonts w:hint="eastAsia" w:hAnsi="Times New Roman" w:eastAsia="宋体"/>
                <w:spacing w:val="-8"/>
                <w:kern w:val="2"/>
                <w:sz w:val="21"/>
                <w:szCs w:val="21"/>
              </w:rPr>
              <w:t>MPN/</w:t>
            </w:r>
            <w:r>
              <w:rPr>
                <w:rFonts w:hint="eastAsia" w:hAnsi="Times New Roman" w:eastAsia="宋体"/>
                <w:spacing w:val="-8"/>
                <w:kern w:val="2"/>
                <w:sz w:val="21"/>
                <w:szCs w:val="21"/>
                <w:lang w:eastAsia="zh-CN"/>
              </w:rPr>
              <w:t>100</w:t>
            </w:r>
            <w:r>
              <w:rPr>
                <w:rFonts w:hint="eastAsia" w:hAnsi="Times New Roman" w:eastAsia="宋体"/>
                <w:spacing w:val="-8"/>
                <w:kern w:val="2"/>
                <w:sz w:val="21"/>
                <w:szCs w:val="21"/>
              </w:rPr>
              <w:t>L</w:t>
            </w:r>
            <w:r>
              <w:rPr>
                <w:rFonts w:hint="eastAsia" w:hAnsi="Times New Roman" w:eastAsia="宋体"/>
                <w:bCs/>
                <w:spacing w:val="-8"/>
                <w:kern w:val="2"/>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kern w:val="2"/>
                <w:sz w:val="21"/>
                <w:szCs w:val="21"/>
              </w:rPr>
            </w:pPr>
            <w:r>
              <w:rPr>
                <w:rFonts w:hint="eastAsia" w:hAnsi="Times New Roman" w:eastAsia="宋体" w:cs="Times New Roman"/>
                <w:bCs/>
                <w:kern w:val="2"/>
                <w:sz w:val="21"/>
                <w:szCs w:val="21"/>
              </w:rPr>
              <w:t>K</w:t>
            </w:r>
            <w:r>
              <w:rPr>
                <w:rFonts w:hint="eastAsia" w:hAnsi="Times New Roman" w:eastAsia="宋体" w:cs="Times New Roman"/>
                <w:bCs/>
                <w:kern w:val="2"/>
                <w:sz w:val="21"/>
                <w:szCs w:val="21"/>
                <w:vertAlign w:val="superscript"/>
              </w:rPr>
              <w:t>+</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w:t>
            </w:r>
            <w:r>
              <w:rPr>
                <w:rFonts w:hint="eastAsia" w:hAnsi="Times New Roman" w:eastAsia="宋体"/>
                <w:kern w:val="2"/>
                <w:sz w:val="21"/>
                <w:szCs w:val="21"/>
                <w:lang w:eastAsia="zh-CN"/>
              </w:rPr>
              <w:t>51</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0.88</w:t>
            </w:r>
          </w:p>
        </w:tc>
        <w:tc>
          <w:tcPr>
            <w:tcW w:w="690"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4.85</w:t>
            </w:r>
          </w:p>
        </w:tc>
        <w:tc>
          <w:tcPr>
            <w:tcW w:w="637"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2.96</w:t>
            </w:r>
          </w:p>
        </w:tc>
        <w:tc>
          <w:tcPr>
            <w:tcW w:w="644"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5.83</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pStyle w:val="58"/>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bCs/>
                <w:kern w:val="2"/>
                <w:sz w:val="21"/>
                <w:szCs w:val="21"/>
              </w:rPr>
              <w:t>Na</w:t>
            </w:r>
            <w:r>
              <w:rPr>
                <w:rFonts w:hint="eastAsia" w:hAnsi="Times New Roman" w:eastAsia="宋体"/>
                <w:bCs/>
                <w:kern w:val="2"/>
                <w:sz w:val="21"/>
                <w:szCs w:val="21"/>
                <w:vertAlign w:val="superscript"/>
              </w:rPr>
              <w:t>+</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3.78</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11.6</w:t>
            </w:r>
          </w:p>
        </w:tc>
        <w:tc>
          <w:tcPr>
            <w:tcW w:w="690"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15.4</w:t>
            </w:r>
          </w:p>
        </w:tc>
        <w:tc>
          <w:tcPr>
            <w:tcW w:w="637"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26.2</w:t>
            </w:r>
          </w:p>
        </w:tc>
        <w:tc>
          <w:tcPr>
            <w:tcW w:w="644"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20.7</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kern w:val="2"/>
                <w:sz w:val="21"/>
                <w:szCs w:val="21"/>
              </w:rPr>
            </w:pPr>
            <w:r>
              <w:rPr>
                <w:rFonts w:hint="eastAsia" w:hAnsi="Times New Roman" w:eastAsia="宋体" w:cs="Times New Roman"/>
                <w:bCs/>
                <w:kern w:val="2"/>
                <w:sz w:val="21"/>
                <w:szCs w:val="21"/>
              </w:rPr>
              <w:t>Ca</w:t>
            </w:r>
            <w:r>
              <w:rPr>
                <w:rFonts w:hint="eastAsia" w:hAnsi="Times New Roman" w:eastAsia="宋体" w:cs="Times New Roman"/>
                <w:bCs/>
                <w:kern w:val="2"/>
                <w:sz w:val="21"/>
                <w:szCs w:val="21"/>
                <w:vertAlign w:val="superscript"/>
              </w:rPr>
              <w:t>2+</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59.5</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26.3</w:t>
            </w:r>
          </w:p>
        </w:tc>
        <w:tc>
          <w:tcPr>
            <w:tcW w:w="690"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7.52</w:t>
            </w:r>
          </w:p>
        </w:tc>
        <w:tc>
          <w:tcPr>
            <w:tcW w:w="637"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54.5</w:t>
            </w:r>
          </w:p>
        </w:tc>
        <w:tc>
          <w:tcPr>
            <w:tcW w:w="644"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70.5</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pStyle w:val="58"/>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bCs/>
                <w:kern w:val="2"/>
                <w:sz w:val="21"/>
                <w:szCs w:val="21"/>
              </w:rPr>
              <w:t>Mg</w:t>
            </w:r>
            <w:r>
              <w:rPr>
                <w:rFonts w:hint="eastAsia" w:hAnsi="Times New Roman" w:eastAsia="宋体"/>
                <w:bCs/>
                <w:kern w:val="2"/>
                <w:sz w:val="21"/>
                <w:szCs w:val="21"/>
                <w:vertAlign w:val="superscript"/>
              </w:rPr>
              <w:t>2+</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4.33</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6.31</w:t>
            </w:r>
          </w:p>
        </w:tc>
        <w:tc>
          <w:tcPr>
            <w:tcW w:w="690"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10.9</w:t>
            </w:r>
          </w:p>
        </w:tc>
        <w:tc>
          <w:tcPr>
            <w:tcW w:w="637"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9.85</w:t>
            </w:r>
          </w:p>
        </w:tc>
        <w:tc>
          <w:tcPr>
            <w:tcW w:w="644"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19.9</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spacing w:val="-2"/>
                <w:kern w:val="2"/>
                <w:sz w:val="21"/>
                <w:szCs w:val="21"/>
              </w:rPr>
              <w:t>CO</w:t>
            </w:r>
            <w:r>
              <w:rPr>
                <w:rFonts w:hint="eastAsia" w:hAnsi="Times New Roman" w:eastAsia="宋体"/>
                <w:bCs/>
                <w:spacing w:val="-2"/>
                <w:kern w:val="2"/>
                <w:sz w:val="21"/>
                <w:szCs w:val="21"/>
                <w:vertAlign w:val="subscript"/>
              </w:rPr>
              <w:t>3</w:t>
            </w:r>
            <w:r>
              <w:rPr>
                <w:rFonts w:hint="eastAsia" w:hAnsi="Times New Roman" w:eastAsia="宋体"/>
                <w:bCs/>
                <w:spacing w:val="-2"/>
                <w:kern w:val="2"/>
                <w:sz w:val="21"/>
                <w:szCs w:val="21"/>
                <w:vertAlign w:val="superscript"/>
              </w:rPr>
              <w:t>2-</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5</w:t>
            </w:r>
            <w:r>
              <w:rPr>
                <w:rFonts w:hint="eastAsia" w:hAnsi="Times New Roman" w:eastAsia="宋体"/>
                <w:kern w:val="2"/>
                <w:sz w:val="21"/>
                <w:szCs w:val="21"/>
                <w:vertAlign w:val="superscript"/>
                <w:lang w:eastAsia="zh-CN"/>
              </w:rPr>
              <w:t>L</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5</w:t>
            </w:r>
            <w:r>
              <w:rPr>
                <w:rFonts w:hint="eastAsia" w:hAnsi="Times New Roman" w:eastAsia="宋体"/>
                <w:kern w:val="2"/>
                <w:sz w:val="21"/>
                <w:szCs w:val="21"/>
                <w:vertAlign w:val="superscript"/>
                <w:lang w:eastAsia="zh-CN"/>
              </w:rPr>
              <w:t>L</w:t>
            </w:r>
          </w:p>
        </w:tc>
        <w:tc>
          <w:tcPr>
            <w:tcW w:w="690"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637"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644"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spacing w:val="-2"/>
                <w:kern w:val="2"/>
                <w:sz w:val="21"/>
                <w:szCs w:val="21"/>
              </w:rPr>
            </w:pPr>
            <w:r>
              <w:rPr>
                <w:rFonts w:hint="eastAsia" w:hAnsi="Times New Roman" w:eastAsia="宋体"/>
                <w:bCs/>
                <w:spacing w:val="-2"/>
                <w:kern w:val="2"/>
                <w:sz w:val="21"/>
                <w:szCs w:val="21"/>
              </w:rPr>
              <w:t>HCO</w:t>
            </w:r>
            <w:r>
              <w:rPr>
                <w:rFonts w:hint="eastAsia" w:hAnsi="Times New Roman" w:eastAsia="宋体"/>
                <w:bCs/>
                <w:spacing w:val="-2"/>
                <w:kern w:val="2"/>
                <w:sz w:val="21"/>
                <w:szCs w:val="21"/>
                <w:vertAlign w:val="subscript"/>
              </w:rPr>
              <w:t>3</w:t>
            </w:r>
            <w:r>
              <w:rPr>
                <w:rFonts w:hint="eastAsia" w:hAnsi="Times New Roman" w:eastAsia="宋体"/>
                <w:bCs/>
                <w:spacing w:val="-2"/>
                <w:kern w:val="2"/>
                <w:sz w:val="21"/>
                <w:szCs w:val="21"/>
                <w:vertAlign w:val="superscript"/>
              </w:rPr>
              <w:t>-</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202</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134</w:t>
            </w:r>
          </w:p>
        </w:tc>
        <w:tc>
          <w:tcPr>
            <w:tcW w:w="690"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144</w:t>
            </w:r>
          </w:p>
        </w:tc>
        <w:tc>
          <w:tcPr>
            <w:tcW w:w="637"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115</w:t>
            </w:r>
          </w:p>
        </w:tc>
        <w:tc>
          <w:tcPr>
            <w:tcW w:w="644"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105</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spacing w:val="-2"/>
                <w:kern w:val="2"/>
                <w:sz w:val="21"/>
                <w:szCs w:val="21"/>
                <w:lang w:eastAsia="zh-CN"/>
              </w:rPr>
            </w:pPr>
            <w:r>
              <w:rPr>
                <w:rFonts w:hint="eastAsia" w:hAnsi="Times New Roman" w:eastAsia="宋体"/>
                <w:bCs/>
                <w:spacing w:val="-2"/>
                <w:kern w:val="2"/>
                <w:sz w:val="21"/>
                <w:szCs w:val="21"/>
                <w:lang w:eastAsia="zh-CN"/>
              </w:rPr>
              <w:t>锌</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0.004</w:t>
            </w:r>
            <w:r>
              <w:rPr>
                <w:rFonts w:hint="eastAsia" w:hAnsi="Times New Roman" w:eastAsia="宋体"/>
                <w:kern w:val="2"/>
                <w:sz w:val="21"/>
                <w:szCs w:val="21"/>
                <w:vertAlign w:val="superscript"/>
                <w:lang w:eastAsia="zh-CN"/>
              </w:rPr>
              <w:t>L</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0.004</w:t>
            </w:r>
            <w:r>
              <w:rPr>
                <w:rFonts w:hint="eastAsia" w:hAnsi="Times New Roman" w:eastAsia="宋体"/>
                <w:kern w:val="2"/>
                <w:sz w:val="21"/>
                <w:szCs w:val="21"/>
                <w:vertAlign w:val="superscript"/>
                <w:lang w:eastAsia="zh-CN"/>
              </w:rPr>
              <w:t>L</w:t>
            </w:r>
          </w:p>
        </w:tc>
        <w:tc>
          <w:tcPr>
            <w:tcW w:w="690"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rPr>
              <w:t>0.004</w:t>
            </w:r>
            <w:r>
              <w:rPr>
                <w:rFonts w:hint="eastAsia" w:hAnsi="Times New Roman" w:eastAsia="宋体"/>
                <w:kern w:val="2"/>
                <w:sz w:val="21"/>
                <w:szCs w:val="21"/>
                <w:vertAlign w:val="superscript"/>
              </w:rPr>
              <w:t>L</w:t>
            </w:r>
          </w:p>
        </w:tc>
        <w:tc>
          <w:tcPr>
            <w:tcW w:w="637"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rPr>
              <w:t>0.004</w:t>
            </w:r>
            <w:r>
              <w:rPr>
                <w:rFonts w:hint="eastAsia" w:hAnsi="Times New Roman" w:eastAsia="宋体"/>
                <w:kern w:val="2"/>
                <w:sz w:val="21"/>
                <w:szCs w:val="21"/>
                <w:vertAlign w:val="superscript"/>
              </w:rPr>
              <w:t>L</w:t>
            </w:r>
          </w:p>
        </w:tc>
        <w:tc>
          <w:tcPr>
            <w:tcW w:w="644"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rPr>
              <w:t>0.004</w:t>
            </w:r>
            <w:r>
              <w:rPr>
                <w:rFonts w:hint="eastAsia" w:hAnsi="Times New Roman" w:eastAsia="宋体"/>
                <w:kern w:val="2"/>
                <w:sz w:val="21"/>
                <w:szCs w:val="21"/>
                <w:vertAlign w:val="superscript"/>
              </w:rPr>
              <w:t>L</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spacing w:val="-2"/>
                <w:kern w:val="2"/>
                <w:sz w:val="21"/>
                <w:szCs w:val="21"/>
                <w:lang w:eastAsia="zh-CN"/>
              </w:rPr>
            </w:pPr>
            <w:r>
              <w:rPr>
                <w:rFonts w:hint="eastAsia" w:hAnsi="Times New Roman" w:eastAsia="宋体"/>
                <w:bCs/>
                <w:spacing w:val="-2"/>
                <w:kern w:val="2"/>
                <w:sz w:val="21"/>
                <w:szCs w:val="21"/>
                <w:lang w:eastAsia="zh-CN"/>
              </w:rPr>
              <w:t>铬</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0.03</w:t>
            </w:r>
            <w:r>
              <w:rPr>
                <w:rFonts w:hint="eastAsia" w:hAnsi="Times New Roman" w:eastAsia="宋体"/>
                <w:kern w:val="2"/>
                <w:sz w:val="21"/>
                <w:szCs w:val="21"/>
                <w:vertAlign w:val="superscript"/>
                <w:lang w:eastAsia="zh-CN"/>
              </w:rPr>
              <w:t>L</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0.03</w:t>
            </w:r>
            <w:r>
              <w:rPr>
                <w:rFonts w:hint="eastAsia" w:hAnsi="Times New Roman" w:eastAsia="宋体"/>
                <w:kern w:val="2"/>
                <w:sz w:val="21"/>
                <w:szCs w:val="21"/>
                <w:vertAlign w:val="superscript"/>
                <w:lang w:eastAsia="zh-CN"/>
              </w:rPr>
              <w:t>L</w:t>
            </w:r>
          </w:p>
        </w:tc>
        <w:tc>
          <w:tcPr>
            <w:tcW w:w="690"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0.03</w:t>
            </w:r>
            <w:r>
              <w:rPr>
                <w:rFonts w:hint="eastAsia" w:hAnsi="Times New Roman" w:eastAsia="宋体"/>
                <w:kern w:val="2"/>
                <w:sz w:val="21"/>
                <w:szCs w:val="21"/>
                <w:vertAlign w:val="superscript"/>
                <w:lang w:eastAsia="zh-CN" w:bidi="ar"/>
              </w:rPr>
              <w:t>L</w:t>
            </w:r>
          </w:p>
        </w:tc>
        <w:tc>
          <w:tcPr>
            <w:tcW w:w="637"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0.03</w:t>
            </w:r>
            <w:r>
              <w:rPr>
                <w:rFonts w:hint="eastAsia" w:hAnsi="Times New Roman" w:eastAsia="宋体"/>
                <w:kern w:val="2"/>
                <w:sz w:val="21"/>
                <w:szCs w:val="21"/>
                <w:vertAlign w:val="superscript"/>
                <w:lang w:eastAsia="zh-CN" w:bidi="ar"/>
              </w:rPr>
              <w:t>L</w:t>
            </w:r>
          </w:p>
        </w:tc>
        <w:tc>
          <w:tcPr>
            <w:tcW w:w="644"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0.03</w:t>
            </w:r>
            <w:r>
              <w:rPr>
                <w:rFonts w:hint="eastAsia" w:hAnsi="Times New Roman" w:eastAsia="宋体"/>
                <w:kern w:val="2"/>
                <w:sz w:val="21"/>
                <w:szCs w:val="21"/>
                <w:vertAlign w:val="superscript"/>
                <w:lang w:eastAsia="zh-CN" w:bidi="ar"/>
              </w:rPr>
              <w:t>L</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spacing w:val="-2"/>
                <w:kern w:val="2"/>
                <w:sz w:val="21"/>
                <w:szCs w:val="21"/>
              </w:rPr>
            </w:pPr>
            <w:r>
              <w:rPr>
                <w:rFonts w:hint="eastAsia" w:hAnsi="Times New Roman" w:eastAsia="宋体"/>
                <w:bCs/>
                <w:spacing w:val="-2"/>
                <w:kern w:val="2"/>
                <w:sz w:val="21"/>
                <w:szCs w:val="21"/>
                <w:lang w:eastAsia="zh-CN"/>
              </w:rPr>
              <w:t>石油类</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0.01</w:t>
            </w:r>
            <w:r>
              <w:rPr>
                <w:rFonts w:hint="eastAsia" w:hAnsi="Times New Roman" w:eastAsia="宋体"/>
                <w:kern w:val="2"/>
                <w:sz w:val="21"/>
                <w:szCs w:val="21"/>
                <w:vertAlign w:val="superscript"/>
                <w:lang w:eastAsia="zh-CN" w:bidi="ar"/>
              </w:rPr>
              <w:t>L</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0.01</w:t>
            </w:r>
            <w:r>
              <w:rPr>
                <w:rFonts w:hint="eastAsia" w:hAnsi="Times New Roman" w:eastAsia="宋体"/>
                <w:kern w:val="2"/>
                <w:sz w:val="21"/>
                <w:szCs w:val="21"/>
                <w:vertAlign w:val="superscript"/>
                <w:lang w:eastAsia="zh-CN" w:bidi="ar"/>
              </w:rPr>
              <w:t>L</w:t>
            </w:r>
          </w:p>
        </w:tc>
        <w:tc>
          <w:tcPr>
            <w:tcW w:w="690"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0.01</w:t>
            </w:r>
            <w:r>
              <w:rPr>
                <w:rFonts w:hint="eastAsia" w:hAnsi="Times New Roman" w:eastAsia="宋体"/>
                <w:kern w:val="2"/>
                <w:sz w:val="21"/>
                <w:szCs w:val="21"/>
                <w:vertAlign w:val="superscript"/>
                <w:lang w:eastAsia="zh-CN" w:bidi="ar"/>
              </w:rPr>
              <w:t>L</w:t>
            </w:r>
          </w:p>
        </w:tc>
        <w:tc>
          <w:tcPr>
            <w:tcW w:w="637"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0.01</w:t>
            </w:r>
            <w:r>
              <w:rPr>
                <w:rFonts w:hint="eastAsia" w:hAnsi="Times New Roman" w:eastAsia="宋体"/>
                <w:kern w:val="2"/>
                <w:sz w:val="21"/>
                <w:szCs w:val="21"/>
                <w:vertAlign w:val="superscript"/>
                <w:lang w:eastAsia="zh-CN" w:bidi="ar"/>
              </w:rPr>
              <w:t>L</w:t>
            </w:r>
          </w:p>
        </w:tc>
        <w:tc>
          <w:tcPr>
            <w:tcW w:w="644"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0.01</w:t>
            </w:r>
            <w:r>
              <w:rPr>
                <w:rFonts w:hint="eastAsia" w:hAnsi="Times New Roman" w:eastAsia="宋体"/>
                <w:kern w:val="2"/>
                <w:sz w:val="21"/>
                <w:szCs w:val="21"/>
                <w:vertAlign w:val="superscript"/>
                <w:lang w:eastAsia="zh-CN" w:bidi="ar"/>
              </w:rPr>
              <w:t>L</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bl>
    <w:p>
      <w:pPr>
        <w:spacing w:line="360" w:lineRule="auto"/>
        <w:ind w:firstLine="482" w:firstLineChars="200"/>
        <w:rPr>
          <w:rFonts w:hAnsi="Times New Roman" w:eastAsia="宋体"/>
          <w:b/>
          <w:szCs w:val="24"/>
        </w:rPr>
      </w:pPr>
      <w:r>
        <w:rPr>
          <w:rFonts w:hint="eastAsia" w:hAnsi="Times New Roman" w:eastAsia="宋体"/>
          <w:b/>
          <w:szCs w:val="24"/>
          <w:lang w:eastAsia="zh-CN"/>
        </w:rPr>
        <w:t>2</w:t>
      </w:r>
      <w:r>
        <w:rPr>
          <w:rFonts w:hAnsi="Times New Roman" w:eastAsia="宋体"/>
          <w:b/>
          <w:szCs w:val="24"/>
        </w:rPr>
        <w:t>、地下水环境质量现状评价</w:t>
      </w:r>
    </w:p>
    <w:p>
      <w:pPr>
        <w:spacing w:line="360" w:lineRule="auto"/>
        <w:ind w:firstLine="361" w:firstLineChars="150"/>
        <w:rPr>
          <w:rFonts w:hAnsi="Times New Roman" w:eastAsia="宋体"/>
          <w:b/>
        </w:rPr>
      </w:pPr>
      <w:r>
        <w:rPr>
          <w:rFonts w:hAnsi="Times New Roman" w:eastAsia="宋体"/>
          <w:b/>
        </w:rPr>
        <w:t>（1）评价因子</w:t>
      </w:r>
    </w:p>
    <w:p>
      <w:pPr>
        <w:spacing w:line="360" w:lineRule="auto"/>
        <w:ind w:firstLine="480" w:firstLineChars="200"/>
        <w:rPr>
          <w:rFonts w:hAnsi="Times New Roman" w:eastAsia="宋体"/>
          <w:highlight w:val="yellow"/>
        </w:rPr>
      </w:pPr>
      <w:r>
        <w:rPr>
          <w:rFonts w:hAnsi="Times New Roman" w:eastAsia="宋体"/>
          <w:szCs w:val="24"/>
        </w:rPr>
        <w:t>pH、氨氮、硝酸盐、亚硝酸盐、挥发性酚类、氰化物、砷、汞、铬、铬</w:t>
      </w:r>
      <w:r>
        <w:rPr>
          <w:rFonts w:hint="eastAsia" w:hAnsi="Times New Roman" w:eastAsia="宋体"/>
          <w:szCs w:val="24"/>
          <w:lang w:eastAsia="zh-CN"/>
        </w:rPr>
        <w:t>（</w:t>
      </w:r>
      <w:r>
        <w:rPr>
          <w:rFonts w:hAnsi="Times New Roman" w:eastAsia="宋体"/>
          <w:szCs w:val="24"/>
        </w:rPr>
        <w:t>六价</w:t>
      </w:r>
      <w:r>
        <w:rPr>
          <w:rFonts w:hint="eastAsia" w:hAnsi="Times New Roman" w:eastAsia="宋体"/>
          <w:szCs w:val="24"/>
          <w:lang w:eastAsia="zh-CN"/>
        </w:rPr>
        <w:t>）</w:t>
      </w:r>
      <w:r>
        <w:rPr>
          <w:rFonts w:hAnsi="Times New Roman" w:eastAsia="宋体"/>
          <w:szCs w:val="24"/>
        </w:rPr>
        <w:t>、总硬度、铅、氟化物、镉、铁、锰、溶解性总固体、高锰酸盐指数、硫酸盐、氯化物、总大肠菌群、K</w:t>
      </w:r>
      <w:r>
        <w:rPr>
          <w:rFonts w:hAnsi="Times New Roman" w:eastAsia="宋体"/>
          <w:szCs w:val="24"/>
          <w:vertAlign w:val="superscript"/>
        </w:rPr>
        <w:t>+</w:t>
      </w:r>
      <w:r>
        <w:rPr>
          <w:rFonts w:hAnsi="Times New Roman" w:eastAsia="宋体"/>
          <w:szCs w:val="24"/>
        </w:rPr>
        <w:t>、Na</w:t>
      </w:r>
      <w:r>
        <w:rPr>
          <w:rFonts w:hAnsi="Times New Roman" w:eastAsia="宋体"/>
          <w:szCs w:val="24"/>
          <w:vertAlign w:val="superscript"/>
        </w:rPr>
        <w:t>+</w:t>
      </w:r>
      <w:r>
        <w:rPr>
          <w:rFonts w:hAnsi="Times New Roman" w:eastAsia="宋体"/>
          <w:szCs w:val="24"/>
        </w:rPr>
        <w:t>、Ca</w:t>
      </w:r>
      <w:r>
        <w:rPr>
          <w:rFonts w:hAnsi="Times New Roman" w:eastAsia="宋体"/>
          <w:szCs w:val="24"/>
          <w:vertAlign w:val="superscript"/>
        </w:rPr>
        <w:t>2+</w:t>
      </w:r>
      <w:r>
        <w:rPr>
          <w:rFonts w:hAnsi="Times New Roman" w:eastAsia="宋体"/>
          <w:szCs w:val="24"/>
        </w:rPr>
        <w:t>、Mg</w:t>
      </w:r>
      <w:r>
        <w:rPr>
          <w:rFonts w:hAnsi="Times New Roman" w:eastAsia="宋体"/>
          <w:szCs w:val="24"/>
          <w:vertAlign w:val="superscript"/>
        </w:rPr>
        <w:t>2+</w:t>
      </w:r>
      <w:r>
        <w:rPr>
          <w:rFonts w:hAnsi="Times New Roman" w:eastAsia="宋体"/>
          <w:szCs w:val="24"/>
        </w:rPr>
        <w:t>、CO</w:t>
      </w:r>
      <w:r>
        <w:rPr>
          <w:rFonts w:hAnsi="Times New Roman" w:eastAsia="宋体"/>
          <w:szCs w:val="24"/>
          <w:vertAlign w:val="subscript"/>
        </w:rPr>
        <w:t>3</w:t>
      </w:r>
      <w:r>
        <w:rPr>
          <w:rFonts w:hAnsi="Times New Roman" w:eastAsia="宋体"/>
          <w:szCs w:val="24"/>
          <w:vertAlign w:val="superscript"/>
        </w:rPr>
        <w:t>2-</w:t>
      </w:r>
      <w:r>
        <w:rPr>
          <w:rFonts w:hAnsi="Times New Roman" w:eastAsia="宋体"/>
          <w:szCs w:val="24"/>
        </w:rPr>
        <w:t>、HCO</w:t>
      </w:r>
      <w:r>
        <w:rPr>
          <w:rFonts w:hAnsi="Times New Roman" w:eastAsia="宋体"/>
          <w:szCs w:val="24"/>
          <w:vertAlign w:val="subscript"/>
        </w:rPr>
        <w:t>3</w:t>
      </w:r>
      <w:r>
        <w:rPr>
          <w:rFonts w:hAnsi="Times New Roman" w:eastAsia="宋体"/>
          <w:szCs w:val="24"/>
          <w:vertAlign w:val="superscript"/>
        </w:rPr>
        <w:t>-</w:t>
      </w:r>
      <w:r>
        <w:rPr>
          <w:rFonts w:hAnsi="Times New Roman" w:eastAsia="宋体"/>
          <w:szCs w:val="24"/>
        </w:rPr>
        <w:t>、Cl</w:t>
      </w:r>
      <w:r>
        <w:rPr>
          <w:rFonts w:hAnsi="Times New Roman" w:eastAsia="宋体"/>
          <w:szCs w:val="24"/>
          <w:vertAlign w:val="superscript"/>
        </w:rPr>
        <w:t>-</w:t>
      </w:r>
      <w:r>
        <w:rPr>
          <w:rFonts w:hAnsi="Times New Roman" w:eastAsia="宋体"/>
          <w:szCs w:val="24"/>
        </w:rPr>
        <w:t>、SO</w:t>
      </w:r>
      <w:r>
        <w:rPr>
          <w:rFonts w:hAnsi="Times New Roman" w:eastAsia="宋体"/>
          <w:szCs w:val="24"/>
          <w:vertAlign w:val="subscript"/>
        </w:rPr>
        <w:t>4</w:t>
      </w:r>
      <w:r>
        <w:rPr>
          <w:rFonts w:hAnsi="Times New Roman" w:eastAsia="宋体"/>
          <w:szCs w:val="24"/>
          <w:vertAlign w:val="superscript"/>
        </w:rPr>
        <w:t>2-</w:t>
      </w:r>
      <w:r>
        <w:rPr>
          <w:rFonts w:hAnsi="Times New Roman" w:eastAsia="宋体"/>
          <w:szCs w:val="24"/>
        </w:rPr>
        <w:t>、石油类、锌</w:t>
      </w:r>
      <w:r>
        <w:rPr>
          <w:rFonts w:hAnsi="Times New Roman" w:eastAsia="宋体"/>
        </w:rPr>
        <w:t>。</w:t>
      </w:r>
    </w:p>
    <w:p>
      <w:pPr>
        <w:spacing w:line="360" w:lineRule="auto"/>
        <w:ind w:firstLine="361" w:firstLineChars="150"/>
        <w:rPr>
          <w:rFonts w:hAnsi="Times New Roman" w:eastAsia="宋体"/>
          <w:b/>
        </w:rPr>
      </w:pPr>
      <w:r>
        <w:rPr>
          <w:rFonts w:hAnsi="Times New Roman" w:eastAsia="宋体"/>
          <w:b/>
        </w:rPr>
        <w:t>（2）评价标准</w:t>
      </w:r>
    </w:p>
    <w:p>
      <w:pPr>
        <w:spacing w:line="360" w:lineRule="auto"/>
        <w:ind w:firstLine="480" w:firstLineChars="200"/>
        <w:rPr>
          <w:rFonts w:hAnsi="Times New Roman" w:eastAsia="宋体"/>
        </w:rPr>
      </w:pPr>
      <w:r>
        <w:rPr>
          <w:rFonts w:hAnsi="Times New Roman" w:eastAsia="宋体"/>
        </w:rPr>
        <w:t>执行</w:t>
      </w:r>
      <w:r>
        <w:rPr>
          <w:rFonts w:hAnsi="Times New Roman" w:eastAsia="宋体"/>
          <w:szCs w:val="24"/>
        </w:rPr>
        <w:t>《地下水质量标准》（GB/T14848-2017）III类标准</w:t>
      </w:r>
      <w:r>
        <w:rPr>
          <w:rFonts w:hAnsi="Times New Roman" w:eastAsia="宋体"/>
        </w:rPr>
        <w:t>。</w:t>
      </w:r>
    </w:p>
    <w:p>
      <w:pPr>
        <w:spacing w:line="360" w:lineRule="auto"/>
        <w:ind w:firstLine="361" w:firstLineChars="150"/>
        <w:rPr>
          <w:rFonts w:hAnsi="Times New Roman" w:eastAsia="宋体"/>
          <w:b/>
        </w:rPr>
      </w:pPr>
      <w:r>
        <w:rPr>
          <w:rFonts w:hAnsi="Times New Roman" w:eastAsia="宋体"/>
          <w:b/>
        </w:rPr>
        <w:t>（3）评价方法</w:t>
      </w:r>
    </w:p>
    <w:p>
      <w:pPr>
        <w:spacing w:line="360" w:lineRule="auto"/>
        <w:ind w:firstLine="480" w:firstLineChars="200"/>
        <w:rPr>
          <w:rFonts w:hAnsi="Times New Roman" w:eastAsia="宋体"/>
        </w:rPr>
      </w:pPr>
      <w:r>
        <w:rPr>
          <w:rFonts w:hAnsi="Times New Roman" w:eastAsia="宋体"/>
          <w:szCs w:val="24"/>
        </w:rPr>
        <w:t>采用</w:t>
      </w:r>
      <w:r>
        <w:rPr>
          <w:rFonts w:hAnsi="Times New Roman" w:eastAsia="宋体"/>
        </w:rPr>
        <w:t>单项水质指数评价法，公式为：</w:t>
      </w:r>
    </w:p>
    <w:p>
      <w:pPr>
        <w:spacing w:line="360" w:lineRule="auto"/>
        <w:jc w:val="center"/>
        <w:rPr>
          <w:rFonts w:hAnsi="Times New Roman" w:eastAsia="宋体"/>
          <w:szCs w:val="24"/>
        </w:rPr>
      </w:pPr>
      <w:r>
        <w:rPr>
          <w:rFonts w:hAnsi="Times New Roman" w:eastAsia="宋体"/>
          <w:szCs w:val="24"/>
        </w:rPr>
        <w:t>Pi =Ci/Csi</w:t>
      </w:r>
    </w:p>
    <w:p>
      <w:pPr>
        <w:spacing w:line="360" w:lineRule="auto"/>
        <w:ind w:firstLine="480" w:firstLineChars="200"/>
        <w:rPr>
          <w:rFonts w:hAnsi="Times New Roman" w:eastAsia="宋体"/>
        </w:rPr>
      </w:pPr>
      <w:r>
        <w:rPr>
          <w:rFonts w:hAnsi="Times New Roman" w:eastAsia="宋体"/>
        </w:rPr>
        <w:t>式中，</w:t>
      </w:r>
      <w:r>
        <w:rPr>
          <w:rFonts w:hAnsi="Times New Roman" w:eastAsia="宋体"/>
          <w:i/>
        </w:rPr>
        <w:t>P</w:t>
      </w:r>
      <w:r>
        <w:rPr>
          <w:rFonts w:hAnsi="Times New Roman" w:eastAsia="宋体"/>
          <w:i/>
          <w:vertAlign w:val="subscript"/>
        </w:rPr>
        <w:t>i</w:t>
      </w:r>
      <w:r>
        <w:rPr>
          <w:rFonts w:hAnsi="Times New Roman" w:eastAsia="宋体"/>
        </w:rPr>
        <w:t xml:space="preserve"> ——第</w:t>
      </w:r>
      <w:r>
        <w:rPr>
          <w:rFonts w:hAnsi="Times New Roman" w:eastAsia="宋体"/>
          <w:i/>
        </w:rPr>
        <w:t>i</w:t>
      </w:r>
      <w:r>
        <w:rPr>
          <w:rFonts w:hAnsi="Times New Roman" w:eastAsia="宋体"/>
        </w:rPr>
        <w:t>个水质因子的标准指数，无量纲；</w:t>
      </w:r>
    </w:p>
    <w:p>
      <w:pPr>
        <w:spacing w:line="360" w:lineRule="auto"/>
        <w:ind w:firstLine="1200" w:firstLineChars="500"/>
        <w:rPr>
          <w:rFonts w:hAnsi="Times New Roman" w:eastAsia="宋体"/>
        </w:rPr>
      </w:pPr>
      <w:r>
        <w:rPr>
          <w:rFonts w:hAnsi="Times New Roman" w:eastAsia="宋体"/>
          <w:i/>
        </w:rPr>
        <w:t>C</w:t>
      </w:r>
      <w:r>
        <w:rPr>
          <w:rFonts w:hAnsi="Times New Roman" w:eastAsia="宋体"/>
          <w:i/>
          <w:vertAlign w:val="subscript"/>
        </w:rPr>
        <w:t>i</w:t>
      </w:r>
      <w:r>
        <w:rPr>
          <w:rFonts w:hAnsi="Times New Roman" w:eastAsia="宋体"/>
        </w:rPr>
        <w:t>——第</w:t>
      </w:r>
      <w:r>
        <w:rPr>
          <w:rFonts w:hAnsi="Times New Roman" w:eastAsia="宋体"/>
          <w:i/>
        </w:rPr>
        <w:t>i</w:t>
      </w:r>
      <w:r>
        <w:rPr>
          <w:rFonts w:hAnsi="Times New Roman" w:eastAsia="宋体"/>
        </w:rPr>
        <w:t>个水质因子的监测浓度限值，mg/L；</w:t>
      </w:r>
    </w:p>
    <w:p>
      <w:pPr>
        <w:spacing w:line="360" w:lineRule="auto"/>
        <w:ind w:firstLine="1200" w:firstLineChars="500"/>
        <w:rPr>
          <w:rFonts w:hAnsi="Times New Roman" w:eastAsia="宋体"/>
        </w:rPr>
      </w:pPr>
      <w:r>
        <w:rPr>
          <w:rFonts w:hAnsi="Times New Roman" w:eastAsia="宋体"/>
          <w:i/>
        </w:rPr>
        <w:t>C</w:t>
      </w:r>
      <w:r>
        <w:rPr>
          <w:rFonts w:hAnsi="Times New Roman" w:eastAsia="宋体"/>
          <w:i/>
          <w:vertAlign w:val="subscript"/>
        </w:rPr>
        <w:t>sj</w:t>
      </w:r>
      <w:r>
        <w:rPr>
          <w:rFonts w:hAnsi="Times New Roman" w:eastAsia="宋体"/>
        </w:rPr>
        <w:t>——第</w:t>
      </w:r>
      <w:r>
        <w:rPr>
          <w:rFonts w:hAnsi="Times New Roman" w:eastAsia="宋体"/>
          <w:i/>
        </w:rPr>
        <w:t>i</w:t>
      </w:r>
      <w:r>
        <w:rPr>
          <w:rFonts w:hAnsi="Times New Roman" w:eastAsia="宋体"/>
        </w:rPr>
        <w:t>个水质因子的标准浓度限值，mg/L。</w:t>
      </w:r>
    </w:p>
    <w:p>
      <w:pPr>
        <w:spacing w:line="360" w:lineRule="auto"/>
        <w:ind w:firstLine="480" w:firstLineChars="200"/>
        <w:rPr>
          <w:rFonts w:hAnsi="Times New Roman" w:eastAsia="宋体"/>
        </w:rPr>
      </w:pPr>
      <w:r>
        <w:rPr>
          <w:rFonts w:hAnsi="Times New Roman" w:eastAsia="宋体"/>
        </w:rPr>
        <w:t>对具有上、下限标准值的指标pH，公式为：</w:t>
      </w:r>
    </w:p>
    <w:p>
      <w:pPr>
        <w:spacing w:line="360" w:lineRule="auto"/>
        <w:jc w:val="center"/>
        <w:rPr>
          <w:rFonts w:hAnsi="Times New Roman" w:eastAsia="宋体"/>
        </w:rPr>
      </w:pPr>
      <w:r>
        <w:rPr>
          <w:rFonts w:hAnsi="Times New Roman" w:eastAsia="宋体"/>
          <w:i/>
        </w:rPr>
        <w:t>P</w:t>
      </w:r>
      <w:r>
        <w:rPr>
          <w:rFonts w:hAnsi="Times New Roman" w:eastAsia="宋体"/>
          <w:vertAlign w:val="subscript"/>
        </w:rPr>
        <w:t>pH</w:t>
      </w:r>
      <w:r>
        <w:rPr>
          <w:rFonts w:hAnsi="Times New Roman" w:eastAsia="宋体"/>
        </w:rPr>
        <w:t>=（7.0-pH）/（7.0-pH</w:t>
      </w:r>
      <w:r>
        <w:rPr>
          <w:rFonts w:hAnsi="Times New Roman" w:eastAsia="宋体"/>
          <w:vertAlign w:val="subscript"/>
        </w:rPr>
        <w:t>sd</w:t>
      </w:r>
      <w:r>
        <w:rPr>
          <w:rFonts w:hAnsi="Times New Roman" w:eastAsia="宋体"/>
        </w:rPr>
        <w:t>）pH</w:t>
      </w:r>
      <w:r>
        <w:rPr>
          <w:rFonts w:hAnsi="Times New Roman" w:eastAsia="宋体"/>
          <w:i/>
          <w:vertAlign w:val="subscript"/>
        </w:rPr>
        <w:t>j</w:t>
      </w:r>
      <w:r>
        <w:rPr>
          <w:rFonts w:hAnsi="Times New Roman" w:eastAsia="宋体"/>
        </w:rPr>
        <w:t>≤7.0</w:t>
      </w:r>
    </w:p>
    <w:p>
      <w:pPr>
        <w:spacing w:line="360" w:lineRule="auto"/>
        <w:jc w:val="center"/>
        <w:rPr>
          <w:rFonts w:hAnsi="Times New Roman" w:eastAsia="宋体"/>
        </w:rPr>
      </w:pPr>
      <w:r>
        <w:rPr>
          <w:rFonts w:hAnsi="Times New Roman" w:eastAsia="宋体"/>
          <w:i/>
        </w:rPr>
        <w:t>P</w:t>
      </w:r>
      <w:r>
        <w:rPr>
          <w:rFonts w:hAnsi="Times New Roman" w:eastAsia="宋体"/>
          <w:vertAlign w:val="subscript"/>
        </w:rPr>
        <w:t>pH</w:t>
      </w:r>
      <w:r>
        <w:rPr>
          <w:rFonts w:hAnsi="Times New Roman" w:eastAsia="宋体"/>
        </w:rPr>
        <w:t>=（pH-7.0）/（pH</w:t>
      </w:r>
      <w:r>
        <w:rPr>
          <w:rFonts w:hAnsi="Times New Roman" w:eastAsia="宋体"/>
          <w:vertAlign w:val="subscript"/>
        </w:rPr>
        <w:t>su</w:t>
      </w:r>
      <w:r>
        <w:rPr>
          <w:rFonts w:hAnsi="Times New Roman" w:eastAsia="宋体"/>
        </w:rPr>
        <w:t>-7.0）pH</w:t>
      </w:r>
      <w:r>
        <w:rPr>
          <w:rFonts w:hAnsi="Times New Roman" w:eastAsia="宋体"/>
          <w:i/>
          <w:vertAlign w:val="subscript"/>
        </w:rPr>
        <w:t>j</w:t>
      </w:r>
      <w:r>
        <w:rPr>
          <w:rFonts w:hAnsi="Times New Roman" w:eastAsia="宋体"/>
        </w:rPr>
        <w:t>&gt;7.0</w:t>
      </w:r>
    </w:p>
    <w:p>
      <w:pPr>
        <w:spacing w:line="360" w:lineRule="auto"/>
        <w:ind w:firstLine="480" w:firstLineChars="200"/>
        <w:rPr>
          <w:rFonts w:hAnsi="Times New Roman" w:eastAsia="宋体"/>
        </w:rPr>
      </w:pPr>
      <w:r>
        <w:rPr>
          <w:rFonts w:hAnsi="Times New Roman" w:eastAsia="宋体"/>
        </w:rPr>
        <w:t>式中，</w:t>
      </w:r>
      <w:r>
        <w:rPr>
          <w:rFonts w:hAnsi="Times New Roman" w:eastAsia="宋体"/>
          <w:i/>
        </w:rPr>
        <w:t>P</w:t>
      </w:r>
      <w:r>
        <w:rPr>
          <w:rFonts w:hAnsi="Times New Roman" w:eastAsia="宋体"/>
          <w:vertAlign w:val="subscript"/>
        </w:rPr>
        <w:t>pH</w:t>
      </w:r>
      <w:r>
        <w:rPr>
          <w:rFonts w:hAnsi="Times New Roman" w:eastAsia="宋体"/>
        </w:rPr>
        <w:t>——pH值的标准指数，无量纲；</w:t>
      </w:r>
    </w:p>
    <w:p>
      <w:pPr>
        <w:spacing w:line="360" w:lineRule="auto"/>
        <w:ind w:firstLine="1200" w:firstLineChars="500"/>
        <w:rPr>
          <w:rFonts w:hAnsi="Times New Roman" w:eastAsia="宋体"/>
        </w:rPr>
      </w:pPr>
      <w:r>
        <w:rPr>
          <w:rFonts w:hAnsi="Times New Roman" w:eastAsia="宋体"/>
        </w:rPr>
        <w:t>pH——pH监测值；</w:t>
      </w:r>
    </w:p>
    <w:p>
      <w:pPr>
        <w:spacing w:line="360" w:lineRule="auto"/>
        <w:ind w:firstLine="1200" w:firstLineChars="500"/>
        <w:rPr>
          <w:rFonts w:hAnsi="Times New Roman" w:eastAsia="宋体"/>
        </w:rPr>
      </w:pPr>
      <w:r>
        <w:rPr>
          <w:rFonts w:hAnsi="Times New Roman" w:eastAsia="宋体"/>
        </w:rPr>
        <w:t>pH</w:t>
      </w:r>
      <w:r>
        <w:rPr>
          <w:rFonts w:hAnsi="Times New Roman" w:eastAsia="宋体"/>
          <w:vertAlign w:val="subscript"/>
        </w:rPr>
        <w:t xml:space="preserve">sd </w:t>
      </w:r>
      <w:r>
        <w:rPr>
          <w:rFonts w:hAnsi="Times New Roman" w:eastAsia="宋体"/>
        </w:rPr>
        <w:t>——标准中pH的下限值；</w:t>
      </w:r>
    </w:p>
    <w:p>
      <w:pPr>
        <w:spacing w:line="360" w:lineRule="auto"/>
        <w:ind w:firstLine="1200" w:firstLineChars="500"/>
        <w:rPr>
          <w:rFonts w:hAnsi="Times New Roman" w:eastAsia="宋体"/>
        </w:rPr>
      </w:pPr>
      <w:r>
        <w:rPr>
          <w:rFonts w:hAnsi="Times New Roman" w:eastAsia="宋体"/>
        </w:rPr>
        <w:t>pH</w:t>
      </w:r>
      <w:r>
        <w:rPr>
          <w:rFonts w:hAnsi="Times New Roman" w:eastAsia="宋体"/>
          <w:vertAlign w:val="subscript"/>
        </w:rPr>
        <w:t xml:space="preserve">su </w:t>
      </w:r>
      <w:r>
        <w:rPr>
          <w:rFonts w:hAnsi="Times New Roman" w:eastAsia="宋体"/>
        </w:rPr>
        <w:t>——标准中pH的上限值。</w:t>
      </w:r>
    </w:p>
    <w:p>
      <w:pPr>
        <w:spacing w:line="360" w:lineRule="auto"/>
        <w:ind w:firstLine="480"/>
        <w:rPr>
          <w:rFonts w:hAnsi="Times New Roman" w:eastAsia="宋体"/>
        </w:rPr>
      </w:pPr>
      <w:r>
        <w:rPr>
          <w:rFonts w:hAnsi="Times New Roman" w:eastAsia="宋体"/>
        </w:rPr>
        <w:t>当水质评价因子的标准指数大于1，表明该评价因子的水质超过了规定的水质标准，已经不能满足相应的水环境要求。</w:t>
      </w:r>
    </w:p>
    <w:p>
      <w:pPr>
        <w:spacing w:line="360" w:lineRule="auto"/>
        <w:ind w:firstLine="361" w:firstLineChars="150"/>
        <w:rPr>
          <w:rFonts w:hAnsi="Times New Roman" w:eastAsia="宋体"/>
          <w:b/>
        </w:rPr>
      </w:pPr>
      <w:r>
        <w:rPr>
          <w:rFonts w:hAnsi="Times New Roman" w:eastAsia="宋体"/>
          <w:b/>
        </w:rPr>
        <w:t>（4）评价结果</w:t>
      </w:r>
    </w:p>
    <w:p>
      <w:pPr>
        <w:spacing w:line="360" w:lineRule="auto"/>
        <w:ind w:firstLine="480"/>
        <w:rPr>
          <w:rFonts w:hAnsi="Times New Roman" w:eastAsia="宋体"/>
        </w:rPr>
      </w:pPr>
      <w:r>
        <w:rPr>
          <w:rFonts w:hAnsi="Times New Roman" w:eastAsia="宋体"/>
        </w:rPr>
        <w:t>本次地下水环境质量现状评价结果见表</w:t>
      </w:r>
      <w:r>
        <w:rPr>
          <w:rFonts w:hAnsi="Times New Roman" w:eastAsia="宋体"/>
          <w:lang w:eastAsia="zh-CN"/>
        </w:rPr>
        <w:t>3.2</w:t>
      </w:r>
      <w:r>
        <w:rPr>
          <w:rFonts w:hAnsi="Times New Roman" w:eastAsia="宋体"/>
        </w:rPr>
        <w:t>-</w:t>
      </w:r>
      <w:r>
        <w:rPr>
          <w:rFonts w:hAnsi="Times New Roman" w:eastAsia="宋体"/>
          <w:lang w:eastAsia="zh-CN"/>
        </w:rPr>
        <w:t>1</w:t>
      </w:r>
      <w:r>
        <w:rPr>
          <w:rFonts w:hint="eastAsia" w:hAnsi="Times New Roman" w:eastAsia="宋体"/>
          <w:lang w:eastAsia="zh-CN"/>
        </w:rPr>
        <w:t>2</w:t>
      </w:r>
      <w:r>
        <w:rPr>
          <w:rFonts w:hAnsi="Times New Roman" w:eastAsia="宋体"/>
        </w:rPr>
        <w:t>。</w:t>
      </w:r>
    </w:p>
    <w:p>
      <w:pPr>
        <w:spacing w:line="360" w:lineRule="auto"/>
        <w:jc w:val="center"/>
        <w:rPr>
          <w:rFonts w:hAnsi="Times New Roman" w:eastAsia="宋体"/>
          <w:b/>
          <w:bCs/>
          <w:sz w:val="21"/>
          <w:szCs w:val="21"/>
        </w:rPr>
      </w:pPr>
      <w:r>
        <w:rPr>
          <w:rFonts w:hAnsi="Times New Roman" w:eastAsia="宋体"/>
          <w:b/>
          <w:bCs/>
          <w:sz w:val="21"/>
          <w:szCs w:val="21"/>
        </w:rPr>
        <w:t>表</w:t>
      </w:r>
      <w:r>
        <w:rPr>
          <w:rFonts w:hAnsi="Times New Roman" w:eastAsia="宋体"/>
          <w:b/>
          <w:bCs/>
          <w:sz w:val="21"/>
          <w:szCs w:val="21"/>
          <w:lang w:eastAsia="zh-CN"/>
        </w:rPr>
        <w:t>3.2</w:t>
      </w:r>
      <w:r>
        <w:rPr>
          <w:rFonts w:hAnsi="Times New Roman" w:eastAsia="宋体"/>
          <w:b/>
          <w:bCs/>
          <w:sz w:val="21"/>
          <w:szCs w:val="21"/>
        </w:rPr>
        <w:t>-</w:t>
      </w:r>
      <w:r>
        <w:rPr>
          <w:rFonts w:hAnsi="Times New Roman" w:eastAsia="宋体"/>
          <w:b/>
          <w:bCs/>
          <w:sz w:val="21"/>
          <w:szCs w:val="21"/>
          <w:lang w:eastAsia="zh-CN"/>
        </w:rPr>
        <w:t>1</w:t>
      </w:r>
      <w:r>
        <w:rPr>
          <w:rFonts w:hint="eastAsia" w:hAnsi="Times New Roman" w:eastAsia="宋体"/>
          <w:b/>
          <w:bCs/>
          <w:sz w:val="21"/>
          <w:szCs w:val="21"/>
          <w:lang w:eastAsia="zh-CN"/>
        </w:rPr>
        <w:t>2</w:t>
      </w:r>
      <w:r>
        <w:rPr>
          <w:rFonts w:hAnsi="Times New Roman" w:eastAsia="宋体"/>
          <w:b/>
          <w:bCs/>
          <w:sz w:val="21"/>
          <w:szCs w:val="21"/>
        </w:rPr>
        <w:t xml:space="preserve"> 地下水环境质量现状评价结果</w:t>
      </w:r>
    </w:p>
    <w:tbl>
      <w:tblPr>
        <w:tblStyle w:val="33"/>
        <w:tblW w:w="967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26"/>
        <w:gridCol w:w="862"/>
        <w:gridCol w:w="713"/>
        <w:gridCol w:w="862"/>
        <w:gridCol w:w="800"/>
        <w:gridCol w:w="888"/>
        <w:gridCol w:w="825"/>
        <w:gridCol w:w="887"/>
        <w:gridCol w:w="838"/>
        <w:gridCol w:w="923"/>
        <w:gridCol w:w="8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26" w:type="dxa"/>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监测项目</w:t>
            </w:r>
          </w:p>
        </w:tc>
        <w:tc>
          <w:tcPr>
            <w:tcW w:w="8448" w:type="dxa"/>
            <w:gridSpan w:val="10"/>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评价结果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26"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p>
        </w:tc>
        <w:tc>
          <w:tcPr>
            <w:tcW w:w="1575" w:type="dxa"/>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lang w:eastAsia="zh-CN"/>
              </w:rPr>
              <w:t>S</w:t>
            </w:r>
            <w:r>
              <w:rPr>
                <w:rFonts w:hint="eastAsia" w:hAnsi="Times New Roman" w:eastAsia="宋体"/>
                <w:b/>
                <w:bCs/>
                <w:kern w:val="2"/>
                <w:sz w:val="21"/>
                <w:szCs w:val="21"/>
              </w:rPr>
              <w:t>1</w:t>
            </w:r>
          </w:p>
        </w:tc>
        <w:tc>
          <w:tcPr>
            <w:tcW w:w="1662" w:type="dxa"/>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lang w:eastAsia="zh-CN"/>
              </w:rPr>
              <w:t>S</w:t>
            </w:r>
            <w:r>
              <w:rPr>
                <w:rFonts w:hint="eastAsia" w:hAnsi="Times New Roman" w:eastAsia="宋体"/>
                <w:b/>
                <w:bCs/>
                <w:kern w:val="2"/>
                <w:sz w:val="21"/>
                <w:szCs w:val="21"/>
              </w:rPr>
              <w:t>2</w:t>
            </w:r>
          </w:p>
        </w:tc>
        <w:tc>
          <w:tcPr>
            <w:tcW w:w="1713" w:type="dxa"/>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lang w:eastAsia="zh-CN"/>
              </w:rPr>
              <w:t>S</w:t>
            </w:r>
            <w:r>
              <w:rPr>
                <w:rFonts w:hint="eastAsia" w:hAnsi="Times New Roman" w:eastAsia="宋体"/>
                <w:b/>
                <w:bCs/>
                <w:kern w:val="2"/>
                <w:sz w:val="21"/>
                <w:szCs w:val="21"/>
              </w:rPr>
              <w:t>3</w:t>
            </w:r>
          </w:p>
        </w:tc>
        <w:tc>
          <w:tcPr>
            <w:tcW w:w="1725" w:type="dxa"/>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S4</w:t>
            </w:r>
          </w:p>
        </w:tc>
        <w:tc>
          <w:tcPr>
            <w:tcW w:w="1773" w:type="dxa"/>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S5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26"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超标率（%）</w:t>
            </w:r>
          </w:p>
        </w:tc>
        <w:tc>
          <w:tcPr>
            <w:tcW w:w="71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i/>
                <w:kern w:val="2"/>
                <w:sz w:val="21"/>
                <w:szCs w:val="21"/>
              </w:rPr>
            </w:pPr>
            <w:r>
              <w:rPr>
                <w:rFonts w:hint="eastAsia" w:hAnsi="Times New Roman" w:eastAsia="宋体"/>
                <w:b/>
                <w:bCs/>
                <w:i/>
                <w:kern w:val="2"/>
                <w:sz w:val="21"/>
                <w:szCs w:val="21"/>
              </w:rPr>
              <w:t>P</w:t>
            </w:r>
            <w:r>
              <w:rPr>
                <w:rFonts w:hint="eastAsia" w:hAnsi="Times New Roman" w:eastAsia="宋体"/>
                <w:b/>
                <w:bCs/>
                <w:i/>
                <w:kern w:val="2"/>
                <w:sz w:val="21"/>
                <w:szCs w:val="21"/>
                <w:vertAlign w:val="subscript"/>
              </w:rPr>
              <w:t>i</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i/>
                <w:kern w:val="2"/>
                <w:sz w:val="21"/>
                <w:szCs w:val="21"/>
              </w:rPr>
            </w:pPr>
            <w:r>
              <w:rPr>
                <w:rFonts w:hint="eastAsia" w:hAnsi="Times New Roman" w:eastAsia="宋体"/>
                <w:b/>
                <w:bCs/>
                <w:kern w:val="2"/>
                <w:sz w:val="21"/>
                <w:szCs w:val="21"/>
              </w:rPr>
              <w:t>超标率（%）</w:t>
            </w:r>
          </w:p>
        </w:tc>
        <w:tc>
          <w:tcPr>
            <w:tcW w:w="80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i/>
                <w:kern w:val="2"/>
                <w:sz w:val="21"/>
                <w:szCs w:val="21"/>
              </w:rPr>
            </w:pPr>
            <w:r>
              <w:rPr>
                <w:rFonts w:hint="eastAsia" w:hAnsi="Times New Roman" w:eastAsia="宋体"/>
                <w:b/>
                <w:bCs/>
                <w:i/>
                <w:kern w:val="2"/>
                <w:sz w:val="21"/>
                <w:szCs w:val="21"/>
              </w:rPr>
              <w:t>P</w:t>
            </w:r>
            <w:r>
              <w:rPr>
                <w:rFonts w:hint="eastAsia" w:hAnsi="Times New Roman" w:eastAsia="宋体"/>
                <w:b/>
                <w:bCs/>
                <w:i/>
                <w:kern w:val="2"/>
                <w:sz w:val="21"/>
                <w:szCs w:val="21"/>
                <w:vertAlign w:val="subscript"/>
              </w:rPr>
              <w:t>i</w:t>
            </w:r>
          </w:p>
        </w:tc>
        <w:tc>
          <w:tcPr>
            <w:tcW w:w="8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i/>
                <w:kern w:val="2"/>
                <w:sz w:val="21"/>
                <w:szCs w:val="21"/>
              </w:rPr>
            </w:pPr>
            <w:r>
              <w:rPr>
                <w:rFonts w:hint="eastAsia" w:hAnsi="Times New Roman" w:eastAsia="宋体"/>
                <w:b/>
                <w:bCs/>
                <w:kern w:val="2"/>
                <w:sz w:val="21"/>
                <w:szCs w:val="21"/>
              </w:rPr>
              <w:t>超标率（%）</w:t>
            </w:r>
          </w:p>
        </w:tc>
        <w:tc>
          <w:tcPr>
            <w:tcW w:w="82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i/>
                <w:kern w:val="2"/>
                <w:sz w:val="21"/>
                <w:szCs w:val="21"/>
              </w:rPr>
            </w:pPr>
            <w:r>
              <w:rPr>
                <w:rFonts w:hint="eastAsia" w:hAnsi="Times New Roman" w:eastAsia="宋体"/>
                <w:b/>
                <w:bCs/>
                <w:i/>
                <w:kern w:val="2"/>
                <w:sz w:val="21"/>
                <w:szCs w:val="21"/>
              </w:rPr>
              <w:t>P</w:t>
            </w:r>
            <w:r>
              <w:rPr>
                <w:rFonts w:hint="eastAsia" w:hAnsi="Times New Roman" w:eastAsia="宋体"/>
                <w:b/>
                <w:bCs/>
                <w:i/>
                <w:kern w:val="2"/>
                <w:sz w:val="21"/>
                <w:szCs w:val="21"/>
                <w:vertAlign w:val="subscript"/>
              </w:rPr>
              <w:t>i</w:t>
            </w:r>
          </w:p>
        </w:tc>
        <w:tc>
          <w:tcPr>
            <w:tcW w:w="88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i/>
                <w:kern w:val="2"/>
                <w:sz w:val="21"/>
                <w:szCs w:val="21"/>
              </w:rPr>
            </w:pPr>
            <w:r>
              <w:rPr>
                <w:rFonts w:hint="eastAsia" w:hAnsi="Times New Roman" w:eastAsia="宋体"/>
                <w:b/>
                <w:bCs/>
                <w:kern w:val="2"/>
                <w:sz w:val="21"/>
                <w:szCs w:val="21"/>
              </w:rPr>
              <w:t>超标率（%）</w:t>
            </w:r>
          </w:p>
        </w:tc>
        <w:tc>
          <w:tcPr>
            <w:tcW w:w="83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i/>
                <w:kern w:val="2"/>
                <w:sz w:val="21"/>
                <w:szCs w:val="21"/>
              </w:rPr>
            </w:pPr>
            <w:r>
              <w:rPr>
                <w:rFonts w:hint="eastAsia" w:hAnsi="Times New Roman" w:eastAsia="宋体"/>
                <w:b/>
                <w:bCs/>
                <w:i/>
                <w:kern w:val="2"/>
                <w:sz w:val="21"/>
                <w:szCs w:val="21"/>
              </w:rPr>
              <w:t>P</w:t>
            </w:r>
            <w:r>
              <w:rPr>
                <w:rFonts w:hint="eastAsia" w:hAnsi="Times New Roman" w:eastAsia="宋体"/>
                <w:b/>
                <w:bCs/>
                <w:i/>
                <w:kern w:val="2"/>
                <w:sz w:val="21"/>
                <w:szCs w:val="21"/>
                <w:vertAlign w:val="subscript"/>
              </w:rPr>
              <w:t>i</w:t>
            </w:r>
          </w:p>
        </w:tc>
        <w:tc>
          <w:tcPr>
            <w:tcW w:w="92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i/>
                <w:kern w:val="2"/>
                <w:sz w:val="21"/>
                <w:szCs w:val="21"/>
              </w:rPr>
            </w:pPr>
            <w:r>
              <w:rPr>
                <w:rFonts w:hint="eastAsia" w:hAnsi="Times New Roman" w:eastAsia="宋体"/>
                <w:b/>
                <w:bCs/>
                <w:kern w:val="2"/>
                <w:sz w:val="21"/>
                <w:szCs w:val="21"/>
              </w:rPr>
              <w:t>超标率（%）</w:t>
            </w:r>
          </w:p>
        </w:tc>
        <w:tc>
          <w:tcPr>
            <w:tcW w:w="8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i/>
                <w:kern w:val="2"/>
                <w:sz w:val="21"/>
                <w:szCs w:val="21"/>
              </w:rPr>
            </w:pPr>
            <w:r>
              <w:rPr>
                <w:rFonts w:hint="eastAsia" w:hAnsi="Times New Roman" w:eastAsia="宋体"/>
                <w:b/>
                <w:bCs/>
                <w:i/>
                <w:kern w:val="2"/>
                <w:sz w:val="21"/>
                <w:szCs w:val="21"/>
              </w:rPr>
              <w:t>P</w:t>
            </w:r>
            <w:r>
              <w:rPr>
                <w:rFonts w:hint="eastAsia" w:hAnsi="Times New Roman" w:eastAsia="宋体"/>
                <w:b/>
                <w:bCs/>
                <w:i/>
                <w:kern w:val="2"/>
                <w:sz w:val="21"/>
                <w:szCs w:val="21"/>
                <w:vertAlign w:val="subscript"/>
              </w:rPr>
              <w:t>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26"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kern w:val="2"/>
                <w:sz w:val="21"/>
                <w:szCs w:val="21"/>
              </w:rPr>
              <w:t>pH（无量纲）</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71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0.267</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0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0.267</w:t>
            </w:r>
          </w:p>
        </w:tc>
        <w:tc>
          <w:tcPr>
            <w:tcW w:w="8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2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0.13</w:t>
            </w:r>
          </w:p>
        </w:tc>
        <w:tc>
          <w:tcPr>
            <w:tcW w:w="88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3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0.20</w:t>
            </w:r>
          </w:p>
        </w:tc>
        <w:tc>
          <w:tcPr>
            <w:tcW w:w="92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26"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氨氮</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w:t>
            </w:r>
          </w:p>
        </w:tc>
        <w:tc>
          <w:tcPr>
            <w:tcW w:w="713"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0.242</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800"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0.176</w:t>
            </w:r>
          </w:p>
        </w:tc>
        <w:tc>
          <w:tcPr>
            <w:tcW w:w="8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825"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0.204</w:t>
            </w:r>
          </w:p>
        </w:tc>
        <w:tc>
          <w:tcPr>
            <w:tcW w:w="88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83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0.178</w:t>
            </w:r>
          </w:p>
        </w:tc>
        <w:tc>
          <w:tcPr>
            <w:tcW w:w="92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8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26"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硝酸盐（以N计）</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713"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0.004</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00"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0.0001</w:t>
            </w:r>
          </w:p>
        </w:tc>
        <w:tc>
          <w:tcPr>
            <w:tcW w:w="8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25"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0.0325</w:t>
            </w:r>
          </w:p>
        </w:tc>
        <w:tc>
          <w:tcPr>
            <w:tcW w:w="88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3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0.0315</w:t>
            </w:r>
          </w:p>
        </w:tc>
        <w:tc>
          <w:tcPr>
            <w:tcW w:w="92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0.1605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26"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亚硝酸盐（以N计）</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713"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0.041</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00"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rPr>
              <w:t>0.</w:t>
            </w:r>
            <w:r>
              <w:rPr>
                <w:rFonts w:hint="eastAsia" w:hAnsi="Times New Roman" w:eastAsia="宋体"/>
                <w:kern w:val="2"/>
                <w:sz w:val="21"/>
                <w:szCs w:val="21"/>
                <w:lang w:eastAsia="zh-CN"/>
              </w:rPr>
              <w:t>039</w:t>
            </w:r>
          </w:p>
        </w:tc>
        <w:tc>
          <w:tcPr>
            <w:tcW w:w="8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25"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0.008</w:t>
            </w:r>
          </w:p>
        </w:tc>
        <w:tc>
          <w:tcPr>
            <w:tcW w:w="88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3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0.007</w:t>
            </w:r>
          </w:p>
        </w:tc>
        <w:tc>
          <w:tcPr>
            <w:tcW w:w="92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26"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挥发性酚类</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713"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0.015</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800"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0.075</w:t>
            </w:r>
          </w:p>
        </w:tc>
        <w:tc>
          <w:tcPr>
            <w:tcW w:w="8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825"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0.075</w:t>
            </w:r>
          </w:p>
        </w:tc>
        <w:tc>
          <w:tcPr>
            <w:tcW w:w="88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83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0.075</w:t>
            </w:r>
          </w:p>
        </w:tc>
        <w:tc>
          <w:tcPr>
            <w:tcW w:w="92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8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26"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氰化物</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713"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0.01</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00"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0.01</w:t>
            </w:r>
          </w:p>
        </w:tc>
        <w:tc>
          <w:tcPr>
            <w:tcW w:w="8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25"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0.01</w:t>
            </w:r>
          </w:p>
        </w:tc>
        <w:tc>
          <w:tcPr>
            <w:tcW w:w="88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3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0.01</w:t>
            </w:r>
          </w:p>
        </w:tc>
        <w:tc>
          <w:tcPr>
            <w:tcW w:w="92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26"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砷</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713"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0.015</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00"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0.015</w:t>
            </w:r>
          </w:p>
        </w:tc>
        <w:tc>
          <w:tcPr>
            <w:tcW w:w="8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25"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0.015</w:t>
            </w:r>
          </w:p>
        </w:tc>
        <w:tc>
          <w:tcPr>
            <w:tcW w:w="88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3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0.015</w:t>
            </w:r>
          </w:p>
        </w:tc>
        <w:tc>
          <w:tcPr>
            <w:tcW w:w="92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26"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汞</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713"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0.00075</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800"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0.00075</w:t>
            </w:r>
          </w:p>
        </w:tc>
        <w:tc>
          <w:tcPr>
            <w:tcW w:w="8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825"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0.033</w:t>
            </w:r>
          </w:p>
        </w:tc>
        <w:tc>
          <w:tcPr>
            <w:tcW w:w="88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83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0.022</w:t>
            </w:r>
          </w:p>
        </w:tc>
        <w:tc>
          <w:tcPr>
            <w:tcW w:w="92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8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26"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六价铬</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713"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0.04</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00"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0.04</w:t>
            </w:r>
          </w:p>
        </w:tc>
        <w:tc>
          <w:tcPr>
            <w:tcW w:w="8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25"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0.04</w:t>
            </w:r>
          </w:p>
        </w:tc>
        <w:tc>
          <w:tcPr>
            <w:tcW w:w="88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3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0.04</w:t>
            </w:r>
          </w:p>
        </w:tc>
        <w:tc>
          <w:tcPr>
            <w:tcW w:w="92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26"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总硬度</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713"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0.28</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00"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0.309</w:t>
            </w:r>
          </w:p>
        </w:tc>
        <w:tc>
          <w:tcPr>
            <w:tcW w:w="8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25"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0.20</w:t>
            </w:r>
          </w:p>
        </w:tc>
        <w:tc>
          <w:tcPr>
            <w:tcW w:w="88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3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0.34</w:t>
            </w:r>
          </w:p>
        </w:tc>
        <w:tc>
          <w:tcPr>
            <w:tcW w:w="92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26"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氟化物</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713"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rPr>
              <w:t>0.0</w:t>
            </w:r>
            <w:r>
              <w:rPr>
                <w:rFonts w:hint="eastAsia" w:hAnsi="Times New Roman" w:eastAsia="宋体"/>
                <w:kern w:val="2"/>
                <w:sz w:val="21"/>
                <w:szCs w:val="21"/>
                <w:lang w:eastAsia="zh-CN"/>
              </w:rPr>
              <w:t>32</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800"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rPr>
              <w:t>0.</w:t>
            </w:r>
            <w:r>
              <w:rPr>
                <w:rFonts w:hint="eastAsia" w:hAnsi="Times New Roman" w:eastAsia="宋体"/>
                <w:kern w:val="2"/>
                <w:sz w:val="21"/>
                <w:szCs w:val="21"/>
                <w:lang w:eastAsia="zh-CN"/>
              </w:rPr>
              <w:t>02</w:t>
            </w:r>
          </w:p>
        </w:tc>
        <w:tc>
          <w:tcPr>
            <w:tcW w:w="8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825"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0.003</w:t>
            </w:r>
          </w:p>
        </w:tc>
        <w:tc>
          <w:tcPr>
            <w:tcW w:w="88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83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0.114</w:t>
            </w:r>
          </w:p>
        </w:tc>
        <w:tc>
          <w:tcPr>
            <w:tcW w:w="92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8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0.482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26"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镉</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713"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0.01</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00"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0.01</w:t>
            </w:r>
          </w:p>
        </w:tc>
        <w:tc>
          <w:tcPr>
            <w:tcW w:w="8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25"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0.01</w:t>
            </w:r>
          </w:p>
        </w:tc>
        <w:tc>
          <w:tcPr>
            <w:tcW w:w="88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3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0.01</w:t>
            </w:r>
          </w:p>
        </w:tc>
        <w:tc>
          <w:tcPr>
            <w:tcW w:w="92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26"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铁</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713"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0.033</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00"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0.033</w:t>
            </w:r>
          </w:p>
        </w:tc>
        <w:tc>
          <w:tcPr>
            <w:tcW w:w="8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25"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0.0003</w:t>
            </w:r>
          </w:p>
        </w:tc>
        <w:tc>
          <w:tcPr>
            <w:tcW w:w="88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3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0.0013</w:t>
            </w:r>
          </w:p>
        </w:tc>
        <w:tc>
          <w:tcPr>
            <w:tcW w:w="92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0.0023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26"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锰</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713"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0.02</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800"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0.02</w:t>
            </w:r>
          </w:p>
        </w:tc>
        <w:tc>
          <w:tcPr>
            <w:tcW w:w="8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825"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0.02</w:t>
            </w:r>
          </w:p>
        </w:tc>
        <w:tc>
          <w:tcPr>
            <w:tcW w:w="88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83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0.0023</w:t>
            </w:r>
          </w:p>
        </w:tc>
        <w:tc>
          <w:tcPr>
            <w:tcW w:w="92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8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26"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铅</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713"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0.05</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00"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0.05</w:t>
            </w:r>
          </w:p>
        </w:tc>
        <w:tc>
          <w:tcPr>
            <w:tcW w:w="8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25"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0.05</w:t>
            </w:r>
          </w:p>
        </w:tc>
        <w:tc>
          <w:tcPr>
            <w:tcW w:w="88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3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0.05</w:t>
            </w:r>
          </w:p>
        </w:tc>
        <w:tc>
          <w:tcPr>
            <w:tcW w:w="92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26"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溶解性总固体</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713"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0.15</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00"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0.162</w:t>
            </w:r>
          </w:p>
        </w:tc>
        <w:tc>
          <w:tcPr>
            <w:tcW w:w="8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25"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0.111</w:t>
            </w:r>
          </w:p>
        </w:tc>
        <w:tc>
          <w:tcPr>
            <w:tcW w:w="88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3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0.186</w:t>
            </w:r>
          </w:p>
        </w:tc>
        <w:tc>
          <w:tcPr>
            <w:tcW w:w="92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0.232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26"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耗氧量</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713"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w:t>
            </w:r>
          </w:p>
        </w:tc>
        <w:tc>
          <w:tcPr>
            <w:tcW w:w="800"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8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825"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0.75</w:t>
            </w:r>
          </w:p>
        </w:tc>
        <w:tc>
          <w:tcPr>
            <w:tcW w:w="88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83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0.30</w:t>
            </w:r>
          </w:p>
        </w:tc>
        <w:tc>
          <w:tcPr>
            <w:tcW w:w="92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8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26"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氯化物</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713"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0.005</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00"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0.004</w:t>
            </w:r>
          </w:p>
        </w:tc>
        <w:tc>
          <w:tcPr>
            <w:tcW w:w="8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25"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0.012</w:t>
            </w:r>
          </w:p>
        </w:tc>
        <w:tc>
          <w:tcPr>
            <w:tcW w:w="88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3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0.038</w:t>
            </w:r>
          </w:p>
        </w:tc>
        <w:tc>
          <w:tcPr>
            <w:tcW w:w="92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26"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硫酸盐</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713"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0.011</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00"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0.008</w:t>
            </w:r>
          </w:p>
        </w:tc>
        <w:tc>
          <w:tcPr>
            <w:tcW w:w="8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25"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0.020</w:t>
            </w:r>
          </w:p>
        </w:tc>
        <w:tc>
          <w:tcPr>
            <w:tcW w:w="88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3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0.015</w:t>
            </w:r>
          </w:p>
        </w:tc>
        <w:tc>
          <w:tcPr>
            <w:tcW w:w="92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26"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spacing w:val="-8"/>
                <w:kern w:val="2"/>
                <w:sz w:val="21"/>
                <w:szCs w:val="21"/>
              </w:rPr>
              <w:t>总大肠菌群（</w:t>
            </w:r>
            <w:r>
              <w:rPr>
                <w:rFonts w:hint="eastAsia" w:hAnsi="Times New Roman" w:eastAsia="宋体"/>
                <w:spacing w:val="-8"/>
                <w:kern w:val="2"/>
                <w:sz w:val="21"/>
                <w:szCs w:val="21"/>
              </w:rPr>
              <w:t>MPN/L</w:t>
            </w:r>
            <w:r>
              <w:rPr>
                <w:rFonts w:hint="eastAsia" w:hAnsi="Times New Roman" w:eastAsia="宋体"/>
                <w:bCs/>
                <w:spacing w:val="-8"/>
                <w:kern w:val="2"/>
                <w:sz w:val="21"/>
                <w:szCs w:val="21"/>
              </w:rPr>
              <w:t>）</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713"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0.33</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00"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0.33</w:t>
            </w:r>
          </w:p>
        </w:tc>
        <w:tc>
          <w:tcPr>
            <w:tcW w:w="8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25"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0.33</w:t>
            </w:r>
          </w:p>
        </w:tc>
        <w:tc>
          <w:tcPr>
            <w:tcW w:w="88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3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0.33</w:t>
            </w:r>
          </w:p>
        </w:tc>
        <w:tc>
          <w:tcPr>
            <w:tcW w:w="92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0.33</w:t>
            </w:r>
          </w:p>
        </w:tc>
      </w:tr>
    </w:tbl>
    <w:p>
      <w:pPr>
        <w:spacing w:line="360" w:lineRule="auto"/>
        <w:ind w:firstLine="480" w:firstLineChars="200"/>
        <w:rPr>
          <w:rFonts w:hAnsi="Times New Roman" w:eastAsia="宋体"/>
          <w:lang w:eastAsia="zh-CN"/>
        </w:rPr>
      </w:pPr>
      <w:r>
        <w:rPr>
          <w:rFonts w:hAnsi="Times New Roman" w:eastAsia="宋体"/>
          <w:lang w:eastAsia="zh-CN"/>
        </w:rPr>
        <w:t>由上表可知，项目区域地下水各监测指标浓度值均满足《地下水质量标准》（GB/T14848-2017）III类标准。</w:t>
      </w:r>
    </w:p>
    <w:p>
      <w:pPr>
        <w:pStyle w:val="6"/>
        <w:rPr>
          <w:lang w:eastAsia="zh-CN"/>
        </w:rPr>
      </w:pPr>
      <w:bookmarkStart w:id="150" w:name="_Toc167095166"/>
      <w:bookmarkStart w:id="151" w:name="_Toc163812543"/>
      <w:r>
        <w:rPr>
          <w:lang w:eastAsia="zh-CN"/>
        </w:rPr>
        <w:t>3.2.4 噪声质量现状调查与评价</w:t>
      </w:r>
      <w:bookmarkEnd w:id="150"/>
      <w:bookmarkEnd w:id="151"/>
    </w:p>
    <w:p>
      <w:pPr>
        <w:spacing w:line="360" w:lineRule="auto"/>
        <w:ind w:firstLine="480" w:firstLineChars="200"/>
        <w:rPr>
          <w:rFonts w:hAnsi="Times New Roman" w:eastAsia="宋体"/>
        </w:rPr>
      </w:pPr>
      <w:r>
        <w:rPr>
          <w:rFonts w:hAnsi="Times New Roman" w:eastAsia="宋体"/>
        </w:rPr>
        <w:t>为了解区域声环境质量现状，</w:t>
      </w:r>
      <w:r>
        <w:rPr>
          <w:rFonts w:hint="eastAsia" w:hAnsi="Times New Roman" w:eastAsia="宋体"/>
          <w:szCs w:val="22"/>
          <w:lang w:eastAsia="zh-CN"/>
        </w:rPr>
        <w:t>本次环评引用达州恒福环境监测服务有限公司</w:t>
      </w:r>
      <w:r>
        <w:rPr>
          <w:rFonts w:hAnsi="Times New Roman" w:eastAsia="宋体"/>
        </w:rPr>
        <w:t>于2020年</w:t>
      </w:r>
      <w:r>
        <w:rPr>
          <w:rFonts w:hAnsi="Times New Roman" w:eastAsia="宋体"/>
          <w:lang w:eastAsia="zh-CN"/>
        </w:rPr>
        <w:t>6</w:t>
      </w:r>
      <w:r>
        <w:rPr>
          <w:rFonts w:hAnsi="Times New Roman" w:eastAsia="宋体"/>
        </w:rPr>
        <w:t>月</w:t>
      </w:r>
      <w:r>
        <w:rPr>
          <w:rFonts w:hAnsi="Times New Roman" w:eastAsia="宋体"/>
          <w:lang w:eastAsia="zh-CN"/>
        </w:rPr>
        <w:t>28</w:t>
      </w:r>
      <w:r>
        <w:rPr>
          <w:rFonts w:hAnsi="Times New Roman" w:eastAsia="宋体"/>
        </w:rPr>
        <w:t>日～</w:t>
      </w:r>
      <w:r>
        <w:rPr>
          <w:rFonts w:hAnsi="Times New Roman" w:eastAsia="宋体"/>
          <w:lang w:eastAsia="zh-CN"/>
        </w:rPr>
        <w:t>6月29日</w:t>
      </w:r>
      <w:r>
        <w:rPr>
          <w:rFonts w:hint="eastAsia" w:hAnsi="Times New Roman" w:eastAsia="宋体"/>
          <w:szCs w:val="22"/>
          <w:lang w:eastAsia="zh-CN"/>
        </w:rPr>
        <w:t>对七里峡煤矿主井工业广场和敏感点的噪声现状监测数据，并且在此次环评期间，委托达州恒福环境监测服务有限公司于</w:t>
      </w:r>
      <w:r>
        <w:rPr>
          <w:rFonts w:hAnsi="Times New Roman" w:eastAsia="宋体"/>
          <w:lang w:eastAsia="zh-CN"/>
        </w:rPr>
        <w:t>202</w:t>
      </w:r>
      <w:r>
        <w:rPr>
          <w:rFonts w:hint="eastAsia" w:hAnsi="Times New Roman" w:eastAsia="宋体"/>
          <w:lang w:eastAsia="zh-CN"/>
        </w:rPr>
        <w:t>4</w:t>
      </w:r>
      <w:r>
        <w:rPr>
          <w:rFonts w:hAnsi="Times New Roman" w:eastAsia="宋体"/>
          <w:lang w:eastAsia="zh-CN"/>
        </w:rPr>
        <w:t>年</w:t>
      </w:r>
      <w:r>
        <w:rPr>
          <w:rFonts w:hint="eastAsia" w:hAnsi="Times New Roman" w:eastAsia="宋体"/>
          <w:lang w:eastAsia="zh-CN"/>
        </w:rPr>
        <w:t>3</w:t>
      </w:r>
      <w:r>
        <w:rPr>
          <w:rFonts w:hAnsi="Times New Roman" w:eastAsia="宋体"/>
          <w:lang w:eastAsia="zh-CN"/>
        </w:rPr>
        <w:t>月</w:t>
      </w:r>
      <w:r>
        <w:rPr>
          <w:rFonts w:hint="eastAsia" w:hAnsi="Times New Roman" w:eastAsia="宋体"/>
          <w:lang w:eastAsia="zh-CN"/>
        </w:rPr>
        <w:t>2</w:t>
      </w:r>
      <w:r>
        <w:rPr>
          <w:rFonts w:hAnsi="Times New Roman" w:eastAsia="宋体"/>
          <w:lang w:eastAsia="zh-CN"/>
        </w:rPr>
        <w:t>日</w:t>
      </w:r>
      <w:r>
        <w:rPr>
          <w:rFonts w:hAnsi="Times New Roman" w:eastAsia="宋体"/>
        </w:rPr>
        <w:t>对</w:t>
      </w:r>
      <w:r>
        <w:rPr>
          <w:rFonts w:hint="eastAsia" w:hAnsi="Times New Roman" w:eastAsia="宋体"/>
          <w:szCs w:val="22"/>
          <w:lang w:eastAsia="zh-CN"/>
        </w:rPr>
        <w:t>风井场地环境噪声现状进行了补充监测</w:t>
      </w:r>
      <w:r>
        <w:rPr>
          <w:rFonts w:hAnsi="Times New Roman" w:eastAsia="宋体"/>
        </w:rPr>
        <w:t>。</w:t>
      </w:r>
    </w:p>
    <w:p>
      <w:pPr>
        <w:spacing w:line="360" w:lineRule="auto"/>
        <w:ind w:firstLine="482" w:firstLineChars="200"/>
        <w:rPr>
          <w:rFonts w:hAnsi="Times New Roman" w:eastAsia="宋体"/>
          <w:b/>
        </w:rPr>
      </w:pPr>
      <w:r>
        <w:rPr>
          <w:rFonts w:hAnsi="Times New Roman" w:eastAsia="宋体"/>
          <w:b/>
          <w:lang w:val="zh-CN"/>
        </w:rPr>
        <w:t>1、</w:t>
      </w:r>
      <w:r>
        <w:rPr>
          <w:rFonts w:hAnsi="Times New Roman" w:eastAsia="宋体"/>
          <w:b/>
        </w:rPr>
        <w:t>监测点位</w:t>
      </w:r>
    </w:p>
    <w:p>
      <w:pPr>
        <w:spacing w:line="360" w:lineRule="auto"/>
        <w:ind w:firstLine="480" w:firstLineChars="200"/>
        <w:rPr>
          <w:rFonts w:hAnsi="Times New Roman" w:eastAsia="宋体"/>
          <w:szCs w:val="24"/>
        </w:rPr>
      </w:pPr>
      <w:r>
        <w:rPr>
          <w:rFonts w:hAnsi="Times New Roman" w:eastAsia="宋体"/>
          <w:szCs w:val="24"/>
        </w:rPr>
        <w:t>本次评价在</w:t>
      </w:r>
      <w:r>
        <w:rPr>
          <w:rFonts w:hAnsi="Times New Roman" w:eastAsia="宋体"/>
          <w:szCs w:val="24"/>
          <w:lang w:eastAsia="zh-CN"/>
        </w:rPr>
        <w:t>主井工业广场</w:t>
      </w:r>
      <w:r>
        <w:rPr>
          <w:rFonts w:hAnsi="Times New Roman" w:eastAsia="宋体"/>
          <w:szCs w:val="24"/>
        </w:rPr>
        <w:t>厂界四周共设</w:t>
      </w:r>
      <w:r>
        <w:rPr>
          <w:rFonts w:hAnsi="Times New Roman" w:eastAsia="宋体"/>
          <w:szCs w:val="24"/>
          <w:lang w:eastAsia="zh-CN"/>
        </w:rPr>
        <w:t>5</w:t>
      </w:r>
      <w:r>
        <w:rPr>
          <w:rFonts w:hAnsi="Times New Roman" w:eastAsia="宋体"/>
          <w:szCs w:val="24"/>
        </w:rPr>
        <w:t>个噪声监测点，</w:t>
      </w:r>
      <w:r>
        <w:rPr>
          <w:rFonts w:hAnsi="Times New Roman" w:eastAsia="宋体"/>
          <w:szCs w:val="24"/>
          <w:lang w:eastAsia="zh-CN"/>
        </w:rPr>
        <w:t>在</w:t>
      </w:r>
      <w:r>
        <w:rPr>
          <w:rFonts w:hint="eastAsia" w:hAnsi="Times New Roman" w:eastAsia="宋体"/>
          <w:szCs w:val="24"/>
          <w:lang w:eastAsia="zh-CN"/>
        </w:rPr>
        <w:t>+411m副平硐工业场地、</w:t>
      </w:r>
      <w:r>
        <w:rPr>
          <w:rFonts w:hAnsi="Times New Roman" w:eastAsia="宋体"/>
          <w:szCs w:val="24"/>
          <w:lang w:eastAsia="zh-CN"/>
        </w:rPr>
        <w:t>+548m回风平硐工业广场和+572m回风平硐工业广场</w:t>
      </w:r>
      <w:r>
        <w:rPr>
          <w:rFonts w:hAnsi="Times New Roman" w:eastAsia="宋体"/>
          <w:szCs w:val="24"/>
        </w:rPr>
        <w:t>厂界四周</w:t>
      </w:r>
      <w:r>
        <w:rPr>
          <w:rFonts w:hAnsi="Times New Roman" w:eastAsia="宋体"/>
          <w:szCs w:val="24"/>
          <w:lang w:eastAsia="zh-CN"/>
        </w:rPr>
        <w:t>各设置</w:t>
      </w:r>
      <w:r>
        <w:rPr>
          <w:rFonts w:hAnsi="Times New Roman" w:eastAsia="宋体"/>
          <w:szCs w:val="24"/>
        </w:rPr>
        <w:t>噪声监测点</w:t>
      </w:r>
      <w:r>
        <w:rPr>
          <w:rFonts w:hint="eastAsia" w:hAnsi="Times New Roman" w:eastAsia="宋体"/>
          <w:szCs w:val="24"/>
        </w:rPr>
        <w:t>，项目</w:t>
      </w:r>
      <w:r>
        <w:rPr>
          <w:rFonts w:hAnsi="Times New Roman" w:eastAsia="宋体"/>
          <w:szCs w:val="24"/>
        </w:rPr>
        <w:t>噪声监测布点情况详见下表。</w:t>
      </w:r>
    </w:p>
    <w:p>
      <w:pPr>
        <w:spacing w:line="360" w:lineRule="auto"/>
        <w:jc w:val="center"/>
        <w:rPr>
          <w:rFonts w:hAnsi="Times New Roman" w:eastAsia="宋体"/>
          <w:b/>
          <w:bCs/>
          <w:sz w:val="21"/>
          <w:szCs w:val="21"/>
        </w:rPr>
      </w:pPr>
      <w:r>
        <w:rPr>
          <w:rFonts w:hAnsi="Times New Roman" w:eastAsia="宋体"/>
          <w:b/>
          <w:bCs/>
          <w:sz w:val="21"/>
          <w:szCs w:val="21"/>
        </w:rPr>
        <w:t>表</w:t>
      </w:r>
      <w:r>
        <w:rPr>
          <w:rFonts w:hAnsi="Times New Roman" w:eastAsia="宋体"/>
          <w:b/>
          <w:bCs/>
          <w:sz w:val="21"/>
          <w:szCs w:val="21"/>
          <w:lang w:eastAsia="zh-CN"/>
        </w:rPr>
        <w:t>3.2</w:t>
      </w:r>
      <w:r>
        <w:rPr>
          <w:rFonts w:hAnsi="Times New Roman" w:eastAsia="宋体"/>
          <w:b/>
          <w:bCs/>
          <w:sz w:val="21"/>
          <w:szCs w:val="21"/>
        </w:rPr>
        <w:t>-1</w:t>
      </w:r>
      <w:r>
        <w:rPr>
          <w:rFonts w:hint="eastAsia" w:hAnsi="Times New Roman" w:eastAsia="宋体"/>
          <w:b/>
          <w:bCs/>
          <w:sz w:val="21"/>
          <w:szCs w:val="21"/>
          <w:lang w:eastAsia="zh-CN"/>
        </w:rPr>
        <w:t>3</w:t>
      </w:r>
      <w:r>
        <w:rPr>
          <w:rFonts w:hAnsi="Times New Roman" w:eastAsia="宋体"/>
          <w:b/>
          <w:bCs/>
          <w:sz w:val="21"/>
          <w:szCs w:val="21"/>
        </w:rPr>
        <w:t xml:space="preserve"> </w:t>
      </w:r>
      <w:r>
        <w:rPr>
          <w:rFonts w:hAnsi="Times New Roman" w:eastAsia="宋体"/>
          <w:b/>
          <w:bCs/>
          <w:sz w:val="21"/>
          <w:szCs w:val="21"/>
          <w:lang w:eastAsia="zh-CN"/>
        </w:rPr>
        <w:t xml:space="preserve"> </w:t>
      </w:r>
      <w:r>
        <w:rPr>
          <w:rFonts w:hAnsi="Times New Roman" w:eastAsia="宋体"/>
          <w:b/>
          <w:bCs/>
          <w:sz w:val="21"/>
          <w:szCs w:val="21"/>
        </w:rPr>
        <w:t>噪声监测点分布表</w:t>
      </w:r>
    </w:p>
    <w:tbl>
      <w:tblPr>
        <w:tblStyle w:val="33"/>
        <w:tblW w:w="89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4"/>
        <w:gridCol w:w="1950"/>
        <w:gridCol w:w="4075"/>
        <w:gridCol w:w="17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84"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序号</w:t>
            </w:r>
          </w:p>
        </w:tc>
        <w:tc>
          <w:tcPr>
            <w:tcW w:w="19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监测点编号</w:t>
            </w:r>
          </w:p>
        </w:tc>
        <w:tc>
          <w:tcPr>
            <w:tcW w:w="40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监测点位置</w:t>
            </w:r>
          </w:p>
        </w:tc>
        <w:tc>
          <w:tcPr>
            <w:tcW w:w="1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84"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w:t>
            </w:r>
          </w:p>
        </w:tc>
        <w:tc>
          <w:tcPr>
            <w:tcW w:w="19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rPr>
              <w:t>N1</w:t>
            </w:r>
          </w:p>
        </w:tc>
        <w:tc>
          <w:tcPr>
            <w:tcW w:w="40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主井工业广场东侧</w:t>
            </w:r>
          </w:p>
        </w:tc>
        <w:tc>
          <w:tcPr>
            <w:tcW w:w="1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84"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2</w:t>
            </w:r>
          </w:p>
        </w:tc>
        <w:tc>
          <w:tcPr>
            <w:tcW w:w="19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N2</w:t>
            </w:r>
          </w:p>
        </w:tc>
        <w:tc>
          <w:tcPr>
            <w:tcW w:w="40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主井工业广场南侧</w:t>
            </w:r>
          </w:p>
        </w:tc>
        <w:tc>
          <w:tcPr>
            <w:tcW w:w="1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84"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3</w:t>
            </w:r>
          </w:p>
        </w:tc>
        <w:tc>
          <w:tcPr>
            <w:tcW w:w="19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N3</w:t>
            </w:r>
          </w:p>
        </w:tc>
        <w:tc>
          <w:tcPr>
            <w:tcW w:w="40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主井工业广场西侧</w:t>
            </w:r>
          </w:p>
        </w:tc>
        <w:tc>
          <w:tcPr>
            <w:tcW w:w="1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84"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4</w:t>
            </w:r>
          </w:p>
        </w:tc>
        <w:tc>
          <w:tcPr>
            <w:tcW w:w="19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N4</w:t>
            </w:r>
          </w:p>
        </w:tc>
        <w:tc>
          <w:tcPr>
            <w:tcW w:w="40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主井工业广场北侧</w:t>
            </w:r>
          </w:p>
        </w:tc>
        <w:tc>
          <w:tcPr>
            <w:tcW w:w="1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84"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5</w:t>
            </w:r>
          </w:p>
        </w:tc>
        <w:tc>
          <w:tcPr>
            <w:tcW w:w="19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N5</w:t>
            </w:r>
          </w:p>
        </w:tc>
        <w:tc>
          <w:tcPr>
            <w:tcW w:w="40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主井工业广场西北侧居民点窗户外1m处</w:t>
            </w:r>
          </w:p>
        </w:tc>
        <w:tc>
          <w:tcPr>
            <w:tcW w:w="1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敏感点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84"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6</w:t>
            </w:r>
          </w:p>
        </w:tc>
        <w:tc>
          <w:tcPr>
            <w:tcW w:w="19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N7</w:t>
            </w:r>
          </w:p>
        </w:tc>
        <w:tc>
          <w:tcPr>
            <w:tcW w:w="40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+411副平硐工业广场东侧</w:t>
            </w:r>
          </w:p>
        </w:tc>
        <w:tc>
          <w:tcPr>
            <w:tcW w:w="1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84"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7</w:t>
            </w:r>
          </w:p>
        </w:tc>
        <w:tc>
          <w:tcPr>
            <w:tcW w:w="19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N8</w:t>
            </w:r>
          </w:p>
        </w:tc>
        <w:tc>
          <w:tcPr>
            <w:tcW w:w="40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+411副平硐工业广场南侧</w:t>
            </w:r>
          </w:p>
        </w:tc>
        <w:tc>
          <w:tcPr>
            <w:tcW w:w="1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84"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8</w:t>
            </w:r>
          </w:p>
        </w:tc>
        <w:tc>
          <w:tcPr>
            <w:tcW w:w="19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N9</w:t>
            </w:r>
          </w:p>
        </w:tc>
        <w:tc>
          <w:tcPr>
            <w:tcW w:w="40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+411副平硐工业广场西侧</w:t>
            </w:r>
          </w:p>
        </w:tc>
        <w:tc>
          <w:tcPr>
            <w:tcW w:w="1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84"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9</w:t>
            </w:r>
          </w:p>
        </w:tc>
        <w:tc>
          <w:tcPr>
            <w:tcW w:w="19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N10</w:t>
            </w:r>
          </w:p>
        </w:tc>
        <w:tc>
          <w:tcPr>
            <w:tcW w:w="40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+572m回风平硐场地东侧</w:t>
            </w:r>
          </w:p>
        </w:tc>
        <w:tc>
          <w:tcPr>
            <w:tcW w:w="1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84"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10</w:t>
            </w:r>
          </w:p>
        </w:tc>
        <w:tc>
          <w:tcPr>
            <w:tcW w:w="19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N11</w:t>
            </w:r>
          </w:p>
        </w:tc>
        <w:tc>
          <w:tcPr>
            <w:tcW w:w="40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+572m回风平硐场地南侧</w:t>
            </w:r>
          </w:p>
        </w:tc>
        <w:tc>
          <w:tcPr>
            <w:tcW w:w="1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84"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11</w:t>
            </w:r>
          </w:p>
        </w:tc>
        <w:tc>
          <w:tcPr>
            <w:tcW w:w="19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N12</w:t>
            </w:r>
          </w:p>
        </w:tc>
        <w:tc>
          <w:tcPr>
            <w:tcW w:w="40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+572m回风平硐场地西侧</w:t>
            </w:r>
          </w:p>
        </w:tc>
        <w:tc>
          <w:tcPr>
            <w:tcW w:w="1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84"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12</w:t>
            </w:r>
          </w:p>
        </w:tc>
        <w:tc>
          <w:tcPr>
            <w:tcW w:w="19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N13</w:t>
            </w:r>
          </w:p>
        </w:tc>
        <w:tc>
          <w:tcPr>
            <w:tcW w:w="40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+572m回风平硐场地北侧</w:t>
            </w:r>
          </w:p>
        </w:tc>
        <w:tc>
          <w:tcPr>
            <w:tcW w:w="1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84"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13</w:t>
            </w:r>
          </w:p>
        </w:tc>
        <w:tc>
          <w:tcPr>
            <w:tcW w:w="19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N14</w:t>
            </w:r>
          </w:p>
        </w:tc>
        <w:tc>
          <w:tcPr>
            <w:tcW w:w="40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+548m回风平硐场地东侧</w:t>
            </w:r>
          </w:p>
        </w:tc>
        <w:tc>
          <w:tcPr>
            <w:tcW w:w="1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84"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14</w:t>
            </w:r>
          </w:p>
        </w:tc>
        <w:tc>
          <w:tcPr>
            <w:tcW w:w="19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N15</w:t>
            </w:r>
          </w:p>
        </w:tc>
        <w:tc>
          <w:tcPr>
            <w:tcW w:w="40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+548m回风平硐场地南侧</w:t>
            </w:r>
          </w:p>
        </w:tc>
        <w:tc>
          <w:tcPr>
            <w:tcW w:w="1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84"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15</w:t>
            </w:r>
          </w:p>
        </w:tc>
        <w:tc>
          <w:tcPr>
            <w:tcW w:w="19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N16</w:t>
            </w:r>
          </w:p>
        </w:tc>
        <w:tc>
          <w:tcPr>
            <w:tcW w:w="40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+548m回风平硐场地西侧</w:t>
            </w:r>
          </w:p>
        </w:tc>
        <w:tc>
          <w:tcPr>
            <w:tcW w:w="1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84"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lang w:eastAsia="zh-CN"/>
              </w:rPr>
              <w:t>16</w:t>
            </w:r>
          </w:p>
        </w:tc>
        <w:tc>
          <w:tcPr>
            <w:tcW w:w="19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N17</w:t>
            </w:r>
          </w:p>
        </w:tc>
        <w:tc>
          <w:tcPr>
            <w:tcW w:w="407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+548m回风平硐场地北侧</w:t>
            </w:r>
          </w:p>
        </w:tc>
        <w:tc>
          <w:tcPr>
            <w:tcW w:w="17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p>
        </w:tc>
      </w:tr>
    </w:tbl>
    <w:p>
      <w:pPr>
        <w:spacing w:line="360" w:lineRule="auto"/>
        <w:ind w:firstLine="482" w:firstLineChars="200"/>
        <w:rPr>
          <w:rFonts w:hAnsi="Times New Roman" w:eastAsia="宋体"/>
          <w:b/>
        </w:rPr>
      </w:pPr>
      <w:r>
        <w:rPr>
          <w:rFonts w:hAnsi="Times New Roman" w:eastAsia="宋体"/>
          <w:b/>
          <w:lang w:val="zh-CN"/>
        </w:rPr>
        <w:t>2、</w:t>
      </w:r>
      <w:r>
        <w:rPr>
          <w:rFonts w:hAnsi="Times New Roman" w:eastAsia="宋体"/>
          <w:b/>
        </w:rPr>
        <w:t>监测时间</w:t>
      </w:r>
    </w:p>
    <w:p>
      <w:pPr>
        <w:spacing w:line="360" w:lineRule="auto"/>
        <w:ind w:firstLine="480" w:firstLineChars="200"/>
        <w:rPr>
          <w:rFonts w:hAnsi="Times New Roman" w:eastAsia="宋体"/>
        </w:rPr>
      </w:pPr>
      <w:r>
        <w:rPr>
          <w:rFonts w:hAnsi="Times New Roman" w:eastAsia="宋体"/>
        </w:rPr>
        <w:t>2020年</w:t>
      </w:r>
      <w:r>
        <w:rPr>
          <w:rFonts w:hAnsi="Times New Roman" w:eastAsia="宋体"/>
          <w:lang w:eastAsia="zh-CN"/>
        </w:rPr>
        <w:t>6</w:t>
      </w:r>
      <w:r>
        <w:rPr>
          <w:rFonts w:hAnsi="Times New Roman" w:eastAsia="宋体"/>
        </w:rPr>
        <w:t>月</w:t>
      </w:r>
      <w:r>
        <w:rPr>
          <w:rFonts w:hAnsi="Times New Roman" w:eastAsia="宋体"/>
          <w:lang w:eastAsia="zh-CN"/>
        </w:rPr>
        <w:t>28</w:t>
      </w:r>
      <w:r>
        <w:rPr>
          <w:rFonts w:hAnsi="Times New Roman" w:eastAsia="宋体"/>
        </w:rPr>
        <w:t>日</w:t>
      </w:r>
      <w:r>
        <w:rPr>
          <w:rFonts w:hAnsi="Times New Roman" w:eastAsia="宋体"/>
          <w:szCs w:val="22"/>
          <w:lang w:eastAsia="zh-CN"/>
        </w:rPr>
        <w:t>～29日</w:t>
      </w:r>
      <w:r>
        <w:rPr>
          <w:rFonts w:hint="eastAsia" w:hAnsi="Times New Roman" w:eastAsia="宋体"/>
          <w:lang w:eastAsia="zh-CN"/>
        </w:rPr>
        <w:t>和</w:t>
      </w:r>
      <w:r>
        <w:rPr>
          <w:rFonts w:hAnsi="Times New Roman" w:eastAsia="宋体"/>
        </w:rPr>
        <w:t>202</w:t>
      </w:r>
      <w:r>
        <w:rPr>
          <w:rFonts w:hint="eastAsia" w:hAnsi="Times New Roman" w:eastAsia="宋体"/>
          <w:lang w:eastAsia="zh-CN"/>
        </w:rPr>
        <w:t>4年3月2日</w:t>
      </w:r>
      <w:r>
        <w:rPr>
          <w:rFonts w:hAnsi="Times New Roman" w:eastAsia="宋体"/>
        </w:rPr>
        <w:t>，共监测</w:t>
      </w:r>
      <w:r>
        <w:rPr>
          <w:rFonts w:hint="eastAsia" w:hAnsi="Times New Roman" w:eastAsia="宋体"/>
          <w:lang w:eastAsia="zh-CN"/>
        </w:rPr>
        <w:t>3</w:t>
      </w:r>
      <w:r>
        <w:rPr>
          <w:rFonts w:hAnsi="Times New Roman" w:eastAsia="宋体"/>
        </w:rPr>
        <w:t>天，每天昼夜各监测1次。</w:t>
      </w:r>
    </w:p>
    <w:p>
      <w:pPr>
        <w:spacing w:line="360" w:lineRule="auto"/>
        <w:ind w:firstLine="482" w:firstLineChars="200"/>
        <w:rPr>
          <w:rFonts w:hAnsi="Times New Roman" w:eastAsia="宋体"/>
          <w:b/>
        </w:rPr>
      </w:pPr>
      <w:r>
        <w:rPr>
          <w:rFonts w:hAnsi="Times New Roman" w:eastAsia="宋体"/>
          <w:b/>
          <w:lang w:val="zh-CN"/>
        </w:rPr>
        <w:t>3、</w:t>
      </w:r>
      <w:r>
        <w:rPr>
          <w:rFonts w:hAnsi="Times New Roman" w:eastAsia="宋体"/>
          <w:b/>
        </w:rPr>
        <w:t>评价标准</w:t>
      </w:r>
    </w:p>
    <w:p>
      <w:pPr>
        <w:spacing w:line="360" w:lineRule="auto"/>
        <w:ind w:firstLine="480" w:firstLineChars="200"/>
        <w:rPr>
          <w:rFonts w:hAnsi="Times New Roman" w:eastAsia="宋体"/>
          <w:lang w:val="zh-CN"/>
        </w:rPr>
      </w:pPr>
      <w:r>
        <w:rPr>
          <w:rFonts w:hAnsi="Times New Roman" w:eastAsia="宋体"/>
          <w:lang w:val="zh-CN"/>
        </w:rPr>
        <w:t>执行《声环境质量标准》（GB3096-2008）2类标准</w:t>
      </w:r>
      <w:r>
        <w:rPr>
          <w:rFonts w:hAnsi="Times New Roman" w:eastAsia="宋体"/>
        </w:rPr>
        <w:t>。</w:t>
      </w:r>
    </w:p>
    <w:p>
      <w:pPr>
        <w:spacing w:line="360" w:lineRule="auto"/>
        <w:ind w:firstLine="482" w:firstLineChars="200"/>
        <w:rPr>
          <w:rFonts w:hAnsi="Times New Roman" w:eastAsia="宋体"/>
          <w:b/>
        </w:rPr>
      </w:pPr>
      <w:r>
        <w:rPr>
          <w:rFonts w:hAnsi="Times New Roman" w:eastAsia="宋体"/>
          <w:b/>
        </w:rPr>
        <w:t>4、评价结果</w:t>
      </w:r>
    </w:p>
    <w:p>
      <w:pPr>
        <w:spacing w:line="360" w:lineRule="auto"/>
        <w:ind w:firstLine="480" w:firstLineChars="200"/>
        <w:rPr>
          <w:rFonts w:hAnsi="Times New Roman" w:eastAsia="宋体"/>
        </w:rPr>
      </w:pPr>
      <w:r>
        <w:rPr>
          <w:rFonts w:hAnsi="Times New Roman" w:eastAsia="宋体"/>
        </w:rPr>
        <w:t>本次声环境质量监测及评价结果见表</w:t>
      </w:r>
      <w:r>
        <w:rPr>
          <w:rFonts w:hAnsi="Times New Roman" w:eastAsia="宋体"/>
          <w:lang w:eastAsia="zh-CN"/>
        </w:rPr>
        <w:t>2.3</w:t>
      </w:r>
      <w:r>
        <w:rPr>
          <w:rFonts w:hAnsi="Times New Roman" w:eastAsia="宋体"/>
        </w:rPr>
        <w:t>-1</w:t>
      </w:r>
      <w:r>
        <w:rPr>
          <w:rFonts w:hint="eastAsia" w:hAnsi="Times New Roman" w:eastAsia="宋体"/>
          <w:lang w:eastAsia="zh-CN"/>
        </w:rPr>
        <w:t>4</w:t>
      </w:r>
      <w:r>
        <w:rPr>
          <w:rFonts w:hAnsi="Times New Roman" w:eastAsia="宋体"/>
        </w:rPr>
        <w:t>。</w:t>
      </w:r>
    </w:p>
    <w:p>
      <w:pPr>
        <w:spacing w:line="360" w:lineRule="auto"/>
        <w:jc w:val="center"/>
        <w:rPr>
          <w:rFonts w:hAnsi="Times New Roman" w:eastAsia="宋体"/>
          <w:b/>
          <w:bCs/>
          <w:sz w:val="21"/>
          <w:szCs w:val="21"/>
        </w:rPr>
      </w:pPr>
      <w:r>
        <w:rPr>
          <w:rFonts w:hAnsi="Times New Roman" w:eastAsia="宋体"/>
          <w:b/>
          <w:bCs/>
          <w:sz w:val="21"/>
          <w:szCs w:val="21"/>
        </w:rPr>
        <w:t>表</w:t>
      </w:r>
      <w:r>
        <w:rPr>
          <w:rFonts w:hAnsi="Times New Roman" w:eastAsia="宋体"/>
          <w:b/>
          <w:bCs/>
          <w:sz w:val="21"/>
          <w:szCs w:val="21"/>
          <w:lang w:eastAsia="zh-CN"/>
        </w:rPr>
        <w:t>2.3</w:t>
      </w:r>
      <w:r>
        <w:rPr>
          <w:rFonts w:hAnsi="Times New Roman" w:eastAsia="宋体"/>
          <w:b/>
          <w:bCs/>
          <w:sz w:val="21"/>
          <w:szCs w:val="21"/>
        </w:rPr>
        <w:t>-1</w:t>
      </w:r>
      <w:r>
        <w:rPr>
          <w:rFonts w:hint="eastAsia" w:hAnsi="Times New Roman" w:eastAsia="宋体"/>
          <w:b/>
          <w:bCs/>
          <w:sz w:val="21"/>
          <w:szCs w:val="21"/>
          <w:lang w:eastAsia="zh-CN"/>
        </w:rPr>
        <w:t>4</w:t>
      </w:r>
      <w:r>
        <w:rPr>
          <w:rFonts w:hAnsi="Times New Roman" w:eastAsia="宋体"/>
          <w:b/>
          <w:bCs/>
          <w:sz w:val="21"/>
          <w:szCs w:val="21"/>
        </w:rPr>
        <w:t xml:space="preserve">  声环境质量监测及评价结果</w:t>
      </w:r>
    </w:p>
    <w:tbl>
      <w:tblPr>
        <w:tblStyle w:val="3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32"/>
        <w:gridCol w:w="990"/>
        <w:gridCol w:w="992"/>
        <w:gridCol w:w="998"/>
        <w:gridCol w:w="987"/>
        <w:gridCol w:w="1381"/>
        <w:gridCol w:w="1390"/>
        <w:gridCol w:w="10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20" w:type="pct"/>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监测</w:t>
            </w:r>
          </w:p>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点位</w:t>
            </w:r>
          </w:p>
        </w:tc>
        <w:tc>
          <w:tcPr>
            <w:tcW w:w="2123" w:type="pct"/>
            <w:gridSpan w:val="4"/>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监测结果[dB（A）]</w:t>
            </w:r>
          </w:p>
        </w:tc>
        <w:tc>
          <w:tcPr>
            <w:tcW w:w="1483" w:type="pct"/>
            <w:gridSpan w:val="2"/>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标准限值</w:t>
            </w:r>
          </w:p>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[dB（A）]</w:t>
            </w:r>
          </w:p>
        </w:tc>
        <w:tc>
          <w:tcPr>
            <w:tcW w:w="574" w:type="pct"/>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评价结果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20"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061" w:type="pct"/>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2020.6.28</w:t>
            </w:r>
          </w:p>
        </w:tc>
        <w:tc>
          <w:tcPr>
            <w:tcW w:w="1062" w:type="pct"/>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2020.6.29</w:t>
            </w:r>
          </w:p>
        </w:tc>
        <w:tc>
          <w:tcPr>
            <w:tcW w:w="1483" w:type="pct"/>
            <w:gridSpan w:val="2"/>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574"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20"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53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昼间</w:t>
            </w:r>
          </w:p>
        </w:tc>
        <w:tc>
          <w:tcPr>
            <w:tcW w:w="531"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夜间</w:t>
            </w:r>
          </w:p>
        </w:tc>
        <w:tc>
          <w:tcPr>
            <w:tcW w:w="53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昼间</w:t>
            </w:r>
          </w:p>
        </w:tc>
        <w:tc>
          <w:tcPr>
            <w:tcW w:w="528"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夜间</w:t>
            </w:r>
          </w:p>
        </w:tc>
        <w:tc>
          <w:tcPr>
            <w:tcW w:w="73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昼间</w:t>
            </w:r>
          </w:p>
        </w:tc>
        <w:tc>
          <w:tcPr>
            <w:tcW w:w="74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夜间</w:t>
            </w:r>
          </w:p>
        </w:tc>
        <w:tc>
          <w:tcPr>
            <w:tcW w:w="574"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2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Cs/>
                <w:kern w:val="2"/>
                <w:sz w:val="21"/>
                <w:szCs w:val="21"/>
              </w:rPr>
              <w:t>N1</w:t>
            </w:r>
          </w:p>
        </w:tc>
        <w:tc>
          <w:tcPr>
            <w:tcW w:w="530" w:type="pct"/>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kern w:val="2"/>
                <w:sz w:val="21"/>
                <w:szCs w:val="21"/>
                <w:lang w:eastAsia="zh-CN"/>
              </w:rPr>
            </w:pPr>
            <w:r>
              <w:rPr>
                <w:rFonts w:hint="eastAsia" w:hAnsi="Times New Roman" w:eastAsia="宋体" w:cs="Times New Roman"/>
                <w:bCs/>
                <w:kern w:val="2"/>
                <w:sz w:val="21"/>
                <w:szCs w:val="21"/>
                <w:lang w:eastAsia="zh-CN"/>
              </w:rPr>
              <w:t>54</w:t>
            </w:r>
          </w:p>
        </w:tc>
        <w:tc>
          <w:tcPr>
            <w:tcW w:w="531" w:type="pct"/>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bCs/>
                <w:kern w:val="2"/>
                <w:sz w:val="21"/>
                <w:szCs w:val="21"/>
                <w:lang w:eastAsia="zh-CN"/>
              </w:rPr>
            </w:pPr>
            <w:r>
              <w:rPr>
                <w:rFonts w:hint="eastAsia" w:hAnsi="Times New Roman" w:eastAsia="宋体" w:cs="Times New Roman"/>
                <w:bCs/>
                <w:kern w:val="2"/>
                <w:sz w:val="21"/>
                <w:szCs w:val="21"/>
                <w:lang w:eastAsia="zh-CN"/>
              </w:rPr>
              <w:t>47</w:t>
            </w:r>
          </w:p>
        </w:tc>
        <w:tc>
          <w:tcPr>
            <w:tcW w:w="534" w:type="pct"/>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kern w:val="2"/>
                <w:sz w:val="21"/>
                <w:szCs w:val="21"/>
                <w:lang w:eastAsia="zh-CN"/>
              </w:rPr>
            </w:pPr>
            <w:r>
              <w:rPr>
                <w:rFonts w:hint="eastAsia" w:hAnsi="Times New Roman" w:eastAsia="宋体" w:cs="Times New Roman"/>
                <w:kern w:val="2"/>
                <w:sz w:val="21"/>
                <w:szCs w:val="21"/>
                <w:lang w:eastAsia="zh-CN"/>
              </w:rPr>
              <w:t>54</w:t>
            </w:r>
          </w:p>
        </w:tc>
        <w:tc>
          <w:tcPr>
            <w:tcW w:w="528" w:type="pct"/>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bCs/>
                <w:kern w:val="2"/>
                <w:sz w:val="21"/>
                <w:szCs w:val="21"/>
                <w:lang w:eastAsia="zh-CN"/>
              </w:rPr>
            </w:pPr>
            <w:r>
              <w:rPr>
                <w:rFonts w:hint="eastAsia" w:hAnsi="Times New Roman" w:eastAsia="宋体" w:cs="Times New Roman"/>
                <w:bCs/>
                <w:kern w:val="2"/>
                <w:sz w:val="21"/>
                <w:szCs w:val="21"/>
                <w:lang w:eastAsia="zh-CN"/>
              </w:rPr>
              <w:t>46</w:t>
            </w:r>
          </w:p>
        </w:tc>
        <w:tc>
          <w:tcPr>
            <w:tcW w:w="73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60</w:t>
            </w:r>
          </w:p>
        </w:tc>
        <w:tc>
          <w:tcPr>
            <w:tcW w:w="74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50</w:t>
            </w:r>
          </w:p>
        </w:tc>
        <w:tc>
          <w:tcPr>
            <w:tcW w:w="57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2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N2</w:t>
            </w:r>
          </w:p>
        </w:tc>
        <w:tc>
          <w:tcPr>
            <w:tcW w:w="530" w:type="pct"/>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kern w:val="2"/>
                <w:sz w:val="21"/>
                <w:szCs w:val="21"/>
                <w:lang w:eastAsia="zh-CN"/>
              </w:rPr>
            </w:pPr>
            <w:r>
              <w:rPr>
                <w:rFonts w:hint="eastAsia" w:hAnsi="Times New Roman" w:eastAsia="宋体" w:cs="Times New Roman"/>
                <w:bCs/>
                <w:kern w:val="2"/>
                <w:sz w:val="21"/>
                <w:szCs w:val="21"/>
                <w:lang w:eastAsia="zh-CN"/>
              </w:rPr>
              <w:t>55</w:t>
            </w:r>
          </w:p>
        </w:tc>
        <w:tc>
          <w:tcPr>
            <w:tcW w:w="531" w:type="pct"/>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bCs/>
                <w:kern w:val="2"/>
                <w:sz w:val="21"/>
                <w:szCs w:val="21"/>
                <w:lang w:eastAsia="zh-CN"/>
              </w:rPr>
            </w:pPr>
            <w:r>
              <w:rPr>
                <w:rFonts w:hint="eastAsia" w:hAnsi="Times New Roman" w:eastAsia="宋体" w:cs="Times New Roman"/>
                <w:bCs/>
                <w:kern w:val="2"/>
                <w:sz w:val="21"/>
                <w:szCs w:val="21"/>
                <w:lang w:eastAsia="zh-CN"/>
              </w:rPr>
              <w:t>44</w:t>
            </w:r>
          </w:p>
        </w:tc>
        <w:tc>
          <w:tcPr>
            <w:tcW w:w="534" w:type="pct"/>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kern w:val="2"/>
                <w:sz w:val="21"/>
                <w:szCs w:val="21"/>
                <w:lang w:eastAsia="zh-CN"/>
              </w:rPr>
            </w:pPr>
            <w:r>
              <w:rPr>
                <w:rFonts w:hint="eastAsia" w:hAnsi="Times New Roman" w:eastAsia="宋体" w:cs="Times New Roman"/>
                <w:kern w:val="2"/>
                <w:sz w:val="21"/>
                <w:szCs w:val="21"/>
                <w:lang w:eastAsia="zh-CN"/>
              </w:rPr>
              <w:t>55</w:t>
            </w:r>
          </w:p>
        </w:tc>
        <w:tc>
          <w:tcPr>
            <w:tcW w:w="528" w:type="pct"/>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bCs/>
                <w:kern w:val="2"/>
                <w:sz w:val="21"/>
                <w:szCs w:val="21"/>
                <w:lang w:eastAsia="zh-CN"/>
              </w:rPr>
            </w:pPr>
            <w:r>
              <w:rPr>
                <w:rFonts w:hint="eastAsia" w:hAnsi="Times New Roman" w:eastAsia="宋体" w:cs="Times New Roman"/>
                <w:bCs/>
                <w:kern w:val="2"/>
                <w:sz w:val="21"/>
                <w:szCs w:val="21"/>
                <w:lang w:eastAsia="zh-CN"/>
              </w:rPr>
              <w:t>44</w:t>
            </w:r>
          </w:p>
        </w:tc>
        <w:tc>
          <w:tcPr>
            <w:tcW w:w="73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60</w:t>
            </w:r>
          </w:p>
        </w:tc>
        <w:tc>
          <w:tcPr>
            <w:tcW w:w="74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50</w:t>
            </w:r>
          </w:p>
        </w:tc>
        <w:tc>
          <w:tcPr>
            <w:tcW w:w="57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2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N3</w:t>
            </w:r>
          </w:p>
        </w:tc>
        <w:tc>
          <w:tcPr>
            <w:tcW w:w="530" w:type="pct"/>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kern w:val="2"/>
                <w:sz w:val="21"/>
                <w:szCs w:val="21"/>
                <w:lang w:eastAsia="zh-CN"/>
              </w:rPr>
            </w:pPr>
            <w:r>
              <w:rPr>
                <w:rFonts w:hint="eastAsia" w:hAnsi="Times New Roman" w:eastAsia="宋体" w:cs="Times New Roman"/>
                <w:bCs/>
                <w:kern w:val="2"/>
                <w:sz w:val="21"/>
                <w:szCs w:val="21"/>
                <w:lang w:eastAsia="zh-CN"/>
              </w:rPr>
              <w:t>54</w:t>
            </w:r>
          </w:p>
        </w:tc>
        <w:tc>
          <w:tcPr>
            <w:tcW w:w="531" w:type="pct"/>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bCs/>
                <w:kern w:val="2"/>
                <w:sz w:val="21"/>
                <w:szCs w:val="21"/>
                <w:lang w:eastAsia="zh-CN"/>
              </w:rPr>
            </w:pPr>
            <w:r>
              <w:rPr>
                <w:rFonts w:hint="eastAsia" w:hAnsi="Times New Roman" w:eastAsia="宋体" w:cs="Times New Roman"/>
                <w:bCs/>
                <w:kern w:val="2"/>
                <w:sz w:val="21"/>
                <w:szCs w:val="21"/>
                <w:lang w:eastAsia="zh-CN"/>
              </w:rPr>
              <w:t>46</w:t>
            </w:r>
          </w:p>
        </w:tc>
        <w:tc>
          <w:tcPr>
            <w:tcW w:w="534" w:type="pct"/>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kern w:val="2"/>
                <w:sz w:val="21"/>
                <w:szCs w:val="21"/>
                <w:lang w:eastAsia="zh-CN"/>
              </w:rPr>
            </w:pPr>
            <w:r>
              <w:rPr>
                <w:rFonts w:hint="eastAsia" w:hAnsi="Times New Roman" w:eastAsia="宋体" w:cs="Times New Roman"/>
                <w:kern w:val="2"/>
                <w:sz w:val="21"/>
                <w:szCs w:val="21"/>
                <w:lang w:eastAsia="zh-CN"/>
              </w:rPr>
              <w:t>52</w:t>
            </w:r>
          </w:p>
        </w:tc>
        <w:tc>
          <w:tcPr>
            <w:tcW w:w="528" w:type="pct"/>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bCs/>
                <w:kern w:val="2"/>
                <w:sz w:val="21"/>
                <w:szCs w:val="21"/>
                <w:lang w:eastAsia="zh-CN"/>
              </w:rPr>
            </w:pPr>
            <w:r>
              <w:rPr>
                <w:rFonts w:hint="eastAsia" w:hAnsi="Times New Roman" w:eastAsia="宋体" w:cs="Times New Roman"/>
                <w:bCs/>
                <w:kern w:val="2"/>
                <w:sz w:val="21"/>
                <w:szCs w:val="21"/>
                <w:lang w:eastAsia="zh-CN"/>
              </w:rPr>
              <w:t>39</w:t>
            </w:r>
          </w:p>
        </w:tc>
        <w:tc>
          <w:tcPr>
            <w:tcW w:w="73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60</w:t>
            </w:r>
          </w:p>
        </w:tc>
        <w:tc>
          <w:tcPr>
            <w:tcW w:w="74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50</w:t>
            </w:r>
          </w:p>
        </w:tc>
        <w:tc>
          <w:tcPr>
            <w:tcW w:w="57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2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N4</w:t>
            </w:r>
          </w:p>
        </w:tc>
        <w:tc>
          <w:tcPr>
            <w:tcW w:w="530" w:type="pct"/>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kern w:val="2"/>
                <w:sz w:val="21"/>
                <w:szCs w:val="21"/>
                <w:lang w:eastAsia="zh-CN"/>
              </w:rPr>
            </w:pPr>
            <w:r>
              <w:rPr>
                <w:rFonts w:hint="eastAsia" w:hAnsi="Times New Roman" w:eastAsia="宋体" w:cs="Times New Roman"/>
                <w:bCs/>
                <w:kern w:val="2"/>
                <w:sz w:val="21"/>
                <w:szCs w:val="21"/>
                <w:lang w:eastAsia="zh-CN"/>
              </w:rPr>
              <w:t>54</w:t>
            </w:r>
          </w:p>
        </w:tc>
        <w:tc>
          <w:tcPr>
            <w:tcW w:w="531" w:type="pct"/>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bCs/>
                <w:kern w:val="2"/>
                <w:sz w:val="21"/>
                <w:szCs w:val="21"/>
                <w:lang w:eastAsia="zh-CN"/>
              </w:rPr>
            </w:pPr>
            <w:r>
              <w:rPr>
                <w:rFonts w:hint="eastAsia" w:hAnsi="Times New Roman" w:eastAsia="宋体" w:cs="Times New Roman"/>
                <w:bCs/>
                <w:kern w:val="2"/>
                <w:sz w:val="21"/>
                <w:szCs w:val="21"/>
                <w:lang w:eastAsia="zh-CN"/>
              </w:rPr>
              <w:t>47</w:t>
            </w:r>
          </w:p>
        </w:tc>
        <w:tc>
          <w:tcPr>
            <w:tcW w:w="534" w:type="pct"/>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kern w:val="2"/>
                <w:sz w:val="21"/>
                <w:szCs w:val="21"/>
                <w:lang w:eastAsia="zh-CN"/>
              </w:rPr>
            </w:pPr>
            <w:r>
              <w:rPr>
                <w:rFonts w:hint="eastAsia" w:hAnsi="Times New Roman" w:eastAsia="宋体" w:cs="Times New Roman"/>
                <w:kern w:val="2"/>
                <w:sz w:val="21"/>
                <w:szCs w:val="21"/>
                <w:lang w:eastAsia="zh-CN"/>
              </w:rPr>
              <w:t>56</w:t>
            </w:r>
          </w:p>
        </w:tc>
        <w:tc>
          <w:tcPr>
            <w:tcW w:w="528" w:type="pct"/>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bCs/>
                <w:kern w:val="2"/>
                <w:sz w:val="21"/>
                <w:szCs w:val="21"/>
                <w:lang w:eastAsia="zh-CN"/>
              </w:rPr>
            </w:pPr>
            <w:r>
              <w:rPr>
                <w:rFonts w:hint="eastAsia" w:hAnsi="Times New Roman" w:eastAsia="宋体" w:cs="Times New Roman"/>
                <w:bCs/>
                <w:kern w:val="2"/>
                <w:sz w:val="21"/>
                <w:szCs w:val="21"/>
                <w:lang w:eastAsia="zh-CN"/>
              </w:rPr>
              <w:t>48</w:t>
            </w:r>
          </w:p>
        </w:tc>
        <w:tc>
          <w:tcPr>
            <w:tcW w:w="73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60</w:t>
            </w:r>
          </w:p>
        </w:tc>
        <w:tc>
          <w:tcPr>
            <w:tcW w:w="74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50</w:t>
            </w:r>
          </w:p>
        </w:tc>
        <w:tc>
          <w:tcPr>
            <w:tcW w:w="57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2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N5</w:t>
            </w:r>
          </w:p>
        </w:tc>
        <w:tc>
          <w:tcPr>
            <w:tcW w:w="530" w:type="pct"/>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kern w:val="2"/>
                <w:sz w:val="21"/>
                <w:szCs w:val="21"/>
                <w:lang w:eastAsia="zh-CN"/>
              </w:rPr>
            </w:pPr>
            <w:r>
              <w:rPr>
                <w:rFonts w:hint="eastAsia" w:hAnsi="Times New Roman" w:eastAsia="宋体" w:cs="Times New Roman"/>
                <w:bCs/>
                <w:kern w:val="2"/>
                <w:sz w:val="21"/>
                <w:szCs w:val="21"/>
                <w:lang w:eastAsia="zh-CN"/>
              </w:rPr>
              <w:t>56</w:t>
            </w:r>
          </w:p>
        </w:tc>
        <w:tc>
          <w:tcPr>
            <w:tcW w:w="531" w:type="pct"/>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bCs/>
                <w:kern w:val="2"/>
                <w:sz w:val="21"/>
                <w:szCs w:val="21"/>
                <w:lang w:eastAsia="zh-CN"/>
              </w:rPr>
            </w:pPr>
            <w:r>
              <w:rPr>
                <w:rFonts w:hint="eastAsia" w:hAnsi="Times New Roman" w:eastAsia="宋体" w:cs="Times New Roman"/>
                <w:bCs/>
                <w:kern w:val="2"/>
                <w:sz w:val="21"/>
                <w:szCs w:val="21"/>
                <w:lang w:eastAsia="zh-CN"/>
              </w:rPr>
              <w:t>49</w:t>
            </w:r>
          </w:p>
        </w:tc>
        <w:tc>
          <w:tcPr>
            <w:tcW w:w="534" w:type="pct"/>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kern w:val="2"/>
                <w:sz w:val="21"/>
                <w:szCs w:val="21"/>
                <w:lang w:eastAsia="zh-CN"/>
              </w:rPr>
            </w:pPr>
            <w:r>
              <w:rPr>
                <w:rFonts w:hint="eastAsia" w:hAnsi="Times New Roman" w:eastAsia="宋体" w:cs="Times New Roman"/>
                <w:kern w:val="2"/>
                <w:sz w:val="21"/>
                <w:szCs w:val="21"/>
                <w:lang w:eastAsia="zh-CN"/>
              </w:rPr>
              <w:t>56</w:t>
            </w:r>
          </w:p>
        </w:tc>
        <w:tc>
          <w:tcPr>
            <w:tcW w:w="528" w:type="pct"/>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bCs/>
                <w:kern w:val="2"/>
                <w:sz w:val="21"/>
                <w:szCs w:val="21"/>
                <w:lang w:eastAsia="zh-CN"/>
              </w:rPr>
            </w:pPr>
            <w:r>
              <w:rPr>
                <w:rFonts w:hint="eastAsia" w:hAnsi="Times New Roman" w:eastAsia="宋体" w:cs="Times New Roman"/>
                <w:bCs/>
                <w:kern w:val="2"/>
                <w:sz w:val="21"/>
                <w:szCs w:val="21"/>
                <w:lang w:eastAsia="zh-CN"/>
              </w:rPr>
              <w:t>49</w:t>
            </w:r>
          </w:p>
        </w:tc>
        <w:tc>
          <w:tcPr>
            <w:tcW w:w="73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60</w:t>
            </w:r>
          </w:p>
        </w:tc>
        <w:tc>
          <w:tcPr>
            <w:tcW w:w="74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50</w:t>
            </w:r>
          </w:p>
        </w:tc>
        <w:tc>
          <w:tcPr>
            <w:tcW w:w="57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20" w:type="pct"/>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监测</w:t>
            </w:r>
          </w:p>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
                <w:bCs/>
                <w:kern w:val="2"/>
                <w:sz w:val="21"/>
                <w:szCs w:val="21"/>
              </w:rPr>
              <w:t>点位</w:t>
            </w:r>
          </w:p>
        </w:tc>
        <w:tc>
          <w:tcPr>
            <w:tcW w:w="2123" w:type="pct"/>
            <w:gridSpan w:val="4"/>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
                <w:bCs/>
                <w:kern w:val="2"/>
                <w:sz w:val="21"/>
                <w:szCs w:val="21"/>
              </w:rPr>
              <w:t>监测结果[dB（A）]</w:t>
            </w:r>
          </w:p>
        </w:tc>
        <w:tc>
          <w:tcPr>
            <w:tcW w:w="1483" w:type="pct"/>
            <w:gridSpan w:val="2"/>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标准限值</w:t>
            </w:r>
          </w:p>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b/>
                <w:bCs/>
                <w:kern w:val="2"/>
                <w:sz w:val="21"/>
                <w:szCs w:val="21"/>
              </w:rPr>
              <w:t>[dB（A）]</w:t>
            </w:r>
          </w:p>
        </w:tc>
        <w:tc>
          <w:tcPr>
            <w:tcW w:w="574" w:type="pct"/>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b/>
                <w:bCs/>
                <w:kern w:val="2"/>
                <w:sz w:val="21"/>
                <w:szCs w:val="21"/>
              </w:rPr>
              <w:t>评价结果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20"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p>
        </w:tc>
        <w:tc>
          <w:tcPr>
            <w:tcW w:w="2123" w:type="pct"/>
            <w:gridSpan w:val="4"/>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
                <w:bCs/>
                <w:kern w:val="2"/>
                <w:sz w:val="21"/>
                <w:szCs w:val="21"/>
                <w:lang w:eastAsia="zh-CN"/>
              </w:rPr>
              <w:t>2024.3.2</w:t>
            </w:r>
          </w:p>
        </w:tc>
        <w:tc>
          <w:tcPr>
            <w:tcW w:w="1483" w:type="pct"/>
            <w:gridSpan w:val="2"/>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574"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20"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p>
        </w:tc>
        <w:tc>
          <w:tcPr>
            <w:tcW w:w="1061" w:type="pct"/>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
                <w:bCs/>
                <w:kern w:val="2"/>
                <w:sz w:val="21"/>
                <w:szCs w:val="21"/>
              </w:rPr>
              <w:t>昼间</w:t>
            </w:r>
          </w:p>
        </w:tc>
        <w:tc>
          <w:tcPr>
            <w:tcW w:w="1062" w:type="pct"/>
            <w:gridSpan w:val="2"/>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lang w:eastAsia="zh-CN"/>
              </w:rPr>
            </w:pPr>
            <w:r>
              <w:rPr>
                <w:rFonts w:hint="eastAsia" w:hAnsi="Times New Roman" w:eastAsia="宋体"/>
                <w:b/>
                <w:bCs/>
                <w:kern w:val="2"/>
                <w:sz w:val="21"/>
                <w:szCs w:val="21"/>
              </w:rPr>
              <w:t>夜间</w:t>
            </w:r>
          </w:p>
        </w:tc>
        <w:tc>
          <w:tcPr>
            <w:tcW w:w="739"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b/>
                <w:bCs/>
                <w:kern w:val="2"/>
                <w:sz w:val="21"/>
                <w:szCs w:val="21"/>
              </w:rPr>
              <w:t>昼间</w:t>
            </w:r>
          </w:p>
        </w:tc>
        <w:tc>
          <w:tcPr>
            <w:tcW w:w="744"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b/>
                <w:bCs/>
                <w:kern w:val="2"/>
                <w:sz w:val="21"/>
                <w:szCs w:val="21"/>
              </w:rPr>
              <w:t>夜间</w:t>
            </w:r>
          </w:p>
        </w:tc>
        <w:tc>
          <w:tcPr>
            <w:tcW w:w="574" w:type="pct"/>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20"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rPr>
            </w:pPr>
            <w:r>
              <w:rPr>
                <w:rFonts w:hint="eastAsia" w:hAnsi="Times New Roman" w:eastAsia="宋体"/>
                <w:bCs/>
                <w:kern w:val="2"/>
                <w:sz w:val="21"/>
                <w:szCs w:val="21"/>
              </w:rPr>
              <w:t>N7</w:t>
            </w:r>
          </w:p>
        </w:tc>
        <w:tc>
          <w:tcPr>
            <w:tcW w:w="1061" w:type="pct"/>
            <w:gridSpan w:val="2"/>
            <w:vAlign w:val="center"/>
          </w:tcPr>
          <w:p>
            <w:pPr>
              <w:pStyle w:val="57"/>
              <w:keepNext w:val="0"/>
              <w:keepLines w:val="0"/>
              <w:suppressLineNumbers w:val="0"/>
              <w:snapToGrid w:val="0"/>
              <w:spacing w:before="0" w:beforeAutospacing="0" w:after="0" w:afterAutospacing="0"/>
              <w:ind w:left="0" w:right="0"/>
              <w:rPr>
                <w:rFonts w:hint="eastAsia" w:hAnsi="Times New Roman" w:eastAsia="宋体" w:cs="Times New Roman"/>
                <w:bCs/>
                <w:kern w:val="2"/>
                <w:sz w:val="21"/>
                <w:szCs w:val="21"/>
                <w:lang w:eastAsia="zh-CN"/>
              </w:rPr>
            </w:pPr>
            <w:r>
              <w:rPr>
                <w:rFonts w:hint="eastAsia" w:hAnsi="Times New Roman" w:eastAsia="宋体" w:cs="Times New Roman"/>
                <w:bCs/>
                <w:kern w:val="2"/>
                <w:sz w:val="21"/>
                <w:szCs w:val="21"/>
                <w:lang w:eastAsia="zh-CN"/>
              </w:rPr>
              <w:t>56</w:t>
            </w:r>
          </w:p>
        </w:tc>
        <w:tc>
          <w:tcPr>
            <w:tcW w:w="1062" w:type="pct"/>
            <w:gridSpan w:val="2"/>
            <w:vAlign w:val="center"/>
          </w:tcPr>
          <w:p>
            <w:pPr>
              <w:pStyle w:val="57"/>
              <w:keepNext w:val="0"/>
              <w:keepLines w:val="0"/>
              <w:suppressLineNumbers w:val="0"/>
              <w:snapToGrid w:val="0"/>
              <w:spacing w:before="0" w:beforeAutospacing="0" w:after="0" w:afterAutospacing="0"/>
              <w:ind w:left="0" w:right="0"/>
              <w:rPr>
                <w:rFonts w:hint="eastAsia" w:hAnsi="Times New Roman" w:eastAsia="宋体" w:cs="Times New Roman"/>
                <w:bCs/>
                <w:kern w:val="2"/>
                <w:sz w:val="21"/>
                <w:szCs w:val="21"/>
                <w:lang w:eastAsia="zh-CN"/>
              </w:rPr>
            </w:pPr>
            <w:r>
              <w:rPr>
                <w:rFonts w:hint="eastAsia" w:hAnsi="Times New Roman" w:eastAsia="宋体" w:cs="Times New Roman"/>
                <w:bCs/>
                <w:kern w:val="2"/>
                <w:sz w:val="21"/>
                <w:szCs w:val="21"/>
                <w:lang w:eastAsia="zh-CN"/>
              </w:rPr>
              <w:t>44</w:t>
            </w:r>
          </w:p>
        </w:tc>
        <w:tc>
          <w:tcPr>
            <w:tcW w:w="73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60</w:t>
            </w:r>
          </w:p>
        </w:tc>
        <w:tc>
          <w:tcPr>
            <w:tcW w:w="74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50</w:t>
            </w:r>
          </w:p>
        </w:tc>
        <w:tc>
          <w:tcPr>
            <w:tcW w:w="574" w:type="pct"/>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20"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rPr>
            </w:pPr>
            <w:r>
              <w:rPr>
                <w:rFonts w:hint="eastAsia" w:hAnsi="Times New Roman" w:eastAsia="宋体"/>
                <w:bCs/>
                <w:kern w:val="2"/>
                <w:sz w:val="21"/>
                <w:szCs w:val="21"/>
              </w:rPr>
              <w:t>N8</w:t>
            </w:r>
          </w:p>
        </w:tc>
        <w:tc>
          <w:tcPr>
            <w:tcW w:w="1061" w:type="pct"/>
            <w:gridSpan w:val="2"/>
            <w:vAlign w:val="center"/>
          </w:tcPr>
          <w:p>
            <w:pPr>
              <w:pStyle w:val="57"/>
              <w:keepNext w:val="0"/>
              <w:keepLines w:val="0"/>
              <w:suppressLineNumbers w:val="0"/>
              <w:snapToGrid w:val="0"/>
              <w:spacing w:before="0" w:beforeAutospacing="0" w:after="0" w:afterAutospacing="0"/>
              <w:ind w:left="0" w:right="0"/>
              <w:rPr>
                <w:rFonts w:hint="eastAsia" w:hAnsi="Times New Roman" w:eastAsia="宋体" w:cs="Times New Roman"/>
                <w:bCs/>
                <w:kern w:val="2"/>
                <w:sz w:val="21"/>
                <w:szCs w:val="21"/>
                <w:lang w:eastAsia="zh-CN"/>
              </w:rPr>
            </w:pPr>
            <w:r>
              <w:rPr>
                <w:rFonts w:hint="eastAsia" w:hAnsi="Times New Roman" w:eastAsia="宋体" w:cs="Times New Roman"/>
                <w:bCs/>
                <w:kern w:val="2"/>
                <w:sz w:val="21"/>
                <w:szCs w:val="21"/>
                <w:lang w:eastAsia="zh-CN"/>
              </w:rPr>
              <w:t>55</w:t>
            </w:r>
          </w:p>
        </w:tc>
        <w:tc>
          <w:tcPr>
            <w:tcW w:w="1062" w:type="pct"/>
            <w:gridSpan w:val="2"/>
            <w:vAlign w:val="center"/>
          </w:tcPr>
          <w:p>
            <w:pPr>
              <w:pStyle w:val="57"/>
              <w:keepNext w:val="0"/>
              <w:keepLines w:val="0"/>
              <w:suppressLineNumbers w:val="0"/>
              <w:snapToGrid w:val="0"/>
              <w:spacing w:before="0" w:beforeAutospacing="0" w:after="0" w:afterAutospacing="0"/>
              <w:ind w:left="0" w:right="0"/>
              <w:rPr>
                <w:rFonts w:hint="eastAsia" w:hAnsi="Times New Roman" w:eastAsia="宋体" w:cs="Times New Roman"/>
                <w:bCs/>
                <w:kern w:val="2"/>
                <w:sz w:val="21"/>
                <w:szCs w:val="21"/>
                <w:lang w:eastAsia="zh-CN"/>
              </w:rPr>
            </w:pPr>
            <w:r>
              <w:rPr>
                <w:rFonts w:hint="eastAsia" w:hAnsi="Times New Roman" w:eastAsia="宋体" w:cs="Times New Roman"/>
                <w:bCs/>
                <w:kern w:val="2"/>
                <w:sz w:val="21"/>
                <w:szCs w:val="21"/>
                <w:lang w:eastAsia="zh-CN"/>
              </w:rPr>
              <w:t>46</w:t>
            </w:r>
          </w:p>
        </w:tc>
        <w:tc>
          <w:tcPr>
            <w:tcW w:w="73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60</w:t>
            </w:r>
          </w:p>
        </w:tc>
        <w:tc>
          <w:tcPr>
            <w:tcW w:w="74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50</w:t>
            </w:r>
          </w:p>
        </w:tc>
        <w:tc>
          <w:tcPr>
            <w:tcW w:w="574" w:type="pct"/>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20"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rPr>
            </w:pPr>
            <w:r>
              <w:rPr>
                <w:rFonts w:hint="eastAsia" w:hAnsi="Times New Roman" w:eastAsia="宋体"/>
                <w:bCs/>
                <w:kern w:val="2"/>
                <w:sz w:val="21"/>
                <w:szCs w:val="21"/>
              </w:rPr>
              <w:t>N9</w:t>
            </w:r>
          </w:p>
        </w:tc>
        <w:tc>
          <w:tcPr>
            <w:tcW w:w="1061" w:type="pct"/>
            <w:gridSpan w:val="2"/>
            <w:vAlign w:val="center"/>
          </w:tcPr>
          <w:p>
            <w:pPr>
              <w:pStyle w:val="57"/>
              <w:keepNext w:val="0"/>
              <w:keepLines w:val="0"/>
              <w:suppressLineNumbers w:val="0"/>
              <w:snapToGrid w:val="0"/>
              <w:spacing w:before="0" w:beforeAutospacing="0" w:after="0" w:afterAutospacing="0"/>
              <w:ind w:left="0" w:right="0"/>
              <w:rPr>
                <w:rFonts w:hint="eastAsia" w:hAnsi="Times New Roman" w:eastAsia="宋体" w:cs="Times New Roman"/>
                <w:bCs/>
                <w:kern w:val="2"/>
                <w:sz w:val="21"/>
                <w:szCs w:val="21"/>
                <w:lang w:eastAsia="zh-CN"/>
              </w:rPr>
            </w:pPr>
            <w:r>
              <w:rPr>
                <w:rFonts w:hint="eastAsia" w:hAnsi="Times New Roman" w:eastAsia="宋体" w:cs="Times New Roman"/>
                <w:bCs/>
                <w:kern w:val="2"/>
                <w:sz w:val="21"/>
                <w:szCs w:val="21"/>
                <w:lang w:eastAsia="zh-CN"/>
              </w:rPr>
              <w:t>54</w:t>
            </w:r>
          </w:p>
        </w:tc>
        <w:tc>
          <w:tcPr>
            <w:tcW w:w="1062" w:type="pct"/>
            <w:gridSpan w:val="2"/>
            <w:vAlign w:val="center"/>
          </w:tcPr>
          <w:p>
            <w:pPr>
              <w:pStyle w:val="57"/>
              <w:keepNext w:val="0"/>
              <w:keepLines w:val="0"/>
              <w:suppressLineNumbers w:val="0"/>
              <w:snapToGrid w:val="0"/>
              <w:spacing w:before="0" w:beforeAutospacing="0" w:after="0" w:afterAutospacing="0"/>
              <w:ind w:left="0" w:right="0"/>
              <w:rPr>
                <w:rFonts w:hint="eastAsia" w:hAnsi="Times New Roman" w:eastAsia="宋体" w:cs="Times New Roman"/>
                <w:bCs/>
                <w:kern w:val="2"/>
                <w:sz w:val="21"/>
                <w:szCs w:val="21"/>
                <w:lang w:eastAsia="zh-CN"/>
              </w:rPr>
            </w:pPr>
            <w:r>
              <w:rPr>
                <w:rFonts w:hint="eastAsia" w:hAnsi="Times New Roman" w:eastAsia="宋体" w:cs="Times New Roman"/>
                <w:bCs/>
                <w:kern w:val="2"/>
                <w:sz w:val="21"/>
                <w:szCs w:val="21"/>
                <w:lang w:eastAsia="zh-CN"/>
              </w:rPr>
              <w:t>43</w:t>
            </w:r>
          </w:p>
        </w:tc>
        <w:tc>
          <w:tcPr>
            <w:tcW w:w="73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60</w:t>
            </w:r>
          </w:p>
        </w:tc>
        <w:tc>
          <w:tcPr>
            <w:tcW w:w="74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50</w:t>
            </w:r>
          </w:p>
        </w:tc>
        <w:tc>
          <w:tcPr>
            <w:tcW w:w="574" w:type="pct"/>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20"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rPr>
            </w:pPr>
            <w:r>
              <w:rPr>
                <w:rFonts w:hint="eastAsia" w:hAnsi="Times New Roman" w:eastAsia="宋体"/>
                <w:bCs/>
                <w:kern w:val="2"/>
                <w:sz w:val="21"/>
                <w:szCs w:val="21"/>
              </w:rPr>
              <w:t>N10</w:t>
            </w:r>
          </w:p>
        </w:tc>
        <w:tc>
          <w:tcPr>
            <w:tcW w:w="1061" w:type="pct"/>
            <w:gridSpan w:val="2"/>
            <w:vAlign w:val="center"/>
          </w:tcPr>
          <w:p>
            <w:pPr>
              <w:pStyle w:val="57"/>
              <w:keepNext w:val="0"/>
              <w:keepLines w:val="0"/>
              <w:suppressLineNumbers w:val="0"/>
              <w:snapToGrid w:val="0"/>
              <w:spacing w:before="0" w:beforeAutospacing="0" w:after="0" w:afterAutospacing="0"/>
              <w:ind w:left="0" w:right="0"/>
              <w:rPr>
                <w:rFonts w:hint="eastAsia" w:hAnsi="Times New Roman" w:eastAsia="宋体" w:cs="Times New Roman"/>
                <w:bCs/>
                <w:kern w:val="2"/>
                <w:sz w:val="21"/>
                <w:szCs w:val="21"/>
                <w:lang w:eastAsia="zh-CN"/>
              </w:rPr>
            </w:pPr>
            <w:r>
              <w:rPr>
                <w:rFonts w:hint="eastAsia" w:hAnsi="Times New Roman" w:eastAsia="宋体" w:cs="Times New Roman"/>
                <w:bCs/>
                <w:kern w:val="2"/>
                <w:sz w:val="21"/>
                <w:szCs w:val="21"/>
                <w:lang w:eastAsia="zh-CN"/>
              </w:rPr>
              <w:t>54</w:t>
            </w:r>
          </w:p>
        </w:tc>
        <w:tc>
          <w:tcPr>
            <w:tcW w:w="1062" w:type="pct"/>
            <w:gridSpan w:val="2"/>
            <w:vAlign w:val="center"/>
          </w:tcPr>
          <w:p>
            <w:pPr>
              <w:pStyle w:val="57"/>
              <w:keepNext w:val="0"/>
              <w:keepLines w:val="0"/>
              <w:suppressLineNumbers w:val="0"/>
              <w:snapToGrid w:val="0"/>
              <w:spacing w:before="0" w:beforeAutospacing="0" w:after="0" w:afterAutospacing="0"/>
              <w:ind w:left="0" w:right="0"/>
              <w:rPr>
                <w:rFonts w:hint="eastAsia" w:hAnsi="Times New Roman" w:eastAsia="宋体" w:cs="Times New Roman"/>
                <w:bCs/>
                <w:kern w:val="2"/>
                <w:sz w:val="21"/>
                <w:szCs w:val="21"/>
                <w:lang w:eastAsia="zh-CN"/>
              </w:rPr>
            </w:pPr>
            <w:r>
              <w:rPr>
                <w:rFonts w:hint="eastAsia" w:hAnsi="Times New Roman" w:eastAsia="宋体" w:cs="Times New Roman"/>
                <w:bCs/>
                <w:kern w:val="2"/>
                <w:sz w:val="21"/>
                <w:szCs w:val="21"/>
                <w:lang w:eastAsia="zh-CN"/>
              </w:rPr>
              <w:t>43</w:t>
            </w:r>
          </w:p>
        </w:tc>
        <w:tc>
          <w:tcPr>
            <w:tcW w:w="73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60</w:t>
            </w:r>
          </w:p>
        </w:tc>
        <w:tc>
          <w:tcPr>
            <w:tcW w:w="74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50</w:t>
            </w:r>
          </w:p>
        </w:tc>
        <w:tc>
          <w:tcPr>
            <w:tcW w:w="574" w:type="pct"/>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20"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rPr>
            </w:pPr>
            <w:r>
              <w:rPr>
                <w:rFonts w:hint="eastAsia" w:hAnsi="Times New Roman" w:eastAsia="宋体"/>
                <w:bCs/>
                <w:kern w:val="2"/>
                <w:sz w:val="21"/>
                <w:szCs w:val="21"/>
              </w:rPr>
              <w:t>N11</w:t>
            </w:r>
          </w:p>
        </w:tc>
        <w:tc>
          <w:tcPr>
            <w:tcW w:w="1061" w:type="pct"/>
            <w:gridSpan w:val="2"/>
            <w:vAlign w:val="center"/>
          </w:tcPr>
          <w:p>
            <w:pPr>
              <w:pStyle w:val="57"/>
              <w:keepNext w:val="0"/>
              <w:keepLines w:val="0"/>
              <w:suppressLineNumbers w:val="0"/>
              <w:snapToGrid w:val="0"/>
              <w:spacing w:before="0" w:beforeAutospacing="0" w:after="0" w:afterAutospacing="0"/>
              <w:ind w:left="0" w:right="0"/>
              <w:rPr>
                <w:rFonts w:hint="eastAsia" w:hAnsi="Times New Roman" w:eastAsia="宋体" w:cs="Times New Roman"/>
                <w:bCs/>
                <w:kern w:val="2"/>
                <w:sz w:val="21"/>
                <w:szCs w:val="21"/>
                <w:lang w:eastAsia="zh-CN"/>
              </w:rPr>
            </w:pPr>
            <w:r>
              <w:rPr>
                <w:rFonts w:hint="eastAsia" w:hAnsi="Times New Roman" w:eastAsia="宋体" w:cs="Times New Roman"/>
                <w:bCs/>
                <w:kern w:val="2"/>
                <w:sz w:val="21"/>
                <w:szCs w:val="21"/>
                <w:lang w:eastAsia="zh-CN"/>
              </w:rPr>
              <w:t>56</w:t>
            </w:r>
          </w:p>
        </w:tc>
        <w:tc>
          <w:tcPr>
            <w:tcW w:w="1062" w:type="pct"/>
            <w:gridSpan w:val="2"/>
            <w:vAlign w:val="center"/>
          </w:tcPr>
          <w:p>
            <w:pPr>
              <w:pStyle w:val="57"/>
              <w:keepNext w:val="0"/>
              <w:keepLines w:val="0"/>
              <w:suppressLineNumbers w:val="0"/>
              <w:snapToGrid w:val="0"/>
              <w:spacing w:before="0" w:beforeAutospacing="0" w:after="0" w:afterAutospacing="0"/>
              <w:ind w:left="0" w:right="0"/>
              <w:rPr>
                <w:rFonts w:hint="eastAsia" w:hAnsi="Times New Roman" w:eastAsia="宋体" w:cs="Times New Roman"/>
                <w:bCs/>
                <w:kern w:val="2"/>
                <w:sz w:val="21"/>
                <w:szCs w:val="21"/>
                <w:lang w:eastAsia="zh-CN"/>
              </w:rPr>
            </w:pPr>
            <w:r>
              <w:rPr>
                <w:rFonts w:hint="eastAsia" w:hAnsi="Times New Roman" w:eastAsia="宋体" w:cs="Times New Roman"/>
                <w:bCs/>
                <w:kern w:val="2"/>
                <w:sz w:val="21"/>
                <w:szCs w:val="21"/>
                <w:lang w:eastAsia="zh-CN"/>
              </w:rPr>
              <w:t>45</w:t>
            </w:r>
          </w:p>
        </w:tc>
        <w:tc>
          <w:tcPr>
            <w:tcW w:w="73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60</w:t>
            </w:r>
          </w:p>
        </w:tc>
        <w:tc>
          <w:tcPr>
            <w:tcW w:w="74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50</w:t>
            </w:r>
          </w:p>
        </w:tc>
        <w:tc>
          <w:tcPr>
            <w:tcW w:w="574" w:type="pct"/>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20"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rPr>
            </w:pPr>
            <w:r>
              <w:rPr>
                <w:rFonts w:hint="eastAsia" w:hAnsi="Times New Roman" w:eastAsia="宋体"/>
                <w:bCs/>
                <w:kern w:val="2"/>
                <w:sz w:val="21"/>
                <w:szCs w:val="21"/>
              </w:rPr>
              <w:t>N12</w:t>
            </w:r>
          </w:p>
        </w:tc>
        <w:tc>
          <w:tcPr>
            <w:tcW w:w="1061" w:type="pct"/>
            <w:gridSpan w:val="2"/>
            <w:vAlign w:val="center"/>
          </w:tcPr>
          <w:p>
            <w:pPr>
              <w:pStyle w:val="57"/>
              <w:keepNext w:val="0"/>
              <w:keepLines w:val="0"/>
              <w:suppressLineNumbers w:val="0"/>
              <w:snapToGrid w:val="0"/>
              <w:spacing w:before="0" w:beforeAutospacing="0" w:after="0" w:afterAutospacing="0"/>
              <w:ind w:left="0" w:right="0"/>
              <w:rPr>
                <w:rFonts w:hint="eastAsia" w:hAnsi="Times New Roman" w:eastAsia="宋体" w:cs="Times New Roman"/>
                <w:bCs/>
                <w:kern w:val="2"/>
                <w:sz w:val="21"/>
                <w:szCs w:val="21"/>
                <w:lang w:eastAsia="zh-CN"/>
              </w:rPr>
            </w:pPr>
            <w:r>
              <w:rPr>
                <w:rFonts w:hint="eastAsia" w:hAnsi="Times New Roman" w:eastAsia="宋体" w:cs="Times New Roman"/>
                <w:bCs/>
                <w:kern w:val="2"/>
                <w:sz w:val="21"/>
                <w:szCs w:val="21"/>
                <w:lang w:eastAsia="zh-CN"/>
              </w:rPr>
              <w:t>55</w:t>
            </w:r>
          </w:p>
        </w:tc>
        <w:tc>
          <w:tcPr>
            <w:tcW w:w="1062" w:type="pct"/>
            <w:gridSpan w:val="2"/>
            <w:vAlign w:val="center"/>
          </w:tcPr>
          <w:p>
            <w:pPr>
              <w:pStyle w:val="57"/>
              <w:keepNext w:val="0"/>
              <w:keepLines w:val="0"/>
              <w:suppressLineNumbers w:val="0"/>
              <w:snapToGrid w:val="0"/>
              <w:spacing w:before="0" w:beforeAutospacing="0" w:after="0" w:afterAutospacing="0"/>
              <w:ind w:left="0" w:right="0"/>
              <w:rPr>
                <w:rFonts w:hint="eastAsia" w:hAnsi="Times New Roman" w:eastAsia="宋体" w:cs="Times New Roman"/>
                <w:bCs/>
                <w:kern w:val="2"/>
                <w:sz w:val="21"/>
                <w:szCs w:val="21"/>
                <w:lang w:eastAsia="zh-CN"/>
              </w:rPr>
            </w:pPr>
            <w:r>
              <w:rPr>
                <w:rFonts w:hint="eastAsia" w:hAnsi="Times New Roman" w:eastAsia="宋体" w:cs="Times New Roman"/>
                <w:bCs/>
                <w:kern w:val="2"/>
                <w:sz w:val="21"/>
                <w:szCs w:val="21"/>
                <w:lang w:eastAsia="zh-CN"/>
              </w:rPr>
              <w:t>44</w:t>
            </w:r>
          </w:p>
        </w:tc>
        <w:tc>
          <w:tcPr>
            <w:tcW w:w="73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60</w:t>
            </w:r>
          </w:p>
        </w:tc>
        <w:tc>
          <w:tcPr>
            <w:tcW w:w="74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50</w:t>
            </w:r>
          </w:p>
        </w:tc>
        <w:tc>
          <w:tcPr>
            <w:tcW w:w="574" w:type="pct"/>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20"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rPr>
            </w:pPr>
            <w:r>
              <w:rPr>
                <w:rFonts w:hint="eastAsia" w:hAnsi="Times New Roman" w:eastAsia="宋体"/>
                <w:bCs/>
                <w:kern w:val="2"/>
                <w:sz w:val="21"/>
                <w:szCs w:val="21"/>
              </w:rPr>
              <w:t>N13</w:t>
            </w:r>
          </w:p>
        </w:tc>
        <w:tc>
          <w:tcPr>
            <w:tcW w:w="1061" w:type="pct"/>
            <w:gridSpan w:val="2"/>
            <w:vAlign w:val="center"/>
          </w:tcPr>
          <w:p>
            <w:pPr>
              <w:pStyle w:val="57"/>
              <w:keepNext w:val="0"/>
              <w:keepLines w:val="0"/>
              <w:suppressLineNumbers w:val="0"/>
              <w:snapToGrid w:val="0"/>
              <w:spacing w:before="0" w:beforeAutospacing="0" w:after="0" w:afterAutospacing="0"/>
              <w:ind w:left="0" w:right="0"/>
              <w:rPr>
                <w:rFonts w:hint="eastAsia" w:hAnsi="Times New Roman" w:eastAsia="宋体" w:cs="Times New Roman"/>
                <w:bCs/>
                <w:kern w:val="2"/>
                <w:sz w:val="21"/>
                <w:szCs w:val="21"/>
                <w:lang w:eastAsia="zh-CN"/>
              </w:rPr>
            </w:pPr>
            <w:r>
              <w:rPr>
                <w:rFonts w:hint="eastAsia" w:hAnsi="Times New Roman" w:eastAsia="宋体" w:cs="Times New Roman"/>
                <w:bCs/>
                <w:kern w:val="2"/>
                <w:sz w:val="21"/>
                <w:szCs w:val="21"/>
                <w:lang w:eastAsia="zh-CN"/>
              </w:rPr>
              <w:t>57</w:t>
            </w:r>
          </w:p>
        </w:tc>
        <w:tc>
          <w:tcPr>
            <w:tcW w:w="1062" w:type="pct"/>
            <w:gridSpan w:val="2"/>
            <w:vAlign w:val="center"/>
          </w:tcPr>
          <w:p>
            <w:pPr>
              <w:pStyle w:val="57"/>
              <w:keepNext w:val="0"/>
              <w:keepLines w:val="0"/>
              <w:suppressLineNumbers w:val="0"/>
              <w:snapToGrid w:val="0"/>
              <w:spacing w:before="0" w:beforeAutospacing="0" w:after="0" w:afterAutospacing="0"/>
              <w:ind w:left="0" w:right="0"/>
              <w:rPr>
                <w:rFonts w:hint="eastAsia" w:hAnsi="Times New Roman" w:eastAsia="宋体" w:cs="Times New Roman"/>
                <w:bCs/>
                <w:kern w:val="2"/>
                <w:sz w:val="21"/>
                <w:szCs w:val="21"/>
                <w:lang w:eastAsia="zh-CN"/>
              </w:rPr>
            </w:pPr>
            <w:r>
              <w:rPr>
                <w:rFonts w:hint="eastAsia" w:hAnsi="Times New Roman" w:eastAsia="宋体" w:cs="Times New Roman"/>
                <w:bCs/>
                <w:kern w:val="2"/>
                <w:sz w:val="21"/>
                <w:szCs w:val="21"/>
                <w:lang w:eastAsia="zh-CN"/>
              </w:rPr>
              <w:t>46</w:t>
            </w:r>
          </w:p>
        </w:tc>
        <w:tc>
          <w:tcPr>
            <w:tcW w:w="73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60</w:t>
            </w:r>
          </w:p>
        </w:tc>
        <w:tc>
          <w:tcPr>
            <w:tcW w:w="74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50</w:t>
            </w:r>
          </w:p>
        </w:tc>
        <w:tc>
          <w:tcPr>
            <w:tcW w:w="574" w:type="pct"/>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20"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rPr>
            </w:pPr>
            <w:r>
              <w:rPr>
                <w:rFonts w:hint="eastAsia" w:hAnsi="Times New Roman" w:eastAsia="宋体"/>
                <w:bCs/>
                <w:kern w:val="2"/>
                <w:sz w:val="21"/>
                <w:szCs w:val="21"/>
              </w:rPr>
              <w:t>N14</w:t>
            </w:r>
          </w:p>
        </w:tc>
        <w:tc>
          <w:tcPr>
            <w:tcW w:w="1061" w:type="pct"/>
            <w:gridSpan w:val="2"/>
            <w:vAlign w:val="center"/>
          </w:tcPr>
          <w:p>
            <w:pPr>
              <w:pStyle w:val="57"/>
              <w:keepNext w:val="0"/>
              <w:keepLines w:val="0"/>
              <w:suppressLineNumbers w:val="0"/>
              <w:snapToGrid w:val="0"/>
              <w:spacing w:before="0" w:beforeAutospacing="0" w:after="0" w:afterAutospacing="0"/>
              <w:ind w:left="0" w:right="0"/>
              <w:rPr>
                <w:rFonts w:hint="eastAsia" w:hAnsi="Times New Roman" w:eastAsia="宋体" w:cs="Times New Roman"/>
                <w:bCs/>
                <w:kern w:val="2"/>
                <w:sz w:val="21"/>
                <w:szCs w:val="21"/>
                <w:lang w:eastAsia="zh-CN"/>
              </w:rPr>
            </w:pPr>
            <w:r>
              <w:rPr>
                <w:rFonts w:hint="eastAsia" w:hAnsi="Times New Roman" w:eastAsia="宋体" w:cs="Times New Roman"/>
                <w:bCs/>
                <w:kern w:val="2"/>
                <w:sz w:val="21"/>
                <w:szCs w:val="21"/>
                <w:lang w:eastAsia="zh-CN"/>
              </w:rPr>
              <w:t>52</w:t>
            </w:r>
          </w:p>
        </w:tc>
        <w:tc>
          <w:tcPr>
            <w:tcW w:w="1062" w:type="pct"/>
            <w:gridSpan w:val="2"/>
            <w:vAlign w:val="center"/>
          </w:tcPr>
          <w:p>
            <w:pPr>
              <w:pStyle w:val="57"/>
              <w:keepNext w:val="0"/>
              <w:keepLines w:val="0"/>
              <w:suppressLineNumbers w:val="0"/>
              <w:snapToGrid w:val="0"/>
              <w:spacing w:before="0" w:beforeAutospacing="0" w:after="0" w:afterAutospacing="0"/>
              <w:ind w:left="0" w:right="0"/>
              <w:rPr>
                <w:rFonts w:hint="eastAsia" w:hAnsi="Times New Roman" w:eastAsia="宋体" w:cs="Times New Roman"/>
                <w:bCs/>
                <w:kern w:val="2"/>
                <w:sz w:val="21"/>
                <w:szCs w:val="21"/>
                <w:lang w:eastAsia="zh-CN"/>
              </w:rPr>
            </w:pPr>
            <w:r>
              <w:rPr>
                <w:rFonts w:hint="eastAsia" w:hAnsi="Times New Roman" w:eastAsia="宋体" w:cs="Times New Roman"/>
                <w:bCs/>
                <w:kern w:val="2"/>
                <w:sz w:val="21"/>
                <w:szCs w:val="21"/>
                <w:lang w:eastAsia="zh-CN"/>
              </w:rPr>
              <w:t>42</w:t>
            </w:r>
          </w:p>
        </w:tc>
        <w:tc>
          <w:tcPr>
            <w:tcW w:w="73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60</w:t>
            </w:r>
          </w:p>
        </w:tc>
        <w:tc>
          <w:tcPr>
            <w:tcW w:w="74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50</w:t>
            </w:r>
          </w:p>
        </w:tc>
        <w:tc>
          <w:tcPr>
            <w:tcW w:w="574" w:type="pct"/>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20"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rPr>
            </w:pPr>
            <w:r>
              <w:rPr>
                <w:rFonts w:hint="eastAsia" w:hAnsi="Times New Roman" w:eastAsia="宋体"/>
                <w:bCs/>
                <w:kern w:val="2"/>
                <w:sz w:val="21"/>
                <w:szCs w:val="21"/>
              </w:rPr>
              <w:t>N15</w:t>
            </w:r>
          </w:p>
        </w:tc>
        <w:tc>
          <w:tcPr>
            <w:tcW w:w="1061" w:type="pct"/>
            <w:gridSpan w:val="2"/>
            <w:vAlign w:val="center"/>
          </w:tcPr>
          <w:p>
            <w:pPr>
              <w:pStyle w:val="57"/>
              <w:keepNext w:val="0"/>
              <w:keepLines w:val="0"/>
              <w:suppressLineNumbers w:val="0"/>
              <w:snapToGrid w:val="0"/>
              <w:spacing w:before="0" w:beforeAutospacing="0" w:after="0" w:afterAutospacing="0"/>
              <w:ind w:left="0" w:right="0"/>
              <w:rPr>
                <w:rFonts w:hint="eastAsia" w:hAnsi="Times New Roman" w:eastAsia="宋体" w:cs="Times New Roman"/>
                <w:bCs/>
                <w:kern w:val="2"/>
                <w:sz w:val="21"/>
                <w:szCs w:val="21"/>
                <w:lang w:eastAsia="zh-CN"/>
              </w:rPr>
            </w:pPr>
            <w:r>
              <w:rPr>
                <w:rFonts w:hint="eastAsia" w:hAnsi="Times New Roman" w:eastAsia="宋体" w:cs="Times New Roman"/>
                <w:bCs/>
                <w:kern w:val="2"/>
                <w:sz w:val="21"/>
                <w:szCs w:val="21"/>
                <w:lang w:eastAsia="zh-CN"/>
              </w:rPr>
              <w:t>54</w:t>
            </w:r>
          </w:p>
        </w:tc>
        <w:tc>
          <w:tcPr>
            <w:tcW w:w="1062" w:type="pct"/>
            <w:gridSpan w:val="2"/>
            <w:vAlign w:val="center"/>
          </w:tcPr>
          <w:p>
            <w:pPr>
              <w:pStyle w:val="57"/>
              <w:keepNext w:val="0"/>
              <w:keepLines w:val="0"/>
              <w:suppressLineNumbers w:val="0"/>
              <w:snapToGrid w:val="0"/>
              <w:spacing w:before="0" w:beforeAutospacing="0" w:after="0" w:afterAutospacing="0"/>
              <w:ind w:left="0" w:right="0"/>
              <w:rPr>
                <w:rFonts w:hint="eastAsia" w:hAnsi="Times New Roman" w:eastAsia="宋体" w:cs="Times New Roman"/>
                <w:bCs/>
                <w:kern w:val="2"/>
                <w:sz w:val="21"/>
                <w:szCs w:val="21"/>
                <w:lang w:eastAsia="zh-CN"/>
              </w:rPr>
            </w:pPr>
            <w:r>
              <w:rPr>
                <w:rFonts w:hint="eastAsia" w:hAnsi="Times New Roman" w:eastAsia="宋体" w:cs="Times New Roman"/>
                <w:bCs/>
                <w:kern w:val="2"/>
                <w:sz w:val="21"/>
                <w:szCs w:val="21"/>
                <w:lang w:eastAsia="zh-CN"/>
              </w:rPr>
              <w:t>47</w:t>
            </w:r>
          </w:p>
        </w:tc>
        <w:tc>
          <w:tcPr>
            <w:tcW w:w="73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60</w:t>
            </w:r>
          </w:p>
        </w:tc>
        <w:tc>
          <w:tcPr>
            <w:tcW w:w="74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50</w:t>
            </w:r>
          </w:p>
        </w:tc>
        <w:tc>
          <w:tcPr>
            <w:tcW w:w="574" w:type="pct"/>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20"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rPr>
            </w:pPr>
            <w:r>
              <w:rPr>
                <w:rFonts w:hint="eastAsia" w:hAnsi="Times New Roman" w:eastAsia="宋体"/>
                <w:bCs/>
                <w:kern w:val="2"/>
                <w:sz w:val="21"/>
                <w:szCs w:val="21"/>
              </w:rPr>
              <w:t>N16</w:t>
            </w:r>
          </w:p>
        </w:tc>
        <w:tc>
          <w:tcPr>
            <w:tcW w:w="1061" w:type="pct"/>
            <w:gridSpan w:val="2"/>
            <w:vAlign w:val="center"/>
          </w:tcPr>
          <w:p>
            <w:pPr>
              <w:pStyle w:val="57"/>
              <w:keepNext w:val="0"/>
              <w:keepLines w:val="0"/>
              <w:suppressLineNumbers w:val="0"/>
              <w:snapToGrid w:val="0"/>
              <w:spacing w:before="0" w:beforeAutospacing="0" w:after="0" w:afterAutospacing="0"/>
              <w:ind w:left="0" w:right="0"/>
              <w:rPr>
                <w:rFonts w:hint="eastAsia" w:hAnsi="Times New Roman" w:eastAsia="宋体" w:cs="Times New Roman"/>
                <w:bCs/>
                <w:kern w:val="2"/>
                <w:sz w:val="21"/>
                <w:szCs w:val="21"/>
                <w:lang w:eastAsia="zh-CN"/>
              </w:rPr>
            </w:pPr>
            <w:r>
              <w:rPr>
                <w:rFonts w:hint="eastAsia" w:hAnsi="Times New Roman" w:eastAsia="宋体" w:cs="Times New Roman"/>
                <w:bCs/>
                <w:kern w:val="2"/>
                <w:sz w:val="21"/>
                <w:szCs w:val="21"/>
                <w:lang w:eastAsia="zh-CN"/>
              </w:rPr>
              <w:t>53</w:t>
            </w:r>
          </w:p>
        </w:tc>
        <w:tc>
          <w:tcPr>
            <w:tcW w:w="1062" w:type="pct"/>
            <w:gridSpan w:val="2"/>
            <w:vAlign w:val="center"/>
          </w:tcPr>
          <w:p>
            <w:pPr>
              <w:pStyle w:val="57"/>
              <w:keepNext w:val="0"/>
              <w:keepLines w:val="0"/>
              <w:suppressLineNumbers w:val="0"/>
              <w:snapToGrid w:val="0"/>
              <w:spacing w:before="0" w:beforeAutospacing="0" w:after="0" w:afterAutospacing="0"/>
              <w:ind w:left="0" w:right="0"/>
              <w:rPr>
                <w:rFonts w:hint="eastAsia" w:hAnsi="Times New Roman" w:eastAsia="宋体" w:cs="Times New Roman"/>
                <w:bCs/>
                <w:kern w:val="2"/>
                <w:sz w:val="21"/>
                <w:szCs w:val="21"/>
                <w:lang w:eastAsia="zh-CN"/>
              </w:rPr>
            </w:pPr>
            <w:r>
              <w:rPr>
                <w:rFonts w:hint="eastAsia" w:hAnsi="Times New Roman" w:eastAsia="宋体" w:cs="Times New Roman"/>
                <w:bCs/>
                <w:kern w:val="2"/>
                <w:sz w:val="21"/>
                <w:szCs w:val="21"/>
                <w:lang w:eastAsia="zh-CN"/>
              </w:rPr>
              <w:t>43</w:t>
            </w:r>
          </w:p>
        </w:tc>
        <w:tc>
          <w:tcPr>
            <w:tcW w:w="73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60</w:t>
            </w:r>
          </w:p>
        </w:tc>
        <w:tc>
          <w:tcPr>
            <w:tcW w:w="74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50</w:t>
            </w:r>
          </w:p>
        </w:tc>
        <w:tc>
          <w:tcPr>
            <w:tcW w:w="574" w:type="pct"/>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20"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rPr>
            </w:pPr>
            <w:r>
              <w:rPr>
                <w:rFonts w:hint="eastAsia" w:hAnsi="Times New Roman" w:eastAsia="宋体"/>
                <w:bCs/>
                <w:kern w:val="2"/>
                <w:sz w:val="21"/>
                <w:szCs w:val="21"/>
              </w:rPr>
              <w:t>N17</w:t>
            </w:r>
          </w:p>
        </w:tc>
        <w:tc>
          <w:tcPr>
            <w:tcW w:w="1061" w:type="pct"/>
            <w:gridSpan w:val="2"/>
            <w:vAlign w:val="center"/>
          </w:tcPr>
          <w:p>
            <w:pPr>
              <w:pStyle w:val="57"/>
              <w:keepNext w:val="0"/>
              <w:keepLines w:val="0"/>
              <w:suppressLineNumbers w:val="0"/>
              <w:snapToGrid w:val="0"/>
              <w:spacing w:before="0" w:beforeAutospacing="0" w:after="0" w:afterAutospacing="0"/>
              <w:ind w:left="0" w:right="0"/>
              <w:rPr>
                <w:rFonts w:hint="eastAsia" w:hAnsi="Times New Roman" w:eastAsia="宋体" w:cs="Times New Roman"/>
                <w:bCs/>
                <w:kern w:val="2"/>
                <w:sz w:val="21"/>
                <w:szCs w:val="21"/>
                <w:lang w:eastAsia="zh-CN"/>
              </w:rPr>
            </w:pPr>
            <w:r>
              <w:rPr>
                <w:rFonts w:hint="eastAsia" w:hAnsi="Times New Roman" w:eastAsia="宋体" w:cs="Times New Roman"/>
                <w:bCs/>
                <w:kern w:val="2"/>
                <w:sz w:val="21"/>
                <w:szCs w:val="21"/>
                <w:lang w:eastAsia="zh-CN"/>
              </w:rPr>
              <w:t>53</w:t>
            </w:r>
          </w:p>
        </w:tc>
        <w:tc>
          <w:tcPr>
            <w:tcW w:w="1062" w:type="pct"/>
            <w:gridSpan w:val="2"/>
            <w:vAlign w:val="center"/>
          </w:tcPr>
          <w:p>
            <w:pPr>
              <w:pStyle w:val="57"/>
              <w:keepNext w:val="0"/>
              <w:keepLines w:val="0"/>
              <w:suppressLineNumbers w:val="0"/>
              <w:snapToGrid w:val="0"/>
              <w:spacing w:before="0" w:beforeAutospacing="0" w:after="0" w:afterAutospacing="0"/>
              <w:ind w:left="0" w:right="0"/>
              <w:rPr>
                <w:rFonts w:hint="eastAsia" w:hAnsi="Times New Roman" w:eastAsia="宋体" w:cs="Times New Roman"/>
                <w:bCs/>
                <w:kern w:val="2"/>
                <w:sz w:val="21"/>
                <w:szCs w:val="21"/>
                <w:lang w:eastAsia="zh-CN"/>
              </w:rPr>
            </w:pPr>
            <w:r>
              <w:rPr>
                <w:rFonts w:hint="eastAsia" w:hAnsi="Times New Roman" w:eastAsia="宋体" w:cs="Times New Roman"/>
                <w:bCs/>
                <w:kern w:val="2"/>
                <w:sz w:val="21"/>
                <w:szCs w:val="21"/>
                <w:lang w:eastAsia="zh-CN"/>
              </w:rPr>
              <w:t>45</w:t>
            </w:r>
          </w:p>
        </w:tc>
        <w:tc>
          <w:tcPr>
            <w:tcW w:w="73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60</w:t>
            </w:r>
          </w:p>
        </w:tc>
        <w:tc>
          <w:tcPr>
            <w:tcW w:w="74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50</w:t>
            </w:r>
          </w:p>
        </w:tc>
        <w:tc>
          <w:tcPr>
            <w:tcW w:w="574" w:type="pct"/>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rPr>
              <w:t>达标</w:t>
            </w:r>
          </w:p>
        </w:tc>
      </w:tr>
    </w:tbl>
    <w:p>
      <w:pPr>
        <w:spacing w:line="360" w:lineRule="auto"/>
        <w:ind w:firstLine="480" w:firstLineChars="200"/>
        <w:rPr>
          <w:rFonts w:hAnsi="Times New Roman" w:eastAsia="宋体"/>
          <w:szCs w:val="24"/>
          <w:highlight w:val="yellow"/>
          <w:lang w:eastAsia="zh-CN"/>
        </w:rPr>
      </w:pPr>
      <w:r>
        <w:rPr>
          <w:rFonts w:hAnsi="Times New Roman" w:eastAsia="宋体"/>
          <w:szCs w:val="24"/>
        </w:rPr>
        <w:t>由监测结果表明，</w:t>
      </w:r>
      <w:r>
        <w:rPr>
          <w:rFonts w:hAnsi="Times New Roman" w:eastAsia="宋体"/>
          <w:szCs w:val="24"/>
          <w:lang w:eastAsia="zh-CN"/>
        </w:rPr>
        <w:t>本项目各噪声监测点位的昼夜间噪声值均达到</w:t>
      </w:r>
      <w:r>
        <w:rPr>
          <w:rFonts w:hAnsi="Times New Roman" w:eastAsia="宋体"/>
          <w:szCs w:val="24"/>
        </w:rPr>
        <w:t>《声环境质量标准》（GB3096-2008）2类标准。</w:t>
      </w:r>
    </w:p>
    <w:p>
      <w:pPr>
        <w:pStyle w:val="6"/>
        <w:rPr>
          <w:lang w:eastAsia="zh-CN"/>
        </w:rPr>
      </w:pPr>
      <w:bookmarkStart w:id="152" w:name="_Toc167095167"/>
      <w:bookmarkStart w:id="153" w:name="_Toc163812544"/>
      <w:r>
        <w:rPr>
          <w:lang w:eastAsia="zh-CN"/>
        </w:rPr>
        <w:t>3.2.5 土壤质量现状调查与评价</w:t>
      </w:r>
      <w:bookmarkEnd w:id="152"/>
      <w:bookmarkEnd w:id="153"/>
    </w:p>
    <w:p>
      <w:pPr>
        <w:spacing w:line="360" w:lineRule="auto"/>
        <w:ind w:firstLine="480" w:firstLineChars="200"/>
        <w:rPr>
          <w:rFonts w:hAnsi="Times New Roman" w:eastAsia="宋体"/>
          <w:szCs w:val="24"/>
          <w:lang w:eastAsia="zh-CN"/>
        </w:rPr>
      </w:pPr>
      <w:r>
        <w:rPr>
          <w:rFonts w:hAnsi="Times New Roman" w:eastAsia="宋体"/>
          <w:szCs w:val="24"/>
          <w:lang w:eastAsia="zh-CN"/>
        </w:rPr>
        <w:t>为了解项目厂区土壤环境质量现状，</w:t>
      </w:r>
      <w:r>
        <w:rPr>
          <w:rFonts w:hAnsi="Times New Roman" w:eastAsia="宋体"/>
          <w:szCs w:val="22"/>
          <w:lang w:eastAsia="zh-CN"/>
        </w:rPr>
        <w:t>本次</w:t>
      </w:r>
      <w:r>
        <w:rPr>
          <w:rFonts w:hint="eastAsia" w:hAnsi="Times New Roman" w:eastAsia="宋体"/>
          <w:szCs w:val="22"/>
          <w:lang w:eastAsia="zh-CN"/>
        </w:rPr>
        <w:t>环评引用</w:t>
      </w:r>
      <w:r>
        <w:rPr>
          <w:rFonts w:hAnsi="Times New Roman" w:eastAsia="宋体"/>
          <w:szCs w:val="22"/>
          <w:lang w:eastAsia="zh-CN"/>
        </w:rPr>
        <w:t>达州恒福环境监测服务有限公司</w:t>
      </w:r>
      <w:r>
        <w:rPr>
          <w:rFonts w:hAnsi="Times New Roman" w:eastAsia="宋体"/>
          <w:szCs w:val="24"/>
          <w:lang w:eastAsia="zh-CN"/>
        </w:rPr>
        <w:t>于2021年11月7日</w:t>
      </w:r>
      <w:r>
        <w:rPr>
          <w:rFonts w:hint="eastAsia" w:hAnsi="Times New Roman" w:eastAsia="宋体"/>
          <w:szCs w:val="24"/>
          <w:lang w:eastAsia="zh-CN"/>
        </w:rPr>
        <w:t>和2024年3月1日</w:t>
      </w:r>
      <w:r>
        <w:rPr>
          <w:rFonts w:hAnsi="Times New Roman" w:eastAsia="宋体"/>
          <w:szCs w:val="24"/>
          <w:lang w:eastAsia="zh-CN"/>
        </w:rPr>
        <w:t>对项目所在地土壤进行现场采样，进行监测分析。</w:t>
      </w:r>
    </w:p>
    <w:p>
      <w:pPr>
        <w:spacing w:line="360" w:lineRule="auto"/>
        <w:ind w:firstLine="482" w:firstLineChars="200"/>
        <w:rPr>
          <w:rFonts w:hAnsi="Times New Roman" w:eastAsia="宋体"/>
          <w:b/>
          <w:bCs/>
          <w:szCs w:val="24"/>
          <w:lang w:eastAsia="zh-CN"/>
        </w:rPr>
      </w:pPr>
      <w:r>
        <w:rPr>
          <w:rFonts w:hAnsi="Times New Roman" w:eastAsia="宋体"/>
          <w:b/>
          <w:bCs/>
          <w:szCs w:val="24"/>
          <w:lang w:eastAsia="zh-CN"/>
        </w:rPr>
        <w:t>①监测点位及监测项目</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w:t>
      </w:r>
      <w:r>
        <w:rPr>
          <w:rFonts w:hint="eastAsia" w:hAnsi="Times New Roman" w:eastAsia="宋体"/>
          <w:b/>
          <w:bCs/>
          <w:sz w:val="21"/>
          <w:szCs w:val="21"/>
          <w:lang w:eastAsia="zh-CN"/>
        </w:rPr>
        <w:t>3.2-15</w:t>
      </w:r>
      <w:r>
        <w:rPr>
          <w:rFonts w:hAnsi="Times New Roman" w:eastAsia="宋体"/>
          <w:b/>
          <w:bCs/>
          <w:sz w:val="21"/>
          <w:szCs w:val="21"/>
          <w:lang w:eastAsia="zh-CN"/>
        </w:rPr>
        <w:t xml:space="preserve"> 土壤监测点位、项目一览表</w:t>
      </w:r>
    </w:p>
    <w:tbl>
      <w:tblPr>
        <w:tblStyle w:val="3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2"/>
        <w:gridCol w:w="1973"/>
        <w:gridCol w:w="5079"/>
        <w:gridCol w:w="13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0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编号</w:t>
            </w:r>
          </w:p>
        </w:tc>
        <w:tc>
          <w:tcPr>
            <w:tcW w:w="1056"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监测点位</w:t>
            </w:r>
          </w:p>
        </w:tc>
        <w:tc>
          <w:tcPr>
            <w:tcW w:w="271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监测项目</w:t>
            </w:r>
          </w:p>
        </w:tc>
        <w:tc>
          <w:tcPr>
            <w:tcW w:w="722"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4" w:type="pct"/>
            <w:vAlign w:val="center"/>
          </w:tcPr>
          <w:p>
            <w:pPr>
              <w:keepNext w:val="0"/>
              <w:keepLines w:val="0"/>
              <w:suppressLineNumbers w:val="0"/>
              <w:spacing w:before="0" w:beforeAutospacing="0" w:after="0" w:afterAutospacing="0" w:line="27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TS1</w:t>
            </w:r>
          </w:p>
        </w:tc>
        <w:tc>
          <w:tcPr>
            <w:tcW w:w="1056" w:type="pct"/>
            <w:vAlign w:val="center"/>
          </w:tcPr>
          <w:p>
            <w:pPr>
              <w:keepNext w:val="0"/>
              <w:keepLines w:val="0"/>
              <w:suppressLineNumbers w:val="0"/>
              <w:spacing w:before="0" w:beforeAutospacing="0" w:after="0" w:afterAutospacing="0" w:line="27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主井工业广场范围内机修房东南侧</w:t>
            </w:r>
          </w:p>
        </w:tc>
        <w:tc>
          <w:tcPr>
            <w:tcW w:w="2718" w:type="pct"/>
            <w:vAlign w:val="center"/>
          </w:tcPr>
          <w:p>
            <w:pPr>
              <w:keepNext w:val="0"/>
              <w:keepLines w:val="0"/>
              <w:suppressLineNumbers w:val="0"/>
              <w:spacing w:before="0" w:beforeAutospacing="0" w:after="0" w:afterAutospacing="0" w:line="270" w:lineRule="exact"/>
              <w:ind w:left="0" w:right="0"/>
              <w:rPr>
                <w:rFonts w:hint="eastAsia" w:hAnsi="Times New Roman" w:eastAsia="宋体"/>
                <w:kern w:val="2"/>
                <w:sz w:val="21"/>
                <w:szCs w:val="21"/>
              </w:rPr>
            </w:pPr>
            <w:r>
              <w:rPr>
                <w:rFonts w:hint="eastAsia" w:hAnsi="Times New Roman" w:eastAsia="宋体"/>
                <w:b/>
                <w:bCs/>
                <w:kern w:val="2"/>
                <w:sz w:val="21"/>
                <w:szCs w:val="21"/>
                <w:lang w:eastAsia="zh-CN"/>
              </w:rPr>
              <w:t>表层样：</w:t>
            </w:r>
            <w:r>
              <w:rPr>
                <w:rFonts w:hint="eastAsia" w:hAnsi="Times New Roman" w:eastAsia="宋体"/>
                <w:kern w:val="2"/>
                <w:sz w:val="21"/>
                <w:szCs w:val="21"/>
                <w:lang w:eastAsia="zh-CN"/>
              </w:rPr>
              <w:t>砷、镉、铜、铅、汞、镍、四氯化碳、氯仿、1,1-二氯乙烷、1,2-二氯乙烷、1,1-二氯乙烯、顺-1,2-二氯乙烯、反-1,2-二氯乙烯、二氯甲烷、1,2-二氯丙烷、1,1,1,2-四氯乙烷、1,1,2,2-四氯乙烷、四氯乙烯、1,1,1-三氯乙烷、1,1,2-三氯乙烷、三氯乙烯、1,2,3-三氯丙烷、氯乙烯、苯、氯苯、1,2-二氯苯、1,4-二氯苯、乙苯、苯乙烯、甲苯、间，对二甲苯、邻二甲苯、苯并[a]蒽、苯并[a]芘、苯并[b]荧蒽、䓛、苯并[k]荧蒽、二苯并[a,h]蒽、茚并[1,2,3-cd]芘、萘、铬（六价）*、氯甲烷*、硝基苯*、苯胺*、2-氯酚*</w:t>
            </w:r>
          </w:p>
        </w:tc>
        <w:tc>
          <w:tcPr>
            <w:tcW w:w="722"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监测一 天；监测一次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4" w:type="pct"/>
            <w:vAlign w:val="center"/>
          </w:tcPr>
          <w:p>
            <w:pPr>
              <w:keepNext w:val="0"/>
              <w:keepLines w:val="0"/>
              <w:suppressLineNumbers w:val="0"/>
              <w:spacing w:before="0" w:beforeAutospacing="0" w:after="0" w:afterAutospacing="0" w:line="27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TS2</w:t>
            </w:r>
          </w:p>
        </w:tc>
        <w:tc>
          <w:tcPr>
            <w:tcW w:w="1056" w:type="pct"/>
            <w:vAlign w:val="center"/>
          </w:tcPr>
          <w:p>
            <w:pPr>
              <w:keepNext w:val="0"/>
              <w:keepLines w:val="0"/>
              <w:suppressLineNumbers w:val="0"/>
              <w:spacing w:before="0" w:beforeAutospacing="0" w:after="0" w:afterAutospacing="0" w:line="27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项目占地范围外</w:t>
            </w:r>
          </w:p>
        </w:tc>
        <w:tc>
          <w:tcPr>
            <w:tcW w:w="2718"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b/>
                <w:bCs/>
                <w:kern w:val="2"/>
                <w:sz w:val="21"/>
                <w:szCs w:val="21"/>
                <w:lang w:eastAsia="zh-CN"/>
              </w:rPr>
              <w:t>表层样：</w:t>
            </w:r>
            <w:r>
              <w:rPr>
                <w:rFonts w:hint="eastAsia" w:hAnsi="Times New Roman" w:eastAsia="宋体"/>
                <w:kern w:val="2"/>
                <w:sz w:val="21"/>
                <w:szCs w:val="21"/>
                <w:lang w:eastAsia="zh-CN"/>
              </w:rPr>
              <w:t>pH、砷、镉、铬、铜、铅、汞、镍、锌、六六六*、滴滴涕*</w:t>
            </w:r>
          </w:p>
        </w:tc>
        <w:tc>
          <w:tcPr>
            <w:tcW w:w="722" w:type="pct"/>
            <w:vMerge w:val="continue"/>
            <w:vAlign w:val="center"/>
          </w:tcPr>
          <w:p>
            <w:pPr>
              <w:pStyle w:val="46"/>
              <w:keepNext w:val="0"/>
              <w:keepLines w:val="0"/>
              <w:suppressLineNumbers w:val="0"/>
              <w:spacing w:before="0" w:beforeAutospacing="0" w:after="0" w:afterAutospacing="0" w:line="240" w:lineRule="auto"/>
              <w:ind w:left="0" w:right="0"/>
              <w:rPr>
                <w:rFonts w:hint="eastAsia" w:hAnsi="Times New Roman" w:eastAsia="宋体"/>
                <w:color w:val="auto"/>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4" w:type="pct"/>
            <w:vAlign w:val="center"/>
          </w:tcPr>
          <w:p>
            <w:pPr>
              <w:keepNext w:val="0"/>
              <w:keepLines w:val="0"/>
              <w:suppressLineNumbers w:val="0"/>
              <w:spacing w:before="0" w:beforeAutospacing="0" w:after="0" w:afterAutospacing="0" w:line="27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TS3</w:t>
            </w:r>
          </w:p>
        </w:tc>
        <w:tc>
          <w:tcPr>
            <w:tcW w:w="1056" w:type="pct"/>
            <w:vAlign w:val="center"/>
          </w:tcPr>
          <w:p>
            <w:pPr>
              <w:keepNext w:val="0"/>
              <w:keepLines w:val="0"/>
              <w:suppressLineNumbers w:val="0"/>
              <w:spacing w:before="0" w:beforeAutospacing="0" w:after="0" w:afterAutospacing="0" w:line="27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项目占地范围外</w:t>
            </w:r>
          </w:p>
        </w:tc>
        <w:tc>
          <w:tcPr>
            <w:tcW w:w="2718"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722" w:type="pct"/>
            <w:vMerge w:val="continue"/>
            <w:vAlign w:val="center"/>
          </w:tcPr>
          <w:p>
            <w:pPr>
              <w:pStyle w:val="46"/>
              <w:keepNext w:val="0"/>
              <w:keepLines w:val="0"/>
              <w:suppressLineNumbers w:val="0"/>
              <w:spacing w:before="0" w:beforeAutospacing="0" w:after="0" w:afterAutospacing="0" w:line="240" w:lineRule="auto"/>
              <w:ind w:left="0" w:right="0"/>
              <w:rPr>
                <w:rFonts w:hint="eastAsia" w:hAnsi="Times New Roman" w:eastAsia="宋体"/>
                <w:color w:val="auto"/>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2" w:hRule="atLeast"/>
        </w:trPr>
        <w:tc>
          <w:tcPr>
            <w:tcW w:w="504" w:type="pct"/>
            <w:vAlign w:val="center"/>
          </w:tcPr>
          <w:p>
            <w:pPr>
              <w:keepNext w:val="0"/>
              <w:keepLines w:val="0"/>
              <w:suppressLineNumbers w:val="0"/>
              <w:spacing w:before="0" w:beforeAutospacing="0" w:after="0" w:afterAutospacing="0" w:line="27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TS4</w:t>
            </w:r>
          </w:p>
        </w:tc>
        <w:tc>
          <w:tcPr>
            <w:tcW w:w="1056" w:type="pct"/>
            <w:vAlign w:val="center"/>
          </w:tcPr>
          <w:p>
            <w:pPr>
              <w:keepNext w:val="0"/>
              <w:keepLines w:val="0"/>
              <w:suppressLineNumbers w:val="0"/>
              <w:spacing w:before="0" w:beforeAutospacing="0" w:after="0" w:afterAutospacing="0" w:line="27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工业广场范围内员工宿舍旁绿化带</w:t>
            </w:r>
          </w:p>
        </w:tc>
        <w:tc>
          <w:tcPr>
            <w:tcW w:w="2718"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b/>
                <w:bCs/>
                <w:kern w:val="2"/>
                <w:sz w:val="21"/>
                <w:szCs w:val="21"/>
              </w:rPr>
              <w:t>柱状样：</w:t>
            </w:r>
            <w:r>
              <w:rPr>
                <w:rFonts w:hint="eastAsia" w:hAnsi="Times New Roman" w:eastAsia="宋体"/>
                <w:kern w:val="2"/>
                <w:sz w:val="21"/>
                <w:szCs w:val="21"/>
                <w:lang w:eastAsia="zh-CN"/>
              </w:rPr>
              <w:t>pH、砷、镉、铬、铬（六价）、铜、铅、汞、镍、锌、四氯化碳、氯仿、氯甲烷*、1,1-二氯乙烷、1,2-二氯乙烷、1,1-二氯乙烯、顺-1,2-二氯乙烯、反-1,2-二氯乙烯、二氯甲烷、1,2-二氯丙烷、1,1,1,2-四氯乙烷、1,1,2,2-四氯乙烷、四氯乙烯、1,1,1- 三氯乙烷、1,1,2-三氯乙烷、三氯乙烯、1,2,3-三氯丙烷、氯乙烯、苯、氯苯、1,2-二氯苯、1,4-二氯苯、乙苯、苯乙烯、甲苯、间二甲苯+ 对二甲苯、 邻二甲苯、硝基苯*、苯胺*、2-氯酚*、苯并[a]蒽、苯并[a]芘、苯并[b]荧蒽、䓛、苯并[k]荧蒽、二苯并[a,h]蒽、茚并[1,2,3-cd]芘、萘、六六六*、滴滴涕*、石油烃</w:t>
            </w:r>
          </w:p>
        </w:tc>
        <w:tc>
          <w:tcPr>
            <w:tcW w:w="722" w:type="pct"/>
            <w:vMerge w:val="continue"/>
            <w:vAlign w:val="center"/>
          </w:tcPr>
          <w:p>
            <w:pPr>
              <w:pStyle w:val="46"/>
              <w:keepNext w:val="0"/>
              <w:keepLines w:val="0"/>
              <w:suppressLineNumbers w:val="0"/>
              <w:spacing w:before="0" w:beforeAutospacing="0" w:after="0" w:afterAutospacing="0" w:line="240" w:lineRule="auto"/>
              <w:ind w:left="0" w:right="0"/>
              <w:rPr>
                <w:rFonts w:hint="eastAsia" w:hAnsi="Times New Roman" w:eastAsia="宋体"/>
                <w:color w:val="auto"/>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1" w:hRule="atLeast"/>
        </w:trPr>
        <w:tc>
          <w:tcPr>
            <w:tcW w:w="504" w:type="pct"/>
            <w:vAlign w:val="center"/>
          </w:tcPr>
          <w:p>
            <w:pPr>
              <w:keepNext w:val="0"/>
              <w:keepLines w:val="0"/>
              <w:suppressLineNumbers w:val="0"/>
              <w:spacing w:before="0" w:beforeAutospacing="0" w:after="0" w:afterAutospacing="0" w:line="27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TS5</w:t>
            </w:r>
          </w:p>
        </w:tc>
        <w:tc>
          <w:tcPr>
            <w:tcW w:w="1056" w:type="pct"/>
            <w:vAlign w:val="center"/>
          </w:tcPr>
          <w:p>
            <w:pPr>
              <w:keepNext w:val="0"/>
              <w:keepLines w:val="0"/>
              <w:suppressLineNumbers w:val="0"/>
              <w:spacing w:before="0" w:beforeAutospacing="0" w:after="0" w:afterAutospacing="0" w:line="27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污水处理站西侧</w:t>
            </w:r>
          </w:p>
        </w:tc>
        <w:tc>
          <w:tcPr>
            <w:tcW w:w="2718"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722" w:type="pct"/>
            <w:vMerge w:val="continue"/>
            <w:vAlign w:val="center"/>
          </w:tcPr>
          <w:p>
            <w:pPr>
              <w:pStyle w:val="46"/>
              <w:keepNext w:val="0"/>
              <w:keepLines w:val="0"/>
              <w:suppressLineNumbers w:val="0"/>
              <w:spacing w:before="0" w:beforeAutospacing="0" w:after="0" w:afterAutospacing="0" w:line="240" w:lineRule="auto"/>
              <w:ind w:left="0" w:right="0"/>
              <w:rPr>
                <w:rFonts w:hint="eastAsia" w:hAnsi="Times New Roman" w:eastAsia="宋体"/>
                <w:color w:val="auto"/>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4" w:type="pct"/>
            <w:vAlign w:val="center"/>
          </w:tcPr>
          <w:p>
            <w:pPr>
              <w:keepNext w:val="0"/>
              <w:keepLines w:val="0"/>
              <w:suppressLineNumbers w:val="0"/>
              <w:spacing w:before="0" w:beforeAutospacing="0" w:after="0" w:afterAutospacing="0" w:line="27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TS6</w:t>
            </w:r>
          </w:p>
        </w:tc>
        <w:tc>
          <w:tcPr>
            <w:tcW w:w="1056" w:type="pct"/>
            <w:vAlign w:val="center"/>
          </w:tcPr>
          <w:p>
            <w:pPr>
              <w:keepNext w:val="0"/>
              <w:keepLines w:val="0"/>
              <w:suppressLineNumbers w:val="0"/>
              <w:spacing w:before="0" w:beforeAutospacing="0" w:after="0" w:afterAutospacing="0" w:line="27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机修房旁</w:t>
            </w:r>
          </w:p>
        </w:tc>
        <w:tc>
          <w:tcPr>
            <w:tcW w:w="2718"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722" w:type="pct"/>
            <w:vMerge w:val="continue"/>
            <w:vAlign w:val="center"/>
          </w:tcPr>
          <w:p>
            <w:pPr>
              <w:pStyle w:val="46"/>
              <w:keepNext w:val="0"/>
              <w:keepLines w:val="0"/>
              <w:suppressLineNumbers w:val="0"/>
              <w:spacing w:before="0" w:beforeAutospacing="0" w:after="0" w:afterAutospacing="0" w:line="240" w:lineRule="auto"/>
              <w:ind w:left="0" w:right="0"/>
              <w:rPr>
                <w:rFonts w:hint="eastAsia" w:hAnsi="Times New Roman" w:eastAsia="宋体"/>
                <w:color w:val="auto"/>
                <w:kern w:val="2"/>
                <w:sz w:val="21"/>
                <w:szCs w:val="21"/>
              </w:rPr>
            </w:pPr>
          </w:p>
        </w:tc>
      </w:tr>
    </w:tbl>
    <w:p>
      <w:pPr>
        <w:spacing w:line="360" w:lineRule="auto"/>
        <w:ind w:firstLine="480" w:firstLineChars="200"/>
        <w:rPr>
          <w:rFonts w:hAnsi="Times New Roman" w:eastAsia="宋体"/>
          <w:szCs w:val="24"/>
          <w:lang w:eastAsia="zh-CN"/>
        </w:rPr>
      </w:pPr>
      <w:r>
        <w:rPr>
          <w:rFonts w:hAnsi="Times New Roman" w:eastAsia="宋体"/>
          <w:szCs w:val="24"/>
          <w:lang w:eastAsia="zh-CN"/>
        </w:rPr>
        <w:t>②监测时间：2021年11月7日</w:t>
      </w:r>
      <w:r>
        <w:rPr>
          <w:rFonts w:hint="eastAsia" w:hAnsi="Times New Roman" w:eastAsia="宋体"/>
          <w:szCs w:val="24"/>
          <w:lang w:eastAsia="zh-CN"/>
        </w:rPr>
        <w:t>、2024年3月1日</w:t>
      </w:r>
    </w:p>
    <w:p>
      <w:pPr>
        <w:spacing w:line="360" w:lineRule="auto"/>
        <w:ind w:firstLine="480" w:firstLineChars="200"/>
        <w:rPr>
          <w:rFonts w:hAnsi="Times New Roman" w:eastAsia="宋体"/>
          <w:szCs w:val="24"/>
          <w:lang w:eastAsia="zh-CN"/>
        </w:rPr>
      </w:pPr>
      <w:r>
        <w:rPr>
          <w:rFonts w:hAnsi="Times New Roman" w:eastAsia="宋体"/>
          <w:szCs w:val="24"/>
          <w:lang w:eastAsia="zh-CN"/>
        </w:rPr>
        <w:t>③监测结果：见下表</w:t>
      </w:r>
    </w:p>
    <w:p>
      <w:pPr>
        <w:spacing w:line="360" w:lineRule="auto"/>
        <w:jc w:val="center"/>
        <w:rPr>
          <w:rFonts w:hAnsi="Times New Roman" w:eastAsia="宋体"/>
          <w:b/>
          <w:bCs/>
          <w:sz w:val="21"/>
          <w:szCs w:val="21"/>
          <w:lang w:eastAsia="zh-CN"/>
        </w:rPr>
      </w:pPr>
      <w:r>
        <w:rPr>
          <w:rFonts w:hAnsi="Times New Roman" w:eastAsia="宋体"/>
          <w:b/>
          <w:bCs/>
          <w:sz w:val="21"/>
          <w:szCs w:val="21"/>
        </w:rPr>
        <mc:AlternateContent>
          <mc:Choice Requires="wps">
            <w:drawing>
              <wp:anchor distT="0" distB="0" distL="114300" distR="114300" simplePos="0" relativeHeight="251672576" behindDoc="0" locked="0" layoutInCell="1" allowOverlap="1">
                <wp:simplePos x="0" y="0"/>
                <wp:positionH relativeFrom="column">
                  <wp:posOffset>-135890</wp:posOffset>
                </wp:positionH>
                <wp:positionV relativeFrom="paragraph">
                  <wp:posOffset>318770</wp:posOffset>
                </wp:positionV>
                <wp:extent cx="944880" cy="926465"/>
                <wp:effectExtent l="3175" t="3175" r="4445" b="3810"/>
                <wp:wrapNone/>
                <wp:docPr id="26" name="直接连接符 26"/>
                <wp:cNvGraphicFramePr/>
                <a:graphic xmlns:a="http://schemas.openxmlformats.org/drawingml/2006/main">
                  <a:graphicData uri="http://schemas.microsoft.com/office/word/2010/wordprocessingShape">
                    <wps:wsp>
                      <wps:cNvCnPr/>
                      <wps:spPr>
                        <a:xfrm>
                          <a:off x="1515745" y="2822575"/>
                          <a:ext cx="944880" cy="92646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7pt;margin-top:25.1pt;height:72.95pt;width:74.4pt;z-index:251672576;mso-width-relative:page;mso-height-relative:page;" filled="f" stroked="t" coordsize="21600,21600" o:gfxdata="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b+jh21wAAAAoBAAAPAAAAAAAAAAEAIAAAACIAAABkcnMvZG93bnJldi54bWxQSwEC&#10;FAAUAAAACACHTuJAuNs9BfUBAADDAwAADgAAAAAAAAABACAAAAAmAQAAZHJzL2Uyb0RvYy54bWxQ&#10;SwUGAAAAAAYABgBZAQAAjQUAAAAA&#10;">
                <v:fill on="f" focussize="0,0"/>
                <v:stroke weight="0.5pt" color="#000000 [3213]" miterlimit="8" joinstyle="miter"/>
                <v:imagedata o:title=""/>
                <o:lock v:ext="edit" aspectratio="f"/>
              </v:line>
            </w:pict>
          </mc:Fallback>
        </mc:AlternateContent>
      </w:r>
      <w:r>
        <w:rPr>
          <w:rFonts w:hAnsi="Times New Roman" w:eastAsia="宋体"/>
          <w:b/>
          <w:bCs/>
          <w:sz w:val="21"/>
          <w:szCs w:val="21"/>
          <w:lang w:eastAsia="zh-CN"/>
        </w:rPr>
        <w:t xml:space="preserve">表 </w:t>
      </w:r>
      <w:r>
        <w:rPr>
          <w:rFonts w:hint="eastAsia" w:hAnsi="Times New Roman" w:eastAsia="宋体"/>
          <w:b/>
          <w:bCs/>
          <w:sz w:val="21"/>
          <w:szCs w:val="21"/>
          <w:lang w:eastAsia="zh-CN"/>
        </w:rPr>
        <w:t>3.2-16</w:t>
      </w:r>
      <w:r>
        <w:rPr>
          <w:rFonts w:hAnsi="Times New Roman" w:eastAsia="宋体"/>
          <w:b/>
          <w:bCs/>
          <w:sz w:val="21"/>
          <w:szCs w:val="21"/>
          <w:lang w:eastAsia="zh-CN"/>
        </w:rPr>
        <w:t xml:space="preserve"> 土壤环境质量现状监测结果</w:t>
      </w:r>
    </w:p>
    <w:tbl>
      <w:tblPr>
        <w:tblStyle w:val="33"/>
        <w:tblW w:w="978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
      <w:tblGrid>
        <w:gridCol w:w="880"/>
        <w:gridCol w:w="750"/>
        <w:gridCol w:w="750"/>
        <w:gridCol w:w="737"/>
        <w:gridCol w:w="804"/>
        <w:gridCol w:w="668"/>
        <w:gridCol w:w="737"/>
        <w:gridCol w:w="695"/>
        <w:gridCol w:w="682"/>
        <w:gridCol w:w="723"/>
        <w:gridCol w:w="681"/>
        <w:gridCol w:w="723"/>
        <w:gridCol w:w="9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170" w:hRule="atLeast"/>
          <w:jc w:val="center"/>
        </w:trPr>
        <w:tc>
          <w:tcPr>
            <w:tcW w:w="1630" w:type="dxa"/>
            <w:gridSpan w:val="2"/>
            <w:vMerge w:val="restart"/>
            <w:tcMar>
              <w:top w:w="51" w:type="dxa"/>
              <w:left w:w="0" w:type="dxa"/>
              <w:bottom w:w="51" w:type="dxa"/>
              <w:right w:w="0" w:type="dxa"/>
            </w:tcMar>
            <w:vAlign w:val="center"/>
          </w:tcPr>
          <w:p>
            <w:pPr>
              <w:pStyle w:val="49"/>
              <w:keepNext w:val="0"/>
              <w:keepLines w:val="0"/>
              <w:suppressLineNumbers w:val="0"/>
              <w:spacing w:before="0" w:beforeAutospacing="0" w:after="0" w:afterAutospacing="0"/>
              <w:ind w:left="0" w:right="0"/>
              <w:rPr>
                <w:rFonts w:hint="eastAsia" w:eastAsia="宋体"/>
                <w:b/>
                <w:bCs/>
                <w:kern w:val="2"/>
                <w:sz w:val="21"/>
                <w:szCs w:val="21"/>
              </w:rPr>
            </w:pPr>
            <w:r>
              <w:rPr>
                <w:rFonts w:hint="eastAsia" w:eastAsia="宋体"/>
                <w:b/>
                <w:bCs/>
                <w:kern w:val="2"/>
                <w:sz w:val="21"/>
                <w:szCs w:val="21"/>
                <w:lang w:val="en-US" w:eastAsia="zh-CN"/>
              </w:rPr>
              <w:t xml:space="preserve">       </w:t>
            </w:r>
            <w:r>
              <w:rPr>
                <w:rFonts w:hint="eastAsia" w:eastAsia="宋体"/>
                <w:b/>
                <w:bCs/>
                <w:kern w:val="2"/>
                <w:sz w:val="21"/>
                <w:szCs w:val="21"/>
              </w:rPr>
              <w:t>点位编号</w:t>
            </w:r>
          </w:p>
          <w:p>
            <w:pPr>
              <w:pStyle w:val="49"/>
              <w:keepNext w:val="0"/>
              <w:keepLines w:val="0"/>
              <w:suppressLineNumbers w:val="0"/>
              <w:spacing w:before="0" w:beforeAutospacing="0" w:after="0" w:afterAutospacing="0"/>
              <w:ind w:left="0" w:right="0"/>
              <w:rPr>
                <w:rFonts w:hint="eastAsia" w:eastAsia="宋体"/>
                <w:b/>
                <w:bCs/>
                <w:kern w:val="2"/>
                <w:sz w:val="21"/>
                <w:szCs w:val="21"/>
              </w:rPr>
            </w:pPr>
          </w:p>
          <w:p>
            <w:pPr>
              <w:pStyle w:val="49"/>
              <w:keepNext w:val="0"/>
              <w:keepLines w:val="0"/>
              <w:suppressLineNumbers w:val="0"/>
              <w:spacing w:before="0" w:beforeAutospacing="0" w:after="0" w:afterAutospacing="0"/>
              <w:ind w:left="0" w:right="0" w:firstLine="211" w:firstLineChars="100"/>
              <w:jc w:val="both"/>
              <w:rPr>
                <w:rFonts w:hint="eastAsia" w:eastAsia="宋体"/>
                <w:b/>
                <w:bCs/>
                <w:kern w:val="2"/>
                <w:sz w:val="21"/>
                <w:szCs w:val="21"/>
              </w:rPr>
            </w:pPr>
            <w:r>
              <w:rPr>
                <w:rFonts w:hint="eastAsia" w:eastAsia="宋体"/>
                <w:b/>
                <w:bCs/>
                <w:kern w:val="2"/>
                <w:sz w:val="21"/>
                <w:szCs w:val="21"/>
              </w:rPr>
              <w:t>检测项目</w:t>
            </w:r>
          </w:p>
        </w:tc>
        <w:tc>
          <w:tcPr>
            <w:tcW w:w="750" w:type="dxa"/>
            <w:tcMar>
              <w:top w:w="51" w:type="dxa"/>
              <w:left w:w="0" w:type="dxa"/>
              <w:bottom w:w="51" w:type="dxa"/>
              <w:right w:w="0" w:type="dxa"/>
            </w:tcMar>
            <w:vAlign w:val="center"/>
          </w:tcPr>
          <w:p>
            <w:pPr>
              <w:pStyle w:val="49"/>
              <w:keepNext w:val="0"/>
              <w:keepLines w:val="0"/>
              <w:suppressLineNumbers w:val="0"/>
              <w:spacing w:before="0" w:beforeAutospacing="0" w:after="0" w:afterAutospacing="0" w:line="200" w:lineRule="exact"/>
              <w:ind w:left="0" w:right="0"/>
              <w:rPr>
                <w:rFonts w:hint="eastAsia" w:eastAsia="宋体"/>
                <w:b/>
                <w:bCs/>
                <w:kern w:val="2"/>
                <w:sz w:val="21"/>
                <w:szCs w:val="21"/>
                <w:lang w:val="en-US" w:bidi="ar"/>
              </w:rPr>
            </w:pPr>
            <w:r>
              <w:rPr>
                <w:rFonts w:hint="eastAsia" w:eastAsia="宋体"/>
                <w:b/>
                <w:bCs/>
                <w:kern w:val="2"/>
                <w:sz w:val="21"/>
                <w:szCs w:val="21"/>
                <w:lang w:val="en-US" w:eastAsia="zh-CN" w:bidi="ar"/>
              </w:rPr>
              <w:t>2024.3.1</w:t>
            </w:r>
          </w:p>
        </w:tc>
        <w:tc>
          <w:tcPr>
            <w:tcW w:w="6450" w:type="dxa"/>
            <w:gridSpan w:val="9"/>
            <w:tcMar>
              <w:top w:w="51" w:type="dxa"/>
              <w:left w:w="0" w:type="dxa"/>
              <w:bottom w:w="51" w:type="dxa"/>
              <w:right w:w="0" w:type="dxa"/>
            </w:tcMar>
            <w:vAlign w:val="center"/>
          </w:tcPr>
          <w:p>
            <w:pPr>
              <w:pStyle w:val="49"/>
              <w:keepNext w:val="0"/>
              <w:keepLines w:val="0"/>
              <w:suppressLineNumbers w:val="0"/>
              <w:spacing w:before="0" w:beforeAutospacing="0" w:after="0" w:afterAutospacing="0" w:line="200" w:lineRule="exact"/>
              <w:ind w:left="0" w:right="0"/>
              <w:rPr>
                <w:rFonts w:hint="eastAsia" w:eastAsia="宋体"/>
                <w:b/>
                <w:bCs/>
                <w:kern w:val="2"/>
                <w:sz w:val="21"/>
                <w:szCs w:val="21"/>
                <w:lang w:val="en-US" w:eastAsia="zh-CN" w:bidi="ar"/>
              </w:rPr>
            </w:pPr>
            <w:r>
              <w:rPr>
                <w:rFonts w:hint="eastAsia" w:eastAsia="宋体"/>
                <w:b/>
                <w:bCs/>
                <w:kern w:val="2"/>
                <w:sz w:val="21"/>
                <w:szCs w:val="21"/>
                <w:lang w:val="en-US" w:eastAsia="zh-CN" w:bidi="ar"/>
              </w:rPr>
              <w:t>2021.11.07</w:t>
            </w:r>
          </w:p>
        </w:tc>
        <w:tc>
          <w:tcPr>
            <w:tcW w:w="955" w:type="dxa"/>
            <w:vMerge w:val="restart"/>
            <w:vAlign w:val="center"/>
          </w:tcPr>
          <w:p>
            <w:pPr>
              <w:pStyle w:val="49"/>
              <w:keepNext w:val="0"/>
              <w:keepLines w:val="0"/>
              <w:suppressLineNumbers w:val="0"/>
              <w:spacing w:before="0" w:beforeAutospacing="0" w:after="0" w:afterAutospacing="0"/>
              <w:ind w:left="0" w:right="0"/>
              <w:rPr>
                <w:rFonts w:hint="eastAsia" w:eastAsia="宋体"/>
                <w:b/>
                <w:bCs/>
                <w:kern w:val="2"/>
                <w:sz w:val="21"/>
                <w:szCs w:val="21"/>
                <w:lang w:bidi="ar"/>
              </w:rPr>
            </w:pPr>
            <w:r>
              <w:rPr>
                <w:rFonts w:hint="eastAsia" w:eastAsia="宋体"/>
                <w:b/>
                <w:bCs/>
                <w:kern w:val="2"/>
                <w:sz w:val="21"/>
                <w:szCs w:val="21"/>
                <w:lang w:bidi="ar"/>
              </w:rPr>
              <w:t>质量标准（mg/kg）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170" w:hRule="atLeast"/>
          <w:jc w:val="center"/>
        </w:trPr>
        <w:tc>
          <w:tcPr>
            <w:tcW w:w="1630" w:type="dxa"/>
            <w:gridSpan w:val="2"/>
            <w:vMerge w:val="continue"/>
            <w:tcMar>
              <w:top w:w="51" w:type="dxa"/>
              <w:left w:w="0" w:type="dxa"/>
              <w:bottom w:w="51" w:type="dxa"/>
              <w:right w:w="0" w:type="dxa"/>
            </w:tcMar>
            <w:vAlign w:val="center"/>
          </w:tcPr>
          <w:p>
            <w:pPr>
              <w:pStyle w:val="49"/>
              <w:keepNext w:val="0"/>
              <w:keepLines w:val="0"/>
              <w:suppressLineNumbers w:val="0"/>
              <w:spacing w:before="0" w:beforeAutospacing="0" w:after="0" w:afterAutospacing="0"/>
              <w:ind w:left="0" w:right="0"/>
              <w:rPr>
                <w:rFonts w:hint="eastAsia" w:eastAsia="宋体"/>
                <w:kern w:val="2"/>
                <w:sz w:val="21"/>
                <w:szCs w:val="21"/>
              </w:rPr>
            </w:pPr>
          </w:p>
        </w:tc>
        <w:tc>
          <w:tcPr>
            <w:tcW w:w="750" w:type="dxa"/>
            <w:tcMar>
              <w:top w:w="51" w:type="dxa"/>
              <w:left w:w="0" w:type="dxa"/>
              <w:bottom w:w="51" w:type="dxa"/>
              <w:right w:w="0" w:type="dxa"/>
            </w:tcMar>
            <w:vAlign w:val="center"/>
          </w:tcPr>
          <w:p>
            <w:pPr>
              <w:pStyle w:val="49"/>
              <w:keepNext w:val="0"/>
              <w:keepLines w:val="0"/>
              <w:suppressLineNumbers w:val="0"/>
              <w:spacing w:before="0" w:beforeAutospacing="0" w:after="0" w:afterAutospacing="0" w:line="200" w:lineRule="exact"/>
              <w:ind w:left="0" w:right="0"/>
              <w:rPr>
                <w:rFonts w:hint="eastAsia" w:eastAsia="宋体"/>
                <w:b/>
                <w:kern w:val="2"/>
                <w:sz w:val="21"/>
                <w:szCs w:val="21"/>
                <w:lang w:val="en-US" w:eastAsia="zh-CN"/>
              </w:rPr>
            </w:pPr>
            <w:r>
              <w:rPr>
                <w:rFonts w:hint="eastAsia" w:eastAsia="宋体"/>
                <w:b/>
                <w:kern w:val="2"/>
                <w:sz w:val="21"/>
                <w:szCs w:val="21"/>
                <w:lang w:val="en-US" w:eastAsia="zh-CN"/>
              </w:rPr>
              <w:t>TS1</w:t>
            </w:r>
          </w:p>
        </w:tc>
        <w:tc>
          <w:tcPr>
            <w:tcW w:w="2209" w:type="dxa"/>
            <w:gridSpan w:val="3"/>
            <w:tcMar>
              <w:top w:w="51" w:type="dxa"/>
              <w:left w:w="0" w:type="dxa"/>
              <w:bottom w:w="51" w:type="dxa"/>
              <w:right w:w="0" w:type="dxa"/>
            </w:tcMar>
            <w:vAlign w:val="center"/>
          </w:tcPr>
          <w:p>
            <w:pPr>
              <w:pStyle w:val="49"/>
              <w:keepNext w:val="0"/>
              <w:keepLines w:val="0"/>
              <w:suppressLineNumbers w:val="0"/>
              <w:spacing w:before="0" w:beforeAutospacing="0" w:after="0" w:afterAutospacing="0" w:line="200" w:lineRule="exact"/>
              <w:ind w:left="0" w:right="0"/>
              <w:rPr>
                <w:rFonts w:hint="eastAsia" w:eastAsia="宋体"/>
                <w:b/>
                <w:kern w:val="2"/>
                <w:sz w:val="21"/>
                <w:szCs w:val="21"/>
                <w:lang w:val="en-US" w:eastAsia="zh-CN"/>
              </w:rPr>
            </w:pPr>
            <w:r>
              <w:rPr>
                <w:rFonts w:hint="eastAsia" w:eastAsia="宋体"/>
                <w:b/>
                <w:kern w:val="2"/>
                <w:sz w:val="21"/>
                <w:szCs w:val="21"/>
                <w:lang w:val="en-US" w:eastAsia="zh-CN"/>
              </w:rPr>
              <w:t>TS4</w:t>
            </w:r>
          </w:p>
        </w:tc>
        <w:tc>
          <w:tcPr>
            <w:tcW w:w="2114" w:type="dxa"/>
            <w:gridSpan w:val="3"/>
            <w:tcMar>
              <w:top w:w="51" w:type="dxa"/>
              <w:left w:w="0" w:type="dxa"/>
              <w:bottom w:w="51" w:type="dxa"/>
              <w:right w:w="0" w:type="dxa"/>
            </w:tcMar>
            <w:vAlign w:val="center"/>
          </w:tcPr>
          <w:p>
            <w:pPr>
              <w:pStyle w:val="49"/>
              <w:keepNext w:val="0"/>
              <w:keepLines w:val="0"/>
              <w:suppressLineNumbers w:val="0"/>
              <w:spacing w:before="0" w:beforeAutospacing="0" w:after="0" w:afterAutospacing="0" w:line="200" w:lineRule="exact"/>
              <w:ind w:left="0" w:right="0"/>
              <w:rPr>
                <w:rFonts w:hint="eastAsia" w:eastAsia="宋体"/>
                <w:b/>
                <w:kern w:val="2"/>
                <w:sz w:val="21"/>
                <w:szCs w:val="21"/>
                <w:lang w:val="en-US" w:eastAsia="zh-CN"/>
              </w:rPr>
            </w:pPr>
            <w:r>
              <w:rPr>
                <w:rFonts w:hint="eastAsia" w:eastAsia="宋体"/>
                <w:b/>
                <w:kern w:val="2"/>
                <w:sz w:val="21"/>
                <w:szCs w:val="21"/>
                <w:lang w:val="en-US" w:eastAsia="zh-CN"/>
              </w:rPr>
              <w:t>TS5</w:t>
            </w:r>
          </w:p>
        </w:tc>
        <w:tc>
          <w:tcPr>
            <w:tcW w:w="2127" w:type="dxa"/>
            <w:gridSpan w:val="3"/>
            <w:tcMar>
              <w:top w:w="51" w:type="dxa"/>
              <w:left w:w="0" w:type="dxa"/>
              <w:bottom w:w="51" w:type="dxa"/>
              <w:right w:w="0" w:type="dxa"/>
            </w:tcMar>
            <w:vAlign w:val="center"/>
          </w:tcPr>
          <w:p>
            <w:pPr>
              <w:pStyle w:val="49"/>
              <w:keepNext w:val="0"/>
              <w:keepLines w:val="0"/>
              <w:suppressLineNumbers w:val="0"/>
              <w:spacing w:before="0" w:beforeAutospacing="0" w:after="0" w:afterAutospacing="0" w:line="200" w:lineRule="exact"/>
              <w:ind w:left="0" w:right="0"/>
              <w:rPr>
                <w:rFonts w:hint="eastAsia" w:eastAsia="宋体"/>
                <w:b/>
                <w:bCs/>
                <w:kern w:val="2"/>
                <w:sz w:val="21"/>
                <w:szCs w:val="21"/>
                <w:lang w:val="en-US" w:eastAsia="zh-CN" w:bidi="ar"/>
              </w:rPr>
            </w:pPr>
            <w:r>
              <w:rPr>
                <w:rFonts w:hint="eastAsia" w:eastAsia="宋体"/>
                <w:b/>
                <w:kern w:val="2"/>
                <w:sz w:val="21"/>
                <w:szCs w:val="21"/>
                <w:lang w:val="en-US" w:eastAsia="zh-CN"/>
              </w:rPr>
              <w:t>TS6</w:t>
            </w:r>
          </w:p>
        </w:tc>
        <w:tc>
          <w:tcPr>
            <w:tcW w:w="955" w:type="dxa"/>
            <w:vMerge w:val="continue"/>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170" w:hRule="atLeast"/>
          <w:jc w:val="center"/>
        </w:trPr>
        <w:tc>
          <w:tcPr>
            <w:tcW w:w="1630" w:type="dxa"/>
            <w:gridSpan w:val="2"/>
            <w:vMerge w:val="continue"/>
            <w:tcMar>
              <w:top w:w="51" w:type="dxa"/>
              <w:left w:w="0" w:type="dxa"/>
              <w:bottom w:w="51" w:type="dxa"/>
              <w:right w:w="0" w:type="dxa"/>
            </w:tcMar>
            <w:vAlign w:val="center"/>
          </w:tcPr>
          <w:p>
            <w:pPr>
              <w:pStyle w:val="49"/>
              <w:keepNext w:val="0"/>
              <w:keepLines w:val="0"/>
              <w:suppressLineNumbers w:val="0"/>
              <w:spacing w:before="0" w:beforeAutospacing="0" w:after="0" w:afterAutospacing="0"/>
              <w:ind w:left="0" w:right="0"/>
              <w:rPr>
                <w:rFonts w:hint="eastAsia" w:eastAsia="宋体"/>
                <w:kern w:val="2"/>
                <w:sz w:val="21"/>
                <w:szCs w:val="21"/>
              </w:rPr>
            </w:pPr>
          </w:p>
        </w:tc>
        <w:tc>
          <w:tcPr>
            <w:tcW w:w="750" w:type="dxa"/>
            <w:vMerge w:val="restart"/>
            <w:tcMar>
              <w:top w:w="51" w:type="dxa"/>
              <w:left w:w="0" w:type="dxa"/>
              <w:bottom w:w="51" w:type="dxa"/>
              <w:right w:w="0" w:type="dxa"/>
            </w:tcMar>
            <w:vAlign w:val="center"/>
          </w:tcPr>
          <w:p>
            <w:pPr>
              <w:pStyle w:val="49"/>
              <w:keepNext w:val="0"/>
              <w:keepLines w:val="0"/>
              <w:suppressLineNumbers w:val="0"/>
              <w:spacing w:before="0" w:beforeAutospacing="0" w:after="0" w:afterAutospacing="0" w:line="240" w:lineRule="exact"/>
              <w:ind w:left="0" w:right="0"/>
              <w:rPr>
                <w:rFonts w:hint="eastAsia" w:eastAsia="宋体"/>
                <w:b/>
                <w:kern w:val="2"/>
                <w:sz w:val="21"/>
                <w:szCs w:val="21"/>
                <w:lang w:val="en-US" w:eastAsia="zh-CN"/>
              </w:rPr>
            </w:pPr>
            <w:r>
              <w:rPr>
                <w:rFonts w:hint="eastAsia" w:eastAsia="宋体"/>
                <w:b/>
                <w:kern w:val="2"/>
                <w:sz w:val="21"/>
                <w:szCs w:val="21"/>
                <w:lang w:val="en-US" w:eastAsia="zh-CN"/>
              </w:rPr>
              <w:t>表层样</w:t>
            </w:r>
          </w:p>
        </w:tc>
        <w:tc>
          <w:tcPr>
            <w:tcW w:w="2209" w:type="dxa"/>
            <w:gridSpan w:val="3"/>
            <w:tcMar>
              <w:top w:w="51" w:type="dxa"/>
              <w:left w:w="0" w:type="dxa"/>
              <w:bottom w:w="51" w:type="dxa"/>
              <w:right w:w="0" w:type="dxa"/>
            </w:tcMar>
            <w:vAlign w:val="center"/>
          </w:tcPr>
          <w:p>
            <w:pPr>
              <w:pStyle w:val="49"/>
              <w:keepNext w:val="0"/>
              <w:keepLines w:val="0"/>
              <w:suppressLineNumbers w:val="0"/>
              <w:spacing w:before="0" w:beforeAutospacing="0" w:after="0" w:afterAutospacing="0" w:line="200" w:lineRule="exact"/>
              <w:ind w:left="0" w:right="0"/>
              <w:rPr>
                <w:rFonts w:hint="eastAsia" w:eastAsia="宋体"/>
                <w:b/>
                <w:kern w:val="2"/>
                <w:sz w:val="21"/>
                <w:szCs w:val="21"/>
                <w:lang w:val="en-US" w:eastAsia="zh-CN"/>
              </w:rPr>
            </w:pPr>
            <w:r>
              <w:rPr>
                <w:rFonts w:hint="eastAsia" w:eastAsia="宋体"/>
                <w:b/>
                <w:kern w:val="2"/>
                <w:sz w:val="21"/>
                <w:szCs w:val="21"/>
                <w:lang w:val="en-US" w:eastAsia="zh-CN"/>
              </w:rPr>
              <w:t>柱状样</w:t>
            </w:r>
          </w:p>
        </w:tc>
        <w:tc>
          <w:tcPr>
            <w:tcW w:w="2114" w:type="dxa"/>
            <w:gridSpan w:val="3"/>
            <w:tcMar>
              <w:top w:w="51" w:type="dxa"/>
              <w:left w:w="0" w:type="dxa"/>
              <w:bottom w:w="51" w:type="dxa"/>
              <w:right w:w="0" w:type="dxa"/>
            </w:tcMar>
            <w:vAlign w:val="center"/>
          </w:tcPr>
          <w:p>
            <w:pPr>
              <w:pStyle w:val="49"/>
              <w:keepNext w:val="0"/>
              <w:keepLines w:val="0"/>
              <w:suppressLineNumbers w:val="0"/>
              <w:spacing w:before="0" w:beforeAutospacing="0" w:after="0" w:afterAutospacing="0" w:line="200" w:lineRule="exact"/>
              <w:ind w:left="0" w:right="0"/>
              <w:rPr>
                <w:rFonts w:hint="eastAsia" w:eastAsia="宋体"/>
                <w:b/>
                <w:kern w:val="2"/>
                <w:sz w:val="21"/>
                <w:szCs w:val="21"/>
                <w:lang w:val="en-US" w:eastAsia="zh-CN"/>
              </w:rPr>
            </w:pPr>
            <w:r>
              <w:rPr>
                <w:rFonts w:hint="eastAsia" w:eastAsia="宋体"/>
                <w:b/>
                <w:kern w:val="2"/>
                <w:sz w:val="21"/>
                <w:szCs w:val="21"/>
                <w:lang w:val="en-US" w:eastAsia="zh-CN"/>
              </w:rPr>
              <w:t>柱状样</w:t>
            </w:r>
          </w:p>
        </w:tc>
        <w:tc>
          <w:tcPr>
            <w:tcW w:w="2127" w:type="dxa"/>
            <w:gridSpan w:val="3"/>
            <w:tcMar>
              <w:top w:w="51" w:type="dxa"/>
              <w:left w:w="0" w:type="dxa"/>
              <w:bottom w:w="51" w:type="dxa"/>
              <w:right w:w="0" w:type="dxa"/>
            </w:tcMar>
            <w:vAlign w:val="center"/>
          </w:tcPr>
          <w:p>
            <w:pPr>
              <w:pStyle w:val="49"/>
              <w:keepNext w:val="0"/>
              <w:keepLines w:val="0"/>
              <w:suppressLineNumbers w:val="0"/>
              <w:spacing w:before="0" w:beforeAutospacing="0" w:after="0" w:afterAutospacing="0" w:line="200" w:lineRule="exact"/>
              <w:ind w:left="0" w:right="0"/>
              <w:rPr>
                <w:rFonts w:hint="eastAsia" w:eastAsia="宋体"/>
                <w:b/>
                <w:kern w:val="2"/>
                <w:sz w:val="21"/>
                <w:szCs w:val="21"/>
                <w:lang w:val="en-US" w:eastAsia="zh-CN"/>
              </w:rPr>
            </w:pPr>
            <w:r>
              <w:rPr>
                <w:rFonts w:hint="eastAsia" w:eastAsia="宋体"/>
                <w:b/>
                <w:kern w:val="2"/>
                <w:sz w:val="21"/>
                <w:szCs w:val="21"/>
                <w:lang w:val="en-US" w:eastAsia="zh-CN"/>
              </w:rPr>
              <w:t>柱状样</w:t>
            </w:r>
          </w:p>
        </w:tc>
        <w:tc>
          <w:tcPr>
            <w:tcW w:w="955" w:type="dxa"/>
            <w:vMerge w:val="continue"/>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170" w:hRule="atLeast"/>
          <w:jc w:val="center"/>
        </w:trPr>
        <w:tc>
          <w:tcPr>
            <w:tcW w:w="1630" w:type="dxa"/>
            <w:gridSpan w:val="2"/>
            <w:vMerge w:val="continue"/>
            <w:tcMar>
              <w:top w:w="51" w:type="dxa"/>
              <w:left w:w="0" w:type="dxa"/>
              <w:bottom w:w="51" w:type="dxa"/>
              <w:right w:w="0" w:type="dxa"/>
            </w:tcMar>
            <w:vAlign w:val="center"/>
          </w:tcPr>
          <w:p>
            <w:pPr>
              <w:pStyle w:val="49"/>
              <w:keepNext w:val="0"/>
              <w:keepLines w:val="0"/>
              <w:suppressLineNumbers w:val="0"/>
              <w:spacing w:before="0" w:beforeAutospacing="0" w:after="0" w:afterAutospacing="0"/>
              <w:ind w:left="0" w:right="0"/>
              <w:rPr>
                <w:rFonts w:hint="eastAsia" w:eastAsia="宋体"/>
                <w:kern w:val="2"/>
                <w:sz w:val="21"/>
                <w:szCs w:val="21"/>
              </w:rPr>
            </w:pPr>
          </w:p>
        </w:tc>
        <w:tc>
          <w:tcPr>
            <w:tcW w:w="750" w:type="dxa"/>
            <w:vMerge w:val="continue"/>
            <w:tcMar>
              <w:top w:w="51" w:type="dxa"/>
              <w:left w:w="0" w:type="dxa"/>
              <w:bottom w:w="51" w:type="dxa"/>
              <w:right w:w="0" w:type="dxa"/>
            </w:tcMar>
            <w:vAlign w:val="center"/>
          </w:tcPr>
          <w:p>
            <w:pPr>
              <w:pStyle w:val="49"/>
              <w:keepNext w:val="0"/>
              <w:keepLines w:val="0"/>
              <w:suppressLineNumbers w:val="0"/>
              <w:spacing w:before="0" w:beforeAutospacing="0" w:after="0" w:afterAutospacing="0" w:line="240" w:lineRule="exact"/>
              <w:ind w:left="0" w:right="0"/>
              <w:rPr>
                <w:rFonts w:hint="eastAsia" w:eastAsia="宋体"/>
                <w:b/>
                <w:bCs/>
                <w:kern w:val="2"/>
                <w:sz w:val="21"/>
                <w:szCs w:val="21"/>
                <w:lang w:eastAsia="zh-CN"/>
              </w:rPr>
            </w:pPr>
          </w:p>
        </w:tc>
        <w:tc>
          <w:tcPr>
            <w:tcW w:w="737" w:type="dxa"/>
            <w:tcMar>
              <w:top w:w="51" w:type="dxa"/>
              <w:left w:w="0" w:type="dxa"/>
              <w:bottom w:w="51" w:type="dxa"/>
              <w:right w:w="0" w:type="dxa"/>
            </w:tcMar>
            <w:vAlign w:val="center"/>
          </w:tcPr>
          <w:p>
            <w:pPr>
              <w:pStyle w:val="49"/>
              <w:keepNext w:val="0"/>
              <w:keepLines w:val="0"/>
              <w:suppressLineNumbers w:val="0"/>
              <w:spacing w:before="0" w:beforeAutospacing="0" w:after="0" w:afterAutospacing="0" w:line="240" w:lineRule="exact"/>
              <w:ind w:left="0" w:right="0"/>
              <w:rPr>
                <w:rFonts w:hint="eastAsia" w:eastAsia="宋体"/>
                <w:b/>
                <w:bCs/>
                <w:kern w:val="2"/>
                <w:sz w:val="21"/>
                <w:szCs w:val="21"/>
                <w:lang w:eastAsia="zh-CN"/>
              </w:rPr>
            </w:pPr>
            <w:r>
              <w:rPr>
                <w:rFonts w:hint="eastAsia" w:eastAsia="宋体"/>
                <w:b/>
                <w:bCs/>
                <w:kern w:val="2"/>
                <w:sz w:val="21"/>
                <w:szCs w:val="21"/>
                <w:lang w:eastAsia="zh-CN"/>
              </w:rPr>
              <w:t>底层样</w:t>
            </w:r>
          </w:p>
        </w:tc>
        <w:tc>
          <w:tcPr>
            <w:tcW w:w="804" w:type="dxa"/>
            <w:tcMar>
              <w:top w:w="51" w:type="dxa"/>
              <w:left w:w="0" w:type="dxa"/>
              <w:bottom w:w="51" w:type="dxa"/>
              <w:right w:w="0" w:type="dxa"/>
            </w:tcMar>
            <w:vAlign w:val="center"/>
          </w:tcPr>
          <w:p>
            <w:pPr>
              <w:pStyle w:val="49"/>
              <w:keepNext w:val="0"/>
              <w:keepLines w:val="0"/>
              <w:suppressLineNumbers w:val="0"/>
              <w:spacing w:before="0" w:beforeAutospacing="0" w:after="0" w:afterAutospacing="0" w:line="240" w:lineRule="exact"/>
              <w:ind w:left="0" w:right="0"/>
              <w:rPr>
                <w:rFonts w:hint="eastAsia" w:eastAsia="宋体"/>
                <w:b/>
                <w:bCs/>
                <w:kern w:val="2"/>
                <w:sz w:val="21"/>
                <w:szCs w:val="21"/>
              </w:rPr>
            </w:pPr>
            <w:r>
              <w:rPr>
                <w:rFonts w:hint="eastAsia" w:eastAsia="宋体"/>
                <w:b/>
                <w:bCs/>
                <w:kern w:val="2"/>
                <w:sz w:val="21"/>
                <w:szCs w:val="21"/>
                <w:lang w:eastAsia="zh-CN"/>
              </w:rPr>
              <w:t>中层样</w:t>
            </w:r>
          </w:p>
        </w:tc>
        <w:tc>
          <w:tcPr>
            <w:tcW w:w="668" w:type="dxa"/>
            <w:tcMar>
              <w:top w:w="51" w:type="dxa"/>
              <w:left w:w="0" w:type="dxa"/>
              <w:bottom w:w="51" w:type="dxa"/>
              <w:right w:w="0" w:type="dxa"/>
            </w:tcMar>
            <w:vAlign w:val="center"/>
          </w:tcPr>
          <w:p>
            <w:pPr>
              <w:pStyle w:val="49"/>
              <w:keepNext w:val="0"/>
              <w:keepLines w:val="0"/>
              <w:suppressLineNumbers w:val="0"/>
              <w:spacing w:before="0" w:beforeAutospacing="0" w:after="0" w:afterAutospacing="0" w:line="240" w:lineRule="exact"/>
              <w:ind w:left="0" w:right="0"/>
              <w:rPr>
                <w:rFonts w:hint="eastAsia" w:eastAsia="宋体"/>
                <w:b/>
                <w:bCs/>
                <w:kern w:val="2"/>
                <w:sz w:val="21"/>
                <w:szCs w:val="21"/>
              </w:rPr>
            </w:pPr>
            <w:r>
              <w:rPr>
                <w:rFonts w:hint="eastAsia" w:eastAsia="宋体"/>
                <w:b/>
                <w:bCs/>
                <w:kern w:val="2"/>
                <w:sz w:val="21"/>
                <w:szCs w:val="21"/>
                <w:lang w:eastAsia="zh-CN"/>
              </w:rPr>
              <w:t>上层样</w:t>
            </w:r>
          </w:p>
        </w:tc>
        <w:tc>
          <w:tcPr>
            <w:tcW w:w="737" w:type="dxa"/>
            <w:tcMar>
              <w:top w:w="51" w:type="dxa"/>
              <w:left w:w="0" w:type="dxa"/>
              <w:bottom w:w="51" w:type="dxa"/>
              <w:right w:w="0" w:type="dxa"/>
            </w:tcMar>
            <w:vAlign w:val="center"/>
          </w:tcPr>
          <w:p>
            <w:pPr>
              <w:pStyle w:val="49"/>
              <w:keepNext w:val="0"/>
              <w:keepLines w:val="0"/>
              <w:suppressLineNumbers w:val="0"/>
              <w:spacing w:before="0" w:beforeAutospacing="0" w:after="0" w:afterAutospacing="0" w:line="240" w:lineRule="exact"/>
              <w:ind w:left="0" w:right="0"/>
              <w:rPr>
                <w:rFonts w:hint="eastAsia" w:eastAsia="宋体"/>
                <w:b/>
                <w:bCs/>
                <w:kern w:val="2"/>
                <w:sz w:val="21"/>
                <w:szCs w:val="21"/>
              </w:rPr>
            </w:pPr>
            <w:r>
              <w:rPr>
                <w:rFonts w:hint="eastAsia" w:eastAsia="宋体"/>
                <w:b/>
                <w:bCs/>
                <w:kern w:val="2"/>
                <w:sz w:val="21"/>
                <w:szCs w:val="21"/>
                <w:lang w:eastAsia="zh-CN"/>
              </w:rPr>
              <w:t>底层样</w:t>
            </w:r>
          </w:p>
        </w:tc>
        <w:tc>
          <w:tcPr>
            <w:tcW w:w="695" w:type="dxa"/>
            <w:tcMar>
              <w:top w:w="51" w:type="dxa"/>
              <w:left w:w="0" w:type="dxa"/>
              <w:bottom w:w="51" w:type="dxa"/>
              <w:right w:w="0" w:type="dxa"/>
            </w:tcMar>
            <w:vAlign w:val="center"/>
          </w:tcPr>
          <w:p>
            <w:pPr>
              <w:pStyle w:val="49"/>
              <w:keepNext w:val="0"/>
              <w:keepLines w:val="0"/>
              <w:suppressLineNumbers w:val="0"/>
              <w:spacing w:before="0" w:beforeAutospacing="0" w:after="0" w:afterAutospacing="0" w:line="240" w:lineRule="exact"/>
              <w:ind w:left="0" w:right="0"/>
              <w:rPr>
                <w:rFonts w:hint="eastAsia" w:eastAsia="宋体"/>
                <w:b/>
                <w:bCs/>
                <w:kern w:val="2"/>
                <w:sz w:val="21"/>
                <w:szCs w:val="21"/>
              </w:rPr>
            </w:pPr>
            <w:r>
              <w:rPr>
                <w:rFonts w:hint="eastAsia" w:eastAsia="宋体"/>
                <w:b/>
                <w:bCs/>
                <w:kern w:val="2"/>
                <w:sz w:val="21"/>
                <w:szCs w:val="21"/>
                <w:lang w:eastAsia="zh-CN"/>
              </w:rPr>
              <w:t>中层样</w:t>
            </w:r>
          </w:p>
        </w:tc>
        <w:tc>
          <w:tcPr>
            <w:tcW w:w="682" w:type="dxa"/>
            <w:tcMar>
              <w:top w:w="51" w:type="dxa"/>
              <w:left w:w="0" w:type="dxa"/>
              <w:bottom w:w="51" w:type="dxa"/>
              <w:right w:w="0" w:type="dxa"/>
            </w:tcMar>
            <w:vAlign w:val="center"/>
          </w:tcPr>
          <w:p>
            <w:pPr>
              <w:pStyle w:val="49"/>
              <w:keepNext w:val="0"/>
              <w:keepLines w:val="0"/>
              <w:suppressLineNumbers w:val="0"/>
              <w:spacing w:before="0" w:beforeAutospacing="0" w:after="0" w:afterAutospacing="0" w:line="240" w:lineRule="exact"/>
              <w:ind w:left="0" w:right="0"/>
              <w:rPr>
                <w:rFonts w:hint="eastAsia" w:eastAsia="宋体"/>
                <w:b/>
                <w:bCs/>
                <w:kern w:val="2"/>
                <w:sz w:val="21"/>
                <w:szCs w:val="21"/>
              </w:rPr>
            </w:pPr>
            <w:r>
              <w:rPr>
                <w:rFonts w:hint="eastAsia" w:eastAsia="宋体"/>
                <w:b/>
                <w:bCs/>
                <w:kern w:val="2"/>
                <w:sz w:val="21"/>
                <w:szCs w:val="21"/>
                <w:lang w:eastAsia="zh-CN"/>
              </w:rPr>
              <w:t>上层样</w:t>
            </w:r>
          </w:p>
        </w:tc>
        <w:tc>
          <w:tcPr>
            <w:tcW w:w="723" w:type="dxa"/>
            <w:tcMar>
              <w:top w:w="51" w:type="dxa"/>
              <w:left w:w="0" w:type="dxa"/>
              <w:bottom w:w="51" w:type="dxa"/>
              <w:right w:w="0" w:type="dxa"/>
            </w:tcMar>
            <w:vAlign w:val="center"/>
          </w:tcPr>
          <w:p>
            <w:pPr>
              <w:pStyle w:val="49"/>
              <w:keepNext w:val="0"/>
              <w:keepLines w:val="0"/>
              <w:suppressLineNumbers w:val="0"/>
              <w:spacing w:before="0" w:beforeAutospacing="0" w:after="0" w:afterAutospacing="0" w:line="240" w:lineRule="exact"/>
              <w:ind w:left="0" w:right="0"/>
              <w:rPr>
                <w:rFonts w:hint="eastAsia" w:eastAsia="宋体"/>
                <w:b/>
                <w:bCs/>
                <w:kern w:val="2"/>
                <w:sz w:val="21"/>
                <w:szCs w:val="21"/>
              </w:rPr>
            </w:pPr>
            <w:r>
              <w:rPr>
                <w:rFonts w:hint="eastAsia" w:eastAsia="宋体"/>
                <w:b/>
                <w:bCs/>
                <w:kern w:val="2"/>
                <w:sz w:val="21"/>
                <w:szCs w:val="21"/>
                <w:lang w:eastAsia="zh-CN"/>
              </w:rPr>
              <w:t>底层样</w:t>
            </w:r>
          </w:p>
        </w:tc>
        <w:tc>
          <w:tcPr>
            <w:tcW w:w="681" w:type="dxa"/>
            <w:tcMar>
              <w:top w:w="51" w:type="dxa"/>
              <w:left w:w="0" w:type="dxa"/>
              <w:bottom w:w="51" w:type="dxa"/>
              <w:right w:w="0" w:type="dxa"/>
            </w:tcMar>
            <w:vAlign w:val="center"/>
          </w:tcPr>
          <w:p>
            <w:pPr>
              <w:pStyle w:val="49"/>
              <w:keepNext w:val="0"/>
              <w:keepLines w:val="0"/>
              <w:suppressLineNumbers w:val="0"/>
              <w:spacing w:before="0" w:beforeAutospacing="0" w:after="0" w:afterAutospacing="0" w:line="240" w:lineRule="exact"/>
              <w:ind w:left="0" w:right="0"/>
              <w:rPr>
                <w:rFonts w:hint="eastAsia" w:eastAsia="宋体"/>
                <w:b/>
                <w:bCs/>
                <w:kern w:val="2"/>
                <w:sz w:val="21"/>
                <w:szCs w:val="21"/>
              </w:rPr>
            </w:pPr>
            <w:r>
              <w:rPr>
                <w:rFonts w:hint="eastAsia" w:eastAsia="宋体"/>
                <w:b/>
                <w:bCs/>
                <w:kern w:val="2"/>
                <w:sz w:val="21"/>
                <w:szCs w:val="21"/>
                <w:lang w:eastAsia="zh-CN"/>
              </w:rPr>
              <w:t>中层样</w:t>
            </w:r>
          </w:p>
        </w:tc>
        <w:tc>
          <w:tcPr>
            <w:tcW w:w="723" w:type="dxa"/>
            <w:tcMar>
              <w:top w:w="51" w:type="dxa"/>
              <w:left w:w="0" w:type="dxa"/>
              <w:bottom w:w="51" w:type="dxa"/>
              <w:right w:w="0" w:type="dxa"/>
            </w:tcMar>
            <w:vAlign w:val="center"/>
          </w:tcPr>
          <w:p>
            <w:pPr>
              <w:pStyle w:val="49"/>
              <w:keepNext w:val="0"/>
              <w:keepLines w:val="0"/>
              <w:suppressLineNumbers w:val="0"/>
              <w:spacing w:before="0" w:beforeAutospacing="0" w:after="0" w:afterAutospacing="0" w:line="240" w:lineRule="exact"/>
              <w:ind w:left="0" w:right="0"/>
              <w:rPr>
                <w:rFonts w:hint="eastAsia" w:eastAsia="宋体"/>
                <w:b/>
                <w:bCs/>
                <w:kern w:val="2"/>
                <w:sz w:val="21"/>
                <w:szCs w:val="21"/>
              </w:rPr>
            </w:pPr>
            <w:r>
              <w:rPr>
                <w:rFonts w:hint="eastAsia" w:eastAsia="宋体"/>
                <w:b/>
                <w:bCs/>
                <w:kern w:val="2"/>
                <w:sz w:val="21"/>
                <w:szCs w:val="21"/>
                <w:lang w:eastAsia="zh-CN"/>
              </w:rPr>
              <w:t>上层样</w:t>
            </w:r>
          </w:p>
        </w:tc>
        <w:tc>
          <w:tcPr>
            <w:tcW w:w="955" w:type="dxa"/>
            <w:vMerge w:val="continue"/>
            <w:vAlign w:val="center"/>
          </w:tcPr>
          <w:p>
            <w:pPr>
              <w:pStyle w:val="49"/>
              <w:keepNext w:val="0"/>
              <w:keepLines w:val="0"/>
              <w:suppressLineNumbers w:val="0"/>
              <w:spacing w:before="0" w:beforeAutospacing="0" w:after="0" w:afterAutospacing="0"/>
              <w:ind w:left="0" w:right="0"/>
              <w:rPr>
                <w:rFonts w:hint="eastAsia"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1630" w:type="dxa"/>
            <w:gridSpan w:val="2"/>
            <w:tcMar>
              <w:top w:w="51" w:type="dxa"/>
              <w:left w:w="0" w:type="dxa"/>
              <w:bottom w:w="51" w:type="dxa"/>
              <w:right w:w="0" w:type="dxa"/>
            </w:tcMar>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eastAsia="zh-CN"/>
              </w:rPr>
            </w:pPr>
            <w:r>
              <w:rPr>
                <w:rFonts w:hint="eastAsia" w:eastAsia="宋体"/>
                <w:kern w:val="2"/>
                <w:sz w:val="21"/>
                <w:szCs w:val="21"/>
              </w:rPr>
              <w:t>pH</w:t>
            </w:r>
            <w:r>
              <w:rPr>
                <w:rFonts w:hint="eastAsia" w:eastAsia="宋体"/>
                <w:kern w:val="2"/>
                <w:sz w:val="21"/>
                <w:szCs w:val="21"/>
                <w:lang w:eastAsia="zh-CN"/>
              </w:rPr>
              <w:t>（无量纲）</w:t>
            </w:r>
          </w:p>
        </w:tc>
        <w:tc>
          <w:tcPr>
            <w:tcW w:w="750"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7.02</w:t>
            </w:r>
          </w:p>
        </w:tc>
        <w:tc>
          <w:tcPr>
            <w:tcW w:w="737"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6.8</w:t>
            </w:r>
          </w:p>
        </w:tc>
        <w:tc>
          <w:tcPr>
            <w:tcW w:w="804"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6.92</w:t>
            </w:r>
          </w:p>
        </w:tc>
        <w:tc>
          <w:tcPr>
            <w:tcW w:w="668"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7.14</w:t>
            </w:r>
          </w:p>
        </w:tc>
        <w:tc>
          <w:tcPr>
            <w:tcW w:w="737"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6.64</w:t>
            </w:r>
          </w:p>
        </w:tc>
        <w:tc>
          <w:tcPr>
            <w:tcW w:w="695"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6.70</w:t>
            </w:r>
          </w:p>
        </w:tc>
        <w:tc>
          <w:tcPr>
            <w:tcW w:w="682"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6.96</w:t>
            </w:r>
          </w:p>
        </w:tc>
        <w:tc>
          <w:tcPr>
            <w:tcW w:w="723"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6.86</w:t>
            </w:r>
          </w:p>
        </w:tc>
        <w:tc>
          <w:tcPr>
            <w:tcW w:w="681"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7.02</w:t>
            </w:r>
          </w:p>
        </w:tc>
        <w:tc>
          <w:tcPr>
            <w:tcW w:w="723"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7.10</w:t>
            </w:r>
          </w:p>
        </w:tc>
        <w:tc>
          <w:tcPr>
            <w:tcW w:w="955"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val="en-US" w:eastAsia="zh-CN"/>
              </w:rPr>
            </w:pPr>
            <w:r>
              <w:rPr>
                <w:rFonts w:hint="eastAsia" w:eastAsia="宋体"/>
                <w:kern w:val="2"/>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880" w:type="dxa"/>
            <w:tcMar>
              <w:top w:w="51" w:type="dxa"/>
              <w:left w:w="0" w:type="dxa"/>
              <w:bottom w:w="51" w:type="dxa"/>
              <w:right w:w="0" w:type="dxa"/>
            </w:tcMar>
            <w:vAlign w:val="center"/>
          </w:tcPr>
          <w:p>
            <w:pPr>
              <w:keepNext w:val="0"/>
              <w:keepLines w:val="0"/>
              <w:suppressLineNumbers w:val="0"/>
              <w:autoSpaceDE w:val="0"/>
              <w:autoSpaceDN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铜</w:t>
            </w:r>
          </w:p>
        </w:tc>
        <w:tc>
          <w:tcPr>
            <w:tcW w:w="750" w:type="dxa"/>
            <w:tcMar>
              <w:top w:w="51" w:type="dxa"/>
              <w:left w:w="0" w:type="dxa"/>
              <w:bottom w:w="51" w:type="dxa"/>
              <w:right w:w="0" w:type="dxa"/>
            </w:tcMar>
            <w:vAlign w:val="center"/>
          </w:tcPr>
          <w:p>
            <w:pPr>
              <w:pStyle w:val="49"/>
              <w:keepNext w:val="0"/>
              <w:keepLines w:val="0"/>
              <w:suppressLineNumbers w:val="0"/>
              <w:spacing w:before="0" w:beforeAutospacing="0" w:after="0" w:afterAutospacing="0"/>
              <w:ind w:left="0" w:right="0"/>
              <w:rPr>
                <w:rFonts w:hint="eastAsia" w:eastAsia="宋体"/>
                <w:kern w:val="2"/>
                <w:sz w:val="21"/>
                <w:szCs w:val="21"/>
              </w:rPr>
            </w:pPr>
            <w:r>
              <w:rPr>
                <w:rFonts w:hint="eastAsia" w:eastAsia="宋体"/>
                <w:kern w:val="2"/>
                <w:sz w:val="21"/>
                <w:szCs w:val="21"/>
              </w:rPr>
              <w:t>mg/kg</w:t>
            </w:r>
          </w:p>
        </w:tc>
        <w:tc>
          <w:tcPr>
            <w:tcW w:w="750"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27</w:t>
            </w:r>
          </w:p>
        </w:tc>
        <w:tc>
          <w:tcPr>
            <w:tcW w:w="737"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21</w:t>
            </w:r>
          </w:p>
        </w:tc>
        <w:tc>
          <w:tcPr>
            <w:tcW w:w="804"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21</w:t>
            </w:r>
          </w:p>
        </w:tc>
        <w:tc>
          <w:tcPr>
            <w:tcW w:w="668"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21</w:t>
            </w:r>
          </w:p>
        </w:tc>
        <w:tc>
          <w:tcPr>
            <w:tcW w:w="737"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20</w:t>
            </w:r>
          </w:p>
        </w:tc>
        <w:tc>
          <w:tcPr>
            <w:tcW w:w="695"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19</w:t>
            </w:r>
          </w:p>
        </w:tc>
        <w:tc>
          <w:tcPr>
            <w:tcW w:w="682"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19</w:t>
            </w:r>
          </w:p>
        </w:tc>
        <w:tc>
          <w:tcPr>
            <w:tcW w:w="723"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22</w:t>
            </w:r>
          </w:p>
        </w:tc>
        <w:tc>
          <w:tcPr>
            <w:tcW w:w="681"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21</w:t>
            </w:r>
          </w:p>
        </w:tc>
        <w:tc>
          <w:tcPr>
            <w:tcW w:w="723"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21</w:t>
            </w:r>
          </w:p>
        </w:tc>
        <w:tc>
          <w:tcPr>
            <w:tcW w:w="955"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val="en-US" w:eastAsia="zh-CN"/>
              </w:rPr>
            </w:pPr>
            <w:r>
              <w:rPr>
                <w:rFonts w:hint="eastAsia" w:eastAsia="宋体"/>
                <w:kern w:val="2"/>
                <w:sz w:val="21"/>
                <w:szCs w:val="21"/>
                <w:lang w:val="en-US" w:eastAsia="zh-CN"/>
              </w:rPr>
              <w:t>18000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880" w:type="dxa"/>
            <w:tcMar>
              <w:top w:w="51" w:type="dxa"/>
              <w:left w:w="0" w:type="dxa"/>
              <w:bottom w:w="51" w:type="dxa"/>
              <w:right w:w="0" w:type="dxa"/>
            </w:tcMar>
            <w:vAlign w:val="center"/>
          </w:tcPr>
          <w:p>
            <w:pPr>
              <w:keepNext w:val="0"/>
              <w:keepLines w:val="0"/>
              <w:suppressLineNumbers w:val="0"/>
              <w:autoSpaceDE w:val="0"/>
              <w:autoSpaceDN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铅</w:t>
            </w:r>
          </w:p>
        </w:tc>
        <w:tc>
          <w:tcPr>
            <w:tcW w:w="750" w:type="dxa"/>
            <w:tcMar>
              <w:top w:w="51" w:type="dxa"/>
              <w:left w:w="0" w:type="dxa"/>
              <w:bottom w:w="51" w:type="dxa"/>
              <w:right w:w="0" w:type="dxa"/>
            </w:tcMar>
            <w:vAlign w:val="center"/>
          </w:tcPr>
          <w:p>
            <w:pPr>
              <w:pStyle w:val="49"/>
              <w:keepNext w:val="0"/>
              <w:keepLines w:val="0"/>
              <w:suppressLineNumbers w:val="0"/>
              <w:spacing w:before="0" w:beforeAutospacing="0" w:after="0" w:afterAutospacing="0"/>
              <w:ind w:left="0" w:right="0"/>
              <w:rPr>
                <w:rFonts w:hint="eastAsia" w:eastAsia="宋体"/>
                <w:kern w:val="2"/>
                <w:sz w:val="21"/>
                <w:szCs w:val="21"/>
              </w:rPr>
            </w:pPr>
            <w:r>
              <w:rPr>
                <w:rFonts w:hint="eastAsia" w:eastAsia="宋体"/>
                <w:kern w:val="2"/>
                <w:sz w:val="21"/>
                <w:szCs w:val="21"/>
              </w:rPr>
              <w:t>mg/kg</w:t>
            </w:r>
          </w:p>
        </w:tc>
        <w:tc>
          <w:tcPr>
            <w:tcW w:w="750"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80</w:t>
            </w:r>
          </w:p>
        </w:tc>
        <w:tc>
          <w:tcPr>
            <w:tcW w:w="737"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44</w:t>
            </w:r>
          </w:p>
        </w:tc>
        <w:tc>
          <w:tcPr>
            <w:tcW w:w="804"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48</w:t>
            </w:r>
          </w:p>
        </w:tc>
        <w:tc>
          <w:tcPr>
            <w:tcW w:w="668"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45</w:t>
            </w:r>
          </w:p>
        </w:tc>
        <w:tc>
          <w:tcPr>
            <w:tcW w:w="737"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44</w:t>
            </w:r>
          </w:p>
        </w:tc>
        <w:tc>
          <w:tcPr>
            <w:tcW w:w="695"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55</w:t>
            </w:r>
          </w:p>
        </w:tc>
        <w:tc>
          <w:tcPr>
            <w:tcW w:w="682"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56</w:t>
            </w:r>
          </w:p>
        </w:tc>
        <w:tc>
          <w:tcPr>
            <w:tcW w:w="723"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62</w:t>
            </w:r>
          </w:p>
        </w:tc>
        <w:tc>
          <w:tcPr>
            <w:tcW w:w="681"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64</w:t>
            </w:r>
          </w:p>
        </w:tc>
        <w:tc>
          <w:tcPr>
            <w:tcW w:w="723"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65</w:t>
            </w:r>
          </w:p>
        </w:tc>
        <w:tc>
          <w:tcPr>
            <w:tcW w:w="955"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val="en-US" w:eastAsia="zh-CN"/>
              </w:rPr>
            </w:pPr>
            <w:r>
              <w:rPr>
                <w:rFonts w:hint="eastAsia" w:eastAsia="宋体"/>
                <w:kern w:val="2"/>
                <w:sz w:val="21"/>
                <w:szCs w:val="21"/>
                <w:lang w:val="en-US" w:eastAsia="zh-CN"/>
              </w:rPr>
              <w:t>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880" w:type="dxa"/>
            <w:tcMar>
              <w:top w:w="51" w:type="dxa"/>
              <w:left w:w="0" w:type="dxa"/>
              <w:bottom w:w="51" w:type="dxa"/>
              <w:right w:w="0" w:type="dxa"/>
            </w:tcMar>
            <w:vAlign w:val="center"/>
          </w:tcPr>
          <w:p>
            <w:pPr>
              <w:keepNext w:val="0"/>
              <w:keepLines w:val="0"/>
              <w:suppressLineNumbers w:val="0"/>
              <w:autoSpaceDE w:val="0"/>
              <w:autoSpaceDN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镍</w:t>
            </w:r>
          </w:p>
        </w:tc>
        <w:tc>
          <w:tcPr>
            <w:tcW w:w="750" w:type="dxa"/>
            <w:tcMar>
              <w:top w:w="51" w:type="dxa"/>
              <w:left w:w="0" w:type="dxa"/>
              <w:bottom w:w="51" w:type="dxa"/>
              <w:right w:w="0" w:type="dxa"/>
            </w:tcMar>
            <w:vAlign w:val="center"/>
          </w:tcPr>
          <w:p>
            <w:pPr>
              <w:pStyle w:val="49"/>
              <w:keepNext w:val="0"/>
              <w:keepLines w:val="0"/>
              <w:suppressLineNumbers w:val="0"/>
              <w:spacing w:before="0" w:beforeAutospacing="0" w:after="0" w:afterAutospacing="0"/>
              <w:ind w:left="0" w:right="0"/>
              <w:rPr>
                <w:rFonts w:hint="eastAsia" w:eastAsia="宋体"/>
                <w:kern w:val="2"/>
                <w:sz w:val="21"/>
                <w:szCs w:val="21"/>
              </w:rPr>
            </w:pPr>
            <w:r>
              <w:rPr>
                <w:rFonts w:hint="eastAsia" w:eastAsia="宋体"/>
                <w:kern w:val="2"/>
                <w:sz w:val="21"/>
                <w:szCs w:val="21"/>
              </w:rPr>
              <w:t>mg/kg</w:t>
            </w:r>
          </w:p>
        </w:tc>
        <w:tc>
          <w:tcPr>
            <w:tcW w:w="750"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17</w:t>
            </w:r>
          </w:p>
        </w:tc>
        <w:tc>
          <w:tcPr>
            <w:tcW w:w="737"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51</w:t>
            </w:r>
          </w:p>
        </w:tc>
        <w:tc>
          <w:tcPr>
            <w:tcW w:w="804"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52</w:t>
            </w:r>
          </w:p>
        </w:tc>
        <w:tc>
          <w:tcPr>
            <w:tcW w:w="668"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51</w:t>
            </w:r>
          </w:p>
        </w:tc>
        <w:tc>
          <w:tcPr>
            <w:tcW w:w="737"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47</w:t>
            </w:r>
          </w:p>
        </w:tc>
        <w:tc>
          <w:tcPr>
            <w:tcW w:w="695"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44</w:t>
            </w:r>
          </w:p>
        </w:tc>
        <w:tc>
          <w:tcPr>
            <w:tcW w:w="682"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44</w:t>
            </w:r>
          </w:p>
        </w:tc>
        <w:tc>
          <w:tcPr>
            <w:tcW w:w="723"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49</w:t>
            </w:r>
          </w:p>
        </w:tc>
        <w:tc>
          <w:tcPr>
            <w:tcW w:w="681"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47</w:t>
            </w:r>
          </w:p>
        </w:tc>
        <w:tc>
          <w:tcPr>
            <w:tcW w:w="723"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48</w:t>
            </w:r>
          </w:p>
        </w:tc>
        <w:tc>
          <w:tcPr>
            <w:tcW w:w="955"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val="en-US" w:eastAsia="zh-CN"/>
              </w:rPr>
            </w:pPr>
            <w:r>
              <w:rPr>
                <w:rFonts w:hint="eastAsia" w:eastAsia="宋体"/>
                <w:kern w:val="2"/>
                <w:sz w:val="21"/>
                <w:szCs w:val="21"/>
                <w:lang w:val="en-US" w:eastAsia="zh-CN"/>
              </w:rPr>
              <w:t>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880" w:type="dxa"/>
            <w:tcMar>
              <w:top w:w="51" w:type="dxa"/>
              <w:left w:w="0" w:type="dxa"/>
              <w:bottom w:w="51" w:type="dxa"/>
              <w:right w:w="0" w:type="dxa"/>
            </w:tcMar>
            <w:vAlign w:val="center"/>
          </w:tcPr>
          <w:p>
            <w:pPr>
              <w:keepNext w:val="0"/>
              <w:keepLines w:val="0"/>
              <w:suppressLineNumbers w:val="0"/>
              <w:autoSpaceDE w:val="0"/>
              <w:autoSpaceDN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镉</w:t>
            </w:r>
          </w:p>
        </w:tc>
        <w:tc>
          <w:tcPr>
            <w:tcW w:w="750" w:type="dxa"/>
            <w:tcMar>
              <w:top w:w="51" w:type="dxa"/>
              <w:left w:w="0" w:type="dxa"/>
              <w:bottom w:w="51" w:type="dxa"/>
              <w:right w:w="0" w:type="dxa"/>
            </w:tcMar>
            <w:vAlign w:val="center"/>
          </w:tcPr>
          <w:p>
            <w:pPr>
              <w:pStyle w:val="49"/>
              <w:keepNext w:val="0"/>
              <w:keepLines w:val="0"/>
              <w:suppressLineNumbers w:val="0"/>
              <w:spacing w:before="0" w:beforeAutospacing="0" w:after="0" w:afterAutospacing="0"/>
              <w:ind w:left="0" w:right="0"/>
              <w:rPr>
                <w:rFonts w:hint="eastAsia" w:eastAsia="宋体"/>
                <w:kern w:val="2"/>
                <w:sz w:val="21"/>
                <w:szCs w:val="21"/>
              </w:rPr>
            </w:pPr>
            <w:r>
              <w:rPr>
                <w:rFonts w:hint="eastAsia" w:eastAsia="宋体"/>
                <w:kern w:val="2"/>
                <w:sz w:val="21"/>
                <w:szCs w:val="21"/>
              </w:rPr>
              <w:t>mg/kg</w:t>
            </w:r>
          </w:p>
        </w:tc>
        <w:tc>
          <w:tcPr>
            <w:tcW w:w="750"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0.17</w:t>
            </w:r>
          </w:p>
        </w:tc>
        <w:tc>
          <w:tcPr>
            <w:tcW w:w="737"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0.16</w:t>
            </w:r>
          </w:p>
        </w:tc>
        <w:tc>
          <w:tcPr>
            <w:tcW w:w="804"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0.20</w:t>
            </w:r>
          </w:p>
        </w:tc>
        <w:tc>
          <w:tcPr>
            <w:tcW w:w="668"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0.22</w:t>
            </w:r>
          </w:p>
        </w:tc>
        <w:tc>
          <w:tcPr>
            <w:tcW w:w="737"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0.27</w:t>
            </w:r>
          </w:p>
        </w:tc>
        <w:tc>
          <w:tcPr>
            <w:tcW w:w="695"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0.16</w:t>
            </w:r>
          </w:p>
        </w:tc>
        <w:tc>
          <w:tcPr>
            <w:tcW w:w="682"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0.14</w:t>
            </w:r>
          </w:p>
        </w:tc>
        <w:tc>
          <w:tcPr>
            <w:tcW w:w="723"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0.19</w:t>
            </w:r>
          </w:p>
        </w:tc>
        <w:tc>
          <w:tcPr>
            <w:tcW w:w="681"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0.24</w:t>
            </w:r>
          </w:p>
        </w:tc>
        <w:tc>
          <w:tcPr>
            <w:tcW w:w="723"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0.16</w:t>
            </w:r>
          </w:p>
        </w:tc>
        <w:tc>
          <w:tcPr>
            <w:tcW w:w="955"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val="en-US" w:eastAsia="zh-CN"/>
              </w:rPr>
            </w:pPr>
            <w:r>
              <w:rPr>
                <w:rFonts w:hint="eastAsia" w:eastAsia="宋体"/>
                <w:kern w:val="2"/>
                <w:sz w:val="21"/>
                <w:szCs w:val="21"/>
                <w:lang w:val="en-US" w:eastAsia="zh-CN"/>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880" w:type="dxa"/>
            <w:tcMar>
              <w:top w:w="51" w:type="dxa"/>
              <w:left w:w="0" w:type="dxa"/>
              <w:bottom w:w="51" w:type="dxa"/>
              <w:right w:w="0" w:type="dxa"/>
            </w:tcMar>
            <w:vAlign w:val="center"/>
          </w:tcPr>
          <w:p>
            <w:pPr>
              <w:keepNext w:val="0"/>
              <w:keepLines w:val="0"/>
              <w:suppressLineNumbers w:val="0"/>
              <w:autoSpaceDE w:val="0"/>
              <w:autoSpaceDN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砷</w:t>
            </w:r>
          </w:p>
        </w:tc>
        <w:tc>
          <w:tcPr>
            <w:tcW w:w="750" w:type="dxa"/>
            <w:tcMar>
              <w:top w:w="51" w:type="dxa"/>
              <w:left w:w="0" w:type="dxa"/>
              <w:bottom w:w="51" w:type="dxa"/>
              <w:right w:w="0" w:type="dxa"/>
            </w:tcMar>
            <w:vAlign w:val="center"/>
          </w:tcPr>
          <w:p>
            <w:pPr>
              <w:pStyle w:val="49"/>
              <w:keepNext w:val="0"/>
              <w:keepLines w:val="0"/>
              <w:suppressLineNumbers w:val="0"/>
              <w:spacing w:before="0" w:beforeAutospacing="0" w:after="0" w:afterAutospacing="0"/>
              <w:ind w:left="0" w:right="0"/>
              <w:rPr>
                <w:rFonts w:hint="eastAsia" w:eastAsia="宋体"/>
                <w:kern w:val="2"/>
                <w:sz w:val="21"/>
                <w:szCs w:val="21"/>
              </w:rPr>
            </w:pPr>
            <w:r>
              <w:rPr>
                <w:rFonts w:hint="eastAsia" w:eastAsia="宋体"/>
                <w:kern w:val="2"/>
                <w:sz w:val="21"/>
                <w:szCs w:val="21"/>
              </w:rPr>
              <w:t>mg/kg</w:t>
            </w:r>
          </w:p>
        </w:tc>
        <w:tc>
          <w:tcPr>
            <w:tcW w:w="750"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2.85</w:t>
            </w:r>
          </w:p>
        </w:tc>
        <w:tc>
          <w:tcPr>
            <w:tcW w:w="737"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0.99</w:t>
            </w:r>
          </w:p>
        </w:tc>
        <w:tc>
          <w:tcPr>
            <w:tcW w:w="804"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1.04</w:t>
            </w:r>
          </w:p>
        </w:tc>
        <w:tc>
          <w:tcPr>
            <w:tcW w:w="668"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1.07</w:t>
            </w:r>
          </w:p>
        </w:tc>
        <w:tc>
          <w:tcPr>
            <w:tcW w:w="737"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1.01</w:t>
            </w:r>
          </w:p>
        </w:tc>
        <w:tc>
          <w:tcPr>
            <w:tcW w:w="695"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1.05</w:t>
            </w:r>
          </w:p>
        </w:tc>
        <w:tc>
          <w:tcPr>
            <w:tcW w:w="682"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1.00</w:t>
            </w:r>
          </w:p>
        </w:tc>
        <w:tc>
          <w:tcPr>
            <w:tcW w:w="723"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1.07</w:t>
            </w:r>
          </w:p>
        </w:tc>
        <w:tc>
          <w:tcPr>
            <w:tcW w:w="681"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1.10</w:t>
            </w:r>
          </w:p>
        </w:tc>
        <w:tc>
          <w:tcPr>
            <w:tcW w:w="723"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0.85</w:t>
            </w:r>
          </w:p>
        </w:tc>
        <w:tc>
          <w:tcPr>
            <w:tcW w:w="955"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val="en-US" w:eastAsia="zh-CN"/>
              </w:rPr>
            </w:pPr>
            <w:r>
              <w:rPr>
                <w:rFonts w:hint="eastAsia" w:eastAsia="宋体"/>
                <w:kern w:val="2"/>
                <w:sz w:val="21"/>
                <w:szCs w:val="21"/>
                <w:lang w:val="en-US" w:eastAsia="zh-CN"/>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880" w:type="dxa"/>
            <w:tcMar>
              <w:top w:w="51" w:type="dxa"/>
              <w:left w:w="0" w:type="dxa"/>
              <w:bottom w:w="51" w:type="dxa"/>
              <w:right w:w="0" w:type="dxa"/>
            </w:tcMar>
            <w:vAlign w:val="center"/>
          </w:tcPr>
          <w:p>
            <w:pPr>
              <w:keepNext w:val="0"/>
              <w:keepLines w:val="0"/>
              <w:suppressLineNumbers w:val="0"/>
              <w:autoSpaceDE w:val="0"/>
              <w:autoSpaceDN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汞</w:t>
            </w:r>
          </w:p>
        </w:tc>
        <w:tc>
          <w:tcPr>
            <w:tcW w:w="750" w:type="dxa"/>
            <w:tcMar>
              <w:top w:w="51" w:type="dxa"/>
              <w:left w:w="0" w:type="dxa"/>
              <w:bottom w:w="51" w:type="dxa"/>
              <w:right w:w="0" w:type="dxa"/>
            </w:tcMar>
            <w:vAlign w:val="center"/>
          </w:tcPr>
          <w:p>
            <w:pPr>
              <w:pStyle w:val="49"/>
              <w:keepNext w:val="0"/>
              <w:keepLines w:val="0"/>
              <w:suppressLineNumbers w:val="0"/>
              <w:spacing w:before="0" w:beforeAutospacing="0" w:after="0" w:afterAutospacing="0"/>
              <w:ind w:left="0" w:right="0"/>
              <w:rPr>
                <w:rFonts w:hint="eastAsia" w:eastAsia="宋体"/>
                <w:kern w:val="2"/>
                <w:sz w:val="21"/>
                <w:szCs w:val="21"/>
              </w:rPr>
            </w:pPr>
            <w:r>
              <w:rPr>
                <w:rFonts w:hint="eastAsia" w:eastAsia="宋体"/>
                <w:kern w:val="2"/>
                <w:sz w:val="21"/>
                <w:szCs w:val="21"/>
              </w:rPr>
              <w:t>mg/kg</w:t>
            </w:r>
          </w:p>
        </w:tc>
        <w:tc>
          <w:tcPr>
            <w:tcW w:w="750"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0.453</w:t>
            </w:r>
          </w:p>
        </w:tc>
        <w:tc>
          <w:tcPr>
            <w:tcW w:w="737"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0.324</w:t>
            </w:r>
          </w:p>
        </w:tc>
        <w:tc>
          <w:tcPr>
            <w:tcW w:w="804"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0.295</w:t>
            </w:r>
          </w:p>
        </w:tc>
        <w:tc>
          <w:tcPr>
            <w:tcW w:w="668"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0.323</w:t>
            </w:r>
          </w:p>
        </w:tc>
        <w:tc>
          <w:tcPr>
            <w:tcW w:w="737"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0.236</w:t>
            </w:r>
          </w:p>
        </w:tc>
        <w:tc>
          <w:tcPr>
            <w:tcW w:w="695"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0.342</w:t>
            </w:r>
          </w:p>
        </w:tc>
        <w:tc>
          <w:tcPr>
            <w:tcW w:w="682"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0.338</w:t>
            </w:r>
          </w:p>
        </w:tc>
        <w:tc>
          <w:tcPr>
            <w:tcW w:w="723"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0.294</w:t>
            </w:r>
          </w:p>
        </w:tc>
        <w:tc>
          <w:tcPr>
            <w:tcW w:w="681"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0.287</w:t>
            </w:r>
          </w:p>
        </w:tc>
        <w:tc>
          <w:tcPr>
            <w:tcW w:w="723" w:type="dxa"/>
            <w:tcMar>
              <w:top w:w="51" w:type="dxa"/>
              <w:left w:w="0" w:type="dxa"/>
              <w:bottom w:w="51"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0.256</w:t>
            </w:r>
          </w:p>
        </w:tc>
        <w:tc>
          <w:tcPr>
            <w:tcW w:w="955"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val="en-US" w:eastAsia="zh-CN"/>
              </w:rPr>
            </w:pPr>
            <w:r>
              <w:rPr>
                <w:rFonts w:hint="eastAsia" w:eastAsia="宋体"/>
                <w:kern w:val="2"/>
                <w:sz w:val="21"/>
                <w:szCs w:val="21"/>
                <w:lang w:val="en-US" w:eastAsia="zh-CN"/>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880" w:type="dxa"/>
            <w:tcMar>
              <w:top w:w="51" w:type="dxa"/>
              <w:left w:w="0" w:type="dxa"/>
              <w:bottom w:w="51" w:type="dxa"/>
              <w:right w:w="0" w:type="dxa"/>
            </w:tcMar>
            <w:vAlign w:val="center"/>
          </w:tcPr>
          <w:p>
            <w:pPr>
              <w:keepNext w:val="0"/>
              <w:keepLines w:val="0"/>
              <w:suppressLineNumbers w:val="0"/>
              <w:autoSpaceDE w:val="0"/>
              <w:autoSpaceDN w:val="0"/>
              <w:spacing w:before="0" w:beforeAutospacing="0" w:after="0" w:afterAutospacing="0" w:line="260" w:lineRule="exact"/>
              <w:ind w:left="0" w:right="0"/>
              <w:jc w:val="center"/>
              <w:rPr>
                <w:rFonts w:hint="eastAsia" w:hAnsi="Times New Roman" w:eastAsia="宋体"/>
                <w:kern w:val="2"/>
                <w:sz w:val="21"/>
                <w:szCs w:val="21"/>
                <w:lang w:val="zh-CN" w:eastAsia="zh-CN"/>
              </w:rPr>
            </w:pPr>
            <w:r>
              <w:rPr>
                <w:rFonts w:hint="eastAsia" w:hAnsi="Times New Roman" w:eastAsia="宋体"/>
                <w:kern w:val="2"/>
                <w:sz w:val="21"/>
                <w:szCs w:val="21"/>
              </w:rPr>
              <w:t>铬（六价）</w:t>
            </w:r>
          </w:p>
        </w:tc>
        <w:tc>
          <w:tcPr>
            <w:tcW w:w="750" w:type="dxa"/>
            <w:tcMar>
              <w:top w:w="51" w:type="dxa"/>
              <w:left w:w="0" w:type="dxa"/>
              <w:bottom w:w="51" w:type="dxa"/>
              <w:right w:w="0" w:type="dxa"/>
            </w:tcMar>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eastAsia="zh-CN"/>
              </w:rPr>
            </w:pPr>
            <w:r>
              <w:rPr>
                <w:rFonts w:hint="eastAsia" w:eastAsia="宋体"/>
                <w:kern w:val="2"/>
                <w:sz w:val="21"/>
                <w:szCs w:val="21"/>
              </w:rPr>
              <w:t>mg/kg</w:t>
            </w:r>
          </w:p>
        </w:tc>
        <w:tc>
          <w:tcPr>
            <w:tcW w:w="750"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ND</w:t>
            </w:r>
          </w:p>
        </w:tc>
        <w:tc>
          <w:tcPr>
            <w:tcW w:w="737"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ND</w:t>
            </w:r>
          </w:p>
        </w:tc>
        <w:tc>
          <w:tcPr>
            <w:tcW w:w="804"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ND</w:t>
            </w:r>
          </w:p>
        </w:tc>
        <w:tc>
          <w:tcPr>
            <w:tcW w:w="668"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ND</w:t>
            </w:r>
          </w:p>
        </w:tc>
        <w:tc>
          <w:tcPr>
            <w:tcW w:w="737"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95"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2"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ND</w:t>
            </w:r>
          </w:p>
        </w:tc>
        <w:tc>
          <w:tcPr>
            <w:tcW w:w="723"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1"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ND</w:t>
            </w:r>
          </w:p>
        </w:tc>
        <w:tc>
          <w:tcPr>
            <w:tcW w:w="723"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ND</w:t>
            </w:r>
          </w:p>
        </w:tc>
        <w:tc>
          <w:tcPr>
            <w:tcW w:w="955"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val="en-US" w:eastAsia="zh-CN"/>
              </w:rPr>
            </w:pPr>
            <w:r>
              <w:rPr>
                <w:rFonts w:hint="eastAsia" w:eastAsia="宋体"/>
                <w:kern w:val="2"/>
                <w:sz w:val="21"/>
                <w:szCs w:val="21"/>
                <w:lang w:val="en-US" w:eastAsia="zh-CN"/>
              </w:rPr>
              <w:t>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880" w:type="dxa"/>
            <w:tcMar>
              <w:top w:w="51" w:type="dxa"/>
              <w:left w:w="0" w:type="dxa"/>
              <w:bottom w:w="51" w:type="dxa"/>
              <w:right w:w="0" w:type="dxa"/>
            </w:tcMar>
            <w:vAlign w:val="center"/>
          </w:tcPr>
          <w:p>
            <w:pPr>
              <w:keepNext w:val="0"/>
              <w:keepLines w:val="0"/>
              <w:suppressLineNumbers w:val="0"/>
              <w:autoSpaceDE w:val="0"/>
              <w:autoSpaceDN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石油烃</w:t>
            </w:r>
          </w:p>
        </w:tc>
        <w:tc>
          <w:tcPr>
            <w:tcW w:w="750" w:type="dxa"/>
            <w:tcMar>
              <w:top w:w="51" w:type="dxa"/>
              <w:left w:w="0" w:type="dxa"/>
              <w:bottom w:w="51" w:type="dxa"/>
              <w:right w:w="0" w:type="dxa"/>
            </w:tcMar>
            <w:vAlign w:val="center"/>
          </w:tcPr>
          <w:p>
            <w:pPr>
              <w:pStyle w:val="49"/>
              <w:keepNext w:val="0"/>
              <w:keepLines w:val="0"/>
              <w:suppressLineNumbers w:val="0"/>
              <w:spacing w:before="0" w:beforeAutospacing="0" w:after="0" w:afterAutospacing="0"/>
              <w:ind w:left="0" w:right="0"/>
              <w:rPr>
                <w:rFonts w:hint="eastAsia" w:eastAsia="宋体"/>
                <w:kern w:val="2"/>
                <w:sz w:val="21"/>
                <w:szCs w:val="21"/>
              </w:rPr>
            </w:pPr>
            <w:r>
              <w:rPr>
                <w:rFonts w:hint="eastAsia" w:eastAsia="宋体"/>
                <w:kern w:val="2"/>
                <w:sz w:val="21"/>
                <w:szCs w:val="21"/>
              </w:rPr>
              <w:t>mg/kg</w:t>
            </w:r>
          </w:p>
        </w:tc>
        <w:tc>
          <w:tcPr>
            <w:tcW w:w="750"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ND</w:t>
            </w:r>
          </w:p>
        </w:tc>
        <w:tc>
          <w:tcPr>
            <w:tcW w:w="737"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ND</w:t>
            </w:r>
          </w:p>
        </w:tc>
        <w:tc>
          <w:tcPr>
            <w:tcW w:w="804"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68"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95"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2"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1"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955"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val="en-US" w:eastAsia="zh-CN"/>
              </w:rPr>
            </w:pPr>
            <w:r>
              <w:rPr>
                <w:rFonts w:hint="eastAsia" w:eastAsia="宋体"/>
                <w:kern w:val="2"/>
                <w:sz w:val="21"/>
                <w:szCs w:val="21"/>
                <w:lang w:val="en-US" w:eastAsia="zh-CN"/>
              </w:rPr>
              <w:t>45000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880" w:type="dxa"/>
            <w:tcMar>
              <w:top w:w="51" w:type="dxa"/>
              <w:left w:w="0" w:type="dxa"/>
              <w:bottom w:w="51" w:type="dxa"/>
              <w:right w:w="0" w:type="dxa"/>
            </w:tcMar>
            <w:vAlign w:val="center"/>
          </w:tcPr>
          <w:p>
            <w:pPr>
              <w:keepNext w:val="0"/>
              <w:keepLines w:val="0"/>
              <w:suppressLineNumbers w:val="0"/>
              <w:autoSpaceDE w:val="0"/>
              <w:autoSpaceDN w:val="0"/>
              <w:spacing w:before="0" w:beforeAutospacing="0" w:after="0" w:afterAutospacing="0" w:line="260" w:lineRule="exact"/>
              <w:ind w:left="0" w:right="0"/>
              <w:jc w:val="center"/>
              <w:rPr>
                <w:rFonts w:hint="eastAsia" w:hAnsi="Times New Roman" w:eastAsia="宋体"/>
                <w:kern w:val="2"/>
                <w:sz w:val="21"/>
                <w:szCs w:val="21"/>
                <w:lang w:val="zh-CN" w:eastAsia="zh-CN"/>
              </w:rPr>
            </w:pPr>
            <w:r>
              <w:rPr>
                <w:rFonts w:hint="eastAsia" w:hAnsi="Times New Roman" w:eastAsia="宋体"/>
                <w:kern w:val="2"/>
                <w:sz w:val="21"/>
                <w:szCs w:val="21"/>
              </w:rPr>
              <w:t>四氯化碳</w:t>
            </w:r>
          </w:p>
        </w:tc>
        <w:tc>
          <w:tcPr>
            <w:tcW w:w="750" w:type="dxa"/>
            <w:tcMar>
              <w:top w:w="51" w:type="dxa"/>
              <w:left w:w="0" w:type="dxa"/>
              <w:bottom w:w="51" w:type="dxa"/>
              <w:right w:w="0" w:type="dxa"/>
            </w:tcMar>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eastAsia="zh-CN"/>
              </w:rPr>
            </w:pPr>
            <w:r>
              <w:rPr>
                <w:rFonts w:hint="eastAsia" w:eastAsia="宋体"/>
                <w:kern w:val="2"/>
                <w:sz w:val="21"/>
                <w:szCs w:val="21"/>
              </w:rPr>
              <w:t>mg/kg</w:t>
            </w:r>
          </w:p>
        </w:tc>
        <w:tc>
          <w:tcPr>
            <w:tcW w:w="750"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ND</w:t>
            </w:r>
          </w:p>
        </w:tc>
        <w:tc>
          <w:tcPr>
            <w:tcW w:w="804"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68"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95"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2"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1"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955"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val="en-US" w:eastAsia="zh-CN"/>
              </w:rPr>
            </w:pPr>
            <w:r>
              <w:rPr>
                <w:rFonts w:hint="eastAsia" w:eastAsia="宋体"/>
                <w:kern w:val="2"/>
                <w:sz w:val="21"/>
                <w:szCs w:val="21"/>
                <w:lang w:val="en-US" w:eastAsia="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880" w:type="dxa"/>
            <w:tcMar>
              <w:top w:w="51" w:type="dxa"/>
              <w:left w:w="0" w:type="dxa"/>
              <w:bottom w:w="51" w:type="dxa"/>
              <w:right w:w="0" w:type="dxa"/>
            </w:tcMar>
            <w:vAlign w:val="center"/>
          </w:tcPr>
          <w:p>
            <w:pPr>
              <w:keepNext w:val="0"/>
              <w:keepLines w:val="0"/>
              <w:suppressLineNumbers w:val="0"/>
              <w:autoSpaceDE w:val="0"/>
              <w:autoSpaceDN w:val="0"/>
              <w:spacing w:before="0" w:beforeAutospacing="0" w:after="0" w:afterAutospacing="0" w:line="260" w:lineRule="exact"/>
              <w:ind w:left="0" w:right="0"/>
              <w:jc w:val="center"/>
              <w:rPr>
                <w:rFonts w:hint="eastAsia" w:hAnsi="Times New Roman" w:eastAsia="宋体"/>
                <w:kern w:val="2"/>
                <w:sz w:val="21"/>
                <w:szCs w:val="21"/>
                <w:lang w:val="zh-CN" w:eastAsia="zh-CN"/>
              </w:rPr>
            </w:pPr>
            <w:r>
              <w:rPr>
                <w:rFonts w:hint="eastAsia" w:hAnsi="Times New Roman" w:eastAsia="宋体"/>
                <w:kern w:val="2"/>
                <w:sz w:val="21"/>
                <w:szCs w:val="21"/>
              </w:rPr>
              <w:t>氯仿</w:t>
            </w:r>
          </w:p>
        </w:tc>
        <w:tc>
          <w:tcPr>
            <w:tcW w:w="750" w:type="dxa"/>
            <w:tcMar>
              <w:top w:w="51" w:type="dxa"/>
              <w:left w:w="0" w:type="dxa"/>
              <w:bottom w:w="51" w:type="dxa"/>
              <w:right w:w="0" w:type="dxa"/>
            </w:tcMar>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eastAsia="zh-CN"/>
              </w:rPr>
            </w:pPr>
            <w:r>
              <w:rPr>
                <w:rFonts w:hint="eastAsia" w:eastAsia="宋体"/>
                <w:kern w:val="2"/>
                <w:sz w:val="21"/>
                <w:szCs w:val="21"/>
              </w:rPr>
              <w:t>mg/kg</w:t>
            </w:r>
          </w:p>
        </w:tc>
        <w:tc>
          <w:tcPr>
            <w:tcW w:w="750"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ND</w:t>
            </w:r>
          </w:p>
        </w:tc>
        <w:tc>
          <w:tcPr>
            <w:tcW w:w="804"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68"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95"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2"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1"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955"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val="en-US" w:eastAsia="zh-CN"/>
              </w:rPr>
            </w:pPr>
            <w:r>
              <w:rPr>
                <w:rFonts w:hint="eastAsia" w:eastAsia="宋体"/>
                <w:kern w:val="2"/>
                <w:sz w:val="21"/>
                <w:szCs w:val="21"/>
                <w:lang w:val="en-US" w:eastAsia="zh-CN"/>
              </w:rPr>
              <w:t>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880" w:type="dxa"/>
            <w:tcMar>
              <w:top w:w="51" w:type="dxa"/>
              <w:left w:w="0" w:type="dxa"/>
              <w:bottom w:w="51" w:type="dxa"/>
              <w:right w:w="0" w:type="dxa"/>
            </w:tcMar>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rPr>
              <w:t>1,1-二氯乙烷</w:t>
            </w:r>
          </w:p>
        </w:tc>
        <w:tc>
          <w:tcPr>
            <w:tcW w:w="750" w:type="dxa"/>
            <w:tcMar>
              <w:top w:w="51" w:type="dxa"/>
              <w:left w:w="0" w:type="dxa"/>
              <w:bottom w:w="51" w:type="dxa"/>
              <w:right w:w="0" w:type="dxa"/>
            </w:tcMar>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eastAsia="zh-CN"/>
              </w:rPr>
            </w:pPr>
            <w:r>
              <w:rPr>
                <w:rFonts w:hint="eastAsia" w:eastAsia="宋体"/>
                <w:kern w:val="2"/>
                <w:sz w:val="21"/>
                <w:szCs w:val="21"/>
              </w:rPr>
              <w:t>mg/kg</w:t>
            </w:r>
          </w:p>
        </w:tc>
        <w:tc>
          <w:tcPr>
            <w:tcW w:w="750"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ND</w:t>
            </w:r>
          </w:p>
        </w:tc>
        <w:tc>
          <w:tcPr>
            <w:tcW w:w="804"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68"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95"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2"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1"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955"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val="en-US" w:eastAsia="zh-CN"/>
              </w:rPr>
            </w:pPr>
            <w:r>
              <w:rPr>
                <w:rFonts w:hint="eastAsia" w:eastAsia="宋体"/>
                <w:kern w:val="2"/>
                <w:sz w:val="21"/>
                <w:szCs w:val="21"/>
                <w:lang w:val="en-US" w:eastAsia="zh-CN"/>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880" w:type="dxa"/>
            <w:tcMar>
              <w:top w:w="51" w:type="dxa"/>
              <w:left w:w="0" w:type="dxa"/>
              <w:bottom w:w="51" w:type="dxa"/>
              <w:right w:w="0" w:type="dxa"/>
            </w:tcMar>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rPr>
              <w:t>1,2-二氯乙烷</w:t>
            </w:r>
          </w:p>
        </w:tc>
        <w:tc>
          <w:tcPr>
            <w:tcW w:w="750" w:type="dxa"/>
            <w:tcMar>
              <w:top w:w="51" w:type="dxa"/>
              <w:left w:w="0" w:type="dxa"/>
              <w:bottom w:w="51" w:type="dxa"/>
              <w:right w:w="0" w:type="dxa"/>
            </w:tcMar>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eastAsia="zh-CN"/>
              </w:rPr>
            </w:pPr>
            <w:r>
              <w:rPr>
                <w:rFonts w:hint="eastAsia" w:eastAsia="宋体"/>
                <w:kern w:val="2"/>
                <w:sz w:val="21"/>
                <w:szCs w:val="21"/>
              </w:rPr>
              <w:t>mg/kg</w:t>
            </w:r>
          </w:p>
        </w:tc>
        <w:tc>
          <w:tcPr>
            <w:tcW w:w="750"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ND</w:t>
            </w:r>
          </w:p>
        </w:tc>
        <w:tc>
          <w:tcPr>
            <w:tcW w:w="804"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68"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95"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2"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1"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955"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val="en-US" w:eastAsia="zh-CN"/>
              </w:rPr>
            </w:pPr>
            <w:r>
              <w:rPr>
                <w:rFonts w:hint="eastAsia" w:eastAsia="宋体"/>
                <w:kern w:val="2"/>
                <w:sz w:val="21"/>
                <w:szCs w:val="21"/>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880" w:type="dxa"/>
            <w:tcMar>
              <w:top w:w="51" w:type="dxa"/>
              <w:left w:w="0" w:type="dxa"/>
              <w:bottom w:w="51" w:type="dxa"/>
              <w:right w:w="0" w:type="dxa"/>
            </w:tcMar>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rPr>
              <w:t>1,1-二氯乙烯</w:t>
            </w:r>
          </w:p>
        </w:tc>
        <w:tc>
          <w:tcPr>
            <w:tcW w:w="750" w:type="dxa"/>
            <w:tcMar>
              <w:top w:w="51" w:type="dxa"/>
              <w:left w:w="0" w:type="dxa"/>
              <w:bottom w:w="51" w:type="dxa"/>
              <w:right w:w="0" w:type="dxa"/>
            </w:tcMar>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eastAsia="zh-CN"/>
              </w:rPr>
            </w:pPr>
            <w:r>
              <w:rPr>
                <w:rFonts w:hint="eastAsia" w:eastAsia="宋体"/>
                <w:kern w:val="2"/>
                <w:sz w:val="21"/>
                <w:szCs w:val="21"/>
              </w:rPr>
              <w:t>mg/kg</w:t>
            </w:r>
          </w:p>
        </w:tc>
        <w:tc>
          <w:tcPr>
            <w:tcW w:w="750"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ND</w:t>
            </w:r>
          </w:p>
        </w:tc>
        <w:tc>
          <w:tcPr>
            <w:tcW w:w="804"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68"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95"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2"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1"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955"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val="en-US" w:eastAsia="zh-CN"/>
              </w:rPr>
            </w:pPr>
            <w:r>
              <w:rPr>
                <w:rFonts w:hint="eastAsia" w:eastAsia="宋体"/>
                <w:kern w:val="2"/>
                <w:sz w:val="21"/>
                <w:szCs w:val="21"/>
                <w:lang w:val="en-US" w:eastAsia="zh-CN"/>
              </w:rPr>
              <w:t>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880" w:type="dxa"/>
            <w:tcMar>
              <w:top w:w="51" w:type="dxa"/>
              <w:left w:w="0" w:type="dxa"/>
              <w:bottom w:w="51" w:type="dxa"/>
              <w:right w:w="0" w:type="dxa"/>
            </w:tcMar>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rPr>
              <w:t>顺-1,2-二氯乙烯</w:t>
            </w:r>
          </w:p>
        </w:tc>
        <w:tc>
          <w:tcPr>
            <w:tcW w:w="750" w:type="dxa"/>
            <w:tcMar>
              <w:top w:w="51" w:type="dxa"/>
              <w:left w:w="0" w:type="dxa"/>
              <w:bottom w:w="51" w:type="dxa"/>
              <w:right w:w="0" w:type="dxa"/>
            </w:tcMar>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eastAsia="zh-CN"/>
              </w:rPr>
            </w:pPr>
            <w:r>
              <w:rPr>
                <w:rFonts w:hint="eastAsia" w:eastAsia="宋体"/>
                <w:kern w:val="2"/>
                <w:sz w:val="21"/>
                <w:szCs w:val="21"/>
              </w:rPr>
              <w:t>mg/kg</w:t>
            </w:r>
          </w:p>
        </w:tc>
        <w:tc>
          <w:tcPr>
            <w:tcW w:w="750"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ND</w:t>
            </w:r>
          </w:p>
        </w:tc>
        <w:tc>
          <w:tcPr>
            <w:tcW w:w="804"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68"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95"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2"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1"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955"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val="en-US" w:eastAsia="zh-CN"/>
              </w:rPr>
            </w:pPr>
            <w:r>
              <w:rPr>
                <w:rFonts w:hint="eastAsia" w:eastAsia="宋体"/>
                <w:kern w:val="2"/>
                <w:sz w:val="21"/>
                <w:szCs w:val="21"/>
                <w:lang w:val="en-US" w:eastAsia="zh-CN"/>
              </w:rPr>
              <w:t>596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880" w:type="dxa"/>
            <w:tcMar>
              <w:top w:w="51" w:type="dxa"/>
              <w:left w:w="0" w:type="dxa"/>
              <w:bottom w:w="51" w:type="dxa"/>
              <w:right w:w="0" w:type="dxa"/>
            </w:tcMar>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rPr>
              <w:t>反-1,2-二氯乙烯</w:t>
            </w:r>
          </w:p>
        </w:tc>
        <w:tc>
          <w:tcPr>
            <w:tcW w:w="750" w:type="dxa"/>
            <w:tcMar>
              <w:top w:w="51" w:type="dxa"/>
              <w:left w:w="0" w:type="dxa"/>
              <w:bottom w:w="51" w:type="dxa"/>
              <w:right w:w="0" w:type="dxa"/>
            </w:tcMar>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eastAsia="zh-CN"/>
              </w:rPr>
            </w:pPr>
            <w:r>
              <w:rPr>
                <w:rFonts w:hint="eastAsia" w:eastAsia="宋体"/>
                <w:kern w:val="2"/>
                <w:sz w:val="21"/>
                <w:szCs w:val="21"/>
              </w:rPr>
              <w:t>mg/kg</w:t>
            </w:r>
          </w:p>
        </w:tc>
        <w:tc>
          <w:tcPr>
            <w:tcW w:w="750"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ND</w:t>
            </w:r>
          </w:p>
        </w:tc>
        <w:tc>
          <w:tcPr>
            <w:tcW w:w="804"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68"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95"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2"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1"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955"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val="en-US" w:eastAsia="zh-CN"/>
              </w:rPr>
            </w:pPr>
            <w:r>
              <w:rPr>
                <w:rFonts w:hint="eastAsia" w:eastAsia="宋体"/>
                <w:kern w:val="2"/>
                <w:sz w:val="21"/>
                <w:szCs w:val="21"/>
                <w:lang w:val="en-US" w:eastAsia="zh-CN"/>
              </w:rPr>
              <w:t>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880" w:type="dxa"/>
            <w:tcMar>
              <w:top w:w="51" w:type="dxa"/>
              <w:left w:w="0" w:type="dxa"/>
              <w:bottom w:w="51" w:type="dxa"/>
              <w:right w:w="0" w:type="dxa"/>
            </w:tcMar>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rPr>
              <w:t>二氯甲烷</w:t>
            </w:r>
          </w:p>
        </w:tc>
        <w:tc>
          <w:tcPr>
            <w:tcW w:w="750" w:type="dxa"/>
            <w:tcMar>
              <w:top w:w="51" w:type="dxa"/>
              <w:left w:w="0" w:type="dxa"/>
              <w:bottom w:w="51" w:type="dxa"/>
              <w:right w:w="0" w:type="dxa"/>
            </w:tcMar>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eastAsia="zh-CN"/>
              </w:rPr>
            </w:pPr>
            <w:r>
              <w:rPr>
                <w:rFonts w:hint="eastAsia" w:eastAsia="宋体"/>
                <w:kern w:val="2"/>
                <w:sz w:val="21"/>
                <w:szCs w:val="21"/>
              </w:rPr>
              <w:t>mg/kg</w:t>
            </w:r>
          </w:p>
        </w:tc>
        <w:tc>
          <w:tcPr>
            <w:tcW w:w="750"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ND</w:t>
            </w:r>
          </w:p>
        </w:tc>
        <w:tc>
          <w:tcPr>
            <w:tcW w:w="804"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68"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95"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2"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1"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955"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val="en-US" w:eastAsia="zh-CN"/>
              </w:rPr>
            </w:pPr>
            <w:r>
              <w:rPr>
                <w:rFonts w:hint="eastAsia" w:eastAsia="宋体"/>
                <w:kern w:val="2"/>
                <w:sz w:val="21"/>
                <w:szCs w:val="21"/>
                <w:lang w:val="en-US" w:eastAsia="zh-CN"/>
              </w:rPr>
              <w:t>616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880" w:type="dxa"/>
            <w:tcMar>
              <w:top w:w="51" w:type="dxa"/>
              <w:left w:w="0" w:type="dxa"/>
              <w:bottom w:w="51" w:type="dxa"/>
              <w:right w:w="0" w:type="dxa"/>
            </w:tcMar>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rPr>
              <w:t>1,2-二氯丙烷</w:t>
            </w:r>
          </w:p>
        </w:tc>
        <w:tc>
          <w:tcPr>
            <w:tcW w:w="750" w:type="dxa"/>
            <w:tcMar>
              <w:top w:w="51" w:type="dxa"/>
              <w:left w:w="0" w:type="dxa"/>
              <w:bottom w:w="51" w:type="dxa"/>
              <w:right w:w="0" w:type="dxa"/>
            </w:tcMar>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eastAsia="zh-CN"/>
              </w:rPr>
            </w:pPr>
            <w:r>
              <w:rPr>
                <w:rFonts w:hint="eastAsia" w:eastAsia="宋体"/>
                <w:kern w:val="2"/>
                <w:sz w:val="21"/>
                <w:szCs w:val="21"/>
              </w:rPr>
              <w:t>mg/kg</w:t>
            </w:r>
          </w:p>
        </w:tc>
        <w:tc>
          <w:tcPr>
            <w:tcW w:w="750"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ND</w:t>
            </w:r>
          </w:p>
        </w:tc>
        <w:tc>
          <w:tcPr>
            <w:tcW w:w="804"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68"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95"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2"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1"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955"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val="en-US" w:eastAsia="zh-CN"/>
              </w:rPr>
            </w:pPr>
            <w:r>
              <w:rPr>
                <w:rFonts w:hint="eastAsia" w:eastAsia="宋体"/>
                <w:kern w:val="2"/>
                <w:sz w:val="21"/>
                <w:szCs w:val="21"/>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880" w:type="dxa"/>
            <w:tcMar>
              <w:top w:w="51" w:type="dxa"/>
              <w:left w:w="0" w:type="dxa"/>
              <w:bottom w:w="51" w:type="dxa"/>
              <w:right w:w="0" w:type="dxa"/>
            </w:tcMar>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rPr>
              <w:t>1,1,1,2-四氯乙烷</w:t>
            </w:r>
          </w:p>
        </w:tc>
        <w:tc>
          <w:tcPr>
            <w:tcW w:w="750" w:type="dxa"/>
            <w:tcMar>
              <w:top w:w="51" w:type="dxa"/>
              <w:left w:w="0" w:type="dxa"/>
              <w:bottom w:w="51" w:type="dxa"/>
              <w:right w:w="0" w:type="dxa"/>
            </w:tcMar>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eastAsia="zh-CN"/>
              </w:rPr>
            </w:pPr>
            <w:r>
              <w:rPr>
                <w:rFonts w:hint="eastAsia" w:eastAsia="宋体"/>
                <w:kern w:val="2"/>
                <w:sz w:val="21"/>
                <w:szCs w:val="21"/>
              </w:rPr>
              <w:t>mg/kg</w:t>
            </w:r>
          </w:p>
        </w:tc>
        <w:tc>
          <w:tcPr>
            <w:tcW w:w="750"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ND</w:t>
            </w:r>
          </w:p>
        </w:tc>
        <w:tc>
          <w:tcPr>
            <w:tcW w:w="804"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68"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95"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2"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1"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955"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val="en-US" w:eastAsia="zh-CN"/>
              </w:rPr>
            </w:pPr>
            <w:r>
              <w:rPr>
                <w:rFonts w:hint="eastAsia" w:eastAsia="宋体"/>
                <w:kern w:val="2"/>
                <w:sz w:val="21"/>
                <w:szCs w:val="21"/>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880" w:type="dxa"/>
            <w:tcMar>
              <w:top w:w="51" w:type="dxa"/>
              <w:left w:w="0" w:type="dxa"/>
              <w:bottom w:w="51" w:type="dxa"/>
              <w:right w:w="0" w:type="dxa"/>
            </w:tcMar>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rPr>
              <w:t>1,1,2,2-四氯乙烷</w:t>
            </w:r>
          </w:p>
        </w:tc>
        <w:tc>
          <w:tcPr>
            <w:tcW w:w="750" w:type="dxa"/>
            <w:tcMar>
              <w:top w:w="51" w:type="dxa"/>
              <w:left w:w="0" w:type="dxa"/>
              <w:bottom w:w="51" w:type="dxa"/>
              <w:right w:w="0" w:type="dxa"/>
            </w:tcMar>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eastAsia="zh-CN"/>
              </w:rPr>
            </w:pPr>
            <w:r>
              <w:rPr>
                <w:rFonts w:hint="eastAsia" w:eastAsia="宋体"/>
                <w:kern w:val="2"/>
                <w:sz w:val="21"/>
                <w:szCs w:val="21"/>
              </w:rPr>
              <w:t>mg/kg</w:t>
            </w:r>
          </w:p>
        </w:tc>
        <w:tc>
          <w:tcPr>
            <w:tcW w:w="750"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ND</w:t>
            </w:r>
          </w:p>
        </w:tc>
        <w:tc>
          <w:tcPr>
            <w:tcW w:w="804"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68"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95"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2"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1"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955"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val="en-US" w:eastAsia="zh-CN"/>
              </w:rPr>
            </w:pPr>
            <w:r>
              <w:rPr>
                <w:rFonts w:hint="eastAsia" w:eastAsia="宋体"/>
                <w:kern w:val="2"/>
                <w:sz w:val="21"/>
                <w:szCs w:val="21"/>
                <w:lang w:val="en-US" w:eastAsia="zh-CN"/>
              </w:rPr>
              <w:t>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880" w:type="dxa"/>
            <w:tcMar>
              <w:top w:w="51" w:type="dxa"/>
              <w:left w:w="0" w:type="dxa"/>
              <w:bottom w:w="51" w:type="dxa"/>
              <w:right w:w="0" w:type="dxa"/>
            </w:tcMar>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rPr>
              <w:t>四氯乙烯</w:t>
            </w:r>
          </w:p>
        </w:tc>
        <w:tc>
          <w:tcPr>
            <w:tcW w:w="750" w:type="dxa"/>
            <w:tcMar>
              <w:top w:w="51" w:type="dxa"/>
              <w:left w:w="0" w:type="dxa"/>
              <w:bottom w:w="51" w:type="dxa"/>
              <w:right w:w="0" w:type="dxa"/>
            </w:tcMar>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eastAsia="zh-CN"/>
              </w:rPr>
            </w:pPr>
            <w:r>
              <w:rPr>
                <w:rFonts w:hint="eastAsia" w:eastAsia="宋体"/>
                <w:kern w:val="2"/>
                <w:sz w:val="21"/>
                <w:szCs w:val="21"/>
              </w:rPr>
              <w:t>mg/kg</w:t>
            </w:r>
          </w:p>
        </w:tc>
        <w:tc>
          <w:tcPr>
            <w:tcW w:w="750"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ND</w:t>
            </w:r>
          </w:p>
        </w:tc>
        <w:tc>
          <w:tcPr>
            <w:tcW w:w="804"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68"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95"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2"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1"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955"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val="en-US" w:eastAsia="zh-CN"/>
              </w:rPr>
            </w:pPr>
            <w:r>
              <w:rPr>
                <w:rFonts w:hint="eastAsia" w:eastAsia="宋体"/>
                <w:kern w:val="2"/>
                <w:sz w:val="21"/>
                <w:szCs w:val="21"/>
                <w:lang w:val="en-US" w:eastAsia="zh-CN"/>
              </w:rPr>
              <w:t>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880" w:type="dxa"/>
            <w:tcMar>
              <w:top w:w="51" w:type="dxa"/>
              <w:left w:w="0" w:type="dxa"/>
              <w:bottom w:w="51" w:type="dxa"/>
              <w:right w:w="0" w:type="dxa"/>
            </w:tcMar>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rPr>
              <w:t>1,1,1-三氯乙烷</w:t>
            </w:r>
          </w:p>
        </w:tc>
        <w:tc>
          <w:tcPr>
            <w:tcW w:w="750" w:type="dxa"/>
            <w:tcMar>
              <w:top w:w="51" w:type="dxa"/>
              <w:left w:w="0" w:type="dxa"/>
              <w:bottom w:w="51" w:type="dxa"/>
              <w:right w:w="0" w:type="dxa"/>
            </w:tcMar>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eastAsia="zh-CN"/>
              </w:rPr>
            </w:pPr>
            <w:r>
              <w:rPr>
                <w:rFonts w:hint="eastAsia" w:eastAsia="宋体"/>
                <w:kern w:val="2"/>
                <w:sz w:val="21"/>
                <w:szCs w:val="21"/>
              </w:rPr>
              <w:t>mg/kg</w:t>
            </w:r>
          </w:p>
        </w:tc>
        <w:tc>
          <w:tcPr>
            <w:tcW w:w="750"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ND</w:t>
            </w:r>
          </w:p>
        </w:tc>
        <w:tc>
          <w:tcPr>
            <w:tcW w:w="804"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68"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95"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2"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1"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955"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val="en-US" w:eastAsia="zh-CN"/>
              </w:rPr>
            </w:pPr>
            <w:r>
              <w:rPr>
                <w:rFonts w:hint="eastAsia" w:eastAsia="宋体"/>
                <w:kern w:val="2"/>
                <w:sz w:val="21"/>
                <w:szCs w:val="21"/>
                <w:lang w:val="en-US" w:eastAsia="zh-CN"/>
              </w:rPr>
              <w:t>840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880" w:type="dxa"/>
            <w:tcMar>
              <w:top w:w="51" w:type="dxa"/>
              <w:left w:w="0" w:type="dxa"/>
              <w:bottom w:w="51" w:type="dxa"/>
              <w:right w:w="0" w:type="dxa"/>
            </w:tcMar>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rPr>
              <w:t>1,1,2-三氯乙烷</w:t>
            </w:r>
          </w:p>
        </w:tc>
        <w:tc>
          <w:tcPr>
            <w:tcW w:w="750" w:type="dxa"/>
            <w:tcMar>
              <w:top w:w="51" w:type="dxa"/>
              <w:left w:w="0" w:type="dxa"/>
              <w:bottom w:w="51" w:type="dxa"/>
              <w:right w:w="0" w:type="dxa"/>
            </w:tcMar>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eastAsia="zh-CN"/>
              </w:rPr>
            </w:pPr>
            <w:r>
              <w:rPr>
                <w:rFonts w:hint="eastAsia" w:eastAsia="宋体"/>
                <w:kern w:val="2"/>
                <w:sz w:val="21"/>
                <w:szCs w:val="21"/>
              </w:rPr>
              <w:t>mg/kg</w:t>
            </w:r>
          </w:p>
        </w:tc>
        <w:tc>
          <w:tcPr>
            <w:tcW w:w="750"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ND</w:t>
            </w:r>
          </w:p>
        </w:tc>
        <w:tc>
          <w:tcPr>
            <w:tcW w:w="804"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68"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95"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2"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1"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955"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val="en-US" w:eastAsia="zh-CN"/>
              </w:rPr>
            </w:pPr>
            <w:r>
              <w:rPr>
                <w:rFonts w:hint="eastAsia" w:eastAsia="宋体"/>
                <w:kern w:val="2"/>
                <w:sz w:val="21"/>
                <w:szCs w:val="21"/>
                <w:lang w:val="en-US" w:eastAsia="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880" w:type="dxa"/>
            <w:tcMar>
              <w:top w:w="51" w:type="dxa"/>
              <w:left w:w="0" w:type="dxa"/>
              <w:bottom w:w="51" w:type="dxa"/>
              <w:right w:w="0" w:type="dxa"/>
            </w:tcMar>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rPr>
              <w:t>三氯乙烯</w:t>
            </w:r>
          </w:p>
        </w:tc>
        <w:tc>
          <w:tcPr>
            <w:tcW w:w="750" w:type="dxa"/>
            <w:tcMar>
              <w:top w:w="51" w:type="dxa"/>
              <w:left w:w="0" w:type="dxa"/>
              <w:bottom w:w="51" w:type="dxa"/>
              <w:right w:w="0" w:type="dxa"/>
            </w:tcMar>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eastAsia="zh-CN"/>
              </w:rPr>
            </w:pPr>
            <w:r>
              <w:rPr>
                <w:rFonts w:hint="eastAsia" w:eastAsia="宋体"/>
                <w:kern w:val="2"/>
                <w:sz w:val="21"/>
                <w:szCs w:val="21"/>
              </w:rPr>
              <w:t>mg/kg</w:t>
            </w:r>
          </w:p>
        </w:tc>
        <w:tc>
          <w:tcPr>
            <w:tcW w:w="750"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ND</w:t>
            </w:r>
          </w:p>
        </w:tc>
        <w:tc>
          <w:tcPr>
            <w:tcW w:w="804"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68"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95"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2"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1"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955"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val="en-US" w:eastAsia="zh-CN"/>
              </w:rPr>
            </w:pPr>
            <w:r>
              <w:rPr>
                <w:rFonts w:hint="eastAsia" w:eastAsia="宋体"/>
                <w:kern w:val="2"/>
                <w:sz w:val="21"/>
                <w:szCs w:val="21"/>
                <w:lang w:val="en-US" w:eastAsia="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880" w:type="dxa"/>
            <w:tcMar>
              <w:top w:w="51" w:type="dxa"/>
              <w:left w:w="0" w:type="dxa"/>
              <w:bottom w:w="51" w:type="dxa"/>
              <w:right w:w="0" w:type="dxa"/>
            </w:tcMar>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rPr>
              <w:t>1,2,3-三氯丙烷</w:t>
            </w:r>
          </w:p>
        </w:tc>
        <w:tc>
          <w:tcPr>
            <w:tcW w:w="750" w:type="dxa"/>
            <w:tcMar>
              <w:top w:w="51" w:type="dxa"/>
              <w:left w:w="0" w:type="dxa"/>
              <w:bottom w:w="51" w:type="dxa"/>
              <w:right w:w="0" w:type="dxa"/>
            </w:tcMar>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eastAsia="zh-CN"/>
              </w:rPr>
            </w:pPr>
            <w:r>
              <w:rPr>
                <w:rFonts w:hint="eastAsia" w:eastAsia="宋体"/>
                <w:kern w:val="2"/>
                <w:sz w:val="21"/>
                <w:szCs w:val="21"/>
              </w:rPr>
              <w:t>mg/kg</w:t>
            </w:r>
          </w:p>
        </w:tc>
        <w:tc>
          <w:tcPr>
            <w:tcW w:w="750"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ND</w:t>
            </w:r>
          </w:p>
        </w:tc>
        <w:tc>
          <w:tcPr>
            <w:tcW w:w="804"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68"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95"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2"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1"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955"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val="en-US" w:eastAsia="zh-CN"/>
              </w:rPr>
            </w:pPr>
            <w:r>
              <w:rPr>
                <w:rFonts w:hint="eastAsia" w:eastAsia="宋体"/>
                <w:kern w:val="2"/>
                <w:sz w:val="21"/>
                <w:szCs w:val="21"/>
                <w:lang w:val="en-US"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880" w:type="dxa"/>
            <w:tcMar>
              <w:top w:w="51" w:type="dxa"/>
              <w:left w:w="0" w:type="dxa"/>
              <w:bottom w:w="51" w:type="dxa"/>
              <w:right w:w="0" w:type="dxa"/>
            </w:tcMar>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rPr>
              <w:t>氯乙烯</w:t>
            </w:r>
          </w:p>
        </w:tc>
        <w:tc>
          <w:tcPr>
            <w:tcW w:w="750" w:type="dxa"/>
            <w:tcMar>
              <w:top w:w="51" w:type="dxa"/>
              <w:left w:w="0" w:type="dxa"/>
              <w:bottom w:w="51" w:type="dxa"/>
              <w:right w:w="0" w:type="dxa"/>
            </w:tcMar>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eastAsia="zh-CN"/>
              </w:rPr>
            </w:pPr>
            <w:r>
              <w:rPr>
                <w:rFonts w:hint="eastAsia" w:eastAsia="宋体"/>
                <w:kern w:val="2"/>
                <w:sz w:val="21"/>
                <w:szCs w:val="21"/>
              </w:rPr>
              <w:t>mg/kg</w:t>
            </w:r>
          </w:p>
        </w:tc>
        <w:tc>
          <w:tcPr>
            <w:tcW w:w="750"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ND</w:t>
            </w:r>
          </w:p>
        </w:tc>
        <w:tc>
          <w:tcPr>
            <w:tcW w:w="804"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68"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95"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2"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1"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955"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val="en-US" w:eastAsia="zh-CN"/>
              </w:rPr>
            </w:pPr>
            <w:r>
              <w:rPr>
                <w:rFonts w:hint="eastAsia" w:eastAsia="宋体"/>
                <w:kern w:val="2"/>
                <w:sz w:val="21"/>
                <w:szCs w:val="21"/>
                <w:lang w:val="en-US" w:eastAsia="zh-CN"/>
              </w:rPr>
              <w:t>0.43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880" w:type="dxa"/>
            <w:tcMar>
              <w:top w:w="51" w:type="dxa"/>
              <w:left w:w="0" w:type="dxa"/>
              <w:bottom w:w="51" w:type="dxa"/>
              <w:right w:w="0" w:type="dxa"/>
            </w:tcMar>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rPr>
              <w:t>氯苯</w:t>
            </w:r>
          </w:p>
        </w:tc>
        <w:tc>
          <w:tcPr>
            <w:tcW w:w="750" w:type="dxa"/>
            <w:tcMar>
              <w:top w:w="51" w:type="dxa"/>
              <w:left w:w="0" w:type="dxa"/>
              <w:bottom w:w="51" w:type="dxa"/>
              <w:right w:w="0" w:type="dxa"/>
            </w:tcMar>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eastAsia="zh-CN"/>
              </w:rPr>
            </w:pPr>
            <w:r>
              <w:rPr>
                <w:rFonts w:hint="eastAsia" w:eastAsia="宋体"/>
                <w:kern w:val="2"/>
                <w:sz w:val="21"/>
                <w:szCs w:val="21"/>
              </w:rPr>
              <w:t>mg/kg</w:t>
            </w:r>
          </w:p>
        </w:tc>
        <w:tc>
          <w:tcPr>
            <w:tcW w:w="750"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ND</w:t>
            </w:r>
          </w:p>
        </w:tc>
        <w:tc>
          <w:tcPr>
            <w:tcW w:w="737"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ND</w:t>
            </w:r>
          </w:p>
        </w:tc>
        <w:tc>
          <w:tcPr>
            <w:tcW w:w="804"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ND</w:t>
            </w:r>
          </w:p>
        </w:tc>
        <w:tc>
          <w:tcPr>
            <w:tcW w:w="668"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ND</w:t>
            </w:r>
          </w:p>
        </w:tc>
        <w:tc>
          <w:tcPr>
            <w:tcW w:w="737"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95"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2"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1"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955"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val="en-US" w:eastAsia="zh-CN"/>
              </w:rPr>
            </w:pPr>
            <w:r>
              <w:rPr>
                <w:rFonts w:hint="eastAsia" w:eastAsia="宋体"/>
                <w:kern w:val="2"/>
                <w:sz w:val="21"/>
                <w:szCs w:val="21"/>
                <w:lang w:val="en-US" w:eastAsia="zh-CN"/>
              </w:rPr>
              <w:t>270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880" w:type="dxa"/>
            <w:tcMar>
              <w:top w:w="51" w:type="dxa"/>
              <w:left w:w="0" w:type="dxa"/>
              <w:bottom w:w="51" w:type="dxa"/>
              <w:right w:w="0" w:type="dxa"/>
            </w:tcMar>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rPr>
              <w:t>1,2-二氯苯</w:t>
            </w:r>
          </w:p>
        </w:tc>
        <w:tc>
          <w:tcPr>
            <w:tcW w:w="750" w:type="dxa"/>
            <w:tcMar>
              <w:top w:w="51" w:type="dxa"/>
              <w:left w:w="0" w:type="dxa"/>
              <w:bottom w:w="51" w:type="dxa"/>
              <w:right w:w="0" w:type="dxa"/>
            </w:tcMar>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eastAsia="zh-CN"/>
              </w:rPr>
            </w:pPr>
            <w:r>
              <w:rPr>
                <w:rFonts w:hint="eastAsia" w:eastAsia="宋体"/>
                <w:kern w:val="2"/>
                <w:sz w:val="21"/>
                <w:szCs w:val="21"/>
              </w:rPr>
              <w:t>mg/kg</w:t>
            </w:r>
          </w:p>
        </w:tc>
        <w:tc>
          <w:tcPr>
            <w:tcW w:w="750"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ND</w:t>
            </w:r>
          </w:p>
        </w:tc>
        <w:tc>
          <w:tcPr>
            <w:tcW w:w="804"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68"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95"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2"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1"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955"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val="en-US" w:eastAsia="zh-CN"/>
              </w:rPr>
            </w:pPr>
            <w:r>
              <w:rPr>
                <w:rFonts w:hint="eastAsia" w:eastAsia="宋体"/>
                <w:kern w:val="2"/>
                <w:sz w:val="21"/>
                <w:szCs w:val="21"/>
                <w:lang w:val="en-US" w:eastAsia="zh-CN"/>
              </w:rPr>
              <w:t>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880" w:type="dxa"/>
            <w:tcMar>
              <w:top w:w="51" w:type="dxa"/>
              <w:left w:w="0" w:type="dxa"/>
              <w:bottom w:w="51" w:type="dxa"/>
              <w:right w:w="0" w:type="dxa"/>
            </w:tcMar>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rPr>
              <w:t>1,4-二氯苯</w:t>
            </w:r>
          </w:p>
        </w:tc>
        <w:tc>
          <w:tcPr>
            <w:tcW w:w="750" w:type="dxa"/>
            <w:tcMar>
              <w:top w:w="51" w:type="dxa"/>
              <w:left w:w="0" w:type="dxa"/>
              <w:bottom w:w="51" w:type="dxa"/>
              <w:right w:w="0" w:type="dxa"/>
            </w:tcMar>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eastAsia="zh-CN"/>
              </w:rPr>
            </w:pPr>
            <w:r>
              <w:rPr>
                <w:rFonts w:hint="eastAsia" w:eastAsia="宋体"/>
                <w:kern w:val="2"/>
                <w:sz w:val="21"/>
                <w:szCs w:val="21"/>
              </w:rPr>
              <w:t>mg/kg</w:t>
            </w:r>
          </w:p>
        </w:tc>
        <w:tc>
          <w:tcPr>
            <w:tcW w:w="750"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ND</w:t>
            </w:r>
          </w:p>
        </w:tc>
        <w:tc>
          <w:tcPr>
            <w:tcW w:w="804"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68"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95"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2"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1"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955"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val="en-US" w:eastAsia="zh-CN"/>
              </w:rPr>
            </w:pPr>
            <w:r>
              <w:rPr>
                <w:rFonts w:hint="eastAsia" w:eastAsia="宋体"/>
                <w:kern w:val="2"/>
                <w:sz w:val="21"/>
                <w:szCs w:val="21"/>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880" w:type="dxa"/>
            <w:tcMar>
              <w:top w:w="51" w:type="dxa"/>
              <w:left w:w="0" w:type="dxa"/>
              <w:bottom w:w="51" w:type="dxa"/>
              <w:right w:w="0" w:type="dxa"/>
            </w:tcMar>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rPr>
              <w:t>乙苯</w:t>
            </w:r>
          </w:p>
        </w:tc>
        <w:tc>
          <w:tcPr>
            <w:tcW w:w="750" w:type="dxa"/>
            <w:tcMar>
              <w:top w:w="51" w:type="dxa"/>
              <w:left w:w="0" w:type="dxa"/>
              <w:bottom w:w="51" w:type="dxa"/>
              <w:right w:w="0" w:type="dxa"/>
            </w:tcMar>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eastAsia="zh-CN"/>
              </w:rPr>
            </w:pPr>
            <w:r>
              <w:rPr>
                <w:rFonts w:hint="eastAsia" w:eastAsia="宋体"/>
                <w:kern w:val="2"/>
                <w:sz w:val="21"/>
                <w:szCs w:val="21"/>
              </w:rPr>
              <w:t>mg/kg</w:t>
            </w:r>
          </w:p>
        </w:tc>
        <w:tc>
          <w:tcPr>
            <w:tcW w:w="750"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ND</w:t>
            </w:r>
          </w:p>
        </w:tc>
        <w:tc>
          <w:tcPr>
            <w:tcW w:w="804"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68"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95"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2"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1"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left w:w="0" w:type="dxa"/>
              <w:bottom w:w="51"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955"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val="en-US" w:eastAsia="zh-CN"/>
              </w:rPr>
            </w:pPr>
            <w:r>
              <w:rPr>
                <w:rFonts w:hint="eastAsia" w:eastAsia="宋体"/>
                <w:kern w:val="2"/>
                <w:sz w:val="21"/>
                <w:szCs w:val="21"/>
                <w:lang w:val="en-US" w:eastAsia="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880" w:type="dxa"/>
            <w:tcMar>
              <w:top w:w="51" w:type="dxa"/>
              <w:bottom w:w="51" w:type="dxa"/>
            </w:tcMar>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rPr>
              <w:t>甲苯</w:t>
            </w:r>
          </w:p>
        </w:tc>
        <w:tc>
          <w:tcPr>
            <w:tcW w:w="750" w:type="dxa"/>
            <w:tcMar>
              <w:top w:w="51" w:type="dxa"/>
              <w:bottom w:w="51" w:type="dxa"/>
            </w:tcMar>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eastAsia="zh-CN"/>
              </w:rPr>
            </w:pPr>
            <w:r>
              <w:rPr>
                <w:rFonts w:hint="eastAsia" w:eastAsia="宋体"/>
                <w:kern w:val="2"/>
                <w:sz w:val="21"/>
                <w:szCs w:val="21"/>
              </w:rPr>
              <w:t>mg/kg</w:t>
            </w:r>
          </w:p>
        </w:tc>
        <w:tc>
          <w:tcPr>
            <w:tcW w:w="750"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ND</w:t>
            </w:r>
          </w:p>
        </w:tc>
        <w:tc>
          <w:tcPr>
            <w:tcW w:w="804"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68"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95"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2"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1"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955"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val="en-US" w:eastAsia="zh-CN"/>
              </w:rPr>
            </w:pPr>
            <w:r>
              <w:rPr>
                <w:rFonts w:hint="eastAsia" w:eastAsia="宋体"/>
                <w:kern w:val="2"/>
                <w:sz w:val="21"/>
                <w:szCs w:val="21"/>
                <w:lang w:val="en-US" w:eastAsia="zh-CN"/>
              </w:rPr>
              <w:t>1200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880" w:type="dxa"/>
            <w:tcMar>
              <w:top w:w="51" w:type="dxa"/>
              <w:bottom w:w="51" w:type="dxa"/>
            </w:tcMar>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rPr>
              <w:t>间，对二甲苯</w:t>
            </w:r>
          </w:p>
        </w:tc>
        <w:tc>
          <w:tcPr>
            <w:tcW w:w="750" w:type="dxa"/>
            <w:tcMar>
              <w:top w:w="51" w:type="dxa"/>
              <w:bottom w:w="51" w:type="dxa"/>
            </w:tcMar>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eastAsia="zh-CN"/>
              </w:rPr>
            </w:pPr>
            <w:r>
              <w:rPr>
                <w:rFonts w:hint="eastAsia" w:eastAsia="宋体"/>
                <w:kern w:val="2"/>
                <w:sz w:val="21"/>
                <w:szCs w:val="21"/>
              </w:rPr>
              <w:t>mg/kg</w:t>
            </w:r>
          </w:p>
        </w:tc>
        <w:tc>
          <w:tcPr>
            <w:tcW w:w="750"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ND</w:t>
            </w:r>
          </w:p>
        </w:tc>
        <w:tc>
          <w:tcPr>
            <w:tcW w:w="804"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68"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95"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2"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1"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955"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val="en-US" w:eastAsia="zh-CN"/>
              </w:rPr>
            </w:pPr>
            <w:r>
              <w:rPr>
                <w:rFonts w:hint="eastAsia" w:eastAsia="宋体"/>
                <w:kern w:val="2"/>
                <w:sz w:val="21"/>
                <w:szCs w:val="21"/>
                <w:lang w:val="en-US" w:eastAsia="zh-CN"/>
              </w:rPr>
              <w:t>570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880" w:type="dxa"/>
            <w:tcMar>
              <w:top w:w="51" w:type="dxa"/>
              <w:bottom w:w="51" w:type="dxa"/>
            </w:tcMar>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rPr>
              <w:t>邻二甲苯，苯乙烯</w:t>
            </w:r>
          </w:p>
        </w:tc>
        <w:tc>
          <w:tcPr>
            <w:tcW w:w="750" w:type="dxa"/>
            <w:tcMar>
              <w:top w:w="51" w:type="dxa"/>
              <w:bottom w:w="51" w:type="dxa"/>
            </w:tcMar>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eastAsia="zh-CN"/>
              </w:rPr>
            </w:pPr>
            <w:r>
              <w:rPr>
                <w:rFonts w:hint="eastAsia" w:eastAsia="宋体"/>
                <w:kern w:val="2"/>
                <w:sz w:val="21"/>
                <w:szCs w:val="21"/>
              </w:rPr>
              <w:t>mg/kg</w:t>
            </w:r>
          </w:p>
        </w:tc>
        <w:tc>
          <w:tcPr>
            <w:tcW w:w="750"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ND</w:t>
            </w:r>
          </w:p>
        </w:tc>
        <w:tc>
          <w:tcPr>
            <w:tcW w:w="804"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68"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95"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2"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1"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955"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val="en-US" w:eastAsia="zh-CN"/>
              </w:rPr>
            </w:pPr>
            <w:r>
              <w:rPr>
                <w:rFonts w:hint="eastAsia" w:eastAsia="宋体"/>
                <w:kern w:val="2"/>
                <w:sz w:val="21"/>
                <w:szCs w:val="21"/>
                <w:lang w:val="en-US" w:eastAsia="zh-CN"/>
              </w:rPr>
              <w:t>640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880" w:type="dxa"/>
            <w:tcMar>
              <w:top w:w="51" w:type="dxa"/>
              <w:bottom w:w="51" w:type="dxa"/>
            </w:tcMar>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rPr>
              <w:t>苯并[a]芘</w:t>
            </w:r>
          </w:p>
        </w:tc>
        <w:tc>
          <w:tcPr>
            <w:tcW w:w="750" w:type="dxa"/>
            <w:tcMar>
              <w:top w:w="51" w:type="dxa"/>
              <w:bottom w:w="51" w:type="dxa"/>
            </w:tcMar>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eastAsia="zh-CN"/>
              </w:rPr>
            </w:pPr>
            <w:r>
              <w:rPr>
                <w:rFonts w:hint="eastAsia" w:eastAsia="宋体"/>
                <w:kern w:val="2"/>
                <w:sz w:val="21"/>
                <w:szCs w:val="21"/>
              </w:rPr>
              <w:t>mg/kg</w:t>
            </w:r>
          </w:p>
        </w:tc>
        <w:tc>
          <w:tcPr>
            <w:tcW w:w="750"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ND</w:t>
            </w:r>
          </w:p>
        </w:tc>
        <w:tc>
          <w:tcPr>
            <w:tcW w:w="804"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68"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95"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2"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1"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955"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val="en-US" w:eastAsia="zh-CN"/>
              </w:rPr>
            </w:pPr>
            <w:r>
              <w:rPr>
                <w:rFonts w:hint="eastAsia" w:eastAsia="宋体"/>
                <w:kern w:val="2"/>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880" w:type="dxa"/>
            <w:tcMar>
              <w:top w:w="51" w:type="dxa"/>
              <w:bottom w:w="51" w:type="dxa"/>
            </w:tcMar>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rPr>
              <w:t>苯并[b]荧蒽</w:t>
            </w:r>
          </w:p>
        </w:tc>
        <w:tc>
          <w:tcPr>
            <w:tcW w:w="750" w:type="dxa"/>
            <w:tcMar>
              <w:top w:w="51" w:type="dxa"/>
              <w:bottom w:w="51" w:type="dxa"/>
            </w:tcMar>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eastAsia="zh-CN"/>
              </w:rPr>
            </w:pPr>
            <w:r>
              <w:rPr>
                <w:rFonts w:hint="eastAsia" w:eastAsia="宋体"/>
                <w:kern w:val="2"/>
                <w:sz w:val="21"/>
                <w:szCs w:val="21"/>
              </w:rPr>
              <w:t>mg/kg</w:t>
            </w:r>
          </w:p>
        </w:tc>
        <w:tc>
          <w:tcPr>
            <w:tcW w:w="750"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ND</w:t>
            </w:r>
          </w:p>
        </w:tc>
        <w:tc>
          <w:tcPr>
            <w:tcW w:w="804"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68"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95"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2"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1"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955"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val="en-US" w:eastAsia="zh-CN"/>
              </w:rPr>
            </w:pPr>
            <w:r>
              <w:rPr>
                <w:rFonts w:hint="eastAsia" w:eastAsia="宋体"/>
                <w:kern w:val="2"/>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880" w:type="dxa"/>
            <w:tcMar>
              <w:top w:w="51" w:type="dxa"/>
              <w:bottom w:w="51" w:type="dxa"/>
            </w:tcMar>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rPr>
              <w:t>苯并[k]荧蒽</w:t>
            </w:r>
          </w:p>
        </w:tc>
        <w:tc>
          <w:tcPr>
            <w:tcW w:w="750" w:type="dxa"/>
            <w:tcMar>
              <w:top w:w="51" w:type="dxa"/>
              <w:bottom w:w="51" w:type="dxa"/>
            </w:tcMar>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eastAsia="zh-CN"/>
              </w:rPr>
            </w:pPr>
            <w:r>
              <w:rPr>
                <w:rFonts w:hint="eastAsia" w:eastAsia="宋体"/>
                <w:kern w:val="2"/>
                <w:sz w:val="21"/>
                <w:szCs w:val="21"/>
              </w:rPr>
              <w:t>mg/kg</w:t>
            </w:r>
          </w:p>
        </w:tc>
        <w:tc>
          <w:tcPr>
            <w:tcW w:w="750"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ND</w:t>
            </w:r>
          </w:p>
        </w:tc>
        <w:tc>
          <w:tcPr>
            <w:tcW w:w="737"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ND</w:t>
            </w:r>
          </w:p>
        </w:tc>
        <w:tc>
          <w:tcPr>
            <w:tcW w:w="804"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ND</w:t>
            </w:r>
          </w:p>
        </w:tc>
        <w:tc>
          <w:tcPr>
            <w:tcW w:w="668"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ND</w:t>
            </w:r>
          </w:p>
        </w:tc>
        <w:tc>
          <w:tcPr>
            <w:tcW w:w="737"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95"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2"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1"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955"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val="en-US" w:eastAsia="zh-CN"/>
              </w:rPr>
            </w:pPr>
            <w:r>
              <w:rPr>
                <w:rFonts w:hint="eastAsia" w:eastAsia="宋体"/>
                <w:kern w:val="2"/>
                <w:sz w:val="21"/>
                <w:szCs w:val="21"/>
                <w:lang w:val="en-US" w:eastAsia="zh-CN"/>
              </w:rPr>
              <w:t>121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880" w:type="dxa"/>
            <w:tcMar>
              <w:top w:w="51" w:type="dxa"/>
              <w:bottom w:w="51" w:type="dxa"/>
            </w:tcMar>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rPr>
              <w:t>䓛</w:t>
            </w:r>
          </w:p>
        </w:tc>
        <w:tc>
          <w:tcPr>
            <w:tcW w:w="750" w:type="dxa"/>
            <w:tcMar>
              <w:top w:w="51" w:type="dxa"/>
              <w:bottom w:w="51" w:type="dxa"/>
            </w:tcMar>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eastAsia="zh-CN"/>
              </w:rPr>
            </w:pPr>
            <w:r>
              <w:rPr>
                <w:rFonts w:hint="eastAsia" w:eastAsia="宋体"/>
                <w:kern w:val="2"/>
                <w:sz w:val="21"/>
                <w:szCs w:val="21"/>
              </w:rPr>
              <w:t>mg/kg</w:t>
            </w:r>
          </w:p>
        </w:tc>
        <w:tc>
          <w:tcPr>
            <w:tcW w:w="750"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ND</w:t>
            </w:r>
          </w:p>
        </w:tc>
        <w:tc>
          <w:tcPr>
            <w:tcW w:w="804"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68"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95"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2"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1"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955"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val="en-US" w:eastAsia="zh-CN"/>
              </w:rPr>
            </w:pPr>
            <w:r>
              <w:rPr>
                <w:rFonts w:hint="eastAsia" w:eastAsia="宋体"/>
                <w:kern w:val="2"/>
                <w:sz w:val="21"/>
                <w:szCs w:val="21"/>
                <w:lang w:val="en-US" w:eastAsia="zh-CN"/>
              </w:rPr>
              <w:t>1293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880" w:type="dxa"/>
            <w:tcMar>
              <w:top w:w="51" w:type="dxa"/>
              <w:bottom w:w="51" w:type="dxa"/>
            </w:tcMar>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rPr>
              <w:t>二苯并[a,h]蒽</w:t>
            </w:r>
          </w:p>
        </w:tc>
        <w:tc>
          <w:tcPr>
            <w:tcW w:w="750" w:type="dxa"/>
            <w:tcMar>
              <w:top w:w="51" w:type="dxa"/>
              <w:bottom w:w="51" w:type="dxa"/>
            </w:tcMar>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eastAsia="zh-CN"/>
              </w:rPr>
            </w:pPr>
            <w:r>
              <w:rPr>
                <w:rFonts w:hint="eastAsia" w:eastAsia="宋体"/>
                <w:kern w:val="2"/>
                <w:sz w:val="21"/>
                <w:szCs w:val="21"/>
              </w:rPr>
              <w:t>mg/kg</w:t>
            </w:r>
          </w:p>
        </w:tc>
        <w:tc>
          <w:tcPr>
            <w:tcW w:w="750"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ND</w:t>
            </w:r>
          </w:p>
        </w:tc>
        <w:tc>
          <w:tcPr>
            <w:tcW w:w="804"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68"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95"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2"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1"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tcMar>
              <w:top w:w="51" w:type="dxa"/>
              <w:bottom w:w="51"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955"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val="en-US" w:eastAsia="zh-CN"/>
              </w:rPr>
            </w:pPr>
            <w:r>
              <w:rPr>
                <w:rFonts w:hint="eastAsia" w:eastAsia="宋体"/>
                <w:kern w:val="2"/>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880" w:type="dxa"/>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rPr>
              <w:t>茚并[1,2,3-cd]芘</w:t>
            </w:r>
          </w:p>
        </w:tc>
        <w:tc>
          <w:tcPr>
            <w:tcW w:w="750"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eastAsia="zh-CN"/>
              </w:rPr>
            </w:pPr>
            <w:r>
              <w:rPr>
                <w:rFonts w:hint="eastAsia" w:eastAsia="宋体"/>
                <w:kern w:val="2"/>
                <w:sz w:val="21"/>
                <w:szCs w:val="21"/>
              </w:rPr>
              <w:t>mg/kg</w:t>
            </w:r>
          </w:p>
        </w:tc>
        <w:tc>
          <w:tcPr>
            <w:tcW w:w="75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ND</w:t>
            </w:r>
          </w:p>
        </w:tc>
        <w:tc>
          <w:tcPr>
            <w:tcW w:w="80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6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9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2"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1"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955"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val="en-US" w:eastAsia="zh-CN"/>
              </w:rPr>
            </w:pPr>
            <w:r>
              <w:rPr>
                <w:rFonts w:hint="eastAsia" w:eastAsia="宋体"/>
                <w:kern w:val="2"/>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880" w:type="dxa"/>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rPr>
              <w:t>萘</w:t>
            </w:r>
          </w:p>
        </w:tc>
        <w:tc>
          <w:tcPr>
            <w:tcW w:w="750"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eastAsia="zh-CN"/>
              </w:rPr>
            </w:pPr>
            <w:r>
              <w:rPr>
                <w:rFonts w:hint="eastAsia" w:eastAsia="宋体"/>
                <w:kern w:val="2"/>
                <w:sz w:val="21"/>
                <w:szCs w:val="21"/>
              </w:rPr>
              <w:t>mg/kg</w:t>
            </w:r>
          </w:p>
        </w:tc>
        <w:tc>
          <w:tcPr>
            <w:tcW w:w="75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ND</w:t>
            </w:r>
          </w:p>
        </w:tc>
        <w:tc>
          <w:tcPr>
            <w:tcW w:w="80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6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9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2"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1"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955"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val="en-US" w:eastAsia="zh-CN"/>
              </w:rPr>
            </w:pPr>
            <w:r>
              <w:rPr>
                <w:rFonts w:hint="eastAsia" w:eastAsia="宋体"/>
                <w:kern w:val="2"/>
                <w:sz w:val="21"/>
                <w:szCs w:val="21"/>
                <w:lang w:val="en-US" w:eastAsia="zh-CN"/>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880" w:type="dxa"/>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rPr>
              <w:t>苯并[a]蒽</w:t>
            </w:r>
          </w:p>
        </w:tc>
        <w:tc>
          <w:tcPr>
            <w:tcW w:w="750"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eastAsia="zh-CN"/>
              </w:rPr>
            </w:pPr>
            <w:r>
              <w:rPr>
                <w:rFonts w:hint="eastAsia" w:eastAsia="宋体"/>
                <w:kern w:val="2"/>
                <w:sz w:val="21"/>
                <w:szCs w:val="21"/>
              </w:rPr>
              <w:t>mg/kg</w:t>
            </w:r>
          </w:p>
        </w:tc>
        <w:tc>
          <w:tcPr>
            <w:tcW w:w="75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ND</w:t>
            </w:r>
          </w:p>
        </w:tc>
        <w:tc>
          <w:tcPr>
            <w:tcW w:w="80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6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9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2"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1"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955"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val="en-US" w:eastAsia="zh-CN"/>
              </w:rPr>
            </w:pPr>
            <w:r>
              <w:rPr>
                <w:rFonts w:hint="eastAsia" w:eastAsia="宋体"/>
                <w:kern w:val="2"/>
                <w:sz w:val="21"/>
                <w:szCs w:val="21"/>
                <w:lang w:val="en-US" w:eastAsia="zh-CN"/>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880" w:type="dxa"/>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rPr>
              <w:t>氯甲烷*</w:t>
            </w:r>
          </w:p>
        </w:tc>
        <w:tc>
          <w:tcPr>
            <w:tcW w:w="750"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eastAsia="zh-CN"/>
              </w:rPr>
            </w:pPr>
            <w:r>
              <w:rPr>
                <w:rFonts w:hint="eastAsia" w:eastAsia="宋体"/>
                <w:kern w:val="2"/>
                <w:sz w:val="21"/>
                <w:szCs w:val="21"/>
              </w:rPr>
              <w:t>mg/kg</w:t>
            </w:r>
          </w:p>
        </w:tc>
        <w:tc>
          <w:tcPr>
            <w:tcW w:w="75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ND</w:t>
            </w:r>
          </w:p>
        </w:tc>
        <w:tc>
          <w:tcPr>
            <w:tcW w:w="80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6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9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2"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1"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955"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val="en-US" w:eastAsia="zh-CN"/>
              </w:rPr>
            </w:pPr>
            <w:r>
              <w:rPr>
                <w:rFonts w:hint="eastAsia" w:eastAsia="宋体"/>
                <w:kern w:val="2"/>
                <w:sz w:val="21"/>
                <w:szCs w:val="21"/>
                <w:lang w:val="en-US" w:eastAsia="zh-CN"/>
              </w:rPr>
              <w:t>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880" w:type="dxa"/>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rPr>
              <w:t>硝基苯*</w:t>
            </w:r>
          </w:p>
        </w:tc>
        <w:tc>
          <w:tcPr>
            <w:tcW w:w="750"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eastAsia="zh-CN"/>
              </w:rPr>
            </w:pPr>
            <w:r>
              <w:rPr>
                <w:rFonts w:hint="eastAsia" w:eastAsia="宋体"/>
                <w:kern w:val="2"/>
                <w:sz w:val="21"/>
                <w:szCs w:val="21"/>
              </w:rPr>
              <w:t>mg/kg</w:t>
            </w:r>
          </w:p>
        </w:tc>
        <w:tc>
          <w:tcPr>
            <w:tcW w:w="75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ND</w:t>
            </w:r>
          </w:p>
        </w:tc>
        <w:tc>
          <w:tcPr>
            <w:tcW w:w="80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6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9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2"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1"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955"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val="en-US" w:eastAsia="zh-CN"/>
              </w:rPr>
            </w:pPr>
            <w:r>
              <w:rPr>
                <w:rFonts w:hint="eastAsia" w:eastAsia="宋体"/>
                <w:kern w:val="2"/>
                <w:sz w:val="21"/>
                <w:szCs w:val="21"/>
                <w:lang w:val="en-US" w:eastAsia="zh-CN"/>
              </w:rPr>
              <w:t>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880" w:type="dxa"/>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rPr>
              <w:t>苯胺*</w:t>
            </w:r>
          </w:p>
        </w:tc>
        <w:tc>
          <w:tcPr>
            <w:tcW w:w="750"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eastAsia="zh-CN"/>
              </w:rPr>
            </w:pPr>
            <w:r>
              <w:rPr>
                <w:rFonts w:hint="eastAsia" w:eastAsia="宋体"/>
                <w:kern w:val="2"/>
                <w:sz w:val="21"/>
                <w:szCs w:val="21"/>
              </w:rPr>
              <w:t>mg/kg</w:t>
            </w:r>
          </w:p>
        </w:tc>
        <w:tc>
          <w:tcPr>
            <w:tcW w:w="75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ND</w:t>
            </w:r>
          </w:p>
        </w:tc>
        <w:tc>
          <w:tcPr>
            <w:tcW w:w="80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6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9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2"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681"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72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ND</w:t>
            </w:r>
          </w:p>
        </w:tc>
        <w:tc>
          <w:tcPr>
            <w:tcW w:w="955"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val="en-US" w:eastAsia="zh-CN"/>
              </w:rPr>
            </w:pPr>
            <w:r>
              <w:rPr>
                <w:rFonts w:hint="eastAsia" w:eastAsia="宋体"/>
                <w:kern w:val="2"/>
                <w:sz w:val="21"/>
                <w:szCs w:val="21"/>
                <w:lang w:val="en-US" w:eastAsia="zh-CN"/>
              </w:rPr>
              <w:t>260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880" w:type="dxa"/>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rPr>
              <w:t>2-氯酚*</w:t>
            </w:r>
          </w:p>
        </w:tc>
        <w:tc>
          <w:tcPr>
            <w:tcW w:w="750"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rPr>
            </w:pPr>
            <w:r>
              <w:rPr>
                <w:rFonts w:hint="eastAsia" w:eastAsia="宋体"/>
                <w:kern w:val="2"/>
                <w:sz w:val="21"/>
                <w:szCs w:val="21"/>
              </w:rPr>
              <w:t>mg/kg</w:t>
            </w:r>
          </w:p>
        </w:tc>
        <w:tc>
          <w:tcPr>
            <w:tcW w:w="75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ND</w:t>
            </w:r>
          </w:p>
        </w:tc>
        <w:tc>
          <w:tcPr>
            <w:tcW w:w="7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ND</w:t>
            </w:r>
          </w:p>
        </w:tc>
        <w:tc>
          <w:tcPr>
            <w:tcW w:w="80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ND</w:t>
            </w:r>
          </w:p>
        </w:tc>
        <w:tc>
          <w:tcPr>
            <w:tcW w:w="66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ND</w:t>
            </w:r>
          </w:p>
        </w:tc>
        <w:tc>
          <w:tcPr>
            <w:tcW w:w="7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ND</w:t>
            </w:r>
          </w:p>
        </w:tc>
        <w:tc>
          <w:tcPr>
            <w:tcW w:w="69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ND</w:t>
            </w:r>
          </w:p>
        </w:tc>
        <w:tc>
          <w:tcPr>
            <w:tcW w:w="682"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ND</w:t>
            </w:r>
          </w:p>
        </w:tc>
        <w:tc>
          <w:tcPr>
            <w:tcW w:w="72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ND</w:t>
            </w:r>
          </w:p>
        </w:tc>
        <w:tc>
          <w:tcPr>
            <w:tcW w:w="681"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ND</w:t>
            </w:r>
          </w:p>
        </w:tc>
        <w:tc>
          <w:tcPr>
            <w:tcW w:w="72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ND</w:t>
            </w:r>
          </w:p>
        </w:tc>
        <w:tc>
          <w:tcPr>
            <w:tcW w:w="955"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val="en-US" w:eastAsia="zh-CN"/>
              </w:rPr>
            </w:pPr>
            <w:r>
              <w:rPr>
                <w:rFonts w:hint="eastAsia" w:eastAsia="宋体"/>
                <w:kern w:val="2"/>
                <w:sz w:val="21"/>
                <w:szCs w:val="21"/>
                <w:lang w:val="en-US" w:eastAsia="zh-CN"/>
              </w:rPr>
              <w:t>2256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880" w:type="dxa"/>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rPr>
              <w:t>六六六</w:t>
            </w:r>
            <w:r>
              <w:rPr>
                <w:rFonts w:hint="eastAsia" w:eastAsia="宋体"/>
                <w:kern w:val="2"/>
                <w:sz w:val="21"/>
                <w:szCs w:val="21"/>
                <w:lang w:val="en-US" w:eastAsia="zh-CN"/>
              </w:rPr>
              <w:t>*</w:t>
            </w:r>
          </w:p>
        </w:tc>
        <w:tc>
          <w:tcPr>
            <w:tcW w:w="750"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rPr>
            </w:pPr>
            <w:r>
              <w:rPr>
                <w:rFonts w:hint="eastAsia" w:eastAsia="宋体"/>
                <w:kern w:val="2"/>
                <w:sz w:val="21"/>
                <w:szCs w:val="21"/>
              </w:rPr>
              <w:t>mg/kg</w:t>
            </w:r>
          </w:p>
        </w:tc>
        <w:tc>
          <w:tcPr>
            <w:tcW w:w="75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7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ND</w:t>
            </w:r>
          </w:p>
        </w:tc>
        <w:tc>
          <w:tcPr>
            <w:tcW w:w="80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ND</w:t>
            </w:r>
          </w:p>
        </w:tc>
        <w:tc>
          <w:tcPr>
            <w:tcW w:w="66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ND</w:t>
            </w:r>
          </w:p>
        </w:tc>
        <w:tc>
          <w:tcPr>
            <w:tcW w:w="7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ND</w:t>
            </w:r>
          </w:p>
        </w:tc>
        <w:tc>
          <w:tcPr>
            <w:tcW w:w="69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ND</w:t>
            </w:r>
          </w:p>
        </w:tc>
        <w:tc>
          <w:tcPr>
            <w:tcW w:w="682"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ND</w:t>
            </w:r>
          </w:p>
        </w:tc>
        <w:tc>
          <w:tcPr>
            <w:tcW w:w="72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ND</w:t>
            </w:r>
          </w:p>
        </w:tc>
        <w:tc>
          <w:tcPr>
            <w:tcW w:w="681"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ND</w:t>
            </w:r>
          </w:p>
        </w:tc>
        <w:tc>
          <w:tcPr>
            <w:tcW w:w="72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ND</w:t>
            </w:r>
          </w:p>
        </w:tc>
        <w:tc>
          <w:tcPr>
            <w:tcW w:w="955"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val="en-US" w:eastAsia="zh-CN"/>
              </w:rPr>
            </w:pPr>
            <w:r>
              <w:rPr>
                <w:rFonts w:hint="eastAsia" w:eastAsia="宋体"/>
                <w:kern w:val="2"/>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880" w:type="dxa"/>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rPr>
              <w:t>滴滴涕</w:t>
            </w:r>
            <w:r>
              <w:rPr>
                <w:rFonts w:hint="eastAsia" w:eastAsia="宋体"/>
                <w:kern w:val="2"/>
                <w:sz w:val="21"/>
                <w:szCs w:val="21"/>
                <w:lang w:val="en-US" w:eastAsia="zh-CN"/>
              </w:rPr>
              <w:t>*</w:t>
            </w:r>
          </w:p>
        </w:tc>
        <w:tc>
          <w:tcPr>
            <w:tcW w:w="750"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rPr>
            </w:pPr>
            <w:r>
              <w:rPr>
                <w:rFonts w:hint="eastAsia" w:eastAsia="宋体"/>
                <w:kern w:val="2"/>
                <w:sz w:val="21"/>
                <w:szCs w:val="21"/>
              </w:rPr>
              <w:t>mg/kg</w:t>
            </w:r>
          </w:p>
        </w:tc>
        <w:tc>
          <w:tcPr>
            <w:tcW w:w="75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7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ND</w:t>
            </w:r>
          </w:p>
        </w:tc>
        <w:tc>
          <w:tcPr>
            <w:tcW w:w="80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ND</w:t>
            </w:r>
          </w:p>
        </w:tc>
        <w:tc>
          <w:tcPr>
            <w:tcW w:w="66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ND</w:t>
            </w:r>
          </w:p>
        </w:tc>
        <w:tc>
          <w:tcPr>
            <w:tcW w:w="7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ND</w:t>
            </w:r>
          </w:p>
        </w:tc>
        <w:tc>
          <w:tcPr>
            <w:tcW w:w="69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ND</w:t>
            </w:r>
          </w:p>
        </w:tc>
        <w:tc>
          <w:tcPr>
            <w:tcW w:w="682"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ND</w:t>
            </w:r>
          </w:p>
        </w:tc>
        <w:tc>
          <w:tcPr>
            <w:tcW w:w="72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ND</w:t>
            </w:r>
          </w:p>
        </w:tc>
        <w:tc>
          <w:tcPr>
            <w:tcW w:w="681"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ND</w:t>
            </w:r>
          </w:p>
        </w:tc>
        <w:tc>
          <w:tcPr>
            <w:tcW w:w="72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ND</w:t>
            </w:r>
          </w:p>
        </w:tc>
        <w:tc>
          <w:tcPr>
            <w:tcW w:w="955" w:type="dxa"/>
            <w:vAlign w:val="center"/>
          </w:tcPr>
          <w:p>
            <w:pPr>
              <w:pStyle w:val="49"/>
              <w:keepNext w:val="0"/>
              <w:keepLines w:val="0"/>
              <w:suppressLineNumbers w:val="0"/>
              <w:spacing w:before="0" w:beforeAutospacing="0" w:after="0" w:afterAutospacing="0"/>
              <w:ind w:left="0" w:right="0"/>
              <w:rPr>
                <w:rFonts w:hint="eastAsia" w:eastAsia="宋体"/>
                <w:kern w:val="2"/>
                <w:sz w:val="21"/>
                <w:szCs w:val="21"/>
                <w:lang w:val="en-US" w:eastAsia="zh-CN"/>
              </w:rPr>
            </w:pPr>
            <w:r>
              <w:rPr>
                <w:rFonts w:hint="eastAsia" w:eastAsia="宋体"/>
                <w:kern w:val="2"/>
                <w:sz w:val="21"/>
                <w:szCs w:val="21"/>
                <w:lang w:val="en-US" w:eastAsia="zh-CN"/>
              </w:rPr>
              <w:t>/</w:t>
            </w:r>
          </w:p>
        </w:tc>
      </w:tr>
    </w:tbl>
    <w:p>
      <w:pPr>
        <w:pStyle w:val="69"/>
        <w:spacing w:before="169" w:beforeLines="50" w:line="360" w:lineRule="auto"/>
        <w:ind w:right="-1" w:firstLine="2585" w:firstLineChars="1226"/>
        <w:rPr>
          <w:rFonts w:cs="Times New Roman"/>
          <w:b/>
          <w:bCs/>
          <w:sz w:val="21"/>
          <w:szCs w:val="21"/>
        </w:rPr>
      </w:pPr>
      <w:r>
        <w:rPr>
          <w:rFonts w:cs="Times New Roman"/>
          <w:b/>
          <w:bCs/>
          <w:sz w:val="21"/>
          <w:szCs w:val="21"/>
        </w:rPr>
        <w:t>表</w:t>
      </w:r>
      <w:r>
        <w:rPr>
          <w:rFonts w:hint="eastAsia" w:cs="Times New Roman"/>
          <w:b/>
          <w:bCs/>
          <w:sz w:val="21"/>
          <w:szCs w:val="21"/>
        </w:rPr>
        <w:t>3.2-17</w:t>
      </w:r>
      <w:r>
        <w:rPr>
          <w:rFonts w:cs="Times New Roman"/>
          <w:b/>
          <w:bCs/>
          <w:sz w:val="21"/>
          <w:szCs w:val="21"/>
        </w:rPr>
        <w:t xml:space="preserve">土壤环境质量现状监测结果      </w:t>
      </w:r>
      <w:r>
        <w:rPr>
          <w:rFonts w:cs="Times New Roman"/>
          <w:b/>
          <w:sz w:val="21"/>
          <w:szCs w:val="21"/>
        </w:rPr>
        <w:t xml:space="preserve"> </w:t>
      </w:r>
      <w:r>
        <w:rPr>
          <w:rFonts w:cs="Times New Roman"/>
          <w:b/>
          <w:bCs/>
          <w:sz w:val="21"/>
          <w:szCs w:val="21"/>
        </w:rPr>
        <w:t>单位：mg/kg</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0"/>
        <w:gridCol w:w="1560"/>
        <w:gridCol w:w="2263"/>
        <w:gridCol w:w="2465"/>
        <w:gridCol w:w="17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80" w:type="pct"/>
            <w:vMerge w:val="restart"/>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b/>
                <w:bCs/>
                <w:kern w:val="2"/>
                <w:sz w:val="21"/>
                <w:szCs w:val="21"/>
              </w:rPr>
            </w:pPr>
            <w:r>
              <w:rPr>
                <w:rFonts w:hint="eastAsia" w:eastAsia="宋体"/>
                <w:b/>
                <w:bCs/>
                <w:kern w:val="2"/>
                <w:sz w:val="21"/>
                <w:szCs w:val="21"/>
              </w:rPr>
              <w:t>检测日期</w:t>
            </w:r>
          </w:p>
        </w:tc>
        <w:tc>
          <w:tcPr>
            <w:tcW w:w="835" w:type="pct"/>
            <w:vMerge w:val="restart"/>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b/>
                <w:bCs/>
                <w:kern w:val="2"/>
                <w:sz w:val="21"/>
                <w:szCs w:val="21"/>
              </w:rPr>
            </w:pPr>
            <w:r>
              <w:rPr>
                <w:rFonts w:hint="eastAsia" w:eastAsia="宋体"/>
                <w:b/>
                <w:bCs/>
                <w:kern w:val="2"/>
                <w:sz w:val="21"/>
                <w:szCs w:val="21"/>
              </w:rPr>
              <w:t>检测因子</w:t>
            </w:r>
          </w:p>
        </w:tc>
        <w:tc>
          <w:tcPr>
            <w:tcW w:w="2530" w:type="pct"/>
            <w:gridSpan w:val="2"/>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b/>
                <w:bCs/>
                <w:kern w:val="2"/>
                <w:sz w:val="21"/>
                <w:szCs w:val="21"/>
              </w:rPr>
            </w:pPr>
            <w:r>
              <w:rPr>
                <w:rFonts w:hint="eastAsia" w:eastAsia="宋体"/>
                <w:b/>
                <w:bCs/>
                <w:kern w:val="2"/>
                <w:sz w:val="21"/>
                <w:szCs w:val="21"/>
              </w:rPr>
              <w:t>检测点位及结果</w:t>
            </w:r>
          </w:p>
        </w:tc>
        <w:tc>
          <w:tcPr>
            <w:tcW w:w="956" w:type="pct"/>
            <w:vMerge w:val="restart"/>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b/>
                <w:bCs/>
                <w:kern w:val="2"/>
                <w:sz w:val="21"/>
                <w:szCs w:val="21"/>
              </w:rPr>
            </w:pPr>
            <w:r>
              <w:rPr>
                <w:rFonts w:hint="eastAsia" w:eastAsia="宋体"/>
                <w:b/>
                <w:bCs/>
                <w:kern w:val="2"/>
                <w:sz w:val="21"/>
                <w:szCs w:val="21"/>
                <w:lang w:bidi="ar"/>
              </w:rPr>
              <w:t>质量标准（mg/kg）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80" w:type="pct"/>
            <w:vMerge w:val="continue"/>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b/>
                <w:bCs/>
                <w:kern w:val="2"/>
                <w:sz w:val="21"/>
                <w:szCs w:val="21"/>
              </w:rPr>
            </w:pPr>
          </w:p>
        </w:tc>
        <w:tc>
          <w:tcPr>
            <w:tcW w:w="835" w:type="pct"/>
            <w:vMerge w:val="continue"/>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b/>
                <w:bCs/>
                <w:kern w:val="2"/>
                <w:sz w:val="21"/>
                <w:szCs w:val="21"/>
              </w:rPr>
            </w:pPr>
          </w:p>
        </w:tc>
        <w:tc>
          <w:tcPr>
            <w:tcW w:w="1211" w:type="pct"/>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b/>
                <w:bCs/>
                <w:kern w:val="2"/>
                <w:sz w:val="21"/>
                <w:szCs w:val="21"/>
              </w:rPr>
            </w:pPr>
            <w:r>
              <w:rPr>
                <w:rFonts w:hint="eastAsia" w:eastAsia="宋体"/>
                <w:b/>
                <w:bCs/>
                <w:kern w:val="2"/>
                <w:sz w:val="21"/>
                <w:szCs w:val="21"/>
              </w:rPr>
              <w:t>TS2项目占地范围外</w:t>
            </w:r>
          </w:p>
        </w:tc>
        <w:tc>
          <w:tcPr>
            <w:tcW w:w="1318" w:type="pct"/>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b/>
                <w:bCs/>
                <w:kern w:val="2"/>
                <w:sz w:val="21"/>
                <w:szCs w:val="21"/>
              </w:rPr>
            </w:pPr>
            <w:r>
              <w:rPr>
                <w:rFonts w:hint="eastAsia" w:eastAsia="宋体"/>
                <w:b/>
                <w:bCs/>
                <w:kern w:val="2"/>
                <w:sz w:val="21"/>
                <w:szCs w:val="21"/>
              </w:rPr>
              <w:t>TS3项目占地范围外</w:t>
            </w:r>
          </w:p>
        </w:tc>
        <w:tc>
          <w:tcPr>
            <w:tcW w:w="956" w:type="pct"/>
            <w:vMerge w:val="continue"/>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b/>
                <w:bCs/>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80" w:type="pct"/>
            <w:vMerge w:val="restart"/>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lang w:eastAsia="zh-CN"/>
              </w:rPr>
              <w:t>2020/06/29</w:t>
            </w:r>
          </w:p>
        </w:tc>
        <w:tc>
          <w:tcPr>
            <w:tcW w:w="835" w:type="pct"/>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lang w:eastAsia="zh-CN"/>
              </w:rPr>
              <w:t>pH</w:t>
            </w:r>
          </w:p>
        </w:tc>
        <w:tc>
          <w:tcPr>
            <w:tcW w:w="1211" w:type="pct"/>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lang w:eastAsia="zh-CN"/>
              </w:rPr>
              <w:t>6.95</w:t>
            </w:r>
          </w:p>
        </w:tc>
        <w:tc>
          <w:tcPr>
            <w:tcW w:w="1318" w:type="pct"/>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lang w:eastAsia="zh-CN"/>
              </w:rPr>
              <w:t>6.91</w:t>
            </w:r>
          </w:p>
        </w:tc>
        <w:tc>
          <w:tcPr>
            <w:tcW w:w="956" w:type="pct"/>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val="en-US" w:eastAsia="zh-CN"/>
              </w:rPr>
            </w:pPr>
            <w:r>
              <w:rPr>
                <w:rFonts w:hint="eastAsia" w:eastAsia="宋体"/>
                <w:kern w:val="2"/>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80" w:type="pct"/>
            <w:vMerge w:val="continue"/>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p>
        </w:tc>
        <w:tc>
          <w:tcPr>
            <w:tcW w:w="835" w:type="pct"/>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lang w:eastAsia="zh-CN"/>
              </w:rPr>
              <w:t>铜</w:t>
            </w:r>
          </w:p>
        </w:tc>
        <w:tc>
          <w:tcPr>
            <w:tcW w:w="1211" w:type="pct"/>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lang w:eastAsia="zh-CN"/>
              </w:rPr>
              <w:t>36</w:t>
            </w:r>
          </w:p>
        </w:tc>
        <w:tc>
          <w:tcPr>
            <w:tcW w:w="1318" w:type="pct"/>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lang w:eastAsia="zh-CN"/>
              </w:rPr>
              <w:t>22</w:t>
            </w:r>
          </w:p>
        </w:tc>
        <w:tc>
          <w:tcPr>
            <w:tcW w:w="956" w:type="pct"/>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val="en-US" w:eastAsia="zh-CN"/>
              </w:rPr>
            </w:pPr>
            <w:r>
              <w:rPr>
                <w:rFonts w:hint="eastAsia" w:eastAsia="宋体"/>
                <w:kern w:val="2"/>
                <w:sz w:val="21"/>
                <w:szCs w:val="21"/>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80" w:type="pct"/>
            <w:vMerge w:val="continue"/>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p>
        </w:tc>
        <w:tc>
          <w:tcPr>
            <w:tcW w:w="835" w:type="pct"/>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lang w:eastAsia="zh-CN"/>
              </w:rPr>
              <w:t>锌</w:t>
            </w:r>
          </w:p>
        </w:tc>
        <w:tc>
          <w:tcPr>
            <w:tcW w:w="1211" w:type="pct"/>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lang w:eastAsia="zh-CN"/>
              </w:rPr>
              <w:t>109</w:t>
            </w:r>
          </w:p>
        </w:tc>
        <w:tc>
          <w:tcPr>
            <w:tcW w:w="1318" w:type="pct"/>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lang w:eastAsia="zh-CN"/>
              </w:rPr>
              <w:t>80</w:t>
            </w:r>
          </w:p>
        </w:tc>
        <w:tc>
          <w:tcPr>
            <w:tcW w:w="956" w:type="pct"/>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val="en-US" w:eastAsia="zh-CN"/>
              </w:rPr>
            </w:pPr>
            <w:r>
              <w:rPr>
                <w:rFonts w:hint="eastAsia" w:eastAsia="宋体"/>
                <w:kern w:val="2"/>
                <w:sz w:val="21"/>
                <w:szCs w:val="21"/>
                <w:lang w:val="en-US" w:eastAsia="zh-CN"/>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80" w:type="pct"/>
            <w:vMerge w:val="continue"/>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p>
        </w:tc>
        <w:tc>
          <w:tcPr>
            <w:tcW w:w="835" w:type="pct"/>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lang w:eastAsia="zh-CN"/>
              </w:rPr>
              <w:t>铅</w:t>
            </w:r>
          </w:p>
        </w:tc>
        <w:tc>
          <w:tcPr>
            <w:tcW w:w="1211" w:type="pct"/>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lang w:eastAsia="zh-CN"/>
              </w:rPr>
              <w:t>77</w:t>
            </w:r>
          </w:p>
        </w:tc>
        <w:tc>
          <w:tcPr>
            <w:tcW w:w="1318" w:type="pct"/>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lang w:eastAsia="zh-CN"/>
              </w:rPr>
              <w:t>50</w:t>
            </w:r>
          </w:p>
        </w:tc>
        <w:tc>
          <w:tcPr>
            <w:tcW w:w="956" w:type="pct"/>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val="en-US" w:eastAsia="zh-CN"/>
              </w:rPr>
            </w:pPr>
            <w:r>
              <w:rPr>
                <w:rFonts w:hint="eastAsia" w:eastAsia="宋体"/>
                <w:kern w:val="2"/>
                <w:sz w:val="21"/>
                <w:szCs w:val="21"/>
                <w:lang w:val="en-US" w:eastAsia="zh-CN"/>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80" w:type="pct"/>
            <w:vMerge w:val="continue"/>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p>
        </w:tc>
        <w:tc>
          <w:tcPr>
            <w:tcW w:w="835" w:type="pct"/>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lang w:eastAsia="zh-CN"/>
              </w:rPr>
              <w:t>镍</w:t>
            </w:r>
          </w:p>
        </w:tc>
        <w:tc>
          <w:tcPr>
            <w:tcW w:w="1211" w:type="pct"/>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lang w:eastAsia="zh-CN"/>
              </w:rPr>
              <w:t>38</w:t>
            </w:r>
          </w:p>
        </w:tc>
        <w:tc>
          <w:tcPr>
            <w:tcW w:w="1318" w:type="pct"/>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lang w:eastAsia="zh-CN"/>
              </w:rPr>
              <w:t>21</w:t>
            </w:r>
          </w:p>
        </w:tc>
        <w:tc>
          <w:tcPr>
            <w:tcW w:w="956" w:type="pct"/>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val="en-US" w:eastAsia="zh-CN"/>
              </w:rPr>
            </w:pPr>
            <w:r>
              <w:rPr>
                <w:rFonts w:hint="eastAsia" w:eastAsia="宋体"/>
                <w:kern w:val="2"/>
                <w:sz w:val="21"/>
                <w:szCs w:val="21"/>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80" w:type="pct"/>
            <w:vMerge w:val="continue"/>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p>
        </w:tc>
        <w:tc>
          <w:tcPr>
            <w:tcW w:w="835" w:type="pct"/>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lang w:eastAsia="zh-CN"/>
              </w:rPr>
              <w:t>铬</w:t>
            </w:r>
          </w:p>
        </w:tc>
        <w:tc>
          <w:tcPr>
            <w:tcW w:w="1211" w:type="pct"/>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lang w:eastAsia="zh-CN"/>
              </w:rPr>
              <w:t>83</w:t>
            </w:r>
          </w:p>
        </w:tc>
        <w:tc>
          <w:tcPr>
            <w:tcW w:w="1318" w:type="pct"/>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lang w:eastAsia="zh-CN"/>
              </w:rPr>
              <w:t>52</w:t>
            </w:r>
          </w:p>
        </w:tc>
        <w:tc>
          <w:tcPr>
            <w:tcW w:w="956" w:type="pct"/>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val="en-US" w:eastAsia="zh-CN"/>
              </w:rPr>
            </w:pPr>
            <w:r>
              <w:rPr>
                <w:rFonts w:hint="eastAsia" w:eastAsia="宋体"/>
                <w:kern w:val="2"/>
                <w:sz w:val="21"/>
                <w:szCs w:val="21"/>
                <w:lang w:val="en-US" w:eastAsia="zh-CN"/>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80" w:type="pct"/>
            <w:vMerge w:val="continue"/>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p>
        </w:tc>
        <w:tc>
          <w:tcPr>
            <w:tcW w:w="835" w:type="pct"/>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lang w:eastAsia="zh-CN"/>
              </w:rPr>
              <w:t>镉</w:t>
            </w:r>
          </w:p>
        </w:tc>
        <w:tc>
          <w:tcPr>
            <w:tcW w:w="1211" w:type="pct"/>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lang w:eastAsia="zh-CN"/>
              </w:rPr>
              <w:t>0.23</w:t>
            </w:r>
          </w:p>
        </w:tc>
        <w:tc>
          <w:tcPr>
            <w:tcW w:w="1318" w:type="pct"/>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lang w:eastAsia="zh-CN"/>
              </w:rPr>
              <w:t>0.18</w:t>
            </w:r>
          </w:p>
        </w:tc>
        <w:tc>
          <w:tcPr>
            <w:tcW w:w="956" w:type="pct"/>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val="en-US" w:eastAsia="zh-CN"/>
              </w:rPr>
            </w:pPr>
            <w:r>
              <w:rPr>
                <w:rFonts w:hint="eastAsia" w:eastAsia="宋体"/>
                <w:kern w:val="2"/>
                <w:sz w:val="21"/>
                <w:szCs w:val="21"/>
                <w:lang w:val="en-US" w:eastAsia="zh-CN"/>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80" w:type="pct"/>
            <w:vMerge w:val="continue"/>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p>
        </w:tc>
        <w:tc>
          <w:tcPr>
            <w:tcW w:w="835" w:type="pct"/>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lang w:eastAsia="zh-CN"/>
              </w:rPr>
              <w:t>砷</w:t>
            </w:r>
          </w:p>
        </w:tc>
        <w:tc>
          <w:tcPr>
            <w:tcW w:w="1211" w:type="pct"/>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lang w:eastAsia="zh-CN"/>
              </w:rPr>
              <w:t>5.33</w:t>
            </w:r>
          </w:p>
        </w:tc>
        <w:tc>
          <w:tcPr>
            <w:tcW w:w="1318" w:type="pct"/>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lang w:eastAsia="zh-CN"/>
              </w:rPr>
              <w:t>4.48</w:t>
            </w:r>
          </w:p>
        </w:tc>
        <w:tc>
          <w:tcPr>
            <w:tcW w:w="956" w:type="pct"/>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val="en-US" w:eastAsia="zh-CN"/>
              </w:rPr>
            </w:pPr>
            <w:r>
              <w:rPr>
                <w:rFonts w:hint="eastAsia" w:eastAsia="宋体"/>
                <w:kern w:val="2"/>
                <w:sz w:val="21"/>
                <w:szCs w:val="21"/>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80" w:type="pct"/>
            <w:vMerge w:val="continue"/>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p>
        </w:tc>
        <w:tc>
          <w:tcPr>
            <w:tcW w:w="835" w:type="pct"/>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lang w:eastAsia="zh-CN"/>
              </w:rPr>
              <w:t>汞</w:t>
            </w:r>
          </w:p>
        </w:tc>
        <w:tc>
          <w:tcPr>
            <w:tcW w:w="1211" w:type="pct"/>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lang w:eastAsia="zh-CN"/>
              </w:rPr>
              <w:t>0.173</w:t>
            </w:r>
          </w:p>
        </w:tc>
        <w:tc>
          <w:tcPr>
            <w:tcW w:w="1318" w:type="pct"/>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lang w:eastAsia="zh-CN"/>
              </w:rPr>
              <w:t>0.165</w:t>
            </w:r>
          </w:p>
        </w:tc>
        <w:tc>
          <w:tcPr>
            <w:tcW w:w="956" w:type="pct"/>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val="en-US" w:eastAsia="zh-CN"/>
              </w:rPr>
            </w:pPr>
            <w:r>
              <w:rPr>
                <w:rFonts w:hint="eastAsia" w:eastAsia="宋体"/>
                <w:kern w:val="2"/>
                <w:sz w:val="21"/>
                <w:szCs w:val="21"/>
                <w:lang w:val="en-US" w:eastAsia="zh-CN"/>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80" w:type="pct"/>
            <w:vMerge w:val="continue"/>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p>
        </w:tc>
        <w:tc>
          <w:tcPr>
            <w:tcW w:w="835" w:type="pct"/>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lang w:eastAsia="zh-CN"/>
              </w:rPr>
              <w:t>六六六*</w:t>
            </w:r>
          </w:p>
        </w:tc>
        <w:tc>
          <w:tcPr>
            <w:tcW w:w="1211" w:type="pct"/>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lang w:eastAsia="zh-CN"/>
              </w:rPr>
              <w:t>ND</w:t>
            </w:r>
          </w:p>
        </w:tc>
        <w:tc>
          <w:tcPr>
            <w:tcW w:w="1318" w:type="pct"/>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lang w:eastAsia="zh-CN"/>
              </w:rPr>
              <w:t>ND</w:t>
            </w:r>
          </w:p>
        </w:tc>
        <w:tc>
          <w:tcPr>
            <w:tcW w:w="956" w:type="pct"/>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val="en-US" w:eastAsia="zh-CN"/>
              </w:rPr>
            </w:pPr>
            <w:r>
              <w:rPr>
                <w:rFonts w:hint="eastAsia" w:eastAsia="宋体"/>
                <w:kern w:val="2"/>
                <w:sz w:val="21"/>
                <w:szCs w:val="21"/>
                <w:lang w:val="en-US" w:eastAsia="zh-CN"/>
              </w:rPr>
              <w:t>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80" w:type="pct"/>
            <w:vMerge w:val="continue"/>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p>
        </w:tc>
        <w:tc>
          <w:tcPr>
            <w:tcW w:w="835" w:type="pct"/>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lang w:eastAsia="zh-CN"/>
              </w:rPr>
              <w:t>滴滴涕*</w:t>
            </w:r>
          </w:p>
        </w:tc>
        <w:tc>
          <w:tcPr>
            <w:tcW w:w="1211" w:type="pct"/>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lang w:eastAsia="zh-CN"/>
              </w:rPr>
              <w:t>ND</w:t>
            </w:r>
          </w:p>
        </w:tc>
        <w:tc>
          <w:tcPr>
            <w:tcW w:w="1318" w:type="pct"/>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eastAsia="zh-CN"/>
              </w:rPr>
            </w:pPr>
            <w:r>
              <w:rPr>
                <w:rFonts w:hint="eastAsia" w:eastAsia="宋体"/>
                <w:kern w:val="2"/>
                <w:sz w:val="21"/>
                <w:szCs w:val="21"/>
                <w:lang w:eastAsia="zh-CN"/>
              </w:rPr>
              <w:t>ND</w:t>
            </w:r>
          </w:p>
        </w:tc>
        <w:tc>
          <w:tcPr>
            <w:tcW w:w="956" w:type="pct"/>
            <w:shd w:val="clear" w:color="auto" w:fill="auto"/>
            <w:vAlign w:val="center"/>
          </w:tcPr>
          <w:p>
            <w:pPr>
              <w:pStyle w:val="49"/>
              <w:keepNext w:val="0"/>
              <w:keepLines w:val="0"/>
              <w:suppressLineNumbers w:val="0"/>
              <w:spacing w:before="0" w:beforeAutospacing="0" w:after="0" w:afterAutospacing="0" w:line="260" w:lineRule="exact"/>
              <w:ind w:left="0" w:right="0"/>
              <w:rPr>
                <w:rFonts w:hint="eastAsia" w:eastAsia="宋体"/>
                <w:kern w:val="2"/>
                <w:sz w:val="21"/>
                <w:szCs w:val="21"/>
                <w:lang w:val="en-US" w:eastAsia="zh-CN"/>
              </w:rPr>
            </w:pPr>
            <w:r>
              <w:rPr>
                <w:rFonts w:hint="eastAsia" w:eastAsia="宋体"/>
                <w:kern w:val="2"/>
                <w:sz w:val="21"/>
                <w:szCs w:val="21"/>
                <w:lang w:val="en-US" w:eastAsia="zh-CN"/>
              </w:rPr>
              <w:t>0.10</w:t>
            </w:r>
          </w:p>
        </w:tc>
      </w:tr>
    </w:tbl>
    <w:p>
      <w:pPr>
        <w:pStyle w:val="27"/>
        <w:ind w:left="0" w:leftChars="0" w:firstLine="0" w:firstLineChars="0"/>
        <w:rPr>
          <w:rFonts w:hAnsi="Times New Roman" w:eastAsia="宋体"/>
          <w:lang w:eastAsia="zh-CN"/>
        </w:rPr>
      </w:pPr>
      <w:r>
        <w:rPr>
          <w:rFonts w:hAnsi="Times New Roman" w:eastAsia="宋体"/>
          <w:sz w:val="21"/>
          <w:szCs w:val="21"/>
          <w:lang w:eastAsia="zh-CN"/>
        </w:rPr>
        <w:t>备注：检测结果为“ND”表示未检出或低于检出限值。</w:t>
      </w:r>
    </w:p>
    <w:p>
      <w:pPr>
        <w:spacing w:line="360" w:lineRule="auto"/>
        <w:ind w:firstLine="480" w:firstLineChars="200"/>
        <w:rPr>
          <w:rFonts w:hAnsi="Times New Roman" w:eastAsia="宋体"/>
          <w:szCs w:val="24"/>
          <w:highlight w:val="yellow"/>
          <w:lang w:eastAsia="zh-CN"/>
        </w:rPr>
      </w:pPr>
      <w:r>
        <w:rPr>
          <w:rFonts w:hAnsi="Times New Roman" w:eastAsia="宋体"/>
          <w:szCs w:val="24"/>
          <w:lang w:eastAsia="zh-CN"/>
        </w:rPr>
        <w:t>监测结果表明：项目占地范围内TS1、TS4、TS5、TS6点位所测土壤各因子的含量均符合《土壤环境质量建设用地土壤污染风险管控标准（试行）》（GB36600-2018）中第二类用地“筛选值”要求；项目占地范围外TS2、TS3点位所测土壤各因子的含量均符合《土壤环境质量 农用地土壤污染风险管控标准（试行）》</w:t>
      </w:r>
      <w:r>
        <w:rPr>
          <w:rFonts w:hint="eastAsia" w:hAnsi="Times New Roman" w:eastAsia="宋体"/>
          <w:szCs w:val="24"/>
          <w:lang w:eastAsia="zh-CN"/>
        </w:rPr>
        <w:t>（</w:t>
      </w:r>
      <w:r>
        <w:rPr>
          <w:rFonts w:hAnsi="Times New Roman" w:eastAsia="宋体"/>
          <w:szCs w:val="24"/>
          <w:lang w:eastAsia="zh-CN"/>
        </w:rPr>
        <w:t>GB 15618-2018</w:t>
      </w:r>
      <w:r>
        <w:rPr>
          <w:rFonts w:hint="eastAsia" w:hAnsi="Times New Roman" w:eastAsia="宋体"/>
          <w:szCs w:val="24"/>
          <w:lang w:eastAsia="zh-CN"/>
        </w:rPr>
        <w:t>）</w:t>
      </w:r>
      <w:r>
        <w:rPr>
          <w:rFonts w:hAnsi="Times New Roman" w:eastAsia="宋体"/>
          <w:szCs w:val="24"/>
          <w:lang w:eastAsia="zh-CN"/>
        </w:rPr>
        <w:t>表1农用地土壤污染风险筛选值的要求。</w:t>
      </w:r>
    </w:p>
    <w:p>
      <w:pPr>
        <w:spacing w:line="360" w:lineRule="auto"/>
        <w:ind w:firstLine="480" w:firstLineChars="200"/>
        <w:rPr>
          <w:rFonts w:hAnsi="Times New Roman" w:eastAsia="宋体"/>
          <w:lang w:eastAsia="zh-CN"/>
        </w:rPr>
        <w:sectPr>
          <w:headerReference r:id="rId11" w:type="default"/>
          <w:pgSz w:w="11905" w:h="16838"/>
          <w:pgMar w:top="1440" w:right="1304" w:bottom="1440" w:left="1474" w:header="850" w:footer="992" w:gutter="0"/>
          <w:cols w:space="0" w:num="1"/>
          <w:docGrid w:type="lines" w:linePitch="338" w:charSpace="0"/>
        </w:sectPr>
      </w:pPr>
    </w:p>
    <w:p>
      <w:pPr>
        <w:pStyle w:val="4"/>
        <w:rPr>
          <w:lang w:eastAsia="zh-CN"/>
        </w:rPr>
      </w:pPr>
      <w:bookmarkStart w:id="154" w:name="_Toc163749162"/>
      <w:bookmarkStart w:id="155" w:name="_Toc167095168"/>
      <w:r>
        <w:rPr>
          <w:lang w:eastAsia="zh-CN"/>
        </w:rPr>
        <w:t>4 地表沉陷预测及生态影响评价</w:t>
      </w:r>
      <w:bookmarkEnd w:id="154"/>
      <w:bookmarkEnd w:id="155"/>
    </w:p>
    <w:p>
      <w:pPr>
        <w:pStyle w:val="5"/>
        <w:rPr>
          <w:rFonts w:ascii="Times New Roman" w:hAnsi="Times New Roman"/>
          <w:lang w:eastAsia="zh-CN"/>
        </w:rPr>
      </w:pPr>
      <w:bookmarkStart w:id="156" w:name="_Toc167095169"/>
      <w:bookmarkStart w:id="157" w:name="_Toc163749163"/>
      <w:r>
        <w:rPr>
          <w:rFonts w:ascii="Times New Roman" w:hAnsi="Times New Roman"/>
          <w:lang w:eastAsia="zh-CN"/>
        </w:rPr>
        <w:t>4.1 概述</w:t>
      </w:r>
      <w:bookmarkEnd w:id="156"/>
      <w:bookmarkEnd w:id="157"/>
    </w:p>
    <w:p>
      <w:pPr>
        <w:pStyle w:val="6"/>
        <w:rPr>
          <w:lang w:eastAsia="zh-CN"/>
        </w:rPr>
      </w:pPr>
      <w:bookmarkStart w:id="158" w:name="_Toc163812547"/>
      <w:bookmarkStart w:id="159" w:name="_Toc167095170"/>
      <w:r>
        <w:rPr>
          <w:lang w:eastAsia="zh-CN"/>
        </w:rPr>
        <w:t>4.1.1 评价目的与原则</w:t>
      </w:r>
      <w:bookmarkEnd w:id="158"/>
      <w:bookmarkEnd w:id="159"/>
    </w:p>
    <w:p>
      <w:pPr>
        <w:spacing w:line="360" w:lineRule="auto"/>
        <w:rPr>
          <w:rFonts w:hAnsi="Times New Roman" w:eastAsia="宋体"/>
          <w:b/>
          <w:bCs/>
          <w:szCs w:val="22"/>
          <w:lang w:eastAsia="zh-CN"/>
        </w:rPr>
      </w:pPr>
      <w:bookmarkStart w:id="160" w:name="_Toc6820659"/>
      <w:bookmarkStart w:id="161" w:name="_Toc10738137"/>
      <w:bookmarkStart w:id="162" w:name="_Toc89288708"/>
      <w:r>
        <w:rPr>
          <w:rFonts w:hAnsi="Times New Roman" w:eastAsia="宋体"/>
          <w:b/>
          <w:bCs/>
          <w:szCs w:val="22"/>
          <w:lang w:eastAsia="zh-CN"/>
        </w:rPr>
        <w:t xml:space="preserve">4.1.1.1 </w:t>
      </w:r>
      <w:bookmarkEnd w:id="160"/>
      <w:r>
        <w:rPr>
          <w:rFonts w:hAnsi="Times New Roman" w:eastAsia="宋体"/>
          <w:b/>
          <w:bCs/>
          <w:szCs w:val="22"/>
          <w:lang w:eastAsia="zh-CN"/>
        </w:rPr>
        <w:t>评价目的</w:t>
      </w:r>
      <w:bookmarkEnd w:id="161"/>
      <w:bookmarkEnd w:id="162"/>
    </w:p>
    <w:p>
      <w:pPr>
        <w:spacing w:line="360" w:lineRule="auto"/>
        <w:ind w:firstLine="480" w:firstLineChars="200"/>
        <w:rPr>
          <w:rFonts w:hAnsi="Times New Roman" w:eastAsia="宋体"/>
          <w:szCs w:val="22"/>
        </w:rPr>
      </w:pPr>
      <w:r>
        <w:rPr>
          <w:rFonts w:hAnsi="Times New Roman" w:eastAsia="宋体"/>
          <w:szCs w:val="24"/>
        </w:rPr>
        <w:t>达州市宣汉县七里峡煤业有限公司七里峡煤矿，位于宣汉县县城177°方向、直线距离约16km，行政区划隶属</w:t>
      </w:r>
      <w:r>
        <w:rPr>
          <w:rFonts w:hAnsi="Times New Roman" w:eastAsia="宋体"/>
          <w:lang w:eastAsia="zh-CN"/>
        </w:rPr>
        <w:t>宣汉县天生镇洞宫社区</w:t>
      </w:r>
      <w:r>
        <w:rPr>
          <w:rFonts w:hAnsi="Times New Roman" w:eastAsia="宋体"/>
          <w:szCs w:val="24"/>
        </w:rPr>
        <w:t>。矿区跨达州市宣汉县、开江县和达川区，工业广场位于宣汉县七里镇。含峨层山矿区长田井田和开丰井田各一部分。矿区中心地理坐标（2000国家大地坐标系，1985国家高程基准）：东经107°44′17″，北纬31°11′26″。矿区主井口坐标：X=3452875.670m，X=36474596.960m，H=379.00m。矿区范围植被较发育，但土壤土质疏松</w:t>
      </w:r>
      <w:r>
        <w:rPr>
          <w:rFonts w:hint="eastAsia" w:hAnsi="Times New Roman" w:eastAsia="宋体"/>
          <w:szCs w:val="24"/>
          <w:lang w:eastAsia="zh-CN"/>
        </w:rPr>
        <w:t>，</w:t>
      </w:r>
      <w:r>
        <w:rPr>
          <w:rFonts w:hAnsi="Times New Roman" w:eastAsia="宋体"/>
          <w:szCs w:val="24"/>
        </w:rPr>
        <w:t>有机质含量低，自然肥力弱，易流失，该矿区的施工和营运可能会在一定程度上加剧水土流失，新增水土流失量，同时也会对周围的生态环境及生物多样性产生一定的负面影响，且矿山开采将导致矿区土地利用类型明显改变，影响程度较大</w:t>
      </w:r>
      <w:r>
        <w:rPr>
          <w:rFonts w:hAnsi="Times New Roman" w:eastAsia="宋体"/>
          <w:szCs w:val="22"/>
        </w:rPr>
        <w:t>。</w:t>
      </w:r>
    </w:p>
    <w:p>
      <w:pPr>
        <w:spacing w:line="360" w:lineRule="auto"/>
        <w:ind w:firstLine="480" w:firstLineChars="200"/>
        <w:rPr>
          <w:rFonts w:hAnsi="Times New Roman" w:eastAsia="宋体"/>
          <w:szCs w:val="24"/>
        </w:rPr>
      </w:pPr>
      <w:r>
        <w:rPr>
          <w:rFonts w:hAnsi="Times New Roman" w:eastAsia="宋体"/>
          <w:szCs w:val="24"/>
        </w:rPr>
        <w:t>专题采用野外调查与遥感技术相结合的方法，对评价范围内植被、陆生动植物资源以及经过的生态敏感区域进行详细调查和评论，并在此基础上，结合项目工程特性，预测评价该工程建设对区域内植被、生物资源和生态敏感区产生的影响，给出该工程建设对生物多样性、生态环境敏感区、区域景观影响的结论。从保护生物多样性和维护区域生态平衡的角度出发，提出相应的保护对策及措施，重点对植被、珍稀动植物、狭域性动植物提出具体保护措施、对策和建议；在生态环境现状分析和评价的基础上，预测拟建项目在基建期和开采期可能对生态环境产生的不利影响，使工程项目的有利影响得到合理和充分</w:t>
      </w:r>
      <w:r>
        <w:rPr>
          <w:rFonts w:hint="eastAsia" w:hAnsi="Times New Roman" w:eastAsia="宋体"/>
          <w:szCs w:val="24"/>
          <w:lang w:eastAsia="zh-CN"/>
        </w:rPr>
        <w:t>地</w:t>
      </w:r>
      <w:r>
        <w:rPr>
          <w:rFonts w:hAnsi="Times New Roman" w:eastAsia="宋体"/>
          <w:szCs w:val="24"/>
        </w:rPr>
        <w:t>利用，使不利影响在采取积极措施后得到减缓或消除以尽可能减少因工程建设给区域生态环境及生物多样性带来的不利影响，为工程的建设和管理提供科学依据。</w:t>
      </w:r>
    </w:p>
    <w:p>
      <w:pPr>
        <w:spacing w:line="360" w:lineRule="auto"/>
        <w:ind w:firstLine="480" w:firstLineChars="200"/>
        <w:rPr>
          <w:rFonts w:hAnsi="Times New Roman" w:eastAsia="宋体"/>
          <w:szCs w:val="24"/>
        </w:rPr>
      </w:pPr>
      <w:r>
        <w:rPr>
          <w:rFonts w:hAnsi="Times New Roman" w:eastAsia="宋体"/>
          <w:szCs w:val="24"/>
        </w:rPr>
        <w:t>通过生态调查和评价，本报告将达到以下目的：</w:t>
      </w:r>
    </w:p>
    <w:p>
      <w:pPr>
        <w:spacing w:line="360" w:lineRule="auto"/>
        <w:ind w:firstLine="480" w:firstLineChars="200"/>
        <w:rPr>
          <w:rFonts w:hAnsi="Times New Roman" w:eastAsia="宋体"/>
          <w:szCs w:val="24"/>
        </w:rPr>
      </w:pPr>
      <w:r>
        <w:rPr>
          <w:rFonts w:hAnsi="Times New Roman" w:eastAsia="宋体"/>
          <w:szCs w:val="24"/>
        </w:rPr>
        <w:t>1) 全面掌握项目区的生态类型、生态资源及生态环境，对项目所在区域的生态现状</w:t>
      </w:r>
      <w:r>
        <w:rPr>
          <w:rFonts w:hint="eastAsia" w:hAnsi="Times New Roman" w:eastAsia="宋体"/>
          <w:szCs w:val="24"/>
          <w:lang w:eastAsia="zh-CN"/>
        </w:rPr>
        <w:t>作出评价</w:t>
      </w:r>
      <w:r>
        <w:rPr>
          <w:rFonts w:hAnsi="Times New Roman" w:eastAsia="宋体"/>
          <w:szCs w:val="24"/>
        </w:rPr>
        <w:t>。</w:t>
      </w:r>
    </w:p>
    <w:p>
      <w:pPr>
        <w:spacing w:line="360" w:lineRule="auto"/>
        <w:ind w:firstLine="480" w:firstLineChars="200"/>
        <w:rPr>
          <w:rFonts w:hAnsi="Times New Roman" w:eastAsia="宋体"/>
          <w:szCs w:val="24"/>
        </w:rPr>
      </w:pPr>
      <w:r>
        <w:rPr>
          <w:rFonts w:hAnsi="Times New Roman" w:eastAsia="宋体"/>
          <w:szCs w:val="24"/>
        </w:rPr>
        <w:t>2) 在生态环境现状评价与项目开发建设活动特征分析的基础上，预测拟建项目在建设期、运营期和退役期可能对生态环境产生的各种有利和不利影响，评估区域生态环境的变化趋势；给出本项目建设对生物多样性及区域景观影响的结论。</w:t>
      </w:r>
    </w:p>
    <w:p>
      <w:pPr>
        <w:spacing w:line="360" w:lineRule="auto"/>
        <w:ind w:firstLine="480" w:firstLineChars="200"/>
        <w:rPr>
          <w:rFonts w:hAnsi="Times New Roman" w:eastAsia="宋体"/>
          <w:szCs w:val="24"/>
        </w:rPr>
      </w:pPr>
      <w:r>
        <w:rPr>
          <w:rFonts w:hAnsi="Times New Roman" w:eastAsia="宋体"/>
          <w:szCs w:val="24"/>
        </w:rPr>
        <w:t>3) 针对项目生态影响，结合当地自然、经济、社会条件，提出避免、减缓不利影响，恢复、改善生态环境的可行对策，为项目建设、工程设计及环境管理部门进行生态环境监控和管理、决策提供科学依据。</w:t>
      </w:r>
    </w:p>
    <w:p>
      <w:pPr>
        <w:spacing w:line="360" w:lineRule="auto"/>
        <w:rPr>
          <w:rFonts w:hAnsi="Times New Roman" w:eastAsia="宋体"/>
          <w:b/>
          <w:bCs/>
          <w:szCs w:val="22"/>
          <w:lang w:eastAsia="zh-CN"/>
        </w:rPr>
      </w:pPr>
      <w:r>
        <w:rPr>
          <w:rFonts w:hAnsi="Times New Roman" w:eastAsia="宋体"/>
          <w:b/>
          <w:bCs/>
          <w:szCs w:val="22"/>
          <w:lang w:eastAsia="zh-CN"/>
        </w:rPr>
        <w:t>4.1.1.2 评价原则</w:t>
      </w:r>
    </w:p>
    <w:p>
      <w:pPr>
        <w:spacing w:line="360" w:lineRule="auto"/>
        <w:ind w:firstLine="482" w:firstLineChars="200"/>
        <w:rPr>
          <w:rFonts w:hAnsi="Times New Roman" w:eastAsia="宋体"/>
          <w:b/>
          <w:bCs/>
          <w:lang w:eastAsia="zh-CN"/>
        </w:rPr>
      </w:pPr>
      <w:r>
        <w:rPr>
          <w:rFonts w:hAnsi="Times New Roman" w:eastAsia="宋体"/>
          <w:b/>
          <w:bCs/>
          <w:lang w:eastAsia="zh-CN"/>
        </w:rPr>
        <w:t>（</w:t>
      </w:r>
      <w:r>
        <w:rPr>
          <w:rFonts w:hAnsi="Times New Roman" w:eastAsia="宋体"/>
          <w:b/>
          <w:bCs/>
        </w:rPr>
        <w:t>1</w:t>
      </w:r>
      <w:r>
        <w:rPr>
          <w:rFonts w:hAnsi="Times New Roman" w:eastAsia="宋体"/>
          <w:b/>
          <w:bCs/>
          <w:lang w:eastAsia="zh-CN"/>
        </w:rPr>
        <w:t>）依法评价原则</w:t>
      </w:r>
    </w:p>
    <w:p>
      <w:pPr>
        <w:spacing w:line="360" w:lineRule="auto"/>
        <w:ind w:firstLine="480" w:firstLineChars="200"/>
        <w:rPr>
          <w:rFonts w:hAnsi="Times New Roman" w:eastAsia="宋体"/>
          <w:szCs w:val="22"/>
        </w:rPr>
      </w:pPr>
      <w:r>
        <w:rPr>
          <w:rFonts w:hAnsi="Times New Roman" w:eastAsia="宋体"/>
          <w:szCs w:val="22"/>
        </w:rPr>
        <w:t>生态影响评价过程中应贯彻执行我国生态保护相关的法律法规、标准、政策，分析建设项目对周围的生态环境及生物多样性的影响。以建设区域可持续发展为指导思想，尊重自然，注重土地、水与生物等自然资源和环境的保护。</w:t>
      </w:r>
    </w:p>
    <w:p>
      <w:pPr>
        <w:spacing w:line="360" w:lineRule="auto"/>
        <w:ind w:firstLine="482" w:firstLineChars="200"/>
        <w:rPr>
          <w:rFonts w:hAnsi="Times New Roman" w:eastAsia="宋体"/>
          <w:b/>
          <w:bCs/>
          <w:lang w:eastAsia="zh-CN"/>
        </w:rPr>
      </w:pPr>
      <w:r>
        <w:rPr>
          <w:rFonts w:hAnsi="Times New Roman" w:eastAsia="宋体"/>
          <w:b/>
          <w:bCs/>
          <w:lang w:eastAsia="zh-CN"/>
        </w:rPr>
        <w:t>（2）生态优先原则</w:t>
      </w:r>
    </w:p>
    <w:p>
      <w:pPr>
        <w:spacing w:line="360" w:lineRule="auto"/>
        <w:ind w:firstLine="480" w:firstLineChars="200"/>
        <w:rPr>
          <w:rFonts w:hAnsi="Times New Roman" w:eastAsia="宋体"/>
          <w:szCs w:val="22"/>
        </w:rPr>
      </w:pPr>
      <w:r>
        <w:rPr>
          <w:rFonts w:hAnsi="Times New Roman" w:eastAsia="宋体"/>
        </w:rPr>
        <w:t>在工程建设、工程运营、工程占地及生态恢复措施中认真贯彻生态优先原则，预防为主，强化后期恢复和补偿，将生态影响降低到最低程度。在立足生态保护的前提下，合理利用自然资源，综合考虑环境与社会经济的协调发展关系</w:t>
      </w:r>
      <w:r>
        <w:rPr>
          <w:rFonts w:hAnsi="Times New Roman" w:eastAsia="宋体"/>
          <w:szCs w:val="22"/>
        </w:rPr>
        <w:t>。</w:t>
      </w:r>
    </w:p>
    <w:p>
      <w:pPr>
        <w:spacing w:line="360" w:lineRule="auto"/>
        <w:ind w:firstLine="482" w:firstLineChars="200"/>
        <w:rPr>
          <w:rFonts w:hAnsi="Times New Roman" w:eastAsia="宋体"/>
          <w:b/>
          <w:bCs/>
          <w:lang w:eastAsia="zh-CN"/>
        </w:rPr>
      </w:pPr>
      <w:r>
        <w:rPr>
          <w:rFonts w:hAnsi="Times New Roman" w:eastAsia="宋体"/>
          <w:b/>
          <w:bCs/>
          <w:lang w:eastAsia="zh-CN"/>
        </w:rPr>
        <w:t>（3）突出重点原则</w:t>
      </w:r>
    </w:p>
    <w:p>
      <w:pPr>
        <w:spacing w:line="360" w:lineRule="auto"/>
        <w:ind w:firstLine="480" w:firstLineChars="200"/>
        <w:rPr>
          <w:rFonts w:hAnsi="Times New Roman" w:eastAsia="宋体"/>
          <w:szCs w:val="22"/>
        </w:rPr>
      </w:pPr>
      <w:r>
        <w:rPr>
          <w:rFonts w:hAnsi="Times New Roman" w:eastAsia="宋体"/>
          <w:szCs w:val="24"/>
        </w:rPr>
        <w:t>对评价范围内的生态影响进行全面评价，并对重要区域的生态影响及重要动植物进行重点分析与评价</w:t>
      </w:r>
      <w:r>
        <w:rPr>
          <w:rFonts w:hAnsi="Times New Roman" w:eastAsia="宋体"/>
          <w:szCs w:val="22"/>
        </w:rPr>
        <w:t>。</w:t>
      </w:r>
    </w:p>
    <w:p>
      <w:pPr>
        <w:spacing w:line="360" w:lineRule="auto"/>
        <w:ind w:firstLine="482" w:firstLineChars="200"/>
        <w:rPr>
          <w:rFonts w:hAnsi="Times New Roman" w:eastAsia="宋体"/>
          <w:b/>
          <w:bCs/>
          <w:lang w:eastAsia="zh-CN"/>
        </w:rPr>
      </w:pPr>
      <w:r>
        <w:rPr>
          <w:rFonts w:hAnsi="Times New Roman" w:eastAsia="宋体"/>
          <w:b/>
          <w:bCs/>
          <w:lang w:eastAsia="zh-CN"/>
        </w:rPr>
        <w:t>（4）广泛参与原则</w:t>
      </w:r>
    </w:p>
    <w:p>
      <w:pPr>
        <w:spacing w:line="360" w:lineRule="auto"/>
        <w:ind w:firstLine="480" w:firstLineChars="200"/>
        <w:rPr>
          <w:rFonts w:hAnsi="Times New Roman" w:eastAsia="宋体"/>
          <w:szCs w:val="22"/>
        </w:rPr>
      </w:pPr>
      <w:r>
        <w:rPr>
          <w:rFonts w:hAnsi="Times New Roman" w:eastAsia="宋体"/>
        </w:rPr>
        <w:t>生态影响评价应广泛吸收相关学科和行业的专家、有关单位及本地居民的意见</w:t>
      </w:r>
      <w:r>
        <w:rPr>
          <w:rFonts w:hAnsi="Times New Roman" w:eastAsia="宋体"/>
          <w:szCs w:val="22"/>
        </w:rPr>
        <w:t>。</w:t>
      </w:r>
    </w:p>
    <w:p>
      <w:pPr>
        <w:pStyle w:val="6"/>
        <w:rPr>
          <w:szCs w:val="22"/>
          <w:lang w:eastAsia="zh-CN"/>
        </w:rPr>
      </w:pPr>
      <w:bookmarkStart w:id="163" w:name="_Toc167095171"/>
      <w:bookmarkStart w:id="164" w:name="_Toc163812548"/>
      <w:r>
        <w:rPr>
          <w:szCs w:val="22"/>
          <w:lang w:eastAsia="zh-CN"/>
        </w:rPr>
        <w:t>4.1.2 评价内容与重点</w:t>
      </w:r>
      <w:bookmarkEnd w:id="163"/>
      <w:bookmarkEnd w:id="164"/>
    </w:p>
    <w:p>
      <w:pPr>
        <w:spacing w:line="360" w:lineRule="auto"/>
        <w:rPr>
          <w:rFonts w:hAnsi="Times New Roman" w:eastAsia="宋体"/>
          <w:b/>
          <w:bCs/>
          <w:szCs w:val="22"/>
          <w:lang w:eastAsia="zh-CN"/>
        </w:rPr>
      </w:pPr>
      <w:r>
        <w:rPr>
          <w:rFonts w:hAnsi="Times New Roman" w:eastAsia="宋体"/>
          <w:b/>
          <w:bCs/>
          <w:szCs w:val="22"/>
          <w:lang w:eastAsia="zh-CN"/>
        </w:rPr>
        <w:t>4.1.2.1 评价内容</w:t>
      </w:r>
    </w:p>
    <w:p>
      <w:pPr>
        <w:spacing w:line="360" w:lineRule="auto"/>
        <w:ind w:firstLine="482" w:firstLineChars="200"/>
        <w:rPr>
          <w:rFonts w:hAnsi="Times New Roman" w:eastAsia="宋体"/>
          <w:b/>
          <w:bCs/>
          <w:lang w:eastAsia="zh-CN"/>
        </w:rPr>
      </w:pPr>
      <w:r>
        <w:rPr>
          <w:rFonts w:hAnsi="Times New Roman" w:eastAsia="宋体"/>
          <w:b/>
          <w:bCs/>
          <w:lang w:eastAsia="zh-CN"/>
        </w:rPr>
        <w:t>（1）对土地资源的影响</w:t>
      </w:r>
    </w:p>
    <w:p>
      <w:pPr>
        <w:spacing w:line="360" w:lineRule="auto"/>
        <w:ind w:firstLine="480" w:firstLineChars="200"/>
        <w:rPr>
          <w:rFonts w:hAnsi="Times New Roman" w:eastAsia="宋体"/>
          <w:szCs w:val="22"/>
        </w:rPr>
      </w:pPr>
      <w:r>
        <w:rPr>
          <w:rFonts w:hAnsi="Times New Roman" w:eastAsia="宋体"/>
        </w:rPr>
        <w:t>根据项目占地情况分析占地对评价区土地资源造成的影响</w:t>
      </w:r>
      <w:r>
        <w:rPr>
          <w:rFonts w:hAnsi="Times New Roman" w:eastAsia="宋体"/>
          <w:szCs w:val="22"/>
        </w:rPr>
        <w:t>。</w:t>
      </w:r>
    </w:p>
    <w:p>
      <w:pPr>
        <w:spacing w:line="360" w:lineRule="auto"/>
        <w:ind w:firstLine="482" w:firstLineChars="200"/>
        <w:rPr>
          <w:rFonts w:hAnsi="Times New Roman" w:eastAsia="宋体"/>
          <w:b/>
          <w:bCs/>
          <w:lang w:eastAsia="zh-CN"/>
        </w:rPr>
      </w:pPr>
      <w:r>
        <w:rPr>
          <w:rFonts w:hAnsi="Times New Roman" w:eastAsia="宋体"/>
          <w:b/>
          <w:bCs/>
          <w:lang w:eastAsia="zh-CN"/>
        </w:rPr>
        <w:t>（2）对植被及植物多样性的影响</w:t>
      </w:r>
    </w:p>
    <w:p>
      <w:pPr>
        <w:spacing w:line="360" w:lineRule="auto"/>
        <w:ind w:firstLine="480" w:firstLineChars="200"/>
        <w:rPr>
          <w:rFonts w:hAnsi="Times New Roman" w:eastAsia="宋体"/>
          <w:szCs w:val="22"/>
        </w:rPr>
      </w:pPr>
      <w:r>
        <w:rPr>
          <w:rFonts w:hAnsi="Times New Roman" w:eastAsia="宋体"/>
        </w:rPr>
        <w:t>根据评价范围植被类型及分布情况，分析项目建设前后植被群落和数量的变化以及造成的生物量损失，分析项目建设期、运营期和退役期对植物多样性产生的影响</w:t>
      </w:r>
      <w:r>
        <w:rPr>
          <w:rFonts w:hAnsi="Times New Roman" w:eastAsia="宋体"/>
          <w:szCs w:val="22"/>
        </w:rPr>
        <w:t>。</w:t>
      </w:r>
    </w:p>
    <w:p>
      <w:pPr>
        <w:spacing w:line="360" w:lineRule="auto"/>
        <w:ind w:firstLine="482" w:firstLineChars="200"/>
        <w:rPr>
          <w:rFonts w:hAnsi="Times New Roman" w:eastAsia="宋体"/>
          <w:b/>
          <w:bCs/>
          <w:lang w:eastAsia="zh-CN"/>
        </w:rPr>
      </w:pPr>
      <w:r>
        <w:rPr>
          <w:rFonts w:hAnsi="Times New Roman" w:eastAsia="宋体"/>
          <w:b/>
          <w:bCs/>
          <w:lang w:eastAsia="zh-CN"/>
        </w:rPr>
        <w:t>（3）对野生动物的影响</w:t>
      </w:r>
    </w:p>
    <w:p>
      <w:pPr>
        <w:spacing w:line="360" w:lineRule="auto"/>
        <w:ind w:firstLine="480" w:firstLineChars="200"/>
        <w:rPr>
          <w:rFonts w:hAnsi="Times New Roman" w:eastAsia="宋体"/>
          <w:szCs w:val="22"/>
        </w:rPr>
      </w:pPr>
      <w:r>
        <w:rPr>
          <w:rFonts w:hAnsi="Times New Roman" w:eastAsia="宋体"/>
        </w:rPr>
        <w:t>通过对评价范围内野生动物的调查，分析评价拟建项目占地对动物栖息地及生境产生的影响，建设期、运营期和退役期中对野生动物尤其是重点保护动物的影响</w:t>
      </w:r>
      <w:r>
        <w:rPr>
          <w:rFonts w:hAnsi="Times New Roman" w:eastAsia="宋体"/>
          <w:szCs w:val="22"/>
        </w:rPr>
        <w:t>。</w:t>
      </w:r>
    </w:p>
    <w:p>
      <w:pPr>
        <w:spacing w:line="360" w:lineRule="auto"/>
        <w:ind w:firstLine="482" w:firstLineChars="200"/>
        <w:rPr>
          <w:rFonts w:hAnsi="Times New Roman" w:eastAsia="宋体"/>
          <w:b/>
          <w:bCs/>
          <w:lang w:eastAsia="zh-CN"/>
        </w:rPr>
      </w:pPr>
      <w:r>
        <w:rPr>
          <w:rFonts w:hAnsi="Times New Roman" w:eastAsia="宋体"/>
          <w:b/>
          <w:bCs/>
          <w:lang w:eastAsia="zh-CN"/>
        </w:rPr>
        <w:t>（4）对生态系统的影响</w:t>
      </w:r>
    </w:p>
    <w:p>
      <w:pPr>
        <w:spacing w:line="360" w:lineRule="auto"/>
        <w:ind w:firstLine="480" w:firstLineChars="200"/>
        <w:rPr>
          <w:rFonts w:hAnsi="Times New Roman" w:eastAsia="宋体"/>
          <w:szCs w:val="22"/>
        </w:rPr>
      </w:pPr>
      <w:r>
        <w:rPr>
          <w:rFonts w:hAnsi="Times New Roman" w:eastAsia="宋体"/>
        </w:rPr>
        <w:t>建设项目不仅占用和扰动土地资源，建设过程中还会带来水、气、声、渣等污染，结合生态系统类型的分布，分析评价项目建设对生态系统格局、生态系统完整性和稳定性以及环境质量造成的影响</w:t>
      </w:r>
      <w:r>
        <w:rPr>
          <w:rFonts w:hAnsi="Times New Roman" w:eastAsia="宋体"/>
          <w:szCs w:val="22"/>
        </w:rPr>
        <w:t>。</w:t>
      </w:r>
    </w:p>
    <w:p>
      <w:pPr>
        <w:spacing w:line="360" w:lineRule="auto"/>
        <w:ind w:firstLine="482" w:firstLineChars="200"/>
        <w:rPr>
          <w:rFonts w:hAnsi="Times New Roman" w:eastAsia="宋体"/>
          <w:b/>
          <w:bCs/>
          <w:lang w:eastAsia="zh-CN"/>
        </w:rPr>
      </w:pPr>
      <w:r>
        <w:rPr>
          <w:rFonts w:hAnsi="Times New Roman" w:eastAsia="宋体"/>
          <w:b/>
          <w:bCs/>
          <w:lang w:eastAsia="zh-CN"/>
        </w:rPr>
        <w:t>（5）对自然景观的影响</w:t>
      </w:r>
    </w:p>
    <w:p>
      <w:pPr>
        <w:spacing w:line="360" w:lineRule="auto"/>
        <w:ind w:firstLine="480" w:firstLineChars="200"/>
        <w:rPr>
          <w:rFonts w:hAnsi="Times New Roman" w:eastAsia="宋体"/>
          <w:szCs w:val="22"/>
        </w:rPr>
      </w:pPr>
      <w:r>
        <w:rPr>
          <w:rFonts w:hAnsi="Times New Roman" w:eastAsia="宋体"/>
        </w:rPr>
        <w:t>根据景观数据分析评价项目建设对自然景观、景观格局等造成的影响</w:t>
      </w:r>
      <w:r>
        <w:rPr>
          <w:rFonts w:hAnsi="Times New Roman" w:eastAsia="宋体"/>
          <w:szCs w:val="22"/>
        </w:rPr>
        <w:t>。</w:t>
      </w:r>
    </w:p>
    <w:p>
      <w:pPr>
        <w:spacing w:line="360" w:lineRule="auto"/>
        <w:rPr>
          <w:rFonts w:hAnsi="Times New Roman" w:eastAsia="宋体"/>
          <w:b/>
          <w:bCs/>
          <w:szCs w:val="22"/>
          <w:lang w:eastAsia="zh-CN"/>
        </w:rPr>
      </w:pPr>
      <w:r>
        <w:rPr>
          <w:rFonts w:hAnsi="Times New Roman" w:eastAsia="宋体"/>
          <w:b/>
          <w:bCs/>
          <w:szCs w:val="22"/>
          <w:lang w:eastAsia="zh-CN"/>
        </w:rPr>
        <w:t>4.1.2.2 评价重点</w:t>
      </w:r>
    </w:p>
    <w:p>
      <w:pPr>
        <w:spacing w:line="360" w:lineRule="auto"/>
        <w:ind w:firstLine="480" w:firstLineChars="200"/>
        <w:rPr>
          <w:rFonts w:hAnsi="Times New Roman" w:eastAsia="宋体"/>
          <w:szCs w:val="24"/>
        </w:rPr>
      </w:pPr>
      <w:r>
        <w:rPr>
          <w:rFonts w:hAnsi="Times New Roman" w:eastAsia="宋体"/>
          <w:szCs w:val="24"/>
        </w:rPr>
        <w:t>根据资料收集情况、建设项目的工程特点和项目实施区的环境概况，本生态环境影响评价的重点确定为：</w:t>
      </w:r>
    </w:p>
    <w:p>
      <w:pPr>
        <w:spacing w:line="360" w:lineRule="auto"/>
        <w:ind w:firstLine="480" w:firstLineChars="200"/>
        <w:rPr>
          <w:rFonts w:hAnsi="Times New Roman" w:eastAsia="宋体"/>
          <w:szCs w:val="24"/>
        </w:rPr>
      </w:pPr>
      <w:r>
        <w:rPr>
          <w:rFonts w:hAnsi="Times New Roman" w:eastAsia="宋体"/>
          <w:szCs w:val="24"/>
        </w:rPr>
        <w:t>（1）项目区范围内植物种类和天然植被，特别是重点保护植物种类。</w:t>
      </w:r>
    </w:p>
    <w:p>
      <w:pPr>
        <w:spacing w:line="360" w:lineRule="auto"/>
        <w:ind w:firstLine="480" w:firstLineChars="200"/>
        <w:rPr>
          <w:rFonts w:hAnsi="Times New Roman" w:eastAsia="宋体"/>
          <w:szCs w:val="24"/>
        </w:rPr>
      </w:pPr>
      <w:r>
        <w:rPr>
          <w:rFonts w:hAnsi="Times New Roman" w:eastAsia="宋体"/>
          <w:szCs w:val="24"/>
        </w:rPr>
        <w:t>（2）项目区范围内野生动物和国家级重点保护的野生动物种类。</w:t>
      </w:r>
    </w:p>
    <w:p>
      <w:pPr>
        <w:spacing w:line="360" w:lineRule="auto"/>
        <w:ind w:firstLine="480" w:firstLineChars="200"/>
        <w:rPr>
          <w:rFonts w:hAnsi="Times New Roman" w:eastAsia="宋体"/>
          <w:szCs w:val="22"/>
        </w:rPr>
      </w:pPr>
      <w:r>
        <w:rPr>
          <w:rFonts w:hAnsi="Times New Roman" w:eastAsia="宋体"/>
          <w:szCs w:val="24"/>
        </w:rPr>
        <w:t>（3）项目实施区自然生态景观</w:t>
      </w:r>
      <w:r>
        <w:rPr>
          <w:rFonts w:hAnsi="Times New Roman" w:eastAsia="宋体"/>
          <w:szCs w:val="22"/>
        </w:rPr>
        <w:t>。</w:t>
      </w:r>
    </w:p>
    <w:p>
      <w:pPr>
        <w:pStyle w:val="6"/>
        <w:rPr>
          <w:szCs w:val="22"/>
          <w:lang w:eastAsia="zh-CN"/>
        </w:rPr>
      </w:pPr>
      <w:bookmarkStart w:id="165" w:name="_Toc163812549"/>
      <w:bookmarkStart w:id="166" w:name="_Toc167095172"/>
      <w:r>
        <w:rPr>
          <w:szCs w:val="22"/>
          <w:lang w:eastAsia="zh-CN"/>
        </w:rPr>
        <w:t>4.1.3 评价等级与范围</w:t>
      </w:r>
      <w:bookmarkEnd w:id="165"/>
      <w:bookmarkEnd w:id="166"/>
    </w:p>
    <w:p>
      <w:pPr>
        <w:spacing w:line="360" w:lineRule="auto"/>
        <w:rPr>
          <w:rFonts w:hAnsi="Times New Roman" w:eastAsia="宋体"/>
          <w:b/>
          <w:bCs/>
          <w:szCs w:val="22"/>
          <w:lang w:eastAsia="zh-CN"/>
        </w:rPr>
      </w:pPr>
      <w:r>
        <w:rPr>
          <w:rFonts w:hAnsi="Times New Roman" w:eastAsia="宋体"/>
          <w:b/>
          <w:bCs/>
          <w:szCs w:val="22"/>
          <w:lang w:eastAsia="zh-CN"/>
        </w:rPr>
        <w:t>4.1.3.1 评价等级</w:t>
      </w:r>
    </w:p>
    <w:p>
      <w:pPr>
        <w:spacing w:line="360" w:lineRule="auto"/>
        <w:ind w:firstLine="480" w:firstLineChars="200"/>
        <w:rPr>
          <w:rFonts w:hAnsi="Times New Roman" w:eastAsia="宋体"/>
          <w:szCs w:val="24"/>
        </w:rPr>
      </w:pPr>
      <w:r>
        <w:rPr>
          <w:rFonts w:hAnsi="Times New Roman" w:eastAsia="宋体"/>
          <w:szCs w:val="24"/>
        </w:rPr>
        <w:t>根据《环境影响评价技术导则》（HJ19-20</w:t>
      </w:r>
      <w:r>
        <w:rPr>
          <w:rFonts w:hAnsi="Times New Roman" w:eastAsia="宋体"/>
          <w:szCs w:val="24"/>
          <w:lang w:eastAsia="zh-CN"/>
        </w:rPr>
        <w:t>22</w:t>
      </w:r>
      <w:r>
        <w:rPr>
          <w:rFonts w:hAnsi="Times New Roman" w:eastAsia="宋体"/>
          <w:szCs w:val="24"/>
        </w:rPr>
        <w:t>），划分生态环境评价工作等级的依据见下表。</w:t>
      </w:r>
    </w:p>
    <w:p>
      <w:pPr>
        <w:spacing w:line="360" w:lineRule="auto"/>
        <w:ind w:firstLine="422" w:firstLineChars="200"/>
        <w:jc w:val="center"/>
        <w:rPr>
          <w:rFonts w:hAnsi="Times New Roman" w:eastAsia="宋体"/>
          <w:b/>
          <w:sz w:val="21"/>
          <w:szCs w:val="21"/>
        </w:rPr>
      </w:pPr>
      <w:r>
        <w:rPr>
          <w:rFonts w:hAnsi="Times New Roman" w:eastAsia="宋体"/>
          <w:b/>
          <w:sz w:val="21"/>
          <w:szCs w:val="21"/>
        </w:rPr>
        <w:t>表</w:t>
      </w:r>
      <w:r>
        <w:rPr>
          <w:rFonts w:hint="eastAsia" w:hAnsi="Times New Roman" w:eastAsia="宋体"/>
          <w:b/>
          <w:sz w:val="21"/>
          <w:szCs w:val="21"/>
          <w:lang w:eastAsia="zh-CN"/>
        </w:rPr>
        <w:t>4.1-1</w:t>
      </w:r>
      <w:r>
        <w:rPr>
          <w:rFonts w:hAnsi="Times New Roman" w:eastAsia="宋体"/>
          <w:b/>
          <w:sz w:val="21"/>
          <w:szCs w:val="21"/>
        </w:rPr>
        <w:t>生态影响评价工作等级划分表</w:t>
      </w:r>
    </w:p>
    <w:tbl>
      <w:tblPr>
        <w:tblStyle w:val="3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71"/>
        <w:gridCol w:w="46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2500" w:type="pct"/>
            <w:vAlign w:val="center"/>
          </w:tcPr>
          <w:p>
            <w:pPr>
              <w:keepNext w:val="0"/>
              <w:keepLines w:val="0"/>
              <w:widowControl/>
              <w:suppressLineNumbers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b/>
                <w:kern w:val="2"/>
                <w:sz w:val="21"/>
                <w:szCs w:val="21"/>
              </w:rPr>
              <w:t>评价等级判定依据</w:t>
            </w:r>
          </w:p>
        </w:tc>
        <w:tc>
          <w:tcPr>
            <w:tcW w:w="2500" w:type="pct"/>
            <w:vAlign w:val="center"/>
          </w:tcPr>
          <w:p>
            <w:pPr>
              <w:keepNext w:val="0"/>
              <w:keepLines w:val="0"/>
              <w:suppressLineNumbers w:val="0"/>
              <w:tabs>
                <w:tab w:val="left" w:pos="1260"/>
                <w:tab w:val="right" w:leader="dot" w:pos="8721"/>
              </w:tabs>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iCs/>
                <w:kern w:val="2"/>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0" w:type="pct"/>
            <w:vAlign w:val="center"/>
          </w:tcPr>
          <w:p>
            <w:pPr>
              <w:keepNext w:val="0"/>
              <w:keepLines w:val="0"/>
              <w:widowControl/>
              <w:suppressLineNumbers w:val="0"/>
              <w:snapToGrid w:val="0"/>
              <w:spacing w:before="0" w:beforeAutospacing="0" w:after="0" w:afterAutospacing="0"/>
              <w:ind w:left="0" w:right="0"/>
              <w:rPr>
                <w:rFonts w:hint="eastAsia" w:hAnsi="Times New Roman" w:eastAsia="宋体"/>
                <w:kern w:val="2"/>
                <w:sz w:val="21"/>
                <w:szCs w:val="21"/>
              </w:rPr>
            </w:pPr>
            <w:bookmarkStart w:id="167" w:name="_Hlk112506286"/>
            <w:r>
              <w:rPr>
                <w:rFonts w:hint="eastAsia" w:hAnsi="Times New Roman" w:eastAsia="宋体"/>
                <w:kern w:val="2"/>
                <w:sz w:val="21"/>
                <w:szCs w:val="21"/>
                <w:lang w:bidi="ar"/>
              </w:rPr>
              <w:t>a） 涉及国家公园、自然保护区、世界自然遗产、重要生境时</w:t>
            </w:r>
            <w:bookmarkEnd w:id="167"/>
            <w:r>
              <w:rPr>
                <w:rFonts w:hint="eastAsia" w:hAnsi="Times New Roman" w:eastAsia="宋体"/>
                <w:kern w:val="2"/>
                <w:sz w:val="21"/>
                <w:szCs w:val="21"/>
                <w:lang w:bidi="ar"/>
              </w:rPr>
              <w:t>，评价等级为一级</w:t>
            </w:r>
          </w:p>
        </w:tc>
        <w:tc>
          <w:tcPr>
            <w:tcW w:w="2500" w:type="pct"/>
            <w:vAlign w:val="center"/>
          </w:tcPr>
          <w:p>
            <w:pPr>
              <w:keepNext w:val="0"/>
              <w:keepLines w:val="0"/>
              <w:suppressLineNumbers w:val="0"/>
              <w:tabs>
                <w:tab w:val="left" w:pos="1260"/>
                <w:tab w:val="right" w:leader="dot" w:pos="8721"/>
              </w:tabs>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iCs/>
                <w:kern w:val="2"/>
                <w:sz w:val="21"/>
                <w:szCs w:val="21"/>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0" w:type="pct"/>
            <w:vAlign w:val="center"/>
          </w:tcPr>
          <w:p>
            <w:pPr>
              <w:keepNext w:val="0"/>
              <w:keepLines w:val="0"/>
              <w:widowControl/>
              <w:suppressLineNumbers w:val="0"/>
              <w:snapToGrid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lang w:bidi="ar"/>
              </w:rPr>
              <w:t>b） 涉及自然公园时，评价等级为二级</w:t>
            </w:r>
          </w:p>
        </w:tc>
        <w:tc>
          <w:tcPr>
            <w:tcW w:w="2500" w:type="pct"/>
            <w:vAlign w:val="center"/>
          </w:tcPr>
          <w:p>
            <w:pPr>
              <w:keepNext w:val="0"/>
              <w:keepLines w:val="0"/>
              <w:suppressLineNumbers w:val="0"/>
              <w:tabs>
                <w:tab w:val="left" w:pos="1260"/>
                <w:tab w:val="right" w:leader="dot" w:pos="8721"/>
              </w:tabs>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iCs/>
                <w:kern w:val="2"/>
                <w:sz w:val="21"/>
                <w:szCs w:val="21"/>
                <w:lang w:eastAsia="zh-CN"/>
              </w:rPr>
              <w:t>涉及宣汉国家森林公园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0" w:type="pct"/>
            <w:vAlign w:val="center"/>
          </w:tcPr>
          <w:p>
            <w:pPr>
              <w:keepNext w:val="0"/>
              <w:keepLines w:val="0"/>
              <w:widowControl/>
              <w:suppressLineNumbers w:val="0"/>
              <w:snapToGrid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lang w:bidi="ar"/>
              </w:rPr>
              <w:t>c） 涉及生态保护红线时，评价等级不低于二级</w:t>
            </w:r>
          </w:p>
        </w:tc>
        <w:tc>
          <w:tcPr>
            <w:tcW w:w="2500" w:type="pct"/>
            <w:vAlign w:val="center"/>
          </w:tcPr>
          <w:p>
            <w:pPr>
              <w:keepNext w:val="0"/>
              <w:keepLines w:val="0"/>
              <w:suppressLineNumbers w:val="0"/>
              <w:tabs>
                <w:tab w:val="left" w:pos="1260"/>
                <w:tab w:val="right" w:leader="dot" w:pos="8721"/>
              </w:tabs>
              <w:snapToGrid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iCs/>
                <w:kern w:val="2"/>
                <w:sz w:val="21"/>
                <w:szCs w:val="21"/>
                <w:lang w:eastAsia="zh-CN"/>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0"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napToGrid w:val="0"/>
              <w:spacing w:before="0" w:beforeAutospacing="0" w:after="0" w:afterAutospacing="0"/>
              <w:ind w:left="0" w:right="0"/>
              <w:rPr>
                <w:rFonts w:hint="eastAsia" w:hAnsi="Times New Roman" w:eastAsia="宋体"/>
                <w:kern w:val="2"/>
                <w:sz w:val="21"/>
                <w:szCs w:val="21"/>
                <w:lang w:bidi="ar"/>
              </w:rPr>
            </w:pPr>
            <w:r>
              <w:rPr>
                <w:rFonts w:hint="eastAsia" w:hAnsi="Times New Roman" w:eastAsia="宋体"/>
                <w:kern w:val="2"/>
                <w:sz w:val="21"/>
                <w:szCs w:val="21"/>
              </w:rPr>
              <w:t>d) 根据HI2.3判断属于水文要素影响型且地表水评价等级不低于二级的建设项目，生态影响评价等级不低于二级</w:t>
            </w:r>
          </w:p>
        </w:tc>
        <w:tc>
          <w:tcPr>
            <w:tcW w:w="2500" w:type="pct"/>
            <w:tcBorders>
              <w:top w:val="single" w:color="auto" w:sz="4" w:space="0"/>
              <w:left w:val="nil"/>
              <w:bottom w:val="single" w:color="auto" w:sz="4" w:space="0"/>
              <w:right w:val="single" w:color="auto" w:sz="4" w:space="0"/>
            </w:tcBorders>
            <w:vAlign w:val="center"/>
          </w:tcPr>
          <w:p>
            <w:pPr>
              <w:keepNext w:val="0"/>
              <w:keepLines w:val="0"/>
              <w:suppressLineNumbers w:val="0"/>
              <w:tabs>
                <w:tab w:val="left" w:pos="329"/>
                <w:tab w:val="left" w:pos="1260"/>
                <w:tab w:val="center" w:pos="2082"/>
                <w:tab w:val="right" w:leader="dot" w:pos="8721"/>
              </w:tabs>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iCs/>
                <w:kern w:val="2"/>
                <w:sz w:val="21"/>
                <w:szCs w:val="21"/>
                <w:lang w:eastAsia="zh-CN"/>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0"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napToGrid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e) 根据HJ 610、HJ 964判断地下水水位或土壤影响范围内分布有天然林、公益林、湿地等生态保护目标的建设项目，生态影响评价等级不低于二级</w:t>
            </w:r>
          </w:p>
        </w:tc>
        <w:tc>
          <w:tcPr>
            <w:tcW w:w="2500" w:type="pct"/>
            <w:tcBorders>
              <w:top w:val="single" w:color="auto" w:sz="4" w:space="0"/>
              <w:left w:val="nil"/>
              <w:bottom w:val="single" w:color="auto" w:sz="4" w:space="0"/>
              <w:right w:val="single" w:color="auto" w:sz="4" w:space="0"/>
            </w:tcBorders>
            <w:vAlign w:val="center"/>
          </w:tcPr>
          <w:p>
            <w:pPr>
              <w:keepNext w:val="0"/>
              <w:keepLines w:val="0"/>
              <w:suppressLineNumbers w:val="0"/>
              <w:tabs>
                <w:tab w:val="left" w:pos="1260"/>
                <w:tab w:val="right" w:leader="dot" w:pos="8721"/>
              </w:tabs>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矿区范围内有公益林分布，未占用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0" w:type="pct"/>
            <w:vAlign w:val="center"/>
          </w:tcPr>
          <w:p>
            <w:pPr>
              <w:keepNext w:val="0"/>
              <w:keepLines w:val="0"/>
              <w:widowControl/>
              <w:suppressLineNumbers w:val="0"/>
              <w:snapToGrid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lang w:bidi="ar"/>
              </w:rPr>
              <w:t>f） 当工程占地规模大于 20 km</w:t>
            </w:r>
            <w:r>
              <w:rPr>
                <w:rFonts w:hint="eastAsia" w:hAnsi="Times New Roman" w:eastAsia="宋体"/>
                <w:kern w:val="2"/>
                <w:sz w:val="21"/>
                <w:szCs w:val="21"/>
                <w:vertAlign w:val="superscript"/>
                <w:lang w:bidi="ar"/>
              </w:rPr>
              <w:t xml:space="preserve">2 </w:t>
            </w:r>
            <w:r>
              <w:rPr>
                <w:rFonts w:hint="eastAsia" w:hAnsi="Times New Roman" w:eastAsia="宋体"/>
                <w:kern w:val="2"/>
                <w:sz w:val="21"/>
                <w:szCs w:val="21"/>
                <w:lang w:bidi="ar"/>
              </w:rPr>
              <w:t>时（包括永久和临时占用陆域和水域），评价等级不低于二级；改扩建项目的占地范围以新增占地（包括陆域和水域）确定</w:t>
            </w:r>
          </w:p>
        </w:tc>
        <w:tc>
          <w:tcPr>
            <w:tcW w:w="250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总用地面积</w:t>
            </w:r>
            <w:r>
              <w:rPr>
                <w:rFonts w:hint="eastAsia" w:hAnsi="Times New Roman" w:eastAsia="宋体"/>
                <w:kern w:val="2"/>
                <w:sz w:val="21"/>
                <w:szCs w:val="21"/>
              </w:rPr>
              <w:t>4.6hm</w:t>
            </w:r>
            <w:r>
              <w:rPr>
                <w:rFonts w:hint="eastAsia" w:hAnsi="Times New Roman" w:eastAsia="宋体"/>
                <w:kern w:val="2"/>
                <w:sz w:val="21"/>
                <w:szCs w:val="21"/>
                <w:vertAlign w:val="superscript"/>
                <w:lang w:eastAsia="zh-CN"/>
              </w:rPr>
              <w:t>2</w:t>
            </w:r>
            <w:r>
              <w:rPr>
                <w:rFonts w:hint="eastAsia" w:hAnsi="Times New Roman" w:eastAsia="宋体"/>
                <w:kern w:val="2"/>
                <w:sz w:val="21"/>
                <w:szCs w:val="21"/>
                <w:lang w:eastAsia="zh-CN"/>
              </w:rPr>
              <w:t>，占地规模小于20km</w:t>
            </w:r>
            <w:r>
              <w:rPr>
                <w:rFonts w:hint="eastAsia" w:hAnsi="Times New Roman" w:eastAsia="宋体"/>
                <w:kern w:val="2"/>
                <w:sz w:val="21"/>
                <w:szCs w:val="21"/>
                <w:vertAlign w:val="superscript"/>
                <w:lang w:eastAsia="zh-CN"/>
              </w:rPr>
              <w:t>2</w:t>
            </w:r>
          </w:p>
        </w:tc>
      </w:tr>
    </w:tbl>
    <w:p>
      <w:pPr>
        <w:spacing w:line="360" w:lineRule="auto"/>
        <w:ind w:firstLine="480" w:firstLineChars="200"/>
        <w:rPr>
          <w:rFonts w:hAnsi="Times New Roman" w:eastAsia="宋体"/>
          <w:szCs w:val="24"/>
          <w:lang w:eastAsia="zh-CN"/>
        </w:rPr>
      </w:pPr>
      <w:r>
        <w:rPr>
          <w:rFonts w:hAnsi="Times New Roman" w:eastAsia="宋体"/>
          <w:szCs w:val="24"/>
        </w:rPr>
        <w:t>根据导则6.1.2中的评价等级确定原则，七里峡煤矿工程占地4.6hm</w:t>
      </w:r>
      <w:r>
        <w:rPr>
          <w:rFonts w:hAnsi="Times New Roman" w:eastAsia="宋体"/>
          <w:szCs w:val="24"/>
          <w:vertAlign w:val="superscript"/>
        </w:rPr>
        <w:t>2</w:t>
      </w:r>
      <w:r>
        <w:rPr>
          <w:rFonts w:hAnsi="Times New Roman" w:eastAsia="宋体"/>
          <w:szCs w:val="24"/>
        </w:rPr>
        <w:t>，面积≤2km</w:t>
      </w:r>
      <w:r>
        <w:rPr>
          <w:rFonts w:hAnsi="Times New Roman" w:eastAsia="宋体"/>
          <w:szCs w:val="24"/>
          <w:vertAlign w:val="superscript"/>
        </w:rPr>
        <w:t>2</w:t>
      </w:r>
      <w:r>
        <w:rPr>
          <w:rFonts w:hint="eastAsia" w:hAnsi="Times New Roman" w:eastAsia="宋体"/>
          <w:szCs w:val="24"/>
        </w:rPr>
        <w:t>；依据《环境影响评价技术导则-生态影响》（HJ19-2022）标准的规定，项目符合生态导则6.1.2中“b）、e）”的评价等级判定依据，判定生态环境评价工作等级为二级；</w:t>
      </w:r>
      <w:r>
        <w:rPr>
          <w:rFonts w:hAnsi="Times New Roman" w:eastAsia="宋体"/>
          <w:szCs w:val="24"/>
        </w:rPr>
        <w:t>同时根据《环境影响评价技术导则生态影响》，</w:t>
      </w:r>
      <w:r>
        <w:rPr>
          <w:rFonts w:hint="eastAsia" w:hAnsi="Times New Roman" w:eastAsia="宋体"/>
          <w:szCs w:val="24"/>
        </w:rPr>
        <w:t>6.15章节中，</w:t>
      </w:r>
      <w:r>
        <w:rPr>
          <w:rFonts w:hAnsi="Times New Roman" w:eastAsia="宋体"/>
          <w:szCs w:val="24"/>
        </w:rPr>
        <w:t>本项目地下开采可能会造成地表沉陷，从而对局部区域的土地利用类型的改变较明显，应上调一级</w:t>
      </w:r>
      <w:r>
        <w:rPr>
          <w:rFonts w:hint="eastAsia" w:hAnsi="Times New Roman" w:eastAsia="宋体"/>
          <w:szCs w:val="24"/>
        </w:rPr>
        <w:t>。但本项目是在原址上改建施工，其土地利用类型在改建前就已改变，故本次评价不上调等级</w:t>
      </w:r>
      <w:r>
        <w:rPr>
          <w:rFonts w:hAnsi="Times New Roman" w:eastAsia="宋体"/>
          <w:szCs w:val="24"/>
        </w:rPr>
        <w:t>。</w:t>
      </w:r>
    </w:p>
    <w:p>
      <w:pPr>
        <w:spacing w:line="360" w:lineRule="auto"/>
        <w:ind w:firstLine="480" w:firstLineChars="200"/>
        <w:rPr>
          <w:rFonts w:hAnsi="Times New Roman" w:eastAsia="宋体"/>
          <w:szCs w:val="24"/>
        </w:rPr>
      </w:pPr>
      <w:r>
        <w:rPr>
          <w:rFonts w:hAnsi="Times New Roman" w:eastAsia="宋体"/>
          <w:szCs w:val="24"/>
        </w:rPr>
        <w:t>综上，判定评定生态环境评价工作等级为</w:t>
      </w:r>
      <w:r>
        <w:rPr>
          <w:rFonts w:hint="eastAsia" w:hAnsi="Times New Roman" w:eastAsia="宋体"/>
          <w:szCs w:val="24"/>
        </w:rPr>
        <w:t>二</w:t>
      </w:r>
      <w:r>
        <w:rPr>
          <w:rFonts w:hAnsi="Times New Roman" w:eastAsia="宋体"/>
          <w:szCs w:val="24"/>
        </w:rPr>
        <w:t>级。</w:t>
      </w:r>
    </w:p>
    <w:p>
      <w:pPr>
        <w:spacing w:line="360" w:lineRule="auto"/>
        <w:rPr>
          <w:rFonts w:hAnsi="Times New Roman" w:eastAsia="宋体"/>
          <w:b/>
          <w:bCs/>
          <w:szCs w:val="22"/>
          <w:lang w:eastAsia="zh-CN"/>
        </w:rPr>
      </w:pPr>
      <w:r>
        <w:rPr>
          <w:rFonts w:hAnsi="Times New Roman" w:eastAsia="宋体"/>
          <w:b/>
          <w:bCs/>
          <w:szCs w:val="22"/>
          <w:lang w:eastAsia="zh-CN"/>
        </w:rPr>
        <w:t>4.1.3.2 评价范围</w:t>
      </w:r>
    </w:p>
    <w:p>
      <w:pPr>
        <w:spacing w:line="360" w:lineRule="auto"/>
        <w:ind w:firstLine="480" w:firstLineChars="200"/>
        <w:rPr>
          <w:rFonts w:hAnsi="Times New Roman" w:eastAsia="宋体"/>
          <w:szCs w:val="24"/>
        </w:rPr>
      </w:pPr>
      <w:r>
        <w:rPr>
          <w:rFonts w:hint="eastAsia" w:hAnsi="Times New Roman" w:eastAsia="宋体"/>
          <w:szCs w:val="24"/>
        </w:rPr>
        <w:t>陆生</w:t>
      </w:r>
      <w:r>
        <w:rPr>
          <w:rFonts w:hAnsi="Times New Roman" w:eastAsia="宋体"/>
          <w:szCs w:val="24"/>
        </w:rPr>
        <w:t>生态</w:t>
      </w:r>
      <w:r>
        <w:rPr>
          <w:rFonts w:hint="eastAsia" w:hAnsi="Times New Roman" w:eastAsia="宋体"/>
          <w:szCs w:val="24"/>
        </w:rPr>
        <w:t>：</w:t>
      </w:r>
      <w:r>
        <w:rPr>
          <w:rFonts w:hAnsi="Times New Roman" w:eastAsia="宋体"/>
          <w:szCs w:val="24"/>
        </w:rPr>
        <w:t>根据《环境影响评价技术导则 生态影响》（HJ19-2022）中评价范围的确定原则，以及工程环境影响特点，评价区域以</w:t>
      </w:r>
      <w:r>
        <w:rPr>
          <w:rFonts w:hint="eastAsia" w:hAnsi="Times New Roman" w:eastAsia="宋体"/>
          <w:szCs w:val="24"/>
        </w:rPr>
        <w:t>矿权范围区域外扩至周边</w:t>
      </w:r>
      <w:r>
        <w:rPr>
          <w:rFonts w:hAnsi="Times New Roman" w:eastAsia="宋体"/>
          <w:szCs w:val="24"/>
        </w:rPr>
        <w:t>第一重自然山脊以内的区域作为扩展范围，为本工程生态环境评价范围，应包括可能受工程施工建设和运营影响的陆生生态单元，即工业广场、主平垌、五大采区周边等施工场地，生态评价范围面积为</w:t>
      </w:r>
      <w:r>
        <w:rPr>
          <w:rFonts w:hint="eastAsia" w:hAnsi="Times New Roman" w:eastAsia="宋体"/>
          <w:szCs w:val="24"/>
        </w:rPr>
        <w:t>13.2056</w:t>
      </w:r>
      <w:r>
        <w:rPr>
          <w:rFonts w:hAnsi="Times New Roman" w:eastAsia="宋体"/>
          <w:szCs w:val="24"/>
        </w:rPr>
        <w:t>km</w:t>
      </w:r>
      <w:r>
        <w:rPr>
          <w:rFonts w:hAnsi="Times New Roman" w:eastAsia="宋体"/>
          <w:szCs w:val="24"/>
          <w:vertAlign w:val="superscript"/>
        </w:rPr>
        <w:t>2</w:t>
      </w:r>
      <w:r>
        <w:rPr>
          <w:rFonts w:hAnsi="Times New Roman" w:eastAsia="宋体"/>
          <w:szCs w:val="24"/>
        </w:rPr>
        <w:t>。</w:t>
      </w:r>
    </w:p>
    <w:p>
      <w:pPr>
        <w:spacing w:line="360" w:lineRule="auto"/>
        <w:ind w:firstLine="480" w:firstLineChars="200"/>
        <w:rPr>
          <w:rFonts w:hAnsi="Times New Roman" w:eastAsia="宋体"/>
          <w:szCs w:val="24"/>
        </w:rPr>
      </w:pPr>
      <w:r>
        <w:rPr>
          <w:rFonts w:hAnsi="Times New Roman" w:eastAsia="宋体"/>
          <w:szCs w:val="24"/>
        </w:rPr>
        <w:t>水生生态：</w:t>
      </w:r>
      <w:r>
        <w:rPr>
          <w:rFonts w:hint="eastAsia" w:hAnsi="Times New Roman" w:eastAsia="宋体"/>
          <w:szCs w:val="24"/>
        </w:rPr>
        <w:t>项目运行过程中会产生涌水</w:t>
      </w:r>
      <w:r>
        <w:rPr>
          <w:rFonts w:hAnsi="Times New Roman" w:eastAsia="宋体"/>
          <w:szCs w:val="24"/>
        </w:rPr>
        <w:t>，</w:t>
      </w:r>
      <w:r>
        <w:rPr>
          <w:rFonts w:hint="eastAsia" w:hAnsi="Times New Roman" w:eastAsia="宋体"/>
          <w:szCs w:val="24"/>
        </w:rPr>
        <w:t>涌水排放河段为评价区内明月江支流新宁河。本项目</w:t>
      </w:r>
      <w:r>
        <w:rPr>
          <w:rFonts w:hAnsi="Times New Roman" w:eastAsia="宋体"/>
          <w:szCs w:val="24"/>
        </w:rPr>
        <w:t>不涉及水生生态敏感区、鱼类“三场”和洄游通道。水生评价范围为评价区内的水域，主要以评价区</w:t>
      </w:r>
      <w:r>
        <w:rPr>
          <w:rFonts w:hint="eastAsia" w:hAnsi="Times New Roman" w:eastAsia="宋体"/>
          <w:szCs w:val="24"/>
        </w:rPr>
        <w:t>内明月江及其支流新宁河为主</w:t>
      </w:r>
      <w:r>
        <w:rPr>
          <w:rFonts w:hAnsi="Times New Roman" w:eastAsia="宋体"/>
          <w:szCs w:val="24"/>
        </w:rPr>
        <w:t>。</w:t>
      </w:r>
    </w:p>
    <w:p>
      <w:pPr>
        <w:pStyle w:val="6"/>
        <w:rPr>
          <w:szCs w:val="22"/>
          <w:lang w:eastAsia="zh-CN"/>
        </w:rPr>
      </w:pPr>
      <w:bookmarkStart w:id="168" w:name="_Toc167095173"/>
      <w:bookmarkStart w:id="169" w:name="_Toc163812550"/>
      <w:r>
        <w:rPr>
          <w:szCs w:val="22"/>
          <w:lang w:eastAsia="zh-CN"/>
        </w:rPr>
        <w:t>4.1.4 生态环境保护目标</w:t>
      </w:r>
      <w:bookmarkEnd w:id="168"/>
      <w:bookmarkEnd w:id="169"/>
    </w:p>
    <w:p>
      <w:pPr>
        <w:spacing w:line="360" w:lineRule="auto"/>
        <w:ind w:firstLine="480" w:firstLineChars="200"/>
        <w:rPr>
          <w:rFonts w:hAnsi="Times New Roman" w:eastAsia="宋体"/>
          <w:szCs w:val="24"/>
        </w:rPr>
      </w:pPr>
      <w:r>
        <w:rPr>
          <w:rFonts w:hAnsi="Times New Roman" w:eastAsia="宋体"/>
          <w:szCs w:val="24"/>
        </w:rPr>
        <w:t>生态环境保护的目标是维护项目所在区域生态系统的完整性，保障生态系统的整体功能和良性循环，使项目建设对生态环境所造成的影响或破坏控制在最低限度。</w:t>
      </w:r>
    </w:p>
    <w:p>
      <w:pPr>
        <w:spacing w:line="360" w:lineRule="auto"/>
        <w:ind w:firstLine="480" w:firstLineChars="200"/>
        <w:rPr>
          <w:rFonts w:hAnsi="Times New Roman" w:eastAsia="宋体"/>
          <w:szCs w:val="24"/>
        </w:rPr>
      </w:pPr>
      <w:r>
        <w:rPr>
          <w:rFonts w:hAnsi="Times New Roman" w:eastAsia="宋体"/>
          <w:szCs w:val="24"/>
        </w:rPr>
        <w:t>宣汉县境内分布有</w:t>
      </w:r>
      <w:r>
        <w:rPr>
          <w:rFonts w:hAnsi="Times New Roman" w:eastAsia="宋体"/>
          <w:b/>
          <w:bCs/>
          <w:szCs w:val="24"/>
        </w:rPr>
        <w:t>峨城山省级森林公园、巴山大峡谷、米岩花海旅游景区、马渡关石林景区等自然风光保护区，与本项目相对位置较远，均在20km以外</w:t>
      </w:r>
      <w:r>
        <w:rPr>
          <w:rFonts w:hAnsi="Times New Roman" w:eastAsia="宋体"/>
          <w:szCs w:val="24"/>
        </w:rPr>
        <w:t>。</w:t>
      </w:r>
      <w:r>
        <w:rPr>
          <w:rFonts w:hAnsi="Times New Roman" w:eastAsia="宋体"/>
          <w:szCs w:val="24"/>
          <w:lang w:eastAsia="zh-CN"/>
        </w:rPr>
        <w:t>矿区距</w:t>
      </w:r>
      <w:r>
        <w:rPr>
          <w:rFonts w:hAnsi="Times New Roman" w:eastAsia="宋体"/>
          <w:b/>
          <w:bCs/>
          <w:szCs w:val="24"/>
        </w:rPr>
        <w:t>宣汉国家森林公园</w:t>
      </w:r>
      <w:r>
        <w:rPr>
          <w:rFonts w:hAnsi="Times New Roman" w:eastAsia="宋体"/>
          <w:b/>
          <w:bCs/>
          <w:szCs w:val="24"/>
          <w:lang w:eastAsia="zh-CN"/>
        </w:rPr>
        <w:t>较近，距离约120m</w:t>
      </w:r>
      <w:r>
        <w:rPr>
          <w:rFonts w:hAnsi="Times New Roman" w:eastAsia="宋体"/>
          <w:szCs w:val="24"/>
          <w:lang w:eastAsia="zh-CN"/>
        </w:rPr>
        <w:t>。</w:t>
      </w:r>
    </w:p>
    <w:p>
      <w:pPr>
        <w:spacing w:line="360" w:lineRule="auto"/>
        <w:ind w:firstLine="480" w:firstLineChars="200"/>
        <w:rPr>
          <w:rFonts w:hAnsi="Times New Roman" w:eastAsia="宋体"/>
          <w:szCs w:val="24"/>
        </w:rPr>
      </w:pPr>
      <w:r>
        <w:rPr>
          <w:rFonts w:hAnsi="Times New Roman" w:eastAsia="宋体"/>
          <w:szCs w:val="24"/>
        </w:rPr>
        <w:t>本项目建设生产对上述生态敏感区没有直接影响。工程外环境关系相对比较简单，工程占地及评价区均不涉及各类自然保护区、风景名胜区、森林公园和地质公园等生态敏感区。根据工程性质及周围环境特征，</w:t>
      </w:r>
      <w:r>
        <w:rPr>
          <w:rFonts w:hAnsi="Times New Roman" w:eastAsia="宋体"/>
          <w:b/>
          <w:bCs/>
          <w:szCs w:val="24"/>
        </w:rPr>
        <w:t>确定主要陆生生态保护目标为矿区地表植被和野生动物资源</w:t>
      </w:r>
      <w:r>
        <w:rPr>
          <w:rFonts w:hAnsi="Times New Roman" w:eastAsia="宋体"/>
          <w:szCs w:val="24"/>
        </w:rPr>
        <w:t>。</w:t>
      </w:r>
      <w:r>
        <w:rPr>
          <w:rFonts w:hint="eastAsia" w:hAnsi="Times New Roman" w:eastAsia="宋体"/>
          <w:szCs w:val="24"/>
        </w:rPr>
        <w:t>项目主要生态环境保护见表</w:t>
      </w:r>
      <w:r>
        <w:rPr>
          <w:rFonts w:hint="eastAsia" w:hAnsi="Times New Roman" w:eastAsia="宋体"/>
          <w:szCs w:val="24"/>
          <w:lang w:eastAsia="zh-CN"/>
        </w:rPr>
        <w:t>4.1</w:t>
      </w:r>
      <w:r>
        <w:rPr>
          <w:rFonts w:hAnsi="Times New Roman" w:eastAsia="宋体"/>
          <w:szCs w:val="24"/>
        </w:rPr>
        <w:t>-</w:t>
      </w:r>
      <w:r>
        <w:rPr>
          <w:rFonts w:hint="eastAsia" w:hAnsi="Times New Roman" w:eastAsia="宋体"/>
          <w:szCs w:val="24"/>
          <w:lang w:eastAsia="zh-CN"/>
        </w:rPr>
        <w:t>2</w:t>
      </w:r>
      <w:r>
        <w:rPr>
          <w:rFonts w:hAnsi="Times New Roman" w:eastAsia="宋体"/>
          <w:szCs w:val="24"/>
        </w:rPr>
        <w:t>。</w:t>
      </w:r>
    </w:p>
    <w:p>
      <w:pPr>
        <w:autoSpaceDE w:val="0"/>
        <w:autoSpaceDN w:val="0"/>
        <w:adjustRightInd w:val="0"/>
        <w:jc w:val="center"/>
        <w:rPr>
          <w:rFonts w:hAnsi="Times New Roman" w:eastAsia="宋体"/>
          <w:b/>
          <w:sz w:val="21"/>
          <w:szCs w:val="21"/>
          <w:lang w:eastAsia="zh-CN"/>
        </w:rPr>
      </w:pPr>
    </w:p>
    <w:p>
      <w:pPr>
        <w:autoSpaceDE w:val="0"/>
        <w:autoSpaceDN w:val="0"/>
        <w:adjustRightInd w:val="0"/>
        <w:jc w:val="center"/>
        <w:rPr>
          <w:rFonts w:hAnsi="Times New Roman" w:eastAsia="宋体"/>
          <w:b/>
          <w:sz w:val="21"/>
          <w:szCs w:val="21"/>
          <w:lang w:eastAsia="zh-CN"/>
        </w:rPr>
      </w:pPr>
    </w:p>
    <w:p>
      <w:pPr>
        <w:autoSpaceDE w:val="0"/>
        <w:autoSpaceDN w:val="0"/>
        <w:adjustRightInd w:val="0"/>
        <w:jc w:val="center"/>
        <w:rPr>
          <w:rFonts w:hAnsi="Times New Roman" w:eastAsia="宋体"/>
          <w:b/>
          <w:sz w:val="21"/>
          <w:szCs w:val="21"/>
        </w:rPr>
      </w:pPr>
      <w:r>
        <w:rPr>
          <w:rFonts w:hint="eastAsia" w:hAnsi="Times New Roman" w:eastAsia="宋体"/>
          <w:b/>
          <w:sz w:val="21"/>
          <w:szCs w:val="21"/>
        </w:rPr>
        <w:t>表</w:t>
      </w:r>
      <w:r>
        <w:rPr>
          <w:rFonts w:hint="eastAsia" w:hAnsi="Times New Roman" w:eastAsia="宋体"/>
          <w:b/>
          <w:sz w:val="21"/>
          <w:szCs w:val="21"/>
          <w:lang w:eastAsia="zh-CN"/>
        </w:rPr>
        <w:t xml:space="preserve">4.1-2 </w:t>
      </w:r>
      <w:r>
        <w:rPr>
          <w:rFonts w:hint="eastAsia" w:hAnsi="Times New Roman" w:eastAsia="宋体"/>
          <w:b/>
          <w:sz w:val="21"/>
          <w:szCs w:val="21"/>
        </w:rPr>
        <w:t xml:space="preserve">生态环境保护目标统计表 </w:t>
      </w:r>
    </w:p>
    <w:tbl>
      <w:tblPr>
        <w:tblStyle w:val="33"/>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766"/>
        <w:gridCol w:w="828"/>
        <w:gridCol w:w="1601"/>
        <w:gridCol w:w="4309"/>
        <w:gridCol w:w="183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1" w:hRule="atLeast"/>
          <w:jc w:val="center"/>
        </w:trPr>
        <w:tc>
          <w:tcPr>
            <w:tcW w:w="410" w:type="pct"/>
            <w:shd w:val="clear" w:color="auto" w:fill="auto"/>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
                <w:kern w:val="2"/>
                <w:sz w:val="21"/>
                <w:szCs w:val="21"/>
              </w:rPr>
            </w:pPr>
            <w:r>
              <w:rPr>
                <w:rFonts w:hint="eastAsia" w:hAnsi="Times New Roman" w:eastAsia="宋体"/>
                <w:b/>
                <w:kern w:val="2"/>
                <w:sz w:val="21"/>
                <w:szCs w:val="21"/>
              </w:rPr>
              <w:t>类型</w:t>
            </w:r>
          </w:p>
        </w:tc>
        <w:tc>
          <w:tcPr>
            <w:tcW w:w="443" w:type="pct"/>
            <w:shd w:val="clear" w:color="auto" w:fill="auto"/>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
                <w:kern w:val="2"/>
                <w:sz w:val="21"/>
                <w:szCs w:val="21"/>
              </w:rPr>
            </w:pPr>
            <w:r>
              <w:rPr>
                <w:rFonts w:hint="eastAsia" w:hAnsi="Times New Roman" w:eastAsia="宋体"/>
                <w:b/>
                <w:kern w:val="2"/>
                <w:sz w:val="21"/>
                <w:szCs w:val="21"/>
              </w:rPr>
              <w:t>序号</w:t>
            </w:r>
          </w:p>
        </w:tc>
        <w:tc>
          <w:tcPr>
            <w:tcW w:w="857" w:type="pct"/>
            <w:shd w:val="clear" w:color="auto" w:fill="auto"/>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
                <w:kern w:val="2"/>
                <w:sz w:val="21"/>
                <w:szCs w:val="21"/>
              </w:rPr>
            </w:pPr>
            <w:r>
              <w:rPr>
                <w:rFonts w:hint="eastAsia" w:hAnsi="Times New Roman" w:eastAsia="宋体"/>
                <w:b/>
                <w:kern w:val="2"/>
                <w:sz w:val="21"/>
                <w:szCs w:val="21"/>
              </w:rPr>
              <w:t>保护对象</w:t>
            </w:r>
          </w:p>
        </w:tc>
        <w:tc>
          <w:tcPr>
            <w:tcW w:w="2306" w:type="pct"/>
            <w:shd w:val="clear" w:color="auto" w:fill="auto"/>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
                <w:kern w:val="2"/>
                <w:sz w:val="21"/>
                <w:szCs w:val="21"/>
              </w:rPr>
            </w:pPr>
            <w:r>
              <w:rPr>
                <w:rFonts w:hint="eastAsia" w:hAnsi="Times New Roman" w:eastAsia="宋体"/>
                <w:b/>
                <w:kern w:val="2"/>
                <w:sz w:val="21"/>
                <w:szCs w:val="21"/>
              </w:rPr>
              <w:t>位置或外环境关系</w:t>
            </w:r>
          </w:p>
        </w:tc>
        <w:tc>
          <w:tcPr>
            <w:tcW w:w="984" w:type="pct"/>
            <w:shd w:val="clear" w:color="auto" w:fill="auto"/>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
                <w:kern w:val="2"/>
                <w:sz w:val="21"/>
                <w:szCs w:val="21"/>
              </w:rPr>
            </w:pPr>
            <w:r>
              <w:rPr>
                <w:rFonts w:hint="eastAsia" w:hAnsi="Times New Roman" w:eastAsia="宋体"/>
                <w:b/>
                <w:kern w:val="2"/>
                <w:sz w:val="21"/>
                <w:szCs w:val="21"/>
              </w:rPr>
              <w:t>主要保护内容</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10" w:type="pct"/>
            <w:vMerge w:val="restart"/>
            <w:shd w:val="clear" w:color="auto" w:fill="auto"/>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b/>
                <w:kern w:val="2"/>
                <w:sz w:val="21"/>
                <w:szCs w:val="21"/>
              </w:rPr>
            </w:pPr>
            <w:r>
              <w:rPr>
                <w:rFonts w:hint="eastAsia" w:hAnsi="Times New Roman" w:eastAsia="宋体"/>
                <w:b/>
                <w:kern w:val="2"/>
                <w:sz w:val="21"/>
                <w:szCs w:val="21"/>
              </w:rPr>
              <w:t>陆生生态保护内容</w:t>
            </w:r>
          </w:p>
        </w:tc>
        <w:tc>
          <w:tcPr>
            <w:tcW w:w="443" w:type="pct"/>
            <w:shd w:val="clear" w:color="auto" w:fill="auto"/>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1</w:t>
            </w:r>
          </w:p>
        </w:tc>
        <w:tc>
          <w:tcPr>
            <w:tcW w:w="857" w:type="pct"/>
            <w:shd w:val="clear" w:color="auto" w:fill="auto"/>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宣汉国家森林公园</w:t>
            </w:r>
          </w:p>
        </w:tc>
        <w:tc>
          <w:tcPr>
            <w:tcW w:w="2306" w:type="pct"/>
            <w:shd w:val="clear" w:color="auto" w:fill="auto"/>
            <w:vAlign w:val="center"/>
          </w:tcPr>
          <w:p>
            <w:pPr>
              <w:keepNext w:val="0"/>
              <w:keepLines w:val="0"/>
              <w:suppressLineNumbers w:val="0"/>
              <w:autoSpaceDE w:val="0"/>
              <w:autoSpaceDN w:val="0"/>
              <w:adjustRightInd w:val="0"/>
              <w:spacing w:before="0" w:beforeAutospacing="0" w:after="0" w:afterAutospacing="0" w:line="280" w:lineRule="exact"/>
              <w:ind w:left="0" w:right="0"/>
              <w:rPr>
                <w:rFonts w:hint="eastAsia" w:hAnsi="Times New Roman" w:eastAsia="宋体"/>
                <w:kern w:val="2"/>
                <w:sz w:val="21"/>
                <w:szCs w:val="21"/>
              </w:rPr>
            </w:pPr>
            <w:r>
              <w:rPr>
                <w:rFonts w:hint="eastAsia" w:hAnsi="Times New Roman" w:eastAsia="宋体"/>
                <w:kern w:val="2"/>
                <w:sz w:val="21"/>
                <w:szCs w:val="21"/>
                <w:lang w:eastAsia="zh-CN"/>
              </w:rPr>
              <w:t>矿区距宣汉国家森林公园较近，距离约120m</w:t>
            </w:r>
          </w:p>
        </w:tc>
        <w:tc>
          <w:tcPr>
            <w:tcW w:w="984" w:type="pct"/>
            <w:shd w:val="clear" w:color="auto" w:fill="auto"/>
            <w:vAlign w:val="center"/>
          </w:tcPr>
          <w:p>
            <w:pPr>
              <w:keepNext w:val="0"/>
              <w:keepLines w:val="0"/>
              <w:suppressLineNumbers w:val="0"/>
              <w:spacing w:before="0" w:beforeAutospacing="0" w:after="0" w:afterAutospacing="0" w:line="280" w:lineRule="exact"/>
              <w:ind w:left="0" w:right="0"/>
              <w:rPr>
                <w:rFonts w:hint="eastAsia" w:hAnsi="Times New Roman" w:eastAsia="宋体"/>
                <w:bCs/>
                <w:kern w:val="2"/>
                <w:sz w:val="21"/>
                <w:szCs w:val="21"/>
              </w:rPr>
            </w:pPr>
            <w:r>
              <w:rPr>
                <w:rFonts w:hint="eastAsia" w:hAnsi="Times New Roman" w:eastAsia="宋体"/>
                <w:bCs/>
                <w:kern w:val="2"/>
                <w:sz w:val="21"/>
                <w:szCs w:val="21"/>
                <w:lang w:eastAsia="zh-CN"/>
              </w:rPr>
              <w:t>保护森林公园内森林资源</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1" w:hRule="atLeast"/>
          <w:jc w:val="center"/>
        </w:trPr>
        <w:tc>
          <w:tcPr>
            <w:tcW w:w="410" w:type="pct"/>
            <w:vMerge w:val="continue"/>
            <w:shd w:val="clear" w:color="auto" w:fill="auto"/>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b/>
                <w:kern w:val="2"/>
                <w:sz w:val="21"/>
                <w:szCs w:val="21"/>
              </w:rPr>
            </w:pPr>
          </w:p>
        </w:tc>
        <w:tc>
          <w:tcPr>
            <w:tcW w:w="443" w:type="pct"/>
            <w:shd w:val="clear" w:color="auto" w:fill="auto"/>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Cs/>
                <w:kern w:val="2"/>
                <w:sz w:val="21"/>
                <w:szCs w:val="21"/>
              </w:rPr>
            </w:pPr>
            <w:r>
              <w:rPr>
                <w:rFonts w:hint="eastAsia" w:hAnsi="Times New Roman" w:eastAsia="宋体"/>
                <w:kern w:val="2"/>
                <w:sz w:val="21"/>
                <w:szCs w:val="21"/>
              </w:rPr>
              <w:t>2</w:t>
            </w:r>
          </w:p>
        </w:tc>
        <w:tc>
          <w:tcPr>
            <w:tcW w:w="857" w:type="pct"/>
            <w:shd w:val="clear" w:color="auto" w:fill="auto"/>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二级国家公益林地</w:t>
            </w:r>
          </w:p>
        </w:tc>
        <w:tc>
          <w:tcPr>
            <w:tcW w:w="2306" w:type="pct"/>
            <w:shd w:val="clear" w:color="auto" w:fill="auto"/>
            <w:vAlign w:val="center"/>
          </w:tcPr>
          <w:p>
            <w:pPr>
              <w:keepNext w:val="0"/>
              <w:keepLines w:val="0"/>
              <w:suppressLineNumbers w:val="0"/>
              <w:autoSpaceDE w:val="0"/>
              <w:autoSpaceDN w:val="0"/>
              <w:adjustRightInd w:val="0"/>
              <w:spacing w:before="0" w:beforeAutospacing="0" w:after="0" w:afterAutospacing="0" w:line="280" w:lineRule="exact"/>
              <w:ind w:left="0" w:right="0"/>
              <w:rPr>
                <w:rFonts w:hint="eastAsia" w:hAnsi="Times New Roman" w:eastAsia="宋体"/>
                <w:kern w:val="2"/>
                <w:sz w:val="21"/>
                <w:szCs w:val="21"/>
              </w:rPr>
            </w:pPr>
            <w:r>
              <w:rPr>
                <w:rFonts w:hint="eastAsia" w:hAnsi="Times New Roman" w:eastAsia="宋体"/>
                <w:kern w:val="2"/>
                <w:sz w:val="21"/>
                <w:szCs w:val="21"/>
                <w:lang w:eastAsia="zh-CN"/>
              </w:rPr>
              <w:t>评价范围内分布有公益林约229.47hm</w:t>
            </w:r>
            <w:r>
              <w:rPr>
                <w:rFonts w:hint="eastAsia" w:hAnsi="Times New Roman" w:eastAsia="宋体"/>
                <w:kern w:val="2"/>
                <w:sz w:val="21"/>
                <w:szCs w:val="21"/>
                <w:vertAlign w:val="superscript"/>
                <w:lang w:eastAsia="zh-CN"/>
              </w:rPr>
              <w:t>2</w:t>
            </w:r>
            <w:r>
              <w:rPr>
                <w:rFonts w:hint="eastAsia" w:hAnsi="Times New Roman" w:eastAsia="宋体"/>
                <w:kern w:val="2"/>
                <w:sz w:val="21"/>
                <w:szCs w:val="21"/>
                <w:lang w:eastAsia="zh-CN"/>
              </w:rPr>
              <w:t>，未占用</w:t>
            </w:r>
          </w:p>
        </w:tc>
        <w:tc>
          <w:tcPr>
            <w:tcW w:w="984" w:type="pct"/>
            <w:shd w:val="clear" w:color="auto" w:fill="auto"/>
            <w:vAlign w:val="center"/>
          </w:tcPr>
          <w:p>
            <w:pPr>
              <w:keepNext w:val="0"/>
              <w:keepLines w:val="0"/>
              <w:suppressLineNumbers w:val="0"/>
              <w:spacing w:before="0" w:beforeAutospacing="0" w:after="0" w:afterAutospacing="0" w:line="280" w:lineRule="exact"/>
              <w:ind w:left="0" w:right="0"/>
              <w:rPr>
                <w:rFonts w:hint="eastAsia" w:hAnsi="Times New Roman" w:eastAsia="宋体"/>
                <w:kern w:val="2"/>
                <w:sz w:val="21"/>
                <w:szCs w:val="21"/>
              </w:rPr>
            </w:pPr>
            <w:r>
              <w:rPr>
                <w:rFonts w:hint="eastAsia" w:hAnsi="Times New Roman" w:eastAsia="宋体"/>
                <w:kern w:val="2"/>
                <w:sz w:val="21"/>
                <w:szCs w:val="21"/>
              </w:rPr>
              <w:t>保护</w:t>
            </w:r>
            <w:r>
              <w:rPr>
                <w:rFonts w:hint="eastAsia" w:hAnsi="Times New Roman" w:eastAsia="宋体"/>
                <w:kern w:val="2"/>
                <w:sz w:val="21"/>
                <w:szCs w:val="21"/>
                <w:lang w:eastAsia="zh-CN"/>
              </w:rPr>
              <w:t>公益林</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1" w:hRule="atLeast"/>
          <w:jc w:val="center"/>
        </w:trPr>
        <w:tc>
          <w:tcPr>
            <w:tcW w:w="410" w:type="pct"/>
            <w:vMerge w:val="continue"/>
            <w:shd w:val="clear" w:color="auto" w:fill="auto"/>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b/>
                <w:kern w:val="2"/>
                <w:sz w:val="21"/>
                <w:szCs w:val="21"/>
              </w:rPr>
            </w:pPr>
          </w:p>
        </w:tc>
        <w:tc>
          <w:tcPr>
            <w:tcW w:w="443" w:type="pct"/>
            <w:shd w:val="clear" w:color="auto" w:fill="auto"/>
            <w:vAlign w:val="center"/>
          </w:tcPr>
          <w:p>
            <w:pPr>
              <w:keepNext w:val="0"/>
              <w:keepLines w:val="0"/>
              <w:suppressLineNumbers w:val="0"/>
              <w:tabs>
                <w:tab w:val="left" w:pos="851"/>
              </w:tabs>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3</w:t>
            </w:r>
          </w:p>
        </w:tc>
        <w:tc>
          <w:tcPr>
            <w:tcW w:w="857" w:type="pct"/>
            <w:shd w:val="clear" w:color="auto" w:fill="auto"/>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土地资源</w:t>
            </w:r>
          </w:p>
        </w:tc>
        <w:tc>
          <w:tcPr>
            <w:tcW w:w="2306" w:type="pct"/>
            <w:shd w:val="clear" w:color="auto" w:fill="auto"/>
            <w:vAlign w:val="center"/>
          </w:tcPr>
          <w:p>
            <w:pPr>
              <w:keepNext w:val="0"/>
              <w:keepLines w:val="0"/>
              <w:suppressLineNumbers w:val="0"/>
              <w:autoSpaceDE w:val="0"/>
              <w:autoSpaceDN w:val="0"/>
              <w:adjustRightInd w:val="0"/>
              <w:spacing w:before="0" w:beforeAutospacing="0" w:after="0" w:afterAutospacing="0" w:line="280" w:lineRule="exact"/>
              <w:ind w:left="0" w:right="0"/>
              <w:jc w:val="left"/>
              <w:rPr>
                <w:rFonts w:hint="eastAsia" w:hAnsi="Times New Roman" w:eastAsia="宋体"/>
                <w:kern w:val="2"/>
                <w:sz w:val="21"/>
                <w:szCs w:val="21"/>
              </w:rPr>
            </w:pPr>
            <w:r>
              <w:rPr>
                <w:rFonts w:hint="eastAsia" w:hAnsi="Times New Roman" w:eastAsia="宋体"/>
                <w:kern w:val="2"/>
                <w:sz w:val="21"/>
                <w:szCs w:val="21"/>
                <w:lang w:eastAsia="zh-CN"/>
              </w:rPr>
              <w:t>本</w:t>
            </w:r>
            <w:r>
              <w:rPr>
                <w:rFonts w:hint="eastAsia" w:hAnsi="Times New Roman" w:eastAsia="宋体"/>
                <w:kern w:val="2"/>
                <w:sz w:val="21"/>
                <w:szCs w:val="21"/>
              </w:rPr>
              <w:t>工程</w:t>
            </w:r>
            <w:r>
              <w:rPr>
                <w:rFonts w:hint="eastAsia" w:hAnsi="Times New Roman" w:eastAsia="宋体"/>
                <w:kern w:val="2"/>
                <w:sz w:val="21"/>
                <w:szCs w:val="21"/>
                <w:lang w:eastAsia="zh-CN"/>
              </w:rPr>
              <w:t>在</w:t>
            </w:r>
            <w:r>
              <w:rPr>
                <w:rFonts w:hint="eastAsia" w:hAnsi="Times New Roman" w:eastAsia="宋体"/>
                <w:kern w:val="2"/>
                <w:sz w:val="21"/>
                <w:szCs w:val="21"/>
              </w:rPr>
              <w:t>建设中当尽可能少</w:t>
            </w:r>
            <w:r>
              <w:rPr>
                <w:rFonts w:hint="eastAsia" w:hAnsi="Times New Roman" w:eastAsia="宋体"/>
                <w:kern w:val="2"/>
                <w:sz w:val="21"/>
                <w:szCs w:val="21"/>
                <w:lang w:eastAsia="zh-CN"/>
              </w:rPr>
              <w:t>地</w:t>
            </w:r>
            <w:r>
              <w:rPr>
                <w:rFonts w:hint="eastAsia" w:hAnsi="Times New Roman" w:eastAsia="宋体"/>
                <w:kern w:val="2"/>
                <w:sz w:val="21"/>
                <w:szCs w:val="21"/>
              </w:rPr>
              <w:t>占用土地，严格在征地红线范围内施工，最大限度节约土地资源。</w:t>
            </w:r>
          </w:p>
        </w:tc>
        <w:tc>
          <w:tcPr>
            <w:tcW w:w="984" w:type="pct"/>
            <w:shd w:val="clear" w:color="auto" w:fill="auto"/>
            <w:vAlign w:val="center"/>
          </w:tcPr>
          <w:p>
            <w:pPr>
              <w:keepNext w:val="0"/>
              <w:keepLines w:val="0"/>
              <w:suppressLineNumbers w:val="0"/>
              <w:tabs>
                <w:tab w:val="left" w:pos="851"/>
              </w:tabs>
              <w:spacing w:before="0" w:beforeAutospacing="0" w:after="0" w:afterAutospacing="0" w:line="280" w:lineRule="exact"/>
              <w:ind w:left="0" w:right="0"/>
              <w:jc w:val="left"/>
              <w:rPr>
                <w:rFonts w:hint="eastAsia" w:hAnsi="Times New Roman" w:eastAsia="宋体"/>
                <w:kern w:val="2"/>
                <w:sz w:val="21"/>
                <w:szCs w:val="21"/>
              </w:rPr>
            </w:pPr>
            <w:r>
              <w:rPr>
                <w:rFonts w:hint="eastAsia" w:hAnsi="Times New Roman" w:eastAsia="宋体"/>
                <w:kern w:val="2"/>
                <w:sz w:val="21"/>
                <w:szCs w:val="21"/>
              </w:rPr>
              <w:t>节约用地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4" w:hRule="atLeast"/>
          <w:jc w:val="center"/>
        </w:trPr>
        <w:tc>
          <w:tcPr>
            <w:tcW w:w="410" w:type="pct"/>
            <w:vMerge w:val="continue"/>
            <w:shd w:val="clear" w:color="auto" w:fill="auto"/>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b/>
                <w:kern w:val="2"/>
                <w:sz w:val="21"/>
                <w:szCs w:val="21"/>
              </w:rPr>
            </w:pPr>
          </w:p>
        </w:tc>
        <w:tc>
          <w:tcPr>
            <w:tcW w:w="443" w:type="pct"/>
            <w:shd w:val="clear" w:color="auto" w:fill="auto"/>
            <w:vAlign w:val="center"/>
          </w:tcPr>
          <w:p>
            <w:pPr>
              <w:keepNext w:val="0"/>
              <w:keepLines w:val="0"/>
              <w:suppressLineNumbers w:val="0"/>
              <w:tabs>
                <w:tab w:val="left" w:pos="851"/>
              </w:tabs>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4</w:t>
            </w:r>
          </w:p>
        </w:tc>
        <w:tc>
          <w:tcPr>
            <w:tcW w:w="857" w:type="pct"/>
            <w:shd w:val="clear" w:color="auto" w:fill="auto"/>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生物</w:t>
            </w:r>
          </w:p>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多样性</w:t>
            </w:r>
          </w:p>
        </w:tc>
        <w:tc>
          <w:tcPr>
            <w:tcW w:w="2306" w:type="pct"/>
            <w:shd w:val="clear" w:color="auto" w:fill="auto"/>
            <w:vAlign w:val="center"/>
          </w:tcPr>
          <w:p>
            <w:pPr>
              <w:keepNext w:val="0"/>
              <w:keepLines w:val="0"/>
              <w:suppressLineNumbers w:val="0"/>
              <w:autoSpaceDE w:val="0"/>
              <w:autoSpaceDN w:val="0"/>
              <w:adjustRightInd w:val="0"/>
              <w:spacing w:before="0" w:beforeAutospacing="0" w:after="0" w:afterAutospacing="0" w:line="280" w:lineRule="exact"/>
              <w:ind w:left="0" w:right="0"/>
              <w:jc w:val="left"/>
              <w:rPr>
                <w:rFonts w:hint="eastAsia" w:hAnsi="Times New Roman" w:eastAsia="宋体"/>
                <w:kern w:val="2"/>
                <w:sz w:val="21"/>
                <w:szCs w:val="21"/>
              </w:rPr>
            </w:pPr>
            <w:r>
              <w:rPr>
                <w:rFonts w:hint="eastAsia" w:hAnsi="Times New Roman" w:eastAsia="宋体"/>
                <w:kern w:val="2"/>
                <w:sz w:val="21"/>
                <w:szCs w:val="21"/>
              </w:rPr>
              <w:t>评价区内的陆生生态系统。</w:t>
            </w:r>
          </w:p>
        </w:tc>
        <w:tc>
          <w:tcPr>
            <w:tcW w:w="984" w:type="pct"/>
            <w:shd w:val="clear" w:color="auto" w:fill="auto"/>
            <w:vAlign w:val="center"/>
          </w:tcPr>
          <w:p>
            <w:pPr>
              <w:keepNext w:val="0"/>
              <w:keepLines w:val="0"/>
              <w:suppressLineNumbers w:val="0"/>
              <w:tabs>
                <w:tab w:val="left" w:pos="851"/>
              </w:tabs>
              <w:spacing w:before="0" w:beforeAutospacing="0" w:after="0" w:afterAutospacing="0" w:line="280" w:lineRule="exact"/>
              <w:ind w:left="0" w:right="0"/>
              <w:jc w:val="left"/>
              <w:rPr>
                <w:rFonts w:hint="eastAsia" w:hAnsi="Times New Roman" w:eastAsia="宋体"/>
                <w:kern w:val="2"/>
                <w:sz w:val="21"/>
                <w:szCs w:val="21"/>
              </w:rPr>
            </w:pPr>
            <w:r>
              <w:rPr>
                <w:rFonts w:hint="eastAsia" w:hAnsi="Times New Roman" w:eastAsia="宋体"/>
                <w:kern w:val="2"/>
                <w:sz w:val="21"/>
                <w:szCs w:val="21"/>
              </w:rPr>
              <w:t>生物多样性不减少</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6" w:hRule="atLeast"/>
          <w:jc w:val="center"/>
        </w:trPr>
        <w:tc>
          <w:tcPr>
            <w:tcW w:w="410" w:type="pct"/>
            <w:vMerge w:val="continue"/>
            <w:shd w:val="clear" w:color="auto" w:fill="auto"/>
            <w:vAlign w:val="center"/>
          </w:tcPr>
          <w:p>
            <w:pPr>
              <w:keepNext w:val="0"/>
              <w:keepLines w:val="0"/>
              <w:suppressLineNumbers w:val="0"/>
              <w:tabs>
                <w:tab w:val="left" w:pos="851"/>
              </w:tabs>
              <w:spacing w:before="0" w:beforeAutospacing="0" w:after="0" w:afterAutospacing="0" w:line="280" w:lineRule="exact"/>
              <w:ind w:left="0" w:right="0"/>
              <w:rPr>
                <w:rFonts w:hint="eastAsia" w:hAnsi="Times New Roman" w:eastAsia="宋体"/>
                <w:b/>
                <w:kern w:val="2"/>
                <w:sz w:val="21"/>
                <w:szCs w:val="21"/>
              </w:rPr>
            </w:pPr>
          </w:p>
        </w:tc>
        <w:tc>
          <w:tcPr>
            <w:tcW w:w="443" w:type="pct"/>
            <w:shd w:val="clear" w:color="auto" w:fill="auto"/>
            <w:vAlign w:val="center"/>
          </w:tcPr>
          <w:p>
            <w:pPr>
              <w:keepNext w:val="0"/>
              <w:keepLines w:val="0"/>
              <w:suppressLineNumbers w:val="0"/>
              <w:tabs>
                <w:tab w:val="left" w:pos="851"/>
              </w:tabs>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5</w:t>
            </w:r>
          </w:p>
        </w:tc>
        <w:tc>
          <w:tcPr>
            <w:tcW w:w="857" w:type="pct"/>
            <w:shd w:val="clear" w:color="auto" w:fill="auto"/>
            <w:vAlign w:val="center"/>
          </w:tcPr>
          <w:p>
            <w:pPr>
              <w:keepNext w:val="0"/>
              <w:keepLines w:val="0"/>
              <w:suppressLineNumbers w:val="0"/>
              <w:autoSpaceDE w:val="0"/>
              <w:autoSpaceDN w:val="0"/>
              <w:adjustRightInd w:val="0"/>
              <w:spacing w:before="0" w:beforeAutospacing="0" w:after="0" w:afterAutospacing="0" w:line="280" w:lineRule="exact"/>
              <w:ind w:left="-15" w:leftChars="-51" w:right="0" w:hanging="107" w:hangingChars="51"/>
              <w:jc w:val="center"/>
              <w:rPr>
                <w:rFonts w:hint="eastAsia" w:hAnsi="Times New Roman" w:eastAsia="宋体"/>
                <w:kern w:val="2"/>
                <w:sz w:val="21"/>
                <w:szCs w:val="21"/>
              </w:rPr>
            </w:pPr>
            <w:r>
              <w:rPr>
                <w:rFonts w:hint="eastAsia" w:hAnsi="Times New Roman" w:eastAsia="宋体"/>
                <w:kern w:val="2"/>
                <w:sz w:val="21"/>
                <w:szCs w:val="21"/>
              </w:rPr>
              <w:t>自然植被</w:t>
            </w:r>
          </w:p>
        </w:tc>
        <w:tc>
          <w:tcPr>
            <w:tcW w:w="2306" w:type="pct"/>
            <w:shd w:val="clear" w:color="auto" w:fill="auto"/>
            <w:vAlign w:val="center"/>
          </w:tcPr>
          <w:p>
            <w:pPr>
              <w:keepNext w:val="0"/>
              <w:keepLines w:val="0"/>
              <w:suppressLineNumbers w:val="0"/>
              <w:autoSpaceDE w:val="0"/>
              <w:autoSpaceDN w:val="0"/>
              <w:adjustRightInd w:val="0"/>
              <w:spacing w:before="0" w:beforeAutospacing="0" w:after="0" w:afterAutospacing="0" w:line="280" w:lineRule="exact"/>
              <w:ind w:left="0" w:right="0"/>
              <w:rPr>
                <w:rFonts w:hint="eastAsia" w:hAnsi="Times New Roman" w:eastAsia="宋体"/>
                <w:kern w:val="2"/>
                <w:sz w:val="21"/>
                <w:szCs w:val="21"/>
              </w:rPr>
            </w:pPr>
            <w:r>
              <w:rPr>
                <w:rFonts w:hint="eastAsia" w:hAnsi="Times New Roman" w:eastAsia="宋体"/>
                <w:kern w:val="2"/>
                <w:sz w:val="21"/>
                <w:szCs w:val="21"/>
              </w:rPr>
              <w:t>项目直接影响区可能受到扰动的自然植被，涵盖了森林、灌丛和草地等多种植被类型。</w:t>
            </w:r>
          </w:p>
        </w:tc>
        <w:tc>
          <w:tcPr>
            <w:tcW w:w="984" w:type="pct"/>
            <w:shd w:val="clear" w:color="auto" w:fill="auto"/>
            <w:vAlign w:val="center"/>
          </w:tcPr>
          <w:p>
            <w:pPr>
              <w:keepNext w:val="0"/>
              <w:keepLines w:val="0"/>
              <w:suppressLineNumbers w:val="0"/>
              <w:tabs>
                <w:tab w:val="left" w:pos="851"/>
              </w:tabs>
              <w:spacing w:before="0" w:beforeAutospacing="0" w:after="0" w:afterAutospacing="0" w:line="280" w:lineRule="exact"/>
              <w:ind w:left="0" w:right="0"/>
              <w:jc w:val="left"/>
              <w:rPr>
                <w:rFonts w:hint="eastAsia" w:hAnsi="Times New Roman" w:eastAsia="宋体"/>
                <w:kern w:val="2"/>
                <w:sz w:val="21"/>
                <w:szCs w:val="21"/>
              </w:rPr>
            </w:pPr>
            <w:r>
              <w:rPr>
                <w:rFonts w:hint="eastAsia" w:hAnsi="Times New Roman" w:eastAsia="宋体"/>
                <w:kern w:val="2"/>
                <w:sz w:val="21"/>
                <w:szCs w:val="21"/>
              </w:rPr>
              <w:t>减少自然植被破坏</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7" w:hRule="atLeast"/>
          <w:jc w:val="center"/>
        </w:trPr>
        <w:tc>
          <w:tcPr>
            <w:tcW w:w="410" w:type="pct"/>
            <w:vMerge w:val="continue"/>
            <w:shd w:val="clear" w:color="auto" w:fill="auto"/>
            <w:vAlign w:val="center"/>
          </w:tcPr>
          <w:p>
            <w:pPr>
              <w:keepNext w:val="0"/>
              <w:keepLines w:val="0"/>
              <w:suppressLineNumbers w:val="0"/>
              <w:tabs>
                <w:tab w:val="left" w:pos="851"/>
              </w:tabs>
              <w:spacing w:before="0" w:beforeAutospacing="0" w:after="0" w:afterAutospacing="0" w:line="280" w:lineRule="exact"/>
              <w:ind w:left="0" w:right="0"/>
              <w:rPr>
                <w:rFonts w:hint="eastAsia" w:hAnsi="Times New Roman" w:eastAsia="宋体"/>
                <w:b/>
                <w:kern w:val="2"/>
                <w:sz w:val="21"/>
                <w:szCs w:val="21"/>
              </w:rPr>
            </w:pPr>
          </w:p>
        </w:tc>
        <w:tc>
          <w:tcPr>
            <w:tcW w:w="443" w:type="pct"/>
            <w:shd w:val="clear" w:color="auto" w:fill="auto"/>
            <w:vAlign w:val="center"/>
          </w:tcPr>
          <w:p>
            <w:pPr>
              <w:keepNext w:val="0"/>
              <w:keepLines w:val="0"/>
              <w:suppressLineNumbers w:val="0"/>
              <w:tabs>
                <w:tab w:val="left" w:pos="851"/>
              </w:tabs>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6</w:t>
            </w:r>
          </w:p>
        </w:tc>
        <w:tc>
          <w:tcPr>
            <w:tcW w:w="857" w:type="pct"/>
            <w:shd w:val="clear" w:color="auto" w:fill="auto"/>
            <w:vAlign w:val="center"/>
          </w:tcPr>
          <w:p>
            <w:pPr>
              <w:keepNext w:val="0"/>
              <w:keepLines w:val="0"/>
              <w:suppressLineNumbers w:val="0"/>
              <w:autoSpaceDE w:val="0"/>
              <w:autoSpaceDN w:val="0"/>
              <w:adjustRightInd w:val="0"/>
              <w:spacing w:before="0" w:beforeAutospacing="0" w:after="0" w:afterAutospacing="0" w:line="280" w:lineRule="exact"/>
              <w:ind w:left="-122" w:leftChars="-51" w:right="0" w:firstLine="1"/>
              <w:jc w:val="center"/>
              <w:rPr>
                <w:rFonts w:hint="eastAsia" w:hAnsi="Times New Roman" w:eastAsia="宋体"/>
                <w:kern w:val="2"/>
                <w:sz w:val="21"/>
                <w:szCs w:val="21"/>
              </w:rPr>
            </w:pPr>
            <w:r>
              <w:rPr>
                <w:rFonts w:hint="eastAsia" w:hAnsi="Times New Roman" w:eastAsia="宋体"/>
                <w:kern w:val="2"/>
                <w:sz w:val="21"/>
                <w:szCs w:val="21"/>
              </w:rPr>
              <w:t>重要野生植物、资源植物和名木古树</w:t>
            </w:r>
          </w:p>
        </w:tc>
        <w:tc>
          <w:tcPr>
            <w:tcW w:w="2306" w:type="pct"/>
            <w:shd w:val="clear" w:color="auto" w:fill="auto"/>
            <w:vAlign w:val="center"/>
          </w:tcPr>
          <w:p>
            <w:pPr>
              <w:keepNext w:val="0"/>
              <w:keepLines w:val="0"/>
              <w:suppressLineNumbers w:val="0"/>
              <w:autoSpaceDE w:val="0"/>
              <w:autoSpaceDN w:val="0"/>
              <w:adjustRightInd w:val="0"/>
              <w:spacing w:before="0" w:beforeAutospacing="0" w:after="0" w:afterAutospacing="0" w:line="280" w:lineRule="exact"/>
              <w:ind w:left="0" w:right="0"/>
              <w:rPr>
                <w:rFonts w:hint="eastAsia" w:hAnsi="Times New Roman" w:eastAsia="宋体"/>
                <w:kern w:val="2"/>
                <w:sz w:val="21"/>
                <w:szCs w:val="21"/>
              </w:rPr>
            </w:pPr>
            <w:r>
              <w:rPr>
                <w:rFonts w:hint="eastAsia" w:hAnsi="Times New Roman" w:eastAsia="宋体"/>
                <w:kern w:val="2"/>
                <w:sz w:val="21"/>
                <w:szCs w:val="21"/>
                <w:lang w:eastAsia="zh-CN"/>
              </w:rPr>
              <w:t>工程直接占地范围未发现国家保护野生植物和古树名木；无极危、濒危、易危野生植物；无开发利用突出资源优势和潜在开发价值的野生资源植物。</w:t>
            </w:r>
          </w:p>
        </w:tc>
        <w:tc>
          <w:tcPr>
            <w:tcW w:w="984" w:type="pct"/>
            <w:shd w:val="clear" w:color="auto" w:fill="auto"/>
            <w:vAlign w:val="center"/>
          </w:tcPr>
          <w:p>
            <w:pPr>
              <w:keepNext w:val="0"/>
              <w:keepLines w:val="0"/>
              <w:suppressLineNumbers w:val="0"/>
              <w:tabs>
                <w:tab w:val="left" w:pos="851"/>
              </w:tabs>
              <w:spacing w:before="0" w:beforeAutospacing="0" w:after="0" w:afterAutospacing="0" w:line="280" w:lineRule="exact"/>
              <w:ind w:left="0" w:right="0"/>
              <w:jc w:val="left"/>
              <w:rPr>
                <w:rFonts w:hint="eastAsia" w:hAnsi="Times New Roman" w:eastAsia="宋体"/>
                <w:kern w:val="2"/>
                <w:sz w:val="21"/>
                <w:szCs w:val="21"/>
              </w:rPr>
            </w:pPr>
            <w:r>
              <w:rPr>
                <w:rFonts w:hint="eastAsia" w:hAnsi="Times New Roman" w:eastAsia="宋体"/>
                <w:kern w:val="2"/>
                <w:sz w:val="21"/>
                <w:szCs w:val="21"/>
              </w:rPr>
              <w:t>保护植物及其生境</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24" w:hRule="atLeast"/>
          <w:jc w:val="center"/>
        </w:trPr>
        <w:tc>
          <w:tcPr>
            <w:tcW w:w="410" w:type="pct"/>
            <w:vMerge w:val="continue"/>
            <w:shd w:val="clear" w:color="auto" w:fill="auto"/>
            <w:vAlign w:val="center"/>
          </w:tcPr>
          <w:p>
            <w:pPr>
              <w:keepNext w:val="0"/>
              <w:keepLines w:val="0"/>
              <w:suppressLineNumbers w:val="0"/>
              <w:tabs>
                <w:tab w:val="left" w:pos="851"/>
              </w:tabs>
              <w:spacing w:before="0" w:beforeAutospacing="0" w:after="0" w:afterAutospacing="0" w:line="280" w:lineRule="exact"/>
              <w:ind w:left="0" w:right="0"/>
              <w:rPr>
                <w:rFonts w:hint="eastAsia" w:hAnsi="Times New Roman" w:eastAsia="宋体"/>
                <w:b/>
                <w:kern w:val="2"/>
                <w:sz w:val="21"/>
                <w:szCs w:val="21"/>
              </w:rPr>
            </w:pPr>
          </w:p>
        </w:tc>
        <w:tc>
          <w:tcPr>
            <w:tcW w:w="443" w:type="pct"/>
            <w:shd w:val="clear" w:color="auto" w:fill="auto"/>
            <w:vAlign w:val="center"/>
          </w:tcPr>
          <w:p>
            <w:pPr>
              <w:keepNext w:val="0"/>
              <w:keepLines w:val="0"/>
              <w:suppressLineNumbers w:val="0"/>
              <w:tabs>
                <w:tab w:val="left" w:pos="851"/>
              </w:tabs>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7</w:t>
            </w:r>
          </w:p>
        </w:tc>
        <w:tc>
          <w:tcPr>
            <w:tcW w:w="857" w:type="pct"/>
            <w:shd w:val="clear" w:color="auto" w:fill="auto"/>
            <w:vAlign w:val="center"/>
          </w:tcPr>
          <w:p>
            <w:pPr>
              <w:keepNext w:val="0"/>
              <w:keepLines w:val="0"/>
              <w:suppressLineNumbers w:val="0"/>
              <w:autoSpaceDE w:val="0"/>
              <w:autoSpaceDN w:val="0"/>
              <w:adjustRightInd w:val="0"/>
              <w:spacing w:before="0" w:beforeAutospacing="0" w:after="0" w:afterAutospacing="0" w:line="280" w:lineRule="exact"/>
              <w:ind w:left="-20" w:leftChars="-51" w:right="0" w:hanging="102" w:hangingChars="49"/>
              <w:jc w:val="center"/>
              <w:rPr>
                <w:rFonts w:hint="eastAsia" w:hAnsi="Times New Roman" w:eastAsia="宋体"/>
                <w:kern w:val="2"/>
                <w:sz w:val="21"/>
                <w:szCs w:val="21"/>
              </w:rPr>
            </w:pPr>
            <w:r>
              <w:rPr>
                <w:rFonts w:hint="eastAsia" w:hAnsi="Times New Roman" w:eastAsia="宋体"/>
                <w:kern w:val="2"/>
                <w:sz w:val="21"/>
                <w:szCs w:val="21"/>
              </w:rPr>
              <w:t>野生动物</w:t>
            </w:r>
          </w:p>
        </w:tc>
        <w:tc>
          <w:tcPr>
            <w:tcW w:w="2306" w:type="pct"/>
            <w:shd w:val="clear" w:color="auto" w:fill="auto"/>
            <w:vAlign w:val="center"/>
          </w:tcPr>
          <w:p>
            <w:pPr>
              <w:keepNext w:val="0"/>
              <w:keepLines w:val="0"/>
              <w:suppressLineNumbers w:val="0"/>
              <w:autoSpaceDE w:val="0"/>
              <w:autoSpaceDN w:val="0"/>
              <w:adjustRightInd w:val="0"/>
              <w:spacing w:before="0" w:beforeAutospacing="0" w:after="0" w:afterAutospacing="0" w:line="280" w:lineRule="exact"/>
              <w:ind w:left="0" w:right="0"/>
              <w:rPr>
                <w:rFonts w:hint="eastAsia" w:hAnsi="Times New Roman" w:eastAsia="宋体"/>
                <w:kern w:val="2"/>
                <w:sz w:val="21"/>
                <w:szCs w:val="21"/>
              </w:rPr>
            </w:pPr>
            <w:r>
              <w:rPr>
                <w:rFonts w:hint="eastAsia" w:hAnsi="Times New Roman" w:eastAsia="宋体"/>
                <w:kern w:val="2"/>
                <w:sz w:val="21"/>
                <w:szCs w:val="21"/>
              </w:rPr>
              <w:t>评价区范围内</w:t>
            </w:r>
            <w:r>
              <w:rPr>
                <w:rFonts w:hint="eastAsia" w:hAnsi="Times New Roman" w:eastAsia="宋体"/>
                <w:kern w:val="2"/>
                <w:sz w:val="21"/>
                <w:szCs w:val="21"/>
                <w:lang w:eastAsia="zh-CN"/>
              </w:rPr>
              <w:t>有1种国家级保护动物（凤头鹰）分布，无省级保护动物分布</w:t>
            </w:r>
            <w:r>
              <w:rPr>
                <w:rFonts w:hint="eastAsia" w:hAnsi="Times New Roman" w:eastAsia="宋体"/>
                <w:kern w:val="2"/>
                <w:sz w:val="21"/>
                <w:szCs w:val="21"/>
              </w:rPr>
              <w:t>。</w:t>
            </w:r>
            <w:r>
              <w:rPr>
                <w:rFonts w:hint="eastAsia" w:hAnsi="Times New Roman" w:eastAsia="宋体"/>
                <w:kern w:val="2"/>
                <w:sz w:val="21"/>
                <w:szCs w:val="21"/>
                <w:lang w:eastAsia="zh-CN"/>
              </w:rPr>
              <w:t>易危动物3种（乌梢蛇、王锦蛇、黑眉锦蛇）。</w:t>
            </w:r>
          </w:p>
        </w:tc>
        <w:tc>
          <w:tcPr>
            <w:tcW w:w="984" w:type="pct"/>
            <w:shd w:val="clear" w:color="auto" w:fill="auto"/>
            <w:vAlign w:val="center"/>
          </w:tcPr>
          <w:p>
            <w:pPr>
              <w:keepNext w:val="0"/>
              <w:keepLines w:val="0"/>
              <w:suppressLineNumbers w:val="0"/>
              <w:tabs>
                <w:tab w:val="left" w:pos="851"/>
              </w:tabs>
              <w:spacing w:before="0" w:beforeAutospacing="0" w:after="0" w:afterAutospacing="0" w:line="280" w:lineRule="exact"/>
              <w:ind w:left="0" w:right="0"/>
              <w:jc w:val="left"/>
              <w:rPr>
                <w:rFonts w:hint="eastAsia" w:hAnsi="Times New Roman" w:eastAsia="宋体"/>
                <w:kern w:val="2"/>
                <w:sz w:val="21"/>
                <w:szCs w:val="21"/>
              </w:rPr>
            </w:pPr>
            <w:r>
              <w:rPr>
                <w:rFonts w:hint="eastAsia" w:hAnsi="Times New Roman" w:eastAsia="宋体"/>
                <w:kern w:val="2"/>
                <w:sz w:val="21"/>
                <w:szCs w:val="21"/>
                <w:lang w:eastAsia="zh-CN"/>
              </w:rPr>
              <w:t>保护</w:t>
            </w:r>
            <w:r>
              <w:rPr>
                <w:rFonts w:hint="eastAsia" w:hAnsi="Times New Roman" w:eastAsia="宋体"/>
                <w:kern w:val="2"/>
                <w:sz w:val="21"/>
                <w:szCs w:val="21"/>
              </w:rPr>
              <w:t>野生动物及栖息地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410" w:type="pct"/>
            <w:vMerge w:val="continue"/>
            <w:shd w:val="clear" w:color="auto" w:fill="auto"/>
            <w:vAlign w:val="center"/>
          </w:tcPr>
          <w:p>
            <w:pPr>
              <w:keepNext w:val="0"/>
              <w:keepLines w:val="0"/>
              <w:suppressLineNumbers w:val="0"/>
              <w:tabs>
                <w:tab w:val="left" w:pos="851"/>
              </w:tabs>
              <w:spacing w:before="0" w:beforeAutospacing="0" w:after="0" w:afterAutospacing="0" w:line="280" w:lineRule="exact"/>
              <w:ind w:left="0" w:right="0"/>
              <w:rPr>
                <w:rFonts w:hint="eastAsia" w:hAnsi="Times New Roman" w:eastAsia="宋体"/>
                <w:b/>
                <w:kern w:val="2"/>
                <w:sz w:val="21"/>
                <w:szCs w:val="21"/>
              </w:rPr>
            </w:pPr>
          </w:p>
        </w:tc>
        <w:tc>
          <w:tcPr>
            <w:tcW w:w="443" w:type="pct"/>
            <w:shd w:val="clear" w:color="auto" w:fill="auto"/>
            <w:vAlign w:val="center"/>
          </w:tcPr>
          <w:p>
            <w:pPr>
              <w:keepNext w:val="0"/>
              <w:keepLines w:val="0"/>
              <w:suppressLineNumbers w:val="0"/>
              <w:tabs>
                <w:tab w:val="left" w:pos="851"/>
              </w:tabs>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8</w:t>
            </w:r>
          </w:p>
        </w:tc>
        <w:tc>
          <w:tcPr>
            <w:tcW w:w="857" w:type="pct"/>
            <w:shd w:val="clear" w:color="auto" w:fill="auto"/>
            <w:vAlign w:val="center"/>
          </w:tcPr>
          <w:p>
            <w:pPr>
              <w:keepNext w:val="0"/>
              <w:keepLines w:val="0"/>
              <w:suppressLineNumbers w:val="0"/>
              <w:tabs>
                <w:tab w:val="left" w:pos="851"/>
              </w:tabs>
              <w:spacing w:before="0" w:beforeAutospacing="0" w:after="0" w:afterAutospacing="0" w:line="280" w:lineRule="exact"/>
              <w:ind w:left="-15" w:leftChars="-51" w:right="0" w:hanging="107" w:hangingChars="51"/>
              <w:jc w:val="center"/>
              <w:rPr>
                <w:rFonts w:hint="eastAsia" w:hAnsi="Times New Roman" w:eastAsia="宋体"/>
                <w:kern w:val="2"/>
                <w:sz w:val="21"/>
                <w:szCs w:val="21"/>
              </w:rPr>
            </w:pPr>
            <w:r>
              <w:rPr>
                <w:rFonts w:hint="eastAsia" w:hAnsi="Times New Roman" w:eastAsia="宋体"/>
                <w:kern w:val="2"/>
                <w:sz w:val="21"/>
                <w:szCs w:val="21"/>
              </w:rPr>
              <w:t>景观格局</w:t>
            </w:r>
          </w:p>
        </w:tc>
        <w:tc>
          <w:tcPr>
            <w:tcW w:w="2306" w:type="pct"/>
            <w:shd w:val="clear" w:color="auto" w:fill="auto"/>
            <w:vAlign w:val="center"/>
          </w:tcPr>
          <w:p>
            <w:pPr>
              <w:keepNext w:val="0"/>
              <w:keepLines w:val="0"/>
              <w:suppressLineNumbers w:val="0"/>
              <w:autoSpaceDE w:val="0"/>
              <w:autoSpaceDN w:val="0"/>
              <w:adjustRightInd w:val="0"/>
              <w:spacing w:before="0" w:beforeAutospacing="0" w:after="0" w:afterAutospacing="0" w:line="280" w:lineRule="exact"/>
              <w:ind w:left="0" w:right="0"/>
              <w:jc w:val="left"/>
              <w:rPr>
                <w:rFonts w:hint="eastAsia" w:hAnsi="Times New Roman" w:eastAsia="宋体"/>
                <w:kern w:val="2"/>
                <w:sz w:val="21"/>
                <w:szCs w:val="21"/>
              </w:rPr>
            </w:pPr>
            <w:r>
              <w:rPr>
                <w:rFonts w:hint="eastAsia" w:hAnsi="Times New Roman" w:eastAsia="宋体"/>
                <w:kern w:val="2"/>
                <w:sz w:val="21"/>
                <w:szCs w:val="21"/>
              </w:rPr>
              <w:t>施工期、运行期的景观风貌与景观格局。</w:t>
            </w:r>
          </w:p>
        </w:tc>
        <w:tc>
          <w:tcPr>
            <w:tcW w:w="984" w:type="pct"/>
            <w:shd w:val="clear" w:color="auto" w:fill="auto"/>
            <w:vAlign w:val="center"/>
          </w:tcPr>
          <w:p>
            <w:pPr>
              <w:keepNext w:val="0"/>
              <w:keepLines w:val="0"/>
              <w:suppressLineNumbers w:val="0"/>
              <w:autoSpaceDE w:val="0"/>
              <w:autoSpaceDN w:val="0"/>
              <w:adjustRightInd w:val="0"/>
              <w:spacing w:before="0" w:beforeAutospacing="0" w:after="0" w:afterAutospacing="0" w:line="280" w:lineRule="exact"/>
              <w:ind w:left="-2" w:leftChars="-1" w:right="0"/>
              <w:jc w:val="left"/>
              <w:rPr>
                <w:rFonts w:hint="eastAsia" w:hAnsi="Times New Roman" w:eastAsia="宋体"/>
                <w:kern w:val="2"/>
                <w:sz w:val="21"/>
                <w:szCs w:val="21"/>
              </w:rPr>
            </w:pPr>
            <w:r>
              <w:rPr>
                <w:rFonts w:hint="eastAsia" w:hAnsi="Times New Roman" w:eastAsia="宋体"/>
                <w:kern w:val="2"/>
                <w:sz w:val="21"/>
                <w:szCs w:val="21"/>
              </w:rPr>
              <w:t>与周边自然景观协调</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8" w:hRule="atLeast"/>
          <w:jc w:val="center"/>
        </w:trPr>
        <w:tc>
          <w:tcPr>
            <w:tcW w:w="410" w:type="pct"/>
            <w:shd w:val="clear" w:color="auto" w:fill="auto"/>
            <w:vAlign w:val="center"/>
          </w:tcPr>
          <w:p>
            <w:pPr>
              <w:keepNext w:val="0"/>
              <w:keepLines w:val="0"/>
              <w:suppressLineNumbers w:val="0"/>
              <w:tabs>
                <w:tab w:val="left" w:pos="851"/>
              </w:tabs>
              <w:spacing w:before="0" w:beforeAutospacing="0" w:after="0" w:afterAutospacing="0" w:line="280" w:lineRule="exact"/>
              <w:ind w:left="0" w:right="0"/>
              <w:rPr>
                <w:rFonts w:hint="eastAsia" w:hAnsi="Times New Roman" w:eastAsia="宋体"/>
                <w:b/>
                <w:kern w:val="2"/>
                <w:sz w:val="21"/>
                <w:szCs w:val="21"/>
              </w:rPr>
            </w:pPr>
            <w:r>
              <w:rPr>
                <w:rFonts w:hint="eastAsia" w:hAnsi="Times New Roman" w:eastAsia="宋体"/>
                <w:b/>
                <w:kern w:val="2"/>
                <w:sz w:val="21"/>
                <w:szCs w:val="21"/>
                <w:lang w:eastAsia="zh-CN"/>
              </w:rPr>
              <w:t>水生生态保护目标</w:t>
            </w:r>
          </w:p>
        </w:tc>
        <w:tc>
          <w:tcPr>
            <w:tcW w:w="443" w:type="pct"/>
            <w:shd w:val="clear" w:color="auto" w:fill="auto"/>
            <w:vAlign w:val="center"/>
          </w:tcPr>
          <w:p>
            <w:pPr>
              <w:keepNext w:val="0"/>
              <w:keepLines w:val="0"/>
              <w:suppressLineNumbers w:val="0"/>
              <w:tabs>
                <w:tab w:val="left" w:pos="851"/>
              </w:tabs>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iCs/>
                <w:kern w:val="2"/>
                <w:sz w:val="21"/>
                <w:szCs w:val="21"/>
                <w:lang w:eastAsia="zh-CN"/>
              </w:rPr>
              <w:t>9</w:t>
            </w:r>
          </w:p>
        </w:tc>
        <w:tc>
          <w:tcPr>
            <w:tcW w:w="857" w:type="pct"/>
            <w:shd w:val="clear" w:color="auto" w:fill="auto"/>
            <w:vAlign w:val="center"/>
          </w:tcPr>
          <w:p>
            <w:pPr>
              <w:keepNext w:val="0"/>
              <w:keepLines w:val="0"/>
              <w:suppressLineNumbers w:val="0"/>
              <w:adjustRightInd w:val="0"/>
              <w:snapToGrid w:val="0"/>
              <w:spacing w:before="0" w:beforeAutospacing="0" w:after="0" w:afterAutospacing="0" w:line="360" w:lineRule="auto"/>
              <w:ind w:left="-122" w:leftChars="-51" w:right="0"/>
              <w:jc w:val="center"/>
              <w:textAlignment w:val="baseline"/>
              <w:rPr>
                <w:rFonts w:hint="eastAsia" w:hAnsi="Times New Roman" w:eastAsia="宋体"/>
                <w:kern w:val="2"/>
                <w:sz w:val="21"/>
                <w:szCs w:val="21"/>
              </w:rPr>
            </w:pPr>
            <w:r>
              <w:rPr>
                <w:rFonts w:hint="eastAsia" w:hAnsi="Times New Roman" w:eastAsia="宋体"/>
                <w:kern w:val="2"/>
                <w:sz w:val="21"/>
                <w:szCs w:val="21"/>
                <w:lang w:eastAsia="zh-CN"/>
              </w:rPr>
              <w:t>水生生物</w:t>
            </w:r>
          </w:p>
        </w:tc>
        <w:tc>
          <w:tcPr>
            <w:tcW w:w="2306" w:type="pct"/>
            <w:shd w:val="clear" w:color="auto" w:fill="auto"/>
            <w:vAlign w:val="center"/>
          </w:tcPr>
          <w:p>
            <w:pPr>
              <w:keepNext w:val="0"/>
              <w:keepLines w:val="0"/>
              <w:suppressLineNumbers w:val="0"/>
              <w:autoSpaceDE w:val="0"/>
              <w:autoSpaceDN w:val="0"/>
              <w:adjustRightInd w:val="0"/>
              <w:snapToGrid w:val="0"/>
              <w:spacing w:before="0" w:beforeAutospacing="0" w:after="0" w:afterAutospacing="0"/>
              <w:ind w:left="0" w:right="0"/>
              <w:jc w:val="left"/>
              <w:textAlignment w:val="baseline"/>
              <w:rPr>
                <w:rFonts w:hint="eastAsia" w:hAnsi="Times New Roman" w:eastAsia="宋体"/>
                <w:kern w:val="2"/>
                <w:sz w:val="21"/>
                <w:szCs w:val="21"/>
              </w:rPr>
            </w:pPr>
            <w:r>
              <w:rPr>
                <w:rFonts w:hint="eastAsia" w:hAnsi="Times New Roman" w:eastAsia="宋体"/>
                <w:kern w:val="2"/>
                <w:sz w:val="21"/>
                <w:szCs w:val="21"/>
                <w:lang w:eastAsia="zh-CN"/>
              </w:rPr>
              <w:t>评价区水域的鱼类、浮游动植物、底栖动物。</w:t>
            </w:r>
          </w:p>
        </w:tc>
        <w:tc>
          <w:tcPr>
            <w:tcW w:w="984" w:type="pct"/>
            <w:shd w:val="clear" w:color="auto" w:fill="auto"/>
            <w:vAlign w:val="center"/>
          </w:tcPr>
          <w:p>
            <w:pPr>
              <w:keepNext w:val="0"/>
              <w:keepLines w:val="0"/>
              <w:suppressLineNumbers w:val="0"/>
              <w:autoSpaceDE w:val="0"/>
              <w:autoSpaceDN w:val="0"/>
              <w:adjustRightInd w:val="0"/>
              <w:snapToGrid w:val="0"/>
              <w:spacing w:before="0" w:beforeAutospacing="0" w:after="0" w:afterAutospacing="0"/>
              <w:ind w:left="-2" w:leftChars="-1" w:right="0"/>
              <w:jc w:val="left"/>
              <w:textAlignment w:val="baseline"/>
              <w:rPr>
                <w:rFonts w:hint="eastAsia" w:hAnsi="Times New Roman" w:eastAsia="宋体"/>
                <w:kern w:val="2"/>
                <w:sz w:val="21"/>
                <w:szCs w:val="21"/>
              </w:rPr>
            </w:pPr>
            <w:r>
              <w:rPr>
                <w:rFonts w:hint="eastAsia" w:hAnsi="Times New Roman" w:eastAsia="宋体"/>
                <w:kern w:val="2"/>
                <w:sz w:val="21"/>
                <w:szCs w:val="21"/>
                <w:lang w:eastAsia="zh-CN"/>
              </w:rPr>
              <w:t>保护水生生物及其生境</w:t>
            </w:r>
          </w:p>
        </w:tc>
      </w:tr>
    </w:tbl>
    <w:p>
      <w:pPr>
        <w:pStyle w:val="5"/>
        <w:rPr>
          <w:rFonts w:ascii="Times New Roman" w:hAnsi="Times New Roman"/>
          <w:lang w:eastAsia="zh-CN"/>
        </w:rPr>
      </w:pPr>
      <w:bookmarkStart w:id="170" w:name="_Toc163749164"/>
      <w:bookmarkStart w:id="171" w:name="_Toc167095174"/>
      <w:r>
        <w:rPr>
          <w:rFonts w:ascii="Times New Roman" w:hAnsi="Times New Roman"/>
          <w:lang w:eastAsia="zh-CN"/>
        </w:rPr>
        <w:t>4.2 评价区生态环境现状调查与评价</w:t>
      </w:r>
      <w:bookmarkEnd w:id="170"/>
      <w:bookmarkEnd w:id="171"/>
    </w:p>
    <w:p>
      <w:pPr>
        <w:topLinePunct/>
        <w:spacing w:line="360" w:lineRule="auto"/>
        <w:ind w:firstLine="482"/>
        <w:rPr>
          <w:rFonts w:hAnsi="Times New Roman" w:eastAsia="宋体"/>
          <w:bCs/>
          <w:szCs w:val="24"/>
          <w:lang w:eastAsia="zh-CN"/>
        </w:rPr>
      </w:pPr>
      <w:r>
        <w:rPr>
          <w:rFonts w:hAnsi="Times New Roman" w:eastAsia="宋体"/>
          <w:bCs/>
          <w:szCs w:val="24"/>
        </w:rPr>
        <w:t>七里峡煤</w:t>
      </w:r>
      <w:r>
        <w:rPr>
          <w:rFonts w:hint="eastAsia" w:hAnsi="Times New Roman" w:eastAsia="宋体"/>
          <w:bCs/>
          <w:szCs w:val="24"/>
          <w:lang w:eastAsia="zh-CN"/>
        </w:rPr>
        <w:t>矿</w:t>
      </w:r>
      <w:r>
        <w:rPr>
          <w:rFonts w:hAnsi="Times New Roman" w:eastAsia="宋体"/>
          <w:bCs/>
          <w:szCs w:val="24"/>
        </w:rPr>
        <w:t>地处丘陵，地势东北</w:t>
      </w:r>
      <w:r>
        <w:rPr>
          <w:rFonts w:hint="eastAsia" w:hAnsi="Times New Roman" w:eastAsia="宋体"/>
          <w:bCs/>
          <w:szCs w:val="24"/>
          <w:lang w:eastAsia="zh-CN"/>
        </w:rPr>
        <w:t>高</w:t>
      </w:r>
      <w:r>
        <w:rPr>
          <w:rFonts w:hAnsi="Times New Roman" w:eastAsia="宋体"/>
          <w:bCs/>
          <w:szCs w:val="24"/>
        </w:rPr>
        <w:t>、西南低。本项目位于四川盆地亚热带农林生态区、盆中丘陵农林复合生态亚区。该区典型的生态系统为农田和森林生态系统。属</w:t>
      </w:r>
      <w:r>
        <w:fldChar w:fldCharType="begin"/>
      </w:r>
      <w:r>
        <w:instrText xml:space="preserve"> HYPERLINK "https://baike.baidu.com/item/%E4%BA%9A%E7%83%AD%E5%B8%A6%E5%AD%A3%E9%A3%8E%E6%B0%94%E5%80%99/875538" \t "https://baike.baidu.com/item/%E4%B8%83%E9%87%8C%E9%95%87/_blank" </w:instrText>
      </w:r>
      <w:r>
        <w:fldChar w:fldCharType="separate"/>
      </w:r>
      <w:r>
        <w:rPr>
          <w:rFonts w:hAnsi="Times New Roman" w:eastAsia="宋体"/>
          <w:bCs/>
          <w:szCs w:val="24"/>
        </w:rPr>
        <w:t>亚热带季风气候</w:t>
      </w:r>
      <w:r>
        <w:rPr>
          <w:rFonts w:hAnsi="Times New Roman" w:eastAsia="宋体"/>
          <w:bCs/>
          <w:szCs w:val="24"/>
        </w:rPr>
        <w:fldChar w:fldCharType="end"/>
      </w:r>
      <w:r>
        <w:rPr>
          <w:rFonts w:hAnsi="Times New Roman" w:eastAsia="宋体"/>
          <w:bCs/>
          <w:szCs w:val="24"/>
        </w:rPr>
        <w:t>，其特点是气候温和，春暖夏热，秋凉冬寒，四季分明，无霜期长，阳光充足，雨量充沛。多年平均气温16.6℃，1月平均气温5.8℃，极端最低气温5.3（1975年2月13日）；7月平均气温31.6%，极端最高气温41.3℃（1975年7月13日）。无霜期年平均210天。年平均降水量1213.5毫米，极端年最大雨量1593.7毫米（1963年），极端年</w:t>
      </w:r>
      <w:r>
        <w:rPr>
          <w:rFonts w:hint="eastAsia" w:hAnsi="Times New Roman" w:eastAsia="宋体"/>
          <w:bCs/>
          <w:szCs w:val="24"/>
          <w:lang w:eastAsia="zh-CN"/>
        </w:rPr>
        <w:t>最小</w:t>
      </w:r>
      <w:r>
        <w:rPr>
          <w:rFonts w:hAnsi="Times New Roman" w:eastAsia="宋体"/>
          <w:bCs/>
          <w:szCs w:val="24"/>
        </w:rPr>
        <w:t>雨量865.9毫米（1966年）。降雨集中在每年的4至10月，7月最多。项目区森林植被主要为马尾森林、柏木林、枫杨林等。</w:t>
      </w:r>
    </w:p>
    <w:p>
      <w:pPr>
        <w:pStyle w:val="6"/>
        <w:rPr>
          <w:lang w:eastAsia="zh-CN"/>
        </w:rPr>
      </w:pPr>
      <w:bookmarkStart w:id="172" w:name="_Toc167095175"/>
      <w:bookmarkStart w:id="173" w:name="_Toc38880177"/>
      <w:bookmarkStart w:id="174" w:name="_Toc163812552"/>
      <w:r>
        <w:rPr>
          <w:rFonts w:hint="eastAsia"/>
          <w:lang w:eastAsia="zh-CN"/>
        </w:rPr>
        <w:t xml:space="preserve">4.2.1 </w:t>
      </w:r>
      <w:r>
        <w:rPr>
          <w:lang w:eastAsia="zh-CN"/>
        </w:rPr>
        <w:t>生态功能区划</w:t>
      </w:r>
      <w:bookmarkEnd w:id="172"/>
      <w:bookmarkEnd w:id="173"/>
      <w:bookmarkEnd w:id="174"/>
    </w:p>
    <w:p>
      <w:pPr>
        <w:spacing w:line="360" w:lineRule="auto"/>
        <w:rPr>
          <w:rFonts w:hAnsi="Times New Roman" w:eastAsia="宋体"/>
          <w:b/>
          <w:bCs/>
          <w:lang w:eastAsia="zh-CN"/>
        </w:rPr>
      </w:pPr>
      <w:r>
        <w:rPr>
          <w:rFonts w:hint="eastAsia" w:hAnsi="Times New Roman" w:eastAsia="宋体"/>
          <w:b/>
          <w:bCs/>
          <w:lang w:eastAsia="zh-CN"/>
        </w:rPr>
        <w:t xml:space="preserve">4.2.1.1 </w:t>
      </w:r>
      <w:r>
        <w:rPr>
          <w:rFonts w:hAnsi="Times New Roman" w:eastAsia="宋体"/>
          <w:b/>
          <w:bCs/>
          <w:lang w:eastAsia="zh-CN"/>
        </w:rPr>
        <w:t>四川生态功能区划</w:t>
      </w:r>
    </w:p>
    <w:p>
      <w:pPr>
        <w:widowControl/>
        <w:adjustRightInd w:val="0"/>
        <w:snapToGrid w:val="0"/>
        <w:spacing w:line="360" w:lineRule="auto"/>
        <w:ind w:firstLine="480" w:firstLineChars="200"/>
        <w:textAlignment w:val="baseline"/>
        <w:rPr>
          <w:rFonts w:hAnsi="Times New Roman" w:eastAsia="宋体"/>
          <w:szCs w:val="24"/>
        </w:rPr>
      </w:pPr>
      <w:r>
        <w:rPr>
          <w:rFonts w:hAnsi="Times New Roman" w:eastAsia="宋体"/>
          <w:szCs w:val="24"/>
        </w:rPr>
        <w:t>根据《四川省生态功能区划》，四川省生态功能区划分为4个一级区，13个二级区，36个三级区。4个一级区为：Ⅰ、四川盆地亚热带湿润气候生态区；Ⅱ、川西南山地亚热带半湿润气候生态区；Ⅲ、川西高山高原亚热带-温带-寒温带生态区；Ⅳ、川西北高原江河源区寒温带-亚寒带生态区。</w:t>
      </w:r>
    </w:p>
    <w:p>
      <w:pPr>
        <w:widowControl/>
        <w:adjustRightInd w:val="0"/>
        <w:snapToGrid w:val="0"/>
        <w:spacing w:line="360" w:lineRule="auto"/>
        <w:ind w:firstLine="480" w:firstLineChars="200"/>
        <w:textAlignment w:val="baseline"/>
        <w:rPr>
          <w:rFonts w:hAnsi="Times New Roman" w:eastAsia="宋体"/>
          <w:szCs w:val="24"/>
          <w:lang w:eastAsia="zh-CN"/>
        </w:rPr>
      </w:pPr>
      <w:r>
        <w:rPr>
          <w:rFonts w:hAnsi="Times New Roman" w:eastAsia="宋体"/>
          <w:szCs w:val="24"/>
        </w:rPr>
        <w:t>依据《四川省生态功能区划》，评价区属于四川盆地亚热带湿润气候生态区（Ⅰ）-</w:t>
      </w:r>
      <w:r>
        <w:rPr>
          <w:rFonts w:hAnsi="Times New Roman" w:eastAsia="宋体"/>
          <w:szCs w:val="24"/>
          <w:lang w:eastAsia="zh-CN"/>
        </w:rPr>
        <w:t>盆东平行岭谷农林复合</w:t>
      </w:r>
      <w:r>
        <w:rPr>
          <w:rFonts w:hAnsi="Times New Roman" w:eastAsia="宋体"/>
          <w:szCs w:val="24"/>
        </w:rPr>
        <w:t>生态亚区（Ⅰ-</w:t>
      </w:r>
      <w:r>
        <w:rPr>
          <w:rFonts w:hAnsi="Times New Roman" w:eastAsia="宋体"/>
          <w:szCs w:val="24"/>
          <w:lang w:eastAsia="zh-CN"/>
        </w:rPr>
        <w:t>4</w:t>
      </w:r>
      <w:r>
        <w:rPr>
          <w:rFonts w:hAnsi="Times New Roman" w:eastAsia="宋体"/>
          <w:szCs w:val="24"/>
        </w:rPr>
        <w:t>）-</w:t>
      </w:r>
      <w:r>
        <w:rPr>
          <w:rFonts w:hAnsi="Times New Roman" w:eastAsia="宋体"/>
          <w:szCs w:val="24"/>
          <w:lang w:eastAsia="zh-CN"/>
        </w:rPr>
        <w:t>华蓥山农林业与土壤保持生态功能区</w:t>
      </w:r>
      <w:r>
        <w:rPr>
          <w:rFonts w:hAnsi="Times New Roman" w:eastAsia="宋体"/>
          <w:szCs w:val="24"/>
        </w:rPr>
        <w:t>（Ⅰ-</w:t>
      </w:r>
      <w:r>
        <w:rPr>
          <w:rFonts w:hAnsi="Times New Roman" w:eastAsia="宋体"/>
          <w:szCs w:val="24"/>
          <w:lang w:eastAsia="zh-CN"/>
        </w:rPr>
        <w:t>4</w:t>
      </w:r>
      <w:r>
        <w:rPr>
          <w:rFonts w:hAnsi="Times New Roman" w:eastAsia="宋体"/>
          <w:szCs w:val="24"/>
        </w:rPr>
        <w:t>-</w:t>
      </w:r>
      <w:r>
        <w:rPr>
          <w:rFonts w:hAnsi="Times New Roman" w:eastAsia="宋体"/>
          <w:szCs w:val="24"/>
          <w:lang w:eastAsia="zh-CN"/>
        </w:rPr>
        <w:t>1</w:t>
      </w:r>
      <w:r>
        <w:rPr>
          <w:rFonts w:hAnsi="Times New Roman" w:eastAsia="宋体"/>
          <w:szCs w:val="24"/>
        </w:rPr>
        <w:t>）。该区域地貌以</w:t>
      </w:r>
      <w:r>
        <w:rPr>
          <w:rFonts w:hAnsi="Times New Roman" w:eastAsia="宋体"/>
          <w:szCs w:val="24"/>
          <w:lang w:eastAsia="zh-CN"/>
        </w:rPr>
        <w:t>低山</w:t>
      </w:r>
      <w:r>
        <w:rPr>
          <w:rFonts w:hAnsi="Times New Roman" w:eastAsia="宋体"/>
          <w:szCs w:val="24"/>
        </w:rPr>
        <w:t>丘陵为主。年均气温</w:t>
      </w:r>
      <w:r>
        <w:rPr>
          <w:rFonts w:hAnsi="Times New Roman" w:eastAsia="宋体"/>
          <w:szCs w:val="24"/>
          <w:lang w:eastAsia="zh-CN"/>
        </w:rPr>
        <w:t>13.4</w:t>
      </w:r>
      <w:r>
        <w:rPr>
          <w:rFonts w:hAnsi="Times New Roman" w:eastAsia="宋体"/>
          <w:szCs w:val="24"/>
        </w:rPr>
        <w:t>℃</w:t>
      </w:r>
      <w:r>
        <w:rPr>
          <w:rFonts w:hAnsi="Times New Roman" w:eastAsia="宋体"/>
          <w:szCs w:val="24"/>
          <w:lang w:eastAsia="zh-CN"/>
        </w:rPr>
        <w:t>~16.9</w:t>
      </w:r>
      <w:r>
        <w:rPr>
          <w:rFonts w:hAnsi="Times New Roman" w:eastAsia="宋体"/>
          <w:szCs w:val="24"/>
        </w:rPr>
        <w:t>℃，≥10℃活动积温5</w:t>
      </w:r>
      <w:r>
        <w:rPr>
          <w:rFonts w:hAnsi="Times New Roman" w:eastAsia="宋体"/>
          <w:szCs w:val="24"/>
          <w:lang w:eastAsia="zh-CN"/>
        </w:rPr>
        <w:t>1</w:t>
      </w:r>
      <w:r>
        <w:rPr>
          <w:rFonts w:hAnsi="Times New Roman" w:eastAsia="宋体"/>
          <w:szCs w:val="24"/>
        </w:rPr>
        <w:t>00~5</w:t>
      </w:r>
      <w:r>
        <w:rPr>
          <w:rFonts w:hAnsi="Times New Roman" w:eastAsia="宋体"/>
          <w:szCs w:val="24"/>
          <w:lang w:eastAsia="zh-CN"/>
        </w:rPr>
        <w:t>4</w:t>
      </w:r>
      <w:r>
        <w:rPr>
          <w:rFonts w:hAnsi="Times New Roman" w:eastAsia="宋体"/>
          <w:szCs w:val="24"/>
        </w:rPr>
        <w:t>00℃</w:t>
      </w:r>
      <w:r>
        <w:rPr>
          <w:rFonts w:hint="eastAsia" w:hAnsi="Times New Roman" w:eastAsia="宋体"/>
          <w:szCs w:val="24"/>
          <w:lang w:eastAsia="zh-CN"/>
        </w:rPr>
        <w:t>，</w:t>
      </w:r>
      <w:r>
        <w:rPr>
          <w:rFonts w:hAnsi="Times New Roman" w:eastAsia="宋体"/>
          <w:szCs w:val="24"/>
        </w:rPr>
        <w:t>年降水量</w:t>
      </w:r>
      <w:r>
        <w:rPr>
          <w:rFonts w:hAnsi="Times New Roman" w:eastAsia="宋体"/>
          <w:szCs w:val="24"/>
          <w:lang w:eastAsia="zh-CN"/>
        </w:rPr>
        <w:t>1200</w:t>
      </w:r>
      <w:r>
        <w:rPr>
          <w:rFonts w:hint="eastAsia" w:hAnsi="Times New Roman" w:eastAsia="宋体"/>
          <w:szCs w:val="24"/>
          <w:lang w:eastAsia="zh-CN"/>
        </w:rPr>
        <w:t>～</w:t>
      </w:r>
      <w:r>
        <w:rPr>
          <w:rFonts w:hAnsi="Times New Roman" w:eastAsia="宋体"/>
          <w:szCs w:val="24"/>
          <w:lang w:eastAsia="zh-CN"/>
        </w:rPr>
        <w:t>1538</w:t>
      </w:r>
      <w:r>
        <w:rPr>
          <w:rFonts w:hAnsi="Times New Roman" w:eastAsia="宋体"/>
          <w:szCs w:val="24"/>
        </w:rPr>
        <w:t>毫米。河流属</w:t>
      </w:r>
      <w:r>
        <w:rPr>
          <w:rFonts w:hAnsi="Times New Roman" w:eastAsia="宋体"/>
          <w:szCs w:val="24"/>
          <w:lang w:eastAsia="zh-CN"/>
        </w:rPr>
        <w:t>于渠江</w:t>
      </w:r>
      <w:r>
        <w:rPr>
          <w:rFonts w:hAnsi="Times New Roman" w:eastAsia="宋体"/>
          <w:szCs w:val="24"/>
        </w:rPr>
        <w:t>水系</w:t>
      </w:r>
      <w:r>
        <w:rPr>
          <w:rFonts w:hAnsi="Times New Roman" w:eastAsia="宋体"/>
          <w:szCs w:val="24"/>
          <w:lang w:eastAsia="zh-CN"/>
        </w:rPr>
        <w:t>和长江干流水系</w:t>
      </w:r>
      <w:r>
        <w:rPr>
          <w:rFonts w:hAnsi="Times New Roman" w:eastAsia="宋体"/>
          <w:szCs w:val="24"/>
        </w:rPr>
        <w:t>。</w:t>
      </w:r>
    </w:p>
    <w:p>
      <w:pPr>
        <w:widowControl/>
        <w:adjustRightInd w:val="0"/>
        <w:snapToGrid w:val="0"/>
        <w:spacing w:line="360" w:lineRule="auto"/>
        <w:ind w:firstLine="480" w:firstLineChars="200"/>
        <w:textAlignment w:val="baseline"/>
        <w:rPr>
          <w:rFonts w:hAnsi="Times New Roman" w:eastAsia="宋体"/>
          <w:szCs w:val="24"/>
        </w:rPr>
      </w:pPr>
      <w:r>
        <w:rPr>
          <w:rFonts w:hint="eastAsia" w:hAnsi="Times New Roman" w:eastAsia="宋体"/>
          <w:szCs w:val="24"/>
        </w:rPr>
        <w:t>该生态功能区主要生态服务功能为：农林产品提供功能，土壤保持功能，生物多样性保护功能；生态建设与发展方向为：发挥区域中心城市的辐射</w:t>
      </w:r>
      <w:r>
        <w:rPr>
          <w:rFonts w:hint="eastAsia" w:hAnsi="Times New Roman" w:eastAsia="宋体"/>
          <w:szCs w:val="24"/>
          <w:lang w:eastAsia="zh-CN"/>
        </w:rPr>
        <w:t>作用</w:t>
      </w:r>
      <w:r>
        <w:rPr>
          <w:rFonts w:hint="eastAsia" w:hAnsi="Times New Roman" w:eastAsia="宋体"/>
          <w:szCs w:val="24"/>
        </w:rPr>
        <w:t>，防治城乡环境污染。保护森林植被和生物多样性，巩固长江上游防护林建设、天然林保护和退耕还林成果，提高森林覆盖率，减轻水土流失，防止喀斯特地貌区石漠化。保护耕地。因地制宜发展沼气等清洁能源。合理开发矿产资源、自然和人文景观资源，培育和发展特色优势产业集群，建设天然气能源、化工基地，严格防治环境污染。</w:t>
      </w:r>
    </w:p>
    <w:p>
      <w:pPr>
        <w:widowControl/>
        <w:adjustRightInd w:val="0"/>
        <w:snapToGrid w:val="0"/>
        <w:spacing w:line="360" w:lineRule="auto"/>
        <w:jc w:val="center"/>
        <w:textAlignment w:val="baseline"/>
        <w:rPr>
          <w:rFonts w:hAnsi="Times New Roman" w:eastAsia="宋体"/>
          <w:b/>
          <w:bCs/>
          <w:szCs w:val="24"/>
          <w:lang w:eastAsia="zh-CN"/>
        </w:rPr>
      </w:pPr>
      <w:r>
        <w:rPr>
          <w:rFonts w:hAnsi="Times New Roman" w:eastAsia="宋体"/>
          <w:szCs w:val="24"/>
        </w:rPr>
        <mc:AlternateContent>
          <mc:Choice Requires="wpg">
            <w:drawing>
              <wp:inline distT="0" distB="0" distL="114300" distR="114300">
                <wp:extent cx="5405755" cy="3333750"/>
                <wp:effectExtent l="0" t="0" r="23495" b="0"/>
                <wp:docPr id="360493032" name="组合 360493032"/>
                <wp:cNvGraphicFramePr/>
                <a:graphic xmlns:a="http://schemas.openxmlformats.org/drawingml/2006/main">
                  <a:graphicData uri="http://schemas.microsoft.com/office/word/2010/wordprocessingGroup">
                    <wpg:wgp>
                      <wpg:cNvGrpSpPr/>
                      <wpg:grpSpPr>
                        <a:xfrm>
                          <a:off x="0" y="0"/>
                          <a:ext cx="5405635" cy="3333750"/>
                          <a:chOff x="3564" y="85888"/>
                          <a:chExt cx="7615" cy="5162"/>
                        </a:xfrm>
                      </wpg:grpSpPr>
                      <pic:pic xmlns:pic="http://schemas.openxmlformats.org/drawingml/2006/picture">
                        <pic:nvPicPr>
                          <pic:cNvPr id="778793548" name="图片 5"/>
                          <pic:cNvPicPr>
                            <a:picLocks noChangeAspect="1"/>
                          </pic:cNvPicPr>
                        </pic:nvPicPr>
                        <pic:blipFill>
                          <a:blip r:embed="rId69" cstate="print"/>
                          <a:srcRect/>
                          <a:stretch>
                            <a:fillRect/>
                          </a:stretch>
                        </pic:blipFill>
                        <pic:spPr>
                          <a:xfrm>
                            <a:off x="3564" y="85888"/>
                            <a:ext cx="7430" cy="5162"/>
                          </a:xfrm>
                          <a:prstGeom prst="rect">
                            <a:avLst/>
                          </a:prstGeom>
                          <a:noFill/>
                          <a:ln>
                            <a:noFill/>
                          </a:ln>
                        </pic:spPr>
                      </pic:pic>
                      <wps:wsp>
                        <wps:cNvPr id="1065835816" name="对话气泡: 矩形 7"/>
                        <wps:cNvSpPr/>
                        <wps:spPr>
                          <a:xfrm>
                            <a:off x="9877" y="86937"/>
                            <a:ext cx="1302" cy="582"/>
                          </a:xfrm>
                          <a:prstGeom prst="wedgeRectCallout">
                            <a:avLst>
                              <a:gd name="adj1" fmla="val -135714"/>
                              <a:gd name="adj2" fmla="val 134364"/>
                            </a:avLst>
                          </a:prstGeom>
                          <a:solidFill>
                            <a:srgbClr val="FFFFFF"/>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项目所在位置</w:t>
                              </w:r>
                            </w:p>
                          </w:txbxContent>
                        </wps:txbx>
                        <wps:bodyPr rot="0" spcFirstLastPara="0" vertOverflow="overflow" horzOverflow="overflow" vert="horz" wrap="square" lIns="0" tIns="0" rIns="0" bIns="0" numCol="1" spcCol="0" rtlCol="0" fromWordArt="0" anchor="ctr" anchorCtr="0" forceAA="0" compatLnSpc="1">
                          <a:noAutofit/>
                        </wps:bodyPr>
                      </wps:wsp>
                    </wpg:wgp>
                  </a:graphicData>
                </a:graphic>
              </wp:inline>
            </w:drawing>
          </mc:Choice>
          <mc:Fallback>
            <w:pict>
              <v:group id="_x0000_s1026" o:spid="_x0000_s1026" o:spt="203" style="height:262.5pt;width:425.65pt;" coordorigin="3564,85888" coordsize="7615,5162" o:gfxdata="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">
                <o:lock v:ext="edit" aspectratio="f"/>
                <v:shape id="图片 5" o:spid="_x0000_s1026" o:spt="75" type="#_x0000_t75" style="position:absolute;left:3564;top:85888;height:5162;width:7430;" filled="f" o:preferrelative="t" stroked="f" coordsize="21600,21600" o:gfxdata="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H95&#10;5cEAAADiAAAADwAAAAAAAAABACAAAAAiAAAAZHJzL2Rvd25yZXYueG1sUEsBAhQAFAAAAAgAh07i&#10;QDMvBZ47AAAAOQAAABAAAAAAAAAAAQAgAAAAEAEAAGRycy9zaGFwZXhtbC54bWxQSwUGAAAAAAYA&#10;BgBbAQAAugMAAAAA&#10;">
                  <v:fill on="f" focussize="0,0"/>
                  <v:stroke on="f"/>
                  <v:imagedata r:id="rId69" o:title=""/>
                  <o:lock v:ext="edit" aspectratio="t"/>
                </v:shape>
                <v:shape id="对话气泡: 矩形 7" o:spid="_x0000_s1026" o:spt="61" type="#_x0000_t61" style="position:absolute;left:9877;top:86937;height:582;width:1302;v-text-anchor:middle;" fillcolor="#FFFFFF" filled="t" stroked="t" coordsize="21600,21600" o:gfxdata="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o&#10;lRDQwwAAAOMAAAAPAAAAAAAAAAEAIAAAACIAAABkcnMvZG93bnJldi54bWxQSwECFAAUAAAACACH&#10;TuJAMy8FnjsAAAA5AAAAEAAAAAAAAAABACAAAAASAQAAZHJzL3NoYXBleG1sLnhtbFBLBQYAAAAA&#10;BgAGAFsBAAC8AwAAAAA=&#10;" adj="-18514,39823">
                  <v:fill on="t" focussize="0,0"/>
                  <v:stroke weight="1pt" color="#000000 [3213]" miterlimit="8" joinstyle="miter"/>
                  <v:imagedata o:title=""/>
                  <o:lock v:ext="edit" aspectratio="f"/>
                  <v:textbox inset="0mm,0mm,0mm,0mm">
                    <w:txbxContent>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项目所在位置</w:t>
                        </w:r>
                      </w:p>
                    </w:txbxContent>
                  </v:textbox>
                </v:shape>
                <w10:wrap type="none"/>
                <w10:anchorlock/>
              </v:group>
            </w:pict>
          </mc:Fallback>
        </mc:AlternateContent>
      </w:r>
    </w:p>
    <w:p>
      <w:pPr>
        <w:widowControl/>
        <w:adjustRightInd w:val="0"/>
        <w:snapToGrid w:val="0"/>
        <w:spacing w:line="360" w:lineRule="auto"/>
        <w:jc w:val="center"/>
        <w:textAlignment w:val="baseline"/>
        <w:rPr>
          <w:rFonts w:hAnsi="Times New Roman" w:eastAsia="宋体"/>
          <w:sz w:val="21"/>
          <w:szCs w:val="21"/>
        </w:rPr>
      </w:pPr>
      <w:r>
        <w:rPr>
          <w:rFonts w:hAnsi="Times New Roman" w:eastAsia="宋体"/>
          <w:b/>
          <w:bCs/>
          <w:sz w:val="21"/>
          <w:szCs w:val="21"/>
        </w:rPr>
        <w:t>图</w:t>
      </w:r>
      <w:r>
        <w:rPr>
          <w:rFonts w:hint="eastAsia" w:hAnsi="Times New Roman" w:eastAsia="宋体"/>
          <w:b/>
          <w:bCs/>
          <w:sz w:val="21"/>
          <w:szCs w:val="21"/>
          <w:lang w:eastAsia="zh-CN"/>
        </w:rPr>
        <w:t>4.2</w:t>
      </w:r>
      <w:r>
        <w:rPr>
          <w:rFonts w:hAnsi="Times New Roman" w:eastAsia="宋体"/>
          <w:b/>
          <w:bCs/>
          <w:sz w:val="21"/>
          <w:szCs w:val="21"/>
        </w:rPr>
        <w:t>-</w:t>
      </w:r>
      <w:r>
        <w:rPr>
          <w:rFonts w:hAnsi="Times New Roman" w:eastAsia="宋体"/>
          <w:b/>
          <w:bCs/>
          <w:sz w:val="21"/>
          <w:szCs w:val="21"/>
          <w:lang w:eastAsia="zh-CN"/>
        </w:rPr>
        <w:t>1</w:t>
      </w:r>
      <w:r>
        <w:rPr>
          <w:rFonts w:hAnsi="Times New Roman" w:eastAsia="宋体"/>
          <w:b/>
          <w:bCs/>
          <w:sz w:val="21"/>
          <w:szCs w:val="21"/>
        </w:rPr>
        <w:t xml:space="preserve"> 项目在四川生态功能区划中的位置</w:t>
      </w:r>
    </w:p>
    <w:p>
      <w:pPr>
        <w:spacing w:line="360" w:lineRule="auto"/>
        <w:rPr>
          <w:rFonts w:hAnsi="Times New Roman" w:eastAsia="宋体"/>
          <w:b/>
          <w:bCs/>
          <w:lang w:eastAsia="zh-CN"/>
        </w:rPr>
      </w:pPr>
      <w:r>
        <w:rPr>
          <w:rFonts w:hint="eastAsia" w:hAnsi="Times New Roman" w:eastAsia="宋体"/>
          <w:b/>
          <w:bCs/>
          <w:lang w:eastAsia="zh-CN"/>
        </w:rPr>
        <w:t>4.2.1.</w:t>
      </w:r>
      <w:r>
        <w:rPr>
          <w:rFonts w:hAnsi="Times New Roman" w:eastAsia="宋体"/>
          <w:b/>
          <w:bCs/>
          <w:lang w:eastAsia="zh-CN"/>
        </w:rPr>
        <w:t>2 四川植被</w:t>
      </w:r>
      <w:r>
        <w:rPr>
          <w:rFonts w:hint="eastAsia" w:hAnsi="Times New Roman" w:eastAsia="宋体"/>
          <w:b/>
          <w:bCs/>
          <w:lang w:eastAsia="zh-CN"/>
        </w:rPr>
        <w:t>分区</w:t>
      </w:r>
    </w:p>
    <w:p>
      <w:pPr>
        <w:pStyle w:val="97"/>
        <w:spacing w:line="360" w:lineRule="auto"/>
        <w:ind w:firstLine="482" w:firstLineChars="200"/>
        <w:rPr>
          <w:rFonts w:ascii="Times New Roman" w:hAnsi="Times New Roman" w:eastAsia="宋体" w:cs="Times New Roman"/>
          <w:b/>
          <w:bCs/>
          <w:sz w:val="24"/>
          <w:szCs w:val="24"/>
          <w:lang w:bidi="ar"/>
        </w:rPr>
      </w:pPr>
      <w:r>
        <w:rPr>
          <w:rFonts w:ascii="Times New Roman" w:hAnsi="Times New Roman" w:eastAsia="宋体" w:cs="Times New Roman"/>
          <w:b/>
          <w:bCs/>
          <w:sz w:val="24"/>
          <w:szCs w:val="24"/>
          <w:lang w:bidi="ar"/>
        </w:rPr>
        <w:t>Ⅰ.川东盆地及川西南山地常绿阔叶林地带</w:t>
      </w:r>
    </w:p>
    <w:p>
      <w:pPr>
        <w:pStyle w:val="97"/>
        <w:spacing w:line="360" w:lineRule="auto"/>
        <w:ind w:firstLine="482" w:firstLineChars="200"/>
        <w:rPr>
          <w:rFonts w:ascii="Times New Roman" w:hAnsi="Times New Roman" w:eastAsia="宋体" w:cs="Times New Roman"/>
          <w:b/>
          <w:bCs/>
          <w:sz w:val="24"/>
          <w:szCs w:val="24"/>
          <w:lang w:bidi="ar"/>
        </w:rPr>
      </w:pPr>
      <w:r>
        <w:rPr>
          <w:rFonts w:ascii="Times New Roman" w:hAnsi="Times New Roman" w:eastAsia="宋体" w:cs="Times New Roman"/>
          <w:b/>
          <w:bCs/>
          <w:sz w:val="24"/>
          <w:szCs w:val="24"/>
          <w:lang w:bidi="ar"/>
        </w:rPr>
        <w:t>ⅠA.川东盆地偏湿性常绿阔叶林亚带</w:t>
      </w:r>
    </w:p>
    <w:p>
      <w:pPr>
        <w:pStyle w:val="97"/>
        <w:spacing w:line="360" w:lineRule="auto"/>
        <w:ind w:firstLine="482" w:firstLineChars="200"/>
        <w:rPr>
          <w:rFonts w:ascii="Times New Roman" w:hAnsi="Times New Roman" w:eastAsia="宋体" w:cs="Times New Roman"/>
          <w:b/>
          <w:bCs/>
          <w:sz w:val="24"/>
          <w:szCs w:val="24"/>
          <w:lang w:bidi="ar"/>
        </w:rPr>
      </w:pPr>
      <w:r>
        <w:rPr>
          <w:rFonts w:ascii="Times New Roman" w:hAnsi="Times New Roman" w:eastAsia="宋体" w:cs="Times New Roman"/>
          <w:b/>
          <w:bCs/>
          <w:sz w:val="24"/>
          <w:szCs w:val="24"/>
          <w:lang w:bidi="ar"/>
        </w:rPr>
        <w:t>IA3盆地底部丘陵低山植被地区</w:t>
      </w:r>
    </w:p>
    <w:p>
      <w:pPr>
        <w:pStyle w:val="97"/>
        <w:spacing w:line="360" w:lineRule="auto"/>
        <w:ind w:firstLine="482" w:firstLineChars="200"/>
        <w:rPr>
          <w:rFonts w:ascii="Times New Roman" w:hAnsi="Times New Roman" w:eastAsia="宋体" w:cs="Times New Roman"/>
          <w:b/>
          <w:bCs/>
          <w:sz w:val="24"/>
          <w:szCs w:val="24"/>
          <w:lang w:bidi="ar"/>
        </w:rPr>
      </w:pPr>
      <w:r>
        <w:rPr>
          <w:rFonts w:ascii="Times New Roman" w:hAnsi="Times New Roman" w:eastAsia="宋体" w:cs="Times New Roman"/>
          <w:b/>
          <w:bCs/>
          <w:sz w:val="24"/>
          <w:szCs w:val="24"/>
          <w:lang w:bidi="ar"/>
        </w:rPr>
        <w:t>IA3（5）川北深丘植被小区</w:t>
      </w:r>
    </w:p>
    <w:p>
      <w:pPr>
        <w:pStyle w:val="97"/>
        <w:spacing w:line="360" w:lineRule="auto"/>
        <w:ind w:firstLine="480" w:firstLineChars="200"/>
        <w:rPr>
          <w:rFonts w:ascii="Times New Roman" w:hAnsi="Times New Roman" w:eastAsia="宋体" w:cs="Times New Roman"/>
          <w:sz w:val="24"/>
          <w:szCs w:val="24"/>
          <w:lang w:bidi="ar"/>
        </w:rPr>
      </w:pPr>
      <w:r>
        <w:rPr>
          <w:rFonts w:ascii="Times New Roman" w:hAnsi="Times New Roman" w:eastAsia="宋体" w:cs="Times New Roman"/>
          <w:sz w:val="24"/>
          <w:szCs w:val="24"/>
          <w:lang w:bidi="ar"/>
        </w:rPr>
        <w:t>川北深丘植被小区位于盆地中部北侧，是大巴山地区向盆地内部方山丘陵过渡的地带，包括宣汉、平昌、巴中、阆中、苍溪、剑阁等县的全部，梓潼、广元、南江、通江、万源等县的局部地区。境内主要属单斜丘陵，</w:t>
      </w:r>
      <w:r>
        <w:rPr>
          <w:rFonts w:hint="eastAsia" w:ascii="Times New Roman" w:hAnsi="Times New Roman" w:eastAsia="宋体" w:cs="Times New Roman"/>
          <w:sz w:val="24"/>
          <w:szCs w:val="24"/>
          <w:lang w:eastAsia="zh-CN" w:bidi="ar"/>
        </w:rPr>
        <w:t>海拔</w:t>
      </w:r>
      <w:r>
        <w:rPr>
          <w:rFonts w:ascii="Times New Roman" w:hAnsi="Times New Roman" w:eastAsia="宋体" w:cs="Times New Roman"/>
          <w:sz w:val="24"/>
          <w:szCs w:val="24"/>
          <w:lang w:bidi="ar"/>
        </w:rPr>
        <w:t>一般为800米，相对高度100</w:t>
      </w:r>
      <w:r>
        <w:rPr>
          <w:rFonts w:hint="eastAsia" w:ascii="Times New Roman" w:hAnsi="Times New Roman" w:eastAsia="宋体" w:cs="Times New Roman"/>
          <w:sz w:val="24"/>
          <w:szCs w:val="24"/>
          <w:lang w:eastAsia="zh-CN" w:bidi="ar"/>
        </w:rPr>
        <w:t>～</w:t>
      </w:r>
      <w:r>
        <w:rPr>
          <w:rFonts w:ascii="Times New Roman" w:hAnsi="Times New Roman" w:eastAsia="宋体" w:cs="Times New Roman"/>
          <w:sz w:val="24"/>
          <w:szCs w:val="24"/>
          <w:lang w:bidi="ar"/>
        </w:rPr>
        <w:t>200米，地层多属白垩纪紫色砂岩与页岩互层，在此母质上发育的为紫色土，海拔1000米以上地区以黄壤为主。年平均温16~17°C。1月平均温5~6°C，比川中方山丘陵区气温低，而年温差较大。年降水量在1000毫米以上，比川中方山丘陵区多，但季节分配不均匀，雾日较少，无霜期约为290天，有春旱、秋干、日照时数较多的特点。</w:t>
      </w:r>
    </w:p>
    <w:p>
      <w:pPr>
        <w:pStyle w:val="97"/>
        <w:spacing w:line="360" w:lineRule="auto"/>
        <w:ind w:firstLine="480" w:firstLineChars="200"/>
        <w:rPr>
          <w:rFonts w:ascii="Times New Roman" w:hAnsi="Times New Roman" w:eastAsia="宋体" w:cs="Times New Roman"/>
          <w:sz w:val="24"/>
          <w:szCs w:val="24"/>
          <w:lang w:bidi="ar"/>
        </w:rPr>
      </w:pPr>
      <w:r>
        <w:rPr>
          <w:rFonts w:ascii="Times New Roman" w:hAnsi="Times New Roman" w:eastAsia="宋体" w:cs="Times New Roman"/>
          <w:sz w:val="24"/>
          <w:szCs w:val="24"/>
          <w:lang w:bidi="ar"/>
        </w:rPr>
        <w:t>自然植被主要为马尾松林、柏木林、栎类灌丛、亚热带草丛及其各种过渡类型。在个别海拔1200米左右的地方有石栎林、刺叶栎（Quercus spinosa）林、青</w:t>
      </w:r>
      <w:r>
        <w:rPr>
          <w:rFonts w:hint="eastAsia" w:ascii="Times New Roman" w:hAnsi="Times New Roman" w:eastAsia="宋体" w:cs="Times New Roman"/>
          <w:sz w:val="24"/>
          <w:szCs w:val="24"/>
          <w:lang w:bidi="ar"/>
        </w:rPr>
        <w:t>冈</w:t>
      </w:r>
      <w:r>
        <w:rPr>
          <w:rFonts w:ascii="Times New Roman" w:hAnsi="Times New Roman" w:eastAsia="宋体" w:cs="Times New Roman"/>
          <w:sz w:val="24"/>
          <w:szCs w:val="24"/>
          <w:lang w:bidi="ar"/>
        </w:rPr>
        <w:t>林。马尾松林多分布在深丘顶部砂页岩发育的黄壤地段上，灌木有米饭花（Vaccinium sprengelii）、映山红、米碎花（Eurya chinensis）、铁仔。而在干燥生境下。则以映山红、火棘、栎类为主。柏木林多分布在深丘下部的紫色页岩地段上，形成疏林，混有化香、黄连木、油桐。栎类灌丛多分布在山顶，由麻栎、栓皮栎、烟管荚蓬（Viburnum utile）、火棘、蔷薇、盐肤木、映山红、铁仔、毛黄栌（Cotinus coggygria var pubescens）组成，为马尾松林落叶栎林砍伐后形成的灌丛类型。柏木林再度砍伐后形成以黄茅、白茅、香茅为主的亚热带草丛，并散生着黄荆、牡荆（Vitex negundo var cannabifolia）、马桑、铁仔、短柄抱栎（Quercus glandulifera var brevipetiolata）等植物。</w:t>
      </w:r>
    </w:p>
    <w:p>
      <w:pPr>
        <w:widowControl/>
        <w:adjustRightInd w:val="0"/>
        <w:snapToGrid w:val="0"/>
        <w:spacing w:line="360" w:lineRule="auto"/>
        <w:ind w:firstLine="480" w:firstLineChars="200"/>
        <w:textAlignment w:val="baseline"/>
        <w:rPr>
          <w:rFonts w:hAnsi="Times New Roman" w:eastAsia="宋体"/>
          <w:b/>
          <w:szCs w:val="24"/>
        </w:rPr>
      </w:pPr>
      <w:r>
        <w:rPr>
          <w:rFonts w:hAnsi="Times New Roman" w:eastAsia="宋体"/>
          <w:szCs w:val="24"/>
          <w:lang w:eastAsia="zh-CN" w:bidi="ar"/>
        </w:rPr>
        <w:t>栽培植被中大春作物水田以中稻为主，旱地以玉米、红苕、棉花为主，小春作物以小麦、豌豆为主，深丘上部种有马铃薯，多为一年二熟类型。由于地势较高，雨量分配不均匀，伏旱严重，农业布局必须因地制宜。有水利保证的田应栽水稻，主攻中稻，没有水利保证的田，种植旱粮，实行小麦、玉米、红苕连续套种。这样都可以提高复种指数，做到高产稳产。在</w:t>
      </w:r>
      <w:r>
        <w:rPr>
          <w:rFonts w:hint="eastAsia" w:hAnsi="Times New Roman" w:eastAsia="宋体"/>
          <w:szCs w:val="24"/>
          <w:lang w:eastAsia="zh-CN" w:bidi="ar"/>
        </w:rPr>
        <w:t>“</w:t>
      </w:r>
      <w:r>
        <w:rPr>
          <w:rFonts w:hAnsi="Times New Roman" w:eastAsia="宋体"/>
          <w:szCs w:val="24"/>
          <w:lang w:eastAsia="zh-CN" w:bidi="ar"/>
        </w:rPr>
        <w:t>以粮为纲，全面发展</w:t>
      </w:r>
      <w:r>
        <w:rPr>
          <w:rFonts w:hint="eastAsia" w:hAnsi="Times New Roman" w:eastAsia="宋体"/>
          <w:szCs w:val="24"/>
          <w:lang w:eastAsia="zh-CN" w:bidi="ar"/>
        </w:rPr>
        <w:t>”</w:t>
      </w:r>
      <w:r>
        <w:rPr>
          <w:rFonts w:hAnsi="Times New Roman" w:eastAsia="宋体"/>
          <w:szCs w:val="24"/>
          <w:lang w:eastAsia="zh-CN" w:bidi="ar"/>
        </w:rPr>
        <w:t>方针指导下，要因地制宜地发展棉花、花生等经济作物。经济林木中梨、核桃产量大、质量好、栽培历史长，如苍溪雪梨和薄壳核桃都很著名，宜于大量发展。另外桑、油桐也是本小区重要经济林木，发展潜力很大。丘陵荒山要开展植树造林，种植黄荆、马桑、紫穗槐、马尾松、柏木等，增加植被覆盖率。</w:t>
      </w:r>
    </w:p>
    <w:p>
      <w:pPr>
        <w:pStyle w:val="6"/>
        <w:rPr>
          <w:lang w:eastAsia="zh-CN"/>
        </w:rPr>
      </w:pPr>
      <w:bookmarkStart w:id="175" w:name="_Toc163812553"/>
      <w:bookmarkStart w:id="176" w:name="_Toc167095176"/>
      <w:r>
        <w:rPr>
          <w:lang w:eastAsia="zh-CN"/>
        </w:rPr>
        <w:t>4.2.</w:t>
      </w:r>
      <w:r>
        <w:rPr>
          <w:rFonts w:hint="eastAsia"/>
          <w:lang w:eastAsia="zh-CN"/>
        </w:rPr>
        <w:t>2</w:t>
      </w:r>
      <w:r>
        <w:rPr>
          <w:lang w:eastAsia="zh-CN"/>
        </w:rPr>
        <w:t xml:space="preserve"> 评价方法</w:t>
      </w:r>
      <w:bookmarkEnd w:id="175"/>
      <w:bookmarkEnd w:id="176"/>
    </w:p>
    <w:p>
      <w:pPr>
        <w:widowControl/>
        <w:adjustRightInd w:val="0"/>
        <w:snapToGrid w:val="0"/>
        <w:spacing w:line="360" w:lineRule="auto"/>
        <w:ind w:firstLine="480" w:firstLineChars="200"/>
        <w:textAlignment w:val="baseline"/>
        <w:rPr>
          <w:rFonts w:hAnsi="Times New Roman" w:eastAsia="宋体"/>
          <w:szCs w:val="24"/>
          <w:lang w:eastAsia="zh-CN" w:bidi="ar"/>
        </w:rPr>
      </w:pPr>
      <w:r>
        <w:rPr>
          <w:rFonts w:hint="eastAsia" w:hAnsi="Times New Roman" w:eastAsia="宋体"/>
          <w:szCs w:val="24"/>
          <w:lang w:eastAsia="zh-CN" w:bidi="ar"/>
        </w:rPr>
        <w:t>评价</w:t>
      </w:r>
      <w:r>
        <w:rPr>
          <w:rFonts w:hAnsi="Times New Roman" w:eastAsia="宋体"/>
          <w:szCs w:val="24"/>
          <w:lang w:eastAsia="zh-CN" w:bidi="ar"/>
        </w:rPr>
        <w:t>人员于2023年11月8日至11月10日对项目区域进行了生态现状调查，在样线法和样方法的基础上，分植物区系学和植物群落学两方面考察进行。线路调查阶段主要是在评价区域的植被分布情况进行</w:t>
      </w:r>
      <w:r>
        <w:rPr>
          <w:rFonts w:hint="eastAsia" w:hAnsi="Times New Roman" w:eastAsia="宋体"/>
          <w:szCs w:val="24"/>
          <w:lang w:eastAsia="zh-CN" w:bidi="ar"/>
        </w:rPr>
        <w:t>初步勘查</w:t>
      </w:r>
      <w:r>
        <w:rPr>
          <w:rFonts w:hAnsi="Times New Roman" w:eastAsia="宋体"/>
          <w:szCs w:val="24"/>
          <w:lang w:eastAsia="zh-CN" w:bidi="ar"/>
        </w:rPr>
        <w:t>的基础上，在项目评价范围内沿着</w:t>
      </w:r>
      <w:r>
        <w:rPr>
          <w:rFonts w:hAnsi="Times New Roman" w:eastAsia="宋体"/>
          <w:lang w:eastAsia="zh-CN"/>
        </w:rPr>
        <w:t>工业广场、主平垌、</w:t>
      </w:r>
      <w:r>
        <w:rPr>
          <w:rFonts w:hint="eastAsia" w:hAnsi="Times New Roman" w:eastAsia="宋体"/>
          <w:lang w:eastAsia="zh-CN"/>
        </w:rPr>
        <w:t>矿区和其他</w:t>
      </w:r>
      <w:r>
        <w:rPr>
          <w:rFonts w:hAnsi="Times New Roman" w:eastAsia="宋体"/>
          <w:szCs w:val="24"/>
          <w:lang w:eastAsia="zh-CN" w:bidi="ar"/>
        </w:rPr>
        <w:t>辅助设施区域等，逐一进行线路调查，记录各区域的生境类型和植被类型，记录样线调查区域的植物种类，采集植物标本，GPS定位并按照分类学要求进行拍照。</w:t>
      </w:r>
    </w:p>
    <w:p>
      <w:pPr>
        <w:spacing w:line="360" w:lineRule="auto"/>
        <w:rPr>
          <w:rFonts w:hAnsi="Times New Roman" w:eastAsia="宋体"/>
          <w:b/>
          <w:bCs/>
          <w:lang w:eastAsia="zh-CN"/>
        </w:rPr>
      </w:pPr>
      <w:r>
        <w:rPr>
          <w:rFonts w:hAnsi="Times New Roman" w:eastAsia="宋体"/>
          <w:b/>
          <w:bCs/>
          <w:lang w:eastAsia="zh-CN"/>
        </w:rPr>
        <w:t>4.2.</w:t>
      </w:r>
      <w:r>
        <w:rPr>
          <w:rFonts w:hint="eastAsia" w:hAnsi="Times New Roman" w:eastAsia="宋体"/>
          <w:b/>
          <w:bCs/>
          <w:lang w:eastAsia="zh-CN"/>
        </w:rPr>
        <w:t>2</w:t>
      </w:r>
      <w:r>
        <w:rPr>
          <w:rFonts w:hAnsi="Times New Roman" w:eastAsia="宋体"/>
          <w:b/>
          <w:bCs/>
          <w:lang w:eastAsia="zh-CN"/>
        </w:rPr>
        <w:t>.1 陆生植物调查</w:t>
      </w:r>
    </w:p>
    <w:p>
      <w:pPr>
        <w:adjustRightInd w:val="0"/>
        <w:snapToGrid w:val="0"/>
        <w:spacing w:line="360" w:lineRule="auto"/>
        <w:ind w:firstLine="480" w:firstLineChars="200"/>
        <w:rPr>
          <w:rFonts w:hAnsi="Times New Roman" w:eastAsia="宋体"/>
          <w:szCs w:val="24"/>
        </w:rPr>
      </w:pPr>
      <w:r>
        <w:rPr>
          <w:rFonts w:hAnsi="Times New Roman" w:eastAsia="宋体"/>
          <w:szCs w:val="24"/>
        </w:rPr>
        <w:t>在样线法和样方法的基础上，分植物区系学和植物群落学两方面考察进行。线路调查阶段主要是在评价区域的植被分布情况进行初步勘查的基础上，在项目评价范围内沿着</w:t>
      </w:r>
      <w:r>
        <w:rPr>
          <w:rFonts w:hAnsi="Times New Roman" w:eastAsia="宋体"/>
          <w:lang w:eastAsia="zh-CN"/>
        </w:rPr>
        <w:t>工业广场、主平垌、</w:t>
      </w:r>
      <w:r>
        <w:rPr>
          <w:rFonts w:hint="eastAsia" w:hAnsi="Times New Roman" w:eastAsia="宋体"/>
          <w:lang w:eastAsia="zh-CN"/>
        </w:rPr>
        <w:t>矿区和其他</w:t>
      </w:r>
      <w:r>
        <w:rPr>
          <w:rFonts w:hAnsi="Times New Roman" w:eastAsia="宋体"/>
          <w:szCs w:val="24"/>
        </w:rPr>
        <w:t>辅助设施区域等，逐一进行线路调查，记录各区域的生境类型和植被类型，记录样线调查区域的植物种类，采集植物标本，GPS定位并按照分类学要求进行拍照。典型群落调查阶段则是根据每个群系根据分布面积大小、生境代表性、群落结构完整性和物种丰富度等情况，根据植物群落类型（宜以群系及以下分类单位为调查单元）设置调查样地。</w:t>
      </w:r>
    </w:p>
    <w:p>
      <w:pPr>
        <w:adjustRightInd w:val="0"/>
        <w:snapToGrid w:val="0"/>
        <w:spacing w:line="360" w:lineRule="auto"/>
        <w:ind w:firstLine="480" w:firstLineChars="200"/>
        <w:rPr>
          <w:rFonts w:hAnsi="Times New Roman" w:eastAsia="宋体"/>
          <w:szCs w:val="24"/>
        </w:rPr>
      </w:pPr>
      <w:r>
        <w:rPr>
          <w:rFonts w:hAnsi="Times New Roman" w:eastAsia="宋体"/>
          <w:szCs w:val="24"/>
        </w:rPr>
        <w:t>（1）样方设置及合理性分析</w:t>
      </w:r>
    </w:p>
    <w:p>
      <w:pPr>
        <w:adjustRightInd w:val="0"/>
        <w:snapToGrid w:val="0"/>
        <w:spacing w:line="360" w:lineRule="auto"/>
        <w:ind w:firstLine="480" w:firstLineChars="200"/>
        <w:rPr>
          <w:rFonts w:hAnsi="Times New Roman" w:eastAsia="宋体"/>
          <w:szCs w:val="24"/>
        </w:rPr>
      </w:pPr>
      <w:r>
        <w:rPr>
          <w:rFonts w:hAnsi="Times New Roman" w:eastAsia="宋体"/>
          <w:szCs w:val="24"/>
        </w:rPr>
        <w:t>本项目位于达州市开江县与宣汉县交界处，七里峡煤矿扩建工程地下水影响范围内涉及公益林，同时评价范围内分布有国家森林公园，结合调查范围、调查对象、地形地貌和实际情况，七里峡煤矿扩建工程按照导则二级评价，每种群落类型设置的样方数量不少于3个，选择植物生长旺盛季节进行调查。本次样方调查针对</w:t>
      </w:r>
      <w:r>
        <w:rPr>
          <w:rFonts w:hAnsi="Times New Roman" w:eastAsia="宋体"/>
          <w:lang w:eastAsia="zh-CN"/>
        </w:rPr>
        <w:t>工业广场、主平垌、</w:t>
      </w:r>
      <w:r>
        <w:rPr>
          <w:rFonts w:hint="eastAsia" w:hAnsi="Times New Roman" w:eastAsia="宋体"/>
          <w:lang w:eastAsia="zh-CN"/>
        </w:rPr>
        <w:t>矿区和其他</w:t>
      </w:r>
      <w:r>
        <w:rPr>
          <w:rFonts w:hAnsi="Times New Roman" w:eastAsia="宋体"/>
          <w:szCs w:val="24"/>
        </w:rPr>
        <w:t>辅助设施区域周边具有代表性植被群落进行布设，共设置18个样方，样方点均选取评价区内主要植被类型进行设置。符合导则要求。</w:t>
      </w:r>
    </w:p>
    <w:p>
      <w:pPr>
        <w:adjustRightInd w:val="0"/>
        <w:snapToGrid w:val="0"/>
        <w:spacing w:line="360" w:lineRule="auto"/>
        <w:ind w:firstLine="480" w:firstLineChars="200"/>
        <w:rPr>
          <w:rFonts w:hAnsi="Times New Roman" w:eastAsia="宋体"/>
          <w:szCs w:val="24"/>
        </w:rPr>
      </w:pPr>
      <w:r>
        <w:rPr>
          <w:rFonts w:hAnsi="Times New Roman" w:eastAsia="宋体"/>
          <w:szCs w:val="24"/>
        </w:rPr>
        <w:t>根据植被和植物群落调查结果，编制植被类型图，统计评价范围内的植被类型及面积；涉及国家重点保护野生动植物、极危、濒危物种的，可通过模型模拟物种适宜生境分布，图示工程与物种生境分布的空间关系。</w:t>
      </w:r>
    </w:p>
    <w:p>
      <w:pPr>
        <w:adjustRightInd w:val="0"/>
        <w:snapToGrid w:val="0"/>
        <w:spacing w:line="360" w:lineRule="auto"/>
        <w:ind w:firstLine="480" w:firstLineChars="200"/>
        <w:rPr>
          <w:rFonts w:hAnsi="Times New Roman" w:eastAsia="宋体"/>
          <w:szCs w:val="24"/>
        </w:rPr>
      </w:pPr>
      <w:r>
        <w:rPr>
          <w:rFonts w:hAnsi="Times New Roman" w:eastAsia="宋体"/>
          <w:szCs w:val="24"/>
        </w:rPr>
        <w:t>本次调查乔木、灌木、草丛的样方大小为20m×20m、5m×5m、1m×1m，乔木样方调查记录乔木层郁闭度、树种的组成、株数、每树种的胸径、高度，灌木样方调查记录灌木的种类组成、盖度、冠幅等参数；草丛样方调查记录草本的种类组成、盖度和高度，并利用GPS、罗盘等测定、记录样方的经纬度、海拔等地理信息，拍摄样地群落结构和外面照片。根据群落分布特征在地形图上勾绘植被分布图。对珍稀特有物种应用GPS进行定位，对珍稀植物的集中分布区，需野外勾绘其分布区域。</w:t>
      </w:r>
    </w:p>
    <w:p>
      <w:pPr>
        <w:adjustRightInd w:val="0"/>
        <w:snapToGrid w:val="0"/>
        <w:spacing w:line="360" w:lineRule="auto"/>
        <w:ind w:firstLine="480" w:firstLineChars="200"/>
        <w:rPr>
          <w:rFonts w:hAnsi="Times New Roman" w:eastAsia="宋体"/>
          <w:szCs w:val="24"/>
        </w:rPr>
      </w:pPr>
      <w:r>
        <w:rPr>
          <w:rFonts w:hAnsi="Times New Roman" w:eastAsia="宋体"/>
          <w:szCs w:val="24"/>
        </w:rPr>
        <w:t>（2）室内标本鉴定</w:t>
      </w:r>
    </w:p>
    <w:p>
      <w:pPr>
        <w:adjustRightInd w:val="0"/>
        <w:snapToGrid w:val="0"/>
        <w:spacing w:line="360" w:lineRule="auto"/>
        <w:ind w:firstLine="480" w:firstLineChars="200"/>
        <w:rPr>
          <w:rFonts w:hAnsi="Times New Roman" w:eastAsia="宋体"/>
          <w:szCs w:val="24"/>
        </w:rPr>
      </w:pPr>
      <w:r>
        <w:rPr>
          <w:rFonts w:hAnsi="Times New Roman" w:eastAsia="宋体"/>
          <w:szCs w:val="24"/>
        </w:rPr>
        <w:t>本次野外植物区系调查重点是种子植物，对于个别样地中出现的蕨类植物也将一并采样鉴定。对于野外调查中不能立即鉴定的植物采集标本带回驻地，根据《中国植物志》《中国高等植物图鉴》《四川植物志》等分类学文献进行鉴定或将标本带到相关科研机构请植物分类专家鉴定，记录下植物的科、属、种名及其生境特征。同时，收集该地区的植物和植被的历史资料、科学考察报告、专项调查报告、林地资源清查报告、区域内</w:t>
      </w:r>
      <w:r>
        <w:rPr>
          <w:rFonts w:hint="eastAsia" w:hAnsi="Times New Roman" w:eastAsia="宋体"/>
          <w:szCs w:val="24"/>
          <w:lang w:eastAsia="zh-CN"/>
        </w:rPr>
        <w:t>其他</w:t>
      </w:r>
      <w:r>
        <w:rPr>
          <w:rFonts w:hAnsi="Times New Roman" w:eastAsia="宋体"/>
          <w:szCs w:val="24"/>
        </w:rPr>
        <w:t>建设工程的环评报告等相关文献资料，结合本次野外调查的数据，汇总形成评价区域内维管束植物多样性目录。</w:t>
      </w:r>
    </w:p>
    <w:p>
      <w:pPr>
        <w:adjustRightInd w:val="0"/>
        <w:snapToGrid w:val="0"/>
        <w:spacing w:line="360" w:lineRule="auto"/>
        <w:ind w:firstLine="480" w:firstLineChars="200"/>
        <w:rPr>
          <w:rFonts w:hAnsi="Times New Roman" w:eastAsia="宋体"/>
          <w:szCs w:val="24"/>
        </w:rPr>
      </w:pPr>
      <w:r>
        <w:rPr>
          <w:rFonts w:hAnsi="Times New Roman" w:eastAsia="宋体"/>
          <w:szCs w:val="24"/>
        </w:rPr>
        <w:t>（3）植被类型的划分</w:t>
      </w:r>
    </w:p>
    <w:p>
      <w:pPr>
        <w:adjustRightInd w:val="0"/>
        <w:snapToGrid w:val="0"/>
        <w:spacing w:line="360" w:lineRule="auto"/>
        <w:ind w:firstLine="480" w:firstLineChars="200"/>
        <w:rPr>
          <w:rFonts w:hAnsi="Times New Roman" w:eastAsia="宋体"/>
          <w:szCs w:val="24"/>
        </w:rPr>
      </w:pPr>
      <w:r>
        <w:rPr>
          <w:rFonts w:hAnsi="Times New Roman" w:eastAsia="宋体"/>
          <w:szCs w:val="24"/>
        </w:rPr>
        <w:t>评价区内植被类型的划分按照《中国植被》分类系统，参考《四川植被》的划分方法，进行植被类型的划分，包括植物型组、植被型、植被亚型和群系（相当于群落类型）四个层次。将建群种生活型相近、群落的外貌形态相似的植物群落归为植被型组；第二级为植被型，将建群种生活型相同或近似，对温度、水分条件生态关系一致的植物群落归为植被型，同一植被型具有相似的区系组成、结构、形态外貌、生态特点及动态演变历史；第三级为植被亚型，在植被型内，将建群种生活型相同或相近的，同时与水热条件等生态关系一致植物群落的联合；第四级为群系，将建群种或共建群种相同的植物群落的联合为群系。本次评价主要是根据样方调查数据分析的基础上，按照上述原则逐级划分评价区内的植被类型，直至群系（相当于群落类型）水平。</w:t>
      </w:r>
    </w:p>
    <w:p>
      <w:pPr>
        <w:spacing w:line="360" w:lineRule="auto"/>
        <w:rPr>
          <w:rFonts w:hAnsi="Times New Roman" w:eastAsia="宋体"/>
          <w:b/>
          <w:bCs/>
          <w:lang w:eastAsia="zh-CN"/>
        </w:rPr>
      </w:pPr>
      <w:r>
        <w:rPr>
          <w:rFonts w:hAnsi="Times New Roman" w:eastAsia="宋体"/>
          <w:b/>
          <w:bCs/>
          <w:lang w:eastAsia="zh-CN"/>
        </w:rPr>
        <w:t>4.2.</w:t>
      </w:r>
      <w:r>
        <w:rPr>
          <w:rFonts w:hint="eastAsia" w:hAnsi="Times New Roman" w:eastAsia="宋体"/>
          <w:b/>
          <w:bCs/>
          <w:lang w:eastAsia="zh-CN"/>
        </w:rPr>
        <w:t>2</w:t>
      </w:r>
      <w:r>
        <w:rPr>
          <w:rFonts w:hAnsi="Times New Roman" w:eastAsia="宋体"/>
          <w:b/>
          <w:bCs/>
          <w:lang w:eastAsia="zh-CN"/>
        </w:rPr>
        <w:t>.</w:t>
      </w:r>
      <w:r>
        <w:rPr>
          <w:rFonts w:hint="eastAsia" w:hAnsi="Times New Roman" w:eastAsia="宋体"/>
          <w:b/>
          <w:bCs/>
          <w:lang w:eastAsia="zh-CN"/>
        </w:rPr>
        <w:t>2</w:t>
      </w:r>
      <w:r>
        <w:rPr>
          <w:rFonts w:hAnsi="Times New Roman" w:eastAsia="宋体"/>
          <w:b/>
          <w:bCs/>
          <w:lang w:eastAsia="zh-CN"/>
        </w:rPr>
        <w:t xml:space="preserve"> 陆生</w:t>
      </w:r>
      <w:r>
        <w:rPr>
          <w:rFonts w:hint="eastAsia" w:hAnsi="Times New Roman" w:eastAsia="宋体"/>
          <w:b/>
          <w:bCs/>
          <w:lang w:eastAsia="zh-CN"/>
        </w:rPr>
        <w:t>动物</w:t>
      </w:r>
      <w:r>
        <w:rPr>
          <w:rFonts w:hAnsi="Times New Roman" w:eastAsia="宋体"/>
          <w:b/>
          <w:bCs/>
          <w:lang w:eastAsia="zh-CN"/>
        </w:rPr>
        <w:t>调查</w:t>
      </w:r>
    </w:p>
    <w:p>
      <w:pPr>
        <w:adjustRightInd w:val="0"/>
        <w:snapToGrid w:val="0"/>
        <w:spacing w:line="360" w:lineRule="auto"/>
        <w:ind w:firstLine="480" w:firstLineChars="200"/>
        <w:rPr>
          <w:rFonts w:hAnsi="Times New Roman" w:eastAsia="宋体"/>
          <w:szCs w:val="24"/>
        </w:rPr>
      </w:pPr>
      <w:r>
        <w:rPr>
          <w:rFonts w:hint="eastAsia" w:hAnsi="Times New Roman" w:eastAsia="宋体"/>
          <w:szCs w:val="24"/>
          <w:lang w:eastAsia="zh-CN"/>
        </w:rPr>
        <w:t>1</w:t>
      </w:r>
      <w:r>
        <w:rPr>
          <w:rFonts w:hint="eastAsia" w:hAnsi="Times New Roman" w:eastAsia="宋体"/>
          <w:szCs w:val="24"/>
        </w:rPr>
        <w:t>、</w:t>
      </w:r>
      <w:r>
        <w:rPr>
          <w:rFonts w:hAnsi="Times New Roman" w:eastAsia="宋体"/>
          <w:szCs w:val="24"/>
        </w:rPr>
        <w:t>与导则的符合性分析</w:t>
      </w:r>
    </w:p>
    <w:p>
      <w:pPr>
        <w:adjustRightInd w:val="0"/>
        <w:snapToGrid w:val="0"/>
        <w:spacing w:line="360" w:lineRule="auto"/>
        <w:ind w:firstLine="480" w:firstLineChars="200"/>
        <w:rPr>
          <w:rFonts w:hAnsi="Times New Roman" w:eastAsia="宋体"/>
          <w:szCs w:val="24"/>
        </w:rPr>
      </w:pPr>
      <w:r>
        <w:rPr>
          <w:rFonts w:hAnsi="Times New Roman" w:eastAsia="宋体"/>
          <w:szCs w:val="24"/>
        </w:rPr>
        <w:t>动物调查满足“应获得野生动物越冬期、迁徙期等关键活动期的现状资料”的要求。本次动物调查时间为2023年</w:t>
      </w:r>
      <w:r>
        <w:rPr>
          <w:rFonts w:hAnsi="Times New Roman" w:eastAsia="宋体"/>
          <w:szCs w:val="24"/>
          <w:lang w:eastAsia="zh-CN"/>
        </w:rPr>
        <w:t>11月</w:t>
      </w:r>
      <w:r>
        <w:rPr>
          <w:rFonts w:hAnsi="Times New Roman" w:eastAsia="宋体"/>
          <w:szCs w:val="24"/>
        </w:rPr>
        <w:t>，调查时段主要为部分陆生动物的越冬期。在越冬期：一些蛇类爬行动物、蛙类等两栖动物会选择在地洞石缝冬眠；并参考相似生境资料得到陆生动物的繁殖期，在繁殖期常见的爬行动物、鸟类等在评价范围内活动较为频繁；根据《中国观鸟中心》</w:t>
      </w:r>
      <w:r>
        <w:rPr>
          <w:rFonts w:hAnsi="Times New Roman" w:eastAsia="宋体"/>
          <w:szCs w:val="24"/>
          <w:lang w:eastAsia="zh-CN"/>
        </w:rPr>
        <w:t>达州市</w:t>
      </w:r>
      <w:r>
        <w:rPr>
          <w:rFonts w:hAnsi="Times New Roman" w:eastAsia="宋体"/>
          <w:szCs w:val="24"/>
        </w:rPr>
        <w:t>202</w:t>
      </w:r>
      <w:r>
        <w:rPr>
          <w:rFonts w:hAnsi="Times New Roman" w:eastAsia="宋体"/>
          <w:szCs w:val="24"/>
          <w:lang w:eastAsia="zh-CN"/>
        </w:rPr>
        <w:t>3</w:t>
      </w:r>
      <w:r>
        <w:rPr>
          <w:rFonts w:hAnsi="Times New Roman" w:eastAsia="宋体"/>
          <w:szCs w:val="24"/>
        </w:rPr>
        <w:t>年</w:t>
      </w:r>
      <w:r>
        <w:rPr>
          <w:rFonts w:hAnsi="Times New Roman" w:eastAsia="宋体"/>
          <w:szCs w:val="24"/>
          <w:lang w:eastAsia="zh-CN"/>
        </w:rPr>
        <w:t>2</w:t>
      </w:r>
      <w:r>
        <w:rPr>
          <w:rFonts w:hAnsi="Times New Roman" w:eastAsia="宋体"/>
          <w:szCs w:val="24"/>
        </w:rPr>
        <w:t>月-202</w:t>
      </w:r>
      <w:r>
        <w:rPr>
          <w:rFonts w:hAnsi="Times New Roman" w:eastAsia="宋体"/>
          <w:szCs w:val="24"/>
          <w:lang w:eastAsia="zh-CN"/>
        </w:rPr>
        <w:t>4</w:t>
      </w:r>
      <w:r>
        <w:rPr>
          <w:rFonts w:hAnsi="Times New Roman" w:eastAsia="宋体"/>
          <w:szCs w:val="24"/>
        </w:rPr>
        <w:t>年</w:t>
      </w:r>
      <w:r>
        <w:rPr>
          <w:rFonts w:hAnsi="Times New Roman" w:eastAsia="宋体"/>
          <w:szCs w:val="24"/>
          <w:lang w:eastAsia="zh-CN"/>
        </w:rPr>
        <w:t>2</w:t>
      </w:r>
      <w:r>
        <w:rPr>
          <w:rFonts w:hAnsi="Times New Roman" w:eastAsia="宋体"/>
          <w:szCs w:val="24"/>
        </w:rPr>
        <w:t>月的鸟类记录分析（迁徙期）得出评价区</w:t>
      </w:r>
      <w:r>
        <w:rPr>
          <w:rFonts w:hAnsi="Times New Roman" w:eastAsia="宋体"/>
          <w:szCs w:val="24"/>
          <w:lang w:eastAsia="zh-CN"/>
        </w:rPr>
        <w:t>内部分</w:t>
      </w:r>
      <w:r>
        <w:rPr>
          <w:rFonts w:hAnsi="Times New Roman" w:eastAsia="宋体"/>
          <w:szCs w:val="24"/>
        </w:rPr>
        <w:t>迁徙期鸟类的分布状况，评价区其他动物都属于小型动物不会进行迁徙，大多兽类（鼠、兔等）会在评价区范围活动。同时参考</w:t>
      </w:r>
      <w:r>
        <w:rPr>
          <w:rFonts w:hAnsi="Times New Roman" w:eastAsia="宋体"/>
          <w:szCs w:val="24"/>
          <w:lang w:eastAsia="zh-CN"/>
        </w:rPr>
        <w:t>《</w:t>
      </w:r>
      <w:r>
        <w:rPr>
          <w:rFonts w:hAnsi="Times New Roman" w:eastAsia="宋体"/>
          <w:szCs w:val="24"/>
        </w:rPr>
        <w:t>达川区水源及供水保障工程—达川区石峡子水厂工程</w:t>
      </w:r>
      <w:r>
        <w:rPr>
          <w:rFonts w:hAnsi="Times New Roman" w:eastAsia="宋体"/>
          <w:szCs w:val="24"/>
          <w:lang w:eastAsia="zh-CN"/>
        </w:rPr>
        <w:t>（2022年11月）（越冬期）</w:t>
      </w:r>
      <w:r>
        <w:rPr>
          <w:rFonts w:hint="eastAsia" w:hAnsi="Times New Roman" w:eastAsia="宋体"/>
          <w:szCs w:val="24"/>
          <w:lang w:eastAsia="zh-CN"/>
        </w:rPr>
        <w:t>》《</w:t>
      </w:r>
      <w:r>
        <w:rPr>
          <w:rFonts w:hAnsi="Times New Roman" w:eastAsia="宋体"/>
          <w:szCs w:val="24"/>
          <w:lang w:eastAsia="zh-CN"/>
        </w:rPr>
        <w:t>川东北气矿输气管道迁改项目生态环境影响报告（2022年11月）（越冬期）》</w:t>
      </w:r>
      <w:r>
        <w:rPr>
          <w:rFonts w:hAnsi="Times New Roman" w:eastAsia="宋体"/>
          <w:szCs w:val="24"/>
        </w:rPr>
        <w:t>的</w:t>
      </w:r>
      <w:r>
        <w:rPr>
          <w:rFonts w:hAnsi="Times New Roman" w:eastAsia="宋体"/>
          <w:szCs w:val="24"/>
          <w:lang w:eastAsia="zh-CN"/>
        </w:rPr>
        <w:t>陆生动物</w:t>
      </w:r>
      <w:r>
        <w:rPr>
          <w:rFonts w:hAnsi="Times New Roman" w:eastAsia="宋体"/>
          <w:szCs w:val="24"/>
        </w:rPr>
        <w:t>现状调查结果，</w:t>
      </w:r>
      <w:r>
        <w:rPr>
          <w:rFonts w:hAnsi="Times New Roman" w:eastAsia="宋体"/>
          <w:szCs w:val="24"/>
          <w:lang w:eastAsia="zh-CN"/>
        </w:rPr>
        <w:t>并</w:t>
      </w:r>
      <w:r>
        <w:rPr>
          <w:rFonts w:hAnsi="Times New Roman" w:eastAsia="宋体"/>
          <w:szCs w:val="24"/>
        </w:rPr>
        <w:t>走访调查（专家咨询、民间访问）当地林业部门以及当地居民得出评价区动物调查结果。评价区陆生动物分布情况详见陆生动物资源现状调查章节。</w:t>
      </w:r>
    </w:p>
    <w:p>
      <w:pPr>
        <w:adjustRightInd w:val="0"/>
        <w:snapToGrid w:val="0"/>
        <w:spacing w:line="360" w:lineRule="auto"/>
        <w:ind w:firstLine="480" w:firstLineChars="200"/>
        <w:rPr>
          <w:rFonts w:hAnsi="Times New Roman" w:eastAsia="宋体"/>
          <w:szCs w:val="24"/>
        </w:rPr>
      </w:pPr>
      <w:r>
        <w:rPr>
          <w:rFonts w:hint="eastAsia" w:hAnsi="Times New Roman" w:eastAsia="宋体"/>
          <w:szCs w:val="24"/>
          <w:lang w:eastAsia="zh-CN"/>
        </w:rPr>
        <w:t>2</w:t>
      </w:r>
      <w:r>
        <w:rPr>
          <w:rFonts w:hint="eastAsia" w:hAnsi="Times New Roman" w:eastAsia="宋体"/>
          <w:szCs w:val="24"/>
        </w:rPr>
        <w:t>、</w:t>
      </w:r>
      <w:r>
        <w:rPr>
          <w:rFonts w:hAnsi="Times New Roman" w:eastAsia="宋体"/>
          <w:szCs w:val="24"/>
        </w:rPr>
        <w:t>样线设置及合理性分析</w:t>
      </w:r>
    </w:p>
    <w:p>
      <w:pPr>
        <w:adjustRightInd w:val="0"/>
        <w:snapToGrid w:val="0"/>
        <w:spacing w:line="360" w:lineRule="auto"/>
        <w:ind w:firstLine="480" w:firstLineChars="200"/>
        <w:rPr>
          <w:rFonts w:hAnsi="Times New Roman" w:eastAsia="宋体"/>
          <w:szCs w:val="24"/>
        </w:rPr>
      </w:pPr>
      <w:r>
        <w:rPr>
          <w:rFonts w:hAnsi="Times New Roman" w:eastAsia="宋体"/>
          <w:szCs w:val="24"/>
        </w:rPr>
        <w:t>根据动物群系类型设置调查样线，二级评价每种生境类型设置的野生动物调查样线数量不少于3条。由于评价区不同生境类型斑块面积差异较大，不同生境类型斑块在评价区分布不均、较散乱，部分生境类型斑块面积较小，所以本次调查在</w:t>
      </w:r>
      <w:r>
        <w:rPr>
          <w:rFonts w:hAnsi="Times New Roman" w:eastAsia="宋体"/>
          <w:szCs w:val="24"/>
          <w:lang w:eastAsia="zh-CN"/>
        </w:rPr>
        <w:t>七里峡煤矿矿区范围内及其周边</w:t>
      </w:r>
      <w:r>
        <w:rPr>
          <w:rFonts w:hAnsi="Times New Roman" w:eastAsia="宋体"/>
          <w:szCs w:val="24"/>
        </w:rPr>
        <w:t>共设置了</w:t>
      </w:r>
      <w:r>
        <w:rPr>
          <w:rFonts w:hAnsi="Times New Roman" w:eastAsia="宋体"/>
          <w:szCs w:val="24"/>
          <w:lang w:eastAsia="zh-CN"/>
        </w:rPr>
        <w:t>7</w:t>
      </w:r>
      <w:r>
        <w:rPr>
          <w:rFonts w:hAnsi="Times New Roman" w:eastAsia="宋体"/>
          <w:szCs w:val="24"/>
        </w:rPr>
        <w:t>条样线，主要</w:t>
      </w:r>
      <w:r>
        <w:rPr>
          <w:rFonts w:hint="eastAsia" w:hAnsi="Times New Roman" w:eastAsia="宋体"/>
          <w:szCs w:val="24"/>
          <w:lang w:eastAsia="zh-CN"/>
        </w:rPr>
        <w:t>围绕</w:t>
      </w:r>
      <w:r>
        <w:rPr>
          <w:rFonts w:hAnsi="Times New Roman" w:eastAsia="宋体"/>
          <w:lang w:eastAsia="zh-CN"/>
        </w:rPr>
        <w:t>工业广场、主平垌、</w:t>
      </w:r>
      <w:r>
        <w:rPr>
          <w:rFonts w:hint="eastAsia" w:hAnsi="Times New Roman" w:eastAsia="宋体"/>
          <w:lang w:eastAsia="zh-CN"/>
        </w:rPr>
        <w:t>矿区</w:t>
      </w:r>
      <w:r>
        <w:rPr>
          <w:rFonts w:hAnsi="Times New Roman" w:eastAsia="宋体"/>
          <w:szCs w:val="24"/>
        </w:rPr>
        <w:t>设置。</w:t>
      </w:r>
    </w:p>
    <w:p>
      <w:pPr>
        <w:pStyle w:val="19"/>
        <w:ind w:left="480" w:firstLine="422"/>
        <w:jc w:val="center"/>
        <w:rPr>
          <w:b/>
          <w:bCs w:val="0"/>
          <w:sz w:val="21"/>
          <w:szCs w:val="21"/>
        </w:rPr>
      </w:pPr>
      <w:r>
        <w:rPr>
          <w:b/>
          <w:bCs w:val="0"/>
          <w:sz w:val="21"/>
          <w:szCs w:val="21"/>
          <w:lang w:eastAsia="zh-CN"/>
        </w:rPr>
        <w:t>表</w:t>
      </w:r>
      <w:r>
        <w:rPr>
          <w:rFonts w:hint="eastAsia"/>
          <w:b/>
          <w:bCs w:val="0"/>
          <w:sz w:val="21"/>
          <w:szCs w:val="21"/>
          <w:lang w:eastAsia="zh-CN"/>
        </w:rPr>
        <w:t>4</w:t>
      </w:r>
      <w:r>
        <w:rPr>
          <w:b/>
          <w:bCs w:val="0"/>
          <w:sz w:val="21"/>
          <w:szCs w:val="21"/>
          <w:lang w:eastAsia="zh-CN"/>
        </w:rPr>
        <w:t>.2-1评价区调查样线信息汇总表</w:t>
      </w:r>
    </w:p>
    <w:tbl>
      <w:tblPr>
        <w:tblStyle w:val="34"/>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54"/>
        <w:gridCol w:w="1554"/>
        <w:gridCol w:w="1555"/>
        <w:gridCol w:w="1555"/>
        <w:gridCol w:w="1559"/>
        <w:gridCol w:w="15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8" w:type="dxa"/>
            <w:vMerge w:val="restar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b/>
                <w:bCs/>
                <w:kern w:val="2"/>
                <w:sz w:val="21"/>
                <w:szCs w:val="21"/>
              </w:rPr>
            </w:pPr>
            <w:r>
              <w:rPr>
                <w:rFonts w:hint="eastAsia" w:hAnsi="Times New Roman" w:eastAsia="宋体"/>
                <w:b/>
                <w:bCs/>
                <w:kern w:val="2"/>
                <w:sz w:val="21"/>
                <w:szCs w:val="21"/>
                <w:lang w:eastAsia="zh-CN" w:bidi="ar"/>
              </w:rPr>
              <w:t>样线编号</w:t>
            </w:r>
          </w:p>
        </w:tc>
        <w:tc>
          <w:tcPr>
            <w:tcW w:w="2836" w:type="dxa"/>
            <w:gridSpan w:val="2"/>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b/>
                <w:bCs/>
                <w:iCs/>
                <w:kern w:val="2"/>
                <w:sz w:val="21"/>
                <w:szCs w:val="21"/>
                <w:lang w:bidi="ar"/>
              </w:rPr>
            </w:pPr>
            <w:r>
              <w:rPr>
                <w:rFonts w:hint="eastAsia" w:hAnsi="Times New Roman" w:eastAsia="宋体"/>
                <w:b/>
                <w:bCs/>
                <w:kern w:val="2"/>
                <w:sz w:val="21"/>
                <w:szCs w:val="21"/>
                <w:lang w:eastAsia="zh-CN" w:bidi="ar"/>
              </w:rPr>
              <w:t>起点经纬度</w:t>
            </w:r>
          </w:p>
        </w:tc>
        <w:tc>
          <w:tcPr>
            <w:tcW w:w="2840" w:type="dxa"/>
            <w:gridSpan w:val="2"/>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b/>
                <w:bCs/>
                <w:iCs/>
                <w:kern w:val="2"/>
                <w:sz w:val="21"/>
                <w:szCs w:val="21"/>
                <w:lang w:bidi="ar"/>
              </w:rPr>
            </w:pPr>
            <w:r>
              <w:rPr>
                <w:rFonts w:hint="eastAsia" w:hAnsi="Times New Roman" w:eastAsia="宋体"/>
                <w:b/>
                <w:bCs/>
                <w:kern w:val="2"/>
                <w:sz w:val="21"/>
                <w:szCs w:val="21"/>
                <w:lang w:eastAsia="zh-CN" w:bidi="ar"/>
              </w:rPr>
              <w:t>终点经纬度</w:t>
            </w:r>
          </w:p>
        </w:tc>
        <w:tc>
          <w:tcPr>
            <w:tcW w:w="1423" w:type="dxa"/>
            <w:vMerge w:val="restar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b/>
                <w:bCs/>
                <w:kern w:val="2"/>
                <w:sz w:val="21"/>
                <w:szCs w:val="21"/>
              </w:rPr>
            </w:pPr>
            <w:r>
              <w:rPr>
                <w:rFonts w:hint="eastAsia" w:hAnsi="Times New Roman" w:eastAsia="宋体"/>
                <w:b/>
                <w:bCs/>
                <w:kern w:val="2"/>
                <w:sz w:val="21"/>
                <w:szCs w:val="21"/>
                <w:lang w:eastAsia="zh-CN" w:bidi="ar"/>
              </w:rPr>
              <w:t>长度（km）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8" w:type="dxa"/>
            <w:vMerge w:val="continue"/>
            <w:vAlign w:val="center"/>
          </w:tcPr>
          <w:p>
            <w:pPr>
              <w:keepNext w:val="0"/>
              <w:keepLines w:val="0"/>
              <w:widowControl/>
              <w:suppressLineNumbers w:val="0"/>
              <w:spacing w:before="0" w:beforeAutospacing="0" w:after="0" w:afterAutospacing="0"/>
              <w:ind w:left="0" w:right="0" w:firstLine="480"/>
              <w:jc w:val="center"/>
              <w:textAlignment w:val="center"/>
              <w:rPr>
                <w:rFonts w:hint="eastAsia" w:hAnsi="Times New Roman" w:eastAsia="宋体"/>
                <w:b/>
                <w:bCs/>
                <w:kern w:val="2"/>
                <w:sz w:val="21"/>
                <w:szCs w:val="21"/>
              </w:rPr>
            </w:pPr>
          </w:p>
        </w:tc>
        <w:tc>
          <w:tcPr>
            <w:tcW w:w="1418"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b/>
                <w:bCs/>
                <w:kern w:val="2"/>
                <w:sz w:val="21"/>
                <w:szCs w:val="21"/>
              </w:rPr>
            </w:pPr>
            <w:r>
              <w:rPr>
                <w:rFonts w:hint="eastAsia" w:hAnsi="Times New Roman" w:eastAsia="宋体"/>
                <w:b/>
                <w:bCs/>
                <w:kern w:val="2"/>
                <w:sz w:val="21"/>
                <w:szCs w:val="21"/>
                <w:lang w:eastAsia="zh-CN" w:bidi="ar"/>
              </w:rPr>
              <w:t>经度</w:t>
            </w:r>
          </w:p>
        </w:tc>
        <w:tc>
          <w:tcPr>
            <w:tcW w:w="1418"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b/>
                <w:bCs/>
                <w:kern w:val="2"/>
                <w:sz w:val="21"/>
                <w:szCs w:val="21"/>
              </w:rPr>
            </w:pPr>
            <w:r>
              <w:rPr>
                <w:rFonts w:hint="eastAsia" w:hAnsi="Times New Roman" w:eastAsia="宋体"/>
                <w:b/>
                <w:bCs/>
                <w:kern w:val="2"/>
                <w:sz w:val="21"/>
                <w:szCs w:val="21"/>
                <w:lang w:eastAsia="zh-CN" w:bidi="ar"/>
              </w:rPr>
              <w:t>纬度</w:t>
            </w:r>
          </w:p>
        </w:tc>
        <w:tc>
          <w:tcPr>
            <w:tcW w:w="1418"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b/>
                <w:bCs/>
                <w:kern w:val="2"/>
                <w:sz w:val="21"/>
                <w:szCs w:val="21"/>
              </w:rPr>
            </w:pPr>
            <w:r>
              <w:rPr>
                <w:rFonts w:hint="eastAsia" w:hAnsi="Times New Roman" w:eastAsia="宋体"/>
                <w:b/>
                <w:bCs/>
                <w:kern w:val="2"/>
                <w:sz w:val="21"/>
                <w:szCs w:val="21"/>
                <w:lang w:eastAsia="zh-CN" w:bidi="ar"/>
              </w:rPr>
              <w:t>经度</w:t>
            </w:r>
          </w:p>
        </w:tc>
        <w:tc>
          <w:tcPr>
            <w:tcW w:w="1422"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b/>
                <w:bCs/>
                <w:kern w:val="2"/>
                <w:sz w:val="21"/>
                <w:szCs w:val="21"/>
              </w:rPr>
            </w:pPr>
            <w:r>
              <w:rPr>
                <w:rFonts w:hint="eastAsia" w:hAnsi="Times New Roman" w:eastAsia="宋体"/>
                <w:b/>
                <w:bCs/>
                <w:kern w:val="2"/>
                <w:sz w:val="21"/>
                <w:szCs w:val="21"/>
                <w:lang w:eastAsia="zh-CN" w:bidi="ar"/>
              </w:rPr>
              <w:t>纬度</w:t>
            </w:r>
          </w:p>
        </w:tc>
        <w:tc>
          <w:tcPr>
            <w:tcW w:w="1423" w:type="dxa"/>
            <w:vMerge w:val="continue"/>
            <w:vAlign w:val="center"/>
          </w:tcPr>
          <w:p>
            <w:pPr>
              <w:keepNext w:val="0"/>
              <w:keepLines w:val="0"/>
              <w:widowControl/>
              <w:suppressLineNumbers w:val="0"/>
              <w:spacing w:before="0" w:beforeAutospacing="0" w:after="0" w:afterAutospacing="0"/>
              <w:ind w:left="0" w:right="0" w:firstLine="480"/>
              <w:jc w:val="center"/>
              <w:textAlignment w:val="center"/>
              <w:rPr>
                <w:rFonts w:hint="eastAsia" w:hAnsi="Times New Roman" w:eastAsia="宋体"/>
                <w:b/>
                <w:bCs/>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8"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YX-1</w:t>
            </w:r>
          </w:p>
        </w:tc>
        <w:tc>
          <w:tcPr>
            <w:tcW w:w="1418"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107.731286</w:t>
            </w:r>
          </w:p>
        </w:tc>
        <w:tc>
          <w:tcPr>
            <w:tcW w:w="1418"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31.194822</w:t>
            </w:r>
          </w:p>
        </w:tc>
        <w:tc>
          <w:tcPr>
            <w:tcW w:w="1418"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107.72732</w:t>
            </w:r>
          </w:p>
        </w:tc>
        <w:tc>
          <w:tcPr>
            <w:tcW w:w="1422"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31.195097</w:t>
            </w:r>
          </w:p>
        </w:tc>
        <w:tc>
          <w:tcPr>
            <w:tcW w:w="1423"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8"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YX-2</w:t>
            </w:r>
          </w:p>
        </w:tc>
        <w:tc>
          <w:tcPr>
            <w:tcW w:w="1418"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107.727098</w:t>
            </w:r>
          </w:p>
        </w:tc>
        <w:tc>
          <w:tcPr>
            <w:tcW w:w="1418"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31.164946</w:t>
            </w:r>
          </w:p>
        </w:tc>
        <w:tc>
          <w:tcPr>
            <w:tcW w:w="1418"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107.732142</w:t>
            </w:r>
          </w:p>
        </w:tc>
        <w:tc>
          <w:tcPr>
            <w:tcW w:w="1422"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31.172128</w:t>
            </w:r>
          </w:p>
        </w:tc>
        <w:tc>
          <w:tcPr>
            <w:tcW w:w="1423"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8"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YX-3</w:t>
            </w:r>
          </w:p>
        </w:tc>
        <w:tc>
          <w:tcPr>
            <w:tcW w:w="1418"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107.729306</w:t>
            </w:r>
          </w:p>
        </w:tc>
        <w:tc>
          <w:tcPr>
            <w:tcW w:w="1418"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31.175394</w:t>
            </w:r>
          </w:p>
        </w:tc>
        <w:tc>
          <w:tcPr>
            <w:tcW w:w="1418"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107.738425</w:t>
            </w:r>
          </w:p>
        </w:tc>
        <w:tc>
          <w:tcPr>
            <w:tcW w:w="1422"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31.178406</w:t>
            </w:r>
          </w:p>
        </w:tc>
        <w:tc>
          <w:tcPr>
            <w:tcW w:w="1423"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8"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YX-4</w:t>
            </w:r>
          </w:p>
        </w:tc>
        <w:tc>
          <w:tcPr>
            <w:tcW w:w="1418"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107.74693</w:t>
            </w:r>
          </w:p>
        </w:tc>
        <w:tc>
          <w:tcPr>
            <w:tcW w:w="1418"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31.197582</w:t>
            </w:r>
          </w:p>
        </w:tc>
        <w:tc>
          <w:tcPr>
            <w:tcW w:w="1418"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107.748596</w:t>
            </w:r>
          </w:p>
        </w:tc>
        <w:tc>
          <w:tcPr>
            <w:tcW w:w="1422"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31.19228</w:t>
            </w:r>
          </w:p>
        </w:tc>
        <w:tc>
          <w:tcPr>
            <w:tcW w:w="1423"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8"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YX-5</w:t>
            </w:r>
          </w:p>
        </w:tc>
        <w:tc>
          <w:tcPr>
            <w:tcW w:w="1418"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107.753203</w:t>
            </w:r>
          </w:p>
        </w:tc>
        <w:tc>
          <w:tcPr>
            <w:tcW w:w="1418"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31.204956</w:t>
            </w:r>
          </w:p>
        </w:tc>
        <w:tc>
          <w:tcPr>
            <w:tcW w:w="1418"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107.766256</w:t>
            </w:r>
          </w:p>
        </w:tc>
        <w:tc>
          <w:tcPr>
            <w:tcW w:w="1422"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31.211068</w:t>
            </w:r>
          </w:p>
        </w:tc>
        <w:tc>
          <w:tcPr>
            <w:tcW w:w="1423"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2.21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8"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YX-6</w:t>
            </w:r>
          </w:p>
        </w:tc>
        <w:tc>
          <w:tcPr>
            <w:tcW w:w="1418"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107.783794</w:t>
            </w:r>
          </w:p>
        </w:tc>
        <w:tc>
          <w:tcPr>
            <w:tcW w:w="1418"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31.228076</w:t>
            </w:r>
          </w:p>
        </w:tc>
        <w:tc>
          <w:tcPr>
            <w:tcW w:w="1418"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107.780172</w:t>
            </w:r>
          </w:p>
        </w:tc>
        <w:tc>
          <w:tcPr>
            <w:tcW w:w="1422"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31.223814</w:t>
            </w:r>
          </w:p>
        </w:tc>
        <w:tc>
          <w:tcPr>
            <w:tcW w:w="1423"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8"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YX-7</w:t>
            </w:r>
          </w:p>
        </w:tc>
        <w:tc>
          <w:tcPr>
            <w:tcW w:w="1418"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107.764888</w:t>
            </w:r>
          </w:p>
        </w:tc>
        <w:tc>
          <w:tcPr>
            <w:tcW w:w="1418"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31.212671</w:t>
            </w:r>
          </w:p>
        </w:tc>
        <w:tc>
          <w:tcPr>
            <w:tcW w:w="1418"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107.775926</w:t>
            </w:r>
          </w:p>
        </w:tc>
        <w:tc>
          <w:tcPr>
            <w:tcW w:w="1422"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31.220996</w:t>
            </w:r>
          </w:p>
        </w:tc>
        <w:tc>
          <w:tcPr>
            <w:tcW w:w="1423"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1.79</w:t>
            </w:r>
          </w:p>
        </w:tc>
      </w:tr>
    </w:tbl>
    <w:p>
      <w:pPr>
        <w:adjustRightInd w:val="0"/>
        <w:snapToGrid w:val="0"/>
        <w:spacing w:line="360" w:lineRule="auto"/>
        <w:ind w:firstLine="480" w:firstLineChars="200"/>
        <w:rPr>
          <w:rFonts w:hAnsi="Times New Roman" w:eastAsia="宋体"/>
          <w:szCs w:val="24"/>
        </w:rPr>
      </w:pPr>
      <w:r>
        <w:rPr>
          <w:rFonts w:hAnsi="Times New Roman" w:eastAsia="宋体"/>
          <w:szCs w:val="24"/>
          <w:lang w:eastAsia="zh-CN"/>
        </w:rPr>
        <w:t>（3）</w:t>
      </w:r>
      <w:r>
        <w:rPr>
          <w:rFonts w:hAnsi="Times New Roman" w:eastAsia="宋体"/>
          <w:szCs w:val="24"/>
        </w:rPr>
        <w:t>资料收集</w:t>
      </w:r>
    </w:p>
    <w:p>
      <w:pPr>
        <w:adjustRightInd w:val="0"/>
        <w:snapToGrid w:val="0"/>
        <w:spacing w:line="360" w:lineRule="auto"/>
        <w:ind w:firstLine="480" w:firstLineChars="200"/>
        <w:rPr>
          <w:rFonts w:hAnsi="Times New Roman" w:eastAsia="宋体"/>
          <w:szCs w:val="24"/>
        </w:rPr>
      </w:pPr>
      <w:r>
        <w:rPr>
          <w:rFonts w:hAnsi="Times New Roman" w:eastAsia="宋体"/>
          <w:szCs w:val="24"/>
        </w:rPr>
        <w:t>查阅《四川资源动物志》等专著、在线资料《中国观鸟记录中心http://www.birdreport.cn/》记载的当地野生动物种类，根据它们的生境和生活习性，结合项目周边自然环境条件分析确定。</w:t>
      </w:r>
    </w:p>
    <w:p>
      <w:pPr>
        <w:adjustRightInd w:val="0"/>
        <w:snapToGrid w:val="0"/>
        <w:spacing w:line="360" w:lineRule="auto"/>
        <w:ind w:firstLine="480" w:firstLineChars="200"/>
        <w:rPr>
          <w:rFonts w:hAnsi="Times New Roman" w:eastAsia="宋体"/>
          <w:szCs w:val="24"/>
        </w:rPr>
      </w:pPr>
      <w:r>
        <w:rPr>
          <w:rFonts w:hAnsi="Times New Roman" w:eastAsia="宋体"/>
          <w:szCs w:val="24"/>
        </w:rPr>
        <w:t>（4）野外调查方法</w:t>
      </w:r>
    </w:p>
    <w:p>
      <w:pPr>
        <w:adjustRightInd w:val="0"/>
        <w:snapToGrid w:val="0"/>
        <w:spacing w:line="360" w:lineRule="auto"/>
        <w:ind w:firstLine="480" w:firstLineChars="200"/>
        <w:rPr>
          <w:rFonts w:hAnsi="Times New Roman" w:eastAsia="宋体"/>
          <w:szCs w:val="24"/>
        </w:rPr>
      </w:pPr>
      <w:r>
        <w:rPr>
          <w:rFonts w:hAnsi="Times New Roman" w:eastAsia="宋体"/>
          <w:szCs w:val="24"/>
        </w:rPr>
        <w:t>对于大型野生动物的野外调查，白昼活动的动物采用直接计数法，对于易捕捉的小型动物，采用一次捕捉或多次捕捉法；通过相关指数转换法，用调查与动物数量相关的间接指标来估测动物的数量，如洞口计数法、巢穴计数法、粪便计数法，以及动物留下的足迹、标记、卧迹等；除了常规的样带法、样点法外，对于大中型兽类，辅助采用访问法，即对当地老乡和林业部门（局、站、点）工作人员进行访问，包括他们执法检查时查到的实物拍成的照片；对于鼠形动物，用铗夜法调查。</w:t>
      </w:r>
    </w:p>
    <w:p>
      <w:pPr>
        <w:adjustRightInd w:val="0"/>
        <w:snapToGrid w:val="0"/>
        <w:spacing w:line="360" w:lineRule="auto"/>
        <w:ind w:firstLine="480" w:firstLineChars="200"/>
        <w:rPr>
          <w:rFonts w:hAnsi="Times New Roman" w:eastAsia="宋体"/>
          <w:szCs w:val="24"/>
        </w:rPr>
      </w:pPr>
      <w:r>
        <w:rPr>
          <w:rFonts w:hAnsi="Times New Roman" w:eastAsia="宋体"/>
          <w:szCs w:val="24"/>
        </w:rPr>
        <w:t>两栖类动物由于对潮湿（湿地生态）的生境依赖性强，因此在野外实地考察时主要选取可能有两栖动物生存的环境进行调查，包括溪流、湿地、水塘、耕地等，及其邻近区域；调查的方法主要是样点调查、样线调查。此外，咨询当地居民和与野生动物有关的林业管理干部等也是重要的补充手段。由于两栖动物多是夜行性，因此白天主要巡视可能有两栖动物生存的生境，并考察幼体或蝌蚪、卵的情况，夜晚再去考察成体的情况。两栖类和爬行类动物的样方可根据实际情况设置采用10 m×10 m的样方，或2 m×50 m的样带。爬行类动物由于已经基本摆脱对潮湿生境（湿地）的依赖，因此其活动范围比较广泛，在草丛、灌丛、乱石堆、洞穴、水域等都可能见到它们的踪迹。在野外实地考察时主要选取上述可能有爬行动物生存的生境进行调查；调查的方法主要是样点调查。此外，访问当地居民和与野生动物有关的林业管理干部等也是必须的手段。由于爬行动物属外温动物，多喜爱温暖的时段活动，因此主要在白天巡视可能有爬行动物生存的生境。</w:t>
      </w:r>
    </w:p>
    <w:p>
      <w:pPr>
        <w:spacing w:line="360" w:lineRule="auto"/>
        <w:ind w:firstLine="480" w:firstLineChars="200"/>
        <w:rPr>
          <w:rFonts w:hAnsi="Times New Roman" w:eastAsia="宋体"/>
          <w:szCs w:val="24"/>
        </w:rPr>
      </w:pPr>
      <w:r>
        <w:rPr>
          <w:rFonts w:hAnsi="Times New Roman" w:eastAsia="宋体"/>
          <w:szCs w:val="24"/>
        </w:rPr>
        <w:t>鸟类的野外调查主要依靠生态习性，主要采用样带法（包括样方法）进行种类及数量调查。调查过程中在样带内徒步行走，观察记数所见鸟类种类、数量以及羽毛、鸟巢等痕迹，同时访问有关人士，并详细记录样带内的生境变化，通过全球卫星定位仪（GPS）测定其经纬度和海拔变化。根据区内地貌、海拔、植被类型等特点，将鸟类生境划为一定的生物地理－植被地带分析论证。确定物种组成、区系构成，对鸟类的数量等级采用路线统计法进行常规统计，一些未在调查中所见种则依据有关文献判别。</w:t>
      </w:r>
    </w:p>
    <w:p>
      <w:pPr>
        <w:spacing w:line="360" w:lineRule="auto"/>
        <w:rPr>
          <w:rFonts w:hAnsi="Times New Roman" w:eastAsia="宋体"/>
          <w:b/>
          <w:bCs/>
          <w:lang w:eastAsia="zh-CN"/>
        </w:rPr>
      </w:pPr>
      <w:r>
        <w:rPr>
          <w:rFonts w:hAnsi="Times New Roman" w:eastAsia="宋体"/>
          <w:b/>
          <w:bCs/>
          <w:lang w:eastAsia="zh-CN"/>
        </w:rPr>
        <w:t>4.2.</w:t>
      </w:r>
      <w:r>
        <w:rPr>
          <w:rFonts w:hint="eastAsia" w:hAnsi="Times New Roman" w:eastAsia="宋体"/>
          <w:b/>
          <w:bCs/>
          <w:lang w:eastAsia="zh-CN"/>
        </w:rPr>
        <w:t>2</w:t>
      </w:r>
      <w:r>
        <w:rPr>
          <w:rFonts w:hAnsi="Times New Roman" w:eastAsia="宋体"/>
          <w:b/>
          <w:bCs/>
          <w:lang w:eastAsia="zh-CN"/>
        </w:rPr>
        <w:t>.</w:t>
      </w:r>
      <w:r>
        <w:rPr>
          <w:rFonts w:hint="eastAsia" w:hAnsi="Times New Roman" w:eastAsia="宋体"/>
          <w:b/>
          <w:bCs/>
          <w:lang w:eastAsia="zh-CN"/>
        </w:rPr>
        <w:t>3</w:t>
      </w:r>
      <w:r>
        <w:rPr>
          <w:rFonts w:hAnsi="Times New Roman" w:eastAsia="宋体"/>
          <w:b/>
          <w:bCs/>
          <w:lang w:eastAsia="zh-CN"/>
        </w:rPr>
        <w:t xml:space="preserve"> </w:t>
      </w:r>
      <w:r>
        <w:rPr>
          <w:rFonts w:hint="eastAsia" w:hAnsi="Times New Roman" w:eastAsia="宋体"/>
          <w:b/>
          <w:bCs/>
          <w:lang w:eastAsia="zh-CN"/>
        </w:rPr>
        <w:t>水</w:t>
      </w:r>
      <w:r>
        <w:rPr>
          <w:rFonts w:hAnsi="Times New Roman" w:eastAsia="宋体"/>
          <w:b/>
          <w:bCs/>
          <w:lang w:eastAsia="zh-CN"/>
        </w:rPr>
        <w:t>生</w:t>
      </w:r>
      <w:r>
        <w:rPr>
          <w:rFonts w:hint="eastAsia" w:hAnsi="Times New Roman" w:eastAsia="宋体"/>
          <w:b/>
          <w:bCs/>
          <w:lang w:eastAsia="zh-CN"/>
        </w:rPr>
        <w:t>动物</w:t>
      </w:r>
      <w:r>
        <w:rPr>
          <w:rFonts w:hAnsi="Times New Roman" w:eastAsia="宋体"/>
          <w:b/>
          <w:bCs/>
          <w:lang w:eastAsia="zh-CN"/>
        </w:rPr>
        <w:t>调查</w:t>
      </w:r>
    </w:p>
    <w:p>
      <w:pPr>
        <w:spacing w:line="360" w:lineRule="auto"/>
        <w:ind w:firstLine="480" w:firstLineChars="200"/>
        <w:rPr>
          <w:rFonts w:hAnsi="Times New Roman" w:eastAsia="宋体"/>
          <w:szCs w:val="24"/>
        </w:rPr>
      </w:pPr>
      <w:r>
        <w:rPr>
          <w:rFonts w:hAnsi="Times New Roman" w:eastAsia="宋体"/>
          <w:szCs w:val="24"/>
        </w:rPr>
        <w:t>水生生态现状调查内容主要包括：评价范围内的水生生物、水生生境和渔业现状，重要物种的分布、生态学特征、种群现状以及生境状况；鱼类等重要水生动物调查包括种类组成、种群结构、资源时空分布，产卵场、索饵场、越冬场等重要生境的分布、环境条件以及</w:t>
      </w:r>
      <w:r>
        <w:rPr>
          <w:rFonts w:hint="eastAsia" w:hAnsi="Times New Roman" w:eastAsia="宋体"/>
          <w:szCs w:val="24"/>
          <w:lang w:eastAsia="zh-CN"/>
        </w:rPr>
        <w:t>洄游</w:t>
      </w:r>
      <w:r>
        <w:rPr>
          <w:rFonts w:hAnsi="Times New Roman" w:eastAsia="宋体"/>
          <w:szCs w:val="24"/>
        </w:rPr>
        <w:t>时间等行为习性。三级评价现状调查以收集有效资料为主，如有必要，可开展遥感调查或现场校核。本次调查主要通过历史资料分析等手段，对本项目流域水生生物及其生境进行调查评价，主要查阅《四川鱼类志</w:t>
      </w:r>
      <w:r>
        <w:rPr>
          <w:rFonts w:hint="eastAsia" w:hAnsi="Times New Roman" w:eastAsia="宋体"/>
          <w:szCs w:val="24"/>
          <w:lang w:eastAsia="zh-CN"/>
        </w:rPr>
        <w:t>》《</w:t>
      </w:r>
      <w:r>
        <w:rPr>
          <w:rFonts w:hAnsi="Times New Roman" w:eastAsia="宋体"/>
          <w:szCs w:val="24"/>
        </w:rPr>
        <w:t>中国动物志硬骨鱼类纲鲤形目》和《中国动物志硬骨鱼类纲鲇形目》等资料。</w:t>
      </w:r>
    </w:p>
    <w:p>
      <w:pPr>
        <w:spacing w:line="360" w:lineRule="auto"/>
        <w:rPr>
          <w:rFonts w:hAnsi="Times New Roman" w:eastAsia="宋体"/>
          <w:b/>
          <w:bCs/>
          <w:lang w:eastAsia="zh-CN"/>
        </w:rPr>
      </w:pPr>
      <w:r>
        <w:rPr>
          <w:rFonts w:hAnsi="Times New Roman" w:eastAsia="宋体"/>
          <w:b/>
          <w:bCs/>
          <w:lang w:eastAsia="zh-CN"/>
        </w:rPr>
        <w:t>4.2.</w:t>
      </w:r>
      <w:r>
        <w:rPr>
          <w:rFonts w:hint="eastAsia" w:hAnsi="Times New Roman" w:eastAsia="宋体"/>
          <w:b/>
          <w:bCs/>
          <w:lang w:eastAsia="zh-CN"/>
        </w:rPr>
        <w:t>2</w:t>
      </w:r>
      <w:r>
        <w:rPr>
          <w:rFonts w:hAnsi="Times New Roman" w:eastAsia="宋体"/>
          <w:b/>
          <w:bCs/>
          <w:lang w:eastAsia="zh-CN"/>
        </w:rPr>
        <w:t>.</w:t>
      </w:r>
      <w:r>
        <w:rPr>
          <w:rFonts w:hint="eastAsia" w:hAnsi="Times New Roman" w:eastAsia="宋体"/>
          <w:b/>
          <w:bCs/>
          <w:lang w:eastAsia="zh-CN"/>
        </w:rPr>
        <w:t>4</w:t>
      </w:r>
      <w:r>
        <w:rPr>
          <w:rFonts w:hAnsi="Times New Roman" w:eastAsia="宋体"/>
          <w:b/>
          <w:bCs/>
          <w:lang w:eastAsia="zh-CN"/>
        </w:rPr>
        <w:t xml:space="preserve"> 景观调查</w:t>
      </w:r>
    </w:p>
    <w:p>
      <w:pPr>
        <w:spacing w:line="360" w:lineRule="auto"/>
        <w:ind w:firstLine="480" w:firstLineChars="200"/>
        <w:rPr>
          <w:rFonts w:hAnsi="Times New Roman" w:eastAsia="宋体"/>
          <w:szCs w:val="24"/>
          <w:lang w:eastAsia="zh-CN"/>
        </w:rPr>
      </w:pPr>
      <w:r>
        <w:rPr>
          <w:rFonts w:hAnsi="Times New Roman" w:eastAsia="宋体"/>
          <w:szCs w:val="24"/>
        </w:rPr>
        <w:t>景观生态环境调查主要是从大尺度上对项目区域进行环境监测与调查。通过野外对景观要素的形状、大小、密度、接情况以及景观多样性指数等，结合空间统计方法，采用空间分析，波谱分析等方法来描述景观在空间结构上的变化情况，景观格局的野外调查主要是结合地理信息系统的空间分布，现场核实、记录廊道、斑块的空间信息等。以野外GPS定点的植物群落生态学调查结果和野外实时勾绘了植被类型的地形图为基础，参考卫星遥感照片解译结果，利用3S技术制作评价区的植被分布图。归并各类森林群落、灌丛群落、草地群落等，制作出包含主要生态系统类型和斑块类型的景观生态体系分布图。</w:t>
      </w:r>
    </w:p>
    <w:p>
      <w:pPr>
        <w:spacing w:line="360" w:lineRule="auto"/>
        <w:rPr>
          <w:rFonts w:hAnsi="Times New Roman" w:eastAsia="宋体"/>
          <w:b/>
          <w:bCs/>
          <w:lang w:eastAsia="zh-CN"/>
        </w:rPr>
      </w:pPr>
      <w:r>
        <w:rPr>
          <w:rFonts w:hAnsi="Times New Roman" w:eastAsia="宋体"/>
          <w:b/>
          <w:bCs/>
          <w:lang w:eastAsia="zh-CN"/>
        </w:rPr>
        <w:t>4.2.</w:t>
      </w:r>
      <w:r>
        <w:rPr>
          <w:rFonts w:hint="eastAsia" w:hAnsi="Times New Roman" w:eastAsia="宋体"/>
          <w:b/>
          <w:bCs/>
          <w:lang w:eastAsia="zh-CN"/>
        </w:rPr>
        <w:t>2</w:t>
      </w:r>
      <w:r>
        <w:rPr>
          <w:rFonts w:hAnsi="Times New Roman" w:eastAsia="宋体"/>
          <w:b/>
          <w:bCs/>
          <w:lang w:eastAsia="zh-CN"/>
        </w:rPr>
        <w:t>.</w:t>
      </w:r>
      <w:r>
        <w:rPr>
          <w:rFonts w:hint="eastAsia" w:hAnsi="Times New Roman" w:eastAsia="宋体"/>
          <w:b/>
          <w:bCs/>
          <w:lang w:eastAsia="zh-CN"/>
        </w:rPr>
        <w:t>5</w:t>
      </w:r>
      <w:r>
        <w:rPr>
          <w:rFonts w:hAnsi="Times New Roman" w:eastAsia="宋体"/>
          <w:b/>
          <w:bCs/>
          <w:lang w:eastAsia="zh-CN"/>
        </w:rPr>
        <w:t xml:space="preserve"> 内业分析</w:t>
      </w:r>
    </w:p>
    <w:p>
      <w:pPr>
        <w:spacing w:line="360" w:lineRule="auto"/>
        <w:ind w:firstLine="482" w:firstLineChars="200"/>
        <w:rPr>
          <w:rFonts w:hAnsi="Times New Roman" w:eastAsia="宋体"/>
          <w:b/>
          <w:bCs/>
          <w:szCs w:val="24"/>
        </w:rPr>
      </w:pPr>
      <w:r>
        <w:rPr>
          <w:rFonts w:hint="eastAsia" w:hAnsi="Times New Roman" w:eastAsia="宋体"/>
          <w:b/>
          <w:bCs/>
          <w:szCs w:val="24"/>
          <w:lang w:eastAsia="zh-CN"/>
        </w:rPr>
        <w:t>1</w:t>
      </w:r>
      <w:r>
        <w:rPr>
          <w:rFonts w:hint="eastAsia" w:hAnsi="Times New Roman" w:eastAsia="宋体"/>
          <w:b/>
          <w:bCs/>
          <w:szCs w:val="24"/>
        </w:rPr>
        <w:t>、</w:t>
      </w:r>
      <w:r>
        <w:rPr>
          <w:rFonts w:hAnsi="Times New Roman" w:eastAsia="宋体"/>
          <w:b/>
          <w:bCs/>
          <w:szCs w:val="24"/>
        </w:rPr>
        <w:t>数据整理</w:t>
      </w:r>
    </w:p>
    <w:p>
      <w:pPr>
        <w:spacing w:line="360" w:lineRule="auto"/>
        <w:ind w:firstLine="480" w:firstLineChars="200"/>
        <w:rPr>
          <w:rFonts w:hAnsi="Times New Roman" w:eastAsia="宋体"/>
          <w:szCs w:val="24"/>
        </w:rPr>
      </w:pPr>
      <w:r>
        <w:rPr>
          <w:rFonts w:hAnsi="Times New Roman" w:eastAsia="宋体"/>
          <w:szCs w:val="24"/>
        </w:rPr>
        <w:t>将野外调查的样方调查等数据资料录入相应的Excel数据库，按照相关算法计算典型样地生物多样性指数、生物量和生态系统生物生产力等；开展评价区维管植物科属种统计；按照李锡文划分的世界种子植物科的分布型和吴征镒对中国种子植物属所划分的分布区类型，对评价区内种子植物的科属地理分布类型进行分析整理；按照景观生态学的相关方法，计算各类生态系统的面积和斑块数、景观类型优势度值等。</w:t>
      </w:r>
    </w:p>
    <w:p>
      <w:pPr>
        <w:spacing w:line="360" w:lineRule="auto"/>
        <w:ind w:firstLine="480" w:firstLineChars="200"/>
        <w:rPr>
          <w:rFonts w:hAnsi="Times New Roman" w:eastAsia="宋体"/>
          <w:szCs w:val="24"/>
        </w:rPr>
      </w:pPr>
      <w:r>
        <w:rPr>
          <w:rFonts w:hAnsi="Times New Roman" w:eastAsia="宋体"/>
          <w:szCs w:val="24"/>
        </w:rPr>
        <w:t>查阅标本馆中有关评价区内珍稀濒危保护动植物的标本，并整理有分布的动植物种类、分布范围和生境（栖息地）等资料；查阅《四川植物志</w:t>
      </w:r>
      <w:r>
        <w:rPr>
          <w:rFonts w:hint="eastAsia" w:hAnsi="Times New Roman" w:eastAsia="宋体"/>
          <w:szCs w:val="24"/>
          <w:lang w:eastAsia="zh-CN"/>
        </w:rPr>
        <w:t>》《</w:t>
      </w:r>
      <w:r>
        <w:rPr>
          <w:rFonts w:hAnsi="Times New Roman" w:eastAsia="宋体"/>
          <w:szCs w:val="24"/>
        </w:rPr>
        <w:t>中国药用植物志</w:t>
      </w:r>
      <w:r>
        <w:rPr>
          <w:rFonts w:hint="eastAsia" w:hAnsi="Times New Roman" w:eastAsia="宋体"/>
          <w:szCs w:val="24"/>
          <w:lang w:eastAsia="zh-CN"/>
        </w:rPr>
        <w:t>》《</w:t>
      </w:r>
      <w:r>
        <w:rPr>
          <w:rFonts w:hAnsi="Times New Roman" w:eastAsia="宋体"/>
          <w:szCs w:val="24"/>
        </w:rPr>
        <w:t>四川油脂植物》等相关资料，整理评价区内的重要野生资源植物分布情况，并计算相关指标。</w:t>
      </w:r>
    </w:p>
    <w:p>
      <w:pPr>
        <w:spacing w:line="360" w:lineRule="auto"/>
        <w:ind w:firstLine="482" w:firstLineChars="200"/>
        <w:rPr>
          <w:rFonts w:hAnsi="Times New Roman" w:eastAsia="宋体"/>
          <w:b/>
          <w:bCs/>
          <w:szCs w:val="24"/>
        </w:rPr>
      </w:pPr>
      <w:bookmarkStart w:id="177" w:name="_Hlk111735880"/>
      <w:r>
        <w:rPr>
          <w:rFonts w:hint="eastAsia" w:hAnsi="Times New Roman" w:eastAsia="宋体"/>
          <w:b/>
          <w:bCs/>
          <w:szCs w:val="24"/>
          <w:lang w:eastAsia="zh-CN"/>
        </w:rPr>
        <w:t>2</w:t>
      </w:r>
      <w:r>
        <w:rPr>
          <w:rFonts w:hint="eastAsia" w:hAnsi="Times New Roman" w:eastAsia="宋体"/>
          <w:b/>
          <w:bCs/>
          <w:szCs w:val="24"/>
        </w:rPr>
        <w:t>、</w:t>
      </w:r>
      <w:r>
        <w:rPr>
          <w:rFonts w:hAnsi="Times New Roman" w:eastAsia="宋体"/>
          <w:b/>
          <w:bCs/>
          <w:szCs w:val="24"/>
        </w:rPr>
        <w:t>生物多样性评价方法</w:t>
      </w:r>
      <w:bookmarkEnd w:id="177"/>
    </w:p>
    <w:p>
      <w:pPr>
        <w:spacing w:line="360" w:lineRule="auto"/>
        <w:ind w:firstLine="480" w:firstLineChars="200"/>
        <w:rPr>
          <w:rFonts w:hAnsi="Times New Roman" w:eastAsia="宋体"/>
          <w:szCs w:val="24"/>
        </w:rPr>
      </w:pPr>
      <w:r>
        <w:rPr>
          <w:rFonts w:hAnsi="Times New Roman" w:eastAsia="宋体"/>
          <w:szCs w:val="24"/>
        </w:rPr>
        <w:t>α多样性是指在栖息地或群落中的物种多样性，用以测度群落内的物种多样性。测度α多样性采用物种丰富度（物种数量</w:t>
      </w:r>
      <w:r>
        <w:rPr>
          <w:rFonts w:hint="eastAsia" w:hAnsi="Times New Roman" w:eastAsia="宋体"/>
          <w:szCs w:val="24"/>
          <w:lang w:eastAsia="zh-CN"/>
        </w:rPr>
        <w:t>）</w:t>
      </w:r>
      <w:r>
        <w:rPr>
          <w:rFonts w:hAnsi="Times New Roman" w:eastAsia="宋体"/>
          <w:szCs w:val="24"/>
        </w:rPr>
        <w:t>、辛普森</w:t>
      </w:r>
      <w:r>
        <w:rPr>
          <w:rFonts w:hint="eastAsia" w:hAnsi="Times New Roman" w:eastAsia="宋体"/>
          <w:szCs w:val="24"/>
          <w:lang w:eastAsia="zh-CN"/>
        </w:rPr>
        <w:t>（</w:t>
      </w:r>
      <w:r>
        <w:rPr>
          <w:rFonts w:hAnsi="Times New Roman" w:eastAsia="宋体"/>
          <w:szCs w:val="24"/>
        </w:rPr>
        <w:t>Simpson）指数、香农-维纳</w:t>
      </w:r>
      <w:r>
        <w:rPr>
          <w:rFonts w:hint="eastAsia" w:hAnsi="Times New Roman" w:eastAsia="宋体"/>
          <w:szCs w:val="24"/>
          <w:lang w:eastAsia="zh-CN"/>
        </w:rPr>
        <w:t>（</w:t>
      </w:r>
      <w:r>
        <w:rPr>
          <w:rFonts w:hAnsi="Times New Roman" w:eastAsia="宋体"/>
          <w:szCs w:val="24"/>
        </w:rPr>
        <w:t>Shannon-Wiener）指数和皮洛</w:t>
      </w:r>
      <w:r>
        <w:rPr>
          <w:rFonts w:hint="eastAsia" w:hAnsi="Times New Roman" w:eastAsia="宋体"/>
          <w:szCs w:val="24"/>
          <w:lang w:eastAsia="zh-CN"/>
        </w:rPr>
        <w:t>（</w:t>
      </w:r>
      <w:r>
        <w:rPr>
          <w:rFonts w:hAnsi="Times New Roman" w:eastAsia="宋体"/>
          <w:szCs w:val="24"/>
        </w:rPr>
        <w:t>Pielou</w:t>
      </w:r>
      <w:r>
        <w:rPr>
          <w:rFonts w:hint="eastAsia" w:hAnsi="Times New Roman" w:eastAsia="宋体"/>
          <w:szCs w:val="24"/>
          <w:lang w:eastAsia="zh-CN"/>
        </w:rPr>
        <w:t>）</w:t>
      </w:r>
      <w:r>
        <w:rPr>
          <w:rFonts w:hAnsi="Times New Roman" w:eastAsia="宋体"/>
          <w:szCs w:val="24"/>
        </w:rPr>
        <w:t>均匀度指数。</w:t>
      </w:r>
    </w:p>
    <w:p>
      <w:pPr>
        <w:spacing w:line="360" w:lineRule="auto"/>
        <w:ind w:firstLine="480" w:firstLineChars="200"/>
        <w:rPr>
          <w:rFonts w:hAnsi="Times New Roman" w:eastAsia="宋体"/>
          <w:szCs w:val="24"/>
        </w:rPr>
      </w:pPr>
      <w:r>
        <w:rPr>
          <w:rFonts w:hAnsi="Times New Roman" w:eastAsia="宋体"/>
          <w:szCs w:val="24"/>
        </w:rPr>
        <w:fldChar w:fldCharType="begin"/>
      </w:r>
      <w:r>
        <w:rPr>
          <w:rFonts w:hAnsi="Times New Roman" w:eastAsia="宋体"/>
          <w:szCs w:val="24"/>
        </w:rPr>
        <w:instrText xml:space="preserve"> </w:instrText>
      </w:r>
      <w:r>
        <w:rPr>
          <w:rFonts w:hint="eastAsia" w:hAnsi="Times New Roman" w:eastAsia="宋体"/>
          <w:szCs w:val="24"/>
        </w:rPr>
        <w:instrText xml:space="preserve">= 1 \* GB3</w:instrText>
      </w:r>
      <w:r>
        <w:rPr>
          <w:rFonts w:hAnsi="Times New Roman" w:eastAsia="宋体"/>
          <w:szCs w:val="24"/>
        </w:rPr>
        <w:instrText xml:space="preserve"> </w:instrText>
      </w:r>
      <w:r>
        <w:rPr>
          <w:rFonts w:hAnsi="Times New Roman" w:eastAsia="宋体"/>
          <w:szCs w:val="24"/>
        </w:rPr>
        <w:fldChar w:fldCharType="separate"/>
      </w:r>
      <w:r>
        <w:rPr>
          <w:rFonts w:hint="eastAsia" w:hAnsi="Times New Roman" w:eastAsia="宋体"/>
          <w:szCs w:val="24"/>
        </w:rPr>
        <w:t>①</w:t>
      </w:r>
      <w:r>
        <w:rPr>
          <w:rFonts w:hAnsi="Times New Roman" w:eastAsia="宋体"/>
          <w:szCs w:val="24"/>
        </w:rPr>
        <w:fldChar w:fldCharType="end"/>
      </w:r>
      <w:r>
        <w:rPr>
          <w:rFonts w:hAnsi="Times New Roman" w:eastAsia="宋体"/>
          <w:szCs w:val="24"/>
        </w:rPr>
        <w:t>辛普森指数</w:t>
      </w:r>
      <w:r>
        <w:rPr>
          <w:rFonts w:hint="eastAsia" w:hAnsi="Times New Roman" w:eastAsia="宋体"/>
          <w:szCs w:val="24"/>
          <w:lang w:eastAsia="zh-CN"/>
        </w:rPr>
        <w:t>（</w:t>
      </w:r>
      <w:r>
        <w:rPr>
          <w:rFonts w:hAnsi="Times New Roman" w:eastAsia="宋体"/>
          <w:szCs w:val="24"/>
        </w:rPr>
        <w:t>D</w:t>
      </w:r>
      <w:r>
        <w:rPr>
          <w:rFonts w:hint="eastAsia" w:hAnsi="Times New Roman" w:eastAsia="宋体"/>
          <w:szCs w:val="24"/>
          <w:lang w:eastAsia="zh-CN"/>
        </w:rPr>
        <w:t>）</w:t>
      </w:r>
      <w:r>
        <w:rPr>
          <w:rFonts w:hAnsi="Times New Roman" w:eastAsia="宋体"/>
          <w:szCs w:val="24"/>
        </w:rPr>
        <w:t>按式（1）计算</w:t>
      </w:r>
      <w:r>
        <w:rPr>
          <w:rFonts w:hint="eastAsia" w:hAnsi="Times New Roman" w:eastAsia="宋体"/>
          <w:szCs w:val="24"/>
          <w:lang w:eastAsia="zh-CN"/>
        </w:rPr>
        <w:t>：</w:t>
      </w:r>
    </w:p>
    <w:p>
      <w:pPr>
        <w:spacing w:line="360" w:lineRule="auto"/>
        <w:ind w:firstLine="480" w:firstLineChars="200"/>
        <w:jc w:val="center"/>
        <w:rPr>
          <w:rFonts w:hAnsi="Times New Roman" w:eastAsia="宋体"/>
          <w:szCs w:val="24"/>
        </w:rPr>
      </w:pPr>
      <w:r>
        <w:rPr>
          <w:rFonts w:hAnsi="Times New Roman" w:eastAsia="宋体"/>
          <w:szCs w:val="24"/>
        </w:rPr>
        <w:drawing>
          <wp:inline distT="0" distB="0" distL="0" distR="0">
            <wp:extent cx="1336675" cy="278130"/>
            <wp:effectExtent l="0" t="0" r="15875" b="7620"/>
            <wp:docPr id="64788792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887927" name="图片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1336675" cy="278130"/>
                    </a:xfrm>
                    <a:prstGeom prst="rect">
                      <a:avLst/>
                    </a:prstGeom>
                    <a:noFill/>
                    <a:ln>
                      <a:noFill/>
                    </a:ln>
                  </pic:spPr>
                </pic:pic>
              </a:graphicData>
            </a:graphic>
          </wp:inline>
        </w:drawing>
      </w:r>
      <w:r>
        <w:rPr>
          <w:rFonts w:hAnsi="Times New Roman" w:eastAsia="宋体"/>
          <w:szCs w:val="24"/>
        </w:rPr>
        <w:t>（1）</w:t>
      </w:r>
    </w:p>
    <w:p>
      <w:pPr>
        <w:spacing w:line="360" w:lineRule="auto"/>
        <w:ind w:firstLine="480" w:firstLineChars="200"/>
        <w:rPr>
          <w:rFonts w:hAnsi="Times New Roman" w:eastAsia="宋体"/>
          <w:szCs w:val="24"/>
        </w:rPr>
      </w:pPr>
      <w:r>
        <w:rPr>
          <w:rFonts w:hAnsi="Times New Roman" w:eastAsia="宋体"/>
          <w:szCs w:val="24"/>
        </w:rPr>
        <w:t>式中</w:t>
      </w:r>
      <w:r>
        <w:rPr>
          <w:rFonts w:hint="eastAsia" w:hAnsi="Times New Roman" w:eastAsia="宋体"/>
          <w:szCs w:val="24"/>
          <w:lang w:eastAsia="zh-CN"/>
        </w:rPr>
        <w:t>：</w:t>
      </w:r>
      <w:r>
        <w:rPr>
          <w:rFonts w:hAnsi="Times New Roman" w:eastAsia="宋体"/>
          <w:szCs w:val="24"/>
        </w:rPr>
        <w:t>Pi——物种i 的个体数占样地内总个体数的比例，i=1,2,.... S。</w:t>
      </w:r>
    </w:p>
    <w:p>
      <w:pPr>
        <w:spacing w:line="360" w:lineRule="auto"/>
        <w:ind w:firstLine="480" w:firstLineChars="200"/>
        <w:rPr>
          <w:rFonts w:hAnsi="Times New Roman" w:eastAsia="宋体"/>
          <w:szCs w:val="24"/>
        </w:rPr>
      </w:pPr>
      <w:r>
        <w:rPr>
          <w:rFonts w:hAnsi="Times New Roman" w:eastAsia="宋体"/>
          <w:szCs w:val="24"/>
        </w:rPr>
        <w:t>S——物种种类总数，个。</w:t>
      </w:r>
    </w:p>
    <w:p>
      <w:pPr>
        <w:spacing w:line="360" w:lineRule="auto"/>
        <w:ind w:firstLine="480" w:firstLineChars="200"/>
        <w:rPr>
          <w:rFonts w:hAnsi="Times New Roman" w:eastAsia="宋体"/>
          <w:szCs w:val="24"/>
        </w:rPr>
      </w:pPr>
      <w:r>
        <w:rPr>
          <w:rFonts w:hint="eastAsia" w:ascii="宋体" w:hAnsi="宋体" w:eastAsia="宋体" w:cs="宋体"/>
          <w:szCs w:val="24"/>
        </w:rPr>
        <w:t>②</w:t>
      </w:r>
      <w:r>
        <w:rPr>
          <w:rFonts w:hAnsi="Times New Roman" w:eastAsia="宋体"/>
          <w:szCs w:val="24"/>
        </w:rPr>
        <w:t>香农-维纳指数</w:t>
      </w:r>
      <w:r>
        <w:rPr>
          <w:rFonts w:hint="eastAsia" w:hAnsi="Times New Roman" w:eastAsia="宋体"/>
          <w:szCs w:val="24"/>
          <w:lang w:eastAsia="zh-CN"/>
        </w:rPr>
        <w:t>（</w:t>
      </w:r>
      <w:r>
        <w:rPr>
          <w:rFonts w:hAnsi="Times New Roman" w:eastAsia="宋体"/>
          <w:szCs w:val="24"/>
        </w:rPr>
        <w:t>H'</w:t>
      </w:r>
      <w:r>
        <w:rPr>
          <w:rFonts w:hint="eastAsia" w:hAnsi="Times New Roman" w:eastAsia="宋体"/>
          <w:szCs w:val="24"/>
          <w:lang w:eastAsia="zh-CN"/>
        </w:rPr>
        <w:t>）</w:t>
      </w:r>
      <w:r>
        <w:rPr>
          <w:rFonts w:hAnsi="Times New Roman" w:eastAsia="宋体"/>
          <w:szCs w:val="24"/>
        </w:rPr>
        <w:t>按式（2）计算</w:t>
      </w:r>
      <w:r>
        <w:rPr>
          <w:rFonts w:hint="eastAsia" w:hAnsi="Times New Roman" w:eastAsia="宋体"/>
          <w:szCs w:val="24"/>
          <w:lang w:eastAsia="zh-CN"/>
        </w:rPr>
        <w:t>：</w:t>
      </w:r>
    </w:p>
    <w:p>
      <w:pPr>
        <w:spacing w:line="360" w:lineRule="auto"/>
        <w:ind w:firstLine="480" w:firstLineChars="200"/>
        <w:jc w:val="center"/>
        <w:rPr>
          <w:rFonts w:hAnsi="Times New Roman" w:eastAsia="宋体"/>
          <w:szCs w:val="24"/>
        </w:rPr>
      </w:pPr>
      <w:r>
        <w:rPr>
          <w:rFonts w:hAnsi="Times New Roman" w:eastAsia="宋体"/>
          <w:szCs w:val="24"/>
        </w:rPr>
        <w:drawing>
          <wp:inline distT="0" distB="0" distL="0" distR="0">
            <wp:extent cx="1426210" cy="288290"/>
            <wp:effectExtent l="0" t="0" r="2540" b="16510"/>
            <wp:docPr id="195730914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309147" name="图片 3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1426210" cy="288290"/>
                    </a:xfrm>
                    <a:prstGeom prst="rect">
                      <a:avLst/>
                    </a:prstGeom>
                    <a:noFill/>
                    <a:ln>
                      <a:noFill/>
                    </a:ln>
                  </pic:spPr>
                </pic:pic>
              </a:graphicData>
            </a:graphic>
          </wp:inline>
        </w:drawing>
      </w:r>
      <w:r>
        <w:rPr>
          <w:rFonts w:hAnsi="Times New Roman" w:eastAsia="宋体"/>
          <w:szCs w:val="24"/>
        </w:rPr>
        <w:t>（2）</w:t>
      </w:r>
    </w:p>
    <w:p>
      <w:pPr>
        <w:spacing w:line="360" w:lineRule="auto"/>
        <w:ind w:firstLine="480" w:firstLineChars="200"/>
        <w:rPr>
          <w:rFonts w:hAnsi="Times New Roman" w:eastAsia="宋体"/>
          <w:szCs w:val="24"/>
        </w:rPr>
      </w:pPr>
      <w:r>
        <w:rPr>
          <w:rFonts w:hint="eastAsia" w:ascii="宋体" w:hAnsi="宋体" w:eastAsia="宋体" w:cs="宋体"/>
          <w:szCs w:val="24"/>
        </w:rPr>
        <w:t>③</w:t>
      </w:r>
      <w:r>
        <w:rPr>
          <w:rFonts w:hAnsi="Times New Roman" w:eastAsia="宋体"/>
          <w:szCs w:val="24"/>
        </w:rPr>
        <w:t>均匀度指数按式（3）和（4）计算</w:t>
      </w:r>
      <w:r>
        <w:rPr>
          <w:rFonts w:hint="eastAsia" w:hAnsi="Times New Roman" w:eastAsia="宋体"/>
          <w:szCs w:val="24"/>
          <w:lang w:eastAsia="zh-CN"/>
        </w:rPr>
        <w:t>：</w:t>
      </w:r>
    </w:p>
    <w:p>
      <w:pPr>
        <w:spacing w:line="360" w:lineRule="auto"/>
        <w:ind w:firstLine="480" w:firstLineChars="200"/>
        <w:jc w:val="center"/>
        <w:rPr>
          <w:rFonts w:hAnsi="Times New Roman" w:eastAsia="宋体"/>
          <w:szCs w:val="24"/>
        </w:rPr>
      </w:pPr>
      <w:r>
        <w:rPr>
          <w:rFonts w:hAnsi="Times New Roman" w:eastAsia="宋体"/>
          <w:szCs w:val="24"/>
        </w:rPr>
        <w:drawing>
          <wp:inline distT="0" distB="0" distL="0" distR="0">
            <wp:extent cx="3493770" cy="278130"/>
            <wp:effectExtent l="0" t="0" r="11430" b="7620"/>
            <wp:docPr id="1232913852"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913852" name="图片 3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3493770" cy="278130"/>
                    </a:xfrm>
                    <a:prstGeom prst="rect">
                      <a:avLst/>
                    </a:prstGeom>
                    <a:noFill/>
                    <a:ln>
                      <a:noFill/>
                    </a:ln>
                  </pic:spPr>
                </pic:pic>
              </a:graphicData>
            </a:graphic>
          </wp:inline>
        </w:drawing>
      </w:r>
      <w:r>
        <w:rPr>
          <w:rFonts w:hAnsi="Times New Roman" w:eastAsia="宋体"/>
          <w:szCs w:val="24"/>
        </w:rPr>
        <w:t>（3）</w:t>
      </w:r>
    </w:p>
    <w:p>
      <w:pPr>
        <w:spacing w:line="360" w:lineRule="auto"/>
        <w:ind w:firstLine="480" w:firstLineChars="200"/>
        <w:jc w:val="center"/>
        <w:rPr>
          <w:rFonts w:hAnsi="Times New Roman" w:eastAsia="宋体"/>
          <w:szCs w:val="24"/>
        </w:rPr>
      </w:pPr>
      <w:r>
        <w:rPr>
          <w:rFonts w:hAnsi="Times New Roman" w:eastAsia="宋体"/>
          <w:szCs w:val="24"/>
        </w:rPr>
        <w:drawing>
          <wp:inline distT="0" distB="0" distL="0" distR="0">
            <wp:extent cx="3627755" cy="302895"/>
            <wp:effectExtent l="0" t="0" r="10795" b="1905"/>
            <wp:docPr id="2001826527"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826527" name="图片 3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3627755" cy="302895"/>
                    </a:xfrm>
                    <a:prstGeom prst="rect">
                      <a:avLst/>
                    </a:prstGeom>
                    <a:noFill/>
                    <a:ln>
                      <a:noFill/>
                    </a:ln>
                  </pic:spPr>
                </pic:pic>
              </a:graphicData>
            </a:graphic>
          </wp:inline>
        </w:drawing>
      </w:r>
      <w:r>
        <w:rPr>
          <w:rFonts w:hAnsi="Times New Roman" w:eastAsia="宋体"/>
          <w:szCs w:val="24"/>
        </w:rPr>
        <w:t>（4）</w:t>
      </w:r>
    </w:p>
    <w:p>
      <w:pPr>
        <w:spacing w:line="360" w:lineRule="auto"/>
        <w:ind w:firstLine="482" w:firstLineChars="200"/>
        <w:rPr>
          <w:rFonts w:hAnsi="Times New Roman" w:eastAsia="宋体"/>
          <w:b/>
          <w:bCs/>
          <w:szCs w:val="24"/>
        </w:rPr>
      </w:pPr>
      <w:r>
        <w:rPr>
          <w:rFonts w:hint="eastAsia" w:hAnsi="Times New Roman" w:eastAsia="宋体"/>
          <w:b/>
          <w:bCs/>
          <w:szCs w:val="24"/>
          <w:lang w:eastAsia="zh-CN"/>
        </w:rPr>
        <w:t>3</w:t>
      </w:r>
      <w:r>
        <w:rPr>
          <w:rFonts w:hint="eastAsia" w:hAnsi="Times New Roman" w:eastAsia="宋体"/>
          <w:b/>
          <w:bCs/>
          <w:szCs w:val="24"/>
        </w:rPr>
        <w:t>、</w:t>
      </w:r>
      <w:r>
        <w:rPr>
          <w:rFonts w:hAnsi="Times New Roman" w:eastAsia="宋体"/>
          <w:b/>
          <w:bCs/>
          <w:szCs w:val="24"/>
        </w:rPr>
        <w:t>生态系统评价方法</w:t>
      </w:r>
    </w:p>
    <w:p>
      <w:pPr>
        <w:spacing w:line="360" w:lineRule="auto"/>
        <w:ind w:firstLine="480" w:firstLineChars="200"/>
        <w:rPr>
          <w:rFonts w:hAnsi="Times New Roman" w:eastAsia="宋体"/>
          <w:szCs w:val="24"/>
        </w:rPr>
      </w:pPr>
      <w:r>
        <w:rPr>
          <w:rFonts w:hAnsi="Times New Roman" w:eastAsia="宋体"/>
          <w:szCs w:val="24"/>
        </w:rPr>
        <w:t>1）植被覆盖度</w:t>
      </w:r>
    </w:p>
    <w:p>
      <w:pPr>
        <w:spacing w:line="360" w:lineRule="auto"/>
        <w:ind w:firstLine="480" w:firstLineChars="200"/>
        <w:rPr>
          <w:rFonts w:hAnsi="Times New Roman" w:eastAsia="宋体"/>
          <w:szCs w:val="24"/>
        </w:rPr>
      </w:pPr>
      <w:r>
        <w:rPr>
          <w:rFonts w:hAnsi="Times New Roman" w:eastAsia="宋体"/>
          <w:szCs w:val="24"/>
        </w:rPr>
        <w:t>植被覆盖度可用于定量分析评价范围内的植被现状。基于遥感估算植被覆盖度可根据区域特点和数据基础采用不同的方法，如植被指数法、回归模型、机器学习法等。</w:t>
      </w:r>
    </w:p>
    <w:p>
      <w:pPr>
        <w:spacing w:line="360" w:lineRule="auto"/>
        <w:ind w:firstLine="480" w:firstLineChars="200"/>
        <w:rPr>
          <w:rFonts w:hAnsi="Times New Roman" w:eastAsia="宋体"/>
          <w:szCs w:val="24"/>
        </w:rPr>
      </w:pPr>
      <w:r>
        <w:rPr>
          <w:rFonts w:hAnsi="Times New Roman" w:eastAsia="宋体"/>
          <w:szCs w:val="24"/>
        </w:rPr>
        <w:t>植被指数法主要是通过对各像元中植被类型及分布特征的分析，建立植被指数与植被覆盖度的转换关系。采用归一化植被指数（NDVI）估算植被覆盖度的方法如下：</w:t>
      </w:r>
    </w:p>
    <w:p>
      <w:pPr>
        <w:spacing w:line="360" w:lineRule="auto"/>
        <w:ind w:firstLine="480" w:firstLineChars="200"/>
        <w:jc w:val="center"/>
        <w:rPr>
          <w:rFonts w:hAnsi="Times New Roman" w:eastAsia="宋体"/>
          <w:szCs w:val="24"/>
        </w:rPr>
      </w:pPr>
      <w:r>
        <w:rPr>
          <w:rFonts w:hAnsi="Times New Roman" w:eastAsia="宋体"/>
          <w:szCs w:val="24"/>
        </w:rPr>
        <w:t>FVC = (NDVI-NDVIs)/(NDVIv-NDVIs) （C.5）</w:t>
      </w:r>
    </w:p>
    <w:p>
      <w:pPr>
        <w:spacing w:line="360" w:lineRule="auto"/>
        <w:ind w:firstLine="480" w:firstLineChars="200"/>
        <w:rPr>
          <w:rFonts w:hAnsi="Times New Roman" w:eastAsia="宋体"/>
          <w:szCs w:val="24"/>
        </w:rPr>
      </w:pPr>
      <w:r>
        <w:rPr>
          <w:rFonts w:hAnsi="Times New Roman" w:eastAsia="宋体"/>
          <w:szCs w:val="24"/>
        </w:rPr>
        <w:t>式中：FVC——所计算像元的植被覆盖度；</w:t>
      </w:r>
    </w:p>
    <w:p>
      <w:pPr>
        <w:spacing w:line="360" w:lineRule="auto"/>
        <w:ind w:firstLine="1200" w:firstLineChars="500"/>
        <w:rPr>
          <w:rFonts w:hAnsi="Times New Roman" w:eastAsia="宋体"/>
          <w:szCs w:val="24"/>
        </w:rPr>
      </w:pPr>
      <w:r>
        <w:rPr>
          <w:rFonts w:hAnsi="Times New Roman" w:eastAsia="宋体"/>
          <w:szCs w:val="24"/>
        </w:rPr>
        <w:t>NDVI——所计算像元的 NDVI 值；</w:t>
      </w:r>
    </w:p>
    <w:p>
      <w:pPr>
        <w:spacing w:line="360" w:lineRule="auto"/>
        <w:ind w:firstLine="1200" w:firstLineChars="500"/>
        <w:rPr>
          <w:rFonts w:hAnsi="Times New Roman" w:eastAsia="宋体"/>
          <w:szCs w:val="24"/>
        </w:rPr>
      </w:pPr>
      <w:r>
        <w:rPr>
          <w:rFonts w:hAnsi="Times New Roman" w:eastAsia="宋体"/>
          <w:szCs w:val="24"/>
        </w:rPr>
        <w:t>NDVIv——纯植物像元的 NDVI 值；</w:t>
      </w:r>
    </w:p>
    <w:p>
      <w:pPr>
        <w:spacing w:line="360" w:lineRule="auto"/>
        <w:ind w:firstLine="1200" w:firstLineChars="500"/>
        <w:rPr>
          <w:rFonts w:hAnsi="Times New Roman" w:eastAsia="宋体"/>
          <w:szCs w:val="24"/>
        </w:rPr>
      </w:pPr>
      <w:r>
        <w:rPr>
          <w:rFonts w:hAnsi="Times New Roman" w:eastAsia="宋体"/>
          <w:szCs w:val="24"/>
        </w:rPr>
        <w:t>NDVIs——完全无植被覆盖像元的 NDVI 值。</w:t>
      </w:r>
    </w:p>
    <w:p>
      <w:pPr>
        <w:spacing w:line="360" w:lineRule="auto"/>
        <w:ind w:firstLine="480" w:firstLineChars="200"/>
        <w:rPr>
          <w:rFonts w:hAnsi="Times New Roman" w:eastAsia="宋体"/>
          <w:szCs w:val="24"/>
        </w:rPr>
      </w:pPr>
      <w:r>
        <w:rPr>
          <w:rFonts w:hAnsi="Times New Roman" w:eastAsia="宋体"/>
          <w:szCs w:val="24"/>
        </w:rPr>
        <w:t>2）评价区生态系统的生物量及生产力</w:t>
      </w:r>
    </w:p>
    <w:p>
      <w:pPr>
        <w:spacing w:line="360" w:lineRule="auto"/>
        <w:ind w:firstLine="480" w:firstLineChars="200"/>
        <w:rPr>
          <w:rFonts w:hAnsi="Times New Roman" w:eastAsia="宋体"/>
          <w:szCs w:val="24"/>
        </w:rPr>
      </w:pPr>
      <w:r>
        <w:rPr>
          <w:rFonts w:hAnsi="Times New Roman" w:eastAsia="宋体"/>
          <w:szCs w:val="24"/>
        </w:rPr>
        <w:t>区域生态系统生产力的评价指标主要是其植被生产力。植被生产力指各类土地上的植被生长量，单位用“吨/年（t/a）”表示。而各植被生产量等于各植被类型的面积乘以其单位面积的年生产量，即净生产力，后者通常用“t（干重）/a.hm</w:t>
      </w:r>
      <w:r>
        <w:rPr>
          <w:rFonts w:hAnsi="Times New Roman" w:eastAsia="宋体"/>
          <w:szCs w:val="24"/>
          <w:vertAlign w:val="superscript"/>
        </w:rPr>
        <w:t>2</w:t>
      </w:r>
      <w:r>
        <w:rPr>
          <w:rFonts w:hAnsi="Times New Roman" w:eastAsia="宋体"/>
          <w:szCs w:val="24"/>
        </w:rPr>
        <w:t>”表示。参照目前惯用的Whittaker和Likens（1975）对全球各地带主要植被类型生产量的计算方法，计算拟建项目评价区内各植被类型（生态系统）生产量。</w:t>
      </w:r>
    </w:p>
    <w:p>
      <w:pPr>
        <w:spacing w:line="360" w:lineRule="auto"/>
        <w:ind w:firstLine="480" w:firstLineChars="200"/>
        <w:rPr>
          <w:rFonts w:hAnsi="Times New Roman" w:eastAsia="宋体"/>
          <w:szCs w:val="24"/>
        </w:rPr>
      </w:pPr>
      <w:r>
        <w:rPr>
          <w:rFonts w:hint="eastAsia" w:ascii="宋体" w:hAnsi="宋体" w:eastAsia="宋体" w:cs="宋体"/>
          <w:szCs w:val="24"/>
        </w:rPr>
        <w:t>①</w:t>
      </w:r>
      <w:r>
        <w:rPr>
          <w:rFonts w:hAnsi="Times New Roman" w:eastAsia="宋体"/>
          <w:szCs w:val="24"/>
        </w:rPr>
        <w:t>评价区生态系统的生物量</w:t>
      </w:r>
    </w:p>
    <w:p>
      <w:pPr>
        <w:spacing w:line="360" w:lineRule="auto"/>
        <w:ind w:firstLine="480" w:firstLineChars="200"/>
        <w:rPr>
          <w:rFonts w:hAnsi="Times New Roman" w:eastAsia="宋体"/>
          <w:szCs w:val="24"/>
        </w:rPr>
      </w:pPr>
      <w:r>
        <w:rPr>
          <w:rFonts w:hAnsi="Times New Roman" w:eastAsia="宋体"/>
          <w:szCs w:val="24"/>
        </w:rPr>
        <w:t>根据评价区内各种植被类型（生态系统）的面积，计算得到评价区生态系统的生物量及其总和。</w:t>
      </w:r>
    </w:p>
    <w:p>
      <w:pPr>
        <w:spacing w:line="360" w:lineRule="auto"/>
        <w:ind w:firstLine="480" w:firstLineChars="200"/>
        <w:rPr>
          <w:rFonts w:hAnsi="Times New Roman" w:eastAsia="宋体"/>
          <w:szCs w:val="24"/>
        </w:rPr>
      </w:pPr>
      <w:r>
        <w:rPr>
          <w:rFonts w:hint="eastAsia" w:ascii="宋体" w:hAnsi="宋体" w:eastAsia="宋体" w:cs="宋体"/>
          <w:szCs w:val="24"/>
        </w:rPr>
        <w:t>②</w:t>
      </w:r>
      <w:r>
        <w:rPr>
          <w:rFonts w:hAnsi="Times New Roman" w:eastAsia="宋体"/>
          <w:szCs w:val="24"/>
        </w:rPr>
        <w:t>评价区自然体系生产力现状及分析</w:t>
      </w:r>
    </w:p>
    <w:p>
      <w:pPr>
        <w:spacing w:line="360" w:lineRule="auto"/>
        <w:ind w:firstLine="480" w:firstLineChars="200"/>
        <w:rPr>
          <w:rFonts w:hAnsi="Times New Roman" w:eastAsia="宋体"/>
          <w:szCs w:val="24"/>
        </w:rPr>
      </w:pPr>
      <w:r>
        <w:rPr>
          <w:rFonts w:hAnsi="Times New Roman" w:eastAsia="宋体"/>
          <w:szCs w:val="24"/>
        </w:rPr>
        <w:t>根据评价区内各种植被类型（生态系统）的面积，以及各植被类型（生态系统）的净生产力</w:t>
      </w:r>
      <w:r>
        <w:rPr>
          <w:rFonts w:hint="eastAsia" w:hAnsi="Times New Roman" w:eastAsia="宋体"/>
          <w:szCs w:val="24"/>
          <w:lang w:eastAsia="zh-CN"/>
        </w:rPr>
        <w:t>（</w:t>
      </w:r>
      <w:r>
        <w:rPr>
          <w:rFonts w:hAnsi="Times New Roman" w:eastAsia="宋体"/>
          <w:szCs w:val="24"/>
        </w:rPr>
        <w:t>t/a.hm</w:t>
      </w:r>
      <w:r>
        <w:rPr>
          <w:rFonts w:hAnsi="Times New Roman" w:eastAsia="宋体"/>
          <w:szCs w:val="24"/>
          <w:vertAlign w:val="superscript"/>
        </w:rPr>
        <w:t>2</w:t>
      </w:r>
      <w:r>
        <w:rPr>
          <w:rFonts w:hAnsi="Times New Roman" w:eastAsia="宋体"/>
          <w:szCs w:val="24"/>
        </w:rPr>
        <w:t>)</w:t>
      </w:r>
      <w:r>
        <w:rPr>
          <w:rFonts w:hint="eastAsia" w:hAnsi="Times New Roman" w:eastAsia="宋体"/>
          <w:szCs w:val="24"/>
          <w:lang w:eastAsia="zh-CN"/>
        </w:rPr>
        <w:t>）</w:t>
      </w:r>
      <w:r>
        <w:rPr>
          <w:rFonts w:hAnsi="Times New Roman" w:eastAsia="宋体"/>
          <w:szCs w:val="24"/>
        </w:rPr>
        <w:t>，（Whittaker，Likens，1975），计算得到评价区生态系统的年生产力及其总和。</w:t>
      </w:r>
    </w:p>
    <w:p>
      <w:pPr>
        <w:spacing w:line="360" w:lineRule="auto"/>
        <w:ind w:firstLine="482" w:firstLineChars="200"/>
        <w:rPr>
          <w:rFonts w:hAnsi="Times New Roman" w:eastAsia="宋体"/>
          <w:b/>
          <w:bCs/>
          <w:szCs w:val="24"/>
        </w:rPr>
      </w:pPr>
      <w:r>
        <w:rPr>
          <w:rFonts w:hint="eastAsia" w:hAnsi="Times New Roman" w:eastAsia="宋体"/>
          <w:b/>
          <w:bCs/>
          <w:szCs w:val="24"/>
          <w:lang w:eastAsia="zh-CN"/>
        </w:rPr>
        <w:t>4</w:t>
      </w:r>
      <w:r>
        <w:rPr>
          <w:rFonts w:hint="eastAsia" w:hAnsi="Times New Roman" w:eastAsia="宋体"/>
          <w:b/>
          <w:bCs/>
          <w:szCs w:val="24"/>
        </w:rPr>
        <w:t>、</w:t>
      </w:r>
      <w:r>
        <w:rPr>
          <w:rFonts w:hAnsi="Times New Roman" w:eastAsia="宋体"/>
          <w:b/>
          <w:bCs/>
          <w:szCs w:val="24"/>
        </w:rPr>
        <w:t>图件编制方法</w:t>
      </w:r>
    </w:p>
    <w:p>
      <w:pPr>
        <w:spacing w:line="360" w:lineRule="auto"/>
        <w:ind w:firstLine="480" w:firstLineChars="200"/>
        <w:rPr>
          <w:rFonts w:hAnsi="Times New Roman" w:eastAsia="宋体"/>
          <w:szCs w:val="24"/>
        </w:rPr>
      </w:pPr>
      <w:r>
        <w:rPr>
          <w:rFonts w:hAnsi="Times New Roman" w:eastAsia="宋体"/>
          <w:szCs w:val="24"/>
        </w:rPr>
        <w:t>在充分搜集和利用现有研究成果、资料的基础上，利用遥感（RS）、全球定位系统（GPS）、地理信息系统（GIS）等技术手段进行数据采集；根据遥感解译结果，结合地形图进行现场调查、勘探与定位实测；并对资料、信息和数据进行汇总、整理、分析，并完成生态制图。</w:t>
      </w:r>
    </w:p>
    <w:p>
      <w:pPr>
        <w:pStyle w:val="6"/>
        <w:rPr>
          <w:lang w:eastAsia="zh-CN"/>
        </w:rPr>
      </w:pPr>
      <w:bookmarkStart w:id="178" w:name="_Toc167095177"/>
      <w:bookmarkStart w:id="179" w:name="_Toc163812554"/>
      <w:r>
        <w:rPr>
          <w:lang w:eastAsia="zh-CN"/>
        </w:rPr>
        <w:t>4.2.</w:t>
      </w:r>
      <w:r>
        <w:rPr>
          <w:rFonts w:hint="eastAsia"/>
          <w:lang w:eastAsia="zh-CN"/>
        </w:rPr>
        <w:t>3</w:t>
      </w:r>
      <w:r>
        <w:rPr>
          <w:lang w:eastAsia="zh-CN"/>
        </w:rPr>
        <w:t xml:space="preserve"> 陆生植物资源现状调查</w:t>
      </w:r>
      <w:bookmarkEnd w:id="178"/>
      <w:bookmarkEnd w:id="179"/>
    </w:p>
    <w:p>
      <w:pPr>
        <w:spacing w:line="360" w:lineRule="auto"/>
        <w:rPr>
          <w:rFonts w:hAnsi="Times New Roman" w:eastAsia="宋体"/>
          <w:b/>
          <w:bCs/>
          <w:lang w:eastAsia="zh-CN"/>
        </w:rPr>
      </w:pPr>
      <w:r>
        <w:rPr>
          <w:rFonts w:hAnsi="Times New Roman" w:eastAsia="宋体"/>
          <w:b/>
          <w:bCs/>
          <w:lang w:eastAsia="zh-CN"/>
        </w:rPr>
        <w:t>4.2.</w:t>
      </w:r>
      <w:r>
        <w:rPr>
          <w:rFonts w:hint="eastAsia" w:hAnsi="Times New Roman" w:eastAsia="宋体"/>
          <w:b/>
          <w:bCs/>
          <w:lang w:eastAsia="zh-CN"/>
        </w:rPr>
        <w:t>3</w:t>
      </w:r>
      <w:r>
        <w:rPr>
          <w:rFonts w:hAnsi="Times New Roman" w:eastAsia="宋体"/>
          <w:b/>
          <w:bCs/>
          <w:lang w:eastAsia="zh-CN"/>
        </w:rPr>
        <w:t xml:space="preserve">.1 </w:t>
      </w:r>
      <w:r>
        <w:rPr>
          <w:rFonts w:hint="eastAsia" w:hAnsi="Times New Roman" w:eastAsia="宋体"/>
          <w:b/>
          <w:bCs/>
          <w:lang w:eastAsia="zh-CN"/>
        </w:rPr>
        <w:t>样方设置</w:t>
      </w:r>
    </w:p>
    <w:p>
      <w:pPr>
        <w:spacing w:line="360" w:lineRule="auto"/>
        <w:ind w:firstLine="480" w:firstLineChars="200"/>
        <w:rPr>
          <w:rFonts w:hAnsi="Times New Roman" w:eastAsia="宋体"/>
          <w:szCs w:val="24"/>
        </w:rPr>
      </w:pPr>
      <w:r>
        <w:rPr>
          <w:rFonts w:hAnsi="Times New Roman" w:eastAsia="宋体"/>
          <w:szCs w:val="24"/>
        </w:rPr>
        <w:t>（1）样方设置及合理性分析</w:t>
      </w:r>
    </w:p>
    <w:p>
      <w:pPr>
        <w:spacing w:line="360" w:lineRule="auto"/>
        <w:ind w:firstLine="480" w:firstLineChars="200"/>
        <w:rPr>
          <w:rFonts w:hAnsi="Times New Roman" w:eastAsia="宋体"/>
          <w:szCs w:val="24"/>
        </w:rPr>
      </w:pPr>
      <w:r>
        <w:rPr>
          <w:rFonts w:hAnsi="Times New Roman" w:eastAsia="宋体"/>
          <w:szCs w:val="24"/>
        </w:rPr>
        <w:t>植被调查取样的目的是通过样地的研究准确地推测评价区植被的总体，所选取的样地具有代表性，能通过尽可能少的抽样获得较为准确的有关总体的特征。根据样方设置原则及评价范围土地利用现状图，以及现场调查情况，本次在评价区域共设置</w:t>
      </w:r>
      <w:r>
        <w:rPr>
          <w:rFonts w:hint="eastAsia" w:hAnsi="Times New Roman" w:eastAsia="宋体"/>
          <w:szCs w:val="24"/>
        </w:rPr>
        <w:t>18</w:t>
      </w:r>
      <w:r>
        <w:rPr>
          <w:rFonts w:hAnsi="Times New Roman" w:eastAsia="宋体"/>
          <w:szCs w:val="24"/>
        </w:rPr>
        <w:t>个样方。根据植被类型图及样方调查表，调查点位植被类型包括针叶林、阔叶林、灌草丛、栽培植被等。样方</w:t>
      </w:r>
      <w:r>
        <w:rPr>
          <w:rFonts w:hint="eastAsia" w:hAnsi="Times New Roman" w:eastAsia="宋体"/>
          <w:szCs w:val="24"/>
          <w:lang w:eastAsia="zh-CN"/>
        </w:rPr>
        <w:t>海拔</w:t>
      </w:r>
      <w:r>
        <w:rPr>
          <w:rFonts w:hAnsi="Times New Roman" w:eastAsia="宋体"/>
          <w:szCs w:val="24"/>
        </w:rPr>
        <w:t>范围为450m-1050m，样方设置选取评价区内具有代表性植被群落，同时还考虑了评价区不同地形和坡向等。因此，本次样方调查点设置兼具有代表性和重要性的原则，样方设置基本合理。</w:t>
      </w:r>
    </w:p>
    <w:p>
      <w:pPr>
        <w:jc w:val="center"/>
        <w:rPr>
          <w:rFonts w:hAnsi="Times New Roman" w:eastAsia="宋体"/>
          <w:b/>
          <w:sz w:val="21"/>
          <w:szCs w:val="21"/>
        </w:rPr>
      </w:pPr>
      <w:r>
        <w:rPr>
          <w:rFonts w:hAnsi="Times New Roman" w:eastAsia="宋体"/>
          <w:b/>
          <w:sz w:val="21"/>
          <w:szCs w:val="21"/>
        </w:rPr>
        <w:t>表</w:t>
      </w:r>
      <w:r>
        <w:rPr>
          <w:rFonts w:hint="eastAsia" w:hAnsi="Times New Roman" w:eastAsia="宋体"/>
          <w:b/>
          <w:sz w:val="21"/>
          <w:szCs w:val="21"/>
          <w:lang w:eastAsia="zh-CN"/>
        </w:rPr>
        <w:t>4.2-2</w:t>
      </w:r>
      <w:r>
        <w:rPr>
          <w:rFonts w:hAnsi="Times New Roman" w:eastAsia="宋体"/>
          <w:b/>
          <w:sz w:val="21"/>
          <w:szCs w:val="21"/>
        </w:rPr>
        <w:t xml:space="preserve"> 植物群落样方调查</w:t>
      </w:r>
      <w:r>
        <w:rPr>
          <w:rFonts w:hAnsi="Times New Roman" w:eastAsia="宋体"/>
          <w:b/>
          <w:sz w:val="21"/>
          <w:szCs w:val="21"/>
          <w:lang w:eastAsia="zh-CN"/>
        </w:rPr>
        <w:t>点</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13"/>
        <w:gridCol w:w="1956"/>
        <w:gridCol w:w="1202"/>
        <w:gridCol w:w="585"/>
        <w:gridCol w:w="1450"/>
        <w:gridCol w:w="26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0" w:type="pct"/>
            <w:vAlign w:val="center"/>
          </w:tcPr>
          <w:p>
            <w:pPr>
              <w:keepNext w:val="0"/>
              <w:keepLines w:val="0"/>
              <w:suppressLineNumbers w:val="0"/>
              <w:spacing w:before="0" w:beforeAutospacing="0" w:after="0" w:afterAutospacing="0"/>
              <w:ind w:left="0" w:right="0"/>
              <w:jc w:val="center"/>
              <w:rPr>
                <w:rFonts w:hint="eastAsia" w:hAnsi="Times New Roman" w:eastAsia="宋体"/>
                <w:b/>
                <w:kern w:val="2"/>
                <w:sz w:val="21"/>
                <w:szCs w:val="21"/>
              </w:rPr>
            </w:pPr>
            <w:r>
              <w:rPr>
                <w:rFonts w:hint="eastAsia" w:hAnsi="Times New Roman" w:eastAsia="宋体"/>
                <w:b/>
                <w:kern w:val="2"/>
                <w:sz w:val="21"/>
                <w:szCs w:val="21"/>
              </w:rPr>
              <w:t>样方号</w:t>
            </w:r>
          </w:p>
        </w:tc>
        <w:tc>
          <w:tcPr>
            <w:tcW w:w="1047" w:type="pct"/>
            <w:vAlign w:val="center"/>
          </w:tcPr>
          <w:p>
            <w:pPr>
              <w:keepNext w:val="0"/>
              <w:keepLines w:val="0"/>
              <w:suppressLineNumbers w:val="0"/>
              <w:spacing w:before="0" w:beforeAutospacing="0" w:after="0" w:afterAutospacing="0"/>
              <w:ind w:left="0" w:right="0"/>
              <w:jc w:val="center"/>
              <w:rPr>
                <w:rFonts w:hint="eastAsia" w:hAnsi="Times New Roman" w:eastAsia="宋体"/>
                <w:b/>
                <w:kern w:val="2"/>
                <w:sz w:val="21"/>
                <w:szCs w:val="21"/>
              </w:rPr>
            </w:pPr>
            <w:r>
              <w:rPr>
                <w:rFonts w:hint="eastAsia" w:hAnsi="Times New Roman" w:eastAsia="宋体"/>
                <w:b/>
                <w:kern w:val="2"/>
                <w:sz w:val="21"/>
                <w:szCs w:val="21"/>
              </w:rPr>
              <w:t>经度</w:t>
            </w:r>
          </w:p>
        </w:tc>
        <w:tc>
          <w:tcPr>
            <w:tcW w:w="956" w:type="pct"/>
            <w:gridSpan w:val="2"/>
            <w:vAlign w:val="center"/>
          </w:tcPr>
          <w:p>
            <w:pPr>
              <w:keepNext w:val="0"/>
              <w:keepLines w:val="0"/>
              <w:suppressLineNumbers w:val="0"/>
              <w:spacing w:before="0" w:beforeAutospacing="0" w:after="0" w:afterAutospacing="0"/>
              <w:ind w:left="0" w:right="0"/>
              <w:jc w:val="center"/>
              <w:rPr>
                <w:rFonts w:hint="eastAsia" w:hAnsi="Times New Roman" w:eastAsia="宋体"/>
                <w:b/>
                <w:kern w:val="2"/>
                <w:sz w:val="21"/>
                <w:szCs w:val="21"/>
              </w:rPr>
            </w:pPr>
            <w:r>
              <w:rPr>
                <w:rFonts w:hint="eastAsia" w:hAnsi="Times New Roman" w:eastAsia="宋体"/>
                <w:b/>
                <w:kern w:val="2"/>
                <w:sz w:val="21"/>
                <w:szCs w:val="21"/>
              </w:rPr>
              <w:t>纬度</w:t>
            </w:r>
          </w:p>
        </w:tc>
        <w:tc>
          <w:tcPr>
            <w:tcW w:w="776" w:type="pct"/>
            <w:vAlign w:val="center"/>
          </w:tcPr>
          <w:p>
            <w:pPr>
              <w:keepNext w:val="0"/>
              <w:keepLines w:val="0"/>
              <w:suppressLineNumbers w:val="0"/>
              <w:spacing w:before="0" w:beforeAutospacing="0" w:after="0" w:afterAutospacing="0"/>
              <w:ind w:left="0" w:right="0"/>
              <w:jc w:val="center"/>
              <w:rPr>
                <w:rFonts w:hint="eastAsia" w:hAnsi="Times New Roman" w:eastAsia="宋体"/>
                <w:b/>
                <w:kern w:val="2"/>
                <w:sz w:val="21"/>
                <w:szCs w:val="21"/>
              </w:rPr>
            </w:pPr>
            <w:r>
              <w:rPr>
                <w:rFonts w:hint="eastAsia" w:hAnsi="Times New Roman" w:eastAsia="宋体"/>
                <w:b/>
                <w:kern w:val="2"/>
                <w:sz w:val="21"/>
                <w:szCs w:val="21"/>
                <w:lang w:eastAsia="zh-CN"/>
              </w:rPr>
              <w:t>海拔</w:t>
            </w:r>
          </w:p>
        </w:tc>
        <w:tc>
          <w:tcPr>
            <w:tcW w:w="1410" w:type="pct"/>
            <w:vAlign w:val="center"/>
          </w:tcPr>
          <w:p>
            <w:pPr>
              <w:keepNext w:val="0"/>
              <w:keepLines w:val="0"/>
              <w:suppressLineNumbers w:val="0"/>
              <w:spacing w:before="0" w:beforeAutospacing="0" w:after="0" w:afterAutospacing="0"/>
              <w:ind w:left="0" w:right="0"/>
              <w:jc w:val="center"/>
              <w:rPr>
                <w:rFonts w:hint="eastAsia" w:hAnsi="Times New Roman" w:eastAsia="宋体"/>
                <w:b/>
                <w:kern w:val="2"/>
                <w:sz w:val="21"/>
                <w:szCs w:val="21"/>
              </w:rPr>
            </w:pPr>
            <w:r>
              <w:rPr>
                <w:rFonts w:hint="eastAsia" w:hAnsi="Times New Roman" w:eastAsia="宋体"/>
                <w:b/>
                <w:kern w:val="2"/>
                <w:sz w:val="21"/>
                <w:szCs w:val="21"/>
              </w:rPr>
              <w:t>植被类型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QLX-</w:t>
            </w:r>
            <w:r>
              <w:rPr>
                <w:rFonts w:hint="eastAsia" w:hAnsi="Times New Roman" w:eastAsia="宋体"/>
                <w:kern w:val="2"/>
                <w:sz w:val="21"/>
                <w:szCs w:val="21"/>
              </w:rPr>
              <w:t>1</w:t>
            </w:r>
          </w:p>
        </w:tc>
        <w:tc>
          <w:tcPr>
            <w:tcW w:w="1047"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107.730289</w:t>
            </w:r>
          </w:p>
        </w:tc>
        <w:tc>
          <w:tcPr>
            <w:tcW w:w="956" w:type="pct"/>
            <w:gridSpan w:val="2"/>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31.194388</w:t>
            </w:r>
          </w:p>
        </w:tc>
        <w:tc>
          <w:tcPr>
            <w:tcW w:w="776"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508</w:t>
            </w:r>
          </w:p>
        </w:tc>
        <w:tc>
          <w:tcPr>
            <w:tcW w:w="1410"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柏木林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QLX-</w:t>
            </w:r>
            <w:r>
              <w:rPr>
                <w:rFonts w:hint="eastAsia" w:hAnsi="Times New Roman" w:eastAsia="宋体"/>
                <w:kern w:val="2"/>
                <w:sz w:val="21"/>
                <w:szCs w:val="21"/>
              </w:rPr>
              <w:t>2</w:t>
            </w:r>
          </w:p>
        </w:tc>
        <w:tc>
          <w:tcPr>
            <w:tcW w:w="1047"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107.774937</w:t>
            </w:r>
          </w:p>
        </w:tc>
        <w:tc>
          <w:tcPr>
            <w:tcW w:w="956" w:type="pct"/>
            <w:gridSpan w:val="2"/>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31.220515</w:t>
            </w:r>
          </w:p>
        </w:tc>
        <w:tc>
          <w:tcPr>
            <w:tcW w:w="776"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850</w:t>
            </w:r>
          </w:p>
        </w:tc>
        <w:tc>
          <w:tcPr>
            <w:tcW w:w="1410"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柏木林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QLX-</w:t>
            </w:r>
            <w:r>
              <w:rPr>
                <w:rFonts w:hint="eastAsia" w:hAnsi="Times New Roman" w:eastAsia="宋体"/>
                <w:kern w:val="2"/>
                <w:sz w:val="21"/>
                <w:szCs w:val="21"/>
              </w:rPr>
              <w:t>3</w:t>
            </w:r>
          </w:p>
        </w:tc>
        <w:tc>
          <w:tcPr>
            <w:tcW w:w="1047"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107.732819</w:t>
            </w:r>
          </w:p>
        </w:tc>
        <w:tc>
          <w:tcPr>
            <w:tcW w:w="956" w:type="pct"/>
            <w:gridSpan w:val="2"/>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31.170892</w:t>
            </w:r>
          </w:p>
        </w:tc>
        <w:tc>
          <w:tcPr>
            <w:tcW w:w="776"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817</w:t>
            </w:r>
          </w:p>
        </w:tc>
        <w:tc>
          <w:tcPr>
            <w:tcW w:w="1410"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柏木林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QLX-</w:t>
            </w:r>
            <w:r>
              <w:rPr>
                <w:rFonts w:hint="eastAsia" w:hAnsi="Times New Roman" w:eastAsia="宋体"/>
                <w:kern w:val="2"/>
                <w:sz w:val="21"/>
                <w:szCs w:val="21"/>
              </w:rPr>
              <w:t>4</w:t>
            </w:r>
          </w:p>
        </w:tc>
        <w:tc>
          <w:tcPr>
            <w:tcW w:w="1047"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107.728787</w:t>
            </w:r>
          </w:p>
        </w:tc>
        <w:tc>
          <w:tcPr>
            <w:tcW w:w="956" w:type="pct"/>
            <w:gridSpan w:val="2"/>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31.175725</w:t>
            </w:r>
          </w:p>
        </w:tc>
        <w:tc>
          <w:tcPr>
            <w:tcW w:w="776"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911</w:t>
            </w:r>
          </w:p>
        </w:tc>
        <w:tc>
          <w:tcPr>
            <w:tcW w:w="1410"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马尾松林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QLX-</w:t>
            </w:r>
            <w:r>
              <w:rPr>
                <w:rFonts w:hint="eastAsia" w:hAnsi="Times New Roman" w:eastAsia="宋体"/>
                <w:kern w:val="2"/>
                <w:sz w:val="21"/>
                <w:szCs w:val="21"/>
              </w:rPr>
              <w:t>5</w:t>
            </w:r>
          </w:p>
        </w:tc>
        <w:tc>
          <w:tcPr>
            <w:tcW w:w="1047"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107.727742</w:t>
            </w:r>
          </w:p>
        </w:tc>
        <w:tc>
          <w:tcPr>
            <w:tcW w:w="956" w:type="pct"/>
            <w:gridSpan w:val="2"/>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31.194705</w:t>
            </w:r>
          </w:p>
        </w:tc>
        <w:tc>
          <w:tcPr>
            <w:tcW w:w="776"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498</w:t>
            </w:r>
          </w:p>
        </w:tc>
        <w:tc>
          <w:tcPr>
            <w:tcW w:w="1410"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马尾松林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QLX-</w:t>
            </w:r>
            <w:r>
              <w:rPr>
                <w:rFonts w:hint="eastAsia" w:hAnsi="Times New Roman" w:eastAsia="宋体"/>
                <w:kern w:val="2"/>
                <w:sz w:val="21"/>
                <w:szCs w:val="21"/>
              </w:rPr>
              <w:t>6</w:t>
            </w:r>
          </w:p>
        </w:tc>
        <w:tc>
          <w:tcPr>
            <w:tcW w:w="1047"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107.764789</w:t>
            </w:r>
          </w:p>
        </w:tc>
        <w:tc>
          <w:tcPr>
            <w:tcW w:w="956" w:type="pct"/>
            <w:gridSpan w:val="2"/>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31.214074</w:t>
            </w:r>
          </w:p>
        </w:tc>
        <w:tc>
          <w:tcPr>
            <w:tcW w:w="776"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1021</w:t>
            </w:r>
          </w:p>
        </w:tc>
        <w:tc>
          <w:tcPr>
            <w:tcW w:w="1410"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马尾松林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QLX-7</w:t>
            </w:r>
          </w:p>
        </w:tc>
        <w:tc>
          <w:tcPr>
            <w:tcW w:w="1047"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107.735486</w:t>
            </w:r>
          </w:p>
        </w:tc>
        <w:tc>
          <w:tcPr>
            <w:tcW w:w="956" w:type="pct"/>
            <w:gridSpan w:val="2"/>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31.177636</w:t>
            </w:r>
          </w:p>
        </w:tc>
        <w:tc>
          <w:tcPr>
            <w:tcW w:w="776"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786</w:t>
            </w:r>
          </w:p>
        </w:tc>
        <w:tc>
          <w:tcPr>
            <w:tcW w:w="1410"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苎麻灌丛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QLX-8</w:t>
            </w:r>
          </w:p>
        </w:tc>
        <w:tc>
          <w:tcPr>
            <w:tcW w:w="1047"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107.781426</w:t>
            </w:r>
          </w:p>
        </w:tc>
        <w:tc>
          <w:tcPr>
            <w:tcW w:w="956" w:type="pct"/>
            <w:gridSpan w:val="2"/>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31.225586</w:t>
            </w:r>
          </w:p>
        </w:tc>
        <w:tc>
          <w:tcPr>
            <w:tcW w:w="776"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751</w:t>
            </w:r>
          </w:p>
        </w:tc>
        <w:tc>
          <w:tcPr>
            <w:tcW w:w="1410"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苎麻灌丛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QLX-9</w:t>
            </w:r>
          </w:p>
        </w:tc>
        <w:tc>
          <w:tcPr>
            <w:tcW w:w="1047"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107.762806</w:t>
            </w:r>
          </w:p>
        </w:tc>
        <w:tc>
          <w:tcPr>
            <w:tcW w:w="956" w:type="pct"/>
            <w:gridSpan w:val="2"/>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31.205278</w:t>
            </w:r>
          </w:p>
        </w:tc>
        <w:tc>
          <w:tcPr>
            <w:tcW w:w="776"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689</w:t>
            </w:r>
          </w:p>
        </w:tc>
        <w:tc>
          <w:tcPr>
            <w:tcW w:w="1410"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苎麻灌丛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QLX-10</w:t>
            </w:r>
          </w:p>
        </w:tc>
        <w:tc>
          <w:tcPr>
            <w:tcW w:w="1047"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107.753448</w:t>
            </w:r>
          </w:p>
        </w:tc>
        <w:tc>
          <w:tcPr>
            <w:tcW w:w="956" w:type="pct"/>
            <w:gridSpan w:val="2"/>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31.205818</w:t>
            </w:r>
          </w:p>
        </w:tc>
        <w:tc>
          <w:tcPr>
            <w:tcW w:w="776"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926</w:t>
            </w:r>
          </w:p>
        </w:tc>
        <w:tc>
          <w:tcPr>
            <w:tcW w:w="1410"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盐肤木灌丛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QLX-11</w:t>
            </w:r>
          </w:p>
        </w:tc>
        <w:tc>
          <w:tcPr>
            <w:tcW w:w="1047"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107.78299</w:t>
            </w:r>
          </w:p>
        </w:tc>
        <w:tc>
          <w:tcPr>
            <w:tcW w:w="956" w:type="pct"/>
            <w:gridSpan w:val="2"/>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31.229128</w:t>
            </w:r>
          </w:p>
        </w:tc>
        <w:tc>
          <w:tcPr>
            <w:tcW w:w="776"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726</w:t>
            </w:r>
          </w:p>
        </w:tc>
        <w:tc>
          <w:tcPr>
            <w:tcW w:w="1410"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盐肤木灌丛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QLX-12</w:t>
            </w:r>
          </w:p>
        </w:tc>
        <w:tc>
          <w:tcPr>
            <w:tcW w:w="1047"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107.746416</w:t>
            </w:r>
          </w:p>
        </w:tc>
        <w:tc>
          <w:tcPr>
            <w:tcW w:w="956" w:type="pct"/>
            <w:gridSpan w:val="2"/>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31.197637</w:t>
            </w:r>
          </w:p>
        </w:tc>
        <w:tc>
          <w:tcPr>
            <w:tcW w:w="776"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505</w:t>
            </w:r>
          </w:p>
        </w:tc>
        <w:tc>
          <w:tcPr>
            <w:tcW w:w="1410"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盐肤木灌丛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QLX-13</w:t>
            </w:r>
          </w:p>
        </w:tc>
        <w:tc>
          <w:tcPr>
            <w:tcW w:w="1047"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107.766482</w:t>
            </w:r>
          </w:p>
        </w:tc>
        <w:tc>
          <w:tcPr>
            <w:tcW w:w="956" w:type="pct"/>
            <w:gridSpan w:val="2"/>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31.21048</w:t>
            </w:r>
          </w:p>
        </w:tc>
        <w:tc>
          <w:tcPr>
            <w:tcW w:w="776"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772</w:t>
            </w:r>
          </w:p>
        </w:tc>
        <w:tc>
          <w:tcPr>
            <w:tcW w:w="1410"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白茅草丛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QLX-14</w:t>
            </w:r>
          </w:p>
        </w:tc>
        <w:tc>
          <w:tcPr>
            <w:tcW w:w="1047"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107.733095</w:t>
            </w:r>
          </w:p>
        </w:tc>
        <w:tc>
          <w:tcPr>
            <w:tcW w:w="956" w:type="pct"/>
            <w:gridSpan w:val="2"/>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31.167417</w:t>
            </w:r>
          </w:p>
        </w:tc>
        <w:tc>
          <w:tcPr>
            <w:tcW w:w="776"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710</w:t>
            </w:r>
          </w:p>
        </w:tc>
        <w:tc>
          <w:tcPr>
            <w:tcW w:w="1410"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白茅草丛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QLX-15</w:t>
            </w:r>
          </w:p>
        </w:tc>
        <w:tc>
          <w:tcPr>
            <w:tcW w:w="1047"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107.748423</w:t>
            </w:r>
          </w:p>
        </w:tc>
        <w:tc>
          <w:tcPr>
            <w:tcW w:w="956" w:type="pct"/>
            <w:gridSpan w:val="2"/>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31.189382</w:t>
            </w:r>
          </w:p>
        </w:tc>
        <w:tc>
          <w:tcPr>
            <w:tcW w:w="776"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457</w:t>
            </w:r>
          </w:p>
        </w:tc>
        <w:tc>
          <w:tcPr>
            <w:tcW w:w="1410"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白茅草丛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QLX-16</w:t>
            </w:r>
          </w:p>
        </w:tc>
        <w:tc>
          <w:tcPr>
            <w:tcW w:w="1047"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107.74851</w:t>
            </w:r>
          </w:p>
        </w:tc>
        <w:tc>
          <w:tcPr>
            <w:tcW w:w="956" w:type="pct"/>
            <w:gridSpan w:val="2"/>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31.19162</w:t>
            </w:r>
          </w:p>
        </w:tc>
        <w:tc>
          <w:tcPr>
            <w:tcW w:w="776"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604</w:t>
            </w:r>
          </w:p>
        </w:tc>
        <w:tc>
          <w:tcPr>
            <w:tcW w:w="1410"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竹叶草草丛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QLX-17</w:t>
            </w:r>
          </w:p>
        </w:tc>
        <w:tc>
          <w:tcPr>
            <w:tcW w:w="1047"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107.766524</w:t>
            </w:r>
          </w:p>
        </w:tc>
        <w:tc>
          <w:tcPr>
            <w:tcW w:w="956" w:type="pct"/>
            <w:gridSpan w:val="2"/>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31.205322</w:t>
            </w:r>
          </w:p>
        </w:tc>
        <w:tc>
          <w:tcPr>
            <w:tcW w:w="776"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684</w:t>
            </w:r>
          </w:p>
        </w:tc>
        <w:tc>
          <w:tcPr>
            <w:tcW w:w="1410"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竹叶草草丛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QLX-18</w:t>
            </w:r>
          </w:p>
        </w:tc>
        <w:tc>
          <w:tcPr>
            <w:tcW w:w="1047"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107.726624</w:t>
            </w:r>
          </w:p>
        </w:tc>
        <w:tc>
          <w:tcPr>
            <w:tcW w:w="956" w:type="pct"/>
            <w:gridSpan w:val="2"/>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31.165179</w:t>
            </w:r>
          </w:p>
        </w:tc>
        <w:tc>
          <w:tcPr>
            <w:tcW w:w="776"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808</w:t>
            </w:r>
          </w:p>
        </w:tc>
        <w:tc>
          <w:tcPr>
            <w:tcW w:w="1410"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竹叶草草丛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0" w:type="pct"/>
            <w:gridSpan w:val="3"/>
          </w:tcPr>
          <w:p>
            <w:pPr>
              <w:pStyle w:val="98"/>
              <w:keepNext w:val="0"/>
              <w:keepLines w:val="0"/>
              <w:suppressLineNumbers w:val="0"/>
              <w:spacing w:before="0" w:beforeAutospacing="0" w:after="0" w:afterAutospacing="0"/>
              <w:ind w:left="0" w:right="0" w:firstLine="0"/>
              <w:jc w:val="center"/>
              <w:rPr>
                <w:rFonts w:hint="eastAsia"/>
                <w:szCs w:val="22"/>
              </w:rPr>
            </w:pPr>
            <w:r>
              <w:rPr>
                <w:rFonts w:hint="eastAsia"/>
                <w:szCs w:val="22"/>
              </w:rPr>
              <w:drawing>
                <wp:inline distT="0" distB="0" distL="114300" distR="114300">
                  <wp:extent cx="2788920" cy="2091055"/>
                  <wp:effectExtent l="0" t="0" r="0" b="4445"/>
                  <wp:docPr id="1865140018" name="图片 1865140018" descr="IMG20231109163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140018" name="图片 1865140018" descr="IMG20231109163643"/>
                          <pic:cNvPicPr>
                            <a:picLocks noChangeAspect="1"/>
                          </pic:cNvPicPr>
                        </pic:nvPicPr>
                        <pic:blipFill>
                          <a:blip r:embed="rId74"/>
                          <a:stretch>
                            <a:fillRect/>
                          </a:stretch>
                        </pic:blipFill>
                        <pic:spPr>
                          <a:xfrm>
                            <a:off x="0" y="0"/>
                            <a:ext cx="2791401" cy="2093024"/>
                          </a:xfrm>
                          <a:prstGeom prst="rect">
                            <a:avLst/>
                          </a:prstGeom>
                        </pic:spPr>
                      </pic:pic>
                    </a:graphicData>
                  </a:graphic>
                </wp:inline>
              </w:drawing>
            </w:r>
          </w:p>
        </w:tc>
        <w:tc>
          <w:tcPr>
            <w:tcW w:w="2500" w:type="pct"/>
            <w:gridSpan w:val="3"/>
          </w:tcPr>
          <w:p>
            <w:pPr>
              <w:pStyle w:val="98"/>
              <w:keepNext w:val="0"/>
              <w:keepLines w:val="0"/>
              <w:suppressLineNumbers w:val="0"/>
              <w:spacing w:before="0" w:beforeAutospacing="0" w:after="0" w:afterAutospacing="0"/>
              <w:ind w:left="0" w:right="0" w:firstLine="0"/>
              <w:rPr>
                <w:rFonts w:hint="eastAsia"/>
                <w:szCs w:val="22"/>
              </w:rPr>
            </w:pPr>
            <w:r>
              <w:rPr>
                <w:rFonts w:hint="eastAsia"/>
                <w:szCs w:val="22"/>
              </w:rPr>
              <w:drawing>
                <wp:inline distT="0" distB="0" distL="114300" distR="114300">
                  <wp:extent cx="2811145" cy="2107565"/>
                  <wp:effectExtent l="0" t="0" r="8255" b="6985"/>
                  <wp:docPr id="1279122789" name="图片 1279122789" descr="IMG20231109163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122789" name="图片 1279122789" descr="IMG20231109163718"/>
                          <pic:cNvPicPr>
                            <a:picLocks noChangeAspect="1"/>
                          </pic:cNvPicPr>
                        </pic:nvPicPr>
                        <pic:blipFill>
                          <a:blip r:embed="rId75"/>
                          <a:stretch>
                            <a:fillRect/>
                          </a:stretch>
                        </pic:blipFill>
                        <pic:spPr>
                          <a:xfrm>
                            <a:off x="0" y="0"/>
                            <a:ext cx="2812503" cy="2108846"/>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0" w:type="pct"/>
            <w:gridSpan w:val="3"/>
          </w:tcPr>
          <w:p>
            <w:pPr>
              <w:pStyle w:val="98"/>
              <w:keepNext w:val="0"/>
              <w:keepLines w:val="0"/>
              <w:suppressLineNumbers w:val="0"/>
              <w:spacing w:before="0" w:beforeAutospacing="0" w:after="0" w:afterAutospacing="0"/>
              <w:ind w:left="0" w:right="0" w:firstLine="0"/>
              <w:rPr>
                <w:rFonts w:hint="eastAsia"/>
                <w:szCs w:val="22"/>
              </w:rPr>
            </w:pPr>
            <w:r>
              <w:rPr>
                <w:rFonts w:hint="eastAsia"/>
                <w:szCs w:val="22"/>
              </w:rPr>
              <w:drawing>
                <wp:inline distT="0" distB="0" distL="114300" distR="114300">
                  <wp:extent cx="2776855" cy="2082165"/>
                  <wp:effectExtent l="0" t="0" r="4445" b="0"/>
                  <wp:docPr id="1846961265" name="图片 1846961265" descr="IMG20231109165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961265" name="图片 1846961265" descr="IMG20231109165716"/>
                          <pic:cNvPicPr>
                            <a:picLocks noChangeAspect="1"/>
                          </pic:cNvPicPr>
                        </pic:nvPicPr>
                        <pic:blipFill>
                          <a:blip r:embed="rId76"/>
                          <a:stretch>
                            <a:fillRect/>
                          </a:stretch>
                        </pic:blipFill>
                        <pic:spPr>
                          <a:xfrm>
                            <a:off x="0" y="0"/>
                            <a:ext cx="2780413" cy="2084786"/>
                          </a:xfrm>
                          <a:prstGeom prst="rect">
                            <a:avLst/>
                          </a:prstGeom>
                        </pic:spPr>
                      </pic:pic>
                    </a:graphicData>
                  </a:graphic>
                </wp:inline>
              </w:drawing>
            </w:r>
          </w:p>
        </w:tc>
        <w:tc>
          <w:tcPr>
            <w:tcW w:w="2500" w:type="pct"/>
            <w:gridSpan w:val="3"/>
          </w:tcPr>
          <w:p>
            <w:pPr>
              <w:pStyle w:val="98"/>
              <w:keepNext w:val="0"/>
              <w:keepLines w:val="0"/>
              <w:suppressLineNumbers w:val="0"/>
              <w:spacing w:before="0" w:beforeAutospacing="0" w:after="0" w:afterAutospacing="0"/>
              <w:ind w:left="0" w:right="0" w:firstLine="0"/>
              <w:rPr>
                <w:rFonts w:hint="eastAsia"/>
                <w:szCs w:val="22"/>
              </w:rPr>
            </w:pPr>
            <w:r>
              <w:rPr>
                <w:rFonts w:hint="eastAsia"/>
                <w:szCs w:val="22"/>
              </w:rPr>
              <w:drawing>
                <wp:inline distT="0" distB="0" distL="114300" distR="114300">
                  <wp:extent cx="2821940" cy="2115820"/>
                  <wp:effectExtent l="0" t="0" r="0" b="0"/>
                  <wp:docPr id="11157724" name="图片 11157724" descr="IMG2023110915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7724" name="图片 11157724" descr="IMG20231109151837"/>
                          <pic:cNvPicPr>
                            <a:picLocks noChangeAspect="1"/>
                          </pic:cNvPicPr>
                        </pic:nvPicPr>
                        <pic:blipFill>
                          <a:blip r:embed="rId77"/>
                          <a:stretch>
                            <a:fillRect/>
                          </a:stretch>
                        </pic:blipFill>
                        <pic:spPr>
                          <a:xfrm>
                            <a:off x="0" y="0"/>
                            <a:ext cx="2823096" cy="2116622"/>
                          </a:xfrm>
                          <a:prstGeom prst="rect">
                            <a:avLst/>
                          </a:prstGeom>
                        </pic:spPr>
                      </pic:pic>
                    </a:graphicData>
                  </a:graphic>
                </wp:inline>
              </w:drawing>
            </w:r>
          </w:p>
        </w:tc>
      </w:tr>
    </w:tbl>
    <w:p>
      <w:pPr>
        <w:spacing w:line="360" w:lineRule="auto"/>
        <w:ind w:firstLine="422" w:firstLineChars="200"/>
        <w:jc w:val="center"/>
        <w:rPr>
          <w:rFonts w:hAnsi="Times New Roman" w:eastAsia="宋体"/>
          <w:b/>
          <w:bCs/>
          <w:sz w:val="21"/>
          <w:szCs w:val="21"/>
          <w:lang w:eastAsia="zh-CN"/>
        </w:rPr>
      </w:pPr>
      <w:r>
        <w:rPr>
          <w:rFonts w:hint="eastAsia" w:hAnsi="Times New Roman" w:eastAsia="宋体"/>
          <w:b/>
          <w:bCs/>
          <w:sz w:val="21"/>
          <w:szCs w:val="21"/>
        </w:rPr>
        <w:t>图</w:t>
      </w:r>
      <w:r>
        <w:rPr>
          <w:rFonts w:hint="eastAsia" w:hAnsi="Times New Roman" w:eastAsia="宋体"/>
          <w:b/>
          <w:bCs/>
          <w:sz w:val="21"/>
          <w:szCs w:val="21"/>
          <w:lang w:eastAsia="zh-CN"/>
        </w:rPr>
        <w:t>4.2-1 现场调查</w:t>
      </w:r>
    </w:p>
    <w:p>
      <w:pPr>
        <w:spacing w:line="360" w:lineRule="auto"/>
        <w:rPr>
          <w:rFonts w:hAnsi="Times New Roman" w:eastAsia="宋体"/>
          <w:b/>
          <w:bCs/>
          <w:lang w:eastAsia="zh-CN"/>
        </w:rPr>
      </w:pPr>
      <w:bookmarkStart w:id="180" w:name="_Toc10738153"/>
      <w:bookmarkStart w:id="181" w:name="_Toc30461"/>
      <w:r>
        <w:rPr>
          <w:rFonts w:hint="eastAsia" w:hAnsi="Times New Roman" w:eastAsia="宋体"/>
          <w:b/>
          <w:bCs/>
          <w:lang w:eastAsia="zh-CN"/>
        </w:rPr>
        <w:t>4.2.3.2</w:t>
      </w:r>
      <w:r>
        <w:rPr>
          <w:rFonts w:hAnsi="Times New Roman" w:eastAsia="宋体"/>
          <w:b/>
          <w:bCs/>
          <w:lang w:eastAsia="zh-CN"/>
        </w:rPr>
        <w:t>植物多样性与区系</w:t>
      </w:r>
      <w:bookmarkEnd w:id="180"/>
      <w:bookmarkEnd w:id="181"/>
    </w:p>
    <w:p>
      <w:pPr>
        <w:spacing w:line="360" w:lineRule="auto"/>
        <w:ind w:firstLine="482" w:firstLineChars="200"/>
        <w:rPr>
          <w:rFonts w:hAnsi="Times New Roman" w:eastAsia="宋体"/>
          <w:b/>
          <w:bCs/>
          <w:szCs w:val="24"/>
        </w:rPr>
      </w:pPr>
      <w:r>
        <w:rPr>
          <w:rFonts w:hint="eastAsia" w:hAnsi="Times New Roman" w:eastAsia="宋体"/>
          <w:b/>
          <w:bCs/>
          <w:szCs w:val="24"/>
        </w:rPr>
        <w:t>1、</w:t>
      </w:r>
      <w:r>
        <w:rPr>
          <w:rFonts w:hAnsi="Times New Roman" w:eastAsia="宋体"/>
          <w:b/>
          <w:bCs/>
          <w:szCs w:val="24"/>
        </w:rPr>
        <w:t>维管束植物组成</w:t>
      </w:r>
    </w:p>
    <w:p>
      <w:pPr>
        <w:spacing w:line="360" w:lineRule="auto"/>
        <w:ind w:firstLine="480" w:firstLineChars="200"/>
        <w:rPr>
          <w:rFonts w:hAnsi="Times New Roman" w:eastAsia="宋体"/>
          <w:b/>
          <w:szCs w:val="24"/>
        </w:rPr>
      </w:pPr>
      <w:r>
        <w:rPr>
          <w:rFonts w:hAnsi="Times New Roman" w:eastAsia="宋体"/>
          <w:szCs w:val="24"/>
        </w:rPr>
        <w:t>根据调查与资料分析，评价区域共有维管束植物</w:t>
      </w:r>
      <w:r>
        <w:rPr>
          <w:rFonts w:hAnsi="Times New Roman" w:eastAsia="宋体"/>
          <w:szCs w:val="24"/>
          <w:lang w:eastAsia="zh-CN"/>
        </w:rPr>
        <w:t>81</w:t>
      </w:r>
      <w:r>
        <w:rPr>
          <w:rFonts w:hAnsi="Times New Roman" w:eastAsia="宋体"/>
          <w:szCs w:val="24"/>
        </w:rPr>
        <w:t>科</w:t>
      </w:r>
      <w:r>
        <w:rPr>
          <w:rFonts w:hAnsi="Times New Roman" w:eastAsia="宋体"/>
          <w:szCs w:val="24"/>
          <w:lang w:eastAsia="zh-CN"/>
        </w:rPr>
        <w:t>192</w:t>
      </w:r>
      <w:r>
        <w:rPr>
          <w:rFonts w:hAnsi="Times New Roman" w:eastAsia="宋体"/>
          <w:szCs w:val="24"/>
        </w:rPr>
        <w:t>属</w:t>
      </w:r>
      <w:r>
        <w:rPr>
          <w:rFonts w:hAnsi="Times New Roman" w:eastAsia="宋体"/>
          <w:szCs w:val="24"/>
          <w:lang w:eastAsia="zh-CN"/>
        </w:rPr>
        <w:t>254</w:t>
      </w:r>
      <w:r>
        <w:rPr>
          <w:rFonts w:hAnsi="Times New Roman" w:eastAsia="宋体"/>
          <w:szCs w:val="24"/>
        </w:rPr>
        <w:t>种：其中蕨类植物共有</w:t>
      </w:r>
      <w:r>
        <w:rPr>
          <w:rFonts w:hAnsi="Times New Roman" w:eastAsia="宋体"/>
          <w:szCs w:val="24"/>
          <w:lang w:eastAsia="zh-CN"/>
        </w:rPr>
        <w:t>10</w:t>
      </w:r>
      <w:r>
        <w:rPr>
          <w:rFonts w:hAnsi="Times New Roman" w:eastAsia="宋体"/>
          <w:szCs w:val="24"/>
        </w:rPr>
        <w:t>科</w:t>
      </w:r>
      <w:r>
        <w:rPr>
          <w:rFonts w:hAnsi="Times New Roman" w:eastAsia="宋体"/>
          <w:szCs w:val="24"/>
          <w:lang w:eastAsia="zh-CN"/>
        </w:rPr>
        <w:t>12</w:t>
      </w:r>
      <w:r>
        <w:rPr>
          <w:rFonts w:hAnsi="Times New Roman" w:eastAsia="宋体"/>
          <w:szCs w:val="24"/>
        </w:rPr>
        <w:t>属</w:t>
      </w:r>
      <w:r>
        <w:rPr>
          <w:rFonts w:hAnsi="Times New Roman" w:eastAsia="宋体"/>
          <w:szCs w:val="24"/>
          <w:lang w:eastAsia="zh-CN"/>
        </w:rPr>
        <w:t>19</w:t>
      </w:r>
      <w:r>
        <w:rPr>
          <w:rFonts w:hAnsi="Times New Roman" w:eastAsia="宋体"/>
          <w:szCs w:val="24"/>
        </w:rPr>
        <w:t>种，占总科数的</w:t>
      </w:r>
      <w:r>
        <w:rPr>
          <w:rFonts w:hAnsi="Times New Roman" w:eastAsia="宋体"/>
          <w:szCs w:val="24"/>
          <w:lang w:eastAsia="zh-CN"/>
        </w:rPr>
        <w:t>12.35</w:t>
      </w:r>
      <w:r>
        <w:rPr>
          <w:rFonts w:hAnsi="Times New Roman" w:eastAsia="宋体"/>
          <w:szCs w:val="24"/>
        </w:rPr>
        <w:t>%，总属数的</w:t>
      </w:r>
      <w:r>
        <w:rPr>
          <w:rFonts w:hAnsi="Times New Roman" w:eastAsia="宋体"/>
          <w:szCs w:val="24"/>
          <w:lang w:eastAsia="zh-CN"/>
        </w:rPr>
        <w:t>6.25</w:t>
      </w:r>
      <w:r>
        <w:rPr>
          <w:rFonts w:hAnsi="Times New Roman" w:eastAsia="宋体"/>
          <w:szCs w:val="24"/>
        </w:rPr>
        <w:t>%，总种数的</w:t>
      </w:r>
      <w:r>
        <w:rPr>
          <w:rFonts w:hAnsi="Times New Roman" w:eastAsia="宋体"/>
          <w:szCs w:val="24"/>
          <w:lang w:eastAsia="zh-CN" w:bidi="ar"/>
        </w:rPr>
        <w:t>7.48</w:t>
      </w:r>
      <w:r>
        <w:rPr>
          <w:rFonts w:hAnsi="Times New Roman" w:eastAsia="宋体"/>
          <w:szCs w:val="24"/>
        </w:rPr>
        <w:t>%；裸子植物</w:t>
      </w:r>
      <w:r>
        <w:rPr>
          <w:rFonts w:hAnsi="Times New Roman" w:eastAsia="宋体"/>
          <w:szCs w:val="24"/>
          <w:lang w:eastAsia="zh-CN"/>
        </w:rPr>
        <w:t>4</w:t>
      </w:r>
      <w:r>
        <w:rPr>
          <w:rFonts w:hAnsi="Times New Roman" w:eastAsia="宋体"/>
          <w:szCs w:val="24"/>
        </w:rPr>
        <w:t>科</w:t>
      </w:r>
      <w:r>
        <w:rPr>
          <w:rFonts w:hAnsi="Times New Roman" w:eastAsia="宋体"/>
          <w:szCs w:val="24"/>
          <w:lang w:eastAsia="zh-CN"/>
        </w:rPr>
        <w:t>4</w:t>
      </w:r>
      <w:r>
        <w:rPr>
          <w:rFonts w:hAnsi="Times New Roman" w:eastAsia="宋体"/>
          <w:szCs w:val="24"/>
        </w:rPr>
        <w:t>属</w:t>
      </w:r>
      <w:r>
        <w:rPr>
          <w:rFonts w:hAnsi="Times New Roman" w:eastAsia="宋体"/>
          <w:szCs w:val="24"/>
          <w:lang w:eastAsia="zh-CN"/>
        </w:rPr>
        <w:t>4</w:t>
      </w:r>
      <w:r>
        <w:rPr>
          <w:rFonts w:hAnsi="Times New Roman" w:eastAsia="宋体"/>
          <w:szCs w:val="24"/>
        </w:rPr>
        <w:t>种，占评价区域总科数的</w:t>
      </w:r>
      <w:r>
        <w:rPr>
          <w:rFonts w:hAnsi="Times New Roman" w:eastAsia="宋体"/>
          <w:szCs w:val="24"/>
          <w:lang w:eastAsia="zh-CN" w:bidi="ar"/>
        </w:rPr>
        <w:t>4.94</w:t>
      </w:r>
      <w:r>
        <w:rPr>
          <w:rFonts w:hAnsi="Times New Roman" w:eastAsia="宋体"/>
          <w:szCs w:val="24"/>
        </w:rPr>
        <w:t>%，总属数的</w:t>
      </w:r>
      <w:r>
        <w:rPr>
          <w:rFonts w:hAnsi="Times New Roman" w:eastAsia="宋体"/>
          <w:szCs w:val="24"/>
          <w:lang w:eastAsia="zh-CN" w:bidi="ar"/>
        </w:rPr>
        <w:t>2.08</w:t>
      </w:r>
      <w:r>
        <w:rPr>
          <w:rFonts w:hAnsi="Times New Roman" w:eastAsia="宋体"/>
          <w:szCs w:val="24"/>
        </w:rPr>
        <w:t>%，总种数的</w:t>
      </w:r>
      <w:r>
        <w:rPr>
          <w:rFonts w:hAnsi="Times New Roman" w:eastAsia="宋体"/>
          <w:szCs w:val="24"/>
          <w:lang w:eastAsia="zh-CN" w:bidi="ar"/>
        </w:rPr>
        <w:t>1.57</w:t>
      </w:r>
      <w:r>
        <w:rPr>
          <w:rFonts w:hAnsi="Times New Roman" w:eastAsia="宋体"/>
          <w:szCs w:val="24"/>
        </w:rPr>
        <w:t>%；被子植物物种数最多，共有</w:t>
      </w:r>
      <w:r>
        <w:rPr>
          <w:rFonts w:hAnsi="Times New Roman" w:eastAsia="宋体"/>
          <w:szCs w:val="24"/>
          <w:lang w:eastAsia="zh-CN"/>
        </w:rPr>
        <w:t>67</w:t>
      </w:r>
      <w:r>
        <w:rPr>
          <w:rFonts w:hAnsi="Times New Roman" w:eastAsia="宋体"/>
          <w:szCs w:val="24"/>
        </w:rPr>
        <w:t>科</w:t>
      </w:r>
      <w:r>
        <w:rPr>
          <w:rFonts w:hAnsi="Times New Roman" w:eastAsia="宋体"/>
          <w:szCs w:val="24"/>
          <w:lang w:eastAsia="zh-CN"/>
        </w:rPr>
        <w:t>176</w:t>
      </w:r>
      <w:r>
        <w:rPr>
          <w:rFonts w:hAnsi="Times New Roman" w:eastAsia="宋体"/>
          <w:szCs w:val="24"/>
        </w:rPr>
        <w:t>属</w:t>
      </w:r>
      <w:r>
        <w:rPr>
          <w:rFonts w:hAnsi="Times New Roman" w:eastAsia="宋体"/>
          <w:szCs w:val="24"/>
          <w:lang w:eastAsia="zh-CN"/>
        </w:rPr>
        <w:t>231</w:t>
      </w:r>
      <w:r>
        <w:rPr>
          <w:rFonts w:hAnsi="Times New Roman" w:eastAsia="宋体"/>
          <w:szCs w:val="24"/>
        </w:rPr>
        <w:t>种，占评价区域总科数的</w:t>
      </w:r>
      <w:r>
        <w:rPr>
          <w:rFonts w:hAnsi="Times New Roman" w:eastAsia="宋体"/>
          <w:szCs w:val="24"/>
          <w:lang w:eastAsia="zh-CN" w:bidi="ar"/>
        </w:rPr>
        <w:t>82.72</w:t>
      </w:r>
      <w:r>
        <w:rPr>
          <w:rFonts w:hAnsi="Times New Roman" w:eastAsia="宋体"/>
          <w:szCs w:val="24"/>
        </w:rPr>
        <w:t>%，总属数的</w:t>
      </w:r>
      <w:r>
        <w:rPr>
          <w:rFonts w:hAnsi="Times New Roman" w:eastAsia="宋体"/>
          <w:szCs w:val="24"/>
          <w:lang w:eastAsia="zh-CN" w:bidi="ar"/>
        </w:rPr>
        <w:t>91.67</w:t>
      </w:r>
      <w:r>
        <w:rPr>
          <w:rFonts w:hAnsi="Times New Roman" w:eastAsia="宋体"/>
          <w:szCs w:val="24"/>
        </w:rPr>
        <w:t>%，总种数的</w:t>
      </w:r>
      <w:r>
        <w:rPr>
          <w:rFonts w:hAnsi="Times New Roman" w:eastAsia="宋体"/>
          <w:szCs w:val="24"/>
          <w:lang w:eastAsia="zh-CN" w:bidi="ar"/>
        </w:rPr>
        <w:t>90.94</w:t>
      </w:r>
      <w:r>
        <w:rPr>
          <w:rFonts w:hAnsi="Times New Roman" w:eastAsia="宋体"/>
          <w:szCs w:val="24"/>
        </w:rPr>
        <w:t>%。见表</w:t>
      </w:r>
      <w:r>
        <w:rPr>
          <w:rFonts w:hint="eastAsia" w:hAnsi="Times New Roman" w:eastAsia="宋体"/>
          <w:szCs w:val="24"/>
          <w:lang w:eastAsia="zh-CN"/>
        </w:rPr>
        <w:t>4.2-3</w:t>
      </w:r>
      <w:r>
        <w:rPr>
          <w:rFonts w:hAnsi="Times New Roman" w:eastAsia="宋体"/>
          <w:szCs w:val="24"/>
        </w:rPr>
        <w:t>。</w:t>
      </w:r>
    </w:p>
    <w:p>
      <w:pPr>
        <w:jc w:val="center"/>
        <w:rPr>
          <w:rFonts w:hAnsi="Times New Roman" w:eastAsia="宋体"/>
          <w:b/>
          <w:sz w:val="21"/>
          <w:szCs w:val="21"/>
          <w:lang w:eastAsia="zh-CN"/>
        </w:rPr>
      </w:pPr>
      <w:r>
        <w:rPr>
          <w:rFonts w:hAnsi="Times New Roman" w:eastAsia="宋体"/>
          <w:b/>
          <w:sz w:val="21"/>
          <w:szCs w:val="21"/>
          <w:lang w:eastAsia="zh-CN"/>
        </w:rPr>
        <w:t>表</w:t>
      </w:r>
      <w:r>
        <w:rPr>
          <w:rFonts w:hint="eastAsia" w:hAnsi="Times New Roman" w:eastAsia="宋体"/>
          <w:b/>
          <w:sz w:val="21"/>
          <w:szCs w:val="21"/>
          <w:lang w:eastAsia="zh-CN"/>
        </w:rPr>
        <w:t>4.2-3</w:t>
      </w:r>
      <w:r>
        <w:rPr>
          <w:rFonts w:hAnsi="Times New Roman" w:eastAsia="宋体"/>
          <w:b/>
          <w:sz w:val="21"/>
          <w:szCs w:val="21"/>
          <w:lang w:eastAsia="zh-CN"/>
        </w:rPr>
        <w:t>评价区样方植被名录</w:t>
      </w:r>
    </w:p>
    <w:tbl>
      <w:tblPr>
        <w:tblStyle w:val="33"/>
        <w:tblW w:w="4997"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90"/>
        <w:gridCol w:w="1318"/>
        <w:gridCol w:w="615"/>
        <w:gridCol w:w="1792"/>
        <w:gridCol w:w="796"/>
        <w:gridCol w:w="1792"/>
        <w:gridCol w:w="796"/>
        <w:gridCol w:w="153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74" w:type="pct"/>
            <w:gridSpan w:val="2"/>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b/>
                <w:kern w:val="2"/>
                <w:sz w:val="21"/>
                <w:szCs w:val="21"/>
              </w:rPr>
            </w:pPr>
            <w:r>
              <w:rPr>
                <w:rFonts w:hint="eastAsia" w:hAnsi="Times New Roman" w:eastAsia="宋体"/>
                <w:b/>
                <w:bCs/>
                <w:kern w:val="2"/>
                <w:sz w:val="21"/>
                <w:szCs w:val="21"/>
                <w:lang w:bidi="ar"/>
              </w:rPr>
              <w:t>门类</w:t>
            </w:r>
          </w:p>
        </w:tc>
        <w:tc>
          <w:tcPr>
            <w:tcW w:w="329"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b/>
                <w:kern w:val="2"/>
                <w:sz w:val="21"/>
                <w:szCs w:val="21"/>
              </w:rPr>
            </w:pPr>
            <w:r>
              <w:rPr>
                <w:rFonts w:hint="eastAsia" w:hAnsi="Times New Roman" w:eastAsia="宋体"/>
                <w:b/>
                <w:bCs/>
                <w:kern w:val="2"/>
                <w:sz w:val="21"/>
                <w:szCs w:val="21"/>
                <w:lang w:bidi="ar"/>
              </w:rPr>
              <w:t>科数</w:t>
            </w:r>
          </w:p>
        </w:tc>
        <w:tc>
          <w:tcPr>
            <w:tcW w:w="959"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b/>
                <w:kern w:val="2"/>
                <w:sz w:val="21"/>
                <w:szCs w:val="21"/>
                <w:lang w:eastAsia="zh-CN"/>
              </w:rPr>
            </w:pPr>
            <w:r>
              <w:rPr>
                <w:rFonts w:hint="eastAsia" w:hAnsi="Times New Roman" w:eastAsia="宋体"/>
                <w:b/>
                <w:bCs/>
                <w:kern w:val="2"/>
                <w:sz w:val="21"/>
                <w:szCs w:val="21"/>
                <w:lang w:bidi="ar"/>
              </w:rPr>
              <w:t>所占比例</w:t>
            </w:r>
            <w:r>
              <w:rPr>
                <w:rFonts w:hint="eastAsia" w:hAnsi="Times New Roman" w:eastAsia="宋体"/>
                <w:b/>
                <w:bCs/>
                <w:kern w:val="2"/>
                <w:sz w:val="21"/>
                <w:szCs w:val="21"/>
                <w:lang w:eastAsia="zh-CN" w:bidi="ar"/>
              </w:rPr>
              <w:t>（</w:t>
            </w:r>
            <w:r>
              <w:rPr>
                <w:rFonts w:hint="eastAsia" w:hAnsi="Times New Roman" w:eastAsia="宋体"/>
                <w:b/>
                <w:bCs/>
                <w:kern w:val="2"/>
                <w:sz w:val="21"/>
                <w:szCs w:val="21"/>
                <w:lang w:bidi="ar"/>
              </w:rPr>
              <w:t>%</w:t>
            </w:r>
            <w:r>
              <w:rPr>
                <w:rFonts w:hint="eastAsia" w:hAnsi="Times New Roman" w:eastAsia="宋体"/>
                <w:b/>
                <w:bCs/>
                <w:kern w:val="2"/>
                <w:sz w:val="21"/>
                <w:szCs w:val="21"/>
                <w:lang w:eastAsia="zh-CN" w:bidi="ar"/>
              </w:rPr>
              <w:t>）</w:t>
            </w:r>
          </w:p>
        </w:tc>
        <w:tc>
          <w:tcPr>
            <w:tcW w:w="426"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b/>
                <w:kern w:val="2"/>
                <w:sz w:val="21"/>
                <w:szCs w:val="21"/>
              </w:rPr>
            </w:pPr>
            <w:r>
              <w:rPr>
                <w:rFonts w:hint="eastAsia" w:hAnsi="Times New Roman" w:eastAsia="宋体"/>
                <w:b/>
                <w:bCs/>
                <w:kern w:val="2"/>
                <w:sz w:val="21"/>
                <w:szCs w:val="21"/>
                <w:lang w:bidi="ar"/>
              </w:rPr>
              <w:t>属数</w:t>
            </w:r>
          </w:p>
        </w:tc>
        <w:tc>
          <w:tcPr>
            <w:tcW w:w="959"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b/>
                <w:kern w:val="2"/>
                <w:sz w:val="21"/>
                <w:szCs w:val="21"/>
                <w:lang w:eastAsia="zh-CN"/>
              </w:rPr>
            </w:pPr>
            <w:r>
              <w:rPr>
                <w:rFonts w:hint="eastAsia" w:hAnsi="Times New Roman" w:eastAsia="宋体"/>
                <w:b/>
                <w:bCs/>
                <w:kern w:val="2"/>
                <w:sz w:val="21"/>
                <w:szCs w:val="21"/>
                <w:lang w:bidi="ar"/>
              </w:rPr>
              <w:t>所占比例</w:t>
            </w:r>
            <w:r>
              <w:rPr>
                <w:rFonts w:hint="eastAsia" w:hAnsi="Times New Roman" w:eastAsia="宋体"/>
                <w:b/>
                <w:bCs/>
                <w:kern w:val="2"/>
                <w:sz w:val="21"/>
                <w:szCs w:val="21"/>
                <w:lang w:eastAsia="zh-CN" w:bidi="ar"/>
              </w:rPr>
              <w:t>（</w:t>
            </w:r>
            <w:r>
              <w:rPr>
                <w:rFonts w:hint="eastAsia" w:hAnsi="Times New Roman" w:eastAsia="宋体"/>
                <w:b/>
                <w:bCs/>
                <w:kern w:val="2"/>
                <w:sz w:val="21"/>
                <w:szCs w:val="21"/>
                <w:lang w:bidi="ar"/>
              </w:rPr>
              <w:t>%</w:t>
            </w:r>
            <w:r>
              <w:rPr>
                <w:rFonts w:hint="eastAsia" w:hAnsi="Times New Roman" w:eastAsia="宋体"/>
                <w:b/>
                <w:bCs/>
                <w:kern w:val="2"/>
                <w:sz w:val="21"/>
                <w:szCs w:val="21"/>
                <w:lang w:eastAsia="zh-CN" w:bidi="ar"/>
              </w:rPr>
              <w:t>）</w:t>
            </w:r>
          </w:p>
        </w:tc>
        <w:tc>
          <w:tcPr>
            <w:tcW w:w="426"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b/>
                <w:kern w:val="2"/>
                <w:sz w:val="21"/>
                <w:szCs w:val="21"/>
              </w:rPr>
            </w:pPr>
            <w:r>
              <w:rPr>
                <w:rFonts w:hint="eastAsia" w:hAnsi="Times New Roman" w:eastAsia="宋体"/>
                <w:b/>
                <w:bCs/>
                <w:kern w:val="2"/>
                <w:sz w:val="21"/>
                <w:szCs w:val="21"/>
                <w:lang w:bidi="ar"/>
              </w:rPr>
              <w:t>种数</w:t>
            </w:r>
          </w:p>
        </w:tc>
        <w:tc>
          <w:tcPr>
            <w:tcW w:w="823"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b/>
                <w:kern w:val="2"/>
                <w:sz w:val="21"/>
                <w:szCs w:val="21"/>
                <w:lang w:eastAsia="zh-CN"/>
              </w:rPr>
            </w:pPr>
            <w:r>
              <w:rPr>
                <w:rFonts w:hint="eastAsia" w:hAnsi="Times New Roman" w:eastAsia="宋体"/>
                <w:b/>
                <w:bCs/>
                <w:kern w:val="2"/>
                <w:sz w:val="21"/>
                <w:szCs w:val="21"/>
                <w:lang w:bidi="ar"/>
              </w:rPr>
              <w:t>所占比例</w:t>
            </w:r>
            <w:r>
              <w:rPr>
                <w:rFonts w:hint="eastAsia" w:hAnsi="Times New Roman" w:eastAsia="宋体"/>
                <w:b/>
                <w:bCs/>
                <w:kern w:val="2"/>
                <w:sz w:val="21"/>
                <w:szCs w:val="21"/>
                <w:lang w:eastAsia="zh-CN" w:bidi="ar"/>
              </w:rPr>
              <w:t>（</w:t>
            </w:r>
            <w:r>
              <w:rPr>
                <w:rFonts w:hint="eastAsia" w:hAnsi="Times New Roman" w:eastAsia="宋体"/>
                <w:b/>
                <w:bCs/>
                <w:kern w:val="2"/>
                <w:sz w:val="21"/>
                <w:szCs w:val="21"/>
                <w:lang w:bidi="ar"/>
              </w:rPr>
              <w:t>%</w:t>
            </w:r>
            <w:r>
              <w:rPr>
                <w:rFonts w:hint="eastAsia" w:hAnsi="Times New Roman" w:eastAsia="宋体"/>
                <w:b/>
                <w:bCs/>
                <w:kern w:val="2"/>
                <w:sz w:val="21"/>
                <w:szCs w:val="21"/>
                <w:lang w:eastAsia="zh-CN" w:bidi="ar"/>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74" w:type="pct"/>
            <w:gridSpan w:val="2"/>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bidi="ar"/>
              </w:rPr>
            </w:pPr>
            <w:r>
              <w:rPr>
                <w:rFonts w:hint="eastAsia" w:hAnsi="Times New Roman" w:eastAsia="宋体"/>
                <w:kern w:val="2"/>
                <w:sz w:val="21"/>
                <w:szCs w:val="21"/>
                <w:lang w:bidi="ar"/>
              </w:rPr>
              <w:t>蕨类植物</w:t>
            </w:r>
          </w:p>
        </w:tc>
        <w:tc>
          <w:tcPr>
            <w:tcW w:w="561"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bidi="ar"/>
              </w:rPr>
            </w:pPr>
            <w:r>
              <w:rPr>
                <w:rFonts w:hint="eastAsia" w:hAnsi="Times New Roman" w:eastAsia="宋体"/>
                <w:kern w:val="2"/>
                <w:sz w:val="21"/>
                <w:szCs w:val="21"/>
                <w:lang w:eastAsia="zh-CN" w:bidi="ar"/>
              </w:rPr>
              <w:t>10</w:t>
            </w:r>
          </w:p>
        </w:tc>
        <w:tc>
          <w:tcPr>
            <w:tcW w:w="163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bidi="ar"/>
              </w:rPr>
            </w:pPr>
            <w:r>
              <w:rPr>
                <w:rFonts w:hint="eastAsia" w:hAnsi="Times New Roman" w:eastAsia="宋体"/>
                <w:kern w:val="2"/>
                <w:sz w:val="21"/>
                <w:szCs w:val="21"/>
                <w:lang w:eastAsia="zh-CN" w:bidi="ar"/>
              </w:rPr>
              <w:t>12.35</w:t>
            </w:r>
          </w:p>
        </w:tc>
        <w:tc>
          <w:tcPr>
            <w:tcW w:w="7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bidi="ar"/>
              </w:rPr>
            </w:pPr>
            <w:r>
              <w:rPr>
                <w:rFonts w:hint="eastAsia" w:hAnsi="Times New Roman" w:eastAsia="宋体"/>
                <w:kern w:val="2"/>
                <w:sz w:val="21"/>
                <w:szCs w:val="21"/>
                <w:lang w:eastAsia="zh-CN" w:bidi="ar"/>
              </w:rPr>
              <w:t>12</w:t>
            </w:r>
          </w:p>
        </w:tc>
        <w:tc>
          <w:tcPr>
            <w:tcW w:w="163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bidi="ar"/>
              </w:rPr>
            </w:pPr>
            <w:r>
              <w:rPr>
                <w:rFonts w:hint="eastAsia" w:hAnsi="Times New Roman" w:eastAsia="宋体"/>
                <w:kern w:val="2"/>
                <w:sz w:val="21"/>
                <w:szCs w:val="21"/>
                <w:lang w:eastAsia="zh-CN" w:bidi="ar"/>
              </w:rPr>
              <w:t>6.25</w:t>
            </w:r>
          </w:p>
        </w:tc>
        <w:tc>
          <w:tcPr>
            <w:tcW w:w="7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bidi="ar"/>
              </w:rPr>
            </w:pPr>
            <w:r>
              <w:rPr>
                <w:rFonts w:hint="eastAsia" w:hAnsi="Times New Roman" w:eastAsia="宋体"/>
                <w:kern w:val="2"/>
                <w:sz w:val="21"/>
                <w:szCs w:val="21"/>
                <w:lang w:eastAsia="zh-CN" w:bidi="ar"/>
              </w:rPr>
              <w:t>19</w:t>
            </w:r>
          </w:p>
        </w:tc>
        <w:tc>
          <w:tcPr>
            <w:tcW w:w="140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bidi="ar"/>
              </w:rPr>
            </w:pPr>
            <w:r>
              <w:rPr>
                <w:rFonts w:hint="eastAsia" w:hAnsi="Times New Roman" w:eastAsia="宋体"/>
                <w:kern w:val="2"/>
                <w:sz w:val="21"/>
                <w:szCs w:val="21"/>
                <w:lang w:eastAsia="zh-CN" w:bidi="ar"/>
              </w:rPr>
              <w:t>7.48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61" w:hRule="atLeast"/>
          <w:jc w:val="center"/>
        </w:trPr>
        <w:tc>
          <w:tcPr>
            <w:tcW w:w="369" w:type="pct"/>
            <w:vMerge w:val="restar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bidi="ar"/>
              </w:rPr>
            </w:pPr>
            <w:r>
              <w:rPr>
                <w:rFonts w:hint="eastAsia" w:hAnsi="Times New Roman" w:eastAsia="宋体"/>
                <w:kern w:val="2"/>
                <w:sz w:val="21"/>
                <w:szCs w:val="21"/>
                <w:lang w:bidi="ar"/>
              </w:rPr>
              <w:t>种子植物</w:t>
            </w:r>
          </w:p>
        </w:tc>
        <w:tc>
          <w:tcPr>
            <w:tcW w:w="705"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bidi="ar"/>
              </w:rPr>
            </w:pPr>
            <w:r>
              <w:rPr>
                <w:rFonts w:hint="eastAsia" w:hAnsi="Times New Roman" w:eastAsia="宋体"/>
                <w:kern w:val="2"/>
                <w:sz w:val="21"/>
                <w:szCs w:val="21"/>
                <w:lang w:bidi="ar"/>
              </w:rPr>
              <w:t>裸子植物</w:t>
            </w:r>
          </w:p>
        </w:tc>
        <w:tc>
          <w:tcPr>
            <w:tcW w:w="561"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bidi="ar"/>
              </w:rPr>
            </w:pPr>
            <w:r>
              <w:rPr>
                <w:rFonts w:hint="eastAsia" w:hAnsi="Times New Roman" w:eastAsia="宋体"/>
                <w:kern w:val="2"/>
                <w:sz w:val="21"/>
                <w:szCs w:val="21"/>
                <w:lang w:eastAsia="zh-CN" w:bidi="ar"/>
              </w:rPr>
              <w:t>4</w:t>
            </w:r>
          </w:p>
        </w:tc>
        <w:tc>
          <w:tcPr>
            <w:tcW w:w="163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bidi="ar"/>
              </w:rPr>
            </w:pPr>
            <w:r>
              <w:rPr>
                <w:rFonts w:hint="eastAsia" w:hAnsi="Times New Roman" w:eastAsia="宋体"/>
                <w:kern w:val="2"/>
                <w:sz w:val="21"/>
                <w:szCs w:val="21"/>
                <w:lang w:eastAsia="zh-CN" w:bidi="ar"/>
              </w:rPr>
              <w:t>4.94</w:t>
            </w:r>
          </w:p>
        </w:tc>
        <w:tc>
          <w:tcPr>
            <w:tcW w:w="7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bidi="ar"/>
              </w:rPr>
            </w:pPr>
            <w:r>
              <w:rPr>
                <w:rFonts w:hint="eastAsia" w:hAnsi="Times New Roman" w:eastAsia="宋体"/>
                <w:kern w:val="2"/>
                <w:sz w:val="21"/>
                <w:szCs w:val="21"/>
                <w:lang w:eastAsia="zh-CN" w:bidi="ar"/>
              </w:rPr>
              <w:t>4</w:t>
            </w:r>
          </w:p>
        </w:tc>
        <w:tc>
          <w:tcPr>
            <w:tcW w:w="163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bidi="ar"/>
              </w:rPr>
            </w:pPr>
            <w:r>
              <w:rPr>
                <w:rFonts w:hint="eastAsia" w:hAnsi="Times New Roman" w:eastAsia="宋体"/>
                <w:kern w:val="2"/>
                <w:sz w:val="21"/>
                <w:szCs w:val="21"/>
                <w:lang w:eastAsia="zh-CN" w:bidi="ar"/>
              </w:rPr>
              <w:t>2.08</w:t>
            </w:r>
          </w:p>
        </w:tc>
        <w:tc>
          <w:tcPr>
            <w:tcW w:w="7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bidi="ar"/>
              </w:rPr>
            </w:pPr>
            <w:r>
              <w:rPr>
                <w:rFonts w:hint="eastAsia" w:hAnsi="Times New Roman" w:eastAsia="宋体"/>
                <w:kern w:val="2"/>
                <w:sz w:val="21"/>
                <w:szCs w:val="21"/>
                <w:lang w:eastAsia="zh-CN" w:bidi="ar"/>
              </w:rPr>
              <w:t>4</w:t>
            </w:r>
          </w:p>
        </w:tc>
        <w:tc>
          <w:tcPr>
            <w:tcW w:w="140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bidi="ar"/>
              </w:rPr>
            </w:pPr>
            <w:r>
              <w:rPr>
                <w:rFonts w:hint="eastAsia" w:hAnsi="Times New Roman" w:eastAsia="宋体"/>
                <w:kern w:val="2"/>
                <w:sz w:val="21"/>
                <w:szCs w:val="21"/>
                <w:lang w:eastAsia="zh-CN" w:bidi="ar"/>
              </w:rPr>
              <w:t>1.57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4" w:hRule="atLeast"/>
          <w:jc w:val="center"/>
        </w:trPr>
        <w:tc>
          <w:tcPr>
            <w:tcW w:w="369" w:type="pct"/>
            <w:vMerge w:val="continue"/>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bidi="ar"/>
              </w:rPr>
            </w:pPr>
          </w:p>
        </w:tc>
        <w:tc>
          <w:tcPr>
            <w:tcW w:w="705"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bidi="ar"/>
              </w:rPr>
            </w:pPr>
            <w:r>
              <w:rPr>
                <w:rFonts w:hint="eastAsia" w:hAnsi="Times New Roman" w:eastAsia="宋体"/>
                <w:kern w:val="2"/>
                <w:sz w:val="21"/>
                <w:szCs w:val="21"/>
                <w:lang w:bidi="ar"/>
              </w:rPr>
              <w:t>被子植物</w:t>
            </w:r>
          </w:p>
        </w:tc>
        <w:tc>
          <w:tcPr>
            <w:tcW w:w="561"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bidi="ar"/>
              </w:rPr>
            </w:pPr>
            <w:r>
              <w:rPr>
                <w:rFonts w:hint="eastAsia" w:hAnsi="Times New Roman" w:eastAsia="宋体"/>
                <w:kern w:val="2"/>
                <w:sz w:val="21"/>
                <w:szCs w:val="21"/>
                <w:lang w:eastAsia="zh-CN" w:bidi="ar"/>
              </w:rPr>
              <w:t>67</w:t>
            </w:r>
          </w:p>
        </w:tc>
        <w:tc>
          <w:tcPr>
            <w:tcW w:w="163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bidi="ar"/>
              </w:rPr>
            </w:pPr>
            <w:r>
              <w:rPr>
                <w:rFonts w:hint="eastAsia" w:hAnsi="Times New Roman" w:eastAsia="宋体"/>
                <w:kern w:val="2"/>
                <w:sz w:val="21"/>
                <w:szCs w:val="21"/>
                <w:lang w:eastAsia="zh-CN" w:bidi="ar"/>
              </w:rPr>
              <w:t>82.72</w:t>
            </w:r>
          </w:p>
        </w:tc>
        <w:tc>
          <w:tcPr>
            <w:tcW w:w="7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bidi="ar"/>
              </w:rPr>
            </w:pPr>
            <w:r>
              <w:rPr>
                <w:rFonts w:hint="eastAsia" w:hAnsi="Times New Roman" w:eastAsia="宋体"/>
                <w:kern w:val="2"/>
                <w:sz w:val="21"/>
                <w:szCs w:val="21"/>
                <w:lang w:eastAsia="zh-CN" w:bidi="ar"/>
              </w:rPr>
              <w:t>176</w:t>
            </w:r>
          </w:p>
        </w:tc>
        <w:tc>
          <w:tcPr>
            <w:tcW w:w="163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bidi="ar"/>
              </w:rPr>
            </w:pPr>
            <w:r>
              <w:rPr>
                <w:rFonts w:hint="eastAsia" w:hAnsi="Times New Roman" w:eastAsia="宋体"/>
                <w:kern w:val="2"/>
                <w:sz w:val="21"/>
                <w:szCs w:val="21"/>
                <w:lang w:eastAsia="zh-CN" w:bidi="ar"/>
              </w:rPr>
              <w:t>91.67</w:t>
            </w:r>
          </w:p>
        </w:tc>
        <w:tc>
          <w:tcPr>
            <w:tcW w:w="7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bidi="ar"/>
              </w:rPr>
            </w:pPr>
            <w:r>
              <w:rPr>
                <w:rFonts w:hint="eastAsia" w:hAnsi="Times New Roman" w:eastAsia="宋体"/>
                <w:kern w:val="2"/>
                <w:sz w:val="21"/>
                <w:szCs w:val="21"/>
                <w:lang w:eastAsia="zh-CN" w:bidi="ar"/>
              </w:rPr>
              <w:t>231</w:t>
            </w:r>
          </w:p>
        </w:tc>
        <w:tc>
          <w:tcPr>
            <w:tcW w:w="140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bidi="ar"/>
              </w:rPr>
            </w:pPr>
            <w:r>
              <w:rPr>
                <w:rFonts w:hint="eastAsia" w:hAnsi="Times New Roman" w:eastAsia="宋体"/>
                <w:kern w:val="2"/>
                <w:sz w:val="21"/>
                <w:szCs w:val="21"/>
                <w:lang w:eastAsia="zh-CN" w:bidi="ar"/>
              </w:rPr>
              <w:t>90.94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74" w:type="pct"/>
            <w:gridSpan w:val="2"/>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bidi="ar"/>
              </w:rPr>
            </w:pPr>
            <w:r>
              <w:rPr>
                <w:rFonts w:hint="eastAsia" w:hAnsi="Times New Roman" w:eastAsia="宋体"/>
                <w:kern w:val="2"/>
                <w:sz w:val="21"/>
                <w:szCs w:val="21"/>
                <w:lang w:bidi="ar"/>
              </w:rPr>
              <w:t>合计</w:t>
            </w:r>
          </w:p>
        </w:tc>
        <w:tc>
          <w:tcPr>
            <w:tcW w:w="561"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bidi="ar"/>
              </w:rPr>
            </w:pPr>
            <w:r>
              <w:rPr>
                <w:rFonts w:hint="eastAsia" w:hAnsi="Times New Roman" w:eastAsia="宋体"/>
                <w:kern w:val="2"/>
                <w:sz w:val="21"/>
                <w:szCs w:val="21"/>
                <w:lang w:eastAsia="zh-CN" w:bidi="ar"/>
              </w:rPr>
              <w:t>81</w:t>
            </w:r>
          </w:p>
        </w:tc>
        <w:tc>
          <w:tcPr>
            <w:tcW w:w="163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bidi="ar"/>
              </w:rPr>
            </w:pPr>
            <w:r>
              <w:rPr>
                <w:rFonts w:hint="eastAsia" w:hAnsi="Times New Roman" w:eastAsia="宋体"/>
                <w:kern w:val="2"/>
                <w:sz w:val="21"/>
                <w:szCs w:val="21"/>
                <w:lang w:eastAsia="zh-CN" w:bidi="ar"/>
              </w:rPr>
              <w:t>100</w:t>
            </w:r>
          </w:p>
        </w:tc>
        <w:tc>
          <w:tcPr>
            <w:tcW w:w="7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bidi="ar"/>
              </w:rPr>
            </w:pPr>
            <w:r>
              <w:rPr>
                <w:rFonts w:hint="eastAsia" w:hAnsi="Times New Roman" w:eastAsia="宋体"/>
                <w:kern w:val="2"/>
                <w:sz w:val="21"/>
                <w:szCs w:val="21"/>
                <w:lang w:eastAsia="zh-CN" w:bidi="ar"/>
              </w:rPr>
              <w:t>192</w:t>
            </w:r>
          </w:p>
        </w:tc>
        <w:tc>
          <w:tcPr>
            <w:tcW w:w="163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bidi="ar"/>
              </w:rPr>
            </w:pPr>
            <w:r>
              <w:rPr>
                <w:rFonts w:hint="eastAsia" w:hAnsi="Times New Roman" w:eastAsia="宋体"/>
                <w:kern w:val="2"/>
                <w:sz w:val="21"/>
                <w:szCs w:val="21"/>
                <w:lang w:eastAsia="zh-CN" w:bidi="ar"/>
              </w:rPr>
              <w:t>100</w:t>
            </w:r>
          </w:p>
        </w:tc>
        <w:tc>
          <w:tcPr>
            <w:tcW w:w="72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bidi="ar"/>
              </w:rPr>
            </w:pPr>
            <w:r>
              <w:rPr>
                <w:rFonts w:hint="eastAsia" w:hAnsi="Times New Roman" w:eastAsia="宋体"/>
                <w:kern w:val="2"/>
                <w:sz w:val="21"/>
                <w:szCs w:val="21"/>
                <w:lang w:eastAsia="zh-CN" w:bidi="ar"/>
              </w:rPr>
              <w:t>254</w:t>
            </w:r>
          </w:p>
        </w:tc>
        <w:tc>
          <w:tcPr>
            <w:tcW w:w="140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bidi="ar"/>
              </w:rPr>
            </w:pPr>
            <w:r>
              <w:rPr>
                <w:rFonts w:hint="eastAsia" w:hAnsi="Times New Roman" w:eastAsia="宋体"/>
                <w:kern w:val="2"/>
                <w:sz w:val="21"/>
                <w:szCs w:val="21"/>
                <w:lang w:eastAsia="zh-CN" w:bidi="ar"/>
              </w:rPr>
              <w:t>100</w:t>
            </w:r>
          </w:p>
        </w:tc>
      </w:tr>
    </w:tbl>
    <w:p>
      <w:pPr>
        <w:spacing w:line="360" w:lineRule="auto"/>
        <w:ind w:firstLine="482" w:firstLineChars="200"/>
        <w:rPr>
          <w:rFonts w:hAnsi="Times New Roman" w:eastAsia="宋体"/>
          <w:b/>
          <w:bCs/>
          <w:szCs w:val="24"/>
        </w:rPr>
      </w:pPr>
      <w:r>
        <w:rPr>
          <w:rFonts w:hint="eastAsia" w:hAnsi="Times New Roman" w:eastAsia="宋体"/>
          <w:b/>
          <w:bCs/>
          <w:szCs w:val="24"/>
        </w:rPr>
        <w:t>2、</w:t>
      </w:r>
      <w:r>
        <w:rPr>
          <w:rFonts w:hAnsi="Times New Roman" w:eastAsia="宋体"/>
          <w:b/>
          <w:bCs/>
          <w:szCs w:val="24"/>
        </w:rPr>
        <w:t>种子植物区系成分分析</w:t>
      </w:r>
    </w:p>
    <w:p>
      <w:pPr>
        <w:snapToGrid w:val="0"/>
        <w:spacing w:line="360" w:lineRule="auto"/>
        <w:ind w:firstLine="480" w:firstLineChars="200"/>
        <w:rPr>
          <w:rFonts w:hAnsi="Times New Roman" w:eastAsia="宋体"/>
          <w:bCs/>
          <w:szCs w:val="24"/>
        </w:rPr>
      </w:pPr>
      <w:r>
        <w:rPr>
          <w:rFonts w:hAnsi="Times New Roman" w:eastAsia="宋体"/>
          <w:bCs/>
          <w:szCs w:val="24"/>
        </w:rPr>
        <w:t>植物区系是在长期的地质历史过程中形成的，是植物群体及其周围的自然地理环境，特别是在自然历史条件的综合作用下长期演化的结果。通过植物区系成分的统计分析，可掌握该区域植物区系的组成和占优势属植物的组成，并通过与全世界、全国及周边区域植物区系成分的比较，明确该区域植物区系在全国植物区系中的特定地位。</w:t>
      </w:r>
    </w:p>
    <w:p>
      <w:pPr>
        <w:snapToGrid w:val="0"/>
        <w:spacing w:line="360" w:lineRule="auto"/>
        <w:ind w:firstLine="480" w:firstLineChars="200"/>
        <w:rPr>
          <w:rFonts w:hAnsi="Times New Roman" w:eastAsia="宋体"/>
          <w:bCs/>
          <w:szCs w:val="24"/>
        </w:rPr>
      </w:pPr>
      <w:r>
        <w:rPr>
          <w:rFonts w:hAnsi="Times New Roman" w:eastAsia="宋体"/>
          <w:bCs/>
          <w:szCs w:val="24"/>
        </w:rPr>
        <w:t>在植物分类学上，属的形态特征相对稳定，并占有比较稳定的分布区；在演化过程中，随环境条件的变化而产生分化，表现出明显的地区性差异。同时，每一个属所包含的种常具有同一起源和相似的进化趋势。所以属比科更能反映植物系统发育过程中的进化与分化情况和地区特征。</w:t>
      </w:r>
    </w:p>
    <w:p>
      <w:pPr>
        <w:spacing w:line="360" w:lineRule="auto"/>
        <w:ind w:firstLine="480" w:firstLineChars="200"/>
        <w:rPr>
          <w:rFonts w:hAnsi="Times New Roman" w:eastAsia="宋体"/>
          <w:szCs w:val="24"/>
        </w:rPr>
      </w:pPr>
      <w:r>
        <w:rPr>
          <w:rFonts w:hAnsi="Times New Roman" w:eastAsia="宋体"/>
          <w:bCs/>
          <w:szCs w:val="24"/>
        </w:rPr>
        <w:t>根据吴征镒关于中国种子植物属的分布区类型划分的原则，可以将评价区的种子植物</w:t>
      </w:r>
      <w:r>
        <w:rPr>
          <w:rFonts w:hAnsi="Times New Roman" w:eastAsia="宋体"/>
          <w:bCs/>
          <w:szCs w:val="24"/>
          <w:lang w:eastAsia="zh-CN"/>
        </w:rPr>
        <w:t>183</w:t>
      </w:r>
      <w:r>
        <w:rPr>
          <w:rFonts w:hAnsi="Times New Roman" w:eastAsia="宋体"/>
          <w:bCs/>
          <w:szCs w:val="24"/>
        </w:rPr>
        <w:t>属进行区系分析，所有15个分布区类型的植物在评价区有分布（表</w:t>
      </w:r>
      <w:r>
        <w:rPr>
          <w:rFonts w:hAnsi="Times New Roman" w:eastAsia="宋体"/>
          <w:bCs/>
          <w:szCs w:val="24"/>
          <w:lang w:eastAsia="zh-CN"/>
        </w:rPr>
        <w:t>2.3-3</w:t>
      </w:r>
      <w:r>
        <w:rPr>
          <w:rFonts w:hAnsi="Times New Roman" w:eastAsia="宋体"/>
          <w:bCs/>
          <w:szCs w:val="24"/>
        </w:rPr>
        <w:t>）。从总体上看，评价区内种子植物以</w:t>
      </w:r>
      <w:r>
        <w:rPr>
          <w:rFonts w:hAnsi="Times New Roman" w:eastAsia="宋体"/>
          <w:bCs/>
          <w:szCs w:val="24"/>
          <w:lang w:eastAsia="zh-CN"/>
        </w:rPr>
        <w:t>北</w:t>
      </w:r>
      <w:r>
        <w:rPr>
          <w:rFonts w:hAnsi="Times New Roman" w:eastAsia="宋体"/>
          <w:bCs/>
          <w:szCs w:val="24"/>
        </w:rPr>
        <w:t>温带和</w:t>
      </w:r>
      <w:r>
        <w:rPr>
          <w:rFonts w:hAnsi="Times New Roman" w:eastAsia="宋体"/>
          <w:bCs/>
          <w:szCs w:val="24"/>
          <w:lang w:eastAsia="zh-CN"/>
        </w:rPr>
        <w:t>泛</w:t>
      </w:r>
      <w:r>
        <w:rPr>
          <w:rFonts w:hAnsi="Times New Roman" w:eastAsia="宋体"/>
          <w:bCs/>
          <w:szCs w:val="24"/>
        </w:rPr>
        <w:t>热带</w:t>
      </w:r>
      <w:r>
        <w:rPr>
          <w:rFonts w:hAnsi="Times New Roman" w:eastAsia="宋体"/>
          <w:bCs/>
          <w:szCs w:val="24"/>
          <w:lang w:eastAsia="zh-CN"/>
        </w:rPr>
        <w:t>、世界分布</w:t>
      </w:r>
      <w:r>
        <w:rPr>
          <w:rFonts w:hAnsi="Times New Roman" w:eastAsia="宋体"/>
          <w:bCs/>
          <w:szCs w:val="24"/>
        </w:rPr>
        <w:t>所占比例较大，其中北温带分布的属占</w:t>
      </w:r>
      <w:r>
        <w:rPr>
          <w:rFonts w:hAnsi="Times New Roman" w:eastAsia="宋体"/>
          <w:bCs/>
          <w:szCs w:val="24"/>
          <w:lang w:eastAsia="zh-CN"/>
        </w:rPr>
        <w:t>18.58</w:t>
      </w:r>
      <w:r>
        <w:rPr>
          <w:rFonts w:hAnsi="Times New Roman" w:eastAsia="宋体"/>
          <w:bCs/>
          <w:szCs w:val="24"/>
        </w:rPr>
        <w:t>%，</w:t>
      </w:r>
      <w:r>
        <w:rPr>
          <w:rFonts w:hAnsi="Times New Roman" w:eastAsia="宋体"/>
          <w:bCs/>
          <w:szCs w:val="24"/>
          <w:lang w:eastAsia="zh-CN"/>
        </w:rPr>
        <w:t>泛</w:t>
      </w:r>
      <w:r>
        <w:rPr>
          <w:rFonts w:hAnsi="Times New Roman" w:eastAsia="宋体"/>
          <w:bCs/>
          <w:szCs w:val="24"/>
        </w:rPr>
        <w:t>热带分布的属占</w:t>
      </w:r>
      <w:r>
        <w:rPr>
          <w:rFonts w:hAnsi="Times New Roman" w:eastAsia="宋体"/>
          <w:bCs/>
          <w:szCs w:val="24"/>
          <w:lang w:eastAsia="zh-CN"/>
        </w:rPr>
        <w:t>21.86</w:t>
      </w:r>
      <w:r>
        <w:rPr>
          <w:rFonts w:hAnsi="Times New Roman" w:eastAsia="宋体"/>
          <w:bCs/>
          <w:szCs w:val="24"/>
        </w:rPr>
        <w:t>%</w:t>
      </w:r>
      <w:r>
        <w:rPr>
          <w:rFonts w:hAnsi="Times New Roman" w:eastAsia="宋体"/>
          <w:bCs/>
          <w:szCs w:val="24"/>
          <w:lang w:eastAsia="zh-CN"/>
        </w:rPr>
        <w:t>，世界分布的属占17.49%</w:t>
      </w:r>
      <w:r>
        <w:rPr>
          <w:rFonts w:hAnsi="Times New Roman" w:eastAsia="宋体"/>
          <w:bCs/>
          <w:szCs w:val="24"/>
        </w:rPr>
        <w:t>。</w:t>
      </w:r>
    </w:p>
    <w:p>
      <w:pPr>
        <w:jc w:val="center"/>
        <w:rPr>
          <w:rFonts w:hAnsi="Times New Roman" w:eastAsia="宋体"/>
          <w:b/>
          <w:sz w:val="21"/>
          <w:szCs w:val="21"/>
          <w:lang w:eastAsia="zh-CN"/>
        </w:rPr>
      </w:pPr>
      <w:r>
        <w:rPr>
          <w:rFonts w:hAnsi="Times New Roman" w:eastAsia="宋体"/>
          <w:b/>
          <w:sz w:val="21"/>
          <w:szCs w:val="21"/>
          <w:lang w:eastAsia="zh-CN"/>
        </w:rPr>
        <w:t>表</w:t>
      </w:r>
      <w:r>
        <w:rPr>
          <w:rFonts w:hint="eastAsia" w:hAnsi="Times New Roman" w:eastAsia="宋体"/>
          <w:b/>
          <w:sz w:val="21"/>
          <w:szCs w:val="21"/>
          <w:lang w:eastAsia="zh-CN"/>
        </w:rPr>
        <w:t>4.2-4</w:t>
      </w:r>
      <w:r>
        <w:rPr>
          <w:rFonts w:hAnsi="Times New Roman" w:eastAsia="宋体"/>
          <w:b/>
          <w:sz w:val="21"/>
          <w:szCs w:val="21"/>
          <w:lang w:eastAsia="zh-CN"/>
        </w:rPr>
        <w:t xml:space="preserve"> 种子植物属的分布区类型</w:t>
      </w:r>
    </w:p>
    <w:tbl>
      <w:tblPr>
        <w:tblStyle w:val="33"/>
        <w:tblW w:w="4999"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628"/>
        <w:gridCol w:w="936"/>
        <w:gridCol w:w="177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547" w:type="pct"/>
            <w:tcBorders>
              <w:top w:val="single" w:color="auto" w:sz="4" w:space="0"/>
              <w:left w:val="single" w:color="auto" w:sz="4" w:space="0"/>
            </w:tcBorders>
            <w:vAlign w:val="bottom"/>
          </w:tcPr>
          <w:p>
            <w:pPr>
              <w:keepNext w:val="0"/>
              <w:keepLines w:val="0"/>
              <w:widowControl/>
              <w:suppressLineNumbers w:val="0"/>
              <w:spacing w:before="0" w:beforeAutospacing="0" w:after="0" w:afterAutospacing="0"/>
              <w:ind w:left="0" w:right="0"/>
              <w:jc w:val="center"/>
              <w:textAlignment w:val="bottom"/>
              <w:rPr>
                <w:rFonts w:hint="eastAsia" w:hAnsi="Times New Roman" w:eastAsia="宋体"/>
                <w:b/>
                <w:bCs/>
                <w:kern w:val="2"/>
                <w:sz w:val="21"/>
                <w:szCs w:val="21"/>
              </w:rPr>
            </w:pPr>
            <w:r>
              <w:rPr>
                <w:rFonts w:hint="eastAsia" w:hAnsi="Times New Roman" w:eastAsia="宋体"/>
                <w:b/>
                <w:bCs/>
                <w:kern w:val="2"/>
                <w:sz w:val="21"/>
                <w:szCs w:val="21"/>
                <w:lang w:bidi="ar"/>
              </w:rPr>
              <w:t>分布区类型</w:t>
            </w:r>
          </w:p>
        </w:tc>
        <w:tc>
          <w:tcPr>
            <w:tcW w:w="501" w:type="pct"/>
            <w:tcBorders>
              <w:top w:val="single" w:color="auto" w:sz="4" w:space="0"/>
            </w:tcBorders>
            <w:vAlign w:val="bottom"/>
          </w:tcPr>
          <w:p>
            <w:pPr>
              <w:keepNext w:val="0"/>
              <w:keepLines w:val="0"/>
              <w:widowControl/>
              <w:suppressLineNumbers w:val="0"/>
              <w:spacing w:before="0" w:beforeAutospacing="0" w:after="0" w:afterAutospacing="0"/>
              <w:ind w:left="0" w:right="0"/>
              <w:jc w:val="center"/>
              <w:textAlignment w:val="bottom"/>
              <w:rPr>
                <w:rFonts w:hint="eastAsia" w:hAnsi="Times New Roman" w:eastAsia="宋体"/>
                <w:b/>
                <w:bCs/>
                <w:kern w:val="2"/>
                <w:sz w:val="21"/>
                <w:szCs w:val="21"/>
              </w:rPr>
            </w:pPr>
            <w:r>
              <w:rPr>
                <w:rFonts w:hint="eastAsia" w:hAnsi="Times New Roman" w:eastAsia="宋体"/>
                <w:b/>
                <w:bCs/>
                <w:kern w:val="2"/>
                <w:sz w:val="21"/>
                <w:szCs w:val="21"/>
                <w:lang w:bidi="ar"/>
              </w:rPr>
              <w:t>属数</w:t>
            </w:r>
          </w:p>
        </w:tc>
        <w:tc>
          <w:tcPr>
            <w:tcW w:w="951" w:type="pct"/>
            <w:tcBorders>
              <w:top w:val="single" w:color="auto" w:sz="4" w:space="0"/>
              <w:right w:val="single" w:color="auto" w:sz="4" w:space="0"/>
            </w:tcBorders>
            <w:vAlign w:val="bottom"/>
          </w:tcPr>
          <w:p>
            <w:pPr>
              <w:keepNext w:val="0"/>
              <w:keepLines w:val="0"/>
              <w:widowControl/>
              <w:suppressLineNumbers w:val="0"/>
              <w:spacing w:before="0" w:beforeAutospacing="0" w:after="0" w:afterAutospacing="0"/>
              <w:ind w:left="0" w:right="0"/>
              <w:jc w:val="center"/>
              <w:textAlignment w:val="bottom"/>
              <w:rPr>
                <w:rFonts w:hint="eastAsia" w:hAnsi="Times New Roman" w:eastAsia="宋体"/>
                <w:b/>
                <w:bCs/>
                <w:kern w:val="2"/>
                <w:sz w:val="21"/>
                <w:szCs w:val="21"/>
              </w:rPr>
            </w:pPr>
            <w:r>
              <w:rPr>
                <w:rFonts w:hint="eastAsia" w:hAnsi="Times New Roman" w:eastAsia="宋体"/>
                <w:b/>
                <w:bCs/>
                <w:kern w:val="2"/>
                <w:sz w:val="21"/>
                <w:szCs w:val="21"/>
                <w:lang w:bidi="ar"/>
              </w:rPr>
              <w:t>占总属数%</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547"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1世界分布</w:t>
            </w:r>
          </w:p>
        </w:tc>
        <w:tc>
          <w:tcPr>
            <w:tcW w:w="501"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32</w:t>
            </w:r>
          </w:p>
        </w:tc>
        <w:tc>
          <w:tcPr>
            <w:tcW w:w="951" w:type="pct"/>
            <w:tcBorders>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17.49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547"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2泛热带分布及其变型</w:t>
            </w:r>
          </w:p>
        </w:tc>
        <w:tc>
          <w:tcPr>
            <w:tcW w:w="501"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40</w:t>
            </w:r>
          </w:p>
        </w:tc>
        <w:tc>
          <w:tcPr>
            <w:tcW w:w="951" w:type="pct"/>
            <w:tcBorders>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21.86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547"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3热带亚洲和热带美洲间断分布</w:t>
            </w:r>
          </w:p>
        </w:tc>
        <w:tc>
          <w:tcPr>
            <w:tcW w:w="501"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7</w:t>
            </w:r>
          </w:p>
        </w:tc>
        <w:tc>
          <w:tcPr>
            <w:tcW w:w="951" w:type="pct"/>
            <w:tcBorders>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3.83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547"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4旧世界热带分布及其变型</w:t>
            </w:r>
          </w:p>
        </w:tc>
        <w:tc>
          <w:tcPr>
            <w:tcW w:w="501"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8</w:t>
            </w:r>
          </w:p>
        </w:tc>
        <w:tc>
          <w:tcPr>
            <w:tcW w:w="951" w:type="pct"/>
            <w:tcBorders>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4.37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547"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5热带亚洲至热带大洋洲分布及其变型</w:t>
            </w:r>
          </w:p>
        </w:tc>
        <w:tc>
          <w:tcPr>
            <w:tcW w:w="501"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6</w:t>
            </w:r>
          </w:p>
        </w:tc>
        <w:tc>
          <w:tcPr>
            <w:tcW w:w="951" w:type="pct"/>
            <w:tcBorders>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3.28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547"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6热带亚洲至热带非洲及其变型</w:t>
            </w:r>
          </w:p>
        </w:tc>
        <w:tc>
          <w:tcPr>
            <w:tcW w:w="501"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9</w:t>
            </w:r>
          </w:p>
        </w:tc>
        <w:tc>
          <w:tcPr>
            <w:tcW w:w="951" w:type="pct"/>
            <w:tcBorders>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4.92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547"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7热带亚洲分布及其变型</w:t>
            </w:r>
          </w:p>
        </w:tc>
        <w:tc>
          <w:tcPr>
            <w:tcW w:w="501"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11</w:t>
            </w:r>
          </w:p>
        </w:tc>
        <w:tc>
          <w:tcPr>
            <w:tcW w:w="951" w:type="pct"/>
            <w:tcBorders>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6.01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547"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8北温带分布及其变型</w:t>
            </w:r>
          </w:p>
        </w:tc>
        <w:tc>
          <w:tcPr>
            <w:tcW w:w="501"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34</w:t>
            </w:r>
          </w:p>
        </w:tc>
        <w:tc>
          <w:tcPr>
            <w:tcW w:w="951" w:type="pct"/>
            <w:tcBorders>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18.58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547"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9东亚和北美洲间断分布及其变型</w:t>
            </w:r>
          </w:p>
        </w:tc>
        <w:tc>
          <w:tcPr>
            <w:tcW w:w="501"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16</w:t>
            </w:r>
          </w:p>
        </w:tc>
        <w:tc>
          <w:tcPr>
            <w:tcW w:w="951" w:type="pct"/>
            <w:tcBorders>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8.74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547"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10旧世界温带分布及其变型</w:t>
            </w:r>
          </w:p>
        </w:tc>
        <w:tc>
          <w:tcPr>
            <w:tcW w:w="501"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9</w:t>
            </w:r>
          </w:p>
        </w:tc>
        <w:tc>
          <w:tcPr>
            <w:tcW w:w="951" w:type="pct"/>
            <w:tcBorders>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4.92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547"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11温带亚洲分布</w:t>
            </w:r>
          </w:p>
        </w:tc>
        <w:tc>
          <w:tcPr>
            <w:tcW w:w="501"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w:t>
            </w:r>
          </w:p>
        </w:tc>
        <w:tc>
          <w:tcPr>
            <w:tcW w:w="951" w:type="pct"/>
            <w:tcBorders>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0.55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547"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12地中海区、西亚至中亚分布及其变型</w:t>
            </w:r>
          </w:p>
        </w:tc>
        <w:tc>
          <w:tcPr>
            <w:tcW w:w="501"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2</w:t>
            </w:r>
          </w:p>
        </w:tc>
        <w:tc>
          <w:tcPr>
            <w:tcW w:w="951" w:type="pct"/>
            <w:tcBorders>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1.09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547"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13中亚分布及其变型</w:t>
            </w:r>
          </w:p>
        </w:tc>
        <w:tc>
          <w:tcPr>
            <w:tcW w:w="501"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5</w:t>
            </w:r>
          </w:p>
        </w:tc>
        <w:tc>
          <w:tcPr>
            <w:tcW w:w="951" w:type="pct"/>
            <w:tcBorders>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2.73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547"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w:t>
            </w:r>
            <w:r>
              <w:rPr>
                <w:rFonts w:hint="eastAsia" w:hAnsi="Times New Roman" w:eastAsia="宋体"/>
                <w:kern w:val="2"/>
                <w:sz w:val="21"/>
                <w:szCs w:val="21"/>
                <w:lang w:eastAsia="zh-CN"/>
              </w:rPr>
              <w:t>4</w:t>
            </w:r>
            <w:r>
              <w:rPr>
                <w:rFonts w:hint="eastAsia" w:hAnsi="Times New Roman" w:eastAsia="宋体"/>
                <w:kern w:val="2"/>
                <w:sz w:val="21"/>
                <w:szCs w:val="21"/>
              </w:rPr>
              <w:t>东亚分布及其变型</w:t>
            </w:r>
          </w:p>
        </w:tc>
        <w:tc>
          <w:tcPr>
            <w:tcW w:w="501"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3</w:t>
            </w:r>
          </w:p>
        </w:tc>
        <w:tc>
          <w:tcPr>
            <w:tcW w:w="951" w:type="pct"/>
            <w:tcBorders>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1.64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547"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w:t>
            </w:r>
            <w:r>
              <w:rPr>
                <w:rFonts w:hint="eastAsia" w:hAnsi="Times New Roman" w:eastAsia="宋体"/>
                <w:kern w:val="2"/>
                <w:sz w:val="21"/>
                <w:szCs w:val="21"/>
                <w:lang w:eastAsia="zh-CN"/>
              </w:rPr>
              <w:t>5</w:t>
            </w:r>
            <w:r>
              <w:rPr>
                <w:rFonts w:hint="eastAsia" w:hAnsi="Times New Roman" w:eastAsia="宋体"/>
                <w:kern w:val="2"/>
                <w:sz w:val="21"/>
                <w:szCs w:val="21"/>
              </w:rPr>
              <w:t>中国特有分布</w:t>
            </w:r>
          </w:p>
        </w:tc>
        <w:tc>
          <w:tcPr>
            <w:tcW w:w="501"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32</w:t>
            </w:r>
          </w:p>
        </w:tc>
        <w:tc>
          <w:tcPr>
            <w:tcW w:w="951" w:type="pct"/>
            <w:tcBorders>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17.49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547" w:type="pct"/>
            <w:tcBorders>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bookmarkStart w:id="182" w:name="_Toc10738154"/>
            <w:bookmarkStart w:id="183" w:name="_Toc30278"/>
            <w:r>
              <w:rPr>
                <w:rFonts w:hint="eastAsia" w:hAnsi="Times New Roman" w:eastAsia="宋体"/>
                <w:kern w:val="2"/>
                <w:sz w:val="21"/>
                <w:szCs w:val="21"/>
                <w:lang w:eastAsia="zh-CN"/>
              </w:rPr>
              <w:t>合计</w:t>
            </w:r>
          </w:p>
        </w:tc>
        <w:tc>
          <w:tcPr>
            <w:tcW w:w="501" w:type="pct"/>
            <w:tcBorders>
              <w:bottom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lang w:bidi="ar"/>
              </w:rPr>
            </w:pPr>
            <w:r>
              <w:rPr>
                <w:rFonts w:hint="eastAsia" w:hAnsi="Times New Roman" w:eastAsia="宋体"/>
                <w:kern w:val="2"/>
                <w:sz w:val="21"/>
                <w:szCs w:val="21"/>
                <w:lang w:eastAsia="zh-CN" w:bidi="ar"/>
              </w:rPr>
              <w:t>183</w:t>
            </w:r>
          </w:p>
        </w:tc>
        <w:tc>
          <w:tcPr>
            <w:tcW w:w="951" w:type="pct"/>
            <w:tcBorders>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lang w:bidi="ar"/>
              </w:rPr>
            </w:pPr>
            <w:r>
              <w:rPr>
                <w:rFonts w:hint="eastAsia" w:hAnsi="Times New Roman" w:eastAsia="宋体"/>
                <w:kern w:val="2"/>
                <w:sz w:val="21"/>
                <w:szCs w:val="21"/>
                <w:lang w:eastAsia="zh-CN" w:bidi="ar"/>
              </w:rPr>
              <w:t>100</w:t>
            </w:r>
          </w:p>
        </w:tc>
      </w:tr>
    </w:tbl>
    <w:p>
      <w:pPr>
        <w:spacing w:line="360" w:lineRule="auto"/>
        <w:rPr>
          <w:rFonts w:hAnsi="Times New Roman" w:eastAsia="宋体"/>
          <w:b/>
          <w:bCs/>
          <w:lang w:eastAsia="zh-CN"/>
        </w:rPr>
      </w:pPr>
      <w:r>
        <w:rPr>
          <w:rFonts w:hint="eastAsia" w:hAnsi="Times New Roman" w:eastAsia="宋体"/>
          <w:b/>
          <w:bCs/>
          <w:lang w:eastAsia="zh-CN"/>
        </w:rPr>
        <w:t>4.2.3.3</w:t>
      </w:r>
      <w:r>
        <w:rPr>
          <w:rFonts w:hAnsi="Times New Roman" w:eastAsia="宋体"/>
          <w:b/>
          <w:bCs/>
          <w:lang w:eastAsia="zh-CN"/>
        </w:rPr>
        <w:t xml:space="preserve"> 植被类型</w:t>
      </w:r>
      <w:bookmarkEnd w:id="182"/>
      <w:bookmarkEnd w:id="183"/>
    </w:p>
    <w:p>
      <w:pPr>
        <w:spacing w:line="360" w:lineRule="auto"/>
        <w:ind w:firstLine="480" w:firstLineChars="200"/>
        <w:rPr>
          <w:rFonts w:hAnsi="Times New Roman" w:eastAsia="宋体"/>
          <w:szCs w:val="24"/>
        </w:rPr>
      </w:pPr>
      <w:r>
        <w:rPr>
          <w:rFonts w:hAnsi="Times New Roman" w:eastAsia="宋体"/>
          <w:szCs w:val="24"/>
        </w:rPr>
        <w:t>按照《中国植被》和《四川植被》的分类原则，即植被型、群系和群丛三级分类方法，以及野外调查、整理出的样方和样线资料，对本项目区的自然植被进行分类。凡建群种生活型相近，群落外貌相似的植物群落联合的建群植物，对水热条件、生态关系一致组成的植物群落联合成为植被型组（</w:t>
      </w:r>
      <w:r>
        <w:rPr>
          <w:rFonts w:hAnsi="Times New Roman" w:eastAsia="宋体"/>
          <w:i/>
          <w:iCs/>
          <w:szCs w:val="24"/>
        </w:rPr>
        <w:t>Vegetationtype</w:t>
      </w:r>
      <w:r>
        <w:rPr>
          <w:rFonts w:hAnsi="Times New Roman" w:eastAsia="宋体"/>
          <w:szCs w:val="24"/>
        </w:rPr>
        <w:t>），是分类系统中的高级单位，用Ⅰ、Ⅱ、Ⅲ、……符号表示；在植被型组之下，设立植被型（</w:t>
      </w:r>
      <w:r>
        <w:rPr>
          <w:rFonts w:hAnsi="Times New Roman" w:eastAsia="宋体"/>
          <w:i/>
          <w:iCs/>
          <w:szCs w:val="24"/>
        </w:rPr>
        <w:t>Vegetationsubtype</w:t>
      </w:r>
      <w:r>
        <w:rPr>
          <w:rFonts w:hAnsi="Times New Roman" w:eastAsia="宋体"/>
          <w:szCs w:val="24"/>
        </w:rPr>
        <w:t>），作为植被型组的辅助单位，用一、二、三、……符号表示；植被亚型以下，凡建群种亲缘关系近似（同属或相近属），生活型近似，生态特点相同的植物群落联合为群系组（</w:t>
      </w:r>
      <w:r>
        <w:rPr>
          <w:rFonts w:hAnsi="Times New Roman" w:eastAsia="宋体"/>
          <w:i/>
          <w:iCs/>
          <w:szCs w:val="24"/>
        </w:rPr>
        <w:t>Formationgroup</w:t>
      </w:r>
      <w:r>
        <w:rPr>
          <w:rFonts w:hAnsi="Times New Roman" w:eastAsia="宋体"/>
          <w:szCs w:val="24"/>
        </w:rPr>
        <w:t>），属群系以上的辅助单位，用（一）、（二）（三）……符合表示；凡建群种和共建群种相同的植被群落联合为群系（</w:t>
      </w:r>
      <w:r>
        <w:rPr>
          <w:rFonts w:hAnsi="Times New Roman" w:eastAsia="宋体"/>
          <w:i/>
          <w:iCs/>
          <w:szCs w:val="24"/>
        </w:rPr>
        <w:t>Formation</w:t>
      </w:r>
      <w:r>
        <w:rPr>
          <w:rFonts w:hAnsi="Times New Roman" w:eastAsia="宋体"/>
          <w:szCs w:val="24"/>
        </w:rPr>
        <w:t>），是分类系统中的中级单位，用1，2，3……符号表示。</w:t>
      </w:r>
    </w:p>
    <w:p>
      <w:pPr>
        <w:spacing w:line="360" w:lineRule="auto"/>
        <w:ind w:firstLine="480" w:firstLineChars="200"/>
        <w:rPr>
          <w:rFonts w:hAnsi="Times New Roman" w:eastAsia="宋体"/>
          <w:szCs w:val="24"/>
        </w:rPr>
      </w:pPr>
      <w:r>
        <w:rPr>
          <w:rFonts w:hAnsi="Times New Roman" w:eastAsia="宋体"/>
          <w:szCs w:val="24"/>
        </w:rPr>
        <w:t>经实地调查，区域的植被类型主要有以下几种：</w:t>
      </w:r>
    </w:p>
    <w:p>
      <w:pPr>
        <w:jc w:val="center"/>
        <w:rPr>
          <w:rFonts w:hAnsi="Times New Roman" w:eastAsia="宋体"/>
          <w:b/>
          <w:sz w:val="21"/>
          <w:szCs w:val="21"/>
          <w:lang w:eastAsia="zh-CN"/>
        </w:rPr>
      </w:pPr>
      <w:r>
        <w:rPr>
          <w:rFonts w:hAnsi="Times New Roman" w:eastAsia="宋体"/>
          <w:b/>
          <w:sz w:val="21"/>
          <w:szCs w:val="21"/>
          <w:lang w:eastAsia="zh-CN"/>
        </w:rPr>
        <w:t>表</w:t>
      </w:r>
      <w:r>
        <w:rPr>
          <w:rFonts w:hint="eastAsia" w:hAnsi="Times New Roman" w:eastAsia="宋体"/>
          <w:b/>
          <w:sz w:val="21"/>
          <w:szCs w:val="21"/>
          <w:lang w:eastAsia="zh-CN"/>
        </w:rPr>
        <w:t>4.2-5</w:t>
      </w:r>
      <w:r>
        <w:rPr>
          <w:rFonts w:hAnsi="Times New Roman" w:eastAsia="宋体"/>
          <w:b/>
          <w:sz w:val="21"/>
          <w:szCs w:val="21"/>
          <w:lang w:eastAsia="zh-CN"/>
        </w:rPr>
        <w:t>评价区自然植被分类系统</w:t>
      </w:r>
    </w:p>
    <w:tbl>
      <w:tblPr>
        <w:tblStyle w:val="3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6"/>
        <w:gridCol w:w="1870"/>
        <w:gridCol w:w="1810"/>
        <w:gridCol w:w="1446"/>
        <w:gridCol w:w="1500"/>
        <w:gridCol w:w="1089"/>
        <w:gridCol w:w="10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287" w:type="pct"/>
            <w:vMerge w:val="restart"/>
            <w:vAlign w:val="center"/>
          </w:tcPr>
          <w:p>
            <w:pPr>
              <w:keepNext w:val="0"/>
              <w:keepLines w:val="0"/>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植被型组</w:t>
            </w:r>
          </w:p>
        </w:tc>
        <w:tc>
          <w:tcPr>
            <w:tcW w:w="1001" w:type="pct"/>
            <w:vMerge w:val="restart"/>
            <w:vAlign w:val="center"/>
          </w:tcPr>
          <w:p>
            <w:pPr>
              <w:keepNext w:val="0"/>
              <w:keepLines w:val="0"/>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植被型</w:t>
            </w:r>
          </w:p>
        </w:tc>
        <w:tc>
          <w:tcPr>
            <w:tcW w:w="969" w:type="pct"/>
            <w:vMerge w:val="restart"/>
            <w:vAlign w:val="center"/>
          </w:tcPr>
          <w:p>
            <w:pPr>
              <w:keepNext w:val="0"/>
              <w:keepLines w:val="0"/>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植被亚型</w:t>
            </w:r>
          </w:p>
        </w:tc>
        <w:tc>
          <w:tcPr>
            <w:tcW w:w="774" w:type="pct"/>
            <w:vMerge w:val="restart"/>
            <w:vAlign w:val="center"/>
          </w:tcPr>
          <w:p>
            <w:pPr>
              <w:keepNext w:val="0"/>
              <w:keepLines w:val="0"/>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群   系</w:t>
            </w:r>
          </w:p>
        </w:tc>
        <w:tc>
          <w:tcPr>
            <w:tcW w:w="801" w:type="pct"/>
            <w:vMerge w:val="restart"/>
            <w:vAlign w:val="center"/>
          </w:tcPr>
          <w:p>
            <w:pPr>
              <w:keepNext w:val="0"/>
              <w:keepLines w:val="0"/>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分布区域</w:t>
            </w:r>
          </w:p>
        </w:tc>
        <w:tc>
          <w:tcPr>
            <w:tcW w:w="1165" w:type="pct"/>
            <w:gridSpan w:val="2"/>
            <w:vAlign w:val="center"/>
          </w:tcPr>
          <w:p>
            <w:pPr>
              <w:keepNext w:val="0"/>
              <w:keepLines w:val="0"/>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工程占用情况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287" w:type="pct"/>
            <w:vMerge w:val="continue"/>
            <w:vAlign w:val="center"/>
          </w:tcPr>
          <w:p>
            <w:pPr>
              <w:keepNext w:val="0"/>
              <w:keepLines w:val="0"/>
              <w:widowControl/>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p>
        </w:tc>
        <w:tc>
          <w:tcPr>
            <w:tcW w:w="1001" w:type="pct"/>
            <w:vMerge w:val="continue"/>
            <w:vAlign w:val="center"/>
          </w:tcPr>
          <w:p>
            <w:pPr>
              <w:keepNext w:val="0"/>
              <w:keepLines w:val="0"/>
              <w:widowControl/>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p>
        </w:tc>
        <w:tc>
          <w:tcPr>
            <w:tcW w:w="969" w:type="pct"/>
            <w:vMerge w:val="continue"/>
            <w:vAlign w:val="center"/>
          </w:tcPr>
          <w:p>
            <w:pPr>
              <w:keepNext w:val="0"/>
              <w:keepLines w:val="0"/>
              <w:widowControl/>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p>
        </w:tc>
        <w:tc>
          <w:tcPr>
            <w:tcW w:w="774" w:type="pct"/>
            <w:vMerge w:val="continue"/>
            <w:vAlign w:val="center"/>
          </w:tcPr>
          <w:p>
            <w:pPr>
              <w:keepNext w:val="0"/>
              <w:keepLines w:val="0"/>
              <w:widowControl/>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p>
        </w:tc>
        <w:tc>
          <w:tcPr>
            <w:tcW w:w="801" w:type="pct"/>
            <w:vMerge w:val="continue"/>
            <w:vAlign w:val="center"/>
          </w:tcPr>
          <w:p>
            <w:pPr>
              <w:keepNext w:val="0"/>
              <w:keepLines w:val="0"/>
              <w:widowControl/>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p>
        </w:tc>
        <w:tc>
          <w:tcPr>
            <w:tcW w:w="583" w:type="pct"/>
            <w:vAlign w:val="center"/>
          </w:tcPr>
          <w:p>
            <w:pPr>
              <w:keepNext w:val="0"/>
              <w:keepLines w:val="0"/>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面积</w:t>
            </w:r>
          </w:p>
          <w:p>
            <w:pPr>
              <w:keepNext w:val="0"/>
              <w:keepLines w:val="0"/>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（hm</w:t>
            </w:r>
            <w:r>
              <w:rPr>
                <w:rFonts w:hint="eastAsia" w:hAnsi="Times New Roman" w:eastAsia="宋体"/>
                <w:kern w:val="2"/>
                <w:sz w:val="21"/>
                <w:szCs w:val="21"/>
                <w:vertAlign w:val="superscript"/>
              </w:rPr>
              <w:t>2</w:t>
            </w:r>
            <w:r>
              <w:rPr>
                <w:rFonts w:hint="eastAsia" w:hAnsi="Times New Roman" w:eastAsia="宋体"/>
                <w:kern w:val="2"/>
                <w:sz w:val="21"/>
                <w:szCs w:val="21"/>
              </w:rPr>
              <w:t>）</w:t>
            </w:r>
          </w:p>
        </w:tc>
        <w:tc>
          <w:tcPr>
            <w:tcW w:w="582" w:type="pct"/>
            <w:vAlign w:val="center"/>
          </w:tcPr>
          <w:p>
            <w:pPr>
              <w:keepNext w:val="0"/>
              <w:keepLines w:val="0"/>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比例</w:t>
            </w:r>
          </w:p>
          <w:p>
            <w:pPr>
              <w:keepNext w:val="0"/>
              <w:keepLines w:val="0"/>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7" w:type="pct"/>
            <w:vMerge w:val="restart"/>
            <w:vAlign w:val="center"/>
          </w:tcPr>
          <w:p>
            <w:pPr>
              <w:keepNext w:val="0"/>
              <w:keepLines w:val="0"/>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Ⅰ.针叶林</w:t>
            </w:r>
          </w:p>
        </w:tc>
        <w:tc>
          <w:tcPr>
            <w:tcW w:w="1001" w:type="pct"/>
            <w:vMerge w:val="restart"/>
            <w:vAlign w:val="center"/>
          </w:tcPr>
          <w:p>
            <w:pPr>
              <w:keepNext w:val="0"/>
              <w:keepLines w:val="0"/>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一、亚热带针叶林</w:t>
            </w:r>
          </w:p>
        </w:tc>
        <w:tc>
          <w:tcPr>
            <w:tcW w:w="969" w:type="pct"/>
            <w:vMerge w:val="restart"/>
            <w:vAlign w:val="center"/>
          </w:tcPr>
          <w:p>
            <w:pPr>
              <w:keepNext w:val="0"/>
              <w:keepLines w:val="0"/>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（一）亚热带常绿针叶林</w:t>
            </w:r>
          </w:p>
        </w:tc>
        <w:tc>
          <w:tcPr>
            <w:tcW w:w="774" w:type="pct"/>
            <w:vAlign w:val="center"/>
          </w:tcPr>
          <w:p>
            <w:pPr>
              <w:keepNext w:val="0"/>
              <w:keepLines w:val="0"/>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1.柏木林</w:t>
            </w:r>
          </w:p>
        </w:tc>
        <w:tc>
          <w:tcPr>
            <w:tcW w:w="801" w:type="pct"/>
            <w:vAlign w:val="center"/>
          </w:tcPr>
          <w:p>
            <w:pPr>
              <w:keepNext w:val="0"/>
              <w:keepLines w:val="0"/>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评价区广泛分布</w:t>
            </w:r>
          </w:p>
        </w:tc>
        <w:tc>
          <w:tcPr>
            <w:tcW w:w="583"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w:t>
            </w:r>
          </w:p>
        </w:tc>
        <w:tc>
          <w:tcPr>
            <w:tcW w:w="582"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287" w:type="pct"/>
            <w:vMerge w:val="continue"/>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p>
        </w:tc>
        <w:tc>
          <w:tcPr>
            <w:tcW w:w="1001" w:type="pct"/>
            <w:vMerge w:val="continue"/>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p>
        </w:tc>
        <w:tc>
          <w:tcPr>
            <w:tcW w:w="969" w:type="pct"/>
            <w:vMerge w:val="continue"/>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p>
        </w:tc>
        <w:tc>
          <w:tcPr>
            <w:tcW w:w="774"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2.马尾松林</w:t>
            </w:r>
          </w:p>
        </w:tc>
        <w:tc>
          <w:tcPr>
            <w:tcW w:w="801"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评价范围广泛分布</w:t>
            </w:r>
          </w:p>
        </w:tc>
        <w:tc>
          <w:tcPr>
            <w:tcW w:w="994"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w:t>
            </w:r>
          </w:p>
        </w:tc>
        <w:tc>
          <w:tcPr>
            <w:tcW w:w="992"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87" w:type="pct"/>
            <w:vMerge w:val="restart"/>
            <w:vAlign w:val="center"/>
          </w:tcPr>
          <w:p>
            <w:pPr>
              <w:keepNext w:val="0"/>
              <w:keepLines w:val="0"/>
              <w:suppressLineNumbers w:val="0"/>
              <w:adjustRightInd w:val="0"/>
              <w:snapToGrid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Ⅱ.</w:t>
            </w:r>
            <w:r>
              <w:rPr>
                <w:rFonts w:hint="eastAsia" w:hAnsi="Times New Roman" w:eastAsia="宋体"/>
                <w:kern w:val="2"/>
                <w:sz w:val="21"/>
                <w:szCs w:val="21"/>
                <w:lang w:eastAsia="zh-CN"/>
              </w:rPr>
              <w:t>灌丛</w:t>
            </w:r>
          </w:p>
        </w:tc>
        <w:tc>
          <w:tcPr>
            <w:tcW w:w="1001" w:type="pct"/>
            <w:vMerge w:val="restart"/>
            <w:vAlign w:val="center"/>
          </w:tcPr>
          <w:p>
            <w:pPr>
              <w:keepNext w:val="0"/>
              <w:keepLines w:val="0"/>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三、</w:t>
            </w:r>
            <w:r>
              <w:rPr>
                <w:rFonts w:hint="eastAsia" w:hAnsi="Times New Roman" w:eastAsia="宋体"/>
                <w:kern w:val="2"/>
                <w:sz w:val="21"/>
                <w:szCs w:val="21"/>
                <w:lang w:eastAsia="zh-CN"/>
              </w:rPr>
              <w:t>亚热带、热带阔叶灌丛（常含稀树）</w:t>
            </w:r>
          </w:p>
        </w:tc>
        <w:tc>
          <w:tcPr>
            <w:tcW w:w="969" w:type="pct"/>
            <w:vMerge w:val="restart"/>
            <w:vAlign w:val="center"/>
          </w:tcPr>
          <w:p>
            <w:pPr>
              <w:keepNext w:val="0"/>
              <w:keepLines w:val="0"/>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（四）亚热带、热带常绿阔叶、落叶阔叶灌丛（常含稀树）</w:t>
            </w:r>
          </w:p>
        </w:tc>
        <w:tc>
          <w:tcPr>
            <w:tcW w:w="774" w:type="pct"/>
            <w:vAlign w:val="center"/>
          </w:tcPr>
          <w:p>
            <w:pPr>
              <w:keepNext w:val="0"/>
              <w:keepLines w:val="0"/>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3.盐肤木灌丛</w:t>
            </w:r>
          </w:p>
        </w:tc>
        <w:tc>
          <w:tcPr>
            <w:tcW w:w="801" w:type="pct"/>
            <w:vAlign w:val="center"/>
          </w:tcPr>
          <w:p>
            <w:pPr>
              <w:keepNext w:val="0"/>
              <w:keepLines w:val="0"/>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主要分布在坡地及林缘地带</w:t>
            </w:r>
          </w:p>
        </w:tc>
        <w:tc>
          <w:tcPr>
            <w:tcW w:w="994"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w:t>
            </w:r>
          </w:p>
        </w:tc>
        <w:tc>
          <w:tcPr>
            <w:tcW w:w="992"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atLeast"/>
          <w:jc w:val="center"/>
        </w:trPr>
        <w:tc>
          <w:tcPr>
            <w:tcW w:w="287"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p>
        </w:tc>
        <w:tc>
          <w:tcPr>
            <w:tcW w:w="1001"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p>
        </w:tc>
        <w:tc>
          <w:tcPr>
            <w:tcW w:w="969"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p>
        </w:tc>
        <w:tc>
          <w:tcPr>
            <w:tcW w:w="774" w:type="pct"/>
            <w:vAlign w:val="center"/>
          </w:tcPr>
          <w:p>
            <w:pPr>
              <w:keepNext w:val="0"/>
              <w:keepLines w:val="0"/>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4.苎麻灌丛</w:t>
            </w:r>
          </w:p>
        </w:tc>
        <w:tc>
          <w:tcPr>
            <w:tcW w:w="801" w:type="pct"/>
            <w:vAlign w:val="center"/>
          </w:tcPr>
          <w:p>
            <w:pPr>
              <w:keepNext w:val="0"/>
              <w:keepLines w:val="0"/>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主要分布在坡地及林缘地带</w:t>
            </w:r>
          </w:p>
        </w:tc>
        <w:tc>
          <w:tcPr>
            <w:tcW w:w="994"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w:t>
            </w:r>
          </w:p>
        </w:tc>
        <w:tc>
          <w:tcPr>
            <w:tcW w:w="992"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287" w:type="pct"/>
            <w:vMerge w:val="restart"/>
            <w:vAlign w:val="center"/>
          </w:tcPr>
          <w:p>
            <w:pPr>
              <w:keepNext w:val="0"/>
              <w:keepLines w:val="0"/>
              <w:suppressLineNumbers w:val="0"/>
              <w:adjustRightInd w:val="0"/>
              <w:snapToGrid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Ⅲ</w:t>
            </w:r>
            <w:r>
              <w:rPr>
                <w:rFonts w:hint="eastAsia" w:hAnsi="Times New Roman" w:eastAsia="宋体"/>
                <w:kern w:val="2"/>
                <w:sz w:val="21"/>
                <w:szCs w:val="21"/>
                <w:lang w:eastAsia="zh-CN"/>
              </w:rPr>
              <w:t>.草丛</w:t>
            </w:r>
          </w:p>
        </w:tc>
        <w:tc>
          <w:tcPr>
            <w:tcW w:w="1001" w:type="pct"/>
            <w:vMerge w:val="restart"/>
            <w:vAlign w:val="center"/>
          </w:tcPr>
          <w:p>
            <w:pPr>
              <w:keepNext w:val="0"/>
              <w:keepLines w:val="0"/>
              <w:widowControl/>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四、</w:t>
            </w:r>
            <w:r>
              <w:rPr>
                <w:rFonts w:hint="eastAsia" w:hAnsi="Times New Roman" w:eastAsia="宋体"/>
                <w:kern w:val="2"/>
                <w:sz w:val="21"/>
                <w:szCs w:val="21"/>
              </w:rPr>
              <w:t>亚热带</w:t>
            </w:r>
            <w:r>
              <w:rPr>
                <w:rFonts w:hint="eastAsia" w:hAnsi="Times New Roman" w:eastAsia="宋体"/>
                <w:kern w:val="2"/>
                <w:sz w:val="21"/>
                <w:szCs w:val="21"/>
                <w:lang w:eastAsia="zh-CN"/>
              </w:rPr>
              <w:t>、热带</w:t>
            </w:r>
            <w:r>
              <w:rPr>
                <w:rFonts w:hint="eastAsia" w:hAnsi="Times New Roman" w:eastAsia="宋体"/>
                <w:kern w:val="2"/>
                <w:sz w:val="21"/>
                <w:szCs w:val="21"/>
              </w:rPr>
              <w:t>草丛</w:t>
            </w:r>
          </w:p>
        </w:tc>
        <w:tc>
          <w:tcPr>
            <w:tcW w:w="969" w:type="pct"/>
            <w:vMerge w:val="restart"/>
            <w:vAlign w:val="center"/>
          </w:tcPr>
          <w:p>
            <w:pPr>
              <w:keepNext w:val="0"/>
              <w:keepLines w:val="0"/>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（五）</w:t>
            </w:r>
            <w:r>
              <w:rPr>
                <w:rFonts w:hint="eastAsia" w:hAnsi="Times New Roman" w:eastAsia="宋体"/>
                <w:kern w:val="2"/>
                <w:sz w:val="21"/>
                <w:szCs w:val="21"/>
              </w:rPr>
              <w:t>亚热带</w:t>
            </w:r>
            <w:r>
              <w:rPr>
                <w:rFonts w:hint="eastAsia" w:hAnsi="Times New Roman" w:eastAsia="宋体"/>
                <w:kern w:val="2"/>
                <w:sz w:val="21"/>
                <w:szCs w:val="21"/>
                <w:lang w:eastAsia="zh-CN"/>
              </w:rPr>
              <w:t>、热带</w:t>
            </w:r>
            <w:r>
              <w:rPr>
                <w:rFonts w:hint="eastAsia" w:hAnsi="Times New Roman" w:eastAsia="宋体"/>
                <w:kern w:val="2"/>
                <w:sz w:val="21"/>
                <w:szCs w:val="21"/>
              </w:rPr>
              <w:t>草丛</w:t>
            </w:r>
          </w:p>
        </w:tc>
        <w:tc>
          <w:tcPr>
            <w:tcW w:w="774" w:type="pct"/>
            <w:vAlign w:val="center"/>
          </w:tcPr>
          <w:p>
            <w:pPr>
              <w:keepNext w:val="0"/>
              <w:keepLines w:val="0"/>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5.竹叶草草丛</w:t>
            </w:r>
          </w:p>
        </w:tc>
        <w:tc>
          <w:tcPr>
            <w:tcW w:w="801" w:type="pct"/>
            <w:vAlign w:val="center"/>
          </w:tcPr>
          <w:p>
            <w:pPr>
              <w:keepNext w:val="0"/>
              <w:keepLines w:val="0"/>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评价区内广泛分布</w:t>
            </w:r>
          </w:p>
        </w:tc>
        <w:tc>
          <w:tcPr>
            <w:tcW w:w="994"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w:t>
            </w:r>
          </w:p>
        </w:tc>
        <w:tc>
          <w:tcPr>
            <w:tcW w:w="992"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287" w:type="pct"/>
            <w:vMerge w:val="continue"/>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p>
        </w:tc>
        <w:tc>
          <w:tcPr>
            <w:tcW w:w="1001" w:type="pct"/>
            <w:vMerge w:val="continue"/>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p>
        </w:tc>
        <w:tc>
          <w:tcPr>
            <w:tcW w:w="969" w:type="pct"/>
            <w:vMerge w:val="continue"/>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p>
        </w:tc>
        <w:tc>
          <w:tcPr>
            <w:tcW w:w="774"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6.白茅草丛</w:t>
            </w:r>
          </w:p>
        </w:tc>
        <w:tc>
          <w:tcPr>
            <w:tcW w:w="801"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评价区内广泛分布</w:t>
            </w:r>
          </w:p>
        </w:tc>
        <w:tc>
          <w:tcPr>
            <w:tcW w:w="994"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w:t>
            </w:r>
          </w:p>
        </w:tc>
        <w:tc>
          <w:tcPr>
            <w:tcW w:w="992"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287" w:type="pct"/>
            <w:vAlign w:val="center"/>
          </w:tcPr>
          <w:p>
            <w:pPr>
              <w:keepNext w:val="0"/>
              <w:keepLines w:val="0"/>
              <w:suppressLineNumbers w:val="0"/>
              <w:adjustRightInd w:val="0"/>
              <w:snapToGrid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Ⅳ</w:t>
            </w:r>
            <w:r>
              <w:rPr>
                <w:rFonts w:hint="eastAsia" w:hAnsi="Times New Roman" w:eastAsia="宋体"/>
                <w:kern w:val="2"/>
                <w:sz w:val="21"/>
                <w:szCs w:val="21"/>
                <w:lang w:eastAsia="zh-CN"/>
              </w:rPr>
              <w:t>.栽培植被</w:t>
            </w:r>
          </w:p>
        </w:tc>
        <w:tc>
          <w:tcPr>
            <w:tcW w:w="1001" w:type="pct"/>
            <w:vAlign w:val="center"/>
          </w:tcPr>
          <w:p>
            <w:pPr>
              <w:keepNext w:val="0"/>
              <w:keepLines w:val="0"/>
              <w:widowControl/>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五、一年一熟粮食作物及耐寒经济作物</w:t>
            </w:r>
            <w:r>
              <w:rPr>
                <w:rFonts w:hint="eastAsia" w:hAnsi="Times New Roman" w:eastAsia="宋体"/>
                <w:kern w:val="2"/>
                <w:sz w:val="21"/>
                <w:szCs w:val="21"/>
              </w:rPr>
              <w:t>、落叶果树园</w:t>
            </w:r>
          </w:p>
        </w:tc>
        <w:tc>
          <w:tcPr>
            <w:tcW w:w="969" w:type="pct"/>
            <w:vAlign w:val="center"/>
          </w:tcPr>
          <w:p>
            <w:pPr>
              <w:keepNext w:val="0"/>
              <w:keepLines w:val="0"/>
              <w:widowControl/>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（六）一年一熟粮食作物及耐寒经济作物</w:t>
            </w:r>
          </w:p>
        </w:tc>
        <w:tc>
          <w:tcPr>
            <w:tcW w:w="774" w:type="pct"/>
            <w:vAlign w:val="center"/>
          </w:tcPr>
          <w:p>
            <w:pPr>
              <w:keepNext w:val="0"/>
              <w:keepLines w:val="0"/>
              <w:widowControl/>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7.欧洲油菜、青菜、稻</w:t>
            </w:r>
          </w:p>
        </w:tc>
        <w:tc>
          <w:tcPr>
            <w:tcW w:w="801" w:type="pct"/>
            <w:vAlign w:val="center"/>
          </w:tcPr>
          <w:p>
            <w:pPr>
              <w:keepNext w:val="0"/>
              <w:keepLines w:val="0"/>
              <w:widowControl/>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iCs/>
                <w:kern w:val="2"/>
                <w:sz w:val="21"/>
                <w:szCs w:val="21"/>
                <w:lang w:eastAsia="zh-CN"/>
              </w:rPr>
              <w:t>在评价区右下方分布</w:t>
            </w:r>
          </w:p>
        </w:tc>
        <w:tc>
          <w:tcPr>
            <w:tcW w:w="994"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w:t>
            </w:r>
          </w:p>
        </w:tc>
        <w:tc>
          <w:tcPr>
            <w:tcW w:w="992"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3834" w:type="pct"/>
            <w:gridSpan w:val="5"/>
            <w:vAlign w:val="center"/>
          </w:tcPr>
          <w:p>
            <w:pPr>
              <w:keepNext w:val="0"/>
              <w:keepLines w:val="0"/>
              <w:widowControl/>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其他</w:t>
            </w:r>
          </w:p>
        </w:tc>
        <w:tc>
          <w:tcPr>
            <w:tcW w:w="994"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w:t>
            </w:r>
          </w:p>
        </w:tc>
        <w:tc>
          <w:tcPr>
            <w:tcW w:w="992"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3834" w:type="pct"/>
            <w:gridSpan w:val="5"/>
            <w:vAlign w:val="center"/>
          </w:tcPr>
          <w:p>
            <w:pPr>
              <w:keepNext w:val="0"/>
              <w:keepLines w:val="0"/>
              <w:widowControl/>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合计</w:t>
            </w:r>
          </w:p>
        </w:tc>
        <w:tc>
          <w:tcPr>
            <w:tcW w:w="994"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w:t>
            </w:r>
          </w:p>
        </w:tc>
        <w:tc>
          <w:tcPr>
            <w:tcW w:w="992"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w:t>
            </w:r>
          </w:p>
        </w:tc>
      </w:tr>
    </w:tbl>
    <w:p>
      <w:pPr>
        <w:spacing w:line="360" w:lineRule="auto"/>
        <w:ind w:firstLine="480" w:firstLineChars="200"/>
        <w:rPr>
          <w:rFonts w:hAnsi="Times New Roman" w:eastAsia="宋体"/>
          <w:i/>
          <w:iCs/>
          <w:szCs w:val="24"/>
          <w:lang w:val="da-DK"/>
        </w:rPr>
      </w:pPr>
      <w:r>
        <w:rPr>
          <w:rFonts w:hAnsi="Times New Roman" w:eastAsia="宋体"/>
          <w:szCs w:val="24"/>
          <w:lang w:val="da-DK"/>
        </w:rPr>
        <w:t>1、</w:t>
      </w:r>
      <w:r>
        <w:rPr>
          <w:rFonts w:hAnsi="Times New Roman" w:eastAsia="宋体"/>
          <w:szCs w:val="24"/>
        </w:rPr>
        <w:t>柏木林</w:t>
      </w:r>
      <w:r>
        <w:rPr>
          <w:rFonts w:hAnsi="Times New Roman" w:eastAsia="宋体"/>
          <w:i/>
          <w:iCs/>
          <w:szCs w:val="24"/>
        </w:rPr>
        <w:t>Form.Cupressus funebris</w:t>
      </w:r>
    </w:p>
    <w:p>
      <w:pPr>
        <w:spacing w:line="360" w:lineRule="auto"/>
        <w:ind w:firstLine="480" w:firstLineChars="200"/>
        <w:rPr>
          <w:rFonts w:hAnsi="Times New Roman" w:eastAsia="宋体"/>
          <w:szCs w:val="24"/>
        </w:rPr>
      </w:pPr>
      <w:r>
        <w:rPr>
          <w:rFonts w:hAnsi="Times New Roman" w:eastAsia="宋体"/>
          <w:szCs w:val="24"/>
          <w:shd w:val="clear" w:color="auto" w:fill="FFFFFF"/>
          <w:lang w:eastAsia="zh-CN"/>
        </w:rPr>
        <w:t>柏木在评价区内广泛分布</w:t>
      </w:r>
      <w:r>
        <w:rPr>
          <w:rFonts w:hAnsi="Times New Roman" w:eastAsia="宋体"/>
          <w:szCs w:val="24"/>
          <w:shd w:val="clear" w:color="auto" w:fill="FFFFFF"/>
        </w:rPr>
        <w:t>，</w:t>
      </w:r>
      <w:r>
        <w:rPr>
          <w:rFonts w:hAnsi="Times New Roman" w:eastAsia="宋体"/>
          <w:szCs w:val="24"/>
        </w:rPr>
        <w:t>外貌苍绿</w:t>
      </w:r>
      <w:r>
        <w:rPr>
          <w:rFonts w:hAnsi="Times New Roman" w:eastAsia="宋体"/>
          <w:szCs w:val="24"/>
          <w:lang w:val="da-DK"/>
        </w:rPr>
        <w:t>，</w:t>
      </w:r>
      <w:r>
        <w:rPr>
          <w:rFonts w:hAnsi="Times New Roman" w:eastAsia="宋体"/>
          <w:szCs w:val="24"/>
        </w:rPr>
        <w:t>层次分明</w:t>
      </w:r>
      <w:r>
        <w:rPr>
          <w:rFonts w:hAnsi="Times New Roman" w:eastAsia="宋体"/>
          <w:szCs w:val="24"/>
          <w:lang w:val="da-DK"/>
        </w:rPr>
        <w:t>，</w:t>
      </w:r>
      <w:r>
        <w:rPr>
          <w:rFonts w:hAnsi="Times New Roman" w:eastAsia="宋体"/>
          <w:szCs w:val="24"/>
          <w:shd w:val="clear" w:color="auto" w:fill="FFFFFF"/>
          <w:lang w:eastAsia="zh-CN"/>
        </w:rPr>
        <w:t>喜温暖湿润气候</w:t>
      </w:r>
      <w:r>
        <w:rPr>
          <w:rFonts w:hAnsi="Times New Roman" w:eastAsia="宋体"/>
          <w:szCs w:val="24"/>
          <w:shd w:val="clear" w:color="auto" w:fill="FFFFFF"/>
        </w:rPr>
        <w:t>。</w:t>
      </w:r>
      <w:r>
        <w:rPr>
          <w:rFonts w:hAnsi="Times New Roman" w:eastAsia="宋体"/>
          <w:szCs w:val="24"/>
        </w:rPr>
        <w:t>评价区分布的</w:t>
      </w:r>
      <w:r>
        <w:rPr>
          <w:rFonts w:hAnsi="Times New Roman" w:eastAsia="宋体"/>
          <w:szCs w:val="24"/>
          <w:lang w:eastAsia="zh-CN"/>
        </w:rPr>
        <w:t>柏木</w:t>
      </w:r>
      <w:r>
        <w:rPr>
          <w:rFonts w:hAnsi="Times New Roman" w:eastAsia="宋体"/>
          <w:szCs w:val="24"/>
        </w:rPr>
        <w:t>均为</w:t>
      </w:r>
      <w:r>
        <w:rPr>
          <w:rFonts w:hAnsi="Times New Roman" w:eastAsia="宋体"/>
          <w:szCs w:val="24"/>
          <w:lang w:eastAsia="zh-CN"/>
        </w:rPr>
        <w:t>人工林</w:t>
      </w:r>
      <w:r>
        <w:rPr>
          <w:rFonts w:hAnsi="Times New Roman" w:eastAsia="宋体"/>
          <w:szCs w:val="24"/>
        </w:rPr>
        <w:t>。群落郁闭度在0.</w:t>
      </w:r>
      <w:r>
        <w:rPr>
          <w:rFonts w:hAnsi="Times New Roman" w:eastAsia="宋体"/>
          <w:szCs w:val="24"/>
          <w:lang w:eastAsia="zh-CN"/>
        </w:rPr>
        <w:t>6</w:t>
      </w:r>
      <w:r>
        <w:rPr>
          <w:rFonts w:hAnsi="Times New Roman" w:eastAsia="宋体"/>
          <w:szCs w:val="24"/>
        </w:rPr>
        <w:t>-0.</w:t>
      </w:r>
      <w:r>
        <w:rPr>
          <w:rFonts w:hAnsi="Times New Roman" w:eastAsia="宋体"/>
          <w:szCs w:val="24"/>
          <w:lang w:eastAsia="zh-CN"/>
        </w:rPr>
        <w:t>7</w:t>
      </w:r>
      <w:r>
        <w:rPr>
          <w:rFonts w:hAnsi="Times New Roman" w:eastAsia="宋体"/>
          <w:szCs w:val="24"/>
        </w:rPr>
        <w:t>左右，平均胸径</w:t>
      </w:r>
      <w:r>
        <w:rPr>
          <w:rFonts w:hAnsi="Times New Roman" w:eastAsia="宋体"/>
          <w:szCs w:val="24"/>
          <w:lang w:eastAsia="zh-CN"/>
        </w:rPr>
        <w:t>15</w:t>
      </w:r>
      <w:r>
        <w:rPr>
          <w:rFonts w:hint="eastAsia" w:hAnsi="Times New Roman" w:eastAsia="宋体"/>
          <w:szCs w:val="24"/>
          <w:lang w:eastAsia="zh-CN"/>
        </w:rPr>
        <w:t>～</w:t>
      </w:r>
      <w:r>
        <w:rPr>
          <w:rFonts w:hAnsi="Times New Roman" w:eastAsia="宋体"/>
          <w:szCs w:val="24"/>
          <w:lang w:eastAsia="zh-CN"/>
        </w:rPr>
        <w:t>25c</w:t>
      </w:r>
      <w:r>
        <w:rPr>
          <w:rFonts w:hAnsi="Times New Roman" w:eastAsia="宋体"/>
          <w:szCs w:val="24"/>
        </w:rPr>
        <w:t>m，林层</w:t>
      </w:r>
      <w:r>
        <w:rPr>
          <w:rFonts w:hAnsi="Times New Roman" w:eastAsia="宋体"/>
          <w:szCs w:val="24"/>
          <w:lang w:eastAsia="zh-CN"/>
        </w:rPr>
        <w:t>平均</w:t>
      </w:r>
      <w:r>
        <w:rPr>
          <w:rFonts w:hAnsi="Times New Roman" w:eastAsia="宋体"/>
          <w:szCs w:val="24"/>
        </w:rPr>
        <w:t>高度在</w:t>
      </w:r>
      <w:r>
        <w:rPr>
          <w:rFonts w:hAnsi="Times New Roman" w:eastAsia="宋体"/>
          <w:szCs w:val="24"/>
          <w:lang w:eastAsia="zh-CN"/>
        </w:rPr>
        <w:t>7</w:t>
      </w:r>
      <w:r>
        <w:rPr>
          <w:rFonts w:hAnsi="Times New Roman" w:eastAsia="宋体"/>
          <w:szCs w:val="24"/>
        </w:rPr>
        <w:t>-</w:t>
      </w:r>
      <w:r>
        <w:rPr>
          <w:rFonts w:hAnsi="Times New Roman" w:eastAsia="宋体"/>
          <w:szCs w:val="24"/>
          <w:lang w:eastAsia="zh-CN"/>
        </w:rPr>
        <w:t>9</w:t>
      </w:r>
      <w:r>
        <w:rPr>
          <w:rFonts w:hAnsi="Times New Roman" w:eastAsia="宋体"/>
          <w:szCs w:val="24"/>
        </w:rPr>
        <w:t>m左右。乔木层中</w:t>
      </w:r>
      <w:r>
        <w:rPr>
          <w:rFonts w:hAnsi="Times New Roman" w:eastAsia="宋体"/>
          <w:szCs w:val="24"/>
          <w:lang w:eastAsia="zh-CN"/>
        </w:rPr>
        <w:t>柏木</w:t>
      </w:r>
      <w:r>
        <w:rPr>
          <w:rFonts w:hAnsi="Times New Roman" w:eastAsia="宋体"/>
          <w:szCs w:val="24"/>
        </w:rPr>
        <w:t>为优势种，偶有</w:t>
      </w:r>
      <w:r>
        <w:rPr>
          <w:rFonts w:hAnsi="Times New Roman" w:eastAsia="宋体"/>
          <w:szCs w:val="24"/>
          <w:lang w:eastAsia="zh-CN"/>
        </w:rPr>
        <w:t>杉木、马尾松、慈竹、构树</w:t>
      </w:r>
      <w:r>
        <w:rPr>
          <w:rFonts w:hAnsi="Times New Roman" w:eastAsia="宋体"/>
          <w:szCs w:val="24"/>
        </w:rPr>
        <w:t>混生。</w:t>
      </w:r>
      <w:r>
        <w:rPr>
          <w:rFonts w:hAnsi="Times New Roman" w:eastAsia="宋体"/>
          <w:szCs w:val="24"/>
          <w:lang w:eastAsia="zh-CN"/>
        </w:rPr>
        <w:t>林下</w:t>
      </w:r>
      <w:r>
        <w:rPr>
          <w:rFonts w:hAnsi="Times New Roman" w:eastAsia="宋体"/>
          <w:szCs w:val="24"/>
        </w:rPr>
        <w:t>灌木层植物主要有黄荆、马桑、水麻、八角枫、插田泡、高粱泡、白簕等，灌木层盖度为</w:t>
      </w:r>
      <w:r>
        <w:rPr>
          <w:rFonts w:hAnsi="Times New Roman" w:eastAsia="宋体"/>
          <w:szCs w:val="24"/>
          <w:lang w:eastAsia="zh-CN"/>
        </w:rPr>
        <w:t>10</w:t>
      </w:r>
      <w:r>
        <w:rPr>
          <w:rFonts w:hAnsi="Times New Roman" w:eastAsia="宋体"/>
          <w:szCs w:val="24"/>
        </w:rPr>
        <w:t>-</w:t>
      </w:r>
      <w:r>
        <w:rPr>
          <w:rFonts w:hAnsi="Times New Roman" w:eastAsia="宋体"/>
          <w:szCs w:val="24"/>
          <w:lang w:eastAsia="zh-CN"/>
        </w:rPr>
        <w:t>20</w:t>
      </w:r>
      <w:r>
        <w:rPr>
          <w:rFonts w:hAnsi="Times New Roman" w:eastAsia="宋体"/>
          <w:szCs w:val="24"/>
        </w:rPr>
        <w:t>%；</w:t>
      </w:r>
      <w:r>
        <w:rPr>
          <w:rFonts w:hAnsi="Times New Roman" w:eastAsia="宋体"/>
          <w:szCs w:val="24"/>
          <w:lang w:eastAsia="zh-CN"/>
        </w:rPr>
        <w:t>林下</w:t>
      </w:r>
      <w:r>
        <w:rPr>
          <w:rFonts w:hAnsi="Times New Roman" w:eastAsia="宋体"/>
          <w:szCs w:val="24"/>
        </w:rPr>
        <w:t>草本层植物主要以蕨类和</w:t>
      </w:r>
      <w:r>
        <w:rPr>
          <w:rFonts w:hAnsi="Times New Roman" w:eastAsia="宋体"/>
          <w:szCs w:val="24"/>
          <w:lang w:eastAsia="zh-CN"/>
        </w:rPr>
        <w:t>禾本科</w:t>
      </w:r>
      <w:r>
        <w:rPr>
          <w:rFonts w:hAnsi="Times New Roman" w:eastAsia="宋体"/>
          <w:szCs w:val="24"/>
        </w:rPr>
        <w:t>种类为主，常见的有</w:t>
      </w:r>
      <w:r>
        <w:rPr>
          <w:rFonts w:hAnsi="Times New Roman" w:eastAsia="宋体"/>
          <w:szCs w:val="24"/>
          <w:lang w:eastAsia="zh-CN"/>
        </w:rPr>
        <w:t>白茅、莠竹、芒、里白、</w:t>
      </w:r>
      <w:r>
        <w:rPr>
          <w:rFonts w:hAnsi="Times New Roman" w:eastAsia="宋体"/>
          <w:szCs w:val="24"/>
        </w:rPr>
        <w:t>荩草、竹叶草、求米草、冷水花、葛、臭鸡矢藤、狗尾草、商陆等</w:t>
      </w:r>
      <w:r>
        <w:rPr>
          <w:rFonts w:hAnsi="Times New Roman" w:eastAsia="宋体"/>
          <w:szCs w:val="24"/>
          <w:lang w:eastAsia="zh-CN"/>
        </w:rPr>
        <w:t>，</w:t>
      </w:r>
      <w:r>
        <w:rPr>
          <w:rFonts w:hAnsi="Times New Roman" w:eastAsia="宋体"/>
          <w:szCs w:val="24"/>
        </w:rPr>
        <w:t>草本层盖度为2</w:t>
      </w:r>
      <w:r>
        <w:rPr>
          <w:rFonts w:hAnsi="Times New Roman" w:eastAsia="宋体"/>
          <w:szCs w:val="24"/>
          <w:lang w:eastAsia="zh-CN"/>
        </w:rPr>
        <w:t>0</w:t>
      </w:r>
      <w:r>
        <w:rPr>
          <w:rFonts w:hAnsi="Times New Roman" w:eastAsia="宋体"/>
          <w:szCs w:val="24"/>
        </w:rPr>
        <w:t>-35%左右。</w:t>
      </w:r>
    </w:p>
    <w:tbl>
      <w:tblPr>
        <w:tblStyle w:val="3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71"/>
        <w:gridCol w:w="46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tcPr>
          <w:p>
            <w:pPr>
              <w:keepNext w:val="0"/>
              <w:keepLines w:val="0"/>
              <w:suppressLineNumbers w:val="0"/>
              <w:spacing w:before="0" w:beforeAutospacing="0" w:after="0" w:afterAutospacing="0" w:line="360" w:lineRule="auto"/>
              <w:ind w:left="0" w:right="0"/>
              <w:jc w:val="center"/>
              <w:rPr>
                <w:rFonts w:hint="eastAsia" w:hAnsi="Times New Roman" w:eastAsia="宋体"/>
                <w:kern w:val="2"/>
                <w:szCs w:val="24"/>
              </w:rPr>
            </w:pPr>
            <w:r>
              <w:rPr>
                <w:rFonts w:hint="eastAsia" w:hAnsi="Times New Roman" w:eastAsia="宋体"/>
                <w:kern w:val="2"/>
                <w:szCs w:val="24"/>
              </w:rPr>
              <w:drawing>
                <wp:inline distT="0" distB="0" distL="114300" distR="114300">
                  <wp:extent cx="2709545" cy="2032000"/>
                  <wp:effectExtent l="0" t="0" r="0" b="6350"/>
                  <wp:docPr id="710608541" name="图片 710608541" descr="IMG_20240201_104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608541" name="图片 710608541" descr="IMG_20240201_104224"/>
                          <pic:cNvPicPr>
                            <a:picLocks noChangeAspect="1"/>
                          </pic:cNvPicPr>
                        </pic:nvPicPr>
                        <pic:blipFill>
                          <a:blip r:embed="rId78"/>
                          <a:stretch>
                            <a:fillRect/>
                          </a:stretch>
                        </pic:blipFill>
                        <pic:spPr>
                          <a:xfrm>
                            <a:off x="0" y="0"/>
                            <a:ext cx="2713455" cy="2034920"/>
                          </a:xfrm>
                          <a:prstGeom prst="rect">
                            <a:avLst/>
                          </a:prstGeom>
                        </pic:spPr>
                      </pic:pic>
                    </a:graphicData>
                  </a:graphic>
                </wp:inline>
              </w:drawing>
            </w:r>
          </w:p>
        </w:tc>
        <w:tc>
          <w:tcPr>
            <w:tcW w:w="2500" w:type="pct"/>
          </w:tcPr>
          <w:p>
            <w:pPr>
              <w:keepNext w:val="0"/>
              <w:keepLines w:val="0"/>
              <w:suppressLineNumbers w:val="0"/>
              <w:spacing w:before="0" w:beforeAutospacing="0" w:after="0" w:afterAutospacing="0" w:line="360" w:lineRule="auto"/>
              <w:ind w:left="0" w:right="0"/>
              <w:jc w:val="center"/>
              <w:rPr>
                <w:rFonts w:hint="eastAsia" w:hAnsi="Times New Roman" w:eastAsia="宋体"/>
                <w:kern w:val="2"/>
                <w:szCs w:val="24"/>
              </w:rPr>
            </w:pPr>
            <w:r>
              <w:rPr>
                <w:rFonts w:hint="eastAsia" w:hAnsi="Times New Roman" w:eastAsia="宋体"/>
                <w:kern w:val="2"/>
                <w:szCs w:val="24"/>
              </w:rPr>
              <w:drawing>
                <wp:inline distT="0" distB="0" distL="114300" distR="114300">
                  <wp:extent cx="2765425" cy="2073910"/>
                  <wp:effectExtent l="0" t="0" r="0" b="2540"/>
                  <wp:docPr id="1953237474" name="图片 1953237474" descr="IMG_20240201_10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237474" name="图片 1953237474" descr="IMG_20240201_101105"/>
                          <pic:cNvPicPr>
                            <a:picLocks noChangeAspect="1"/>
                          </pic:cNvPicPr>
                        </pic:nvPicPr>
                        <pic:blipFill>
                          <a:blip r:embed="rId79"/>
                          <a:stretch>
                            <a:fillRect/>
                          </a:stretch>
                        </pic:blipFill>
                        <pic:spPr>
                          <a:xfrm>
                            <a:off x="0" y="0"/>
                            <a:ext cx="2768610" cy="2076283"/>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2"/>
          </w:tcPr>
          <w:p>
            <w:pPr>
              <w:keepNext w:val="0"/>
              <w:keepLines w:val="0"/>
              <w:suppressLineNumbers w:val="0"/>
              <w:spacing w:before="0" w:beforeAutospacing="0" w:after="0" w:afterAutospacing="0" w:line="360" w:lineRule="auto"/>
              <w:ind w:left="0" w:right="0" w:firstLine="420"/>
              <w:jc w:val="center"/>
              <w:rPr>
                <w:rFonts w:hint="eastAsia" w:hAnsi="Times New Roman" w:eastAsia="宋体"/>
                <w:b/>
                <w:bCs/>
                <w:kern w:val="2"/>
                <w:sz w:val="21"/>
                <w:szCs w:val="21"/>
              </w:rPr>
            </w:pPr>
            <w:r>
              <w:rPr>
                <w:rFonts w:hint="eastAsia" w:hAnsi="Times New Roman" w:eastAsia="宋体"/>
                <w:b/>
                <w:bCs/>
                <w:kern w:val="2"/>
                <w:sz w:val="21"/>
                <w:szCs w:val="21"/>
                <w:lang w:eastAsia="zh-CN"/>
              </w:rPr>
              <w:t>柏木林</w:t>
            </w:r>
          </w:p>
        </w:tc>
      </w:tr>
    </w:tbl>
    <w:p>
      <w:pPr>
        <w:spacing w:line="360" w:lineRule="auto"/>
        <w:ind w:firstLine="480" w:firstLineChars="200"/>
        <w:rPr>
          <w:rFonts w:hAnsi="Times New Roman" w:eastAsia="宋体"/>
          <w:i/>
          <w:iCs/>
          <w:szCs w:val="24"/>
        </w:rPr>
      </w:pPr>
      <w:r>
        <w:rPr>
          <w:rFonts w:hAnsi="Times New Roman" w:eastAsia="宋体"/>
          <w:szCs w:val="24"/>
        </w:rPr>
        <w:t>2</w:t>
      </w:r>
      <w:r>
        <w:rPr>
          <w:rFonts w:hAnsi="Times New Roman" w:eastAsia="宋体"/>
          <w:szCs w:val="24"/>
          <w:lang w:val="da-DK"/>
        </w:rPr>
        <w:t>、</w:t>
      </w:r>
      <w:r>
        <w:rPr>
          <w:rFonts w:hAnsi="Times New Roman" w:eastAsia="宋体"/>
          <w:szCs w:val="24"/>
        </w:rPr>
        <w:t>马尾松林</w:t>
      </w:r>
      <w:r>
        <w:rPr>
          <w:rFonts w:hAnsi="Times New Roman" w:eastAsia="宋体"/>
          <w:i/>
          <w:iCs/>
          <w:szCs w:val="24"/>
        </w:rPr>
        <w:t>Form.Pinus massoniana</w:t>
      </w:r>
    </w:p>
    <w:p>
      <w:pPr>
        <w:spacing w:line="360" w:lineRule="auto"/>
        <w:ind w:firstLine="480" w:firstLineChars="200"/>
        <w:rPr>
          <w:rFonts w:hAnsi="Times New Roman" w:eastAsia="宋体"/>
          <w:szCs w:val="24"/>
        </w:rPr>
      </w:pPr>
      <w:r>
        <w:rPr>
          <w:rFonts w:hAnsi="Times New Roman" w:eastAsia="宋体"/>
          <w:szCs w:val="24"/>
          <w:shd w:val="clear" w:color="auto" w:fill="FFFFFF"/>
          <w:lang w:eastAsia="zh-CN"/>
        </w:rPr>
        <w:t>马尾松主要在评价区内坡地片状分布</w:t>
      </w:r>
      <w:r>
        <w:rPr>
          <w:rFonts w:hAnsi="Times New Roman" w:eastAsia="宋体"/>
          <w:szCs w:val="24"/>
          <w:shd w:val="clear" w:color="auto" w:fill="FFFFFF"/>
        </w:rPr>
        <w:t>，为喜光、</w:t>
      </w:r>
      <w:r>
        <w:rPr>
          <w:rFonts w:hAnsi="Times New Roman" w:eastAsia="宋体"/>
          <w:szCs w:val="24"/>
          <w:shd w:val="clear" w:color="auto" w:fill="FFFFFF"/>
          <w:lang w:eastAsia="zh-CN"/>
        </w:rPr>
        <w:t>喜温、</w:t>
      </w:r>
      <w:r>
        <w:rPr>
          <w:rFonts w:hAnsi="Times New Roman" w:eastAsia="宋体"/>
          <w:szCs w:val="24"/>
          <w:shd w:val="clear" w:color="auto" w:fill="FFFFFF"/>
        </w:rPr>
        <w:t>深根性树种。</w:t>
      </w:r>
      <w:r>
        <w:rPr>
          <w:rFonts w:hAnsi="Times New Roman" w:eastAsia="宋体"/>
          <w:szCs w:val="24"/>
        </w:rPr>
        <w:t>评价区分布的</w:t>
      </w:r>
      <w:r>
        <w:rPr>
          <w:rFonts w:hAnsi="Times New Roman" w:eastAsia="宋体"/>
          <w:szCs w:val="24"/>
          <w:lang w:eastAsia="zh-CN"/>
        </w:rPr>
        <w:t>马尾松</w:t>
      </w:r>
      <w:r>
        <w:rPr>
          <w:rFonts w:hAnsi="Times New Roman" w:eastAsia="宋体"/>
          <w:szCs w:val="24"/>
        </w:rPr>
        <w:t>均为</w:t>
      </w:r>
      <w:r>
        <w:rPr>
          <w:rFonts w:hAnsi="Times New Roman" w:eastAsia="宋体"/>
          <w:szCs w:val="24"/>
          <w:lang w:eastAsia="zh-CN"/>
        </w:rPr>
        <w:t>人工林</w:t>
      </w:r>
      <w:r>
        <w:rPr>
          <w:rFonts w:hAnsi="Times New Roman" w:eastAsia="宋体"/>
          <w:szCs w:val="24"/>
        </w:rPr>
        <w:t>。群落郁闭度在0.</w:t>
      </w:r>
      <w:r>
        <w:rPr>
          <w:rFonts w:hAnsi="Times New Roman" w:eastAsia="宋体"/>
          <w:szCs w:val="24"/>
          <w:lang w:eastAsia="zh-CN"/>
        </w:rPr>
        <w:t>55</w:t>
      </w:r>
      <w:r>
        <w:rPr>
          <w:rFonts w:hAnsi="Times New Roman" w:eastAsia="宋体"/>
          <w:szCs w:val="24"/>
        </w:rPr>
        <w:t>-0.</w:t>
      </w:r>
      <w:r>
        <w:rPr>
          <w:rFonts w:hAnsi="Times New Roman" w:eastAsia="宋体"/>
          <w:szCs w:val="24"/>
          <w:lang w:eastAsia="zh-CN"/>
        </w:rPr>
        <w:t>65</w:t>
      </w:r>
      <w:r>
        <w:rPr>
          <w:rFonts w:hAnsi="Times New Roman" w:eastAsia="宋体"/>
          <w:szCs w:val="24"/>
        </w:rPr>
        <w:t>左右，平均胸径</w:t>
      </w:r>
      <w:r>
        <w:rPr>
          <w:rFonts w:hAnsi="Times New Roman" w:eastAsia="宋体"/>
          <w:szCs w:val="24"/>
          <w:lang w:eastAsia="zh-CN"/>
        </w:rPr>
        <w:t>16</w:t>
      </w:r>
      <w:r>
        <w:rPr>
          <w:rFonts w:hint="eastAsia" w:hAnsi="Times New Roman" w:eastAsia="宋体"/>
          <w:szCs w:val="24"/>
          <w:lang w:eastAsia="zh-CN"/>
        </w:rPr>
        <w:t>～</w:t>
      </w:r>
      <w:r>
        <w:rPr>
          <w:rFonts w:hAnsi="Times New Roman" w:eastAsia="宋体"/>
          <w:szCs w:val="24"/>
          <w:lang w:eastAsia="zh-CN"/>
        </w:rPr>
        <w:t>23c</w:t>
      </w:r>
      <w:r>
        <w:rPr>
          <w:rFonts w:hAnsi="Times New Roman" w:eastAsia="宋体"/>
          <w:szCs w:val="24"/>
        </w:rPr>
        <w:t>m，林层</w:t>
      </w:r>
      <w:r>
        <w:rPr>
          <w:rFonts w:hAnsi="Times New Roman" w:eastAsia="宋体"/>
          <w:szCs w:val="24"/>
          <w:lang w:eastAsia="zh-CN"/>
        </w:rPr>
        <w:t>平均</w:t>
      </w:r>
      <w:r>
        <w:rPr>
          <w:rFonts w:hAnsi="Times New Roman" w:eastAsia="宋体"/>
          <w:szCs w:val="24"/>
        </w:rPr>
        <w:t>高度在</w:t>
      </w:r>
      <w:r>
        <w:rPr>
          <w:rFonts w:hAnsi="Times New Roman" w:eastAsia="宋体"/>
          <w:szCs w:val="24"/>
          <w:lang w:eastAsia="zh-CN"/>
        </w:rPr>
        <w:t>8</w:t>
      </w:r>
      <w:r>
        <w:rPr>
          <w:rFonts w:hAnsi="Times New Roman" w:eastAsia="宋体"/>
          <w:szCs w:val="24"/>
        </w:rPr>
        <w:t>-</w:t>
      </w:r>
      <w:r>
        <w:rPr>
          <w:rFonts w:hAnsi="Times New Roman" w:eastAsia="宋体"/>
          <w:szCs w:val="24"/>
          <w:lang w:eastAsia="zh-CN"/>
        </w:rPr>
        <w:t>15</w:t>
      </w:r>
      <w:r>
        <w:rPr>
          <w:rFonts w:hAnsi="Times New Roman" w:eastAsia="宋体"/>
          <w:szCs w:val="24"/>
        </w:rPr>
        <w:t>m左右。乔木层中</w:t>
      </w:r>
      <w:r>
        <w:rPr>
          <w:rFonts w:hAnsi="Times New Roman" w:eastAsia="宋体"/>
          <w:szCs w:val="24"/>
          <w:lang w:eastAsia="zh-CN"/>
        </w:rPr>
        <w:t>马尾松</w:t>
      </w:r>
      <w:r>
        <w:rPr>
          <w:rFonts w:hAnsi="Times New Roman" w:eastAsia="宋体"/>
          <w:szCs w:val="24"/>
        </w:rPr>
        <w:t>为优势种，偶有</w:t>
      </w:r>
      <w:r>
        <w:rPr>
          <w:rFonts w:hAnsi="Times New Roman" w:eastAsia="宋体"/>
          <w:szCs w:val="24"/>
          <w:lang w:eastAsia="zh-CN"/>
        </w:rPr>
        <w:t>湿地松、麻栎、杉木、青冈</w:t>
      </w:r>
      <w:r>
        <w:rPr>
          <w:rFonts w:hAnsi="Times New Roman" w:eastAsia="宋体"/>
          <w:szCs w:val="24"/>
        </w:rPr>
        <w:t>混生</w:t>
      </w:r>
      <w:r>
        <w:rPr>
          <w:rFonts w:hAnsi="Times New Roman" w:eastAsia="宋体"/>
          <w:szCs w:val="24"/>
          <w:lang w:eastAsia="zh-CN"/>
        </w:rPr>
        <w:t>，在其周边零星分布有香椿、栾树等其他乔木</w:t>
      </w:r>
      <w:r>
        <w:rPr>
          <w:rFonts w:hAnsi="Times New Roman" w:eastAsia="宋体"/>
          <w:szCs w:val="24"/>
        </w:rPr>
        <w:t>。</w:t>
      </w:r>
      <w:r>
        <w:rPr>
          <w:rFonts w:hAnsi="Times New Roman" w:eastAsia="宋体"/>
          <w:szCs w:val="24"/>
          <w:lang w:eastAsia="zh-CN"/>
        </w:rPr>
        <w:t>林下</w:t>
      </w:r>
      <w:r>
        <w:rPr>
          <w:rFonts w:hAnsi="Times New Roman" w:eastAsia="宋体"/>
          <w:szCs w:val="24"/>
        </w:rPr>
        <w:t>灌木层植物主要</w:t>
      </w:r>
      <w:r>
        <w:rPr>
          <w:rFonts w:hAnsi="Times New Roman" w:eastAsia="宋体"/>
          <w:szCs w:val="24"/>
          <w:lang w:eastAsia="zh-CN"/>
        </w:rPr>
        <w:t>分布有少量</w:t>
      </w:r>
      <w:r>
        <w:rPr>
          <w:rFonts w:hAnsi="Times New Roman" w:eastAsia="宋体"/>
          <w:szCs w:val="24"/>
        </w:rPr>
        <w:t>胡颓子、桑、楤木、盐肤木</w:t>
      </w:r>
      <w:r>
        <w:rPr>
          <w:rFonts w:hAnsi="Times New Roman" w:eastAsia="宋体"/>
          <w:szCs w:val="24"/>
          <w:lang w:eastAsia="zh-CN"/>
        </w:rPr>
        <w:t>、悬钩子、荚蒾等灌木</w:t>
      </w:r>
      <w:r>
        <w:rPr>
          <w:rFonts w:hAnsi="Times New Roman" w:eastAsia="宋体"/>
          <w:szCs w:val="24"/>
        </w:rPr>
        <w:t>，灌木层盖度为</w:t>
      </w:r>
      <w:r>
        <w:rPr>
          <w:rFonts w:hAnsi="Times New Roman" w:eastAsia="宋体"/>
          <w:szCs w:val="24"/>
          <w:lang w:eastAsia="zh-CN"/>
        </w:rPr>
        <w:t>10</w:t>
      </w:r>
      <w:r>
        <w:rPr>
          <w:rFonts w:hAnsi="Times New Roman" w:eastAsia="宋体"/>
          <w:szCs w:val="24"/>
        </w:rPr>
        <w:t>-</w:t>
      </w:r>
      <w:r>
        <w:rPr>
          <w:rFonts w:hAnsi="Times New Roman" w:eastAsia="宋体"/>
          <w:szCs w:val="24"/>
          <w:lang w:eastAsia="zh-CN"/>
        </w:rPr>
        <w:t>2</w:t>
      </w:r>
      <w:r>
        <w:rPr>
          <w:rFonts w:hAnsi="Times New Roman" w:eastAsia="宋体"/>
          <w:szCs w:val="24"/>
        </w:rPr>
        <w:t>5%；</w:t>
      </w:r>
      <w:r>
        <w:rPr>
          <w:rFonts w:hAnsi="Times New Roman" w:eastAsia="宋体"/>
          <w:szCs w:val="24"/>
          <w:lang w:eastAsia="zh-CN"/>
        </w:rPr>
        <w:t>林下</w:t>
      </w:r>
      <w:r>
        <w:rPr>
          <w:rFonts w:hAnsi="Times New Roman" w:eastAsia="宋体"/>
          <w:szCs w:val="24"/>
        </w:rPr>
        <w:t>草本层植物主要有</w:t>
      </w:r>
      <w:r>
        <w:rPr>
          <w:rFonts w:hAnsi="Times New Roman" w:eastAsia="宋体"/>
          <w:szCs w:val="24"/>
          <w:lang w:eastAsia="zh-CN"/>
        </w:rPr>
        <w:t>竹叶草、斑茅、荩草、早熟禾、芒、莠竹、白茅</w:t>
      </w:r>
      <w:r>
        <w:rPr>
          <w:rFonts w:hAnsi="Times New Roman" w:eastAsia="宋体"/>
          <w:szCs w:val="24"/>
        </w:rPr>
        <w:t>等，草本层盖度为</w:t>
      </w:r>
      <w:r>
        <w:rPr>
          <w:rFonts w:hAnsi="Times New Roman" w:eastAsia="宋体"/>
          <w:szCs w:val="24"/>
          <w:lang w:eastAsia="zh-CN"/>
        </w:rPr>
        <w:t>20</w:t>
      </w:r>
      <w:r>
        <w:rPr>
          <w:rFonts w:hAnsi="Times New Roman" w:eastAsia="宋体"/>
          <w:szCs w:val="24"/>
        </w:rPr>
        <w:t>-</w:t>
      </w:r>
      <w:r>
        <w:rPr>
          <w:rFonts w:hAnsi="Times New Roman" w:eastAsia="宋体"/>
          <w:szCs w:val="24"/>
          <w:lang w:eastAsia="zh-CN"/>
        </w:rPr>
        <w:t>30</w:t>
      </w:r>
      <w:r>
        <w:rPr>
          <w:rFonts w:hAnsi="Times New Roman" w:eastAsia="宋体"/>
          <w:szCs w:val="24"/>
        </w:rPr>
        <w:t>%。</w:t>
      </w:r>
    </w:p>
    <w:tbl>
      <w:tblPr>
        <w:tblStyle w:val="3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71"/>
        <w:gridCol w:w="46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tcPr>
          <w:p>
            <w:pPr>
              <w:keepNext w:val="0"/>
              <w:keepLines w:val="0"/>
              <w:suppressLineNumbers w:val="0"/>
              <w:spacing w:before="0" w:beforeAutospacing="0" w:after="0" w:afterAutospacing="0" w:line="360" w:lineRule="auto"/>
              <w:ind w:left="0" w:right="0"/>
              <w:jc w:val="center"/>
              <w:rPr>
                <w:rFonts w:hint="eastAsia" w:hAnsi="Times New Roman" w:eastAsia="宋体"/>
                <w:kern w:val="2"/>
                <w:szCs w:val="24"/>
              </w:rPr>
            </w:pPr>
            <w:r>
              <w:rPr>
                <w:rFonts w:hint="eastAsia" w:hAnsi="Times New Roman" w:eastAsia="宋体"/>
                <w:kern w:val="2"/>
                <w:szCs w:val="24"/>
              </w:rPr>
              <w:drawing>
                <wp:inline distT="0" distB="0" distL="114300" distR="114300">
                  <wp:extent cx="2753995" cy="2065655"/>
                  <wp:effectExtent l="0" t="0" r="8255" b="0"/>
                  <wp:docPr id="2131639681" name="图片 2131639681" descr="8719a2a122c5702ba124c5a0369d6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639681" name="图片 2131639681" descr="8719a2a122c5702ba124c5a0369d6c8"/>
                          <pic:cNvPicPr>
                            <a:picLocks noChangeAspect="1"/>
                          </pic:cNvPicPr>
                        </pic:nvPicPr>
                        <pic:blipFill>
                          <a:blip r:embed="rId80"/>
                          <a:stretch>
                            <a:fillRect/>
                          </a:stretch>
                        </pic:blipFill>
                        <pic:spPr>
                          <a:xfrm>
                            <a:off x="0" y="0"/>
                            <a:ext cx="2757392" cy="2068044"/>
                          </a:xfrm>
                          <a:prstGeom prst="rect">
                            <a:avLst/>
                          </a:prstGeom>
                        </pic:spPr>
                      </pic:pic>
                    </a:graphicData>
                  </a:graphic>
                </wp:inline>
              </w:drawing>
            </w:r>
          </w:p>
        </w:tc>
        <w:tc>
          <w:tcPr>
            <w:tcW w:w="2500" w:type="pct"/>
          </w:tcPr>
          <w:p>
            <w:pPr>
              <w:keepNext w:val="0"/>
              <w:keepLines w:val="0"/>
              <w:suppressLineNumbers w:val="0"/>
              <w:spacing w:before="0" w:beforeAutospacing="0" w:after="0" w:afterAutospacing="0" w:line="360" w:lineRule="auto"/>
              <w:ind w:left="0" w:right="0"/>
              <w:jc w:val="center"/>
              <w:rPr>
                <w:rFonts w:hint="eastAsia" w:hAnsi="Times New Roman" w:eastAsia="宋体"/>
                <w:kern w:val="2"/>
                <w:szCs w:val="24"/>
              </w:rPr>
            </w:pPr>
            <w:r>
              <w:rPr>
                <w:rFonts w:hint="eastAsia" w:hAnsi="Times New Roman" w:eastAsia="宋体"/>
                <w:kern w:val="2"/>
                <w:szCs w:val="24"/>
              </w:rPr>
              <w:drawing>
                <wp:inline distT="0" distB="0" distL="114300" distR="114300">
                  <wp:extent cx="2753995" cy="2065655"/>
                  <wp:effectExtent l="0" t="0" r="8255" b="0"/>
                  <wp:docPr id="734909470" name="图片 734909470" descr="d1208601e9e29b6cca8726b63e82f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909470" name="图片 734909470" descr="d1208601e9e29b6cca8726b63e82fc7"/>
                          <pic:cNvPicPr>
                            <a:picLocks noChangeAspect="1"/>
                          </pic:cNvPicPr>
                        </pic:nvPicPr>
                        <pic:blipFill>
                          <a:blip r:embed="rId81"/>
                          <a:stretch>
                            <a:fillRect/>
                          </a:stretch>
                        </pic:blipFill>
                        <pic:spPr>
                          <a:xfrm>
                            <a:off x="0" y="0"/>
                            <a:ext cx="2757456" cy="2068092"/>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2"/>
          </w:tcPr>
          <w:p>
            <w:pPr>
              <w:keepNext w:val="0"/>
              <w:keepLines w:val="0"/>
              <w:suppressLineNumbers w:val="0"/>
              <w:spacing w:before="0" w:beforeAutospacing="0" w:after="0" w:afterAutospacing="0" w:line="360" w:lineRule="auto"/>
              <w:ind w:left="0" w:right="0" w:firstLine="420"/>
              <w:jc w:val="center"/>
              <w:rPr>
                <w:rFonts w:hint="eastAsia" w:hAnsi="Times New Roman" w:eastAsia="宋体"/>
                <w:b/>
                <w:bCs/>
                <w:kern w:val="2"/>
                <w:sz w:val="21"/>
                <w:szCs w:val="21"/>
              </w:rPr>
            </w:pPr>
            <w:r>
              <w:rPr>
                <w:rFonts w:hint="eastAsia" w:hAnsi="Times New Roman" w:eastAsia="宋体"/>
                <w:b/>
                <w:bCs/>
                <w:kern w:val="2"/>
                <w:sz w:val="21"/>
                <w:szCs w:val="21"/>
                <w:lang w:eastAsia="zh-CN"/>
              </w:rPr>
              <w:t>马尾松林</w:t>
            </w:r>
          </w:p>
        </w:tc>
      </w:tr>
    </w:tbl>
    <w:p>
      <w:pPr>
        <w:spacing w:line="360" w:lineRule="auto"/>
        <w:ind w:firstLine="480" w:firstLineChars="200"/>
        <w:rPr>
          <w:rFonts w:hAnsi="Times New Roman" w:eastAsia="宋体"/>
          <w:i/>
          <w:iCs/>
          <w:szCs w:val="24"/>
        </w:rPr>
      </w:pPr>
      <w:r>
        <w:rPr>
          <w:rFonts w:hAnsi="Times New Roman" w:eastAsia="宋体"/>
          <w:szCs w:val="24"/>
        </w:rPr>
        <w:t>3、</w:t>
      </w:r>
      <w:r>
        <w:rPr>
          <w:rFonts w:hAnsi="Times New Roman" w:eastAsia="宋体"/>
          <w:szCs w:val="24"/>
          <w:lang w:eastAsia="zh-CN"/>
        </w:rPr>
        <w:t>盐肤木灌丛</w:t>
      </w:r>
      <w:r>
        <w:rPr>
          <w:rFonts w:hAnsi="Times New Roman" w:eastAsia="宋体"/>
          <w:i/>
          <w:iCs/>
          <w:szCs w:val="24"/>
        </w:rPr>
        <w:t>Form.</w:t>
      </w:r>
      <w:r>
        <w:rPr>
          <w:rFonts w:hAnsi="Times New Roman" w:eastAsia="宋体"/>
          <w:i/>
          <w:iCs/>
          <w:szCs w:val="24"/>
          <w:lang w:eastAsia="zh-CN"/>
        </w:rPr>
        <w:t>Rhus chinensis</w:t>
      </w:r>
    </w:p>
    <w:p>
      <w:pPr>
        <w:spacing w:line="360" w:lineRule="auto"/>
        <w:ind w:firstLine="480" w:firstLineChars="200"/>
        <w:rPr>
          <w:rFonts w:hAnsi="Times New Roman" w:eastAsia="宋体"/>
          <w:szCs w:val="24"/>
        </w:rPr>
      </w:pPr>
      <w:r>
        <w:rPr>
          <w:rFonts w:hAnsi="Times New Roman" w:eastAsia="宋体"/>
          <w:szCs w:val="24"/>
          <w:lang w:eastAsia="zh-CN"/>
        </w:rPr>
        <w:t>盐肤木主要分布在</w:t>
      </w:r>
      <w:r>
        <w:rPr>
          <w:rFonts w:hAnsi="Times New Roman" w:eastAsia="宋体"/>
          <w:szCs w:val="24"/>
        </w:rPr>
        <w:t>路边和山坡疏树地带</w:t>
      </w:r>
      <w:r>
        <w:rPr>
          <w:rFonts w:hAnsi="Times New Roman" w:eastAsia="宋体"/>
          <w:szCs w:val="24"/>
          <w:lang w:eastAsia="zh-CN"/>
        </w:rPr>
        <w:t>，在林下、林地边缘亦有分布</w:t>
      </w:r>
      <w:r>
        <w:rPr>
          <w:rFonts w:hAnsi="Times New Roman" w:eastAsia="宋体"/>
          <w:szCs w:val="24"/>
        </w:rPr>
        <w:t>。灌木层植被主要优势种为</w:t>
      </w:r>
      <w:r>
        <w:rPr>
          <w:rFonts w:hAnsi="Times New Roman" w:eastAsia="宋体"/>
          <w:szCs w:val="24"/>
          <w:lang w:eastAsia="zh-CN"/>
        </w:rPr>
        <w:t>盐肤木</w:t>
      </w:r>
      <w:r>
        <w:rPr>
          <w:rFonts w:hAnsi="Times New Roman" w:eastAsia="宋体"/>
          <w:szCs w:val="24"/>
        </w:rPr>
        <w:t>，其他灌木有</w:t>
      </w:r>
      <w:r>
        <w:rPr>
          <w:rFonts w:hAnsi="Times New Roman" w:eastAsia="宋体"/>
          <w:szCs w:val="24"/>
          <w:lang w:eastAsia="zh-CN"/>
        </w:rPr>
        <w:t>马桑、构树（幼苗）、荚蒾、黄荆</w:t>
      </w:r>
      <w:r>
        <w:rPr>
          <w:rFonts w:hAnsi="Times New Roman" w:eastAsia="宋体"/>
          <w:szCs w:val="24"/>
        </w:rPr>
        <w:t>等，灌木层盖度为</w:t>
      </w:r>
      <w:r>
        <w:rPr>
          <w:rFonts w:hAnsi="Times New Roman" w:eastAsia="宋体"/>
          <w:szCs w:val="24"/>
          <w:lang w:eastAsia="zh-CN"/>
        </w:rPr>
        <w:t>15%-</w:t>
      </w:r>
      <w:r>
        <w:rPr>
          <w:rFonts w:hAnsi="Times New Roman" w:eastAsia="宋体"/>
          <w:szCs w:val="24"/>
        </w:rPr>
        <w:t>30%，草本植物主要</w:t>
      </w:r>
      <w:r>
        <w:rPr>
          <w:rFonts w:hAnsi="Times New Roman" w:eastAsia="宋体"/>
          <w:szCs w:val="24"/>
          <w:lang w:eastAsia="zh-CN"/>
        </w:rPr>
        <w:t>分布有竹叶草、白茅、荩草、</w:t>
      </w:r>
      <w:r>
        <w:rPr>
          <w:rFonts w:hAnsi="Times New Roman" w:eastAsia="宋体"/>
          <w:szCs w:val="24"/>
        </w:rPr>
        <w:t>马鞭草、夏枯草、细风轮菜、蛇莓、</w:t>
      </w:r>
      <w:r>
        <w:rPr>
          <w:rFonts w:hAnsi="Times New Roman" w:eastAsia="宋体"/>
          <w:szCs w:val="24"/>
          <w:lang w:eastAsia="zh-CN"/>
        </w:rPr>
        <w:t>斑茅等</w:t>
      </w:r>
      <w:r>
        <w:rPr>
          <w:rFonts w:hAnsi="Times New Roman" w:eastAsia="宋体"/>
          <w:szCs w:val="24"/>
        </w:rPr>
        <w:t>，草本层盖度为</w:t>
      </w:r>
      <w:r>
        <w:rPr>
          <w:rFonts w:hAnsi="Times New Roman" w:eastAsia="宋体"/>
          <w:szCs w:val="24"/>
          <w:lang w:eastAsia="zh-CN"/>
        </w:rPr>
        <w:t>25%-45</w:t>
      </w:r>
      <w:r>
        <w:rPr>
          <w:rFonts w:hAnsi="Times New Roman" w:eastAsia="宋体"/>
          <w:szCs w:val="24"/>
        </w:rPr>
        <w:t>%</w:t>
      </w:r>
      <w:r>
        <w:rPr>
          <w:rFonts w:hAnsi="Times New Roman" w:eastAsia="宋体"/>
          <w:szCs w:val="24"/>
          <w:lang w:eastAsia="zh-CN"/>
        </w:rPr>
        <w:t>。</w:t>
      </w:r>
    </w:p>
    <w:tbl>
      <w:tblPr>
        <w:tblStyle w:val="3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90"/>
        <w:gridCol w:w="47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vAlign w:val="center"/>
          </w:tcPr>
          <w:p>
            <w:pPr>
              <w:keepNext w:val="0"/>
              <w:keepLines w:val="0"/>
              <w:suppressLineNumbers w:val="0"/>
              <w:spacing w:before="0" w:beforeAutospacing="0" w:after="0" w:afterAutospacing="0" w:line="360" w:lineRule="auto"/>
              <w:ind w:left="0" w:right="0"/>
              <w:jc w:val="center"/>
              <w:rPr>
                <w:rFonts w:hint="eastAsia" w:hAnsi="Times New Roman" w:eastAsia="宋体"/>
                <w:kern w:val="2"/>
                <w:szCs w:val="24"/>
              </w:rPr>
            </w:pPr>
            <w:r>
              <w:rPr>
                <w:rFonts w:hint="eastAsia" w:hAnsi="Times New Roman" w:eastAsia="宋体"/>
                <w:kern w:val="2"/>
                <w:szCs w:val="24"/>
              </w:rPr>
              <w:drawing>
                <wp:inline distT="0" distB="0" distL="114300" distR="114300">
                  <wp:extent cx="2809875" cy="2218055"/>
                  <wp:effectExtent l="0" t="0" r="0" b="0"/>
                  <wp:docPr id="20967281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728101" name="图片 1"/>
                          <pic:cNvPicPr>
                            <a:picLocks noChangeAspect="1"/>
                          </pic:cNvPicPr>
                        </pic:nvPicPr>
                        <pic:blipFill>
                          <a:blip r:embed="rId82"/>
                          <a:stretch>
                            <a:fillRect/>
                          </a:stretch>
                        </pic:blipFill>
                        <pic:spPr>
                          <a:xfrm>
                            <a:off x="0" y="0"/>
                            <a:ext cx="2813212" cy="2220809"/>
                          </a:xfrm>
                          <a:prstGeom prst="rect">
                            <a:avLst/>
                          </a:prstGeom>
                          <a:noFill/>
                          <a:ln>
                            <a:noFill/>
                          </a:ln>
                        </pic:spPr>
                      </pic:pic>
                    </a:graphicData>
                  </a:graphic>
                </wp:inline>
              </w:drawing>
            </w:r>
          </w:p>
        </w:tc>
        <w:tc>
          <w:tcPr>
            <w:tcW w:w="2501" w:type="pct"/>
            <w:vAlign w:val="center"/>
          </w:tcPr>
          <w:p>
            <w:pPr>
              <w:keepNext w:val="0"/>
              <w:keepLines w:val="0"/>
              <w:suppressLineNumbers w:val="0"/>
              <w:spacing w:before="0" w:beforeAutospacing="0" w:after="0" w:afterAutospacing="0" w:line="360" w:lineRule="auto"/>
              <w:ind w:left="0" w:right="0"/>
              <w:jc w:val="center"/>
              <w:rPr>
                <w:rFonts w:hint="eastAsia" w:hAnsi="Times New Roman" w:eastAsia="宋体"/>
                <w:kern w:val="2"/>
                <w:szCs w:val="24"/>
              </w:rPr>
            </w:pPr>
            <w:r>
              <w:rPr>
                <w:rFonts w:hint="eastAsia" w:hAnsi="Times New Roman" w:eastAsia="宋体"/>
                <w:kern w:val="2"/>
                <w:szCs w:val="24"/>
              </w:rPr>
              <w:drawing>
                <wp:inline distT="0" distB="0" distL="114300" distR="114300">
                  <wp:extent cx="2908300" cy="2277110"/>
                  <wp:effectExtent l="0" t="0" r="6350" b="8890"/>
                  <wp:docPr id="1545241932" name="图片 1545241932" descr="dc4c96ed361d1af313531955d2485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241932" name="图片 1545241932" descr="dc4c96ed361d1af313531955d2485f3"/>
                          <pic:cNvPicPr>
                            <a:picLocks noChangeAspect="1"/>
                          </pic:cNvPicPr>
                        </pic:nvPicPr>
                        <pic:blipFill>
                          <a:blip r:embed="rId83"/>
                          <a:stretch>
                            <a:fillRect/>
                          </a:stretch>
                        </pic:blipFill>
                        <pic:spPr>
                          <a:xfrm>
                            <a:off x="0" y="0"/>
                            <a:ext cx="2912903" cy="2281111"/>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 w:hRule="atLeast"/>
        </w:trPr>
        <w:tc>
          <w:tcPr>
            <w:tcW w:w="5000" w:type="pct"/>
            <w:gridSpan w:val="2"/>
            <w:vAlign w:val="center"/>
          </w:tcPr>
          <w:p>
            <w:pPr>
              <w:keepNext w:val="0"/>
              <w:keepLines w:val="0"/>
              <w:suppressLineNumbers w:val="0"/>
              <w:spacing w:before="0" w:beforeAutospacing="0" w:after="0" w:afterAutospacing="0" w:line="360" w:lineRule="auto"/>
              <w:ind w:left="0" w:right="0" w:firstLine="420"/>
              <w:jc w:val="center"/>
              <w:rPr>
                <w:rFonts w:hint="eastAsia" w:hAnsi="Times New Roman" w:eastAsia="宋体"/>
                <w:kern w:val="2"/>
                <w:szCs w:val="24"/>
              </w:rPr>
            </w:pPr>
            <w:r>
              <w:rPr>
                <w:rFonts w:hint="eastAsia" w:hAnsi="Times New Roman" w:eastAsia="宋体"/>
                <w:b/>
                <w:bCs/>
                <w:kern w:val="2"/>
                <w:sz w:val="21"/>
                <w:szCs w:val="21"/>
                <w:lang w:eastAsia="zh-CN"/>
              </w:rPr>
              <w:t>盐肤木灌丛</w:t>
            </w:r>
          </w:p>
        </w:tc>
      </w:tr>
    </w:tbl>
    <w:p>
      <w:pPr>
        <w:spacing w:line="360" w:lineRule="auto"/>
        <w:ind w:firstLine="480" w:firstLineChars="200"/>
        <w:rPr>
          <w:rFonts w:hAnsi="Times New Roman" w:eastAsia="宋体"/>
          <w:i/>
          <w:iCs/>
          <w:szCs w:val="24"/>
        </w:rPr>
      </w:pPr>
      <w:r>
        <w:rPr>
          <w:rFonts w:hAnsi="Times New Roman" w:eastAsia="宋体"/>
          <w:iCs/>
          <w:kern w:val="2"/>
          <w:szCs w:val="24"/>
          <w:lang w:eastAsia="zh-CN"/>
        </w:rPr>
        <w:t>4、</w:t>
      </w:r>
      <w:r>
        <w:rPr>
          <w:rFonts w:hAnsi="Times New Roman" w:eastAsia="宋体"/>
          <w:szCs w:val="24"/>
          <w:lang w:eastAsia="zh-CN"/>
        </w:rPr>
        <w:t>苎麻灌丛</w:t>
      </w:r>
      <w:r>
        <w:rPr>
          <w:rFonts w:hAnsi="Times New Roman" w:eastAsia="宋体"/>
          <w:i/>
          <w:iCs/>
          <w:szCs w:val="24"/>
        </w:rPr>
        <w:t>Form.Boehmeria nivea</w:t>
      </w:r>
    </w:p>
    <w:p>
      <w:pPr>
        <w:spacing w:line="360" w:lineRule="auto"/>
        <w:ind w:firstLine="480" w:firstLineChars="200"/>
        <w:rPr>
          <w:rFonts w:hAnsi="Times New Roman" w:eastAsia="宋体"/>
          <w:szCs w:val="24"/>
          <w:lang w:eastAsia="zh-CN"/>
        </w:rPr>
      </w:pPr>
      <w:r>
        <w:rPr>
          <w:rFonts w:hAnsi="Times New Roman" w:eastAsia="宋体"/>
          <w:szCs w:val="24"/>
          <w:lang w:eastAsia="zh-CN"/>
        </w:rPr>
        <w:t>评价区内的苎麻主要以矮小灌木为主，喜光、适应性强，耐干旱瘠薄。在评价区呈散生分布，多分布在向阳山坡、道路两侧、溪边的疏林或灌丛中，高度在1-2m左右。灌木层中伴生有马桑、悬钩子、荚蒾、火棘等。灌丛下草本植物丰富，盖度一般在40-45%左右，常见种有茅叶荩草、狗尾草、蜈蚣草、冷水花、白茅、莠竹、马唐等。</w:t>
      </w:r>
    </w:p>
    <w:tbl>
      <w:tblPr>
        <w:tblStyle w:val="3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73"/>
        <w:gridCol w:w="46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1" w:type="pct"/>
            <w:vAlign w:val="center"/>
          </w:tcPr>
          <w:p>
            <w:pPr>
              <w:keepNext w:val="0"/>
              <w:keepLines w:val="0"/>
              <w:suppressLineNumbers w:val="0"/>
              <w:spacing w:before="0" w:beforeAutospacing="0" w:after="0" w:afterAutospacing="0" w:line="360" w:lineRule="auto"/>
              <w:ind w:left="0" w:right="0"/>
              <w:jc w:val="center"/>
              <w:rPr>
                <w:rFonts w:hint="eastAsia" w:hAnsi="Times New Roman" w:eastAsia="宋体"/>
                <w:kern w:val="2"/>
                <w:szCs w:val="24"/>
              </w:rPr>
            </w:pPr>
            <w:r>
              <w:rPr>
                <w:rFonts w:hint="eastAsia" w:hAnsi="Times New Roman" w:eastAsia="宋体"/>
                <w:kern w:val="2"/>
                <w:szCs w:val="24"/>
              </w:rPr>
              <w:drawing>
                <wp:inline distT="0" distB="0" distL="114300" distR="114300">
                  <wp:extent cx="2797810" cy="2099310"/>
                  <wp:effectExtent l="0" t="0" r="2540" b="0"/>
                  <wp:docPr id="1731414958" name="图片 1731414958" descr="微信图片_2022073015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414958" name="图片 1731414958" descr="微信图片_20220730153144"/>
                          <pic:cNvPicPr>
                            <a:picLocks noChangeAspect="1"/>
                          </pic:cNvPicPr>
                        </pic:nvPicPr>
                        <pic:blipFill>
                          <a:blip r:embed="rId84"/>
                          <a:stretch>
                            <a:fillRect/>
                          </a:stretch>
                        </pic:blipFill>
                        <pic:spPr>
                          <a:xfrm>
                            <a:off x="0" y="0"/>
                            <a:ext cx="2802025" cy="2102732"/>
                          </a:xfrm>
                          <a:prstGeom prst="rect">
                            <a:avLst/>
                          </a:prstGeom>
                        </pic:spPr>
                      </pic:pic>
                    </a:graphicData>
                  </a:graphic>
                </wp:inline>
              </w:drawing>
            </w:r>
          </w:p>
        </w:tc>
        <w:tc>
          <w:tcPr>
            <w:tcW w:w="2499" w:type="pct"/>
            <w:vAlign w:val="center"/>
          </w:tcPr>
          <w:p>
            <w:pPr>
              <w:keepNext w:val="0"/>
              <w:keepLines w:val="0"/>
              <w:suppressLineNumbers w:val="0"/>
              <w:spacing w:before="0" w:beforeAutospacing="0" w:after="0" w:afterAutospacing="0" w:line="360" w:lineRule="auto"/>
              <w:ind w:left="0" w:right="0"/>
              <w:jc w:val="center"/>
              <w:rPr>
                <w:rFonts w:hint="eastAsia" w:hAnsi="Times New Roman" w:eastAsia="宋体"/>
                <w:kern w:val="2"/>
                <w:szCs w:val="24"/>
              </w:rPr>
            </w:pPr>
            <w:r>
              <w:rPr>
                <w:rFonts w:hint="eastAsia" w:hAnsi="Times New Roman" w:eastAsia="宋体"/>
                <w:kern w:val="2"/>
                <w:szCs w:val="24"/>
              </w:rPr>
              <w:drawing>
                <wp:inline distT="0" distB="0" distL="114300" distR="114300">
                  <wp:extent cx="2799715" cy="2099310"/>
                  <wp:effectExtent l="0" t="0" r="635" b="0"/>
                  <wp:docPr id="457587664" name="图片 457587664" descr="c975d7831f1768a21a27eac0a712b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587664" name="图片 457587664" descr="c975d7831f1768a21a27eac0a712b45"/>
                          <pic:cNvPicPr>
                            <a:picLocks noChangeAspect="1"/>
                          </pic:cNvPicPr>
                        </pic:nvPicPr>
                        <pic:blipFill>
                          <a:blip r:embed="rId85"/>
                          <a:stretch>
                            <a:fillRect/>
                          </a:stretch>
                        </pic:blipFill>
                        <pic:spPr>
                          <a:xfrm>
                            <a:off x="0" y="0"/>
                            <a:ext cx="2804484" cy="2103014"/>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 w:hRule="atLeast"/>
        </w:trPr>
        <w:tc>
          <w:tcPr>
            <w:tcW w:w="5000" w:type="pct"/>
            <w:gridSpan w:val="2"/>
            <w:vAlign w:val="center"/>
          </w:tcPr>
          <w:p>
            <w:pPr>
              <w:keepNext w:val="0"/>
              <w:keepLines w:val="0"/>
              <w:suppressLineNumbers w:val="0"/>
              <w:spacing w:before="0" w:beforeAutospacing="0" w:after="0" w:afterAutospacing="0" w:line="360" w:lineRule="auto"/>
              <w:ind w:left="0" w:right="0" w:firstLine="420"/>
              <w:jc w:val="center"/>
              <w:rPr>
                <w:rFonts w:hint="eastAsia" w:hAnsi="Times New Roman" w:eastAsia="宋体"/>
                <w:kern w:val="2"/>
                <w:szCs w:val="24"/>
              </w:rPr>
            </w:pPr>
            <w:r>
              <w:rPr>
                <w:rFonts w:hint="eastAsia" w:hAnsi="Times New Roman" w:eastAsia="宋体"/>
                <w:b/>
                <w:bCs/>
                <w:kern w:val="2"/>
                <w:sz w:val="21"/>
                <w:szCs w:val="21"/>
                <w:lang w:eastAsia="zh-CN"/>
              </w:rPr>
              <w:t>苎麻灌丛</w:t>
            </w:r>
          </w:p>
        </w:tc>
      </w:tr>
    </w:tbl>
    <w:p>
      <w:pPr>
        <w:spacing w:line="360" w:lineRule="auto"/>
        <w:ind w:firstLine="480" w:firstLineChars="200"/>
        <w:rPr>
          <w:rFonts w:hAnsi="Times New Roman" w:eastAsia="宋体"/>
          <w:i/>
          <w:iCs/>
          <w:szCs w:val="24"/>
        </w:rPr>
      </w:pPr>
      <w:r>
        <w:rPr>
          <w:rFonts w:hAnsi="Times New Roman" w:eastAsia="宋体"/>
          <w:szCs w:val="24"/>
        </w:rPr>
        <w:t>5、</w:t>
      </w:r>
      <w:r>
        <w:rPr>
          <w:rFonts w:hAnsi="Times New Roman" w:eastAsia="宋体"/>
          <w:szCs w:val="24"/>
          <w:lang w:eastAsia="zh-CN"/>
        </w:rPr>
        <w:t>竹叶草草丛</w:t>
      </w:r>
      <w:r>
        <w:rPr>
          <w:rFonts w:hAnsi="Times New Roman" w:eastAsia="宋体"/>
          <w:i/>
          <w:iCs/>
          <w:szCs w:val="24"/>
        </w:rPr>
        <w:t>Form.</w:t>
      </w:r>
      <w:r>
        <w:rPr>
          <w:rFonts w:hAnsi="Times New Roman" w:eastAsia="宋体"/>
          <w:i/>
          <w:iCs/>
          <w:szCs w:val="24"/>
          <w:shd w:val="clear" w:color="auto" w:fill="FFFFFF"/>
        </w:rPr>
        <w:t>Oplismenus</w:t>
      </w:r>
      <w:r>
        <w:rPr>
          <w:rFonts w:hAnsi="Times New Roman" w:eastAsia="宋体"/>
          <w:i/>
          <w:iCs/>
          <w:szCs w:val="24"/>
          <w:shd w:val="clear" w:color="auto" w:fill="FFFFFF"/>
          <w:lang w:eastAsia="zh-CN"/>
        </w:rPr>
        <w:t xml:space="preserve"> </w:t>
      </w:r>
      <w:r>
        <w:rPr>
          <w:rFonts w:hAnsi="Times New Roman" w:eastAsia="宋体"/>
          <w:i/>
          <w:iCs/>
          <w:szCs w:val="24"/>
          <w:shd w:val="clear" w:color="auto" w:fill="FFFFFF"/>
        </w:rPr>
        <w:t>compositus</w:t>
      </w:r>
    </w:p>
    <w:p>
      <w:pPr>
        <w:spacing w:line="360" w:lineRule="auto"/>
        <w:ind w:firstLine="480" w:firstLineChars="200"/>
        <w:rPr>
          <w:rFonts w:hAnsi="Times New Roman" w:eastAsia="宋体"/>
          <w:szCs w:val="24"/>
        </w:rPr>
      </w:pPr>
      <w:r>
        <w:rPr>
          <w:rFonts w:hAnsi="Times New Roman" w:eastAsia="宋体"/>
          <w:szCs w:val="24"/>
        </w:rPr>
        <w:t>植被群落属于</w:t>
      </w:r>
      <w:r>
        <w:rPr>
          <w:rFonts w:hAnsi="Times New Roman" w:eastAsia="宋体"/>
          <w:szCs w:val="24"/>
          <w:lang w:eastAsia="zh-CN"/>
        </w:rPr>
        <w:t>竹叶草</w:t>
      </w:r>
      <w:r>
        <w:rPr>
          <w:rFonts w:hAnsi="Times New Roman" w:eastAsia="宋体"/>
          <w:szCs w:val="24"/>
        </w:rPr>
        <w:t>草丛，群落以</w:t>
      </w:r>
      <w:r>
        <w:rPr>
          <w:rFonts w:hAnsi="Times New Roman" w:eastAsia="宋体"/>
          <w:szCs w:val="24"/>
          <w:lang w:eastAsia="zh-CN"/>
        </w:rPr>
        <w:t>竹叶草</w:t>
      </w:r>
      <w:r>
        <w:rPr>
          <w:rFonts w:hAnsi="Times New Roman" w:eastAsia="宋体"/>
          <w:szCs w:val="24"/>
        </w:rPr>
        <w:t>为优势种，</w:t>
      </w:r>
      <w:r>
        <w:rPr>
          <w:rFonts w:hAnsi="Times New Roman" w:eastAsia="宋体"/>
          <w:szCs w:val="24"/>
          <w:lang w:eastAsia="zh-CN"/>
        </w:rPr>
        <w:t>在评价范围内广泛分布</w:t>
      </w:r>
      <w:r>
        <w:rPr>
          <w:rFonts w:hAnsi="Times New Roman" w:eastAsia="宋体"/>
          <w:szCs w:val="24"/>
        </w:rPr>
        <w:t>，草本层</w:t>
      </w:r>
      <w:r>
        <w:rPr>
          <w:rFonts w:hAnsi="Times New Roman" w:eastAsia="宋体"/>
          <w:szCs w:val="24"/>
          <w:lang w:eastAsia="zh-CN"/>
        </w:rPr>
        <w:t>还</w:t>
      </w:r>
      <w:r>
        <w:rPr>
          <w:rFonts w:hAnsi="Times New Roman" w:eastAsia="宋体"/>
          <w:szCs w:val="24"/>
        </w:rPr>
        <w:t>分布有狼尾草、白茅、牛筋草、</w:t>
      </w:r>
      <w:r>
        <w:rPr>
          <w:rFonts w:hAnsi="Times New Roman" w:eastAsia="宋体"/>
          <w:szCs w:val="24"/>
          <w:lang w:eastAsia="zh-CN"/>
        </w:rPr>
        <w:t>狗牙根、</w:t>
      </w:r>
      <w:r>
        <w:rPr>
          <w:rFonts w:hAnsi="Times New Roman" w:eastAsia="宋体"/>
          <w:szCs w:val="24"/>
        </w:rPr>
        <w:t>狗尾草、</w:t>
      </w:r>
      <w:r>
        <w:rPr>
          <w:rFonts w:hAnsi="Times New Roman" w:eastAsia="宋体"/>
          <w:szCs w:val="24"/>
          <w:lang w:eastAsia="zh-CN"/>
        </w:rPr>
        <w:t>节节草、荩草</w:t>
      </w:r>
      <w:r>
        <w:rPr>
          <w:rFonts w:hAnsi="Times New Roman" w:eastAsia="宋体"/>
          <w:szCs w:val="24"/>
        </w:rPr>
        <w:t>、马唐等其他草本植物，草本层总盖度约</w:t>
      </w:r>
      <w:r>
        <w:rPr>
          <w:rFonts w:hAnsi="Times New Roman" w:eastAsia="宋体"/>
          <w:szCs w:val="24"/>
          <w:lang w:eastAsia="zh-CN"/>
        </w:rPr>
        <w:t>60</w:t>
      </w:r>
      <w:r>
        <w:rPr>
          <w:rFonts w:hAnsi="Times New Roman" w:eastAsia="宋体"/>
          <w:szCs w:val="24"/>
        </w:rPr>
        <w:t>-</w:t>
      </w:r>
      <w:r>
        <w:rPr>
          <w:rFonts w:hAnsi="Times New Roman" w:eastAsia="宋体"/>
          <w:szCs w:val="24"/>
          <w:lang w:eastAsia="zh-CN"/>
        </w:rPr>
        <w:t>70</w:t>
      </w:r>
      <w:r>
        <w:rPr>
          <w:rFonts w:hAnsi="Times New Roman" w:eastAsia="宋体"/>
          <w:szCs w:val="24"/>
        </w:rPr>
        <w:t>%左右。</w:t>
      </w:r>
    </w:p>
    <w:tbl>
      <w:tblPr>
        <w:tblStyle w:val="3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71"/>
        <w:gridCol w:w="46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tcPr>
          <w:p>
            <w:pPr>
              <w:keepNext w:val="0"/>
              <w:keepLines w:val="0"/>
              <w:suppressLineNumbers w:val="0"/>
              <w:spacing w:before="0" w:beforeAutospacing="0" w:after="0" w:afterAutospacing="0" w:line="360" w:lineRule="auto"/>
              <w:ind w:left="0" w:right="0"/>
              <w:jc w:val="center"/>
              <w:rPr>
                <w:rFonts w:hint="eastAsia" w:hAnsi="Times New Roman" w:eastAsia="宋体"/>
                <w:kern w:val="2"/>
                <w:szCs w:val="24"/>
              </w:rPr>
            </w:pPr>
            <w:r>
              <w:rPr>
                <w:rFonts w:hint="eastAsia" w:hAnsi="Times New Roman" w:eastAsia="宋体"/>
                <w:kern w:val="2"/>
                <w:szCs w:val="24"/>
              </w:rPr>
              <w:drawing>
                <wp:inline distT="0" distB="0" distL="114300" distR="114300">
                  <wp:extent cx="2794000" cy="2093595"/>
                  <wp:effectExtent l="0" t="0" r="6350" b="1905"/>
                  <wp:docPr id="1632353913" name="图片 1632353913" descr="d9809a9f847540270cce5338474a6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353913" name="图片 1632353913" descr="d9809a9f847540270cce5338474a63f"/>
                          <pic:cNvPicPr>
                            <a:picLocks noChangeAspect="1"/>
                          </pic:cNvPicPr>
                        </pic:nvPicPr>
                        <pic:blipFill>
                          <a:blip r:embed="rId86"/>
                          <a:stretch>
                            <a:fillRect/>
                          </a:stretch>
                        </pic:blipFill>
                        <pic:spPr>
                          <a:xfrm>
                            <a:off x="0" y="0"/>
                            <a:ext cx="2797709" cy="2096724"/>
                          </a:xfrm>
                          <a:prstGeom prst="rect">
                            <a:avLst/>
                          </a:prstGeom>
                        </pic:spPr>
                      </pic:pic>
                    </a:graphicData>
                  </a:graphic>
                </wp:inline>
              </w:drawing>
            </w:r>
          </w:p>
        </w:tc>
        <w:tc>
          <w:tcPr>
            <w:tcW w:w="2500" w:type="pct"/>
          </w:tcPr>
          <w:p>
            <w:pPr>
              <w:keepNext w:val="0"/>
              <w:keepLines w:val="0"/>
              <w:suppressLineNumbers w:val="0"/>
              <w:spacing w:before="0" w:beforeAutospacing="0" w:after="0" w:afterAutospacing="0" w:line="360" w:lineRule="auto"/>
              <w:ind w:left="0" w:right="0"/>
              <w:jc w:val="center"/>
              <w:rPr>
                <w:rFonts w:hint="eastAsia" w:hAnsi="Times New Roman" w:eastAsia="宋体"/>
                <w:kern w:val="2"/>
                <w:szCs w:val="24"/>
              </w:rPr>
            </w:pPr>
            <w:r>
              <w:rPr>
                <w:rFonts w:hint="eastAsia" w:hAnsi="Times New Roman" w:eastAsia="宋体"/>
                <w:kern w:val="2"/>
                <w:szCs w:val="24"/>
              </w:rPr>
              <w:drawing>
                <wp:inline distT="0" distB="0" distL="114300" distR="114300">
                  <wp:extent cx="2775585" cy="2082800"/>
                  <wp:effectExtent l="0" t="0" r="5715" b="0"/>
                  <wp:docPr id="1497040475" name="图片 1497040475" descr="743079d2011f2b6ec08281aff7b3d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040475" name="图片 1497040475" descr="743079d2011f2b6ec08281aff7b3d6f"/>
                          <pic:cNvPicPr>
                            <a:picLocks noChangeAspect="1"/>
                          </pic:cNvPicPr>
                        </pic:nvPicPr>
                        <pic:blipFill>
                          <a:blip r:embed="rId87"/>
                          <a:stretch>
                            <a:fillRect/>
                          </a:stretch>
                        </pic:blipFill>
                        <pic:spPr>
                          <a:xfrm>
                            <a:off x="0" y="0"/>
                            <a:ext cx="2778984" cy="2084927"/>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 w:hRule="atLeast"/>
        </w:trPr>
        <w:tc>
          <w:tcPr>
            <w:tcW w:w="5000" w:type="pct"/>
            <w:gridSpan w:val="2"/>
          </w:tcPr>
          <w:p>
            <w:pPr>
              <w:keepNext w:val="0"/>
              <w:keepLines w:val="0"/>
              <w:suppressLineNumbers w:val="0"/>
              <w:spacing w:before="0" w:beforeAutospacing="0" w:after="0" w:afterAutospacing="0" w:line="360" w:lineRule="auto"/>
              <w:ind w:left="0" w:right="0" w:firstLine="420"/>
              <w:jc w:val="center"/>
              <w:rPr>
                <w:rFonts w:hint="eastAsia" w:hAnsi="Times New Roman" w:eastAsia="宋体"/>
                <w:kern w:val="2"/>
                <w:szCs w:val="24"/>
              </w:rPr>
            </w:pPr>
            <w:r>
              <w:rPr>
                <w:rFonts w:hint="eastAsia" w:hAnsi="Times New Roman" w:eastAsia="宋体"/>
                <w:b/>
                <w:bCs/>
                <w:kern w:val="2"/>
                <w:sz w:val="21"/>
                <w:szCs w:val="21"/>
                <w:lang w:eastAsia="zh-CN"/>
              </w:rPr>
              <w:t>竹叶草草丛</w:t>
            </w:r>
          </w:p>
        </w:tc>
      </w:tr>
    </w:tbl>
    <w:p>
      <w:pPr>
        <w:spacing w:line="360" w:lineRule="auto"/>
        <w:ind w:firstLine="480" w:firstLineChars="200"/>
        <w:rPr>
          <w:rFonts w:hAnsi="Times New Roman" w:eastAsia="宋体"/>
          <w:i/>
          <w:iCs/>
          <w:szCs w:val="24"/>
          <w:shd w:val="clear" w:color="auto" w:fill="FFFFFF"/>
        </w:rPr>
      </w:pPr>
      <w:r>
        <w:rPr>
          <w:rFonts w:hAnsi="Times New Roman" w:eastAsia="宋体"/>
          <w:szCs w:val="24"/>
          <w:shd w:val="clear" w:color="auto" w:fill="FFFFFF"/>
        </w:rPr>
        <w:t>6、白茅草丛</w:t>
      </w:r>
      <w:r>
        <w:rPr>
          <w:rFonts w:hAnsi="Times New Roman" w:eastAsia="宋体"/>
          <w:i/>
          <w:iCs/>
          <w:szCs w:val="24"/>
          <w:shd w:val="clear" w:color="auto" w:fill="FFFFFF"/>
        </w:rPr>
        <w:t>Form.Imperata cylindrica</w:t>
      </w:r>
    </w:p>
    <w:p>
      <w:pPr>
        <w:spacing w:line="360" w:lineRule="auto"/>
        <w:ind w:firstLine="480" w:firstLineChars="200"/>
        <w:rPr>
          <w:rFonts w:hAnsi="Times New Roman" w:eastAsia="宋体"/>
          <w:szCs w:val="24"/>
        </w:rPr>
      </w:pPr>
      <w:r>
        <w:rPr>
          <w:rFonts w:hAnsi="Times New Roman" w:eastAsia="宋体"/>
          <w:szCs w:val="24"/>
        </w:rPr>
        <w:t>白茅在评价区内均有分布，林下、路缘是主要分布区域，在局部地区为植物群落的优势种。草本层除了白茅之外，还有早熟禾、五节芒、芒、荩草、狗尾草、蕨、狗牙根、老鹳草等植物，草本层盖度为50%-70%。</w:t>
      </w:r>
    </w:p>
    <w:tbl>
      <w:tblPr>
        <w:tblStyle w:val="3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49"/>
        <w:gridCol w:w="46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tcPr>
          <w:p>
            <w:pPr>
              <w:keepNext w:val="0"/>
              <w:keepLines w:val="0"/>
              <w:suppressLineNumbers w:val="0"/>
              <w:spacing w:before="0" w:beforeAutospacing="0" w:after="0" w:afterAutospacing="0" w:line="360" w:lineRule="auto"/>
              <w:ind w:left="0" w:right="0"/>
              <w:jc w:val="center"/>
              <w:rPr>
                <w:rFonts w:hint="eastAsia" w:hAnsi="Times New Roman" w:eastAsia="宋体"/>
                <w:kern w:val="2"/>
                <w:szCs w:val="24"/>
              </w:rPr>
            </w:pPr>
            <w:r>
              <w:rPr>
                <w:rFonts w:hint="eastAsia" w:hAnsi="Times New Roman" w:eastAsia="宋体"/>
                <w:kern w:val="2"/>
                <w:szCs w:val="24"/>
              </w:rPr>
              <w:drawing>
                <wp:inline distT="0" distB="0" distL="114300" distR="114300">
                  <wp:extent cx="2867025" cy="2150110"/>
                  <wp:effectExtent l="0" t="0" r="0" b="2540"/>
                  <wp:docPr id="18855313" name="图片 18855313" descr="IMG_5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5313" name="图片 18855313" descr="IMG_5333"/>
                          <pic:cNvPicPr>
                            <a:picLocks noChangeAspect="1"/>
                          </pic:cNvPicPr>
                        </pic:nvPicPr>
                        <pic:blipFill>
                          <a:blip r:embed="rId88"/>
                          <a:stretch>
                            <a:fillRect/>
                          </a:stretch>
                        </pic:blipFill>
                        <pic:spPr>
                          <a:xfrm>
                            <a:off x="0" y="0"/>
                            <a:ext cx="2871376" cy="2153533"/>
                          </a:xfrm>
                          <a:prstGeom prst="rect">
                            <a:avLst/>
                          </a:prstGeom>
                        </pic:spPr>
                      </pic:pic>
                    </a:graphicData>
                  </a:graphic>
                </wp:inline>
              </w:drawing>
            </w:r>
          </w:p>
        </w:tc>
        <w:tc>
          <w:tcPr>
            <w:tcW w:w="2500" w:type="pct"/>
          </w:tcPr>
          <w:p>
            <w:pPr>
              <w:keepNext w:val="0"/>
              <w:keepLines w:val="0"/>
              <w:suppressLineNumbers w:val="0"/>
              <w:spacing w:before="0" w:beforeAutospacing="0" w:after="0" w:afterAutospacing="0" w:line="360" w:lineRule="auto"/>
              <w:ind w:left="0" w:right="0"/>
              <w:jc w:val="center"/>
              <w:rPr>
                <w:rFonts w:hint="eastAsia" w:hAnsi="Times New Roman" w:eastAsia="宋体"/>
                <w:kern w:val="2"/>
                <w:szCs w:val="24"/>
              </w:rPr>
            </w:pPr>
            <w:r>
              <w:rPr>
                <w:rFonts w:hint="eastAsia" w:hAnsi="Times New Roman" w:eastAsia="宋体"/>
                <w:kern w:val="2"/>
                <w:szCs w:val="24"/>
              </w:rPr>
              <w:drawing>
                <wp:inline distT="0" distB="0" distL="114300" distR="114300">
                  <wp:extent cx="2889885" cy="2167255"/>
                  <wp:effectExtent l="0" t="0" r="5715" b="4445"/>
                  <wp:docPr id="771749960" name="图片 771749960" descr="IMG_5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749960" name="图片 771749960" descr="IMG_5332"/>
                          <pic:cNvPicPr>
                            <a:picLocks noChangeAspect="1"/>
                          </pic:cNvPicPr>
                        </pic:nvPicPr>
                        <pic:blipFill>
                          <a:blip r:embed="rId89"/>
                          <a:stretch>
                            <a:fillRect/>
                          </a:stretch>
                        </pic:blipFill>
                        <pic:spPr>
                          <a:xfrm>
                            <a:off x="0" y="0"/>
                            <a:ext cx="2898507" cy="21738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 w:hRule="atLeast"/>
        </w:trPr>
        <w:tc>
          <w:tcPr>
            <w:tcW w:w="5000" w:type="pct"/>
            <w:gridSpan w:val="2"/>
          </w:tcPr>
          <w:p>
            <w:pPr>
              <w:keepNext w:val="0"/>
              <w:keepLines w:val="0"/>
              <w:suppressLineNumbers w:val="0"/>
              <w:spacing w:before="0" w:beforeAutospacing="0" w:after="0" w:afterAutospacing="0" w:line="360" w:lineRule="auto"/>
              <w:ind w:left="0" w:right="0" w:firstLine="420"/>
              <w:jc w:val="center"/>
              <w:rPr>
                <w:rFonts w:hint="eastAsia" w:hAnsi="Times New Roman" w:eastAsia="宋体"/>
                <w:kern w:val="2"/>
                <w:szCs w:val="24"/>
              </w:rPr>
            </w:pPr>
            <w:r>
              <w:rPr>
                <w:rFonts w:hint="eastAsia" w:hAnsi="Times New Roman" w:eastAsia="宋体"/>
                <w:b/>
                <w:bCs/>
                <w:kern w:val="2"/>
                <w:sz w:val="21"/>
                <w:szCs w:val="21"/>
                <w:lang w:eastAsia="zh-CN"/>
              </w:rPr>
              <w:t>白茅草丛</w:t>
            </w:r>
          </w:p>
        </w:tc>
      </w:tr>
    </w:tbl>
    <w:p>
      <w:pPr>
        <w:pStyle w:val="99"/>
        <w:spacing w:after="0" w:line="360" w:lineRule="auto"/>
        <w:ind w:left="0" w:leftChars="0" w:firstLine="480" w:firstLineChars="200"/>
        <w:rPr>
          <w:rFonts w:ascii="Times New Roman" w:hAnsi="Times New Roman" w:eastAsia="宋体" w:cs="Times New Roman"/>
          <w:color w:val="auto"/>
        </w:rPr>
      </w:pPr>
      <w:r>
        <w:rPr>
          <w:rFonts w:ascii="Times New Roman" w:hAnsi="Times New Roman" w:eastAsia="宋体" w:cs="Times New Roman"/>
          <w:color w:val="auto"/>
        </w:rPr>
        <w:t>7、栽培植被</w:t>
      </w:r>
    </w:p>
    <w:p>
      <w:pPr>
        <w:spacing w:line="360" w:lineRule="auto"/>
        <w:ind w:firstLine="456" w:firstLineChars="200"/>
        <w:rPr>
          <w:rFonts w:hAnsi="Times New Roman" w:eastAsia="宋体"/>
          <w:szCs w:val="24"/>
        </w:rPr>
      </w:pPr>
      <w:r>
        <w:rPr>
          <w:rFonts w:hAnsi="Times New Roman" w:eastAsia="宋体"/>
          <w:spacing w:val="-6"/>
          <w:szCs w:val="24"/>
        </w:rPr>
        <w:t>在评价区的地势平坦处或坡地有</w:t>
      </w:r>
      <w:r>
        <w:rPr>
          <w:rFonts w:hAnsi="Times New Roman" w:eastAsia="宋体"/>
          <w:spacing w:val="-6"/>
          <w:szCs w:val="24"/>
          <w:lang w:eastAsia="zh-CN"/>
        </w:rPr>
        <w:t>栽培</w:t>
      </w:r>
      <w:r>
        <w:rPr>
          <w:rFonts w:hAnsi="Times New Roman" w:eastAsia="宋体"/>
          <w:spacing w:val="-6"/>
          <w:szCs w:val="24"/>
        </w:rPr>
        <w:t>植</w:t>
      </w:r>
      <w:r>
        <w:rPr>
          <w:rFonts w:hAnsi="Times New Roman" w:eastAsia="宋体"/>
          <w:spacing w:val="-7"/>
          <w:szCs w:val="24"/>
        </w:rPr>
        <w:t>被分布，受水源和地势限制其耕</w:t>
      </w:r>
      <w:r>
        <w:rPr>
          <w:rFonts w:hAnsi="Times New Roman" w:eastAsia="宋体"/>
          <w:szCs w:val="24"/>
        </w:rPr>
        <w:t>作方式为一年</w:t>
      </w:r>
      <w:r>
        <w:rPr>
          <w:rFonts w:hAnsi="Times New Roman" w:eastAsia="宋体"/>
          <w:szCs w:val="24"/>
          <w:lang w:eastAsia="zh-CN"/>
        </w:rPr>
        <w:t>一</w:t>
      </w:r>
      <w:r>
        <w:rPr>
          <w:rFonts w:hAnsi="Times New Roman" w:eastAsia="宋体"/>
          <w:szCs w:val="24"/>
        </w:rPr>
        <w:t>熟</w:t>
      </w:r>
      <w:r>
        <w:rPr>
          <w:rFonts w:hAnsi="Times New Roman" w:eastAsia="宋体"/>
          <w:szCs w:val="24"/>
          <w:lang w:eastAsia="zh-CN"/>
        </w:rPr>
        <w:t>。在评价区域内调查到的栽培植被主要为应季作物，有青菜、油菜、蚕豆等，在农村住宅周边还分布有少量果树，有李、樱桃、柑橘等。</w:t>
      </w:r>
    </w:p>
    <w:tbl>
      <w:tblPr>
        <w:tblStyle w:val="3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84"/>
        <w:gridCol w:w="46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tcPr>
          <w:p>
            <w:pPr>
              <w:keepNext w:val="0"/>
              <w:keepLines w:val="0"/>
              <w:suppressLineNumbers w:val="0"/>
              <w:spacing w:before="0" w:beforeAutospacing="0" w:after="0" w:afterAutospacing="0" w:line="360" w:lineRule="auto"/>
              <w:ind w:left="0" w:right="0"/>
              <w:jc w:val="center"/>
              <w:rPr>
                <w:rFonts w:hint="eastAsia" w:hAnsi="Times New Roman" w:eastAsia="宋体"/>
                <w:kern w:val="2"/>
                <w:szCs w:val="24"/>
              </w:rPr>
            </w:pPr>
            <w:r>
              <w:rPr>
                <w:rFonts w:hint="eastAsia" w:hAnsi="Times New Roman" w:eastAsia="宋体"/>
                <w:kern w:val="2"/>
                <w:szCs w:val="24"/>
              </w:rPr>
              <w:drawing>
                <wp:inline distT="0" distB="0" distL="114300" distR="114300">
                  <wp:extent cx="2835910" cy="2127250"/>
                  <wp:effectExtent l="0" t="0" r="2540" b="6350"/>
                  <wp:docPr id="903609978" name="图片 903609978" descr="f181048076ab941a287ed7c8e8b70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609978" name="图片 903609978" descr="f181048076ab941a287ed7c8e8b70c8"/>
                          <pic:cNvPicPr>
                            <a:picLocks noChangeAspect="1"/>
                          </pic:cNvPicPr>
                        </pic:nvPicPr>
                        <pic:blipFill>
                          <a:blip r:embed="rId90"/>
                          <a:stretch>
                            <a:fillRect/>
                          </a:stretch>
                        </pic:blipFill>
                        <pic:spPr>
                          <a:xfrm>
                            <a:off x="0" y="0"/>
                            <a:ext cx="2838075" cy="2128733"/>
                          </a:xfrm>
                          <a:prstGeom prst="rect">
                            <a:avLst/>
                          </a:prstGeom>
                        </pic:spPr>
                      </pic:pic>
                    </a:graphicData>
                  </a:graphic>
                </wp:inline>
              </w:drawing>
            </w:r>
          </w:p>
        </w:tc>
        <w:tc>
          <w:tcPr>
            <w:tcW w:w="2500" w:type="pct"/>
          </w:tcPr>
          <w:p>
            <w:pPr>
              <w:keepNext w:val="0"/>
              <w:keepLines w:val="0"/>
              <w:suppressLineNumbers w:val="0"/>
              <w:spacing w:before="0" w:beforeAutospacing="0" w:after="0" w:afterAutospacing="0" w:line="360" w:lineRule="auto"/>
              <w:ind w:left="0" w:right="0"/>
              <w:jc w:val="center"/>
              <w:rPr>
                <w:rFonts w:hint="eastAsia" w:hAnsi="Times New Roman" w:eastAsia="宋体"/>
                <w:kern w:val="2"/>
                <w:szCs w:val="24"/>
              </w:rPr>
            </w:pPr>
            <w:r>
              <w:rPr>
                <w:rFonts w:hint="eastAsia" w:hAnsi="Times New Roman" w:eastAsia="宋体"/>
                <w:kern w:val="2"/>
                <w:szCs w:val="24"/>
              </w:rPr>
              <w:drawing>
                <wp:inline distT="0" distB="0" distL="114300" distR="114300">
                  <wp:extent cx="2821940" cy="2116455"/>
                  <wp:effectExtent l="0" t="0" r="0" b="0"/>
                  <wp:docPr id="17169374" name="图片 17169374" descr="1e564e4845a1843cc27e804c5eca7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9374" name="图片 17169374" descr="1e564e4845a1843cc27e804c5eca75f"/>
                          <pic:cNvPicPr>
                            <a:picLocks noChangeAspect="1"/>
                          </pic:cNvPicPr>
                        </pic:nvPicPr>
                        <pic:blipFill>
                          <a:blip r:embed="rId91"/>
                          <a:stretch>
                            <a:fillRect/>
                          </a:stretch>
                        </pic:blipFill>
                        <pic:spPr>
                          <a:xfrm>
                            <a:off x="0" y="0"/>
                            <a:ext cx="2825647" cy="2119411"/>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2"/>
          </w:tcPr>
          <w:p>
            <w:pPr>
              <w:keepNext w:val="0"/>
              <w:keepLines w:val="0"/>
              <w:suppressLineNumbers w:val="0"/>
              <w:spacing w:before="0" w:beforeAutospacing="0" w:after="0" w:afterAutospacing="0" w:line="360" w:lineRule="auto"/>
              <w:ind w:left="0" w:right="0" w:firstLine="420"/>
              <w:jc w:val="center"/>
              <w:rPr>
                <w:rFonts w:hint="eastAsia" w:hAnsi="Times New Roman" w:eastAsia="宋体"/>
                <w:kern w:val="2"/>
                <w:szCs w:val="24"/>
              </w:rPr>
            </w:pPr>
            <w:bookmarkStart w:id="184" w:name="_Toc4689"/>
            <w:bookmarkStart w:id="185" w:name="_Toc6326"/>
            <w:r>
              <w:rPr>
                <w:rFonts w:hint="eastAsia" w:hAnsi="Times New Roman" w:eastAsia="宋体"/>
                <w:b/>
                <w:bCs/>
                <w:kern w:val="2"/>
                <w:sz w:val="21"/>
                <w:szCs w:val="21"/>
                <w:lang w:eastAsia="zh-CN"/>
              </w:rPr>
              <w:t>栽培植被</w:t>
            </w:r>
          </w:p>
        </w:tc>
      </w:tr>
    </w:tbl>
    <w:p>
      <w:pPr>
        <w:spacing w:line="360" w:lineRule="auto"/>
        <w:rPr>
          <w:rFonts w:hAnsi="Times New Roman" w:eastAsia="宋体"/>
          <w:b/>
          <w:bCs/>
          <w:lang w:eastAsia="zh-CN"/>
        </w:rPr>
      </w:pPr>
      <w:r>
        <w:rPr>
          <w:rFonts w:hint="eastAsia" w:hAnsi="Times New Roman" w:eastAsia="宋体"/>
          <w:b/>
          <w:bCs/>
          <w:lang w:eastAsia="zh-CN"/>
        </w:rPr>
        <w:t xml:space="preserve">4.2.3.4 </w:t>
      </w:r>
      <w:r>
        <w:rPr>
          <w:rFonts w:hAnsi="Times New Roman" w:eastAsia="宋体"/>
          <w:b/>
          <w:bCs/>
          <w:lang w:eastAsia="zh-CN"/>
        </w:rPr>
        <w:t>矿区范围内及周边区域植被类型</w:t>
      </w:r>
      <w:bookmarkEnd w:id="184"/>
      <w:bookmarkEnd w:id="185"/>
    </w:p>
    <w:p>
      <w:pPr>
        <w:spacing w:line="360" w:lineRule="auto"/>
        <w:ind w:firstLine="480" w:firstLineChars="200"/>
        <w:rPr>
          <w:rFonts w:hAnsi="Times New Roman" w:eastAsia="宋体"/>
          <w:iCs/>
          <w:szCs w:val="24"/>
        </w:rPr>
      </w:pPr>
      <w:r>
        <w:rPr>
          <w:rFonts w:hAnsi="Times New Roman" w:eastAsia="宋体"/>
          <w:szCs w:val="24"/>
        </w:rPr>
        <w:t>现有煤矿主井工业场地位于主平硐口附近，占地面积4.6hm</w:t>
      </w:r>
      <w:r>
        <w:rPr>
          <w:rFonts w:hAnsi="Times New Roman" w:eastAsia="宋体"/>
          <w:szCs w:val="24"/>
          <w:vertAlign w:val="superscript"/>
        </w:rPr>
        <w:t>2</w:t>
      </w:r>
      <w:r>
        <w:rPr>
          <w:rFonts w:hAnsi="Times New Roman" w:eastAsia="宋体"/>
          <w:szCs w:val="24"/>
        </w:rPr>
        <w:t>，场地内设有+379m主井平硐、封闭储煤场、原煤装卸场等生产设施；机修车间、设备工具存放间、综采设备中转库、矿井水处理站等辅助生产设施；办公室、职工宿舍、食堂、澡堂等行政福利设施。还有炸药库以及煤矸石堆放区等。矿区占地区域植被类型如下：</w:t>
      </w:r>
    </w:p>
    <w:p>
      <w:pPr>
        <w:spacing w:line="360" w:lineRule="auto"/>
        <w:ind w:firstLine="422" w:firstLineChars="200"/>
        <w:jc w:val="center"/>
        <w:rPr>
          <w:rFonts w:hAnsi="Times New Roman" w:eastAsia="宋体"/>
          <w:b/>
          <w:bCs/>
          <w:iCs/>
          <w:sz w:val="21"/>
          <w:szCs w:val="21"/>
        </w:rPr>
      </w:pPr>
      <w:r>
        <w:rPr>
          <w:rFonts w:hint="eastAsia" w:hAnsi="Times New Roman" w:eastAsia="宋体"/>
          <w:b/>
          <w:bCs/>
          <w:sz w:val="21"/>
          <w:szCs w:val="21"/>
          <w:lang w:eastAsia="zh-CN"/>
        </w:rPr>
        <w:t>表4.2-6</w:t>
      </w:r>
      <w:r>
        <w:rPr>
          <w:rFonts w:hAnsi="Times New Roman" w:eastAsia="宋体"/>
          <w:b/>
          <w:bCs/>
          <w:sz w:val="21"/>
          <w:szCs w:val="21"/>
        </w:rPr>
        <w:t xml:space="preserve"> 矿区</w:t>
      </w:r>
      <w:r>
        <w:rPr>
          <w:rFonts w:hAnsi="Times New Roman" w:eastAsia="宋体"/>
          <w:b/>
          <w:bCs/>
          <w:sz w:val="21"/>
          <w:szCs w:val="21"/>
          <w:lang w:eastAsia="zh-CN"/>
        </w:rPr>
        <w:t>范围内及周边区域</w:t>
      </w:r>
      <w:r>
        <w:rPr>
          <w:rFonts w:hAnsi="Times New Roman" w:eastAsia="宋体"/>
          <w:b/>
          <w:bCs/>
          <w:sz w:val="21"/>
          <w:szCs w:val="21"/>
        </w:rPr>
        <w:t>植</w:t>
      </w:r>
      <w:r>
        <w:rPr>
          <w:rFonts w:hint="eastAsia" w:hAnsi="Times New Roman" w:eastAsia="宋体"/>
          <w:b/>
          <w:bCs/>
          <w:sz w:val="21"/>
          <w:szCs w:val="21"/>
        </w:rPr>
        <w:t>物</w:t>
      </w:r>
      <w:r>
        <w:rPr>
          <w:rFonts w:hAnsi="Times New Roman" w:eastAsia="宋体"/>
          <w:b/>
          <w:bCs/>
          <w:sz w:val="21"/>
          <w:szCs w:val="21"/>
        </w:rPr>
        <w:t>一览表</w:t>
      </w:r>
    </w:p>
    <w:tbl>
      <w:tblPr>
        <w:tblStyle w:val="34"/>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93"/>
        <w:gridCol w:w="61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9" w:type="pct"/>
          </w:tcPr>
          <w:p>
            <w:pPr>
              <w:pStyle w:val="2"/>
              <w:keepNext w:val="0"/>
              <w:keepLines w:val="0"/>
              <w:suppressLineNumbers w:val="0"/>
              <w:spacing w:before="0" w:beforeAutospacing="0" w:after="0" w:afterAutospacing="0"/>
              <w:ind w:left="0" w:leftChars="0" w:right="0" w:firstLine="0" w:firstLineChars="0"/>
              <w:jc w:val="center"/>
              <w:rPr>
                <w:rFonts w:hint="eastAsia" w:eastAsia="宋体"/>
                <w:b/>
                <w:bCs/>
                <w:szCs w:val="21"/>
              </w:rPr>
            </w:pPr>
            <w:r>
              <w:rPr>
                <w:rFonts w:hint="eastAsia" w:eastAsia="宋体"/>
                <w:b/>
                <w:bCs/>
                <w:szCs w:val="21"/>
              </w:rPr>
              <w:t>项目</w:t>
            </w:r>
          </w:p>
        </w:tc>
        <w:tc>
          <w:tcPr>
            <w:tcW w:w="3290" w:type="pct"/>
          </w:tcPr>
          <w:p>
            <w:pPr>
              <w:pStyle w:val="2"/>
              <w:keepNext w:val="0"/>
              <w:keepLines w:val="0"/>
              <w:suppressLineNumbers w:val="0"/>
              <w:spacing w:before="0" w:beforeAutospacing="0" w:after="0" w:afterAutospacing="0"/>
              <w:ind w:left="0" w:leftChars="0" w:right="0" w:firstLine="0" w:firstLineChars="0"/>
              <w:jc w:val="center"/>
              <w:rPr>
                <w:rFonts w:hint="eastAsia" w:eastAsia="宋体"/>
                <w:b/>
                <w:bCs/>
                <w:szCs w:val="21"/>
              </w:rPr>
            </w:pPr>
            <w:r>
              <w:rPr>
                <w:rFonts w:hint="eastAsia" w:eastAsia="宋体"/>
                <w:b/>
                <w:bCs/>
                <w:szCs w:val="21"/>
                <w:lang w:eastAsia="zh-CN"/>
              </w:rPr>
              <w:t>植物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9" w:type="pct"/>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rPr>
            </w:pPr>
            <w:r>
              <w:rPr>
                <w:rFonts w:hint="eastAsia" w:eastAsia="宋体"/>
                <w:kern w:val="0"/>
                <w:szCs w:val="21"/>
                <w:lang w:eastAsia="zh-CN"/>
              </w:rPr>
              <w:t>主井</w:t>
            </w:r>
            <w:r>
              <w:rPr>
                <w:rFonts w:hint="eastAsia" w:eastAsia="宋体"/>
                <w:kern w:val="0"/>
                <w:szCs w:val="21"/>
              </w:rPr>
              <w:t>工业场地</w:t>
            </w:r>
          </w:p>
        </w:tc>
        <w:tc>
          <w:tcPr>
            <w:tcW w:w="3290" w:type="pct"/>
          </w:tcPr>
          <w:p>
            <w:pPr>
              <w:pStyle w:val="2"/>
              <w:keepNext w:val="0"/>
              <w:keepLines w:val="0"/>
              <w:suppressLineNumbers w:val="0"/>
              <w:spacing w:before="0" w:beforeAutospacing="0" w:after="0" w:afterAutospacing="0"/>
              <w:ind w:left="0" w:leftChars="0" w:right="0" w:firstLine="0" w:firstLineChars="0"/>
              <w:rPr>
                <w:rFonts w:hint="eastAsia" w:eastAsia="宋体"/>
                <w:szCs w:val="21"/>
              </w:rPr>
            </w:pPr>
            <w:r>
              <w:rPr>
                <w:rFonts w:hint="eastAsia" w:eastAsia="宋体"/>
                <w:szCs w:val="21"/>
                <w:lang w:eastAsia="zh-CN"/>
              </w:rPr>
              <w:t>柏木、马尾松、慈竹、构树、火棘、水麻、马桑、凤尾蕨、冷水花、五节芒、白茅、斑茅、苎麻、竹叶草、芒、荩草、狗尾草、蕨、狗牙根等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9" w:type="pct"/>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rPr>
            </w:pPr>
            <w:r>
              <w:rPr>
                <w:rFonts w:hint="eastAsia" w:eastAsia="宋体"/>
                <w:kern w:val="0"/>
                <w:szCs w:val="21"/>
              </w:rPr>
              <w:t>临时矸石堆场</w:t>
            </w:r>
          </w:p>
        </w:tc>
        <w:tc>
          <w:tcPr>
            <w:tcW w:w="3290" w:type="pct"/>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lang w:eastAsia="zh-CN"/>
              </w:rPr>
              <w:t>柏木、马尾松、盐肤木、苎麻、水麻、马桑、凤尾蕨、冷水花、五节芒、白茅、斑茅、竹叶草、芒、荩草、狗尾草、蕨、狗牙根、老鹳草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9" w:type="pct"/>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rPr>
            </w:pPr>
            <w:r>
              <w:rPr>
                <w:rFonts w:hint="eastAsia" w:eastAsia="宋体"/>
                <w:kern w:val="0"/>
                <w:szCs w:val="21"/>
              </w:rPr>
              <w:t>风井场地</w:t>
            </w:r>
          </w:p>
        </w:tc>
        <w:tc>
          <w:tcPr>
            <w:tcW w:w="3290" w:type="pct"/>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lang w:eastAsia="zh-CN"/>
              </w:rPr>
              <w:t>柏木、马尾松、盐肤木、苎麻、火棘、水麻、马桑、凤尾蕨、冷水花、竹叶草、芒、荩草、五节芒、白茅、斑茅、苎麻、狗尾草、林地早熟禾、狗牙根、老鹳草等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9" w:type="pct"/>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rPr>
            </w:pPr>
            <w:r>
              <w:rPr>
                <w:rFonts w:hint="eastAsia" w:eastAsia="宋体"/>
                <w:kern w:val="0"/>
                <w:szCs w:val="21"/>
              </w:rPr>
              <w:t>采空区</w:t>
            </w:r>
          </w:p>
        </w:tc>
        <w:tc>
          <w:tcPr>
            <w:tcW w:w="3290" w:type="pct"/>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lang w:eastAsia="zh-CN"/>
              </w:rPr>
              <w:t>柏木、马尾松、盐肤木、苎麻、火棘、水麻、马桑、冷水花、五节芒、白茅、斑茅、苎麻、竹叶草、芒、荩草、狗尾草、凤尾蕨、狗牙根、老鹳草等</w:t>
            </w:r>
          </w:p>
        </w:tc>
      </w:tr>
    </w:tbl>
    <w:p>
      <w:pPr>
        <w:spacing w:line="360" w:lineRule="auto"/>
        <w:rPr>
          <w:rFonts w:hAnsi="Times New Roman" w:eastAsia="宋体"/>
          <w:b/>
          <w:bCs/>
          <w:lang w:eastAsia="zh-CN"/>
        </w:rPr>
      </w:pPr>
      <w:bookmarkStart w:id="186" w:name="_Toc31597"/>
      <w:r>
        <w:rPr>
          <w:rFonts w:hint="eastAsia" w:hAnsi="Times New Roman" w:eastAsia="宋体"/>
          <w:b/>
          <w:bCs/>
          <w:lang w:eastAsia="zh-CN"/>
        </w:rPr>
        <w:t>4.2.3.5</w:t>
      </w:r>
      <w:r>
        <w:rPr>
          <w:rFonts w:hAnsi="Times New Roman" w:eastAsia="宋体"/>
          <w:b/>
          <w:bCs/>
          <w:lang w:eastAsia="zh-CN"/>
        </w:rPr>
        <w:t xml:space="preserve"> 国家重点保护植物、古树名木与野生资源植物</w:t>
      </w:r>
      <w:bookmarkEnd w:id="186"/>
    </w:p>
    <w:p>
      <w:pPr>
        <w:spacing w:line="360" w:lineRule="auto"/>
        <w:ind w:firstLine="480" w:firstLineChars="200"/>
        <w:rPr>
          <w:rFonts w:hAnsi="Times New Roman" w:eastAsia="宋体"/>
          <w:b/>
          <w:bCs/>
          <w:szCs w:val="24"/>
        </w:rPr>
      </w:pPr>
      <w:r>
        <w:rPr>
          <w:rFonts w:hAnsi="Times New Roman" w:eastAsia="宋体"/>
          <w:szCs w:val="24"/>
        </w:rPr>
        <w:t>根据调查访问结合资料文献，此次评价区植物中有</w:t>
      </w:r>
      <w:r>
        <w:rPr>
          <w:rFonts w:hAnsi="Times New Roman" w:eastAsia="宋体"/>
          <w:szCs w:val="24"/>
          <w:lang w:eastAsia="zh-CN"/>
        </w:rPr>
        <w:t>32</w:t>
      </w:r>
      <w:r>
        <w:rPr>
          <w:rFonts w:hAnsi="Times New Roman" w:eastAsia="宋体"/>
          <w:szCs w:val="24"/>
        </w:rPr>
        <w:t>种</w:t>
      </w:r>
      <w:r>
        <w:rPr>
          <w:rFonts w:hAnsi="Times New Roman" w:eastAsia="宋体"/>
          <w:szCs w:val="24"/>
          <w:lang w:eastAsia="zh-CN"/>
        </w:rPr>
        <w:t>重要野生植物</w:t>
      </w:r>
      <w:r>
        <w:rPr>
          <w:rFonts w:hAnsi="Times New Roman" w:eastAsia="宋体"/>
          <w:szCs w:val="24"/>
        </w:rPr>
        <w:t>，</w:t>
      </w:r>
      <w:r>
        <w:rPr>
          <w:rFonts w:hAnsi="Times New Roman" w:eastAsia="宋体"/>
          <w:szCs w:val="24"/>
          <w:lang w:eastAsia="zh-CN"/>
        </w:rPr>
        <w:t>均为中国特有种，无极危、易危植物，</w:t>
      </w:r>
      <w:r>
        <w:rPr>
          <w:rFonts w:hAnsi="Times New Roman" w:eastAsia="宋体"/>
          <w:szCs w:val="24"/>
        </w:rPr>
        <w:t>无极小种群野生植物。大部分重要野生植物均未被工程占用</w:t>
      </w:r>
      <w:r>
        <w:rPr>
          <w:rFonts w:hAnsi="Times New Roman" w:eastAsia="宋体"/>
          <w:szCs w:val="24"/>
          <w:lang w:eastAsia="zh-CN"/>
        </w:rPr>
        <w:t>，蒲公英、乌藨子等少部分植物被占用</w:t>
      </w:r>
      <w:r>
        <w:rPr>
          <w:rFonts w:hAnsi="Times New Roman" w:eastAsia="宋体"/>
          <w:szCs w:val="24"/>
        </w:rPr>
        <w:t>。</w:t>
      </w:r>
      <w:r>
        <w:rPr>
          <w:rFonts w:hAnsi="Times New Roman" w:eastAsia="宋体"/>
          <w:szCs w:val="24"/>
          <w:lang w:eastAsia="zh-CN"/>
        </w:rPr>
        <w:t>具体情况见附表。</w:t>
      </w:r>
    </w:p>
    <w:p>
      <w:pPr>
        <w:spacing w:line="360" w:lineRule="auto"/>
        <w:ind w:firstLine="482" w:firstLineChars="200"/>
        <w:rPr>
          <w:rFonts w:hAnsi="Times New Roman" w:eastAsia="宋体"/>
          <w:b/>
          <w:bCs/>
          <w:szCs w:val="24"/>
        </w:rPr>
      </w:pPr>
      <w:r>
        <w:rPr>
          <w:rFonts w:hint="eastAsia" w:hAnsi="Times New Roman" w:eastAsia="宋体"/>
          <w:b/>
          <w:bCs/>
          <w:szCs w:val="24"/>
        </w:rPr>
        <w:t>1、</w:t>
      </w:r>
      <w:r>
        <w:rPr>
          <w:rFonts w:hAnsi="Times New Roman" w:eastAsia="宋体"/>
          <w:b/>
          <w:bCs/>
          <w:szCs w:val="24"/>
        </w:rPr>
        <w:t>保护植物</w:t>
      </w:r>
    </w:p>
    <w:p>
      <w:pPr>
        <w:spacing w:line="360" w:lineRule="auto"/>
        <w:ind w:firstLine="480" w:firstLineChars="200"/>
        <w:rPr>
          <w:rFonts w:hAnsi="Times New Roman" w:eastAsia="宋体"/>
          <w:szCs w:val="24"/>
          <w:lang w:eastAsia="zh-CN"/>
        </w:rPr>
      </w:pPr>
      <w:r>
        <w:rPr>
          <w:rFonts w:hAnsi="Times New Roman" w:eastAsia="宋体"/>
          <w:szCs w:val="24"/>
          <w:lang w:eastAsia="zh-CN"/>
        </w:rPr>
        <w:t>对照2021年8月7日经国务院批准施行的《国家重点保护野生植物名录》中所列物种，通过实地调查统计及资料查阅，本项目生态评价范围内未发现国家级保护植物分布。</w:t>
      </w:r>
    </w:p>
    <w:p>
      <w:pPr>
        <w:spacing w:line="360" w:lineRule="auto"/>
        <w:ind w:firstLine="480" w:firstLineChars="200"/>
        <w:rPr>
          <w:rFonts w:hAnsi="Times New Roman" w:eastAsia="宋体"/>
          <w:szCs w:val="24"/>
          <w:lang w:eastAsia="zh-CN"/>
        </w:rPr>
      </w:pPr>
      <w:r>
        <w:rPr>
          <w:rFonts w:hAnsi="Times New Roman" w:eastAsia="宋体"/>
          <w:szCs w:val="24"/>
          <w:lang w:eastAsia="zh-CN"/>
        </w:rPr>
        <w:t>经调查发现银杏在评价区内为栽培植被，根据国家法律，只有野生种才受法律保护。这些保护物种在评价范围内均为栽培植被，为经济树木和园林观赏树木及行道树、粮食作物，农宅、道路附近均有栽培，已经被驯化作为常见的环境美化树种或经济作物、粮食作物。因此评价范围内的银杏不属于国家级保护植物。</w:t>
      </w:r>
    </w:p>
    <w:p>
      <w:pPr>
        <w:spacing w:line="360" w:lineRule="auto"/>
        <w:ind w:firstLine="480" w:firstLineChars="200"/>
        <w:rPr>
          <w:rFonts w:hAnsi="Times New Roman" w:eastAsia="宋体"/>
          <w:szCs w:val="24"/>
          <w:lang w:eastAsia="zh-CN"/>
        </w:rPr>
      </w:pPr>
      <w:r>
        <w:rPr>
          <w:rFonts w:hAnsi="Times New Roman" w:eastAsia="宋体"/>
          <w:szCs w:val="24"/>
          <w:lang w:eastAsia="zh-CN"/>
        </w:rPr>
        <w:t>同时根据川府函〔2016〕27号《四川省重点保护野生植物名录》中所列的物种，本次调查未发现有省级保护植物。</w:t>
      </w:r>
    </w:p>
    <w:p>
      <w:pPr>
        <w:spacing w:line="360" w:lineRule="auto"/>
        <w:ind w:firstLine="482" w:firstLineChars="200"/>
        <w:rPr>
          <w:rFonts w:hAnsi="Times New Roman" w:eastAsia="宋体"/>
          <w:b/>
          <w:bCs/>
          <w:szCs w:val="24"/>
        </w:rPr>
      </w:pPr>
      <w:r>
        <w:rPr>
          <w:rFonts w:hint="eastAsia" w:hAnsi="Times New Roman" w:eastAsia="宋体"/>
          <w:b/>
          <w:bCs/>
          <w:szCs w:val="24"/>
          <w:lang w:eastAsia="zh-CN"/>
        </w:rPr>
        <w:t>2</w:t>
      </w:r>
      <w:r>
        <w:rPr>
          <w:rFonts w:hint="eastAsia" w:hAnsi="Times New Roman" w:eastAsia="宋体"/>
          <w:b/>
          <w:bCs/>
          <w:szCs w:val="24"/>
        </w:rPr>
        <w:t>、</w:t>
      </w:r>
      <w:r>
        <w:rPr>
          <w:rFonts w:hAnsi="Times New Roman" w:eastAsia="宋体"/>
          <w:b/>
          <w:bCs/>
          <w:szCs w:val="24"/>
        </w:rPr>
        <w:t>古树名木</w:t>
      </w:r>
    </w:p>
    <w:p>
      <w:pPr>
        <w:spacing w:line="360" w:lineRule="auto"/>
        <w:ind w:firstLine="480" w:firstLineChars="200"/>
        <w:rPr>
          <w:rFonts w:hAnsi="Times New Roman" w:eastAsia="宋体"/>
          <w:szCs w:val="24"/>
        </w:rPr>
      </w:pPr>
      <w:r>
        <w:rPr>
          <w:rFonts w:hAnsi="Times New Roman" w:eastAsia="宋体"/>
          <w:szCs w:val="24"/>
          <w:lang w:eastAsia="zh-CN"/>
        </w:rPr>
        <w:t>按照全国绿化委员会、国家林业局文件（全绿字</w:t>
      </w:r>
      <w:r>
        <w:rPr>
          <w:rFonts w:hint="eastAsia" w:hAnsi="Times New Roman" w:eastAsia="宋体"/>
          <w:szCs w:val="24"/>
          <w:lang w:eastAsia="zh-CN"/>
        </w:rPr>
        <w:t>〔</w:t>
      </w:r>
      <w:r>
        <w:rPr>
          <w:rFonts w:hAnsi="Times New Roman" w:eastAsia="宋体"/>
          <w:szCs w:val="24"/>
          <w:lang w:eastAsia="zh-CN"/>
        </w:rPr>
        <w:t>2001</w:t>
      </w:r>
      <w:r>
        <w:rPr>
          <w:rFonts w:hint="eastAsia" w:hAnsi="Times New Roman" w:eastAsia="宋体"/>
          <w:szCs w:val="24"/>
          <w:lang w:eastAsia="zh-CN"/>
        </w:rPr>
        <w:t>〕</w:t>
      </w:r>
      <w:r>
        <w:rPr>
          <w:rFonts w:hAnsi="Times New Roman" w:eastAsia="宋体"/>
          <w:szCs w:val="24"/>
          <w:lang w:eastAsia="zh-CN"/>
        </w:rPr>
        <w:t>15号）对名木古树的界定，名木指在历史上或社会上有重大影响的中外历代名人、领袖人物所植或者具有极其重要的历史、文化价值、具有纪念意义的树木；古树指树龄在100年以上的树木。本次现场调查、并查询四川省绿化委员会发布的《四川省古树名木名录》，未在评价区内发现挂牌和登记在册的古树名木。</w:t>
      </w:r>
    </w:p>
    <w:p>
      <w:pPr>
        <w:spacing w:line="360" w:lineRule="auto"/>
        <w:rPr>
          <w:rFonts w:hAnsi="Times New Roman" w:eastAsia="宋体"/>
          <w:b/>
          <w:bCs/>
          <w:lang w:eastAsia="zh-CN"/>
        </w:rPr>
      </w:pPr>
      <w:r>
        <w:rPr>
          <w:rFonts w:hint="eastAsia" w:hAnsi="Times New Roman" w:eastAsia="宋体"/>
          <w:b/>
          <w:bCs/>
          <w:lang w:eastAsia="zh-CN"/>
        </w:rPr>
        <w:t>4.2.3.6</w:t>
      </w:r>
      <w:r>
        <w:rPr>
          <w:rFonts w:hAnsi="Times New Roman" w:eastAsia="宋体"/>
          <w:b/>
          <w:bCs/>
          <w:lang w:eastAsia="zh-CN"/>
        </w:rPr>
        <w:t>外来入侵植物</w:t>
      </w:r>
    </w:p>
    <w:p>
      <w:pPr>
        <w:spacing w:line="360" w:lineRule="auto"/>
        <w:ind w:firstLine="480" w:firstLineChars="200"/>
        <w:rPr>
          <w:rFonts w:hAnsi="Times New Roman" w:eastAsia="宋体"/>
          <w:szCs w:val="24"/>
          <w:lang w:eastAsia="zh-CN"/>
        </w:rPr>
      </w:pPr>
      <w:r>
        <w:rPr>
          <w:rFonts w:hAnsi="Times New Roman" w:eastAsia="宋体"/>
          <w:szCs w:val="24"/>
          <w:lang w:eastAsia="zh-CN"/>
        </w:rPr>
        <w:t>外来植物是指在一个特定地域的生态系统中，不是本地自然发生和进化而来，而是后来通过不同的途径从其他地区传播过来的植物。外来植物如果能够在自然状态下获得生长和繁殖，就构成了外来植物的入侵。参考马金双的《中国入侵植物名录》（4级以下除外），根据实地调查，评价区内有外来入侵植物4种，具体名录见表</w:t>
      </w:r>
      <w:r>
        <w:rPr>
          <w:rFonts w:hint="eastAsia" w:hAnsi="Times New Roman" w:eastAsia="宋体"/>
          <w:szCs w:val="24"/>
          <w:lang w:eastAsia="zh-CN"/>
        </w:rPr>
        <w:t>4.2-7</w:t>
      </w:r>
      <w:r>
        <w:rPr>
          <w:rFonts w:hAnsi="Times New Roman" w:eastAsia="宋体"/>
          <w:szCs w:val="24"/>
          <w:lang w:eastAsia="zh-CN"/>
        </w:rPr>
        <w:t>。</w:t>
      </w:r>
    </w:p>
    <w:p>
      <w:pPr>
        <w:pStyle w:val="19"/>
        <w:tabs>
          <w:tab w:val="left" w:pos="426"/>
        </w:tabs>
        <w:spacing w:line="240" w:lineRule="auto"/>
        <w:ind w:left="480" w:firstLine="422"/>
        <w:jc w:val="center"/>
        <w:rPr>
          <w:sz w:val="21"/>
          <w:szCs w:val="21"/>
        </w:rPr>
      </w:pPr>
      <w:r>
        <w:rPr>
          <w:b/>
          <w:sz w:val="21"/>
          <w:szCs w:val="21"/>
        </w:rPr>
        <w:t>表</w:t>
      </w:r>
      <w:r>
        <w:rPr>
          <w:rFonts w:hint="eastAsia"/>
          <w:b/>
          <w:sz w:val="21"/>
          <w:szCs w:val="21"/>
          <w:lang w:eastAsia="zh-CN"/>
        </w:rPr>
        <w:t>4.2</w:t>
      </w:r>
      <w:r>
        <w:rPr>
          <w:b/>
          <w:sz w:val="21"/>
          <w:szCs w:val="21"/>
        </w:rPr>
        <w:t>-</w:t>
      </w:r>
      <w:r>
        <w:rPr>
          <w:rFonts w:hint="eastAsia"/>
          <w:b/>
          <w:sz w:val="21"/>
          <w:szCs w:val="21"/>
          <w:lang w:eastAsia="zh-CN"/>
        </w:rPr>
        <w:t>7</w:t>
      </w:r>
      <w:r>
        <w:rPr>
          <w:b/>
          <w:sz w:val="21"/>
          <w:szCs w:val="21"/>
        </w:rPr>
        <w:t xml:space="preserve"> 评价区入侵植物调查结果统计表</w:t>
      </w:r>
    </w:p>
    <w:tbl>
      <w:tblPr>
        <w:tblStyle w:val="3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3"/>
        <w:gridCol w:w="1006"/>
        <w:gridCol w:w="1811"/>
        <w:gridCol w:w="1795"/>
        <w:gridCol w:w="41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tcBorders>
              <w:tl2br w:val="nil"/>
              <w:tr2bl w:val="nil"/>
            </w:tcBorders>
            <w:vAlign w:val="center"/>
          </w:tcPr>
          <w:p>
            <w:pPr>
              <w:pStyle w:val="19"/>
              <w:keepNext w:val="0"/>
              <w:keepLines w:val="0"/>
              <w:suppressLineNumbers w:val="0"/>
              <w:tabs>
                <w:tab w:val="left" w:pos="426"/>
              </w:tabs>
              <w:snapToGrid w:val="0"/>
              <w:spacing w:before="0" w:beforeAutospacing="0" w:after="0" w:afterAutospacing="0" w:line="240" w:lineRule="auto"/>
              <w:ind w:left="0" w:right="0" w:firstLine="0" w:firstLineChars="0"/>
              <w:jc w:val="center"/>
              <w:rPr>
                <w:rFonts w:hint="eastAsia"/>
                <w:b/>
                <w:sz w:val="21"/>
                <w:szCs w:val="21"/>
              </w:rPr>
            </w:pPr>
            <w:r>
              <w:rPr>
                <w:rFonts w:hint="eastAsia"/>
                <w:b/>
                <w:sz w:val="21"/>
                <w:szCs w:val="21"/>
              </w:rPr>
              <w:t>序号</w:t>
            </w:r>
          </w:p>
        </w:tc>
        <w:tc>
          <w:tcPr>
            <w:tcW w:w="1006" w:type="dxa"/>
            <w:tcBorders>
              <w:tl2br w:val="nil"/>
              <w:tr2bl w:val="nil"/>
            </w:tcBorders>
            <w:vAlign w:val="center"/>
          </w:tcPr>
          <w:p>
            <w:pPr>
              <w:pStyle w:val="19"/>
              <w:keepNext w:val="0"/>
              <w:keepLines w:val="0"/>
              <w:suppressLineNumbers w:val="0"/>
              <w:tabs>
                <w:tab w:val="left" w:pos="426"/>
              </w:tabs>
              <w:snapToGrid w:val="0"/>
              <w:spacing w:before="0" w:beforeAutospacing="0" w:after="0" w:afterAutospacing="0" w:line="240" w:lineRule="auto"/>
              <w:ind w:left="0" w:right="0" w:firstLine="0" w:firstLineChars="0"/>
              <w:jc w:val="center"/>
              <w:rPr>
                <w:rFonts w:hint="eastAsia"/>
                <w:b/>
                <w:sz w:val="21"/>
                <w:szCs w:val="21"/>
              </w:rPr>
            </w:pPr>
            <w:r>
              <w:rPr>
                <w:rFonts w:hint="eastAsia"/>
                <w:b/>
                <w:sz w:val="21"/>
                <w:szCs w:val="21"/>
              </w:rPr>
              <w:t>中文名称</w:t>
            </w:r>
          </w:p>
        </w:tc>
        <w:tc>
          <w:tcPr>
            <w:tcW w:w="1811" w:type="dxa"/>
            <w:tcBorders>
              <w:tl2br w:val="nil"/>
              <w:tr2bl w:val="nil"/>
            </w:tcBorders>
            <w:vAlign w:val="center"/>
          </w:tcPr>
          <w:p>
            <w:pPr>
              <w:pStyle w:val="19"/>
              <w:keepNext w:val="0"/>
              <w:keepLines w:val="0"/>
              <w:suppressLineNumbers w:val="0"/>
              <w:tabs>
                <w:tab w:val="left" w:pos="426"/>
              </w:tabs>
              <w:snapToGrid w:val="0"/>
              <w:spacing w:before="0" w:beforeAutospacing="0" w:after="0" w:afterAutospacing="0" w:line="240" w:lineRule="auto"/>
              <w:ind w:left="0" w:right="0" w:firstLine="0" w:firstLineChars="0"/>
              <w:jc w:val="center"/>
              <w:rPr>
                <w:rFonts w:hint="eastAsia"/>
                <w:b/>
                <w:sz w:val="21"/>
                <w:szCs w:val="21"/>
              </w:rPr>
            </w:pPr>
            <w:r>
              <w:rPr>
                <w:rFonts w:hint="eastAsia"/>
                <w:b/>
                <w:sz w:val="21"/>
                <w:szCs w:val="21"/>
              </w:rPr>
              <w:t>拉丁文名</w:t>
            </w:r>
          </w:p>
        </w:tc>
        <w:tc>
          <w:tcPr>
            <w:tcW w:w="0" w:type="auto"/>
            <w:tcBorders>
              <w:tl2br w:val="nil"/>
              <w:tr2bl w:val="nil"/>
            </w:tcBorders>
            <w:vAlign w:val="center"/>
          </w:tcPr>
          <w:p>
            <w:pPr>
              <w:pStyle w:val="19"/>
              <w:keepNext w:val="0"/>
              <w:keepLines w:val="0"/>
              <w:suppressLineNumbers w:val="0"/>
              <w:tabs>
                <w:tab w:val="left" w:pos="426"/>
              </w:tabs>
              <w:snapToGrid w:val="0"/>
              <w:spacing w:before="0" w:beforeAutospacing="0" w:after="0" w:afterAutospacing="0" w:line="240" w:lineRule="auto"/>
              <w:ind w:left="0" w:right="0" w:firstLine="0" w:firstLineChars="0"/>
              <w:jc w:val="center"/>
              <w:rPr>
                <w:rFonts w:hint="eastAsia"/>
                <w:b/>
                <w:sz w:val="21"/>
                <w:szCs w:val="21"/>
              </w:rPr>
            </w:pPr>
            <w:r>
              <w:rPr>
                <w:rFonts w:hint="eastAsia"/>
                <w:b/>
                <w:sz w:val="21"/>
                <w:szCs w:val="21"/>
              </w:rPr>
              <w:t>分布区域</w:t>
            </w:r>
          </w:p>
        </w:tc>
        <w:tc>
          <w:tcPr>
            <w:tcW w:w="0" w:type="auto"/>
            <w:tcBorders>
              <w:tl2br w:val="nil"/>
              <w:tr2bl w:val="nil"/>
            </w:tcBorders>
            <w:vAlign w:val="center"/>
          </w:tcPr>
          <w:p>
            <w:pPr>
              <w:pStyle w:val="19"/>
              <w:keepNext w:val="0"/>
              <w:keepLines w:val="0"/>
              <w:suppressLineNumbers w:val="0"/>
              <w:tabs>
                <w:tab w:val="left" w:pos="426"/>
              </w:tabs>
              <w:snapToGrid w:val="0"/>
              <w:spacing w:before="0" w:beforeAutospacing="0" w:after="0" w:afterAutospacing="0" w:line="240" w:lineRule="auto"/>
              <w:ind w:left="0" w:right="0" w:firstLine="0" w:firstLineChars="0"/>
              <w:jc w:val="center"/>
              <w:rPr>
                <w:rFonts w:hint="eastAsia"/>
                <w:b/>
                <w:sz w:val="21"/>
                <w:szCs w:val="21"/>
              </w:rPr>
            </w:pPr>
            <w:r>
              <w:rPr>
                <w:rFonts w:hint="eastAsia"/>
                <w:b/>
                <w:sz w:val="21"/>
                <w:szCs w:val="21"/>
              </w:rPr>
              <w:t>资料来源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tcBorders>
              <w:tl2br w:val="nil"/>
              <w:tr2bl w:val="nil"/>
            </w:tcBorders>
            <w:vAlign w:val="center"/>
          </w:tcPr>
          <w:p>
            <w:pPr>
              <w:pStyle w:val="19"/>
              <w:keepNext w:val="0"/>
              <w:keepLines w:val="0"/>
              <w:suppressLineNumbers w:val="0"/>
              <w:tabs>
                <w:tab w:val="left" w:pos="426"/>
              </w:tabs>
              <w:snapToGrid w:val="0"/>
              <w:spacing w:before="0" w:beforeAutospacing="0" w:after="0" w:afterAutospacing="0" w:line="240" w:lineRule="auto"/>
              <w:ind w:left="0" w:right="0" w:firstLine="0" w:firstLineChars="0"/>
              <w:jc w:val="center"/>
              <w:rPr>
                <w:rFonts w:hint="eastAsia"/>
                <w:bCs w:val="0"/>
                <w:sz w:val="21"/>
                <w:szCs w:val="21"/>
              </w:rPr>
            </w:pPr>
            <w:r>
              <w:rPr>
                <w:rFonts w:hint="eastAsia"/>
                <w:bCs w:val="0"/>
                <w:sz w:val="21"/>
                <w:szCs w:val="21"/>
              </w:rPr>
              <w:t>1</w:t>
            </w:r>
          </w:p>
        </w:tc>
        <w:tc>
          <w:tcPr>
            <w:tcW w:w="1006"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Cs w:val="22"/>
              </w:rPr>
              <w:t>喜旱莲子草</w:t>
            </w:r>
          </w:p>
        </w:tc>
        <w:tc>
          <w:tcPr>
            <w:tcW w:w="1811"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
                <w:iCs/>
                <w:kern w:val="2"/>
                <w:sz w:val="21"/>
                <w:szCs w:val="21"/>
              </w:rPr>
            </w:pPr>
            <w:r>
              <w:rPr>
                <w:rFonts w:hint="eastAsia" w:hAnsi="Times New Roman" w:eastAsia="宋体"/>
                <w:i/>
                <w:iCs/>
                <w:kern w:val="2"/>
                <w:szCs w:val="22"/>
              </w:rPr>
              <w:t>Alternanthera philoxeroides</w:t>
            </w:r>
          </w:p>
        </w:tc>
        <w:tc>
          <w:tcPr>
            <w:tcW w:w="0" w:type="auto"/>
            <w:tcBorders>
              <w:tl2br w:val="nil"/>
              <w:tr2bl w:val="nil"/>
            </w:tcBorders>
            <w:vAlign w:val="center"/>
          </w:tcPr>
          <w:p>
            <w:pPr>
              <w:pStyle w:val="19"/>
              <w:keepNext w:val="0"/>
              <w:keepLines w:val="0"/>
              <w:suppressLineNumbers w:val="0"/>
              <w:tabs>
                <w:tab w:val="left" w:pos="426"/>
              </w:tabs>
              <w:snapToGrid w:val="0"/>
              <w:spacing w:before="0" w:beforeAutospacing="0" w:after="0" w:afterAutospacing="0" w:line="240" w:lineRule="auto"/>
              <w:ind w:left="0" w:right="0" w:firstLine="0" w:firstLineChars="0"/>
              <w:jc w:val="center"/>
              <w:rPr>
                <w:rFonts w:hint="eastAsia"/>
                <w:bCs w:val="0"/>
                <w:sz w:val="21"/>
                <w:szCs w:val="21"/>
              </w:rPr>
            </w:pPr>
            <w:r>
              <w:rPr>
                <w:rFonts w:hint="eastAsia"/>
                <w:bCs w:val="0"/>
                <w:sz w:val="21"/>
                <w:szCs w:val="21"/>
              </w:rPr>
              <w:t>评价区内散生分布</w:t>
            </w:r>
          </w:p>
        </w:tc>
        <w:tc>
          <w:tcPr>
            <w:tcW w:w="0" w:type="auto"/>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调查、《中国入侵植物名录》（4级以下除外）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tcBorders>
              <w:tl2br w:val="nil"/>
              <w:tr2bl w:val="nil"/>
            </w:tcBorders>
            <w:vAlign w:val="center"/>
          </w:tcPr>
          <w:p>
            <w:pPr>
              <w:pStyle w:val="19"/>
              <w:keepNext w:val="0"/>
              <w:keepLines w:val="0"/>
              <w:suppressLineNumbers w:val="0"/>
              <w:tabs>
                <w:tab w:val="left" w:pos="426"/>
              </w:tabs>
              <w:snapToGrid w:val="0"/>
              <w:spacing w:before="0" w:beforeAutospacing="0" w:after="0" w:afterAutospacing="0" w:line="240" w:lineRule="auto"/>
              <w:ind w:left="0" w:right="0" w:firstLine="0" w:firstLineChars="0"/>
              <w:jc w:val="center"/>
              <w:rPr>
                <w:rFonts w:hint="eastAsia"/>
                <w:bCs w:val="0"/>
                <w:sz w:val="21"/>
                <w:szCs w:val="21"/>
              </w:rPr>
            </w:pPr>
            <w:r>
              <w:rPr>
                <w:rFonts w:hint="eastAsia"/>
                <w:bCs w:val="0"/>
                <w:sz w:val="21"/>
                <w:szCs w:val="21"/>
              </w:rPr>
              <w:t>2</w:t>
            </w:r>
          </w:p>
        </w:tc>
        <w:tc>
          <w:tcPr>
            <w:tcW w:w="1006"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Cs w:val="22"/>
              </w:rPr>
              <w:t>小蓬草</w:t>
            </w:r>
          </w:p>
        </w:tc>
        <w:tc>
          <w:tcPr>
            <w:tcW w:w="1811"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
                <w:iCs/>
                <w:kern w:val="2"/>
                <w:sz w:val="21"/>
                <w:szCs w:val="21"/>
              </w:rPr>
            </w:pPr>
            <w:r>
              <w:rPr>
                <w:rFonts w:hint="eastAsia" w:hAnsi="Times New Roman" w:eastAsia="宋体"/>
                <w:i/>
                <w:iCs/>
                <w:kern w:val="2"/>
                <w:szCs w:val="22"/>
              </w:rPr>
              <w:t>Erigeron canadensis</w:t>
            </w:r>
          </w:p>
        </w:tc>
        <w:tc>
          <w:tcPr>
            <w:tcW w:w="0" w:type="auto"/>
            <w:tcBorders>
              <w:tl2br w:val="nil"/>
              <w:tr2bl w:val="nil"/>
            </w:tcBorders>
            <w:vAlign w:val="center"/>
          </w:tcPr>
          <w:p>
            <w:pPr>
              <w:pStyle w:val="19"/>
              <w:keepNext w:val="0"/>
              <w:keepLines w:val="0"/>
              <w:suppressLineNumbers w:val="0"/>
              <w:tabs>
                <w:tab w:val="left" w:pos="426"/>
              </w:tabs>
              <w:snapToGrid w:val="0"/>
              <w:spacing w:before="0" w:beforeAutospacing="0" w:after="0" w:afterAutospacing="0" w:line="240" w:lineRule="auto"/>
              <w:ind w:left="0" w:right="0" w:firstLine="0" w:firstLineChars="0"/>
              <w:jc w:val="center"/>
              <w:rPr>
                <w:rFonts w:hint="eastAsia"/>
                <w:bCs w:val="0"/>
                <w:sz w:val="21"/>
                <w:szCs w:val="21"/>
              </w:rPr>
            </w:pPr>
            <w:r>
              <w:rPr>
                <w:rFonts w:hint="eastAsia"/>
                <w:bCs w:val="0"/>
                <w:sz w:val="21"/>
                <w:szCs w:val="21"/>
              </w:rPr>
              <w:t>评价区内散生分布</w:t>
            </w:r>
          </w:p>
        </w:tc>
        <w:tc>
          <w:tcPr>
            <w:tcW w:w="0" w:type="auto"/>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调查、《中国入侵植物名录》（4级以下除外）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tcBorders>
              <w:tl2br w:val="nil"/>
              <w:tr2bl w:val="nil"/>
            </w:tcBorders>
            <w:vAlign w:val="center"/>
          </w:tcPr>
          <w:p>
            <w:pPr>
              <w:pStyle w:val="19"/>
              <w:keepNext w:val="0"/>
              <w:keepLines w:val="0"/>
              <w:suppressLineNumbers w:val="0"/>
              <w:tabs>
                <w:tab w:val="left" w:pos="426"/>
              </w:tabs>
              <w:snapToGrid w:val="0"/>
              <w:spacing w:before="0" w:beforeAutospacing="0" w:after="0" w:afterAutospacing="0" w:line="240" w:lineRule="auto"/>
              <w:ind w:left="0" w:right="0" w:firstLine="0" w:firstLineChars="0"/>
              <w:jc w:val="center"/>
              <w:rPr>
                <w:rFonts w:hint="eastAsia"/>
                <w:bCs w:val="0"/>
                <w:sz w:val="21"/>
                <w:szCs w:val="21"/>
              </w:rPr>
            </w:pPr>
            <w:r>
              <w:rPr>
                <w:rFonts w:hint="eastAsia"/>
                <w:bCs w:val="0"/>
                <w:sz w:val="21"/>
                <w:szCs w:val="21"/>
              </w:rPr>
              <w:t>3</w:t>
            </w:r>
          </w:p>
        </w:tc>
        <w:tc>
          <w:tcPr>
            <w:tcW w:w="1006" w:type="dxa"/>
            <w:tcBorders>
              <w:tl2br w:val="nil"/>
              <w:tr2bl w:val="nil"/>
            </w:tcBorders>
            <w:vAlign w:val="center"/>
          </w:tcPr>
          <w:p>
            <w:pPr>
              <w:pStyle w:val="19"/>
              <w:keepNext w:val="0"/>
              <w:keepLines w:val="0"/>
              <w:suppressLineNumbers w:val="0"/>
              <w:tabs>
                <w:tab w:val="left" w:pos="426"/>
              </w:tabs>
              <w:adjustRightInd w:val="0"/>
              <w:snapToGrid w:val="0"/>
              <w:spacing w:before="0" w:beforeAutospacing="0" w:after="0" w:afterAutospacing="0" w:line="240" w:lineRule="auto"/>
              <w:ind w:left="0" w:right="0" w:firstLine="0" w:firstLineChars="0"/>
              <w:jc w:val="center"/>
              <w:rPr>
                <w:rFonts w:hint="eastAsia"/>
                <w:bCs w:val="0"/>
                <w:sz w:val="21"/>
                <w:szCs w:val="21"/>
              </w:rPr>
            </w:pPr>
            <w:r>
              <w:rPr>
                <w:rFonts w:hint="eastAsia"/>
                <w:bCs w:val="0"/>
                <w:sz w:val="21"/>
                <w:szCs w:val="21"/>
              </w:rPr>
              <w:t>鬼针草</w:t>
            </w:r>
          </w:p>
        </w:tc>
        <w:tc>
          <w:tcPr>
            <w:tcW w:w="1811" w:type="dxa"/>
            <w:tcBorders>
              <w:tl2br w:val="nil"/>
              <w:tr2bl w:val="nil"/>
            </w:tcBorders>
            <w:vAlign w:val="center"/>
          </w:tcPr>
          <w:p>
            <w:pPr>
              <w:pStyle w:val="19"/>
              <w:keepNext w:val="0"/>
              <w:keepLines w:val="0"/>
              <w:suppressLineNumbers w:val="0"/>
              <w:tabs>
                <w:tab w:val="left" w:pos="426"/>
              </w:tabs>
              <w:adjustRightInd w:val="0"/>
              <w:snapToGrid w:val="0"/>
              <w:spacing w:before="0" w:beforeAutospacing="0" w:after="0" w:afterAutospacing="0" w:line="240" w:lineRule="auto"/>
              <w:ind w:left="0" w:right="0" w:firstLine="0" w:firstLineChars="0"/>
              <w:jc w:val="center"/>
              <w:rPr>
                <w:rFonts w:hint="eastAsia"/>
                <w:bCs w:val="0"/>
                <w:i/>
                <w:iCs/>
                <w:sz w:val="21"/>
                <w:szCs w:val="21"/>
              </w:rPr>
            </w:pPr>
            <w:r>
              <w:rPr>
                <w:rFonts w:hint="eastAsia"/>
                <w:bCs w:val="0"/>
                <w:i/>
                <w:iCs/>
                <w:sz w:val="21"/>
                <w:szCs w:val="21"/>
              </w:rPr>
              <w:t>Bidens pilosa</w:t>
            </w:r>
          </w:p>
        </w:tc>
        <w:tc>
          <w:tcPr>
            <w:tcW w:w="0" w:type="auto"/>
            <w:tcBorders>
              <w:tl2br w:val="nil"/>
              <w:tr2bl w:val="nil"/>
            </w:tcBorders>
            <w:vAlign w:val="center"/>
          </w:tcPr>
          <w:p>
            <w:pPr>
              <w:pStyle w:val="19"/>
              <w:keepNext w:val="0"/>
              <w:keepLines w:val="0"/>
              <w:suppressLineNumbers w:val="0"/>
              <w:tabs>
                <w:tab w:val="left" w:pos="426"/>
              </w:tabs>
              <w:snapToGrid w:val="0"/>
              <w:spacing w:before="0" w:beforeAutospacing="0" w:after="0" w:afterAutospacing="0" w:line="240" w:lineRule="auto"/>
              <w:ind w:left="0" w:right="0" w:firstLine="0" w:firstLineChars="0"/>
              <w:jc w:val="center"/>
              <w:rPr>
                <w:rFonts w:hint="eastAsia"/>
                <w:bCs w:val="0"/>
                <w:sz w:val="21"/>
                <w:szCs w:val="21"/>
              </w:rPr>
            </w:pPr>
            <w:r>
              <w:rPr>
                <w:rFonts w:hint="eastAsia"/>
                <w:bCs w:val="0"/>
                <w:sz w:val="21"/>
                <w:szCs w:val="21"/>
              </w:rPr>
              <w:t>评价区内散生分布</w:t>
            </w:r>
          </w:p>
        </w:tc>
        <w:tc>
          <w:tcPr>
            <w:tcW w:w="0" w:type="auto"/>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调查、《中国入侵植物名录》（4级以下除外）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tcBorders>
              <w:tl2br w:val="nil"/>
              <w:tr2bl w:val="nil"/>
            </w:tcBorders>
            <w:vAlign w:val="center"/>
          </w:tcPr>
          <w:p>
            <w:pPr>
              <w:pStyle w:val="19"/>
              <w:keepNext w:val="0"/>
              <w:keepLines w:val="0"/>
              <w:suppressLineNumbers w:val="0"/>
              <w:tabs>
                <w:tab w:val="left" w:pos="426"/>
              </w:tabs>
              <w:snapToGrid w:val="0"/>
              <w:spacing w:before="0" w:beforeAutospacing="0" w:after="0" w:afterAutospacing="0" w:line="240" w:lineRule="auto"/>
              <w:ind w:left="0" w:right="0" w:firstLine="0" w:firstLineChars="0"/>
              <w:jc w:val="center"/>
              <w:rPr>
                <w:rFonts w:hint="eastAsia"/>
                <w:bCs w:val="0"/>
                <w:sz w:val="21"/>
                <w:szCs w:val="21"/>
              </w:rPr>
            </w:pPr>
            <w:r>
              <w:rPr>
                <w:rFonts w:hint="eastAsia"/>
                <w:bCs w:val="0"/>
                <w:sz w:val="21"/>
                <w:szCs w:val="21"/>
              </w:rPr>
              <w:t>4</w:t>
            </w:r>
          </w:p>
        </w:tc>
        <w:tc>
          <w:tcPr>
            <w:tcW w:w="1006" w:type="dxa"/>
            <w:tcBorders>
              <w:tl2br w:val="nil"/>
              <w:tr2bl w:val="nil"/>
            </w:tcBorders>
            <w:vAlign w:val="center"/>
          </w:tcPr>
          <w:p>
            <w:pPr>
              <w:pStyle w:val="19"/>
              <w:keepNext w:val="0"/>
              <w:keepLines w:val="0"/>
              <w:suppressLineNumbers w:val="0"/>
              <w:tabs>
                <w:tab w:val="left" w:pos="426"/>
              </w:tabs>
              <w:adjustRightInd w:val="0"/>
              <w:snapToGrid w:val="0"/>
              <w:spacing w:before="0" w:beforeAutospacing="0" w:after="0" w:afterAutospacing="0" w:line="240" w:lineRule="auto"/>
              <w:ind w:left="0" w:right="0" w:firstLine="0" w:firstLineChars="0"/>
              <w:jc w:val="center"/>
              <w:rPr>
                <w:rFonts w:hint="eastAsia"/>
                <w:bCs w:val="0"/>
                <w:sz w:val="21"/>
                <w:szCs w:val="21"/>
              </w:rPr>
            </w:pPr>
            <w:r>
              <w:rPr>
                <w:rFonts w:hint="eastAsia"/>
                <w:bCs w:val="0"/>
                <w:sz w:val="21"/>
                <w:szCs w:val="21"/>
              </w:rPr>
              <w:t>一年蓬</w:t>
            </w:r>
          </w:p>
        </w:tc>
        <w:tc>
          <w:tcPr>
            <w:tcW w:w="1811" w:type="dxa"/>
            <w:tcBorders>
              <w:tl2br w:val="nil"/>
              <w:tr2bl w:val="nil"/>
            </w:tcBorders>
            <w:vAlign w:val="center"/>
          </w:tcPr>
          <w:p>
            <w:pPr>
              <w:pStyle w:val="19"/>
              <w:keepNext w:val="0"/>
              <w:keepLines w:val="0"/>
              <w:suppressLineNumbers w:val="0"/>
              <w:tabs>
                <w:tab w:val="left" w:pos="426"/>
              </w:tabs>
              <w:adjustRightInd w:val="0"/>
              <w:snapToGrid w:val="0"/>
              <w:spacing w:before="0" w:beforeAutospacing="0" w:after="0" w:afterAutospacing="0" w:line="240" w:lineRule="auto"/>
              <w:ind w:left="0" w:right="0" w:firstLine="0" w:firstLineChars="0"/>
              <w:jc w:val="center"/>
              <w:rPr>
                <w:rFonts w:hint="eastAsia"/>
                <w:bCs w:val="0"/>
                <w:i/>
                <w:iCs/>
                <w:sz w:val="21"/>
                <w:szCs w:val="21"/>
              </w:rPr>
            </w:pPr>
            <w:r>
              <w:rPr>
                <w:rFonts w:hint="eastAsia"/>
                <w:bCs w:val="0"/>
                <w:i/>
                <w:iCs/>
                <w:sz w:val="21"/>
                <w:szCs w:val="21"/>
              </w:rPr>
              <w:t>Erigeron annuus</w:t>
            </w:r>
          </w:p>
        </w:tc>
        <w:tc>
          <w:tcPr>
            <w:tcW w:w="0" w:type="auto"/>
            <w:tcBorders>
              <w:tl2br w:val="nil"/>
              <w:tr2bl w:val="nil"/>
            </w:tcBorders>
            <w:vAlign w:val="center"/>
          </w:tcPr>
          <w:p>
            <w:pPr>
              <w:pStyle w:val="19"/>
              <w:keepNext w:val="0"/>
              <w:keepLines w:val="0"/>
              <w:suppressLineNumbers w:val="0"/>
              <w:tabs>
                <w:tab w:val="left" w:pos="426"/>
              </w:tabs>
              <w:snapToGrid w:val="0"/>
              <w:spacing w:before="0" w:beforeAutospacing="0" w:after="0" w:afterAutospacing="0" w:line="240" w:lineRule="auto"/>
              <w:ind w:left="0" w:right="0" w:firstLine="0" w:firstLineChars="0"/>
              <w:jc w:val="center"/>
              <w:rPr>
                <w:rFonts w:hint="eastAsia"/>
                <w:bCs w:val="0"/>
                <w:sz w:val="21"/>
                <w:szCs w:val="21"/>
              </w:rPr>
            </w:pPr>
            <w:r>
              <w:rPr>
                <w:rFonts w:hint="eastAsia"/>
                <w:bCs w:val="0"/>
                <w:sz w:val="21"/>
                <w:szCs w:val="21"/>
              </w:rPr>
              <w:t>评价区内散生分布</w:t>
            </w:r>
          </w:p>
        </w:tc>
        <w:tc>
          <w:tcPr>
            <w:tcW w:w="0" w:type="auto"/>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调查、《中国入侵植物名录》（4级以下除外）</w:t>
            </w:r>
          </w:p>
        </w:tc>
      </w:tr>
    </w:tbl>
    <w:p>
      <w:pPr>
        <w:spacing w:line="360" w:lineRule="auto"/>
        <w:ind w:firstLine="480" w:firstLineChars="200"/>
        <w:rPr>
          <w:rFonts w:hAnsi="Times New Roman" w:eastAsia="宋体"/>
          <w:szCs w:val="24"/>
        </w:rPr>
      </w:pPr>
      <w:r>
        <w:rPr>
          <w:rFonts w:hAnsi="Times New Roman" w:eastAsia="宋体"/>
          <w:szCs w:val="24"/>
        </w:rPr>
        <w:t>根据上表，评价区内的入侵植物有小蓬草、喜旱莲子草、</w:t>
      </w:r>
      <w:r>
        <w:rPr>
          <w:rFonts w:hAnsi="Times New Roman" w:eastAsia="宋体"/>
          <w:szCs w:val="24"/>
          <w:lang w:eastAsia="zh-CN"/>
        </w:rPr>
        <w:t>鬼针草</w:t>
      </w:r>
      <w:r>
        <w:rPr>
          <w:rFonts w:hAnsi="Times New Roman" w:eastAsia="宋体"/>
          <w:szCs w:val="24"/>
        </w:rPr>
        <w:t>等，这些入侵植物在评价区部分地</w:t>
      </w:r>
      <w:r>
        <w:rPr>
          <w:rFonts w:hAnsi="Times New Roman" w:eastAsia="宋体"/>
          <w:szCs w:val="24"/>
          <w:lang w:eastAsia="zh-CN"/>
        </w:rPr>
        <w:t>区少量分布</w:t>
      </w:r>
      <w:r>
        <w:rPr>
          <w:rFonts w:hAnsi="Times New Roman" w:eastAsia="宋体"/>
          <w:szCs w:val="24"/>
        </w:rPr>
        <w:t>，</w:t>
      </w:r>
      <w:r>
        <w:rPr>
          <w:rFonts w:hAnsi="Times New Roman" w:eastAsia="宋体"/>
          <w:szCs w:val="24"/>
          <w:lang w:eastAsia="zh-CN"/>
        </w:rPr>
        <w:t>小蓬草与鬼针草</w:t>
      </w:r>
      <w:r>
        <w:rPr>
          <w:rFonts w:hAnsi="Times New Roman" w:eastAsia="宋体"/>
          <w:szCs w:val="24"/>
        </w:rPr>
        <w:t>主要分布于路边空旷地和撂荒地，</w:t>
      </w:r>
      <w:r>
        <w:rPr>
          <w:rFonts w:hAnsi="Times New Roman" w:eastAsia="宋体"/>
          <w:szCs w:val="24"/>
          <w:lang w:eastAsia="zh-CN"/>
        </w:rPr>
        <w:t>均未形成优势种。</w:t>
      </w:r>
    </w:p>
    <w:tbl>
      <w:tblPr>
        <w:tblStyle w:val="3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73"/>
        <w:gridCol w:w="46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1" w:type="pct"/>
            <w:vAlign w:val="center"/>
          </w:tcPr>
          <w:p>
            <w:pPr>
              <w:pStyle w:val="2"/>
              <w:keepNext w:val="0"/>
              <w:keepLines w:val="0"/>
              <w:suppressLineNumbers w:val="0"/>
              <w:spacing w:before="0" w:beforeAutospacing="0" w:after="0" w:afterAutospacing="0" w:line="360" w:lineRule="auto"/>
              <w:ind w:left="0" w:leftChars="0" w:right="0" w:firstLine="0" w:firstLineChars="0"/>
              <w:jc w:val="center"/>
              <w:rPr>
                <w:rFonts w:hint="eastAsia" w:eastAsia="宋体"/>
                <w:kern w:val="0"/>
                <w:sz w:val="24"/>
                <w:szCs w:val="24"/>
              </w:rPr>
            </w:pPr>
            <w:r>
              <w:rPr>
                <w:rFonts w:hint="eastAsia" w:eastAsia="宋体"/>
                <w:kern w:val="0"/>
                <w:sz w:val="24"/>
                <w:szCs w:val="24"/>
              </w:rPr>
              <w:drawing>
                <wp:inline distT="0" distB="0" distL="114300" distR="114300">
                  <wp:extent cx="2776855" cy="2083435"/>
                  <wp:effectExtent l="0" t="0" r="4445" b="0"/>
                  <wp:docPr id="766686823" name="图片 766686823" descr="微信图片_20220730153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686823" name="图片 766686823" descr="微信图片_20220730153518"/>
                          <pic:cNvPicPr>
                            <a:picLocks noChangeAspect="1"/>
                          </pic:cNvPicPr>
                        </pic:nvPicPr>
                        <pic:blipFill>
                          <a:blip r:embed="rId92"/>
                          <a:stretch>
                            <a:fillRect/>
                          </a:stretch>
                        </pic:blipFill>
                        <pic:spPr>
                          <a:xfrm>
                            <a:off x="0" y="0"/>
                            <a:ext cx="2779992" cy="2086198"/>
                          </a:xfrm>
                          <a:prstGeom prst="rect">
                            <a:avLst/>
                          </a:prstGeom>
                        </pic:spPr>
                      </pic:pic>
                    </a:graphicData>
                  </a:graphic>
                </wp:inline>
              </w:drawing>
            </w:r>
          </w:p>
        </w:tc>
        <w:tc>
          <w:tcPr>
            <w:tcW w:w="2499" w:type="pct"/>
            <w:vAlign w:val="center"/>
          </w:tcPr>
          <w:p>
            <w:pPr>
              <w:pStyle w:val="2"/>
              <w:keepNext w:val="0"/>
              <w:keepLines w:val="0"/>
              <w:suppressLineNumbers w:val="0"/>
              <w:spacing w:before="0" w:beforeAutospacing="0" w:after="0" w:afterAutospacing="0" w:line="360" w:lineRule="auto"/>
              <w:ind w:left="0" w:leftChars="0" w:right="0" w:firstLine="0" w:firstLineChars="0"/>
              <w:jc w:val="center"/>
              <w:rPr>
                <w:rFonts w:hint="eastAsia" w:eastAsia="宋体"/>
                <w:kern w:val="0"/>
                <w:sz w:val="24"/>
                <w:szCs w:val="24"/>
              </w:rPr>
            </w:pPr>
            <w:r>
              <w:rPr>
                <w:rFonts w:hint="eastAsia" w:eastAsia="宋体"/>
                <w:kern w:val="0"/>
                <w:sz w:val="24"/>
                <w:szCs w:val="24"/>
              </w:rPr>
              <w:drawing>
                <wp:inline distT="0" distB="0" distL="114300" distR="114300">
                  <wp:extent cx="2776855" cy="2082800"/>
                  <wp:effectExtent l="0" t="0" r="4445" b="0"/>
                  <wp:docPr id="1630452878" name="图片 1630452878" descr="IMG_5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452878" name="图片 1630452878" descr="IMG_5035"/>
                          <pic:cNvPicPr>
                            <a:picLocks noChangeAspect="1"/>
                          </pic:cNvPicPr>
                        </pic:nvPicPr>
                        <pic:blipFill>
                          <a:blip r:embed="rId93"/>
                          <a:stretch>
                            <a:fillRect/>
                          </a:stretch>
                        </pic:blipFill>
                        <pic:spPr>
                          <a:xfrm>
                            <a:off x="0" y="0"/>
                            <a:ext cx="2779609" cy="2084707"/>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1" w:type="pct"/>
            <w:vAlign w:val="center"/>
          </w:tcPr>
          <w:p>
            <w:pPr>
              <w:pStyle w:val="2"/>
              <w:keepNext w:val="0"/>
              <w:keepLines w:val="0"/>
              <w:suppressLineNumbers w:val="0"/>
              <w:spacing w:before="0" w:beforeAutospacing="0" w:after="0" w:afterAutospacing="0" w:line="360" w:lineRule="auto"/>
              <w:ind w:left="0" w:leftChars="0" w:right="0" w:firstLine="0" w:firstLineChars="0"/>
              <w:jc w:val="center"/>
              <w:rPr>
                <w:rFonts w:hint="eastAsia" w:eastAsia="宋体"/>
                <w:b/>
                <w:bCs/>
                <w:kern w:val="0"/>
                <w:szCs w:val="21"/>
              </w:rPr>
            </w:pPr>
            <w:r>
              <w:rPr>
                <w:rFonts w:hint="eastAsia" w:eastAsia="宋体"/>
                <w:b/>
                <w:bCs/>
                <w:kern w:val="0"/>
                <w:szCs w:val="21"/>
                <w:lang w:eastAsia="zh-CN"/>
              </w:rPr>
              <w:t>小蓬草</w:t>
            </w:r>
          </w:p>
        </w:tc>
        <w:tc>
          <w:tcPr>
            <w:tcW w:w="2499" w:type="pct"/>
            <w:vAlign w:val="center"/>
          </w:tcPr>
          <w:p>
            <w:pPr>
              <w:pStyle w:val="2"/>
              <w:keepNext w:val="0"/>
              <w:keepLines w:val="0"/>
              <w:suppressLineNumbers w:val="0"/>
              <w:spacing w:before="0" w:beforeAutospacing="0" w:after="0" w:afterAutospacing="0" w:line="360" w:lineRule="auto"/>
              <w:ind w:left="0" w:leftChars="0" w:right="0" w:firstLine="0" w:firstLineChars="0"/>
              <w:jc w:val="center"/>
              <w:rPr>
                <w:rFonts w:hint="eastAsia" w:eastAsia="宋体"/>
                <w:b/>
                <w:bCs/>
                <w:kern w:val="0"/>
                <w:szCs w:val="21"/>
              </w:rPr>
            </w:pPr>
            <w:r>
              <w:rPr>
                <w:rFonts w:hint="eastAsia" w:eastAsia="宋体"/>
                <w:b/>
                <w:bCs/>
                <w:kern w:val="0"/>
                <w:szCs w:val="21"/>
                <w:lang w:eastAsia="zh-CN"/>
              </w:rPr>
              <w:t>鬼针草</w:t>
            </w:r>
          </w:p>
        </w:tc>
      </w:tr>
    </w:tbl>
    <w:p>
      <w:pPr>
        <w:spacing w:line="360" w:lineRule="auto"/>
        <w:rPr>
          <w:rFonts w:hAnsi="Times New Roman" w:eastAsia="宋体"/>
          <w:b/>
          <w:bCs/>
          <w:lang w:eastAsia="zh-CN"/>
        </w:rPr>
      </w:pPr>
      <w:r>
        <w:rPr>
          <w:rFonts w:hint="eastAsia" w:hAnsi="Times New Roman" w:eastAsia="宋体"/>
          <w:b/>
          <w:bCs/>
          <w:lang w:eastAsia="zh-CN"/>
        </w:rPr>
        <w:t>4.2.3.7</w:t>
      </w:r>
      <w:r>
        <w:rPr>
          <w:rFonts w:hAnsi="Times New Roman" w:eastAsia="宋体"/>
          <w:b/>
          <w:bCs/>
          <w:lang w:eastAsia="zh-CN"/>
        </w:rPr>
        <w:t>植物多样性指数</w:t>
      </w:r>
    </w:p>
    <w:p>
      <w:pPr>
        <w:spacing w:line="360" w:lineRule="auto"/>
        <w:ind w:firstLine="480" w:firstLineChars="200"/>
        <w:rPr>
          <w:rFonts w:hAnsi="Times New Roman" w:eastAsia="宋体"/>
          <w:szCs w:val="24"/>
        </w:rPr>
      </w:pPr>
      <w:r>
        <w:rPr>
          <w:rFonts w:hAnsi="Times New Roman" w:eastAsia="宋体"/>
          <w:szCs w:val="24"/>
        </w:rPr>
        <w:t>物种多样性作为度量群落结构、功能和环境资源的重要数量指标，受多种因素的影响，土壤条件、水分状况、纬度梯度、海拔梯度以及不同演替阶段等综合环境条件变化对群落物种多样性都会产生影响。本次评价对各个样地的生物多样性分乔木层、灌木层、草本层进行定量描述，计算结果见下表。</w:t>
      </w:r>
    </w:p>
    <w:p>
      <w:pPr>
        <w:pStyle w:val="19"/>
        <w:tabs>
          <w:tab w:val="left" w:pos="426"/>
        </w:tabs>
        <w:spacing w:line="240" w:lineRule="auto"/>
        <w:ind w:left="480" w:firstLine="422"/>
        <w:jc w:val="center"/>
        <w:rPr>
          <w:b/>
          <w:sz w:val="21"/>
          <w:szCs w:val="21"/>
          <w:lang w:eastAsia="zh-CN"/>
        </w:rPr>
      </w:pPr>
      <w:r>
        <w:rPr>
          <w:b/>
          <w:sz w:val="21"/>
          <w:szCs w:val="21"/>
          <w:lang w:eastAsia="zh-CN"/>
        </w:rPr>
        <w:t>表</w:t>
      </w:r>
      <w:r>
        <w:rPr>
          <w:rFonts w:hint="eastAsia"/>
          <w:b/>
          <w:sz w:val="21"/>
          <w:szCs w:val="21"/>
          <w:lang w:eastAsia="zh-CN"/>
        </w:rPr>
        <w:t>4.2</w:t>
      </w:r>
      <w:r>
        <w:rPr>
          <w:b/>
          <w:sz w:val="21"/>
          <w:szCs w:val="21"/>
          <w:lang w:eastAsia="zh-CN"/>
        </w:rPr>
        <w:t>-</w:t>
      </w:r>
      <w:r>
        <w:rPr>
          <w:rFonts w:hint="eastAsia"/>
          <w:b/>
          <w:sz w:val="21"/>
          <w:szCs w:val="21"/>
          <w:lang w:eastAsia="zh-CN"/>
        </w:rPr>
        <w:t>8</w:t>
      </w:r>
      <w:r>
        <w:rPr>
          <w:b/>
          <w:sz w:val="21"/>
          <w:szCs w:val="21"/>
          <w:lang w:eastAsia="zh-CN"/>
        </w:rPr>
        <w:t>评价区植物群落物种丰富度和物种多样性</w:t>
      </w:r>
    </w:p>
    <w:tbl>
      <w:tblPr>
        <w:tblStyle w:val="33"/>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39"/>
        <w:gridCol w:w="2630"/>
        <w:gridCol w:w="1985"/>
        <w:gridCol w:w="21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3" w:hRule="atLeast"/>
        </w:trPr>
        <w:tc>
          <w:tcPr>
            <w:tcW w:w="1358"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p>
        </w:tc>
        <w:tc>
          <w:tcPr>
            <w:tcW w:w="1407" w:type="pct"/>
            <w:tcBorders>
              <w:top w:val="single" w:color="auto" w:sz="4" w:space="0"/>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Shannon−Wiener指数（H）</w:t>
            </w:r>
          </w:p>
        </w:tc>
        <w:tc>
          <w:tcPr>
            <w:tcW w:w="1062" w:type="pct"/>
            <w:tcBorders>
              <w:top w:val="single" w:color="auto" w:sz="4" w:space="0"/>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Simpson指数（D）</w:t>
            </w:r>
          </w:p>
        </w:tc>
        <w:tc>
          <w:tcPr>
            <w:tcW w:w="1170" w:type="pct"/>
            <w:tcBorders>
              <w:top w:val="single" w:color="auto" w:sz="4" w:space="0"/>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Pielou 均匀度指数（J）</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trPr>
        <w:tc>
          <w:tcPr>
            <w:tcW w:w="1358"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乔木层</w:t>
            </w:r>
          </w:p>
        </w:tc>
        <w:tc>
          <w:tcPr>
            <w:tcW w:w="1407" w:type="pct"/>
            <w:tcBorders>
              <w:top w:val="single" w:color="auto" w:sz="4" w:space="0"/>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w:t>
            </w:r>
            <w:r>
              <w:rPr>
                <w:rFonts w:hint="eastAsia" w:hAnsi="Times New Roman" w:eastAsia="宋体"/>
                <w:kern w:val="2"/>
                <w:sz w:val="21"/>
                <w:szCs w:val="21"/>
                <w:lang w:eastAsia="zh-CN"/>
              </w:rPr>
              <w:t>56</w:t>
            </w:r>
          </w:p>
        </w:tc>
        <w:tc>
          <w:tcPr>
            <w:tcW w:w="1062" w:type="pct"/>
            <w:tcBorders>
              <w:top w:val="single" w:color="auto" w:sz="4" w:space="0"/>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0.8</w:t>
            </w:r>
            <w:r>
              <w:rPr>
                <w:rFonts w:hint="eastAsia" w:hAnsi="Times New Roman" w:eastAsia="宋体"/>
                <w:kern w:val="2"/>
                <w:sz w:val="21"/>
                <w:szCs w:val="21"/>
                <w:lang w:eastAsia="zh-CN"/>
              </w:rPr>
              <w:t>2</w:t>
            </w:r>
          </w:p>
        </w:tc>
        <w:tc>
          <w:tcPr>
            <w:tcW w:w="1170" w:type="pct"/>
            <w:tcBorders>
              <w:top w:val="single" w:color="auto" w:sz="4" w:space="0"/>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w:t>
            </w:r>
            <w:r>
              <w:rPr>
                <w:rFonts w:hint="eastAsia" w:hAnsi="Times New Roman" w:eastAsia="宋体"/>
                <w:kern w:val="2"/>
                <w:sz w:val="21"/>
                <w:szCs w:val="21"/>
                <w:lang w:eastAsia="zh-CN"/>
              </w:rPr>
              <w:t>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trPr>
        <w:tc>
          <w:tcPr>
            <w:tcW w:w="1358"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灌木层</w:t>
            </w:r>
          </w:p>
        </w:tc>
        <w:tc>
          <w:tcPr>
            <w:tcW w:w="1407" w:type="pct"/>
            <w:tcBorders>
              <w:top w:val="single" w:color="auto" w:sz="4" w:space="0"/>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w:t>
            </w:r>
            <w:r>
              <w:rPr>
                <w:rFonts w:hint="eastAsia" w:hAnsi="Times New Roman" w:eastAsia="宋体"/>
                <w:kern w:val="2"/>
                <w:sz w:val="21"/>
                <w:szCs w:val="21"/>
                <w:lang w:eastAsia="zh-CN"/>
              </w:rPr>
              <w:t>48</w:t>
            </w:r>
          </w:p>
        </w:tc>
        <w:tc>
          <w:tcPr>
            <w:tcW w:w="1062" w:type="pct"/>
            <w:tcBorders>
              <w:top w:val="single" w:color="auto" w:sz="4" w:space="0"/>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0.7</w:t>
            </w:r>
            <w:r>
              <w:rPr>
                <w:rFonts w:hint="eastAsia" w:hAnsi="Times New Roman" w:eastAsia="宋体"/>
                <w:kern w:val="2"/>
                <w:sz w:val="21"/>
                <w:szCs w:val="21"/>
                <w:lang w:eastAsia="zh-CN"/>
              </w:rPr>
              <w:t>1</w:t>
            </w:r>
          </w:p>
        </w:tc>
        <w:tc>
          <w:tcPr>
            <w:tcW w:w="1170" w:type="pct"/>
            <w:tcBorders>
              <w:top w:val="single" w:color="auto" w:sz="4" w:space="0"/>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0.7</w:t>
            </w:r>
            <w:r>
              <w:rPr>
                <w:rFonts w:hint="eastAsia" w:hAnsi="Times New Roman" w:eastAsia="宋体"/>
                <w:kern w:val="2"/>
                <w:sz w:val="21"/>
                <w:szCs w:val="21"/>
                <w:lang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trPr>
        <w:tc>
          <w:tcPr>
            <w:tcW w:w="1358"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草本层</w:t>
            </w:r>
          </w:p>
        </w:tc>
        <w:tc>
          <w:tcPr>
            <w:tcW w:w="1407" w:type="pct"/>
            <w:tcBorders>
              <w:top w:val="single" w:color="auto" w:sz="4" w:space="0"/>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w:t>
            </w:r>
            <w:r>
              <w:rPr>
                <w:rFonts w:hint="eastAsia" w:hAnsi="Times New Roman" w:eastAsia="宋体"/>
                <w:kern w:val="2"/>
                <w:sz w:val="21"/>
                <w:szCs w:val="21"/>
                <w:lang w:eastAsia="zh-CN"/>
              </w:rPr>
              <w:t>67</w:t>
            </w:r>
          </w:p>
        </w:tc>
        <w:tc>
          <w:tcPr>
            <w:tcW w:w="1062" w:type="pct"/>
            <w:tcBorders>
              <w:top w:val="single" w:color="auto" w:sz="4" w:space="0"/>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0.8</w:t>
            </w:r>
            <w:r>
              <w:rPr>
                <w:rFonts w:hint="eastAsia" w:hAnsi="Times New Roman" w:eastAsia="宋体"/>
                <w:kern w:val="2"/>
                <w:sz w:val="21"/>
                <w:szCs w:val="21"/>
                <w:lang w:eastAsia="zh-CN"/>
              </w:rPr>
              <w:t>4</w:t>
            </w:r>
          </w:p>
        </w:tc>
        <w:tc>
          <w:tcPr>
            <w:tcW w:w="1170" w:type="pct"/>
            <w:tcBorders>
              <w:top w:val="single" w:color="auto" w:sz="4" w:space="0"/>
              <w:left w:val="nil"/>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0.8</w:t>
            </w:r>
            <w:r>
              <w:rPr>
                <w:rFonts w:hint="eastAsia" w:hAnsi="Times New Roman" w:eastAsia="宋体"/>
                <w:kern w:val="2"/>
                <w:sz w:val="21"/>
                <w:szCs w:val="21"/>
                <w:lang w:eastAsia="zh-CN"/>
              </w:rPr>
              <w:t>3</w:t>
            </w:r>
          </w:p>
        </w:tc>
      </w:tr>
    </w:tbl>
    <w:p>
      <w:pPr>
        <w:spacing w:line="360" w:lineRule="auto"/>
        <w:ind w:firstLine="480" w:firstLineChars="200"/>
        <w:rPr>
          <w:rFonts w:hAnsi="Times New Roman" w:eastAsia="宋体"/>
          <w:szCs w:val="24"/>
        </w:rPr>
      </w:pPr>
      <w:r>
        <w:rPr>
          <w:rFonts w:hAnsi="Times New Roman" w:eastAsia="宋体"/>
          <w:szCs w:val="24"/>
        </w:rPr>
        <w:t>根据上表可以看出，乔灌草不同层片的物种多样性指数差别较大，根据18个样方的资料统计，乔木层、灌木层、草本层各层的物种数分别为2.56、2.48、2.67，草本层和灌木层的物种数接近整个样地物种总数的50%左右。Shannon−Wiener指数（H）表现为草本层＞乔木层＞灌木层，Simpson指数（D）表现为草本层＞乔木层＞灌木层，Pielou均匀度指数（J）、Margalef丰富度指数（M）表现为草本层＞灌木层＞乔木层。</w:t>
      </w:r>
    </w:p>
    <w:p>
      <w:pPr>
        <w:pStyle w:val="6"/>
        <w:rPr>
          <w:lang w:eastAsia="zh-CN"/>
        </w:rPr>
      </w:pPr>
      <w:bookmarkStart w:id="187" w:name="_Toc167095178"/>
      <w:bookmarkStart w:id="188" w:name="_Toc163812555"/>
      <w:r>
        <w:rPr>
          <w:lang w:eastAsia="zh-CN"/>
        </w:rPr>
        <w:t>4.2.</w:t>
      </w:r>
      <w:r>
        <w:rPr>
          <w:rFonts w:hint="eastAsia"/>
          <w:lang w:eastAsia="zh-CN"/>
        </w:rPr>
        <w:t>4</w:t>
      </w:r>
      <w:r>
        <w:rPr>
          <w:lang w:eastAsia="zh-CN"/>
        </w:rPr>
        <w:t xml:space="preserve"> 陆生动物资源现状调查</w:t>
      </w:r>
      <w:bookmarkEnd w:id="187"/>
      <w:bookmarkEnd w:id="188"/>
    </w:p>
    <w:p>
      <w:pPr>
        <w:spacing w:line="360" w:lineRule="auto"/>
        <w:ind w:firstLine="480" w:firstLineChars="200"/>
        <w:rPr>
          <w:rFonts w:hAnsi="Times New Roman" w:eastAsia="宋体"/>
          <w:szCs w:val="24"/>
        </w:rPr>
      </w:pPr>
      <w:r>
        <w:rPr>
          <w:rFonts w:hAnsi="Times New Roman" w:eastAsia="宋体"/>
          <w:szCs w:val="24"/>
        </w:rPr>
        <w:t>根据现场调查、访问和查阅相关资料《中国观鸟记录中心</w:t>
      </w:r>
      <w:r>
        <w:rPr>
          <w:rFonts w:hint="eastAsia" w:hAnsi="Times New Roman" w:eastAsia="宋体"/>
          <w:szCs w:val="24"/>
          <w:lang w:eastAsia="zh-CN"/>
        </w:rPr>
        <w:t>》《</w:t>
      </w:r>
      <w:r>
        <w:rPr>
          <w:rFonts w:hAnsi="Times New Roman" w:eastAsia="宋体"/>
          <w:szCs w:val="24"/>
        </w:rPr>
        <w:t>四川省级保护动物名录》，本项目调查范围内野生动物分布有1</w:t>
      </w:r>
      <w:r>
        <w:rPr>
          <w:rFonts w:hint="eastAsia" w:hAnsi="Times New Roman" w:eastAsia="宋体"/>
          <w:szCs w:val="24"/>
        </w:rPr>
        <w:t>6</w:t>
      </w:r>
      <w:r>
        <w:rPr>
          <w:rFonts w:hAnsi="Times New Roman" w:eastAsia="宋体"/>
          <w:szCs w:val="24"/>
        </w:rPr>
        <w:t>目3</w:t>
      </w:r>
      <w:r>
        <w:rPr>
          <w:rFonts w:hint="eastAsia" w:hAnsi="Times New Roman" w:eastAsia="宋体"/>
          <w:szCs w:val="24"/>
        </w:rPr>
        <w:t>6</w:t>
      </w:r>
      <w:r>
        <w:rPr>
          <w:rFonts w:hAnsi="Times New Roman" w:eastAsia="宋体"/>
          <w:szCs w:val="24"/>
        </w:rPr>
        <w:t>科</w:t>
      </w:r>
      <w:r>
        <w:rPr>
          <w:rFonts w:hint="eastAsia" w:hAnsi="Times New Roman" w:eastAsia="宋体"/>
          <w:szCs w:val="24"/>
        </w:rPr>
        <w:t>68</w:t>
      </w:r>
      <w:r>
        <w:rPr>
          <w:rFonts w:hAnsi="Times New Roman" w:eastAsia="宋体"/>
          <w:szCs w:val="24"/>
        </w:rPr>
        <w:t>种，其中，两栖动物1目3科</w:t>
      </w:r>
      <w:r>
        <w:rPr>
          <w:rFonts w:hint="eastAsia" w:hAnsi="Times New Roman" w:eastAsia="宋体"/>
          <w:szCs w:val="24"/>
        </w:rPr>
        <w:t>6</w:t>
      </w:r>
      <w:r>
        <w:rPr>
          <w:rFonts w:hAnsi="Times New Roman" w:eastAsia="宋体"/>
          <w:szCs w:val="24"/>
        </w:rPr>
        <w:t>种，爬行动物1目2科7种，鸟类1</w:t>
      </w:r>
      <w:r>
        <w:rPr>
          <w:rFonts w:hint="eastAsia" w:hAnsi="Times New Roman" w:eastAsia="宋体"/>
          <w:szCs w:val="24"/>
        </w:rPr>
        <w:t>1</w:t>
      </w:r>
      <w:r>
        <w:rPr>
          <w:rFonts w:hAnsi="Times New Roman" w:eastAsia="宋体"/>
          <w:szCs w:val="24"/>
        </w:rPr>
        <w:t>目2</w:t>
      </w:r>
      <w:r>
        <w:rPr>
          <w:rFonts w:hint="eastAsia" w:hAnsi="Times New Roman" w:eastAsia="宋体"/>
          <w:szCs w:val="24"/>
        </w:rPr>
        <w:t>7</w:t>
      </w:r>
      <w:r>
        <w:rPr>
          <w:rFonts w:hAnsi="Times New Roman" w:eastAsia="宋体"/>
          <w:szCs w:val="24"/>
        </w:rPr>
        <w:t>科4</w:t>
      </w:r>
      <w:r>
        <w:rPr>
          <w:rFonts w:hint="eastAsia" w:hAnsi="Times New Roman" w:eastAsia="宋体"/>
          <w:szCs w:val="24"/>
        </w:rPr>
        <w:t>5</w:t>
      </w:r>
      <w:r>
        <w:rPr>
          <w:rFonts w:hAnsi="Times New Roman" w:eastAsia="宋体"/>
          <w:szCs w:val="24"/>
        </w:rPr>
        <w:t>种，兽类3目4科10种。</w:t>
      </w:r>
    </w:p>
    <w:p>
      <w:pPr>
        <w:widowControl/>
        <w:adjustRightInd w:val="0"/>
        <w:snapToGrid w:val="0"/>
        <w:ind w:firstLine="482"/>
        <w:jc w:val="center"/>
        <w:rPr>
          <w:rFonts w:hAnsi="Times New Roman" w:eastAsia="宋体"/>
          <w:b/>
          <w:sz w:val="21"/>
          <w:szCs w:val="21"/>
          <w:lang w:eastAsia="zh-CN"/>
        </w:rPr>
      </w:pPr>
      <w:r>
        <w:rPr>
          <w:rFonts w:hAnsi="Times New Roman" w:eastAsia="宋体"/>
          <w:b/>
          <w:sz w:val="21"/>
          <w:szCs w:val="21"/>
        </w:rPr>
        <w:t>表</w:t>
      </w:r>
      <w:r>
        <w:rPr>
          <w:rFonts w:hAnsi="Times New Roman" w:eastAsia="宋体"/>
          <w:b/>
          <w:sz w:val="21"/>
          <w:szCs w:val="21"/>
          <w:lang w:eastAsia="zh-CN"/>
        </w:rPr>
        <w:t>4</w:t>
      </w:r>
      <w:r>
        <w:rPr>
          <w:rFonts w:hAnsi="Times New Roman" w:eastAsia="宋体"/>
          <w:b/>
          <w:sz w:val="21"/>
          <w:szCs w:val="21"/>
        </w:rPr>
        <w:t>.</w:t>
      </w:r>
      <w:r>
        <w:rPr>
          <w:rFonts w:hAnsi="Times New Roman" w:eastAsia="宋体"/>
          <w:b/>
          <w:sz w:val="21"/>
          <w:szCs w:val="21"/>
          <w:lang w:eastAsia="zh-CN"/>
        </w:rPr>
        <w:t>2</w:t>
      </w:r>
      <w:r>
        <w:rPr>
          <w:rFonts w:hAnsi="Times New Roman" w:eastAsia="宋体"/>
          <w:b/>
          <w:sz w:val="21"/>
          <w:szCs w:val="21"/>
        </w:rPr>
        <w:t>-</w:t>
      </w:r>
      <w:r>
        <w:rPr>
          <w:rFonts w:hint="eastAsia" w:hAnsi="Times New Roman" w:eastAsia="宋体"/>
          <w:b/>
          <w:sz w:val="21"/>
          <w:szCs w:val="21"/>
          <w:lang w:eastAsia="zh-CN"/>
        </w:rPr>
        <w:t>9</w:t>
      </w:r>
      <w:r>
        <w:rPr>
          <w:rFonts w:hAnsi="Times New Roman" w:eastAsia="宋体"/>
          <w:b/>
          <w:sz w:val="21"/>
          <w:szCs w:val="21"/>
        </w:rPr>
        <w:t xml:space="preserve"> 评价区陆生脊椎动物统计</w:t>
      </w:r>
    </w:p>
    <w:tbl>
      <w:tblPr>
        <w:tblStyle w:val="3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33"/>
        <w:gridCol w:w="1461"/>
        <w:gridCol w:w="1429"/>
        <w:gridCol w:w="1657"/>
        <w:gridCol w:w="31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3" w:hRule="atLeast"/>
        </w:trPr>
        <w:tc>
          <w:tcPr>
            <w:tcW w:w="874" w:type="pct"/>
            <w:vAlign w:val="center"/>
          </w:tcPr>
          <w:p>
            <w:pPr>
              <w:keepNext w:val="0"/>
              <w:keepLines w:val="0"/>
              <w:widowControl/>
              <w:suppressLineNumbers w:val="0"/>
              <w:adjustRightInd w:val="0"/>
              <w:snapToGrid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类群</w:t>
            </w:r>
          </w:p>
        </w:tc>
        <w:tc>
          <w:tcPr>
            <w:tcW w:w="782" w:type="pct"/>
            <w:vAlign w:val="center"/>
          </w:tcPr>
          <w:p>
            <w:pPr>
              <w:keepNext w:val="0"/>
              <w:keepLines w:val="0"/>
              <w:widowControl/>
              <w:suppressLineNumbers w:val="0"/>
              <w:adjustRightInd w:val="0"/>
              <w:snapToGrid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目</w:t>
            </w:r>
          </w:p>
        </w:tc>
        <w:tc>
          <w:tcPr>
            <w:tcW w:w="765" w:type="pct"/>
            <w:vAlign w:val="center"/>
          </w:tcPr>
          <w:p>
            <w:pPr>
              <w:keepNext w:val="0"/>
              <w:keepLines w:val="0"/>
              <w:widowControl/>
              <w:suppressLineNumbers w:val="0"/>
              <w:adjustRightInd w:val="0"/>
              <w:snapToGrid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科</w:t>
            </w:r>
          </w:p>
        </w:tc>
        <w:tc>
          <w:tcPr>
            <w:tcW w:w="887" w:type="pct"/>
            <w:vAlign w:val="center"/>
          </w:tcPr>
          <w:p>
            <w:pPr>
              <w:keepNext w:val="0"/>
              <w:keepLines w:val="0"/>
              <w:widowControl/>
              <w:suppressLineNumbers w:val="0"/>
              <w:adjustRightInd w:val="0"/>
              <w:snapToGrid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种</w:t>
            </w:r>
          </w:p>
        </w:tc>
        <w:tc>
          <w:tcPr>
            <w:tcW w:w="1690" w:type="pct"/>
            <w:vAlign w:val="center"/>
          </w:tcPr>
          <w:p>
            <w:pPr>
              <w:keepNext w:val="0"/>
              <w:keepLines w:val="0"/>
              <w:widowControl/>
              <w:suppressLineNumbers w:val="0"/>
              <w:adjustRightInd w:val="0"/>
              <w:snapToGrid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国家级或省级保护动物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 w:hRule="atLeast"/>
        </w:trPr>
        <w:tc>
          <w:tcPr>
            <w:tcW w:w="874" w:type="pct"/>
            <w:vAlign w:val="center"/>
          </w:tcPr>
          <w:p>
            <w:pPr>
              <w:keepNext w:val="0"/>
              <w:keepLines w:val="0"/>
              <w:widowControl/>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两栖纲</w:t>
            </w:r>
          </w:p>
        </w:tc>
        <w:tc>
          <w:tcPr>
            <w:tcW w:w="782"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w:t>
            </w:r>
          </w:p>
        </w:tc>
        <w:tc>
          <w:tcPr>
            <w:tcW w:w="765"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3</w:t>
            </w:r>
          </w:p>
        </w:tc>
        <w:tc>
          <w:tcPr>
            <w:tcW w:w="887"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6</w:t>
            </w:r>
          </w:p>
        </w:tc>
        <w:tc>
          <w:tcPr>
            <w:tcW w:w="1690"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874" w:type="pct"/>
            <w:vAlign w:val="center"/>
          </w:tcPr>
          <w:p>
            <w:pPr>
              <w:keepNext w:val="0"/>
              <w:keepLines w:val="0"/>
              <w:widowControl/>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爬行纲</w:t>
            </w:r>
          </w:p>
        </w:tc>
        <w:tc>
          <w:tcPr>
            <w:tcW w:w="782"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w:t>
            </w:r>
          </w:p>
        </w:tc>
        <w:tc>
          <w:tcPr>
            <w:tcW w:w="765"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2</w:t>
            </w:r>
          </w:p>
        </w:tc>
        <w:tc>
          <w:tcPr>
            <w:tcW w:w="887"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7</w:t>
            </w:r>
          </w:p>
        </w:tc>
        <w:tc>
          <w:tcPr>
            <w:tcW w:w="1690"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874" w:type="pct"/>
            <w:vAlign w:val="center"/>
          </w:tcPr>
          <w:p>
            <w:pPr>
              <w:keepNext w:val="0"/>
              <w:keepLines w:val="0"/>
              <w:widowControl/>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鸟纲</w:t>
            </w:r>
          </w:p>
        </w:tc>
        <w:tc>
          <w:tcPr>
            <w:tcW w:w="782"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11</w:t>
            </w:r>
          </w:p>
        </w:tc>
        <w:tc>
          <w:tcPr>
            <w:tcW w:w="765"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27</w:t>
            </w:r>
          </w:p>
        </w:tc>
        <w:tc>
          <w:tcPr>
            <w:tcW w:w="887"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45</w:t>
            </w:r>
          </w:p>
        </w:tc>
        <w:tc>
          <w:tcPr>
            <w:tcW w:w="1690"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874" w:type="pct"/>
            <w:vAlign w:val="center"/>
          </w:tcPr>
          <w:p>
            <w:pPr>
              <w:keepNext w:val="0"/>
              <w:keepLines w:val="0"/>
              <w:widowControl/>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哺乳纲</w:t>
            </w:r>
          </w:p>
        </w:tc>
        <w:tc>
          <w:tcPr>
            <w:tcW w:w="782"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3</w:t>
            </w:r>
          </w:p>
        </w:tc>
        <w:tc>
          <w:tcPr>
            <w:tcW w:w="765"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4</w:t>
            </w:r>
          </w:p>
        </w:tc>
        <w:tc>
          <w:tcPr>
            <w:tcW w:w="887"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10</w:t>
            </w:r>
          </w:p>
        </w:tc>
        <w:tc>
          <w:tcPr>
            <w:tcW w:w="1690"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874" w:type="pct"/>
            <w:vAlign w:val="center"/>
          </w:tcPr>
          <w:p>
            <w:pPr>
              <w:keepNext w:val="0"/>
              <w:keepLines w:val="0"/>
              <w:widowControl/>
              <w:suppressLineNumbers w:val="0"/>
              <w:adjustRightInd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合计</w:t>
            </w:r>
          </w:p>
        </w:tc>
        <w:tc>
          <w:tcPr>
            <w:tcW w:w="782"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16</w:t>
            </w:r>
          </w:p>
        </w:tc>
        <w:tc>
          <w:tcPr>
            <w:tcW w:w="765"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36</w:t>
            </w:r>
          </w:p>
        </w:tc>
        <w:tc>
          <w:tcPr>
            <w:tcW w:w="887"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68</w:t>
            </w:r>
          </w:p>
        </w:tc>
        <w:tc>
          <w:tcPr>
            <w:tcW w:w="1690"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w:t>
            </w:r>
          </w:p>
        </w:tc>
      </w:tr>
    </w:tbl>
    <w:p>
      <w:pPr>
        <w:spacing w:line="360" w:lineRule="auto"/>
        <w:rPr>
          <w:rFonts w:hAnsi="Times New Roman" w:eastAsia="宋体"/>
          <w:b/>
          <w:bCs/>
          <w:lang w:eastAsia="zh-CN"/>
        </w:rPr>
      </w:pPr>
      <w:r>
        <w:rPr>
          <w:rFonts w:hAnsi="Times New Roman" w:eastAsia="宋体"/>
          <w:b/>
          <w:bCs/>
          <w:lang w:eastAsia="zh-CN"/>
        </w:rPr>
        <w:t>4.2.</w:t>
      </w:r>
      <w:r>
        <w:rPr>
          <w:rFonts w:hint="eastAsia" w:hAnsi="Times New Roman" w:eastAsia="宋体"/>
          <w:b/>
          <w:bCs/>
          <w:lang w:eastAsia="zh-CN"/>
        </w:rPr>
        <w:t>4</w:t>
      </w:r>
      <w:r>
        <w:rPr>
          <w:rFonts w:hAnsi="Times New Roman" w:eastAsia="宋体"/>
          <w:b/>
          <w:bCs/>
          <w:lang w:eastAsia="zh-CN"/>
        </w:rPr>
        <w:t>.1两栖类分布现状</w:t>
      </w:r>
    </w:p>
    <w:p>
      <w:pPr>
        <w:spacing w:line="360" w:lineRule="auto"/>
        <w:ind w:firstLine="480" w:firstLineChars="200"/>
        <w:rPr>
          <w:rFonts w:hAnsi="Times New Roman" w:eastAsia="宋体"/>
          <w:szCs w:val="24"/>
        </w:rPr>
      </w:pPr>
      <w:r>
        <w:rPr>
          <w:rFonts w:hAnsi="Times New Roman" w:eastAsia="宋体"/>
          <w:szCs w:val="24"/>
        </w:rPr>
        <w:t>根据野外调查并结合相关资料，确认在评价区域内仅分布有两栖动物</w:t>
      </w:r>
      <w:r>
        <w:rPr>
          <w:rFonts w:hint="eastAsia" w:hAnsi="Times New Roman" w:eastAsia="宋体"/>
          <w:szCs w:val="24"/>
        </w:rPr>
        <w:t>6</w:t>
      </w:r>
      <w:r>
        <w:rPr>
          <w:rFonts w:hAnsi="Times New Roman" w:eastAsia="宋体"/>
          <w:szCs w:val="24"/>
        </w:rPr>
        <w:t>种，隶属于1目3科，分别为无尾目：蟾蜍科1属2种，蛙科3属</w:t>
      </w:r>
      <w:r>
        <w:rPr>
          <w:rFonts w:hint="eastAsia" w:hAnsi="Times New Roman" w:eastAsia="宋体"/>
          <w:szCs w:val="24"/>
        </w:rPr>
        <w:t>3</w:t>
      </w:r>
      <w:r>
        <w:rPr>
          <w:rFonts w:hAnsi="Times New Roman" w:eastAsia="宋体"/>
          <w:szCs w:val="24"/>
        </w:rPr>
        <w:t>种，叉舌蛙科1属1种。评价区域海拔高差较小，生境类型较单一，由于两栖动物生存环境和湿度、温度明显相关，故两栖动物种类较少。评价区两栖类动物名录见附表。</w:t>
      </w:r>
    </w:p>
    <w:p>
      <w:pPr>
        <w:spacing w:line="360" w:lineRule="auto"/>
        <w:ind w:firstLine="480" w:firstLineChars="200"/>
        <w:rPr>
          <w:rFonts w:hAnsi="Times New Roman" w:eastAsia="宋体"/>
          <w:szCs w:val="24"/>
        </w:rPr>
      </w:pPr>
      <w:r>
        <w:rPr>
          <w:rFonts w:hAnsi="Times New Roman" w:eastAsia="宋体"/>
          <w:szCs w:val="24"/>
        </w:rPr>
        <w:t>（1）区系组成</w:t>
      </w:r>
    </w:p>
    <w:p>
      <w:pPr>
        <w:spacing w:line="360" w:lineRule="auto"/>
        <w:ind w:firstLine="480" w:firstLineChars="200"/>
        <w:rPr>
          <w:rFonts w:hAnsi="Times New Roman" w:eastAsia="宋体"/>
          <w:szCs w:val="24"/>
        </w:rPr>
      </w:pPr>
      <w:r>
        <w:rPr>
          <w:rFonts w:hAnsi="Times New Roman" w:eastAsia="宋体"/>
          <w:szCs w:val="24"/>
        </w:rPr>
        <w:t>从动物区系特点看，评价区两栖动物东洋界分布特征较明显，属于东洋界的有3种，占总种数的</w:t>
      </w:r>
      <w:r>
        <w:rPr>
          <w:rFonts w:hint="eastAsia" w:hAnsi="Times New Roman" w:eastAsia="宋体"/>
          <w:szCs w:val="24"/>
        </w:rPr>
        <w:t>50</w:t>
      </w:r>
      <w:r>
        <w:rPr>
          <w:rFonts w:hAnsi="Times New Roman" w:eastAsia="宋体"/>
          <w:szCs w:val="24"/>
        </w:rPr>
        <w:t>%；无古北界，广布种</w:t>
      </w:r>
      <w:r>
        <w:rPr>
          <w:rFonts w:hint="eastAsia" w:hAnsi="Times New Roman" w:eastAsia="宋体"/>
          <w:szCs w:val="24"/>
        </w:rPr>
        <w:t>3</w:t>
      </w:r>
      <w:r>
        <w:rPr>
          <w:rFonts w:hAnsi="Times New Roman" w:eastAsia="宋体"/>
          <w:szCs w:val="24"/>
        </w:rPr>
        <w:t>种，占总数的</w:t>
      </w:r>
      <w:r>
        <w:rPr>
          <w:rFonts w:hint="eastAsia" w:hAnsi="Times New Roman" w:eastAsia="宋体"/>
          <w:szCs w:val="24"/>
        </w:rPr>
        <w:t>50</w:t>
      </w:r>
      <w:r>
        <w:rPr>
          <w:rFonts w:hAnsi="Times New Roman" w:eastAsia="宋体"/>
          <w:szCs w:val="24"/>
        </w:rPr>
        <w:t>%。说明评价区内两栖动物区系以东洋界、广布种为主。</w:t>
      </w:r>
    </w:p>
    <w:p>
      <w:pPr>
        <w:spacing w:line="360" w:lineRule="auto"/>
        <w:ind w:firstLine="480" w:firstLineChars="200"/>
        <w:rPr>
          <w:rFonts w:hAnsi="Times New Roman" w:eastAsia="宋体"/>
          <w:szCs w:val="24"/>
        </w:rPr>
      </w:pPr>
      <w:r>
        <w:rPr>
          <w:rFonts w:hAnsi="Times New Roman" w:eastAsia="宋体"/>
          <w:szCs w:val="24"/>
        </w:rPr>
        <w:t>（2）生态分布</w:t>
      </w:r>
    </w:p>
    <w:p>
      <w:pPr>
        <w:spacing w:line="360" w:lineRule="auto"/>
        <w:ind w:firstLine="480" w:firstLineChars="200"/>
        <w:rPr>
          <w:rFonts w:hAnsi="Times New Roman" w:eastAsia="宋体"/>
          <w:szCs w:val="24"/>
        </w:rPr>
      </w:pPr>
      <w:r>
        <w:rPr>
          <w:rFonts w:hAnsi="Times New Roman" w:eastAsia="宋体"/>
          <w:szCs w:val="24"/>
        </w:rPr>
        <w:t>评价区海拔高差较小，生境类型较单一，两栖动物主要分布在河谷或山溪等不同生境中，在灌丛生境中也有两栖类分布。根据调查区生境分布的特点，并结合两栖类分布的特点，区内两栖类分布的生境为：森林生境主要分布种类有黑眶蟾蜍。溪流生境主要有黑斑侧褶蛙、泽陆蛙。</w:t>
      </w:r>
    </w:p>
    <w:p>
      <w:pPr>
        <w:spacing w:line="360" w:lineRule="auto"/>
        <w:ind w:firstLine="480" w:firstLineChars="200"/>
        <w:rPr>
          <w:rFonts w:hAnsi="Times New Roman" w:eastAsia="宋体"/>
          <w:szCs w:val="24"/>
        </w:rPr>
      </w:pPr>
      <w:r>
        <w:rPr>
          <w:rFonts w:hAnsi="Times New Roman" w:eastAsia="宋体"/>
          <w:szCs w:val="24"/>
        </w:rPr>
        <w:t>（3）保护物种</w:t>
      </w:r>
    </w:p>
    <w:p>
      <w:pPr>
        <w:spacing w:line="360" w:lineRule="auto"/>
        <w:ind w:firstLine="480" w:firstLineChars="200"/>
        <w:rPr>
          <w:rFonts w:hAnsi="Times New Roman" w:eastAsia="宋体"/>
          <w:szCs w:val="24"/>
        </w:rPr>
      </w:pPr>
      <w:r>
        <w:rPr>
          <w:rFonts w:hAnsi="Times New Roman" w:eastAsia="宋体"/>
          <w:szCs w:val="24"/>
        </w:rPr>
        <w:t>评价区未发现国家级和省级保护野生两栖类。</w:t>
      </w:r>
    </w:p>
    <w:p>
      <w:pPr>
        <w:spacing w:line="360" w:lineRule="auto"/>
        <w:rPr>
          <w:rFonts w:hAnsi="Times New Roman" w:eastAsia="宋体"/>
          <w:b/>
          <w:bCs/>
          <w:lang w:eastAsia="zh-CN"/>
        </w:rPr>
      </w:pPr>
      <w:r>
        <w:rPr>
          <w:rFonts w:hAnsi="Times New Roman" w:eastAsia="宋体"/>
          <w:b/>
          <w:bCs/>
          <w:lang w:eastAsia="zh-CN"/>
        </w:rPr>
        <w:t>4.2.</w:t>
      </w:r>
      <w:r>
        <w:rPr>
          <w:rFonts w:hint="eastAsia" w:hAnsi="Times New Roman" w:eastAsia="宋体"/>
          <w:b/>
          <w:bCs/>
          <w:lang w:eastAsia="zh-CN"/>
        </w:rPr>
        <w:t>4</w:t>
      </w:r>
      <w:r>
        <w:rPr>
          <w:rFonts w:hAnsi="Times New Roman" w:eastAsia="宋体"/>
          <w:b/>
          <w:bCs/>
          <w:lang w:eastAsia="zh-CN"/>
        </w:rPr>
        <w:t>.2爬行类分布现状</w:t>
      </w:r>
    </w:p>
    <w:p>
      <w:pPr>
        <w:spacing w:line="360" w:lineRule="auto"/>
        <w:ind w:firstLine="480" w:firstLineChars="200"/>
        <w:rPr>
          <w:rFonts w:hAnsi="Times New Roman" w:eastAsia="宋体"/>
          <w:lang w:eastAsia="zh-CN"/>
        </w:rPr>
      </w:pPr>
      <w:r>
        <w:rPr>
          <w:rFonts w:hAnsi="Times New Roman" w:eastAsia="宋体"/>
          <w:lang w:eastAsia="zh-CN"/>
        </w:rPr>
        <w:t>根据野外调查和相关资料，确认评价区域内共分布有爬行动物7种，分属1目2科，分别为游蛇科6种，壁虎科1种。评价范围内生境较广泛，主要有翠青蛇、乌梢蛇等种类。从物种的目级组成看，评价区的大部分爬行类为有鳞目蛇亚目的种类。从科级组成看，评价区爬行类以游蛇科种类占优势。评价区爬行类动物名录见附表。</w:t>
      </w:r>
    </w:p>
    <w:p>
      <w:pPr>
        <w:spacing w:line="360" w:lineRule="auto"/>
        <w:ind w:firstLine="480" w:firstLineChars="200"/>
        <w:rPr>
          <w:rFonts w:hAnsi="Times New Roman" w:eastAsia="宋体"/>
          <w:lang w:eastAsia="zh-CN"/>
        </w:rPr>
      </w:pPr>
      <w:r>
        <w:rPr>
          <w:rFonts w:hAnsi="Times New Roman" w:eastAsia="宋体"/>
          <w:lang w:eastAsia="zh-CN"/>
        </w:rPr>
        <w:t>（1）区系分析</w:t>
      </w:r>
    </w:p>
    <w:p>
      <w:pPr>
        <w:spacing w:line="360" w:lineRule="auto"/>
        <w:ind w:firstLine="480" w:firstLineChars="200"/>
        <w:rPr>
          <w:rFonts w:hAnsi="Times New Roman" w:eastAsia="宋体"/>
          <w:lang w:eastAsia="zh-CN"/>
        </w:rPr>
      </w:pPr>
      <w:r>
        <w:rPr>
          <w:rFonts w:hAnsi="Times New Roman" w:eastAsia="宋体"/>
          <w:lang w:eastAsia="zh-CN"/>
        </w:rPr>
        <w:t>评价区内的爬行动物中，属东洋界的6种，占总种数的85.71%；属古北界的1种，占总种数的14.29%；无广布种。说明评价区内两栖动物区系以东洋界为主。</w:t>
      </w:r>
    </w:p>
    <w:p>
      <w:pPr>
        <w:spacing w:line="360" w:lineRule="auto"/>
        <w:ind w:firstLine="480" w:firstLineChars="200"/>
        <w:rPr>
          <w:rFonts w:hAnsi="Times New Roman" w:eastAsia="宋体"/>
          <w:lang w:eastAsia="zh-CN"/>
        </w:rPr>
      </w:pPr>
      <w:r>
        <w:rPr>
          <w:rFonts w:hAnsi="Times New Roman" w:eastAsia="宋体"/>
          <w:lang w:eastAsia="zh-CN"/>
        </w:rPr>
        <w:t>（2）生态分布</w:t>
      </w:r>
    </w:p>
    <w:p>
      <w:pPr>
        <w:spacing w:line="360" w:lineRule="auto"/>
        <w:ind w:firstLine="480" w:firstLineChars="200"/>
        <w:rPr>
          <w:rFonts w:hAnsi="Times New Roman" w:eastAsia="宋体"/>
          <w:lang w:eastAsia="zh-CN"/>
        </w:rPr>
      </w:pPr>
      <w:r>
        <w:rPr>
          <w:rFonts w:hAnsi="Times New Roman" w:eastAsia="宋体"/>
          <w:lang w:eastAsia="zh-CN"/>
        </w:rPr>
        <w:t>根据评价区生境分布的特点，并结合爬行类分布的特点，将区内爬行类分布的生境划分成以下几类：</w:t>
      </w:r>
    </w:p>
    <w:p>
      <w:pPr>
        <w:spacing w:line="360" w:lineRule="auto"/>
        <w:ind w:firstLine="480" w:firstLineChars="200"/>
        <w:rPr>
          <w:rFonts w:hAnsi="Times New Roman" w:eastAsia="宋体"/>
          <w:lang w:eastAsia="zh-CN"/>
        </w:rPr>
      </w:pPr>
      <w:r>
        <w:rPr>
          <w:rFonts w:hAnsi="Times New Roman" w:eastAsia="宋体"/>
          <w:lang w:eastAsia="zh-CN"/>
        </w:rPr>
        <w:t>灌草丛：农田、草丛、灌丛生境：主要包括灌草丛、农田这种类型，本带分布的爬行类主要是蹼趾壁虎、乌梢蛇等。</w:t>
      </w:r>
    </w:p>
    <w:p>
      <w:pPr>
        <w:spacing w:line="360" w:lineRule="auto"/>
        <w:ind w:firstLine="480" w:firstLineChars="200"/>
        <w:rPr>
          <w:rFonts w:hAnsi="Times New Roman" w:eastAsia="宋体"/>
          <w:lang w:eastAsia="zh-CN"/>
        </w:rPr>
      </w:pPr>
      <w:r>
        <w:rPr>
          <w:rFonts w:hAnsi="Times New Roman" w:eastAsia="宋体"/>
          <w:lang w:eastAsia="zh-CN"/>
        </w:rPr>
        <w:t>农田、森林生境：本带分布的爬行类主要是黑眉锦蛇、王锦蛇、虎斑颈槽蛇；</w:t>
      </w:r>
    </w:p>
    <w:p>
      <w:pPr>
        <w:spacing w:line="360" w:lineRule="auto"/>
        <w:ind w:firstLine="480" w:firstLineChars="200"/>
        <w:rPr>
          <w:rFonts w:hAnsi="Times New Roman" w:eastAsia="宋体"/>
          <w:lang w:eastAsia="zh-CN"/>
        </w:rPr>
      </w:pPr>
      <w:r>
        <w:rPr>
          <w:rFonts w:hAnsi="Times New Roman" w:eastAsia="宋体"/>
          <w:lang w:eastAsia="zh-CN"/>
        </w:rPr>
        <w:t>河谷平原生境：本带分布的爬行类主要是：翠青蛇、乌梢蛇、赤链蛇等。</w:t>
      </w:r>
    </w:p>
    <w:p>
      <w:pPr>
        <w:spacing w:line="360" w:lineRule="auto"/>
        <w:ind w:firstLine="480" w:firstLineChars="200"/>
        <w:rPr>
          <w:rFonts w:hAnsi="Times New Roman" w:eastAsia="宋体"/>
          <w:lang w:eastAsia="zh-CN"/>
        </w:rPr>
      </w:pPr>
      <w:r>
        <w:rPr>
          <w:rFonts w:hAnsi="Times New Roman" w:eastAsia="宋体"/>
          <w:lang w:eastAsia="zh-CN"/>
        </w:rPr>
        <w:t>（3）保护物种</w:t>
      </w:r>
    </w:p>
    <w:p>
      <w:pPr>
        <w:spacing w:line="360" w:lineRule="auto"/>
        <w:ind w:firstLine="480" w:firstLineChars="200"/>
        <w:rPr>
          <w:rFonts w:hAnsi="Times New Roman" w:eastAsia="宋体"/>
          <w:lang w:eastAsia="zh-CN"/>
        </w:rPr>
      </w:pPr>
      <w:r>
        <w:rPr>
          <w:rFonts w:hAnsi="Times New Roman" w:eastAsia="宋体"/>
          <w:lang w:eastAsia="zh-CN"/>
        </w:rPr>
        <w:t>评价区无国家级和省级保护野生爬行类。</w:t>
      </w:r>
    </w:p>
    <w:p>
      <w:pPr>
        <w:spacing w:line="360" w:lineRule="auto"/>
        <w:rPr>
          <w:rFonts w:hAnsi="Times New Roman" w:eastAsia="宋体"/>
          <w:b/>
          <w:bCs/>
          <w:lang w:eastAsia="zh-CN"/>
        </w:rPr>
      </w:pPr>
      <w:r>
        <w:rPr>
          <w:rFonts w:hAnsi="Times New Roman" w:eastAsia="宋体"/>
          <w:b/>
          <w:bCs/>
          <w:lang w:eastAsia="zh-CN"/>
        </w:rPr>
        <w:t>4.2.</w:t>
      </w:r>
      <w:r>
        <w:rPr>
          <w:rFonts w:hint="eastAsia" w:hAnsi="Times New Roman" w:eastAsia="宋体"/>
          <w:b/>
          <w:bCs/>
          <w:lang w:eastAsia="zh-CN"/>
        </w:rPr>
        <w:t>4</w:t>
      </w:r>
      <w:r>
        <w:rPr>
          <w:rFonts w:hAnsi="Times New Roman" w:eastAsia="宋体"/>
          <w:b/>
          <w:bCs/>
          <w:lang w:eastAsia="zh-CN"/>
        </w:rPr>
        <w:t>.3鸟类分布现状</w:t>
      </w:r>
    </w:p>
    <w:p>
      <w:pPr>
        <w:spacing w:line="360" w:lineRule="auto"/>
        <w:ind w:firstLine="480" w:firstLineChars="200"/>
        <w:rPr>
          <w:rFonts w:hAnsi="Times New Roman" w:eastAsia="宋体"/>
          <w:lang w:eastAsia="zh-CN"/>
        </w:rPr>
      </w:pPr>
      <w:r>
        <w:rPr>
          <w:rFonts w:hAnsi="Times New Roman" w:eastAsia="宋体"/>
          <w:lang w:eastAsia="zh-CN"/>
        </w:rPr>
        <w:t>由于鸟类的种类组成随季节变化较大，在有限的调查时间中就只能调查到一个季节的部分鸟类。根据文献查阅及现场调研，评价范围内共有鸟类4</w:t>
      </w:r>
      <w:r>
        <w:rPr>
          <w:rFonts w:hint="eastAsia" w:hAnsi="Times New Roman" w:eastAsia="宋体"/>
          <w:lang w:eastAsia="zh-CN"/>
        </w:rPr>
        <w:t>5</w:t>
      </w:r>
      <w:r>
        <w:rPr>
          <w:rFonts w:hAnsi="Times New Roman" w:eastAsia="宋体"/>
          <w:lang w:eastAsia="zh-CN"/>
        </w:rPr>
        <w:t>种，隶1</w:t>
      </w:r>
      <w:r>
        <w:rPr>
          <w:rFonts w:hint="eastAsia" w:hAnsi="Times New Roman" w:eastAsia="宋体"/>
          <w:lang w:eastAsia="zh-CN"/>
        </w:rPr>
        <w:t>1</w:t>
      </w:r>
      <w:r>
        <w:rPr>
          <w:rFonts w:hAnsi="Times New Roman" w:eastAsia="宋体"/>
          <w:lang w:eastAsia="zh-CN"/>
        </w:rPr>
        <w:t>目2</w:t>
      </w:r>
      <w:r>
        <w:rPr>
          <w:rFonts w:hint="eastAsia" w:hAnsi="Times New Roman" w:eastAsia="宋体"/>
          <w:lang w:eastAsia="zh-CN"/>
        </w:rPr>
        <w:t>7</w:t>
      </w:r>
      <w:r>
        <w:rPr>
          <w:rFonts w:hAnsi="Times New Roman" w:eastAsia="宋体"/>
          <w:lang w:eastAsia="zh-CN"/>
        </w:rPr>
        <w:t>科。其中以雀形目鸟类居多，有17科28种，占评价区总种数的</w:t>
      </w:r>
      <w:r>
        <w:rPr>
          <w:rFonts w:hint="eastAsia" w:hAnsi="Times New Roman" w:eastAsia="宋体"/>
          <w:lang w:eastAsia="zh-CN"/>
        </w:rPr>
        <w:t>62.22</w:t>
      </w:r>
      <w:r>
        <w:rPr>
          <w:rFonts w:hAnsi="Times New Roman" w:eastAsia="宋体"/>
          <w:lang w:eastAsia="zh-CN"/>
        </w:rPr>
        <w:t>%，非雀形目鸟类共1</w:t>
      </w:r>
      <w:r>
        <w:rPr>
          <w:rFonts w:hint="eastAsia" w:hAnsi="Times New Roman" w:eastAsia="宋体"/>
          <w:lang w:eastAsia="zh-CN"/>
        </w:rPr>
        <w:t>0</w:t>
      </w:r>
      <w:r>
        <w:rPr>
          <w:rFonts w:hAnsi="Times New Roman" w:eastAsia="宋体"/>
          <w:lang w:eastAsia="zh-CN"/>
        </w:rPr>
        <w:t>科1</w:t>
      </w:r>
      <w:r>
        <w:rPr>
          <w:rFonts w:hint="eastAsia" w:hAnsi="Times New Roman" w:eastAsia="宋体"/>
          <w:lang w:eastAsia="zh-CN"/>
        </w:rPr>
        <w:t>7</w:t>
      </w:r>
      <w:r>
        <w:rPr>
          <w:rFonts w:hAnsi="Times New Roman" w:eastAsia="宋体"/>
          <w:lang w:eastAsia="zh-CN"/>
        </w:rPr>
        <w:t>种，占</w:t>
      </w:r>
      <w:r>
        <w:rPr>
          <w:rFonts w:hint="eastAsia" w:hAnsi="Times New Roman" w:eastAsia="宋体"/>
          <w:lang w:eastAsia="zh-CN"/>
        </w:rPr>
        <w:t>37.78</w:t>
      </w:r>
      <w:r>
        <w:rPr>
          <w:rFonts w:hAnsi="Times New Roman" w:eastAsia="宋体"/>
          <w:lang w:eastAsia="zh-CN"/>
        </w:rPr>
        <w:t>%。</w:t>
      </w:r>
    </w:p>
    <w:p>
      <w:pPr>
        <w:spacing w:line="360" w:lineRule="auto"/>
        <w:ind w:firstLine="480" w:firstLineChars="200"/>
        <w:rPr>
          <w:rFonts w:hAnsi="Times New Roman" w:eastAsia="宋体"/>
          <w:lang w:eastAsia="zh-CN"/>
        </w:rPr>
      </w:pPr>
      <w:r>
        <w:rPr>
          <w:rFonts w:hAnsi="Times New Roman" w:eastAsia="宋体"/>
          <w:lang w:eastAsia="zh-CN"/>
        </w:rPr>
        <w:t>（1）区系分析</w:t>
      </w:r>
    </w:p>
    <w:p>
      <w:pPr>
        <w:spacing w:line="360" w:lineRule="auto"/>
        <w:ind w:firstLine="480" w:firstLineChars="200"/>
        <w:rPr>
          <w:rFonts w:hAnsi="Times New Roman" w:eastAsia="宋体"/>
          <w:lang w:eastAsia="zh-CN"/>
        </w:rPr>
      </w:pPr>
      <w:r>
        <w:rPr>
          <w:rFonts w:hAnsi="Times New Roman" w:eastAsia="宋体"/>
          <w:lang w:eastAsia="zh-CN"/>
        </w:rPr>
        <w:t>评价区内鸟类中属古北界的有</w:t>
      </w:r>
      <w:r>
        <w:rPr>
          <w:rFonts w:hint="eastAsia" w:hAnsi="Times New Roman" w:eastAsia="宋体"/>
          <w:lang w:eastAsia="zh-CN"/>
        </w:rPr>
        <w:t>9</w:t>
      </w:r>
      <w:r>
        <w:rPr>
          <w:rFonts w:hAnsi="Times New Roman" w:eastAsia="宋体"/>
          <w:lang w:eastAsia="zh-CN"/>
        </w:rPr>
        <w:t>种，占评价区内鸟类总数的</w:t>
      </w:r>
      <w:r>
        <w:rPr>
          <w:rFonts w:hint="eastAsia" w:hAnsi="Times New Roman" w:eastAsia="宋体"/>
          <w:lang w:eastAsia="zh-CN"/>
        </w:rPr>
        <w:t>20</w:t>
      </w:r>
      <w:r>
        <w:rPr>
          <w:rFonts w:hAnsi="Times New Roman" w:eastAsia="宋体"/>
          <w:lang w:eastAsia="zh-CN"/>
        </w:rPr>
        <w:t>%；属东洋界的有1</w:t>
      </w:r>
      <w:r>
        <w:rPr>
          <w:rFonts w:hint="eastAsia" w:hAnsi="Times New Roman" w:eastAsia="宋体"/>
          <w:lang w:eastAsia="zh-CN"/>
        </w:rPr>
        <w:t>7</w:t>
      </w:r>
      <w:r>
        <w:rPr>
          <w:rFonts w:hAnsi="Times New Roman" w:eastAsia="宋体"/>
          <w:lang w:eastAsia="zh-CN"/>
        </w:rPr>
        <w:t>种，占评价区内鸟类总数的</w:t>
      </w:r>
      <w:r>
        <w:rPr>
          <w:rFonts w:hint="eastAsia" w:hAnsi="Times New Roman" w:eastAsia="宋体"/>
          <w:lang w:eastAsia="zh-CN"/>
        </w:rPr>
        <w:t>37.78</w:t>
      </w:r>
      <w:r>
        <w:rPr>
          <w:rFonts w:hAnsi="Times New Roman" w:eastAsia="宋体"/>
          <w:lang w:eastAsia="zh-CN"/>
        </w:rPr>
        <w:t>%；属广布种的有</w:t>
      </w:r>
      <w:r>
        <w:rPr>
          <w:rFonts w:hint="eastAsia" w:hAnsi="Times New Roman" w:eastAsia="宋体"/>
          <w:lang w:eastAsia="zh-CN"/>
        </w:rPr>
        <w:t>19</w:t>
      </w:r>
      <w:r>
        <w:rPr>
          <w:rFonts w:hAnsi="Times New Roman" w:eastAsia="宋体"/>
          <w:lang w:eastAsia="zh-CN"/>
        </w:rPr>
        <w:t>种，占评价区内鸟类总数的</w:t>
      </w:r>
      <w:r>
        <w:rPr>
          <w:rFonts w:hint="eastAsia" w:hAnsi="Times New Roman" w:eastAsia="宋体"/>
          <w:lang w:eastAsia="zh-CN"/>
        </w:rPr>
        <w:t>42.22</w:t>
      </w:r>
      <w:r>
        <w:rPr>
          <w:rFonts w:hAnsi="Times New Roman" w:eastAsia="宋体"/>
          <w:lang w:eastAsia="zh-CN"/>
        </w:rPr>
        <w:t>%。调查评价区内鸟类以东洋界和广布种占优势。</w:t>
      </w:r>
    </w:p>
    <w:p>
      <w:pPr>
        <w:spacing w:line="360" w:lineRule="auto"/>
        <w:ind w:firstLine="480" w:firstLineChars="200"/>
        <w:rPr>
          <w:rFonts w:hAnsi="Times New Roman" w:eastAsia="宋体"/>
          <w:lang w:eastAsia="zh-CN"/>
        </w:rPr>
      </w:pPr>
      <w:r>
        <w:rPr>
          <w:rFonts w:hAnsi="Times New Roman" w:eastAsia="宋体"/>
          <w:lang w:eastAsia="zh-CN"/>
        </w:rPr>
        <w:t>（2）评价区域鸟类的生态分布</w:t>
      </w:r>
    </w:p>
    <w:p>
      <w:pPr>
        <w:spacing w:line="360" w:lineRule="auto"/>
        <w:ind w:firstLine="480" w:firstLineChars="200"/>
        <w:rPr>
          <w:rFonts w:hAnsi="Times New Roman" w:eastAsia="宋体"/>
          <w:lang w:eastAsia="zh-CN"/>
        </w:rPr>
      </w:pPr>
      <w:r>
        <w:rPr>
          <w:rFonts w:hAnsi="Times New Roman" w:eastAsia="宋体"/>
          <w:lang w:eastAsia="zh-CN"/>
        </w:rPr>
        <w:t>根据调查区植被分布的特点，将调查区鸟类分布的生境划分为以下几种：</w:t>
      </w:r>
    </w:p>
    <w:p>
      <w:pPr>
        <w:spacing w:line="360" w:lineRule="auto"/>
        <w:ind w:firstLine="480" w:firstLineChars="200"/>
        <w:rPr>
          <w:rFonts w:hAnsi="Times New Roman" w:eastAsia="宋体"/>
          <w:lang w:eastAsia="zh-CN"/>
        </w:rPr>
      </w:pPr>
      <w:r>
        <w:rPr>
          <w:rFonts w:hAnsi="Times New Roman" w:eastAsia="宋体"/>
          <w:lang w:eastAsia="zh-CN"/>
        </w:rPr>
        <w:t>农田－人居区：该区域的农田和人居分布较广，斑杂相间，多有成片连接的区域。生活在其中的鸟类主要是习惯于农田、人居生活的鸟类。如鸽形目的珠颈斑鸠、戴胜目的戴胜、雀形目的喜鹊、麻雀、家燕等。优势种类有珠颈斑鸠、喜鹊、麻雀等。</w:t>
      </w:r>
    </w:p>
    <w:p>
      <w:pPr>
        <w:spacing w:line="360" w:lineRule="auto"/>
        <w:ind w:firstLine="480" w:firstLineChars="200"/>
        <w:rPr>
          <w:rFonts w:hAnsi="Times New Roman" w:eastAsia="宋体"/>
          <w:lang w:eastAsia="zh-CN"/>
        </w:rPr>
      </w:pPr>
      <w:r>
        <w:rPr>
          <w:rFonts w:hAnsi="Times New Roman" w:eastAsia="宋体"/>
          <w:lang w:eastAsia="zh-CN"/>
        </w:rPr>
        <w:t>溪流、水域、河滩区域：该生境类型主要包括乱石滩河、前河、后河、明月河、州河等干流及其较大的支流、小溪等基本类型。在地势较为平坦开阔的地方，水鸟相对比较丰富。活动于其中的鸟类主要包括：鹳形目的鹭科鸟类，如白鹭；佛法僧目翠鸟科的普通翠鸟；雀形目的河乌科、鶺鸰科、鸫科等的种类。该区的优势类群主要是鹭类、鸭类、鹡鸰类、鸲类。</w:t>
      </w:r>
    </w:p>
    <w:p>
      <w:pPr>
        <w:spacing w:line="360" w:lineRule="auto"/>
        <w:ind w:firstLine="480" w:firstLineChars="200"/>
        <w:rPr>
          <w:rFonts w:hAnsi="Times New Roman" w:eastAsia="宋体"/>
          <w:lang w:eastAsia="zh-CN"/>
        </w:rPr>
      </w:pPr>
      <w:r>
        <w:rPr>
          <w:rFonts w:hAnsi="Times New Roman" w:eastAsia="宋体"/>
          <w:lang w:eastAsia="zh-CN"/>
        </w:rPr>
        <w:t>灌丛区：主要是分布较多的各类次生灌丛，包括黄荆、马桑灌丛、白茅草丛等。该区的鸟类主要有戴胜目的戴胜科鸟类、鸡形目的雉科鸟类、雀形目的莺科鸟类、鹎科鸟类、山雀科鸟类和鹀科鸟类。其中的优势种类有：棕头鸦雀、绿背山雀、大山雀、戴胜等。</w:t>
      </w:r>
    </w:p>
    <w:p>
      <w:pPr>
        <w:spacing w:line="360" w:lineRule="auto"/>
        <w:ind w:firstLine="480" w:firstLineChars="200"/>
        <w:rPr>
          <w:rFonts w:hAnsi="Times New Roman" w:eastAsia="宋体"/>
          <w:lang w:eastAsia="zh-CN"/>
        </w:rPr>
      </w:pPr>
      <w:r>
        <w:rPr>
          <w:rFonts w:hAnsi="Times New Roman" w:eastAsia="宋体"/>
          <w:lang w:eastAsia="zh-CN"/>
        </w:rPr>
        <w:t>森林区：森林环境在调查区域主要分布在输送管道右侧靠近山体区域。生活于该区的鸟类主要的类群包括：隼形目的鹰科、鸡形目的雉科鸟类、鸽形目的鸠鸽科鸟类、鹃形目的杜鹃科鸟类、鴷形目的啄木鸟科的鸟类、雀形目的伯劳科、鸦科鸟类、鸫科鸟类和莺科的鸟类等，如四声杜鹃、大杜鹃、棕腹啄木鸟、长尾山椒鸟、强脚树莺等。该调查区域的保护鸟类凤头鹰主要栖息在森林区。</w:t>
      </w:r>
    </w:p>
    <w:p>
      <w:pPr>
        <w:spacing w:line="360" w:lineRule="auto"/>
        <w:ind w:firstLine="480" w:firstLineChars="200"/>
        <w:rPr>
          <w:rFonts w:hAnsi="Times New Roman" w:eastAsia="宋体"/>
          <w:lang w:eastAsia="zh-CN"/>
        </w:rPr>
      </w:pPr>
      <w:r>
        <w:rPr>
          <w:rFonts w:hAnsi="Times New Roman" w:eastAsia="宋体"/>
          <w:lang w:eastAsia="zh-CN"/>
        </w:rPr>
        <w:t>（3）珍稀保护物种</w:t>
      </w:r>
    </w:p>
    <w:p>
      <w:pPr>
        <w:spacing w:line="360" w:lineRule="auto"/>
        <w:ind w:firstLine="480" w:firstLineChars="200"/>
        <w:rPr>
          <w:rFonts w:hAnsi="Times New Roman" w:eastAsia="宋体"/>
          <w:lang w:eastAsia="zh-CN"/>
        </w:rPr>
      </w:pPr>
      <w:r>
        <w:rPr>
          <w:rFonts w:hAnsi="Times New Roman" w:eastAsia="宋体"/>
          <w:lang w:eastAsia="zh-CN"/>
        </w:rPr>
        <w:t>评价区范围内的凤头鹰属于国家级保护鸟类，</w:t>
      </w:r>
      <w:r>
        <w:rPr>
          <w:rFonts w:hint="eastAsia" w:hAnsi="Times New Roman" w:eastAsia="宋体"/>
          <w:lang w:eastAsia="zh-CN"/>
        </w:rPr>
        <w:t>无</w:t>
      </w:r>
      <w:r>
        <w:rPr>
          <w:rFonts w:hAnsi="Times New Roman" w:eastAsia="宋体"/>
          <w:lang w:eastAsia="zh-CN"/>
        </w:rPr>
        <w:t>省级保护鸟类</w:t>
      </w:r>
      <w:bookmarkStart w:id="189" w:name="_Toc62113646"/>
      <w:bookmarkEnd w:id="189"/>
      <w:bookmarkStart w:id="190" w:name="_Toc6820788"/>
      <w:bookmarkEnd w:id="190"/>
      <w:r>
        <w:rPr>
          <w:rFonts w:hAnsi="Times New Roman" w:eastAsia="宋体"/>
          <w:lang w:eastAsia="zh-CN"/>
        </w:rPr>
        <w:t>。</w:t>
      </w:r>
    </w:p>
    <w:p>
      <w:pPr>
        <w:spacing w:line="360" w:lineRule="auto"/>
        <w:rPr>
          <w:rFonts w:hAnsi="Times New Roman" w:eastAsia="宋体"/>
          <w:b/>
          <w:bCs/>
          <w:lang w:eastAsia="zh-CN"/>
        </w:rPr>
      </w:pPr>
      <w:r>
        <w:rPr>
          <w:rFonts w:hAnsi="Times New Roman" w:eastAsia="宋体"/>
          <w:b/>
          <w:bCs/>
          <w:lang w:eastAsia="zh-CN"/>
        </w:rPr>
        <w:t>4.2.</w:t>
      </w:r>
      <w:r>
        <w:rPr>
          <w:rFonts w:hint="eastAsia" w:hAnsi="Times New Roman" w:eastAsia="宋体"/>
          <w:b/>
          <w:bCs/>
          <w:lang w:eastAsia="zh-CN"/>
        </w:rPr>
        <w:t>4</w:t>
      </w:r>
      <w:r>
        <w:rPr>
          <w:rFonts w:hAnsi="Times New Roman" w:eastAsia="宋体"/>
          <w:b/>
          <w:bCs/>
          <w:lang w:eastAsia="zh-CN"/>
        </w:rPr>
        <w:t>.4兽类分布情况</w:t>
      </w:r>
    </w:p>
    <w:p>
      <w:pPr>
        <w:spacing w:line="360" w:lineRule="auto"/>
        <w:ind w:firstLine="480" w:firstLineChars="200"/>
        <w:rPr>
          <w:rFonts w:hAnsi="Times New Roman" w:eastAsia="宋体"/>
          <w:szCs w:val="21"/>
        </w:rPr>
      </w:pPr>
      <w:r>
        <w:rPr>
          <w:rFonts w:hAnsi="Times New Roman" w:eastAsia="宋体"/>
          <w:szCs w:val="21"/>
        </w:rPr>
        <w:t>评价区内共有兽类10种，隶3目4科，多数小型兽类。啮齿目2科7种、食肉目1科1种、翼手目1科2种。各目、科所含种数及百分率见下表：</w:t>
      </w:r>
    </w:p>
    <w:p>
      <w:pPr>
        <w:pStyle w:val="14"/>
        <w:spacing w:line="240" w:lineRule="auto"/>
        <w:ind w:left="480" w:firstLine="405"/>
        <w:jc w:val="center"/>
        <w:rPr>
          <w:sz w:val="21"/>
          <w:szCs w:val="21"/>
        </w:rPr>
      </w:pPr>
      <w:r>
        <w:rPr>
          <w:rFonts w:ascii="Times New Roman" w:hAnsi="Times New Roman"/>
          <w:b/>
          <w:bCs w:val="0"/>
          <w:kern w:val="0"/>
          <w:sz w:val="21"/>
          <w:szCs w:val="21"/>
        </w:rPr>
        <w:t>表</w:t>
      </w:r>
      <w:r>
        <w:rPr>
          <w:rFonts w:hint="eastAsia" w:ascii="Times New Roman" w:hAnsi="Times New Roman"/>
          <w:b/>
          <w:bCs w:val="0"/>
          <w:kern w:val="0"/>
          <w:sz w:val="21"/>
          <w:szCs w:val="21"/>
          <w:lang w:eastAsia="zh-CN"/>
        </w:rPr>
        <w:t>4.2</w:t>
      </w:r>
      <w:r>
        <w:rPr>
          <w:rFonts w:ascii="Times New Roman" w:hAnsi="Times New Roman"/>
          <w:b/>
          <w:bCs w:val="0"/>
          <w:kern w:val="0"/>
          <w:sz w:val="21"/>
          <w:szCs w:val="21"/>
        </w:rPr>
        <w:t>-</w:t>
      </w:r>
      <w:r>
        <w:rPr>
          <w:rFonts w:hint="eastAsia" w:ascii="Times New Roman" w:hAnsi="Times New Roman"/>
          <w:b/>
          <w:bCs w:val="0"/>
          <w:kern w:val="0"/>
          <w:sz w:val="21"/>
          <w:szCs w:val="21"/>
          <w:lang w:eastAsia="zh-CN"/>
        </w:rPr>
        <w:t>10</w:t>
      </w:r>
      <w:r>
        <w:rPr>
          <w:rFonts w:ascii="Times New Roman" w:hAnsi="Times New Roman"/>
          <w:b/>
          <w:bCs w:val="0"/>
          <w:kern w:val="0"/>
          <w:sz w:val="21"/>
          <w:szCs w:val="21"/>
        </w:rPr>
        <w:t>评价区哺</w:t>
      </w:r>
      <w:r>
        <w:rPr>
          <w:rFonts w:ascii="Times New Roman" w:hAnsi="Times New Roman"/>
          <w:b/>
          <w:bCs w:val="0"/>
          <w:sz w:val="21"/>
          <w:szCs w:val="21"/>
        </w:rPr>
        <w:t>兽类各目、科所含种数及百分率表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16"/>
        <w:gridCol w:w="2259"/>
        <w:gridCol w:w="1994"/>
        <w:gridCol w:w="32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2" w:type="pct"/>
            <w:vAlign w:val="center"/>
          </w:tcPr>
          <w:p>
            <w:pPr>
              <w:keepNext w:val="0"/>
              <w:keepLines w:val="0"/>
              <w:widowControl/>
              <w:suppressLineNumbers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目</w:t>
            </w:r>
          </w:p>
        </w:tc>
        <w:tc>
          <w:tcPr>
            <w:tcW w:w="1209" w:type="pct"/>
            <w:vAlign w:val="center"/>
          </w:tcPr>
          <w:p>
            <w:pPr>
              <w:keepNext w:val="0"/>
              <w:keepLines w:val="0"/>
              <w:widowControl/>
              <w:suppressLineNumbers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科</w:t>
            </w:r>
          </w:p>
        </w:tc>
        <w:tc>
          <w:tcPr>
            <w:tcW w:w="1067" w:type="pct"/>
            <w:vAlign w:val="center"/>
          </w:tcPr>
          <w:p>
            <w:pPr>
              <w:keepNext w:val="0"/>
              <w:keepLines w:val="0"/>
              <w:widowControl/>
              <w:suppressLineNumbers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种数</w:t>
            </w:r>
          </w:p>
        </w:tc>
        <w:tc>
          <w:tcPr>
            <w:tcW w:w="1752" w:type="pct"/>
            <w:vAlign w:val="center"/>
          </w:tcPr>
          <w:p>
            <w:pPr>
              <w:keepNext w:val="0"/>
              <w:keepLines w:val="0"/>
              <w:widowControl/>
              <w:suppressLineNumbers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占总种数的%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72" w:type="pct"/>
            <w:vAlign w:val="center"/>
          </w:tcPr>
          <w:p>
            <w:pPr>
              <w:keepNext w:val="0"/>
              <w:keepLines w:val="0"/>
              <w:widowControl/>
              <w:suppressLineNumbers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翼手目</w:t>
            </w:r>
          </w:p>
        </w:tc>
        <w:tc>
          <w:tcPr>
            <w:tcW w:w="1209" w:type="pct"/>
            <w:vAlign w:val="center"/>
          </w:tcPr>
          <w:p>
            <w:pPr>
              <w:keepNext w:val="0"/>
              <w:keepLines w:val="0"/>
              <w:widowControl/>
              <w:suppressLineNumbers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蝙蝠科</w:t>
            </w:r>
          </w:p>
        </w:tc>
        <w:tc>
          <w:tcPr>
            <w:tcW w:w="1067"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2</w:t>
            </w:r>
          </w:p>
        </w:tc>
        <w:tc>
          <w:tcPr>
            <w:tcW w:w="1752"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972" w:type="pct"/>
            <w:vAlign w:val="center"/>
          </w:tcPr>
          <w:p>
            <w:pPr>
              <w:keepNext w:val="0"/>
              <w:keepLines w:val="0"/>
              <w:widowControl/>
              <w:suppressLineNumbers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食肉目</w:t>
            </w:r>
          </w:p>
        </w:tc>
        <w:tc>
          <w:tcPr>
            <w:tcW w:w="1209" w:type="pct"/>
            <w:vAlign w:val="center"/>
          </w:tcPr>
          <w:p>
            <w:pPr>
              <w:keepNext w:val="0"/>
              <w:keepLines w:val="0"/>
              <w:widowControl/>
              <w:suppressLineNumbers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鼬科</w:t>
            </w:r>
          </w:p>
        </w:tc>
        <w:tc>
          <w:tcPr>
            <w:tcW w:w="1067"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w:t>
            </w:r>
          </w:p>
        </w:tc>
        <w:tc>
          <w:tcPr>
            <w:tcW w:w="1752"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72" w:type="pct"/>
            <w:vMerge w:val="restart"/>
            <w:vAlign w:val="center"/>
          </w:tcPr>
          <w:p>
            <w:pPr>
              <w:keepNext w:val="0"/>
              <w:keepLines w:val="0"/>
              <w:widowControl/>
              <w:suppressLineNumbers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啮齿目</w:t>
            </w:r>
          </w:p>
        </w:tc>
        <w:tc>
          <w:tcPr>
            <w:tcW w:w="1209" w:type="pct"/>
            <w:vAlign w:val="center"/>
          </w:tcPr>
          <w:p>
            <w:pPr>
              <w:keepNext w:val="0"/>
              <w:keepLines w:val="0"/>
              <w:widowControl/>
              <w:suppressLineNumbers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松鼠科</w:t>
            </w:r>
          </w:p>
        </w:tc>
        <w:tc>
          <w:tcPr>
            <w:tcW w:w="1067"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2</w:t>
            </w:r>
          </w:p>
        </w:tc>
        <w:tc>
          <w:tcPr>
            <w:tcW w:w="1752"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2" w:type="pct"/>
            <w:vMerge w:val="continue"/>
            <w:vAlign w:val="center"/>
          </w:tcPr>
          <w:p>
            <w:pPr>
              <w:keepNext w:val="0"/>
              <w:keepLines w:val="0"/>
              <w:widowControl/>
              <w:suppressLineNumbers w:val="0"/>
              <w:spacing w:before="0" w:beforeAutospacing="0" w:after="0" w:afterAutospacing="0"/>
              <w:ind w:left="0" w:right="0"/>
              <w:jc w:val="left"/>
              <w:rPr>
                <w:rFonts w:hint="eastAsia" w:hAnsi="Times New Roman" w:eastAsia="宋体"/>
                <w:kern w:val="2"/>
                <w:sz w:val="21"/>
                <w:szCs w:val="21"/>
              </w:rPr>
            </w:pPr>
          </w:p>
        </w:tc>
        <w:tc>
          <w:tcPr>
            <w:tcW w:w="1209" w:type="pct"/>
            <w:vAlign w:val="center"/>
          </w:tcPr>
          <w:p>
            <w:pPr>
              <w:keepNext w:val="0"/>
              <w:keepLines w:val="0"/>
              <w:widowControl/>
              <w:suppressLineNumbers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鼠科</w:t>
            </w:r>
          </w:p>
        </w:tc>
        <w:tc>
          <w:tcPr>
            <w:tcW w:w="1067"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5</w:t>
            </w:r>
          </w:p>
        </w:tc>
        <w:tc>
          <w:tcPr>
            <w:tcW w:w="1752"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50.00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2" w:type="pct"/>
            <w:vAlign w:val="center"/>
          </w:tcPr>
          <w:p>
            <w:pPr>
              <w:keepNext w:val="0"/>
              <w:keepLines w:val="0"/>
              <w:widowControl/>
              <w:suppressLineNumbers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3</w:t>
            </w:r>
            <w:r>
              <w:rPr>
                <w:rFonts w:hint="eastAsia" w:hAnsi="Times New Roman" w:eastAsia="宋体"/>
                <w:kern w:val="2"/>
                <w:sz w:val="21"/>
                <w:szCs w:val="21"/>
              </w:rPr>
              <w:t>目</w:t>
            </w:r>
          </w:p>
        </w:tc>
        <w:tc>
          <w:tcPr>
            <w:tcW w:w="1209" w:type="pct"/>
            <w:vAlign w:val="center"/>
          </w:tcPr>
          <w:p>
            <w:pPr>
              <w:keepNext w:val="0"/>
              <w:keepLines w:val="0"/>
              <w:widowControl/>
              <w:suppressLineNumbers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4</w:t>
            </w:r>
            <w:r>
              <w:rPr>
                <w:rFonts w:hint="eastAsia" w:hAnsi="Times New Roman" w:eastAsia="宋体"/>
                <w:kern w:val="2"/>
                <w:sz w:val="21"/>
                <w:szCs w:val="21"/>
              </w:rPr>
              <w:t>科</w:t>
            </w:r>
          </w:p>
        </w:tc>
        <w:tc>
          <w:tcPr>
            <w:tcW w:w="1067" w:type="pct"/>
            <w:vAlign w:val="center"/>
          </w:tcPr>
          <w:p>
            <w:pPr>
              <w:keepNext w:val="0"/>
              <w:keepLines w:val="0"/>
              <w:widowControl/>
              <w:suppressLineNumbers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10</w:t>
            </w:r>
          </w:p>
        </w:tc>
        <w:tc>
          <w:tcPr>
            <w:tcW w:w="1752" w:type="pct"/>
            <w:vAlign w:val="center"/>
          </w:tcPr>
          <w:p>
            <w:pPr>
              <w:keepNext w:val="0"/>
              <w:keepLines w:val="0"/>
              <w:widowControl/>
              <w:suppressLineNumbers w:val="0"/>
              <w:snapToGri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100</w:t>
            </w:r>
          </w:p>
        </w:tc>
      </w:tr>
    </w:tbl>
    <w:p>
      <w:pPr>
        <w:spacing w:line="360" w:lineRule="auto"/>
        <w:ind w:firstLine="480" w:firstLineChars="200"/>
        <w:rPr>
          <w:rFonts w:hAnsi="Times New Roman" w:eastAsia="宋体"/>
          <w:szCs w:val="21"/>
        </w:rPr>
      </w:pPr>
      <w:r>
        <w:rPr>
          <w:rFonts w:hAnsi="Times New Roman" w:eastAsia="宋体"/>
          <w:szCs w:val="21"/>
        </w:rPr>
        <w:t>（1）区系分析</w:t>
      </w:r>
    </w:p>
    <w:p>
      <w:pPr>
        <w:spacing w:line="360" w:lineRule="auto"/>
        <w:ind w:firstLine="480" w:firstLineChars="200"/>
        <w:rPr>
          <w:rFonts w:hAnsi="Times New Roman" w:eastAsia="宋体"/>
          <w:szCs w:val="21"/>
        </w:rPr>
      </w:pPr>
      <w:r>
        <w:rPr>
          <w:rFonts w:hAnsi="Times New Roman" w:eastAsia="宋体"/>
          <w:szCs w:val="21"/>
        </w:rPr>
        <w:t>评价区内兽类中属古北种的有6种，占评价区内兽类总数的60%；属东洋种的有4种，占评价区内兽类总数的40%；属广布种的有2种，占评价区内兽类总</w:t>
      </w:r>
      <w:r>
        <w:rPr>
          <w:rFonts w:hint="eastAsia" w:hAnsi="Times New Roman" w:eastAsia="宋体"/>
          <w:szCs w:val="21"/>
          <w:lang w:eastAsia="zh-CN"/>
        </w:rPr>
        <w:t>数的</w:t>
      </w:r>
      <w:r>
        <w:rPr>
          <w:rFonts w:hAnsi="Times New Roman" w:eastAsia="宋体"/>
          <w:szCs w:val="21"/>
        </w:rPr>
        <w:t>20%。调查评价区内兽类以古北种占优势。</w:t>
      </w:r>
    </w:p>
    <w:p>
      <w:pPr>
        <w:spacing w:line="360" w:lineRule="auto"/>
        <w:ind w:firstLine="480" w:firstLineChars="200"/>
        <w:rPr>
          <w:rFonts w:hAnsi="Times New Roman" w:eastAsia="宋体"/>
          <w:szCs w:val="21"/>
        </w:rPr>
      </w:pPr>
      <w:r>
        <w:rPr>
          <w:rFonts w:hAnsi="Times New Roman" w:eastAsia="宋体"/>
          <w:szCs w:val="21"/>
        </w:rPr>
        <w:t>（2）生态分布</w:t>
      </w:r>
    </w:p>
    <w:p>
      <w:pPr>
        <w:spacing w:line="360" w:lineRule="auto"/>
        <w:ind w:firstLine="480" w:firstLineChars="200"/>
        <w:rPr>
          <w:rFonts w:hAnsi="Times New Roman" w:eastAsia="宋体"/>
          <w:szCs w:val="21"/>
        </w:rPr>
      </w:pPr>
      <w:r>
        <w:rPr>
          <w:rFonts w:hAnsi="Times New Roman" w:eastAsia="宋体"/>
          <w:szCs w:val="21"/>
        </w:rPr>
        <w:t>根据该区域的环境特征和兽类的生活特性，该区域兽类主要分为如下几种生态类型：</w:t>
      </w:r>
    </w:p>
    <w:p>
      <w:pPr>
        <w:spacing w:line="360" w:lineRule="auto"/>
        <w:ind w:firstLine="480" w:firstLineChars="200"/>
        <w:rPr>
          <w:rFonts w:hAnsi="Times New Roman" w:eastAsia="宋体"/>
          <w:szCs w:val="21"/>
        </w:rPr>
      </w:pPr>
      <w:r>
        <w:rPr>
          <w:rFonts w:hAnsi="Times New Roman" w:eastAsia="宋体"/>
          <w:szCs w:val="21"/>
        </w:rPr>
        <w:t>溪流区兽类：指生活在评价区内溪流和沿岸的物种，主要包括：黄鼬、田鼠等。</w:t>
      </w:r>
    </w:p>
    <w:p>
      <w:pPr>
        <w:spacing w:line="360" w:lineRule="auto"/>
        <w:ind w:firstLine="480" w:firstLineChars="200"/>
        <w:rPr>
          <w:rFonts w:hAnsi="Times New Roman" w:eastAsia="宋体"/>
          <w:szCs w:val="21"/>
        </w:rPr>
      </w:pPr>
      <w:r>
        <w:rPr>
          <w:rFonts w:hAnsi="Times New Roman" w:eastAsia="宋体"/>
          <w:szCs w:val="21"/>
        </w:rPr>
        <w:t>林区兽类：主要是指生活在森林环境的物种，森林环境在该区域主要分布于坡地中上部。为该区最广的生境类型，主要分布的兽类有隐纹花松鼠、岩松鼠等。</w:t>
      </w:r>
    </w:p>
    <w:p>
      <w:pPr>
        <w:spacing w:line="360" w:lineRule="auto"/>
        <w:ind w:firstLine="480" w:firstLineChars="200"/>
        <w:rPr>
          <w:rFonts w:hAnsi="Times New Roman" w:eastAsia="宋体"/>
          <w:szCs w:val="21"/>
        </w:rPr>
      </w:pPr>
      <w:r>
        <w:rPr>
          <w:rFonts w:hAnsi="Times New Roman" w:eastAsia="宋体"/>
          <w:szCs w:val="21"/>
        </w:rPr>
        <w:t>灌草丛区兽类：该区域的生境类型主要包括灌丛、草丛等，分布海拔相对较低，生活于其中的兽类主要包括：黄鼬、褐家鼠、巢鼠、田鼠等，其中的优势种类为巢鼠、田鼠等。</w:t>
      </w:r>
    </w:p>
    <w:p>
      <w:pPr>
        <w:spacing w:line="360" w:lineRule="auto"/>
        <w:ind w:firstLine="480" w:firstLineChars="200"/>
        <w:rPr>
          <w:rFonts w:hAnsi="Times New Roman" w:eastAsia="宋体"/>
          <w:szCs w:val="21"/>
        </w:rPr>
      </w:pPr>
      <w:r>
        <w:rPr>
          <w:rFonts w:hAnsi="Times New Roman" w:eastAsia="宋体"/>
          <w:szCs w:val="21"/>
        </w:rPr>
        <w:t>（3）保护物种</w:t>
      </w:r>
    </w:p>
    <w:p>
      <w:pPr>
        <w:spacing w:line="360" w:lineRule="auto"/>
        <w:ind w:firstLine="480" w:firstLineChars="200"/>
        <w:rPr>
          <w:rFonts w:hAnsi="Times New Roman" w:eastAsia="宋体"/>
          <w:szCs w:val="21"/>
        </w:rPr>
      </w:pPr>
      <w:r>
        <w:rPr>
          <w:rFonts w:hAnsi="Times New Roman" w:eastAsia="宋体"/>
          <w:szCs w:val="21"/>
        </w:rPr>
        <w:t>调查中未发现属于国家级和四川省级保护的兽类物种。</w:t>
      </w:r>
    </w:p>
    <w:p>
      <w:pPr>
        <w:spacing w:line="360" w:lineRule="auto"/>
        <w:rPr>
          <w:rFonts w:hAnsi="Times New Roman" w:eastAsia="宋体"/>
          <w:b/>
          <w:bCs/>
          <w:lang w:eastAsia="zh-CN"/>
        </w:rPr>
      </w:pPr>
      <w:r>
        <w:rPr>
          <w:rFonts w:hAnsi="Times New Roman" w:eastAsia="宋体"/>
          <w:b/>
          <w:bCs/>
          <w:lang w:eastAsia="zh-CN"/>
        </w:rPr>
        <w:t>4.2.</w:t>
      </w:r>
      <w:r>
        <w:rPr>
          <w:rFonts w:hint="eastAsia" w:hAnsi="Times New Roman" w:eastAsia="宋体"/>
          <w:b/>
          <w:bCs/>
          <w:lang w:eastAsia="zh-CN"/>
        </w:rPr>
        <w:t>4</w:t>
      </w:r>
      <w:r>
        <w:rPr>
          <w:rFonts w:hAnsi="Times New Roman" w:eastAsia="宋体"/>
          <w:b/>
          <w:bCs/>
          <w:lang w:eastAsia="zh-CN"/>
        </w:rPr>
        <w:t>.5国家重点保护动物</w:t>
      </w:r>
    </w:p>
    <w:p>
      <w:pPr>
        <w:spacing w:line="360" w:lineRule="auto"/>
        <w:ind w:firstLine="480" w:firstLineChars="200"/>
        <w:rPr>
          <w:rFonts w:hAnsi="Times New Roman" w:eastAsia="宋体"/>
        </w:rPr>
      </w:pPr>
      <w:r>
        <w:rPr>
          <w:rFonts w:hAnsi="Times New Roman" w:eastAsia="宋体"/>
          <w:szCs w:val="22"/>
        </w:rPr>
        <w:t>在本次陆生动物调查中，评价范围未发现国务院2021年1月批准的《国家重点保护野生动物名录》中的物种。</w:t>
      </w:r>
    </w:p>
    <w:p>
      <w:pPr>
        <w:widowControl/>
        <w:spacing w:line="360" w:lineRule="auto"/>
        <w:ind w:firstLine="480" w:firstLineChars="200"/>
        <w:rPr>
          <w:rFonts w:hAnsi="Times New Roman" w:eastAsia="宋体"/>
          <w:szCs w:val="24"/>
          <w:lang w:eastAsia="zh-CN"/>
        </w:rPr>
      </w:pPr>
      <w:r>
        <w:rPr>
          <w:rFonts w:hAnsi="Times New Roman" w:eastAsia="宋体"/>
          <w:szCs w:val="22"/>
        </w:rPr>
        <w:t>评价区中的</w:t>
      </w:r>
      <w:r>
        <w:rPr>
          <w:rFonts w:hint="eastAsia" w:hAnsi="Times New Roman" w:eastAsia="宋体"/>
          <w:szCs w:val="22"/>
          <w:lang w:eastAsia="zh-CN"/>
        </w:rPr>
        <w:t>68</w:t>
      </w:r>
      <w:r>
        <w:rPr>
          <w:rFonts w:hAnsi="Times New Roman" w:eastAsia="宋体"/>
          <w:szCs w:val="22"/>
        </w:rPr>
        <w:t>种陆生动物有</w:t>
      </w:r>
      <w:r>
        <w:rPr>
          <w:rFonts w:hint="eastAsia" w:hAnsi="Times New Roman" w:eastAsia="宋体"/>
          <w:szCs w:val="22"/>
          <w:lang w:eastAsia="zh-CN"/>
        </w:rPr>
        <w:t>6</w:t>
      </w:r>
      <w:r>
        <w:rPr>
          <w:rFonts w:hAnsi="Times New Roman" w:eastAsia="宋体"/>
          <w:szCs w:val="22"/>
        </w:rPr>
        <w:t>种重要野生动物，包括</w:t>
      </w:r>
      <w:r>
        <w:rPr>
          <w:rFonts w:hAnsi="Times New Roman" w:eastAsia="宋体"/>
          <w:szCs w:val="22"/>
          <w:lang w:eastAsia="zh-CN"/>
        </w:rPr>
        <w:t>易危动物</w:t>
      </w:r>
      <w:r>
        <w:rPr>
          <w:rFonts w:hint="eastAsia" w:hAnsi="Times New Roman" w:eastAsia="宋体"/>
          <w:szCs w:val="22"/>
          <w:lang w:eastAsia="zh-CN"/>
        </w:rPr>
        <w:t>3</w:t>
      </w:r>
      <w:r>
        <w:rPr>
          <w:rFonts w:hAnsi="Times New Roman" w:eastAsia="宋体"/>
          <w:szCs w:val="22"/>
          <w:lang w:eastAsia="zh-CN"/>
        </w:rPr>
        <w:t>种（乌梢蛇、王锦蛇、黑眉锦蛇）；</w:t>
      </w:r>
      <w:r>
        <w:rPr>
          <w:rFonts w:hAnsi="Times New Roman" w:eastAsia="宋体"/>
          <w:szCs w:val="22"/>
        </w:rPr>
        <w:t>特有种</w:t>
      </w:r>
      <w:r>
        <w:rPr>
          <w:rFonts w:hAnsi="Times New Roman" w:eastAsia="宋体"/>
          <w:szCs w:val="22"/>
          <w:lang w:eastAsia="zh-CN"/>
        </w:rPr>
        <w:t>2</w:t>
      </w:r>
      <w:r>
        <w:rPr>
          <w:rFonts w:hAnsi="Times New Roman" w:eastAsia="宋体"/>
          <w:szCs w:val="22"/>
        </w:rPr>
        <w:t>种</w:t>
      </w:r>
      <w:r>
        <w:rPr>
          <w:rFonts w:hAnsi="Times New Roman" w:eastAsia="宋体"/>
          <w:szCs w:val="24"/>
        </w:rPr>
        <w:t>（</w:t>
      </w:r>
      <w:r>
        <w:rPr>
          <w:rFonts w:hAnsi="Times New Roman" w:eastAsia="宋体"/>
          <w:szCs w:val="24"/>
          <w:lang w:eastAsia="zh-CN" w:bidi="ar"/>
        </w:rPr>
        <w:t>蹼趾壁虎、岩松鼠</w:t>
      </w:r>
      <w:r>
        <w:rPr>
          <w:rStyle w:val="101"/>
          <w:rFonts w:hint="default" w:hAnsi="Times New Roman"/>
          <w:color w:val="auto"/>
          <w:lang w:eastAsia="zh-CN" w:bidi="ar"/>
        </w:rPr>
        <w:t>）。</w:t>
      </w:r>
      <w:r>
        <w:rPr>
          <w:rFonts w:hAnsi="Times New Roman" w:eastAsia="宋体"/>
          <w:szCs w:val="24"/>
        </w:rPr>
        <w:t>且据调查和查阅资料，评价范围内有国家Ⅱ级重点保护动物</w:t>
      </w:r>
      <w:r>
        <w:rPr>
          <w:rFonts w:hAnsi="Times New Roman" w:eastAsia="宋体"/>
          <w:szCs w:val="24"/>
          <w:lang w:eastAsia="zh-CN"/>
        </w:rPr>
        <w:t>1</w:t>
      </w:r>
      <w:r>
        <w:rPr>
          <w:rFonts w:hAnsi="Times New Roman" w:eastAsia="宋体"/>
          <w:szCs w:val="24"/>
        </w:rPr>
        <w:t>种</w:t>
      </w:r>
      <w:r>
        <w:rPr>
          <w:rFonts w:hAnsi="Times New Roman" w:eastAsia="宋体"/>
          <w:szCs w:val="24"/>
          <w:lang w:eastAsia="zh-CN"/>
        </w:rPr>
        <w:t>（凤头鹰）</w:t>
      </w:r>
      <w:r>
        <w:rPr>
          <w:rFonts w:hAnsi="Times New Roman" w:eastAsia="宋体"/>
          <w:szCs w:val="24"/>
        </w:rPr>
        <w:t>，</w:t>
      </w:r>
      <w:r>
        <w:rPr>
          <w:rFonts w:hint="eastAsia" w:hAnsi="Times New Roman" w:eastAsia="宋体"/>
          <w:szCs w:val="24"/>
          <w:lang w:eastAsia="zh-CN"/>
        </w:rPr>
        <w:t>无</w:t>
      </w:r>
      <w:r>
        <w:rPr>
          <w:rFonts w:hAnsi="Times New Roman" w:eastAsia="宋体"/>
          <w:szCs w:val="24"/>
        </w:rPr>
        <w:t>省级保护动物。</w:t>
      </w:r>
    </w:p>
    <w:p>
      <w:pPr>
        <w:pStyle w:val="14"/>
        <w:spacing w:line="240" w:lineRule="auto"/>
        <w:ind w:left="480" w:firstLine="405"/>
        <w:jc w:val="center"/>
        <w:rPr>
          <w:rFonts w:ascii="Times New Roman" w:hAnsi="Times New Roman"/>
          <w:b/>
          <w:bCs w:val="0"/>
          <w:kern w:val="0"/>
          <w:sz w:val="21"/>
          <w:szCs w:val="21"/>
        </w:rPr>
      </w:pPr>
      <w:r>
        <w:rPr>
          <w:rFonts w:ascii="Times New Roman" w:hAnsi="Times New Roman"/>
          <w:b/>
          <w:bCs w:val="0"/>
          <w:kern w:val="0"/>
          <w:sz w:val="21"/>
          <w:szCs w:val="21"/>
        </w:rPr>
        <w:t>表</w:t>
      </w:r>
      <w:r>
        <w:rPr>
          <w:rFonts w:hint="eastAsia" w:ascii="Times New Roman" w:hAnsi="Times New Roman"/>
          <w:b/>
          <w:bCs w:val="0"/>
          <w:kern w:val="0"/>
          <w:sz w:val="21"/>
          <w:szCs w:val="21"/>
          <w:lang w:eastAsia="zh-CN"/>
        </w:rPr>
        <w:t>4.2-11</w:t>
      </w:r>
      <w:r>
        <w:rPr>
          <w:rFonts w:ascii="Times New Roman" w:hAnsi="Times New Roman"/>
          <w:b/>
          <w:bCs w:val="0"/>
          <w:kern w:val="0"/>
          <w:sz w:val="21"/>
          <w:szCs w:val="21"/>
        </w:rPr>
        <w:t>重要野生动物调查结果统计表</w:t>
      </w:r>
    </w:p>
    <w:tbl>
      <w:tblPr>
        <w:tblStyle w:val="10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0"/>
        <w:gridCol w:w="2124"/>
        <w:gridCol w:w="843"/>
        <w:gridCol w:w="735"/>
        <w:gridCol w:w="1151"/>
        <w:gridCol w:w="1557"/>
        <w:gridCol w:w="943"/>
        <w:gridCol w:w="14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b/>
                <w:bCs/>
                <w:kern w:val="2"/>
                <w:sz w:val="21"/>
                <w:szCs w:val="21"/>
              </w:rPr>
            </w:pPr>
            <w:r>
              <w:rPr>
                <w:rFonts w:hint="eastAsia" w:ascii="Times New Roman" w:hAnsi="Times New Roman" w:eastAsia="宋体" w:cs="Times New Roman"/>
                <w:b/>
                <w:bCs/>
                <w:kern w:val="2"/>
                <w:sz w:val="21"/>
                <w:szCs w:val="21"/>
              </w:rPr>
              <w:t>序号</w:t>
            </w:r>
          </w:p>
        </w:tc>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b/>
                <w:bCs/>
                <w:kern w:val="2"/>
                <w:sz w:val="21"/>
                <w:szCs w:val="21"/>
              </w:rPr>
            </w:pPr>
            <w:r>
              <w:rPr>
                <w:rFonts w:hint="eastAsia" w:ascii="Times New Roman" w:hAnsi="Times New Roman" w:eastAsia="宋体" w:cs="Times New Roman"/>
                <w:b/>
                <w:bCs/>
                <w:kern w:val="2"/>
                <w:sz w:val="21"/>
                <w:szCs w:val="21"/>
              </w:rPr>
              <w:t>物种名称（中文、拉丁名）</w:t>
            </w:r>
          </w:p>
        </w:tc>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b/>
                <w:bCs/>
                <w:kern w:val="2"/>
                <w:sz w:val="21"/>
                <w:szCs w:val="21"/>
              </w:rPr>
            </w:pPr>
            <w:r>
              <w:rPr>
                <w:rFonts w:hint="eastAsia" w:ascii="Times New Roman" w:hAnsi="Times New Roman" w:eastAsia="宋体" w:cs="Times New Roman"/>
                <w:b/>
                <w:bCs/>
                <w:kern w:val="2"/>
                <w:sz w:val="21"/>
                <w:szCs w:val="21"/>
              </w:rPr>
              <w:t>保护级别</w:t>
            </w:r>
          </w:p>
        </w:tc>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b/>
                <w:bCs/>
                <w:kern w:val="2"/>
                <w:sz w:val="21"/>
                <w:szCs w:val="21"/>
              </w:rPr>
            </w:pPr>
            <w:r>
              <w:rPr>
                <w:rFonts w:hint="eastAsia" w:ascii="Times New Roman" w:hAnsi="Times New Roman" w:eastAsia="宋体" w:cs="Times New Roman"/>
                <w:b/>
                <w:bCs/>
                <w:kern w:val="2"/>
                <w:sz w:val="21"/>
                <w:szCs w:val="21"/>
              </w:rPr>
              <w:t>濒危等级</w:t>
            </w:r>
          </w:p>
        </w:tc>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b/>
                <w:bCs/>
                <w:kern w:val="2"/>
                <w:sz w:val="21"/>
                <w:szCs w:val="21"/>
              </w:rPr>
            </w:pPr>
            <w:r>
              <w:rPr>
                <w:rFonts w:hint="eastAsia" w:ascii="Times New Roman" w:hAnsi="Times New Roman" w:eastAsia="宋体" w:cs="Times New Roman"/>
                <w:b/>
                <w:bCs/>
                <w:kern w:val="2"/>
                <w:sz w:val="21"/>
                <w:szCs w:val="21"/>
              </w:rPr>
              <w:t>特有种（是否）</w:t>
            </w:r>
          </w:p>
        </w:tc>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b/>
                <w:bCs/>
                <w:kern w:val="2"/>
                <w:sz w:val="21"/>
                <w:szCs w:val="21"/>
              </w:rPr>
            </w:pPr>
            <w:r>
              <w:rPr>
                <w:rFonts w:hint="eastAsia" w:ascii="Times New Roman" w:hAnsi="Times New Roman" w:eastAsia="宋体" w:cs="Times New Roman"/>
                <w:b/>
                <w:bCs/>
                <w:kern w:val="2"/>
                <w:sz w:val="21"/>
                <w:szCs w:val="21"/>
              </w:rPr>
              <w:t>分布区域</w:t>
            </w:r>
          </w:p>
        </w:tc>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b/>
                <w:bCs/>
                <w:kern w:val="2"/>
                <w:sz w:val="21"/>
                <w:szCs w:val="21"/>
              </w:rPr>
            </w:pPr>
            <w:r>
              <w:rPr>
                <w:rFonts w:hint="eastAsia" w:ascii="Times New Roman" w:hAnsi="Times New Roman" w:eastAsia="宋体" w:cs="Times New Roman"/>
                <w:b/>
                <w:bCs/>
                <w:kern w:val="2"/>
                <w:sz w:val="21"/>
                <w:szCs w:val="21"/>
              </w:rPr>
              <w:t>资料来源</w:t>
            </w:r>
          </w:p>
        </w:tc>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b/>
                <w:bCs/>
                <w:kern w:val="2"/>
                <w:sz w:val="21"/>
                <w:szCs w:val="21"/>
              </w:rPr>
            </w:pPr>
            <w:r>
              <w:rPr>
                <w:rFonts w:hint="eastAsia" w:ascii="Times New Roman" w:hAnsi="Times New Roman" w:eastAsia="宋体" w:cs="Times New Roman"/>
                <w:b/>
                <w:bCs/>
                <w:kern w:val="2"/>
                <w:sz w:val="21"/>
                <w:szCs w:val="21"/>
              </w:rPr>
              <w:t>工程占用情况（是否）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3" w:hRule="atLeast"/>
          <w:jc w:val="center"/>
        </w:trPr>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rPr>
              <w:t>1</w:t>
            </w:r>
          </w:p>
        </w:tc>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rPr>
              <w:t>蹼趾壁虎</w:t>
            </w:r>
          </w:p>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i/>
                <w:iCs/>
                <w:kern w:val="2"/>
                <w:sz w:val="21"/>
                <w:szCs w:val="21"/>
              </w:rPr>
              <w:t>Gekko subpalmatus</w:t>
            </w:r>
          </w:p>
        </w:tc>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rPr>
              <w:t>/</w:t>
            </w:r>
          </w:p>
        </w:tc>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rPr>
              <w:t>无危</w:t>
            </w:r>
          </w:p>
        </w:tc>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rPr>
              <w:t>是</w:t>
            </w:r>
          </w:p>
        </w:tc>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rPr>
              <w:t>评价区零星分布</w:t>
            </w:r>
          </w:p>
        </w:tc>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rPr>
              <w:t>调查、文献</w:t>
            </w:r>
          </w:p>
        </w:tc>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rPr>
              <w:t>2</w:t>
            </w:r>
          </w:p>
        </w:tc>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i/>
                <w:kern w:val="2"/>
                <w:sz w:val="21"/>
                <w:szCs w:val="21"/>
              </w:rPr>
            </w:pPr>
            <w:r>
              <w:rPr>
                <w:rFonts w:hint="eastAsia" w:ascii="Times New Roman" w:hAnsi="Times New Roman" w:eastAsia="宋体" w:cs="Times New Roman"/>
                <w:kern w:val="2"/>
                <w:sz w:val="21"/>
                <w:szCs w:val="21"/>
              </w:rPr>
              <w:t>岩松鼠</w:t>
            </w:r>
            <w:r>
              <w:rPr>
                <w:rFonts w:hint="eastAsia" w:ascii="Times New Roman" w:hAnsi="Times New Roman" w:eastAsia="宋体" w:cs="Times New Roman"/>
                <w:i/>
                <w:iCs/>
                <w:kern w:val="2"/>
                <w:sz w:val="21"/>
                <w:szCs w:val="21"/>
              </w:rPr>
              <w:t>Sciurotamias davidianus</w:t>
            </w:r>
          </w:p>
        </w:tc>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rPr>
              <w:t>/</w:t>
            </w:r>
          </w:p>
        </w:tc>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rPr>
              <w:t>无危</w:t>
            </w:r>
          </w:p>
        </w:tc>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rPr>
              <w:t>是</w:t>
            </w:r>
          </w:p>
        </w:tc>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rPr>
              <w:t>评价区零星分布</w:t>
            </w:r>
          </w:p>
        </w:tc>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rPr>
              <w:t>调查、文献</w:t>
            </w:r>
          </w:p>
        </w:tc>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7" w:hRule="atLeast"/>
          <w:jc w:val="center"/>
        </w:trPr>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rPr>
              <w:t>3</w:t>
            </w:r>
          </w:p>
        </w:tc>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iCs/>
                <w:kern w:val="2"/>
                <w:sz w:val="21"/>
                <w:szCs w:val="21"/>
              </w:rPr>
            </w:pPr>
            <w:r>
              <w:rPr>
                <w:rFonts w:hint="eastAsia" w:ascii="Times New Roman" w:hAnsi="Times New Roman" w:eastAsia="宋体" w:cs="Times New Roman"/>
                <w:kern w:val="2"/>
                <w:sz w:val="21"/>
                <w:szCs w:val="21"/>
                <w:lang w:eastAsia="zh-CN"/>
              </w:rPr>
              <w:t>乌梢蛇</w:t>
            </w:r>
          </w:p>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iCs/>
                <w:kern w:val="2"/>
                <w:sz w:val="21"/>
                <w:szCs w:val="21"/>
              </w:rPr>
            </w:pPr>
            <w:r>
              <w:rPr>
                <w:rFonts w:hint="eastAsia" w:ascii="Times New Roman" w:hAnsi="Times New Roman" w:eastAsia="宋体" w:cs="Times New Roman"/>
                <w:i/>
                <w:iCs/>
                <w:kern w:val="2"/>
                <w:sz w:val="21"/>
                <w:szCs w:val="21"/>
                <w:lang w:eastAsia="zh-CN"/>
              </w:rPr>
              <w:t>Zaocys dhumnades</w:t>
            </w:r>
          </w:p>
        </w:tc>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rPr>
              <w:t>/</w:t>
            </w:r>
          </w:p>
        </w:tc>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lang w:eastAsia="zh-CN"/>
              </w:rPr>
              <w:t>易危</w:t>
            </w:r>
          </w:p>
        </w:tc>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rPr>
              <w:t>否</w:t>
            </w:r>
          </w:p>
        </w:tc>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rPr>
              <w:t>评价区零星分布</w:t>
            </w:r>
          </w:p>
        </w:tc>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rPr>
              <w:t>调查、文献</w:t>
            </w:r>
          </w:p>
        </w:tc>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7" w:hRule="atLeast"/>
          <w:jc w:val="center"/>
        </w:trPr>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rPr>
              <w:t>4</w:t>
            </w:r>
          </w:p>
        </w:tc>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iCs/>
                <w:kern w:val="2"/>
                <w:sz w:val="21"/>
                <w:szCs w:val="21"/>
              </w:rPr>
            </w:pPr>
            <w:r>
              <w:rPr>
                <w:rFonts w:hint="eastAsia" w:ascii="Times New Roman" w:hAnsi="Times New Roman" w:eastAsia="宋体" w:cs="Times New Roman"/>
                <w:kern w:val="2"/>
                <w:sz w:val="21"/>
                <w:szCs w:val="21"/>
                <w:lang w:eastAsia="zh-CN"/>
              </w:rPr>
              <w:t>黑眉锦蛇</w:t>
            </w:r>
          </w:p>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iCs/>
                <w:kern w:val="2"/>
                <w:sz w:val="21"/>
                <w:szCs w:val="21"/>
              </w:rPr>
            </w:pPr>
            <w:r>
              <w:rPr>
                <w:rFonts w:hint="eastAsia" w:ascii="Times New Roman" w:hAnsi="Times New Roman" w:eastAsia="宋体" w:cs="Times New Roman"/>
                <w:i/>
                <w:iCs/>
                <w:kern w:val="2"/>
                <w:sz w:val="21"/>
                <w:szCs w:val="21"/>
                <w:lang w:eastAsia="zh-CN"/>
              </w:rPr>
              <w:t>Elaphe taeniura</w:t>
            </w:r>
          </w:p>
        </w:tc>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rPr>
              <w:t>/</w:t>
            </w:r>
          </w:p>
        </w:tc>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lang w:eastAsia="zh-CN"/>
              </w:rPr>
              <w:t>易危</w:t>
            </w:r>
          </w:p>
        </w:tc>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rPr>
              <w:t>否</w:t>
            </w:r>
          </w:p>
        </w:tc>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rPr>
              <w:t>评价区广泛分布</w:t>
            </w:r>
          </w:p>
        </w:tc>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rPr>
              <w:t>文献、调查</w:t>
            </w:r>
          </w:p>
        </w:tc>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7" w:hRule="atLeast"/>
          <w:jc w:val="center"/>
        </w:trPr>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rPr>
              <w:t>5</w:t>
            </w:r>
          </w:p>
        </w:tc>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rPr>
              <w:t>王锦蛇</w:t>
            </w:r>
          </w:p>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bCs/>
                <w:i/>
                <w:iCs/>
                <w:kern w:val="2"/>
                <w:sz w:val="21"/>
                <w:szCs w:val="21"/>
              </w:rPr>
              <w:t>Elaphe carinata</w:t>
            </w:r>
          </w:p>
        </w:tc>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rPr>
              <w:t>/</w:t>
            </w:r>
          </w:p>
        </w:tc>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lang w:eastAsia="zh-CN"/>
              </w:rPr>
              <w:t>易危</w:t>
            </w:r>
          </w:p>
        </w:tc>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rPr>
              <w:t>否</w:t>
            </w:r>
          </w:p>
        </w:tc>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rPr>
              <w:t>评价区零星分布</w:t>
            </w:r>
          </w:p>
        </w:tc>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rPr>
              <w:t>文献</w:t>
            </w:r>
          </w:p>
        </w:tc>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7" w:hRule="atLeast"/>
          <w:jc w:val="center"/>
        </w:trPr>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lang w:eastAsia="zh-CN"/>
              </w:rPr>
              <w:t>6</w:t>
            </w:r>
          </w:p>
        </w:tc>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rPr>
              <w:t>凤头鹰</w:t>
            </w:r>
          </w:p>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i/>
                <w:kern w:val="2"/>
                <w:sz w:val="21"/>
                <w:szCs w:val="21"/>
              </w:rPr>
            </w:pPr>
            <w:r>
              <w:rPr>
                <w:rFonts w:hint="eastAsia" w:ascii="Times New Roman" w:hAnsi="Times New Roman" w:eastAsia="宋体" w:cs="Times New Roman"/>
                <w:i/>
                <w:iCs/>
                <w:kern w:val="2"/>
                <w:sz w:val="21"/>
                <w:szCs w:val="21"/>
              </w:rPr>
              <w:t>Accipiter trivirgatus</w:t>
            </w:r>
          </w:p>
        </w:tc>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rPr>
              <w:t>国Ⅱ</w:t>
            </w:r>
          </w:p>
        </w:tc>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rPr>
              <w:t>无危</w:t>
            </w:r>
          </w:p>
        </w:tc>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rPr>
              <w:t>否</w:t>
            </w:r>
          </w:p>
        </w:tc>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rPr>
              <w:t>评价区农田、灌草丛分布</w:t>
            </w:r>
          </w:p>
        </w:tc>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rPr>
              <w:t>资料</w:t>
            </w:r>
          </w:p>
        </w:tc>
        <w:tc>
          <w:tcPr>
            <w:tcW w:w="0" w:type="auto"/>
            <w:vAlign w:val="center"/>
          </w:tcPr>
          <w:p>
            <w:pPr>
              <w:keepNext w:val="0"/>
              <w:keepLines w:val="0"/>
              <w:widowControl/>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gridSpan w:val="8"/>
            <w:vAlign w:val="center"/>
          </w:tcPr>
          <w:p>
            <w:pPr>
              <w:keepNext w:val="0"/>
              <w:keepLines w:val="0"/>
              <w:widowControl/>
              <w:suppressLineNumbers w:val="0"/>
              <w:snapToGrid w:val="0"/>
              <w:spacing w:before="0" w:beforeAutospacing="0" w:after="0" w:afterAutospacing="0"/>
              <w:ind w:left="0" w:right="0"/>
              <w:jc w:val="left"/>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rPr>
              <w:t>注 1：保护级别根据国家及地方正式发布的重点保护野生动物名录确定。</w:t>
            </w:r>
          </w:p>
          <w:p>
            <w:pPr>
              <w:keepNext w:val="0"/>
              <w:keepLines w:val="0"/>
              <w:widowControl/>
              <w:suppressLineNumbers w:val="0"/>
              <w:snapToGrid w:val="0"/>
              <w:spacing w:before="0" w:beforeAutospacing="0" w:after="0" w:afterAutospacing="0"/>
              <w:ind w:left="0" w:right="0"/>
              <w:jc w:val="left"/>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rPr>
              <w:t>注 2：濒危等级、特有种根据《中国生物多样性红色名录》确定。</w:t>
            </w:r>
          </w:p>
          <w:p>
            <w:pPr>
              <w:keepNext w:val="0"/>
              <w:keepLines w:val="0"/>
              <w:widowControl/>
              <w:suppressLineNumbers w:val="0"/>
              <w:snapToGrid w:val="0"/>
              <w:spacing w:before="0" w:beforeAutospacing="0" w:after="0" w:afterAutospacing="0"/>
              <w:ind w:left="0" w:right="0"/>
              <w:jc w:val="left"/>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rPr>
              <w:t>注 3：分布区域应说明物种分布情况以及生境类型。</w:t>
            </w:r>
          </w:p>
          <w:p>
            <w:pPr>
              <w:keepNext w:val="0"/>
              <w:keepLines w:val="0"/>
              <w:widowControl/>
              <w:suppressLineNumbers w:val="0"/>
              <w:snapToGrid w:val="0"/>
              <w:spacing w:before="0" w:beforeAutospacing="0" w:after="0" w:afterAutospacing="0"/>
              <w:ind w:left="0" w:right="0"/>
              <w:jc w:val="left"/>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rPr>
              <w:t>注 4：资料来源包括环评现场调查、文献记录、历史调查资料及科考报告等。</w:t>
            </w:r>
          </w:p>
          <w:p>
            <w:pPr>
              <w:keepNext w:val="0"/>
              <w:keepLines w:val="0"/>
              <w:widowControl/>
              <w:suppressLineNumbers w:val="0"/>
              <w:topLinePunct/>
              <w:adjustRightInd w:val="0"/>
              <w:snapToGrid w:val="0"/>
              <w:spacing w:before="0" w:beforeAutospacing="0" w:after="0" w:afterAutospacing="0"/>
              <w:ind w:left="0" w:right="0"/>
              <w:jc w:val="left"/>
              <w:rPr>
                <w:rFonts w:hint="eastAsia" w:ascii="Times New Roman" w:hAnsi="Times New Roman" w:eastAsia="宋体" w:cs="Times New Roman"/>
                <w:kern w:val="2"/>
                <w:sz w:val="21"/>
                <w:szCs w:val="21"/>
              </w:rPr>
            </w:pPr>
            <w:r>
              <w:rPr>
                <w:rFonts w:hint="eastAsia" w:ascii="Times New Roman" w:hAnsi="Times New Roman" w:eastAsia="宋体" w:cs="Times New Roman"/>
                <w:kern w:val="2"/>
                <w:sz w:val="21"/>
                <w:szCs w:val="21"/>
              </w:rPr>
              <w:t>注 5：说明工程占用生境情况。涉及占用的应说明具体工程内容和占用面积，不直接占用的应说明生境分布与工程的位置关系。</w:t>
            </w:r>
          </w:p>
        </w:tc>
      </w:tr>
    </w:tbl>
    <w:p>
      <w:pPr>
        <w:spacing w:line="360" w:lineRule="auto"/>
        <w:ind w:firstLine="480" w:firstLineChars="200"/>
        <w:jc w:val="left"/>
        <w:rPr>
          <w:rFonts w:hAnsi="Times New Roman" w:eastAsia="宋体"/>
          <w:szCs w:val="24"/>
          <w:lang w:eastAsia="zh-CN"/>
        </w:rPr>
      </w:pPr>
      <w:r>
        <w:rPr>
          <w:rFonts w:hAnsi="Times New Roman" w:eastAsia="宋体"/>
          <w:szCs w:val="24"/>
        </w:rPr>
        <w:t>评价区内分布有</w:t>
      </w:r>
      <w:r>
        <w:rPr>
          <w:rFonts w:hAnsi="Times New Roman" w:eastAsia="宋体"/>
          <w:szCs w:val="24"/>
          <w:lang w:eastAsia="zh-CN"/>
        </w:rPr>
        <w:t>6</w:t>
      </w:r>
      <w:r>
        <w:rPr>
          <w:rFonts w:hAnsi="Times New Roman" w:eastAsia="宋体"/>
          <w:szCs w:val="24"/>
        </w:rPr>
        <w:t>种典型重要</w:t>
      </w:r>
      <w:r>
        <w:rPr>
          <w:rFonts w:hAnsi="Times New Roman" w:eastAsia="宋体"/>
          <w:szCs w:val="24"/>
          <w:lang w:eastAsia="zh-CN"/>
        </w:rPr>
        <w:t>野生</w:t>
      </w:r>
      <w:r>
        <w:rPr>
          <w:rFonts w:hAnsi="Times New Roman" w:eastAsia="宋体"/>
          <w:szCs w:val="24"/>
        </w:rPr>
        <w:t>动物，</w:t>
      </w:r>
      <w:r>
        <w:rPr>
          <w:rFonts w:hAnsi="Times New Roman" w:eastAsia="宋体"/>
          <w:szCs w:val="24"/>
          <w:lang w:eastAsia="zh-CN"/>
        </w:rPr>
        <w:t>分别为王锦蛇、黑眉锦蛇、乌梢蛇、凤头鹰</w:t>
      </w:r>
      <w:r>
        <w:rPr>
          <w:rFonts w:hint="eastAsia" w:hAnsi="Times New Roman" w:eastAsia="宋体"/>
          <w:szCs w:val="24"/>
          <w:lang w:eastAsia="zh-CN"/>
        </w:rPr>
        <w:t>、蹼趾壁虎、岩松鼠</w:t>
      </w:r>
      <w:r>
        <w:rPr>
          <w:rFonts w:hAnsi="Times New Roman" w:eastAsia="宋体"/>
          <w:szCs w:val="24"/>
        </w:rPr>
        <w:t>，</w:t>
      </w:r>
      <w:r>
        <w:rPr>
          <w:rFonts w:hAnsi="Times New Roman" w:eastAsia="宋体"/>
          <w:szCs w:val="24"/>
          <w:lang w:eastAsia="zh-CN"/>
        </w:rPr>
        <w:t>均在</w:t>
      </w:r>
      <w:r>
        <w:rPr>
          <w:rFonts w:hAnsi="Times New Roman" w:eastAsia="宋体"/>
          <w:szCs w:val="24"/>
        </w:rPr>
        <w:t>评价区</w:t>
      </w:r>
      <w:r>
        <w:rPr>
          <w:rFonts w:hAnsi="Times New Roman" w:eastAsia="宋体"/>
          <w:szCs w:val="24"/>
          <w:lang w:eastAsia="zh-CN"/>
        </w:rPr>
        <w:t>内零星</w:t>
      </w:r>
      <w:r>
        <w:rPr>
          <w:rFonts w:hAnsi="Times New Roman" w:eastAsia="宋体"/>
          <w:szCs w:val="24"/>
        </w:rPr>
        <w:t>分布</w:t>
      </w:r>
      <w:r>
        <w:rPr>
          <w:rFonts w:hAnsi="Times New Roman" w:eastAsia="宋体"/>
          <w:szCs w:val="24"/>
          <w:lang w:eastAsia="zh-CN"/>
        </w:rPr>
        <w:t>，鸟类、蛇类分布在林地及灌丛周围，</w:t>
      </w:r>
      <w:r>
        <w:rPr>
          <w:rFonts w:hAnsi="Times New Roman" w:eastAsia="宋体"/>
          <w:szCs w:val="24"/>
        </w:rPr>
        <w:t>因此，工程建设对其影响较小。</w:t>
      </w:r>
    </w:p>
    <w:p>
      <w:pPr>
        <w:pStyle w:val="6"/>
        <w:rPr>
          <w:lang w:eastAsia="zh-CN"/>
        </w:rPr>
      </w:pPr>
      <w:bookmarkStart w:id="191" w:name="_Toc167095179"/>
      <w:bookmarkStart w:id="192" w:name="_Toc163812556"/>
      <w:r>
        <w:rPr>
          <w:rFonts w:hint="eastAsia"/>
          <w:lang w:eastAsia="zh-CN"/>
        </w:rPr>
        <w:t xml:space="preserve">4.2.5 </w:t>
      </w:r>
      <w:r>
        <w:rPr>
          <w:lang w:eastAsia="zh-CN"/>
        </w:rPr>
        <w:t>评价区水生生物现状调查</w:t>
      </w:r>
      <w:bookmarkEnd w:id="191"/>
      <w:bookmarkEnd w:id="192"/>
    </w:p>
    <w:p>
      <w:pPr>
        <w:spacing w:line="360" w:lineRule="auto"/>
        <w:rPr>
          <w:rFonts w:hAnsi="Times New Roman" w:eastAsia="宋体"/>
          <w:b/>
          <w:bCs/>
          <w:lang w:eastAsia="zh-CN"/>
        </w:rPr>
      </w:pPr>
      <w:r>
        <w:rPr>
          <w:rFonts w:hint="eastAsia" w:hAnsi="Times New Roman" w:eastAsia="宋体"/>
          <w:b/>
          <w:bCs/>
          <w:lang w:eastAsia="zh-CN"/>
        </w:rPr>
        <w:t>4.</w:t>
      </w:r>
      <w:r>
        <w:rPr>
          <w:rFonts w:hAnsi="Times New Roman" w:eastAsia="宋体"/>
          <w:b/>
          <w:bCs/>
          <w:lang w:eastAsia="zh-CN"/>
        </w:rPr>
        <w:t>2.5.1 浮游植物</w:t>
      </w:r>
    </w:p>
    <w:p>
      <w:pPr>
        <w:spacing w:line="360" w:lineRule="auto"/>
        <w:ind w:firstLine="420"/>
        <w:rPr>
          <w:rFonts w:hAnsi="Times New Roman" w:eastAsia="宋体"/>
          <w:szCs w:val="24"/>
          <w:lang w:eastAsia="zh-CN"/>
        </w:rPr>
      </w:pPr>
      <w:r>
        <w:rPr>
          <w:rFonts w:hAnsi="Times New Roman" w:eastAsia="宋体"/>
          <w:szCs w:val="24"/>
          <w:lang w:eastAsia="zh-CN"/>
        </w:rPr>
        <w:t>本次通过对矿区受纳水体的水生浮游植物进行调查，共观察到浮游植物3门8科20个种，其中硅藻门最多，有14种，占种类总数的70%，硅藻门主要以舟形藻属和桥弯藻属的藻类为优势种；绿藻门4种，占种类总数的20%；蓝藻门2种，分别为小胶鞘藻、皮状席藻，占种类总数的10%。</w:t>
      </w:r>
    </w:p>
    <w:p>
      <w:pPr>
        <w:spacing w:line="360" w:lineRule="auto"/>
        <w:rPr>
          <w:rFonts w:hAnsi="Times New Roman" w:eastAsia="宋体"/>
          <w:b/>
          <w:bCs/>
          <w:lang w:eastAsia="zh-CN"/>
        </w:rPr>
      </w:pPr>
      <w:r>
        <w:rPr>
          <w:rFonts w:hint="eastAsia" w:hAnsi="Times New Roman" w:eastAsia="宋体"/>
          <w:b/>
          <w:bCs/>
          <w:lang w:eastAsia="zh-CN"/>
        </w:rPr>
        <w:t>4.</w:t>
      </w:r>
      <w:r>
        <w:rPr>
          <w:rFonts w:hAnsi="Times New Roman" w:eastAsia="宋体"/>
          <w:b/>
          <w:bCs/>
          <w:lang w:eastAsia="zh-CN"/>
        </w:rPr>
        <w:t>2.5.2 浮游动物</w:t>
      </w:r>
    </w:p>
    <w:p>
      <w:pPr>
        <w:spacing w:line="360" w:lineRule="auto"/>
        <w:ind w:firstLine="420"/>
        <w:jc w:val="left"/>
        <w:rPr>
          <w:rFonts w:hAnsi="Times New Roman" w:eastAsia="宋体"/>
          <w:szCs w:val="24"/>
          <w:lang w:eastAsia="zh-CN"/>
        </w:rPr>
      </w:pPr>
      <w:r>
        <w:rPr>
          <w:rFonts w:hAnsi="Times New Roman" w:eastAsia="宋体"/>
          <w:szCs w:val="24"/>
          <w:lang w:eastAsia="zh-CN"/>
        </w:rPr>
        <w:t>浮游动物是一个复杂的生态类群，包含无脊椎动物的大部分门类。在淡水水体中研究最多的是原生动物、轮虫、枝角类和桡足类四大类。在本次调查中，共观察到浮游动物2类6种，其中原生动物2种，轮虫4种，分别占到种类总数的33.33%、66.67%。</w:t>
      </w:r>
    </w:p>
    <w:p>
      <w:pPr>
        <w:spacing w:line="360" w:lineRule="auto"/>
        <w:rPr>
          <w:rFonts w:hAnsi="Times New Roman" w:eastAsia="宋体"/>
          <w:b/>
          <w:bCs/>
          <w:lang w:eastAsia="zh-CN"/>
        </w:rPr>
      </w:pPr>
      <w:r>
        <w:rPr>
          <w:rFonts w:hint="eastAsia" w:hAnsi="Times New Roman" w:eastAsia="宋体"/>
          <w:b/>
          <w:bCs/>
          <w:lang w:eastAsia="zh-CN"/>
        </w:rPr>
        <w:t>4.</w:t>
      </w:r>
      <w:r>
        <w:rPr>
          <w:rFonts w:hAnsi="Times New Roman" w:eastAsia="宋体"/>
          <w:b/>
          <w:bCs/>
          <w:lang w:eastAsia="zh-CN"/>
        </w:rPr>
        <w:t>2.5.3 底栖动物</w:t>
      </w:r>
    </w:p>
    <w:p>
      <w:pPr>
        <w:spacing w:line="360" w:lineRule="auto"/>
        <w:ind w:firstLine="420"/>
        <w:rPr>
          <w:rFonts w:hAnsi="Times New Roman" w:eastAsia="宋体"/>
          <w:szCs w:val="24"/>
          <w:lang w:eastAsia="zh-CN"/>
        </w:rPr>
      </w:pPr>
      <w:r>
        <w:rPr>
          <w:rFonts w:hAnsi="Times New Roman" w:eastAsia="宋体"/>
          <w:szCs w:val="24"/>
          <w:lang w:eastAsia="zh-CN"/>
        </w:rPr>
        <w:t>通过查阅相似生境资料，发现评价区域共有底栖动物3类9种，包括瓣鳃纲的淡水壳菜和河蜆；腹足纲的耳萝卜螺和椭圆萝卜螺；甲壳纲的日本沼虾和锯齿华溪蟹以及昆虫纲的扁蜉、纹石蛾和绿色摇蚊等种类。采集到的软体动物和甲壳动物种类较多，优势种为淡水壳菜和耳萝卜螺。</w:t>
      </w:r>
    </w:p>
    <w:p>
      <w:pPr>
        <w:spacing w:line="360" w:lineRule="auto"/>
        <w:rPr>
          <w:rFonts w:hAnsi="Times New Roman" w:eastAsia="宋体"/>
          <w:b/>
          <w:bCs/>
          <w:lang w:eastAsia="zh-CN"/>
        </w:rPr>
      </w:pPr>
      <w:r>
        <w:rPr>
          <w:rFonts w:hint="eastAsia" w:hAnsi="Times New Roman" w:eastAsia="宋体"/>
          <w:b/>
          <w:bCs/>
          <w:lang w:eastAsia="zh-CN"/>
        </w:rPr>
        <w:t>4.</w:t>
      </w:r>
      <w:r>
        <w:rPr>
          <w:rFonts w:hAnsi="Times New Roman" w:eastAsia="宋体"/>
          <w:b/>
          <w:bCs/>
          <w:lang w:eastAsia="zh-CN"/>
        </w:rPr>
        <w:t>2.5.4 鱼类</w:t>
      </w:r>
    </w:p>
    <w:p>
      <w:pPr>
        <w:spacing w:line="360" w:lineRule="auto"/>
        <w:ind w:firstLine="480" w:firstLineChars="200"/>
        <w:rPr>
          <w:rFonts w:hAnsi="Times New Roman" w:eastAsia="宋体"/>
          <w:szCs w:val="24"/>
          <w:lang w:eastAsia="zh-CN"/>
        </w:rPr>
      </w:pPr>
      <w:r>
        <w:rPr>
          <w:rFonts w:hAnsi="Times New Roman" w:eastAsia="宋体"/>
          <w:szCs w:val="24"/>
          <w:lang w:eastAsia="zh-CN"/>
        </w:rPr>
        <w:t>通过查阅相似生境资料，发现评价区域内共有鱼类5种，隶属于2目4科5属。其中，鲤形目3科4属4种，鲇形目1科1属1种。</w:t>
      </w:r>
    </w:p>
    <w:p>
      <w:pPr>
        <w:spacing w:line="360" w:lineRule="auto"/>
        <w:ind w:firstLine="480" w:firstLineChars="200"/>
        <w:rPr>
          <w:rFonts w:hAnsi="Times New Roman" w:eastAsia="宋体"/>
          <w:szCs w:val="24"/>
          <w:lang w:eastAsia="zh-CN"/>
        </w:rPr>
      </w:pPr>
      <w:r>
        <w:rPr>
          <w:rFonts w:hAnsi="Times New Roman" w:eastAsia="宋体"/>
          <w:szCs w:val="24"/>
          <w:lang w:eastAsia="zh-CN"/>
        </w:rPr>
        <w:t>根据走访和</w:t>
      </w:r>
      <w:r>
        <w:rPr>
          <w:rFonts w:hint="eastAsia" w:hAnsi="Times New Roman" w:eastAsia="宋体"/>
          <w:szCs w:val="24"/>
          <w:lang w:eastAsia="zh-CN"/>
        </w:rPr>
        <w:t>实地考察</w:t>
      </w:r>
      <w:r>
        <w:rPr>
          <w:rFonts w:hAnsi="Times New Roman" w:eastAsia="宋体"/>
          <w:szCs w:val="24"/>
          <w:lang w:eastAsia="zh-CN"/>
        </w:rPr>
        <w:t>，结合鱼类生物学特性和水文学特征，收集了主要经济鱼类产卵场、越冬场和索饵场的资料。通过分析该区域没有发现鱼类“三场”。本次评价区域水生生物现状调查没有发现珍稀的鱼类资源及其产卵场、越冬场和索饵场以及其他受保护的水生生物。</w:t>
      </w:r>
    </w:p>
    <w:p>
      <w:pPr>
        <w:pStyle w:val="6"/>
        <w:rPr>
          <w:lang w:eastAsia="zh-CN"/>
        </w:rPr>
      </w:pPr>
      <w:bookmarkStart w:id="193" w:name="_Toc163812557"/>
      <w:bookmarkStart w:id="194" w:name="_Toc167095180"/>
      <w:r>
        <w:rPr>
          <w:lang w:eastAsia="zh-CN"/>
        </w:rPr>
        <w:t>4.2.</w:t>
      </w:r>
      <w:r>
        <w:rPr>
          <w:rFonts w:hint="eastAsia"/>
          <w:lang w:eastAsia="zh-CN"/>
        </w:rPr>
        <w:t xml:space="preserve">6 </w:t>
      </w:r>
      <w:r>
        <w:rPr>
          <w:lang w:eastAsia="zh-CN"/>
        </w:rPr>
        <w:t>生态系统现状调查</w:t>
      </w:r>
      <w:bookmarkEnd w:id="193"/>
      <w:bookmarkEnd w:id="194"/>
    </w:p>
    <w:p>
      <w:pPr>
        <w:spacing w:line="360" w:lineRule="auto"/>
        <w:ind w:firstLine="536" w:firstLineChars="200"/>
        <w:rPr>
          <w:rFonts w:hAnsi="Times New Roman" w:eastAsia="宋体"/>
          <w:spacing w:val="9"/>
          <w:szCs w:val="24"/>
        </w:rPr>
      </w:pPr>
      <w:bookmarkStart w:id="195" w:name="_Toc3003"/>
      <w:r>
        <w:rPr>
          <w:rFonts w:hAnsi="Times New Roman" w:eastAsia="宋体"/>
          <w:spacing w:val="14"/>
          <w:szCs w:val="24"/>
        </w:rPr>
        <w:t>以野外</w:t>
      </w:r>
      <w:r>
        <w:rPr>
          <w:rFonts w:hAnsi="Times New Roman" w:eastAsia="宋体"/>
          <w:spacing w:val="7"/>
          <w:szCs w:val="24"/>
        </w:rPr>
        <w:t>调查为主，综合科学考察报告和监测根据遥感解译和实地调查，重点评价区</w:t>
      </w:r>
      <w:r>
        <w:rPr>
          <w:rFonts w:hAnsi="Times New Roman" w:eastAsia="宋体"/>
          <w:spacing w:val="12"/>
          <w:szCs w:val="24"/>
        </w:rPr>
        <w:t>主要有</w:t>
      </w:r>
      <w:r>
        <w:rPr>
          <w:rFonts w:hAnsi="Times New Roman" w:eastAsia="宋体"/>
          <w:spacing w:val="6"/>
          <w:szCs w:val="24"/>
          <w:lang w:eastAsia="zh-CN"/>
        </w:rPr>
        <w:t>6</w:t>
      </w:r>
      <w:r>
        <w:rPr>
          <w:rFonts w:hAnsi="Times New Roman" w:eastAsia="宋体"/>
          <w:spacing w:val="6"/>
          <w:szCs w:val="24"/>
        </w:rPr>
        <w:t>种生态系统类型，分别是森林生态系统、灌丛生态系统、草地生态系统、湿地</w:t>
      </w:r>
      <w:r>
        <w:rPr>
          <w:rFonts w:hAnsi="Times New Roman" w:eastAsia="宋体"/>
          <w:spacing w:val="16"/>
          <w:szCs w:val="24"/>
        </w:rPr>
        <w:t>生态</w:t>
      </w:r>
      <w:r>
        <w:rPr>
          <w:rFonts w:hAnsi="Times New Roman" w:eastAsia="宋体"/>
          <w:spacing w:val="8"/>
          <w:szCs w:val="24"/>
        </w:rPr>
        <w:t>系统、农田生态系统、城镇生态系统，按照生态系统类型Ⅱ级划分，森林生</w:t>
      </w:r>
      <w:r>
        <w:rPr>
          <w:rFonts w:hAnsi="Times New Roman" w:eastAsia="宋体"/>
          <w:spacing w:val="16"/>
          <w:szCs w:val="24"/>
        </w:rPr>
        <w:t>态系</w:t>
      </w:r>
      <w:r>
        <w:rPr>
          <w:rFonts w:hAnsi="Times New Roman" w:eastAsia="宋体"/>
          <w:spacing w:val="8"/>
          <w:szCs w:val="24"/>
        </w:rPr>
        <w:t>统包括阔叶林、针叶林，灌丛生态系统包括阔叶灌丛，草地生态系统</w:t>
      </w:r>
      <w:r>
        <w:rPr>
          <w:rFonts w:hAnsi="Times New Roman" w:eastAsia="宋体"/>
          <w:spacing w:val="16"/>
          <w:szCs w:val="24"/>
        </w:rPr>
        <w:t>为草</w:t>
      </w:r>
      <w:r>
        <w:rPr>
          <w:rFonts w:hAnsi="Times New Roman" w:eastAsia="宋体"/>
          <w:spacing w:val="8"/>
          <w:szCs w:val="24"/>
        </w:rPr>
        <w:t>丛，湿地生态系统为河流，农田生态系统为耕地和园地，城镇生态系统为</w:t>
      </w:r>
      <w:r>
        <w:rPr>
          <w:rFonts w:hint="eastAsia" w:hAnsi="Times New Roman" w:eastAsia="宋体"/>
          <w:spacing w:val="8"/>
          <w:szCs w:val="24"/>
          <w:lang w:eastAsia="zh-CN"/>
        </w:rPr>
        <w:t>工矿交通</w:t>
      </w:r>
      <w:r>
        <w:rPr>
          <w:rFonts w:hAnsi="Times New Roman" w:eastAsia="宋体"/>
          <w:spacing w:val="16"/>
          <w:szCs w:val="24"/>
        </w:rPr>
        <w:t>地和</w:t>
      </w:r>
      <w:r>
        <w:rPr>
          <w:rFonts w:hAnsi="Times New Roman" w:eastAsia="宋体"/>
          <w:spacing w:val="8"/>
          <w:szCs w:val="24"/>
        </w:rPr>
        <w:t>居住地。本次评价采用景观生态学的理论及相关研究方法对评价区生态系统优势度进行评价</w:t>
      </w:r>
      <w:r>
        <w:rPr>
          <w:rFonts w:hAnsi="Times New Roman" w:eastAsia="宋体"/>
          <w:spacing w:val="4"/>
          <w:szCs w:val="24"/>
        </w:rPr>
        <w:t>，将生态系统类型作为景观单元，利用景观生态学的方法对各景观单元的结构、</w:t>
      </w:r>
      <w:r>
        <w:rPr>
          <w:rFonts w:hAnsi="Times New Roman" w:eastAsia="宋体"/>
          <w:spacing w:val="18"/>
          <w:szCs w:val="24"/>
        </w:rPr>
        <w:t>功</w:t>
      </w:r>
      <w:r>
        <w:rPr>
          <w:rFonts w:hAnsi="Times New Roman" w:eastAsia="宋体"/>
          <w:spacing w:val="15"/>
          <w:szCs w:val="24"/>
        </w:rPr>
        <w:t>能</w:t>
      </w:r>
      <w:r>
        <w:rPr>
          <w:rFonts w:hAnsi="Times New Roman" w:eastAsia="宋体"/>
          <w:spacing w:val="9"/>
          <w:szCs w:val="24"/>
        </w:rPr>
        <w:t>与稳定性等方面进行分析、比较，为项目的宏观、整体评价提供依据。</w:t>
      </w:r>
    </w:p>
    <w:p>
      <w:pPr>
        <w:pStyle w:val="14"/>
        <w:spacing w:line="240" w:lineRule="auto"/>
        <w:ind w:left="480" w:firstLine="405"/>
        <w:jc w:val="center"/>
        <w:rPr>
          <w:rFonts w:ascii="Times New Roman" w:hAnsi="Times New Roman"/>
          <w:b/>
          <w:bCs w:val="0"/>
          <w:kern w:val="0"/>
          <w:sz w:val="21"/>
          <w:szCs w:val="21"/>
          <w:lang w:eastAsia="zh-CN"/>
        </w:rPr>
      </w:pPr>
      <w:r>
        <w:rPr>
          <w:rFonts w:ascii="Times New Roman" w:hAnsi="Times New Roman"/>
          <w:b/>
          <w:bCs w:val="0"/>
          <w:kern w:val="0"/>
          <w:sz w:val="21"/>
          <w:szCs w:val="21"/>
          <w:lang w:eastAsia="zh-CN"/>
        </w:rPr>
        <w:t>表</w:t>
      </w:r>
      <w:r>
        <w:rPr>
          <w:rFonts w:hint="eastAsia" w:ascii="Times New Roman" w:hAnsi="Times New Roman"/>
          <w:b/>
          <w:bCs w:val="0"/>
          <w:kern w:val="0"/>
          <w:sz w:val="21"/>
          <w:szCs w:val="21"/>
          <w:lang w:eastAsia="zh-CN"/>
        </w:rPr>
        <w:t xml:space="preserve">4.2-12 </w:t>
      </w:r>
      <w:r>
        <w:rPr>
          <w:rFonts w:ascii="Times New Roman" w:hAnsi="Times New Roman"/>
          <w:b/>
          <w:bCs w:val="0"/>
          <w:kern w:val="0"/>
          <w:sz w:val="21"/>
          <w:szCs w:val="21"/>
          <w:lang w:eastAsia="zh-CN"/>
        </w:rPr>
        <w:t>评价区生态系统面积</w:t>
      </w:r>
    </w:p>
    <w:tbl>
      <w:tblPr>
        <w:tblStyle w:val="33"/>
        <w:tblW w:w="5000" w:type="pct"/>
        <w:jc w:val="center"/>
        <w:tblLayout w:type="autofit"/>
        <w:tblCellMar>
          <w:top w:w="0" w:type="dxa"/>
          <w:left w:w="108" w:type="dxa"/>
          <w:bottom w:w="0" w:type="dxa"/>
          <w:right w:w="108" w:type="dxa"/>
        </w:tblCellMar>
      </w:tblPr>
      <w:tblGrid>
        <w:gridCol w:w="2820"/>
        <w:gridCol w:w="2824"/>
        <w:gridCol w:w="1660"/>
        <w:gridCol w:w="2039"/>
      </w:tblGrid>
      <w:tr>
        <w:tblPrEx>
          <w:tblCellMar>
            <w:top w:w="0" w:type="dxa"/>
            <w:left w:w="108" w:type="dxa"/>
            <w:bottom w:w="0" w:type="dxa"/>
            <w:right w:w="108" w:type="dxa"/>
          </w:tblCellMar>
        </w:tblPrEx>
        <w:trPr>
          <w:trHeight w:val="540" w:hRule="atLeast"/>
          <w:jc w:val="center"/>
        </w:trPr>
        <w:tc>
          <w:tcPr>
            <w:tcW w:w="150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生态系统类型Ⅰ级</w:t>
            </w:r>
          </w:p>
        </w:tc>
        <w:tc>
          <w:tcPr>
            <w:tcW w:w="151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生态系统类型Ⅱ级</w:t>
            </w:r>
          </w:p>
        </w:tc>
        <w:tc>
          <w:tcPr>
            <w:tcW w:w="888"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rPr>
              <w:t>面积</w:t>
            </w:r>
            <w:r>
              <w:rPr>
                <w:rFonts w:hint="eastAsia" w:hAnsi="Times New Roman" w:eastAsia="宋体"/>
                <w:kern w:val="2"/>
                <w:sz w:val="21"/>
                <w:szCs w:val="21"/>
                <w:lang w:eastAsia="zh-CN"/>
              </w:rPr>
              <w:t>（</w:t>
            </w:r>
            <w:r>
              <w:rPr>
                <w:rFonts w:hint="eastAsia" w:hAnsi="Times New Roman" w:eastAsia="宋体"/>
                <w:kern w:val="2"/>
                <w:sz w:val="21"/>
                <w:szCs w:val="21"/>
              </w:rPr>
              <w:t>hm</w:t>
            </w:r>
            <w:r>
              <w:rPr>
                <w:rFonts w:hint="eastAsia" w:hAnsi="Times New Roman" w:eastAsia="宋体"/>
                <w:kern w:val="2"/>
                <w:sz w:val="21"/>
                <w:szCs w:val="21"/>
                <w:vertAlign w:val="superscript"/>
              </w:rPr>
              <w:t>2</w:t>
            </w:r>
            <w:r>
              <w:rPr>
                <w:rFonts w:hint="eastAsia" w:hAnsi="Times New Roman" w:eastAsia="宋体"/>
                <w:kern w:val="2"/>
                <w:sz w:val="21"/>
                <w:szCs w:val="21"/>
                <w:lang w:eastAsia="zh-CN"/>
              </w:rPr>
              <w:t>）</w:t>
            </w:r>
          </w:p>
        </w:tc>
        <w:tc>
          <w:tcPr>
            <w:tcW w:w="109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rPr>
              <w:t>面积比例</w:t>
            </w:r>
            <w:r>
              <w:rPr>
                <w:rFonts w:hint="eastAsia" w:hAnsi="Times New Roman" w:eastAsia="宋体"/>
                <w:kern w:val="2"/>
                <w:sz w:val="21"/>
                <w:szCs w:val="21"/>
                <w:lang w:eastAsia="zh-CN"/>
              </w:rPr>
              <w:t>（</w:t>
            </w:r>
            <w:r>
              <w:rPr>
                <w:rFonts w:hint="eastAsia" w:hAnsi="Times New Roman" w:eastAsia="宋体"/>
                <w:kern w:val="2"/>
                <w:sz w:val="21"/>
                <w:szCs w:val="21"/>
              </w:rPr>
              <w:t>%</w:t>
            </w:r>
            <w:r>
              <w:rPr>
                <w:rFonts w:hint="eastAsia" w:hAnsi="Times New Roman" w:eastAsia="宋体"/>
                <w:kern w:val="2"/>
                <w:sz w:val="21"/>
                <w:szCs w:val="21"/>
                <w:lang w:eastAsia="zh-CN"/>
              </w:rPr>
              <w:t>）</w:t>
            </w:r>
          </w:p>
        </w:tc>
      </w:tr>
      <w:tr>
        <w:tblPrEx>
          <w:tblCellMar>
            <w:top w:w="0" w:type="dxa"/>
            <w:left w:w="108" w:type="dxa"/>
            <w:bottom w:w="0" w:type="dxa"/>
            <w:right w:w="108" w:type="dxa"/>
          </w:tblCellMar>
        </w:tblPrEx>
        <w:trPr>
          <w:trHeight w:val="444" w:hRule="atLeast"/>
          <w:jc w:val="center"/>
        </w:trPr>
        <w:tc>
          <w:tcPr>
            <w:tcW w:w="150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森林生态系统</w:t>
            </w:r>
          </w:p>
        </w:tc>
        <w:tc>
          <w:tcPr>
            <w:tcW w:w="151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针叶林</w:t>
            </w:r>
          </w:p>
        </w:tc>
        <w:tc>
          <w:tcPr>
            <w:tcW w:w="888"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 xml:space="preserve">845.1922 </w:t>
            </w:r>
          </w:p>
        </w:tc>
        <w:tc>
          <w:tcPr>
            <w:tcW w:w="109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63.75</w:t>
            </w:r>
          </w:p>
        </w:tc>
      </w:tr>
      <w:tr>
        <w:tblPrEx>
          <w:tblCellMar>
            <w:top w:w="0" w:type="dxa"/>
            <w:left w:w="108" w:type="dxa"/>
            <w:bottom w:w="0" w:type="dxa"/>
            <w:right w:w="108" w:type="dxa"/>
          </w:tblCellMar>
        </w:tblPrEx>
        <w:trPr>
          <w:trHeight w:val="301" w:hRule="atLeast"/>
          <w:jc w:val="center"/>
        </w:trPr>
        <w:tc>
          <w:tcPr>
            <w:tcW w:w="150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灌丛生态系统</w:t>
            </w:r>
          </w:p>
        </w:tc>
        <w:tc>
          <w:tcPr>
            <w:tcW w:w="151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阔叶灌丛</w:t>
            </w:r>
          </w:p>
        </w:tc>
        <w:tc>
          <w:tcPr>
            <w:tcW w:w="888"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 xml:space="preserve">202.2133 </w:t>
            </w:r>
          </w:p>
        </w:tc>
        <w:tc>
          <w:tcPr>
            <w:tcW w:w="109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15.25</w:t>
            </w:r>
          </w:p>
        </w:tc>
      </w:tr>
      <w:tr>
        <w:tblPrEx>
          <w:tblCellMar>
            <w:top w:w="0" w:type="dxa"/>
            <w:left w:w="108" w:type="dxa"/>
            <w:bottom w:w="0" w:type="dxa"/>
            <w:right w:w="108" w:type="dxa"/>
          </w:tblCellMar>
        </w:tblPrEx>
        <w:trPr>
          <w:trHeight w:val="278" w:hRule="atLeast"/>
          <w:jc w:val="center"/>
        </w:trPr>
        <w:tc>
          <w:tcPr>
            <w:tcW w:w="150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草地生态系统</w:t>
            </w:r>
          </w:p>
        </w:tc>
        <w:tc>
          <w:tcPr>
            <w:tcW w:w="151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草丛</w:t>
            </w:r>
          </w:p>
        </w:tc>
        <w:tc>
          <w:tcPr>
            <w:tcW w:w="888"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 xml:space="preserve">17.9137 </w:t>
            </w:r>
          </w:p>
        </w:tc>
        <w:tc>
          <w:tcPr>
            <w:tcW w:w="109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1.35</w:t>
            </w:r>
          </w:p>
        </w:tc>
      </w:tr>
      <w:tr>
        <w:tblPrEx>
          <w:tblCellMar>
            <w:top w:w="0" w:type="dxa"/>
            <w:left w:w="108" w:type="dxa"/>
            <w:bottom w:w="0" w:type="dxa"/>
            <w:right w:w="108" w:type="dxa"/>
          </w:tblCellMar>
        </w:tblPrEx>
        <w:trPr>
          <w:trHeight w:val="278" w:hRule="atLeast"/>
          <w:jc w:val="center"/>
        </w:trPr>
        <w:tc>
          <w:tcPr>
            <w:tcW w:w="150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湿地生态系统</w:t>
            </w:r>
          </w:p>
        </w:tc>
        <w:tc>
          <w:tcPr>
            <w:tcW w:w="151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河流</w:t>
            </w:r>
          </w:p>
        </w:tc>
        <w:tc>
          <w:tcPr>
            <w:tcW w:w="888"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 xml:space="preserve">12.0161 </w:t>
            </w:r>
          </w:p>
        </w:tc>
        <w:tc>
          <w:tcPr>
            <w:tcW w:w="109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0.91</w:t>
            </w:r>
          </w:p>
        </w:tc>
      </w:tr>
      <w:tr>
        <w:tblPrEx>
          <w:tblCellMar>
            <w:top w:w="0" w:type="dxa"/>
            <w:left w:w="108" w:type="dxa"/>
            <w:bottom w:w="0" w:type="dxa"/>
            <w:right w:w="108" w:type="dxa"/>
          </w:tblCellMar>
        </w:tblPrEx>
        <w:trPr>
          <w:trHeight w:val="166" w:hRule="atLeast"/>
          <w:jc w:val="center"/>
        </w:trPr>
        <w:tc>
          <w:tcPr>
            <w:tcW w:w="150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农田生态系统</w:t>
            </w:r>
          </w:p>
        </w:tc>
        <w:tc>
          <w:tcPr>
            <w:tcW w:w="151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耕地</w:t>
            </w:r>
          </w:p>
        </w:tc>
        <w:tc>
          <w:tcPr>
            <w:tcW w:w="888"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 xml:space="preserve">199.9649 </w:t>
            </w:r>
          </w:p>
        </w:tc>
        <w:tc>
          <w:tcPr>
            <w:tcW w:w="109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15.08</w:t>
            </w:r>
          </w:p>
        </w:tc>
      </w:tr>
      <w:tr>
        <w:tblPrEx>
          <w:tblCellMar>
            <w:top w:w="0" w:type="dxa"/>
            <w:left w:w="108" w:type="dxa"/>
            <w:bottom w:w="0" w:type="dxa"/>
            <w:right w:w="108" w:type="dxa"/>
          </w:tblCellMar>
        </w:tblPrEx>
        <w:trPr>
          <w:trHeight w:val="278" w:hRule="atLeast"/>
          <w:jc w:val="center"/>
        </w:trPr>
        <w:tc>
          <w:tcPr>
            <w:tcW w:w="1509"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城镇生态系统</w:t>
            </w:r>
          </w:p>
        </w:tc>
        <w:tc>
          <w:tcPr>
            <w:tcW w:w="151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工矿交通</w:t>
            </w:r>
          </w:p>
        </w:tc>
        <w:tc>
          <w:tcPr>
            <w:tcW w:w="888"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 xml:space="preserve">25.2209 </w:t>
            </w:r>
          </w:p>
        </w:tc>
        <w:tc>
          <w:tcPr>
            <w:tcW w:w="109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1.90</w:t>
            </w:r>
          </w:p>
        </w:tc>
      </w:tr>
      <w:tr>
        <w:tblPrEx>
          <w:tblCellMar>
            <w:top w:w="0" w:type="dxa"/>
            <w:left w:w="108" w:type="dxa"/>
            <w:bottom w:w="0" w:type="dxa"/>
            <w:right w:w="108" w:type="dxa"/>
          </w:tblCellMar>
        </w:tblPrEx>
        <w:trPr>
          <w:trHeight w:val="278" w:hRule="atLeast"/>
          <w:jc w:val="center"/>
        </w:trPr>
        <w:tc>
          <w:tcPr>
            <w:tcW w:w="1509" w:type="pct"/>
            <w:vMerge w:val="continue"/>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p>
        </w:tc>
        <w:tc>
          <w:tcPr>
            <w:tcW w:w="151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居住地</w:t>
            </w:r>
          </w:p>
        </w:tc>
        <w:tc>
          <w:tcPr>
            <w:tcW w:w="888"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 xml:space="preserve">23.1792 </w:t>
            </w:r>
          </w:p>
        </w:tc>
        <w:tc>
          <w:tcPr>
            <w:tcW w:w="109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1.75</w:t>
            </w:r>
          </w:p>
        </w:tc>
      </w:tr>
      <w:tr>
        <w:tblPrEx>
          <w:tblCellMar>
            <w:top w:w="0" w:type="dxa"/>
            <w:left w:w="108" w:type="dxa"/>
            <w:bottom w:w="0" w:type="dxa"/>
            <w:right w:w="108" w:type="dxa"/>
          </w:tblCellMar>
        </w:tblPrEx>
        <w:trPr>
          <w:trHeight w:val="278" w:hRule="atLeast"/>
          <w:jc w:val="center"/>
        </w:trPr>
        <w:tc>
          <w:tcPr>
            <w:tcW w:w="3020" w:type="pct"/>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合计</w:t>
            </w:r>
          </w:p>
        </w:tc>
        <w:tc>
          <w:tcPr>
            <w:tcW w:w="15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 xml:space="preserve">1325.7002 </w:t>
            </w:r>
          </w:p>
        </w:tc>
        <w:tc>
          <w:tcPr>
            <w:tcW w:w="109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100</w:t>
            </w:r>
          </w:p>
        </w:tc>
      </w:tr>
    </w:tbl>
    <w:p>
      <w:pPr>
        <w:spacing w:line="360" w:lineRule="auto"/>
        <w:ind w:firstLine="480" w:firstLineChars="200"/>
        <w:rPr>
          <w:rFonts w:hAnsi="Times New Roman" w:eastAsia="宋体"/>
          <w:szCs w:val="24"/>
        </w:rPr>
      </w:pPr>
      <w:r>
        <w:rPr>
          <w:rFonts w:hAnsi="Times New Roman" w:eastAsia="宋体"/>
          <w:szCs w:val="24"/>
        </w:rPr>
        <w:t>（1）森林生态系统</w:t>
      </w:r>
    </w:p>
    <w:p>
      <w:pPr>
        <w:spacing w:line="360" w:lineRule="auto"/>
        <w:ind w:firstLine="480" w:firstLineChars="200"/>
        <w:rPr>
          <w:rFonts w:hAnsi="Times New Roman" w:eastAsia="宋体"/>
          <w:szCs w:val="24"/>
        </w:rPr>
      </w:pPr>
      <w:r>
        <w:rPr>
          <w:rFonts w:hAnsi="Times New Roman" w:eastAsia="宋体"/>
          <w:szCs w:val="24"/>
        </w:rPr>
        <w:t>森林生态系统是森林群落与其环境在功能流的作用下形成一定结构、功能和自调控的自然综合体，是陆地生态系统中面积最多、最重要的自然生态系统。根据现场踏勘结合遥感影像解译，森林生态系统面积</w:t>
      </w:r>
      <w:r>
        <w:rPr>
          <w:rFonts w:hAnsi="Times New Roman" w:eastAsia="宋体"/>
          <w:szCs w:val="24"/>
          <w:lang w:eastAsia="zh-CN" w:bidi="ar"/>
        </w:rPr>
        <w:t>845.1922</w:t>
      </w:r>
      <w:r>
        <w:rPr>
          <w:rFonts w:hAnsi="Times New Roman" w:eastAsia="宋体"/>
          <w:szCs w:val="24"/>
        </w:rPr>
        <w:t>hm</w:t>
      </w:r>
      <w:r>
        <w:rPr>
          <w:rFonts w:hAnsi="Times New Roman" w:eastAsia="宋体"/>
          <w:szCs w:val="24"/>
          <w:vertAlign w:val="superscript"/>
        </w:rPr>
        <w:t>2</w:t>
      </w:r>
      <w:r>
        <w:rPr>
          <w:rFonts w:hAnsi="Times New Roman" w:eastAsia="宋体"/>
          <w:szCs w:val="24"/>
        </w:rPr>
        <w:t>，占评价区总面积的</w:t>
      </w:r>
      <w:r>
        <w:rPr>
          <w:rFonts w:hAnsi="Times New Roman" w:eastAsia="宋体"/>
          <w:szCs w:val="24"/>
          <w:lang w:eastAsia="zh-CN"/>
        </w:rPr>
        <w:t>63.75</w:t>
      </w:r>
      <w:r>
        <w:rPr>
          <w:rFonts w:hAnsi="Times New Roman" w:eastAsia="宋体"/>
          <w:szCs w:val="24"/>
        </w:rPr>
        <w:t>%。</w:t>
      </w:r>
    </w:p>
    <w:p>
      <w:pPr>
        <w:numPr>
          <w:ilvl w:val="0"/>
          <w:numId w:val="2"/>
        </w:numPr>
        <w:spacing w:line="360" w:lineRule="auto"/>
        <w:ind w:left="0" w:firstLine="480" w:firstLineChars="200"/>
        <w:rPr>
          <w:rFonts w:hAnsi="Times New Roman" w:eastAsia="宋体"/>
          <w:szCs w:val="24"/>
        </w:rPr>
      </w:pPr>
      <w:r>
        <w:rPr>
          <w:rFonts w:hAnsi="Times New Roman" w:eastAsia="宋体"/>
          <w:szCs w:val="24"/>
        </w:rPr>
        <w:t>植被现状</w:t>
      </w:r>
    </w:p>
    <w:p>
      <w:pPr>
        <w:spacing w:line="360" w:lineRule="auto"/>
        <w:ind w:firstLine="480" w:firstLineChars="200"/>
        <w:rPr>
          <w:rFonts w:hAnsi="Times New Roman" w:eastAsia="宋体"/>
          <w:szCs w:val="24"/>
        </w:rPr>
      </w:pPr>
      <w:r>
        <w:rPr>
          <w:rFonts w:hAnsi="Times New Roman" w:eastAsia="宋体"/>
          <w:szCs w:val="24"/>
        </w:rPr>
        <w:t>评价区内的森林主要为</w:t>
      </w:r>
      <w:r>
        <w:rPr>
          <w:rFonts w:hAnsi="Times New Roman" w:eastAsia="宋体"/>
          <w:szCs w:val="24"/>
          <w:lang w:eastAsia="zh-CN"/>
        </w:rPr>
        <w:t>针叶林组成，柏木、马尾松</w:t>
      </w:r>
      <w:r>
        <w:rPr>
          <w:rFonts w:hAnsi="Times New Roman" w:eastAsia="宋体"/>
          <w:szCs w:val="24"/>
        </w:rPr>
        <w:t>典型树种，在评价范围内</w:t>
      </w:r>
      <w:r>
        <w:rPr>
          <w:rFonts w:hAnsi="Times New Roman" w:eastAsia="宋体"/>
          <w:szCs w:val="24"/>
          <w:lang w:eastAsia="zh-CN"/>
        </w:rPr>
        <w:t>广泛</w:t>
      </w:r>
      <w:r>
        <w:rPr>
          <w:rFonts w:hAnsi="Times New Roman" w:eastAsia="宋体"/>
          <w:szCs w:val="24"/>
        </w:rPr>
        <w:t>分布。</w:t>
      </w:r>
    </w:p>
    <w:p>
      <w:pPr>
        <w:numPr>
          <w:ilvl w:val="0"/>
          <w:numId w:val="2"/>
        </w:numPr>
        <w:spacing w:line="360" w:lineRule="auto"/>
        <w:ind w:left="0" w:firstLine="480" w:firstLineChars="200"/>
        <w:rPr>
          <w:rFonts w:hAnsi="Times New Roman" w:eastAsia="宋体"/>
          <w:szCs w:val="24"/>
        </w:rPr>
      </w:pPr>
      <w:r>
        <w:rPr>
          <w:rFonts w:hAnsi="Times New Roman" w:eastAsia="宋体"/>
          <w:szCs w:val="24"/>
        </w:rPr>
        <w:t>动物现状</w:t>
      </w:r>
    </w:p>
    <w:p>
      <w:pPr>
        <w:spacing w:line="360" w:lineRule="auto"/>
        <w:ind w:firstLine="480" w:firstLineChars="200"/>
        <w:rPr>
          <w:rFonts w:hAnsi="Times New Roman" w:eastAsia="宋体"/>
          <w:szCs w:val="24"/>
        </w:rPr>
      </w:pPr>
      <w:r>
        <w:rPr>
          <w:rFonts w:hAnsi="Times New Roman" w:eastAsia="宋体"/>
          <w:szCs w:val="24"/>
        </w:rPr>
        <w:t>森林生态系统及其林下灌丛由于植物的多样性和富于层次的结构，为鸟类、兽类和其它动物提供了丰富的栖息地和食物，是其生存、生活的天然场所。森林生态系统内多种多样的鸟类是各类生态系统中最重要的动物种类之一，生活其中的鸟类有珠颈斑鸠、</w:t>
      </w:r>
      <w:r>
        <w:rPr>
          <w:rFonts w:hAnsi="Times New Roman" w:eastAsia="宋体"/>
          <w:szCs w:val="24"/>
          <w:lang w:eastAsia="zh-CN"/>
        </w:rPr>
        <w:t>麻雀、</w:t>
      </w:r>
      <w:r>
        <w:rPr>
          <w:rFonts w:hAnsi="Times New Roman" w:eastAsia="宋体"/>
          <w:szCs w:val="24"/>
        </w:rPr>
        <w:t>莺类等，兽类有</w:t>
      </w:r>
      <w:r>
        <w:rPr>
          <w:rFonts w:hAnsi="Times New Roman" w:eastAsia="宋体"/>
          <w:szCs w:val="24"/>
          <w:lang w:eastAsia="zh-CN"/>
        </w:rPr>
        <w:t>大足鼠、褐家鼠</w:t>
      </w:r>
      <w:r>
        <w:rPr>
          <w:rFonts w:hAnsi="Times New Roman" w:eastAsia="宋体"/>
          <w:szCs w:val="24"/>
        </w:rPr>
        <w:t>等，两栖类有</w:t>
      </w:r>
      <w:r>
        <w:rPr>
          <w:rFonts w:hAnsi="Times New Roman" w:eastAsia="宋体"/>
          <w:szCs w:val="24"/>
          <w:lang w:eastAsia="zh-CN"/>
        </w:rPr>
        <w:t>泽陆蛙、</w:t>
      </w:r>
      <w:r>
        <w:rPr>
          <w:rFonts w:hAnsi="Times New Roman" w:eastAsia="宋体"/>
          <w:spacing w:val="8"/>
          <w:szCs w:val="24"/>
        </w:rPr>
        <w:t>黑斑侧褶蛙</w:t>
      </w:r>
      <w:r>
        <w:rPr>
          <w:rFonts w:hAnsi="Times New Roman" w:eastAsia="宋体"/>
          <w:szCs w:val="24"/>
        </w:rPr>
        <w:t>等，爬行类有乌梢蛇</w:t>
      </w:r>
      <w:r>
        <w:rPr>
          <w:rFonts w:hAnsi="Times New Roman" w:eastAsia="宋体"/>
          <w:szCs w:val="24"/>
          <w:lang w:eastAsia="zh-CN"/>
        </w:rPr>
        <w:t>、王锦蛇</w:t>
      </w:r>
      <w:r>
        <w:rPr>
          <w:rFonts w:hAnsi="Times New Roman" w:eastAsia="宋体"/>
          <w:szCs w:val="24"/>
        </w:rPr>
        <w:t>等。</w:t>
      </w:r>
    </w:p>
    <w:p>
      <w:pPr>
        <w:numPr>
          <w:ilvl w:val="0"/>
          <w:numId w:val="2"/>
        </w:numPr>
        <w:spacing w:line="360" w:lineRule="auto"/>
        <w:ind w:left="0" w:firstLine="480" w:firstLineChars="200"/>
        <w:rPr>
          <w:rFonts w:hAnsi="Times New Roman" w:eastAsia="宋体"/>
          <w:szCs w:val="24"/>
        </w:rPr>
      </w:pPr>
      <w:r>
        <w:rPr>
          <w:rFonts w:hAnsi="Times New Roman" w:eastAsia="宋体"/>
          <w:szCs w:val="24"/>
        </w:rPr>
        <w:t>生态功能</w:t>
      </w:r>
    </w:p>
    <w:p>
      <w:pPr>
        <w:spacing w:line="360" w:lineRule="auto"/>
        <w:ind w:firstLine="480" w:firstLineChars="200"/>
        <w:rPr>
          <w:rFonts w:hAnsi="Times New Roman" w:eastAsia="宋体"/>
          <w:szCs w:val="24"/>
        </w:rPr>
      </w:pPr>
      <w:r>
        <w:rPr>
          <w:rFonts w:hAnsi="Times New Roman" w:eastAsia="宋体"/>
          <w:szCs w:val="24"/>
        </w:rPr>
        <w:t>森林是自然生态系统的主要类型，其生态服务功能主要有：光能利用、调节气温、涵养水源、改良土壤、水土保持、净化环境、孕育和保存生物多样性。森林的主要成分有生产者植物，消费者动物以及作为分解者的微生物等，是哺乳动物和鸟类的主要栖息地。森林生态系统中最重要的非生物因子是气候和土壤，气候中降水和气温是最重要的两个因子。森林中林下常有较多枯枝落叶，枯枝落叶的存在，对于生态系统水、氮、钙、磷等物质循环以及涵养水源的功能，有十分重要的意义。无论是从面积和生产力来看，还是从生态系统的物质循环来看，森林都是评价区最重要的生态系统之一。</w:t>
      </w:r>
    </w:p>
    <w:p>
      <w:pPr>
        <w:spacing w:line="360" w:lineRule="auto"/>
        <w:ind w:firstLine="480" w:firstLineChars="200"/>
        <w:rPr>
          <w:rFonts w:hAnsi="Times New Roman" w:eastAsia="宋体"/>
          <w:szCs w:val="24"/>
        </w:rPr>
      </w:pPr>
      <w:r>
        <w:rPr>
          <w:rFonts w:hAnsi="Times New Roman" w:eastAsia="宋体"/>
          <w:szCs w:val="24"/>
        </w:rPr>
        <w:t>（2）灌丛生态系统</w:t>
      </w:r>
    </w:p>
    <w:p>
      <w:pPr>
        <w:spacing w:line="360" w:lineRule="auto"/>
        <w:ind w:firstLine="480" w:firstLineChars="200"/>
        <w:rPr>
          <w:rFonts w:hAnsi="Times New Roman" w:eastAsia="宋体"/>
          <w:szCs w:val="24"/>
        </w:rPr>
      </w:pPr>
      <w:r>
        <w:rPr>
          <w:rFonts w:hAnsi="Times New Roman" w:eastAsia="宋体"/>
          <w:szCs w:val="24"/>
        </w:rPr>
        <w:t>灌丛生态系统是灌丛群落与其环境在功能流的作用下形成一定结构、功能和自调控的自然综合体，是评价区所属区域特殊的气候条件所形成的一种生态系统。根据现场踏勘结合遥感影像解译，评价区的灌丛生态系统总面积</w:t>
      </w:r>
      <w:r>
        <w:rPr>
          <w:rFonts w:hAnsi="Times New Roman" w:eastAsia="宋体"/>
          <w:szCs w:val="24"/>
          <w:lang w:eastAsia="zh-CN" w:bidi="ar"/>
        </w:rPr>
        <w:t>202.2133</w:t>
      </w:r>
      <w:r>
        <w:rPr>
          <w:rFonts w:hAnsi="Times New Roman" w:eastAsia="宋体"/>
          <w:szCs w:val="24"/>
        </w:rPr>
        <w:t>m</w:t>
      </w:r>
      <w:r>
        <w:rPr>
          <w:rFonts w:hAnsi="Times New Roman" w:eastAsia="宋体"/>
          <w:szCs w:val="24"/>
          <w:vertAlign w:val="superscript"/>
        </w:rPr>
        <w:t>2</w:t>
      </w:r>
      <w:r>
        <w:rPr>
          <w:rFonts w:hAnsi="Times New Roman" w:eastAsia="宋体"/>
          <w:szCs w:val="24"/>
        </w:rPr>
        <w:t>，占评价区总面积的</w:t>
      </w:r>
      <w:r>
        <w:rPr>
          <w:rFonts w:hAnsi="Times New Roman" w:eastAsia="宋体"/>
          <w:szCs w:val="24"/>
          <w:lang w:eastAsia="zh-CN" w:bidi="ar"/>
        </w:rPr>
        <w:t>15.25</w:t>
      </w:r>
      <w:r>
        <w:rPr>
          <w:rFonts w:hAnsi="Times New Roman" w:eastAsia="宋体"/>
          <w:szCs w:val="24"/>
        </w:rPr>
        <w:t>%。虽然灌丛生态系统在多样性方面不及森林生态系统，结构层次性</w:t>
      </w:r>
      <w:r>
        <w:rPr>
          <w:rFonts w:hAnsi="Times New Roman" w:eastAsia="宋体"/>
          <w:szCs w:val="24"/>
          <w:lang w:eastAsia="zh-CN"/>
        </w:rPr>
        <w:t>相对较弱</w:t>
      </w:r>
      <w:r>
        <w:rPr>
          <w:rFonts w:hAnsi="Times New Roman" w:eastAsia="宋体"/>
          <w:szCs w:val="24"/>
        </w:rPr>
        <w:t>，隐蔽性不高，但是相对于</w:t>
      </w:r>
      <w:r>
        <w:rPr>
          <w:rFonts w:hint="eastAsia" w:hAnsi="Times New Roman" w:eastAsia="宋体"/>
          <w:szCs w:val="24"/>
          <w:lang w:eastAsia="zh-CN"/>
        </w:rPr>
        <w:t>其他几类</w:t>
      </w:r>
      <w:r>
        <w:rPr>
          <w:rFonts w:hAnsi="Times New Roman" w:eastAsia="宋体"/>
          <w:szCs w:val="24"/>
        </w:rPr>
        <w:t>生态系统来说，仍是区内生物量和生产力相对较高的生态系统，对生态系统的稳定也起到了重要作用。</w:t>
      </w:r>
    </w:p>
    <w:p>
      <w:pPr>
        <w:numPr>
          <w:ilvl w:val="0"/>
          <w:numId w:val="3"/>
        </w:numPr>
        <w:spacing w:line="360" w:lineRule="auto"/>
        <w:ind w:left="0" w:firstLine="480" w:firstLineChars="200"/>
        <w:rPr>
          <w:rFonts w:hAnsi="Times New Roman" w:eastAsia="宋体"/>
          <w:szCs w:val="24"/>
        </w:rPr>
      </w:pPr>
      <w:r>
        <w:rPr>
          <w:rFonts w:hAnsi="Times New Roman" w:eastAsia="宋体"/>
          <w:szCs w:val="24"/>
        </w:rPr>
        <w:t>植被现状</w:t>
      </w:r>
    </w:p>
    <w:p>
      <w:pPr>
        <w:spacing w:line="360" w:lineRule="auto"/>
        <w:ind w:firstLine="480" w:firstLineChars="200"/>
        <w:rPr>
          <w:rFonts w:hAnsi="Times New Roman" w:eastAsia="宋体"/>
          <w:szCs w:val="24"/>
        </w:rPr>
      </w:pPr>
      <w:r>
        <w:rPr>
          <w:rFonts w:hAnsi="Times New Roman" w:eastAsia="宋体"/>
          <w:szCs w:val="24"/>
        </w:rPr>
        <w:t>评价区内农耕历史悠久，区域灌丛生态系统零星分布。灌丛多为森林砍伐及环境改变后，由阔叶灌木所组成的阔叶灌丛，主要以</w:t>
      </w:r>
      <w:r>
        <w:rPr>
          <w:rFonts w:hAnsi="Times New Roman" w:eastAsia="宋体"/>
          <w:szCs w:val="24"/>
          <w:lang w:eastAsia="zh-CN"/>
        </w:rPr>
        <w:t>川莓、乌藨子、马桑、盐肤木、黄荆、火棘</w:t>
      </w:r>
      <w:r>
        <w:rPr>
          <w:rFonts w:hAnsi="Times New Roman" w:eastAsia="宋体"/>
          <w:szCs w:val="24"/>
        </w:rPr>
        <w:t>为主。</w:t>
      </w:r>
    </w:p>
    <w:p>
      <w:pPr>
        <w:numPr>
          <w:ilvl w:val="0"/>
          <w:numId w:val="3"/>
        </w:numPr>
        <w:spacing w:line="360" w:lineRule="auto"/>
        <w:ind w:left="0" w:firstLine="480" w:firstLineChars="200"/>
        <w:rPr>
          <w:rFonts w:hAnsi="Times New Roman" w:eastAsia="宋体"/>
          <w:szCs w:val="24"/>
        </w:rPr>
      </w:pPr>
      <w:r>
        <w:rPr>
          <w:rFonts w:hAnsi="Times New Roman" w:eastAsia="宋体"/>
          <w:szCs w:val="24"/>
        </w:rPr>
        <w:t>动物现状</w:t>
      </w:r>
    </w:p>
    <w:p>
      <w:pPr>
        <w:spacing w:line="360" w:lineRule="auto"/>
        <w:ind w:firstLine="480" w:firstLineChars="200"/>
        <w:rPr>
          <w:rFonts w:hAnsi="Times New Roman" w:eastAsia="宋体"/>
          <w:szCs w:val="24"/>
        </w:rPr>
      </w:pPr>
      <w:r>
        <w:rPr>
          <w:rFonts w:hAnsi="Times New Roman" w:eastAsia="宋体"/>
          <w:szCs w:val="24"/>
        </w:rPr>
        <w:t>由于灌丛生态系统的结构特征，</w:t>
      </w:r>
      <w:r>
        <w:rPr>
          <w:rFonts w:hint="eastAsia" w:hAnsi="Times New Roman" w:eastAsia="宋体"/>
          <w:szCs w:val="24"/>
          <w:lang w:eastAsia="zh-CN"/>
        </w:rPr>
        <w:t>成为众多</w:t>
      </w:r>
      <w:r>
        <w:rPr>
          <w:rFonts w:hAnsi="Times New Roman" w:eastAsia="宋体"/>
          <w:szCs w:val="24"/>
        </w:rPr>
        <w:t>鸟类、爬行类和小型兽类的良好栖息地。评价区内分布于此生态系统中的常见动物有陆栖-静水型两栖类如</w:t>
      </w:r>
      <w:r>
        <w:rPr>
          <w:rFonts w:hAnsi="Times New Roman" w:eastAsia="宋体"/>
          <w:szCs w:val="24"/>
          <w:lang w:eastAsia="zh-CN"/>
        </w:rPr>
        <w:t>沼蛙</w:t>
      </w:r>
      <w:r>
        <w:rPr>
          <w:rFonts w:hAnsi="Times New Roman" w:eastAsia="宋体"/>
          <w:szCs w:val="24"/>
        </w:rPr>
        <w:t>；鸟类中的大杜鹃、麻雀等；兽类主要有</w:t>
      </w:r>
      <w:r>
        <w:rPr>
          <w:rFonts w:hAnsi="Times New Roman" w:eastAsia="宋体"/>
          <w:szCs w:val="24"/>
          <w:lang w:eastAsia="zh-CN"/>
        </w:rPr>
        <w:t>褐家鼠</w:t>
      </w:r>
      <w:r>
        <w:rPr>
          <w:rFonts w:hAnsi="Times New Roman" w:eastAsia="宋体"/>
          <w:szCs w:val="24"/>
        </w:rPr>
        <w:t>等。</w:t>
      </w:r>
    </w:p>
    <w:p>
      <w:pPr>
        <w:numPr>
          <w:ilvl w:val="0"/>
          <w:numId w:val="3"/>
        </w:numPr>
        <w:spacing w:line="360" w:lineRule="auto"/>
        <w:ind w:left="0" w:firstLine="480" w:firstLineChars="200"/>
        <w:rPr>
          <w:rFonts w:hAnsi="Times New Roman" w:eastAsia="宋体"/>
          <w:szCs w:val="24"/>
        </w:rPr>
      </w:pPr>
      <w:r>
        <w:rPr>
          <w:rFonts w:hAnsi="Times New Roman" w:eastAsia="宋体"/>
          <w:szCs w:val="24"/>
        </w:rPr>
        <w:t>生态功能</w:t>
      </w:r>
    </w:p>
    <w:p>
      <w:pPr>
        <w:spacing w:line="360" w:lineRule="auto"/>
        <w:ind w:firstLine="480" w:firstLineChars="200"/>
        <w:rPr>
          <w:rFonts w:hAnsi="Times New Roman" w:eastAsia="宋体"/>
          <w:szCs w:val="24"/>
        </w:rPr>
      </w:pPr>
      <w:r>
        <w:rPr>
          <w:rFonts w:hAnsi="Times New Roman" w:eastAsia="宋体"/>
          <w:szCs w:val="24"/>
        </w:rPr>
        <w:t>灌丛生态系统与森林生态系统一样，是地球上最重要的陆地生态系统类型之一。灌丛生态系统的生态功能主要表现为气候调节、水源涵养、生物多样性保育、碳固定、侵蚀控制、土壤形成、营养循环、废物处理、生物控制、栖息地、基因资源等。</w:t>
      </w:r>
    </w:p>
    <w:p>
      <w:pPr>
        <w:spacing w:line="360" w:lineRule="auto"/>
        <w:ind w:firstLine="480" w:firstLineChars="200"/>
        <w:rPr>
          <w:rFonts w:hAnsi="Times New Roman" w:eastAsia="宋体"/>
          <w:szCs w:val="24"/>
        </w:rPr>
      </w:pPr>
      <w:r>
        <w:rPr>
          <w:rFonts w:hAnsi="Times New Roman" w:eastAsia="宋体"/>
          <w:szCs w:val="24"/>
        </w:rPr>
        <w:t>（3）草地生态系统</w:t>
      </w:r>
    </w:p>
    <w:p>
      <w:pPr>
        <w:spacing w:line="360" w:lineRule="auto"/>
        <w:ind w:firstLine="480" w:firstLineChars="200"/>
        <w:rPr>
          <w:rFonts w:hAnsi="Times New Roman" w:eastAsia="宋体"/>
          <w:szCs w:val="24"/>
          <w:highlight w:val="yellow"/>
        </w:rPr>
      </w:pPr>
      <w:r>
        <w:rPr>
          <w:rFonts w:hAnsi="Times New Roman" w:eastAsia="宋体"/>
          <w:szCs w:val="24"/>
        </w:rPr>
        <w:t>草地生态系统在评价区占比较少，根据现场踏勘结合遥感影像解译，面积</w:t>
      </w:r>
      <w:r>
        <w:rPr>
          <w:rFonts w:hAnsi="Times New Roman" w:eastAsia="宋体"/>
          <w:szCs w:val="24"/>
          <w:lang w:eastAsia="zh-CN" w:bidi="ar"/>
        </w:rPr>
        <w:t>17.9137</w:t>
      </w:r>
      <w:r>
        <w:rPr>
          <w:rFonts w:hAnsi="Times New Roman" w:eastAsia="宋体"/>
          <w:szCs w:val="24"/>
        </w:rPr>
        <w:t>hm</w:t>
      </w:r>
      <w:r>
        <w:rPr>
          <w:rFonts w:hAnsi="Times New Roman" w:eastAsia="宋体"/>
          <w:szCs w:val="24"/>
          <w:vertAlign w:val="superscript"/>
        </w:rPr>
        <w:t>2</w:t>
      </w:r>
      <w:r>
        <w:rPr>
          <w:rFonts w:hAnsi="Times New Roman" w:eastAsia="宋体"/>
          <w:szCs w:val="24"/>
        </w:rPr>
        <w:t>，占评价区总面</w:t>
      </w:r>
      <w:r>
        <w:rPr>
          <w:rFonts w:hAnsi="Times New Roman" w:eastAsia="宋体"/>
          <w:szCs w:val="24"/>
          <w:lang w:eastAsia="zh-CN"/>
        </w:rPr>
        <w:t>1.35</w:t>
      </w:r>
      <w:r>
        <w:rPr>
          <w:rFonts w:hAnsi="Times New Roman" w:eastAsia="宋体"/>
          <w:szCs w:val="24"/>
        </w:rPr>
        <w:t>%。</w:t>
      </w:r>
    </w:p>
    <w:p>
      <w:pPr>
        <w:numPr>
          <w:ilvl w:val="0"/>
          <w:numId w:val="4"/>
        </w:numPr>
        <w:spacing w:line="360" w:lineRule="auto"/>
        <w:ind w:left="0" w:firstLine="480" w:firstLineChars="200"/>
        <w:rPr>
          <w:rFonts w:hAnsi="Times New Roman" w:eastAsia="宋体"/>
          <w:szCs w:val="24"/>
        </w:rPr>
      </w:pPr>
      <w:r>
        <w:rPr>
          <w:rFonts w:hAnsi="Times New Roman" w:eastAsia="宋体"/>
          <w:szCs w:val="24"/>
        </w:rPr>
        <w:t>植被现状</w:t>
      </w:r>
    </w:p>
    <w:p>
      <w:pPr>
        <w:spacing w:line="360" w:lineRule="auto"/>
        <w:ind w:firstLine="480" w:firstLineChars="200"/>
        <w:rPr>
          <w:rFonts w:hAnsi="Times New Roman" w:eastAsia="宋体"/>
          <w:szCs w:val="24"/>
        </w:rPr>
      </w:pPr>
      <w:r>
        <w:rPr>
          <w:rFonts w:hAnsi="Times New Roman" w:eastAsia="宋体"/>
          <w:szCs w:val="24"/>
        </w:rPr>
        <w:t>评价区的草地生态系统主要为</w:t>
      </w:r>
      <w:r>
        <w:rPr>
          <w:rFonts w:hAnsi="Times New Roman" w:eastAsia="宋体"/>
          <w:szCs w:val="24"/>
          <w:lang w:eastAsia="zh-CN"/>
        </w:rPr>
        <w:t>竹叶草、白茅</w:t>
      </w:r>
      <w:r>
        <w:rPr>
          <w:rFonts w:hAnsi="Times New Roman" w:eastAsia="宋体"/>
          <w:szCs w:val="24"/>
        </w:rPr>
        <w:t>，分布在</w:t>
      </w:r>
      <w:r>
        <w:rPr>
          <w:rFonts w:hAnsi="Times New Roman" w:eastAsia="宋体"/>
          <w:szCs w:val="24"/>
          <w:lang w:eastAsia="zh-CN"/>
        </w:rPr>
        <w:t>林下、</w:t>
      </w:r>
      <w:r>
        <w:rPr>
          <w:rFonts w:hAnsi="Times New Roman" w:eastAsia="宋体"/>
          <w:szCs w:val="24"/>
        </w:rPr>
        <w:t>林地边缘和弃耕的农田中。</w:t>
      </w:r>
    </w:p>
    <w:p>
      <w:pPr>
        <w:numPr>
          <w:ilvl w:val="0"/>
          <w:numId w:val="4"/>
        </w:numPr>
        <w:spacing w:line="360" w:lineRule="auto"/>
        <w:ind w:left="0" w:firstLine="480" w:firstLineChars="200"/>
        <w:rPr>
          <w:rFonts w:hAnsi="Times New Roman" w:eastAsia="宋体"/>
          <w:szCs w:val="24"/>
        </w:rPr>
      </w:pPr>
      <w:r>
        <w:rPr>
          <w:rFonts w:hAnsi="Times New Roman" w:eastAsia="宋体"/>
          <w:szCs w:val="24"/>
        </w:rPr>
        <w:t>动物现状</w:t>
      </w:r>
    </w:p>
    <w:p>
      <w:pPr>
        <w:spacing w:line="360" w:lineRule="auto"/>
        <w:ind w:firstLine="480" w:firstLineChars="200"/>
        <w:rPr>
          <w:rFonts w:hAnsi="Times New Roman" w:eastAsia="宋体"/>
          <w:szCs w:val="24"/>
        </w:rPr>
      </w:pPr>
      <w:r>
        <w:rPr>
          <w:rFonts w:hAnsi="Times New Roman" w:eastAsia="宋体"/>
          <w:szCs w:val="24"/>
        </w:rPr>
        <w:t>评价区内分布于此生态系统中的常见动物有</w:t>
      </w:r>
      <w:r>
        <w:rPr>
          <w:rFonts w:hAnsi="Times New Roman" w:eastAsia="宋体"/>
          <w:szCs w:val="24"/>
          <w:lang w:eastAsia="zh-CN"/>
        </w:rPr>
        <w:t>褐家鼠</w:t>
      </w:r>
      <w:r>
        <w:rPr>
          <w:rFonts w:hAnsi="Times New Roman" w:eastAsia="宋体"/>
          <w:szCs w:val="24"/>
        </w:rPr>
        <w:t>、麻雀等。</w:t>
      </w:r>
    </w:p>
    <w:p>
      <w:pPr>
        <w:numPr>
          <w:ilvl w:val="0"/>
          <w:numId w:val="4"/>
        </w:numPr>
        <w:spacing w:line="360" w:lineRule="auto"/>
        <w:ind w:left="0" w:firstLine="480" w:firstLineChars="200"/>
        <w:rPr>
          <w:rFonts w:hAnsi="Times New Roman" w:eastAsia="宋体"/>
          <w:szCs w:val="24"/>
        </w:rPr>
      </w:pPr>
      <w:r>
        <w:rPr>
          <w:rFonts w:hAnsi="Times New Roman" w:eastAsia="宋体"/>
          <w:szCs w:val="24"/>
        </w:rPr>
        <w:t>生态功能</w:t>
      </w:r>
    </w:p>
    <w:p>
      <w:pPr>
        <w:spacing w:line="360" w:lineRule="auto"/>
        <w:ind w:firstLine="480" w:firstLineChars="200"/>
        <w:rPr>
          <w:rFonts w:hAnsi="Times New Roman" w:eastAsia="宋体"/>
          <w:szCs w:val="24"/>
        </w:rPr>
      </w:pPr>
      <w:r>
        <w:rPr>
          <w:rFonts w:hAnsi="Times New Roman" w:eastAsia="宋体"/>
          <w:szCs w:val="24"/>
        </w:rPr>
        <w:t>草地生态系统具有防风、固沙、保土、调节气候、净化空气、涵养水源等生态功能。草地生态系统是自然生态系统的重要组成部分，对维系生态平衡、地区经济、人文历史具有重要地理价值。评价区的草地为其他草地，主要指树林郁闭度&lt;0.1，表层为土质，生长草本植物为主，不用于放牧，加之评价区主要以森林生态系统为主，因此其草地的防风、固沙、保土、调节气候、净化空气、涵养水源等生态功能是非主要的。</w:t>
      </w:r>
    </w:p>
    <w:p>
      <w:pPr>
        <w:spacing w:line="360" w:lineRule="auto"/>
        <w:ind w:firstLine="480" w:firstLineChars="200"/>
        <w:rPr>
          <w:rFonts w:hAnsi="Times New Roman" w:eastAsia="宋体"/>
          <w:szCs w:val="24"/>
        </w:rPr>
      </w:pPr>
      <w:r>
        <w:rPr>
          <w:rFonts w:hAnsi="Times New Roman" w:eastAsia="宋体"/>
          <w:szCs w:val="24"/>
        </w:rPr>
        <w:t>（4）湿地生态系统</w:t>
      </w:r>
    </w:p>
    <w:p>
      <w:pPr>
        <w:spacing w:line="360" w:lineRule="auto"/>
        <w:ind w:firstLine="480" w:firstLineChars="200"/>
        <w:rPr>
          <w:rFonts w:hAnsi="Times New Roman" w:eastAsia="宋体"/>
          <w:szCs w:val="24"/>
        </w:rPr>
      </w:pPr>
      <w:r>
        <w:rPr>
          <w:rFonts w:hAnsi="Times New Roman" w:eastAsia="宋体"/>
          <w:szCs w:val="24"/>
        </w:rPr>
        <w:t>根据现场踏勘结合遥感影像解译，面积</w:t>
      </w:r>
      <w:r>
        <w:rPr>
          <w:rFonts w:hAnsi="Times New Roman" w:eastAsia="宋体"/>
          <w:szCs w:val="24"/>
          <w:lang w:eastAsia="zh-CN" w:bidi="ar"/>
        </w:rPr>
        <w:t>12.0131</w:t>
      </w:r>
      <w:r>
        <w:rPr>
          <w:rFonts w:hAnsi="Times New Roman" w:eastAsia="宋体"/>
          <w:szCs w:val="24"/>
        </w:rPr>
        <w:t>hm</w:t>
      </w:r>
      <w:r>
        <w:rPr>
          <w:rFonts w:hAnsi="Times New Roman" w:eastAsia="宋体"/>
          <w:szCs w:val="24"/>
          <w:vertAlign w:val="superscript"/>
        </w:rPr>
        <w:t>2</w:t>
      </w:r>
      <w:r>
        <w:rPr>
          <w:rFonts w:hAnsi="Times New Roman" w:eastAsia="宋体"/>
          <w:szCs w:val="24"/>
        </w:rPr>
        <w:t>，占评价区</w:t>
      </w:r>
      <w:r>
        <w:rPr>
          <w:rFonts w:hint="eastAsia" w:hAnsi="Times New Roman" w:eastAsia="宋体"/>
          <w:szCs w:val="24"/>
          <w:lang w:eastAsia="zh-CN"/>
        </w:rPr>
        <w:t>总面积的</w:t>
      </w:r>
      <w:r>
        <w:rPr>
          <w:rFonts w:hAnsi="Times New Roman" w:eastAsia="宋体"/>
          <w:szCs w:val="24"/>
          <w:lang w:eastAsia="zh-CN" w:bidi="ar"/>
        </w:rPr>
        <w:t>0.91</w:t>
      </w:r>
      <w:r>
        <w:rPr>
          <w:rFonts w:hAnsi="Times New Roman" w:eastAsia="宋体"/>
          <w:szCs w:val="24"/>
        </w:rPr>
        <w:t>%。</w:t>
      </w:r>
    </w:p>
    <w:p>
      <w:pPr>
        <w:spacing w:line="360" w:lineRule="auto"/>
        <w:ind w:firstLine="480" w:firstLineChars="200"/>
        <w:rPr>
          <w:rFonts w:hAnsi="Times New Roman" w:eastAsia="宋体"/>
          <w:szCs w:val="24"/>
        </w:rPr>
      </w:pPr>
      <w:r>
        <w:rPr>
          <w:rFonts w:hint="eastAsia" w:ascii="宋体" w:hAnsi="宋体" w:eastAsia="宋体" w:cs="宋体"/>
          <w:szCs w:val="24"/>
        </w:rPr>
        <w:t>①</w:t>
      </w:r>
      <w:r>
        <w:rPr>
          <w:rFonts w:hAnsi="Times New Roman" w:eastAsia="宋体"/>
          <w:szCs w:val="24"/>
        </w:rPr>
        <w:t>植被现状</w:t>
      </w:r>
    </w:p>
    <w:p>
      <w:pPr>
        <w:spacing w:line="360" w:lineRule="auto"/>
        <w:ind w:firstLine="480" w:firstLineChars="200"/>
        <w:rPr>
          <w:rFonts w:hAnsi="Times New Roman" w:eastAsia="宋体"/>
          <w:szCs w:val="24"/>
        </w:rPr>
      </w:pPr>
      <w:r>
        <w:rPr>
          <w:rFonts w:hAnsi="Times New Roman" w:eastAsia="宋体"/>
          <w:szCs w:val="24"/>
        </w:rPr>
        <w:t>评价区内的湿地生态系统主要为河流</w:t>
      </w:r>
      <w:r>
        <w:rPr>
          <w:rFonts w:hAnsi="Times New Roman" w:eastAsia="宋体"/>
          <w:szCs w:val="24"/>
          <w:lang w:eastAsia="zh-CN"/>
        </w:rPr>
        <w:t>、坑塘</w:t>
      </w:r>
      <w:r>
        <w:rPr>
          <w:rFonts w:hAnsi="Times New Roman" w:eastAsia="宋体"/>
          <w:szCs w:val="24"/>
        </w:rPr>
        <w:t>。河岸湿地周围滩涂分布有</w:t>
      </w:r>
      <w:r>
        <w:rPr>
          <w:rFonts w:hAnsi="Times New Roman" w:eastAsia="宋体"/>
          <w:szCs w:val="24"/>
          <w:lang w:eastAsia="zh-CN"/>
        </w:rPr>
        <w:t>五节芒、白茅、葎草、狗尾草、狗牙根、马唐</w:t>
      </w:r>
      <w:r>
        <w:rPr>
          <w:rFonts w:hAnsi="Times New Roman" w:eastAsia="宋体"/>
          <w:szCs w:val="24"/>
        </w:rPr>
        <w:t>等。</w:t>
      </w:r>
    </w:p>
    <w:p>
      <w:pPr>
        <w:spacing w:line="360" w:lineRule="auto"/>
        <w:ind w:firstLine="480" w:firstLineChars="200"/>
        <w:rPr>
          <w:rFonts w:hAnsi="Times New Roman" w:eastAsia="宋体"/>
          <w:szCs w:val="24"/>
        </w:rPr>
      </w:pPr>
      <w:r>
        <w:rPr>
          <w:rFonts w:hint="eastAsia" w:ascii="宋体" w:hAnsi="宋体" w:eastAsia="宋体" w:cs="宋体"/>
          <w:szCs w:val="24"/>
        </w:rPr>
        <w:t>②</w:t>
      </w:r>
      <w:r>
        <w:rPr>
          <w:rFonts w:hAnsi="Times New Roman" w:eastAsia="宋体"/>
          <w:szCs w:val="24"/>
        </w:rPr>
        <w:t>动物现状</w:t>
      </w:r>
    </w:p>
    <w:p>
      <w:pPr>
        <w:spacing w:line="360" w:lineRule="auto"/>
        <w:ind w:firstLine="480" w:firstLineChars="200"/>
        <w:rPr>
          <w:rFonts w:hAnsi="Times New Roman" w:eastAsia="宋体"/>
          <w:szCs w:val="24"/>
        </w:rPr>
      </w:pPr>
      <w:r>
        <w:rPr>
          <w:rFonts w:hAnsi="Times New Roman" w:eastAsia="宋体"/>
          <w:szCs w:val="24"/>
        </w:rPr>
        <w:t>湿地生态系统中常有浮游植物等生产者，以及浮游动物、鱼、两栖类等消费者。湿地生态系统除了为水生生物提供生存环境，同时还是多种两栖类和爬行类的栖息地，也是游禽和涉禽的重要栖息场所。分布其中的动物种类主要有泽陆蛙、白鹭、</w:t>
      </w:r>
      <w:r>
        <w:rPr>
          <w:rFonts w:hAnsi="Times New Roman" w:eastAsia="宋体"/>
          <w:szCs w:val="24"/>
          <w:lang w:eastAsia="zh-CN"/>
        </w:rPr>
        <w:t>白顶溪鸲</w:t>
      </w:r>
      <w:r>
        <w:rPr>
          <w:rFonts w:hAnsi="Times New Roman" w:eastAsia="宋体"/>
          <w:szCs w:val="24"/>
        </w:rPr>
        <w:t>等。</w:t>
      </w:r>
    </w:p>
    <w:p>
      <w:pPr>
        <w:spacing w:line="360" w:lineRule="auto"/>
        <w:ind w:firstLine="480" w:firstLineChars="200"/>
        <w:rPr>
          <w:rFonts w:hAnsi="Times New Roman" w:eastAsia="宋体"/>
          <w:szCs w:val="24"/>
        </w:rPr>
      </w:pPr>
      <w:r>
        <w:rPr>
          <w:rFonts w:hint="eastAsia" w:ascii="宋体" w:hAnsi="宋体" w:eastAsia="宋体" w:cs="宋体"/>
          <w:szCs w:val="24"/>
        </w:rPr>
        <w:t>③</w:t>
      </w:r>
      <w:r>
        <w:rPr>
          <w:rFonts w:hAnsi="Times New Roman" w:eastAsia="宋体"/>
          <w:szCs w:val="24"/>
        </w:rPr>
        <w:t>生态功能</w:t>
      </w:r>
    </w:p>
    <w:p>
      <w:pPr>
        <w:spacing w:line="360" w:lineRule="auto"/>
        <w:ind w:firstLine="480" w:firstLineChars="200"/>
        <w:rPr>
          <w:rFonts w:hAnsi="Times New Roman" w:eastAsia="宋体"/>
          <w:szCs w:val="24"/>
        </w:rPr>
      </w:pPr>
      <w:r>
        <w:rPr>
          <w:rFonts w:hAnsi="Times New Roman" w:eastAsia="宋体"/>
          <w:szCs w:val="24"/>
        </w:rPr>
        <w:t>湿地生态系统服务功能不仅包括提供大量资源产品，而且具有大的环境调节功能和环境效益，在调蓄洪水、调节气候、控制土壤等多方面发挥着重要作用。</w:t>
      </w:r>
    </w:p>
    <w:p>
      <w:pPr>
        <w:spacing w:line="360" w:lineRule="auto"/>
        <w:ind w:firstLine="480" w:firstLineChars="200"/>
        <w:rPr>
          <w:rFonts w:hAnsi="Times New Roman" w:eastAsia="宋体"/>
          <w:szCs w:val="24"/>
        </w:rPr>
      </w:pPr>
      <w:r>
        <w:rPr>
          <w:rFonts w:hAnsi="Times New Roman" w:eastAsia="宋体"/>
          <w:szCs w:val="24"/>
        </w:rPr>
        <w:t>（5）农田生态系统</w:t>
      </w:r>
    </w:p>
    <w:p>
      <w:pPr>
        <w:spacing w:line="360" w:lineRule="auto"/>
        <w:ind w:firstLine="480" w:firstLineChars="200"/>
        <w:rPr>
          <w:rFonts w:hAnsi="Times New Roman" w:eastAsia="宋体"/>
          <w:szCs w:val="24"/>
        </w:rPr>
      </w:pPr>
      <w:r>
        <w:rPr>
          <w:rFonts w:hAnsi="Times New Roman" w:eastAsia="宋体"/>
          <w:szCs w:val="24"/>
        </w:rPr>
        <w:t>农田生态系统是以经营作物为目的的生态系统，也就是作物群落与其周围环境之间能量流动和物质循环的综合体系。与各种自然生态系统和人工生态系统之间有着极其密切的联系。根据现场踏勘结合遥感影像解译，评价区农田生态系统面积为</w:t>
      </w:r>
      <w:r>
        <w:rPr>
          <w:rFonts w:hAnsi="Times New Roman" w:eastAsia="宋体"/>
          <w:szCs w:val="24"/>
          <w:lang w:eastAsia="zh-CN"/>
        </w:rPr>
        <w:t>199.9649</w:t>
      </w:r>
      <w:r>
        <w:rPr>
          <w:rFonts w:hAnsi="Times New Roman" w:eastAsia="宋体"/>
          <w:szCs w:val="24"/>
        </w:rPr>
        <w:t>hm</w:t>
      </w:r>
      <w:r>
        <w:rPr>
          <w:rFonts w:hAnsi="Times New Roman" w:eastAsia="宋体"/>
          <w:szCs w:val="24"/>
          <w:vertAlign w:val="superscript"/>
        </w:rPr>
        <w:t>2</w:t>
      </w:r>
      <w:r>
        <w:rPr>
          <w:rFonts w:hAnsi="Times New Roman" w:eastAsia="宋体"/>
          <w:szCs w:val="24"/>
        </w:rPr>
        <w:t>，占评价区</w:t>
      </w:r>
      <w:r>
        <w:rPr>
          <w:rFonts w:hint="eastAsia" w:hAnsi="Times New Roman" w:eastAsia="宋体"/>
          <w:szCs w:val="24"/>
          <w:lang w:eastAsia="zh-CN"/>
        </w:rPr>
        <w:t>总面积的</w:t>
      </w:r>
      <w:r>
        <w:rPr>
          <w:rFonts w:hAnsi="Times New Roman" w:eastAsia="宋体"/>
          <w:szCs w:val="24"/>
          <w:lang w:eastAsia="zh-CN"/>
        </w:rPr>
        <w:t>15.08</w:t>
      </w:r>
      <w:r>
        <w:rPr>
          <w:rFonts w:hAnsi="Times New Roman" w:eastAsia="宋体"/>
          <w:szCs w:val="24"/>
        </w:rPr>
        <w:t>%，为评价区面积最大的生态系统。农田生态系统生产力较高，大部分经济产品随收获而移出系统，养分循环主要靠系统外投入而保持平衡。</w:t>
      </w:r>
    </w:p>
    <w:p>
      <w:pPr>
        <w:pStyle w:val="56"/>
        <w:numPr>
          <w:ilvl w:val="0"/>
          <w:numId w:val="5"/>
        </w:numPr>
        <w:spacing w:line="360" w:lineRule="auto"/>
        <w:ind w:left="0" w:firstLine="480"/>
        <w:rPr>
          <w:rFonts w:hAnsi="Times New Roman" w:eastAsia="宋体"/>
          <w:szCs w:val="24"/>
        </w:rPr>
      </w:pPr>
      <w:r>
        <w:rPr>
          <w:rFonts w:hAnsi="Times New Roman" w:eastAsia="宋体"/>
          <w:szCs w:val="24"/>
        </w:rPr>
        <w:t>植被现状</w:t>
      </w:r>
    </w:p>
    <w:p>
      <w:pPr>
        <w:spacing w:line="360" w:lineRule="auto"/>
        <w:ind w:firstLine="480" w:firstLineChars="200"/>
        <w:rPr>
          <w:rFonts w:hAnsi="Times New Roman" w:eastAsia="宋体"/>
          <w:szCs w:val="24"/>
        </w:rPr>
      </w:pPr>
      <w:r>
        <w:rPr>
          <w:rFonts w:hAnsi="Times New Roman" w:eastAsia="宋体"/>
          <w:szCs w:val="24"/>
        </w:rPr>
        <w:t>评价区的农田生态系统在整个评价区均有分布。其植被均为人工植被，类型简单，为栽培种植的经济作物、油料作物、粮食作物、蔬菜及果木林等。主要种类有</w:t>
      </w:r>
      <w:r>
        <w:rPr>
          <w:rFonts w:hAnsi="Times New Roman" w:eastAsia="宋体"/>
          <w:szCs w:val="24"/>
          <w:lang w:eastAsia="zh-CN"/>
        </w:rPr>
        <w:t>水稻、欧洲油菜、青菜、柑橘</w:t>
      </w:r>
      <w:r>
        <w:rPr>
          <w:rFonts w:hAnsi="Times New Roman" w:eastAsia="宋体"/>
          <w:szCs w:val="24"/>
        </w:rPr>
        <w:t>等。</w:t>
      </w:r>
    </w:p>
    <w:p>
      <w:pPr>
        <w:pStyle w:val="56"/>
        <w:numPr>
          <w:ilvl w:val="0"/>
          <w:numId w:val="5"/>
        </w:numPr>
        <w:spacing w:line="360" w:lineRule="auto"/>
        <w:ind w:left="0" w:firstLine="480"/>
        <w:rPr>
          <w:rFonts w:hAnsi="Times New Roman" w:eastAsia="宋体"/>
          <w:szCs w:val="24"/>
        </w:rPr>
      </w:pPr>
      <w:r>
        <w:rPr>
          <w:rFonts w:hAnsi="Times New Roman" w:eastAsia="宋体"/>
          <w:szCs w:val="24"/>
        </w:rPr>
        <w:t>动物现状</w:t>
      </w:r>
    </w:p>
    <w:p>
      <w:pPr>
        <w:spacing w:line="360" w:lineRule="auto"/>
        <w:ind w:firstLine="480" w:firstLineChars="200"/>
        <w:rPr>
          <w:rFonts w:hAnsi="Times New Roman" w:eastAsia="宋体"/>
          <w:szCs w:val="24"/>
        </w:rPr>
      </w:pPr>
      <w:r>
        <w:rPr>
          <w:rFonts w:hAnsi="Times New Roman" w:eastAsia="宋体"/>
          <w:szCs w:val="24"/>
        </w:rPr>
        <w:t>由于农田生态系统中植被类型较为单一，距离居民区较近而易受人为干扰，因此该生态系统中动物种类不甚丰富。与人类伴居的动物多活动于此，如鸟类中的</w:t>
      </w:r>
      <w:r>
        <w:rPr>
          <w:rFonts w:hAnsi="Times New Roman" w:eastAsia="宋体"/>
          <w:szCs w:val="24"/>
          <w:lang w:eastAsia="zh-CN"/>
        </w:rPr>
        <w:t>麻雀</w:t>
      </w:r>
      <w:r>
        <w:rPr>
          <w:rFonts w:hAnsi="Times New Roman" w:eastAsia="宋体"/>
          <w:szCs w:val="24"/>
        </w:rPr>
        <w:t>、珠颈斑鸠等，兽类中的部分半地下生活型种类如褐家鼠等。</w:t>
      </w:r>
    </w:p>
    <w:p>
      <w:pPr>
        <w:spacing w:line="360" w:lineRule="auto"/>
        <w:ind w:firstLine="480" w:firstLineChars="200"/>
        <w:rPr>
          <w:rFonts w:hAnsi="Times New Roman" w:eastAsia="宋体"/>
          <w:szCs w:val="24"/>
        </w:rPr>
      </w:pPr>
      <w:r>
        <w:rPr>
          <w:rFonts w:hint="eastAsia" w:ascii="宋体" w:hAnsi="宋体" w:eastAsia="宋体" w:cs="宋体"/>
          <w:szCs w:val="24"/>
        </w:rPr>
        <w:t>③</w:t>
      </w:r>
      <w:r>
        <w:rPr>
          <w:rFonts w:hAnsi="Times New Roman" w:eastAsia="宋体"/>
          <w:szCs w:val="24"/>
        </w:rPr>
        <w:t>生态功能</w:t>
      </w:r>
    </w:p>
    <w:p>
      <w:pPr>
        <w:spacing w:line="360" w:lineRule="auto"/>
        <w:ind w:firstLine="480" w:firstLineChars="200"/>
        <w:rPr>
          <w:rFonts w:hAnsi="Times New Roman" w:eastAsia="宋体"/>
          <w:spacing w:val="9"/>
          <w:szCs w:val="24"/>
        </w:rPr>
      </w:pPr>
      <w:r>
        <w:rPr>
          <w:rFonts w:hAnsi="Times New Roman" w:eastAsia="宋体"/>
          <w:szCs w:val="24"/>
        </w:rPr>
        <w:t>农田生态系统的主要生态功能体现在农产品及副产品生产，包括为人们提供农产品，为现代工业提供加工原料等。此外，农田生态系统也具有大气调节、环境净化、土壤保持、养分循环、水分调节、传粉播种、病虫害控制、生物多样性及基因资源等功能。</w:t>
      </w:r>
    </w:p>
    <w:tbl>
      <w:tblPr>
        <w:tblStyle w:val="3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71"/>
        <w:gridCol w:w="46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Pr>
          <w:p>
            <w:pPr>
              <w:keepNext w:val="0"/>
              <w:keepLines w:val="0"/>
              <w:suppressLineNumbers w:val="0"/>
              <w:spacing w:before="0" w:beforeAutospacing="0" w:after="0" w:afterAutospacing="0" w:line="360" w:lineRule="auto"/>
              <w:ind w:left="0" w:right="0"/>
              <w:jc w:val="center"/>
              <w:rPr>
                <w:rFonts w:hint="eastAsia" w:hAnsi="Times New Roman" w:eastAsia="宋体"/>
                <w:spacing w:val="9"/>
                <w:kern w:val="2"/>
                <w:szCs w:val="24"/>
              </w:rPr>
            </w:pPr>
            <w:r>
              <w:rPr>
                <w:rFonts w:hint="eastAsia" w:hAnsi="Times New Roman" w:eastAsia="宋体"/>
                <w:spacing w:val="9"/>
                <w:kern w:val="2"/>
                <w:szCs w:val="24"/>
              </w:rPr>
              <w:drawing>
                <wp:inline distT="0" distB="0" distL="114300" distR="114300">
                  <wp:extent cx="2567305" cy="1926590"/>
                  <wp:effectExtent l="0" t="0" r="4445" b="16510"/>
                  <wp:docPr id="120384479" name="图片 120384479" descr="微信图片_20220730152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84479" name="图片 120384479" descr="微信图片_20220730152948"/>
                          <pic:cNvPicPr>
                            <a:picLocks noChangeAspect="1"/>
                          </pic:cNvPicPr>
                        </pic:nvPicPr>
                        <pic:blipFill>
                          <a:blip r:embed="rId94"/>
                          <a:stretch>
                            <a:fillRect/>
                          </a:stretch>
                        </pic:blipFill>
                        <pic:spPr>
                          <a:xfrm>
                            <a:off x="0" y="0"/>
                            <a:ext cx="2567305" cy="1926590"/>
                          </a:xfrm>
                          <a:prstGeom prst="rect">
                            <a:avLst/>
                          </a:prstGeom>
                        </pic:spPr>
                      </pic:pic>
                    </a:graphicData>
                  </a:graphic>
                </wp:inline>
              </w:drawing>
            </w:r>
          </w:p>
        </w:tc>
        <w:tc>
          <w:tcPr>
            <w:tcW w:w="4258" w:type="dxa"/>
          </w:tcPr>
          <w:p>
            <w:pPr>
              <w:keepNext w:val="0"/>
              <w:keepLines w:val="0"/>
              <w:suppressLineNumbers w:val="0"/>
              <w:spacing w:before="0" w:beforeAutospacing="0" w:after="0" w:afterAutospacing="0" w:line="360" w:lineRule="auto"/>
              <w:ind w:left="0" w:right="0"/>
              <w:jc w:val="center"/>
              <w:rPr>
                <w:rFonts w:hint="eastAsia" w:hAnsi="Times New Roman" w:eastAsia="宋体"/>
                <w:spacing w:val="9"/>
                <w:kern w:val="2"/>
                <w:szCs w:val="24"/>
              </w:rPr>
            </w:pPr>
            <w:r>
              <w:rPr>
                <w:rFonts w:hint="eastAsia" w:hAnsi="Times New Roman" w:eastAsia="宋体"/>
                <w:spacing w:val="9"/>
                <w:kern w:val="2"/>
                <w:szCs w:val="24"/>
              </w:rPr>
              <w:drawing>
                <wp:inline distT="0" distB="0" distL="114300" distR="114300">
                  <wp:extent cx="2559685" cy="1919605"/>
                  <wp:effectExtent l="0" t="0" r="12065" b="4445"/>
                  <wp:docPr id="1210182297" name="图片 1210182297" descr="微信图片_20220730153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182297" name="图片 1210182297" descr="微信图片_20220730153005"/>
                          <pic:cNvPicPr>
                            <a:picLocks noChangeAspect="1"/>
                          </pic:cNvPicPr>
                        </pic:nvPicPr>
                        <pic:blipFill>
                          <a:blip r:embed="rId95"/>
                          <a:stretch>
                            <a:fillRect/>
                          </a:stretch>
                        </pic:blipFill>
                        <pic:spPr>
                          <a:xfrm>
                            <a:off x="0" y="0"/>
                            <a:ext cx="2559685" cy="19196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Pr>
          <w:p>
            <w:pPr>
              <w:keepNext w:val="0"/>
              <w:keepLines w:val="0"/>
              <w:suppressLineNumbers w:val="0"/>
              <w:spacing w:before="0" w:beforeAutospacing="0" w:after="0" w:afterAutospacing="0" w:line="360" w:lineRule="auto"/>
              <w:ind w:left="0" w:right="0" w:firstLine="456"/>
              <w:jc w:val="center"/>
              <w:rPr>
                <w:rFonts w:hint="eastAsia" w:hAnsi="Times New Roman" w:eastAsia="宋体"/>
                <w:b/>
                <w:bCs/>
                <w:spacing w:val="9"/>
                <w:kern w:val="2"/>
                <w:sz w:val="21"/>
                <w:szCs w:val="21"/>
              </w:rPr>
            </w:pPr>
            <w:r>
              <w:rPr>
                <w:rFonts w:hint="eastAsia" w:hAnsi="Times New Roman" w:eastAsia="宋体"/>
                <w:b/>
                <w:bCs/>
                <w:spacing w:val="9"/>
                <w:kern w:val="2"/>
                <w:sz w:val="21"/>
                <w:szCs w:val="21"/>
                <w:lang w:eastAsia="zh-CN"/>
              </w:rPr>
              <w:t>森林生态系统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Pr>
          <w:p>
            <w:pPr>
              <w:keepNext w:val="0"/>
              <w:keepLines w:val="0"/>
              <w:suppressLineNumbers w:val="0"/>
              <w:spacing w:before="0" w:beforeAutospacing="0" w:after="0" w:afterAutospacing="0" w:line="360" w:lineRule="auto"/>
              <w:ind w:left="0" w:right="0"/>
              <w:jc w:val="center"/>
              <w:rPr>
                <w:rFonts w:hint="eastAsia" w:hAnsi="Times New Roman" w:eastAsia="宋体"/>
                <w:spacing w:val="9"/>
                <w:kern w:val="2"/>
                <w:szCs w:val="24"/>
              </w:rPr>
            </w:pPr>
            <w:r>
              <w:rPr>
                <w:rFonts w:hint="eastAsia" w:hAnsi="Times New Roman" w:eastAsia="宋体"/>
                <w:spacing w:val="9"/>
                <w:kern w:val="2"/>
                <w:szCs w:val="24"/>
              </w:rPr>
              <w:drawing>
                <wp:inline distT="0" distB="0" distL="114300" distR="114300">
                  <wp:extent cx="2567305" cy="1926590"/>
                  <wp:effectExtent l="0" t="0" r="4445" b="16510"/>
                  <wp:docPr id="673863320" name="图片 673863320" descr="微信图片_20220730153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863320" name="图片 673863320" descr="微信图片_20220730153359"/>
                          <pic:cNvPicPr>
                            <a:picLocks noChangeAspect="1"/>
                          </pic:cNvPicPr>
                        </pic:nvPicPr>
                        <pic:blipFill>
                          <a:blip r:embed="rId96"/>
                          <a:stretch>
                            <a:fillRect/>
                          </a:stretch>
                        </pic:blipFill>
                        <pic:spPr>
                          <a:xfrm>
                            <a:off x="0" y="0"/>
                            <a:ext cx="2567305" cy="1926590"/>
                          </a:xfrm>
                          <a:prstGeom prst="rect">
                            <a:avLst/>
                          </a:prstGeom>
                        </pic:spPr>
                      </pic:pic>
                    </a:graphicData>
                  </a:graphic>
                </wp:inline>
              </w:drawing>
            </w:r>
          </w:p>
        </w:tc>
        <w:tc>
          <w:tcPr>
            <w:tcW w:w="4258" w:type="dxa"/>
          </w:tcPr>
          <w:p>
            <w:pPr>
              <w:keepNext w:val="0"/>
              <w:keepLines w:val="0"/>
              <w:suppressLineNumbers w:val="0"/>
              <w:spacing w:before="0" w:beforeAutospacing="0" w:after="0" w:afterAutospacing="0" w:line="360" w:lineRule="auto"/>
              <w:ind w:left="0" w:right="0"/>
              <w:jc w:val="center"/>
              <w:rPr>
                <w:rFonts w:hint="eastAsia" w:hAnsi="Times New Roman" w:eastAsia="宋体"/>
                <w:spacing w:val="9"/>
                <w:kern w:val="2"/>
                <w:szCs w:val="24"/>
              </w:rPr>
            </w:pPr>
            <w:r>
              <w:rPr>
                <w:rFonts w:hint="eastAsia" w:hAnsi="Times New Roman" w:eastAsia="宋体"/>
                <w:spacing w:val="9"/>
                <w:kern w:val="2"/>
                <w:szCs w:val="24"/>
              </w:rPr>
              <w:drawing>
                <wp:inline distT="0" distB="0" distL="114300" distR="114300">
                  <wp:extent cx="2551430" cy="1913890"/>
                  <wp:effectExtent l="0" t="0" r="1270" b="10160"/>
                  <wp:docPr id="1989196522" name="图片 1989196522" descr="微信图片_20220730153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196522" name="图片 1989196522" descr="微信图片_20220730153352"/>
                          <pic:cNvPicPr>
                            <a:picLocks noChangeAspect="1"/>
                          </pic:cNvPicPr>
                        </pic:nvPicPr>
                        <pic:blipFill>
                          <a:blip r:embed="rId97"/>
                          <a:stretch>
                            <a:fillRect/>
                          </a:stretch>
                        </pic:blipFill>
                        <pic:spPr>
                          <a:xfrm>
                            <a:off x="0" y="0"/>
                            <a:ext cx="2551430" cy="191389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Pr>
          <w:p>
            <w:pPr>
              <w:keepNext w:val="0"/>
              <w:keepLines w:val="0"/>
              <w:suppressLineNumbers w:val="0"/>
              <w:spacing w:before="0" w:beforeAutospacing="0" w:after="0" w:afterAutospacing="0" w:line="360" w:lineRule="auto"/>
              <w:ind w:left="0" w:right="0" w:firstLine="456"/>
              <w:jc w:val="center"/>
              <w:rPr>
                <w:rFonts w:hint="eastAsia" w:hAnsi="Times New Roman" w:eastAsia="宋体"/>
                <w:spacing w:val="9"/>
                <w:kern w:val="2"/>
                <w:szCs w:val="24"/>
              </w:rPr>
            </w:pPr>
            <w:r>
              <w:rPr>
                <w:rFonts w:hint="eastAsia" w:hAnsi="Times New Roman" w:eastAsia="宋体"/>
                <w:b/>
                <w:bCs/>
                <w:spacing w:val="9"/>
                <w:kern w:val="2"/>
                <w:sz w:val="21"/>
                <w:szCs w:val="21"/>
                <w:lang w:eastAsia="zh-CN"/>
              </w:rPr>
              <w:t>灌丛生态系统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Pr>
          <w:p>
            <w:pPr>
              <w:keepNext w:val="0"/>
              <w:keepLines w:val="0"/>
              <w:suppressLineNumbers w:val="0"/>
              <w:spacing w:before="0" w:beforeAutospacing="0" w:after="0" w:afterAutospacing="0" w:line="360" w:lineRule="auto"/>
              <w:ind w:left="0" w:right="0"/>
              <w:jc w:val="center"/>
              <w:rPr>
                <w:rFonts w:hint="eastAsia" w:hAnsi="Times New Roman" w:eastAsia="宋体"/>
                <w:spacing w:val="9"/>
                <w:kern w:val="2"/>
                <w:szCs w:val="24"/>
              </w:rPr>
            </w:pPr>
            <w:r>
              <w:rPr>
                <w:rFonts w:hint="eastAsia" w:hAnsi="Times New Roman" w:eastAsia="宋体"/>
                <w:spacing w:val="9"/>
                <w:kern w:val="2"/>
                <w:szCs w:val="24"/>
              </w:rPr>
              <w:drawing>
                <wp:inline distT="0" distB="0" distL="114300" distR="114300">
                  <wp:extent cx="2567305" cy="1926590"/>
                  <wp:effectExtent l="0" t="0" r="4445" b="16510"/>
                  <wp:docPr id="2027976042" name="图片 2027976042" descr="微信图片_20220730153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976042" name="图片 2027976042" descr="微信图片_20220730153313"/>
                          <pic:cNvPicPr>
                            <a:picLocks noChangeAspect="1"/>
                          </pic:cNvPicPr>
                        </pic:nvPicPr>
                        <pic:blipFill>
                          <a:blip r:embed="rId98"/>
                          <a:stretch>
                            <a:fillRect/>
                          </a:stretch>
                        </pic:blipFill>
                        <pic:spPr>
                          <a:xfrm>
                            <a:off x="0" y="0"/>
                            <a:ext cx="2567305" cy="1926590"/>
                          </a:xfrm>
                          <a:prstGeom prst="rect">
                            <a:avLst/>
                          </a:prstGeom>
                        </pic:spPr>
                      </pic:pic>
                    </a:graphicData>
                  </a:graphic>
                </wp:inline>
              </w:drawing>
            </w:r>
          </w:p>
        </w:tc>
        <w:tc>
          <w:tcPr>
            <w:tcW w:w="4258" w:type="dxa"/>
          </w:tcPr>
          <w:p>
            <w:pPr>
              <w:keepNext w:val="0"/>
              <w:keepLines w:val="0"/>
              <w:suppressLineNumbers w:val="0"/>
              <w:spacing w:before="0" w:beforeAutospacing="0" w:after="0" w:afterAutospacing="0" w:line="360" w:lineRule="auto"/>
              <w:ind w:left="0" w:right="0"/>
              <w:jc w:val="center"/>
              <w:rPr>
                <w:rFonts w:hint="eastAsia" w:hAnsi="Times New Roman" w:eastAsia="宋体"/>
                <w:spacing w:val="9"/>
                <w:kern w:val="2"/>
                <w:szCs w:val="24"/>
              </w:rPr>
            </w:pPr>
            <w:r>
              <w:rPr>
                <w:rFonts w:hint="eastAsia" w:hAnsi="Times New Roman" w:eastAsia="宋体"/>
                <w:spacing w:val="9"/>
                <w:kern w:val="2"/>
                <w:szCs w:val="24"/>
              </w:rPr>
              <w:drawing>
                <wp:inline distT="0" distB="0" distL="114300" distR="114300">
                  <wp:extent cx="2551430" cy="1913890"/>
                  <wp:effectExtent l="0" t="0" r="1270" b="10160"/>
                  <wp:docPr id="43703482" name="图片 43703482" descr="微信图片_20220730153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03482" name="图片 43703482" descr="微信图片_20220730153305"/>
                          <pic:cNvPicPr>
                            <a:picLocks noChangeAspect="1"/>
                          </pic:cNvPicPr>
                        </pic:nvPicPr>
                        <pic:blipFill>
                          <a:blip r:embed="rId99"/>
                          <a:stretch>
                            <a:fillRect/>
                          </a:stretch>
                        </pic:blipFill>
                        <pic:spPr>
                          <a:xfrm>
                            <a:off x="0" y="0"/>
                            <a:ext cx="2551430" cy="191389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Pr>
          <w:p>
            <w:pPr>
              <w:keepNext w:val="0"/>
              <w:keepLines w:val="0"/>
              <w:suppressLineNumbers w:val="0"/>
              <w:spacing w:before="0" w:beforeAutospacing="0" w:after="0" w:afterAutospacing="0" w:line="360" w:lineRule="auto"/>
              <w:ind w:left="0" w:right="0" w:firstLine="456"/>
              <w:jc w:val="center"/>
              <w:rPr>
                <w:rFonts w:hint="eastAsia" w:hAnsi="Times New Roman" w:eastAsia="宋体"/>
                <w:spacing w:val="9"/>
                <w:kern w:val="2"/>
                <w:szCs w:val="24"/>
              </w:rPr>
            </w:pPr>
            <w:r>
              <w:rPr>
                <w:rFonts w:hint="eastAsia" w:hAnsi="Times New Roman" w:eastAsia="宋体"/>
                <w:b/>
                <w:bCs/>
                <w:spacing w:val="9"/>
                <w:kern w:val="2"/>
                <w:sz w:val="21"/>
                <w:szCs w:val="21"/>
                <w:lang w:eastAsia="zh-CN"/>
              </w:rPr>
              <w:t>草丛生态系统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Pr>
          <w:p>
            <w:pPr>
              <w:keepNext w:val="0"/>
              <w:keepLines w:val="0"/>
              <w:suppressLineNumbers w:val="0"/>
              <w:spacing w:before="0" w:beforeAutospacing="0" w:after="0" w:afterAutospacing="0" w:line="360" w:lineRule="auto"/>
              <w:ind w:left="0" w:right="0" w:firstLine="482"/>
              <w:jc w:val="center"/>
              <w:rPr>
                <w:rFonts w:hint="eastAsia" w:hAnsi="Times New Roman" w:eastAsia="宋体"/>
                <w:b/>
                <w:bCs/>
                <w:spacing w:val="9"/>
                <w:kern w:val="2"/>
                <w:szCs w:val="24"/>
              </w:rPr>
            </w:pPr>
            <w:r>
              <w:rPr>
                <w:rFonts w:hint="eastAsia" w:hAnsi="Times New Roman" w:eastAsia="宋体"/>
                <w:b/>
                <w:bCs/>
                <w:spacing w:val="9"/>
                <w:kern w:val="2"/>
                <w:szCs w:val="24"/>
              </w:rPr>
              <w:drawing>
                <wp:inline distT="0" distB="0" distL="114300" distR="114300">
                  <wp:extent cx="2567305" cy="1926590"/>
                  <wp:effectExtent l="0" t="0" r="4445" b="16510"/>
                  <wp:docPr id="818770665" name="图片 818770665" descr="微信图片_20220730153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770665" name="图片 818770665" descr="微信图片_20220730153538"/>
                          <pic:cNvPicPr>
                            <a:picLocks noChangeAspect="1"/>
                          </pic:cNvPicPr>
                        </pic:nvPicPr>
                        <pic:blipFill>
                          <a:blip r:embed="rId100"/>
                          <a:stretch>
                            <a:fillRect/>
                          </a:stretch>
                        </pic:blipFill>
                        <pic:spPr>
                          <a:xfrm>
                            <a:off x="0" y="0"/>
                            <a:ext cx="2567305" cy="1926590"/>
                          </a:xfrm>
                          <a:prstGeom prst="rect">
                            <a:avLst/>
                          </a:prstGeom>
                        </pic:spPr>
                      </pic:pic>
                    </a:graphicData>
                  </a:graphic>
                </wp:inline>
              </w:drawing>
            </w:r>
          </w:p>
        </w:tc>
        <w:tc>
          <w:tcPr>
            <w:tcW w:w="4258" w:type="dxa"/>
          </w:tcPr>
          <w:p>
            <w:pPr>
              <w:keepNext w:val="0"/>
              <w:keepLines w:val="0"/>
              <w:suppressLineNumbers w:val="0"/>
              <w:spacing w:before="0" w:beforeAutospacing="0" w:after="0" w:afterAutospacing="0" w:line="360" w:lineRule="auto"/>
              <w:ind w:left="0" w:right="0" w:firstLine="482"/>
              <w:jc w:val="center"/>
              <w:rPr>
                <w:rFonts w:hint="eastAsia" w:hAnsi="Times New Roman" w:eastAsia="宋体"/>
                <w:b/>
                <w:bCs/>
                <w:spacing w:val="9"/>
                <w:kern w:val="2"/>
                <w:szCs w:val="24"/>
              </w:rPr>
            </w:pPr>
            <w:r>
              <w:rPr>
                <w:rFonts w:hint="eastAsia" w:hAnsi="Times New Roman" w:eastAsia="宋体"/>
                <w:b/>
                <w:bCs/>
                <w:spacing w:val="9"/>
                <w:kern w:val="2"/>
                <w:szCs w:val="24"/>
              </w:rPr>
              <w:drawing>
                <wp:inline distT="0" distB="0" distL="114300" distR="114300">
                  <wp:extent cx="2567305" cy="1926590"/>
                  <wp:effectExtent l="0" t="0" r="4445" b="16510"/>
                  <wp:docPr id="714764127" name="图片 714764127" descr="微信图片_20220730153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764127" name="图片 714764127" descr="微信图片_20220730153550"/>
                          <pic:cNvPicPr>
                            <a:picLocks noChangeAspect="1"/>
                          </pic:cNvPicPr>
                        </pic:nvPicPr>
                        <pic:blipFill>
                          <a:blip r:embed="rId101"/>
                          <a:stretch>
                            <a:fillRect/>
                          </a:stretch>
                        </pic:blipFill>
                        <pic:spPr>
                          <a:xfrm>
                            <a:off x="0" y="0"/>
                            <a:ext cx="2567305" cy="192659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Pr>
          <w:p>
            <w:pPr>
              <w:keepNext w:val="0"/>
              <w:keepLines w:val="0"/>
              <w:suppressLineNumbers w:val="0"/>
              <w:spacing w:before="0" w:beforeAutospacing="0" w:after="0" w:afterAutospacing="0" w:line="360" w:lineRule="auto"/>
              <w:ind w:left="0" w:right="0" w:firstLine="456"/>
              <w:jc w:val="center"/>
              <w:rPr>
                <w:rFonts w:hint="eastAsia" w:hAnsi="Times New Roman" w:eastAsia="宋体"/>
                <w:spacing w:val="9"/>
                <w:kern w:val="2"/>
                <w:szCs w:val="24"/>
              </w:rPr>
            </w:pPr>
            <w:r>
              <w:rPr>
                <w:rFonts w:hint="eastAsia" w:hAnsi="Times New Roman" w:eastAsia="宋体"/>
                <w:b/>
                <w:bCs/>
                <w:spacing w:val="9"/>
                <w:kern w:val="2"/>
                <w:sz w:val="21"/>
                <w:szCs w:val="21"/>
                <w:lang w:eastAsia="zh-CN"/>
              </w:rPr>
              <w:t>城镇生态系统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keepNext w:val="0"/>
              <w:keepLines w:val="0"/>
              <w:suppressLineNumbers w:val="0"/>
              <w:spacing w:before="0" w:beforeAutospacing="0" w:after="0" w:afterAutospacing="0" w:line="360" w:lineRule="auto"/>
              <w:ind w:left="0" w:right="0"/>
              <w:jc w:val="center"/>
              <w:rPr>
                <w:rFonts w:hint="eastAsia" w:hAnsi="Times New Roman" w:eastAsia="宋体"/>
                <w:spacing w:val="9"/>
                <w:kern w:val="2"/>
                <w:szCs w:val="24"/>
              </w:rPr>
            </w:pPr>
            <w:r>
              <w:rPr>
                <w:rFonts w:hint="eastAsia" w:hAnsi="Times New Roman" w:eastAsia="宋体"/>
                <w:spacing w:val="9"/>
                <w:kern w:val="2"/>
                <w:szCs w:val="24"/>
              </w:rPr>
              <w:drawing>
                <wp:inline distT="0" distB="0" distL="114300" distR="114300">
                  <wp:extent cx="2551430" cy="1913890"/>
                  <wp:effectExtent l="0" t="0" r="1270" b="10160"/>
                  <wp:docPr id="1671874890" name="图片 1671874890" descr="微信图片_20220730153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874890" name="图片 1671874890" descr="微信图片_20220730153851"/>
                          <pic:cNvPicPr>
                            <a:picLocks noChangeAspect="1"/>
                          </pic:cNvPicPr>
                        </pic:nvPicPr>
                        <pic:blipFill>
                          <a:blip r:embed="rId102"/>
                          <a:stretch>
                            <a:fillRect/>
                          </a:stretch>
                        </pic:blipFill>
                        <pic:spPr>
                          <a:xfrm>
                            <a:off x="0" y="0"/>
                            <a:ext cx="2551430" cy="1913890"/>
                          </a:xfrm>
                          <a:prstGeom prst="rect">
                            <a:avLst/>
                          </a:prstGeom>
                        </pic:spPr>
                      </pic:pic>
                    </a:graphicData>
                  </a:graphic>
                </wp:inline>
              </w:drawing>
            </w:r>
          </w:p>
        </w:tc>
        <w:tc>
          <w:tcPr>
            <w:tcW w:w="4261" w:type="dxa"/>
          </w:tcPr>
          <w:p>
            <w:pPr>
              <w:keepNext w:val="0"/>
              <w:keepLines w:val="0"/>
              <w:suppressLineNumbers w:val="0"/>
              <w:spacing w:before="0" w:beforeAutospacing="0" w:after="0" w:afterAutospacing="0" w:line="360" w:lineRule="auto"/>
              <w:ind w:left="0" w:right="0"/>
              <w:jc w:val="center"/>
              <w:rPr>
                <w:rFonts w:hint="eastAsia" w:hAnsi="Times New Roman" w:eastAsia="宋体"/>
                <w:spacing w:val="9"/>
                <w:kern w:val="2"/>
                <w:szCs w:val="24"/>
              </w:rPr>
            </w:pPr>
            <w:r>
              <w:rPr>
                <w:rFonts w:hint="eastAsia" w:hAnsi="Times New Roman" w:eastAsia="宋体"/>
                <w:spacing w:val="9"/>
                <w:kern w:val="2"/>
                <w:szCs w:val="24"/>
              </w:rPr>
              <w:drawing>
                <wp:inline distT="0" distB="0" distL="114300" distR="114300">
                  <wp:extent cx="2567305" cy="1926590"/>
                  <wp:effectExtent l="0" t="0" r="4445" b="16510"/>
                  <wp:docPr id="890383709" name="图片 890383709" descr="微信图片_20220730153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383709" name="图片 890383709" descr="微信图片_20220730153856"/>
                          <pic:cNvPicPr>
                            <a:picLocks noChangeAspect="1"/>
                          </pic:cNvPicPr>
                        </pic:nvPicPr>
                        <pic:blipFill>
                          <a:blip r:embed="rId103"/>
                          <a:stretch>
                            <a:fillRect/>
                          </a:stretch>
                        </pic:blipFill>
                        <pic:spPr>
                          <a:xfrm>
                            <a:off x="0" y="0"/>
                            <a:ext cx="2567305" cy="192659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Pr>
          <w:p>
            <w:pPr>
              <w:keepNext w:val="0"/>
              <w:keepLines w:val="0"/>
              <w:suppressLineNumbers w:val="0"/>
              <w:spacing w:before="0" w:beforeAutospacing="0" w:after="0" w:afterAutospacing="0" w:line="360" w:lineRule="auto"/>
              <w:ind w:left="0" w:right="0" w:firstLine="456"/>
              <w:jc w:val="center"/>
              <w:rPr>
                <w:rFonts w:hint="eastAsia" w:hAnsi="Times New Roman" w:eastAsia="宋体"/>
                <w:spacing w:val="9"/>
                <w:kern w:val="2"/>
                <w:szCs w:val="24"/>
              </w:rPr>
            </w:pPr>
            <w:r>
              <w:rPr>
                <w:rFonts w:hint="eastAsia" w:hAnsi="Times New Roman" w:eastAsia="宋体"/>
                <w:b/>
                <w:bCs/>
                <w:spacing w:val="9"/>
                <w:kern w:val="2"/>
                <w:sz w:val="21"/>
                <w:szCs w:val="21"/>
                <w:lang w:eastAsia="zh-CN"/>
              </w:rPr>
              <w:t>农田生态系统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keepNext w:val="0"/>
              <w:keepLines w:val="0"/>
              <w:suppressLineNumbers w:val="0"/>
              <w:spacing w:before="0" w:beforeAutospacing="0" w:after="0" w:afterAutospacing="0" w:line="360" w:lineRule="auto"/>
              <w:ind w:left="0" w:right="0"/>
              <w:jc w:val="center"/>
              <w:rPr>
                <w:rFonts w:hint="eastAsia" w:hAnsi="Times New Roman" w:eastAsia="宋体"/>
                <w:spacing w:val="9"/>
                <w:kern w:val="2"/>
                <w:szCs w:val="24"/>
              </w:rPr>
            </w:pPr>
            <w:r>
              <w:rPr>
                <w:rFonts w:hint="eastAsia" w:hAnsi="Times New Roman" w:eastAsia="宋体"/>
                <w:spacing w:val="9"/>
                <w:kern w:val="2"/>
                <w:szCs w:val="24"/>
              </w:rPr>
              <w:drawing>
                <wp:inline distT="0" distB="0" distL="114300" distR="114300">
                  <wp:extent cx="2549525" cy="1911985"/>
                  <wp:effectExtent l="0" t="0" r="3175" b="12065"/>
                  <wp:docPr id="1593727800" name="图片 1593727800" descr="db0cffc390da48a7b431546e94b9c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727800" name="图片 1593727800" descr="db0cffc390da48a7b431546e94b9cb6"/>
                          <pic:cNvPicPr>
                            <a:picLocks noChangeAspect="1"/>
                          </pic:cNvPicPr>
                        </pic:nvPicPr>
                        <pic:blipFill>
                          <a:blip r:embed="rId104"/>
                          <a:stretch>
                            <a:fillRect/>
                          </a:stretch>
                        </pic:blipFill>
                        <pic:spPr>
                          <a:xfrm>
                            <a:off x="0" y="0"/>
                            <a:ext cx="2549525" cy="1911985"/>
                          </a:xfrm>
                          <a:prstGeom prst="rect">
                            <a:avLst/>
                          </a:prstGeom>
                        </pic:spPr>
                      </pic:pic>
                    </a:graphicData>
                  </a:graphic>
                </wp:inline>
              </w:drawing>
            </w:r>
          </w:p>
        </w:tc>
        <w:tc>
          <w:tcPr>
            <w:tcW w:w="4261" w:type="dxa"/>
          </w:tcPr>
          <w:p>
            <w:pPr>
              <w:keepNext w:val="0"/>
              <w:keepLines w:val="0"/>
              <w:suppressLineNumbers w:val="0"/>
              <w:spacing w:before="0" w:beforeAutospacing="0" w:after="0" w:afterAutospacing="0" w:line="360" w:lineRule="auto"/>
              <w:ind w:left="0" w:right="0"/>
              <w:jc w:val="center"/>
              <w:rPr>
                <w:rFonts w:hint="eastAsia" w:hAnsi="Times New Roman" w:eastAsia="宋体"/>
                <w:spacing w:val="9"/>
                <w:kern w:val="2"/>
                <w:szCs w:val="24"/>
              </w:rPr>
            </w:pPr>
            <w:r>
              <w:rPr>
                <w:rFonts w:hint="eastAsia" w:hAnsi="Times New Roman" w:eastAsia="宋体"/>
                <w:spacing w:val="9"/>
                <w:kern w:val="2"/>
                <w:szCs w:val="24"/>
              </w:rPr>
              <w:drawing>
                <wp:inline distT="0" distB="0" distL="114300" distR="114300">
                  <wp:extent cx="2567305" cy="1926590"/>
                  <wp:effectExtent l="0" t="0" r="4445" b="16510"/>
                  <wp:docPr id="2099759293" name="图片 2099759293" descr="微信图片_2022073015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759293" name="图片 2099759293" descr="微信图片_20220730153502"/>
                          <pic:cNvPicPr>
                            <a:picLocks noChangeAspect="1"/>
                          </pic:cNvPicPr>
                        </pic:nvPicPr>
                        <pic:blipFill>
                          <a:blip r:embed="rId105"/>
                          <a:stretch>
                            <a:fillRect/>
                          </a:stretch>
                        </pic:blipFill>
                        <pic:spPr>
                          <a:xfrm>
                            <a:off x="0" y="0"/>
                            <a:ext cx="2567305" cy="192659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Pr>
          <w:p>
            <w:pPr>
              <w:keepNext w:val="0"/>
              <w:keepLines w:val="0"/>
              <w:suppressLineNumbers w:val="0"/>
              <w:spacing w:before="0" w:beforeAutospacing="0" w:after="0" w:afterAutospacing="0" w:line="360" w:lineRule="auto"/>
              <w:ind w:left="0" w:right="0" w:firstLine="456"/>
              <w:jc w:val="center"/>
              <w:rPr>
                <w:rFonts w:hint="eastAsia" w:hAnsi="Times New Roman" w:eastAsia="宋体"/>
                <w:spacing w:val="9"/>
                <w:kern w:val="2"/>
                <w:szCs w:val="24"/>
              </w:rPr>
            </w:pPr>
            <w:r>
              <w:rPr>
                <w:rFonts w:hint="eastAsia" w:hAnsi="Times New Roman" w:eastAsia="宋体"/>
                <w:b/>
                <w:bCs/>
                <w:spacing w:val="9"/>
                <w:kern w:val="2"/>
                <w:sz w:val="21"/>
                <w:szCs w:val="21"/>
                <w:lang w:eastAsia="zh-CN"/>
              </w:rPr>
              <w:t>湿地生态系统</w:t>
            </w:r>
          </w:p>
        </w:tc>
      </w:tr>
    </w:tbl>
    <w:p>
      <w:pPr>
        <w:spacing w:line="360" w:lineRule="auto"/>
        <w:rPr>
          <w:rFonts w:hAnsi="Times New Roman" w:eastAsia="宋体"/>
          <w:b/>
          <w:bCs/>
          <w:lang w:eastAsia="zh-CN"/>
        </w:rPr>
      </w:pPr>
      <w:r>
        <w:rPr>
          <w:rFonts w:hint="eastAsia" w:hAnsi="Times New Roman" w:eastAsia="宋体"/>
          <w:b/>
          <w:bCs/>
          <w:lang w:eastAsia="zh-CN"/>
        </w:rPr>
        <w:t>4.</w:t>
      </w:r>
      <w:r>
        <w:rPr>
          <w:rFonts w:hAnsi="Times New Roman" w:eastAsia="宋体"/>
          <w:b/>
          <w:bCs/>
          <w:lang w:eastAsia="zh-CN"/>
        </w:rPr>
        <w:t>2.6.1 生态系统生产力限制因子</w:t>
      </w:r>
    </w:p>
    <w:p>
      <w:pPr>
        <w:spacing w:line="360" w:lineRule="auto"/>
        <w:ind w:firstLine="480" w:firstLineChars="200"/>
        <w:rPr>
          <w:rFonts w:hAnsi="Times New Roman" w:eastAsia="宋体"/>
          <w:szCs w:val="24"/>
        </w:rPr>
      </w:pPr>
      <w:r>
        <w:rPr>
          <w:rFonts w:hAnsi="Times New Roman" w:eastAsia="宋体"/>
          <w:szCs w:val="24"/>
        </w:rPr>
        <w:t>生态系统生产力是指生态系统的生物生产能力包括初级生产力和次级生产力。按照Miami经验公式，计算方法如下：</w:t>
      </w:r>
    </w:p>
    <w:p>
      <w:pPr>
        <w:adjustRightInd w:val="0"/>
        <w:spacing w:line="360" w:lineRule="auto"/>
        <w:ind w:firstLine="480" w:firstLineChars="200"/>
        <w:jc w:val="center"/>
        <w:rPr>
          <w:rFonts w:hAnsi="Times New Roman" w:eastAsia="宋体"/>
          <w:szCs w:val="24"/>
        </w:rPr>
      </w:pPr>
      <w:r>
        <w:rPr>
          <w:rFonts w:hAnsi="Times New Roman" w:eastAsia="宋体"/>
          <w:szCs w:val="24"/>
        </w:rPr>
        <w:t>Yt＝3000/(1+e</w:t>
      </w:r>
      <w:r>
        <w:rPr>
          <w:rFonts w:hAnsi="Times New Roman" w:eastAsia="宋体"/>
          <w:szCs w:val="24"/>
          <w:vertAlign w:val="superscript"/>
        </w:rPr>
        <w:t>1.315-0.119 t</w:t>
      </w:r>
      <w:r>
        <w:rPr>
          <w:rFonts w:hAnsi="Times New Roman" w:eastAsia="宋体"/>
          <w:szCs w:val="24"/>
        </w:rPr>
        <w:t>)       （1）</w:t>
      </w:r>
    </w:p>
    <w:p>
      <w:pPr>
        <w:adjustRightInd w:val="0"/>
        <w:spacing w:line="360" w:lineRule="auto"/>
        <w:ind w:firstLine="480" w:firstLineChars="200"/>
        <w:jc w:val="center"/>
        <w:rPr>
          <w:rFonts w:hAnsi="Times New Roman" w:eastAsia="宋体"/>
          <w:szCs w:val="24"/>
        </w:rPr>
      </w:pPr>
      <w:r>
        <w:rPr>
          <w:rFonts w:hAnsi="Times New Roman" w:eastAsia="宋体"/>
          <w:szCs w:val="24"/>
        </w:rPr>
        <w:t>Yp=3000*(1-e</w:t>
      </w:r>
      <w:r>
        <w:rPr>
          <w:rFonts w:hAnsi="Times New Roman" w:eastAsia="宋体"/>
          <w:szCs w:val="24"/>
          <w:vertAlign w:val="superscript"/>
        </w:rPr>
        <w:t>-0.000664 p</w:t>
      </w:r>
      <w:r>
        <w:rPr>
          <w:rFonts w:hAnsi="Times New Roman" w:eastAsia="宋体"/>
          <w:szCs w:val="24"/>
        </w:rPr>
        <w:t>)        （2）</w:t>
      </w:r>
    </w:p>
    <w:p>
      <w:pPr>
        <w:spacing w:line="360" w:lineRule="auto"/>
        <w:ind w:firstLine="480" w:firstLineChars="200"/>
        <w:rPr>
          <w:rFonts w:hAnsi="Times New Roman" w:eastAsia="宋体"/>
          <w:szCs w:val="24"/>
        </w:rPr>
      </w:pPr>
      <w:r>
        <w:rPr>
          <w:rFonts w:hAnsi="Times New Roman" w:eastAsia="宋体"/>
          <w:szCs w:val="24"/>
        </w:rPr>
        <w:t>式中Yt表示根据热量计算的热量生产力；t为该地区的年均气温；Yp是根据年均降水量计算的水分生产力；p为该地区的年均降水；e为自然对数。由于Miami经验公式计算的第一性生产力在不同地区之间生态限制因子比完全相同，根据Shelford的耐受性法则和Liebig的最小因子定律，可以判断出评价区内的生态系统第一性生产力的限制因子。通常将上述两个经验公式中的最小值代表了该区域的自然生产力。</w:t>
      </w:r>
    </w:p>
    <w:p>
      <w:pPr>
        <w:pStyle w:val="14"/>
        <w:spacing w:line="240" w:lineRule="auto"/>
        <w:ind w:left="480" w:firstLine="405"/>
        <w:jc w:val="center"/>
        <w:rPr>
          <w:rFonts w:ascii="Times New Roman" w:hAnsi="Times New Roman"/>
          <w:b/>
          <w:bCs w:val="0"/>
          <w:kern w:val="0"/>
          <w:sz w:val="21"/>
          <w:szCs w:val="21"/>
          <w:lang w:eastAsia="zh-CN"/>
        </w:rPr>
      </w:pPr>
    </w:p>
    <w:p>
      <w:pPr>
        <w:pStyle w:val="14"/>
        <w:spacing w:line="240" w:lineRule="auto"/>
        <w:ind w:left="480" w:firstLine="405"/>
        <w:jc w:val="center"/>
        <w:rPr>
          <w:rFonts w:ascii="Times New Roman" w:hAnsi="Times New Roman"/>
          <w:b/>
          <w:bCs w:val="0"/>
          <w:kern w:val="0"/>
          <w:sz w:val="21"/>
          <w:szCs w:val="21"/>
          <w:lang w:eastAsia="zh-CN"/>
        </w:rPr>
      </w:pPr>
    </w:p>
    <w:p>
      <w:pPr>
        <w:pStyle w:val="14"/>
        <w:spacing w:line="240" w:lineRule="auto"/>
        <w:ind w:left="480" w:firstLine="405"/>
        <w:jc w:val="center"/>
        <w:rPr>
          <w:rFonts w:ascii="Times New Roman" w:hAnsi="Times New Roman"/>
          <w:b/>
          <w:bCs w:val="0"/>
          <w:kern w:val="0"/>
          <w:sz w:val="21"/>
          <w:szCs w:val="21"/>
          <w:lang w:eastAsia="zh-CN"/>
        </w:rPr>
      </w:pPr>
    </w:p>
    <w:p>
      <w:pPr>
        <w:pStyle w:val="14"/>
        <w:spacing w:line="240" w:lineRule="auto"/>
        <w:ind w:left="480" w:firstLine="405"/>
        <w:jc w:val="center"/>
        <w:rPr>
          <w:rFonts w:ascii="Times New Roman" w:hAnsi="Times New Roman"/>
          <w:b/>
          <w:bCs w:val="0"/>
          <w:kern w:val="0"/>
          <w:sz w:val="21"/>
          <w:szCs w:val="21"/>
          <w:lang w:eastAsia="zh-CN"/>
        </w:rPr>
      </w:pPr>
      <w:r>
        <w:rPr>
          <w:rFonts w:ascii="Times New Roman" w:hAnsi="Times New Roman"/>
          <w:b/>
          <w:bCs w:val="0"/>
          <w:kern w:val="0"/>
          <w:sz w:val="21"/>
          <w:szCs w:val="21"/>
          <w:lang w:eastAsia="zh-CN"/>
        </w:rPr>
        <w:t>表</w:t>
      </w:r>
      <w:r>
        <w:rPr>
          <w:rFonts w:hint="eastAsia" w:ascii="Times New Roman" w:hAnsi="Times New Roman"/>
          <w:b/>
          <w:bCs w:val="0"/>
          <w:kern w:val="0"/>
          <w:sz w:val="21"/>
          <w:szCs w:val="21"/>
          <w:lang w:eastAsia="zh-CN"/>
        </w:rPr>
        <w:t>4.2-13</w:t>
      </w:r>
      <w:r>
        <w:rPr>
          <w:rFonts w:ascii="Times New Roman" w:hAnsi="Times New Roman"/>
          <w:b/>
          <w:bCs w:val="0"/>
          <w:kern w:val="0"/>
          <w:sz w:val="21"/>
          <w:szCs w:val="21"/>
          <w:lang w:eastAsia="zh-CN"/>
        </w:rPr>
        <w:t>评价区内的生态系统生产力预测结果</w:t>
      </w:r>
    </w:p>
    <w:tbl>
      <w:tblPr>
        <w:tblStyle w:val="3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6"/>
        <w:gridCol w:w="1308"/>
        <w:gridCol w:w="1452"/>
        <w:gridCol w:w="1598"/>
        <w:gridCol w:w="1624"/>
        <w:gridCol w:w="1583"/>
        <w:gridCol w:w="9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0" w:hRule="atLeast"/>
        </w:trPr>
        <w:tc>
          <w:tcPr>
            <w:tcW w:w="464" w:type="pct"/>
            <w:vAlign w:val="center"/>
          </w:tcPr>
          <w:p>
            <w:pPr>
              <w:keepNext w:val="0"/>
              <w:keepLines w:val="0"/>
              <w:suppressLineNumbers w:val="0"/>
              <w:adjustRightIn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气象数据</w:t>
            </w:r>
          </w:p>
        </w:tc>
        <w:tc>
          <w:tcPr>
            <w:tcW w:w="700" w:type="pct"/>
            <w:vAlign w:val="center"/>
          </w:tcPr>
          <w:p>
            <w:pPr>
              <w:keepNext w:val="0"/>
              <w:keepLines w:val="0"/>
              <w:suppressLineNumbers w:val="0"/>
              <w:adjustRightInd w:val="0"/>
              <w:spacing w:before="0" w:beforeAutospacing="0" w:after="0" w:afterAutospacing="0"/>
              <w:ind w:left="-15" w:leftChars="-51" w:right="0" w:hanging="107" w:hangingChars="51"/>
              <w:jc w:val="center"/>
              <w:rPr>
                <w:rFonts w:hint="eastAsia" w:hAnsi="Times New Roman" w:eastAsia="宋体"/>
                <w:kern w:val="2"/>
                <w:sz w:val="21"/>
                <w:szCs w:val="21"/>
              </w:rPr>
            </w:pPr>
            <w:r>
              <w:rPr>
                <w:rFonts w:hint="eastAsia" w:hAnsi="Times New Roman" w:eastAsia="宋体"/>
                <w:kern w:val="2"/>
                <w:sz w:val="21"/>
                <w:szCs w:val="21"/>
              </w:rPr>
              <w:t>年平均气温（℃）</w:t>
            </w:r>
          </w:p>
        </w:tc>
        <w:tc>
          <w:tcPr>
            <w:tcW w:w="777" w:type="pct"/>
            <w:vAlign w:val="center"/>
          </w:tcPr>
          <w:p>
            <w:pPr>
              <w:keepNext w:val="0"/>
              <w:keepLines w:val="0"/>
              <w:suppressLineNumbers w:val="0"/>
              <w:adjustRightInd w:val="0"/>
              <w:spacing w:before="0" w:beforeAutospacing="0" w:after="0" w:afterAutospacing="0"/>
              <w:ind w:left="-14" w:leftChars="-38" w:right="0" w:hanging="77" w:hangingChars="37"/>
              <w:jc w:val="center"/>
              <w:rPr>
                <w:rFonts w:hint="eastAsia" w:hAnsi="Times New Roman" w:eastAsia="宋体"/>
                <w:kern w:val="2"/>
                <w:sz w:val="21"/>
                <w:szCs w:val="21"/>
              </w:rPr>
            </w:pPr>
            <w:r>
              <w:rPr>
                <w:rFonts w:hint="eastAsia" w:hAnsi="Times New Roman" w:eastAsia="宋体"/>
                <w:kern w:val="2"/>
                <w:sz w:val="21"/>
                <w:szCs w:val="21"/>
              </w:rPr>
              <w:t>平均降水量（mm）</w:t>
            </w:r>
          </w:p>
        </w:tc>
        <w:tc>
          <w:tcPr>
            <w:tcW w:w="855" w:type="pct"/>
            <w:vAlign w:val="center"/>
          </w:tcPr>
          <w:p>
            <w:pPr>
              <w:keepNext w:val="0"/>
              <w:keepLines w:val="0"/>
              <w:suppressLineNumbers w:val="0"/>
              <w:adjustRightInd w:val="0"/>
              <w:spacing w:before="0" w:beforeAutospacing="0" w:after="0" w:afterAutospacing="0"/>
              <w:ind w:left="-8" w:leftChars="-24" w:right="0" w:hanging="50" w:hangingChars="24"/>
              <w:jc w:val="center"/>
              <w:rPr>
                <w:rFonts w:hint="eastAsia" w:hAnsi="Times New Roman" w:eastAsia="宋体"/>
                <w:kern w:val="2"/>
                <w:sz w:val="21"/>
                <w:szCs w:val="21"/>
              </w:rPr>
            </w:pPr>
            <w:r>
              <w:rPr>
                <w:rFonts w:hint="eastAsia" w:hAnsi="Times New Roman" w:eastAsia="宋体"/>
                <w:kern w:val="2"/>
                <w:sz w:val="21"/>
                <w:szCs w:val="21"/>
              </w:rPr>
              <w:t>热量生产力（g/m</w:t>
            </w:r>
            <w:r>
              <w:rPr>
                <w:rFonts w:hint="eastAsia" w:hAnsi="Times New Roman" w:eastAsia="宋体"/>
                <w:kern w:val="2"/>
                <w:sz w:val="21"/>
                <w:szCs w:val="21"/>
                <w:vertAlign w:val="superscript"/>
              </w:rPr>
              <w:t>2</w:t>
            </w:r>
            <w:r>
              <w:rPr>
                <w:rFonts w:hint="eastAsia" w:hAnsi="Times New Roman" w:eastAsia="宋体"/>
                <w:kern w:val="2"/>
                <w:sz w:val="21"/>
                <w:szCs w:val="21"/>
              </w:rPr>
              <w:t>·a）</w:t>
            </w:r>
          </w:p>
        </w:tc>
        <w:tc>
          <w:tcPr>
            <w:tcW w:w="869" w:type="pct"/>
            <w:vAlign w:val="center"/>
          </w:tcPr>
          <w:p>
            <w:pPr>
              <w:keepNext w:val="0"/>
              <w:keepLines w:val="0"/>
              <w:suppressLineNumbers w:val="0"/>
              <w:adjustRightIn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水分生产力（g/m</w:t>
            </w:r>
            <w:r>
              <w:rPr>
                <w:rFonts w:hint="eastAsia" w:hAnsi="Times New Roman" w:eastAsia="宋体"/>
                <w:kern w:val="2"/>
                <w:sz w:val="21"/>
                <w:szCs w:val="21"/>
                <w:vertAlign w:val="superscript"/>
              </w:rPr>
              <w:t>2</w:t>
            </w:r>
            <w:r>
              <w:rPr>
                <w:rFonts w:hint="eastAsia" w:hAnsi="Times New Roman" w:eastAsia="宋体"/>
                <w:kern w:val="2"/>
                <w:sz w:val="21"/>
                <w:szCs w:val="21"/>
              </w:rPr>
              <w:t>·a）</w:t>
            </w:r>
          </w:p>
        </w:tc>
        <w:tc>
          <w:tcPr>
            <w:tcW w:w="847" w:type="pct"/>
            <w:vAlign w:val="center"/>
          </w:tcPr>
          <w:p>
            <w:pPr>
              <w:keepNext w:val="0"/>
              <w:keepLines w:val="0"/>
              <w:suppressLineNumbers w:val="0"/>
              <w:adjustRightInd w:val="0"/>
              <w:spacing w:before="0" w:beforeAutospacing="0" w:after="0" w:afterAutospacing="0"/>
              <w:ind w:left="-20" w:leftChars="-64" w:right="0" w:hanging="134" w:hangingChars="64"/>
              <w:jc w:val="center"/>
              <w:rPr>
                <w:rFonts w:hint="eastAsia" w:hAnsi="Times New Roman" w:eastAsia="宋体"/>
                <w:kern w:val="2"/>
                <w:sz w:val="21"/>
                <w:szCs w:val="21"/>
              </w:rPr>
            </w:pPr>
            <w:r>
              <w:rPr>
                <w:rFonts w:hint="eastAsia" w:hAnsi="Times New Roman" w:eastAsia="宋体"/>
                <w:kern w:val="2"/>
                <w:sz w:val="21"/>
                <w:szCs w:val="21"/>
              </w:rPr>
              <w:t>自然生产力（g/m</w:t>
            </w:r>
            <w:r>
              <w:rPr>
                <w:rFonts w:hint="eastAsia" w:hAnsi="Times New Roman" w:eastAsia="宋体"/>
                <w:kern w:val="2"/>
                <w:sz w:val="21"/>
                <w:szCs w:val="21"/>
                <w:vertAlign w:val="superscript"/>
              </w:rPr>
              <w:t>2</w:t>
            </w:r>
            <w:r>
              <w:rPr>
                <w:rFonts w:hint="eastAsia" w:hAnsi="Times New Roman" w:eastAsia="宋体"/>
                <w:kern w:val="2"/>
                <w:sz w:val="21"/>
                <w:szCs w:val="21"/>
              </w:rPr>
              <w:t>·a）</w:t>
            </w:r>
          </w:p>
        </w:tc>
        <w:tc>
          <w:tcPr>
            <w:tcW w:w="488" w:type="pct"/>
            <w:vAlign w:val="center"/>
          </w:tcPr>
          <w:p>
            <w:pPr>
              <w:keepNext w:val="0"/>
              <w:keepLines w:val="0"/>
              <w:suppressLineNumbers w:val="0"/>
              <w:adjustRightIn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自然生产力限制因子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464" w:type="pct"/>
            <w:vAlign w:val="center"/>
          </w:tcPr>
          <w:p>
            <w:pPr>
              <w:keepNext w:val="0"/>
              <w:keepLines w:val="0"/>
              <w:suppressLineNumbers w:val="0"/>
              <w:adjustRightIn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评价区</w:t>
            </w:r>
          </w:p>
        </w:tc>
        <w:tc>
          <w:tcPr>
            <w:tcW w:w="700" w:type="pct"/>
            <w:vAlign w:val="center"/>
          </w:tcPr>
          <w:p>
            <w:pPr>
              <w:keepNext w:val="0"/>
              <w:keepLines w:val="0"/>
              <w:suppressLineNumbers w:val="0"/>
              <w:adjustRightIn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13.4~</w:t>
            </w:r>
          </w:p>
          <w:p>
            <w:pPr>
              <w:keepNext w:val="0"/>
              <w:keepLines w:val="0"/>
              <w:suppressLineNumbers w:val="0"/>
              <w:adjustRightIn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16.9</w:t>
            </w:r>
          </w:p>
        </w:tc>
        <w:tc>
          <w:tcPr>
            <w:tcW w:w="777" w:type="pct"/>
            <w:vAlign w:val="center"/>
          </w:tcPr>
          <w:p>
            <w:pPr>
              <w:keepNext w:val="0"/>
              <w:keepLines w:val="0"/>
              <w:suppressLineNumbers w:val="0"/>
              <w:adjustRightIn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1200~</w:t>
            </w:r>
          </w:p>
          <w:p>
            <w:pPr>
              <w:keepNext w:val="0"/>
              <w:keepLines w:val="0"/>
              <w:suppressLineNumbers w:val="0"/>
              <w:adjustRightIn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1538</w:t>
            </w:r>
          </w:p>
        </w:tc>
        <w:tc>
          <w:tcPr>
            <w:tcW w:w="855" w:type="pct"/>
            <w:vAlign w:val="center"/>
          </w:tcPr>
          <w:p>
            <w:pPr>
              <w:keepNext w:val="0"/>
              <w:keepLines w:val="0"/>
              <w:suppressLineNumbers w:val="0"/>
              <w:adjustRightIn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1708.3445~</w:t>
            </w:r>
          </w:p>
          <w:p>
            <w:pPr>
              <w:keepNext w:val="0"/>
              <w:keepLines w:val="0"/>
              <w:suppressLineNumbers w:val="0"/>
              <w:adjustRightIn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2001.9676</w:t>
            </w:r>
          </w:p>
        </w:tc>
        <w:tc>
          <w:tcPr>
            <w:tcW w:w="869" w:type="pct"/>
            <w:vAlign w:val="center"/>
          </w:tcPr>
          <w:p>
            <w:pPr>
              <w:keepNext w:val="0"/>
              <w:keepLines w:val="0"/>
              <w:suppressLineNumbers w:val="0"/>
              <w:adjustRightIn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1647.6926~</w:t>
            </w:r>
          </w:p>
          <w:p>
            <w:pPr>
              <w:keepNext w:val="0"/>
              <w:keepLines w:val="0"/>
              <w:suppressLineNumbers w:val="0"/>
              <w:adjustRightIn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1919.5471</w:t>
            </w:r>
          </w:p>
        </w:tc>
        <w:tc>
          <w:tcPr>
            <w:tcW w:w="847" w:type="pct"/>
            <w:vAlign w:val="center"/>
          </w:tcPr>
          <w:p>
            <w:pPr>
              <w:keepNext w:val="0"/>
              <w:keepLines w:val="0"/>
              <w:suppressLineNumbers w:val="0"/>
              <w:adjustRightIn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1647.6926~</w:t>
            </w:r>
          </w:p>
          <w:p>
            <w:pPr>
              <w:keepNext w:val="0"/>
              <w:keepLines w:val="0"/>
              <w:suppressLineNumbers w:val="0"/>
              <w:adjustRightIn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1919.5471</w:t>
            </w:r>
          </w:p>
        </w:tc>
        <w:tc>
          <w:tcPr>
            <w:tcW w:w="488" w:type="pct"/>
            <w:vAlign w:val="center"/>
          </w:tcPr>
          <w:p>
            <w:pPr>
              <w:keepNext w:val="0"/>
              <w:keepLines w:val="0"/>
              <w:suppressLineNumbers w:val="0"/>
              <w:adjustRightInd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水分因子</w:t>
            </w:r>
          </w:p>
        </w:tc>
      </w:tr>
    </w:tbl>
    <w:p>
      <w:pPr>
        <w:adjustRightInd w:val="0"/>
        <w:snapToGrid w:val="0"/>
        <w:spacing w:line="360" w:lineRule="auto"/>
        <w:ind w:firstLine="480" w:firstLineChars="200"/>
        <w:rPr>
          <w:rFonts w:hAnsi="Times New Roman" w:eastAsia="宋体"/>
          <w:szCs w:val="24"/>
        </w:rPr>
      </w:pPr>
      <w:r>
        <w:rPr>
          <w:rFonts w:hAnsi="Times New Roman" w:eastAsia="宋体"/>
          <w:szCs w:val="24"/>
        </w:rPr>
        <w:t>根据评价区内的气象数据，利用Miami经验公式计算的热量生产力为</w:t>
      </w:r>
      <w:r>
        <w:rPr>
          <w:rFonts w:hAnsi="Times New Roman" w:eastAsia="宋体"/>
          <w:szCs w:val="24"/>
          <w:lang w:eastAsia="zh-CN"/>
        </w:rPr>
        <w:t>1708.3445</w:t>
      </w:r>
      <w:r>
        <w:rPr>
          <w:rFonts w:hint="eastAsia" w:hAnsi="Times New Roman" w:eastAsia="宋体"/>
          <w:szCs w:val="24"/>
          <w:lang w:eastAsia="zh-CN"/>
        </w:rPr>
        <w:t>～</w:t>
      </w:r>
      <w:r>
        <w:rPr>
          <w:rFonts w:hAnsi="Times New Roman" w:eastAsia="宋体"/>
          <w:szCs w:val="24"/>
          <w:lang w:eastAsia="zh-CN"/>
        </w:rPr>
        <w:t>2001.9676</w:t>
      </w:r>
      <w:r>
        <w:rPr>
          <w:rFonts w:hAnsi="Times New Roman" w:eastAsia="宋体"/>
          <w:szCs w:val="24"/>
        </w:rPr>
        <w:t>g/m</w:t>
      </w:r>
      <w:r>
        <w:rPr>
          <w:rFonts w:hAnsi="Times New Roman" w:eastAsia="宋体"/>
          <w:szCs w:val="24"/>
          <w:vertAlign w:val="superscript"/>
        </w:rPr>
        <w:t>2</w:t>
      </w:r>
      <w:r>
        <w:rPr>
          <w:rFonts w:hAnsi="Times New Roman" w:eastAsia="宋体"/>
          <w:szCs w:val="24"/>
        </w:rPr>
        <w:t>.a；年降水量为</w:t>
      </w:r>
      <w:r>
        <w:rPr>
          <w:rFonts w:hAnsi="Times New Roman" w:eastAsia="宋体"/>
          <w:szCs w:val="24"/>
          <w:lang w:eastAsia="zh-CN"/>
        </w:rPr>
        <w:t>1200</w:t>
      </w:r>
      <w:r>
        <w:rPr>
          <w:rFonts w:hint="eastAsia" w:hAnsi="Times New Roman" w:eastAsia="宋体"/>
          <w:szCs w:val="24"/>
          <w:lang w:eastAsia="zh-CN"/>
        </w:rPr>
        <w:t>～</w:t>
      </w:r>
      <w:r>
        <w:rPr>
          <w:rFonts w:hAnsi="Times New Roman" w:eastAsia="宋体"/>
          <w:szCs w:val="24"/>
          <w:lang w:eastAsia="zh-CN"/>
        </w:rPr>
        <w:t>1538</w:t>
      </w:r>
      <w:r>
        <w:rPr>
          <w:rFonts w:hAnsi="Times New Roman" w:eastAsia="宋体"/>
          <w:szCs w:val="24"/>
        </w:rPr>
        <w:t>mm，利用Miami经验公式计算的水分生产力为</w:t>
      </w:r>
      <w:r>
        <w:rPr>
          <w:rFonts w:hAnsi="Times New Roman" w:eastAsia="宋体"/>
          <w:szCs w:val="24"/>
          <w:lang w:eastAsia="zh-CN"/>
        </w:rPr>
        <w:t>1647.6926</w:t>
      </w:r>
      <w:r>
        <w:rPr>
          <w:rFonts w:hint="eastAsia" w:hAnsi="Times New Roman" w:eastAsia="宋体"/>
          <w:szCs w:val="24"/>
          <w:lang w:eastAsia="zh-CN"/>
        </w:rPr>
        <w:t>～</w:t>
      </w:r>
      <w:r>
        <w:rPr>
          <w:rFonts w:hAnsi="Times New Roman" w:eastAsia="宋体"/>
          <w:szCs w:val="24"/>
          <w:lang w:eastAsia="zh-CN"/>
        </w:rPr>
        <w:t>1919.5471</w:t>
      </w:r>
      <w:r>
        <w:rPr>
          <w:rFonts w:hAnsi="Times New Roman" w:eastAsia="宋体"/>
          <w:szCs w:val="24"/>
        </w:rPr>
        <w:t>g/m</w:t>
      </w:r>
      <w:r>
        <w:rPr>
          <w:rFonts w:hAnsi="Times New Roman" w:eastAsia="宋体"/>
          <w:szCs w:val="24"/>
          <w:vertAlign w:val="superscript"/>
        </w:rPr>
        <w:t>2</w:t>
      </w:r>
      <w:r>
        <w:rPr>
          <w:rFonts w:hAnsi="Times New Roman" w:eastAsia="宋体"/>
          <w:szCs w:val="24"/>
        </w:rPr>
        <w:t>.a。可以看出，该区域的水分生产力小于热量生产力，说明评价区内热量条件优于水分条件，影响生态系统第一性生产力的主要生态限制因子是水分。</w:t>
      </w:r>
    </w:p>
    <w:p>
      <w:pPr>
        <w:spacing w:line="360" w:lineRule="auto"/>
        <w:rPr>
          <w:rFonts w:hAnsi="Times New Roman" w:eastAsia="宋体"/>
          <w:b/>
          <w:bCs/>
          <w:lang w:eastAsia="zh-CN"/>
        </w:rPr>
      </w:pPr>
      <w:r>
        <w:rPr>
          <w:rFonts w:hint="eastAsia" w:hAnsi="Times New Roman" w:eastAsia="宋体"/>
          <w:b/>
          <w:bCs/>
          <w:lang w:eastAsia="zh-CN"/>
        </w:rPr>
        <w:t>4.</w:t>
      </w:r>
      <w:r>
        <w:rPr>
          <w:rFonts w:hAnsi="Times New Roman" w:eastAsia="宋体"/>
          <w:b/>
          <w:bCs/>
          <w:lang w:eastAsia="zh-CN"/>
        </w:rPr>
        <w:t>2.6.2 评价区生态系统的生物量</w:t>
      </w:r>
    </w:p>
    <w:p>
      <w:pPr>
        <w:widowControl/>
        <w:topLinePunct/>
        <w:snapToGrid w:val="0"/>
        <w:spacing w:line="360" w:lineRule="auto"/>
        <w:ind w:firstLine="480" w:firstLineChars="200"/>
        <w:rPr>
          <w:rFonts w:hAnsi="Times New Roman" w:eastAsia="宋体"/>
          <w:szCs w:val="24"/>
        </w:rPr>
      </w:pPr>
      <w:r>
        <w:rPr>
          <w:rFonts w:hAnsi="Times New Roman" w:eastAsia="宋体"/>
          <w:szCs w:val="24"/>
        </w:rPr>
        <w:t>根据评价区内各种植被类型（生态系统）的面积，计算得到评价区生态系统的生物量及其总和，详见表</w:t>
      </w:r>
      <w:r>
        <w:rPr>
          <w:rFonts w:hint="eastAsia" w:hAnsi="Times New Roman" w:eastAsia="宋体"/>
          <w:szCs w:val="24"/>
          <w:lang w:eastAsia="zh-CN"/>
        </w:rPr>
        <w:t>4.2-14</w:t>
      </w:r>
      <w:r>
        <w:rPr>
          <w:rFonts w:hAnsi="Times New Roman" w:eastAsia="宋体"/>
          <w:szCs w:val="24"/>
        </w:rPr>
        <w:t>。</w:t>
      </w:r>
    </w:p>
    <w:p>
      <w:pPr>
        <w:pStyle w:val="14"/>
        <w:spacing w:line="240" w:lineRule="auto"/>
        <w:ind w:left="480" w:firstLine="405"/>
        <w:jc w:val="center"/>
        <w:rPr>
          <w:rFonts w:ascii="Times New Roman" w:hAnsi="Times New Roman"/>
          <w:b/>
          <w:bCs w:val="0"/>
          <w:kern w:val="0"/>
          <w:sz w:val="21"/>
          <w:szCs w:val="21"/>
          <w:lang w:eastAsia="zh-CN"/>
        </w:rPr>
      </w:pPr>
      <w:r>
        <w:rPr>
          <w:rFonts w:ascii="Times New Roman" w:hAnsi="Times New Roman"/>
          <w:b/>
          <w:bCs w:val="0"/>
          <w:kern w:val="0"/>
          <w:sz w:val="21"/>
          <w:szCs w:val="21"/>
          <w:lang w:eastAsia="zh-CN"/>
        </w:rPr>
        <w:t>表</w:t>
      </w:r>
      <w:r>
        <w:rPr>
          <w:rFonts w:hint="eastAsia" w:ascii="Times New Roman" w:hAnsi="Times New Roman"/>
          <w:b/>
          <w:bCs w:val="0"/>
          <w:kern w:val="0"/>
          <w:sz w:val="21"/>
          <w:szCs w:val="21"/>
          <w:lang w:eastAsia="zh-CN"/>
        </w:rPr>
        <w:t>4.2-14</w:t>
      </w:r>
      <w:r>
        <w:rPr>
          <w:rFonts w:ascii="Times New Roman" w:hAnsi="Times New Roman"/>
          <w:b/>
          <w:bCs w:val="0"/>
          <w:kern w:val="0"/>
          <w:sz w:val="21"/>
          <w:szCs w:val="21"/>
          <w:lang w:eastAsia="zh-CN"/>
        </w:rPr>
        <w:t>评价区植被生物量一览表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70"/>
        <w:gridCol w:w="1880"/>
        <w:gridCol w:w="2325"/>
        <w:gridCol w:w="1699"/>
        <w:gridCol w:w="16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948" w:type="pct"/>
            <w:vMerge w:val="restart"/>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生态系统</w:t>
            </w:r>
          </w:p>
        </w:tc>
        <w:tc>
          <w:tcPr>
            <w:tcW w:w="1006" w:type="pct"/>
            <w:vMerge w:val="restart"/>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面积（hm</w:t>
            </w:r>
            <w:r>
              <w:rPr>
                <w:rFonts w:hint="eastAsia" w:hAnsi="Times New Roman" w:eastAsia="宋体"/>
                <w:kern w:val="2"/>
                <w:sz w:val="21"/>
                <w:szCs w:val="21"/>
                <w:vertAlign w:val="superscript"/>
              </w:rPr>
              <w:t>2</w:t>
            </w:r>
            <w:r>
              <w:rPr>
                <w:rFonts w:hint="eastAsia" w:hAnsi="Times New Roman" w:eastAsia="宋体"/>
                <w:kern w:val="2"/>
                <w:sz w:val="21"/>
                <w:szCs w:val="21"/>
              </w:rPr>
              <w:t>）</w:t>
            </w:r>
          </w:p>
        </w:tc>
        <w:tc>
          <w:tcPr>
            <w:tcW w:w="3045" w:type="pct"/>
            <w:gridSpan w:val="3"/>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生物量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948" w:type="pct"/>
            <w:vMerge w:val="continue"/>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p>
        </w:tc>
        <w:tc>
          <w:tcPr>
            <w:tcW w:w="1006" w:type="pct"/>
            <w:vMerge w:val="continue"/>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p>
        </w:tc>
        <w:tc>
          <w:tcPr>
            <w:tcW w:w="1244" w:type="pct"/>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生物量（t/hm</w:t>
            </w:r>
            <w:r>
              <w:rPr>
                <w:rFonts w:hint="eastAsia" w:hAnsi="Times New Roman" w:eastAsia="宋体"/>
                <w:kern w:val="2"/>
                <w:sz w:val="21"/>
                <w:szCs w:val="21"/>
                <w:vertAlign w:val="superscript"/>
              </w:rPr>
              <w:t>2</w:t>
            </w:r>
            <w:r>
              <w:rPr>
                <w:rFonts w:hint="eastAsia" w:hAnsi="Times New Roman" w:eastAsia="宋体"/>
                <w:kern w:val="2"/>
                <w:sz w:val="21"/>
                <w:szCs w:val="21"/>
              </w:rPr>
              <w:t>）</w:t>
            </w:r>
          </w:p>
        </w:tc>
        <w:tc>
          <w:tcPr>
            <w:tcW w:w="909" w:type="pct"/>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rPr>
              <w:t>总生物量</w:t>
            </w:r>
            <w:r>
              <w:rPr>
                <w:rFonts w:hint="eastAsia" w:hAnsi="Times New Roman" w:eastAsia="宋体"/>
                <w:kern w:val="2"/>
                <w:sz w:val="21"/>
                <w:szCs w:val="21"/>
                <w:lang w:eastAsia="zh-CN"/>
              </w:rPr>
              <w:t>（</w:t>
            </w:r>
            <w:r>
              <w:rPr>
                <w:rFonts w:hint="eastAsia" w:hAnsi="Times New Roman" w:eastAsia="宋体"/>
                <w:kern w:val="2"/>
                <w:sz w:val="21"/>
                <w:szCs w:val="21"/>
              </w:rPr>
              <w:t>t</w:t>
            </w:r>
            <w:r>
              <w:rPr>
                <w:rFonts w:hint="eastAsia" w:hAnsi="Times New Roman" w:eastAsia="宋体"/>
                <w:kern w:val="2"/>
                <w:sz w:val="21"/>
                <w:szCs w:val="21"/>
                <w:lang w:eastAsia="zh-CN"/>
              </w:rPr>
              <w:t>）</w:t>
            </w:r>
          </w:p>
        </w:tc>
        <w:tc>
          <w:tcPr>
            <w:tcW w:w="893" w:type="pct"/>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48" w:type="pct"/>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针叶林</w:t>
            </w:r>
          </w:p>
        </w:tc>
        <w:tc>
          <w:tcPr>
            <w:tcW w:w="1006"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 xml:space="preserve">845.1922 </w:t>
            </w:r>
          </w:p>
        </w:tc>
        <w:tc>
          <w:tcPr>
            <w:tcW w:w="1244"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98.02</w:t>
            </w:r>
          </w:p>
        </w:tc>
        <w:tc>
          <w:tcPr>
            <w:tcW w:w="909"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82845.7394 </w:t>
            </w:r>
          </w:p>
        </w:tc>
        <w:tc>
          <w:tcPr>
            <w:tcW w:w="893"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84.40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48" w:type="pct"/>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灌丛</w:t>
            </w:r>
          </w:p>
        </w:tc>
        <w:tc>
          <w:tcPr>
            <w:tcW w:w="1006"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 xml:space="preserve">202.2133 </w:t>
            </w:r>
          </w:p>
        </w:tc>
        <w:tc>
          <w:tcPr>
            <w:tcW w:w="1244"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45.18</w:t>
            </w:r>
          </w:p>
        </w:tc>
        <w:tc>
          <w:tcPr>
            <w:tcW w:w="909"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9135.9969 </w:t>
            </w:r>
          </w:p>
        </w:tc>
        <w:tc>
          <w:tcPr>
            <w:tcW w:w="893"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9.31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48" w:type="pct"/>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耕地</w:t>
            </w:r>
          </w:p>
        </w:tc>
        <w:tc>
          <w:tcPr>
            <w:tcW w:w="1006"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199.9649</w:t>
            </w:r>
          </w:p>
        </w:tc>
        <w:tc>
          <w:tcPr>
            <w:tcW w:w="1244"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30</w:t>
            </w:r>
          </w:p>
        </w:tc>
        <w:tc>
          <w:tcPr>
            <w:tcW w:w="909"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5998.9470 </w:t>
            </w:r>
          </w:p>
        </w:tc>
        <w:tc>
          <w:tcPr>
            <w:tcW w:w="893"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6.11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48"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交通用地</w:t>
            </w:r>
          </w:p>
        </w:tc>
        <w:tc>
          <w:tcPr>
            <w:tcW w:w="1006"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 xml:space="preserve">25.2209 </w:t>
            </w:r>
          </w:p>
        </w:tc>
        <w:tc>
          <w:tcPr>
            <w:tcW w:w="1244"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w:t>
            </w:r>
          </w:p>
        </w:tc>
        <w:tc>
          <w:tcPr>
            <w:tcW w:w="909"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w:t>
            </w:r>
          </w:p>
        </w:tc>
        <w:tc>
          <w:tcPr>
            <w:tcW w:w="893"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948"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建筑用地</w:t>
            </w:r>
          </w:p>
        </w:tc>
        <w:tc>
          <w:tcPr>
            <w:tcW w:w="1006"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 xml:space="preserve">23.1792 </w:t>
            </w:r>
          </w:p>
        </w:tc>
        <w:tc>
          <w:tcPr>
            <w:tcW w:w="1244"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w:t>
            </w:r>
          </w:p>
        </w:tc>
        <w:tc>
          <w:tcPr>
            <w:tcW w:w="909"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w:t>
            </w:r>
          </w:p>
        </w:tc>
        <w:tc>
          <w:tcPr>
            <w:tcW w:w="893"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48"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水域</w:t>
            </w:r>
          </w:p>
        </w:tc>
        <w:tc>
          <w:tcPr>
            <w:tcW w:w="1006"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 xml:space="preserve">12.0161 </w:t>
            </w:r>
          </w:p>
        </w:tc>
        <w:tc>
          <w:tcPr>
            <w:tcW w:w="1244"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9.86</w:t>
            </w:r>
          </w:p>
        </w:tc>
        <w:tc>
          <w:tcPr>
            <w:tcW w:w="909"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118.4787 </w:t>
            </w:r>
          </w:p>
        </w:tc>
        <w:tc>
          <w:tcPr>
            <w:tcW w:w="893"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0.12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48" w:type="pct"/>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草丛</w:t>
            </w:r>
          </w:p>
        </w:tc>
        <w:tc>
          <w:tcPr>
            <w:tcW w:w="1006"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 xml:space="preserve">17.9137 </w:t>
            </w:r>
          </w:p>
        </w:tc>
        <w:tc>
          <w:tcPr>
            <w:tcW w:w="1244"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3.229</w:t>
            </w:r>
          </w:p>
        </w:tc>
        <w:tc>
          <w:tcPr>
            <w:tcW w:w="909"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57.8433 </w:t>
            </w:r>
          </w:p>
        </w:tc>
        <w:tc>
          <w:tcPr>
            <w:tcW w:w="893"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0.06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48" w:type="pct"/>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合计</w:t>
            </w:r>
          </w:p>
        </w:tc>
        <w:tc>
          <w:tcPr>
            <w:tcW w:w="1006"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 xml:space="preserve">1325.7002 </w:t>
            </w:r>
          </w:p>
        </w:tc>
        <w:tc>
          <w:tcPr>
            <w:tcW w:w="1244"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w:t>
            </w:r>
          </w:p>
        </w:tc>
        <w:tc>
          <w:tcPr>
            <w:tcW w:w="909"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 xml:space="preserve">98157.0054 </w:t>
            </w:r>
          </w:p>
        </w:tc>
        <w:tc>
          <w:tcPr>
            <w:tcW w:w="893"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100</w:t>
            </w:r>
          </w:p>
        </w:tc>
      </w:tr>
    </w:tbl>
    <w:p>
      <w:pPr>
        <w:widowControl/>
        <w:topLinePunct/>
        <w:snapToGrid w:val="0"/>
        <w:spacing w:line="360" w:lineRule="auto"/>
        <w:ind w:firstLine="420" w:firstLineChars="200"/>
        <w:rPr>
          <w:rFonts w:hAnsi="Times New Roman" w:eastAsia="宋体"/>
          <w:sz w:val="21"/>
          <w:szCs w:val="21"/>
        </w:rPr>
      </w:pPr>
      <w:r>
        <w:rPr>
          <w:rFonts w:hAnsi="Times New Roman" w:eastAsia="宋体"/>
          <w:sz w:val="21"/>
          <w:szCs w:val="21"/>
          <w:u w:color="000000"/>
        </w:rPr>
        <w:t>注：植被生物量、净生产力的常数值参考论文Whittaker,R. H., and Likens,G. E.(1975). The biosphere and man. In “Primary Productivityof the Biosphere" (H. Leith and R.H. Whittaker, eds.), pp.305-328.Ecological Studies No.14.Springer-Verlag, Berlin.”</w:t>
      </w:r>
    </w:p>
    <w:p>
      <w:pPr>
        <w:widowControl/>
        <w:topLinePunct/>
        <w:snapToGrid w:val="0"/>
        <w:spacing w:line="360" w:lineRule="auto"/>
        <w:ind w:firstLine="480" w:firstLineChars="200"/>
        <w:rPr>
          <w:rFonts w:hAnsi="Times New Roman" w:eastAsia="宋体"/>
          <w:szCs w:val="24"/>
        </w:rPr>
      </w:pPr>
      <w:r>
        <w:rPr>
          <w:rFonts w:hAnsi="Times New Roman" w:eastAsia="宋体"/>
          <w:szCs w:val="24"/>
        </w:rPr>
        <w:t>由表</w:t>
      </w:r>
      <w:r>
        <w:rPr>
          <w:rFonts w:hint="eastAsia" w:hAnsi="Times New Roman" w:eastAsia="宋体"/>
          <w:szCs w:val="24"/>
          <w:lang w:eastAsia="zh-CN"/>
        </w:rPr>
        <w:t>4.2-13</w:t>
      </w:r>
      <w:r>
        <w:rPr>
          <w:rFonts w:hAnsi="Times New Roman" w:eastAsia="宋体"/>
          <w:szCs w:val="24"/>
        </w:rPr>
        <w:t>可知：在评价区总面积</w:t>
      </w:r>
      <w:r>
        <w:rPr>
          <w:rFonts w:hint="eastAsia" w:hAnsi="Times New Roman" w:eastAsia="宋体"/>
          <w:szCs w:val="24"/>
          <w:lang w:eastAsia="zh-CN"/>
        </w:rPr>
        <w:t>1325.7002</w:t>
      </w:r>
      <w:r>
        <w:rPr>
          <w:rFonts w:hAnsi="Times New Roman" w:eastAsia="宋体"/>
          <w:szCs w:val="24"/>
        </w:rPr>
        <w:t>hm</w:t>
      </w:r>
      <w:r>
        <w:rPr>
          <w:rFonts w:hAnsi="Times New Roman" w:eastAsia="宋体"/>
          <w:szCs w:val="24"/>
          <w:vertAlign w:val="superscript"/>
        </w:rPr>
        <w:t>2</w:t>
      </w:r>
      <w:r>
        <w:rPr>
          <w:rFonts w:hAnsi="Times New Roman" w:eastAsia="宋体"/>
          <w:szCs w:val="24"/>
        </w:rPr>
        <w:t>范围内，目前累积的生物量约是</w:t>
      </w:r>
      <w:r>
        <w:rPr>
          <w:rFonts w:hint="eastAsia" w:hAnsi="Times New Roman" w:eastAsia="宋体"/>
          <w:szCs w:val="24"/>
          <w:lang w:eastAsia="zh-CN" w:bidi="ar"/>
        </w:rPr>
        <w:t>98157.0054</w:t>
      </w:r>
      <w:r>
        <w:rPr>
          <w:rFonts w:hAnsi="Times New Roman" w:eastAsia="宋体"/>
          <w:szCs w:val="24"/>
        </w:rPr>
        <w:t>t（干重）。</w:t>
      </w:r>
    </w:p>
    <w:p>
      <w:pPr>
        <w:spacing w:line="360" w:lineRule="auto"/>
        <w:rPr>
          <w:rFonts w:hAnsi="Times New Roman" w:eastAsia="宋体"/>
          <w:b/>
          <w:bCs/>
          <w:lang w:eastAsia="zh-CN"/>
        </w:rPr>
      </w:pPr>
      <w:r>
        <w:rPr>
          <w:rFonts w:hint="eastAsia" w:hAnsi="Times New Roman" w:eastAsia="宋体"/>
          <w:b/>
          <w:bCs/>
          <w:lang w:eastAsia="zh-CN"/>
        </w:rPr>
        <w:t>4.</w:t>
      </w:r>
      <w:r>
        <w:rPr>
          <w:rFonts w:hAnsi="Times New Roman" w:eastAsia="宋体"/>
          <w:b/>
          <w:bCs/>
          <w:lang w:eastAsia="zh-CN"/>
        </w:rPr>
        <w:t>2.6.3 评价区自然体系生产力现状及分析</w:t>
      </w:r>
    </w:p>
    <w:p>
      <w:pPr>
        <w:widowControl/>
        <w:topLinePunct/>
        <w:snapToGrid w:val="0"/>
        <w:spacing w:line="360" w:lineRule="auto"/>
        <w:ind w:firstLine="480" w:firstLineChars="200"/>
        <w:rPr>
          <w:rFonts w:hAnsi="Times New Roman" w:eastAsia="宋体"/>
          <w:szCs w:val="24"/>
        </w:rPr>
      </w:pPr>
      <w:r>
        <w:rPr>
          <w:rFonts w:hAnsi="Times New Roman" w:eastAsia="宋体"/>
          <w:szCs w:val="24"/>
        </w:rPr>
        <w:t>根据评价区内各种植被类型（生态系统）的面积，以及各植被类型（生态系统）的净生产力</w:t>
      </w:r>
      <w:r>
        <w:rPr>
          <w:rFonts w:hint="eastAsia" w:hAnsi="Times New Roman" w:eastAsia="宋体"/>
          <w:szCs w:val="24"/>
          <w:lang w:eastAsia="zh-CN"/>
        </w:rPr>
        <w:t>（</w:t>
      </w:r>
      <w:r>
        <w:rPr>
          <w:rFonts w:hAnsi="Times New Roman" w:eastAsia="宋体"/>
          <w:szCs w:val="24"/>
        </w:rPr>
        <w:t>t/a.hm</w:t>
      </w:r>
      <w:r>
        <w:rPr>
          <w:rFonts w:hAnsi="Times New Roman" w:eastAsia="宋体"/>
          <w:szCs w:val="24"/>
          <w:vertAlign w:val="superscript"/>
        </w:rPr>
        <w:t>2</w:t>
      </w:r>
      <w:r>
        <w:rPr>
          <w:rFonts w:hint="eastAsia" w:hAnsi="Times New Roman" w:eastAsia="宋体"/>
          <w:szCs w:val="24"/>
          <w:lang w:eastAsia="zh-CN"/>
        </w:rPr>
        <w:t>）</w:t>
      </w:r>
      <w:r>
        <w:rPr>
          <w:rFonts w:hAnsi="Times New Roman" w:eastAsia="宋体"/>
          <w:szCs w:val="24"/>
        </w:rPr>
        <w:t>，（Whittaker，Likens，1975），计算得到评价区生态系统的年生产力及其总和。</w:t>
      </w:r>
    </w:p>
    <w:p>
      <w:pPr>
        <w:pStyle w:val="14"/>
        <w:spacing w:line="240" w:lineRule="auto"/>
        <w:ind w:left="480" w:firstLine="405"/>
        <w:jc w:val="center"/>
        <w:rPr>
          <w:rFonts w:ascii="Times New Roman" w:hAnsi="Times New Roman"/>
          <w:b/>
          <w:bCs w:val="0"/>
          <w:kern w:val="0"/>
          <w:sz w:val="21"/>
          <w:szCs w:val="21"/>
          <w:lang w:eastAsia="zh-CN"/>
        </w:rPr>
      </w:pPr>
      <w:r>
        <w:rPr>
          <w:rFonts w:ascii="Times New Roman" w:hAnsi="Times New Roman"/>
          <w:b/>
          <w:bCs w:val="0"/>
          <w:kern w:val="0"/>
          <w:sz w:val="21"/>
          <w:szCs w:val="21"/>
          <w:lang w:eastAsia="zh-CN"/>
        </w:rPr>
        <w:t>表</w:t>
      </w:r>
      <w:r>
        <w:rPr>
          <w:rFonts w:hint="eastAsia" w:ascii="Times New Roman" w:hAnsi="Times New Roman"/>
          <w:b/>
          <w:bCs w:val="0"/>
          <w:kern w:val="0"/>
          <w:sz w:val="21"/>
          <w:szCs w:val="21"/>
          <w:lang w:eastAsia="zh-CN"/>
        </w:rPr>
        <w:t>4.2-15</w:t>
      </w:r>
      <w:r>
        <w:rPr>
          <w:rFonts w:ascii="Times New Roman" w:hAnsi="Times New Roman"/>
          <w:b/>
          <w:bCs w:val="0"/>
          <w:kern w:val="0"/>
          <w:sz w:val="21"/>
          <w:szCs w:val="21"/>
          <w:lang w:eastAsia="zh-CN"/>
        </w:rPr>
        <w:t>评价区植被自然生产力一览表</w:t>
      </w:r>
    </w:p>
    <w:tbl>
      <w:tblPr>
        <w:tblStyle w:val="3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99"/>
        <w:gridCol w:w="2276"/>
        <w:gridCol w:w="1689"/>
        <w:gridCol w:w="1637"/>
        <w:gridCol w:w="15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177" w:type="pct"/>
            <w:vMerge w:val="restart"/>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生态系统</w:t>
            </w:r>
          </w:p>
        </w:tc>
        <w:tc>
          <w:tcPr>
            <w:tcW w:w="1218" w:type="pct"/>
            <w:vMerge w:val="restart"/>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面积（hm</w:t>
            </w:r>
            <w:r>
              <w:rPr>
                <w:rFonts w:hint="eastAsia" w:hAnsi="Times New Roman" w:eastAsia="宋体"/>
                <w:kern w:val="2"/>
                <w:sz w:val="21"/>
                <w:szCs w:val="21"/>
                <w:vertAlign w:val="superscript"/>
              </w:rPr>
              <w:t>2</w:t>
            </w:r>
            <w:r>
              <w:rPr>
                <w:rFonts w:hint="eastAsia" w:hAnsi="Times New Roman" w:eastAsia="宋体"/>
                <w:kern w:val="2"/>
                <w:sz w:val="21"/>
                <w:szCs w:val="21"/>
              </w:rPr>
              <w:t>）</w:t>
            </w:r>
          </w:p>
        </w:tc>
        <w:tc>
          <w:tcPr>
            <w:tcW w:w="2606" w:type="pct"/>
            <w:gridSpan w:val="3"/>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生产力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1177" w:type="pct"/>
            <w:vMerge w:val="continue"/>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p>
        </w:tc>
        <w:tc>
          <w:tcPr>
            <w:tcW w:w="1218" w:type="pct"/>
            <w:vMerge w:val="continue"/>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p>
        </w:tc>
        <w:tc>
          <w:tcPr>
            <w:tcW w:w="904" w:type="pct"/>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净生产力（t/a.hm</w:t>
            </w:r>
            <w:r>
              <w:rPr>
                <w:rFonts w:hint="eastAsia" w:hAnsi="Times New Roman" w:eastAsia="宋体"/>
                <w:kern w:val="2"/>
                <w:sz w:val="21"/>
                <w:szCs w:val="21"/>
                <w:vertAlign w:val="superscript"/>
              </w:rPr>
              <w:t>2</w:t>
            </w:r>
            <w:r>
              <w:rPr>
                <w:rFonts w:hint="eastAsia" w:hAnsi="Times New Roman" w:eastAsia="宋体"/>
                <w:kern w:val="2"/>
                <w:sz w:val="21"/>
                <w:szCs w:val="21"/>
              </w:rPr>
              <w:t>）</w:t>
            </w:r>
          </w:p>
        </w:tc>
        <w:tc>
          <w:tcPr>
            <w:tcW w:w="876" w:type="pct"/>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植被生产力（t/a）</w:t>
            </w:r>
          </w:p>
        </w:tc>
        <w:tc>
          <w:tcPr>
            <w:tcW w:w="825" w:type="pct"/>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177" w:type="pct"/>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针叶林</w:t>
            </w:r>
          </w:p>
        </w:tc>
        <w:tc>
          <w:tcPr>
            <w:tcW w:w="1218"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845.1922</w:t>
            </w:r>
          </w:p>
        </w:tc>
        <w:tc>
          <w:tcPr>
            <w:tcW w:w="904"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2.39</w:t>
            </w:r>
          </w:p>
        </w:tc>
        <w:tc>
          <w:tcPr>
            <w:tcW w:w="876"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2020.0094 </w:t>
            </w:r>
          </w:p>
        </w:tc>
        <w:tc>
          <w:tcPr>
            <w:tcW w:w="825"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56.62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177" w:type="pct"/>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灌丛</w:t>
            </w:r>
          </w:p>
        </w:tc>
        <w:tc>
          <w:tcPr>
            <w:tcW w:w="1218"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202.2133</w:t>
            </w:r>
          </w:p>
        </w:tc>
        <w:tc>
          <w:tcPr>
            <w:tcW w:w="904"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1.54</w:t>
            </w:r>
          </w:p>
        </w:tc>
        <w:tc>
          <w:tcPr>
            <w:tcW w:w="876"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311.4085 </w:t>
            </w:r>
          </w:p>
        </w:tc>
        <w:tc>
          <w:tcPr>
            <w:tcW w:w="825"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8.73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trPr>
        <w:tc>
          <w:tcPr>
            <w:tcW w:w="1177" w:type="pct"/>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耕地</w:t>
            </w:r>
          </w:p>
        </w:tc>
        <w:tc>
          <w:tcPr>
            <w:tcW w:w="1218"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199.9649</w:t>
            </w:r>
          </w:p>
        </w:tc>
        <w:tc>
          <w:tcPr>
            <w:tcW w:w="904"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6</w:t>
            </w:r>
          </w:p>
        </w:tc>
        <w:tc>
          <w:tcPr>
            <w:tcW w:w="876"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1199.7894 </w:t>
            </w:r>
          </w:p>
        </w:tc>
        <w:tc>
          <w:tcPr>
            <w:tcW w:w="825"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33.63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177"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交通用地</w:t>
            </w:r>
          </w:p>
        </w:tc>
        <w:tc>
          <w:tcPr>
            <w:tcW w:w="1218"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25.2209</w:t>
            </w:r>
          </w:p>
        </w:tc>
        <w:tc>
          <w:tcPr>
            <w:tcW w:w="904"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w:t>
            </w:r>
          </w:p>
        </w:tc>
        <w:tc>
          <w:tcPr>
            <w:tcW w:w="876"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w:t>
            </w:r>
          </w:p>
        </w:tc>
        <w:tc>
          <w:tcPr>
            <w:tcW w:w="825"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1177" w:type="pct"/>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建筑用地</w:t>
            </w:r>
          </w:p>
        </w:tc>
        <w:tc>
          <w:tcPr>
            <w:tcW w:w="1218"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23.1792</w:t>
            </w:r>
          </w:p>
        </w:tc>
        <w:tc>
          <w:tcPr>
            <w:tcW w:w="904"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w:t>
            </w:r>
          </w:p>
        </w:tc>
        <w:tc>
          <w:tcPr>
            <w:tcW w:w="876"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w:t>
            </w:r>
          </w:p>
        </w:tc>
        <w:tc>
          <w:tcPr>
            <w:tcW w:w="825"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177" w:type="pct"/>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水域</w:t>
            </w:r>
          </w:p>
        </w:tc>
        <w:tc>
          <w:tcPr>
            <w:tcW w:w="1218"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12.0161</w:t>
            </w:r>
          </w:p>
        </w:tc>
        <w:tc>
          <w:tcPr>
            <w:tcW w:w="904"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0.75</w:t>
            </w:r>
          </w:p>
        </w:tc>
        <w:tc>
          <w:tcPr>
            <w:tcW w:w="876"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9.0121 </w:t>
            </w:r>
          </w:p>
        </w:tc>
        <w:tc>
          <w:tcPr>
            <w:tcW w:w="825"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177" w:type="pct"/>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草地</w:t>
            </w:r>
          </w:p>
        </w:tc>
        <w:tc>
          <w:tcPr>
            <w:tcW w:w="1218"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17.9137</w:t>
            </w:r>
          </w:p>
        </w:tc>
        <w:tc>
          <w:tcPr>
            <w:tcW w:w="904"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1.54</w:t>
            </w:r>
          </w:p>
        </w:tc>
        <w:tc>
          <w:tcPr>
            <w:tcW w:w="876"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27.5871 </w:t>
            </w:r>
          </w:p>
        </w:tc>
        <w:tc>
          <w:tcPr>
            <w:tcW w:w="825"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177" w:type="pct"/>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合计</w:t>
            </w:r>
          </w:p>
        </w:tc>
        <w:tc>
          <w:tcPr>
            <w:tcW w:w="1218"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 xml:space="preserve">1325.7003 </w:t>
            </w:r>
          </w:p>
        </w:tc>
        <w:tc>
          <w:tcPr>
            <w:tcW w:w="904"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w:t>
            </w:r>
          </w:p>
        </w:tc>
        <w:tc>
          <w:tcPr>
            <w:tcW w:w="876"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 xml:space="preserve">3567.8064 </w:t>
            </w:r>
          </w:p>
        </w:tc>
        <w:tc>
          <w:tcPr>
            <w:tcW w:w="825"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100.00</w:t>
            </w:r>
          </w:p>
        </w:tc>
      </w:tr>
    </w:tbl>
    <w:p>
      <w:pPr>
        <w:widowControl/>
        <w:topLinePunct/>
        <w:snapToGrid w:val="0"/>
        <w:spacing w:line="360" w:lineRule="auto"/>
        <w:ind w:firstLine="420" w:firstLineChars="200"/>
        <w:rPr>
          <w:rFonts w:hAnsi="Times New Roman" w:eastAsia="宋体"/>
          <w:sz w:val="21"/>
          <w:szCs w:val="21"/>
        </w:rPr>
      </w:pPr>
      <w:r>
        <w:rPr>
          <w:rFonts w:hAnsi="Times New Roman" w:eastAsia="宋体"/>
          <w:sz w:val="21"/>
          <w:szCs w:val="21"/>
          <w:u w:color="000000"/>
        </w:rPr>
        <w:t>注：植被生物量、净生产力的常数值参考论文Whittaker,R. H., and Likens,G. E.(1975). The biosphere and man. In “Primary Productivityof the Biosphere" (H. Leith and R.H. Whittaker, eds.), pp.305-328.Ecological Studies No.14.Springer-Verlag, Berlin.”</w:t>
      </w:r>
    </w:p>
    <w:p>
      <w:pPr>
        <w:widowControl/>
        <w:topLinePunct/>
        <w:snapToGrid w:val="0"/>
        <w:spacing w:line="360" w:lineRule="auto"/>
        <w:ind w:firstLine="480" w:firstLineChars="200"/>
        <w:rPr>
          <w:rFonts w:hAnsi="Times New Roman" w:eastAsia="宋体"/>
          <w:szCs w:val="24"/>
        </w:rPr>
      </w:pPr>
      <w:r>
        <w:rPr>
          <w:rFonts w:hAnsi="Times New Roman" w:eastAsia="宋体"/>
          <w:szCs w:val="24"/>
        </w:rPr>
        <w:t>由表</w:t>
      </w:r>
      <w:r>
        <w:rPr>
          <w:rFonts w:hint="eastAsia" w:hAnsi="Times New Roman" w:eastAsia="宋体"/>
          <w:szCs w:val="24"/>
        </w:rPr>
        <w:t>4.2-14</w:t>
      </w:r>
      <w:r>
        <w:rPr>
          <w:rFonts w:hAnsi="Times New Roman" w:eastAsia="宋体"/>
          <w:szCs w:val="24"/>
        </w:rPr>
        <w:t>可知：每年产生的生物生产力约为</w:t>
      </w:r>
      <w:r>
        <w:rPr>
          <w:rFonts w:hint="eastAsia" w:hAnsi="Times New Roman" w:eastAsia="宋体"/>
          <w:szCs w:val="24"/>
          <w:lang w:eastAsia="zh-CN"/>
        </w:rPr>
        <w:t>3567.8064</w:t>
      </w:r>
      <w:r>
        <w:rPr>
          <w:rFonts w:hAnsi="Times New Roman" w:eastAsia="宋体"/>
          <w:szCs w:val="24"/>
        </w:rPr>
        <w:t>（t/a）（干重）。</w:t>
      </w:r>
    </w:p>
    <w:p>
      <w:pPr>
        <w:spacing w:line="360" w:lineRule="auto"/>
        <w:rPr>
          <w:rFonts w:hAnsi="Times New Roman" w:eastAsia="宋体"/>
          <w:b/>
          <w:bCs/>
          <w:lang w:eastAsia="zh-CN"/>
        </w:rPr>
      </w:pPr>
      <w:r>
        <w:rPr>
          <w:rFonts w:hint="eastAsia" w:hAnsi="Times New Roman" w:eastAsia="宋体"/>
          <w:b/>
          <w:bCs/>
          <w:lang w:eastAsia="zh-CN"/>
        </w:rPr>
        <w:t>4.</w:t>
      </w:r>
      <w:r>
        <w:rPr>
          <w:rFonts w:hAnsi="Times New Roman" w:eastAsia="宋体"/>
          <w:b/>
          <w:bCs/>
          <w:lang w:eastAsia="zh-CN"/>
        </w:rPr>
        <w:t>2.6.4 评价区生态系统的植被覆盖度</w:t>
      </w:r>
    </w:p>
    <w:p>
      <w:pPr>
        <w:adjustRightInd w:val="0"/>
        <w:snapToGrid w:val="0"/>
        <w:spacing w:line="360" w:lineRule="auto"/>
        <w:ind w:firstLine="480" w:firstLineChars="200"/>
        <w:rPr>
          <w:rFonts w:hAnsi="Times New Roman" w:eastAsia="宋体"/>
          <w:szCs w:val="24"/>
        </w:rPr>
      </w:pPr>
      <w:r>
        <w:rPr>
          <w:rFonts w:hAnsi="Times New Roman" w:eastAsia="宋体"/>
          <w:szCs w:val="24"/>
        </w:rPr>
        <w:t>根据</w:t>
      </w:r>
      <w:r>
        <w:rPr>
          <w:rFonts w:hAnsi="Times New Roman" w:eastAsia="宋体"/>
          <w:szCs w:val="24"/>
          <w:lang w:eastAsia="zh-CN"/>
        </w:rPr>
        <w:t>FVC</w:t>
      </w:r>
      <w:r>
        <w:rPr>
          <w:rFonts w:hAnsi="Times New Roman" w:eastAsia="宋体"/>
          <w:szCs w:val="24"/>
        </w:rPr>
        <w:t>的计算结果，分别得到项目沿线遥感影像在建设前的</w:t>
      </w:r>
      <w:r>
        <w:rPr>
          <w:rFonts w:hAnsi="Times New Roman" w:eastAsia="宋体"/>
          <w:szCs w:val="24"/>
          <w:lang w:eastAsia="zh-CN"/>
        </w:rPr>
        <w:t>FVC</w:t>
      </w:r>
      <w:r>
        <w:rPr>
          <w:rFonts w:hAnsi="Times New Roman" w:eastAsia="宋体"/>
          <w:szCs w:val="24"/>
        </w:rPr>
        <w:t>均值，项目建设前期沿线遥感影像</w:t>
      </w:r>
      <w:r>
        <w:rPr>
          <w:rFonts w:hAnsi="Times New Roman" w:eastAsia="宋体"/>
          <w:szCs w:val="24"/>
          <w:lang w:eastAsia="zh-CN"/>
        </w:rPr>
        <w:t>FVC</w:t>
      </w:r>
      <w:r>
        <w:rPr>
          <w:rFonts w:hAnsi="Times New Roman" w:eastAsia="宋体"/>
          <w:szCs w:val="24"/>
        </w:rPr>
        <w:t>均值的统计结果如表</w:t>
      </w:r>
      <w:r>
        <w:rPr>
          <w:rFonts w:hint="eastAsia" w:hAnsi="Times New Roman" w:eastAsia="宋体"/>
          <w:szCs w:val="24"/>
          <w:lang w:eastAsia="zh-CN"/>
        </w:rPr>
        <w:t>4.2-16</w:t>
      </w:r>
      <w:r>
        <w:rPr>
          <w:rFonts w:hAnsi="Times New Roman" w:eastAsia="宋体"/>
          <w:szCs w:val="24"/>
        </w:rPr>
        <w:t>所示，项目建设前期沿线遥感影像</w:t>
      </w:r>
      <w:r>
        <w:rPr>
          <w:rFonts w:hAnsi="Times New Roman" w:eastAsia="宋体"/>
          <w:szCs w:val="24"/>
          <w:lang w:eastAsia="zh-CN"/>
        </w:rPr>
        <w:t>FVC</w:t>
      </w:r>
      <w:r>
        <w:rPr>
          <w:rFonts w:hAnsi="Times New Roman" w:eastAsia="宋体"/>
          <w:szCs w:val="24"/>
        </w:rPr>
        <w:t>均值变化如</w:t>
      </w:r>
      <w:r>
        <w:rPr>
          <w:rFonts w:hAnsi="Times New Roman" w:eastAsia="宋体"/>
          <w:szCs w:val="24"/>
          <w:lang w:eastAsia="zh-CN"/>
        </w:rPr>
        <w:t>附</w:t>
      </w:r>
      <w:r>
        <w:rPr>
          <w:rFonts w:hAnsi="Times New Roman" w:eastAsia="宋体"/>
          <w:szCs w:val="24"/>
        </w:rPr>
        <w:t>图所示。</w:t>
      </w:r>
    </w:p>
    <w:p>
      <w:pPr>
        <w:pStyle w:val="14"/>
        <w:spacing w:line="240" w:lineRule="auto"/>
        <w:ind w:left="480" w:firstLine="405"/>
        <w:jc w:val="center"/>
        <w:rPr>
          <w:rFonts w:ascii="Times New Roman" w:hAnsi="Times New Roman"/>
          <w:b/>
          <w:bCs w:val="0"/>
          <w:kern w:val="0"/>
          <w:sz w:val="21"/>
          <w:szCs w:val="21"/>
          <w:lang w:eastAsia="zh-CN"/>
        </w:rPr>
      </w:pPr>
      <w:r>
        <w:rPr>
          <w:rFonts w:ascii="Times New Roman" w:hAnsi="Times New Roman"/>
          <w:b/>
          <w:bCs w:val="0"/>
          <w:kern w:val="0"/>
          <w:sz w:val="21"/>
          <w:szCs w:val="21"/>
          <w:lang w:eastAsia="zh-CN"/>
        </w:rPr>
        <w:t>表</w:t>
      </w:r>
      <w:r>
        <w:rPr>
          <w:rFonts w:hint="eastAsia" w:ascii="Times New Roman" w:hAnsi="Times New Roman"/>
          <w:b/>
          <w:bCs w:val="0"/>
          <w:kern w:val="0"/>
          <w:sz w:val="21"/>
          <w:szCs w:val="21"/>
          <w:lang w:eastAsia="zh-CN"/>
        </w:rPr>
        <w:t>4.2-16</w:t>
      </w:r>
      <w:r>
        <w:rPr>
          <w:rFonts w:ascii="Times New Roman" w:hAnsi="Times New Roman"/>
          <w:b/>
          <w:bCs w:val="0"/>
          <w:kern w:val="0"/>
          <w:sz w:val="21"/>
          <w:szCs w:val="21"/>
          <w:lang w:eastAsia="zh-CN"/>
        </w:rPr>
        <w:t>项目评价区遥感影像VFC均值统计</w:t>
      </w:r>
    </w:p>
    <w:tbl>
      <w:tblPr>
        <w:tblStyle w:val="33"/>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37"/>
        <w:gridCol w:w="1479"/>
        <w:gridCol w:w="1848"/>
        <w:gridCol w:w="1491"/>
        <w:gridCol w:w="1491"/>
        <w:gridCol w:w="14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823" w:type="pct"/>
            <w:shd w:val="clear" w:color="auto" w:fill="auto"/>
            <w:vAlign w:val="center"/>
          </w:tcPr>
          <w:p>
            <w:pPr>
              <w:keepNext w:val="0"/>
              <w:keepLines w:val="0"/>
              <w:widowControl/>
              <w:suppressLineNumbers w:val="0"/>
              <w:snapToGrid w:val="0"/>
              <w:spacing w:before="0" w:beforeAutospacing="0" w:after="0" w:afterAutospacing="0"/>
              <w:ind w:left="0" w:right="0"/>
              <w:jc w:val="center"/>
              <w:textAlignment w:val="center"/>
              <w:rPr>
                <w:rFonts w:hint="eastAsia" w:hAnsi="Times New Roman" w:eastAsia="宋体"/>
                <w:b/>
                <w:bCs/>
                <w:iCs/>
                <w:kern w:val="2"/>
                <w:sz w:val="21"/>
                <w:szCs w:val="21"/>
              </w:rPr>
            </w:pPr>
            <w:r>
              <w:rPr>
                <w:rFonts w:hint="eastAsia" w:hAnsi="Times New Roman" w:eastAsia="宋体"/>
                <w:b/>
                <w:bCs/>
                <w:kern w:val="2"/>
                <w:sz w:val="21"/>
                <w:szCs w:val="21"/>
                <w:lang w:eastAsia="zh-CN" w:bidi="ar"/>
              </w:rPr>
              <w:t>植被覆盖度（FVC）</w:t>
            </w:r>
          </w:p>
        </w:tc>
        <w:tc>
          <w:tcPr>
            <w:tcW w:w="792" w:type="pct"/>
            <w:shd w:val="clear" w:color="auto" w:fill="auto"/>
            <w:vAlign w:val="center"/>
          </w:tcPr>
          <w:p>
            <w:pPr>
              <w:keepNext w:val="0"/>
              <w:keepLines w:val="0"/>
              <w:widowControl/>
              <w:suppressLineNumbers w:val="0"/>
              <w:snapToGrid w:val="0"/>
              <w:spacing w:before="0" w:beforeAutospacing="0" w:after="0" w:afterAutospacing="0"/>
              <w:ind w:left="0" w:right="0"/>
              <w:jc w:val="center"/>
              <w:textAlignment w:val="center"/>
              <w:rPr>
                <w:rFonts w:hint="eastAsia" w:hAnsi="Times New Roman" w:eastAsia="宋体"/>
                <w:b/>
                <w:bCs/>
                <w:iCs/>
                <w:kern w:val="2"/>
                <w:sz w:val="21"/>
                <w:szCs w:val="21"/>
              </w:rPr>
            </w:pPr>
            <w:r>
              <w:rPr>
                <w:rFonts w:hint="eastAsia" w:hAnsi="Times New Roman" w:eastAsia="宋体"/>
                <w:b/>
                <w:bCs/>
                <w:kern w:val="2"/>
                <w:sz w:val="21"/>
                <w:szCs w:val="21"/>
                <w:lang w:eastAsia="zh-CN" w:bidi="ar"/>
              </w:rPr>
              <w:t>植被覆盖度等级</w:t>
            </w:r>
          </w:p>
        </w:tc>
        <w:tc>
          <w:tcPr>
            <w:tcW w:w="989" w:type="pct"/>
            <w:shd w:val="clear" w:color="auto" w:fill="auto"/>
            <w:vAlign w:val="center"/>
          </w:tcPr>
          <w:p>
            <w:pPr>
              <w:keepNext w:val="0"/>
              <w:keepLines w:val="0"/>
              <w:widowControl/>
              <w:suppressLineNumbers w:val="0"/>
              <w:snapToGrid w:val="0"/>
              <w:spacing w:before="0" w:beforeAutospacing="0" w:after="0" w:afterAutospacing="0"/>
              <w:ind w:left="0" w:right="0"/>
              <w:jc w:val="center"/>
              <w:textAlignment w:val="center"/>
              <w:rPr>
                <w:rFonts w:hint="eastAsia" w:hAnsi="Times New Roman" w:eastAsia="宋体"/>
                <w:b/>
                <w:bCs/>
                <w:iCs/>
                <w:kern w:val="2"/>
                <w:sz w:val="21"/>
                <w:szCs w:val="21"/>
              </w:rPr>
            </w:pPr>
            <w:r>
              <w:rPr>
                <w:rFonts w:hint="eastAsia" w:hAnsi="Times New Roman" w:eastAsia="宋体"/>
                <w:b/>
                <w:bCs/>
                <w:kern w:val="2"/>
                <w:sz w:val="21"/>
                <w:szCs w:val="21"/>
                <w:lang w:eastAsia="zh-CN" w:bidi="ar"/>
              </w:rPr>
              <w:t>面积（hm</w:t>
            </w:r>
            <w:r>
              <w:rPr>
                <w:rFonts w:hint="eastAsia" w:hAnsi="Times New Roman" w:eastAsia="宋体"/>
                <w:b/>
                <w:bCs/>
                <w:kern w:val="2"/>
                <w:sz w:val="21"/>
                <w:szCs w:val="21"/>
                <w:vertAlign w:val="superscript"/>
                <w:lang w:eastAsia="zh-CN" w:bidi="ar"/>
              </w:rPr>
              <w:t>2</w:t>
            </w:r>
            <w:r>
              <w:rPr>
                <w:rFonts w:hint="eastAsia" w:hAnsi="Times New Roman" w:eastAsia="宋体"/>
                <w:b/>
                <w:bCs/>
                <w:kern w:val="2"/>
                <w:sz w:val="21"/>
                <w:szCs w:val="21"/>
                <w:lang w:eastAsia="zh-CN" w:bidi="ar"/>
              </w:rPr>
              <w:t>）</w:t>
            </w:r>
          </w:p>
        </w:tc>
        <w:tc>
          <w:tcPr>
            <w:tcW w:w="798" w:type="pct"/>
            <w:shd w:val="clear" w:color="auto" w:fill="auto"/>
            <w:vAlign w:val="center"/>
          </w:tcPr>
          <w:p>
            <w:pPr>
              <w:keepNext w:val="0"/>
              <w:keepLines w:val="0"/>
              <w:widowControl/>
              <w:suppressLineNumbers w:val="0"/>
              <w:snapToGrid w:val="0"/>
              <w:spacing w:before="0" w:beforeAutospacing="0" w:after="0" w:afterAutospacing="0"/>
              <w:ind w:left="0" w:right="0"/>
              <w:jc w:val="center"/>
              <w:textAlignment w:val="center"/>
              <w:rPr>
                <w:rFonts w:hint="eastAsia" w:hAnsi="Times New Roman" w:eastAsia="宋体"/>
                <w:b/>
                <w:bCs/>
                <w:iCs/>
                <w:kern w:val="2"/>
                <w:sz w:val="21"/>
                <w:szCs w:val="21"/>
              </w:rPr>
            </w:pPr>
            <w:r>
              <w:rPr>
                <w:rFonts w:hint="eastAsia" w:hAnsi="Times New Roman" w:eastAsia="宋体"/>
                <w:b/>
                <w:bCs/>
                <w:kern w:val="2"/>
                <w:sz w:val="21"/>
                <w:szCs w:val="21"/>
                <w:lang w:eastAsia="zh-CN" w:bidi="ar"/>
              </w:rPr>
              <w:t>比例（%）</w:t>
            </w:r>
          </w:p>
        </w:tc>
        <w:tc>
          <w:tcPr>
            <w:tcW w:w="798" w:type="pct"/>
            <w:shd w:val="clear" w:color="auto" w:fill="auto"/>
            <w:vAlign w:val="center"/>
          </w:tcPr>
          <w:p>
            <w:pPr>
              <w:keepNext w:val="0"/>
              <w:keepLines w:val="0"/>
              <w:widowControl/>
              <w:suppressLineNumbers w:val="0"/>
              <w:snapToGrid w:val="0"/>
              <w:spacing w:before="0" w:beforeAutospacing="0" w:after="0" w:afterAutospacing="0"/>
              <w:ind w:left="0" w:right="0"/>
              <w:jc w:val="center"/>
              <w:textAlignment w:val="center"/>
              <w:rPr>
                <w:rFonts w:hint="eastAsia" w:hAnsi="Times New Roman" w:eastAsia="宋体"/>
                <w:b/>
                <w:bCs/>
                <w:iCs/>
                <w:kern w:val="2"/>
                <w:sz w:val="21"/>
                <w:szCs w:val="21"/>
                <w:lang w:bidi="ar"/>
              </w:rPr>
            </w:pPr>
            <w:r>
              <w:rPr>
                <w:rFonts w:hint="eastAsia" w:hAnsi="Times New Roman" w:eastAsia="宋体"/>
                <w:b/>
                <w:bCs/>
                <w:kern w:val="2"/>
                <w:sz w:val="21"/>
                <w:szCs w:val="21"/>
                <w:lang w:eastAsia="zh-CN" w:bidi="ar"/>
              </w:rPr>
              <w:t>斑块数量</w:t>
            </w:r>
          </w:p>
        </w:tc>
        <w:tc>
          <w:tcPr>
            <w:tcW w:w="798" w:type="pct"/>
            <w:shd w:val="clear" w:color="auto" w:fill="auto"/>
            <w:vAlign w:val="center"/>
          </w:tcPr>
          <w:p>
            <w:pPr>
              <w:keepNext w:val="0"/>
              <w:keepLines w:val="0"/>
              <w:widowControl/>
              <w:suppressLineNumbers w:val="0"/>
              <w:snapToGrid w:val="0"/>
              <w:spacing w:before="0" w:beforeAutospacing="0" w:after="0" w:afterAutospacing="0"/>
              <w:ind w:left="0" w:right="0"/>
              <w:jc w:val="center"/>
              <w:textAlignment w:val="center"/>
              <w:rPr>
                <w:rFonts w:hint="eastAsia" w:hAnsi="Times New Roman" w:eastAsia="宋体"/>
                <w:b/>
                <w:bCs/>
                <w:iCs/>
                <w:kern w:val="2"/>
                <w:sz w:val="21"/>
                <w:szCs w:val="21"/>
                <w:lang w:bidi="ar"/>
              </w:rPr>
            </w:pPr>
            <w:r>
              <w:rPr>
                <w:rFonts w:hint="eastAsia" w:hAnsi="Times New Roman" w:eastAsia="宋体"/>
                <w:b/>
                <w:bCs/>
                <w:kern w:val="2"/>
                <w:sz w:val="21"/>
                <w:szCs w:val="21"/>
                <w:lang w:eastAsia="zh-CN" w:bidi="ar"/>
              </w:rPr>
              <w:t>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23" w:type="pct"/>
            <w:shd w:val="clear" w:color="auto" w:fill="auto"/>
            <w:vAlign w:val="center"/>
          </w:tcPr>
          <w:p>
            <w:pPr>
              <w:keepNext w:val="0"/>
              <w:keepLines w:val="0"/>
              <w:widowControl/>
              <w:suppressLineNumbers w:val="0"/>
              <w:snapToGrid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FVC≤0.2</w:t>
            </w:r>
          </w:p>
        </w:tc>
        <w:tc>
          <w:tcPr>
            <w:tcW w:w="792" w:type="pct"/>
            <w:shd w:val="clear" w:color="auto" w:fill="auto"/>
            <w:vAlign w:val="center"/>
          </w:tcPr>
          <w:p>
            <w:pPr>
              <w:keepNext w:val="0"/>
              <w:keepLines w:val="0"/>
              <w:widowControl/>
              <w:suppressLineNumbers w:val="0"/>
              <w:snapToGrid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低植被覆盖度</w:t>
            </w:r>
          </w:p>
        </w:tc>
        <w:tc>
          <w:tcPr>
            <w:tcW w:w="989"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139.1973</w:t>
            </w:r>
          </w:p>
        </w:tc>
        <w:tc>
          <w:tcPr>
            <w:tcW w:w="798"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10.54</w:t>
            </w:r>
          </w:p>
        </w:tc>
        <w:tc>
          <w:tcPr>
            <w:tcW w:w="798"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lang w:bidi="ar"/>
              </w:rPr>
            </w:pPr>
            <w:r>
              <w:rPr>
                <w:rFonts w:hint="eastAsia" w:hAnsi="Times New Roman" w:eastAsia="宋体"/>
                <w:kern w:val="2"/>
                <w:sz w:val="21"/>
                <w:szCs w:val="21"/>
                <w:lang w:eastAsia="zh-CN" w:bidi="ar"/>
              </w:rPr>
              <w:t>266</w:t>
            </w:r>
          </w:p>
        </w:tc>
        <w:tc>
          <w:tcPr>
            <w:tcW w:w="798"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lang w:bidi="ar"/>
              </w:rPr>
            </w:pPr>
            <w:r>
              <w:rPr>
                <w:rFonts w:hint="eastAsia" w:hAnsi="Times New Roman" w:eastAsia="宋体"/>
                <w:kern w:val="2"/>
                <w:sz w:val="21"/>
                <w:szCs w:val="21"/>
                <w:lang w:eastAsia="zh-CN" w:bidi="ar"/>
              </w:rPr>
              <w:t>10.25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823" w:type="pct"/>
            <w:shd w:val="clear" w:color="auto" w:fill="auto"/>
            <w:vAlign w:val="center"/>
          </w:tcPr>
          <w:p>
            <w:pPr>
              <w:keepNext w:val="0"/>
              <w:keepLines w:val="0"/>
              <w:widowControl/>
              <w:suppressLineNumbers w:val="0"/>
              <w:snapToGrid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0.2＜FVC≤0.4</w:t>
            </w:r>
          </w:p>
        </w:tc>
        <w:tc>
          <w:tcPr>
            <w:tcW w:w="792" w:type="pct"/>
            <w:shd w:val="clear" w:color="auto" w:fill="auto"/>
            <w:vAlign w:val="center"/>
          </w:tcPr>
          <w:p>
            <w:pPr>
              <w:keepNext w:val="0"/>
              <w:keepLines w:val="0"/>
              <w:widowControl/>
              <w:suppressLineNumbers w:val="0"/>
              <w:snapToGrid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中低植被覆盖度</w:t>
            </w:r>
          </w:p>
        </w:tc>
        <w:tc>
          <w:tcPr>
            <w:tcW w:w="989"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243.4944</w:t>
            </w:r>
          </w:p>
        </w:tc>
        <w:tc>
          <w:tcPr>
            <w:tcW w:w="798"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18.44</w:t>
            </w:r>
          </w:p>
        </w:tc>
        <w:tc>
          <w:tcPr>
            <w:tcW w:w="798"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lang w:bidi="ar"/>
              </w:rPr>
            </w:pPr>
            <w:r>
              <w:rPr>
                <w:rFonts w:hint="eastAsia" w:hAnsi="Times New Roman" w:eastAsia="宋体"/>
                <w:kern w:val="2"/>
                <w:sz w:val="21"/>
                <w:szCs w:val="21"/>
                <w:lang w:eastAsia="zh-CN" w:bidi="ar"/>
              </w:rPr>
              <w:t>676</w:t>
            </w:r>
          </w:p>
        </w:tc>
        <w:tc>
          <w:tcPr>
            <w:tcW w:w="798"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lang w:bidi="ar"/>
              </w:rPr>
            </w:pPr>
            <w:r>
              <w:rPr>
                <w:rFonts w:hint="eastAsia" w:hAnsi="Times New Roman" w:eastAsia="宋体"/>
                <w:kern w:val="2"/>
                <w:sz w:val="21"/>
                <w:szCs w:val="21"/>
                <w:lang w:eastAsia="zh-CN" w:bidi="ar"/>
              </w:rPr>
              <w:t>26.05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823" w:type="pct"/>
            <w:shd w:val="clear" w:color="auto" w:fill="auto"/>
            <w:vAlign w:val="center"/>
          </w:tcPr>
          <w:p>
            <w:pPr>
              <w:keepNext w:val="0"/>
              <w:keepLines w:val="0"/>
              <w:widowControl/>
              <w:suppressLineNumbers w:val="0"/>
              <w:snapToGrid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0.4＜FVC≤0.6</w:t>
            </w:r>
          </w:p>
        </w:tc>
        <w:tc>
          <w:tcPr>
            <w:tcW w:w="792" w:type="pct"/>
            <w:shd w:val="clear" w:color="auto" w:fill="auto"/>
            <w:vAlign w:val="center"/>
          </w:tcPr>
          <w:p>
            <w:pPr>
              <w:keepNext w:val="0"/>
              <w:keepLines w:val="0"/>
              <w:widowControl/>
              <w:suppressLineNumbers w:val="0"/>
              <w:snapToGrid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rPr>
              <w:t>中植被覆盖度</w:t>
            </w:r>
          </w:p>
        </w:tc>
        <w:tc>
          <w:tcPr>
            <w:tcW w:w="989"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600.8806</w:t>
            </w:r>
          </w:p>
        </w:tc>
        <w:tc>
          <w:tcPr>
            <w:tcW w:w="798"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45.50</w:t>
            </w:r>
          </w:p>
        </w:tc>
        <w:tc>
          <w:tcPr>
            <w:tcW w:w="798"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lang w:bidi="ar"/>
              </w:rPr>
            </w:pPr>
            <w:r>
              <w:rPr>
                <w:rFonts w:hint="eastAsia" w:hAnsi="Times New Roman" w:eastAsia="宋体"/>
                <w:kern w:val="2"/>
                <w:sz w:val="21"/>
                <w:szCs w:val="21"/>
                <w:lang w:eastAsia="zh-CN" w:bidi="ar"/>
              </w:rPr>
              <w:t>860</w:t>
            </w:r>
          </w:p>
        </w:tc>
        <w:tc>
          <w:tcPr>
            <w:tcW w:w="798"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lang w:bidi="ar"/>
              </w:rPr>
            </w:pPr>
            <w:r>
              <w:rPr>
                <w:rFonts w:hint="eastAsia" w:hAnsi="Times New Roman" w:eastAsia="宋体"/>
                <w:kern w:val="2"/>
                <w:sz w:val="21"/>
                <w:szCs w:val="21"/>
                <w:lang w:eastAsia="zh-CN" w:bidi="ar"/>
              </w:rPr>
              <w:t>33.14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823" w:type="pct"/>
            <w:shd w:val="clear" w:color="auto" w:fill="auto"/>
            <w:vAlign w:val="center"/>
          </w:tcPr>
          <w:p>
            <w:pPr>
              <w:keepNext w:val="0"/>
              <w:keepLines w:val="0"/>
              <w:widowControl/>
              <w:suppressLineNumbers w:val="0"/>
              <w:snapToGrid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0.6＜FVC≤0.8</w:t>
            </w:r>
          </w:p>
        </w:tc>
        <w:tc>
          <w:tcPr>
            <w:tcW w:w="792" w:type="pct"/>
            <w:shd w:val="clear" w:color="auto" w:fill="auto"/>
            <w:vAlign w:val="center"/>
          </w:tcPr>
          <w:p>
            <w:pPr>
              <w:keepNext w:val="0"/>
              <w:keepLines w:val="0"/>
              <w:widowControl/>
              <w:suppressLineNumbers w:val="0"/>
              <w:snapToGrid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中高植被覆盖度</w:t>
            </w:r>
          </w:p>
        </w:tc>
        <w:tc>
          <w:tcPr>
            <w:tcW w:w="989"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224.9697</w:t>
            </w:r>
          </w:p>
        </w:tc>
        <w:tc>
          <w:tcPr>
            <w:tcW w:w="798"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17.04</w:t>
            </w:r>
          </w:p>
        </w:tc>
        <w:tc>
          <w:tcPr>
            <w:tcW w:w="798"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lang w:bidi="ar"/>
              </w:rPr>
            </w:pPr>
            <w:r>
              <w:rPr>
                <w:rFonts w:hint="eastAsia" w:hAnsi="Times New Roman" w:eastAsia="宋体"/>
                <w:kern w:val="2"/>
                <w:sz w:val="21"/>
                <w:szCs w:val="21"/>
                <w:lang w:eastAsia="zh-CN" w:bidi="ar"/>
              </w:rPr>
              <w:t>549</w:t>
            </w:r>
          </w:p>
        </w:tc>
        <w:tc>
          <w:tcPr>
            <w:tcW w:w="798"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lang w:bidi="ar"/>
              </w:rPr>
            </w:pPr>
            <w:r>
              <w:rPr>
                <w:rFonts w:hint="eastAsia" w:hAnsi="Times New Roman" w:eastAsia="宋体"/>
                <w:kern w:val="2"/>
                <w:sz w:val="21"/>
                <w:szCs w:val="21"/>
                <w:lang w:eastAsia="zh-CN" w:bidi="ar"/>
              </w:rPr>
              <w:t>21.16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23" w:type="pct"/>
            <w:shd w:val="clear" w:color="auto" w:fill="auto"/>
            <w:vAlign w:val="center"/>
          </w:tcPr>
          <w:p>
            <w:pPr>
              <w:keepNext w:val="0"/>
              <w:keepLines w:val="0"/>
              <w:widowControl/>
              <w:suppressLineNumbers w:val="0"/>
              <w:snapToGrid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0.8＜FVC≤1</w:t>
            </w:r>
          </w:p>
        </w:tc>
        <w:tc>
          <w:tcPr>
            <w:tcW w:w="792" w:type="pct"/>
            <w:shd w:val="clear" w:color="auto" w:fill="auto"/>
            <w:vAlign w:val="center"/>
          </w:tcPr>
          <w:p>
            <w:pPr>
              <w:keepNext w:val="0"/>
              <w:keepLines w:val="0"/>
              <w:widowControl/>
              <w:suppressLineNumbers w:val="0"/>
              <w:snapToGrid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高覆盖度</w:t>
            </w:r>
          </w:p>
        </w:tc>
        <w:tc>
          <w:tcPr>
            <w:tcW w:w="989"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112.0223</w:t>
            </w:r>
          </w:p>
        </w:tc>
        <w:tc>
          <w:tcPr>
            <w:tcW w:w="798"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8.48</w:t>
            </w:r>
          </w:p>
        </w:tc>
        <w:tc>
          <w:tcPr>
            <w:tcW w:w="798"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lang w:bidi="ar"/>
              </w:rPr>
            </w:pPr>
            <w:r>
              <w:rPr>
                <w:rFonts w:hint="eastAsia" w:hAnsi="Times New Roman" w:eastAsia="宋体"/>
                <w:kern w:val="2"/>
                <w:sz w:val="21"/>
                <w:szCs w:val="21"/>
                <w:lang w:eastAsia="zh-CN" w:bidi="ar"/>
              </w:rPr>
              <w:t>244</w:t>
            </w:r>
          </w:p>
        </w:tc>
        <w:tc>
          <w:tcPr>
            <w:tcW w:w="798"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lang w:bidi="ar"/>
              </w:rPr>
            </w:pPr>
            <w:r>
              <w:rPr>
                <w:rFonts w:hint="eastAsia" w:hAnsi="Times New Roman" w:eastAsia="宋体"/>
                <w:kern w:val="2"/>
                <w:sz w:val="21"/>
                <w:szCs w:val="21"/>
                <w:lang w:eastAsia="zh-CN" w:bidi="ar"/>
              </w:rPr>
              <w:t>9.40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7" w:hRule="atLeast"/>
        </w:trPr>
        <w:tc>
          <w:tcPr>
            <w:tcW w:w="1615" w:type="pct"/>
            <w:gridSpan w:val="2"/>
            <w:shd w:val="clear" w:color="auto" w:fill="auto"/>
            <w:vAlign w:val="center"/>
          </w:tcPr>
          <w:p>
            <w:pPr>
              <w:keepNext w:val="0"/>
              <w:keepLines w:val="0"/>
              <w:widowControl/>
              <w:suppressLineNumbers w:val="0"/>
              <w:snapToGrid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合计</w:t>
            </w:r>
          </w:p>
        </w:tc>
        <w:tc>
          <w:tcPr>
            <w:tcW w:w="989"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1320.5643</w:t>
            </w:r>
          </w:p>
        </w:tc>
        <w:tc>
          <w:tcPr>
            <w:tcW w:w="798"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100</w:t>
            </w:r>
          </w:p>
        </w:tc>
        <w:tc>
          <w:tcPr>
            <w:tcW w:w="798"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lang w:bidi="ar"/>
              </w:rPr>
            </w:pPr>
            <w:r>
              <w:rPr>
                <w:rFonts w:hint="eastAsia" w:hAnsi="Times New Roman" w:eastAsia="宋体"/>
                <w:kern w:val="2"/>
                <w:sz w:val="21"/>
                <w:szCs w:val="21"/>
                <w:lang w:eastAsia="zh-CN" w:bidi="ar"/>
              </w:rPr>
              <w:t>2595</w:t>
            </w:r>
          </w:p>
        </w:tc>
        <w:tc>
          <w:tcPr>
            <w:tcW w:w="798"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lang w:bidi="ar"/>
              </w:rPr>
            </w:pPr>
            <w:r>
              <w:rPr>
                <w:rFonts w:hint="eastAsia" w:hAnsi="Times New Roman" w:eastAsia="宋体"/>
                <w:kern w:val="2"/>
                <w:sz w:val="21"/>
                <w:szCs w:val="21"/>
                <w:lang w:eastAsia="zh-CN" w:bidi="ar"/>
              </w:rPr>
              <w:t>100</w:t>
            </w:r>
          </w:p>
        </w:tc>
      </w:tr>
    </w:tbl>
    <w:p>
      <w:pPr>
        <w:widowControl/>
        <w:autoSpaceDE w:val="0"/>
        <w:autoSpaceDN w:val="0"/>
        <w:spacing w:line="360" w:lineRule="auto"/>
        <w:ind w:firstLine="480" w:firstLineChars="200"/>
        <w:rPr>
          <w:rFonts w:hAnsi="Times New Roman" w:eastAsia="宋体"/>
          <w:b/>
          <w:szCs w:val="24"/>
        </w:rPr>
      </w:pPr>
      <w:r>
        <w:rPr>
          <w:rFonts w:hAnsi="Times New Roman" w:eastAsia="宋体"/>
          <w:szCs w:val="24"/>
        </w:rPr>
        <w:t>由表</w:t>
      </w:r>
      <w:r>
        <w:rPr>
          <w:rFonts w:hint="eastAsia" w:hAnsi="Times New Roman" w:eastAsia="宋体"/>
          <w:szCs w:val="24"/>
          <w:lang w:eastAsia="zh-CN"/>
        </w:rPr>
        <w:t>4.2-15</w:t>
      </w:r>
      <w:r>
        <w:rPr>
          <w:rFonts w:hAnsi="Times New Roman" w:eastAsia="宋体"/>
          <w:szCs w:val="24"/>
        </w:rPr>
        <w:t>及</w:t>
      </w:r>
      <w:r>
        <w:rPr>
          <w:rFonts w:hAnsi="Times New Roman" w:eastAsia="宋体"/>
          <w:szCs w:val="24"/>
          <w:lang w:eastAsia="zh-CN"/>
        </w:rPr>
        <w:t>附</w:t>
      </w:r>
      <w:r>
        <w:rPr>
          <w:rFonts w:hAnsi="Times New Roman" w:eastAsia="宋体"/>
          <w:szCs w:val="24"/>
        </w:rPr>
        <w:t>图可知，项</w:t>
      </w:r>
      <w:bookmarkStart w:id="196" w:name="_Hlk110174110"/>
      <w:r>
        <w:rPr>
          <w:rFonts w:hAnsi="Times New Roman" w:eastAsia="宋体"/>
          <w:szCs w:val="24"/>
        </w:rPr>
        <w:t>目遥感影像</w:t>
      </w:r>
      <w:r>
        <w:rPr>
          <w:rFonts w:hAnsi="Times New Roman" w:eastAsia="宋体"/>
          <w:szCs w:val="24"/>
          <w:lang w:eastAsia="zh-CN"/>
        </w:rPr>
        <w:t>FVC</w:t>
      </w:r>
      <w:r>
        <w:rPr>
          <w:rFonts w:hAnsi="Times New Roman" w:eastAsia="宋体"/>
          <w:szCs w:val="24"/>
        </w:rPr>
        <w:t>均值整体处于</w:t>
      </w:r>
      <w:r>
        <w:rPr>
          <w:rFonts w:hAnsi="Times New Roman" w:eastAsia="宋体"/>
          <w:szCs w:val="24"/>
          <w:lang w:eastAsia="zh-CN"/>
        </w:rPr>
        <w:t>中等</w:t>
      </w:r>
      <w:r>
        <w:rPr>
          <w:rFonts w:hAnsi="Times New Roman" w:eastAsia="宋体"/>
          <w:szCs w:val="24"/>
        </w:rPr>
        <w:t>水平，</w:t>
      </w:r>
      <w:r>
        <w:rPr>
          <w:rFonts w:hAnsi="Times New Roman" w:eastAsia="宋体"/>
          <w:szCs w:val="24"/>
          <w:lang w:eastAsia="zh-CN"/>
        </w:rPr>
        <w:t>其中占优的</w:t>
      </w:r>
      <w:r>
        <w:rPr>
          <w:rFonts w:hAnsi="Times New Roman" w:eastAsia="宋体"/>
          <w:szCs w:val="24"/>
        </w:rPr>
        <w:t>为</w:t>
      </w:r>
      <w:bookmarkEnd w:id="196"/>
      <w:r>
        <w:rPr>
          <w:rFonts w:hAnsi="Times New Roman" w:eastAsia="宋体"/>
          <w:szCs w:val="24"/>
        </w:rPr>
        <w:t>中植被覆盖度。</w:t>
      </w:r>
    </w:p>
    <w:p>
      <w:pPr>
        <w:pStyle w:val="6"/>
        <w:rPr>
          <w:lang w:eastAsia="zh-CN"/>
        </w:rPr>
      </w:pPr>
      <w:bookmarkStart w:id="197" w:name="_Toc163812558"/>
      <w:bookmarkStart w:id="198" w:name="_Toc167095181"/>
      <w:r>
        <w:rPr>
          <w:rFonts w:hint="eastAsia"/>
          <w:lang w:eastAsia="zh-CN"/>
        </w:rPr>
        <w:t>4.</w:t>
      </w:r>
      <w:r>
        <w:rPr>
          <w:lang w:eastAsia="zh-CN"/>
        </w:rPr>
        <w:t>2.7 土地利用现状</w:t>
      </w:r>
      <w:bookmarkEnd w:id="197"/>
      <w:bookmarkEnd w:id="198"/>
    </w:p>
    <w:p>
      <w:pPr>
        <w:widowControl/>
        <w:topLinePunct/>
        <w:snapToGrid w:val="0"/>
        <w:spacing w:line="360" w:lineRule="auto"/>
        <w:ind w:firstLine="480" w:firstLineChars="200"/>
        <w:rPr>
          <w:rFonts w:hAnsi="Times New Roman" w:eastAsia="宋体"/>
          <w:szCs w:val="24"/>
        </w:rPr>
      </w:pPr>
      <w:r>
        <w:rPr>
          <w:rFonts w:hAnsi="Times New Roman" w:eastAsia="宋体"/>
          <w:szCs w:val="24"/>
        </w:rPr>
        <w:t>参考沿线各县、区的土地利用类型分布图，利用遥感技术进行卫星数据解译，得到评价范围内各种土地类型的面积（表</w:t>
      </w:r>
      <w:r>
        <w:rPr>
          <w:rFonts w:hint="eastAsia" w:hAnsi="Times New Roman" w:eastAsia="宋体"/>
          <w:szCs w:val="24"/>
          <w:lang w:eastAsia="zh-CN"/>
        </w:rPr>
        <w:t>4.2-17</w:t>
      </w:r>
      <w:r>
        <w:rPr>
          <w:rFonts w:hAnsi="Times New Roman" w:eastAsia="宋体"/>
          <w:szCs w:val="24"/>
        </w:rPr>
        <w:t>）。</w:t>
      </w:r>
    </w:p>
    <w:p>
      <w:pPr>
        <w:pStyle w:val="14"/>
        <w:spacing w:line="240" w:lineRule="auto"/>
        <w:ind w:left="480" w:firstLine="405"/>
        <w:jc w:val="center"/>
        <w:rPr>
          <w:rFonts w:ascii="Times New Roman" w:hAnsi="Times New Roman"/>
          <w:b/>
          <w:bCs w:val="0"/>
          <w:kern w:val="0"/>
          <w:sz w:val="21"/>
          <w:szCs w:val="21"/>
          <w:lang w:eastAsia="zh-CN"/>
        </w:rPr>
      </w:pPr>
      <w:r>
        <w:rPr>
          <w:rFonts w:ascii="Times New Roman" w:hAnsi="Times New Roman"/>
          <w:b/>
          <w:bCs w:val="0"/>
          <w:kern w:val="0"/>
          <w:sz w:val="21"/>
          <w:szCs w:val="21"/>
          <w:lang w:eastAsia="zh-CN"/>
        </w:rPr>
        <w:t>表</w:t>
      </w:r>
      <w:r>
        <w:rPr>
          <w:rFonts w:hint="eastAsia" w:ascii="Times New Roman" w:hAnsi="Times New Roman"/>
          <w:b/>
          <w:bCs w:val="0"/>
          <w:kern w:val="0"/>
          <w:sz w:val="21"/>
          <w:szCs w:val="21"/>
          <w:lang w:eastAsia="zh-CN"/>
        </w:rPr>
        <w:t>4.2-17</w:t>
      </w:r>
      <w:r>
        <w:rPr>
          <w:rFonts w:ascii="Times New Roman" w:hAnsi="Times New Roman"/>
          <w:b/>
          <w:bCs w:val="0"/>
          <w:kern w:val="0"/>
          <w:sz w:val="21"/>
          <w:szCs w:val="21"/>
          <w:lang w:eastAsia="zh-CN"/>
        </w:rPr>
        <w:t>评价范围内土地利用类型统计表</w:t>
      </w:r>
    </w:p>
    <w:tbl>
      <w:tblPr>
        <w:tblStyle w:val="33"/>
        <w:tblW w:w="5000" w:type="pct"/>
        <w:jc w:val="center"/>
        <w:tblLayout w:type="autofit"/>
        <w:tblCellMar>
          <w:top w:w="0" w:type="dxa"/>
          <w:left w:w="108" w:type="dxa"/>
          <w:bottom w:w="0" w:type="dxa"/>
          <w:right w:w="108" w:type="dxa"/>
        </w:tblCellMar>
      </w:tblPr>
      <w:tblGrid>
        <w:gridCol w:w="1805"/>
        <w:gridCol w:w="2009"/>
        <w:gridCol w:w="1487"/>
        <w:gridCol w:w="1360"/>
        <w:gridCol w:w="1385"/>
        <w:gridCol w:w="1297"/>
      </w:tblGrid>
      <w:tr>
        <w:tblPrEx>
          <w:tblCellMar>
            <w:top w:w="0" w:type="dxa"/>
            <w:left w:w="108" w:type="dxa"/>
            <w:bottom w:w="0" w:type="dxa"/>
            <w:right w:w="108" w:type="dxa"/>
          </w:tblCellMar>
        </w:tblPrEx>
        <w:trPr>
          <w:trHeight w:val="340" w:hRule="atLeast"/>
          <w:jc w:val="center"/>
        </w:trPr>
        <w:tc>
          <w:tcPr>
            <w:tcW w:w="2041" w:type="pct"/>
            <w:gridSpan w:val="2"/>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一级类</w:t>
            </w:r>
          </w:p>
        </w:tc>
        <w:tc>
          <w:tcPr>
            <w:tcW w:w="1524" w:type="pct"/>
            <w:gridSpan w:val="2"/>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二级类</w:t>
            </w:r>
          </w:p>
        </w:tc>
        <w:tc>
          <w:tcPr>
            <w:tcW w:w="741"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面积（hm</w:t>
            </w:r>
            <w:r>
              <w:rPr>
                <w:rFonts w:hint="eastAsia" w:hAnsi="Times New Roman" w:eastAsia="宋体"/>
                <w:b/>
                <w:bCs/>
                <w:kern w:val="2"/>
                <w:sz w:val="21"/>
                <w:szCs w:val="21"/>
                <w:vertAlign w:val="superscript"/>
              </w:rPr>
              <w:t>2</w:t>
            </w:r>
            <w:r>
              <w:rPr>
                <w:rFonts w:hint="eastAsia" w:hAnsi="Times New Roman" w:eastAsia="宋体"/>
                <w:b/>
                <w:bCs/>
                <w:kern w:val="2"/>
                <w:sz w:val="21"/>
                <w:szCs w:val="21"/>
              </w:rPr>
              <w:t>）</w:t>
            </w:r>
          </w:p>
        </w:tc>
        <w:tc>
          <w:tcPr>
            <w:tcW w:w="695"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比例（%）</w:t>
            </w:r>
          </w:p>
        </w:tc>
      </w:tr>
      <w:tr>
        <w:tblPrEx>
          <w:tblCellMar>
            <w:top w:w="0" w:type="dxa"/>
            <w:left w:w="108" w:type="dxa"/>
            <w:bottom w:w="0" w:type="dxa"/>
            <w:right w:w="108" w:type="dxa"/>
          </w:tblCellMar>
        </w:tblPrEx>
        <w:trPr>
          <w:trHeight w:val="340" w:hRule="atLeast"/>
          <w:jc w:val="center"/>
        </w:trPr>
        <w:tc>
          <w:tcPr>
            <w:tcW w:w="966"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编码</w:t>
            </w:r>
          </w:p>
        </w:tc>
        <w:tc>
          <w:tcPr>
            <w:tcW w:w="1075"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名称</w:t>
            </w:r>
          </w:p>
        </w:tc>
        <w:tc>
          <w:tcPr>
            <w:tcW w:w="796"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编码</w:t>
            </w:r>
          </w:p>
        </w:tc>
        <w:tc>
          <w:tcPr>
            <w:tcW w:w="728"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名称</w:t>
            </w:r>
          </w:p>
        </w:tc>
        <w:tc>
          <w:tcPr>
            <w:tcW w:w="741"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p>
        </w:tc>
        <w:tc>
          <w:tcPr>
            <w:tcW w:w="695"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p>
        </w:tc>
      </w:tr>
      <w:tr>
        <w:tblPrEx>
          <w:tblCellMar>
            <w:top w:w="0" w:type="dxa"/>
            <w:left w:w="108" w:type="dxa"/>
            <w:bottom w:w="0" w:type="dxa"/>
            <w:right w:w="108" w:type="dxa"/>
          </w:tblCellMar>
        </w:tblPrEx>
        <w:trPr>
          <w:trHeight w:val="340" w:hRule="atLeast"/>
          <w:jc w:val="center"/>
        </w:trPr>
        <w:tc>
          <w:tcPr>
            <w:tcW w:w="966"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w:t>
            </w:r>
          </w:p>
        </w:tc>
        <w:tc>
          <w:tcPr>
            <w:tcW w:w="1075"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耕地</w:t>
            </w:r>
          </w:p>
        </w:tc>
        <w:tc>
          <w:tcPr>
            <w:tcW w:w="796"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103</w:t>
            </w:r>
          </w:p>
        </w:tc>
        <w:tc>
          <w:tcPr>
            <w:tcW w:w="728"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旱地</w:t>
            </w:r>
          </w:p>
        </w:tc>
        <w:tc>
          <w:tcPr>
            <w:tcW w:w="741"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199.9649</w:t>
            </w:r>
          </w:p>
        </w:tc>
        <w:tc>
          <w:tcPr>
            <w:tcW w:w="695"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15.08</w:t>
            </w:r>
          </w:p>
        </w:tc>
      </w:tr>
      <w:tr>
        <w:tblPrEx>
          <w:tblCellMar>
            <w:top w:w="0" w:type="dxa"/>
            <w:left w:w="108" w:type="dxa"/>
            <w:bottom w:w="0" w:type="dxa"/>
            <w:right w:w="108" w:type="dxa"/>
          </w:tblCellMar>
        </w:tblPrEx>
        <w:trPr>
          <w:trHeight w:val="340" w:hRule="atLeast"/>
          <w:jc w:val="center"/>
        </w:trPr>
        <w:tc>
          <w:tcPr>
            <w:tcW w:w="966" w:type="pct"/>
            <w:vMerge w:val="restar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3</w:t>
            </w:r>
          </w:p>
        </w:tc>
        <w:tc>
          <w:tcPr>
            <w:tcW w:w="1075" w:type="pct"/>
            <w:vMerge w:val="restar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林地</w:t>
            </w:r>
          </w:p>
        </w:tc>
        <w:tc>
          <w:tcPr>
            <w:tcW w:w="796"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301</w:t>
            </w:r>
          </w:p>
        </w:tc>
        <w:tc>
          <w:tcPr>
            <w:tcW w:w="728"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乔木林地</w:t>
            </w:r>
          </w:p>
        </w:tc>
        <w:tc>
          <w:tcPr>
            <w:tcW w:w="741"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845.1922</w:t>
            </w:r>
          </w:p>
        </w:tc>
        <w:tc>
          <w:tcPr>
            <w:tcW w:w="695"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63.75</w:t>
            </w:r>
          </w:p>
        </w:tc>
      </w:tr>
      <w:tr>
        <w:tblPrEx>
          <w:tblCellMar>
            <w:top w:w="0" w:type="dxa"/>
            <w:left w:w="108" w:type="dxa"/>
            <w:bottom w:w="0" w:type="dxa"/>
            <w:right w:w="108" w:type="dxa"/>
          </w:tblCellMar>
        </w:tblPrEx>
        <w:trPr>
          <w:trHeight w:val="340" w:hRule="atLeast"/>
          <w:jc w:val="center"/>
        </w:trPr>
        <w:tc>
          <w:tcPr>
            <w:tcW w:w="966" w:type="pct"/>
            <w:vMerge w:val="continue"/>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p>
        </w:tc>
        <w:tc>
          <w:tcPr>
            <w:tcW w:w="1075" w:type="pct"/>
            <w:vMerge w:val="continue"/>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p>
        </w:tc>
        <w:tc>
          <w:tcPr>
            <w:tcW w:w="796"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305</w:t>
            </w:r>
          </w:p>
        </w:tc>
        <w:tc>
          <w:tcPr>
            <w:tcW w:w="728"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灌木林地</w:t>
            </w:r>
          </w:p>
        </w:tc>
        <w:tc>
          <w:tcPr>
            <w:tcW w:w="741"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202.2133</w:t>
            </w:r>
          </w:p>
        </w:tc>
        <w:tc>
          <w:tcPr>
            <w:tcW w:w="695"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15.25</w:t>
            </w:r>
          </w:p>
        </w:tc>
      </w:tr>
      <w:tr>
        <w:tblPrEx>
          <w:tblCellMar>
            <w:top w:w="0" w:type="dxa"/>
            <w:left w:w="108" w:type="dxa"/>
            <w:bottom w:w="0" w:type="dxa"/>
            <w:right w:w="108" w:type="dxa"/>
          </w:tblCellMar>
        </w:tblPrEx>
        <w:trPr>
          <w:trHeight w:val="340" w:hRule="atLeast"/>
          <w:jc w:val="center"/>
        </w:trPr>
        <w:tc>
          <w:tcPr>
            <w:tcW w:w="966"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4</w:t>
            </w:r>
          </w:p>
        </w:tc>
        <w:tc>
          <w:tcPr>
            <w:tcW w:w="1075"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草</w:t>
            </w:r>
            <w:r>
              <w:rPr>
                <w:rFonts w:hint="eastAsia" w:hAnsi="Times New Roman" w:eastAsia="宋体"/>
                <w:kern w:val="2"/>
                <w:sz w:val="21"/>
                <w:szCs w:val="21"/>
              </w:rPr>
              <w:t>地</w:t>
            </w:r>
          </w:p>
        </w:tc>
        <w:tc>
          <w:tcPr>
            <w:tcW w:w="796"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404</w:t>
            </w:r>
          </w:p>
        </w:tc>
        <w:tc>
          <w:tcPr>
            <w:tcW w:w="728"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其他草地</w:t>
            </w:r>
          </w:p>
        </w:tc>
        <w:tc>
          <w:tcPr>
            <w:tcW w:w="741"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17.9137</w:t>
            </w:r>
          </w:p>
        </w:tc>
        <w:tc>
          <w:tcPr>
            <w:tcW w:w="695"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1.35</w:t>
            </w:r>
          </w:p>
        </w:tc>
      </w:tr>
      <w:tr>
        <w:tblPrEx>
          <w:tblCellMar>
            <w:top w:w="0" w:type="dxa"/>
            <w:left w:w="108" w:type="dxa"/>
            <w:bottom w:w="0" w:type="dxa"/>
            <w:right w:w="108" w:type="dxa"/>
          </w:tblCellMar>
        </w:tblPrEx>
        <w:trPr>
          <w:trHeight w:val="340" w:hRule="atLeast"/>
          <w:jc w:val="center"/>
        </w:trPr>
        <w:tc>
          <w:tcPr>
            <w:tcW w:w="966"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bidi="ar"/>
              </w:rPr>
              <w:t>7</w:t>
            </w:r>
          </w:p>
        </w:tc>
        <w:tc>
          <w:tcPr>
            <w:tcW w:w="1075"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bidi="ar"/>
              </w:rPr>
              <w:t>住宅用地</w:t>
            </w:r>
          </w:p>
        </w:tc>
        <w:tc>
          <w:tcPr>
            <w:tcW w:w="796"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bidi="ar"/>
              </w:rPr>
              <w:t>702</w:t>
            </w:r>
          </w:p>
        </w:tc>
        <w:tc>
          <w:tcPr>
            <w:tcW w:w="728"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bidi="ar"/>
              </w:rPr>
              <w:t>农村宅基地</w:t>
            </w:r>
          </w:p>
        </w:tc>
        <w:tc>
          <w:tcPr>
            <w:tcW w:w="741"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23.1792</w:t>
            </w:r>
          </w:p>
        </w:tc>
        <w:tc>
          <w:tcPr>
            <w:tcW w:w="695"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1.75</w:t>
            </w:r>
          </w:p>
        </w:tc>
      </w:tr>
      <w:tr>
        <w:tblPrEx>
          <w:tblCellMar>
            <w:top w:w="0" w:type="dxa"/>
            <w:left w:w="108" w:type="dxa"/>
            <w:bottom w:w="0" w:type="dxa"/>
            <w:right w:w="108" w:type="dxa"/>
          </w:tblCellMar>
        </w:tblPrEx>
        <w:trPr>
          <w:trHeight w:val="340" w:hRule="atLeast"/>
          <w:jc w:val="center"/>
        </w:trPr>
        <w:tc>
          <w:tcPr>
            <w:tcW w:w="966"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10</w:t>
            </w:r>
          </w:p>
        </w:tc>
        <w:tc>
          <w:tcPr>
            <w:tcW w:w="1075"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交通运输用地</w:t>
            </w:r>
          </w:p>
        </w:tc>
        <w:tc>
          <w:tcPr>
            <w:tcW w:w="796"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1003</w:t>
            </w:r>
          </w:p>
        </w:tc>
        <w:tc>
          <w:tcPr>
            <w:tcW w:w="728"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公路用地</w:t>
            </w:r>
          </w:p>
        </w:tc>
        <w:tc>
          <w:tcPr>
            <w:tcW w:w="741"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25.2209</w:t>
            </w:r>
          </w:p>
        </w:tc>
        <w:tc>
          <w:tcPr>
            <w:tcW w:w="695"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1.90</w:t>
            </w:r>
          </w:p>
        </w:tc>
      </w:tr>
      <w:tr>
        <w:tblPrEx>
          <w:tblCellMar>
            <w:top w:w="0" w:type="dxa"/>
            <w:left w:w="108" w:type="dxa"/>
            <w:bottom w:w="0" w:type="dxa"/>
            <w:right w:w="108" w:type="dxa"/>
          </w:tblCellMar>
        </w:tblPrEx>
        <w:trPr>
          <w:trHeight w:val="340" w:hRule="atLeast"/>
          <w:jc w:val="center"/>
        </w:trPr>
        <w:tc>
          <w:tcPr>
            <w:tcW w:w="966"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11</w:t>
            </w:r>
          </w:p>
        </w:tc>
        <w:tc>
          <w:tcPr>
            <w:tcW w:w="1075"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水域</w:t>
            </w:r>
          </w:p>
        </w:tc>
        <w:tc>
          <w:tcPr>
            <w:tcW w:w="796"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1101</w:t>
            </w:r>
          </w:p>
        </w:tc>
        <w:tc>
          <w:tcPr>
            <w:tcW w:w="728"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河流水面</w:t>
            </w:r>
          </w:p>
        </w:tc>
        <w:tc>
          <w:tcPr>
            <w:tcW w:w="741"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12.0161</w:t>
            </w:r>
          </w:p>
        </w:tc>
        <w:tc>
          <w:tcPr>
            <w:tcW w:w="695"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0.91</w:t>
            </w:r>
          </w:p>
        </w:tc>
      </w:tr>
      <w:tr>
        <w:tblPrEx>
          <w:tblCellMar>
            <w:top w:w="0" w:type="dxa"/>
            <w:left w:w="108" w:type="dxa"/>
            <w:bottom w:w="0" w:type="dxa"/>
            <w:right w:w="108" w:type="dxa"/>
          </w:tblCellMar>
        </w:tblPrEx>
        <w:trPr>
          <w:trHeight w:val="340" w:hRule="atLeast"/>
          <w:jc w:val="center"/>
        </w:trPr>
        <w:tc>
          <w:tcPr>
            <w:tcW w:w="3564" w:type="pct"/>
            <w:gridSpan w:val="4"/>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合计</w:t>
            </w:r>
          </w:p>
        </w:tc>
        <w:tc>
          <w:tcPr>
            <w:tcW w:w="741"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1325.7003</w:t>
            </w:r>
          </w:p>
        </w:tc>
        <w:tc>
          <w:tcPr>
            <w:tcW w:w="695"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100</w:t>
            </w:r>
          </w:p>
        </w:tc>
      </w:tr>
    </w:tbl>
    <w:p>
      <w:pPr>
        <w:widowControl/>
        <w:topLinePunct/>
        <w:snapToGrid w:val="0"/>
        <w:spacing w:line="360" w:lineRule="auto"/>
        <w:ind w:firstLine="480" w:firstLineChars="200"/>
        <w:rPr>
          <w:rFonts w:hAnsi="Times New Roman" w:eastAsia="宋体"/>
          <w:szCs w:val="24"/>
        </w:rPr>
      </w:pPr>
      <w:r>
        <w:rPr>
          <w:rFonts w:hAnsi="Times New Roman" w:eastAsia="宋体"/>
          <w:szCs w:val="24"/>
        </w:rPr>
        <w:t>由上表可知，评价区中面积最大的是乔木林地（</w:t>
      </w:r>
      <w:r>
        <w:rPr>
          <w:rFonts w:hAnsi="Times New Roman" w:eastAsia="宋体"/>
          <w:szCs w:val="24"/>
          <w:lang w:eastAsia="zh-CN" w:bidi="ar"/>
        </w:rPr>
        <w:t>845.1922</w:t>
      </w:r>
      <w:r>
        <w:rPr>
          <w:rFonts w:hAnsi="Times New Roman" w:eastAsia="宋体"/>
          <w:szCs w:val="24"/>
        </w:rPr>
        <w:t>hm</w:t>
      </w:r>
      <w:r>
        <w:rPr>
          <w:rFonts w:hAnsi="Times New Roman" w:eastAsia="宋体"/>
          <w:szCs w:val="24"/>
          <w:vertAlign w:val="superscript"/>
        </w:rPr>
        <w:t>2</w:t>
      </w:r>
      <w:r>
        <w:rPr>
          <w:rFonts w:hAnsi="Times New Roman" w:eastAsia="宋体"/>
          <w:szCs w:val="24"/>
        </w:rPr>
        <w:t>），所占比例为</w:t>
      </w:r>
      <w:r>
        <w:rPr>
          <w:rFonts w:hAnsi="Times New Roman" w:eastAsia="宋体"/>
          <w:szCs w:val="24"/>
          <w:lang w:eastAsia="zh-CN" w:bidi="ar"/>
        </w:rPr>
        <w:t>63.75</w:t>
      </w:r>
      <w:r>
        <w:rPr>
          <w:rFonts w:hAnsi="Times New Roman" w:eastAsia="宋体"/>
          <w:szCs w:val="24"/>
        </w:rPr>
        <w:t>%，其次为灌木林地（</w:t>
      </w:r>
      <w:r>
        <w:rPr>
          <w:rFonts w:hAnsi="Times New Roman" w:eastAsia="宋体"/>
          <w:szCs w:val="24"/>
          <w:lang w:eastAsia="zh-CN" w:bidi="ar"/>
        </w:rPr>
        <w:t>202.2133</w:t>
      </w:r>
      <w:r>
        <w:rPr>
          <w:rFonts w:hAnsi="Times New Roman" w:eastAsia="宋体"/>
          <w:szCs w:val="24"/>
        </w:rPr>
        <w:t>hm</w:t>
      </w:r>
      <w:r>
        <w:rPr>
          <w:rFonts w:hAnsi="Times New Roman" w:eastAsia="宋体"/>
          <w:szCs w:val="24"/>
          <w:vertAlign w:val="superscript"/>
        </w:rPr>
        <w:t>2</w:t>
      </w:r>
      <w:r>
        <w:rPr>
          <w:rFonts w:hAnsi="Times New Roman" w:eastAsia="宋体"/>
          <w:szCs w:val="24"/>
        </w:rPr>
        <w:t>），所占比例为</w:t>
      </w:r>
      <w:r>
        <w:rPr>
          <w:rFonts w:hAnsi="Times New Roman" w:eastAsia="宋体"/>
          <w:szCs w:val="24"/>
          <w:lang w:eastAsia="zh-CN" w:bidi="ar"/>
        </w:rPr>
        <w:t>15.25</w:t>
      </w:r>
      <w:r>
        <w:rPr>
          <w:rFonts w:hAnsi="Times New Roman" w:eastAsia="宋体"/>
          <w:szCs w:val="24"/>
        </w:rPr>
        <w:t>%；而河流水面（</w:t>
      </w:r>
      <w:r>
        <w:rPr>
          <w:rFonts w:hAnsi="Times New Roman" w:eastAsia="宋体"/>
          <w:szCs w:val="24"/>
          <w:lang w:eastAsia="zh-CN" w:bidi="ar"/>
        </w:rPr>
        <w:t>12.0161</w:t>
      </w:r>
      <w:r>
        <w:rPr>
          <w:rFonts w:hAnsi="Times New Roman" w:eastAsia="宋体"/>
          <w:szCs w:val="24"/>
        </w:rPr>
        <w:t>hm</w:t>
      </w:r>
      <w:r>
        <w:rPr>
          <w:rFonts w:hAnsi="Times New Roman" w:eastAsia="宋体"/>
          <w:szCs w:val="24"/>
          <w:vertAlign w:val="superscript"/>
        </w:rPr>
        <w:t>2</w:t>
      </w:r>
      <w:r>
        <w:rPr>
          <w:rFonts w:hAnsi="Times New Roman" w:eastAsia="宋体"/>
          <w:szCs w:val="24"/>
        </w:rPr>
        <w:t>）最小，占</w:t>
      </w:r>
      <w:r>
        <w:rPr>
          <w:rFonts w:hAnsi="Times New Roman" w:eastAsia="宋体"/>
          <w:szCs w:val="24"/>
          <w:lang w:eastAsia="zh-CN" w:bidi="ar"/>
        </w:rPr>
        <w:t>0.91</w:t>
      </w:r>
      <w:r>
        <w:rPr>
          <w:rFonts w:hAnsi="Times New Roman" w:eastAsia="宋体"/>
          <w:szCs w:val="24"/>
        </w:rPr>
        <w:t>%。</w:t>
      </w:r>
    </w:p>
    <w:p>
      <w:pPr>
        <w:pStyle w:val="6"/>
        <w:rPr>
          <w:lang w:eastAsia="zh-CN"/>
        </w:rPr>
      </w:pPr>
      <w:bookmarkStart w:id="199" w:name="_Toc167095182"/>
      <w:bookmarkStart w:id="200" w:name="_Toc163812559"/>
      <w:r>
        <w:rPr>
          <w:rFonts w:hint="eastAsia"/>
          <w:lang w:eastAsia="zh-CN"/>
        </w:rPr>
        <w:t>4.</w:t>
      </w:r>
      <w:r>
        <w:rPr>
          <w:lang w:eastAsia="zh-CN"/>
        </w:rPr>
        <w:t>2.8 对景观影响预测与评价</w:t>
      </w:r>
      <w:bookmarkEnd w:id="199"/>
      <w:bookmarkEnd w:id="200"/>
    </w:p>
    <w:p>
      <w:pPr>
        <w:spacing w:line="360" w:lineRule="auto"/>
        <w:ind w:firstLine="480" w:firstLineChars="200"/>
        <w:rPr>
          <w:rFonts w:hAnsi="Times New Roman" w:eastAsia="宋体"/>
          <w:szCs w:val="24"/>
        </w:rPr>
      </w:pPr>
      <w:r>
        <w:rPr>
          <w:rFonts w:hAnsi="Times New Roman" w:eastAsia="宋体"/>
          <w:szCs w:val="24"/>
        </w:rPr>
        <w:t>根据《环境影响评价技术导则 生态影响》（HJ19-2022），“景观由斑块、基质和廊道组成”。斑块意味着景观类型的多样化，是构成景观的结构和功能单位；廊道是线性的景观单元，具有联通和阻隔的双重作用；基质代表了该景观或区域的最主要的景观类型，是景观的背景地块，是景观中一种可以控制环境质量的结构。景观是由斑块、廊道和基质等景观要素组成的异质性区域，各要素的数量、大小、类型、形状及在空间上的组合形式构成了景观格局。</w:t>
      </w:r>
    </w:p>
    <w:p>
      <w:pPr>
        <w:spacing w:line="360" w:lineRule="auto"/>
        <w:rPr>
          <w:rFonts w:hAnsi="Times New Roman" w:eastAsia="宋体"/>
          <w:b/>
          <w:bCs/>
          <w:lang w:eastAsia="zh-CN"/>
        </w:rPr>
      </w:pPr>
      <w:r>
        <w:rPr>
          <w:rFonts w:hint="eastAsia" w:hAnsi="Times New Roman" w:eastAsia="宋体"/>
          <w:b/>
          <w:bCs/>
          <w:lang w:eastAsia="zh-CN"/>
        </w:rPr>
        <w:t>4.</w:t>
      </w:r>
      <w:r>
        <w:rPr>
          <w:rFonts w:hAnsi="Times New Roman" w:eastAsia="宋体"/>
          <w:b/>
          <w:bCs/>
          <w:lang w:eastAsia="zh-CN"/>
        </w:rPr>
        <w:t>2.8.1 斑块</w:t>
      </w:r>
    </w:p>
    <w:p>
      <w:pPr>
        <w:widowControl/>
        <w:snapToGrid w:val="0"/>
        <w:spacing w:line="360" w:lineRule="auto"/>
        <w:ind w:firstLine="480" w:firstLineChars="200"/>
        <w:rPr>
          <w:rFonts w:hAnsi="Times New Roman" w:eastAsia="宋体"/>
          <w:szCs w:val="24"/>
        </w:rPr>
      </w:pPr>
      <w:r>
        <w:rPr>
          <w:rFonts w:hAnsi="Times New Roman" w:eastAsia="宋体"/>
          <w:szCs w:val="24"/>
        </w:rPr>
        <w:t>斑块代表景观类型的多样化</w:t>
      </w:r>
      <w:r>
        <w:rPr>
          <w:rFonts w:hAnsi="Times New Roman" w:eastAsia="宋体"/>
          <w:szCs w:val="24"/>
          <w:lang w:eastAsia="zh-CN"/>
        </w:rPr>
        <w:t>，</w:t>
      </w:r>
      <w:r>
        <w:rPr>
          <w:rFonts w:hAnsi="Times New Roman" w:eastAsia="宋体"/>
          <w:szCs w:val="24"/>
        </w:rPr>
        <w:t>运用ArcGIS地理信息系统软件，根据野外植被调查情况，可制作出景观评价区域的景观分布图。利用ArcGIS的统计分析功能可以得到各类景观类型的基础信息。</w:t>
      </w:r>
    </w:p>
    <w:p>
      <w:pPr>
        <w:spacing w:line="360" w:lineRule="auto"/>
        <w:jc w:val="center"/>
        <w:rPr>
          <w:rFonts w:hAnsi="Times New Roman" w:eastAsia="宋体"/>
          <w:b/>
          <w:szCs w:val="24"/>
          <w:lang w:eastAsia="zh-CN"/>
        </w:rPr>
      </w:pPr>
    </w:p>
    <w:p>
      <w:pPr>
        <w:pStyle w:val="2"/>
        <w:ind w:left="480" w:firstLine="403"/>
        <w:rPr>
          <w:rFonts w:eastAsiaTheme="minorEastAsia"/>
          <w:lang w:eastAsia="zh-CN"/>
        </w:rPr>
      </w:pPr>
    </w:p>
    <w:p>
      <w:pPr>
        <w:rPr>
          <w:rFonts w:eastAsiaTheme="minorEastAsia"/>
          <w:lang w:eastAsia="zh-CN"/>
        </w:rPr>
      </w:pPr>
    </w:p>
    <w:p>
      <w:pPr>
        <w:pStyle w:val="14"/>
        <w:spacing w:line="240" w:lineRule="auto"/>
        <w:ind w:left="480" w:firstLine="405"/>
        <w:jc w:val="center"/>
        <w:rPr>
          <w:rFonts w:ascii="Times New Roman" w:hAnsi="Times New Roman"/>
          <w:b/>
          <w:bCs w:val="0"/>
          <w:kern w:val="0"/>
          <w:sz w:val="21"/>
          <w:szCs w:val="21"/>
          <w:lang w:eastAsia="zh-CN"/>
        </w:rPr>
      </w:pPr>
      <w:r>
        <w:rPr>
          <w:rFonts w:ascii="Times New Roman" w:hAnsi="Times New Roman"/>
          <w:b/>
          <w:bCs w:val="0"/>
          <w:kern w:val="0"/>
          <w:sz w:val="21"/>
          <w:szCs w:val="21"/>
          <w:lang w:eastAsia="zh-CN"/>
        </w:rPr>
        <w:t>表</w:t>
      </w:r>
      <w:r>
        <w:rPr>
          <w:rFonts w:hint="eastAsia" w:ascii="Times New Roman" w:hAnsi="Times New Roman"/>
          <w:b/>
          <w:bCs w:val="0"/>
          <w:kern w:val="0"/>
          <w:sz w:val="21"/>
          <w:szCs w:val="21"/>
          <w:lang w:eastAsia="zh-CN"/>
        </w:rPr>
        <w:t>4.2-18</w:t>
      </w:r>
      <w:r>
        <w:rPr>
          <w:rFonts w:ascii="Times New Roman" w:hAnsi="Times New Roman"/>
          <w:b/>
          <w:bCs w:val="0"/>
          <w:kern w:val="0"/>
          <w:sz w:val="21"/>
          <w:szCs w:val="21"/>
          <w:lang w:eastAsia="zh-CN"/>
        </w:rPr>
        <w:t xml:space="preserve"> 评价区各类景观类型斑块比例、面积及平均面积</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70"/>
        <w:gridCol w:w="1988"/>
        <w:gridCol w:w="1532"/>
        <w:gridCol w:w="1271"/>
        <w:gridCol w:w="1370"/>
        <w:gridCol w:w="17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jc w:val="center"/>
        </w:trPr>
        <w:tc>
          <w:tcPr>
            <w:tcW w:w="787" w:type="pct"/>
            <w:vAlign w:val="center"/>
          </w:tcPr>
          <w:p>
            <w:pPr>
              <w:keepNext w:val="0"/>
              <w:keepLines w:val="0"/>
              <w:widowControl/>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斑块类型</w:t>
            </w:r>
          </w:p>
        </w:tc>
        <w:tc>
          <w:tcPr>
            <w:tcW w:w="1064" w:type="pct"/>
            <w:vAlign w:val="center"/>
          </w:tcPr>
          <w:p>
            <w:pPr>
              <w:keepNext w:val="0"/>
              <w:keepLines w:val="0"/>
              <w:widowControl/>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面积（公顷）</w:t>
            </w:r>
          </w:p>
        </w:tc>
        <w:tc>
          <w:tcPr>
            <w:tcW w:w="820" w:type="pct"/>
            <w:vAlign w:val="center"/>
          </w:tcPr>
          <w:p>
            <w:pPr>
              <w:keepNext w:val="0"/>
              <w:keepLines w:val="0"/>
              <w:widowControl/>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所占比例</w:t>
            </w:r>
          </w:p>
        </w:tc>
        <w:tc>
          <w:tcPr>
            <w:tcW w:w="680" w:type="pct"/>
            <w:vAlign w:val="center"/>
          </w:tcPr>
          <w:p>
            <w:pPr>
              <w:keepNext w:val="0"/>
              <w:keepLines w:val="0"/>
              <w:widowControl/>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斑块数量</w:t>
            </w:r>
          </w:p>
        </w:tc>
        <w:tc>
          <w:tcPr>
            <w:tcW w:w="733" w:type="pct"/>
            <w:vAlign w:val="center"/>
          </w:tcPr>
          <w:p>
            <w:pPr>
              <w:keepNext w:val="0"/>
              <w:keepLines w:val="0"/>
              <w:widowControl/>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斑块数量比例</w:t>
            </w:r>
          </w:p>
        </w:tc>
        <w:tc>
          <w:tcPr>
            <w:tcW w:w="916" w:type="pct"/>
            <w:vAlign w:val="center"/>
          </w:tcPr>
          <w:p>
            <w:pPr>
              <w:keepNext w:val="0"/>
              <w:keepLines w:val="0"/>
              <w:widowControl/>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斑块平均面积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87" w:type="pct"/>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针叶林</w:t>
            </w:r>
          </w:p>
        </w:tc>
        <w:tc>
          <w:tcPr>
            <w:tcW w:w="1064"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845.1922</w:t>
            </w:r>
          </w:p>
        </w:tc>
        <w:tc>
          <w:tcPr>
            <w:tcW w:w="820"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63.75 </w:t>
            </w:r>
          </w:p>
        </w:tc>
        <w:tc>
          <w:tcPr>
            <w:tcW w:w="680"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242</w:t>
            </w:r>
          </w:p>
        </w:tc>
        <w:tc>
          <w:tcPr>
            <w:tcW w:w="733"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48.69 </w:t>
            </w:r>
          </w:p>
        </w:tc>
        <w:tc>
          <w:tcPr>
            <w:tcW w:w="916"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3.4925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87" w:type="pct"/>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灌丛</w:t>
            </w:r>
          </w:p>
        </w:tc>
        <w:tc>
          <w:tcPr>
            <w:tcW w:w="1064"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202.2133</w:t>
            </w:r>
          </w:p>
        </w:tc>
        <w:tc>
          <w:tcPr>
            <w:tcW w:w="820"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15.25 </w:t>
            </w:r>
          </w:p>
        </w:tc>
        <w:tc>
          <w:tcPr>
            <w:tcW w:w="680"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86</w:t>
            </w:r>
          </w:p>
        </w:tc>
        <w:tc>
          <w:tcPr>
            <w:tcW w:w="733"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17.30 </w:t>
            </w:r>
          </w:p>
        </w:tc>
        <w:tc>
          <w:tcPr>
            <w:tcW w:w="916"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2.3513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87" w:type="pct"/>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耕地</w:t>
            </w:r>
          </w:p>
        </w:tc>
        <w:tc>
          <w:tcPr>
            <w:tcW w:w="1064"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199.9649</w:t>
            </w:r>
          </w:p>
        </w:tc>
        <w:tc>
          <w:tcPr>
            <w:tcW w:w="820"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15.08 </w:t>
            </w:r>
          </w:p>
        </w:tc>
        <w:tc>
          <w:tcPr>
            <w:tcW w:w="680"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91</w:t>
            </w:r>
          </w:p>
        </w:tc>
        <w:tc>
          <w:tcPr>
            <w:tcW w:w="733"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18.31 </w:t>
            </w:r>
          </w:p>
        </w:tc>
        <w:tc>
          <w:tcPr>
            <w:tcW w:w="916"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2.1974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87" w:type="pct"/>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交通用地</w:t>
            </w:r>
          </w:p>
        </w:tc>
        <w:tc>
          <w:tcPr>
            <w:tcW w:w="1064"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25.2209</w:t>
            </w:r>
          </w:p>
        </w:tc>
        <w:tc>
          <w:tcPr>
            <w:tcW w:w="820"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1.90 </w:t>
            </w:r>
          </w:p>
        </w:tc>
        <w:tc>
          <w:tcPr>
            <w:tcW w:w="680"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14</w:t>
            </w:r>
          </w:p>
        </w:tc>
        <w:tc>
          <w:tcPr>
            <w:tcW w:w="733"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2.82 </w:t>
            </w:r>
          </w:p>
        </w:tc>
        <w:tc>
          <w:tcPr>
            <w:tcW w:w="916"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1.8015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87" w:type="pct"/>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建筑用地</w:t>
            </w:r>
          </w:p>
        </w:tc>
        <w:tc>
          <w:tcPr>
            <w:tcW w:w="1064"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23.1792</w:t>
            </w:r>
          </w:p>
        </w:tc>
        <w:tc>
          <w:tcPr>
            <w:tcW w:w="820"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1.75 </w:t>
            </w:r>
          </w:p>
        </w:tc>
        <w:tc>
          <w:tcPr>
            <w:tcW w:w="680"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40</w:t>
            </w:r>
          </w:p>
        </w:tc>
        <w:tc>
          <w:tcPr>
            <w:tcW w:w="733"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8.05 </w:t>
            </w:r>
          </w:p>
        </w:tc>
        <w:tc>
          <w:tcPr>
            <w:tcW w:w="916"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0.5795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87" w:type="pct"/>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水域</w:t>
            </w:r>
          </w:p>
        </w:tc>
        <w:tc>
          <w:tcPr>
            <w:tcW w:w="1064"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12.0161</w:t>
            </w:r>
          </w:p>
        </w:tc>
        <w:tc>
          <w:tcPr>
            <w:tcW w:w="820"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0.91 </w:t>
            </w:r>
          </w:p>
        </w:tc>
        <w:tc>
          <w:tcPr>
            <w:tcW w:w="680"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2</w:t>
            </w:r>
          </w:p>
        </w:tc>
        <w:tc>
          <w:tcPr>
            <w:tcW w:w="733"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0.40 </w:t>
            </w:r>
          </w:p>
        </w:tc>
        <w:tc>
          <w:tcPr>
            <w:tcW w:w="916"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6.0081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87" w:type="pct"/>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草地</w:t>
            </w:r>
          </w:p>
        </w:tc>
        <w:tc>
          <w:tcPr>
            <w:tcW w:w="1064"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17.9137</w:t>
            </w:r>
          </w:p>
        </w:tc>
        <w:tc>
          <w:tcPr>
            <w:tcW w:w="820"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1.35 </w:t>
            </w:r>
          </w:p>
        </w:tc>
        <w:tc>
          <w:tcPr>
            <w:tcW w:w="680"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22</w:t>
            </w:r>
          </w:p>
        </w:tc>
        <w:tc>
          <w:tcPr>
            <w:tcW w:w="733"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4.43 </w:t>
            </w:r>
          </w:p>
        </w:tc>
        <w:tc>
          <w:tcPr>
            <w:tcW w:w="916"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0.8143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87" w:type="pct"/>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合计</w:t>
            </w:r>
          </w:p>
        </w:tc>
        <w:tc>
          <w:tcPr>
            <w:tcW w:w="1064"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1325.7003</w:t>
            </w:r>
          </w:p>
        </w:tc>
        <w:tc>
          <w:tcPr>
            <w:tcW w:w="820"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100</w:t>
            </w:r>
          </w:p>
        </w:tc>
        <w:tc>
          <w:tcPr>
            <w:tcW w:w="680"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iCs/>
                <w:kern w:val="2"/>
                <w:sz w:val="21"/>
                <w:szCs w:val="21"/>
              </w:rPr>
            </w:pPr>
            <w:r>
              <w:rPr>
                <w:rFonts w:hint="eastAsia" w:hAnsi="Times New Roman" w:eastAsia="宋体"/>
                <w:kern w:val="2"/>
                <w:sz w:val="21"/>
                <w:szCs w:val="21"/>
                <w:lang w:eastAsia="zh-CN" w:bidi="ar"/>
              </w:rPr>
              <w:t>497</w:t>
            </w:r>
          </w:p>
        </w:tc>
        <w:tc>
          <w:tcPr>
            <w:tcW w:w="733"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100</w:t>
            </w:r>
          </w:p>
        </w:tc>
        <w:tc>
          <w:tcPr>
            <w:tcW w:w="916"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w:t>
            </w:r>
          </w:p>
        </w:tc>
      </w:tr>
    </w:tbl>
    <w:p>
      <w:pPr>
        <w:spacing w:line="360" w:lineRule="auto"/>
        <w:ind w:firstLine="480" w:firstLineChars="200"/>
        <w:rPr>
          <w:rFonts w:hAnsi="Times New Roman" w:eastAsia="宋体"/>
          <w:szCs w:val="24"/>
        </w:rPr>
      </w:pPr>
      <w:r>
        <w:rPr>
          <w:rFonts w:hAnsi="Times New Roman" w:eastAsia="宋体"/>
          <w:szCs w:val="24"/>
        </w:rPr>
        <w:t>从上表可以看出，斑块面积方面，</w:t>
      </w:r>
      <w:r>
        <w:rPr>
          <w:rFonts w:hAnsi="Times New Roman" w:eastAsia="宋体"/>
          <w:szCs w:val="24"/>
          <w:lang w:eastAsia="zh-CN"/>
        </w:rPr>
        <w:t>针叶林</w:t>
      </w:r>
      <w:r>
        <w:rPr>
          <w:rFonts w:hAnsi="Times New Roman" w:eastAsia="宋体"/>
          <w:szCs w:val="24"/>
        </w:rPr>
        <w:t>面积最大，为</w:t>
      </w:r>
      <w:r>
        <w:rPr>
          <w:rFonts w:hAnsi="Times New Roman" w:eastAsia="宋体"/>
          <w:szCs w:val="24"/>
          <w:lang w:eastAsia="zh-CN" w:bidi="ar"/>
        </w:rPr>
        <w:t>845.1922</w:t>
      </w:r>
      <w:r>
        <w:rPr>
          <w:rFonts w:hAnsi="Times New Roman" w:eastAsia="宋体"/>
          <w:szCs w:val="24"/>
        </w:rPr>
        <w:t>hm</w:t>
      </w:r>
      <w:r>
        <w:rPr>
          <w:rFonts w:hAnsi="Times New Roman" w:eastAsia="宋体"/>
          <w:szCs w:val="24"/>
          <w:vertAlign w:val="superscript"/>
        </w:rPr>
        <w:t>2</w:t>
      </w:r>
      <w:r>
        <w:rPr>
          <w:rFonts w:hAnsi="Times New Roman" w:eastAsia="宋体"/>
          <w:szCs w:val="24"/>
        </w:rPr>
        <w:t>，占评价区总面积的</w:t>
      </w:r>
      <w:r>
        <w:rPr>
          <w:rFonts w:hAnsi="Times New Roman" w:eastAsia="宋体"/>
          <w:szCs w:val="24"/>
          <w:lang w:eastAsia="zh-CN" w:bidi="ar"/>
        </w:rPr>
        <w:t xml:space="preserve">63.75 </w:t>
      </w:r>
      <w:r>
        <w:rPr>
          <w:rFonts w:hAnsi="Times New Roman" w:eastAsia="宋体"/>
          <w:szCs w:val="24"/>
        </w:rPr>
        <w:t>%，分布最广，连通性最好，为评价区内最主要的景观类型；水域最小，为</w:t>
      </w:r>
      <w:r>
        <w:rPr>
          <w:rFonts w:hAnsi="Times New Roman" w:eastAsia="宋体"/>
          <w:szCs w:val="24"/>
          <w:lang w:eastAsia="zh-CN" w:bidi="ar"/>
        </w:rPr>
        <w:t>12.0161</w:t>
      </w:r>
      <w:r>
        <w:rPr>
          <w:rFonts w:hAnsi="Times New Roman" w:eastAsia="宋体"/>
          <w:szCs w:val="24"/>
        </w:rPr>
        <w:t>hm</w:t>
      </w:r>
      <w:r>
        <w:rPr>
          <w:rFonts w:hAnsi="Times New Roman" w:eastAsia="宋体"/>
          <w:szCs w:val="24"/>
          <w:vertAlign w:val="superscript"/>
        </w:rPr>
        <w:t>2</w:t>
      </w:r>
      <w:r>
        <w:rPr>
          <w:rFonts w:hAnsi="Times New Roman" w:eastAsia="宋体"/>
          <w:szCs w:val="24"/>
        </w:rPr>
        <w:t>，占评价区总面积的</w:t>
      </w:r>
      <w:r>
        <w:rPr>
          <w:rFonts w:hAnsi="Times New Roman" w:eastAsia="宋体"/>
          <w:szCs w:val="24"/>
          <w:lang w:eastAsia="zh-CN" w:bidi="ar"/>
        </w:rPr>
        <w:t xml:space="preserve">0.91 </w:t>
      </w:r>
      <w:r>
        <w:rPr>
          <w:rFonts w:hAnsi="Times New Roman" w:eastAsia="宋体"/>
          <w:szCs w:val="24"/>
        </w:rPr>
        <w:t>%。斑块数量方面，</w:t>
      </w:r>
      <w:r>
        <w:rPr>
          <w:rFonts w:hAnsi="Times New Roman" w:eastAsia="宋体"/>
          <w:szCs w:val="24"/>
          <w:lang w:eastAsia="zh-CN"/>
        </w:rPr>
        <w:t>针叶林</w:t>
      </w:r>
      <w:r>
        <w:rPr>
          <w:rFonts w:hAnsi="Times New Roman" w:eastAsia="宋体"/>
          <w:szCs w:val="24"/>
        </w:rPr>
        <w:t>斑块最多，水域最少。斑块平均面积方面，水域平均斑块面积最大，</w:t>
      </w:r>
      <w:r>
        <w:rPr>
          <w:rFonts w:hAnsi="Times New Roman" w:eastAsia="宋体"/>
          <w:szCs w:val="24"/>
          <w:lang w:eastAsia="zh-CN"/>
        </w:rPr>
        <w:t>建筑用地</w:t>
      </w:r>
      <w:r>
        <w:rPr>
          <w:rFonts w:hAnsi="Times New Roman" w:eastAsia="宋体"/>
          <w:szCs w:val="24"/>
        </w:rPr>
        <w:t>平均斑块面积最小。</w:t>
      </w:r>
    </w:p>
    <w:p>
      <w:pPr>
        <w:spacing w:line="360" w:lineRule="auto"/>
        <w:ind w:firstLine="480" w:firstLineChars="200"/>
        <w:rPr>
          <w:rFonts w:hAnsi="Times New Roman" w:eastAsia="宋体"/>
          <w:szCs w:val="24"/>
        </w:rPr>
      </w:pPr>
      <w:r>
        <w:rPr>
          <w:rFonts w:hAnsi="Times New Roman" w:eastAsia="宋体"/>
          <w:szCs w:val="24"/>
        </w:rPr>
        <w:t>对景观类型优势度的判断采用传统生态学中计算植被重要值的方法。反映某一斑块在景观中优势的值叫优势度值。优势度值由3种参数计算而出，即密度（Rd）、频率（Rf）和景观比例（Lp）。这三个参数对优势度判定中的前两个标准有较好的反映，第三个标准的表达不够明确，但依据景观中基质的判定步骤，当前两个标准的判定比较明确时，可以认为其中相对面积大，连通程度高的斑块类型，即为我们寻找的具有生境质量调控能力的斑块类型。</w:t>
      </w:r>
    </w:p>
    <w:p>
      <w:pPr>
        <w:spacing w:line="360" w:lineRule="auto"/>
        <w:ind w:firstLine="480" w:firstLineChars="200"/>
        <w:rPr>
          <w:rFonts w:hAnsi="Times New Roman" w:eastAsia="宋体"/>
          <w:szCs w:val="24"/>
        </w:rPr>
      </w:pPr>
      <w:r>
        <w:rPr>
          <w:rFonts w:hAnsi="Times New Roman" w:eastAsia="宋体"/>
          <w:szCs w:val="24"/>
        </w:rPr>
        <w:t>斑块密度的定义是：Rd=Pi/ΣPi</w:t>
      </w:r>
    </w:p>
    <w:p>
      <w:pPr>
        <w:spacing w:line="360" w:lineRule="auto"/>
        <w:ind w:firstLine="480" w:firstLineChars="200"/>
        <w:rPr>
          <w:rFonts w:hAnsi="Times New Roman" w:eastAsia="宋体"/>
          <w:szCs w:val="24"/>
        </w:rPr>
      </w:pPr>
      <w:r>
        <w:rPr>
          <w:rFonts w:hAnsi="Times New Roman" w:eastAsia="宋体"/>
          <w:szCs w:val="24"/>
        </w:rPr>
        <w:t>式中，Rd为密度，Pi和 ΣPi分别为斑块i的数目和斑块总数，i是斑块的编号，i=1，2，3，…，n–1，n；</w:t>
      </w:r>
    </w:p>
    <w:p>
      <w:pPr>
        <w:spacing w:line="360" w:lineRule="auto"/>
        <w:ind w:firstLine="480" w:firstLineChars="200"/>
        <w:rPr>
          <w:rFonts w:hAnsi="Times New Roman" w:eastAsia="宋体"/>
          <w:szCs w:val="24"/>
        </w:rPr>
      </w:pPr>
      <w:r>
        <w:rPr>
          <w:rFonts w:hAnsi="Times New Roman" w:eastAsia="宋体"/>
          <w:szCs w:val="24"/>
        </w:rPr>
        <w:t>频率的定义是：Rf=Si/S</w:t>
      </w:r>
    </w:p>
    <w:p>
      <w:pPr>
        <w:spacing w:line="360" w:lineRule="auto"/>
        <w:ind w:firstLine="480" w:firstLineChars="200"/>
        <w:rPr>
          <w:rFonts w:hAnsi="Times New Roman" w:eastAsia="宋体"/>
          <w:szCs w:val="24"/>
        </w:rPr>
      </w:pPr>
      <w:r>
        <w:rPr>
          <w:rFonts w:hAnsi="Times New Roman" w:eastAsia="宋体"/>
          <w:szCs w:val="24"/>
        </w:rPr>
        <w:t>式中，Rf为密度，Si和S分别为斑块i出现的样方数和总样方数；</w:t>
      </w:r>
    </w:p>
    <w:p>
      <w:pPr>
        <w:spacing w:line="360" w:lineRule="auto"/>
        <w:ind w:firstLine="480" w:firstLineChars="200"/>
        <w:rPr>
          <w:rFonts w:hAnsi="Times New Roman" w:eastAsia="宋体"/>
          <w:szCs w:val="24"/>
        </w:rPr>
      </w:pPr>
      <w:r>
        <w:rPr>
          <w:rFonts w:hAnsi="Times New Roman" w:eastAsia="宋体"/>
          <w:szCs w:val="24"/>
        </w:rPr>
        <w:t>景观比例的定义是：Lp=Ai/ΣAi</w:t>
      </w:r>
    </w:p>
    <w:p>
      <w:pPr>
        <w:spacing w:line="360" w:lineRule="auto"/>
        <w:ind w:firstLine="480" w:firstLineChars="200"/>
        <w:rPr>
          <w:rFonts w:hAnsi="Times New Roman" w:eastAsia="宋体"/>
          <w:szCs w:val="24"/>
        </w:rPr>
      </w:pPr>
      <w:r>
        <w:rPr>
          <w:rFonts w:hAnsi="Times New Roman" w:eastAsia="宋体"/>
          <w:szCs w:val="24"/>
        </w:rPr>
        <w:t>式中，Lp为景观比例，Ai和ΣAi为斑块i的面积和样地总面积。</w:t>
      </w:r>
    </w:p>
    <w:p>
      <w:pPr>
        <w:spacing w:line="360" w:lineRule="auto"/>
        <w:ind w:firstLine="480" w:firstLineChars="200"/>
        <w:rPr>
          <w:rFonts w:hAnsi="Times New Roman" w:eastAsia="宋体"/>
          <w:szCs w:val="24"/>
        </w:rPr>
      </w:pPr>
      <w:r>
        <w:rPr>
          <w:rFonts w:hAnsi="Times New Roman" w:eastAsia="宋体"/>
          <w:szCs w:val="24"/>
        </w:rPr>
        <w:t>最后优势度值的定义是：Do=[（Rd+Rf）/2+Lp]/2</w:t>
      </w:r>
    </w:p>
    <w:p>
      <w:pPr>
        <w:spacing w:line="360" w:lineRule="auto"/>
        <w:ind w:firstLine="480" w:firstLineChars="200"/>
        <w:rPr>
          <w:rFonts w:hAnsi="Times New Roman" w:eastAsia="宋体"/>
          <w:szCs w:val="24"/>
        </w:rPr>
      </w:pPr>
      <w:r>
        <w:rPr>
          <w:rFonts w:hAnsi="Times New Roman" w:eastAsia="宋体"/>
          <w:szCs w:val="24"/>
        </w:rPr>
        <w:t>式中各项的意义见上。</w:t>
      </w:r>
    </w:p>
    <w:p>
      <w:pPr>
        <w:spacing w:line="360" w:lineRule="auto"/>
        <w:ind w:firstLine="480" w:firstLineChars="200"/>
        <w:rPr>
          <w:rFonts w:hAnsi="Times New Roman" w:eastAsia="宋体"/>
          <w:szCs w:val="24"/>
        </w:rPr>
      </w:pPr>
      <w:r>
        <w:rPr>
          <w:rFonts w:hAnsi="Times New Roman" w:eastAsia="宋体"/>
          <w:szCs w:val="24"/>
        </w:rPr>
        <w:t>利用由ArcGIS制作的工程景观分布图，对评价区内各类斑块所计算的优势度值见下表：</w:t>
      </w:r>
    </w:p>
    <w:p>
      <w:pPr>
        <w:pStyle w:val="14"/>
        <w:spacing w:line="240" w:lineRule="auto"/>
        <w:ind w:left="480" w:firstLine="405"/>
        <w:jc w:val="center"/>
        <w:rPr>
          <w:rFonts w:ascii="Times New Roman" w:hAnsi="Times New Roman"/>
          <w:b/>
          <w:bCs w:val="0"/>
          <w:kern w:val="0"/>
          <w:sz w:val="21"/>
          <w:szCs w:val="21"/>
          <w:lang w:eastAsia="zh-CN"/>
        </w:rPr>
      </w:pPr>
      <w:r>
        <w:rPr>
          <w:rFonts w:ascii="Times New Roman" w:hAnsi="Times New Roman"/>
          <w:b/>
          <w:bCs w:val="0"/>
          <w:kern w:val="0"/>
          <w:sz w:val="21"/>
          <w:szCs w:val="21"/>
          <w:lang w:eastAsia="zh-CN"/>
        </w:rPr>
        <w:t>表</w:t>
      </w:r>
      <w:r>
        <w:rPr>
          <w:rFonts w:hint="eastAsia" w:ascii="Times New Roman" w:hAnsi="Times New Roman"/>
          <w:b/>
          <w:bCs w:val="0"/>
          <w:kern w:val="0"/>
          <w:sz w:val="21"/>
          <w:szCs w:val="21"/>
          <w:lang w:eastAsia="zh-CN"/>
        </w:rPr>
        <w:t>4.2-19</w:t>
      </w:r>
      <w:r>
        <w:rPr>
          <w:rFonts w:ascii="Times New Roman" w:hAnsi="Times New Roman"/>
          <w:b/>
          <w:bCs w:val="0"/>
          <w:kern w:val="0"/>
          <w:sz w:val="21"/>
          <w:szCs w:val="21"/>
          <w:lang w:eastAsia="zh-CN"/>
        </w:rPr>
        <w:t>评价区景观各类斑块优势度值</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50"/>
        <w:gridCol w:w="2304"/>
        <w:gridCol w:w="1693"/>
        <w:gridCol w:w="1549"/>
        <w:gridCol w:w="15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1204" w:type="pct"/>
            <w:vAlign w:val="center"/>
          </w:tcPr>
          <w:p>
            <w:pPr>
              <w:keepNext w:val="0"/>
              <w:keepLines w:val="0"/>
              <w:widowControl/>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斑块类型</w:t>
            </w:r>
          </w:p>
        </w:tc>
        <w:tc>
          <w:tcPr>
            <w:tcW w:w="1233" w:type="pct"/>
            <w:vAlign w:val="center"/>
          </w:tcPr>
          <w:p>
            <w:pPr>
              <w:keepNext w:val="0"/>
              <w:keepLines w:val="0"/>
              <w:widowControl/>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R</w:t>
            </w:r>
            <w:r>
              <w:rPr>
                <w:rFonts w:hint="eastAsia" w:hAnsi="Times New Roman" w:eastAsia="宋体"/>
                <w:b/>
                <w:bCs/>
                <w:kern w:val="2"/>
                <w:sz w:val="21"/>
                <w:szCs w:val="21"/>
                <w:vertAlign w:val="subscript"/>
              </w:rPr>
              <w:t>d</w:t>
            </w:r>
            <w:r>
              <w:rPr>
                <w:rFonts w:hint="eastAsia" w:hAnsi="Times New Roman" w:eastAsia="宋体"/>
                <w:b/>
                <w:bCs/>
                <w:kern w:val="2"/>
                <w:sz w:val="21"/>
                <w:szCs w:val="21"/>
              </w:rPr>
              <w:t>（%）</w:t>
            </w:r>
          </w:p>
        </w:tc>
        <w:tc>
          <w:tcPr>
            <w:tcW w:w="906" w:type="pct"/>
            <w:vAlign w:val="center"/>
          </w:tcPr>
          <w:p>
            <w:pPr>
              <w:keepNext w:val="0"/>
              <w:keepLines w:val="0"/>
              <w:widowControl/>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R</w:t>
            </w:r>
            <w:r>
              <w:rPr>
                <w:rFonts w:hint="eastAsia" w:hAnsi="Times New Roman" w:eastAsia="宋体"/>
                <w:b/>
                <w:bCs/>
                <w:kern w:val="2"/>
                <w:sz w:val="21"/>
                <w:szCs w:val="21"/>
                <w:vertAlign w:val="subscript"/>
              </w:rPr>
              <w:t>f</w:t>
            </w:r>
            <w:r>
              <w:rPr>
                <w:rFonts w:hint="eastAsia" w:hAnsi="Times New Roman" w:eastAsia="宋体"/>
                <w:b/>
                <w:bCs/>
                <w:kern w:val="2"/>
                <w:sz w:val="21"/>
                <w:szCs w:val="21"/>
              </w:rPr>
              <w:t>（%）</w:t>
            </w:r>
          </w:p>
        </w:tc>
        <w:tc>
          <w:tcPr>
            <w:tcW w:w="829" w:type="pct"/>
            <w:vAlign w:val="center"/>
          </w:tcPr>
          <w:p>
            <w:pPr>
              <w:keepNext w:val="0"/>
              <w:keepLines w:val="0"/>
              <w:widowControl/>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L</w:t>
            </w:r>
            <w:r>
              <w:rPr>
                <w:rFonts w:hint="eastAsia" w:hAnsi="Times New Roman" w:eastAsia="宋体"/>
                <w:b/>
                <w:bCs/>
                <w:kern w:val="2"/>
                <w:sz w:val="21"/>
                <w:szCs w:val="21"/>
                <w:vertAlign w:val="subscript"/>
              </w:rPr>
              <w:t>p</w:t>
            </w:r>
            <w:r>
              <w:rPr>
                <w:rFonts w:hint="eastAsia" w:hAnsi="Times New Roman" w:eastAsia="宋体"/>
                <w:b/>
                <w:bCs/>
                <w:kern w:val="2"/>
                <w:sz w:val="21"/>
                <w:szCs w:val="21"/>
              </w:rPr>
              <w:t>（%）</w:t>
            </w:r>
          </w:p>
        </w:tc>
        <w:tc>
          <w:tcPr>
            <w:tcW w:w="829" w:type="pct"/>
            <w:vAlign w:val="center"/>
          </w:tcPr>
          <w:p>
            <w:pPr>
              <w:keepNext w:val="0"/>
              <w:keepLines w:val="0"/>
              <w:widowControl/>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D</w:t>
            </w:r>
            <w:r>
              <w:rPr>
                <w:rFonts w:hint="eastAsia" w:hAnsi="Times New Roman" w:eastAsia="宋体"/>
                <w:b/>
                <w:bCs/>
                <w:kern w:val="2"/>
                <w:sz w:val="21"/>
                <w:szCs w:val="21"/>
                <w:vertAlign w:val="subscript"/>
              </w:rPr>
              <w:t>o</w:t>
            </w:r>
            <w:r>
              <w:rPr>
                <w:rFonts w:hint="eastAsia" w:hAnsi="Times New Roman" w:eastAsia="宋体"/>
                <w:b/>
                <w:bCs/>
                <w:kern w:val="2"/>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204" w:type="pct"/>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针叶林</w:t>
            </w:r>
          </w:p>
        </w:tc>
        <w:tc>
          <w:tcPr>
            <w:tcW w:w="1233"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48.69 </w:t>
            </w:r>
          </w:p>
        </w:tc>
        <w:tc>
          <w:tcPr>
            <w:tcW w:w="906"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46.93</w:t>
            </w:r>
          </w:p>
        </w:tc>
        <w:tc>
          <w:tcPr>
            <w:tcW w:w="829"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63.75 </w:t>
            </w:r>
          </w:p>
        </w:tc>
        <w:tc>
          <w:tcPr>
            <w:tcW w:w="829"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55.78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204" w:type="pct"/>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灌丛</w:t>
            </w:r>
          </w:p>
        </w:tc>
        <w:tc>
          <w:tcPr>
            <w:tcW w:w="1233"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17.30 </w:t>
            </w:r>
          </w:p>
        </w:tc>
        <w:tc>
          <w:tcPr>
            <w:tcW w:w="906"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16.14</w:t>
            </w:r>
          </w:p>
        </w:tc>
        <w:tc>
          <w:tcPr>
            <w:tcW w:w="829"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15.25 </w:t>
            </w:r>
          </w:p>
        </w:tc>
        <w:tc>
          <w:tcPr>
            <w:tcW w:w="829"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15.99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204" w:type="pct"/>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耕地</w:t>
            </w:r>
          </w:p>
        </w:tc>
        <w:tc>
          <w:tcPr>
            <w:tcW w:w="1233"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18.31 </w:t>
            </w:r>
          </w:p>
        </w:tc>
        <w:tc>
          <w:tcPr>
            <w:tcW w:w="906"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15.54</w:t>
            </w:r>
          </w:p>
        </w:tc>
        <w:tc>
          <w:tcPr>
            <w:tcW w:w="829"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15.08 </w:t>
            </w:r>
          </w:p>
        </w:tc>
        <w:tc>
          <w:tcPr>
            <w:tcW w:w="829"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16.00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04" w:type="pct"/>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交通用地</w:t>
            </w:r>
          </w:p>
        </w:tc>
        <w:tc>
          <w:tcPr>
            <w:tcW w:w="1233"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2.82 </w:t>
            </w:r>
          </w:p>
        </w:tc>
        <w:tc>
          <w:tcPr>
            <w:tcW w:w="906"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3.67</w:t>
            </w:r>
          </w:p>
        </w:tc>
        <w:tc>
          <w:tcPr>
            <w:tcW w:w="829"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1.90 </w:t>
            </w:r>
          </w:p>
        </w:tc>
        <w:tc>
          <w:tcPr>
            <w:tcW w:w="829"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2.57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204" w:type="pct"/>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建筑用地</w:t>
            </w:r>
          </w:p>
        </w:tc>
        <w:tc>
          <w:tcPr>
            <w:tcW w:w="1233"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8.05 </w:t>
            </w:r>
          </w:p>
        </w:tc>
        <w:tc>
          <w:tcPr>
            <w:tcW w:w="906"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3.47</w:t>
            </w:r>
          </w:p>
        </w:tc>
        <w:tc>
          <w:tcPr>
            <w:tcW w:w="829"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1.75 </w:t>
            </w:r>
          </w:p>
        </w:tc>
        <w:tc>
          <w:tcPr>
            <w:tcW w:w="829"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3.75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204" w:type="pct"/>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水域</w:t>
            </w:r>
          </w:p>
        </w:tc>
        <w:tc>
          <w:tcPr>
            <w:tcW w:w="1233"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0.40 </w:t>
            </w:r>
          </w:p>
        </w:tc>
        <w:tc>
          <w:tcPr>
            <w:tcW w:w="906"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3.18</w:t>
            </w:r>
          </w:p>
        </w:tc>
        <w:tc>
          <w:tcPr>
            <w:tcW w:w="829"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0.91 </w:t>
            </w:r>
          </w:p>
        </w:tc>
        <w:tc>
          <w:tcPr>
            <w:tcW w:w="829"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1.35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204" w:type="pct"/>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草地</w:t>
            </w:r>
          </w:p>
        </w:tc>
        <w:tc>
          <w:tcPr>
            <w:tcW w:w="1233"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4.43 </w:t>
            </w:r>
          </w:p>
        </w:tc>
        <w:tc>
          <w:tcPr>
            <w:tcW w:w="906"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11.07</w:t>
            </w:r>
          </w:p>
        </w:tc>
        <w:tc>
          <w:tcPr>
            <w:tcW w:w="829"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1.35 </w:t>
            </w:r>
          </w:p>
        </w:tc>
        <w:tc>
          <w:tcPr>
            <w:tcW w:w="829"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 xml:space="preserve">4.55 </w:t>
            </w:r>
          </w:p>
        </w:tc>
      </w:tr>
    </w:tbl>
    <w:p>
      <w:pPr>
        <w:snapToGrid w:val="0"/>
        <w:spacing w:line="360" w:lineRule="auto"/>
        <w:ind w:firstLine="480" w:firstLineChars="200"/>
        <w:rPr>
          <w:rFonts w:hAnsi="Times New Roman" w:eastAsia="宋体"/>
          <w:szCs w:val="24"/>
        </w:rPr>
      </w:pPr>
      <w:r>
        <w:rPr>
          <w:rFonts w:hAnsi="Times New Roman" w:eastAsia="宋体"/>
          <w:szCs w:val="24"/>
        </w:rPr>
        <w:t>从上表可以看出，</w:t>
      </w:r>
      <w:r>
        <w:rPr>
          <w:rFonts w:hAnsi="Times New Roman" w:eastAsia="宋体"/>
          <w:szCs w:val="24"/>
          <w:lang w:eastAsia="zh-CN"/>
        </w:rPr>
        <w:t>针叶林</w:t>
      </w:r>
      <w:r>
        <w:rPr>
          <w:rFonts w:hAnsi="Times New Roman" w:eastAsia="宋体"/>
          <w:szCs w:val="24"/>
        </w:rPr>
        <w:t>的优势度值最高，为</w:t>
      </w:r>
      <w:r>
        <w:rPr>
          <w:rFonts w:hAnsi="Times New Roman" w:eastAsia="宋体"/>
          <w:szCs w:val="24"/>
          <w:lang w:eastAsia="zh-CN" w:bidi="ar"/>
        </w:rPr>
        <w:t>55.78</w:t>
      </w:r>
      <w:r>
        <w:rPr>
          <w:rFonts w:hAnsi="Times New Roman" w:eastAsia="宋体"/>
          <w:szCs w:val="24"/>
          <w:lang w:eastAsia="zh-CN"/>
        </w:rPr>
        <w:t>%</w:t>
      </w:r>
      <w:r>
        <w:rPr>
          <w:rFonts w:hAnsi="Times New Roman" w:eastAsia="宋体"/>
          <w:szCs w:val="24"/>
        </w:rPr>
        <w:t>；水域的优势度最低，仅为</w:t>
      </w:r>
      <w:r>
        <w:rPr>
          <w:rFonts w:hAnsi="Times New Roman" w:eastAsia="宋体"/>
          <w:szCs w:val="24"/>
          <w:lang w:eastAsia="zh-CN" w:bidi="ar"/>
        </w:rPr>
        <w:t>1.35</w:t>
      </w:r>
      <w:r>
        <w:rPr>
          <w:rFonts w:hAnsi="Times New Roman" w:eastAsia="宋体"/>
          <w:szCs w:val="24"/>
        </w:rPr>
        <w:t>%。从各个斑块的数据和景观结构图来看，</w:t>
      </w:r>
      <w:r>
        <w:rPr>
          <w:rFonts w:hAnsi="Times New Roman" w:eastAsia="宋体"/>
          <w:szCs w:val="24"/>
          <w:lang w:eastAsia="zh-CN"/>
        </w:rPr>
        <w:t>针叶林</w:t>
      </w:r>
      <w:r>
        <w:rPr>
          <w:rFonts w:hAnsi="Times New Roman" w:eastAsia="宋体"/>
          <w:szCs w:val="24"/>
        </w:rPr>
        <w:t>斑块分布广，面积大，贯通整个评价区域，连通程度高，计算出的优势度值也最大，其余各类斑块优势度值也与其斑块基本信息相一致。</w:t>
      </w:r>
    </w:p>
    <w:p>
      <w:pPr>
        <w:spacing w:line="360" w:lineRule="auto"/>
        <w:rPr>
          <w:rFonts w:hAnsi="Times New Roman" w:eastAsia="宋体"/>
          <w:b/>
          <w:bCs/>
          <w:lang w:eastAsia="zh-CN"/>
        </w:rPr>
      </w:pPr>
      <w:r>
        <w:rPr>
          <w:rFonts w:hint="eastAsia" w:hAnsi="Times New Roman" w:eastAsia="宋体"/>
          <w:b/>
          <w:bCs/>
          <w:lang w:eastAsia="zh-CN"/>
        </w:rPr>
        <w:t>4.</w:t>
      </w:r>
      <w:r>
        <w:rPr>
          <w:rFonts w:hAnsi="Times New Roman" w:eastAsia="宋体"/>
          <w:b/>
          <w:bCs/>
          <w:lang w:eastAsia="zh-CN"/>
        </w:rPr>
        <w:t>2.8.2 廊道</w:t>
      </w:r>
    </w:p>
    <w:p>
      <w:pPr>
        <w:snapToGrid w:val="0"/>
        <w:spacing w:line="360" w:lineRule="auto"/>
        <w:ind w:firstLine="480" w:firstLineChars="200"/>
        <w:rPr>
          <w:rFonts w:hAnsi="Times New Roman" w:eastAsia="宋体"/>
          <w:szCs w:val="24"/>
        </w:rPr>
      </w:pPr>
      <w:r>
        <w:rPr>
          <w:rFonts w:hAnsi="Times New Roman" w:eastAsia="宋体"/>
          <w:szCs w:val="24"/>
        </w:rPr>
        <w:t>廊道作为线性的景观单元除了具有通道和阻隔的作用之外，还有物种过滤器、某些物种的栖息地功能以及对其周围环境与生物生产影响的影响源的作用。</w:t>
      </w:r>
    </w:p>
    <w:p>
      <w:pPr>
        <w:snapToGrid w:val="0"/>
        <w:spacing w:line="360" w:lineRule="auto"/>
        <w:ind w:firstLine="480" w:firstLineChars="200"/>
        <w:rPr>
          <w:rFonts w:hAnsi="Times New Roman" w:eastAsia="宋体"/>
          <w:szCs w:val="24"/>
        </w:rPr>
      </w:pPr>
      <w:r>
        <w:rPr>
          <w:rFonts w:hAnsi="Times New Roman" w:eastAsia="宋体"/>
          <w:szCs w:val="24"/>
        </w:rPr>
        <w:t>在工程景观评价区内的廊道主要包括道路和河流。评价区内的道路由于机动车的干扰，路面是一个不适宜动植物生活的地带，并对动物的运动和植物种子的扩散有一定的阻隔作用。河流是评价区内重要的一种廊道，包括河流以及沿岸分布的不同于周围其他基质的植被带。评价区域的河流多为季节性，水量也较小，对河流两岸的陆生生态系统物质和能量的交流影响不大，同时溪流也是水生生物和鱼类的栖息地。</w:t>
      </w:r>
    </w:p>
    <w:p>
      <w:pPr>
        <w:spacing w:line="360" w:lineRule="auto"/>
        <w:rPr>
          <w:rFonts w:hAnsi="Times New Roman" w:eastAsia="宋体"/>
          <w:b/>
          <w:bCs/>
          <w:lang w:eastAsia="zh-CN"/>
        </w:rPr>
      </w:pPr>
      <w:r>
        <w:rPr>
          <w:rFonts w:hint="eastAsia" w:hAnsi="Times New Roman" w:eastAsia="宋体"/>
          <w:b/>
          <w:bCs/>
          <w:lang w:eastAsia="zh-CN"/>
        </w:rPr>
        <w:t>4.</w:t>
      </w:r>
      <w:r>
        <w:rPr>
          <w:rFonts w:hAnsi="Times New Roman" w:eastAsia="宋体"/>
          <w:b/>
          <w:bCs/>
          <w:lang w:eastAsia="zh-CN"/>
        </w:rPr>
        <w:t>2.8.3 基质</w:t>
      </w:r>
    </w:p>
    <w:p>
      <w:pPr>
        <w:snapToGrid w:val="0"/>
        <w:spacing w:line="360" w:lineRule="auto"/>
        <w:ind w:firstLine="480" w:firstLineChars="200"/>
        <w:rPr>
          <w:rFonts w:hAnsi="Times New Roman" w:eastAsia="宋体"/>
          <w:szCs w:val="24"/>
        </w:rPr>
      </w:pPr>
      <w:r>
        <w:rPr>
          <w:rFonts w:hAnsi="Times New Roman" w:eastAsia="宋体"/>
          <w:szCs w:val="24"/>
        </w:rPr>
        <w:t>基质是景观中面积最大、连通性最好的类型，在景观功能上起着重要作用，影响能流、物流和物种流。判定基质的三个标准是相对面积最大、连通程度最高和对整个景观起到动态调控作用，其中前两个标准都可以通过景观优势度得到较好反映，一般认为满足前两个标准的景观要素即可认为是景观基质。</w:t>
      </w:r>
    </w:p>
    <w:p>
      <w:pPr>
        <w:snapToGrid w:val="0"/>
        <w:spacing w:line="360" w:lineRule="auto"/>
        <w:ind w:firstLine="480" w:firstLineChars="200"/>
        <w:rPr>
          <w:rFonts w:hAnsi="Times New Roman" w:eastAsia="宋体"/>
          <w:szCs w:val="24"/>
        </w:rPr>
      </w:pPr>
      <w:r>
        <w:rPr>
          <w:rFonts w:hAnsi="Times New Roman" w:eastAsia="宋体"/>
          <w:szCs w:val="24"/>
        </w:rPr>
        <w:t>总的来说，评价区域耕地的优势度远高于其他景观要素，具有最大的面积和相对集中的分布，连通性最好，对景观动态具有控制作用，可以认为是评价区的基质组合。</w:t>
      </w:r>
    </w:p>
    <w:p>
      <w:pPr>
        <w:adjustRightInd w:val="0"/>
        <w:snapToGrid w:val="0"/>
        <w:spacing w:line="360" w:lineRule="auto"/>
        <w:ind w:firstLine="480" w:firstLineChars="200"/>
        <w:rPr>
          <w:rFonts w:hAnsi="Times New Roman" w:eastAsia="宋体"/>
          <w:szCs w:val="24"/>
        </w:rPr>
      </w:pPr>
    </w:p>
    <w:p>
      <w:pPr>
        <w:pStyle w:val="5"/>
        <w:rPr>
          <w:rFonts w:ascii="Times New Roman" w:hAnsi="Times New Roman"/>
          <w:szCs w:val="22"/>
          <w:lang w:eastAsia="zh-CN"/>
        </w:rPr>
      </w:pPr>
      <w:bookmarkStart w:id="201" w:name="_Toc163749165"/>
      <w:bookmarkStart w:id="202" w:name="_Toc167095183"/>
      <w:r>
        <w:rPr>
          <w:rFonts w:ascii="Times New Roman" w:hAnsi="Times New Roman"/>
          <w:szCs w:val="22"/>
          <w:lang w:eastAsia="zh-CN"/>
        </w:rPr>
        <w:t>4.3 生态环境影响预测与评价</w:t>
      </w:r>
      <w:bookmarkEnd w:id="195"/>
      <w:bookmarkEnd w:id="201"/>
      <w:bookmarkEnd w:id="202"/>
    </w:p>
    <w:p>
      <w:pPr>
        <w:pStyle w:val="6"/>
        <w:rPr>
          <w:szCs w:val="22"/>
          <w:lang w:eastAsia="zh-CN"/>
        </w:rPr>
      </w:pPr>
      <w:bookmarkStart w:id="203" w:name="4.2.1生态环境影响分析"/>
      <w:bookmarkEnd w:id="203"/>
      <w:bookmarkStart w:id="204" w:name="_Toc167095184"/>
      <w:bookmarkStart w:id="205" w:name="_Toc163812561"/>
      <w:r>
        <w:rPr>
          <w:szCs w:val="22"/>
          <w:lang w:eastAsia="zh-CN"/>
        </w:rPr>
        <w:t>4.3.1 对土地利用类型的影响</w:t>
      </w:r>
      <w:bookmarkEnd w:id="204"/>
      <w:bookmarkEnd w:id="205"/>
    </w:p>
    <w:p>
      <w:pPr>
        <w:pStyle w:val="14"/>
        <w:overflowPunct w:val="0"/>
        <w:spacing w:line="360" w:lineRule="auto"/>
        <w:rPr>
          <w:rFonts w:ascii="Times New Roman" w:hAnsi="Times New Roman"/>
          <w:b/>
          <w:bCs w:val="0"/>
          <w:sz w:val="24"/>
        </w:rPr>
      </w:pPr>
      <w:bookmarkStart w:id="206" w:name="4.2.1.1施工期对生态影响分析"/>
      <w:bookmarkEnd w:id="206"/>
      <w:r>
        <w:rPr>
          <w:rFonts w:ascii="Times New Roman" w:hAnsi="Times New Roman"/>
          <w:b/>
          <w:bCs w:val="0"/>
          <w:sz w:val="24"/>
        </w:rPr>
        <w:t>4.</w:t>
      </w:r>
      <w:r>
        <w:rPr>
          <w:rFonts w:ascii="Times New Roman" w:hAnsi="Times New Roman"/>
          <w:b/>
          <w:bCs w:val="0"/>
          <w:sz w:val="24"/>
          <w:lang w:eastAsia="zh-CN"/>
        </w:rPr>
        <w:t>3</w:t>
      </w:r>
      <w:r>
        <w:rPr>
          <w:rFonts w:ascii="Times New Roman" w:hAnsi="Times New Roman"/>
          <w:b/>
          <w:bCs w:val="0"/>
          <w:sz w:val="24"/>
        </w:rPr>
        <w:t xml:space="preserve">.1.1 独立升级改造前煤矿建设运营对土地利用类型的影响回顾 </w:t>
      </w:r>
    </w:p>
    <w:p>
      <w:pPr>
        <w:widowControl/>
        <w:autoSpaceDE w:val="0"/>
        <w:spacing w:line="360" w:lineRule="auto"/>
        <w:ind w:firstLine="480" w:firstLineChars="200"/>
        <w:rPr>
          <w:rFonts w:hAnsi="Times New Roman" w:eastAsia="宋体"/>
        </w:rPr>
      </w:pPr>
      <w:r>
        <w:rPr>
          <w:rFonts w:hAnsi="Times New Roman" w:eastAsia="宋体"/>
        </w:rPr>
        <w:t>七里峡煤矿工程占地4.6hm</w:t>
      </w:r>
      <w:r>
        <w:rPr>
          <w:rFonts w:hAnsi="Times New Roman" w:eastAsia="宋体"/>
          <w:vertAlign w:val="superscript"/>
        </w:rPr>
        <w:t>2</w:t>
      </w:r>
      <w:r>
        <w:rPr>
          <w:rFonts w:hAnsi="Times New Roman" w:eastAsia="宋体"/>
        </w:rPr>
        <w:t>，包括风井场地占地面积3.1hm</w:t>
      </w:r>
      <w:r>
        <w:rPr>
          <w:rFonts w:hAnsi="Times New Roman" w:eastAsia="宋体"/>
          <w:vertAlign w:val="superscript"/>
        </w:rPr>
        <w:t>2</w:t>
      </w:r>
      <w:r>
        <w:rPr>
          <w:rFonts w:hAnsi="Times New Roman" w:eastAsia="宋体"/>
        </w:rPr>
        <w:t>，临时矸石堆场占地面积3600m</w:t>
      </w:r>
      <w:r>
        <w:rPr>
          <w:rFonts w:hAnsi="Times New Roman" w:eastAsia="宋体"/>
          <w:vertAlign w:val="superscript"/>
        </w:rPr>
        <w:t>2</w:t>
      </w:r>
      <w:r>
        <w:rPr>
          <w:rFonts w:hAnsi="Times New Roman" w:eastAsia="宋体"/>
        </w:rPr>
        <w:t>，在工业场地内占地。由于本项目已建成投产多年，占地类型早已改变，原始占地类型已不可考。煤矿施工期结束后已经对临时占地和施工迹地进行植被复垦，目前，场地内建有截水沟、沉砂池等水土保持措施，栽植乔木及绿化。</w:t>
      </w:r>
    </w:p>
    <w:p>
      <w:pPr>
        <w:widowControl/>
        <w:autoSpaceDE w:val="0"/>
        <w:spacing w:line="360" w:lineRule="auto"/>
        <w:ind w:firstLine="480" w:firstLineChars="200"/>
        <w:rPr>
          <w:rFonts w:hAnsi="Times New Roman" w:eastAsia="宋体"/>
          <w:lang w:eastAsia="zh-CN"/>
        </w:rPr>
      </w:pPr>
      <w:r>
        <w:rPr>
          <w:rFonts w:hAnsi="Times New Roman" w:eastAsia="宋体"/>
        </w:rPr>
        <w:t>矿区运营对土地利用类型的改变体现在地下开采可能造成塌陷。七里峡煤矿始建于1976年，于1993年建成投产，开采K</w:t>
      </w:r>
      <w:r>
        <w:rPr>
          <w:rFonts w:hAnsi="Times New Roman" w:eastAsia="宋体"/>
          <w:vertAlign w:val="subscript"/>
        </w:rPr>
        <w:t>4</w:t>
      </w:r>
      <w:r>
        <w:rPr>
          <w:rFonts w:hAnsi="Times New Roman" w:eastAsia="宋体"/>
        </w:rPr>
        <w:t>、K</w:t>
      </w:r>
      <w:r>
        <w:rPr>
          <w:rFonts w:hAnsi="Times New Roman" w:eastAsia="宋体"/>
          <w:vertAlign w:val="subscript"/>
        </w:rPr>
        <w:t>5</w:t>
      </w:r>
      <w:r>
        <w:rPr>
          <w:rFonts w:hAnsi="Times New Roman" w:eastAsia="宋体"/>
        </w:rPr>
        <w:t>、K</w:t>
      </w:r>
      <w:r>
        <w:rPr>
          <w:rFonts w:hAnsi="Times New Roman" w:eastAsia="宋体"/>
          <w:vertAlign w:val="subscript"/>
        </w:rPr>
        <w:t>5-1</w:t>
      </w:r>
      <w:r>
        <w:rPr>
          <w:rFonts w:hAnsi="Times New Roman" w:eastAsia="宋体"/>
        </w:rPr>
        <w:t>、K</w:t>
      </w:r>
      <w:r>
        <w:rPr>
          <w:rFonts w:hAnsi="Times New Roman" w:eastAsia="宋体"/>
          <w:vertAlign w:val="subscript"/>
        </w:rPr>
        <w:t>6</w:t>
      </w:r>
      <w:r>
        <w:rPr>
          <w:rFonts w:hAnsi="Times New Roman" w:eastAsia="宋体"/>
        </w:rPr>
        <w:t>、K</w:t>
      </w:r>
      <w:r>
        <w:rPr>
          <w:rFonts w:hAnsi="Times New Roman" w:eastAsia="宋体"/>
          <w:vertAlign w:val="subscript"/>
        </w:rPr>
        <w:t>8</w:t>
      </w:r>
      <w:r>
        <w:rPr>
          <w:rFonts w:hAnsi="Times New Roman" w:eastAsia="宋体"/>
        </w:rPr>
        <w:t>、K</w:t>
      </w:r>
      <w:r>
        <w:rPr>
          <w:rFonts w:hAnsi="Times New Roman" w:eastAsia="宋体"/>
          <w:vertAlign w:val="subscript"/>
        </w:rPr>
        <w:t>10</w:t>
      </w:r>
      <w:r>
        <w:rPr>
          <w:rFonts w:hAnsi="Times New Roman" w:eastAsia="宋体"/>
        </w:rPr>
        <w:t>煤层。矿井采用平硐、斜井综合开拓方式，走向长壁采煤法，综合机械化采煤，使用采煤机落煤，煤炭采用刮板输送机运输，掩护式液压支架支护工作面顶板，全部垮落法处理采空区。经现场调查，在矿区范围内未见明显的滑坡、危岩崩塌、泥石流、地面塌陷等地质灾害现象，矿区开采未引起周围植被覆盖率明显减少。地貌类型未发生明显变化，煤矿建设和运行总体上对地貌影响小。</w:t>
      </w:r>
    </w:p>
    <w:tbl>
      <w:tblPr>
        <w:tblStyle w:val="3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73"/>
        <w:gridCol w:w="46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1" w:type="pct"/>
          </w:tcPr>
          <w:p>
            <w:pPr>
              <w:pStyle w:val="19"/>
              <w:keepNext w:val="0"/>
              <w:keepLines w:val="0"/>
              <w:suppressLineNumbers w:val="0"/>
              <w:spacing w:before="0" w:beforeAutospacing="0" w:after="0" w:afterAutospacing="0" w:line="240" w:lineRule="auto"/>
              <w:ind w:left="0" w:right="0" w:firstLine="0" w:firstLineChars="0"/>
              <w:rPr>
                <w:rFonts w:hint="eastAsia"/>
                <w:sz w:val="21"/>
                <w:szCs w:val="21"/>
              </w:rPr>
            </w:pPr>
            <w:r>
              <w:rPr>
                <w:rFonts w:hint="eastAsia"/>
                <w:sz w:val="21"/>
                <w:szCs w:val="21"/>
              </w:rPr>
              <w:drawing>
                <wp:inline distT="0" distB="0" distL="114300" distR="114300">
                  <wp:extent cx="2776855" cy="2083435"/>
                  <wp:effectExtent l="0" t="0" r="4445" b="0"/>
                  <wp:docPr id="857770732" name="图片 857770732" descr="微信图片_20220730153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770732" name="图片 857770732" descr="微信图片_20220730153737"/>
                          <pic:cNvPicPr>
                            <a:picLocks noChangeAspect="1"/>
                          </pic:cNvPicPr>
                        </pic:nvPicPr>
                        <pic:blipFill>
                          <a:blip r:embed="rId106"/>
                          <a:stretch>
                            <a:fillRect/>
                          </a:stretch>
                        </pic:blipFill>
                        <pic:spPr>
                          <a:xfrm>
                            <a:off x="0" y="0"/>
                            <a:ext cx="2778544" cy="2085110"/>
                          </a:xfrm>
                          <a:prstGeom prst="rect">
                            <a:avLst/>
                          </a:prstGeom>
                        </pic:spPr>
                      </pic:pic>
                    </a:graphicData>
                  </a:graphic>
                </wp:inline>
              </w:drawing>
            </w:r>
          </w:p>
        </w:tc>
        <w:tc>
          <w:tcPr>
            <w:tcW w:w="2499" w:type="pct"/>
          </w:tcPr>
          <w:p>
            <w:pPr>
              <w:pStyle w:val="19"/>
              <w:keepNext w:val="0"/>
              <w:keepLines w:val="0"/>
              <w:suppressLineNumbers w:val="0"/>
              <w:spacing w:before="0" w:beforeAutospacing="0" w:after="0" w:afterAutospacing="0" w:line="240" w:lineRule="auto"/>
              <w:ind w:left="0" w:right="0" w:firstLine="0" w:firstLineChars="0"/>
              <w:rPr>
                <w:rFonts w:hint="eastAsia"/>
                <w:sz w:val="21"/>
                <w:szCs w:val="21"/>
              </w:rPr>
            </w:pPr>
            <w:r>
              <w:rPr>
                <w:rFonts w:hint="eastAsia"/>
                <w:sz w:val="21"/>
                <w:szCs w:val="21"/>
              </w:rPr>
              <w:drawing>
                <wp:inline distT="0" distB="0" distL="114300" distR="114300">
                  <wp:extent cx="2742565" cy="2057400"/>
                  <wp:effectExtent l="0" t="0" r="635" b="0"/>
                  <wp:docPr id="1468610704" name="图片 1468610704" descr="微信图片_20220730153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610704" name="图片 1468610704" descr="微信图片_20220730153741"/>
                          <pic:cNvPicPr>
                            <a:picLocks noChangeAspect="1"/>
                          </pic:cNvPicPr>
                        </pic:nvPicPr>
                        <pic:blipFill>
                          <a:blip r:embed="rId107"/>
                          <a:stretch>
                            <a:fillRect/>
                          </a:stretch>
                        </pic:blipFill>
                        <pic:spPr>
                          <a:xfrm>
                            <a:off x="0" y="0"/>
                            <a:ext cx="2744655" cy="2058833"/>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2"/>
          </w:tcPr>
          <w:p>
            <w:pPr>
              <w:pStyle w:val="19"/>
              <w:keepNext w:val="0"/>
              <w:keepLines w:val="0"/>
              <w:suppressLineNumbers w:val="0"/>
              <w:spacing w:before="0" w:beforeAutospacing="0" w:after="0" w:afterAutospacing="0" w:line="240" w:lineRule="auto"/>
              <w:ind w:left="480" w:right="0" w:firstLine="422"/>
              <w:jc w:val="center"/>
              <w:rPr>
                <w:rFonts w:hint="eastAsia"/>
                <w:b/>
                <w:sz w:val="21"/>
                <w:szCs w:val="21"/>
              </w:rPr>
            </w:pPr>
            <w:r>
              <w:rPr>
                <w:rFonts w:hint="eastAsia"/>
                <w:b/>
                <w:sz w:val="21"/>
                <w:szCs w:val="21"/>
                <w:lang w:eastAsia="zh-CN"/>
              </w:rPr>
              <w:t>矿区改造前现状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1" w:type="pct"/>
          </w:tcPr>
          <w:p>
            <w:pPr>
              <w:pStyle w:val="19"/>
              <w:keepNext w:val="0"/>
              <w:keepLines w:val="0"/>
              <w:suppressLineNumbers w:val="0"/>
              <w:spacing w:before="0" w:beforeAutospacing="0" w:after="0" w:afterAutospacing="0" w:line="240" w:lineRule="auto"/>
              <w:ind w:left="0" w:right="0" w:firstLine="0" w:firstLineChars="0"/>
              <w:rPr>
                <w:rFonts w:hint="eastAsia"/>
                <w:b/>
                <w:bCs w:val="0"/>
                <w:sz w:val="21"/>
                <w:szCs w:val="21"/>
              </w:rPr>
            </w:pPr>
            <w:r>
              <w:rPr>
                <w:rFonts w:hint="eastAsia"/>
                <w:b/>
                <w:bCs w:val="0"/>
                <w:sz w:val="21"/>
                <w:szCs w:val="21"/>
              </w:rPr>
              <w:drawing>
                <wp:inline distT="0" distB="0" distL="114300" distR="114300">
                  <wp:extent cx="2827655" cy="2121535"/>
                  <wp:effectExtent l="0" t="0" r="0" b="0"/>
                  <wp:docPr id="1730166736" name="图片 1730166736" descr="微信图片_20220730152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166736" name="图片 1730166736" descr="微信图片_20220730152948"/>
                          <pic:cNvPicPr>
                            <a:picLocks noChangeAspect="1"/>
                          </pic:cNvPicPr>
                        </pic:nvPicPr>
                        <pic:blipFill>
                          <a:blip r:embed="rId94"/>
                          <a:stretch>
                            <a:fillRect/>
                          </a:stretch>
                        </pic:blipFill>
                        <pic:spPr>
                          <a:xfrm>
                            <a:off x="0" y="0"/>
                            <a:ext cx="2838776" cy="2130310"/>
                          </a:xfrm>
                          <a:prstGeom prst="rect">
                            <a:avLst/>
                          </a:prstGeom>
                        </pic:spPr>
                      </pic:pic>
                    </a:graphicData>
                  </a:graphic>
                </wp:inline>
              </w:drawing>
            </w:r>
          </w:p>
        </w:tc>
        <w:tc>
          <w:tcPr>
            <w:tcW w:w="2499" w:type="pct"/>
          </w:tcPr>
          <w:p>
            <w:pPr>
              <w:pStyle w:val="19"/>
              <w:keepNext w:val="0"/>
              <w:keepLines w:val="0"/>
              <w:suppressLineNumbers w:val="0"/>
              <w:spacing w:before="0" w:beforeAutospacing="0" w:after="0" w:afterAutospacing="0" w:line="240" w:lineRule="auto"/>
              <w:ind w:left="0" w:right="0" w:firstLine="0" w:firstLineChars="0"/>
              <w:rPr>
                <w:rFonts w:hint="eastAsia"/>
                <w:b/>
                <w:bCs w:val="0"/>
                <w:sz w:val="21"/>
                <w:szCs w:val="21"/>
              </w:rPr>
            </w:pPr>
            <w:r>
              <w:rPr>
                <w:rFonts w:hint="eastAsia"/>
                <w:b/>
                <w:bCs w:val="0"/>
                <w:sz w:val="21"/>
                <w:szCs w:val="21"/>
              </w:rPr>
              <w:drawing>
                <wp:inline distT="0" distB="0" distL="114300" distR="114300">
                  <wp:extent cx="2731135" cy="2048510"/>
                  <wp:effectExtent l="0" t="0" r="0" b="8890"/>
                  <wp:docPr id="331291900" name="图片 331291900" descr="微信图片_2022073015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291900" name="图片 331291900" descr="微信图片_20220730153109"/>
                          <pic:cNvPicPr>
                            <a:picLocks noChangeAspect="1"/>
                          </pic:cNvPicPr>
                        </pic:nvPicPr>
                        <pic:blipFill>
                          <a:blip r:embed="rId108"/>
                          <a:stretch>
                            <a:fillRect/>
                          </a:stretch>
                        </pic:blipFill>
                        <pic:spPr>
                          <a:xfrm>
                            <a:off x="0" y="0"/>
                            <a:ext cx="2733625" cy="2050559"/>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2"/>
          </w:tcPr>
          <w:p>
            <w:pPr>
              <w:pStyle w:val="19"/>
              <w:keepNext w:val="0"/>
              <w:keepLines w:val="0"/>
              <w:suppressLineNumbers w:val="0"/>
              <w:spacing w:before="0" w:beforeAutospacing="0" w:after="0" w:afterAutospacing="0" w:line="240" w:lineRule="auto"/>
              <w:ind w:left="480" w:right="0" w:firstLine="422"/>
              <w:jc w:val="center"/>
              <w:rPr>
                <w:rFonts w:hint="eastAsia"/>
                <w:b/>
                <w:sz w:val="21"/>
                <w:szCs w:val="21"/>
              </w:rPr>
            </w:pPr>
            <w:r>
              <w:rPr>
                <w:rFonts w:hint="eastAsia"/>
                <w:b/>
                <w:sz w:val="21"/>
                <w:szCs w:val="21"/>
                <w:lang w:eastAsia="zh-CN"/>
              </w:rPr>
              <w:t>矿区改造后周边植被情况</w:t>
            </w:r>
          </w:p>
        </w:tc>
      </w:tr>
    </w:tbl>
    <w:p>
      <w:pPr>
        <w:pStyle w:val="14"/>
        <w:overflowPunct w:val="0"/>
        <w:spacing w:line="360" w:lineRule="auto"/>
        <w:rPr>
          <w:rFonts w:ascii="Times New Roman" w:hAnsi="Times New Roman"/>
          <w:b/>
          <w:bCs w:val="0"/>
          <w:sz w:val="24"/>
        </w:rPr>
      </w:pPr>
      <w:bookmarkStart w:id="207" w:name="4.2.1.1营运期对生态影响分析"/>
      <w:bookmarkEnd w:id="207"/>
      <w:r>
        <w:rPr>
          <w:rFonts w:ascii="Times New Roman" w:hAnsi="Times New Roman"/>
          <w:b/>
          <w:bCs w:val="0"/>
          <w:sz w:val="24"/>
        </w:rPr>
        <w:t>4.</w:t>
      </w:r>
      <w:r>
        <w:rPr>
          <w:rFonts w:ascii="Times New Roman" w:hAnsi="Times New Roman"/>
          <w:b/>
          <w:bCs w:val="0"/>
          <w:sz w:val="24"/>
          <w:lang w:eastAsia="zh-CN"/>
        </w:rPr>
        <w:t>3</w:t>
      </w:r>
      <w:r>
        <w:rPr>
          <w:rFonts w:ascii="Times New Roman" w:hAnsi="Times New Roman"/>
          <w:b/>
          <w:bCs w:val="0"/>
          <w:sz w:val="24"/>
        </w:rPr>
        <w:t>.1.</w:t>
      </w:r>
      <w:r>
        <w:rPr>
          <w:rFonts w:ascii="Times New Roman" w:hAnsi="Times New Roman"/>
          <w:b/>
          <w:bCs w:val="0"/>
          <w:sz w:val="24"/>
          <w:lang w:eastAsia="zh-CN"/>
        </w:rPr>
        <w:t>2</w:t>
      </w:r>
      <w:r>
        <w:rPr>
          <w:rFonts w:ascii="Times New Roman" w:hAnsi="Times New Roman"/>
          <w:b/>
          <w:bCs w:val="0"/>
          <w:sz w:val="24"/>
        </w:rPr>
        <w:t xml:space="preserve"> 独立升级改造后对土地利用类型的影响</w:t>
      </w:r>
      <w:r>
        <w:rPr>
          <w:rFonts w:hint="eastAsia" w:ascii="Times New Roman" w:hAnsi="Times New Roman"/>
          <w:b/>
          <w:bCs w:val="0"/>
          <w:sz w:val="24"/>
          <w:lang w:val="en-US" w:eastAsia="zh-CN"/>
        </w:rPr>
        <w:t>分</w:t>
      </w:r>
      <w:r>
        <w:rPr>
          <w:rFonts w:ascii="Times New Roman" w:hAnsi="Times New Roman"/>
          <w:b/>
          <w:bCs w:val="0"/>
          <w:sz w:val="24"/>
        </w:rPr>
        <w:t>析</w:t>
      </w:r>
    </w:p>
    <w:p>
      <w:pPr>
        <w:pStyle w:val="14"/>
        <w:overflowPunct w:val="0"/>
        <w:spacing w:line="360" w:lineRule="auto"/>
        <w:ind w:left="586"/>
        <w:rPr>
          <w:rFonts w:ascii="Times New Roman" w:hAnsi="Times New Roman"/>
          <w:sz w:val="24"/>
        </w:rPr>
      </w:pPr>
      <w:r>
        <w:rPr>
          <w:rFonts w:ascii="Times New Roman" w:hAnsi="Times New Roman"/>
          <w:sz w:val="24"/>
          <w:lang w:eastAsia="zh-CN"/>
        </w:rPr>
        <w:t>（1）升级改造对土地利用类型的影响</w:t>
      </w:r>
    </w:p>
    <w:p>
      <w:pPr>
        <w:pStyle w:val="14"/>
        <w:overflowPunct w:val="0"/>
        <w:spacing w:line="360" w:lineRule="auto"/>
        <w:ind w:right="144" w:firstLine="480"/>
        <w:rPr>
          <w:rFonts w:ascii="Times New Roman" w:hAnsi="Times New Roman"/>
          <w:sz w:val="24"/>
        </w:rPr>
      </w:pPr>
      <w:r>
        <w:rPr>
          <w:rFonts w:hint="eastAsia" w:ascii="Times New Roman" w:hAnsi="Times New Roman" w:cs="仿宋_GB2312"/>
          <w:b/>
          <w:kern w:val="0"/>
          <w:sz w:val="24"/>
          <w:szCs w:val="20"/>
        </w:rPr>
        <w:t>此次升级改造所有工程施工均在现有场地内进行，无新增占地，不会改变评价区现有的土地利用格局</w:t>
      </w:r>
      <w:r>
        <w:rPr>
          <w:rFonts w:hint="eastAsia" w:ascii="Times New Roman" w:hAnsi="Times New Roman" w:cs="仿宋_GB2312"/>
          <w:kern w:val="0"/>
          <w:sz w:val="24"/>
          <w:szCs w:val="20"/>
        </w:rPr>
        <w:t>，具体占地情况变化表如表</w:t>
      </w:r>
      <w:r>
        <w:rPr>
          <w:rFonts w:hint="eastAsia" w:ascii="Times New Roman" w:hAnsi="Times New Roman" w:cs="仿宋_GB2312"/>
          <w:kern w:val="0"/>
          <w:sz w:val="24"/>
          <w:szCs w:val="20"/>
          <w:lang w:eastAsia="zh-CN"/>
        </w:rPr>
        <w:t>4</w:t>
      </w:r>
      <w:r>
        <w:rPr>
          <w:rFonts w:ascii="Times New Roman" w:hAnsi="Times New Roman" w:cs="仿宋_GB2312"/>
          <w:kern w:val="0"/>
          <w:sz w:val="24"/>
          <w:szCs w:val="20"/>
        </w:rPr>
        <w:t>.</w:t>
      </w:r>
      <w:r>
        <w:rPr>
          <w:rFonts w:hint="eastAsia" w:ascii="Times New Roman" w:hAnsi="Times New Roman" w:cs="仿宋_GB2312"/>
          <w:kern w:val="0"/>
          <w:sz w:val="24"/>
          <w:szCs w:val="20"/>
          <w:lang w:eastAsia="zh-CN"/>
        </w:rPr>
        <w:t>3</w:t>
      </w:r>
      <w:r>
        <w:rPr>
          <w:rFonts w:ascii="Times New Roman" w:hAnsi="Times New Roman" w:cs="仿宋_GB2312"/>
          <w:kern w:val="0"/>
          <w:sz w:val="24"/>
          <w:szCs w:val="20"/>
        </w:rPr>
        <w:t>-1</w:t>
      </w:r>
      <w:r>
        <w:rPr>
          <w:rFonts w:hint="eastAsia" w:ascii="Times New Roman" w:hAnsi="Times New Roman" w:cs="仿宋_GB2312"/>
          <w:kern w:val="0"/>
          <w:sz w:val="24"/>
          <w:szCs w:val="20"/>
        </w:rPr>
        <w:t>。目前，升级改造工程已全部施工完毕，且增加了一系列绿化措施</w:t>
      </w:r>
      <w:r>
        <w:rPr>
          <w:rFonts w:ascii="Times New Roman" w:hAnsi="Times New Roman"/>
          <w:sz w:val="24"/>
        </w:rPr>
        <w:t>。</w:t>
      </w:r>
    </w:p>
    <w:p>
      <w:pPr>
        <w:spacing w:line="360" w:lineRule="auto"/>
        <w:ind w:firstLine="422" w:firstLineChars="200"/>
        <w:jc w:val="center"/>
        <w:rPr>
          <w:rFonts w:hAnsi="Times New Roman" w:eastAsia="宋体"/>
          <w:b/>
          <w:bCs/>
          <w:sz w:val="21"/>
          <w:szCs w:val="21"/>
        </w:rPr>
      </w:pPr>
      <w:r>
        <w:rPr>
          <w:rFonts w:hint="eastAsia" w:hAnsi="Times New Roman" w:eastAsia="宋体"/>
          <w:b/>
          <w:bCs/>
          <w:sz w:val="21"/>
          <w:szCs w:val="21"/>
        </w:rPr>
        <w:t>表</w:t>
      </w:r>
      <w:r>
        <w:rPr>
          <w:rFonts w:hint="eastAsia" w:hAnsi="Times New Roman" w:eastAsia="宋体"/>
          <w:b/>
          <w:bCs/>
          <w:sz w:val="21"/>
          <w:szCs w:val="21"/>
          <w:lang w:eastAsia="zh-CN"/>
        </w:rPr>
        <w:t>4</w:t>
      </w:r>
      <w:r>
        <w:rPr>
          <w:rFonts w:hAnsi="Times New Roman" w:eastAsia="宋体"/>
          <w:b/>
          <w:bCs/>
          <w:sz w:val="21"/>
          <w:szCs w:val="21"/>
        </w:rPr>
        <w:t>.</w:t>
      </w:r>
      <w:r>
        <w:rPr>
          <w:rFonts w:hint="eastAsia" w:hAnsi="Times New Roman" w:eastAsia="宋体"/>
          <w:b/>
          <w:bCs/>
          <w:sz w:val="21"/>
          <w:szCs w:val="21"/>
          <w:lang w:eastAsia="zh-CN"/>
        </w:rPr>
        <w:t>3</w:t>
      </w:r>
      <w:r>
        <w:rPr>
          <w:rFonts w:hAnsi="Times New Roman" w:eastAsia="宋体"/>
          <w:b/>
          <w:bCs/>
          <w:sz w:val="21"/>
          <w:szCs w:val="21"/>
        </w:rPr>
        <w:t xml:space="preserve">-1 </w:t>
      </w:r>
      <w:r>
        <w:rPr>
          <w:rFonts w:hint="eastAsia" w:hAnsi="Times New Roman" w:eastAsia="宋体"/>
          <w:b/>
          <w:bCs/>
          <w:sz w:val="21"/>
          <w:szCs w:val="21"/>
        </w:rPr>
        <w:t>升级改造前与升级改造后工程占地面积变化</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5"/>
        <w:gridCol w:w="3333"/>
        <w:gridCol w:w="1163"/>
        <w:gridCol w:w="3139"/>
        <w:gridCol w:w="5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93" w:hRule="atLeast"/>
          <w:tblHeader/>
          <w:jc w:val="center"/>
        </w:trPr>
        <w:tc>
          <w:tcPr>
            <w:tcW w:w="542" w:type="pct"/>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项目组成</w:t>
            </w:r>
          </w:p>
        </w:tc>
        <w:tc>
          <w:tcPr>
            <w:tcW w:w="2448" w:type="pct"/>
            <w:gridSpan w:val="2"/>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升级改造前工程占地面积</w:t>
            </w:r>
          </w:p>
        </w:tc>
        <w:tc>
          <w:tcPr>
            <w:tcW w:w="1708" w:type="pct"/>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现状（升级改造后）工程占地面积</w:t>
            </w:r>
          </w:p>
        </w:tc>
        <w:tc>
          <w:tcPr>
            <w:tcW w:w="302" w:type="pct"/>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建设现状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8" w:hRule="atLeast"/>
          <w:jc w:val="center"/>
        </w:trPr>
        <w:tc>
          <w:tcPr>
            <w:tcW w:w="542" w:type="pct"/>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工业场地</w:t>
            </w:r>
          </w:p>
        </w:tc>
        <w:tc>
          <w:tcPr>
            <w:tcW w:w="2448" w:type="pct"/>
            <w:gridSpan w:val="2"/>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井田范围以北约1.1km处，场地内设有主斜井、副平硐、矿井水处理站、生活污水处理站和临时矸石堆场等，占地面积0.</w:t>
            </w:r>
            <w:bookmarkStart w:id="208" w:name="_Hlk62546482"/>
            <w:r>
              <w:rPr>
                <w:rFonts w:hint="eastAsia" w:hAnsi="Times New Roman" w:eastAsia="宋体"/>
                <w:kern w:val="2"/>
                <w:sz w:val="21"/>
                <w:szCs w:val="21"/>
              </w:rPr>
              <w:t>15hm</w:t>
            </w:r>
            <w:r>
              <w:rPr>
                <w:rFonts w:hint="eastAsia" w:hAnsi="Times New Roman" w:eastAsia="宋体"/>
                <w:kern w:val="2"/>
                <w:sz w:val="21"/>
                <w:szCs w:val="21"/>
                <w:vertAlign w:val="superscript"/>
              </w:rPr>
              <w:t>2</w:t>
            </w:r>
            <w:bookmarkEnd w:id="208"/>
          </w:p>
        </w:tc>
        <w:tc>
          <w:tcPr>
            <w:tcW w:w="1708" w:type="pct"/>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位置和占地面积不变</w:t>
            </w:r>
          </w:p>
        </w:tc>
        <w:tc>
          <w:tcPr>
            <w:tcW w:w="302" w:type="pct"/>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建成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42" w:type="pct"/>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bookmarkStart w:id="209" w:name="_Hlk62546584"/>
            <w:r>
              <w:rPr>
                <w:rFonts w:hint="eastAsia" w:hAnsi="Times New Roman" w:eastAsia="宋体"/>
                <w:kern w:val="2"/>
                <w:sz w:val="21"/>
                <w:szCs w:val="21"/>
              </w:rPr>
              <w:t>临时矸石堆场</w:t>
            </w:r>
            <w:bookmarkEnd w:id="209"/>
          </w:p>
        </w:tc>
        <w:tc>
          <w:tcPr>
            <w:tcW w:w="2448" w:type="pct"/>
            <w:gridSpan w:val="2"/>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紧邻储煤场北侧，占地面积约3600m</w:t>
            </w:r>
            <w:r>
              <w:rPr>
                <w:rFonts w:hint="eastAsia" w:hAnsi="Times New Roman" w:eastAsia="宋体"/>
                <w:kern w:val="2"/>
                <w:sz w:val="21"/>
                <w:szCs w:val="21"/>
                <w:vertAlign w:val="superscript"/>
              </w:rPr>
              <w:t>2</w:t>
            </w:r>
            <w:r>
              <w:rPr>
                <w:rFonts w:hint="eastAsia" w:hAnsi="Times New Roman" w:eastAsia="宋体"/>
                <w:kern w:val="2"/>
                <w:sz w:val="21"/>
                <w:szCs w:val="21"/>
              </w:rPr>
              <w:t>，煤矸石暂存量约1.2万t，为敞开式临时堆场。</w:t>
            </w:r>
          </w:p>
        </w:tc>
        <w:tc>
          <w:tcPr>
            <w:tcW w:w="1708" w:type="pct"/>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位置和占地面积不变，矸石翻笼处设置喷淋装置，在矸石临时堆场屋顶四周新增喷雾装置</w:t>
            </w:r>
          </w:p>
        </w:tc>
        <w:tc>
          <w:tcPr>
            <w:tcW w:w="302" w:type="pct"/>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建成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1" w:hRule="atLeast"/>
          <w:jc w:val="center"/>
        </w:trPr>
        <w:tc>
          <w:tcPr>
            <w:tcW w:w="542" w:type="pct"/>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风井场地</w:t>
            </w:r>
          </w:p>
        </w:tc>
        <w:tc>
          <w:tcPr>
            <w:tcW w:w="2448" w:type="pct"/>
            <w:gridSpan w:val="2"/>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东翼风井布置在主平硐以东约1570m，占地约 1.8hm</w:t>
            </w:r>
            <w:r>
              <w:rPr>
                <w:rFonts w:hint="eastAsia" w:hAnsi="Times New Roman" w:eastAsia="宋体"/>
                <w:kern w:val="2"/>
                <w:sz w:val="21"/>
                <w:szCs w:val="21"/>
                <w:vertAlign w:val="superscript"/>
              </w:rPr>
              <w:t>2</w:t>
            </w:r>
            <w:r>
              <w:rPr>
                <w:rFonts w:hint="eastAsia" w:hAnsi="Times New Roman" w:eastAsia="宋体"/>
                <w:kern w:val="2"/>
                <w:sz w:val="21"/>
                <w:szCs w:val="21"/>
              </w:rPr>
              <w:t>，西翼风井主平硐东南方向约1370m处，占地约 1.3hm</w:t>
            </w:r>
            <w:r>
              <w:rPr>
                <w:rFonts w:hint="eastAsia" w:hAnsi="Times New Roman" w:eastAsia="宋体"/>
                <w:kern w:val="2"/>
                <w:sz w:val="21"/>
                <w:szCs w:val="21"/>
                <w:vertAlign w:val="superscript"/>
              </w:rPr>
              <w:t>2</w:t>
            </w:r>
          </w:p>
        </w:tc>
        <w:tc>
          <w:tcPr>
            <w:tcW w:w="1708" w:type="pct"/>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位置和占地面积不变</w:t>
            </w:r>
          </w:p>
        </w:tc>
        <w:tc>
          <w:tcPr>
            <w:tcW w:w="302" w:type="pct"/>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建成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302" w:type="pct"/>
          <w:jc w:val="center"/>
        </w:trPr>
        <w:tc>
          <w:tcPr>
            <w:tcW w:w="2357" w:type="pct"/>
            <w:gridSpan w:val="2"/>
          </w:tcPr>
          <w:p>
            <w:pPr>
              <w:keepNext w:val="0"/>
              <w:keepLines w:val="0"/>
              <w:widowControl/>
              <w:suppressLineNumbers w:val="0"/>
              <w:autoSpaceDE w:val="0"/>
              <w:spacing w:before="0" w:beforeAutospacing="0" w:after="0" w:afterAutospacing="0"/>
              <w:ind w:left="0" w:right="0"/>
              <w:jc w:val="center"/>
              <w:rPr>
                <w:rFonts w:hint="eastAsia" w:hAnsi="Times New Roman" w:eastAsia="宋体"/>
                <w:kern w:val="2"/>
                <w:szCs w:val="21"/>
              </w:rPr>
            </w:pPr>
            <w:r>
              <w:rPr>
                <w:rFonts w:hint="eastAsia" w:hAnsi="Times New Roman" w:eastAsia="宋体"/>
                <w:kern w:val="2"/>
                <w:szCs w:val="21"/>
              </w:rPr>
              <w:drawing>
                <wp:inline distT="0" distB="0" distL="114300" distR="114300">
                  <wp:extent cx="2446655" cy="1835150"/>
                  <wp:effectExtent l="0" t="0" r="0" b="0"/>
                  <wp:docPr id="1127970036" name="图片 1127970036" descr="微信图片_20220730153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970036" name="图片 1127970036" descr="微信图片_20220730153545"/>
                          <pic:cNvPicPr>
                            <a:picLocks noChangeAspect="1"/>
                          </pic:cNvPicPr>
                        </pic:nvPicPr>
                        <pic:blipFill>
                          <a:blip r:embed="rId109"/>
                          <a:stretch>
                            <a:fillRect/>
                          </a:stretch>
                        </pic:blipFill>
                        <pic:spPr>
                          <a:xfrm>
                            <a:off x="0" y="0"/>
                            <a:ext cx="2459542" cy="1845253"/>
                          </a:xfrm>
                          <a:prstGeom prst="rect">
                            <a:avLst/>
                          </a:prstGeom>
                        </pic:spPr>
                      </pic:pic>
                    </a:graphicData>
                  </a:graphic>
                </wp:inline>
              </w:drawing>
            </w:r>
          </w:p>
        </w:tc>
        <w:tc>
          <w:tcPr>
            <w:tcW w:w="2342" w:type="pct"/>
            <w:gridSpan w:val="2"/>
          </w:tcPr>
          <w:p>
            <w:pPr>
              <w:keepNext w:val="0"/>
              <w:keepLines w:val="0"/>
              <w:widowControl/>
              <w:suppressLineNumbers w:val="0"/>
              <w:autoSpaceDE w:val="0"/>
              <w:spacing w:before="0" w:beforeAutospacing="0" w:after="0" w:afterAutospacing="0"/>
              <w:ind w:left="0" w:right="0"/>
              <w:jc w:val="center"/>
              <w:rPr>
                <w:rFonts w:hint="eastAsia" w:hAnsi="Times New Roman" w:eastAsia="宋体"/>
                <w:kern w:val="2"/>
                <w:szCs w:val="21"/>
              </w:rPr>
            </w:pPr>
            <w:r>
              <w:rPr>
                <w:rFonts w:hint="eastAsia" w:hAnsi="Times New Roman" w:eastAsia="宋体"/>
                <w:kern w:val="2"/>
                <w:szCs w:val="21"/>
              </w:rPr>
              <w:drawing>
                <wp:inline distT="0" distB="0" distL="114300" distR="114300">
                  <wp:extent cx="2573655" cy="1931035"/>
                  <wp:effectExtent l="0" t="0" r="0" b="0"/>
                  <wp:docPr id="869486009" name="图片 869486009" descr="微信图片_20220730153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486009" name="图片 869486009" descr="微信图片_20220730153728"/>
                          <pic:cNvPicPr>
                            <a:picLocks noChangeAspect="1"/>
                          </pic:cNvPicPr>
                        </pic:nvPicPr>
                        <pic:blipFill>
                          <a:blip r:embed="rId110"/>
                          <a:stretch>
                            <a:fillRect/>
                          </a:stretch>
                        </pic:blipFill>
                        <pic:spPr>
                          <a:xfrm>
                            <a:off x="0" y="0"/>
                            <a:ext cx="2579123" cy="1935287"/>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302" w:type="pct"/>
          <w:jc w:val="center"/>
        </w:trPr>
        <w:tc>
          <w:tcPr>
            <w:tcW w:w="2357" w:type="pct"/>
            <w:gridSpan w:val="2"/>
          </w:tcPr>
          <w:p>
            <w:pPr>
              <w:keepNext w:val="0"/>
              <w:keepLines w:val="0"/>
              <w:widowControl/>
              <w:suppressLineNumbers w:val="0"/>
              <w:autoSpaceDE w:val="0"/>
              <w:spacing w:before="0" w:beforeAutospacing="0" w:after="0" w:afterAutospacing="0"/>
              <w:ind w:left="0" w:right="0" w:firstLine="420"/>
              <w:jc w:val="center"/>
              <w:rPr>
                <w:rFonts w:hint="eastAsia" w:hAnsi="Times New Roman" w:eastAsia="宋体"/>
                <w:b/>
                <w:bCs/>
                <w:kern w:val="2"/>
                <w:szCs w:val="21"/>
              </w:rPr>
            </w:pPr>
            <w:r>
              <w:rPr>
                <w:rFonts w:hint="eastAsia" w:hAnsi="Times New Roman" w:eastAsia="宋体"/>
                <w:b/>
                <w:bCs/>
                <w:kern w:val="2"/>
                <w:sz w:val="21"/>
                <w:szCs w:val="21"/>
                <w:lang w:eastAsia="zh-CN"/>
              </w:rPr>
              <w:t>矿区洞口</w:t>
            </w:r>
          </w:p>
        </w:tc>
        <w:tc>
          <w:tcPr>
            <w:tcW w:w="2342" w:type="pct"/>
            <w:gridSpan w:val="2"/>
          </w:tcPr>
          <w:p>
            <w:pPr>
              <w:keepNext w:val="0"/>
              <w:keepLines w:val="0"/>
              <w:widowControl/>
              <w:suppressLineNumbers w:val="0"/>
              <w:autoSpaceDE w:val="0"/>
              <w:spacing w:before="0" w:beforeAutospacing="0" w:after="0" w:afterAutospacing="0"/>
              <w:ind w:left="0" w:right="0" w:firstLine="420"/>
              <w:jc w:val="center"/>
              <w:rPr>
                <w:rFonts w:hint="eastAsia" w:hAnsi="Times New Roman" w:eastAsia="宋体"/>
                <w:b/>
                <w:bCs/>
                <w:kern w:val="2"/>
                <w:szCs w:val="21"/>
              </w:rPr>
            </w:pPr>
            <w:r>
              <w:rPr>
                <w:rFonts w:hint="eastAsia" w:hAnsi="Times New Roman" w:eastAsia="宋体"/>
                <w:b/>
                <w:bCs/>
                <w:kern w:val="2"/>
                <w:sz w:val="21"/>
                <w:szCs w:val="21"/>
                <w:lang w:eastAsia="zh-CN"/>
              </w:rPr>
              <w:t>工业广场</w:t>
            </w:r>
          </w:p>
        </w:tc>
      </w:tr>
    </w:tbl>
    <w:p>
      <w:pPr>
        <w:pStyle w:val="14"/>
        <w:overflowPunct w:val="0"/>
        <w:spacing w:line="360" w:lineRule="auto"/>
        <w:ind w:firstLine="480" w:firstLineChars="200"/>
        <w:rPr>
          <w:rFonts w:ascii="Times New Roman" w:hAnsi="Times New Roman"/>
          <w:sz w:val="24"/>
        </w:rPr>
      </w:pPr>
      <w:r>
        <w:rPr>
          <w:rFonts w:ascii="Times New Roman" w:hAnsi="Times New Roman"/>
          <w:sz w:val="24"/>
          <w:lang w:eastAsia="zh-CN"/>
        </w:rPr>
        <w:t>（2）采矿期对土地利用类型的影响</w:t>
      </w:r>
      <w:r>
        <w:rPr>
          <w:rFonts w:ascii="Times New Roman" w:hAnsi="Times New Roman"/>
          <w:sz w:val="24"/>
        </w:rPr>
        <w:t xml:space="preserve"> </w:t>
      </w:r>
    </w:p>
    <w:p>
      <w:pPr>
        <w:widowControl/>
        <w:autoSpaceDE w:val="0"/>
        <w:spacing w:line="360" w:lineRule="auto"/>
        <w:ind w:firstLine="480" w:firstLineChars="200"/>
        <w:rPr>
          <w:rFonts w:hAnsi="Times New Roman" w:eastAsia="宋体"/>
          <w:szCs w:val="21"/>
        </w:rPr>
      </w:pPr>
      <w:r>
        <w:rPr>
          <w:rFonts w:hAnsi="Times New Roman" w:eastAsia="宋体"/>
          <w:szCs w:val="21"/>
        </w:rPr>
        <w:t>煤矿升级改造后进行开采，对土地利用类型的影响表现为地下开采可能造成土地塌陷，应实时对易塌陷区域进行监测。</w:t>
      </w:r>
    </w:p>
    <w:p>
      <w:pPr>
        <w:pStyle w:val="14"/>
        <w:overflowPunct w:val="0"/>
        <w:spacing w:line="360" w:lineRule="auto"/>
        <w:ind w:firstLine="480" w:firstLineChars="200"/>
        <w:rPr>
          <w:rFonts w:ascii="Times New Roman" w:hAnsi="Times New Roman"/>
          <w:sz w:val="24"/>
        </w:rPr>
      </w:pPr>
      <w:r>
        <w:rPr>
          <w:rFonts w:ascii="Times New Roman" w:hAnsi="Times New Roman"/>
          <w:sz w:val="24"/>
          <w:szCs w:val="21"/>
        </w:rPr>
        <w:t>在开采过程中，煤矿山开采将改变土地结构，破坏原有植被，使侵蚀度增加，区域水土流失加重。若遭遇持续降雨、暴雨或洪水，容易造成大规模严重的水土流失，影响下游农田，增加河流的含沙量，如不采取治理措施，将造成土地肥力的严重退化，甚至使土地石化、沙化，导致土地生产力降低。建设中形成的成片废弃地、裸露地及闲置地等会对区域景观造成一定程度的破坏。基建中的弃土、弃渣以及生产过程中矿山采区的剥离土等若不能合理弃置且不采取任何防护，则只要暴雨一冲刷，就会引起水土流失，甚至引起泥石流灾害，堵塞下游河道。因此，必须重视项目建设中的水土流失的防治工作</w:t>
      </w:r>
      <w:r>
        <w:rPr>
          <w:rFonts w:ascii="Times New Roman" w:hAnsi="Times New Roman"/>
          <w:sz w:val="24"/>
        </w:rPr>
        <w:t>。</w:t>
      </w:r>
    </w:p>
    <w:p>
      <w:pPr>
        <w:pStyle w:val="6"/>
        <w:rPr>
          <w:szCs w:val="22"/>
          <w:lang w:eastAsia="zh-CN"/>
        </w:rPr>
      </w:pPr>
      <w:bookmarkStart w:id="210" w:name="_Toc163812562"/>
      <w:bookmarkStart w:id="211" w:name="_Toc167095185"/>
      <w:r>
        <w:rPr>
          <w:szCs w:val="22"/>
          <w:lang w:eastAsia="zh-CN"/>
        </w:rPr>
        <w:t>4.3.2 生态系统影响评价</w:t>
      </w:r>
      <w:bookmarkEnd w:id="210"/>
      <w:bookmarkEnd w:id="211"/>
    </w:p>
    <w:p>
      <w:pPr>
        <w:pStyle w:val="14"/>
        <w:overflowPunct w:val="0"/>
        <w:spacing w:line="360" w:lineRule="auto"/>
        <w:rPr>
          <w:rFonts w:ascii="Times New Roman" w:hAnsi="Times New Roman"/>
          <w:b/>
          <w:bCs w:val="0"/>
          <w:sz w:val="24"/>
        </w:rPr>
      </w:pPr>
      <w:r>
        <w:rPr>
          <w:rFonts w:ascii="Times New Roman" w:hAnsi="Times New Roman"/>
          <w:b/>
          <w:bCs w:val="0"/>
          <w:sz w:val="24"/>
        </w:rPr>
        <w:t>4.</w:t>
      </w:r>
      <w:r>
        <w:rPr>
          <w:rFonts w:ascii="Times New Roman" w:hAnsi="Times New Roman"/>
          <w:b/>
          <w:bCs w:val="0"/>
          <w:sz w:val="24"/>
          <w:lang w:eastAsia="zh-CN"/>
        </w:rPr>
        <w:t>3</w:t>
      </w:r>
      <w:r>
        <w:rPr>
          <w:rFonts w:ascii="Times New Roman" w:hAnsi="Times New Roman"/>
          <w:b/>
          <w:bCs w:val="0"/>
          <w:sz w:val="24"/>
        </w:rPr>
        <w:t>.</w:t>
      </w:r>
      <w:r>
        <w:rPr>
          <w:rFonts w:ascii="Times New Roman" w:hAnsi="Times New Roman"/>
          <w:b/>
          <w:bCs w:val="0"/>
          <w:sz w:val="24"/>
          <w:lang w:eastAsia="zh-CN"/>
        </w:rPr>
        <w:t>2</w:t>
      </w:r>
      <w:r>
        <w:rPr>
          <w:rFonts w:ascii="Times New Roman" w:hAnsi="Times New Roman"/>
          <w:b/>
          <w:bCs w:val="0"/>
          <w:sz w:val="24"/>
        </w:rPr>
        <w:t xml:space="preserve">.1 </w:t>
      </w:r>
      <w:r>
        <w:rPr>
          <w:rFonts w:ascii="Times New Roman" w:hAnsi="Times New Roman"/>
          <w:b/>
          <w:bCs w:val="0"/>
          <w:sz w:val="24"/>
          <w:lang w:eastAsia="zh-CN"/>
        </w:rPr>
        <w:t>建设期对生态系统影响回</w:t>
      </w:r>
      <w:r>
        <w:rPr>
          <w:rFonts w:ascii="Times New Roman" w:hAnsi="Times New Roman"/>
          <w:b/>
          <w:bCs w:val="0"/>
          <w:sz w:val="24"/>
        </w:rPr>
        <w:t xml:space="preserve">顾 </w:t>
      </w:r>
    </w:p>
    <w:p>
      <w:pPr>
        <w:widowControl/>
        <w:autoSpaceDE w:val="0"/>
        <w:spacing w:line="360" w:lineRule="auto"/>
        <w:ind w:firstLine="480" w:firstLineChars="200"/>
        <w:rPr>
          <w:rFonts w:hAnsi="Times New Roman" w:eastAsia="宋体"/>
        </w:rPr>
      </w:pPr>
      <w:bookmarkStart w:id="212" w:name="_Hlk89255414"/>
      <w:r>
        <w:rPr>
          <w:rFonts w:hint="eastAsia" w:hAnsi="Times New Roman" w:eastAsia="宋体"/>
          <w:szCs w:val="21"/>
          <w:lang w:bidi="ar"/>
        </w:rPr>
        <w:t>煤</w:t>
      </w:r>
      <w:r>
        <w:rPr>
          <w:rFonts w:hAnsi="Times New Roman" w:eastAsia="宋体"/>
          <w:szCs w:val="21"/>
          <w:lang w:bidi="ar"/>
        </w:rPr>
        <w:t>矿建设</w:t>
      </w:r>
      <w:r>
        <w:rPr>
          <w:rFonts w:hint="eastAsia" w:hAnsi="Times New Roman" w:eastAsia="宋体"/>
          <w:szCs w:val="21"/>
          <w:lang w:bidi="ar"/>
        </w:rPr>
        <w:t>期</w:t>
      </w:r>
      <w:r>
        <w:rPr>
          <w:rFonts w:hAnsi="Times New Roman" w:eastAsia="宋体"/>
          <w:szCs w:val="21"/>
          <w:lang w:bidi="ar"/>
        </w:rPr>
        <w:t>对生态系统的影响主要表现有：工程占用和分割土地，改变土地利用性质，使沿途</w:t>
      </w:r>
      <w:r>
        <w:rPr>
          <w:rFonts w:hint="eastAsia" w:hAnsi="Times New Roman" w:eastAsia="宋体"/>
          <w:szCs w:val="21"/>
          <w:lang w:bidi="ar"/>
        </w:rPr>
        <w:t>周围</w:t>
      </w:r>
      <w:r>
        <w:rPr>
          <w:rFonts w:hAnsi="Times New Roman" w:eastAsia="宋体"/>
          <w:szCs w:val="21"/>
          <w:lang w:bidi="ar"/>
        </w:rPr>
        <w:t>植被减少，植被覆盖率降低；各作业点进行地面开挖取土、弃土破坏地形地</w:t>
      </w:r>
      <w:r>
        <w:rPr>
          <w:rFonts w:hint="eastAsia" w:hAnsi="Times New Roman" w:eastAsia="宋体"/>
          <w:szCs w:val="21"/>
          <w:lang w:eastAsia="zh-CN" w:bidi="ar"/>
        </w:rPr>
        <w:t>貌和</w:t>
      </w:r>
      <w:r>
        <w:rPr>
          <w:rFonts w:hAnsi="Times New Roman" w:eastAsia="宋体"/>
          <w:szCs w:val="21"/>
          <w:lang w:bidi="ar"/>
        </w:rPr>
        <w:t>植被，破坏土壤结构和肥力；工程活动扰动了自然的生态平衡，对沿线生物的生存将产生一定的不利影响。除此之外，各工程作业点也会产生生活垃圾对周边环境形成影响</w:t>
      </w:r>
      <w:r>
        <w:rPr>
          <w:rFonts w:hint="eastAsia" w:hAnsi="Times New Roman" w:eastAsia="宋体"/>
          <w:szCs w:val="21"/>
          <w:lang w:bidi="ar"/>
        </w:rPr>
        <w:t>。</w:t>
      </w:r>
      <w:r>
        <w:rPr>
          <w:rFonts w:hint="eastAsia" w:hAnsi="Times New Roman" w:eastAsia="宋体"/>
          <w:b/>
          <w:bCs/>
          <w:szCs w:val="21"/>
          <w:lang w:bidi="ar"/>
        </w:rPr>
        <w:t>七里峡煤</w:t>
      </w:r>
      <w:r>
        <w:rPr>
          <w:rFonts w:hint="eastAsia" w:hAnsi="Times New Roman" w:eastAsia="宋体"/>
          <w:b/>
          <w:bCs/>
          <w:szCs w:val="21"/>
          <w:lang w:eastAsia="zh-CN" w:bidi="ar"/>
        </w:rPr>
        <w:t>矿</w:t>
      </w:r>
      <w:r>
        <w:rPr>
          <w:rFonts w:hint="eastAsia" w:hAnsi="Times New Roman" w:eastAsia="宋体"/>
          <w:b/>
          <w:bCs/>
          <w:szCs w:val="21"/>
          <w:lang w:bidi="ar"/>
        </w:rPr>
        <w:t>建设期可分为升级改造前的建设期和升级改造的建设期</w:t>
      </w:r>
      <w:r>
        <w:rPr>
          <w:rFonts w:hint="eastAsia" w:hAnsi="Times New Roman" w:eastAsia="宋体"/>
          <w:szCs w:val="21"/>
          <w:lang w:bidi="ar"/>
        </w:rPr>
        <w:t>，</w:t>
      </w:r>
      <w:bookmarkEnd w:id="212"/>
      <w:r>
        <w:rPr>
          <w:rFonts w:hint="eastAsia" w:hAnsi="Times New Roman" w:eastAsia="宋体"/>
          <w:szCs w:val="21"/>
          <w:lang w:bidi="ar"/>
        </w:rPr>
        <w:t>升级改造前与升级改造后建设期均已结束</w:t>
      </w:r>
      <w:r>
        <w:rPr>
          <w:rFonts w:hAnsi="Times New Roman" w:eastAsia="宋体"/>
        </w:rPr>
        <w:t>。</w:t>
      </w:r>
    </w:p>
    <w:p>
      <w:pPr>
        <w:spacing w:line="360" w:lineRule="auto"/>
        <w:ind w:firstLine="480" w:firstLineChars="200"/>
        <w:rPr>
          <w:rFonts w:hAnsi="Times New Roman" w:eastAsia="宋体"/>
          <w:szCs w:val="21"/>
          <w:lang w:eastAsia="zh-CN" w:bidi="ar"/>
        </w:rPr>
      </w:pPr>
      <w:bookmarkStart w:id="213" w:name="_Hlk62550304"/>
      <w:r>
        <w:rPr>
          <w:rFonts w:hAnsi="Times New Roman" w:eastAsia="宋体"/>
          <w:szCs w:val="21"/>
          <w:lang w:bidi="ar"/>
        </w:rPr>
        <w:t>1</w:t>
      </w:r>
      <w:r>
        <w:rPr>
          <w:rFonts w:hAnsi="Times New Roman" w:eastAsia="宋体"/>
          <w:szCs w:val="21"/>
          <w:lang w:eastAsia="zh-CN" w:bidi="ar"/>
        </w:rPr>
        <w:t>、升级改造前建设期影响回顾</w:t>
      </w:r>
    </w:p>
    <w:bookmarkEnd w:id="213"/>
    <w:p>
      <w:pPr>
        <w:spacing w:line="360" w:lineRule="auto"/>
        <w:ind w:firstLine="480" w:firstLineChars="200"/>
        <w:rPr>
          <w:rFonts w:hAnsi="Times New Roman" w:eastAsia="宋体"/>
          <w:szCs w:val="21"/>
          <w:lang w:bidi="ar"/>
        </w:rPr>
      </w:pPr>
      <w:r>
        <w:rPr>
          <w:rFonts w:hAnsi="Times New Roman" w:eastAsia="宋体"/>
          <w:szCs w:val="21"/>
          <w:lang w:bidi="ar"/>
        </w:rPr>
        <w:t>（1）工程占地对生态系统的影响</w:t>
      </w:r>
    </w:p>
    <w:p>
      <w:pPr>
        <w:spacing w:line="360" w:lineRule="auto"/>
        <w:ind w:firstLine="480"/>
        <w:rPr>
          <w:rFonts w:hAnsi="Times New Roman" w:eastAsia="宋体"/>
          <w:szCs w:val="21"/>
          <w:lang w:bidi="ar"/>
        </w:rPr>
      </w:pPr>
      <w:r>
        <w:rPr>
          <w:rFonts w:hAnsi="Times New Roman" w:eastAsia="宋体"/>
          <w:szCs w:val="21"/>
          <w:lang w:bidi="ar"/>
        </w:rPr>
        <w:t>本项目工业场地、风井场地等占地，使得原有自然植被消失，改变了土地的使用性质，使生态系统发生变化，对生态系统的物理性产生长期的不可逆影响。工程占地对生态系统造成破坏，必然对其服务功能和完整性造成局部影响。但工业场地、风井场地占地对水土保持则是有利的，由于占地区域内地面坡度平缓、地面建筑和水泥路面覆盖了大部分地面，空隙地均采取了绿化措施，从而使占地区域内水土流失得到控制。</w:t>
      </w:r>
    </w:p>
    <w:p>
      <w:pPr>
        <w:spacing w:line="360" w:lineRule="auto"/>
        <w:ind w:firstLine="480"/>
        <w:rPr>
          <w:rFonts w:hAnsi="Times New Roman" w:eastAsia="宋体"/>
          <w:szCs w:val="21"/>
          <w:lang w:bidi="ar"/>
        </w:rPr>
      </w:pPr>
      <w:r>
        <w:rPr>
          <w:rFonts w:hAnsi="Times New Roman" w:eastAsia="宋体"/>
          <w:szCs w:val="21"/>
          <w:lang w:bidi="ar"/>
        </w:rPr>
        <w:t>工程建设从总体上会导致评价区内现有生态系统各类型占地面积的缩小。其中占地最大的生态系统类型将是工程直接占地区的灌草丛生态系统与森林生态系统，而基本不占用其他类型。</w:t>
      </w:r>
    </w:p>
    <w:p>
      <w:pPr>
        <w:spacing w:line="360" w:lineRule="auto"/>
        <w:ind w:firstLine="480" w:firstLineChars="200"/>
        <w:rPr>
          <w:rFonts w:hAnsi="Times New Roman" w:eastAsia="宋体"/>
          <w:szCs w:val="21"/>
          <w:lang w:bidi="ar"/>
        </w:rPr>
      </w:pPr>
      <w:r>
        <w:rPr>
          <w:rFonts w:hAnsi="Times New Roman" w:eastAsia="宋体"/>
          <w:szCs w:val="21"/>
          <w:lang w:bidi="ar"/>
        </w:rPr>
        <w:t>（2）施工活动对生态系统的影响回顾</w:t>
      </w:r>
    </w:p>
    <w:p>
      <w:pPr>
        <w:spacing w:line="360" w:lineRule="auto"/>
        <w:ind w:firstLine="480"/>
        <w:rPr>
          <w:rFonts w:hAnsi="Times New Roman" w:eastAsia="宋体"/>
          <w:szCs w:val="21"/>
          <w:lang w:bidi="ar"/>
        </w:rPr>
      </w:pPr>
      <w:r>
        <w:rPr>
          <w:rFonts w:hAnsi="Times New Roman" w:eastAsia="宋体"/>
          <w:szCs w:val="21"/>
          <w:lang w:bidi="ar"/>
        </w:rPr>
        <w:t xml:space="preserve"> 各种施工活动的噪声、运输、加工会对陆地生态系统中的动物起到驱赶作用，挖掘、爆破等会对植被生长地和动物栖息地造成直接破坏，造成植物物种和动物物种丧失、生物群落破坏、生态系统局部构件的损坏等实际影响。但除了强烈的噪声、较大规模的挖掘、爆破有一定的破坏性和干扰以外，小范围的施工活动一般不会对生态系统产生太大的影响。在破坏程度较大、自我修复困难的地方（生态脆弱区），能够通过植被恢复、生态系统恢复和重建措施，以尽可能减弱工程对环境的影响程度。</w:t>
      </w:r>
    </w:p>
    <w:p>
      <w:pPr>
        <w:spacing w:line="360" w:lineRule="auto"/>
        <w:ind w:firstLine="480" w:firstLineChars="200"/>
        <w:rPr>
          <w:rFonts w:hAnsi="Times New Roman" w:eastAsia="宋体"/>
          <w:szCs w:val="21"/>
          <w:lang w:bidi="ar"/>
        </w:rPr>
      </w:pPr>
      <w:r>
        <w:rPr>
          <w:rFonts w:hAnsi="Times New Roman" w:eastAsia="宋体"/>
          <w:szCs w:val="21"/>
          <w:lang w:bidi="ar"/>
        </w:rPr>
        <w:t>（3）生态系统结构完整性和运行连续性影响回顾</w:t>
      </w:r>
    </w:p>
    <w:p>
      <w:pPr>
        <w:spacing w:line="360" w:lineRule="auto"/>
        <w:ind w:firstLine="480" w:firstLineChars="200"/>
        <w:rPr>
          <w:rFonts w:hAnsi="Times New Roman" w:eastAsia="宋体"/>
          <w:szCs w:val="21"/>
          <w:lang w:bidi="ar"/>
        </w:rPr>
      </w:pPr>
      <w:r>
        <w:rPr>
          <w:rFonts w:hAnsi="Times New Roman" w:eastAsia="宋体"/>
          <w:szCs w:val="21"/>
          <w:lang w:bidi="ar"/>
        </w:rPr>
        <w:t>整体看来，影响区域的主要植被类型是森林植被、灌草丛植被，耕地植被。工程建设虽然占用一定的灌木林地、乔木林地、草地，但不会对评价区灌丛植被、森林植被和灌草丛植被分布总体情况造成质的改变，评价区的生态系统结构也不会发生质的改变，生态系统的功能和其中的生态关系仍能延续。</w:t>
      </w:r>
    </w:p>
    <w:p>
      <w:pPr>
        <w:spacing w:line="360" w:lineRule="auto"/>
        <w:ind w:firstLine="480" w:firstLineChars="200"/>
        <w:rPr>
          <w:rFonts w:hAnsi="Times New Roman" w:eastAsia="宋体"/>
          <w:szCs w:val="21"/>
          <w:lang w:bidi="ar"/>
        </w:rPr>
      </w:pPr>
      <w:r>
        <w:rPr>
          <w:rFonts w:hAnsi="Times New Roman" w:eastAsia="宋体"/>
          <w:szCs w:val="21"/>
          <w:lang w:bidi="ar"/>
        </w:rPr>
        <w:t>总体而言，随着升级改造前项目建设期的结束和一些植被恢复工作的开展，评级区的生态系统会逐渐恢复。随着时间的推移，生态系统都会形成一个稳定的趋势，且受到影响的动植物也会得到恢复。</w:t>
      </w:r>
    </w:p>
    <w:p>
      <w:pPr>
        <w:spacing w:line="360" w:lineRule="auto"/>
        <w:ind w:firstLine="480" w:firstLineChars="200"/>
        <w:rPr>
          <w:rFonts w:hAnsi="Times New Roman" w:eastAsia="宋体"/>
          <w:szCs w:val="21"/>
          <w:lang w:bidi="ar"/>
        </w:rPr>
      </w:pPr>
      <w:r>
        <w:rPr>
          <w:rFonts w:hAnsi="Times New Roman" w:eastAsia="宋体"/>
          <w:szCs w:val="21"/>
          <w:lang w:bidi="ar"/>
        </w:rPr>
        <w:t>2</w:t>
      </w:r>
      <w:r>
        <w:rPr>
          <w:rFonts w:hAnsi="Times New Roman" w:eastAsia="宋体"/>
          <w:szCs w:val="21"/>
          <w:lang w:eastAsia="zh-CN" w:bidi="ar"/>
        </w:rPr>
        <w:t>、</w:t>
      </w:r>
      <w:r>
        <w:rPr>
          <w:rFonts w:hint="eastAsia" w:hAnsi="Times New Roman" w:eastAsia="宋体"/>
          <w:szCs w:val="21"/>
          <w:lang w:bidi="ar"/>
        </w:rPr>
        <w:t>升级改造建设期影响回顾</w:t>
      </w:r>
    </w:p>
    <w:p>
      <w:pPr>
        <w:spacing w:line="360" w:lineRule="auto"/>
        <w:ind w:firstLine="480" w:firstLineChars="200"/>
        <w:rPr>
          <w:rFonts w:hAnsi="Times New Roman" w:eastAsia="宋体"/>
          <w:szCs w:val="21"/>
          <w:highlight w:val="yellow"/>
          <w:lang w:bidi="ar"/>
        </w:rPr>
      </w:pPr>
      <w:r>
        <w:rPr>
          <w:rFonts w:hAnsi="Times New Roman" w:eastAsia="宋体"/>
          <w:szCs w:val="21"/>
          <w:lang w:bidi="ar"/>
        </w:rPr>
        <w:t>本次升级主要针对开采方式、运输方式、生产方式进行升级改造，不会新增占地，增加新的施工活动。因此升级改造后的建设期对生态系统基本无影响。</w:t>
      </w:r>
    </w:p>
    <w:p>
      <w:pPr>
        <w:pStyle w:val="14"/>
        <w:overflowPunct w:val="0"/>
        <w:spacing w:line="360" w:lineRule="auto"/>
        <w:rPr>
          <w:rFonts w:ascii="Times New Roman" w:hAnsi="Times New Roman"/>
          <w:b/>
          <w:bCs w:val="0"/>
          <w:sz w:val="24"/>
        </w:rPr>
      </w:pPr>
      <w:r>
        <w:rPr>
          <w:rFonts w:ascii="Times New Roman" w:hAnsi="Times New Roman"/>
          <w:b/>
          <w:bCs w:val="0"/>
          <w:sz w:val="24"/>
        </w:rPr>
        <w:t>4.</w:t>
      </w:r>
      <w:r>
        <w:rPr>
          <w:rFonts w:ascii="Times New Roman" w:hAnsi="Times New Roman"/>
          <w:b/>
          <w:bCs w:val="0"/>
          <w:sz w:val="24"/>
          <w:lang w:eastAsia="zh-CN"/>
        </w:rPr>
        <w:t>3</w:t>
      </w:r>
      <w:r>
        <w:rPr>
          <w:rFonts w:ascii="Times New Roman" w:hAnsi="Times New Roman"/>
          <w:b/>
          <w:bCs w:val="0"/>
          <w:sz w:val="24"/>
        </w:rPr>
        <w:t>.</w:t>
      </w:r>
      <w:r>
        <w:rPr>
          <w:rFonts w:ascii="Times New Roman" w:hAnsi="Times New Roman"/>
          <w:b/>
          <w:bCs w:val="0"/>
          <w:sz w:val="24"/>
          <w:lang w:eastAsia="zh-CN"/>
        </w:rPr>
        <w:t>2</w:t>
      </w:r>
      <w:r>
        <w:rPr>
          <w:rFonts w:ascii="Times New Roman" w:hAnsi="Times New Roman"/>
          <w:b/>
          <w:bCs w:val="0"/>
          <w:sz w:val="24"/>
        </w:rPr>
        <w:t>.</w:t>
      </w:r>
      <w:r>
        <w:rPr>
          <w:rFonts w:ascii="Times New Roman" w:hAnsi="Times New Roman"/>
          <w:b/>
          <w:bCs w:val="0"/>
          <w:sz w:val="24"/>
          <w:lang w:eastAsia="zh-CN"/>
        </w:rPr>
        <w:t>2</w:t>
      </w:r>
      <w:r>
        <w:rPr>
          <w:rFonts w:ascii="Times New Roman" w:hAnsi="Times New Roman"/>
          <w:b/>
          <w:bCs w:val="0"/>
          <w:sz w:val="24"/>
        </w:rPr>
        <w:t xml:space="preserve"> </w:t>
      </w:r>
      <w:r>
        <w:rPr>
          <w:rFonts w:ascii="Times New Roman" w:hAnsi="Times New Roman"/>
          <w:b/>
          <w:bCs w:val="0"/>
          <w:sz w:val="24"/>
          <w:lang w:eastAsia="zh-CN"/>
        </w:rPr>
        <w:t>运营期对生态系统影响</w:t>
      </w:r>
      <w:r>
        <w:rPr>
          <w:rFonts w:ascii="Times New Roman" w:hAnsi="Times New Roman"/>
          <w:b/>
          <w:bCs w:val="0"/>
          <w:sz w:val="24"/>
        </w:rPr>
        <w:t xml:space="preserve"> </w:t>
      </w:r>
    </w:p>
    <w:p>
      <w:pPr>
        <w:widowControl/>
        <w:autoSpaceDE w:val="0"/>
        <w:spacing w:line="360" w:lineRule="auto"/>
        <w:ind w:firstLine="480" w:firstLineChars="200"/>
        <w:rPr>
          <w:rFonts w:hAnsi="Times New Roman" w:eastAsia="宋体"/>
        </w:rPr>
      </w:pPr>
      <w:r>
        <w:rPr>
          <w:rFonts w:hAnsi="Times New Roman" w:eastAsia="宋体"/>
          <w:szCs w:val="21"/>
          <w:lang w:bidi="ar"/>
        </w:rPr>
        <w:t>有相关文献表明煤矿开采过程中</w:t>
      </w:r>
      <w:r>
        <w:rPr>
          <w:rFonts w:hint="eastAsia" w:hAnsi="Times New Roman" w:eastAsia="宋体"/>
          <w:szCs w:val="21"/>
          <w:lang w:eastAsia="zh-CN" w:bidi="ar"/>
        </w:rPr>
        <w:t>，</w:t>
      </w:r>
      <w:r>
        <w:rPr>
          <w:rFonts w:hAnsi="Times New Roman" w:eastAsia="宋体"/>
          <w:szCs w:val="21"/>
          <w:lang w:bidi="ar"/>
        </w:rPr>
        <w:t xml:space="preserve"> 当面积达到一定程度时</w:t>
      </w:r>
      <w:r>
        <w:rPr>
          <w:rFonts w:hAnsi="Times New Roman" w:eastAsia="宋体"/>
          <w:szCs w:val="21"/>
          <w:lang w:eastAsia="zh-CN" w:bidi="ar"/>
        </w:rPr>
        <w:t>，</w:t>
      </w:r>
      <w:r>
        <w:rPr>
          <w:rFonts w:hAnsi="Times New Roman" w:eastAsia="宋体"/>
          <w:szCs w:val="21"/>
          <w:lang w:bidi="ar"/>
        </w:rPr>
        <w:t>采空区上部覆岩层会有冒落、裂隙、移动现象发生</w:t>
      </w:r>
      <w:r>
        <w:rPr>
          <w:rFonts w:hAnsi="Times New Roman" w:eastAsia="宋体"/>
          <w:szCs w:val="21"/>
          <w:lang w:eastAsia="zh-CN" w:bidi="ar"/>
        </w:rPr>
        <w:t>，</w:t>
      </w:r>
      <w:r>
        <w:rPr>
          <w:rFonts w:hAnsi="Times New Roman" w:eastAsia="宋体"/>
          <w:szCs w:val="21"/>
          <w:lang w:bidi="ar"/>
        </w:rPr>
        <w:t>冒落与裂隙处原本含有的水层会受到破坏，地下水会在短时间内流向矿区形成水坑</w:t>
      </w:r>
      <w:r>
        <w:rPr>
          <w:rFonts w:hint="eastAsia" w:hAnsi="Times New Roman" w:eastAsia="宋体"/>
          <w:szCs w:val="21"/>
          <w:lang w:eastAsia="zh-CN" w:bidi="ar"/>
        </w:rPr>
        <w:t>，</w:t>
      </w:r>
      <w:r>
        <w:rPr>
          <w:rFonts w:hAnsi="Times New Roman" w:eastAsia="宋体"/>
          <w:szCs w:val="21"/>
          <w:lang w:bidi="ar"/>
        </w:rPr>
        <w:t xml:space="preserve"> 需要被排除</w:t>
      </w:r>
      <w:r>
        <w:rPr>
          <w:rFonts w:hint="eastAsia" w:hAnsi="Times New Roman" w:eastAsia="宋体"/>
          <w:szCs w:val="21"/>
          <w:lang w:eastAsia="zh-CN" w:bidi="ar"/>
        </w:rPr>
        <w:t>，</w:t>
      </w:r>
      <w:r>
        <w:rPr>
          <w:rFonts w:hAnsi="Times New Roman" w:eastAsia="宋体"/>
          <w:szCs w:val="21"/>
          <w:lang w:bidi="ar"/>
        </w:rPr>
        <w:t xml:space="preserve"> 不断地流入、排除</w:t>
      </w:r>
      <w:r>
        <w:rPr>
          <w:rFonts w:hint="eastAsia" w:hAnsi="Times New Roman" w:eastAsia="宋体"/>
          <w:szCs w:val="21"/>
          <w:lang w:eastAsia="zh-CN" w:bidi="ar"/>
        </w:rPr>
        <w:t>，</w:t>
      </w:r>
      <w:r>
        <w:rPr>
          <w:rFonts w:hAnsi="Times New Roman" w:eastAsia="宋体"/>
          <w:szCs w:val="21"/>
          <w:lang w:bidi="ar"/>
        </w:rPr>
        <w:t xml:space="preserve"> 使地下水均衡被破坏</w:t>
      </w:r>
      <w:r>
        <w:rPr>
          <w:rFonts w:hint="eastAsia" w:hAnsi="Times New Roman" w:eastAsia="宋体"/>
          <w:szCs w:val="21"/>
          <w:lang w:eastAsia="zh-CN" w:bidi="ar"/>
        </w:rPr>
        <w:t>，</w:t>
      </w:r>
      <w:r>
        <w:rPr>
          <w:rFonts w:hAnsi="Times New Roman" w:eastAsia="宋体"/>
          <w:szCs w:val="21"/>
          <w:lang w:bidi="ar"/>
        </w:rPr>
        <w:t xml:space="preserve"> 地下水位逐渐降低</w:t>
      </w:r>
      <w:r>
        <w:rPr>
          <w:rFonts w:hint="eastAsia" w:hAnsi="Times New Roman" w:eastAsia="宋体"/>
          <w:szCs w:val="21"/>
          <w:lang w:eastAsia="zh-CN" w:bidi="ar"/>
        </w:rPr>
        <w:t>，</w:t>
      </w:r>
      <w:r>
        <w:rPr>
          <w:rFonts w:hAnsi="Times New Roman" w:eastAsia="宋体"/>
        </w:rPr>
        <w:t xml:space="preserve"> </w:t>
      </w:r>
      <w:r>
        <w:rPr>
          <w:rFonts w:hAnsi="Times New Roman" w:eastAsia="宋体"/>
          <w:szCs w:val="21"/>
          <w:lang w:bidi="ar"/>
        </w:rPr>
        <w:t>使农作物生长严重缺失水营养</w:t>
      </w:r>
      <w:r>
        <w:rPr>
          <w:rFonts w:hint="eastAsia" w:hAnsi="Times New Roman" w:eastAsia="宋体"/>
          <w:szCs w:val="21"/>
          <w:lang w:eastAsia="zh-CN" w:bidi="ar"/>
        </w:rPr>
        <w:t>，</w:t>
      </w:r>
      <w:r>
        <w:rPr>
          <w:rFonts w:hAnsi="Times New Roman" w:eastAsia="宋体"/>
          <w:szCs w:val="21"/>
          <w:lang w:bidi="ar"/>
        </w:rPr>
        <w:t xml:space="preserve"> 进而对自然灾害的抵御能力减退</w:t>
      </w:r>
      <w:r>
        <w:rPr>
          <w:rFonts w:hint="eastAsia" w:hAnsi="Times New Roman" w:eastAsia="宋体"/>
          <w:szCs w:val="21"/>
          <w:lang w:eastAsia="zh-CN" w:bidi="ar"/>
        </w:rPr>
        <w:t>，</w:t>
      </w:r>
      <w:r>
        <w:rPr>
          <w:rFonts w:hAnsi="Times New Roman" w:eastAsia="宋体"/>
          <w:szCs w:val="21"/>
          <w:lang w:bidi="ar"/>
        </w:rPr>
        <w:t xml:space="preserve"> 不仅威胁生态环境</w:t>
      </w:r>
      <w:r>
        <w:rPr>
          <w:rFonts w:hint="eastAsia" w:hAnsi="Times New Roman" w:eastAsia="宋体"/>
          <w:szCs w:val="21"/>
          <w:lang w:eastAsia="zh-CN" w:bidi="ar"/>
        </w:rPr>
        <w:t>，</w:t>
      </w:r>
      <w:r>
        <w:rPr>
          <w:rFonts w:hAnsi="Times New Roman" w:eastAsia="宋体"/>
          <w:szCs w:val="21"/>
          <w:lang w:bidi="ar"/>
        </w:rPr>
        <w:t xml:space="preserve"> 还会造成农业经济减退（任华友.煤矿开采对生态环境的影响及保护措施探究[J].内蒙古煤炭经济</w:t>
      </w:r>
      <w:r>
        <w:rPr>
          <w:rFonts w:hAnsi="Times New Roman" w:eastAsia="宋体"/>
          <w:szCs w:val="21"/>
          <w:lang w:eastAsia="zh-CN" w:bidi="ar"/>
        </w:rPr>
        <w:t>，</w:t>
      </w:r>
      <w:r>
        <w:rPr>
          <w:rFonts w:hAnsi="Times New Roman" w:eastAsia="宋体"/>
          <w:szCs w:val="21"/>
          <w:lang w:bidi="ar"/>
        </w:rPr>
        <w:t>2017(09):29-30.）。根据现场调查，采空区内目前未发现采矿造成地表裂缝、塌陷迹象，地貌类型未发生变化，煤矿建设和运行总体上对地貌影响小，对植被影响也较小，总体而言对生态系统的影响也可控</w:t>
      </w:r>
      <w:r>
        <w:rPr>
          <w:rFonts w:hAnsi="Times New Roman" w:eastAsia="宋体"/>
        </w:rPr>
        <w:t>。</w:t>
      </w:r>
    </w:p>
    <w:p>
      <w:pPr>
        <w:pStyle w:val="6"/>
        <w:rPr>
          <w:szCs w:val="22"/>
          <w:lang w:eastAsia="zh-CN"/>
        </w:rPr>
      </w:pPr>
      <w:bookmarkStart w:id="214" w:name="_Toc167095186"/>
      <w:bookmarkStart w:id="215" w:name="_Toc163812563"/>
      <w:r>
        <w:rPr>
          <w:szCs w:val="22"/>
          <w:lang w:eastAsia="zh-CN"/>
        </w:rPr>
        <w:t>4.3.3 植被及植物多样性影响评价</w:t>
      </w:r>
      <w:bookmarkEnd w:id="214"/>
      <w:bookmarkEnd w:id="215"/>
    </w:p>
    <w:p>
      <w:pPr>
        <w:widowControl/>
        <w:autoSpaceDE w:val="0"/>
        <w:spacing w:line="360" w:lineRule="auto"/>
        <w:ind w:firstLine="480" w:firstLineChars="200"/>
        <w:rPr>
          <w:rFonts w:hAnsi="Times New Roman" w:eastAsia="宋体"/>
          <w:b/>
        </w:rPr>
      </w:pPr>
      <w:r>
        <w:rPr>
          <w:rFonts w:hint="eastAsia" w:hAnsi="Times New Roman" w:eastAsia="宋体"/>
          <w:szCs w:val="24"/>
        </w:rPr>
        <w:t>该项目的建设，将不可避免</w:t>
      </w:r>
      <w:r>
        <w:rPr>
          <w:rFonts w:hint="eastAsia" w:hAnsi="Times New Roman" w:eastAsia="宋体"/>
          <w:szCs w:val="24"/>
          <w:lang w:eastAsia="zh-CN"/>
        </w:rPr>
        <w:t>地</w:t>
      </w:r>
      <w:r>
        <w:rPr>
          <w:rFonts w:hint="eastAsia" w:hAnsi="Times New Roman" w:eastAsia="宋体"/>
          <w:szCs w:val="24"/>
        </w:rPr>
        <w:t>造成现有植被的局部破坏，但经历一定时间以后，这些破坏的植被大多数可通过人工手段加以就地恢复和异地补偿。目前项目升级改造前和升级改造后的建设期均已结束</w:t>
      </w:r>
      <w:r>
        <w:rPr>
          <w:rFonts w:hAnsi="Times New Roman" w:eastAsia="宋体"/>
          <w:szCs w:val="24"/>
        </w:rPr>
        <w:t>。</w:t>
      </w:r>
    </w:p>
    <w:p>
      <w:pPr>
        <w:pStyle w:val="14"/>
        <w:overflowPunct w:val="0"/>
        <w:spacing w:line="360" w:lineRule="auto"/>
        <w:rPr>
          <w:rFonts w:ascii="Times New Roman" w:hAnsi="Times New Roman"/>
          <w:b/>
          <w:bCs w:val="0"/>
          <w:sz w:val="24"/>
        </w:rPr>
      </w:pPr>
      <w:r>
        <w:rPr>
          <w:rFonts w:ascii="Times New Roman" w:hAnsi="Times New Roman"/>
          <w:b/>
          <w:bCs w:val="0"/>
          <w:sz w:val="24"/>
        </w:rPr>
        <w:t>4.</w:t>
      </w:r>
      <w:r>
        <w:rPr>
          <w:rFonts w:ascii="Times New Roman" w:hAnsi="Times New Roman"/>
          <w:b/>
          <w:bCs w:val="0"/>
          <w:sz w:val="24"/>
          <w:lang w:eastAsia="zh-CN"/>
        </w:rPr>
        <w:t>3</w:t>
      </w:r>
      <w:r>
        <w:rPr>
          <w:rFonts w:ascii="Times New Roman" w:hAnsi="Times New Roman"/>
          <w:b/>
          <w:bCs w:val="0"/>
          <w:sz w:val="24"/>
        </w:rPr>
        <w:t>.</w:t>
      </w:r>
      <w:r>
        <w:rPr>
          <w:rFonts w:ascii="Times New Roman" w:hAnsi="Times New Roman"/>
          <w:b/>
          <w:bCs w:val="0"/>
          <w:sz w:val="24"/>
          <w:lang w:eastAsia="zh-CN"/>
        </w:rPr>
        <w:t>3</w:t>
      </w:r>
      <w:r>
        <w:rPr>
          <w:rFonts w:ascii="Times New Roman" w:hAnsi="Times New Roman"/>
          <w:b/>
          <w:bCs w:val="0"/>
          <w:sz w:val="24"/>
        </w:rPr>
        <w:t xml:space="preserve">.1 </w:t>
      </w:r>
      <w:r>
        <w:rPr>
          <w:rFonts w:ascii="Times New Roman" w:hAnsi="Times New Roman"/>
          <w:b/>
          <w:bCs w:val="0"/>
          <w:sz w:val="24"/>
          <w:lang w:eastAsia="zh-CN"/>
        </w:rPr>
        <w:t>建设期对植物植被影响回</w:t>
      </w:r>
      <w:r>
        <w:rPr>
          <w:rFonts w:ascii="Times New Roman" w:hAnsi="Times New Roman"/>
          <w:b/>
          <w:bCs w:val="0"/>
          <w:sz w:val="24"/>
        </w:rPr>
        <w:t xml:space="preserve">顾 </w:t>
      </w:r>
    </w:p>
    <w:p>
      <w:pPr>
        <w:spacing w:line="360" w:lineRule="auto"/>
        <w:ind w:firstLine="480" w:firstLineChars="200"/>
        <w:rPr>
          <w:rFonts w:hAnsi="Times New Roman" w:eastAsia="宋体"/>
          <w:szCs w:val="21"/>
          <w:lang w:bidi="ar"/>
        </w:rPr>
      </w:pPr>
      <w:r>
        <w:rPr>
          <w:rFonts w:hAnsi="Times New Roman" w:eastAsia="宋体"/>
          <w:szCs w:val="21"/>
          <w:lang w:bidi="ar"/>
        </w:rPr>
        <w:t>1</w:t>
      </w:r>
      <w:r>
        <w:rPr>
          <w:rFonts w:hAnsi="Times New Roman" w:eastAsia="宋体"/>
          <w:szCs w:val="21"/>
          <w:lang w:eastAsia="zh-CN" w:bidi="ar"/>
        </w:rPr>
        <w:t>、</w:t>
      </w:r>
      <w:r>
        <w:rPr>
          <w:rFonts w:hint="eastAsia" w:hAnsi="Times New Roman" w:eastAsia="宋体"/>
          <w:szCs w:val="24"/>
        </w:rPr>
        <w:t>升级改造前建设期对植被影响回顾</w:t>
      </w:r>
    </w:p>
    <w:p>
      <w:pPr>
        <w:spacing w:line="360" w:lineRule="auto"/>
        <w:ind w:firstLine="480" w:firstLineChars="200"/>
        <w:rPr>
          <w:rFonts w:hAnsi="Times New Roman" w:eastAsia="宋体"/>
          <w:szCs w:val="24"/>
        </w:rPr>
      </w:pPr>
      <w:r>
        <w:rPr>
          <w:rFonts w:hint="eastAsia" w:hAnsi="Times New Roman" w:eastAsia="宋体"/>
          <w:szCs w:val="24"/>
        </w:rPr>
        <w:t>煤矿</w:t>
      </w:r>
      <w:r>
        <w:rPr>
          <w:rFonts w:hAnsi="Times New Roman" w:eastAsia="宋体"/>
          <w:szCs w:val="24"/>
        </w:rPr>
        <w:t>建设期对</w:t>
      </w:r>
      <w:r>
        <w:rPr>
          <w:rFonts w:hint="eastAsia" w:hAnsi="Times New Roman" w:eastAsia="宋体"/>
          <w:szCs w:val="24"/>
        </w:rPr>
        <w:t>植被</w:t>
      </w:r>
      <w:r>
        <w:rPr>
          <w:rFonts w:hAnsi="Times New Roman" w:eastAsia="宋体"/>
          <w:szCs w:val="24"/>
        </w:rPr>
        <w:t>造成影响的工程类别主要是</w:t>
      </w:r>
      <w:r>
        <w:rPr>
          <w:rFonts w:hint="eastAsia" w:hAnsi="Times New Roman" w:eastAsia="宋体"/>
          <w:szCs w:val="24"/>
        </w:rPr>
        <w:t>施工</w:t>
      </w:r>
      <w:r>
        <w:rPr>
          <w:rFonts w:hAnsi="Times New Roman" w:eastAsia="宋体"/>
          <w:szCs w:val="24"/>
        </w:rPr>
        <w:t>区、</w:t>
      </w:r>
      <w:r>
        <w:rPr>
          <w:rFonts w:hAnsi="Times New Roman" w:eastAsia="宋体"/>
          <w:szCs w:val="21"/>
        </w:rPr>
        <w:t>储煤</w:t>
      </w:r>
      <w:r>
        <w:rPr>
          <w:rFonts w:hint="eastAsia" w:hAnsi="Times New Roman" w:eastAsia="宋体"/>
          <w:szCs w:val="21"/>
        </w:rPr>
        <w:t>场</w:t>
      </w:r>
      <w:r>
        <w:rPr>
          <w:rFonts w:hAnsi="Times New Roman" w:eastAsia="宋体"/>
          <w:szCs w:val="24"/>
        </w:rPr>
        <w:t>、</w:t>
      </w:r>
      <w:r>
        <w:rPr>
          <w:rFonts w:hAnsi="Times New Roman" w:eastAsia="宋体"/>
          <w:szCs w:val="21"/>
        </w:rPr>
        <w:t>矸石仓</w:t>
      </w:r>
      <w:r>
        <w:rPr>
          <w:rFonts w:hAnsi="Times New Roman" w:eastAsia="宋体"/>
          <w:szCs w:val="24"/>
        </w:rPr>
        <w:t>等区域。其影响途径主要是通过对地表植被和土壤结构的破坏，导致植被覆盖度降低，生物量和植物种类减少，使生态系统的结构和功能下降，局域生态环境恶化，伴随水土流失强度的增加。</w:t>
      </w:r>
    </w:p>
    <w:p>
      <w:pPr>
        <w:spacing w:line="360" w:lineRule="auto"/>
        <w:ind w:firstLine="480" w:firstLineChars="200"/>
        <w:rPr>
          <w:rFonts w:hAnsi="Times New Roman" w:eastAsia="宋体"/>
          <w:szCs w:val="21"/>
          <w:lang w:bidi="ar"/>
        </w:rPr>
      </w:pPr>
      <w:r>
        <w:rPr>
          <w:rFonts w:hAnsi="Times New Roman" w:eastAsia="宋体"/>
          <w:szCs w:val="21"/>
          <w:lang w:bidi="ar"/>
        </w:rPr>
        <w:t>由于机械碾压、施工人员践踏等，施工作业区周围的植被将遭到破坏。施工过程中也需要修建一些临时设施通往施工场地，如果施工管理不善，对灌丛和灌草丛的破坏将会比较明显，特别是对自然生长的灌木及草本物种种群数量的破坏最为严重。项目作业对植被影响有永久的影响、临时影响，影响程度包括直接破坏（清除全部植被），也有中度干扰、轻度干扰。</w:t>
      </w:r>
    </w:p>
    <w:p>
      <w:pPr>
        <w:spacing w:line="360" w:lineRule="auto"/>
        <w:ind w:firstLine="480" w:firstLineChars="200"/>
        <w:rPr>
          <w:rFonts w:hAnsi="Times New Roman" w:eastAsia="宋体"/>
          <w:szCs w:val="21"/>
        </w:rPr>
      </w:pPr>
      <w:r>
        <w:rPr>
          <w:rFonts w:hAnsi="Times New Roman" w:eastAsia="宋体"/>
          <w:szCs w:val="21"/>
        </w:rPr>
        <w:t>另一方面，车辆在行驶过程中扬起大量粉尘，也对沿线的植物生长产生不利影响，阻塞植物叶片的气孔，降低光合作用的效率等。</w:t>
      </w:r>
    </w:p>
    <w:p>
      <w:pPr>
        <w:spacing w:line="360" w:lineRule="auto"/>
        <w:ind w:firstLine="480" w:firstLineChars="200"/>
        <w:rPr>
          <w:rFonts w:hAnsi="Times New Roman" w:eastAsia="宋体"/>
          <w:szCs w:val="24"/>
        </w:rPr>
      </w:pPr>
      <w:r>
        <w:rPr>
          <w:rFonts w:hAnsi="Times New Roman" w:eastAsia="宋体"/>
          <w:szCs w:val="24"/>
        </w:rPr>
        <w:t>施工期对植被的具体影响主要表现为：</w:t>
      </w:r>
    </w:p>
    <w:p>
      <w:pPr>
        <w:spacing w:line="360" w:lineRule="auto"/>
        <w:ind w:firstLine="480" w:firstLineChars="200"/>
        <w:rPr>
          <w:rFonts w:hAnsi="Times New Roman" w:eastAsia="宋体"/>
          <w:bCs/>
          <w:szCs w:val="24"/>
          <w:lang w:bidi="ar"/>
        </w:rPr>
      </w:pPr>
      <w:r>
        <w:rPr>
          <w:rFonts w:hAnsi="Times New Roman" w:eastAsia="宋体"/>
          <w:bCs/>
          <w:szCs w:val="24"/>
          <w:lang w:bidi="ar"/>
        </w:rPr>
        <w:t>（1）对植物多样性的影响</w:t>
      </w:r>
    </w:p>
    <w:p>
      <w:pPr>
        <w:spacing w:line="360" w:lineRule="auto"/>
        <w:ind w:firstLine="480" w:firstLineChars="200"/>
        <w:rPr>
          <w:rFonts w:hAnsi="Times New Roman" w:eastAsia="宋体"/>
          <w:szCs w:val="21"/>
          <w:lang w:bidi="ar"/>
        </w:rPr>
      </w:pPr>
      <w:r>
        <w:rPr>
          <w:rFonts w:hAnsi="Times New Roman" w:eastAsia="宋体"/>
          <w:szCs w:val="24"/>
        </w:rPr>
        <w:t>工程建设永久占地将使植被生境破坏，可能会将加深生境的隔离和片断化，使得某些植物物种的生长地的逐渐缩小，影响这些物种在直接影响区的生存。</w:t>
      </w:r>
      <w:r>
        <w:rPr>
          <w:rFonts w:hAnsi="Times New Roman" w:eastAsia="宋体"/>
          <w:szCs w:val="21"/>
          <w:lang w:bidi="ar"/>
        </w:rPr>
        <w:t>矿区主要开采区、平硐口、风井口、矿山辅助设施、转运堆场、矿区道路等工程永久占地将使植被生境破坏，生物个体失去生长环境，影响的程度是不可逆的；临时用地对植被也产生直接的破坏作用，导致了植物种群和物种多样性发生变化，从而使群落的生物多样性降低，部分植物物种可能会消失或数量减少。</w:t>
      </w:r>
    </w:p>
    <w:p>
      <w:pPr>
        <w:widowControl/>
        <w:autoSpaceDE w:val="0"/>
        <w:spacing w:line="360" w:lineRule="auto"/>
        <w:ind w:firstLine="480" w:firstLineChars="200"/>
        <w:jc w:val="left"/>
        <w:rPr>
          <w:rFonts w:hAnsi="Times New Roman" w:eastAsia="宋体"/>
          <w:szCs w:val="24"/>
        </w:rPr>
      </w:pPr>
      <w:r>
        <w:rPr>
          <w:rFonts w:hAnsi="Times New Roman" w:eastAsia="宋体"/>
          <w:szCs w:val="21"/>
          <w:lang w:bidi="ar"/>
        </w:rPr>
        <w:t>由于项目建设影响的群落植物种类均为区域常见和广布种，因此工程施工对评价区植物物种多样性的影响较小。工程施工对植物的干扰和影响只体现在工程施工局部地段和周边地带，除了永久性占用植被的破坏程度是长期的、不可恢复的外，临时用地是短期的、可恢复的。</w:t>
      </w:r>
      <w:r>
        <w:rPr>
          <w:rFonts w:hAnsi="Times New Roman" w:eastAsia="宋体"/>
          <w:szCs w:val="24"/>
        </w:rPr>
        <w:t>由于工程永久和临时占地的生境具有一定的可替代性，部分土地利用性质的改变不会引起特有物种生境的消失。因此，工程建设基本不会导致分布在该地块的物种消失。</w:t>
      </w:r>
    </w:p>
    <w:p>
      <w:pPr>
        <w:spacing w:line="360" w:lineRule="auto"/>
        <w:ind w:firstLine="480" w:firstLineChars="200"/>
        <w:rPr>
          <w:rFonts w:hAnsi="Times New Roman" w:eastAsia="宋体"/>
          <w:szCs w:val="21"/>
          <w:lang w:bidi="ar"/>
        </w:rPr>
      </w:pPr>
      <w:r>
        <w:rPr>
          <w:rFonts w:hint="eastAsia" w:hAnsi="Times New Roman" w:eastAsia="宋体"/>
          <w:szCs w:val="21"/>
          <w:lang w:bidi="ar"/>
        </w:rPr>
        <w:t>根据现状调查，评价区目前植被类型较为丰富，未出现工程建设而导致个别物种消失的情况。</w:t>
      </w:r>
    </w:p>
    <w:p>
      <w:pPr>
        <w:spacing w:line="360" w:lineRule="auto"/>
        <w:ind w:firstLine="480" w:firstLineChars="200"/>
        <w:rPr>
          <w:rFonts w:hAnsi="Times New Roman" w:eastAsia="宋体"/>
          <w:bCs/>
          <w:szCs w:val="24"/>
          <w:lang w:bidi="ar"/>
        </w:rPr>
      </w:pPr>
      <w:r>
        <w:rPr>
          <w:rFonts w:hAnsi="Times New Roman" w:eastAsia="宋体"/>
          <w:bCs/>
          <w:szCs w:val="24"/>
          <w:lang w:bidi="ar"/>
        </w:rPr>
        <w:t>（2） 对植被生物量的影响</w:t>
      </w:r>
    </w:p>
    <w:p>
      <w:pPr>
        <w:spacing w:line="360" w:lineRule="auto"/>
        <w:ind w:firstLine="480" w:firstLineChars="200"/>
        <w:rPr>
          <w:rFonts w:hAnsi="Times New Roman" w:eastAsia="宋体"/>
          <w:szCs w:val="21"/>
          <w:lang w:bidi="ar"/>
        </w:rPr>
      </w:pPr>
      <w:r>
        <w:rPr>
          <w:rFonts w:hAnsi="Times New Roman" w:eastAsia="宋体"/>
          <w:szCs w:val="21"/>
          <w:lang w:bidi="ar"/>
        </w:rPr>
        <w:t>项目作业使植被生物量减少和丧失是工程产生的主要的负面影响之一，矿山已建工程占地范围内占用区的植被生物量是无法恢复的。如何通过采用严格的施工管理和植被恢复措施，尽可能</w:t>
      </w:r>
      <w:r>
        <w:rPr>
          <w:rFonts w:hint="eastAsia" w:hAnsi="Times New Roman" w:eastAsia="宋体"/>
          <w:szCs w:val="21"/>
          <w:lang w:eastAsia="zh-CN" w:bidi="ar"/>
        </w:rPr>
        <w:t>地</w:t>
      </w:r>
      <w:r>
        <w:rPr>
          <w:rFonts w:hAnsi="Times New Roman" w:eastAsia="宋体"/>
          <w:szCs w:val="21"/>
          <w:lang w:bidi="ar"/>
        </w:rPr>
        <w:t>降低生物量的损失，是本工程建设需要十分关切和重视的问题。</w:t>
      </w:r>
    </w:p>
    <w:p>
      <w:pPr>
        <w:spacing w:line="360" w:lineRule="auto"/>
        <w:ind w:firstLine="360" w:firstLineChars="150"/>
        <w:rPr>
          <w:rFonts w:hAnsi="Times New Roman" w:eastAsia="宋体"/>
          <w:szCs w:val="21"/>
        </w:rPr>
      </w:pPr>
      <w:r>
        <w:rPr>
          <w:rFonts w:hAnsi="Times New Roman" w:eastAsia="宋体"/>
          <w:szCs w:val="21"/>
          <w:lang w:bidi="ar"/>
        </w:rPr>
        <w:t xml:space="preserve"> 该工程可以通过水土保持措施和生态恢复措施，对道路路面、建筑物及硬化面以外的直接影响范围（如建筑物周围的边坡、路基边坡以及施工临时用地等），采取各种措施进行植被恢复和绿化建设，可有效减缓工程占地对植被的影响。另外要严格控制工程开挖范围，禁止工程扩张至林区范围内，尽量减少评价区内自然森林植被受到毁坏。</w:t>
      </w:r>
    </w:p>
    <w:p>
      <w:pPr>
        <w:spacing w:line="360" w:lineRule="auto"/>
        <w:ind w:firstLine="360" w:firstLineChars="150"/>
        <w:rPr>
          <w:rFonts w:hAnsi="Times New Roman" w:eastAsia="宋体"/>
          <w:szCs w:val="21"/>
          <w:lang w:bidi="ar"/>
        </w:rPr>
      </w:pPr>
      <w:r>
        <w:rPr>
          <w:rFonts w:hAnsi="Times New Roman" w:eastAsia="宋体"/>
          <w:szCs w:val="21"/>
          <w:lang w:bidi="ar"/>
        </w:rPr>
        <w:t xml:space="preserve"> 总的看来，工程实施对评价范围内的植被生物量的影响相对较小，在采取科学措施的前提下对整个评价区内自然生态系统体系仍属于可以承受的范围。</w:t>
      </w:r>
    </w:p>
    <w:p>
      <w:pPr>
        <w:spacing w:line="360" w:lineRule="auto"/>
        <w:ind w:firstLine="480" w:firstLineChars="200"/>
        <w:rPr>
          <w:rFonts w:hAnsi="Times New Roman" w:eastAsia="宋体"/>
          <w:bCs/>
          <w:szCs w:val="24"/>
          <w:lang w:bidi="ar"/>
        </w:rPr>
      </w:pPr>
      <w:r>
        <w:rPr>
          <w:rFonts w:hAnsi="Times New Roman" w:eastAsia="宋体"/>
          <w:bCs/>
          <w:szCs w:val="24"/>
          <w:lang w:bidi="ar"/>
        </w:rPr>
        <w:t>（3）生态入侵的影响</w:t>
      </w:r>
    </w:p>
    <w:p>
      <w:pPr>
        <w:spacing w:line="360" w:lineRule="auto"/>
        <w:ind w:firstLine="360" w:firstLineChars="150"/>
        <w:rPr>
          <w:rFonts w:hAnsi="Times New Roman" w:eastAsia="宋体"/>
          <w:szCs w:val="21"/>
          <w:lang w:bidi="ar"/>
        </w:rPr>
      </w:pPr>
      <w:r>
        <w:rPr>
          <w:rFonts w:hAnsi="Times New Roman" w:eastAsia="宋体"/>
          <w:szCs w:val="21"/>
          <w:lang w:bidi="ar"/>
        </w:rPr>
        <w:t>参考马金双的《中国入侵植物名录》（4级以下除外），参考本工程所在行政区内关于外来入侵植物的相关资料，评价区的外来入侵物种并未形成优势群落，只在评价区零星分布。在工程施工期间，应注意工程人员、工程建筑材料及其车辆的进入，防止人们将会有意无意</w:t>
      </w:r>
      <w:r>
        <w:rPr>
          <w:rFonts w:hint="eastAsia" w:hAnsi="Times New Roman" w:eastAsia="宋体"/>
          <w:szCs w:val="21"/>
          <w:lang w:eastAsia="zh-CN" w:bidi="ar"/>
        </w:rPr>
        <w:t>地</w:t>
      </w:r>
      <w:r>
        <w:rPr>
          <w:rFonts w:hAnsi="Times New Roman" w:eastAsia="宋体"/>
          <w:szCs w:val="21"/>
          <w:lang w:bidi="ar"/>
        </w:rPr>
        <w:t>将新外来物种带进该区域，由于有些新外来物种可能比当地物种能更好地适应和利用被干扰的环境，进而对本地物种的多样性造成威胁，将导致当地生存的物种数量的减少和种群的衰退。本区域须严格检查以防止外来物种的侵入。</w:t>
      </w:r>
    </w:p>
    <w:p>
      <w:pPr>
        <w:spacing w:line="360" w:lineRule="auto"/>
        <w:ind w:firstLine="480" w:firstLineChars="200"/>
        <w:rPr>
          <w:rFonts w:hAnsi="Times New Roman" w:eastAsia="宋体"/>
          <w:bCs/>
          <w:szCs w:val="24"/>
          <w:lang w:bidi="ar"/>
        </w:rPr>
      </w:pPr>
      <w:r>
        <w:rPr>
          <w:rFonts w:hAnsi="Times New Roman" w:eastAsia="宋体"/>
          <w:bCs/>
          <w:szCs w:val="24"/>
          <w:lang w:bidi="ar"/>
        </w:rPr>
        <w:t>（4）线性阻隔的影响</w:t>
      </w:r>
    </w:p>
    <w:p>
      <w:pPr>
        <w:spacing w:line="360" w:lineRule="auto"/>
        <w:ind w:firstLine="480" w:firstLineChars="200"/>
        <w:rPr>
          <w:rFonts w:hAnsi="Times New Roman" w:eastAsia="宋体"/>
          <w:szCs w:val="21"/>
          <w:lang w:bidi="ar"/>
        </w:rPr>
      </w:pPr>
      <w:r>
        <w:rPr>
          <w:rFonts w:hAnsi="Times New Roman" w:eastAsia="宋体"/>
          <w:szCs w:val="21"/>
          <w:lang w:bidi="ar"/>
        </w:rPr>
        <w:t>线性构筑物在评价区内以场内道路为主，其设置将改变区域地表结构，阻断区域内物质、能量的流动和基因流，造成对植物群落的切割，使其破碎化和趋于岛屿化，进而使区域内植物的生长繁殖受到影响。通过此次现状调查，对于道路两侧的植被种类均一致，多为草本植被和一些常见的灌木植物，由此说明煤矿修建运营未出现线性阻隔的影响。</w:t>
      </w:r>
    </w:p>
    <w:p>
      <w:pPr>
        <w:spacing w:line="360" w:lineRule="auto"/>
        <w:ind w:firstLine="480" w:firstLineChars="200"/>
        <w:rPr>
          <w:rFonts w:hAnsi="Times New Roman" w:eastAsia="宋体"/>
          <w:bCs/>
          <w:szCs w:val="24"/>
          <w:lang w:bidi="ar"/>
        </w:rPr>
      </w:pPr>
      <w:bookmarkStart w:id="216" w:name="_Hlk89255784"/>
      <w:r>
        <w:rPr>
          <w:rFonts w:hint="eastAsia" w:hAnsi="Times New Roman" w:eastAsia="宋体"/>
          <w:bCs/>
          <w:szCs w:val="24"/>
          <w:lang w:bidi="ar"/>
        </w:rPr>
        <w:t>（5）对工程占地区域植被影响</w:t>
      </w:r>
    </w:p>
    <w:p>
      <w:pPr>
        <w:spacing w:line="360" w:lineRule="auto"/>
        <w:ind w:firstLine="480" w:firstLineChars="200"/>
        <w:rPr>
          <w:rFonts w:hAnsi="Times New Roman" w:eastAsia="宋体"/>
          <w:szCs w:val="21"/>
          <w:lang w:bidi="ar"/>
        </w:rPr>
      </w:pPr>
      <w:r>
        <w:rPr>
          <w:rFonts w:hint="eastAsia" w:hAnsi="Times New Roman" w:eastAsia="宋体"/>
          <w:szCs w:val="21"/>
          <w:lang w:bidi="ar"/>
        </w:rPr>
        <w:t>项目工业场地、临时矸石堆场、风井场地占地</w:t>
      </w:r>
      <w:r>
        <w:rPr>
          <w:rFonts w:hint="eastAsia" w:hAnsi="Times New Roman" w:eastAsia="宋体"/>
          <w:szCs w:val="21"/>
          <w:lang w:eastAsia="zh-CN" w:bidi="ar"/>
        </w:rPr>
        <w:t>主要</w:t>
      </w:r>
      <w:r>
        <w:rPr>
          <w:rFonts w:hint="eastAsia" w:hAnsi="Times New Roman" w:eastAsia="宋体"/>
          <w:szCs w:val="21"/>
          <w:lang w:bidi="ar"/>
        </w:rPr>
        <w:t>占用的是林地和耕地。林地植被主要以柏木、马尾松以及灌木植被盐肤木、马桑等为主；耕地植被以菜苔、白菜为主，具体植被情况见表3</w:t>
      </w:r>
      <w:r>
        <w:rPr>
          <w:rFonts w:hAnsi="Times New Roman" w:eastAsia="宋体"/>
          <w:szCs w:val="21"/>
          <w:lang w:bidi="ar"/>
        </w:rPr>
        <w:t>.4-1</w:t>
      </w:r>
      <w:r>
        <w:rPr>
          <w:rFonts w:hint="eastAsia" w:hAnsi="Times New Roman" w:eastAsia="宋体"/>
          <w:szCs w:val="21"/>
          <w:lang w:bidi="ar"/>
        </w:rPr>
        <w:t>，这些植物均为评价区的常见物种和广泛分布物种。且工业场地、风井场地占地面积同整个评价区而言较小，因此工程区域占地对植被影响较小。且项目施工期结束后，在运营期也会进行相应的植被恢复，</w:t>
      </w:r>
      <w:r>
        <w:rPr>
          <w:rFonts w:hint="eastAsia" w:hAnsi="Times New Roman" w:eastAsia="宋体"/>
          <w:b/>
          <w:bCs/>
          <w:szCs w:val="21"/>
          <w:lang w:bidi="ar"/>
        </w:rPr>
        <w:t>从目前植被现状看，工程占地对区域植被影响较小。</w:t>
      </w:r>
    </w:p>
    <w:p>
      <w:pPr>
        <w:spacing w:line="360" w:lineRule="auto"/>
        <w:rPr>
          <w:rFonts w:hAnsi="Times New Roman" w:eastAsia="宋体"/>
          <w:szCs w:val="24"/>
        </w:rPr>
      </w:pPr>
      <w:r>
        <w:rPr>
          <w:rFonts w:hAnsi="Times New Roman" w:eastAsia="宋体"/>
          <w:szCs w:val="24"/>
        </w:rPr>
        <w:t>2</w:t>
      </w:r>
      <w:r>
        <w:rPr>
          <w:rFonts w:hAnsi="Times New Roman" w:eastAsia="宋体"/>
          <w:szCs w:val="24"/>
          <w:lang w:eastAsia="zh-CN"/>
        </w:rPr>
        <w:t>、</w:t>
      </w:r>
      <w:r>
        <w:rPr>
          <w:rFonts w:hAnsi="Times New Roman" w:eastAsia="宋体"/>
          <w:szCs w:val="24"/>
        </w:rPr>
        <w:t>升级改造建设期对植被影响</w:t>
      </w:r>
    </w:p>
    <w:p>
      <w:pPr>
        <w:spacing w:line="360" w:lineRule="auto"/>
        <w:ind w:firstLine="480" w:firstLineChars="200"/>
        <w:rPr>
          <w:rFonts w:hAnsi="Times New Roman" w:eastAsia="宋体"/>
          <w:szCs w:val="24"/>
        </w:rPr>
      </w:pPr>
      <w:r>
        <w:rPr>
          <w:rFonts w:hAnsi="Times New Roman" w:eastAsia="宋体"/>
          <w:szCs w:val="24"/>
        </w:rPr>
        <w:t>本次升级改造所有工程施工均在现有场地内进行，无新增占地，未有因占地而造成的植被直接损毁。工程在建设期间的粉尘、噪声对周边区域植物的影响较为有限，不会对植被生态功能，群落组成、物种开发和保存产生实质性影响。对于工程占地区域，</w:t>
      </w:r>
      <w:r>
        <w:rPr>
          <w:rFonts w:hAnsi="Times New Roman" w:eastAsia="宋体"/>
          <w:szCs w:val="21"/>
          <w:lang w:bidi="ar"/>
        </w:rPr>
        <w:t>升级改造</w:t>
      </w:r>
      <w:r>
        <w:rPr>
          <w:rFonts w:hAnsi="Times New Roman" w:eastAsia="宋体"/>
          <w:szCs w:val="24"/>
        </w:rPr>
        <w:t>后会对工业场地、风井场地进行乔灌草植物的栽植，增加了占地区域的植被覆盖度，因此</w:t>
      </w:r>
      <w:r>
        <w:rPr>
          <w:rFonts w:hAnsi="Times New Roman" w:eastAsia="宋体"/>
          <w:szCs w:val="21"/>
          <w:lang w:bidi="ar"/>
        </w:rPr>
        <w:t>升级改造</w:t>
      </w:r>
      <w:r>
        <w:rPr>
          <w:rFonts w:hAnsi="Times New Roman" w:eastAsia="宋体"/>
          <w:szCs w:val="24"/>
        </w:rPr>
        <w:t>后对占地区域植被影响为正效应。</w:t>
      </w:r>
    </w:p>
    <w:bookmarkEnd w:id="216"/>
    <w:p>
      <w:pPr>
        <w:spacing w:line="360" w:lineRule="auto"/>
        <w:ind w:firstLine="422" w:firstLineChars="200"/>
        <w:jc w:val="center"/>
        <w:rPr>
          <w:rFonts w:hAnsi="Times New Roman" w:eastAsia="宋体"/>
          <w:b/>
          <w:bCs/>
          <w:sz w:val="21"/>
          <w:szCs w:val="21"/>
        </w:rPr>
      </w:pPr>
      <w:r>
        <w:rPr>
          <w:rFonts w:hAnsi="Times New Roman" w:eastAsia="宋体"/>
          <w:b/>
          <w:bCs/>
          <w:sz w:val="21"/>
          <w:szCs w:val="21"/>
        </w:rPr>
        <w:t>表</w:t>
      </w:r>
      <w:r>
        <w:rPr>
          <w:rFonts w:hAnsi="Times New Roman" w:eastAsia="宋体"/>
          <w:b/>
          <w:bCs/>
          <w:sz w:val="21"/>
          <w:szCs w:val="21"/>
          <w:lang w:eastAsia="zh-CN"/>
        </w:rPr>
        <w:t>4</w:t>
      </w:r>
      <w:r>
        <w:rPr>
          <w:rFonts w:hAnsi="Times New Roman" w:eastAsia="宋体"/>
          <w:b/>
          <w:bCs/>
          <w:sz w:val="21"/>
          <w:szCs w:val="21"/>
        </w:rPr>
        <w:t>.</w:t>
      </w:r>
      <w:r>
        <w:rPr>
          <w:rFonts w:hAnsi="Times New Roman" w:eastAsia="宋体"/>
          <w:b/>
          <w:bCs/>
          <w:sz w:val="21"/>
          <w:szCs w:val="21"/>
          <w:lang w:eastAsia="zh-CN"/>
        </w:rPr>
        <w:t>3</w:t>
      </w:r>
      <w:r>
        <w:rPr>
          <w:rFonts w:hAnsi="Times New Roman" w:eastAsia="宋体"/>
          <w:b/>
          <w:bCs/>
          <w:sz w:val="21"/>
          <w:szCs w:val="21"/>
        </w:rPr>
        <w:t>-</w:t>
      </w:r>
      <w:r>
        <w:rPr>
          <w:rFonts w:hint="eastAsia" w:hAnsi="Times New Roman" w:eastAsia="宋体"/>
          <w:b/>
          <w:bCs/>
          <w:sz w:val="21"/>
          <w:szCs w:val="21"/>
          <w:lang w:eastAsia="zh-CN"/>
        </w:rPr>
        <w:t>2</w:t>
      </w:r>
      <w:r>
        <w:rPr>
          <w:rFonts w:hAnsi="Times New Roman" w:eastAsia="宋体"/>
          <w:b/>
          <w:bCs/>
          <w:sz w:val="21"/>
          <w:szCs w:val="21"/>
        </w:rPr>
        <w:t>工程占地区域植被分布情况表</w:t>
      </w:r>
    </w:p>
    <w:tbl>
      <w:tblPr>
        <w:tblStyle w:val="3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65"/>
        <w:gridCol w:w="4214"/>
        <w:gridCol w:w="32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998"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
                <w:bCs/>
                <w:kern w:val="2"/>
                <w:sz w:val="21"/>
                <w:szCs w:val="21"/>
              </w:rPr>
            </w:pPr>
            <w:bookmarkStart w:id="217" w:name="_Hlk89334511"/>
            <w:r>
              <w:rPr>
                <w:rFonts w:hint="eastAsia" w:hAnsi="Times New Roman" w:eastAsia="宋体"/>
                <w:b/>
                <w:bCs/>
                <w:kern w:val="2"/>
                <w:sz w:val="21"/>
                <w:szCs w:val="21"/>
              </w:rPr>
              <w:t>工程区</w:t>
            </w:r>
          </w:p>
        </w:tc>
        <w:tc>
          <w:tcPr>
            <w:tcW w:w="2255"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建设</w:t>
            </w:r>
            <w:r>
              <w:rPr>
                <w:rFonts w:hint="eastAsia" w:hAnsi="Times New Roman" w:eastAsia="宋体"/>
                <w:b/>
                <w:bCs/>
                <w:kern w:val="2"/>
                <w:sz w:val="21"/>
                <w:szCs w:val="21"/>
                <w:lang w:eastAsia="zh-CN"/>
              </w:rPr>
              <w:t>前期</w:t>
            </w:r>
            <w:r>
              <w:rPr>
                <w:rFonts w:hint="eastAsia" w:hAnsi="Times New Roman" w:eastAsia="宋体"/>
                <w:b/>
                <w:bCs/>
                <w:kern w:val="2"/>
                <w:sz w:val="21"/>
                <w:szCs w:val="21"/>
              </w:rPr>
              <w:t>植被情况</w:t>
            </w:r>
          </w:p>
        </w:tc>
        <w:tc>
          <w:tcPr>
            <w:tcW w:w="1747"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目前植被情况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8" w:hRule="atLeast"/>
          <w:jc w:val="center"/>
        </w:trPr>
        <w:tc>
          <w:tcPr>
            <w:tcW w:w="998"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工业场地</w:t>
            </w:r>
          </w:p>
        </w:tc>
        <w:tc>
          <w:tcPr>
            <w:tcW w:w="2255" w:type="pct"/>
            <w:vAlign w:val="center"/>
          </w:tcPr>
          <w:p>
            <w:pPr>
              <w:keepNext w:val="0"/>
              <w:keepLines w:val="0"/>
              <w:suppressLineNumbers w:val="0"/>
              <w:spacing w:before="0" w:beforeAutospacing="0" w:after="0" w:afterAutospacing="0" w:line="280" w:lineRule="exact"/>
              <w:ind w:left="0" w:right="0"/>
              <w:rPr>
                <w:rFonts w:hint="eastAsia" w:hAnsi="Times New Roman" w:eastAsia="宋体"/>
                <w:kern w:val="2"/>
                <w:sz w:val="21"/>
                <w:szCs w:val="21"/>
              </w:rPr>
            </w:pPr>
            <w:r>
              <w:rPr>
                <w:rFonts w:hint="eastAsia" w:hAnsi="Times New Roman" w:eastAsia="宋体"/>
                <w:kern w:val="2"/>
                <w:sz w:val="21"/>
                <w:szCs w:val="21"/>
              </w:rPr>
              <w:t>柏木、马尾松、柄果海桐、马桑、斑茅、羊茅、蕨、西南假毛蕨、中华里白、鸢尾、野棉花等</w:t>
            </w:r>
          </w:p>
        </w:tc>
        <w:tc>
          <w:tcPr>
            <w:tcW w:w="1747" w:type="pct"/>
            <w:vAlign w:val="center"/>
          </w:tcPr>
          <w:p>
            <w:pPr>
              <w:keepNext w:val="0"/>
              <w:keepLines w:val="0"/>
              <w:suppressLineNumbers w:val="0"/>
              <w:spacing w:before="0" w:beforeAutospacing="0" w:after="0" w:afterAutospacing="0" w:line="280" w:lineRule="exact"/>
              <w:ind w:left="0" w:right="0"/>
              <w:rPr>
                <w:rFonts w:hint="eastAsia" w:hAnsi="Times New Roman" w:eastAsia="宋体"/>
                <w:kern w:val="2"/>
                <w:sz w:val="21"/>
                <w:szCs w:val="21"/>
              </w:rPr>
            </w:pPr>
            <w:r>
              <w:rPr>
                <w:rFonts w:hint="eastAsia" w:hAnsi="Times New Roman" w:eastAsia="宋体"/>
                <w:kern w:val="2"/>
                <w:sz w:val="21"/>
                <w:szCs w:val="21"/>
              </w:rPr>
              <w:t>柏木、木犀、南天竹、十大功劳、马桑、悬钩子属植物、羊茅、斑茅、肾蕨、鸢尾等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8" w:hRule="atLeast"/>
          <w:jc w:val="center"/>
        </w:trPr>
        <w:tc>
          <w:tcPr>
            <w:tcW w:w="998"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临时矸石堆场</w:t>
            </w:r>
          </w:p>
        </w:tc>
        <w:tc>
          <w:tcPr>
            <w:tcW w:w="2255" w:type="pct"/>
            <w:vAlign w:val="center"/>
          </w:tcPr>
          <w:p>
            <w:pPr>
              <w:keepNext w:val="0"/>
              <w:keepLines w:val="0"/>
              <w:suppressLineNumbers w:val="0"/>
              <w:spacing w:before="0" w:beforeAutospacing="0" w:after="0" w:afterAutospacing="0" w:line="280" w:lineRule="exact"/>
              <w:ind w:left="0" w:right="0"/>
              <w:rPr>
                <w:rFonts w:hint="eastAsia" w:hAnsi="Times New Roman" w:eastAsia="宋体"/>
                <w:kern w:val="2"/>
                <w:sz w:val="21"/>
                <w:szCs w:val="21"/>
              </w:rPr>
            </w:pPr>
            <w:r>
              <w:rPr>
                <w:rFonts w:hint="eastAsia" w:hAnsi="Times New Roman" w:eastAsia="宋体"/>
                <w:kern w:val="2"/>
                <w:sz w:val="21"/>
                <w:szCs w:val="21"/>
              </w:rPr>
              <w:t>柄果海桐、马桑、高粱泡、斑茅、羊茅、蕨、西南假毛蕨、甘蓝、菜苔、枇杷等</w:t>
            </w:r>
          </w:p>
        </w:tc>
        <w:tc>
          <w:tcPr>
            <w:tcW w:w="1747" w:type="pct"/>
            <w:vAlign w:val="center"/>
          </w:tcPr>
          <w:p>
            <w:pPr>
              <w:keepNext w:val="0"/>
              <w:keepLines w:val="0"/>
              <w:suppressLineNumbers w:val="0"/>
              <w:spacing w:before="0" w:beforeAutospacing="0" w:after="0" w:afterAutospacing="0" w:line="280" w:lineRule="exact"/>
              <w:ind w:left="0" w:right="0"/>
              <w:rPr>
                <w:rFonts w:hint="eastAsia" w:hAnsi="Times New Roman" w:eastAsia="宋体"/>
                <w:kern w:val="2"/>
                <w:sz w:val="21"/>
                <w:szCs w:val="21"/>
              </w:rPr>
            </w:pPr>
            <w:r>
              <w:rPr>
                <w:rFonts w:hint="eastAsia" w:hAnsi="Times New Roman" w:eastAsia="宋体"/>
                <w:kern w:val="2"/>
                <w:sz w:val="21"/>
                <w:szCs w:val="21"/>
              </w:rPr>
              <w:t>木犀、柑橘、南天竹、十大功劳、羊茅、斑茅、肾蕨、鸢尾等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1" w:hRule="atLeast"/>
          <w:jc w:val="center"/>
        </w:trPr>
        <w:tc>
          <w:tcPr>
            <w:tcW w:w="998" w:type="pc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风井场地</w:t>
            </w:r>
          </w:p>
        </w:tc>
        <w:tc>
          <w:tcPr>
            <w:tcW w:w="2255" w:type="pct"/>
            <w:vAlign w:val="center"/>
          </w:tcPr>
          <w:p>
            <w:pPr>
              <w:keepNext w:val="0"/>
              <w:keepLines w:val="0"/>
              <w:suppressLineNumbers w:val="0"/>
              <w:spacing w:before="0" w:beforeAutospacing="0" w:after="0" w:afterAutospacing="0" w:line="280" w:lineRule="exact"/>
              <w:ind w:left="0" w:right="0"/>
              <w:rPr>
                <w:rFonts w:hint="eastAsia" w:hAnsi="Times New Roman" w:eastAsia="宋体"/>
                <w:kern w:val="2"/>
                <w:sz w:val="21"/>
                <w:szCs w:val="21"/>
              </w:rPr>
            </w:pPr>
            <w:r>
              <w:rPr>
                <w:rFonts w:hint="eastAsia" w:hAnsi="Times New Roman" w:eastAsia="宋体"/>
                <w:kern w:val="2"/>
                <w:sz w:val="21"/>
                <w:szCs w:val="21"/>
              </w:rPr>
              <w:t>柑橘、柏木、马尾松、柄果海桐、马桑、斑茅、羊茅、蕨、西南假毛蕨、中华里白、鸢尾、野棉花</w:t>
            </w:r>
          </w:p>
        </w:tc>
        <w:tc>
          <w:tcPr>
            <w:tcW w:w="1747" w:type="pct"/>
            <w:vAlign w:val="center"/>
          </w:tcPr>
          <w:p>
            <w:pPr>
              <w:keepNext w:val="0"/>
              <w:keepLines w:val="0"/>
              <w:suppressLineNumbers w:val="0"/>
              <w:spacing w:before="0" w:beforeAutospacing="0" w:after="0" w:afterAutospacing="0" w:line="280" w:lineRule="exact"/>
              <w:ind w:left="0" w:right="0"/>
              <w:rPr>
                <w:rFonts w:hint="eastAsia" w:hAnsi="Times New Roman" w:eastAsia="宋体"/>
                <w:kern w:val="2"/>
                <w:sz w:val="21"/>
                <w:szCs w:val="21"/>
              </w:rPr>
            </w:pPr>
            <w:r>
              <w:rPr>
                <w:rFonts w:hint="eastAsia" w:hAnsi="Times New Roman" w:eastAsia="宋体"/>
                <w:kern w:val="2"/>
                <w:sz w:val="21"/>
                <w:szCs w:val="21"/>
              </w:rPr>
              <w:t>柑橘、南天竹、十大功劳、羊茅、斑茅、肾蕨、鸢尾等</w:t>
            </w:r>
          </w:p>
        </w:tc>
      </w:tr>
      <w:bookmarkEnd w:id="217"/>
    </w:tbl>
    <w:p>
      <w:pPr>
        <w:pStyle w:val="14"/>
        <w:overflowPunct w:val="0"/>
        <w:spacing w:line="360" w:lineRule="auto"/>
        <w:rPr>
          <w:rFonts w:ascii="Times New Roman" w:hAnsi="Times New Roman"/>
          <w:b/>
          <w:bCs w:val="0"/>
          <w:sz w:val="24"/>
        </w:rPr>
      </w:pPr>
      <w:r>
        <w:rPr>
          <w:rFonts w:ascii="Times New Roman" w:hAnsi="Times New Roman"/>
          <w:b/>
          <w:bCs w:val="0"/>
          <w:sz w:val="24"/>
        </w:rPr>
        <w:t>4.</w:t>
      </w:r>
      <w:r>
        <w:rPr>
          <w:rFonts w:ascii="Times New Roman" w:hAnsi="Times New Roman"/>
          <w:b/>
          <w:bCs w:val="0"/>
          <w:sz w:val="24"/>
          <w:lang w:eastAsia="zh-CN"/>
        </w:rPr>
        <w:t>3</w:t>
      </w:r>
      <w:r>
        <w:rPr>
          <w:rFonts w:ascii="Times New Roman" w:hAnsi="Times New Roman"/>
          <w:b/>
          <w:bCs w:val="0"/>
          <w:sz w:val="24"/>
        </w:rPr>
        <w:t>.</w:t>
      </w:r>
      <w:r>
        <w:rPr>
          <w:rFonts w:ascii="Times New Roman" w:hAnsi="Times New Roman"/>
          <w:b/>
          <w:bCs w:val="0"/>
          <w:sz w:val="24"/>
          <w:lang w:eastAsia="zh-CN"/>
        </w:rPr>
        <w:t>3</w:t>
      </w:r>
      <w:r>
        <w:rPr>
          <w:rFonts w:ascii="Times New Roman" w:hAnsi="Times New Roman"/>
          <w:b/>
          <w:bCs w:val="0"/>
          <w:sz w:val="24"/>
        </w:rPr>
        <w:t>.</w:t>
      </w:r>
      <w:r>
        <w:rPr>
          <w:rFonts w:ascii="Times New Roman" w:hAnsi="Times New Roman"/>
          <w:b/>
          <w:bCs w:val="0"/>
          <w:sz w:val="24"/>
          <w:lang w:eastAsia="zh-CN"/>
        </w:rPr>
        <w:t>2运营期对植物植被影响分析</w:t>
      </w:r>
      <w:r>
        <w:rPr>
          <w:rFonts w:ascii="Times New Roman" w:hAnsi="Times New Roman"/>
          <w:b/>
          <w:bCs w:val="0"/>
          <w:sz w:val="24"/>
        </w:rPr>
        <w:t xml:space="preserve"> </w:t>
      </w:r>
    </w:p>
    <w:p>
      <w:pPr>
        <w:spacing w:line="360" w:lineRule="auto"/>
        <w:ind w:firstLine="480" w:firstLineChars="200"/>
        <w:rPr>
          <w:rFonts w:hAnsi="Times New Roman" w:eastAsia="宋体"/>
          <w:szCs w:val="21"/>
          <w:lang w:bidi="ar"/>
        </w:rPr>
      </w:pPr>
      <w:r>
        <w:rPr>
          <w:rFonts w:hAnsi="Times New Roman" w:eastAsia="宋体"/>
          <w:szCs w:val="21"/>
          <w:lang w:eastAsia="zh-CN" w:bidi="ar"/>
        </w:rPr>
        <w:t>（1）矿区开采占地对植被的影响</w:t>
      </w:r>
    </w:p>
    <w:p>
      <w:pPr>
        <w:spacing w:line="360" w:lineRule="auto"/>
        <w:ind w:firstLine="480" w:firstLineChars="200"/>
        <w:rPr>
          <w:rFonts w:hAnsi="Times New Roman" w:eastAsia="宋体"/>
          <w:szCs w:val="24"/>
        </w:rPr>
      </w:pPr>
      <w:r>
        <w:rPr>
          <w:rFonts w:hAnsi="Times New Roman" w:eastAsia="宋体"/>
          <w:szCs w:val="21"/>
        </w:rPr>
        <w:t>矿区开采对植被的直接破坏主要是在建设过程中用地范围内所设置的堆场施工营地和便道等临时占地，破坏原有的土壤和植被，区域内地表裸露增加，使风力、水力作用敏感性增强，生态环境恶化，稳定性下降。但项目中的有些临时占地是设置在工业场地中，因此对占地区周围景观影响很小</w:t>
      </w:r>
      <w:r>
        <w:rPr>
          <w:rFonts w:hAnsi="Times New Roman" w:eastAsia="宋体"/>
          <w:szCs w:val="24"/>
        </w:rPr>
        <w:t>。</w:t>
      </w:r>
    </w:p>
    <w:p>
      <w:pPr>
        <w:spacing w:line="360" w:lineRule="auto"/>
        <w:ind w:firstLine="480" w:firstLineChars="200"/>
        <w:rPr>
          <w:rFonts w:hAnsi="Times New Roman" w:eastAsia="宋体"/>
          <w:szCs w:val="21"/>
        </w:rPr>
      </w:pPr>
      <w:r>
        <w:rPr>
          <w:rFonts w:hAnsi="Times New Roman" w:eastAsia="宋体"/>
          <w:szCs w:val="21"/>
          <w:lang w:eastAsia="zh-CN"/>
        </w:rPr>
        <w:t>（2）</w:t>
      </w:r>
      <w:r>
        <w:rPr>
          <w:rFonts w:hAnsi="Times New Roman" w:eastAsia="宋体"/>
          <w:szCs w:val="21"/>
        </w:rPr>
        <w:t>矿区开采活动对植被的影响</w:t>
      </w:r>
    </w:p>
    <w:p>
      <w:pPr>
        <w:spacing w:line="360" w:lineRule="auto"/>
        <w:ind w:firstLine="480" w:firstLineChars="200"/>
        <w:rPr>
          <w:rFonts w:hAnsi="Times New Roman" w:eastAsia="宋体"/>
          <w:b/>
          <w:bCs/>
          <w:szCs w:val="21"/>
        </w:rPr>
      </w:pPr>
      <w:r>
        <w:rPr>
          <w:rFonts w:hAnsi="Times New Roman" w:eastAsia="宋体"/>
          <w:szCs w:val="21"/>
        </w:rPr>
        <w:t>井工开采对植被的影响主要来自两个方面，一是地表变形、开裂导致林木歪斜或倾倒影响正常生长；二是地下水疏干，切断了地下水与陆生植被之间的联系，会</w:t>
      </w:r>
      <w:r>
        <w:rPr>
          <w:rFonts w:hint="eastAsia" w:hAnsi="Times New Roman" w:eastAsia="宋体"/>
          <w:szCs w:val="21"/>
          <w:lang w:eastAsia="zh-CN"/>
        </w:rPr>
        <w:t>造成</w:t>
      </w:r>
      <w:r>
        <w:rPr>
          <w:rFonts w:hAnsi="Times New Roman" w:eastAsia="宋体"/>
          <w:szCs w:val="21"/>
        </w:rPr>
        <w:t>采空区上方的地表植被因缺水消失或者上方的地表植被向干旱型植被转变。七里峡煤矿煤层采空后对地表影响轻微，目前未出现地表塌陷的区域。根据野外调查结合查阅资料，区域内基本无地下潜水层，区域植被的水分利用方式主要是地表水，尤其是夏季降水。根据宣汉县气象站1959～2012年气象资料，项目区多年平均降雨量1230mm，说明无论是在植物生长初起的春季，还是在生长旺季的夏季，</w:t>
      </w:r>
      <w:r>
        <w:rPr>
          <w:rFonts w:hAnsi="Times New Roman" w:eastAsia="宋体"/>
          <w:b/>
          <w:bCs/>
          <w:szCs w:val="21"/>
        </w:rPr>
        <w:t>区域内均有较为稳定的地表水来源补给，为植被的生长提供了保障。</w:t>
      </w:r>
      <w:r>
        <w:rPr>
          <w:rFonts w:hAnsi="Times New Roman" w:eastAsia="宋体"/>
          <w:szCs w:val="21"/>
        </w:rPr>
        <w:t>另外，对已形成的采空区上部植被调查，植被种类、生长状况与周边情况相似，未发现明显旱生化趋势。据此可以推断，</w:t>
      </w:r>
      <w:r>
        <w:rPr>
          <w:rFonts w:hAnsi="Times New Roman" w:eastAsia="宋体"/>
          <w:b/>
          <w:bCs/>
          <w:szCs w:val="21"/>
        </w:rPr>
        <w:t>煤矿开采对采空区上部地表水</w:t>
      </w:r>
      <w:r>
        <w:rPr>
          <w:rFonts w:hint="eastAsia" w:hAnsi="Times New Roman" w:eastAsia="宋体"/>
          <w:b/>
          <w:bCs/>
          <w:szCs w:val="21"/>
          <w:lang w:eastAsia="zh-CN"/>
        </w:rPr>
        <w:t>和</w:t>
      </w:r>
      <w:r>
        <w:rPr>
          <w:rFonts w:hAnsi="Times New Roman" w:eastAsia="宋体"/>
          <w:b/>
          <w:bCs/>
          <w:szCs w:val="21"/>
        </w:rPr>
        <w:t>土壤含水量的影响相对较小，植被因地下水疏干导致的植被生长受阻或者生境旱生化的趋势不会十分明显</w:t>
      </w:r>
      <w:r>
        <w:rPr>
          <w:rFonts w:hAnsi="Times New Roman" w:eastAsia="宋体"/>
          <w:szCs w:val="21"/>
        </w:rPr>
        <w:t>。</w:t>
      </w:r>
      <w:r>
        <w:rPr>
          <w:rFonts w:hAnsi="Times New Roman" w:eastAsia="宋体"/>
          <w:b/>
          <w:bCs/>
          <w:szCs w:val="21"/>
        </w:rPr>
        <w:t>七里峡煤矿开采对植被生长和植物多样性的影响相对较小。</w:t>
      </w:r>
    </w:p>
    <w:p>
      <w:pPr>
        <w:spacing w:line="360" w:lineRule="auto"/>
        <w:ind w:firstLine="480" w:firstLineChars="200"/>
        <w:rPr>
          <w:rFonts w:hAnsi="Times New Roman" w:eastAsia="宋体"/>
          <w:szCs w:val="21"/>
        </w:rPr>
      </w:pPr>
      <w:r>
        <w:rPr>
          <w:rFonts w:hAnsi="Times New Roman" w:eastAsia="宋体"/>
          <w:szCs w:val="21"/>
        </w:rPr>
        <w:t>对于耕地植被，至七里峡煤矿开采结束后，采空区内耕地面积1.409km</w:t>
      </w:r>
      <w:r>
        <w:rPr>
          <w:rFonts w:hAnsi="Times New Roman" w:eastAsia="宋体"/>
          <w:szCs w:val="21"/>
          <w:vertAlign w:val="superscript"/>
        </w:rPr>
        <w:t>2</w:t>
      </w:r>
      <w:r>
        <w:rPr>
          <w:rFonts w:hAnsi="Times New Roman" w:eastAsia="宋体"/>
          <w:szCs w:val="21"/>
        </w:rPr>
        <w:t>，以旱地为主。本次评价类比已有采空区耕地受影响情况预测后续开采对耕地的影响。</w:t>
      </w:r>
      <w:r>
        <w:rPr>
          <w:rFonts w:hAnsi="Times New Roman" w:eastAsia="宋体"/>
          <w:b/>
          <w:bCs/>
          <w:szCs w:val="21"/>
        </w:rPr>
        <w:t>已有采空区耕地未出现地表裂缝和变形情况，未影响正常耕作活动</w:t>
      </w:r>
      <w:r>
        <w:rPr>
          <w:rFonts w:hAnsi="Times New Roman" w:eastAsia="宋体"/>
          <w:szCs w:val="21"/>
        </w:rPr>
        <w:t>，农作物未出现明显减产情况。根据地表沉陷预测结果，结合《土地复垦方案编制规程 第三部分 井工煤矿》（TD/T1031.3-2011）中的采煤沉陷土地损毁程度分级标准分析，耕地损毁程度以轻度为主，后续开采对耕地影响情况与已有采空区基本一致。</w:t>
      </w:r>
    </w:p>
    <w:p>
      <w:pPr>
        <w:spacing w:line="360" w:lineRule="auto"/>
        <w:ind w:firstLine="480" w:firstLineChars="200"/>
        <w:rPr>
          <w:rFonts w:hAnsi="Times New Roman" w:eastAsia="宋体"/>
          <w:szCs w:val="21"/>
        </w:rPr>
      </w:pPr>
      <w:r>
        <w:rPr>
          <w:rFonts w:hAnsi="Times New Roman" w:eastAsia="宋体"/>
          <w:szCs w:val="21"/>
        </w:rPr>
        <w:t>当矿区升级改造完成后，随着矿区继续运营开采，会出现采空区面积增加的情况。因此要注意对采空区进行监测，对植被的生长情况进行定期监测，预防地表塌陷的情况出现，同时还需要对采空区地下范围进行工程加固。</w:t>
      </w:r>
    </w:p>
    <w:p>
      <w:pPr>
        <w:pStyle w:val="14"/>
        <w:overflowPunct w:val="0"/>
        <w:spacing w:line="360" w:lineRule="auto"/>
        <w:rPr>
          <w:rFonts w:ascii="Times New Roman" w:hAnsi="Times New Roman"/>
          <w:b/>
          <w:bCs w:val="0"/>
          <w:sz w:val="24"/>
        </w:rPr>
      </w:pPr>
      <w:r>
        <w:rPr>
          <w:rFonts w:ascii="Times New Roman" w:hAnsi="Times New Roman"/>
          <w:b/>
          <w:bCs w:val="0"/>
          <w:sz w:val="24"/>
        </w:rPr>
        <w:t>4.</w:t>
      </w:r>
      <w:r>
        <w:rPr>
          <w:rFonts w:ascii="Times New Roman" w:hAnsi="Times New Roman"/>
          <w:b/>
          <w:bCs w:val="0"/>
          <w:sz w:val="24"/>
          <w:lang w:eastAsia="zh-CN"/>
        </w:rPr>
        <w:t>3</w:t>
      </w:r>
      <w:r>
        <w:rPr>
          <w:rFonts w:ascii="Times New Roman" w:hAnsi="Times New Roman"/>
          <w:b/>
          <w:bCs w:val="0"/>
          <w:sz w:val="24"/>
        </w:rPr>
        <w:t>.</w:t>
      </w:r>
      <w:r>
        <w:rPr>
          <w:rFonts w:ascii="Times New Roman" w:hAnsi="Times New Roman"/>
          <w:b/>
          <w:bCs w:val="0"/>
          <w:sz w:val="24"/>
          <w:lang w:eastAsia="zh-CN"/>
        </w:rPr>
        <w:t>3</w:t>
      </w:r>
      <w:r>
        <w:rPr>
          <w:rFonts w:ascii="Times New Roman" w:hAnsi="Times New Roman"/>
          <w:b/>
          <w:bCs w:val="0"/>
          <w:sz w:val="24"/>
        </w:rPr>
        <w:t>.</w:t>
      </w:r>
      <w:r>
        <w:rPr>
          <w:rFonts w:ascii="Times New Roman" w:hAnsi="Times New Roman"/>
          <w:b/>
          <w:bCs w:val="0"/>
          <w:sz w:val="24"/>
          <w:lang w:eastAsia="zh-CN"/>
        </w:rPr>
        <w:t>3</w:t>
      </w:r>
      <w:r>
        <w:rPr>
          <w:rFonts w:ascii="Times New Roman" w:hAnsi="Times New Roman"/>
          <w:b/>
          <w:bCs w:val="0"/>
          <w:sz w:val="24"/>
        </w:rPr>
        <w:t xml:space="preserve"> </w:t>
      </w:r>
      <w:r>
        <w:rPr>
          <w:rFonts w:ascii="Times New Roman" w:hAnsi="Times New Roman"/>
          <w:b/>
          <w:bCs w:val="0"/>
          <w:sz w:val="24"/>
          <w:lang w:eastAsia="zh-CN"/>
        </w:rPr>
        <w:t>闭矿期对植被影响分析</w:t>
      </w:r>
      <w:r>
        <w:rPr>
          <w:rFonts w:ascii="Times New Roman" w:hAnsi="Times New Roman"/>
          <w:b/>
          <w:bCs w:val="0"/>
          <w:sz w:val="24"/>
        </w:rPr>
        <w:t xml:space="preserve"> </w:t>
      </w:r>
    </w:p>
    <w:p>
      <w:pPr>
        <w:spacing w:line="360" w:lineRule="auto"/>
        <w:ind w:firstLine="480" w:firstLineChars="200"/>
        <w:rPr>
          <w:rFonts w:hAnsi="Times New Roman" w:eastAsia="宋体"/>
          <w:szCs w:val="24"/>
        </w:rPr>
      </w:pPr>
      <w:r>
        <w:rPr>
          <w:rFonts w:hAnsi="Times New Roman" w:eastAsia="宋体"/>
          <w:szCs w:val="21"/>
        </w:rPr>
        <w:t>闭矿期主要指矿山开采已经结束，矿山已没有开采或利用价值而废弃以后的时段。主要影响因素为开采区进行填埋、植被恢复或复耕等活动。闭矿期后经过优化设计，选择适合当地的物种、配置及种植方式的一系列植被恢复、水土保持措施对评价区的植物植被的影响将为正效应</w:t>
      </w:r>
      <w:r>
        <w:rPr>
          <w:rFonts w:hAnsi="Times New Roman" w:eastAsia="宋体"/>
          <w:szCs w:val="24"/>
        </w:rPr>
        <w:t>。</w:t>
      </w:r>
    </w:p>
    <w:p>
      <w:pPr>
        <w:pStyle w:val="14"/>
        <w:overflowPunct w:val="0"/>
        <w:spacing w:line="360" w:lineRule="auto"/>
        <w:rPr>
          <w:rFonts w:ascii="Times New Roman" w:hAnsi="Times New Roman"/>
          <w:b/>
          <w:bCs w:val="0"/>
          <w:sz w:val="24"/>
        </w:rPr>
      </w:pPr>
      <w:r>
        <w:rPr>
          <w:rFonts w:ascii="Times New Roman" w:hAnsi="Times New Roman"/>
          <w:b/>
          <w:bCs w:val="0"/>
          <w:sz w:val="24"/>
        </w:rPr>
        <w:t>4.</w:t>
      </w:r>
      <w:r>
        <w:rPr>
          <w:rFonts w:ascii="Times New Roman" w:hAnsi="Times New Roman"/>
          <w:b/>
          <w:bCs w:val="0"/>
          <w:sz w:val="24"/>
          <w:lang w:eastAsia="zh-CN"/>
        </w:rPr>
        <w:t>3</w:t>
      </w:r>
      <w:r>
        <w:rPr>
          <w:rFonts w:ascii="Times New Roman" w:hAnsi="Times New Roman"/>
          <w:b/>
          <w:bCs w:val="0"/>
          <w:sz w:val="24"/>
        </w:rPr>
        <w:t>.</w:t>
      </w:r>
      <w:r>
        <w:rPr>
          <w:rFonts w:ascii="Times New Roman" w:hAnsi="Times New Roman"/>
          <w:b/>
          <w:bCs w:val="0"/>
          <w:sz w:val="24"/>
          <w:lang w:eastAsia="zh-CN"/>
        </w:rPr>
        <w:t>3</w:t>
      </w:r>
      <w:r>
        <w:rPr>
          <w:rFonts w:ascii="Times New Roman" w:hAnsi="Times New Roman"/>
          <w:b/>
          <w:bCs w:val="0"/>
          <w:sz w:val="24"/>
        </w:rPr>
        <w:t>.</w:t>
      </w:r>
      <w:r>
        <w:rPr>
          <w:rFonts w:ascii="Times New Roman" w:hAnsi="Times New Roman"/>
          <w:b/>
          <w:bCs w:val="0"/>
          <w:sz w:val="24"/>
          <w:lang w:eastAsia="zh-CN"/>
        </w:rPr>
        <w:t>4</w:t>
      </w:r>
      <w:r>
        <w:rPr>
          <w:rFonts w:ascii="Times New Roman" w:hAnsi="Times New Roman"/>
          <w:b/>
          <w:bCs w:val="0"/>
          <w:sz w:val="24"/>
        </w:rPr>
        <w:t xml:space="preserve"> 对国家重点保护植物和资源植物的</w:t>
      </w:r>
      <w:r>
        <w:rPr>
          <w:rFonts w:ascii="Times New Roman" w:hAnsi="Times New Roman"/>
          <w:b/>
          <w:bCs w:val="0"/>
          <w:sz w:val="24"/>
          <w:lang w:eastAsia="zh-CN"/>
        </w:rPr>
        <w:t>影响</w:t>
      </w:r>
      <w:r>
        <w:rPr>
          <w:rFonts w:ascii="Times New Roman" w:hAnsi="Times New Roman"/>
          <w:b/>
          <w:bCs w:val="0"/>
          <w:sz w:val="24"/>
        </w:rPr>
        <w:t xml:space="preserve"> </w:t>
      </w:r>
    </w:p>
    <w:p>
      <w:pPr>
        <w:spacing w:line="360" w:lineRule="auto"/>
        <w:ind w:firstLine="480" w:firstLineChars="200"/>
        <w:rPr>
          <w:rFonts w:hAnsi="Times New Roman" w:eastAsia="宋体"/>
          <w:szCs w:val="21"/>
        </w:rPr>
      </w:pPr>
      <w:r>
        <w:rPr>
          <w:rFonts w:hAnsi="Times New Roman" w:eastAsia="宋体"/>
          <w:szCs w:val="21"/>
        </w:rPr>
        <w:t>根据野外调查和资料查证，项目评价区的野生植物中，本次调查没有发现2021年8月7日经国务院批准施行的《国家重点保护野生植物名录》中所列物种，评价区内发现有栽培的植物</w:t>
      </w:r>
      <w:r>
        <w:rPr>
          <w:rFonts w:hint="eastAsia" w:hAnsi="Times New Roman" w:eastAsia="宋体"/>
          <w:szCs w:val="21"/>
        </w:rPr>
        <w:t>1</w:t>
      </w:r>
      <w:r>
        <w:rPr>
          <w:rFonts w:hAnsi="Times New Roman" w:eastAsia="宋体"/>
          <w:szCs w:val="21"/>
        </w:rPr>
        <w:t>种：银杏。根据国家法律，只有野生种才受法律保护。这些保护物种在评价范围内均为栽培</w:t>
      </w:r>
      <w:r>
        <w:rPr>
          <w:rFonts w:hint="eastAsia" w:hAnsi="Times New Roman" w:eastAsia="宋体"/>
          <w:szCs w:val="21"/>
        </w:rPr>
        <w:t>物种</w:t>
      </w:r>
      <w:r>
        <w:rPr>
          <w:rFonts w:hAnsi="Times New Roman" w:eastAsia="宋体"/>
          <w:szCs w:val="21"/>
        </w:rPr>
        <w:t>，为经济树木和园林观赏树木及行道树</w:t>
      </w:r>
      <w:r>
        <w:rPr>
          <w:rFonts w:hint="eastAsia" w:hAnsi="Times New Roman" w:eastAsia="宋体"/>
          <w:szCs w:val="21"/>
        </w:rPr>
        <w:t>、经济作物</w:t>
      </w:r>
      <w:r>
        <w:rPr>
          <w:rFonts w:hAnsi="Times New Roman" w:eastAsia="宋体"/>
          <w:szCs w:val="21"/>
        </w:rPr>
        <w:t>，</w:t>
      </w:r>
      <w:r>
        <w:rPr>
          <w:rFonts w:hint="eastAsia" w:hAnsi="Times New Roman" w:eastAsia="宋体"/>
          <w:szCs w:val="21"/>
        </w:rPr>
        <w:t>在</w:t>
      </w:r>
      <w:r>
        <w:rPr>
          <w:rFonts w:hAnsi="Times New Roman" w:eastAsia="宋体"/>
          <w:szCs w:val="21"/>
        </w:rPr>
        <w:t>农宅、道路附近均有栽培，已经被驯化作为常见的环境美化树种或经济作物。因此，本工程项目不存在对国家野生重点保护植物和珍稀濒危植物</w:t>
      </w:r>
      <w:r>
        <w:rPr>
          <w:rFonts w:hint="eastAsia" w:hAnsi="Times New Roman" w:eastAsia="宋体"/>
          <w:szCs w:val="21"/>
          <w:lang w:val="en-US" w:eastAsia="zh-CN"/>
        </w:rPr>
        <w:t>产生</w:t>
      </w:r>
      <w:r>
        <w:rPr>
          <w:rFonts w:hAnsi="Times New Roman" w:eastAsia="宋体"/>
          <w:szCs w:val="21"/>
        </w:rPr>
        <w:t>影响。</w:t>
      </w:r>
    </w:p>
    <w:p>
      <w:pPr>
        <w:spacing w:line="360" w:lineRule="auto"/>
        <w:ind w:firstLine="480" w:firstLineChars="200"/>
        <w:rPr>
          <w:rFonts w:hAnsi="Times New Roman" w:eastAsia="宋体"/>
          <w:szCs w:val="21"/>
        </w:rPr>
      </w:pPr>
      <w:r>
        <w:rPr>
          <w:rFonts w:hAnsi="Times New Roman" w:eastAsia="宋体"/>
          <w:szCs w:val="21"/>
        </w:rPr>
        <w:t>根据《中国生物多样性红色名录》，评价区植物中有中国特有种</w:t>
      </w:r>
      <w:r>
        <w:rPr>
          <w:rFonts w:hint="eastAsia" w:hAnsi="Times New Roman" w:eastAsia="宋体"/>
          <w:szCs w:val="21"/>
        </w:rPr>
        <w:t>32</w:t>
      </w:r>
      <w:r>
        <w:rPr>
          <w:rFonts w:hAnsi="Times New Roman" w:eastAsia="宋体"/>
          <w:szCs w:val="21"/>
        </w:rPr>
        <w:t>种，无濒危等级为易危、濒危或极危的植物。中国特有种在评价区分布较广，数量较多，施工建设虽然会对部分特有种造成影响，但施工区域较小，不会对这些植物种类数量造成太大影响，且随着施工结束，会采取相应的恢复措施，对这些植物影响不大。</w:t>
      </w:r>
    </w:p>
    <w:p>
      <w:pPr>
        <w:spacing w:line="360" w:lineRule="auto"/>
        <w:ind w:firstLine="480" w:firstLineChars="200"/>
        <w:rPr>
          <w:rFonts w:hAnsi="Times New Roman" w:eastAsia="宋体"/>
          <w:szCs w:val="21"/>
        </w:rPr>
      </w:pPr>
      <w:r>
        <w:rPr>
          <w:rFonts w:hAnsi="Times New Roman" w:eastAsia="宋体"/>
          <w:szCs w:val="21"/>
        </w:rPr>
        <w:t>调查发现，评价区域范围内未发现有挂牌的古树名木分布。如果在施工过程中发现保护植物或在路线附近发现有古树名木，则暂时停止施工并及时与当地林业部门取得联系，采取悬挂醒目的树牌进行保护，甚至在树体四周设置围栏加以重点保护等措施，对保护物种或古树名木进行及时的保护。</w:t>
      </w:r>
    </w:p>
    <w:p>
      <w:pPr>
        <w:spacing w:line="360" w:lineRule="auto"/>
        <w:ind w:firstLine="480" w:firstLineChars="200"/>
        <w:rPr>
          <w:rFonts w:hAnsi="Times New Roman" w:eastAsia="宋体"/>
          <w:szCs w:val="21"/>
        </w:rPr>
      </w:pPr>
      <w:r>
        <w:rPr>
          <w:rFonts w:hAnsi="Times New Roman" w:eastAsia="宋体"/>
          <w:szCs w:val="21"/>
        </w:rPr>
        <w:t>因此，在做好相关保护措施的前提下，该项目的建设不会对评价区域内的资源植物开发和种质资源保存产生实质性影响。</w:t>
      </w:r>
    </w:p>
    <w:p>
      <w:pPr>
        <w:pStyle w:val="6"/>
        <w:rPr>
          <w:szCs w:val="22"/>
          <w:lang w:eastAsia="zh-CN"/>
        </w:rPr>
      </w:pPr>
      <w:bookmarkStart w:id="218" w:name="_Toc167095187"/>
      <w:bookmarkStart w:id="219" w:name="_Toc163812564"/>
      <w:r>
        <w:rPr>
          <w:szCs w:val="22"/>
          <w:lang w:eastAsia="zh-CN"/>
        </w:rPr>
        <w:t>4.3.4 动物影响预测与评价</w:t>
      </w:r>
      <w:bookmarkEnd w:id="218"/>
      <w:bookmarkEnd w:id="219"/>
    </w:p>
    <w:p>
      <w:pPr>
        <w:pStyle w:val="14"/>
        <w:overflowPunct w:val="0"/>
        <w:spacing w:line="360" w:lineRule="auto"/>
        <w:rPr>
          <w:rFonts w:ascii="Times New Roman" w:hAnsi="Times New Roman"/>
          <w:b/>
          <w:bCs w:val="0"/>
          <w:sz w:val="24"/>
        </w:rPr>
      </w:pPr>
      <w:r>
        <w:rPr>
          <w:rFonts w:ascii="Times New Roman" w:hAnsi="Times New Roman"/>
          <w:b/>
          <w:bCs w:val="0"/>
          <w:sz w:val="24"/>
        </w:rPr>
        <w:t>4.</w:t>
      </w:r>
      <w:r>
        <w:rPr>
          <w:rFonts w:ascii="Times New Roman" w:hAnsi="Times New Roman"/>
          <w:b/>
          <w:bCs w:val="0"/>
          <w:sz w:val="24"/>
          <w:lang w:eastAsia="zh-CN"/>
        </w:rPr>
        <w:t>3</w:t>
      </w:r>
      <w:r>
        <w:rPr>
          <w:rFonts w:ascii="Times New Roman" w:hAnsi="Times New Roman"/>
          <w:b/>
          <w:bCs w:val="0"/>
          <w:sz w:val="24"/>
        </w:rPr>
        <w:t>.</w:t>
      </w:r>
      <w:r>
        <w:rPr>
          <w:rFonts w:ascii="Times New Roman" w:hAnsi="Times New Roman"/>
          <w:b/>
          <w:bCs w:val="0"/>
          <w:sz w:val="24"/>
          <w:lang w:eastAsia="zh-CN"/>
        </w:rPr>
        <w:t>4</w:t>
      </w:r>
      <w:r>
        <w:rPr>
          <w:rFonts w:ascii="Times New Roman" w:hAnsi="Times New Roman"/>
          <w:b/>
          <w:bCs w:val="0"/>
          <w:sz w:val="24"/>
        </w:rPr>
        <w:t xml:space="preserve">.1 建设期对野生动物的影响回顾 </w:t>
      </w:r>
    </w:p>
    <w:p>
      <w:pPr>
        <w:spacing w:line="360" w:lineRule="auto"/>
        <w:ind w:firstLine="480" w:firstLineChars="200"/>
        <w:rPr>
          <w:rFonts w:hAnsi="Times New Roman" w:eastAsia="宋体"/>
          <w:szCs w:val="21"/>
          <w:lang w:bidi="ar"/>
        </w:rPr>
      </w:pPr>
      <w:r>
        <w:rPr>
          <w:rFonts w:hAnsi="Times New Roman" w:eastAsia="宋体"/>
          <w:szCs w:val="21"/>
          <w:lang w:bidi="ar"/>
        </w:rPr>
        <w:t>1</w:t>
      </w:r>
      <w:r>
        <w:rPr>
          <w:rFonts w:hAnsi="Times New Roman" w:eastAsia="宋体"/>
          <w:szCs w:val="21"/>
          <w:lang w:eastAsia="zh-CN" w:bidi="ar"/>
        </w:rPr>
        <w:t>、升级改造前建设期对野生动物的影响回顾</w:t>
      </w:r>
    </w:p>
    <w:p>
      <w:pPr>
        <w:spacing w:line="360" w:lineRule="auto"/>
        <w:ind w:firstLine="480" w:firstLineChars="200"/>
        <w:rPr>
          <w:rFonts w:hAnsi="Times New Roman" w:eastAsia="宋体"/>
          <w:szCs w:val="24"/>
        </w:rPr>
      </w:pPr>
      <w:r>
        <w:rPr>
          <w:rFonts w:hAnsi="Times New Roman" w:eastAsia="宋体"/>
          <w:szCs w:val="21"/>
        </w:rPr>
        <w:t>项目建设期对野生动物造成的影响，主要表现为生产过程中产生的噪音、振动以及运输所产生的扬尘等。噪音主要为大型工程机械运转过程中产生的噪声，噪音对动物的影响主要表现在可能对动物产生惊扰，影响其正常的取食、求偶活动，甚至影响其选择栖息地；振动主要体现为工程车辆运输所产生的地面振动，这些振动主要会对穴居动物产生影响，甚至逃离洞穴；扬尘即在天气干燥的季节车辆运输过程中车轮卷起的扬尘，长期悬浮在空中，可能会对部分鸟类的活动造成不良的影响</w:t>
      </w:r>
      <w:r>
        <w:rPr>
          <w:rFonts w:hAnsi="Times New Roman" w:eastAsia="宋体"/>
          <w:szCs w:val="24"/>
        </w:rPr>
        <w:t>。</w:t>
      </w:r>
    </w:p>
    <w:p>
      <w:pPr>
        <w:spacing w:line="360" w:lineRule="auto"/>
        <w:ind w:firstLine="480" w:firstLineChars="200"/>
        <w:rPr>
          <w:rFonts w:hAnsi="Times New Roman" w:eastAsia="宋体"/>
          <w:bCs/>
          <w:szCs w:val="21"/>
        </w:rPr>
      </w:pPr>
      <w:r>
        <w:rPr>
          <w:rFonts w:hAnsi="Times New Roman" w:eastAsia="宋体"/>
          <w:bCs/>
          <w:szCs w:val="21"/>
        </w:rPr>
        <w:t>1</w:t>
      </w:r>
      <w:r>
        <w:rPr>
          <w:rFonts w:hAnsi="Times New Roman" w:eastAsia="宋体"/>
          <w:bCs/>
          <w:szCs w:val="21"/>
          <w:lang w:eastAsia="zh-CN"/>
        </w:rPr>
        <w:t>）</w:t>
      </w:r>
      <w:r>
        <w:rPr>
          <w:rFonts w:hAnsi="Times New Roman" w:eastAsia="宋体"/>
          <w:bCs/>
          <w:szCs w:val="21"/>
        </w:rPr>
        <w:t>不同影响因素对动物的影响</w:t>
      </w:r>
    </w:p>
    <w:p>
      <w:pPr>
        <w:spacing w:line="360" w:lineRule="auto"/>
        <w:ind w:firstLine="480" w:firstLineChars="200"/>
        <w:rPr>
          <w:rFonts w:hAnsi="Times New Roman" w:eastAsia="宋体"/>
          <w:szCs w:val="21"/>
        </w:rPr>
      </w:pPr>
      <w:r>
        <w:rPr>
          <w:rFonts w:hAnsi="Times New Roman" w:eastAsia="宋体"/>
          <w:szCs w:val="21"/>
          <w:lang w:eastAsia="zh-CN"/>
        </w:rPr>
        <w:t>（1）</w:t>
      </w:r>
      <w:r>
        <w:rPr>
          <w:rFonts w:hAnsi="Times New Roman" w:eastAsia="宋体"/>
          <w:szCs w:val="21"/>
        </w:rPr>
        <w:t xml:space="preserve"> 永久占地和临时占地使各类动物栖息地面积缩小。</w:t>
      </w:r>
      <w:r>
        <w:rPr>
          <w:rFonts w:hAnsi="Times New Roman" w:eastAsia="宋体"/>
          <w:szCs w:val="21"/>
          <w:lang w:bidi="ar"/>
        </w:rPr>
        <w:t>平硐口、风井口、矿山辅助设施、矿区道路等已建工程永久占地，</w:t>
      </w:r>
      <w:r>
        <w:rPr>
          <w:rFonts w:hAnsi="Times New Roman" w:eastAsia="宋体"/>
          <w:szCs w:val="21"/>
        </w:rPr>
        <w:t>储煤场</w:t>
      </w:r>
      <w:r>
        <w:rPr>
          <w:rFonts w:hAnsi="Times New Roman" w:eastAsia="宋体"/>
          <w:szCs w:val="21"/>
          <w:lang w:bidi="ar"/>
        </w:rPr>
        <w:t>、</w:t>
      </w:r>
      <w:r>
        <w:rPr>
          <w:rFonts w:hAnsi="Times New Roman" w:eastAsia="宋体"/>
          <w:szCs w:val="21"/>
        </w:rPr>
        <w:t>矸石仓</w:t>
      </w:r>
      <w:r>
        <w:rPr>
          <w:rFonts w:hAnsi="Times New Roman" w:eastAsia="宋体"/>
          <w:szCs w:val="21"/>
          <w:lang w:bidi="ar"/>
        </w:rPr>
        <w:t>施工区等临时占地，</w:t>
      </w:r>
      <w:r>
        <w:rPr>
          <w:rFonts w:hAnsi="Times New Roman" w:eastAsia="宋体"/>
          <w:szCs w:val="21"/>
        </w:rPr>
        <w:t>主要对动物形成阻隔作用，对其影响不大。</w:t>
      </w:r>
    </w:p>
    <w:p>
      <w:pPr>
        <w:spacing w:line="360" w:lineRule="auto"/>
        <w:ind w:firstLine="480" w:firstLineChars="200"/>
        <w:rPr>
          <w:rFonts w:hAnsi="Times New Roman" w:eastAsia="宋体"/>
          <w:szCs w:val="21"/>
        </w:rPr>
      </w:pPr>
      <w:r>
        <w:rPr>
          <w:rFonts w:hAnsi="Times New Roman" w:eastAsia="宋体"/>
          <w:szCs w:val="21"/>
          <w:lang w:eastAsia="zh-CN"/>
        </w:rPr>
        <w:t>（2）</w:t>
      </w:r>
      <w:r>
        <w:rPr>
          <w:rFonts w:hAnsi="Times New Roman" w:eastAsia="宋体"/>
          <w:szCs w:val="21"/>
        </w:rPr>
        <w:t>各类污染使野生动物栖息地质量下降；特别是矿山开采区等造成的水土流失，可能对它们造成一定的危害，从而影响其种群数量；工程活动和工作人员产生的污染物造成水体或土壤污染，危害动物健康，重度污染甚至危及动物生命。</w:t>
      </w:r>
    </w:p>
    <w:p>
      <w:pPr>
        <w:spacing w:line="360" w:lineRule="auto"/>
        <w:ind w:firstLine="480" w:firstLineChars="200"/>
        <w:rPr>
          <w:rFonts w:hAnsi="Times New Roman" w:eastAsia="宋体"/>
          <w:szCs w:val="21"/>
        </w:rPr>
      </w:pPr>
      <w:r>
        <w:rPr>
          <w:rFonts w:hAnsi="Times New Roman" w:eastAsia="宋体"/>
          <w:szCs w:val="21"/>
          <w:lang w:eastAsia="zh-CN"/>
        </w:rPr>
        <w:t>（3）</w:t>
      </w:r>
      <w:r>
        <w:rPr>
          <w:rFonts w:hAnsi="Times New Roman" w:eastAsia="宋体"/>
          <w:szCs w:val="21"/>
        </w:rPr>
        <w:t xml:space="preserve"> 开采区、各类建筑物和道路等阻碍或中断动物个体日常运动（觅食、饮水）和扩散（生殖或寻找新的栖息地）。</w:t>
      </w:r>
    </w:p>
    <w:p>
      <w:pPr>
        <w:spacing w:line="360" w:lineRule="auto"/>
        <w:ind w:firstLine="480" w:firstLineChars="200"/>
        <w:rPr>
          <w:rFonts w:hAnsi="Times New Roman" w:eastAsia="宋体"/>
          <w:bCs/>
          <w:szCs w:val="21"/>
        </w:rPr>
      </w:pPr>
      <w:r>
        <w:rPr>
          <w:rFonts w:hAnsi="Times New Roman" w:eastAsia="宋体"/>
          <w:bCs/>
          <w:szCs w:val="21"/>
        </w:rPr>
        <w:t>2</w:t>
      </w:r>
      <w:r>
        <w:rPr>
          <w:rFonts w:hAnsi="Times New Roman" w:eastAsia="宋体"/>
          <w:bCs/>
          <w:szCs w:val="21"/>
          <w:lang w:eastAsia="zh-CN"/>
        </w:rPr>
        <w:t>）</w:t>
      </w:r>
      <w:r>
        <w:rPr>
          <w:rFonts w:hAnsi="Times New Roman" w:eastAsia="宋体"/>
          <w:bCs/>
          <w:szCs w:val="21"/>
        </w:rPr>
        <w:t>对不同类型动物的影响</w:t>
      </w:r>
    </w:p>
    <w:p>
      <w:pPr>
        <w:spacing w:line="360" w:lineRule="auto"/>
        <w:ind w:firstLine="480" w:firstLineChars="200"/>
        <w:rPr>
          <w:rFonts w:hAnsi="Times New Roman" w:eastAsia="宋体"/>
          <w:szCs w:val="21"/>
        </w:rPr>
      </w:pPr>
      <w:r>
        <w:rPr>
          <w:rFonts w:hAnsi="Times New Roman" w:eastAsia="宋体"/>
          <w:szCs w:val="21"/>
          <w:lang w:eastAsia="zh-CN"/>
        </w:rPr>
        <w:t>（1）</w:t>
      </w:r>
      <w:r>
        <w:rPr>
          <w:rFonts w:hAnsi="Times New Roman" w:eastAsia="宋体"/>
          <w:szCs w:val="21"/>
        </w:rPr>
        <w:t xml:space="preserve"> 对两栖动物的影响分析</w:t>
      </w:r>
    </w:p>
    <w:p>
      <w:pPr>
        <w:widowControl/>
        <w:spacing w:line="360" w:lineRule="auto"/>
        <w:ind w:firstLine="480" w:firstLineChars="200"/>
        <w:textAlignment w:val="center"/>
        <w:rPr>
          <w:rFonts w:hAnsi="Times New Roman" w:eastAsia="宋体"/>
          <w:szCs w:val="21"/>
        </w:rPr>
      </w:pPr>
      <w:r>
        <w:rPr>
          <w:rFonts w:hAnsi="Times New Roman" w:eastAsia="宋体"/>
          <w:szCs w:val="21"/>
        </w:rPr>
        <w:t>两栖动物迁移能力较弱、对环境的依赖性较强。评价区的两栖动物主要栖息于农田、溪流及附近的草丛中。此次升级改造主要为矿井涌水、生活废水、办公生活设施、储煤场、矸石仓等，在施工过程中，工程施工机械产生的噪声、施工人员在评价区域的活动，原材料的堆放，车辆运输等均可直接影响到两栖动物。临时施工场地或便道造成部分生境破坏，但这种影响是短期的，施工活动结束后，两栖类的生存环境将会很快得到恢复。</w:t>
      </w:r>
    </w:p>
    <w:p>
      <w:pPr>
        <w:spacing w:line="360" w:lineRule="auto"/>
        <w:ind w:firstLine="480" w:firstLineChars="200"/>
        <w:rPr>
          <w:rFonts w:hAnsi="Times New Roman" w:eastAsia="宋体"/>
          <w:szCs w:val="21"/>
        </w:rPr>
      </w:pPr>
      <w:r>
        <w:rPr>
          <w:rFonts w:hAnsi="Times New Roman" w:eastAsia="宋体"/>
          <w:szCs w:val="21"/>
          <w:lang w:eastAsia="zh-CN"/>
        </w:rPr>
        <w:t>（2）</w:t>
      </w:r>
      <w:r>
        <w:rPr>
          <w:rFonts w:hAnsi="Times New Roman" w:eastAsia="宋体"/>
          <w:szCs w:val="21"/>
        </w:rPr>
        <w:t>对爬行类动物的影响</w:t>
      </w:r>
    </w:p>
    <w:p>
      <w:pPr>
        <w:spacing w:line="360" w:lineRule="auto"/>
        <w:ind w:firstLine="480" w:firstLineChars="200"/>
        <w:rPr>
          <w:rFonts w:hAnsi="Times New Roman" w:eastAsia="宋体"/>
          <w:szCs w:val="21"/>
        </w:rPr>
      </w:pPr>
      <w:r>
        <w:rPr>
          <w:rFonts w:hAnsi="Times New Roman" w:eastAsia="宋体"/>
          <w:szCs w:val="21"/>
        </w:rPr>
        <w:t>据现场调查，爬行类动物主要为蛇类。爬行类动物多生活在人烟稀少、植被茂密的丛林里，工程建设区分布的此类动物稀少，对评价区域爬行类动物影响微弱。</w:t>
      </w:r>
    </w:p>
    <w:p>
      <w:pPr>
        <w:spacing w:line="360" w:lineRule="auto"/>
        <w:ind w:firstLine="480" w:firstLineChars="200"/>
        <w:rPr>
          <w:rFonts w:hAnsi="Times New Roman" w:eastAsia="宋体"/>
          <w:szCs w:val="21"/>
        </w:rPr>
      </w:pPr>
      <w:r>
        <w:rPr>
          <w:rFonts w:hAnsi="Times New Roman" w:eastAsia="宋体"/>
          <w:szCs w:val="21"/>
        </w:rPr>
        <w:t>由于爬行类对人类威胁的感知能力和迅速逃避能力较强，可以有效避免直接伤害。它们将由原来的生境转移到远离施工区的相似生境生活，虽然会造成施工区周边动物密度的减少，但不会造成整个评价区域爬行动物物种种类的减少。</w:t>
      </w:r>
    </w:p>
    <w:p>
      <w:pPr>
        <w:spacing w:line="360" w:lineRule="auto"/>
        <w:ind w:firstLine="480" w:firstLineChars="200"/>
        <w:rPr>
          <w:rFonts w:hAnsi="Times New Roman" w:eastAsia="宋体"/>
          <w:szCs w:val="21"/>
        </w:rPr>
      </w:pPr>
      <w:r>
        <w:rPr>
          <w:rFonts w:hAnsi="Times New Roman" w:eastAsia="宋体"/>
          <w:szCs w:val="21"/>
        </w:rPr>
        <w:t>因此，工程建设对爬行类动物的生境和活动产生分割、分离及阻隔影响较小。</w:t>
      </w:r>
    </w:p>
    <w:p>
      <w:pPr>
        <w:spacing w:line="360" w:lineRule="auto"/>
        <w:ind w:firstLine="480" w:firstLineChars="200"/>
        <w:rPr>
          <w:rFonts w:hAnsi="Times New Roman" w:eastAsia="宋体"/>
          <w:szCs w:val="21"/>
        </w:rPr>
      </w:pPr>
      <w:r>
        <w:rPr>
          <w:rFonts w:hAnsi="Times New Roman" w:eastAsia="宋体"/>
          <w:szCs w:val="21"/>
          <w:lang w:eastAsia="zh-CN"/>
        </w:rPr>
        <w:t>（3）</w:t>
      </w:r>
      <w:r>
        <w:rPr>
          <w:rFonts w:hAnsi="Times New Roman" w:eastAsia="宋体"/>
          <w:szCs w:val="21"/>
        </w:rPr>
        <w:t>对鸟类的影响预测</w:t>
      </w:r>
    </w:p>
    <w:p>
      <w:pPr>
        <w:spacing w:line="360" w:lineRule="auto"/>
        <w:ind w:firstLine="480"/>
        <w:rPr>
          <w:rFonts w:hAnsi="Times New Roman" w:eastAsia="宋体"/>
          <w:szCs w:val="21"/>
        </w:rPr>
      </w:pPr>
      <w:r>
        <w:rPr>
          <w:rFonts w:hAnsi="Times New Roman" w:eastAsia="宋体"/>
          <w:szCs w:val="21"/>
        </w:rPr>
        <w:t>施工期间，施工噪声、震动和人员活动，对鸟类惊扰较大，影响鸟类在施工区域内的正常觅食、停息等活动，它们可能被迫远离施工区域，使施工区域暂时失去鸟类适宜栖息地功能。但鸟类能凭借自身的飞翔能力离开施工影响区域，寻找适宜的栖息地。</w:t>
      </w:r>
    </w:p>
    <w:p>
      <w:pPr>
        <w:spacing w:line="360" w:lineRule="auto"/>
        <w:ind w:firstLine="480" w:firstLineChars="200"/>
        <w:rPr>
          <w:rFonts w:hAnsi="Times New Roman" w:eastAsia="宋体"/>
          <w:szCs w:val="21"/>
        </w:rPr>
      </w:pPr>
      <w:r>
        <w:rPr>
          <w:rFonts w:hAnsi="Times New Roman" w:eastAsia="宋体"/>
          <w:szCs w:val="21"/>
        </w:rPr>
        <w:t>只要施工过程没有影响到鸟类集中的栖息或繁殖地，就不会影响评价区鸟类种群及其长期生存繁衍的环境。调查得知评价区范围内没有鸟类集中的栖息或繁殖地，更没有保护鸟种的固定繁殖地。工程影响区域分布的雀形目鸟类等多在灌丛和高大乔木上营巢繁殖。由于施工的干扰，可能会导致这些鸟类向邻近地区迁移远离施工区范围。另外，外来人员可能对鸟类进行网捕或下套，直接危及其生存。</w:t>
      </w:r>
    </w:p>
    <w:p>
      <w:pPr>
        <w:spacing w:line="360" w:lineRule="auto"/>
        <w:ind w:firstLine="480" w:firstLineChars="200"/>
        <w:rPr>
          <w:rFonts w:hAnsi="Times New Roman" w:eastAsia="宋体"/>
          <w:szCs w:val="21"/>
        </w:rPr>
      </w:pPr>
      <w:r>
        <w:rPr>
          <w:rFonts w:hAnsi="Times New Roman" w:eastAsia="宋体"/>
          <w:szCs w:val="21"/>
        </w:rPr>
        <w:t>由于鸟类具有</w:t>
      </w:r>
      <w:r>
        <w:rPr>
          <w:rFonts w:hint="eastAsia" w:hAnsi="Times New Roman" w:eastAsia="宋体"/>
          <w:szCs w:val="21"/>
          <w:lang w:val="en-US" w:eastAsia="zh-CN"/>
        </w:rPr>
        <w:t>较</w:t>
      </w:r>
      <w:r>
        <w:rPr>
          <w:rFonts w:hAnsi="Times New Roman" w:eastAsia="宋体"/>
          <w:szCs w:val="21"/>
        </w:rPr>
        <w:t>强的迁移能力，无论对食物的寻觅，饮水的获得，工程建设对它们都没有太大的影响，但若人类捕捉，影响较大。因此，施工对鸟类影响较小。</w:t>
      </w:r>
    </w:p>
    <w:p>
      <w:pPr>
        <w:spacing w:line="360" w:lineRule="auto"/>
        <w:ind w:firstLine="480" w:firstLineChars="200"/>
        <w:rPr>
          <w:rFonts w:hAnsi="Times New Roman" w:eastAsia="宋体"/>
          <w:szCs w:val="21"/>
        </w:rPr>
      </w:pPr>
      <w:r>
        <w:rPr>
          <w:rFonts w:hAnsi="Times New Roman" w:eastAsia="宋体"/>
          <w:szCs w:val="21"/>
        </w:rPr>
        <w:t xml:space="preserve"> </w:t>
      </w:r>
      <w:r>
        <w:rPr>
          <w:rFonts w:hAnsi="Times New Roman" w:eastAsia="宋体"/>
          <w:szCs w:val="21"/>
          <w:lang w:eastAsia="zh-CN"/>
        </w:rPr>
        <w:t>（4）</w:t>
      </w:r>
      <w:r>
        <w:rPr>
          <w:rFonts w:hAnsi="Times New Roman" w:eastAsia="宋体"/>
          <w:szCs w:val="21"/>
        </w:rPr>
        <w:t>兽类</w:t>
      </w:r>
    </w:p>
    <w:p>
      <w:pPr>
        <w:spacing w:line="360" w:lineRule="auto"/>
        <w:ind w:firstLine="480" w:firstLineChars="200"/>
        <w:rPr>
          <w:rFonts w:hAnsi="Times New Roman" w:eastAsia="宋体"/>
          <w:szCs w:val="21"/>
        </w:rPr>
      </w:pPr>
      <w:r>
        <w:rPr>
          <w:rFonts w:hAnsi="Times New Roman" w:eastAsia="宋体"/>
          <w:szCs w:val="21"/>
        </w:rPr>
        <w:t>评价区人类活动较强，以小型兽类为主，主要有褐家鼠、草兔、小家鼠、社鼠等小型兽类，无中大型的野生兽类。</w:t>
      </w:r>
    </w:p>
    <w:p>
      <w:pPr>
        <w:spacing w:line="360" w:lineRule="auto"/>
        <w:ind w:firstLine="480" w:firstLineChars="200"/>
        <w:rPr>
          <w:rFonts w:hAnsi="Times New Roman" w:eastAsia="宋体"/>
          <w:szCs w:val="21"/>
        </w:rPr>
      </w:pPr>
      <w:r>
        <w:rPr>
          <w:rFonts w:hAnsi="Times New Roman" w:eastAsia="宋体"/>
          <w:szCs w:val="21"/>
        </w:rPr>
        <w:t>采矿、车辆运输产生的噪音和震动；生产生活区、工业场地等临时或永久占地以及人为活动的干扰对部分动物有一定程度的影响。</w:t>
      </w:r>
    </w:p>
    <w:p>
      <w:pPr>
        <w:spacing w:line="360" w:lineRule="auto"/>
        <w:ind w:firstLine="480" w:firstLineChars="200"/>
        <w:rPr>
          <w:rFonts w:hAnsi="Times New Roman" w:eastAsia="宋体"/>
          <w:szCs w:val="21"/>
        </w:rPr>
      </w:pPr>
      <w:r>
        <w:rPr>
          <w:rFonts w:hAnsi="Times New Roman" w:eastAsia="宋体"/>
          <w:szCs w:val="21"/>
        </w:rPr>
        <w:t>2</w:t>
      </w:r>
      <w:r>
        <w:rPr>
          <w:rFonts w:hAnsi="Times New Roman" w:eastAsia="宋体"/>
          <w:szCs w:val="21"/>
          <w:lang w:eastAsia="zh-CN"/>
        </w:rPr>
        <w:t>、</w:t>
      </w:r>
      <w:r>
        <w:rPr>
          <w:rFonts w:hAnsi="Times New Roman" w:eastAsia="宋体"/>
          <w:szCs w:val="21"/>
        </w:rPr>
        <w:t>升级改造后建设期对野生动物的影响回顾</w:t>
      </w:r>
    </w:p>
    <w:p>
      <w:pPr>
        <w:spacing w:line="360" w:lineRule="auto"/>
        <w:ind w:firstLine="480" w:firstLineChars="200"/>
        <w:rPr>
          <w:rFonts w:hAnsi="Times New Roman" w:eastAsia="宋体"/>
          <w:szCs w:val="21"/>
        </w:rPr>
      </w:pPr>
      <w:r>
        <w:rPr>
          <w:rFonts w:hAnsi="Times New Roman" w:eastAsia="宋体"/>
          <w:szCs w:val="21"/>
        </w:rPr>
        <w:t>本次升级改造无新增占地，不会因工程建设占用土地资源，减少动物的栖息地和生存环境，迫使某一区域的种群密度有所改变。也不会因工程建设会破坏地表植被，影响动物取食、繁殖等行为，使野生动物原有的栖息生境破坏或消失。</w:t>
      </w:r>
    </w:p>
    <w:p>
      <w:pPr>
        <w:spacing w:line="360" w:lineRule="auto"/>
        <w:ind w:firstLine="480" w:firstLineChars="200"/>
        <w:rPr>
          <w:rFonts w:hAnsi="Times New Roman" w:eastAsia="宋体"/>
          <w:szCs w:val="21"/>
          <w:lang w:eastAsia="zh-CN"/>
        </w:rPr>
      </w:pPr>
      <w:r>
        <w:rPr>
          <w:rFonts w:hAnsi="Times New Roman" w:eastAsia="宋体"/>
          <w:szCs w:val="21"/>
        </w:rPr>
        <w:t>本项目工程建设期对动物的影响主要体现在以下几个方面：</w:t>
      </w:r>
    </w:p>
    <w:p>
      <w:pPr>
        <w:spacing w:line="360" w:lineRule="auto"/>
        <w:ind w:firstLine="480" w:firstLineChars="200"/>
        <w:rPr>
          <w:rFonts w:hAnsi="Times New Roman" w:eastAsia="宋体"/>
          <w:szCs w:val="21"/>
          <w:lang w:eastAsia="zh-CN"/>
        </w:rPr>
      </w:pPr>
      <w:r>
        <w:rPr>
          <w:rFonts w:hAnsi="Times New Roman" w:eastAsia="宋体"/>
          <w:szCs w:val="21"/>
        </w:rPr>
        <w:t>1）施工人员人为活动产生的生活垃圾，施工产生的工业废渣，弃渣等，以及人为对动物的捕杀对动物的影响</w:t>
      </w:r>
      <w:r>
        <w:rPr>
          <w:rFonts w:hint="eastAsia" w:hAnsi="Times New Roman" w:eastAsia="宋体"/>
          <w:szCs w:val="21"/>
        </w:rPr>
        <w:t>。</w:t>
      </w:r>
    </w:p>
    <w:p>
      <w:pPr>
        <w:spacing w:line="360" w:lineRule="auto"/>
        <w:ind w:firstLine="480" w:firstLineChars="200"/>
        <w:rPr>
          <w:rFonts w:hAnsi="Times New Roman" w:eastAsia="宋体"/>
          <w:szCs w:val="21"/>
          <w:lang w:eastAsia="zh-CN"/>
        </w:rPr>
      </w:pPr>
      <w:r>
        <w:rPr>
          <w:rFonts w:hAnsi="Times New Roman" w:eastAsia="宋体"/>
          <w:szCs w:val="21"/>
        </w:rPr>
        <w:t>2）施工中产生的噪音，施工噪音的影响主要表现为在对动物活动节律上的影响，特别是繁殖季节，可能会干扰其繁殖行为从而影响其成功繁殖；这些噪音也会惊扰施工作业区周边的野生动物，使它们无法正常觅食、栖息，被迫逃离。但是此次矿区升级改造中有对器械设备的升级，</w:t>
      </w:r>
      <w:r>
        <w:rPr>
          <w:rFonts w:hAnsi="Times New Roman" w:eastAsia="宋体"/>
          <w:b/>
          <w:bCs/>
          <w:szCs w:val="21"/>
        </w:rPr>
        <w:t>在一定层面上会减弱矿区施工的噪音</w:t>
      </w:r>
      <w:r>
        <w:rPr>
          <w:rFonts w:hAnsi="Times New Roman" w:eastAsia="宋体"/>
          <w:szCs w:val="21"/>
        </w:rPr>
        <w:t>。</w:t>
      </w:r>
    </w:p>
    <w:p>
      <w:pPr>
        <w:spacing w:line="360" w:lineRule="auto"/>
        <w:ind w:firstLine="480" w:firstLineChars="200"/>
        <w:rPr>
          <w:rFonts w:hAnsi="Times New Roman" w:eastAsia="宋体"/>
          <w:szCs w:val="21"/>
        </w:rPr>
      </w:pPr>
      <w:r>
        <w:rPr>
          <w:rFonts w:hAnsi="Times New Roman" w:eastAsia="宋体"/>
          <w:szCs w:val="21"/>
        </w:rPr>
        <w:t>3）施工过程中灯光照明，将可能干扰夜行性动物的活动节律，并改变其生活习性，但此次施工期仅为升级改造设备更换，因此施工期很短，在运营期基本不会晚上开采，因此灯光照明的影响较小。</w:t>
      </w:r>
    </w:p>
    <w:p>
      <w:pPr>
        <w:pStyle w:val="14"/>
        <w:overflowPunct w:val="0"/>
        <w:spacing w:line="360" w:lineRule="auto"/>
        <w:rPr>
          <w:rFonts w:ascii="Times New Roman" w:hAnsi="Times New Roman"/>
          <w:b/>
          <w:bCs w:val="0"/>
          <w:sz w:val="24"/>
        </w:rPr>
      </w:pPr>
      <w:r>
        <w:rPr>
          <w:rFonts w:ascii="Times New Roman" w:hAnsi="Times New Roman"/>
          <w:b/>
          <w:bCs w:val="0"/>
          <w:sz w:val="24"/>
        </w:rPr>
        <w:t>4.</w:t>
      </w:r>
      <w:r>
        <w:rPr>
          <w:rFonts w:ascii="Times New Roman" w:hAnsi="Times New Roman"/>
          <w:b/>
          <w:bCs w:val="0"/>
          <w:sz w:val="24"/>
          <w:lang w:eastAsia="zh-CN"/>
        </w:rPr>
        <w:t>3</w:t>
      </w:r>
      <w:r>
        <w:rPr>
          <w:rFonts w:ascii="Times New Roman" w:hAnsi="Times New Roman"/>
          <w:b/>
          <w:bCs w:val="0"/>
          <w:sz w:val="24"/>
        </w:rPr>
        <w:t>.</w:t>
      </w:r>
      <w:r>
        <w:rPr>
          <w:rFonts w:ascii="Times New Roman" w:hAnsi="Times New Roman"/>
          <w:b/>
          <w:bCs w:val="0"/>
          <w:sz w:val="24"/>
          <w:lang w:eastAsia="zh-CN"/>
        </w:rPr>
        <w:t>4</w:t>
      </w:r>
      <w:r>
        <w:rPr>
          <w:rFonts w:ascii="Times New Roman" w:hAnsi="Times New Roman"/>
          <w:b/>
          <w:bCs w:val="0"/>
          <w:sz w:val="24"/>
        </w:rPr>
        <w:t>.</w:t>
      </w:r>
      <w:r>
        <w:rPr>
          <w:rFonts w:ascii="Times New Roman" w:hAnsi="Times New Roman"/>
          <w:b/>
          <w:bCs w:val="0"/>
          <w:sz w:val="24"/>
          <w:lang w:eastAsia="zh-CN"/>
        </w:rPr>
        <w:t>2</w:t>
      </w:r>
      <w:r>
        <w:rPr>
          <w:rFonts w:ascii="Times New Roman" w:hAnsi="Times New Roman"/>
          <w:b/>
          <w:bCs w:val="0"/>
          <w:sz w:val="24"/>
        </w:rPr>
        <w:t xml:space="preserve"> </w:t>
      </w:r>
      <w:r>
        <w:rPr>
          <w:rFonts w:ascii="Times New Roman" w:hAnsi="Times New Roman"/>
          <w:b/>
          <w:bCs w:val="0"/>
          <w:sz w:val="24"/>
          <w:lang w:eastAsia="zh-CN"/>
        </w:rPr>
        <w:t>运营</w:t>
      </w:r>
      <w:r>
        <w:rPr>
          <w:rFonts w:ascii="Times New Roman" w:hAnsi="Times New Roman"/>
          <w:b/>
          <w:bCs w:val="0"/>
          <w:sz w:val="24"/>
        </w:rPr>
        <w:t xml:space="preserve">期对野生动物的影响 </w:t>
      </w:r>
    </w:p>
    <w:p>
      <w:pPr>
        <w:spacing w:line="360" w:lineRule="auto"/>
        <w:ind w:firstLine="480" w:firstLineChars="200"/>
        <w:rPr>
          <w:rFonts w:hAnsi="Times New Roman" w:eastAsia="宋体"/>
          <w:szCs w:val="21"/>
        </w:rPr>
      </w:pPr>
      <w:r>
        <w:rPr>
          <w:rFonts w:hAnsi="Times New Roman" w:eastAsia="宋体"/>
          <w:szCs w:val="21"/>
        </w:rPr>
        <w:t>采矿期直接影响因素：矿区道路</w:t>
      </w:r>
      <w:r>
        <w:rPr>
          <w:rFonts w:hAnsi="Times New Roman" w:eastAsia="宋体"/>
          <w:szCs w:val="21"/>
          <w:lang w:bidi="ar"/>
        </w:rPr>
        <w:t>、平硐口、风井口、矿山辅助设施、生产生活区、工业场地等工程</w:t>
      </w:r>
      <w:r>
        <w:rPr>
          <w:rFonts w:hAnsi="Times New Roman" w:eastAsia="宋体"/>
          <w:szCs w:val="21"/>
        </w:rPr>
        <w:t>造成的临时和永久占地，对野生动物栖息地和活动范围造成直接影响，还存在震动、噪声、扬尘等间接影响。主要影响区域为工程施工占地区周边，对评价区域其他部分影响微弱。</w:t>
      </w:r>
    </w:p>
    <w:p>
      <w:pPr>
        <w:topLinePunct/>
        <w:spacing w:line="360" w:lineRule="auto"/>
        <w:ind w:firstLine="480" w:firstLineChars="200"/>
        <w:rPr>
          <w:rFonts w:hAnsi="Times New Roman" w:eastAsia="宋体"/>
        </w:rPr>
      </w:pPr>
      <w:r>
        <w:rPr>
          <w:rFonts w:hAnsi="Times New Roman" w:eastAsia="宋体"/>
        </w:rPr>
        <w:t>采矿期对野生动物的影响主要体现在生产中的开采、爆破以及产品运输产生的噪声、振动、灯光以及粉尘，噪声对动物的影响主要表现在爆破过程中产生的噪声，噪声会影响动物的觅食、求偶等活动；振动主要是爆破以及产品运输过程中产生的振动，地面的振动主要影响穴居以及在路旁灌草丛中活动的小动物，会对他们产生一定的惊扰；灯光主要体现在夜晚产品运输时运输车辆的灯光，这些灯光可能会对夜间活动的动物造成影响；粉尘主要是爆破产生的扬尘，会悬浮在空中，对鸟类的活动造成影响。但对于鸟类而言，它们都具有一定迁移能力，食物来源也呈多样化趋势，所以采矿期不会对它们的栖息造成大的威胁。</w:t>
      </w:r>
    </w:p>
    <w:p>
      <w:pPr>
        <w:spacing w:line="360" w:lineRule="auto"/>
        <w:ind w:firstLine="480" w:firstLineChars="200"/>
        <w:rPr>
          <w:rFonts w:hAnsi="Times New Roman" w:eastAsia="宋体"/>
          <w:szCs w:val="21"/>
        </w:rPr>
      </w:pPr>
      <w:r>
        <w:rPr>
          <w:rFonts w:hAnsi="Times New Roman" w:eastAsia="宋体"/>
          <w:szCs w:val="21"/>
        </w:rPr>
        <w:t>项目建成运营多年，已经形成一道人工屏障，此次增改不会新占土地，再形成新的人工屏障，且对于矿区周围的环境已经适应，因此此次运营开采对野生动物的影响较小。另一方面，此次项目整改，会对相关器械进行更换，会在一定程度上降低矿区开采运营过程中的噪声，对野生动物的影响会减小。</w:t>
      </w:r>
    </w:p>
    <w:p>
      <w:pPr>
        <w:spacing w:line="360" w:lineRule="auto"/>
        <w:ind w:firstLine="480" w:firstLineChars="200"/>
        <w:rPr>
          <w:rFonts w:hAnsi="Times New Roman" w:eastAsia="宋体"/>
          <w:szCs w:val="24"/>
        </w:rPr>
      </w:pPr>
      <w:r>
        <w:rPr>
          <w:rFonts w:hAnsi="Times New Roman" w:eastAsia="宋体"/>
          <w:szCs w:val="21"/>
        </w:rPr>
        <w:t>总之，营运期间会直接或间接地对野生动物产生一定的影响，但影响较小</w:t>
      </w:r>
      <w:r>
        <w:rPr>
          <w:rFonts w:hAnsi="Times New Roman" w:eastAsia="宋体"/>
          <w:szCs w:val="24"/>
        </w:rPr>
        <w:t>。</w:t>
      </w:r>
    </w:p>
    <w:p>
      <w:pPr>
        <w:pStyle w:val="14"/>
        <w:overflowPunct w:val="0"/>
        <w:spacing w:line="360" w:lineRule="auto"/>
        <w:rPr>
          <w:rFonts w:ascii="Times New Roman" w:hAnsi="Times New Roman"/>
          <w:b/>
          <w:bCs w:val="0"/>
          <w:sz w:val="24"/>
        </w:rPr>
      </w:pPr>
      <w:r>
        <w:rPr>
          <w:rFonts w:ascii="Times New Roman" w:hAnsi="Times New Roman"/>
          <w:b/>
          <w:bCs w:val="0"/>
          <w:sz w:val="24"/>
        </w:rPr>
        <w:t>4.</w:t>
      </w:r>
      <w:r>
        <w:rPr>
          <w:rFonts w:ascii="Times New Roman" w:hAnsi="Times New Roman"/>
          <w:b/>
          <w:bCs w:val="0"/>
          <w:sz w:val="24"/>
          <w:lang w:eastAsia="zh-CN"/>
        </w:rPr>
        <w:t>3</w:t>
      </w:r>
      <w:r>
        <w:rPr>
          <w:rFonts w:ascii="Times New Roman" w:hAnsi="Times New Roman"/>
          <w:b/>
          <w:bCs w:val="0"/>
          <w:sz w:val="24"/>
        </w:rPr>
        <w:t>.</w:t>
      </w:r>
      <w:r>
        <w:rPr>
          <w:rFonts w:ascii="Times New Roman" w:hAnsi="Times New Roman"/>
          <w:b/>
          <w:bCs w:val="0"/>
          <w:sz w:val="24"/>
          <w:lang w:eastAsia="zh-CN"/>
        </w:rPr>
        <w:t>4</w:t>
      </w:r>
      <w:r>
        <w:rPr>
          <w:rFonts w:ascii="Times New Roman" w:hAnsi="Times New Roman"/>
          <w:b/>
          <w:bCs w:val="0"/>
          <w:sz w:val="24"/>
        </w:rPr>
        <w:t>.</w:t>
      </w:r>
      <w:r>
        <w:rPr>
          <w:rFonts w:ascii="Times New Roman" w:hAnsi="Times New Roman"/>
          <w:b/>
          <w:bCs w:val="0"/>
          <w:sz w:val="24"/>
          <w:lang w:eastAsia="zh-CN"/>
        </w:rPr>
        <w:t>3</w:t>
      </w:r>
      <w:r>
        <w:rPr>
          <w:rFonts w:ascii="Times New Roman" w:hAnsi="Times New Roman"/>
          <w:b/>
          <w:bCs w:val="0"/>
          <w:sz w:val="24"/>
        </w:rPr>
        <w:t xml:space="preserve"> 闭矿期对野生动物的影响 </w:t>
      </w:r>
    </w:p>
    <w:p>
      <w:pPr>
        <w:spacing w:line="360" w:lineRule="auto"/>
        <w:ind w:firstLine="480" w:firstLineChars="200"/>
        <w:rPr>
          <w:rFonts w:hAnsi="Times New Roman" w:eastAsia="宋体"/>
          <w:szCs w:val="21"/>
        </w:rPr>
      </w:pPr>
      <w:r>
        <w:rPr>
          <w:rFonts w:hAnsi="Times New Roman" w:eastAsia="宋体"/>
          <w:szCs w:val="21"/>
        </w:rPr>
        <w:t>闭矿期主要指矿山开采已经结束，矿山已没有开采或利用价值而废弃以后的时段。主要影响因素为开采区进行填埋、植被恢复或复耕等活动，影响动物包括两栖类物种、爬行类物种、小型兽类物种和部分鸟类。闭矿期活动结束后，随着时间的流逝，植被恢复或复耕完成，对动物的影响也会逐步降低直至恢复到开采前的状态。</w:t>
      </w:r>
    </w:p>
    <w:p>
      <w:pPr>
        <w:pStyle w:val="14"/>
        <w:overflowPunct w:val="0"/>
        <w:spacing w:line="360" w:lineRule="auto"/>
        <w:rPr>
          <w:rFonts w:ascii="Times New Roman" w:hAnsi="Times New Roman"/>
          <w:b/>
          <w:bCs w:val="0"/>
          <w:sz w:val="24"/>
        </w:rPr>
      </w:pPr>
      <w:r>
        <w:rPr>
          <w:rFonts w:ascii="Times New Roman" w:hAnsi="Times New Roman"/>
          <w:b/>
          <w:bCs w:val="0"/>
          <w:sz w:val="24"/>
        </w:rPr>
        <w:t>4.</w:t>
      </w:r>
      <w:r>
        <w:rPr>
          <w:rFonts w:ascii="Times New Roman" w:hAnsi="Times New Roman"/>
          <w:b/>
          <w:bCs w:val="0"/>
          <w:sz w:val="24"/>
          <w:lang w:eastAsia="zh-CN"/>
        </w:rPr>
        <w:t>3</w:t>
      </w:r>
      <w:r>
        <w:rPr>
          <w:rFonts w:ascii="Times New Roman" w:hAnsi="Times New Roman"/>
          <w:b/>
          <w:bCs w:val="0"/>
          <w:sz w:val="24"/>
        </w:rPr>
        <w:t>.</w:t>
      </w:r>
      <w:r>
        <w:rPr>
          <w:rFonts w:ascii="Times New Roman" w:hAnsi="Times New Roman"/>
          <w:b/>
          <w:bCs w:val="0"/>
          <w:sz w:val="24"/>
          <w:lang w:eastAsia="zh-CN"/>
        </w:rPr>
        <w:t>4</w:t>
      </w:r>
      <w:r>
        <w:rPr>
          <w:rFonts w:ascii="Times New Roman" w:hAnsi="Times New Roman"/>
          <w:b/>
          <w:bCs w:val="0"/>
          <w:sz w:val="24"/>
        </w:rPr>
        <w:t>.</w:t>
      </w:r>
      <w:r>
        <w:rPr>
          <w:rFonts w:ascii="Times New Roman" w:hAnsi="Times New Roman"/>
          <w:b/>
          <w:bCs w:val="0"/>
          <w:sz w:val="24"/>
          <w:lang w:eastAsia="zh-CN"/>
        </w:rPr>
        <w:t>4</w:t>
      </w:r>
      <w:r>
        <w:rPr>
          <w:rFonts w:ascii="Times New Roman" w:hAnsi="Times New Roman"/>
          <w:b/>
          <w:bCs w:val="0"/>
          <w:sz w:val="24"/>
        </w:rPr>
        <w:t xml:space="preserve"> 对保护动物的影响 </w:t>
      </w:r>
    </w:p>
    <w:p>
      <w:pPr>
        <w:spacing w:line="360" w:lineRule="auto"/>
        <w:ind w:firstLine="480" w:firstLineChars="200"/>
        <w:rPr>
          <w:rFonts w:hAnsi="Times New Roman" w:eastAsia="宋体"/>
          <w:szCs w:val="21"/>
          <w:lang w:bidi="ar"/>
        </w:rPr>
      </w:pPr>
      <w:r>
        <w:rPr>
          <w:rFonts w:hAnsi="Times New Roman" w:eastAsia="宋体"/>
          <w:szCs w:val="21"/>
          <w:lang w:bidi="ar"/>
        </w:rPr>
        <w:t>在本次陆生动物调查中，评价范围</w:t>
      </w:r>
      <w:r>
        <w:rPr>
          <w:rFonts w:hint="eastAsia" w:hAnsi="Times New Roman" w:eastAsia="宋体"/>
          <w:szCs w:val="21"/>
          <w:lang w:eastAsia="zh-CN" w:bidi="ar"/>
        </w:rPr>
        <w:t>发现有</w:t>
      </w:r>
      <w:r>
        <w:rPr>
          <w:rFonts w:hAnsi="Times New Roman" w:eastAsia="宋体"/>
          <w:szCs w:val="21"/>
          <w:lang w:bidi="ar"/>
        </w:rPr>
        <w:t>国务院2021年1月批准的《国家重点保护野生动物名录》中的物种</w:t>
      </w:r>
      <w:r>
        <w:rPr>
          <w:rFonts w:hint="eastAsia" w:hAnsi="Times New Roman" w:eastAsia="宋体"/>
          <w:szCs w:val="21"/>
          <w:lang w:eastAsia="zh-CN" w:bidi="ar"/>
        </w:rPr>
        <w:t>1种</w:t>
      </w:r>
      <w:r>
        <w:rPr>
          <w:rFonts w:hAnsi="Times New Roman" w:eastAsia="宋体"/>
          <w:szCs w:val="21"/>
          <w:lang w:bidi="ar"/>
        </w:rPr>
        <w:t>。</w:t>
      </w:r>
    </w:p>
    <w:p>
      <w:pPr>
        <w:spacing w:line="360" w:lineRule="auto"/>
        <w:ind w:firstLine="480" w:firstLineChars="200"/>
        <w:rPr>
          <w:rFonts w:hAnsi="Times New Roman" w:eastAsia="宋体"/>
          <w:szCs w:val="21"/>
          <w:lang w:bidi="ar"/>
        </w:rPr>
      </w:pPr>
      <w:r>
        <w:rPr>
          <w:rFonts w:hAnsi="Times New Roman" w:eastAsia="宋体"/>
          <w:szCs w:val="21"/>
          <w:lang w:bidi="ar"/>
        </w:rPr>
        <w:t>评价区中的</w:t>
      </w:r>
      <w:r>
        <w:rPr>
          <w:rFonts w:hAnsi="Times New Roman" w:eastAsia="宋体"/>
          <w:szCs w:val="21"/>
          <w:lang w:eastAsia="zh-CN" w:bidi="ar"/>
        </w:rPr>
        <w:t>68</w:t>
      </w:r>
      <w:r>
        <w:rPr>
          <w:rFonts w:hAnsi="Times New Roman" w:eastAsia="宋体"/>
          <w:szCs w:val="21"/>
          <w:lang w:bidi="ar"/>
        </w:rPr>
        <w:t>种陆生动物有</w:t>
      </w:r>
      <w:r>
        <w:rPr>
          <w:rFonts w:hAnsi="Times New Roman" w:eastAsia="宋体"/>
          <w:szCs w:val="21"/>
          <w:lang w:eastAsia="zh-CN" w:bidi="ar"/>
        </w:rPr>
        <w:t>6</w:t>
      </w:r>
      <w:r>
        <w:rPr>
          <w:rFonts w:hAnsi="Times New Roman" w:eastAsia="宋体"/>
          <w:szCs w:val="21"/>
          <w:lang w:bidi="ar"/>
        </w:rPr>
        <w:t>种</w:t>
      </w:r>
      <w:r>
        <w:rPr>
          <w:rFonts w:hAnsi="Times New Roman" w:eastAsia="宋体"/>
          <w:szCs w:val="21"/>
          <w:lang w:eastAsia="zh-CN" w:bidi="ar"/>
        </w:rPr>
        <w:t>重点</w:t>
      </w:r>
      <w:r>
        <w:rPr>
          <w:rFonts w:hAnsi="Times New Roman" w:eastAsia="宋体"/>
          <w:szCs w:val="21"/>
          <w:lang w:bidi="ar"/>
        </w:rPr>
        <w:t>野生动物，包括</w:t>
      </w:r>
      <w:r>
        <w:rPr>
          <w:rFonts w:hAnsi="Times New Roman" w:eastAsia="宋体"/>
          <w:szCs w:val="21"/>
          <w:lang w:eastAsia="zh-CN" w:bidi="ar"/>
        </w:rPr>
        <w:t>易危动物3种（乌梢蛇、王锦蛇、黑眉锦蛇）。</w:t>
      </w:r>
      <w:r>
        <w:rPr>
          <w:rFonts w:hAnsi="Times New Roman" w:eastAsia="宋体"/>
          <w:szCs w:val="21"/>
          <w:lang w:bidi="ar"/>
        </w:rPr>
        <w:t>且据调查和查阅资料，评价范围内有国家Ⅱ级重点保护动物</w:t>
      </w:r>
      <w:r>
        <w:rPr>
          <w:rFonts w:hAnsi="Times New Roman" w:eastAsia="宋体"/>
          <w:szCs w:val="21"/>
          <w:lang w:eastAsia="zh-CN" w:bidi="ar"/>
        </w:rPr>
        <w:t>1</w:t>
      </w:r>
      <w:r>
        <w:rPr>
          <w:rFonts w:hAnsi="Times New Roman" w:eastAsia="宋体"/>
          <w:szCs w:val="21"/>
          <w:lang w:bidi="ar"/>
        </w:rPr>
        <w:t>种</w:t>
      </w:r>
      <w:r>
        <w:rPr>
          <w:rFonts w:hAnsi="Times New Roman" w:eastAsia="宋体"/>
          <w:szCs w:val="21"/>
          <w:lang w:eastAsia="zh-CN" w:bidi="ar"/>
        </w:rPr>
        <w:t>（凤头鹰）</w:t>
      </w:r>
      <w:r>
        <w:rPr>
          <w:rFonts w:hAnsi="Times New Roman" w:eastAsia="宋体"/>
          <w:szCs w:val="21"/>
          <w:lang w:bidi="ar"/>
        </w:rPr>
        <w:t>。</w:t>
      </w:r>
      <w:r>
        <w:rPr>
          <w:rFonts w:hAnsi="Times New Roman" w:eastAsia="宋体"/>
          <w:szCs w:val="21"/>
          <w:lang w:eastAsia="zh-CN" w:bidi="ar"/>
        </w:rPr>
        <w:t>评价区内的保护鸟类均在中国广泛分布，鸟类多见于山林中，评价区内的国际</w:t>
      </w:r>
      <w:r>
        <w:rPr>
          <w:rFonts w:hAnsi="Times New Roman" w:eastAsia="宋体"/>
          <w:szCs w:val="21"/>
          <w:lang w:bidi="ar"/>
        </w:rPr>
        <w:t>Ⅱ</w:t>
      </w:r>
      <w:r>
        <w:rPr>
          <w:rFonts w:hAnsi="Times New Roman" w:eastAsia="宋体"/>
          <w:szCs w:val="21"/>
          <w:lang w:eastAsia="zh-CN" w:bidi="ar"/>
        </w:rPr>
        <w:t>级保护动物凤头鹰在中国为无危物种，凤头鹰多见于山林中。</w:t>
      </w:r>
      <w:r>
        <w:rPr>
          <w:rFonts w:hAnsi="Times New Roman" w:eastAsia="宋体"/>
          <w:szCs w:val="21"/>
          <w:lang w:bidi="ar"/>
        </w:rPr>
        <w:t>评价区此类生境较多，因此对</w:t>
      </w:r>
      <w:r>
        <w:rPr>
          <w:rFonts w:hAnsi="Times New Roman" w:eastAsia="宋体"/>
          <w:szCs w:val="21"/>
          <w:lang w:eastAsia="zh-CN" w:bidi="ar"/>
        </w:rPr>
        <w:t>鸟类</w:t>
      </w:r>
      <w:r>
        <w:rPr>
          <w:rFonts w:hAnsi="Times New Roman" w:eastAsia="宋体"/>
          <w:szCs w:val="21"/>
          <w:lang w:bidi="ar"/>
        </w:rPr>
        <w:t>的影响较小。由于</w:t>
      </w:r>
      <w:r>
        <w:rPr>
          <w:rFonts w:hAnsi="Times New Roman" w:eastAsia="宋体"/>
          <w:szCs w:val="21"/>
          <w:lang w:eastAsia="zh-CN" w:bidi="ar"/>
        </w:rPr>
        <w:t>凤头鹰</w:t>
      </w:r>
      <w:r>
        <w:rPr>
          <w:rFonts w:hAnsi="Times New Roman" w:eastAsia="宋体"/>
          <w:szCs w:val="21"/>
          <w:lang w:bidi="ar"/>
        </w:rPr>
        <w:t>是</w:t>
      </w:r>
      <w:r>
        <w:rPr>
          <w:rFonts w:hAnsi="Times New Roman" w:eastAsia="宋体"/>
          <w:szCs w:val="21"/>
          <w:lang w:eastAsia="zh-CN" w:bidi="ar"/>
        </w:rPr>
        <w:t>国家级</w:t>
      </w:r>
      <w:r>
        <w:rPr>
          <w:rFonts w:hAnsi="Times New Roman" w:eastAsia="宋体"/>
          <w:szCs w:val="21"/>
          <w:lang w:bidi="ar"/>
        </w:rPr>
        <w:t>保护动物，因此要约束规范工作人员的相关行为，禁止捕捉和猎杀。</w:t>
      </w:r>
      <w:r>
        <w:rPr>
          <w:rFonts w:hAnsi="Times New Roman" w:eastAsia="宋体"/>
          <w:szCs w:val="21"/>
          <w:lang w:eastAsia="zh-CN" w:bidi="ar"/>
        </w:rPr>
        <w:t>王锦蛇、黑眉锦蛇、乌梢蛇在中国分布非常广泛，从其生境特点来看，评价区有较多适合其分布的区域，从生活习性来看，其适应性强，食性广，因此项目建设对其影响也较小。因此在工程建设过程中，若遇到“危险”，它可以迅速逃离到适宜的区域中，所以本工程建设的影响对爬行类易危动物的影响较小。</w:t>
      </w:r>
    </w:p>
    <w:p>
      <w:pPr>
        <w:spacing w:line="360" w:lineRule="auto"/>
        <w:ind w:firstLine="480" w:firstLineChars="200"/>
        <w:rPr>
          <w:rFonts w:hAnsi="Times New Roman" w:eastAsia="宋体"/>
          <w:szCs w:val="21"/>
          <w:lang w:bidi="ar"/>
        </w:rPr>
      </w:pPr>
      <w:r>
        <w:rPr>
          <w:rFonts w:hAnsi="Times New Roman" w:eastAsia="宋体"/>
          <w:szCs w:val="21"/>
          <w:lang w:bidi="ar"/>
        </w:rPr>
        <w:t>综上所述，工程项目对野生动物的不利影响是短暂和局部的，在采取保护野生动物栖息地，禁止捕杀和伤害野生动物等相应措施的前提下，并向作业施工人员宣传野生动物保护相关知识，工程建设不会导致评价区内动物多样性的明显减少，局部的不利影响可以得到有效减轻、减免或消除。</w:t>
      </w:r>
    </w:p>
    <w:p>
      <w:pPr>
        <w:pStyle w:val="6"/>
        <w:rPr>
          <w:szCs w:val="22"/>
          <w:lang w:eastAsia="zh-CN"/>
        </w:rPr>
      </w:pPr>
      <w:bookmarkStart w:id="220" w:name="_Toc167095188"/>
      <w:bookmarkStart w:id="221" w:name="_Toc163812565"/>
      <w:r>
        <w:rPr>
          <w:szCs w:val="22"/>
          <w:lang w:eastAsia="zh-CN"/>
        </w:rPr>
        <w:t>4.3.5 景观影响预测与评价</w:t>
      </w:r>
      <w:bookmarkEnd w:id="220"/>
      <w:bookmarkEnd w:id="221"/>
    </w:p>
    <w:p>
      <w:pPr>
        <w:pStyle w:val="14"/>
        <w:overflowPunct w:val="0"/>
        <w:spacing w:line="360" w:lineRule="auto"/>
        <w:rPr>
          <w:rFonts w:ascii="Times New Roman" w:hAnsi="Times New Roman"/>
          <w:b/>
          <w:bCs w:val="0"/>
          <w:sz w:val="24"/>
        </w:rPr>
      </w:pPr>
      <w:r>
        <w:rPr>
          <w:rFonts w:ascii="Times New Roman" w:hAnsi="Times New Roman"/>
          <w:b/>
          <w:bCs w:val="0"/>
          <w:sz w:val="24"/>
        </w:rPr>
        <w:t>4.</w:t>
      </w:r>
      <w:r>
        <w:rPr>
          <w:rFonts w:ascii="Times New Roman" w:hAnsi="Times New Roman"/>
          <w:b/>
          <w:bCs w:val="0"/>
          <w:sz w:val="24"/>
          <w:lang w:eastAsia="zh-CN"/>
        </w:rPr>
        <w:t>3</w:t>
      </w:r>
      <w:r>
        <w:rPr>
          <w:rFonts w:ascii="Times New Roman" w:hAnsi="Times New Roman"/>
          <w:b/>
          <w:bCs w:val="0"/>
          <w:sz w:val="24"/>
        </w:rPr>
        <w:t>.</w:t>
      </w:r>
      <w:r>
        <w:rPr>
          <w:rFonts w:ascii="Times New Roman" w:hAnsi="Times New Roman"/>
          <w:b/>
          <w:bCs w:val="0"/>
          <w:sz w:val="24"/>
          <w:lang w:eastAsia="zh-CN"/>
        </w:rPr>
        <w:t>5</w:t>
      </w:r>
      <w:r>
        <w:rPr>
          <w:rFonts w:ascii="Times New Roman" w:hAnsi="Times New Roman"/>
          <w:b/>
          <w:bCs w:val="0"/>
          <w:sz w:val="24"/>
        </w:rPr>
        <w:t xml:space="preserve">.1 </w:t>
      </w:r>
      <w:r>
        <w:rPr>
          <w:rFonts w:ascii="Times New Roman" w:hAnsi="Times New Roman"/>
          <w:b/>
          <w:bCs w:val="0"/>
          <w:sz w:val="24"/>
          <w:lang w:eastAsia="zh-CN"/>
        </w:rPr>
        <w:t>景观</w:t>
      </w:r>
      <w:r>
        <w:rPr>
          <w:rFonts w:hint="eastAsia" w:ascii="Times New Roman" w:hAnsi="Times New Roman"/>
          <w:b/>
          <w:bCs w:val="0"/>
          <w:sz w:val="24"/>
          <w:lang w:eastAsia="zh-CN"/>
        </w:rPr>
        <w:t>影响</w:t>
      </w:r>
      <w:r>
        <w:rPr>
          <w:rFonts w:ascii="Times New Roman" w:hAnsi="Times New Roman"/>
          <w:b/>
          <w:bCs w:val="0"/>
          <w:sz w:val="24"/>
          <w:lang w:eastAsia="zh-CN"/>
        </w:rPr>
        <w:t>分析</w:t>
      </w:r>
      <w:r>
        <w:rPr>
          <w:rFonts w:ascii="Times New Roman" w:hAnsi="Times New Roman"/>
          <w:b/>
          <w:bCs w:val="0"/>
          <w:sz w:val="24"/>
        </w:rPr>
        <w:t xml:space="preserve"> </w:t>
      </w:r>
    </w:p>
    <w:p>
      <w:pPr>
        <w:spacing w:line="360" w:lineRule="auto"/>
        <w:ind w:firstLine="480" w:firstLineChars="200"/>
        <w:rPr>
          <w:rFonts w:hAnsi="Times New Roman" w:eastAsia="宋体"/>
          <w:szCs w:val="21"/>
        </w:rPr>
      </w:pPr>
      <w:r>
        <w:rPr>
          <w:rFonts w:hAnsi="Times New Roman" w:eastAsia="宋体"/>
          <w:szCs w:val="21"/>
        </w:rPr>
        <w:t>本工程为升级改造项目，煤矿已建部分已形成人工工矿景观。井下开采，采矿对地表生态景观没有直接影响，且地下工程、地面工程、辅助工程、公用工程为已建部分，利用原有场地，已对区域产生过破坏，景观已形成。项目升级改造主要为设备、运输、办公生活设施、储煤场、矸石仓等，对区域景观的影响不大。</w:t>
      </w:r>
    </w:p>
    <w:p>
      <w:pPr>
        <w:spacing w:line="360" w:lineRule="auto"/>
        <w:ind w:firstLine="480" w:firstLineChars="200"/>
        <w:rPr>
          <w:rFonts w:hAnsi="Times New Roman" w:eastAsia="宋体"/>
          <w:szCs w:val="21"/>
          <w:lang w:eastAsia="zh-CN"/>
        </w:rPr>
      </w:pPr>
      <w:r>
        <w:rPr>
          <w:rFonts w:hAnsi="Times New Roman" w:eastAsia="宋体"/>
          <w:szCs w:val="21"/>
        </w:rPr>
        <w:t>在项目的下一步建设过程中加强项目区绿化，外部造型应与当地环境相协调，因势就地进行建设，减少植被破坏，并做好水土保持防护措施，以避免水土流失，影响周围生态与景观环境。</w:t>
      </w:r>
    </w:p>
    <w:p>
      <w:pPr>
        <w:spacing w:line="360" w:lineRule="auto"/>
        <w:ind w:firstLine="482" w:firstLineChars="200"/>
        <w:rPr>
          <w:rFonts w:hAnsi="Times New Roman" w:eastAsia="宋体"/>
          <w:b/>
          <w:bCs/>
          <w:szCs w:val="21"/>
        </w:rPr>
      </w:pPr>
      <w:bookmarkStart w:id="222" w:name="_Toc518887390"/>
      <w:r>
        <w:rPr>
          <w:rFonts w:hint="eastAsia" w:hAnsi="Times New Roman" w:eastAsia="宋体"/>
          <w:b/>
          <w:bCs/>
          <w:szCs w:val="21"/>
          <w:lang w:eastAsia="zh-CN"/>
        </w:rPr>
        <w:t>1</w:t>
      </w:r>
      <w:r>
        <w:rPr>
          <w:rFonts w:hint="eastAsia" w:hAnsi="Times New Roman" w:eastAsia="宋体"/>
          <w:b/>
          <w:bCs/>
          <w:szCs w:val="21"/>
        </w:rPr>
        <w:t>、</w:t>
      </w:r>
      <w:r>
        <w:rPr>
          <w:rFonts w:hAnsi="Times New Roman" w:eastAsia="宋体"/>
          <w:b/>
          <w:bCs/>
          <w:szCs w:val="21"/>
        </w:rPr>
        <w:t>施工期对景观影响分析</w:t>
      </w:r>
      <w:bookmarkEnd w:id="222"/>
    </w:p>
    <w:p>
      <w:pPr>
        <w:spacing w:line="360" w:lineRule="auto"/>
        <w:ind w:firstLine="480" w:firstLineChars="200"/>
        <w:rPr>
          <w:rFonts w:hAnsi="Times New Roman" w:eastAsia="宋体"/>
          <w:szCs w:val="21"/>
        </w:rPr>
      </w:pPr>
      <w:r>
        <w:rPr>
          <w:rFonts w:hAnsi="Times New Roman" w:eastAsia="宋体"/>
          <w:szCs w:val="21"/>
        </w:rPr>
        <w:t>从景观生态学的观点来看，煤矿</w:t>
      </w:r>
      <w:r>
        <w:rPr>
          <w:rFonts w:hint="eastAsia" w:hAnsi="Times New Roman" w:eastAsia="宋体"/>
          <w:szCs w:val="21"/>
          <w:lang w:val="en-US" w:eastAsia="zh-CN"/>
        </w:rPr>
        <w:t>场</w:t>
      </w:r>
      <w:r>
        <w:rPr>
          <w:rFonts w:hAnsi="Times New Roman" w:eastAsia="宋体"/>
          <w:szCs w:val="21"/>
        </w:rPr>
        <w:t>可视作斑块。由于该矿是现有矿山，此项目是煤矿升级改造，因此工程建设从总体上对斑块总数的变化影响较小，评价区内工程对景观斑块的影响是比较小的。总体上，工程建设对评价区内河流廊道的变化基本无影响，不会改变河流廊道形状。由于工程建设</w:t>
      </w:r>
      <w:r>
        <w:rPr>
          <w:rFonts w:hint="eastAsia" w:hAnsi="Times New Roman" w:eastAsia="宋体"/>
          <w:szCs w:val="21"/>
          <w:lang w:val="en-US" w:eastAsia="zh-CN"/>
        </w:rPr>
        <w:t>范围</w:t>
      </w:r>
      <w:r>
        <w:rPr>
          <w:rFonts w:hAnsi="Times New Roman" w:eastAsia="宋体"/>
          <w:szCs w:val="21"/>
        </w:rPr>
        <w:t>在整个评价区内的比例较小，因此工程不会改变灌丛和森林作为本区景观基质的性质和地位，同样也不会改变森林、灌丛、耕地等主景观类型在评价区的地位和作用。</w:t>
      </w:r>
    </w:p>
    <w:p>
      <w:pPr>
        <w:spacing w:line="360" w:lineRule="auto"/>
        <w:ind w:firstLine="482" w:firstLineChars="200"/>
        <w:rPr>
          <w:rFonts w:hAnsi="Times New Roman" w:eastAsia="宋体"/>
          <w:b/>
          <w:bCs/>
          <w:szCs w:val="21"/>
          <w:lang w:eastAsia="zh-CN"/>
        </w:rPr>
      </w:pPr>
      <w:bookmarkStart w:id="223" w:name="_Toc518887391"/>
      <w:r>
        <w:rPr>
          <w:rFonts w:hint="eastAsia" w:hAnsi="Times New Roman" w:eastAsia="宋体"/>
          <w:b/>
          <w:bCs/>
          <w:szCs w:val="21"/>
          <w:lang w:eastAsia="zh-CN"/>
        </w:rPr>
        <w:t>2、</w:t>
      </w:r>
      <w:r>
        <w:rPr>
          <w:rFonts w:hAnsi="Times New Roman" w:eastAsia="宋体"/>
          <w:b/>
          <w:bCs/>
          <w:szCs w:val="21"/>
          <w:lang w:eastAsia="zh-CN"/>
        </w:rPr>
        <w:t>运营期对景观影响分析</w:t>
      </w:r>
      <w:bookmarkEnd w:id="223"/>
    </w:p>
    <w:p>
      <w:pPr>
        <w:spacing w:line="360" w:lineRule="auto"/>
        <w:ind w:firstLine="480" w:firstLineChars="200"/>
        <w:rPr>
          <w:rFonts w:hAnsi="Times New Roman" w:eastAsia="宋体"/>
          <w:szCs w:val="21"/>
        </w:rPr>
      </w:pPr>
      <w:r>
        <w:rPr>
          <w:rFonts w:hAnsi="Times New Roman" w:eastAsia="宋体"/>
          <w:szCs w:val="21"/>
        </w:rPr>
        <w:t>矿山开采对景观的影响主要是对矿区原自然景观和生态景观的影响，表现在工程挖填方、工业场地、排土场、运矿公路、生产生活区、工业场地等的设置，改变了原有地形、地貌，破坏地表结构，影响了地表形态的连续性和协调性；</w:t>
      </w:r>
    </w:p>
    <w:p>
      <w:pPr>
        <w:spacing w:line="360" w:lineRule="auto"/>
        <w:ind w:firstLine="480" w:firstLineChars="200"/>
        <w:rPr>
          <w:rFonts w:hAnsi="Times New Roman" w:eastAsia="宋体"/>
          <w:szCs w:val="21"/>
        </w:rPr>
      </w:pPr>
      <w:r>
        <w:rPr>
          <w:rFonts w:hAnsi="Times New Roman" w:eastAsia="宋体"/>
          <w:szCs w:val="21"/>
        </w:rPr>
        <w:t>植被、土壤及山体的破坏造成剖面表土、地表裸露，人工痕迹明显，与地表生物群落景观不和谐，影响视觉景观；</w:t>
      </w:r>
    </w:p>
    <w:p>
      <w:pPr>
        <w:spacing w:line="360" w:lineRule="auto"/>
        <w:ind w:firstLine="480" w:firstLineChars="200"/>
        <w:rPr>
          <w:rFonts w:hAnsi="Times New Roman" w:eastAsia="宋体"/>
          <w:szCs w:val="21"/>
        </w:rPr>
      </w:pPr>
      <w:r>
        <w:rPr>
          <w:rFonts w:hAnsi="Times New Roman" w:eastAsia="宋体"/>
          <w:szCs w:val="21"/>
        </w:rPr>
        <w:t>矿区原有的自然植</w:t>
      </w:r>
      <w:bookmarkStart w:id="930" w:name="_GoBack"/>
      <w:bookmarkEnd w:id="930"/>
      <w:r>
        <w:rPr>
          <w:rFonts w:hAnsi="Times New Roman" w:eastAsia="宋体"/>
          <w:szCs w:val="21"/>
        </w:rPr>
        <w:t>被被生活设施、临时工棚、临时建筑等工人建（构）筑物所改变，和周围生态环境在色彩、形态的对比较为强烈，引起的视觉污染较大，使区域生态景观原有的协调性和自然性受到破坏；频繁的开采活动会破坏山区原有的静谧。这些将在矿山开采期存在，影响较大。在工程开采期间或闭矿期采取植被和景观恢复，影响减小。</w:t>
      </w:r>
    </w:p>
    <w:p>
      <w:pPr>
        <w:spacing w:line="360" w:lineRule="auto"/>
        <w:ind w:firstLine="480" w:firstLineChars="200"/>
        <w:rPr>
          <w:rFonts w:hAnsi="Times New Roman" w:eastAsia="宋体"/>
          <w:szCs w:val="21"/>
        </w:rPr>
      </w:pPr>
      <w:r>
        <w:rPr>
          <w:rFonts w:hAnsi="Times New Roman" w:eastAsia="宋体"/>
          <w:szCs w:val="21"/>
        </w:rPr>
        <w:t>在采取相应的工程措施和生态恢复措施，并加强施工人员行为，方可减轻工程建设对环境景观的影响。</w:t>
      </w:r>
    </w:p>
    <w:p>
      <w:pPr>
        <w:spacing w:line="360" w:lineRule="auto"/>
        <w:ind w:firstLine="482" w:firstLineChars="200"/>
        <w:rPr>
          <w:rFonts w:hAnsi="Times New Roman" w:eastAsia="宋体"/>
          <w:b/>
          <w:bCs/>
          <w:szCs w:val="21"/>
          <w:lang w:eastAsia="zh-CN"/>
        </w:rPr>
      </w:pPr>
      <w:r>
        <w:rPr>
          <w:rFonts w:hint="eastAsia" w:hAnsi="Times New Roman" w:eastAsia="宋体"/>
          <w:b/>
          <w:bCs/>
          <w:szCs w:val="21"/>
          <w:lang w:eastAsia="zh-CN"/>
        </w:rPr>
        <w:t>3、</w:t>
      </w:r>
      <w:r>
        <w:rPr>
          <w:rFonts w:hAnsi="Times New Roman" w:eastAsia="宋体"/>
          <w:b/>
          <w:bCs/>
          <w:szCs w:val="21"/>
          <w:lang w:eastAsia="zh-CN"/>
        </w:rPr>
        <w:t>闭矿期对景观影响分析</w:t>
      </w:r>
    </w:p>
    <w:p>
      <w:pPr>
        <w:spacing w:line="360" w:lineRule="auto"/>
        <w:ind w:firstLine="480" w:firstLineChars="200"/>
        <w:rPr>
          <w:rFonts w:hAnsi="Times New Roman" w:eastAsia="宋体"/>
          <w:szCs w:val="21"/>
        </w:rPr>
      </w:pPr>
      <w:r>
        <w:rPr>
          <w:rFonts w:hAnsi="Times New Roman" w:eastAsia="宋体"/>
          <w:szCs w:val="21"/>
        </w:rPr>
        <w:t>闭矿期相对来说是正影响的过程，是对景观及生态的恢复过程，不会对环境继续产生破坏。矿山闭矿期如不落实水土保持方案、复垦计划以及生态恢复，则对开发区域带来的环境影响是极为严重的。其主要的生态环境问题是植被破坏造成的水土流失、改变土地利用方式对地貌景观的破坏、采空区不及时回填造成地面沉降、塌陷等问题。</w:t>
      </w:r>
    </w:p>
    <w:p>
      <w:pPr>
        <w:spacing w:line="360" w:lineRule="auto"/>
        <w:ind w:firstLine="480" w:firstLineChars="200"/>
        <w:rPr>
          <w:rFonts w:hAnsi="Times New Roman" w:eastAsia="宋体"/>
          <w:szCs w:val="21"/>
        </w:rPr>
      </w:pPr>
      <w:r>
        <w:rPr>
          <w:rFonts w:hAnsi="Times New Roman" w:eastAsia="宋体"/>
          <w:szCs w:val="21"/>
        </w:rPr>
        <w:t>因此闭矿期的环境保护措施和生态恢复是矿山环境保护的重要环节。分析论证建设</w:t>
      </w:r>
      <w:r>
        <w:rPr>
          <w:rFonts w:hint="eastAsia" w:hAnsi="Times New Roman" w:eastAsia="宋体"/>
          <w:szCs w:val="21"/>
          <w:lang w:eastAsia="zh-CN"/>
        </w:rPr>
        <w:t>方案</w:t>
      </w:r>
      <w:r>
        <w:rPr>
          <w:rFonts w:hAnsi="Times New Roman" w:eastAsia="宋体"/>
          <w:szCs w:val="21"/>
        </w:rPr>
        <w:t>和水土保持方案制定的可行性，为有效控制项目开发过程中的新增水土流失，保护和恢复项目区内植被，保障当地生态环境建设与经济协调发展，对水土保持方案设计原则与目标等进行论证。做到矿山开发结束，水土保持工程同年完成。闭矿期与初采期及盛采期相比，此时的生产活动已停止，对自然环境各要素的影响趋于减缓，主要表现在：</w:t>
      </w:r>
    </w:p>
    <w:p>
      <w:pPr>
        <w:spacing w:line="360" w:lineRule="auto"/>
        <w:ind w:firstLine="480" w:firstLineChars="200"/>
        <w:rPr>
          <w:rFonts w:hAnsi="Times New Roman" w:eastAsia="宋体"/>
          <w:szCs w:val="21"/>
        </w:rPr>
      </w:pPr>
      <w:r>
        <w:rPr>
          <w:rFonts w:hint="eastAsia" w:hAnsi="Times New Roman" w:eastAsia="宋体"/>
          <w:szCs w:val="21"/>
        </w:rPr>
        <w:t>（</w:t>
      </w:r>
      <w:r>
        <w:rPr>
          <w:rFonts w:hint="eastAsia" w:hAnsi="Times New Roman" w:eastAsia="宋体"/>
          <w:szCs w:val="21"/>
          <w:lang w:eastAsia="zh-CN"/>
        </w:rPr>
        <w:t>1）</w:t>
      </w:r>
      <w:r>
        <w:rPr>
          <w:rFonts w:hAnsi="Times New Roman" w:eastAsia="宋体"/>
          <w:szCs w:val="21"/>
        </w:rPr>
        <w:t>有利影响</w:t>
      </w:r>
    </w:p>
    <w:p>
      <w:pPr>
        <w:spacing w:line="360" w:lineRule="auto"/>
        <w:ind w:firstLine="480" w:firstLineChars="200"/>
        <w:rPr>
          <w:rFonts w:hAnsi="Times New Roman" w:eastAsia="宋体"/>
          <w:szCs w:val="21"/>
        </w:rPr>
      </w:pPr>
      <w:r>
        <w:rPr>
          <w:rFonts w:hAnsi="Times New Roman" w:eastAsia="宋体"/>
          <w:szCs w:val="21"/>
        </w:rPr>
        <w:t>1</w:t>
      </w:r>
      <w:r>
        <w:rPr>
          <w:rFonts w:hint="eastAsia" w:hAnsi="Times New Roman" w:eastAsia="宋体"/>
          <w:szCs w:val="21"/>
          <w:lang w:eastAsia="zh-CN"/>
        </w:rPr>
        <w:t>）</w:t>
      </w:r>
      <w:r>
        <w:rPr>
          <w:rFonts w:hAnsi="Times New Roman" w:eastAsia="宋体"/>
          <w:szCs w:val="21"/>
        </w:rPr>
        <w:t>开采过程中导致地表变形产生的环境问题将随着开采活动的停止而逐渐减轻，地表变形虽有一定的延迟性，但变形幅度减小，最终趋于稳定。</w:t>
      </w:r>
    </w:p>
    <w:p>
      <w:pPr>
        <w:spacing w:line="360" w:lineRule="auto"/>
        <w:ind w:firstLine="480" w:firstLineChars="200"/>
        <w:rPr>
          <w:rFonts w:hAnsi="Times New Roman" w:eastAsia="宋体"/>
          <w:szCs w:val="21"/>
        </w:rPr>
      </w:pPr>
      <w:r>
        <w:rPr>
          <w:rFonts w:hAnsi="Times New Roman" w:eastAsia="宋体"/>
          <w:szCs w:val="21"/>
        </w:rPr>
        <w:t>2</w:t>
      </w:r>
      <w:r>
        <w:rPr>
          <w:rFonts w:hint="eastAsia" w:hAnsi="Times New Roman" w:eastAsia="宋体"/>
          <w:szCs w:val="21"/>
        </w:rPr>
        <w:t>）</w:t>
      </w:r>
      <w:r>
        <w:rPr>
          <w:rFonts w:hAnsi="Times New Roman" w:eastAsia="宋体"/>
          <w:szCs w:val="21"/>
        </w:rPr>
        <w:t>随着井田范围内煤矿资源的枯竭，生产的停止，与其相关的各种产污环节将减弱或消失，如设备噪声、煤粉尘等大气污染物等，区域环境质量将有所好转。</w:t>
      </w:r>
    </w:p>
    <w:p>
      <w:pPr>
        <w:spacing w:line="360" w:lineRule="auto"/>
        <w:ind w:firstLine="480" w:firstLineChars="200"/>
        <w:rPr>
          <w:rFonts w:hAnsi="Times New Roman" w:eastAsia="宋体"/>
          <w:szCs w:val="21"/>
        </w:rPr>
      </w:pPr>
      <w:r>
        <w:rPr>
          <w:rFonts w:hAnsi="Times New Roman" w:eastAsia="宋体"/>
          <w:szCs w:val="21"/>
        </w:rPr>
        <w:t>3</w:t>
      </w:r>
      <w:r>
        <w:rPr>
          <w:rFonts w:hint="eastAsia" w:hAnsi="Times New Roman" w:eastAsia="宋体"/>
          <w:szCs w:val="21"/>
        </w:rPr>
        <w:t>）</w:t>
      </w:r>
      <w:r>
        <w:rPr>
          <w:rFonts w:hAnsi="Times New Roman" w:eastAsia="宋体"/>
          <w:szCs w:val="21"/>
        </w:rPr>
        <w:t>对工业场地、矸石堆场等废弃地进行整治利用，覆土复耕、造林，对因占地而造成的不利环境影响将逐渐消失。</w:t>
      </w:r>
    </w:p>
    <w:p>
      <w:pPr>
        <w:spacing w:line="360" w:lineRule="auto"/>
        <w:ind w:firstLine="480" w:firstLineChars="200"/>
        <w:rPr>
          <w:rFonts w:hAnsi="Times New Roman" w:eastAsia="宋体"/>
          <w:szCs w:val="21"/>
        </w:rPr>
      </w:pPr>
      <w:r>
        <w:rPr>
          <w:rFonts w:hint="eastAsia" w:hAnsi="Times New Roman" w:eastAsia="宋体"/>
          <w:szCs w:val="21"/>
        </w:rPr>
        <w:t>（</w:t>
      </w:r>
      <w:r>
        <w:rPr>
          <w:rFonts w:hint="eastAsia" w:hAnsi="Times New Roman" w:eastAsia="宋体"/>
          <w:szCs w:val="21"/>
          <w:lang w:eastAsia="zh-CN"/>
        </w:rPr>
        <w:t>2）</w:t>
      </w:r>
      <w:r>
        <w:rPr>
          <w:rFonts w:hAnsi="Times New Roman" w:eastAsia="宋体"/>
          <w:szCs w:val="21"/>
        </w:rPr>
        <w:t>不利影响</w:t>
      </w:r>
    </w:p>
    <w:p>
      <w:pPr>
        <w:spacing w:line="360" w:lineRule="auto"/>
        <w:ind w:firstLine="480" w:firstLineChars="200"/>
        <w:rPr>
          <w:rFonts w:hAnsi="Times New Roman" w:eastAsia="宋体"/>
          <w:szCs w:val="21"/>
        </w:rPr>
      </w:pPr>
      <w:r>
        <w:rPr>
          <w:rFonts w:hAnsi="Times New Roman" w:eastAsia="宋体"/>
          <w:szCs w:val="21"/>
        </w:rPr>
        <w:t>1</w:t>
      </w:r>
      <w:r>
        <w:rPr>
          <w:rFonts w:hint="eastAsia" w:hAnsi="Times New Roman" w:eastAsia="宋体"/>
          <w:szCs w:val="21"/>
          <w:lang w:eastAsia="zh-CN"/>
        </w:rPr>
        <w:t>）</w:t>
      </w:r>
      <w:r>
        <w:rPr>
          <w:rFonts w:hAnsi="Times New Roman" w:eastAsia="宋体"/>
          <w:szCs w:val="21"/>
        </w:rPr>
        <w:t>地质灾害：老巷道及老采场积水污染、变形、沉陷、跨塌甚至诱发地震等。</w:t>
      </w:r>
    </w:p>
    <w:p>
      <w:pPr>
        <w:spacing w:line="360" w:lineRule="auto"/>
        <w:ind w:firstLine="480" w:firstLineChars="200"/>
        <w:rPr>
          <w:rFonts w:hAnsi="Times New Roman" w:eastAsia="宋体"/>
          <w:szCs w:val="21"/>
        </w:rPr>
      </w:pPr>
      <w:r>
        <w:rPr>
          <w:rFonts w:hAnsi="Times New Roman" w:eastAsia="宋体"/>
          <w:szCs w:val="21"/>
        </w:rPr>
        <w:t>2</w:t>
      </w:r>
      <w:r>
        <w:rPr>
          <w:rFonts w:hint="eastAsia" w:hAnsi="Times New Roman" w:eastAsia="宋体"/>
          <w:szCs w:val="21"/>
        </w:rPr>
        <w:t>）</w:t>
      </w:r>
      <w:r>
        <w:rPr>
          <w:rFonts w:hAnsi="Times New Roman" w:eastAsia="宋体"/>
          <w:szCs w:val="21"/>
        </w:rPr>
        <w:t>水污染：矿井退役后仍然有一定量井下水产生，将对环境产生一定影响。</w:t>
      </w:r>
    </w:p>
    <w:p>
      <w:pPr>
        <w:spacing w:line="360" w:lineRule="auto"/>
        <w:ind w:firstLine="480" w:firstLineChars="200"/>
        <w:rPr>
          <w:rFonts w:hAnsi="Times New Roman" w:eastAsia="宋体"/>
          <w:szCs w:val="21"/>
        </w:rPr>
      </w:pPr>
      <w:r>
        <w:rPr>
          <w:rFonts w:hAnsi="Times New Roman" w:eastAsia="宋体"/>
          <w:szCs w:val="21"/>
        </w:rPr>
        <w:t>3</w:t>
      </w:r>
      <w:r>
        <w:rPr>
          <w:rFonts w:hint="eastAsia" w:hAnsi="Times New Roman" w:eastAsia="宋体"/>
          <w:szCs w:val="21"/>
        </w:rPr>
        <w:t>）</w:t>
      </w:r>
      <w:r>
        <w:rPr>
          <w:rFonts w:hAnsi="Times New Roman" w:eastAsia="宋体"/>
          <w:szCs w:val="21"/>
        </w:rPr>
        <w:t>在闭矿后，矿井各场地景观与自然景观不相协调，</w:t>
      </w:r>
      <w:r>
        <w:rPr>
          <w:rFonts w:hint="eastAsia" w:hAnsi="Times New Roman" w:eastAsia="宋体"/>
          <w:szCs w:val="21"/>
          <w:lang w:eastAsia="zh-CN"/>
        </w:rPr>
        <w:t>应</w:t>
      </w:r>
      <w:r>
        <w:rPr>
          <w:rFonts w:hAnsi="Times New Roman" w:eastAsia="宋体"/>
          <w:szCs w:val="21"/>
        </w:rPr>
        <w:t>进行平整，恢复植被以减小对自然景观的影响。</w:t>
      </w:r>
    </w:p>
    <w:p>
      <w:pPr>
        <w:pStyle w:val="14"/>
        <w:overflowPunct w:val="0"/>
        <w:spacing w:line="360" w:lineRule="auto"/>
        <w:rPr>
          <w:rFonts w:ascii="Times New Roman" w:hAnsi="Times New Roman"/>
          <w:b/>
          <w:bCs w:val="0"/>
          <w:sz w:val="24"/>
          <w:lang w:eastAsia="zh-CN"/>
        </w:rPr>
      </w:pPr>
      <w:bookmarkStart w:id="224" w:name="_Toc1689"/>
      <w:bookmarkStart w:id="225" w:name="_Toc62643819"/>
      <w:r>
        <w:rPr>
          <w:rFonts w:hint="eastAsia" w:ascii="Times New Roman" w:hAnsi="Times New Roman"/>
          <w:b/>
          <w:bCs w:val="0"/>
          <w:sz w:val="24"/>
          <w:lang w:eastAsia="zh-CN"/>
        </w:rPr>
        <w:t>4.3.5.2</w:t>
      </w:r>
      <w:r>
        <w:rPr>
          <w:rFonts w:ascii="Times New Roman" w:hAnsi="Times New Roman"/>
          <w:b/>
          <w:bCs w:val="0"/>
          <w:sz w:val="24"/>
          <w:lang w:eastAsia="zh-CN"/>
        </w:rPr>
        <w:t xml:space="preserve"> 景观生态体系的稳定性</w:t>
      </w:r>
      <w:bookmarkEnd w:id="224"/>
      <w:bookmarkEnd w:id="225"/>
    </w:p>
    <w:p>
      <w:pPr>
        <w:spacing w:line="360" w:lineRule="auto"/>
        <w:ind w:firstLine="480" w:firstLineChars="200"/>
        <w:rPr>
          <w:rFonts w:hAnsi="Times New Roman" w:eastAsia="宋体"/>
          <w:szCs w:val="21"/>
        </w:rPr>
      </w:pPr>
      <w:r>
        <w:rPr>
          <w:rFonts w:hAnsi="Times New Roman" w:eastAsia="宋体"/>
          <w:szCs w:val="21"/>
        </w:rPr>
        <w:t>景观生态体系的内环境稳定机制有两种类型，即抗干扰稳定性和恢复稳定性。前者是指生态系统抵抗干扰不离开稳定的能力，后者是指生态系统受到干扰离开稳定后的恢复能力。该工程对自然景观体系稳定状况的影响可以从抗干扰稳定性和恢复稳定性两个方面来度量。</w:t>
      </w:r>
    </w:p>
    <w:p>
      <w:pPr>
        <w:spacing w:line="360" w:lineRule="auto"/>
        <w:ind w:firstLine="480" w:firstLineChars="200"/>
        <w:rPr>
          <w:rFonts w:hAnsi="Times New Roman" w:eastAsia="宋体"/>
          <w:szCs w:val="21"/>
        </w:rPr>
      </w:pPr>
      <w:r>
        <w:rPr>
          <w:rFonts w:hAnsi="Times New Roman" w:eastAsia="宋体"/>
          <w:szCs w:val="21"/>
        </w:rPr>
        <w:t>生态系统或景观生态体系的抗干扰稳定性，是指它们在一定强度和频度的干扰下，维持其稳定的能力，该能力可以用景观异质性所受影响大小来度量。</w:t>
      </w:r>
    </w:p>
    <w:p>
      <w:pPr>
        <w:spacing w:line="360" w:lineRule="auto"/>
        <w:ind w:firstLine="480" w:firstLineChars="200"/>
        <w:rPr>
          <w:rFonts w:hAnsi="Times New Roman" w:eastAsia="宋体"/>
          <w:szCs w:val="21"/>
        </w:rPr>
      </w:pPr>
      <w:r>
        <w:rPr>
          <w:rFonts w:hAnsi="Times New Roman" w:eastAsia="宋体"/>
          <w:szCs w:val="21"/>
        </w:rPr>
        <w:t>如上所述，就评价区整体而言，无论建设期、采矿期、闭矿期评价区各种斑块优势度值如何变化，它们优势度值的大小顺序却没有变化，森林和灌丛作为评价区域景观基质的地位没有受到影响。各个景观斑块的功能地位没有变化。这说明施工对评价区景观异质性影响较小，变化幅度尚未超出其景观生态体系抗干扰稳定性的耐受范围。</w:t>
      </w:r>
    </w:p>
    <w:p>
      <w:pPr>
        <w:pStyle w:val="6"/>
        <w:rPr>
          <w:szCs w:val="22"/>
          <w:lang w:eastAsia="zh-CN"/>
        </w:rPr>
      </w:pPr>
      <w:bookmarkStart w:id="226" w:name="_Toc167095189"/>
      <w:bookmarkStart w:id="227" w:name="_Toc163812566"/>
      <w:r>
        <w:rPr>
          <w:szCs w:val="22"/>
          <w:lang w:eastAsia="zh-CN"/>
        </w:rPr>
        <w:t>4.3.6 对生态系统服务功能的影响</w:t>
      </w:r>
      <w:bookmarkEnd w:id="226"/>
      <w:bookmarkEnd w:id="227"/>
    </w:p>
    <w:p>
      <w:pPr>
        <w:pStyle w:val="14"/>
        <w:overflowPunct w:val="0"/>
        <w:spacing w:line="360" w:lineRule="auto"/>
        <w:rPr>
          <w:rFonts w:ascii="Times New Roman" w:hAnsi="Times New Roman"/>
          <w:b/>
          <w:bCs w:val="0"/>
          <w:sz w:val="24"/>
        </w:rPr>
      </w:pPr>
      <w:r>
        <w:rPr>
          <w:rFonts w:ascii="Times New Roman" w:hAnsi="Times New Roman"/>
          <w:b/>
          <w:bCs w:val="0"/>
          <w:sz w:val="24"/>
        </w:rPr>
        <w:t>4.</w:t>
      </w:r>
      <w:r>
        <w:rPr>
          <w:rFonts w:ascii="Times New Roman" w:hAnsi="Times New Roman"/>
          <w:b/>
          <w:bCs w:val="0"/>
          <w:sz w:val="24"/>
          <w:lang w:eastAsia="zh-CN"/>
        </w:rPr>
        <w:t>3</w:t>
      </w:r>
      <w:r>
        <w:rPr>
          <w:rFonts w:ascii="Times New Roman" w:hAnsi="Times New Roman"/>
          <w:b/>
          <w:bCs w:val="0"/>
          <w:sz w:val="24"/>
        </w:rPr>
        <w:t>.</w:t>
      </w:r>
      <w:r>
        <w:rPr>
          <w:rFonts w:ascii="Times New Roman" w:hAnsi="Times New Roman"/>
          <w:b/>
          <w:bCs w:val="0"/>
          <w:sz w:val="24"/>
          <w:lang w:eastAsia="zh-CN"/>
        </w:rPr>
        <w:t>6</w:t>
      </w:r>
      <w:r>
        <w:rPr>
          <w:rFonts w:ascii="Times New Roman" w:hAnsi="Times New Roman"/>
          <w:b/>
          <w:bCs w:val="0"/>
          <w:sz w:val="24"/>
        </w:rPr>
        <w:t xml:space="preserve">.1 水土流失与水源涵养功能的影响 </w:t>
      </w:r>
    </w:p>
    <w:p>
      <w:pPr>
        <w:widowControl/>
        <w:autoSpaceDE w:val="0"/>
        <w:adjustRightInd w:val="0"/>
        <w:snapToGrid w:val="0"/>
        <w:spacing w:line="360" w:lineRule="auto"/>
        <w:ind w:firstLine="480" w:firstLineChars="200"/>
        <w:jc w:val="left"/>
        <w:rPr>
          <w:rFonts w:hAnsi="Times New Roman" w:eastAsia="宋体"/>
          <w:szCs w:val="24"/>
        </w:rPr>
      </w:pPr>
      <w:r>
        <w:rPr>
          <w:rFonts w:hAnsi="Times New Roman" w:eastAsia="宋体"/>
          <w:szCs w:val="24"/>
        </w:rPr>
        <w:t>本项目位于宣汉县，根据《全国水土保持规划国家级水土流失重点预防区和重点治理区复核划分成果》，属于“嘉陵江上游国家级水土流失重点预防区”。根据区域水土流失遥感分析及水土流失现状调查，评价区水土流失类型主要为水力侵蚀，主要表现为面蚀、片蚀、沟蚀。面蚀主要发生在坡耕地以及疏幼林中，片蚀主要发生在坡耕地、荒溪沟槽以及植被局部遭受破坏的山坡。沟蚀是在面蚀和片蚀的基础上产生的，主要发生在河谷开阔段两岸及岩性松软的裸露山坡地带和顺坡地上。水土流失强度以轻度侵蚀为主。</w:t>
      </w:r>
    </w:p>
    <w:p>
      <w:pPr>
        <w:spacing w:line="360" w:lineRule="auto"/>
        <w:ind w:firstLine="480" w:firstLineChars="200"/>
        <w:rPr>
          <w:rFonts w:hAnsi="Times New Roman" w:eastAsia="宋体"/>
          <w:szCs w:val="24"/>
        </w:rPr>
      </w:pPr>
      <w:r>
        <w:rPr>
          <w:rFonts w:hAnsi="Times New Roman" w:eastAsia="宋体"/>
          <w:szCs w:val="24"/>
        </w:rPr>
        <w:t>本项目对评价区域内水土流失的影响主要集中在运营期，水土流失重点防治区域为矿山开采区，随着项目建成服役和临时迹地植被恢复措施的实施，营运期间如果能够有效做好堆场的堆放管理，则评价区的水土流失影响则会明显减弱。建议在初步设计和编制水土保持方案时尽量优化施工布置和施工组织方案，避免工程弃渣自然流失对周围生态环境和自然景观造成一定影响，尤其是要在雨季注意弃渣和表土的覆盖。采取工程措施、植物措施和临时措施相结合的方法，制定较为周密的水土流失防治体系，减少防治责任范围内的水土流失，改善项目区周边的环境。</w:t>
      </w:r>
    </w:p>
    <w:p>
      <w:pPr>
        <w:pStyle w:val="14"/>
        <w:overflowPunct w:val="0"/>
        <w:spacing w:line="360" w:lineRule="auto"/>
        <w:rPr>
          <w:rFonts w:ascii="Times New Roman" w:hAnsi="Times New Roman"/>
          <w:b/>
          <w:bCs w:val="0"/>
          <w:sz w:val="24"/>
        </w:rPr>
      </w:pPr>
      <w:r>
        <w:rPr>
          <w:rFonts w:ascii="Times New Roman" w:hAnsi="Times New Roman"/>
          <w:b/>
          <w:bCs w:val="0"/>
          <w:sz w:val="24"/>
        </w:rPr>
        <w:t>4.</w:t>
      </w:r>
      <w:r>
        <w:rPr>
          <w:rFonts w:ascii="Times New Roman" w:hAnsi="Times New Roman"/>
          <w:b/>
          <w:bCs w:val="0"/>
          <w:sz w:val="24"/>
          <w:lang w:eastAsia="zh-CN"/>
        </w:rPr>
        <w:t>3</w:t>
      </w:r>
      <w:r>
        <w:rPr>
          <w:rFonts w:ascii="Times New Roman" w:hAnsi="Times New Roman"/>
          <w:b/>
          <w:bCs w:val="0"/>
          <w:sz w:val="24"/>
        </w:rPr>
        <w:t>.</w:t>
      </w:r>
      <w:r>
        <w:rPr>
          <w:rFonts w:ascii="Times New Roman" w:hAnsi="Times New Roman"/>
          <w:b/>
          <w:bCs w:val="0"/>
          <w:sz w:val="24"/>
          <w:lang w:eastAsia="zh-CN"/>
        </w:rPr>
        <w:t>6</w:t>
      </w:r>
      <w:r>
        <w:rPr>
          <w:rFonts w:ascii="Times New Roman" w:hAnsi="Times New Roman"/>
          <w:b/>
          <w:bCs w:val="0"/>
          <w:sz w:val="24"/>
        </w:rPr>
        <w:t>.</w:t>
      </w:r>
      <w:r>
        <w:rPr>
          <w:rFonts w:ascii="Times New Roman" w:hAnsi="Times New Roman"/>
          <w:b/>
          <w:bCs w:val="0"/>
          <w:sz w:val="24"/>
          <w:lang w:eastAsia="zh-CN"/>
        </w:rPr>
        <w:t>2</w:t>
      </w:r>
      <w:r>
        <w:rPr>
          <w:rFonts w:ascii="Times New Roman" w:hAnsi="Times New Roman"/>
          <w:b/>
          <w:bCs w:val="0"/>
          <w:sz w:val="24"/>
        </w:rPr>
        <w:t xml:space="preserve"> 对其他生态服务功能的影响 </w:t>
      </w:r>
    </w:p>
    <w:p>
      <w:pPr>
        <w:widowControl/>
        <w:autoSpaceDE w:val="0"/>
        <w:adjustRightInd w:val="0"/>
        <w:snapToGrid w:val="0"/>
        <w:spacing w:line="360" w:lineRule="auto"/>
        <w:ind w:firstLine="480" w:firstLineChars="200"/>
        <w:jc w:val="left"/>
        <w:rPr>
          <w:rFonts w:hAnsi="Times New Roman" w:eastAsia="宋体"/>
          <w:szCs w:val="24"/>
        </w:rPr>
      </w:pPr>
      <w:r>
        <w:rPr>
          <w:rFonts w:hAnsi="Times New Roman" w:eastAsia="宋体"/>
          <w:szCs w:val="24"/>
        </w:rPr>
        <w:t>本项目建设期不占地，因此建设期对植被影响较小，矿区运营期煤矿开采，对水土流失的影响较大，对评价区</w:t>
      </w:r>
      <w:r>
        <w:rPr>
          <w:rFonts w:hint="eastAsia" w:hAnsi="Times New Roman" w:eastAsia="宋体"/>
          <w:szCs w:val="24"/>
          <w:lang w:eastAsia="zh-CN"/>
        </w:rPr>
        <w:t>其他</w:t>
      </w:r>
      <w:r>
        <w:rPr>
          <w:rFonts w:hAnsi="Times New Roman" w:eastAsia="宋体"/>
          <w:szCs w:val="24"/>
        </w:rPr>
        <w:t>生态服务功能的影响还是非常间接和有限的。</w:t>
      </w:r>
    </w:p>
    <w:p>
      <w:pPr>
        <w:widowControl/>
        <w:autoSpaceDE w:val="0"/>
        <w:adjustRightInd w:val="0"/>
        <w:snapToGrid w:val="0"/>
        <w:spacing w:line="360" w:lineRule="auto"/>
        <w:ind w:firstLine="480" w:firstLineChars="200"/>
        <w:jc w:val="left"/>
        <w:rPr>
          <w:rFonts w:hAnsi="Times New Roman" w:eastAsia="宋体"/>
          <w:szCs w:val="24"/>
        </w:rPr>
      </w:pPr>
      <w:r>
        <w:rPr>
          <w:rFonts w:hAnsi="Times New Roman" w:eastAsia="宋体"/>
          <w:szCs w:val="24"/>
        </w:rPr>
        <w:t>工程建设和营运对景观生态系统的影响主要体现在导致部分土地利用情况会发生一定变化，但评价区内各类拼块构成、廊道类型和基质特点、各类环境资源拼块优势度等景观格局和动态不会发生明显变化；森林和农业生态系统的稳定性和景观完整性没有显著影响。在采取植被恢复、水土流失防治措施、野生动植物保护等措施的情况下，本项目建设造成的生态影响可得到有效减缓，生态系统的稳定性仍然较强。</w:t>
      </w:r>
    </w:p>
    <w:p>
      <w:pPr>
        <w:pStyle w:val="6"/>
        <w:rPr>
          <w:szCs w:val="22"/>
          <w:lang w:eastAsia="zh-CN"/>
        </w:rPr>
      </w:pPr>
      <w:bookmarkStart w:id="228" w:name="_Toc167095190"/>
      <w:bookmarkStart w:id="229" w:name="_Toc163812567"/>
      <w:r>
        <w:rPr>
          <w:szCs w:val="22"/>
          <w:lang w:eastAsia="zh-CN"/>
        </w:rPr>
        <w:t>4.3.7地表沉陷影响评价</w:t>
      </w:r>
      <w:bookmarkEnd w:id="228"/>
      <w:bookmarkEnd w:id="229"/>
    </w:p>
    <w:p>
      <w:pPr>
        <w:widowControl/>
        <w:autoSpaceDE w:val="0"/>
        <w:adjustRightInd w:val="0"/>
        <w:snapToGrid w:val="0"/>
        <w:spacing w:line="360" w:lineRule="auto"/>
        <w:ind w:firstLine="480" w:firstLineChars="200"/>
        <w:jc w:val="left"/>
        <w:rPr>
          <w:rFonts w:hAnsi="Times New Roman" w:eastAsia="宋体"/>
          <w:szCs w:val="24"/>
        </w:rPr>
      </w:pPr>
      <w:r>
        <w:rPr>
          <w:rFonts w:hAnsi="Times New Roman" w:eastAsia="宋体"/>
          <w:szCs w:val="24"/>
        </w:rPr>
        <w:t>根据沉陷预测结果，</w:t>
      </w:r>
      <w:r>
        <w:rPr>
          <w:rFonts w:hAnsi="Times New Roman" w:eastAsia="宋体"/>
          <w:szCs w:val="24"/>
          <w:lang w:eastAsia="zh-CN"/>
        </w:rPr>
        <w:t>七里峡</w:t>
      </w:r>
      <w:r>
        <w:rPr>
          <w:rFonts w:hAnsi="Times New Roman" w:eastAsia="宋体"/>
          <w:szCs w:val="24"/>
        </w:rPr>
        <w:t>煤矿开采后引起的破坏均为Ⅰ～Ⅲ级破坏。矿井实施开采后，地表沉陷对井田范围内的植被涵养水层水分及地表植被的正常生长有一定影响，但在人为治理前提下，其影响程度在可控范围内。而开采井田不会对本地区野生动物的生产发展产生不利影响。但有可能会</w:t>
      </w:r>
      <w:r>
        <w:rPr>
          <w:rFonts w:hint="eastAsia" w:hAnsi="Times New Roman" w:eastAsia="宋体"/>
          <w:szCs w:val="24"/>
          <w:lang w:eastAsia="zh-CN"/>
        </w:rPr>
        <w:t>造成</w:t>
      </w:r>
      <w:r>
        <w:rPr>
          <w:rFonts w:hAnsi="Times New Roman" w:eastAsia="宋体"/>
          <w:szCs w:val="24"/>
        </w:rPr>
        <w:t>局部区域的野生动物产生迁徙，这会间接影响到该地区野生动物的数量和群落结构，但总体而言，本项目不会改变该地区野生动物物种，也不会改变地区野生动物的种群数量。</w:t>
      </w:r>
    </w:p>
    <w:p>
      <w:pPr>
        <w:widowControl/>
        <w:autoSpaceDE w:val="0"/>
        <w:adjustRightInd w:val="0"/>
        <w:snapToGrid w:val="0"/>
        <w:spacing w:line="360" w:lineRule="auto"/>
        <w:ind w:firstLine="480" w:firstLineChars="200"/>
        <w:jc w:val="left"/>
        <w:rPr>
          <w:rFonts w:hAnsi="Times New Roman" w:eastAsia="宋体"/>
          <w:szCs w:val="24"/>
          <w:lang w:eastAsia="zh-CN"/>
        </w:rPr>
      </w:pPr>
      <w:r>
        <w:rPr>
          <w:rFonts w:hAnsi="Times New Roman" w:eastAsia="宋体"/>
          <w:szCs w:val="24"/>
        </w:rPr>
        <w:t>矿井开采会对地表涵养层造成较大影响，其中对依靠潜水生长的地表乔木产生极大的不利损害，这些乔木在很多小面积区域甚至会死亡，然后同时需要看到开采矿井对依靠大气降水生长的生态植被不会产生危害性影响，其受影响程度在可控范围，通过后期人工整治和复垦可以使受开采影响的灌木、草丛和耐旱农作物逐步恢复其原有生产能力。</w:t>
      </w:r>
    </w:p>
    <w:p>
      <w:pPr>
        <w:pStyle w:val="6"/>
        <w:rPr>
          <w:szCs w:val="22"/>
          <w:lang w:eastAsia="zh-CN"/>
        </w:rPr>
      </w:pPr>
      <w:bookmarkStart w:id="230" w:name="_Toc163812568"/>
      <w:bookmarkStart w:id="231" w:name="_Toc167095191"/>
      <w:r>
        <w:rPr>
          <w:rFonts w:hint="eastAsia"/>
          <w:szCs w:val="22"/>
          <w:lang w:eastAsia="zh-CN"/>
        </w:rPr>
        <w:t>4.3.8</w:t>
      </w:r>
      <w:r>
        <w:rPr>
          <w:szCs w:val="22"/>
          <w:lang w:eastAsia="zh-CN"/>
        </w:rPr>
        <w:t>对饮用水源保护区的影响</w:t>
      </w:r>
      <w:bookmarkEnd w:id="230"/>
      <w:bookmarkEnd w:id="231"/>
    </w:p>
    <w:p>
      <w:pPr>
        <w:spacing w:line="360" w:lineRule="auto"/>
        <w:ind w:firstLine="480" w:firstLineChars="200"/>
        <w:rPr>
          <w:rFonts w:hAnsi="Times New Roman" w:eastAsia="宋体"/>
          <w:szCs w:val="24"/>
          <w:lang w:eastAsia="zh-CN"/>
        </w:rPr>
      </w:pPr>
      <w:r>
        <w:rPr>
          <w:rFonts w:hAnsi="Times New Roman" w:eastAsia="宋体"/>
          <w:szCs w:val="24"/>
        </w:rPr>
        <w:t>根据《达州市人民政府关于划定万源市、宣汉县和大竹县乡镇及以下集中式饮用水水源地保护区的批复》（达市府函</w:t>
      </w:r>
      <w:r>
        <w:rPr>
          <w:rFonts w:hint="eastAsia" w:hAnsi="Times New Roman" w:eastAsia="宋体"/>
          <w:szCs w:val="24"/>
          <w:lang w:eastAsia="zh-CN"/>
        </w:rPr>
        <w:t>〔</w:t>
      </w:r>
      <w:r>
        <w:rPr>
          <w:rFonts w:hAnsi="Times New Roman" w:eastAsia="宋体"/>
          <w:szCs w:val="24"/>
        </w:rPr>
        <w:t>2020</w:t>
      </w:r>
      <w:r>
        <w:rPr>
          <w:rFonts w:hint="eastAsia" w:hAnsi="Times New Roman" w:eastAsia="宋体"/>
          <w:szCs w:val="24"/>
          <w:lang w:eastAsia="zh-CN"/>
        </w:rPr>
        <w:t>〕</w:t>
      </w:r>
      <w:r>
        <w:rPr>
          <w:rFonts w:hAnsi="Times New Roman" w:eastAsia="宋体"/>
          <w:szCs w:val="24"/>
        </w:rPr>
        <w:t>124号），本项目涉及的集中式饮用水水源保护区为“宣汉县天生镇王一庙（村级）集中式饮用水水源地（地下水型）”，取水点位于天生镇塔坝村一组，取水口坐标为E107°43′15.917″，N31°02′0.687″。设计供水规模120t/d，服务</w:t>
      </w:r>
      <w:r>
        <w:rPr>
          <w:rFonts w:hint="eastAsia" w:hAnsi="Times New Roman" w:eastAsia="宋体"/>
          <w:szCs w:val="24"/>
        </w:rPr>
        <w:t>为</w:t>
      </w:r>
      <w:r>
        <w:rPr>
          <w:rFonts w:hAnsi="Times New Roman" w:eastAsia="宋体"/>
          <w:szCs w:val="24"/>
        </w:rPr>
        <w:t>天生镇洞宫社区。一级保护区范围：以地下水取水点为中心，半径30米范围内，但海拔不低于373.0m的区域；取水口至东侧明月江上游1000米（公路桥处</w:t>
      </w:r>
      <w:r>
        <w:rPr>
          <w:rFonts w:hint="eastAsia" w:hAnsi="Times New Roman" w:eastAsia="宋体"/>
          <w:szCs w:val="24"/>
          <w:lang w:eastAsia="zh-CN"/>
        </w:rPr>
        <w:t>）</w:t>
      </w:r>
      <w:r>
        <w:rPr>
          <w:rFonts w:hAnsi="Times New Roman" w:eastAsia="宋体"/>
          <w:szCs w:val="24"/>
        </w:rPr>
        <w:t>，多年平均水位对应的高程线下的水域范围；与明月江一级保护区水域长度一致、水域边界两岸纵深50米、但左右两岸均不超过七里场镇防洪堤堤顶的全部陆域范围。二级保护区范围：除一级保护区外，以取水点为中心，300米范围内，但不低于海拔373.0m的区域。本项目建设区域位于取水点上游1.0km，七里峡煤矿主井工业广场位于王一庙（村级）集中式饮用水水源地一级保护区上游，最近距离约20m，不在宣汉县天生镇王一庙（村级）集中式饮用水水源地的一级、二级保护区范围</w:t>
      </w:r>
      <w:r>
        <w:rPr>
          <w:rFonts w:hint="eastAsia" w:hAnsi="Times New Roman" w:eastAsia="宋体"/>
          <w:szCs w:val="24"/>
        </w:rPr>
        <w:t>内</w:t>
      </w:r>
      <w:r>
        <w:rPr>
          <w:rFonts w:hAnsi="Times New Roman" w:eastAsia="宋体"/>
          <w:szCs w:val="24"/>
        </w:rPr>
        <w:t>。</w:t>
      </w:r>
    </w:p>
    <w:p>
      <w:pPr>
        <w:pStyle w:val="2"/>
        <w:spacing w:after="0"/>
        <w:ind w:left="0" w:leftChars="0" w:firstLine="0" w:firstLineChars="0"/>
        <w:jc w:val="center"/>
      </w:pPr>
      <w:r>
        <w:drawing>
          <wp:inline distT="0" distB="0" distL="0" distR="0">
            <wp:extent cx="5274310" cy="3579495"/>
            <wp:effectExtent l="0" t="0" r="2540" b="1905"/>
            <wp:docPr id="1966976293" name="图片 1966976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976293" name="图片 196697629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a:xfrm>
                      <a:off x="0" y="0"/>
                      <a:ext cx="5274310" cy="3579495"/>
                    </a:xfrm>
                    <a:prstGeom prst="rect">
                      <a:avLst/>
                    </a:prstGeom>
                    <a:noFill/>
                    <a:ln>
                      <a:noFill/>
                    </a:ln>
                  </pic:spPr>
                </pic:pic>
              </a:graphicData>
            </a:graphic>
          </wp:inline>
        </w:drawing>
      </w:r>
    </w:p>
    <w:p>
      <w:pPr>
        <w:pStyle w:val="2"/>
        <w:spacing w:after="0"/>
        <w:ind w:left="0" w:leftChars="0" w:firstLine="0" w:firstLineChars="0"/>
        <w:jc w:val="center"/>
        <w:rPr>
          <w:b/>
          <w:bCs/>
        </w:rPr>
      </w:pPr>
      <w:r>
        <w:rPr>
          <w:rFonts w:eastAsia="宋体"/>
          <w:b/>
          <w:bCs/>
        </w:rPr>
        <w:t>图</w:t>
      </w:r>
      <w:r>
        <w:rPr>
          <w:rFonts w:hint="eastAsia" w:eastAsia="宋体"/>
          <w:b/>
          <w:bCs/>
          <w:lang w:eastAsia="zh-CN"/>
        </w:rPr>
        <w:t>4.3-1</w:t>
      </w:r>
      <w:r>
        <w:rPr>
          <w:rFonts w:eastAsia="宋体"/>
          <w:b/>
          <w:bCs/>
        </w:rPr>
        <w:t xml:space="preserve"> 七里峡煤矿与</w:t>
      </w:r>
      <w:r>
        <w:rPr>
          <w:rFonts w:hint="eastAsia" w:eastAsia="宋体"/>
          <w:b/>
          <w:bCs/>
          <w:lang w:eastAsia="zh-CN"/>
        </w:rPr>
        <w:t>饮用水源</w:t>
      </w:r>
      <w:r>
        <w:rPr>
          <w:rFonts w:eastAsia="宋体"/>
          <w:b/>
          <w:bCs/>
        </w:rPr>
        <w:t>保护区的位置关系图</w:t>
      </w:r>
    </w:p>
    <w:p>
      <w:pPr>
        <w:spacing w:line="360" w:lineRule="auto"/>
        <w:ind w:firstLine="480" w:firstLineChars="200"/>
        <w:rPr>
          <w:rFonts w:hAnsi="Times New Roman" w:eastAsia="宋体"/>
          <w:szCs w:val="24"/>
          <w:lang w:eastAsia="zh-CN"/>
        </w:rPr>
      </w:pPr>
      <w:r>
        <w:rPr>
          <w:rFonts w:hAnsi="Times New Roman" w:eastAsia="宋体"/>
          <w:szCs w:val="24"/>
        </w:rPr>
        <w:t>由于七里峡煤矿主井工业广场位于王一庙（村级）集中式饮用水水源地一级保护区上游，最近距离约20m，距离较近，</w:t>
      </w:r>
      <w:r>
        <w:rPr>
          <w:rFonts w:hint="eastAsia" w:hAnsi="Times New Roman" w:eastAsia="宋体"/>
          <w:szCs w:val="24"/>
        </w:rPr>
        <w:t>为减少工业</w:t>
      </w:r>
      <w:r>
        <w:rPr>
          <w:rFonts w:hint="eastAsia" w:hAnsi="Times New Roman" w:eastAsia="宋体"/>
          <w:szCs w:val="24"/>
          <w:lang w:eastAsia="zh-CN"/>
        </w:rPr>
        <w:t>广场运行对</w:t>
      </w:r>
      <w:r>
        <w:rPr>
          <w:rFonts w:hAnsi="Times New Roman" w:eastAsia="宋体"/>
          <w:szCs w:val="24"/>
        </w:rPr>
        <w:t>饮用水水源地</w:t>
      </w:r>
      <w:r>
        <w:rPr>
          <w:rFonts w:hint="eastAsia" w:hAnsi="Times New Roman" w:eastAsia="宋体"/>
          <w:szCs w:val="24"/>
        </w:rPr>
        <w:t>保护区的影响，项目针对外排矿井涌水采用经厂区处理达到《地表水环境质量标准》（</w:t>
      </w:r>
      <w:r>
        <w:rPr>
          <w:rFonts w:hint="eastAsia" w:hAnsi="Times New Roman" w:eastAsia="宋体"/>
          <w:szCs w:val="24"/>
          <w:lang w:eastAsia="zh-CN"/>
        </w:rPr>
        <w:t>GB3838-2002</w:t>
      </w:r>
      <w:r>
        <w:rPr>
          <w:rFonts w:hint="eastAsia" w:hAnsi="Times New Roman" w:eastAsia="宋体"/>
          <w:szCs w:val="24"/>
        </w:rPr>
        <w:t>）</w:t>
      </w:r>
      <w:r>
        <w:rPr>
          <w:rFonts w:hAnsi="Times New Roman" w:eastAsia="宋体"/>
          <w:szCs w:val="24"/>
        </w:rPr>
        <w:fldChar w:fldCharType="begin"/>
      </w:r>
      <w:r>
        <w:rPr>
          <w:rFonts w:hAnsi="Times New Roman" w:eastAsia="宋体"/>
          <w:szCs w:val="24"/>
          <w:lang w:eastAsia="zh-CN"/>
        </w:rPr>
        <w:instrText xml:space="preserve"> </w:instrText>
      </w:r>
      <w:r>
        <w:rPr>
          <w:rFonts w:hint="eastAsia" w:hAnsi="Times New Roman" w:eastAsia="宋体"/>
          <w:szCs w:val="24"/>
          <w:lang w:eastAsia="zh-CN"/>
        </w:rPr>
        <w:instrText xml:space="preserve">= 3 \* ROMAN</w:instrText>
      </w:r>
      <w:r>
        <w:rPr>
          <w:rFonts w:hAnsi="Times New Roman" w:eastAsia="宋体"/>
          <w:szCs w:val="24"/>
          <w:lang w:eastAsia="zh-CN"/>
        </w:rPr>
        <w:instrText xml:space="preserve"> </w:instrText>
      </w:r>
      <w:r>
        <w:rPr>
          <w:rFonts w:hAnsi="Times New Roman" w:eastAsia="宋体"/>
          <w:szCs w:val="24"/>
        </w:rPr>
        <w:fldChar w:fldCharType="separate"/>
      </w:r>
      <w:r>
        <w:rPr>
          <w:rFonts w:hAnsi="Times New Roman" w:eastAsia="宋体"/>
          <w:szCs w:val="24"/>
          <w:lang w:eastAsia="zh-CN"/>
        </w:rPr>
        <w:t>III</w:t>
      </w:r>
      <w:r>
        <w:rPr>
          <w:rFonts w:hAnsi="Times New Roman" w:eastAsia="宋体"/>
          <w:szCs w:val="24"/>
        </w:rPr>
        <w:fldChar w:fldCharType="end"/>
      </w:r>
      <w:r>
        <w:rPr>
          <w:rFonts w:hint="eastAsia" w:hAnsi="Times New Roman" w:eastAsia="宋体"/>
          <w:szCs w:val="24"/>
          <w:lang w:eastAsia="zh-CN"/>
        </w:rPr>
        <w:t>级标准要求，且含盐量</w:t>
      </w:r>
      <w:r>
        <w:rPr>
          <w:rFonts w:hAnsi="Times New Roman" w:eastAsia="宋体"/>
          <w:szCs w:val="24"/>
          <w:lang w:eastAsia="zh-CN"/>
        </w:rPr>
        <w:t>≤</w:t>
      </w:r>
      <w:r>
        <w:rPr>
          <w:rFonts w:hint="eastAsia" w:hAnsi="Times New Roman" w:eastAsia="宋体"/>
          <w:szCs w:val="24"/>
          <w:lang w:eastAsia="zh-CN"/>
        </w:rPr>
        <w:t>1000mg/L后，通过</w:t>
      </w:r>
      <w:r>
        <w:rPr>
          <w:rFonts w:hAnsi="Times New Roman" w:eastAsia="宋体"/>
          <w:szCs w:val="24"/>
          <w:lang w:eastAsia="zh-CN"/>
        </w:rPr>
        <w:t>1.5km排水管道</w:t>
      </w:r>
      <w:r>
        <w:rPr>
          <w:rFonts w:hint="eastAsia" w:hAnsi="Times New Roman" w:eastAsia="宋体"/>
          <w:szCs w:val="24"/>
          <w:lang w:eastAsia="zh-CN"/>
        </w:rPr>
        <w:t>将矿井涌水</w:t>
      </w:r>
      <w:r>
        <w:rPr>
          <w:rFonts w:hAnsi="Times New Roman" w:eastAsia="宋体"/>
          <w:szCs w:val="24"/>
          <w:lang w:eastAsia="zh-CN"/>
        </w:rPr>
        <w:t>引至天生镇王一庙水源保护区下游河段（新宁河）排放</w:t>
      </w:r>
      <w:r>
        <w:rPr>
          <w:rFonts w:hint="eastAsia" w:hAnsi="Times New Roman" w:eastAsia="宋体"/>
          <w:szCs w:val="24"/>
          <w:lang w:eastAsia="zh-CN"/>
        </w:rPr>
        <w:t>，项目矿井涌水排放不会对</w:t>
      </w:r>
      <w:r>
        <w:rPr>
          <w:rFonts w:hAnsi="Times New Roman" w:eastAsia="宋体"/>
          <w:szCs w:val="24"/>
          <w:lang w:eastAsia="zh-CN"/>
        </w:rPr>
        <w:t>天生镇王一庙水源保护</w:t>
      </w:r>
      <w:r>
        <w:rPr>
          <w:rFonts w:hint="eastAsia" w:hAnsi="Times New Roman" w:eastAsia="宋体"/>
          <w:szCs w:val="24"/>
          <w:lang w:eastAsia="zh-CN"/>
        </w:rPr>
        <w:t>区水质产生影响。同时通过加强工业广场管理，建设完善的雨水导排沟，确保工业广场废物不流入</w:t>
      </w:r>
      <w:r>
        <w:rPr>
          <w:rFonts w:hAnsi="Times New Roman" w:eastAsia="宋体"/>
          <w:szCs w:val="24"/>
          <w:lang w:eastAsia="zh-CN"/>
        </w:rPr>
        <w:t>天生镇王一庙水源保护</w:t>
      </w:r>
      <w:r>
        <w:rPr>
          <w:rFonts w:hint="eastAsia" w:hAnsi="Times New Roman" w:eastAsia="宋体"/>
          <w:szCs w:val="24"/>
          <w:lang w:eastAsia="zh-CN"/>
        </w:rPr>
        <w:t>区，因此工业广场废水不会对</w:t>
      </w:r>
      <w:r>
        <w:rPr>
          <w:rFonts w:hAnsi="Times New Roman" w:eastAsia="宋体"/>
          <w:szCs w:val="24"/>
          <w:lang w:eastAsia="zh-CN"/>
        </w:rPr>
        <w:t>天生镇王一庙水源保护</w:t>
      </w:r>
      <w:r>
        <w:rPr>
          <w:rFonts w:hint="eastAsia" w:hAnsi="Times New Roman" w:eastAsia="宋体"/>
          <w:szCs w:val="24"/>
          <w:lang w:eastAsia="zh-CN"/>
        </w:rPr>
        <w:t>区产生影响。</w:t>
      </w:r>
    </w:p>
    <w:p>
      <w:pPr>
        <w:spacing w:line="360" w:lineRule="auto"/>
        <w:ind w:firstLine="480" w:firstLineChars="200"/>
        <w:rPr>
          <w:rFonts w:hAnsi="Times New Roman" w:eastAsia="宋体"/>
          <w:szCs w:val="24"/>
          <w:lang w:eastAsia="zh-CN"/>
        </w:rPr>
      </w:pPr>
      <w:r>
        <w:rPr>
          <w:rFonts w:hint="eastAsia" w:hAnsi="Times New Roman" w:eastAsia="宋体"/>
          <w:szCs w:val="24"/>
          <w:lang w:eastAsia="zh-CN"/>
        </w:rPr>
        <w:t>项目矿区范围位于</w:t>
      </w:r>
      <w:r>
        <w:rPr>
          <w:rFonts w:hAnsi="Times New Roman" w:eastAsia="宋体"/>
          <w:szCs w:val="24"/>
          <w:lang w:eastAsia="zh-CN"/>
        </w:rPr>
        <w:t>天生镇王一庙水源保护</w:t>
      </w:r>
      <w:r>
        <w:rPr>
          <w:rFonts w:hint="eastAsia" w:hAnsi="Times New Roman" w:eastAsia="宋体"/>
          <w:szCs w:val="24"/>
          <w:lang w:eastAsia="zh-CN"/>
        </w:rPr>
        <w:t>区西南侧，最近距离约为2.5km，且中间有宣汉县国家森林公园阻隔，根据调查，矿区开采地层与</w:t>
      </w:r>
      <w:r>
        <w:rPr>
          <w:rFonts w:hAnsi="Times New Roman" w:eastAsia="宋体"/>
          <w:szCs w:val="24"/>
          <w:lang w:eastAsia="zh-CN"/>
        </w:rPr>
        <w:t>天生镇王一庙水源</w:t>
      </w:r>
      <w:r>
        <w:rPr>
          <w:rFonts w:hint="eastAsia" w:hAnsi="Times New Roman" w:eastAsia="宋体"/>
          <w:szCs w:val="24"/>
          <w:lang w:eastAsia="zh-CN"/>
        </w:rPr>
        <w:t>地地下水分属不同的水文地质单元，矿区开采资源储量范围与王一庙水源地地下水之间无直接水力联系，因此矿区开采对王一庙水源地水量也不会产生影响。</w:t>
      </w:r>
    </w:p>
    <w:p>
      <w:pPr>
        <w:spacing w:line="360" w:lineRule="auto"/>
        <w:ind w:firstLine="480" w:firstLineChars="200"/>
        <w:rPr>
          <w:rFonts w:hAnsi="Times New Roman" w:eastAsia="宋体"/>
          <w:szCs w:val="24"/>
          <w:lang w:eastAsia="zh-CN"/>
        </w:rPr>
      </w:pPr>
      <w:r>
        <w:rPr>
          <w:rFonts w:hint="eastAsia" w:hAnsi="Times New Roman" w:eastAsia="宋体"/>
          <w:szCs w:val="24"/>
          <w:lang w:eastAsia="zh-CN"/>
        </w:rPr>
        <w:t>建设单位编制了《七里峡煤矿30万吨/年独立升级改造项目对宣汉县天生镇</w:t>
      </w:r>
      <w:r>
        <w:rPr>
          <w:rFonts w:hAnsi="Times New Roman" w:eastAsia="宋体"/>
          <w:szCs w:val="24"/>
        </w:rPr>
        <w:t>王一庙（村级）集中式饮用水水源地</w:t>
      </w:r>
      <w:r>
        <w:rPr>
          <w:rFonts w:hint="eastAsia" w:hAnsi="Times New Roman" w:eastAsia="宋体"/>
          <w:szCs w:val="24"/>
        </w:rPr>
        <w:t>影响论证报告</w:t>
      </w:r>
      <w:r>
        <w:rPr>
          <w:rFonts w:hint="eastAsia" w:hAnsi="Times New Roman" w:eastAsia="宋体"/>
          <w:szCs w:val="24"/>
          <w:lang w:eastAsia="zh-CN"/>
        </w:rPr>
        <w:t>》，并取得专家评估意见，明确项目对宣汉县天生镇</w:t>
      </w:r>
      <w:r>
        <w:rPr>
          <w:rFonts w:hAnsi="Times New Roman" w:eastAsia="宋体"/>
          <w:szCs w:val="24"/>
        </w:rPr>
        <w:t>王一庙（村级）集中式饮用水水源地</w:t>
      </w:r>
      <w:r>
        <w:rPr>
          <w:rFonts w:hint="eastAsia" w:hAnsi="Times New Roman" w:eastAsia="宋体"/>
          <w:szCs w:val="24"/>
        </w:rPr>
        <w:t>水质、水量不会造成影响。详见附件</w:t>
      </w:r>
      <w:r>
        <w:rPr>
          <w:rFonts w:hint="eastAsia" w:hAnsi="Times New Roman" w:eastAsia="宋体"/>
          <w:szCs w:val="24"/>
          <w:lang w:eastAsia="zh-CN"/>
        </w:rPr>
        <w:t>44。</w:t>
      </w:r>
    </w:p>
    <w:p>
      <w:pPr>
        <w:spacing w:line="360" w:lineRule="auto"/>
        <w:ind w:firstLine="480" w:firstLineChars="200"/>
        <w:rPr>
          <w:rFonts w:hAnsi="Times New Roman" w:eastAsia="宋体"/>
          <w:szCs w:val="24"/>
          <w:lang w:eastAsia="zh-CN"/>
        </w:rPr>
      </w:pPr>
      <w:r>
        <w:rPr>
          <w:rFonts w:hint="eastAsia" w:hAnsi="Times New Roman" w:eastAsia="宋体"/>
          <w:szCs w:val="24"/>
          <w:lang w:eastAsia="zh-CN"/>
        </w:rPr>
        <w:t>综上所述，本项目建设不会对宣汉县天生镇</w:t>
      </w:r>
      <w:r>
        <w:rPr>
          <w:rFonts w:hAnsi="Times New Roman" w:eastAsia="宋体"/>
          <w:szCs w:val="24"/>
          <w:lang w:eastAsia="zh-CN"/>
        </w:rPr>
        <w:t>王一庙（村级）集中式饮用水水源地</w:t>
      </w:r>
      <w:r>
        <w:rPr>
          <w:rFonts w:hint="eastAsia" w:hAnsi="Times New Roman" w:eastAsia="宋体"/>
          <w:szCs w:val="24"/>
          <w:lang w:eastAsia="zh-CN"/>
        </w:rPr>
        <w:t>产生影响。</w:t>
      </w:r>
    </w:p>
    <w:p>
      <w:pPr>
        <w:pStyle w:val="6"/>
        <w:rPr>
          <w:szCs w:val="22"/>
          <w:lang w:eastAsia="zh-CN"/>
        </w:rPr>
      </w:pPr>
      <w:bookmarkStart w:id="232" w:name="_Toc163812569"/>
      <w:bookmarkStart w:id="233" w:name="_Toc167095192"/>
      <w:r>
        <w:rPr>
          <w:rFonts w:hint="eastAsia"/>
          <w:szCs w:val="22"/>
          <w:lang w:eastAsia="zh-CN"/>
        </w:rPr>
        <w:t>4.3.9对水生生物的影响</w:t>
      </w:r>
      <w:bookmarkEnd w:id="232"/>
      <w:bookmarkEnd w:id="233"/>
    </w:p>
    <w:p>
      <w:pPr>
        <w:pStyle w:val="81"/>
        <w:ind w:firstLine="480" w:firstLineChars="200"/>
        <w:jc w:val="both"/>
        <w:rPr>
          <w:rFonts w:ascii="Times New Roman" w:hAnsi="Times New Roman"/>
          <w:szCs w:val="24"/>
        </w:rPr>
      </w:pPr>
      <w:r>
        <w:rPr>
          <w:rFonts w:ascii="Times New Roman" w:hAnsi="Times New Roman" w:eastAsia="宋体"/>
          <w:kern w:val="2"/>
          <w:szCs w:val="24"/>
          <w:lang w:eastAsia="zh-CN"/>
        </w:rPr>
        <w:t>评价范围内的河流水流量随季节变化较大，受大气降水的控制，动态变化明显，是区域内地表径流的排泄区，水流量随季节变化大，枯季流量较小或干枯，天然落差较大。本项目仅在现有用地范围内进行建设，不直接影响地表水体，不会使鱼类等水生生物种群数量造成影响。</w:t>
      </w:r>
    </w:p>
    <w:p>
      <w:pPr>
        <w:spacing w:line="360" w:lineRule="auto"/>
        <w:ind w:firstLine="480" w:firstLineChars="200"/>
      </w:pPr>
      <w:r>
        <w:rPr>
          <w:rFonts w:hAnsi="Times New Roman" w:eastAsia="宋体"/>
          <w:szCs w:val="24"/>
        </w:rPr>
        <w:t>根据《矿井水患现状调查报告》，七里峡煤矿井下共设置有5个水文观测站，总涌水量为200m</w:t>
      </w:r>
      <w:r>
        <w:rPr>
          <w:rFonts w:hAnsi="Times New Roman" w:eastAsia="宋体"/>
          <w:szCs w:val="24"/>
          <w:vertAlign w:val="superscript"/>
        </w:rPr>
        <w:t>3</w:t>
      </w:r>
      <w:r>
        <w:rPr>
          <w:rFonts w:hAnsi="Times New Roman" w:eastAsia="宋体"/>
          <w:szCs w:val="24"/>
        </w:rPr>
        <w:t>/h。其中主平硐涌水量25.3m</w:t>
      </w:r>
      <w:r>
        <w:rPr>
          <w:rFonts w:hAnsi="Times New Roman" w:eastAsia="宋体"/>
          <w:szCs w:val="24"/>
          <w:vertAlign w:val="superscript"/>
        </w:rPr>
        <w:t>3</w:t>
      </w:r>
      <w:r>
        <w:rPr>
          <w:rFonts w:hAnsi="Times New Roman" w:eastAsia="宋体"/>
          <w:szCs w:val="24"/>
        </w:rPr>
        <w:t>/h，+411副平硐涌水量35.6m</w:t>
      </w:r>
      <w:r>
        <w:rPr>
          <w:rFonts w:hAnsi="Times New Roman" w:eastAsia="宋体"/>
          <w:szCs w:val="24"/>
          <w:vertAlign w:val="superscript"/>
        </w:rPr>
        <w:t>3</w:t>
      </w:r>
      <w:r>
        <w:rPr>
          <w:rFonts w:hAnsi="Times New Roman" w:eastAsia="宋体"/>
          <w:szCs w:val="24"/>
        </w:rPr>
        <w:t>/h，+548m回风平硐涌水量15.2m</w:t>
      </w:r>
      <w:r>
        <w:rPr>
          <w:rFonts w:hAnsi="Times New Roman" w:eastAsia="宋体"/>
          <w:szCs w:val="24"/>
          <w:vertAlign w:val="superscript"/>
        </w:rPr>
        <w:t>3</w:t>
      </w:r>
      <w:r>
        <w:rPr>
          <w:rFonts w:hAnsi="Times New Roman" w:eastAsia="宋体"/>
          <w:szCs w:val="24"/>
        </w:rPr>
        <w:t>/h，+572m回风平硐涌水量38.3m</w:t>
      </w:r>
      <w:r>
        <w:rPr>
          <w:rFonts w:hAnsi="Times New Roman" w:eastAsia="宋体"/>
          <w:szCs w:val="24"/>
          <w:vertAlign w:val="superscript"/>
        </w:rPr>
        <w:t>3</w:t>
      </w:r>
      <w:r>
        <w:rPr>
          <w:rFonts w:hAnsi="Times New Roman" w:eastAsia="宋体"/>
          <w:szCs w:val="24"/>
        </w:rPr>
        <w:t>/h，+200m水平涌水量85.5m</w:t>
      </w:r>
      <w:r>
        <w:rPr>
          <w:rFonts w:hAnsi="Times New Roman" w:eastAsia="宋体"/>
          <w:szCs w:val="24"/>
          <w:vertAlign w:val="superscript"/>
        </w:rPr>
        <w:t>3</w:t>
      </w:r>
      <w:r>
        <w:rPr>
          <w:rFonts w:hAnsi="Times New Roman" w:eastAsia="宋体"/>
          <w:szCs w:val="24"/>
        </w:rPr>
        <w:t>/h。基本能代表当前矿井正常涌水量，随着开采的进行，矿井涌水量将进一步增大。矿井涌水量见表</w:t>
      </w:r>
      <w:r>
        <w:rPr>
          <w:rFonts w:hint="eastAsia" w:hAnsi="Times New Roman" w:eastAsia="宋体"/>
          <w:szCs w:val="24"/>
          <w:lang w:eastAsia="zh-CN"/>
        </w:rPr>
        <w:t>4.3-3</w:t>
      </w:r>
      <w:r>
        <w:rPr>
          <w:rFonts w:hAnsi="Times New Roman" w:eastAsia="宋体"/>
          <w:szCs w:val="24"/>
        </w:rPr>
        <w:t>。</w:t>
      </w:r>
    </w:p>
    <w:p>
      <w:pPr>
        <w:pStyle w:val="104"/>
        <w:ind w:firstLine="0" w:firstLineChars="0"/>
        <w:jc w:val="center"/>
        <w:rPr>
          <w:rFonts w:ascii="Times New Roman" w:hAnsi="Times New Roman"/>
          <w:b/>
          <w:color w:val="auto"/>
          <w:sz w:val="21"/>
          <w:szCs w:val="21"/>
          <w:lang w:val="en-US"/>
        </w:rPr>
      </w:pPr>
      <w:r>
        <w:rPr>
          <w:rFonts w:ascii="Times New Roman" w:hAnsi="Times New Roman"/>
          <w:b/>
          <w:color w:val="auto"/>
          <w:sz w:val="21"/>
          <w:szCs w:val="21"/>
        </w:rPr>
        <w:t>表</w:t>
      </w:r>
      <w:r>
        <w:rPr>
          <w:rFonts w:hint="eastAsia" w:ascii="Times New Roman" w:hAnsi="Times New Roman"/>
          <w:b/>
          <w:color w:val="auto"/>
          <w:sz w:val="21"/>
          <w:szCs w:val="21"/>
          <w:lang w:val="en-US"/>
        </w:rPr>
        <w:t xml:space="preserve">4.3-3 </w:t>
      </w:r>
      <w:r>
        <w:rPr>
          <w:rFonts w:ascii="Times New Roman" w:hAnsi="Times New Roman"/>
          <w:b/>
          <w:color w:val="auto"/>
          <w:sz w:val="21"/>
          <w:szCs w:val="21"/>
        </w:rPr>
        <w:t>矿井涌水量一览表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9"/>
        <w:gridCol w:w="1827"/>
        <w:gridCol w:w="2485"/>
        <w:gridCol w:w="987"/>
        <w:gridCol w:w="960"/>
        <w:gridCol w:w="25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0" w:type="pct"/>
            <w:vMerge w:val="restar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b/>
                <w:color w:val="auto"/>
                <w:sz w:val="21"/>
                <w:szCs w:val="21"/>
              </w:rPr>
            </w:pPr>
            <w:r>
              <w:rPr>
                <w:rFonts w:hint="eastAsia" w:ascii="Times New Roman" w:hAnsi="Times New Roman"/>
                <w:b/>
                <w:color w:val="auto"/>
                <w:sz w:val="21"/>
                <w:szCs w:val="21"/>
              </w:rPr>
              <w:t>序号</w:t>
            </w:r>
          </w:p>
        </w:tc>
        <w:tc>
          <w:tcPr>
            <w:tcW w:w="978" w:type="pct"/>
            <w:vMerge w:val="restar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b/>
                <w:color w:val="auto"/>
                <w:sz w:val="21"/>
                <w:szCs w:val="21"/>
              </w:rPr>
            </w:pPr>
            <w:r>
              <w:rPr>
                <w:rFonts w:hint="eastAsia" w:ascii="Times New Roman" w:hAnsi="Times New Roman"/>
                <w:b/>
                <w:color w:val="auto"/>
                <w:sz w:val="21"/>
                <w:szCs w:val="21"/>
              </w:rPr>
              <w:t>生产系统</w:t>
            </w:r>
          </w:p>
        </w:tc>
        <w:tc>
          <w:tcPr>
            <w:tcW w:w="1330" w:type="pct"/>
            <w:vMerge w:val="restar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b/>
                <w:color w:val="auto"/>
                <w:sz w:val="21"/>
                <w:szCs w:val="21"/>
              </w:rPr>
            </w:pPr>
            <w:r>
              <w:rPr>
                <w:rFonts w:hint="eastAsia" w:ascii="Times New Roman" w:hAnsi="Times New Roman"/>
                <w:b/>
                <w:color w:val="auto"/>
                <w:sz w:val="21"/>
                <w:szCs w:val="21"/>
              </w:rPr>
              <w:t>涌水点位置</w:t>
            </w:r>
          </w:p>
        </w:tc>
        <w:tc>
          <w:tcPr>
            <w:tcW w:w="528"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b/>
                <w:color w:val="auto"/>
                <w:sz w:val="21"/>
                <w:szCs w:val="21"/>
              </w:rPr>
            </w:pPr>
            <w:r>
              <w:rPr>
                <w:rFonts w:hint="eastAsia" w:ascii="Times New Roman" w:hAnsi="Times New Roman"/>
                <w:b/>
                <w:color w:val="auto"/>
                <w:sz w:val="21"/>
                <w:szCs w:val="21"/>
              </w:rPr>
              <w:t>涌水量</w:t>
            </w:r>
          </w:p>
        </w:tc>
        <w:tc>
          <w:tcPr>
            <w:tcW w:w="514"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b/>
                <w:color w:val="auto"/>
                <w:sz w:val="21"/>
                <w:szCs w:val="21"/>
                <w:lang w:val="en-US"/>
              </w:rPr>
            </w:pPr>
            <w:r>
              <w:rPr>
                <w:rFonts w:hint="eastAsia" w:ascii="Times New Roman" w:hAnsi="Times New Roman"/>
                <w:b/>
                <w:color w:val="auto"/>
                <w:sz w:val="21"/>
                <w:szCs w:val="21"/>
                <w:lang w:val="en-US"/>
              </w:rPr>
              <w:t>合计</w:t>
            </w:r>
          </w:p>
        </w:tc>
        <w:tc>
          <w:tcPr>
            <w:tcW w:w="1341" w:type="pct"/>
            <w:vMerge w:val="restar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b/>
                <w:color w:val="auto"/>
                <w:sz w:val="21"/>
                <w:szCs w:val="21"/>
              </w:rPr>
            </w:pPr>
            <w:r>
              <w:rPr>
                <w:rFonts w:hint="eastAsia" w:ascii="Times New Roman" w:hAnsi="Times New Roman"/>
                <w:b/>
                <w:color w:val="auto"/>
                <w:sz w:val="21"/>
                <w:szCs w:val="21"/>
              </w:rPr>
              <w:t>备</w:t>
            </w:r>
            <w:r>
              <w:rPr>
                <w:rFonts w:hint="eastAsia" w:ascii="Times New Roman" w:hAnsi="Times New Roman"/>
                <w:b/>
                <w:color w:val="auto"/>
                <w:sz w:val="21"/>
                <w:szCs w:val="21"/>
                <w:lang w:val="en-US"/>
              </w:rPr>
              <w:t xml:space="preserve"> </w:t>
            </w:r>
            <w:r>
              <w:rPr>
                <w:rFonts w:hint="eastAsia" w:ascii="Times New Roman" w:hAnsi="Times New Roman"/>
                <w:b/>
                <w:color w:val="auto"/>
                <w:sz w:val="21"/>
                <w:szCs w:val="21"/>
              </w:rPr>
              <w:t>注（</w:t>
            </w:r>
            <w:r>
              <w:rPr>
                <w:rFonts w:hint="eastAsia" w:ascii="Times New Roman" w:hAnsi="Times New Roman"/>
                <w:b/>
                <w:color w:val="auto"/>
                <w:sz w:val="21"/>
                <w:szCs w:val="21"/>
                <w:lang w:val="en-US"/>
              </w:rPr>
              <w:t>m</w:t>
            </w:r>
            <w:r>
              <w:rPr>
                <w:rFonts w:hint="eastAsia" w:ascii="Times New Roman" w:hAnsi="Times New Roman"/>
                <w:b/>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10" w:type="pct"/>
            <w:vMerge w:val="continue"/>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b/>
                <w:color w:val="auto"/>
                <w:sz w:val="21"/>
                <w:szCs w:val="21"/>
              </w:rPr>
            </w:pPr>
          </w:p>
        </w:tc>
        <w:tc>
          <w:tcPr>
            <w:tcW w:w="978" w:type="pct"/>
            <w:vMerge w:val="continue"/>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b/>
                <w:color w:val="auto"/>
                <w:sz w:val="21"/>
                <w:szCs w:val="21"/>
              </w:rPr>
            </w:pPr>
          </w:p>
        </w:tc>
        <w:tc>
          <w:tcPr>
            <w:tcW w:w="1330" w:type="pct"/>
            <w:vMerge w:val="continue"/>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b/>
                <w:color w:val="auto"/>
                <w:sz w:val="21"/>
                <w:szCs w:val="21"/>
              </w:rPr>
            </w:pPr>
          </w:p>
        </w:tc>
        <w:tc>
          <w:tcPr>
            <w:tcW w:w="528"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b/>
                <w:color w:val="auto"/>
                <w:sz w:val="21"/>
                <w:szCs w:val="21"/>
              </w:rPr>
            </w:pPr>
            <w:r>
              <w:rPr>
                <w:rFonts w:hint="eastAsia" w:ascii="Times New Roman" w:hAnsi="Times New Roman"/>
                <w:b/>
                <w:color w:val="auto"/>
                <w:sz w:val="21"/>
                <w:szCs w:val="21"/>
              </w:rPr>
              <w:t>m</w:t>
            </w:r>
            <w:r>
              <w:rPr>
                <w:rFonts w:hint="eastAsia" w:ascii="Times New Roman" w:hAnsi="Times New Roman"/>
                <w:b/>
                <w:color w:val="auto"/>
                <w:sz w:val="21"/>
                <w:szCs w:val="21"/>
                <w:vertAlign w:val="superscript"/>
              </w:rPr>
              <w:t>3</w:t>
            </w:r>
            <w:r>
              <w:rPr>
                <w:rFonts w:hint="eastAsia" w:ascii="Times New Roman" w:hAnsi="Times New Roman"/>
                <w:b/>
                <w:color w:val="auto"/>
                <w:sz w:val="21"/>
                <w:szCs w:val="21"/>
              </w:rPr>
              <w:t>/h</w:t>
            </w:r>
          </w:p>
        </w:tc>
        <w:tc>
          <w:tcPr>
            <w:tcW w:w="514"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b/>
                <w:color w:val="auto"/>
                <w:sz w:val="21"/>
                <w:szCs w:val="21"/>
              </w:rPr>
            </w:pPr>
            <w:r>
              <w:rPr>
                <w:rFonts w:hint="eastAsia" w:ascii="Times New Roman" w:hAnsi="Times New Roman"/>
                <w:b/>
                <w:color w:val="auto"/>
                <w:sz w:val="21"/>
                <w:szCs w:val="21"/>
              </w:rPr>
              <w:t>m</w:t>
            </w:r>
            <w:r>
              <w:rPr>
                <w:rFonts w:hint="eastAsia" w:ascii="Times New Roman" w:hAnsi="Times New Roman"/>
                <w:b/>
                <w:color w:val="auto"/>
                <w:sz w:val="21"/>
                <w:szCs w:val="21"/>
                <w:vertAlign w:val="superscript"/>
              </w:rPr>
              <w:t>3</w:t>
            </w:r>
            <w:r>
              <w:rPr>
                <w:rFonts w:hint="eastAsia" w:ascii="Times New Roman" w:hAnsi="Times New Roman"/>
                <w:b/>
                <w:color w:val="auto"/>
                <w:sz w:val="21"/>
                <w:szCs w:val="21"/>
              </w:rPr>
              <w:t>/h</w:t>
            </w:r>
          </w:p>
        </w:tc>
        <w:tc>
          <w:tcPr>
            <w:tcW w:w="1341" w:type="pct"/>
            <w:vMerge w:val="continue"/>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b/>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10"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1</w:t>
            </w:r>
          </w:p>
        </w:tc>
        <w:tc>
          <w:tcPr>
            <w:tcW w:w="978"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rPr>
            </w:pPr>
            <w:r>
              <w:rPr>
                <w:rFonts w:hint="eastAsia" w:ascii="Times New Roman" w:hAnsi="Times New Roman"/>
                <w:color w:val="auto"/>
                <w:sz w:val="21"/>
                <w:szCs w:val="21"/>
                <w:lang w:val="en-US"/>
              </w:rPr>
              <w:t>主平硐</w:t>
            </w:r>
          </w:p>
        </w:tc>
        <w:tc>
          <w:tcPr>
            <w:tcW w:w="1330"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主平硐井口水沟</w:t>
            </w:r>
          </w:p>
        </w:tc>
        <w:tc>
          <w:tcPr>
            <w:tcW w:w="528"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25.4</w:t>
            </w:r>
          </w:p>
        </w:tc>
        <w:tc>
          <w:tcPr>
            <w:tcW w:w="514"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25.4</w:t>
            </w:r>
          </w:p>
        </w:tc>
        <w:tc>
          <w:tcPr>
            <w:tcW w:w="1341"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水沟断面 0.8×0.8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10"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2</w:t>
            </w:r>
          </w:p>
        </w:tc>
        <w:tc>
          <w:tcPr>
            <w:tcW w:w="978"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+548m回风平硐</w:t>
            </w:r>
          </w:p>
        </w:tc>
        <w:tc>
          <w:tcPr>
            <w:tcW w:w="1330"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井口水沟</w:t>
            </w:r>
          </w:p>
        </w:tc>
        <w:tc>
          <w:tcPr>
            <w:tcW w:w="528"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15.2</w:t>
            </w:r>
          </w:p>
        </w:tc>
        <w:tc>
          <w:tcPr>
            <w:tcW w:w="514"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15.2</w:t>
            </w:r>
          </w:p>
        </w:tc>
        <w:tc>
          <w:tcPr>
            <w:tcW w:w="1341"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水沟断面 0.4×0.4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10"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3</w:t>
            </w:r>
          </w:p>
        </w:tc>
        <w:tc>
          <w:tcPr>
            <w:tcW w:w="978"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+411m副平硐</w:t>
            </w:r>
          </w:p>
        </w:tc>
        <w:tc>
          <w:tcPr>
            <w:tcW w:w="1330"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井口水沟</w:t>
            </w:r>
          </w:p>
        </w:tc>
        <w:tc>
          <w:tcPr>
            <w:tcW w:w="528"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35.6</w:t>
            </w:r>
          </w:p>
        </w:tc>
        <w:tc>
          <w:tcPr>
            <w:tcW w:w="514"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35.6</w:t>
            </w:r>
          </w:p>
        </w:tc>
        <w:tc>
          <w:tcPr>
            <w:tcW w:w="1341"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水沟断面 0.5×0.5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10"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4</w:t>
            </w:r>
          </w:p>
        </w:tc>
        <w:tc>
          <w:tcPr>
            <w:tcW w:w="978"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+572m回风平硐</w:t>
            </w:r>
          </w:p>
        </w:tc>
        <w:tc>
          <w:tcPr>
            <w:tcW w:w="1330"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井口水沟</w:t>
            </w:r>
          </w:p>
        </w:tc>
        <w:tc>
          <w:tcPr>
            <w:tcW w:w="528"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38.3</w:t>
            </w:r>
          </w:p>
        </w:tc>
        <w:tc>
          <w:tcPr>
            <w:tcW w:w="514"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38.3</w:t>
            </w:r>
          </w:p>
        </w:tc>
        <w:tc>
          <w:tcPr>
            <w:tcW w:w="1341"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水沟断面 0.5×0.5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10" w:type="pct"/>
            <w:vMerge w:val="restar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5</w:t>
            </w:r>
          </w:p>
        </w:tc>
        <w:tc>
          <w:tcPr>
            <w:tcW w:w="978" w:type="pct"/>
            <w:vMerge w:val="restar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+200m水平</w:t>
            </w:r>
          </w:p>
        </w:tc>
        <w:tc>
          <w:tcPr>
            <w:tcW w:w="1330"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+200m西运输大巷水沟</w:t>
            </w:r>
          </w:p>
        </w:tc>
        <w:tc>
          <w:tcPr>
            <w:tcW w:w="528"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40.2</w:t>
            </w:r>
          </w:p>
        </w:tc>
        <w:tc>
          <w:tcPr>
            <w:tcW w:w="514" w:type="pct"/>
            <w:vMerge w:val="restar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85.5</w:t>
            </w:r>
          </w:p>
        </w:tc>
        <w:tc>
          <w:tcPr>
            <w:tcW w:w="1341"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10" w:type="pct"/>
            <w:vMerge w:val="continue"/>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p>
        </w:tc>
        <w:tc>
          <w:tcPr>
            <w:tcW w:w="978" w:type="pct"/>
            <w:vMerge w:val="continue"/>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p>
        </w:tc>
        <w:tc>
          <w:tcPr>
            <w:tcW w:w="1330"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+200m东运输大巷水沟</w:t>
            </w:r>
          </w:p>
        </w:tc>
        <w:tc>
          <w:tcPr>
            <w:tcW w:w="528"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45.3</w:t>
            </w:r>
          </w:p>
        </w:tc>
        <w:tc>
          <w:tcPr>
            <w:tcW w:w="514" w:type="pct"/>
            <w:vMerge w:val="continue"/>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p>
        </w:tc>
        <w:tc>
          <w:tcPr>
            <w:tcW w:w="1341"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10" w:type="pct"/>
            <w:vMerge w:val="continue"/>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p>
        </w:tc>
        <w:tc>
          <w:tcPr>
            <w:tcW w:w="978" w:type="pct"/>
            <w:vMerge w:val="continue"/>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p>
        </w:tc>
        <w:tc>
          <w:tcPr>
            <w:tcW w:w="1330"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+200m水仓入口</w:t>
            </w:r>
          </w:p>
        </w:tc>
        <w:tc>
          <w:tcPr>
            <w:tcW w:w="528"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85.5</w:t>
            </w:r>
          </w:p>
        </w:tc>
        <w:tc>
          <w:tcPr>
            <w:tcW w:w="514" w:type="pct"/>
            <w:vMerge w:val="continue"/>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p>
        </w:tc>
        <w:tc>
          <w:tcPr>
            <w:tcW w:w="1341"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288" w:type="pct"/>
            <w:gridSpan w:val="2"/>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全矿井合计</w:t>
            </w:r>
          </w:p>
        </w:tc>
        <w:tc>
          <w:tcPr>
            <w:tcW w:w="1330"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p>
        </w:tc>
        <w:tc>
          <w:tcPr>
            <w:tcW w:w="528"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p>
        </w:tc>
        <w:tc>
          <w:tcPr>
            <w:tcW w:w="514"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200.0</w:t>
            </w:r>
          </w:p>
        </w:tc>
        <w:tc>
          <w:tcPr>
            <w:tcW w:w="1341"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b/>
                <w:bCs/>
                <w:color w:val="auto"/>
                <w:sz w:val="21"/>
                <w:szCs w:val="21"/>
                <w:lang w:val="en-US"/>
              </w:rPr>
            </w:pPr>
          </w:p>
        </w:tc>
      </w:tr>
    </w:tbl>
    <w:p>
      <w:pPr>
        <w:spacing w:line="360" w:lineRule="auto"/>
        <w:ind w:firstLine="480" w:firstLineChars="200"/>
        <w:rPr>
          <w:rFonts w:hAnsi="Times New Roman" w:eastAsia="宋体"/>
          <w:szCs w:val="24"/>
        </w:rPr>
      </w:pPr>
      <w:r>
        <w:rPr>
          <w:rFonts w:hAnsi="Times New Roman" w:eastAsia="宋体"/>
          <w:szCs w:val="24"/>
        </w:rPr>
        <w:t>项目矿山开采运营后，由于矿井地下水疏干的问题，会外排矿井地下水至区域河沟内，对鱼类等水生生物产生一定的影响。经预算，七里峡煤矿+200m水平未来开采的正常涌水量为147.9m</w:t>
      </w:r>
      <w:r>
        <w:rPr>
          <w:rFonts w:hAnsi="Times New Roman" w:eastAsia="宋体"/>
          <w:szCs w:val="24"/>
          <w:vertAlign w:val="superscript"/>
        </w:rPr>
        <w:t>3</w:t>
      </w:r>
      <w:r>
        <w:rPr>
          <w:rFonts w:hAnsi="Times New Roman" w:eastAsia="宋体"/>
          <w:szCs w:val="24"/>
        </w:rPr>
        <w:t>/h，最大涌水量为221.9m</w:t>
      </w:r>
      <w:r>
        <w:rPr>
          <w:rFonts w:hAnsi="Times New Roman" w:eastAsia="宋体"/>
          <w:szCs w:val="24"/>
          <w:vertAlign w:val="superscript"/>
        </w:rPr>
        <w:t>3</w:t>
      </w:r>
      <w:r>
        <w:rPr>
          <w:rFonts w:hAnsi="Times New Roman" w:eastAsia="宋体"/>
          <w:szCs w:val="24"/>
        </w:rPr>
        <w:t>/h。涌水经处理后，除矿区自用外，其余部分排入</w:t>
      </w:r>
      <w:r>
        <w:rPr>
          <w:rFonts w:hint="eastAsia" w:hAnsi="Times New Roman" w:eastAsia="宋体"/>
          <w:szCs w:val="24"/>
        </w:rPr>
        <w:t>新宁河</w:t>
      </w:r>
      <w:r>
        <w:rPr>
          <w:rFonts w:hAnsi="Times New Roman" w:eastAsia="宋体"/>
          <w:szCs w:val="24"/>
        </w:rPr>
        <w:t>，一定程度上增加了河沟的水流量。外排水质达到《地表水环境质量标准》（GB3838-2002）中III类标准。项目地下水疏干中外排地下水至河沟中，其对河沟内水生生态环境起到一定的正向效应，经调查及访问，矿区紧邻的河沟内分布的主要是泥鳅及黄鳝等，资源量小；鲤鱼、草鱼、鲫鱼等经济鱼类分布在人工池塘。此外，河沟内还调查记录有田螺、螃蟹、水蚤等水生动物。项目实施运营期间，地下水的外排会增加河沟的径流量，可为鱼类等水生生物的生存提供有利环境。</w:t>
      </w:r>
    </w:p>
    <w:p>
      <w:pPr>
        <w:pStyle w:val="6"/>
        <w:rPr>
          <w:szCs w:val="22"/>
          <w:lang w:eastAsia="zh-CN"/>
        </w:rPr>
      </w:pPr>
      <w:bookmarkStart w:id="234" w:name="_Toc167095193"/>
      <w:bookmarkStart w:id="235" w:name="_Toc163812570"/>
      <w:r>
        <w:rPr>
          <w:rFonts w:hint="eastAsia"/>
          <w:szCs w:val="22"/>
          <w:lang w:eastAsia="zh-CN"/>
        </w:rPr>
        <w:t>4.3.10 对公益林的影响</w:t>
      </w:r>
      <w:bookmarkEnd w:id="234"/>
      <w:bookmarkEnd w:id="235"/>
    </w:p>
    <w:p>
      <w:pPr>
        <w:spacing w:line="360" w:lineRule="auto"/>
        <w:ind w:firstLine="480" w:firstLineChars="200"/>
        <w:rPr>
          <w:rFonts w:hAnsi="Times New Roman" w:eastAsia="宋体"/>
          <w:szCs w:val="24"/>
        </w:rPr>
      </w:pPr>
      <w:r>
        <w:rPr>
          <w:rFonts w:hAnsi="Times New Roman" w:eastAsia="宋体"/>
          <w:szCs w:val="24"/>
          <w:lang w:eastAsia="zh-CN"/>
        </w:rPr>
        <w:t>本项目为</w:t>
      </w:r>
      <w:r>
        <w:rPr>
          <w:rFonts w:hint="eastAsia" w:hAnsi="Times New Roman" w:eastAsia="宋体"/>
          <w:szCs w:val="24"/>
          <w:lang w:eastAsia="zh-CN"/>
        </w:rPr>
        <w:t>矿区</w:t>
      </w:r>
      <w:r>
        <w:rPr>
          <w:rFonts w:hAnsi="Times New Roman" w:eastAsia="宋体"/>
          <w:szCs w:val="24"/>
          <w:lang w:eastAsia="zh-CN"/>
        </w:rPr>
        <w:t>改</w:t>
      </w:r>
      <w:r>
        <w:rPr>
          <w:rFonts w:hint="eastAsia" w:hAnsi="Times New Roman" w:eastAsia="宋体"/>
          <w:szCs w:val="24"/>
          <w:lang w:eastAsia="zh-CN"/>
        </w:rPr>
        <w:t>扩</w:t>
      </w:r>
      <w:r>
        <w:rPr>
          <w:rFonts w:hAnsi="Times New Roman" w:eastAsia="宋体"/>
          <w:szCs w:val="24"/>
          <w:lang w:eastAsia="zh-CN"/>
        </w:rPr>
        <w:t>建项目，据《达州市宣汉县七里峡煤业有限公司七里峡煤矿扩建工程项目申请与安全审核报告》可知，本项目无新增占地，项目施工是在原址上进行改建，故本项目建设过程中不会占用公益林，不会对公益林造成破坏。</w:t>
      </w:r>
    </w:p>
    <w:p>
      <w:pPr>
        <w:spacing w:line="360" w:lineRule="auto"/>
        <w:ind w:firstLine="480" w:firstLineChars="200"/>
        <w:rPr>
          <w:rFonts w:hAnsi="Times New Roman" w:eastAsia="宋体"/>
          <w:szCs w:val="24"/>
        </w:rPr>
      </w:pPr>
      <w:r>
        <w:rPr>
          <w:rFonts w:hAnsi="Times New Roman" w:eastAsia="宋体"/>
          <w:szCs w:val="24"/>
          <w:lang w:val="zh-CN"/>
        </w:rPr>
        <w:t>根据</w:t>
      </w:r>
      <w:r>
        <w:rPr>
          <w:rFonts w:hint="eastAsia" w:hAnsi="Times New Roman" w:eastAsia="宋体"/>
          <w:szCs w:val="24"/>
          <w:lang w:eastAsia="zh-CN"/>
        </w:rPr>
        <w:t>资料</w:t>
      </w:r>
      <w:r>
        <w:rPr>
          <w:rFonts w:hAnsi="Times New Roman" w:eastAsia="宋体"/>
          <w:szCs w:val="24"/>
          <w:lang w:eastAsia="zh-CN"/>
        </w:rPr>
        <w:t>报告</w:t>
      </w:r>
      <w:r>
        <w:rPr>
          <w:rFonts w:hAnsi="Times New Roman" w:eastAsia="宋体"/>
          <w:szCs w:val="24"/>
          <w:lang w:val="zh-CN"/>
        </w:rPr>
        <w:t>及</w:t>
      </w:r>
      <w:r>
        <w:rPr>
          <w:rFonts w:hAnsi="Times New Roman" w:eastAsia="宋体"/>
          <w:szCs w:val="24"/>
          <w:lang w:eastAsia="zh-CN"/>
        </w:rPr>
        <w:t>调查</w:t>
      </w:r>
      <w:r>
        <w:rPr>
          <w:rFonts w:hAnsi="Times New Roman" w:eastAsia="宋体"/>
          <w:szCs w:val="24"/>
          <w:lang w:val="zh-CN"/>
        </w:rPr>
        <w:t>，</w:t>
      </w:r>
      <w:r>
        <w:rPr>
          <w:rFonts w:hint="eastAsia" w:hAnsi="Times New Roman" w:eastAsia="宋体"/>
          <w:szCs w:val="24"/>
          <w:lang w:eastAsia="zh-CN"/>
        </w:rPr>
        <w:t>七里峡煤矿施工过程中</w:t>
      </w:r>
      <w:r>
        <w:rPr>
          <w:rFonts w:hAnsi="Times New Roman" w:eastAsia="宋体"/>
          <w:szCs w:val="24"/>
          <w:lang w:eastAsia="zh-CN"/>
        </w:rPr>
        <w:t>不占用公益林，但在评价范围内有公益林分布，面积约</w:t>
      </w:r>
      <w:r>
        <w:rPr>
          <w:rFonts w:hint="eastAsia" w:hAnsi="Times New Roman" w:eastAsia="宋体"/>
          <w:szCs w:val="24"/>
          <w:lang w:eastAsia="zh-CN"/>
        </w:rPr>
        <w:t>229.47</w:t>
      </w:r>
      <w:r>
        <w:rPr>
          <w:rFonts w:hAnsi="Times New Roman" w:eastAsia="宋体"/>
          <w:szCs w:val="24"/>
          <w:lang w:eastAsia="zh-CN"/>
        </w:rPr>
        <w:t>hm</w:t>
      </w:r>
      <w:r>
        <w:rPr>
          <w:rFonts w:hAnsi="Times New Roman" w:eastAsia="宋体"/>
          <w:szCs w:val="24"/>
          <w:vertAlign w:val="superscript"/>
          <w:lang w:eastAsia="zh-CN"/>
        </w:rPr>
        <w:t>2</w:t>
      </w:r>
      <w:r>
        <w:rPr>
          <w:rFonts w:hAnsi="Times New Roman" w:eastAsia="宋体"/>
          <w:szCs w:val="24"/>
          <w:lang w:eastAsia="zh-CN"/>
        </w:rPr>
        <w:t>，占评价区总面积（1325.7002 hm</w:t>
      </w:r>
      <w:r>
        <w:rPr>
          <w:rFonts w:hAnsi="Times New Roman" w:eastAsia="宋体"/>
          <w:szCs w:val="24"/>
          <w:vertAlign w:val="superscript"/>
          <w:lang w:eastAsia="zh-CN"/>
        </w:rPr>
        <w:t>2</w:t>
      </w:r>
      <w:r>
        <w:rPr>
          <w:rFonts w:hAnsi="Times New Roman" w:eastAsia="宋体"/>
          <w:szCs w:val="24"/>
          <w:lang w:eastAsia="zh-CN"/>
        </w:rPr>
        <w:t>）的</w:t>
      </w:r>
      <w:r>
        <w:rPr>
          <w:rFonts w:hint="eastAsia" w:hAnsi="Times New Roman" w:eastAsia="宋体"/>
          <w:szCs w:val="24"/>
          <w:lang w:eastAsia="zh-CN"/>
        </w:rPr>
        <w:t>17.31</w:t>
      </w:r>
      <w:r>
        <w:rPr>
          <w:rFonts w:hAnsi="Times New Roman" w:eastAsia="宋体"/>
          <w:szCs w:val="24"/>
          <w:lang w:eastAsia="zh-CN"/>
        </w:rPr>
        <w:t>%。优势树种为柏木、</w:t>
      </w:r>
      <w:r>
        <w:rPr>
          <w:rFonts w:hint="eastAsia" w:hAnsi="Times New Roman" w:eastAsia="宋体"/>
          <w:szCs w:val="24"/>
          <w:lang w:eastAsia="zh-CN"/>
        </w:rPr>
        <w:t>马尾松等</w:t>
      </w:r>
      <w:r>
        <w:rPr>
          <w:rFonts w:hAnsi="Times New Roman" w:eastAsia="宋体"/>
          <w:szCs w:val="24"/>
          <w:lang w:eastAsia="zh-CN"/>
        </w:rPr>
        <w:t>，这些树种在评价区广泛分布。</w:t>
      </w:r>
      <w:r>
        <w:rPr>
          <w:rFonts w:hAnsi="Times New Roman" w:eastAsia="宋体"/>
          <w:szCs w:val="24"/>
        </w:rPr>
        <w:t>项目周边无一级国家级公益林分布</w:t>
      </w:r>
      <w:r>
        <w:rPr>
          <w:rFonts w:hAnsi="Times New Roman" w:eastAsia="宋体"/>
          <w:szCs w:val="24"/>
          <w:lang w:eastAsia="zh-CN"/>
        </w:rPr>
        <w:t>。</w:t>
      </w:r>
    </w:p>
    <w:p>
      <w:pPr>
        <w:spacing w:line="360" w:lineRule="auto"/>
        <w:jc w:val="center"/>
        <w:rPr>
          <w:rFonts w:hAnsi="Times New Roman" w:eastAsia="宋体"/>
          <w:b/>
          <w:bCs/>
          <w:szCs w:val="24"/>
        </w:rPr>
      </w:pPr>
      <w:r>
        <w:rPr>
          <w:rFonts w:hAnsi="Times New Roman" w:eastAsia="宋体"/>
          <w:b/>
          <w:bCs/>
          <w:szCs w:val="24"/>
        </w:rPr>
        <w:drawing>
          <wp:inline distT="0" distB="0" distL="114300" distR="114300">
            <wp:extent cx="2715260" cy="3837305"/>
            <wp:effectExtent l="0" t="0" r="8890" b="10795"/>
            <wp:docPr id="5" name="图片 5" descr="评价范围内公益林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评价范围内公益林分布图"/>
                    <pic:cNvPicPr>
                      <a:picLocks noChangeAspect="1"/>
                    </pic:cNvPicPr>
                  </pic:nvPicPr>
                  <pic:blipFill>
                    <a:blip r:embed="rId40"/>
                    <a:stretch>
                      <a:fillRect/>
                    </a:stretch>
                  </pic:blipFill>
                  <pic:spPr>
                    <a:xfrm>
                      <a:off x="0" y="0"/>
                      <a:ext cx="2715260" cy="3837305"/>
                    </a:xfrm>
                    <a:prstGeom prst="rect">
                      <a:avLst/>
                    </a:prstGeom>
                  </pic:spPr>
                </pic:pic>
              </a:graphicData>
            </a:graphic>
          </wp:inline>
        </w:drawing>
      </w:r>
    </w:p>
    <w:p>
      <w:pPr>
        <w:spacing w:line="360" w:lineRule="auto"/>
        <w:jc w:val="center"/>
        <w:rPr>
          <w:rFonts w:hAnsi="Times New Roman" w:eastAsia="宋体"/>
          <w:szCs w:val="24"/>
        </w:rPr>
      </w:pPr>
      <w:r>
        <w:rPr>
          <w:rFonts w:hAnsi="Times New Roman" w:eastAsia="宋体"/>
          <w:b/>
          <w:bCs/>
          <w:sz w:val="21"/>
          <w:szCs w:val="21"/>
          <w:lang w:eastAsia="zh-CN"/>
        </w:rPr>
        <w:t>图</w:t>
      </w:r>
      <w:r>
        <w:rPr>
          <w:rFonts w:hint="eastAsia" w:hAnsi="Times New Roman" w:eastAsia="宋体"/>
          <w:b/>
          <w:bCs/>
          <w:sz w:val="21"/>
          <w:szCs w:val="21"/>
          <w:lang w:eastAsia="zh-CN"/>
        </w:rPr>
        <w:t xml:space="preserve">4.3-2 </w:t>
      </w:r>
      <w:r>
        <w:rPr>
          <w:rFonts w:hAnsi="Times New Roman" w:eastAsia="宋体"/>
          <w:b/>
          <w:bCs/>
          <w:sz w:val="21"/>
          <w:szCs w:val="21"/>
          <w:lang w:eastAsia="zh-CN"/>
        </w:rPr>
        <w:t>项目与公益林位置关系图</w:t>
      </w:r>
    </w:p>
    <w:p>
      <w:pPr>
        <w:widowControl/>
        <w:autoSpaceDE w:val="0"/>
        <w:adjustRightInd w:val="0"/>
        <w:snapToGrid w:val="0"/>
        <w:spacing w:line="360" w:lineRule="auto"/>
        <w:ind w:firstLine="480" w:firstLineChars="200"/>
        <w:jc w:val="left"/>
        <w:rPr>
          <w:rFonts w:hAnsi="Times New Roman" w:eastAsia="宋体"/>
        </w:rPr>
      </w:pPr>
      <w:bookmarkStart w:id="236" w:name="_Toc163812571"/>
      <w:r>
        <w:rPr>
          <w:rFonts w:hint="eastAsia" w:hAnsi="Times New Roman" w:eastAsia="宋体"/>
        </w:rPr>
        <w:t>由于本项目主要是对矿区进行改造升级</w:t>
      </w:r>
      <w:r>
        <w:rPr>
          <w:rFonts w:hAnsi="Times New Roman" w:eastAsia="宋体"/>
        </w:rPr>
        <w:t>，</w:t>
      </w:r>
      <w:r>
        <w:rPr>
          <w:rFonts w:hint="eastAsia" w:hAnsi="Times New Roman" w:eastAsia="宋体"/>
        </w:rPr>
        <w:t>在地表上的工</w:t>
      </w:r>
      <w:r>
        <w:rPr>
          <w:rFonts w:hAnsi="Times New Roman" w:eastAsia="宋体"/>
        </w:rPr>
        <w:t>程施工产生的粉尘、施工</w:t>
      </w:r>
      <w:r>
        <w:rPr>
          <w:rFonts w:hint="eastAsia" w:hAnsi="Times New Roman" w:eastAsia="宋体"/>
          <w:lang w:eastAsia="zh-CN"/>
        </w:rPr>
        <w:t>机械</w:t>
      </w:r>
      <w:r>
        <w:rPr>
          <w:rFonts w:hAnsi="Times New Roman" w:eastAsia="宋体"/>
        </w:rPr>
        <w:t>尾气排放等对项目周边的公益林产生的影响较为微弱，工程施工不会长期对公益林造成影响。</w:t>
      </w:r>
      <w:r>
        <w:rPr>
          <w:rFonts w:hint="eastAsia" w:hAnsi="Times New Roman" w:eastAsia="宋体"/>
        </w:rPr>
        <w:t>地下改造</w:t>
      </w:r>
      <w:r>
        <w:rPr>
          <w:rFonts w:hint="eastAsia" w:hAnsi="Times New Roman" w:eastAsia="宋体"/>
          <w:lang w:eastAsia="zh-CN"/>
        </w:rPr>
        <w:t>设施施工</w:t>
      </w:r>
      <w:r>
        <w:rPr>
          <w:rFonts w:hint="eastAsia" w:hAnsi="Times New Roman" w:eastAsia="宋体"/>
        </w:rPr>
        <w:t>对公益林</w:t>
      </w:r>
      <w:r>
        <w:rPr>
          <w:rFonts w:hint="eastAsia" w:hAnsi="Times New Roman" w:eastAsia="宋体"/>
          <w:lang w:eastAsia="zh-CN"/>
        </w:rPr>
        <w:t>造成的影响，</w:t>
      </w:r>
      <w:r>
        <w:rPr>
          <w:rFonts w:hint="eastAsia" w:hAnsi="Times New Roman" w:eastAsia="宋体"/>
        </w:rPr>
        <w:t>主要因素是废水影响地下水，废水排放影响植物根系，受到废水污染的植物会死亡，影响植物正常生长。</w:t>
      </w:r>
      <w:r>
        <w:rPr>
          <w:rFonts w:hint="eastAsia" w:hAnsi="Times New Roman" w:eastAsia="宋体"/>
          <w:lang w:eastAsia="zh-CN"/>
        </w:rPr>
        <w:t>根据地下水检测情况，本项目区域地下水满足《地下水质量标准》（</w:t>
      </w:r>
      <w:r>
        <w:rPr>
          <w:rFonts w:hAnsi="Times New Roman" w:eastAsia="宋体"/>
          <w:lang w:eastAsia="zh-CN"/>
        </w:rPr>
        <w:t>GBT-14848-2017</w:t>
      </w:r>
      <w:r>
        <w:rPr>
          <w:rFonts w:hint="eastAsia" w:hAnsi="Times New Roman" w:eastAsia="宋体"/>
          <w:lang w:eastAsia="zh-CN"/>
        </w:rPr>
        <w:t>）</w:t>
      </w:r>
      <w:r>
        <w:rPr>
          <w:rFonts w:hAnsi="Times New Roman" w:eastAsia="宋体"/>
          <w:lang w:eastAsia="zh-CN"/>
        </w:rPr>
        <w:fldChar w:fldCharType="begin"/>
      </w:r>
      <w:r>
        <w:rPr>
          <w:rFonts w:hAnsi="Times New Roman" w:eastAsia="宋体"/>
          <w:lang w:eastAsia="zh-CN"/>
        </w:rPr>
        <w:instrText xml:space="preserve"> </w:instrText>
      </w:r>
      <w:r>
        <w:rPr>
          <w:rFonts w:hint="eastAsia" w:hAnsi="Times New Roman" w:eastAsia="宋体"/>
          <w:lang w:eastAsia="zh-CN"/>
        </w:rPr>
        <w:instrText xml:space="preserve">= 3 \* ROMAN</w:instrText>
      </w:r>
      <w:r>
        <w:rPr>
          <w:rFonts w:hAnsi="Times New Roman" w:eastAsia="宋体"/>
          <w:lang w:eastAsia="zh-CN"/>
        </w:rPr>
        <w:instrText xml:space="preserve"> </w:instrText>
      </w:r>
      <w:r>
        <w:rPr>
          <w:rFonts w:hAnsi="Times New Roman" w:eastAsia="宋体"/>
          <w:lang w:eastAsia="zh-CN"/>
        </w:rPr>
        <w:fldChar w:fldCharType="separate"/>
      </w:r>
      <w:r>
        <w:rPr>
          <w:rFonts w:hAnsi="Times New Roman" w:eastAsia="宋体"/>
          <w:lang w:eastAsia="zh-CN"/>
        </w:rPr>
        <w:t>III</w:t>
      </w:r>
      <w:r>
        <w:rPr>
          <w:rFonts w:hAnsi="Times New Roman" w:eastAsia="宋体"/>
          <w:lang w:eastAsia="zh-CN"/>
        </w:rPr>
        <w:fldChar w:fldCharType="end"/>
      </w:r>
      <w:r>
        <w:rPr>
          <w:rFonts w:hint="eastAsia" w:hAnsi="Times New Roman" w:eastAsia="宋体"/>
          <w:lang w:eastAsia="zh-CN"/>
        </w:rPr>
        <w:t>类标准限值要求。根据</w:t>
      </w:r>
      <w:r>
        <w:rPr>
          <w:rFonts w:hint="eastAsia" w:hAnsi="Times New Roman" w:eastAsia="宋体"/>
        </w:rPr>
        <w:t>《达州市宣汉县七里峡煤业有限公司七里峡煤矿保留+379m主平硐对“宣汉国家森林公园观音山景区”影响评价报告》可知，+379m主平硐距离地表深度最下距离为58m，</w:t>
      </w:r>
      <w:r>
        <w:rPr>
          <w:rFonts w:hint="eastAsia" w:hAnsi="Times New Roman" w:eastAsia="宋体"/>
          <w:lang w:eastAsia="zh-CN"/>
        </w:rPr>
        <w:t>改建施工产生的废水等</w:t>
      </w:r>
      <w:r>
        <w:rPr>
          <w:rFonts w:hint="eastAsia" w:hAnsi="Times New Roman" w:eastAsia="宋体"/>
        </w:rPr>
        <w:t>不会对公益林根系造成直接影响。</w:t>
      </w:r>
      <w:r>
        <w:rPr>
          <w:rFonts w:hint="eastAsia" w:hAnsi="Times New Roman" w:eastAsia="宋体"/>
          <w:lang w:eastAsia="zh-CN"/>
        </w:rPr>
        <w:t>同时在改造</w:t>
      </w:r>
      <w:r>
        <w:rPr>
          <w:rFonts w:hint="eastAsia" w:hAnsi="Times New Roman" w:eastAsia="宋体"/>
        </w:rPr>
        <w:t>过程中设备材料的运输，会产生短时间的扬尘，扬尘飘散附着到植物叶片上，会对林地植被产生一定影响，但这种影响是短期的、可逆的，会随着施工期的结束而结束。</w:t>
      </w:r>
      <w:r>
        <w:rPr>
          <w:rFonts w:hint="eastAsia" w:hAnsi="Times New Roman" w:eastAsia="宋体"/>
          <w:lang w:eastAsia="zh-CN"/>
        </w:rPr>
        <w:t>且本矿区已建成多年，本次工程内容是在原址地下进行改建施工，在改建施工过程中不会形成裸露地表，不会减少植被生物量，不会使土地水土流失加剧，不会影响地表植被的正常生长。对林地的影响不会再发生更大的变化，不会影响林地植被生长，因此对公益林植被影响较小。并根据本次实地调查情况可知，矿区周边森林植被丰富，</w:t>
      </w:r>
      <w:r>
        <w:rPr>
          <w:rFonts w:hAnsi="Times New Roman" w:eastAsia="宋体"/>
        </w:rPr>
        <w:t>故</w:t>
      </w:r>
      <w:r>
        <w:rPr>
          <w:rFonts w:hint="eastAsia" w:hAnsi="Times New Roman" w:eastAsia="宋体"/>
        </w:rPr>
        <w:t>七里峡煤矿</w:t>
      </w:r>
      <w:r>
        <w:rPr>
          <w:rFonts w:hAnsi="Times New Roman" w:eastAsia="宋体"/>
        </w:rPr>
        <w:t>改建项目工程施工对公益林造成的影响较小。</w:t>
      </w:r>
    </w:p>
    <w:p>
      <w:pPr>
        <w:pStyle w:val="6"/>
        <w:rPr>
          <w:szCs w:val="22"/>
          <w:lang w:eastAsia="zh-CN"/>
        </w:rPr>
      </w:pPr>
      <w:bookmarkStart w:id="237" w:name="_Toc167095194"/>
      <w:r>
        <w:rPr>
          <w:szCs w:val="22"/>
          <w:lang w:eastAsia="zh-CN"/>
        </w:rPr>
        <w:t>4.3.</w:t>
      </w:r>
      <w:r>
        <w:rPr>
          <w:rFonts w:hint="eastAsia"/>
          <w:szCs w:val="22"/>
          <w:lang w:eastAsia="zh-CN"/>
        </w:rPr>
        <w:t>11</w:t>
      </w:r>
      <w:r>
        <w:rPr>
          <w:szCs w:val="22"/>
          <w:lang w:eastAsia="zh-CN"/>
        </w:rPr>
        <w:t xml:space="preserve"> 对四川宣汉国家森林公园观音山景区的影响</w:t>
      </w:r>
      <w:bookmarkEnd w:id="236"/>
      <w:bookmarkEnd w:id="237"/>
    </w:p>
    <w:p>
      <w:pPr>
        <w:widowControl/>
        <w:autoSpaceDE w:val="0"/>
        <w:adjustRightInd w:val="0"/>
        <w:snapToGrid w:val="0"/>
        <w:spacing w:line="360" w:lineRule="auto"/>
        <w:ind w:firstLine="480" w:firstLineChars="200"/>
        <w:jc w:val="left"/>
        <w:rPr>
          <w:rFonts w:hAnsi="Times New Roman" w:eastAsia="宋体"/>
          <w:szCs w:val="24"/>
        </w:rPr>
      </w:pPr>
      <w:r>
        <w:rPr>
          <w:rFonts w:hAnsi="Times New Roman" w:eastAsia="宋体"/>
        </w:rPr>
        <w:t>观音山森林公园位于四川盆地东北大巴山南麓，达州市宣汉县柏树镇，面积24488亩，最高海拔1058﹒6米。以低山丘陵地貌为主，为中亚热带湿润季风气候区。观音山省级森林公园以丰富的自然景观见长，具有</w:t>
      </w:r>
      <w:r>
        <w:rPr>
          <w:rFonts w:hint="eastAsia" w:hAnsi="Times New Roman" w:eastAsia="宋体"/>
          <w:lang w:eastAsia="zh-CN"/>
        </w:rPr>
        <w:t>“</w:t>
      </w:r>
      <w:r>
        <w:rPr>
          <w:rFonts w:hAnsi="Times New Roman" w:eastAsia="宋体"/>
        </w:rPr>
        <w:t>奇（特）</w:t>
      </w:r>
      <w:r>
        <w:rPr>
          <w:rFonts w:hint="eastAsia" w:hAnsi="Times New Roman" w:eastAsia="宋体"/>
          <w:lang w:eastAsia="zh-CN"/>
        </w:rPr>
        <w:t>”</w:t>
      </w:r>
      <w:r>
        <w:rPr>
          <w:rFonts w:hAnsi="Times New Roman" w:eastAsia="宋体"/>
        </w:rPr>
        <w:t>、</w:t>
      </w:r>
      <w:r>
        <w:rPr>
          <w:rFonts w:hint="eastAsia" w:hAnsi="Times New Roman" w:eastAsia="宋体"/>
          <w:lang w:eastAsia="zh-CN"/>
        </w:rPr>
        <w:t>“</w:t>
      </w:r>
      <w:r>
        <w:rPr>
          <w:rFonts w:hAnsi="Times New Roman" w:eastAsia="宋体"/>
        </w:rPr>
        <w:t>秀（美）</w:t>
      </w:r>
      <w:r>
        <w:rPr>
          <w:rFonts w:hint="eastAsia" w:hAnsi="Times New Roman" w:eastAsia="宋体"/>
          <w:lang w:eastAsia="zh-CN"/>
        </w:rPr>
        <w:t>”</w:t>
      </w:r>
      <w:r>
        <w:rPr>
          <w:rFonts w:hAnsi="Times New Roman" w:eastAsia="宋体"/>
        </w:rPr>
        <w:t>、</w:t>
      </w:r>
      <w:r>
        <w:rPr>
          <w:rFonts w:hint="eastAsia" w:hAnsi="Times New Roman" w:eastAsia="宋体"/>
          <w:lang w:eastAsia="zh-CN"/>
        </w:rPr>
        <w:t>“</w:t>
      </w:r>
      <w:r>
        <w:rPr>
          <w:rFonts w:hAnsi="Times New Roman" w:eastAsia="宋体"/>
        </w:rPr>
        <w:t>古（扑）</w:t>
      </w:r>
      <w:r>
        <w:rPr>
          <w:rFonts w:hint="eastAsia" w:hAnsi="Times New Roman" w:eastAsia="宋体"/>
          <w:lang w:eastAsia="zh-CN"/>
        </w:rPr>
        <w:t>”</w:t>
      </w:r>
      <w:r>
        <w:rPr>
          <w:rFonts w:hAnsi="Times New Roman" w:eastAsia="宋体"/>
        </w:rPr>
        <w:t>、</w:t>
      </w:r>
      <w:r>
        <w:rPr>
          <w:rFonts w:hint="eastAsia" w:hAnsi="Times New Roman" w:eastAsia="宋体"/>
          <w:lang w:eastAsia="zh-CN"/>
        </w:rPr>
        <w:t>“</w:t>
      </w:r>
      <w:r>
        <w:rPr>
          <w:rFonts w:hAnsi="Times New Roman" w:eastAsia="宋体"/>
        </w:rPr>
        <w:t>幽（静）</w:t>
      </w:r>
      <w:r>
        <w:rPr>
          <w:rFonts w:hint="eastAsia" w:hAnsi="Times New Roman" w:eastAsia="宋体"/>
          <w:lang w:eastAsia="zh-CN"/>
        </w:rPr>
        <w:t>”</w:t>
      </w:r>
      <w:r>
        <w:rPr>
          <w:rFonts w:hAnsi="Times New Roman" w:eastAsia="宋体"/>
        </w:rPr>
        <w:t>、</w:t>
      </w:r>
      <w:r>
        <w:rPr>
          <w:rFonts w:hint="eastAsia" w:hAnsi="Times New Roman" w:eastAsia="宋体"/>
          <w:lang w:eastAsia="zh-CN"/>
        </w:rPr>
        <w:t>“</w:t>
      </w:r>
      <w:r>
        <w:rPr>
          <w:rFonts w:hAnsi="Times New Roman" w:eastAsia="宋体"/>
        </w:rPr>
        <w:t>神（奥）</w:t>
      </w:r>
      <w:r>
        <w:rPr>
          <w:rFonts w:hint="eastAsia" w:hAnsi="Times New Roman" w:eastAsia="宋体"/>
          <w:lang w:eastAsia="zh-CN"/>
        </w:rPr>
        <w:t>”</w:t>
      </w:r>
      <w:r>
        <w:rPr>
          <w:rFonts w:hAnsi="Times New Roman" w:eastAsia="宋体"/>
        </w:rPr>
        <w:t>的特色，站立</w:t>
      </w:r>
      <w:r>
        <w:rPr>
          <w:rFonts w:hint="eastAsia" w:hAnsi="Times New Roman" w:eastAsia="宋体"/>
          <w:lang w:eastAsia="zh-CN"/>
        </w:rPr>
        <w:t>山巅</w:t>
      </w:r>
      <w:r>
        <w:rPr>
          <w:rFonts w:hAnsi="Times New Roman" w:eastAsia="宋体"/>
        </w:rPr>
        <w:t>，朝观日出，</w:t>
      </w:r>
      <w:r>
        <w:rPr>
          <w:rFonts w:hint="eastAsia" w:hAnsi="Times New Roman" w:eastAsia="宋体"/>
          <w:lang w:eastAsia="zh-CN"/>
        </w:rPr>
        <w:t>“</w:t>
      </w:r>
      <w:r>
        <w:rPr>
          <w:rFonts w:hAnsi="Times New Roman" w:eastAsia="宋体"/>
        </w:rPr>
        <w:t>俨然</w:t>
      </w:r>
      <w:r>
        <w:rPr>
          <w:rFonts w:hint="eastAsia" w:hAnsi="Times New Roman" w:eastAsia="宋体"/>
          <w:lang w:eastAsia="zh-CN"/>
        </w:rPr>
        <w:t>峨眉”</w:t>
      </w:r>
      <w:r>
        <w:rPr>
          <w:rFonts w:hAnsi="Times New Roman" w:eastAsia="宋体"/>
        </w:rPr>
        <w:t>，晚赏夕阳，佛光万丈，其茂密的森林、多姿的山峰，潺潺的溪流，神秘的</w:t>
      </w:r>
      <w:r>
        <w:rPr>
          <w:rFonts w:hint="eastAsia" w:hAnsi="Times New Roman" w:eastAsia="宋体"/>
          <w:lang w:eastAsia="zh-CN"/>
        </w:rPr>
        <w:t>瀚海</w:t>
      </w:r>
      <w:r>
        <w:rPr>
          <w:rFonts w:hAnsi="Times New Roman" w:eastAsia="宋体"/>
        </w:rPr>
        <w:t>，迷人的溶洞、海洋动植物化石……共同构成了一系列神秘、幽静、秀丽、奇幻的自然景观。春有杜鹃分外饶，盛夏正好瞧青松，秋赏枫叶红满山，冬有雪花盖葱茏。四季可观日出、云海等奇观。公园内有丰富的动物资源、森林昆虫…达200种，植被丰富、种</w:t>
      </w:r>
      <w:r>
        <w:rPr>
          <w:rFonts w:hint="eastAsia" w:hAnsi="Times New Roman" w:eastAsia="宋体"/>
          <w:lang w:eastAsia="zh-CN"/>
        </w:rPr>
        <w:t>类</w:t>
      </w:r>
      <w:r>
        <w:rPr>
          <w:rFonts w:hAnsi="Times New Roman" w:eastAsia="宋体"/>
        </w:rPr>
        <w:t>繁多，空气清新，负氧离子含量高，野生药材遍山皆是</w:t>
      </w:r>
      <w:r>
        <w:rPr>
          <w:rFonts w:hAnsi="Times New Roman" w:eastAsia="宋体"/>
          <w:szCs w:val="24"/>
        </w:rPr>
        <w:t>。</w:t>
      </w:r>
    </w:p>
    <w:p>
      <w:pPr>
        <w:pStyle w:val="14"/>
        <w:overflowPunct w:val="0"/>
        <w:spacing w:line="360" w:lineRule="auto"/>
        <w:rPr>
          <w:rFonts w:ascii="Times New Roman" w:hAnsi="Times New Roman"/>
          <w:b/>
          <w:bCs w:val="0"/>
          <w:sz w:val="24"/>
          <w:lang w:eastAsia="zh-CN"/>
        </w:rPr>
      </w:pPr>
      <w:r>
        <w:rPr>
          <w:rFonts w:ascii="Times New Roman" w:hAnsi="Times New Roman"/>
          <w:b/>
          <w:bCs w:val="0"/>
          <w:sz w:val="24"/>
          <w:lang w:eastAsia="zh-CN"/>
        </w:rPr>
        <w:t>4.3.</w:t>
      </w:r>
      <w:r>
        <w:rPr>
          <w:rFonts w:hint="eastAsia" w:ascii="Times New Roman" w:hAnsi="Times New Roman"/>
          <w:b/>
          <w:bCs w:val="0"/>
          <w:sz w:val="24"/>
          <w:lang w:eastAsia="zh-CN"/>
        </w:rPr>
        <w:t>11</w:t>
      </w:r>
      <w:r>
        <w:rPr>
          <w:rFonts w:ascii="Times New Roman" w:hAnsi="Times New Roman"/>
          <w:b/>
          <w:bCs w:val="0"/>
          <w:sz w:val="24"/>
          <w:lang w:eastAsia="zh-CN"/>
        </w:rPr>
        <w:t xml:space="preserve">.1 项目与四川宣汉国家森林公园观音山景区的位置关系 </w:t>
      </w:r>
    </w:p>
    <w:p>
      <w:pPr>
        <w:spacing w:line="360" w:lineRule="auto"/>
        <w:ind w:firstLine="480" w:firstLineChars="200"/>
        <w:rPr>
          <w:rFonts w:hAnsi="Times New Roman" w:eastAsia="宋体"/>
          <w:lang w:eastAsia="zh-CN"/>
        </w:rPr>
      </w:pPr>
      <w:r>
        <w:rPr>
          <w:rFonts w:hint="eastAsia" w:hAnsi="Times New Roman" w:eastAsia="宋体"/>
          <w:lang w:eastAsia="zh-CN"/>
        </w:rPr>
        <w:t>本项目矿区范围位于宣汉国家森林公园观音山景区东侧，矿区距宣汉国家森林公园约37m。</w:t>
      </w:r>
    </w:p>
    <w:p>
      <w:pPr>
        <w:spacing w:line="360" w:lineRule="auto"/>
        <w:ind w:firstLine="480" w:firstLineChars="200"/>
        <w:rPr>
          <w:rFonts w:hAnsi="Times New Roman" w:eastAsia="宋体"/>
          <w:lang w:eastAsia="zh-CN"/>
        </w:rPr>
      </w:pPr>
      <w:r>
        <w:rPr>
          <w:rFonts w:hint="eastAsia" w:hAnsi="Times New Roman" w:eastAsia="宋体"/>
          <w:lang w:eastAsia="zh-CN"/>
        </w:rPr>
        <w:t>经叠图分析，项目与宣汉国家森林公园观音山景区位置关系图以及</w:t>
      </w:r>
      <w:r>
        <w:rPr>
          <w:rFonts w:hAnsi="Times New Roman" w:eastAsia="宋体"/>
          <w:lang w:eastAsia="zh-CN"/>
        </w:rPr>
        <w:t>主平硐与森林公园位置关系图</w:t>
      </w:r>
      <w:r>
        <w:rPr>
          <w:rFonts w:hint="eastAsia" w:hAnsi="Times New Roman" w:eastAsia="宋体"/>
          <w:lang w:eastAsia="zh-CN"/>
        </w:rPr>
        <w:t>见下图</w:t>
      </w:r>
      <w:r>
        <w:rPr>
          <w:rFonts w:hAnsi="Times New Roman" w:eastAsia="宋体"/>
          <w:lang w:eastAsia="zh-CN"/>
        </w:rPr>
        <w:t>。</w:t>
      </w:r>
    </w:p>
    <w:p>
      <w:pPr>
        <w:pStyle w:val="2"/>
        <w:ind w:left="0" w:leftChars="0" w:firstLine="0" w:firstLineChars="0"/>
        <w:rPr>
          <w:rFonts w:eastAsiaTheme="minorEastAsia"/>
          <w:lang w:eastAsia="zh-CN"/>
        </w:rPr>
      </w:pPr>
      <w:r>
        <w:drawing>
          <wp:inline distT="0" distB="0" distL="0" distR="0">
            <wp:extent cx="5796280" cy="2225675"/>
            <wp:effectExtent l="19050" t="19050" r="13970" b="22225"/>
            <wp:docPr id="20795905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590553" name="图片 1"/>
                    <pic:cNvPicPr>
                      <a:picLocks noChangeAspect="1"/>
                    </pic:cNvPicPr>
                  </pic:nvPicPr>
                  <pic:blipFill>
                    <a:blip r:embed="rId38"/>
                    <a:stretch>
                      <a:fillRect/>
                    </a:stretch>
                  </pic:blipFill>
                  <pic:spPr>
                    <a:xfrm>
                      <a:off x="0" y="0"/>
                      <a:ext cx="5796280" cy="2225675"/>
                    </a:xfrm>
                    <a:prstGeom prst="rect">
                      <a:avLst/>
                    </a:prstGeom>
                    <a:ln>
                      <a:solidFill>
                        <a:schemeClr val="tx1"/>
                      </a:solidFill>
                    </a:ln>
                  </pic:spPr>
                </pic:pic>
              </a:graphicData>
            </a:graphic>
          </wp:inline>
        </w:drawing>
      </w:r>
    </w:p>
    <w:p>
      <w:pPr>
        <w:spacing w:line="360" w:lineRule="auto"/>
        <w:jc w:val="center"/>
        <w:rPr>
          <w:rFonts w:hAnsi="Times New Roman" w:eastAsia="宋体"/>
          <w:b/>
          <w:bCs/>
          <w:sz w:val="21"/>
          <w:szCs w:val="21"/>
          <w:lang w:eastAsia="zh-CN"/>
        </w:rPr>
      </w:pPr>
      <w:r>
        <w:rPr>
          <w:rFonts w:hint="eastAsia" w:hAnsi="Times New Roman" w:eastAsia="宋体"/>
          <w:b/>
          <w:bCs/>
          <w:sz w:val="21"/>
          <w:szCs w:val="21"/>
          <w:lang w:eastAsia="zh-CN"/>
        </w:rPr>
        <w:t>图4.3-3 项目与宣汉国家森林公园观音山景区位置关系图</w:t>
      </w:r>
    </w:p>
    <w:p>
      <w:pPr>
        <w:pStyle w:val="2"/>
        <w:ind w:left="0" w:leftChars="0" w:firstLine="0" w:firstLineChars="0"/>
        <w:rPr>
          <w:rFonts w:eastAsiaTheme="minorEastAsia"/>
          <w:lang w:eastAsia="zh-CN"/>
        </w:rPr>
      </w:pPr>
      <w:r>
        <w:drawing>
          <wp:inline distT="0" distB="0" distL="0" distR="0">
            <wp:extent cx="5795645" cy="1532255"/>
            <wp:effectExtent l="0" t="0" r="0" b="0"/>
            <wp:docPr id="6427231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723199" name="图片 1"/>
                    <pic:cNvPicPr>
                      <a:picLocks noChangeAspect="1"/>
                    </pic:cNvPicPr>
                  </pic:nvPicPr>
                  <pic:blipFill>
                    <a:blip r:embed="rId112"/>
                    <a:stretch>
                      <a:fillRect/>
                    </a:stretch>
                  </pic:blipFill>
                  <pic:spPr>
                    <a:xfrm>
                      <a:off x="0" y="0"/>
                      <a:ext cx="5795645" cy="1532255"/>
                    </a:xfrm>
                    <a:prstGeom prst="rect">
                      <a:avLst/>
                    </a:prstGeom>
                  </pic:spPr>
                </pic:pic>
              </a:graphicData>
            </a:graphic>
          </wp:inline>
        </w:drawing>
      </w:r>
    </w:p>
    <w:p>
      <w:pPr>
        <w:spacing w:line="360" w:lineRule="auto"/>
        <w:jc w:val="center"/>
        <w:rPr>
          <w:rFonts w:hAnsi="Times New Roman" w:eastAsia="宋体"/>
          <w:b/>
          <w:bCs/>
          <w:sz w:val="21"/>
          <w:szCs w:val="21"/>
          <w:lang w:eastAsia="zh-CN"/>
        </w:rPr>
      </w:pPr>
      <w:r>
        <w:rPr>
          <w:rFonts w:hint="eastAsia" w:hAnsi="Times New Roman" w:eastAsia="宋体"/>
          <w:b/>
          <w:bCs/>
          <w:sz w:val="21"/>
          <w:szCs w:val="21"/>
          <w:lang w:eastAsia="zh-CN"/>
        </w:rPr>
        <w:t>图4.3-4 K-</w:t>
      </w:r>
      <w:r>
        <w:rPr>
          <w:rFonts w:hAnsi="Times New Roman" w:eastAsia="宋体"/>
          <w:b/>
          <w:bCs/>
          <w:sz w:val="21"/>
          <w:szCs w:val="21"/>
          <w:lang w:eastAsia="zh-CN"/>
        </w:rPr>
        <w:t>K′剖面</w:t>
      </w:r>
    </w:p>
    <w:p>
      <w:pPr>
        <w:spacing w:line="360" w:lineRule="auto"/>
        <w:ind w:firstLine="480" w:firstLineChars="200"/>
        <w:rPr>
          <w:rFonts w:hAnsi="Times New Roman" w:eastAsia="宋体"/>
          <w:lang w:eastAsia="zh-CN"/>
        </w:rPr>
      </w:pPr>
      <w:r>
        <w:rPr>
          <w:rFonts w:hint="eastAsia" w:hAnsi="Times New Roman" w:eastAsia="宋体"/>
          <w:lang w:eastAsia="zh-CN"/>
        </w:rPr>
        <w:t>保留井筒+379m</w:t>
      </w:r>
      <w:r>
        <w:rPr>
          <w:rFonts w:hAnsi="Times New Roman" w:eastAsia="宋体"/>
          <w:lang w:eastAsia="zh-CN"/>
        </w:rPr>
        <w:t>主平硐长1135m，其中73m～971m位于“宣汉国家森林公园观音山景区”下覆岩层中，长度898m，其巷道距地表58m～430m。</w:t>
      </w:r>
      <w:r>
        <w:rPr>
          <w:rFonts w:hint="eastAsia" w:hAnsi="Times New Roman" w:eastAsia="宋体"/>
          <w:lang w:eastAsia="zh-CN"/>
        </w:rPr>
        <w:t>详见下图</w:t>
      </w:r>
    </w:p>
    <w:p>
      <w:pPr>
        <w:spacing w:line="360" w:lineRule="auto"/>
        <w:jc w:val="center"/>
        <w:rPr>
          <w:rFonts w:hAnsi="Times New Roman" w:eastAsia="宋体"/>
          <w:b/>
          <w:bCs/>
          <w:sz w:val="21"/>
          <w:szCs w:val="21"/>
          <w:highlight w:val="yellow"/>
          <w:lang w:eastAsia="zh-CN"/>
        </w:rPr>
      </w:pPr>
      <w:r>
        <w:drawing>
          <wp:inline distT="0" distB="0" distL="0" distR="0">
            <wp:extent cx="3947160" cy="4945380"/>
            <wp:effectExtent l="0" t="0" r="0" b="7620"/>
            <wp:docPr id="9113857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385733" name="图片 1"/>
                    <pic:cNvPicPr>
                      <a:picLocks noChangeAspect="1"/>
                    </pic:cNvPicPr>
                  </pic:nvPicPr>
                  <pic:blipFill>
                    <a:blip r:embed="rId39"/>
                    <a:stretch>
                      <a:fillRect/>
                    </a:stretch>
                  </pic:blipFill>
                  <pic:spPr>
                    <a:xfrm>
                      <a:off x="0" y="0"/>
                      <a:ext cx="3947502" cy="4945809"/>
                    </a:xfrm>
                    <a:prstGeom prst="rect">
                      <a:avLst/>
                    </a:prstGeom>
                  </pic:spPr>
                </pic:pic>
              </a:graphicData>
            </a:graphic>
          </wp:inline>
        </w:drawing>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图</w:t>
      </w:r>
      <w:r>
        <w:rPr>
          <w:rFonts w:hint="eastAsia" w:hAnsi="Times New Roman" w:eastAsia="宋体"/>
          <w:b/>
          <w:bCs/>
          <w:sz w:val="21"/>
          <w:szCs w:val="21"/>
          <w:lang w:eastAsia="zh-CN"/>
        </w:rPr>
        <w:t>4.3-5</w:t>
      </w:r>
      <w:r>
        <w:rPr>
          <w:rFonts w:hAnsi="Times New Roman" w:eastAsia="宋体"/>
          <w:b/>
          <w:bCs/>
          <w:sz w:val="21"/>
          <w:szCs w:val="21"/>
          <w:lang w:eastAsia="zh-CN"/>
        </w:rPr>
        <w:t xml:space="preserve"> 本项目</w:t>
      </w:r>
      <w:r>
        <w:rPr>
          <w:rFonts w:hint="eastAsia" w:hAnsi="Times New Roman" w:eastAsia="宋体"/>
          <w:b/>
          <w:bCs/>
          <w:sz w:val="21"/>
          <w:szCs w:val="21"/>
          <w:lang w:eastAsia="zh-CN"/>
        </w:rPr>
        <w:t>主平硐</w:t>
      </w:r>
      <w:r>
        <w:rPr>
          <w:rFonts w:hAnsi="Times New Roman" w:eastAsia="宋体"/>
          <w:b/>
          <w:bCs/>
          <w:sz w:val="21"/>
          <w:szCs w:val="21"/>
          <w:lang w:eastAsia="zh-CN"/>
        </w:rPr>
        <w:t>与宣汉国家森林公园位置关系图</w:t>
      </w:r>
    </w:p>
    <w:p>
      <w:pPr>
        <w:pStyle w:val="2"/>
        <w:ind w:left="0" w:leftChars="0" w:firstLine="0" w:firstLineChars="0"/>
        <w:jc w:val="center"/>
        <w:rPr>
          <w:rFonts w:eastAsiaTheme="minorEastAsia"/>
          <w:lang w:eastAsia="zh-CN"/>
        </w:rPr>
      </w:pPr>
      <w:r>
        <w:drawing>
          <wp:inline distT="0" distB="0" distL="0" distR="0">
            <wp:extent cx="5795645" cy="2360295"/>
            <wp:effectExtent l="0" t="0" r="0" b="1905"/>
            <wp:docPr id="13931609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160907" name="图片 1"/>
                    <pic:cNvPicPr>
                      <a:picLocks noChangeAspect="1"/>
                    </pic:cNvPicPr>
                  </pic:nvPicPr>
                  <pic:blipFill>
                    <a:blip r:embed="rId113"/>
                    <a:stretch>
                      <a:fillRect/>
                    </a:stretch>
                  </pic:blipFill>
                  <pic:spPr>
                    <a:xfrm>
                      <a:off x="0" y="0"/>
                      <a:ext cx="5795645" cy="2360295"/>
                    </a:xfrm>
                    <a:prstGeom prst="rect">
                      <a:avLst/>
                    </a:prstGeom>
                  </pic:spPr>
                </pic:pic>
              </a:graphicData>
            </a:graphic>
          </wp:inline>
        </w:drawing>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图</w:t>
      </w:r>
      <w:r>
        <w:rPr>
          <w:rFonts w:hint="eastAsia" w:hAnsi="Times New Roman" w:eastAsia="宋体"/>
          <w:b/>
          <w:bCs/>
          <w:sz w:val="21"/>
          <w:szCs w:val="21"/>
          <w:lang w:eastAsia="zh-CN"/>
        </w:rPr>
        <w:t xml:space="preserve">4.3-6 </w:t>
      </w:r>
      <w:r>
        <w:rPr>
          <w:rFonts w:hAnsi="Times New Roman" w:eastAsia="宋体"/>
          <w:b/>
          <w:bCs/>
          <w:sz w:val="21"/>
          <w:szCs w:val="21"/>
          <w:lang w:eastAsia="zh-CN"/>
        </w:rPr>
        <w:t>主平硐与森林公园关系剖面图</w:t>
      </w:r>
    </w:p>
    <w:p>
      <w:pPr>
        <w:spacing w:line="360" w:lineRule="auto"/>
        <w:jc w:val="center"/>
        <w:rPr>
          <w:rFonts w:hAnsi="Times New Roman" w:eastAsia="宋体"/>
          <w:b/>
          <w:bCs/>
          <w:sz w:val="21"/>
          <w:szCs w:val="21"/>
          <w:lang w:eastAsia="zh-CN"/>
        </w:rPr>
      </w:pPr>
      <w:r>
        <w:rPr>
          <w:rFonts w:hint="eastAsia" w:hAnsi="Times New Roman" w:eastAsia="宋体"/>
          <w:b/>
          <w:bCs/>
          <w:sz w:val="21"/>
          <w:szCs w:val="21"/>
          <w:lang w:eastAsia="zh-CN"/>
        </w:rPr>
        <w:t xml:space="preserve">表4.3-4 </w:t>
      </w:r>
      <w:r>
        <w:rPr>
          <w:rFonts w:hAnsi="Times New Roman" w:eastAsia="宋体"/>
          <w:b/>
          <w:bCs/>
          <w:sz w:val="21"/>
          <w:szCs w:val="21"/>
          <w:lang w:eastAsia="zh-CN"/>
        </w:rPr>
        <w:t>+3</w:t>
      </w:r>
      <w:r>
        <w:rPr>
          <w:rFonts w:hint="eastAsia" w:hAnsi="Times New Roman" w:eastAsia="宋体"/>
          <w:b/>
          <w:bCs/>
          <w:sz w:val="21"/>
          <w:szCs w:val="21"/>
          <w:lang w:eastAsia="zh-CN"/>
        </w:rPr>
        <w:t>7</w:t>
      </w:r>
      <w:r>
        <w:rPr>
          <w:rFonts w:hAnsi="Times New Roman" w:eastAsia="宋体"/>
          <w:b/>
          <w:bCs/>
          <w:sz w:val="21"/>
          <w:szCs w:val="21"/>
          <w:lang w:eastAsia="zh-CN"/>
        </w:rPr>
        <w:t>9m主平硐地下巷道主要特征点坐标一览表</w:t>
      </w:r>
    </w:p>
    <w:tbl>
      <w:tblPr>
        <w:tblStyle w:val="3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4"/>
        <w:gridCol w:w="628"/>
        <w:gridCol w:w="1486"/>
        <w:gridCol w:w="686"/>
        <w:gridCol w:w="934"/>
        <w:gridCol w:w="934"/>
        <w:gridCol w:w="1799"/>
        <w:gridCol w:w="19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restar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巷道名称</w:t>
            </w:r>
          </w:p>
        </w:tc>
        <w:tc>
          <w:tcPr>
            <w:tcW w:w="336" w:type="pct"/>
            <w:vMerge w:val="restar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特征点</w:t>
            </w:r>
          </w:p>
        </w:tc>
        <w:tc>
          <w:tcPr>
            <w:tcW w:w="795" w:type="pct"/>
            <w:vMerge w:val="restar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功能分区</w:t>
            </w:r>
          </w:p>
        </w:tc>
        <w:tc>
          <w:tcPr>
            <w:tcW w:w="367" w:type="pct"/>
            <w:vMerge w:val="restar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位置</w:t>
            </w:r>
          </w:p>
        </w:tc>
        <w:tc>
          <w:tcPr>
            <w:tcW w:w="500" w:type="pct"/>
            <w:vMerge w:val="restar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距井口长度（m）</w:t>
            </w:r>
          </w:p>
        </w:tc>
        <w:tc>
          <w:tcPr>
            <w:tcW w:w="500" w:type="pct"/>
            <w:vMerge w:val="restar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距离地表深度（m）</w:t>
            </w:r>
          </w:p>
        </w:tc>
        <w:tc>
          <w:tcPr>
            <w:tcW w:w="2002" w:type="pct"/>
            <w:gridSpan w:val="2"/>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2000大地经纬度坐标系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continue"/>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p>
        </w:tc>
        <w:tc>
          <w:tcPr>
            <w:tcW w:w="336" w:type="pct"/>
            <w:vMerge w:val="continue"/>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p>
        </w:tc>
        <w:tc>
          <w:tcPr>
            <w:tcW w:w="795" w:type="pct"/>
            <w:vMerge w:val="continue"/>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p>
        </w:tc>
        <w:tc>
          <w:tcPr>
            <w:tcW w:w="367" w:type="pct"/>
            <w:vMerge w:val="continue"/>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p>
        </w:tc>
        <w:tc>
          <w:tcPr>
            <w:tcW w:w="500" w:type="pct"/>
            <w:vMerge w:val="continue"/>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p>
        </w:tc>
        <w:tc>
          <w:tcPr>
            <w:tcW w:w="500" w:type="pct"/>
            <w:vMerge w:val="continue"/>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p>
        </w:tc>
        <w:tc>
          <w:tcPr>
            <w:tcW w:w="963"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纬度（°）</w:t>
            </w:r>
          </w:p>
        </w:tc>
        <w:tc>
          <w:tcPr>
            <w:tcW w:w="1039"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经度（°）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restar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+379m主平硐</w:t>
            </w:r>
          </w:p>
        </w:tc>
        <w:tc>
          <w:tcPr>
            <w:tcW w:w="336"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1</w:t>
            </w:r>
          </w:p>
        </w:tc>
        <w:tc>
          <w:tcPr>
            <w:tcW w:w="795"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一般游憩区</w:t>
            </w:r>
          </w:p>
        </w:tc>
        <w:tc>
          <w:tcPr>
            <w:tcW w:w="367"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地下</w:t>
            </w:r>
          </w:p>
        </w:tc>
        <w:tc>
          <w:tcPr>
            <w:tcW w:w="500"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73</w:t>
            </w:r>
          </w:p>
        </w:tc>
        <w:tc>
          <w:tcPr>
            <w:tcW w:w="500"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58</w:t>
            </w:r>
          </w:p>
        </w:tc>
        <w:tc>
          <w:tcPr>
            <w:tcW w:w="963"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31°11′47"</w:t>
            </w:r>
          </w:p>
        </w:tc>
        <w:tc>
          <w:tcPr>
            <w:tcW w:w="1039"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107°44′01"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continue"/>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p>
        </w:tc>
        <w:tc>
          <w:tcPr>
            <w:tcW w:w="336"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2</w:t>
            </w:r>
          </w:p>
        </w:tc>
        <w:tc>
          <w:tcPr>
            <w:tcW w:w="795"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一般游憩区</w:t>
            </w:r>
          </w:p>
        </w:tc>
        <w:tc>
          <w:tcPr>
            <w:tcW w:w="367" w:type="pct"/>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地下</w:t>
            </w:r>
          </w:p>
        </w:tc>
        <w:tc>
          <w:tcPr>
            <w:tcW w:w="500"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200</w:t>
            </w:r>
          </w:p>
        </w:tc>
        <w:tc>
          <w:tcPr>
            <w:tcW w:w="500"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106</w:t>
            </w:r>
          </w:p>
        </w:tc>
        <w:tc>
          <w:tcPr>
            <w:tcW w:w="963"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31°11′43"</w:t>
            </w:r>
          </w:p>
        </w:tc>
        <w:tc>
          <w:tcPr>
            <w:tcW w:w="1039"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107°44′01"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continue"/>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p>
        </w:tc>
        <w:tc>
          <w:tcPr>
            <w:tcW w:w="336"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3</w:t>
            </w:r>
          </w:p>
        </w:tc>
        <w:tc>
          <w:tcPr>
            <w:tcW w:w="795"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生态保育区</w:t>
            </w:r>
          </w:p>
        </w:tc>
        <w:tc>
          <w:tcPr>
            <w:tcW w:w="367" w:type="pct"/>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地下</w:t>
            </w:r>
          </w:p>
        </w:tc>
        <w:tc>
          <w:tcPr>
            <w:tcW w:w="500"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326</w:t>
            </w:r>
          </w:p>
        </w:tc>
        <w:tc>
          <w:tcPr>
            <w:tcW w:w="500"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134</w:t>
            </w:r>
          </w:p>
        </w:tc>
        <w:tc>
          <w:tcPr>
            <w:tcW w:w="963"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31°11′39"</w:t>
            </w:r>
          </w:p>
        </w:tc>
        <w:tc>
          <w:tcPr>
            <w:tcW w:w="1039"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107°44′01"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continue"/>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p>
        </w:tc>
        <w:tc>
          <w:tcPr>
            <w:tcW w:w="336"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4</w:t>
            </w:r>
          </w:p>
        </w:tc>
        <w:tc>
          <w:tcPr>
            <w:tcW w:w="795"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生态保育区</w:t>
            </w:r>
          </w:p>
        </w:tc>
        <w:tc>
          <w:tcPr>
            <w:tcW w:w="367" w:type="pct"/>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地下</w:t>
            </w:r>
          </w:p>
        </w:tc>
        <w:tc>
          <w:tcPr>
            <w:tcW w:w="500"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385</w:t>
            </w:r>
          </w:p>
        </w:tc>
        <w:tc>
          <w:tcPr>
            <w:tcW w:w="500"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316</w:t>
            </w:r>
          </w:p>
        </w:tc>
        <w:tc>
          <w:tcPr>
            <w:tcW w:w="963"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31°11′32"</w:t>
            </w:r>
          </w:p>
        </w:tc>
        <w:tc>
          <w:tcPr>
            <w:tcW w:w="1039"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107°44′10"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continue"/>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p>
        </w:tc>
        <w:tc>
          <w:tcPr>
            <w:tcW w:w="336"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5</w:t>
            </w:r>
          </w:p>
        </w:tc>
        <w:tc>
          <w:tcPr>
            <w:tcW w:w="795"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生态保育区</w:t>
            </w:r>
          </w:p>
        </w:tc>
        <w:tc>
          <w:tcPr>
            <w:tcW w:w="367" w:type="pct"/>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地下</w:t>
            </w:r>
          </w:p>
        </w:tc>
        <w:tc>
          <w:tcPr>
            <w:tcW w:w="500"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971</w:t>
            </w:r>
          </w:p>
        </w:tc>
        <w:tc>
          <w:tcPr>
            <w:tcW w:w="500"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379</w:t>
            </w:r>
          </w:p>
        </w:tc>
        <w:tc>
          <w:tcPr>
            <w:tcW w:w="963"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31°11′25"</w:t>
            </w:r>
          </w:p>
        </w:tc>
        <w:tc>
          <w:tcPr>
            <w:tcW w:w="1039" w:type="pct"/>
            <w:vAlign w:val="center"/>
          </w:tcPr>
          <w:p>
            <w:pPr>
              <w:pStyle w:val="104"/>
              <w:keepNext w:val="0"/>
              <w:keepLines w:val="0"/>
              <w:suppressLineNumbers w:val="0"/>
              <w:spacing w:before="0" w:beforeAutospacing="0" w:after="0" w:afterAutospacing="0"/>
              <w:ind w:left="0" w:right="0" w:firstLine="0" w:firstLineChars="0"/>
              <w:jc w:val="center"/>
              <w:rPr>
                <w:rFonts w:hint="eastAsia" w:ascii="Times New Roman" w:hAnsi="Times New Roman"/>
                <w:color w:val="auto"/>
                <w:sz w:val="21"/>
                <w:szCs w:val="21"/>
                <w:lang w:val="en-US"/>
              </w:rPr>
            </w:pPr>
            <w:r>
              <w:rPr>
                <w:rFonts w:hint="eastAsia" w:ascii="Times New Roman" w:hAnsi="Times New Roman"/>
                <w:color w:val="auto"/>
                <w:sz w:val="21"/>
                <w:szCs w:val="21"/>
                <w:lang w:val="en-US"/>
              </w:rPr>
              <w:t>107°44′19"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8"/>
            <w:vAlign w:val="center"/>
          </w:tcPr>
          <w:p>
            <w:pPr>
              <w:pStyle w:val="104"/>
              <w:keepNext w:val="0"/>
              <w:keepLines w:val="0"/>
              <w:suppressLineNumbers w:val="0"/>
              <w:spacing w:before="0" w:beforeAutospacing="0" w:after="0" w:afterAutospacing="0"/>
              <w:ind w:left="0" w:right="0" w:firstLine="0" w:firstLineChars="0"/>
              <w:jc w:val="left"/>
              <w:rPr>
                <w:rFonts w:hint="eastAsia"/>
                <w:color w:val="auto"/>
                <w:szCs w:val="22"/>
              </w:rPr>
            </w:pPr>
            <w:r>
              <w:rPr>
                <w:rFonts w:hint="eastAsia" w:ascii="Times New Roman" w:hAnsi="Times New Roman"/>
                <w:color w:val="auto"/>
                <w:sz w:val="21"/>
                <w:szCs w:val="21"/>
                <w:lang w:val="en-US"/>
              </w:rPr>
              <w:t>+379m主平硐用途：担负全矿煤炭、矸石、材料、设备运输和进风、行人、排水及管线敷设等任务。</w:t>
            </w:r>
          </w:p>
        </w:tc>
      </w:tr>
    </w:tbl>
    <w:p>
      <w:pPr>
        <w:pStyle w:val="14"/>
        <w:overflowPunct w:val="0"/>
        <w:spacing w:line="360" w:lineRule="auto"/>
        <w:rPr>
          <w:rFonts w:ascii="Times New Roman" w:hAnsi="Times New Roman"/>
          <w:b/>
          <w:bCs w:val="0"/>
          <w:sz w:val="24"/>
        </w:rPr>
      </w:pPr>
      <w:r>
        <w:rPr>
          <w:rFonts w:ascii="Times New Roman" w:hAnsi="Times New Roman"/>
          <w:b/>
          <w:bCs w:val="0"/>
          <w:sz w:val="24"/>
        </w:rPr>
        <w:t>4.</w:t>
      </w:r>
      <w:r>
        <w:rPr>
          <w:rFonts w:ascii="Times New Roman" w:hAnsi="Times New Roman"/>
          <w:b/>
          <w:bCs w:val="0"/>
          <w:sz w:val="24"/>
          <w:lang w:eastAsia="zh-CN"/>
        </w:rPr>
        <w:t>3</w:t>
      </w:r>
      <w:r>
        <w:rPr>
          <w:rFonts w:ascii="Times New Roman" w:hAnsi="Times New Roman"/>
          <w:b/>
          <w:bCs w:val="0"/>
          <w:sz w:val="24"/>
        </w:rPr>
        <w:t>.</w:t>
      </w:r>
      <w:r>
        <w:rPr>
          <w:rFonts w:hint="eastAsia" w:ascii="Times New Roman" w:hAnsi="Times New Roman"/>
          <w:b/>
          <w:bCs w:val="0"/>
          <w:sz w:val="24"/>
          <w:lang w:eastAsia="zh-CN"/>
        </w:rPr>
        <w:t>11</w:t>
      </w:r>
      <w:r>
        <w:rPr>
          <w:rFonts w:ascii="Times New Roman" w:hAnsi="Times New Roman"/>
          <w:b/>
          <w:bCs w:val="0"/>
          <w:sz w:val="24"/>
        </w:rPr>
        <w:t>.</w:t>
      </w:r>
      <w:r>
        <w:rPr>
          <w:rFonts w:ascii="Times New Roman" w:hAnsi="Times New Roman"/>
          <w:b/>
          <w:bCs w:val="0"/>
          <w:sz w:val="24"/>
          <w:lang w:eastAsia="zh-CN"/>
        </w:rPr>
        <w:t>2</w:t>
      </w:r>
      <w:r>
        <w:rPr>
          <w:rFonts w:ascii="Times New Roman" w:hAnsi="Times New Roman"/>
          <w:b/>
          <w:bCs w:val="0"/>
          <w:sz w:val="24"/>
        </w:rPr>
        <w:t xml:space="preserve"> </w:t>
      </w:r>
      <w:r>
        <w:rPr>
          <w:rFonts w:ascii="Times New Roman" w:hAnsi="Times New Roman"/>
          <w:b/>
          <w:bCs w:val="0"/>
          <w:sz w:val="24"/>
          <w:lang w:eastAsia="zh-CN"/>
        </w:rPr>
        <w:t>对宣汉国家森林公园观音山景区的影响分析</w:t>
      </w:r>
      <w:r>
        <w:rPr>
          <w:rFonts w:ascii="Times New Roman" w:hAnsi="Times New Roman"/>
          <w:b/>
          <w:bCs w:val="0"/>
          <w:sz w:val="24"/>
        </w:rPr>
        <w:t xml:space="preserve"> </w:t>
      </w:r>
    </w:p>
    <w:p>
      <w:pPr>
        <w:spacing w:line="360" w:lineRule="auto"/>
        <w:ind w:firstLine="480" w:firstLineChars="200"/>
        <w:jc w:val="left"/>
        <w:rPr>
          <w:rFonts w:hAnsi="Times New Roman" w:eastAsia="宋体"/>
          <w:szCs w:val="21"/>
        </w:rPr>
      </w:pPr>
      <w:r>
        <w:rPr>
          <w:rFonts w:hAnsi="Times New Roman" w:eastAsia="宋体"/>
          <w:szCs w:val="24"/>
          <w:lang w:eastAsia="zh-CN"/>
        </w:rPr>
        <w:t>由图4.3-</w:t>
      </w:r>
      <w:r>
        <w:rPr>
          <w:rFonts w:hint="eastAsia" w:hAnsi="Times New Roman" w:eastAsia="宋体"/>
          <w:szCs w:val="24"/>
          <w:lang w:eastAsia="zh-CN"/>
        </w:rPr>
        <w:t>3</w:t>
      </w:r>
      <w:r>
        <w:rPr>
          <w:rFonts w:hAnsi="Times New Roman" w:eastAsia="宋体"/>
          <w:szCs w:val="24"/>
          <w:lang w:eastAsia="zh-CN"/>
        </w:rPr>
        <w:t>可知，七里峡矿区的井口离观音山景区较近，会对景区的动植物造成一定的影响，</w:t>
      </w:r>
      <w:r>
        <w:rPr>
          <w:rFonts w:hint="eastAsia" w:hAnsi="Times New Roman" w:eastAsia="宋体"/>
          <w:szCs w:val="24"/>
          <w:lang w:eastAsia="zh-CN"/>
        </w:rPr>
        <w:t>项目</w:t>
      </w:r>
      <w:r>
        <w:rPr>
          <w:rFonts w:hAnsi="Times New Roman" w:eastAsia="宋体"/>
          <w:szCs w:val="24"/>
          <w:lang w:eastAsia="zh-CN"/>
        </w:rPr>
        <w:t>采矿活动对保护区生态环境的影响分析如下：</w:t>
      </w:r>
    </w:p>
    <w:p>
      <w:pPr>
        <w:spacing w:line="360" w:lineRule="auto"/>
        <w:ind w:firstLine="480" w:firstLineChars="200"/>
        <w:rPr>
          <w:rFonts w:hAnsi="Times New Roman" w:eastAsia="宋体"/>
          <w:szCs w:val="21"/>
          <w:lang w:eastAsia="zh-CN" w:bidi="ar"/>
        </w:rPr>
      </w:pPr>
      <w:r>
        <w:rPr>
          <w:rFonts w:hAnsi="Times New Roman" w:eastAsia="宋体"/>
          <w:szCs w:val="21"/>
          <w:lang w:eastAsia="zh-CN" w:bidi="ar"/>
        </w:rPr>
        <w:t>（1）对</w:t>
      </w:r>
      <w:bookmarkStart w:id="238" w:name="_Hlk90927873"/>
      <w:r>
        <w:rPr>
          <w:rFonts w:hAnsi="Times New Roman" w:eastAsia="宋体"/>
          <w:szCs w:val="21"/>
          <w:lang w:eastAsia="zh-CN" w:bidi="ar"/>
        </w:rPr>
        <w:t>观音山景区植物</w:t>
      </w:r>
      <w:bookmarkEnd w:id="238"/>
      <w:r>
        <w:rPr>
          <w:rFonts w:hAnsi="Times New Roman" w:eastAsia="宋体"/>
          <w:szCs w:val="21"/>
          <w:lang w:eastAsia="zh-CN" w:bidi="ar"/>
        </w:rPr>
        <w:t>的影响</w:t>
      </w:r>
    </w:p>
    <w:p>
      <w:pPr>
        <w:spacing w:line="360" w:lineRule="auto"/>
        <w:ind w:firstLine="480" w:firstLineChars="200"/>
        <w:jc w:val="left"/>
        <w:rPr>
          <w:rFonts w:hAnsi="Times New Roman" w:eastAsia="宋体"/>
          <w:szCs w:val="21"/>
        </w:rPr>
      </w:pPr>
      <w:r>
        <w:rPr>
          <w:rFonts w:hAnsi="Times New Roman" w:eastAsia="宋体"/>
          <w:szCs w:val="21"/>
        </w:rPr>
        <w:t>对观音山景区植物影响主要由粉尘、地下水疏干的影响，具体如下：</w:t>
      </w:r>
    </w:p>
    <w:p>
      <w:pPr>
        <w:spacing w:line="360" w:lineRule="auto"/>
        <w:ind w:firstLine="480" w:firstLineChars="200"/>
        <w:jc w:val="left"/>
        <w:rPr>
          <w:rFonts w:hAnsi="Times New Roman" w:eastAsia="宋体"/>
          <w:szCs w:val="21"/>
        </w:rPr>
      </w:pPr>
      <w:r>
        <w:rPr>
          <w:rFonts w:hAnsi="Times New Roman" w:eastAsia="宋体"/>
          <w:szCs w:val="21"/>
        </w:rPr>
        <w:t>由于七里峡矿井离观音山景区很近，在运营开采过程中就会产生粉尘，粉尘可能会随之飘散附着在观音山景区周边的植物，会对植物的光合作用产生一定影响，因此加强防尘措施。但是七里峡煤矿在每一个易产生粉尘的生产环节均采取了防尘措施，加之本身产生的粉尘就很小，因此，对观音山景区植物的影响较小。</w:t>
      </w:r>
    </w:p>
    <w:p>
      <w:pPr>
        <w:spacing w:line="360" w:lineRule="auto"/>
        <w:ind w:firstLine="480" w:firstLineChars="200"/>
        <w:jc w:val="left"/>
        <w:rPr>
          <w:rFonts w:hAnsi="Times New Roman" w:eastAsia="宋体"/>
          <w:szCs w:val="21"/>
        </w:rPr>
      </w:pPr>
      <w:r>
        <w:rPr>
          <w:rFonts w:hAnsi="Times New Roman" w:eastAsia="宋体"/>
          <w:szCs w:val="21"/>
        </w:rPr>
        <w:t>观音山景区植物生长的涵养水主要依靠大气降水和浅层地下水</w:t>
      </w:r>
      <w:r>
        <w:rPr>
          <w:rFonts w:hint="eastAsia" w:hAnsi="Times New Roman" w:eastAsia="宋体"/>
          <w:szCs w:val="21"/>
          <w:lang w:eastAsia="zh-CN"/>
        </w:rPr>
        <w:t>，</w:t>
      </w:r>
      <w:r>
        <w:rPr>
          <w:rFonts w:hAnsi="Times New Roman" w:eastAsia="宋体"/>
          <w:szCs w:val="21"/>
        </w:rPr>
        <w:t>一般情况下煤层开采主要影响的是煤系地层基岩裂隙含水层</w:t>
      </w:r>
      <w:r>
        <w:rPr>
          <w:rFonts w:hAnsi="Times New Roman" w:eastAsia="宋体"/>
          <w:szCs w:val="21"/>
          <w:lang w:eastAsia="zh-CN"/>
        </w:rPr>
        <w:t>，</w:t>
      </w:r>
      <w:r>
        <w:rPr>
          <w:rFonts w:hAnsi="Times New Roman" w:eastAsia="宋体"/>
          <w:szCs w:val="21"/>
        </w:rPr>
        <w:t>不会对植物生长的涵养水层产生破坏。且通过现场调查发现，观音山景区植物以浅根系植物、高位芽植物为主，因此观音山景区植物因地下水疏干导致的植被生长受阻或者生境旱生化的趋势不会十分明显。但是在煤矿运营过程中应加强对景区植被生长情况的监测，谨防在一些基岩薄弱的区域</w:t>
      </w:r>
      <w:r>
        <w:rPr>
          <w:rFonts w:hAnsi="Times New Roman" w:eastAsia="宋体"/>
          <w:szCs w:val="21"/>
          <w:lang w:eastAsia="zh-CN"/>
        </w:rPr>
        <w:t>，</w:t>
      </w:r>
      <w:r>
        <w:rPr>
          <w:rFonts w:hAnsi="Times New Roman" w:eastAsia="宋体"/>
          <w:szCs w:val="21"/>
        </w:rPr>
        <w:t>出现因采煤形成的导水裂缝带有可能沟通浅层地下水</w:t>
      </w:r>
      <w:r>
        <w:rPr>
          <w:rFonts w:hAnsi="Times New Roman" w:eastAsia="宋体"/>
          <w:szCs w:val="21"/>
          <w:lang w:eastAsia="zh-CN"/>
        </w:rPr>
        <w:t>，</w:t>
      </w:r>
      <w:r>
        <w:rPr>
          <w:rFonts w:hAnsi="Times New Roman" w:eastAsia="宋体"/>
          <w:szCs w:val="21"/>
        </w:rPr>
        <w:t>造成浅层地下水水量的减少和水位的下降</w:t>
      </w:r>
      <w:r>
        <w:rPr>
          <w:rFonts w:hAnsi="Times New Roman" w:eastAsia="宋体"/>
          <w:szCs w:val="21"/>
          <w:lang w:eastAsia="zh-CN"/>
        </w:rPr>
        <w:t>，</w:t>
      </w:r>
      <w:r>
        <w:rPr>
          <w:rFonts w:hAnsi="Times New Roman" w:eastAsia="宋体"/>
          <w:szCs w:val="21"/>
        </w:rPr>
        <w:t>从而影响植被的正常生长的情况。</w:t>
      </w:r>
    </w:p>
    <w:p>
      <w:pPr>
        <w:spacing w:line="360" w:lineRule="auto"/>
        <w:ind w:firstLine="480" w:firstLineChars="200"/>
        <w:rPr>
          <w:rFonts w:hAnsi="Times New Roman" w:eastAsia="宋体"/>
          <w:szCs w:val="21"/>
          <w:lang w:eastAsia="zh-CN" w:bidi="ar"/>
        </w:rPr>
      </w:pPr>
      <w:r>
        <w:rPr>
          <w:rFonts w:hAnsi="Times New Roman" w:eastAsia="宋体"/>
          <w:szCs w:val="21"/>
          <w:lang w:eastAsia="zh-CN" w:bidi="ar"/>
        </w:rPr>
        <w:t>（2）对观音山景区动物的影响</w:t>
      </w:r>
    </w:p>
    <w:p>
      <w:pPr>
        <w:spacing w:line="360" w:lineRule="auto"/>
        <w:ind w:firstLine="480" w:firstLineChars="200"/>
        <w:rPr>
          <w:rFonts w:hAnsi="Times New Roman" w:eastAsia="宋体"/>
          <w:szCs w:val="24"/>
        </w:rPr>
      </w:pPr>
      <w:r>
        <w:rPr>
          <w:rFonts w:hAnsi="Times New Roman" w:eastAsia="宋体"/>
          <w:szCs w:val="21"/>
        </w:rPr>
        <w:t>对观音山景区动物影响主要表现在矿区开采过程中生产噪音及人员活动对动物的影响。煤矿地面生产噪音及人员活动主要分布在主井口附近，由于矿区井口离景区较近，因此生产噪音及人员活动存在一定的影响。但矿区升级改造中对设备进行了更换，会减弱生产过程中的噪音，噪音的影响对动物的影响会进一步减弱。加之动物活动能力较强，如鸟类的活动范围广，且有季节性活动的特点，趋避能力较强，兽类及爬行类都具有较强的移动能力，因此对保护区动物影响较小。但在开采过程中应该进一步加强噪音的控制和人员活动的约束，减弱对景区动物的影响。</w:t>
      </w:r>
    </w:p>
    <w:p>
      <w:pPr>
        <w:spacing w:line="360" w:lineRule="auto"/>
        <w:ind w:firstLine="480" w:firstLineChars="200"/>
        <w:rPr>
          <w:rFonts w:hAnsi="Times New Roman" w:eastAsia="宋体"/>
          <w:szCs w:val="21"/>
          <w:lang w:eastAsia="zh-CN" w:bidi="ar"/>
        </w:rPr>
      </w:pPr>
      <w:r>
        <w:rPr>
          <w:rFonts w:hAnsi="Times New Roman" w:eastAsia="宋体"/>
          <w:szCs w:val="21"/>
          <w:lang w:eastAsia="zh-CN" w:bidi="ar"/>
        </w:rPr>
        <w:t>（3）对观音山景区景观的影响</w:t>
      </w:r>
    </w:p>
    <w:p>
      <w:pPr>
        <w:spacing w:line="360" w:lineRule="auto"/>
        <w:ind w:firstLine="480" w:firstLineChars="200"/>
        <w:rPr>
          <w:rFonts w:hAnsi="Times New Roman" w:eastAsia="宋体"/>
          <w:szCs w:val="24"/>
        </w:rPr>
      </w:pPr>
      <w:r>
        <w:rPr>
          <w:rFonts w:hAnsi="Times New Roman" w:eastAsia="宋体"/>
          <w:szCs w:val="21"/>
        </w:rPr>
        <w:t>煤矿矸渣场和地面建、构筑物均位于工业广场附近，且无污染源物质或放射性元素，故对景观和野生动植物影响较小。</w:t>
      </w:r>
    </w:p>
    <w:p>
      <w:pPr>
        <w:spacing w:line="360" w:lineRule="auto"/>
        <w:ind w:firstLine="480" w:firstLineChars="200"/>
        <w:rPr>
          <w:rFonts w:hAnsi="Times New Roman" w:eastAsia="宋体"/>
          <w:szCs w:val="21"/>
          <w:lang w:eastAsia="zh-CN" w:bidi="ar"/>
        </w:rPr>
      </w:pPr>
      <w:r>
        <w:rPr>
          <w:rFonts w:hAnsi="Times New Roman" w:eastAsia="宋体"/>
          <w:szCs w:val="21"/>
          <w:lang w:eastAsia="zh-CN" w:bidi="ar"/>
        </w:rPr>
        <w:t>（4）采空区引发保护区地质灾害现象</w:t>
      </w:r>
    </w:p>
    <w:p>
      <w:pPr>
        <w:spacing w:line="360" w:lineRule="auto"/>
        <w:ind w:firstLine="480" w:firstLineChars="200"/>
        <w:rPr>
          <w:rFonts w:hAnsi="Times New Roman" w:eastAsia="宋体"/>
          <w:szCs w:val="21"/>
        </w:rPr>
      </w:pPr>
      <w:r>
        <w:rPr>
          <w:rFonts w:hAnsi="Times New Roman" w:eastAsia="宋体"/>
          <w:szCs w:val="21"/>
        </w:rPr>
        <w:t>由于与森林公园邻近的保留区资源埋藏深度大于300m，计算表明煤矿采空高度估算最大冒落带高度、导水裂缝带最大高度远小于最小埋深300m，本身引发地面地质灾害的可能性小，因此，矿区范围的采空区引发森林公园地质灾害现象发生的可能性小。</w:t>
      </w:r>
    </w:p>
    <w:p>
      <w:pPr>
        <w:spacing w:line="360" w:lineRule="auto"/>
        <w:ind w:firstLine="480" w:firstLineChars="200"/>
        <w:rPr>
          <w:rFonts w:hAnsi="Times New Roman" w:eastAsia="宋体"/>
          <w:szCs w:val="24"/>
        </w:rPr>
      </w:pPr>
      <w:r>
        <w:rPr>
          <w:rFonts w:hAnsi="Times New Roman" w:eastAsia="宋体"/>
          <w:szCs w:val="21"/>
        </w:rPr>
        <w:t>总体上</w:t>
      </w:r>
      <w:r>
        <w:rPr>
          <w:rFonts w:hint="eastAsia" w:hAnsi="Times New Roman" w:eastAsia="宋体"/>
          <w:szCs w:val="21"/>
        </w:rPr>
        <w:t>矿区</w:t>
      </w:r>
      <w:r>
        <w:rPr>
          <w:rFonts w:hAnsi="Times New Roman" w:eastAsia="宋体"/>
          <w:szCs w:val="21"/>
        </w:rPr>
        <w:t>范围内的采矿活动对保护区生态影响微弱。</w:t>
      </w:r>
      <w:r>
        <w:rPr>
          <w:rFonts w:hAnsi="Times New Roman" w:eastAsia="宋体"/>
          <w:szCs w:val="24"/>
        </w:rPr>
        <w:t xml:space="preserve"> </w:t>
      </w:r>
    </w:p>
    <w:p>
      <w:pPr>
        <w:pStyle w:val="14"/>
        <w:overflowPunct w:val="0"/>
        <w:spacing w:line="360" w:lineRule="auto"/>
        <w:rPr>
          <w:rFonts w:ascii="Times New Roman" w:hAnsi="Times New Roman"/>
          <w:b/>
          <w:bCs w:val="0"/>
          <w:sz w:val="24"/>
          <w:lang w:eastAsia="zh-CN"/>
        </w:rPr>
      </w:pPr>
      <w:r>
        <w:rPr>
          <w:rFonts w:ascii="Times New Roman" w:hAnsi="Times New Roman"/>
          <w:b/>
          <w:bCs w:val="0"/>
          <w:sz w:val="24"/>
          <w:lang w:eastAsia="zh-CN"/>
        </w:rPr>
        <w:t>4.</w:t>
      </w:r>
      <w:r>
        <w:rPr>
          <w:rFonts w:hint="eastAsia" w:ascii="Times New Roman" w:hAnsi="Times New Roman"/>
          <w:b/>
          <w:bCs w:val="0"/>
          <w:sz w:val="24"/>
          <w:lang w:eastAsia="zh-CN"/>
        </w:rPr>
        <w:t>3.11.3</w:t>
      </w:r>
      <w:r>
        <w:rPr>
          <w:rFonts w:ascii="Times New Roman" w:hAnsi="Times New Roman"/>
          <w:b/>
          <w:bCs w:val="0"/>
          <w:sz w:val="24"/>
          <w:lang w:eastAsia="zh-CN"/>
        </w:rPr>
        <w:t>对景观视线影响分析</w:t>
      </w:r>
    </w:p>
    <w:p>
      <w:pPr>
        <w:spacing w:line="360" w:lineRule="auto"/>
        <w:ind w:firstLine="480" w:firstLineChars="200"/>
        <w:rPr>
          <w:rFonts w:hAnsi="Times New Roman" w:eastAsia="宋体"/>
          <w:szCs w:val="21"/>
        </w:rPr>
      </w:pPr>
      <w:r>
        <w:rPr>
          <w:rFonts w:hAnsi="Times New Roman" w:eastAsia="宋体"/>
          <w:szCs w:val="21"/>
        </w:rPr>
        <w:t>在天气明朗无云的理想环境下，人的视力最远可及10km外的大物，如山体。一般来说，正常人极难看到4km以外的景物，在大于500m时，对景物存在模糊的形象；在250m左右时，能看清景物的轮廓；如要花木种类的识别则要缩短到几</w:t>
      </w:r>
      <w:r>
        <w:rPr>
          <w:rFonts w:hint="eastAsia" w:hAnsi="Times New Roman" w:eastAsia="宋体"/>
          <w:szCs w:val="21"/>
        </w:rPr>
        <w:t>十米</w:t>
      </w:r>
      <w:r>
        <w:rPr>
          <w:rFonts w:hAnsi="Times New Roman" w:eastAsia="宋体"/>
          <w:szCs w:val="21"/>
        </w:rPr>
        <w:t>之内。</w:t>
      </w:r>
    </w:p>
    <w:p>
      <w:pPr>
        <w:spacing w:line="360" w:lineRule="auto"/>
        <w:ind w:firstLine="480" w:firstLineChars="200"/>
        <w:rPr>
          <w:rFonts w:hAnsi="Times New Roman" w:eastAsia="宋体"/>
          <w:szCs w:val="21"/>
        </w:rPr>
      </w:pPr>
      <w:r>
        <w:rPr>
          <w:rFonts w:hAnsi="Times New Roman" w:eastAsia="宋体"/>
          <w:szCs w:val="21"/>
        </w:rPr>
        <w:t>本项目评价区范围</w:t>
      </w:r>
      <w:r>
        <w:rPr>
          <w:rFonts w:hint="eastAsia" w:hAnsi="Times New Roman" w:eastAsia="宋体"/>
          <w:szCs w:val="21"/>
        </w:rPr>
        <w:t>周边仅</w:t>
      </w:r>
      <w:r>
        <w:rPr>
          <w:rFonts w:hAnsi="Times New Roman" w:eastAsia="宋体"/>
          <w:szCs w:val="21"/>
        </w:rPr>
        <w:t>分布有</w:t>
      </w:r>
      <w:r>
        <w:rPr>
          <w:rFonts w:hint="eastAsia" w:hAnsi="Times New Roman" w:eastAsia="宋体"/>
          <w:szCs w:val="21"/>
        </w:rPr>
        <w:t>1个</w:t>
      </w:r>
      <w:r>
        <w:rPr>
          <w:rFonts w:hAnsi="Times New Roman" w:eastAsia="宋体"/>
          <w:szCs w:val="21"/>
        </w:rPr>
        <w:t>景</w:t>
      </w:r>
      <w:r>
        <w:rPr>
          <w:rFonts w:hint="eastAsia" w:hAnsi="Times New Roman" w:eastAsia="宋体"/>
          <w:szCs w:val="21"/>
        </w:rPr>
        <w:t>点</w:t>
      </w:r>
      <w:r>
        <w:rPr>
          <w:rFonts w:hAnsi="Times New Roman" w:eastAsia="宋体"/>
          <w:szCs w:val="21"/>
        </w:rPr>
        <w:t>，为宣汉国家森林公园观音山景区内景点神龙探幽。影响分析如下：</w:t>
      </w:r>
    </w:p>
    <w:p>
      <w:pPr>
        <w:pStyle w:val="104"/>
        <w:ind w:firstLine="0" w:firstLineChars="0"/>
        <w:jc w:val="center"/>
        <w:rPr>
          <w:rFonts w:ascii="Times New Roman" w:hAnsi="Times New Roman"/>
          <w:b/>
          <w:color w:val="auto"/>
          <w:sz w:val="21"/>
          <w:szCs w:val="21"/>
          <w:lang w:val="en-US"/>
        </w:rPr>
      </w:pPr>
      <w:r>
        <w:rPr>
          <w:rFonts w:ascii="Times New Roman" w:hAnsi="Times New Roman"/>
          <w:b/>
          <w:color w:val="auto"/>
          <w:sz w:val="21"/>
          <w:szCs w:val="21"/>
          <w:lang w:val="en-US"/>
        </w:rPr>
        <w:t>表</w:t>
      </w:r>
      <w:r>
        <w:rPr>
          <w:rFonts w:hint="eastAsia" w:ascii="Times New Roman" w:hAnsi="Times New Roman"/>
          <w:b/>
          <w:color w:val="auto"/>
          <w:sz w:val="21"/>
          <w:szCs w:val="21"/>
          <w:lang w:val="en-US"/>
        </w:rPr>
        <w:t>4.3-5</w:t>
      </w:r>
      <w:r>
        <w:rPr>
          <w:rFonts w:ascii="Times New Roman" w:hAnsi="Times New Roman"/>
          <w:b/>
          <w:color w:val="auto"/>
          <w:sz w:val="21"/>
          <w:szCs w:val="21"/>
          <w:lang w:val="en-US"/>
        </w:rPr>
        <w:t xml:space="preserve"> 项目对景观视线影响分析表</w:t>
      </w:r>
    </w:p>
    <w:tbl>
      <w:tblPr>
        <w:tblStyle w:val="105"/>
        <w:tblW w:w="500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233"/>
        <w:gridCol w:w="1430"/>
        <w:gridCol w:w="1659"/>
        <w:gridCol w:w="1638"/>
        <w:gridCol w:w="1585"/>
        <w:gridCol w:w="1588"/>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85" w:hRule="atLeast"/>
        </w:trPr>
        <w:tc>
          <w:tcPr>
            <w:tcW w:w="675" w:type="pct"/>
            <w:vAlign w:val="center"/>
          </w:tcPr>
          <w:p>
            <w:pPr>
              <w:jc w:val="center"/>
              <w:rPr>
                <w:rFonts w:ascii="Times New Roman" w:hAnsi="Times New Roman" w:eastAsia="宋体"/>
                <w:b/>
                <w:bCs/>
                <w:szCs w:val="21"/>
              </w:rPr>
            </w:pPr>
            <w:r>
              <w:rPr>
                <w:rFonts w:ascii="Times New Roman" w:hAnsi="Times New Roman" w:eastAsia="宋体"/>
                <w:b/>
                <w:bCs/>
                <w:sz w:val="21"/>
                <w:szCs w:val="21"/>
              </w:rPr>
              <w:t>景点名称</w:t>
            </w:r>
          </w:p>
        </w:tc>
        <w:tc>
          <w:tcPr>
            <w:tcW w:w="783" w:type="pct"/>
            <w:vAlign w:val="center"/>
          </w:tcPr>
          <w:p>
            <w:pPr>
              <w:jc w:val="center"/>
              <w:rPr>
                <w:rFonts w:ascii="Times New Roman" w:hAnsi="Times New Roman" w:eastAsia="宋体"/>
                <w:b/>
                <w:bCs/>
                <w:szCs w:val="21"/>
              </w:rPr>
            </w:pPr>
            <w:r>
              <w:rPr>
                <w:rFonts w:ascii="Times New Roman" w:hAnsi="Times New Roman" w:eastAsia="宋体"/>
                <w:b/>
                <w:bCs/>
                <w:sz w:val="21"/>
                <w:szCs w:val="21"/>
              </w:rPr>
              <w:t>距离（m）</w:t>
            </w:r>
          </w:p>
        </w:tc>
        <w:tc>
          <w:tcPr>
            <w:tcW w:w="908" w:type="pct"/>
            <w:vAlign w:val="center"/>
          </w:tcPr>
          <w:p>
            <w:pPr>
              <w:jc w:val="center"/>
              <w:rPr>
                <w:rFonts w:ascii="Times New Roman" w:hAnsi="Times New Roman" w:eastAsia="宋体"/>
                <w:b/>
                <w:bCs/>
                <w:szCs w:val="21"/>
              </w:rPr>
            </w:pPr>
            <w:r>
              <w:rPr>
                <w:rFonts w:ascii="Times New Roman" w:hAnsi="Times New Roman" w:eastAsia="宋体"/>
                <w:b/>
                <w:bCs/>
                <w:sz w:val="21"/>
                <w:szCs w:val="21"/>
              </w:rPr>
              <w:t>对景观视线</w:t>
            </w:r>
            <w:r>
              <w:rPr>
                <w:rFonts w:hint="eastAsia" w:hAnsi="Times New Roman" w:eastAsia="宋体"/>
                <w:b/>
                <w:bCs/>
                <w:sz w:val="21"/>
                <w:szCs w:val="21"/>
                <w:lang w:eastAsia="zh-CN"/>
              </w:rPr>
              <w:t>影响</w:t>
            </w:r>
            <w:r>
              <w:rPr>
                <w:rFonts w:ascii="Times New Roman" w:hAnsi="Times New Roman" w:eastAsia="宋体"/>
                <w:b/>
                <w:bCs/>
                <w:sz w:val="21"/>
                <w:szCs w:val="21"/>
              </w:rPr>
              <w:t>情况</w:t>
            </w:r>
          </w:p>
        </w:tc>
        <w:tc>
          <w:tcPr>
            <w:tcW w:w="897" w:type="pct"/>
            <w:vAlign w:val="center"/>
          </w:tcPr>
          <w:p>
            <w:pPr>
              <w:jc w:val="center"/>
              <w:rPr>
                <w:rFonts w:ascii="Times New Roman" w:hAnsi="Times New Roman" w:eastAsia="宋体"/>
                <w:b/>
                <w:bCs/>
                <w:szCs w:val="21"/>
              </w:rPr>
            </w:pPr>
            <w:r>
              <w:rPr>
                <w:rFonts w:ascii="Times New Roman" w:hAnsi="Times New Roman" w:eastAsia="宋体"/>
                <w:b/>
                <w:bCs/>
                <w:sz w:val="21"/>
                <w:szCs w:val="21"/>
              </w:rPr>
              <w:t>可见性</w:t>
            </w:r>
          </w:p>
        </w:tc>
        <w:tc>
          <w:tcPr>
            <w:tcW w:w="868" w:type="pct"/>
            <w:vAlign w:val="center"/>
          </w:tcPr>
          <w:p>
            <w:pPr>
              <w:jc w:val="center"/>
              <w:rPr>
                <w:rFonts w:ascii="Times New Roman" w:hAnsi="Times New Roman" w:eastAsia="宋体"/>
                <w:b/>
                <w:bCs/>
                <w:szCs w:val="21"/>
              </w:rPr>
            </w:pPr>
            <w:r>
              <w:rPr>
                <w:rFonts w:ascii="Times New Roman" w:hAnsi="Times New Roman" w:eastAsia="宋体"/>
                <w:b/>
                <w:bCs/>
                <w:sz w:val="21"/>
                <w:szCs w:val="21"/>
              </w:rPr>
              <w:t>肉眼清晰可</w:t>
            </w:r>
          </w:p>
          <w:p>
            <w:pPr>
              <w:jc w:val="center"/>
              <w:rPr>
                <w:rFonts w:ascii="Times New Roman" w:hAnsi="Times New Roman" w:eastAsia="宋体"/>
                <w:b/>
                <w:bCs/>
                <w:szCs w:val="21"/>
              </w:rPr>
            </w:pPr>
            <w:r>
              <w:rPr>
                <w:rFonts w:ascii="Times New Roman" w:hAnsi="Times New Roman" w:eastAsia="宋体"/>
                <w:b/>
                <w:bCs/>
                <w:sz w:val="21"/>
                <w:szCs w:val="21"/>
              </w:rPr>
              <w:t>见项目长度</w:t>
            </w:r>
          </w:p>
          <w:p>
            <w:pPr>
              <w:jc w:val="center"/>
              <w:rPr>
                <w:rFonts w:ascii="Times New Roman" w:hAnsi="Times New Roman" w:eastAsia="宋体"/>
                <w:b/>
                <w:bCs/>
                <w:szCs w:val="21"/>
              </w:rPr>
            </w:pPr>
            <w:r>
              <w:rPr>
                <w:rFonts w:ascii="Times New Roman" w:hAnsi="Times New Roman" w:eastAsia="宋体"/>
                <w:b/>
                <w:bCs/>
                <w:sz w:val="21"/>
                <w:szCs w:val="21"/>
              </w:rPr>
              <w:t>（m）</w:t>
            </w:r>
          </w:p>
        </w:tc>
        <w:tc>
          <w:tcPr>
            <w:tcW w:w="870" w:type="pct"/>
            <w:vAlign w:val="center"/>
          </w:tcPr>
          <w:p>
            <w:pPr>
              <w:jc w:val="center"/>
              <w:rPr>
                <w:rFonts w:ascii="Times New Roman" w:hAnsi="Times New Roman" w:eastAsia="宋体"/>
                <w:b/>
                <w:bCs/>
                <w:szCs w:val="21"/>
              </w:rPr>
            </w:pPr>
            <w:r>
              <w:rPr>
                <w:rFonts w:ascii="Times New Roman" w:hAnsi="Times New Roman" w:eastAsia="宋体"/>
                <w:b/>
                <w:bCs/>
                <w:sz w:val="21"/>
                <w:szCs w:val="21"/>
              </w:rPr>
              <w:t>影响评价</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20" w:hRule="atLeast"/>
        </w:trPr>
        <w:tc>
          <w:tcPr>
            <w:tcW w:w="675" w:type="pct"/>
            <w:vAlign w:val="center"/>
          </w:tcPr>
          <w:p>
            <w:pPr>
              <w:pStyle w:val="106"/>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神龙探幽</w:t>
            </w:r>
          </w:p>
        </w:tc>
        <w:tc>
          <w:tcPr>
            <w:tcW w:w="783" w:type="pct"/>
            <w:vAlign w:val="center"/>
          </w:tcPr>
          <w:p>
            <w:pPr>
              <w:jc w:val="center"/>
              <w:rPr>
                <w:rFonts w:ascii="Times New Roman" w:hAnsi="Times New Roman" w:eastAsia="宋体"/>
                <w:szCs w:val="21"/>
              </w:rPr>
            </w:pPr>
            <w:r>
              <w:rPr>
                <w:rFonts w:hint="eastAsia" w:ascii="Times New Roman" w:hAnsi="Times New Roman" w:eastAsia="宋体"/>
                <w:iCs/>
                <w:kern w:val="2"/>
                <w:sz w:val="21"/>
                <w:szCs w:val="21"/>
                <w:lang w:eastAsia="zh-CN"/>
              </w:rPr>
              <w:t>850</w:t>
            </w:r>
          </w:p>
        </w:tc>
        <w:tc>
          <w:tcPr>
            <w:tcW w:w="908" w:type="pct"/>
            <w:vAlign w:val="center"/>
          </w:tcPr>
          <w:p>
            <w:pPr>
              <w:pStyle w:val="106"/>
              <w:jc w:val="center"/>
              <w:rPr>
                <w:rFonts w:ascii="Times New Roman" w:hAnsi="Times New Roman" w:cs="Times New Roman"/>
                <w:sz w:val="21"/>
                <w:szCs w:val="21"/>
                <w:lang w:eastAsia="zh-CN"/>
              </w:rPr>
            </w:pPr>
            <w:r>
              <w:rPr>
                <w:rFonts w:ascii="Times New Roman" w:hAnsi="Times New Roman" w:cs="Times New Roman"/>
                <w:sz w:val="21"/>
                <w:szCs w:val="21"/>
                <w:lang w:eastAsia="zh-CN"/>
              </w:rPr>
              <w:t>山体、树木</w:t>
            </w:r>
          </w:p>
        </w:tc>
        <w:tc>
          <w:tcPr>
            <w:tcW w:w="897" w:type="pct"/>
            <w:vAlign w:val="center"/>
          </w:tcPr>
          <w:p>
            <w:pPr>
              <w:pStyle w:val="106"/>
              <w:jc w:val="center"/>
              <w:rPr>
                <w:rFonts w:ascii="Times New Roman" w:hAnsi="Times New Roman" w:cs="Times New Roman"/>
                <w:sz w:val="21"/>
                <w:szCs w:val="21"/>
                <w:lang w:eastAsia="zh-CN"/>
              </w:rPr>
            </w:pPr>
            <w:r>
              <w:rPr>
                <w:rFonts w:ascii="Times New Roman" w:hAnsi="Times New Roman" w:cs="Times New Roman"/>
                <w:sz w:val="21"/>
                <w:szCs w:val="21"/>
                <w:lang w:eastAsia="zh-CN"/>
              </w:rPr>
              <w:t>不可见</w:t>
            </w:r>
          </w:p>
        </w:tc>
        <w:tc>
          <w:tcPr>
            <w:tcW w:w="868" w:type="pct"/>
            <w:vAlign w:val="center"/>
          </w:tcPr>
          <w:p>
            <w:pPr>
              <w:jc w:val="center"/>
              <w:rPr>
                <w:rFonts w:ascii="Times New Roman" w:hAnsi="Times New Roman" w:eastAsia="宋体"/>
                <w:szCs w:val="21"/>
              </w:rPr>
            </w:pPr>
            <w:r>
              <w:rPr>
                <w:rFonts w:ascii="Times New Roman" w:hAnsi="Times New Roman" w:eastAsia="宋体"/>
                <w:iCs/>
                <w:kern w:val="2"/>
                <w:sz w:val="21"/>
                <w:szCs w:val="21"/>
                <w:lang w:eastAsia="zh-CN"/>
              </w:rPr>
              <w:t>0</w:t>
            </w:r>
          </w:p>
        </w:tc>
        <w:tc>
          <w:tcPr>
            <w:tcW w:w="870" w:type="pct"/>
            <w:vAlign w:val="center"/>
          </w:tcPr>
          <w:p>
            <w:pPr>
              <w:pStyle w:val="106"/>
              <w:jc w:val="center"/>
              <w:rPr>
                <w:rFonts w:ascii="Times New Roman" w:hAnsi="Times New Roman" w:cs="Times New Roman"/>
                <w:sz w:val="21"/>
                <w:szCs w:val="21"/>
                <w:lang w:eastAsia="zh-CN"/>
              </w:rPr>
            </w:pPr>
            <w:r>
              <w:rPr>
                <w:rFonts w:ascii="Times New Roman" w:hAnsi="Times New Roman" w:cs="Times New Roman"/>
                <w:sz w:val="21"/>
                <w:szCs w:val="21"/>
                <w:lang w:eastAsia="zh-CN"/>
              </w:rPr>
              <w:t>影响较小</w:t>
            </w:r>
          </w:p>
        </w:tc>
      </w:tr>
    </w:tbl>
    <w:p>
      <w:pPr>
        <w:spacing w:line="360" w:lineRule="auto"/>
        <w:ind w:firstLine="480" w:firstLineChars="200"/>
        <w:rPr>
          <w:rFonts w:hAnsi="Times New Roman" w:eastAsia="宋体"/>
          <w:szCs w:val="21"/>
        </w:rPr>
      </w:pPr>
      <w:r>
        <w:rPr>
          <w:rFonts w:hAnsi="Times New Roman" w:eastAsia="宋体"/>
          <w:szCs w:val="21"/>
        </w:rPr>
        <w:t>+379m主平硐与</w:t>
      </w:r>
      <w:r>
        <w:rPr>
          <w:rFonts w:hint="eastAsia" w:hAnsi="Times New Roman" w:eastAsia="宋体"/>
          <w:szCs w:val="21"/>
        </w:rPr>
        <w:t>观音山景区</w:t>
      </w:r>
      <w:r>
        <w:rPr>
          <w:rFonts w:hAnsi="Times New Roman" w:eastAsia="宋体"/>
          <w:szCs w:val="21"/>
        </w:rPr>
        <w:t>之间的最近直线距离是73m</w:t>
      </w:r>
      <w:r>
        <w:rPr>
          <w:rFonts w:hint="eastAsia" w:hAnsi="Times New Roman" w:eastAsia="宋体"/>
          <w:szCs w:val="21"/>
        </w:rPr>
        <w:t>，</w:t>
      </w:r>
      <w:r>
        <w:rPr>
          <w:rFonts w:hAnsi="Times New Roman" w:eastAsia="宋体"/>
          <w:szCs w:val="21"/>
        </w:rPr>
        <w:t>距神龙探幽景点</w:t>
      </w:r>
      <w:r>
        <w:rPr>
          <w:rFonts w:hint="eastAsia" w:hAnsi="Times New Roman" w:eastAsia="宋体"/>
          <w:szCs w:val="21"/>
        </w:rPr>
        <w:t>最近</w:t>
      </w:r>
      <w:r>
        <w:rPr>
          <w:rFonts w:hAnsi="Times New Roman" w:eastAsia="宋体"/>
          <w:szCs w:val="21"/>
        </w:rPr>
        <w:t>直线距离442m</w:t>
      </w:r>
      <w:r>
        <w:rPr>
          <w:rFonts w:hint="eastAsia" w:hAnsi="Times New Roman" w:eastAsia="宋体"/>
          <w:szCs w:val="21"/>
        </w:rPr>
        <w:t>。由于+379m主平硐为地下工程，不可视，井筒距神龙探幽景点直线距离316m，故只针对井筒进行分析。</w:t>
      </w:r>
    </w:p>
    <w:p>
      <w:pPr>
        <w:spacing w:line="360" w:lineRule="auto"/>
        <w:ind w:firstLine="480" w:firstLineChars="200"/>
        <w:rPr>
          <w:rFonts w:hAnsi="Times New Roman" w:eastAsia="宋体"/>
          <w:szCs w:val="21"/>
        </w:rPr>
      </w:pPr>
      <w:r>
        <w:rPr>
          <w:rFonts w:hAnsi="Times New Roman" w:eastAsia="宋体"/>
          <w:szCs w:val="21"/>
        </w:rPr>
        <w:t>通过</w:t>
      </w:r>
      <w:r>
        <w:rPr>
          <w:rFonts w:hint="eastAsia" w:hAnsi="Times New Roman" w:eastAsia="宋体"/>
          <w:szCs w:val="21"/>
        </w:rPr>
        <w:t>视线</w:t>
      </w:r>
      <w:r>
        <w:rPr>
          <w:rFonts w:hAnsi="Times New Roman" w:eastAsia="宋体"/>
          <w:szCs w:val="21"/>
        </w:rPr>
        <w:t>分析，</w:t>
      </w:r>
      <w:r>
        <w:rPr>
          <w:rFonts w:hint="eastAsia" w:hAnsi="Times New Roman" w:eastAsia="宋体"/>
          <w:szCs w:val="21"/>
        </w:rPr>
        <w:t>井筒</w:t>
      </w:r>
      <w:r>
        <w:rPr>
          <w:rFonts w:hAnsi="Times New Roman" w:eastAsia="宋体"/>
          <w:szCs w:val="21"/>
        </w:rPr>
        <w:t>在景源的理论可视范围内，</w:t>
      </w:r>
      <w:r>
        <w:rPr>
          <w:rFonts w:hint="eastAsia" w:hAnsi="Times New Roman" w:eastAsia="宋体"/>
          <w:szCs w:val="21"/>
        </w:rPr>
        <w:t>但</w:t>
      </w:r>
      <w:r>
        <w:rPr>
          <w:rFonts w:hAnsi="Times New Roman" w:eastAsia="宋体"/>
          <w:szCs w:val="21"/>
        </w:rPr>
        <w:t>因为有山体、树木遮挡，无法直视项目区域，不良视觉影响较弱，无法直视项目区域，因此，项目对神龙探幽</w:t>
      </w:r>
      <w:r>
        <w:rPr>
          <w:rFonts w:hint="eastAsia" w:hAnsi="Times New Roman" w:eastAsia="宋体"/>
          <w:szCs w:val="21"/>
        </w:rPr>
        <w:t>景点</w:t>
      </w:r>
      <w:r>
        <w:rPr>
          <w:rFonts w:hAnsi="Times New Roman" w:eastAsia="宋体"/>
          <w:szCs w:val="21"/>
        </w:rPr>
        <w:t>的视觉影响较小。</w:t>
      </w:r>
    </w:p>
    <w:p>
      <w:pPr>
        <w:spacing w:line="360" w:lineRule="auto"/>
        <w:jc w:val="center"/>
        <w:rPr>
          <w:rFonts w:hAnsi="Times New Roman" w:eastAsia="宋体"/>
          <w:spacing w:val="-12"/>
          <w:szCs w:val="24"/>
          <w:lang w:eastAsia="zh-CN"/>
        </w:rPr>
      </w:pPr>
      <w:r>
        <w:rPr>
          <w:rFonts w:hint="eastAsia" w:hAnsi="Times New Roman" w:eastAsia="宋体"/>
          <w:spacing w:val="-12"/>
          <w:szCs w:val="24"/>
        </w:rPr>
        <w:drawing>
          <wp:inline distT="0" distB="0" distL="114300" distR="114300">
            <wp:extent cx="5271770" cy="2540635"/>
            <wp:effectExtent l="0" t="0" r="5080" b="12065"/>
            <wp:docPr id="766789192" name="图片 766789192" descr="kappframework-JaBrFt(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789192" name="图片 766789192" descr="kappframework-JaBrFt(1)(1)"/>
                    <pic:cNvPicPr>
                      <a:picLocks noChangeAspect="1"/>
                    </pic:cNvPicPr>
                  </pic:nvPicPr>
                  <pic:blipFill>
                    <a:blip r:embed="rId114"/>
                    <a:stretch>
                      <a:fillRect/>
                    </a:stretch>
                  </pic:blipFill>
                  <pic:spPr>
                    <a:xfrm>
                      <a:off x="0" y="0"/>
                      <a:ext cx="5271770" cy="2540635"/>
                    </a:xfrm>
                    <a:prstGeom prst="rect">
                      <a:avLst/>
                    </a:prstGeom>
                  </pic:spPr>
                </pic:pic>
              </a:graphicData>
            </a:graphic>
          </wp:inline>
        </w:drawing>
      </w:r>
    </w:p>
    <w:p>
      <w:pPr>
        <w:pStyle w:val="104"/>
        <w:ind w:firstLine="0" w:firstLineChars="0"/>
        <w:jc w:val="center"/>
        <w:rPr>
          <w:rFonts w:ascii="Times New Roman" w:hAnsi="Times New Roman"/>
          <w:b/>
          <w:color w:val="auto"/>
          <w:sz w:val="21"/>
          <w:szCs w:val="21"/>
          <w:lang w:val="en-US"/>
        </w:rPr>
      </w:pPr>
      <w:r>
        <w:rPr>
          <w:rFonts w:hint="eastAsia" w:ascii="Times New Roman" w:hAnsi="Times New Roman"/>
          <w:b/>
          <w:color w:val="auto"/>
          <w:sz w:val="21"/>
          <w:szCs w:val="21"/>
          <w:lang w:val="en-US"/>
        </w:rPr>
        <w:t xml:space="preserve">图4-3-5 项目与景区神龙探幽景点的位置关系图 </w:t>
      </w:r>
    </w:p>
    <w:p>
      <w:pPr>
        <w:pStyle w:val="14"/>
        <w:overflowPunct w:val="0"/>
        <w:spacing w:line="360" w:lineRule="auto"/>
        <w:rPr>
          <w:rFonts w:ascii="Times New Roman" w:hAnsi="Times New Roman"/>
          <w:b/>
          <w:bCs w:val="0"/>
          <w:sz w:val="24"/>
          <w:lang w:eastAsia="zh-CN"/>
        </w:rPr>
      </w:pPr>
      <w:r>
        <w:rPr>
          <w:rFonts w:hint="eastAsia" w:ascii="Times New Roman" w:hAnsi="Times New Roman"/>
          <w:b/>
          <w:bCs w:val="0"/>
          <w:sz w:val="24"/>
          <w:lang w:eastAsia="zh-CN"/>
        </w:rPr>
        <w:t>4.3.11.4保留+379m主平硐对观音山景区的影响分析</w:t>
      </w:r>
    </w:p>
    <w:p>
      <w:pPr>
        <w:pStyle w:val="104"/>
        <w:spacing w:line="360" w:lineRule="auto"/>
        <w:ind w:firstLine="480"/>
        <w:rPr>
          <w:rFonts w:ascii="Times New Roman" w:hAnsi="Times New Roman"/>
          <w:bCs/>
          <w:color w:val="auto"/>
          <w:sz w:val="24"/>
          <w:szCs w:val="24"/>
          <w:lang w:val="en-US"/>
        </w:rPr>
      </w:pPr>
      <w:r>
        <w:rPr>
          <w:rFonts w:ascii="Times New Roman" w:hAnsi="Times New Roman"/>
          <w:bCs/>
          <w:color w:val="auto"/>
          <w:sz w:val="24"/>
          <w:szCs w:val="24"/>
          <w:lang w:val="en-US"/>
        </w:rPr>
        <w:t>本项目在宣汉国家森林自然公园内保留+379m主平硐</w:t>
      </w:r>
      <w:r>
        <w:rPr>
          <w:rFonts w:hint="eastAsia" w:ascii="Times New Roman" w:hAnsi="Times New Roman"/>
          <w:bCs/>
          <w:color w:val="auto"/>
          <w:sz w:val="24"/>
          <w:szCs w:val="24"/>
          <w:lang w:val="en-US"/>
        </w:rPr>
        <w:t>，根据《达州市宣汉县七里峡煤业有限公司七里峡煤矿扩建工程项目申请与安全审核报告》资料可知，+379m主平硐已于上期建设完成并投入使用，在本期改建工程中，+379m主平硐无新增施工内容。</w:t>
      </w:r>
    </w:p>
    <w:p>
      <w:pPr>
        <w:pStyle w:val="104"/>
        <w:autoSpaceDE/>
        <w:autoSpaceDN/>
        <w:spacing w:line="360" w:lineRule="auto"/>
        <w:ind w:firstLine="480"/>
        <w:rPr>
          <w:rFonts w:ascii="Times New Roman" w:hAnsi="Times New Roman"/>
          <w:bCs/>
          <w:color w:val="auto"/>
          <w:sz w:val="24"/>
          <w:szCs w:val="24"/>
          <w:lang w:val="en-US"/>
        </w:rPr>
      </w:pPr>
      <w:r>
        <w:rPr>
          <w:rFonts w:hint="eastAsia" w:ascii="Times New Roman" w:hAnsi="Times New Roman"/>
          <w:bCs/>
          <w:color w:val="auto"/>
          <w:sz w:val="24"/>
          <w:szCs w:val="24"/>
          <w:lang w:val="en-US"/>
        </w:rPr>
        <w:t>而涉及</w:t>
      </w:r>
      <w:r>
        <w:rPr>
          <w:rFonts w:ascii="Times New Roman" w:hAnsi="Times New Roman"/>
          <w:bCs/>
          <w:color w:val="auto"/>
          <w:sz w:val="24"/>
          <w:szCs w:val="24"/>
          <w:lang w:val="en-US"/>
        </w:rPr>
        <w:t>宣汉国家森林自然公园</w:t>
      </w:r>
      <w:r>
        <w:rPr>
          <w:rFonts w:hint="eastAsia" w:ascii="Times New Roman" w:hAnsi="Times New Roman"/>
          <w:bCs/>
          <w:color w:val="auto"/>
          <w:sz w:val="24"/>
          <w:szCs w:val="24"/>
          <w:lang w:val="en-US"/>
        </w:rPr>
        <w:t>的巷道深埋于地下58m～430m处，且地表植被恢复程度良好，对森林公园周边景观的自然性、森林公园周边区域的自然景观观赏性、对森林风景资源暂无不利影响。该巷道穿越宣汉国家森林公园观音山景区段巷道长度898m，全部位于一般游憩区和生态保育区，未涉及核心景观区，且在森林公园地表无其他临时设施。根据对比与《宣汉国家森林公园总体规划》的景点规划图的关 系，可见其不涉及相关景点分布与深挖项目。因此，拟保留+379m主平硐对森林公园观音山景区的风景资源暂无不利影响。</w:t>
      </w:r>
    </w:p>
    <w:tbl>
      <w:tblPr>
        <w:tblStyle w:val="3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71"/>
        <w:gridCol w:w="46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71" w:type="dxa"/>
          </w:tcPr>
          <w:p>
            <w:pPr>
              <w:pStyle w:val="104"/>
              <w:keepNext w:val="0"/>
              <w:keepLines w:val="0"/>
              <w:suppressLineNumbers w:val="0"/>
              <w:autoSpaceDE/>
              <w:autoSpaceDN/>
              <w:spacing w:before="0" w:beforeAutospacing="0" w:after="0" w:afterAutospacing="0"/>
              <w:ind w:left="0" w:right="0" w:firstLine="0" w:firstLineChars="0"/>
              <w:rPr>
                <w:rFonts w:hint="eastAsia" w:ascii="Times New Roman" w:hAnsi="Times New Roman"/>
                <w:bCs/>
                <w:color w:val="auto"/>
                <w:sz w:val="24"/>
                <w:szCs w:val="24"/>
                <w:lang w:val="en-US"/>
              </w:rPr>
            </w:pPr>
            <w:r>
              <w:rPr>
                <w:rFonts w:hint="eastAsia"/>
                <w:color w:val="auto"/>
                <w:szCs w:val="22"/>
              </w:rPr>
              <w:drawing>
                <wp:inline distT="0" distB="0" distL="114300" distR="114300">
                  <wp:extent cx="2695575" cy="1895475"/>
                  <wp:effectExtent l="0" t="0" r="9525" b="9525"/>
                  <wp:docPr id="266" name="图片 266" descr="a34f8aa877b7f3f40a943928744a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descr="a34f8aa877b7f3f40a943928744a545"/>
                          <pic:cNvPicPr>
                            <a:picLocks noChangeAspect="1"/>
                          </pic:cNvPicPr>
                        </pic:nvPicPr>
                        <pic:blipFill>
                          <a:blip r:embed="rId115"/>
                          <a:stretch>
                            <a:fillRect/>
                          </a:stretch>
                        </pic:blipFill>
                        <pic:spPr>
                          <a:xfrm>
                            <a:off x="0" y="0"/>
                            <a:ext cx="2695575" cy="1895475"/>
                          </a:xfrm>
                          <a:prstGeom prst="rect">
                            <a:avLst/>
                          </a:prstGeom>
                        </pic:spPr>
                      </pic:pic>
                    </a:graphicData>
                  </a:graphic>
                </wp:inline>
              </w:drawing>
            </w:r>
          </w:p>
        </w:tc>
        <w:tc>
          <w:tcPr>
            <w:tcW w:w="4672" w:type="dxa"/>
          </w:tcPr>
          <w:p>
            <w:pPr>
              <w:pStyle w:val="104"/>
              <w:keepNext w:val="0"/>
              <w:keepLines w:val="0"/>
              <w:suppressLineNumbers w:val="0"/>
              <w:autoSpaceDE/>
              <w:autoSpaceDN/>
              <w:spacing w:before="0" w:beforeAutospacing="0" w:after="0" w:afterAutospacing="0"/>
              <w:ind w:left="0" w:right="0" w:firstLine="0" w:firstLineChars="0"/>
              <w:rPr>
                <w:rFonts w:hint="eastAsia" w:ascii="Times New Roman" w:hAnsi="Times New Roman"/>
                <w:bCs/>
                <w:color w:val="auto"/>
                <w:sz w:val="24"/>
                <w:szCs w:val="24"/>
                <w:lang w:val="en-US"/>
              </w:rPr>
            </w:pPr>
            <w:r>
              <w:rPr>
                <w:rFonts w:hint="eastAsia"/>
                <w:color w:val="auto"/>
                <w:position w:val="-61"/>
                <w:szCs w:val="22"/>
              </w:rPr>
              <w:drawing>
                <wp:inline distT="0" distB="0" distL="0" distR="0">
                  <wp:extent cx="2686685" cy="1950720"/>
                  <wp:effectExtent l="0" t="0" r="18415" b="11430"/>
                  <wp:docPr id="246" name="IM 56"/>
                  <wp:cNvGraphicFramePr/>
                  <a:graphic xmlns:a="http://schemas.openxmlformats.org/drawingml/2006/main">
                    <a:graphicData uri="http://schemas.openxmlformats.org/drawingml/2006/picture">
                      <pic:pic xmlns:pic="http://schemas.openxmlformats.org/drawingml/2006/picture">
                        <pic:nvPicPr>
                          <pic:cNvPr id="246" name="IM 56"/>
                          <pic:cNvPicPr/>
                        </pic:nvPicPr>
                        <pic:blipFill>
                          <a:blip r:embed="rId116"/>
                          <a:stretch>
                            <a:fillRect/>
                          </a:stretch>
                        </pic:blipFill>
                        <pic:spPr>
                          <a:xfrm>
                            <a:off x="0" y="0"/>
                            <a:ext cx="2686811" cy="195072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71" w:type="dxa"/>
          </w:tcPr>
          <w:p>
            <w:pPr>
              <w:pStyle w:val="104"/>
              <w:keepNext w:val="0"/>
              <w:keepLines w:val="0"/>
              <w:suppressLineNumbers w:val="0"/>
              <w:autoSpaceDE/>
              <w:autoSpaceDN/>
              <w:spacing w:before="0" w:beforeAutospacing="0" w:after="0" w:afterAutospacing="0"/>
              <w:ind w:left="0" w:right="0" w:firstLine="0" w:firstLineChars="0"/>
              <w:rPr>
                <w:rFonts w:hint="eastAsia" w:ascii="Times New Roman" w:hAnsi="Times New Roman"/>
                <w:bCs/>
                <w:color w:val="auto"/>
                <w:sz w:val="24"/>
                <w:szCs w:val="24"/>
                <w:lang w:val="en-US"/>
              </w:rPr>
            </w:pPr>
            <w:r>
              <w:rPr>
                <w:rFonts w:hint="eastAsia"/>
                <w:color w:val="auto"/>
                <w:position w:val="-96"/>
                <w:szCs w:val="22"/>
              </w:rPr>
              <w:drawing>
                <wp:inline distT="0" distB="0" distL="0" distR="0">
                  <wp:extent cx="2686685" cy="3072130"/>
                  <wp:effectExtent l="0" t="0" r="0" b="0"/>
                  <wp:docPr id="248" name="IM 58"/>
                  <wp:cNvGraphicFramePr/>
                  <a:graphic xmlns:a="http://schemas.openxmlformats.org/drawingml/2006/main">
                    <a:graphicData uri="http://schemas.openxmlformats.org/drawingml/2006/picture">
                      <pic:pic xmlns:pic="http://schemas.openxmlformats.org/drawingml/2006/picture">
                        <pic:nvPicPr>
                          <pic:cNvPr id="248" name="IM 58"/>
                          <pic:cNvPicPr/>
                        </pic:nvPicPr>
                        <pic:blipFill>
                          <a:blip r:embed="rId117"/>
                          <a:stretch>
                            <a:fillRect/>
                          </a:stretch>
                        </pic:blipFill>
                        <pic:spPr>
                          <a:xfrm>
                            <a:off x="0" y="0"/>
                            <a:ext cx="2686811" cy="3072384"/>
                          </a:xfrm>
                          <a:prstGeom prst="rect">
                            <a:avLst/>
                          </a:prstGeom>
                        </pic:spPr>
                      </pic:pic>
                    </a:graphicData>
                  </a:graphic>
                </wp:inline>
              </w:drawing>
            </w:r>
          </w:p>
        </w:tc>
        <w:tc>
          <w:tcPr>
            <w:tcW w:w="4672" w:type="dxa"/>
          </w:tcPr>
          <w:p>
            <w:pPr>
              <w:pStyle w:val="104"/>
              <w:keepNext w:val="0"/>
              <w:keepLines w:val="0"/>
              <w:suppressLineNumbers w:val="0"/>
              <w:autoSpaceDE/>
              <w:autoSpaceDN/>
              <w:spacing w:before="0" w:beforeAutospacing="0" w:after="0" w:afterAutospacing="0"/>
              <w:ind w:left="0" w:right="0" w:firstLine="0" w:firstLineChars="0"/>
              <w:rPr>
                <w:rFonts w:hint="eastAsia" w:ascii="Times New Roman" w:hAnsi="Times New Roman"/>
                <w:bCs/>
                <w:color w:val="auto"/>
                <w:sz w:val="24"/>
                <w:szCs w:val="24"/>
                <w:lang w:val="en-US"/>
              </w:rPr>
            </w:pPr>
            <w:r>
              <w:rPr>
                <w:rFonts w:hint="eastAsia" w:ascii="Times New Roman" w:hAnsi="Times New Roman"/>
                <w:bCs/>
                <w:color w:val="auto"/>
                <w:sz w:val="24"/>
                <w:szCs w:val="24"/>
                <w:lang w:val="en-US"/>
              </w:rPr>
              <w:drawing>
                <wp:inline distT="0" distB="0" distL="114300" distR="114300">
                  <wp:extent cx="2695575" cy="3114675"/>
                  <wp:effectExtent l="0" t="0" r="9525" b="9525"/>
                  <wp:docPr id="267" name="图片 267" descr="7e39a5df0e70ddf3b5cd3d843e54e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descr="7e39a5df0e70ddf3b5cd3d843e54ef7"/>
                          <pic:cNvPicPr>
                            <a:picLocks noChangeAspect="1"/>
                          </pic:cNvPicPr>
                        </pic:nvPicPr>
                        <pic:blipFill>
                          <a:blip r:embed="rId118"/>
                          <a:stretch>
                            <a:fillRect/>
                          </a:stretch>
                        </pic:blipFill>
                        <pic:spPr>
                          <a:xfrm>
                            <a:off x="0" y="0"/>
                            <a:ext cx="2695575" cy="31146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43" w:type="dxa"/>
            <w:gridSpan w:val="2"/>
          </w:tcPr>
          <w:p>
            <w:pPr>
              <w:pStyle w:val="104"/>
              <w:keepNext w:val="0"/>
              <w:keepLines w:val="0"/>
              <w:suppressLineNumbers w:val="0"/>
              <w:autoSpaceDE/>
              <w:autoSpaceDN/>
              <w:spacing w:before="0" w:beforeAutospacing="0" w:after="0" w:afterAutospacing="0"/>
              <w:ind w:left="0" w:right="0" w:firstLine="0" w:firstLineChars="0"/>
              <w:jc w:val="center"/>
              <w:rPr>
                <w:rFonts w:hint="eastAsia" w:ascii="Times New Roman" w:hAnsi="Times New Roman"/>
                <w:bCs/>
                <w:color w:val="auto"/>
                <w:sz w:val="24"/>
                <w:szCs w:val="24"/>
                <w:lang w:val="en-US"/>
              </w:rPr>
            </w:pPr>
            <w:r>
              <w:rPr>
                <w:rFonts w:hint="eastAsia" w:ascii="Times New Roman" w:hAnsi="Times New Roman"/>
                <w:bCs/>
                <w:color w:val="auto"/>
                <w:sz w:val="21"/>
                <w:szCs w:val="21"/>
                <w:lang w:val="en-US"/>
              </w:rPr>
              <w:t>+379m主平硐周边植被现状</w:t>
            </w:r>
          </w:p>
        </w:tc>
      </w:tr>
    </w:tbl>
    <w:p>
      <w:pPr>
        <w:pStyle w:val="104"/>
        <w:autoSpaceDE/>
        <w:autoSpaceDN/>
        <w:spacing w:line="360" w:lineRule="auto"/>
        <w:ind w:firstLine="480"/>
        <w:rPr>
          <w:rFonts w:ascii="Times New Roman" w:hAnsi="Times New Roman"/>
          <w:bCs/>
          <w:color w:val="auto"/>
          <w:sz w:val="24"/>
          <w:szCs w:val="24"/>
          <w:lang w:val="en-US"/>
        </w:rPr>
      </w:pPr>
      <w:r>
        <w:rPr>
          <w:rFonts w:hint="eastAsia" w:ascii="Times New Roman" w:hAnsi="Times New Roman"/>
          <w:bCs/>
          <w:color w:val="auto"/>
          <w:sz w:val="24"/>
          <w:szCs w:val="24"/>
          <w:lang w:val="en-US"/>
        </w:rPr>
        <w:t>保留的+379m主平硐虽穿越森林公园，但由于其均深埋于地下58m</w:t>
      </w:r>
      <w:r>
        <w:rPr>
          <w:rFonts w:hint="eastAsia" w:ascii="Times New Roman" w:hAnsi="Times New Roman"/>
          <w:bCs/>
          <w:color w:val="auto"/>
          <w:sz w:val="24"/>
          <w:szCs w:val="24"/>
          <w:lang w:val="en-US" w:eastAsia="zh-CN"/>
        </w:rPr>
        <w:t>～</w:t>
      </w:r>
      <w:r>
        <w:rPr>
          <w:rFonts w:hint="eastAsia" w:ascii="Times New Roman" w:hAnsi="Times New Roman"/>
          <w:bCs/>
          <w:color w:val="auto"/>
          <w:sz w:val="24"/>
          <w:szCs w:val="24"/>
          <w:lang w:val="en-US"/>
        </w:rPr>
        <w:t>430m，项目运营期不会对地表植物生长和群落间的物质和能量交流造成阻隔影响。根据现场踏勘调查地表的情况，目前区域内地表植被恢复良好，未见明显上期遗留的施工痕迹。进入运营期森林公园内的施工迹地内植被已得到恢复，对整个区域各类生态系统的改变程度大大降低，这有利于森林公园所在区域的各类生态系统结构和功能的恢复。运营期森林公园内的各类生态系统结构和功能不受影响。</w:t>
      </w:r>
    </w:p>
    <w:p>
      <w:pPr>
        <w:pStyle w:val="5"/>
        <w:rPr>
          <w:rFonts w:ascii="Times New Roman" w:hAnsi="Times New Roman"/>
          <w:szCs w:val="22"/>
          <w:lang w:eastAsia="zh-CN"/>
        </w:rPr>
      </w:pPr>
      <w:bookmarkStart w:id="239" w:name="_Toc167095195"/>
      <w:bookmarkStart w:id="240" w:name="_Toc163749166"/>
      <w:r>
        <w:rPr>
          <w:rFonts w:ascii="Times New Roman" w:hAnsi="Times New Roman"/>
          <w:szCs w:val="22"/>
          <w:lang w:eastAsia="zh-CN"/>
        </w:rPr>
        <w:t>4.4 生态环境保护措施和对策建议</w:t>
      </w:r>
      <w:bookmarkEnd w:id="239"/>
      <w:bookmarkEnd w:id="240"/>
    </w:p>
    <w:p>
      <w:pPr>
        <w:pStyle w:val="6"/>
        <w:rPr>
          <w:szCs w:val="22"/>
          <w:lang w:eastAsia="zh-CN"/>
        </w:rPr>
      </w:pPr>
      <w:bookmarkStart w:id="241" w:name="_Toc163812573"/>
      <w:bookmarkStart w:id="242" w:name="_Toc167095196"/>
      <w:r>
        <w:rPr>
          <w:szCs w:val="22"/>
          <w:lang w:eastAsia="zh-CN"/>
        </w:rPr>
        <w:t>4.4.1 生态影响与保护原则</w:t>
      </w:r>
      <w:bookmarkEnd w:id="241"/>
      <w:bookmarkEnd w:id="242"/>
    </w:p>
    <w:p>
      <w:pPr>
        <w:spacing w:line="360" w:lineRule="auto"/>
        <w:ind w:firstLine="480" w:firstLineChars="200"/>
        <w:rPr>
          <w:rFonts w:hAnsi="Times New Roman" w:eastAsia="宋体"/>
          <w:szCs w:val="21"/>
        </w:rPr>
      </w:pPr>
      <w:r>
        <w:rPr>
          <w:rFonts w:hAnsi="Times New Roman" w:eastAsia="宋体"/>
          <w:szCs w:val="21"/>
        </w:rPr>
        <w:t>依据《环境影响评价技术导则-生态影响》（HJ 19-2011）标准的规定，生态影响的防护与恢复的原则是：</w:t>
      </w:r>
    </w:p>
    <w:p>
      <w:pPr>
        <w:spacing w:line="360" w:lineRule="auto"/>
        <w:ind w:firstLine="480" w:firstLineChars="200"/>
        <w:rPr>
          <w:rFonts w:hAnsi="Times New Roman" w:eastAsia="宋体"/>
          <w:szCs w:val="21"/>
        </w:rPr>
      </w:pPr>
      <w:r>
        <w:rPr>
          <w:rFonts w:hAnsi="Times New Roman" w:eastAsia="宋体"/>
          <w:szCs w:val="21"/>
        </w:rPr>
        <w:t>1) 自然资源损失的补偿原则</w:t>
      </w:r>
    </w:p>
    <w:p>
      <w:pPr>
        <w:spacing w:line="360" w:lineRule="auto"/>
        <w:ind w:firstLine="480" w:firstLineChars="200"/>
        <w:rPr>
          <w:rFonts w:hAnsi="Times New Roman" w:eastAsia="宋体"/>
          <w:szCs w:val="21"/>
        </w:rPr>
      </w:pPr>
      <w:r>
        <w:rPr>
          <w:rFonts w:hAnsi="Times New Roman" w:eastAsia="宋体"/>
          <w:szCs w:val="21"/>
        </w:rPr>
        <w:t>该项目为整改项目，因此不会占用较大面积的森林资源，但是评价区内自然资源仍会由于项目施工和运行受到一定程度的耗损，而这些自然资源属于景观组分中的环境资源部分。</w:t>
      </w:r>
    </w:p>
    <w:p>
      <w:pPr>
        <w:spacing w:line="360" w:lineRule="auto"/>
        <w:ind w:firstLine="480" w:firstLineChars="200"/>
        <w:rPr>
          <w:rFonts w:hAnsi="Times New Roman" w:eastAsia="宋体"/>
          <w:szCs w:val="21"/>
        </w:rPr>
      </w:pPr>
      <w:r>
        <w:rPr>
          <w:rFonts w:hAnsi="Times New Roman" w:eastAsia="宋体"/>
          <w:szCs w:val="21"/>
        </w:rPr>
        <w:t>2) 区域自然体系中受损区域恢复原则。</w:t>
      </w:r>
    </w:p>
    <w:p>
      <w:pPr>
        <w:spacing w:line="360" w:lineRule="auto"/>
        <w:ind w:firstLine="480" w:firstLineChars="200"/>
        <w:rPr>
          <w:rFonts w:hAnsi="Times New Roman" w:eastAsia="宋体"/>
          <w:szCs w:val="21"/>
        </w:rPr>
      </w:pPr>
      <w:r>
        <w:rPr>
          <w:rFonts w:hAnsi="Times New Roman" w:eastAsia="宋体"/>
          <w:szCs w:val="21"/>
        </w:rPr>
        <w:t>项目实施要形成临时或永久占地，用地格局的改变影响了原有自然体系的功能，尤其是物种移动的功能，因此应进行生态学设计，尽力减少这种功能损失。</w:t>
      </w:r>
    </w:p>
    <w:p>
      <w:pPr>
        <w:spacing w:line="360" w:lineRule="auto"/>
        <w:ind w:firstLine="480"/>
        <w:rPr>
          <w:rFonts w:hAnsi="Times New Roman" w:eastAsia="宋体"/>
          <w:szCs w:val="21"/>
        </w:rPr>
      </w:pPr>
      <w:r>
        <w:rPr>
          <w:rFonts w:hAnsi="Times New Roman" w:eastAsia="宋体"/>
          <w:szCs w:val="21"/>
        </w:rPr>
        <w:t>3) 人类需求与生态完整性维护相协调的原则。</w:t>
      </w:r>
    </w:p>
    <w:p>
      <w:pPr>
        <w:pStyle w:val="14"/>
        <w:overflowPunct w:val="0"/>
        <w:spacing w:line="360" w:lineRule="auto"/>
        <w:ind w:firstLine="480" w:firstLineChars="200"/>
        <w:rPr>
          <w:rFonts w:ascii="Times New Roman" w:hAnsi="Times New Roman"/>
          <w:sz w:val="24"/>
          <w:lang w:eastAsia="zh-CN"/>
        </w:rPr>
      </w:pPr>
      <w:r>
        <w:rPr>
          <w:rFonts w:ascii="Times New Roman" w:hAnsi="Times New Roman"/>
          <w:sz w:val="24"/>
          <w:szCs w:val="21"/>
        </w:rPr>
        <w:t>项目建设和运行是人类利用自然资源满足需求的行为，这种行为往往与生态完整性的维护发生矛盾，生态防护措施就在于尽量减缓这种矛盾，在自然体系可以承受的范围内开发利用资源，为经济社会的发展服务。</w:t>
      </w:r>
    </w:p>
    <w:p>
      <w:pPr>
        <w:pStyle w:val="6"/>
        <w:rPr>
          <w:szCs w:val="22"/>
          <w:lang w:eastAsia="zh-CN"/>
        </w:rPr>
      </w:pPr>
      <w:bookmarkStart w:id="243" w:name="_Toc163812574"/>
      <w:bookmarkStart w:id="244" w:name="_Toc167095197"/>
      <w:r>
        <w:rPr>
          <w:szCs w:val="22"/>
          <w:lang w:eastAsia="zh-CN"/>
        </w:rPr>
        <w:t>4.4.2 生态影响保护措施</w:t>
      </w:r>
      <w:bookmarkEnd w:id="243"/>
      <w:bookmarkEnd w:id="244"/>
    </w:p>
    <w:p>
      <w:pPr>
        <w:pStyle w:val="14"/>
        <w:overflowPunct w:val="0"/>
        <w:spacing w:line="360" w:lineRule="auto"/>
        <w:rPr>
          <w:rFonts w:ascii="Times New Roman" w:hAnsi="Times New Roman"/>
          <w:b/>
          <w:bCs w:val="0"/>
          <w:sz w:val="24"/>
        </w:rPr>
      </w:pPr>
      <w:r>
        <w:rPr>
          <w:rFonts w:ascii="Times New Roman" w:hAnsi="Times New Roman"/>
          <w:b/>
          <w:bCs w:val="0"/>
          <w:sz w:val="24"/>
        </w:rPr>
        <w:t>4.</w:t>
      </w:r>
      <w:r>
        <w:rPr>
          <w:rFonts w:ascii="Times New Roman" w:hAnsi="Times New Roman"/>
          <w:b/>
          <w:bCs w:val="0"/>
          <w:sz w:val="24"/>
          <w:lang w:eastAsia="zh-CN"/>
        </w:rPr>
        <w:t>4</w:t>
      </w:r>
      <w:r>
        <w:rPr>
          <w:rFonts w:ascii="Times New Roman" w:hAnsi="Times New Roman"/>
          <w:b/>
          <w:bCs w:val="0"/>
          <w:sz w:val="24"/>
        </w:rPr>
        <w:t>.</w:t>
      </w:r>
      <w:r>
        <w:rPr>
          <w:rFonts w:ascii="Times New Roman" w:hAnsi="Times New Roman"/>
          <w:b/>
          <w:bCs w:val="0"/>
          <w:sz w:val="24"/>
          <w:lang w:eastAsia="zh-CN"/>
        </w:rPr>
        <w:t>2</w:t>
      </w:r>
      <w:r>
        <w:rPr>
          <w:rFonts w:ascii="Times New Roman" w:hAnsi="Times New Roman"/>
          <w:b/>
          <w:bCs w:val="0"/>
          <w:sz w:val="24"/>
        </w:rPr>
        <w:t xml:space="preserve">.1 项目施工营运及闭矿期管理措施 </w:t>
      </w:r>
    </w:p>
    <w:p>
      <w:pPr>
        <w:widowControl/>
        <w:autoSpaceDE w:val="0"/>
        <w:spacing w:line="360" w:lineRule="auto"/>
        <w:ind w:firstLine="480" w:firstLineChars="200"/>
        <w:rPr>
          <w:rFonts w:hAnsi="Times New Roman" w:eastAsia="宋体"/>
          <w:lang w:eastAsia="zh-CN"/>
        </w:rPr>
      </w:pPr>
      <w:r>
        <w:rPr>
          <w:rFonts w:hAnsi="Times New Roman" w:eastAsia="宋体"/>
          <w:lang w:eastAsia="zh-CN"/>
        </w:rPr>
        <w:t>1、施工期管理措施回顾</w:t>
      </w:r>
    </w:p>
    <w:p>
      <w:pPr>
        <w:spacing w:line="360" w:lineRule="auto"/>
        <w:ind w:firstLine="480" w:firstLineChars="200"/>
        <w:rPr>
          <w:rFonts w:hAnsi="Times New Roman" w:eastAsia="宋体"/>
          <w:szCs w:val="24"/>
        </w:rPr>
      </w:pPr>
      <w:r>
        <w:rPr>
          <w:rFonts w:hAnsi="Times New Roman" w:eastAsia="宋体"/>
          <w:szCs w:val="24"/>
        </w:rPr>
        <w:t>项目前期对施工人员开展《中华人民共和国环境保护法</w:t>
      </w:r>
      <w:r>
        <w:rPr>
          <w:rFonts w:hint="eastAsia" w:hAnsi="Times New Roman" w:eastAsia="宋体"/>
          <w:szCs w:val="24"/>
          <w:lang w:eastAsia="zh-CN"/>
        </w:rPr>
        <w:t>》《</w:t>
      </w:r>
      <w:r>
        <w:rPr>
          <w:rFonts w:hAnsi="Times New Roman" w:eastAsia="宋体"/>
          <w:szCs w:val="24"/>
        </w:rPr>
        <w:t>中华人民共和国野生动物保护法</w:t>
      </w:r>
      <w:r>
        <w:rPr>
          <w:rFonts w:hint="eastAsia" w:hAnsi="Times New Roman" w:eastAsia="宋体"/>
          <w:szCs w:val="24"/>
          <w:lang w:eastAsia="zh-CN"/>
        </w:rPr>
        <w:t>》《</w:t>
      </w:r>
      <w:r>
        <w:rPr>
          <w:rFonts w:hAnsi="Times New Roman" w:eastAsia="宋体"/>
          <w:szCs w:val="24"/>
        </w:rPr>
        <w:t>中华人民共和国土地管理法</w:t>
      </w:r>
      <w:r>
        <w:rPr>
          <w:rFonts w:hint="eastAsia" w:hAnsi="Times New Roman" w:eastAsia="宋体"/>
          <w:szCs w:val="24"/>
          <w:lang w:eastAsia="zh-CN"/>
        </w:rPr>
        <w:t>》《</w:t>
      </w:r>
      <w:r>
        <w:rPr>
          <w:rFonts w:hAnsi="Times New Roman" w:eastAsia="宋体"/>
          <w:szCs w:val="24"/>
        </w:rPr>
        <w:t>中华人民共和国野生植物保护条例》等相关法律法规；在工地及周边设立相应的环境保护警示牌，加强提高施工期以及营运期人员鉴别区域常见野生动植物的能力，同时开展相应的野生动植物保护措施方面的宣传培训，通过培训向员工详细介绍如何减少自然植被的损失，如何开展植物恢复</w:t>
      </w:r>
      <w:r>
        <w:rPr>
          <w:rFonts w:hint="eastAsia" w:hAnsi="Times New Roman" w:eastAsia="宋体"/>
          <w:szCs w:val="24"/>
          <w:lang w:eastAsia="zh-CN"/>
        </w:rPr>
        <w:t>以及其他一些</w:t>
      </w:r>
      <w:r>
        <w:rPr>
          <w:rFonts w:hAnsi="Times New Roman" w:eastAsia="宋体"/>
          <w:szCs w:val="24"/>
        </w:rPr>
        <w:t>施工及营运过程中关于环境保护的注意事项等。</w:t>
      </w:r>
    </w:p>
    <w:p>
      <w:pPr>
        <w:ind w:firstLine="480" w:firstLineChars="200"/>
        <w:rPr>
          <w:rFonts w:hAnsi="Times New Roman" w:eastAsia="宋体"/>
          <w:bCs/>
          <w:szCs w:val="24"/>
          <w:lang w:eastAsia="zh-CN" w:bidi="ar"/>
        </w:rPr>
      </w:pPr>
      <w:r>
        <w:rPr>
          <w:rFonts w:hAnsi="Times New Roman" w:eastAsia="宋体"/>
          <w:bCs/>
          <w:szCs w:val="24"/>
          <w:lang w:bidi="ar"/>
        </w:rPr>
        <w:t>2</w:t>
      </w:r>
      <w:r>
        <w:rPr>
          <w:rFonts w:hAnsi="Times New Roman" w:eastAsia="宋体"/>
          <w:bCs/>
          <w:szCs w:val="24"/>
          <w:lang w:eastAsia="zh-CN" w:bidi="ar"/>
        </w:rPr>
        <w:t>、</w:t>
      </w:r>
      <w:r>
        <w:rPr>
          <w:rFonts w:hAnsi="Times New Roman" w:eastAsia="宋体"/>
          <w:bCs/>
          <w:szCs w:val="24"/>
          <w:lang w:bidi="ar"/>
        </w:rPr>
        <w:t>营运期</w:t>
      </w:r>
      <w:r>
        <w:rPr>
          <w:rFonts w:hAnsi="Times New Roman" w:eastAsia="宋体"/>
          <w:bCs/>
          <w:szCs w:val="24"/>
          <w:lang w:eastAsia="zh-CN" w:bidi="ar"/>
        </w:rPr>
        <w:t>管理措施</w:t>
      </w:r>
    </w:p>
    <w:p>
      <w:pPr>
        <w:spacing w:line="360" w:lineRule="auto"/>
        <w:ind w:firstLine="480" w:firstLineChars="200"/>
        <w:rPr>
          <w:rFonts w:hAnsi="Times New Roman" w:eastAsia="宋体"/>
          <w:szCs w:val="24"/>
        </w:rPr>
      </w:pPr>
      <w:r>
        <w:rPr>
          <w:rFonts w:hAnsi="Times New Roman" w:eastAsia="宋体"/>
          <w:szCs w:val="24"/>
        </w:rPr>
        <w:t>项目进入营运期，生态环境保护措施主要针对日常营运过程中的施工人员以及机械的管理，主要为：业主必须严格划定原矿堆场和设备、车辆停靠范围，不得擅自扩大。加强运输道路的日常维护，保持边坡稳定、排水顺畅，出现道路病害应及时治理，以保护区域生态环境，控制水土流失；加强人员管理，严禁随意捕杀野生动物，必要时采取相应的奖惩措施，督查施工及营运期间人员自觉遵守相应环境保护规范。</w:t>
      </w:r>
    </w:p>
    <w:p>
      <w:pPr>
        <w:spacing w:line="360" w:lineRule="auto"/>
        <w:ind w:firstLine="480" w:firstLineChars="200"/>
        <w:rPr>
          <w:rFonts w:hAnsi="Times New Roman" w:eastAsia="宋体"/>
          <w:szCs w:val="24"/>
        </w:rPr>
      </w:pPr>
      <w:r>
        <w:rPr>
          <w:rFonts w:hAnsi="Times New Roman" w:eastAsia="宋体"/>
          <w:szCs w:val="24"/>
        </w:rPr>
        <w:t>矿山生态恢复保障措施主要采取边坡整理工程、土地恢复工程、植被恢复工程等措施进行治理恢复。其中，边坡整理工程与土地恢复工程，包括放缓坡、土地平整与客土覆盖等工作内容，主要是对矿山废石场、工业场地以及道路周边形成的不稳定性边坡进行工程处理，对矿坑底部进行回填、平整与客土覆盖；植被恢复工程是对回填、平整及客土后的工业场地边坡及固体废弃物堆放场</w:t>
      </w:r>
      <w:r>
        <w:rPr>
          <w:rFonts w:hint="eastAsia" w:hAnsi="Times New Roman" w:eastAsia="宋体"/>
          <w:szCs w:val="24"/>
          <w:lang w:eastAsia="zh-CN"/>
        </w:rPr>
        <w:t>及其他</w:t>
      </w:r>
      <w:r>
        <w:rPr>
          <w:rFonts w:hAnsi="Times New Roman" w:eastAsia="宋体"/>
          <w:szCs w:val="24"/>
        </w:rPr>
        <w:t>生态地质环境影响破坏区，采用生物技术进行治理。</w:t>
      </w:r>
    </w:p>
    <w:p>
      <w:pPr>
        <w:ind w:firstLine="480" w:firstLineChars="200"/>
        <w:rPr>
          <w:rFonts w:hAnsi="Times New Roman" w:eastAsia="宋体"/>
          <w:bCs/>
          <w:szCs w:val="24"/>
          <w:lang w:eastAsia="zh-CN" w:bidi="ar"/>
        </w:rPr>
      </w:pPr>
      <w:r>
        <w:rPr>
          <w:rFonts w:hAnsi="Times New Roman" w:eastAsia="宋体"/>
          <w:bCs/>
          <w:szCs w:val="24"/>
          <w:lang w:bidi="ar"/>
        </w:rPr>
        <w:t>3</w:t>
      </w:r>
      <w:r>
        <w:rPr>
          <w:rFonts w:hAnsi="Times New Roman" w:eastAsia="宋体"/>
          <w:bCs/>
          <w:szCs w:val="24"/>
          <w:lang w:eastAsia="zh-CN" w:bidi="ar"/>
        </w:rPr>
        <w:t>、</w:t>
      </w:r>
      <w:r>
        <w:rPr>
          <w:rFonts w:hAnsi="Times New Roman" w:eastAsia="宋体"/>
          <w:bCs/>
          <w:szCs w:val="24"/>
          <w:lang w:bidi="ar"/>
        </w:rPr>
        <w:t>闭矿期</w:t>
      </w:r>
      <w:r>
        <w:rPr>
          <w:rFonts w:hAnsi="Times New Roman" w:eastAsia="宋体"/>
          <w:bCs/>
          <w:szCs w:val="24"/>
          <w:lang w:eastAsia="zh-CN" w:bidi="ar"/>
        </w:rPr>
        <w:t>管理措施</w:t>
      </w:r>
    </w:p>
    <w:p>
      <w:pPr>
        <w:spacing w:line="360" w:lineRule="auto"/>
        <w:ind w:firstLine="480" w:firstLineChars="200"/>
        <w:rPr>
          <w:rFonts w:hAnsi="Times New Roman" w:eastAsia="宋体"/>
          <w:szCs w:val="21"/>
        </w:rPr>
      </w:pPr>
      <w:r>
        <w:rPr>
          <w:rFonts w:hAnsi="Times New Roman" w:eastAsia="宋体"/>
          <w:szCs w:val="21"/>
        </w:rPr>
        <w:t>矿山闭坑后应及时采取矿井封闭及矿区工业场地地面生态恢复措施，如：采取废石充填采空区、井巷口封闭、工业广场闲置场地迹地恢复、矸石仓永久性坡面稳定化、种植植物、复垦等水土保持和生态恢复措施，使破坏土地复垦（绿化）率最终达到85%以上。对矿区工业场地废弃地应采取最合理的方式进行废弃地复垦或绿化；对于可开发为农牧业用地的废弃地，应对其进行全面监测和评估；采用生物工程进行废弃地复垦时，应对土壤重构、地形、景观进行优化设计，选择适合当地的物种、配置及种植方式。</w:t>
      </w:r>
    </w:p>
    <w:p>
      <w:pPr>
        <w:pStyle w:val="14"/>
        <w:overflowPunct w:val="0"/>
        <w:spacing w:line="360" w:lineRule="auto"/>
        <w:rPr>
          <w:rFonts w:ascii="Times New Roman" w:hAnsi="Times New Roman"/>
          <w:b/>
          <w:bCs w:val="0"/>
          <w:sz w:val="24"/>
        </w:rPr>
      </w:pPr>
      <w:r>
        <w:rPr>
          <w:rFonts w:ascii="Times New Roman" w:hAnsi="Times New Roman"/>
          <w:b/>
          <w:bCs w:val="0"/>
          <w:sz w:val="24"/>
        </w:rPr>
        <w:t>4.</w:t>
      </w:r>
      <w:r>
        <w:rPr>
          <w:rFonts w:ascii="Times New Roman" w:hAnsi="Times New Roman"/>
          <w:b/>
          <w:bCs w:val="0"/>
          <w:sz w:val="24"/>
          <w:lang w:eastAsia="zh-CN"/>
        </w:rPr>
        <w:t>4</w:t>
      </w:r>
      <w:r>
        <w:rPr>
          <w:rFonts w:ascii="Times New Roman" w:hAnsi="Times New Roman"/>
          <w:b/>
          <w:bCs w:val="0"/>
          <w:sz w:val="24"/>
        </w:rPr>
        <w:t>.</w:t>
      </w:r>
      <w:r>
        <w:rPr>
          <w:rFonts w:ascii="Times New Roman" w:hAnsi="Times New Roman"/>
          <w:b/>
          <w:bCs w:val="0"/>
          <w:sz w:val="24"/>
          <w:lang w:eastAsia="zh-CN"/>
        </w:rPr>
        <w:t>2</w:t>
      </w:r>
      <w:r>
        <w:rPr>
          <w:rFonts w:ascii="Times New Roman" w:hAnsi="Times New Roman"/>
          <w:b/>
          <w:bCs w:val="0"/>
          <w:sz w:val="24"/>
        </w:rPr>
        <w:t>.</w:t>
      </w:r>
      <w:r>
        <w:rPr>
          <w:rFonts w:ascii="Times New Roman" w:hAnsi="Times New Roman"/>
          <w:b/>
          <w:bCs w:val="0"/>
          <w:sz w:val="24"/>
          <w:lang w:eastAsia="zh-CN"/>
        </w:rPr>
        <w:t>2</w:t>
      </w:r>
      <w:r>
        <w:rPr>
          <w:rFonts w:ascii="Times New Roman" w:hAnsi="Times New Roman"/>
          <w:b/>
          <w:bCs w:val="0"/>
          <w:sz w:val="24"/>
        </w:rPr>
        <w:t xml:space="preserve"> 野生植物和植被的防护与恢复 </w:t>
      </w:r>
    </w:p>
    <w:p>
      <w:pPr>
        <w:widowControl/>
        <w:autoSpaceDE w:val="0"/>
        <w:spacing w:line="360" w:lineRule="auto"/>
        <w:ind w:firstLine="480" w:firstLineChars="200"/>
        <w:rPr>
          <w:rFonts w:hAnsi="Times New Roman" w:eastAsia="宋体"/>
          <w:lang w:eastAsia="zh-CN"/>
        </w:rPr>
      </w:pPr>
      <w:r>
        <w:rPr>
          <w:rFonts w:hAnsi="Times New Roman" w:eastAsia="宋体"/>
          <w:lang w:eastAsia="zh-CN"/>
        </w:rPr>
        <w:t>1、施工期保护措施回顾</w:t>
      </w:r>
    </w:p>
    <w:p>
      <w:pPr>
        <w:spacing w:line="360" w:lineRule="auto"/>
        <w:ind w:firstLine="480" w:firstLineChars="200"/>
        <w:rPr>
          <w:rFonts w:hAnsi="Times New Roman" w:eastAsia="宋体"/>
          <w:szCs w:val="21"/>
        </w:rPr>
      </w:pPr>
      <w:r>
        <w:rPr>
          <w:rFonts w:hAnsi="Times New Roman" w:eastAsia="宋体"/>
          <w:szCs w:val="21"/>
        </w:rPr>
        <w:t>对于矿区技改前施工期对植物的保护措施有：施工期设定施工区域，控制开挖面积，在施工区域内，除工程占地要进行开挖之外，不应有</w:t>
      </w:r>
      <w:r>
        <w:rPr>
          <w:rFonts w:hint="eastAsia" w:hAnsi="Times New Roman" w:eastAsia="宋体"/>
          <w:szCs w:val="21"/>
          <w:lang w:eastAsia="zh-CN"/>
        </w:rPr>
        <w:t>其他破坏</w:t>
      </w:r>
      <w:r>
        <w:rPr>
          <w:rFonts w:hAnsi="Times New Roman" w:eastAsia="宋体"/>
          <w:szCs w:val="21"/>
        </w:rPr>
        <w:t>植被的施工活动。严禁施工材料乱堆乱放、施工垃圾的随意堆放处置，影响植物物种的生长；防止粉尘对植物的影响，给植物生长和植被生境带来不利影响，各个施工工地内应配备洒水器械定时洒水，防止产生大量的粉尘；所有施工机械和运输工具废气的排放符合国家有关标准；加强用火管理，建立施工区森林防火及火警警报系统和管理制度，建立施工区防火及火警警报系统，务必确保施工期内施工区及附近区域的自然资源火情安全。</w:t>
      </w:r>
    </w:p>
    <w:p>
      <w:pPr>
        <w:spacing w:line="360" w:lineRule="auto"/>
        <w:ind w:firstLine="480" w:firstLineChars="200"/>
        <w:rPr>
          <w:rFonts w:hAnsi="Times New Roman" w:eastAsia="宋体"/>
          <w:szCs w:val="21"/>
        </w:rPr>
      </w:pPr>
      <w:r>
        <w:rPr>
          <w:rFonts w:hAnsi="Times New Roman" w:eastAsia="宋体"/>
          <w:szCs w:val="21"/>
        </w:rPr>
        <w:t>技改施工期，要求施工人员不得随意践踏草地，对矿区乔灌草植被进行损毁，对于更换设备的材料要统一堆放处理，不乱堆乱放。同时对于矿区炸药库，做到了专人专职管理，严格执行管理制度，做好炸药的运输、贮藏、取用、交接等工作。划分安全警戒范围，并限制出入的人数；严禁烟火，配置相应的设备设施，并定期检查，确保施工区的安全。若对已有的炸药库不再利用，可以及时关闭和将药物清除和处理。</w:t>
      </w:r>
    </w:p>
    <w:p>
      <w:pPr>
        <w:spacing w:line="360" w:lineRule="auto"/>
        <w:ind w:firstLine="480" w:firstLineChars="200"/>
        <w:rPr>
          <w:rFonts w:hAnsi="Times New Roman" w:eastAsia="宋体"/>
          <w:bCs/>
          <w:szCs w:val="21"/>
        </w:rPr>
      </w:pPr>
      <w:r>
        <w:rPr>
          <w:rFonts w:hAnsi="Times New Roman" w:eastAsia="宋体"/>
          <w:bCs/>
          <w:szCs w:val="21"/>
        </w:rPr>
        <w:t>2</w:t>
      </w:r>
      <w:r>
        <w:rPr>
          <w:rFonts w:hAnsi="Times New Roman" w:eastAsia="宋体"/>
          <w:bCs/>
          <w:szCs w:val="21"/>
          <w:lang w:eastAsia="zh-CN"/>
        </w:rPr>
        <w:t>、运营期陆生植物保护措施</w:t>
      </w:r>
    </w:p>
    <w:p>
      <w:pPr>
        <w:spacing w:line="360" w:lineRule="auto"/>
        <w:ind w:firstLine="480" w:firstLineChars="200"/>
        <w:jc w:val="left"/>
        <w:rPr>
          <w:rFonts w:hAnsi="Times New Roman" w:eastAsia="宋体"/>
          <w:szCs w:val="21"/>
        </w:rPr>
      </w:pPr>
      <w:r>
        <w:rPr>
          <w:rFonts w:hAnsi="Times New Roman" w:eastAsia="宋体"/>
          <w:szCs w:val="21"/>
        </w:rPr>
        <w:t>工程整改后进入运营期，要加强采矿区域及运矿线路的管理，严禁采矿工具及矿物乱堆乱放，侵占新的植被类型，导致植物物种死亡。运矿线路应该固定，严禁随意开辟新的运矿线路，造成当地的植被破坏。随着采空区范围扩大，要实时监测采空区是否有地质塌陷的情况。在采动影响活动期，对可能产生塌方和滑坡的边缘修筑排水沟，减少降水进入塌方或滑坡处，防止塌方或滑坡。待影响稳定后，主要采取以植物护坡为主、工程护坡为辅的综合治理措施治理滑坡。</w:t>
      </w:r>
    </w:p>
    <w:p>
      <w:pPr>
        <w:spacing w:line="360" w:lineRule="auto"/>
        <w:ind w:firstLine="480" w:firstLineChars="200"/>
        <w:rPr>
          <w:rFonts w:hAnsi="Times New Roman" w:eastAsia="宋体"/>
          <w:bCs/>
          <w:szCs w:val="21"/>
          <w:lang w:eastAsia="zh-CN"/>
        </w:rPr>
      </w:pPr>
      <w:r>
        <w:rPr>
          <w:rFonts w:hAnsi="Times New Roman" w:eastAsia="宋体"/>
          <w:bCs/>
          <w:szCs w:val="21"/>
          <w:lang w:eastAsia="zh-CN"/>
        </w:rPr>
        <w:t>3、闭矿期陆生植物保护恢复措施</w:t>
      </w:r>
    </w:p>
    <w:p>
      <w:pPr>
        <w:spacing w:line="360" w:lineRule="auto"/>
        <w:ind w:firstLine="480" w:firstLineChars="200"/>
        <w:rPr>
          <w:rFonts w:hAnsi="Times New Roman" w:eastAsia="宋体"/>
          <w:bCs/>
          <w:szCs w:val="24"/>
        </w:rPr>
      </w:pPr>
      <w:r>
        <w:rPr>
          <w:rFonts w:hAnsi="Times New Roman" w:eastAsia="宋体"/>
          <w:bCs/>
          <w:szCs w:val="24"/>
        </w:rPr>
        <w:t>服务期满后，应将矿区生产过程中使用的危险化学品、有毒有害原材料，各种生产和生活废弃物等全部运离，以避免这些物质遗留在矿区对土壤和水体造成污染，进而威胁或者影响野生动物的生存。</w:t>
      </w:r>
    </w:p>
    <w:p>
      <w:pPr>
        <w:snapToGrid w:val="0"/>
        <w:spacing w:line="360" w:lineRule="auto"/>
        <w:ind w:firstLine="480" w:firstLineChars="200"/>
        <w:jc w:val="left"/>
        <w:rPr>
          <w:rFonts w:hAnsi="Times New Roman" w:eastAsia="宋体"/>
          <w:bCs/>
          <w:szCs w:val="21"/>
        </w:rPr>
      </w:pPr>
      <w:r>
        <w:rPr>
          <w:rFonts w:hAnsi="Times New Roman" w:eastAsia="宋体"/>
          <w:bCs/>
          <w:szCs w:val="24"/>
        </w:rPr>
        <w:t>服务期满后应对影响区的植被进行恢复。同时，除进行植被恢复的人员外，</w:t>
      </w:r>
      <w:r>
        <w:rPr>
          <w:rFonts w:hint="eastAsia" w:hAnsi="Times New Roman" w:eastAsia="宋体"/>
          <w:bCs/>
          <w:szCs w:val="24"/>
          <w:lang w:eastAsia="zh-CN"/>
        </w:rPr>
        <w:t>其他</w:t>
      </w:r>
      <w:r>
        <w:rPr>
          <w:rFonts w:hAnsi="Times New Roman" w:eastAsia="宋体"/>
          <w:bCs/>
          <w:szCs w:val="24"/>
        </w:rPr>
        <w:t>工作人员应该全部撤离，尽可能</w:t>
      </w:r>
      <w:r>
        <w:rPr>
          <w:rFonts w:hint="eastAsia" w:hAnsi="Times New Roman" w:eastAsia="宋体"/>
          <w:bCs/>
          <w:szCs w:val="24"/>
          <w:lang w:eastAsia="zh-CN"/>
        </w:rPr>
        <w:t>地</w:t>
      </w:r>
      <w:r>
        <w:rPr>
          <w:rFonts w:hAnsi="Times New Roman" w:eastAsia="宋体"/>
          <w:bCs/>
          <w:szCs w:val="24"/>
        </w:rPr>
        <w:t>将原有矿山开采的人类活动痕迹全部清除，以减少这一区域的人类干扰，使野生动物逐步回归</w:t>
      </w:r>
      <w:r>
        <w:rPr>
          <w:rFonts w:hAnsi="Times New Roman" w:eastAsia="宋体"/>
          <w:szCs w:val="21"/>
        </w:rPr>
        <w:t>。</w:t>
      </w:r>
    </w:p>
    <w:p>
      <w:pPr>
        <w:spacing w:line="360" w:lineRule="auto"/>
        <w:ind w:firstLine="480" w:firstLineChars="200"/>
        <w:rPr>
          <w:rFonts w:hAnsi="Times New Roman" w:eastAsia="宋体"/>
          <w:bCs/>
          <w:szCs w:val="21"/>
        </w:rPr>
      </w:pPr>
      <w:r>
        <w:rPr>
          <w:rFonts w:hAnsi="Times New Roman" w:eastAsia="宋体"/>
          <w:bCs/>
          <w:szCs w:val="21"/>
          <w:lang w:eastAsia="zh-CN"/>
        </w:rPr>
        <w:t>（1）生态恢复方案的制定和植物物种选择</w:t>
      </w:r>
    </w:p>
    <w:p>
      <w:pPr>
        <w:spacing w:line="360" w:lineRule="auto"/>
        <w:ind w:firstLine="480" w:firstLineChars="200"/>
        <w:rPr>
          <w:rFonts w:hAnsi="Times New Roman" w:eastAsia="宋体"/>
          <w:szCs w:val="21"/>
        </w:rPr>
      </w:pPr>
      <w:r>
        <w:rPr>
          <w:rFonts w:hAnsi="Times New Roman" w:eastAsia="宋体"/>
          <w:szCs w:val="21"/>
        </w:rPr>
        <w:t>生态恢复是相对于生态破坏而言的。生态破坏可以理解为生态体系的结构发生变化，功能退化或丧失，其具体表现可以是生态系统、生境和物种等三方面的多样性丧失，或生物生产力下降，或空间异质性下降。生态恢复就是恢复系统合理的结构、高效的功能和协调的关系，恢复生态系统、生境和物种等三方面的多样性，或使生物生产力和空间异质性恢复到原先的状态。</w:t>
      </w:r>
    </w:p>
    <w:p>
      <w:pPr>
        <w:spacing w:line="360" w:lineRule="auto"/>
        <w:ind w:firstLine="480" w:firstLineChars="200"/>
        <w:rPr>
          <w:rFonts w:hAnsi="Times New Roman" w:eastAsia="宋体"/>
          <w:szCs w:val="21"/>
        </w:rPr>
      </w:pPr>
      <w:r>
        <w:rPr>
          <w:rFonts w:hAnsi="Times New Roman" w:eastAsia="宋体"/>
          <w:szCs w:val="21"/>
        </w:rPr>
        <w:t>生态恢复的技术方案基本围绕有序演替的过程来进行，对特别大面积的开挖裸露面应制定详细的恢复方案，包括恢复物种选择、恢复时间、恢复手段等，这些都可以和植被恢复同时考虑，同时实施。在进行生态恢复时，还要特别注意尽量利用现有的生物资源，尤其是土壤资源和本土生物资源，如利用工程占地的原有土壤表层用于植被恢复。</w:t>
      </w:r>
    </w:p>
    <w:p>
      <w:pPr>
        <w:spacing w:line="360" w:lineRule="auto"/>
        <w:ind w:firstLine="480" w:firstLineChars="200"/>
        <w:rPr>
          <w:rFonts w:hAnsi="Times New Roman" w:eastAsia="宋体"/>
          <w:bCs/>
          <w:szCs w:val="21"/>
        </w:rPr>
      </w:pPr>
      <w:r>
        <w:rPr>
          <w:rFonts w:hAnsi="Times New Roman" w:eastAsia="宋体"/>
          <w:szCs w:val="21"/>
        </w:rPr>
        <w:t>针对各类施工迹地恢复和绿化、美化，推荐了一些具有经济价值、美观、速生、</w:t>
      </w:r>
      <w:r>
        <w:rPr>
          <w:rFonts w:hAnsi="Times New Roman" w:eastAsia="宋体"/>
          <w:szCs w:val="24"/>
        </w:rPr>
        <w:t>固土作用强的植物，为植被恢复和水土保持方案编制提供参考</w:t>
      </w:r>
      <w:r>
        <w:rPr>
          <w:rFonts w:hAnsi="Times New Roman" w:eastAsia="宋体"/>
          <w:bCs/>
          <w:szCs w:val="21"/>
        </w:rPr>
        <w:t>。</w:t>
      </w:r>
    </w:p>
    <w:p>
      <w:pPr>
        <w:spacing w:line="360" w:lineRule="auto"/>
        <w:ind w:firstLine="480" w:firstLineChars="200"/>
        <w:rPr>
          <w:rFonts w:hAnsi="Times New Roman" w:eastAsia="宋体"/>
          <w:szCs w:val="24"/>
        </w:rPr>
      </w:pPr>
      <w:r>
        <w:rPr>
          <w:rFonts w:hAnsi="Times New Roman" w:eastAsia="宋体"/>
          <w:szCs w:val="24"/>
        </w:rPr>
        <w:t>在不同区域植被恢复中，应该采用当地的植物群落演替中的先锋种、优势种且容易收集种子的那些植物物种，如表4.</w:t>
      </w:r>
      <w:r>
        <w:rPr>
          <w:rFonts w:hAnsi="Times New Roman" w:eastAsia="宋体"/>
          <w:szCs w:val="24"/>
          <w:lang w:eastAsia="zh-CN"/>
        </w:rPr>
        <w:t>4</w:t>
      </w:r>
      <w:r>
        <w:rPr>
          <w:rFonts w:hAnsi="Times New Roman" w:eastAsia="宋体"/>
          <w:szCs w:val="24"/>
        </w:rPr>
        <w:t>-1。</w:t>
      </w:r>
    </w:p>
    <w:p>
      <w:pPr>
        <w:spacing w:line="360" w:lineRule="auto"/>
        <w:jc w:val="center"/>
        <w:rPr>
          <w:rFonts w:hAnsi="Times New Roman" w:eastAsia="宋体"/>
          <w:b/>
          <w:sz w:val="21"/>
          <w:szCs w:val="21"/>
        </w:rPr>
      </w:pPr>
      <w:r>
        <w:rPr>
          <w:rFonts w:hAnsi="Times New Roman" w:eastAsia="宋体"/>
          <w:b/>
          <w:bCs/>
          <w:sz w:val="21"/>
          <w:szCs w:val="21"/>
        </w:rPr>
        <w:t>表4.</w:t>
      </w:r>
      <w:r>
        <w:rPr>
          <w:rFonts w:hAnsi="Times New Roman" w:eastAsia="宋体"/>
          <w:b/>
          <w:bCs/>
          <w:sz w:val="21"/>
          <w:szCs w:val="21"/>
          <w:lang w:eastAsia="zh-CN"/>
        </w:rPr>
        <w:t>4</w:t>
      </w:r>
      <w:r>
        <w:rPr>
          <w:rFonts w:hAnsi="Times New Roman" w:eastAsia="宋体"/>
          <w:b/>
          <w:bCs/>
          <w:sz w:val="21"/>
          <w:szCs w:val="21"/>
        </w:rPr>
        <w:t>-1 项目建设影响评价区植物及植被恢复建议物种</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61"/>
        <w:gridCol w:w="74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996"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物种类型</w:t>
            </w:r>
          </w:p>
        </w:tc>
        <w:tc>
          <w:tcPr>
            <w:tcW w:w="4004" w:type="pct"/>
            <w:vAlign w:val="center"/>
          </w:tcPr>
          <w:p>
            <w:pPr>
              <w:keepNext w:val="0"/>
              <w:keepLines w:val="0"/>
              <w:suppressLineNumbers w:val="0"/>
              <w:spacing w:before="0" w:beforeAutospacing="0" w:after="0" w:afterAutospacing="0"/>
              <w:ind w:left="0" w:right="0" w:firstLine="38" w:firstLineChars="18"/>
              <w:jc w:val="center"/>
              <w:rPr>
                <w:rFonts w:hint="eastAsia" w:hAnsi="Times New Roman" w:eastAsia="宋体"/>
                <w:b/>
                <w:bCs/>
                <w:kern w:val="2"/>
                <w:sz w:val="21"/>
                <w:szCs w:val="21"/>
              </w:rPr>
            </w:pPr>
            <w:r>
              <w:rPr>
                <w:rFonts w:hint="eastAsia" w:hAnsi="Times New Roman" w:eastAsia="宋体"/>
                <w:b/>
                <w:bCs/>
                <w:kern w:val="2"/>
                <w:sz w:val="21"/>
                <w:szCs w:val="21"/>
              </w:rPr>
              <w:t>建议恢复用物种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4" w:hRule="atLeast"/>
          <w:jc w:val="center"/>
        </w:trPr>
        <w:tc>
          <w:tcPr>
            <w:tcW w:w="996" w:type="pct"/>
            <w:vAlign w:val="center"/>
          </w:tcPr>
          <w:p>
            <w:pPr>
              <w:keepNext w:val="0"/>
              <w:keepLines w:val="0"/>
              <w:suppressLineNumbers w:val="0"/>
              <w:spacing w:before="0" w:beforeAutospacing="0" w:after="0" w:afterAutospacing="0"/>
              <w:ind w:left="0" w:right="0" w:firstLine="420" w:firstLineChars="200"/>
              <w:rPr>
                <w:rFonts w:hint="eastAsia" w:hAnsi="Times New Roman" w:eastAsia="宋体"/>
                <w:bCs/>
                <w:kern w:val="2"/>
                <w:sz w:val="21"/>
                <w:szCs w:val="21"/>
              </w:rPr>
            </w:pPr>
            <w:r>
              <w:rPr>
                <w:rFonts w:hint="eastAsia" w:hAnsi="Times New Roman" w:eastAsia="宋体"/>
                <w:bCs/>
                <w:kern w:val="2"/>
                <w:sz w:val="21"/>
                <w:szCs w:val="21"/>
              </w:rPr>
              <w:t>乔木</w:t>
            </w:r>
          </w:p>
        </w:tc>
        <w:tc>
          <w:tcPr>
            <w:tcW w:w="4004" w:type="pct"/>
            <w:vAlign w:val="center"/>
          </w:tcPr>
          <w:p>
            <w:pPr>
              <w:keepNext w:val="0"/>
              <w:keepLines w:val="0"/>
              <w:suppressLineNumbers w:val="0"/>
              <w:spacing w:before="0" w:beforeAutospacing="0" w:after="0" w:afterAutospacing="0"/>
              <w:ind w:left="0" w:right="0"/>
              <w:rPr>
                <w:rFonts w:hint="eastAsia" w:hAnsi="Times New Roman" w:eastAsia="宋体"/>
                <w:bCs/>
                <w:kern w:val="2"/>
                <w:sz w:val="21"/>
                <w:szCs w:val="21"/>
              </w:rPr>
            </w:pPr>
            <w:r>
              <w:rPr>
                <w:rFonts w:hint="eastAsia" w:hAnsi="Times New Roman" w:eastAsia="宋体"/>
                <w:bCs/>
                <w:kern w:val="2"/>
                <w:sz w:val="21"/>
                <w:szCs w:val="21"/>
                <w:lang w:bidi="ar"/>
              </w:rPr>
              <w:t>马尾松、柏木、麻栎、桤木、木犀、柑橘等适生种类进行植被恢复和绿化，建议</w:t>
            </w:r>
            <w:r>
              <w:rPr>
                <w:rFonts w:hint="eastAsia" w:hAnsi="Times New Roman" w:eastAsia="宋体"/>
                <w:bCs/>
                <w:kern w:val="2"/>
                <w:sz w:val="21"/>
                <w:szCs w:val="21"/>
                <w:u w:val="single"/>
                <w:lang w:bidi="ar"/>
              </w:rPr>
              <w:t>慎用外来乔木树种进行绿化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996" w:type="pct"/>
            <w:vAlign w:val="center"/>
          </w:tcPr>
          <w:p>
            <w:pPr>
              <w:keepNext w:val="0"/>
              <w:keepLines w:val="0"/>
              <w:suppressLineNumbers w:val="0"/>
              <w:spacing w:before="0" w:beforeAutospacing="0" w:after="0" w:afterAutospacing="0"/>
              <w:ind w:left="0" w:right="0" w:firstLine="420" w:firstLineChars="200"/>
              <w:rPr>
                <w:rFonts w:hint="eastAsia" w:hAnsi="Times New Roman" w:eastAsia="宋体"/>
                <w:bCs/>
                <w:kern w:val="2"/>
                <w:sz w:val="21"/>
                <w:szCs w:val="21"/>
              </w:rPr>
            </w:pPr>
            <w:r>
              <w:rPr>
                <w:rFonts w:hint="eastAsia" w:hAnsi="Times New Roman" w:eastAsia="宋体"/>
                <w:bCs/>
                <w:kern w:val="2"/>
                <w:sz w:val="21"/>
                <w:szCs w:val="21"/>
              </w:rPr>
              <w:t>灌木</w:t>
            </w:r>
          </w:p>
        </w:tc>
        <w:tc>
          <w:tcPr>
            <w:tcW w:w="4004" w:type="pct"/>
            <w:vAlign w:val="center"/>
          </w:tcPr>
          <w:p>
            <w:pPr>
              <w:keepNext w:val="0"/>
              <w:keepLines w:val="0"/>
              <w:suppressLineNumbers w:val="0"/>
              <w:spacing w:before="0" w:beforeAutospacing="0" w:after="0" w:afterAutospacing="0"/>
              <w:ind w:left="0" w:right="0"/>
              <w:rPr>
                <w:rFonts w:hint="eastAsia" w:hAnsi="Times New Roman" w:eastAsia="宋体"/>
                <w:bCs/>
                <w:kern w:val="2"/>
                <w:sz w:val="21"/>
                <w:szCs w:val="21"/>
              </w:rPr>
            </w:pPr>
            <w:r>
              <w:rPr>
                <w:rFonts w:hint="eastAsia" w:hAnsi="Times New Roman" w:eastAsia="宋体"/>
                <w:bCs/>
                <w:kern w:val="2"/>
                <w:sz w:val="21"/>
                <w:szCs w:val="21"/>
                <w:lang w:bidi="ar"/>
              </w:rPr>
              <w:t>盐肤木、黄荆、马桑、悬钩子、十大功劳等灌木植物进行植被恢复和绿化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4" w:hRule="atLeast"/>
          <w:jc w:val="center"/>
        </w:trPr>
        <w:tc>
          <w:tcPr>
            <w:tcW w:w="996" w:type="pct"/>
            <w:vAlign w:val="center"/>
          </w:tcPr>
          <w:p>
            <w:pPr>
              <w:keepNext w:val="0"/>
              <w:keepLines w:val="0"/>
              <w:suppressLineNumbers w:val="0"/>
              <w:spacing w:before="0" w:beforeAutospacing="0" w:after="0" w:afterAutospacing="0"/>
              <w:ind w:left="0" w:right="0" w:firstLine="420" w:firstLineChars="200"/>
              <w:rPr>
                <w:rFonts w:hint="eastAsia" w:hAnsi="Times New Roman" w:eastAsia="宋体"/>
                <w:bCs/>
                <w:kern w:val="2"/>
                <w:sz w:val="21"/>
                <w:szCs w:val="21"/>
              </w:rPr>
            </w:pPr>
            <w:r>
              <w:rPr>
                <w:rFonts w:hint="eastAsia" w:hAnsi="Times New Roman" w:eastAsia="宋体"/>
                <w:bCs/>
                <w:kern w:val="2"/>
                <w:sz w:val="21"/>
                <w:szCs w:val="21"/>
              </w:rPr>
              <w:t>草本</w:t>
            </w:r>
          </w:p>
        </w:tc>
        <w:tc>
          <w:tcPr>
            <w:tcW w:w="4004" w:type="pct"/>
            <w:vAlign w:val="center"/>
          </w:tcPr>
          <w:p>
            <w:pPr>
              <w:keepNext w:val="0"/>
              <w:keepLines w:val="0"/>
              <w:suppressLineNumbers w:val="0"/>
              <w:spacing w:before="0" w:beforeAutospacing="0" w:after="0" w:afterAutospacing="0"/>
              <w:ind w:left="0" w:right="0"/>
              <w:rPr>
                <w:rFonts w:hint="eastAsia" w:hAnsi="Times New Roman" w:eastAsia="宋体"/>
                <w:bCs/>
                <w:kern w:val="2"/>
                <w:sz w:val="21"/>
                <w:szCs w:val="21"/>
              </w:rPr>
            </w:pPr>
            <w:r>
              <w:rPr>
                <w:rFonts w:hint="eastAsia" w:hAnsi="Times New Roman" w:eastAsia="宋体"/>
                <w:bCs/>
                <w:kern w:val="2"/>
                <w:sz w:val="21"/>
                <w:szCs w:val="21"/>
                <w:lang w:bidi="ar"/>
              </w:rPr>
              <w:t>羊茅、斑茅</w:t>
            </w:r>
            <w:r>
              <w:rPr>
                <w:rFonts w:hint="eastAsia" w:hAnsi="Times New Roman" w:eastAsia="宋体"/>
                <w:bCs/>
                <w:kern w:val="2"/>
                <w:sz w:val="21"/>
                <w:szCs w:val="21"/>
                <w:lang w:eastAsia="zh-CN" w:bidi="ar"/>
              </w:rPr>
              <w:t>、菊科植物</w:t>
            </w:r>
            <w:r>
              <w:rPr>
                <w:rFonts w:hint="eastAsia" w:hAnsi="Times New Roman" w:eastAsia="宋体"/>
                <w:bCs/>
                <w:kern w:val="2"/>
                <w:sz w:val="21"/>
                <w:szCs w:val="21"/>
                <w:lang w:bidi="ar"/>
              </w:rPr>
              <w:t>等物种进行植被恢复和绿化，建议采用播撒草籽与泥混合物的方式</w:t>
            </w:r>
          </w:p>
        </w:tc>
      </w:tr>
    </w:tbl>
    <w:p>
      <w:pPr>
        <w:spacing w:line="360" w:lineRule="auto"/>
        <w:ind w:firstLine="480" w:firstLineChars="200"/>
        <w:rPr>
          <w:rFonts w:hAnsi="Times New Roman" w:eastAsia="宋体"/>
          <w:szCs w:val="24"/>
        </w:rPr>
      </w:pPr>
      <w:r>
        <w:rPr>
          <w:rFonts w:hAnsi="Times New Roman" w:eastAsia="宋体"/>
          <w:szCs w:val="24"/>
        </w:rPr>
        <w:t>为了防止外来物种入侵，建议的恢复物种都是在施工区域内常见的优势乔木、灌木及草本物种。由于工程裸露区的生境变化不大，上述恢复物种在评价区域内都是常见的优势种，也适用工程影响区域的各类生境。</w:t>
      </w:r>
    </w:p>
    <w:p>
      <w:pPr>
        <w:spacing w:line="360" w:lineRule="auto"/>
        <w:ind w:firstLine="480" w:firstLineChars="200"/>
        <w:rPr>
          <w:rFonts w:hAnsi="Times New Roman" w:eastAsia="宋体"/>
          <w:bCs/>
          <w:szCs w:val="21"/>
        </w:rPr>
      </w:pPr>
      <w:r>
        <w:rPr>
          <w:rFonts w:hAnsi="Times New Roman" w:eastAsia="宋体"/>
          <w:bCs/>
          <w:szCs w:val="21"/>
          <w:lang w:eastAsia="zh-CN"/>
        </w:rPr>
        <w:t>（2）采空区保护、恢复措施</w:t>
      </w:r>
    </w:p>
    <w:p>
      <w:pPr>
        <w:spacing w:line="360" w:lineRule="auto"/>
        <w:ind w:firstLine="480" w:firstLineChars="200"/>
        <w:rPr>
          <w:rFonts w:hAnsi="Times New Roman" w:eastAsia="宋体"/>
          <w:bCs/>
          <w:szCs w:val="24"/>
        </w:rPr>
      </w:pPr>
      <w:bookmarkStart w:id="245" w:name="_Hlk90124470"/>
      <w:r>
        <w:rPr>
          <w:rFonts w:hAnsi="Times New Roman" w:eastAsia="宋体"/>
          <w:bCs/>
          <w:szCs w:val="24"/>
        </w:rPr>
        <w:t>根据文献研究《矿山采空区植被恢复研究进展》可知：目前国内矿山采空区植被恢复的研究主要包括耐性、速生、先锋物种的选择和搭配；土壤基质的改良。按照群落演替的规律采用不同演替阶段的“乡土”物种对矿区进行植被恢复，可以更多</w:t>
      </w:r>
      <w:r>
        <w:rPr>
          <w:rFonts w:hint="eastAsia" w:hAnsi="Times New Roman" w:eastAsia="宋体"/>
          <w:bCs/>
          <w:szCs w:val="24"/>
          <w:lang w:eastAsia="zh-CN"/>
        </w:rPr>
        <w:t>地</w:t>
      </w:r>
      <w:r>
        <w:rPr>
          <w:rFonts w:hAnsi="Times New Roman" w:eastAsia="宋体"/>
          <w:bCs/>
          <w:szCs w:val="24"/>
        </w:rPr>
        <w:t>满足恢复物种对于矿区生态适应性的要求、充分利用原土壤中的种子库，避免引入外来种带来的潜在威胁。根据演替规律，参照顶级演替阶段的植物种类、配置模式、土壤基质特性指导演替初期的植被恢复，利用这种近自然的方法进行植被恢复，可为国内大型矿山的植被恢复提供技术参考与理论依据。</w:t>
      </w:r>
    </w:p>
    <w:p>
      <w:pPr>
        <w:spacing w:line="360" w:lineRule="auto"/>
        <w:ind w:firstLine="480" w:firstLineChars="200"/>
        <w:rPr>
          <w:rFonts w:hAnsi="Times New Roman" w:eastAsia="宋体"/>
          <w:bCs/>
          <w:szCs w:val="24"/>
        </w:rPr>
      </w:pPr>
      <w:r>
        <w:rPr>
          <w:rFonts w:hAnsi="Times New Roman" w:eastAsia="宋体"/>
          <w:bCs/>
          <w:szCs w:val="24"/>
        </w:rPr>
        <w:t>因此在煤矿闭矿后，要对采空区进行植被恢复，可栽植一些乡土树种</w:t>
      </w:r>
      <w:bookmarkEnd w:id="245"/>
      <w:r>
        <w:rPr>
          <w:rFonts w:hAnsi="Times New Roman" w:eastAsia="宋体"/>
          <w:bCs/>
          <w:szCs w:val="24"/>
        </w:rPr>
        <w:t>，在评价区较为常见的优势乔木、灌木及草本植物。比如</w:t>
      </w:r>
      <w:r>
        <w:rPr>
          <w:rFonts w:hAnsi="Times New Roman" w:eastAsia="宋体"/>
          <w:bCs/>
          <w:szCs w:val="24"/>
          <w:lang w:eastAsia="zh-CN"/>
        </w:rPr>
        <w:t>柏木</w:t>
      </w:r>
      <w:r>
        <w:rPr>
          <w:rFonts w:hAnsi="Times New Roman" w:eastAsia="宋体"/>
          <w:bCs/>
          <w:szCs w:val="24"/>
        </w:rPr>
        <w:t>、</w:t>
      </w:r>
      <w:r>
        <w:rPr>
          <w:rFonts w:hAnsi="Times New Roman" w:eastAsia="宋体"/>
          <w:bCs/>
          <w:szCs w:val="24"/>
          <w:lang w:eastAsia="zh-CN"/>
        </w:rPr>
        <w:t>杉木、五节芒、</w:t>
      </w:r>
      <w:r>
        <w:rPr>
          <w:rFonts w:hint="eastAsia" w:hAnsi="Times New Roman" w:eastAsia="宋体"/>
          <w:bCs/>
          <w:szCs w:val="24"/>
          <w:lang w:eastAsia="zh-CN"/>
        </w:rPr>
        <w:t>白茅、斑茅、菊科植物</w:t>
      </w:r>
      <w:r>
        <w:rPr>
          <w:rFonts w:hAnsi="Times New Roman" w:eastAsia="宋体"/>
          <w:bCs/>
          <w:szCs w:val="24"/>
        </w:rPr>
        <w:t>等，这些物种不仅是该区域常见物种，它们耐性强，对土壤要求不高，易生长。同时还可以通过播种豆科植物来改善土壤。绿肥是改良土壤，增加有机质和氮</w:t>
      </w:r>
      <w:r>
        <w:rPr>
          <w:rFonts w:hint="eastAsia" w:hAnsi="Times New Roman" w:eastAsia="宋体"/>
          <w:bCs/>
          <w:szCs w:val="24"/>
          <w:lang w:val="en-US" w:eastAsia="zh-CN"/>
        </w:rPr>
        <w:t>磷</w:t>
      </w:r>
      <w:r>
        <w:rPr>
          <w:rFonts w:hAnsi="Times New Roman" w:eastAsia="宋体"/>
          <w:bCs/>
          <w:szCs w:val="24"/>
        </w:rPr>
        <w:t>钾等营养元素的有效方法，而绿肥多为豆科植物。在恢复前期种植几年生或一年生豆科草本植物，然后将这些植物压青或秸秆还田还土等方式</w:t>
      </w:r>
      <w:r>
        <w:rPr>
          <w:rFonts w:hint="eastAsia" w:hAnsi="Times New Roman" w:eastAsia="宋体"/>
          <w:bCs/>
          <w:szCs w:val="24"/>
          <w:lang w:eastAsia="zh-CN"/>
        </w:rPr>
        <w:t>覆土</w:t>
      </w:r>
      <w:r>
        <w:rPr>
          <w:rFonts w:hAnsi="Times New Roman" w:eastAsia="宋体"/>
          <w:bCs/>
          <w:szCs w:val="24"/>
        </w:rPr>
        <w:t>，在土壤微生物的作用下，释放大量的养分，可以有效改善土壤理化性质。</w:t>
      </w:r>
    </w:p>
    <w:p>
      <w:pPr>
        <w:spacing w:line="360" w:lineRule="auto"/>
        <w:ind w:firstLine="480" w:firstLineChars="200"/>
        <w:rPr>
          <w:rFonts w:hAnsi="Times New Roman" w:eastAsia="宋体"/>
          <w:bCs/>
          <w:szCs w:val="21"/>
        </w:rPr>
      </w:pPr>
      <w:r>
        <w:rPr>
          <w:rFonts w:hAnsi="Times New Roman" w:eastAsia="宋体"/>
          <w:bCs/>
          <w:szCs w:val="24"/>
        </w:rPr>
        <w:t>植被恢复时要尊重自然规律，恰当地利用自然规律指导恢复，将使矿山以较低的经济投入获取最大的生态效益。</w:t>
      </w:r>
    </w:p>
    <w:p>
      <w:pPr>
        <w:spacing w:line="360" w:lineRule="auto"/>
        <w:ind w:firstLine="480" w:firstLineChars="200"/>
        <w:rPr>
          <w:rFonts w:hAnsi="Times New Roman" w:eastAsia="宋体"/>
          <w:bCs/>
          <w:szCs w:val="21"/>
        </w:rPr>
      </w:pPr>
      <w:r>
        <w:rPr>
          <w:rFonts w:hAnsi="Times New Roman" w:eastAsia="宋体"/>
          <w:bCs/>
          <w:szCs w:val="21"/>
          <w:lang w:eastAsia="zh-CN"/>
        </w:rPr>
        <w:t>（3）对珍稀保护植物和古树名木的保护</w:t>
      </w:r>
    </w:p>
    <w:p>
      <w:pPr>
        <w:spacing w:line="360" w:lineRule="auto"/>
        <w:ind w:firstLine="480" w:firstLineChars="200"/>
        <w:rPr>
          <w:rFonts w:hAnsi="Times New Roman" w:eastAsia="宋体"/>
          <w:bCs/>
          <w:szCs w:val="21"/>
        </w:rPr>
      </w:pPr>
      <w:r>
        <w:rPr>
          <w:rFonts w:hAnsi="Times New Roman" w:eastAsia="宋体"/>
          <w:szCs w:val="21"/>
        </w:rPr>
        <w:t>调查未发现有国家重点保护野生植物和古树名木在评价区内有分布。因此，不需制定专门保护方案。</w:t>
      </w:r>
    </w:p>
    <w:p>
      <w:pPr>
        <w:pStyle w:val="14"/>
        <w:overflowPunct w:val="0"/>
        <w:spacing w:line="360" w:lineRule="auto"/>
        <w:rPr>
          <w:rFonts w:ascii="Times New Roman" w:hAnsi="Times New Roman"/>
          <w:b/>
          <w:bCs w:val="0"/>
          <w:sz w:val="24"/>
        </w:rPr>
      </w:pPr>
      <w:r>
        <w:rPr>
          <w:rFonts w:ascii="Times New Roman" w:hAnsi="Times New Roman"/>
          <w:b/>
          <w:bCs w:val="0"/>
          <w:sz w:val="24"/>
        </w:rPr>
        <w:t>4.</w:t>
      </w:r>
      <w:r>
        <w:rPr>
          <w:rFonts w:ascii="Times New Roman" w:hAnsi="Times New Roman"/>
          <w:b/>
          <w:bCs w:val="0"/>
          <w:sz w:val="24"/>
          <w:lang w:eastAsia="zh-CN"/>
        </w:rPr>
        <w:t>4</w:t>
      </w:r>
      <w:r>
        <w:rPr>
          <w:rFonts w:ascii="Times New Roman" w:hAnsi="Times New Roman"/>
          <w:b/>
          <w:bCs w:val="0"/>
          <w:sz w:val="24"/>
        </w:rPr>
        <w:t>.</w:t>
      </w:r>
      <w:r>
        <w:rPr>
          <w:rFonts w:ascii="Times New Roman" w:hAnsi="Times New Roman"/>
          <w:b/>
          <w:bCs w:val="0"/>
          <w:sz w:val="24"/>
          <w:lang w:eastAsia="zh-CN"/>
        </w:rPr>
        <w:t>2</w:t>
      </w:r>
      <w:r>
        <w:rPr>
          <w:rFonts w:ascii="Times New Roman" w:hAnsi="Times New Roman"/>
          <w:b/>
          <w:bCs w:val="0"/>
          <w:sz w:val="24"/>
        </w:rPr>
        <w:t>.</w:t>
      </w:r>
      <w:r>
        <w:rPr>
          <w:rFonts w:ascii="Times New Roman" w:hAnsi="Times New Roman"/>
          <w:b/>
          <w:bCs w:val="0"/>
          <w:sz w:val="24"/>
          <w:lang w:eastAsia="zh-CN"/>
        </w:rPr>
        <w:t>3</w:t>
      </w:r>
      <w:r>
        <w:rPr>
          <w:rFonts w:ascii="Times New Roman" w:hAnsi="Times New Roman"/>
          <w:b/>
          <w:bCs w:val="0"/>
          <w:sz w:val="24"/>
        </w:rPr>
        <w:t xml:space="preserve"> 野生动物保护与管理措施 </w:t>
      </w:r>
    </w:p>
    <w:p>
      <w:pPr>
        <w:widowControl/>
        <w:autoSpaceDE w:val="0"/>
        <w:spacing w:line="360" w:lineRule="auto"/>
        <w:ind w:firstLine="480" w:firstLineChars="200"/>
        <w:rPr>
          <w:rFonts w:hAnsi="Times New Roman" w:eastAsia="宋体"/>
          <w:lang w:eastAsia="zh-CN"/>
        </w:rPr>
      </w:pPr>
      <w:r>
        <w:rPr>
          <w:rFonts w:hAnsi="Times New Roman" w:eastAsia="宋体"/>
          <w:lang w:eastAsia="zh-CN"/>
        </w:rPr>
        <w:t>1、前期保护措施</w:t>
      </w:r>
    </w:p>
    <w:p>
      <w:pPr>
        <w:tabs>
          <w:tab w:val="left" w:pos="2070"/>
        </w:tabs>
        <w:spacing w:line="360" w:lineRule="auto"/>
        <w:ind w:firstLine="480" w:firstLineChars="200"/>
        <w:rPr>
          <w:rFonts w:hAnsi="Times New Roman" w:eastAsia="宋体"/>
          <w:szCs w:val="21"/>
        </w:rPr>
      </w:pPr>
      <w:r>
        <w:rPr>
          <w:rFonts w:hAnsi="Times New Roman" w:eastAsia="宋体"/>
          <w:szCs w:val="21"/>
          <w:lang w:eastAsia="zh-CN"/>
        </w:rPr>
        <w:t>（1）</w:t>
      </w:r>
      <w:r>
        <w:rPr>
          <w:rFonts w:hAnsi="Times New Roman" w:eastAsia="宋体"/>
          <w:szCs w:val="21"/>
        </w:rPr>
        <w:t>基建期和开矿期由业主方、施工方、木里县林业局、环保局等组成生态环境保护管理队伍，针对实际情况制定相应的野生动物保护措施；签订野生动物资源保护的责任书，把保护责任落实到单位和责任人，以建立完善的保护责任人制度。</w:t>
      </w:r>
    </w:p>
    <w:p>
      <w:pPr>
        <w:tabs>
          <w:tab w:val="left" w:pos="2070"/>
        </w:tabs>
        <w:spacing w:line="360" w:lineRule="auto"/>
        <w:ind w:firstLine="480" w:firstLineChars="200"/>
        <w:rPr>
          <w:rFonts w:hAnsi="Times New Roman" w:eastAsia="宋体"/>
          <w:szCs w:val="21"/>
        </w:rPr>
      </w:pPr>
      <w:r>
        <w:rPr>
          <w:rFonts w:hAnsi="Times New Roman" w:eastAsia="宋体"/>
          <w:szCs w:val="21"/>
          <w:lang w:eastAsia="zh-CN"/>
        </w:rPr>
        <w:t>（2）</w:t>
      </w:r>
      <w:r>
        <w:rPr>
          <w:rFonts w:hAnsi="Times New Roman" w:eastAsia="宋体"/>
          <w:szCs w:val="21"/>
        </w:rPr>
        <w:t xml:space="preserve"> 对施工人员和管理人员加强野生动物保护的宣传教育，以公告、发放宣传册、施工区设置宣传牌等形式加大宣传力度；主要宣传《中华人民共和国野生动物保护法</w:t>
      </w:r>
      <w:r>
        <w:rPr>
          <w:rFonts w:hint="eastAsia" w:hAnsi="Times New Roman" w:eastAsia="宋体"/>
          <w:szCs w:val="21"/>
          <w:lang w:eastAsia="zh-CN"/>
        </w:rPr>
        <w:t>》《</w:t>
      </w:r>
      <w:r>
        <w:rPr>
          <w:rFonts w:hAnsi="Times New Roman" w:eastAsia="宋体"/>
          <w:szCs w:val="21"/>
        </w:rPr>
        <w:t>四川省野生动物保护实施办法》等法律法规，增强施工人员的野生动物保护意识。</w:t>
      </w:r>
    </w:p>
    <w:p>
      <w:pPr>
        <w:tabs>
          <w:tab w:val="left" w:pos="2070"/>
        </w:tabs>
        <w:spacing w:line="360" w:lineRule="auto"/>
        <w:ind w:firstLine="480" w:firstLineChars="200"/>
        <w:rPr>
          <w:rFonts w:hAnsi="Times New Roman" w:eastAsia="宋体"/>
          <w:szCs w:val="21"/>
        </w:rPr>
      </w:pPr>
      <w:r>
        <w:rPr>
          <w:rFonts w:hAnsi="Times New Roman" w:eastAsia="宋体"/>
          <w:szCs w:val="21"/>
          <w:lang w:eastAsia="zh-CN"/>
        </w:rPr>
        <w:t>（3）</w:t>
      </w:r>
      <w:r>
        <w:rPr>
          <w:rFonts w:hAnsi="Times New Roman" w:eastAsia="宋体"/>
          <w:szCs w:val="21"/>
        </w:rPr>
        <w:t>在区内设置的保护管理点和巡护管理人员要随时有人员在现场进行巡护。对出现的违法、违规事件要及时查处和制止。</w:t>
      </w:r>
    </w:p>
    <w:p>
      <w:pPr>
        <w:tabs>
          <w:tab w:val="left" w:pos="2070"/>
        </w:tabs>
        <w:spacing w:line="360" w:lineRule="auto"/>
        <w:ind w:firstLine="480" w:firstLineChars="200"/>
        <w:rPr>
          <w:rFonts w:hAnsi="Times New Roman" w:eastAsia="宋体"/>
          <w:szCs w:val="21"/>
        </w:rPr>
      </w:pPr>
      <w:r>
        <w:rPr>
          <w:rFonts w:hAnsi="Times New Roman" w:eastAsia="宋体"/>
          <w:szCs w:val="21"/>
          <w:lang w:eastAsia="zh-CN"/>
        </w:rPr>
        <w:t>（4）</w:t>
      </w:r>
      <w:r>
        <w:rPr>
          <w:rFonts w:hAnsi="Times New Roman" w:eastAsia="宋体"/>
          <w:szCs w:val="21"/>
        </w:rPr>
        <w:t>要向施工人员宣传“保护野生动物就是保护人类自己的观点”，严禁施工人员偷猎和乱捕野生动物。禁止施工人员捕食蛙类、蛇类、鸟类、兽类、鱼类，以减少施工人员对当地陆生野生动物的影响，并采取有效的措施抑制鼠类的危害。</w:t>
      </w:r>
    </w:p>
    <w:p>
      <w:pPr>
        <w:spacing w:line="360" w:lineRule="auto"/>
        <w:ind w:firstLine="480" w:firstLineChars="200"/>
        <w:rPr>
          <w:rFonts w:hAnsi="Times New Roman" w:eastAsia="宋体"/>
          <w:szCs w:val="21"/>
        </w:rPr>
      </w:pPr>
      <w:r>
        <w:rPr>
          <w:rFonts w:hAnsi="Times New Roman" w:eastAsia="宋体"/>
          <w:szCs w:val="21"/>
          <w:lang w:eastAsia="zh-CN"/>
        </w:rPr>
        <w:t>（5）</w:t>
      </w:r>
      <w:r>
        <w:rPr>
          <w:rFonts w:hAnsi="Times New Roman" w:eastAsia="宋体"/>
          <w:szCs w:val="21"/>
        </w:rPr>
        <w:t>工程施工设计中应尽量减少施工占地面积和扰动面积，将施工活动和人员活动限制在预先划定的区域内，保护现有的植被，减少工程施工对动物栖息地造成的不利影响。严禁施工人员到非施工区域活动，禁止破坏施工征地范围以外的植被，以保护动物栖息地。同时，在开矿后期，对所有可能的地区采用适当方法及时进行植被恢复，水土保持，促进临时占地区植物群落的恢复，为野生动物营造出良好的栖息、觅食、休憩环境。</w:t>
      </w:r>
    </w:p>
    <w:p>
      <w:pPr>
        <w:widowControl/>
        <w:autoSpaceDE w:val="0"/>
        <w:spacing w:line="360" w:lineRule="auto"/>
        <w:ind w:firstLine="480" w:firstLineChars="200"/>
        <w:rPr>
          <w:rFonts w:hAnsi="Times New Roman" w:eastAsia="宋体"/>
          <w:lang w:eastAsia="zh-CN"/>
        </w:rPr>
      </w:pPr>
      <w:r>
        <w:rPr>
          <w:rFonts w:hAnsi="Times New Roman" w:eastAsia="宋体"/>
          <w:lang w:eastAsia="zh-CN"/>
        </w:rPr>
        <w:t>2、施工期保护措施</w:t>
      </w:r>
    </w:p>
    <w:p>
      <w:pPr>
        <w:tabs>
          <w:tab w:val="left" w:pos="2070"/>
        </w:tabs>
        <w:spacing w:line="360" w:lineRule="auto"/>
        <w:ind w:firstLine="480" w:firstLineChars="200"/>
        <w:rPr>
          <w:rFonts w:hAnsi="Times New Roman" w:eastAsia="宋体"/>
          <w:szCs w:val="21"/>
        </w:rPr>
      </w:pPr>
      <w:r>
        <w:rPr>
          <w:rFonts w:hAnsi="Times New Roman" w:eastAsia="宋体"/>
          <w:szCs w:val="21"/>
          <w:lang w:eastAsia="zh-CN"/>
        </w:rPr>
        <w:t>（1）</w:t>
      </w:r>
      <w:r>
        <w:rPr>
          <w:rFonts w:hAnsi="Times New Roman" w:eastAsia="宋体"/>
          <w:szCs w:val="21"/>
        </w:rPr>
        <w:t>采用先进的施工工艺和优良设备，严格规范施工，特别注意减少工程施工爆破噪声对鸟类和兽类的惊扰，尽量采用无声爆破或深孔松动式等爆破震动小的爆破方式等先进技术，做好爆破方式、数量、时间的计划，并力求避免在晨昏开山放炮，尽量不在野生动物繁殖季节（4-7月）进行大量的爆破工作，减轻施工噪声和震动对当地野生动物的影响。</w:t>
      </w:r>
    </w:p>
    <w:p>
      <w:pPr>
        <w:tabs>
          <w:tab w:val="left" w:pos="2070"/>
        </w:tabs>
        <w:spacing w:line="360" w:lineRule="auto"/>
        <w:ind w:firstLine="480" w:firstLineChars="200"/>
        <w:rPr>
          <w:rFonts w:hAnsi="Times New Roman" w:eastAsia="宋体"/>
          <w:szCs w:val="21"/>
        </w:rPr>
      </w:pPr>
      <w:r>
        <w:rPr>
          <w:rFonts w:hAnsi="Times New Roman" w:eastAsia="宋体"/>
          <w:szCs w:val="21"/>
          <w:lang w:eastAsia="zh-CN"/>
        </w:rPr>
        <w:t>（2）</w:t>
      </w:r>
      <w:r>
        <w:rPr>
          <w:rFonts w:hAnsi="Times New Roman" w:eastAsia="宋体"/>
          <w:szCs w:val="21"/>
        </w:rPr>
        <w:t>为将工程占地对动物的影响减少到最低限度，应在施工前对直接占地区内分布的动物进行中等干扰强度下的驱赶，如先进行地表植被提取等干扰较小的施工，使其在受到惊扰后能够迁出施工占地区，避免大量动物个体在施工、挖掘、爆破中受到伤害。</w:t>
      </w:r>
    </w:p>
    <w:p>
      <w:pPr>
        <w:tabs>
          <w:tab w:val="left" w:pos="2070"/>
        </w:tabs>
        <w:spacing w:line="360" w:lineRule="auto"/>
        <w:ind w:firstLine="480" w:firstLineChars="200"/>
        <w:rPr>
          <w:rFonts w:hAnsi="Times New Roman" w:eastAsia="宋体"/>
          <w:szCs w:val="21"/>
        </w:rPr>
      </w:pPr>
      <w:r>
        <w:rPr>
          <w:rFonts w:hAnsi="Times New Roman" w:eastAsia="宋体"/>
          <w:szCs w:val="21"/>
          <w:lang w:eastAsia="zh-CN"/>
        </w:rPr>
        <w:t>（3）</w:t>
      </w:r>
      <w:r>
        <w:rPr>
          <w:rFonts w:hAnsi="Times New Roman" w:eastAsia="宋体"/>
          <w:szCs w:val="21"/>
        </w:rPr>
        <w:t>控制水源污染、土壤污染。清洁的水域、干净的土壤，是野生动物赖以生存的必要条件。需要做到：</w:t>
      </w:r>
    </w:p>
    <w:p>
      <w:pPr>
        <w:tabs>
          <w:tab w:val="left" w:pos="2070"/>
        </w:tabs>
        <w:spacing w:line="360" w:lineRule="auto"/>
        <w:ind w:firstLine="480" w:firstLineChars="200"/>
        <w:rPr>
          <w:rFonts w:hAnsi="Times New Roman" w:eastAsia="宋体"/>
          <w:szCs w:val="21"/>
        </w:rPr>
      </w:pPr>
      <w:r>
        <w:rPr>
          <w:rFonts w:hAnsi="Times New Roman" w:eastAsia="宋体"/>
          <w:szCs w:val="21"/>
        </w:rPr>
        <w:t>①在基建期和营运期尽可能地防止燃油泄漏，对工程废物进行快速、集中处理，减少对环境的污染。</w:t>
      </w:r>
    </w:p>
    <w:p>
      <w:pPr>
        <w:tabs>
          <w:tab w:val="left" w:pos="2070"/>
        </w:tabs>
        <w:spacing w:line="360" w:lineRule="auto"/>
        <w:ind w:firstLine="480" w:firstLineChars="200"/>
        <w:rPr>
          <w:rFonts w:hAnsi="Times New Roman" w:eastAsia="宋体"/>
          <w:szCs w:val="21"/>
        </w:rPr>
      </w:pPr>
      <w:r>
        <w:rPr>
          <w:rFonts w:hAnsi="Times New Roman" w:eastAsia="宋体"/>
          <w:szCs w:val="21"/>
        </w:rPr>
        <w:t>②对于施工人员产生的垃圾集中收集和处理。</w:t>
      </w:r>
    </w:p>
    <w:p>
      <w:pPr>
        <w:tabs>
          <w:tab w:val="left" w:pos="2070"/>
        </w:tabs>
        <w:spacing w:line="360" w:lineRule="auto"/>
        <w:ind w:firstLine="480" w:firstLineChars="200"/>
        <w:rPr>
          <w:rFonts w:hAnsi="Times New Roman" w:eastAsia="宋体"/>
          <w:szCs w:val="21"/>
        </w:rPr>
      </w:pPr>
      <w:r>
        <w:rPr>
          <w:rFonts w:hAnsi="Times New Roman" w:eastAsia="宋体"/>
          <w:szCs w:val="21"/>
        </w:rPr>
        <w:t>③应充分考虑地表季节性径流的流向，确保工程施工不会改变地表径流的走向，维持两栖爬行类原有的生境条件。</w:t>
      </w:r>
    </w:p>
    <w:p>
      <w:pPr>
        <w:tabs>
          <w:tab w:val="left" w:pos="2070"/>
        </w:tabs>
        <w:spacing w:line="360" w:lineRule="auto"/>
        <w:ind w:firstLine="480" w:firstLineChars="200"/>
        <w:rPr>
          <w:rFonts w:hAnsi="Times New Roman" w:eastAsia="宋体"/>
          <w:bCs/>
          <w:szCs w:val="21"/>
        </w:rPr>
      </w:pPr>
      <w:r>
        <w:rPr>
          <w:rFonts w:hAnsi="Times New Roman" w:eastAsia="宋体"/>
          <w:bCs/>
          <w:szCs w:val="21"/>
        </w:rPr>
        <w:t>3</w:t>
      </w:r>
      <w:r>
        <w:rPr>
          <w:rFonts w:hAnsi="Times New Roman" w:eastAsia="宋体"/>
          <w:bCs/>
          <w:szCs w:val="21"/>
          <w:lang w:eastAsia="zh-CN"/>
        </w:rPr>
        <w:t>、</w:t>
      </w:r>
      <w:r>
        <w:rPr>
          <w:rFonts w:hAnsi="Times New Roman" w:eastAsia="宋体"/>
          <w:bCs/>
          <w:szCs w:val="21"/>
        </w:rPr>
        <w:t>采矿期保护措施</w:t>
      </w:r>
    </w:p>
    <w:p>
      <w:pPr>
        <w:tabs>
          <w:tab w:val="left" w:pos="2070"/>
        </w:tabs>
        <w:spacing w:line="360" w:lineRule="auto"/>
        <w:ind w:firstLine="480" w:firstLineChars="200"/>
        <w:rPr>
          <w:rFonts w:hAnsi="Times New Roman" w:eastAsia="宋体"/>
          <w:b/>
          <w:szCs w:val="21"/>
        </w:rPr>
      </w:pPr>
      <w:r>
        <w:rPr>
          <w:rFonts w:hAnsi="Times New Roman" w:eastAsia="宋体"/>
          <w:szCs w:val="21"/>
        </w:rPr>
        <w:t>采矿期对野生动物栖息和活动范围造成影响的因素主要为</w:t>
      </w:r>
      <w:r>
        <w:rPr>
          <w:rFonts w:hint="eastAsia" w:hAnsi="Times New Roman" w:eastAsia="宋体"/>
          <w:szCs w:val="21"/>
          <w:lang w:eastAsia="zh-CN"/>
        </w:rPr>
        <w:t>振动</w:t>
      </w:r>
      <w:r>
        <w:rPr>
          <w:rFonts w:hAnsi="Times New Roman" w:eastAsia="宋体"/>
          <w:szCs w:val="21"/>
        </w:rPr>
        <w:t>、噪声、扬尘等。主要影响区域为工程施工占地区周边，对评价区域其他部分影响微弱。</w:t>
      </w:r>
    </w:p>
    <w:p>
      <w:pPr>
        <w:topLinePunct/>
        <w:spacing w:line="360" w:lineRule="auto"/>
        <w:ind w:firstLine="480" w:firstLineChars="200"/>
        <w:rPr>
          <w:rFonts w:hAnsi="Times New Roman" w:eastAsia="宋体"/>
        </w:rPr>
      </w:pPr>
      <w:r>
        <w:rPr>
          <w:rFonts w:hAnsi="Times New Roman" w:eastAsia="宋体"/>
        </w:rPr>
        <w:t>采矿期应采取有效措施减轻生产中的开采、爆破以及产品运输产生的噪声、振动、灯光以及粉尘等对动物的影响，</w:t>
      </w:r>
    </w:p>
    <w:p>
      <w:pPr>
        <w:tabs>
          <w:tab w:val="left" w:pos="2070"/>
        </w:tabs>
        <w:spacing w:line="360" w:lineRule="auto"/>
        <w:ind w:firstLine="480" w:firstLineChars="200"/>
        <w:rPr>
          <w:rFonts w:hAnsi="Times New Roman" w:eastAsia="宋体"/>
          <w:bCs/>
          <w:szCs w:val="21"/>
        </w:rPr>
      </w:pPr>
      <w:r>
        <w:rPr>
          <w:rFonts w:hAnsi="Times New Roman" w:eastAsia="宋体"/>
          <w:bCs/>
          <w:szCs w:val="21"/>
        </w:rPr>
        <w:t>4</w:t>
      </w:r>
      <w:r>
        <w:rPr>
          <w:rFonts w:hAnsi="Times New Roman" w:eastAsia="宋体"/>
          <w:bCs/>
          <w:szCs w:val="21"/>
          <w:lang w:eastAsia="zh-CN"/>
        </w:rPr>
        <w:t>、</w:t>
      </w:r>
      <w:r>
        <w:rPr>
          <w:rFonts w:hAnsi="Times New Roman" w:eastAsia="宋体"/>
          <w:bCs/>
          <w:szCs w:val="21"/>
        </w:rPr>
        <w:t>对珍稀保护动物的保护</w:t>
      </w:r>
    </w:p>
    <w:p>
      <w:pPr>
        <w:tabs>
          <w:tab w:val="left" w:pos="2070"/>
        </w:tabs>
        <w:spacing w:line="360" w:lineRule="auto"/>
        <w:ind w:firstLine="480" w:firstLineChars="200"/>
        <w:rPr>
          <w:rFonts w:hAnsi="Times New Roman" w:eastAsia="宋体"/>
          <w:szCs w:val="21"/>
        </w:rPr>
      </w:pPr>
      <w:r>
        <w:rPr>
          <w:rFonts w:hAnsi="Times New Roman" w:eastAsia="宋体"/>
          <w:szCs w:val="21"/>
        </w:rPr>
        <w:t>加强对国家珍稀重点保护鸟类、兽类和具有较高经济和观赏价值动物的保护。虽然在评价区未调查且也无相关资料记载有</w:t>
      </w:r>
      <w:r>
        <w:rPr>
          <w:rFonts w:hint="eastAsia" w:hAnsi="Times New Roman" w:eastAsia="宋体"/>
          <w:szCs w:val="21"/>
          <w:lang w:eastAsia="zh-CN"/>
        </w:rPr>
        <w:t>珍稀保护动物</w:t>
      </w:r>
      <w:r>
        <w:rPr>
          <w:rFonts w:hAnsi="Times New Roman" w:eastAsia="宋体"/>
          <w:szCs w:val="21"/>
        </w:rPr>
        <w:t>的出现，但是在项目运行乃至运行结束后，相关部门也应加强对区域内的动物活动踪迹调查记录，若发现有</w:t>
      </w:r>
      <w:r>
        <w:rPr>
          <w:rFonts w:hint="eastAsia" w:hAnsi="Times New Roman" w:eastAsia="宋体"/>
          <w:szCs w:val="21"/>
          <w:lang w:eastAsia="zh-CN"/>
        </w:rPr>
        <w:t>珍稀保护动物</w:t>
      </w:r>
      <w:r>
        <w:rPr>
          <w:rFonts w:hAnsi="Times New Roman" w:eastAsia="宋体"/>
          <w:szCs w:val="21"/>
        </w:rPr>
        <w:t>的踪迹，应及时上报并采取相关措施进行保护。此外工作人员禁止捕捉松鼠、蛇类、蛙类、鱼类等具有经济价值和观赏价值的动物；禁止发生捡鸟蛋、掏鸟窝、捉幼鸟等行为，执法必严，违法必究。</w:t>
      </w:r>
    </w:p>
    <w:p>
      <w:pPr>
        <w:pStyle w:val="14"/>
        <w:overflowPunct w:val="0"/>
        <w:spacing w:line="360" w:lineRule="auto"/>
        <w:rPr>
          <w:rFonts w:ascii="Times New Roman" w:hAnsi="Times New Roman"/>
          <w:b/>
          <w:bCs w:val="0"/>
          <w:sz w:val="24"/>
        </w:rPr>
      </w:pPr>
      <w:r>
        <w:rPr>
          <w:rFonts w:ascii="Times New Roman" w:hAnsi="Times New Roman"/>
          <w:b/>
          <w:bCs w:val="0"/>
          <w:sz w:val="24"/>
        </w:rPr>
        <w:t>4.</w:t>
      </w:r>
      <w:r>
        <w:rPr>
          <w:rFonts w:ascii="Times New Roman" w:hAnsi="Times New Roman"/>
          <w:b/>
          <w:bCs w:val="0"/>
          <w:sz w:val="24"/>
          <w:lang w:eastAsia="zh-CN"/>
        </w:rPr>
        <w:t>4</w:t>
      </w:r>
      <w:r>
        <w:rPr>
          <w:rFonts w:ascii="Times New Roman" w:hAnsi="Times New Roman"/>
          <w:b/>
          <w:bCs w:val="0"/>
          <w:sz w:val="24"/>
        </w:rPr>
        <w:t>.</w:t>
      </w:r>
      <w:r>
        <w:rPr>
          <w:rFonts w:ascii="Times New Roman" w:hAnsi="Times New Roman"/>
          <w:b/>
          <w:bCs w:val="0"/>
          <w:sz w:val="24"/>
          <w:lang w:eastAsia="zh-CN"/>
        </w:rPr>
        <w:t>2</w:t>
      </w:r>
      <w:r>
        <w:rPr>
          <w:rFonts w:ascii="Times New Roman" w:hAnsi="Times New Roman"/>
          <w:b/>
          <w:bCs w:val="0"/>
          <w:sz w:val="24"/>
        </w:rPr>
        <w:t>.</w:t>
      </w:r>
      <w:r>
        <w:rPr>
          <w:rFonts w:ascii="Times New Roman" w:hAnsi="Times New Roman"/>
          <w:b/>
          <w:bCs w:val="0"/>
          <w:sz w:val="24"/>
          <w:lang w:eastAsia="zh-CN"/>
        </w:rPr>
        <w:t>4</w:t>
      </w:r>
      <w:r>
        <w:rPr>
          <w:rFonts w:ascii="Times New Roman" w:hAnsi="Times New Roman"/>
          <w:b/>
          <w:bCs w:val="0"/>
          <w:sz w:val="24"/>
        </w:rPr>
        <w:t xml:space="preserve"> 景观资源影响减缓措施和景观生态体系恢复措施 </w:t>
      </w:r>
    </w:p>
    <w:p>
      <w:pPr>
        <w:widowControl/>
        <w:autoSpaceDE w:val="0"/>
        <w:spacing w:line="360" w:lineRule="auto"/>
        <w:ind w:firstLine="480" w:firstLineChars="200"/>
        <w:rPr>
          <w:rFonts w:hAnsi="Times New Roman" w:eastAsia="宋体"/>
          <w:lang w:eastAsia="zh-CN"/>
        </w:rPr>
      </w:pPr>
      <w:r>
        <w:rPr>
          <w:rFonts w:hAnsi="Times New Roman" w:eastAsia="宋体"/>
          <w:lang w:eastAsia="zh-CN"/>
        </w:rPr>
        <w:t>1、景观资源影响减缓措施</w:t>
      </w:r>
    </w:p>
    <w:p>
      <w:pPr>
        <w:tabs>
          <w:tab w:val="left" w:pos="2070"/>
        </w:tabs>
        <w:spacing w:line="360" w:lineRule="auto"/>
        <w:ind w:firstLine="480" w:firstLineChars="200"/>
        <w:rPr>
          <w:rFonts w:hAnsi="Times New Roman" w:eastAsia="宋体"/>
          <w:szCs w:val="21"/>
        </w:rPr>
      </w:pPr>
      <w:r>
        <w:rPr>
          <w:rFonts w:hAnsi="Times New Roman" w:eastAsia="宋体"/>
          <w:szCs w:val="21"/>
        </w:rPr>
        <w:t>为降低和控制景观影响的范围，应采取的景观影响减缓措施如下：</w:t>
      </w:r>
    </w:p>
    <w:p>
      <w:pPr>
        <w:tabs>
          <w:tab w:val="left" w:pos="2070"/>
        </w:tabs>
        <w:spacing w:line="360" w:lineRule="auto"/>
        <w:ind w:firstLine="480" w:firstLineChars="200"/>
        <w:rPr>
          <w:rFonts w:hAnsi="Times New Roman" w:eastAsia="宋体"/>
          <w:szCs w:val="21"/>
        </w:rPr>
      </w:pPr>
      <w:r>
        <w:rPr>
          <w:rFonts w:hAnsi="Times New Roman" w:eastAsia="宋体"/>
          <w:szCs w:val="21"/>
          <w:lang w:eastAsia="zh-CN"/>
        </w:rPr>
        <w:t>（1）</w:t>
      </w:r>
      <w:r>
        <w:rPr>
          <w:rFonts w:hAnsi="Times New Roman" w:eastAsia="宋体"/>
          <w:szCs w:val="21"/>
        </w:rPr>
        <w:t>不得随意砍伐林木、不得随意采摘花草；</w:t>
      </w:r>
    </w:p>
    <w:p>
      <w:pPr>
        <w:tabs>
          <w:tab w:val="left" w:pos="2070"/>
        </w:tabs>
        <w:spacing w:line="360" w:lineRule="auto"/>
        <w:ind w:firstLine="480" w:firstLineChars="200"/>
        <w:rPr>
          <w:rFonts w:hAnsi="Times New Roman" w:eastAsia="宋体"/>
          <w:szCs w:val="21"/>
        </w:rPr>
      </w:pPr>
      <w:r>
        <w:rPr>
          <w:rFonts w:hAnsi="Times New Roman" w:eastAsia="宋体"/>
          <w:szCs w:val="21"/>
          <w:lang w:eastAsia="zh-CN"/>
        </w:rPr>
        <w:t>（2）</w:t>
      </w:r>
      <w:r>
        <w:rPr>
          <w:rFonts w:hAnsi="Times New Roman" w:eastAsia="宋体"/>
          <w:szCs w:val="21"/>
        </w:rPr>
        <w:t>生活垃圾应统一收集，拉至固定场所处理，严禁随意乱丢乱弃；生活废水统一收集处理，严禁矿区污水横流，污染当地地表水环境，形成视觉污染；</w:t>
      </w:r>
    </w:p>
    <w:p>
      <w:pPr>
        <w:tabs>
          <w:tab w:val="left" w:pos="2070"/>
        </w:tabs>
        <w:spacing w:line="360" w:lineRule="auto"/>
        <w:ind w:firstLine="480" w:firstLineChars="200"/>
        <w:rPr>
          <w:rFonts w:hAnsi="Times New Roman" w:eastAsia="宋体"/>
          <w:szCs w:val="21"/>
        </w:rPr>
      </w:pPr>
      <w:r>
        <w:rPr>
          <w:rFonts w:hAnsi="Times New Roman" w:eastAsia="宋体"/>
          <w:szCs w:val="21"/>
          <w:lang w:eastAsia="zh-CN"/>
        </w:rPr>
        <w:t>（3）</w:t>
      </w:r>
      <w:r>
        <w:rPr>
          <w:rFonts w:hAnsi="Times New Roman" w:eastAsia="宋体"/>
          <w:szCs w:val="21"/>
        </w:rPr>
        <w:t>在开采期，严禁不合理设置材料和矿石料堆场，应有序堆放；尽量对废土石进行综合利用，减少堆放量，不得随意扩大堆场范围，减小景观影响范围。</w:t>
      </w:r>
    </w:p>
    <w:p>
      <w:pPr>
        <w:tabs>
          <w:tab w:val="left" w:pos="2070"/>
        </w:tabs>
        <w:spacing w:line="360" w:lineRule="auto"/>
        <w:ind w:firstLine="480" w:firstLineChars="200"/>
        <w:rPr>
          <w:rFonts w:hAnsi="Times New Roman" w:eastAsia="宋体"/>
          <w:szCs w:val="21"/>
        </w:rPr>
      </w:pPr>
      <w:r>
        <w:rPr>
          <w:rFonts w:hAnsi="Times New Roman" w:eastAsia="宋体"/>
          <w:szCs w:val="21"/>
          <w:lang w:eastAsia="zh-CN"/>
        </w:rPr>
        <w:t>（4）</w:t>
      </w:r>
      <w:r>
        <w:rPr>
          <w:rFonts w:hAnsi="Times New Roman" w:eastAsia="宋体"/>
          <w:szCs w:val="21"/>
        </w:rPr>
        <w:t>各种临时占地在使用结束后应尽快进行迹地恢复和景观打造。并对场地内各种生活、生产垃圾、废料进行清理，不得影响周围环境景观。</w:t>
      </w:r>
    </w:p>
    <w:p>
      <w:pPr>
        <w:tabs>
          <w:tab w:val="left" w:pos="2070"/>
        </w:tabs>
        <w:spacing w:line="360" w:lineRule="auto"/>
        <w:ind w:firstLine="480" w:firstLineChars="200"/>
        <w:rPr>
          <w:rFonts w:hAnsi="Times New Roman" w:eastAsia="宋体"/>
          <w:szCs w:val="21"/>
        </w:rPr>
      </w:pPr>
      <w:r>
        <w:rPr>
          <w:rFonts w:hAnsi="Times New Roman" w:eastAsia="宋体"/>
          <w:szCs w:val="21"/>
          <w:lang w:eastAsia="zh-CN"/>
        </w:rPr>
        <w:t>（5）</w:t>
      </w:r>
      <w:r>
        <w:rPr>
          <w:rFonts w:hAnsi="Times New Roman" w:eastAsia="宋体"/>
          <w:szCs w:val="21"/>
        </w:rPr>
        <w:t>在道路两侧可尽早进行绿化，栽植行道树，主要出入口处由灌木、绿篱组成多层次行道绿化带，达到观赏与美化的效果；挡墙及护坡地段，布置适当的花草，达到垂直绿化的效果。</w:t>
      </w:r>
    </w:p>
    <w:p>
      <w:pPr>
        <w:tabs>
          <w:tab w:val="left" w:pos="2070"/>
        </w:tabs>
        <w:spacing w:line="360" w:lineRule="auto"/>
        <w:ind w:firstLine="480" w:firstLineChars="200"/>
        <w:rPr>
          <w:rFonts w:hAnsi="Times New Roman" w:eastAsia="宋体"/>
          <w:szCs w:val="21"/>
        </w:rPr>
      </w:pPr>
      <w:r>
        <w:rPr>
          <w:rFonts w:hAnsi="Times New Roman" w:eastAsia="宋体"/>
          <w:szCs w:val="21"/>
          <w:lang w:eastAsia="zh-CN"/>
        </w:rPr>
        <w:t>（6）</w:t>
      </w:r>
      <w:r>
        <w:rPr>
          <w:rFonts w:hAnsi="Times New Roman" w:eastAsia="宋体"/>
          <w:szCs w:val="21"/>
        </w:rPr>
        <w:t>在开采后期及矿山服务期满后，对矿区开采、工程建设、运输道路等因矿山开采活动造成的裸露地面，积极采取工程和生物措施相结合的方法予以恢复重建，根据区域生态环境特点，进行景观恢复。</w:t>
      </w:r>
    </w:p>
    <w:p>
      <w:pPr>
        <w:tabs>
          <w:tab w:val="left" w:pos="2070"/>
        </w:tabs>
        <w:spacing w:line="360" w:lineRule="auto"/>
        <w:ind w:firstLine="480" w:firstLineChars="200"/>
        <w:rPr>
          <w:rFonts w:hAnsi="Times New Roman" w:eastAsia="宋体"/>
          <w:bCs/>
          <w:szCs w:val="21"/>
        </w:rPr>
      </w:pPr>
      <w:r>
        <w:rPr>
          <w:rFonts w:hAnsi="Times New Roman" w:eastAsia="宋体"/>
          <w:bCs/>
          <w:szCs w:val="21"/>
        </w:rPr>
        <w:t>2</w:t>
      </w:r>
      <w:r>
        <w:rPr>
          <w:rFonts w:hAnsi="Times New Roman" w:eastAsia="宋体"/>
          <w:bCs/>
          <w:szCs w:val="21"/>
          <w:lang w:eastAsia="zh-CN"/>
        </w:rPr>
        <w:t>、</w:t>
      </w:r>
      <w:r>
        <w:rPr>
          <w:rFonts w:hAnsi="Times New Roman" w:eastAsia="宋体"/>
          <w:bCs/>
          <w:szCs w:val="21"/>
        </w:rPr>
        <w:t>对各类生态系统的减缓与恢复措施</w:t>
      </w:r>
    </w:p>
    <w:p>
      <w:pPr>
        <w:tabs>
          <w:tab w:val="left" w:pos="2070"/>
        </w:tabs>
        <w:spacing w:line="360" w:lineRule="auto"/>
        <w:ind w:firstLine="480" w:firstLineChars="200"/>
        <w:rPr>
          <w:rFonts w:hAnsi="Times New Roman" w:eastAsia="宋体"/>
          <w:szCs w:val="21"/>
        </w:rPr>
      </w:pPr>
      <w:r>
        <w:rPr>
          <w:rFonts w:hAnsi="Times New Roman" w:eastAsia="宋体"/>
          <w:szCs w:val="21"/>
        </w:rPr>
        <w:t>本项目主要影响生态系统类型为森林生态系统、灌草丛生态系统，对森林、灌草丛生态系统的恢复主要与植被恢复密切相关，尽量根据占地区植被现状进行植被恢复，使各类植被类型的面积变化不至太大。</w:t>
      </w:r>
    </w:p>
    <w:p>
      <w:pPr>
        <w:tabs>
          <w:tab w:val="left" w:pos="2070"/>
        </w:tabs>
        <w:spacing w:line="360" w:lineRule="auto"/>
        <w:ind w:firstLine="480" w:firstLineChars="200"/>
        <w:rPr>
          <w:rFonts w:hAnsi="Times New Roman" w:eastAsia="宋体"/>
          <w:szCs w:val="21"/>
        </w:rPr>
      </w:pPr>
      <w:r>
        <w:rPr>
          <w:rFonts w:hAnsi="Times New Roman" w:eastAsia="宋体"/>
          <w:szCs w:val="21"/>
        </w:rPr>
        <w:t>需要与植物和植被恢复相结合进行，最大限度消减因工程建设和采矿形成的裸地面积，在工程结束后迅速将这些裸地进行绿化，促进该区段植被景观的好转。</w:t>
      </w:r>
    </w:p>
    <w:p>
      <w:pPr>
        <w:tabs>
          <w:tab w:val="left" w:pos="2070"/>
        </w:tabs>
        <w:spacing w:line="360" w:lineRule="auto"/>
        <w:ind w:firstLine="480" w:firstLineChars="200"/>
        <w:rPr>
          <w:rFonts w:hAnsi="Times New Roman" w:eastAsia="宋体"/>
          <w:bCs/>
          <w:szCs w:val="21"/>
        </w:rPr>
      </w:pPr>
      <w:r>
        <w:rPr>
          <w:rFonts w:hint="eastAsia" w:hAnsi="Times New Roman" w:eastAsia="宋体"/>
          <w:bCs/>
          <w:szCs w:val="21"/>
          <w:lang w:eastAsia="zh-CN"/>
        </w:rPr>
        <w:t>3</w:t>
      </w:r>
      <w:r>
        <w:rPr>
          <w:rFonts w:hAnsi="Times New Roman" w:eastAsia="宋体"/>
          <w:bCs/>
          <w:szCs w:val="21"/>
          <w:lang w:eastAsia="zh-CN"/>
        </w:rPr>
        <w:t>、</w:t>
      </w:r>
      <w:r>
        <w:rPr>
          <w:rFonts w:hAnsi="Times New Roman" w:eastAsia="宋体"/>
          <w:bCs/>
          <w:szCs w:val="21"/>
        </w:rPr>
        <w:t>地表塌陷防治措施</w:t>
      </w:r>
    </w:p>
    <w:p>
      <w:pPr>
        <w:tabs>
          <w:tab w:val="left" w:pos="2070"/>
        </w:tabs>
        <w:spacing w:line="360" w:lineRule="auto"/>
        <w:ind w:firstLine="480" w:firstLineChars="200"/>
        <w:rPr>
          <w:rFonts w:hAnsi="Times New Roman" w:eastAsia="宋体"/>
          <w:szCs w:val="21"/>
        </w:rPr>
      </w:pPr>
      <w:r>
        <w:rPr>
          <w:rFonts w:hAnsi="Times New Roman" w:eastAsia="宋体"/>
          <w:szCs w:val="21"/>
        </w:rPr>
        <w:t>防治地表塌陷对生态环境的影响最有效的办法是留设保安煤柱，设计针对井田内及边界的工业场地、村庄、公路、河流等保护目标留设保安煤柱，对不宜留设煤柱的设施拟派专人进行巡回检查，发现问题及时解决；对农田视破坏程度，根据有关法规进行土地复垦。对工业场地进行绿化，使厂区有一个良好的生态环境。绿化时按照减污，美化环境角度，选择抗尘和美化功能好的树种，在各个工业场地、排矸场附近种植高大遮阴的乔木，配置灌木和草坪花卉等植物，运输道路旁种植小乔木、灌木和绿篱。</w:t>
      </w:r>
    </w:p>
    <w:p>
      <w:pPr>
        <w:pStyle w:val="14"/>
        <w:overflowPunct w:val="0"/>
        <w:spacing w:line="360" w:lineRule="auto"/>
        <w:rPr>
          <w:rFonts w:ascii="Times New Roman" w:hAnsi="Times New Roman"/>
          <w:b/>
          <w:bCs w:val="0"/>
          <w:sz w:val="24"/>
        </w:rPr>
      </w:pPr>
      <w:r>
        <w:rPr>
          <w:rFonts w:ascii="Times New Roman" w:hAnsi="Times New Roman"/>
          <w:b/>
          <w:bCs w:val="0"/>
          <w:sz w:val="24"/>
        </w:rPr>
        <w:t>4.</w:t>
      </w:r>
      <w:r>
        <w:rPr>
          <w:rFonts w:ascii="Times New Roman" w:hAnsi="Times New Roman"/>
          <w:b/>
          <w:bCs w:val="0"/>
          <w:sz w:val="24"/>
          <w:lang w:eastAsia="zh-CN"/>
        </w:rPr>
        <w:t>4</w:t>
      </w:r>
      <w:r>
        <w:rPr>
          <w:rFonts w:ascii="Times New Roman" w:hAnsi="Times New Roman"/>
          <w:b/>
          <w:bCs w:val="0"/>
          <w:sz w:val="24"/>
        </w:rPr>
        <w:t>.</w:t>
      </w:r>
      <w:r>
        <w:rPr>
          <w:rFonts w:ascii="Times New Roman" w:hAnsi="Times New Roman"/>
          <w:b/>
          <w:bCs w:val="0"/>
          <w:sz w:val="24"/>
          <w:lang w:eastAsia="zh-CN"/>
        </w:rPr>
        <w:t>2</w:t>
      </w:r>
      <w:r>
        <w:rPr>
          <w:rFonts w:ascii="Times New Roman" w:hAnsi="Times New Roman"/>
          <w:b/>
          <w:bCs w:val="0"/>
          <w:sz w:val="24"/>
        </w:rPr>
        <w:t>.</w:t>
      </w:r>
      <w:r>
        <w:rPr>
          <w:rFonts w:ascii="Times New Roman" w:hAnsi="Times New Roman"/>
          <w:b/>
          <w:bCs w:val="0"/>
          <w:sz w:val="24"/>
          <w:lang w:eastAsia="zh-CN"/>
        </w:rPr>
        <w:t>5</w:t>
      </w:r>
      <w:r>
        <w:rPr>
          <w:rFonts w:ascii="Times New Roman" w:hAnsi="Times New Roman"/>
          <w:b/>
          <w:bCs w:val="0"/>
          <w:sz w:val="24"/>
        </w:rPr>
        <w:t xml:space="preserve"> </w:t>
      </w:r>
      <w:r>
        <w:rPr>
          <w:rFonts w:ascii="Times New Roman" w:hAnsi="Times New Roman"/>
          <w:b/>
          <w:bCs w:val="0"/>
          <w:sz w:val="24"/>
          <w:lang w:eastAsia="zh-CN"/>
        </w:rPr>
        <w:t>生物多样性监测</w:t>
      </w:r>
      <w:r>
        <w:rPr>
          <w:rFonts w:ascii="Times New Roman" w:hAnsi="Times New Roman"/>
          <w:b/>
          <w:bCs w:val="0"/>
          <w:sz w:val="24"/>
        </w:rPr>
        <w:t xml:space="preserve">措施 </w:t>
      </w:r>
    </w:p>
    <w:p>
      <w:pPr>
        <w:tabs>
          <w:tab w:val="left" w:pos="8820"/>
        </w:tabs>
        <w:spacing w:line="360" w:lineRule="auto"/>
        <w:ind w:firstLine="480" w:firstLineChars="200"/>
        <w:rPr>
          <w:rFonts w:hAnsi="Times New Roman" w:eastAsia="宋体"/>
          <w:szCs w:val="21"/>
        </w:rPr>
      </w:pPr>
      <w:r>
        <w:rPr>
          <w:rFonts w:hAnsi="Times New Roman" w:eastAsia="宋体"/>
          <w:szCs w:val="21"/>
        </w:rPr>
        <w:t>为了在采矿期和闭矿期实时掌握本项目建设对评价区域内动植物物种多样性的影响，应设置生物多样性监测线路常年监测动植物多样性的变化情况，根据监测变化状况制定相应的保护措施。</w:t>
      </w:r>
    </w:p>
    <w:p>
      <w:pPr>
        <w:tabs>
          <w:tab w:val="left" w:pos="2070"/>
        </w:tabs>
        <w:spacing w:line="360" w:lineRule="auto"/>
        <w:ind w:firstLine="480" w:firstLineChars="200"/>
        <w:rPr>
          <w:rFonts w:hAnsi="Times New Roman" w:eastAsia="宋体"/>
          <w:szCs w:val="21"/>
        </w:rPr>
      </w:pPr>
      <w:r>
        <w:rPr>
          <w:rFonts w:hAnsi="Times New Roman" w:eastAsia="宋体"/>
          <w:szCs w:val="21"/>
        </w:rPr>
        <w:t>主要监测内容为各工程作业区域及周边环境野生动植物分布状况、活动范围、种群密度、受胁情况、栖息地恢复等方面的动态变化监测。应重点开展对评价区内重点保护野生动物、野生植物物种和自然植被中各群丛长势的监测</w:t>
      </w:r>
      <w:r>
        <w:rPr>
          <w:rFonts w:hAnsi="Times New Roman" w:eastAsia="宋体"/>
          <w:szCs w:val="21"/>
          <w:lang w:eastAsia="zh-CN"/>
        </w:rPr>
        <w:t>。</w:t>
      </w:r>
    </w:p>
    <w:p>
      <w:pPr>
        <w:pStyle w:val="6"/>
        <w:rPr>
          <w:szCs w:val="22"/>
          <w:lang w:eastAsia="zh-CN"/>
        </w:rPr>
      </w:pPr>
      <w:bookmarkStart w:id="246" w:name="_Toc167095198"/>
      <w:bookmarkStart w:id="247" w:name="_Toc163812575"/>
      <w:r>
        <w:rPr>
          <w:szCs w:val="22"/>
          <w:lang w:eastAsia="zh-CN"/>
        </w:rPr>
        <w:t>4.4.3 土地复垦及水土保持措施</w:t>
      </w:r>
      <w:bookmarkEnd w:id="246"/>
      <w:bookmarkEnd w:id="247"/>
    </w:p>
    <w:p>
      <w:pPr>
        <w:spacing w:line="360" w:lineRule="auto"/>
        <w:ind w:firstLine="480" w:firstLineChars="200"/>
        <w:rPr>
          <w:rFonts w:hAnsi="Times New Roman" w:eastAsia="宋体"/>
          <w:szCs w:val="21"/>
        </w:rPr>
      </w:pPr>
      <w:r>
        <w:rPr>
          <w:rFonts w:hAnsi="Times New Roman" w:eastAsia="宋体"/>
          <w:szCs w:val="21"/>
        </w:rPr>
        <w:t>由于被破坏植被的地方和废石场表面的岩石、废石裸露，基本无表土植被覆盖，水土流失量将高于开采前的状况。为防止水土流失，恢复植被和景观，被破坏植被的地方和废石场，矿山应</w:t>
      </w:r>
      <w:r>
        <w:rPr>
          <w:rFonts w:hint="eastAsia" w:hAnsi="Times New Roman" w:eastAsia="宋体"/>
          <w:szCs w:val="21"/>
          <w:lang w:eastAsia="zh-CN"/>
        </w:rPr>
        <w:t>覆土</w:t>
      </w:r>
      <w:r>
        <w:rPr>
          <w:rFonts w:hAnsi="Times New Roman" w:eastAsia="宋体"/>
          <w:szCs w:val="21"/>
        </w:rPr>
        <w:t>和恢复植被，对矿山压占、损毁而可复垦的土地应得到全面复垦利用。</w:t>
      </w:r>
    </w:p>
    <w:p>
      <w:pPr>
        <w:pStyle w:val="14"/>
        <w:overflowPunct w:val="0"/>
        <w:spacing w:line="360" w:lineRule="auto"/>
        <w:rPr>
          <w:rFonts w:ascii="Times New Roman" w:hAnsi="Times New Roman"/>
          <w:b/>
          <w:bCs w:val="0"/>
          <w:sz w:val="24"/>
        </w:rPr>
      </w:pPr>
      <w:r>
        <w:rPr>
          <w:rFonts w:ascii="Times New Roman" w:hAnsi="Times New Roman"/>
          <w:b/>
          <w:bCs w:val="0"/>
          <w:sz w:val="24"/>
        </w:rPr>
        <w:t>4.</w:t>
      </w:r>
      <w:r>
        <w:rPr>
          <w:rFonts w:ascii="Times New Roman" w:hAnsi="Times New Roman"/>
          <w:b/>
          <w:bCs w:val="0"/>
          <w:sz w:val="24"/>
          <w:lang w:eastAsia="zh-CN"/>
        </w:rPr>
        <w:t>4</w:t>
      </w:r>
      <w:r>
        <w:rPr>
          <w:rFonts w:ascii="Times New Roman" w:hAnsi="Times New Roman"/>
          <w:b/>
          <w:bCs w:val="0"/>
          <w:sz w:val="24"/>
        </w:rPr>
        <w:t>.</w:t>
      </w:r>
      <w:r>
        <w:rPr>
          <w:rFonts w:ascii="Times New Roman" w:hAnsi="Times New Roman"/>
          <w:b/>
          <w:bCs w:val="0"/>
          <w:sz w:val="24"/>
          <w:lang w:eastAsia="zh-CN"/>
        </w:rPr>
        <w:t>3</w:t>
      </w:r>
      <w:r>
        <w:rPr>
          <w:rFonts w:ascii="Times New Roman" w:hAnsi="Times New Roman"/>
          <w:b/>
          <w:bCs w:val="0"/>
          <w:sz w:val="24"/>
        </w:rPr>
        <w:t xml:space="preserve">.1 </w:t>
      </w:r>
      <w:r>
        <w:rPr>
          <w:rFonts w:ascii="Times New Roman" w:hAnsi="Times New Roman"/>
          <w:b/>
          <w:bCs w:val="0"/>
          <w:sz w:val="24"/>
          <w:lang w:eastAsia="zh-CN"/>
        </w:rPr>
        <w:t>土地复垦</w:t>
      </w:r>
      <w:r>
        <w:rPr>
          <w:rFonts w:ascii="Times New Roman" w:hAnsi="Times New Roman"/>
          <w:b/>
          <w:bCs w:val="0"/>
          <w:sz w:val="24"/>
        </w:rPr>
        <w:t xml:space="preserve">措施 </w:t>
      </w:r>
    </w:p>
    <w:p>
      <w:pPr>
        <w:spacing w:line="360" w:lineRule="auto"/>
        <w:ind w:firstLine="480" w:firstLineChars="200"/>
        <w:rPr>
          <w:rFonts w:hAnsi="Times New Roman" w:eastAsia="宋体"/>
          <w:szCs w:val="21"/>
        </w:rPr>
      </w:pPr>
      <w:r>
        <w:rPr>
          <w:rFonts w:hAnsi="Times New Roman" w:eastAsia="宋体"/>
          <w:szCs w:val="21"/>
        </w:rPr>
        <w:t xml:space="preserve">矿山开采主要有采矿、汽车运输等土地破坏情况。现有生产井口进入闭矿期后均应全部关闭。对地面工业场地的堆矿场、矸石场等废弃地进行整治利用，进行植被复垦恢复，对因占地而造成的不利环境影响将逐渐消失。 </w:t>
      </w:r>
    </w:p>
    <w:p>
      <w:pPr>
        <w:spacing w:line="360" w:lineRule="auto"/>
        <w:ind w:firstLine="480" w:firstLineChars="200"/>
        <w:jc w:val="left"/>
        <w:rPr>
          <w:rFonts w:hAnsi="Times New Roman" w:eastAsia="宋体"/>
          <w:szCs w:val="21"/>
        </w:rPr>
      </w:pPr>
      <w:r>
        <w:rPr>
          <w:rFonts w:hAnsi="Times New Roman" w:eastAsia="宋体"/>
          <w:szCs w:val="21"/>
        </w:rPr>
        <w:t xml:space="preserve">退役后选用当地适生树种对矿山占地进行人工生态林恢复。工业场地的植被覆盖率不得低于50％，矸石场的植被覆盖率应为100％。植苗后应加强种植后期的抚育管理工作，或是严格按照水保方案实施。 </w:t>
      </w:r>
    </w:p>
    <w:p>
      <w:pPr>
        <w:spacing w:line="360" w:lineRule="auto"/>
        <w:ind w:firstLine="480" w:firstLineChars="200"/>
        <w:jc w:val="left"/>
        <w:rPr>
          <w:rFonts w:hAnsi="Times New Roman" w:eastAsia="宋体"/>
          <w:szCs w:val="21"/>
        </w:rPr>
      </w:pPr>
      <w:r>
        <w:rPr>
          <w:rFonts w:hAnsi="Times New Roman" w:eastAsia="宋体"/>
          <w:szCs w:val="21"/>
        </w:rPr>
        <w:t xml:space="preserve">由于井下采动引起的地表移动、变形具有延迟性。废弃的工业场地对生态环境及当地景观将造成明显的影响，如不采取有效恢复措施，对生态环境的影响将是长期的。因此，服务期满后的生态恢复及废弃地的再利用必须引起高度重视： </w:t>
      </w:r>
    </w:p>
    <w:p>
      <w:pPr>
        <w:adjustRightInd w:val="0"/>
        <w:snapToGrid w:val="0"/>
        <w:spacing w:line="360" w:lineRule="auto"/>
        <w:ind w:firstLine="480" w:firstLineChars="200"/>
        <w:rPr>
          <w:rFonts w:hAnsi="Times New Roman" w:eastAsia="宋体"/>
          <w:szCs w:val="21"/>
        </w:rPr>
      </w:pPr>
      <w:r>
        <w:rPr>
          <w:rFonts w:hAnsi="Times New Roman" w:eastAsia="宋体"/>
          <w:szCs w:val="21"/>
        </w:rPr>
        <w:t>1</w:t>
      </w:r>
      <w:r>
        <w:rPr>
          <w:rFonts w:hAnsi="Times New Roman" w:eastAsia="宋体"/>
          <w:szCs w:val="21"/>
          <w:lang w:eastAsia="zh-CN"/>
        </w:rPr>
        <w:t>）</w:t>
      </w:r>
      <w:r>
        <w:rPr>
          <w:rFonts w:hAnsi="Times New Roman" w:eastAsia="宋体"/>
          <w:szCs w:val="21"/>
        </w:rPr>
        <w:t xml:space="preserve">地表移动变形影响和矸石场压占土地，仍采用运营期的土地复垦和水土保持措施，使被破坏的土地、农田得到治理，植被得以恢复，生态环境得到改善。 </w:t>
      </w:r>
    </w:p>
    <w:p>
      <w:pPr>
        <w:adjustRightInd w:val="0"/>
        <w:snapToGrid w:val="0"/>
        <w:spacing w:line="360" w:lineRule="auto"/>
        <w:ind w:firstLine="480" w:firstLineChars="200"/>
        <w:rPr>
          <w:rFonts w:hAnsi="Times New Roman" w:eastAsia="宋体"/>
          <w:szCs w:val="21"/>
        </w:rPr>
      </w:pPr>
      <w:r>
        <w:rPr>
          <w:rFonts w:hAnsi="Times New Roman" w:eastAsia="宋体"/>
          <w:szCs w:val="21"/>
        </w:rPr>
        <w:t>2</w:t>
      </w:r>
      <w:r>
        <w:rPr>
          <w:rFonts w:hAnsi="Times New Roman" w:eastAsia="宋体"/>
          <w:szCs w:val="21"/>
          <w:lang w:eastAsia="zh-CN"/>
        </w:rPr>
        <w:t>）</w:t>
      </w:r>
      <w:r>
        <w:rPr>
          <w:rFonts w:hAnsi="Times New Roman" w:eastAsia="宋体"/>
          <w:szCs w:val="21"/>
        </w:rPr>
        <w:t xml:space="preserve">废弃矿井工业场地再利用措施 </w:t>
      </w:r>
    </w:p>
    <w:p>
      <w:pPr>
        <w:adjustRightInd w:val="0"/>
        <w:snapToGrid w:val="0"/>
        <w:spacing w:line="360" w:lineRule="auto"/>
        <w:ind w:firstLine="480" w:firstLineChars="200"/>
        <w:rPr>
          <w:rFonts w:hAnsi="Times New Roman" w:eastAsia="宋体"/>
          <w:szCs w:val="21"/>
        </w:rPr>
      </w:pPr>
      <w:r>
        <w:rPr>
          <w:rFonts w:hAnsi="Times New Roman" w:eastAsia="宋体"/>
          <w:szCs w:val="21"/>
        </w:rPr>
        <w:t>对工业场地内各种建筑设施可根据当地需要双方协商妥善处理（如办公楼、库房等）。 对当地不能利用的矿井各种井筒、临时炸药库等采取封闭措施，以免对附近人群活动造成意外伤害。对不能利用的场地，宜进行林业复垦，条件较好、投资差异不大时可进行农业复垦。废弃地再利用治理期按1年计。</w:t>
      </w:r>
    </w:p>
    <w:p>
      <w:pPr>
        <w:spacing w:line="360" w:lineRule="auto"/>
        <w:ind w:firstLine="480" w:firstLineChars="200"/>
        <w:rPr>
          <w:rFonts w:hAnsi="Times New Roman" w:eastAsia="宋体"/>
          <w:szCs w:val="21"/>
        </w:rPr>
      </w:pPr>
      <w:r>
        <w:rPr>
          <w:rFonts w:hAnsi="Times New Roman" w:eastAsia="宋体"/>
          <w:szCs w:val="21"/>
        </w:rPr>
        <w:t>3</w:t>
      </w:r>
      <w:r>
        <w:rPr>
          <w:rFonts w:hAnsi="Times New Roman" w:eastAsia="宋体"/>
          <w:szCs w:val="21"/>
          <w:lang w:eastAsia="zh-CN"/>
        </w:rPr>
        <w:t>）</w:t>
      </w:r>
      <w:r>
        <w:rPr>
          <w:rFonts w:hAnsi="Times New Roman" w:eastAsia="宋体"/>
          <w:szCs w:val="21"/>
        </w:rPr>
        <w:t>植物复垦方法</w:t>
      </w:r>
    </w:p>
    <w:p>
      <w:pPr>
        <w:spacing w:line="360" w:lineRule="auto"/>
        <w:ind w:firstLine="480" w:firstLineChars="200"/>
        <w:rPr>
          <w:rFonts w:hAnsi="Times New Roman" w:eastAsia="宋体"/>
          <w:szCs w:val="21"/>
        </w:rPr>
      </w:pPr>
      <w:r>
        <w:rPr>
          <w:rFonts w:hAnsi="Times New Roman" w:eastAsia="宋体"/>
          <w:szCs w:val="21"/>
          <w:lang w:eastAsia="zh-CN"/>
        </w:rPr>
        <w:t>（1）</w:t>
      </w:r>
      <w:r>
        <w:rPr>
          <w:rFonts w:hAnsi="Times New Roman" w:eastAsia="宋体"/>
          <w:szCs w:val="21"/>
        </w:rPr>
        <w:t>植物复垦的分类是“宜农则农”、“宜林则林”、“宜牧则牧”或恢复原有的自然景观。</w:t>
      </w:r>
    </w:p>
    <w:p>
      <w:pPr>
        <w:spacing w:line="360" w:lineRule="auto"/>
        <w:ind w:firstLine="480" w:firstLineChars="200"/>
        <w:rPr>
          <w:rFonts w:hAnsi="Times New Roman" w:eastAsia="宋体"/>
          <w:szCs w:val="21"/>
        </w:rPr>
      </w:pPr>
      <w:r>
        <w:rPr>
          <w:rFonts w:hAnsi="Times New Roman" w:eastAsia="宋体"/>
          <w:szCs w:val="21"/>
          <w:lang w:eastAsia="zh-CN"/>
        </w:rPr>
        <w:t>（2）</w:t>
      </w:r>
      <w:r>
        <w:rPr>
          <w:rFonts w:hAnsi="Times New Roman" w:eastAsia="宋体"/>
          <w:szCs w:val="21"/>
        </w:rPr>
        <w:t>施肥和浇水，自流滴灌浇水、适当施肥、熟化土地，逐步恢复生态及生产力。</w:t>
      </w:r>
    </w:p>
    <w:p>
      <w:pPr>
        <w:spacing w:line="360" w:lineRule="auto"/>
        <w:ind w:firstLine="480" w:firstLineChars="200"/>
        <w:rPr>
          <w:rFonts w:hAnsi="Times New Roman" w:eastAsia="宋体"/>
          <w:szCs w:val="21"/>
        </w:rPr>
      </w:pPr>
      <w:r>
        <w:rPr>
          <w:rFonts w:hAnsi="Times New Roman" w:eastAsia="宋体"/>
          <w:szCs w:val="21"/>
          <w:lang w:eastAsia="zh-CN"/>
        </w:rPr>
        <w:t>（3）</w:t>
      </w:r>
      <w:r>
        <w:rPr>
          <w:rFonts w:hAnsi="Times New Roman" w:eastAsia="宋体"/>
          <w:szCs w:val="21"/>
        </w:rPr>
        <w:t>平面和坡面也可种草绿化；坡面宜进行立体绿化，固结坡面表土，防止表土风力浸蚀和水土流失。</w:t>
      </w:r>
    </w:p>
    <w:p>
      <w:pPr>
        <w:spacing w:line="360" w:lineRule="auto"/>
        <w:ind w:firstLine="480" w:firstLineChars="200"/>
        <w:rPr>
          <w:rFonts w:hAnsi="Times New Roman" w:eastAsia="宋体"/>
          <w:szCs w:val="24"/>
        </w:rPr>
      </w:pPr>
      <w:r>
        <w:rPr>
          <w:rFonts w:hAnsi="Times New Roman" w:eastAsia="宋体"/>
          <w:szCs w:val="21"/>
        </w:rPr>
        <w:t>土地复垦方案实施后，复垦的土地可归还当地政府，通过土地复垦和水土保持可改变微地形、增加地面植被、改良土壤性质，可增加水对土壤的渗透性，减轻风与水对土壤的侵蚀，将产生明显的保水保土效益，可防止因水土流失带来的损失，并在一定程度上改善工程地 区原有的水土流失及生态环境状况，再现自然景观</w:t>
      </w:r>
      <w:r>
        <w:rPr>
          <w:rFonts w:hAnsi="Times New Roman" w:eastAsia="宋体"/>
          <w:szCs w:val="24"/>
        </w:rPr>
        <w:t>。</w:t>
      </w:r>
    </w:p>
    <w:p>
      <w:pPr>
        <w:pStyle w:val="14"/>
        <w:overflowPunct w:val="0"/>
        <w:spacing w:line="360" w:lineRule="auto"/>
        <w:rPr>
          <w:rFonts w:ascii="Times New Roman" w:hAnsi="Times New Roman"/>
          <w:b/>
          <w:bCs w:val="0"/>
          <w:sz w:val="24"/>
        </w:rPr>
      </w:pPr>
      <w:r>
        <w:rPr>
          <w:rFonts w:ascii="Times New Roman" w:hAnsi="Times New Roman"/>
          <w:b/>
          <w:bCs w:val="0"/>
          <w:sz w:val="24"/>
        </w:rPr>
        <w:t>4.</w:t>
      </w:r>
      <w:r>
        <w:rPr>
          <w:rFonts w:ascii="Times New Roman" w:hAnsi="Times New Roman"/>
          <w:b/>
          <w:bCs w:val="0"/>
          <w:sz w:val="24"/>
          <w:lang w:eastAsia="zh-CN"/>
        </w:rPr>
        <w:t>4</w:t>
      </w:r>
      <w:r>
        <w:rPr>
          <w:rFonts w:ascii="Times New Roman" w:hAnsi="Times New Roman"/>
          <w:b/>
          <w:bCs w:val="0"/>
          <w:sz w:val="24"/>
        </w:rPr>
        <w:t>.</w:t>
      </w:r>
      <w:r>
        <w:rPr>
          <w:rFonts w:ascii="Times New Roman" w:hAnsi="Times New Roman"/>
          <w:b/>
          <w:bCs w:val="0"/>
          <w:sz w:val="24"/>
          <w:lang w:eastAsia="zh-CN"/>
        </w:rPr>
        <w:t>3</w:t>
      </w:r>
      <w:r>
        <w:rPr>
          <w:rFonts w:ascii="Times New Roman" w:hAnsi="Times New Roman"/>
          <w:b/>
          <w:bCs w:val="0"/>
          <w:sz w:val="24"/>
        </w:rPr>
        <w:t>.</w:t>
      </w:r>
      <w:r>
        <w:rPr>
          <w:rFonts w:ascii="Times New Roman" w:hAnsi="Times New Roman"/>
          <w:b/>
          <w:bCs w:val="0"/>
          <w:sz w:val="24"/>
          <w:lang w:eastAsia="zh-CN"/>
        </w:rPr>
        <w:t>2</w:t>
      </w:r>
      <w:r>
        <w:rPr>
          <w:rFonts w:ascii="Times New Roman" w:hAnsi="Times New Roman"/>
          <w:b/>
          <w:bCs w:val="0"/>
          <w:sz w:val="24"/>
        </w:rPr>
        <w:t xml:space="preserve"> 水土流失防治措施 </w:t>
      </w:r>
    </w:p>
    <w:p>
      <w:pPr>
        <w:spacing w:line="360" w:lineRule="auto"/>
        <w:ind w:firstLine="480" w:firstLineChars="200"/>
        <w:rPr>
          <w:rFonts w:hAnsi="Times New Roman" w:eastAsia="宋体"/>
          <w:szCs w:val="21"/>
        </w:rPr>
      </w:pPr>
      <w:r>
        <w:rPr>
          <w:rFonts w:hAnsi="Times New Roman" w:eastAsia="宋体"/>
          <w:szCs w:val="21"/>
        </w:rPr>
        <w:t>本工程建设和生产对环境和土地的破坏，主要为废石场的压占，此外，矿山道、工业场地以及公用和辅助设施等的建设将占用一定面积的土地。本工程可复垦的土地范围</w:t>
      </w:r>
      <w:r>
        <w:rPr>
          <w:rFonts w:hint="eastAsia" w:hAnsi="Times New Roman" w:eastAsia="宋体"/>
          <w:szCs w:val="21"/>
          <w:lang w:eastAsia="zh-CN"/>
        </w:rPr>
        <w:t>为已服务</w:t>
      </w:r>
      <w:r>
        <w:rPr>
          <w:rFonts w:hAnsi="Times New Roman" w:eastAsia="宋体"/>
          <w:szCs w:val="21"/>
        </w:rPr>
        <w:t>期满的废石场、工业场地等。</w:t>
      </w:r>
    </w:p>
    <w:p>
      <w:pPr>
        <w:spacing w:line="360" w:lineRule="auto"/>
        <w:ind w:firstLine="480" w:firstLineChars="200"/>
        <w:rPr>
          <w:rFonts w:hAnsi="Times New Roman" w:eastAsia="宋体"/>
          <w:szCs w:val="21"/>
        </w:rPr>
      </w:pPr>
      <w:r>
        <w:rPr>
          <w:rFonts w:hAnsi="Times New Roman" w:eastAsia="宋体"/>
          <w:szCs w:val="21"/>
        </w:rPr>
        <w:t>根据拟复垦场地的不同类型、特征及岩土特性等，确定各场地的复垦利用方向：废石场可发展成林地，保护生态环境。</w:t>
      </w:r>
    </w:p>
    <w:p>
      <w:pPr>
        <w:spacing w:line="360" w:lineRule="auto"/>
        <w:ind w:firstLine="480" w:firstLineChars="200"/>
        <w:rPr>
          <w:rFonts w:hAnsi="Times New Roman" w:eastAsia="宋体"/>
          <w:bCs/>
          <w:szCs w:val="21"/>
        </w:rPr>
      </w:pPr>
      <w:r>
        <w:rPr>
          <w:rFonts w:hAnsi="Times New Roman" w:eastAsia="宋体"/>
          <w:bCs/>
          <w:szCs w:val="21"/>
        </w:rPr>
        <w:t>1</w:t>
      </w:r>
      <w:r>
        <w:rPr>
          <w:rFonts w:hAnsi="Times New Roman" w:eastAsia="宋体"/>
          <w:bCs/>
          <w:szCs w:val="21"/>
          <w:lang w:eastAsia="zh-CN"/>
        </w:rPr>
        <w:t>）</w:t>
      </w:r>
      <w:r>
        <w:rPr>
          <w:rFonts w:hAnsi="Times New Roman" w:eastAsia="宋体"/>
          <w:bCs/>
          <w:szCs w:val="21"/>
        </w:rPr>
        <w:t>采矿工业场地</w:t>
      </w:r>
    </w:p>
    <w:p>
      <w:pPr>
        <w:spacing w:line="360" w:lineRule="auto"/>
        <w:ind w:firstLine="480" w:firstLineChars="200"/>
        <w:rPr>
          <w:rFonts w:hAnsi="Times New Roman" w:eastAsia="宋体"/>
          <w:szCs w:val="21"/>
        </w:rPr>
      </w:pPr>
      <w:r>
        <w:rPr>
          <w:rFonts w:hAnsi="Times New Roman" w:eastAsia="宋体"/>
          <w:szCs w:val="21"/>
        </w:rPr>
        <w:t>在开挖形成的边坡上播撒草种，坑口平台植树造林，采场公路两侧边坡也采取植被措施进行绿化，以避免水土流失。</w:t>
      </w:r>
    </w:p>
    <w:p>
      <w:pPr>
        <w:spacing w:line="360" w:lineRule="auto"/>
        <w:ind w:firstLine="480" w:firstLineChars="200"/>
        <w:rPr>
          <w:rFonts w:hAnsi="Times New Roman" w:eastAsia="宋体"/>
          <w:szCs w:val="21"/>
        </w:rPr>
      </w:pPr>
      <w:r>
        <w:rPr>
          <w:rFonts w:hAnsi="Times New Roman" w:eastAsia="宋体"/>
          <w:szCs w:val="21"/>
        </w:rPr>
        <w:t>对于护坡植物的选择可根据当地具体情况，选择一些能尽快形成人工植被覆盖层的品种，再经当地野生植物的自然侵入，发展成为长期稳定的复合植被系统。</w:t>
      </w:r>
    </w:p>
    <w:p>
      <w:pPr>
        <w:spacing w:line="360" w:lineRule="auto"/>
        <w:ind w:firstLine="480" w:firstLineChars="200"/>
        <w:rPr>
          <w:rFonts w:hAnsi="Times New Roman" w:eastAsia="宋体"/>
          <w:bCs/>
          <w:szCs w:val="21"/>
        </w:rPr>
      </w:pPr>
      <w:r>
        <w:rPr>
          <w:rFonts w:hAnsi="Times New Roman" w:eastAsia="宋体"/>
          <w:bCs/>
          <w:szCs w:val="21"/>
        </w:rPr>
        <w:t>2</w:t>
      </w:r>
      <w:r>
        <w:rPr>
          <w:rFonts w:hAnsi="Times New Roman" w:eastAsia="宋体"/>
          <w:bCs/>
          <w:szCs w:val="21"/>
          <w:lang w:eastAsia="zh-CN"/>
        </w:rPr>
        <w:t>）</w:t>
      </w:r>
      <w:r>
        <w:rPr>
          <w:rFonts w:hAnsi="Times New Roman" w:eastAsia="宋体"/>
          <w:bCs/>
          <w:szCs w:val="21"/>
        </w:rPr>
        <w:t>工业场区运输道路</w:t>
      </w:r>
    </w:p>
    <w:p>
      <w:pPr>
        <w:spacing w:line="360" w:lineRule="auto"/>
        <w:ind w:firstLine="480" w:firstLineChars="200"/>
        <w:rPr>
          <w:rFonts w:hAnsi="Times New Roman" w:eastAsia="宋体"/>
          <w:szCs w:val="21"/>
        </w:rPr>
      </w:pPr>
      <w:r>
        <w:rPr>
          <w:rFonts w:hAnsi="Times New Roman" w:eastAsia="宋体"/>
          <w:szCs w:val="21"/>
        </w:rPr>
        <w:t>运输道路治理措施主要分为</w:t>
      </w:r>
      <w:r>
        <w:rPr>
          <w:rFonts w:hAnsi="Times New Roman" w:eastAsia="宋体"/>
          <w:szCs w:val="21"/>
          <w:lang w:eastAsia="zh-CN"/>
        </w:rPr>
        <w:t>两</w:t>
      </w:r>
      <w:r>
        <w:rPr>
          <w:rFonts w:hAnsi="Times New Roman" w:eastAsia="宋体"/>
          <w:szCs w:val="21"/>
        </w:rPr>
        <w:t>项：道路排水、护路林。</w:t>
      </w:r>
    </w:p>
    <w:p>
      <w:pPr>
        <w:spacing w:line="360" w:lineRule="auto"/>
        <w:ind w:firstLine="480" w:firstLineChars="200"/>
        <w:rPr>
          <w:rFonts w:hAnsi="Times New Roman" w:eastAsia="宋体"/>
          <w:szCs w:val="21"/>
        </w:rPr>
      </w:pPr>
      <w:r>
        <w:rPr>
          <w:rFonts w:hAnsi="Times New Roman" w:eastAsia="宋体"/>
          <w:szCs w:val="21"/>
          <w:lang w:eastAsia="zh-CN"/>
        </w:rPr>
        <w:t>（1）</w:t>
      </w:r>
      <w:r>
        <w:rPr>
          <w:rFonts w:hAnsi="Times New Roman" w:eastAsia="宋体"/>
          <w:szCs w:val="21"/>
        </w:rPr>
        <w:t>道路排水</w:t>
      </w:r>
    </w:p>
    <w:p>
      <w:pPr>
        <w:spacing w:line="360" w:lineRule="auto"/>
        <w:ind w:firstLine="480" w:firstLineChars="200"/>
        <w:rPr>
          <w:rFonts w:hAnsi="Times New Roman" w:eastAsia="宋体"/>
          <w:szCs w:val="21"/>
        </w:rPr>
      </w:pPr>
      <w:r>
        <w:rPr>
          <w:rFonts w:hAnsi="Times New Roman" w:eastAsia="宋体"/>
          <w:szCs w:val="21"/>
        </w:rPr>
        <w:t>路面设计为中间高两边低，在道路两侧各设纵向排水沟一道，纵向排水沟断面为矩形，排水沟用浆砌石（或者混凝土）砌筑。</w:t>
      </w:r>
    </w:p>
    <w:p>
      <w:pPr>
        <w:spacing w:line="360" w:lineRule="auto"/>
        <w:ind w:firstLine="480" w:firstLineChars="200"/>
        <w:rPr>
          <w:rFonts w:hAnsi="Times New Roman" w:eastAsia="宋体"/>
          <w:szCs w:val="21"/>
        </w:rPr>
      </w:pPr>
      <w:r>
        <w:rPr>
          <w:rFonts w:hAnsi="Times New Roman" w:eastAsia="宋体"/>
          <w:szCs w:val="21"/>
          <w:lang w:eastAsia="zh-CN"/>
        </w:rPr>
        <w:t>（2）</w:t>
      </w:r>
      <w:r>
        <w:rPr>
          <w:rFonts w:hAnsi="Times New Roman" w:eastAsia="宋体"/>
          <w:szCs w:val="21"/>
        </w:rPr>
        <w:t>护路林</w:t>
      </w:r>
    </w:p>
    <w:p>
      <w:pPr>
        <w:spacing w:line="360" w:lineRule="auto"/>
        <w:ind w:firstLine="480" w:firstLineChars="200"/>
        <w:rPr>
          <w:rFonts w:hAnsi="Times New Roman" w:eastAsia="宋体"/>
          <w:szCs w:val="21"/>
        </w:rPr>
      </w:pPr>
      <w:r>
        <w:rPr>
          <w:rFonts w:hAnsi="Times New Roman" w:eastAsia="宋体"/>
          <w:szCs w:val="21"/>
        </w:rPr>
        <w:t>道路建成后，在两旁栽植护路林，以保持水土，美化环境。护路林以适生的乡土树种为宜。</w:t>
      </w:r>
    </w:p>
    <w:p>
      <w:pPr>
        <w:spacing w:line="360" w:lineRule="auto"/>
        <w:ind w:firstLine="480" w:firstLineChars="200"/>
        <w:rPr>
          <w:rFonts w:hAnsi="Times New Roman" w:eastAsia="宋体"/>
          <w:szCs w:val="21"/>
        </w:rPr>
      </w:pPr>
      <w:r>
        <w:rPr>
          <w:rFonts w:hAnsi="Times New Roman" w:eastAsia="宋体"/>
          <w:szCs w:val="21"/>
        </w:rPr>
        <w:t xml:space="preserve">总体上，在具体施工、采矿、闭矿管理过程中，应加强水土保持意识，防止施工活动造成崩塌、滑坡和失稳现象的发生。 </w:t>
      </w:r>
    </w:p>
    <w:p>
      <w:pPr>
        <w:pStyle w:val="6"/>
        <w:rPr>
          <w:szCs w:val="22"/>
          <w:lang w:eastAsia="zh-CN"/>
        </w:rPr>
      </w:pPr>
      <w:bookmarkStart w:id="248" w:name="_Toc167095199"/>
      <w:bookmarkStart w:id="249" w:name="_Toc163812576"/>
      <w:r>
        <w:rPr>
          <w:szCs w:val="22"/>
          <w:lang w:eastAsia="zh-CN"/>
        </w:rPr>
        <w:t>4.4.4 宣汉国家森林公园观音山景区保护措施</w:t>
      </w:r>
      <w:bookmarkEnd w:id="248"/>
      <w:bookmarkEnd w:id="249"/>
    </w:p>
    <w:p>
      <w:pPr>
        <w:spacing w:line="360" w:lineRule="auto"/>
        <w:ind w:firstLine="480" w:firstLineChars="200"/>
        <w:rPr>
          <w:rFonts w:hAnsi="Times New Roman" w:eastAsia="宋体"/>
          <w:szCs w:val="21"/>
        </w:rPr>
      </w:pPr>
      <w:r>
        <w:rPr>
          <w:rFonts w:hAnsi="Times New Roman" w:eastAsia="宋体"/>
          <w:szCs w:val="21"/>
          <w:lang w:eastAsia="zh-CN"/>
        </w:rPr>
        <w:t>（1）</w:t>
      </w:r>
      <w:r>
        <w:rPr>
          <w:rFonts w:hAnsi="Times New Roman" w:eastAsia="宋体"/>
          <w:szCs w:val="21"/>
        </w:rPr>
        <w:t>加强对工作人员的监督，不得私自进入</w:t>
      </w:r>
      <w:r>
        <w:rPr>
          <w:rFonts w:hint="eastAsia" w:hAnsi="Times New Roman" w:eastAsia="宋体"/>
          <w:szCs w:val="21"/>
        </w:rPr>
        <w:t>观音山景区</w:t>
      </w:r>
      <w:r>
        <w:rPr>
          <w:rFonts w:hAnsi="Times New Roman" w:eastAsia="宋体"/>
          <w:szCs w:val="21"/>
        </w:rPr>
        <w:t>范围，破坏动植物资源。</w:t>
      </w:r>
    </w:p>
    <w:p>
      <w:pPr>
        <w:spacing w:line="360" w:lineRule="auto"/>
        <w:ind w:firstLine="480" w:firstLineChars="200"/>
        <w:rPr>
          <w:rFonts w:hAnsi="Times New Roman" w:eastAsia="宋体"/>
          <w:szCs w:val="21"/>
        </w:rPr>
      </w:pPr>
      <w:r>
        <w:rPr>
          <w:rFonts w:hAnsi="Times New Roman" w:eastAsia="宋体"/>
          <w:szCs w:val="21"/>
          <w:lang w:eastAsia="zh-CN"/>
        </w:rPr>
        <w:t>（2）</w:t>
      </w:r>
      <w:r>
        <w:rPr>
          <w:rFonts w:hAnsi="Times New Roman" w:eastAsia="宋体"/>
          <w:szCs w:val="21"/>
        </w:rPr>
        <w:t>强化对宣汉国家森林公园观音山景区的保护意识。在</w:t>
      </w:r>
      <w:r>
        <w:rPr>
          <w:rFonts w:hint="eastAsia" w:hAnsi="Times New Roman" w:eastAsia="宋体"/>
          <w:szCs w:val="21"/>
        </w:rPr>
        <w:t>项目与观音山景区边界处</w:t>
      </w:r>
      <w:r>
        <w:rPr>
          <w:rFonts w:hAnsi="Times New Roman" w:eastAsia="宋体"/>
          <w:szCs w:val="21"/>
        </w:rPr>
        <w:t>设立标识牌，以起到强化</w:t>
      </w:r>
      <w:r>
        <w:rPr>
          <w:rFonts w:hint="eastAsia" w:hAnsi="Times New Roman" w:eastAsia="宋体"/>
          <w:szCs w:val="21"/>
        </w:rPr>
        <w:t>工作人员保护</w:t>
      </w:r>
      <w:r>
        <w:rPr>
          <w:rFonts w:hAnsi="Times New Roman" w:eastAsia="宋体"/>
          <w:szCs w:val="21"/>
        </w:rPr>
        <w:t>意识的作用。</w:t>
      </w:r>
    </w:p>
    <w:p>
      <w:pPr>
        <w:spacing w:line="360" w:lineRule="auto"/>
        <w:ind w:firstLine="480" w:firstLineChars="200"/>
        <w:rPr>
          <w:rFonts w:hAnsi="Times New Roman" w:eastAsia="宋体"/>
          <w:szCs w:val="21"/>
        </w:rPr>
      </w:pPr>
      <w:r>
        <w:rPr>
          <w:rFonts w:hAnsi="Times New Roman" w:eastAsia="宋体"/>
          <w:szCs w:val="21"/>
          <w:lang w:eastAsia="zh-CN"/>
        </w:rPr>
        <w:t>（3）</w:t>
      </w:r>
      <w:r>
        <w:rPr>
          <w:rFonts w:hAnsi="Times New Roman" w:eastAsia="宋体"/>
          <w:szCs w:val="21"/>
        </w:rPr>
        <w:t>设立警示标牌。为更好地保护保护区内的生态环境，考虑一些动物可能跨越保护区范围，为降低对区内动植物的干扰，在边界设立生态环境宣传等警示标牌，内容主要包括野生动植物保护、森林防火警示牌，明确违者处罚条款，确定监管人员及其主要职责等。</w:t>
      </w:r>
    </w:p>
    <w:p>
      <w:pPr>
        <w:spacing w:line="360" w:lineRule="auto"/>
        <w:ind w:firstLine="480" w:firstLineChars="200"/>
        <w:rPr>
          <w:rFonts w:hAnsi="Times New Roman" w:eastAsia="宋体"/>
          <w:szCs w:val="21"/>
        </w:rPr>
      </w:pPr>
      <w:r>
        <w:rPr>
          <w:rFonts w:hAnsi="Times New Roman" w:eastAsia="宋体"/>
          <w:szCs w:val="21"/>
          <w:lang w:eastAsia="zh-CN"/>
        </w:rPr>
        <w:t>（4）</w:t>
      </w:r>
      <w:r>
        <w:rPr>
          <w:rFonts w:hAnsi="Times New Roman" w:eastAsia="宋体"/>
          <w:szCs w:val="21"/>
        </w:rPr>
        <w:t>风景名胜区管理局要加强野生动物保护管理，禁止附近居民捕猎野生动物；加强对巡护人员保护教育工作，实施严格监管监控，避免造成外来生物入侵。</w:t>
      </w:r>
    </w:p>
    <w:p>
      <w:pPr>
        <w:spacing w:line="360" w:lineRule="auto"/>
        <w:ind w:firstLine="480" w:firstLineChars="200"/>
        <w:rPr>
          <w:rFonts w:hAnsi="Times New Roman" w:eastAsia="宋体"/>
          <w:szCs w:val="21"/>
        </w:rPr>
      </w:pPr>
      <w:r>
        <w:rPr>
          <w:rFonts w:hAnsi="Times New Roman" w:eastAsia="宋体"/>
          <w:szCs w:val="21"/>
          <w:lang w:eastAsia="zh-CN"/>
        </w:rPr>
        <w:t>（5）</w:t>
      </w:r>
      <w:r>
        <w:rPr>
          <w:rFonts w:hAnsi="Times New Roman" w:eastAsia="宋体"/>
          <w:szCs w:val="21"/>
        </w:rPr>
        <w:t>本项目</w:t>
      </w:r>
      <w:r>
        <w:rPr>
          <w:rFonts w:hint="eastAsia" w:hAnsi="Times New Roman" w:eastAsia="宋体"/>
          <w:szCs w:val="21"/>
        </w:rPr>
        <w:t>与景区</w:t>
      </w:r>
      <w:r>
        <w:rPr>
          <w:rFonts w:hAnsi="Times New Roman" w:eastAsia="宋体"/>
          <w:szCs w:val="21"/>
        </w:rPr>
        <w:t>边界</w:t>
      </w:r>
      <w:r>
        <w:rPr>
          <w:rFonts w:hint="eastAsia" w:hAnsi="Times New Roman" w:eastAsia="宋体"/>
          <w:szCs w:val="21"/>
        </w:rPr>
        <w:t>处</w:t>
      </w:r>
      <w:r>
        <w:rPr>
          <w:rFonts w:hAnsi="Times New Roman" w:eastAsia="宋体"/>
          <w:szCs w:val="21"/>
        </w:rPr>
        <w:t>可采取乔灌草混交的方式进行植被绿化，使之与保护区生态景观尽量融为一体，且可起到减轻水土流失、净化空气、降低交通噪声和美化环境等作用。</w:t>
      </w:r>
    </w:p>
    <w:p>
      <w:pPr>
        <w:pStyle w:val="6"/>
        <w:rPr>
          <w:szCs w:val="22"/>
          <w:lang w:eastAsia="zh-CN"/>
        </w:rPr>
      </w:pPr>
      <w:bookmarkStart w:id="250" w:name="_Toc167095200"/>
      <w:bookmarkStart w:id="251" w:name="_Toc163812577"/>
      <w:r>
        <w:rPr>
          <w:szCs w:val="22"/>
          <w:lang w:eastAsia="zh-CN"/>
        </w:rPr>
        <w:t>4.4.</w:t>
      </w:r>
      <w:r>
        <w:rPr>
          <w:rFonts w:hint="eastAsia"/>
          <w:szCs w:val="22"/>
          <w:lang w:eastAsia="zh-CN"/>
        </w:rPr>
        <w:t>5</w:t>
      </w:r>
      <w:r>
        <w:rPr>
          <w:szCs w:val="22"/>
          <w:lang w:eastAsia="zh-CN"/>
        </w:rPr>
        <w:t xml:space="preserve"> 饮用水源保护区的保护措施</w:t>
      </w:r>
      <w:bookmarkEnd w:id="250"/>
      <w:bookmarkEnd w:id="251"/>
    </w:p>
    <w:p>
      <w:pPr>
        <w:spacing w:line="360" w:lineRule="auto"/>
        <w:ind w:firstLine="480" w:firstLineChars="200"/>
        <w:rPr>
          <w:rFonts w:hAnsi="Times New Roman" w:eastAsia="宋体"/>
          <w:szCs w:val="21"/>
        </w:rPr>
      </w:pPr>
      <w:r>
        <w:rPr>
          <w:rFonts w:hAnsi="Times New Roman" w:eastAsia="宋体"/>
          <w:szCs w:val="21"/>
        </w:rPr>
        <w:t>对于厂区内地下工程构筑物，在事故情况下，污染物和危险废物等的泄漏会通过垂直入渗进一步污染土壤。本项目参照本报告提出的“地下水防渗措施”要求，根据场地特性和项目特征，制定分区防渗，各防渗分区满足《环境影响评价技术导则 地下水环境》（HJ610-2016）中防渗技术要求，可从污染源头和途径上减少因物料泄漏、入渗污染土壤。</w:t>
      </w:r>
    </w:p>
    <w:p>
      <w:pPr>
        <w:spacing w:line="360" w:lineRule="auto"/>
        <w:ind w:firstLine="480" w:firstLineChars="200"/>
        <w:rPr>
          <w:rFonts w:hAnsi="Times New Roman" w:eastAsia="宋体"/>
          <w:szCs w:val="21"/>
        </w:rPr>
      </w:pPr>
      <w:r>
        <w:rPr>
          <w:rFonts w:hAnsi="Times New Roman" w:eastAsia="宋体"/>
          <w:szCs w:val="21"/>
        </w:rPr>
        <w:t>本项目为地下开采，生态与景观的破坏是矿山对环境最重要的影响，随着开采的进行，原有地表的植被和景观可能被破坏和消失，恢复植被的工作应在开采中期列入计划渐次进行。</w:t>
      </w:r>
    </w:p>
    <w:p>
      <w:pPr>
        <w:spacing w:line="360" w:lineRule="auto"/>
        <w:ind w:firstLine="480" w:firstLineChars="200"/>
        <w:rPr>
          <w:rFonts w:hAnsi="Times New Roman" w:eastAsia="宋体"/>
          <w:szCs w:val="21"/>
        </w:rPr>
      </w:pPr>
      <w:r>
        <w:rPr>
          <w:rFonts w:hAnsi="Times New Roman" w:eastAsia="宋体"/>
          <w:szCs w:val="21"/>
        </w:rPr>
        <w:t>工程基建和采矿对区域生态体系的影响主要由土地利用状况和野生动植物组成、分布情况的变化造成的，对区域内的影响比较大，但由于该矿山为现有矿山，此次工程内容为整改，不新增占地，工程影响范围有限，因此矿山开采对当地生态环境影响不大，对动植物资源影响不大，对区域外的各类拼块构成和优势度不产生影响，各类环境资源拼块的模地地位不会发生变化。因此，本项目基建和开矿对区域生态体系的结构、功能、稳定性和完整性没有显著影响。</w:t>
      </w:r>
    </w:p>
    <w:p>
      <w:pPr>
        <w:spacing w:line="360" w:lineRule="auto"/>
        <w:ind w:firstLine="480" w:firstLineChars="200"/>
        <w:rPr>
          <w:rFonts w:hAnsi="Times New Roman" w:eastAsia="宋体"/>
          <w:szCs w:val="21"/>
          <w:lang w:eastAsia="zh-CN"/>
        </w:rPr>
      </w:pPr>
      <w:r>
        <w:rPr>
          <w:rFonts w:hAnsi="Times New Roman" w:eastAsia="宋体"/>
          <w:szCs w:val="21"/>
        </w:rPr>
        <w:t>综上所述，本项目的基建期、采矿期和闭矿期对矿区生态环境会有一定的影响，但不会显著改变评价区的植物物种多样性、植被组成类型、动物栖息地、动物多样性和种群结构组成，符合各项相关规划</w:t>
      </w:r>
      <w:r>
        <w:rPr>
          <w:rFonts w:hAnsi="Times New Roman" w:eastAsia="宋体"/>
          <w:szCs w:val="21"/>
          <w:lang w:eastAsia="zh-CN"/>
        </w:rPr>
        <w:t>。</w:t>
      </w:r>
    </w:p>
    <w:p>
      <w:pPr>
        <w:pStyle w:val="5"/>
        <w:rPr>
          <w:rFonts w:ascii="Times New Roman" w:hAnsi="Times New Roman"/>
          <w:szCs w:val="22"/>
          <w:lang w:eastAsia="zh-CN"/>
        </w:rPr>
      </w:pPr>
      <w:bookmarkStart w:id="252" w:name="_Toc167095201"/>
      <w:bookmarkStart w:id="253" w:name="_Toc163749167"/>
      <w:r>
        <w:rPr>
          <w:rFonts w:ascii="Times New Roman" w:hAnsi="Times New Roman"/>
          <w:szCs w:val="22"/>
          <w:lang w:eastAsia="zh-CN"/>
        </w:rPr>
        <w:t>4.5 地表沉陷预测与评价</w:t>
      </w:r>
      <w:bookmarkEnd w:id="252"/>
      <w:bookmarkEnd w:id="253"/>
    </w:p>
    <w:p>
      <w:pPr>
        <w:spacing w:line="360" w:lineRule="auto"/>
        <w:ind w:firstLine="480" w:firstLineChars="200"/>
        <w:rPr>
          <w:rFonts w:hAnsi="Times New Roman" w:eastAsia="宋体"/>
        </w:rPr>
      </w:pPr>
      <w:r>
        <w:rPr>
          <w:rFonts w:hAnsi="Times New Roman" w:eastAsia="宋体"/>
        </w:rPr>
        <w:t>地表移动变形受影响因数较多，</w:t>
      </w:r>
      <w:r>
        <w:rPr>
          <w:rFonts w:hAnsi="Times New Roman" w:eastAsia="宋体"/>
          <w:lang w:eastAsia="zh-CN"/>
        </w:rPr>
        <w:t>矿井</w:t>
      </w:r>
      <w:r>
        <w:rPr>
          <w:rFonts w:hAnsi="Times New Roman" w:eastAsia="宋体"/>
        </w:rPr>
        <w:t>开拓方式以及顶底板管理方法</w:t>
      </w:r>
      <w:r>
        <w:rPr>
          <w:rFonts w:hAnsi="Times New Roman" w:eastAsia="宋体"/>
          <w:lang w:eastAsia="zh-CN"/>
        </w:rPr>
        <w:t>、开采深度</w:t>
      </w:r>
      <w:r>
        <w:rPr>
          <w:rFonts w:hAnsi="Times New Roman" w:eastAsia="宋体"/>
        </w:rPr>
        <w:t>、</w:t>
      </w:r>
      <w:r>
        <w:rPr>
          <w:rFonts w:hAnsi="Times New Roman" w:eastAsia="宋体"/>
          <w:lang w:eastAsia="zh-CN"/>
        </w:rPr>
        <w:t>煤</w:t>
      </w:r>
      <w:r>
        <w:rPr>
          <w:rFonts w:hAnsi="Times New Roman" w:eastAsia="宋体"/>
        </w:rPr>
        <w:t>层厚度、倾角</w:t>
      </w:r>
      <w:r>
        <w:rPr>
          <w:rFonts w:hAnsi="Times New Roman" w:eastAsia="宋体"/>
          <w:lang w:eastAsia="zh-CN"/>
        </w:rPr>
        <w:t>及煤</w:t>
      </w:r>
      <w:r>
        <w:rPr>
          <w:rFonts w:hAnsi="Times New Roman" w:eastAsia="宋体"/>
        </w:rPr>
        <w:t>层顶底板的岩性、工作面推进速度等都直接影响到地表移动变形的程度。根据项目实际情况，本评价对</w:t>
      </w:r>
      <w:r>
        <w:rPr>
          <w:rFonts w:hAnsi="Times New Roman" w:eastAsia="宋体"/>
          <w:lang w:eastAsia="zh-CN"/>
        </w:rPr>
        <w:t>各煤</w:t>
      </w:r>
      <w:r>
        <w:rPr>
          <w:rFonts w:hAnsi="Times New Roman" w:eastAsia="宋体"/>
        </w:rPr>
        <w:t>层进行地表沉陷预测，</w:t>
      </w:r>
      <w:r>
        <w:rPr>
          <w:rFonts w:hAnsi="Times New Roman" w:eastAsia="宋体"/>
          <w:lang w:eastAsia="zh-CN"/>
        </w:rPr>
        <w:t>并</w:t>
      </w:r>
      <w:r>
        <w:rPr>
          <w:rFonts w:hAnsi="Times New Roman" w:eastAsia="宋体"/>
        </w:rPr>
        <w:t>考虑</w:t>
      </w:r>
      <w:r>
        <w:rPr>
          <w:rFonts w:hAnsi="Times New Roman" w:eastAsia="宋体"/>
          <w:lang w:eastAsia="zh-CN"/>
        </w:rPr>
        <w:t>了</w:t>
      </w:r>
      <w:r>
        <w:rPr>
          <w:rFonts w:hAnsi="Times New Roman" w:eastAsia="宋体"/>
        </w:rPr>
        <w:t>重复采动对地表的影响。</w:t>
      </w:r>
    </w:p>
    <w:p>
      <w:pPr>
        <w:pStyle w:val="6"/>
        <w:numPr>
          <w:ilvl w:val="2"/>
          <w:numId w:val="0"/>
        </w:numPr>
        <w:autoSpaceDE w:val="0"/>
        <w:autoSpaceDN w:val="0"/>
        <w:adjustRightInd w:val="0"/>
        <w:jc w:val="left"/>
        <w:rPr>
          <w:bCs/>
          <w:szCs w:val="24"/>
          <w:lang w:eastAsia="zh-CN"/>
        </w:rPr>
      </w:pPr>
      <w:bookmarkStart w:id="254" w:name="_Toc163812579"/>
      <w:bookmarkStart w:id="255" w:name="_Toc167095202"/>
      <w:r>
        <w:rPr>
          <w:bCs/>
          <w:szCs w:val="24"/>
          <w:lang w:eastAsia="zh-CN"/>
        </w:rPr>
        <w:t>4.</w:t>
      </w:r>
      <w:r>
        <w:rPr>
          <w:rFonts w:hint="eastAsia"/>
          <w:bCs/>
          <w:szCs w:val="24"/>
          <w:lang w:eastAsia="zh-CN"/>
        </w:rPr>
        <w:t>5</w:t>
      </w:r>
      <w:r>
        <w:rPr>
          <w:bCs/>
          <w:szCs w:val="24"/>
          <w:lang w:eastAsia="zh-CN"/>
        </w:rPr>
        <w:t xml:space="preserve">.1 </w:t>
      </w:r>
      <w:r>
        <w:rPr>
          <w:rFonts w:hint="eastAsia"/>
          <w:bCs/>
          <w:szCs w:val="24"/>
          <w:lang w:eastAsia="zh-CN"/>
        </w:rPr>
        <w:t>煤柱留置情况</w:t>
      </w:r>
      <w:bookmarkEnd w:id="254"/>
      <w:bookmarkEnd w:id="255"/>
    </w:p>
    <w:p>
      <w:pPr>
        <w:pStyle w:val="14"/>
        <w:overflowPunct w:val="0"/>
        <w:spacing w:line="360" w:lineRule="auto"/>
        <w:ind w:firstLine="480" w:firstLineChars="200"/>
        <w:rPr>
          <w:rFonts w:ascii="Times New Roman" w:hAnsi="Times New Roman"/>
          <w:sz w:val="24"/>
          <w:lang w:eastAsia="zh-CN"/>
        </w:rPr>
      </w:pPr>
      <w:r>
        <w:rPr>
          <w:rFonts w:hint="eastAsia" w:ascii="Times New Roman" w:hAnsi="Times New Roman"/>
          <w:sz w:val="24"/>
          <w:lang w:eastAsia="zh-CN"/>
        </w:rPr>
        <w:t>根据《达州市宣汉县七里峡煤业有限公司七里峡煤矿扩建工程初步设计及安全设施设计（含矿产资源开发利用方案）》项目留设煤柱情况如下：</w:t>
      </w:r>
    </w:p>
    <w:p>
      <w:pPr>
        <w:pStyle w:val="14"/>
        <w:overflowPunct w:val="0"/>
        <w:spacing w:line="360" w:lineRule="auto"/>
        <w:ind w:firstLine="480" w:firstLineChars="200"/>
        <w:rPr>
          <w:rFonts w:ascii="Times New Roman" w:hAnsi="Times New Roman"/>
          <w:sz w:val="24"/>
        </w:rPr>
      </w:pPr>
      <w:r>
        <w:rPr>
          <w:rFonts w:hint="eastAsia" w:ascii="Times New Roman" w:hAnsi="Times New Roman"/>
          <w:sz w:val="24"/>
        </w:rPr>
        <w:t>①采空区煤柱：本矿井+</w:t>
      </w:r>
      <w:r>
        <w:rPr>
          <w:rFonts w:ascii="Times New Roman" w:hAnsi="Times New Roman"/>
          <w:sz w:val="24"/>
        </w:rPr>
        <w:t>38</w:t>
      </w:r>
      <w:r>
        <w:rPr>
          <w:rFonts w:hint="eastAsia" w:ascii="Times New Roman" w:hAnsi="Times New Roman"/>
          <w:sz w:val="24"/>
        </w:rPr>
        <w:t>0m水平以上各可采煤层均已开采完毕多年，采空区水通过+3</w:t>
      </w:r>
      <w:r>
        <w:rPr>
          <w:rFonts w:ascii="Times New Roman" w:hAnsi="Times New Roman"/>
          <w:sz w:val="24"/>
        </w:rPr>
        <w:t>79</w:t>
      </w:r>
      <w:r>
        <w:rPr>
          <w:rFonts w:hint="eastAsia" w:ascii="Times New Roman" w:hAnsi="Times New Roman"/>
          <w:sz w:val="24"/>
        </w:rPr>
        <w:t>m主平硐、+</w:t>
      </w:r>
      <w:r>
        <w:rPr>
          <w:rFonts w:ascii="Times New Roman" w:hAnsi="Times New Roman"/>
          <w:sz w:val="24"/>
        </w:rPr>
        <w:t>411</w:t>
      </w:r>
      <w:r>
        <w:rPr>
          <w:rFonts w:hint="eastAsia" w:ascii="Times New Roman" w:hAnsi="Times New Roman"/>
          <w:sz w:val="24"/>
        </w:rPr>
        <w:t>m进风平硐、+</w:t>
      </w:r>
      <w:r>
        <w:rPr>
          <w:rFonts w:ascii="Times New Roman" w:hAnsi="Times New Roman"/>
          <w:sz w:val="24"/>
        </w:rPr>
        <w:t>572</w:t>
      </w:r>
      <w:r>
        <w:rPr>
          <w:rFonts w:hint="eastAsia" w:ascii="Times New Roman" w:hAnsi="Times New Roman"/>
          <w:sz w:val="24"/>
        </w:rPr>
        <w:t>m回风平硐和+5</w:t>
      </w:r>
      <w:r>
        <w:rPr>
          <w:rFonts w:ascii="Times New Roman" w:hAnsi="Times New Roman"/>
          <w:sz w:val="24"/>
        </w:rPr>
        <w:t>48</w:t>
      </w:r>
      <w:r>
        <w:rPr>
          <w:rFonts w:hint="eastAsia" w:ascii="Times New Roman" w:hAnsi="Times New Roman"/>
          <w:sz w:val="24"/>
        </w:rPr>
        <w:t>m回风平硐自流排出地面，采空区中积水量极小，不会对矿井开采造成影响，故不需留设采空区防水煤柱。</w:t>
      </w:r>
    </w:p>
    <w:p>
      <w:pPr>
        <w:pStyle w:val="14"/>
        <w:overflowPunct w:val="0"/>
        <w:spacing w:line="360" w:lineRule="auto"/>
        <w:ind w:firstLine="480" w:firstLineChars="200"/>
        <w:rPr>
          <w:rFonts w:ascii="Times New Roman" w:hAnsi="Times New Roman"/>
          <w:sz w:val="24"/>
        </w:rPr>
      </w:pPr>
      <w:r>
        <w:rPr>
          <w:rFonts w:ascii="Times New Roman" w:hAnsi="Times New Roman"/>
          <w:sz w:val="24"/>
        </w:rPr>
        <w:fldChar w:fldCharType="begin"/>
      </w:r>
      <w:r>
        <w:rPr>
          <w:rFonts w:ascii="Times New Roman" w:hAnsi="Times New Roman"/>
          <w:sz w:val="24"/>
          <w:lang w:eastAsia="zh-CN"/>
        </w:rPr>
        <w:instrText xml:space="preserve"> </w:instrText>
      </w:r>
      <w:r>
        <w:rPr>
          <w:rFonts w:hint="eastAsia" w:ascii="Times New Roman" w:hAnsi="Times New Roman"/>
          <w:sz w:val="24"/>
          <w:lang w:eastAsia="zh-CN"/>
        </w:rPr>
        <w:instrText xml:space="preserve">= 2 \* GB3</w:instrText>
      </w:r>
      <w:r>
        <w:rPr>
          <w:rFonts w:ascii="Times New Roman" w:hAnsi="Times New Roman"/>
          <w:sz w:val="24"/>
          <w:lang w:eastAsia="zh-CN"/>
        </w:rPr>
        <w:instrText xml:space="preserve"> </w:instrText>
      </w:r>
      <w:r>
        <w:rPr>
          <w:rFonts w:ascii="Times New Roman" w:hAnsi="Times New Roman"/>
          <w:sz w:val="24"/>
        </w:rPr>
        <w:fldChar w:fldCharType="separate"/>
      </w:r>
      <w:r>
        <w:rPr>
          <w:rFonts w:hint="eastAsia" w:ascii="Times New Roman" w:hAnsi="Times New Roman"/>
          <w:sz w:val="24"/>
          <w:lang w:eastAsia="zh-CN"/>
        </w:rPr>
        <w:t>②</w:t>
      </w:r>
      <w:r>
        <w:rPr>
          <w:rFonts w:ascii="Times New Roman" w:hAnsi="Times New Roman"/>
          <w:sz w:val="24"/>
        </w:rPr>
        <w:fldChar w:fldCharType="end"/>
      </w:r>
      <w:r>
        <w:rPr>
          <w:rFonts w:hint="eastAsia" w:ascii="Times New Roman" w:hAnsi="Times New Roman"/>
          <w:sz w:val="24"/>
        </w:rPr>
        <w:t>井田境界煤柱：本矿井水文地质类型为中等，</w:t>
      </w:r>
      <w:r>
        <w:rPr>
          <w:rFonts w:ascii="Times New Roman" w:hAnsi="Times New Roman"/>
          <w:sz w:val="24"/>
        </w:rPr>
        <w:t>根据《煤矿防治水</w:t>
      </w:r>
      <w:r>
        <w:rPr>
          <w:rFonts w:hint="eastAsia" w:ascii="Times New Roman" w:hAnsi="Times New Roman"/>
          <w:sz w:val="24"/>
        </w:rPr>
        <w:t>细则</w:t>
      </w:r>
      <w:r>
        <w:rPr>
          <w:rFonts w:ascii="Times New Roman" w:hAnsi="Times New Roman"/>
          <w:sz w:val="24"/>
        </w:rPr>
        <w:t>》</w:t>
      </w:r>
      <w:r>
        <w:rPr>
          <w:rFonts w:hint="eastAsia" w:ascii="Times New Roman" w:hAnsi="Times New Roman"/>
          <w:sz w:val="24"/>
        </w:rPr>
        <w:t>附录六第8条的规定</w:t>
      </w:r>
      <w:r>
        <w:rPr>
          <w:rFonts w:ascii="Times New Roman" w:hAnsi="Times New Roman"/>
          <w:sz w:val="24"/>
        </w:rPr>
        <w:t>，</w:t>
      </w:r>
      <w:r>
        <w:rPr>
          <w:rFonts w:hint="eastAsia" w:ascii="Times New Roman" w:hAnsi="Times New Roman"/>
          <w:sz w:val="24"/>
        </w:rPr>
        <w:t>水文地质类型简单、中等的矿井，可以采用垂直法留设，但总宽度不得小于40m，且现矿区周边1</w:t>
      </w:r>
      <w:r>
        <w:rPr>
          <w:rFonts w:ascii="Times New Roman" w:hAnsi="Times New Roman"/>
          <w:sz w:val="24"/>
        </w:rPr>
        <w:t>00</w:t>
      </w:r>
      <w:r>
        <w:rPr>
          <w:rFonts w:hint="eastAsia" w:ascii="Times New Roman" w:hAnsi="Times New Roman"/>
          <w:sz w:val="24"/>
        </w:rPr>
        <w:t>m范围内已无相邻建设或生产矿井，因而井田境界煤柱本矿井侧按20</w:t>
      </w:r>
      <w:r>
        <w:rPr>
          <w:rFonts w:ascii="Times New Roman" w:hAnsi="Times New Roman"/>
          <w:sz w:val="24"/>
        </w:rPr>
        <w:t>m</w:t>
      </w:r>
      <w:r>
        <w:rPr>
          <w:rFonts w:hint="eastAsia" w:ascii="Times New Roman" w:hAnsi="Times New Roman"/>
          <w:sz w:val="24"/>
        </w:rPr>
        <w:t>留设。</w:t>
      </w:r>
    </w:p>
    <w:p>
      <w:pPr>
        <w:pStyle w:val="14"/>
        <w:overflowPunct w:val="0"/>
        <w:spacing w:line="360" w:lineRule="auto"/>
        <w:ind w:firstLine="480" w:firstLineChars="200"/>
        <w:rPr>
          <w:rFonts w:ascii="Times New Roman" w:hAnsi="Times New Roman"/>
          <w:sz w:val="24"/>
        </w:rPr>
      </w:pPr>
      <w:r>
        <w:rPr>
          <w:rFonts w:hint="eastAsia" w:ascii="Times New Roman" w:hAnsi="Times New Roman"/>
          <w:sz w:val="24"/>
          <w:lang w:eastAsia="zh-CN"/>
        </w:rPr>
        <w:t>③</w:t>
      </w:r>
      <w:r>
        <w:rPr>
          <w:rFonts w:hint="eastAsia" w:ascii="Times New Roman" w:hAnsi="Times New Roman"/>
          <w:sz w:val="24"/>
        </w:rPr>
        <w:t>采区上山煤柱</w:t>
      </w:r>
      <w:r>
        <w:rPr>
          <w:rFonts w:hint="eastAsia" w:ascii="Times New Roman" w:hAnsi="Times New Roman"/>
          <w:sz w:val="24"/>
          <w:lang w:eastAsia="zh-CN"/>
        </w:rPr>
        <w:t>：</w:t>
      </w:r>
      <w:r>
        <w:rPr>
          <w:rFonts w:hint="eastAsia" w:ascii="Times New Roman" w:hAnsi="Times New Roman"/>
          <w:sz w:val="24"/>
        </w:rPr>
        <w:t>采区上山煤柱按上山一侧10m围护带沿70°的岩石移动角留设煤柱。</w:t>
      </w:r>
    </w:p>
    <w:p>
      <w:pPr>
        <w:pStyle w:val="14"/>
        <w:overflowPunct w:val="0"/>
        <w:spacing w:line="360" w:lineRule="auto"/>
        <w:ind w:firstLine="480" w:firstLineChars="200"/>
        <w:rPr>
          <w:rFonts w:ascii="Times New Roman" w:hAnsi="Times New Roman"/>
          <w:sz w:val="24"/>
          <w:lang w:eastAsia="zh-CN"/>
        </w:rPr>
      </w:pPr>
      <w:r>
        <w:rPr>
          <w:rFonts w:hint="eastAsia" w:ascii="Times New Roman" w:hAnsi="Times New Roman"/>
          <w:sz w:val="24"/>
          <w:lang w:eastAsia="zh-CN"/>
        </w:rPr>
        <w:t>④大巷保护</w:t>
      </w:r>
      <w:r>
        <w:rPr>
          <w:rFonts w:hint="eastAsia" w:ascii="Times New Roman" w:hAnsi="Times New Roman"/>
          <w:sz w:val="24"/>
        </w:rPr>
        <w:t>煤柱</w:t>
      </w:r>
      <w:r>
        <w:rPr>
          <w:rFonts w:hint="eastAsia" w:ascii="Times New Roman" w:hAnsi="Times New Roman"/>
          <w:sz w:val="24"/>
          <w:lang w:eastAsia="zh-CN"/>
        </w:rPr>
        <w:t>：大巷保护煤柱按宽度20m留设。</w:t>
      </w:r>
    </w:p>
    <w:p>
      <w:pPr>
        <w:pStyle w:val="14"/>
        <w:overflowPunct w:val="0"/>
        <w:spacing w:line="360" w:lineRule="auto"/>
        <w:ind w:firstLine="480" w:firstLineChars="200"/>
        <w:rPr>
          <w:rFonts w:ascii="Times New Roman" w:hAnsi="Times New Roman"/>
          <w:sz w:val="24"/>
          <w:lang w:eastAsia="zh-CN"/>
        </w:rPr>
      </w:pPr>
      <w:r>
        <w:rPr>
          <w:rFonts w:ascii="Times New Roman" w:hAnsi="Times New Roman"/>
          <w:sz w:val="24"/>
          <w:lang w:eastAsia="zh-CN"/>
        </w:rPr>
        <w:fldChar w:fldCharType="begin"/>
      </w:r>
      <w:r>
        <w:rPr>
          <w:rFonts w:ascii="Times New Roman" w:hAnsi="Times New Roman"/>
          <w:sz w:val="24"/>
          <w:lang w:eastAsia="zh-CN"/>
        </w:rPr>
        <w:instrText xml:space="preserve"> </w:instrText>
      </w:r>
      <w:r>
        <w:rPr>
          <w:rFonts w:hint="eastAsia" w:ascii="Times New Roman" w:hAnsi="Times New Roman"/>
          <w:sz w:val="24"/>
          <w:lang w:eastAsia="zh-CN"/>
        </w:rPr>
        <w:instrText xml:space="preserve">= 5 \* GB3</w:instrText>
      </w:r>
      <w:r>
        <w:rPr>
          <w:rFonts w:ascii="Times New Roman" w:hAnsi="Times New Roman"/>
          <w:sz w:val="24"/>
          <w:lang w:eastAsia="zh-CN"/>
        </w:rPr>
        <w:instrText xml:space="preserve"> </w:instrText>
      </w:r>
      <w:r>
        <w:rPr>
          <w:rFonts w:ascii="Times New Roman" w:hAnsi="Times New Roman"/>
          <w:sz w:val="24"/>
          <w:lang w:eastAsia="zh-CN"/>
        </w:rPr>
        <w:fldChar w:fldCharType="separate"/>
      </w:r>
      <w:r>
        <w:rPr>
          <w:rFonts w:hint="eastAsia" w:ascii="Times New Roman" w:hAnsi="Times New Roman"/>
          <w:sz w:val="24"/>
          <w:lang w:eastAsia="zh-CN"/>
        </w:rPr>
        <w:t>⑤</w:t>
      </w:r>
      <w:r>
        <w:rPr>
          <w:rFonts w:ascii="Times New Roman" w:hAnsi="Times New Roman"/>
          <w:sz w:val="24"/>
          <w:lang w:eastAsia="zh-CN"/>
        </w:rPr>
        <w:fldChar w:fldCharType="end"/>
      </w:r>
      <w:r>
        <w:rPr>
          <w:rFonts w:hint="eastAsia" w:ascii="Times New Roman" w:hAnsi="Times New Roman"/>
          <w:sz w:val="24"/>
          <w:lang w:eastAsia="zh-CN"/>
        </w:rPr>
        <w:t>采区隔离煤柱：采区隔离煤柱按宽度20m留设。</w:t>
      </w:r>
    </w:p>
    <w:p>
      <w:pPr>
        <w:pStyle w:val="14"/>
        <w:overflowPunct w:val="0"/>
        <w:spacing w:line="360" w:lineRule="auto"/>
        <w:ind w:firstLine="480" w:firstLineChars="200"/>
        <w:rPr>
          <w:rFonts w:ascii="Times New Roman" w:hAnsi="Times New Roman"/>
          <w:sz w:val="24"/>
          <w:lang w:eastAsia="zh-CN"/>
        </w:rPr>
      </w:pPr>
      <w:r>
        <w:rPr>
          <w:rFonts w:ascii="Times New Roman" w:hAnsi="Times New Roman"/>
          <w:sz w:val="24"/>
          <w:lang w:eastAsia="zh-CN"/>
        </w:rPr>
        <w:fldChar w:fldCharType="begin"/>
      </w:r>
      <w:r>
        <w:rPr>
          <w:rFonts w:ascii="Times New Roman" w:hAnsi="Times New Roman"/>
          <w:sz w:val="24"/>
          <w:lang w:eastAsia="zh-CN"/>
        </w:rPr>
        <w:instrText xml:space="preserve"> </w:instrText>
      </w:r>
      <w:r>
        <w:rPr>
          <w:rFonts w:hint="eastAsia" w:ascii="Times New Roman" w:hAnsi="Times New Roman"/>
          <w:sz w:val="24"/>
          <w:lang w:eastAsia="zh-CN"/>
        </w:rPr>
        <w:instrText xml:space="preserve">= 6 \* GB3</w:instrText>
      </w:r>
      <w:r>
        <w:rPr>
          <w:rFonts w:ascii="Times New Roman" w:hAnsi="Times New Roman"/>
          <w:sz w:val="24"/>
          <w:lang w:eastAsia="zh-CN"/>
        </w:rPr>
        <w:instrText xml:space="preserve"> </w:instrText>
      </w:r>
      <w:r>
        <w:rPr>
          <w:rFonts w:ascii="Times New Roman" w:hAnsi="Times New Roman"/>
          <w:sz w:val="24"/>
          <w:lang w:eastAsia="zh-CN"/>
        </w:rPr>
        <w:fldChar w:fldCharType="separate"/>
      </w:r>
      <w:r>
        <w:rPr>
          <w:rFonts w:hint="eastAsia" w:ascii="Times New Roman" w:hAnsi="Times New Roman"/>
          <w:sz w:val="24"/>
          <w:lang w:eastAsia="zh-CN"/>
        </w:rPr>
        <w:t>⑥</w:t>
      </w:r>
      <w:r>
        <w:rPr>
          <w:rFonts w:ascii="Times New Roman" w:hAnsi="Times New Roman"/>
          <w:sz w:val="24"/>
          <w:lang w:eastAsia="zh-CN"/>
        </w:rPr>
        <w:fldChar w:fldCharType="end"/>
      </w:r>
      <w:r>
        <w:rPr>
          <w:rFonts w:hint="eastAsia" w:ascii="Times New Roman" w:hAnsi="Times New Roman"/>
          <w:sz w:val="24"/>
          <w:lang w:eastAsia="zh-CN"/>
        </w:rPr>
        <w:t>河流保护水煤柱：矿区范围有一条常年性河流（新宁河）横穿矿区，该河流为长田井田与开丰井田的分界线，河流防隔水煤（岩）柱按65°的岩层移动角留设，保护带宽度取20m。千子河横穿矿区附近河床底界面最低标高约+395m，矿井最低开采标高为+200m，河流水体底界面与矿井最低开采标高之间的高度为195m，按照65°的岩层移动角留设煤（岩）柱宽度为90m，加上保护带宽度20m，沿河床边界一侧留设防隔水煤（岩）柱宽度为110m。</w:t>
      </w:r>
    </w:p>
    <w:p>
      <w:pPr>
        <w:pStyle w:val="6"/>
        <w:numPr>
          <w:ilvl w:val="2"/>
          <w:numId w:val="0"/>
        </w:numPr>
        <w:autoSpaceDE w:val="0"/>
        <w:autoSpaceDN w:val="0"/>
        <w:adjustRightInd w:val="0"/>
        <w:jc w:val="left"/>
        <w:rPr>
          <w:bCs/>
          <w:szCs w:val="24"/>
          <w:lang w:eastAsia="zh-CN"/>
        </w:rPr>
      </w:pPr>
      <w:bookmarkStart w:id="256" w:name="_Toc163812580"/>
      <w:bookmarkStart w:id="257" w:name="_Toc167095203"/>
      <w:r>
        <w:rPr>
          <w:bCs/>
          <w:szCs w:val="24"/>
          <w:lang w:eastAsia="zh-CN"/>
        </w:rPr>
        <w:t>4.</w:t>
      </w:r>
      <w:r>
        <w:rPr>
          <w:rFonts w:hint="eastAsia"/>
          <w:bCs/>
          <w:szCs w:val="24"/>
          <w:lang w:eastAsia="zh-CN"/>
        </w:rPr>
        <w:t>5</w:t>
      </w:r>
      <w:r>
        <w:rPr>
          <w:bCs/>
          <w:szCs w:val="24"/>
          <w:lang w:eastAsia="zh-CN"/>
        </w:rPr>
        <w:t xml:space="preserve">.2 </w:t>
      </w:r>
      <w:r>
        <w:rPr>
          <w:rFonts w:hint="eastAsia"/>
          <w:bCs/>
          <w:szCs w:val="24"/>
          <w:lang w:eastAsia="zh-CN"/>
        </w:rPr>
        <w:t>地表沉陷预测</w:t>
      </w:r>
      <w:bookmarkEnd w:id="256"/>
      <w:bookmarkEnd w:id="257"/>
    </w:p>
    <w:p>
      <w:pPr>
        <w:pStyle w:val="8"/>
        <w:rPr>
          <w:rFonts w:ascii="Times New Roman" w:hAnsi="Times New Roman"/>
          <w:szCs w:val="24"/>
          <w:lang w:eastAsia="zh-CN"/>
        </w:rPr>
      </w:pPr>
      <w:r>
        <w:rPr>
          <w:rFonts w:hint="eastAsia" w:ascii="Times New Roman" w:hAnsi="Times New Roman"/>
          <w:szCs w:val="24"/>
          <w:lang w:eastAsia="zh-CN"/>
        </w:rPr>
        <w:t>4.5.2.1地表沉陷预测模型</w:t>
      </w:r>
    </w:p>
    <w:p>
      <w:pPr>
        <w:pStyle w:val="14"/>
        <w:overflowPunct w:val="0"/>
        <w:spacing w:line="360" w:lineRule="auto"/>
        <w:ind w:firstLine="482" w:firstLineChars="200"/>
        <w:rPr>
          <w:rFonts w:ascii="Times New Roman" w:hAnsi="Times New Roman"/>
          <w:b/>
          <w:bCs w:val="0"/>
          <w:sz w:val="24"/>
        </w:rPr>
      </w:pPr>
      <w:r>
        <w:rPr>
          <w:rFonts w:hint="eastAsia" w:ascii="Times New Roman" w:hAnsi="Times New Roman"/>
          <w:b/>
          <w:bCs w:val="0"/>
          <w:sz w:val="24"/>
        </w:rPr>
        <w:t>（1）地表沉陷预测范围</w:t>
      </w:r>
    </w:p>
    <w:p>
      <w:pPr>
        <w:pStyle w:val="14"/>
        <w:overflowPunct w:val="0"/>
        <w:spacing w:line="360" w:lineRule="auto"/>
        <w:ind w:firstLine="480" w:firstLineChars="200"/>
        <w:rPr>
          <w:rFonts w:ascii="Times New Roman" w:hAnsi="Times New Roman"/>
          <w:sz w:val="24"/>
          <w:lang w:eastAsia="zh-CN"/>
        </w:rPr>
      </w:pPr>
      <w:r>
        <w:rPr>
          <w:rFonts w:hint="eastAsia" w:ascii="Times New Roman" w:hAnsi="Times New Roman"/>
          <w:sz w:val="24"/>
          <w:lang w:eastAsia="zh-CN"/>
        </w:rPr>
        <w:t>目前国内预计地表移动与变形时有多种预计方法，结合当地矿区多年煤矿开采情况，地表沉陷变形预测模式推荐采用《建筑物、水体、铁路及主要井巷煤柱留设与压煤开采规程》中提供的概率积分法。七里峡煤矿采用全部跨落法管理顶板，地表沉陷预测采用由中国矿业大学开发的“开采沉陷预测软件MSPS”，对准采范围和标高内的地表变形进行预测。</w:t>
      </w:r>
    </w:p>
    <w:p>
      <w:pPr>
        <w:pStyle w:val="14"/>
        <w:overflowPunct w:val="0"/>
        <w:spacing w:line="360" w:lineRule="auto"/>
        <w:ind w:firstLine="482" w:firstLineChars="200"/>
        <w:rPr>
          <w:rFonts w:ascii="Times New Roman" w:hAnsi="Times New Roman"/>
          <w:sz w:val="24"/>
        </w:rPr>
      </w:pPr>
      <w:r>
        <w:rPr>
          <w:rFonts w:hint="eastAsia" w:ascii="Times New Roman" w:hAnsi="Times New Roman"/>
          <w:b/>
          <w:bCs w:val="0"/>
          <w:sz w:val="24"/>
        </w:rPr>
        <w:t>（2）地表沉陷稳定态预测模型</w:t>
      </w:r>
    </w:p>
    <w:p>
      <w:pPr>
        <w:pStyle w:val="14"/>
        <w:overflowPunct w:val="0"/>
        <w:spacing w:line="360" w:lineRule="auto"/>
        <w:ind w:firstLine="480" w:firstLineChars="200"/>
        <w:rPr>
          <w:rFonts w:ascii="Times New Roman" w:hAnsi="Times New Roman"/>
          <w:sz w:val="24"/>
        </w:rPr>
      </w:pPr>
      <w:r>
        <w:rPr>
          <w:rFonts w:hint="eastAsia" w:ascii="Times New Roman" w:hAnsi="Times New Roman"/>
          <w:sz w:val="24"/>
        </w:rPr>
        <w:t>如图4.</w:t>
      </w:r>
      <w:r>
        <w:rPr>
          <w:rFonts w:hint="eastAsia" w:ascii="Times New Roman" w:hAnsi="Times New Roman"/>
          <w:sz w:val="24"/>
          <w:lang w:eastAsia="zh-CN"/>
        </w:rPr>
        <w:t>5</w:t>
      </w:r>
      <w:r>
        <w:rPr>
          <w:rFonts w:hint="eastAsia" w:ascii="Times New Roman" w:hAnsi="Times New Roman"/>
          <w:sz w:val="24"/>
        </w:rPr>
        <w:t>-1所示的倾斜煤层（含急倾斜）中开采某单元i，按概率积分法的基本原理，单元开采引起地表任意点</w:t>
      </w:r>
      <w:r>
        <w:rPr>
          <w:rFonts w:hint="eastAsia" w:ascii="Times New Roman" w:hAnsi="Times New Roman"/>
          <w:sz w:val="24"/>
          <w:lang w:eastAsia="zh-CN"/>
        </w:rPr>
        <w:t>（</w:t>
      </w:r>
      <w:r>
        <w:rPr>
          <w:rFonts w:hint="eastAsia" w:ascii="Times New Roman" w:hAnsi="Times New Roman"/>
          <w:sz w:val="24"/>
        </w:rPr>
        <w:t>x，y</w:t>
      </w:r>
      <w:r>
        <w:rPr>
          <w:rFonts w:hint="eastAsia" w:ascii="Times New Roman" w:hAnsi="Times New Roman"/>
          <w:sz w:val="24"/>
          <w:lang w:eastAsia="zh-CN"/>
        </w:rPr>
        <w:t>）</w:t>
      </w:r>
      <w:r>
        <w:rPr>
          <w:rFonts w:hint="eastAsia" w:ascii="Times New Roman" w:hAnsi="Times New Roman"/>
          <w:sz w:val="24"/>
        </w:rPr>
        <w:t>的下沉</w:t>
      </w:r>
      <w:r>
        <w:rPr>
          <w:rFonts w:hint="eastAsia" w:ascii="Times New Roman" w:hAnsi="Times New Roman"/>
          <w:sz w:val="24"/>
          <w:lang w:eastAsia="zh-CN"/>
        </w:rPr>
        <w:t>（</w:t>
      </w:r>
      <w:r>
        <w:rPr>
          <w:rFonts w:hint="eastAsia" w:ascii="Times New Roman" w:hAnsi="Times New Roman"/>
          <w:sz w:val="24"/>
        </w:rPr>
        <w:t>最终值</w:t>
      </w:r>
      <w:r>
        <w:rPr>
          <w:rFonts w:hint="eastAsia" w:ascii="Times New Roman" w:hAnsi="Times New Roman"/>
          <w:sz w:val="24"/>
          <w:lang w:eastAsia="zh-CN"/>
        </w:rPr>
        <w:t>）</w:t>
      </w:r>
      <w:r>
        <w:rPr>
          <w:rFonts w:hint="eastAsia" w:ascii="Times New Roman" w:hAnsi="Times New Roman"/>
          <w:sz w:val="24"/>
        </w:rPr>
        <w:t>为：</w:t>
      </w:r>
    </w:p>
    <w:p>
      <w:pPr>
        <w:pStyle w:val="14"/>
        <w:overflowPunct w:val="0"/>
        <w:spacing w:line="360" w:lineRule="auto"/>
        <w:ind w:firstLine="482" w:firstLineChars="200"/>
        <w:rPr>
          <w:rFonts w:ascii="Times New Roman" w:hAnsi="Times New Roman"/>
          <w:b/>
          <w:bCs w:val="0"/>
          <w:sz w:val="24"/>
          <w:lang w:eastAsia="zh-CN"/>
        </w:rPr>
      </w:pPr>
      <w:r>
        <w:rPr>
          <w:rFonts w:hint="eastAsia" w:ascii="Times New Roman" w:hAnsi="Times New Roman"/>
          <w:b/>
          <w:bCs w:val="0"/>
          <w:position w:val="-16"/>
          <w:sz w:val="24"/>
          <w:lang w:eastAsia="zh-CN"/>
        </w:rPr>
        <w:object>
          <v:shape id="_x0000_i1027" o:spt="75" type="#_x0000_t75" style="height:21.35pt;width:376.5pt;" o:ole="t" filled="f" o:preferrelative="t" stroked="f" coordsize="21600,21600">
            <v:path/>
            <v:fill on="f" focussize="0,0"/>
            <v:stroke on="f" joinstyle="miter"/>
            <v:imagedata r:id="rId120" o:title=""/>
            <o:lock v:ext="edit" aspectratio="t"/>
            <w10:wrap type="none"/>
            <w10:anchorlock/>
          </v:shape>
          <o:OLEObject Type="Embed" ProgID="Equation.KSEE3" ShapeID="_x0000_i1027" DrawAspect="Content" ObjectID="_1468075727" r:id="rId119">
            <o:LockedField>false</o:LockedField>
          </o:OLEObject>
        </w:object>
      </w:r>
    </w:p>
    <w:p>
      <w:pPr>
        <w:pStyle w:val="14"/>
        <w:overflowPunct w:val="0"/>
        <w:spacing w:line="360" w:lineRule="auto"/>
        <w:ind w:firstLine="560" w:firstLineChars="200"/>
        <w:jc w:val="center"/>
        <w:rPr>
          <w:rFonts w:ascii="Times New Roman" w:hAnsi="Times New Roman"/>
          <w:sz w:val="24"/>
        </w:rPr>
      </w:pPr>
      <w:r>
        <w:rPr>
          <w:rFonts w:hAnsi="Calibri" w:cs="宋体"/>
        </w:rPr>
        <w:drawing>
          <wp:inline distT="0" distB="0" distL="114300" distR="114300">
            <wp:extent cx="3332480" cy="2752725"/>
            <wp:effectExtent l="0" t="0" r="1270" b="9525"/>
            <wp:docPr id="245"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49"/>
                    <pic:cNvPicPr>
                      <a:picLocks noChangeAspect="1"/>
                    </pic:cNvPicPr>
                  </pic:nvPicPr>
                  <pic:blipFill>
                    <a:blip r:embed="rId121"/>
                    <a:stretch>
                      <a:fillRect/>
                    </a:stretch>
                  </pic:blipFill>
                  <pic:spPr>
                    <a:xfrm>
                      <a:off x="0" y="0"/>
                      <a:ext cx="3332480" cy="2752725"/>
                    </a:xfrm>
                    <a:prstGeom prst="rect">
                      <a:avLst/>
                    </a:prstGeom>
                    <a:noFill/>
                    <a:ln>
                      <a:noFill/>
                    </a:ln>
                  </pic:spPr>
                </pic:pic>
              </a:graphicData>
            </a:graphic>
          </wp:inline>
        </w:drawing>
      </w:r>
    </w:p>
    <w:p>
      <w:pPr>
        <w:jc w:val="center"/>
        <w:rPr>
          <w:rFonts w:hAnsi="Times New Roman" w:eastAsia="宋体"/>
          <w:b/>
          <w:bCs/>
          <w:sz w:val="21"/>
          <w:szCs w:val="21"/>
        </w:rPr>
      </w:pPr>
      <w:r>
        <w:rPr>
          <w:rFonts w:hAnsi="Times New Roman" w:eastAsia="宋体"/>
          <w:b/>
          <w:bCs/>
          <w:sz w:val="21"/>
          <w:szCs w:val="21"/>
        </w:rPr>
        <w:t>图</w:t>
      </w:r>
      <w:r>
        <w:rPr>
          <w:rFonts w:hint="eastAsia" w:hAnsi="Times New Roman" w:eastAsia="宋体"/>
          <w:b/>
          <w:bCs/>
          <w:sz w:val="21"/>
          <w:szCs w:val="21"/>
          <w:lang w:eastAsia="zh-CN"/>
        </w:rPr>
        <w:t>4.5</w:t>
      </w:r>
      <w:r>
        <w:rPr>
          <w:rFonts w:hAnsi="Times New Roman" w:eastAsia="宋体"/>
          <w:b/>
          <w:bCs/>
          <w:sz w:val="21"/>
          <w:szCs w:val="21"/>
        </w:rPr>
        <w:t>-1 地表沉陷预测模型的坐标系统</w:t>
      </w:r>
    </w:p>
    <w:p>
      <w:pPr>
        <w:pStyle w:val="14"/>
        <w:overflowPunct w:val="0"/>
        <w:spacing w:line="360" w:lineRule="auto"/>
        <w:ind w:firstLine="480" w:firstLineChars="200"/>
        <w:rPr>
          <w:rFonts w:ascii="Times New Roman" w:hAnsi="Times New Roman"/>
          <w:sz w:val="24"/>
        </w:rPr>
      </w:pPr>
      <w:r>
        <w:rPr>
          <w:rFonts w:ascii="Times New Roman" w:hAnsi="Times New Roman"/>
          <w:sz w:val="24"/>
        </w:rPr>
        <w:t>式中：r为主要影响半径，r=H0/tanβ；H0为平均采深；tanβ，预计参数，为主要影响角β之正切；</w:t>
      </w:r>
    </w:p>
    <w:p>
      <w:pPr>
        <w:pStyle w:val="14"/>
        <w:overflowPunct w:val="0"/>
        <w:spacing w:line="360" w:lineRule="auto"/>
        <w:ind w:firstLine="960" w:firstLineChars="400"/>
        <w:rPr>
          <w:rFonts w:ascii="Times New Roman" w:hAnsi="Times New Roman"/>
          <w:sz w:val="24"/>
        </w:rPr>
      </w:pPr>
      <w:r>
        <w:rPr>
          <w:rFonts w:ascii="Times New Roman" w:hAnsi="Times New Roman"/>
          <w:sz w:val="24"/>
        </w:rPr>
        <w:t>li=Hi·cotθ，θ，预计参数，为最大下沉角；</w:t>
      </w:r>
    </w:p>
    <w:p>
      <w:pPr>
        <w:pStyle w:val="14"/>
        <w:overflowPunct w:val="0"/>
        <w:spacing w:line="360" w:lineRule="auto"/>
        <w:ind w:firstLine="960" w:firstLineChars="400"/>
        <w:rPr>
          <w:rFonts w:ascii="Times New Roman" w:hAnsi="Times New Roman"/>
          <w:sz w:val="24"/>
        </w:rPr>
      </w:pPr>
      <w:r>
        <w:rPr>
          <w:rFonts w:ascii="Times New Roman" w:hAnsi="Times New Roman"/>
          <w:sz w:val="24"/>
        </w:rPr>
        <w:t>(xi</w:t>
      </w:r>
      <w:r>
        <w:rPr>
          <w:rFonts w:hint="eastAsia" w:ascii="Times New Roman" w:hAnsi="Times New Roman"/>
          <w:sz w:val="24"/>
          <w:lang w:eastAsia="zh-CN"/>
        </w:rPr>
        <w:t>，</w:t>
      </w:r>
      <w:r>
        <w:rPr>
          <w:rFonts w:ascii="Times New Roman" w:hAnsi="Times New Roman"/>
          <w:sz w:val="24"/>
        </w:rPr>
        <w:t>yi)——i 单元中心点的平面坐标；</w:t>
      </w:r>
    </w:p>
    <w:p>
      <w:pPr>
        <w:pStyle w:val="14"/>
        <w:overflowPunct w:val="0"/>
        <w:spacing w:line="360" w:lineRule="auto"/>
        <w:ind w:firstLine="960" w:firstLineChars="400"/>
        <w:rPr>
          <w:rFonts w:ascii="Times New Roman" w:hAnsi="Times New Roman"/>
          <w:sz w:val="24"/>
        </w:rPr>
      </w:pPr>
      <w:r>
        <w:rPr>
          <w:rFonts w:ascii="Times New Roman" w:hAnsi="Times New Roman"/>
          <w:sz w:val="24"/>
        </w:rPr>
        <w:t>(x</w:t>
      </w:r>
      <w:r>
        <w:rPr>
          <w:rFonts w:hint="eastAsia" w:ascii="Times New Roman" w:hAnsi="Times New Roman"/>
          <w:sz w:val="24"/>
          <w:lang w:eastAsia="zh-CN"/>
        </w:rPr>
        <w:t>，</w:t>
      </w:r>
      <w:r>
        <w:rPr>
          <w:rFonts w:ascii="Times New Roman" w:hAnsi="Times New Roman"/>
          <w:sz w:val="24"/>
        </w:rPr>
        <w:t>y)——地表任意一点的坐标。</w:t>
      </w:r>
    </w:p>
    <w:p>
      <w:pPr>
        <w:pStyle w:val="14"/>
        <w:overflowPunct w:val="0"/>
        <w:spacing w:line="360" w:lineRule="auto"/>
        <w:ind w:firstLine="960" w:firstLineChars="400"/>
        <w:rPr>
          <w:rFonts w:ascii="Times New Roman" w:hAnsi="Times New Roman"/>
          <w:sz w:val="24"/>
        </w:rPr>
      </w:pPr>
      <w:r>
        <w:rPr>
          <w:rFonts w:ascii="Times New Roman" w:hAnsi="Times New Roman"/>
          <w:sz w:val="24"/>
        </w:rPr>
        <w:t>设工作面范围为：0～p，0～a 组成的矩形，则地表任一点</w:t>
      </w:r>
      <w:r>
        <w:rPr>
          <w:rFonts w:hint="eastAsia" w:ascii="Times New Roman" w:hAnsi="Times New Roman"/>
          <w:sz w:val="24"/>
          <w:lang w:eastAsia="zh-CN"/>
        </w:rPr>
        <w:t>（</w:t>
      </w:r>
      <w:r>
        <w:rPr>
          <w:rFonts w:ascii="Times New Roman" w:hAnsi="Times New Roman"/>
          <w:sz w:val="24"/>
        </w:rPr>
        <w:t>x，y</w:t>
      </w:r>
      <w:r>
        <w:rPr>
          <w:rFonts w:hint="eastAsia" w:ascii="Times New Roman" w:hAnsi="Times New Roman"/>
          <w:sz w:val="24"/>
          <w:lang w:eastAsia="zh-CN"/>
        </w:rPr>
        <w:t>）</w:t>
      </w:r>
      <w:r>
        <w:rPr>
          <w:rFonts w:ascii="Times New Roman" w:hAnsi="Times New Roman"/>
          <w:sz w:val="24"/>
        </w:rPr>
        <w:t>相关变形值为：</w:t>
      </w:r>
    </w:p>
    <w:p>
      <w:pPr>
        <w:pStyle w:val="14"/>
        <w:overflowPunct w:val="0"/>
        <w:spacing w:line="360" w:lineRule="auto"/>
        <w:ind w:firstLine="482" w:firstLineChars="200"/>
        <w:rPr>
          <w:rFonts w:ascii="Times New Roman" w:hAnsi="Times New Roman"/>
          <w:b/>
          <w:bCs w:val="0"/>
          <w:sz w:val="24"/>
        </w:rPr>
      </w:pPr>
      <w:r>
        <w:rPr>
          <w:rFonts w:ascii="Times New Roman" w:hAnsi="Times New Roman"/>
          <w:b/>
          <w:bCs w:val="0"/>
          <w:sz w:val="24"/>
        </w:rPr>
        <w:t>①地表任一点的下沉w(x，y)</w:t>
      </w:r>
    </w:p>
    <w:p>
      <w:pPr>
        <w:pStyle w:val="14"/>
        <w:overflowPunct w:val="0"/>
        <w:spacing w:line="360" w:lineRule="auto"/>
        <w:ind w:firstLine="960" w:firstLineChars="400"/>
        <w:rPr>
          <w:rFonts w:ascii="Times New Roman" w:hAnsi="Times New Roman"/>
          <w:sz w:val="24"/>
        </w:rPr>
      </w:pPr>
      <w:r>
        <w:rPr>
          <w:rFonts w:ascii="Times New Roman" w:hAnsi="Times New Roman"/>
          <w:sz w:val="24"/>
        </w:rPr>
        <w:t>W(X，Y)=W0∫ ∫ Weoi(X，Y)dxdy</w:t>
      </w:r>
    </w:p>
    <w:p>
      <w:pPr>
        <w:pStyle w:val="14"/>
        <w:overflowPunct w:val="0"/>
        <w:spacing w:line="360" w:lineRule="auto"/>
        <w:ind w:firstLine="960" w:firstLineChars="400"/>
        <w:rPr>
          <w:rFonts w:ascii="Times New Roman" w:hAnsi="Times New Roman"/>
          <w:sz w:val="24"/>
        </w:rPr>
      </w:pPr>
      <w:r>
        <w:rPr>
          <w:rFonts w:ascii="Times New Roman" w:hAnsi="Times New Roman"/>
          <w:sz w:val="24"/>
        </w:rPr>
        <w:t>式中：W0为该地质采矿条件下的最大下沉值，mm，W0＝mqcosα；</w:t>
      </w:r>
    </w:p>
    <w:p>
      <w:pPr>
        <w:pStyle w:val="14"/>
        <w:overflowPunct w:val="0"/>
        <w:spacing w:line="360" w:lineRule="auto"/>
        <w:ind w:firstLine="960" w:firstLineChars="400"/>
        <w:rPr>
          <w:rFonts w:ascii="Times New Roman" w:hAnsi="Times New Roman"/>
          <w:sz w:val="24"/>
        </w:rPr>
      </w:pPr>
      <w:r>
        <w:rPr>
          <w:rFonts w:ascii="Times New Roman" w:hAnsi="Times New Roman"/>
          <w:sz w:val="24"/>
        </w:rPr>
        <w:t>q，预计参数，下沉系数；</w:t>
      </w:r>
    </w:p>
    <w:p>
      <w:pPr>
        <w:pStyle w:val="14"/>
        <w:overflowPunct w:val="0"/>
        <w:spacing w:line="360" w:lineRule="auto"/>
        <w:ind w:firstLine="960" w:firstLineChars="400"/>
        <w:rPr>
          <w:rFonts w:ascii="Times New Roman" w:hAnsi="Times New Roman"/>
          <w:sz w:val="24"/>
        </w:rPr>
      </w:pPr>
      <w:r>
        <w:rPr>
          <w:rFonts w:ascii="Times New Roman" w:hAnsi="Times New Roman"/>
          <w:sz w:val="24"/>
        </w:rPr>
        <w:t>p为工作面走向长，m；</w:t>
      </w:r>
    </w:p>
    <w:p>
      <w:pPr>
        <w:pStyle w:val="14"/>
        <w:overflowPunct w:val="0"/>
        <w:spacing w:line="360" w:lineRule="auto"/>
        <w:ind w:firstLine="960" w:firstLineChars="400"/>
        <w:rPr>
          <w:rFonts w:ascii="Times New Roman" w:hAnsi="Times New Roman"/>
          <w:sz w:val="24"/>
        </w:rPr>
      </w:pPr>
      <w:r>
        <w:rPr>
          <w:rFonts w:ascii="Times New Roman" w:hAnsi="Times New Roman"/>
          <w:sz w:val="24"/>
        </w:rPr>
        <w:t>a为工作面沿倾斜方向的水平距离，m。</w:t>
      </w:r>
    </w:p>
    <w:p>
      <w:pPr>
        <w:pStyle w:val="14"/>
        <w:overflowPunct w:val="0"/>
        <w:spacing w:line="360" w:lineRule="auto"/>
        <w:ind w:firstLine="960" w:firstLineChars="400"/>
        <w:rPr>
          <w:rFonts w:ascii="Times New Roman" w:hAnsi="Times New Roman"/>
          <w:sz w:val="24"/>
        </w:rPr>
      </w:pPr>
      <w:r>
        <w:rPr>
          <w:rFonts w:ascii="Times New Roman" w:hAnsi="Times New Roman"/>
          <w:sz w:val="24"/>
        </w:rPr>
        <w:t>也可以写为：</w:t>
      </w:r>
    </w:p>
    <w:p>
      <w:pPr>
        <w:pStyle w:val="14"/>
        <w:overflowPunct w:val="0"/>
        <w:spacing w:line="360" w:lineRule="auto"/>
        <w:ind w:firstLine="1200" w:firstLineChars="500"/>
        <w:rPr>
          <w:rFonts w:ascii="Times New Roman" w:hAnsi="Times New Roman"/>
          <w:sz w:val="24"/>
          <w:lang w:eastAsia="zh-CN"/>
        </w:rPr>
      </w:pPr>
      <w:r>
        <w:rPr>
          <w:rFonts w:hint="eastAsia" w:ascii="Times New Roman" w:hAnsi="Times New Roman"/>
          <w:position w:val="-30"/>
          <w:sz w:val="24"/>
          <w:lang w:eastAsia="zh-CN"/>
        </w:rPr>
        <w:object>
          <v:shape id="_x0000_i1028" o:spt="75" type="#_x0000_t75" style="height:33.35pt;width:153.3pt;" o:ole="t" filled="f" o:preferrelative="t" stroked="f" coordsize="21600,21600">
            <v:path/>
            <v:fill on="f" focussize="0,0"/>
            <v:stroke on="f" joinstyle="miter"/>
            <v:imagedata r:id="rId123" o:title=""/>
            <o:lock v:ext="edit" aspectratio="t"/>
            <w10:wrap type="none"/>
            <w10:anchorlock/>
          </v:shape>
          <o:OLEObject Type="Embed" ProgID="Equation.KSEE3" ShapeID="_x0000_i1028" DrawAspect="Content" ObjectID="_1468075728" r:id="rId122">
            <o:LockedField>false</o:LockedField>
          </o:OLEObject>
        </w:object>
      </w:r>
    </w:p>
    <w:p>
      <w:pPr>
        <w:pStyle w:val="14"/>
        <w:overflowPunct w:val="0"/>
        <w:spacing w:line="360" w:lineRule="auto"/>
        <w:ind w:firstLine="480" w:firstLineChars="200"/>
        <w:rPr>
          <w:rFonts w:ascii="Times New Roman" w:hAnsi="Times New Roman"/>
          <w:sz w:val="24"/>
        </w:rPr>
      </w:pPr>
      <w:r>
        <w:rPr>
          <w:rFonts w:hint="eastAsia" w:ascii="Times New Roman" w:hAnsi="Times New Roman"/>
          <w:sz w:val="24"/>
        </w:rPr>
        <w:t>式中W</w:t>
      </w:r>
      <w:r>
        <w:rPr>
          <w:rFonts w:hint="eastAsia" w:ascii="Times New Roman" w:hAnsi="Times New Roman"/>
          <w:sz w:val="24"/>
          <w:vertAlign w:val="subscript"/>
        </w:rPr>
        <w:t>0</w:t>
      </w:r>
      <w:r>
        <w:rPr>
          <w:rFonts w:hint="eastAsia" w:ascii="Times New Roman" w:hAnsi="Times New Roman"/>
          <w:sz w:val="24"/>
        </w:rPr>
        <w:t>为走向和倾向均达到充分采动时的地表最大下沉值，W</w:t>
      </w:r>
      <w:r>
        <w:rPr>
          <w:rFonts w:hint="eastAsia" w:ascii="Times New Roman" w:hAnsi="Times New Roman"/>
          <w:sz w:val="24"/>
          <w:lang w:eastAsia="zh-CN"/>
        </w:rPr>
        <w:t>（</w:t>
      </w:r>
      <w:r>
        <w:rPr>
          <w:rFonts w:hint="eastAsia" w:ascii="Times New Roman" w:hAnsi="Times New Roman"/>
          <w:sz w:val="24"/>
        </w:rPr>
        <w:t>x</w:t>
      </w:r>
      <w:r>
        <w:rPr>
          <w:rFonts w:hint="eastAsia" w:ascii="Times New Roman" w:hAnsi="Times New Roman"/>
          <w:sz w:val="24"/>
          <w:lang w:eastAsia="zh-CN"/>
        </w:rPr>
        <w:t>）</w:t>
      </w:r>
      <w:r>
        <w:rPr>
          <w:rFonts w:hint="eastAsia" w:ascii="Times New Roman" w:hAnsi="Times New Roman"/>
          <w:sz w:val="24"/>
        </w:rPr>
        <w:t>为倾向方向达到充分采动时走向主断面上横坐标为x的点的下沉值，W</w:t>
      </w:r>
      <w:r>
        <w:rPr>
          <w:rFonts w:hint="eastAsia" w:ascii="Times New Roman" w:hAnsi="Times New Roman"/>
          <w:sz w:val="24"/>
          <w:lang w:eastAsia="zh-CN"/>
        </w:rPr>
        <w:t>（</w:t>
      </w:r>
      <w:r>
        <w:rPr>
          <w:rFonts w:hint="eastAsia" w:ascii="Times New Roman" w:hAnsi="Times New Roman"/>
          <w:sz w:val="24"/>
        </w:rPr>
        <w:t>y</w:t>
      </w:r>
      <w:r>
        <w:rPr>
          <w:rFonts w:hint="eastAsia" w:ascii="Times New Roman" w:hAnsi="Times New Roman"/>
          <w:sz w:val="24"/>
          <w:lang w:eastAsia="zh-CN"/>
        </w:rPr>
        <w:t>）</w:t>
      </w:r>
      <w:r>
        <w:rPr>
          <w:rFonts w:hint="eastAsia" w:ascii="Times New Roman" w:hAnsi="Times New Roman"/>
          <w:sz w:val="24"/>
        </w:rPr>
        <w:t>为走向方向达到充分采动时倾向主断面上横坐标为y 的点的下沉值。</w:t>
      </w:r>
    </w:p>
    <w:p>
      <w:pPr>
        <w:pStyle w:val="14"/>
        <w:overflowPunct w:val="0"/>
        <w:spacing w:line="360" w:lineRule="auto"/>
        <w:ind w:firstLine="480" w:firstLineChars="200"/>
        <w:rPr>
          <w:rFonts w:ascii="Times New Roman" w:hAnsi="Times New Roman"/>
          <w:sz w:val="24"/>
        </w:rPr>
      </w:pPr>
      <w:r>
        <w:rPr>
          <w:rFonts w:hint="eastAsia" w:ascii="Times New Roman" w:hAnsi="Times New Roman"/>
          <w:sz w:val="24"/>
        </w:rPr>
        <w:t>根据下沉表达式，可推导出地表（</w:t>
      </w:r>
      <w:r>
        <w:rPr>
          <w:rFonts w:hint="eastAsia" w:ascii="Times New Roman" w:hAnsi="Times New Roman"/>
          <w:sz w:val="24"/>
          <w:lang w:eastAsia="zh-CN"/>
        </w:rPr>
        <w:t>x，y</w:t>
      </w:r>
      <w:r>
        <w:rPr>
          <w:rFonts w:hint="eastAsia" w:ascii="Times New Roman" w:hAnsi="Times New Roman"/>
          <w:sz w:val="24"/>
        </w:rPr>
        <w:t>）的</w:t>
      </w:r>
      <w:r>
        <w:rPr>
          <w:rFonts w:hint="eastAsia" w:ascii="Times New Roman" w:hAnsi="Times New Roman"/>
          <w:sz w:val="24"/>
          <w:lang w:eastAsia="zh-CN"/>
        </w:rPr>
        <w:t>其他</w:t>
      </w:r>
      <w:r>
        <w:rPr>
          <w:rFonts w:hint="eastAsia" w:ascii="Times New Roman" w:hAnsi="Times New Roman"/>
          <w:sz w:val="24"/>
        </w:rPr>
        <w:t>移动变形值。注意：除下沉外的其它移动变形都有方向性，同一点沿各个方向的变形值是不一样的，要对单元下沉盆地求方向导数，然后积分。</w:t>
      </w:r>
    </w:p>
    <w:p>
      <w:pPr>
        <w:pStyle w:val="14"/>
        <w:overflowPunct w:val="0"/>
        <w:spacing w:line="360" w:lineRule="auto"/>
        <w:ind w:firstLine="482" w:firstLineChars="200"/>
        <w:rPr>
          <w:rFonts w:ascii="Times New Roman" w:hAnsi="Times New Roman"/>
          <w:b/>
          <w:bCs w:val="0"/>
          <w:sz w:val="24"/>
        </w:rPr>
      </w:pPr>
      <w:r>
        <w:rPr>
          <w:rFonts w:hint="eastAsia" w:ascii="Times New Roman" w:hAnsi="Times New Roman"/>
          <w:b/>
          <w:bCs w:val="0"/>
          <w:sz w:val="24"/>
        </w:rPr>
        <w:t>②沿</w:t>
      </w:r>
      <w:r>
        <w:rPr>
          <w:rFonts w:hint="eastAsia" w:ascii="Times New Roman" w:hAnsi="Times New Roman"/>
          <w:b/>
          <w:bCs w:val="0"/>
          <w:sz w:val="24"/>
          <w:lang w:eastAsia="zh-CN"/>
        </w:rPr>
        <w:t>φ</w:t>
      </w:r>
      <w:r>
        <w:rPr>
          <w:rFonts w:hint="eastAsia" w:ascii="Times New Roman" w:hAnsi="Times New Roman"/>
          <w:b/>
          <w:bCs w:val="0"/>
          <w:sz w:val="24"/>
        </w:rPr>
        <w:t>方向的倾斜i(x，y</w:t>
      </w:r>
      <w:r>
        <w:rPr>
          <w:rFonts w:hint="eastAsia" w:ascii="Times New Roman" w:hAnsi="Times New Roman"/>
          <w:b/>
          <w:bCs w:val="0"/>
          <w:sz w:val="24"/>
          <w:lang w:eastAsia="zh-CN"/>
        </w:rPr>
        <w:t>，φ</w:t>
      </w:r>
      <w:r>
        <w:rPr>
          <w:rFonts w:hint="eastAsia" w:ascii="Times New Roman" w:hAnsi="Times New Roman"/>
          <w:b/>
          <w:bCs w:val="0"/>
          <w:sz w:val="24"/>
        </w:rPr>
        <w:t>)</w:t>
      </w:r>
    </w:p>
    <w:p>
      <w:pPr>
        <w:pStyle w:val="14"/>
        <w:overflowPunct w:val="0"/>
        <w:spacing w:line="360" w:lineRule="auto"/>
        <w:ind w:firstLine="480" w:firstLineChars="200"/>
        <w:rPr>
          <w:rFonts w:ascii="Times New Roman" w:hAnsi="Times New Roman"/>
          <w:sz w:val="24"/>
        </w:rPr>
      </w:pPr>
      <w:r>
        <w:rPr>
          <w:rFonts w:hint="eastAsia" w:ascii="Times New Roman" w:hAnsi="Times New Roman"/>
          <w:sz w:val="24"/>
        </w:rPr>
        <w:t>设</w:t>
      </w:r>
      <w:r>
        <w:rPr>
          <w:rFonts w:hint="eastAsia" w:ascii="Times New Roman" w:hAnsi="Times New Roman"/>
          <w:sz w:val="24"/>
          <w:lang w:eastAsia="zh-CN"/>
        </w:rPr>
        <w:t>φ</w:t>
      </w:r>
      <w:r>
        <w:rPr>
          <w:rFonts w:hint="eastAsia" w:ascii="Times New Roman" w:hAnsi="Times New Roman"/>
          <w:sz w:val="24"/>
        </w:rPr>
        <w:t>角为从x轴的正向沿逆时针方向与指定预计方向所夹的角度。</w:t>
      </w:r>
    </w:p>
    <w:p>
      <w:pPr>
        <w:pStyle w:val="14"/>
        <w:overflowPunct w:val="0"/>
        <w:spacing w:line="360" w:lineRule="auto"/>
        <w:ind w:firstLine="480" w:firstLineChars="200"/>
        <w:rPr>
          <w:rFonts w:ascii="Times New Roman" w:hAnsi="Times New Roman"/>
          <w:sz w:val="24"/>
        </w:rPr>
      </w:pPr>
      <w:r>
        <w:rPr>
          <w:rFonts w:hint="eastAsia" w:ascii="Times New Roman" w:hAnsi="Times New Roman"/>
          <w:sz w:val="24"/>
        </w:rPr>
        <w:t>坐标为</w:t>
      </w:r>
      <w:r>
        <w:rPr>
          <w:rFonts w:hint="eastAsia" w:ascii="Times New Roman" w:hAnsi="Times New Roman"/>
          <w:sz w:val="24"/>
          <w:lang w:eastAsia="zh-CN"/>
        </w:rPr>
        <w:t>（</w:t>
      </w:r>
      <w:r>
        <w:rPr>
          <w:rFonts w:hint="eastAsia" w:ascii="Times New Roman" w:hAnsi="Times New Roman"/>
          <w:sz w:val="24"/>
        </w:rPr>
        <w:t>x，y</w:t>
      </w:r>
      <w:r>
        <w:rPr>
          <w:rFonts w:hint="eastAsia" w:ascii="Times New Roman" w:hAnsi="Times New Roman"/>
          <w:sz w:val="24"/>
          <w:lang w:eastAsia="zh-CN"/>
        </w:rPr>
        <w:t>）</w:t>
      </w:r>
      <w:r>
        <w:rPr>
          <w:rFonts w:hint="eastAsia" w:ascii="Times New Roman" w:hAnsi="Times New Roman"/>
          <w:sz w:val="24"/>
        </w:rPr>
        <w:t>的点沿</w:t>
      </w:r>
      <w:r>
        <w:rPr>
          <w:rFonts w:hint="eastAsia" w:ascii="Times New Roman" w:hAnsi="Times New Roman"/>
          <w:sz w:val="24"/>
          <w:lang w:eastAsia="zh-CN"/>
        </w:rPr>
        <w:t>φ</w:t>
      </w:r>
      <w:r>
        <w:rPr>
          <w:rFonts w:hint="eastAsia" w:ascii="Times New Roman" w:hAnsi="Times New Roman"/>
          <w:sz w:val="24"/>
        </w:rPr>
        <w:t>方向的倾斜为下沉W</w:t>
      </w:r>
      <w:r>
        <w:rPr>
          <w:rFonts w:hint="eastAsia" w:ascii="Times New Roman" w:hAnsi="Times New Roman"/>
          <w:sz w:val="24"/>
          <w:lang w:eastAsia="zh-CN"/>
        </w:rPr>
        <w:t>（</w:t>
      </w:r>
      <w:r>
        <w:rPr>
          <w:rFonts w:hint="eastAsia" w:ascii="Times New Roman" w:hAnsi="Times New Roman"/>
          <w:sz w:val="24"/>
        </w:rPr>
        <w:t>x，y</w:t>
      </w:r>
      <w:r>
        <w:rPr>
          <w:rFonts w:hint="eastAsia" w:ascii="Times New Roman" w:hAnsi="Times New Roman"/>
          <w:sz w:val="24"/>
          <w:lang w:eastAsia="zh-CN"/>
        </w:rPr>
        <w:t>）</w:t>
      </w:r>
      <w:r>
        <w:rPr>
          <w:rFonts w:hint="eastAsia" w:ascii="Times New Roman" w:hAnsi="Times New Roman"/>
          <w:sz w:val="24"/>
        </w:rPr>
        <w:t>在</w:t>
      </w:r>
      <w:r>
        <w:rPr>
          <w:rFonts w:hint="eastAsia" w:ascii="Times New Roman" w:hAnsi="Times New Roman"/>
          <w:sz w:val="24"/>
          <w:lang w:eastAsia="zh-CN"/>
        </w:rPr>
        <w:t>φ</w:t>
      </w:r>
      <w:r>
        <w:rPr>
          <w:rFonts w:hint="eastAsia" w:ascii="Times New Roman" w:hAnsi="Times New Roman"/>
          <w:sz w:val="24"/>
        </w:rPr>
        <w:t>方向上单位距离的变化率，在数学上即为</w:t>
      </w:r>
      <w:r>
        <w:rPr>
          <w:rFonts w:hint="eastAsia" w:ascii="Times New Roman" w:hAnsi="Times New Roman"/>
          <w:sz w:val="24"/>
          <w:lang w:eastAsia="zh-CN"/>
        </w:rPr>
        <w:t>φ</w:t>
      </w:r>
      <w:r>
        <w:rPr>
          <w:rFonts w:hint="eastAsia" w:ascii="Times New Roman" w:hAnsi="Times New Roman"/>
          <w:sz w:val="24"/>
        </w:rPr>
        <w:t>方向的方向导数，即为：</w:t>
      </w:r>
    </w:p>
    <w:p>
      <w:pPr>
        <w:pStyle w:val="14"/>
        <w:overflowPunct w:val="0"/>
        <w:spacing w:line="360" w:lineRule="auto"/>
        <w:ind w:firstLine="960" w:firstLineChars="400"/>
        <w:rPr>
          <w:rFonts w:ascii="Times New Roman" w:hAnsi="Times New Roman"/>
          <w:sz w:val="24"/>
          <w:lang w:eastAsia="zh-CN"/>
        </w:rPr>
      </w:pPr>
      <w:r>
        <w:rPr>
          <w:rFonts w:hint="eastAsia" w:ascii="Times New Roman" w:hAnsi="Times New Roman"/>
          <w:position w:val="-28"/>
          <w:sz w:val="24"/>
          <w:lang w:eastAsia="zh-CN"/>
        </w:rPr>
        <w:object>
          <v:shape id="_x0000_i1029" o:spt="75" type="#_x0000_t75" style="height:33.35pt;width:271.25pt;" o:ole="t" filled="f" o:preferrelative="t" stroked="f" coordsize="21600,21600">
            <v:path/>
            <v:fill on="f" focussize="0,0"/>
            <v:stroke on="f" joinstyle="miter"/>
            <v:imagedata r:id="rId125" o:title=""/>
            <o:lock v:ext="edit" aspectratio="t"/>
            <w10:wrap type="none"/>
            <w10:anchorlock/>
          </v:shape>
          <o:OLEObject Type="Embed" ProgID="Equation.KSEE3" ShapeID="_x0000_i1029" DrawAspect="Content" ObjectID="_1468075729" r:id="rId124">
            <o:LockedField>false</o:LockedField>
          </o:OLEObject>
        </w:object>
      </w:r>
    </w:p>
    <w:p>
      <w:pPr>
        <w:pStyle w:val="14"/>
        <w:overflowPunct w:val="0"/>
        <w:spacing w:line="360" w:lineRule="auto"/>
        <w:ind w:firstLine="480" w:firstLineChars="200"/>
        <w:rPr>
          <w:rFonts w:ascii="Times New Roman" w:hAnsi="Times New Roman"/>
          <w:sz w:val="24"/>
        </w:rPr>
      </w:pPr>
      <w:r>
        <w:rPr>
          <w:rFonts w:hint="eastAsia" w:ascii="Times New Roman" w:hAnsi="Times New Roman"/>
          <w:sz w:val="24"/>
        </w:rPr>
        <w:t>可将上式化简为：</w:t>
      </w:r>
    </w:p>
    <w:p>
      <w:pPr>
        <w:pStyle w:val="14"/>
        <w:overflowPunct w:val="0"/>
        <w:spacing w:line="360" w:lineRule="auto"/>
        <w:ind w:firstLine="480" w:firstLineChars="200"/>
        <w:rPr>
          <w:rFonts w:ascii="Times New Roman" w:hAnsi="Times New Roman"/>
          <w:sz w:val="24"/>
          <w:lang w:eastAsia="zh-CN"/>
        </w:rPr>
      </w:pPr>
      <w:r>
        <w:rPr>
          <w:rFonts w:hint="eastAsia" w:ascii="Times New Roman" w:hAnsi="Times New Roman"/>
          <w:sz w:val="24"/>
          <w:lang w:eastAsia="zh-CN"/>
        </w:rPr>
        <w:t xml:space="preserve">   </w:t>
      </w:r>
      <w:r>
        <w:rPr>
          <w:rFonts w:hint="eastAsia" w:ascii="Times New Roman" w:hAnsi="Times New Roman"/>
          <w:position w:val="-30"/>
          <w:sz w:val="24"/>
          <w:lang w:eastAsia="zh-CN"/>
        </w:rPr>
        <w:object>
          <v:shape id="_x0000_i1030" o:spt="75" type="#_x0000_t75" style="height:33.35pt;width:301.95pt;" o:ole="t" filled="f" o:preferrelative="t" stroked="f" coordsize="21600,21600">
            <v:path/>
            <v:fill on="f" focussize="0,0"/>
            <v:stroke on="f" joinstyle="miter"/>
            <v:imagedata r:id="rId127" o:title=""/>
            <o:lock v:ext="edit" aspectratio="t"/>
            <w10:wrap type="none"/>
            <w10:anchorlock/>
          </v:shape>
          <o:OLEObject Type="Embed" ProgID="Equation.KSEE3" ShapeID="_x0000_i1030" DrawAspect="Content" ObjectID="_1468075730" r:id="rId126">
            <o:LockedField>false</o:LockedField>
          </o:OLEObject>
        </w:object>
      </w:r>
    </w:p>
    <w:p>
      <w:pPr>
        <w:pStyle w:val="14"/>
        <w:overflowPunct w:val="0"/>
        <w:spacing w:line="360" w:lineRule="auto"/>
        <w:ind w:firstLine="482" w:firstLineChars="200"/>
        <w:rPr>
          <w:rFonts w:ascii="Times New Roman" w:hAnsi="Times New Roman"/>
          <w:b/>
          <w:bCs w:val="0"/>
          <w:sz w:val="24"/>
        </w:rPr>
      </w:pPr>
      <w:r>
        <w:rPr>
          <w:rFonts w:hint="eastAsia" w:ascii="Times New Roman" w:hAnsi="Times New Roman"/>
          <w:b/>
          <w:bCs w:val="0"/>
          <w:sz w:val="24"/>
        </w:rPr>
        <w:t>③沿φ方向的曲率k(x，y，φ)</w:t>
      </w:r>
    </w:p>
    <w:p>
      <w:pPr>
        <w:pStyle w:val="14"/>
        <w:overflowPunct w:val="0"/>
        <w:spacing w:line="360" w:lineRule="auto"/>
        <w:ind w:firstLine="480" w:firstLineChars="200"/>
        <w:rPr>
          <w:rFonts w:ascii="Times New Roman" w:hAnsi="Times New Roman"/>
          <w:sz w:val="24"/>
        </w:rPr>
      </w:pPr>
      <w:r>
        <w:rPr>
          <w:rFonts w:hint="eastAsia" w:ascii="Times New Roman" w:hAnsi="Times New Roman"/>
          <w:sz w:val="24"/>
        </w:rPr>
        <w:t>坐标为</w:t>
      </w:r>
      <w:r>
        <w:rPr>
          <w:rFonts w:hint="eastAsia" w:ascii="Times New Roman" w:hAnsi="Times New Roman"/>
          <w:sz w:val="24"/>
          <w:lang w:eastAsia="zh-CN"/>
        </w:rPr>
        <w:t>（</w:t>
      </w:r>
      <w:r>
        <w:rPr>
          <w:rFonts w:hint="eastAsia" w:ascii="Times New Roman" w:hAnsi="Times New Roman"/>
          <w:sz w:val="24"/>
        </w:rPr>
        <w:t>x，y</w:t>
      </w:r>
      <w:r>
        <w:rPr>
          <w:rFonts w:hint="eastAsia" w:ascii="Times New Roman" w:hAnsi="Times New Roman"/>
          <w:sz w:val="24"/>
          <w:lang w:eastAsia="zh-CN"/>
        </w:rPr>
        <w:t>）</w:t>
      </w:r>
      <w:r>
        <w:rPr>
          <w:rFonts w:hint="eastAsia" w:ascii="Times New Roman" w:hAnsi="Times New Roman"/>
          <w:sz w:val="24"/>
        </w:rPr>
        <w:t>的点φ方向的曲率为倾斜i</w:t>
      </w:r>
      <w:r>
        <w:rPr>
          <w:rFonts w:hint="eastAsia" w:ascii="Times New Roman" w:hAnsi="Times New Roman"/>
          <w:sz w:val="24"/>
          <w:lang w:eastAsia="zh-CN"/>
        </w:rPr>
        <w:t>（</w:t>
      </w:r>
      <w:r>
        <w:rPr>
          <w:rFonts w:hint="eastAsia" w:ascii="Times New Roman" w:hAnsi="Times New Roman"/>
          <w:sz w:val="24"/>
        </w:rPr>
        <w:t>x，y，φ</w:t>
      </w:r>
      <w:r>
        <w:rPr>
          <w:rFonts w:hint="eastAsia" w:ascii="Times New Roman" w:hAnsi="Times New Roman"/>
          <w:sz w:val="24"/>
          <w:lang w:eastAsia="zh-CN"/>
        </w:rPr>
        <w:t>）</w:t>
      </w:r>
      <w:r>
        <w:rPr>
          <w:rFonts w:hint="eastAsia" w:ascii="Times New Roman" w:hAnsi="Times New Roman"/>
          <w:sz w:val="24"/>
        </w:rPr>
        <w:t>在φ方向上单位距离的变化率，在数学上即为φ方向的方向导数，即为：</w:t>
      </w:r>
    </w:p>
    <w:p>
      <w:pPr>
        <w:pStyle w:val="14"/>
        <w:overflowPunct w:val="0"/>
        <w:spacing w:line="360" w:lineRule="auto"/>
        <w:ind w:firstLine="960" w:firstLineChars="400"/>
        <w:rPr>
          <w:rFonts w:ascii="Times New Roman" w:hAnsi="Times New Roman"/>
          <w:sz w:val="24"/>
          <w:lang w:eastAsia="zh-CN"/>
        </w:rPr>
      </w:pPr>
      <w:r>
        <w:rPr>
          <w:rFonts w:hint="eastAsia" w:ascii="Times New Roman" w:hAnsi="Times New Roman"/>
          <w:position w:val="-28"/>
          <w:sz w:val="24"/>
          <w:lang w:eastAsia="zh-CN"/>
        </w:rPr>
        <w:object>
          <v:shape id="_x0000_i1031" o:spt="75" type="#_x0000_t75" style="height:33.35pt;width:283.4pt;" o:ole="t" filled="f" o:preferrelative="t" stroked="f" coordsize="21600,21600">
            <v:path/>
            <v:fill on="f" focussize="0,0"/>
            <v:stroke on="f" joinstyle="miter"/>
            <v:imagedata r:id="rId129" o:title=""/>
            <o:lock v:ext="edit" aspectratio="t"/>
            <w10:wrap type="none"/>
            <w10:anchorlock/>
          </v:shape>
          <o:OLEObject Type="Embed" ProgID="Equation.KSEE3" ShapeID="_x0000_i1031" DrawAspect="Content" ObjectID="_1468075731" r:id="rId128">
            <o:LockedField>false</o:LockedField>
          </o:OLEObject>
        </w:object>
      </w:r>
    </w:p>
    <w:p>
      <w:pPr>
        <w:pStyle w:val="14"/>
        <w:overflowPunct w:val="0"/>
        <w:spacing w:line="360" w:lineRule="auto"/>
        <w:ind w:firstLine="480" w:firstLineChars="200"/>
        <w:rPr>
          <w:rFonts w:ascii="Times New Roman" w:hAnsi="Times New Roman"/>
          <w:sz w:val="24"/>
        </w:rPr>
      </w:pPr>
      <w:r>
        <w:rPr>
          <w:rFonts w:hint="eastAsia" w:ascii="Times New Roman" w:hAnsi="Times New Roman"/>
          <w:sz w:val="24"/>
        </w:rPr>
        <w:t>可将上式化简为：</w:t>
      </w:r>
    </w:p>
    <w:p>
      <w:pPr>
        <w:pStyle w:val="14"/>
        <w:overflowPunct w:val="0"/>
        <w:spacing w:line="360" w:lineRule="auto"/>
        <w:ind w:firstLine="480" w:firstLineChars="200"/>
        <w:rPr>
          <w:rFonts w:ascii="Times New Roman" w:hAnsi="Times New Roman"/>
          <w:sz w:val="24"/>
          <w:lang w:eastAsia="zh-CN"/>
        </w:rPr>
      </w:pPr>
      <w:r>
        <w:rPr>
          <w:rFonts w:hint="eastAsia" w:ascii="Times New Roman" w:hAnsi="Times New Roman"/>
          <w:sz w:val="24"/>
          <w:lang w:eastAsia="zh-CN"/>
        </w:rPr>
        <w:t xml:space="preserve">   </w:t>
      </w:r>
      <w:r>
        <w:rPr>
          <w:rFonts w:hint="eastAsia" w:ascii="Times New Roman" w:hAnsi="Times New Roman"/>
          <w:position w:val="-30"/>
          <w:sz w:val="24"/>
          <w:lang w:eastAsia="zh-CN"/>
        </w:rPr>
        <w:object>
          <v:shape id="_x0000_i1032" o:spt="75" type="#_x0000_t75" style="height:33.35pt;width:366pt;" o:ole="t" filled="f" o:preferrelative="t" stroked="f" coordsize="21600,21600">
            <v:path/>
            <v:fill on="f" focussize="0,0"/>
            <v:stroke on="f" joinstyle="miter"/>
            <v:imagedata r:id="rId131" o:title=""/>
            <o:lock v:ext="edit" aspectratio="t"/>
            <w10:wrap type="none"/>
            <w10:anchorlock/>
          </v:shape>
          <o:OLEObject Type="Embed" ProgID="Equation.KSEE3" ShapeID="_x0000_i1032" DrawAspect="Content" ObjectID="_1468075732" r:id="rId130">
            <o:LockedField>false</o:LockedField>
          </o:OLEObject>
        </w:object>
      </w:r>
    </w:p>
    <w:p>
      <w:pPr>
        <w:pStyle w:val="14"/>
        <w:overflowPunct w:val="0"/>
        <w:spacing w:line="360" w:lineRule="auto"/>
        <w:ind w:firstLine="482" w:firstLineChars="200"/>
        <w:rPr>
          <w:rFonts w:ascii="Times New Roman" w:hAnsi="Times New Roman"/>
          <w:b/>
          <w:bCs w:val="0"/>
          <w:sz w:val="24"/>
        </w:rPr>
      </w:pPr>
      <w:r>
        <w:rPr>
          <w:rFonts w:hint="eastAsia" w:ascii="Times New Roman" w:hAnsi="Times New Roman"/>
          <w:b/>
          <w:bCs w:val="0"/>
          <w:sz w:val="24"/>
        </w:rPr>
        <w:t>④沿φ方向的水平移动U(x，y，φ)</w:t>
      </w:r>
    </w:p>
    <w:p>
      <w:pPr>
        <w:pStyle w:val="14"/>
        <w:overflowPunct w:val="0"/>
        <w:spacing w:line="360" w:lineRule="auto"/>
        <w:ind w:firstLine="960" w:firstLineChars="400"/>
        <w:rPr>
          <w:rFonts w:ascii="Times New Roman" w:hAnsi="Times New Roman"/>
          <w:sz w:val="24"/>
          <w:lang w:eastAsia="zh-CN"/>
        </w:rPr>
      </w:pPr>
      <w:r>
        <w:rPr>
          <w:rFonts w:hint="eastAsia" w:ascii="Times New Roman" w:hAnsi="Times New Roman"/>
          <w:position w:val="-30"/>
          <w:sz w:val="24"/>
          <w:lang w:eastAsia="zh-CN"/>
        </w:rPr>
        <w:object>
          <v:shape id="_x0000_i1033" o:spt="75" type="#_x0000_t75" style="height:33.35pt;width:319.3pt;" o:ole="t" filled="f" o:preferrelative="t" stroked="f" coordsize="21600,21600">
            <v:path/>
            <v:fill on="f" focussize="0,0"/>
            <v:stroke on="f" joinstyle="miter"/>
            <v:imagedata r:id="rId133" o:title=""/>
            <o:lock v:ext="edit" aspectratio="t"/>
            <w10:wrap type="none"/>
            <w10:anchorlock/>
          </v:shape>
          <o:OLEObject Type="Embed" ProgID="Equation.KSEE3" ShapeID="_x0000_i1033" DrawAspect="Content" ObjectID="_1468075733" r:id="rId132">
            <o:LockedField>false</o:LockedField>
          </o:OLEObject>
        </w:object>
      </w:r>
    </w:p>
    <w:p>
      <w:pPr>
        <w:pStyle w:val="14"/>
        <w:overflowPunct w:val="0"/>
        <w:spacing w:line="360" w:lineRule="auto"/>
        <w:ind w:firstLine="482" w:firstLineChars="200"/>
        <w:rPr>
          <w:rFonts w:ascii="Times New Roman" w:hAnsi="Times New Roman"/>
          <w:b/>
          <w:bCs w:val="0"/>
          <w:sz w:val="24"/>
        </w:rPr>
      </w:pPr>
      <w:r>
        <w:rPr>
          <w:rFonts w:hint="eastAsia" w:ascii="Times New Roman" w:hAnsi="Times New Roman"/>
          <w:b/>
          <w:bCs w:val="0"/>
          <w:sz w:val="24"/>
        </w:rPr>
        <w:t>⑤沿φ方向的水平变形ε(x，y，φ)</w:t>
      </w:r>
    </w:p>
    <w:p>
      <w:pPr>
        <w:ind w:firstLine="1680" w:firstLineChars="700"/>
      </w:pPr>
      <w:r>
        <w:rPr>
          <w:rFonts w:hint="eastAsia" w:hAnsi="Times New Roman" w:eastAsia="宋体"/>
          <w:position w:val="-30"/>
          <w:lang w:eastAsia="zh-CN"/>
        </w:rPr>
        <w:object>
          <v:shape id="_x0000_i1034" o:spt="75" type="#_x0000_t75" style="height:36pt;width:334.65pt;" o:ole="t" filled="f" o:preferrelative="t" stroked="f" coordsize="21600,21600">
            <v:path/>
            <v:fill on="f" focussize="0,0"/>
            <v:stroke on="f" joinstyle="miter"/>
            <v:imagedata r:id="rId135" o:title=""/>
            <o:lock v:ext="edit" aspectratio="t"/>
            <w10:wrap type="none"/>
            <w10:anchorlock/>
          </v:shape>
          <o:OLEObject Type="Embed" ProgID="Equation.KSEE3" ShapeID="_x0000_i1034" DrawAspect="Content" ObjectID="_1468075734" r:id="rId134">
            <o:LockedField>false</o:LockedField>
          </o:OLEObject>
        </w:object>
      </w:r>
    </w:p>
    <w:p>
      <w:pPr>
        <w:ind w:firstLine="480"/>
      </w:pPr>
    </w:p>
    <w:p>
      <w:pPr>
        <w:pStyle w:val="14"/>
        <w:overflowPunct w:val="0"/>
        <w:spacing w:line="360" w:lineRule="auto"/>
        <w:ind w:firstLine="482" w:firstLineChars="200"/>
        <w:rPr>
          <w:rFonts w:ascii="Times New Roman" w:hAnsi="Times New Roman"/>
          <w:b/>
          <w:bCs w:val="0"/>
          <w:sz w:val="24"/>
        </w:rPr>
      </w:pPr>
      <w:r>
        <w:rPr>
          <w:rFonts w:hint="eastAsia" w:ascii="Times New Roman" w:hAnsi="Times New Roman"/>
          <w:b/>
          <w:bCs w:val="0"/>
          <w:sz w:val="24"/>
        </w:rPr>
        <w:t>（3）最大值预计（充分采动时）：</w:t>
      </w:r>
    </w:p>
    <w:p>
      <w:pPr>
        <w:pStyle w:val="14"/>
        <w:overflowPunct w:val="0"/>
        <w:spacing w:line="360" w:lineRule="auto"/>
        <w:ind w:firstLine="480" w:firstLineChars="200"/>
        <w:rPr>
          <w:rFonts w:ascii="Times New Roman" w:hAnsi="Times New Roman"/>
          <w:sz w:val="24"/>
        </w:rPr>
      </w:pPr>
      <w:r>
        <w:rPr>
          <w:rFonts w:hint="eastAsia" w:ascii="Times New Roman" w:hAnsi="Times New Roman"/>
          <w:sz w:val="24"/>
        </w:rPr>
        <w:t>地表最大下沉值，</w:t>
      </w:r>
      <w:r>
        <w:rPr>
          <w:rFonts w:hint="eastAsia" w:ascii="Times New Roman" w:hAnsi="Times New Roman"/>
          <w:position w:val="-12"/>
          <w:sz w:val="24"/>
        </w:rPr>
        <w:object>
          <v:shape id="_x0000_i1035" o:spt="75" type="#_x0000_t75" style="height:18pt;width:69.35pt;" o:ole="t" filled="f" o:preferrelative="t" stroked="f" coordsize="21600,21600">
            <v:path/>
            <v:fill on="f" focussize="0,0"/>
            <v:stroke on="f" joinstyle="miter"/>
            <v:imagedata r:id="rId137" o:title=""/>
            <o:lock v:ext="edit" aspectratio="t"/>
            <w10:wrap type="none"/>
            <w10:anchorlock/>
          </v:shape>
          <o:OLEObject Type="Embed" ProgID="Equation.KSEE3" ShapeID="_x0000_i1035" DrawAspect="Content" ObjectID="_1468075735" r:id="rId136">
            <o:LockedField>false</o:LockedField>
          </o:OLEObject>
        </w:object>
      </w:r>
      <w:r>
        <w:rPr>
          <w:rFonts w:hint="eastAsia" w:ascii="Times New Roman" w:hAnsi="Times New Roman"/>
          <w:sz w:val="24"/>
        </w:rPr>
        <w:t>，mm；</w:t>
      </w:r>
    </w:p>
    <w:p>
      <w:pPr>
        <w:pStyle w:val="14"/>
        <w:overflowPunct w:val="0"/>
        <w:spacing w:line="360" w:lineRule="auto"/>
        <w:ind w:firstLine="480" w:firstLineChars="200"/>
        <w:rPr>
          <w:rFonts w:ascii="Times New Roman" w:hAnsi="Times New Roman"/>
          <w:sz w:val="24"/>
        </w:rPr>
      </w:pPr>
      <w:r>
        <w:rPr>
          <w:rFonts w:hint="eastAsia" w:ascii="Times New Roman" w:hAnsi="Times New Roman"/>
          <w:sz w:val="24"/>
        </w:rPr>
        <w:t>最大倾斜值，</w:t>
      </w:r>
      <w:r>
        <w:rPr>
          <w:rFonts w:hint="eastAsia" w:ascii="Times New Roman" w:hAnsi="Times New Roman"/>
          <w:position w:val="-12"/>
          <w:sz w:val="24"/>
        </w:rPr>
        <w:object>
          <v:shape id="_x0000_i1036" o:spt="75" type="#_x0000_t75" style="height:18pt;width:51.35pt;" o:ole="t" filled="f" o:preferrelative="t" stroked="f" coordsize="21600,21600">
            <v:path/>
            <v:fill on="f" focussize="0,0"/>
            <v:stroke on="f" joinstyle="miter"/>
            <v:imagedata r:id="rId139" o:title=""/>
            <o:lock v:ext="edit" aspectratio="t"/>
            <w10:wrap type="none"/>
            <w10:anchorlock/>
          </v:shape>
          <o:OLEObject Type="Embed" ProgID="Equation.KSEE3" ShapeID="_x0000_i1036" DrawAspect="Content" ObjectID="_1468075736" r:id="rId138">
            <o:LockedField>false</o:LockedField>
          </o:OLEObject>
        </w:object>
      </w:r>
      <w:r>
        <w:rPr>
          <w:rFonts w:hint="eastAsia" w:ascii="Times New Roman" w:hAnsi="Times New Roman"/>
          <w:sz w:val="24"/>
        </w:rPr>
        <w:t>，mm/m；</w:t>
      </w:r>
    </w:p>
    <w:p>
      <w:pPr>
        <w:pStyle w:val="14"/>
        <w:overflowPunct w:val="0"/>
        <w:spacing w:line="360" w:lineRule="auto"/>
        <w:ind w:firstLine="480" w:firstLineChars="200"/>
        <w:rPr>
          <w:rFonts w:ascii="Times New Roman" w:hAnsi="Times New Roman"/>
          <w:sz w:val="24"/>
        </w:rPr>
      </w:pPr>
      <w:r>
        <w:rPr>
          <w:rFonts w:hint="eastAsia" w:ascii="Times New Roman" w:hAnsi="Times New Roman"/>
          <w:sz w:val="24"/>
        </w:rPr>
        <w:t>最大曲率值，</w:t>
      </w:r>
      <w:r>
        <w:rPr>
          <w:rFonts w:hint="eastAsia" w:ascii="Times New Roman" w:hAnsi="Times New Roman"/>
          <w:position w:val="-12"/>
          <w:sz w:val="24"/>
        </w:rPr>
        <w:object>
          <v:shape id="_x0000_i1037" o:spt="75" type="#_x0000_t75" style="height:19.35pt;width:78pt;" o:ole="t" filled="f" o:preferrelative="t" stroked="f" coordsize="21600,21600">
            <v:path/>
            <v:fill on="f" focussize="0,0"/>
            <v:stroke on="f" joinstyle="miter"/>
            <v:imagedata r:id="rId141" o:title=""/>
            <o:lock v:ext="edit" aspectratio="t"/>
            <w10:wrap type="none"/>
            <w10:anchorlock/>
          </v:shape>
          <o:OLEObject Type="Embed" ProgID="Equation.KSEE3" ShapeID="_x0000_i1037" DrawAspect="Content" ObjectID="_1468075737" r:id="rId140">
            <o:LockedField>false</o:LockedField>
          </o:OLEObject>
        </w:object>
      </w:r>
      <w:r>
        <w:rPr>
          <w:rFonts w:hint="eastAsia" w:ascii="Times New Roman" w:hAnsi="Times New Roman"/>
          <w:sz w:val="24"/>
        </w:rPr>
        <w:t>，10</w:t>
      </w:r>
      <w:r>
        <w:rPr>
          <w:rFonts w:hint="eastAsia" w:ascii="Times New Roman" w:hAnsi="Times New Roman"/>
          <w:sz w:val="24"/>
          <w:vertAlign w:val="superscript"/>
        </w:rPr>
        <w:t>-3</w:t>
      </w:r>
      <w:r>
        <w:rPr>
          <w:rFonts w:hint="eastAsia" w:ascii="Times New Roman" w:hAnsi="Times New Roman"/>
          <w:sz w:val="24"/>
        </w:rPr>
        <w:t>/m；</w:t>
      </w:r>
    </w:p>
    <w:p>
      <w:pPr>
        <w:pStyle w:val="14"/>
        <w:overflowPunct w:val="0"/>
        <w:spacing w:line="360" w:lineRule="auto"/>
        <w:ind w:firstLine="480" w:firstLineChars="200"/>
        <w:rPr>
          <w:rFonts w:ascii="Times New Roman" w:hAnsi="Times New Roman"/>
          <w:sz w:val="24"/>
        </w:rPr>
      </w:pPr>
      <w:r>
        <w:rPr>
          <w:rFonts w:hint="eastAsia" w:ascii="Times New Roman" w:hAnsi="Times New Roman"/>
          <w:sz w:val="24"/>
        </w:rPr>
        <w:t>最大水平移动，</w:t>
      </w:r>
      <w:r>
        <w:rPr>
          <w:rFonts w:hint="eastAsia" w:ascii="Times New Roman" w:hAnsi="Times New Roman"/>
          <w:position w:val="-12"/>
          <w:sz w:val="24"/>
        </w:rPr>
        <w:object>
          <v:shape id="_x0000_i1038" o:spt="75" type="#_x0000_t75" style="height:18pt;width:48pt;" o:ole="t" filled="f" o:preferrelative="t" stroked="f" coordsize="21600,21600">
            <v:path/>
            <v:fill on="f" focussize="0,0"/>
            <v:stroke on="f" joinstyle="miter"/>
            <v:imagedata r:id="rId143" o:title=""/>
            <o:lock v:ext="edit" aspectratio="t"/>
            <w10:wrap type="none"/>
            <w10:anchorlock/>
          </v:shape>
          <o:OLEObject Type="Embed" ProgID="Equation.KSEE3" ShapeID="_x0000_i1038" DrawAspect="Content" ObjectID="_1468075738" r:id="rId142">
            <o:LockedField>false</o:LockedField>
          </o:OLEObject>
        </w:object>
      </w:r>
      <w:r>
        <w:rPr>
          <w:rFonts w:hint="eastAsia" w:ascii="Times New Roman" w:hAnsi="Times New Roman"/>
          <w:sz w:val="24"/>
        </w:rPr>
        <w:t>，mm；</w:t>
      </w:r>
    </w:p>
    <w:p>
      <w:pPr>
        <w:pStyle w:val="14"/>
        <w:overflowPunct w:val="0"/>
        <w:spacing w:line="360" w:lineRule="auto"/>
        <w:ind w:firstLine="480" w:firstLineChars="200"/>
        <w:rPr>
          <w:rFonts w:ascii="Times New Roman" w:hAnsi="Times New Roman"/>
          <w:sz w:val="24"/>
        </w:rPr>
      </w:pPr>
      <w:r>
        <w:rPr>
          <w:rFonts w:hint="eastAsia" w:ascii="Times New Roman" w:hAnsi="Times New Roman"/>
          <w:sz w:val="24"/>
        </w:rPr>
        <w:t>最大水平变形值，</w:t>
      </w:r>
      <w:r>
        <w:rPr>
          <w:rFonts w:hint="eastAsia" w:ascii="Times New Roman" w:hAnsi="Times New Roman"/>
          <w:position w:val="-12"/>
          <w:sz w:val="24"/>
        </w:rPr>
        <w:object>
          <v:shape id="_x0000_i1039" o:spt="75" type="#_x0000_t75" style="height:18pt;width:80.65pt;" o:ole="t" filled="f" o:preferrelative="t" stroked="f" coordsize="21600,21600">
            <v:path/>
            <v:fill on="f" focussize="0,0"/>
            <v:stroke on="f" joinstyle="miter"/>
            <v:imagedata r:id="rId145" o:title=""/>
            <o:lock v:ext="edit" aspectratio="t"/>
            <w10:wrap type="none"/>
            <w10:anchorlock/>
          </v:shape>
          <o:OLEObject Type="Embed" ProgID="Equation.KSEE3" ShapeID="_x0000_i1039" DrawAspect="Content" ObjectID="_1468075739" r:id="rId144">
            <o:LockedField>false</o:LockedField>
          </o:OLEObject>
        </w:object>
      </w:r>
      <w:r>
        <w:rPr>
          <w:rFonts w:hint="eastAsia" w:ascii="Times New Roman" w:hAnsi="Times New Roman"/>
          <w:sz w:val="24"/>
        </w:rPr>
        <w:t>，mm/m；</w:t>
      </w:r>
    </w:p>
    <w:p>
      <w:pPr>
        <w:pStyle w:val="14"/>
        <w:overflowPunct w:val="0"/>
        <w:spacing w:line="360" w:lineRule="auto"/>
        <w:ind w:firstLine="480" w:firstLineChars="200"/>
        <w:rPr>
          <w:rFonts w:ascii="Times New Roman" w:hAnsi="Times New Roman"/>
          <w:sz w:val="24"/>
        </w:rPr>
      </w:pPr>
      <w:r>
        <w:rPr>
          <w:rFonts w:hint="eastAsia" w:ascii="Times New Roman" w:hAnsi="Times New Roman"/>
          <w:sz w:val="24"/>
        </w:rPr>
        <w:t>式中：m-煤层开采厚度，mm；</w:t>
      </w:r>
    </w:p>
    <w:p>
      <w:pPr>
        <w:pStyle w:val="14"/>
        <w:overflowPunct w:val="0"/>
        <w:spacing w:line="360" w:lineRule="auto"/>
        <w:ind w:firstLine="1200" w:firstLineChars="500"/>
        <w:rPr>
          <w:rFonts w:ascii="Times New Roman" w:hAnsi="Times New Roman"/>
          <w:sz w:val="24"/>
        </w:rPr>
      </w:pPr>
      <w:r>
        <w:rPr>
          <w:rFonts w:hint="eastAsia" w:ascii="Times New Roman" w:hAnsi="Times New Roman"/>
          <w:sz w:val="24"/>
        </w:rPr>
        <w:t>α-煤层倾角，°；</w:t>
      </w:r>
    </w:p>
    <w:p>
      <w:pPr>
        <w:pStyle w:val="14"/>
        <w:overflowPunct w:val="0"/>
        <w:spacing w:line="360" w:lineRule="auto"/>
        <w:ind w:firstLine="1200" w:firstLineChars="500"/>
        <w:rPr>
          <w:rFonts w:ascii="Times New Roman" w:hAnsi="Times New Roman"/>
          <w:sz w:val="24"/>
        </w:rPr>
      </w:pPr>
      <w:r>
        <w:rPr>
          <w:rFonts w:hint="eastAsia" w:ascii="Times New Roman" w:hAnsi="Times New Roman"/>
          <w:sz w:val="24"/>
        </w:rPr>
        <w:t>q-下沉系数；</w:t>
      </w:r>
    </w:p>
    <w:p>
      <w:pPr>
        <w:pStyle w:val="14"/>
        <w:overflowPunct w:val="0"/>
        <w:spacing w:line="360" w:lineRule="auto"/>
        <w:ind w:firstLine="1200" w:firstLineChars="500"/>
        <w:rPr>
          <w:rFonts w:ascii="Times New Roman" w:hAnsi="Times New Roman"/>
          <w:sz w:val="24"/>
        </w:rPr>
      </w:pPr>
      <w:r>
        <w:rPr>
          <w:rFonts w:hint="eastAsia" w:ascii="Times New Roman" w:hAnsi="Times New Roman"/>
          <w:sz w:val="24"/>
        </w:rPr>
        <w:t>b-水平移动系数；</w:t>
      </w:r>
    </w:p>
    <w:p>
      <w:pPr>
        <w:pStyle w:val="14"/>
        <w:overflowPunct w:val="0"/>
        <w:spacing w:line="360" w:lineRule="auto"/>
        <w:ind w:firstLine="1200" w:firstLineChars="500"/>
        <w:rPr>
          <w:rFonts w:ascii="Times New Roman" w:hAnsi="Times New Roman"/>
          <w:sz w:val="24"/>
        </w:rPr>
      </w:pPr>
      <w:r>
        <w:rPr>
          <w:rFonts w:hint="eastAsia" w:ascii="Times New Roman" w:hAnsi="Times New Roman"/>
          <w:sz w:val="24"/>
        </w:rPr>
        <w:t>r-主要影响半径，m，</w:t>
      </w:r>
      <w:r>
        <w:rPr>
          <w:rFonts w:hint="eastAsia" w:ascii="Times New Roman" w:hAnsi="Times New Roman"/>
          <w:position w:val="-10"/>
          <w:sz w:val="24"/>
        </w:rPr>
        <w:object>
          <v:shape id="_x0000_i1040" o:spt="75" type="#_x0000_t75" style="height:15.35pt;width:57.35pt;" o:ole="t" filled="f" o:preferrelative="t" stroked="f" coordsize="21600,21600">
            <v:path/>
            <v:fill on="f" focussize="0,0"/>
            <v:stroke on="f" joinstyle="miter"/>
            <v:imagedata r:id="rId147" o:title=""/>
            <o:lock v:ext="edit" aspectratio="t"/>
            <w10:wrap type="none"/>
            <w10:anchorlock/>
          </v:shape>
          <o:OLEObject Type="Embed" ProgID="Equation.KSEE3" ShapeID="_x0000_i1040" DrawAspect="Content" ObjectID="_1468075740" r:id="rId146">
            <o:LockedField>false</o:LockedField>
          </o:OLEObject>
        </w:object>
      </w:r>
      <w:r>
        <w:rPr>
          <w:rFonts w:hint="eastAsia" w:ascii="Times New Roman" w:hAnsi="Times New Roman"/>
          <w:sz w:val="24"/>
        </w:rPr>
        <w:t>；</w:t>
      </w:r>
    </w:p>
    <w:p>
      <w:pPr>
        <w:pStyle w:val="14"/>
        <w:overflowPunct w:val="0"/>
        <w:spacing w:line="360" w:lineRule="auto"/>
        <w:ind w:firstLine="1200" w:firstLineChars="500"/>
        <w:rPr>
          <w:rFonts w:ascii="Times New Roman" w:hAnsi="Times New Roman"/>
          <w:sz w:val="24"/>
        </w:rPr>
      </w:pPr>
      <w:r>
        <w:rPr>
          <w:rFonts w:hint="eastAsia" w:ascii="Times New Roman" w:hAnsi="Times New Roman"/>
          <w:sz w:val="24"/>
        </w:rPr>
        <w:t>H-煤层埋深，m。</w:t>
      </w:r>
    </w:p>
    <w:p>
      <w:pPr>
        <w:pStyle w:val="14"/>
        <w:overflowPunct w:val="0"/>
        <w:spacing w:line="360" w:lineRule="auto"/>
        <w:ind w:firstLine="482" w:firstLineChars="200"/>
        <w:rPr>
          <w:rFonts w:ascii="Times New Roman" w:hAnsi="Times New Roman"/>
          <w:b/>
          <w:bCs w:val="0"/>
          <w:sz w:val="24"/>
        </w:rPr>
      </w:pPr>
      <w:r>
        <w:rPr>
          <w:rFonts w:hint="eastAsia" w:ascii="Times New Roman" w:hAnsi="Times New Roman"/>
          <w:b/>
          <w:bCs w:val="0"/>
          <w:sz w:val="24"/>
        </w:rPr>
        <w:t>（4）动态预计</w:t>
      </w:r>
    </w:p>
    <w:p>
      <w:pPr>
        <w:spacing w:line="360" w:lineRule="auto"/>
        <w:ind w:firstLine="480" w:firstLineChars="200"/>
        <w:rPr>
          <w:rFonts w:hAnsi="Times New Roman" w:eastAsia="宋体"/>
          <w:szCs w:val="24"/>
          <w:lang w:eastAsia="zh-CN"/>
        </w:rPr>
      </w:pPr>
      <w:r>
        <w:rPr>
          <w:rFonts w:hint="eastAsia" w:hAnsi="Times New Roman" w:eastAsia="宋体"/>
          <w:szCs w:val="24"/>
          <w:lang w:eastAsia="zh-CN"/>
        </w:rPr>
        <w:t>动态模型必须考虑开采沉陷空间—时间的统一性。考虑开采在任意时刻引起地表的移动和变形情况，给出煤层开采引起地表沉陷的一些动态指标，评价时动态预计直接用开采沉陷软件进行计算。</w:t>
      </w:r>
    </w:p>
    <w:p>
      <w:pPr>
        <w:pStyle w:val="8"/>
        <w:ind w:firstLine="482" w:firstLineChars="200"/>
        <w:rPr>
          <w:bCs/>
        </w:rPr>
      </w:pPr>
      <w:bookmarkStart w:id="258" w:name="_Toc233625412"/>
      <w:bookmarkStart w:id="259" w:name="_Toc233445383"/>
      <w:r>
        <w:rPr>
          <w:rFonts w:hint="eastAsia" w:ascii="Times New Roman" w:hAnsi="Times New Roman"/>
          <w:szCs w:val="24"/>
          <w:lang w:eastAsia="zh-CN"/>
        </w:rPr>
        <w:t>4.5.2.2地表沉陷预测参数</w:t>
      </w:r>
    </w:p>
    <w:p>
      <w:pPr>
        <w:pStyle w:val="14"/>
        <w:overflowPunct w:val="0"/>
        <w:spacing w:line="360" w:lineRule="auto"/>
        <w:ind w:firstLine="480" w:firstLineChars="200"/>
        <w:rPr>
          <w:rFonts w:ascii="Times New Roman" w:hAnsi="Times New Roman"/>
          <w:sz w:val="24"/>
        </w:rPr>
      </w:pPr>
      <w:r>
        <w:rPr>
          <w:rFonts w:hint="eastAsia" w:ascii="Times New Roman" w:hAnsi="Times New Roman"/>
          <w:sz w:val="24"/>
        </w:rPr>
        <w:t>采用“开采沉陷预测软件”预测地表移动变形时，需输入参数有下沉系数q、主要影响角正切tgβ，水平移动系数b，拐点移动距S 及影响传播角θ。</w:t>
      </w:r>
    </w:p>
    <w:p>
      <w:pPr>
        <w:pStyle w:val="14"/>
        <w:overflowPunct w:val="0"/>
        <w:spacing w:line="360" w:lineRule="auto"/>
        <w:ind w:firstLine="480" w:firstLineChars="200"/>
        <w:rPr>
          <w:rFonts w:ascii="Times New Roman" w:hAnsi="Times New Roman"/>
          <w:sz w:val="24"/>
        </w:rPr>
      </w:pPr>
      <w:r>
        <w:rPr>
          <w:rFonts w:hint="eastAsia" w:ascii="Times New Roman" w:hAnsi="Times New Roman"/>
          <w:sz w:val="24"/>
        </w:rPr>
        <w:t>矿内的</w:t>
      </w:r>
      <w:r>
        <w:rPr>
          <w:rFonts w:hint="eastAsia" w:ascii="Times New Roman" w:hAnsi="Times New Roman"/>
          <w:sz w:val="24"/>
          <w:lang w:eastAsia="zh-CN"/>
        </w:rPr>
        <w:t>K</w:t>
      </w:r>
      <w:r>
        <w:rPr>
          <w:rFonts w:hint="eastAsia" w:ascii="Times New Roman" w:hAnsi="Times New Roman"/>
          <w:sz w:val="24"/>
          <w:vertAlign w:val="subscript"/>
          <w:lang w:eastAsia="zh-CN"/>
        </w:rPr>
        <w:t>6</w:t>
      </w:r>
      <w:r>
        <w:rPr>
          <w:rFonts w:hint="eastAsia" w:ascii="Times New Roman" w:hAnsi="Times New Roman"/>
          <w:sz w:val="24"/>
          <w:lang w:eastAsia="zh-CN"/>
        </w:rPr>
        <w:t>、K</w:t>
      </w:r>
      <w:r>
        <w:rPr>
          <w:rFonts w:hint="eastAsia" w:ascii="Times New Roman" w:hAnsi="Times New Roman"/>
          <w:sz w:val="24"/>
          <w:vertAlign w:val="subscript"/>
          <w:lang w:eastAsia="zh-CN"/>
        </w:rPr>
        <w:t>5-1</w:t>
      </w:r>
      <w:r>
        <w:rPr>
          <w:rFonts w:hint="eastAsia" w:ascii="Times New Roman" w:hAnsi="Times New Roman"/>
          <w:sz w:val="24"/>
          <w:lang w:eastAsia="zh-CN"/>
        </w:rPr>
        <w:t>、K</w:t>
      </w:r>
      <w:r>
        <w:rPr>
          <w:rFonts w:hint="eastAsia" w:ascii="Times New Roman" w:hAnsi="Times New Roman"/>
          <w:sz w:val="24"/>
          <w:vertAlign w:val="subscript"/>
          <w:lang w:eastAsia="zh-CN"/>
        </w:rPr>
        <w:t>5</w:t>
      </w:r>
      <w:r>
        <w:rPr>
          <w:rFonts w:hint="eastAsia" w:ascii="Times New Roman" w:hAnsi="Times New Roman"/>
          <w:sz w:val="24"/>
          <w:lang w:eastAsia="zh-CN"/>
        </w:rPr>
        <w:t>煤层</w:t>
      </w:r>
      <w:r>
        <w:rPr>
          <w:rFonts w:hint="eastAsia" w:ascii="Times New Roman" w:hAnsi="Times New Roman"/>
          <w:sz w:val="24"/>
        </w:rPr>
        <w:t>，其上覆岩层属以</w:t>
      </w:r>
      <w:r>
        <w:rPr>
          <w:rFonts w:hint="eastAsia" w:ascii="Times New Roman" w:hAnsi="Times New Roman"/>
          <w:sz w:val="24"/>
          <w:lang w:eastAsia="zh-CN"/>
        </w:rPr>
        <w:t>粉</w:t>
      </w:r>
      <w:r>
        <w:rPr>
          <w:rFonts w:hint="eastAsia" w:ascii="Times New Roman" w:hAnsi="Times New Roman"/>
          <w:sz w:val="24"/>
        </w:rPr>
        <w:t>砂质泥岩、</w:t>
      </w:r>
      <w:r>
        <w:rPr>
          <w:rFonts w:hint="eastAsia" w:ascii="Times New Roman" w:hAnsi="Times New Roman"/>
          <w:sz w:val="24"/>
          <w:lang w:eastAsia="zh-CN"/>
        </w:rPr>
        <w:t>泥质</w:t>
      </w:r>
      <w:r>
        <w:rPr>
          <w:rFonts w:hint="eastAsia" w:ascii="Times New Roman" w:hAnsi="Times New Roman"/>
          <w:sz w:val="24"/>
        </w:rPr>
        <w:t>砂岩</w:t>
      </w:r>
      <w:r>
        <w:rPr>
          <w:rFonts w:hint="eastAsia" w:ascii="Times New Roman" w:hAnsi="Times New Roman"/>
          <w:sz w:val="24"/>
          <w:lang w:eastAsia="zh-CN"/>
        </w:rPr>
        <w:t>和炭质泥岩</w:t>
      </w:r>
      <w:r>
        <w:rPr>
          <w:rFonts w:hint="eastAsia" w:ascii="Times New Roman" w:hAnsi="Times New Roman"/>
          <w:sz w:val="24"/>
        </w:rPr>
        <w:t>为主的中硬岩石，采用全部垮落法处理采空区。根据矿体覆岩性质及开采条件，及《建筑物、水体、铁路及主要井巷煤柱留设与压煤开采规范》（2017年5月）中“岩性与预测参数相关关系表”确定。</w:t>
      </w:r>
    </w:p>
    <w:p>
      <w:pPr>
        <w:spacing w:line="360" w:lineRule="auto"/>
        <w:ind w:firstLine="480"/>
        <w:rPr>
          <w:rFonts w:hAnsi="Times New Roman" w:eastAsia="宋体"/>
          <w:bCs/>
          <w:kern w:val="2"/>
          <w:szCs w:val="24"/>
        </w:rPr>
      </w:pPr>
      <w:r>
        <w:rPr>
          <w:rFonts w:hint="eastAsia" w:hAnsi="Times New Roman" w:eastAsia="宋体"/>
          <w:bCs/>
          <w:kern w:val="2"/>
          <w:szCs w:val="24"/>
          <w:lang w:eastAsia="zh-CN"/>
        </w:rPr>
        <w:t>七里峡</w:t>
      </w:r>
      <w:r>
        <w:rPr>
          <w:rFonts w:hint="eastAsia" w:hAnsi="Times New Roman" w:eastAsia="宋体"/>
          <w:bCs/>
          <w:kern w:val="2"/>
          <w:szCs w:val="24"/>
        </w:rPr>
        <w:t>煤矿地表形态变化预测模式输入参数见下表。</w:t>
      </w:r>
    </w:p>
    <w:p>
      <w:pPr>
        <w:keepNext/>
        <w:spacing w:line="360" w:lineRule="auto"/>
        <w:jc w:val="center"/>
        <w:rPr>
          <w:rFonts w:hAnsi="Times New Roman" w:eastAsia="宋体"/>
          <w:b/>
          <w:kern w:val="2"/>
          <w:sz w:val="21"/>
          <w:szCs w:val="21"/>
        </w:rPr>
      </w:pPr>
      <w:r>
        <w:rPr>
          <w:rFonts w:hint="eastAsia" w:hAnsi="Times New Roman" w:eastAsia="宋体"/>
          <w:b/>
          <w:kern w:val="2"/>
          <w:sz w:val="21"/>
          <w:szCs w:val="21"/>
        </w:rPr>
        <w:t>表</w:t>
      </w:r>
      <w:r>
        <w:rPr>
          <w:rFonts w:hint="eastAsia" w:hAnsi="Times New Roman" w:eastAsia="宋体"/>
          <w:b/>
          <w:kern w:val="2"/>
          <w:sz w:val="21"/>
          <w:szCs w:val="21"/>
          <w:lang w:eastAsia="zh-CN"/>
        </w:rPr>
        <w:t xml:space="preserve">4.5-1 </w:t>
      </w:r>
      <w:r>
        <w:rPr>
          <w:rFonts w:hint="eastAsia" w:hAnsi="Times New Roman" w:eastAsia="宋体"/>
          <w:b/>
          <w:kern w:val="2"/>
          <w:sz w:val="21"/>
          <w:szCs w:val="21"/>
        </w:rPr>
        <w:t>地表移动变形预计参数</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0"/>
        <w:gridCol w:w="1900"/>
        <w:gridCol w:w="830"/>
        <w:gridCol w:w="1017"/>
        <w:gridCol w:w="2373"/>
        <w:gridCol w:w="25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0"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序号</w:t>
            </w:r>
          </w:p>
        </w:tc>
        <w:tc>
          <w:tcPr>
            <w:tcW w:w="1017"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参数</w:t>
            </w:r>
          </w:p>
        </w:tc>
        <w:tc>
          <w:tcPr>
            <w:tcW w:w="444"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符号</w:t>
            </w:r>
          </w:p>
        </w:tc>
        <w:tc>
          <w:tcPr>
            <w:tcW w:w="544"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单位</w:t>
            </w:r>
          </w:p>
        </w:tc>
        <w:tc>
          <w:tcPr>
            <w:tcW w:w="1270"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参数值</w:t>
            </w:r>
          </w:p>
        </w:tc>
        <w:tc>
          <w:tcPr>
            <w:tcW w:w="1345"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w:t>
            </w:r>
          </w:p>
        </w:tc>
        <w:tc>
          <w:tcPr>
            <w:tcW w:w="101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下沉系数</w:t>
            </w:r>
          </w:p>
        </w:tc>
        <w:tc>
          <w:tcPr>
            <w:tcW w:w="44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q</w:t>
            </w:r>
          </w:p>
        </w:tc>
        <w:tc>
          <w:tcPr>
            <w:tcW w:w="54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127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rPr>
              <w:t>0.</w:t>
            </w:r>
            <w:r>
              <w:rPr>
                <w:rFonts w:hint="eastAsia" w:hAnsi="Times New Roman" w:eastAsia="宋体"/>
                <w:kern w:val="2"/>
                <w:sz w:val="21"/>
                <w:szCs w:val="21"/>
                <w:lang w:eastAsia="zh-CN"/>
              </w:rPr>
              <w:t>7</w:t>
            </w:r>
          </w:p>
        </w:tc>
        <w:tc>
          <w:tcPr>
            <w:tcW w:w="134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rPr>
              <w:t>一次重复采动取0.7</w:t>
            </w:r>
            <w:r>
              <w:rPr>
                <w:rFonts w:hint="eastAsia" w:hAnsi="Times New Roman" w:eastAsia="宋体"/>
                <w:kern w:val="2"/>
                <w:sz w:val="21"/>
                <w:szCs w:val="21"/>
                <w:lang w:eastAsia="zh-CN"/>
              </w:rPr>
              <w:t>5</w:t>
            </w:r>
          </w:p>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二次重复采动取0.80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w:t>
            </w:r>
          </w:p>
        </w:tc>
        <w:tc>
          <w:tcPr>
            <w:tcW w:w="101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水平移动系数</w:t>
            </w:r>
          </w:p>
        </w:tc>
        <w:tc>
          <w:tcPr>
            <w:tcW w:w="44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bc</w:t>
            </w:r>
          </w:p>
        </w:tc>
        <w:tc>
          <w:tcPr>
            <w:tcW w:w="54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127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rPr>
              <w:t>0.</w:t>
            </w:r>
            <w:r>
              <w:rPr>
                <w:rFonts w:hint="eastAsia" w:hAnsi="Times New Roman" w:eastAsia="宋体"/>
                <w:kern w:val="2"/>
                <w:sz w:val="21"/>
                <w:szCs w:val="21"/>
                <w:lang w:eastAsia="zh-CN"/>
              </w:rPr>
              <w:t>3</w:t>
            </w:r>
          </w:p>
        </w:tc>
        <w:tc>
          <w:tcPr>
            <w:tcW w:w="134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3</w:t>
            </w:r>
          </w:p>
        </w:tc>
        <w:tc>
          <w:tcPr>
            <w:tcW w:w="101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主要影响正切</w:t>
            </w:r>
          </w:p>
        </w:tc>
        <w:tc>
          <w:tcPr>
            <w:tcW w:w="44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tgβ</w:t>
            </w:r>
          </w:p>
        </w:tc>
        <w:tc>
          <w:tcPr>
            <w:tcW w:w="54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127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1.92</w:t>
            </w:r>
          </w:p>
        </w:tc>
        <w:tc>
          <w:tcPr>
            <w:tcW w:w="134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rPr>
              <w:t>重复采动取2.</w:t>
            </w:r>
            <w:r>
              <w:rPr>
                <w:rFonts w:hint="eastAsia" w:hAnsi="Times New Roman" w:eastAsia="宋体"/>
                <w:kern w:val="2"/>
                <w:sz w:val="21"/>
                <w:szCs w:val="21"/>
                <w:lang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4</w:t>
            </w:r>
          </w:p>
        </w:tc>
        <w:tc>
          <w:tcPr>
            <w:tcW w:w="101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拐点偏移距</w:t>
            </w:r>
          </w:p>
        </w:tc>
        <w:tc>
          <w:tcPr>
            <w:tcW w:w="44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S</w:t>
            </w:r>
          </w:p>
        </w:tc>
        <w:tc>
          <w:tcPr>
            <w:tcW w:w="54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m</w:t>
            </w:r>
          </w:p>
        </w:tc>
        <w:tc>
          <w:tcPr>
            <w:tcW w:w="127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0.2H</w:t>
            </w:r>
          </w:p>
        </w:tc>
        <w:tc>
          <w:tcPr>
            <w:tcW w:w="134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重复采动取0.1</w:t>
            </w:r>
            <w:r>
              <w:rPr>
                <w:rFonts w:hint="eastAsia" w:hAnsi="Times New Roman" w:eastAsia="宋体"/>
                <w:kern w:val="2"/>
                <w:sz w:val="21"/>
                <w:szCs w:val="21"/>
                <w:lang w:eastAsia="zh-CN"/>
              </w:rPr>
              <w:t>2</w:t>
            </w:r>
            <w:r>
              <w:rPr>
                <w:rFonts w:hint="eastAsia" w:hAnsi="Times New Roman" w:eastAsia="宋体"/>
                <w:kern w:val="2"/>
                <w:sz w:val="21"/>
                <w:szCs w:val="21"/>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5</w:t>
            </w:r>
          </w:p>
        </w:tc>
        <w:tc>
          <w:tcPr>
            <w:tcW w:w="101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影响传播角</w:t>
            </w:r>
          </w:p>
        </w:tc>
        <w:tc>
          <w:tcPr>
            <w:tcW w:w="44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θ</w:t>
            </w:r>
          </w:p>
        </w:tc>
        <w:tc>
          <w:tcPr>
            <w:tcW w:w="54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deg</w:t>
            </w:r>
          </w:p>
        </w:tc>
        <w:tc>
          <w:tcPr>
            <w:tcW w:w="127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90°-0.68α</w:t>
            </w:r>
          </w:p>
        </w:tc>
        <w:tc>
          <w:tcPr>
            <w:tcW w:w="134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取平均倾角</w:t>
            </w:r>
          </w:p>
        </w:tc>
      </w:tr>
    </w:tbl>
    <w:p>
      <w:pPr>
        <w:pStyle w:val="8"/>
        <w:ind w:firstLine="482" w:firstLineChars="200"/>
        <w:rPr>
          <w:bCs/>
        </w:rPr>
      </w:pPr>
      <w:r>
        <w:rPr>
          <w:rFonts w:hint="eastAsia" w:ascii="Times New Roman" w:hAnsi="Times New Roman"/>
          <w:szCs w:val="24"/>
          <w:lang w:eastAsia="zh-CN"/>
        </w:rPr>
        <w:t>4.5.2.3地表沉陷预测方案</w:t>
      </w:r>
    </w:p>
    <w:p>
      <w:pPr>
        <w:pStyle w:val="14"/>
        <w:overflowPunct w:val="0"/>
        <w:spacing w:line="360" w:lineRule="auto"/>
        <w:ind w:firstLine="480" w:firstLineChars="200"/>
        <w:rPr>
          <w:rFonts w:ascii="Times New Roman" w:hAnsi="Times New Roman"/>
          <w:sz w:val="24"/>
        </w:rPr>
      </w:pPr>
      <w:r>
        <w:rPr>
          <w:rFonts w:hint="eastAsia" w:ascii="Times New Roman" w:hAnsi="Times New Roman"/>
          <w:sz w:val="24"/>
        </w:rPr>
        <w:t>根据工程分析，</w:t>
      </w:r>
      <w:r>
        <w:rPr>
          <w:rFonts w:hint="eastAsia" w:ascii="Times New Roman" w:hAnsi="Times New Roman"/>
          <w:sz w:val="24"/>
          <w:lang w:eastAsia="zh-CN"/>
        </w:rPr>
        <w:t>七里峡</w:t>
      </w:r>
      <w:r>
        <w:rPr>
          <w:rFonts w:hint="eastAsia" w:ascii="Times New Roman" w:hAnsi="Times New Roman"/>
          <w:sz w:val="24"/>
        </w:rPr>
        <w:t>煤矿全井田共划分</w:t>
      </w:r>
      <w:r>
        <w:rPr>
          <w:rFonts w:hint="eastAsia" w:ascii="Times New Roman" w:hAnsi="Times New Roman"/>
          <w:sz w:val="24"/>
          <w:lang w:eastAsia="zh-CN"/>
        </w:rPr>
        <w:t>3</w:t>
      </w:r>
      <w:r>
        <w:rPr>
          <w:rFonts w:hint="eastAsia" w:ascii="Times New Roman" w:hAnsi="Times New Roman"/>
          <w:sz w:val="24"/>
        </w:rPr>
        <w:t>个采区开采。矿井共划分1个水平线，即+200水平，首采已采区。</w:t>
      </w:r>
    </w:p>
    <w:p>
      <w:pPr>
        <w:pStyle w:val="14"/>
        <w:overflowPunct w:val="0"/>
        <w:spacing w:line="360" w:lineRule="auto"/>
        <w:ind w:firstLine="480" w:firstLineChars="200"/>
        <w:rPr>
          <w:rFonts w:ascii="Times New Roman" w:hAnsi="Times New Roman"/>
          <w:sz w:val="24"/>
          <w:lang w:eastAsia="zh-CN"/>
        </w:rPr>
      </w:pPr>
      <w:r>
        <w:rPr>
          <w:rFonts w:hint="eastAsia" w:ascii="Times New Roman" w:hAnsi="Times New Roman"/>
          <w:sz w:val="24"/>
        </w:rPr>
        <w:t>根据采区划分和接续计划，本次评价按</w:t>
      </w:r>
      <w:r>
        <w:rPr>
          <w:rFonts w:hint="eastAsia" w:ascii="Times New Roman" w:hAnsi="Times New Roman"/>
          <w:sz w:val="24"/>
          <w:lang w:eastAsia="zh-CN"/>
        </w:rPr>
        <w:t>首采区和</w:t>
      </w:r>
      <w:r>
        <w:rPr>
          <w:rFonts w:hint="eastAsia" w:ascii="Times New Roman" w:hAnsi="Times New Roman"/>
          <w:sz w:val="24"/>
        </w:rPr>
        <w:t>全井田分</w:t>
      </w:r>
      <w:r>
        <w:rPr>
          <w:rFonts w:hint="eastAsia" w:ascii="Times New Roman" w:hAnsi="Times New Roman"/>
          <w:sz w:val="24"/>
          <w:lang w:eastAsia="zh-CN"/>
        </w:rPr>
        <w:t>2</w:t>
      </w:r>
      <w:r>
        <w:rPr>
          <w:rFonts w:hint="eastAsia" w:ascii="Times New Roman" w:hAnsi="Times New Roman"/>
          <w:sz w:val="24"/>
        </w:rPr>
        <w:t>个阶段进行沉陷预测。</w:t>
      </w:r>
    </w:p>
    <w:p>
      <w:pPr>
        <w:pStyle w:val="8"/>
        <w:ind w:firstLine="482" w:firstLineChars="200"/>
        <w:rPr>
          <w:rFonts w:ascii="Times New Roman" w:hAnsi="Times New Roman"/>
          <w:szCs w:val="24"/>
          <w:lang w:eastAsia="zh-CN"/>
        </w:rPr>
      </w:pPr>
      <w:r>
        <w:rPr>
          <w:rFonts w:hint="eastAsia" w:ascii="Times New Roman" w:hAnsi="Times New Roman"/>
          <w:szCs w:val="24"/>
          <w:lang w:eastAsia="zh-CN"/>
        </w:rPr>
        <w:t>4.5.2.4各采区可采煤层及煤层厚度情况</w:t>
      </w:r>
    </w:p>
    <w:p>
      <w:pPr>
        <w:pStyle w:val="14"/>
        <w:overflowPunct w:val="0"/>
        <w:spacing w:line="360" w:lineRule="auto"/>
        <w:ind w:firstLine="480" w:firstLineChars="200"/>
        <w:rPr>
          <w:rFonts w:ascii="Times New Roman" w:hAnsi="Times New Roman"/>
          <w:sz w:val="24"/>
        </w:rPr>
      </w:pPr>
      <w:r>
        <w:rPr>
          <w:rFonts w:hint="eastAsia" w:ascii="Times New Roman" w:hAnsi="Times New Roman"/>
          <w:sz w:val="24"/>
          <w:lang w:eastAsia="zh-CN"/>
        </w:rPr>
        <w:t>七里峡煤矿</w:t>
      </w:r>
      <w:r>
        <w:rPr>
          <w:rFonts w:hint="eastAsia" w:ascii="Times New Roman" w:hAnsi="Times New Roman"/>
          <w:sz w:val="24"/>
        </w:rPr>
        <w:t>开采已开采多年采空区面积较大，由于沉陷影响持续时间较长，环评对全井田沉陷预测叠加采空区的影响；</w:t>
      </w:r>
      <w:r>
        <w:rPr>
          <w:rFonts w:hint="eastAsia" w:ascii="Times New Roman" w:hAnsi="Times New Roman"/>
          <w:sz w:val="24"/>
          <w:lang w:eastAsia="zh-CN"/>
        </w:rPr>
        <w:t>七里峡煤矿</w:t>
      </w:r>
      <w:r>
        <w:rPr>
          <w:rFonts w:hint="eastAsia" w:ascii="Times New Roman" w:hAnsi="Times New Roman"/>
          <w:sz w:val="24"/>
        </w:rPr>
        <w:t>可采煤层基本情况见下表所示。</w:t>
      </w:r>
    </w:p>
    <w:p>
      <w:pPr>
        <w:keepNext/>
        <w:spacing w:line="360" w:lineRule="auto"/>
        <w:jc w:val="center"/>
        <w:rPr>
          <w:rFonts w:hAnsi="Times New Roman" w:eastAsia="宋体"/>
          <w:b/>
          <w:kern w:val="2"/>
          <w:sz w:val="21"/>
          <w:szCs w:val="21"/>
        </w:rPr>
      </w:pPr>
      <w:r>
        <w:rPr>
          <w:rFonts w:hint="eastAsia" w:hAnsi="Times New Roman" w:eastAsia="宋体"/>
          <w:b/>
          <w:kern w:val="2"/>
          <w:sz w:val="21"/>
          <w:szCs w:val="21"/>
        </w:rPr>
        <w:t>表</w:t>
      </w:r>
      <w:r>
        <w:rPr>
          <w:rFonts w:hint="eastAsia" w:hAnsi="Times New Roman" w:eastAsia="宋体"/>
          <w:b/>
          <w:kern w:val="2"/>
          <w:sz w:val="21"/>
          <w:szCs w:val="21"/>
          <w:lang w:eastAsia="zh-CN"/>
        </w:rPr>
        <w:t>4.5-2 七里峡煤矿</w:t>
      </w:r>
      <w:r>
        <w:rPr>
          <w:rFonts w:hint="eastAsia" w:hAnsi="Times New Roman" w:eastAsia="宋体"/>
          <w:b/>
          <w:kern w:val="2"/>
          <w:sz w:val="21"/>
          <w:szCs w:val="21"/>
        </w:rPr>
        <w:t>可采煤层、煤层厚度及采深一览表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8"/>
        <w:gridCol w:w="1420"/>
        <w:gridCol w:w="2369"/>
        <w:gridCol w:w="2519"/>
        <w:gridCol w:w="18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tblHeader/>
          <w:jc w:val="center"/>
        </w:trPr>
        <w:tc>
          <w:tcPr>
            <w:tcW w:w="657" w:type="pct"/>
            <w:vAlign w:val="center"/>
          </w:tcPr>
          <w:p>
            <w:pPr>
              <w:pStyle w:val="45"/>
              <w:keepNext w:val="0"/>
              <w:keepLines w:val="0"/>
              <w:suppressLineNumbers w:val="0"/>
              <w:spacing w:before="0" w:beforeAutospacing="0" w:after="0" w:afterAutospacing="0"/>
              <w:ind w:left="422" w:right="0" w:hanging="422"/>
              <w:rPr>
                <w:rFonts w:hint="eastAsia" w:ascii="Times New Roman" w:hAnsi="Times New Roman"/>
                <w:b/>
                <w:bCs/>
                <w:kern w:val="2"/>
                <w:szCs w:val="22"/>
              </w:rPr>
            </w:pPr>
            <w:r>
              <w:rPr>
                <w:rFonts w:hint="eastAsia" w:ascii="Times New Roman" w:hAnsi="Times New Roman"/>
                <w:b/>
                <w:bCs/>
                <w:kern w:val="2"/>
                <w:szCs w:val="22"/>
              </w:rPr>
              <w:t>采区</w:t>
            </w:r>
          </w:p>
        </w:tc>
        <w:tc>
          <w:tcPr>
            <w:tcW w:w="760" w:type="pct"/>
            <w:vAlign w:val="center"/>
          </w:tcPr>
          <w:p>
            <w:pPr>
              <w:pStyle w:val="45"/>
              <w:keepNext w:val="0"/>
              <w:keepLines w:val="0"/>
              <w:suppressLineNumbers w:val="0"/>
              <w:spacing w:before="0" w:beforeAutospacing="0" w:after="0" w:afterAutospacing="0"/>
              <w:ind w:left="422" w:right="0" w:hanging="422"/>
              <w:rPr>
                <w:rFonts w:hint="eastAsia" w:ascii="Times New Roman" w:hAnsi="Times New Roman"/>
                <w:b/>
                <w:bCs/>
                <w:kern w:val="2"/>
                <w:szCs w:val="22"/>
              </w:rPr>
            </w:pPr>
            <w:r>
              <w:rPr>
                <w:rFonts w:hint="eastAsia" w:ascii="Times New Roman" w:hAnsi="Times New Roman"/>
                <w:b/>
                <w:bCs/>
                <w:kern w:val="2"/>
                <w:szCs w:val="22"/>
              </w:rPr>
              <w:t>可采煤层</w:t>
            </w:r>
          </w:p>
        </w:tc>
        <w:tc>
          <w:tcPr>
            <w:tcW w:w="1268" w:type="pct"/>
            <w:vAlign w:val="center"/>
          </w:tcPr>
          <w:p>
            <w:pPr>
              <w:pStyle w:val="45"/>
              <w:keepNext w:val="0"/>
              <w:keepLines w:val="0"/>
              <w:suppressLineNumbers w:val="0"/>
              <w:spacing w:before="0" w:beforeAutospacing="0" w:after="0" w:afterAutospacing="0"/>
              <w:ind w:left="422" w:right="0" w:hanging="422"/>
              <w:rPr>
                <w:rFonts w:hint="eastAsia" w:ascii="Times New Roman" w:hAnsi="Times New Roman"/>
                <w:b/>
                <w:bCs/>
                <w:kern w:val="2"/>
                <w:szCs w:val="22"/>
              </w:rPr>
            </w:pPr>
            <w:r>
              <w:rPr>
                <w:rFonts w:hint="eastAsia" w:ascii="Times New Roman" w:hAnsi="Times New Roman"/>
                <w:b/>
                <w:bCs/>
                <w:kern w:val="2"/>
                <w:szCs w:val="22"/>
              </w:rPr>
              <w:t>煤层均厚度（m）</w:t>
            </w:r>
          </w:p>
        </w:tc>
        <w:tc>
          <w:tcPr>
            <w:tcW w:w="1348" w:type="pct"/>
            <w:vAlign w:val="center"/>
          </w:tcPr>
          <w:p>
            <w:pPr>
              <w:pStyle w:val="45"/>
              <w:keepNext w:val="0"/>
              <w:keepLines w:val="0"/>
              <w:suppressLineNumbers w:val="0"/>
              <w:spacing w:before="0" w:beforeAutospacing="0" w:after="0" w:afterAutospacing="0"/>
              <w:ind w:left="422" w:right="0" w:hanging="422"/>
              <w:rPr>
                <w:rFonts w:hint="eastAsia" w:ascii="Times New Roman" w:hAnsi="Times New Roman"/>
                <w:b/>
                <w:bCs/>
                <w:kern w:val="2"/>
                <w:szCs w:val="22"/>
              </w:rPr>
            </w:pPr>
            <w:r>
              <w:rPr>
                <w:rFonts w:hint="eastAsia" w:ascii="Times New Roman" w:hAnsi="Times New Roman"/>
                <w:b/>
                <w:bCs/>
                <w:kern w:val="2"/>
                <w:szCs w:val="22"/>
              </w:rPr>
              <w:t>煤层平均倾角（°）</w:t>
            </w:r>
          </w:p>
        </w:tc>
        <w:tc>
          <w:tcPr>
            <w:tcW w:w="967" w:type="pct"/>
            <w:vAlign w:val="center"/>
          </w:tcPr>
          <w:p>
            <w:pPr>
              <w:pStyle w:val="45"/>
              <w:keepNext w:val="0"/>
              <w:keepLines w:val="0"/>
              <w:suppressLineNumbers w:val="0"/>
              <w:spacing w:before="0" w:beforeAutospacing="0" w:after="0" w:afterAutospacing="0"/>
              <w:ind w:left="422" w:right="0" w:hanging="422"/>
              <w:rPr>
                <w:rFonts w:hint="eastAsia" w:ascii="Times New Roman" w:hAnsi="Times New Roman"/>
                <w:b/>
                <w:bCs/>
                <w:kern w:val="2"/>
                <w:szCs w:val="22"/>
              </w:rPr>
            </w:pPr>
            <w:r>
              <w:rPr>
                <w:rFonts w:hint="eastAsia" w:ascii="Times New Roman" w:hAnsi="Times New Roman"/>
                <w:b/>
                <w:bCs/>
                <w:kern w:val="2"/>
                <w:szCs w:val="22"/>
              </w:rPr>
              <w:t>埋深H（m）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657" w:type="pct"/>
            <w:vMerge w:val="restart"/>
            <w:vAlign w:val="center"/>
          </w:tcPr>
          <w:p>
            <w:pPr>
              <w:pStyle w:val="45"/>
              <w:keepNext w:val="0"/>
              <w:keepLines w:val="0"/>
              <w:suppressLineNumbers w:val="0"/>
              <w:spacing w:before="0" w:beforeAutospacing="0" w:after="0" w:afterAutospacing="0"/>
              <w:ind w:left="420" w:right="0" w:hanging="420"/>
              <w:rPr>
                <w:rFonts w:hint="eastAsia" w:ascii="Times New Roman" w:hAnsi="Times New Roman"/>
                <w:kern w:val="2"/>
                <w:szCs w:val="22"/>
              </w:rPr>
            </w:pPr>
            <w:r>
              <w:rPr>
                <w:rFonts w:hint="eastAsia" w:ascii="Times New Roman" w:hAnsi="Times New Roman"/>
                <w:kern w:val="2"/>
                <w:szCs w:val="22"/>
              </w:rPr>
              <w:t>全井田</w:t>
            </w:r>
          </w:p>
        </w:tc>
        <w:tc>
          <w:tcPr>
            <w:tcW w:w="76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spacing w:val="4"/>
                <w:kern w:val="2"/>
                <w:sz w:val="21"/>
                <w:szCs w:val="21"/>
              </w:rPr>
            </w:pPr>
            <w:r>
              <w:rPr>
                <w:rFonts w:hint="eastAsia" w:hAnsi="Times New Roman" w:eastAsia="宋体"/>
                <w:kern w:val="2"/>
                <w:sz w:val="18"/>
                <w:szCs w:val="18"/>
              </w:rPr>
              <w:t>K</w:t>
            </w:r>
            <w:r>
              <w:rPr>
                <w:rFonts w:hint="eastAsia" w:hAnsi="Times New Roman" w:eastAsia="宋体"/>
                <w:kern w:val="2"/>
                <w:sz w:val="18"/>
                <w:szCs w:val="18"/>
                <w:vertAlign w:val="subscript"/>
              </w:rPr>
              <w:t>6</w:t>
            </w:r>
          </w:p>
        </w:tc>
        <w:tc>
          <w:tcPr>
            <w:tcW w:w="1268"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18"/>
                <w:szCs w:val="18"/>
                <w:u w:val="single"/>
              </w:rPr>
            </w:pPr>
            <w:r>
              <w:rPr>
                <w:rFonts w:hint="eastAsia" w:hAnsi="Times New Roman" w:eastAsia="宋体"/>
                <w:kern w:val="2"/>
                <w:sz w:val="18"/>
                <w:szCs w:val="18"/>
                <w:u w:val="single"/>
              </w:rPr>
              <w:t>0.13～0.69</w:t>
            </w:r>
          </w:p>
          <w:p>
            <w:pPr>
              <w:keepNext w:val="0"/>
              <w:keepLines w:val="0"/>
              <w:suppressLineNumbers w:val="0"/>
              <w:spacing w:before="0" w:beforeAutospacing="0" w:after="0" w:afterAutospacing="0" w:line="240" w:lineRule="exact"/>
              <w:ind w:left="0" w:right="0"/>
              <w:jc w:val="center"/>
              <w:rPr>
                <w:rFonts w:hint="eastAsia" w:hAnsi="Times New Roman" w:eastAsia="宋体"/>
                <w:bCs/>
                <w:spacing w:val="4"/>
                <w:kern w:val="2"/>
                <w:sz w:val="21"/>
                <w:szCs w:val="21"/>
              </w:rPr>
            </w:pPr>
            <w:r>
              <w:rPr>
                <w:rFonts w:hint="eastAsia" w:hAnsi="Times New Roman" w:eastAsia="宋体"/>
                <w:kern w:val="2"/>
                <w:sz w:val="18"/>
                <w:szCs w:val="18"/>
              </w:rPr>
              <w:t>0.48</w:t>
            </w:r>
          </w:p>
        </w:tc>
        <w:tc>
          <w:tcPr>
            <w:tcW w:w="1348"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spacing w:val="4"/>
                <w:kern w:val="2"/>
                <w:sz w:val="21"/>
                <w:szCs w:val="21"/>
              </w:rPr>
            </w:pPr>
            <w:r>
              <w:rPr>
                <w:rFonts w:hint="eastAsia" w:hAnsi="Times New Roman" w:eastAsia="宋体"/>
                <w:kern w:val="2"/>
                <w:sz w:val="18"/>
                <w:szCs w:val="18"/>
              </w:rPr>
              <w:t>55</w:t>
            </w:r>
          </w:p>
        </w:tc>
        <w:tc>
          <w:tcPr>
            <w:tcW w:w="967" w:type="pct"/>
            <w:vAlign w:val="center"/>
          </w:tcPr>
          <w:p>
            <w:pPr>
              <w:pStyle w:val="45"/>
              <w:keepNext w:val="0"/>
              <w:keepLines w:val="0"/>
              <w:suppressLineNumbers w:val="0"/>
              <w:spacing w:before="0" w:beforeAutospacing="0" w:after="0" w:afterAutospacing="0"/>
              <w:ind w:left="360" w:right="0" w:hanging="360"/>
              <w:rPr>
                <w:rFonts w:hint="eastAsia" w:ascii="Times New Roman" w:hAnsi="Times New Roman"/>
                <w:kern w:val="2"/>
                <w:sz w:val="18"/>
                <w:szCs w:val="18"/>
              </w:rPr>
            </w:pPr>
            <w:r>
              <w:rPr>
                <w:rFonts w:hint="eastAsia" w:ascii="Times New Roman" w:hAnsi="Times New Roman"/>
                <w:kern w:val="2"/>
                <w:sz w:val="18"/>
                <w:szCs w:val="18"/>
              </w:rPr>
              <w:t>0～838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657" w:type="pct"/>
            <w:vMerge w:val="continue"/>
            <w:vAlign w:val="center"/>
          </w:tcPr>
          <w:p>
            <w:pPr>
              <w:pStyle w:val="45"/>
              <w:keepNext w:val="0"/>
              <w:keepLines w:val="0"/>
              <w:suppressLineNumbers w:val="0"/>
              <w:spacing w:before="0" w:beforeAutospacing="0" w:after="0" w:afterAutospacing="0"/>
              <w:ind w:left="420" w:right="0" w:hanging="420"/>
              <w:rPr>
                <w:rFonts w:hint="eastAsia" w:ascii="Times New Roman" w:hAnsi="Times New Roman"/>
                <w:kern w:val="2"/>
                <w:szCs w:val="22"/>
              </w:rPr>
            </w:pPr>
          </w:p>
        </w:tc>
        <w:tc>
          <w:tcPr>
            <w:tcW w:w="76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18"/>
                <w:szCs w:val="18"/>
              </w:rPr>
              <w:t>K</w:t>
            </w:r>
            <w:r>
              <w:rPr>
                <w:rFonts w:hint="eastAsia" w:hAnsi="Times New Roman" w:eastAsia="宋体"/>
                <w:kern w:val="2"/>
                <w:sz w:val="18"/>
                <w:szCs w:val="18"/>
                <w:vertAlign w:val="subscript"/>
              </w:rPr>
              <w:t>5-1</w:t>
            </w:r>
          </w:p>
        </w:tc>
        <w:tc>
          <w:tcPr>
            <w:tcW w:w="1268"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18"/>
                <w:szCs w:val="18"/>
                <w:u w:val="single"/>
                <w:lang w:eastAsia="zh-CN"/>
              </w:rPr>
            </w:pPr>
            <w:r>
              <w:rPr>
                <w:rFonts w:hint="eastAsia" w:hAnsi="Times New Roman" w:eastAsia="宋体"/>
                <w:kern w:val="2"/>
                <w:sz w:val="18"/>
                <w:szCs w:val="18"/>
                <w:u w:val="single"/>
              </w:rPr>
              <w:t>0.38～0.51</w:t>
            </w:r>
          </w:p>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18"/>
                <w:szCs w:val="18"/>
              </w:rPr>
              <w:t>0.44</w:t>
            </w:r>
          </w:p>
        </w:tc>
        <w:tc>
          <w:tcPr>
            <w:tcW w:w="1348"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18"/>
                <w:szCs w:val="18"/>
              </w:rPr>
              <w:t>55</w:t>
            </w:r>
          </w:p>
        </w:tc>
        <w:tc>
          <w:tcPr>
            <w:tcW w:w="967" w:type="pct"/>
            <w:vAlign w:val="center"/>
          </w:tcPr>
          <w:p>
            <w:pPr>
              <w:pStyle w:val="45"/>
              <w:keepNext w:val="0"/>
              <w:keepLines w:val="0"/>
              <w:suppressLineNumbers w:val="0"/>
              <w:spacing w:before="0" w:beforeAutospacing="0" w:after="0" w:afterAutospacing="0"/>
              <w:ind w:left="360" w:right="0" w:hanging="360"/>
              <w:rPr>
                <w:rFonts w:hint="eastAsia" w:ascii="Times New Roman" w:hAnsi="Times New Roman"/>
                <w:kern w:val="2"/>
                <w:sz w:val="18"/>
                <w:szCs w:val="18"/>
              </w:rPr>
            </w:pPr>
            <w:r>
              <w:rPr>
                <w:rFonts w:hint="eastAsia" w:ascii="Times New Roman" w:hAnsi="Times New Roman"/>
                <w:kern w:val="2"/>
                <w:sz w:val="18"/>
                <w:szCs w:val="18"/>
              </w:rPr>
              <w:t>0～683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657" w:type="pct"/>
            <w:vMerge w:val="continue"/>
            <w:vAlign w:val="center"/>
          </w:tcPr>
          <w:p>
            <w:pPr>
              <w:pStyle w:val="45"/>
              <w:keepNext w:val="0"/>
              <w:keepLines w:val="0"/>
              <w:suppressLineNumbers w:val="0"/>
              <w:spacing w:before="0" w:beforeAutospacing="0" w:after="0" w:afterAutospacing="0"/>
              <w:ind w:left="420" w:right="0" w:hanging="420"/>
              <w:rPr>
                <w:rFonts w:hint="eastAsia" w:ascii="Times New Roman" w:hAnsi="Times New Roman"/>
                <w:kern w:val="2"/>
                <w:szCs w:val="22"/>
              </w:rPr>
            </w:pPr>
          </w:p>
        </w:tc>
        <w:tc>
          <w:tcPr>
            <w:tcW w:w="760"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18"/>
                <w:szCs w:val="18"/>
              </w:rPr>
              <w:t>K</w:t>
            </w:r>
            <w:r>
              <w:rPr>
                <w:rFonts w:hint="eastAsia" w:hAnsi="Times New Roman" w:eastAsia="宋体"/>
                <w:kern w:val="2"/>
                <w:sz w:val="18"/>
                <w:szCs w:val="18"/>
                <w:vertAlign w:val="subscript"/>
              </w:rPr>
              <w:t>5</w:t>
            </w:r>
          </w:p>
        </w:tc>
        <w:tc>
          <w:tcPr>
            <w:tcW w:w="1268"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18"/>
                <w:szCs w:val="18"/>
                <w:u w:val="single"/>
              </w:rPr>
            </w:pPr>
            <w:r>
              <w:rPr>
                <w:rFonts w:hint="eastAsia" w:hAnsi="Times New Roman" w:eastAsia="宋体"/>
                <w:kern w:val="2"/>
                <w:sz w:val="18"/>
                <w:szCs w:val="18"/>
                <w:u w:val="single"/>
              </w:rPr>
              <w:t>0.12～0.85</w:t>
            </w:r>
          </w:p>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18"/>
                <w:szCs w:val="18"/>
              </w:rPr>
              <w:t>0.44</w:t>
            </w:r>
          </w:p>
        </w:tc>
        <w:tc>
          <w:tcPr>
            <w:tcW w:w="1348" w:type="pc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18"/>
                <w:szCs w:val="18"/>
              </w:rPr>
              <w:t>55</w:t>
            </w:r>
          </w:p>
        </w:tc>
        <w:tc>
          <w:tcPr>
            <w:tcW w:w="967" w:type="pct"/>
            <w:vAlign w:val="center"/>
          </w:tcPr>
          <w:p>
            <w:pPr>
              <w:pStyle w:val="45"/>
              <w:keepNext w:val="0"/>
              <w:keepLines w:val="0"/>
              <w:suppressLineNumbers w:val="0"/>
              <w:spacing w:before="0" w:beforeAutospacing="0" w:after="0" w:afterAutospacing="0"/>
              <w:ind w:left="360" w:right="0" w:hanging="360"/>
              <w:rPr>
                <w:rFonts w:hint="eastAsia" w:ascii="Times New Roman" w:hAnsi="Times New Roman"/>
                <w:kern w:val="2"/>
                <w:sz w:val="18"/>
                <w:szCs w:val="18"/>
              </w:rPr>
            </w:pPr>
            <w:r>
              <w:rPr>
                <w:rFonts w:hint="eastAsia" w:ascii="Times New Roman" w:hAnsi="Times New Roman"/>
                <w:kern w:val="2"/>
                <w:sz w:val="18"/>
                <w:szCs w:val="18"/>
              </w:rPr>
              <w:t>0～838</w:t>
            </w:r>
          </w:p>
        </w:tc>
      </w:tr>
    </w:tbl>
    <w:p>
      <w:pPr>
        <w:pStyle w:val="6"/>
        <w:numPr>
          <w:ilvl w:val="2"/>
          <w:numId w:val="0"/>
        </w:numPr>
        <w:autoSpaceDE w:val="0"/>
        <w:autoSpaceDN w:val="0"/>
        <w:adjustRightInd w:val="0"/>
        <w:jc w:val="left"/>
        <w:rPr>
          <w:bCs/>
          <w:szCs w:val="24"/>
          <w:lang w:eastAsia="zh-CN"/>
        </w:rPr>
      </w:pPr>
      <w:bookmarkStart w:id="260" w:name="_Toc167095204"/>
      <w:bookmarkStart w:id="261" w:name="_Toc163812581"/>
      <w:r>
        <w:rPr>
          <w:bCs/>
          <w:szCs w:val="24"/>
          <w:lang w:eastAsia="zh-CN"/>
        </w:rPr>
        <w:t>4.</w:t>
      </w:r>
      <w:r>
        <w:rPr>
          <w:rFonts w:hint="eastAsia"/>
          <w:bCs/>
          <w:szCs w:val="24"/>
          <w:lang w:eastAsia="zh-CN"/>
        </w:rPr>
        <w:t>5</w:t>
      </w:r>
      <w:r>
        <w:rPr>
          <w:bCs/>
          <w:szCs w:val="24"/>
          <w:lang w:eastAsia="zh-CN"/>
        </w:rPr>
        <w:t>.</w:t>
      </w:r>
      <w:r>
        <w:rPr>
          <w:rFonts w:hint="eastAsia"/>
          <w:bCs/>
          <w:szCs w:val="24"/>
          <w:lang w:eastAsia="zh-CN"/>
        </w:rPr>
        <w:t>3 地表沉陷预测结果</w:t>
      </w:r>
      <w:bookmarkEnd w:id="260"/>
      <w:bookmarkEnd w:id="261"/>
    </w:p>
    <w:p>
      <w:pPr>
        <w:pStyle w:val="8"/>
        <w:ind w:firstLine="482" w:firstLineChars="200"/>
        <w:rPr>
          <w:rFonts w:ascii="Times New Roman" w:hAnsi="Times New Roman"/>
          <w:szCs w:val="24"/>
          <w:lang w:eastAsia="zh-CN"/>
        </w:rPr>
      </w:pPr>
      <w:r>
        <w:rPr>
          <w:rFonts w:hint="eastAsia" w:ascii="Times New Roman" w:hAnsi="Times New Roman"/>
          <w:szCs w:val="24"/>
          <w:lang w:eastAsia="zh-CN"/>
        </w:rPr>
        <w:t>4.5.3.1地表移动变形最大值预测（稳定态）</w:t>
      </w:r>
    </w:p>
    <w:p>
      <w:pPr>
        <w:pStyle w:val="14"/>
        <w:overflowPunct w:val="0"/>
        <w:spacing w:line="360" w:lineRule="auto"/>
        <w:ind w:firstLine="480" w:firstLineChars="200"/>
        <w:rPr>
          <w:rFonts w:ascii="Times New Roman" w:hAnsi="Times New Roman"/>
          <w:sz w:val="24"/>
        </w:rPr>
      </w:pPr>
      <w:r>
        <w:rPr>
          <w:rFonts w:hint="eastAsia" w:ascii="Times New Roman" w:hAnsi="Times New Roman"/>
          <w:sz w:val="24"/>
        </w:rPr>
        <w:t>各煤层不同采深开采后地表引动变形最大值见下表所示。</w:t>
      </w:r>
    </w:p>
    <w:p>
      <w:pPr>
        <w:pStyle w:val="14"/>
        <w:overflowPunct w:val="0"/>
        <w:spacing w:line="360" w:lineRule="auto"/>
        <w:ind w:firstLine="422" w:firstLineChars="200"/>
        <w:jc w:val="center"/>
        <w:rPr>
          <w:rFonts w:ascii="Times New Roman" w:hAnsi="Times New Roman"/>
          <w:b/>
          <w:bCs w:val="0"/>
          <w:sz w:val="21"/>
          <w:szCs w:val="21"/>
        </w:rPr>
      </w:pPr>
      <w:r>
        <w:rPr>
          <w:rFonts w:hint="eastAsia" w:ascii="Times New Roman" w:hAnsi="Times New Roman"/>
          <w:b/>
          <w:bCs w:val="0"/>
          <w:sz w:val="21"/>
          <w:szCs w:val="21"/>
        </w:rPr>
        <w:t>表</w:t>
      </w:r>
      <w:r>
        <w:rPr>
          <w:rFonts w:hint="eastAsia" w:ascii="Times New Roman" w:hAnsi="Times New Roman"/>
          <w:b/>
          <w:bCs w:val="0"/>
          <w:sz w:val="21"/>
          <w:szCs w:val="21"/>
          <w:lang w:eastAsia="zh-CN"/>
        </w:rPr>
        <w:t>4.5-3</w:t>
      </w:r>
      <w:r>
        <w:rPr>
          <w:rFonts w:hint="eastAsia" w:ascii="Times New Roman" w:hAnsi="Times New Roman"/>
          <w:b/>
          <w:bCs w:val="0"/>
          <w:sz w:val="21"/>
          <w:szCs w:val="21"/>
        </w:rPr>
        <w:t xml:space="preserve"> </w:t>
      </w:r>
      <w:r>
        <w:rPr>
          <w:rFonts w:hint="eastAsia" w:ascii="Times New Roman" w:hAnsi="Times New Roman"/>
          <w:b/>
          <w:bCs w:val="0"/>
          <w:sz w:val="21"/>
          <w:szCs w:val="21"/>
          <w:lang w:eastAsia="zh-CN"/>
        </w:rPr>
        <w:t>七里峡煤矿</w:t>
      </w:r>
      <w:r>
        <w:rPr>
          <w:rFonts w:hint="eastAsia" w:ascii="Times New Roman" w:hAnsi="Times New Roman"/>
          <w:b/>
          <w:bCs w:val="0"/>
          <w:sz w:val="21"/>
          <w:szCs w:val="21"/>
        </w:rPr>
        <w:t>全井田可采煤层、煤层厚度及采深一览表</w:t>
      </w:r>
    </w:p>
    <w:tbl>
      <w:tblPr>
        <w:tblStyle w:val="33"/>
        <w:tblW w:w="988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5"/>
        <w:gridCol w:w="963"/>
        <w:gridCol w:w="1257"/>
        <w:gridCol w:w="831"/>
        <w:gridCol w:w="975"/>
        <w:gridCol w:w="987"/>
        <w:gridCol w:w="983"/>
        <w:gridCol w:w="1025"/>
        <w:gridCol w:w="975"/>
        <w:gridCol w:w="10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5" w:type="dxa"/>
            <w:tcBorders>
              <w:top w:val="single" w:color="auto" w:sz="4" w:space="0"/>
              <w:lef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煤层</w:t>
            </w:r>
          </w:p>
        </w:tc>
        <w:tc>
          <w:tcPr>
            <w:tcW w:w="963" w:type="dxa"/>
            <w:tcBorders>
              <w:top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煤厚</w:t>
            </w:r>
          </w:p>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（mm）</w:t>
            </w:r>
          </w:p>
        </w:tc>
        <w:tc>
          <w:tcPr>
            <w:tcW w:w="2088" w:type="dxa"/>
            <w:gridSpan w:val="2"/>
            <w:tcBorders>
              <w:top w:val="single" w:color="auto" w:sz="4" w:space="0"/>
              <w:tl2br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采深H（m）</w:t>
            </w:r>
          </w:p>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最大移动变形值</w:t>
            </w:r>
          </w:p>
        </w:tc>
        <w:tc>
          <w:tcPr>
            <w:tcW w:w="975" w:type="dxa"/>
            <w:tcBorders>
              <w:top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50</w:t>
            </w:r>
          </w:p>
        </w:tc>
        <w:tc>
          <w:tcPr>
            <w:tcW w:w="987" w:type="dxa"/>
            <w:tcBorders>
              <w:top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15</w:t>
            </w:r>
            <w:r>
              <w:rPr>
                <w:rFonts w:hint="eastAsia" w:hAnsi="Times New Roman" w:eastAsia="宋体"/>
                <w:kern w:val="2"/>
                <w:sz w:val="21"/>
                <w:szCs w:val="21"/>
              </w:rPr>
              <w:t>0</w:t>
            </w:r>
          </w:p>
        </w:tc>
        <w:tc>
          <w:tcPr>
            <w:tcW w:w="983" w:type="dxa"/>
            <w:tcBorders>
              <w:top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300</w:t>
            </w:r>
          </w:p>
        </w:tc>
        <w:tc>
          <w:tcPr>
            <w:tcW w:w="1025" w:type="dxa"/>
            <w:tcBorders>
              <w:top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450</w:t>
            </w:r>
          </w:p>
        </w:tc>
        <w:tc>
          <w:tcPr>
            <w:tcW w:w="975" w:type="dxa"/>
            <w:tcBorders>
              <w:top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600</w:t>
            </w:r>
          </w:p>
        </w:tc>
        <w:tc>
          <w:tcPr>
            <w:tcW w:w="1051" w:type="dxa"/>
            <w:tcBorders>
              <w:top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5" w:type="dxa"/>
            <w:vMerge w:val="restart"/>
            <w:tcBorders>
              <w:left w:val="single" w:color="auto" w:sz="4" w:space="0"/>
            </w:tcBorders>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18"/>
                <w:szCs w:val="18"/>
              </w:rPr>
              <w:t>K</w:t>
            </w:r>
            <w:r>
              <w:rPr>
                <w:rFonts w:hint="eastAsia" w:hAnsi="Times New Roman" w:eastAsia="宋体"/>
                <w:kern w:val="2"/>
                <w:sz w:val="18"/>
                <w:szCs w:val="18"/>
                <w:vertAlign w:val="subscript"/>
              </w:rPr>
              <w:t>6</w:t>
            </w:r>
          </w:p>
        </w:tc>
        <w:tc>
          <w:tcPr>
            <w:tcW w:w="963" w:type="dxa"/>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480</w:t>
            </w:r>
          </w:p>
        </w:tc>
        <w:tc>
          <w:tcPr>
            <w:tcW w:w="1257" w:type="dxa"/>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rPr>
              <w:t>W</w:t>
            </w:r>
            <w:r>
              <w:rPr>
                <w:rFonts w:hint="eastAsia" w:hAnsi="Times New Roman" w:eastAsia="宋体"/>
                <w:kern w:val="2"/>
                <w:sz w:val="21"/>
                <w:szCs w:val="21"/>
                <w:vertAlign w:val="subscript"/>
              </w:rPr>
              <w:t>O</w:t>
            </w:r>
            <w:r>
              <w:rPr>
                <w:rFonts w:hint="eastAsia" w:hAnsi="Times New Roman" w:eastAsia="宋体"/>
                <w:kern w:val="2"/>
                <w:sz w:val="21"/>
                <w:szCs w:val="21"/>
              </w:rPr>
              <w:t>=22</w:t>
            </w:r>
            <w:r>
              <w:rPr>
                <w:rFonts w:hint="eastAsia" w:hAnsi="Times New Roman" w:eastAsia="宋体"/>
                <w:kern w:val="2"/>
                <w:sz w:val="21"/>
                <w:szCs w:val="21"/>
                <w:lang w:eastAsia="zh-CN"/>
              </w:rPr>
              <w:t>0.25</w:t>
            </w:r>
          </w:p>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rPr>
              <w:t>U</w:t>
            </w:r>
            <w:r>
              <w:rPr>
                <w:rFonts w:hint="eastAsia" w:hAnsi="Times New Roman" w:eastAsia="宋体"/>
                <w:kern w:val="2"/>
                <w:sz w:val="21"/>
                <w:szCs w:val="21"/>
                <w:vertAlign w:val="subscript"/>
              </w:rPr>
              <w:t>0</w:t>
            </w:r>
            <w:r>
              <w:rPr>
                <w:rFonts w:hint="eastAsia" w:hAnsi="Times New Roman" w:eastAsia="宋体"/>
                <w:kern w:val="2"/>
                <w:sz w:val="21"/>
                <w:szCs w:val="21"/>
              </w:rPr>
              <w:t>=66.</w:t>
            </w:r>
            <w:r>
              <w:rPr>
                <w:rFonts w:hint="eastAsia" w:hAnsi="Times New Roman" w:eastAsia="宋体"/>
                <w:kern w:val="2"/>
                <w:sz w:val="21"/>
                <w:szCs w:val="21"/>
                <w:lang w:eastAsia="zh-CN"/>
              </w:rPr>
              <w:t>076</w:t>
            </w:r>
          </w:p>
        </w:tc>
        <w:tc>
          <w:tcPr>
            <w:tcW w:w="831" w:type="dxa"/>
            <w:vAlign w:val="center"/>
          </w:tcPr>
          <w:p>
            <w:pPr>
              <w:keepNext w:val="0"/>
              <w:keepLines w:val="0"/>
              <w:suppressLineNumbers w:val="0"/>
              <w:spacing w:before="0" w:beforeAutospacing="0" w:after="0" w:afterAutospacing="0"/>
              <w:ind w:left="0" w:right="0"/>
              <w:jc w:val="center"/>
              <w:rPr>
                <w:rFonts w:hint="eastAsia" w:hAnsi="Times New Roman" w:eastAsia="宋体"/>
                <w:i/>
                <w:kern w:val="2"/>
                <w:sz w:val="21"/>
                <w:szCs w:val="21"/>
              </w:rPr>
            </w:pPr>
            <w:r>
              <w:rPr>
                <w:rFonts w:hint="eastAsia" w:hAnsi="Times New Roman" w:eastAsia="宋体"/>
                <w:kern w:val="2"/>
                <w:sz w:val="21"/>
                <w:szCs w:val="21"/>
              </w:rPr>
              <w:t>i</w:t>
            </w:r>
            <w:r>
              <w:rPr>
                <w:rFonts w:hint="eastAsia" w:hAnsi="Times New Roman" w:eastAsia="宋体"/>
                <w:kern w:val="2"/>
                <w:sz w:val="21"/>
                <w:szCs w:val="21"/>
                <w:vertAlign w:val="subscript"/>
              </w:rPr>
              <w:t>0</w:t>
            </w:r>
          </w:p>
        </w:tc>
        <w:tc>
          <w:tcPr>
            <w:tcW w:w="97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11.0127</w:t>
            </w:r>
          </w:p>
        </w:tc>
        <w:tc>
          <w:tcPr>
            <w:tcW w:w="98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3.6709</w:t>
            </w:r>
          </w:p>
        </w:tc>
        <w:tc>
          <w:tcPr>
            <w:tcW w:w="98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1.8354</w:t>
            </w:r>
          </w:p>
        </w:tc>
        <w:tc>
          <w:tcPr>
            <w:tcW w:w="102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1.2236</w:t>
            </w:r>
          </w:p>
        </w:tc>
        <w:tc>
          <w:tcPr>
            <w:tcW w:w="97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0.9177</w:t>
            </w:r>
          </w:p>
        </w:tc>
        <w:tc>
          <w:tcPr>
            <w:tcW w:w="1051"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0.6883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5" w:type="dxa"/>
            <w:vMerge w:val="continue"/>
            <w:tcBorders>
              <w:lef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963"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257"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831" w:type="dxa"/>
            <w:vAlign w:val="center"/>
          </w:tcPr>
          <w:p>
            <w:pPr>
              <w:keepNext w:val="0"/>
              <w:keepLines w:val="0"/>
              <w:suppressLineNumbers w:val="0"/>
              <w:spacing w:before="0" w:beforeAutospacing="0" w:after="0" w:afterAutospacing="0"/>
              <w:ind w:left="0" w:right="0"/>
              <w:jc w:val="center"/>
              <w:rPr>
                <w:rFonts w:hint="eastAsia" w:hAnsi="Times New Roman" w:eastAsia="宋体"/>
                <w:i/>
                <w:kern w:val="2"/>
                <w:sz w:val="21"/>
                <w:szCs w:val="21"/>
              </w:rPr>
            </w:pPr>
            <w:r>
              <w:rPr>
                <w:rFonts w:hint="eastAsia" w:hAnsi="Times New Roman" w:eastAsia="宋体"/>
                <w:kern w:val="2"/>
                <w:sz w:val="21"/>
                <w:szCs w:val="21"/>
              </w:rPr>
              <w:t>k</w:t>
            </w:r>
            <w:r>
              <w:rPr>
                <w:rFonts w:hint="eastAsia" w:hAnsi="Times New Roman" w:eastAsia="宋体"/>
                <w:kern w:val="2"/>
                <w:sz w:val="21"/>
                <w:szCs w:val="21"/>
                <w:vertAlign w:val="subscript"/>
              </w:rPr>
              <w:t>0</w:t>
            </w:r>
          </w:p>
        </w:tc>
        <w:tc>
          <w:tcPr>
            <w:tcW w:w="97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0.837</w:t>
            </w:r>
          </w:p>
        </w:tc>
        <w:tc>
          <w:tcPr>
            <w:tcW w:w="98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0.0930</w:t>
            </w:r>
          </w:p>
        </w:tc>
        <w:tc>
          <w:tcPr>
            <w:tcW w:w="98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0.0232</w:t>
            </w:r>
          </w:p>
        </w:tc>
        <w:tc>
          <w:tcPr>
            <w:tcW w:w="102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0.0103</w:t>
            </w:r>
          </w:p>
        </w:tc>
        <w:tc>
          <w:tcPr>
            <w:tcW w:w="97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0.00581</w:t>
            </w:r>
          </w:p>
        </w:tc>
        <w:tc>
          <w:tcPr>
            <w:tcW w:w="1051"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0.00327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5" w:type="dxa"/>
            <w:vMerge w:val="continue"/>
            <w:tcBorders>
              <w:lef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963"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257"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831" w:type="dxa"/>
            <w:vAlign w:val="center"/>
          </w:tcPr>
          <w:p>
            <w:pPr>
              <w:keepNext w:val="0"/>
              <w:keepLines w:val="0"/>
              <w:suppressLineNumbers w:val="0"/>
              <w:spacing w:before="0" w:beforeAutospacing="0" w:after="0" w:afterAutospacing="0"/>
              <w:ind w:left="0" w:right="0"/>
              <w:jc w:val="center"/>
              <w:rPr>
                <w:rFonts w:hint="eastAsia" w:hAnsi="Times New Roman" w:eastAsia="宋体"/>
                <w:i/>
                <w:kern w:val="2"/>
                <w:sz w:val="21"/>
                <w:szCs w:val="21"/>
              </w:rPr>
            </w:pPr>
            <w:r>
              <w:rPr>
                <w:rFonts w:hint="eastAsia" w:hAnsi="Times New Roman" w:eastAsia="宋体"/>
                <w:i/>
                <w:kern w:val="2"/>
                <w:sz w:val="21"/>
                <w:szCs w:val="21"/>
              </w:rPr>
              <w:t>ε</w:t>
            </w:r>
            <w:r>
              <w:rPr>
                <w:rFonts w:hint="eastAsia" w:hAnsi="Times New Roman" w:eastAsia="宋体"/>
                <w:kern w:val="2"/>
                <w:sz w:val="21"/>
                <w:szCs w:val="21"/>
                <w:vertAlign w:val="subscript"/>
              </w:rPr>
              <w:t>0</w:t>
            </w:r>
          </w:p>
        </w:tc>
        <w:tc>
          <w:tcPr>
            <w:tcW w:w="97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5.0218</w:t>
            </w:r>
          </w:p>
        </w:tc>
        <w:tc>
          <w:tcPr>
            <w:tcW w:w="98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1.6739</w:t>
            </w:r>
          </w:p>
        </w:tc>
        <w:tc>
          <w:tcPr>
            <w:tcW w:w="98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0.8370</w:t>
            </w:r>
          </w:p>
        </w:tc>
        <w:tc>
          <w:tcPr>
            <w:tcW w:w="102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0.5580</w:t>
            </w:r>
          </w:p>
        </w:tc>
        <w:tc>
          <w:tcPr>
            <w:tcW w:w="97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0.4185</w:t>
            </w:r>
          </w:p>
        </w:tc>
        <w:tc>
          <w:tcPr>
            <w:tcW w:w="1051"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0.3139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5" w:type="dxa"/>
            <w:vMerge w:val="restart"/>
            <w:tcBorders>
              <w:left w:val="single" w:color="auto" w:sz="4" w:space="0"/>
            </w:tcBorders>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18"/>
                <w:szCs w:val="18"/>
              </w:rPr>
              <w:t>K</w:t>
            </w:r>
            <w:r>
              <w:rPr>
                <w:rFonts w:hint="eastAsia" w:hAnsi="Times New Roman" w:eastAsia="宋体"/>
                <w:kern w:val="2"/>
                <w:sz w:val="18"/>
                <w:szCs w:val="18"/>
                <w:vertAlign w:val="subscript"/>
              </w:rPr>
              <w:t>5-1</w:t>
            </w:r>
          </w:p>
        </w:tc>
        <w:tc>
          <w:tcPr>
            <w:tcW w:w="963" w:type="dxa"/>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440</w:t>
            </w:r>
          </w:p>
        </w:tc>
        <w:tc>
          <w:tcPr>
            <w:tcW w:w="1257" w:type="dxa"/>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rPr>
              <w:t>W</w:t>
            </w:r>
            <w:r>
              <w:rPr>
                <w:rFonts w:hint="eastAsia" w:hAnsi="Times New Roman" w:eastAsia="宋体"/>
                <w:kern w:val="2"/>
                <w:sz w:val="21"/>
                <w:szCs w:val="21"/>
                <w:vertAlign w:val="subscript"/>
              </w:rPr>
              <w:t>O</w:t>
            </w:r>
            <w:r>
              <w:rPr>
                <w:rFonts w:hint="eastAsia" w:hAnsi="Times New Roman" w:eastAsia="宋体"/>
                <w:kern w:val="2"/>
                <w:sz w:val="21"/>
                <w:szCs w:val="21"/>
              </w:rPr>
              <w:t>=</w:t>
            </w:r>
            <w:r>
              <w:rPr>
                <w:rFonts w:hint="eastAsia" w:hAnsi="Times New Roman" w:eastAsia="宋体"/>
                <w:kern w:val="2"/>
                <w:sz w:val="21"/>
                <w:szCs w:val="21"/>
                <w:lang w:eastAsia="zh-CN"/>
              </w:rPr>
              <w:t>202.0</w:t>
            </w:r>
          </w:p>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rPr>
              <w:t>U</w:t>
            </w:r>
            <w:r>
              <w:rPr>
                <w:rFonts w:hint="eastAsia" w:hAnsi="Times New Roman" w:eastAsia="宋体"/>
                <w:kern w:val="2"/>
                <w:sz w:val="21"/>
                <w:szCs w:val="21"/>
                <w:vertAlign w:val="subscript"/>
              </w:rPr>
              <w:t>0</w:t>
            </w:r>
            <w:r>
              <w:rPr>
                <w:rFonts w:hint="eastAsia" w:hAnsi="Times New Roman" w:eastAsia="宋体"/>
                <w:kern w:val="2"/>
                <w:sz w:val="21"/>
                <w:szCs w:val="21"/>
              </w:rPr>
              <w:t>=</w:t>
            </w:r>
            <w:r>
              <w:rPr>
                <w:rFonts w:hint="eastAsia" w:hAnsi="Times New Roman" w:eastAsia="宋体"/>
                <w:kern w:val="2"/>
                <w:sz w:val="21"/>
                <w:szCs w:val="21"/>
                <w:lang w:eastAsia="zh-CN"/>
              </w:rPr>
              <w:t>60.570</w:t>
            </w:r>
          </w:p>
        </w:tc>
        <w:tc>
          <w:tcPr>
            <w:tcW w:w="831" w:type="dxa"/>
            <w:vAlign w:val="center"/>
          </w:tcPr>
          <w:p>
            <w:pPr>
              <w:keepNext w:val="0"/>
              <w:keepLines w:val="0"/>
              <w:suppressLineNumbers w:val="0"/>
              <w:spacing w:before="0" w:beforeAutospacing="0" w:after="0" w:afterAutospacing="0"/>
              <w:ind w:left="0" w:right="0"/>
              <w:jc w:val="center"/>
              <w:rPr>
                <w:rFonts w:hint="eastAsia" w:hAnsi="Times New Roman" w:eastAsia="宋体"/>
                <w:i/>
                <w:kern w:val="2"/>
                <w:sz w:val="21"/>
                <w:szCs w:val="21"/>
              </w:rPr>
            </w:pPr>
            <w:r>
              <w:rPr>
                <w:rFonts w:hint="eastAsia" w:hAnsi="Times New Roman" w:eastAsia="宋体"/>
                <w:kern w:val="2"/>
                <w:sz w:val="21"/>
                <w:szCs w:val="21"/>
              </w:rPr>
              <w:t>i</w:t>
            </w:r>
            <w:r>
              <w:rPr>
                <w:rFonts w:hint="eastAsia" w:hAnsi="Times New Roman" w:eastAsia="宋体"/>
                <w:kern w:val="2"/>
                <w:sz w:val="21"/>
                <w:szCs w:val="21"/>
                <w:vertAlign w:val="subscript"/>
              </w:rPr>
              <w:t>0</w:t>
            </w:r>
          </w:p>
        </w:tc>
        <w:tc>
          <w:tcPr>
            <w:tcW w:w="97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10.0949</w:t>
            </w:r>
          </w:p>
        </w:tc>
        <w:tc>
          <w:tcPr>
            <w:tcW w:w="98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3.3650</w:t>
            </w:r>
          </w:p>
        </w:tc>
        <w:tc>
          <w:tcPr>
            <w:tcW w:w="98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1.6825</w:t>
            </w:r>
          </w:p>
        </w:tc>
        <w:tc>
          <w:tcPr>
            <w:tcW w:w="102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1.1217</w:t>
            </w:r>
          </w:p>
        </w:tc>
        <w:tc>
          <w:tcPr>
            <w:tcW w:w="97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0.8412</w:t>
            </w:r>
          </w:p>
        </w:tc>
        <w:tc>
          <w:tcPr>
            <w:tcW w:w="1051"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0.6309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5" w:type="dxa"/>
            <w:vMerge w:val="continue"/>
            <w:tcBorders>
              <w:lef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963"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257"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831" w:type="dxa"/>
            <w:vAlign w:val="center"/>
          </w:tcPr>
          <w:p>
            <w:pPr>
              <w:keepNext w:val="0"/>
              <w:keepLines w:val="0"/>
              <w:suppressLineNumbers w:val="0"/>
              <w:spacing w:before="0" w:beforeAutospacing="0" w:after="0" w:afterAutospacing="0"/>
              <w:ind w:left="0" w:right="0"/>
              <w:jc w:val="center"/>
              <w:rPr>
                <w:rFonts w:hint="eastAsia" w:hAnsi="Times New Roman" w:eastAsia="宋体"/>
                <w:i/>
                <w:kern w:val="2"/>
                <w:sz w:val="21"/>
                <w:szCs w:val="21"/>
              </w:rPr>
            </w:pPr>
            <w:r>
              <w:rPr>
                <w:rFonts w:hint="eastAsia" w:hAnsi="Times New Roman" w:eastAsia="宋体"/>
                <w:kern w:val="2"/>
                <w:sz w:val="21"/>
                <w:szCs w:val="21"/>
              </w:rPr>
              <w:t>k</w:t>
            </w:r>
            <w:r>
              <w:rPr>
                <w:rFonts w:hint="eastAsia" w:hAnsi="Times New Roman" w:eastAsia="宋体"/>
                <w:kern w:val="2"/>
                <w:sz w:val="21"/>
                <w:szCs w:val="21"/>
                <w:vertAlign w:val="subscript"/>
              </w:rPr>
              <w:t>0</w:t>
            </w:r>
          </w:p>
        </w:tc>
        <w:tc>
          <w:tcPr>
            <w:tcW w:w="97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0.767</w:t>
            </w:r>
          </w:p>
        </w:tc>
        <w:tc>
          <w:tcPr>
            <w:tcW w:w="98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0.0852</w:t>
            </w:r>
          </w:p>
        </w:tc>
        <w:tc>
          <w:tcPr>
            <w:tcW w:w="98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0.0213</w:t>
            </w:r>
          </w:p>
        </w:tc>
        <w:tc>
          <w:tcPr>
            <w:tcW w:w="102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0.00947</w:t>
            </w:r>
          </w:p>
        </w:tc>
        <w:tc>
          <w:tcPr>
            <w:tcW w:w="97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0.00533</w:t>
            </w:r>
          </w:p>
        </w:tc>
        <w:tc>
          <w:tcPr>
            <w:tcW w:w="1051"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5" w:type="dxa"/>
            <w:vMerge w:val="continue"/>
            <w:tcBorders>
              <w:lef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963"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257"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831" w:type="dxa"/>
            <w:vAlign w:val="center"/>
          </w:tcPr>
          <w:p>
            <w:pPr>
              <w:keepNext w:val="0"/>
              <w:keepLines w:val="0"/>
              <w:suppressLineNumbers w:val="0"/>
              <w:spacing w:before="0" w:beforeAutospacing="0" w:after="0" w:afterAutospacing="0"/>
              <w:ind w:left="0" w:right="0"/>
              <w:jc w:val="center"/>
              <w:rPr>
                <w:rFonts w:hint="eastAsia" w:hAnsi="Times New Roman" w:eastAsia="宋体"/>
                <w:i/>
                <w:kern w:val="2"/>
                <w:sz w:val="21"/>
                <w:szCs w:val="21"/>
              </w:rPr>
            </w:pPr>
            <w:r>
              <w:rPr>
                <w:rFonts w:hint="eastAsia" w:hAnsi="Times New Roman" w:eastAsia="宋体"/>
                <w:i/>
                <w:kern w:val="2"/>
                <w:sz w:val="21"/>
                <w:szCs w:val="21"/>
              </w:rPr>
              <w:t>ε</w:t>
            </w:r>
            <w:r>
              <w:rPr>
                <w:rFonts w:hint="eastAsia" w:hAnsi="Times New Roman" w:eastAsia="宋体"/>
                <w:kern w:val="2"/>
                <w:sz w:val="21"/>
                <w:szCs w:val="21"/>
                <w:vertAlign w:val="subscript"/>
              </w:rPr>
              <w:t>0</w:t>
            </w:r>
          </w:p>
        </w:tc>
        <w:tc>
          <w:tcPr>
            <w:tcW w:w="97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4.6033</w:t>
            </w:r>
          </w:p>
        </w:tc>
        <w:tc>
          <w:tcPr>
            <w:tcW w:w="98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1.5344</w:t>
            </w:r>
          </w:p>
        </w:tc>
        <w:tc>
          <w:tcPr>
            <w:tcW w:w="98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0.7672</w:t>
            </w:r>
          </w:p>
        </w:tc>
        <w:tc>
          <w:tcPr>
            <w:tcW w:w="102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0.5115</w:t>
            </w:r>
          </w:p>
        </w:tc>
        <w:tc>
          <w:tcPr>
            <w:tcW w:w="97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0.3836</w:t>
            </w:r>
          </w:p>
        </w:tc>
        <w:tc>
          <w:tcPr>
            <w:tcW w:w="1051"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0.2877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5" w:type="dxa"/>
            <w:vMerge w:val="restart"/>
            <w:tcBorders>
              <w:left w:val="single" w:color="auto" w:sz="4" w:space="0"/>
            </w:tcBorders>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18"/>
                <w:szCs w:val="18"/>
              </w:rPr>
              <w:t>K</w:t>
            </w:r>
            <w:r>
              <w:rPr>
                <w:rFonts w:hint="eastAsia" w:hAnsi="Times New Roman" w:eastAsia="宋体"/>
                <w:kern w:val="2"/>
                <w:sz w:val="18"/>
                <w:szCs w:val="18"/>
                <w:vertAlign w:val="subscript"/>
              </w:rPr>
              <w:t>5</w:t>
            </w:r>
          </w:p>
        </w:tc>
        <w:tc>
          <w:tcPr>
            <w:tcW w:w="963" w:type="dxa"/>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440</w:t>
            </w:r>
          </w:p>
        </w:tc>
        <w:tc>
          <w:tcPr>
            <w:tcW w:w="1257" w:type="dxa"/>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rPr>
              <w:t>W</w:t>
            </w:r>
            <w:r>
              <w:rPr>
                <w:rFonts w:hint="eastAsia" w:hAnsi="Times New Roman" w:eastAsia="宋体"/>
                <w:kern w:val="2"/>
                <w:sz w:val="21"/>
                <w:szCs w:val="21"/>
                <w:vertAlign w:val="subscript"/>
              </w:rPr>
              <w:t>O</w:t>
            </w:r>
            <w:r>
              <w:rPr>
                <w:rFonts w:hint="eastAsia" w:hAnsi="Times New Roman" w:eastAsia="宋体"/>
                <w:kern w:val="2"/>
                <w:sz w:val="21"/>
                <w:szCs w:val="21"/>
              </w:rPr>
              <w:t>=</w:t>
            </w:r>
            <w:r>
              <w:rPr>
                <w:rFonts w:hint="eastAsia" w:hAnsi="Times New Roman" w:eastAsia="宋体"/>
                <w:kern w:val="2"/>
                <w:sz w:val="21"/>
                <w:szCs w:val="21"/>
                <w:lang w:eastAsia="zh-CN"/>
              </w:rPr>
              <w:t>202.0</w:t>
            </w:r>
          </w:p>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U</w:t>
            </w:r>
            <w:r>
              <w:rPr>
                <w:rFonts w:hint="eastAsia" w:hAnsi="Times New Roman" w:eastAsia="宋体"/>
                <w:kern w:val="2"/>
                <w:sz w:val="21"/>
                <w:szCs w:val="21"/>
                <w:vertAlign w:val="subscript"/>
              </w:rPr>
              <w:t>0</w:t>
            </w:r>
            <w:r>
              <w:rPr>
                <w:rFonts w:hint="eastAsia" w:hAnsi="Times New Roman" w:eastAsia="宋体"/>
                <w:kern w:val="2"/>
                <w:sz w:val="21"/>
                <w:szCs w:val="21"/>
              </w:rPr>
              <w:t>=</w:t>
            </w:r>
            <w:r>
              <w:rPr>
                <w:rFonts w:hint="eastAsia" w:hAnsi="Times New Roman" w:eastAsia="宋体"/>
                <w:kern w:val="2"/>
                <w:sz w:val="21"/>
                <w:szCs w:val="21"/>
                <w:lang w:eastAsia="zh-CN"/>
              </w:rPr>
              <w:t>60.570</w:t>
            </w:r>
          </w:p>
        </w:tc>
        <w:tc>
          <w:tcPr>
            <w:tcW w:w="831"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i</w:t>
            </w:r>
            <w:r>
              <w:rPr>
                <w:rFonts w:hint="eastAsia" w:hAnsi="Times New Roman" w:eastAsia="宋体"/>
                <w:kern w:val="2"/>
                <w:sz w:val="21"/>
                <w:szCs w:val="21"/>
                <w:vertAlign w:val="subscript"/>
              </w:rPr>
              <w:t>0</w:t>
            </w:r>
          </w:p>
        </w:tc>
        <w:tc>
          <w:tcPr>
            <w:tcW w:w="97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10.0949</w:t>
            </w:r>
          </w:p>
        </w:tc>
        <w:tc>
          <w:tcPr>
            <w:tcW w:w="98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3.3650</w:t>
            </w:r>
          </w:p>
        </w:tc>
        <w:tc>
          <w:tcPr>
            <w:tcW w:w="98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1.6825</w:t>
            </w:r>
          </w:p>
        </w:tc>
        <w:tc>
          <w:tcPr>
            <w:tcW w:w="102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1.1217</w:t>
            </w:r>
          </w:p>
        </w:tc>
        <w:tc>
          <w:tcPr>
            <w:tcW w:w="97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0.8412</w:t>
            </w:r>
          </w:p>
        </w:tc>
        <w:tc>
          <w:tcPr>
            <w:tcW w:w="1051"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0.6309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5" w:type="dxa"/>
            <w:vMerge w:val="continue"/>
            <w:tcBorders>
              <w:lef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963"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257"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831"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k</w:t>
            </w:r>
            <w:r>
              <w:rPr>
                <w:rFonts w:hint="eastAsia" w:hAnsi="Times New Roman" w:eastAsia="宋体"/>
                <w:kern w:val="2"/>
                <w:sz w:val="21"/>
                <w:szCs w:val="21"/>
                <w:vertAlign w:val="subscript"/>
              </w:rPr>
              <w:t>0</w:t>
            </w:r>
          </w:p>
        </w:tc>
        <w:tc>
          <w:tcPr>
            <w:tcW w:w="97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0.767</w:t>
            </w:r>
          </w:p>
        </w:tc>
        <w:tc>
          <w:tcPr>
            <w:tcW w:w="98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0.0852</w:t>
            </w:r>
          </w:p>
        </w:tc>
        <w:tc>
          <w:tcPr>
            <w:tcW w:w="98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0.0213</w:t>
            </w:r>
          </w:p>
        </w:tc>
        <w:tc>
          <w:tcPr>
            <w:tcW w:w="102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0.00947</w:t>
            </w:r>
          </w:p>
        </w:tc>
        <w:tc>
          <w:tcPr>
            <w:tcW w:w="97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0.00533</w:t>
            </w:r>
          </w:p>
        </w:tc>
        <w:tc>
          <w:tcPr>
            <w:tcW w:w="1051"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0.00300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5" w:type="dxa"/>
            <w:vMerge w:val="continue"/>
            <w:tcBorders>
              <w:lef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963"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257"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831"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i/>
                <w:kern w:val="2"/>
                <w:sz w:val="21"/>
                <w:szCs w:val="21"/>
              </w:rPr>
              <w:t>ε</w:t>
            </w:r>
            <w:r>
              <w:rPr>
                <w:rFonts w:hint="eastAsia" w:hAnsi="Times New Roman" w:eastAsia="宋体"/>
                <w:kern w:val="2"/>
                <w:sz w:val="21"/>
                <w:szCs w:val="21"/>
                <w:vertAlign w:val="subscript"/>
              </w:rPr>
              <w:t>0</w:t>
            </w:r>
          </w:p>
        </w:tc>
        <w:tc>
          <w:tcPr>
            <w:tcW w:w="97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4.6033</w:t>
            </w:r>
          </w:p>
        </w:tc>
        <w:tc>
          <w:tcPr>
            <w:tcW w:w="98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1.5344</w:t>
            </w:r>
          </w:p>
        </w:tc>
        <w:tc>
          <w:tcPr>
            <w:tcW w:w="98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0.7672</w:t>
            </w:r>
          </w:p>
        </w:tc>
        <w:tc>
          <w:tcPr>
            <w:tcW w:w="102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0.5115</w:t>
            </w:r>
          </w:p>
        </w:tc>
        <w:tc>
          <w:tcPr>
            <w:tcW w:w="97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0.3836</w:t>
            </w:r>
          </w:p>
        </w:tc>
        <w:tc>
          <w:tcPr>
            <w:tcW w:w="1051"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0.2877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5" w:type="dxa"/>
            <w:tcBorders>
              <w:lef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全井田</w:t>
            </w:r>
          </w:p>
        </w:tc>
        <w:tc>
          <w:tcPr>
            <w:tcW w:w="96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920</w:t>
            </w:r>
          </w:p>
        </w:tc>
        <w:tc>
          <w:tcPr>
            <w:tcW w:w="8084" w:type="dxa"/>
            <w:gridSpan w:val="8"/>
            <w:tcBorders>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rPr>
              <w:t>W=</w:t>
            </w:r>
            <w:r>
              <w:rPr>
                <w:rFonts w:hint="eastAsia" w:hAnsi="Times New Roman" w:eastAsia="宋体"/>
                <w:kern w:val="2"/>
                <w:sz w:val="21"/>
                <w:szCs w:val="21"/>
                <w:lang w:eastAsia="zh-CN"/>
              </w:rPr>
              <w:t>842.0</w:t>
            </w:r>
            <w:r>
              <w:rPr>
                <w:rFonts w:hint="eastAsia" w:hAnsi="Times New Roman" w:eastAsia="宋体"/>
                <w:kern w:val="2"/>
                <w:sz w:val="21"/>
                <w:szCs w:val="21"/>
              </w:rPr>
              <w:t>，U=</w:t>
            </w:r>
            <w:r>
              <w:rPr>
                <w:rFonts w:hint="eastAsia" w:hAnsi="Times New Roman" w:eastAsia="宋体"/>
                <w:kern w:val="2"/>
                <w:sz w:val="21"/>
                <w:szCs w:val="21"/>
                <w:lang w:eastAsia="zh-CN"/>
              </w:rPr>
              <w:t>252.557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82" w:type="dxa"/>
            <w:gridSpan w:val="10"/>
            <w:tcBorders>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单位W</w:t>
            </w:r>
            <w:r>
              <w:rPr>
                <w:rFonts w:hint="eastAsia" w:hAnsi="Times New Roman" w:eastAsia="宋体"/>
                <w:kern w:val="2"/>
                <w:sz w:val="21"/>
                <w:szCs w:val="21"/>
                <w:vertAlign w:val="subscript"/>
              </w:rPr>
              <w:t>O</w:t>
            </w:r>
            <w:r>
              <w:rPr>
                <w:rFonts w:hint="eastAsia" w:hAnsi="Times New Roman" w:eastAsia="宋体"/>
                <w:kern w:val="2"/>
                <w:sz w:val="21"/>
                <w:szCs w:val="21"/>
              </w:rPr>
              <w:t>—mm，i</w:t>
            </w:r>
            <w:r>
              <w:rPr>
                <w:rFonts w:hint="eastAsia" w:hAnsi="Times New Roman" w:eastAsia="宋体"/>
                <w:kern w:val="2"/>
                <w:sz w:val="21"/>
                <w:szCs w:val="21"/>
                <w:vertAlign w:val="subscript"/>
              </w:rPr>
              <w:t>0</w:t>
            </w:r>
            <w:r>
              <w:rPr>
                <w:rFonts w:hint="eastAsia" w:hAnsi="Times New Roman" w:eastAsia="宋体"/>
                <w:kern w:val="2"/>
                <w:sz w:val="21"/>
                <w:szCs w:val="21"/>
              </w:rPr>
              <w:t>—mm/m，k</w:t>
            </w:r>
            <w:r>
              <w:rPr>
                <w:rFonts w:hint="eastAsia" w:hAnsi="Times New Roman" w:eastAsia="宋体"/>
                <w:kern w:val="2"/>
                <w:sz w:val="21"/>
                <w:szCs w:val="21"/>
                <w:vertAlign w:val="subscript"/>
              </w:rPr>
              <w:t>0</w:t>
            </w:r>
            <w:r>
              <w:rPr>
                <w:rFonts w:hint="eastAsia" w:hAnsi="Times New Roman" w:eastAsia="宋体"/>
                <w:kern w:val="2"/>
                <w:sz w:val="21"/>
                <w:szCs w:val="21"/>
              </w:rPr>
              <w:t>—10</w:t>
            </w:r>
            <w:r>
              <w:rPr>
                <w:rFonts w:hint="eastAsia" w:hAnsi="Times New Roman" w:eastAsia="宋体"/>
                <w:kern w:val="2"/>
                <w:sz w:val="21"/>
                <w:szCs w:val="21"/>
                <w:vertAlign w:val="superscript"/>
              </w:rPr>
              <w:t>-3</w:t>
            </w:r>
            <w:r>
              <w:rPr>
                <w:rFonts w:hint="eastAsia" w:hAnsi="Times New Roman" w:eastAsia="宋体"/>
                <w:kern w:val="2"/>
                <w:sz w:val="21"/>
                <w:szCs w:val="21"/>
              </w:rPr>
              <w:t>/m，</w:t>
            </w:r>
            <w:r>
              <w:rPr>
                <w:rFonts w:hint="eastAsia" w:hAnsi="Times New Roman" w:eastAsia="宋体"/>
                <w:i/>
                <w:kern w:val="2"/>
                <w:sz w:val="21"/>
                <w:szCs w:val="21"/>
              </w:rPr>
              <w:t>ε</w:t>
            </w:r>
            <w:r>
              <w:rPr>
                <w:rFonts w:hint="eastAsia" w:hAnsi="Times New Roman" w:eastAsia="宋体"/>
                <w:kern w:val="2"/>
                <w:sz w:val="21"/>
                <w:szCs w:val="21"/>
                <w:vertAlign w:val="subscript"/>
              </w:rPr>
              <w:t>0</w:t>
            </w:r>
            <w:r>
              <w:rPr>
                <w:rFonts w:hint="eastAsia" w:hAnsi="Times New Roman" w:eastAsia="宋体"/>
                <w:kern w:val="2"/>
                <w:sz w:val="21"/>
                <w:szCs w:val="21"/>
              </w:rPr>
              <w:t>—mm/m，U</w:t>
            </w:r>
            <w:r>
              <w:rPr>
                <w:rFonts w:hint="eastAsia" w:hAnsi="Times New Roman" w:eastAsia="宋体"/>
                <w:kern w:val="2"/>
                <w:sz w:val="21"/>
                <w:szCs w:val="21"/>
                <w:vertAlign w:val="subscript"/>
              </w:rPr>
              <w:t>0</w:t>
            </w:r>
            <w:r>
              <w:rPr>
                <w:rFonts w:hint="eastAsia" w:hAnsi="Times New Roman" w:eastAsia="宋体"/>
                <w:kern w:val="2"/>
                <w:sz w:val="21"/>
                <w:szCs w:val="21"/>
              </w:rPr>
              <w:t>—mm</w:t>
            </w:r>
          </w:p>
        </w:tc>
      </w:tr>
    </w:tbl>
    <w:p>
      <w:pPr>
        <w:pStyle w:val="14"/>
        <w:overflowPunct w:val="0"/>
        <w:spacing w:line="360" w:lineRule="auto"/>
        <w:ind w:firstLine="480" w:firstLineChars="200"/>
        <w:rPr>
          <w:rFonts w:ascii="Times New Roman" w:hAnsi="Times New Roman"/>
          <w:sz w:val="24"/>
          <w:highlight w:val="yellow"/>
        </w:rPr>
      </w:pPr>
      <w:r>
        <w:rPr>
          <w:rFonts w:hint="eastAsia" w:ascii="Times New Roman" w:hAnsi="Times New Roman"/>
          <w:sz w:val="24"/>
        </w:rPr>
        <w:t>根据以上地表沉陷预测结果，受矿区内可采煤层分布不均影响，不同采区地表移动变形的预测结果各不相同，矿井各煤层开采后形成的最大下沉值为</w:t>
      </w:r>
      <w:r>
        <w:rPr>
          <w:rFonts w:hint="eastAsia" w:ascii="Times New Roman" w:hAnsi="Times New Roman"/>
          <w:sz w:val="24"/>
          <w:lang w:eastAsia="zh-CN"/>
        </w:rPr>
        <w:t>220.25</w:t>
      </w:r>
      <w:r>
        <w:rPr>
          <w:rFonts w:hint="eastAsia" w:ascii="Times New Roman" w:hAnsi="Times New Roman"/>
          <w:sz w:val="24"/>
        </w:rPr>
        <w:t>mm，水平移动值为</w:t>
      </w:r>
      <w:r>
        <w:rPr>
          <w:rFonts w:hint="eastAsia" w:ascii="Times New Roman" w:hAnsi="Times New Roman"/>
          <w:sz w:val="24"/>
          <w:lang w:eastAsia="zh-CN"/>
        </w:rPr>
        <w:t>66.076</w:t>
      </w:r>
      <w:r>
        <w:rPr>
          <w:rFonts w:hint="eastAsia" w:ascii="Times New Roman" w:hAnsi="Times New Roman"/>
          <w:sz w:val="24"/>
        </w:rPr>
        <w:t>mm。随着煤层开采深度的增加，其地表变形值逐渐减小。目前</w:t>
      </w:r>
      <w:r>
        <w:rPr>
          <w:rFonts w:hint="eastAsia" w:ascii="Times New Roman" w:hAnsi="Times New Roman"/>
          <w:sz w:val="24"/>
          <w:lang w:eastAsia="zh-CN"/>
        </w:rPr>
        <w:t>七里</w:t>
      </w:r>
      <w:r>
        <w:rPr>
          <w:rFonts w:hint="eastAsia" w:ascii="Times New Roman" w:hAnsi="Times New Roman"/>
          <w:sz w:val="24"/>
        </w:rPr>
        <w:t>峡煤矿矿区范围内各煤层均有不同程度的开采，采空区面积较大，根据现场调查，之前的开采并未对地表造成明显的沉陷影响。</w:t>
      </w:r>
    </w:p>
    <w:p>
      <w:pPr>
        <w:pStyle w:val="8"/>
        <w:ind w:firstLine="482" w:firstLineChars="200"/>
        <w:rPr>
          <w:rFonts w:ascii="Times New Roman" w:hAnsi="Times New Roman"/>
          <w:szCs w:val="24"/>
          <w:lang w:eastAsia="zh-CN"/>
        </w:rPr>
      </w:pPr>
      <w:r>
        <w:rPr>
          <w:rFonts w:hint="eastAsia" w:ascii="Times New Roman" w:hAnsi="Times New Roman"/>
          <w:szCs w:val="24"/>
          <w:lang w:eastAsia="zh-CN"/>
        </w:rPr>
        <w:t>4.5.3.2动态移动变形预测</w:t>
      </w:r>
    </w:p>
    <w:p>
      <w:pPr>
        <w:pStyle w:val="14"/>
        <w:overflowPunct w:val="0"/>
        <w:spacing w:line="360" w:lineRule="auto"/>
        <w:ind w:firstLine="480" w:firstLineChars="200"/>
        <w:rPr>
          <w:rFonts w:ascii="Times New Roman" w:hAnsi="Times New Roman"/>
          <w:sz w:val="24"/>
        </w:rPr>
      </w:pPr>
      <w:r>
        <w:rPr>
          <w:rFonts w:hint="eastAsia" w:ascii="Times New Roman" w:hAnsi="Times New Roman"/>
          <w:sz w:val="24"/>
          <w:lang w:eastAsia="zh-CN"/>
        </w:rPr>
        <w:t>七里峡煤矿扩建项目拟定先期接替采区东侧以Ⅱ号</w:t>
      </w:r>
      <w:r>
        <w:rPr>
          <w:rFonts w:hint="eastAsia"/>
          <w:sz w:val="24"/>
        </w:rPr>
        <w:t>剖面线为边界</w:t>
      </w:r>
      <w:r>
        <w:rPr>
          <w:rFonts w:hint="eastAsia"/>
          <w:sz w:val="24"/>
          <w:lang w:eastAsia="zh-CN"/>
        </w:rPr>
        <w:t>，西侧以Ⅰ号</w:t>
      </w:r>
      <w:r>
        <w:rPr>
          <w:rFonts w:hint="eastAsia"/>
          <w:sz w:val="24"/>
        </w:rPr>
        <w:t>剖面线为边界</w:t>
      </w:r>
      <w:r>
        <w:rPr>
          <w:rFonts w:hint="eastAsia" w:ascii="Times New Roman" w:hAnsi="Times New Roman"/>
          <w:sz w:val="24"/>
        </w:rPr>
        <w:t>，</w:t>
      </w:r>
      <w:r>
        <w:rPr>
          <w:sz w:val="24"/>
        </w:rPr>
        <w:t>设计开采+</w:t>
      </w:r>
      <w:r>
        <w:rPr>
          <w:rFonts w:hint="eastAsia"/>
          <w:sz w:val="24"/>
          <w:lang w:eastAsia="zh-CN"/>
        </w:rPr>
        <w:t>4</w:t>
      </w:r>
      <w:r>
        <w:rPr>
          <w:sz w:val="24"/>
        </w:rPr>
        <w:t>00m</w:t>
      </w:r>
      <w:r>
        <w:rPr>
          <w:rFonts w:hint="eastAsia"/>
          <w:sz w:val="24"/>
        </w:rPr>
        <w:t>～+</w:t>
      </w:r>
      <w:r>
        <w:rPr>
          <w:rFonts w:hint="eastAsia"/>
          <w:sz w:val="24"/>
          <w:lang w:eastAsia="zh-CN"/>
        </w:rPr>
        <w:t>20</w:t>
      </w:r>
      <w:r>
        <w:rPr>
          <w:sz w:val="24"/>
        </w:rPr>
        <w:t>0m煤</w:t>
      </w:r>
      <w:r>
        <w:rPr>
          <w:rFonts w:hint="eastAsia"/>
          <w:sz w:val="24"/>
        </w:rPr>
        <w:t>层</w:t>
      </w:r>
      <w:r>
        <w:rPr>
          <w:sz w:val="24"/>
        </w:rPr>
        <w:t>，</w:t>
      </w:r>
      <w:r>
        <w:rPr>
          <w:rFonts w:hint="eastAsia" w:ascii="Times New Roman" w:hAnsi="Times New Roman"/>
          <w:sz w:val="24"/>
        </w:rPr>
        <w:t>地表将分别受到各煤层的采动影响。随着采空区面积的增大，塌陷区的范围将不断扩大；随着开采层数的增加沉陷深度也将不断增加。在这一过程中，地表点承受的移动变形情况可分以下三类：</w:t>
      </w:r>
    </w:p>
    <w:p>
      <w:pPr>
        <w:pStyle w:val="14"/>
        <w:overflowPunct w:val="0"/>
        <w:spacing w:line="360" w:lineRule="auto"/>
        <w:ind w:firstLine="480" w:firstLineChars="200"/>
        <w:rPr>
          <w:rFonts w:ascii="Times New Roman" w:hAnsi="Times New Roman"/>
          <w:sz w:val="24"/>
        </w:rPr>
      </w:pPr>
      <w:r>
        <w:rPr>
          <w:rFonts w:hint="eastAsia" w:ascii="Times New Roman" w:hAnsi="Times New Roman"/>
          <w:sz w:val="24"/>
        </w:rPr>
        <w:t>第一类：动态变形</w:t>
      </w:r>
    </w:p>
    <w:p>
      <w:pPr>
        <w:pStyle w:val="14"/>
        <w:overflowPunct w:val="0"/>
        <w:spacing w:line="360" w:lineRule="auto"/>
        <w:ind w:firstLine="480" w:firstLineChars="200"/>
        <w:rPr>
          <w:rFonts w:ascii="Times New Roman" w:hAnsi="Times New Roman"/>
          <w:sz w:val="24"/>
        </w:rPr>
      </w:pPr>
      <w:r>
        <w:rPr>
          <w:rFonts w:hint="eastAsia" w:ascii="Times New Roman" w:hAnsi="Times New Roman"/>
          <w:sz w:val="24"/>
        </w:rPr>
        <w:t>对于稳定后的移动盆地来说，这些地表点处于中部充分采动区。地表点每次只承受一层煤开采所引起的变形影响（倾斜、曲率、水平移动和水平变形）。</w:t>
      </w:r>
    </w:p>
    <w:p>
      <w:pPr>
        <w:pStyle w:val="14"/>
        <w:overflowPunct w:val="0"/>
        <w:spacing w:line="360" w:lineRule="auto"/>
        <w:ind w:firstLine="480" w:firstLineChars="200"/>
        <w:rPr>
          <w:rFonts w:ascii="Times New Roman" w:hAnsi="Times New Roman"/>
          <w:sz w:val="24"/>
        </w:rPr>
      </w:pPr>
      <w:r>
        <w:rPr>
          <w:rFonts w:hint="eastAsia" w:ascii="Times New Roman" w:hAnsi="Times New Roman"/>
          <w:sz w:val="24"/>
        </w:rPr>
        <w:t>第二类：永久变形</w:t>
      </w:r>
    </w:p>
    <w:p>
      <w:pPr>
        <w:pStyle w:val="14"/>
        <w:overflowPunct w:val="0"/>
        <w:spacing w:line="360" w:lineRule="auto"/>
        <w:ind w:firstLine="480" w:firstLineChars="200"/>
        <w:rPr>
          <w:rFonts w:ascii="Times New Roman" w:hAnsi="Times New Roman"/>
          <w:sz w:val="24"/>
        </w:rPr>
      </w:pPr>
      <w:r>
        <w:rPr>
          <w:rFonts w:hint="eastAsia" w:ascii="Times New Roman" w:hAnsi="Times New Roman"/>
          <w:sz w:val="24"/>
        </w:rPr>
        <w:t>这类地表点处于矿井或永久性保护煤柱的边缘，煤层开采完且地表移动稳定后，其变形、移动值均达到一定值不再变化。</w:t>
      </w:r>
    </w:p>
    <w:p>
      <w:pPr>
        <w:pStyle w:val="14"/>
        <w:overflowPunct w:val="0"/>
        <w:spacing w:line="360" w:lineRule="auto"/>
        <w:ind w:firstLine="480" w:firstLineChars="200"/>
        <w:rPr>
          <w:rFonts w:ascii="Times New Roman" w:hAnsi="Times New Roman"/>
          <w:sz w:val="24"/>
        </w:rPr>
      </w:pPr>
      <w:r>
        <w:rPr>
          <w:rFonts w:hint="eastAsia" w:ascii="Times New Roman" w:hAnsi="Times New Roman"/>
          <w:sz w:val="24"/>
        </w:rPr>
        <w:t>第三类：半永久性的变形</w:t>
      </w:r>
    </w:p>
    <w:p>
      <w:pPr>
        <w:pStyle w:val="14"/>
        <w:overflowPunct w:val="0"/>
        <w:spacing w:line="360" w:lineRule="auto"/>
        <w:ind w:firstLine="480" w:firstLineChars="200"/>
        <w:rPr>
          <w:rFonts w:ascii="Times New Roman" w:hAnsi="Times New Roman"/>
          <w:sz w:val="24"/>
        </w:rPr>
      </w:pPr>
      <w:r>
        <w:rPr>
          <w:rFonts w:hint="eastAsia" w:ascii="Times New Roman" w:hAnsi="Times New Roman"/>
          <w:sz w:val="24"/>
        </w:rPr>
        <w:t>这类地表点处于采区边界或临时性煤柱边界上方，采区或煤柱外煤层开采时，具有永久性变形的性质，但在其相邻采区或煤柱开采时，这些永久性变形又逐步被</w:t>
      </w:r>
      <w:r>
        <w:rPr>
          <w:rFonts w:hint="eastAsia" w:ascii="Times New Roman" w:hAnsi="Times New Roman"/>
          <w:sz w:val="24"/>
          <w:lang w:eastAsia="zh-CN"/>
        </w:rPr>
        <w:t>抵消</w:t>
      </w:r>
      <w:r>
        <w:rPr>
          <w:rFonts w:hint="eastAsia" w:ascii="Times New Roman" w:hAnsi="Times New Roman"/>
          <w:sz w:val="24"/>
        </w:rPr>
        <w:t>，最终地表处于无变形状态或少量残余变形状态。</w:t>
      </w:r>
    </w:p>
    <w:p>
      <w:pPr>
        <w:pStyle w:val="8"/>
        <w:ind w:firstLine="482" w:firstLineChars="200"/>
        <w:rPr>
          <w:rFonts w:ascii="Times New Roman" w:hAnsi="Times New Roman"/>
          <w:szCs w:val="24"/>
          <w:lang w:eastAsia="zh-CN"/>
        </w:rPr>
      </w:pPr>
      <w:r>
        <w:rPr>
          <w:rFonts w:hint="eastAsia" w:ascii="Times New Roman" w:hAnsi="Times New Roman"/>
          <w:szCs w:val="24"/>
          <w:lang w:eastAsia="zh-CN"/>
        </w:rPr>
        <w:t>4.5.3.3典型工作面（首采工作面）开采的动态预计</w:t>
      </w:r>
    </w:p>
    <w:p>
      <w:pPr>
        <w:pStyle w:val="14"/>
        <w:overflowPunct w:val="0"/>
        <w:spacing w:line="360" w:lineRule="auto"/>
        <w:ind w:firstLine="480" w:firstLineChars="200"/>
        <w:rPr>
          <w:rFonts w:ascii="Times New Roman" w:hAnsi="Times New Roman"/>
          <w:sz w:val="24"/>
        </w:rPr>
      </w:pPr>
      <w:r>
        <w:rPr>
          <w:rFonts w:hint="eastAsia" w:ascii="Times New Roman" w:hAnsi="Times New Roman"/>
          <w:sz w:val="24"/>
        </w:rPr>
        <w:t>由于采区各工作面采深、采高等因素不同，地表沉陷剧烈程度、沉陷过程持续时间、动态变形最大值和超前影响距等也有所变化。</w:t>
      </w:r>
      <w:r>
        <w:rPr>
          <w:rFonts w:hint="eastAsia" w:ascii="Times New Roman" w:hAnsi="Times New Roman"/>
          <w:sz w:val="24"/>
          <w:lang w:eastAsia="zh-CN"/>
        </w:rPr>
        <w:t>七里峡</w:t>
      </w:r>
      <w:r>
        <w:rPr>
          <w:rFonts w:hint="eastAsia" w:ascii="Times New Roman" w:hAnsi="Times New Roman"/>
          <w:sz w:val="24"/>
        </w:rPr>
        <w:t>煤矿扩建项目拟定先期接替采区</w:t>
      </w:r>
      <w:r>
        <w:rPr>
          <w:rFonts w:hint="eastAsia" w:ascii="Times New Roman" w:hAnsi="Times New Roman"/>
          <w:sz w:val="24"/>
          <w:lang w:eastAsia="zh-CN"/>
        </w:rPr>
        <w:t>东侧以Ⅱ号</w:t>
      </w:r>
      <w:r>
        <w:rPr>
          <w:rFonts w:hint="eastAsia" w:ascii="Times New Roman" w:hAnsi="Times New Roman"/>
          <w:sz w:val="24"/>
        </w:rPr>
        <w:t>剖面线为边界</w:t>
      </w:r>
      <w:r>
        <w:rPr>
          <w:rFonts w:hint="eastAsia" w:ascii="Times New Roman" w:hAnsi="Times New Roman"/>
          <w:sz w:val="24"/>
          <w:lang w:eastAsia="zh-CN"/>
        </w:rPr>
        <w:t>，西侧以Ⅰ号</w:t>
      </w:r>
      <w:r>
        <w:rPr>
          <w:rFonts w:hint="eastAsia" w:ascii="Times New Roman" w:hAnsi="Times New Roman"/>
          <w:sz w:val="24"/>
        </w:rPr>
        <w:t>剖面线为边界，设计开采+</w:t>
      </w:r>
      <w:r>
        <w:rPr>
          <w:rFonts w:hint="eastAsia" w:ascii="Times New Roman" w:hAnsi="Times New Roman"/>
          <w:sz w:val="24"/>
          <w:lang w:eastAsia="zh-CN"/>
        </w:rPr>
        <w:t>4</w:t>
      </w:r>
      <w:r>
        <w:rPr>
          <w:rFonts w:hint="eastAsia" w:ascii="Times New Roman" w:hAnsi="Times New Roman"/>
          <w:sz w:val="24"/>
        </w:rPr>
        <w:t>00m～+</w:t>
      </w:r>
      <w:r>
        <w:rPr>
          <w:rFonts w:hint="eastAsia" w:ascii="Times New Roman" w:hAnsi="Times New Roman"/>
          <w:sz w:val="24"/>
          <w:lang w:eastAsia="zh-CN"/>
        </w:rPr>
        <w:t>20</w:t>
      </w:r>
      <w:r>
        <w:rPr>
          <w:rFonts w:hint="eastAsia" w:ascii="Times New Roman" w:hAnsi="Times New Roman"/>
          <w:sz w:val="24"/>
        </w:rPr>
        <w:t>0m煤层，为了准确评价开采沉陷的动态过程，本环评对</w:t>
      </w:r>
      <w:r>
        <w:rPr>
          <w:rFonts w:hint="eastAsia" w:ascii="Times New Roman" w:hAnsi="Times New Roman"/>
          <w:sz w:val="24"/>
          <w:lang w:eastAsia="zh-CN"/>
        </w:rPr>
        <w:t>七里峡</w:t>
      </w:r>
      <w:r>
        <w:rPr>
          <w:rFonts w:hint="eastAsia" w:ascii="Times New Roman" w:hAnsi="Times New Roman"/>
          <w:sz w:val="24"/>
        </w:rPr>
        <w:t>煤矿K</w:t>
      </w:r>
      <w:r>
        <w:rPr>
          <w:rFonts w:hint="eastAsia" w:ascii="Times New Roman" w:hAnsi="Times New Roman"/>
          <w:sz w:val="24"/>
          <w:vertAlign w:val="subscript"/>
          <w:lang w:eastAsia="zh-CN"/>
        </w:rPr>
        <w:t>6</w:t>
      </w:r>
      <w:r>
        <w:rPr>
          <w:rFonts w:hint="eastAsia" w:ascii="Times New Roman" w:hAnsi="Times New Roman"/>
          <w:sz w:val="24"/>
        </w:rPr>
        <w:t>煤层作一个典型工作面开采的动态预计。K</w:t>
      </w:r>
      <w:r>
        <w:rPr>
          <w:rFonts w:hint="eastAsia" w:ascii="Times New Roman" w:hAnsi="Times New Roman"/>
          <w:sz w:val="24"/>
          <w:vertAlign w:val="subscript"/>
          <w:lang w:eastAsia="zh-CN"/>
        </w:rPr>
        <w:t>6</w:t>
      </w:r>
      <w:r>
        <w:rPr>
          <w:rFonts w:hint="eastAsia" w:ascii="Times New Roman" w:hAnsi="Times New Roman"/>
          <w:sz w:val="24"/>
        </w:rPr>
        <w:t>煤层首采工作面设计开采厚度约为</w:t>
      </w:r>
      <w:r>
        <w:rPr>
          <w:rFonts w:hint="eastAsia" w:ascii="Times New Roman" w:hAnsi="Times New Roman"/>
          <w:sz w:val="24"/>
          <w:lang w:eastAsia="zh-CN"/>
        </w:rPr>
        <w:t>0.48</w:t>
      </w:r>
      <w:r>
        <w:rPr>
          <w:rFonts w:hint="eastAsia" w:ascii="Times New Roman" w:hAnsi="Times New Roman"/>
          <w:sz w:val="24"/>
        </w:rPr>
        <w:t>m，工作面日推进约为5m，采深平均约为</w:t>
      </w:r>
      <w:r>
        <w:rPr>
          <w:rFonts w:hint="eastAsia" w:ascii="Times New Roman" w:hAnsi="Times New Roman"/>
          <w:sz w:val="24"/>
          <w:lang w:eastAsia="zh-CN"/>
        </w:rPr>
        <w:t>487</w:t>
      </w:r>
      <w:r>
        <w:rPr>
          <w:rFonts w:hint="eastAsia" w:ascii="Times New Roman" w:hAnsi="Times New Roman"/>
          <w:sz w:val="24"/>
        </w:rPr>
        <w:t>m。</w:t>
      </w:r>
    </w:p>
    <w:p>
      <w:pPr>
        <w:pStyle w:val="7"/>
        <w:adjustRightInd w:val="0"/>
        <w:snapToGrid w:val="0"/>
        <w:spacing w:line="360" w:lineRule="auto"/>
        <w:ind w:firstLine="482"/>
        <w:rPr>
          <w:rFonts w:ascii="宋体" w:hAnsi="宋体" w:eastAsia="宋体" w:cs="宋体"/>
          <w:b/>
          <w:szCs w:val="24"/>
        </w:rPr>
      </w:pPr>
      <w:r>
        <w:rPr>
          <w:rFonts w:hint="eastAsia" w:ascii="宋体" w:hAnsi="宋体" w:eastAsia="宋体" w:cs="宋体"/>
          <w:b/>
          <w:szCs w:val="24"/>
        </w:rPr>
        <w:t>（1）地表动态移动变形最大值</w:t>
      </w:r>
    </w:p>
    <w:p>
      <w:pPr>
        <w:pStyle w:val="14"/>
        <w:overflowPunct w:val="0"/>
        <w:spacing w:line="360" w:lineRule="auto"/>
        <w:ind w:firstLine="480" w:firstLineChars="200"/>
        <w:rPr>
          <w:rFonts w:ascii="Times New Roman" w:hAnsi="Times New Roman"/>
          <w:sz w:val="24"/>
        </w:rPr>
      </w:pPr>
      <w:r>
        <w:rPr>
          <w:rFonts w:hint="eastAsia" w:ascii="Times New Roman" w:hAnsi="Times New Roman"/>
          <w:sz w:val="24"/>
        </w:rPr>
        <w:t>K</w:t>
      </w:r>
      <w:r>
        <w:rPr>
          <w:rFonts w:hint="eastAsia" w:ascii="Times New Roman" w:hAnsi="Times New Roman"/>
          <w:sz w:val="24"/>
          <w:vertAlign w:val="subscript"/>
          <w:lang w:eastAsia="zh-CN"/>
        </w:rPr>
        <w:t>6</w:t>
      </w:r>
      <w:r>
        <w:rPr>
          <w:rFonts w:hint="eastAsia" w:ascii="Times New Roman" w:hAnsi="Times New Roman"/>
          <w:sz w:val="24"/>
        </w:rPr>
        <w:t>煤层首采工作面开采后产生的地表动态移动变形最大值如下表所示：</w:t>
      </w:r>
    </w:p>
    <w:p>
      <w:pPr>
        <w:pStyle w:val="14"/>
        <w:overflowPunct w:val="0"/>
        <w:spacing w:line="360" w:lineRule="auto"/>
        <w:ind w:firstLine="422" w:firstLineChars="200"/>
        <w:jc w:val="center"/>
        <w:rPr>
          <w:rFonts w:ascii="Times New Roman" w:hAnsi="Times New Roman"/>
          <w:b/>
          <w:bCs w:val="0"/>
          <w:sz w:val="21"/>
          <w:szCs w:val="21"/>
          <w:lang w:eastAsia="zh-CN"/>
        </w:rPr>
      </w:pPr>
      <w:r>
        <w:rPr>
          <w:rFonts w:hint="eastAsia" w:ascii="Times New Roman" w:hAnsi="Times New Roman"/>
          <w:b/>
          <w:bCs w:val="0"/>
          <w:sz w:val="21"/>
          <w:szCs w:val="21"/>
          <w:lang w:eastAsia="zh-CN"/>
        </w:rPr>
        <w:t>表4.5-4 首采工作面开采后地表变形最大值表</w:t>
      </w:r>
    </w:p>
    <w:tbl>
      <w:tblPr>
        <w:tblStyle w:val="34"/>
        <w:tblW w:w="924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6"/>
        <w:gridCol w:w="1500"/>
        <w:gridCol w:w="1625"/>
        <w:gridCol w:w="1638"/>
        <w:gridCol w:w="1812"/>
        <w:gridCol w:w="14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56" w:type="dxa"/>
            <w:vAlign w:val="center"/>
          </w:tcPr>
          <w:p>
            <w:pPr>
              <w:pStyle w:val="45"/>
              <w:keepNext w:val="0"/>
              <w:keepLines w:val="0"/>
              <w:suppressLineNumbers w:val="0"/>
              <w:spacing w:before="0" w:beforeAutospacing="0" w:after="0" w:afterAutospacing="0" w:line="300" w:lineRule="exact"/>
              <w:ind w:left="422" w:right="0" w:hanging="422"/>
              <w:rPr>
                <w:rFonts w:hint="eastAsia" w:ascii="Times New Roman" w:hAnsi="Times New Roman"/>
                <w:b/>
                <w:bCs/>
                <w:kern w:val="2"/>
                <w:szCs w:val="22"/>
              </w:rPr>
            </w:pPr>
            <w:r>
              <w:rPr>
                <w:rFonts w:hint="eastAsia" w:ascii="Times New Roman" w:hAnsi="Times New Roman"/>
                <w:b/>
                <w:bCs/>
                <w:kern w:val="2"/>
                <w:szCs w:val="22"/>
              </w:rPr>
              <w:t>首采煤层</w:t>
            </w:r>
          </w:p>
        </w:tc>
        <w:tc>
          <w:tcPr>
            <w:tcW w:w="1500" w:type="dxa"/>
            <w:vAlign w:val="center"/>
          </w:tcPr>
          <w:p>
            <w:pPr>
              <w:pStyle w:val="45"/>
              <w:keepNext w:val="0"/>
              <w:keepLines w:val="0"/>
              <w:suppressLineNumbers w:val="0"/>
              <w:spacing w:before="0" w:beforeAutospacing="0" w:after="0" w:afterAutospacing="0" w:line="300" w:lineRule="exact"/>
              <w:ind w:left="422" w:right="0" w:hanging="422"/>
              <w:rPr>
                <w:rFonts w:hint="eastAsia" w:ascii="Times New Roman" w:hAnsi="Times New Roman"/>
                <w:b/>
                <w:bCs/>
                <w:kern w:val="2"/>
                <w:szCs w:val="22"/>
              </w:rPr>
            </w:pPr>
            <w:r>
              <w:rPr>
                <w:rFonts w:hint="eastAsia" w:ascii="Times New Roman" w:hAnsi="Times New Roman"/>
                <w:b/>
                <w:bCs/>
                <w:kern w:val="2"/>
                <w:szCs w:val="22"/>
              </w:rPr>
              <w:t>下沉（mm）</w:t>
            </w:r>
          </w:p>
        </w:tc>
        <w:tc>
          <w:tcPr>
            <w:tcW w:w="1625" w:type="dxa"/>
            <w:vAlign w:val="center"/>
          </w:tcPr>
          <w:p>
            <w:pPr>
              <w:pStyle w:val="45"/>
              <w:keepNext w:val="0"/>
              <w:keepLines w:val="0"/>
              <w:suppressLineNumbers w:val="0"/>
              <w:spacing w:before="0" w:beforeAutospacing="0" w:after="0" w:afterAutospacing="0" w:line="300" w:lineRule="exact"/>
              <w:ind w:left="422" w:right="0" w:hanging="422"/>
              <w:rPr>
                <w:rFonts w:hint="eastAsia" w:ascii="Times New Roman" w:hAnsi="Times New Roman"/>
                <w:b/>
                <w:bCs/>
                <w:kern w:val="2"/>
                <w:szCs w:val="22"/>
              </w:rPr>
            </w:pPr>
            <w:r>
              <w:rPr>
                <w:rFonts w:hint="eastAsia" w:ascii="Times New Roman" w:hAnsi="Times New Roman"/>
                <w:b/>
                <w:bCs/>
                <w:kern w:val="2"/>
                <w:szCs w:val="22"/>
              </w:rPr>
              <w:t>水平移动</w:t>
            </w:r>
          </w:p>
          <w:p>
            <w:pPr>
              <w:pStyle w:val="45"/>
              <w:keepNext w:val="0"/>
              <w:keepLines w:val="0"/>
              <w:suppressLineNumbers w:val="0"/>
              <w:spacing w:before="0" w:beforeAutospacing="0" w:after="0" w:afterAutospacing="0" w:line="300" w:lineRule="exact"/>
              <w:ind w:left="422" w:right="0" w:hanging="422"/>
              <w:rPr>
                <w:rFonts w:hint="eastAsia" w:ascii="Times New Roman" w:hAnsi="Times New Roman"/>
                <w:b/>
                <w:bCs/>
                <w:kern w:val="2"/>
                <w:szCs w:val="22"/>
              </w:rPr>
            </w:pPr>
            <w:r>
              <w:rPr>
                <w:rFonts w:hint="eastAsia" w:ascii="Times New Roman" w:hAnsi="Times New Roman"/>
                <w:b/>
                <w:bCs/>
                <w:kern w:val="2"/>
                <w:szCs w:val="22"/>
              </w:rPr>
              <w:t>（mm）</w:t>
            </w:r>
          </w:p>
        </w:tc>
        <w:tc>
          <w:tcPr>
            <w:tcW w:w="1638" w:type="dxa"/>
            <w:vAlign w:val="center"/>
          </w:tcPr>
          <w:p>
            <w:pPr>
              <w:pStyle w:val="45"/>
              <w:keepNext w:val="0"/>
              <w:keepLines w:val="0"/>
              <w:suppressLineNumbers w:val="0"/>
              <w:spacing w:before="0" w:beforeAutospacing="0" w:after="0" w:afterAutospacing="0" w:line="300" w:lineRule="exact"/>
              <w:ind w:left="422" w:right="0" w:hanging="422"/>
              <w:rPr>
                <w:rFonts w:hint="eastAsia" w:ascii="Times New Roman" w:hAnsi="Times New Roman"/>
                <w:b/>
                <w:bCs/>
                <w:kern w:val="2"/>
                <w:szCs w:val="22"/>
              </w:rPr>
            </w:pPr>
            <w:r>
              <w:rPr>
                <w:rFonts w:hint="eastAsia" w:ascii="Times New Roman" w:hAnsi="Times New Roman"/>
                <w:b/>
                <w:bCs/>
                <w:kern w:val="2"/>
                <w:szCs w:val="22"/>
              </w:rPr>
              <w:t>倾斜（mm/m）</w:t>
            </w:r>
          </w:p>
        </w:tc>
        <w:tc>
          <w:tcPr>
            <w:tcW w:w="1812" w:type="dxa"/>
            <w:vAlign w:val="center"/>
          </w:tcPr>
          <w:p>
            <w:pPr>
              <w:pStyle w:val="45"/>
              <w:keepNext w:val="0"/>
              <w:keepLines w:val="0"/>
              <w:suppressLineNumbers w:val="0"/>
              <w:spacing w:before="0" w:beforeAutospacing="0" w:after="0" w:afterAutospacing="0" w:line="300" w:lineRule="exact"/>
              <w:ind w:left="422" w:right="0" w:hanging="422"/>
              <w:rPr>
                <w:rFonts w:hint="eastAsia" w:ascii="Times New Roman" w:hAnsi="Times New Roman"/>
                <w:b/>
                <w:bCs/>
                <w:kern w:val="2"/>
                <w:szCs w:val="22"/>
              </w:rPr>
            </w:pPr>
            <w:r>
              <w:rPr>
                <w:rFonts w:hint="eastAsia" w:ascii="Times New Roman" w:hAnsi="Times New Roman"/>
                <w:b/>
                <w:bCs/>
                <w:kern w:val="2"/>
                <w:szCs w:val="22"/>
              </w:rPr>
              <w:t>曲率（10</w:t>
            </w:r>
            <w:r>
              <w:rPr>
                <w:rFonts w:hint="eastAsia" w:ascii="Times New Roman" w:hAnsi="Times New Roman"/>
                <w:b/>
                <w:bCs/>
                <w:kern w:val="2"/>
                <w:szCs w:val="22"/>
                <w:vertAlign w:val="superscript"/>
              </w:rPr>
              <w:t>-3</w:t>
            </w:r>
            <w:r>
              <w:rPr>
                <w:rFonts w:hint="eastAsia" w:ascii="Times New Roman" w:hAnsi="Times New Roman"/>
                <w:b/>
                <w:bCs/>
                <w:kern w:val="2"/>
                <w:szCs w:val="22"/>
              </w:rPr>
              <w:t>/m）</w:t>
            </w:r>
          </w:p>
        </w:tc>
        <w:tc>
          <w:tcPr>
            <w:tcW w:w="1413" w:type="dxa"/>
            <w:vAlign w:val="center"/>
          </w:tcPr>
          <w:p>
            <w:pPr>
              <w:pStyle w:val="45"/>
              <w:keepNext w:val="0"/>
              <w:keepLines w:val="0"/>
              <w:suppressLineNumbers w:val="0"/>
              <w:spacing w:before="0" w:beforeAutospacing="0" w:after="0" w:afterAutospacing="0" w:line="300" w:lineRule="exact"/>
              <w:ind w:left="422" w:right="0" w:hanging="422"/>
              <w:rPr>
                <w:rFonts w:hint="eastAsia" w:ascii="Times New Roman" w:hAnsi="Times New Roman"/>
                <w:b/>
                <w:bCs/>
                <w:kern w:val="2"/>
                <w:szCs w:val="22"/>
              </w:rPr>
            </w:pPr>
            <w:r>
              <w:rPr>
                <w:rFonts w:hint="eastAsia" w:ascii="Times New Roman" w:hAnsi="Times New Roman"/>
                <w:b/>
                <w:bCs/>
                <w:kern w:val="2"/>
                <w:szCs w:val="22"/>
              </w:rPr>
              <w:t>水平变形</w:t>
            </w:r>
          </w:p>
          <w:p>
            <w:pPr>
              <w:pStyle w:val="45"/>
              <w:keepNext w:val="0"/>
              <w:keepLines w:val="0"/>
              <w:suppressLineNumbers w:val="0"/>
              <w:spacing w:before="0" w:beforeAutospacing="0" w:after="0" w:afterAutospacing="0" w:line="300" w:lineRule="exact"/>
              <w:ind w:left="422" w:right="0" w:hanging="422"/>
              <w:rPr>
                <w:rFonts w:hint="eastAsia" w:ascii="Times New Roman" w:hAnsi="Times New Roman"/>
                <w:b/>
                <w:bCs/>
                <w:kern w:val="2"/>
                <w:szCs w:val="22"/>
              </w:rPr>
            </w:pPr>
            <w:r>
              <w:rPr>
                <w:rFonts w:hint="eastAsia" w:ascii="Times New Roman" w:hAnsi="Times New Roman"/>
                <w:b/>
                <w:bCs/>
                <w:kern w:val="2"/>
                <w:szCs w:val="22"/>
              </w:rPr>
              <w:t>（mm/m）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56"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K</w:t>
            </w:r>
            <w:r>
              <w:rPr>
                <w:rFonts w:hint="eastAsia" w:hAnsi="Times New Roman" w:eastAsia="宋体"/>
                <w:kern w:val="2"/>
                <w:sz w:val="21"/>
                <w:szCs w:val="21"/>
                <w:vertAlign w:val="subscript"/>
                <w:lang w:eastAsia="zh-CN"/>
              </w:rPr>
              <w:t>6</w:t>
            </w:r>
          </w:p>
        </w:tc>
        <w:tc>
          <w:tcPr>
            <w:tcW w:w="150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220.25</w:t>
            </w:r>
          </w:p>
        </w:tc>
        <w:tc>
          <w:tcPr>
            <w:tcW w:w="162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66.076</w:t>
            </w:r>
          </w:p>
        </w:tc>
        <w:tc>
          <w:tcPr>
            <w:tcW w:w="163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11.0127</w:t>
            </w:r>
          </w:p>
        </w:tc>
        <w:tc>
          <w:tcPr>
            <w:tcW w:w="1812"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0.837</w:t>
            </w:r>
          </w:p>
        </w:tc>
        <w:tc>
          <w:tcPr>
            <w:tcW w:w="141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5.0218</w:t>
            </w:r>
          </w:p>
        </w:tc>
      </w:tr>
    </w:tbl>
    <w:p>
      <w:pPr>
        <w:pStyle w:val="7"/>
        <w:adjustRightInd w:val="0"/>
        <w:snapToGrid w:val="0"/>
        <w:spacing w:line="360" w:lineRule="auto"/>
        <w:ind w:firstLine="482"/>
        <w:rPr>
          <w:rFonts w:ascii="宋体" w:hAnsi="宋体" w:eastAsia="宋体" w:cs="宋体"/>
          <w:b/>
          <w:szCs w:val="24"/>
        </w:rPr>
      </w:pPr>
      <w:r>
        <w:rPr>
          <w:rFonts w:hint="eastAsia" w:ascii="宋体" w:hAnsi="宋体" w:eastAsia="宋体" w:cs="宋体"/>
          <w:b/>
          <w:szCs w:val="24"/>
        </w:rPr>
        <w:t>（2）地表移动变形时间及最大下沉速度预测</w:t>
      </w:r>
    </w:p>
    <w:p>
      <w:pPr>
        <w:pStyle w:val="7"/>
        <w:adjustRightInd w:val="0"/>
        <w:snapToGrid w:val="0"/>
        <w:spacing w:line="360" w:lineRule="auto"/>
        <w:ind w:firstLine="482"/>
        <w:rPr>
          <w:rFonts w:ascii="宋体" w:hAnsi="宋体" w:eastAsia="宋体" w:cs="宋体"/>
          <w:b/>
          <w:szCs w:val="24"/>
        </w:rPr>
      </w:pPr>
      <w:r>
        <w:rPr>
          <w:rFonts w:hint="eastAsia" w:ascii="宋体" w:hAnsi="宋体" w:eastAsia="宋体" w:cs="宋体"/>
          <w:b/>
          <w:szCs w:val="24"/>
        </w:rPr>
        <w:t>①地表移动变形时间</w:t>
      </w:r>
    </w:p>
    <w:p>
      <w:pPr>
        <w:pStyle w:val="7"/>
        <w:adjustRightInd w:val="0"/>
        <w:snapToGrid w:val="0"/>
        <w:spacing w:line="360" w:lineRule="auto"/>
        <w:ind w:firstLine="480"/>
        <w:rPr>
          <w:rFonts w:ascii="宋体" w:hAnsi="宋体" w:eastAsia="宋体" w:cs="宋体"/>
          <w:b/>
          <w:szCs w:val="24"/>
        </w:rPr>
      </w:pPr>
      <w:r>
        <w:rPr>
          <w:rFonts w:hint="eastAsia" w:ascii="宋体" w:hAnsi="宋体" w:eastAsia="宋体" w:cs="宋体"/>
          <w:szCs w:val="24"/>
        </w:rPr>
        <w:t>井下开采引起地表发生移动变形，到最终形成稳定的塌陷盆地，这一过程是渐进而相对缓慢的，采煤工作面回采时，上覆岩层移动不会立即波及地表。地表的移动是在工作面推进一定距离后才发生的。随着采煤工作面的推进，在上覆岩层中依次形成冒落带，裂隙带、弯曲下沉带并传递到地表，使地表产生移动变形。这一过程所需的时间与采深有关，其关系可用如下经验公式表示：</w:t>
      </w:r>
    </w:p>
    <w:p>
      <w:pPr>
        <w:autoSpaceDE w:val="0"/>
        <w:autoSpaceDN w:val="0"/>
        <w:adjustRightInd w:val="0"/>
        <w:snapToGrid w:val="0"/>
        <w:spacing w:line="360" w:lineRule="auto"/>
        <w:ind w:firstLine="200"/>
        <w:jc w:val="center"/>
        <w:rPr>
          <w:rFonts w:hAnsi="Times New Roman" w:eastAsia="宋体"/>
          <w:b/>
          <w:szCs w:val="24"/>
        </w:rPr>
      </w:pPr>
      <w:r>
        <w:rPr>
          <w:rFonts w:hAnsi="Times New Roman" w:eastAsia="宋体"/>
          <w:b/>
          <w:iCs/>
          <w:szCs w:val="24"/>
        </w:rPr>
        <w:t xml:space="preserve">T </w:t>
      </w:r>
      <w:r>
        <w:rPr>
          <w:rFonts w:hAnsi="Times New Roman" w:eastAsia="宋体"/>
          <w:b/>
          <w:szCs w:val="24"/>
        </w:rPr>
        <w:t>=2.5×</w:t>
      </w:r>
      <w:r>
        <w:rPr>
          <w:rFonts w:hAnsi="Times New Roman" w:eastAsia="宋体"/>
          <w:b/>
          <w:iCs/>
          <w:szCs w:val="24"/>
        </w:rPr>
        <w:t>H</w:t>
      </w:r>
      <w:r>
        <w:rPr>
          <w:rFonts w:hAnsi="Times New Roman" w:eastAsia="宋体"/>
          <w:b/>
          <w:szCs w:val="24"/>
        </w:rPr>
        <w:t>(</w:t>
      </w:r>
      <w:r>
        <w:rPr>
          <w:rFonts w:hAnsi="Times New Roman" w:eastAsia="宋体"/>
          <w:b/>
          <w:iCs/>
          <w:szCs w:val="24"/>
        </w:rPr>
        <w:t>d</w:t>
      </w:r>
      <w:r>
        <w:rPr>
          <w:rFonts w:hAnsi="Times New Roman" w:eastAsia="宋体"/>
          <w:b/>
          <w:szCs w:val="24"/>
        </w:rPr>
        <w:t>)</w:t>
      </w:r>
    </w:p>
    <w:p>
      <w:pPr>
        <w:autoSpaceDE w:val="0"/>
        <w:autoSpaceDN w:val="0"/>
        <w:adjustRightInd w:val="0"/>
        <w:snapToGrid w:val="0"/>
        <w:spacing w:line="360" w:lineRule="auto"/>
        <w:ind w:firstLine="480" w:firstLineChars="200"/>
        <w:jc w:val="left"/>
        <w:rPr>
          <w:rFonts w:ascii="宋体" w:hAnsi="宋体" w:eastAsia="宋体" w:cs="宋体"/>
          <w:szCs w:val="24"/>
        </w:rPr>
      </w:pPr>
      <w:r>
        <w:rPr>
          <w:rFonts w:hint="eastAsia" w:ascii="宋体" w:hAnsi="宋体" w:eastAsia="宋体" w:cs="宋体"/>
          <w:szCs w:val="24"/>
        </w:rPr>
        <w:t>式中：T—工作面开始回采至地表开始产生移动变形所需时间，d；</w:t>
      </w:r>
    </w:p>
    <w:p>
      <w:pPr>
        <w:autoSpaceDE w:val="0"/>
        <w:autoSpaceDN w:val="0"/>
        <w:adjustRightInd w:val="0"/>
        <w:snapToGrid w:val="0"/>
        <w:spacing w:line="360" w:lineRule="auto"/>
        <w:ind w:firstLine="1200" w:firstLineChars="500"/>
        <w:jc w:val="left"/>
        <w:rPr>
          <w:rFonts w:ascii="宋体" w:hAnsi="宋体" w:eastAsia="宋体" w:cs="宋体"/>
          <w:szCs w:val="24"/>
        </w:rPr>
      </w:pPr>
      <w:r>
        <w:rPr>
          <w:rFonts w:hint="eastAsia" w:ascii="宋体" w:hAnsi="宋体" w:eastAsia="宋体" w:cs="宋体"/>
          <w:szCs w:val="24"/>
        </w:rPr>
        <w:t>H—首采工作面平均开采深度，m。</w:t>
      </w:r>
    </w:p>
    <w:p>
      <w:pPr>
        <w:autoSpaceDE w:val="0"/>
        <w:autoSpaceDN w:val="0"/>
        <w:adjustRightInd w:val="0"/>
        <w:snapToGrid w:val="0"/>
        <w:spacing w:line="360" w:lineRule="auto"/>
        <w:ind w:firstLine="480" w:firstLineChars="200"/>
        <w:jc w:val="left"/>
        <w:rPr>
          <w:rFonts w:ascii="宋体" w:hAnsi="宋体" w:eastAsia="宋体" w:cs="宋体"/>
          <w:szCs w:val="24"/>
        </w:rPr>
      </w:pPr>
      <w:r>
        <w:rPr>
          <w:rFonts w:hint="eastAsia" w:ascii="宋体" w:hAnsi="宋体" w:eastAsia="宋体" w:cs="宋体"/>
          <w:szCs w:val="24"/>
        </w:rPr>
        <w:t>首采工作面的平均开采深度为</w:t>
      </w:r>
      <w:r>
        <w:rPr>
          <w:rFonts w:hint="eastAsia" w:ascii="宋体" w:hAnsi="宋体" w:eastAsia="宋体" w:cs="宋体"/>
          <w:szCs w:val="24"/>
          <w:lang w:eastAsia="zh-CN"/>
        </w:rPr>
        <w:t>487</w:t>
      </w:r>
      <w:r>
        <w:rPr>
          <w:rFonts w:hint="eastAsia" w:ascii="宋体" w:hAnsi="宋体" w:eastAsia="宋体" w:cs="宋体"/>
          <w:szCs w:val="24"/>
        </w:rPr>
        <w:t>m，经计算，首采工作面地表移动变形时间为</w:t>
      </w:r>
      <w:r>
        <w:rPr>
          <w:rFonts w:hint="eastAsia" w:ascii="宋体" w:hAnsi="宋体" w:eastAsia="宋体" w:cs="宋体"/>
          <w:szCs w:val="24"/>
          <w:lang w:eastAsia="zh-CN"/>
        </w:rPr>
        <w:t>1217</w:t>
      </w:r>
      <w:r>
        <w:rPr>
          <w:rFonts w:hint="eastAsia" w:ascii="宋体" w:hAnsi="宋体" w:eastAsia="宋体" w:cs="宋体"/>
          <w:szCs w:val="24"/>
        </w:rPr>
        <w:t>d。在实际开采过程中，并不是每天连续开采，且矿井下沉也不是每天都以最大下沉速度进行，故应在开采过程中加强防护，留足保安煤柱，并加强监测，随时注意地面开裂及地面建筑物等的损坏情况，及时进行维修和填补，防止灾害发生。</w:t>
      </w:r>
    </w:p>
    <w:p>
      <w:pPr>
        <w:autoSpaceDE w:val="0"/>
        <w:autoSpaceDN w:val="0"/>
        <w:adjustRightInd w:val="0"/>
        <w:snapToGrid w:val="0"/>
        <w:spacing w:line="360" w:lineRule="auto"/>
        <w:ind w:firstLine="482" w:firstLineChars="200"/>
        <w:jc w:val="left"/>
        <w:rPr>
          <w:rFonts w:ascii="宋体" w:hAnsi="宋体" w:eastAsia="宋体" w:cs="宋体"/>
          <w:b/>
          <w:szCs w:val="24"/>
        </w:rPr>
      </w:pPr>
      <w:r>
        <w:rPr>
          <w:rFonts w:hint="eastAsia" w:ascii="宋体" w:hAnsi="宋体" w:eastAsia="宋体" w:cs="宋体"/>
          <w:b/>
          <w:szCs w:val="24"/>
        </w:rPr>
        <w:t>②最大下沉速度</w:t>
      </w:r>
    </w:p>
    <w:p>
      <w:pPr>
        <w:autoSpaceDE w:val="0"/>
        <w:autoSpaceDN w:val="0"/>
        <w:adjustRightInd w:val="0"/>
        <w:snapToGrid w:val="0"/>
        <w:spacing w:line="360" w:lineRule="auto"/>
        <w:ind w:firstLine="480" w:firstLineChars="200"/>
        <w:jc w:val="left"/>
        <w:rPr>
          <w:rFonts w:ascii="宋体" w:hAnsi="宋体" w:eastAsia="宋体" w:cs="宋体"/>
          <w:b/>
          <w:szCs w:val="24"/>
        </w:rPr>
      </w:pPr>
      <w:r>
        <w:rPr>
          <w:rFonts w:hint="eastAsia" w:ascii="宋体" w:hAnsi="宋体" w:eastAsia="宋体" w:cs="宋体"/>
          <w:szCs w:val="24"/>
        </w:rPr>
        <w:t>地表下沉速度反映了地表变化的剧烈程度。按矿井中硬覆岩、全部陷落管理顶板等条件下，地表最大下沉速度按下列公式计算。</w:t>
      </w:r>
    </w:p>
    <w:p>
      <w:pPr>
        <w:pStyle w:val="7"/>
        <w:adjustRightInd w:val="0"/>
        <w:snapToGrid w:val="0"/>
        <w:spacing w:line="360" w:lineRule="auto"/>
        <w:ind w:firstLine="480"/>
        <w:jc w:val="center"/>
        <w:rPr>
          <w:rFonts w:ascii="宋体" w:hAnsi="宋体" w:eastAsia="宋体" w:cs="宋体"/>
          <w:b/>
          <w:szCs w:val="24"/>
        </w:rPr>
      </w:pPr>
      <w:r>
        <w:rPr>
          <w:rFonts w:hint="eastAsia" w:ascii="宋体" w:hAnsi="宋体" w:eastAsia="宋体" w:cs="宋体"/>
          <w:szCs w:val="24"/>
        </w:rPr>
        <w:drawing>
          <wp:inline distT="0" distB="0" distL="0" distR="0">
            <wp:extent cx="2037715" cy="589915"/>
            <wp:effectExtent l="0" t="0" r="635" b="635"/>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pic:cNvPicPr>
                      <a:picLocks noChangeAspect="1"/>
                    </pic:cNvPicPr>
                  </pic:nvPicPr>
                  <pic:blipFill>
                    <a:blip r:embed="rId148"/>
                    <a:stretch>
                      <a:fillRect/>
                    </a:stretch>
                  </pic:blipFill>
                  <pic:spPr>
                    <a:xfrm>
                      <a:off x="0" y="0"/>
                      <a:ext cx="2038095" cy="590476"/>
                    </a:xfrm>
                    <a:prstGeom prst="rect">
                      <a:avLst/>
                    </a:prstGeom>
                  </pic:spPr>
                </pic:pic>
              </a:graphicData>
            </a:graphic>
          </wp:inline>
        </w:drawing>
      </w:r>
    </w:p>
    <w:p>
      <w:pPr>
        <w:adjustRightInd w:val="0"/>
        <w:snapToGrid w:val="0"/>
        <w:spacing w:line="360" w:lineRule="auto"/>
        <w:ind w:firstLine="480" w:firstLineChars="200"/>
        <w:rPr>
          <w:rFonts w:ascii="宋体" w:hAnsi="宋体" w:eastAsia="宋体" w:cs="宋体"/>
          <w:szCs w:val="24"/>
        </w:rPr>
      </w:pPr>
      <w:r>
        <w:rPr>
          <w:rFonts w:hint="eastAsia" w:ascii="宋体" w:hAnsi="宋体" w:eastAsia="宋体" w:cs="宋体"/>
          <w:szCs w:val="24"/>
        </w:rPr>
        <w:t>式中：V</w:t>
      </w:r>
      <w:r>
        <w:rPr>
          <w:rFonts w:hint="eastAsia" w:ascii="宋体" w:hAnsi="宋体" w:eastAsia="宋体" w:cs="宋体"/>
          <w:szCs w:val="24"/>
          <w:vertAlign w:val="subscript"/>
        </w:rPr>
        <w:t>max</w:t>
      </w:r>
      <w:r>
        <w:rPr>
          <w:rFonts w:hint="eastAsia" w:ascii="宋体" w:hAnsi="宋体" w:eastAsia="宋体" w:cs="宋体"/>
          <w:szCs w:val="24"/>
        </w:rPr>
        <w:t>——最大下沉速度，mm/d；</w:t>
      </w:r>
    </w:p>
    <w:p>
      <w:pPr>
        <w:adjustRightInd w:val="0"/>
        <w:snapToGrid w:val="0"/>
        <w:spacing w:line="360" w:lineRule="auto"/>
        <w:ind w:firstLine="1200" w:firstLineChars="500"/>
        <w:rPr>
          <w:rFonts w:ascii="宋体" w:hAnsi="宋体" w:eastAsia="宋体" w:cs="宋体"/>
          <w:szCs w:val="24"/>
        </w:rPr>
      </w:pPr>
      <w:r>
        <w:rPr>
          <w:rFonts w:hint="eastAsia" w:ascii="宋体" w:hAnsi="宋体" w:eastAsia="宋体" w:cs="宋体"/>
          <w:szCs w:val="24"/>
        </w:rPr>
        <w:t>K——下沉速度系数，取K=1.5；</w:t>
      </w:r>
    </w:p>
    <w:p>
      <w:pPr>
        <w:adjustRightInd w:val="0"/>
        <w:snapToGrid w:val="0"/>
        <w:spacing w:line="360" w:lineRule="auto"/>
        <w:ind w:firstLine="1200" w:firstLineChars="500"/>
        <w:rPr>
          <w:rFonts w:ascii="宋体" w:hAnsi="宋体" w:eastAsia="宋体" w:cs="宋体"/>
          <w:szCs w:val="24"/>
        </w:rPr>
      </w:pPr>
      <w:r>
        <w:rPr>
          <w:rFonts w:hint="eastAsia" w:ascii="宋体" w:hAnsi="宋体" w:eastAsia="宋体" w:cs="宋体"/>
          <w:szCs w:val="24"/>
        </w:rPr>
        <w:t>W</w:t>
      </w:r>
      <w:r>
        <w:rPr>
          <w:rFonts w:hint="eastAsia" w:ascii="宋体" w:hAnsi="宋体" w:eastAsia="宋体" w:cs="宋体"/>
          <w:szCs w:val="24"/>
          <w:vertAlign w:val="subscript"/>
        </w:rPr>
        <w:t>max</w:t>
      </w:r>
      <w:r>
        <w:rPr>
          <w:rFonts w:hint="eastAsia" w:ascii="宋体" w:hAnsi="宋体" w:eastAsia="宋体" w:cs="宋体"/>
          <w:szCs w:val="24"/>
        </w:rPr>
        <w:t>——最大下沉值，mm；</w:t>
      </w:r>
    </w:p>
    <w:p>
      <w:pPr>
        <w:adjustRightInd w:val="0"/>
        <w:snapToGrid w:val="0"/>
        <w:spacing w:line="360" w:lineRule="auto"/>
        <w:ind w:firstLine="1200" w:firstLineChars="500"/>
        <w:rPr>
          <w:rFonts w:ascii="宋体" w:hAnsi="宋体" w:eastAsia="宋体" w:cs="宋体"/>
          <w:szCs w:val="24"/>
        </w:rPr>
      </w:pPr>
      <w:r>
        <w:rPr>
          <w:rFonts w:hint="eastAsia" w:ascii="宋体" w:hAnsi="宋体" w:eastAsia="宋体" w:cs="宋体"/>
          <w:szCs w:val="24"/>
        </w:rPr>
        <w:t>C——工作面推进速度，m/d；</w:t>
      </w:r>
    </w:p>
    <w:p>
      <w:pPr>
        <w:adjustRightInd w:val="0"/>
        <w:snapToGrid w:val="0"/>
        <w:spacing w:line="360" w:lineRule="auto"/>
        <w:ind w:firstLine="1200" w:firstLineChars="500"/>
        <w:rPr>
          <w:rFonts w:ascii="宋体" w:hAnsi="宋体" w:eastAsia="宋体" w:cs="宋体"/>
          <w:szCs w:val="24"/>
        </w:rPr>
      </w:pPr>
      <w:r>
        <w:rPr>
          <w:rFonts w:hint="eastAsia" w:ascii="宋体" w:hAnsi="宋体" w:eastAsia="宋体" w:cs="宋体"/>
          <w:szCs w:val="24"/>
        </w:rPr>
        <w:t>H——平均开采深度，m。</w:t>
      </w:r>
    </w:p>
    <w:p>
      <w:pPr>
        <w:adjustRightInd w:val="0"/>
        <w:snapToGrid w:val="0"/>
        <w:spacing w:line="360" w:lineRule="auto"/>
        <w:ind w:firstLine="480" w:firstLineChars="200"/>
        <w:rPr>
          <w:rFonts w:ascii="宋体" w:hAnsi="宋体" w:eastAsia="宋体" w:cs="宋体"/>
          <w:szCs w:val="24"/>
        </w:rPr>
      </w:pPr>
      <w:r>
        <w:rPr>
          <w:rFonts w:hint="eastAsia" w:ascii="宋体" w:hAnsi="宋体" w:eastAsia="宋体" w:cs="宋体"/>
          <w:szCs w:val="24"/>
        </w:rPr>
        <w:t>首采工作面开采后产生的地表动态移动变形最大值见下表。</w:t>
      </w:r>
    </w:p>
    <w:p>
      <w:pPr>
        <w:pStyle w:val="14"/>
        <w:overflowPunct w:val="0"/>
        <w:spacing w:line="360" w:lineRule="auto"/>
        <w:ind w:firstLine="422" w:firstLineChars="200"/>
        <w:jc w:val="center"/>
        <w:rPr>
          <w:rFonts w:ascii="Times New Roman" w:hAnsi="Times New Roman"/>
          <w:b/>
          <w:bCs w:val="0"/>
          <w:sz w:val="21"/>
          <w:szCs w:val="21"/>
          <w:lang w:eastAsia="zh-CN"/>
        </w:rPr>
      </w:pPr>
      <w:r>
        <w:rPr>
          <w:rFonts w:hint="eastAsia" w:ascii="Times New Roman" w:hAnsi="Times New Roman"/>
          <w:b/>
          <w:bCs w:val="0"/>
          <w:sz w:val="21"/>
          <w:szCs w:val="21"/>
          <w:lang w:eastAsia="zh-CN"/>
        </w:rPr>
        <w:t>表4.5-5  首采工作面开采后地表移动变形持续时间预计结果</w:t>
      </w:r>
    </w:p>
    <w:tbl>
      <w:tblPr>
        <w:tblStyle w:val="33"/>
        <w:tblW w:w="921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1"/>
        <w:gridCol w:w="1400"/>
        <w:gridCol w:w="1638"/>
        <w:gridCol w:w="1462"/>
        <w:gridCol w:w="1925"/>
        <w:gridCol w:w="17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01" w:type="dxa"/>
            <w:vAlign w:val="center"/>
          </w:tcPr>
          <w:p>
            <w:pPr>
              <w:pStyle w:val="45"/>
              <w:keepNext w:val="0"/>
              <w:keepLines w:val="0"/>
              <w:suppressLineNumbers w:val="0"/>
              <w:spacing w:before="0" w:beforeAutospacing="0" w:after="0" w:afterAutospacing="0" w:line="300" w:lineRule="exact"/>
              <w:ind w:left="422" w:right="0" w:hanging="422"/>
              <w:rPr>
                <w:rFonts w:hint="eastAsia" w:ascii="Times New Roman" w:hAnsi="Times New Roman"/>
                <w:b/>
                <w:bCs/>
                <w:kern w:val="2"/>
                <w:szCs w:val="22"/>
              </w:rPr>
            </w:pPr>
            <w:r>
              <w:rPr>
                <w:rFonts w:hint="eastAsia" w:ascii="Times New Roman" w:hAnsi="Times New Roman"/>
                <w:b/>
                <w:bCs/>
                <w:kern w:val="2"/>
                <w:szCs w:val="22"/>
              </w:rPr>
              <w:t>开采区</w:t>
            </w:r>
          </w:p>
        </w:tc>
        <w:tc>
          <w:tcPr>
            <w:tcW w:w="1400" w:type="dxa"/>
            <w:vAlign w:val="center"/>
          </w:tcPr>
          <w:p>
            <w:pPr>
              <w:pStyle w:val="45"/>
              <w:keepNext w:val="0"/>
              <w:keepLines w:val="0"/>
              <w:suppressLineNumbers w:val="0"/>
              <w:spacing w:before="0" w:beforeAutospacing="0" w:after="0" w:afterAutospacing="0" w:line="300" w:lineRule="exact"/>
              <w:ind w:left="422" w:right="0" w:hanging="422"/>
              <w:rPr>
                <w:rFonts w:hint="eastAsia" w:ascii="Times New Roman" w:hAnsi="Times New Roman"/>
                <w:b/>
                <w:bCs/>
                <w:kern w:val="2"/>
                <w:szCs w:val="22"/>
              </w:rPr>
            </w:pPr>
            <w:r>
              <w:rPr>
                <w:rFonts w:hint="eastAsia" w:ascii="Times New Roman" w:hAnsi="Times New Roman"/>
                <w:b/>
                <w:bCs/>
                <w:kern w:val="2"/>
                <w:szCs w:val="22"/>
              </w:rPr>
              <w:t>起始期（d）</w:t>
            </w:r>
          </w:p>
        </w:tc>
        <w:tc>
          <w:tcPr>
            <w:tcW w:w="1638" w:type="dxa"/>
            <w:vAlign w:val="center"/>
          </w:tcPr>
          <w:p>
            <w:pPr>
              <w:pStyle w:val="45"/>
              <w:keepNext w:val="0"/>
              <w:keepLines w:val="0"/>
              <w:suppressLineNumbers w:val="0"/>
              <w:spacing w:before="0" w:beforeAutospacing="0" w:after="0" w:afterAutospacing="0" w:line="300" w:lineRule="exact"/>
              <w:ind w:left="422" w:right="0" w:hanging="422"/>
              <w:rPr>
                <w:rFonts w:hint="eastAsia" w:ascii="Times New Roman" w:hAnsi="Times New Roman"/>
                <w:b/>
                <w:bCs/>
                <w:kern w:val="2"/>
                <w:szCs w:val="22"/>
              </w:rPr>
            </w:pPr>
            <w:r>
              <w:rPr>
                <w:rFonts w:hint="eastAsia" w:ascii="Times New Roman" w:hAnsi="Times New Roman"/>
                <w:b/>
                <w:bCs/>
                <w:kern w:val="2"/>
                <w:szCs w:val="22"/>
              </w:rPr>
              <w:t>活跃期（d）</w:t>
            </w:r>
          </w:p>
        </w:tc>
        <w:tc>
          <w:tcPr>
            <w:tcW w:w="1462" w:type="dxa"/>
            <w:vAlign w:val="center"/>
          </w:tcPr>
          <w:p>
            <w:pPr>
              <w:pStyle w:val="45"/>
              <w:keepNext w:val="0"/>
              <w:keepLines w:val="0"/>
              <w:suppressLineNumbers w:val="0"/>
              <w:spacing w:before="0" w:beforeAutospacing="0" w:after="0" w:afterAutospacing="0" w:line="300" w:lineRule="exact"/>
              <w:ind w:left="422" w:right="0" w:hanging="422"/>
              <w:rPr>
                <w:rFonts w:hint="eastAsia" w:ascii="Times New Roman" w:hAnsi="Times New Roman"/>
                <w:b/>
                <w:bCs/>
                <w:kern w:val="2"/>
                <w:szCs w:val="22"/>
              </w:rPr>
            </w:pPr>
            <w:r>
              <w:rPr>
                <w:rFonts w:hint="eastAsia" w:ascii="Times New Roman" w:hAnsi="Times New Roman"/>
                <w:b/>
                <w:bCs/>
                <w:kern w:val="2"/>
                <w:szCs w:val="22"/>
              </w:rPr>
              <w:t>衰退期（d）</w:t>
            </w:r>
          </w:p>
        </w:tc>
        <w:tc>
          <w:tcPr>
            <w:tcW w:w="1925" w:type="dxa"/>
            <w:vAlign w:val="center"/>
          </w:tcPr>
          <w:p>
            <w:pPr>
              <w:pStyle w:val="45"/>
              <w:keepNext w:val="0"/>
              <w:keepLines w:val="0"/>
              <w:suppressLineNumbers w:val="0"/>
              <w:spacing w:before="0" w:beforeAutospacing="0" w:after="0" w:afterAutospacing="0" w:line="300" w:lineRule="exact"/>
              <w:ind w:left="422" w:right="0" w:hanging="422"/>
              <w:rPr>
                <w:rFonts w:hint="eastAsia" w:ascii="Times New Roman" w:hAnsi="Times New Roman"/>
                <w:b/>
                <w:bCs/>
                <w:kern w:val="2"/>
                <w:szCs w:val="22"/>
              </w:rPr>
            </w:pPr>
            <w:r>
              <w:rPr>
                <w:rFonts w:hint="eastAsia" w:ascii="Times New Roman" w:hAnsi="Times New Roman"/>
                <w:b/>
                <w:bCs/>
                <w:kern w:val="2"/>
                <w:szCs w:val="22"/>
              </w:rPr>
              <w:t>移动总时间（d）</w:t>
            </w:r>
          </w:p>
        </w:tc>
        <w:tc>
          <w:tcPr>
            <w:tcW w:w="1788" w:type="dxa"/>
            <w:vAlign w:val="center"/>
          </w:tcPr>
          <w:p>
            <w:pPr>
              <w:pStyle w:val="45"/>
              <w:keepNext w:val="0"/>
              <w:keepLines w:val="0"/>
              <w:suppressLineNumbers w:val="0"/>
              <w:spacing w:before="0" w:beforeAutospacing="0" w:after="0" w:afterAutospacing="0" w:line="300" w:lineRule="exact"/>
              <w:ind w:left="422" w:right="0" w:hanging="422"/>
              <w:rPr>
                <w:rFonts w:hint="eastAsia" w:ascii="Times New Roman" w:hAnsi="Times New Roman"/>
                <w:b/>
                <w:bCs/>
                <w:kern w:val="2"/>
                <w:szCs w:val="22"/>
              </w:rPr>
            </w:pPr>
            <w:r>
              <w:rPr>
                <w:rFonts w:hint="eastAsia" w:ascii="Times New Roman" w:hAnsi="Times New Roman"/>
                <w:b/>
                <w:bCs/>
                <w:kern w:val="2"/>
                <w:szCs w:val="22"/>
              </w:rPr>
              <w:t>最大下沉速度</w:t>
            </w:r>
          </w:p>
          <w:p>
            <w:pPr>
              <w:pStyle w:val="45"/>
              <w:keepNext w:val="0"/>
              <w:keepLines w:val="0"/>
              <w:suppressLineNumbers w:val="0"/>
              <w:spacing w:before="0" w:beforeAutospacing="0" w:after="0" w:afterAutospacing="0" w:line="300" w:lineRule="exact"/>
              <w:ind w:left="422" w:right="0" w:hanging="422"/>
              <w:rPr>
                <w:rFonts w:hint="eastAsia" w:ascii="Times New Roman" w:hAnsi="Times New Roman"/>
                <w:b/>
                <w:bCs/>
                <w:kern w:val="2"/>
                <w:szCs w:val="22"/>
              </w:rPr>
            </w:pPr>
            <w:r>
              <w:rPr>
                <w:rFonts w:hint="eastAsia" w:ascii="Times New Roman" w:hAnsi="Times New Roman"/>
                <w:b/>
                <w:bCs/>
                <w:kern w:val="2"/>
                <w:szCs w:val="22"/>
              </w:rPr>
              <w:t>（mm/d）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01"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K</w:t>
            </w:r>
            <w:r>
              <w:rPr>
                <w:rFonts w:hint="eastAsia" w:hAnsi="Times New Roman" w:eastAsia="宋体"/>
                <w:kern w:val="2"/>
                <w:sz w:val="21"/>
                <w:szCs w:val="21"/>
                <w:vertAlign w:val="subscript"/>
                <w:lang w:eastAsia="zh-CN"/>
              </w:rPr>
              <w:t>6</w:t>
            </w:r>
          </w:p>
        </w:tc>
        <w:tc>
          <w:tcPr>
            <w:tcW w:w="140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75</w:t>
            </w:r>
          </w:p>
        </w:tc>
        <w:tc>
          <w:tcPr>
            <w:tcW w:w="163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250</w:t>
            </w:r>
          </w:p>
        </w:tc>
        <w:tc>
          <w:tcPr>
            <w:tcW w:w="1462"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300</w:t>
            </w:r>
          </w:p>
        </w:tc>
        <w:tc>
          <w:tcPr>
            <w:tcW w:w="192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1217</w:t>
            </w:r>
          </w:p>
        </w:tc>
        <w:tc>
          <w:tcPr>
            <w:tcW w:w="178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3.39</w:t>
            </w:r>
          </w:p>
        </w:tc>
      </w:tr>
    </w:tbl>
    <w:p>
      <w:pPr>
        <w:pStyle w:val="56"/>
        <w:numPr>
          <w:ilvl w:val="0"/>
          <w:numId w:val="5"/>
        </w:numPr>
        <w:autoSpaceDE w:val="0"/>
        <w:autoSpaceDN w:val="0"/>
        <w:adjustRightInd w:val="0"/>
        <w:snapToGrid w:val="0"/>
        <w:spacing w:line="360" w:lineRule="auto"/>
        <w:ind w:firstLineChars="0"/>
        <w:jc w:val="left"/>
        <w:rPr>
          <w:rFonts w:ascii="宋体" w:hAnsi="宋体" w:eastAsia="宋体" w:cs="宋体"/>
          <w:b/>
          <w:szCs w:val="24"/>
        </w:rPr>
      </w:pPr>
      <w:r>
        <w:rPr>
          <w:rFonts w:hint="eastAsia" w:ascii="宋体" w:hAnsi="宋体" w:eastAsia="宋体" w:cs="宋体"/>
          <w:b/>
          <w:szCs w:val="24"/>
          <w:lang w:eastAsia="zh-CN"/>
        </w:rPr>
        <w:t>七里峡煤矿首采区开采后地表沉陷预测</w:t>
      </w:r>
    </w:p>
    <w:p>
      <w:pPr>
        <w:pStyle w:val="14"/>
        <w:overflowPunct w:val="0"/>
        <w:spacing w:line="360" w:lineRule="auto"/>
        <w:ind w:firstLine="480" w:firstLineChars="200"/>
        <w:rPr>
          <w:rFonts w:ascii="Times New Roman" w:hAnsi="Times New Roman"/>
          <w:sz w:val="24"/>
          <w:lang w:eastAsia="zh-CN"/>
        </w:rPr>
      </w:pPr>
      <w:r>
        <w:rPr>
          <w:rFonts w:hint="eastAsia" w:ascii="Times New Roman" w:hAnsi="Times New Roman"/>
          <w:sz w:val="24"/>
          <w:lang w:eastAsia="zh-CN"/>
        </w:rPr>
        <w:t>七里峡煤矿首采区为一采区，根据设计开拓布置及“三下采煤规程”，采用“开采沉陷预计软件MSPS”进行预测，按设计预留工业场地煤柱、边界煤柱、采空区边界保护煤柱以及井筒保护煤柱进行预测。</w:t>
      </w:r>
    </w:p>
    <w:p>
      <w:pPr>
        <w:pStyle w:val="14"/>
        <w:overflowPunct w:val="0"/>
        <w:spacing w:line="360" w:lineRule="auto"/>
        <w:ind w:firstLine="480" w:firstLineChars="200"/>
        <w:rPr>
          <w:rFonts w:ascii="Times New Roman" w:hAnsi="Times New Roman"/>
          <w:sz w:val="24"/>
          <w:lang w:eastAsia="zh-CN"/>
        </w:rPr>
      </w:pPr>
      <w:r>
        <w:rPr>
          <w:rFonts w:hint="eastAsia" w:ascii="Times New Roman" w:hAnsi="Times New Roman"/>
          <w:sz w:val="24"/>
          <w:lang w:eastAsia="zh-CN"/>
        </w:rPr>
        <w:t>结合首采区有关参数，首采区开采后主要变形最大值统计见表。七里峡煤矿首采区开采后地表沉陷等值线分布见附图20。</w:t>
      </w:r>
    </w:p>
    <w:p>
      <w:pPr>
        <w:pStyle w:val="14"/>
        <w:overflowPunct w:val="0"/>
        <w:spacing w:line="360" w:lineRule="auto"/>
        <w:ind w:firstLine="422" w:firstLineChars="200"/>
        <w:jc w:val="center"/>
        <w:rPr>
          <w:rFonts w:ascii="Times New Roman" w:hAnsi="Times New Roman"/>
          <w:b/>
          <w:bCs w:val="0"/>
          <w:sz w:val="21"/>
          <w:szCs w:val="21"/>
          <w:lang w:eastAsia="zh-CN"/>
        </w:rPr>
      </w:pPr>
    </w:p>
    <w:p>
      <w:pPr>
        <w:pStyle w:val="14"/>
        <w:overflowPunct w:val="0"/>
        <w:spacing w:line="360" w:lineRule="auto"/>
        <w:ind w:firstLine="422" w:firstLineChars="200"/>
        <w:jc w:val="center"/>
        <w:rPr>
          <w:rFonts w:ascii="Times New Roman" w:hAnsi="Times New Roman"/>
          <w:b/>
          <w:bCs w:val="0"/>
          <w:sz w:val="21"/>
          <w:szCs w:val="21"/>
          <w:lang w:eastAsia="zh-CN"/>
        </w:rPr>
      </w:pPr>
      <w:r>
        <w:rPr>
          <w:rFonts w:hint="eastAsia" w:ascii="Times New Roman" w:hAnsi="Times New Roman"/>
          <w:b/>
          <w:bCs w:val="0"/>
          <w:sz w:val="21"/>
          <w:szCs w:val="21"/>
          <w:lang w:eastAsia="zh-CN"/>
        </w:rPr>
        <w:t>表4.5-6  首采区开采后地表变形最大值表</w:t>
      </w:r>
    </w:p>
    <w:tbl>
      <w:tblPr>
        <w:tblStyle w:val="33"/>
        <w:tblW w:w="9214" w:type="dxa"/>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1187"/>
        <w:gridCol w:w="1337"/>
        <w:gridCol w:w="1138"/>
        <w:gridCol w:w="1212"/>
        <w:gridCol w:w="1525"/>
        <w:gridCol w:w="1500"/>
        <w:gridCol w:w="1315"/>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87" w:type="dxa"/>
            <w:vAlign w:val="center"/>
          </w:tcPr>
          <w:p>
            <w:pPr>
              <w:pStyle w:val="45"/>
              <w:keepNext w:val="0"/>
              <w:keepLines w:val="0"/>
              <w:suppressLineNumbers w:val="0"/>
              <w:spacing w:before="0" w:beforeAutospacing="0" w:after="0" w:afterAutospacing="0" w:line="300" w:lineRule="exact"/>
              <w:ind w:left="422" w:right="0" w:hanging="422"/>
              <w:rPr>
                <w:rFonts w:hint="eastAsia" w:ascii="Times New Roman" w:hAnsi="Times New Roman"/>
                <w:b/>
                <w:bCs/>
                <w:kern w:val="2"/>
                <w:szCs w:val="22"/>
              </w:rPr>
            </w:pPr>
            <w:r>
              <w:rPr>
                <w:rFonts w:hint="eastAsia" w:ascii="Times New Roman" w:hAnsi="Times New Roman"/>
                <w:b/>
                <w:bCs/>
                <w:kern w:val="2"/>
                <w:szCs w:val="22"/>
              </w:rPr>
              <w:t>开采区域</w:t>
            </w:r>
          </w:p>
        </w:tc>
        <w:tc>
          <w:tcPr>
            <w:tcW w:w="1337" w:type="dxa"/>
            <w:vAlign w:val="center"/>
          </w:tcPr>
          <w:p>
            <w:pPr>
              <w:pStyle w:val="45"/>
              <w:keepNext w:val="0"/>
              <w:keepLines w:val="0"/>
              <w:suppressLineNumbers w:val="0"/>
              <w:spacing w:before="0" w:beforeAutospacing="0" w:after="0" w:afterAutospacing="0" w:line="300" w:lineRule="exact"/>
              <w:ind w:left="422" w:right="0" w:hanging="422"/>
              <w:jc w:val="both"/>
              <w:rPr>
                <w:rFonts w:hint="eastAsia" w:ascii="Times New Roman" w:hAnsi="Times New Roman"/>
                <w:b/>
                <w:bCs/>
                <w:kern w:val="2"/>
                <w:szCs w:val="22"/>
              </w:rPr>
            </w:pPr>
            <w:r>
              <w:rPr>
                <w:rFonts w:hint="eastAsia" w:ascii="Times New Roman" w:hAnsi="Times New Roman"/>
                <w:b/>
                <w:bCs/>
                <w:kern w:val="2"/>
                <w:szCs w:val="22"/>
              </w:rPr>
              <w:t>累计最大下</w:t>
            </w:r>
          </w:p>
          <w:p>
            <w:pPr>
              <w:pStyle w:val="45"/>
              <w:keepNext w:val="0"/>
              <w:keepLines w:val="0"/>
              <w:suppressLineNumbers w:val="0"/>
              <w:spacing w:before="0" w:beforeAutospacing="0" w:after="0" w:afterAutospacing="0" w:line="300" w:lineRule="exact"/>
              <w:ind w:left="422" w:right="0" w:hanging="422"/>
              <w:jc w:val="both"/>
              <w:rPr>
                <w:rFonts w:hint="eastAsia" w:ascii="Times New Roman" w:hAnsi="Times New Roman"/>
                <w:b/>
                <w:bCs/>
                <w:kern w:val="2"/>
                <w:szCs w:val="22"/>
              </w:rPr>
            </w:pPr>
            <w:r>
              <w:rPr>
                <w:rFonts w:hint="eastAsia" w:ascii="Times New Roman" w:hAnsi="Times New Roman"/>
                <w:b/>
                <w:bCs/>
                <w:kern w:val="2"/>
                <w:szCs w:val="22"/>
              </w:rPr>
              <w:t>沉值（mm）</w:t>
            </w:r>
          </w:p>
        </w:tc>
        <w:tc>
          <w:tcPr>
            <w:tcW w:w="1138" w:type="dxa"/>
            <w:vAlign w:val="center"/>
          </w:tcPr>
          <w:p>
            <w:pPr>
              <w:pStyle w:val="45"/>
              <w:keepNext w:val="0"/>
              <w:keepLines w:val="0"/>
              <w:suppressLineNumbers w:val="0"/>
              <w:spacing w:before="0" w:beforeAutospacing="0" w:after="0" w:afterAutospacing="0" w:line="300" w:lineRule="exact"/>
              <w:ind w:left="422" w:right="0" w:hanging="422"/>
              <w:rPr>
                <w:rFonts w:hint="eastAsia" w:ascii="Times New Roman" w:hAnsi="Times New Roman"/>
                <w:b/>
                <w:bCs/>
                <w:kern w:val="2"/>
                <w:szCs w:val="22"/>
              </w:rPr>
            </w:pPr>
            <w:r>
              <w:rPr>
                <w:rFonts w:hint="eastAsia" w:ascii="Times New Roman" w:hAnsi="Times New Roman"/>
                <w:b/>
                <w:bCs/>
                <w:kern w:val="2"/>
                <w:szCs w:val="22"/>
              </w:rPr>
              <w:t>水平移动</w:t>
            </w:r>
          </w:p>
          <w:p>
            <w:pPr>
              <w:pStyle w:val="45"/>
              <w:keepNext w:val="0"/>
              <w:keepLines w:val="0"/>
              <w:suppressLineNumbers w:val="0"/>
              <w:spacing w:before="0" w:beforeAutospacing="0" w:after="0" w:afterAutospacing="0" w:line="300" w:lineRule="exact"/>
              <w:ind w:left="422" w:right="0" w:hanging="422"/>
              <w:rPr>
                <w:rFonts w:hint="eastAsia" w:ascii="Times New Roman" w:hAnsi="Times New Roman"/>
                <w:b/>
                <w:bCs/>
                <w:kern w:val="2"/>
                <w:szCs w:val="22"/>
              </w:rPr>
            </w:pPr>
            <w:r>
              <w:rPr>
                <w:rFonts w:hint="eastAsia" w:ascii="Times New Roman" w:hAnsi="Times New Roman"/>
                <w:b/>
                <w:bCs/>
                <w:kern w:val="2"/>
                <w:szCs w:val="22"/>
              </w:rPr>
              <w:t>（mm）</w:t>
            </w:r>
          </w:p>
        </w:tc>
        <w:tc>
          <w:tcPr>
            <w:tcW w:w="1212" w:type="dxa"/>
            <w:vAlign w:val="center"/>
          </w:tcPr>
          <w:p>
            <w:pPr>
              <w:pStyle w:val="45"/>
              <w:keepNext w:val="0"/>
              <w:keepLines w:val="0"/>
              <w:suppressLineNumbers w:val="0"/>
              <w:spacing w:before="0" w:beforeAutospacing="0" w:after="0" w:afterAutospacing="0" w:line="300" w:lineRule="exact"/>
              <w:ind w:left="422" w:right="0" w:hanging="422"/>
              <w:rPr>
                <w:rFonts w:hint="eastAsia" w:ascii="Times New Roman" w:hAnsi="Times New Roman"/>
                <w:b/>
                <w:bCs/>
                <w:kern w:val="2"/>
                <w:szCs w:val="22"/>
              </w:rPr>
            </w:pPr>
            <w:r>
              <w:rPr>
                <w:rFonts w:hint="eastAsia" w:ascii="Times New Roman" w:hAnsi="Times New Roman"/>
                <w:b/>
                <w:bCs/>
                <w:kern w:val="2"/>
                <w:szCs w:val="22"/>
              </w:rPr>
              <w:t>倾斜</w:t>
            </w:r>
          </w:p>
          <w:p>
            <w:pPr>
              <w:pStyle w:val="45"/>
              <w:keepNext w:val="0"/>
              <w:keepLines w:val="0"/>
              <w:suppressLineNumbers w:val="0"/>
              <w:spacing w:before="0" w:beforeAutospacing="0" w:after="0" w:afterAutospacing="0" w:line="300" w:lineRule="exact"/>
              <w:ind w:left="422" w:right="0" w:hanging="422"/>
              <w:rPr>
                <w:rFonts w:hint="eastAsia" w:ascii="Times New Roman" w:hAnsi="Times New Roman"/>
                <w:b/>
                <w:bCs/>
                <w:kern w:val="2"/>
                <w:szCs w:val="22"/>
              </w:rPr>
            </w:pPr>
            <w:r>
              <w:rPr>
                <w:rFonts w:hint="eastAsia" w:ascii="Times New Roman" w:hAnsi="Times New Roman"/>
                <w:b/>
                <w:bCs/>
                <w:kern w:val="2"/>
                <w:szCs w:val="22"/>
              </w:rPr>
              <w:t>（mm/m）</w:t>
            </w:r>
          </w:p>
        </w:tc>
        <w:tc>
          <w:tcPr>
            <w:tcW w:w="1525" w:type="dxa"/>
            <w:vAlign w:val="center"/>
          </w:tcPr>
          <w:p>
            <w:pPr>
              <w:pStyle w:val="45"/>
              <w:keepNext w:val="0"/>
              <w:keepLines w:val="0"/>
              <w:suppressLineNumbers w:val="0"/>
              <w:spacing w:before="0" w:beforeAutospacing="0" w:after="0" w:afterAutospacing="0" w:line="300" w:lineRule="exact"/>
              <w:ind w:left="422" w:right="0" w:hanging="422"/>
              <w:rPr>
                <w:rFonts w:hint="eastAsia" w:ascii="Times New Roman" w:hAnsi="Times New Roman"/>
                <w:b/>
                <w:bCs/>
                <w:kern w:val="2"/>
                <w:szCs w:val="22"/>
              </w:rPr>
            </w:pPr>
            <w:r>
              <w:rPr>
                <w:rFonts w:hint="eastAsia" w:ascii="Times New Roman" w:hAnsi="Times New Roman"/>
                <w:b/>
                <w:bCs/>
                <w:kern w:val="2"/>
                <w:szCs w:val="22"/>
              </w:rPr>
              <w:t>曲率（10</w:t>
            </w:r>
            <w:r>
              <w:rPr>
                <w:rFonts w:hint="eastAsia" w:ascii="Times New Roman" w:hAnsi="Times New Roman"/>
                <w:b/>
                <w:bCs/>
                <w:kern w:val="2"/>
                <w:szCs w:val="22"/>
                <w:vertAlign w:val="superscript"/>
              </w:rPr>
              <w:t>-3</w:t>
            </w:r>
            <w:r>
              <w:rPr>
                <w:rFonts w:hint="eastAsia" w:ascii="Times New Roman" w:hAnsi="Times New Roman"/>
                <w:b/>
                <w:bCs/>
                <w:kern w:val="2"/>
                <w:szCs w:val="22"/>
              </w:rPr>
              <w:t>/m）</w:t>
            </w:r>
          </w:p>
        </w:tc>
        <w:tc>
          <w:tcPr>
            <w:tcW w:w="1500" w:type="dxa"/>
            <w:tcBorders>
              <w:right w:val="single" w:color="auto" w:sz="4" w:space="0"/>
            </w:tcBorders>
            <w:vAlign w:val="center"/>
          </w:tcPr>
          <w:p>
            <w:pPr>
              <w:pStyle w:val="45"/>
              <w:keepNext w:val="0"/>
              <w:keepLines w:val="0"/>
              <w:suppressLineNumbers w:val="0"/>
              <w:spacing w:before="0" w:beforeAutospacing="0" w:after="0" w:afterAutospacing="0" w:line="300" w:lineRule="exact"/>
              <w:ind w:left="422" w:right="0" w:hanging="422"/>
              <w:rPr>
                <w:rFonts w:hint="eastAsia" w:ascii="Times New Roman" w:hAnsi="Times New Roman"/>
                <w:b/>
                <w:bCs/>
                <w:kern w:val="2"/>
                <w:szCs w:val="22"/>
              </w:rPr>
            </w:pPr>
            <w:r>
              <w:rPr>
                <w:rFonts w:hint="eastAsia" w:ascii="Times New Roman" w:hAnsi="Times New Roman"/>
                <w:b/>
                <w:bCs/>
                <w:kern w:val="2"/>
                <w:szCs w:val="22"/>
              </w:rPr>
              <w:t>水平变形</w:t>
            </w:r>
          </w:p>
          <w:p>
            <w:pPr>
              <w:pStyle w:val="45"/>
              <w:keepNext w:val="0"/>
              <w:keepLines w:val="0"/>
              <w:suppressLineNumbers w:val="0"/>
              <w:spacing w:before="0" w:beforeAutospacing="0" w:after="0" w:afterAutospacing="0" w:line="300" w:lineRule="exact"/>
              <w:ind w:left="422" w:right="0" w:hanging="422"/>
              <w:rPr>
                <w:rFonts w:hint="eastAsia" w:ascii="Times New Roman" w:hAnsi="Times New Roman"/>
                <w:b/>
                <w:bCs/>
                <w:kern w:val="2"/>
                <w:szCs w:val="22"/>
              </w:rPr>
            </w:pPr>
            <w:r>
              <w:rPr>
                <w:rFonts w:hint="eastAsia" w:ascii="Times New Roman" w:hAnsi="Times New Roman"/>
                <w:b/>
                <w:bCs/>
                <w:kern w:val="2"/>
                <w:szCs w:val="22"/>
              </w:rPr>
              <w:t>（mm/m）</w:t>
            </w:r>
          </w:p>
        </w:tc>
        <w:tc>
          <w:tcPr>
            <w:tcW w:w="1315" w:type="dxa"/>
            <w:tcBorders>
              <w:left w:val="single" w:color="auto" w:sz="4" w:space="0"/>
            </w:tcBorders>
            <w:vAlign w:val="center"/>
          </w:tcPr>
          <w:p>
            <w:pPr>
              <w:pStyle w:val="45"/>
              <w:keepNext w:val="0"/>
              <w:keepLines w:val="0"/>
              <w:suppressLineNumbers w:val="0"/>
              <w:spacing w:before="0" w:beforeAutospacing="0" w:after="0" w:afterAutospacing="0" w:line="300" w:lineRule="exact"/>
              <w:ind w:left="422" w:right="0" w:hanging="422"/>
              <w:rPr>
                <w:rFonts w:hint="eastAsia" w:ascii="Times New Roman" w:hAnsi="Times New Roman"/>
                <w:b/>
                <w:bCs/>
                <w:kern w:val="2"/>
                <w:szCs w:val="22"/>
              </w:rPr>
            </w:pPr>
            <w:r>
              <w:rPr>
                <w:rFonts w:hint="eastAsia" w:ascii="Times New Roman" w:hAnsi="Times New Roman"/>
                <w:b/>
                <w:bCs/>
                <w:kern w:val="2"/>
                <w:szCs w:val="22"/>
              </w:rPr>
              <w:t>下沉面积</w:t>
            </w:r>
          </w:p>
          <w:p>
            <w:pPr>
              <w:pStyle w:val="45"/>
              <w:keepNext w:val="0"/>
              <w:keepLines w:val="0"/>
              <w:suppressLineNumbers w:val="0"/>
              <w:spacing w:before="0" w:beforeAutospacing="0" w:after="0" w:afterAutospacing="0" w:line="300" w:lineRule="exact"/>
              <w:ind w:left="422" w:right="0" w:hanging="422"/>
              <w:rPr>
                <w:rFonts w:hint="eastAsia" w:ascii="Times New Roman" w:hAnsi="Times New Roman"/>
                <w:b/>
                <w:bCs/>
                <w:kern w:val="2"/>
                <w:szCs w:val="22"/>
              </w:rPr>
            </w:pPr>
            <w:r>
              <w:rPr>
                <w:rFonts w:hint="eastAsia" w:ascii="Times New Roman" w:hAnsi="Times New Roman"/>
                <w:b/>
                <w:bCs/>
                <w:kern w:val="2"/>
                <w:szCs w:val="22"/>
              </w:rPr>
              <w:t>（km</w:t>
            </w:r>
            <w:r>
              <w:rPr>
                <w:rFonts w:hint="eastAsia" w:ascii="Times New Roman" w:hAnsi="Times New Roman"/>
                <w:b/>
                <w:bCs/>
                <w:kern w:val="2"/>
                <w:szCs w:val="22"/>
                <w:vertAlign w:val="superscript"/>
              </w:rPr>
              <w:t>2</w:t>
            </w:r>
            <w:r>
              <w:rPr>
                <w:rFonts w:hint="eastAsia" w:ascii="Times New Roman" w:hAnsi="Times New Roman"/>
                <w:b/>
                <w:bCs/>
                <w:kern w:val="2"/>
                <w:szCs w:val="22"/>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8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首采区</w:t>
            </w:r>
          </w:p>
        </w:tc>
        <w:tc>
          <w:tcPr>
            <w:tcW w:w="13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220.25</w:t>
            </w:r>
          </w:p>
        </w:tc>
        <w:tc>
          <w:tcPr>
            <w:tcW w:w="113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66.076</w:t>
            </w:r>
          </w:p>
        </w:tc>
        <w:tc>
          <w:tcPr>
            <w:tcW w:w="1212"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11.0127</w:t>
            </w:r>
          </w:p>
        </w:tc>
        <w:tc>
          <w:tcPr>
            <w:tcW w:w="152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0.837</w:t>
            </w:r>
          </w:p>
        </w:tc>
        <w:tc>
          <w:tcPr>
            <w:tcW w:w="1500"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5.0218</w:t>
            </w:r>
          </w:p>
        </w:tc>
        <w:tc>
          <w:tcPr>
            <w:tcW w:w="1315" w:type="dxa"/>
            <w:tcBorders>
              <w:lef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0.16</w:t>
            </w:r>
          </w:p>
        </w:tc>
      </w:tr>
    </w:tbl>
    <w:p>
      <w:pPr>
        <w:pStyle w:val="14"/>
        <w:overflowPunct w:val="0"/>
        <w:spacing w:line="360" w:lineRule="auto"/>
        <w:ind w:firstLine="480" w:firstLineChars="200"/>
        <w:rPr>
          <w:rFonts w:ascii="Times New Roman" w:hAnsi="Times New Roman"/>
          <w:sz w:val="24"/>
          <w:lang w:eastAsia="zh-CN"/>
        </w:rPr>
      </w:pPr>
      <w:r>
        <w:rPr>
          <w:rFonts w:hint="eastAsia" w:ascii="Times New Roman" w:hAnsi="Times New Roman"/>
          <w:sz w:val="24"/>
          <w:lang w:eastAsia="zh-CN"/>
        </w:rPr>
        <w:t>首采区开采</w:t>
      </w:r>
      <w:r>
        <w:rPr>
          <w:rFonts w:hint="eastAsia" w:ascii="Times New Roman" w:hAnsi="Times New Roman"/>
          <w:sz w:val="24"/>
          <w:lang w:val="en-US" w:eastAsia="zh-CN"/>
        </w:rPr>
        <w:t>结束</w:t>
      </w:r>
      <w:r>
        <w:rPr>
          <w:rFonts w:hint="eastAsia" w:ascii="Times New Roman" w:hAnsi="Times New Roman"/>
          <w:sz w:val="24"/>
          <w:lang w:eastAsia="zh-CN"/>
        </w:rPr>
        <w:t>后地表沉陷面积为0.16km</w:t>
      </w:r>
      <w:r>
        <w:rPr>
          <w:rFonts w:hint="eastAsia" w:ascii="Times New Roman" w:hAnsi="Times New Roman"/>
          <w:sz w:val="24"/>
          <w:vertAlign w:val="superscript"/>
          <w:lang w:eastAsia="zh-CN"/>
        </w:rPr>
        <w:t>2</w:t>
      </w:r>
      <w:r>
        <w:rPr>
          <w:rFonts w:hint="eastAsia" w:ascii="Times New Roman" w:hAnsi="Times New Roman"/>
          <w:sz w:val="24"/>
          <w:lang w:eastAsia="zh-CN"/>
        </w:rPr>
        <w:t>，最大下沉值为0.22m。</w:t>
      </w:r>
    </w:p>
    <w:p>
      <w:pPr>
        <w:pStyle w:val="14"/>
        <w:overflowPunct w:val="0"/>
        <w:spacing w:line="360" w:lineRule="auto"/>
        <w:ind w:firstLine="482" w:firstLineChars="200"/>
        <w:rPr>
          <w:rFonts w:ascii="Times New Roman" w:hAnsi="Times New Roman"/>
          <w:b/>
          <w:bCs w:val="0"/>
          <w:sz w:val="24"/>
          <w:lang w:eastAsia="zh-CN"/>
        </w:rPr>
      </w:pPr>
      <w:r>
        <w:rPr>
          <w:rFonts w:hint="eastAsia" w:ascii="Times New Roman" w:hAnsi="Times New Roman"/>
          <w:b/>
          <w:bCs w:val="0"/>
          <w:sz w:val="24"/>
          <w:lang w:eastAsia="zh-CN"/>
        </w:rPr>
        <w:t>4.5.3.4全井田地表移动变形预测</w:t>
      </w:r>
    </w:p>
    <w:p>
      <w:pPr>
        <w:pStyle w:val="14"/>
        <w:overflowPunct w:val="0"/>
        <w:spacing w:line="360" w:lineRule="auto"/>
        <w:ind w:firstLine="480" w:firstLineChars="200"/>
        <w:rPr>
          <w:rFonts w:ascii="Times New Roman" w:hAnsi="Times New Roman"/>
          <w:sz w:val="24"/>
          <w:lang w:eastAsia="zh-CN"/>
        </w:rPr>
      </w:pPr>
      <w:r>
        <w:rPr>
          <w:rFonts w:hint="eastAsia" w:ascii="Times New Roman" w:hAnsi="Times New Roman"/>
          <w:sz w:val="24"/>
          <w:lang w:eastAsia="zh-CN"/>
        </w:rPr>
        <w:t>七里峡煤矿全井田开采后的地表沉陷也进行了预测，根据设计开拓布置及“三下采煤规程”，采用“开采沉陷预计软件MSPS”进行预测，按设计预留工业场地煤柱、边界煤柱、采空区边界保护煤柱以及井筒保护煤柱进行预测。</w:t>
      </w:r>
    </w:p>
    <w:p>
      <w:pPr>
        <w:pStyle w:val="14"/>
        <w:overflowPunct w:val="0"/>
        <w:spacing w:line="360" w:lineRule="auto"/>
        <w:ind w:firstLine="480" w:firstLineChars="200"/>
        <w:rPr>
          <w:rFonts w:ascii="Times New Roman" w:hAnsi="Times New Roman"/>
          <w:sz w:val="24"/>
          <w:lang w:eastAsia="zh-CN"/>
        </w:rPr>
      </w:pPr>
      <w:r>
        <w:rPr>
          <w:rFonts w:hint="eastAsia" w:ascii="Times New Roman" w:hAnsi="Times New Roman"/>
          <w:sz w:val="24"/>
          <w:lang w:eastAsia="zh-CN"/>
        </w:rPr>
        <w:t>结合全井田有关参数，全井田开采后主要变形最大值统计见表。七里峡煤矿全井田开采后地表沉陷等值线分布见附图21。</w:t>
      </w:r>
    </w:p>
    <w:p>
      <w:pPr>
        <w:pStyle w:val="14"/>
        <w:overflowPunct w:val="0"/>
        <w:spacing w:line="360" w:lineRule="auto"/>
        <w:ind w:firstLine="422" w:firstLineChars="200"/>
        <w:jc w:val="center"/>
        <w:rPr>
          <w:rFonts w:ascii="Times New Roman" w:hAnsi="Times New Roman"/>
          <w:b/>
          <w:bCs w:val="0"/>
          <w:sz w:val="21"/>
          <w:szCs w:val="21"/>
          <w:lang w:eastAsia="zh-CN"/>
        </w:rPr>
      </w:pPr>
      <w:r>
        <w:rPr>
          <w:rFonts w:hint="eastAsia" w:ascii="Times New Roman" w:hAnsi="Times New Roman"/>
          <w:b/>
          <w:bCs w:val="0"/>
          <w:sz w:val="21"/>
          <w:szCs w:val="21"/>
          <w:lang w:eastAsia="zh-CN"/>
        </w:rPr>
        <w:t>表4.5-7  全井田开采后地表变形最大值表</w:t>
      </w:r>
    </w:p>
    <w:tbl>
      <w:tblPr>
        <w:tblStyle w:val="33"/>
        <w:tblW w:w="9214" w:type="dxa"/>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1187"/>
        <w:gridCol w:w="1337"/>
        <w:gridCol w:w="1138"/>
        <w:gridCol w:w="1212"/>
        <w:gridCol w:w="1525"/>
        <w:gridCol w:w="1500"/>
        <w:gridCol w:w="1315"/>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87" w:type="dxa"/>
            <w:vAlign w:val="center"/>
          </w:tcPr>
          <w:p>
            <w:pPr>
              <w:pStyle w:val="45"/>
              <w:keepNext w:val="0"/>
              <w:keepLines w:val="0"/>
              <w:suppressLineNumbers w:val="0"/>
              <w:spacing w:before="0" w:beforeAutospacing="0" w:after="0" w:afterAutospacing="0" w:line="300" w:lineRule="exact"/>
              <w:ind w:left="422" w:right="0" w:hanging="422"/>
              <w:rPr>
                <w:rFonts w:hint="eastAsia" w:ascii="Times New Roman" w:hAnsi="Times New Roman"/>
                <w:b/>
                <w:bCs/>
                <w:kern w:val="2"/>
                <w:szCs w:val="22"/>
              </w:rPr>
            </w:pPr>
            <w:r>
              <w:rPr>
                <w:rFonts w:hint="eastAsia" w:ascii="Times New Roman" w:hAnsi="Times New Roman"/>
                <w:b/>
                <w:bCs/>
                <w:kern w:val="2"/>
                <w:szCs w:val="22"/>
              </w:rPr>
              <w:t>开采区域</w:t>
            </w:r>
          </w:p>
        </w:tc>
        <w:tc>
          <w:tcPr>
            <w:tcW w:w="1337" w:type="dxa"/>
            <w:vAlign w:val="center"/>
          </w:tcPr>
          <w:p>
            <w:pPr>
              <w:pStyle w:val="45"/>
              <w:keepNext w:val="0"/>
              <w:keepLines w:val="0"/>
              <w:suppressLineNumbers w:val="0"/>
              <w:spacing w:before="0" w:beforeAutospacing="0" w:after="0" w:afterAutospacing="0" w:line="300" w:lineRule="exact"/>
              <w:ind w:left="422" w:right="0" w:hanging="422"/>
              <w:jc w:val="both"/>
              <w:rPr>
                <w:rFonts w:hint="eastAsia" w:ascii="Times New Roman" w:hAnsi="Times New Roman"/>
                <w:b/>
                <w:bCs/>
                <w:kern w:val="2"/>
                <w:szCs w:val="22"/>
              </w:rPr>
            </w:pPr>
            <w:r>
              <w:rPr>
                <w:rFonts w:hint="eastAsia" w:ascii="Times New Roman" w:hAnsi="Times New Roman"/>
                <w:b/>
                <w:bCs/>
                <w:kern w:val="2"/>
                <w:szCs w:val="22"/>
              </w:rPr>
              <w:t>累计最大下</w:t>
            </w:r>
          </w:p>
          <w:p>
            <w:pPr>
              <w:pStyle w:val="45"/>
              <w:keepNext w:val="0"/>
              <w:keepLines w:val="0"/>
              <w:suppressLineNumbers w:val="0"/>
              <w:spacing w:before="0" w:beforeAutospacing="0" w:after="0" w:afterAutospacing="0" w:line="300" w:lineRule="exact"/>
              <w:ind w:left="422" w:right="0" w:hanging="422"/>
              <w:jc w:val="both"/>
              <w:rPr>
                <w:rFonts w:hint="eastAsia" w:ascii="Times New Roman" w:hAnsi="Times New Roman"/>
                <w:b/>
                <w:bCs/>
                <w:kern w:val="2"/>
                <w:szCs w:val="22"/>
              </w:rPr>
            </w:pPr>
            <w:r>
              <w:rPr>
                <w:rFonts w:hint="eastAsia" w:ascii="Times New Roman" w:hAnsi="Times New Roman"/>
                <w:b/>
                <w:bCs/>
                <w:kern w:val="2"/>
                <w:szCs w:val="22"/>
              </w:rPr>
              <w:t>沉值（mm）</w:t>
            </w:r>
          </w:p>
        </w:tc>
        <w:tc>
          <w:tcPr>
            <w:tcW w:w="1138" w:type="dxa"/>
            <w:vAlign w:val="center"/>
          </w:tcPr>
          <w:p>
            <w:pPr>
              <w:pStyle w:val="45"/>
              <w:keepNext w:val="0"/>
              <w:keepLines w:val="0"/>
              <w:suppressLineNumbers w:val="0"/>
              <w:spacing w:before="0" w:beforeAutospacing="0" w:after="0" w:afterAutospacing="0" w:line="300" w:lineRule="exact"/>
              <w:ind w:left="422" w:right="0" w:hanging="422"/>
              <w:rPr>
                <w:rFonts w:hint="eastAsia" w:ascii="Times New Roman" w:hAnsi="Times New Roman"/>
                <w:b/>
                <w:bCs/>
                <w:kern w:val="2"/>
                <w:szCs w:val="22"/>
              </w:rPr>
            </w:pPr>
            <w:r>
              <w:rPr>
                <w:rFonts w:hint="eastAsia" w:ascii="Times New Roman" w:hAnsi="Times New Roman"/>
                <w:b/>
                <w:bCs/>
                <w:kern w:val="2"/>
                <w:szCs w:val="22"/>
              </w:rPr>
              <w:t>水平移动</w:t>
            </w:r>
          </w:p>
          <w:p>
            <w:pPr>
              <w:pStyle w:val="45"/>
              <w:keepNext w:val="0"/>
              <w:keepLines w:val="0"/>
              <w:suppressLineNumbers w:val="0"/>
              <w:spacing w:before="0" w:beforeAutospacing="0" w:after="0" w:afterAutospacing="0" w:line="300" w:lineRule="exact"/>
              <w:ind w:left="422" w:right="0" w:hanging="422"/>
              <w:rPr>
                <w:rFonts w:hint="eastAsia" w:ascii="Times New Roman" w:hAnsi="Times New Roman"/>
                <w:b/>
                <w:bCs/>
                <w:kern w:val="2"/>
                <w:szCs w:val="22"/>
              </w:rPr>
            </w:pPr>
            <w:r>
              <w:rPr>
                <w:rFonts w:hint="eastAsia" w:ascii="Times New Roman" w:hAnsi="Times New Roman"/>
                <w:b/>
                <w:bCs/>
                <w:kern w:val="2"/>
                <w:szCs w:val="22"/>
              </w:rPr>
              <w:t>（mm）</w:t>
            </w:r>
          </w:p>
        </w:tc>
        <w:tc>
          <w:tcPr>
            <w:tcW w:w="1212" w:type="dxa"/>
            <w:vAlign w:val="center"/>
          </w:tcPr>
          <w:p>
            <w:pPr>
              <w:pStyle w:val="45"/>
              <w:keepNext w:val="0"/>
              <w:keepLines w:val="0"/>
              <w:suppressLineNumbers w:val="0"/>
              <w:spacing w:before="0" w:beforeAutospacing="0" w:after="0" w:afterAutospacing="0" w:line="300" w:lineRule="exact"/>
              <w:ind w:left="422" w:right="0" w:hanging="422"/>
              <w:rPr>
                <w:rFonts w:hint="eastAsia" w:ascii="Times New Roman" w:hAnsi="Times New Roman"/>
                <w:b/>
                <w:bCs/>
                <w:kern w:val="2"/>
                <w:szCs w:val="22"/>
              </w:rPr>
            </w:pPr>
            <w:r>
              <w:rPr>
                <w:rFonts w:hint="eastAsia" w:ascii="Times New Roman" w:hAnsi="Times New Roman"/>
                <w:b/>
                <w:bCs/>
                <w:kern w:val="2"/>
                <w:szCs w:val="22"/>
              </w:rPr>
              <w:t>倾斜</w:t>
            </w:r>
          </w:p>
          <w:p>
            <w:pPr>
              <w:pStyle w:val="45"/>
              <w:keepNext w:val="0"/>
              <w:keepLines w:val="0"/>
              <w:suppressLineNumbers w:val="0"/>
              <w:spacing w:before="0" w:beforeAutospacing="0" w:after="0" w:afterAutospacing="0" w:line="300" w:lineRule="exact"/>
              <w:ind w:left="422" w:right="0" w:hanging="422"/>
              <w:rPr>
                <w:rFonts w:hint="eastAsia" w:ascii="Times New Roman" w:hAnsi="Times New Roman"/>
                <w:b/>
                <w:bCs/>
                <w:kern w:val="2"/>
                <w:szCs w:val="22"/>
              </w:rPr>
            </w:pPr>
            <w:r>
              <w:rPr>
                <w:rFonts w:hint="eastAsia" w:ascii="Times New Roman" w:hAnsi="Times New Roman"/>
                <w:b/>
                <w:bCs/>
                <w:kern w:val="2"/>
                <w:szCs w:val="22"/>
              </w:rPr>
              <w:t>（mm/m）</w:t>
            </w:r>
          </w:p>
        </w:tc>
        <w:tc>
          <w:tcPr>
            <w:tcW w:w="1525" w:type="dxa"/>
            <w:vAlign w:val="center"/>
          </w:tcPr>
          <w:p>
            <w:pPr>
              <w:pStyle w:val="45"/>
              <w:keepNext w:val="0"/>
              <w:keepLines w:val="0"/>
              <w:suppressLineNumbers w:val="0"/>
              <w:spacing w:before="0" w:beforeAutospacing="0" w:after="0" w:afterAutospacing="0" w:line="300" w:lineRule="exact"/>
              <w:ind w:left="422" w:right="0" w:hanging="422"/>
              <w:rPr>
                <w:rFonts w:hint="eastAsia" w:ascii="Times New Roman" w:hAnsi="Times New Roman"/>
                <w:b/>
                <w:bCs/>
                <w:kern w:val="2"/>
                <w:szCs w:val="22"/>
              </w:rPr>
            </w:pPr>
            <w:r>
              <w:rPr>
                <w:rFonts w:hint="eastAsia" w:ascii="Times New Roman" w:hAnsi="Times New Roman"/>
                <w:b/>
                <w:bCs/>
                <w:kern w:val="2"/>
                <w:szCs w:val="22"/>
              </w:rPr>
              <w:t>曲率（10</w:t>
            </w:r>
            <w:r>
              <w:rPr>
                <w:rFonts w:hint="eastAsia" w:ascii="Times New Roman" w:hAnsi="Times New Roman"/>
                <w:b/>
                <w:bCs/>
                <w:kern w:val="2"/>
                <w:szCs w:val="22"/>
                <w:vertAlign w:val="superscript"/>
              </w:rPr>
              <w:t>-3</w:t>
            </w:r>
            <w:r>
              <w:rPr>
                <w:rFonts w:hint="eastAsia" w:ascii="Times New Roman" w:hAnsi="Times New Roman"/>
                <w:b/>
                <w:bCs/>
                <w:kern w:val="2"/>
                <w:szCs w:val="22"/>
              </w:rPr>
              <w:t>/m）</w:t>
            </w:r>
          </w:p>
        </w:tc>
        <w:tc>
          <w:tcPr>
            <w:tcW w:w="1500" w:type="dxa"/>
            <w:tcBorders>
              <w:right w:val="single" w:color="auto" w:sz="4" w:space="0"/>
            </w:tcBorders>
            <w:vAlign w:val="center"/>
          </w:tcPr>
          <w:p>
            <w:pPr>
              <w:pStyle w:val="45"/>
              <w:keepNext w:val="0"/>
              <w:keepLines w:val="0"/>
              <w:suppressLineNumbers w:val="0"/>
              <w:spacing w:before="0" w:beforeAutospacing="0" w:after="0" w:afterAutospacing="0" w:line="300" w:lineRule="exact"/>
              <w:ind w:left="422" w:right="0" w:hanging="422"/>
              <w:rPr>
                <w:rFonts w:hint="eastAsia" w:ascii="Times New Roman" w:hAnsi="Times New Roman"/>
                <w:b/>
                <w:bCs/>
                <w:kern w:val="2"/>
                <w:szCs w:val="22"/>
              </w:rPr>
            </w:pPr>
            <w:r>
              <w:rPr>
                <w:rFonts w:hint="eastAsia" w:ascii="Times New Roman" w:hAnsi="Times New Roman"/>
                <w:b/>
                <w:bCs/>
                <w:kern w:val="2"/>
                <w:szCs w:val="22"/>
              </w:rPr>
              <w:t>水平变形</w:t>
            </w:r>
          </w:p>
          <w:p>
            <w:pPr>
              <w:pStyle w:val="45"/>
              <w:keepNext w:val="0"/>
              <w:keepLines w:val="0"/>
              <w:suppressLineNumbers w:val="0"/>
              <w:spacing w:before="0" w:beforeAutospacing="0" w:after="0" w:afterAutospacing="0" w:line="300" w:lineRule="exact"/>
              <w:ind w:left="422" w:right="0" w:hanging="422"/>
              <w:rPr>
                <w:rFonts w:hint="eastAsia" w:ascii="Times New Roman" w:hAnsi="Times New Roman"/>
                <w:b/>
                <w:bCs/>
                <w:kern w:val="2"/>
                <w:szCs w:val="22"/>
              </w:rPr>
            </w:pPr>
            <w:r>
              <w:rPr>
                <w:rFonts w:hint="eastAsia" w:ascii="Times New Roman" w:hAnsi="Times New Roman"/>
                <w:b/>
                <w:bCs/>
                <w:kern w:val="2"/>
                <w:szCs w:val="22"/>
              </w:rPr>
              <w:t>（mm/m）</w:t>
            </w:r>
          </w:p>
        </w:tc>
        <w:tc>
          <w:tcPr>
            <w:tcW w:w="1315" w:type="dxa"/>
            <w:tcBorders>
              <w:left w:val="single" w:color="auto" w:sz="4" w:space="0"/>
            </w:tcBorders>
            <w:vAlign w:val="center"/>
          </w:tcPr>
          <w:p>
            <w:pPr>
              <w:pStyle w:val="45"/>
              <w:keepNext w:val="0"/>
              <w:keepLines w:val="0"/>
              <w:suppressLineNumbers w:val="0"/>
              <w:spacing w:before="0" w:beforeAutospacing="0" w:after="0" w:afterAutospacing="0" w:line="300" w:lineRule="exact"/>
              <w:ind w:left="422" w:right="0" w:hanging="422"/>
              <w:rPr>
                <w:rFonts w:hint="eastAsia" w:ascii="Times New Roman" w:hAnsi="Times New Roman"/>
                <w:b/>
                <w:bCs/>
                <w:kern w:val="2"/>
                <w:szCs w:val="22"/>
              </w:rPr>
            </w:pPr>
            <w:r>
              <w:rPr>
                <w:rFonts w:hint="eastAsia" w:ascii="Times New Roman" w:hAnsi="Times New Roman"/>
                <w:b/>
                <w:bCs/>
                <w:kern w:val="2"/>
                <w:szCs w:val="22"/>
              </w:rPr>
              <w:t>下沉面积</w:t>
            </w:r>
          </w:p>
          <w:p>
            <w:pPr>
              <w:pStyle w:val="45"/>
              <w:keepNext w:val="0"/>
              <w:keepLines w:val="0"/>
              <w:suppressLineNumbers w:val="0"/>
              <w:spacing w:before="0" w:beforeAutospacing="0" w:after="0" w:afterAutospacing="0" w:line="300" w:lineRule="exact"/>
              <w:ind w:left="422" w:right="0" w:hanging="422"/>
              <w:rPr>
                <w:rFonts w:hint="eastAsia" w:ascii="Times New Roman" w:hAnsi="Times New Roman"/>
                <w:b/>
                <w:bCs/>
                <w:kern w:val="2"/>
                <w:szCs w:val="22"/>
              </w:rPr>
            </w:pPr>
            <w:r>
              <w:rPr>
                <w:rFonts w:hint="eastAsia" w:ascii="Times New Roman" w:hAnsi="Times New Roman"/>
                <w:b/>
                <w:bCs/>
                <w:kern w:val="2"/>
                <w:szCs w:val="22"/>
              </w:rPr>
              <w:t>（km</w:t>
            </w:r>
            <w:r>
              <w:rPr>
                <w:rFonts w:hint="eastAsia" w:ascii="Times New Roman" w:hAnsi="Times New Roman"/>
                <w:b/>
                <w:bCs/>
                <w:kern w:val="2"/>
                <w:szCs w:val="22"/>
                <w:vertAlign w:val="superscript"/>
              </w:rPr>
              <w:t>2</w:t>
            </w:r>
            <w:r>
              <w:rPr>
                <w:rFonts w:hint="eastAsia" w:ascii="Times New Roman" w:hAnsi="Times New Roman"/>
                <w:b/>
                <w:bCs/>
                <w:kern w:val="2"/>
                <w:szCs w:val="22"/>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8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全井田</w:t>
            </w:r>
          </w:p>
        </w:tc>
        <w:tc>
          <w:tcPr>
            <w:tcW w:w="13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842.0</w:t>
            </w:r>
          </w:p>
        </w:tc>
        <w:tc>
          <w:tcPr>
            <w:tcW w:w="1138" w:type="dxa"/>
            <w:vAlign w:val="center"/>
          </w:tcPr>
          <w:p>
            <w:pPr>
              <w:keepNext w:val="0"/>
              <w:keepLines w:val="0"/>
              <w:suppressLineNumbers w:val="0"/>
              <w:spacing w:before="0" w:beforeAutospacing="0" w:after="0" w:afterAutospacing="0"/>
              <w:ind w:left="0" w:right="0"/>
              <w:jc w:val="center"/>
              <w:rPr>
                <w:rFonts w:hint="eastAsia" w:hAnsi="Times New Roman" w:eastAsia="宋体"/>
                <w:i/>
                <w:iCs/>
                <w:kern w:val="2"/>
                <w:sz w:val="21"/>
                <w:szCs w:val="21"/>
                <w:lang w:eastAsia="zh-CN"/>
              </w:rPr>
            </w:pPr>
            <w:r>
              <w:rPr>
                <w:rFonts w:hint="eastAsia" w:hAnsi="Times New Roman" w:eastAsia="宋体"/>
                <w:i/>
                <w:iCs/>
                <w:kern w:val="2"/>
                <w:sz w:val="21"/>
                <w:szCs w:val="21"/>
                <w:lang w:eastAsia="zh-CN"/>
              </w:rPr>
              <w:t>252.557</w:t>
            </w:r>
          </w:p>
        </w:tc>
        <w:tc>
          <w:tcPr>
            <w:tcW w:w="1212"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42.09</w:t>
            </w:r>
          </w:p>
        </w:tc>
        <w:tc>
          <w:tcPr>
            <w:tcW w:w="152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3.20</w:t>
            </w:r>
          </w:p>
        </w:tc>
        <w:tc>
          <w:tcPr>
            <w:tcW w:w="1500"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19.19</w:t>
            </w:r>
          </w:p>
        </w:tc>
        <w:tc>
          <w:tcPr>
            <w:tcW w:w="1315" w:type="dxa"/>
            <w:tcBorders>
              <w:left w:val="single" w:color="auto" w:sz="4" w:space="0"/>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2.47</w:t>
            </w:r>
          </w:p>
        </w:tc>
      </w:tr>
    </w:tbl>
    <w:p>
      <w:pPr>
        <w:pStyle w:val="14"/>
        <w:overflowPunct w:val="0"/>
        <w:spacing w:line="360" w:lineRule="auto"/>
        <w:ind w:firstLine="480" w:firstLineChars="200"/>
        <w:rPr>
          <w:rFonts w:ascii="Times New Roman" w:hAnsi="Times New Roman"/>
          <w:sz w:val="24"/>
          <w:lang w:eastAsia="zh-CN"/>
        </w:rPr>
      </w:pPr>
      <w:r>
        <w:rPr>
          <w:rFonts w:hint="eastAsia" w:ascii="Times New Roman" w:hAnsi="Times New Roman"/>
          <w:sz w:val="24"/>
          <w:lang w:eastAsia="zh-CN"/>
        </w:rPr>
        <w:t>全井田开采介绍后地表沉陷面积为2.47km</w:t>
      </w:r>
      <w:r>
        <w:rPr>
          <w:rFonts w:hint="eastAsia" w:ascii="Times New Roman" w:hAnsi="Times New Roman"/>
          <w:sz w:val="24"/>
          <w:vertAlign w:val="superscript"/>
          <w:lang w:eastAsia="zh-CN"/>
        </w:rPr>
        <w:t>2</w:t>
      </w:r>
      <w:r>
        <w:rPr>
          <w:rFonts w:hint="eastAsia" w:ascii="Times New Roman" w:hAnsi="Times New Roman"/>
          <w:sz w:val="24"/>
          <w:lang w:eastAsia="zh-CN"/>
        </w:rPr>
        <w:t>，最大下沉值为0.842m。</w:t>
      </w:r>
    </w:p>
    <w:p>
      <w:pPr>
        <w:pStyle w:val="14"/>
        <w:overflowPunct w:val="0"/>
        <w:spacing w:line="360" w:lineRule="auto"/>
        <w:ind w:firstLine="482" w:firstLineChars="200"/>
        <w:rPr>
          <w:rFonts w:ascii="Times New Roman" w:hAnsi="Times New Roman"/>
          <w:b/>
          <w:bCs w:val="0"/>
          <w:sz w:val="24"/>
          <w:lang w:eastAsia="zh-CN"/>
        </w:rPr>
      </w:pPr>
      <w:r>
        <w:rPr>
          <w:rFonts w:hint="eastAsia" w:ascii="Times New Roman" w:hAnsi="Times New Roman"/>
          <w:b/>
          <w:bCs w:val="0"/>
          <w:sz w:val="24"/>
          <w:lang w:eastAsia="zh-CN"/>
        </w:rPr>
        <w:t>4.5.3.5地表裂缝预测</w:t>
      </w:r>
    </w:p>
    <w:p>
      <w:pPr>
        <w:pStyle w:val="14"/>
        <w:overflowPunct w:val="0"/>
        <w:spacing w:line="360" w:lineRule="auto"/>
        <w:ind w:firstLine="480" w:firstLineChars="200"/>
        <w:rPr>
          <w:rFonts w:ascii="Times New Roman" w:hAnsi="Times New Roman"/>
          <w:sz w:val="24"/>
          <w:lang w:eastAsia="zh-CN"/>
        </w:rPr>
      </w:pPr>
      <w:r>
        <w:rPr>
          <w:rFonts w:hint="eastAsia" w:ascii="Times New Roman" w:hAnsi="Times New Roman"/>
          <w:sz w:val="24"/>
          <w:lang w:eastAsia="zh-CN"/>
        </w:rPr>
        <w:t>沉陷区的地表裂缝大致可以分为两组。一组为永久性裂缝带，位于采区边界周围的拉伸区，裂缝的宽度和落差较大，平行于采区边界方向延伸。另一组为动态裂缝，它随工作面的向前推进，出现在工作面前方的动态拉伸区，裂缝的宽度和落差较小，呈弧形分布，大致与工作面平行而垂直工作面的推进方向。随着工作面的继续推进，动态拉伸区随后又变为动态压缩区，动态裂缝可重新闭合。</w:t>
      </w:r>
    </w:p>
    <w:p>
      <w:pPr>
        <w:pStyle w:val="14"/>
        <w:overflowPunct w:val="0"/>
        <w:spacing w:line="360" w:lineRule="auto"/>
        <w:ind w:firstLine="480" w:firstLineChars="200"/>
        <w:rPr>
          <w:rFonts w:ascii="Times New Roman" w:hAnsi="Times New Roman"/>
          <w:sz w:val="24"/>
          <w:lang w:eastAsia="zh-CN"/>
        </w:rPr>
      </w:pPr>
      <w:r>
        <w:rPr>
          <w:rFonts w:hint="eastAsia" w:ascii="Times New Roman" w:hAnsi="Times New Roman"/>
          <w:sz w:val="24"/>
          <w:lang w:eastAsia="zh-CN"/>
        </w:rPr>
        <w:t>开采工作面切眼、上山、下山边界和停采线边界上方的地表一旦产生裂缝是永久性的。这些裂缝只有当相邻工作面的开采，或者人工充填，或者经历较长时间的自然作用才能闭合。</w:t>
      </w:r>
    </w:p>
    <w:p>
      <w:pPr>
        <w:pStyle w:val="14"/>
        <w:overflowPunct w:val="0"/>
        <w:spacing w:line="360" w:lineRule="auto"/>
        <w:ind w:firstLine="480" w:firstLineChars="200"/>
        <w:rPr>
          <w:rFonts w:ascii="Times New Roman" w:hAnsi="Times New Roman"/>
          <w:sz w:val="24"/>
          <w:lang w:eastAsia="zh-CN"/>
        </w:rPr>
      </w:pPr>
      <w:r>
        <w:rPr>
          <w:rFonts w:hint="eastAsia" w:ascii="Times New Roman" w:hAnsi="Times New Roman"/>
          <w:sz w:val="24"/>
          <w:lang w:eastAsia="zh-CN"/>
        </w:rPr>
        <w:t>由于采动滑移的方向指向采空区中心，且滑移量的大小与地表倾角有某种正比函数关系，采动裂缝大多分布在采空区边界部分，下沉盆地底部很少出现裂缝。</w:t>
      </w:r>
    </w:p>
    <w:p>
      <w:pPr>
        <w:pStyle w:val="14"/>
        <w:overflowPunct w:val="0"/>
        <w:spacing w:line="360" w:lineRule="auto"/>
        <w:ind w:firstLine="480" w:firstLineChars="200"/>
        <w:rPr>
          <w:rFonts w:ascii="Times New Roman" w:hAnsi="Times New Roman"/>
          <w:sz w:val="24"/>
          <w:lang w:eastAsia="zh-CN"/>
        </w:rPr>
      </w:pPr>
      <w:r>
        <w:rPr>
          <w:rFonts w:hint="eastAsia" w:ascii="Times New Roman" w:hAnsi="Times New Roman"/>
          <w:sz w:val="24"/>
          <w:lang w:eastAsia="zh-CN"/>
        </w:rPr>
        <w:t>按裂缝临界值：塑性大的黏土当地表拉伸变形值超过6～10mm/m时才发生裂缝，塑性小的砂质粘土或岩石，当地表拉伸变形达3mm/m时即发生裂缝。井田煤层开采时，地表不会产生动态裂缝。</w:t>
      </w:r>
    </w:p>
    <w:bookmarkEnd w:id="258"/>
    <w:bookmarkEnd w:id="259"/>
    <w:p>
      <w:pPr>
        <w:pStyle w:val="6"/>
        <w:numPr>
          <w:ilvl w:val="2"/>
          <w:numId w:val="0"/>
        </w:numPr>
        <w:autoSpaceDE w:val="0"/>
        <w:autoSpaceDN w:val="0"/>
        <w:adjustRightInd w:val="0"/>
        <w:jc w:val="left"/>
      </w:pPr>
      <w:bookmarkStart w:id="262" w:name="_Toc163812582"/>
      <w:bookmarkStart w:id="263" w:name="_Toc167095205"/>
      <w:r>
        <w:rPr>
          <w:lang w:eastAsia="zh-CN"/>
        </w:rPr>
        <w:t>4.5.</w:t>
      </w:r>
      <w:r>
        <w:rPr>
          <w:rFonts w:hint="eastAsia"/>
          <w:lang w:eastAsia="zh-CN"/>
        </w:rPr>
        <w:t>4</w:t>
      </w:r>
      <w:r>
        <w:rPr>
          <w:lang w:eastAsia="zh-CN"/>
        </w:rPr>
        <w:t xml:space="preserve"> </w:t>
      </w:r>
      <w:r>
        <w:fldChar w:fldCharType="begin"/>
      </w:r>
      <w:r>
        <w:instrText xml:space="preserve"> HYPERLINK \l "_Toc135058813" </w:instrText>
      </w:r>
      <w:r>
        <w:fldChar w:fldCharType="separate"/>
      </w:r>
      <w:bookmarkStart w:id="264" w:name="_Toc217294660"/>
      <w:bookmarkStart w:id="265" w:name="_Toc186645560"/>
      <w:bookmarkStart w:id="266" w:name="_Toc233445385"/>
      <w:bookmarkStart w:id="267" w:name="_Toc233625414"/>
      <w:bookmarkStart w:id="268" w:name="_Toc215893294"/>
      <w:r>
        <w:t>地表沉陷影响评价</w:t>
      </w:r>
      <w:bookmarkEnd w:id="262"/>
      <w:bookmarkEnd w:id="263"/>
      <w:bookmarkEnd w:id="264"/>
      <w:bookmarkEnd w:id="265"/>
      <w:bookmarkEnd w:id="266"/>
      <w:bookmarkEnd w:id="267"/>
      <w:bookmarkEnd w:id="268"/>
      <w:r>
        <w:fldChar w:fldCharType="end"/>
      </w:r>
    </w:p>
    <w:p>
      <w:pPr>
        <w:kinsoku w:val="0"/>
        <w:overflowPunct w:val="0"/>
        <w:autoSpaceDE w:val="0"/>
        <w:autoSpaceDN w:val="0"/>
        <w:adjustRightInd w:val="0"/>
        <w:spacing w:line="360" w:lineRule="auto"/>
        <w:rPr>
          <w:rFonts w:hAnsi="Times New Roman" w:eastAsia="宋体"/>
          <w:b/>
          <w:szCs w:val="24"/>
          <w:lang w:eastAsia="zh-CN"/>
        </w:rPr>
      </w:pPr>
      <w:bookmarkStart w:id="269" w:name="_Toc233445386"/>
      <w:bookmarkStart w:id="270" w:name="_Toc233625415"/>
      <w:r>
        <w:rPr>
          <w:rFonts w:hAnsi="Times New Roman" w:eastAsia="宋体"/>
          <w:b/>
          <w:szCs w:val="24"/>
          <w:lang w:eastAsia="zh-CN"/>
        </w:rPr>
        <w:t>4.5.</w:t>
      </w:r>
      <w:r>
        <w:rPr>
          <w:rFonts w:hint="eastAsia" w:hAnsi="Times New Roman" w:eastAsia="宋体"/>
          <w:b/>
          <w:szCs w:val="24"/>
          <w:lang w:eastAsia="zh-CN"/>
        </w:rPr>
        <w:t>4</w:t>
      </w:r>
      <w:r>
        <w:rPr>
          <w:rFonts w:hAnsi="Times New Roman" w:eastAsia="宋体"/>
          <w:b/>
          <w:szCs w:val="24"/>
          <w:lang w:eastAsia="zh-CN"/>
        </w:rPr>
        <w:t>.1 对地表形态、地形地貌的影响</w:t>
      </w:r>
      <w:bookmarkEnd w:id="269"/>
      <w:bookmarkEnd w:id="270"/>
    </w:p>
    <w:p>
      <w:pPr>
        <w:autoSpaceDE w:val="0"/>
        <w:autoSpaceDN w:val="0"/>
        <w:adjustRightInd w:val="0"/>
        <w:spacing w:line="360" w:lineRule="auto"/>
        <w:ind w:firstLine="480" w:firstLineChars="200"/>
        <w:rPr>
          <w:rFonts w:hAnsi="Times New Roman" w:eastAsia="宋体"/>
          <w:szCs w:val="24"/>
          <w:lang w:eastAsia="zh-CN"/>
        </w:rPr>
      </w:pPr>
      <w:r>
        <w:rPr>
          <w:rFonts w:hAnsi="Times New Roman" w:eastAsia="宋体"/>
          <w:szCs w:val="24"/>
          <w:lang w:eastAsia="zh-CN"/>
        </w:rPr>
        <w:t>煤</w:t>
      </w:r>
      <w:r>
        <w:rPr>
          <w:rFonts w:hAnsi="Times New Roman" w:eastAsia="宋体"/>
          <w:szCs w:val="24"/>
        </w:rPr>
        <w:t>层开采后地表发生移动和变形，同时伴有裂缝及塌陷坑的产生，矿井开采后的地貌形态为原有地貌和地表塌陷叠加的结果。由地表沉陷预测结果可知，矿</w:t>
      </w:r>
      <w:r>
        <w:rPr>
          <w:rFonts w:hAnsi="Times New Roman" w:eastAsia="宋体"/>
          <w:szCs w:val="24"/>
          <w:lang w:eastAsia="zh-CN"/>
        </w:rPr>
        <w:t>井各煤层</w:t>
      </w:r>
      <w:r>
        <w:rPr>
          <w:rFonts w:hAnsi="Times New Roman" w:eastAsia="宋体"/>
          <w:szCs w:val="24"/>
        </w:rPr>
        <w:t>开采后地表下沉最大</w:t>
      </w:r>
      <w:r>
        <w:rPr>
          <w:rFonts w:hAnsi="Times New Roman" w:eastAsia="宋体"/>
          <w:szCs w:val="24"/>
          <w:lang w:eastAsia="zh-CN"/>
        </w:rPr>
        <w:t>为</w:t>
      </w:r>
      <w:r>
        <w:rPr>
          <w:rFonts w:hint="eastAsia" w:hAnsi="Times New Roman" w:eastAsia="宋体"/>
          <w:szCs w:val="24"/>
          <w:lang w:eastAsia="zh-CN"/>
        </w:rPr>
        <w:t>842</w:t>
      </w:r>
      <w:r>
        <w:rPr>
          <w:rFonts w:hAnsi="Times New Roman" w:eastAsia="宋体"/>
          <w:szCs w:val="24"/>
          <w:lang w:eastAsia="zh-CN"/>
        </w:rPr>
        <w:t>m</w:t>
      </w:r>
      <w:r>
        <w:rPr>
          <w:rFonts w:hAnsi="Times New Roman" w:eastAsia="宋体"/>
          <w:szCs w:val="24"/>
        </w:rPr>
        <w:t>m，</w:t>
      </w:r>
      <w:r>
        <w:rPr>
          <w:rFonts w:hAnsi="Times New Roman" w:eastAsia="宋体"/>
          <w:szCs w:val="24"/>
          <w:lang w:eastAsia="zh-CN"/>
        </w:rPr>
        <w:t>最大水平移动值为</w:t>
      </w:r>
      <w:r>
        <w:rPr>
          <w:rFonts w:hint="eastAsia" w:hAnsi="Times New Roman" w:eastAsia="宋体"/>
          <w:szCs w:val="24"/>
          <w:lang w:eastAsia="zh-CN"/>
        </w:rPr>
        <w:t>252.557</w:t>
      </w:r>
      <w:r>
        <w:rPr>
          <w:rFonts w:hAnsi="Times New Roman" w:eastAsia="宋体"/>
          <w:szCs w:val="24"/>
          <w:lang w:eastAsia="zh-CN"/>
        </w:rPr>
        <w:t>m</w:t>
      </w:r>
      <w:r>
        <w:rPr>
          <w:rFonts w:hAnsi="Times New Roman" w:eastAsia="宋体"/>
          <w:szCs w:val="24"/>
        </w:rPr>
        <w:t>m</w:t>
      </w:r>
      <w:r>
        <w:rPr>
          <w:rFonts w:hAnsi="Times New Roman" w:eastAsia="宋体"/>
          <w:szCs w:val="24"/>
          <w:lang w:eastAsia="zh-CN"/>
        </w:rPr>
        <w:t>。</w:t>
      </w:r>
    </w:p>
    <w:p>
      <w:pPr>
        <w:autoSpaceDE w:val="0"/>
        <w:autoSpaceDN w:val="0"/>
        <w:adjustRightInd w:val="0"/>
        <w:spacing w:line="360" w:lineRule="auto"/>
        <w:ind w:firstLine="480" w:firstLineChars="200"/>
        <w:rPr>
          <w:rFonts w:hAnsi="Times New Roman" w:eastAsia="宋体"/>
          <w:szCs w:val="24"/>
        </w:rPr>
      </w:pPr>
      <w:r>
        <w:rPr>
          <w:rFonts w:hAnsi="Times New Roman" w:eastAsia="宋体"/>
          <w:szCs w:val="24"/>
        </w:rPr>
        <w:t>（1）地表下沉是逐步形成的，</w:t>
      </w:r>
      <w:r>
        <w:rPr>
          <w:rFonts w:hAnsi="Times New Roman" w:eastAsia="宋体"/>
          <w:szCs w:val="24"/>
          <w:lang w:eastAsia="zh-CN"/>
        </w:rPr>
        <w:t>是一个缓慢连续的过程，</w:t>
      </w:r>
      <w:r>
        <w:rPr>
          <w:rFonts w:hAnsi="Times New Roman" w:eastAsia="宋体"/>
          <w:szCs w:val="24"/>
        </w:rPr>
        <w:t>要经历较长的时间；</w:t>
      </w:r>
    </w:p>
    <w:p>
      <w:pPr>
        <w:autoSpaceDE w:val="0"/>
        <w:autoSpaceDN w:val="0"/>
        <w:adjustRightInd w:val="0"/>
        <w:spacing w:line="360" w:lineRule="auto"/>
        <w:ind w:firstLine="480" w:firstLineChars="200"/>
        <w:rPr>
          <w:rFonts w:hAnsi="Times New Roman" w:eastAsia="宋体"/>
          <w:szCs w:val="24"/>
          <w:lang w:eastAsia="zh-CN"/>
        </w:rPr>
      </w:pPr>
      <w:r>
        <w:rPr>
          <w:rFonts w:hAnsi="Times New Roman" w:eastAsia="宋体"/>
          <w:szCs w:val="24"/>
          <w:lang w:eastAsia="zh-CN"/>
        </w:rPr>
        <w:t>（2）</w:t>
      </w:r>
      <w:r>
        <w:rPr>
          <w:rFonts w:hAnsi="Times New Roman" w:eastAsia="宋体"/>
          <w:szCs w:val="24"/>
        </w:rPr>
        <w:t>开采下沉造成地形坡度变化只发生在采空区边界上方，只是局部区域；</w:t>
      </w:r>
    </w:p>
    <w:p>
      <w:pPr>
        <w:autoSpaceDE w:val="0"/>
        <w:autoSpaceDN w:val="0"/>
        <w:adjustRightInd w:val="0"/>
        <w:spacing w:line="360" w:lineRule="auto"/>
        <w:ind w:firstLine="480" w:firstLineChars="200"/>
        <w:rPr>
          <w:rFonts w:hAnsi="Times New Roman" w:eastAsia="宋体"/>
          <w:szCs w:val="24"/>
        </w:rPr>
      </w:pPr>
      <w:r>
        <w:rPr>
          <w:rFonts w:hAnsi="Times New Roman" w:eastAsia="宋体"/>
          <w:szCs w:val="24"/>
        </w:rPr>
        <w:t>（</w:t>
      </w:r>
      <w:r>
        <w:rPr>
          <w:rFonts w:hAnsi="Times New Roman" w:eastAsia="宋体"/>
          <w:szCs w:val="24"/>
          <w:lang w:eastAsia="zh-CN"/>
        </w:rPr>
        <w:t>3</w:t>
      </w:r>
      <w:r>
        <w:rPr>
          <w:rFonts w:hAnsi="Times New Roman" w:eastAsia="宋体"/>
          <w:szCs w:val="24"/>
        </w:rPr>
        <w:t>）矿</w:t>
      </w:r>
      <w:r>
        <w:rPr>
          <w:rFonts w:hAnsi="Times New Roman" w:eastAsia="宋体"/>
          <w:szCs w:val="24"/>
          <w:lang w:eastAsia="zh-CN"/>
        </w:rPr>
        <w:t>井</w:t>
      </w:r>
      <w:r>
        <w:rPr>
          <w:rFonts w:hAnsi="Times New Roman" w:eastAsia="宋体"/>
          <w:szCs w:val="24"/>
        </w:rPr>
        <w:t>地处</w:t>
      </w:r>
      <w:r>
        <w:rPr>
          <w:rFonts w:hAnsi="Times New Roman" w:eastAsia="宋体"/>
          <w:szCs w:val="24"/>
          <w:lang w:eastAsia="zh-CN"/>
        </w:rPr>
        <w:t>峨层山背斜的东翼，</w:t>
      </w:r>
      <w:r>
        <w:rPr>
          <w:rFonts w:hAnsi="Times New Roman" w:eastAsia="宋体"/>
          <w:szCs w:val="24"/>
        </w:rPr>
        <w:t>最高海拔+</w:t>
      </w:r>
      <w:r>
        <w:rPr>
          <w:rFonts w:hAnsi="Times New Roman" w:eastAsia="宋体"/>
          <w:szCs w:val="24"/>
          <w:lang w:eastAsia="zh-CN"/>
        </w:rPr>
        <w:t>1160</w:t>
      </w:r>
      <w:r>
        <w:rPr>
          <w:rFonts w:hAnsi="Times New Roman" w:eastAsia="宋体"/>
          <w:szCs w:val="24"/>
        </w:rPr>
        <w:t>m，最低处海拔+</w:t>
      </w:r>
      <w:r>
        <w:rPr>
          <w:rFonts w:hAnsi="Times New Roman" w:eastAsia="宋体"/>
          <w:szCs w:val="24"/>
          <w:lang w:eastAsia="zh-CN"/>
        </w:rPr>
        <w:t>380</w:t>
      </w:r>
      <w:r>
        <w:rPr>
          <w:rFonts w:hAnsi="Times New Roman" w:eastAsia="宋体"/>
          <w:szCs w:val="24"/>
        </w:rPr>
        <w:t>m，</w:t>
      </w:r>
      <w:r>
        <w:rPr>
          <w:rFonts w:hAnsi="Times New Roman" w:eastAsia="宋体"/>
          <w:szCs w:val="24"/>
          <w:lang w:eastAsia="zh-CN"/>
        </w:rPr>
        <w:t>相对</w:t>
      </w:r>
      <w:r>
        <w:rPr>
          <w:rFonts w:hAnsi="Times New Roman" w:eastAsia="宋体"/>
          <w:szCs w:val="24"/>
        </w:rPr>
        <w:t>高差</w:t>
      </w:r>
      <w:r>
        <w:rPr>
          <w:rFonts w:hAnsi="Times New Roman" w:eastAsia="宋体"/>
          <w:szCs w:val="24"/>
          <w:lang w:eastAsia="zh-CN"/>
        </w:rPr>
        <w:t>880</w:t>
      </w:r>
      <w:r>
        <w:rPr>
          <w:rFonts w:hAnsi="Times New Roman" w:eastAsia="宋体"/>
          <w:szCs w:val="24"/>
        </w:rPr>
        <w:t>m，属</w:t>
      </w:r>
      <w:r>
        <w:rPr>
          <w:rFonts w:hAnsi="Times New Roman" w:eastAsia="宋体"/>
          <w:szCs w:val="24"/>
          <w:lang w:eastAsia="zh-CN"/>
        </w:rPr>
        <w:t>中、</w:t>
      </w:r>
      <w:r>
        <w:rPr>
          <w:rFonts w:hAnsi="Times New Roman" w:eastAsia="宋体"/>
          <w:szCs w:val="24"/>
        </w:rPr>
        <w:t>低</w:t>
      </w:r>
      <w:r>
        <w:rPr>
          <w:rFonts w:hAnsi="Times New Roman" w:eastAsia="宋体"/>
          <w:szCs w:val="24"/>
          <w:lang w:eastAsia="zh-CN"/>
        </w:rPr>
        <w:t>山丘陵地貌</w:t>
      </w:r>
      <w:r>
        <w:rPr>
          <w:rFonts w:hAnsi="Times New Roman" w:eastAsia="宋体"/>
          <w:szCs w:val="24"/>
        </w:rPr>
        <w:t>，开采引起的地表下沉量相对于地表本身的高差较小，因此地表形态的变化不会太明显。</w:t>
      </w:r>
    </w:p>
    <w:p>
      <w:pPr>
        <w:autoSpaceDE w:val="0"/>
        <w:autoSpaceDN w:val="0"/>
        <w:adjustRightInd w:val="0"/>
        <w:spacing w:line="360" w:lineRule="auto"/>
        <w:ind w:firstLine="480" w:firstLineChars="200"/>
        <w:rPr>
          <w:rFonts w:hAnsi="Times New Roman" w:eastAsia="宋体"/>
          <w:szCs w:val="24"/>
        </w:rPr>
      </w:pPr>
      <w:r>
        <w:rPr>
          <w:rFonts w:hAnsi="Times New Roman" w:eastAsia="宋体"/>
          <w:szCs w:val="24"/>
        </w:rPr>
        <w:t>（</w:t>
      </w:r>
      <w:r>
        <w:rPr>
          <w:rFonts w:hAnsi="Times New Roman" w:eastAsia="宋体"/>
          <w:szCs w:val="24"/>
          <w:lang w:eastAsia="zh-CN"/>
        </w:rPr>
        <w:t>4</w:t>
      </w:r>
      <w:r>
        <w:rPr>
          <w:rFonts w:hAnsi="Times New Roman" w:eastAsia="宋体"/>
          <w:szCs w:val="24"/>
        </w:rPr>
        <w:t>）矿</w:t>
      </w:r>
      <w:r>
        <w:rPr>
          <w:rFonts w:hAnsi="Times New Roman" w:eastAsia="宋体"/>
          <w:szCs w:val="24"/>
          <w:lang w:eastAsia="zh-CN"/>
        </w:rPr>
        <w:t>井</w:t>
      </w:r>
      <w:r>
        <w:rPr>
          <w:rFonts w:hAnsi="Times New Roman" w:eastAsia="宋体"/>
          <w:szCs w:val="24"/>
        </w:rPr>
        <w:t>开采后造成的地表沉陷形式主要是小范围的滑坡、地表裂缝和地面塌陷，因此沉陷对低山丘陵区地表和自然景观的影响仅局限在采空区边界上方的局部范围内。经计算，</w:t>
      </w:r>
      <w:r>
        <w:rPr>
          <w:rFonts w:hAnsi="Times New Roman" w:eastAsia="宋体"/>
          <w:szCs w:val="24"/>
          <w:lang w:eastAsia="zh-CN"/>
        </w:rPr>
        <w:t>矿井开采后的</w:t>
      </w:r>
      <w:r>
        <w:rPr>
          <w:rFonts w:hAnsi="Times New Roman" w:eastAsia="宋体"/>
          <w:szCs w:val="24"/>
        </w:rPr>
        <w:t>最大影响范围在</w:t>
      </w:r>
      <w:r>
        <w:rPr>
          <w:rFonts w:hAnsi="Times New Roman" w:eastAsia="宋体"/>
          <w:szCs w:val="24"/>
          <w:lang w:eastAsia="zh-CN"/>
        </w:rPr>
        <w:t>开丰井田（二、四采区）</w:t>
      </w:r>
      <w:r>
        <w:rPr>
          <w:rFonts w:hAnsi="Times New Roman" w:eastAsia="宋体"/>
          <w:szCs w:val="24"/>
        </w:rPr>
        <w:t>开采边界外</w:t>
      </w:r>
      <w:r>
        <w:rPr>
          <w:rFonts w:hAnsi="Times New Roman" w:eastAsia="宋体"/>
          <w:szCs w:val="24"/>
          <w:lang w:eastAsia="zh-CN"/>
        </w:rPr>
        <w:t>245.8</w:t>
      </w:r>
      <w:r>
        <w:rPr>
          <w:rFonts w:hAnsi="Times New Roman" w:eastAsia="宋体"/>
          <w:szCs w:val="24"/>
        </w:rPr>
        <w:t>m，加之沉陷的整体性和区域地形的相对高差，最终影响不会改变</w:t>
      </w:r>
      <w:r>
        <w:rPr>
          <w:rFonts w:hAnsi="Times New Roman" w:eastAsia="宋体"/>
          <w:szCs w:val="24"/>
          <w:lang w:eastAsia="zh-CN"/>
        </w:rPr>
        <w:t>矿井范围</w:t>
      </w:r>
      <w:r>
        <w:rPr>
          <w:rFonts w:hAnsi="Times New Roman" w:eastAsia="宋体"/>
          <w:szCs w:val="24"/>
        </w:rPr>
        <w:t>内的总体地貌类型。</w:t>
      </w:r>
    </w:p>
    <w:p>
      <w:pPr>
        <w:autoSpaceDE w:val="0"/>
        <w:autoSpaceDN w:val="0"/>
        <w:adjustRightInd w:val="0"/>
        <w:spacing w:line="360" w:lineRule="auto"/>
        <w:ind w:firstLine="480" w:firstLineChars="200"/>
        <w:rPr>
          <w:rFonts w:hAnsi="Times New Roman" w:eastAsia="宋体"/>
          <w:szCs w:val="24"/>
        </w:rPr>
      </w:pPr>
      <w:r>
        <w:rPr>
          <w:rFonts w:hAnsi="Times New Roman" w:eastAsia="宋体"/>
          <w:szCs w:val="24"/>
        </w:rPr>
        <w:t>综上分析，由于矿</w:t>
      </w:r>
      <w:r>
        <w:rPr>
          <w:rFonts w:hAnsi="Times New Roman" w:eastAsia="宋体"/>
          <w:szCs w:val="24"/>
          <w:lang w:eastAsia="zh-CN"/>
        </w:rPr>
        <w:t>井</w:t>
      </w:r>
      <w:r>
        <w:rPr>
          <w:rFonts w:hAnsi="Times New Roman" w:eastAsia="宋体"/>
          <w:szCs w:val="24"/>
        </w:rPr>
        <w:t>所处区域属</w:t>
      </w:r>
      <w:r>
        <w:rPr>
          <w:rFonts w:hAnsi="Times New Roman" w:eastAsia="宋体"/>
          <w:szCs w:val="24"/>
          <w:lang w:eastAsia="zh-CN"/>
        </w:rPr>
        <w:t>山区地带，地形相对高差较大</w:t>
      </w:r>
      <w:r>
        <w:rPr>
          <w:rFonts w:hAnsi="Times New Roman" w:eastAsia="宋体"/>
          <w:szCs w:val="24"/>
        </w:rPr>
        <w:t>，矿井开采后地表最大下沉值远小于原地形高差，不会改变矿区总的地形地貌特征；矿区地表塌陷</w:t>
      </w:r>
      <w:r>
        <w:rPr>
          <w:rFonts w:hint="eastAsia" w:hAnsi="Times New Roman" w:eastAsia="宋体"/>
          <w:szCs w:val="24"/>
          <w:lang w:eastAsia="zh-CN"/>
        </w:rPr>
        <w:t>也不会像</w:t>
      </w:r>
      <w:r>
        <w:rPr>
          <w:rFonts w:hAnsi="Times New Roman" w:eastAsia="宋体"/>
          <w:szCs w:val="24"/>
        </w:rPr>
        <w:t>平原地区那样出现明显沉陷盆地和永久性积水区；但由于中低山区地势较高，地形坡度和高差变化较大，会出现因采动引起的地表裂缝和滑坡等破坏现象，会造成水土流失，在山顶或山脊部位容易形成</w:t>
      </w:r>
      <w:r>
        <w:rPr>
          <w:rFonts w:hAnsi="Times New Roman" w:eastAsia="宋体"/>
          <w:szCs w:val="24"/>
          <w:lang w:eastAsia="zh-CN"/>
        </w:rPr>
        <w:t>局部的</w:t>
      </w:r>
      <w:r>
        <w:rPr>
          <w:rFonts w:hAnsi="Times New Roman" w:eastAsia="宋体"/>
          <w:szCs w:val="24"/>
        </w:rPr>
        <w:t>采动裂缝和塌陷，坡度较大的山坡容易出现崩塌，局部</w:t>
      </w:r>
      <w:r>
        <w:rPr>
          <w:rFonts w:hAnsi="Times New Roman" w:eastAsia="宋体"/>
          <w:szCs w:val="24"/>
          <w:lang w:eastAsia="zh-CN"/>
        </w:rPr>
        <w:t>塌陷</w:t>
      </w:r>
      <w:r>
        <w:rPr>
          <w:rFonts w:hAnsi="Times New Roman" w:eastAsia="宋体"/>
          <w:szCs w:val="24"/>
        </w:rPr>
        <w:t>坑等。</w:t>
      </w:r>
    </w:p>
    <w:p>
      <w:pPr>
        <w:kinsoku w:val="0"/>
        <w:overflowPunct w:val="0"/>
        <w:autoSpaceDE w:val="0"/>
        <w:autoSpaceDN w:val="0"/>
        <w:adjustRightInd w:val="0"/>
        <w:spacing w:line="360" w:lineRule="auto"/>
        <w:rPr>
          <w:rFonts w:hAnsi="Times New Roman" w:eastAsia="宋体"/>
          <w:b/>
          <w:szCs w:val="24"/>
          <w:lang w:eastAsia="zh-CN"/>
        </w:rPr>
      </w:pPr>
      <w:bookmarkStart w:id="271" w:name="_Toc233625416"/>
      <w:bookmarkStart w:id="272" w:name="_Toc233445387"/>
      <w:r>
        <w:rPr>
          <w:rFonts w:hAnsi="Times New Roman" w:eastAsia="宋体"/>
          <w:b/>
          <w:szCs w:val="24"/>
          <w:lang w:eastAsia="zh-CN"/>
        </w:rPr>
        <w:t>4.5.</w:t>
      </w:r>
      <w:r>
        <w:rPr>
          <w:rFonts w:hint="eastAsia" w:hAnsi="Times New Roman" w:eastAsia="宋体"/>
          <w:b/>
          <w:szCs w:val="24"/>
          <w:lang w:eastAsia="zh-CN"/>
        </w:rPr>
        <w:t>4</w:t>
      </w:r>
      <w:r>
        <w:rPr>
          <w:rFonts w:hAnsi="Times New Roman" w:eastAsia="宋体"/>
          <w:b/>
          <w:szCs w:val="24"/>
          <w:lang w:eastAsia="zh-CN"/>
        </w:rPr>
        <w:t>.2 对地面建筑物的影响</w:t>
      </w:r>
      <w:bookmarkEnd w:id="271"/>
      <w:bookmarkEnd w:id="272"/>
    </w:p>
    <w:p>
      <w:pPr>
        <w:pStyle w:val="60"/>
        <w:snapToGrid w:val="0"/>
        <w:spacing w:line="360" w:lineRule="auto"/>
        <w:ind w:firstLine="480"/>
        <w:rPr>
          <w:rFonts w:hAnsi="Times New Roman" w:eastAsia="宋体"/>
          <w:sz w:val="24"/>
          <w:szCs w:val="24"/>
        </w:rPr>
      </w:pPr>
      <w:r>
        <w:rPr>
          <w:rFonts w:hAnsi="Times New Roman" w:eastAsia="宋体"/>
          <w:sz w:val="24"/>
          <w:szCs w:val="24"/>
        </w:rPr>
        <w:t>评价按照《建筑物、水体、铁路及主要井巷煤柱留设与压煤开采规范》中</w:t>
      </w:r>
      <w:r>
        <w:rPr>
          <w:rFonts w:hAnsi="Times New Roman" w:eastAsia="宋体"/>
          <w:sz w:val="24"/>
        </w:rPr>
        <w:t>砖混（石）结构的建筑物破坏（保护）等级标准</w:t>
      </w:r>
      <w:r>
        <w:rPr>
          <w:rFonts w:hAnsi="Times New Roman" w:eastAsia="宋体"/>
          <w:sz w:val="24"/>
          <w:szCs w:val="24"/>
        </w:rPr>
        <w:t>，按开采变形值的预计结果及上述确定的建筑物破坏等级评价原则，对</w:t>
      </w:r>
      <w:r>
        <w:rPr>
          <w:rFonts w:hAnsi="Times New Roman" w:eastAsia="宋体"/>
          <w:sz w:val="24"/>
          <w:szCs w:val="24"/>
          <w:lang w:eastAsia="zh-CN"/>
        </w:rPr>
        <w:t>矿井</w:t>
      </w:r>
      <w:r>
        <w:rPr>
          <w:rFonts w:hAnsi="Times New Roman" w:eastAsia="宋体"/>
          <w:sz w:val="24"/>
          <w:szCs w:val="24"/>
        </w:rPr>
        <w:t>范围内房屋破坏情况进行影响分析。</w:t>
      </w:r>
    </w:p>
    <w:p>
      <w:pPr>
        <w:snapToGrid w:val="0"/>
        <w:spacing w:line="360" w:lineRule="auto"/>
        <w:ind w:firstLine="482" w:firstLineChars="200"/>
        <w:jc w:val="center"/>
        <w:rPr>
          <w:rFonts w:hAnsi="Times New Roman" w:eastAsia="宋体"/>
          <w:b/>
          <w:lang w:eastAsia="zh-CN"/>
        </w:rPr>
      </w:pPr>
    </w:p>
    <w:p>
      <w:pPr>
        <w:snapToGrid w:val="0"/>
        <w:spacing w:line="360" w:lineRule="auto"/>
        <w:ind w:firstLine="422" w:firstLineChars="200"/>
        <w:jc w:val="center"/>
        <w:rPr>
          <w:rFonts w:hAnsi="Times New Roman" w:eastAsia="宋体"/>
          <w:b/>
          <w:sz w:val="21"/>
          <w:szCs w:val="21"/>
          <w:lang w:eastAsia="zh-CN"/>
        </w:rPr>
      </w:pPr>
    </w:p>
    <w:p>
      <w:pPr>
        <w:snapToGrid w:val="0"/>
        <w:spacing w:line="360" w:lineRule="auto"/>
        <w:ind w:firstLine="422" w:firstLineChars="200"/>
        <w:jc w:val="center"/>
        <w:rPr>
          <w:rFonts w:hAnsi="Times New Roman" w:eastAsia="宋体"/>
          <w:b/>
          <w:sz w:val="21"/>
          <w:szCs w:val="21"/>
        </w:rPr>
      </w:pPr>
      <w:r>
        <w:rPr>
          <w:rFonts w:hAnsi="Times New Roman" w:eastAsia="宋体"/>
          <w:b/>
          <w:sz w:val="21"/>
          <w:szCs w:val="21"/>
        </w:rPr>
        <w:t>表</w:t>
      </w:r>
      <w:r>
        <w:rPr>
          <w:rFonts w:hAnsi="Times New Roman" w:eastAsia="宋体"/>
          <w:b/>
          <w:sz w:val="21"/>
          <w:szCs w:val="21"/>
          <w:lang w:eastAsia="zh-CN"/>
        </w:rPr>
        <w:t>4.5</w:t>
      </w:r>
      <w:r>
        <w:rPr>
          <w:rFonts w:hAnsi="Times New Roman" w:eastAsia="宋体"/>
          <w:b/>
          <w:sz w:val="21"/>
          <w:szCs w:val="21"/>
        </w:rPr>
        <w:t>-</w:t>
      </w:r>
      <w:r>
        <w:rPr>
          <w:rFonts w:hint="eastAsia" w:hAnsi="Times New Roman" w:eastAsia="宋体"/>
          <w:b/>
          <w:sz w:val="21"/>
          <w:szCs w:val="21"/>
          <w:lang w:eastAsia="zh-CN"/>
        </w:rPr>
        <w:t>8</w:t>
      </w:r>
      <w:r>
        <w:rPr>
          <w:rFonts w:hAnsi="Times New Roman" w:eastAsia="宋体"/>
          <w:b/>
          <w:sz w:val="21"/>
          <w:szCs w:val="21"/>
          <w:lang w:eastAsia="zh-CN"/>
        </w:rPr>
        <w:t xml:space="preserve">  </w:t>
      </w:r>
      <w:r>
        <w:rPr>
          <w:rFonts w:hAnsi="Times New Roman" w:eastAsia="宋体"/>
          <w:b/>
          <w:sz w:val="21"/>
          <w:szCs w:val="21"/>
        </w:rPr>
        <w:t>地表建筑物破坏/保护等级标准</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4"/>
        <w:gridCol w:w="3526"/>
        <w:gridCol w:w="1243"/>
        <w:gridCol w:w="1022"/>
        <w:gridCol w:w="936"/>
        <w:gridCol w:w="1063"/>
        <w:gridCol w:w="7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25" w:type="pct"/>
            <w:vMerge w:val="restart"/>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损坏 等级</w:t>
            </w:r>
          </w:p>
        </w:tc>
        <w:tc>
          <w:tcPr>
            <w:tcW w:w="1887" w:type="pct"/>
            <w:vMerge w:val="restart"/>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建筑物损坏程度</w:t>
            </w:r>
          </w:p>
        </w:tc>
        <w:tc>
          <w:tcPr>
            <w:tcW w:w="1713" w:type="pct"/>
            <w:gridSpan w:val="3"/>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地表变形值</w:t>
            </w:r>
          </w:p>
        </w:tc>
        <w:tc>
          <w:tcPr>
            <w:tcW w:w="569" w:type="pct"/>
            <w:vMerge w:val="restart"/>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p>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损坏分 类</w:t>
            </w:r>
          </w:p>
        </w:tc>
        <w:tc>
          <w:tcPr>
            <w:tcW w:w="406" w:type="pct"/>
            <w:vMerge w:val="restart"/>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p>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结构 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25" w:type="pct"/>
            <w:vMerge w:val="continue"/>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p>
        </w:tc>
        <w:tc>
          <w:tcPr>
            <w:tcW w:w="1887" w:type="pct"/>
            <w:vMerge w:val="continue"/>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p>
        </w:tc>
        <w:tc>
          <w:tcPr>
            <w:tcW w:w="665" w:type="pct"/>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水平变形</w:t>
            </w:r>
            <w:r>
              <w:rPr>
                <w:rFonts w:hint="eastAsia" w:hAnsi="Times New Roman" w:eastAsia="宋体"/>
                <w:b/>
                <w:kern w:val="2"/>
                <w:sz w:val="21"/>
                <w:szCs w:val="21"/>
              </w:rPr>
              <w:t>ε</w:t>
            </w:r>
          </w:p>
        </w:tc>
        <w:tc>
          <w:tcPr>
            <w:tcW w:w="547" w:type="pct"/>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曲率 k</w:t>
            </w:r>
          </w:p>
        </w:tc>
        <w:tc>
          <w:tcPr>
            <w:tcW w:w="501" w:type="pct"/>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倾斜 i</w:t>
            </w:r>
          </w:p>
        </w:tc>
        <w:tc>
          <w:tcPr>
            <w:tcW w:w="569" w:type="pct"/>
            <w:vMerge w:val="continue"/>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p>
        </w:tc>
        <w:tc>
          <w:tcPr>
            <w:tcW w:w="406" w:type="pct"/>
            <w:vMerge w:val="continue"/>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25" w:type="pct"/>
            <w:vMerge w:val="continue"/>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p>
        </w:tc>
        <w:tc>
          <w:tcPr>
            <w:tcW w:w="1887" w:type="pct"/>
            <w:vMerge w:val="continue"/>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p>
        </w:tc>
        <w:tc>
          <w:tcPr>
            <w:tcW w:w="665" w:type="pct"/>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mm/m</w:t>
            </w:r>
          </w:p>
        </w:tc>
        <w:tc>
          <w:tcPr>
            <w:tcW w:w="547" w:type="pct"/>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10</w:t>
            </w:r>
            <w:r>
              <w:rPr>
                <w:rFonts w:hint="eastAsia" w:hAnsi="Times New Roman" w:eastAsia="宋体"/>
                <w:kern w:val="2"/>
                <w:sz w:val="21"/>
                <w:szCs w:val="21"/>
                <w:vertAlign w:val="superscript"/>
              </w:rPr>
              <w:t>-3</w:t>
            </w:r>
            <w:r>
              <w:rPr>
                <w:rFonts w:hint="eastAsia" w:hAnsi="Times New Roman" w:eastAsia="宋体"/>
                <w:kern w:val="2"/>
                <w:sz w:val="21"/>
                <w:szCs w:val="21"/>
              </w:rPr>
              <w:t>/m</w:t>
            </w:r>
          </w:p>
        </w:tc>
        <w:tc>
          <w:tcPr>
            <w:tcW w:w="501" w:type="pct"/>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mm/m</w:t>
            </w:r>
          </w:p>
        </w:tc>
        <w:tc>
          <w:tcPr>
            <w:tcW w:w="569" w:type="pct"/>
            <w:vMerge w:val="continue"/>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p>
        </w:tc>
        <w:tc>
          <w:tcPr>
            <w:tcW w:w="406" w:type="pct"/>
            <w:vMerge w:val="continue"/>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25" w:type="pct"/>
            <w:vMerge w:val="restart"/>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Ⅰ</w:t>
            </w:r>
          </w:p>
        </w:tc>
        <w:tc>
          <w:tcPr>
            <w:tcW w:w="1887" w:type="pct"/>
            <w:vAlign w:val="center"/>
          </w:tcPr>
          <w:p>
            <w:pPr>
              <w:keepNext w:val="0"/>
              <w:keepLines w:val="0"/>
              <w:suppressLineNumbers w:val="0"/>
              <w:autoSpaceDE w:val="0"/>
              <w:autoSpaceDN w:val="0"/>
              <w:adjustRightInd w:val="0"/>
              <w:spacing w:before="0" w:beforeAutospacing="0" w:after="0" w:afterAutospacing="0" w:line="280" w:lineRule="exact"/>
              <w:ind w:left="0" w:right="0"/>
              <w:rPr>
                <w:rFonts w:hint="eastAsia" w:hAnsi="Times New Roman" w:eastAsia="宋体"/>
                <w:kern w:val="2"/>
                <w:sz w:val="21"/>
                <w:szCs w:val="21"/>
              </w:rPr>
            </w:pPr>
            <w:r>
              <w:rPr>
                <w:rFonts w:hint="eastAsia" w:hAnsi="Times New Roman" w:eastAsia="宋体"/>
                <w:kern w:val="2"/>
                <w:sz w:val="21"/>
                <w:szCs w:val="21"/>
              </w:rPr>
              <w:t>自然间砖墙上出现宽度1</w:t>
            </w:r>
            <w:r>
              <w:rPr>
                <w:rFonts w:hint="eastAsia" w:hAnsi="Times New Roman" w:eastAsia="宋体"/>
                <w:kern w:val="2"/>
                <w:sz w:val="21"/>
                <w:szCs w:val="21"/>
                <w:lang w:eastAsia="zh-CN"/>
              </w:rPr>
              <w:t>～</w:t>
            </w:r>
            <w:r>
              <w:rPr>
                <w:rFonts w:hint="eastAsia" w:hAnsi="Times New Roman" w:eastAsia="宋体"/>
                <w:kern w:val="2"/>
                <w:sz w:val="21"/>
                <w:szCs w:val="21"/>
              </w:rPr>
              <w:t>2mm的裂缝</w:t>
            </w:r>
          </w:p>
        </w:tc>
        <w:tc>
          <w:tcPr>
            <w:tcW w:w="665" w:type="pct"/>
            <w:vMerge w:val="restart"/>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≤2.0</w:t>
            </w:r>
          </w:p>
        </w:tc>
        <w:tc>
          <w:tcPr>
            <w:tcW w:w="547" w:type="pct"/>
            <w:vMerge w:val="restart"/>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≤0.2</w:t>
            </w:r>
          </w:p>
        </w:tc>
        <w:tc>
          <w:tcPr>
            <w:tcW w:w="501" w:type="pct"/>
            <w:vMerge w:val="restart"/>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≤3.0</w:t>
            </w:r>
          </w:p>
        </w:tc>
        <w:tc>
          <w:tcPr>
            <w:tcW w:w="569" w:type="pct"/>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极轻微损坏</w:t>
            </w:r>
          </w:p>
        </w:tc>
        <w:tc>
          <w:tcPr>
            <w:tcW w:w="406" w:type="pct"/>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不修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25" w:type="pct"/>
            <w:vMerge w:val="continue"/>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p>
        </w:tc>
        <w:tc>
          <w:tcPr>
            <w:tcW w:w="1887" w:type="pct"/>
            <w:vAlign w:val="center"/>
          </w:tcPr>
          <w:p>
            <w:pPr>
              <w:keepNext w:val="0"/>
              <w:keepLines w:val="0"/>
              <w:suppressLineNumbers w:val="0"/>
              <w:autoSpaceDE w:val="0"/>
              <w:autoSpaceDN w:val="0"/>
              <w:adjustRightInd w:val="0"/>
              <w:spacing w:before="0" w:beforeAutospacing="0" w:after="0" w:afterAutospacing="0" w:line="280" w:lineRule="exact"/>
              <w:ind w:left="0" w:right="0"/>
              <w:rPr>
                <w:rFonts w:hint="eastAsia" w:hAnsi="Times New Roman" w:eastAsia="宋体"/>
                <w:kern w:val="2"/>
                <w:sz w:val="21"/>
                <w:szCs w:val="21"/>
              </w:rPr>
            </w:pPr>
            <w:r>
              <w:rPr>
                <w:rFonts w:hint="eastAsia" w:hAnsi="Times New Roman" w:eastAsia="宋体"/>
                <w:kern w:val="2"/>
                <w:sz w:val="21"/>
                <w:szCs w:val="21"/>
              </w:rPr>
              <w:t>自然间砖墙上出现宽度小于4mm 的裂缝；多条裂缝宽度小于10mm</w:t>
            </w:r>
          </w:p>
        </w:tc>
        <w:tc>
          <w:tcPr>
            <w:tcW w:w="665" w:type="pct"/>
            <w:vMerge w:val="continue"/>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p>
        </w:tc>
        <w:tc>
          <w:tcPr>
            <w:tcW w:w="547" w:type="pct"/>
            <w:vMerge w:val="continue"/>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p>
        </w:tc>
        <w:tc>
          <w:tcPr>
            <w:tcW w:w="501" w:type="pct"/>
            <w:vMerge w:val="continue"/>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p>
        </w:tc>
        <w:tc>
          <w:tcPr>
            <w:tcW w:w="569" w:type="pct"/>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轻微损</w:t>
            </w:r>
          </w:p>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坏</w:t>
            </w:r>
          </w:p>
        </w:tc>
        <w:tc>
          <w:tcPr>
            <w:tcW w:w="406" w:type="pct"/>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简单</w:t>
            </w:r>
          </w:p>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维修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25" w:type="pct"/>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Ⅱ</w:t>
            </w:r>
          </w:p>
        </w:tc>
        <w:tc>
          <w:tcPr>
            <w:tcW w:w="1887" w:type="pct"/>
            <w:vAlign w:val="center"/>
          </w:tcPr>
          <w:p>
            <w:pPr>
              <w:keepNext w:val="0"/>
              <w:keepLines w:val="0"/>
              <w:suppressLineNumbers w:val="0"/>
              <w:autoSpaceDE w:val="0"/>
              <w:autoSpaceDN w:val="0"/>
              <w:adjustRightInd w:val="0"/>
              <w:spacing w:before="0" w:beforeAutospacing="0" w:after="0" w:afterAutospacing="0" w:line="280" w:lineRule="exact"/>
              <w:ind w:left="0" w:right="0"/>
              <w:rPr>
                <w:rFonts w:hint="eastAsia" w:hAnsi="Times New Roman" w:eastAsia="宋体"/>
                <w:kern w:val="2"/>
                <w:sz w:val="21"/>
                <w:szCs w:val="21"/>
              </w:rPr>
            </w:pPr>
            <w:r>
              <w:rPr>
                <w:rFonts w:hint="eastAsia" w:hAnsi="Times New Roman" w:eastAsia="宋体"/>
                <w:kern w:val="2"/>
                <w:sz w:val="21"/>
                <w:szCs w:val="21"/>
              </w:rPr>
              <w:t>自然间砖墙上出现宽度小于15mm 的裂缝，多条裂缝总宽度小于  30mm；钢筋混凝土梁、柱上裂缝长度小于1/3 截面高度；梁端抽出 小于20mm；砖柱上出现水平裂缝，缝长小于1/2 截面边长；门窗略有倾斜</w:t>
            </w:r>
          </w:p>
        </w:tc>
        <w:tc>
          <w:tcPr>
            <w:tcW w:w="665" w:type="pct"/>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≤4.0</w:t>
            </w:r>
          </w:p>
        </w:tc>
        <w:tc>
          <w:tcPr>
            <w:tcW w:w="547" w:type="pct"/>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≤0.4</w:t>
            </w:r>
          </w:p>
        </w:tc>
        <w:tc>
          <w:tcPr>
            <w:tcW w:w="501" w:type="pct"/>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≤6.0</w:t>
            </w:r>
          </w:p>
        </w:tc>
        <w:tc>
          <w:tcPr>
            <w:tcW w:w="569" w:type="pct"/>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轻度损 坏</w:t>
            </w:r>
          </w:p>
        </w:tc>
        <w:tc>
          <w:tcPr>
            <w:tcW w:w="406" w:type="pct"/>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小修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25" w:type="pct"/>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Ⅲ</w:t>
            </w:r>
          </w:p>
        </w:tc>
        <w:tc>
          <w:tcPr>
            <w:tcW w:w="1887" w:type="pct"/>
            <w:vAlign w:val="center"/>
          </w:tcPr>
          <w:p>
            <w:pPr>
              <w:keepNext w:val="0"/>
              <w:keepLines w:val="0"/>
              <w:suppressLineNumbers w:val="0"/>
              <w:autoSpaceDE w:val="0"/>
              <w:autoSpaceDN w:val="0"/>
              <w:adjustRightInd w:val="0"/>
              <w:spacing w:before="0" w:beforeAutospacing="0" w:after="0" w:afterAutospacing="0" w:line="280" w:lineRule="exact"/>
              <w:ind w:left="0" w:right="0"/>
              <w:rPr>
                <w:rFonts w:hint="eastAsia" w:hAnsi="Times New Roman" w:eastAsia="宋体"/>
                <w:kern w:val="2"/>
                <w:sz w:val="21"/>
                <w:szCs w:val="21"/>
              </w:rPr>
            </w:pPr>
            <w:r>
              <w:rPr>
                <w:rFonts w:hint="eastAsia" w:hAnsi="Times New Roman" w:eastAsia="宋体"/>
                <w:kern w:val="2"/>
                <w:sz w:val="21"/>
                <w:szCs w:val="21"/>
              </w:rPr>
              <w:t>自然间砖墙上出现宽度小于30mm 的裂缝，多条裂缝总宽度小于  50mm；钢筋混凝土梁、柱上裂缝长度小于1/2 截面高度；梁端抽出 小于50mm；砖柱上出现小于5mm 的水平错动；门窗严重变形</w:t>
            </w:r>
          </w:p>
        </w:tc>
        <w:tc>
          <w:tcPr>
            <w:tcW w:w="665" w:type="pct"/>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≤6.0</w:t>
            </w:r>
          </w:p>
        </w:tc>
        <w:tc>
          <w:tcPr>
            <w:tcW w:w="547" w:type="pct"/>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≤0.6</w:t>
            </w:r>
          </w:p>
        </w:tc>
        <w:tc>
          <w:tcPr>
            <w:tcW w:w="501" w:type="pct"/>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≤10.0</w:t>
            </w:r>
          </w:p>
        </w:tc>
        <w:tc>
          <w:tcPr>
            <w:tcW w:w="569" w:type="pct"/>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中度损 坏</w:t>
            </w:r>
          </w:p>
        </w:tc>
        <w:tc>
          <w:tcPr>
            <w:tcW w:w="406" w:type="pct"/>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中修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25" w:type="pct"/>
            <w:vMerge w:val="restart"/>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Ⅳ</w:t>
            </w:r>
          </w:p>
        </w:tc>
        <w:tc>
          <w:tcPr>
            <w:tcW w:w="1887" w:type="pct"/>
            <w:vAlign w:val="center"/>
          </w:tcPr>
          <w:p>
            <w:pPr>
              <w:keepNext w:val="0"/>
              <w:keepLines w:val="0"/>
              <w:suppressLineNumbers w:val="0"/>
              <w:autoSpaceDE w:val="0"/>
              <w:autoSpaceDN w:val="0"/>
              <w:adjustRightInd w:val="0"/>
              <w:spacing w:before="0" w:beforeAutospacing="0" w:after="0" w:afterAutospacing="0" w:line="280" w:lineRule="exact"/>
              <w:ind w:left="0" w:right="0"/>
              <w:rPr>
                <w:rFonts w:hint="eastAsia" w:hAnsi="Times New Roman" w:eastAsia="宋体"/>
                <w:kern w:val="2"/>
                <w:sz w:val="21"/>
                <w:szCs w:val="21"/>
              </w:rPr>
            </w:pPr>
            <w:r>
              <w:rPr>
                <w:rFonts w:hint="eastAsia" w:hAnsi="Times New Roman" w:eastAsia="宋体"/>
                <w:kern w:val="2"/>
                <w:sz w:val="21"/>
                <w:szCs w:val="21"/>
              </w:rPr>
              <w:t>自然间砖墙上出现宽度大于30mm 的裂缝，多条裂缝总宽度大于  50mm；梁端抽出小于60mm；砖柱上出现小于25mm 的水平错动</w:t>
            </w:r>
          </w:p>
        </w:tc>
        <w:tc>
          <w:tcPr>
            <w:tcW w:w="665" w:type="pct"/>
            <w:vMerge w:val="restart"/>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&gt;6.0</w:t>
            </w:r>
          </w:p>
        </w:tc>
        <w:tc>
          <w:tcPr>
            <w:tcW w:w="547" w:type="pct"/>
            <w:vMerge w:val="restart"/>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&gt;0.6</w:t>
            </w:r>
          </w:p>
        </w:tc>
        <w:tc>
          <w:tcPr>
            <w:tcW w:w="501" w:type="pct"/>
            <w:vMerge w:val="restart"/>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p>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&gt;10.0</w:t>
            </w:r>
          </w:p>
        </w:tc>
        <w:tc>
          <w:tcPr>
            <w:tcW w:w="569" w:type="pct"/>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严重损 坏</w:t>
            </w:r>
          </w:p>
        </w:tc>
        <w:tc>
          <w:tcPr>
            <w:tcW w:w="406" w:type="pct"/>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大修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25" w:type="pct"/>
            <w:vMerge w:val="continue"/>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p>
        </w:tc>
        <w:tc>
          <w:tcPr>
            <w:tcW w:w="1887" w:type="pct"/>
            <w:vAlign w:val="center"/>
          </w:tcPr>
          <w:p>
            <w:pPr>
              <w:keepNext w:val="0"/>
              <w:keepLines w:val="0"/>
              <w:suppressLineNumbers w:val="0"/>
              <w:autoSpaceDE w:val="0"/>
              <w:autoSpaceDN w:val="0"/>
              <w:adjustRightInd w:val="0"/>
              <w:spacing w:before="0" w:beforeAutospacing="0" w:after="0" w:afterAutospacing="0" w:line="280" w:lineRule="exact"/>
              <w:ind w:left="0" w:right="0"/>
              <w:rPr>
                <w:rFonts w:hint="eastAsia" w:hAnsi="Times New Roman" w:eastAsia="宋体"/>
                <w:kern w:val="2"/>
                <w:sz w:val="21"/>
                <w:szCs w:val="21"/>
              </w:rPr>
            </w:pPr>
            <w:r>
              <w:rPr>
                <w:rFonts w:hint="eastAsia" w:hAnsi="Times New Roman" w:eastAsia="宋体"/>
                <w:kern w:val="2"/>
                <w:sz w:val="21"/>
                <w:szCs w:val="21"/>
              </w:rPr>
              <w:t>自然间砖墙上出现严重交叉裂缝、上下贯通裂缝，以及墙体严重外鼓、歪斜；钢筋混凝土梁、柱裂缝沿截面贯通；梁端抽出大于60mm；砖柱上出现大于25mm 的水平错动； 有倒塌危险</w:t>
            </w:r>
          </w:p>
        </w:tc>
        <w:tc>
          <w:tcPr>
            <w:tcW w:w="665" w:type="pct"/>
            <w:vMerge w:val="continue"/>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p>
        </w:tc>
        <w:tc>
          <w:tcPr>
            <w:tcW w:w="547" w:type="pct"/>
            <w:vMerge w:val="continue"/>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p>
        </w:tc>
        <w:tc>
          <w:tcPr>
            <w:tcW w:w="501" w:type="pct"/>
            <w:vMerge w:val="continue"/>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p>
        </w:tc>
        <w:tc>
          <w:tcPr>
            <w:tcW w:w="569" w:type="pct"/>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极度严 重损坏</w:t>
            </w:r>
          </w:p>
        </w:tc>
        <w:tc>
          <w:tcPr>
            <w:tcW w:w="406" w:type="pct"/>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拆建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0" w:type="pct"/>
            <w:gridSpan w:val="7"/>
            <w:vAlign w:val="center"/>
          </w:tcPr>
          <w:p>
            <w:pPr>
              <w:keepNext w:val="0"/>
              <w:keepLines w:val="0"/>
              <w:suppressLineNumbers w:val="0"/>
              <w:autoSpaceDE w:val="0"/>
              <w:autoSpaceDN w:val="0"/>
              <w:adjustRightInd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注：建筑物的损坏等级按自然间为评判对象，根据各自然间的损坏情况按上表分别进行。</w:t>
            </w:r>
          </w:p>
        </w:tc>
      </w:tr>
    </w:tbl>
    <w:p>
      <w:pPr>
        <w:pStyle w:val="60"/>
        <w:snapToGrid w:val="0"/>
        <w:spacing w:line="360" w:lineRule="auto"/>
        <w:ind w:firstLine="480" w:firstLineChars="200"/>
        <w:rPr>
          <w:rFonts w:hAnsi="Times New Roman" w:eastAsia="宋体"/>
          <w:sz w:val="24"/>
          <w:szCs w:val="24"/>
        </w:rPr>
      </w:pPr>
      <w:r>
        <w:rPr>
          <w:rFonts w:hAnsi="Times New Roman" w:eastAsia="宋体"/>
          <w:sz w:val="24"/>
          <w:szCs w:val="24"/>
        </w:rPr>
        <w:t>从对比上表，全井田开采后，受井下煤层开采叠加现有采空区影响，本井田范围内（采动影响范围内）的住户房屋受地表沉陷破坏等级为Ⅲ级及以下影响，评价要求加强观测，根据实际情况，必要时采取维修加固措施。除此之外的大部分居民点均位于本项目全井田开采影响范围以外，根据预测结果判断，不受全井田井下煤矿开采影响。</w:t>
      </w:r>
    </w:p>
    <w:p>
      <w:pPr>
        <w:spacing w:line="360" w:lineRule="auto"/>
        <w:ind w:firstLine="480" w:firstLineChars="200"/>
        <w:rPr>
          <w:rFonts w:hAnsi="Times New Roman" w:eastAsia="宋体"/>
          <w:szCs w:val="24"/>
          <w:lang w:eastAsia="zh-CN"/>
        </w:rPr>
      </w:pPr>
      <w:r>
        <w:rPr>
          <w:rFonts w:hAnsi="Times New Roman" w:eastAsia="宋体"/>
          <w:szCs w:val="24"/>
        </w:rPr>
        <w:t>由于井下开采的不确定因素，评价要求加强采动损害区域房屋的观测，根据实际情况，及时采取维修加固措施。如破坏较严重的，应及时搬迁，统一由当地政府安置，安置户的能源、水源、交通等条件均应在搬迁时一次性解决，受本项目井下开采地表沉陷影响的房屋维修费用或搬迁费纳入</w:t>
      </w:r>
      <w:r>
        <w:rPr>
          <w:rFonts w:hint="eastAsia" w:hAnsi="Times New Roman" w:eastAsia="宋体"/>
          <w:szCs w:val="24"/>
          <w:lang w:eastAsia="zh-CN"/>
        </w:rPr>
        <w:t>七里峡</w:t>
      </w:r>
      <w:r>
        <w:rPr>
          <w:rFonts w:hAnsi="Times New Roman" w:eastAsia="宋体"/>
          <w:szCs w:val="24"/>
        </w:rPr>
        <w:t>煤矿的运行成本中</w:t>
      </w:r>
      <w:r>
        <w:rPr>
          <w:rFonts w:hAnsi="Times New Roman" w:eastAsia="宋体"/>
          <w:szCs w:val="24"/>
          <w:lang w:eastAsia="zh-CN"/>
        </w:rPr>
        <w:t>。</w:t>
      </w:r>
    </w:p>
    <w:p>
      <w:pPr>
        <w:kinsoku w:val="0"/>
        <w:overflowPunct w:val="0"/>
        <w:autoSpaceDE w:val="0"/>
        <w:autoSpaceDN w:val="0"/>
        <w:adjustRightInd w:val="0"/>
        <w:spacing w:line="360" w:lineRule="auto"/>
        <w:rPr>
          <w:rFonts w:hAnsi="Times New Roman" w:eastAsia="宋体"/>
          <w:b/>
          <w:szCs w:val="24"/>
          <w:lang w:eastAsia="zh-CN"/>
        </w:rPr>
      </w:pPr>
      <w:r>
        <w:rPr>
          <w:rFonts w:hAnsi="Times New Roman" w:eastAsia="宋体"/>
          <w:b/>
          <w:szCs w:val="24"/>
          <w:lang w:eastAsia="zh-CN"/>
        </w:rPr>
        <w:t>4.5.</w:t>
      </w:r>
      <w:r>
        <w:rPr>
          <w:rFonts w:hint="eastAsia" w:hAnsi="Times New Roman" w:eastAsia="宋体"/>
          <w:b/>
          <w:szCs w:val="24"/>
          <w:lang w:eastAsia="zh-CN"/>
        </w:rPr>
        <w:t>4</w:t>
      </w:r>
      <w:r>
        <w:rPr>
          <w:rFonts w:hAnsi="Times New Roman" w:eastAsia="宋体"/>
          <w:b/>
          <w:szCs w:val="24"/>
          <w:lang w:eastAsia="zh-CN"/>
        </w:rPr>
        <w:t>.3 对</w:t>
      </w:r>
      <w:r>
        <w:rPr>
          <w:rFonts w:hint="eastAsia" w:hAnsi="Times New Roman" w:eastAsia="宋体"/>
          <w:b/>
          <w:szCs w:val="24"/>
          <w:lang w:eastAsia="zh-CN"/>
        </w:rPr>
        <w:t>各场地</w:t>
      </w:r>
      <w:r>
        <w:rPr>
          <w:rFonts w:hAnsi="Times New Roman" w:eastAsia="宋体"/>
          <w:b/>
          <w:szCs w:val="24"/>
          <w:lang w:eastAsia="zh-CN"/>
        </w:rPr>
        <w:t>的影响</w:t>
      </w:r>
    </w:p>
    <w:p>
      <w:pPr>
        <w:autoSpaceDE w:val="0"/>
        <w:autoSpaceDN w:val="0"/>
        <w:adjustRightInd w:val="0"/>
        <w:spacing w:line="360" w:lineRule="auto"/>
        <w:ind w:firstLine="480" w:firstLineChars="200"/>
        <w:rPr>
          <w:rFonts w:hAnsi="Times New Roman" w:eastAsia="宋体"/>
          <w:szCs w:val="24"/>
        </w:rPr>
      </w:pPr>
      <w:r>
        <w:rPr>
          <w:rFonts w:hAnsi="Times New Roman" w:eastAsia="宋体"/>
          <w:szCs w:val="24"/>
        </w:rPr>
        <w:t>项目工业广场等距离矿区相对较远，位于开采地表沉陷影响区域之外。</w:t>
      </w:r>
      <w:r>
        <w:rPr>
          <w:rFonts w:hAnsi="Times New Roman" w:eastAsia="宋体"/>
          <w:szCs w:val="24"/>
          <w:lang w:eastAsia="zh-CN"/>
        </w:rPr>
        <w:t>风井场地</w:t>
      </w:r>
      <w:r>
        <w:rPr>
          <w:rFonts w:hAnsi="Times New Roman" w:eastAsia="宋体"/>
          <w:szCs w:val="24"/>
        </w:rPr>
        <w:t>处于轻度破坏区域内，受地表变形影响不大。</w:t>
      </w:r>
      <w:bookmarkStart w:id="273" w:name="表5.1-3___土地资源损害程度分级标准"/>
      <w:bookmarkEnd w:id="273"/>
    </w:p>
    <w:p>
      <w:pPr>
        <w:kinsoku w:val="0"/>
        <w:overflowPunct w:val="0"/>
        <w:autoSpaceDE w:val="0"/>
        <w:autoSpaceDN w:val="0"/>
        <w:adjustRightInd w:val="0"/>
        <w:spacing w:line="360" w:lineRule="auto"/>
        <w:rPr>
          <w:rFonts w:hAnsi="Times New Roman" w:eastAsia="宋体"/>
          <w:b/>
          <w:szCs w:val="24"/>
          <w:lang w:eastAsia="zh-CN"/>
        </w:rPr>
      </w:pPr>
      <w:r>
        <w:rPr>
          <w:rFonts w:hAnsi="Times New Roman" w:eastAsia="宋体"/>
          <w:b/>
          <w:szCs w:val="24"/>
          <w:lang w:eastAsia="zh-CN"/>
        </w:rPr>
        <w:t>4.5.</w:t>
      </w:r>
      <w:r>
        <w:rPr>
          <w:rFonts w:hint="eastAsia" w:hAnsi="Times New Roman" w:eastAsia="宋体"/>
          <w:b/>
          <w:szCs w:val="24"/>
          <w:lang w:eastAsia="zh-CN"/>
        </w:rPr>
        <w:t>4</w:t>
      </w:r>
      <w:r>
        <w:rPr>
          <w:rFonts w:hAnsi="Times New Roman" w:eastAsia="宋体"/>
          <w:b/>
          <w:szCs w:val="24"/>
          <w:lang w:eastAsia="zh-CN"/>
        </w:rPr>
        <w:t>.4 对农业生产的影响</w:t>
      </w:r>
    </w:p>
    <w:p>
      <w:pPr>
        <w:autoSpaceDE w:val="0"/>
        <w:autoSpaceDN w:val="0"/>
        <w:adjustRightInd w:val="0"/>
        <w:snapToGrid w:val="0"/>
        <w:spacing w:line="360" w:lineRule="auto"/>
        <w:ind w:firstLine="480" w:firstLineChars="200"/>
        <w:rPr>
          <w:rFonts w:hAnsi="Times New Roman" w:eastAsia="宋体"/>
        </w:rPr>
      </w:pPr>
      <w:r>
        <w:rPr>
          <w:rFonts w:hAnsi="Times New Roman" w:eastAsia="宋体"/>
          <w:szCs w:val="24"/>
        </w:rPr>
        <w:t>根据地表沉陷理论预测结果，</w:t>
      </w:r>
      <w:r>
        <w:rPr>
          <w:rFonts w:hAnsi="Times New Roman" w:eastAsia="宋体"/>
          <w:szCs w:val="24"/>
          <w:lang w:eastAsia="zh-CN"/>
        </w:rPr>
        <w:t>矿</w:t>
      </w:r>
      <w:r>
        <w:rPr>
          <w:rFonts w:hAnsi="Times New Roman" w:eastAsia="宋体"/>
          <w:szCs w:val="24"/>
        </w:rPr>
        <w:t>区内沉陷影响主要为轻度影响为主，中度影响次之，无重度影响区，本项目评价区内永久基本农田面积</w:t>
      </w:r>
      <w:r>
        <w:rPr>
          <w:rFonts w:hAnsi="Times New Roman" w:eastAsia="宋体"/>
          <w:szCs w:val="24"/>
          <w:lang w:eastAsia="zh-CN"/>
        </w:rPr>
        <w:t>0.</w:t>
      </w:r>
      <w:r>
        <w:rPr>
          <w:rFonts w:hint="eastAsia" w:hAnsi="Times New Roman" w:eastAsia="宋体"/>
          <w:szCs w:val="24"/>
          <w:lang w:eastAsia="zh-CN"/>
        </w:rPr>
        <w:t>10063</w:t>
      </w:r>
      <w:r>
        <w:rPr>
          <w:rFonts w:hAnsi="Times New Roman" w:eastAsia="宋体"/>
          <w:szCs w:val="24"/>
        </w:rPr>
        <w:t>km</w:t>
      </w:r>
      <w:r>
        <w:rPr>
          <w:rFonts w:hAnsi="Times New Roman" w:eastAsia="宋体"/>
          <w:szCs w:val="24"/>
          <w:vertAlign w:val="superscript"/>
        </w:rPr>
        <w:t>2</w:t>
      </w:r>
      <w:r>
        <w:rPr>
          <w:rFonts w:hAnsi="Times New Roman" w:eastAsia="宋体"/>
          <w:szCs w:val="24"/>
        </w:rPr>
        <w:t>，占矿区评价面积的</w:t>
      </w:r>
      <w:r>
        <w:rPr>
          <w:rFonts w:hint="eastAsia" w:hAnsi="Times New Roman" w:eastAsia="宋体"/>
          <w:szCs w:val="24"/>
          <w:lang w:eastAsia="zh-CN"/>
        </w:rPr>
        <w:t>2.90</w:t>
      </w:r>
      <w:r>
        <w:rPr>
          <w:rFonts w:hAnsi="Times New Roman" w:eastAsia="宋体"/>
          <w:szCs w:val="24"/>
        </w:rPr>
        <w:t>%，占比较小。对于受轻度破坏的耕地，由于地表仅有轻微变形，不影响农田耕种、植被生长，农作物产量基本不受影响。对于受中度破坏的耕地，若不采取必要的整治措施，将影响耕种，因此应当对沉陷破坏的耕地进行复垦整治，恢复耕种功能，并按照国家和地方的相关规定对农民造成损失进行相应的补偿。结合本次评价过程中对已有采空区地表沉陷调查结果，</w:t>
      </w:r>
      <w:r>
        <w:rPr>
          <w:rFonts w:hAnsi="Times New Roman" w:eastAsia="宋体"/>
          <w:szCs w:val="24"/>
          <w:lang w:eastAsia="zh-CN"/>
        </w:rPr>
        <w:t>矿区</w:t>
      </w:r>
      <w:r>
        <w:rPr>
          <w:rFonts w:hAnsi="Times New Roman" w:eastAsia="宋体"/>
          <w:szCs w:val="24"/>
        </w:rPr>
        <w:t>内已有采煤活动对耕地影响较小，对农业生产活动未造成</w:t>
      </w:r>
      <w:r>
        <w:rPr>
          <w:rFonts w:hAnsi="Times New Roman" w:eastAsia="宋体"/>
          <w:szCs w:val="24"/>
          <w:lang w:eastAsia="zh-CN"/>
        </w:rPr>
        <w:t>较</w:t>
      </w:r>
      <w:r>
        <w:rPr>
          <w:rFonts w:hAnsi="Times New Roman" w:eastAsia="宋体"/>
          <w:szCs w:val="24"/>
        </w:rPr>
        <w:t>大影响，由于评价范围内耕地分布较多，在开采过程中采取上述措施后，对农业生产造成的影响较小</w:t>
      </w:r>
      <w:r>
        <w:rPr>
          <w:rFonts w:hAnsi="Times New Roman" w:eastAsia="宋体"/>
        </w:rPr>
        <w:t>。</w:t>
      </w:r>
    </w:p>
    <w:p>
      <w:pPr>
        <w:kinsoku w:val="0"/>
        <w:overflowPunct w:val="0"/>
        <w:autoSpaceDE w:val="0"/>
        <w:autoSpaceDN w:val="0"/>
        <w:adjustRightInd w:val="0"/>
        <w:spacing w:line="360" w:lineRule="auto"/>
        <w:rPr>
          <w:rFonts w:hAnsi="Times New Roman" w:eastAsia="宋体"/>
          <w:b/>
          <w:szCs w:val="24"/>
          <w:lang w:eastAsia="zh-CN"/>
        </w:rPr>
      </w:pPr>
      <w:r>
        <w:rPr>
          <w:rFonts w:hAnsi="Times New Roman" w:eastAsia="宋体"/>
          <w:b/>
          <w:szCs w:val="24"/>
          <w:lang w:eastAsia="zh-CN"/>
        </w:rPr>
        <w:t>4.5.</w:t>
      </w:r>
      <w:r>
        <w:rPr>
          <w:rFonts w:hint="eastAsia" w:hAnsi="Times New Roman" w:eastAsia="宋体"/>
          <w:b/>
          <w:szCs w:val="24"/>
          <w:lang w:eastAsia="zh-CN"/>
        </w:rPr>
        <w:t>4</w:t>
      </w:r>
      <w:r>
        <w:rPr>
          <w:rFonts w:hAnsi="Times New Roman" w:eastAsia="宋体"/>
          <w:b/>
          <w:szCs w:val="24"/>
          <w:lang w:eastAsia="zh-CN"/>
        </w:rPr>
        <w:t>.</w:t>
      </w:r>
      <w:r>
        <w:rPr>
          <w:rFonts w:hint="eastAsia" w:hAnsi="Times New Roman" w:eastAsia="宋体"/>
          <w:b/>
          <w:szCs w:val="24"/>
          <w:lang w:eastAsia="zh-CN"/>
        </w:rPr>
        <w:t>5</w:t>
      </w:r>
      <w:r>
        <w:rPr>
          <w:rFonts w:hAnsi="Times New Roman" w:eastAsia="宋体"/>
          <w:b/>
          <w:szCs w:val="24"/>
          <w:lang w:eastAsia="zh-CN"/>
        </w:rPr>
        <w:t xml:space="preserve"> 对地质灾害的影响</w:t>
      </w:r>
    </w:p>
    <w:p>
      <w:pPr>
        <w:autoSpaceDE w:val="0"/>
        <w:autoSpaceDN w:val="0"/>
        <w:adjustRightInd w:val="0"/>
        <w:snapToGrid w:val="0"/>
        <w:spacing w:line="360" w:lineRule="auto"/>
        <w:ind w:firstLine="480" w:firstLineChars="200"/>
        <w:rPr>
          <w:rFonts w:hAnsi="Times New Roman" w:eastAsia="宋体"/>
          <w:szCs w:val="24"/>
        </w:rPr>
      </w:pPr>
      <w:r>
        <w:rPr>
          <w:rFonts w:hAnsi="Times New Roman" w:eastAsia="宋体"/>
          <w:szCs w:val="24"/>
        </w:rPr>
        <w:t>根据</w:t>
      </w:r>
      <w:r>
        <w:rPr>
          <w:rFonts w:hAnsi="Times New Roman" w:eastAsia="宋体"/>
          <w:szCs w:val="24"/>
          <w:lang w:eastAsia="zh-CN"/>
        </w:rPr>
        <w:t>地表变形</w:t>
      </w:r>
      <w:r>
        <w:rPr>
          <w:rFonts w:hAnsi="Times New Roman" w:eastAsia="宋体"/>
          <w:szCs w:val="24"/>
        </w:rPr>
        <w:t>预测，</w:t>
      </w:r>
      <w:r>
        <w:rPr>
          <w:rFonts w:hAnsi="Times New Roman" w:eastAsia="宋体"/>
          <w:szCs w:val="24"/>
          <w:lang w:eastAsia="zh-CN"/>
        </w:rPr>
        <w:t>矿井</w:t>
      </w:r>
      <w:r>
        <w:rPr>
          <w:rFonts w:hAnsi="Times New Roman" w:eastAsia="宋体"/>
          <w:szCs w:val="24"/>
        </w:rPr>
        <w:t>煤层开采后地表移动与变形甚微</w:t>
      </w:r>
      <w:r>
        <w:rPr>
          <w:rFonts w:hAnsi="Times New Roman" w:eastAsia="宋体"/>
          <w:szCs w:val="24"/>
          <w:lang w:eastAsia="zh-CN"/>
        </w:rPr>
        <w:t>，矿井</w:t>
      </w:r>
      <w:r>
        <w:rPr>
          <w:rFonts w:hAnsi="Times New Roman" w:eastAsia="宋体"/>
          <w:szCs w:val="24"/>
        </w:rPr>
        <w:t>开采对原地貌的形态和地貌类型影响较小，引发滑坡、崩塌等地质灾害的可能性较小，危害程度较轻。但随着煤矿开采地表将有可能产生地裂缝、塌陷等，若不及时采取有效的防治措施，有可能引发次生地质灾害，对矿区的生态环境产生一定影响。</w:t>
      </w:r>
    </w:p>
    <w:p>
      <w:pPr>
        <w:autoSpaceDE w:val="0"/>
        <w:autoSpaceDN w:val="0"/>
        <w:adjustRightInd w:val="0"/>
        <w:snapToGrid w:val="0"/>
        <w:spacing w:line="360" w:lineRule="auto"/>
        <w:ind w:firstLine="480" w:firstLineChars="200"/>
        <w:rPr>
          <w:rFonts w:hAnsi="Times New Roman" w:eastAsia="宋体"/>
          <w:szCs w:val="24"/>
        </w:rPr>
      </w:pPr>
      <w:r>
        <w:rPr>
          <w:rFonts w:hAnsi="Times New Roman" w:eastAsia="宋体"/>
          <w:szCs w:val="24"/>
          <w:lang w:eastAsia="zh-CN"/>
        </w:rPr>
        <w:t>矿井</w:t>
      </w:r>
      <w:r>
        <w:rPr>
          <w:rFonts w:hAnsi="Times New Roman" w:eastAsia="宋体"/>
          <w:szCs w:val="24"/>
        </w:rPr>
        <w:t>应委托有资质单位编制矿区地质环境保护与治理恢复方案，科学指导矿区地质环境保护与治理恢复，将沉陷造成的地质灾害降低到最低限度。</w:t>
      </w:r>
    </w:p>
    <w:p>
      <w:pPr>
        <w:kinsoku w:val="0"/>
        <w:overflowPunct w:val="0"/>
        <w:autoSpaceDE w:val="0"/>
        <w:autoSpaceDN w:val="0"/>
        <w:adjustRightInd w:val="0"/>
        <w:spacing w:line="360" w:lineRule="auto"/>
        <w:rPr>
          <w:rFonts w:hAnsi="Times New Roman" w:eastAsia="宋体"/>
          <w:b/>
          <w:szCs w:val="24"/>
          <w:lang w:eastAsia="zh-CN"/>
        </w:rPr>
      </w:pPr>
      <w:r>
        <w:rPr>
          <w:rFonts w:hAnsi="Times New Roman" w:eastAsia="宋体"/>
          <w:b/>
          <w:szCs w:val="24"/>
          <w:lang w:eastAsia="zh-CN"/>
        </w:rPr>
        <w:t>4.5.</w:t>
      </w:r>
      <w:r>
        <w:rPr>
          <w:rFonts w:hint="eastAsia" w:hAnsi="Times New Roman" w:eastAsia="宋体"/>
          <w:b/>
          <w:szCs w:val="24"/>
          <w:lang w:eastAsia="zh-CN"/>
        </w:rPr>
        <w:t>4</w:t>
      </w:r>
      <w:r>
        <w:rPr>
          <w:rFonts w:hAnsi="Times New Roman" w:eastAsia="宋体"/>
          <w:b/>
          <w:szCs w:val="24"/>
          <w:lang w:eastAsia="zh-CN"/>
        </w:rPr>
        <w:t>.</w:t>
      </w:r>
      <w:r>
        <w:rPr>
          <w:rFonts w:hint="eastAsia" w:hAnsi="Times New Roman" w:eastAsia="宋体"/>
          <w:b/>
          <w:szCs w:val="24"/>
          <w:lang w:eastAsia="zh-CN"/>
        </w:rPr>
        <w:t>6</w:t>
      </w:r>
      <w:r>
        <w:rPr>
          <w:rFonts w:hAnsi="Times New Roman" w:eastAsia="宋体"/>
          <w:b/>
          <w:szCs w:val="24"/>
          <w:lang w:eastAsia="zh-CN"/>
        </w:rPr>
        <w:t xml:space="preserve"> 对</w:t>
      </w:r>
      <w:r>
        <w:rPr>
          <w:rFonts w:hint="eastAsia" w:hAnsi="Times New Roman" w:eastAsia="宋体"/>
          <w:b/>
          <w:szCs w:val="24"/>
          <w:lang w:eastAsia="zh-CN"/>
        </w:rPr>
        <w:t>宣汉国家森林公园观音山景区</w:t>
      </w:r>
      <w:r>
        <w:rPr>
          <w:rFonts w:hAnsi="Times New Roman" w:eastAsia="宋体"/>
          <w:b/>
          <w:szCs w:val="24"/>
          <w:lang w:eastAsia="zh-CN"/>
        </w:rPr>
        <w:t>的影响</w:t>
      </w:r>
    </w:p>
    <w:p>
      <w:pPr>
        <w:autoSpaceDE w:val="0"/>
        <w:autoSpaceDN w:val="0"/>
        <w:adjustRightInd w:val="0"/>
        <w:snapToGrid w:val="0"/>
        <w:spacing w:line="360" w:lineRule="auto"/>
        <w:ind w:firstLine="480" w:firstLineChars="200"/>
        <w:rPr>
          <w:rFonts w:hAnsi="Times New Roman" w:eastAsia="宋体"/>
          <w:szCs w:val="24"/>
        </w:rPr>
      </w:pPr>
      <w:r>
        <w:rPr>
          <w:rFonts w:hAnsi="Times New Roman" w:eastAsia="宋体"/>
          <w:szCs w:val="24"/>
        </w:rPr>
        <w:t>根据</w:t>
      </w:r>
      <w:r>
        <w:rPr>
          <w:rFonts w:hint="eastAsia" w:hAnsi="Times New Roman" w:eastAsia="宋体"/>
          <w:szCs w:val="24"/>
          <w:lang w:eastAsia="zh-CN"/>
        </w:rPr>
        <w:t>宣汉国家森林公园观音山景区</w:t>
      </w:r>
      <w:r>
        <w:rPr>
          <w:rFonts w:hAnsi="Times New Roman" w:eastAsia="宋体"/>
          <w:szCs w:val="24"/>
        </w:rPr>
        <w:t>保护区矢量范围可知，</w:t>
      </w:r>
      <w:r>
        <w:rPr>
          <w:rFonts w:hint="eastAsia" w:hAnsi="Times New Roman" w:eastAsia="宋体"/>
          <w:szCs w:val="24"/>
          <w:lang w:eastAsia="zh-CN"/>
        </w:rPr>
        <w:t>宣汉国家森林公园观音山景区</w:t>
      </w:r>
      <w:r>
        <w:rPr>
          <w:rFonts w:hAnsi="Times New Roman" w:eastAsia="宋体"/>
          <w:szCs w:val="24"/>
        </w:rPr>
        <w:t>与本矿</w:t>
      </w:r>
      <w:r>
        <w:rPr>
          <w:rFonts w:hint="eastAsia" w:hAnsi="Times New Roman" w:eastAsia="宋体"/>
          <w:szCs w:val="24"/>
          <w:lang w:eastAsia="zh-CN"/>
        </w:rPr>
        <w:t>井西翼范围</w:t>
      </w:r>
      <w:r>
        <w:rPr>
          <w:rFonts w:hAnsi="Times New Roman" w:eastAsia="宋体"/>
          <w:szCs w:val="24"/>
        </w:rPr>
        <w:t>边界</w:t>
      </w:r>
      <w:r>
        <w:rPr>
          <w:rFonts w:hint="eastAsia" w:hAnsi="Times New Roman" w:eastAsia="宋体"/>
          <w:szCs w:val="24"/>
          <w:lang w:eastAsia="zh-CN"/>
        </w:rPr>
        <w:t>呈近平行分布，最近</w:t>
      </w:r>
      <w:r>
        <w:rPr>
          <w:rFonts w:hAnsi="Times New Roman" w:eastAsia="宋体"/>
          <w:szCs w:val="24"/>
        </w:rPr>
        <w:t>距离约</w:t>
      </w:r>
      <w:r>
        <w:rPr>
          <w:rFonts w:hint="eastAsia" w:hAnsi="Times New Roman" w:eastAsia="宋体"/>
          <w:szCs w:val="24"/>
          <w:lang w:eastAsia="zh-CN"/>
        </w:rPr>
        <w:t>75</w:t>
      </w:r>
      <w:r>
        <w:rPr>
          <w:rFonts w:hAnsi="Times New Roman" w:eastAsia="宋体"/>
          <w:szCs w:val="24"/>
        </w:rPr>
        <w:t>m</w:t>
      </w:r>
      <w:r>
        <w:rPr>
          <w:rFonts w:hint="eastAsia" w:hAnsi="Times New Roman" w:eastAsia="宋体"/>
          <w:szCs w:val="24"/>
          <w:lang w:eastAsia="zh-CN"/>
        </w:rPr>
        <w:t>，多数区域达到150m以上</w:t>
      </w:r>
      <w:r>
        <w:rPr>
          <w:rFonts w:hAnsi="Times New Roman" w:eastAsia="宋体"/>
          <w:szCs w:val="24"/>
        </w:rPr>
        <w:t>。查阅项目煤层赋存资料并结合矿区可采煤层实际情况，</w:t>
      </w:r>
      <w:r>
        <w:rPr>
          <w:rFonts w:hint="eastAsia" w:hAnsi="Times New Roman" w:eastAsia="宋体"/>
          <w:szCs w:val="24"/>
          <w:lang w:eastAsia="zh-CN"/>
        </w:rPr>
        <w:t>西翼范围内+400m标高以上已基本采空，除K</w:t>
      </w:r>
      <w:r>
        <w:rPr>
          <w:rFonts w:hint="eastAsia" w:hAnsi="Times New Roman" w:eastAsia="宋体"/>
          <w:szCs w:val="24"/>
          <w:vertAlign w:val="subscript"/>
          <w:lang w:eastAsia="zh-CN"/>
        </w:rPr>
        <w:t>5</w:t>
      </w:r>
      <w:r>
        <w:rPr>
          <w:rFonts w:hint="eastAsia" w:hAnsi="Times New Roman" w:eastAsia="宋体"/>
          <w:szCs w:val="24"/>
          <w:lang w:eastAsia="zh-CN"/>
        </w:rPr>
        <w:t>、K</w:t>
      </w:r>
      <w:r>
        <w:rPr>
          <w:rFonts w:hint="eastAsia" w:hAnsi="Times New Roman" w:eastAsia="宋体"/>
          <w:szCs w:val="24"/>
          <w:vertAlign w:val="subscript"/>
          <w:lang w:eastAsia="zh-CN"/>
        </w:rPr>
        <w:t>10</w:t>
      </w:r>
      <w:r>
        <w:rPr>
          <w:rFonts w:hint="eastAsia" w:hAnsi="Times New Roman" w:eastAsia="宋体"/>
          <w:szCs w:val="24"/>
          <w:lang w:eastAsia="zh-CN"/>
        </w:rPr>
        <w:t>煤层+400m标高以下大部分可采外，其余煤层在该区域基本为薄化区，</w:t>
      </w:r>
      <w:r>
        <w:rPr>
          <w:rFonts w:hAnsi="Times New Roman" w:eastAsia="宋体"/>
          <w:szCs w:val="24"/>
        </w:rPr>
        <w:t>无开采利用价值。本次在矿区范围内开展了生态调查，并重点调查了采空区范围内的地表生态情况，均未见因采煤活动引起地面塌陷、地裂缝、滑坡等破坏地质环境现象，且根据本次地表沉陷预测可知，矿井开采引发的地表沉陷影响范围未进入</w:t>
      </w:r>
      <w:r>
        <w:rPr>
          <w:rFonts w:hint="eastAsia" w:hAnsi="Times New Roman" w:eastAsia="宋体"/>
          <w:szCs w:val="24"/>
          <w:lang w:eastAsia="zh-CN"/>
        </w:rPr>
        <w:t>宣汉国家森林公园观音山景区</w:t>
      </w:r>
      <w:r>
        <w:rPr>
          <w:rFonts w:hAnsi="Times New Roman" w:eastAsia="宋体"/>
          <w:szCs w:val="24"/>
        </w:rPr>
        <w:t>范围内，加之矿井边界按规程规范要求留设有保护煤柱，并严禁开采保护煤柱，由此分析，矿井采煤活动对</w:t>
      </w:r>
      <w:r>
        <w:rPr>
          <w:rFonts w:hint="eastAsia" w:hAnsi="Times New Roman" w:eastAsia="宋体"/>
          <w:szCs w:val="24"/>
          <w:lang w:eastAsia="zh-CN"/>
        </w:rPr>
        <w:t>宣汉国家森林公园观音山景区</w:t>
      </w:r>
      <w:r>
        <w:rPr>
          <w:rFonts w:hAnsi="Times New Roman" w:eastAsia="宋体"/>
          <w:szCs w:val="24"/>
        </w:rPr>
        <w:t>的影响较小。</w:t>
      </w:r>
    </w:p>
    <w:p>
      <w:pPr>
        <w:kinsoku w:val="0"/>
        <w:overflowPunct w:val="0"/>
        <w:autoSpaceDE w:val="0"/>
        <w:autoSpaceDN w:val="0"/>
        <w:adjustRightInd w:val="0"/>
        <w:spacing w:line="360" w:lineRule="auto"/>
        <w:rPr>
          <w:rFonts w:hAnsi="Times New Roman" w:eastAsia="宋体"/>
          <w:b/>
          <w:szCs w:val="24"/>
          <w:lang w:eastAsia="zh-CN"/>
        </w:rPr>
      </w:pPr>
      <w:r>
        <w:rPr>
          <w:rFonts w:hAnsi="Times New Roman" w:eastAsia="宋体"/>
          <w:b/>
          <w:szCs w:val="24"/>
          <w:lang w:eastAsia="zh-CN"/>
        </w:rPr>
        <w:t>4.5.</w:t>
      </w:r>
      <w:r>
        <w:rPr>
          <w:rFonts w:hint="eastAsia" w:hAnsi="Times New Roman" w:eastAsia="宋体"/>
          <w:b/>
          <w:szCs w:val="24"/>
          <w:lang w:eastAsia="zh-CN"/>
        </w:rPr>
        <w:t>4</w:t>
      </w:r>
      <w:r>
        <w:rPr>
          <w:rFonts w:hAnsi="Times New Roman" w:eastAsia="宋体"/>
          <w:b/>
          <w:szCs w:val="24"/>
          <w:lang w:eastAsia="zh-CN"/>
        </w:rPr>
        <w:t>.</w:t>
      </w:r>
      <w:r>
        <w:rPr>
          <w:rFonts w:hint="eastAsia" w:hAnsi="Times New Roman" w:eastAsia="宋体"/>
          <w:b/>
          <w:szCs w:val="24"/>
          <w:lang w:eastAsia="zh-CN"/>
        </w:rPr>
        <w:t>7</w:t>
      </w:r>
      <w:r>
        <w:rPr>
          <w:rFonts w:hAnsi="Times New Roman" w:eastAsia="宋体"/>
          <w:b/>
          <w:szCs w:val="24"/>
          <w:lang w:eastAsia="zh-CN"/>
        </w:rPr>
        <w:t xml:space="preserve"> 对公路的影响</w:t>
      </w:r>
    </w:p>
    <w:p>
      <w:pPr>
        <w:autoSpaceDE w:val="0"/>
        <w:autoSpaceDN w:val="0"/>
        <w:adjustRightInd w:val="0"/>
        <w:snapToGrid w:val="0"/>
        <w:spacing w:line="360" w:lineRule="auto"/>
        <w:ind w:firstLine="480" w:firstLineChars="200"/>
        <w:rPr>
          <w:rFonts w:hAnsi="Times New Roman" w:eastAsia="宋体"/>
          <w:szCs w:val="24"/>
        </w:rPr>
      </w:pPr>
      <w:r>
        <w:rPr>
          <w:rFonts w:hAnsi="Times New Roman" w:eastAsia="宋体"/>
          <w:szCs w:val="24"/>
          <w:lang w:eastAsia="zh-CN"/>
        </w:rPr>
        <w:t>在矿区范围内万广高速公路由南向北穿过矿区，需留设保护煤柱，其保护煤柱留设参照《建筑物、水体、铁路及主要井巷煤柱留设与压煤开采规范》中构筑物保护煤柱留设方法留设，保护等级为Ⅰ级，围护带宽度按20m考虑，受保护范围参考邻近矿区煤系地层及上覆岩层的移动规律，裂缝角按65°考虑，经计算，在公路的两侧需留设约150～300m宽的保护煤柱</w:t>
      </w:r>
      <w:r>
        <w:rPr>
          <w:rFonts w:hint="eastAsia" w:hAnsi="Times New Roman" w:eastAsia="宋体"/>
          <w:szCs w:val="24"/>
          <w:lang w:eastAsia="zh-CN"/>
        </w:rPr>
        <w:t>，并设为禁采区</w:t>
      </w:r>
      <w:r>
        <w:rPr>
          <w:rFonts w:hAnsi="Times New Roman" w:eastAsia="宋体"/>
          <w:szCs w:val="24"/>
          <w:lang w:eastAsia="zh-CN"/>
        </w:rPr>
        <w:t>。</w:t>
      </w:r>
      <w:r>
        <w:rPr>
          <w:rFonts w:hAnsi="Times New Roman" w:eastAsia="宋体"/>
          <w:szCs w:val="24"/>
        </w:rPr>
        <w:t>根据</w:t>
      </w:r>
      <w:r>
        <w:rPr>
          <w:rFonts w:hAnsi="Times New Roman" w:eastAsia="宋体"/>
          <w:szCs w:val="24"/>
          <w:lang w:eastAsia="zh-CN"/>
        </w:rPr>
        <w:t>地表变形</w:t>
      </w:r>
      <w:r>
        <w:rPr>
          <w:rFonts w:hAnsi="Times New Roman" w:eastAsia="宋体"/>
          <w:szCs w:val="24"/>
        </w:rPr>
        <w:t>预测，</w:t>
      </w:r>
      <w:r>
        <w:rPr>
          <w:rFonts w:hAnsi="Times New Roman" w:eastAsia="宋体"/>
          <w:szCs w:val="24"/>
          <w:lang w:eastAsia="zh-CN"/>
        </w:rPr>
        <w:t>矿井</w:t>
      </w:r>
      <w:r>
        <w:rPr>
          <w:rFonts w:hAnsi="Times New Roman" w:eastAsia="宋体"/>
          <w:szCs w:val="24"/>
        </w:rPr>
        <w:t>煤层开采后地表移动与变形甚微</w:t>
      </w:r>
      <w:r>
        <w:rPr>
          <w:rFonts w:hAnsi="Times New Roman" w:eastAsia="宋体"/>
          <w:szCs w:val="24"/>
          <w:lang w:eastAsia="zh-CN"/>
        </w:rPr>
        <w:t>，矿井</w:t>
      </w:r>
      <w:r>
        <w:rPr>
          <w:rFonts w:hAnsi="Times New Roman" w:eastAsia="宋体"/>
          <w:szCs w:val="24"/>
        </w:rPr>
        <w:t>开采对</w:t>
      </w:r>
      <w:r>
        <w:rPr>
          <w:rFonts w:hAnsi="Times New Roman" w:eastAsia="宋体"/>
          <w:szCs w:val="24"/>
          <w:lang w:eastAsia="zh-CN"/>
        </w:rPr>
        <w:t>高速公路</w:t>
      </w:r>
      <w:r>
        <w:rPr>
          <w:rFonts w:hAnsi="Times New Roman" w:eastAsia="宋体"/>
          <w:szCs w:val="24"/>
        </w:rPr>
        <w:t>影响较小，引发崩塌等地质灾害的可能性较小，</w:t>
      </w:r>
      <w:r>
        <w:rPr>
          <w:rFonts w:hAnsi="Times New Roman" w:eastAsia="宋体"/>
          <w:szCs w:val="24"/>
          <w:lang w:eastAsia="zh-CN"/>
        </w:rPr>
        <w:t>且矿井在高速公路两侧留设有150～300m宽的保护煤柱，</w:t>
      </w:r>
      <w:r>
        <w:rPr>
          <w:rFonts w:hAnsi="Times New Roman" w:eastAsia="宋体"/>
          <w:szCs w:val="24"/>
        </w:rPr>
        <w:t>危害程度较轻。</w:t>
      </w:r>
    </w:p>
    <w:p>
      <w:pPr>
        <w:kinsoku w:val="0"/>
        <w:overflowPunct w:val="0"/>
        <w:autoSpaceDE w:val="0"/>
        <w:autoSpaceDN w:val="0"/>
        <w:adjustRightInd w:val="0"/>
        <w:spacing w:line="360" w:lineRule="auto"/>
        <w:rPr>
          <w:rFonts w:hAnsi="Times New Roman" w:eastAsia="宋体"/>
          <w:b/>
          <w:szCs w:val="24"/>
          <w:lang w:eastAsia="zh-CN"/>
        </w:rPr>
      </w:pPr>
      <w:r>
        <w:rPr>
          <w:rFonts w:hAnsi="Times New Roman" w:eastAsia="宋体"/>
          <w:b/>
          <w:szCs w:val="24"/>
          <w:lang w:eastAsia="zh-CN"/>
        </w:rPr>
        <w:t>4.5.</w:t>
      </w:r>
      <w:r>
        <w:rPr>
          <w:rFonts w:hint="eastAsia" w:hAnsi="Times New Roman" w:eastAsia="宋体"/>
          <w:b/>
          <w:szCs w:val="24"/>
          <w:lang w:eastAsia="zh-CN"/>
        </w:rPr>
        <w:t>4</w:t>
      </w:r>
      <w:r>
        <w:rPr>
          <w:rFonts w:hAnsi="Times New Roman" w:eastAsia="宋体"/>
          <w:b/>
          <w:szCs w:val="24"/>
          <w:lang w:eastAsia="zh-CN"/>
        </w:rPr>
        <w:t>.</w:t>
      </w:r>
      <w:r>
        <w:rPr>
          <w:rFonts w:hint="eastAsia" w:hAnsi="Times New Roman" w:eastAsia="宋体"/>
          <w:b/>
          <w:szCs w:val="24"/>
          <w:lang w:eastAsia="zh-CN"/>
        </w:rPr>
        <w:t>8</w:t>
      </w:r>
      <w:r>
        <w:rPr>
          <w:rFonts w:hAnsi="Times New Roman" w:eastAsia="宋体"/>
          <w:b/>
          <w:szCs w:val="24"/>
          <w:lang w:eastAsia="zh-CN"/>
        </w:rPr>
        <w:t xml:space="preserve"> 对河流的影响</w:t>
      </w:r>
    </w:p>
    <w:p>
      <w:pPr>
        <w:autoSpaceDE w:val="0"/>
        <w:autoSpaceDN w:val="0"/>
        <w:adjustRightInd w:val="0"/>
        <w:snapToGrid w:val="0"/>
        <w:spacing w:line="360" w:lineRule="auto"/>
        <w:ind w:firstLine="480" w:firstLineChars="200"/>
        <w:rPr>
          <w:rFonts w:hAnsi="Times New Roman" w:eastAsia="宋体"/>
          <w:szCs w:val="24"/>
        </w:rPr>
      </w:pPr>
      <w:r>
        <w:rPr>
          <w:rFonts w:hAnsi="Times New Roman" w:eastAsia="宋体"/>
          <w:szCs w:val="24"/>
          <w:lang w:eastAsia="zh-CN"/>
        </w:rPr>
        <w:t>新宁</w:t>
      </w:r>
      <w:r>
        <w:rPr>
          <w:rFonts w:hAnsi="Times New Roman" w:eastAsia="宋体"/>
          <w:szCs w:val="24"/>
        </w:rPr>
        <w:t>河由南向北穿过矿区，需留设河流保护煤柱，其保护煤柱留设参照《建筑物、水体、铁路及主要井巷煤柱留设与压煤开采规范》中水体安全煤（岩）柱留设方法留设，平面边界按最高洪水位线考虑，受保护范围参考邻近矿区煤系地层及上覆岩层的移动规律，裂缝角按65°考虑，经计算，在河床的两侧需留设约120m宽的保护煤柱，而矿井在河床的两侧已各留设了约220m宽的保护煤柱</w:t>
      </w:r>
      <w:r>
        <w:rPr>
          <w:rFonts w:hint="eastAsia" w:hAnsi="Times New Roman" w:eastAsia="宋体"/>
          <w:szCs w:val="24"/>
          <w:lang w:eastAsia="zh-CN"/>
        </w:rPr>
        <w:t>，并设为禁采区</w:t>
      </w:r>
      <w:r>
        <w:rPr>
          <w:rFonts w:hAnsi="Times New Roman" w:eastAsia="宋体"/>
          <w:szCs w:val="24"/>
          <w:lang w:eastAsia="zh-CN"/>
        </w:rPr>
        <w:t>。</w:t>
      </w:r>
      <w:r>
        <w:rPr>
          <w:rFonts w:hAnsi="Times New Roman" w:eastAsia="宋体"/>
          <w:szCs w:val="24"/>
        </w:rPr>
        <w:t>根据</w:t>
      </w:r>
      <w:r>
        <w:rPr>
          <w:rFonts w:hAnsi="Times New Roman" w:eastAsia="宋体"/>
          <w:szCs w:val="24"/>
          <w:lang w:eastAsia="zh-CN"/>
        </w:rPr>
        <w:t>地表变形</w:t>
      </w:r>
      <w:r>
        <w:rPr>
          <w:rFonts w:hAnsi="Times New Roman" w:eastAsia="宋体"/>
          <w:szCs w:val="24"/>
        </w:rPr>
        <w:t>预测，</w:t>
      </w:r>
      <w:r>
        <w:rPr>
          <w:rFonts w:hAnsi="Times New Roman" w:eastAsia="宋体"/>
          <w:szCs w:val="24"/>
          <w:lang w:eastAsia="zh-CN"/>
        </w:rPr>
        <w:t>矿井</w:t>
      </w:r>
      <w:r>
        <w:rPr>
          <w:rFonts w:hAnsi="Times New Roman" w:eastAsia="宋体"/>
          <w:szCs w:val="24"/>
        </w:rPr>
        <w:t>煤层开采后地表移动与变形甚微</w:t>
      </w:r>
      <w:r>
        <w:rPr>
          <w:rFonts w:hAnsi="Times New Roman" w:eastAsia="宋体"/>
          <w:szCs w:val="24"/>
          <w:lang w:eastAsia="zh-CN"/>
        </w:rPr>
        <w:t>，矿井</w:t>
      </w:r>
      <w:r>
        <w:rPr>
          <w:rFonts w:hAnsi="Times New Roman" w:eastAsia="宋体"/>
          <w:szCs w:val="24"/>
        </w:rPr>
        <w:t>开采对原地貌的形态和地貌类型影响较小，引发滑坡、崩塌等地质灾害的可能性较小，危害程度较轻。</w:t>
      </w:r>
    </w:p>
    <w:p>
      <w:pPr>
        <w:spacing w:line="360" w:lineRule="auto"/>
        <w:ind w:firstLine="480" w:firstLineChars="200"/>
        <w:rPr>
          <w:rFonts w:hAnsi="Times New Roman" w:eastAsia="宋体"/>
          <w:lang w:eastAsia="zh-CN"/>
        </w:rPr>
        <w:sectPr>
          <w:footerReference r:id="rId12" w:type="default"/>
          <w:pgSz w:w="11905" w:h="16838"/>
          <w:pgMar w:top="1440" w:right="1304" w:bottom="1440" w:left="1474" w:header="850" w:footer="992" w:gutter="0"/>
          <w:cols w:space="0" w:num="1"/>
          <w:docGrid w:type="lines" w:linePitch="338" w:charSpace="0"/>
        </w:sectPr>
      </w:pPr>
    </w:p>
    <w:p>
      <w:pPr>
        <w:pStyle w:val="4"/>
        <w:rPr>
          <w:lang w:eastAsia="zh-CN"/>
        </w:rPr>
      </w:pPr>
      <w:bookmarkStart w:id="274" w:name="_Toc163749168"/>
      <w:bookmarkStart w:id="275" w:name="_Toc167095206"/>
      <w:r>
        <w:rPr>
          <w:lang w:eastAsia="zh-CN"/>
        </w:rPr>
        <w:t>5 地下水环境影响评价</w:t>
      </w:r>
      <w:bookmarkEnd w:id="274"/>
      <w:bookmarkEnd w:id="275"/>
    </w:p>
    <w:p>
      <w:pPr>
        <w:pStyle w:val="5"/>
        <w:rPr>
          <w:rFonts w:ascii="Times New Roman" w:hAnsi="Times New Roman"/>
          <w:szCs w:val="22"/>
          <w:lang w:eastAsia="zh-CN"/>
        </w:rPr>
      </w:pPr>
      <w:bookmarkStart w:id="276" w:name="_Toc163749169"/>
      <w:bookmarkStart w:id="277" w:name="_Toc167095207"/>
      <w:r>
        <w:rPr>
          <w:rFonts w:ascii="Times New Roman" w:hAnsi="Times New Roman"/>
          <w:szCs w:val="22"/>
          <w:lang w:eastAsia="zh-CN"/>
        </w:rPr>
        <w:t>5.1 总论</w:t>
      </w:r>
      <w:bookmarkEnd w:id="276"/>
      <w:bookmarkEnd w:id="277"/>
    </w:p>
    <w:p>
      <w:pPr>
        <w:pStyle w:val="6"/>
        <w:rPr>
          <w:szCs w:val="22"/>
          <w:lang w:eastAsia="zh-CN"/>
        </w:rPr>
      </w:pPr>
      <w:bookmarkStart w:id="278" w:name="_Toc167095208"/>
      <w:bookmarkStart w:id="279" w:name="_Toc163812585"/>
      <w:r>
        <w:rPr>
          <w:szCs w:val="22"/>
          <w:lang w:eastAsia="zh-CN"/>
        </w:rPr>
        <w:t>5.1.1 评价目的</w:t>
      </w:r>
      <w:bookmarkEnd w:id="278"/>
      <w:bookmarkEnd w:id="279"/>
    </w:p>
    <w:p>
      <w:pPr>
        <w:pStyle w:val="14"/>
        <w:overflowPunct w:val="0"/>
        <w:spacing w:line="360" w:lineRule="auto"/>
        <w:ind w:right="274" w:firstLine="480" w:firstLineChars="200"/>
        <w:rPr>
          <w:rFonts w:ascii="Times New Roman" w:hAnsi="Times New Roman"/>
          <w:sz w:val="24"/>
        </w:rPr>
      </w:pPr>
      <w:r>
        <w:rPr>
          <w:rFonts w:ascii="Times New Roman" w:hAnsi="Times New Roman"/>
          <w:sz w:val="24"/>
        </w:rPr>
        <w:t>（1）结合资料调研和实地调查，掌握拟建项目地区水文地质条件，查明环境现状；</w:t>
      </w:r>
    </w:p>
    <w:p>
      <w:pPr>
        <w:pStyle w:val="14"/>
        <w:overflowPunct w:val="0"/>
        <w:spacing w:line="360" w:lineRule="auto"/>
        <w:ind w:right="274" w:firstLine="480" w:firstLineChars="200"/>
        <w:rPr>
          <w:rFonts w:ascii="Times New Roman" w:hAnsi="Times New Roman"/>
          <w:sz w:val="24"/>
        </w:rPr>
      </w:pPr>
      <w:r>
        <w:rPr>
          <w:rFonts w:ascii="Times New Roman" w:hAnsi="Times New Roman"/>
          <w:sz w:val="24"/>
        </w:rPr>
        <w:t>（2）根据工程建设、运行特点，对拟建项目的地下水环境影响要素进行分析和识别，预测工程建设可能对地下水环境产生的影响，评价其影响程度和范围及其可能导致的地下水环境变化趋势；</w:t>
      </w:r>
    </w:p>
    <w:p>
      <w:pPr>
        <w:pStyle w:val="14"/>
        <w:overflowPunct w:val="0"/>
        <w:spacing w:line="360" w:lineRule="auto"/>
        <w:ind w:right="274" w:firstLine="480" w:firstLineChars="200"/>
        <w:rPr>
          <w:rFonts w:ascii="Times New Roman" w:hAnsi="Times New Roman"/>
          <w:sz w:val="24"/>
        </w:rPr>
      </w:pPr>
      <w:r>
        <w:rPr>
          <w:rFonts w:ascii="Times New Roman" w:hAnsi="Times New Roman"/>
          <w:sz w:val="24"/>
        </w:rPr>
        <w:t>（3）针对项目建设可能产生的不利影响，提出针对性的防治对策或减缓措施，使工程建设带来的负面环境影响降至最低程度，达到项目建设和环境保护的协调发展；</w:t>
      </w:r>
    </w:p>
    <w:p>
      <w:pPr>
        <w:pStyle w:val="14"/>
        <w:overflowPunct w:val="0"/>
        <w:spacing w:line="360" w:lineRule="auto"/>
        <w:ind w:right="274" w:firstLine="480" w:firstLineChars="200"/>
        <w:rPr>
          <w:rFonts w:ascii="Times New Roman" w:hAnsi="Times New Roman"/>
          <w:sz w:val="24"/>
        </w:rPr>
      </w:pPr>
      <w:r>
        <w:rPr>
          <w:rFonts w:ascii="Times New Roman" w:hAnsi="Times New Roman"/>
          <w:sz w:val="24"/>
        </w:rPr>
        <w:t>（4）从环保角度论证项目建设可行性，为工程建设决策和环境管理提供科学依据。</w:t>
      </w:r>
    </w:p>
    <w:p>
      <w:pPr>
        <w:pStyle w:val="6"/>
        <w:rPr>
          <w:szCs w:val="22"/>
          <w:lang w:eastAsia="zh-CN"/>
        </w:rPr>
      </w:pPr>
      <w:bookmarkStart w:id="280" w:name="_Toc167095209"/>
      <w:bookmarkStart w:id="281" w:name="_Toc163812586"/>
      <w:r>
        <w:rPr>
          <w:szCs w:val="22"/>
          <w:lang w:eastAsia="zh-CN"/>
        </w:rPr>
        <w:t>5.1.2地下水环境功能与环境保护目标</w:t>
      </w:r>
      <w:bookmarkEnd w:id="280"/>
      <w:bookmarkEnd w:id="281"/>
    </w:p>
    <w:p>
      <w:pPr>
        <w:pStyle w:val="14"/>
        <w:overflowPunct w:val="0"/>
        <w:spacing w:line="360" w:lineRule="auto"/>
        <w:ind w:right="104"/>
        <w:rPr>
          <w:rFonts w:ascii="Times New Roman" w:hAnsi="Times New Roman"/>
          <w:b/>
          <w:sz w:val="24"/>
        </w:rPr>
      </w:pPr>
      <w:r>
        <w:rPr>
          <w:rFonts w:ascii="Times New Roman" w:hAnsi="Times New Roman"/>
          <w:b/>
          <w:sz w:val="24"/>
        </w:rPr>
        <w:t>5.1.2.1地下水功能划分</w:t>
      </w:r>
    </w:p>
    <w:p>
      <w:pPr>
        <w:pStyle w:val="14"/>
        <w:overflowPunct w:val="0"/>
        <w:spacing w:line="360" w:lineRule="auto"/>
        <w:ind w:right="274" w:firstLine="480" w:firstLineChars="200"/>
        <w:rPr>
          <w:rFonts w:ascii="Times New Roman" w:hAnsi="Times New Roman"/>
          <w:sz w:val="24"/>
        </w:rPr>
      </w:pPr>
      <w:r>
        <w:rPr>
          <w:rFonts w:ascii="Times New Roman" w:hAnsi="Times New Roman"/>
          <w:sz w:val="24"/>
        </w:rPr>
        <w:t>确定工程区地下水环境的主要功能是分析地下水环境影响、布置工作重点的重要工作之一。地下水系统是一个具有综合服务功能的开放系统，是维持社会经济发展的重要供水水源，也是维持生态环境系统稳定的重要因素。本研究确定工程区地下水环境功能从两个方面进行：</w:t>
      </w:r>
    </w:p>
    <w:p>
      <w:pPr>
        <w:pStyle w:val="14"/>
        <w:overflowPunct w:val="0"/>
        <w:spacing w:line="360" w:lineRule="auto"/>
        <w:ind w:right="274" w:firstLine="480" w:firstLineChars="200"/>
        <w:rPr>
          <w:rFonts w:ascii="Times New Roman" w:hAnsi="Times New Roman"/>
          <w:sz w:val="24"/>
        </w:rPr>
      </w:pPr>
      <w:r>
        <w:rPr>
          <w:rFonts w:ascii="Times New Roman" w:hAnsi="Times New Roman"/>
          <w:sz w:val="24"/>
        </w:rPr>
        <w:t>（1）依据《全国地下水功能区划分技术大纲》的要求和规定；</w:t>
      </w:r>
    </w:p>
    <w:p>
      <w:pPr>
        <w:pStyle w:val="14"/>
        <w:overflowPunct w:val="0"/>
        <w:spacing w:line="360" w:lineRule="auto"/>
        <w:ind w:right="274" w:firstLine="480" w:firstLineChars="200"/>
        <w:rPr>
          <w:rFonts w:ascii="Times New Roman" w:hAnsi="Times New Roman"/>
          <w:sz w:val="24"/>
        </w:rPr>
      </w:pPr>
      <w:r>
        <w:rPr>
          <w:rFonts w:ascii="Times New Roman" w:hAnsi="Times New Roman"/>
          <w:sz w:val="24"/>
        </w:rPr>
        <w:t>（2）根据实地调查的矿区的地下水环境状况；地下水功能是指地下水的水质和水量及其在空间和时间上的变化对人类社会和环境所产生的作用或效应，它由地下水的资源功能、生态环境功能和地质环境功能组成。</w:t>
      </w:r>
    </w:p>
    <w:p>
      <w:pPr>
        <w:pStyle w:val="14"/>
        <w:overflowPunct w:val="0"/>
        <w:spacing w:line="360" w:lineRule="auto"/>
        <w:ind w:right="274" w:firstLine="480" w:firstLineChars="200"/>
        <w:rPr>
          <w:rFonts w:ascii="Times New Roman" w:hAnsi="Times New Roman"/>
          <w:sz w:val="24"/>
        </w:rPr>
      </w:pPr>
      <w:r>
        <w:rPr>
          <w:rFonts w:ascii="Times New Roman" w:hAnsi="Times New Roman"/>
          <w:sz w:val="24"/>
        </w:rPr>
        <w:t>① 地下水的资源功能是指具备一定的补给、储存和更新条件的地下水资源供给保 障作用或效应。为了保持地下水的资源供给功能，首先在水量上，地下水要得到可持 续的稳定补给，这样才能保障可持续开发。</w:t>
      </w:r>
    </w:p>
    <w:p>
      <w:pPr>
        <w:pStyle w:val="14"/>
        <w:overflowPunct w:val="0"/>
        <w:spacing w:line="360" w:lineRule="auto"/>
        <w:ind w:right="274" w:firstLine="480" w:firstLineChars="200"/>
        <w:rPr>
          <w:rFonts w:ascii="Times New Roman" w:hAnsi="Times New Roman"/>
          <w:sz w:val="24"/>
        </w:rPr>
      </w:pPr>
      <w:r>
        <w:rPr>
          <w:rFonts w:ascii="Times New Roman" w:hAnsi="Times New Roman"/>
          <w:sz w:val="24"/>
        </w:rPr>
        <w:t>② 地下水的生态功能是指地下水系统对陆表植被或湖泊、湿地或土地质量良性维持的作用或效应，如果地下水系统发生变化，则生态环境出现相应的改变。地表水生 态系统（河道基流、湿地、泉水等）和陆地非地带性植被都需要地下水补给和调节。地下水位下降和水质恶化对地表生态系统会带来严重影响。</w:t>
      </w:r>
    </w:p>
    <w:p>
      <w:pPr>
        <w:pStyle w:val="14"/>
        <w:overflowPunct w:val="0"/>
        <w:spacing w:line="360" w:lineRule="auto"/>
        <w:ind w:right="274" w:firstLine="480" w:firstLineChars="200"/>
        <w:rPr>
          <w:rFonts w:ascii="Times New Roman" w:hAnsi="Times New Roman"/>
          <w:sz w:val="24"/>
        </w:rPr>
      </w:pPr>
      <w:r>
        <w:rPr>
          <w:rFonts w:ascii="Times New Roman" w:hAnsi="Times New Roman"/>
          <w:sz w:val="24"/>
        </w:rPr>
        <w:t>③</w:t>
      </w:r>
      <w:r>
        <w:rPr>
          <w:rFonts w:ascii="Times New Roman" w:hAnsi="Times New Roman"/>
          <w:sz w:val="24"/>
          <w:lang w:eastAsia="zh-CN"/>
        </w:rPr>
        <w:t xml:space="preserve"> </w:t>
      </w:r>
      <w:r>
        <w:rPr>
          <w:rFonts w:ascii="Times New Roman" w:hAnsi="Times New Roman"/>
          <w:sz w:val="24"/>
        </w:rPr>
        <w:t>地下水的地质环境功能是指地下水的地质安全保障功能，是指地下水系统对其所赋存的地质环境稳定性所具有支撑和保护的作用或效应，如果地下水系统发生变化，则地质环境出现相应的改变。</w:t>
      </w:r>
    </w:p>
    <w:p>
      <w:pPr>
        <w:pStyle w:val="14"/>
        <w:overflowPunct w:val="0"/>
        <w:spacing w:line="360" w:lineRule="auto"/>
        <w:ind w:right="104"/>
        <w:rPr>
          <w:rFonts w:ascii="Times New Roman" w:hAnsi="Times New Roman"/>
          <w:b/>
          <w:sz w:val="24"/>
        </w:rPr>
      </w:pPr>
      <w:r>
        <w:rPr>
          <w:rFonts w:ascii="Times New Roman" w:hAnsi="Times New Roman"/>
          <w:b/>
          <w:sz w:val="24"/>
        </w:rPr>
        <w:t>5.1.2.2 地下水环境调查</w:t>
      </w:r>
    </w:p>
    <w:p>
      <w:pPr>
        <w:pStyle w:val="14"/>
        <w:overflowPunct w:val="0"/>
        <w:spacing w:line="360" w:lineRule="auto"/>
        <w:ind w:right="274" w:firstLine="480" w:firstLineChars="200"/>
        <w:rPr>
          <w:rFonts w:ascii="Times New Roman" w:hAnsi="Times New Roman"/>
          <w:sz w:val="24"/>
        </w:rPr>
      </w:pPr>
      <w:r>
        <w:rPr>
          <w:rFonts w:ascii="Times New Roman" w:hAnsi="Times New Roman"/>
          <w:sz w:val="24"/>
        </w:rPr>
        <w:t>通过对项目区地下水、地表水、居民用水及环境状况调查，本项目所在区域地下水类型包括砂岩层间裂隙水、砂泥岩基岩裂隙水、第四系松散岩类孔隙水。地下水赋存、运移在含水层砂岩的构造裂隙中，属裂隙充水为主的矿床。区内直接含水层埋藏深，裂隙不发育，地下水补给、径流条件差，富水性均弱至极弱。矿区内无大的河流，仅有少数季性冲沟和山泉水，净化后可作为生产生活用水。根据该矿扩建后用水点和水源分布情况，采用多水源供水方式。取山泉水作为矿区生活用水，利用处理后的矿井水作为矿井生产消防用水。</w:t>
      </w:r>
    </w:p>
    <w:p>
      <w:pPr>
        <w:pStyle w:val="14"/>
        <w:overflowPunct w:val="0"/>
        <w:spacing w:line="360" w:lineRule="auto"/>
        <w:ind w:right="274" w:firstLine="480" w:firstLineChars="200"/>
        <w:rPr>
          <w:rFonts w:ascii="Times New Roman" w:hAnsi="Times New Roman"/>
          <w:sz w:val="24"/>
        </w:rPr>
      </w:pPr>
      <w:r>
        <w:rPr>
          <w:rFonts w:ascii="Times New Roman" w:hAnsi="Times New Roman"/>
          <w:sz w:val="24"/>
        </w:rPr>
        <w:t>根据现场调查，矿区北东侧分布有纸厂沟村（距离1220-1350m）、锁口庙村（距离2550-2300m）；东侧陈家沟村（距离1050-1100m）、保和寨村（距离785-800m）。</w:t>
      </w:r>
    </w:p>
    <w:p>
      <w:pPr>
        <w:pStyle w:val="14"/>
        <w:overflowPunct w:val="0"/>
        <w:spacing w:line="360" w:lineRule="auto"/>
        <w:ind w:right="274" w:firstLine="480" w:firstLineChars="200"/>
        <w:rPr>
          <w:rFonts w:ascii="Times New Roman" w:hAnsi="Times New Roman"/>
          <w:sz w:val="24"/>
        </w:rPr>
      </w:pPr>
      <w:r>
        <w:rPr>
          <w:rFonts w:hint="eastAsia" w:ascii="Times New Roman" w:hAnsi="Times New Roman"/>
          <w:sz w:val="24"/>
        </w:rPr>
        <w:t>本项目不涉及与自然保护区、风景名胜区、饮用水水源保护区等平面重叠。但在本项目工业广场下游1km处有一处乡镇级以下（村级）集中式饮用水水源地（位于本次项目调查范围之外，下游位置），且该水源地取水口位于河流右岸，与本次调查对象处于不同水文地质单元。</w:t>
      </w:r>
    </w:p>
    <w:p>
      <w:pPr>
        <w:pStyle w:val="14"/>
        <w:overflowPunct w:val="0"/>
        <w:spacing w:line="360" w:lineRule="auto"/>
        <w:ind w:right="274" w:firstLine="480" w:firstLineChars="200"/>
        <w:rPr>
          <w:rFonts w:ascii="Times New Roman" w:hAnsi="Times New Roman"/>
          <w:sz w:val="24"/>
        </w:rPr>
      </w:pPr>
      <w:r>
        <w:rPr>
          <w:rFonts w:ascii="Times New Roman" w:hAnsi="Times New Roman"/>
          <w:sz w:val="24"/>
        </w:rPr>
        <w:t>综上，本项目评价区地下水主要作为生产生活用水。根据《全国地下水功能区划分技术大纲》的要求和实地调查矿区内的地下水环境状况，本项目评价区地下水功能为分散式开发利用区。</w:t>
      </w:r>
    </w:p>
    <w:p>
      <w:pPr>
        <w:pStyle w:val="14"/>
        <w:overflowPunct w:val="0"/>
        <w:spacing w:line="360" w:lineRule="auto"/>
        <w:ind w:right="104"/>
        <w:rPr>
          <w:rFonts w:ascii="Times New Roman" w:hAnsi="Times New Roman"/>
          <w:b/>
          <w:sz w:val="24"/>
        </w:rPr>
      </w:pPr>
      <w:r>
        <w:rPr>
          <w:rFonts w:ascii="Times New Roman" w:hAnsi="Times New Roman"/>
          <w:b/>
          <w:sz w:val="24"/>
        </w:rPr>
        <w:t>5.1.2.3 地下水环境保护目标</w:t>
      </w:r>
    </w:p>
    <w:p>
      <w:pPr>
        <w:pStyle w:val="14"/>
        <w:overflowPunct w:val="0"/>
        <w:spacing w:line="360" w:lineRule="auto"/>
        <w:ind w:right="274" w:firstLine="480" w:firstLineChars="200"/>
        <w:rPr>
          <w:rFonts w:ascii="Times New Roman" w:hAnsi="Times New Roman"/>
          <w:sz w:val="24"/>
        </w:rPr>
      </w:pPr>
      <w:r>
        <w:rPr>
          <w:rFonts w:ascii="Times New Roman" w:hAnsi="Times New Roman"/>
          <w:sz w:val="24"/>
        </w:rPr>
        <w:t>本项目位于</w:t>
      </w:r>
      <w:r>
        <w:rPr>
          <w:rFonts w:ascii="Times New Roman" w:hAnsi="Times New Roman"/>
          <w:sz w:val="24"/>
          <w:lang w:eastAsia="zh-CN"/>
        </w:rPr>
        <w:t>四川省达州市宣汉县天生镇洞宫社区神龙路1号</w:t>
      </w:r>
      <w:r>
        <w:rPr>
          <w:rFonts w:ascii="Times New Roman" w:hAnsi="Times New Roman"/>
          <w:sz w:val="24"/>
        </w:rPr>
        <w:t>，为</w:t>
      </w:r>
      <w:bookmarkStart w:id="282" w:name="_Hlk68859009"/>
      <w:r>
        <w:rPr>
          <w:rFonts w:ascii="Times New Roman" w:hAnsi="Times New Roman"/>
          <w:sz w:val="24"/>
        </w:rPr>
        <w:t>达州市宣汉县七里峡煤业有限公司七里峡煤矿</w:t>
      </w:r>
      <w:bookmarkEnd w:id="282"/>
      <w:r>
        <w:rPr>
          <w:rFonts w:ascii="Times New Roman" w:hAnsi="Times New Roman"/>
          <w:sz w:val="24"/>
        </w:rPr>
        <w:t>（以下简称“七里峡煤矿”）扩建工程。年开采煤炭30万吨，服务年限</w:t>
      </w:r>
      <w:r>
        <w:rPr>
          <w:rFonts w:hint="eastAsia" w:ascii="Times New Roman" w:hAnsi="Times New Roman"/>
          <w:sz w:val="24"/>
          <w:lang w:eastAsia="zh-CN"/>
        </w:rPr>
        <w:t>5.2</w:t>
      </w:r>
      <w:r>
        <w:rPr>
          <w:rFonts w:ascii="Times New Roman" w:hAnsi="Times New Roman"/>
          <w:sz w:val="24"/>
        </w:rPr>
        <w:t>年。</w:t>
      </w:r>
    </w:p>
    <w:p>
      <w:pPr>
        <w:pStyle w:val="14"/>
        <w:overflowPunct w:val="0"/>
        <w:spacing w:line="360" w:lineRule="auto"/>
        <w:ind w:right="274" w:firstLine="480" w:firstLineChars="200"/>
        <w:rPr>
          <w:rFonts w:ascii="Times New Roman" w:hAnsi="Times New Roman"/>
          <w:sz w:val="24"/>
        </w:rPr>
      </w:pPr>
      <w:r>
        <w:rPr>
          <w:rFonts w:ascii="Times New Roman" w:hAnsi="Times New Roman"/>
          <w:sz w:val="24"/>
        </w:rPr>
        <w:t>随着项目地下开拓系统的形成和逐步完善及煤矿的开采，矿区范围内将形成以开拓系统及采掘煤矿层为中心的地下水集水廊道，伴随矿区内地下水的不断疏排，评价范围内会出现一定程度的地下水位下降和水资源流失，并可能对以地下水为饮用水源的村民产生影响。</w:t>
      </w:r>
    </w:p>
    <w:p>
      <w:pPr>
        <w:pStyle w:val="14"/>
        <w:overflowPunct w:val="0"/>
        <w:spacing w:line="360" w:lineRule="auto"/>
        <w:ind w:right="274" w:firstLine="480" w:firstLineChars="200"/>
        <w:rPr>
          <w:rFonts w:ascii="Times New Roman" w:hAnsi="Times New Roman"/>
          <w:sz w:val="24"/>
        </w:rPr>
      </w:pPr>
      <w:r>
        <w:rPr>
          <w:rFonts w:ascii="Times New Roman" w:hAnsi="Times New Roman"/>
          <w:sz w:val="24"/>
        </w:rPr>
        <w:t>此外，本项目运行过程中将煤矿开采产生的煤矸石会临时堆存至矸石转运场，煤矸石在受降雨淋滤后产生的淋滤液若收集不当，将下渗进入含水层对评价区地下水水质造成污染影响。评价区地下水环境保护目标见下表5.1-1：</w:t>
      </w:r>
    </w:p>
    <w:p>
      <w:pPr>
        <w:pStyle w:val="14"/>
        <w:tabs>
          <w:tab w:val="left" w:pos="3718"/>
        </w:tabs>
        <w:overflowPunct w:val="0"/>
        <w:spacing w:line="360" w:lineRule="auto"/>
        <w:jc w:val="center"/>
        <w:rPr>
          <w:rFonts w:ascii="Times New Roman" w:hAnsi="Times New Roman"/>
          <w:b/>
          <w:bCs w:val="0"/>
          <w:spacing w:val="-2"/>
          <w:sz w:val="21"/>
          <w:szCs w:val="21"/>
        </w:rPr>
      </w:pPr>
      <w:r>
        <w:rPr>
          <w:rFonts w:ascii="Times New Roman" w:hAnsi="Times New Roman"/>
          <w:b/>
          <w:bCs w:val="0"/>
          <w:spacing w:val="-2"/>
          <w:sz w:val="21"/>
          <w:szCs w:val="21"/>
        </w:rPr>
        <w:t>表5.1-1  拟建项目地下水环境保护目标表</w:t>
      </w:r>
    </w:p>
    <w:tbl>
      <w:tblPr>
        <w:tblStyle w:val="33"/>
        <w:tblW w:w="91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80"/>
        <w:gridCol w:w="1537"/>
        <w:gridCol w:w="3822"/>
        <w:gridCol w:w="24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80" w:type="dxa"/>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b/>
                <w:bCs/>
                <w:kern w:val="2"/>
                <w:szCs w:val="21"/>
              </w:rPr>
            </w:pPr>
            <w:r>
              <w:rPr>
                <w:rFonts w:hint="eastAsia" w:hAnsi="Times New Roman" w:eastAsia="宋体"/>
                <w:b/>
                <w:bCs/>
                <w:kern w:val="2"/>
                <w:szCs w:val="21"/>
              </w:rPr>
              <w:t>保护目标</w:t>
            </w:r>
          </w:p>
        </w:tc>
        <w:tc>
          <w:tcPr>
            <w:tcW w:w="1537" w:type="dxa"/>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b/>
                <w:bCs/>
                <w:kern w:val="2"/>
                <w:szCs w:val="21"/>
              </w:rPr>
            </w:pPr>
            <w:r>
              <w:rPr>
                <w:rFonts w:hint="eastAsia" w:hAnsi="Times New Roman" w:eastAsia="宋体"/>
                <w:b/>
                <w:bCs/>
                <w:kern w:val="2"/>
                <w:szCs w:val="21"/>
              </w:rPr>
              <w:t>主要保护内容</w:t>
            </w:r>
          </w:p>
        </w:tc>
        <w:tc>
          <w:tcPr>
            <w:tcW w:w="3822" w:type="dxa"/>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b/>
                <w:bCs/>
                <w:kern w:val="2"/>
                <w:szCs w:val="21"/>
              </w:rPr>
            </w:pPr>
            <w:r>
              <w:rPr>
                <w:rFonts w:hint="eastAsia" w:hAnsi="Times New Roman" w:eastAsia="宋体"/>
                <w:b/>
                <w:bCs/>
                <w:kern w:val="2"/>
                <w:szCs w:val="21"/>
              </w:rPr>
              <w:t>位置关系</w:t>
            </w:r>
          </w:p>
        </w:tc>
        <w:tc>
          <w:tcPr>
            <w:tcW w:w="2481" w:type="dxa"/>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b/>
                <w:bCs/>
                <w:kern w:val="2"/>
                <w:szCs w:val="21"/>
              </w:rPr>
            </w:pPr>
            <w:r>
              <w:rPr>
                <w:rFonts w:hint="eastAsia" w:hAnsi="Times New Roman" w:eastAsia="宋体"/>
                <w:b/>
                <w:bCs/>
                <w:kern w:val="2"/>
                <w:szCs w:val="21"/>
              </w:rPr>
              <w:t>影响因素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80" w:type="dxa"/>
            <w:vMerge w:val="restart"/>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侏罗系下统珍珠冲组、三叠系须家河组</w:t>
            </w:r>
          </w:p>
        </w:tc>
        <w:tc>
          <w:tcPr>
            <w:tcW w:w="1537" w:type="dxa"/>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含水层的水量</w:t>
            </w:r>
          </w:p>
        </w:tc>
        <w:tc>
          <w:tcPr>
            <w:tcW w:w="3822" w:type="dxa"/>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矿山开采区域</w:t>
            </w:r>
          </w:p>
        </w:tc>
        <w:tc>
          <w:tcPr>
            <w:tcW w:w="2481" w:type="dxa"/>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矿区疏排地下水，可能造成含水层水位下降和资源量的削减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80" w:type="dxa"/>
            <w:vMerge w:val="continue"/>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p>
        </w:tc>
        <w:tc>
          <w:tcPr>
            <w:tcW w:w="1537" w:type="dxa"/>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含水层水质</w:t>
            </w:r>
          </w:p>
        </w:tc>
        <w:tc>
          <w:tcPr>
            <w:tcW w:w="3822" w:type="dxa"/>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煤矸石转场、水处理站（涌水处理）下伏含水层</w:t>
            </w:r>
          </w:p>
        </w:tc>
        <w:tc>
          <w:tcPr>
            <w:tcW w:w="2481" w:type="dxa"/>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煤矸石堆存的采矿废石受降雨淋滤，产生的淋滤液下渗污染地下水水质；水处理站泄漏影响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80" w:type="dxa"/>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分散饮用水源</w:t>
            </w:r>
          </w:p>
        </w:tc>
        <w:tc>
          <w:tcPr>
            <w:tcW w:w="1537" w:type="dxa"/>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水质及水量</w:t>
            </w:r>
          </w:p>
        </w:tc>
        <w:tc>
          <w:tcPr>
            <w:tcW w:w="3822" w:type="dxa"/>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矿区北东侧分布有纸厂沟村（距离1220-1350m）、锁口庙村（距离2550-2300m）；东侧陈家沟村（距离1050-1100m）、保和寨村（距离 785-800m）</w:t>
            </w:r>
          </w:p>
        </w:tc>
        <w:tc>
          <w:tcPr>
            <w:tcW w:w="2481" w:type="dxa"/>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矿区开采疏排可能对该下游地下水取口水质和水量产生影响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80" w:type="dxa"/>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乡镇级以下（村级）集中式饮用水水源</w:t>
            </w:r>
          </w:p>
        </w:tc>
        <w:tc>
          <w:tcPr>
            <w:tcW w:w="1537" w:type="dxa"/>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水质</w:t>
            </w:r>
          </w:p>
        </w:tc>
        <w:tc>
          <w:tcPr>
            <w:tcW w:w="3822" w:type="dxa"/>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工业广场下游1km处（与工业广场处于不同水文地质单元，新宁河为当地最低侵蚀基准面）</w:t>
            </w:r>
          </w:p>
        </w:tc>
        <w:tc>
          <w:tcPr>
            <w:tcW w:w="2481" w:type="dxa"/>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水源地保护区以外的补给区，考虑傍河影响</w:t>
            </w:r>
          </w:p>
        </w:tc>
      </w:tr>
    </w:tbl>
    <w:p>
      <w:pPr>
        <w:pStyle w:val="14"/>
        <w:tabs>
          <w:tab w:val="left" w:pos="3718"/>
        </w:tabs>
        <w:overflowPunct w:val="0"/>
        <w:spacing w:line="360" w:lineRule="auto"/>
        <w:jc w:val="center"/>
        <w:rPr>
          <w:rFonts w:ascii="Times New Roman" w:hAnsi="Times New Roman"/>
          <w:b/>
          <w:bCs w:val="0"/>
          <w:spacing w:val="-2"/>
          <w:sz w:val="21"/>
          <w:szCs w:val="21"/>
        </w:rPr>
      </w:pPr>
      <w:r>
        <w:rPr>
          <w:rFonts w:hint="eastAsia" w:ascii="Times New Roman" w:hAnsi="Times New Roman"/>
          <w:b/>
          <w:bCs w:val="0"/>
          <w:spacing w:val="-2"/>
          <w:sz w:val="21"/>
          <w:szCs w:val="21"/>
        </w:rPr>
        <w:t>表</w:t>
      </w:r>
      <w:r>
        <w:rPr>
          <w:rFonts w:ascii="Times New Roman" w:hAnsi="Times New Roman"/>
          <w:b/>
          <w:bCs w:val="0"/>
          <w:spacing w:val="-2"/>
          <w:sz w:val="21"/>
          <w:szCs w:val="21"/>
        </w:rPr>
        <w:t>5.1</w:t>
      </w:r>
      <w:r>
        <w:rPr>
          <w:rFonts w:ascii="Times New Roman" w:hAnsi="Times New Roman"/>
          <w:b/>
          <w:bCs w:val="0"/>
          <w:spacing w:val="-2"/>
          <w:sz w:val="21"/>
          <w:szCs w:val="21"/>
        </w:rPr>
        <w:noBreakHyphen/>
      </w:r>
      <w:r>
        <w:rPr>
          <w:rFonts w:ascii="Times New Roman" w:hAnsi="Times New Roman"/>
          <w:b/>
          <w:bCs w:val="0"/>
          <w:spacing w:val="-2"/>
          <w:sz w:val="21"/>
          <w:szCs w:val="21"/>
        </w:rPr>
        <w:t>2</w:t>
      </w:r>
      <w:r>
        <w:rPr>
          <w:rFonts w:hint="eastAsia" w:ascii="Times New Roman" w:hAnsi="Times New Roman"/>
          <w:b/>
          <w:bCs w:val="0"/>
          <w:spacing w:val="-2"/>
          <w:sz w:val="21"/>
          <w:szCs w:val="21"/>
        </w:rPr>
        <w:t>扩建</w:t>
      </w:r>
      <w:r>
        <w:rPr>
          <w:rFonts w:ascii="Times New Roman" w:hAnsi="Times New Roman"/>
          <w:b/>
          <w:bCs w:val="0"/>
          <w:spacing w:val="-2"/>
          <w:sz w:val="21"/>
          <w:szCs w:val="21"/>
        </w:rPr>
        <w:t>项目地下水环境保护目标</w:t>
      </w:r>
      <w:r>
        <w:rPr>
          <w:rFonts w:hint="eastAsia" w:ascii="Times New Roman" w:hAnsi="Times New Roman"/>
          <w:b/>
          <w:bCs w:val="0"/>
          <w:spacing w:val="-2"/>
          <w:sz w:val="21"/>
          <w:szCs w:val="21"/>
        </w:rPr>
        <w:t>统计表</w:t>
      </w:r>
    </w:p>
    <w:tbl>
      <w:tblPr>
        <w:tblStyle w:val="33"/>
        <w:tblW w:w="5000" w:type="pct"/>
        <w:tblInd w:w="0" w:type="dxa"/>
        <w:tblLayout w:type="autofit"/>
        <w:tblCellMar>
          <w:top w:w="0" w:type="dxa"/>
          <w:left w:w="108" w:type="dxa"/>
          <w:bottom w:w="0" w:type="dxa"/>
          <w:right w:w="108" w:type="dxa"/>
        </w:tblCellMar>
      </w:tblPr>
      <w:tblGrid>
        <w:gridCol w:w="712"/>
        <w:gridCol w:w="1224"/>
        <w:gridCol w:w="1031"/>
        <w:gridCol w:w="1971"/>
        <w:gridCol w:w="1594"/>
        <w:gridCol w:w="2811"/>
      </w:tblGrid>
      <w:tr>
        <w:tblPrEx>
          <w:tblCellMar>
            <w:top w:w="0" w:type="dxa"/>
            <w:left w:w="108" w:type="dxa"/>
            <w:bottom w:w="0" w:type="dxa"/>
            <w:right w:w="108" w:type="dxa"/>
          </w:tblCellMar>
        </w:tblPrEx>
        <w:trPr>
          <w:trHeight w:val="280" w:hRule="atLeast"/>
          <w:tblHeader/>
        </w:trPr>
        <w:tc>
          <w:tcPr>
            <w:tcW w:w="381" w:type="pct"/>
            <w:tcBorders>
              <w:top w:val="single" w:color="auto" w:sz="4" w:space="0"/>
              <w:left w:val="single" w:color="auto" w:sz="4" w:space="0"/>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b/>
                <w:bCs/>
                <w:kern w:val="2"/>
                <w:szCs w:val="21"/>
              </w:rPr>
            </w:pPr>
            <w:bookmarkStart w:id="283" w:name="_Toc163812587"/>
            <w:r>
              <w:rPr>
                <w:rFonts w:hint="eastAsia" w:hAnsi="Times New Roman" w:eastAsia="宋体"/>
                <w:b/>
                <w:bCs/>
                <w:kern w:val="2"/>
                <w:szCs w:val="21"/>
              </w:rPr>
              <w:t>名称</w:t>
            </w:r>
          </w:p>
        </w:tc>
        <w:tc>
          <w:tcPr>
            <w:tcW w:w="655" w:type="pct"/>
            <w:tcBorders>
              <w:top w:val="single" w:color="auto" w:sz="4" w:space="0"/>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b/>
                <w:bCs/>
                <w:kern w:val="2"/>
                <w:szCs w:val="21"/>
              </w:rPr>
            </w:pPr>
            <w:r>
              <w:rPr>
                <w:rFonts w:hint="eastAsia" w:hAnsi="Times New Roman" w:eastAsia="宋体"/>
                <w:b/>
                <w:bCs/>
                <w:kern w:val="2"/>
                <w:szCs w:val="21"/>
              </w:rPr>
              <w:t>保护目标</w:t>
            </w:r>
          </w:p>
        </w:tc>
        <w:tc>
          <w:tcPr>
            <w:tcW w:w="552" w:type="pct"/>
            <w:tcBorders>
              <w:top w:val="single" w:color="auto" w:sz="4" w:space="0"/>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b/>
                <w:bCs/>
                <w:kern w:val="2"/>
                <w:szCs w:val="21"/>
              </w:rPr>
            </w:pPr>
            <w:r>
              <w:rPr>
                <w:rFonts w:hint="eastAsia" w:hAnsi="Times New Roman" w:eastAsia="宋体"/>
                <w:b/>
                <w:bCs/>
                <w:kern w:val="2"/>
                <w:szCs w:val="21"/>
              </w:rPr>
              <w:t>水位（m）</w:t>
            </w:r>
          </w:p>
        </w:tc>
        <w:tc>
          <w:tcPr>
            <w:tcW w:w="1055" w:type="pct"/>
            <w:tcBorders>
              <w:top w:val="single" w:color="auto" w:sz="4" w:space="0"/>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b/>
                <w:bCs/>
                <w:kern w:val="2"/>
                <w:szCs w:val="21"/>
              </w:rPr>
            </w:pPr>
            <w:r>
              <w:rPr>
                <w:rFonts w:hint="eastAsia" w:hAnsi="Times New Roman" w:eastAsia="宋体"/>
                <w:b/>
                <w:bCs/>
                <w:kern w:val="2"/>
                <w:szCs w:val="21"/>
              </w:rPr>
              <w:t>主要保护内容</w:t>
            </w:r>
          </w:p>
        </w:tc>
        <w:tc>
          <w:tcPr>
            <w:tcW w:w="853" w:type="pct"/>
            <w:tcBorders>
              <w:top w:val="single" w:color="auto" w:sz="4" w:space="0"/>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b/>
                <w:bCs/>
                <w:kern w:val="2"/>
                <w:szCs w:val="21"/>
              </w:rPr>
            </w:pPr>
            <w:r>
              <w:rPr>
                <w:rFonts w:hint="eastAsia" w:hAnsi="Times New Roman" w:eastAsia="宋体"/>
                <w:b/>
                <w:bCs/>
                <w:kern w:val="2"/>
                <w:szCs w:val="21"/>
              </w:rPr>
              <w:t>位置关系</w:t>
            </w:r>
          </w:p>
        </w:tc>
        <w:tc>
          <w:tcPr>
            <w:tcW w:w="1504" w:type="pct"/>
            <w:tcBorders>
              <w:top w:val="single" w:color="auto" w:sz="4" w:space="0"/>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b/>
                <w:bCs/>
                <w:kern w:val="2"/>
                <w:szCs w:val="21"/>
              </w:rPr>
            </w:pPr>
            <w:r>
              <w:rPr>
                <w:rFonts w:hint="eastAsia" w:hAnsi="Times New Roman" w:eastAsia="宋体"/>
                <w:b/>
                <w:bCs/>
                <w:kern w:val="2"/>
                <w:szCs w:val="21"/>
              </w:rPr>
              <w:t>影响因素</w:t>
            </w:r>
          </w:p>
        </w:tc>
      </w:tr>
      <w:tr>
        <w:tblPrEx>
          <w:tblCellMar>
            <w:top w:w="0" w:type="dxa"/>
            <w:left w:w="108" w:type="dxa"/>
            <w:bottom w:w="0" w:type="dxa"/>
            <w:right w:w="108" w:type="dxa"/>
          </w:tblCellMar>
        </w:tblPrEx>
        <w:trPr>
          <w:trHeight w:val="540" w:hRule="atLeast"/>
        </w:trPr>
        <w:tc>
          <w:tcPr>
            <w:tcW w:w="381" w:type="pct"/>
            <w:tcBorders>
              <w:top w:val="nil"/>
              <w:left w:val="single" w:color="auto" w:sz="4" w:space="0"/>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S1</w:t>
            </w:r>
          </w:p>
        </w:tc>
        <w:tc>
          <w:tcPr>
            <w:tcW w:w="655"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未利用</w:t>
            </w:r>
          </w:p>
        </w:tc>
        <w:tc>
          <w:tcPr>
            <w:tcW w:w="552"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342.5</w:t>
            </w:r>
          </w:p>
        </w:tc>
        <w:tc>
          <w:tcPr>
            <w:tcW w:w="1055"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侏罗系中统新田沟组风化裂隙水</w:t>
            </w:r>
          </w:p>
        </w:tc>
        <w:tc>
          <w:tcPr>
            <w:tcW w:w="853"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主井工业广场西侧水井</w:t>
            </w:r>
          </w:p>
        </w:tc>
        <w:tc>
          <w:tcPr>
            <w:tcW w:w="1504"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运营期矿坑涌水排水，对表层潜水含水层基本无影响</w:t>
            </w:r>
          </w:p>
        </w:tc>
      </w:tr>
      <w:tr>
        <w:tblPrEx>
          <w:tblCellMar>
            <w:top w:w="0" w:type="dxa"/>
            <w:left w:w="108" w:type="dxa"/>
            <w:bottom w:w="0" w:type="dxa"/>
            <w:right w:w="108" w:type="dxa"/>
          </w:tblCellMar>
        </w:tblPrEx>
        <w:trPr>
          <w:trHeight w:val="540" w:hRule="atLeast"/>
        </w:trPr>
        <w:tc>
          <w:tcPr>
            <w:tcW w:w="381" w:type="pct"/>
            <w:tcBorders>
              <w:top w:val="nil"/>
              <w:left w:val="single" w:color="auto" w:sz="4" w:space="0"/>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S2</w:t>
            </w:r>
          </w:p>
        </w:tc>
        <w:tc>
          <w:tcPr>
            <w:tcW w:w="655"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S2民井</w:t>
            </w:r>
          </w:p>
        </w:tc>
        <w:tc>
          <w:tcPr>
            <w:tcW w:w="552"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370.4</w:t>
            </w:r>
          </w:p>
        </w:tc>
        <w:tc>
          <w:tcPr>
            <w:tcW w:w="1055"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侏罗系中统新田沟组风化裂隙水</w:t>
            </w:r>
          </w:p>
        </w:tc>
        <w:tc>
          <w:tcPr>
            <w:tcW w:w="853"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主井工业广场西北侧水井</w:t>
            </w:r>
          </w:p>
        </w:tc>
        <w:tc>
          <w:tcPr>
            <w:tcW w:w="1504"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运营期矿坑涌水排水，对表层潜水含水层基本无影响</w:t>
            </w:r>
          </w:p>
        </w:tc>
      </w:tr>
      <w:tr>
        <w:tblPrEx>
          <w:tblCellMar>
            <w:top w:w="0" w:type="dxa"/>
            <w:left w:w="108" w:type="dxa"/>
            <w:bottom w:w="0" w:type="dxa"/>
            <w:right w:w="108" w:type="dxa"/>
          </w:tblCellMar>
        </w:tblPrEx>
        <w:trPr>
          <w:trHeight w:val="540" w:hRule="atLeast"/>
        </w:trPr>
        <w:tc>
          <w:tcPr>
            <w:tcW w:w="381" w:type="pct"/>
            <w:tcBorders>
              <w:top w:val="nil"/>
              <w:left w:val="single" w:color="auto" w:sz="4" w:space="0"/>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S3</w:t>
            </w:r>
          </w:p>
        </w:tc>
        <w:tc>
          <w:tcPr>
            <w:tcW w:w="655"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S3民井</w:t>
            </w:r>
          </w:p>
        </w:tc>
        <w:tc>
          <w:tcPr>
            <w:tcW w:w="552"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342.1</w:t>
            </w:r>
          </w:p>
        </w:tc>
        <w:tc>
          <w:tcPr>
            <w:tcW w:w="1055"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侏罗系中统新田沟组风化裂隙水</w:t>
            </w:r>
          </w:p>
        </w:tc>
        <w:tc>
          <w:tcPr>
            <w:tcW w:w="853"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工业广场外西北侧</w:t>
            </w:r>
          </w:p>
        </w:tc>
        <w:tc>
          <w:tcPr>
            <w:tcW w:w="1504"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运营期矿坑涌水排水，对表层潜水含水层基本无影响</w:t>
            </w:r>
          </w:p>
        </w:tc>
      </w:tr>
      <w:tr>
        <w:tblPrEx>
          <w:tblCellMar>
            <w:top w:w="0" w:type="dxa"/>
            <w:left w:w="108" w:type="dxa"/>
            <w:bottom w:w="0" w:type="dxa"/>
            <w:right w:w="108" w:type="dxa"/>
          </w:tblCellMar>
        </w:tblPrEx>
        <w:trPr>
          <w:trHeight w:val="540" w:hRule="atLeast"/>
        </w:trPr>
        <w:tc>
          <w:tcPr>
            <w:tcW w:w="381" w:type="pct"/>
            <w:tcBorders>
              <w:top w:val="nil"/>
              <w:left w:val="single" w:color="auto" w:sz="4" w:space="0"/>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S4</w:t>
            </w:r>
          </w:p>
        </w:tc>
        <w:tc>
          <w:tcPr>
            <w:tcW w:w="655"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未利用</w:t>
            </w:r>
          </w:p>
        </w:tc>
        <w:tc>
          <w:tcPr>
            <w:tcW w:w="552"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375.1</w:t>
            </w:r>
          </w:p>
        </w:tc>
        <w:tc>
          <w:tcPr>
            <w:tcW w:w="1055"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侏罗系中统新田沟组风化裂隙水</w:t>
            </w:r>
          </w:p>
        </w:tc>
        <w:tc>
          <w:tcPr>
            <w:tcW w:w="853"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工业广场外西侧</w:t>
            </w:r>
          </w:p>
        </w:tc>
        <w:tc>
          <w:tcPr>
            <w:tcW w:w="1504"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运营期矿坑涌水排水，对表层潜水含水层基本无影响</w:t>
            </w:r>
          </w:p>
        </w:tc>
      </w:tr>
      <w:tr>
        <w:tblPrEx>
          <w:tblCellMar>
            <w:top w:w="0" w:type="dxa"/>
            <w:left w:w="108" w:type="dxa"/>
            <w:bottom w:w="0" w:type="dxa"/>
            <w:right w:w="108" w:type="dxa"/>
          </w:tblCellMar>
        </w:tblPrEx>
        <w:trPr>
          <w:trHeight w:val="540" w:hRule="atLeast"/>
        </w:trPr>
        <w:tc>
          <w:tcPr>
            <w:tcW w:w="381" w:type="pct"/>
            <w:tcBorders>
              <w:top w:val="nil"/>
              <w:left w:val="single" w:color="auto" w:sz="4" w:space="0"/>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S5</w:t>
            </w:r>
          </w:p>
        </w:tc>
        <w:tc>
          <w:tcPr>
            <w:tcW w:w="655"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泉点（利用）</w:t>
            </w:r>
          </w:p>
        </w:tc>
        <w:tc>
          <w:tcPr>
            <w:tcW w:w="552"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395.7</w:t>
            </w:r>
          </w:p>
        </w:tc>
        <w:tc>
          <w:tcPr>
            <w:tcW w:w="1055"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侏罗系中下统珍珠冲组砂岩裂隙水</w:t>
            </w:r>
          </w:p>
        </w:tc>
        <w:tc>
          <w:tcPr>
            <w:tcW w:w="853"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工业广场外南侧</w:t>
            </w:r>
          </w:p>
        </w:tc>
        <w:tc>
          <w:tcPr>
            <w:tcW w:w="1504"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运营期矿坑涌水排水，可能会影响出露含水层水量减少</w:t>
            </w:r>
          </w:p>
        </w:tc>
      </w:tr>
      <w:tr>
        <w:tblPrEx>
          <w:tblCellMar>
            <w:top w:w="0" w:type="dxa"/>
            <w:left w:w="108" w:type="dxa"/>
            <w:bottom w:w="0" w:type="dxa"/>
            <w:right w:w="108" w:type="dxa"/>
          </w:tblCellMar>
        </w:tblPrEx>
        <w:trPr>
          <w:trHeight w:val="540" w:hRule="atLeast"/>
        </w:trPr>
        <w:tc>
          <w:tcPr>
            <w:tcW w:w="381" w:type="pct"/>
            <w:tcBorders>
              <w:top w:val="nil"/>
              <w:left w:val="single" w:color="auto" w:sz="4" w:space="0"/>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S6</w:t>
            </w:r>
          </w:p>
        </w:tc>
        <w:tc>
          <w:tcPr>
            <w:tcW w:w="655"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S6民井</w:t>
            </w:r>
          </w:p>
        </w:tc>
        <w:tc>
          <w:tcPr>
            <w:tcW w:w="552"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422.1</w:t>
            </w:r>
          </w:p>
        </w:tc>
        <w:tc>
          <w:tcPr>
            <w:tcW w:w="1055"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侏罗系中统新田沟组风化裂隙水</w:t>
            </w:r>
          </w:p>
        </w:tc>
        <w:tc>
          <w:tcPr>
            <w:tcW w:w="853"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矿区范围外陈家大院子</w:t>
            </w:r>
          </w:p>
        </w:tc>
        <w:tc>
          <w:tcPr>
            <w:tcW w:w="1504"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运营期矿坑涌水排水，对表层潜水含水层影响较小</w:t>
            </w:r>
          </w:p>
        </w:tc>
      </w:tr>
      <w:tr>
        <w:tblPrEx>
          <w:tblCellMar>
            <w:top w:w="0" w:type="dxa"/>
            <w:left w:w="108" w:type="dxa"/>
            <w:bottom w:w="0" w:type="dxa"/>
            <w:right w:w="108" w:type="dxa"/>
          </w:tblCellMar>
        </w:tblPrEx>
        <w:trPr>
          <w:trHeight w:val="540" w:hRule="atLeast"/>
        </w:trPr>
        <w:tc>
          <w:tcPr>
            <w:tcW w:w="381" w:type="pct"/>
            <w:tcBorders>
              <w:top w:val="nil"/>
              <w:left w:val="single" w:color="auto" w:sz="4" w:space="0"/>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S7</w:t>
            </w:r>
          </w:p>
        </w:tc>
        <w:tc>
          <w:tcPr>
            <w:tcW w:w="655"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S7民井</w:t>
            </w:r>
          </w:p>
        </w:tc>
        <w:tc>
          <w:tcPr>
            <w:tcW w:w="552"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412.7</w:t>
            </w:r>
          </w:p>
        </w:tc>
        <w:tc>
          <w:tcPr>
            <w:tcW w:w="1055"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侏罗系中统新田沟组风化裂隙水</w:t>
            </w:r>
          </w:p>
        </w:tc>
        <w:tc>
          <w:tcPr>
            <w:tcW w:w="853"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矿区范围外肖家院子</w:t>
            </w:r>
          </w:p>
        </w:tc>
        <w:tc>
          <w:tcPr>
            <w:tcW w:w="1504"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运营期矿坑涌水排水，对表层潜水含水层影响较小</w:t>
            </w:r>
          </w:p>
        </w:tc>
      </w:tr>
      <w:tr>
        <w:tblPrEx>
          <w:tblCellMar>
            <w:top w:w="0" w:type="dxa"/>
            <w:left w:w="108" w:type="dxa"/>
            <w:bottom w:w="0" w:type="dxa"/>
            <w:right w:w="108" w:type="dxa"/>
          </w:tblCellMar>
        </w:tblPrEx>
        <w:trPr>
          <w:trHeight w:val="540" w:hRule="atLeast"/>
        </w:trPr>
        <w:tc>
          <w:tcPr>
            <w:tcW w:w="381" w:type="pct"/>
            <w:tcBorders>
              <w:top w:val="nil"/>
              <w:left w:val="single" w:color="auto" w:sz="4" w:space="0"/>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S8</w:t>
            </w:r>
          </w:p>
        </w:tc>
        <w:tc>
          <w:tcPr>
            <w:tcW w:w="655"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泉点（未利用）</w:t>
            </w:r>
          </w:p>
        </w:tc>
        <w:tc>
          <w:tcPr>
            <w:tcW w:w="552"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415.3</w:t>
            </w:r>
          </w:p>
        </w:tc>
        <w:tc>
          <w:tcPr>
            <w:tcW w:w="1055"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侏罗系中下统珍珠冲组砂岩裂隙水</w:t>
            </w:r>
          </w:p>
        </w:tc>
        <w:tc>
          <w:tcPr>
            <w:tcW w:w="853"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矿区范围外凼里头</w:t>
            </w:r>
          </w:p>
        </w:tc>
        <w:tc>
          <w:tcPr>
            <w:tcW w:w="1504"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运营期矿坑涌水排水，可能会影响出露含水层水量减少</w:t>
            </w:r>
          </w:p>
        </w:tc>
      </w:tr>
      <w:tr>
        <w:tblPrEx>
          <w:tblCellMar>
            <w:top w:w="0" w:type="dxa"/>
            <w:left w:w="108" w:type="dxa"/>
            <w:bottom w:w="0" w:type="dxa"/>
            <w:right w:w="108" w:type="dxa"/>
          </w:tblCellMar>
        </w:tblPrEx>
        <w:trPr>
          <w:trHeight w:val="540" w:hRule="atLeast"/>
        </w:trPr>
        <w:tc>
          <w:tcPr>
            <w:tcW w:w="381" w:type="pct"/>
            <w:tcBorders>
              <w:top w:val="nil"/>
              <w:left w:val="single" w:color="auto" w:sz="4" w:space="0"/>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S9</w:t>
            </w:r>
          </w:p>
        </w:tc>
        <w:tc>
          <w:tcPr>
            <w:tcW w:w="655"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S9民井</w:t>
            </w:r>
          </w:p>
        </w:tc>
        <w:tc>
          <w:tcPr>
            <w:tcW w:w="552"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393.7</w:t>
            </w:r>
          </w:p>
        </w:tc>
        <w:tc>
          <w:tcPr>
            <w:tcW w:w="1055"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侏罗系中统新田沟组风化裂隙水</w:t>
            </w:r>
          </w:p>
        </w:tc>
        <w:tc>
          <w:tcPr>
            <w:tcW w:w="853"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矿区范围外毛家老屋</w:t>
            </w:r>
          </w:p>
        </w:tc>
        <w:tc>
          <w:tcPr>
            <w:tcW w:w="1504"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运营期矿坑涌水排水，对表层潜水含水层影响较小</w:t>
            </w:r>
          </w:p>
        </w:tc>
      </w:tr>
      <w:tr>
        <w:tblPrEx>
          <w:tblCellMar>
            <w:top w:w="0" w:type="dxa"/>
            <w:left w:w="108" w:type="dxa"/>
            <w:bottom w:w="0" w:type="dxa"/>
            <w:right w:w="108" w:type="dxa"/>
          </w:tblCellMar>
        </w:tblPrEx>
        <w:trPr>
          <w:trHeight w:val="540" w:hRule="atLeast"/>
        </w:trPr>
        <w:tc>
          <w:tcPr>
            <w:tcW w:w="381" w:type="pct"/>
            <w:tcBorders>
              <w:top w:val="nil"/>
              <w:left w:val="single" w:color="auto" w:sz="4" w:space="0"/>
              <w:bottom w:val="nil"/>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S10</w:t>
            </w:r>
          </w:p>
        </w:tc>
        <w:tc>
          <w:tcPr>
            <w:tcW w:w="655" w:type="pct"/>
            <w:tcBorders>
              <w:top w:val="nil"/>
              <w:left w:val="nil"/>
              <w:bottom w:val="nil"/>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S10民井</w:t>
            </w:r>
          </w:p>
        </w:tc>
        <w:tc>
          <w:tcPr>
            <w:tcW w:w="552" w:type="pct"/>
            <w:tcBorders>
              <w:top w:val="nil"/>
              <w:left w:val="nil"/>
              <w:bottom w:val="nil"/>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401.4</w:t>
            </w:r>
          </w:p>
        </w:tc>
        <w:tc>
          <w:tcPr>
            <w:tcW w:w="1055" w:type="pct"/>
            <w:tcBorders>
              <w:top w:val="nil"/>
              <w:left w:val="nil"/>
              <w:bottom w:val="nil"/>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侏罗系中统沙溪庙组风化裂隙水</w:t>
            </w:r>
          </w:p>
        </w:tc>
        <w:tc>
          <w:tcPr>
            <w:tcW w:w="853" w:type="pct"/>
            <w:tcBorders>
              <w:top w:val="nil"/>
              <w:left w:val="nil"/>
              <w:bottom w:val="nil"/>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矿区范围外马家梁</w:t>
            </w:r>
          </w:p>
        </w:tc>
        <w:tc>
          <w:tcPr>
            <w:tcW w:w="1504" w:type="pct"/>
            <w:tcBorders>
              <w:top w:val="nil"/>
              <w:left w:val="nil"/>
              <w:bottom w:val="nil"/>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运营期矿坑涌水排水，对表层潜水含水层影响较小</w:t>
            </w:r>
          </w:p>
        </w:tc>
      </w:tr>
      <w:tr>
        <w:tblPrEx>
          <w:tblCellMar>
            <w:top w:w="0" w:type="dxa"/>
            <w:left w:w="108" w:type="dxa"/>
            <w:bottom w:w="0" w:type="dxa"/>
            <w:right w:w="108" w:type="dxa"/>
          </w:tblCellMar>
        </w:tblPrEx>
        <w:trPr>
          <w:trHeight w:val="540" w:hRule="atLeast"/>
        </w:trPr>
        <w:tc>
          <w:tcPr>
            <w:tcW w:w="381" w:type="pct"/>
            <w:tcBorders>
              <w:top w:val="nil"/>
              <w:left w:val="single" w:color="auto" w:sz="4" w:space="0"/>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王一庙水源地取水口</w:t>
            </w:r>
          </w:p>
        </w:tc>
        <w:tc>
          <w:tcPr>
            <w:tcW w:w="655"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取水口</w:t>
            </w:r>
          </w:p>
        </w:tc>
        <w:tc>
          <w:tcPr>
            <w:tcW w:w="552"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377.5</w:t>
            </w:r>
          </w:p>
        </w:tc>
        <w:tc>
          <w:tcPr>
            <w:tcW w:w="1055"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新宁河水质</w:t>
            </w:r>
          </w:p>
        </w:tc>
        <w:tc>
          <w:tcPr>
            <w:tcW w:w="853"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工业广场外西北侧</w:t>
            </w:r>
          </w:p>
        </w:tc>
        <w:tc>
          <w:tcPr>
            <w:tcW w:w="1504"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考虑傍河影响，如若河流遭受污染，在水源地取水过程中也将受到影响</w:t>
            </w:r>
          </w:p>
        </w:tc>
      </w:tr>
    </w:tbl>
    <w:p>
      <w:pPr>
        <w:pStyle w:val="6"/>
        <w:rPr>
          <w:szCs w:val="22"/>
          <w:lang w:eastAsia="zh-CN"/>
        </w:rPr>
      </w:pPr>
      <w:bookmarkStart w:id="284" w:name="_Toc167095210"/>
      <w:r>
        <w:rPr>
          <w:szCs w:val="22"/>
          <w:lang w:eastAsia="zh-CN"/>
        </w:rPr>
        <w:t>5.1.3地下水环境影响识别</w:t>
      </w:r>
      <w:bookmarkEnd w:id="283"/>
      <w:bookmarkEnd w:id="284"/>
    </w:p>
    <w:p>
      <w:pPr>
        <w:pStyle w:val="14"/>
        <w:overflowPunct w:val="0"/>
        <w:spacing w:line="360" w:lineRule="auto"/>
        <w:ind w:right="104" w:firstLine="480" w:firstLineChars="200"/>
        <w:rPr>
          <w:rFonts w:ascii="Times New Roman" w:hAnsi="Times New Roman"/>
          <w:bCs w:val="0"/>
          <w:sz w:val="24"/>
        </w:rPr>
      </w:pPr>
      <w:r>
        <w:rPr>
          <w:rFonts w:ascii="Times New Roman" w:hAnsi="Times New Roman"/>
          <w:bCs w:val="0"/>
          <w:sz w:val="24"/>
        </w:rPr>
        <w:t>（1）项目类型识别</w:t>
      </w:r>
    </w:p>
    <w:p>
      <w:pPr>
        <w:pStyle w:val="14"/>
        <w:overflowPunct w:val="0"/>
        <w:spacing w:line="360" w:lineRule="auto"/>
        <w:ind w:right="274" w:firstLine="480" w:firstLineChars="200"/>
        <w:rPr>
          <w:rFonts w:ascii="Times New Roman" w:hAnsi="Times New Roman"/>
          <w:sz w:val="24"/>
        </w:rPr>
      </w:pPr>
      <w:r>
        <w:rPr>
          <w:rFonts w:ascii="Times New Roman" w:hAnsi="Times New Roman"/>
          <w:sz w:val="24"/>
        </w:rPr>
        <w:t>根据建设项目对地下水环境影响程度，结合《建设项目环境影响评价分类管理名录》，将建设项目分为四类，其中I类、</w:t>
      </w:r>
      <w:r>
        <w:rPr>
          <w:rFonts w:hint="eastAsia" w:ascii="Times New Roman" w:hAnsi="Times New Roman"/>
          <w:sz w:val="24"/>
          <w:lang w:eastAsia="zh-CN"/>
        </w:rPr>
        <w:t>Ⅱ类</w:t>
      </w:r>
      <w:r>
        <w:rPr>
          <w:rFonts w:ascii="Times New Roman" w:hAnsi="Times New Roman"/>
          <w:sz w:val="24"/>
        </w:rPr>
        <w:t>及III类建设项目的地下水环境影响评价应执行本标准，</w:t>
      </w:r>
      <w:r>
        <w:rPr>
          <w:rFonts w:hint="eastAsia" w:ascii="Times New Roman" w:hAnsi="Times New Roman"/>
          <w:sz w:val="24"/>
          <w:lang w:eastAsia="zh-CN"/>
        </w:rPr>
        <w:t>Ⅳ类</w:t>
      </w:r>
      <w:r>
        <w:rPr>
          <w:rFonts w:ascii="Times New Roman" w:hAnsi="Times New Roman"/>
          <w:sz w:val="24"/>
        </w:rPr>
        <w:t>建设项目不开展地下水环境影响评价，分类见《环境影响评价技 术导则-地下水环境》（HJ610-2016）附录A（以下简称附录A）。</w:t>
      </w:r>
    </w:p>
    <w:p>
      <w:pPr>
        <w:pStyle w:val="14"/>
        <w:overflowPunct w:val="0"/>
        <w:spacing w:line="360" w:lineRule="auto"/>
        <w:ind w:right="274" w:firstLine="480" w:firstLineChars="200"/>
        <w:rPr>
          <w:rFonts w:ascii="Times New Roman" w:hAnsi="Times New Roman"/>
          <w:sz w:val="24"/>
        </w:rPr>
      </w:pPr>
      <w:r>
        <w:rPr>
          <w:rFonts w:ascii="Times New Roman" w:hAnsi="Times New Roman"/>
          <w:sz w:val="24"/>
        </w:rPr>
        <w:t>依据附录A，本项目归类为A中D煤炭。其中，煤矸石转场为属</w:t>
      </w:r>
      <w:r>
        <w:rPr>
          <w:rFonts w:hint="eastAsia" w:ascii="Times New Roman" w:hAnsi="Times New Roman"/>
          <w:sz w:val="24"/>
          <w:lang w:eastAsia="zh-CN"/>
        </w:rPr>
        <w:t>Ⅱ类</w:t>
      </w:r>
      <w:r>
        <w:rPr>
          <w:rFonts w:ascii="Times New Roman" w:hAnsi="Times New Roman"/>
          <w:sz w:val="24"/>
        </w:rPr>
        <w:t>项目，矿山建设等属III类项目。项目分类见下表5.1-</w:t>
      </w:r>
      <w:r>
        <w:rPr>
          <w:rFonts w:hint="eastAsia" w:ascii="Times New Roman" w:hAnsi="Times New Roman"/>
          <w:sz w:val="24"/>
          <w:lang w:eastAsia="zh-CN"/>
        </w:rPr>
        <w:t>3</w:t>
      </w:r>
      <w:r>
        <w:rPr>
          <w:rFonts w:ascii="Times New Roman" w:hAnsi="Times New Roman"/>
          <w:sz w:val="24"/>
        </w:rPr>
        <w:t>：</w:t>
      </w:r>
    </w:p>
    <w:p>
      <w:pPr>
        <w:pStyle w:val="14"/>
        <w:tabs>
          <w:tab w:val="left" w:pos="3718"/>
        </w:tabs>
        <w:overflowPunct w:val="0"/>
        <w:spacing w:line="360" w:lineRule="auto"/>
        <w:jc w:val="center"/>
        <w:rPr>
          <w:rFonts w:ascii="Times New Roman" w:hAnsi="Times New Roman"/>
          <w:b/>
          <w:bCs w:val="0"/>
          <w:spacing w:val="-2"/>
          <w:sz w:val="21"/>
          <w:szCs w:val="21"/>
        </w:rPr>
      </w:pPr>
      <w:r>
        <w:rPr>
          <w:rFonts w:ascii="Times New Roman" w:hAnsi="Times New Roman"/>
          <w:b/>
          <w:bCs w:val="0"/>
          <w:spacing w:val="-2"/>
          <w:sz w:val="21"/>
          <w:szCs w:val="21"/>
        </w:rPr>
        <w:t>表5.1-</w:t>
      </w:r>
      <w:r>
        <w:rPr>
          <w:rFonts w:hint="eastAsia" w:ascii="Times New Roman" w:hAnsi="Times New Roman"/>
          <w:b/>
          <w:bCs w:val="0"/>
          <w:spacing w:val="-2"/>
          <w:sz w:val="21"/>
          <w:szCs w:val="21"/>
        </w:rPr>
        <w:t>3</w:t>
      </w:r>
      <w:r>
        <w:rPr>
          <w:rFonts w:ascii="Times New Roman" w:hAnsi="Times New Roman"/>
          <w:b/>
          <w:bCs w:val="0"/>
          <w:spacing w:val="-2"/>
          <w:sz w:val="21"/>
          <w:szCs w:val="21"/>
        </w:rPr>
        <w:t xml:space="preserve"> 建设项目所属地下水环境影响评价项目类别</w:t>
      </w:r>
    </w:p>
    <w:tbl>
      <w:tblPr>
        <w:tblStyle w:val="33"/>
        <w:tblW w:w="91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52"/>
        <w:gridCol w:w="2088"/>
        <w:gridCol w:w="2762"/>
        <w:gridCol w:w="22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52" w:type="dxa"/>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b/>
                <w:bCs/>
                <w:kern w:val="2"/>
                <w:szCs w:val="21"/>
                <w:lang w:eastAsia="zh-CN"/>
              </w:rPr>
            </w:pPr>
            <w:r>
              <w:rPr>
                <w:rFonts w:hint="eastAsia" w:hAnsi="Times New Roman" w:eastAsia="宋体"/>
                <w:b/>
                <w:bCs/>
                <w:kern w:val="2"/>
                <w:szCs w:val="21"/>
                <w:lang w:eastAsia="zh-CN"/>
              </w:rPr>
              <w:t>环评类别行业类别</w:t>
            </w:r>
          </w:p>
        </w:tc>
        <w:tc>
          <w:tcPr>
            <w:tcW w:w="2088" w:type="dxa"/>
            <w:vMerge w:val="restart"/>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b/>
                <w:bCs/>
                <w:kern w:val="2"/>
                <w:szCs w:val="21"/>
              </w:rPr>
            </w:pPr>
            <w:r>
              <w:rPr>
                <w:rFonts w:hint="eastAsia" w:hAnsi="Times New Roman" w:eastAsia="宋体"/>
                <w:b/>
                <w:bCs/>
                <w:kern w:val="2"/>
                <w:szCs w:val="21"/>
              </w:rPr>
              <w:t>地下水环境影响评价项目类别</w:t>
            </w:r>
          </w:p>
        </w:tc>
        <w:tc>
          <w:tcPr>
            <w:tcW w:w="4980" w:type="dxa"/>
            <w:gridSpan w:val="2"/>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b/>
                <w:bCs/>
                <w:kern w:val="2"/>
                <w:szCs w:val="21"/>
              </w:rPr>
            </w:pPr>
            <w:r>
              <w:rPr>
                <w:rFonts w:hint="eastAsia" w:hAnsi="Times New Roman" w:eastAsia="宋体"/>
                <w:b/>
                <w:bCs/>
                <w:kern w:val="2"/>
                <w:szCs w:val="21"/>
              </w:rPr>
              <w:t>本项目建设内容及项目类型识别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52" w:type="dxa"/>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b/>
                <w:bCs/>
                <w:kern w:val="2"/>
                <w:szCs w:val="21"/>
                <w:lang w:eastAsia="zh-CN"/>
              </w:rPr>
            </w:pPr>
            <w:r>
              <w:rPr>
                <w:rFonts w:hint="eastAsia" w:hAnsi="Times New Roman" w:eastAsia="宋体"/>
                <w:b/>
                <w:bCs/>
                <w:kern w:val="2"/>
                <w:szCs w:val="21"/>
                <w:lang w:eastAsia="zh-CN"/>
              </w:rPr>
              <w:t>D煤炭</w:t>
            </w:r>
          </w:p>
        </w:tc>
        <w:tc>
          <w:tcPr>
            <w:tcW w:w="2088" w:type="dxa"/>
            <w:vMerge w:val="continue"/>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b/>
                <w:bCs/>
                <w:kern w:val="2"/>
                <w:szCs w:val="21"/>
              </w:rPr>
            </w:pPr>
          </w:p>
        </w:tc>
        <w:tc>
          <w:tcPr>
            <w:tcW w:w="2762" w:type="dxa"/>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b/>
                <w:bCs/>
                <w:kern w:val="2"/>
                <w:szCs w:val="21"/>
                <w:lang w:eastAsia="zh-CN"/>
              </w:rPr>
            </w:pPr>
            <w:r>
              <w:rPr>
                <w:rFonts w:hint="eastAsia" w:hAnsi="Times New Roman" w:eastAsia="宋体"/>
                <w:b/>
                <w:bCs/>
                <w:kern w:val="2"/>
                <w:szCs w:val="21"/>
                <w:lang w:eastAsia="zh-CN"/>
              </w:rPr>
              <w:t>建设内容</w:t>
            </w:r>
          </w:p>
        </w:tc>
        <w:tc>
          <w:tcPr>
            <w:tcW w:w="2218" w:type="dxa"/>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b/>
                <w:bCs/>
                <w:kern w:val="2"/>
                <w:szCs w:val="21"/>
                <w:lang w:eastAsia="zh-CN"/>
              </w:rPr>
            </w:pPr>
            <w:r>
              <w:rPr>
                <w:rFonts w:hint="eastAsia" w:hAnsi="Times New Roman" w:eastAsia="宋体"/>
                <w:b/>
                <w:bCs/>
                <w:kern w:val="2"/>
                <w:szCs w:val="21"/>
                <w:lang w:eastAsia="zh-CN"/>
              </w:rPr>
              <w:t>项目类型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52" w:type="dxa"/>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lang w:eastAsia="zh-CN"/>
              </w:rPr>
            </w:pPr>
            <w:r>
              <w:rPr>
                <w:rFonts w:hint="eastAsia" w:hAnsi="Times New Roman" w:eastAsia="宋体"/>
                <w:kern w:val="2"/>
                <w:szCs w:val="21"/>
                <w:lang w:eastAsia="zh-CN"/>
              </w:rPr>
              <w:t>煤炭开采</w:t>
            </w:r>
          </w:p>
        </w:tc>
        <w:tc>
          <w:tcPr>
            <w:tcW w:w="2088" w:type="dxa"/>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lang w:eastAsia="zh-CN"/>
              </w:rPr>
            </w:pPr>
            <w:r>
              <w:rPr>
                <w:rFonts w:hint="eastAsia" w:hAnsi="Times New Roman" w:eastAsia="宋体"/>
                <w:kern w:val="2"/>
                <w:szCs w:val="21"/>
                <w:lang w:eastAsia="zh-CN"/>
              </w:rPr>
              <w:t>煤矸石转场Ⅱ类，其余Ⅲ类</w:t>
            </w:r>
          </w:p>
        </w:tc>
        <w:tc>
          <w:tcPr>
            <w:tcW w:w="2762" w:type="dxa"/>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采用地下开采方式，将煤矸石堆存至煤矸石转运场，煤矸石外售作为建材（制砖）</w:t>
            </w:r>
          </w:p>
        </w:tc>
        <w:tc>
          <w:tcPr>
            <w:tcW w:w="2218" w:type="dxa"/>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1"/>
              </w:rPr>
            </w:pPr>
            <w:r>
              <w:rPr>
                <w:rFonts w:hint="eastAsia" w:hAnsi="Times New Roman" w:eastAsia="宋体"/>
                <w:kern w:val="2"/>
                <w:szCs w:val="21"/>
              </w:rPr>
              <w:t>矿山开采及其辅助工程属于Ⅲ类项目，煤矸石转运场属于</w:t>
            </w:r>
            <w:r>
              <w:rPr>
                <w:rFonts w:hint="eastAsia" w:hAnsi="Times New Roman" w:eastAsia="宋体"/>
                <w:kern w:val="2"/>
                <w:szCs w:val="21"/>
                <w:lang w:eastAsia="zh-CN"/>
              </w:rPr>
              <w:t>Ⅱ类</w:t>
            </w:r>
            <w:r>
              <w:rPr>
                <w:rFonts w:hint="eastAsia" w:hAnsi="Times New Roman" w:eastAsia="宋体"/>
                <w:kern w:val="2"/>
                <w:szCs w:val="21"/>
              </w:rPr>
              <w:t>项目</w:t>
            </w:r>
          </w:p>
        </w:tc>
      </w:tr>
    </w:tbl>
    <w:p>
      <w:pPr>
        <w:pStyle w:val="14"/>
        <w:overflowPunct w:val="0"/>
        <w:spacing w:line="360" w:lineRule="auto"/>
        <w:ind w:right="104" w:firstLine="480" w:firstLineChars="200"/>
        <w:rPr>
          <w:rFonts w:ascii="Times New Roman" w:hAnsi="Times New Roman"/>
          <w:bCs w:val="0"/>
          <w:sz w:val="24"/>
        </w:rPr>
      </w:pPr>
      <w:r>
        <w:rPr>
          <w:rFonts w:ascii="Times New Roman" w:hAnsi="Times New Roman"/>
          <w:bCs w:val="0"/>
          <w:sz w:val="24"/>
        </w:rPr>
        <w:t>（2）项目地下水环境影响识别</w:t>
      </w:r>
    </w:p>
    <w:p>
      <w:pPr>
        <w:pStyle w:val="14"/>
        <w:overflowPunct w:val="0"/>
        <w:spacing w:line="360" w:lineRule="auto"/>
        <w:ind w:right="274" w:firstLine="480" w:firstLineChars="200"/>
        <w:rPr>
          <w:rFonts w:ascii="Times New Roman" w:hAnsi="Times New Roman"/>
          <w:sz w:val="24"/>
        </w:rPr>
      </w:pPr>
      <w:r>
        <w:rPr>
          <w:rFonts w:ascii="Times New Roman" w:hAnsi="Times New Roman"/>
          <w:sz w:val="24"/>
        </w:rPr>
        <w:t>根据工程分析，本项目运行期对地下水环境的影响包括两个方面：</w:t>
      </w:r>
    </w:p>
    <w:p>
      <w:pPr>
        <w:pStyle w:val="14"/>
        <w:overflowPunct w:val="0"/>
        <w:spacing w:line="360" w:lineRule="auto"/>
        <w:ind w:right="104" w:firstLine="480" w:firstLineChars="200"/>
        <w:rPr>
          <w:rFonts w:ascii="Times New Roman" w:hAnsi="Times New Roman"/>
          <w:bCs w:val="0"/>
          <w:sz w:val="24"/>
        </w:rPr>
      </w:pPr>
      <w:r>
        <w:rPr>
          <w:rFonts w:ascii="Times New Roman" w:hAnsi="Times New Roman"/>
          <w:bCs w:val="0"/>
          <w:sz w:val="24"/>
        </w:rPr>
        <w:t>1）项目运行对地下水资源量的影响</w:t>
      </w:r>
    </w:p>
    <w:p>
      <w:pPr>
        <w:pStyle w:val="14"/>
        <w:overflowPunct w:val="0"/>
        <w:spacing w:line="360" w:lineRule="auto"/>
        <w:ind w:right="274" w:firstLine="480" w:firstLineChars="200"/>
        <w:rPr>
          <w:rFonts w:ascii="Times New Roman" w:hAnsi="Times New Roman"/>
          <w:sz w:val="24"/>
        </w:rPr>
      </w:pPr>
      <w:r>
        <w:rPr>
          <w:rFonts w:ascii="Times New Roman" w:hAnsi="Times New Roman"/>
          <w:sz w:val="24"/>
        </w:rPr>
        <w:t>随着项目地下开拓系统的形成和逐步完善及煤矿的开采，矿区范围内将形成以开拓系统及采掘煤矿层为中心的地下水集水廊道，伴随矿区内地下水的不断疏排，评价范围内会出现一定程度的地下水位下降和水资源流失，并可能对以地下水为饮用水源的居民产生影响。</w:t>
      </w:r>
    </w:p>
    <w:p>
      <w:pPr>
        <w:pStyle w:val="53"/>
        <w:ind w:firstLine="480"/>
        <w:rPr>
          <w:rFonts w:eastAsia="宋体"/>
        </w:rPr>
      </w:pPr>
      <w:r>
        <w:rPr>
          <w:rFonts w:eastAsia="宋体"/>
        </w:rPr>
        <w:t>2）项目运行对地下水水质的影响</w:t>
      </w:r>
    </w:p>
    <w:p>
      <w:pPr>
        <w:pStyle w:val="14"/>
        <w:overflowPunct w:val="0"/>
        <w:spacing w:line="360" w:lineRule="auto"/>
        <w:ind w:right="274" w:firstLine="480" w:firstLineChars="200"/>
        <w:rPr>
          <w:rFonts w:ascii="Times New Roman" w:hAnsi="Times New Roman"/>
          <w:sz w:val="24"/>
        </w:rPr>
      </w:pPr>
      <w:r>
        <w:rPr>
          <w:rFonts w:ascii="Times New Roman" w:hAnsi="Times New Roman"/>
          <w:sz w:val="24"/>
        </w:rPr>
        <w:t>①项目运行过程中将煤矿开采过程中产生的煤矸石临时堆存至转运站，煤矸石受降雨淋滤后产生的淋滤液若收集处理不当，将下渗进入含水层对评价区地下水水质造成污染。污染因子统计见下表5.1-</w:t>
      </w:r>
      <w:r>
        <w:rPr>
          <w:rFonts w:hint="eastAsia" w:ascii="Times New Roman" w:hAnsi="Times New Roman"/>
          <w:sz w:val="24"/>
          <w:lang w:eastAsia="zh-CN"/>
        </w:rPr>
        <w:t>4</w:t>
      </w:r>
      <w:r>
        <w:rPr>
          <w:rFonts w:ascii="Times New Roman" w:hAnsi="Times New Roman"/>
          <w:sz w:val="24"/>
        </w:rPr>
        <w:t>：矿井水的主要污染物为含有一定数量的煤粉、岩粉及少量的颗粒状污染物。</w:t>
      </w:r>
    </w:p>
    <w:p>
      <w:pPr>
        <w:pStyle w:val="14"/>
        <w:tabs>
          <w:tab w:val="left" w:pos="3718"/>
        </w:tabs>
        <w:overflowPunct w:val="0"/>
        <w:spacing w:line="360" w:lineRule="auto"/>
        <w:jc w:val="center"/>
        <w:rPr>
          <w:rFonts w:ascii="Times New Roman" w:hAnsi="Times New Roman"/>
          <w:b/>
          <w:bCs w:val="0"/>
          <w:spacing w:val="-2"/>
          <w:sz w:val="21"/>
          <w:szCs w:val="21"/>
        </w:rPr>
      </w:pPr>
      <w:r>
        <w:rPr>
          <w:rFonts w:ascii="Times New Roman" w:hAnsi="Times New Roman"/>
          <w:b/>
          <w:bCs w:val="0"/>
          <w:spacing w:val="-2"/>
          <w:sz w:val="21"/>
          <w:szCs w:val="21"/>
        </w:rPr>
        <w:t>表5.1-</w:t>
      </w:r>
      <w:r>
        <w:rPr>
          <w:rFonts w:hint="eastAsia" w:ascii="Times New Roman" w:hAnsi="Times New Roman"/>
          <w:b/>
          <w:bCs w:val="0"/>
          <w:spacing w:val="-2"/>
          <w:sz w:val="21"/>
          <w:szCs w:val="21"/>
          <w:lang w:eastAsia="zh-CN"/>
        </w:rPr>
        <w:t>4</w:t>
      </w:r>
      <w:r>
        <w:rPr>
          <w:rFonts w:ascii="Times New Roman" w:hAnsi="Times New Roman"/>
          <w:b/>
          <w:bCs w:val="0"/>
          <w:spacing w:val="-2"/>
          <w:sz w:val="21"/>
          <w:szCs w:val="21"/>
        </w:rPr>
        <w:t xml:space="preserve"> 各产物构筑物及污染因子统计表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174"/>
        <w:gridCol w:w="1652"/>
        <w:gridCol w:w="2100"/>
        <w:gridCol w:w="32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1190" w:type="pct"/>
          </w:tcPr>
          <w:p>
            <w:pPr>
              <w:pStyle w:val="62"/>
              <w:keepNext w:val="0"/>
              <w:keepLines w:val="0"/>
              <w:suppressLineNumbers w:val="0"/>
              <w:spacing w:before="0" w:beforeAutospacing="0" w:after="0" w:afterAutospacing="0"/>
              <w:ind w:left="0" w:right="0"/>
              <w:rPr>
                <w:rFonts w:hint="eastAsia" w:hAnsi="Times New Roman" w:eastAsia="宋体"/>
                <w:b/>
                <w:kern w:val="2"/>
                <w:szCs w:val="22"/>
              </w:rPr>
            </w:pPr>
            <w:r>
              <w:rPr>
                <w:rFonts w:hint="eastAsia" w:hAnsi="Times New Roman" w:eastAsia="宋体"/>
                <w:b/>
                <w:kern w:val="2"/>
                <w:szCs w:val="22"/>
              </w:rPr>
              <w:t>产污构筑物</w:t>
            </w:r>
          </w:p>
        </w:tc>
        <w:tc>
          <w:tcPr>
            <w:tcW w:w="904" w:type="pct"/>
          </w:tcPr>
          <w:p>
            <w:pPr>
              <w:pStyle w:val="62"/>
              <w:keepNext w:val="0"/>
              <w:keepLines w:val="0"/>
              <w:suppressLineNumbers w:val="0"/>
              <w:spacing w:before="0" w:beforeAutospacing="0" w:after="0" w:afterAutospacing="0"/>
              <w:ind w:left="0" w:right="0"/>
              <w:rPr>
                <w:rFonts w:hint="eastAsia" w:hAnsi="Times New Roman" w:eastAsia="宋体"/>
                <w:b/>
                <w:kern w:val="2"/>
                <w:szCs w:val="22"/>
              </w:rPr>
            </w:pPr>
            <w:r>
              <w:rPr>
                <w:rFonts w:hint="eastAsia" w:hAnsi="Times New Roman" w:eastAsia="宋体"/>
                <w:b/>
                <w:kern w:val="2"/>
                <w:szCs w:val="22"/>
              </w:rPr>
              <w:t>数量</w:t>
            </w:r>
          </w:p>
        </w:tc>
        <w:tc>
          <w:tcPr>
            <w:tcW w:w="1149" w:type="pct"/>
          </w:tcPr>
          <w:p>
            <w:pPr>
              <w:pStyle w:val="62"/>
              <w:keepNext w:val="0"/>
              <w:keepLines w:val="0"/>
              <w:suppressLineNumbers w:val="0"/>
              <w:spacing w:before="0" w:beforeAutospacing="0" w:after="0" w:afterAutospacing="0"/>
              <w:ind w:left="0" w:right="0"/>
              <w:rPr>
                <w:rFonts w:hint="eastAsia" w:hAnsi="Times New Roman" w:eastAsia="宋体"/>
                <w:b/>
                <w:kern w:val="2"/>
                <w:szCs w:val="22"/>
              </w:rPr>
            </w:pPr>
            <w:r>
              <w:rPr>
                <w:rFonts w:hint="eastAsia" w:hAnsi="Times New Roman" w:eastAsia="宋体"/>
                <w:b/>
                <w:kern w:val="2"/>
                <w:szCs w:val="22"/>
              </w:rPr>
              <w:t>占地面积（m</w:t>
            </w:r>
            <w:r>
              <w:rPr>
                <w:rFonts w:hint="eastAsia" w:hAnsi="Times New Roman" w:eastAsia="宋体"/>
                <w:b/>
                <w:kern w:val="2"/>
                <w:szCs w:val="22"/>
                <w:vertAlign w:val="superscript"/>
              </w:rPr>
              <w:t>2</w:t>
            </w:r>
            <w:r>
              <w:rPr>
                <w:rFonts w:hint="eastAsia" w:hAnsi="Times New Roman" w:eastAsia="宋体"/>
                <w:b/>
                <w:kern w:val="2"/>
                <w:szCs w:val="22"/>
              </w:rPr>
              <w:t>）</w:t>
            </w:r>
          </w:p>
        </w:tc>
        <w:tc>
          <w:tcPr>
            <w:tcW w:w="1757" w:type="pct"/>
          </w:tcPr>
          <w:p>
            <w:pPr>
              <w:pStyle w:val="62"/>
              <w:keepNext w:val="0"/>
              <w:keepLines w:val="0"/>
              <w:suppressLineNumbers w:val="0"/>
              <w:spacing w:before="0" w:beforeAutospacing="0" w:after="0" w:afterAutospacing="0"/>
              <w:ind w:left="0" w:right="0"/>
              <w:rPr>
                <w:rFonts w:hint="eastAsia" w:hAnsi="Times New Roman" w:eastAsia="宋体"/>
                <w:b/>
                <w:kern w:val="2"/>
                <w:szCs w:val="22"/>
              </w:rPr>
            </w:pPr>
            <w:r>
              <w:rPr>
                <w:rFonts w:hint="eastAsia" w:hAnsi="Times New Roman" w:eastAsia="宋体"/>
                <w:b/>
                <w:kern w:val="2"/>
                <w:szCs w:val="22"/>
              </w:rPr>
              <w:t>污染因子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9" w:hRule="exact"/>
          <w:jc w:val="center"/>
        </w:trPr>
        <w:tc>
          <w:tcPr>
            <w:tcW w:w="1190" w:type="pct"/>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煤矸石转场</w:t>
            </w:r>
          </w:p>
        </w:tc>
        <w:tc>
          <w:tcPr>
            <w:tcW w:w="904" w:type="pct"/>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1</w:t>
            </w:r>
          </w:p>
        </w:tc>
        <w:tc>
          <w:tcPr>
            <w:tcW w:w="1149" w:type="pct"/>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200</w:t>
            </w:r>
          </w:p>
        </w:tc>
        <w:tc>
          <w:tcPr>
            <w:tcW w:w="1757" w:type="pct"/>
          </w:tcPr>
          <w:p>
            <w:pPr>
              <w:pStyle w:val="62"/>
              <w:keepNext w:val="0"/>
              <w:keepLines w:val="0"/>
              <w:suppressLineNumbers w:val="0"/>
              <w:spacing w:before="0" w:beforeAutospacing="0" w:after="0" w:afterAutospacing="0"/>
              <w:ind w:left="0" w:right="0"/>
              <w:rPr>
                <w:rFonts w:hint="eastAsia" w:hAnsi="Times New Roman" w:eastAsia="宋体"/>
                <w:kern w:val="2"/>
                <w:szCs w:val="22"/>
                <w:lang w:eastAsia="zh-CN"/>
              </w:rPr>
            </w:pPr>
            <w:r>
              <w:rPr>
                <w:rFonts w:hint="eastAsia" w:hAnsi="Times New Roman" w:eastAsia="宋体"/>
                <w:kern w:val="2"/>
                <w:szCs w:val="22"/>
                <w:lang w:eastAsia="zh-CN"/>
              </w:rPr>
              <w:t>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exact"/>
          <w:jc w:val="center"/>
        </w:trPr>
        <w:tc>
          <w:tcPr>
            <w:tcW w:w="1190" w:type="pct"/>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水处理站</w:t>
            </w:r>
          </w:p>
        </w:tc>
        <w:tc>
          <w:tcPr>
            <w:tcW w:w="904" w:type="pct"/>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1</w:t>
            </w:r>
          </w:p>
        </w:tc>
        <w:tc>
          <w:tcPr>
            <w:tcW w:w="1149" w:type="pct"/>
          </w:tcPr>
          <w:p>
            <w:pPr>
              <w:pStyle w:val="62"/>
              <w:keepNext w:val="0"/>
              <w:keepLines w:val="0"/>
              <w:suppressLineNumbers w:val="0"/>
              <w:spacing w:before="0" w:beforeAutospacing="0" w:after="0" w:afterAutospacing="0"/>
              <w:ind w:left="0" w:right="0"/>
              <w:rPr>
                <w:rFonts w:hint="eastAsia" w:hAnsi="Times New Roman" w:eastAsia="宋体"/>
                <w:kern w:val="2"/>
                <w:szCs w:val="22"/>
                <w:lang w:eastAsia="zh-CN"/>
              </w:rPr>
            </w:pPr>
            <w:r>
              <w:rPr>
                <w:rFonts w:hint="eastAsia" w:hAnsi="Times New Roman" w:eastAsia="宋体"/>
                <w:kern w:val="2"/>
                <w:szCs w:val="22"/>
                <w:lang w:eastAsia="zh-CN"/>
              </w:rPr>
              <w:t>50</w:t>
            </w:r>
          </w:p>
        </w:tc>
        <w:tc>
          <w:tcPr>
            <w:tcW w:w="1757" w:type="pct"/>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石油类</w:t>
            </w:r>
            <w:r>
              <w:rPr>
                <w:rFonts w:hint="eastAsia"/>
                <w:kern w:val="2"/>
                <w:szCs w:val="22"/>
              </w:rPr>
              <w:t>、COD</w:t>
            </w:r>
          </w:p>
        </w:tc>
      </w:tr>
    </w:tbl>
    <w:p>
      <w:pPr>
        <w:pStyle w:val="53"/>
        <w:ind w:firstLine="480"/>
        <w:rPr>
          <w:rFonts w:eastAsia="宋体"/>
        </w:rPr>
      </w:pPr>
      <w:r>
        <w:rPr>
          <w:rFonts w:eastAsia="宋体"/>
        </w:rPr>
        <w:t>②机修间</w:t>
      </w:r>
    </w:p>
    <w:p>
      <w:pPr>
        <w:pStyle w:val="14"/>
        <w:overflowPunct w:val="0"/>
        <w:spacing w:line="360" w:lineRule="auto"/>
        <w:ind w:right="274" w:firstLine="480" w:firstLineChars="200"/>
        <w:rPr>
          <w:rFonts w:ascii="Times New Roman" w:hAnsi="Times New Roman"/>
          <w:sz w:val="24"/>
        </w:rPr>
      </w:pPr>
      <w:r>
        <w:rPr>
          <w:rFonts w:ascii="Times New Roman" w:hAnsi="Times New Roman"/>
          <w:sz w:val="24"/>
        </w:rPr>
        <w:t>本项目在工业场地设置无轨设备机修间，在维修设备过程可能产生油类物质的跑冒滴漏，其下渗可能造成地下水水质污染。</w:t>
      </w:r>
    </w:p>
    <w:p>
      <w:pPr>
        <w:pStyle w:val="6"/>
      </w:pPr>
      <w:bookmarkStart w:id="285" w:name="_Toc163812588"/>
      <w:bookmarkStart w:id="286" w:name="_Toc167095211"/>
      <w:r>
        <w:t>5.1.4评价工作等级</w:t>
      </w:r>
      <w:bookmarkEnd w:id="285"/>
      <w:bookmarkEnd w:id="286"/>
    </w:p>
    <w:p>
      <w:pPr>
        <w:ind w:firstLine="480"/>
        <w:rPr>
          <w:rFonts w:hAnsi="Times New Roman" w:eastAsia="宋体"/>
        </w:rPr>
      </w:pPr>
      <w:r>
        <w:rPr>
          <w:rFonts w:hAnsi="Times New Roman" w:eastAsia="宋体"/>
        </w:rPr>
        <w:t>地下水</w:t>
      </w:r>
      <w:r>
        <w:rPr>
          <w:rFonts w:hint="eastAsia" w:hAnsi="Times New Roman" w:eastAsia="宋体"/>
          <w:lang w:eastAsia="zh-CN"/>
        </w:rPr>
        <w:t>环境影响评价</w:t>
      </w:r>
      <w:r>
        <w:rPr>
          <w:rFonts w:hAnsi="Times New Roman" w:eastAsia="宋体"/>
        </w:rPr>
        <w:t>等级的划分应依据建设项目行业分类和地下水环境敏感程度分级进行判定，具体见下表5.1-</w:t>
      </w:r>
      <w:r>
        <w:rPr>
          <w:rFonts w:hint="eastAsia" w:hAnsi="Times New Roman" w:eastAsia="宋体"/>
          <w:lang w:eastAsia="zh-CN"/>
        </w:rPr>
        <w:t>5</w:t>
      </w:r>
      <w:r>
        <w:rPr>
          <w:rFonts w:hAnsi="Times New Roman" w:eastAsia="宋体"/>
        </w:rPr>
        <w:t xml:space="preserve"> 和表5.1-</w:t>
      </w:r>
      <w:r>
        <w:rPr>
          <w:rFonts w:hint="eastAsia" w:hAnsi="Times New Roman" w:eastAsia="宋体"/>
          <w:lang w:eastAsia="zh-CN"/>
        </w:rPr>
        <w:t>6</w:t>
      </w:r>
      <w:r>
        <w:rPr>
          <w:rFonts w:hAnsi="Times New Roman" w:eastAsia="宋体"/>
        </w:rPr>
        <w:t>：</w:t>
      </w:r>
    </w:p>
    <w:p>
      <w:pPr>
        <w:pStyle w:val="14"/>
        <w:tabs>
          <w:tab w:val="left" w:pos="3718"/>
        </w:tabs>
        <w:overflowPunct w:val="0"/>
        <w:spacing w:line="360" w:lineRule="auto"/>
        <w:jc w:val="center"/>
        <w:rPr>
          <w:rFonts w:ascii="Times New Roman" w:hAnsi="Times New Roman"/>
          <w:b/>
          <w:bCs w:val="0"/>
          <w:spacing w:val="-2"/>
          <w:sz w:val="21"/>
          <w:szCs w:val="21"/>
        </w:rPr>
      </w:pPr>
      <w:r>
        <w:rPr>
          <w:rFonts w:ascii="Times New Roman" w:hAnsi="Times New Roman"/>
          <w:b/>
          <w:bCs w:val="0"/>
          <w:spacing w:val="-2"/>
          <w:sz w:val="21"/>
          <w:szCs w:val="21"/>
        </w:rPr>
        <w:t>表5.1-</w:t>
      </w:r>
      <w:r>
        <w:rPr>
          <w:rFonts w:hint="eastAsia" w:ascii="Times New Roman" w:hAnsi="Times New Roman"/>
          <w:b/>
          <w:bCs w:val="0"/>
          <w:spacing w:val="-2"/>
          <w:sz w:val="21"/>
          <w:szCs w:val="21"/>
        </w:rPr>
        <w:t>5</w:t>
      </w:r>
      <w:r>
        <w:rPr>
          <w:rFonts w:ascii="Times New Roman" w:hAnsi="Times New Roman"/>
          <w:b/>
          <w:bCs w:val="0"/>
          <w:spacing w:val="-2"/>
          <w:sz w:val="21"/>
          <w:szCs w:val="21"/>
        </w:rPr>
        <w:t xml:space="preserve"> 地下水环境敏感程度分级表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56"/>
        <w:gridCol w:w="3644"/>
        <w:gridCol w:w="39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940" w:type="pct"/>
            <w:vAlign w:val="center"/>
          </w:tcPr>
          <w:p>
            <w:pPr>
              <w:pStyle w:val="62"/>
              <w:keepNext w:val="0"/>
              <w:keepLines w:val="0"/>
              <w:suppressLineNumbers w:val="0"/>
              <w:spacing w:before="0" w:beforeAutospacing="0" w:after="0" w:afterAutospacing="0" w:line="260" w:lineRule="exact"/>
              <w:ind w:left="0" w:right="0"/>
              <w:rPr>
                <w:rFonts w:hint="eastAsia" w:hAnsi="Times New Roman" w:eastAsia="宋体"/>
                <w:b/>
                <w:kern w:val="2"/>
                <w:szCs w:val="21"/>
              </w:rPr>
            </w:pPr>
            <w:r>
              <w:rPr>
                <w:rFonts w:hint="eastAsia" w:hAnsi="Times New Roman" w:eastAsia="宋体"/>
                <w:b/>
                <w:kern w:val="2"/>
                <w:szCs w:val="21"/>
              </w:rPr>
              <w:t>分级</w:t>
            </w:r>
          </w:p>
        </w:tc>
        <w:tc>
          <w:tcPr>
            <w:tcW w:w="1950" w:type="pct"/>
            <w:vAlign w:val="center"/>
          </w:tcPr>
          <w:p>
            <w:pPr>
              <w:pStyle w:val="62"/>
              <w:keepNext w:val="0"/>
              <w:keepLines w:val="0"/>
              <w:suppressLineNumbers w:val="0"/>
              <w:spacing w:before="0" w:beforeAutospacing="0" w:after="0" w:afterAutospacing="0" w:line="260" w:lineRule="exact"/>
              <w:ind w:left="0" w:right="0"/>
              <w:rPr>
                <w:rFonts w:hint="eastAsia" w:hAnsi="Times New Roman" w:eastAsia="宋体"/>
                <w:b/>
                <w:kern w:val="2"/>
                <w:szCs w:val="21"/>
              </w:rPr>
            </w:pPr>
            <w:r>
              <w:rPr>
                <w:rFonts w:hint="eastAsia" w:hAnsi="Times New Roman" w:eastAsia="宋体"/>
                <w:b/>
                <w:kern w:val="2"/>
                <w:szCs w:val="21"/>
              </w:rPr>
              <w:t>项目场地的地下水环境敏感特征</w:t>
            </w:r>
          </w:p>
        </w:tc>
        <w:tc>
          <w:tcPr>
            <w:tcW w:w="2110" w:type="pct"/>
            <w:vAlign w:val="center"/>
          </w:tcPr>
          <w:p>
            <w:pPr>
              <w:pStyle w:val="62"/>
              <w:keepNext w:val="0"/>
              <w:keepLines w:val="0"/>
              <w:suppressLineNumbers w:val="0"/>
              <w:spacing w:before="0" w:beforeAutospacing="0" w:after="0" w:afterAutospacing="0" w:line="260" w:lineRule="exact"/>
              <w:ind w:left="0" w:right="0"/>
              <w:rPr>
                <w:rFonts w:hint="eastAsia" w:hAnsi="Times New Roman" w:eastAsia="宋体"/>
                <w:b/>
                <w:kern w:val="2"/>
                <w:szCs w:val="21"/>
              </w:rPr>
            </w:pPr>
            <w:r>
              <w:rPr>
                <w:rFonts w:hint="eastAsia" w:hAnsi="Times New Roman" w:eastAsia="宋体"/>
                <w:b/>
                <w:kern w:val="2"/>
                <w:szCs w:val="21"/>
              </w:rPr>
              <w:t>本项目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940" w:type="pct"/>
            <w:vAlign w:val="center"/>
          </w:tcPr>
          <w:p>
            <w:pPr>
              <w:pStyle w:val="62"/>
              <w:keepNext w:val="0"/>
              <w:keepLines w:val="0"/>
              <w:suppressLineNumbers w:val="0"/>
              <w:spacing w:before="0" w:beforeAutospacing="0" w:after="0" w:afterAutospacing="0" w:line="260" w:lineRule="exact"/>
              <w:ind w:left="0" w:right="0"/>
              <w:rPr>
                <w:rFonts w:hint="eastAsia" w:hAnsi="Times New Roman" w:eastAsia="宋体"/>
                <w:b/>
                <w:kern w:val="2"/>
                <w:szCs w:val="21"/>
              </w:rPr>
            </w:pPr>
            <w:r>
              <w:rPr>
                <w:rFonts w:hint="eastAsia" w:hAnsi="Times New Roman" w:eastAsia="宋体"/>
                <w:kern w:val="2"/>
                <w:szCs w:val="22"/>
              </w:rPr>
              <w:t>敏感</w:t>
            </w:r>
          </w:p>
        </w:tc>
        <w:tc>
          <w:tcPr>
            <w:tcW w:w="1950" w:type="pct"/>
            <w:vAlign w:val="center"/>
          </w:tcPr>
          <w:p>
            <w:pPr>
              <w:pStyle w:val="62"/>
              <w:keepNext w:val="0"/>
              <w:keepLines w:val="0"/>
              <w:suppressLineNumbers w:val="0"/>
              <w:spacing w:before="0" w:beforeAutospacing="0" w:after="0" w:afterAutospacing="0" w:line="260" w:lineRule="exact"/>
              <w:ind w:left="0" w:right="0"/>
              <w:rPr>
                <w:rFonts w:hint="eastAsia" w:hAnsi="Times New Roman" w:eastAsia="宋体"/>
                <w:b/>
                <w:kern w:val="2"/>
                <w:szCs w:val="21"/>
              </w:rPr>
            </w:pPr>
            <w:r>
              <w:rPr>
                <w:rFonts w:hint="eastAsia" w:hAnsi="Times New Roman" w:eastAsia="宋体"/>
                <w:kern w:val="2"/>
                <w:szCs w:val="22"/>
              </w:rPr>
              <w:t>集中式饮用水源地（包括已建成的在用、备用、应急水源地，在建和规划的水源地）准保护区；除集中式饮用水源地以外的国家或地方政府设定的与地下水环境</w:t>
            </w:r>
            <w:r>
              <w:rPr>
                <w:rFonts w:hint="eastAsia" w:hAnsi="Times New Roman" w:eastAsia="宋体"/>
                <w:kern w:val="2"/>
                <w:szCs w:val="22"/>
                <w:lang w:eastAsia="zh-CN"/>
              </w:rPr>
              <w:t>相关的其他</w:t>
            </w:r>
            <w:r>
              <w:rPr>
                <w:rFonts w:hint="eastAsia" w:hAnsi="Times New Roman" w:eastAsia="宋体"/>
                <w:kern w:val="2"/>
                <w:szCs w:val="22"/>
              </w:rPr>
              <w:t>保护区，如热水、矿泉水、温泉等特殊地下水资源保护区。</w:t>
            </w:r>
          </w:p>
        </w:tc>
        <w:tc>
          <w:tcPr>
            <w:tcW w:w="2110" w:type="pct"/>
            <w:vMerge w:val="restart"/>
            <w:vAlign w:val="center"/>
          </w:tcPr>
          <w:p>
            <w:pPr>
              <w:pStyle w:val="62"/>
              <w:keepNext w:val="0"/>
              <w:keepLines w:val="0"/>
              <w:suppressLineNumbers w:val="0"/>
              <w:spacing w:before="0" w:beforeAutospacing="0" w:after="0" w:afterAutospacing="0" w:line="260" w:lineRule="exact"/>
              <w:ind w:left="0" w:right="0"/>
              <w:rPr>
                <w:rFonts w:hint="eastAsia" w:hAnsi="Times New Roman" w:eastAsia="宋体"/>
                <w:b/>
                <w:kern w:val="2"/>
                <w:szCs w:val="21"/>
              </w:rPr>
            </w:pPr>
            <w:r>
              <w:rPr>
                <w:rFonts w:hint="eastAsia" w:hAnsi="Times New Roman" w:eastAsia="宋体"/>
                <w:bCs/>
                <w:kern w:val="2"/>
                <w:szCs w:val="21"/>
              </w:rPr>
              <w:t>根据现场调查，本项目评价范围内，矿区北东侧分布有纸厂沟村（距离 1220-1350m）、锁口庙村（距离 2550-2300m）；东侧陈家沟村（距离1050-1100m）、保和寨村（距离 785-800m）。</w:t>
            </w:r>
            <w:r>
              <w:rPr>
                <w:rFonts w:hint="eastAsia" w:hAnsi="Times New Roman" w:eastAsia="宋体"/>
                <w:bCs/>
                <w:kern w:val="2"/>
                <w:szCs w:val="21"/>
                <w:lang w:eastAsia="zh-CN"/>
              </w:rPr>
              <w:t>项目主井工业场地下游1km范围内虽然有</w:t>
            </w:r>
            <w:r>
              <w:rPr>
                <w:rFonts w:hint="eastAsia" w:hAnsi="Times New Roman" w:eastAsia="宋体"/>
                <w:kern w:val="2"/>
                <w:szCs w:val="21"/>
                <w:lang w:eastAsia="zh-CN"/>
              </w:rPr>
              <w:t>宣汉县天生镇王一庙（村级）集中式饮用水水源地存在，但项目</w:t>
            </w:r>
            <w:r>
              <w:rPr>
                <w:rFonts w:hint="eastAsia" w:hAnsi="Times New Roman" w:eastAsia="宋体"/>
                <w:kern w:val="2"/>
                <w:szCs w:val="21"/>
              </w:rPr>
              <w:t>矿井所处的须家河组第七段、六段、第五段砂岩为煤层顶底板直接充水含水层，珍珠冲组砂岩为煤层顶底板间接充水含水层，</w:t>
            </w:r>
            <w:r>
              <w:rPr>
                <w:rFonts w:hint="eastAsia" w:hAnsi="Times New Roman" w:eastAsia="宋体"/>
                <w:kern w:val="2"/>
                <w:szCs w:val="21"/>
                <w:lang w:eastAsia="zh-CN"/>
              </w:rPr>
              <w:t>故</w:t>
            </w:r>
            <w:r>
              <w:rPr>
                <w:rFonts w:hint="eastAsia" w:hAnsi="Times New Roman" w:eastAsia="宋体"/>
                <w:kern w:val="2"/>
                <w:szCs w:val="21"/>
              </w:rPr>
              <w:t>其排水主要来自须家河组第七段、第六段、第五段砂岩含水层（本次不开采K</w:t>
            </w:r>
            <w:r>
              <w:rPr>
                <w:rFonts w:hint="eastAsia" w:hAnsi="Times New Roman" w:eastAsia="宋体"/>
                <w:kern w:val="2"/>
                <w:szCs w:val="21"/>
                <w:vertAlign w:val="subscript"/>
              </w:rPr>
              <w:t>10</w:t>
            </w:r>
            <w:r>
              <w:rPr>
                <w:rFonts w:hint="eastAsia" w:hAnsi="Times New Roman" w:eastAsia="宋体"/>
                <w:kern w:val="2"/>
                <w:szCs w:val="21"/>
              </w:rPr>
              <w:t>煤层，基本不涉及煤层顶板间接充水含水层珍珠冲组砂岩），同时根据《宣汉县天生镇集中式饮用水水源地划分技术报告》，七里峡煤矿与王一庙（村级）集中式饮用水水源地含水层为侏罗系中统下沙溪庙组（J</w:t>
            </w:r>
            <w:r>
              <w:rPr>
                <w:rFonts w:hint="eastAsia" w:hAnsi="Times New Roman" w:eastAsia="宋体"/>
                <w:kern w:val="2"/>
                <w:szCs w:val="21"/>
                <w:vertAlign w:val="subscript"/>
              </w:rPr>
              <w:t>2</w:t>
            </w:r>
            <w:r>
              <w:rPr>
                <w:rFonts w:hint="eastAsia" w:hAnsi="Times New Roman" w:eastAsia="宋体"/>
                <w:kern w:val="2"/>
                <w:szCs w:val="21"/>
              </w:rPr>
              <w:t>s），碎屑岩类裂隙孔隙水为主，上部普遍为风化裂隙水，泉水流量0.01</w:t>
            </w:r>
            <w:r>
              <w:rPr>
                <w:rFonts w:hint="eastAsia" w:hAnsi="Times New Roman" w:eastAsia="宋体"/>
                <w:kern w:val="2"/>
                <w:szCs w:val="21"/>
                <w:lang w:eastAsia="zh-CN"/>
              </w:rPr>
              <w:t>～</w:t>
            </w:r>
            <w:r>
              <w:rPr>
                <w:rFonts w:hint="eastAsia" w:hAnsi="Times New Roman" w:eastAsia="宋体"/>
                <w:kern w:val="2"/>
                <w:szCs w:val="21"/>
              </w:rPr>
              <w:t>0.05升／秒，单井涌水量小于100吨／日，矿化度0.2</w:t>
            </w:r>
            <w:r>
              <w:rPr>
                <w:rFonts w:hint="eastAsia" w:hAnsi="Times New Roman" w:eastAsia="宋体"/>
                <w:kern w:val="2"/>
                <w:szCs w:val="21"/>
                <w:lang w:eastAsia="zh-CN"/>
              </w:rPr>
              <w:t>～</w:t>
            </w:r>
            <w:r>
              <w:rPr>
                <w:rFonts w:hint="eastAsia" w:hAnsi="Times New Roman" w:eastAsia="宋体"/>
                <w:kern w:val="2"/>
                <w:szCs w:val="21"/>
              </w:rPr>
              <w:t>0.5克／升。宣汉县天生镇地下水水源地位于中－深丘状地貌</w:t>
            </w:r>
            <w:r>
              <w:rPr>
                <w:rFonts w:hint="eastAsia" w:hAnsi="Times New Roman" w:eastAsia="宋体"/>
                <w:kern w:val="2"/>
                <w:szCs w:val="21"/>
                <w:lang w:eastAsia="zh-CN"/>
              </w:rPr>
              <w:t>水文地质单元</w:t>
            </w:r>
            <w:r>
              <w:rPr>
                <w:rFonts w:hint="eastAsia" w:hAnsi="Times New Roman" w:eastAsia="宋体"/>
                <w:kern w:val="2"/>
                <w:szCs w:val="21"/>
              </w:rPr>
              <w:t>。区内该单元内一般一条沟谷即为一个独立的水文地质单元，丘顶为渗入补给区，丘坡为径流区，沟谷为埋藏储集区。补给来源主要来自大气降水，丘顶接受大气降水垂直入渗补给后，沿丘坡段顺坡发育的风化网状裂隙或地层倾斜层面缓慢渗流形成径流区，在低洼沟谷侵蚀面附近以井泉形式排泄，或在地形较平缓，风化带较厚的区域形成地下潜水，成为埋藏区。因此</w:t>
            </w:r>
            <w:r>
              <w:rPr>
                <w:rFonts w:hint="eastAsia" w:hAnsi="Times New Roman" w:eastAsia="宋体"/>
                <w:kern w:val="2"/>
                <w:szCs w:val="22"/>
              </w:rPr>
              <w:t>，本项目</w:t>
            </w:r>
            <w:r>
              <w:rPr>
                <w:rFonts w:hint="eastAsia" w:hAnsi="Times New Roman" w:eastAsia="宋体"/>
                <w:kern w:val="2"/>
                <w:szCs w:val="21"/>
              </w:rPr>
              <w:t>七里峡煤矿与王一庙（村级）集中式饮用水水源地保护区属两个不同的水文地质单元，之间不存在水力联系</w:t>
            </w:r>
            <w:r>
              <w:rPr>
                <w:rFonts w:hint="eastAsia" w:hAnsi="Times New Roman" w:eastAsia="宋体"/>
                <w:kern w:val="2"/>
                <w:szCs w:val="22"/>
              </w:rPr>
              <w:t>，且项目矿井水涌水处理后采用管道引至工业广场下游1500m</w:t>
            </w:r>
            <w:r>
              <w:rPr>
                <w:rFonts w:hint="eastAsia" w:hAnsi="Times New Roman" w:eastAsia="宋体"/>
                <w:kern w:val="2"/>
                <w:szCs w:val="22"/>
                <w:lang w:eastAsia="zh-CN"/>
              </w:rPr>
              <w:t>处</w:t>
            </w:r>
            <w:r>
              <w:rPr>
                <w:rFonts w:hint="eastAsia" w:hAnsi="Times New Roman" w:eastAsia="宋体"/>
                <w:kern w:val="2"/>
                <w:szCs w:val="22"/>
              </w:rPr>
              <w:t>排放，位于</w:t>
            </w:r>
            <w:r>
              <w:rPr>
                <w:rFonts w:hint="eastAsia" w:hAnsi="Times New Roman" w:eastAsia="宋体"/>
                <w:kern w:val="2"/>
                <w:szCs w:val="21"/>
              </w:rPr>
              <w:t>王一庙（村级）集中式饮用水水源地保护区</w:t>
            </w:r>
            <w:r>
              <w:rPr>
                <w:rFonts w:hint="eastAsia" w:hAnsi="Times New Roman" w:eastAsia="宋体"/>
                <w:kern w:val="2"/>
                <w:szCs w:val="22"/>
              </w:rPr>
              <w:t>下游，矿井涌水排放也不会对水源保护区产生影响。因此</w:t>
            </w:r>
            <w:r>
              <w:rPr>
                <w:rFonts w:hint="eastAsia" w:hAnsi="Times New Roman" w:eastAsia="宋体"/>
                <w:kern w:val="2"/>
                <w:szCs w:val="21"/>
              </w:rPr>
              <w:t>王一庙（村级）集中式饮用水水源地保护区</w:t>
            </w:r>
            <w:r>
              <w:rPr>
                <w:rFonts w:hint="eastAsia" w:hAnsi="Times New Roman" w:eastAsia="宋体"/>
                <w:kern w:val="2"/>
                <w:szCs w:val="22"/>
              </w:rPr>
              <w:t>位于项目地下水评价范围以外。</w:t>
            </w:r>
            <w:r>
              <w:rPr>
                <w:rFonts w:hint="eastAsia" w:hAnsi="Times New Roman" w:eastAsia="宋体"/>
                <w:bCs/>
                <w:kern w:val="2"/>
                <w:szCs w:val="22"/>
                <w:lang w:eastAsia="zh-CN"/>
              </w:rPr>
              <w:t>根据调查，</w:t>
            </w:r>
            <w:r>
              <w:rPr>
                <w:rFonts w:hint="eastAsia" w:hAnsi="Times New Roman" w:eastAsia="宋体"/>
                <w:bCs/>
                <w:kern w:val="2"/>
                <w:szCs w:val="21"/>
              </w:rPr>
              <w:t>煤矿生产用水</w:t>
            </w:r>
            <w:r>
              <w:rPr>
                <w:rFonts w:hint="eastAsia" w:hAnsi="Times New Roman" w:eastAsia="宋体"/>
                <w:bCs/>
                <w:kern w:val="2"/>
                <w:szCs w:val="21"/>
                <w:lang w:eastAsia="zh-CN"/>
              </w:rPr>
              <w:t>来自</w:t>
            </w:r>
            <w:r>
              <w:rPr>
                <w:rFonts w:hint="eastAsia" w:hAnsi="Times New Roman" w:eastAsia="宋体"/>
                <w:bCs/>
                <w:kern w:val="2"/>
                <w:szCs w:val="21"/>
              </w:rPr>
              <w:t>处理后的矿井排水，矿区生活用水为矿区附近山泉水；评价区范围内的村民用水水源为山泉水和红层地下井水，根据现场调查和业主提供的资料显示，评价区域内无集中式饮用水水源地和保护区等。综上，本项目评价区地下水主要作为煤矿生产生活用水和周边居民的分散生活用水。根据《全国地下水功能区划分技术大纲》的要求和实地调查矿区内的地下水环境状况，本项目评价区地下水功能为分散式开发利用区。为较敏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940" w:type="pct"/>
            <w:vAlign w:val="center"/>
          </w:tcPr>
          <w:p>
            <w:pPr>
              <w:pStyle w:val="62"/>
              <w:keepNext w:val="0"/>
              <w:keepLines w:val="0"/>
              <w:suppressLineNumbers w:val="0"/>
              <w:spacing w:before="0" w:beforeAutospacing="0" w:after="0" w:afterAutospacing="0" w:line="260" w:lineRule="exact"/>
              <w:ind w:left="0" w:right="0"/>
              <w:rPr>
                <w:rFonts w:hint="eastAsia" w:hAnsi="Times New Roman" w:eastAsia="宋体"/>
                <w:b/>
                <w:kern w:val="2"/>
                <w:szCs w:val="21"/>
              </w:rPr>
            </w:pPr>
            <w:r>
              <w:rPr>
                <w:rFonts w:hint="eastAsia" w:hAnsi="Times New Roman" w:eastAsia="宋体"/>
                <w:kern w:val="2"/>
                <w:szCs w:val="22"/>
              </w:rPr>
              <w:t>较敏感（√）</w:t>
            </w:r>
          </w:p>
        </w:tc>
        <w:tc>
          <w:tcPr>
            <w:tcW w:w="1950" w:type="pct"/>
            <w:vAlign w:val="center"/>
          </w:tcPr>
          <w:p>
            <w:pPr>
              <w:pStyle w:val="62"/>
              <w:keepNext w:val="0"/>
              <w:keepLines w:val="0"/>
              <w:suppressLineNumbers w:val="0"/>
              <w:spacing w:before="0" w:beforeAutospacing="0" w:after="0" w:afterAutospacing="0" w:line="260" w:lineRule="exact"/>
              <w:ind w:left="0" w:right="0"/>
              <w:rPr>
                <w:rFonts w:hint="eastAsia" w:hAnsi="Times New Roman" w:eastAsia="宋体"/>
                <w:b/>
                <w:kern w:val="2"/>
                <w:szCs w:val="21"/>
              </w:rPr>
            </w:pPr>
            <w:r>
              <w:rPr>
                <w:rFonts w:hint="eastAsia" w:hAnsi="Times New Roman" w:eastAsia="宋体"/>
                <w:kern w:val="2"/>
                <w:szCs w:val="22"/>
              </w:rPr>
              <w:t>集中式饮用水源地（包括已建成的在用、备用、应急水源地，在建和规划的水源地）准保护区以外的补给径流 区；特殊地下水资源（如矿泉水、温 泉等）保护区以外的分布区以及分散居民饮用水源等其它未列入上述敏感分级的环境敏感区。</w:t>
            </w:r>
          </w:p>
        </w:tc>
        <w:tc>
          <w:tcPr>
            <w:tcW w:w="2110" w:type="pct"/>
            <w:vMerge w:val="continue"/>
            <w:vAlign w:val="center"/>
          </w:tcPr>
          <w:p>
            <w:pPr>
              <w:pStyle w:val="62"/>
              <w:keepNext w:val="0"/>
              <w:keepLines w:val="0"/>
              <w:suppressLineNumbers w:val="0"/>
              <w:spacing w:before="0" w:beforeAutospacing="0" w:after="0" w:afterAutospacing="0" w:line="260" w:lineRule="exact"/>
              <w:ind w:left="0" w:right="0"/>
              <w:rPr>
                <w:rFonts w:hint="eastAsia" w:hAnsi="Times New Roman" w:eastAsia="宋体"/>
                <w:b/>
                <w:kern w:val="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940" w:type="pct"/>
            <w:vAlign w:val="center"/>
          </w:tcPr>
          <w:p>
            <w:pPr>
              <w:pStyle w:val="62"/>
              <w:keepNext w:val="0"/>
              <w:keepLines w:val="0"/>
              <w:suppressLineNumbers w:val="0"/>
              <w:spacing w:before="0" w:beforeAutospacing="0" w:after="0" w:afterAutospacing="0" w:line="260" w:lineRule="exact"/>
              <w:ind w:left="0" w:right="0"/>
              <w:rPr>
                <w:rFonts w:hint="eastAsia" w:hAnsi="Times New Roman" w:eastAsia="宋体"/>
                <w:b/>
                <w:kern w:val="2"/>
                <w:szCs w:val="21"/>
              </w:rPr>
            </w:pPr>
            <w:r>
              <w:rPr>
                <w:rFonts w:hint="eastAsia" w:hAnsi="Times New Roman" w:eastAsia="宋体"/>
                <w:kern w:val="2"/>
                <w:szCs w:val="22"/>
              </w:rPr>
              <w:t>不敏感</w:t>
            </w:r>
          </w:p>
        </w:tc>
        <w:tc>
          <w:tcPr>
            <w:tcW w:w="1950" w:type="pct"/>
            <w:vAlign w:val="center"/>
          </w:tcPr>
          <w:p>
            <w:pPr>
              <w:pStyle w:val="62"/>
              <w:keepNext w:val="0"/>
              <w:keepLines w:val="0"/>
              <w:suppressLineNumbers w:val="0"/>
              <w:spacing w:before="0" w:beforeAutospacing="0" w:after="0" w:afterAutospacing="0" w:line="260" w:lineRule="exact"/>
              <w:ind w:left="0" w:right="0"/>
              <w:rPr>
                <w:rFonts w:hint="eastAsia" w:hAnsi="Times New Roman" w:eastAsia="宋体"/>
                <w:b/>
                <w:kern w:val="2"/>
                <w:szCs w:val="21"/>
              </w:rPr>
            </w:pPr>
            <w:r>
              <w:rPr>
                <w:rFonts w:hint="eastAsia" w:hAnsi="Times New Roman" w:eastAsia="宋体"/>
                <w:kern w:val="2"/>
                <w:szCs w:val="22"/>
              </w:rPr>
              <w:t>上述地区之外的其它地区</w:t>
            </w:r>
          </w:p>
        </w:tc>
        <w:tc>
          <w:tcPr>
            <w:tcW w:w="2110" w:type="pct"/>
            <w:vMerge w:val="continue"/>
            <w:vAlign w:val="center"/>
          </w:tcPr>
          <w:p>
            <w:pPr>
              <w:pStyle w:val="62"/>
              <w:keepNext w:val="0"/>
              <w:keepLines w:val="0"/>
              <w:suppressLineNumbers w:val="0"/>
              <w:spacing w:before="0" w:beforeAutospacing="0" w:after="0" w:afterAutospacing="0" w:line="260" w:lineRule="exact"/>
              <w:ind w:left="0" w:right="0"/>
              <w:rPr>
                <w:rFonts w:hint="eastAsia" w:hAnsi="Times New Roman" w:eastAsia="宋体"/>
                <w:b/>
                <w:kern w:val="2"/>
                <w:szCs w:val="21"/>
              </w:rPr>
            </w:pPr>
          </w:p>
        </w:tc>
      </w:tr>
    </w:tbl>
    <w:p>
      <w:pPr>
        <w:pStyle w:val="14"/>
        <w:tabs>
          <w:tab w:val="left" w:pos="3718"/>
        </w:tabs>
        <w:overflowPunct w:val="0"/>
        <w:spacing w:line="360" w:lineRule="auto"/>
        <w:jc w:val="center"/>
        <w:rPr>
          <w:rFonts w:ascii="Times New Roman" w:hAnsi="Times New Roman"/>
          <w:b/>
          <w:bCs w:val="0"/>
          <w:spacing w:val="-2"/>
          <w:sz w:val="21"/>
          <w:szCs w:val="21"/>
        </w:rPr>
      </w:pPr>
      <w:r>
        <w:rPr>
          <w:rFonts w:ascii="Times New Roman" w:hAnsi="Times New Roman"/>
          <w:b/>
          <w:bCs w:val="0"/>
          <w:spacing w:val="-2"/>
          <w:sz w:val="21"/>
          <w:szCs w:val="21"/>
        </w:rPr>
        <w:t>表5.1-</w:t>
      </w:r>
      <w:r>
        <w:rPr>
          <w:rFonts w:hint="eastAsia" w:ascii="Times New Roman" w:hAnsi="Times New Roman"/>
          <w:b/>
          <w:bCs w:val="0"/>
          <w:spacing w:val="-2"/>
          <w:sz w:val="21"/>
          <w:szCs w:val="21"/>
        </w:rPr>
        <w:t>6</w:t>
      </w:r>
      <w:r>
        <w:rPr>
          <w:rFonts w:ascii="Times New Roman" w:hAnsi="Times New Roman"/>
          <w:b/>
          <w:bCs w:val="0"/>
          <w:spacing w:val="-2"/>
          <w:sz w:val="21"/>
          <w:szCs w:val="21"/>
        </w:rPr>
        <w:t xml:space="preserve"> 项目评价工作等级分级表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93"/>
        <w:gridCol w:w="1244"/>
        <w:gridCol w:w="1244"/>
        <w:gridCol w:w="45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1227" w:type="pct"/>
            <w:tcBorders>
              <w:tl2br w:val="single" w:color="auto" w:sz="4" w:space="0"/>
            </w:tcBorders>
            <w:vAlign w:val="center"/>
          </w:tcPr>
          <w:p>
            <w:pPr>
              <w:pStyle w:val="62"/>
              <w:keepNext w:val="0"/>
              <w:keepLines w:val="0"/>
              <w:suppressLineNumbers w:val="0"/>
              <w:spacing w:before="0" w:beforeAutospacing="0" w:after="0" w:afterAutospacing="0" w:line="260" w:lineRule="exact"/>
              <w:ind w:left="0" w:right="0"/>
              <w:rPr>
                <w:rFonts w:hint="eastAsia" w:hAnsi="Times New Roman" w:eastAsia="宋体"/>
                <w:b/>
                <w:kern w:val="2"/>
                <w:szCs w:val="22"/>
              </w:rPr>
            </w:pPr>
            <w:r>
              <w:rPr>
                <w:rFonts w:hint="eastAsia" w:hAnsi="Times New Roman" w:eastAsia="宋体"/>
                <w:b/>
                <w:kern w:val="2"/>
                <w:szCs w:val="22"/>
              </w:rPr>
              <w:t xml:space="preserve">      项目类别</w:t>
            </w:r>
          </w:p>
          <w:p>
            <w:pPr>
              <w:pStyle w:val="62"/>
              <w:keepNext w:val="0"/>
              <w:keepLines w:val="0"/>
              <w:suppressLineNumbers w:val="0"/>
              <w:spacing w:before="0" w:beforeAutospacing="0" w:after="0" w:afterAutospacing="0" w:line="260" w:lineRule="exact"/>
              <w:ind w:left="0" w:right="0"/>
              <w:jc w:val="both"/>
              <w:rPr>
                <w:rFonts w:hint="eastAsia" w:hAnsi="Times New Roman" w:eastAsia="宋体"/>
                <w:b/>
                <w:kern w:val="2"/>
                <w:szCs w:val="22"/>
              </w:rPr>
            </w:pPr>
            <w:r>
              <w:rPr>
                <w:rFonts w:hint="eastAsia" w:hAnsi="Times New Roman" w:eastAsia="宋体"/>
                <w:b/>
                <w:kern w:val="2"/>
                <w:szCs w:val="22"/>
              </w:rPr>
              <w:t>环境敏感程度</w:t>
            </w:r>
          </w:p>
        </w:tc>
        <w:tc>
          <w:tcPr>
            <w:tcW w:w="666" w:type="pct"/>
            <w:vAlign w:val="center"/>
          </w:tcPr>
          <w:p>
            <w:pPr>
              <w:pStyle w:val="62"/>
              <w:keepNext w:val="0"/>
              <w:keepLines w:val="0"/>
              <w:suppressLineNumbers w:val="0"/>
              <w:spacing w:before="0" w:beforeAutospacing="0" w:after="0" w:afterAutospacing="0" w:line="260" w:lineRule="exact"/>
              <w:ind w:left="0" w:right="0"/>
              <w:rPr>
                <w:rFonts w:hint="eastAsia" w:hAnsi="Times New Roman" w:eastAsia="宋体"/>
                <w:b/>
                <w:kern w:val="2"/>
                <w:szCs w:val="22"/>
              </w:rPr>
            </w:pPr>
            <w:r>
              <w:rPr>
                <w:rFonts w:hint="eastAsia" w:hAnsi="Times New Roman" w:eastAsia="宋体"/>
                <w:b/>
                <w:kern w:val="2"/>
                <w:szCs w:val="22"/>
              </w:rPr>
              <w:t>Ⅱ类项目</w:t>
            </w:r>
          </w:p>
        </w:tc>
        <w:tc>
          <w:tcPr>
            <w:tcW w:w="666" w:type="pct"/>
            <w:vAlign w:val="center"/>
          </w:tcPr>
          <w:p>
            <w:pPr>
              <w:pStyle w:val="62"/>
              <w:keepNext w:val="0"/>
              <w:keepLines w:val="0"/>
              <w:suppressLineNumbers w:val="0"/>
              <w:spacing w:before="0" w:beforeAutospacing="0" w:after="0" w:afterAutospacing="0" w:line="260" w:lineRule="exact"/>
              <w:ind w:left="0" w:right="0"/>
              <w:rPr>
                <w:rFonts w:hint="eastAsia" w:hAnsi="Times New Roman" w:eastAsia="宋体"/>
                <w:b/>
                <w:kern w:val="2"/>
                <w:szCs w:val="22"/>
              </w:rPr>
            </w:pPr>
            <w:r>
              <w:rPr>
                <w:rFonts w:hint="eastAsia" w:hAnsi="Times New Roman" w:eastAsia="宋体"/>
                <w:b/>
                <w:kern w:val="2"/>
                <w:szCs w:val="22"/>
              </w:rPr>
              <w:t>Ⅲ类项目</w:t>
            </w:r>
          </w:p>
        </w:tc>
        <w:tc>
          <w:tcPr>
            <w:tcW w:w="2441" w:type="pct"/>
            <w:vAlign w:val="center"/>
          </w:tcPr>
          <w:p>
            <w:pPr>
              <w:pStyle w:val="62"/>
              <w:keepNext w:val="0"/>
              <w:keepLines w:val="0"/>
              <w:suppressLineNumbers w:val="0"/>
              <w:spacing w:before="0" w:beforeAutospacing="0" w:after="0" w:afterAutospacing="0" w:line="260" w:lineRule="exact"/>
              <w:ind w:left="0" w:right="0"/>
              <w:rPr>
                <w:rFonts w:hint="eastAsia" w:hAnsi="Times New Roman" w:eastAsia="宋体"/>
                <w:b/>
                <w:kern w:val="2"/>
                <w:szCs w:val="22"/>
              </w:rPr>
            </w:pPr>
            <w:r>
              <w:rPr>
                <w:rFonts w:hint="eastAsia" w:hAnsi="Times New Roman" w:eastAsia="宋体"/>
                <w:b/>
                <w:kern w:val="2"/>
                <w:szCs w:val="22"/>
              </w:rPr>
              <w:t>本项目评价等级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27" w:type="pct"/>
            <w:vAlign w:val="center"/>
          </w:tcPr>
          <w:p>
            <w:pPr>
              <w:pStyle w:val="62"/>
              <w:keepNext w:val="0"/>
              <w:keepLines w:val="0"/>
              <w:suppressLineNumbers w:val="0"/>
              <w:spacing w:before="0" w:beforeAutospacing="0" w:after="0" w:afterAutospacing="0" w:line="260" w:lineRule="exact"/>
              <w:ind w:left="0" w:right="0"/>
              <w:rPr>
                <w:rFonts w:hint="eastAsia" w:hAnsi="Times New Roman" w:eastAsia="宋体"/>
                <w:kern w:val="2"/>
                <w:szCs w:val="22"/>
              </w:rPr>
            </w:pPr>
            <w:r>
              <w:rPr>
                <w:rFonts w:hint="eastAsia" w:hAnsi="Times New Roman" w:eastAsia="宋体"/>
                <w:kern w:val="2"/>
                <w:szCs w:val="22"/>
              </w:rPr>
              <w:t>敏感</w:t>
            </w:r>
          </w:p>
        </w:tc>
        <w:tc>
          <w:tcPr>
            <w:tcW w:w="666" w:type="pct"/>
            <w:vAlign w:val="center"/>
          </w:tcPr>
          <w:p>
            <w:pPr>
              <w:pStyle w:val="62"/>
              <w:keepNext w:val="0"/>
              <w:keepLines w:val="0"/>
              <w:suppressLineNumbers w:val="0"/>
              <w:spacing w:before="0" w:beforeAutospacing="0" w:after="0" w:afterAutospacing="0" w:line="260" w:lineRule="exact"/>
              <w:ind w:left="0" w:right="0"/>
              <w:rPr>
                <w:rFonts w:hint="eastAsia" w:hAnsi="Times New Roman" w:eastAsia="宋体"/>
                <w:kern w:val="2"/>
                <w:szCs w:val="22"/>
              </w:rPr>
            </w:pPr>
            <w:r>
              <w:rPr>
                <w:rFonts w:hint="eastAsia" w:hAnsi="Times New Roman" w:eastAsia="宋体"/>
                <w:kern w:val="2"/>
                <w:szCs w:val="22"/>
              </w:rPr>
              <w:t>一</w:t>
            </w:r>
          </w:p>
        </w:tc>
        <w:tc>
          <w:tcPr>
            <w:tcW w:w="666" w:type="pct"/>
            <w:vAlign w:val="center"/>
          </w:tcPr>
          <w:p>
            <w:pPr>
              <w:pStyle w:val="62"/>
              <w:keepNext w:val="0"/>
              <w:keepLines w:val="0"/>
              <w:suppressLineNumbers w:val="0"/>
              <w:spacing w:before="0" w:beforeAutospacing="0" w:after="0" w:afterAutospacing="0" w:line="260" w:lineRule="exact"/>
              <w:ind w:left="0" w:right="0"/>
              <w:rPr>
                <w:rFonts w:hint="eastAsia" w:hAnsi="Times New Roman" w:eastAsia="宋体"/>
                <w:kern w:val="2"/>
                <w:szCs w:val="22"/>
              </w:rPr>
            </w:pPr>
            <w:r>
              <w:rPr>
                <w:rFonts w:hint="eastAsia" w:hAnsi="Times New Roman" w:eastAsia="宋体"/>
                <w:kern w:val="2"/>
                <w:szCs w:val="22"/>
              </w:rPr>
              <w:t>二</w:t>
            </w:r>
          </w:p>
        </w:tc>
        <w:tc>
          <w:tcPr>
            <w:tcW w:w="2441" w:type="pct"/>
            <w:vMerge w:val="restart"/>
            <w:vAlign w:val="center"/>
          </w:tcPr>
          <w:p>
            <w:pPr>
              <w:pStyle w:val="62"/>
              <w:keepNext w:val="0"/>
              <w:keepLines w:val="0"/>
              <w:suppressLineNumbers w:val="0"/>
              <w:spacing w:before="0" w:beforeAutospacing="0" w:after="0" w:afterAutospacing="0" w:line="260" w:lineRule="exact"/>
              <w:ind w:left="0" w:right="0"/>
              <w:rPr>
                <w:rFonts w:hint="eastAsia" w:hAnsi="Times New Roman" w:eastAsia="宋体"/>
                <w:kern w:val="2"/>
                <w:szCs w:val="22"/>
              </w:rPr>
            </w:pPr>
            <w:r>
              <w:rPr>
                <w:rFonts w:hint="eastAsia" w:hAnsi="Times New Roman" w:eastAsia="宋体"/>
                <w:kern w:val="2"/>
                <w:szCs w:val="22"/>
              </w:rPr>
              <w:t xml:space="preserve">  本项目矿山开采及其辅助工程属于Ⅲ类 项目，地下水环境敏感程度为较敏感，根据评价工作等级分级表为“三”级评价；</w:t>
            </w:r>
          </w:p>
          <w:p>
            <w:pPr>
              <w:pStyle w:val="62"/>
              <w:keepNext w:val="0"/>
              <w:keepLines w:val="0"/>
              <w:suppressLineNumbers w:val="0"/>
              <w:spacing w:before="0" w:beforeAutospacing="0" w:after="0" w:afterAutospacing="0" w:line="260" w:lineRule="exact"/>
              <w:ind w:left="0" w:right="0"/>
              <w:rPr>
                <w:rFonts w:hint="eastAsia" w:hAnsi="Times New Roman" w:eastAsia="宋体"/>
                <w:kern w:val="2"/>
                <w:szCs w:val="22"/>
              </w:rPr>
            </w:pPr>
            <w:r>
              <w:rPr>
                <w:rFonts w:hint="eastAsia" w:hAnsi="Times New Roman" w:eastAsia="宋体"/>
                <w:kern w:val="2"/>
                <w:szCs w:val="22"/>
              </w:rPr>
              <w:t xml:space="preserve">  项目配套的煤矸石转场</w:t>
            </w:r>
            <w:r>
              <w:rPr>
                <w:rFonts w:hint="eastAsia" w:hAnsi="Times New Roman" w:eastAsia="宋体"/>
                <w:kern w:val="2"/>
                <w:szCs w:val="22"/>
                <w:lang w:eastAsia="zh-CN"/>
              </w:rPr>
              <w:t>Ⅱ类</w:t>
            </w:r>
            <w:r>
              <w:rPr>
                <w:rFonts w:hint="eastAsia" w:hAnsi="Times New Roman" w:eastAsia="宋体"/>
                <w:kern w:val="2"/>
                <w:szCs w:val="22"/>
              </w:rPr>
              <w:t>项目，地下水环境敏感程度为较敏感，根据评价工作等级分级表为“二”级评价。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27" w:type="pct"/>
            <w:vAlign w:val="center"/>
          </w:tcPr>
          <w:p>
            <w:pPr>
              <w:pStyle w:val="62"/>
              <w:keepNext w:val="0"/>
              <w:keepLines w:val="0"/>
              <w:suppressLineNumbers w:val="0"/>
              <w:spacing w:before="0" w:beforeAutospacing="0" w:after="0" w:afterAutospacing="0" w:line="260" w:lineRule="exact"/>
              <w:ind w:left="0" w:right="0"/>
              <w:rPr>
                <w:rFonts w:hint="eastAsia" w:hAnsi="Times New Roman" w:eastAsia="宋体"/>
                <w:kern w:val="2"/>
                <w:szCs w:val="22"/>
              </w:rPr>
            </w:pPr>
            <w:r>
              <w:rPr>
                <w:rFonts w:hint="eastAsia" w:hAnsi="Times New Roman" w:eastAsia="宋体"/>
                <w:kern w:val="2"/>
                <w:szCs w:val="22"/>
              </w:rPr>
              <w:t>较敏感（√）</w:t>
            </w:r>
          </w:p>
        </w:tc>
        <w:tc>
          <w:tcPr>
            <w:tcW w:w="666" w:type="pct"/>
            <w:vAlign w:val="center"/>
          </w:tcPr>
          <w:p>
            <w:pPr>
              <w:pStyle w:val="62"/>
              <w:keepNext w:val="0"/>
              <w:keepLines w:val="0"/>
              <w:suppressLineNumbers w:val="0"/>
              <w:spacing w:before="0" w:beforeAutospacing="0" w:after="0" w:afterAutospacing="0" w:line="260" w:lineRule="exact"/>
              <w:ind w:left="0" w:right="0"/>
              <w:rPr>
                <w:rFonts w:hint="eastAsia" w:hAnsi="Times New Roman" w:eastAsia="宋体"/>
                <w:kern w:val="2"/>
                <w:szCs w:val="22"/>
              </w:rPr>
            </w:pPr>
            <w:r>
              <w:rPr>
                <w:rFonts w:hint="eastAsia" w:hAnsi="Times New Roman" w:eastAsia="宋体"/>
                <w:kern w:val="2"/>
                <w:szCs w:val="22"/>
                <w:highlight w:val="lightGray"/>
              </w:rPr>
              <w:t>二</w:t>
            </w:r>
            <w:r>
              <w:rPr>
                <w:rFonts w:hint="eastAsia" w:hAnsi="Times New Roman" w:eastAsia="宋体"/>
                <w:kern w:val="2"/>
                <w:szCs w:val="22"/>
              </w:rPr>
              <w:t>（√）</w:t>
            </w:r>
          </w:p>
        </w:tc>
        <w:tc>
          <w:tcPr>
            <w:tcW w:w="666" w:type="pct"/>
            <w:vAlign w:val="center"/>
          </w:tcPr>
          <w:p>
            <w:pPr>
              <w:pStyle w:val="62"/>
              <w:keepNext w:val="0"/>
              <w:keepLines w:val="0"/>
              <w:suppressLineNumbers w:val="0"/>
              <w:spacing w:before="0" w:beforeAutospacing="0" w:after="0" w:afterAutospacing="0" w:line="260" w:lineRule="exact"/>
              <w:ind w:left="0" w:right="0"/>
              <w:rPr>
                <w:rFonts w:hint="eastAsia" w:hAnsi="Times New Roman" w:eastAsia="宋体"/>
                <w:kern w:val="2"/>
                <w:szCs w:val="22"/>
              </w:rPr>
            </w:pPr>
            <w:r>
              <w:rPr>
                <w:rFonts w:hint="eastAsia" w:hAnsi="Times New Roman" w:eastAsia="宋体"/>
                <w:kern w:val="2"/>
                <w:szCs w:val="22"/>
                <w:highlight w:val="lightGray"/>
              </w:rPr>
              <w:t>三</w:t>
            </w:r>
            <w:r>
              <w:rPr>
                <w:rFonts w:hint="eastAsia" w:hAnsi="Times New Roman" w:eastAsia="宋体"/>
                <w:kern w:val="2"/>
                <w:szCs w:val="22"/>
              </w:rPr>
              <w:t>（√）</w:t>
            </w:r>
          </w:p>
        </w:tc>
        <w:tc>
          <w:tcPr>
            <w:tcW w:w="2441" w:type="pct"/>
            <w:vMerge w:val="continue"/>
            <w:vAlign w:val="center"/>
          </w:tcPr>
          <w:p>
            <w:pPr>
              <w:pStyle w:val="62"/>
              <w:keepNext w:val="0"/>
              <w:keepLines w:val="0"/>
              <w:suppressLineNumbers w:val="0"/>
              <w:spacing w:before="0" w:beforeAutospacing="0" w:after="0" w:afterAutospacing="0" w:line="260" w:lineRule="exact"/>
              <w:ind w:left="0" w:right="0"/>
              <w:rPr>
                <w:rFonts w:hint="eastAsia" w:hAnsi="Times New Roman" w:eastAsia="宋体"/>
                <w:kern w:val="2"/>
                <w:szCs w:val="22"/>
                <w:highlight w:val="lightGray"/>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27" w:type="pct"/>
            <w:vAlign w:val="center"/>
          </w:tcPr>
          <w:p>
            <w:pPr>
              <w:pStyle w:val="62"/>
              <w:keepNext w:val="0"/>
              <w:keepLines w:val="0"/>
              <w:suppressLineNumbers w:val="0"/>
              <w:spacing w:before="0" w:beforeAutospacing="0" w:after="0" w:afterAutospacing="0" w:line="260" w:lineRule="exact"/>
              <w:ind w:left="0" w:right="0"/>
              <w:rPr>
                <w:rFonts w:hint="eastAsia" w:hAnsi="Times New Roman" w:eastAsia="宋体"/>
                <w:kern w:val="2"/>
                <w:szCs w:val="22"/>
              </w:rPr>
            </w:pPr>
            <w:r>
              <w:rPr>
                <w:rFonts w:hint="eastAsia" w:hAnsi="Times New Roman" w:eastAsia="宋体"/>
                <w:kern w:val="2"/>
                <w:szCs w:val="22"/>
              </w:rPr>
              <w:t>不敏感</w:t>
            </w:r>
          </w:p>
        </w:tc>
        <w:tc>
          <w:tcPr>
            <w:tcW w:w="666" w:type="pct"/>
            <w:vAlign w:val="center"/>
          </w:tcPr>
          <w:p>
            <w:pPr>
              <w:pStyle w:val="62"/>
              <w:keepNext w:val="0"/>
              <w:keepLines w:val="0"/>
              <w:suppressLineNumbers w:val="0"/>
              <w:spacing w:before="0" w:beforeAutospacing="0" w:after="0" w:afterAutospacing="0" w:line="260" w:lineRule="exact"/>
              <w:ind w:left="0" w:right="0"/>
              <w:rPr>
                <w:rFonts w:hint="eastAsia" w:hAnsi="Times New Roman" w:eastAsia="宋体"/>
                <w:kern w:val="2"/>
                <w:szCs w:val="22"/>
              </w:rPr>
            </w:pPr>
            <w:r>
              <w:rPr>
                <w:rFonts w:hint="eastAsia" w:hAnsi="Times New Roman" w:eastAsia="宋体"/>
                <w:kern w:val="2"/>
                <w:szCs w:val="22"/>
              </w:rPr>
              <w:t>三</w:t>
            </w:r>
          </w:p>
        </w:tc>
        <w:tc>
          <w:tcPr>
            <w:tcW w:w="666" w:type="pct"/>
            <w:vAlign w:val="center"/>
          </w:tcPr>
          <w:p>
            <w:pPr>
              <w:pStyle w:val="62"/>
              <w:keepNext w:val="0"/>
              <w:keepLines w:val="0"/>
              <w:suppressLineNumbers w:val="0"/>
              <w:spacing w:before="0" w:beforeAutospacing="0" w:after="0" w:afterAutospacing="0" w:line="260" w:lineRule="exact"/>
              <w:ind w:left="0" w:right="0"/>
              <w:rPr>
                <w:rFonts w:hint="eastAsia" w:hAnsi="Times New Roman" w:eastAsia="宋体"/>
                <w:kern w:val="2"/>
                <w:szCs w:val="22"/>
              </w:rPr>
            </w:pPr>
            <w:r>
              <w:rPr>
                <w:rFonts w:hint="eastAsia" w:hAnsi="Times New Roman" w:eastAsia="宋体"/>
                <w:kern w:val="2"/>
                <w:szCs w:val="22"/>
              </w:rPr>
              <w:t>三</w:t>
            </w:r>
          </w:p>
        </w:tc>
        <w:tc>
          <w:tcPr>
            <w:tcW w:w="2441" w:type="pct"/>
            <w:vMerge w:val="continue"/>
            <w:vAlign w:val="center"/>
          </w:tcPr>
          <w:p>
            <w:pPr>
              <w:pStyle w:val="62"/>
              <w:keepNext w:val="0"/>
              <w:keepLines w:val="0"/>
              <w:suppressLineNumbers w:val="0"/>
              <w:spacing w:before="0" w:beforeAutospacing="0" w:after="0" w:afterAutospacing="0" w:line="260" w:lineRule="exact"/>
              <w:ind w:left="0" w:right="0"/>
              <w:rPr>
                <w:rFonts w:hint="eastAsia" w:hAnsi="Times New Roman" w:eastAsia="宋体"/>
                <w:kern w:val="2"/>
                <w:szCs w:val="22"/>
              </w:rPr>
            </w:pPr>
          </w:p>
        </w:tc>
      </w:tr>
    </w:tbl>
    <w:p>
      <w:pPr>
        <w:pStyle w:val="14"/>
        <w:overflowPunct w:val="0"/>
        <w:spacing w:line="360" w:lineRule="auto"/>
        <w:ind w:right="274" w:firstLine="480" w:firstLineChars="200"/>
        <w:rPr>
          <w:rFonts w:ascii="Times New Roman" w:hAnsi="Times New Roman"/>
          <w:sz w:val="24"/>
        </w:rPr>
      </w:pPr>
      <w:r>
        <w:rPr>
          <w:rFonts w:ascii="Times New Roman" w:hAnsi="Times New Roman"/>
          <w:sz w:val="24"/>
        </w:rPr>
        <w:t>根据《环境影响评价技术导则-地下水环境》（HJ610-2016），项目矿山开采及其辅助工程属Ⅲ类项目，地下水环境敏感程度为“较敏感”，根据评价工作等级分级表属</w:t>
      </w:r>
      <w:r>
        <w:rPr>
          <w:rFonts w:ascii="Times New Roman" w:hAnsi="Times New Roman"/>
          <w:sz w:val="24"/>
          <w:lang w:eastAsia="zh-CN"/>
        </w:rPr>
        <w:t>“</w:t>
      </w:r>
      <w:r>
        <w:rPr>
          <w:rFonts w:ascii="Times New Roman" w:hAnsi="Times New Roman"/>
          <w:sz w:val="24"/>
        </w:rPr>
        <w:t>三</w:t>
      </w:r>
      <w:r>
        <w:rPr>
          <w:rFonts w:ascii="Times New Roman" w:hAnsi="Times New Roman"/>
          <w:sz w:val="24"/>
          <w:lang w:eastAsia="zh-CN"/>
        </w:rPr>
        <w:t>”</w:t>
      </w:r>
      <w:r>
        <w:rPr>
          <w:rFonts w:ascii="Times New Roman" w:hAnsi="Times New Roman"/>
          <w:sz w:val="24"/>
        </w:rPr>
        <w:t>级评价；煤矸石转场属于</w:t>
      </w:r>
      <w:r>
        <w:rPr>
          <w:rFonts w:hint="eastAsia" w:ascii="Times New Roman" w:hAnsi="Times New Roman"/>
          <w:sz w:val="24"/>
          <w:lang w:eastAsia="zh-CN"/>
        </w:rPr>
        <w:t>Ⅱ类</w:t>
      </w:r>
      <w:r>
        <w:rPr>
          <w:rFonts w:ascii="Times New Roman" w:hAnsi="Times New Roman"/>
          <w:sz w:val="24"/>
        </w:rPr>
        <w:t>项目，地下水敏感程度亦为</w:t>
      </w:r>
      <w:r>
        <w:rPr>
          <w:rFonts w:ascii="Times New Roman" w:hAnsi="Times New Roman"/>
          <w:sz w:val="24"/>
          <w:lang w:eastAsia="zh-CN"/>
        </w:rPr>
        <w:t>“</w:t>
      </w:r>
      <w:r>
        <w:rPr>
          <w:rFonts w:ascii="Times New Roman" w:hAnsi="Times New Roman"/>
          <w:sz w:val="24"/>
        </w:rPr>
        <w:t>较敏感</w:t>
      </w:r>
      <w:r>
        <w:rPr>
          <w:rFonts w:ascii="Times New Roman" w:hAnsi="Times New Roman"/>
          <w:sz w:val="24"/>
          <w:lang w:eastAsia="zh-CN"/>
        </w:rPr>
        <w:t>”</w:t>
      </w:r>
      <w:r>
        <w:rPr>
          <w:rFonts w:ascii="Times New Roman" w:hAnsi="Times New Roman"/>
          <w:sz w:val="24"/>
        </w:rPr>
        <w:t>，属</w:t>
      </w:r>
      <w:r>
        <w:rPr>
          <w:rFonts w:ascii="Times New Roman" w:hAnsi="Times New Roman"/>
          <w:sz w:val="24"/>
          <w:lang w:eastAsia="zh-CN"/>
        </w:rPr>
        <w:t>“</w:t>
      </w:r>
      <w:r>
        <w:rPr>
          <w:rFonts w:ascii="Times New Roman" w:hAnsi="Times New Roman"/>
          <w:sz w:val="24"/>
        </w:rPr>
        <w:t>二</w:t>
      </w:r>
      <w:r>
        <w:rPr>
          <w:rFonts w:ascii="Times New Roman" w:hAnsi="Times New Roman"/>
          <w:sz w:val="24"/>
          <w:lang w:eastAsia="zh-CN"/>
        </w:rPr>
        <w:t>”</w:t>
      </w:r>
      <w:r>
        <w:rPr>
          <w:rFonts w:ascii="Times New Roman" w:hAnsi="Times New Roman"/>
          <w:sz w:val="24"/>
        </w:rPr>
        <w:t>级评价。</w:t>
      </w:r>
    </w:p>
    <w:p>
      <w:pPr>
        <w:pStyle w:val="6"/>
        <w:rPr>
          <w:szCs w:val="22"/>
        </w:rPr>
      </w:pPr>
      <w:bookmarkStart w:id="287" w:name="_Toc163812589"/>
      <w:bookmarkStart w:id="288" w:name="_Toc167095212"/>
      <w:r>
        <w:rPr>
          <w:szCs w:val="22"/>
        </w:rPr>
        <w:t>5.1.5评价范围</w:t>
      </w:r>
      <w:bookmarkEnd w:id="287"/>
      <w:bookmarkEnd w:id="288"/>
    </w:p>
    <w:p>
      <w:pPr>
        <w:pStyle w:val="14"/>
        <w:overflowPunct w:val="0"/>
        <w:spacing w:line="360" w:lineRule="auto"/>
        <w:ind w:right="104"/>
        <w:rPr>
          <w:rFonts w:ascii="Times New Roman" w:hAnsi="Times New Roman"/>
          <w:b/>
          <w:sz w:val="24"/>
        </w:rPr>
      </w:pPr>
      <w:r>
        <w:rPr>
          <w:rFonts w:ascii="Times New Roman" w:hAnsi="Times New Roman"/>
          <w:b/>
          <w:sz w:val="24"/>
        </w:rPr>
        <w:t>5.1.5.1评价范围确定方法</w:t>
      </w:r>
    </w:p>
    <w:p>
      <w:pPr>
        <w:pStyle w:val="14"/>
        <w:overflowPunct w:val="0"/>
        <w:spacing w:line="360" w:lineRule="auto"/>
        <w:ind w:right="104" w:firstLine="480" w:firstLineChars="200"/>
        <w:rPr>
          <w:rFonts w:ascii="Times New Roman" w:hAnsi="Times New Roman"/>
          <w:bCs w:val="0"/>
          <w:sz w:val="24"/>
        </w:rPr>
      </w:pPr>
      <w:r>
        <w:rPr>
          <w:rFonts w:ascii="Times New Roman" w:hAnsi="Times New Roman"/>
          <w:bCs w:val="0"/>
          <w:sz w:val="24"/>
        </w:rPr>
        <w:t>（1）公式计算法</w:t>
      </w:r>
    </w:p>
    <w:p>
      <w:pPr>
        <w:pStyle w:val="14"/>
        <w:overflowPunct w:val="0"/>
        <w:spacing w:line="360" w:lineRule="auto"/>
        <w:ind w:right="274" w:firstLine="480" w:firstLineChars="200"/>
        <w:rPr>
          <w:rFonts w:ascii="Times New Roman" w:hAnsi="Times New Roman"/>
          <w:sz w:val="24"/>
        </w:rPr>
      </w:pPr>
      <w:r>
        <w:rPr>
          <w:rFonts w:ascii="Times New Roman" w:hAnsi="Times New Roman"/>
          <w:sz w:val="24"/>
        </w:rPr>
        <w:t>当建设项目所在地水文地质条件相对简单，且所掌握的资料能够满足公式计算法的要求时，应采用公式计算法确定：</w:t>
      </w:r>
    </w:p>
    <w:p>
      <w:pPr>
        <w:pStyle w:val="53"/>
        <w:ind w:firstLine="480"/>
        <w:rPr>
          <w:rFonts w:eastAsia="宋体"/>
        </w:rPr>
      </w:pPr>
      <w:r>
        <w:rPr>
          <w:rFonts w:eastAsia="宋体"/>
        </w:rPr>
        <w:t>L=α×K×I×T/n</w:t>
      </w:r>
      <w:r>
        <w:rPr>
          <w:rFonts w:eastAsia="宋体"/>
          <w:vertAlign w:val="subscript"/>
        </w:rPr>
        <w:t>e</w:t>
      </w:r>
    </w:p>
    <w:p>
      <w:pPr>
        <w:pStyle w:val="53"/>
        <w:ind w:firstLine="480"/>
        <w:rPr>
          <w:rFonts w:eastAsia="宋体"/>
        </w:rPr>
      </w:pPr>
      <w:r>
        <w:rPr>
          <w:rFonts w:eastAsia="宋体"/>
        </w:rPr>
        <w:t>式中：L—下游迁移距离</w:t>
      </w:r>
    </w:p>
    <w:p>
      <w:pPr>
        <w:pStyle w:val="53"/>
        <w:ind w:firstLine="1200" w:firstLineChars="500"/>
        <w:rPr>
          <w:rFonts w:eastAsia="宋体"/>
        </w:rPr>
      </w:pPr>
      <w:r>
        <w:rPr>
          <w:rFonts w:eastAsia="宋体"/>
          <w:i/>
        </w:rPr>
        <w:t>α</w:t>
      </w:r>
      <w:r>
        <w:rPr>
          <w:rFonts w:eastAsia="宋体"/>
        </w:rPr>
        <w:t>—变化系数，</w:t>
      </w:r>
      <w:r>
        <w:rPr>
          <w:rFonts w:eastAsia="宋体"/>
          <w:i/>
        </w:rPr>
        <w:t>α≥</w:t>
      </w:r>
      <w:r>
        <w:rPr>
          <w:rFonts w:eastAsia="宋体"/>
        </w:rPr>
        <w:t>1，一般取2；</w:t>
      </w:r>
    </w:p>
    <w:p>
      <w:pPr>
        <w:pStyle w:val="53"/>
        <w:ind w:firstLine="1200" w:firstLineChars="500"/>
        <w:rPr>
          <w:rFonts w:eastAsia="宋体"/>
        </w:rPr>
      </w:pPr>
      <w:r>
        <w:rPr>
          <w:rFonts w:eastAsia="宋体"/>
        </w:rPr>
        <w:t>K—渗透系数，m/d；</w:t>
      </w:r>
    </w:p>
    <w:p>
      <w:pPr>
        <w:pStyle w:val="53"/>
        <w:ind w:firstLine="1200" w:firstLineChars="500"/>
        <w:rPr>
          <w:rFonts w:eastAsia="宋体"/>
        </w:rPr>
      </w:pPr>
      <w:r>
        <w:rPr>
          <w:rFonts w:eastAsia="宋体"/>
        </w:rPr>
        <w:t>I—水力坡度，无量纲；</w:t>
      </w:r>
    </w:p>
    <w:p>
      <w:pPr>
        <w:pStyle w:val="53"/>
        <w:ind w:firstLine="1200" w:firstLineChars="500"/>
        <w:rPr>
          <w:rFonts w:eastAsia="宋体"/>
        </w:rPr>
      </w:pPr>
      <w:r>
        <w:rPr>
          <w:rFonts w:eastAsia="宋体"/>
        </w:rPr>
        <w:t>T—质点迁移天数，取值不小于5000d；</w:t>
      </w:r>
    </w:p>
    <w:p>
      <w:pPr>
        <w:pStyle w:val="53"/>
        <w:ind w:firstLine="1200" w:firstLineChars="500"/>
        <w:rPr>
          <w:rFonts w:eastAsia="宋体"/>
        </w:rPr>
      </w:pPr>
      <w:r>
        <w:rPr>
          <w:rFonts w:eastAsia="宋体"/>
        </w:rPr>
        <w:t>n</w:t>
      </w:r>
      <w:r>
        <w:rPr>
          <w:rFonts w:eastAsia="宋体"/>
          <w:vertAlign w:val="subscript"/>
        </w:rPr>
        <w:t>e</w:t>
      </w:r>
      <w:r>
        <w:rPr>
          <w:rFonts w:eastAsia="宋体"/>
        </w:rPr>
        <w:t>—有效孔隙度，无量纲。</w:t>
      </w:r>
    </w:p>
    <w:p>
      <w:pPr>
        <w:pStyle w:val="53"/>
        <w:ind w:firstLine="480"/>
        <w:rPr>
          <w:rFonts w:eastAsia="宋体"/>
        </w:rPr>
      </w:pPr>
      <w:r>
        <w:rPr>
          <w:rFonts w:eastAsia="宋体"/>
        </w:rPr>
        <w:t>（2）查表法</w:t>
      </w:r>
    </w:p>
    <w:p>
      <w:pPr>
        <w:pStyle w:val="53"/>
        <w:ind w:firstLine="480"/>
        <w:rPr>
          <w:rFonts w:eastAsia="宋体"/>
        </w:rPr>
      </w:pPr>
      <w:r>
        <w:rPr>
          <w:rFonts w:eastAsia="宋体"/>
        </w:rPr>
        <w:t>当不满足公式计算法的要求时，可采用查表法确定（表5.1-</w:t>
      </w:r>
      <w:r>
        <w:rPr>
          <w:rFonts w:hint="eastAsia" w:eastAsia="宋体"/>
          <w:lang w:eastAsia="zh-CN"/>
        </w:rPr>
        <w:t>7</w:t>
      </w:r>
      <w:r>
        <w:rPr>
          <w:rFonts w:eastAsia="宋体"/>
        </w:rPr>
        <w:t>）。</w:t>
      </w:r>
    </w:p>
    <w:p>
      <w:pPr>
        <w:pStyle w:val="14"/>
        <w:tabs>
          <w:tab w:val="left" w:pos="3718"/>
        </w:tabs>
        <w:overflowPunct w:val="0"/>
        <w:spacing w:line="360" w:lineRule="auto"/>
        <w:jc w:val="center"/>
        <w:rPr>
          <w:rFonts w:ascii="Times New Roman" w:hAnsi="Times New Roman"/>
          <w:b/>
          <w:bCs w:val="0"/>
          <w:spacing w:val="-2"/>
          <w:sz w:val="21"/>
          <w:szCs w:val="21"/>
        </w:rPr>
      </w:pPr>
      <w:r>
        <w:rPr>
          <w:rFonts w:ascii="Times New Roman" w:hAnsi="Times New Roman"/>
          <w:b/>
          <w:bCs w:val="0"/>
          <w:spacing w:val="-2"/>
          <w:sz w:val="21"/>
          <w:szCs w:val="21"/>
        </w:rPr>
        <w:t>表5.1-</w:t>
      </w:r>
      <w:r>
        <w:rPr>
          <w:rFonts w:hint="eastAsia" w:ascii="Times New Roman" w:hAnsi="Times New Roman"/>
          <w:b/>
          <w:bCs w:val="0"/>
          <w:spacing w:val="-2"/>
          <w:sz w:val="21"/>
          <w:szCs w:val="21"/>
        </w:rPr>
        <w:t>7</w:t>
      </w:r>
      <w:r>
        <w:rPr>
          <w:rFonts w:ascii="Times New Roman" w:hAnsi="Times New Roman"/>
          <w:b/>
          <w:bCs w:val="0"/>
          <w:spacing w:val="-2"/>
          <w:sz w:val="21"/>
          <w:szCs w:val="21"/>
        </w:rPr>
        <w:t xml:space="preserve"> 地下水环境现状调查评价范围参照表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42"/>
        <w:gridCol w:w="2780"/>
        <w:gridCol w:w="47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86" w:type="pct"/>
            <w:vAlign w:val="center"/>
          </w:tcPr>
          <w:p>
            <w:pPr>
              <w:pStyle w:val="62"/>
              <w:keepNext w:val="0"/>
              <w:keepLines w:val="0"/>
              <w:suppressLineNumbers w:val="0"/>
              <w:spacing w:before="0" w:beforeAutospacing="0" w:after="0" w:afterAutospacing="0"/>
              <w:ind w:left="0" w:right="0"/>
              <w:rPr>
                <w:rFonts w:hint="eastAsia" w:hAnsi="Times New Roman" w:eastAsia="宋体"/>
                <w:b/>
                <w:kern w:val="2"/>
                <w:szCs w:val="21"/>
              </w:rPr>
            </w:pPr>
            <w:r>
              <w:rPr>
                <w:rFonts w:hint="eastAsia" w:hAnsi="Times New Roman" w:eastAsia="宋体"/>
                <w:b/>
                <w:kern w:val="2"/>
                <w:szCs w:val="21"/>
              </w:rPr>
              <w:t>评价等级</w:t>
            </w:r>
          </w:p>
        </w:tc>
        <w:tc>
          <w:tcPr>
            <w:tcW w:w="1488" w:type="pct"/>
            <w:vAlign w:val="center"/>
          </w:tcPr>
          <w:p>
            <w:pPr>
              <w:pStyle w:val="62"/>
              <w:keepNext w:val="0"/>
              <w:keepLines w:val="0"/>
              <w:suppressLineNumbers w:val="0"/>
              <w:spacing w:before="0" w:beforeAutospacing="0" w:after="0" w:afterAutospacing="0"/>
              <w:ind w:left="0" w:right="0"/>
              <w:rPr>
                <w:rFonts w:hint="eastAsia" w:hAnsi="Times New Roman" w:eastAsia="宋体"/>
                <w:b/>
                <w:kern w:val="2"/>
                <w:szCs w:val="21"/>
              </w:rPr>
            </w:pPr>
            <w:r>
              <w:rPr>
                <w:rFonts w:hint="eastAsia" w:hAnsi="Times New Roman" w:eastAsia="宋体"/>
                <w:b/>
                <w:kern w:val="2"/>
                <w:szCs w:val="21"/>
              </w:rPr>
              <w:t>调查评价面积（km</w:t>
            </w:r>
            <w:r>
              <w:rPr>
                <w:rFonts w:hint="eastAsia" w:hAnsi="Times New Roman" w:eastAsia="宋体"/>
                <w:b/>
                <w:kern w:val="2"/>
                <w:szCs w:val="21"/>
                <w:vertAlign w:val="superscript"/>
              </w:rPr>
              <w:t>2</w:t>
            </w:r>
            <w:r>
              <w:rPr>
                <w:rFonts w:hint="eastAsia" w:hAnsi="Times New Roman" w:eastAsia="宋体"/>
                <w:b/>
                <w:kern w:val="2"/>
                <w:szCs w:val="21"/>
              </w:rPr>
              <w:t>）</w:t>
            </w:r>
          </w:p>
        </w:tc>
        <w:tc>
          <w:tcPr>
            <w:tcW w:w="2526" w:type="pct"/>
            <w:vAlign w:val="center"/>
          </w:tcPr>
          <w:p>
            <w:pPr>
              <w:pStyle w:val="62"/>
              <w:keepNext w:val="0"/>
              <w:keepLines w:val="0"/>
              <w:suppressLineNumbers w:val="0"/>
              <w:spacing w:before="0" w:beforeAutospacing="0" w:after="0" w:afterAutospacing="0"/>
              <w:ind w:left="0" w:right="0"/>
              <w:rPr>
                <w:rFonts w:hint="eastAsia" w:hAnsi="Times New Roman" w:eastAsia="宋体"/>
                <w:b/>
                <w:kern w:val="2"/>
                <w:szCs w:val="21"/>
              </w:rPr>
            </w:pPr>
            <w:r>
              <w:rPr>
                <w:rFonts w:hint="eastAsia" w:hAnsi="Times New Roman" w:eastAsia="宋体"/>
                <w:b/>
                <w:kern w:val="2"/>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6"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一级</w:t>
            </w:r>
          </w:p>
        </w:tc>
        <w:tc>
          <w:tcPr>
            <w:tcW w:w="1488"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≥20</w:t>
            </w:r>
          </w:p>
        </w:tc>
        <w:tc>
          <w:tcPr>
            <w:tcW w:w="2526" w:type="pct"/>
            <w:vMerge w:val="restart"/>
            <w:vAlign w:val="center"/>
          </w:tcPr>
          <w:p>
            <w:pPr>
              <w:pStyle w:val="62"/>
              <w:keepNext w:val="0"/>
              <w:keepLines w:val="0"/>
              <w:suppressLineNumbers w:val="0"/>
              <w:spacing w:before="0" w:beforeAutospacing="0" w:after="0" w:afterAutospacing="0"/>
              <w:ind w:left="0" w:right="0" w:firstLine="420"/>
              <w:rPr>
                <w:rFonts w:hint="eastAsia" w:hAnsi="Times New Roman" w:eastAsia="宋体"/>
                <w:kern w:val="2"/>
                <w:szCs w:val="21"/>
              </w:rPr>
            </w:pPr>
            <w:r>
              <w:rPr>
                <w:rFonts w:hint="eastAsia" w:hAnsi="Times New Roman" w:eastAsia="宋体"/>
                <w:kern w:val="2"/>
                <w:szCs w:val="21"/>
              </w:rPr>
              <w:t>应包括重要的地下水环境保护目标，必要时适当扩大范围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6"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二级</w:t>
            </w:r>
          </w:p>
        </w:tc>
        <w:tc>
          <w:tcPr>
            <w:tcW w:w="1488"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6～20</w:t>
            </w:r>
          </w:p>
        </w:tc>
        <w:tc>
          <w:tcPr>
            <w:tcW w:w="2526" w:type="pct"/>
            <w:vMerge w:val="continue"/>
            <w:vAlign w:val="center"/>
          </w:tcPr>
          <w:p>
            <w:pPr>
              <w:pStyle w:val="62"/>
              <w:keepNext w:val="0"/>
              <w:keepLines w:val="0"/>
              <w:suppressLineNumbers w:val="0"/>
              <w:spacing w:before="0" w:beforeAutospacing="0" w:after="0" w:afterAutospacing="0"/>
              <w:ind w:left="0" w:right="0" w:firstLine="420"/>
              <w:rPr>
                <w:rFonts w:hint="eastAsia" w:hAnsi="Times New Roman" w:eastAsia="宋体"/>
                <w:kern w:val="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6"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三级</w:t>
            </w:r>
          </w:p>
        </w:tc>
        <w:tc>
          <w:tcPr>
            <w:tcW w:w="1488"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≤6</w:t>
            </w:r>
          </w:p>
        </w:tc>
        <w:tc>
          <w:tcPr>
            <w:tcW w:w="2526" w:type="pct"/>
            <w:vMerge w:val="continue"/>
            <w:vAlign w:val="center"/>
          </w:tcPr>
          <w:p>
            <w:pPr>
              <w:pStyle w:val="62"/>
              <w:keepNext w:val="0"/>
              <w:keepLines w:val="0"/>
              <w:suppressLineNumbers w:val="0"/>
              <w:spacing w:before="0" w:beforeAutospacing="0" w:after="0" w:afterAutospacing="0"/>
              <w:ind w:left="0" w:right="0" w:firstLine="420"/>
              <w:rPr>
                <w:rFonts w:hint="eastAsia" w:hAnsi="Times New Roman" w:eastAsia="宋体"/>
                <w:kern w:val="2"/>
                <w:szCs w:val="21"/>
              </w:rPr>
            </w:pPr>
          </w:p>
        </w:tc>
      </w:tr>
    </w:tbl>
    <w:p>
      <w:pPr>
        <w:spacing w:line="360" w:lineRule="auto"/>
        <w:ind w:firstLine="480"/>
        <w:rPr>
          <w:rFonts w:hAnsi="Times New Roman" w:eastAsia="宋体"/>
        </w:rPr>
      </w:pPr>
      <w:r>
        <w:rPr>
          <w:rFonts w:hAnsi="Times New Roman" w:eastAsia="宋体"/>
        </w:rPr>
        <w:t>（3）自定义法</w:t>
      </w:r>
    </w:p>
    <w:p>
      <w:pPr>
        <w:spacing w:line="360" w:lineRule="auto"/>
        <w:ind w:firstLine="480"/>
        <w:rPr>
          <w:rFonts w:hAnsi="Times New Roman" w:eastAsia="宋体"/>
        </w:rPr>
      </w:pPr>
      <w:r>
        <w:rPr>
          <w:rFonts w:hAnsi="Times New Roman" w:eastAsia="宋体"/>
        </w:rPr>
        <w:t>当计算或查表范围超出所处水文地质单元边界时，应以所处水文地质单元边界为宜，可根据建设项目所在地水文地质条件确定。</w:t>
      </w:r>
    </w:p>
    <w:p>
      <w:pPr>
        <w:pStyle w:val="14"/>
        <w:overflowPunct w:val="0"/>
        <w:spacing w:line="360" w:lineRule="auto"/>
        <w:ind w:right="104"/>
        <w:rPr>
          <w:rFonts w:ascii="Times New Roman" w:hAnsi="Times New Roman"/>
          <w:b/>
          <w:sz w:val="24"/>
        </w:rPr>
      </w:pPr>
      <w:r>
        <w:rPr>
          <w:rFonts w:ascii="Times New Roman" w:hAnsi="Times New Roman"/>
          <w:b/>
          <w:sz w:val="24"/>
        </w:rPr>
        <w:t>5.1.5.2评价范围确定</w:t>
      </w:r>
    </w:p>
    <w:p>
      <w:pPr>
        <w:pStyle w:val="53"/>
        <w:ind w:firstLine="480"/>
        <w:rPr>
          <w:rFonts w:eastAsia="宋体"/>
        </w:rPr>
      </w:pPr>
      <w:r>
        <w:rPr>
          <w:rFonts w:eastAsia="宋体"/>
        </w:rPr>
        <w:t>因为该煤矿矿区较大，且跨越多个分水岭，而矿区煤矸石转场、污水处理设施占地面积较小，为了便于科学预测，本次评价分别确定地下水现状评价调查范围和预测评价范围。</w:t>
      </w:r>
    </w:p>
    <w:p>
      <w:pPr>
        <w:spacing w:line="360" w:lineRule="auto"/>
        <w:ind w:firstLine="480"/>
        <w:rPr>
          <w:rFonts w:hAnsi="Times New Roman" w:eastAsia="宋体"/>
        </w:rPr>
      </w:pPr>
      <w:r>
        <w:rPr>
          <w:rFonts w:hAnsi="Times New Roman" w:eastAsia="宋体"/>
        </w:rPr>
        <w:t>（1）地下水现状评价调查范围</w:t>
      </w:r>
    </w:p>
    <w:p>
      <w:pPr>
        <w:pStyle w:val="52"/>
        <w:numPr>
          <w:ilvl w:val="1"/>
          <w:numId w:val="0"/>
        </w:numPr>
        <w:jc w:val="center"/>
        <w:rPr>
          <w:rFonts w:eastAsia="宋体"/>
        </w:rPr>
      </w:pPr>
      <w:r>
        <w:drawing>
          <wp:inline distT="0" distB="0" distL="0" distR="0">
            <wp:extent cx="3390900" cy="3947160"/>
            <wp:effectExtent l="0" t="0" r="0" b="0"/>
            <wp:docPr id="5222502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250255" name="图片 1"/>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a:xfrm>
                      <a:off x="0" y="0"/>
                      <a:ext cx="3390900" cy="3947160"/>
                    </a:xfrm>
                    <a:prstGeom prst="rect">
                      <a:avLst/>
                    </a:prstGeom>
                    <a:noFill/>
                    <a:ln>
                      <a:noFill/>
                    </a:ln>
                  </pic:spPr>
                </pic:pic>
              </a:graphicData>
            </a:graphic>
          </wp:inline>
        </w:drawing>
      </w:r>
    </w:p>
    <w:p>
      <w:pPr>
        <w:pStyle w:val="14"/>
        <w:tabs>
          <w:tab w:val="left" w:pos="3718"/>
        </w:tabs>
        <w:overflowPunct w:val="0"/>
        <w:spacing w:line="360" w:lineRule="auto"/>
        <w:jc w:val="center"/>
        <w:rPr>
          <w:rFonts w:ascii="Times New Roman" w:hAnsi="Times New Roman"/>
          <w:b/>
          <w:bCs w:val="0"/>
          <w:spacing w:val="-2"/>
          <w:sz w:val="21"/>
          <w:szCs w:val="21"/>
        </w:rPr>
      </w:pPr>
      <w:r>
        <w:rPr>
          <w:rFonts w:ascii="Times New Roman" w:hAnsi="Times New Roman"/>
          <w:b/>
          <w:bCs w:val="0"/>
          <w:spacing w:val="-2"/>
          <w:sz w:val="21"/>
          <w:szCs w:val="21"/>
        </w:rPr>
        <w:t>图5.1-1地下水环境影响评价调查范围</w:t>
      </w:r>
    </w:p>
    <w:p>
      <w:pPr>
        <w:spacing w:line="360" w:lineRule="auto"/>
        <w:ind w:firstLine="480"/>
        <w:rPr>
          <w:rFonts w:hAnsi="Times New Roman" w:eastAsia="宋体"/>
        </w:rPr>
      </w:pPr>
      <w:r>
        <w:rPr>
          <w:rFonts w:hAnsi="Times New Roman" w:eastAsia="宋体"/>
        </w:rPr>
        <w:t>项目位于</w:t>
      </w:r>
      <w:r>
        <w:rPr>
          <w:rFonts w:hAnsi="Times New Roman" w:eastAsia="宋体"/>
          <w:lang w:eastAsia="zh-CN"/>
        </w:rPr>
        <w:t>四川省达州市宣汉县天生镇洞宫社区神龙路1号</w:t>
      </w:r>
      <w:r>
        <w:rPr>
          <w:rFonts w:hAnsi="Times New Roman" w:eastAsia="宋体"/>
        </w:rPr>
        <w:t>，本次选取自定义法确定本项目地下水环境影响评价范围。以项目区完整水文地质单元作为调查范围：本次煤矿矿区横跨两个大的水文地质单元，新宁河以北的矿区范围调查范围：西侧、北东侧、东侧以自然分水岭为界（隔水边界），南面以新宁河为界；新宁河以南的矿区范围调查范围：西侧、西南侧以自然分水岭为界（隔水边界），东面以新宁河支流为界，北侧则以新宁河为界；</w:t>
      </w:r>
    </w:p>
    <w:p>
      <w:pPr>
        <w:spacing w:line="360" w:lineRule="auto"/>
        <w:ind w:firstLine="480"/>
        <w:rPr>
          <w:rFonts w:hAnsi="Times New Roman" w:eastAsia="宋体"/>
        </w:rPr>
      </w:pPr>
      <w:r>
        <w:rPr>
          <w:rFonts w:hAnsi="Times New Roman" w:eastAsia="宋体"/>
        </w:rPr>
        <w:t>根据测算，本项目地下水环境影响调查评价范围约</w:t>
      </w:r>
      <w:r>
        <w:rPr>
          <w:rFonts w:hint="eastAsia" w:hAnsi="Times New Roman" w:eastAsia="宋体"/>
          <w:lang w:eastAsia="zh-CN"/>
        </w:rPr>
        <w:t>35.96</w:t>
      </w:r>
      <w:r>
        <w:rPr>
          <w:rFonts w:hAnsi="Times New Roman" w:eastAsia="宋体"/>
        </w:rPr>
        <w:t>km</w:t>
      </w:r>
      <w:r>
        <w:rPr>
          <w:rFonts w:hAnsi="Times New Roman" w:eastAsia="宋体"/>
          <w:vertAlign w:val="superscript"/>
        </w:rPr>
        <w:t>2</w:t>
      </w:r>
      <w:r>
        <w:rPr>
          <w:rFonts w:hAnsi="Times New Roman" w:eastAsia="宋体"/>
        </w:rPr>
        <w:t>。项目调查评价范围见下图</w:t>
      </w:r>
      <w:r>
        <w:rPr>
          <w:rFonts w:hint="eastAsia" w:hAnsi="Times New Roman" w:eastAsia="宋体"/>
          <w:lang w:eastAsia="zh-CN"/>
        </w:rPr>
        <w:t>5.1-1</w:t>
      </w:r>
      <w:r>
        <w:rPr>
          <w:rFonts w:hAnsi="Times New Roman" w:eastAsia="宋体"/>
        </w:rPr>
        <w:t>：</w:t>
      </w:r>
    </w:p>
    <w:p>
      <w:pPr>
        <w:pStyle w:val="53"/>
        <w:ind w:firstLine="480"/>
        <w:rPr>
          <w:rFonts w:eastAsia="宋体"/>
        </w:rPr>
      </w:pPr>
      <w:r>
        <w:rPr>
          <w:rFonts w:eastAsia="宋体"/>
        </w:rPr>
        <w:t>（2）预测评价范围</w:t>
      </w:r>
    </w:p>
    <w:p>
      <w:pPr>
        <w:spacing w:line="360" w:lineRule="auto"/>
        <w:ind w:firstLine="480"/>
        <w:rPr>
          <w:rFonts w:hAnsi="Times New Roman" w:eastAsia="宋体"/>
        </w:rPr>
      </w:pPr>
      <w:r>
        <w:rPr>
          <w:rFonts w:hAnsi="Times New Roman" w:eastAsia="宋体"/>
        </w:rPr>
        <w:t>根据项目所在位置的区域水文地质情况，预测评价范围北侧以新宁河为界，其余方向均以山脊线分水岭为界，整个预测评价范围共1.54km</w:t>
      </w:r>
      <w:r>
        <w:rPr>
          <w:rFonts w:hAnsi="Times New Roman" w:eastAsia="宋体"/>
          <w:vertAlign w:val="superscript"/>
        </w:rPr>
        <w:t>2</w:t>
      </w:r>
      <w:r>
        <w:rPr>
          <w:rFonts w:hAnsi="Times New Roman" w:eastAsia="宋体"/>
        </w:rPr>
        <w:t>。本次煤矸石转运场和涌水处理站预测评价范围如图5.1-2所示。</w:t>
      </w:r>
    </w:p>
    <w:p>
      <w:pPr>
        <w:pStyle w:val="62"/>
        <w:rPr>
          <w:rFonts w:hAnsi="Times New Roman" w:eastAsia="宋体"/>
        </w:rPr>
      </w:pPr>
      <w:r>
        <w:rPr>
          <w:rFonts w:hAnsi="Times New Roman" w:eastAsia="宋体"/>
        </w:rPr>
        <w:drawing>
          <wp:inline distT="0" distB="0" distL="114300" distR="114300">
            <wp:extent cx="4841875" cy="4032250"/>
            <wp:effectExtent l="0" t="0" r="15875" b="6350"/>
            <wp:docPr id="2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3"/>
                    <pic:cNvPicPr>
                      <a:picLocks noChangeAspect="1"/>
                    </pic:cNvPicPr>
                  </pic:nvPicPr>
                  <pic:blipFill>
                    <a:blip r:embed="rId150"/>
                    <a:stretch>
                      <a:fillRect/>
                    </a:stretch>
                  </pic:blipFill>
                  <pic:spPr>
                    <a:xfrm>
                      <a:off x="0" y="0"/>
                      <a:ext cx="4841875" cy="4032250"/>
                    </a:xfrm>
                    <a:prstGeom prst="rect">
                      <a:avLst/>
                    </a:prstGeom>
                    <a:noFill/>
                    <a:ln>
                      <a:noFill/>
                    </a:ln>
                  </pic:spPr>
                </pic:pic>
              </a:graphicData>
            </a:graphic>
          </wp:inline>
        </w:drawing>
      </w:r>
    </w:p>
    <w:p>
      <w:pPr>
        <w:pStyle w:val="14"/>
        <w:tabs>
          <w:tab w:val="left" w:pos="3718"/>
        </w:tabs>
        <w:overflowPunct w:val="0"/>
        <w:spacing w:line="360" w:lineRule="auto"/>
        <w:jc w:val="center"/>
        <w:rPr>
          <w:rFonts w:ascii="Times New Roman" w:hAnsi="Times New Roman"/>
          <w:b/>
          <w:bCs w:val="0"/>
          <w:spacing w:val="-2"/>
          <w:sz w:val="21"/>
          <w:szCs w:val="21"/>
        </w:rPr>
      </w:pPr>
      <w:r>
        <w:rPr>
          <w:rFonts w:ascii="Times New Roman" w:hAnsi="Times New Roman"/>
          <w:b/>
          <w:bCs w:val="0"/>
          <w:spacing w:val="-2"/>
          <w:sz w:val="21"/>
          <w:szCs w:val="21"/>
        </w:rPr>
        <w:t>图5.1-2 预测评价范围</w:t>
      </w:r>
    </w:p>
    <w:p>
      <w:pPr>
        <w:pStyle w:val="6"/>
      </w:pPr>
      <w:bookmarkStart w:id="289" w:name="_Toc167095213"/>
      <w:bookmarkStart w:id="290" w:name="_Toc163812590"/>
      <w:r>
        <w:t>5.1.6评价内容及重点</w:t>
      </w:r>
      <w:bookmarkEnd w:id="289"/>
      <w:bookmarkEnd w:id="290"/>
    </w:p>
    <w:p>
      <w:pPr>
        <w:pStyle w:val="53"/>
        <w:ind w:firstLine="480"/>
        <w:rPr>
          <w:rFonts w:eastAsia="宋体"/>
        </w:rPr>
      </w:pPr>
      <w:r>
        <w:rPr>
          <w:rFonts w:eastAsia="宋体"/>
        </w:rPr>
        <w:t>根据项目的性质、建设特点及其地下水环境影响特性，并结合矿区及周边地区自然和社会环境，按照《环境影响评价技术导则-地下水环境》（HJ610-2016）要求，确定本项目地下水环境影响评价工作内容。</w:t>
      </w:r>
    </w:p>
    <w:p>
      <w:pPr>
        <w:pStyle w:val="53"/>
        <w:ind w:firstLine="480"/>
        <w:rPr>
          <w:rFonts w:eastAsia="宋体"/>
        </w:rPr>
      </w:pPr>
      <w:r>
        <w:rPr>
          <w:rFonts w:eastAsia="宋体"/>
        </w:rPr>
        <w:t>具体内容包括：</w:t>
      </w:r>
    </w:p>
    <w:p>
      <w:pPr>
        <w:pStyle w:val="53"/>
        <w:ind w:firstLine="480"/>
        <w:rPr>
          <w:rFonts w:eastAsia="宋体"/>
        </w:rPr>
      </w:pPr>
      <w:r>
        <w:rPr>
          <w:rFonts w:eastAsia="宋体"/>
        </w:rPr>
        <w:t>（1）工程分析</w:t>
      </w:r>
    </w:p>
    <w:p>
      <w:pPr>
        <w:pStyle w:val="53"/>
        <w:ind w:firstLine="480"/>
        <w:rPr>
          <w:rFonts w:eastAsia="宋体"/>
        </w:rPr>
      </w:pPr>
      <w:r>
        <w:rPr>
          <w:rFonts w:eastAsia="宋体"/>
        </w:rPr>
        <w:t>根据本工程资料收集、前期工作成果及工程概况，针对煤矿开采接替延伸特征及煤矸石转场与地下水环境影响相关的要素，分别进行分析：</w:t>
      </w:r>
    </w:p>
    <w:p>
      <w:pPr>
        <w:pStyle w:val="53"/>
        <w:ind w:firstLine="480"/>
        <w:rPr>
          <w:rFonts w:eastAsia="宋体"/>
        </w:rPr>
      </w:pPr>
      <w:r>
        <w:rPr>
          <w:rFonts w:eastAsia="宋体"/>
        </w:rPr>
        <w:t>①矿山开采：估算煤矿开采矿洞及巷道排水量，分析煤矿开采对评价区地下水的影响。</w:t>
      </w:r>
    </w:p>
    <w:p>
      <w:pPr>
        <w:pStyle w:val="53"/>
        <w:ind w:firstLine="480"/>
        <w:rPr>
          <w:rFonts w:eastAsia="宋体"/>
        </w:rPr>
      </w:pPr>
      <w:r>
        <w:rPr>
          <w:rFonts w:eastAsia="宋体"/>
        </w:rPr>
        <w:t>②煤矸石转运场：鉴别本项目煤矸石固体废物类型，估算煤矸石转运场污染物下渗源强。</w:t>
      </w:r>
    </w:p>
    <w:p>
      <w:pPr>
        <w:spacing w:line="360" w:lineRule="auto"/>
        <w:ind w:firstLine="480"/>
        <w:rPr>
          <w:rFonts w:hAnsi="Times New Roman" w:eastAsia="宋体"/>
        </w:rPr>
      </w:pPr>
      <w:r>
        <w:rPr>
          <w:rFonts w:hAnsi="Times New Roman" w:eastAsia="宋体"/>
        </w:rPr>
        <w:t>（2）地下水环境现状调查与评价</w:t>
      </w:r>
    </w:p>
    <w:p>
      <w:pPr>
        <w:spacing w:line="360" w:lineRule="auto"/>
        <w:ind w:firstLine="480"/>
        <w:rPr>
          <w:rFonts w:hAnsi="Times New Roman" w:eastAsia="宋体"/>
        </w:rPr>
      </w:pPr>
      <w:r>
        <w:rPr>
          <w:rFonts w:hAnsi="Times New Roman" w:eastAsia="宋体"/>
        </w:rPr>
        <w:t>该部分根据建设项目所在地区的环境特点和地下水环境保护目标开展调查。调查内容包括：水文地质基础调查、环境水文地质调查、地下水水质和污染调查等。主要查明工程区地质环境，水文地质条件，环境水文地质问题及地下水水质背景值。</w:t>
      </w:r>
    </w:p>
    <w:p>
      <w:pPr>
        <w:pStyle w:val="53"/>
        <w:ind w:firstLine="480"/>
        <w:rPr>
          <w:rFonts w:eastAsia="宋体"/>
        </w:rPr>
      </w:pPr>
      <w:r>
        <w:rPr>
          <w:rFonts w:eastAsia="宋体"/>
        </w:rPr>
        <w:t>（3）地下水环境影响预测</w:t>
      </w:r>
    </w:p>
    <w:p>
      <w:pPr>
        <w:pStyle w:val="53"/>
        <w:ind w:firstLine="480"/>
        <w:rPr>
          <w:rFonts w:eastAsia="宋体"/>
        </w:rPr>
      </w:pPr>
      <w:r>
        <w:rPr>
          <w:rFonts w:eastAsia="宋体"/>
        </w:rPr>
        <w:t>地下水环境影响预测主要分为矿山开采和煤矸石转运场运行、水处理站运行等。</w:t>
      </w:r>
    </w:p>
    <w:p>
      <w:pPr>
        <w:spacing w:line="360" w:lineRule="auto"/>
        <w:ind w:firstLine="480"/>
        <w:rPr>
          <w:rFonts w:hAnsi="Times New Roman" w:eastAsia="宋体"/>
        </w:rPr>
      </w:pPr>
      <w:r>
        <w:rPr>
          <w:rFonts w:hAnsi="Times New Roman" w:eastAsia="宋体"/>
        </w:rPr>
        <w:t>① 矿山开采</w:t>
      </w:r>
    </w:p>
    <w:p>
      <w:pPr>
        <w:spacing w:line="360" w:lineRule="auto"/>
        <w:ind w:firstLine="480"/>
        <w:rPr>
          <w:rFonts w:hAnsi="Times New Roman" w:eastAsia="宋体"/>
        </w:rPr>
      </w:pPr>
      <w:r>
        <w:rPr>
          <w:rFonts w:hAnsi="Times New Roman" w:eastAsia="宋体"/>
        </w:rPr>
        <w:t>根据七里峡煤矿扩建项目特征和区域水文地质条件，建立煤矿开挖的地下水环境影响边界条件，预测煤矿开采疏排地下水对地下水环境影响的程度和范围。</w:t>
      </w:r>
    </w:p>
    <w:p>
      <w:pPr>
        <w:pStyle w:val="53"/>
        <w:ind w:firstLine="480"/>
        <w:rPr>
          <w:rFonts w:eastAsia="宋体"/>
        </w:rPr>
      </w:pPr>
      <w:r>
        <w:rPr>
          <w:rFonts w:eastAsia="宋体"/>
        </w:rPr>
        <w:t>② 煤矸石转运场</w:t>
      </w:r>
    </w:p>
    <w:p>
      <w:pPr>
        <w:pStyle w:val="53"/>
        <w:ind w:firstLine="480"/>
        <w:rPr>
          <w:rFonts w:eastAsia="宋体"/>
        </w:rPr>
      </w:pPr>
      <w:r>
        <w:rPr>
          <w:rFonts w:eastAsia="宋体"/>
        </w:rPr>
        <w:t>根据工程分析，确定煤矸石转运场非正常状况下淋滤液渗漏进入地下水系统的下渗量，利用数值法预测模拟污染物进入地下水后的影响程度和范围，分析煤矸石转运场运行对当地地下水环境的影响。</w:t>
      </w:r>
    </w:p>
    <w:p>
      <w:pPr>
        <w:spacing w:line="360" w:lineRule="auto"/>
        <w:ind w:firstLine="480"/>
        <w:rPr>
          <w:rFonts w:hAnsi="Times New Roman" w:eastAsia="宋体"/>
        </w:rPr>
      </w:pPr>
      <w:r>
        <w:rPr>
          <w:rFonts w:hAnsi="Times New Roman" w:eastAsia="宋体"/>
        </w:rPr>
        <w:t>③ 水处理站</w:t>
      </w:r>
    </w:p>
    <w:p>
      <w:pPr>
        <w:pStyle w:val="53"/>
        <w:ind w:firstLine="480"/>
        <w:rPr>
          <w:rFonts w:eastAsia="宋体"/>
        </w:rPr>
      </w:pPr>
      <w:r>
        <w:rPr>
          <w:rFonts w:eastAsia="宋体"/>
        </w:rPr>
        <w:t>根据工程分析，确定煤矸石转运场非正常状况下淋滤液渗漏进入地下水系统的下渗量，利用数值法预测模拟污染物进入地下水后的影响程度和范围，分析煤矸石转运场运行对当地地下水环境的影响。</w:t>
      </w:r>
    </w:p>
    <w:p>
      <w:pPr>
        <w:pStyle w:val="53"/>
        <w:ind w:firstLine="480"/>
        <w:rPr>
          <w:rFonts w:eastAsia="宋体"/>
        </w:rPr>
      </w:pPr>
      <w:r>
        <w:rPr>
          <w:rFonts w:eastAsia="宋体"/>
        </w:rPr>
        <w:t>（4）地下水污染控制对策及措施</w:t>
      </w:r>
    </w:p>
    <w:p>
      <w:pPr>
        <w:pStyle w:val="53"/>
        <w:ind w:firstLine="480"/>
        <w:rPr>
          <w:rFonts w:eastAsia="宋体"/>
        </w:rPr>
      </w:pPr>
      <w:r>
        <w:rPr>
          <w:rFonts w:eastAsia="宋体"/>
        </w:rPr>
        <w:t>根据工程特点，在分析工程产污环节和预测工程建设对地下水环境影响的基础上，提出针对性的控制对策和措施，最大程度</w:t>
      </w:r>
      <w:r>
        <w:rPr>
          <w:rFonts w:hint="eastAsia" w:eastAsia="宋体"/>
          <w:lang w:eastAsia="zh-CN"/>
        </w:rPr>
        <w:t>减缓</w:t>
      </w:r>
      <w:r>
        <w:rPr>
          <w:rFonts w:eastAsia="宋体"/>
        </w:rPr>
        <w:t>项目实施对当地地下水环境的影响。</w:t>
      </w:r>
    </w:p>
    <w:p>
      <w:pPr>
        <w:pStyle w:val="53"/>
        <w:ind w:firstLine="480"/>
        <w:rPr>
          <w:rFonts w:eastAsia="宋体"/>
        </w:rPr>
      </w:pPr>
      <w:r>
        <w:rPr>
          <w:rFonts w:eastAsia="宋体"/>
        </w:rPr>
        <w:t>本项目地下水环境影响评价的重点包括：</w:t>
      </w:r>
    </w:p>
    <w:p>
      <w:pPr>
        <w:pStyle w:val="53"/>
        <w:ind w:firstLine="480"/>
        <w:rPr>
          <w:rFonts w:eastAsia="宋体"/>
        </w:rPr>
      </w:pPr>
      <w:r>
        <w:rPr>
          <w:rFonts w:eastAsia="宋体"/>
        </w:rPr>
        <w:t>①煤矿开采对地下水环境的影响预测及防治措施；</w:t>
      </w:r>
    </w:p>
    <w:p>
      <w:pPr>
        <w:pStyle w:val="53"/>
        <w:ind w:firstLine="480"/>
        <w:rPr>
          <w:rFonts w:eastAsia="宋体"/>
        </w:rPr>
      </w:pPr>
      <w:r>
        <w:rPr>
          <w:rFonts w:eastAsia="宋体"/>
        </w:rPr>
        <w:t>②煤矸石转运场运行对地下水水质影响及污染防治措施。</w:t>
      </w:r>
    </w:p>
    <w:p>
      <w:pPr>
        <w:spacing w:line="360" w:lineRule="auto"/>
        <w:ind w:firstLine="480"/>
        <w:rPr>
          <w:rFonts w:hAnsi="Times New Roman" w:eastAsia="宋体"/>
        </w:rPr>
      </w:pPr>
      <w:r>
        <w:rPr>
          <w:rFonts w:hAnsi="Times New Roman" w:eastAsia="宋体"/>
        </w:rPr>
        <w:t>③水处理站运行对地下水水质影响及污染防治措施。</w:t>
      </w:r>
    </w:p>
    <w:p>
      <w:pPr>
        <w:pStyle w:val="6"/>
        <w:rPr>
          <w:szCs w:val="22"/>
        </w:rPr>
      </w:pPr>
      <w:bookmarkStart w:id="291" w:name="_Toc167095214"/>
      <w:bookmarkStart w:id="292" w:name="_Toc163812591"/>
      <w:r>
        <w:rPr>
          <w:szCs w:val="22"/>
        </w:rPr>
        <w:t>5.1.7评价工作程序</w:t>
      </w:r>
      <w:bookmarkEnd w:id="291"/>
      <w:bookmarkEnd w:id="292"/>
    </w:p>
    <w:p>
      <w:pPr>
        <w:pStyle w:val="62"/>
        <w:rPr>
          <w:rFonts w:hAnsi="Times New Roman" w:eastAsia="宋体"/>
        </w:rPr>
      </w:pPr>
      <w:r>
        <w:rPr>
          <w:rFonts w:hAnsi="Times New Roman" w:eastAsia="宋体"/>
        </w:rPr>
        <w:drawing>
          <wp:inline distT="0" distB="0" distL="114300" distR="114300">
            <wp:extent cx="4890135" cy="7825740"/>
            <wp:effectExtent l="0" t="0" r="5715" b="3810"/>
            <wp:docPr id="193" name="图片 33" descr="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33" descr="0007.jpg"/>
                    <pic:cNvPicPr>
                      <a:picLocks noChangeAspect="1"/>
                    </pic:cNvPicPr>
                  </pic:nvPicPr>
                  <pic:blipFill>
                    <a:blip r:embed="rId151"/>
                    <a:srcRect l="13364" t="8812" r="14760" b="18008"/>
                    <a:stretch>
                      <a:fillRect/>
                    </a:stretch>
                  </pic:blipFill>
                  <pic:spPr>
                    <a:xfrm>
                      <a:off x="0" y="0"/>
                      <a:ext cx="4890135" cy="7825740"/>
                    </a:xfrm>
                    <a:prstGeom prst="rect">
                      <a:avLst/>
                    </a:prstGeom>
                    <a:noFill/>
                    <a:ln>
                      <a:noFill/>
                    </a:ln>
                  </pic:spPr>
                </pic:pic>
              </a:graphicData>
            </a:graphic>
          </wp:inline>
        </w:drawing>
      </w:r>
    </w:p>
    <w:p>
      <w:pPr>
        <w:pStyle w:val="14"/>
        <w:tabs>
          <w:tab w:val="left" w:pos="3718"/>
        </w:tabs>
        <w:overflowPunct w:val="0"/>
        <w:spacing w:line="360" w:lineRule="auto"/>
        <w:jc w:val="center"/>
        <w:rPr>
          <w:rFonts w:ascii="Times New Roman" w:hAnsi="Times New Roman"/>
          <w:b/>
          <w:bCs w:val="0"/>
          <w:spacing w:val="-2"/>
          <w:sz w:val="21"/>
          <w:szCs w:val="21"/>
        </w:rPr>
      </w:pPr>
      <w:r>
        <w:rPr>
          <w:rFonts w:ascii="Times New Roman" w:hAnsi="Times New Roman"/>
          <w:b/>
          <w:bCs w:val="0"/>
          <w:spacing w:val="-2"/>
          <w:sz w:val="21"/>
          <w:szCs w:val="21"/>
        </w:rPr>
        <w:t>图5.1-9 地下水环境影响评价工作程序图</w:t>
      </w:r>
    </w:p>
    <w:p>
      <w:pPr>
        <w:pStyle w:val="5"/>
        <w:rPr>
          <w:rFonts w:ascii="Times New Roman" w:hAnsi="Times New Roman"/>
          <w:szCs w:val="22"/>
          <w:lang w:eastAsia="zh-CN"/>
        </w:rPr>
      </w:pPr>
      <w:bookmarkStart w:id="293" w:name="_Toc163749170"/>
      <w:bookmarkStart w:id="294" w:name="_Toc167095215"/>
      <w:r>
        <w:rPr>
          <w:rFonts w:ascii="Times New Roman" w:hAnsi="Times New Roman"/>
          <w:szCs w:val="22"/>
          <w:lang w:eastAsia="zh-CN"/>
        </w:rPr>
        <w:t>5.2 工程分析</w:t>
      </w:r>
      <w:bookmarkEnd w:id="293"/>
      <w:bookmarkEnd w:id="294"/>
    </w:p>
    <w:p>
      <w:pPr>
        <w:pStyle w:val="6"/>
        <w:rPr>
          <w:szCs w:val="22"/>
        </w:rPr>
      </w:pPr>
      <w:bookmarkStart w:id="295" w:name="_Toc167095216"/>
      <w:bookmarkStart w:id="296" w:name="_Toc163812593"/>
      <w:r>
        <w:rPr>
          <w:szCs w:val="22"/>
        </w:rPr>
        <w:t>5.2.1矿山开采对地下水资源量影响分析</w:t>
      </w:r>
      <w:bookmarkEnd w:id="295"/>
      <w:bookmarkEnd w:id="296"/>
    </w:p>
    <w:p>
      <w:pPr>
        <w:spacing w:line="360" w:lineRule="auto"/>
        <w:ind w:firstLine="480"/>
        <w:rPr>
          <w:rFonts w:hAnsi="Times New Roman" w:eastAsia="宋体"/>
        </w:rPr>
      </w:pPr>
      <w:r>
        <w:rPr>
          <w:rFonts w:hAnsi="Times New Roman" w:eastAsia="宋体"/>
        </w:rPr>
        <w:t>（1）开挖及采掘对地下水资源的影响</w:t>
      </w:r>
    </w:p>
    <w:p>
      <w:pPr>
        <w:spacing w:line="360" w:lineRule="auto"/>
        <w:ind w:firstLine="480"/>
        <w:rPr>
          <w:rFonts w:hAnsi="Times New Roman" w:eastAsia="宋体"/>
        </w:rPr>
      </w:pPr>
      <w:r>
        <w:rPr>
          <w:rFonts w:hAnsi="Times New Roman" w:eastAsia="宋体"/>
        </w:rPr>
        <w:t>煤矿的开挖将破坏原有地下水渗流场的平衡，矿层开掘后形成的井巷，等同于围岩介质中新的集水廊道，新源汇关系的形成，将使部分地下水以此为新边界进行排泄。</w:t>
      </w:r>
    </w:p>
    <w:p>
      <w:pPr>
        <w:spacing w:line="360" w:lineRule="auto"/>
        <w:ind w:firstLine="480"/>
        <w:rPr>
          <w:rFonts w:hAnsi="Times New Roman" w:eastAsia="宋体"/>
        </w:rPr>
      </w:pPr>
      <w:r>
        <w:rPr>
          <w:rFonts w:hAnsi="Times New Roman" w:eastAsia="宋体"/>
        </w:rPr>
        <w:t>随着煤矿硐室井巷疏排地下水，将对评价区内地下水水资源量、地下水流场造成影响。</w:t>
      </w:r>
    </w:p>
    <w:p>
      <w:pPr>
        <w:spacing w:line="360" w:lineRule="auto"/>
        <w:ind w:firstLine="480"/>
        <w:rPr>
          <w:rFonts w:hAnsi="Times New Roman" w:eastAsia="宋体"/>
        </w:rPr>
      </w:pPr>
      <w:r>
        <w:rPr>
          <w:rFonts w:hAnsi="Times New Roman" w:eastAsia="宋体"/>
        </w:rPr>
        <w:t>（2）开挖及采掘对周边居民生活的影响</w:t>
      </w:r>
    </w:p>
    <w:p>
      <w:pPr>
        <w:spacing w:line="360" w:lineRule="auto"/>
        <w:ind w:firstLine="480"/>
        <w:rPr>
          <w:rFonts w:hAnsi="Times New Roman" w:eastAsia="宋体"/>
        </w:rPr>
      </w:pPr>
      <w:r>
        <w:rPr>
          <w:rFonts w:hAnsi="Times New Roman" w:eastAsia="宋体"/>
        </w:rPr>
        <w:t>伴随矿区地下水的不断疏排，将在一定区域内形成地下水位降落漏斗，可能对区域内地下水为饮用水源的居民产生影响。据现场调查和业主提供的资料显示，评价区域内存在居民住户饮用地下水，评价区地下水作为分散式饮用水源。</w:t>
      </w:r>
    </w:p>
    <w:p>
      <w:pPr>
        <w:pStyle w:val="6"/>
        <w:rPr>
          <w:szCs w:val="22"/>
        </w:rPr>
      </w:pPr>
      <w:bookmarkStart w:id="297" w:name="_Toc163812594"/>
      <w:bookmarkStart w:id="298" w:name="_Toc167095217"/>
      <w:r>
        <w:rPr>
          <w:szCs w:val="22"/>
        </w:rPr>
        <w:t>5.2.</w:t>
      </w:r>
      <w:r>
        <w:rPr>
          <w:szCs w:val="22"/>
          <w:lang w:eastAsia="zh-CN"/>
        </w:rPr>
        <w:t>2</w:t>
      </w:r>
      <w:r>
        <w:rPr>
          <w:szCs w:val="22"/>
        </w:rPr>
        <w:t>地下水污染源分析</w:t>
      </w:r>
      <w:bookmarkEnd w:id="297"/>
      <w:bookmarkEnd w:id="298"/>
    </w:p>
    <w:p>
      <w:pPr>
        <w:spacing w:line="360" w:lineRule="auto"/>
        <w:ind w:firstLine="480"/>
        <w:rPr>
          <w:rFonts w:hAnsi="Times New Roman" w:eastAsia="宋体"/>
        </w:rPr>
      </w:pPr>
      <w:r>
        <w:rPr>
          <w:rFonts w:hAnsi="Times New Roman" w:eastAsia="宋体"/>
        </w:rPr>
        <w:t>（1）施工期污染源</w:t>
      </w:r>
    </w:p>
    <w:p>
      <w:pPr>
        <w:spacing w:line="360" w:lineRule="auto"/>
        <w:ind w:firstLine="480"/>
        <w:rPr>
          <w:rFonts w:hAnsi="Times New Roman" w:eastAsia="宋体"/>
        </w:rPr>
      </w:pPr>
      <w:r>
        <w:rPr>
          <w:rFonts w:hAnsi="Times New Roman" w:eastAsia="宋体"/>
        </w:rPr>
        <w:t>采掘过程地下水环境污染源主要来自施工过程中施工降尘，车辆冲洗废水。生产废水中含有油污污染、悬浮物等，人员产生的生活废水若收集处理不当进入地下系统后可能对地下水造成污染。</w:t>
      </w:r>
    </w:p>
    <w:p>
      <w:pPr>
        <w:spacing w:line="360" w:lineRule="auto"/>
        <w:ind w:firstLine="480"/>
        <w:rPr>
          <w:rFonts w:hAnsi="Times New Roman" w:eastAsia="宋体"/>
        </w:rPr>
      </w:pPr>
      <w:r>
        <w:rPr>
          <w:rFonts w:hAnsi="Times New Roman" w:eastAsia="宋体"/>
        </w:rPr>
        <w:t>（2）运营期环境污染源</w:t>
      </w:r>
    </w:p>
    <w:p>
      <w:pPr>
        <w:spacing w:line="360" w:lineRule="auto"/>
        <w:ind w:firstLine="480"/>
        <w:rPr>
          <w:rFonts w:hAnsi="Times New Roman" w:eastAsia="宋体"/>
        </w:rPr>
      </w:pPr>
      <w:r>
        <w:rPr>
          <w:rFonts w:hAnsi="Times New Roman" w:eastAsia="宋体"/>
        </w:rPr>
        <w:t>当堆放的煤矸石经雨水淋蚀后，产生的废石淋滤液若进入地下水系统，将对煤矸石转运场下伏含水层造成污染。</w:t>
      </w:r>
    </w:p>
    <w:p>
      <w:pPr>
        <w:pStyle w:val="6"/>
        <w:rPr>
          <w:szCs w:val="22"/>
        </w:rPr>
      </w:pPr>
      <w:bookmarkStart w:id="299" w:name="_Toc167095218"/>
      <w:bookmarkStart w:id="300" w:name="_Toc163812595"/>
      <w:r>
        <w:rPr>
          <w:szCs w:val="22"/>
        </w:rPr>
        <w:t>5.2.4煤矸石类型鉴定</w:t>
      </w:r>
      <w:bookmarkEnd w:id="299"/>
      <w:bookmarkEnd w:id="300"/>
    </w:p>
    <w:p>
      <w:pPr>
        <w:spacing w:line="360" w:lineRule="auto"/>
        <w:ind w:firstLine="480"/>
        <w:rPr>
          <w:rFonts w:hAnsi="Times New Roman" w:eastAsia="宋体"/>
        </w:rPr>
      </w:pPr>
      <w:r>
        <w:rPr>
          <w:rFonts w:hAnsi="Times New Roman" w:eastAsia="宋体"/>
        </w:rPr>
        <w:t>（1）危险废物鉴别</w:t>
      </w:r>
    </w:p>
    <w:p>
      <w:pPr>
        <w:spacing w:line="360" w:lineRule="auto"/>
        <w:ind w:firstLine="480"/>
        <w:rPr>
          <w:rFonts w:hAnsi="Times New Roman" w:eastAsia="宋体"/>
        </w:rPr>
      </w:pPr>
      <w:r>
        <w:rPr>
          <w:rFonts w:hAnsi="Times New Roman" w:eastAsia="宋体"/>
        </w:rPr>
        <w:t>危险废物是指国家危险废物名录或者是根据国家规定的危险废物鉴别标准和鉴别方法认定的具有腐蚀性、毒性、易燃性、反应性和感染性等一种或一种以上危险特性，以及不排除具有以上危险特性的固体废物。本项目涉及的固体废物为煤矿开采产生的废石，不属于《国家危险废物名录》中规定的危险废物。根据《危险废物鉴别标准》</w:t>
      </w:r>
      <w:r>
        <w:rPr>
          <w:rFonts w:hint="eastAsia" w:hAnsi="Times New Roman" w:eastAsia="宋体"/>
          <w:lang w:eastAsia="zh-CN"/>
        </w:rPr>
        <w:t>（</w:t>
      </w:r>
      <w:r>
        <w:rPr>
          <w:rFonts w:hAnsi="Times New Roman" w:eastAsia="宋体"/>
        </w:rPr>
        <w:t>GB5085.1-5085.5</w:t>
      </w:r>
      <w:r>
        <w:rPr>
          <w:rFonts w:hint="eastAsia" w:hAnsi="Times New Roman" w:eastAsia="宋体"/>
          <w:lang w:eastAsia="zh-CN"/>
        </w:rPr>
        <w:t>）</w:t>
      </w:r>
      <w:r>
        <w:rPr>
          <w:rFonts w:hAnsi="Times New Roman" w:eastAsia="宋体"/>
        </w:rPr>
        <w:t>，煤矸石不具有腐蚀性、反应性、易燃性、反应性，也不属于《危险废物鉴别标准毒性物质含量鉴别》</w:t>
      </w:r>
      <w:r>
        <w:rPr>
          <w:rFonts w:hint="eastAsia" w:hAnsi="Times New Roman" w:eastAsia="宋体"/>
          <w:lang w:eastAsia="zh-CN"/>
        </w:rPr>
        <w:t>（</w:t>
      </w:r>
      <w:r>
        <w:rPr>
          <w:rFonts w:hAnsi="Times New Roman" w:eastAsia="宋体"/>
        </w:rPr>
        <w:t>GB5085.1-5085.6</w:t>
      </w:r>
      <w:r>
        <w:rPr>
          <w:rFonts w:hint="eastAsia" w:hAnsi="Times New Roman" w:eastAsia="宋体"/>
          <w:lang w:eastAsia="zh-CN"/>
        </w:rPr>
        <w:t>）</w:t>
      </w:r>
      <w:r>
        <w:rPr>
          <w:rFonts w:hAnsi="Times New Roman" w:eastAsia="宋体"/>
        </w:rPr>
        <w:t>所列毒性物质。本次的煤矸石浸出试验报告，该矿山煤矸石淋滤液中危害成分含量低于《危险废物鉴别标准浸出毒性鉴别》（GB5085.3-2007）标准。具体见下表。</w:t>
      </w:r>
    </w:p>
    <w:p>
      <w:pPr>
        <w:pStyle w:val="14"/>
        <w:tabs>
          <w:tab w:val="left" w:pos="3718"/>
        </w:tabs>
        <w:overflowPunct w:val="0"/>
        <w:spacing w:line="360" w:lineRule="auto"/>
        <w:jc w:val="center"/>
        <w:rPr>
          <w:rFonts w:ascii="Times New Roman" w:hAnsi="Times New Roman"/>
          <w:b/>
          <w:bCs w:val="0"/>
          <w:spacing w:val="-2"/>
          <w:sz w:val="21"/>
          <w:szCs w:val="21"/>
        </w:rPr>
      </w:pPr>
      <w:r>
        <w:rPr>
          <w:rFonts w:ascii="Times New Roman" w:hAnsi="Times New Roman"/>
          <w:b/>
          <w:bCs w:val="0"/>
          <w:spacing w:val="-2"/>
          <w:sz w:val="21"/>
          <w:szCs w:val="21"/>
        </w:rPr>
        <w:t>表</w:t>
      </w:r>
      <w:r>
        <w:rPr>
          <w:rFonts w:hint="eastAsia" w:ascii="Times New Roman" w:hAnsi="Times New Roman"/>
          <w:b/>
          <w:bCs w:val="0"/>
          <w:spacing w:val="-2"/>
          <w:sz w:val="21"/>
          <w:szCs w:val="21"/>
          <w:lang w:eastAsia="zh-CN"/>
        </w:rPr>
        <w:t>5.2</w:t>
      </w:r>
      <w:r>
        <w:rPr>
          <w:rFonts w:ascii="Times New Roman" w:hAnsi="Times New Roman"/>
          <w:b/>
          <w:bCs w:val="0"/>
          <w:spacing w:val="-2"/>
          <w:sz w:val="21"/>
          <w:szCs w:val="21"/>
        </w:rPr>
        <w:noBreakHyphen/>
      </w:r>
      <w:r>
        <w:rPr>
          <w:rFonts w:ascii="Times New Roman" w:hAnsi="Times New Roman"/>
          <w:b/>
          <w:bCs w:val="0"/>
          <w:spacing w:val="-2"/>
          <w:sz w:val="21"/>
          <w:szCs w:val="21"/>
        </w:rPr>
        <w:fldChar w:fldCharType="begin"/>
      </w:r>
      <w:r>
        <w:rPr>
          <w:rFonts w:ascii="Times New Roman" w:hAnsi="Times New Roman"/>
          <w:b/>
          <w:bCs w:val="0"/>
          <w:spacing w:val="-2"/>
          <w:sz w:val="21"/>
          <w:szCs w:val="21"/>
        </w:rPr>
        <w:instrText xml:space="preserve"> SEQ 表 \* ARABIC \s 2 </w:instrText>
      </w:r>
      <w:r>
        <w:rPr>
          <w:rFonts w:ascii="Times New Roman" w:hAnsi="Times New Roman"/>
          <w:b/>
          <w:bCs w:val="0"/>
          <w:spacing w:val="-2"/>
          <w:sz w:val="21"/>
          <w:szCs w:val="21"/>
        </w:rPr>
        <w:fldChar w:fldCharType="separate"/>
      </w:r>
      <w:r>
        <w:rPr>
          <w:rFonts w:ascii="Times New Roman" w:hAnsi="Times New Roman"/>
          <w:b/>
          <w:bCs w:val="0"/>
          <w:spacing w:val="-2"/>
          <w:sz w:val="21"/>
          <w:szCs w:val="21"/>
        </w:rPr>
        <w:t>1</w:t>
      </w:r>
      <w:r>
        <w:rPr>
          <w:rFonts w:ascii="Times New Roman" w:hAnsi="Times New Roman"/>
          <w:b/>
          <w:bCs w:val="0"/>
          <w:spacing w:val="-2"/>
          <w:sz w:val="21"/>
          <w:szCs w:val="21"/>
        </w:rPr>
        <w:fldChar w:fldCharType="end"/>
      </w:r>
      <w:r>
        <w:rPr>
          <w:rFonts w:ascii="Times New Roman" w:hAnsi="Times New Roman"/>
          <w:b/>
          <w:bCs w:val="0"/>
          <w:spacing w:val="-2"/>
          <w:sz w:val="21"/>
          <w:szCs w:val="21"/>
        </w:rPr>
        <w:t xml:space="preserve"> 煤矸石毒性浸出试验结果</w:t>
      </w:r>
    </w:p>
    <w:p>
      <w:pPr>
        <w:kinsoku w:val="0"/>
        <w:overflowPunct w:val="0"/>
        <w:spacing w:before="3" w:line="10" w:lineRule="exact"/>
        <w:ind w:firstLine="40"/>
        <w:rPr>
          <w:rFonts w:hAnsi="Times New Roman" w:eastAsia="宋体"/>
          <w:sz w:val="2"/>
          <w:szCs w:val="2"/>
        </w:rPr>
      </w:pP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11"/>
        <w:gridCol w:w="1411"/>
        <w:gridCol w:w="1179"/>
        <w:gridCol w:w="1138"/>
        <w:gridCol w:w="1082"/>
        <w:gridCol w:w="1261"/>
        <w:gridCol w:w="10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83"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b/>
                <w:bCs/>
                <w:kern w:val="2"/>
                <w:szCs w:val="22"/>
              </w:rPr>
            </w:pPr>
            <w:r>
              <w:rPr>
                <w:rFonts w:hint="eastAsia" w:hAnsi="Times New Roman" w:eastAsia="宋体"/>
                <w:b/>
                <w:bCs/>
                <w:kern w:val="2"/>
                <w:szCs w:val="22"/>
              </w:rPr>
              <w:t>源项目</w:t>
            </w:r>
          </w:p>
        </w:tc>
        <w:tc>
          <w:tcPr>
            <w:tcW w:w="755"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b/>
                <w:bCs/>
                <w:kern w:val="2"/>
                <w:szCs w:val="22"/>
              </w:rPr>
            </w:pPr>
            <w:r>
              <w:rPr>
                <w:rFonts w:hint="eastAsia" w:hAnsi="Times New Roman" w:eastAsia="宋体"/>
                <w:b/>
                <w:bCs/>
                <w:kern w:val="2"/>
                <w:szCs w:val="22"/>
              </w:rPr>
              <w:t>pH</w:t>
            </w:r>
          </w:p>
        </w:tc>
        <w:tc>
          <w:tcPr>
            <w:tcW w:w="631"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b/>
                <w:bCs/>
                <w:kern w:val="2"/>
                <w:szCs w:val="22"/>
              </w:rPr>
            </w:pPr>
            <w:r>
              <w:rPr>
                <w:rFonts w:hint="eastAsia" w:hAnsi="Times New Roman" w:eastAsia="宋体"/>
                <w:b/>
                <w:bCs/>
                <w:kern w:val="2"/>
                <w:szCs w:val="22"/>
              </w:rPr>
              <w:t>Pb</w:t>
            </w:r>
          </w:p>
        </w:tc>
        <w:tc>
          <w:tcPr>
            <w:tcW w:w="609"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b/>
                <w:bCs/>
                <w:kern w:val="2"/>
                <w:szCs w:val="22"/>
              </w:rPr>
            </w:pPr>
            <w:r>
              <w:rPr>
                <w:rFonts w:hint="eastAsia" w:hAnsi="Times New Roman" w:eastAsia="宋体"/>
                <w:b/>
                <w:bCs/>
                <w:kern w:val="2"/>
                <w:szCs w:val="22"/>
              </w:rPr>
              <w:t>Cd</w:t>
            </w:r>
          </w:p>
        </w:tc>
        <w:tc>
          <w:tcPr>
            <w:tcW w:w="579"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b/>
                <w:bCs/>
                <w:kern w:val="2"/>
                <w:szCs w:val="22"/>
              </w:rPr>
            </w:pPr>
            <w:r>
              <w:rPr>
                <w:rFonts w:hint="eastAsia" w:hAnsi="Times New Roman" w:eastAsia="宋体"/>
                <w:b/>
                <w:bCs/>
                <w:kern w:val="2"/>
                <w:szCs w:val="22"/>
              </w:rPr>
              <w:t>Cr</w:t>
            </w:r>
            <w:r>
              <w:rPr>
                <w:rFonts w:hint="eastAsia" w:hAnsi="Times New Roman" w:eastAsia="宋体"/>
                <w:b/>
                <w:bCs/>
                <w:kern w:val="2"/>
                <w:szCs w:val="22"/>
                <w:vertAlign w:val="superscript"/>
              </w:rPr>
              <w:t>6+</w:t>
            </w:r>
          </w:p>
        </w:tc>
        <w:tc>
          <w:tcPr>
            <w:tcW w:w="675"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b/>
                <w:bCs/>
                <w:kern w:val="2"/>
                <w:szCs w:val="22"/>
              </w:rPr>
            </w:pPr>
            <w:r>
              <w:rPr>
                <w:rFonts w:hint="eastAsia" w:hAnsi="Times New Roman" w:eastAsia="宋体"/>
                <w:b/>
                <w:bCs/>
                <w:kern w:val="2"/>
                <w:szCs w:val="22"/>
              </w:rPr>
              <w:t>Hg</w:t>
            </w:r>
          </w:p>
        </w:tc>
        <w:tc>
          <w:tcPr>
            <w:tcW w:w="569"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b/>
                <w:bCs/>
                <w:kern w:val="2"/>
                <w:szCs w:val="22"/>
              </w:rPr>
            </w:pPr>
            <w:r>
              <w:rPr>
                <w:rFonts w:hint="eastAsia" w:hAnsi="Times New Roman" w:eastAsia="宋体"/>
                <w:b/>
                <w:bCs/>
                <w:kern w:val="2"/>
                <w:szCs w:val="22"/>
              </w:rPr>
              <w:t>As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83"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浸出结果</w:t>
            </w:r>
          </w:p>
        </w:tc>
        <w:tc>
          <w:tcPr>
            <w:tcW w:w="755"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lang w:eastAsia="zh-CN"/>
              </w:rPr>
            </w:pPr>
            <w:r>
              <w:rPr>
                <w:rFonts w:hint="eastAsia" w:hAnsi="Times New Roman" w:eastAsia="宋体"/>
                <w:kern w:val="2"/>
                <w:szCs w:val="22"/>
                <w:lang w:eastAsia="zh-CN"/>
              </w:rPr>
              <w:t>6.82</w:t>
            </w:r>
          </w:p>
        </w:tc>
        <w:tc>
          <w:tcPr>
            <w:tcW w:w="631"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未检出</w:t>
            </w:r>
          </w:p>
        </w:tc>
        <w:tc>
          <w:tcPr>
            <w:tcW w:w="609"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未检出</w:t>
            </w:r>
          </w:p>
        </w:tc>
        <w:tc>
          <w:tcPr>
            <w:tcW w:w="579"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未检出</w:t>
            </w:r>
          </w:p>
        </w:tc>
        <w:tc>
          <w:tcPr>
            <w:tcW w:w="675"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0.00149</w:t>
            </w:r>
          </w:p>
        </w:tc>
        <w:tc>
          <w:tcPr>
            <w:tcW w:w="569"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0.00175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83"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GB5085.3-2007</w:t>
            </w:r>
          </w:p>
        </w:tc>
        <w:tc>
          <w:tcPr>
            <w:tcW w:w="755"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6～9</w:t>
            </w:r>
          </w:p>
        </w:tc>
        <w:tc>
          <w:tcPr>
            <w:tcW w:w="631"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3</w:t>
            </w:r>
          </w:p>
        </w:tc>
        <w:tc>
          <w:tcPr>
            <w:tcW w:w="609"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50</w:t>
            </w:r>
          </w:p>
        </w:tc>
        <w:tc>
          <w:tcPr>
            <w:tcW w:w="579"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50</w:t>
            </w:r>
          </w:p>
        </w:tc>
        <w:tc>
          <w:tcPr>
            <w:tcW w:w="675"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10</w:t>
            </w:r>
          </w:p>
        </w:tc>
        <w:tc>
          <w:tcPr>
            <w:tcW w:w="569"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83"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B8978-1996</w:t>
            </w:r>
          </w:p>
        </w:tc>
        <w:tc>
          <w:tcPr>
            <w:tcW w:w="755"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6～9</w:t>
            </w:r>
          </w:p>
        </w:tc>
        <w:tc>
          <w:tcPr>
            <w:tcW w:w="631"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1</w:t>
            </w:r>
          </w:p>
        </w:tc>
        <w:tc>
          <w:tcPr>
            <w:tcW w:w="609"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2</w:t>
            </w:r>
          </w:p>
        </w:tc>
        <w:tc>
          <w:tcPr>
            <w:tcW w:w="579"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0.5</w:t>
            </w:r>
          </w:p>
        </w:tc>
        <w:tc>
          <w:tcPr>
            <w:tcW w:w="675"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1</w:t>
            </w:r>
          </w:p>
        </w:tc>
        <w:tc>
          <w:tcPr>
            <w:tcW w:w="569"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83"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GB/T14848-</w:t>
            </w:r>
            <w:r>
              <w:rPr>
                <w:rFonts w:hint="eastAsia"/>
                <w:kern w:val="2"/>
                <w:szCs w:val="22"/>
              </w:rPr>
              <w:t>2017</w:t>
            </w:r>
            <w:r>
              <w:rPr>
                <w:rFonts w:hint="eastAsia" w:hAnsi="Times New Roman" w:eastAsia="宋体"/>
                <w:kern w:val="2"/>
                <w:szCs w:val="22"/>
              </w:rPr>
              <w:t>Ⅲ</w:t>
            </w:r>
          </w:p>
        </w:tc>
        <w:tc>
          <w:tcPr>
            <w:tcW w:w="755"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6.5～8.5</w:t>
            </w:r>
          </w:p>
        </w:tc>
        <w:tc>
          <w:tcPr>
            <w:tcW w:w="631"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0.05</w:t>
            </w:r>
          </w:p>
        </w:tc>
        <w:tc>
          <w:tcPr>
            <w:tcW w:w="609"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1</w:t>
            </w:r>
          </w:p>
        </w:tc>
        <w:tc>
          <w:tcPr>
            <w:tcW w:w="579"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1</w:t>
            </w:r>
          </w:p>
        </w:tc>
        <w:tc>
          <w:tcPr>
            <w:tcW w:w="675"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0.05</w:t>
            </w:r>
          </w:p>
        </w:tc>
        <w:tc>
          <w:tcPr>
            <w:tcW w:w="569"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0.05</w:t>
            </w:r>
          </w:p>
        </w:tc>
      </w:tr>
    </w:tbl>
    <w:p>
      <w:pPr>
        <w:spacing w:line="360" w:lineRule="auto"/>
        <w:ind w:firstLine="420"/>
        <w:rPr>
          <w:rFonts w:hAnsi="Times New Roman" w:eastAsia="宋体"/>
          <w:sz w:val="21"/>
          <w:szCs w:val="21"/>
        </w:rPr>
      </w:pPr>
      <w:r>
        <w:rPr>
          <w:rFonts w:hAnsi="Times New Roman" w:eastAsia="宋体"/>
          <w:sz w:val="21"/>
          <w:szCs w:val="21"/>
        </w:rPr>
        <w:t xml:space="preserve">说明：GB5085.3-2007为危险废物鉴别标准浸出毒性鉴别；B8978-1996为污水综合排放标准；GB/T14848-93Ⅲ为地下水环境质量标准Ⅲ类标准。 </w:t>
      </w:r>
    </w:p>
    <w:p>
      <w:pPr>
        <w:spacing w:line="360" w:lineRule="auto"/>
        <w:ind w:firstLine="480"/>
        <w:rPr>
          <w:rFonts w:hAnsi="Times New Roman" w:eastAsia="宋体"/>
        </w:rPr>
      </w:pPr>
      <w:r>
        <w:rPr>
          <w:rFonts w:hAnsi="Times New Roman" w:eastAsia="宋体"/>
        </w:rPr>
        <w:t>综上所述，本项目煤矸石不属于危险废物。</w:t>
      </w:r>
    </w:p>
    <w:p>
      <w:pPr>
        <w:spacing w:line="360" w:lineRule="auto"/>
        <w:ind w:firstLine="480"/>
        <w:rPr>
          <w:rFonts w:hAnsi="Times New Roman" w:eastAsia="宋体"/>
        </w:rPr>
      </w:pPr>
      <w:r>
        <w:rPr>
          <w:rFonts w:hAnsi="Times New Roman" w:eastAsia="宋体"/>
        </w:rPr>
        <w:t>（2）一般工业固体废物鉴别</w:t>
      </w:r>
    </w:p>
    <w:p>
      <w:pPr>
        <w:spacing w:line="360" w:lineRule="auto"/>
        <w:ind w:firstLine="480"/>
        <w:rPr>
          <w:rFonts w:hAnsi="Times New Roman" w:eastAsia="宋体"/>
        </w:rPr>
      </w:pPr>
      <w:r>
        <w:rPr>
          <w:rFonts w:hAnsi="Times New Roman" w:eastAsia="宋体"/>
        </w:rPr>
        <w:t>根据类比项目煤矸石毒性浸出试验结果，煤矸石各项污染物浓度均低于《污水综合排放标准》最高允许排放浓度，按《一般工业固体废物贮存、处置场污染控制标准》，本项目废石属Ⅰ类工业固体废物。</w:t>
      </w:r>
    </w:p>
    <w:p>
      <w:pPr>
        <w:pStyle w:val="6"/>
        <w:rPr>
          <w:szCs w:val="22"/>
        </w:rPr>
      </w:pPr>
      <w:bookmarkStart w:id="301" w:name="_Toc163812596"/>
      <w:bookmarkStart w:id="302" w:name="_Toc167095219"/>
      <w:r>
        <w:rPr>
          <w:szCs w:val="22"/>
        </w:rPr>
        <w:t>5.2.5地下水污染控制措施</w:t>
      </w:r>
      <w:bookmarkEnd w:id="301"/>
      <w:bookmarkEnd w:id="302"/>
    </w:p>
    <w:p>
      <w:pPr>
        <w:spacing w:line="360" w:lineRule="auto"/>
        <w:ind w:firstLine="480"/>
        <w:rPr>
          <w:rFonts w:hAnsi="Times New Roman" w:eastAsia="宋体"/>
        </w:rPr>
      </w:pPr>
      <w:r>
        <w:rPr>
          <w:rFonts w:hAnsi="Times New Roman" w:eastAsia="宋体"/>
        </w:rPr>
        <w:t>矿井排水通过主平硐排出地面至矿井水处理站处理后，部分回用于矿井生产和消防用水，若矿井涌水量大于矿井用水量，多余部分经处理达标后排放。</w:t>
      </w:r>
    </w:p>
    <w:p>
      <w:pPr>
        <w:spacing w:line="360" w:lineRule="auto"/>
        <w:ind w:firstLine="480"/>
        <w:rPr>
          <w:rFonts w:hAnsi="Times New Roman" w:eastAsia="宋体"/>
        </w:rPr>
      </w:pPr>
      <w:r>
        <w:rPr>
          <w:rFonts w:hAnsi="Times New Roman" w:eastAsia="宋体"/>
        </w:rPr>
        <w:t>项目煤矸石转运场，坑木加工房、机修间等构筑物的污水及废油的跑冒滴漏，其下渗可能造成地下水水质污染，此类生产废水应分类收集于废水池进行处理，坑木加工房、机修间设置防渗系统。</w:t>
      </w:r>
    </w:p>
    <w:p>
      <w:pPr>
        <w:spacing w:line="360" w:lineRule="auto"/>
        <w:ind w:firstLine="480"/>
        <w:rPr>
          <w:rFonts w:hAnsi="Times New Roman" w:eastAsia="宋体"/>
        </w:rPr>
      </w:pPr>
      <w:r>
        <w:rPr>
          <w:rFonts w:hAnsi="Times New Roman" w:eastAsia="宋体"/>
        </w:rPr>
        <w:t>根据《一般工业固体废物贮存、处置场污染控制标准》，因本项目煤矸石Ⅰ类工业固体废物，煤矸石转运场可不设置防渗系统。</w:t>
      </w:r>
    </w:p>
    <w:p>
      <w:pPr>
        <w:spacing w:line="360" w:lineRule="auto"/>
        <w:ind w:firstLine="480"/>
        <w:rPr>
          <w:rFonts w:hAnsi="Times New Roman" w:eastAsia="宋体"/>
        </w:rPr>
      </w:pPr>
      <w:r>
        <w:rPr>
          <w:rFonts w:hAnsi="Times New Roman" w:eastAsia="宋体"/>
        </w:rPr>
        <w:t>根据《环境影响评价技术导则-地下水环境》（HJ610-2016），本项目</w:t>
      </w:r>
      <w:r>
        <w:rPr>
          <w:rFonts w:hint="eastAsia" w:hAnsi="Times New Roman" w:eastAsia="宋体"/>
          <w:lang w:eastAsia="zh-CN"/>
        </w:rPr>
        <w:t>其他构筑物</w:t>
      </w:r>
      <w:r>
        <w:rPr>
          <w:rFonts w:hAnsi="Times New Roman" w:eastAsia="宋体"/>
        </w:rPr>
        <w:t>防渗措施应根据建设项目场地天然包气带防污性能、污染控制难易程度和污染物特性提出防渗技术要求。</w:t>
      </w:r>
    </w:p>
    <w:p>
      <w:pPr>
        <w:pStyle w:val="5"/>
        <w:rPr>
          <w:rFonts w:ascii="Times New Roman" w:hAnsi="Times New Roman"/>
          <w:szCs w:val="22"/>
          <w:lang w:eastAsia="zh-CN"/>
        </w:rPr>
      </w:pPr>
      <w:bookmarkStart w:id="303" w:name="_Toc163749171"/>
      <w:bookmarkStart w:id="304" w:name="_Toc167095220"/>
      <w:r>
        <w:rPr>
          <w:rFonts w:ascii="Times New Roman" w:hAnsi="Times New Roman"/>
          <w:szCs w:val="22"/>
          <w:lang w:eastAsia="zh-CN"/>
        </w:rPr>
        <w:t>5.3地下水环境现状调查与评价</w:t>
      </w:r>
      <w:bookmarkEnd w:id="303"/>
      <w:bookmarkEnd w:id="304"/>
    </w:p>
    <w:p>
      <w:pPr>
        <w:pStyle w:val="6"/>
        <w:rPr>
          <w:szCs w:val="22"/>
        </w:rPr>
      </w:pPr>
      <w:bookmarkStart w:id="305" w:name="_Toc163812598"/>
      <w:bookmarkStart w:id="306" w:name="_Toc167095221"/>
      <w:r>
        <w:rPr>
          <w:szCs w:val="22"/>
        </w:rPr>
        <w:t>5.3.1地下水环境现状调查内容与方法</w:t>
      </w:r>
      <w:bookmarkEnd w:id="305"/>
      <w:bookmarkEnd w:id="306"/>
    </w:p>
    <w:p>
      <w:pPr>
        <w:spacing w:line="360" w:lineRule="auto"/>
        <w:ind w:firstLine="480"/>
        <w:rPr>
          <w:rFonts w:hAnsi="Times New Roman" w:eastAsia="宋体"/>
        </w:rPr>
      </w:pPr>
      <w:r>
        <w:rPr>
          <w:rFonts w:hAnsi="Times New Roman" w:eastAsia="宋体"/>
        </w:rPr>
        <w:t>项目区地下水环境调查是根据建设项目所在地区的水环境特点，根据地下水环境保护目标开展调查。调查的方法主要采用收集资料法、现场调查法及钻探等。现场调查包括：水文地质基础调查、环境水文地质调查、地下水水质和污染调查等。</w:t>
      </w:r>
    </w:p>
    <w:p>
      <w:pPr>
        <w:spacing w:line="360" w:lineRule="auto"/>
        <w:ind w:firstLine="480"/>
        <w:rPr>
          <w:rFonts w:hAnsi="Times New Roman" w:eastAsia="宋体"/>
        </w:rPr>
      </w:pPr>
      <w:r>
        <w:rPr>
          <w:rFonts w:hAnsi="Times New Roman" w:eastAsia="宋体"/>
        </w:rPr>
        <w:t>具体调查内容有：</w:t>
      </w:r>
    </w:p>
    <w:p>
      <w:pPr>
        <w:spacing w:line="360" w:lineRule="auto"/>
        <w:ind w:firstLine="480"/>
        <w:rPr>
          <w:rFonts w:hAnsi="Times New Roman" w:eastAsia="宋体"/>
        </w:rPr>
      </w:pPr>
      <w:r>
        <w:rPr>
          <w:rFonts w:hAnsi="Times New Roman" w:eastAsia="宋体"/>
        </w:rPr>
        <w:t>（1）水文地质条件调查</w:t>
      </w:r>
    </w:p>
    <w:p>
      <w:pPr>
        <w:spacing w:line="360" w:lineRule="auto"/>
        <w:ind w:firstLine="480"/>
        <w:rPr>
          <w:rFonts w:hAnsi="Times New Roman" w:eastAsia="宋体"/>
        </w:rPr>
      </w:pPr>
      <w:r>
        <w:rPr>
          <w:rFonts w:hAnsi="Times New Roman" w:eastAsia="宋体"/>
        </w:rPr>
        <w:t>1）气象、水文、土壤和植被状况。</w:t>
      </w:r>
    </w:p>
    <w:p>
      <w:pPr>
        <w:spacing w:line="360" w:lineRule="auto"/>
        <w:ind w:firstLine="480"/>
        <w:rPr>
          <w:rFonts w:hAnsi="Times New Roman" w:eastAsia="宋体"/>
        </w:rPr>
      </w:pPr>
      <w:r>
        <w:rPr>
          <w:rFonts w:hAnsi="Times New Roman" w:eastAsia="宋体"/>
        </w:rPr>
        <w:t>2）地层岩性、地质构造、地貌特征与矿产资源。</w:t>
      </w:r>
    </w:p>
    <w:p>
      <w:pPr>
        <w:spacing w:line="360" w:lineRule="auto"/>
        <w:ind w:firstLine="480"/>
        <w:rPr>
          <w:rFonts w:hAnsi="Times New Roman" w:eastAsia="宋体"/>
        </w:rPr>
      </w:pPr>
      <w:r>
        <w:rPr>
          <w:rFonts w:hAnsi="Times New Roman" w:eastAsia="宋体"/>
        </w:rPr>
        <w:t>3）通过实地钻孔资料分析含水层的岩性、分布、结构、厚度、埋藏条件、渗透性 和富水程度等；隔水层（弱透水层）的岩性、厚度、渗透性等。</w:t>
      </w:r>
    </w:p>
    <w:p>
      <w:pPr>
        <w:spacing w:line="360" w:lineRule="auto"/>
        <w:ind w:firstLine="480"/>
        <w:rPr>
          <w:rFonts w:hAnsi="Times New Roman" w:eastAsia="宋体"/>
        </w:rPr>
      </w:pPr>
      <w:r>
        <w:rPr>
          <w:rFonts w:hAnsi="Times New Roman" w:eastAsia="宋体"/>
        </w:rPr>
        <w:t>4）结合区域地质背景特征分析区域地下水类型、补给、径流和排泄条件。</w:t>
      </w:r>
    </w:p>
    <w:p>
      <w:pPr>
        <w:spacing w:line="360" w:lineRule="auto"/>
        <w:ind w:firstLine="480"/>
        <w:rPr>
          <w:rFonts w:hAnsi="Times New Roman" w:eastAsia="宋体"/>
        </w:rPr>
      </w:pPr>
      <w:r>
        <w:rPr>
          <w:rFonts w:hAnsi="Times New Roman" w:eastAsia="宋体"/>
        </w:rPr>
        <w:t>5）地下水水位、水质、水量、水温、地下水化学类型。</w:t>
      </w:r>
    </w:p>
    <w:p>
      <w:pPr>
        <w:spacing w:line="360" w:lineRule="auto"/>
        <w:ind w:firstLine="480"/>
        <w:rPr>
          <w:rFonts w:hAnsi="Times New Roman" w:eastAsia="宋体"/>
        </w:rPr>
      </w:pPr>
      <w:r>
        <w:rPr>
          <w:rFonts w:hAnsi="Times New Roman" w:eastAsia="宋体"/>
        </w:rPr>
        <w:t>6）地下水资源量及现利用情况。</w:t>
      </w:r>
    </w:p>
    <w:p>
      <w:pPr>
        <w:spacing w:line="360" w:lineRule="auto"/>
        <w:ind w:firstLine="480"/>
        <w:rPr>
          <w:rFonts w:hAnsi="Times New Roman" w:eastAsia="宋体"/>
        </w:rPr>
      </w:pPr>
      <w:r>
        <w:rPr>
          <w:rFonts w:hAnsi="Times New Roman" w:eastAsia="宋体"/>
        </w:rPr>
        <w:t>7）集中供水水源地和水源井的分布情况（包括开采层的成井的密度、水井结构、深度以及开采历史）。</w:t>
      </w:r>
    </w:p>
    <w:p>
      <w:pPr>
        <w:spacing w:line="360" w:lineRule="auto"/>
        <w:ind w:firstLine="480"/>
        <w:rPr>
          <w:rFonts w:hAnsi="Times New Roman" w:eastAsia="宋体"/>
        </w:rPr>
      </w:pPr>
      <w:r>
        <w:rPr>
          <w:rFonts w:hAnsi="Times New Roman" w:eastAsia="宋体"/>
        </w:rPr>
        <w:t>8）地下水环境监测现状值（或地下水污染对照值）。</w:t>
      </w:r>
    </w:p>
    <w:p>
      <w:pPr>
        <w:spacing w:line="360" w:lineRule="auto"/>
        <w:ind w:firstLine="480"/>
        <w:rPr>
          <w:rFonts w:hAnsi="Times New Roman" w:eastAsia="宋体"/>
        </w:rPr>
      </w:pPr>
      <w:r>
        <w:rPr>
          <w:rFonts w:hAnsi="Times New Roman" w:eastAsia="宋体"/>
        </w:rPr>
        <w:t>（2）地下水污染源调查</w:t>
      </w:r>
    </w:p>
    <w:p>
      <w:pPr>
        <w:spacing w:line="360" w:lineRule="auto"/>
        <w:ind w:firstLine="480"/>
        <w:rPr>
          <w:rFonts w:hAnsi="Times New Roman" w:eastAsia="宋体"/>
        </w:rPr>
      </w:pPr>
      <w:r>
        <w:rPr>
          <w:rFonts w:hAnsi="Times New Roman" w:eastAsia="宋体"/>
        </w:rPr>
        <w:t>通过区域水文地质报告资料分析及现场调查场区及周边地区可能造成或已经造成 地下水污染的污染源和敏感区。</w:t>
      </w:r>
    </w:p>
    <w:p>
      <w:pPr>
        <w:spacing w:line="360" w:lineRule="auto"/>
        <w:ind w:firstLine="480"/>
        <w:rPr>
          <w:rFonts w:hAnsi="Times New Roman" w:eastAsia="宋体"/>
        </w:rPr>
      </w:pPr>
      <w:r>
        <w:rPr>
          <w:rFonts w:hAnsi="Times New Roman" w:eastAsia="宋体"/>
        </w:rPr>
        <w:t>1）对已有污染源调查资料的地区，通过搜集现有资料解决。</w:t>
      </w:r>
    </w:p>
    <w:p>
      <w:pPr>
        <w:spacing w:line="360" w:lineRule="auto"/>
        <w:ind w:firstLine="480"/>
        <w:rPr>
          <w:rFonts w:hAnsi="Times New Roman" w:eastAsia="宋体"/>
        </w:rPr>
      </w:pPr>
      <w:r>
        <w:rPr>
          <w:rFonts w:hAnsi="Times New Roman" w:eastAsia="宋体"/>
        </w:rPr>
        <w:t>2）对于没有污染源调查资料，或已有部分调查资料，结合环境水文地质问题同步进行调查。对分散在评价区的非工业污染源，根据污染源的特点，参照上述规定进行调查。</w:t>
      </w:r>
    </w:p>
    <w:p>
      <w:pPr>
        <w:pStyle w:val="6"/>
        <w:rPr>
          <w:szCs w:val="22"/>
          <w:lang w:eastAsia="zh-CN"/>
        </w:rPr>
      </w:pPr>
      <w:bookmarkStart w:id="307" w:name="_Toc163812599"/>
      <w:bookmarkStart w:id="308" w:name="_Toc167095222"/>
      <w:r>
        <w:rPr>
          <w:szCs w:val="22"/>
        </w:rPr>
        <w:t>5.3.2区域</w:t>
      </w:r>
      <w:bookmarkEnd w:id="307"/>
      <w:r>
        <w:rPr>
          <w:rFonts w:hint="eastAsia"/>
          <w:szCs w:val="22"/>
          <w:lang w:eastAsia="zh-CN"/>
        </w:rPr>
        <w:t>地质概况</w:t>
      </w:r>
      <w:bookmarkEnd w:id="308"/>
    </w:p>
    <w:p>
      <w:pPr>
        <w:pStyle w:val="53"/>
        <w:ind w:firstLine="0" w:firstLineChars="0"/>
        <w:rPr>
          <w:rFonts w:eastAsia="宋体"/>
          <w:b/>
          <w:bCs/>
        </w:rPr>
      </w:pPr>
      <w:bookmarkStart w:id="309" w:name="_Toc163812600"/>
      <w:r>
        <w:rPr>
          <w:rFonts w:eastAsia="宋体"/>
          <w:b/>
          <w:bCs/>
        </w:rPr>
        <w:t>5.3.2.1地形地貌</w:t>
      </w:r>
    </w:p>
    <w:p>
      <w:pPr>
        <w:spacing w:line="360" w:lineRule="auto"/>
        <w:ind w:firstLine="480"/>
        <w:rPr>
          <w:rFonts w:hAnsi="Times New Roman" w:eastAsia="宋体"/>
          <w:szCs w:val="24"/>
        </w:rPr>
      </w:pPr>
      <w:r>
        <w:rPr>
          <w:rFonts w:hAnsi="Times New Roman" w:eastAsia="宋体"/>
          <w:szCs w:val="24"/>
        </w:rPr>
        <w:t>矿区属中等切割的低山区，以构造剥蚀地貌为主。矿区总体地势呈中部低，东西两侧高，为山地地形。矿区一带最高点位于矿区西部马踏坪，海拔+1160m；最低点位于千子河附近，海拔约+380m，区最大相对高差880m 左右。</w:t>
      </w:r>
    </w:p>
    <w:p>
      <w:pPr>
        <w:pStyle w:val="53"/>
        <w:ind w:firstLine="0" w:firstLineChars="0"/>
        <w:rPr>
          <w:rFonts w:eastAsia="宋体"/>
          <w:b/>
          <w:bCs/>
        </w:rPr>
      </w:pPr>
      <w:r>
        <w:rPr>
          <w:rFonts w:eastAsia="宋体"/>
          <w:b/>
          <w:bCs/>
        </w:rPr>
        <w:t>5.3.2.2地层岩性</w:t>
      </w:r>
    </w:p>
    <w:p>
      <w:pPr>
        <w:spacing w:line="360" w:lineRule="auto"/>
        <w:ind w:firstLine="480"/>
        <w:rPr>
          <w:rFonts w:hAnsi="Times New Roman" w:eastAsia="宋体"/>
          <w:szCs w:val="24"/>
        </w:rPr>
      </w:pPr>
      <w:r>
        <w:rPr>
          <w:rFonts w:hAnsi="Times New Roman" w:eastAsia="宋体"/>
          <w:szCs w:val="24"/>
        </w:rPr>
        <w:t>矿区出露最老地层为三叠系中统雷口坡组（T</w:t>
      </w:r>
      <w:r>
        <w:rPr>
          <w:rFonts w:hAnsi="Times New Roman" w:eastAsia="宋体"/>
          <w:szCs w:val="24"/>
          <w:vertAlign w:val="subscript"/>
        </w:rPr>
        <w:t>2</w:t>
      </w:r>
      <w:r>
        <w:rPr>
          <w:rFonts w:hAnsi="Times New Roman" w:eastAsia="宋体"/>
          <w:szCs w:val="24"/>
        </w:rPr>
        <w:t>l），最新地层为侏罗系中下统自流井组</w:t>
      </w:r>
      <w:r>
        <w:rPr>
          <w:rFonts w:hAnsi="Times New Roman" w:eastAsia="宋体"/>
          <w:szCs w:val="24"/>
          <w:lang w:val="zh-CN"/>
        </w:rPr>
        <w:t>（J</w:t>
      </w:r>
      <w:r>
        <w:rPr>
          <w:rFonts w:hAnsi="Times New Roman" w:eastAsia="宋体"/>
          <w:szCs w:val="24"/>
          <w:vertAlign w:val="subscript"/>
          <w:lang w:val="zh-CN"/>
        </w:rPr>
        <w:t>1-2</w:t>
      </w:r>
      <w:r>
        <w:rPr>
          <w:rFonts w:hAnsi="Times New Roman" w:eastAsia="宋体"/>
          <w:szCs w:val="24"/>
          <w:lang w:val="zh-CN"/>
        </w:rPr>
        <w:t>z）</w:t>
      </w:r>
      <w:r>
        <w:rPr>
          <w:rFonts w:hAnsi="Times New Roman" w:eastAsia="宋体"/>
          <w:szCs w:val="24"/>
        </w:rPr>
        <w:t>。现由老到新简述如下：</w:t>
      </w:r>
    </w:p>
    <w:p>
      <w:pPr>
        <w:spacing w:line="360" w:lineRule="auto"/>
        <w:ind w:firstLine="480"/>
        <w:rPr>
          <w:rFonts w:hAnsi="Times New Roman" w:eastAsia="宋体"/>
          <w:szCs w:val="24"/>
        </w:rPr>
      </w:pPr>
      <w:r>
        <w:rPr>
          <w:rFonts w:hAnsi="Times New Roman" w:eastAsia="宋体"/>
          <w:szCs w:val="24"/>
        </w:rPr>
        <w:t>（1）三叠系中统雷口坡组（T</w:t>
      </w:r>
      <w:r>
        <w:rPr>
          <w:rFonts w:hAnsi="Times New Roman" w:eastAsia="宋体"/>
          <w:szCs w:val="24"/>
          <w:vertAlign w:val="subscript"/>
        </w:rPr>
        <w:t>2</w:t>
      </w:r>
      <w:r>
        <w:rPr>
          <w:rFonts w:hAnsi="Times New Roman" w:eastAsia="宋体"/>
          <w:szCs w:val="24"/>
        </w:rPr>
        <w:t>l）</w:t>
      </w:r>
    </w:p>
    <w:p>
      <w:pPr>
        <w:spacing w:line="360" w:lineRule="auto"/>
        <w:ind w:firstLine="480"/>
        <w:rPr>
          <w:rFonts w:hAnsi="Times New Roman" w:eastAsia="宋体"/>
          <w:szCs w:val="24"/>
        </w:rPr>
      </w:pPr>
      <w:r>
        <w:rPr>
          <w:rFonts w:hAnsi="Times New Roman" w:eastAsia="宋体"/>
          <w:szCs w:val="24"/>
        </w:rPr>
        <w:t>该地层厚约130m，顶部一般为暗灰色、灰黄色泥质石灰岩，偶见腕足类化石；上部为灰、青灰色中厚层灰岩，夹薄层钙质泥岩；下部为棕黄色及黄灰色薄层泥质灰岩和钙质泥岩；底部为浅灰色白云质灰岩及灰黄色钙质泥岩。</w:t>
      </w:r>
    </w:p>
    <w:p>
      <w:pPr>
        <w:spacing w:line="360" w:lineRule="auto"/>
        <w:ind w:firstLine="480"/>
        <w:rPr>
          <w:rFonts w:hAnsi="Times New Roman" w:eastAsia="宋体"/>
          <w:szCs w:val="24"/>
        </w:rPr>
      </w:pPr>
      <w:r>
        <w:rPr>
          <w:rFonts w:hAnsi="Times New Roman" w:eastAsia="宋体"/>
          <w:szCs w:val="24"/>
          <w:lang w:val="zh-CN"/>
        </w:rPr>
        <w:t>（2）三叠系上统须家河组（T</w:t>
      </w:r>
      <w:r>
        <w:rPr>
          <w:rFonts w:hAnsi="Times New Roman" w:eastAsia="宋体"/>
          <w:szCs w:val="24"/>
          <w:vertAlign w:val="subscript"/>
          <w:lang w:val="zh-CN"/>
        </w:rPr>
        <w:t>3</w:t>
      </w:r>
      <w:r>
        <w:rPr>
          <w:rFonts w:hAnsi="Times New Roman" w:eastAsia="宋体"/>
          <w:szCs w:val="24"/>
          <w:lang w:val="zh-CN"/>
        </w:rPr>
        <w:t>xj）</w:t>
      </w:r>
    </w:p>
    <w:p>
      <w:pPr>
        <w:spacing w:line="360" w:lineRule="auto"/>
        <w:ind w:firstLine="480"/>
        <w:rPr>
          <w:rFonts w:hAnsi="Times New Roman" w:eastAsia="宋体"/>
          <w:szCs w:val="24"/>
        </w:rPr>
      </w:pPr>
      <w:r>
        <w:rPr>
          <w:rFonts w:hAnsi="Times New Roman" w:eastAsia="宋体"/>
          <w:szCs w:val="24"/>
        </w:rPr>
        <w:t>上三叠统晚期沉积的上三叠统须家河组（T</w:t>
      </w:r>
      <w:r>
        <w:rPr>
          <w:rFonts w:hAnsi="Times New Roman" w:eastAsia="宋体"/>
          <w:szCs w:val="24"/>
          <w:vertAlign w:val="subscript"/>
        </w:rPr>
        <w:t>3</w:t>
      </w:r>
      <w:r>
        <w:rPr>
          <w:rFonts w:hAnsi="Times New Roman" w:eastAsia="宋体"/>
          <w:szCs w:val="24"/>
        </w:rPr>
        <w:t>xj），为一套含煤陆相碎屑沉积岩，属井田含煤地层。按其岩性，岩相特征将本组分为七段，一、三、五、七段为含煤段，其中五、七段为主要含煤段，二、四和六段为砂岩段。按其岩性、岩相特征由下往上为：</w:t>
      </w:r>
    </w:p>
    <w:p>
      <w:pPr>
        <w:spacing w:line="360" w:lineRule="auto"/>
        <w:ind w:firstLine="480"/>
        <w:rPr>
          <w:rFonts w:hAnsi="Times New Roman" w:eastAsia="宋体"/>
          <w:szCs w:val="24"/>
        </w:rPr>
      </w:pPr>
      <w:r>
        <w:rPr>
          <w:rFonts w:hAnsi="Times New Roman" w:eastAsia="宋体"/>
          <w:szCs w:val="24"/>
        </w:rPr>
        <w:t>1）须家河组一段（T</w:t>
      </w:r>
      <w:r>
        <w:rPr>
          <w:rFonts w:hAnsi="Times New Roman" w:eastAsia="宋体"/>
          <w:szCs w:val="24"/>
          <w:vertAlign w:val="subscript"/>
        </w:rPr>
        <w:t>3</w:t>
      </w:r>
      <w:r>
        <w:rPr>
          <w:rFonts w:hAnsi="Times New Roman" w:eastAsia="宋体"/>
          <w:szCs w:val="24"/>
        </w:rPr>
        <w:t>xj</w:t>
      </w:r>
      <w:r>
        <w:rPr>
          <w:rFonts w:hAnsi="Times New Roman" w:eastAsia="宋体"/>
          <w:szCs w:val="24"/>
          <w:vertAlign w:val="superscript"/>
        </w:rPr>
        <w:t>1</w:t>
      </w:r>
      <w:r>
        <w:rPr>
          <w:rFonts w:hAnsi="Times New Roman" w:eastAsia="宋体"/>
          <w:szCs w:val="24"/>
        </w:rPr>
        <w:t>）</w:t>
      </w:r>
    </w:p>
    <w:p>
      <w:pPr>
        <w:spacing w:line="360" w:lineRule="auto"/>
        <w:ind w:firstLine="480"/>
        <w:rPr>
          <w:rFonts w:hAnsi="Times New Roman" w:eastAsia="宋体"/>
          <w:szCs w:val="24"/>
        </w:rPr>
      </w:pPr>
      <w:r>
        <w:rPr>
          <w:rFonts w:hAnsi="Times New Roman" w:eastAsia="宋体"/>
          <w:szCs w:val="24"/>
        </w:rPr>
        <w:t>以灰色及深灰色泥岩、粉砂质泥岩为主，夹灰色细砂岩及薄层粉砂岩，含K1煤层及煤线。厚35～55m。与下伏雷口坡组（T</w:t>
      </w:r>
      <w:r>
        <w:rPr>
          <w:rFonts w:hAnsi="Times New Roman" w:eastAsia="宋体"/>
          <w:szCs w:val="24"/>
          <w:vertAlign w:val="subscript"/>
        </w:rPr>
        <w:t>2</w:t>
      </w:r>
      <w:r>
        <w:rPr>
          <w:rFonts w:hAnsi="Times New Roman" w:eastAsia="宋体"/>
          <w:szCs w:val="24"/>
        </w:rPr>
        <w:t>l）为假整合接触。</w:t>
      </w:r>
    </w:p>
    <w:p>
      <w:pPr>
        <w:spacing w:line="360" w:lineRule="auto"/>
        <w:ind w:firstLine="480"/>
        <w:rPr>
          <w:rFonts w:hAnsi="Times New Roman" w:eastAsia="宋体"/>
          <w:szCs w:val="24"/>
        </w:rPr>
      </w:pPr>
      <w:r>
        <w:rPr>
          <w:rFonts w:hAnsi="Times New Roman" w:eastAsia="宋体"/>
          <w:szCs w:val="24"/>
        </w:rPr>
        <w:t>2）须家河组第二段（T</w:t>
      </w:r>
      <w:r>
        <w:rPr>
          <w:rFonts w:hAnsi="Times New Roman" w:eastAsia="宋体"/>
          <w:szCs w:val="24"/>
          <w:vertAlign w:val="subscript"/>
        </w:rPr>
        <w:t>3</w:t>
      </w:r>
      <w:r>
        <w:rPr>
          <w:rFonts w:hAnsi="Times New Roman" w:eastAsia="宋体"/>
          <w:szCs w:val="24"/>
        </w:rPr>
        <w:t>xj</w:t>
      </w:r>
      <w:r>
        <w:rPr>
          <w:rFonts w:hAnsi="Times New Roman" w:eastAsia="宋体"/>
          <w:szCs w:val="24"/>
          <w:vertAlign w:val="superscript"/>
        </w:rPr>
        <w:t>2</w:t>
      </w:r>
      <w:r>
        <w:rPr>
          <w:rFonts w:hAnsi="Times New Roman" w:eastAsia="宋体"/>
          <w:szCs w:val="24"/>
        </w:rPr>
        <w:t xml:space="preserve">） </w:t>
      </w:r>
    </w:p>
    <w:p>
      <w:pPr>
        <w:spacing w:line="360" w:lineRule="auto"/>
        <w:ind w:firstLine="480"/>
        <w:rPr>
          <w:rFonts w:hAnsi="Times New Roman" w:eastAsia="宋体"/>
          <w:szCs w:val="24"/>
        </w:rPr>
      </w:pPr>
      <w:r>
        <w:rPr>
          <w:rFonts w:hAnsi="Times New Roman" w:eastAsia="宋体"/>
          <w:szCs w:val="24"/>
        </w:rPr>
        <w:t>上部为灰黄色中厚层状细至中粒长石石英砂岩，中部夹薄层灰色砂质泥岩、黄灰色薄层粉砂岩及深灰色泥岩，夹煤线及炭质泥岩数层。斜层理发育，常见硅化木和泥质包裹体。厚度大约170m。</w:t>
      </w:r>
    </w:p>
    <w:p>
      <w:pPr>
        <w:spacing w:line="360" w:lineRule="auto"/>
        <w:ind w:firstLine="480"/>
        <w:rPr>
          <w:rFonts w:hAnsi="Times New Roman" w:eastAsia="宋体"/>
          <w:szCs w:val="24"/>
        </w:rPr>
      </w:pPr>
      <w:r>
        <w:rPr>
          <w:rFonts w:hAnsi="Times New Roman" w:eastAsia="宋体"/>
          <w:szCs w:val="24"/>
        </w:rPr>
        <w:t>3）须家河组第三段（T</w:t>
      </w:r>
      <w:r>
        <w:rPr>
          <w:rFonts w:hAnsi="Times New Roman" w:eastAsia="宋体"/>
          <w:szCs w:val="24"/>
          <w:vertAlign w:val="subscript"/>
        </w:rPr>
        <w:t>3</w:t>
      </w:r>
      <w:r>
        <w:rPr>
          <w:rFonts w:hAnsi="Times New Roman" w:eastAsia="宋体"/>
          <w:szCs w:val="24"/>
        </w:rPr>
        <w:t>xj</w:t>
      </w:r>
      <w:r>
        <w:rPr>
          <w:rFonts w:hAnsi="Times New Roman" w:eastAsia="宋体"/>
          <w:szCs w:val="24"/>
          <w:vertAlign w:val="superscript"/>
        </w:rPr>
        <w:t>3</w:t>
      </w:r>
      <w:r>
        <w:rPr>
          <w:rFonts w:hAnsi="Times New Roman" w:eastAsia="宋体"/>
          <w:szCs w:val="24"/>
        </w:rPr>
        <w:t>）</w:t>
      </w:r>
    </w:p>
    <w:p>
      <w:pPr>
        <w:spacing w:line="360" w:lineRule="auto"/>
        <w:ind w:firstLine="480"/>
        <w:rPr>
          <w:rFonts w:hAnsi="Times New Roman" w:eastAsia="宋体"/>
          <w:szCs w:val="24"/>
        </w:rPr>
      </w:pPr>
      <w:r>
        <w:rPr>
          <w:rFonts w:hAnsi="Times New Roman" w:eastAsia="宋体"/>
          <w:szCs w:val="24"/>
        </w:rPr>
        <w:t>为灰色、深灰色泥岩，砂质泥岩，炭质泥岩、煤及薄至中厚层状砂岩、粉砂岩等组成，含煤层（线）。平均厚59m。</w:t>
      </w:r>
    </w:p>
    <w:p>
      <w:pPr>
        <w:spacing w:line="360" w:lineRule="auto"/>
        <w:ind w:firstLine="480"/>
        <w:rPr>
          <w:rFonts w:hAnsi="Times New Roman" w:eastAsia="宋体"/>
          <w:szCs w:val="24"/>
        </w:rPr>
      </w:pPr>
      <w:r>
        <w:rPr>
          <w:rFonts w:hAnsi="Times New Roman" w:eastAsia="宋体"/>
          <w:szCs w:val="24"/>
        </w:rPr>
        <w:t>4）须家河组第四段（T</w:t>
      </w:r>
      <w:r>
        <w:rPr>
          <w:rFonts w:hAnsi="Times New Roman" w:eastAsia="宋体"/>
          <w:szCs w:val="24"/>
          <w:vertAlign w:val="subscript"/>
        </w:rPr>
        <w:t>3</w:t>
      </w:r>
      <w:r>
        <w:rPr>
          <w:rFonts w:hAnsi="Times New Roman" w:eastAsia="宋体"/>
          <w:szCs w:val="24"/>
        </w:rPr>
        <w:t>xj</w:t>
      </w:r>
      <w:r>
        <w:rPr>
          <w:rFonts w:hAnsi="Times New Roman" w:eastAsia="宋体"/>
          <w:szCs w:val="24"/>
          <w:vertAlign w:val="superscript"/>
        </w:rPr>
        <w:t>4</w:t>
      </w:r>
      <w:r>
        <w:rPr>
          <w:rFonts w:hAnsi="Times New Roman" w:eastAsia="宋体"/>
          <w:szCs w:val="24"/>
        </w:rPr>
        <w:t>）</w:t>
      </w:r>
    </w:p>
    <w:p>
      <w:pPr>
        <w:spacing w:line="360" w:lineRule="auto"/>
        <w:ind w:firstLine="480"/>
        <w:rPr>
          <w:rFonts w:hAnsi="Times New Roman" w:eastAsia="宋体"/>
          <w:szCs w:val="24"/>
        </w:rPr>
      </w:pPr>
      <w:r>
        <w:rPr>
          <w:rFonts w:hAnsi="Times New Roman" w:eastAsia="宋体"/>
          <w:szCs w:val="24"/>
        </w:rPr>
        <w:t>主要由灰色及黄灰色中粒砂岩组成。顶部为薄层至中厚层状，中上部为厚层状，主要矿物</w:t>
      </w:r>
      <w:r>
        <w:rPr>
          <w:rFonts w:hint="eastAsia" w:hAnsi="Times New Roman" w:eastAsia="宋体"/>
          <w:szCs w:val="24"/>
          <w:lang w:eastAsia="zh-CN"/>
        </w:rPr>
        <w:t>成分</w:t>
      </w:r>
      <w:r>
        <w:rPr>
          <w:rFonts w:hAnsi="Times New Roman" w:eastAsia="宋体"/>
          <w:szCs w:val="24"/>
        </w:rPr>
        <w:t>为长石石英，含少量暗色矿物，致密坚硬，含泥质包裹体和砾石，泥质胶结，斜层理及交错层理发育，平均厚85m。</w:t>
      </w:r>
    </w:p>
    <w:p>
      <w:pPr>
        <w:spacing w:line="360" w:lineRule="auto"/>
        <w:ind w:firstLine="480"/>
        <w:rPr>
          <w:rFonts w:hAnsi="Times New Roman" w:eastAsia="宋体"/>
          <w:szCs w:val="24"/>
        </w:rPr>
      </w:pPr>
      <w:r>
        <w:rPr>
          <w:rFonts w:hAnsi="Times New Roman" w:eastAsia="宋体"/>
          <w:szCs w:val="24"/>
        </w:rPr>
        <w:t>5）须家河组第五段（T</w:t>
      </w:r>
      <w:r>
        <w:rPr>
          <w:rFonts w:hAnsi="Times New Roman" w:eastAsia="宋体"/>
          <w:szCs w:val="24"/>
          <w:vertAlign w:val="subscript"/>
        </w:rPr>
        <w:t>3</w:t>
      </w:r>
      <w:r>
        <w:rPr>
          <w:rFonts w:hAnsi="Times New Roman" w:eastAsia="宋体"/>
          <w:szCs w:val="24"/>
        </w:rPr>
        <w:t>xj</w:t>
      </w:r>
      <w:r>
        <w:rPr>
          <w:rFonts w:hAnsi="Times New Roman" w:eastAsia="宋体"/>
          <w:szCs w:val="24"/>
          <w:vertAlign w:val="superscript"/>
        </w:rPr>
        <w:t>5</w:t>
      </w:r>
      <w:r>
        <w:rPr>
          <w:rFonts w:hAnsi="Times New Roman" w:eastAsia="宋体"/>
          <w:szCs w:val="24"/>
        </w:rPr>
        <w:t>）</w:t>
      </w:r>
    </w:p>
    <w:p>
      <w:pPr>
        <w:spacing w:line="360" w:lineRule="auto"/>
        <w:ind w:firstLine="480"/>
        <w:rPr>
          <w:rFonts w:hAnsi="Times New Roman" w:eastAsia="宋体"/>
          <w:szCs w:val="24"/>
        </w:rPr>
      </w:pPr>
      <w:r>
        <w:rPr>
          <w:rFonts w:hAnsi="Times New Roman" w:eastAsia="宋体"/>
          <w:szCs w:val="24"/>
        </w:rPr>
        <w:t>主要由灰色和深灰色泥岩、粉砂质泥岩、炭质泥岩和薄煤层（煤线）组成，间夹数层厚度不等的灰色粉砂岩和细粒砂岩。含大量植物化石，含K4、K5、K5-1、K6和K8煤层。厚50m左右。</w:t>
      </w:r>
    </w:p>
    <w:p>
      <w:pPr>
        <w:spacing w:line="360" w:lineRule="auto"/>
        <w:ind w:firstLine="480"/>
        <w:rPr>
          <w:rFonts w:hAnsi="Times New Roman" w:eastAsia="宋体"/>
          <w:szCs w:val="24"/>
        </w:rPr>
      </w:pPr>
      <w:r>
        <w:rPr>
          <w:rFonts w:hAnsi="Times New Roman" w:eastAsia="宋体"/>
          <w:szCs w:val="24"/>
        </w:rPr>
        <w:t>6）须家河组第六段（T</w:t>
      </w:r>
      <w:r>
        <w:rPr>
          <w:rFonts w:hAnsi="Times New Roman" w:eastAsia="宋体"/>
          <w:szCs w:val="24"/>
          <w:vertAlign w:val="subscript"/>
        </w:rPr>
        <w:t>3</w:t>
      </w:r>
      <w:r>
        <w:rPr>
          <w:rFonts w:hAnsi="Times New Roman" w:eastAsia="宋体"/>
          <w:szCs w:val="24"/>
        </w:rPr>
        <w:t>xj</w:t>
      </w:r>
      <w:r>
        <w:rPr>
          <w:rFonts w:hAnsi="Times New Roman" w:eastAsia="宋体"/>
          <w:szCs w:val="24"/>
          <w:vertAlign w:val="superscript"/>
        </w:rPr>
        <w:t>6</w:t>
      </w:r>
      <w:r>
        <w:rPr>
          <w:rFonts w:hAnsi="Times New Roman" w:eastAsia="宋体"/>
          <w:szCs w:val="24"/>
        </w:rPr>
        <w:t>）</w:t>
      </w:r>
    </w:p>
    <w:p>
      <w:pPr>
        <w:spacing w:line="360" w:lineRule="auto"/>
        <w:ind w:firstLine="480"/>
        <w:rPr>
          <w:rFonts w:hAnsi="Times New Roman" w:eastAsia="宋体"/>
          <w:szCs w:val="24"/>
        </w:rPr>
      </w:pPr>
      <w:r>
        <w:rPr>
          <w:rFonts w:hAnsi="Times New Roman" w:eastAsia="宋体"/>
          <w:szCs w:val="24"/>
        </w:rPr>
        <w:t>上部以灰色、灰黄色中厚层至厚层状细粒长石石英砂岩为主，夹有灰色砂质泥岩、泥岩及薄层状粉砂岩和煤线。下部为浅灰色、黄灰色厚层状中粒长石石英砂岩，含黑色矿物较多；底部为灰色及灰黄色巨厚层状粗粒长石石英砂岩，含少量砾石。本段砂岩一般为泥质，局部为铁质胶结，较松散，粗细不均，分选性差，含泥质包体及炭屑。平均厚64m。</w:t>
      </w:r>
    </w:p>
    <w:p>
      <w:pPr>
        <w:spacing w:line="360" w:lineRule="auto"/>
        <w:ind w:firstLine="480"/>
        <w:rPr>
          <w:rFonts w:hAnsi="Times New Roman" w:eastAsia="宋体"/>
          <w:szCs w:val="24"/>
        </w:rPr>
      </w:pPr>
      <w:r>
        <w:rPr>
          <w:rFonts w:hAnsi="Times New Roman" w:eastAsia="宋体"/>
          <w:szCs w:val="24"/>
        </w:rPr>
        <w:t>7）须家河组第七段（T</w:t>
      </w:r>
      <w:r>
        <w:rPr>
          <w:rFonts w:hAnsi="Times New Roman" w:eastAsia="宋体"/>
          <w:szCs w:val="24"/>
          <w:vertAlign w:val="subscript"/>
        </w:rPr>
        <w:t>3</w:t>
      </w:r>
      <w:r>
        <w:rPr>
          <w:rFonts w:hAnsi="Times New Roman" w:eastAsia="宋体"/>
          <w:szCs w:val="24"/>
        </w:rPr>
        <w:t>xj</w:t>
      </w:r>
      <w:r>
        <w:rPr>
          <w:rFonts w:hAnsi="Times New Roman" w:eastAsia="宋体"/>
          <w:szCs w:val="24"/>
          <w:vertAlign w:val="superscript"/>
        </w:rPr>
        <w:t>7</w:t>
      </w:r>
      <w:r>
        <w:rPr>
          <w:rFonts w:hAnsi="Times New Roman" w:eastAsia="宋体"/>
          <w:szCs w:val="24"/>
        </w:rPr>
        <w:t>）</w:t>
      </w:r>
    </w:p>
    <w:p>
      <w:pPr>
        <w:spacing w:line="360" w:lineRule="auto"/>
        <w:ind w:firstLine="480"/>
        <w:rPr>
          <w:rFonts w:hAnsi="Times New Roman" w:eastAsia="宋体"/>
          <w:szCs w:val="24"/>
        </w:rPr>
      </w:pPr>
      <w:r>
        <w:rPr>
          <w:rFonts w:hAnsi="Times New Roman" w:eastAsia="宋体"/>
          <w:szCs w:val="24"/>
        </w:rPr>
        <w:t>上部为灰色及灰黑色泥岩、砂质泥岩为主夹粉砂岩。中部为灰色细粒砂岩及中粒砂岩。下部为深灰色泥岩、粉砂质泥岩夹粉砂岩，含K9和K10煤层。平均厚75m。</w:t>
      </w:r>
    </w:p>
    <w:p>
      <w:pPr>
        <w:spacing w:line="360" w:lineRule="auto"/>
        <w:ind w:firstLine="480"/>
        <w:rPr>
          <w:rFonts w:hAnsi="Times New Roman" w:eastAsia="宋体"/>
          <w:szCs w:val="24"/>
        </w:rPr>
      </w:pPr>
      <w:r>
        <w:rPr>
          <w:rFonts w:hAnsi="Times New Roman" w:eastAsia="宋体"/>
          <w:szCs w:val="24"/>
          <w:lang w:val="zh-CN"/>
        </w:rPr>
        <w:t>（3）侏罗系下统珍珠冲组（J</w:t>
      </w:r>
      <w:r>
        <w:rPr>
          <w:rFonts w:hAnsi="Times New Roman" w:eastAsia="宋体"/>
          <w:szCs w:val="24"/>
          <w:vertAlign w:val="subscript"/>
          <w:lang w:val="zh-CN"/>
        </w:rPr>
        <w:t>1</w:t>
      </w:r>
      <w:r>
        <w:rPr>
          <w:rFonts w:hAnsi="Times New Roman" w:eastAsia="宋体"/>
          <w:szCs w:val="24"/>
          <w:lang w:val="zh-CN"/>
        </w:rPr>
        <w:t>zh）</w:t>
      </w:r>
    </w:p>
    <w:p>
      <w:pPr>
        <w:spacing w:line="360" w:lineRule="auto"/>
        <w:ind w:firstLine="480"/>
        <w:rPr>
          <w:rFonts w:hAnsi="Times New Roman" w:eastAsia="宋体"/>
          <w:szCs w:val="24"/>
        </w:rPr>
      </w:pPr>
      <w:r>
        <w:rPr>
          <w:rFonts w:hAnsi="Times New Roman" w:eastAsia="宋体"/>
          <w:szCs w:val="24"/>
        </w:rPr>
        <w:t>上部为灰～灰绿色细～中粒长石石英砂岩；中部为灰色局部为紫红色泥岩，泥质粉砂岩；下部为灰色中厚层状细粒长石石英砂岩。该组与下伏三叠系上统须家河组为假整合接触。厚约180m。</w:t>
      </w:r>
    </w:p>
    <w:p>
      <w:pPr>
        <w:spacing w:line="360" w:lineRule="auto"/>
        <w:ind w:firstLine="480"/>
        <w:rPr>
          <w:rFonts w:hAnsi="Times New Roman" w:eastAsia="宋体"/>
          <w:szCs w:val="24"/>
        </w:rPr>
      </w:pPr>
      <w:r>
        <w:rPr>
          <w:rFonts w:hAnsi="Times New Roman" w:eastAsia="宋体"/>
          <w:szCs w:val="24"/>
          <w:lang w:val="zh-CN"/>
        </w:rPr>
        <w:t>（4）侏罗系中下统自流井组（J</w:t>
      </w:r>
      <w:r>
        <w:rPr>
          <w:rFonts w:hAnsi="Times New Roman" w:eastAsia="宋体"/>
          <w:szCs w:val="24"/>
          <w:vertAlign w:val="subscript"/>
          <w:lang w:val="zh-CN"/>
        </w:rPr>
        <w:t>1-2</w:t>
      </w:r>
      <w:r>
        <w:rPr>
          <w:rFonts w:hAnsi="Times New Roman" w:eastAsia="宋体"/>
          <w:szCs w:val="24"/>
          <w:lang w:val="zh-CN"/>
        </w:rPr>
        <w:t>z）</w:t>
      </w:r>
    </w:p>
    <w:p>
      <w:pPr>
        <w:spacing w:line="360" w:lineRule="auto"/>
        <w:ind w:firstLine="480"/>
        <w:rPr>
          <w:rFonts w:hAnsi="Times New Roman" w:eastAsia="宋体"/>
          <w:szCs w:val="24"/>
        </w:rPr>
      </w:pPr>
      <w:r>
        <w:rPr>
          <w:rFonts w:hAnsi="Times New Roman" w:eastAsia="宋体"/>
          <w:szCs w:val="24"/>
        </w:rPr>
        <w:t>本组可分为三段，从上到下为：</w:t>
      </w:r>
    </w:p>
    <w:p>
      <w:pPr>
        <w:spacing w:line="360" w:lineRule="auto"/>
        <w:ind w:firstLine="480"/>
        <w:rPr>
          <w:rFonts w:hAnsi="Times New Roman" w:eastAsia="宋体"/>
          <w:szCs w:val="24"/>
        </w:rPr>
      </w:pPr>
      <w:r>
        <w:rPr>
          <w:rFonts w:hAnsi="Times New Roman" w:eastAsia="宋体"/>
          <w:szCs w:val="24"/>
        </w:rPr>
        <w:t>大安寨段（J</w:t>
      </w:r>
      <w:r>
        <w:rPr>
          <w:rFonts w:hAnsi="Times New Roman" w:eastAsia="宋体"/>
          <w:szCs w:val="24"/>
          <w:vertAlign w:val="subscript"/>
        </w:rPr>
        <w:t>1-2</w:t>
      </w:r>
      <w:r>
        <w:rPr>
          <w:rFonts w:hAnsi="Times New Roman" w:eastAsia="宋体"/>
          <w:szCs w:val="24"/>
        </w:rPr>
        <w:t>z</w:t>
      </w:r>
      <w:r>
        <w:rPr>
          <w:rFonts w:hAnsi="Times New Roman" w:eastAsia="宋体"/>
          <w:szCs w:val="24"/>
          <w:vertAlign w:val="superscript"/>
        </w:rPr>
        <w:t>3</w:t>
      </w:r>
      <w:r>
        <w:rPr>
          <w:rFonts w:hAnsi="Times New Roman" w:eastAsia="宋体"/>
          <w:szCs w:val="24"/>
        </w:rPr>
        <w:t>）：本段为深灰色泥岩为主。间夹数层灰色灰岩和生物碎屑灰岩。夹数层厚0.2～1.0m的土黄、黄褐色泥灰岩、泥岩及页岩。</w:t>
      </w:r>
    </w:p>
    <w:p>
      <w:pPr>
        <w:spacing w:line="360" w:lineRule="auto"/>
        <w:ind w:firstLine="480"/>
        <w:rPr>
          <w:rFonts w:hAnsi="Times New Roman" w:eastAsia="宋体"/>
          <w:szCs w:val="24"/>
        </w:rPr>
      </w:pPr>
      <w:r>
        <w:rPr>
          <w:rFonts w:hAnsi="Times New Roman" w:eastAsia="宋体"/>
          <w:szCs w:val="24"/>
        </w:rPr>
        <w:t>马鞍山段（J</w:t>
      </w:r>
      <w:r>
        <w:rPr>
          <w:rFonts w:hAnsi="Times New Roman" w:eastAsia="宋体"/>
          <w:szCs w:val="24"/>
          <w:vertAlign w:val="subscript"/>
        </w:rPr>
        <w:t>1-2</w:t>
      </w:r>
      <w:r>
        <w:rPr>
          <w:rFonts w:hAnsi="Times New Roman" w:eastAsia="宋体"/>
          <w:szCs w:val="24"/>
        </w:rPr>
        <w:t>z</w:t>
      </w:r>
      <w:r>
        <w:rPr>
          <w:rFonts w:hAnsi="Times New Roman" w:eastAsia="宋体"/>
          <w:szCs w:val="24"/>
          <w:vertAlign w:val="superscript"/>
        </w:rPr>
        <w:t>2</w:t>
      </w:r>
      <w:r>
        <w:rPr>
          <w:rFonts w:hAnsi="Times New Roman" w:eastAsia="宋体"/>
          <w:szCs w:val="24"/>
        </w:rPr>
        <w:t>）：主要由灰色泥岩、粉砂质泥岩组成。其中夹多层灰色钙质粉砂岩。</w:t>
      </w:r>
    </w:p>
    <w:p>
      <w:pPr>
        <w:spacing w:line="360" w:lineRule="auto"/>
        <w:ind w:firstLine="480"/>
        <w:rPr>
          <w:rFonts w:hAnsi="Times New Roman" w:eastAsia="宋体"/>
          <w:szCs w:val="24"/>
        </w:rPr>
      </w:pPr>
      <w:r>
        <w:rPr>
          <w:rFonts w:hAnsi="Times New Roman" w:eastAsia="宋体"/>
          <w:szCs w:val="24"/>
        </w:rPr>
        <w:t>东岳庙段（J</w:t>
      </w:r>
      <w:r>
        <w:rPr>
          <w:rFonts w:hAnsi="Times New Roman" w:eastAsia="宋体"/>
          <w:szCs w:val="24"/>
          <w:vertAlign w:val="subscript"/>
        </w:rPr>
        <w:t>1-2</w:t>
      </w:r>
      <w:r>
        <w:rPr>
          <w:rFonts w:hAnsi="Times New Roman" w:eastAsia="宋体"/>
          <w:szCs w:val="24"/>
        </w:rPr>
        <w:t>z</w:t>
      </w:r>
      <w:r>
        <w:rPr>
          <w:rFonts w:hAnsi="Times New Roman" w:eastAsia="宋体"/>
          <w:szCs w:val="24"/>
          <w:vertAlign w:val="superscript"/>
        </w:rPr>
        <w:t>1</w:t>
      </w:r>
      <w:r>
        <w:rPr>
          <w:rFonts w:hAnsi="Times New Roman" w:eastAsia="宋体"/>
          <w:szCs w:val="24"/>
        </w:rPr>
        <w:t>）：上</w:t>
      </w:r>
      <w:r>
        <w:rPr>
          <w:rFonts w:hint="eastAsia" w:hAnsi="Times New Roman" w:eastAsia="宋体"/>
          <w:szCs w:val="24"/>
          <w:lang w:eastAsia="zh-CN"/>
        </w:rPr>
        <w:t>部为</w:t>
      </w:r>
      <w:r>
        <w:rPr>
          <w:rFonts w:hAnsi="Times New Roman" w:eastAsia="宋体"/>
          <w:szCs w:val="24"/>
        </w:rPr>
        <w:t>灰色泥岩及薄层粉砂岩；下部为灰黑色泥岩夹介壳灰岩；底部为介壳粉砂岩。</w:t>
      </w:r>
    </w:p>
    <w:p>
      <w:pPr>
        <w:spacing w:line="360" w:lineRule="auto"/>
        <w:ind w:firstLine="480"/>
        <w:rPr>
          <w:rFonts w:hAnsi="Times New Roman" w:eastAsia="宋体"/>
          <w:szCs w:val="24"/>
        </w:rPr>
      </w:pPr>
      <w:r>
        <w:rPr>
          <w:rFonts w:hAnsi="Times New Roman" w:eastAsia="宋体"/>
          <w:szCs w:val="24"/>
        </w:rPr>
        <w:t>本组总厚200m左右，与下伏珍珠冲组（J</w:t>
      </w:r>
      <w:r>
        <w:rPr>
          <w:rFonts w:hAnsi="Times New Roman" w:eastAsia="宋体"/>
          <w:szCs w:val="24"/>
          <w:vertAlign w:val="subscript"/>
        </w:rPr>
        <w:t>1</w:t>
      </w:r>
      <w:r>
        <w:rPr>
          <w:rFonts w:hAnsi="Times New Roman" w:eastAsia="宋体"/>
          <w:szCs w:val="24"/>
        </w:rPr>
        <w:t>zh）为整合接触。</w:t>
      </w:r>
    </w:p>
    <w:p>
      <w:pPr>
        <w:pStyle w:val="53"/>
        <w:ind w:firstLine="0" w:firstLineChars="0"/>
        <w:rPr>
          <w:rFonts w:eastAsia="宋体"/>
          <w:b/>
          <w:bCs/>
        </w:rPr>
      </w:pPr>
      <w:r>
        <w:rPr>
          <w:rFonts w:eastAsia="宋体"/>
          <w:b/>
          <w:bCs/>
        </w:rPr>
        <w:t>5.3.2.3地质构造</w:t>
      </w:r>
    </w:p>
    <w:p>
      <w:pPr>
        <w:spacing w:line="360" w:lineRule="auto"/>
        <w:ind w:firstLine="480"/>
        <w:rPr>
          <w:rFonts w:hAnsi="Times New Roman" w:eastAsia="宋体"/>
          <w:szCs w:val="24"/>
        </w:rPr>
      </w:pPr>
      <w:r>
        <w:rPr>
          <w:rFonts w:hAnsi="Times New Roman" w:eastAsia="宋体"/>
          <w:szCs w:val="24"/>
        </w:rPr>
        <w:t>（1）区域地质构造</w:t>
      </w:r>
    </w:p>
    <w:p>
      <w:pPr>
        <w:pStyle w:val="62"/>
        <w:spacing w:line="360" w:lineRule="auto"/>
        <w:rPr>
          <w:rFonts w:hAnsi="Times New Roman" w:eastAsia="宋体"/>
          <w:sz w:val="24"/>
          <w:szCs w:val="24"/>
          <w:lang w:eastAsia="zh-CN"/>
        </w:rPr>
      </w:pPr>
      <w:r>
        <w:rPr>
          <w:rFonts w:hAnsi="Times New Roman" w:eastAsia="宋体"/>
          <w:sz w:val="24"/>
          <w:szCs w:val="24"/>
        </w:rPr>
        <w:drawing>
          <wp:inline distT="0" distB="0" distL="0" distR="0">
            <wp:extent cx="4236720" cy="3436620"/>
            <wp:effectExtent l="0" t="0" r="0" b="0"/>
            <wp:docPr id="14369277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927729" name="图片 3"/>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a:xfrm>
                      <a:off x="0" y="0"/>
                      <a:ext cx="4236720" cy="3436620"/>
                    </a:xfrm>
                    <a:prstGeom prst="rect">
                      <a:avLst/>
                    </a:prstGeom>
                    <a:noFill/>
                    <a:ln>
                      <a:noFill/>
                    </a:ln>
                  </pic:spPr>
                </pic:pic>
              </a:graphicData>
            </a:graphic>
          </wp:inline>
        </w:drawing>
      </w:r>
    </w:p>
    <w:p>
      <w:pPr>
        <w:spacing w:line="360" w:lineRule="auto"/>
        <w:ind w:firstLine="480"/>
        <w:jc w:val="center"/>
        <w:rPr>
          <w:rFonts w:hAnsi="Times New Roman" w:eastAsia="宋体"/>
          <w:b/>
          <w:bCs/>
          <w:sz w:val="21"/>
          <w:szCs w:val="21"/>
        </w:rPr>
      </w:pPr>
      <w:r>
        <w:rPr>
          <w:rFonts w:hAnsi="Times New Roman" w:eastAsia="宋体"/>
          <w:b/>
          <w:bCs/>
          <w:sz w:val="21"/>
          <w:szCs w:val="21"/>
        </w:rPr>
        <w:t>图5.3-</w:t>
      </w:r>
      <w:r>
        <w:rPr>
          <w:rFonts w:hint="eastAsia" w:hAnsi="Times New Roman" w:eastAsia="宋体"/>
          <w:b/>
          <w:bCs/>
          <w:sz w:val="21"/>
          <w:szCs w:val="21"/>
          <w:lang w:eastAsia="zh-CN"/>
        </w:rPr>
        <w:t>1</w:t>
      </w:r>
      <w:r>
        <w:rPr>
          <w:rFonts w:hAnsi="Times New Roman" w:eastAsia="宋体"/>
          <w:b/>
          <w:bCs/>
          <w:sz w:val="21"/>
          <w:szCs w:val="21"/>
        </w:rPr>
        <w:t xml:space="preserve"> 区域地质构造图</w:t>
      </w:r>
    </w:p>
    <w:p>
      <w:pPr>
        <w:spacing w:line="360" w:lineRule="auto"/>
        <w:ind w:firstLine="480"/>
        <w:rPr>
          <w:rFonts w:hAnsi="Times New Roman" w:eastAsia="宋体"/>
          <w:snapToGrid w:val="0"/>
          <w:szCs w:val="24"/>
        </w:rPr>
      </w:pPr>
      <w:r>
        <w:rPr>
          <w:rFonts w:hAnsi="Times New Roman" w:eastAsia="宋体"/>
          <w:snapToGrid w:val="0"/>
          <w:szCs w:val="24"/>
        </w:rPr>
        <w:t>区域属华蓥山褶皱带的次一级褶曲—七里峡背斜中段，</w:t>
      </w:r>
      <w:r>
        <w:rPr>
          <w:rFonts w:hAnsi="Times New Roman" w:eastAsia="宋体"/>
          <w:szCs w:val="24"/>
        </w:rPr>
        <w:t>轴向北20°东，轴部狭窄尖梭。长60km，两翼不对称，东南翼陡40-80°，常见直立或倒转，西北翼缓40-60°，背斜北段与凉风垭复背斜反接部位遭到破坏，形成小的弧形弯曲。</w:t>
      </w:r>
      <w:r>
        <w:rPr>
          <w:rFonts w:hAnsi="Times New Roman" w:eastAsia="宋体"/>
          <w:snapToGrid w:val="0"/>
          <w:szCs w:val="24"/>
        </w:rPr>
        <w:t>（图5.3-3）。</w:t>
      </w:r>
    </w:p>
    <w:p>
      <w:pPr>
        <w:spacing w:line="360" w:lineRule="auto"/>
        <w:ind w:firstLine="480"/>
        <w:rPr>
          <w:rFonts w:hAnsi="Times New Roman" w:eastAsia="宋体"/>
          <w:szCs w:val="24"/>
        </w:rPr>
      </w:pPr>
      <w:r>
        <w:rPr>
          <w:rFonts w:hAnsi="Times New Roman" w:eastAsia="宋体"/>
          <w:szCs w:val="24"/>
        </w:rPr>
        <w:t>（2）项目区地质构造</w:t>
      </w:r>
    </w:p>
    <w:p>
      <w:pPr>
        <w:spacing w:line="360" w:lineRule="auto"/>
        <w:ind w:firstLine="480"/>
        <w:rPr>
          <w:rFonts w:hAnsi="Times New Roman" w:eastAsia="宋体"/>
          <w:szCs w:val="24"/>
        </w:rPr>
      </w:pPr>
      <w:r>
        <w:rPr>
          <w:rFonts w:hAnsi="Times New Roman" w:eastAsia="宋体"/>
          <w:szCs w:val="24"/>
        </w:rPr>
        <w:t>矿区主要位于峨层山背斜的东翼，总体呈一单斜构造，地跨长田井田和开丰井田，矿区范围内褶皱、断裂较为发育。区内地层倾向35～60°，倾角50～78°。褶曲、断层发育情况分述如下：</w:t>
      </w:r>
    </w:p>
    <w:p>
      <w:pPr>
        <w:spacing w:line="360" w:lineRule="auto"/>
        <w:ind w:firstLine="480"/>
        <w:rPr>
          <w:rFonts w:hAnsi="Times New Roman" w:eastAsia="宋体"/>
          <w:szCs w:val="24"/>
        </w:rPr>
      </w:pPr>
      <w:r>
        <w:rPr>
          <w:rFonts w:hAnsi="Times New Roman" w:eastAsia="宋体"/>
          <w:szCs w:val="24"/>
        </w:rPr>
        <w:t>1）褶曲</w:t>
      </w:r>
    </w:p>
    <w:p>
      <w:pPr>
        <w:spacing w:line="360" w:lineRule="auto"/>
        <w:ind w:firstLine="480"/>
        <w:rPr>
          <w:rFonts w:hAnsi="Times New Roman" w:eastAsia="宋体"/>
          <w:szCs w:val="24"/>
        </w:rPr>
      </w:pPr>
      <w:r>
        <w:rPr>
          <w:rFonts w:hAnsi="Times New Roman" w:eastAsia="宋体"/>
          <w:szCs w:val="24"/>
        </w:rPr>
        <w:t>峨层山背斜是主体构造，该背斜为东翼较陡且西翼较缓的不对称背斜，在矿区内，含煤地层倾角一般50～78°。东部断层破坏，两翼依次为须家河组（T</w:t>
      </w:r>
      <w:r>
        <w:rPr>
          <w:rFonts w:hAnsi="Times New Roman" w:eastAsia="宋体"/>
          <w:szCs w:val="24"/>
          <w:vertAlign w:val="subscript"/>
        </w:rPr>
        <w:t>3</w:t>
      </w:r>
      <w:r>
        <w:rPr>
          <w:rFonts w:hAnsi="Times New Roman" w:eastAsia="宋体"/>
          <w:szCs w:val="24"/>
        </w:rPr>
        <w:t>xj）、珍珠</w:t>
      </w:r>
      <w:r>
        <w:rPr>
          <w:rFonts w:hAnsi="Times New Roman" w:eastAsia="宋体"/>
          <w:szCs w:val="24"/>
          <w:lang w:val="zh-CN"/>
        </w:rPr>
        <w:t>冲组（J</w:t>
      </w:r>
      <w:r>
        <w:rPr>
          <w:rFonts w:hAnsi="Times New Roman" w:eastAsia="宋体"/>
          <w:szCs w:val="24"/>
          <w:vertAlign w:val="subscript"/>
          <w:lang w:val="zh-CN"/>
        </w:rPr>
        <w:t>1</w:t>
      </w:r>
      <w:r>
        <w:rPr>
          <w:rFonts w:hAnsi="Times New Roman" w:eastAsia="宋体"/>
          <w:szCs w:val="24"/>
          <w:lang w:val="zh-CN"/>
        </w:rPr>
        <w:t>zh）、自流井组（J</w:t>
      </w:r>
      <w:r>
        <w:rPr>
          <w:rFonts w:hAnsi="Times New Roman" w:eastAsia="宋体"/>
          <w:szCs w:val="24"/>
          <w:vertAlign w:val="subscript"/>
          <w:lang w:val="zh-CN"/>
        </w:rPr>
        <w:t>1-2</w:t>
      </w:r>
      <w:r>
        <w:rPr>
          <w:rFonts w:hAnsi="Times New Roman" w:eastAsia="宋体"/>
          <w:szCs w:val="24"/>
          <w:lang w:val="zh-CN"/>
        </w:rPr>
        <w:t>z）。</w:t>
      </w:r>
    </w:p>
    <w:p>
      <w:pPr>
        <w:spacing w:line="360" w:lineRule="auto"/>
        <w:ind w:firstLine="480"/>
        <w:rPr>
          <w:rFonts w:hAnsi="Times New Roman" w:eastAsia="宋体"/>
          <w:szCs w:val="24"/>
        </w:rPr>
      </w:pPr>
      <w:r>
        <w:rPr>
          <w:rFonts w:hAnsi="Times New Roman" w:eastAsia="宋体"/>
          <w:szCs w:val="24"/>
        </w:rPr>
        <w:t>太棚寺背斜为峨层山背斜同一应力场伴生的次级褶皱，与峨层山背斜平行展布，南起油麻湾，北至蔡家山附近倾伏消失，全长约6100m。轴向30°，轴面倾向北西，轴部常被断层破坏。东翼煤层走向变化不大，较稳定。</w:t>
      </w:r>
    </w:p>
    <w:p>
      <w:pPr>
        <w:spacing w:line="360" w:lineRule="auto"/>
        <w:ind w:firstLine="480"/>
        <w:rPr>
          <w:rFonts w:hAnsi="Times New Roman" w:eastAsia="宋体"/>
          <w:szCs w:val="24"/>
        </w:rPr>
      </w:pPr>
      <w:r>
        <w:rPr>
          <w:rFonts w:hAnsi="Times New Roman" w:eastAsia="宋体"/>
          <w:szCs w:val="24"/>
        </w:rPr>
        <w:t>2）断层</w:t>
      </w:r>
    </w:p>
    <w:p>
      <w:pPr>
        <w:spacing w:line="360" w:lineRule="auto"/>
        <w:ind w:firstLine="480"/>
        <w:rPr>
          <w:rFonts w:hAnsi="Times New Roman" w:eastAsia="宋体"/>
          <w:szCs w:val="24"/>
        </w:rPr>
      </w:pPr>
      <w:r>
        <w:rPr>
          <w:rFonts w:hAnsi="Times New Roman" w:eastAsia="宋体"/>
          <w:szCs w:val="24"/>
        </w:rPr>
        <w:t>区内断层性质皆表现为高角度走向逆断层，力学性质为压扭性，主要断裂F</w:t>
      </w:r>
      <w:r>
        <w:rPr>
          <w:rFonts w:hAnsi="Times New Roman" w:eastAsia="宋体"/>
          <w:szCs w:val="24"/>
          <w:vertAlign w:val="subscript"/>
        </w:rPr>
        <w:t>l</w:t>
      </w:r>
      <w:r>
        <w:rPr>
          <w:rFonts w:hAnsi="Times New Roman" w:eastAsia="宋体"/>
          <w:szCs w:val="24"/>
        </w:rPr>
        <w:t>为峨层山背斜的同期构造，F</w:t>
      </w:r>
      <w:r>
        <w:rPr>
          <w:rFonts w:hAnsi="Times New Roman" w:eastAsia="宋体"/>
          <w:szCs w:val="24"/>
          <w:vertAlign w:val="subscript"/>
        </w:rPr>
        <w:t>2</w:t>
      </w:r>
      <w:r>
        <w:rPr>
          <w:rFonts w:hAnsi="Times New Roman" w:eastAsia="宋体"/>
          <w:szCs w:val="24"/>
        </w:rPr>
        <w:t>、F</w:t>
      </w:r>
      <w:r>
        <w:rPr>
          <w:rFonts w:hAnsi="Times New Roman" w:eastAsia="宋体"/>
          <w:szCs w:val="24"/>
          <w:vertAlign w:val="subscript"/>
        </w:rPr>
        <w:t>3</w:t>
      </w:r>
      <w:r>
        <w:rPr>
          <w:rFonts w:hAnsi="Times New Roman" w:eastAsia="宋体"/>
          <w:szCs w:val="24"/>
        </w:rPr>
        <w:t>为与F</w:t>
      </w:r>
      <w:r>
        <w:rPr>
          <w:rFonts w:hAnsi="Times New Roman" w:eastAsia="宋体"/>
          <w:szCs w:val="24"/>
          <w:vertAlign w:val="subscript"/>
        </w:rPr>
        <w:t>1</w:t>
      </w:r>
      <w:r>
        <w:rPr>
          <w:rFonts w:hAnsi="Times New Roman" w:eastAsia="宋体"/>
          <w:szCs w:val="24"/>
        </w:rPr>
        <w:t>产生于同一应力场的同生次级构造，F</w:t>
      </w:r>
      <w:r>
        <w:rPr>
          <w:rFonts w:hAnsi="Times New Roman" w:eastAsia="宋体"/>
          <w:szCs w:val="24"/>
          <w:vertAlign w:val="subscript"/>
        </w:rPr>
        <w:t>l-1</w:t>
      </w:r>
      <w:r>
        <w:rPr>
          <w:rFonts w:hAnsi="Times New Roman" w:eastAsia="宋体"/>
          <w:szCs w:val="24"/>
        </w:rPr>
        <w:t>、F</w:t>
      </w:r>
      <w:r>
        <w:rPr>
          <w:rFonts w:hAnsi="Times New Roman" w:eastAsia="宋体"/>
          <w:szCs w:val="24"/>
          <w:vertAlign w:val="subscript"/>
        </w:rPr>
        <w:t>1-2</w:t>
      </w:r>
      <w:r>
        <w:rPr>
          <w:rFonts w:hAnsi="Times New Roman" w:eastAsia="宋体"/>
          <w:szCs w:val="24"/>
        </w:rPr>
        <w:t>、F</w:t>
      </w:r>
      <w:r>
        <w:rPr>
          <w:rFonts w:hAnsi="Times New Roman" w:eastAsia="宋体"/>
          <w:szCs w:val="24"/>
          <w:vertAlign w:val="subscript"/>
        </w:rPr>
        <w:t>l-3</w:t>
      </w:r>
      <w:r>
        <w:rPr>
          <w:rFonts w:hAnsi="Times New Roman" w:eastAsia="宋体"/>
          <w:szCs w:val="24"/>
        </w:rPr>
        <w:t>、F</w:t>
      </w:r>
      <w:r>
        <w:rPr>
          <w:rFonts w:hAnsi="Times New Roman" w:eastAsia="宋体"/>
          <w:szCs w:val="24"/>
          <w:vertAlign w:val="subscript"/>
        </w:rPr>
        <w:t>l-4</w:t>
      </w:r>
      <w:r>
        <w:rPr>
          <w:rFonts w:hAnsi="Times New Roman" w:eastAsia="宋体"/>
          <w:szCs w:val="24"/>
        </w:rPr>
        <w:t>等均属F</w:t>
      </w:r>
      <w:r>
        <w:rPr>
          <w:rFonts w:hAnsi="Times New Roman" w:eastAsia="宋体"/>
          <w:szCs w:val="24"/>
          <w:vertAlign w:val="subscript"/>
        </w:rPr>
        <w:t>1</w:t>
      </w:r>
      <w:r>
        <w:rPr>
          <w:rFonts w:hAnsi="Times New Roman" w:eastAsia="宋体"/>
          <w:szCs w:val="24"/>
        </w:rPr>
        <w:t>断层派生“入”字型次级分支断层。</w:t>
      </w:r>
    </w:p>
    <w:p>
      <w:pPr>
        <w:spacing w:line="360" w:lineRule="auto"/>
        <w:ind w:firstLine="480"/>
        <w:rPr>
          <w:rFonts w:hAnsi="Times New Roman" w:eastAsia="宋体"/>
          <w:szCs w:val="24"/>
        </w:rPr>
      </w:pPr>
      <w:r>
        <w:rPr>
          <w:rFonts w:hint="eastAsia" w:ascii="宋体" w:hAnsi="宋体" w:eastAsia="宋体" w:cs="宋体"/>
          <w:szCs w:val="24"/>
        </w:rPr>
        <w:t>①</w:t>
      </w:r>
      <w:r>
        <w:rPr>
          <w:rFonts w:hAnsi="Times New Roman" w:eastAsia="宋体"/>
          <w:szCs w:val="24"/>
        </w:rPr>
        <w:t>F</w:t>
      </w:r>
      <w:r>
        <w:rPr>
          <w:rFonts w:hAnsi="Times New Roman" w:eastAsia="宋体"/>
          <w:szCs w:val="24"/>
          <w:vertAlign w:val="subscript"/>
        </w:rPr>
        <w:t>l</w:t>
      </w:r>
      <w:r>
        <w:rPr>
          <w:rFonts w:hAnsi="Times New Roman" w:eastAsia="宋体"/>
          <w:szCs w:val="24"/>
        </w:rPr>
        <w:t>走向逆断层</w:t>
      </w:r>
    </w:p>
    <w:p>
      <w:pPr>
        <w:spacing w:line="360" w:lineRule="auto"/>
        <w:ind w:firstLine="480"/>
        <w:rPr>
          <w:rFonts w:hAnsi="Times New Roman" w:eastAsia="宋体"/>
          <w:szCs w:val="24"/>
        </w:rPr>
      </w:pPr>
      <w:r>
        <w:rPr>
          <w:rFonts w:hAnsi="Times New Roman" w:eastAsia="宋体"/>
          <w:szCs w:val="24"/>
        </w:rPr>
        <w:t>为区内起控制作用的主干断裂，沿峨层山背斜核部延伸纵贯全区，走向30～40°，倾向NW，倾角35°～60°，局部地段随地层倒转而扭转。其断距表现为南段大，垂直断距约250m，北端逐渐变小，如在七里峡河边垂直断距约110m。由于该断裂的影响，造成背斜轴部多被破坏，东翼地层须家河组第四段（T</w:t>
      </w:r>
      <w:r>
        <w:rPr>
          <w:rFonts w:hAnsi="Times New Roman" w:eastAsia="宋体"/>
          <w:szCs w:val="24"/>
          <w:vertAlign w:val="subscript"/>
        </w:rPr>
        <w:t>3</w:t>
      </w:r>
      <w:r>
        <w:rPr>
          <w:rFonts w:hAnsi="Times New Roman" w:eastAsia="宋体"/>
          <w:szCs w:val="24"/>
        </w:rPr>
        <w:t>xj</w:t>
      </w:r>
      <w:r>
        <w:rPr>
          <w:rFonts w:hAnsi="Times New Roman" w:eastAsia="宋体"/>
          <w:szCs w:val="24"/>
          <w:vertAlign w:val="superscript"/>
        </w:rPr>
        <w:t>4</w:t>
      </w:r>
      <w:r>
        <w:rPr>
          <w:rFonts w:hAnsi="Times New Roman" w:eastAsia="宋体"/>
          <w:szCs w:val="24"/>
        </w:rPr>
        <w:t>）以下常被切割出露。　</w:t>
      </w:r>
    </w:p>
    <w:p>
      <w:pPr>
        <w:spacing w:line="360" w:lineRule="auto"/>
        <w:ind w:firstLine="480"/>
        <w:rPr>
          <w:rFonts w:hAnsi="Times New Roman" w:eastAsia="宋体"/>
          <w:szCs w:val="24"/>
        </w:rPr>
      </w:pPr>
      <w:r>
        <w:rPr>
          <w:rFonts w:hint="eastAsia" w:ascii="宋体" w:hAnsi="宋体" w:eastAsia="宋体" w:cs="宋体"/>
          <w:szCs w:val="24"/>
        </w:rPr>
        <w:t>②</w:t>
      </w:r>
      <w:r>
        <w:rPr>
          <w:rFonts w:hAnsi="Times New Roman" w:eastAsia="宋体"/>
          <w:szCs w:val="24"/>
        </w:rPr>
        <w:t>F</w:t>
      </w:r>
      <w:r>
        <w:rPr>
          <w:rFonts w:hAnsi="Times New Roman" w:eastAsia="宋体"/>
          <w:szCs w:val="24"/>
          <w:vertAlign w:val="subscript"/>
        </w:rPr>
        <w:t>2</w:t>
      </w:r>
      <w:r>
        <w:rPr>
          <w:rFonts w:hAnsi="Times New Roman" w:eastAsia="宋体"/>
          <w:szCs w:val="24"/>
        </w:rPr>
        <w:t>走向逆断层</w:t>
      </w:r>
    </w:p>
    <w:p>
      <w:pPr>
        <w:spacing w:line="360" w:lineRule="auto"/>
        <w:ind w:firstLine="480"/>
        <w:rPr>
          <w:rFonts w:hAnsi="Times New Roman" w:eastAsia="宋体"/>
          <w:szCs w:val="24"/>
        </w:rPr>
      </w:pPr>
      <w:r>
        <w:rPr>
          <w:rFonts w:hAnsi="Times New Roman" w:eastAsia="宋体"/>
          <w:szCs w:val="24"/>
        </w:rPr>
        <w:t>为主干断裂F</w:t>
      </w:r>
      <w:r>
        <w:rPr>
          <w:rFonts w:hAnsi="Times New Roman" w:eastAsia="宋体"/>
          <w:szCs w:val="24"/>
          <w:vertAlign w:val="subscript"/>
        </w:rPr>
        <w:t>1</w:t>
      </w:r>
      <w:r>
        <w:rPr>
          <w:rFonts w:hAnsi="Times New Roman" w:eastAsia="宋体"/>
          <w:szCs w:val="24"/>
        </w:rPr>
        <w:t>的同生次级构造。断层走向30°，倾向北西，倾角30°～45°，垂直断距80m～130m，常切割破坏太棚寺背斜西翼的须家河组五段（T</w:t>
      </w:r>
      <w:r>
        <w:rPr>
          <w:rFonts w:hAnsi="Times New Roman" w:eastAsia="宋体"/>
          <w:szCs w:val="24"/>
          <w:vertAlign w:val="subscript"/>
        </w:rPr>
        <w:t>3</w:t>
      </w:r>
      <w:r>
        <w:rPr>
          <w:rFonts w:hAnsi="Times New Roman" w:eastAsia="宋体"/>
          <w:szCs w:val="24"/>
        </w:rPr>
        <w:t>xj</w:t>
      </w:r>
      <w:r>
        <w:rPr>
          <w:rFonts w:hAnsi="Times New Roman" w:eastAsia="宋体"/>
          <w:szCs w:val="24"/>
          <w:vertAlign w:val="superscript"/>
        </w:rPr>
        <w:t>5</w:t>
      </w:r>
      <w:r>
        <w:rPr>
          <w:rFonts w:hAnsi="Times New Roman" w:eastAsia="宋体"/>
          <w:szCs w:val="24"/>
        </w:rPr>
        <w:t>）含煤地层。</w:t>
      </w:r>
    </w:p>
    <w:p>
      <w:pPr>
        <w:spacing w:line="360" w:lineRule="auto"/>
        <w:ind w:firstLine="480"/>
        <w:rPr>
          <w:rFonts w:hAnsi="Times New Roman" w:eastAsia="宋体"/>
          <w:szCs w:val="24"/>
        </w:rPr>
      </w:pPr>
      <w:r>
        <w:rPr>
          <w:rFonts w:hint="eastAsia" w:ascii="宋体" w:hAnsi="宋体" w:eastAsia="宋体" w:cs="宋体"/>
          <w:szCs w:val="24"/>
        </w:rPr>
        <w:t>③</w:t>
      </w:r>
      <w:r>
        <w:rPr>
          <w:rFonts w:hAnsi="Times New Roman" w:eastAsia="宋体"/>
          <w:szCs w:val="24"/>
        </w:rPr>
        <w:t>F</w:t>
      </w:r>
      <w:r>
        <w:rPr>
          <w:rFonts w:hAnsi="Times New Roman" w:eastAsia="宋体"/>
          <w:szCs w:val="24"/>
          <w:vertAlign w:val="subscript"/>
        </w:rPr>
        <w:t>3</w:t>
      </w:r>
      <w:r>
        <w:rPr>
          <w:rFonts w:hAnsi="Times New Roman" w:eastAsia="宋体"/>
          <w:szCs w:val="24"/>
        </w:rPr>
        <w:t>走向逆断层</w:t>
      </w:r>
    </w:p>
    <w:p>
      <w:pPr>
        <w:spacing w:line="360" w:lineRule="auto"/>
        <w:ind w:firstLine="480"/>
        <w:rPr>
          <w:rFonts w:hAnsi="Times New Roman" w:eastAsia="宋体"/>
          <w:szCs w:val="24"/>
        </w:rPr>
      </w:pPr>
      <w:r>
        <w:rPr>
          <w:rFonts w:hAnsi="Times New Roman" w:eastAsia="宋体"/>
          <w:szCs w:val="24"/>
        </w:rPr>
        <w:t>属F</w:t>
      </w:r>
      <w:r>
        <w:rPr>
          <w:rFonts w:hAnsi="Times New Roman" w:eastAsia="宋体"/>
          <w:szCs w:val="24"/>
          <w:vertAlign w:val="subscript"/>
        </w:rPr>
        <w:t>l</w:t>
      </w:r>
      <w:r>
        <w:rPr>
          <w:rFonts w:hAnsi="Times New Roman" w:eastAsia="宋体"/>
          <w:szCs w:val="24"/>
        </w:rPr>
        <w:t>断层同生次级构造，断层走向30°～35°，倾向北西，倾角60～65°，垂直断距20m～40m，一般30m，由于该断层的影响，使须家河组第五段（T</w:t>
      </w:r>
      <w:r>
        <w:rPr>
          <w:rFonts w:hAnsi="Times New Roman" w:eastAsia="宋体"/>
          <w:szCs w:val="24"/>
          <w:vertAlign w:val="subscript"/>
        </w:rPr>
        <w:t>3</w:t>
      </w:r>
      <w:r>
        <w:rPr>
          <w:rFonts w:hAnsi="Times New Roman" w:eastAsia="宋体"/>
          <w:szCs w:val="24"/>
        </w:rPr>
        <w:t>xj</w:t>
      </w:r>
      <w:r>
        <w:rPr>
          <w:rFonts w:hAnsi="Times New Roman" w:eastAsia="宋体"/>
          <w:szCs w:val="24"/>
          <w:vertAlign w:val="superscript"/>
        </w:rPr>
        <w:t>5</w:t>
      </w:r>
      <w:r>
        <w:rPr>
          <w:rFonts w:hAnsi="Times New Roman" w:eastAsia="宋体"/>
          <w:szCs w:val="24"/>
        </w:rPr>
        <w:t>）的浅部被切割破坏，致使该段所含煤层露头常不连续分布。</w:t>
      </w:r>
    </w:p>
    <w:p>
      <w:pPr>
        <w:spacing w:line="360" w:lineRule="auto"/>
        <w:ind w:firstLine="480"/>
        <w:rPr>
          <w:rFonts w:hAnsi="Times New Roman" w:eastAsia="宋体"/>
          <w:szCs w:val="24"/>
        </w:rPr>
      </w:pPr>
      <w:r>
        <w:rPr>
          <w:rFonts w:hint="eastAsia" w:hAnsi="Times New Roman" w:eastAsia="宋体"/>
          <w:szCs w:val="24"/>
          <w:lang w:eastAsia="zh-CN"/>
        </w:rPr>
        <w:t>综上所述</w:t>
      </w:r>
      <w:r>
        <w:rPr>
          <w:rFonts w:hAnsi="Times New Roman" w:eastAsia="宋体"/>
          <w:szCs w:val="24"/>
        </w:rPr>
        <w:t>：七里峡煤矿构造复杂程度属“中等”类型。</w:t>
      </w:r>
    </w:p>
    <w:p>
      <w:pPr>
        <w:pStyle w:val="53"/>
        <w:ind w:firstLine="0" w:firstLineChars="0"/>
        <w:rPr>
          <w:rFonts w:eastAsia="宋体"/>
          <w:b/>
          <w:bCs/>
        </w:rPr>
      </w:pPr>
      <w:r>
        <w:rPr>
          <w:rFonts w:eastAsia="宋体"/>
          <w:b/>
          <w:bCs/>
        </w:rPr>
        <w:t>5.3.2.4区域水文地质条件</w:t>
      </w:r>
    </w:p>
    <w:p>
      <w:pPr>
        <w:spacing w:line="360" w:lineRule="auto"/>
        <w:ind w:firstLine="480"/>
        <w:rPr>
          <w:rFonts w:hAnsi="Times New Roman" w:eastAsia="宋体"/>
          <w:szCs w:val="24"/>
        </w:rPr>
      </w:pPr>
      <w:r>
        <w:rPr>
          <w:rFonts w:hAnsi="Times New Roman" w:eastAsia="宋体"/>
          <w:szCs w:val="24"/>
        </w:rPr>
        <w:t>本区位于七里峡背斜水文地质单元。该水文地质单元以七里峡背斜形成的山脊为地表地下水分水岭，地表、地下水接受大气降水补给，且均有独立的补给、径流排泄系统。地表水在分水岭两侧分别沿溪沟向两翼汇集进入河流，东翼流水汇于新宁河支流，进入新宁河；西翼流水则直接汇入新宁河。</w:t>
      </w:r>
    </w:p>
    <w:p>
      <w:pPr>
        <w:spacing w:line="360" w:lineRule="auto"/>
        <w:ind w:firstLine="482"/>
        <w:rPr>
          <w:rFonts w:hAnsi="Times New Roman" w:eastAsia="宋体"/>
          <w:b/>
          <w:szCs w:val="24"/>
        </w:rPr>
      </w:pPr>
      <w:r>
        <w:rPr>
          <w:rFonts w:hAnsi="Times New Roman" w:eastAsia="宋体"/>
          <w:b/>
          <w:szCs w:val="24"/>
        </w:rPr>
        <w:t>（1）含隔水层划分</w:t>
      </w:r>
    </w:p>
    <w:p>
      <w:pPr>
        <w:spacing w:line="360" w:lineRule="auto"/>
        <w:ind w:firstLine="480"/>
        <w:rPr>
          <w:rFonts w:hAnsi="Times New Roman" w:eastAsia="宋体"/>
          <w:szCs w:val="24"/>
        </w:rPr>
      </w:pPr>
      <w:r>
        <w:rPr>
          <w:rFonts w:hAnsi="Times New Roman" w:eastAsia="宋体"/>
          <w:szCs w:val="24"/>
        </w:rPr>
        <w:t>本区有以下岩层为含水层（见表5.3-1），自流井组大安寨段</w:t>
      </w:r>
      <w:r>
        <w:rPr>
          <w:rFonts w:hint="eastAsia" w:hAnsi="Times New Roman" w:eastAsia="宋体"/>
          <w:szCs w:val="24"/>
          <w:lang w:eastAsia="zh-CN"/>
        </w:rPr>
        <w:t>（</w:t>
      </w:r>
      <w:r>
        <w:rPr>
          <w:rFonts w:hAnsi="Times New Roman" w:eastAsia="宋体"/>
          <w:szCs w:val="24"/>
        </w:rPr>
        <w:t>J</w:t>
      </w:r>
      <w:r>
        <w:rPr>
          <w:rFonts w:hAnsi="Times New Roman" w:eastAsia="宋体"/>
          <w:szCs w:val="24"/>
          <w:vertAlign w:val="subscript"/>
        </w:rPr>
        <w:t>1-2</w:t>
      </w:r>
      <w:r>
        <w:rPr>
          <w:rFonts w:hAnsi="Times New Roman" w:eastAsia="宋体"/>
          <w:i/>
          <w:iCs/>
          <w:szCs w:val="24"/>
        </w:rPr>
        <w:t>z</w:t>
      </w:r>
      <w:r>
        <w:rPr>
          <w:rFonts w:hAnsi="Times New Roman" w:eastAsia="宋体"/>
          <w:szCs w:val="24"/>
          <w:vertAlign w:val="superscript"/>
        </w:rPr>
        <w:t>3</w:t>
      </w:r>
      <w:r>
        <w:rPr>
          <w:rFonts w:hint="eastAsia" w:hAnsi="Times New Roman" w:eastAsia="宋体"/>
          <w:szCs w:val="24"/>
          <w:vertAlign w:val="baseline"/>
          <w:lang w:eastAsia="zh-CN"/>
        </w:rPr>
        <w:t>）</w:t>
      </w:r>
      <w:r>
        <w:rPr>
          <w:rFonts w:hAnsi="Times New Roman" w:eastAsia="宋体"/>
          <w:szCs w:val="24"/>
        </w:rPr>
        <w:t>灰岩（Ⅰ号含水层）、侏罗系下统珍珠冲组（J</w:t>
      </w:r>
      <w:r>
        <w:rPr>
          <w:rFonts w:hAnsi="Times New Roman" w:eastAsia="宋体"/>
          <w:szCs w:val="24"/>
          <w:vertAlign w:val="subscript"/>
        </w:rPr>
        <w:t>1</w:t>
      </w:r>
      <w:r>
        <w:rPr>
          <w:rFonts w:hAnsi="Times New Roman" w:eastAsia="宋体"/>
          <w:i/>
          <w:iCs/>
          <w:szCs w:val="24"/>
        </w:rPr>
        <w:t>zh</w:t>
      </w:r>
      <w:r>
        <w:rPr>
          <w:rFonts w:hAnsi="Times New Roman" w:eastAsia="宋体"/>
          <w:szCs w:val="24"/>
        </w:rPr>
        <w:t>）底部砂岩（Ⅱ号含水层）、须家河组第六段（T</w:t>
      </w:r>
      <w:r>
        <w:rPr>
          <w:rFonts w:hAnsi="Times New Roman" w:eastAsia="宋体"/>
          <w:szCs w:val="24"/>
          <w:vertAlign w:val="subscript"/>
        </w:rPr>
        <w:t>3</w:t>
      </w:r>
      <w:r>
        <w:rPr>
          <w:rFonts w:hAnsi="Times New Roman" w:eastAsia="宋体"/>
          <w:szCs w:val="24"/>
        </w:rPr>
        <w:t>xj</w:t>
      </w:r>
      <w:r>
        <w:rPr>
          <w:rFonts w:hAnsi="Times New Roman" w:eastAsia="宋体"/>
          <w:szCs w:val="24"/>
          <w:vertAlign w:val="superscript"/>
        </w:rPr>
        <w:t>6</w:t>
      </w:r>
      <w:r>
        <w:rPr>
          <w:rFonts w:hAnsi="Times New Roman" w:eastAsia="宋体"/>
          <w:szCs w:val="24"/>
        </w:rPr>
        <w:t>）砂岩（Ⅲ号含水层）、须家河组第四段（T</w:t>
      </w:r>
      <w:r>
        <w:rPr>
          <w:rFonts w:hAnsi="Times New Roman" w:eastAsia="宋体"/>
          <w:szCs w:val="24"/>
          <w:vertAlign w:val="subscript"/>
        </w:rPr>
        <w:t>3</w:t>
      </w:r>
      <w:r>
        <w:rPr>
          <w:rFonts w:hAnsi="Times New Roman" w:eastAsia="宋体"/>
          <w:i/>
          <w:iCs/>
          <w:szCs w:val="24"/>
        </w:rPr>
        <w:t>xj</w:t>
      </w:r>
      <w:r>
        <w:rPr>
          <w:rFonts w:hAnsi="Times New Roman" w:eastAsia="宋体"/>
          <w:szCs w:val="24"/>
          <w:vertAlign w:val="superscript"/>
        </w:rPr>
        <w:t>4</w:t>
      </w:r>
      <w:r>
        <w:rPr>
          <w:rFonts w:hAnsi="Times New Roman" w:eastAsia="宋体"/>
          <w:szCs w:val="24"/>
        </w:rPr>
        <w:t>）（Ⅳ号含水层）、须家河组第二段砂岩（Ⅴ号含水层），三叠系中统雷口坡组</w:t>
      </w:r>
      <w:r>
        <w:rPr>
          <w:rFonts w:hint="eastAsia" w:hAnsi="Times New Roman" w:eastAsia="宋体"/>
          <w:szCs w:val="24"/>
          <w:lang w:eastAsia="zh-CN"/>
        </w:rPr>
        <w:t>（</w:t>
      </w:r>
      <w:r>
        <w:rPr>
          <w:rFonts w:hAnsi="Times New Roman" w:eastAsia="宋体"/>
          <w:szCs w:val="24"/>
        </w:rPr>
        <w:t>T</w:t>
      </w:r>
      <w:r>
        <w:rPr>
          <w:rFonts w:hAnsi="Times New Roman" w:eastAsia="宋体"/>
          <w:szCs w:val="24"/>
          <w:vertAlign w:val="subscript"/>
        </w:rPr>
        <w:t>2</w:t>
      </w:r>
      <w:r>
        <w:rPr>
          <w:rFonts w:hAnsi="Times New Roman" w:eastAsia="宋体"/>
          <w:i/>
          <w:iCs/>
          <w:szCs w:val="24"/>
        </w:rPr>
        <w:t>l</w:t>
      </w:r>
      <w:r>
        <w:rPr>
          <w:rFonts w:hint="eastAsia" w:hAnsi="Times New Roman" w:eastAsia="宋体"/>
          <w:i/>
          <w:iCs/>
          <w:szCs w:val="24"/>
          <w:lang w:eastAsia="zh-CN"/>
        </w:rPr>
        <w:t>）</w:t>
      </w:r>
      <w:r>
        <w:rPr>
          <w:rFonts w:hAnsi="Times New Roman" w:eastAsia="宋体"/>
          <w:szCs w:val="24"/>
        </w:rPr>
        <w:t>（Ⅵ号含水层）含水层。</w:t>
      </w:r>
    </w:p>
    <w:p>
      <w:pPr>
        <w:spacing w:line="360" w:lineRule="auto"/>
        <w:ind w:firstLine="480"/>
        <w:rPr>
          <w:rFonts w:hAnsi="Times New Roman" w:eastAsia="宋体"/>
          <w:szCs w:val="24"/>
        </w:rPr>
      </w:pPr>
      <w:r>
        <w:rPr>
          <w:rFonts w:hAnsi="Times New Roman" w:eastAsia="宋体"/>
          <w:szCs w:val="24"/>
        </w:rPr>
        <w:t>区域内K</w:t>
      </w:r>
      <w:r>
        <w:rPr>
          <w:rFonts w:hAnsi="Times New Roman" w:eastAsia="宋体"/>
          <w:szCs w:val="24"/>
          <w:vertAlign w:val="subscript"/>
        </w:rPr>
        <w:t>5</w:t>
      </w:r>
      <w:r>
        <w:rPr>
          <w:rFonts w:hAnsi="Times New Roman" w:eastAsia="宋体"/>
          <w:szCs w:val="24"/>
        </w:rPr>
        <w:t>、K</w:t>
      </w:r>
      <w:r>
        <w:rPr>
          <w:rFonts w:hAnsi="Times New Roman" w:eastAsia="宋体"/>
          <w:szCs w:val="24"/>
          <w:vertAlign w:val="subscript"/>
        </w:rPr>
        <w:t>6</w:t>
      </w:r>
      <w:r>
        <w:rPr>
          <w:rFonts w:hAnsi="Times New Roman" w:eastAsia="宋体"/>
          <w:szCs w:val="24"/>
        </w:rPr>
        <w:t>、K</w:t>
      </w:r>
      <w:r>
        <w:rPr>
          <w:rFonts w:hAnsi="Times New Roman" w:eastAsia="宋体"/>
          <w:szCs w:val="24"/>
          <w:vertAlign w:val="subscript"/>
        </w:rPr>
        <w:t>9</w:t>
      </w:r>
      <w:r>
        <w:rPr>
          <w:rFonts w:hAnsi="Times New Roman" w:eastAsia="宋体"/>
          <w:szCs w:val="24"/>
        </w:rPr>
        <w:t>及K</w:t>
      </w:r>
      <w:r>
        <w:rPr>
          <w:rFonts w:hAnsi="Times New Roman" w:eastAsia="宋体"/>
          <w:szCs w:val="24"/>
          <w:vertAlign w:val="subscript"/>
        </w:rPr>
        <w:t>10</w:t>
      </w:r>
      <w:r>
        <w:rPr>
          <w:rFonts w:hAnsi="Times New Roman" w:eastAsia="宋体"/>
          <w:szCs w:val="24"/>
        </w:rPr>
        <w:t>煤层的直接顶、底板为隔水层，分别厚约9m、10m、12m、6m，由泥岩、粉砂质泥岩、泥质粉砂岩组成，厚度较稳定，结构致密，裂隙不发育，因有隔水层的存在，所以各含水层之间一般不发生水力联系。</w:t>
      </w:r>
    </w:p>
    <w:p>
      <w:pPr>
        <w:spacing w:line="360" w:lineRule="auto"/>
        <w:ind w:firstLine="480"/>
        <w:jc w:val="center"/>
        <w:rPr>
          <w:rFonts w:hAnsi="Times New Roman" w:eastAsia="宋体"/>
          <w:b/>
          <w:bCs/>
          <w:sz w:val="21"/>
          <w:szCs w:val="21"/>
          <w:lang w:eastAsia="zh-CN"/>
        </w:rPr>
      </w:pPr>
      <w:r>
        <w:rPr>
          <w:rFonts w:hAnsi="Times New Roman" w:eastAsia="宋体"/>
          <w:b/>
          <w:bCs/>
          <w:sz w:val="21"/>
          <w:szCs w:val="21"/>
          <w:lang w:eastAsia="zh-CN"/>
        </w:rPr>
        <w:t>表5.3-1  矿区含煤地层含水性特征一览表</w:t>
      </w:r>
    </w:p>
    <w:tbl>
      <w:tblPr>
        <w:tblStyle w:val="3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5"/>
        <w:gridCol w:w="1121"/>
        <w:gridCol w:w="946"/>
        <w:gridCol w:w="803"/>
        <w:gridCol w:w="1059"/>
        <w:gridCol w:w="3213"/>
        <w:gridCol w:w="14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blHeader/>
        </w:trPr>
        <w:tc>
          <w:tcPr>
            <w:tcW w:w="361" w:type="pct"/>
            <w:tcBorders>
              <w:right w:val="single" w:color="auto" w:sz="2" w:space="0"/>
            </w:tcBorders>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b/>
                <w:kern w:val="2"/>
                <w:szCs w:val="21"/>
              </w:rPr>
            </w:pPr>
            <w:r>
              <w:rPr>
                <w:rFonts w:hint="eastAsia" w:hAnsi="Times New Roman" w:eastAsia="宋体"/>
                <w:b/>
                <w:kern w:val="2"/>
                <w:szCs w:val="21"/>
              </w:rPr>
              <w:t>组</w:t>
            </w:r>
          </w:p>
        </w:tc>
        <w:tc>
          <w:tcPr>
            <w:tcW w:w="609" w:type="pct"/>
            <w:tcBorders>
              <w:left w:val="single" w:color="auto" w:sz="2" w:space="0"/>
              <w:right w:val="single" w:color="auto" w:sz="2" w:space="0"/>
            </w:tcBorders>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b/>
                <w:kern w:val="2"/>
                <w:szCs w:val="21"/>
              </w:rPr>
            </w:pPr>
            <w:r>
              <w:rPr>
                <w:rFonts w:hint="eastAsia" w:hAnsi="Times New Roman" w:eastAsia="宋体"/>
                <w:b/>
                <w:kern w:val="2"/>
                <w:szCs w:val="21"/>
              </w:rPr>
              <w:t>段</w:t>
            </w:r>
          </w:p>
        </w:tc>
        <w:tc>
          <w:tcPr>
            <w:tcW w:w="514" w:type="pct"/>
            <w:tcBorders>
              <w:left w:val="single" w:color="auto" w:sz="2" w:space="0"/>
              <w:right w:val="single" w:color="auto" w:sz="2" w:space="0"/>
            </w:tcBorders>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b/>
                <w:kern w:val="2"/>
                <w:szCs w:val="21"/>
              </w:rPr>
            </w:pPr>
            <w:r>
              <w:rPr>
                <w:rFonts w:hint="eastAsia" w:hAnsi="Times New Roman" w:eastAsia="宋体"/>
                <w:b/>
                <w:kern w:val="2"/>
                <w:szCs w:val="21"/>
              </w:rPr>
              <w:t>亚段</w:t>
            </w:r>
          </w:p>
        </w:tc>
        <w:tc>
          <w:tcPr>
            <w:tcW w:w="436" w:type="pct"/>
            <w:tcBorders>
              <w:left w:val="single" w:color="auto" w:sz="2" w:space="0"/>
            </w:tcBorders>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b/>
                <w:kern w:val="2"/>
                <w:szCs w:val="21"/>
              </w:rPr>
            </w:pPr>
            <w:r>
              <w:rPr>
                <w:rFonts w:hint="eastAsia" w:hAnsi="Times New Roman" w:eastAsia="宋体"/>
                <w:b/>
                <w:kern w:val="2"/>
                <w:szCs w:val="21"/>
              </w:rPr>
              <w:t>代号</w:t>
            </w:r>
          </w:p>
        </w:tc>
        <w:tc>
          <w:tcPr>
            <w:tcW w:w="575"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b/>
                <w:kern w:val="2"/>
                <w:szCs w:val="21"/>
              </w:rPr>
            </w:pPr>
            <w:r>
              <w:rPr>
                <w:rFonts w:hint="eastAsia" w:hAnsi="Times New Roman" w:eastAsia="宋体"/>
                <w:b/>
                <w:kern w:val="2"/>
                <w:szCs w:val="21"/>
              </w:rPr>
              <w:t>厚度（</w:t>
            </w:r>
            <w:r>
              <w:rPr>
                <w:rFonts w:hint="eastAsia" w:hAnsi="Times New Roman" w:eastAsia="宋体"/>
                <w:b/>
                <w:kern w:val="2"/>
                <w:szCs w:val="21"/>
                <w:lang w:val="en-GB"/>
              </w:rPr>
              <w:t>m</w:t>
            </w:r>
            <w:r>
              <w:rPr>
                <w:rFonts w:hint="eastAsia" w:hAnsi="Times New Roman" w:eastAsia="宋体"/>
                <w:b/>
                <w:kern w:val="2"/>
                <w:szCs w:val="21"/>
              </w:rPr>
              <w:t>）</w:t>
            </w:r>
          </w:p>
        </w:tc>
        <w:tc>
          <w:tcPr>
            <w:tcW w:w="1745"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b/>
                <w:kern w:val="2"/>
                <w:szCs w:val="21"/>
              </w:rPr>
            </w:pPr>
            <w:r>
              <w:rPr>
                <w:rFonts w:hint="eastAsia" w:hAnsi="Times New Roman" w:eastAsia="宋体"/>
                <w:b/>
                <w:kern w:val="2"/>
                <w:szCs w:val="21"/>
              </w:rPr>
              <w:t>岩性</w:t>
            </w:r>
          </w:p>
        </w:tc>
        <w:tc>
          <w:tcPr>
            <w:tcW w:w="760"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b/>
                <w:kern w:val="2"/>
                <w:szCs w:val="21"/>
              </w:rPr>
            </w:pPr>
            <w:r>
              <w:rPr>
                <w:rFonts w:hint="eastAsia" w:hAnsi="Times New Roman" w:eastAsia="宋体"/>
                <w:b/>
                <w:kern w:val="2"/>
                <w:szCs w:val="21"/>
              </w:rPr>
              <w:t>含水性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361"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新田</w:t>
            </w:r>
          </w:p>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沟组</w:t>
            </w:r>
          </w:p>
        </w:tc>
        <w:tc>
          <w:tcPr>
            <w:tcW w:w="609"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514"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436"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J</w:t>
            </w:r>
            <w:r>
              <w:rPr>
                <w:rFonts w:hint="eastAsia" w:hAnsi="Times New Roman" w:eastAsia="宋体"/>
                <w:kern w:val="2"/>
                <w:szCs w:val="21"/>
                <w:vertAlign w:val="subscript"/>
              </w:rPr>
              <w:t>2</w:t>
            </w:r>
            <w:r>
              <w:rPr>
                <w:rFonts w:hint="eastAsia" w:hAnsi="Times New Roman" w:eastAsia="宋体"/>
                <w:i/>
                <w:iCs/>
                <w:kern w:val="2"/>
                <w:szCs w:val="21"/>
              </w:rPr>
              <w:t>x</w:t>
            </w:r>
          </w:p>
        </w:tc>
        <w:tc>
          <w:tcPr>
            <w:tcW w:w="575"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不详</w:t>
            </w:r>
          </w:p>
        </w:tc>
        <w:tc>
          <w:tcPr>
            <w:tcW w:w="1745"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紫红、灰色、灰绿色泥岩、粉砂质泥岩、砂岩，底部为灰色细～中粒砂岩，含砾石</w:t>
            </w:r>
          </w:p>
        </w:tc>
        <w:tc>
          <w:tcPr>
            <w:tcW w:w="760"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隔水层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361" w:type="pct"/>
            <w:vMerge w:val="restar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自</w:t>
            </w:r>
          </w:p>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流</w:t>
            </w:r>
          </w:p>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井</w:t>
            </w:r>
          </w:p>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组</w:t>
            </w:r>
          </w:p>
        </w:tc>
        <w:tc>
          <w:tcPr>
            <w:tcW w:w="609" w:type="pct"/>
            <w:tcBorders>
              <w:top w:val="single" w:color="auto" w:sz="2" w:space="0"/>
              <w:bottom w:val="single" w:color="auto" w:sz="2" w:space="0"/>
            </w:tcBorders>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大安</w:t>
            </w:r>
          </w:p>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寨段</w:t>
            </w:r>
          </w:p>
        </w:tc>
        <w:tc>
          <w:tcPr>
            <w:tcW w:w="514"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436"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J</w:t>
            </w:r>
            <w:r>
              <w:rPr>
                <w:rFonts w:hint="eastAsia" w:hAnsi="Times New Roman" w:eastAsia="宋体"/>
                <w:kern w:val="2"/>
                <w:szCs w:val="21"/>
                <w:vertAlign w:val="subscript"/>
              </w:rPr>
              <w:t>1-2</w:t>
            </w:r>
            <w:r>
              <w:rPr>
                <w:rFonts w:hint="eastAsia" w:hAnsi="Times New Roman" w:eastAsia="宋体"/>
                <w:i/>
                <w:iCs/>
                <w:kern w:val="2"/>
                <w:szCs w:val="21"/>
              </w:rPr>
              <w:t>z</w:t>
            </w:r>
            <w:r>
              <w:rPr>
                <w:rFonts w:hint="eastAsia" w:hAnsi="Times New Roman" w:eastAsia="宋体"/>
                <w:kern w:val="2"/>
                <w:szCs w:val="21"/>
                <w:vertAlign w:val="superscript"/>
              </w:rPr>
              <w:t>3</w:t>
            </w:r>
          </w:p>
        </w:tc>
        <w:tc>
          <w:tcPr>
            <w:tcW w:w="575"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90</w:t>
            </w:r>
          </w:p>
        </w:tc>
        <w:tc>
          <w:tcPr>
            <w:tcW w:w="1745"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深灰色、黑色泥岩、钙质泥岩与灰色石灰岩组成</w:t>
            </w:r>
          </w:p>
        </w:tc>
        <w:tc>
          <w:tcPr>
            <w:tcW w:w="760"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上部灰岩，中等含水层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361" w:type="pct"/>
            <w:vMerge w:val="continue"/>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609" w:type="pct"/>
            <w:tcBorders>
              <w:top w:val="single" w:color="auto" w:sz="2" w:space="0"/>
            </w:tcBorders>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马鞍</w:t>
            </w:r>
          </w:p>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山段</w:t>
            </w:r>
          </w:p>
        </w:tc>
        <w:tc>
          <w:tcPr>
            <w:tcW w:w="514"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436"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J</w:t>
            </w:r>
            <w:r>
              <w:rPr>
                <w:rFonts w:hint="eastAsia" w:hAnsi="Times New Roman" w:eastAsia="宋体"/>
                <w:kern w:val="2"/>
                <w:szCs w:val="21"/>
                <w:vertAlign w:val="subscript"/>
              </w:rPr>
              <w:t>1-2</w:t>
            </w:r>
            <w:r>
              <w:rPr>
                <w:rFonts w:hint="eastAsia" w:hAnsi="Times New Roman" w:eastAsia="宋体"/>
                <w:i/>
                <w:iCs/>
                <w:kern w:val="2"/>
                <w:szCs w:val="21"/>
              </w:rPr>
              <w:t>z</w:t>
            </w:r>
            <w:r>
              <w:rPr>
                <w:rFonts w:hint="eastAsia" w:hAnsi="Times New Roman" w:eastAsia="宋体"/>
                <w:kern w:val="2"/>
                <w:szCs w:val="21"/>
                <w:vertAlign w:val="superscript"/>
              </w:rPr>
              <w:t>2</w:t>
            </w:r>
          </w:p>
        </w:tc>
        <w:tc>
          <w:tcPr>
            <w:tcW w:w="575"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65</w:t>
            </w:r>
          </w:p>
        </w:tc>
        <w:tc>
          <w:tcPr>
            <w:tcW w:w="1745"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灰色、绿灰色泥岩、粉砂质泥岩及泥质粉砂岩</w:t>
            </w:r>
          </w:p>
        </w:tc>
        <w:tc>
          <w:tcPr>
            <w:tcW w:w="760"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隔水层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361" w:type="pct"/>
            <w:vMerge w:val="continue"/>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609" w:type="pct"/>
            <w:tcBorders>
              <w:top w:val="single" w:color="auto" w:sz="2" w:space="0"/>
            </w:tcBorders>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东岳</w:t>
            </w:r>
          </w:p>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庙段</w:t>
            </w:r>
          </w:p>
        </w:tc>
        <w:tc>
          <w:tcPr>
            <w:tcW w:w="514"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436"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J</w:t>
            </w:r>
            <w:r>
              <w:rPr>
                <w:rFonts w:hint="eastAsia" w:hAnsi="Times New Roman" w:eastAsia="宋体"/>
                <w:kern w:val="2"/>
                <w:szCs w:val="21"/>
                <w:vertAlign w:val="subscript"/>
              </w:rPr>
              <w:t>1-2</w:t>
            </w:r>
            <w:r>
              <w:rPr>
                <w:rFonts w:hint="eastAsia" w:hAnsi="Times New Roman" w:eastAsia="宋体"/>
                <w:i/>
                <w:iCs/>
                <w:kern w:val="2"/>
                <w:szCs w:val="21"/>
              </w:rPr>
              <w:t>z</w:t>
            </w:r>
            <w:r>
              <w:rPr>
                <w:rFonts w:hint="eastAsia" w:hAnsi="Times New Roman" w:eastAsia="宋体"/>
                <w:kern w:val="2"/>
                <w:szCs w:val="21"/>
                <w:vertAlign w:val="superscript"/>
              </w:rPr>
              <w:t>1</w:t>
            </w:r>
          </w:p>
        </w:tc>
        <w:tc>
          <w:tcPr>
            <w:tcW w:w="575"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42</w:t>
            </w:r>
          </w:p>
        </w:tc>
        <w:tc>
          <w:tcPr>
            <w:tcW w:w="1745"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底部一般为灰色粉砂岩、泥质粉砂岩，往上一般为深灰色泥岩和粉砂质泥岩互层</w:t>
            </w:r>
          </w:p>
        </w:tc>
        <w:tc>
          <w:tcPr>
            <w:tcW w:w="760"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隔水层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361"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珍珠</w:t>
            </w:r>
          </w:p>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冲组</w:t>
            </w:r>
          </w:p>
        </w:tc>
        <w:tc>
          <w:tcPr>
            <w:tcW w:w="609" w:type="pct"/>
            <w:tcBorders>
              <w:top w:val="single" w:color="auto" w:sz="2" w:space="0"/>
            </w:tcBorders>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514"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436"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J</w:t>
            </w:r>
            <w:r>
              <w:rPr>
                <w:rFonts w:hint="eastAsia" w:hAnsi="Times New Roman" w:eastAsia="宋体"/>
                <w:kern w:val="2"/>
                <w:szCs w:val="21"/>
                <w:vertAlign w:val="subscript"/>
              </w:rPr>
              <w:t>1</w:t>
            </w:r>
            <w:r>
              <w:rPr>
                <w:rFonts w:hint="eastAsia" w:hAnsi="Times New Roman" w:eastAsia="宋体"/>
                <w:i/>
                <w:iCs/>
                <w:kern w:val="2"/>
                <w:szCs w:val="21"/>
              </w:rPr>
              <w:t>zh</w:t>
            </w:r>
          </w:p>
        </w:tc>
        <w:tc>
          <w:tcPr>
            <w:tcW w:w="575"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165</w:t>
            </w:r>
          </w:p>
        </w:tc>
        <w:tc>
          <w:tcPr>
            <w:tcW w:w="1745"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浅灰、灰、绿灰色粉砂质泥岩、泥岩及3～5层粉砂岩、中粒砂岩组成</w:t>
            </w:r>
          </w:p>
        </w:tc>
        <w:tc>
          <w:tcPr>
            <w:tcW w:w="760"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上部弱</w:t>
            </w:r>
            <w:r>
              <w:rPr>
                <w:rFonts w:hint="eastAsia" w:hAnsi="Times New Roman" w:eastAsia="宋体"/>
                <w:kern w:val="2"/>
                <w:szCs w:val="21"/>
                <w:lang w:eastAsia="zh-CN"/>
              </w:rPr>
              <w:t>含水层</w:t>
            </w:r>
            <w:r>
              <w:rPr>
                <w:rFonts w:hint="eastAsia" w:hAnsi="Times New Roman" w:eastAsia="宋体"/>
                <w:kern w:val="2"/>
                <w:szCs w:val="21"/>
              </w:rPr>
              <w:t>；底部砂岩弱～中等含水层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361" w:type="pct"/>
            <w:vMerge w:val="restar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须</w:t>
            </w:r>
          </w:p>
          <w:p>
            <w:pPr>
              <w:pStyle w:val="62"/>
              <w:keepNext w:val="0"/>
              <w:keepLines w:val="0"/>
              <w:suppressLineNumbers w:val="0"/>
              <w:spacing w:before="0" w:beforeAutospacing="0" w:after="0" w:afterAutospacing="0"/>
              <w:ind w:left="0" w:right="0"/>
              <w:rPr>
                <w:rFonts w:hint="eastAsia" w:hAnsi="Times New Roman" w:eastAsia="宋体"/>
                <w:kern w:val="2"/>
                <w:szCs w:val="21"/>
              </w:rPr>
            </w:pPr>
          </w:p>
          <w:p>
            <w:pPr>
              <w:pStyle w:val="62"/>
              <w:keepNext w:val="0"/>
              <w:keepLines w:val="0"/>
              <w:suppressLineNumbers w:val="0"/>
              <w:spacing w:before="0" w:beforeAutospacing="0" w:after="0" w:afterAutospacing="0"/>
              <w:ind w:left="0" w:right="0"/>
              <w:rPr>
                <w:rFonts w:hint="eastAsia" w:hAnsi="Times New Roman" w:eastAsia="宋体"/>
                <w:kern w:val="2"/>
                <w:szCs w:val="21"/>
              </w:rPr>
            </w:pPr>
          </w:p>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家</w:t>
            </w:r>
          </w:p>
          <w:p>
            <w:pPr>
              <w:pStyle w:val="62"/>
              <w:keepNext w:val="0"/>
              <w:keepLines w:val="0"/>
              <w:suppressLineNumbers w:val="0"/>
              <w:spacing w:before="0" w:beforeAutospacing="0" w:after="0" w:afterAutospacing="0"/>
              <w:ind w:left="0" w:right="0"/>
              <w:rPr>
                <w:rFonts w:hint="eastAsia" w:hAnsi="Times New Roman" w:eastAsia="宋体"/>
                <w:kern w:val="2"/>
                <w:szCs w:val="21"/>
              </w:rPr>
            </w:pPr>
          </w:p>
          <w:p>
            <w:pPr>
              <w:pStyle w:val="62"/>
              <w:keepNext w:val="0"/>
              <w:keepLines w:val="0"/>
              <w:suppressLineNumbers w:val="0"/>
              <w:spacing w:before="0" w:beforeAutospacing="0" w:after="0" w:afterAutospacing="0"/>
              <w:ind w:left="0" w:right="0"/>
              <w:rPr>
                <w:rFonts w:hint="eastAsia" w:hAnsi="Times New Roman" w:eastAsia="宋体"/>
                <w:kern w:val="2"/>
                <w:szCs w:val="21"/>
              </w:rPr>
            </w:pPr>
          </w:p>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河</w:t>
            </w:r>
          </w:p>
          <w:p>
            <w:pPr>
              <w:pStyle w:val="62"/>
              <w:keepNext w:val="0"/>
              <w:keepLines w:val="0"/>
              <w:suppressLineNumbers w:val="0"/>
              <w:spacing w:before="0" w:beforeAutospacing="0" w:after="0" w:afterAutospacing="0"/>
              <w:ind w:left="0" w:right="0"/>
              <w:rPr>
                <w:rFonts w:hint="eastAsia" w:hAnsi="Times New Roman" w:eastAsia="宋体"/>
                <w:kern w:val="2"/>
                <w:szCs w:val="21"/>
              </w:rPr>
            </w:pPr>
          </w:p>
          <w:p>
            <w:pPr>
              <w:pStyle w:val="62"/>
              <w:keepNext w:val="0"/>
              <w:keepLines w:val="0"/>
              <w:suppressLineNumbers w:val="0"/>
              <w:spacing w:before="0" w:beforeAutospacing="0" w:after="0" w:afterAutospacing="0"/>
              <w:ind w:left="0" w:right="0"/>
              <w:rPr>
                <w:rFonts w:hint="eastAsia" w:hAnsi="Times New Roman" w:eastAsia="宋体"/>
                <w:kern w:val="2"/>
                <w:szCs w:val="21"/>
              </w:rPr>
            </w:pPr>
          </w:p>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组</w:t>
            </w:r>
          </w:p>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609" w:type="pct"/>
            <w:vMerge w:val="restart"/>
            <w:tcBorders>
              <w:top w:val="single" w:color="auto" w:sz="2" w:space="0"/>
            </w:tcBorders>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第</w:t>
            </w:r>
          </w:p>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七</w:t>
            </w:r>
          </w:p>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段</w:t>
            </w:r>
          </w:p>
        </w:tc>
        <w:tc>
          <w:tcPr>
            <w:tcW w:w="514"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第三亚段</w:t>
            </w:r>
          </w:p>
        </w:tc>
        <w:tc>
          <w:tcPr>
            <w:tcW w:w="436"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T</w:t>
            </w:r>
            <w:r>
              <w:rPr>
                <w:rFonts w:hint="eastAsia" w:hAnsi="Times New Roman" w:eastAsia="宋体"/>
                <w:kern w:val="2"/>
                <w:szCs w:val="21"/>
                <w:vertAlign w:val="subscript"/>
              </w:rPr>
              <w:t>3</w:t>
            </w:r>
            <w:r>
              <w:rPr>
                <w:rFonts w:hint="eastAsia" w:hAnsi="Times New Roman" w:eastAsia="宋体"/>
                <w:i/>
                <w:iCs/>
                <w:kern w:val="2"/>
                <w:szCs w:val="21"/>
              </w:rPr>
              <w:t>xj</w:t>
            </w:r>
            <w:r>
              <w:rPr>
                <w:rFonts w:hint="eastAsia" w:hAnsi="Times New Roman" w:eastAsia="宋体"/>
                <w:kern w:val="2"/>
                <w:szCs w:val="21"/>
                <w:vertAlign w:val="superscript"/>
              </w:rPr>
              <w:t>7-3</w:t>
            </w:r>
          </w:p>
        </w:tc>
        <w:tc>
          <w:tcPr>
            <w:tcW w:w="575"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12</w:t>
            </w:r>
          </w:p>
        </w:tc>
        <w:tc>
          <w:tcPr>
            <w:tcW w:w="1745"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灰、深灰色薄至厚层状泥岩，粉砂质泥岩，含K</w:t>
            </w:r>
            <w:r>
              <w:rPr>
                <w:rFonts w:hint="eastAsia" w:hAnsi="Times New Roman" w:eastAsia="宋体"/>
                <w:kern w:val="2"/>
                <w:szCs w:val="21"/>
                <w:vertAlign w:val="subscript"/>
              </w:rPr>
              <w:t>24</w:t>
            </w:r>
            <w:r>
              <w:rPr>
                <w:rFonts w:hint="eastAsia" w:hAnsi="Times New Roman" w:eastAsia="宋体"/>
                <w:kern w:val="2"/>
                <w:szCs w:val="21"/>
              </w:rPr>
              <w:t>煤层，下部夹细粒砂岩及灰白色粘土岩</w:t>
            </w:r>
          </w:p>
        </w:tc>
        <w:tc>
          <w:tcPr>
            <w:tcW w:w="760"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隔水层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361" w:type="pct"/>
            <w:vMerge w:val="continue"/>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609" w:type="pct"/>
            <w:vMerge w:val="continue"/>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514"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第二亚段</w:t>
            </w:r>
          </w:p>
        </w:tc>
        <w:tc>
          <w:tcPr>
            <w:tcW w:w="436"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T</w:t>
            </w:r>
            <w:r>
              <w:rPr>
                <w:rFonts w:hint="eastAsia" w:hAnsi="Times New Roman" w:eastAsia="宋体"/>
                <w:kern w:val="2"/>
                <w:szCs w:val="21"/>
                <w:vertAlign w:val="subscript"/>
              </w:rPr>
              <w:t>3</w:t>
            </w:r>
            <w:r>
              <w:rPr>
                <w:rFonts w:hint="eastAsia" w:hAnsi="Times New Roman" w:eastAsia="宋体"/>
                <w:i/>
                <w:iCs/>
                <w:kern w:val="2"/>
                <w:szCs w:val="21"/>
              </w:rPr>
              <w:t>xj</w:t>
            </w:r>
            <w:r>
              <w:rPr>
                <w:rFonts w:hint="eastAsia" w:hAnsi="Times New Roman" w:eastAsia="宋体"/>
                <w:kern w:val="2"/>
                <w:szCs w:val="21"/>
                <w:vertAlign w:val="superscript"/>
              </w:rPr>
              <w:t>7-2</w:t>
            </w:r>
          </w:p>
        </w:tc>
        <w:tc>
          <w:tcPr>
            <w:tcW w:w="575"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22</w:t>
            </w:r>
          </w:p>
        </w:tc>
        <w:tc>
          <w:tcPr>
            <w:tcW w:w="1745"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灰、深灰色厚层状细～中粒砂岩，含较多黑色矿物，俗称芝麻砂岩，下部含煤包体及泥质包体</w:t>
            </w:r>
          </w:p>
        </w:tc>
        <w:tc>
          <w:tcPr>
            <w:tcW w:w="760"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弱含水层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361" w:type="pct"/>
            <w:vMerge w:val="continue"/>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609" w:type="pct"/>
            <w:vMerge w:val="continue"/>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514"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第一亚段</w:t>
            </w:r>
          </w:p>
        </w:tc>
        <w:tc>
          <w:tcPr>
            <w:tcW w:w="436"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T</w:t>
            </w:r>
            <w:r>
              <w:rPr>
                <w:rFonts w:hint="eastAsia" w:hAnsi="Times New Roman" w:eastAsia="宋体"/>
                <w:kern w:val="2"/>
                <w:szCs w:val="21"/>
                <w:vertAlign w:val="subscript"/>
              </w:rPr>
              <w:t>3</w:t>
            </w:r>
            <w:r>
              <w:rPr>
                <w:rFonts w:hint="eastAsia" w:hAnsi="Times New Roman" w:eastAsia="宋体"/>
                <w:i/>
                <w:iCs/>
                <w:kern w:val="2"/>
                <w:szCs w:val="21"/>
              </w:rPr>
              <w:t>xj</w:t>
            </w:r>
            <w:r>
              <w:rPr>
                <w:rFonts w:hint="eastAsia" w:hAnsi="Times New Roman" w:eastAsia="宋体"/>
                <w:kern w:val="2"/>
                <w:szCs w:val="21"/>
                <w:vertAlign w:val="superscript"/>
              </w:rPr>
              <w:t>7-1</w:t>
            </w:r>
          </w:p>
        </w:tc>
        <w:tc>
          <w:tcPr>
            <w:tcW w:w="575"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11</w:t>
            </w:r>
          </w:p>
        </w:tc>
        <w:tc>
          <w:tcPr>
            <w:tcW w:w="1745"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灰、深灰色中至厚层状泥岩、粉砂质泥岩及泥质粉砂岩，含菱铁矿一层及K</w:t>
            </w:r>
            <w:r>
              <w:rPr>
                <w:rFonts w:hint="eastAsia" w:hAnsi="Times New Roman" w:eastAsia="宋体"/>
                <w:kern w:val="2"/>
                <w:szCs w:val="21"/>
                <w:vertAlign w:val="subscript"/>
              </w:rPr>
              <w:t>17</w:t>
            </w:r>
            <w:r>
              <w:rPr>
                <w:rFonts w:hint="eastAsia" w:hAnsi="Times New Roman" w:eastAsia="宋体"/>
                <w:kern w:val="2"/>
                <w:szCs w:val="21"/>
              </w:rPr>
              <w:t>、K</w:t>
            </w:r>
            <w:r>
              <w:rPr>
                <w:rFonts w:hint="eastAsia" w:hAnsi="Times New Roman" w:eastAsia="宋体"/>
                <w:kern w:val="2"/>
                <w:szCs w:val="21"/>
                <w:vertAlign w:val="subscript"/>
              </w:rPr>
              <w:t>21</w:t>
            </w:r>
            <w:r>
              <w:rPr>
                <w:rFonts w:hint="eastAsia" w:hAnsi="Times New Roman" w:eastAsia="宋体"/>
                <w:kern w:val="2"/>
                <w:szCs w:val="21"/>
              </w:rPr>
              <w:t>煤层</w:t>
            </w:r>
          </w:p>
        </w:tc>
        <w:tc>
          <w:tcPr>
            <w:tcW w:w="760"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隔水层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361" w:type="pct"/>
            <w:vMerge w:val="continue"/>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609" w:type="pct"/>
            <w:tcBorders>
              <w:top w:val="single" w:color="auto" w:sz="2" w:space="0"/>
            </w:tcBorders>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第六段</w:t>
            </w:r>
          </w:p>
        </w:tc>
        <w:tc>
          <w:tcPr>
            <w:tcW w:w="514"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436"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T</w:t>
            </w:r>
            <w:r>
              <w:rPr>
                <w:rFonts w:hint="eastAsia" w:hAnsi="Times New Roman" w:eastAsia="宋体"/>
                <w:kern w:val="2"/>
                <w:szCs w:val="21"/>
                <w:vertAlign w:val="subscript"/>
              </w:rPr>
              <w:t>3</w:t>
            </w:r>
            <w:r>
              <w:rPr>
                <w:rFonts w:hint="eastAsia" w:hAnsi="Times New Roman" w:eastAsia="宋体"/>
                <w:i/>
                <w:iCs/>
                <w:kern w:val="2"/>
                <w:szCs w:val="21"/>
              </w:rPr>
              <w:t>xj</w:t>
            </w:r>
            <w:r>
              <w:rPr>
                <w:rFonts w:hint="eastAsia" w:hAnsi="Times New Roman" w:eastAsia="宋体"/>
                <w:kern w:val="2"/>
                <w:szCs w:val="21"/>
                <w:vertAlign w:val="superscript"/>
              </w:rPr>
              <w:t>6</w:t>
            </w:r>
          </w:p>
        </w:tc>
        <w:tc>
          <w:tcPr>
            <w:tcW w:w="575"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65</w:t>
            </w:r>
          </w:p>
        </w:tc>
        <w:tc>
          <w:tcPr>
            <w:tcW w:w="1745"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灰、灰白色厚至巨厚层状细～中粒砂岩，下部含较多煤包体及泥质包体，底部含较多砾石</w:t>
            </w:r>
          </w:p>
        </w:tc>
        <w:tc>
          <w:tcPr>
            <w:tcW w:w="760"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弱～中等含水层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361" w:type="pct"/>
            <w:vMerge w:val="continue"/>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609" w:type="pct"/>
            <w:vMerge w:val="restar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第</w:t>
            </w:r>
          </w:p>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五</w:t>
            </w:r>
          </w:p>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段</w:t>
            </w:r>
          </w:p>
        </w:tc>
        <w:tc>
          <w:tcPr>
            <w:tcW w:w="514"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第三亚段</w:t>
            </w:r>
          </w:p>
        </w:tc>
        <w:tc>
          <w:tcPr>
            <w:tcW w:w="436"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T</w:t>
            </w:r>
            <w:r>
              <w:rPr>
                <w:rFonts w:hint="eastAsia" w:hAnsi="Times New Roman" w:eastAsia="宋体"/>
                <w:kern w:val="2"/>
                <w:szCs w:val="21"/>
                <w:vertAlign w:val="subscript"/>
              </w:rPr>
              <w:t>3</w:t>
            </w:r>
            <w:r>
              <w:rPr>
                <w:rFonts w:hint="eastAsia" w:hAnsi="Times New Roman" w:eastAsia="宋体"/>
                <w:i/>
                <w:iCs/>
                <w:kern w:val="2"/>
                <w:szCs w:val="21"/>
              </w:rPr>
              <w:t>xj</w:t>
            </w:r>
            <w:r>
              <w:rPr>
                <w:rFonts w:hint="eastAsia" w:hAnsi="Times New Roman" w:eastAsia="宋体"/>
                <w:kern w:val="2"/>
                <w:szCs w:val="21"/>
                <w:vertAlign w:val="superscript"/>
              </w:rPr>
              <w:t>5-3</w:t>
            </w:r>
          </w:p>
        </w:tc>
        <w:tc>
          <w:tcPr>
            <w:tcW w:w="575"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41</w:t>
            </w:r>
          </w:p>
        </w:tc>
        <w:tc>
          <w:tcPr>
            <w:tcW w:w="1745"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灰、深灰色薄至中厚层状泥岩、粉砂质泥岩、泥质粉砂岩夹粉砂岩，中上部为灰色细～中粒砂岩。该亚段含煤3～4层，即K</w:t>
            </w:r>
            <w:r>
              <w:rPr>
                <w:rFonts w:hint="eastAsia" w:hAnsi="Times New Roman" w:eastAsia="宋体"/>
                <w:kern w:val="2"/>
                <w:szCs w:val="21"/>
                <w:vertAlign w:val="subscript"/>
              </w:rPr>
              <w:t>13</w:t>
            </w:r>
            <w:r>
              <w:rPr>
                <w:rFonts w:hint="eastAsia" w:hAnsi="Times New Roman" w:eastAsia="宋体"/>
                <w:kern w:val="2"/>
                <w:szCs w:val="21"/>
              </w:rPr>
              <w:t>、K</w:t>
            </w:r>
            <w:r>
              <w:rPr>
                <w:rFonts w:hint="eastAsia" w:hAnsi="Times New Roman" w:eastAsia="宋体"/>
                <w:kern w:val="2"/>
                <w:szCs w:val="21"/>
                <w:vertAlign w:val="subscript"/>
              </w:rPr>
              <w:t>14</w:t>
            </w:r>
            <w:r>
              <w:rPr>
                <w:rFonts w:hint="eastAsia" w:hAnsi="Times New Roman" w:eastAsia="宋体"/>
                <w:kern w:val="2"/>
                <w:szCs w:val="21"/>
              </w:rPr>
              <w:t>、K</w:t>
            </w:r>
            <w:r>
              <w:rPr>
                <w:rFonts w:hint="eastAsia" w:hAnsi="Times New Roman" w:eastAsia="宋体"/>
                <w:kern w:val="2"/>
                <w:szCs w:val="21"/>
                <w:vertAlign w:val="subscript"/>
              </w:rPr>
              <w:t>14-1</w:t>
            </w:r>
            <w:r>
              <w:rPr>
                <w:rFonts w:hint="eastAsia" w:hAnsi="Times New Roman" w:eastAsia="宋体"/>
                <w:kern w:val="2"/>
                <w:szCs w:val="21"/>
              </w:rPr>
              <w:t>煤层及煤线</w:t>
            </w:r>
          </w:p>
        </w:tc>
        <w:tc>
          <w:tcPr>
            <w:tcW w:w="760"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隔水层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361" w:type="pct"/>
            <w:vMerge w:val="continue"/>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609" w:type="pct"/>
            <w:vMerge w:val="continue"/>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514"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第二亚段</w:t>
            </w:r>
          </w:p>
        </w:tc>
        <w:tc>
          <w:tcPr>
            <w:tcW w:w="436"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T</w:t>
            </w:r>
            <w:r>
              <w:rPr>
                <w:rFonts w:hint="eastAsia" w:hAnsi="Times New Roman" w:eastAsia="宋体"/>
                <w:kern w:val="2"/>
                <w:szCs w:val="21"/>
                <w:vertAlign w:val="subscript"/>
              </w:rPr>
              <w:t>3</w:t>
            </w:r>
            <w:r>
              <w:rPr>
                <w:rFonts w:hint="eastAsia" w:hAnsi="Times New Roman" w:eastAsia="宋体"/>
                <w:i/>
                <w:iCs/>
                <w:kern w:val="2"/>
                <w:szCs w:val="21"/>
              </w:rPr>
              <w:t>xj</w:t>
            </w:r>
            <w:r>
              <w:rPr>
                <w:rFonts w:hint="eastAsia" w:hAnsi="Times New Roman" w:eastAsia="宋体"/>
                <w:kern w:val="2"/>
                <w:szCs w:val="21"/>
                <w:vertAlign w:val="superscript"/>
              </w:rPr>
              <w:t>5-2</w:t>
            </w:r>
          </w:p>
        </w:tc>
        <w:tc>
          <w:tcPr>
            <w:tcW w:w="575"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10～32</w:t>
            </w:r>
          </w:p>
        </w:tc>
        <w:tc>
          <w:tcPr>
            <w:tcW w:w="1745"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灰、浅灰色厚至巨厚层状细～中粒砂岩，下部夹粉砂质泥岩</w:t>
            </w:r>
          </w:p>
        </w:tc>
        <w:tc>
          <w:tcPr>
            <w:tcW w:w="760"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弱含水层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361" w:type="pct"/>
            <w:vMerge w:val="continue"/>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609" w:type="pct"/>
            <w:vMerge w:val="continue"/>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514"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第一亚段</w:t>
            </w:r>
          </w:p>
        </w:tc>
        <w:tc>
          <w:tcPr>
            <w:tcW w:w="436"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T</w:t>
            </w:r>
            <w:r>
              <w:rPr>
                <w:rFonts w:hint="eastAsia" w:hAnsi="Times New Roman" w:eastAsia="宋体"/>
                <w:kern w:val="2"/>
                <w:szCs w:val="21"/>
                <w:vertAlign w:val="subscript"/>
              </w:rPr>
              <w:t>3</w:t>
            </w:r>
            <w:r>
              <w:rPr>
                <w:rFonts w:hint="eastAsia" w:hAnsi="Times New Roman" w:eastAsia="宋体"/>
                <w:i/>
                <w:iCs/>
                <w:kern w:val="2"/>
                <w:szCs w:val="21"/>
              </w:rPr>
              <w:t>xj</w:t>
            </w:r>
            <w:r>
              <w:rPr>
                <w:rFonts w:hint="eastAsia" w:hAnsi="Times New Roman" w:eastAsia="宋体"/>
                <w:kern w:val="2"/>
                <w:szCs w:val="21"/>
                <w:vertAlign w:val="superscript"/>
              </w:rPr>
              <w:t>5-1</w:t>
            </w:r>
          </w:p>
        </w:tc>
        <w:tc>
          <w:tcPr>
            <w:tcW w:w="575"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17～38</w:t>
            </w:r>
          </w:p>
        </w:tc>
        <w:tc>
          <w:tcPr>
            <w:tcW w:w="1745"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灰、深灰色中厚层状泥岩、粉砂质泥岩及泥质粉砂岩，夹灰色粉砂岩及细粒砂岩，含煤2～4层，即K</w:t>
            </w:r>
            <w:r>
              <w:rPr>
                <w:rFonts w:hint="eastAsia" w:hAnsi="Times New Roman" w:eastAsia="宋体"/>
                <w:kern w:val="2"/>
                <w:szCs w:val="21"/>
                <w:vertAlign w:val="subscript"/>
              </w:rPr>
              <w:t>9</w:t>
            </w:r>
            <w:r>
              <w:rPr>
                <w:rFonts w:hint="eastAsia" w:hAnsi="Times New Roman" w:eastAsia="宋体"/>
                <w:kern w:val="2"/>
                <w:szCs w:val="21"/>
              </w:rPr>
              <w:t>～K</w:t>
            </w:r>
            <w:r>
              <w:rPr>
                <w:rFonts w:hint="eastAsia" w:hAnsi="Times New Roman" w:eastAsia="宋体"/>
                <w:kern w:val="2"/>
                <w:szCs w:val="21"/>
                <w:vertAlign w:val="subscript"/>
              </w:rPr>
              <w:t>12</w:t>
            </w:r>
            <w:r>
              <w:rPr>
                <w:rFonts w:hint="eastAsia" w:hAnsi="Times New Roman" w:eastAsia="宋体"/>
                <w:kern w:val="2"/>
                <w:szCs w:val="21"/>
              </w:rPr>
              <w:t>煤层</w:t>
            </w:r>
          </w:p>
        </w:tc>
        <w:tc>
          <w:tcPr>
            <w:tcW w:w="760"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隔水层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361" w:type="pct"/>
            <w:vMerge w:val="continue"/>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609"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第四段</w:t>
            </w:r>
          </w:p>
        </w:tc>
        <w:tc>
          <w:tcPr>
            <w:tcW w:w="514"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436"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T</w:t>
            </w:r>
            <w:r>
              <w:rPr>
                <w:rFonts w:hint="eastAsia" w:hAnsi="Times New Roman" w:eastAsia="宋体"/>
                <w:kern w:val="2"/>
                <w:szCs w:val="21"/>
                <w:vertAlign w:val="subscript"/>
              </w:rPr>
              <w:t>3</w:t>
            </w:r>
            <w:r>
              <w:rPr>
                <w:rFonts w:hint="eastAsia" w:hAnsi="Times New Roman" w:eastAsia="宋体"/>
                <w:i/>
                <w:iCs/>
                <w:kern w:val="2"/>
                <w:szCs w:val="21"/>
              </w:rPr>
              <w:t>xj</w:t>
            </w:r>
            <w:r>
              <w:rPr>
                <w:rFonts w:hint="eastAsia" w:hAnsi="Times New Roman" w:eastAsia="宋体"/>
                <w:kern w:val="2"/>
                <w:szCs w:val="21"/>
                <w:vertAlign w:val="superscript"/>
              </w:rPr>
              <w:t>4</w:t>
            </w:r>
          </w:p>
        </w:tc>
        <w:tc>
          <w:tcPr>
            <w:tcW w:w="575"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70</w:t>
            </w:r>
          </w:p>
        </w:tc>
        <w:tc>
          <w:tcPr>
            <w:tcW w:w="1745"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浅灰色厚至巨厚层状中粒砂岩，顶部为灰色细粒砂岩，下部及底部夹薄层粉砂质泥岩及砾石层</w:t>
            </w:r>
          </w:p>
        </w:tc>
        <w:tc>
          <w:tcPr>
            <w:tcW w:w="760"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弱～中等含</w:t>
            </w:r>
          </w:p>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水层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361" w:type="pct"/>
            <w:vMerge w:val="continue"/>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609"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第三段</w:t>
            </w:r>
          </w:p>
        </w:tc>
        <w:tc>
          <w:tcPr>
            <w:tcW w:w="514"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436"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T</w:t>
            </w:r>
            <w:r>
              <w:rPr>
                <w:rFonts w:hint="eastAsia" w:hAnsi="Times New Roman" w:eastAsia="宋体"/>
                <w:kern w:val="2"/>
                <w:szCs w:val="21"/>
                <w:vertAlign w:val="subscript"/>
              </w:rPr>
              <w:t>3</w:t>
            </w:r>
            <w:r>
              <w:rPr>
                <w:rFonts w:hint="eastAsia" w:hAnsi="Times New Roman" w:eastAsia="宋体"/>
                <w:i/>
                <w:iCs/>
                <w:kern w:val="2"/>
                <w:szCs w:val="21"/>
              </w:rPr>
              <w:t>xj</w:t>
            </w:r>
            <w:r>
              <w:rPr>
                <w:rFonts w:hint="eastAsia" w:hAnsi="Times New Roman" w:eastAsia="宋体"/>
                <w:kern w:val="2"/>
                <w:szCs w:val="21"/>
                <w:vertAlign w:val="superscript"/>
              </w:rPr>
              <w:t>3</w:t>
            </w:r>
          </w:p>
        </w:tc>
        <w:tc>
          <w:tcPr>
            <w:tcW w:w="575"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26</w:t>
            </w:r>
          </w:p>
        </w:tc>
        <w:tc>
          <w:tcPr>
            <w:tcW w:w="1745"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灰、深灰色薄至厚层状泥岩，粉砂质泥岩、泥质粉砂岩，夹粉砂岩，中部及中上部含K</w:t>
            </w:r>
            <w:r>
              <w:rPr>
                <w:rFonts w:hint="eastAsia" w:hAnsi="Times New Roman" w:eastAsia="宋体"/>
                <w:kern w:val="2"/>
                <w:szCs w:val="21"/>
                <w:vertAlign w:val="subscript"/>
              </w:rPr>
              <w:t>4</w:t>
            </w:r>
            <w:r>
              <w:rPr>
                <w:rFonts w:hint="eastAsia" w:hAnsi="Times New Roman" w:eastAsia="宋体"/>
                <w:kern w:val="2"/>
                <w:szCs w:val="21"/>
              </w:rPr>
              <w:t>、K</w:t>
            </w:r>
            <w:r>
              <w:rPr>
                <w:rFonts w:hint="eastAsia" w:hAnsi="Times New Roman" w:eastAsia="宋体"/>
                <w:kern w:val="2"/>
                <w:szCs w:val="21"/>
                <w:vertAlign w:val="subscript"/>
              </w:rPr>
              <w:t>5</w:t>
            </w:r>
            <w:r>
              <w:rPr>
                <w:rFonts w:hint="eastAsia" w:hAnsi="Times New Roman" w:eastAsia="宋体"/>
                <w:kern w:val="2"/>
                <w:szCs w:val="21"/>
              </w:rPr>
              <w:t>、K</w:t>
            </w:r>
            <w:r>
              <w:rPr>
                <w:rFonts w:hint="eastAsia" w:hAnsi="Times New Roman" w:eastAsia="宋体"/>
                <w:kern w:val="2"/>
                <w:szCs w:val="21"/>
                <w:vertAlign w:val="subscript"/>
              </w:rPr>
              <w:t>6</w:t>
            </w:r>
            <w:r>
              <w:rPr>
                <w:rFonts w:hint="eastAsia" w:hAnsi="Times New Roman" w:eastAsia="宋体"/>
                <w:kern w:val="2"/>
                <w:szCs w:val="21"/>
              </w:rPr>
              <w:t>煤层及煤线</w:t>
            </w:r>
          </w:p>
        </w:tc>
        <w:tc>
          <w:tcPr>
            <w:tcW w:w="760"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隔水层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361" w:type="pct"/>
            <w:vMerge w:val="continue"/>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609"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第二段</w:t>
            </w:r>
          </w:p>
        </w:tc>
        <w:tc>
          <w:tcPr>
            <w:tcW w:w="514"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436"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T</w:t>
            </w:r>
            <w:r>
              <w:rPr>
                <w:rFonts w:hint="eastAsia" w:hAnsi="Times New Roman" w:eastAsia="宋体"/>
                <w:kern w:val="2"/>
                <w:szCs w:val="21"/>
                <w:vertAlign w:val="subscript"/>
              </w:rPr>
              <w:t>3</w:t>
            </w:r>
            <w:r>
              <w:rPr>
                <w:rFonts w:hint="eastAsia" w:hAnsi="Times New Roman" w:eastAsia="宋体"/>
                <w:i/>
                <w:iCs/>
                <w:kern w:val="2"/>
                <w:szCs w:val="21"/>
              </w:rPr>
              <w:t>xj</w:t>
            </w:r>
            <w:r>
              <w:rPr>
                <w:rFonts w:hint="eastAsia" w:hAnsi="Times New Roman" w:eastAsia="宋体"/>
                <w:kern w:val="2"/>
                <w:szCs w:val="21"/>
                <w:vertAlign w:val="superscript"/>
              </w:rPr>
              <w:t>2</w:t>
            </w:r>
          </w:p>
        </w:tc>
        <w:tc>
          <w:tcPr>
            <w:tcW w:w="575"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160</w:t>
            </w:r>
          </w:p>
        </w:tc>
        <w:tc>
          <w:tcPr>
            <w:tcW w:w="1745"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浅灰、灰色厚至巨厚层状细至中粒砂岩，近底部含砾石</w:t>
            </w:r>
          </w:p>
        </w:tc>
        <w:tc>
          <w:tcPr>
            <w:tcW w:w="760"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弱含水层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361" w:type="pct"/>
            <w:vMerge w:val="continue"/>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609"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第一段</w:t>
            </w:r>
          </w:p>
        </w:tc>
        <w:tc>
          <w:tcPr>
            <w:tcW w:w="514"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436"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575"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1745"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760"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缺失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361"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雷口坡组</w:t>
            </w:r>
          </w:p>
        </w:tc>
        <w:tc>
          <w:tcPr>
            <w:tcW w:w="609"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514"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436"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T</w:t>
            </w:r>
            <w:r>
              <w:rPr>
                <w:rFonts w:hint="eastAsia" w:hAnsi="Times New Roman" w:eastAsia="宋体"/>
                <w:kern w:val="2"/>
                <w:szCs w:val="21"/>
                <w:vertAlign w:val="subscript"/>
              </w:rPr>
              <w:t>2</w:t>
            </w:r>
            <w:r>
              <w:rPr>
                <w:rFonts w:hint="eastAsia" w:hAnsi="Times New Roman" w:eastAsia="宋体"/>
                <w:i/>
                <w:iCs/>
                <w:kern w:val="2"/>
                <w:szCs w:val="21"/>
              </w:rPr>
              <w:t>l</w:t>
            </w:r>
          </w:p>
        </w:tc>
        <w:tc>
          <w:tcPr>
            <w:tcW w:w="575"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600</w:t>
            </w:r>
          </w:p>
        </w:tc>
        <w:tc>
          <w:tcPr>
            <w:tcW w:w="1745"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岩性以灰色中～厚层状泥质灰岩为主，夹灰岩、白云质灰岩、钙质泥岩</w:t>
            </w:r>
          </w:p>
        </w:tc>
        <w:tc>
          <w:tcPr>
            <w:tcW w:w="760" w:type="pct"/>
            <w:tcMar>
              <w:left w:w="40" w:type="dxa"/>
              <w:right w:w="40" w:type="dxa"/>
            </w:tcMar>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强～中等含水层</w:t>
            </w:r>
          </w:p>
        </w:tc>
      </w:tr>
    </w:tbl>
    <w:p>
      <w:pPr>
        <w:spacing w:line="360" w:lineRule="auto"/>
        <w:ind w:firstLine="482"/>
        <w:rPr>
          <w:rFonts w:hAnsi="Times New Roman" w:eastAsia="宋体"/>
          <w:b/>
          <w:szCs w:val="24"/>
        </w:rPr>
      </w:pPr>
      <w:r>
        <w:rPr>
          <w:rFonts w:hAnsi="Times New Roman" w:eastAsia="宋体"/>
          <w:b/>
          <w:szCs w:val="24"/>
        </w:rPr>
        <w:t>（2）地下水的补、径、排条件</w:t>
      </w:r>
    </w:p>
    <w:p>
      <w:pPr>
        <w:spacing w:line="360" w:lineRule="auto"/>
        <w:ind w:firstLine="480"/>
        <w:rPr>
          <w:rFonts w:hAnsi="Times New Roman" w:eastAsia="宋体"/>
          <w:szCs w:val="24"/>
        </w:rPr>
      </w:pPr>
      <w:r>
        <w:rPr>
          <w:rFonts w:hAnsi="Times New Roman" w:eastAsia="宋体"/>
          <w:szCs w:val="24"/>
        </w:rPr>
        <w:t>区域位于七里峡背斜中段东西两翼，地形坡降较大，地表水径流条件好。矿区附近周边无大的地表积水体，地表水的补给主要靠大气降水。</w:t>
      </w:r>
    </w:p>
    <w:p>
      <w:pPr>
        <w:spacing w:line="360" w:lineRule="auto"/>
        <w:ind w:firstLine="480"/>
        <w:rPr>
          <w:rFonts w:hAnsi="Times New Roman" w:eastAsia="宋体"/>
          <w:szCs w:val="24"/>
        </w:rPr>
      </w:pPr>
      <w:r>
        <w:rPr>
          <w:rFonts w:hAnsi="Times New Roman" w:eastAsia="宋体"/>
          <w:szCs w:val="24"/>
        </w:rPr>
        <w:t>地下水的补给主要靠大气降水，次为地表水。由于含水层出露面积小，同时本区降水特点是雨量大、雨时短、雨量集中，加之地形坡度大，沟谷发育，这些特点有利于地表径流，对地下水补给不利。地下水的径流受裂隙制约，浅部风化裂隙发育，径流条件好，多以泉的形式排泄，深部由于裂隙狭窄、稀少，多数被方解石微～半充填，致使地下水运移缓慢。</w:t>
      </w:r>
    </w:p>
    <w:p>
      <w:pPr>
        <w:spacing w:line="360" w:lineRule="auto"/>
        <w:ind w:firstLine="480"/>
        <w:rPr>
          <w:rFonts w:hAnsi="Times New Roman" w:eastAsia="宋体"/>
          <w:szCs w:val="24"/>
        </w:rPr>
      </w:pPr>
      <w:r>
        <w:rPr>
          <w:rFonts w:hAnsi="Times New Roman" w:eastAsia="宋体"/>
          <w:szCs w:val="24"/>
        </w:rPr>
        <w:t>煤矿硐室是一个地下水人工流场，矿井井巷系统成为良好的地下集水廊道。须家河组第七段第二亚段</w:t>
      </w:r>
      <w:r>
        <w:rPr>
          <w:rFonts w:hint="eastAsia" w:hAnsi="Times New Roman" w:eastAsia="宋体"/>
          <w:szCs w:val="24"/>
          <w:lang w:eastAsia="zh-CN"/>
        </w:rPr>
        <w:t>（</w:t>
      </w:r>
      <w:r>
        <w:rPr>
          <w:rFonts w:hAnsi="Times New Roman" w:eastAsia="宋体"/>
          <w:szCs w:val="24"/>
        </w:rPr>
        <w:t>T</w:t>
      </w:r>
      <w:r>
        <w:rPr>
          <w:rFonts w:hAnsi="Times New Roman" w:eastAsia="宋体"/>
          <w:szCs w:val="24"/>
          <w:vertAlign w:val="subscript"/>
        </w:rPr>
        <w:t>3</w:t>
      </w:r>
      <w:r>
        <w:rPr>
          <w:rFonts w:hAnsi="Times New Roman" w:eastAsia="宋体"/>
          <w:szCs w:val="24"/>
        </w:rPr>
        <w:t>xj</w:t>
      </w:r>
      <w:r>
        <w:rPr>
          <w:rFonts w:hAnsi="Times New Roman" w:eastAsia="宋体"/>
          <w:szCs w:val="24"/>
          <w:vertAlign w:val="superscript"/>
        </w:rPr>
        <w:t>7-2</w:t>
      </w:r>
      <w:r>
        <w:rPr>
          <w:rFonts w:hint="eastAsia" w:hAnsi="Times New Roman" w:eastAsia="宋体"/>
          <w:szCs w:val="24"/>
          <w:lang w:eastAsia="zh-CN"/>
        </w:rPr>
        <w:t>）</w:t>
      </w:r>
      <w:r>
        <w:rPr>
          <w:rFonts w:hAnsi="Times New Roman" w:eastAsia="宋体"/>
          <w:szCs w:val="24"/>
        </w:rPr>
        <w:t>、第六段</w:t>
      </w:r>
      <w:r>
        <w:rPr>
          <w:rFonts w:hint="eastAsia" w:hAnsi="Times New Roman" w:eastAsia="宋体"/>
          <w:szCs w:val="24"/>
          <w:lang w:eastAsia="zh-CN"/>
        </w:rPr>
        <w:t>（</w:t>
      </w:r>
      <w:r>
        <w:rPr>
          <w:rFonts w:hAnsi="Times New Roman" w:eastAsia="宋体"/>
          <w:szCs w:val="24"/>
        </w:rPr>
        <w:t>T</w:t>
      </w:r>
      <w:r>
        <w:rPr>
          <w:rFonts w:hAnsi="Times New Roman" w:eastAsia="宋体"/>
          <w:szCs w:val="24"/>
          <w:vertAlign w:val="subscript"/>
        </w:rPr>
        <w:t>3</w:t>
      </w:r>
      <w:r>
        <w:rPr>
          <w:rFonts w:hAnsi="Times New Roman" w:eastAsia="宋体"/>
          <w:szCs w:val="24"/>
        </w:rPr>
        <w:t>xj</w:t>
      </w:r>
      <w:r>
        <w:rPr>
          <w:rFonts w:hAnsi="Times New Roman" w:eastAsia="宋体"/>
          <w:szCs w:val="24"/>
          <w:vertAlign w:val="superscript"/>
        </w:rPr>
        <w:t>6</w:t>
      </w:r>
      <w:r>
        <w:rPr>
          <w:rFonts w:hint="eastAsia" w:hAnsi="Times New Roman" w:eastAsia="宋体"/>
          <w:szCs w:val="24"/>
          <w:lang w:eastAsia="zh-CN"/>
        </w:rPr>
        <w:t>）</w:t>
      </w:r>
      <w:r>
        <w:rPr>
          <w:rFonts w:hAnsi="Times New Roman" w:eastAsia="宋体"/>
          <w:szCs w:val="24"/>
        </w:rPr>
        <w:t>、第五段第二亚段</w:t>
      </w:r>
      <w:r>
        <w:rPr>
          <w:rFonts w:hint="eastAsia" w:hAnsi="Times New Roman" w:eastAsia="宋体"/>
          <w:szCs w:val="24"/>
          <w:lang w:eastAsia="zh-CN"/>
        </w:rPr>
        <w:t>（</w:t>
      </w:r>
      <w:r>
        <w:rPr>
          <w:rFonts w:hAnsi="Times New Roman" w:eastAsia="宋体"/>
          <w:szCs w:val="24"/>
        </w:rPr>
        <w:t>T</w:t>
      </w:r>
      <w:r>
        <w:rPr>
          <w:rFonts w:hAnsi="Times New Roman" w:eastAsia="宋体"/>
          <w:szCs w:val="24"/>
          <w:vertAlign w:val="subscript"/>
        </w:rPr>
        <w:t>3</w:t>
      </w:r>
      <w:r>
        <w:rPr>
          <w:rFonts w:hAnsi="Times New Roman" w:eastAsia="宋体"/>
          <w:szCs w:val="24"/>
        </w:rPr>
        <w:t>xj</w:t>
      </w:r>
      <w:r>
        <w:rPr>
          <w:rFonts w:hAnsi="Times New Roman" w:eastAsia="宋体"/>
          <w:szCs w:val="24"/>
          <w:vertAlign w:val="superscript"/>
        </w:rPr>
        <w:t>5-2</w:t>
      </w:r>
      <w:r>
        <w:rPr>
          <w:rFonts w:hint="eastAsia" w:hAnsi="Times New Roman" w:eastAsia="宋体"/>
          <w:szCs w:val="24"/>
          <w:vertAlign w:val="superscript"/>
          <w:lang w:eastAsia="zh-CN"/>
        </w:rPr>
        <w:t>）</w:t>
      </w:r>
      <w:r>
        <w:rPr>
          <w:rFonts w:hAnsi="Times New Roman" w:eastAsia="宋体"/>
          <w:szCs w:val="24"/>
        </w:rPr>
        <w:t>和第四段</w:t>
      </w:r>
      <w:r>
        <w:rPr>
          <w:rFonts w:hint="eastAsia" w:hAnsi="Times New Roman" w:eastAsia="宋体"/>
          <w:szCs w:val="24"/>
          <w:lang w:eastAsia="zh-CN"/>
        </w:rPr>
        <w:t>（</w:t>
      </w:r>
      <w:r>
        <w:rPr>
          <w:rFonts w:hAnsi="Times New Roman" w:eastAsia="宋体"/>
          <w:szCs w:val="24"/>
        </w:rPr>
        <w:t>T</w:t>
      </w:r>
      <w:r>
        <w:rPr>
          <w:rFonts w:hAnsi="Times New Roman" w:eastAsia="宋体"/>
          <w:szCs w:val="24"/>
          <w:vertAlign w:val="subscript"/>
        </w:rPr>
        <w:t>3</w:t>
      </w:r>
      <w:r>
        <w:rPr>
          <w:rFonts w:hAnsi="Times New Roman" w:eastAsia="宋体"/>
          <w:szCs w:val="24"/>
        </w:rPr>
        <w:t>xj</w:t>
      </w:r>
      <w:r>
        <w:rPr>
          <w:rFonts w:hAnsi="Times New Roman" w:eastAsia="宋体"/>
          <w:szCs w:val="24"/>
          <w:vertAlign w:val="superscript"/>
        </w:rPr>
        <w:t>4</w:t>
      </w:r>
      <w:r>
        <w:rPr>
          <w:rFonts w:hint="eastAsia" w:hAnsi="Times New Roman" w:eastAsia="宋体"/>
          <w:szCs w:val="24"/>
          <w:vertAlign w:val="superscript"/>
          <w:lang w:eastAsia="zh-CN"/>
        </w:rPr>
        <w:t>）</w:t>
      </w:r>
      <w:r>
        <w:rPr>
          <w:rFonts w:hAnsi="Times New Roman" w:eastAsia="宋体"/>
          <w:szCs w:val="24"/>
        </w:rPr>
        <w:t>裂隙水在重力等作用下不断汇入矿井成为矿井水，矿井水经人工抽排或自流出平硐，有补给地表溪沟水，构成井工采矿状态下的地下水人工流场。原裂隙水天然流场被逐渐改造，新的裂隙水人工流场逐步形成，并随着井巷的延伸采掘，裂隙水补给矿井水的通道会加大，补给作用将增强。地下水天然流场受到一定破坏，因而向开采位置较低的矿井运移，故矿井是地下水的主要排泄点。矿坑排水对地下水运动</w:t>
      </w:r>
      <w:r>
        <w:rPr>
          <w:rFonts w:hint="eastAsia" w:hAnsi="Times New Roman" w:eastAsia="宋体"/>
          <w:szCs w:val="24"/>
          <w:lang w:val="en-US" w:eastAsia="zh-CN"/>
        </w:rPr>
        <w:t>系统</w:t>
      </w:r>
      <w:r>
        <w:rPr>
          <w:rFonts w:hAnsi="Times New Roman" w:eastAsia="宋体"/>
          <w:szCs w:val="24"/>
        </w:rPr>
        <w:t>影响较大，在一定范围内因矿井排水形成地下降落漏斗，改变了地下水运动方向，从而导致采矿影响到部分地表水及浅层含水层疏干。</w:t>
      </w:r>
    </w:p>
    <w:p>
      <w:pPr>
        <w:spacing w:line="360" w:lineRule="auto"/>
        <w:ind w:firstLine="482"/>
        <w:rPr>
          <w:rFonts w:hAnsi="Times New Roman" w:eastAsia="宋体"/>
          <w:b/>
          <w:szCs w:val="24"/>
        </w:rPr>
      </w:pPr>
      <w:r>
        <w:rPr>
          <w:rFonts w:hAnsi="Times New Roman" w:eastAsia="宋体"/>
          <w:b/>
          <w:szCs w:val="24"/>
        </w:rPr>
        <w:t>（3）矿区主要富水、导水构造破碎带特征</w:t>
      </w:r>
    </w:p>
    <w:p>
      <w:pPr>
        <w:spacing w:line="360" w:lineRule="auto"/>
        <w:ind w:firstLine="480"/>
        <w:rPr>
          <w:rFonts w:hAnsi="Times New Roman" w:eastAsia="宋体"/>
          <w:szCs w:val="24"/>
        </w:rPr>
      </w:pPr>
      <w:r>
        <w:rPr>
          <w:rFonts w:hAnsi="Times New Roman" w:eastAsia="宋体"/>
          <w:szCs w:val="24"/>
        </w:rPr>
        <w:t>区域内发育有少量断层，这些断层切割煤层深度一般不大，均为逆断层，断层附近裂隙一般不发育，导水性弱，导水性不强，但断层两侧为砂岩的地段，一般有微弱含水，对矿井充水影响较小。</w:t>
      </w:r>
    </w:p>
    <w:p>
      <w:pPr>
        <w:spacing w:line="360" w:lineRule="auto"/>
        <w:ind w:firstLine="482"/>
        <w:rPr>
          <w:rFonts w:hAnsi="Times New Roman" w:eastAsia="宋体"/>
          <w:b/>
          <w:szCs w:val="24"/>
        </w:rPr>
      </w:pPr>
      <w:r>
        <w:rPr>
          <w:rFonts w:hAnsi="Times New Roman" w:eastAsia="宋体"/>
          <w:b/>
          <w:szCs w:val="24"/>
        </w:rPr>
        <w:t>（4）矿区水文地质类型划分</w:t>
      </w:r>
    </w:p>
    <w:p>
      <w:pPr>
        <w:spacing w:line="360" w:lineRule="auto"/>
        <w:ind w:firstLine="480"/>
        <w:rPr>
          <w:rFonts w:hAnsi="Times New Roman" w:eastAsia="宋体"/>
          <w:szCs w:val="24"/>
        </w:rPr>
      </w:pPr>
      <w:r>
        <w:rPr>
          <w:rFonts w:hAnsi="Times New Roman" w:eastAsia="宋体"/>
          <w:szCs w:val="24"/>
        </w:rPr>
        <w:t>区域内受采掘破坏或者影响的含水层及水体为砂岩裂隙含水层，补给条件差，补给来源少；根据钻孔简易混合抽水和单层抽水试验表明，含水层单位流量（q）值均小于0.1L/s.m，含水层富水性为弱富水性；矿井及周边采空区位置、范围、积水量清楚；预测矿井正常涌水量（Q</w:t>
      </w:r>
      <w:r>
        <w:rPr>
          <w:rFonts w:hAnsi="Times New Roman" w:eastAsia="宋体"/>
          <w:szCs w:val="24"/>
          <w:vertAlign w:val="subscript"/>
        </w:rPr>
        <w:t>1</w:t>
      </w:r>
      <w:r>
        <w:rPr>
          <w:rFonts w:hAnsi="Times New Roman" w:eastAsia="宋体"/>
          <w:szCs w:val="24"/>
        </w:rPr>
        <w:t>）值20.0 m</w:t>
      </w:r>
      <w:r>
        <w:rPr>
          <w:rFonts w:hAnsi="Times New Roman" w:eastAsia="宋体"/>
          <w:szCs w:val="24"/>
          <w:vertAlign w:val="superscript"/>
        </w:rPr>
        <w:t>3</w:t>
      </w:r>
      <w:r>
        <w:rPr>
          <w:rFonts w:hAnsi="Times New Roman" w:eastAsia="宋体"/>
          <w:szCs w:val="24"/>
        </w:rPr>
        <w:t>/h（＜180 m</w:t>
      </w:r>
      <w:r>
        <w:rPr>
          <w:rFonts w:hAnsi="Times New Roman" w:eastAsia="宋体"/>
          <w:szCs w:val="24"/>
          <w:vertAlign w:val="superscript"/>
        </w:rPr>
        <w:t>3</w:t>
      </w:r>
      <w:r>
        <w:rPr>
          <w:rFonts w:hAnsi="Times New Roman" w:eastAsia="宋体"/>
          <w:szCs w:val="24"/>
        </w:rPr>
        <w:t>/h）、预测最大涌水量（Q</w:t>
      </w:r>
      <w:r>
        <w:rPr>
          <w:rFonts w:hAnsi="Times New Roman" w:eastAsia="宋体"/>
          <w:szCs w:val="24"/>
          <w:vertAlign w:val="subscript"/>
        </w:rPr>
        <w:t>2</w:t>
      </w:r>
      <w:r>
        <w:rPr>
          <w:rFonts w:hAnsi="Times New Roman" w:eastAsia="宋体"/>
          <w:szCs w:val="24"/>
        </w:rPr>
        <w:t>）值114.5 m</w:t>
      </w:r>
      <w:r>
        <w:rPr>
          <w:rFonts w:hAnsi="Times New Roman" w:eastAsia="宋体"/>
          <w:szCs w:val="24"/>
          <w:vertAlign w:val="superscript"/>
        </w:rPr>
        <w:t>3</w:t>
      </w:r>
      <w:r>
        <w:rPr>
          <w:rFonts w:hAnsi="Times New Roman" w:eastAsia="宋体"/>
          <w:szCs w:val="24"/>
        </w:rPr>
        <w:t>/h（＜300 m</w:t>
      </w:r>
      <w:r>
        <w:rPr>
          <w:rFonts w:hAnsi="Times New Roman" w:eastAsia="宋体"/>
          <w:szCs w:val="24"/>
          <w:vertAlign w:val="superscript"/>
        </w:rPr>
        <w:t>3</w:t>
      </w:r>
      <w:r>
        <w:rPr>
          <w:rFonts w:hAnsi="Times New Roman" w:eastAsia="宋体"/>
          <w:szCs w:val="24"/>
        </w:rPr>
        <w:t>/h）；矿井在建设和生产过程中偶有砂岩裂隙突水；区域范围矿井揭露的断层不导水、亦不富水，对矿井基本无充水影响，主要为采掘工作面偶有砂岩裂隙小突水；采掘工程受水害影响较小，不威胁矿井安全；主要开采煤层的直接或间接充水含水层均为砂岩裂隙含水层，其单位流量（q）值均小于0.1 L/s.m，富水性均弱，对矿井充水影响小，对于采掘工作面内的砂岩裂隙水采用物探探测、钻探验证，并进行排放，技术上可行，经济较合理，安全有保障。按《煤矿防治水细则》第十二条分类依据就高不就低的原则，本区域矿井水文地质类型划分综合评定为中等</w:t>
      </w:r>
      <w:r>
        <w:rPr>
          <w:rFonts w:hint="eastAsia" w:hAnsi="Times New Roman" w:eastAsia="宋体"/>
          <w:szCs w:val="24"/>
          <w:lang w:eastAsia="zh-CN"/>
        </w:rPr>
        <w:t>（</w:t>
      </w:r>
      <w:r>
        <w:rPr>
          <w:rFonts w:hAnsi="Times New Roman" w:eastAsia="宋体"/>
          <w:szCs w:val="24"/>
        </w:rPr>
        <w:t>表5.3-2</w:t>
      </w:r>
      <w:r>
        <w:rPr>
          <w:rFonts w:hint="eastAsia" w:hAnsi="Times New Roman" w:eastAsia="宋体"/>
          <w:szCs w:val="24"/>
          <w:lang w:eastAsia="zh-CN"/>
        </w:rPr>
        <w:t>）</w:t>
      </w:r>
      <w:r>
        <w:rPr>
          <w:rFonts w:hAnsi="Times New Roman" w:eastAsia="宋体"/>
          <w:szCs w:val="24"/>
        </w:rPr>
        <w:t>。</w:t>
      </w:r>
    </w:p>
    <w:p>
      <w:pPr>
        <w:spacing w:line="360" w:lineRule="auto"/>
        <w:ind w:firstLine="480"/>
        <w:jc w:val="center"/>
        <w:rPr>
          <w:rFonts w:hAnsi="Times New Roman" w:eastAsia="宋体"/>
          <w:b/>
          <w:bCs/>
          <w:sz w:val="21"/>
          <w:szCs w:val="21"/>
          <w:lang w:eastAsia="zh-CN"/>
        </w:rPr>
      </w:pPr>
      <w:r>
        <w:rPr>
          <w:rFonts w:hAnsi="Times New Roman" w:eastAsia="宋体"/>
          <w:b/>
          <w:bCs/>
          <w:sz w:val="21"/>
          <w:szCs w:val="21"/>
          <w:lang w:eastAsia="zh-CN"/>
        </w:rPr>
        <w:t>表5.3-2  区域煤矿矿井水文地质类型划分表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4"/>
        <w:gridCol w:w="1026"/>
        <w:gridCol w:w="2952"/>
        <w:gridCol w:w="3107"/>
        <w:gridCol w:w="8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1311" w:type="pct"/>
            <w:gridSpan w:val="2"/>
            <w:vAlign w:val="center"/>
          </w:tcPr>
          <w:p>
            <w:pPr>
              <w:pStyle w:val="62"/>
              <w:keepNext w:val="0"/>
              <w:keepLines w:val="0"/>
              <w:suppressLineNumbers w:val="0"/>
              <w:spacing w:before="0" w:beforeAutospacing="0" w:after="0" w:afterAutospacing="0"/>
              <w:ind w:left="0" w:right="0"/>
              <w:rPr>
                <w:rFonts w:hint="eastAsia" w:hAnsi="Times New Roman" w:eastAsia="宋体"/>
                <w:b/>
                <w:kern w:val="2"/>
                <w:szCs w:val="21"/>
              </w:rPr>
            </w:pPr>
            <w:r>
              <w:rPr>
                <w:rFonts w:hint="eastAsia" w:hAnsi="Times New Roman" w:eastAsia="宋体"/>
                <w:b/>
                <w:kern w:val="2"/>
                <w:szCs w:val="21"/>
              </w:rPr>
              <w:t>分类依据</w:t>
            </w:r>
          </w:p>
        </w:tc>
        <w:tc>
          <w:tcPr>
            <w:tcW w:w="1580" w:type="pct"/>
            <w:vAlign w:val="center"/>
          </w:tcPr>
          <w:p>
            <w:pPr>
              <w:pStyle w:val="62"/>
              <w:keepNext w:val="0"/>
              <w:keepLines w:val="0"/>
              <w:suppressLineNumbers w:val="0"/>
              <w:spacing w:before="0" w:beforeAutospacing="0" w:after="0" w:afterAutospacing="0"/>
              <w:ind w:left="0" w:right="0"/>
              <w:rPr>
                <w:rFonts w:hint="eastAsia" w:hAnsi="Times New Roman" w:eastAsia="宋体"/>
                <w:b/>
                <w:kern w:val="2"/>
                <w:szCs w:val="21"/>
              </w:rPr>
            </w:pPr>
            <w:r>
              <w:rPr>
                <w:rFonts w:hint="eastAsia" w:hAnsi="Times New Roman" w:eastAsia="宋体"/>
                <w:b/>
                <w:kern w:val="2"/>
                <w:szCs w:val="21"/>
              </w:rPr>
              <w:t>分类标准</w:t>
            </w:r>
          </w:p>
        </w:tc>
        <w:tc>
          <w:tcPr>
            <w:tcW w:w="1663" w:type="pct"/>
            <w:vAlign w:val="center"/>
          </w:tcPr>
          <w:p>
            <w:pPr>
              <w:pStyle w:val="62"/>
              <w:keepNext w:val="0"/>
              <w:keepLines w:val="0"/>
              <w:suppressLineNumbers w:val="0"/>
              <w:spacing w:before="0" w:beforeAutospacing="0" w:after="0" w:afterAutospacing="0"/>
              <w:ind w:left="0" w:right="0"/>
              <w:rPr>
                <w:rFonts w:hint="eastAsia" w:hAnsi="Times New Roman" w:eastAsia="宋体"/>
                <w:b/>
                <w:kern w:val="2"/>
                <w:szCs w:val="21"/>
              </w:rPr>
            </w:pPr>
            <w:r>
              <w:rPr>
                <w:rFonts w:hint="eastAsia" w:hAnsi="Times New Roman" w:eastAsia="宋体"/>
                <w:b/>
                <w:kern w:val="2"/>
                <w:szCs w:val="21"/>
              </w:rPr>
              <w:t>煤矿矿井水文特征分类</w:t>
            </w:r>
          </w:p>
        </w:tc>
        <w:tc>
          <w:tcPr>
            <w:tcW w:w="446" w:type="pct"/>
            <w:vAlign w:val="center"/>
          </w:tcPr>
          <w:p>
            <w:pPr>
              <w:pStyle w:val="62"/>
              <w:keepNext w:val="0"/>
              <w:keepLines w:val="0"/>
              <w:suppressLineNumbers w:val="0"/>
              <w:spacing w:before="0" w:beforeAutospacing="0" w:after="0" w:afterAutospacing="0"/>
              <w:ind w:left="0" w:right="0"/>
              <w:rPr>
                <w:rFonts w:hint="eastAsia" w:hAnsi="Times New Roman" w:eastAsia="宋体"/>
                <w:b/>
                <w:kern w:val="2"/>
                <w:szCs w:val="21"/>
              </w:rPr>
            </w:pPr>
            <w:r>
              <w:rPr>
                <w:rFonts w:hint="eastAsia" w:hAnsi="Times New Roman" w:eastAsia="宋体"/>
                <w:b/>
                <w:kern w:val="2"/>
                <w:szCs w:val="21"/>
              </w:rPr>
              <w:t>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2"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受采掘破坏或影响的含水层及水体</w:t>
            </w:r>
          </w:p>
        </w:tc>
        <w:tc>
          <w:tcPr>
            <w:tcW w:w="549"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含水层性质及补给条件</w:t>
            </w:r>
          </w:p>
        </w:tc>
        <w:tc>
          <w:tcPr>
            <w:tcW w:w="1580"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受采掘破坏或影响的主要是孔隙、裂隙、岩溶含水层、其补给条件一般，有一定补给水源</w:t>
            </w:r>
            <w:r>
              <w:rPr>
                <w:rFonts w:hint="eastAsia" w:hAnsi="Times New Roman" w:eastAsia="宋体"/>
                <w:kern w:val="2"/>
                <w:szCs w:val="21"/>
                <w:lang w:eastAsia="zh-CN"/>
              </w:rPr>
              <w:t>（</w:t>
            </w:r>
            <w:r>
              <w:rPr>
                <w:rFonts w:hint="eastAsia" w:hAnsi="Times New Roman" w:eastAsia="宋体"/>
                <w:kern w:val="2"/>
                <w:szCs w:val="21"/>
              </w:rPr>
              <w:t>中等</w:t>
            </w:r>
            <w:r>
              <w:rPr>
                <w:rFonts w:hint="eastAsia" w:hAnsi="Times New Roman" w:eastAsia="宋体"/>
                <w:kern w:val="2"/>
                <w:szCs w:val="21"/>
                <w:lang w:eastAsia="zh-CN"/>
              </w:rPr>
              <w:t>）</w:t>
            </w:r>
          </w:p>
        </w:tc>
        <w:tc>
          <w:tcPr>
            <w:tcW w:w="1663"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受采掘破坏或影响的主要是顶板砂岩裂隙、断层含水层、其补给条件一般，有一定补给水源。</w:t>
            </w:r>
            <w:r>
              <w:rPr>
                <w:rFonts w:hint="eastAsia" w:hAnsi="Times New Roman" w:eastAsia="宋体"/>
                <w:kern w:val="2"/>
                <w:szCs w:val="21"/>
                <w:lang w:eastAsia="zh-CN"/>
              </w:rPr>
              <w:t>（</w:t>
            </w:r>
            <w:r>
              <w:rPr>
                <w:rFonts w:hint="eastAsia" w:hAnsi="Times New Roman" w:eastAsia="宋体"/>
                <w:kern w:val="2"/>
                <w:szCs w:val="21"/>
              </w:rPr>
              <w:t>简单</w:t>
            </w:r>
            <w:r>
              <w:rPr>
                <w:rFonts w:hint="eastAsia" w:hAnsi="Times New Roman" w:eastAsia="宋体"/>
                <w:kern w:val="2"/>
                <w:szCs w:val="21"/>
                <w:lang w:eastAsia="zh-CN"/>
              </w:rPr>
              <w:t>）</w:t>
            </w:r>
          </w:p>
        </w:tc>
        <w:tc>
          <w:tcPr>
            <w:tcW w:w="446"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简单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11" w:type="pct"/>
            <w:gridSpan w:val="2"/>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矿井及周边老空水分布情况</w:t>
            </w:r>
          </w:p>
        </w:tc>
        <w:tc>
          <w:tcPr>
            <w:tcW w:w="1580"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存在少量老空积水，位置、范围、积水量清楚</w:t>
            </w:r>
            <w:r>
              <w:rPr>
                <w:rFonts w:hint="eastAsia" w:hAnsi="Times New Roman" w:eastAsia="宋体"/>
                <w:kern w:val="2"/>
                <w:szCs w:val="21"/>
                <w:lang w:eastAsia="zh-CN"/>
              </w:rPr>
              <w:t>（</w:t>
            </w:r>
            <w:r>
              <w:rPr>
                <w:rFonts w:hint="eastAsia" w:hAnsi="Times New Roman" w:eastAsia="宋体"/>
                <w:kern w:val="2"/>
                <w:szCs w:val="21"/>
              </w:rPr>
              <w:t>中等</w:t>
            </w:r>
            <w:r>
              <w:rPr>
                <w:rFonts w:hint="eastAsia" w:hAnsi="Times New Roman" w:eastAsia="宋体"/>
                <w:kern w:val="2"/>
                <w:szCs w:val="21"/>
                <w:lang w:eastAsia="zh-CN"/>
              </w:rPr>
              <w:t>）</w:t>
            </w:r>
          </w:p>
        </w:tc>
        <w:tc>
          <w:tcPr>
            <w:tcW w:w="1663"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老窑采区多，积水，位置、范围、积水量基本清楚。</w:t>
            </w:r>
            <w:r>
              <w:rPr>
                <w:rFonts w:hint="eastAsia" w:hAnsi="Times New Roman" w:eastAsia="宋体"/>
                <w:kern w:val="2"/>
                <w:szCs w:val="21"/>
                <w:lang w:eastAsia="zh-CN"/>
              </w:rPr>
              <w:t>（</w:t>
            </w:r>
            <w:r>
              <w:rPr>
                <w:rFonts w:hint="eastAsia" w:hAnsi="Times New Roman" w:eastAsia="宋体"/>
                <w:kern w:val="2"/>
                <w:szCs w:val="21"/>
              </w:rPr>
              <w:t>中等</w:t>
            </w:r>
            <w:r>
              <w:rPr>
                <w:rFonts w:hint="eastAsia" w:hAnsi="Times New Roman" w:eastAsia="宋体"/>
                <w:kern w:val="2"/>
                <w:szCs w:val="21"/>
                <w:lang w:eastAsia="zh-CN"/>
              </w:rPr>
              <w:t>）</w:t>
            </w:r>
          </w:p>
        </w:tc>
        <w:tc>
          <w:tcPr>
            <w:tcW w:w="446"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中等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2" w:type="pct"/>
            <w:vMerge w:val="restar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矿井涌水量</w:t>
            </w:r>
          </w:p>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（m</w:t>
            </w:r>
            <w:r>
              <w:rPr>
                <w:rFonts w:hint="eastAsia" w:hAnsi="Times New Roman" w:eastAsia="宋体"/>
                <w:kern w:val="2"/>
                <w:szCs w:val="21"/>
                <w:vertAlign w:val="superscript"/>
              </w:rPr>
              <w:t>3</w:t>
            </w:r>
            <w:r>
              <w:rPr>
                <w:rFonts w:hint="eastAsia" w:hAnsi="Times New Roman" w:eastAsia="宋体"/>
                <w:kern w:val="2"/>
                <w:szCs w:val="21"/>
              </w:rPr>
              <w:t>/h）</w:t>
            </w:r>
          </w:p>
        </w:tc>
        <w:tc>
          <w:tcPr>
            <w:tcW w:w="549"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正常Q</w:t>
            </w:r>
            <w:r>
              <w:rPr>
                <w:rFonts w:hint="eastAsia" w:hAnsi="Times New Roman" w:eastAsia="宋体"/>
                <w:kern w:val="2"/>
                <w:szCs w:val="21"/>
                <w:vertAlign w:val="subscript"/>
              </w:rPr>
              <w:t>1</w:t>
            </w:r>
          </w:p>
        </w:tc>
        <w:tc>
          <w:tcPr>
            <w:tcW w:w="1580"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Q</w:t>
            </w:r>
            <w:r>
              <w:rPr>
                <w:rFonts w:hint="eastAsia" w:hAnsi="Times New Roman" w:eastAsia="宋体"/>
                <w:kern w:val="2"/>
                <w:szCs w:val="21"/>
                <w:vertAlign w:val="subscript"/>
              </w:rPr>
              <w:t>1</w:t>
            </w:r>
            <w:r>
              <w:rPr>
                <w:rFonts w:hint="eastAsia" w:hAnsi="Times New Roman" w:eastAsia="宋体"/>
                <w:kern w:val="2"/>
                <w:szCs w:val="21"/>
              </w:rPr>
              <w:t>≥180（简单）</w:t>
            </w:r>
          </w:p>
        </w:tc>
        <w:tc>
          <w:tcPr>
            <w:tcW w:w="1663"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Q</w:t>
            </w:r>
            <w:r>
              <w:rPr>
                <w:rFonts w:hint="eastAsia" w:hAnsi="Times New Roman" w:eastAsia="宋体"/>
                <w:kern w:val="2"/>
                <w:szCs w:val="21"/>
                <w:vertAlign w:val="subscript"/>
              </w:rPr>
              <w:t>1</w:t>
            </w:r>
            <w:r>
              <w:rPr>
                <w:rFonts w:hint="eastAsia" w:hAnsi="Times New Roman" w:eastAsia="宋体"/>
                <w:kern w:val="2"/>
                <w:szCs w:val="21"/>
              </w:rPr>
              <w:t>=188.0m</w:t>
            </w:r>
            <w:r>
              <w:rPr>
                <w:rFonts w:hint="eastAsia" w:hAnsi="Times New Roman" w:eastAsia="宋体"/>
                <w:kern w:val="2"/>
                <w:szCs w:val="21"/>
                <w:vertAlign w:val="superscript"/>
              </w:rPr>
              <w:t>3</w:t>
            </w:r>
            <w:r>
              <w:rPr>
                <w:rFonts w:hint="eastAsia" w:hAnsi="Times New Roman" w:eastAsia="宋体"/>
                <w:kern w:val="2"/>
                <w:szCs w:val="21"/>
              </w:rPr>
              <w:t>/h（中等）</w:t>
            </w:r>
          </w:p>
        </w:tc>
        <w:tc>
          <w:tcPr>
            <w:tcW w:w="446" w:type="pct"/>
            <w:vMerge w:val="restar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中等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2" w:type="pct"/>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549"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最大Q</w:t>
            </w:r>
            <w:r>
              <w:rPr>
                <w:rFonts w:hint="eastAsia" w:hAnsi="Times New Roman" w:eastAsia="宋体"/>
                <w:kern w:val="2"/>
                <w:szCs w:val="21"/>
                <w:vertAlign w:val="subscript"/>
              </w:rPr>
              <w:t>2</w:t>
            </w:r>
          </w:p>
        </w:tc>
        <w:tc>
          <w:tcPr>
            <w:tcW w:w="1580"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Q</w:t>
            </w:r>
            <w:r>
              <w:rPr>
                <w:rFonts w:hint="eastAsia" w:hAnsi="Times New Roman" w:eastAsia="宋体"/>
                <w:kern w:val="2"/>
                <w:szCs w:val="21"/>
                <w:vertAlign w:val="subscript"/>
              </w:rPr>
              <w:t>1</w:t>
            </w:r>
            <w:r>
              <w:rPr>
                <w:rFonts w:hint="eastAsia" w:hAnsi="Times New Roman" w:eastAsia="宋体"/>
                <w:kern w:val="2"/>
                <w:szCs w:val="21"/>
              </w:rPr>
              <w:t>≥300（中等）</w:t>
            </w:r>
          </w:p>
        </w:tc>
        <w:tc>
          <w:tcPr>
            <w:tcW w:w="1663"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Q</w:t>
            </w:r>
            <w:r>
              <w:rPr>
                <w:rFonts w:hint="eastAsia" w:hAnsi="Times New Roman" w:eastAsia="宋体"/>
                <w:kern w:val="2"/>
                <w:szCs w:val="21"/>
                <w:vertAlign w:val="subscript"/>
              </w:rPr>
              <w:t>2</w:t>
            </w:r>
            <w:r>
              <w:rPr>
                <w:rFonts w:hint="eastAsia" w:hAnsi="Times New Roman" w:eastAsia="宋体"/>
                <w:kern w:val="2"/>
                <w:szCs w:val="21"/>
              </w:rPr>
              <w:t>=390.2m</w:t>
            </w:r>
            <w:r>
              <w:rPr>
                <w:rFonts w:hint="eastAsia" w:hAnsi="Times New Roman" w:eastAsia="宋体"/>
                <w:kern w:val="2"/>
                <w:szCs w:val="21"/>
                <w:vertAlign w:val="superscript"/>
              </w:rPr>
              <w:t>3</w:t>
            </w:r>
            <w:r>
              <w:rPr>
                <w:rFonts w:hint="eastAsia" w:hAnsi="Times New Roman" w:eastAsia="宋体"/>
                <w:kern w:val="2"/>
                <w:szCs w:val="21"/>
              </w:rPr>
              <w:t>/h（中等）</w:t>
            </w:r>
          </w:p>
        </w:tc>
        <w:tc>
          <w:tcPr>
            <w:tcW w:w="446" w:type="pct"/>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11" w:type="pct"/>
            <w:gridSpan w:val="2"/>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突水量Q</w:t>
            </w:r>
            <w:r>
              <w:rPr>
                <w:rFonts w:hint="eastAsia" w:hAnsi="Times New Roman" w:eastAsia="宋体"/>
                <w:kern w:val="2"/>
                <w:szCs w:val="21"/>
                <w:vertAlign w:val="superscript"/>
              </w:rPr>
              <w:t>3</w:t>
            </w:r>
            <w:r>
              <w:rPr>
                <w:rFonts w:hint="eastAsia" w:hAnsi="Times New Roman" w:eastAsia="宋体"/>
                <w:kern w:val="2"/>
                <w:szCs w:val="21"/>
              </w:rPr>
              <w:t>（m</w:t>
            </w:r>
            <w:r>
              <w:rPr>
                <w:rFonts w:hint="eastAsia" w:hAnsi="Times New Roman" w:eastAsia="宋体"/>
                <w:kern w:val="2"/>
                <w:szCs w:val="21"/>
                <w:vertAlign w:val="superscript"/>
              </w:rPr>
              <w:t>3</w:t>
            </w:r>
            <w:r>
              <w:rPr>
                <w:rFonts w:hint="eastAsia" w:hAnsi="Times New Roman" w:eastAsia="宋体"/>
                <w:kern w:val="2"/>
                <w:szCs w:val="21"/>
              </w:rPr>
              <w:t>/h）</w:t>
            </w:r>
          </w:p>
        </w:tc>
        <w:tc>
          <w:tcPr>
            <w:tcW w:w="1580"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无（简单）</w:t>
            </w:r>
          </w:p>
        </w:tc>
        <w:tc>
          <w:tcPr>
            <w:tcW w:w="1663"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无（简单）</w:t>
            </w:r>
          </w:p>
        </w:tc>
        <w:tc>
          <w:tcPr>
            <w:tcW w:w="446"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简单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11" w:type="pct"/>
            <w:gridSpan w:val="2"/>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开采受水害影响程度</w:t>
            </w:r>
          </w:p>
        </w:tc>
        <w:tc>
          <w:tcPr>
            <w:tcW w:w="1580"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矿井采掘工程受水害影响，但不威胁矿井安全。（中等）</w:t>
            </w:r>
          </w:p>
        </w:tc>
        <w:tc>
          <w:tcPr>
            <w:tcW w:w="1663"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矿井安全受水害威胁、但不影响矿井安全（中等）</w:t>
            </w:r>
          </w:p>
        </w:tc>
        <w:tc>
          <w:tcPr>
            <w:tcW w:w="446"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中等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11" w:type="pct"/>
            <w:gridSpan w:val="2"/>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防治水工作难易程度</w:t>
            </w:r>
          </w:p>
        </w:tc>
        <w:tc>
          <w:tcPr>
            <w:tcW w:w="1580"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防治水工作简单或易于进行。（简单）</w:t>
            </w:r>
          </w:p>
        </w:tc>
        <w:tc>
          <w:tcPr>
            <w:tcW w:w="1663"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防治水工程易于进行（中等）</w:t>
            </w:r>
          </w:p>
        </w:tc>
        <w:tc>
          <w:tcPr>
            <w:tcW w:w="446"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中等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11" w:type="pct"/>
            <w:gridSpan w:val="2"/>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矿井水文地质类型</w:t>
            </w:r>
          </w:p>
        </w:tc>
        <w:tc>
          <w:tcPr>
            <w:tcW w:w="3689" w:type="pct"/>
            <w:gridSpan w:val="3"/>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中等</w:t>
            </w:r>
          </w:p>
        </w:tc>
      </w:tr>
    </w:tbl>
    <w:p>
      <w:pPr>
        <w:spacing w:line="360" w:lineRule="auto"/>
        <w:ind w:firstLine="482"/>
        <w:rPr>
          <w:rFonts w:hAnsi="Times New Roman" w:eastAsia="宋体"/>
          <w:b/>
          <w:szCs w:val="24"/>
        </w:rPr>
      </w:pPr>
      <w:r>
        <w:rPr>
          <w:rFonts w:hAnsi="Times New Roman" w:eastAsia="宋体"/>
          <w:b/>
          <w:szCs w:val="24"/>
        </w:rPr>
        <w:t>（5）矿区充水因素分析</w:t>
      </w:r>
    </w:p>
    <w:p>
      <w:pPr>
        <w:spacing w:line="360" w:lineRule="auto"/>
        <w:ind w:firstLine="480"/>
        <w:rPr>
          <w:rFonts w:hAnsi="Times New Roman" w:eastAsia="宋体"/>
          <w:szCs w:val="24"/>
        </w:rPr>
      </w:pPr>
      <w:r>
        <w:rPr>
          <w:rFonts w:hAnsi="Times New Roman" w:eastAsia="宋体"/>
          <w:szCs w:val="24"/>
        </w:rPr>
        <w:t>区域矿井充水主要水源为大气降水，除地表径流外，其余部分通过岩石孔隙水和裂隙水补给地下；次为含水层裂隙水，通道主要为构造裂隙和采空裂隙。区内构造发育，且以褶曲为主，在褶曲的轴部构造裂隙、风化裂隙发育，为大气降水、地表水、地下水渗入提供通道，成为矿井充水通道。</w:t>
      </w:r>
    </w:p>
    <w:p>
      <w:pPr>
        <w:spacing w:line="360" w:lineRule="auto"/>
        <w:ind w:firstLine="480"/>
        <w:rPr>
          <w:rFonts w:hAnsi="Times New Roman" w:eastAsia="宋体"/>
          <w:szCs w:val="24"/>
        </w:rPr>
      </w:pPr>
      <w:r>
        <w:rPr>
          <w:rFonts w:hAnsi="Times New Roman" w:eastAsia="宋体"/>
          <w:szCs w:val="24"/>
        </w:rPr>
        <w:t>区域范围有众多老窑，由于开采历史悠久，老窑多且开采无序，均在国家清理整顿小煤矿期间关闭，现已灭迹。老窑及相邻矿井巷道相互贯通，地表水沿采空区向矿井深部渗透，故给矿井开采和抽排水造成影响。在矿井开采过程中，当采至老窑下部时应先探后采，预防老窑水流入矿井，造成淹井事故。</w:t>
      </w:r>
    </w:p>
    <w:p>
      <w:pPr>
        <w:spacing w:line="360" w:lineRule="auto"/>
        <w:ind w:firstLine="480"/>
        <w:rPr>
          <w:rFonts w:hAnsi="Times New Roman" w:eastAsia="宋体"/>
          <w:szCs w:val="24"/>
        </w:rPr>
      </w:pPr>
      <w:r>
        <w:rPr>
          <w:rFonts w:hAnsi="Times New Roman" w:eastAsia="宋体"/>
          <w:szCs w:val="24"/>
        </w:rPr>
        <w:t>根据煤层开采后冒落带最大高度（Hc）和导水裂缝带高度（Hf），根据《建筑物、水体、铁路及主要井巷煤柱留设与压煤开采规程》计算，K</w:t>
      </w:r>
      <w:r>
        <w:rPr>
          <w:rFonts w:hAnsi="Times New Roman" w:eastAsia="宋体"/>
          <w:szCs w:val="24"/>
          <w:vertAlign w:val="subscript"/>
        </w:rPr>
        <w:t>24</w:t>
      </w:r>
      <w:r>
        <w:rPr>
          <w:rFonts w:hAnsi="Times New Roman" w:eastAsia="宋体"/>
          <w:szCs w:val="24"/>
        </w:rPr>
        <w:t>、K</w:t>
      </w:r>
      <w:r>
        <w:rPr>
          <w:rFonts w:hAnsi="Times New Roman" w:eastAsia="宋体"/>
          <w:szCs w:val="24"/>
          <w:vertAlign w:val="subscript"/>
        </w:rPr>
        <w:t>21</w:t>
      </w:r>
      <w:r>
        <w:rPr>
          <w:rFonts w:hAnsi="Times New Roman" w:eastAsia="宋体"/>
          <w:szCs w:val="24"/>
        </w:rPr>
        <w:t>、K</w:t>
      </w:r>
      <w:r>
        <w:rPr>
          <w:rFonts w:hAnsi="Times New Roman" w:eastAsia="宋体"/>
          <w:szCs w:val="24"/>
          <w:vertAlign w:val="subscript"/>
        </w:rPr>
        <w:t>17-1</w:t>
      </w:r>
      <w:r>
        <w:rPr>
          <w:rFonts w:hAnsi="Times New Roman" w:eastAsia="宋体"/>
          <w:szCs w:val="24"/>
        </w:rPr>
        <w:t>、K</w:t>
      </w:r>
      <w:r>
        <w:rPr>
          <w:rFonts w:hAnsi="Times New Roman" w:eastAsia="宋体"/>
          <w:szCs w:val="24"/>
          <w:vertAlign w:val="subscript"/>
        </w:rPr>
        <w:t>14-2</w:t>
      </w:r>
      <w:r>
        <w:rPr>
          <w:rFonts w:hAnsi="Times New Roman" w:eastAsia="宋体"/>
          <w:szCs w:val="24"/>
        </w:rPr>
        <w:t>、K</w:t>
      </w:r>
      <w:r>
        <w:rPr>
          <w:rFonts w:hAnsi="Times New Roman" w:eastAsia="宋体"/>
          <w:szCs w:val="24"/>
          <w:vertAlign w:val="subscript"/>
        </w:rPr>
        <w:t>14</w:t>
      </w:r>
      <w:r>
        <w:rPr>
          <w:rFonts w:hAnsi="Times New Roman" w:eastAsia="宋体"/>
          <w:szCs w:val="24"/>
        </w:rPr>
        <w:t>、K</w:t>
      </w:r>
      <w:r>
        <w:rPr>
          <w:rFonts w:hAnsi="Times New Roman" w:eastAsia="宋体"/>
          <w:szCs w:val="24"/>
          <w:vertAlign w:val="subscript"/>
        </w:rPr>
        <w:t>11</w:t>
      </w:r>
      <w:r>
        <w:rPr>
          <w:rFonts w:hAnsi="Times New Roman" w:eastAsia="宋体"/>
          <w:szCs w:val="24"/>
        </w:rPr>
        <w:t>、K</w:t>
      </w:r>
      <w:r>
        <w:rPr>
          <w:rFonts w:hAnsi="Times New Roman" w:eastAsia="宋体"/>
          <w:szCs w:val="24"/>
          <w:vertAlign w:val="subscript"/>
        </w:rPr>
        <w:t>3</w:t>
      </w:r>
      <w:r>
        <w:rPr>
          <w:rFonts w:hAnsi="Times New Roman" w:eastAsia="宋体"/>
          <w:szCs w:val="24"/>
        </w:rPr>
        <w:t>等主要煤层冒落带最大高度为6.5m，导水裂隙影响带最大高度达12.9m，导水裂隙影响带已达到须家组</w:t>
      </w:r>
      <w:r>
        <w:rPr>
          <w:rFonts w:hint="eastAsia" w:hAnsi="Times New Roman" w:eastAsia="宋体"/>
          <w:szCs w:val="24"/>
        </w:rPr>
        <w:t>，</w:t>
      </w:r>
      <w:r>
        <w:rPr>
          <w:rFonts w:hAnsi="Times New Roman" w:eastAsia="宋体"/>
          <w:szCs w:val="24"/>
        </w:rPr>
        <w:t>因此，砂岩裂隙含水层是未来矿井开采的主要充水水源之一，属于顶板裂隙充水矿床。</w:t>
      </w:r>
    </w:p>
    <w:p>
      <w:pPr>
        <w:spacing w:line="360" w:lineRule="auto"/>
        <w:ind w:firstLine="480"/>
        <w:rPr>
          <w:rFonts w:hAnsi="Times New Roman" w:eastAsia="宋体"/>
          <w:szCs w:val="24"/>
        </w:rPr>
      </w:pPr>
      <w:r>
        <w:rPr>
          <w:rFonts w:hAnsi="Times New Roman" w:eastAsia="宋体"/>
          <w:szCs w:val="24"/>
        </w:rPr>
        <w:t>综上所述，区域以大气降水渗流为主要充水水源，属顶、底板裂隙充水矿床。</w:t>
      </w:r>
    </w:p>
    <w:p>
      <w:pPr>
        <w:spacing w:line="360" w:lineRule="auto"/>
        <w:ind w:firstLine="482"/>
        <w:rPr>
          <w:rFonts w:hAnsi="Times New Roman" w:eastAsia="宋体"/>
          <w:b/>
          <w:szCs w:val="24"/>
        </w:rPr>
      </w:pPr>
      <w:r>
        <w:rPr>
          <w:rFonts w:hAnsi="Times New Roman" w:eastAsia="宋体"/>
          <w:b/>
          <w:szCs w:val="24"/>
        </w:rPr>
        <w:t>（6）水化学特征</w:t>
      </w:r>
    </w:p>
    <w:p>
      <w:pPr>
        <w:spacing w:line="360" w:lineRule="auto"/>
        <w:ind w:firstLine="480"/>
        <w:rPr>
          <w:rFonts w:hAnsi="Times New Roman" w:eastAsia="宋体"/>
          <w:szCs w:val="24"/>
        </w:rPr>
      </w:pPr>
      <w:r>
        <w:rPr>
          <w:rFonts w:hAnsi="Times New Roman" w:eastAsia="宋体"/>
          <w:szCs w:val="24"/>
        </w:rPr>
        <w:t>根据区域水样水化学常量组分监测结果统计，地下水TDS在83～497mg/L，均&lt;1g/L，属于弱矿化度水；pH介于7.2～8.0，呈弱碱性。区域水化学类型以HCO</w:t>
      </w:r>
      <w:r>
        <w:rPr>
          <w:rFonts w:hAnsi="Times New Roman" w:eastAsia="宋体"/>
          <w:szCs w:val="24"/>
          <w:vertAlign w:val="subscript"/>
        </w:rPr>
        <w:t>3</w:t>
      </w:r>
      <w:r>
        <w:rPr>
          <w:rFonts w:hAnsi="Times New Roman" w:eastAsia="宋体"/>
          <w:szCs w:val="24"/>
        </w:rPr>
        <w:t>－Ca（Mg）型为主，另有HCO</w:t>
      </w:r>
      <w:r>
        <w:rPr>
          <w:rFonts w:hAnsi="Times New Roman" w:eastAsia="宋体"/>
          <w:szCs w:val="24"/>
          <w:vertAlign w:val="subscript"/>
        </w:rPr>
        <w:t>3</w:t>
      </w:r>
      <w:r>
        <w:rPr>
          <w:rFonts w:hAnsi="Times New Roman" w:eastAsia="宋体"/>
          <w:szCs w:val="24"/>
        </w:rPr>
        <w:t>·SO</w:t>
      </w:r>
      <w:r>
        <w:rPr>
          <w:rFonts w:hAnsi="Times New Roman" w:eastAsia="宋体"/>
          <w:szCs w:val="24"/>
          <w:vertAlign w:val="subscript"/>
        </w:rPr>
        <w:t>4</w:t>
      </w:r>
      <w:r>
        <w:rPr>
          <w:rFonts w:hAnsi="Times New Roman" w:eastAsia="宋体"/>
          <w:szCs w:val="24"/>
        </w:rPr>
        <w:t>-Ca·Mg、HCO</w:t>
      </w:r>
      <w:r>
        <w:rPr>
          <w:rFonts w:hAnsi="Times New Roman" w:eastAsia="宋体"/>
          <w:szCs w:val="24"/>
          <w:vertAlign w:val="subscript"/>
        </w:rPr>
        <w:t>3</w:t>
      </w:r>
      <w:r>
        <w:rPr>
          <w:rFonts w:hAnsi="Times New Roman" w:eastAsia="宋体"/>
          <w:szCs w:val="24"/>
        </w:rPr>
        <w:t>-Na·Ca及HCO</w:t>
      </w:r>
      <w:r>
        <w:rPr>
          <w:rFonts w:hAnsi="Times New Roman" w:eastAsia="宋体"/>
          <w:szCs w:val="24"/>
          <w:vertAlign w:val="subscript"/>
        </w:rPr>
        <w:t>3</w:t>
      </w:r>
      <w:r>
        <w:rPr>
          <w:rFonts w:hAnsi="Times New Roman" w:eastAsia="宋体"/>
          <w:szCs w:val="24"/>
        </w:rPr>
        <w:t>·Cl-Ca·Mg等类型，阴离子以HCO</w:t>
      </w:r>
      <w:r>
        <w:rPr>
          <w:rFonts w:hAnsi="Times New Roman" w:eastAsia="宋体"/>
          <w:szCs w:val="24"/>
          <w:vertAlign w:val="subscript"/>
        </w:rPr>
        <w:t>3</w:t>
      </w:r>
      <w:r>
        <w:rPr>
          <w:rFonts w:hAnsi="Times New Roman" w:eastAsia="宋体"/>
          <w:szCs w:val="24"/>
        </w:rPr>
        <w:t>-及SO</w:t>
      </w:r>
      <w:r>
        <w:rPr>
          <w:rFonts w:hAnsi="Times New Roman" w:eastAsia="宋体"/>
          <w:szCs w:val="24"/>
          <w:vertAlign w:val="subscript"/>
        </w:rPr>
        <w:t>4</w:t>
      </w:r>
      <w:r>
        <w:rPr>
          <w:rFonts w:hAnsi="Times New Roman" w:eastAsia="宋体"/>
          <w:szCs w:val="24"/>
          <w:vertAlign w:val="superscript"/>
        </w:rPr>
        <w:t>2-</w:t>
      </w:r>
      <w:r>
        <w:rPr>
          <w:rFonts w:hAnsi="Times New Roman" w:eastAsia="宋体"/>
          <w:szCs w:val="24"/>
        </w:rPr>
        <w:t>为主，阳离子以Ca</w:t>
      </w:r>
      <w:r>
        <w:rPr>
          <w:rFonts w:hAnsi="Times New Roman" w:eastAsia="宋体"/>
          <w:szCs w:val="24"/>
          <w:vertAlign w:val="superscript"/>
        </w:rPr>
        <w:t>2+</w:t>
      </w:r>
      <w:r>
        <w:rPr>
          <w:rFonts w:hAnsi="Times New Roman" w:eastAsia="宋体"/>
          <w:szCs w:val="24"/>
        </w:rPr>
        <w:t>和Mg</w:t>
      </w:r>
      <w:r>
        <w:rPr>
          <w:rFonts w:hAnsi="Times New Roman" w:eastAsia="宋体"/>
          <w:szCs w:val="24"/>
          <w:vertAlign w:val="superscript"/>
        </w:rPr>
        <w:t>2+</w:t>
      </w:r>
      <w:r>
        <w:rPr>
          <w:rFonts w:hAnsi="Times New Roman" w:eastAsia="宋体"/>
          <w:szCs w:val="24"/>
        </w:rPr>
        <w:t>为主。</w:t>
      </w:r>
    </w:p>
    <w:p>
      <w:pPr>
        <w:pStyle w:val="6"/>
        <w:rPr>
          <w:szCs w:val="22"/>
        </w:rPr>
      </w:pPr>
      <w:bookmarkStart w:id="310" w:name="_Toc167095223"/>
      <w:r>
        <w:rPr>
          <w:szCs w:val="22"/>
        </w:rPr>
        <w:t>5.3.3项目区水文地质条件</w:t>
      </w:r>
      <w:bookmarkEnd w:id="309"/>
      <w:bookmarkEnd w:id="310"/>
    </w:p>
    <w:p>
      <w:pPr>
        <w:pStyle w:val="53"/>
        <w:ind w:firstLine="0" w:firstLineChars="0"/>
        <w:rPr>
          <w:rFonts w:eastAsia="宋体"/>
          <w:b/>
          <w:bCs/>
        </w:rPr>
      </w:pPr>
      <w:r>
        <w:rPr>
          <w:rFonts w:eastAsia="宋体"/>
          <w:b/>
          <w:bCs/>
        </w:rPr>
        <w:t>5.3.3.1 水文地质条件及地下水类型</w:t>
      </w:r>
    </w:p>
    <w:p>
      <w:pPr>
        <w:spacing w:line="360" w:lineRule="auto"/>
        <w:ind w:firstLine="480"/>
        <w:rPr>
          <w:rFonts w:hAnsi="Times New Roman" w:eastAsia="宋体"/>
        </w:rPr>
      </w:pPr>
      <w:r>
        <w:rPr>
          <w:rFonts w:hAnsi="Times New Roman" w:eastAsia="宋体"/>
        </w:rPr>
        <w:t>（1）松散岩类孔隙水</w:t>
      </w:r>
    </w:p>
    <w:p>
      <w:pPr>
        <w:spacing w:line="360" w:lineRule="auto"/>
        <w:ind w:firstLine="480"/>
        <w:rPr>
          <w:rFonts w:hAnsi="Times New Roman" w:eastAsia="宋体"/>
        </w:rPr>
      </w:pPr>
      <w:r>
        <w:rPr>
          <w:rFonts w:hAnsi="Times New Roman" w:eastAsia="宋体"/>
        </w:rPr>
        <w:t>矿区东侧及西侧临近新宁河分布有第四系全新统洪冲积层（Q</w:t>
      </w:r>
      <w:r>
        <w:rPr>
          <w:rFonts w:hint="eastAsia" w:hAnsi="Times New Roman" w:eastAsia="宋体"/>
          <w:vertAlign w:val="subscript"/>
          <w:lang w:eastAsia="zh-CN"/>
        </w:rPr>
        <w:t>4</w:t>
      </w:r>
      <w:r>
        <w:rPr>
          <w:rFonts w:hAnsi="Times New Roman" w:eastAsia="宋体"/>
          <w:vertAlign w:val="superscript"/>
        </w:rPr>
        <w:t>pal</w:t>
      </w:r>
      <w:r>
        <w:rPr>
          <w:rFonts w:hAnsi="Times New Roman" w:eastAsia="宋体"/>
        </w:rPr>
        <w:t>）和残坡积层</w:t>
      </w:r>
      <w:r>
        <w:rPr>
          <w:rFonts w:hint="eastAsia" w:hAnsi="Times New Roman" w:eastAsia="宋体"/>
          <w:lang w:eastAsia="zh-CN"/>
        </w:rPr>
        <w:t>（</w:t>
      </w:r>
      <w:r>
        <w:rPr>
          <w:rFonts w:hAnsi="Times New Roman" w:eastAsia="宋体"/>
        </w:rPr>
        <w:t>Q</w:t>
      </w:r>
      <w:r>
        <w:rPr>
          <w:rFonts w:hint="eastAsia" w:hAnsi="Times New Roman" w:eastAsia="宋体"/>
          <w:vertAlign w:val="subscript"/>
          <w:lang w:eastAsia="zh-CN"/>
        </w:rPr>
        <w:t>4</w:t>
      </w:r>
      <w:r>
        <w:rPr>
          <w:rFonts w:hint="eastAsia"/>
          <w:vertAlign w:val="superscript"/>
        </w:rPr>
        <w:t>el+dl</w:t>
      </w:r>
      <w:r>
        <w:rPr>
          <w:rFonts w:hint="eastAsia" w:eastAsia="宋体"/>
          <w:vertAlign w:val="superscript"/>
          <w:lang w:eastAsia="zh-CN"/>
        </w:rPr>
        <w:t>）</w:t>
      </w:r>
      <w:r>
        <w:rPr>
          <w:rFonts w:hAnsi="Times New Roman" w:eastAsia="宋体"/>
        </w:rPr>
        <w:t>的松散堆积层，水文地质特征如下：</w:t>
      </w:r>
    </w:p>
    <w:p>
      <w:pPr>
        <w:spacing w:line="360" w:lineRule="auto"/>
        <w:ind w:firstLine="480"/>
        <w:rPr>
          <w:rFonts w:hAnsi="Times New Roman" w:eastAsia="宋体"/>
        </w:rPr>
      </w:pPr>
      <w:r>
        <w:rPr>
          <w:rFonts w:hAnsi="Times New Roman" w:eastAsia="宋体"/>
        </w:rPr>
        <w:t>第四系全新统洪冲积层（Q</w:t>
      </w:r>
      <w:r>
        <w:rPr>
          <w:rFonts w:hAnsi="Times New Roman" w:eastAsia="宋体"/>
          <w:vertAlign w:val="subscript"/>
        </w:rPr>
        <w:t>4</w:t>
      </w:r>
      <w:r>
        <w:rPr>
          <w:rFonts w:hAnsi="Times New Roman" w:eastAsia="宋体"/>
          <w:vertAlign w:val="superscript"/>
        </w:rPr>
        <w:t>pal</w:t>
      </w:r>
      <w:r>
        <w:rPr>
          <w:rFonts w:hAnsi="Times New Roman" w:eastAsia="宋体"/>
        </w:rPr>
        <w:t>）：布于矿区南侧及东南侧冲沟内，表现为阶地洪积扇地貌特征，堆积层厚1.5～3.2m，岩性为亚砂土、亚</w:t>
      </w:r>
      <w:r>
        <w:rPr>
          <w:rFonts w:hint="eastAsia" w:hAnsi="Times New Roman" w:eastAsia="宋体"/>
          <w:lang w:eastAsia="zh-CN"/>
        </w:rPr>
        <w:t>黏土</w:t>
      </w:r>
      <w:r>
        <w:rPr>
          <w:rFonts w:hAnsi="Times New Roman" w:eastAsia="宋体"/>
        </w:rPr>
        <w:t>层，该堆积层处于洼地，为地表水汇聚部，呈潮湿～饱和状态，含水、隔水。</w:t>
      </w:r>
    </w:p>
    <w:p>
      <w:pPr>
        <w:spacing w:line="360" w:lineRule="auto"/>
        <w:ind w:firstLine="480"/>
        <w:rPr>
          <w:rFonts w:hAnsi="Times New Roman" w:eastAsia="宋体"/>
        </w:rPr>
      </w:pPr>
      <w:r>
        <w:rPr>
          <w:rFonts w:hAnsi="Times New Roman" w:eastAsia="宋体"/>
        </w:rPr>
        <w:t>残坡积层</w:t>
      </w:r>
      <w:r>
        <w:rPr>
          <w:rFonts w:hint="eastAsia" w:hAnsi="Times New Roman" w:eastAsia="宋体"/>
          <w:lang w:eastAsia="zh-CN"/>
        </w:rPr>
        <w:t>（</w:t>
      </w:r>
      <w:r>
        <w:rPr>
          <w:rFonts w:hAnsi="Times New Roman" w:eastAsia="宋体"/>
        </w:rPr>
        <w:t>Q</w:t>
      </w:r>
      <w:r>
        <w:rPr>
          <w:rFonts w:hAnsi="Times New Roman" w:eastAsia="宋体"/>
          <w:vertAlign w:val="subscript"/>
        </w:rPr>
        <w:t>4</w:t>
      </w:r>
      <w:r>
        <w:rPr>
          <w:rFonts w:hAnsi="Times New Roman" w:eastAsia="宋体"/>
          <w:vertAlign w:val="superscript"/>
        </w:rPr>
        <w:t>el+dl</w:t>
      </w:r>
      <w:r>
        <w:rPr>
          <w:rFonts w:hint="eastAsia" w:hAnsi="Times New Roman" w:eastAsia="宋体"/>
          <w:lang w:eastAsia="zh-CN"/>
        </w:rPr>
        <w:t>）</w:t>
      </w:r>
      <w:r>
        <w:rPr>
          <w:rFonts w:hAnsi="Times New Roman" w:eastAsia="宋体"/>
        </w:rPr>
        <w:t>：分布于山脊、山坡平缓地带，厚度变化大，分布范围小，岩性为粉质粘土、粉土，偶夹砾石，缺乏贮水条件，仅局部有上层滞水，基本上不含水，或为透水而不含水。</w:t>
      </w:r>
    </w:p>
    <w:p>
      <w:pPr>
        <w:spacing w:line="360" w:lineRule="auto"/>
        <w:ind w:firstLine="480"/>
        <w:rPr>
          <w:rFonts w:hAnsi="Times New Roman" w:eastAsia="宋体"/>
        </w:rPr>
      </w:pPr>
      <w:r>
        <w:rPr>
          <w:rFonts w:hAnsi="Times New Roman" w:eastAsia="宋体"/>
        </w:rPr>
        <w:t>（2）碎屑岩类层间孔隙裂隙含水层</w:t>
      </w:r>
    </w:p>
    <w:p>
      <w:pPr>
        <w:spacing w:line="360" w:lineRule="auto"/>
        <w:ind w:firstLine="480"/>
        <w:rPr>
          <w:rFonts w:hAnsi="Times New Roman" w:eastAsia="宋体"/>
        </w:rPr>
      </w:pPr>
      <w:r>
        <w:rPr>
          <w:rFonts w:hAnsi="Times New Roman" w:eastAsia="宋体"/>
        </w:rPr>
        <w:t>须家河组第七段、六段、第五段砂岩为煤层顶底板直接充水含水层，珍珠冲组砂岩为煤层顶底板间接充水含水层。</w:t>
      </w:r>
      <w:r>
        <w:rPr>
          <w:rFonts w:hint="eastAsia" w:hAnsi="Times New Roman" w:eastAsia="宋体"/>
        </w:rPr>
        <w:t>另外工业广场为浅表侏罗系新田沟组泥岩风化裂隙水含水层。</w:t>
      </w:r>
    </w:p>
    <w:p>
      <w:pPr>
        <w:spacing w:line="360" w:lineRule="auto"/>
        <w:ind w:firstLine="480"/>
        <w:rPr>
          <w:rFonts w:hAnsi="Times New Roman" w:eastAsia="宋体"/>
        </w:rPr>
      </w:pPr>
      <w:r>
        <w:rPr>
          <w:rFonts w:hAnsi="Times New Roman" w:eastAsia="宋体"/>
        </w:rPr>
        <w:t>（3）碳酸盐岩类岩溶含水岩组</w:t>
      </w:r>
    </w:p>
    <w:p>
      <w:pPr>
        <w:spacing w:line="360" w:lineRule="auto"/>
        <w:ind w:firstLine="480"/>
        <w:rPr>
          <w:rFonts w:hAnsi="Times New Roman" w:eastAsia="宋体"/>
        </w:rPr>
      </w:pPr>
      <w:r>
        <w:rPr>
          <w:rFonts w:hAnsi="Times New Roman" w:eastAsia="宋体"/>
        </w:rPr>
        <w:t>区内主要出露三叠系中统雷口坡组，局部出露与背斜轴部地区，是区域内矿区范围内富水性中等</w:t>
      </w:r>
      <w:r>
        <w:rPr>
          <w:rFonts w:hint="eastAsia" w:hAnsi="Times New Roman" w:eastAsia="宋体"/>
          <w:lang w:eastAsia="zh-CN"/>
        </w:rPr>
        <w:t>～</w:t>
      </w:r>
      <w:r>
        <w:rPr>
          <w:rFonts w:hAnsi="Times New Roman" w:eastAsia="宋体"/>
        </w:rPr>
        <w:t>强的含水岩组，但远离本区可采煤层的含煤地层。</w:t>
      </w:r>
    </w:p>
    <w:p>
      <w:pPr>
        <w:pStyle w:val="53"/>
        <w:ind w:firstLine="0" w:firstLineChars="0"/>
        <w:rPr>
          <w:rFonts w:eastAsia="宋体"/>
          <w:b/>
          <w:bCs/>
        </w:rPr>
      </w:pPr>
      <w:r>
        <w:rPr>
          <w:rFonts w:eastAsia="宋体"/>
          <w:b/>
          <w:bCs/>
        </w:rPr>
        <w:t>5.3.3.2 含、隔水层划分及富水性评价</w:t>
      </w:r>
    </w:p>
    <w:p>
      <w:pPr>
        <w:spacing w:line="360" w:lineRule="auto"/>
        <w:ind w:firstLine="480"/>
        <w:rPr>
          <w:rFonts w:hAnsi="Times New Roman" w:eastAsia="宋体"/>
        </w:rPr>
      </w:pPr>
      <w:r>
        <w:rPr>
          <w:rFonts w:hAnsi="Times New Roman" w:eastAsia="宋体"/>
        </w:rPr>
        <w:t>（1）含水层</w:t>
      </w:r>
    </w:p>
    <w:p>
      <w:pPr>
        <w:spacing w:line="360" w:lineRule="auto"/>
        <w:ind w:firstLine="480"/>
        <w:rPr>
          <w:rFonts w:hAnsi="Times New Roman" w:eastAsia="宋体"/>
        </w:rPr>
      </w:pPr>
      <w:r>
        <w:rPr>
          <w:rFonts w:hAnsi="Times New Roman" w:eastAsia="宋体"/>
        </w:rPr>
        <w:t>本区直接充水含水层为侏罗系下统珍珠冲组（J</w:t>
      </w:r>
      <w:r>
        <w:rPr>
          <w:rFonts w:hAnsi="Times New Roman" w:eastAsia="宋体"/>
          <w:vertAlign w:val="subscript"/>
        </w:rPr>
        <w:t>1</w:t>
      </w:r>
      <w:r>
        <w:rPr>
          <w:rFonts w:hAnsi="Times New Roman" w:eastAsia="宋体"/>
        </w:rPr>
        <w:t>zh）含水层、须家河组第六段（T</w:t>
      </w:r>
      <w:r>
        <w:rPr>
          <w:rFonts w:hAnsi="Times New Roman" w:eastAsia="宋体"/>
          <w:vertAlign w:val="subscript"/>
        </w:rPr>
        <w:t>3</w:t>
      </w:r>
      <w:r>
        <w:rPr>
          <w:rFonts w:hAnsi="Times New Roman" w:eastAsia="宋体"/>
        </w:rPr>
        <w:t>xj</w:t>
      </w:r>
      <w:r>
        <w:rPr>
          <w:rFonts w:hAnsi="Times New Roman" w:eastAsia="宋体"/>
          <w:vertAlign w:val="superscript"/>
        </w:rPr>
        <w:t>6</w:t>
      </w:r>
      <w:r>
        <w:rPr>
          <w:rFonts w:hAnsi="Times New Roman" w:eastAsia="宋体"/>
        </w:rPr>
        <w:t>）含水层、须家河组第四段（T</w:t>
      </w:r>
      <w:r>
        <w:rPr>
          <w:rFonts w:hAnsi="Times New Roman" w:eastAsia="宋体"/>
          <w:vertAlign w:val="subscript"/>
        </w:rPr>
        <w:t>3</w:t>
      </w:r>
      <w:r>
        <w:rPr>
          <w:rFonts w:hAnsi="Times New Roman" w:eastAsia="宋体"/>
        </w:rPr>
        <w:t>xj</w:t>
      </w:r>
      <w:r>
        <w:rPr>
          <w:rFonts w:hAnsi="Times New Roman" w:eastAsia="宋体"/>
          <w:vertAlign w:val="superscript"/>
        </w:rPr>
        <w:t>4</w:t>
      </w:r>
      <w:r>
        <w:rPr>
          <w:rFonts w:hAnsi="Times New Roman" w:eastAsia="宋体"/>
        </w:rPr>
        <w:t>）含水层、须家河组第二段（T</w:t>
      </w:r>
      <w:r>
        <w:rPr>
          <w:rFonts w:hAnsi="Times New Roman" w:eastAsia="宋体"/>
          <w:vertAlign w:val="subscript"/>
        </w:rPr>
        <w:t>3</w:t>
      </w:r>
      <w:r>
        <w:rPr>
          <w:rFonts w:hAnsi="Times New Roman" w:eastAsia="宋体"/>
        </w:rPr>
        <w:t>xj</w:t>
      </w:r>
      <w:r>
        <w:rPr>
          <w:rFonts w:hAnsi="Times New Roman" w:eastAsia="宋体"/>
          <w:vertAlign w:val="superscript"/>
        </w:rPr>
        <w:t>2</w:t>
      </w:r>
      <w:r>
        <w:rPr>
          <w:rFonts w:hAnsi="Times New Roman" w:eastAsia="宋体"/>
        </w:rPr>
        <w:t>）含水层、三叠系中统雷口坡组（T</w:t>
      </w:r>
      <w:r>
        <w:rPr>
          <w:rFonts w:hAnsi="Times New Roman" w:eastAsia="宋体"/>
          <w:vertAlign w:val="subscript"/>
        </w:rPr>
        <w:t>2</w:t>
      </w:r>
      <w:r>
        <w:rPr>
          <w:rFonts w:hAnsi="Times New Roman" w:eastAsia="宋体"/>
        </w:rPr>
        <w:t>l）含水层。另外工业广场含水层为侏罗系中统新田沟组（J</w:t>
      </w:r>
      <w:r>
        <w:rPr>
          <w:rFonts w:hAnsi="Times New Roman" w:eastAsia="宋体"/>
          <w:vertAlign w:val="subscript"/>
        </w:rPr>
        <w:t>2</w:t>
      </w:r>
      <w:r>
        <w:rPr>
          <w:rFonts w:hAnsi="Times New Roman" w:eastAsia="宋体"/>
        </w:rPr>
        <w:t>x）含水层。</w:t>
      </w:r>
    </w:p>
    <w:p>
      <w:pPr>
        <w:spacing w:line="360" w:lineRule="auto"/>
        <w:ind w:firstLine="480"/>
        <w:rPr>
          <w:rFonts w:hAnsi="Times New Roman" w:eastAsia="宋体"/>
        </w:rPr>
      </w:pPr>
      <w:r>
        <w:rPr>
          <w:rFonts w:hAnsi="Times New Roman" w:eastAsia="宋体"/>
        </w:rPr>
        <w:t>1）侏罗系中统新田沟组（J</w:t>
      </w:r>
      <w:r>
        <w:rPr>
          <w:rFonts w:hAnsi="Times New Roman" w:eastAsia="宋体"/>
          <w:vertAlign w:val="subscript"/>
        </w:rPr>
        <w:t>2</w:t>
      </w:r>
      <w:r>
        <w:rPr>
          <w:rFonts w:hAnsi="Times New Roman" w:eastAsia="宋体"/>
        </w:rPr>
        <w:t>x）含水层</w:t>
      </w:r>
    </w:p>
    <w:p>
      <w:pPr>
        <w:spacing w:line="360" w:lineRule="auto"/>
        <w:ind w:firstLine="480"/>
        <w:rPr>
          <w:rFonts w:hAnsi="Times New Roman" w:eastAsia="宋体"/>
        </w:rPr>
      </w:pPr>
      <w:r>
        <w:rPr>
          <w:rFonts w:hAnsi="Times New Roman" w:eastAsia="宋体"/>
        </w:rPr>
        <w:t>该组岩性主要为泥岩、粉砂质泥岩，夹薄层粉砂岩、细砂岩、中粗砂岩条带。平均厚度120m，其中泥岩、粉砂质泥岩结构致密。总体上该含水岩组普遍富水性弱。该含水层为工业广场目标含水层。</w:t>
      </w:r>
    </w:p>
    <w:p>
      <w:pPr>
        <w:spacing w:line="360" w:lineRule="auto"/>
        <w:ind w:firstLine="480"/>
        <w:rPr>
          <w:rFonts w:hAnsi="Times New Roman" w:eastAsia="宋体"/>
        </w:rPr>
      </w:pPr>
      <w:r>
        <w:rPr>
          <w:rFonts w:hint="eastAsia" w:hAnsi="Times New Roman" w:eastAsia="宋体"/>
          <w:lang w:eastAsia="zh-CN"/>
        </w:rPr>
        <w:t>2</w:t>
      </w:r>
      <w:r>
        <w:rPr>
          <w:rFonts w:hAnsi="Times New Roman" w:eastAsia="宋体"/>
        </w:rPr>
        <w:t>）侏罗系下统珍珠冲组（J</w:t>
      </w:r>
      <w:r>
        <w:rPr>
          <w:rFonts w:hAnsi="Times New Roman" w:eastAsia="宋体"/>
          <w:vertAlign w:val="subscript"/>
        </w:rPr>
        <w:t>1</w:t>
      </w:r>
      <w:r>
        <w:rPr>
          <w:rFonts w:hAnsi="Times New Roman" w:eastAsia="宋体"/>
        </w:rPr>
        <w:t>zh）含水层</w:t>
      </w:r>
    </w:p>
    <w:p>
      <w:pPr>
        <w:spacing w:line="360" w:lineRule="auto"/>
        <w:ind w:firstLine="480"/>
        <w:rPr>
          <w:rFonts w:hAnsi="Times New Roman" w:eastAsia="宋体"/>
        </w:rPr>
      </w:pPr>
      <w:r>
        <w:rPr>
          <w:rFonts w:hAnsi="Times New Roman" w:eastAsia="宋体"/>
        </w:rPr>
        <w:t>该组岩性主要为泥岩、砂质泥岩和砂岩，平均厚度163.86m，其中泥岩、砂质泥岩结构致密，裂隙不甚发育，基本不具容水空间，属隔水岩组；砂岩性脆，裂隙较发育，具一定容水空间，为含水层。总体上该含水岩组普遍富水性弱，仅局部具中等富水性。</w:t>
      </w:r>
    </w:p>
    <w:p>
      <w:pPr>
        <w:spacing w:line="360" w:lineRule="auto"/>
        <w:ind w:firstLine="480"/>
        <w:rPr>
          <w:rFonts w:hAnsi="Times New Roman" w:eastAsia="宋体"/>
        </w:rPr>
      </w:pPr>
      <w:r>
        <w:rPr>
          <w:rFonts w:hint="eastAsia" w:hAnsi="Times New Roman" w:eastAsia="宋体"/>
          <w:lang w:eastAsia="zh-CN"/>
        </w:rPr>
        <w:t>3</w:t>
      </w:r>
      <w:r>
        <w:rPr>
          <w:rFonts w:hAnsi="Times New Roman" w:eastAsia="宋体"/>
        </w:rPr>
        <w:t>）须家河组第六段（T</w:t>
      </w:r>
      <w:r>
        <w:rPr>
          <w:rFonts w:hAnsi="Times New Roman" w:eastAsia="宋体"/>
          <w:vertAlign w:val="subscript"/>
        </w:rPr>
        <w:t>3</w:t>
      </w:r>
      <w:r>
        <w:rPr>
          <w:rFonts w:hAnsi="Times New Roman" w:eastAsia="宋体"/>
        </w:rPr>
        <w:t>xj</w:t>
      </w:r>
      <w:r>
        <w:rPr>
          <w:rFonts w:hAnsi="Times New Roman" w:eastAsia="宋体"/>
          <w:vertAlign w:val="superscript"/>
        </w:rPr>
        <w:t>6</w:t>
      </w:r>
      <w:r>
        <w:rPr>
          <w:rFonts w:hAnsi="Times New Roman" w:eastAsia="宋体"/>
        </w:rPr>
        <w:t>）含水层</w:t>
      </w:r>
    </w:p>
    <w:p>
      <w:pPr>
        <w:spacing w:line="360" w:lineRule="auto"/>
        <w:ind w:firstLine="480"/>
        <w:rPr>
          <w:rFonts w:hAnsi="Times New Roman" w:eastAsia="宋体"/>
        </w:rPr>
      </w:pPr>
      <w:r>
        <w:rPr>
          <w:rFonts w:hAnsi="Times New Roman" w:eastAsia="宋体"/>
        </w:rPr>
        <w:t>岩性主要为细～中粒砂岩，含少量燧石砾石，平均厚度68.33m。本次水文地质测绘共调查该含水层泉点3个，其流量介于0.281L/s～1.732L/s，富水性弱～中等，总体富水性弱，局部富水性中等，其充水产状为小股～股状。</w:t>
      </w:r>
    </w:p>
    <w:p>
      <w:pPr>
        <w:spacing w:line="360" w:lineRule="auto"/>
        <w:ind w:firstLine="480"/>
        <w:rPr>
          <w:rFonts w:hAnsi="Times New Roman" w:eastAsia="宋体"/>
        </w:rPr>
      </w:pPr>
      <w:r>
        <w:rPr>
          <w:rFonts w:hint="eastAsia" w:hAnsi="Times New Roman" w:eastAsia="宋体"/>
          <w:lang w:eastAsia="zh-CN"/>
        </w:rPr>
        <w:t>4</w:t>
      </w:r>
      <w:r>
        <w:rPr>
          <w:rFonts w:hAnsi="Times New Roman" w:eastAsia="宋体"/>
        </w:rPr>
        <w:t>）须家河组第四段（T</w:t>
      </w:r>
      <w:r>
        <w:rPr>
          <w:rFonts w:hAnsi="Times New Roman" w:eastAsia="宋体"/>
          <w:vertAlign w:val="subscript"/>
        </w:rPr>
        <w:t>3</w:t>
      </w:r>
      <w:r>
        <w:rPr>
          <w:rFonts w:hAnsi="Times New Roman" w:eastAsia="宋体"/>
        </w:rPr>
        <w:t>xj</w:t>
      </w:r>
      <w:r>
        <w:rPr>
          <w:rFonts w:hAnsi="Times New Roman" w:eastAsia="宋体"/>
          <w:vertAlign w:val="superscript"/>
        </w:rPr>
        <w:t>4</w:t>
      </w:r>
      <w:r>
        <w:rPr>
          <w:rFonts w:hAnsi="Times New Roman" w:eastAsia="宋体"/>
        </w:rPr>
        <w:t xml:space="preserve">）含水层 </w:t>
      </w:r>
    </w:p>
    <w:p>
      <w:pPr>
        <w:spacing w:line="360" w:lineRule="auto"/>
        <w:ind w:firstLine="480"/>
        <w:rPr>
          <w:rFonts w:hAnsi="Times New Roman" w:eastAsia="宋体"/>
        </w:rPr>
      </w:pPr>
      <w:r>
        <w:rPr>
          <w:rFonts w:hAnsi="Times New Roman" w:eastAsia="宋体"/>
        </w:rPr>
        <w:t>该组岩性主要为细～中粒砂岩，局部含硅质砾石，厚度约70m，本次水文地质测绘共调查该含水层泉点4个，其流量介于0.423L/s～1.952L/s，富水性弱～中等，总体富水性中等，局部富水性弱，其充水产状为股状。</w:t>
      </w:r>
    </w:p>
    <w:p>
      <w:pPr>
        <w:spacing w:line="360" w:lineRule="auto"/>
        <w:ind w:firstLine="480"/>
        <w:rPr>
          <w:rFonts w:hAnsi="Times New Roman" w:eastAsia="宋体"/>
        </w:rPr>
      </w:pPr>
      <w:r>
        <w:rPr>
          <w:rFonts w:hint="eastAsia" w:hAnsi="Times New Roman" w:eastAsia="宋体"/>
          <w:lang w:eastAsia="zh-CN"/>
        </w:rPr>
        <w:t>5</w:t>
      </w:r>
      <w:r>
        <w:rPr>
          <w:rFonts w:hAnsi="Times New Roman" w:eastAsia="宋体"/>
        </w:rPr>
        <w:t>）须家河组第二段（T</w:t>
      </w:r>
      <w:r>
        <w:rPr>
          <w:rFonts w:hAnsi="Times New Roman" w:eastAsia="宋体"/>
          <w:vertAlign w:val="subscript"/>
        </w:rPr>
        <w:t>3</w:t>
      </w:r>
      <w:r>
        <w:rPr>
          <w:rFonts w:hAnsi="Times New Roman" w:eastAsia="宋体"/>
        </w:rPr>
        <w:t>xj</w:t>
      </w:r>
      <w:r>
        <w:rPr>
          <w:rFonts w:hAnsi="Times New Roman" w:eastAsia="宋体"/>
          <w:vertAlign w:val="superscript"/>
        </w:rPr>
        <w:t>2</w:t>
      </w:r>
      <w:r>
        <w:rPr>
          <w:rFonts w:hAnsi="Times New Roman" w:eastAsia="宋体"/>
        </w:rPr>
        <w:t>）含水层</w:t>
      </w:r>
    </w:p>
    <w:p>
      <w:pPr>
        <w:spacing w:line="360" w:lineRule="auto"/>
        <w:ind w:firstLine="480"/>
        <w:rPr>
          <w:rFonts w:hAnsi="Times New Roman" w:eastAsia="宋体"/>
        </w:rPr>
      </w:pPr>
      <w:r>
        <w:rPr>
          <w:rFonts w:hAnsi="Times New Roman" w:eastAsia="宋体"/>
        </w:rPr>
        <w:t>该段岩性主要为石英砂岩夹薄层细砾岩，厚度约197m，本次水文地质测绘共调查该含水层泉点3个，其流量介于0.397L/s～1.821L/s，富水性弱～中等，总体富水性中等，局部富水性弱，其充水产状为股状。</w:t>
      </w:r>
    </w:p>
    <w:p>
      <w:pPr>
        <w:spacing w:line="360" w:lineRule="auto"/>
        <w:ind w:firstLine="480"/>
        <w:rPr>
          <w:rFonts w:hAnsi="Times New Roman" w:eastAsia="宋体"/>
        </w:rPr>
      </w:pPr>
      <w:r>
        <w:rPr>
          <w:rFonts w:hint="eastAsia" w:hAnsi="Times New Roman" w:eastAsia="宋体"/>
          <w:lang w:eastAsia="zh-CN"/>
        </w:rPr>
        <w:t>6</w:t>
      </w:r>
      <w:r>
        <w:rPr>
          <w:rFonts w:hAnsi="Times New Roman" w:eastAsia="宋体"/>
        </w:rPr>
        <w:t>）三叠系中统雷口坡组（T</w:t>
      </w:r>
      <w:r>
        <w:rPr>
          <w:rFonts w:hAnsi="Times New Roman" w:eastAsia="宋体"/>
          <w:vertAlign w:val="subscript"/>
        </w:rPr>
        <w:t>2</w:t>
      </w:r>
      <w:r>
        <w:rPr>
          <w:rFonts w:hAnsi="Times New Roman" w:eastAsia="宋体"/>
        </w:rPr>
        <w:t>l）含水层</w:t>
      </w:r>
    </w:p>
    <w:p>
      <w:pPr>
        <w:spacing w:line="360" w:lineRule="auto"/>
        <w:ind w:firstLine="480"/>
        <w:rPr>
          <w:rFonts w:hAnsi="Times New Roman" w:eastAsia="宋体"/>
        </w:rPr>
      </w:pPr>
      <w:r>
        <w:rPr>
          <w:rFonts w:hAnsi="Times New Roman" w:eastAsia="宋体"/>
        </w:rPr>
        <w:t>出露于峨城山背斜的核部，岩性为灰白—灰色厚层状白云质灰岩，出露厚度&gt;100m，据区域水文资料表明：该含水层富水性弱～极强，普遍具中等富水性。</w:t>
      </w:r>
    </w:p>
    <w:p>
      <w:pPr>
        <w:spacing w:line="360" w:lineRule="auto"/>
        <w:ind w:firstLine="480"/>
        <w:rPr>
          <w:rFonts w:hAnsi="Times New Roman" w:eastAsia="宋体"/>
        </w:rPr>
      </w:pPr>
      <w:r>
        <w:rPr>
          <w:rFonts w:hAnsi="Times New Roman" w:eastAsia="宋体"/>
        </w:rPr>
        <w:t>（2）相对隔水层</w:t>
      </w:r>
    </w:p>
    <w:p>
      <w:pPr>
        <w:spacing w:line="360" w:lineRule="auto"/>
        <w:ind w:firstLine="480"/>
        <w:rPr>
          <w:rFonts w:hAnsi="Times New Roman" w:eastAsia="宋体"/>
        </w:rPr>
      </w:pPr>
      <w:r>
        <w:rPr>
          <w:rFonts w:hAnsi="Times New Roman" w:eastAsia="宋体"/>
        </w:rPr>
        <w:t>本区直接相对隔水层为须家河组第七段（T</w:t>
      </w:r>
      <w:r>
        <w:rPr>
          <w:rFonts w:hAnsi="Times New Roman" w:eastAsia="宋体"/>
          <w:vertAlign w:val="subscript"/>
        </w:rPr>
        <w:t>3</w:t>
      </w:r>
      <w:r>
        <w:rPr>
          <w:rFonts w:hAnsi="Times New Roman" w:eastAsia="宋体"/>
        </w:rPr>
        <w:t>xj</w:t>
      </w:r>
      <w:r>
        <w:rPr>
          <w:rFonts w:hAnsi="Times New Roman" w:eastAsia="宋体"/>
          <w:vertAlign w:val="superscript"/>
        </w:rPr>
        <w:t>7</w:t>
      </w:r>
      <w:r>
        <w:rPr>
          <w:rFonts w:hAnsi="Times New Roman" w:eastAsia="宋体"/>
        </w:rPr>
        <w:t>）隔水层、须家河组第五段（T</w:t>
      </w:r>
      <w:r>
        <w:rPr>
          <w:rFonts w:hAnsi="Times New Roman" w:eastAsia="宋体"/>
          <w:vertAlign w:val="subscript"/>
        </w:rPr>
        <w:t>3</w:t>
      </w:r>
      <w:r>
        <w:rPr>
          <w:rFonts w:hAnsi="Times New Roman" w:eastAsia="宋体"/>
        </w:rPr>
        <w:t>xj</w:t>
      </w:r>
      <w:r>
        <w:rPr>
          <w:rFonts w:hAnsi="Times New Roman" w:eastAsia="宋体"/>
          <w:vertAlign w:val="superscript"/>
        </w:rPr>
        <w:t>5</w:t>
      </w:r>
      <w:r>
        <w:rPr>
          <w:rFonts w:hAnsi="Times New Roman" w:eastAsia="宋体"/>
        </w:rPr>
        <w:t>）隔水层、须家河组第三段（T</w:t>
      </w:r>
      <w:r>
        <w:rPr>
          <w:rFonts w:hAnsi="Times New Roman" w:eastAsia="宋体"/>
          <w:vertAlign w:val="subscript"/>
        </w:rPr>
        <w:t>3</w:t>
      </w:r>
      <w:r>
        <w:rPr>
          <w:rFonts w:hAnsi="Times New Roman" w:eastAsia="宋体"/>
        </w:rPr>
        <w:t>xj</w:t>
      </w:r>
      <w:r>
        <w:rPr>
          <w:rFonts w:hAnsi="Times New Roman" w:eastAsia="宋体"/>
          <w:vertAlign w:val="superscript"/>
        </w:rPr>
        <w:t>3</w:t>
      </w:r>
      <w:r>
        <w:rPr>
          <w:rFonts w:hAnsi="Times New Roman" w:eastAsia="宋体"/>
        </w:rPr>
        <w:t>）隔水层，须家河组第一段（T</w:t>
      </w:r>
      <w:r>
        <w:rPr>
          <w:rFonts w:hAnsi="Times New Roman" w:eastAsia="宋体"/>
          <w:vertAlign w:val="subscript"/>
        </w:rPr>
        <w:t>3</w:t>
      </w:r>
      <w:r>
        <w:rPr>
          <w:rFonts w:hAnsi="Times New Roman" w:eastAsia="宋体"/>
        </w:rPr>
        <w:t>xj</w:t>
      </w:r>
      <w:r>
        <w:rPr>
          <w:rFonts w:hAnsi="Times New Roman" w:eastAsia="宋体"/>
          <w:vertAlign w:val="superscript"/>
        </w:rPr>
        <w:t>1</w:t>
      </w:r>
      <w:r>
        <w:rPr>
          <w:rFonts w:hAnsi="Times New Roman" w:eastAsia="宋体"/>
        </w:rPr>
        <w:t>）隔水层。</w:t>
      </w:r>
    </w:p>
    <w:p>
      <w:pPr>
        <w:spacing w:line="360" w:lineRule="auto"/>
        <w:ind w:firstLine="480"/>
        <w:rPr>
          <w:rFonts w:hAnsi="Times New Roman" w:eastAsia="宋体"/>
          <w:b/>
          <w:bCs/>
        </w:rPr>
      </w:pPr>
      <w:r>
        <w:rPr>
          <w:rFonts w:hAnsi="Times New Roman" w:eastAsia="宋体"/>
        </w:rPr>
        <w:t>1）须家河组第七段</w:t>
      </w:r>
      <w:r>
        <w:rPr>
          <w:rFonts w:hint="eastAsia" w:hAnsi="Times New Roman" w:eastAsia="宋体"/>
          <w:lang w:eastAsia="zh-CN"/>
        </w:rPr>
        <w:t>（</w:t>
      </w:r>
      <w:r>
        <w:rPr>
          <w:rFonts w:hAnsi="Times New Roman" w:eastAsia="宋体"/>
        </w:rPr>
        <w:t>T</w:t>
      </w:r>
      <w:r>
        <w:rPr>
          <w:rFonts w:hAnsi="Times New Roman" w:eastAsia="宋体"/>
          <w:vertAlign w:val="subscript"/>
        </w:rPr>
        <w:t>3</w:t>
      </w:r>
      <w:r>
        <w:rPr>
          <w:rFonts w:hAnsi="Times New Roman" w:eastAsia="宋体"/>
        </w:rPr>
        <w:t>xj</w:t>
      </w:r>
      <w:r>
        <w:rPr>
          <w:rFonts w:hAnsi="Times New Roman" w:eastAsia="宋体"/>
          <w:vertAlign w:val="superscript"/>
        </w:rPr>
        <w:t>7</w:t>
      </w:r>
      <w:r>
        <w:rPr>
          <w:rFonts w:hint="eastAsia" w:hAnsi="Times New Roman" w:eastAsia="宋体"/>
          <w:lang w:eastAsia="zh-CN"/>
        </w:rPr>
        <w:t>）</w:t>
      </w:r>
      <w:r>
        <w:rPr>
          <w:rFonts w:hAnsi="Times New Roman" w:eastAsia="宋体"/>
        </w:rPr>
        <w:t xml:space="preserve"> 隔水岩组</w:t>
      </w:r>
    </w:p>
    <w:p>
      <w:pPr>
        <w:spacing w:line="360" w:lineRule="auto"/>
        <w:ind w:firstLine="480"/>
        <w:rPr>
          <w:rFonts w:hAnsi="Times New Roman" w:eastAsia="宋体"/>
          <w:b/>
          <w:bCs/>
        </w:rPr>
      </w:pPr>
      <w:r>
        <w:rPr>
          <w:rFonts w:hAnsi="Times New Roman" w:eastAsia="宋体"/>
        </w:rPr>
        <w:t>该组岩性主要为泥岩、粉砂质泥岩及石英砂岩，平均厚度79.07m，含K</w:t>
      </w:r>
      <w:r>
        <w:rPr>
          <w:rFonts w:hAnsi="Times New Roman" w:eastAsia="宋体"/>
          <w:vertAlign w:val="subscript"/>
        </w:rPr>
        <w:t>10</w:t>
      </w:r>
      <w:r>
        <w:rPr>
          <w:rFonts w:hAnsi="Times New Roman" w:eastAsia="宋体"/>
        </w:rPr>
        <w:t>、K</w:t>
      </w:r>
      <w:r>
        <w:rPr>
          <w:rFonts w:hAnsi="Times New Roman" w:eastAsia="宋体"/>
          <w:vertAlign w:val="subscript"/>
        </w:rPr>
        <w:t>9</w:t>
      </w:r>
      <w:r>
        <w:rPr>
          <w:rFonts w:hAnsi="Times New Roman" w:eastAsia="宋体"/>
        </w:rPr>
        <w:t>、K</w:t>
      </w:r>
      <w:r>
        <w:rPr>
          <w:rFonts w:hAnsi="Times New Roman" w:eastAsia="宋体"/>
          <w:vertAlign w:val="subscript"/>
        </w:rPr>
        <w:t>8</w:t>
      </w:r>
      <w:r>
        <w:rPr>
          <w:rFonts w:hAnsi="Times New Roman" w:eastAsia="宋体"/>
        </w:rPr>
        <w:t>煤层夹多层煤线，其中泥岩、砂质泥岩结构致密，裂隙不甚发育，基本不具容水空间，属隔水岩组。</w:t>
      </w:r>
    </w:p>
    <w:p>
      <w:pPr>
        <w:spacing w:line="360" w:lineRule="auto"/>
        <w:ind w:firstLine="480"/>
        <w:rPr>
          <w:rFonts w:hAnsi="Times New Roman" w:eastAsia="宋体"/>
          <w:b/>
          <w:bCs/>
        </w:rPr>
      </w:pPr>
      <w:r>
        <w:rPr>
          <w:rFonts w:hAnsi="Times New Roman" w:eastAsia="宋体"/>
        </w:rPr>
        <w:t>2）须家河组第五段（T</w:t>
      </w:r>
      <w:r>
        <w:rPr>
          <w:rFonts w:hAnsi="Times New Roman" w:eastAsia="宋体"/>
          <w:vertAlign w:val="subscript"/>
        </w:rPr>
        <w:t>3</w:t>
      </w:r>
      <w:r>
        <w:rPr>
          <w:rFonts w:hAnsi="Times New Roman" w:eastAsia="宋体"/>
        </w:rPr>
        <w:t>xj</w:t>
      </w:r>
      <w:r>
        <w:rPr>
          <w:rFonts w:hAnsi="Times New Roman" w:eastAsia="宋体"/>
          <w:vertAlign w:val="superscript"/>
        </w:rPr>
        <w:t>5</w:t>
      </w:r>
      <w:r>
        <w:rPr>
          <w:rFonts w:hAnsi="Times New Roman" w:eastAsia="宋体"/>
        </w:rPr>
        <w:t>）隔水岩组</w:t>
      </w:r>
    </w:p>
    <w:p>
      <w:pPr>
        <w:spacing w:line="360" w:lineRule="auto"/>
        <w:ind w:firstLine="480"/>
        <w:rPr>
          <w:rFonts w:hAnsi="Times New Roman" w:eastAsia="宋体"/>
          <w:b/>
          <w:bCs/>
        </w:rPr>
      </w:pPr>
      <w:r>
        <w:rPr>
          <w:rFonts w:hAnsi="Times New Roman" w:eastAsia="宋体"/>
        </w:rPr>
        <w:t>该组岩性主要为泥岩、粉砂质泥岩及砂岩，平均厚度71.18m，含K</w:t>
      </w:r>
      <w:r>
        <w:rPr>
          <w:rFonts w:hAnsi="Times New Roman" w:eastAsia="宋体"/>
          <w:vertAlign w:val="subscript"/>
        </w:rPr>
        <w:t>7</w:t>
      </w:r>
      <w:r>
        <w:rPr>
          <w:rFonts w:hAnsi="Times New Roman" w:eastAsia="宋体"/>
        </w:rPr>
        <w:t>、K</w:t>
      </w:r>
      <w:r>
        <w:rPr>
          <w:rFonts w:hAnsi="Times New Roman" w:eastAsia="宋体"/>
          <w:vertAlign w:val="subscript"/>
        </w:rPr>
        <w:t>4</w:t>
      </w:r>
      <w:r>
        <w:rPr>
          <w:rFonts w:hAnsi="Times New Roman" w:eastAsia="宋体"/>
        </w:rPr>
        <w:t>煤层，其中泥岩、砂质泥岩结构致密，裂隙不甚发育，不具可溶性，基本不具容水空间，属隔水岩组。</w:t>
      </w:r>
    </w:p>
    <w:p>
      <w:pPr>
        <w:spacing w:line="360" w:lineRule="auto"/>
        <w:ind w:firstLine="480"/>
        <w:rPr>
          <w:rFonts w:hAnsi="Times New Roman" w:eastAsia="宋体"/>
        </w:rPr>
      </w:pPr>
      <w:r>
        <w:rPr>
          <w:rFonts w:hAnsi="Times New Roman" w:eastAsia="宋体"/>
        </w:rPr>
        <w:t>3）须家河组第三段（T</w:t>
      </w:r>
      <w:r>
        <w:rPr>
          <w:rFonts w:hAnsi="Times New Roman" w:eastAsia="宋体"/>
          <w:vertAlign w:val="subscript"/>
        </w:rPr>
        <w:t>3</w:t>
      </w:r>
      <w:r>
        <w:rPr>
          <w:rFonts w:hAnsi="Times New Roman" w:eastAsia="宋体"/>
        </w:rPr>
        <w:t>xj</w:t>
      </w:r>
      <w:r>
        <w:rPr>
          <w:rFonts w:hAnsi="Times New Roman" w:eastAsia="宋体"/>
          <w:vertAlign w:val="superscript"/>
        </w:rPr>
        <w:t>3</w:t>
      </w:r>
      <w:r>
        <w:rPr>
          <w:rFonts w:hAnsi="Times New Roman" w:eastAsia="宋体"/>
        </w:rPr>
        <w:t>）隔水岩组</w:t>
      </w:r>
    </w:p>
    <w:p>
      <w:pPr>
        <w:spacing w:line="360" w:lineRule="auto"/>
        <w:ind w:firstLine="480"/>
        <w:rPr>
          <w:rFonts w:hAnsi="Times New Roman" w:eastAsia="宋体"/>
        </w:rPr>
      </w:pPr>
      <w:r>
        <w:rPr>
          <w:rFonts w:hAnsi="Times New Roman" w:eastAsia="宋体"/>
        </w:rPr>
        <w:t>该组岩性主要为泥岩、粉砂质泥岩及砂岩，厚度约35m，含K</w:t>
      </w:r>
      <w:r>
        <w:rPr>
          <w:rFonts w:hAnsi="Times New Roman" w:eastAsia="宋体"/>
          <w:vertAlign w:val="subscript"/>
        </w:rPr>
        <w:t>3</w:t>
      </w:r>
      <w:r>
        <w:rPr>
          <w:rFonts w:hAnsi="Times New Roman" w:eastAsia="宋体"/>
        </w:rPr>
        <w:t>煤层，其中泥岩、砂质泥岩结构致密，裂隙不甚发育，不具可溶性，基本不具容水空间，属隔水岩组。</w:t>
      </w:r>
    </w:p>
    <w:p>
      <w:pPr>
        <w:spacing w:line="360" w:lineRule="auto"/>
        <w:ind w:firstLine="480"/>
        <w:rPr>
          <w:rFonts w:hAnsi="Times New Roman" w:eastAsia="宋体"/>
        </w:rPr>
      </w:pPr>
      <w:r>
        <w:rPr>
          <w:rFonts w:hAnsi="Times New Roman" w:eastAsia="宋体"/>
        </w:rPr>
        <w:t>4）须家河组第一段（T</w:t>
      </w:r>
      <w:r>
        <w:rPr>
          <w:rFonts w:hAnsi="Times New Roman" w:eastAsia="宋体"/>
          <w:vertAlign w:val="subscript"/>
        </w:rPr>
        <w:t>3</w:t>
      </w:r>
      <w:r>
        <w:rPr>
          <w:rFonts w:hAnsi="Times New Roman" w:eastAsia="宋体"/>
        </w:rPr>
        <w:t>xj</w:t>
      </w:r>
      <w:r>
        <w:rPr>
          <w:rFonts w:hAnsi="Times New Roman" w:eastAsia="宋体"/>
          <w:vertAlign w:val="superscript"/>
        </w:rPr>
        <w:t>1</w:t>
      </w:r>
      <w:r>
        <w:rPr>
          <w:rFonts w:hAnsi="Times New Roman" w:eastAsia="宋体"/>
        </w:rPr>
        <w:t>）隔水岩组</w:t>
      </w:r>
    </w:p>
    <w:p>
      <w:pPr>
        <w:spacing w:line="360" w:lineRule="auto"/>
        <w:ind w:firstLine="480"/>
        <w:rPr>
          <w:rFonts w:hAnsi="Times New Roman" w:eastAsia="宋体"/>
        </w:rPr>
      </w:pPr>
      <w:r>
        <w:rPr>
          <w:rFonts w:hAnsi="Times New Roman" w:eastAsia="宋体"/>
        </w:rPr>
        <w:t>该组岩性主要为泥岩、粉砂质泥岩及砂岩，厚度约36m，含K</w:t>
      </w:r>
      <w:r>
        <w:rPr>
          <w:rFonts w:hAnsi="Times New Roman" w:eastAsia="宋体"/>
          <w:vertAlign w:val="subscript"/>
        </w:rPr>
        <w:t>1</w:t>
      </w:r>
      <w:r>
        <w:rPr>
          <w:rFonts w:hAnsi="Times New Roman" w:eastAsia="宋体"/>
        </w:rPr>
        <w:t>煤层，</w:t>
      </w:r>
      <w:r>
        <w:rPr>
          <w:rFonts w:hAnsi="Times New Roman" w:eastAsia="宋体"/>
          <w:spacing w:val="-2"/>
        </w:rPr>
        <w:t>其中</w:t>
      </w:r>
      <w:r>
        <w:rPr>
          <w:rFonts w:hAnsi="Times New Roman" w:eastAsia="宋体"/>
        </w:rPr>
        <w:t>泥岩、砂质泥岩结构致密，裂隙不甚发育，不具可溶性，基本不具容水空间，属隔水岩组。</w:t>
      </w:r>
    </w:p>
    <w:p>
      <w:pPr>
        <w:pStyle w:val="53"/>
        <w:ind w:firstLine="0" w:firstLineChars="0"/>
        <w:rPr>
          <w:rFonts w:eastAsia="宋体"/>
          <w:b/>
          <w:bCs/>
        </w:rPr>
      </w:pPr>
      <w:r>
        <w:rPr>
          <w:rFonts w:eastAsia="宋体"/>
          <w:b/>
          <w:bCs/>
        </w:rPr>
        <w:t>5.3.3.3 地下水径流、补给和排泄条件</w:t>
      </w:r>
    </w:p>
    <w:p>
      <w:pPr>
        <w:spacing w:line="360" w:lineRule="auto"/>
        <w:ind w:firstLine="480"/>
        <w:rPr>
          <w:rFonts w:hAnsi="Times New Roman" w:eastAsia="宋体"/>
        </w:rPr>
      </w:pPr>
      <w:r>
        <w:rPr>
          <w:rFonts w:hAnsi="Times New Roman" w:eastAsia="宋体"/>
        </w:rPr>
        <w:t>地下水的补给主要受地层岩性组合关系、地形地貌及构造条件的制约。大气降水是地下水的主要补给来源，补给区的范围与各含水岩组的出露范围一致。另外，局部尚有地表水、地下水出露的泉水或远程地下水径流补给。</w:t>
      </w:r>
    </w:p>
    <w:p>
      <w:pPr>
        <w:spacing w:line="360" w:lineRule="auto"/>
        <w:ind w:firstLine="480"/>
        <w:rPr>
          <w:rFonts w:hAnsi="Times New Roman" w:eastAsia="宋体"/>
        </w:rPr>
      </w:pPr>
      <w:r>
        <w:rPr>
          <w:rFonts w:hAnsi="Times New Roman" w:eastAsia="宋体"/>
        </w:rPr>
        <w:t>区内无大的地表积水体，但垂直山脉走向的季节性溪沟较发育。矿区地势总体为由山脊向东逐渐降低，地形坡度为15°～40°，一般18°～35°，地形地貌特征有利于地表水排泄。</w:t>
      </w:r>
    </w:p>
    <w:p>
      <w:pPr>
        <w:spacing w:line="360" w:lineRule="auto"/>
        <w:ind w:firstLine="480"/>
        <w:rPr>
          <w:rFonts w:hAnsi="Times New Roman" w:eastAsia="宋体"/>
        </w:rPr>
      </w:pPr>
      <w:r>
        <w:rPr>
          <w:rFonts w:hAnsi="Times New Roman" w:eastAsia="宋体"/>
        </w:rPr>
        <w:t>区内地下水赋集类型为层间裂隙承压水型，受大气降水垂直渗透补给，向东运移于坚硬砂岩裂隙中，由于浅部风化裂隙、构造</w:t>
      </w:r>
      <w:r>
        <w:rPr>
          <w:rFonts w:hint="eastAsia" w:hAnsi="Times New Roman" w:eastAsia="宋体"/>
          <w:lang w:eastAsia="zh-CN"/>
        </w:rPr>
        <w:t>裂隙</w:t>
      </w:r>
      <w:r>
        <w:rPr>
          <w:rFonts w:hAnsi="Times New Roman" w:eastAsia="宋体"/>
        </w:rPr>
        <w:t>相对发育，加之浅部煤层基本采空，大气降水后沿这些裂隙补给浅部含水层；</w:t>
      </w:r>
      <w:r>
        <w:rPr>
          <w:rFonts w:hint="eastAsia" w:hAnsi="Times New Roman" w:eastAsia="宋体"/>
          <w:lang w:eastAsia="zh-CN"/>
        </w:rPr>
        <w:t>地下水径流</w:t>
      </w:r>
      <w:r>
        <w:rPr>
          <w:rFonts w:hAnsi="Times New Roman" w:eastAsia="宋体"/>
        </w:rPr>
        <w:t>受砂岩中的裂隙制约，裂隙发育，运移条件好，反之运移条件差，一般深部裂隙稀少，狭窄，多数裂隙被方解石脉或泥质微、半充填，使</w:t>
      </w:r>
      <w:r>
        <w:rPr>
          <w:rFonts w:hint="eastAsia" w:hAnsi="Times New Roman" w:eastAsia="宋体"/>
          <w:lang w:eastAsia="zh-CN"/>
        </w:rPr>
        <w:t>地下水径流</w:t>
      </w:r>
      <w:r>
        <w:rPr>
          <w:rFonts w:hAnsi="Times New Roman" w:eastAsia="宋体"/>
        </w:rPr>
        <w:t>速度缓慢。地下水向较低处排泄，以矿坑水和泉水形式排泄出地表，煤矿主井井口是主要排泄通道，地下水最终排入明月江。明月江为当地最低侵蚀基准面，标高+356m。</w:t>
      </w:r>
    </w:p>
    <w:p>
      <w:pPr>
        <w:spacing w:line="360" w:lineRule="auto"/>
        <w:ind w:firstLine="480"/>
        <w:rPr>
          <w:rFonts w:hAnsi="Times New Roman" w:eastAsia="宋体"/>
        </w:rPr>
      </w:pPr>
      <w:r>
        <w:rPr>
          <w:rFonts w:hAnsi="Times New Roman" w:eastAsia="宋体"/>
        </w:rPr>
        <w:t>地下水的补给主要靠大气降水、次为地表水。含水层出露面积小，且分布在顺向坡上。本区降水特点：雨量大，雨时短，雨期集中。地形坡度大，沟谷发育，有利用于</w:t>
      </w:r>
      <w:r>
        <w:rPr>
          <w:rFonts w:hint="eastAsia" w:hAnsi="Times New Roman" w:eastAsia="宋体"/>
          <w:lang w:eastAsia="zh-CN"/>
        </w:rPr>
        <w:t>地表径流</w:t>
      </w:r>
      <w:r>
        <w:rPr>
          <w:rFonts w:hAnsi="Times New Roman" w:eastAsia="宋体"/>
        </w:rPr>
        <w:t>，对地下水补给不利。地下水的</w:t>
      </w:r>
      <w:r>
        <w:rPr>
          <w:rFonts w:hint="eastAsia" w:hAnsi="Times New Roman" w:eastAsia="宋体"/>
          <w:lang w:eastAsia="zh-CN"/>
        </w:rPr>
        <w:t>径流</w:t>
      </w:r>
      <w:r>
        <w:rPr>
          <w:rFonts w:hAnsi="Times New Roman" w:eastAsia="宋体"/>
        </w:rPr>
        <w:t>受裂隙制约，浅部风化裂隙发育，</w:t>
      </w:r>
      <w:r>
        <w:rPr>
          <w:rFonts w:hint="eastAsia" w:hAnsi="Times New Roman" w:eastAsia="宋体"/>
          <w:lang w:eastAsia="zh-CN"/>
        </w:rPr>
        <w:t>径流</w:t>
      </w:r>
      <w:r>
        <w:rPr>
          <w:rFonts w:hAnsi="Times New Roman" w:eastAsia="宋体"/>
        </w:rPr>
        <w:t>条件好。多以泉的形式排泄，矿井巷道开掘后，地下水天然流场受到破坏，裂隙水向开采位置较低的矿井运移。</w:t>
      </w:r>
    </w:p>
    <w:p>
      <w:pPr>
        <w:pStyle w:val="53"/>
        <w:ind w:firstLine="0" w:firstLineChars="0"/>
        <w:rPr>
          <w:rFonts w:eastAsia="宋体"/>
          <w:b/>
          <w:bCs/>
        </w:rPr>
      </w:pPr>
      <w:r>
        <w:rPr>
          <w:rFonts w:eastAsia="宋体"/>
          <w:b/>
          <w:bCs/>
        </w:rPr>
        <w:t>5.3.3.4 矿井充水因素分析</w:t>
      </w:r>
    </w:p>
    <w:p>
      <w:pPr>
        <w:spacing w:line="360" w:lineRule="auto"/>
        <w:ind w:firstLine="480"/>
        <w:rPr>
          <w:rFonts w:hAnsi="Times New Roman" w:eastAsia="宋体"/>
        </w:rPr>
      </w:pPr>
      <w:r>
        <w:rPr>
          <w:rFonts w:hAnsi="Times New Roman" w:eastAsia="宋体"/>
        </w:rPr>
        <w:t>影响矿坑充水的主要因素是大气降水，次为含水层水及地表水，现简述如下：</w:t>
      </w:r>
    </w:p>
    <w:p>
      <w:pPr>
        <w:spacing w:line="360" w:lineRule="auto"/>
        <w:ind w:firstLine="480"/>
        <w:rPr>
          <w:rFonts w:hAnsi="Times New Roman" w:eastAsia="宋体"/>
        </w:rPr>
      </w:pPr>
      <w:r>
        <w:rPr>
          <w:rFonts w:hAnsi="Times New Roman" w:eastAsia="宋体"/>
        </w:rPr>
        <w:t>（1）大气降水</w:t>
      </w:r>
    </w:p>
    <w:p>
      <w:pPr>
        <w:spacing w:line="360" w:lineRule="auto"/>
        <w:ind w:firstLine="480"/>
        <w:rPr>
          <w:rFonts w:hAnsi="Times New Roman" w:eastAsia="宋体"/>
          <w:lang w:eastAsia="zh-CN"/>
        </w:rPr>
      </w:pPr>
      <w:r>
        <w:rPr>
          <w:rFonts w:hAnsi="Times New Roman" w:eastAsia="宋体"/>
        </w:rPr>
        <w:t>大气降水是区内矿井的主要充水水源，大气降水通过地表含水层露头的基岩裂隙、煤层采空区及其采空塌陷裂隙渗入矿井和补给含水层。据本次矿区水文地质调查访问，一般在雨后1～2天矿井流量将逐渐增大，久晴水量减少至干枯。说明矿井水的变化与大气降水密切相关。</w:t>
      </w:r>
    </w:p>
    <w:p>
      <w:pPr>
        <w:spacing w:line="360" w:lineRule="auto"/>
        <w:ind w:firstLine="480"/>
        <w:rPr>
          <w:rFonts w:hAnsi="Times New Roman" w:eastAsia="宋体"/>
        </w:rPr>
      </w:pPr>
      <w:r>
        <w:rPr>
          <w:rFonts w:hAnsi="Times New Roman" w:eastAsia="宋体"/>
        </w:rPr>
        <w:t>矿区煤层K</w:t>
      </w:r>
      <w:r>
        <w:rPr>
          <w:rFonts w:hAnsi="Times New Roman" w:eastAsia="宋体"/>
          <w:vertAlign w:val="subscript"/>
        </w:rPr>
        <w:t>5</w:t>
      </w:r>
      <w:r>
        <w:rPr>
          <w:rFonts w:hAnsi="Times New Roman" w:eastAsia="宋体"/>
        </w:rPr>
        <w:t>、K</w:t>
      </w:r>
      <w:r>
        <w:rPr>
          <w:rFonts w:hAnsi="Times New Roman" w:eastAsia="宋体"/>
          <w:vertAlign w:val="subscript"/>
        </w:rPr>
        <w:t>6</w:t>
      </w:r>
      <w:r>
        <w:rPr>
          <w:rFonts w:hAnsi="Times New Roman" w:eastAsia="宋体"/>
        </w:rPr>
        <w:t>层开采接受大气降水和上部采空水充水影响较大。煤矿属顶、底板砂岩含水充水矿床，以顶板充水为主。对矿井有充水影响的主要有：三叠系上统须家河组第六段（T</w:t>
      </w:r>
      <w:r>
        <w:rPr>
          <w:rFonts w:hAnsi="Times New Roman" w:eastAsia="宋体"/>
          <w:vertAlign w:val="subscript"/>
        </w:rPr>
        <w:t>3</w:t>
      </w:r>
      <w:r>
        <w:rPr>
          <w:rFonts w:hAnsi="Times New Roman" w:eastAsia="宋体"/>
        </w:rPr>
        <w:t>xj</w:t>
      </w:r>
      <w:r>
        <w:rPr>
          <w:rFonts w:hAnsi="Times New Roman" w:eastAsia="宋体"/>
          <w:vertAlign w:val="superscript"/>
        </w:rPr>
        <w:t>6</w:t>
      </w:r>
      <w:r>
        <w:rPr>
          <w:rFonts w:hAnsi="Times New Roman" w:eastAsia="宋体"/>
        </w:rPr>
        <w:t>）、第四段（T</w:t>
      </w:r>
      <w:r>
        <w:rPr>
          <w:rFonts w:hAnsi="Times New Roman" w:eastAsia="宋体"/>
          <w:vertAlign w:val="subscript"/>
        </w:rPr>
        <w:t>3</w:t>
      </w:r>
      <w:r>
        <w:rPr>
          <w:rFonts w:hAnsi="Times New Roman" w:eastAsia="宋体"/>
        </w:rPr>
        <w:t>xj</w:t>
      </w:r>
      <w:r>
        <w:rPr>
          <w:rFonts w:hAnsi="Times New Roman" w:eastAsia="宋体"/>
          <w:vertAlign w:val="superscript"/>
        </w:rPr>
        <w:t>4</w:t>
      </w:r>
      <w:r>
        <w:rPr>
          <w:rFonts w:hAnsi="Times New Roman" w:eastAsia="宋体"/>
        </w:rPr>
        <w:t>）细～中粒砂岩含水层，厚度较稳定，裂隙较为发育，含（富）水性弱～中等，大部分成煤构造地层出露地表，形成矿井顶底板裂隙水间接补给含水层，对矿井有一点充水影响；侏罗系中统下统珍珠冲组（J</w:t>
      </w:r>
      <w:r>
        <w:rPr>
          <w:rFonts w:hAnsi="Times New Roman" w:eastAsia="宋体"/>
          <w:vertAlign w:val="subscript"/>
        </w:rPr>
        <w:t>1</w:t>
      </w:r>
      <w:r>
        <w:rPr>
          <w:rFonts w:hAnsi="Times New Roman" w:eastAsia="宋体"/>
        </w:rPr>
        <w:t>zh）底部砂岩，富水性弱，对矿山各水平平硐有充水影响，尤其是雨季，地表水沿裂隙、溶蚀裂隙等下渗，影响较大。</w:t>
      </w:r>
    </w:p>
    <w:p>
      <w:pPr>
        <w:spacing w:line="360" w:lineRule="auto"/>
        <w:ind w:firstLine="480"/>
        <w:rPr>
          <w:rFonts w:hAnsi="Times New Roman" w:eastAsia="宋体"/>
        </w:rPr>
      </w:pPr>
      <w:r>
        <w:rPr>
          <w:rFonts w:hAnsi="Times New Roman" w:eastAsia="宋体"/>
        </w:rPr>
        <w:t>（2）地表水</w:t>
      </w:r>
    </w:p>
    <w:p>
      <w:pPr>
        <w:spacing w:line="360" w:lineRule="auto"/>
        <w:ind w:firstLine="480"/>
        <w:rPr>
          <w:rFonts w:hAnsi="Times New Roman" w:eastAsia="宋体"/>
          <w:lang w:eastAsia="zh-CN"/>
        </w:rPr>
      </w:pPr>
      <w:r>
        <w:rPr>
          <w:rFonts w:hAnsi="Times New Roman" w:eastAsia="宋体"/>
        </w:rPr>
        <w:t>在矿区发育多条溪沟，横穿煤层露头和含水层。但均处于溪沟源头，汇水面积小，为季节性溪沟，枯水期、平水期均无水，仅降雨时溪沟中有少量水流。由于本区基岩风化裂隙不发育，仅雨季少量溪沟水沿煤层露头、采空塌陷裂隙及砂岩风化裂隙、孔隙直接渗入矿井或补给含水层。</w:t>
      </w:r>
    </w:p>
    <w:p>
      <w:pPr>
        <w:spacing w:line="360" w:lineRule="auto"/>
        <w:ind w:firstLine="480"/>
        <w:rPr>
          <w:rFonts w:hAnsi="Times New Roman" w:eastAsia="宋体"/>
          <w:szCs w:val="24"/>
        </w:rPr>
      </w:pPr>
      <w:r>
        <w:rPr>
          <w:rFonts w:hAnsi="Times New Roman" w:eastAsia="宋体"/>
          <w:szCs w:val="24"/>
        </w:rPr>
        <w:t>根据《达州市宣汉县七里峡煤业有限公司七里峡煤矿矿井水患现状调查报告》，矿区最大的地表水体为</w:t>
      </w:r>
      <w:r>
        <w:rPr>
          <w:rFonts w:hint="eastAsia" w:hAnsi="Times New Roman" w:eastAsia="宋体"/>
          <w:szCs w:val="24"/>
        </w:rPr>
        <w:t>新宁河（在矿区一段又称千子河）</w:t>
      </w:r>
      <w:r>
        <w:rPr>
          <w:rFonts w:hAnsi="Times New Roman" w:eastAsia="宋体"/>
          <w:szCs w:val="24"/>
        </w:rPr>
        <w:t>，其余均属季节性溪沟。</w:t>
      </w:r>
      <w:r>
        <w:rPr>
          <w:rFonts w:hint="eastAsia" w:hAnsi="Times New Roman" w:eastAsia="宋体"/>
          <w:szCs w:val="24"/>
        </w:rPr>
        <w:t>新宁河</w:t>
      </w:r>
      <w:r>
        <w:rPr>
          <w:rFonts w:hAnsi="Times New Roman" w:eastAsia="宋体"/>
          <w:szCs w:val="24"/>
        </w:rPr>
        <w:t>河水呈北西—南东向从矿区中部穿过，根据2019年3月25—27日简易测量，流量约为9350m</w:t>
      </w:r>
      <w:r>
        <w:rPr>
          <w:rFonts w:hAnsi="Times New Roman" w:eastAsia="宋体"/>
          <w:szCs w:val="24"/>
          <w:vertAlign w:val="superscript"/>
        </w:rPr>
        <w:t>3</w:t>
      </w:r>
      <w:r>
        <w:rPr>
          <w:rFonts w:hAnsi="Times New Roman" w:eastAsia="宋体"/>
          <w:szCs w:val="24"/>
        </w:rPr>
        <w:t>/h，系区内最低侵蚀基准面。据访问，区内河流、溪沟流水具有涨落迅速之特点，暴雨时，最大水深增幅约2m，水量较一般期增大3～7倍。</w:t>
      </w:r>
    </w:p>
    <w:p>
      <w:pPr>
        <w:spacing w:line="360" w:lineRule="auto"/>
        <w:ind w:firstLine="480"/>
        <w:rPr>
          <w:rFonts w:hAnsi="Times New Roman" w:eastAsia="宋体"/>
          <w:szCs w:val="24"/>
        </w:rPr>
      </w:pPr>
      <w:r>
        <w:rPr>
          <w:rFonts w:hAnsi="Times New Roman" w:eastAsia="宋体"/>
          <w:szCs w:val="24"/>
        </w:rPr>
        <w:t>（3）含水层</w:t>
      </w:r>
    </w:p>
    <w:p>
      <w:pPr>
        <w:spacing w:line="360" w:lineRule="auto"/>
        <w:ind w:firstLine="480"/>
        <w:rPr>
          <w:rFonts w:eastAsiaTheme="minorEastAsia"/>
          <w:lang w:eastAsia="zh-CN"/>
        </w:rPr>
      </w:pPr>
      <w:r>
        <w:rPr>
          <w:rFonts w:hAnsi="Times New Roman" w:eastAsia="宋体"/>
          <w:szCs w:val="24"/>
        </w:rPr>
        <w:t>矿区地下水含水层主要为须家河组六段、第四段砂岩层，砂岩孔隙和裂隙为地下水的良好储水构造和运移通道。本区岩层倾角较陡，隔水层发育，含水层之间水力联系较差，但矿区岩体内节理发育，且具穿层特征，透水性能强，加之受采动影响，采空区上方导水裂隙带发育，可能沟通相邻含水层并容易造成地表水体沿节理渗透到矿井，造成井下涌水量增大，对矿井开采影响较大。</w:t>
      </w:r>
    </w:p>
    <w:p>
      <w:pPr>
        <w:pStyle w:val="53"/>
        <w:ind w:firstLine="0" w:firstLineChars="0"/>
        <w:rPr>
          <w:rFonts w:eastAsia="宋体"/>
          <w:b/>
          <w:bCs/>
        </w:rPr>
      </w:pPr>
      <w:r>
        <w:rPr>
          <w:rFonts w:eastAsia="宋体"/>
          <w:b/>
          <w:bCs/>
        </w:rPr>
        <w:t>5.3.3.5矿井水文地质类型</w:t>
      </w:r>
    </w:p>
    <w:p>
      <w:pPr>
        <w:spacing w:line="360" w:lineRule="auto"/>
        <w:ind w:firstLine="480"/>
        <w:rPr>
          <w:rFonts w:hAnsi="Times New Roman" w:eastAsia="宋体"/>
        </w:rPr>
      </w:pPr>
      <w:r>
        <w:rPr>
          <w:rFonts w:hAnsi="Times New Roman" w:eastAsia="宋体"/>
        </w:rPr>
        <w:t>七里峡煤矿批准最低开采标高为+200m，位于当地最低侵蚀基准面</w:t>
      </w:r>
      <w:r>
        <w:rPr>
          <w:rFonts w:hint="eastAsia" w:hAnsi="Times New Roman" w:eastAsia="宋体"/>
          <w:lang w:eastAsia="zh-CN"/>
        </w:rPr>
        <w:t>（</w:t>
      </w:r>
      <w:r>
        <w:rPr>
          <w:rFonts w:hAnsi="Times New Roman" w:eastAsia="宋体"/>
        </w:rPr>
        <w:t>+356m</w:t>
      </w:r>
      <w:r>
        <w:rPr>
          <w:rFonts w:hint="eastAsia" w:hAnsi="Times New Roman" w:eastAsia="宋体"/>
          <w:lang w:eastAsia="zh-CN"/>
        </w:rPr>
        <w:t>）</w:t>
      </w:r>
      <w:r>
        <w:rPr>
          <w:rFonts w:hAnsi="Times New Roman" w:eastAsia="宋体"/>
        </w:rPr>
        <w:t>之下。矿区含水层属砂岩裂隙充水为主的含水层，直接充水含水层厚度小，裂隙不甚发育，地形坡度大，不利于地下水的补给，含水性弱。随着今后采掘推进，采空区范围</w:t>
      </w:r>
      <w:r>
        <w:rPr>
          <w:rFonts w:hint="eastAsia" w:hAnsi="Times New Roman" w:eastAsia="宋体"/>
          <w:lang w:eastAsia="zh-CN"/>
        </w:rPr>
        <w:t>增大</w:t>
      </w:r>
      <w:r>
        <w:rPr>
          <w:rFonts w:hAnsi="Times New Roman" w:eastAsia="宋体"/>
        </w:rPr>
        <w:t>，致使矿井涌水量也增加。该矿预测未来矿井涌水量正常为147.9m</w:t>
      </w:r>
      <w:r>
        <w:rPr>
          <w:rFonts w:hAnsi="Times New Roman" w:eastAsia="宋体"/>
          <w:vertAlign w:val="superscript"/>
        </w:rPr>
        <w:t>3</w:t>
      </w:r>
      <w:r>
        <w:rPr>
          <w:rFonts w:hAnsi="Times New Roman" w:eastAsia="宋体"/>
        </w:rPr>
        <w:t>/h，最大为221.9m</w:t>
      </w:r>
      <w:r>
        <w:rPr>
          <w:rFonts w:hAnsi="Times New Roman" w:eastAsia="宋体"/>
          <w:vertAlign w:val="superscript"/>
        </w:rPr>
        <w:t>3</w:t>
      </w:r>
      <w:r>
        <w:rPr>
          <w:rFonts w:hAnsi="Times New Roman" w:eastAsia="宋体"/>
        </w:rPr>
        <w:t>/h。依据《煤矿防治水规定》水文地质类型划分标准，七里峡煤矿的矿井水文地质类型为中等。</w:t>
      </w:r>
    </w:p>
    <w:p>
      <w:pPr>
        <w:spacing w:line="360" w:lineRule="auto"/>
        <w:ind w:firstLine="480"/>
        <w:rPr>
          <w:rFonts w:hAnsi="Times New Roman" w:eastAsia="宋体"/>
        </w:rPr>
      </w:pPr>
      <w:r>
        <w:rPr>
          <w:rFonts w:hAnsi="Times New Roman" w:eastAsia="宋体"/>
        </w:rPr>
        <w:t>综上所述，七里峡煤矿属以顶板砂岩裂隙含水层充水为主的水文地质中等类型矿井，水患危险等级为Ⅲ级（较危险）。矿井水患调查报告经四川省矿山防治水中心归档，采用的结论符合《煤矿建设项目安全审核基本要求》。</w:t>
      </w:r>
    </w:p>
    <w:p>
      <w:pPr>
        <w:pStyle w:val="53"/>
        <w:ind w:firstLine="0" w:firstLineChars="0"/>
        <w:rPr>
          <w:rFonts w:eastAsia="宋体"/>
          <w:b/>
          <w:bCs/>
        </w:rPr>
      </w:pPr>
      <w:r>
        <w:rPr>
          <w:rFonts w:eastAsia="宋体"/>
          <w:b/>
          <w:bCs/>
        </w:rPr>
        <w:t>5.3.3.6 地下水化学特征</w:t>
      </w:r>
    </w:p>
    <w:p>
      <w:pPr>
        <w:spacing w:line="360" w:lineRule="auto"/>
        <w:ind w:firstLine="480"/>
        <w:rPr>
          <w:rFonts w:hAnsi="Times New Roman" w:eastAsia="宋体"/>
        </w:rPr>
      </w:pPr>
      <w:r>
        <w:rPr>
          <w:rFonts w:hAnsi="Times New Roman" w:eastAsia="宋体"/>
        </w:rPr>
        <w:t>为了查明评价区地下水水化学特征，检测单位于2021年11月、2022年1月于评价区内共取得5组地下水水样。根据各水样水化学常量组分监测结果统计见表5.3-4，本项目所在区域地下水采样点各样品溶解性总固体在111～232mg/L，均&lt;1g/L，属于弱矿化度水；pH介于7.20～7.46，呈弱碱性。本次取得水样中，主要阳离子基本为Ca</w:t>
      </w:r>
      <w:r>
        <w:rPr>
          <w:rFonts w:hAnsi="Times New Roman" w:eastAsia="宋体"/>
          <w:vertAlign w:val="superscript"/>
        </w:rPr>
        <w:t>2+</w:t>
      </w:r>
      <w:r>
        <w:rPr>
          <w:rFonts w:hAnsi="Times New Roman" w:eastAsia="宋体"/>
        </w:rPr>
        <w:t>、Mg</w:t>
      </w:r>
      <w:r>
        <w:rPr>
          <w:rFonts w:hAnsi="Times New Roman" w:eastAsia="宋体"/>
          <w:vertAlign w:val="superscript"/>
        </w:rPr>
        <w:t>2+</w:t>
      </w:r>
      <w:r>
        <w:rPr>
          <w:rFonts w:hAnsi="Times New Roman" w:eastAsia="宋体"/>
        </w:rPr>
        <w:t>、Na</w:t>
      </w:r>
      <w:r>
        <w:rPr>
          <w:rFonts w:hAnsi="Times New Roman" w:eastAsia="宋体"/>
          <w:vertAlign w:val="superscript"/>
        </w:rPr>
        <w:t>+</w:t>
      </w:r>
      <w:r>
        <w:rPr>
          <w:rFonts w:hAnsi="Times New Roman" w:eastAsia="宋体"/>
        </w:rPr>
        <w:t>；主要阴离子为HCO</w:t>
      </w:r>
      <w:r>
        <w:rPr>
          <w:rFonts w:hAnsi="Times New Roman" w:eastAsia="宋体"/>
          <w:vertAlign w:val="superscript"/>
        </w:rPr>
        <w:t>3-</w:t>
      </w:r>
      <w:r>
        <w:rPr>
          <w:rFonts w:hAnsi="Times New Roman" w:eastAsia="宋体"/>
        </w:rPr>
        <w:t>、Cl</w:t>
      </w:r>
      <w:r>
        <w:rPr>
          <w:rFonts w:hAnsi="Times New Roman" w:eastAsia="宋体"/>
          <w:vertAlign w:val="superscript"/>
        </w:rPr>
        <w:t>-</w:t>
      </w:r>
      <w:r>
        <w:rPr>
          <w:rFonts w:hAnsi="Times New Roman" w:eastAsia="宋体"/>
        </w:rPr>
        <w:t>和SO</w:t>
      </w:r>
      <w:r>
        <w:rPr>
          <w:rFonts w:hAnsi="Times New Roman" w:eastAsia="宋体"/>
          <w:vertAlign w:val="subscript"/>
        </w:rPr>
        <w:t>4</w:t>
      </w:r>
      <w:r>
        <w:rPr>
          <w:rFonts w:hAnsi="Times New Roman" w:eastAsia="宋体"/>
          <w:vertAlign w:val="superscript"/>
        </w:rPr>
        <w:t>2-</w:t>
      </w:r>
      <w:r>
        <w:rPr>
          <w:rFonts w:hAnsi="Times New Roman" w:eastAsia="宋体"/>
        </w:rPr>
        <w:t>。</w:t>
      </w:r>
    </w:p>
    <w:p>
      <w:pPr>
        <w:pStyle w:val="14"/>
        <w:tabs>
          <w:tab w:val="left" w:pos="3718"/>
        </w:tabs>
        <w:overflowPunct w:val="0"/>
        <w:spacing w:line="360" w:lineRule="auto"/>
        <w:jc w:val="center"/>
        <w:rPr>
          <w:rFonts w:hint="eastAsia" w:ascii="Times New Roman" w:hAnsi="Times New Roman" w:eastAsia="宋体"/>
          <w:b/>
          <w:bCs w:val="0"/>
          <w:spacing w:val="-2"/>
          <w:sz w:val="21"/>
          <w:szCs w:val="21"/>
          <w:lang w:eastAsia="zh-CN"/>
        </w:rPr>
      </w:pPr>
      <w:r>
        <w:rPr>
          <w:rFonts w:ascii="Times New Roman" w:hAnsi="Times New Roman"/>
          <w:b/>
          <w:bCs w:val="0"/>
          <w:spacing w:val="-2"/>
          <w:sz w:val="21"/>
          <w:szCs w:val="21"/>
        </w:rPr>
        <w:t>表5.3-</w:t>
      </w:r>
      <w:r>
        <w:rPr>
          <w:rFonts w:hint="eastAsia" w:ascii="Times New Roman" w:hAnsi="Times New Roman"/>
          <w:b/>
          <w:bCs w:val="0"/>
          <w:spacing w:val="-2"/>
          <w:sz w:val="21"/>
          <w:szCs w:val="21"/>
          <w:lang w:eastAsia="zh-CN"/>
        </w:rPr>
        <w:t>3</w:t>
      </w:r>
      <w:r>
        <w:rPr>
          <w:rFonts w:ascii="Times New Roman" w:hAnsi="Times New Roman"/>
          <w:b/>
          <w:bCs w:val="0"/>
          <w:spacing w:val="-2"/>
          <w:sz w:val="21"/>
          <w:szCs w:val="21"/>
        </w:rPr>
        <w:t xml:space="preserve">  水样水化学常量组分监测结果</w:t>
      </w:r>
      <w:r>
        <w:rPr>
          <w:rFonts w:hint="eastAsia" w:ascii="Times New Roman" w:hAnsi="Times New Roman"/>
          <w:b/>
          <w:bCs w:val="0"/>
          <w:spacing w:val="-2"/>
          <w:sz w:val="21"/>
          <w:szCs w:val="21"/>
          <w:lang w:eastAsia="zh-CN"/>
        </w:rPr>
        <w:t>（</w:t>
      </w:r>
      <w:r>
        <w:rPr>
          <w:rFonts w:ascii="Times New Roman" w:hAnsi="Times New Roman"/>
          <w:b/>
          <w:bCs w:val="0"/>
          <w:spacing w:val="-2"/>
          <w:sz w:val="21"/>
          <w:szCs w:val="21"/>
        </w:rPr>
        <w:t>mg/L</w:t>
      </w:r>
      <w:r>
        <w:rPr>
          <w:rFonts w:hint="eastAsia" w:ascii="Times New Roman" w:hAnsi="Times New Roman"/>
          <w:b/>
          <w:bCs w:val="0"/>
          <w:spacing w:val="-2"/>
          <w:sz w:val="21"/>
          <w:szCs w:val="21"/>
          <w:lang w:eastAsia="zh-CN"/>
        </w:rPr>
        <w:t>）</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5"/>
        <w:gridCol w:w="700"/>
        <w:gridCol w:w="701"/>
        <w:gridCol w:w="699"/>
        <w:gridCol w:w="701"/>
        <w:gridCol w:w="701"/>
        <w:gridCol w:w="1017"/>
        <w:gridCol w:w="1017"/>
        <w:gridCol w:w="1271"/>
        <w:gridCol w:w="17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410" w:type="pct"/>
            <w:noWrap/>
            <w:vAlign w:val="center"/>
          </w:tcPr>
          <w:p>
            <w:pPr>
              <w:pStyle w:val="62"/>
              <w:keepNext w:val="0"/>
              <w:keepLines w:val="0"/>
              <w:suppressLineNumbers w:val="0"/>
              <w:spacing w:before="0" w:beforeAutospacing="0" w:after="0" w:afterAutospacing="0"/>
              <w:ind w:left="0" w:right="0"/>
              <w:rPr>
                <w:rFonts w:hint="eastAsia" w:hAnsi="Times New Roman" w:eastAsia="宋体"/>
                <w:b/>
                <w:kern w:val="2"/>
                <w:szCs w:val="21"/>
              </w:rPr>
            </w:pPr>
            <w:r>
              <w:rPr>
                <w:rFonts w:hint="eastAsia" w:hAnsi="Times New Roman" w:eastAsia="宋体"/>
                <w:b/>
                <w:kern w:val="2"/>
                <w:szCs w:val="21"/>
              </w:rPr>
              <w:t>指标</w:t>
            </w:r>
          </w:p>
        </w:tc>
        <w:tc>
          <w:tcPr>
            <w:tcW w:w="375" w:type="pct"/>
            <w:vAlign w:val="center"/>
          </w:tcPr>
          <w:p>
            <w:pPr>
              <w:pStyle w:val="62"/>
              <w:keepNext w:val="0"/>
              <w:keepLines w:val="0"/>
              <w:suppressLineNumbers w:val="0"/>
              <w:spacing w:before="0" w:beforeAutospacing="0" w:after="0" w:afterAutospacing="0"/>
              <w:ind w:left="0" w:right="0"/>
              <w:rPr>
                <w:rFonts w:hint="eastAsia" w:hAnsi="Times New Roman" w:eastAsia="宋体"/>
                <w:b/>
                <w:kern w:val="2"/>
                <w:szCs w:val="21"/>
              </w:rPr>
            </w:pPr>
            <w:r>
              <w:rPr>
                <w:rFonts w:hint="eastAsia" w:hAnsi="Times New Roman" w:eastAsia="宋体"/>
                <w:b/>
                <w:kern w:val="2"/>
                <w:szCs w:val="21"/>
              </w:rPr>
              <w:t>pH</w:t>
            </w:r>
          </w:p>
        </w:tc>
        <w:tc>
          <w:tcPr>
            <w:tcW w:w="375" w:type="pct"/>
            <w:vAlign w:val="center"/>
          </w:tcPr>
          <w:p>
            <w:pPr>
              <w:pStyle w:val="62"/>
              <w:keepNext w:val="0"/>
              <w:keepLines w:val="0"/>
              <w:suppressLineNumbers w:val="0"/>
              <w:spacing w:before="0" w:beforeAutospacing="0" w:after="0" w:afterAutospacing="0"/>
              <w:ind w:left="0" w:right="0"/>
              <w:rPr>
                <w:rFonts w:hint="eastAsia" w:hAnsi="Times New Roman" w:eastAsia="宋体"/>
                <w:b/>
                <w:kern w:val="2"/>
                <w:szCs w:val="21"/>
              </w:rPr>
            </w:pPr>
            <w:r>
              <w:rPr>
                <w:rFonts w:hint="eastAsia" w:hAnsi="Times New Roman" w:eastAsia="宋体"/>
                <w:b/>
                <w:kern w:val="2"/>
                <w:szCs w:val="21"/>
              </w:rPr>
              <w:t>钾</w:t>
            </w:r>
          </w:p>
        </w:tc>
        <w:tc>
          <w:tcPr>
            <w:tcW w:w="374" w:type="pct"/>
            <w:vAlign w:val="center"/>
          </w:tcPr>
          <w:p>
            <w:pPr>
              <w:pStyle w:val="62"/>
              <w:keepNext w:val="0"/>
              <w:keepLines w:val="0"/>
              <w:suppressLineNumbers w:val="0"/>
              <w:spacing w:before="0" w:beforeAutospacing="0" w:after="0" w:afterAutospacing="0"/>
              <w:ind w:left="0" w:right="0"/>
              <w:rPr>
                <w:rFonts w:hint="eastAsia" w:hAnsi="Times New Roman" w:eastAsia="宋体"/>
                <w:b/>
                <w:kern w:val="2"/>
                <w:szCs w:val="21"/>
              </w:rPr>
            </w:pPr>
            <w:r>
              <w:rPr>
                <w:rFonts w:hint="eastAsia" w:hAnsi="Times New Roman" w:eastAsia="宋体"/>
                <w:b/>
                <w:kern w:val="2"/>
                <w:szCs w:val="21"/>
              </w:rPr>
              <w:t>钠</w:t>
            </w:r>
          </w:p>
        </w:tc>
        <w:tc>
          <w:tcPr>
            <w:tcW w:w="375" w:type="pct"/>
            <w:vAlign w:val="center"/>
          </w:tcPr>
          <w:p>
            <w:pPr>
              <w:pStyle w:val="62"/>
              <w:keepNext w:val="0"/>
              <w:keepLines w:val="0"/>
              <w:suppressLineNumbers w:val="0"/>
              <w:spacing w:before="0" w:beforeAutospacing="0" w:after="0" w:afterAutospacing="0"/>
              <w:ind w:left="0" w:right="0"/>
              <w:rPr>
                <w:rFonts w:hint="eastAsia" w:hAnsi="Times New Roman" w:eastAsia="宋体"/>
                <w:b/>
                <w:kern w:val="2"/>
                <w:szCs w:val="21"/>
              </w:rPr>
            </w:pPr>
            <w:r>
              <w:rPr>
                <w:rFonts w:hint="eastAsia" w:hAnsi="Times New Roman" w:eastAsia="宋体"/>
                <w:b/>
                <w:kern w:val="2"/>
                <w:szCs w:val="21"/>
              </w:rPr>
              <w:t>钙</w:t>
            </w:r>
          </w:p>
        </w:tc>
        <w:tc>
          <w:tcPr>
            <w:tcW w:w="375" w:type="pct"/>
            <w:vAlign w:val="center"/>
          </w:tcPr>
          <w:p>
            <w:pPr>
              <w:pStyle w:val="62"/>
              <w:keepNext w:val="0"/>
              <w:keepLines w:val="0"/>
              <w:suppressLineNumbers w:val="0"/>
              <w:spacing w:before="0" w:beforeAutospacing="0" w:after="0" w:afterAutospacing="0"/>
              <w:ind w:left="0" w:right="0"/>
              <w:rPr>
                <w:rFonts w:hint="eastAsia" w:hAnsi="Times New Roman" w:eastAsia="宋体"/>
                <w:b/>
                <w:kern w:val="2"/>
                <w:szCs w:val="21"/>
              </w:rPr>
            </w:pPr>
            <w:r>
              <w:rPr>
                <w:rFonts w:hint="eastAsia" w:hAnsi="Times New Roman" w:eastAsia="宋体"/>
                <w:b/>
                <w:kern w:val="2"/>
                <w:szCs w:val="21"/>
              </w:rPr>
              <w:t>镁</w:t>
            </w:r>
          </w:p>
        </w:tc>
        <w:tc>
          <w:tcPr>
            <w:tcW w:w="544" w:type="pct"/>
            <w:vAlign w:val="center"/>
          </w:tcPr>
          <w:p>
            <w:pPr>
              <w:pStyle w:val="62"/>
              <w:keepNext w:val="0"/>
              <w:keepLines w:val="0"/>
              <w:suppressLineNumbers w:val="0"/>
              <w:spacing w:before="0" w:beforeAutospacing="0" w:after="0" w:afterAutospacing="0"/>
              <w:ind w:left="0" w:right="0"/>
              <w:rPr>
                <w:rFonts w:hint="eastAsia" w:hAnsi="Times New Roman" w:eastAsia="宋体"/>
                <w:b/>
                <w:kern w:val="2"/>
                <w:szCs w:val="21"/>
              </w:rPr>
            </w:pPr>
            <w:r>
              <w:rPr>
                <w:rFonts w:hint="eastAsia" w:hAnsi="Times New Roman" w:eastAsia="宋体"/>
                <w:b/>
                <w:kern w:val="2"/>
                <w:szCs w:val="21"/>
              </w:rPr>
              <w:t>氯化物</w:t>
            </w:r>
          </w:p>
        </w:tc>
        <w:tc>
          <w:tcPr>
            <w:tcW w:w="544" w:type="pct"/>
            <w:vAlign w:val="center"/>
          </w:tcPr>
          <w:p>
            <w:pPr>
              <w:pStyle w:val="62"/>
              <w:keepNext w:val="0"/>
              <w:keepLines w:val="0"/>
              <w:suppressLineNumbers w:val="0"/>
              <w:spacing w:before="0" w:beforeAutospacing="0" w:after="0" w:afterAutospacing="0"/>
              <w:ind w:left="0" w:right="0"/>
              <w:rPr>
                <w:rFonts w:hint="eastAsia" w:hAnsi="Times New Roman" w:eastAsia="宋体"/>
                <w:b/>
                <w:kern w:val="2"/>
                <w:szCs w:val="21"/>
              </w:rPr>
            </w:pPr>
            <w:r>
              <w:rPr>
                <w:rFonts w:hint="eastAsia" w:hAnsi="Times New Roman" w:eastAsia="宋体"/>
                <w:b/>
                <w:kern w:val="2"/>
                <w:szCs w:val="21"/>
              </w:rPr>
              <w:t>硫酸盐</w:t>
            </w:r>
          </w:p>
        </w:tc>
        <w:tc>
          <w:tcPr>
            <w:tcW w:w="680" w:type="pct"/>
            <w:vAlign w:val="center"/>
          </w:tcPr>
          <w:p>
            <w:pPr>
              <w:pStyle w:val="62"/>
              <w:keepNext w:val="0"/>
              <w:keepLines w:val="0"/>
              <w:suppressLineNumbers w:val="0"/>
              <w:spacing w:before="0" w:beforeAutospacing="0" w:after="0" w:afterAutospacing="0"/>
              <w:ind w:left="0" w:right="0"/>
              <w:rPr>
                <w:rFonts w:hint="eastAsia" w:hAnsi="Times New Roman" w:eastAsia="宋体"/>
                <w:b/>
                <w:kern w:val="2"/>
                <w:szCs w:val="21"/>
              </w:rPr>
            </w:pPr>
            <w:r>
              <w:rPr>
                <w:rFonts w:hint="eastAsia" w:hAnsi="Times New Roman" w:eastAsia="宋体"/>
                <w:b/>
                <w:kern w:val="2"/>
                <w:szCs w:val="21"/>
              </w:rPr>
              <w:t>碳酸氢根</w:t>
            </w:r>
          </w:p>
        </w:tc>
        <w:tc>
          <w:tcPr>
            <w:tcW w:w="948" w:type="pct"/>
            <w:vAlign w:val="center"/>
          </w:tcPr>
          <w:p>
            <w:pPr>
              <w:pStyle w:val="62"/>
              <w:keepNext w:val="0"/>
              <w:keepLines w:val="0"/>
              <w:suppressLineNumbers w:val="0"/>
              <w:spacing w:before="0" w:beforeAutospacing="0" w:after="0" w:afterAutospacing="0"/>
              <w:ind w:left="0" w:right="0"/>
              <w:rPr>
                <w:rFonts w:hint="eastAsia" w:hAnsi="Times New Roman" w:eastAsia="宋体"/>
                <w:b/>
                <w:kern w:val="2"/>
                <w:szCs w:val="21"/>
              </w:rPr>
            </w:pPr>
            <w:r>
              <w:rPr>
                <w:rFonts w:hint="eastAsia" w:hAnsi="Times New Roman" w:eastAsia="宋体"/>
                <w:b/>
                <w:kern w:val="2"/>
                <w:szCs w:val="21"/>
              </w:rPr>
              <w:t>溶解性总固体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410" w:type="pct"/>
            <w:noWrap/>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S1</w:t>
            </w:r>
          </w:p>
        </w:tc>
        <w:tc>
          <w:tcPr>
            <w:tcW w:w="375"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7.21</w:t>
            </w:r>
          </w:p>
        </w:tc>
        <w:tc>
          <w:tcPr>
            <w:tcW w:w="375"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1.47</w:t>
            </w:r>
          </w:p>
        </w:tc>
        <w:tc>
          <w:tcPr>
            <w:tcW w:w="374"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0.75</w:t>
            </w:r>
          </w:p>
        </w:tc>
        <w:tc>
          <w:tcPr>
            <w:tcW w:w="375"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12.4</w:t>
            </w:r>
          </w:p>
        </w:tc>
        <w:tc>
          <w:tcPr>
            <w:tcW w:w="375"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18</w:t>
            </w:r>
          </w:p>
        </w:tc>
        <w:tc>
          <w:tcPr>
            <w:tcW w:w="544"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0.976</w:t>
            </w:r>
          </w:p>
        </w:tc>
        <w:tc>
          <w:tcPr>
            <w:tcW w:w="544"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1.16</w:t>
            </w:r>
          </w:p>
        </w:tc>
        <w:tc>
          <w:tcPr>
            <w:tcW w:w="680"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191</w:t>
            </w:r>
          </w:p>
        </w:tc>
        <w:tc>
          <w:tcPr>
            <w:tcW w:w="948"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410" w:type="pct"/>
            <w:noWrap/>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S2</w:t>
            </w:r>
          </w:p>
        </w:tc>
        <w:tc>
          <w:tcPr>
            <w:tcW w:w="375"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7.46</w:t>
            </w:r>
          </w:p>
        </w:tc>
        <w:tc>
          <w:tcPr>
            <w:tcW w:w="375"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0.02</w:t>
            </w:r>
          </w:p>
        </w:tc>
        <w:tc>
          <w:tcPr>
            <w:tcW w:w="374"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21.8</w:t>
            </w:r>
          </w:p>
        </w:tc>
        <w:tc>
          <w:tcPr>
            <w:tcW w:w="375"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25.1</w:t>
            </w:r>
          </w:p>
        </w:tc>
        <w:tc>
          <w:tcPr>
            <w:tcW w:w="375"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8.57</w:t>
            </w:r>
          </w:p>
        </w:tc>
        <w:tc>
          <w:tcPr>
            <w:tcW w:w="544"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30.3</w:t>
            </w:r>
          </w:p>
        </w:tc>
        <w:tc>
          <w:tcPr>
            <w:tcW w:w="544"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0.112</w:t>
            </w:r>
          </w:p>
        </w:tc>
        <w:tc>
          <w:tcPr>
            <w:tcW w:w="680"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244</w:t>
            </w:r>
          </w:p>
        </w:tc>
        <w:tc>
          <w:tcPr>
            <w:tcW w:w="948"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201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410" w:type="pct"/>
            <w:noWrap/>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S3</w:t>
            </w:r>
          </w:p>
        </w:tc>
        <w:tc>
          <w:tcPr>
            <w:tcW w:w="375" w:type="pct"/>
            <w:noWrap/>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7.2</w:t>
            </w:r>
          </w:p>
        </w:tc>
        <w:tc>
          <w:tcPr>
            <w:tcW w:w="375" w:type="pct"/>
            <w:noWrap/>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4.85</w:t>
            </w:r>
          </w:p>
        </w:tc>
        <w:tc>
          <w:tcPr>
            <w:tcW w:w="374" w:type="pct"/>
            <w:noWrap/>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15.4</w:t>
            </w:r>
          </w:p>
        </w:tc>
        <w:tc>
          <w:tcPr>
            <w:tcW w:w="375" w:type="pct"/>
            <w:noWrap/>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7.52</w:t>
            </w:r>
          </w:p>
        </w:tc>
        <w:tc>
          <w:tcPr>
            <w:tcW w:w="375" w:type="pct"/>
            <w:noWrap/>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10.9</w:t>
            </w:r>
          </w:p>
        </w:tc>
        <w:tc>
          <w:tcPr>
            <w:tcW w:w="544" w:type="pct"/>
            <w:noWrap/>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3.03</w:t>
            </w:r>
          </w:p>
        </w:tc>
        <w:tc>
          <w:tcPr>
            <w:tcW w:w="544" w:type="pct"/>
            <w:noWrap/>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0.65</w:t>
            </w:r>
          </w:p>
        </w:tc>
        <w:tc>
          <w:tcPr>
            <w:tcW w:w="680" w:type="pct"/>
            <w:noWrap/>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144</w:t>
            </w:r>
          </w:p>
        </w:tc>
        <w:tc>
          <w:tcPr>
            <w:tcW w:w="948" w:type="pct"/>
            <w:noWrap/>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111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410" w:type="pct"/>
            <w:noWrap/>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S4</w:t>
            </w:r>
          </w:p>
        </w:tc>
        <w:tc>
          <w:tcPr>
            <w:tcW w:w="375" w:type="pct"/>
            <w:noWrap/>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7.3</w:t>
            </w:r>
          </w:p>
        </w:tc>
        <w:tc>
          <w:tcPr>
            <w:tcW w:w="375" w:type="pct"/>
            <w:noWrap/>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2.96</w:t>
            </w:r>
          </w:p>
        </w:tc>
        <w:tc>
          <w:tcPr>
            <w:tcW w:w="374" w:type="pct"/>
            <w:noWrap/>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26.2</w:t>
            </w:r>
          </w:p>
        </w:tc>
        <w:tc>
          <w:tcPr>
            <w:tcW w:w="375" w:type="pct"/>
            <w:noWrap/>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54.5</w:t>
            </w:r>
          </w:p>
        </w:tc>
        <w:tc>
          <w:tcPr>
            <w:tcW w:w="375" w:type="pct"/>
            <w:noWrap/>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9.85</w:t>
            </w:r>
          </w:p>
        </w:tc>
        <w:tc>
          <w:tcPr>
            <w:tcW w:w="544" w:type="pct"/>
            <w:noWrap/>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9.62</w:t>
            </w:r>
          </w:p>
        </w:tc>
        <w:tc>
          <w:tcPr>
            <w:tcW w:w="544" w:type="pct"/>
            <w:noWrap/>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0.63</w:t>
            </w:r>
          </w:p>
        </w:tc>
        <w:tc>
          <w:tcPr>
            <w:tcW w:w="680" w:type="pct"/>
            <w:noWrap/>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115</w:t>
            </w:r>
          </w:p>
        </w:tc>
        <w:tc>
          <w:tcPr>
            <w:tcW w:w="948" w:type="pct"/>
            <w:noWrap/>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186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8" w:hRule="atLeast"/>
          <w:jc w:val="center"/>
        </w:trPr>
        <w:tc>
          <w:tcPr>
            <w:tcW w:w="410" w:type="pct"/>
            <w:noWrap/>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S5</w:t>
            </w:r>
          </w:p>
        </w:tc>
        <w:tc>
          <w:tcPr>
            <w:tcW w:w="375"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7.2</w:t>
            </w:r>
          </w:p>
        </w:tc>
        <w:tc>
          <w:tcPr>
            <w:tcW w:w="375"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5.83</w:t>
            </w:r>
          </w:p>
        </w:tc>
        <w:tc>
          <w:tcPr>
            <w:tcW w:w="374"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20.7</w:t>
            </w:r>
          </w:p>
        </w:tc>
        <w:tc>
          <w:tcPr>
            <w:tcW w:w="375"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70.5</w:t>
            </w:r>
          </w:p>
        </w:tc>
        <w:tc>
          <w:tcPr>
            <w:tcW w:w="375"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19.9</w:t>
            </w:r>
          </w:p>
        </w:tc>
        <w:tc>
          <w:tcPr>
            <w:tcW w:w="544"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5.08</w:t>
            </w:r>
          </w:p>
        </w:tc>
        <w:tc>
          <w:tcPr>
            <w:tcW w:w="544"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3.21</w:t>
            </w:r>
          </w:p>
        </w:tc>
        <w:tc>
          <w:tcPr>
            <w:tcW w:w="680"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105</w:t>
            </w:r>
          </w:p>
        </w:tc>
        <w:tc>
          <w:tcPr>
            <w:tcW w:w="948"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232</w:t>
            </w:r>
          </w:p>
        </w:tc>
      </w:tr>
    </w:tbl>
    <w:p>
      <w:pPr>
        <w:pStyle w:val="14"/>
        <w:tabs>
          <w:tab w:val="left" w:pos="3718"/>
        </w:tabs>
        <w:overflowPunct w:val="0"/>
        <w:spacing w:line="360" w:lineRule="auto"/>
        <w:jc w:val="center"/>
        <w:rPr>
          <w:rFonts w:ascii="Times New Roman" w:hAnsi="Times New Roman"/>
          <w:b/>
          <w:bCs w:val="0"/>
          <w:spacing w:val="-2"/>
          <w:sz w:val="21"/>
          <w:szCs w:val="21"/>
        </w:rPr>
      </w:pPr>
      <w:r>
        <w:rPr>
          <w:rFonts w:hint="eastAsia" w:ascii="Times New Roman" w:hAnsi="Times New Roman"/>
          <w:b/>
          <w:bCs w:val="0"/>
          <w:spacing w:val="-2"/>
          <w:sz w:val="21"/>
          <w:szCs w:val="21"/>
        </w:rPr>
        <w:t>表5</w:t>
      </w:r>
      <w:r>
        <w:rPr>
          <w:rFonts w:ascii="Times New Roman" w:hAnsi="Times New Roman"/>
          <w:b/>
          <w:bCs w:val="0"/>
          <w:spacing w:val="-2"/>
          <w:sz w:val="21"/>
          <w:szCs w:val="21"/>
        </w:rPr>
        <w:t>.3</w:t>
      </w:r>
      <w:r>
        <w:rPr>
          <w:rFonts w:hint="eastAsia" w:ascii="Times New Roman" w:hAnsi="Times New Roman"/>
          <w:b/>
          <w:bCs w:val="0"/>
          <w:spacing w:val="-2"/>
          <w:sz w:val="21"/>
          <w:szCs w:val="21"/>
        </w:rPr>
        <w:t>-</w:t>
      </w:r>
      <w:r>
        <w:rPr>
          <w:rFonts w:hint="eastAsia" w:ascii="Times New Roman" w:hAnsi="Times New Roman"/>
          <w:b/>
          <w:bCs w:val="0"/>
          <w:spacing w:val="-2"/>
          <w:sz w:val="21"/>
          <w:szCs w:val="21"/>
          <w:lang w:eastAsia="zh-CN"/>
        </w:rPr>
        <w:t>4</w:t>
      </w:r>
      <w:r>
        <w:rPr>
          <w:rFonts w:ascii="Times New Roman" w:hAnsi="Times New Roman"/>
          <w:b/>
          <w:bCs w:val="0"/>
          <w:spacing w:val="-2"/>
          <w:sz w:val="21"/>
          <w:szCs w:val="21"/>
        </w:rPr>
        <w:t xml:space="preserve">  水样水化学常量组分</w:t>
      </w:r>
      <w:r>
        <w:rPr>
          <w:rFonts w:hint="eastAsia" w:ascii="Times New Roman" w:hAnsi="Times New Roman"/>
          <w:b/>
          <w:bCs w:val="0"/>
          <w:spacing w:val="-2"/>
          <w:sz w:val="21"/>
          <w:szCs w:val="21"/>
        </w:rPr>
        <w:t>毫克当量</w:t>
      </w:r>
      <w:r>
        <w:rPr>
          <w:rFonts w:ascii="Times New Roman" w:hAnsi="Times New Roman"/>
          <w:b/>
          <w:bCs w:val="0"/>
          <w:spacing w:val="-2"/>
          <w:sz w:val="21"/>
          <w:szCs w:val="21"/>
        </w:rPr>
        <w:t>结果</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2"/>
        <w:gridCol w:w="747"/>
        <w:gridCol w:w="747"/>
        <w:gridCol w:w="764"/>
        <w:gridCol w:w="839"/>
        <w:gridCol w:w="880"/>
        <w:gridCol w:w="860"/>
        <w:gridCol w:w="990"/>
        <w:gridCol w:w="21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713" w:type="pct"/>
            <w:vMerge w:val="restar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b/>
                <w:bCs/>
                <w:kern w:val="2"/>
                <w:szCs w:val="21"/>
              </w:rPr>
            </w:pPr>
            <w:r>
              <w:rPr>
                <w:rFonts w:hint="eastAsia" w:hAnsi="Times New Roman" w:eastAsia="宋体"/>
                <w:b/>
                <w:bCs/>
                <w:kern w:val="2"/>
                <w:szCs w:val="21"/>
              </w:rPr>
              <w:t>指标</w:t>
            </w:r>
          </w:p>
          <w:p>
            <w:pPr>
              <w:pStyle w:val="62"/>
              <w:keepNext w:val="0"/>
              <w:keepLines w:val="0"/>
              <w:suppressLineNumbers w:val="0"/>
              <w:spacing w:before="0" w:beforeAutospacing="0" w:after="0" w:afterAutospacing="0"/>
              <w:ind w:left="0" w:right="0"/>
              <w:rPr>
                <w:rFonts w:hint="eastAsia" w:hAnsi="Times New Roman" w:eastAsia="宋体"/>
                <w:b/>
                <w:bCs/>
                <w:kern w:val="2"/>
                <w:szCs w:val="21"/>
              </w:rPr>
            </w:pPr>
            <w:r>
              <w:rPr>
                <w:rFonts w:hint="eastAsia" w:hAnsi="Times New Roman" w:eastAsia="宋体"/>
                <w:b/>
                <w:bCs/>
                <w:kern w:val="2"/>
                <w:szCs w:val="21"/>
              </w:rPr>
              <w:t>编号</w:t>
            </w:r>
          </w:p>
        </w:tc>
        <w:tc>
          <w:tcPr>
            <w:tcW w:w="400" w:type="pct"/>
            <w:vMerge w:val="restar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b/>
                <w:bCs/>
                <w:kern w:val="2"/>
                <w:szCs w:val="21"/>
              </w:rPr>
            </w:pPr>
            <w:r>
              <w:rPr>
                <w:rFonts w:hint="eastAsia" w:hAnsi="Times New Roman" w:eastAsia="宋体"/>
                <w:b/>
                <w:bCs/>
                <w:kern w:val="2"/>
                <w:szCs w:val="21"/>
              </w:rPr>
              <w:t>K</w:t>
            </w:r>
            <w:r>
              <w:rPr>
                <w:rFonts w:hint="eastAsia" w:hAnsi="Times New Roman" w:eastAsia="宋体"/>
                <w:b/>
                <w:bCs/>
                <w:kern w:val="2"/>
                <w:szCs w:val="21"/>
                <w:vertAlign w:val="superscript"/>
              </w:rPr>
              <w:t>+</w:t>
            </w:r>
          </w:p>
        </w:tc>
        <w:tc>
          <w:tcPr>
            <w:tcW w:w="400" w:type="pct"/>
            <w:vMerge w:val="restar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b/>
                <w:bCs/>
                <w:kern w:val="2"/>
                <w:szCs w:val="21"/>
              </w:rPr>
            </w:pPr>
            <w:r>
              <w:rPr>
                <w:rFonts w:hint="eastAsia" w:hAnsi="Times New Roman" w:eastAsia="宋体"/>
                <w:b/>
                <w:bCs/>
                <w:kern w:val="2"/>
                <w:szCs w:val="21"/>
              </w:rPr>
              <w:t>Na</w:t>
            </w:r>
            <w:r>
              <w:rPr>
                <w:rFonts w:hint="eastAsia" w:hAnsi="Times New Roman" w:eastAsia="宋体"/>
                <w:b/>
                <w:bCs/>
                <w:kern w:val="2"/>
                <w:szCs w:val="21"/>
                <w:vertAlign w:val="superscript"/>
              </w:rPr>
              <w:t>+</w:t>
            </w:r>
          </w:p>
        </w:tc>
        <w:tc>
          <w:tcPr>
            <w:tcW w:w="409" w:type="pct"/>
            <w:vMerge w:val="restar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b/>
                <w:bCs/>
                <w:kern w:val="2"/>
                <w:szCs w:val="21"/>
              </w:rPr>
            </w:pPr>
            <w:r>
              <w:rPr>
                <w:rFonts w:hint="eastAsia" w:hAnsi="Times New Roman" w:eastAsia="宋体"/>
                <w:b/>
                <w:bCs/>
                <w:kern w:val="2"/>
                <w:szCs w:val="21"/>
              </w:rPr>
              <w:t>Ca</w:t>
            </w:r>
            <w:r>
              <w:rPr>
                <w:rFonts w:hint="eastAsia" w:hAnsi="Times New Roman" w:eastAsia="宋体"/>
                <w:b/>
                <w:bCs/>
                <w:kern w:val="2"/>
                <w:szCs w:val="21"/>
                <w:vertAlign w:val="superscript"/>
              </w:rPr>
              <w:t>2+</w:t>
            </w:r>
          </w:p>
        </w:tc>
        <w:tc>
          <w:tcPr>
            <w:tcW w:w="449" w:type="pct"/>
            <w:vMerge w:val="restar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b/>
                <w:bCs/>
                <w:kern w:val="2"/>
                <w:szCs w:val="21"/>
              </w:rPr>
            </w:pPr>
            <w:r>
              <w:rPr>
                <w:rFonts w:hint="eastAsia" w:hAnsi="Times New Roman" w:eastAsia="宋体"/>
                <w:b/>
                <w:bCs/>
                <w:kern w:val="2"/>
                <w:szCs w:val="21"/>
              </w:rPr>
              <w:t>Mg</w:t>
            </w:r>
            <w:r>
              <w:rPr>
                <w:rFonts w:hint="eastAsia" w:hAnsi="Times New Roman" w:eastAsia="宋体"/>
                <w:b/>
                <w:bCs/>
                <w:kern w:val="2"/>
                <w:szCs w:val="21"/>
                <w:vertAlign w:val="superscript"/>
              </w:rPr>
              <w:t>2+</w:t>
            </w:r>
          </w:p>
        </w:tc>
        <w:tc>
          <w:tcPr>
            <w:tcW w:w="471" w:type="pct"/>
            <w:vMerge w:val="restar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b/>
                <w:bCs/>
                <w:kern w:val="2"/>
                <w:szCs w:val="21"/>
              </w:rPr>
            </w:pPr>
            <w:r>
              <w:rPr>
                <w:rFonts w:hint="eastAsia" w:hAnsi="Times New Roman" w:eastAsia="宋体"/>
                <w:b/>
                <w:bCs/>
                <w:kern w:val="2"/>
                <w:szCs w:val="21"/>
              </w:rPr>
              <w:t>Cl</w:t>
            </w:r>
            <w:r>
              <w:rPr>
                <w:rFonts w:hint="eastAsia" w:hAnsi="Times New Roman" w:eastAsia="宋体"/>
                <w:b/>
                <w:bCs/>
                <w:kern w:val="2"/>
                <w:szCs w:val="21"/>
                <w:vertAlign w:val="superscript"/>
              </w:rPr>
              <w:t>-</w:t>
            </w:r>
          </w:p>
        </w:tc>
        <w:tc>
          <w:tcPr>
            <w:tcW w:w="460" w:type="pct"/>
            <w:vMerge w:val="restar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b/>
                <w:bCs/>
                <w:kern w:val="2"/>
                <w:szCs w:val="21"/>
              </w:rPr>
            </w:pPr>
            <w:r>
              <w:rPr>
                <w:rFonts w:hint="eastAsia" w:hAnsi="Times New Roman" w:eastAsia="宋体"/>
                <w:b/>
                <w:bCs/>
                <w:kern w:val="2"/>
                <w:szCs w:val="21"/>
              </w:rPr>
              <w:t>SO</w:t>
            </w:r>
            <w:r>
              <w:rPr>
                <w:rFonts w:hint="eastAsia" w:hAnsi="Times New Roman" w:eastAsia="宋体"/>
                <w:b/>
                <w:bCs/>
                <w:kern w:val="2"/>
                <w:szCs w:val="21"/>
                <w:vertAlign w:val="subscript"/>
              </w:rPr>
              <w:t>4</w:t>
            </w:r>
            <w:r>
              <w:rPr>
                <w:rFonts w:hint="eastAsia" w:hAnsi="Times New Roman" w:eastAsia="宋体"/>
                <w:b/>
                <w:bCs/>
                <w:kern w:val="2"/>
                <w:szCs w:val="21"/>
                <w:vertAlign w:val="superscript"/>
              </w:rPr>
              <w:t>2-</w:t>
            </w:r>
          </w:p>
        </w:tc>
        <w:tc>
          <w:tcPr>
            <w:tcW w:w="530" w:type="pct"/>
            <w:vMerge w:val="restar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b/>
                <w:bCs/>
                <w:kern w:val="2"/>
                <w:szCs w:val="21"/>
              </w:rPr>
            </w:pPr>
            <w:r>
              <w:rPr>
                <w:rFonts w:hint="eastAsia" w:hAnsi="Times New Roman" w:eastAsia="宋体"/>
                <w:b/>
                <w:bCs/>
                <w:kern w:val="2"/>
                <w:szCs w:val="21"/>
              </w:rPr>
              <w:t>HCO</w:t>
            </w:r>
            <w:r>
              <w:rPr>
                <w:rFonts w:hint="eastAsia" w:hAnsi="Times New Roman" w:eastAsia="宋体"/>
                <w:b/>
                <w:bCs/>
                <w:kern w:val="2"/>
                <w:szCs w:val="21"/>
                <w:vertAlign w:val="subscript"/>
              </w:rPr>
              <w:t>3</w:t>
            </w:r>
            <w:r>
              <w:rPr>
                <w:rFonts w:hint="eastAsia" w:hAnsi="Times New Roman" w:eastAsia="宋体"/>
                <w:b/>
                <w:bCs/>
                <w:kern w:val="2"/>
                <w:szCs w:val="21"/>
                <w:vertAlign w:val="superscript"/>
              </w:rPr>
              <w:t>-</w:t>
            </w:r>
          </w:p>
        </w:tc>
        <w:tc>
          <w:tcPr>
            <w:tcW w:w="1168" w:type="pct"/>
            <w:vMerge w:val="restar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b/>
                <w:bCs/>
                <w:kern w:val="2"/>
                <w:szCs w:val="21"/>
              </w:rPr>
            </w:pPr>
            <w:r>
              <w:rPr>
                <w:rFonts w:hint="eastAsia" w:hAnsi="Times New Roman" w:eastAsia="宋体"/>
                <w:b/>
                <w:bCs/>
                <w:kern w:val="2"/>
                <w:szCs w:val="21"/>
              </w:rPr>
              <w:t>水化学类型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713" w:type="pct"/>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400" w:type="pct"/>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400" w:type="pct"/>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409" w:type="pct"/>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449" w:type="pct"/>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471" w:type="pct"/>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460" w:type="pct"/>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530" w:type="pct"/>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1168" w:type="pct"/>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3"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S1</w:t>
            </w:r>
          </w:p>
        </w:tc>
        <w:tc>
          <w:tcPr>
            <w:tcW w:w="400"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0.04</w:t>
            </w:r>
          </w:p>
        </w:tc>
        <w:tc>
          <w:tcPr>
            <w:tcW w:w="400"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0.03</w:t>
            </w:r>
          </w:p>
        </w:tc>
        <w:tc>
          <w:tcPr>
            <w:tcW w:w="409"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0.62</w:t>
            </w:r>
          </w:p>
        </w:tc>
        <w:tc>
          <w:tcPr>
            <w:tcW w:w="449"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1.50</w:t>
            </w:r>
          </w:p>
        </w:tc>
        <w:tc>
          <w:tcPr>
            <w:tcW w:w="471"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0.03</w:t>
            </w:r>
          </w:p>
        </w:tc>
        <w:tc>
          <w:tcPr>
            <w:tcW w:w="460"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0.02</w:t>
            </w:r>
          </w:p>
        </w:tc>
        <w:tc>
          <w:tcPr>
            <w:tcW w:w="530"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3.13</w:t>
            </w:r>
          </w:p>
        </w:tc>
        <w:tc>
          <w:tcPr>
            <w:tcW w:w="1168"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HCO</w:t>
            </w:r>
            <w:r>
              <w:rPr>
                <w:rFonts w:hint="eastAsia" w:hAnsi="Times New Roman" w:eastAsia="宋体"/>
                <w:kern w:val="2"/>
                <w:szCs w:val="21"/>
                <w:vertAlign w:val="subscript"/>
              </w:rPr>
              <w:t>3</w:t>
            </w:r>
            <w:r>
              <w:rPr>
                <w:rFonts w:hint="eastAsia" w:hAnsi="Times New Roman" w:eastAsia="宋体"/>
                <w:kern w:val="2"/>
                <w:szCs w:val="21"/>
              </w:rPr>
              <w:t>- Mg·Ca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3"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S2</w:t>
            </w:r>
          </w:p>
        </w:tc>
        <w:tc>
          <w:tcPr>
            <w:tcW w:w="400"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0.00</w:t>
            </w:r>
          </w:p>
        </w:tc>
        <w:tc>
          <w:tcPr>
            <w:tcW w:w="400"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0.95</w:t>
            </w:r>
          </w:p>
        </w:tc>
        <w:tc>
          <w:tcPr>
            <w:tcW w:w="409"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1.26</w:t>
            </w:r>
          </w:p>
        </w:tc>
        <w:tc>
          <w:tcPr>
            <w:tcW w:w="449"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0.71</w:t>
            </w:r>
          </w:p>
        </w:tc>
        <w:tc>
          <w:tcPr>
            <w:tcW w:w="471"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0.85</w:t>
            </w:r>
          </w:p>
        </w:tc>
        <w:tc>
          <w:tcPr>
            <w:tcW w:w="460"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0.00</w:t>
            </w:r>
          </w:p>
        </w:tc>
        <w:tc>
          <w:tcPr>
            <w:tcW w:w="530"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4.00</w:t>
            </w:r>
          </w:p>
        </w:tc>
        <w:tc>
          <w:tcPr>
            <w:tcW w:w="1168"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HCO</w:t>
            </w:r>
            <w:r>
              <w:rPr>
                <w:rFonts w:hint="eastAsia" w:hAnsi="Times New Roman" w:eastAsia="宋体"/>
                <w:kern w:val="2"/>
                <w:szCs w:val="21"/>
                <w:vertAlign w:val="subscript"/>
              </w:rPr>
              <w:t>3</w:t>
            </w:r>
            <w:r>
              <w:rPr>
                <w:rFonts w:hint="eastAsia" w:hAnsi="Times New Roman" w:eastAsia="宋体"/>
                <w:kern w:val="2"/>
                <w:szCs w:val="21"/>
              </w:rPr>
              <w:t>-Ca·Na·Mg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3"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S3</w:t>
            </w:r>
          </w:p>
        </w:tc>
        <w:tc>
          <w:tcPr>
            <w:tcW w:w="400"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0.12</w:t>
            </w:r>
          </w:p>
        </w:tc>
        <w:tc>
          <w:tcPr>
            <w:tcW w:w="400"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0.67</w:t>
            </w:r>
          </w:p>
        </w:tc>
        <w:tc>
          <w:tcPr>
            <w:tcW w:w="409"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0.38</w:t>
            </w:r>
          </w:p>
        </w:tc>
        <w:tc>
          <w:tcPr>
            <w:tcW w:w="449"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0.91</w:t>
            </w:r>
          </w:p>
        </w:tc>
        <w:tc>
          <w:tcPr>
            <w:tcW w:w="471"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0.09</w:t>
            </w:r>
          </w:p>
        </w:tc>
        <w:tc>
          <w:tcPr>
            <w:tcW w:w="460"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0.01</w:t>
            </w:r>
          </w:p>
        </w:tc>
        <w:tc>
          <w:tcPr>
            <w:tcW w:w="530"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2.36</w:t>
            </w:r>
          </w:p>
        </w:tc>
        <w:tc>
          <w:tcPr>
            <w:tcW w:w="1168"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HCO</w:t>
            </w:r>
            <w:r>
              <w:rPr>
                <w:rFonts w:hint="eastAsia" w:hAnsi="Times New Roman" w:eastAsia="宋体"/>
                <w:kern w:val="2"/>
                <w:szCs w:val="21"/>
                <w:vertAlign w:val="subscript"/>
              </w:rPr>
              <w:t>3</w:t>
            </w:r>
            <w:r>
              <w:rPr>
                <w:rFonts w:hint="eastAsia" w:hAnsi="Times New Roman" w:eastAsia="宋体"/>
                <w:kern w:val="2"/>
                <w:szCs w:val="21"/>
              </w:rPr>
              <w:t>-Mg·Na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3"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S4</w:t>
            </w:r>
          </w:p>
        </w:tc>
        <w:tc>
          <w:tcPr>
            <w:tcW w:w="400"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0.08</w:t>
            </w:r>
          </w:p>
        </w:tc>
        <w:tc>
          <w:tcPr>
            <w:tcW w:w="400"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1.14</w:t>
            </w:r>
          </w:p>
        </w:tc>
        <w:tc>
          <w:tcPr>
            <w:tcW w:w="409"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2.73</w:t>
            </w:r>
          </w:p>
        </w:tc>
        <w:tc>
          <w:tcPr>
            <w:tcW w:w="449"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0.82</w:t>
            </w:r>
          </w:p>
        </w:tc>
        <w:tc>
          <w:tcPr>
            <w:tcW w:w="471"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0.27</w:t>
            </w:r>
          </w:p>
        </w:tc>
        <w:tc>
          <w:tcPr>
            <w:tcW w:w="460"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0.01</w:t>
            </w:r>
          </w:p>
        </w:tc>
        <w:tc>
          <w:tcPr>
            <w:tcW w:w="530"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1.89</w:t>
            </w:r>
          </w:p>
        </w:tc>
        <w:tc>
          <w:tcPr>
            <w:tcW w:w="1168"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HCO</w:t>
            </w:r>
            <w:r>
              <w:rPr>
                <w:rFonts w:hint="eastAsia" w:hAnsi="Times New Roman" w:eastAsia="宋体"/>
                <w:kern w:val="2"/>
                <w:szCs w:val="21"/>
                <w:vertAlign w:val="subscript"/>
              </w:rPr>
              <w:t>3</w:t>
            </w:r>
            <w:r>
              <w:rPr>
                <w:rFonts w:hint="eastAsia" w:hAnsi="Times New Roman" w:eastAsia="宋体"/>
                <w:kern w:val="2"/>
                <w:szCs w:val="21"/>
              </w:rPr>
              <w:t>-Ca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3"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S5</w:t>
            </w:r>
          </w:p>
        </w:tc>
        <w:tc>
          <w:tcPr>
            <w:tcW w:w="400"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0.15</w:t>
            </w:r>
          </w:p>
        </w:tc>
        <w:tc>
          <w:tcPr>
            <w:tcW w:w="400"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0.90</w:t>
            </w:r>
          </w:p>
        </w:tc>
        <w:tc>
          <w:tcPr>
            <w:tcW w:w="409"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3.53</w:t>
            </w:r>
          </w:p>
        </w:tc>
        <w:tc>
          <w:tcPr>
            <w:tcW w:w="449"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1.66</w:t>
            </w:r>
          </w:p>
        </w:tc>
        <w:tc>
          <w:tcPr>
            <w:tcW w:w="471"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0.14</w:t>
            </w:r>
          </w:p>
        </w:tc>
        <w:tc>
          <w:tcPr>
            <w:tcW w:w="460"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0.07</w:t>
            </w:r>
          </w:p>
        </w:tc>
        <w:tc>
          <w:tcPr>
            <w:tcW w:w="530"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1.72</w:t>
            </w:r>
          </w:p>
        </w:tc>
        <w:tc>
          <w:tcPr>
            <w:tcW w:w="1168"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HCO</w:t>
            </w:r>
            <w:r>
              <w:rPr>
                <w:rFonts w:hint="eastAsia" w:hAnsi="Times New Roman" w:eastAsia="宋体"/>
                <w:kern w:val="2"/>
                <w:szCs w:val="21"/>
                <w:vertAlign w:val="subscript"/>
              </w:rPr>
              <w:t>3</w:t>
            </w:r>
            <w:r>
              <w:rPr>
                <w:rFonts w:hint="eastAsia" w:hAnsi="Times New Roman" w:eastAsia="宋体"/>
                <w:kern w:val="2"/>
                <w:szCs w:val="21"/>
              </w:rPr>
              <w:t>-Ca·Mg</w:t>
            </w:r>
          </w:p>
        </w:tc>
      </w:tr>
    </w:tbl>
    <w:p>
      <w:pPr>
        <w:pStyle w:val="53"/>
        <w:ind w:firstLine="0" w:firstLineChars="0"/>
        <w:rPr>
          <w:rFonts w:eastAsia="宋体"/>
          <w:b/>
          <w:bCs/>
        </w:rPr>
      </w:pPr>
      <w:r>
        <w:rPr>
          <w:rFonts w:eastAsia="宋体"/>
          <w:b/>
          <w:bCs/>
        </w:rPr>
        <w:t>5.3.3.7地下水动态特征</w:t>
      </w:r>
    </w:p>
    <w:p>
      <w:pPr>
        <w:spacing w:line="360" w:lineRule="auto"/>
        <w:ind w:firstLine="480"/>
        <w:rPr>
          <w:rFonts w:hAnsi="Times New Roman" w:eastAsia="宋体"/>
          <w:szCs w:val="22"/>
        </w:rPr>
      </w:pPr>
      <w:r>
        <w:rPr>
          <w:rFonts w:hAnsi="Times New Roman" w:eastAsia="宋体"/>
          <w:szCs w:val="22"/>
        </w:rPr>
        <w:t>根据调查，井田范围位于山区，受地形影响，区内碎屑岩类裂隙孔隙水埋藏较深，偶有沟渠切割处有泉出露，根据调查访问，该项目区域在斜坡坡脚及凹谷地带有部分居民打井作为生活用水使用，民井水量、水位变化较小，本次调查区内地下水水位埋深基本情况见下表所示。</w:t>
      </w:r>
    </w:p>
    <w:p>
      <w:pPr>
        <w:pStyle w:val="14"/>
        <w:tabs>
          <w:tab w:val="left" w:pos="3718"/>
        </w:tabs>
        <w:overflowPunct w:val="0"/>
        <w:spacing w:line="360" w:lineRule="auto"/>
        <w:jc w:val="center"/>
        <w:rPr>
          <w:rFonts w:ascii="Times New Roman" w:hAnsi="Times New Roman"/>
          <w:b/>
          <w:bCs w:val="0"/>
          <w:spacing w:val="-2"/>
          <w:sz w:val="21"/>
          <w:szCs w:val="21"/>
        </w:rPr>
      </w:pPr>
      <w:r>
        <w:rPr>
          <w:rFonts w:ascii="Times New Roman" w:hAnsi="Times New Roman"/>
          <w:b/>
          <w:bCs w:val="0"/>
          <w:spacing w:val="-2"/>
          <w:sz w:val="21"/>
          <w:szCs w:val="21"/>
        </w:rPr>
        <w:t>表5.3-</w:t>
      </w:r>
      <w:r>
        <w:rPr>
          <w:rFonts w:hint="eastAsia" w:ascii="Times New Roman" w:hAnsi="Times New Roman"/>
          <w:b/>
          <w:bCs w:val="0"/>
          <w:spacing w:val="-2"/>
          <w:sz w:val="21"/>
          <w:szCs w:val="21"/>
          <w:lang w:eastAsia="zh-CN"/>
        </w:rPr>
        <w:t>5</w:t>
      </w:r>
      <w:r>
        <w:rPr>
          <w:rFonts w:ascii="Times New Roman" w:hAnsi="Times New Roman"/>
          <w:b/>
          <w:bCs w:val="0"/>
          <w:spacing w:val="-2"/>
          <w:sz w:val="21"/>
          <w:szCs w:val="21"/>
        </w:rPr>
        <w:t xml:space="preserve"> 地下水监测点位信息表</w:t>
      </w:r>
    </w:p>
    <w:tbl>
      <w:tblPr>
        <w:tblStyle w:val="3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62"/>
        <w:gridCol w:w="3139"/>
        <w:gridCol w:w="1368"/>
        <w:gridCol w:w="34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blHeader/>
        </w:trPr>
        <w:tc>
          <w:tcPr>
            <w:tcW w:w="729" w:type="pct"/>
            <w:shd w:val="clear" w:color="auto" w:fill="auto"/>
            <w:vAlign w:val="center"/>
          </w:tcPr>
          <w:p>
            <w:pPr>
              <w:pStyle w:val="62"/>
              <w:keepNext w:val="0"/>
              <w:keepLines w:val="0"/>
              <w:suppressLineNumbers w:val="0"/>
              <w:spacing w:before="0" w:beforeAutospacing="0" w:after="0" w:afterAutospacing="0" w:line="288" w:lineRule="auto"/>
              <w:ind w:left="0" w:right="0"/>
              <w:rPr>
                <w:rFonts w:hint="eastAsia"/>
                <w:b/>
                <w:bCs/>
                <w:kern w:val="2"/>
                <w:szCs w:val="22"/>
              </w:rPr>
            </w:pPr>
            <w:r>
              <w:rPr>
                <w:rFonts w:hint="eastAsia"/>
                <w:b/>
                <w:bCs/>
                <w:kern w:val="2"/>
                <w:szCs w:val="22"/>
              </w:rPr>
              <w:t>名称</w:t>
            </w:r>
          </w:p>
        </w:tc>
        <w:tc>
          <w:tcPr>
            <w:tcW w:w="1680" w:type="pct"/>
            <w:shd w:val="clear" w:color="auto" w:fill="auto"/>
            <w:vAlign w:val="center"/>
          </w:tcPr>
          <w:p>
            <w:pPr>
              <w:pStyle w:val="62"/>
              <w:keepNext w:val="0"/>
              <w:keepLines w:val="0"/>
              <w:suppressLineNumbers w:val="0"/>
              <w:spacing w:before="0" w:beforeAutospacing="0" w:after="0" w:afterAutospacing="0" w:line="288" w:lineRule="auto"/>
              <w:ind w:left="0" w:right="0"/>
              <w:rPr>
                <w:rFonts w:hint="eastAsia"/>
                <w:b/>
                <w:bCs/>
                <w:kern w:val="2"/>
                <w:szCs w:val="22"/>
              </w:rPr>
            </w:pPr>
            <w:r>
              <w:rPr>
                <w:rFonts w:hint="eastAsia"/>
                <w:b/>
                <w:bCs/>
                <w:kern w:val="2"/>
                <w:szCs w:val="22"/>
              </w:rPr>
              <w:t>经纬度</w:t>
            </w:r>
          </w:p>
        </w:tc>
        <w:tc>
          <w:tcPr>
            <w:tcW w:w="732" w:type="pct"/>
            <w:shd w:val="clear" w:color="auto" w:fill="auto"/>
            <w:vAlign w:val="center"/>
          </w:tcPr>
          <w:p>
            <w:pPr>
              <w:pStyle w:val="62"/>
              <w:keepNext w:val="0"/>
              <w:keepLines w:val="0"/>
              <w:suppressLineNumbers w:val="0"/>
              <w:spacing w:before="0" w:beforeAutospacing="0" w:after="0" w:afterAutospacing="0" w:line="288" w:lineRule="auto"/>
              <w:ind w:left="0" w:right="0"/>
              <w:rPr>
                <w:rFonts w:hint="eastAsia"/>
                <w:b/>
                <w:bCs/>
                <w:kern w:val="2"/>
                <w:szCs w:val="22"/>
              </w:rPr>
            </w:pPr>
            <w:r>
              <w:rPr>
                <w:rFonts w:hint="eastAsia"/>
                <w:b/>
                <w:bCs/>
                <w:kern w:val="2"/>
                <w:szCs w:val="22"/>
              </w:rPr>
              <w:t>水位（m）</w:t>
            </w:r>
          </w:p>
        </w:tc>
        <w:tc>
          <w:tcPr>
            <w:tcW w:w="1859" w:type="pct"/>
            <w:shd w:val="clear" w:color="auto" w:fill="auto"/>
            <w:vAlign w:val="center"/>
          </w:tcPr>
          <w:p>
            <w:pPr>
              <w:pStyle w:val="62"/>
              <w:keepNext w:val="0"/>
              <w:keepLines w:val="0"/>
              <w:suppressLineNumbers w:val="0"/>
              <w:spacing w:before="0" w:beforeAutospacing="0" w:after="0" w:afterAutospacing="0" w:line="288" w:lineRule="auto"/>
              <w:ind w:left="0" w:right="0"/>
              <w:rPr>
                <w:rFonts w:hint="eastAsia"/>
                <w:b/>
                <w:bCs/>
                <w:kern w:val="2"/>
                <w:szCs w:val="22"/>
              </w:rPr>
            </w:pPr>
            <w:r>
              <w:rPr>
                <w:rFonts w:hint="eastAsia"/>
                <w:b/>
                <w:bCs/>
                <w:kern w:val="2"/>
                <w:szCs w:val="22"/>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729" w:type="pct"/>
            <w:shd w:val="clear" w:color="auto" w:fill="auto"/>
            <w:vAlign w:val="center"/>
          </w:tcPr>
          <w:p>
            <w:pPr>
              <w:pStyle w:val="62"/>
              <w:keepNext w:val="0"/>
              <w:keepLines w:val="0"/>
              <w:suppressLineNumbers w:val="0"/>
              <w:spacing w:before="0" w:beforeAutospacing="0" w:after="0" w:afterAutospacing="0" w:line="288" w:lineRule="auto"/>
              <w:ind w:left="0" w:right="0"/>
              <w:rPr>
                <w:rFonts w:hint="eastAsia"/>
                <w:kern w:val="2"/>
                <w:szCs w:val="22"/>
              </w:rPr>
            </w:pPr>
            <w:r>
              <w:rPr>
                <w:rFonts w:hint="eastAsia"/>
                <w:kern w:val="2"/>
                <w:szCs w:val="22"/>
              </w:rPr>
              <w:t>S1</w:t>
            </w:r>
          </w:p>
        </w:tc>
        <w:tc>
          <w:tcPr>
            <w:tcW w:w="1680" w:type="pct"/>
            <w:shd w:val="clear" w:color="auto" w:fill="auto"/>
            <w:vAlign w:val="center"/>
          </w:tcPr>
          <w:p>
            <w:pPr>
              <w:pStyle w:val="62"/>
              <w:keepNext w:val="0"/>
              <w:keepLines w:val="0"/>
              <w:suppressLineNumbers w:val="0"/>
              <w:spacing w:before="0" w:beforeAutospacing="0" w:after="0" w:afterAutospacing="0" w:line="288" w:lineRule="auto"/>
              <w:ind w:left="0" w:right="0"/>
              <w:rPr>
                <w:rFonts w:hint="eastAsia"/>
                <w:kern w:val="2"/>
                <w:szCs w:val="22"/>
              </w:rPr>
            </w:pPr>
            <w:r>
              <w:rPr>
                <w:rFonts w:hint="eastAsia"/>
                <w:kern w:val="2"/>
                <w:szCs w:val="22"/>
              </w:rPr>
              <w:t>107.732700，31.200500</w:t>
            </w:r>
          </w:p>
        </w:tc>
        <w:tc>
          <w:tcPr>
            <w:tcW w:w="732" w:type="pct"/>
            <w:shd w:val="clear" w:color="auto" w:fill="auto"/>
            <w:vAlign w:val="center"/>
          </w:tcPr>
          <w:p>
            <w:pPr>
              <w:pStyle w:val="62"/>
              <w:keepNext w:val="0"/>
              <w:keepLines w:val="0"/>
              <w:suppressLineNumbers w:val="0"/>
              <w:spacing w:before="0" w:beforeAutospacing="0" w:after="0" w:afterAutospacing="0" w:line="288" w:lineRule="auto"/>
              <w:ind w:left="0" w:right="0"/>
              <w:rPr>
                <w:rFonts w:hint="eastAsia"/>
                <w:kern w:val="2"/>
                <w:szCs w:val="22"/>
              </w:rPr>
            </w:pPr>
            <w:r>
              <w:rPr>
                <w:rFonts w:hint="eastAsia"/>
                <w:kern w:val="2"/>
                <w:szCs w:val="22"/>
              </w:rPr>
              <w:t>342.5</w:t>
            </w:r>
          </w:p>
        </w:tc>
        <w:tc>
          <w:tcPr>
            <w:tcW w:w="1859" w:type="pct"/>
            <w:shd w:val="clear" w:color="auto" w:fill="auto"/>
            <w:vAlign w:val="center"/>
          </w:tcPr>
          <w:p>
            <w:pPr>
              <w:pStyle w:val="62"/>
              <w:keepNext w:val="0"/>
              <w:keepLines w:val="0"/>
              <w:suppressLineNumbers w:val="0"/>
              <w:spacing w:before="0" w:beforeAutospacing="0" w:after="0" w:afterAutospacing="0" w:line="288" w:lineRule="auto"/>
              <w:ind w:left="0" w:right="0"/>
              <w:rPr>
                <w:rFonts w:hint="eastAsia"/>
                <w:kern w:val="2"/>
                <w:szCs w:val="22"/>
              </w:rPr>
            </w:pPr>
            <w:r>
              <w:rPr>
                <w:rFonts w:hint="eastAsia"/>
                <w:kern w:val="2"/>
                <w:szCs w:val="22"/>
              </w:rPr>
              <w:t>主井工业广场西侧水井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729" w:type="pct"/>
            <w:shd w:val="clear" w:color="auto" w:fill="auto"/>
            <w:vAlign w:val="center"/>
          </w:tcPr>
          <w:p>
            <w:pPr>
              <w:pStyle w:val="62"/>
              <w:keepNext w:val="0"/>
              <w:keepLines w:val="0"/>
              <w:suppressLineNumbers w:val="0"/>
              <w:spacing w:before="0" w:beforeAutospacing="0" w:after="0" w:afterAutospacing="0" w:line="288" w:lineRule="auto"/>
              <w:ind w:left="0" w:right="0"/>
              <w:rPr>
                <w:rFonts w:hint="eastAsia"/>
                <w:kern w:val="2"/>
                <w:szCs w:val="22"/>
              </w:rPr>
            </w:pPr>
            <w:r>
              <w:rPr>
                <w:rFonts w:hint="eastAsia"/>
                <w:kern w:val="2"/>
                <w:szCs w:val="22"/>
              </w:rPr>
              <w:t>S2</w:t>
            </w:r>
          </w:p>
        </w:tc>
        <w:tc>
          <w:tcPr>
            <w:tcW w:w="1680" w:type="pct"/>
            <w:shd w:val="clear" w:color="auto" w:fill="auto"/>
            <w:vAlign w:val="center"/>
          </w:tcPr>
          <w:p>
            <w:pPr>
              <w:pStyle w:val="62"/>
              <w:keepNext w:val="0"/>
              <w:keepLines w:val="0"/>
              <w:suppressLineNumbers w:val="0"/>
              <w:spacing w:before="0" w:beforeAutospacing="0" w:after="0" w:afterAutospacing="0" w:line="288" w:lineRule="auto"/>
              <w:ind w:left="0" w:right="0"/>
              <w:rPr>
                <w:rFonts w:hint="eastAsia"/>
                <w:kern w:val="2"/>
                <w:szCs w:val="22"/>
              </w:rPr>
            </w:pPr>
            <w:r>
              <w:rPr>
                <w:rFonts w:hint="eastAsia"/>
                <w:kern w:val="2"/>
                <w:szCs w:val="22"/>
              </w:rPr>
              <w:t>107.719400，31.191200</w:t>
            </w:r>
          </w:p>
        </w:tc>
        <w:tc>
          <w:tcPr>
            <w:tcW w:w="732" w:type="pct"/>
            <w:shd w:val="clear" w:color="auto" w:fill="auto"/>
            <w:vAlign w:val="center"/>
          </w:tcPr>
          <w:p>
            <w:pPr>
              <w:pStyle w:val="62"/>
              <w:keepNext w:val="0"/>
              <w:keepLines w:val="0"/>
              <w:suppressLineNumbers w:val="0"/>
              <w:spacing w:before="0" w:beforeAutospacing="0" w:after="0" w:afterAutospacing="0" w:line="288" w:lineRule="auto"/>
              <w:ind w:left="0" w:right="0"/>
              <w:rPr>
                <w:rFonts w:hint="eastAsia"/>
                <w:kern w:val="2"/>
                <w:szCs w:val="22"/>
              </w:rPr>
            </w:pPr>
            <w:r>
              <w:rPr>
                <w:rFonts w:hint="eastAsia"/>
                <w:kern w:val="2"/>
                <w:szCs w:val="22"/>
              </w:rPr>
              <w:t>370.4</w:t>
            </w:r>
          </w:p>
        </w:tc>
        <w:tc>
          <w:tcPr>
            <w:tcW w:w="1859" w:type="pct"/>
            <w:shd w:val="clear" w:color="auto" w:fill="auto"/>
            <w:vAlign w:val="center"/>
          </w:tcPr>
          <w:p>
            <w:pPr>
              <w:pStyle w:val="62"/>
              <w:keepNext w:val="0"/>
              <w:keepLines w:val="0"/>
              <w:suppressLineNumbers w:val="0"/>
              <w:spacing w:before="0" w:beforeAutospacing="0" w:after="0" w:afterAutospacing="0" w:line="288" w:lineRule="auto"/>
              <w:ind w:left="0" w:right="0"/>
              <w:rPr>
                <w:rFonts w:hint="eastAsia"/>
                <w:kern w:val="2"/>
                <w:szCs w:val="22"/>
              </w:rPr>
            </w:pPr>
            <w:r>
              <w:rPr>
                <w:rFonts w:hint="eastAsia"/>
                <w:kern w:val="2"/>
                <w:szCs w:val="22"/>
              </w:rPr>
              <w:t>主井工业广场西北侧水井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729" w:type="pct"/>
            <w:shd w:val="clear" w:color="auto" w:fill="auto"/>
            <w:vAlign w:val="center"/>
          </w:tcPr>
          <w:p>
            <w:pPr>
              <w:pStyle w:val="62"/>
              <w:keepNext w:val="0"/>
              <w:keepLines w:val="0"/>
              <w:suppressLineNumbers w:val="0"/>
              <w:spacing w:before="0" w:beforeAutospacing="0" w:after="0" w:afterAutospacing="0" w:line="288" w:lineRule="auto"/>
              <w:ind w:left="0" w:right="0"/>
              <w:rPr>
                <w:rFonts w:hint="eastAsia"/>
                <w:kern w:val="2"/>
                <w:szCs w:val="22"/>
              </w:rPr>
            </w:pPr>
            <w:r>
              <w:rPr>
                <w:rFonts w:hint="eastAsia"/>
                <w:kern w:val="2"/>
                <w:szCs w:val="22"/>
              </w:rPr>
              <w:t>S3</w:t>
            </w:r>
          </w:p>
        </w:tc>
        <w:tc>
          <w:tcPr>
            <w:tcW w:w="1680" w:type="pct"/>
            <w:shd w:val="clear" w:color="auto" w:fill="auto"/>
            <w:vAlign w:val="center"/>
          </w:tcPr>
          <w:p>
            <w:pPr>
              <w:pStyle w:val="62"/>
              <w:keepNext w:val="0"/>
              <w:keepLines w:val="0"/>
              <w:suppressLineNumbers w:val="0"/>
              <w:spacing w:before="0" w:beforeAutospacing="0" w:after="0" w:afterAutospacing="0" w:line="288" w:lineRule="auto"/>
              <w:ind w:left="0" w:right="0"/>
              <w:rPr>
                <w:rFonts w:hint="eastAsia"/>
                <w:kern w:val="2"/>
                <w:szCs w:val="22"/>
              </w:rPr>
            </w:pPr>
            <w:r>
              <w:rPr>
                <w:rFonts w:hint="eastAsia"/>
                <w:kern w:val="2"/>
                <w:szCs w:val="22"/>
              </w:rPr>
              <w:t>107.730914350，31.200571590</w:t>
            </w:r>
          </w:p>
        </w:tc>
        <w:tc>
          <w:tcPr>
            <w:tcW w:w="732" w:type="pct"/>
            <w:shd w:val="clear" w:color="auto" w:fill="auto"/>
            <w:vAlign w:val="center"/>
          </w:tcPr>
          <w:p>
            <w:pPr>
              <w:pStyle w:val="62"/>
              <w:keepNext w:val="0"/>
              <w:keepLines w:val="0"/>
              <w:suppressLineNumbers w:val="0"/>
              <w:spacing w:before="0" w:beforeAutospacing="0" w:after="0" w:afterAutospacing="0" w:line="288" w:lineRule="auto"/>
              <w:ind w:left="0" w:right="0"/>
              <w:rPr>
                <w:rFonts w:hint="eastAsia"/>
                <w:kern w:val="2"/>
                <w:szCs w:val="22"/>
              </w:rPr>
            </w:pPr>
            <w:r>
              <w:rPr>
                <w:rFonts w:hint="eastAsia"/>
                <w:kern w:val="2"/>
                <w:szCs w:val="22"/>
              </w:rPr>
              <w:t>342.1</w:t>
            </w:r>
          </w:p>
        </w:tc>
        <w:tc>
          <w:tcPr>
            <w:tcW w:w="1859" w:type="pct"/>
            <w:shd w:val="clear" w:color="auto" w:fill="auto"/>
            <w:vAlign w:val="center"/>
          </w:tcPr>
          <w:p>
            <w:pPr>
              <w:pStyle w:val="62"/>
              <w:keepNext w:val="0"/>
              <w:keepLines w:val="0"/>
              <w:suppressLineNumbers w:val="0"/>
              <w:spacing w:before="0" w:beforeAutospacing="0" w:after="0" w:afterAutospacing="0" w:line="288" w:lineRule="auto"/>
              <w:ind w:left="0" w:right="0"/>
              <w:rPr>
                <w:rFonts w:hint="eastAsia"/>
                <w:kern w:val="2"/>
                <w:szCs w:val="22"/>
              </w:rPr>
            </w:pPr>
            <w:r>
              <w:rPr>
                <w:rFonts w:hint="eastAsia"/>
                <w:kern w:val="2"/>
                <w:szCs w:val="22"/>
              </w:rPr>
              <w:t>工业广场外西北侧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729" w:type="pct"/>
            <w:shd w:val="clear" w:color="auto" w:fill="auto"/>
            <w:vAlign w:val="center"/>
          </w:tcPr>
          <w:p>
            <w:pPr>
              <w:pStyle w:val="62"/>
              <w:keepNext w:val="0"/>
              <w:keepLines w:val="0"/>
              <w:suppressLineNumbers w:val="0"/>
              <w:spacing w:before="0" w:beforeAutospacing="0" w:after="0" w:afterAutospacing="0" w:line="288" w:lineRule="auto"/>
              <w:ind w:left="0" w:right="0"/>
              <w:rPr>
                <w:rFonts w:hint="eastAsia"/>
                <w:kern w:val="2"/>
                <w:szCs w:val="22"/>
              </w:rPr>
            </w:pPr>
            <w:r>
              <w:rPr>
                <w:rFonts w:hint="eastAsia"/>
                <w:kern w:val="2"/>
                <w:szCs w:val="22"/>
              </w:rPr>
              <w:t>S4</w:t>
            </w:r>
          </w:p>
        </w:tc>
        <w:tc>
          <w:tcPr>
            <w:tcW w:w="1680" w:type="pct"/>
            <w:shd w:val="clear" w:color="auto" w:fill="auto"/>
            <w:vAlign w:val="center"/>
          </w:tcPr>
          <w:p>
            <w:pPr>
              <w:pStyle w:val="62"/>
              <w:keepNext w:val="0"/>
              <w:keepLines w:val="0"/>
              <w:suppressLineNumbers w:val="0"/>
              <w:spacing w:before="0" w:beforeAutospacing="0" w:after="0" w:afterAutospacing="0" w:line="288" w:lineRule="auto"/>
              <w:ind w:left="0" w:right="0"/>
              <w:rPr>
                <w:rFonts w:hint="eastAsia"/>
                <w:kern w:val="2"/>
                <w:szCs w:val="22"/>
              </w:rPr>
            </w:pPr>
            <w:r>
              <w:rPr>
                <w:rFonts w:hint="eastAsia"/>
                <w:kern w:val="2"/>
                <w:szCs w:val="22"/>
              </w:rPr>
              <w:t>107.732137440，31.198518210</w:t>
            </w:r>
          </w:p>
        </w:tc>
        <w:tc>
          <w:tcPr>
            <w:tcW w:w="732" w:type="pct"/>
            <w:shd w:val="clear" w:color="auto" w:fill="auto"/>
            <w:vAlign w:val="center"/>
          </w:tcPr>
          <w:p>
            <w:pPr>
              <w:pStyle w:val="62"/>
              <w:keepNext w:val="0"/>
              <w:keepLines w:val="0"/>
              <w:suppressLineNumbers w:val="0"/>
              <w:spacing w:before="0" w:beforeAutospacing="0" w:after="0" w:afterAutospacing="0" w:line="288" w:lineRule="auto"/>
              <w:ind w:left="0" w:right="0"/>
              <w:rPr>
                <w:rFonts w:hint="eastAsia"/>
                <w:kern w:val="2"/>
                <w:szCs w:val="22"/>
              </w:rPr>
            </w:pPr>
            <w:r>
              <w:rPr>
                <w:rFonts w:hint="eastAsia"/>
                <w:kern w:val="2"/>
                <w:szCs w:val="22"/>
              </w:rPr>
              <w:t>375.1</w:t>
            </w:r>
          </w:p>
        </w:tc>
        <w:tc>
          <w:tcPr>
            <w:tcW w:w="1859" w:type="pct"/>
            <w:shd w:val="clear" w:color="auto" w:fill="auto"/>
            <w:vAlign w:val="center"/>
          </w:tcPr>
          <w:p>
            <w:pPr>
              <w:pStyle w:val="62"/>
              <w:keepNext w:val="0"/>
              <w:keepLines w:val="0"/>
              <w:suppressLineNumbers w:val="0"/>
              <w:spacing w:before="0" w:beforeAutospacing="0" w:after="0" w:afterAutospacing="0" w:line="288" w:lineRule="auto"/>
              <w:ind w:left="0" w:right="0"/>
              <w:rPr>
                <w:rFonts w:hint="eastAsia"/>
                <w:kern w:val="2"/>
                <w:szCs w:val="22"/>
              </w:rPr>
            </w:pPr>
            <w:r>
              <w:rPr>
                <w:rFonts w:hint="eastAsia"/>
                <w:kern w:val="2"/>
                <w:szCs w:val="22"/>
              </w:rPr>
              <w:t>工业广场外西侧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29" w:type="pct"/>
            <w:shd w:val="clear" w:color="auto" w:fill="auto"/>
            <w:vAlign w:val="center"/>
          </w:tcPr>
          <w:p>
            <w:pPr>
              <w:pStyle w:val="62"/>
              <w:keepNext w:val="0"/>
              <w:keepLines w:val="0"/>
              <w:suppressLineNumbers w:val="0"/>
              <w:spacing w:before="0" w:beforeAutospacing="0" w:after="0" w:afterAutospacing="0" w:line="288" w:lineRule="auto"/>
              <w:ind w:left="0" w:right="0"/>
              <w:rPr>
                <w:rFonts w:hint="eastAsia"/>
                <w:kern w:val="2"/>
                <w:szCs w:val="22"/>
              </w:rPr>
            </w:pPr>
            <w:r>
              <w:rPr>
                <w:rFonts w:hint="eastAsia"/>
                <w:kern w:val="2"/>
                <w:szCs w:val="22"/>
              </w:rPr>
              <w:t>S5</w:t>
            </w:r>
          </w:p>
        </w:tc>
        <w:tc>
          <w:tcPr>
            <w:tcW w:w="1680" w:type="pct"/>
            <w:shd w:val="clear" w:color="auto" w:fill="auto"/>
            <w:vAlign w:val="center"/>
          </w:tcPr>
          <w:p>
            <w:pPr>
              <w:pStyle w:val="62"/>
              <w:keepNext w:val="0"/>
              <w:keepLines w:val="0"/>
              <w:suppressLineNumbers w:val="0"/>
              <w:spacing w:before="0" w:beforeAutospacing="0" w:after="0" w:afterAutospacing="0" w:line="288" w:lineRule="auto"/>
              <w:ind w:left="0" w:right="0"/>
              <w:rPr>
                <w:rFonts w:hint="eastAsia"/>
                <w:kern w:val="2"/>
                <w:szCs w:val="22"/>
              </w:rPr>
            </w:pPr>
            <w:r>
              <w:rPr>
                <w:rFonts w:hint="eastAsia"/>
                <w:kern w:val="2"/>
                <w:szCs w:val="22"/>
              </w:rPr>
              <w:t>107.732234000，31.194035040</w:t>
            </w:r>
          </w:p>
        </w:tc>
        <w:tc>
          <w:tcPr>
            <w:tcW w:w="732" w:type="pct"/>
            <w:shd w:val="clear" w:color="auto" w:fill="auto"/>
            <w:vAlign w:val="center"/>
          </w:tcPr>
          <w:p>
            <w:pPr>
              <w:pStyle w:val="62"/>
              <w:keepNext w:val="0"/>
              <w:keepLines w:val="0"/>
              <w:suppressLineNumbers w:val="0"/>
              <w:spacing w:before="0" w:beforeAutospacing="0" w:after="0" w:afterAutospacing="0" w:line="288" w:lineRule="auto"/>
              <w:ind w:left="0" w:right="0"/>
              <w:rPr>
                <w:rFonts w:hint="eastAsia"/>
                <w:kern w:val="2"/>
                <w:szCs w:val="22"/>
              </w:rPr>
            </w:pPr>
            <w:r>
              <w:rPr>
                <w:rFonts w:hint="eastAsia"/>
                <w:kern w:val="2"/>
                <w:szCs w:val="22"/>
              </w:rPr>
              <w:t>395.7</w:t>
            </w:r>
          </w:p>
        </w:tc>
        <w:tc>
          <w:tcPr>
            <w:tcW w:w="1859" w:type="pct"/>
            <w:shd w:val="clear" w:color="auto" w:fill="auto"/>
            <w:vAlign w:val="center"/>
          </w:tcPr>
          <w:p>
            <w:pPr>
              <w:pStyle w:val="62"/>
              <w:keepNext w:val="0"/>
              <w:keepLines w:val="0"/>
              <w:suppressLineNumbers w:val="0"/>
              <w:spacing w:before="0" w:beforeAutospacing="0" w:after="0" w:afterAutospacing="0" w:line="288" w:lineRule="auto"/>
              <w:ind w:left="0" w:right="0"/>
              <w:rPr>
                <w:rFonts w:hint="eastAsia"/>
                <w:kern w:val="2"/>
                <w:szCs w:val="22"/>
              </w:rPr>
            </w:pPr>
            <w:r>
              <w:rPr>
                <w:rFonts w:hint="eastAsia"/>
                <w:kern w:val="2"/>
                <w:szCs w:val="22"/>
              </w:rPr>
              <w:t>工业广场外南侧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729" w:type="pct"/>
            <w:shd w:val="clear" w:color="auto" w:fill="auto"/>
            <w:vAlign w:val="center"/>
          </w:tcPr>
          <w:p>
            <w:pPr>
              <w:pStyle w:val="62"/>
              <w:keepNext w:val="0"/>
              <w:keepLines w:val="0"/>
              <w:suppressLineNumbers w:val="0"/>
              <w:spacing w:before="0" w:beforeAutospacing="0" w:after="0" w:afterAutospacing="0" w:line="288" w:lineRule="auto"/>
              <w:ind w:left="0" w:right="0"/>
              <w:rPr>
                <w:rFonts w:hint="eastAsia"/>
                <w:kern w:val="2"/>
                <w:szCs w:val="22"/>
              </w:rPr>
            </w:pPr>
            <w:r>
              <w:rPr>
                <w:rFonts w:hint="eastAsia"/>
                <w:kern w:val="2"/>
                <w:szCs w:val="22"/>
              </w:rPr>
              <w:t>S6</w:t>
            </w:r>
          </w:p>
        </w:tc>
        <w:tc>
          <w:tcPr>
            <w:tcW w:w="1680" w:type="pct"/>
            <w:shd w:val="clear" w:color="auto" w:fill="auto"/>
            <w:vAlign w:val="center"/>
          </w:tcPr>
          <w:p>
            <w:pPr>
              <w:pStyle w:val="62"/>
              <w:keepNext w:val="0"/>
              <w:keepLines w:val="0"/>
              <w:suppressLineNumbers w:val="0"/>
              <w:spacing w:before="0" w:beforeAutospacing="0" w:after="0" w:afterAutospacing="0" w:line="288" w:lineRule="auto"/>
              <w:ind w:left="0" w:right="0"/>
              <w:rPr>
                <w:rFonts w:hint="eastAsia"/>
                <w:kern w:val="2"/>
                <w:szCs w:val="22"/>
              </w:rPr>
            </w:pPr>
            <w:r>
              <w:rPr>
                <w:rFonts w:hint="eastAsia"/>
                <w:kern w:val="2"/>
                <w:szCs w:val="22"/>
              </w:rPr>
              <w:t>107.732234000，31.194035040</w:t>
            </w:r>
          </w:p>
        </w:tc>
        <w:tc>
          <w:tcPr>
            <w:tcW w:w="732" w:type="pct"/>
            <w:shd w:val="clear" w:color="auto" w:fill="auto"/>
            <w:vAlign w:val="center"/>
          </w:tcPr>
          <w:p>
            <w:pPr>
              <w:pStyle w:val="62"/>
              <w:keepNext w:val="0"/>
              <w:keepLines w:val="0"/>
              <w:suppressLineNumbers w:val="0"/>
              <w:spacing w:before="0" w:beforeAutospacing="0" w:after="0" w:afterAutospacing="0" w:line="288" w:lineRule="auto"/>
              <w:ind w:left="0" w:right="0"/>
              <w:rPr>
                <w:rFonts w:hint="eastAsia"/>
                <w:kern w:val="2"/>
                <w:szCs w:val="22"/>
              </w:rPr>
            </w:pPr>
            <w:r>
              <w:rPr>
                <w:rFonts w:hint="eastAsia"/>
                <w:kern w:val="2"/>
                <w:szCs w:val="22"/>
              </w:rPr>
              <w:t>422.1</w:t>
            </w:r>
          </w:p>
        </w:tc>
        <w:tc>
          <w:tcPr>
            <w:tcW w:w="1859" w:type="pct"/>
            <w:shd w:val="clear" w:color="auto" w:fill="auto"/>
            <w:vAlign w:val="center"/>
          </w:tcPr>
          <w:p>
            <w:pPr>
              <w:pStyle w:val="62"/>
              <w:keepNext w:val="0"/>
              <w:keepLines w:val="0"/>
              <w:suppressLineNumbers w:val="0"/>
              <w:spacing w:before="0" w:beforeAutospacing="0" w:after="0" w:afterAutospacing="0" w:line="288" w:lineRule="auto"/>
              <w:ind w:left="0" w:right="0"/>
              <w:rPr>
                <w:rFonts w:hint="eastAsia"/>
                <w:kern w:val="2"/>
                <w:szCs w:val="22"/>
              </w:rPr>
            </w:pPr>
            <w:r>
              <w:rPr>
                <w:rFonts w:hint="eastAsia"/>
                <w:kern w:val="2"/>
                <w:szCs w:val="22"/>
              </w:rPr>
              <w:t>矿区范围外陈家大院子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729" w:type="pct"/>
            <w:shd w:val="clear" w:color="auto" w:fill="auto"/>
            <w:vAlign w:val="center"/>
          </w:tcPr>
          <w:p>
            <w:pPr>
              <w:pStyle w:val="62"/>
              <w:keepNext w:val="0"/>
              <w:keepLines w:val="0"/>
              <w:suppressLineNumbers w:val="0"/>
              <w:spacing w:before="0" w:beforeAutospacing="0" w:after="0" w:afterAutospacing="0" w:line="288" w:lineRule="auto"/>
              <w:ind w:left="0" w:right="0"/>
              <w:rPr>
                <w:rFonts w:hint="eastAsia"/>
                <w:kern w:val="2"/>
                <w:szCs w:val="22"/>
              </w:rPr>
            </w:pPr>
            <w:r>
              <w:rPr>
                <w:rFonts w:hint="eastAsia"/>
                <w:kern w:val="2"/>
                <w:szCs w:val="22"/>
              </w:rPr>
              <w:t>S7</w:t>
            </w:r>
          </w:p>
        </w:tc>
        <w:tc>
          <w:tcPr>
            <w:tcW w:w="1680" w:type="pct"/>
            <w:shd w:val="clear" w:color="auto" w:fill="auto"/>
            <w:vAlign w:val="center"/>
          </w:tcPr>
          <w:p>
            <w:pPr>
              <w:pStyle w:val="62"/>
              <w:keepNext w:val="0"/>
              <w:keepLines w:val="0"/>
              <w:suppressLineNumbers w:val="0"/>
              <w:spacing w:before="0" w:beforeAutospacing="0" w:after="0" w:afterAutospacing="0" w:line="288" w:lineRule="auto"/>
              <w:ind w:left="0" w:right="0"/>
              <w:rPr>
                <w:rFonts w:hint="eastAsia"/>
                <w:kern w:val="2"/>
                <w:szCs w:val="22"/>
              </w:rPr>
            </w:pPr>
            <w:r>
              <w:rPr>
                <w:rFonts w:hint="eastAsia"/>
                <w:kern w:val="2"/>
                <w:szCs w:val="22"/>
              </w:rPr>
              <w:t>107.764205930，31.192254560</w:t>
            </w:r>
          </w:p>
        </w:tc>
        <w:tc>
          <w:tcPr>
            <w:tcW w:w="732" w:type="pct"/>
            <w:shd w:val="clear" w:color="auto" w:fill="auto"/>
            <w:vAlign w:val="center"/>
          </w:tcPr>
          <w:p>
            <w:pPr>
              <w:pStyle w:val="62"/>
              <w:keepNext w:val="0"/>
              <w:keepLines w:val="0"/>
              <w:suppressLineNumbers w:val="0"/>
              <w:spacing w:before="0" w:beforeAutospacing="0" w:after="0" w:afterAutospacing="0" w:line="288" w:lineRule="auto"/>
              <w:ind w:left="0" w:right="0"/>
              <w:rPr>
                <w:rFonts w:hint="eastAsia"/>
                <w:kern w:val="2"/>
                <w:szCs w:val="22"/>
              </w:rPr>
            </w:pPr>
            <w:r>
              <w:rPr>
                <w:rFonts w:hint="eastAsia"/>
                <w:kern w:val="2"/>
                <w:szCs w:val="22"/>
              </w:rPr>
              <w:t>412.7</w:t>
            </w:r>
          </w:p>
        </w:tc>
        <w:tc>
          <w:tcPr>
            <w:tcW w:w="1859" w:type="pct"/>
            <w:shd w:val="clear" w:color="auto" w:fill="auto"/>
            <w:vAlign w:val="center"/>
          </w:tcPr>
          <w:p>
            <w:pPr>
              <w:pStyle w:val="62"/>
              <w:keepNext w:val="0"/>
              <w:keepLines w:val="0"/>
              <w:suppressLineNumbers w:val="0"/>
              <w:spacing w:before="0" w:beforeAutospacing="0" w:after="0" w:afterAutospacing="0" w:line="288" w:lineRule="auto"/>
              <w:ind w:left="0" w:right="0"/>
              <w:rPr>
                <w:rFonts w:hint="eastAsia"/>
                <w:kern w:val="2"/>
                <w:szCs w:val="22"/>
              </w:rPr>
            </w:pPr>
            <w:r>
              <w:rPr>
                <w:rFonts w:hint="eastAsia"/>
                <w:kern w:val="2"/>
                <w:szCs w:val="22"/>
              </w:rPr>
              <w:t>矿区范围外肖家院子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729" w:type="pct"/>
            <w:shd w:val="clear" w:color="auto" w:fill="auto"/>
            <w:vAlign w:val="center"/>
          </w:tcPr>
          <w:p>
            <w:pPr>
              <w:pStyle w:val="62"/>
              <w:keepNext w:val="0"/>
              <w:keepLines w:val="0"/>
              <w:suppressLineNumbers w:val="0"/>
              <w:spacing w:before="0" w:beforeAutospacing="0" w:after="0" w:afterAutospacing="0" w:line="288" w:lineRule="auto"/>
              <w:ind w:left="0" w:right="0"/>
              <w:rPr>
                <w:rFonts w:hint="eastAsia"/>
                <w:kern w:val="2"/>
                <w:szCs w:val="22"/>
              </w:rPr>
            </w:pPr>
            <w:r>
              <w:rPr>
                <w:rFonts w:hint="eastAsia"/>
                <w:kern w:val="2"/>
                <w:szCs w:val="22"/>
              </w:rPr>
              <w:t>S8</w:t>
            </w:r>
          </w:p>
        </w:tc>
        <w:tc>
          <w:tcPr>
            <w:tcW w:w="1680" w:type="pct"/>
            <w:shd w:val="clear" w:color="auto" w:fill="auto"/>
            <w:vAlign w:val="center"/>
          </w:tcPr>
          <w:p>
            <w:pPr>
              <w:pStyle w:val="62"/>
              <w:keepNext w:val="0"/>
              <w:keepLines w:val="0"/>
              <w:suppressLineNumbers w:val="0"/>
              <w:spacing w:before="0" w:beforeAutospacing="0" w:after="0" w:afterAutospacing="0" w:line="288" w:lineRule="auto"/>
              <w:ind w:left="0" w:right="0"/>
              <w:rPr>
                <w:rFonts w:hint="eastAsia"/>
                <w:kern w:val="2"/>
                <w:szCs w:val="22"/>
              </w:rPr>
            </w:pPr>
            <w:r>
              <w:rPr>
                <w:rFonts w:hint="eastAsia"/>
                <w:kern w:val="2"/>
                <w:szCs w:val="22"/>
              </w:rPr>
              <w:t>107.751009460，31.185196560</w:t>
            </w:r>
          </w:p>
        </w:tc>
        <w:tc>
          <w:tcPr>
            <w:tcW w:w="732" w:type="pct"/>
            <w:shd w:val="clear" w:color="auto" w:fill="auto"/>
            <w:vAlign w:val="center"/>
          </w:tcPr>
          <w:p>
            <w:pPr>
              <w:pStyle w:val="62"/>
              <w:keepNext w:val="0"/>
              <w:keepLines w:val="0"/>
              <w:suppressLineNumbers w:val="0"/>
              <w:spacing w:before="0" w:beforeAutospacing="0" w:after="0" w:afterAutospacing="0" w:line="288" w:lineRule="auto"/>
              <w:ind w:left="0" w:right="0"/>
              <w:rPr>
                <w:rFonts w:hint="eastAsia"/>
                <w:kern w:val="2"/>
                <w:szCs w:val="22"/>
              </w:rPr>
            </w:pPr>
            <w:r>
              <w:rPr>
                <w:rFonts w:hint="eastAsia"/>
                <w:kern w:val="2"/>
                <w:szCs w:val="22"/>
              </w:rPr>
              <w:t>415.3</w:t>
            </w:r>
          </w:p>
        </w:tc>
        <w:tc>
          <w:tcPr>
            <w:tcW w:w="1859" w:type="pct"/>
            <w:shd w:val="clear" w:color="auto" w:fill="auto"/>
            <w:vAlign w:val="center"/>
          </w:tcPr>
          <w:p>
            <w:pPr>
              <w:pStyle w:val="62"/>
              <w:keepNext w:val="0"/>
              <w:keepLines w:val="0"/>
              <w:suppressLineNumbers w:val="0"/>
              <w:spacing w:before="0" w:beforeAutospacing="0" w:after="0" w:afterAutospacing="0" w:line="288" w:lineRule="auto"/>
              <w:ind w:left="0" w:right="0"/>
              <w:rPr>
                <w:rFonts w:hint="eastAsia"/>
                <w:kern w:val="2"/>
                <w:szCs w:val="22"/>
              </w:rPr>
            </w:pPr>
            <w:r>
              <w:rPr>
                <w:rFonts w:hint="eastAsia"/>
                <w:kern w:val="2"/>
                <w:szCs w:val="22"/>
              </w:rPr>
              <w:t>矿区范围外凼里头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729" w:type="pct"/>
            <w:shd w:val="clear" w:color="auto" w:fill="auto"/>
            <w:vAlign w:val="center"/>
          </w:tcPr>
          <w:p>
            <w:pPr>
              <w:pStyle w:val="62"/>
              <w:keepNext w:val="0"/>
              <w:keepLines w:val="0"/>
              <w:suppressLineNumbers w:val="0"/>
              <w:spacing w:before="0" w:beforeAutospacing="0" w:after="0" w:afterAutospacing="0" w:line="288" w:lineRule="auto"/>
              <w:ind w:left="0" w:right="0"/>
              <w:rPr>
                <w:rFonts w:hint="eastAsia"/>
                <w:kern w:val="2"/>
                <w:szCs w:val="22"/>
              </w:rPr>
            </w:pPr>
            <w:r>
              <w:rPr>
                <w:rFonts w:hint="eastAsia"/>
                <w:kern w:val="2"/>
                <w:szCs w:val="22"/>
              </w:rPr>
              <w:t>S9</w:t>
            </w:r>
          </w:p>
        </w:tc>
        <w:tc>
          <w:tcPr>
            <w:tcW w:w="1680" w:type="pct"/>
            <w:shd w:val="clear" w:color="auto" w:fill="auto"/>
            <w:vAlign w:val="center"/>
          </w:tcPr>
          <w:p>
            <w:pPr>
              <w:pStyle w:val="62"/>
              <w:keepNext w:val="0"/>
              <w:keepLines w:val="0"/>
              <w:suppressLineNumbers w:val="0"/>
              <w:spacing w:before="0" w:beforeAutospacing="0" w:after="0" w:afterAutospacing="0" w:line="288" w:lineRule="auto"/>
              <w:ind w:left="0" w:right="0"/>
              <w:rPr>
                <w:rFonts w:hint="eastAsia"/>
                <w:kern w:val="2"/>
                <w:szCs w:val="22"/>
              </w:rPr>
            </w:pPr>
            <w:r>
              <w:rPr>
                <w:rFonts w:hint="eastAsia"/>
                <w:kern w:val="2"/>
                <w:szCs w:val="22"/>
              </w:rPr>
              <w:t>107.751631740，31.177412870</w:t>
            </w:r>
          </w:p>
        </w:tc>
        <w:tc>
          <w:tcPr>
            <w:tcW w:w="732" w:type="pct"/>
            <w:shd w:val="clear" w:color="auto" w:fill="auto"/>
            <w:vAlign w:val="center"/>
          </w:tcPr>
          <w:p>
            <w:pPr>
              <w:pStyle w:val="62"/>
              <w:keepNext w:val="0"/>
              <w:keepLines w:val="0"/>
              <w:suppressLineNumbers w:val="0"/>
              <w:spacing w:before="0" w:beforeAutospacing="0" w:after="0" w:afterAutospacing="0" w:line="288" w:lineRule="auto"/>
              <w:ind w:left="0" w:right="0"/>
              <w:rPr>
                <w:rFonts w:hint="eastAsia"/>
                <w:kern w:val="2"/>
                <w:szCs w:val="22"/>
              </w:rPr>
            </w:pPr>
            <w:r>
              <w:rPr>
                <w:rFonts w:hint="eastAsia"/>
                <w:kern w:val="2"/>
                <w:szCs w:val="22"/>
              </w:rPr>
              <w:t>393.7</w:t>
            </w:r>
          </w:p>
        </w:tc>
        <w:tc>
          <w:tcPr>
            <w:tcW w:w="1859" w:type="pct"/>
            <w:shd w:val="clear" w:color="auto" w:fill="auto"/>
            <w:vAlign w:val="center"/>
          </w:tcPr>
          <w:p>
            <w:pPr>
              <w:pStyle w:val="62"/>
              <w:keepNext w:val="0"/>
              <w:keepLines w:val="0"/>
              <w:suppressLineNumbers w:val="0"/>
              <w:spacing w:before="0" w:beforeAutospacing="0" w:after="0" w:afterAutospacing="0" w:line="288" w:lineRule="auto"/>
              <w:ind w:left="0" w:right="0"/>
              <w:rPr>
                <w:rFonts w:hint="eastAsia"/>
                <w:kern w:val="2"/>
                <w:szCs w:val="22"/>
              </w:rPr>
            </w:pPr>
            <w:r>
              <w:rPr>
                <w:rFonts w:hint="eastAsia"/>
                <w:kern w:val="2"/>
                <w:szCs w:val="22"/>
              </w:rPr>
              <w:t>矿区范围外毛家老屋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729" w:type="pct"/>
            <w:shd w:val="clear" w:color="auto" w:fill="auto"/>
            <w:vAlign w:val="center"/>
          </w:tcPr>
          <w:p>
            <w:pPr>
              <w:pStyle w:val="62"/>
              <w:keepNext w:val="0"/>
              <w:keepLines w:val="0"/>
              <w:suppressLineNumbers w:val="0"/>
              <w:spacing w:before="0" w:beforeAutospacing="0" w:after="0" w:afterAutospacing="0" w:line="288" w:lineRule="auto"/>
              <w:ind w:left="0" w:right="0"/>
              <w:rPr>
                <w:rFonts w:hint="eastAsia"/>
                <w:kern w:val="2"/>
                <w:szCs w:val="22"/>
              </w:rPr>
            </w:pPr>
            <w:r>
              <w:rPr>
                <w:rFonts w:hint="eastAsia"/>
                <w:kern w:val="2"/>
                <w:szCs w:val="22"/>
              </w:rPr>
              <w:t>S10</w:t>
            </w:r>
          </w:p>
        </w:tc>
        <w:tc>
          <w:tcPr>
            <w:tcW w:w="1680" w:type="pct"/>
            <w:shd w:val="clear" w:color="auto" w:fill="auto"/>
            <w:vAlign w:val="center"/>
          </w:tcPr>
          <w:p>
            <w:pPr>
              <w:pStyle w:val="62"/>
              <w:keepNext w:val="0"/>
              <w:keepLines w:val="0"/>
              <w:suppressLineNumbers w:val="0"/>
              <w:spacing w:before="0" w:beforeAutospacing="0" w:after="0" w:afterAutospacing="0" w:line="288" w:lineRule="auto"/>
              <w:ind w:left="0" w:right="0"/>
              <w:rPr>
                <w:rFonts w:hint="eastAsia"/>
                <w:kern w:val="2"/>
                <w:szCs w:val="22"/>
              </w:rPr>
            </w:pPr>
            <w:r>
              <w:rPr>
                <w:rFonts w:hint="eastAsia"/>
                <w:kern w:val="2"/>
                <w:szCs w:val="22"/>
              </w:rPr>
              <w:t>107.750086780，31.162284260</w:t>
            </w:r>
          </w:p>
        </w:tc>
        <w:tc>
          <w:tcPr>
            <w:tcW w:w="732" w:type="pct"/>
            <w:shd w:val="clear" w:color="auto" w:fill="auto"/>
            <w:vAlign w:val="center"/>
          </w:tcPr>
          <w:p>
            <w:pPr>
              <w:pStyle w:val="62"/>
              <w:keepNext w:val="0"/>
              <w:keepLines w:val="0"/>
              <w:suppressLineNumbers w:val="0"/>
              <w:spacing w:before="0" w:beforeAutospacing="0" w:after="0" w:afterAutospacing="0" w:line="288" w:lineRule="auto"/>
              <w:ind w:left="0" w:right="0"/>
              <w:rPr>
                <w:rFonts w:hint="eastAsia"/>
                <w:kern w:val="2"/>
                <w:szCs w:val="22"/>
              </w:rPr>
            </w:pPr>
            <w:r>
              <w:rPr>
                <w:rFonts w:hint="eastAsia"/>
                <w:kern w:val="2"/>
                <w:szCs w:val="22"/>
              </w:rPr>
              <w:t>401.4</w:t>
            </w:r>
          </w:p>
        </w:tc>
        <w:tc>
          <w:tcPr>
            <w:tcW w:w="1859" w:type="pct"/>
            <w:shd w:val="clear" w:color="auto" w:fill="auto"/>
            <w:vAlign w:val="center"/>
          </w:tcPr>
          <w:p>
            <w:pPr>
              <w:pStyle w:val="62"/>
              <w:keepNext w:val="0"/>
              <w:keepLines w:val="0"/>
              <w:suppressLineNumbers w:val="0"/>
              <w:spacing w:before="0" w:beforeAutospacing="0" w:after="0" w:afterAutospacing="0" w:line="288" w:lineRule="auto"/>
              <w:ind w:left="0" w:right="0"/>
              <w:rPr>
                <w:rFonts w:hint="eastAsia"/>
                <w:kern w:val="2"/>
                <w:szCs w:val="22"/>
              </w:rPr>
            </w:pPr>
            <w:r>
              <w:rPr>
                <w:rFonts w:hint="eastAsia"/>
                <w:kern w:val="2"/>
                <w:szCs w:val="22"/>
              </w:rPr>
              <w:t>矿区范围外马家梁</w:t>
            </w:r>
          </w:p>
        </w:tc>
      </w:tr>
    </w:tbl>
    <w:p>
      <w:pPr>
        <w:pStyle w:val="14"/>
        <w:tabs>
          <w:tab w:val="left" w:pos="3718"/>
        </w:tabs>
        <w:overflowPunct w:val="0"/>
        <w:spacing w:line="360" w:lineRule="auto"/>
        <w:jc w:val="center"/>
        <w:rPr>
          <w:rFonts w:ascii="Times New Roman" w:hAnsi="Times New Roman"/>
          <w:b/>
          <w:bCs w:val="0"/>
          <w:spacing w:val="-2"/>
          <w:sz w:val="21"/>
          <w:szCs w:val="21"/>
        </w:rPr>
      </w:pPr>
    </w:p>
    <w:p>
      <w:pPr>
        <w:pStyle w:val="62"/>
        <w:rPr>
          <w:rFonts w:hAnsi="Times New Roman" w:eastAsia="宋体"/>
        </w:rPr>
      </w:pPr>
      <w:r>
        <w:rPr>
          <w:rFonts w:hint="eastAsia"/>
        </w:rPr>
        <w:drawing>
          <wp:inline distT="0" distB="0" distL="0" distR="0">
            <wp:extent cx="3840480" cy="4411980"/>
            <wp:effectExtent l="0" t="0" r="7620" b="7620"/>
            <wp:docPr id="159675330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753307" name="图片 2"/>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a:xfrm>
                      <a:off x="0" y="0"/>
                      <a:ext cx="3840480" cy="4411980"/>
                    </a:xfrm>
                    <a:prstGeom prst="rect">
                      <a:avLst/>
                    </a:prstGeom>
                    <a:noFill/>
                    <a:ln>
                      <a:noFill/>
                    </a:ln>
                  </pic:spPr>
                </pic:pic>
              </a:graphicData>
            </a:graphic>
          </wp:inline>
        </w:drawing>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图5.3-4  调查水位点分布图</w:t>
      </w:r>
    </w:p>
    <w:p>
      <w:pPr>
        <w:pStyle w:val="53"/>
        <w:ind w:firstLine="0" w:firstLineChars="0"/>
        <w:rPr>
          <w:rFonts w:eastAsia="宋体"/>
          <w:b/>
          <w:bCs/>
        </w:rPr>
      </w:pPr>
      <w:r>
        <w:rPr>
          <w:rFonts w:hint="eastAsia" w:eastAsia="宋体"/>
          <w:b/>
          <w:bCs/>
        </w:rPr>
        <w:t>5</w:t>
      </w:r>
      <w:r>
        <w:rPr>
          <w:rFonts w:eastAsia="宋体"/>
          <w:b/>
          <w:bCs/>
        </w:rPr>
        <w:t>.3.3.8</w:t>
      </w:r>
      <w:r>
        <w:rPr>
          <w:rFonts w:hint="eastAsia" w:eastAsia="宋体"/>
          <w:b/>
          <w:bCs/>
        </w:rPr>
        <w:t>地下水资源开发利用现状</w:t>
      </w:r>
    </w:p>
    <w:p>
      <w:pPr>
        <w:spacing w:line="360" w:lineRule="auto"/>
        <w:ind w:firstLine="480"/>
        <w:rPr>
          <w:rFonts w:hAnsi="Times New Roman" w:eastAsia="宋体"/>
          <w:szCs w:val="22"/>
        </w:rPr>
      </w:pPr>
      <w:r>
        <w:rPr>
          <w:rFonts w:hint="eastAsia" w:hAnsi="Times New Roman" w:eastAsia="宋体"/>
          <w:szCs w:val="22"/>
        </w:rPr>
        <w:t>根据现场调查访问，项目评价区周边无大型厂矿企业，没有大量开发利用地下水资源的必要性。项目场地周边的居民生活生产用水主要来源于</w:t>
      </w:r>
      <w:r>
        <w:rPr>
          <w:rFonts w:hAnsi="Times New Roman" w:eastAsia="宋体"/>
          <w:szCs w:val="22"/>
          <w:lang w:val="zh-CN"/>
        </w:rPr>
        <w:t>侏罗系中下统</w:t>
      </w:r>
      <w:r>
        <w:rPr>
          <w:rFonts w:hint="eastAsia" w:hAnsi="Times New Roman" w:eastAsia="宋体"/>
          <w:szCs w:val="22"/>
          <w:lang w:val="zh-CN"/>
        </w:rPr>
        <w:t>新田沟</w:t>
      </w:r>
      <w:r>
        <w:rPr>
          <w:rFonts w:hAnsi="Times New Roman" w:eastAsia="宋体"/>
          <w:szCs w:val="22"/>
          <w:lang w:val="zh-CN"/>
        </w:rPr>
        <w:t>组（</w:t>
      </w:r>
      <w:r>
        <w:rPr>
          <w:rFonts w:hAnsi="Times New Roman" w:eastAsia="宋体"/>
          <w:szCs w:val="22"/>
        </w:rPr>
        <w:t>J</w:t>
      </w:r>
      <w:r>
        <w:rPr>
          <w:rFonts w:hAnsi="Times New Roman" w:eastAsia="宋体"/>
          <w:szCs w:val="22"/>
          <w:vertAlign w:val="subscript"/>
        </w:rPr>
        <w:t>2</w:t>
      </w:r>
      <w:r>
        <w:rPr>
          <w:rFonts w:hint="eastAsia" w:hAnsi="Times New Roman" w:eastAsia="宋体"/>
          <w:szCs w:val="22"/>
        </w:rPr>
        <w:t>x</w:t>
      </w:r>
      <w:r>
        <w:rPr>
          <w:rFonts w:hAnsi="Times New Roman" w:eastAsia="宋体"/>
          <w:szCs w:val="22"/>
          <w:lang w:val="zh-CN"/>
        </w:rPr>
        <w:t>）</w:t>
      </w:r>
      <w:r>
        <w:rPr>
          <w:rFonts w:hint="eastAsia" w:hAnsi="Times New Roman" w:eastAsia="宋体"/>
          <w:szCs w:val="22"/>
          <w:lang w:val="zh-CN"/>
        </w:rPr>
        <w:t>、</w:t>
      </w:r>
      <w:r>
        <w:rPr>
          <w:rFonts w:hAnsi="Times New Roman" w:eastAsia="宋体"/>
          <w:szCs w:val="22"/>
        </w:rPr>
        <w:t>侏罗系中统</w:t>
      </w:r>
      <w:r>
        <w:rPr>
          <w:rFonts w:hint="eastAsia" w:hAnsi="Times New Roman" w:eastAsia="宋体"/>
          <w:szCs w:val="22"/>
        </w:rPr>
        <w:t>沙溪庙</w:t>
      </w:r>
      <w:r>
        <w:rPr>
          <w:rFonts w:hAnsi="Times New Roman" w:eastAsia="宋体"/>
          <w:szCs w:val="22"/>
        </w:rPr>
        <w:t>组（J</w:t>
      </w:r>
      <w:r>
        <w:rPr>
          <w:rFonts w:hAnsi="Times New Roman" w:eastAsia="宋体"/>
          <w:szCs w:val="22"/>
          <w:vertAlign w:val="subscript"/>
        </w:rPr>
        <w:t>2</w:t>
      </w:r>
      <w:r>
        <w:rPr>
          <w:rFonts w:hint="eastAsia" w:hAnsi="Times New Roman" w:eastAsia="宋体"/>
          <w:szCs w:val="22"/>
        </w:rPr>
        <w:t>s</w:t>
      </w:r>
      <w:r>
        <w:rPr>
          <w:rFonts w:hAnsi="Times New Roman" w:eastAsia="宋体"/>
          <w:szCs w:val="22"/>
        </w:rPr>
        <w:t>）</w:t>
      </w:r>
      <w:r>
        <w:rPr>
          <w:rFonts w:hint="eastAsia" w:hAnsi="Times New Roman" w:eastAsia="宋体"/>
          <w:szCs w:val="22"/>
        </w:rPr>
        <w:t>红层地下水，因此，评价区地下水资源开发利用较少。</w:t>
      </w:r>
    </w:p>
    <w:p>
      <w:pPr>
        <w:spacing w:line="360" w:lineRule="auto"/>
        <w:ind w:firstLine="480"/>
        <w:rPr>
          <w:rFonts w:hAnsi="Times New Roman" w:eastAsia="宋体"/>
          <w:szCs w:val="22"/>
        </w:rPr>
      </w:pPr>
      <w:r>
        <w:rPr>
          <w:rFonts w:hint="eastAsia" w:hAnsi="Times New Roman" w:eastAsia="宋体"/>
          <w:szCs w:val="22"/>
        </w:rPr>
        <w:t>根据现场调查，项目周边主要为煤矿、分散式居民点、林地和农田，调查范围外西侧区域纳入乡镇集中供水范围（七里峡王一庙水源地），分散式取水口位于项目区东侧区域。调查范围内居民饮用水主要来源于红层地下水（砂泥岩风化裂隙水，水量较小）。</w:t>
      </w:r>
    </w:p>
    <w:p>
      <w:pPr>
        <w:pStyle w:val="6"/>
        <w:rPr>
          <w:szCs w:val="22"/>
          <w:lang w:eastAsia="zh-CN"/>
        </w:rPr>
      </w:pPr>
      <w:bookmarkStart w:id="311" w:name="_Toc167095224"/>
      <w:bookmarkStart w:id="312" w:name="_Toc163812601"/>
      <w:r>
        <w:rPr>
          <w:rFonts w:hint="eastAsia"/>
          <w:szCs w:val="22"/>
          <w:lang w:eastAsia="zh-CN"/>
        </w:rPr>
        <w:t>5.3.4</w:t>
      </w:r>
      <w:r>
        <w:rPr>
          <w:szCs w:val="22"/>
          <w:lang w:eastAsia="zh-CN"/>
        </w:rPr>
        <w:t>地下水污染源调查</w:t>
      </w:r>
      <w:bookmarkEnd w:id="311"/>
      <w:bookmarkEnd w:id="312"/>
    </w:p>
    <w:p>
      <w:pPr>
        <w:spacing w:line="360" w:lineRule="auto"/>
        <w:ind w:firstLine="480"/>
        <w:rPr>
          <w:rFonts w:hAnsi="Times New Roman" w:eastAsia="宋体"/>
        </w:rPr>
      </w:pPr>
      <w:r>
        <w:rPr>
          <w:rFonts w:hAnsi="Times New Roman" w:eastAsia="宋体"/>
        </w:rPr>
        <w:t>按照地下水环境影响评价导则，针对本项目特征，本次调查包括：</w:t>
      </w:r>
    </w:p>
    <w:p>
      <w:pPr>
        <w:spacing w:line="360" w:lineRule="auto"/>
        <w:ind w:firstLine="480"/>
        <w:rPr>
          <w:rFonts w:hAnsi="Times New Roman" w:eastAsia="宋体"/>
        </w:rPr>
      </w:pPr>
      <w:r>
        <w:rPr>
          <w:rFonts w:hAnsi="Times New Roman" w:eastAsia="宋体"/>
        </w:rPr>
        <w:t>①原生水文地质问题调查；</w:t>
      </w:r>
    </w:p>
    <w:p>
      <w:pPr>
        <w:spacing w:line="360" w:lineRule="auto"/>
        <w:ind w:firstLine="480"/>
        <w:rPr>
          <w:rFonts w:hAnsi="Times New Roman" w:eastAsia="宋体"/>
        </w:rPr>
      </w:pPr>
      <w:r>
        <w:rPr>
          <w:rFonts w:hAnsi="Times New Roman" w:eastAsia="宋体"/>
        </w:rPr>
        <w:t>②地下水污染源分布及类型调查。</w:t>
      </w:r>
    </w:p>
    <w:p>
      <w:pPr>
        <w:spacing w:line="360" w:lineRule="auto"/>
        <w:ind w:firstLine="480"/>
        <w:rPr>
          <w:rFonts w:hAnsi="Times New Roman" w:eastAsia="宋体"/>
        </w:rPr>
      </w:pPr>
      <w:r>
        <w:rPr>
          <w:rFonts w:hAnsi="Times New Roman" w:eastAsia="宋体"/>
        </w:rPr>
        <w:t>（1）原生水文地质问题调查</w:t>
      </w:r>
    </w:p>
    <w:p>
      <w:pPr>
        <w:spacing w:line="360" w:lineRule="auto"/>
        <w:ind w:firstLine="480"/>
        <w:rPr>
          <w:rFonts w:hAnsi="Times New Roman" w:eastAsia="宋体"/>
        </w:rPr>
      </w:pPr>
      <w:r>
        <w:rPr>
          <w:rFonts w:hAnsi="Times New Roman" w:eastAsia="宋体"/>
        </w:rPr>
        <w:t>评价区内的含水层组富水性为中等偏弱，地下水储量不及岩溶地区且水位埋深较大。项目区内对地下水开发利用程度较弱，因此几乎不存在水文地质问题。</w:t>
      </w:r>
    </w:p>
    <w:p>
      <w:pPr>
        <w:spacing w:line="360" w:lineRule="auto"/>
        <w:ind w:firstLine="480"/>
        <w:rPr>
          <w:rFonts w:hAnsi="Times New Roman" w:eastAsia="宋体"/>
        </w:rPr>
      </w:pPr>
      <w:r>
        <w:rPr>
          <w:rFonts w:hAnsi="Times New Roman" w:eastAsia="宋体"/>
        </w:rPr>
        <w:t>根据前期水样分析结果表明：本项目评价区的裂隙含水层主要水化学类型为HCO</w:t>
      </w:r>
      <w:r>
        <w:rPr>
          <w:rFonts w:hAnsi="Times New Roman" w:eastAsia="宋体"/>
          <w:vertAlign w:val="subscript"/>
        </w:rPr>
        <w:t>3-</w:t>
      </w:r>
      <w:r>
        <w:rPr>
          <w:rFonts w:hAnsi="Times New Roman" w:eastAsia="宋体"/>
        </w:rPr>
        <w:t>Ca水。根据各水样水化学常量组分监测结果统计见表5.3-</w:t>
      </w:r>
      <w:r>
        <w:rPr>
          <w:rFonts w:hint="eastAsia" w:hAnsi="Times New Roman" w:eastAsia="宋体"/>
          <w:lang w:eastAsia="zh-CN"/>
        </w:rPr>
        <w:t>4</w:t>
      </w:r>
      <w:r>
        <w:rPr>
          <w:rFonts w:hAnsi="Times New Roman" w:eastAsia="宋体"/>
        </w:rPr>
        <w:t>，本项目所在区域地下水采样点各样品溶解性总固体在111～232mg/L，均&lt;1g/L，属于弱矿化度水；pH介于7.20～7.46，属弱碱性水质，低矿化淡水，水质状况良好；根据相关资料及调查访问，评价区内村民身体状况良好，未出现地方病等与地下水相关的环境问题。</w:t>
      </w:r>
    </w:p>
    <w:p>
      <w:pPr>
        <w:spacing w:line="360" w:lineRule="auto"/>
        <w:ind w:firstLine="480"/>
        <w:rPr>
          <w:rFonts w:hAnsi="Times New Roman" w:eastAsia="宋体"/>
        </w:rPr>
      </w:pPr>
      <w:r>
        <w:rPr>
          <w:rFonts w:hAnsi="Times New Roman" w:eastAsia="宋体"/>
        </w:rPr>
        <w:t>（2）地下水污染源分布及类型调查</w:t>
      </w:r>
    </w:p>
    <w:p>
      <w:pPr>
        <w:spacing w:line="360" w:lineRule="auto"/>
        <w:ind w:firstLine="480"/>
        <w:rPr>
          <w:rFonts w:hAnsi="Times New Roman" w:eastAsia="宋体"/>
        </w:rPr>
      </w:pPr>
      <w:r>
        <w:rPr>
          <w:rFonts w:hAnsi="Times New Roman" w:eastAsia="宋体"/>
        </w:rPr>
        <w:t>根据对区域资料收集分析及卫星遥感资料分析可知，本项目矿区所在地周边无自然保护区、风景名胜区、饮用水源地、森林公园、地质公园、基本草原、国家重 点保护文物、历史文化保护地（区）等生态敏感目标。</w:t>
      </w:r>
    </w:p>
    <w:p>
      <w:pPr>
        <w:spacing w:line="360" w:lineRule="auto"/>
        <w:ind w:firstLine="480"/>
        <w:rPr>
          <w:rFonts w:hAnsi="Times New Roman" w:eastAsia="宋体"/>
        </w:rPr>
      </w:pPr>
      <w:r>
        <w:rPr>
          <w:rFonts w:hAnsi="Times New Roman" w:eastAsia="宋体"/>
        </w:rPr>
        <w:t>评价范围内根据现场踏勘和业主提供的资料可知，当地村民以山泉水和地下井水为生活用水，评价范围内无集中式饮用水水源保护区、工农牧业及生态用水取水的情况，区内的地下水污染源主要是农业面源污染为主。调查区内无炼焦厂其他较大污染源，只有少数生活以燃煤为能源，燃煤产生的烟气和矿山排水中有害元素对大气、土壤和水域有一定影响。由于该类污染源较分散，故区域内环境质量良好。</w:t>
      </w:r>
    </w:p>
    <w:p>
      <w:pPr>
        <w:pStyle w:val="6"/>
        <w:rPr>
          <w:szCs w:val="22"/>
          <w:lang w:eastAsia="zh-CN"/>
        </w:rPr>
      </w:pPr>
      <w:bookmarkStart w:id="313" w:name="_Toc167095225"/>
      <w:bookmarkStart w:id="314" w:name="_Toc163812602"/>
      <w:r>
        <w:rPr>
          <w:szCs w:val="22"/>
          <w:lang w:eastAsia="zh-CN"/>
        </w:rPr>
        <w:t>5.3.</w:t>
      </w:r>
      <w:r>
        <w:rPr>
          <w:rFonts w:hint="eastAsia"/>
          <w:szCs w:val="22"/>
          <w:lang w:eastAsia="zh-CN"/>
        </w:rPr>
        <w:t>5</w:t>
      </w:r>
      <w:r>
        <w:rPr>
          <w:szCs w:val="22"/>
          <w:lang w:eastAsia="zh-CN"/>
        </w:rPr>
        <w:t xml:space="preserve"> 地下水现状监测与评价</w:t>
      </w:r>
      <w:bookmarkEnd w:id="313"/>
      <w:bookmarkEnd w:id="314"/>
    </w:p>
    <w:p>
      <w:pPr>
        <w:spacing w:line="360" w:lineRule="auto"/>
        <w:ind w:firstLine="480"/>
        <w:rPr>
          <w:rFonts w:hAnsi="Times New Roman" w:eastAsia="宋体"/>
        </w:rPr>
      </w:pPr>
      <w:r>
        <w:rPr>
          <w:rFonts w:hAnsi="Times New Roman" w:eastAsia="宋体"/>
        </w:rPr>
        <w:t>（1）监测点布设</w:t>
      </w:r>
    </w:p>
    <w:p>
      <w:pPr>
        <w:spacing w:line="360" w:lineRule="auto"/>
        <w:ind w:firstLine="480"/>
        <w:rPr>
          <w:rFonts w:hAnsi="Times New Roman" w:eastAsia="宋体"/>
        </w:rPr>
      </w:pPr>
      <w:r>
        <w:rPr>
          <w:rFonts w:hAnsi="Times New Roman" w:eastAsia="宋体"/>
        </w:rPr>
        <w:t>1）布设原则</w:t>
      </w:r>
    </w:p>
    <w:p>
      <w:pPr>
        <w:spacing w:line="360" w:lineRule="auto"/>
        <w:ind w:firstLine="480"/>
        <w:rPr>
          <w:rFonts w:hAnsi="Times New Roman" w:eastAsia="宋体"/>
        </w:rPr>
      </w:pPr>
      <w:r>
        <w:rPr>
          <w:rFonts w:hAnsi="Times New Roman" w:eastAsia="宋体"/>
        </w:rPr>
        <w:t>监测点布设总体遵循导则中第8.3.4节地下水环境现状监测的要求：</w:t>
      </w:r>
    </w:p>
    <w:p>
      <w:pPr>
        <w:spacing w:line="360" w:lineRule="auto"/>
        <w:ind w:firstLine="480"/>
        <w:rPr>
          <w:rFonts w:hAnsi="Times New Roman" w:eastAsia="宋体"/>
        </w:rPr>
      </w:pPr>
      <w:r>
        <w:rPr>
          <w:rFonts w:hAnsi="Times New Roman" w:eastAsia="宋体"/>
        </w:rPr>
        <w:t>① 地下水环境现状监测井点采用控制性布点与功能性布点相结合的布设原则。监测井点应布设在建设项目场地、周边环境敏感点、地下水污染源、主要环境水文地质问题及对确定水文地质边界条件有控制性意义的地点。</w:t>
      </w:r>
    </w:p>
    <w:p>
      <w:pPr>
        <w:spacing w:line="360" w:lineRule="auto"/>
        <w:ind w:firstLine="480"/>
        <w:rPr>
          <w:rFonts w:hAnsi="Times New Roman" w:eastAsia="宋体"/>
        </w:rPr>
      </w:pPr>
      <w:r>
        <w:rPr>
          <w:rFonts w:hAnsi="Times New Roman" w:eastAsia="宋体"/>
        </w:rPr>
        <w:t>② 监测井层位应以潜水和可能受建设项目影响的有开发利用价值的含水层为主。潜水监测井不得穿透潜水隔水底板。</w:t>
      </w:r>
    </w:p>
    <w:p>
      <w:pPr>
        <w:spacing w:line="360" w:lineRule="auto"/>
        <w:ind w:firstLine="480"/>
        <w:rPr>
          <w:rFonts w:hAnsi="Times New Roman" w:eastAsia="宋体"/>
        </w:rPr>
      </w:pPr>
      <w:r>
        <w:rPr>
          <w:rFonts w:hAnsi="Times New Roman" w:eastAsia="宋体"/>
        </w:rPr>
        <w:t>2）监测点位布置</w:t>
      </w:r>
    </w:p>
    <w:p>
      <w:pPr>
        <w:spacing w:line="360" w:lineRule="auto"/>
        <w:ind w:firstLine="480"/>
        <w:rPr>
          <w:rFonts w:hAnsi="Times New Roman" w:eastAsia="宋体"/>
        </w:rPr>
      </w:pPr>
      <w:r>
        <w:rPr>
          <w:rFonts w:hAnsi="Times New Roman" w:eastAsia="宋体"/>
        </w:rPr>
        <w:t>本次地下水环境现状监测在项目场地布设水质监测点S1、S2、S3、S4、S5。监测点位信息见表5.3-6，监测布点图见图5.3-</w:t>
      </w:r>
      <w:r>
        <w:rPr>
          <w:rFonts w:hAnsi="Times New Roman" w:eastAsia="宋体"/>
          <w:lang w:eastAsia="zh-CN"/>
        </w:rPr>
        <w:t>5</w:t>
      </w:r>
      <w:r>
        <w:rPr>
          <w:rFonts w:hAnsi="Times New Roman" w:eastAsia="宋体"/>
        </w:rPr>
        <w:t>。</w:t>
      </w:r>
    </w:p>
    <w:p>
      <w:pPr>
        <w:pStyle w:val="62"/>
        <w:rPr>
          <w:rFonts w:hAnsi="Times New Roman" w:eastAsia="宋体"/>
        </w:rPr>
      </w:pPr>
      <w:r>
        <w:rPr>
          <w:rFonts w:hint="eastAsia"/>
        </w:rPr>
        <w:drawing>
          <wp:inline distT="0" distB="0" distL="114300" distR="114300">
            <wp:extent cx="5273675" cy="3398520"/>
            <wp:effectExtent l="0" t="0" r="3175" b="11430"/>
            <wp:docPr id="93"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44"/>
                    <pic:cNvPicPr>
                      <a:picLocks noChangeAspect="1"/>
                    </pic:cNvPicPr>
                  </pic:nvPicPr>
                  <pic:blipFill>
                    <a:blip r:embed="rId154"/>
                    <a:stretch>
                      <a:fillRect/>
                    </a:stretch>
                  </pic:blipFill>
                  <pic:spPr>
                    <a:xfrm>
                      <a:off x="0" y="0"/>
                      <a:ext cx="5273675" cy="3398520"/>
                    </a:xfrm>
                    <a:prstGeom prst="rect">
                      <a:avLst/>
                    </a:prstGeom>
                    <a:noFill/>
                    <a:ln>
                      <a:noFill/>
                    </a:ln>
                  </pic:spPr>
                </pic:pic>
              </a:graphicData>
            </a:graphic>
          </wp:inline>
        </w:drawing>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图5.3-5 地下水监测点布设图</w:t>
      </w:r>
    </w:p>
    <w:p>
      <w:pPr>
        <w:pStyle w:val="14"/>
        <w:tabs>
          <w:tab w:val="left" w:pos="3718"/>
        </w:tabs>
        <w:overflowPunct w:val="0"/>
        <w:spacing w:line="360" w:lineRule="auto"/>
        <w:jc w:val="center"/>
        <w:rPr>
          <w:rFonts w:ascii="Times New Roman" w:hAnsi="Times New Roman"/>
          <w:b/>
          <w:bCs w:val="0"/>
          <w:spacing w:val="-2"/>
          <w:sz w:val="21"/>
          <w:szCs w:val="21"/>
        </w:rPr>
      </w:pPr>
      <w:r>
        <w:rPr>
          <w:rFonts w:ascii="Times New Roman" w:hAnsi="Times New Roman"/>
          <w:b/>
          <w:bCs w:val="0"/>
          <w:spacing w:val="-2"/>
          <w:sz w:val="21"/>
          <w:szCs w:val="21"/>
        </w:rPr>
        <w:t>表5.3-</w:t>
      </w:r>
      <w:r>
        <w:rPr>
          <w:rFonts w:hint="eastAsia" w:ascii="Times New Roman" w:hAnsi="Times New Roman"/>
          <w:b/>
          <w:bCs w:val="0"/>
          <w:spacing w:val="-2"/>
          <w:sz w:val="21"/>
          <w:szCs w:val="21"/>
          <w:lang w:eastAsia="zh-CN"/>
        </w:rPr>
        <w:t>6</w:t>
      </w:r>
      <w:r>
        <w:rPr>
          <w:rFonts w:ascii="Times New Roman" w:hAnsi="Times New Roman"/>
          <w:b/>
          <w:bCs w:val="0"/>
          <w:spacing w:val="-2"/>
          <w:sz w:val="21"/>
          <w:szCs w:val="21"/>
        </w:rPr>
        <w:t xml:space="preserve"> 地下水监测点位信息表</w:t>
      </w:r>
    </w:p>
    <w:tbl>
      <w:tblPr>
        <w:tblStyle w:val="33"/>
        <w:tblW w:w="5000" w:type="pct"/>
        <w:tblInd w:w="0" w:type="dxa"/>
        <w:tblLayout w:type="autofit"/>
        <w:tblCellMar>
          <w:top w:w="0" w:type="dxa"/>
          <w:left w:w="108" w:type="dxa"/>
          <w:bottom w:w="0" w:type="dxa"/>
          <w:right w:w="108" w:type="dxa"/>
        </w:tblCellMar>
      </w:tblPr>
      <w:tblGrid>
        <w:gridCol w:w="867"/>
        <w:gridCol w:w="1962"/>
        <w:gridCol w:w="1091"/>
        <w:gridCol w:w="2177"/>
        <w:gridCol w:w="3246"/>
      </w:tblGrid>
      <w:tr>
        <w:tblPrEx>
          <w:tblCellMar>
            <w:top w:w="0" w:type="dxa"/>
            <w:left w:w="108" w:type="dxa"/>
            <w:bottom w:w="0" w:type="dxa"/>
            <w:right w:w="108" w:type="dxa"/>
          </w:tblCellMar>
        </w:tblPrEx>
        <w:trPr>
          <w:trHeight w:val="565" w:hRule="atLeast"/>
          <w:tblHeader/>
        </w:trPr>
        <w:tc>
          <w:tcPr>
            <w:tcW w:w="46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b/>
                <w:bCs/>
                <w:kern w:val="2"/>
                <w:szCs w:val="22"/>
              </w:rPr>
            </w:pPr>
            <w:r>
              <w:rPr>
                <w:rFonts w:hint="eastAsia" w:hAnsi="Times New Roman" w:eastAsia="宋体"/>
                <w:b/>
                <w:bCs/>
                <w:kern w:val="2"/>
                <w:szCs w:val="22"/>
              </w:rPr>
              <w:t>测点编号</w:t>
            </w:r>
          </w:p>
        </w:tc>
        <w:tc>
          <w:tcPr>
            <w:tcW w:w="1050" w:type="pct"/>
            <w:tcBorders>
              <w:top w:val="single" w:color="auto" w:sz="4" w:space="0"/>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b/>
                <w:bCs/>
                <w:kern w:val="2"/>
                <w:szCs w:val="22"/>
              </w:rPr>
            </w:pPr>
            <w:r>
              <w:rPr>
                <w:rFonts w:hint="eastAsia" w:hAnsi="Times New Roman" w:eastAsia="宋体"/>
                <w:b/>
                <w:bCs/>
                <w:kern w:val="2"/>
                <w:szCs w:val="22"/>
              </w:rPr>
              <w:t>经纬度</w:t>
            </w:r>
          </w:p>
        </w:tc>
        <w:tc>
          <w:tcPr>
            <w:tcW w:w="584" w:type="pct"/>
            <w:tcBorders>
              <w:top w:val="single" w:color="auto" w:sz="4" w:space="0"/>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b/>
                <w:bCs/>
                <w:kern w:val="2"/>
                <w:szCs w:val="22"/>
              </w:rPr>
            </w:pPr>
            <w:r>
              <w:rPr>
                <w:rFonts w:hint="eastAsia" w:hAnsi="Times New Roman" w:eastAsia="宋体"/>
                <w:b/>
                <w:bCs/>
                <w:kern w:val="2"/>
                <w:szCs w:val="22"/>
              </w:rPr>
              <w:t>水位（m）</w:t>
            </w:r>
          </w:p>
        </w:tc>
        <w:tc>
          <w:tcPr>
            <w:tcW w:w="1165" w:type="pct"/>
            <w:tcBorders>
              <w:top w:val="single" w:color="auto" w:sz="4" w:space="0"/>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b/>
                <w:bCs/>
                <w:kern w:val="2"/>
                <w:szCs w:val="22"/>
              </w:rPr>
            </w:pPr>
            <w:r>
              <w:rPr>
                <w:rFonts w:hint="eastAsia" w:hAnsi="Times New Roman" w:eastAsia="宋体"/>
                <w:b/>
                <w:bCs/>
                <w:kern w:val="2"/>
                <w:szCs w:val="22"/>
              </w:rPr>
              <w:t>监测点位置</w:t>
            </w:r>
          </w:p>
        </w:tc>
        <w:tc>
          <w:tcPr>
            <w:tcW w:w="1737" w:type="pct"/>
            <w:tcBorders>
              <w:top w:val="single" w:color="auto" w:sz="4" w:space="0"/>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b/>
                <w:bCs/>
                <w:kern w:val="2"/>
                <w:szCs w:val="22"/>
              </w:rPr>
            </w:pPr>
            <w:r>
              <w:rPr>
                <w:rFonts w:hint="eastAsia" w:hAnsi="Times New Roman" w:eastAsia="宋体"/>
                <w:b/>
                <w:bCs/>
                <w:kern w:val="2"/>
                <w:szCs w:val="22"/>
              </w:rPr>
              <w:t>监测点类型</w:t>
            </w:r>
          </w:p>
        </w:tc>
      </w:tr>
      <w:tr>
        <w:tblPrEx>
          <w:tblCellMar>
            <w:top w:w="0" w:type="dxa"/>
            <w:left w:w="108" w:type="dxa"/>
            <w:bottom w:w="0" w:type="dxa"/>
            <w:right w:w="108" w:type="dxa"/>
          </w:tblCellMar>
        </w:tblPrEx>
        <w:trPr>
          <w:trHeight w:val="554" w:hRule="atLeast"/>
        </w:trPr>
        <w:tc>
          <w:tcPr>
            <w:tcW w:w="464" w:type="pct"/>
            <w:tcBorders>
              <w:top w:val="nil"/>
              <w:left w:val="single" w:color="auto" w:sz="4" w:space="0"/>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S1</w:t>
            </w:r>
          </w:p>
        </w:tc>
        <w:tc>
          <w:tcPr>
            <w:tcW w:w="1050"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107.732700°，31.200500°</w:t>
            </w:r>
          </w:p>
        </w:tc>
        <w:tc>
          <w:tcPr>
            <w:tcW w:w="584"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342.5</w:t>
            </w:r>
          </w:p>
        </w:tc>
        <w:tc>
          <w:tcPr>
            <w:tcW w:w="1165"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主井工业广场北侧水井</w:t>
            </w:r>
          </w:p>
        </w:tc>
        <w:tc>
          <w:tcPr>
            <w:tcW w:w="1737"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下游污染扩散点，距离最终排泄河流较近</w:t>
            </w:r>
          </w:p>
        </w:tc>
      </w:tr>
      <w:tr>
        <w:tblPrEx>
          <w:tblCellMar>
            <w:top w:w="0" w:type="dxa"/>
            <w:left w:w="108" w:type="dxa"/>
            <w:bottom w:w="0" w:type="dxa"/>
            <w:right w:w="108" w:type="dxa"/>
          </w:tblCellMar>
        </w:tblPrEx>
        <w:trPr>
          <w:trHeight w:val="554" w:hRule="atLeast"/>
        </w:trPr>
        <w:tc>
          <w:tcPr>
            <w:tcW w:w="464" w:type="pct"/>
            <w:tcBorders>
              <w:top w:val="nil"/>
              <w:left w:val="single" w:color="auto" w:sz="4" w:space="0"/>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S2</w:t>
            </w:r>
          </w:p>
        </w:tc>
        <w:tc>
          <w:tcPr>
            <w:tcW w:w="1050"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107.71940000°，31.19120000°</w:t>
            </w:r>
          </w:p>
        </w:tc>
        <w:tc>
          <w:tcPr>
            <w:tcW w:w="584"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370.4</w:t>
            </w:r>
          </w:p>
        </w:tc>
        <w:tc>
          <w:tcPr>
            <w:tcW w:w="1165"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主井工业广场西南侧水井</w:t>
            </w:r>
          </w:p>
        </w:tc>
        <w:tc>
          <w:tcPr>
            <w:tcW w:w="1737"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污染扩散点（西侧），由于工业广场东侧紧挨最低侵蚀基准面，考虑在西侧利用S2井</w:t>
            </w:r>
          </w:p>
        </w:tc>
      </w:tr>
      <w:tr>
        <w:tblPrEx>
          <w:tblCellMar>
            <w:top w:w="0" w:type="dxa"/>
            <w:left w:w="108" w:type="dxa"/>
            <w:bottom w:w="0" w:type="dxa"/>
            <w:right w:w="108" w:type="dxa"/>
          </w:tblCellMar>
        </w:tblPrEx>
        <w:trPr>
          <w:trHeight w:val="565" w:hRule="atLeast"/>
        </w:trPr>
        <w:tc>
          <w:tcPr>
            <w:tcW w:w="464" w:type="pct"/>
            <w:tcBorders>
              <w:top w:val="nil"/>
              <w:left w:val="single" w:color="auto" w:sz="4" w:space="0"/>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S3</w:t>
            </w:r>
          </w:p>
        </w:tc>
        <w:tc>
          <w:tcPr>
            <w:tcW w:w="1050"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107.73091435°，31.20057159°</w:t>
            </w:r>
          </w:p>
        </w:tc>
        <w:tc>
          <w:tcPr>
            <w:tcW w:w="584"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342.1</w:t>
            </w:r>
          </w:p>
        </w:tc>
        <w:tc>
          <w:tcPr>
            <w:tcW w:w="1165"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工业广场外西北侧</w:t>
            </w:r>
          </w:p>
        </w:tc>
        <w:tc>
          <w:tcPr>
            <w:tcW w:w="1737"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污染扩散点，位于工业广场外西北侧，监控下游侧污染扩散情况</w:t>
            </w:r>
          </w:p>
        </w:tc>
      </w:tr>
      <w:tr>
        <w:tblPrEx>
          <w:tblCellMar>
            <w:top w:w="0" w:type="dxa"/>
            <w:left w:w="108" w:type="dxa"/>
            <w:bottom w:w="0" w:type="dxa"/>
            <w:right w:w="108" w:type="dxa"/>
          </w:tblCellMar>
        </w:tblPrEx>
        <w:trPr>
          <w:trHeight w:val="554" w:hRule="atLeast"/>
        </w:trPr>
        <w:tc>
          <w:tcPr>
            <w:tcW w:w="464" w:type="pct"/>
            <w:tcBorders>
              <w:top w:val="nil"/>
              <w:left w:val="single" w:color="auto" w:sz="4" w:space="0"/>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S4</w:t>
            </w:r>
          </w:p>
        </w:tc>
        <w:tc>
          <w:tcPr>
            <w:tcW w:w="1050"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107.73213744°，31.19851821°</w:t>
            </w:r>
          </w:p>
        </w:tc>
        <w:tc>
          <w:tcPr>
            <w:tcW w:w="584"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375.1</w:t>
            </w:r>
          </w:p>
        </w:tc>
        <w:tc>
          <w:tcPr>
            <w:tcW w:w="1165"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工业广场外西侧</w:t>
            </w:r>
          </w:p>
        </w:tc>
        <w:tc>
          <w:tcPr>
            <w:tcW w:w="1737"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工业广场内监测点，监控项目场地内水质状况</w:t>
            </w:r>
          </w:p>
        </w:tc>
      </w:tr>
      <w:tr>
        <w:tblPrEx>
          <w:tblCellMar>
            <w:top w:w="0" w:type="dxa"/>
            <w:left w:w="108" w:type="dxa"/>
            <w:bottom w:w="0" w:type="dxa"/>
            <w:right w:w="108" w:type="dxa"/>
          </w:tblCellMar>
        </w:tblPrEx>
        <w:trPr>
          <w:trHeight w:val="554" w:hRule="atLeast"/>
        </w:trPr>
        <w:tc>
          <w:tcPr>
            <w:tcW w:w="464" w:type="pct"/>
            <w:tcBorders>
              <w:top w:val="nil"/>
              <w:left w:val="single" w:color="auto" w:sz="4" w:space="0"/>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S5</w:t>
            </w:r>
          </w:p>
        </w:tc>
        <w:tc>
          <w:tcPr>
            <w:tcW w:w="1050"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107.73223400°，31.19403504°</w:t>
            </w:r>
          </w:p>
        </w:tc>
        <w:tc>
          <w:tcPr>
            <w:tcW w:w="584"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395.7</w:t>
            </w:r>
          </w:p>
        </w:tc>
        <w:tc>
          <w:tcPr>
            <w:tcW w:w="1165"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工业广场外南侧</w:t>
            </w:r>
          </w:p>
        </w:tc>
        <w:tc>
          <w:tcPr>
            <w:tcW w:w="1737"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对照点，位于项目场地上游位置</w:t>
            </w:r>
          </w:p>
        </w:tc>
      </w:tr>
    </w:tbl>
    <w:p>
      <w:pPr>
        <w:spacing w:line="360" w:lineRule="auto"/>
        <w:ind w:firstLine="480"/>
        <w:rPr>
          <w:rFonts w:hAnsi="Times New Roman" w:eastAsia="宋体"/>
        </w:rPr>
      </w:pPr>
      <w:r>
        <w:rPr>
          <w:rFonts w:hAnsi="Times New Roman" w:eastAsia="宋体"/>
        </w:rPr>
        <w:t>（2）监测因子</w:t>
      </w:r>
    </w:p>
    <w:p>
      <w:pPr>
        <w:spacing w:line="360" w:lineRule="auto"/>
        <w:ind w:firstLine="480"/>
        <w:rPr>
          <w:rFonts w:hAnsi="Times New Roman" w:eastAsia="宋体"/>
        </w:rPr>
      </w:pPr>
      <w:r>
        <w:rPr>
          <w:rFonts w:hAnsi="Times New Roman" w:eastAsia="宋体"/>
        </w:rPr>
        <w:t>本次监测因子根据《环境影响评价技术导则-地下水环境》（HJ610-2016）第8.3.3.5节确定水质现状监测因子。监测了周边地下水环境中的背景离子、基本水质因子及根据5.2.3识别的特征污染指标作为监测因子。</w:t>
      </w:r>
    </w:p>
    <w:p>
      <w:pPr>
        <w:spacing w:line="360" w:lineRule="auto"/>
        <w:ind w:firstLine="480"/>
        <w:rPr>
          <w:rFonts w:hAnsi="Times New Roman" w:eastAsia="宋体"/>
        </w:rPr>
      </w:pPr>
      <w:r>
        <w:rPr>
          <w:rFonts w:hAnsi="Times New Roman" w:eastAsia="宋体"/>
        </w:rPr>
        <w:t>1）背景离子：钾、钠、钙、镁、碳酸根、重碳酸根、硫酸盐、氯化物</w:t>
      </w:r>
    </w:p>
    <w:p>
      <w:pPr>
        <w:spacing w:line="360" w:lineRule="auto"/>
        <w:ind w:firstLine="480"/>
        <w:rPr>
          <w:rFonts w:hAnsi="Times New Roman" w:eastAsia="宋体"/>
        </w:rPr>
      </w:pPr>
      <w:r>
        <w:rPr>
          <w:rFonts w:hAnsi="Times New Roman" w:eastAsia="宋体"/>
        </w:rPr>
        <w:t>2）基本水质因子：pH、耗氧量、氨氮、硝酸盐、亚硝酸盐、挥发性酚类、氰化物、砷、汞、铬（六价）、总硬度（以CaCO</w:t>
      </w:r>
      <w:r>
        <w:rPr>
          <w:rFonts w:hAnsi="Times New Roman" w:eastAsia="宋体"/>
          <w:vertAlign w:val="subscript"/>
        </w:rPr>
        <w:t>3</w:t>
      </w:r>
      <w:r>
        <w:rPr>
          <w:rFonts w:hAnsi="Times New Roman" w:eastAsia="宋体"/>
        </w:rPr>
        <w:t>计）、铅、氟化物、镉、铁、锰、溶解性总固体、总大肠菌群；铬、锌等。</w:t>
      </w:r>
    </w:p>
    <w:p>
      <w:pPr>
        <w:spacing w:line="360" w:lineRule="auto"/>
        <w:ind w:firstLine="480"/>
        <w:rPr>
          <w:rFonts w:hAnsi="Times New Roman" w:eastAsia="宋体"/>
        </w:rPr>
      </w:pPr>
      <w:r>
        <w:rPr>
          <w:rFonts w:hAnsi="Times New Roman" w:eastAsia="宋体"/>
        </w:rPr>
        <w:t>3）特征因子：石油类。</w:t>
      </w:r>
    </w:p>
    <w:p>
      <w:pPr>
        <w:spacing w:line="360" w:lineRule="auto"/>
        <w:ind w:firstLine="480"/>
        <w:rPr>
          <w:rFonts w:hAnsi="Times New Roman" w:eastAsia="宋体"/>
        </w:rPr>
      </w:pPr>
      <w:r>
        <w:rPr>
          <w:rFonts w:hAnsi="Times New Roman" w:eastAsia="宋体"/>
        </w:rPr>
        <w:t>（3）监测结果</w:t>
      </w:r>
    </w:p>
    <w:p>
      <w:pPr>
        <w:spacing w:line="360" w:lineRule="auto"/>
        <w:ind w:firstLine="480"/>
        <w:rPr>
          <w:rFonts w:hAnsi="Times New Roman" w:eastAsia="宋体"/>
        </w:rPr>
      </w:pPr>
      <w:r>
        <w:rPr>
          <w:rFonts w:hAnsi="Times New Roman" w:eastAsia="宋体"/>
        </w:rPr>
        <w:t>1）监测频次和监测时间</w:t>
      </w:r>
    </w:p>
    <w:p>
      <w:pPr>
        <w:spacing w:line="360" w:lineRule="auto"/>
        <w:ind w:firstLine="480"/>
        <w:rPr>
          <w:rFonts w:hAnsi="Times New Roman" w:eastAsia="宋体"/>
        </w:rPr>
      </w:pPr>
      <w:r>
        <w:rPr>
          <w:rFonts w:hAnsi="Times New Roman" w:eastAsia="宋体"/>
        </w:rPr>
        <w:t>本次评价工作开展了两次监测，第</w:t>
      </w:r>
      <w:r>
        <w:rPr>
          <w:rFonts w:hint="eastAsia" w:hAnsi="Times New Roman" w:eastAsia="宋体"/>
        </w:rPr>
        <w:t>一</w:t>
      </w:r>
      <w:r>
        <w:rPr>
          <w:rFonts w:hAnsi="Times New Roman" w:eastAsia="宋体"/>
        </w:rPr>
        <w:t>次监测时间为202</w:t>
      </w:r>
      <w:r>
        <w:rPr>
          <w:rFonts w:hint="eastAsia" w:hAnsi="Times New Roman" w:eastAsia="宋体"/>
          <w:lang w:eastAsia="zh-CN"/>
        </w:rPr>
        <w:t>2</w:t>
      </w:r>
      <w:r>
        <w:rPr>
          <w:rFonts w:hAnsi="Times New Roman" w:eastAsia="宋体"/>
        </w:rPr>
        <w:t>年</w:t>
      </w:r>
      <w:r>
        <w:rPr>
          <w:rFonts w:hint="eastAsia" w:hAnsi="Times New Roman" w:eastAsia="宋体"/>
          <w:lang w:eastAsia="zh-CN"/>
        </w:rPr>
        <w:t>1</w:t>
      </w:r>
      <w:r>
        <w:rPr>
          <w:rFonts w:hAnsi="Times New Roman" w:eastAsia="宋体"/>
        </w:rPr>
        <w:t>月</w:t>
      </w:r>
      <w:r>
        <w:rPr>
          <w:rFonts w:hint="eastAsia" w:hAnsi="Times New Roman" w:eastAsia="宋体"/>
        </w:rPr>
        <w:t>，第二次为</w:t>
      </w:r>
      <w:r>
        <w:rPr>
          <w:rFonts w:hint="eastAsia" w:hAnsi="Times New Roman" w:eastAsia="宋体"/>
          <w:lang w:eastAsia="zh-CN"/>
        </w:rPr>
        <w:t>2024</w:t>
      </w:r>
      <w:r>
        <w:rPr>
          <w:rFonts w:hint="eastAsia" w:hAnsi="Times New Roman" w:eastAsia="宋体"/>
        </w:rPr>
        <w:t>年</w:t>
      </w:r>
      <w:r>
        <w:rPr>
          <w:rFonts w:hint="eastAsia" w:hAnsi="Times New Roman" w:eastAsia="宋体"/>
          <w:lang w:eastAsia="zh-CN"/>
        </w:rPr>
        <w:t>3</w:t>
      </w:r>
      <w:r>
        <w:rPr>
          <w:rFonts w:hint="eastAsia" w:hAnsi="Times New Roman" w:eastAsia="宋体"/>
        </w:rPr>
        <w:t>月</w:t>
      </w:r>
      <w:r>
        <w:rPr>
          <w:rFonts w:hAnsi="Times New Roman" w:eastAsia="宋体"/>
        </w:rPr>
        <w:t>。</w:t>
      </w:r>
    </w:p>
    <w:p>
      <w:pPr>
        <w:spacing w:line="360" w:lineRule="auto"/>
        <w:ind w:firstLine="480"/>
        <w:rPr>
          <w:rFonts w:hAnsi="Times New Roman" w:eastAsia="宋体"/>
        </w:rPr>
      </w:pPr>
      <w:r>
        <w:rPr>
          <w:rFonts w:hAnsi="Times New Roman" w:eastAsia="宋体"/>
        </w:rPr>
        <w:t>2）样品采集</w:t>
      </w:r>
    </w:p>
    <w:p>
      <w:pPr>
        <w:spacing w:line="360" w:lineRule="auto"/>
        <w:ind w:firstLine="480"/>
        <w:rPr>
          <w:rFonts w:hAnsi="Times New Roman" w:eastAsia="宋体"/>
        </w:rPr>
      </w:pPr>
      <w:r>
        <w:rPr>
          <w:rFonts w:hAnsi="Times New Roman" w:eastAsia="宋体"/>
        </w:rPr>
        <w:t>每个监测点取一个水质样品。取样点深度在井水位埋深以下</w:t>
      </w:r>
      <w:r>
        <w:rPr>
          <w:rFonts w:hint="eastAsia" w:hAnsi="Times New Roman" w:eastAsia="宋体"/>
          <w:lang w:eastAsia="zh-CN"/>
        </w:rPr>
        <w:t>1.0</w:t>
      </w:r>
      <w:r>
        <w:rPr>
          <w:rFonts w:hAnsi="Times New Roman" w:eastAsia="宋体"/>
        </w:rPr>
        <w:t>m。</w:t>
      </w:r>
    </w:p>
    <w:p>
      <w:pPr>
        <w:pStyle w:val="14"/>
        <w:tabs>
          <w:tab w:val="left" w:pos="3718"/>
        </w:tabs>
        <w:overflowPunct w:val="0"/>
        <w:spacing w:line="360" w:lineRule="auto"/>
        <w:jc w:val="center"/>
        <w:rPr>
          <w:rFonts w:ascii="Times New Roman" w:hAnsi="Times New Roman"/>
          <w:b/>
          <w:bCs w:val="0"/>
          <w:spacing w:val="-2"/>
          <w:sz w:val="21"/>
          <w:szCs w:val="21"/>
        </w:rPr>
      </w:pPr>
      <w:bookmarkStart w:id="315" w:name="_Toc424738050"/>
      <w:r>
        <w:rPr>
          <w:rFonts w:ascii="Times New Roman" w:hAnsi="Times New Roman"/>
          <w:b/>
          <w:bCs w:val="0"/>
          <w:spacing w:val="-2"/>
          <w:sz w:val="21"/>
          <w:szCs w:val="21"/>
        </w:rPr>
        <w:t>表5.3-</w:t>
      </w:r>
      <w:r>
        <w:rPr>
          <w:rFonts w:hint="eastAsia" w:ascii="Times New Roman" w:hAnsi="Times New Roman"/>
          <w:b/>
          <w:bCs w:val="0"/>
          <w:spacing w:val="-2"/>
          <w:sz w:val="21"/>
          <w:szCs w:val="21"/>
          <w:lang w:eastAsia="zh-CN"/>
        </w:rPr>
        <w:t>7</w:t>
      </w:r>
      <w:r>
        <w:rPr>
          <w:rFonts w:ascii="Times New Roman" w:hAnsi="Times New Roman"/>
          <w:b/>
          <w:bCs w:val="0"/>
          <w:spacing w:val="-2"/>
          <w:sz w:val="21"/>
          <w:szCs w:val="21"/>
        </w:rPr>
        <w:t xml:space="preserve"> 地下水水质样品监测分析结果</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6"/>
        <w:gridCol w:w="1547"/>
        <w:gridCol w:w="1495"/>
        <w:gridCol w:w="1250"/>
        <w:gridCol w:w="1173"/>
        <w:gridCol w:w="1174"/>
        <w:gridCol w:w="14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03" w:type="pct"/>
            <w:vMerge w:val="restar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检测因子</w:t>
            </w:r>
          </w:p>
        </w:tc>
        <w:tc>
          <w:tcPr>
            <w:tcW w:w="3641" w:type="pct"/>
            <w:gridSpan w:val="5"/>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检测点位及结果</w:t>
            </w:r>
          </w:p>
        </w:tc>
        <w:tc>
          <w:tcPr>
            <w:tcW w:w="756" w:type="pct"/>
            <w:vMerge w:val="restar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03" w:type="pct"/>
            <w:vMerge w:val="continue"/>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p>
        </w:tc>
        <w:tc>
          <w:tcPr>
            <w:tcW w:w="849"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r>
              <w:rPr>
                <w:rFonts w:hint="eastAsia" w:hAnsi="Times New Roman" w:eastAsia="宋体"/>
                <w:b/>
                <w:kern w:val="2"/>
                <w:sz w:val="21"/>
                <w:szCs w:val="21"/>
              </w:rPr>
              <w:t>S1主井工业广场西侧水井</w:t>
            </w:r>
          </w:p>
        </w:tc>
        <w:tc>
          <w:tcPr>
            <w:tcW w:w="821"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r>
              <w:rPr>
                <w:rFonts w:hint="eastAsia" w:hAnsi="Times New Roman" w:eastAsia="宋体"/>
                <w:b/>
                <w:kern w:val="2"/>
                <w:sz w:val="21"/>
                <w:szCs w:val="21"/>
              </w:rPr>
              <w:t>S2主井工业广场外西北侧水井</w:t>
            </w:r>
          </w:p>
        </w:tc>
        <w:tc>
          <w:tcPr>
            <w:tcW w:w="690"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kern w:val="2"/>
                <w:sz w:val="21"/>
                <w:szCs w:val="21"/>
              </w:rPr>
            </w:pPr>
            <w:r>
              <w:rPr>
                <w:rFonts w:hint="eastAsia" w:hAnsi="Times New Roman" w:eastAsia="宋体"/>
                <w:b/>
                <w:kern w:val="2"/>
                <w:sz w:val="21"/>
                <w:szCs w:val="21"/>
              </w:rPr>
              <w:t>S3工业广场外西北侧</w:t>
            </w:r>
          </w:p>
        </w:tc>
        <w:tc>
          <w:tcPr>
            <w:tcW w:w="637"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kern w:val="2"/>
                <w:sz w:val="21"/>
                <w:szCs w:val="21"/>
              </w:rPr>
            </w:pPr>
            <w:r>
              <w:rPr>
                <w:rFonts w:hint="eastAsia" w:hAnsi="Times New Roman" w:eastAsia="宋体"/>
                <w:b/>
                <w:kern w:val="2"/>
                <w:sz w:val="21"/>
                <w:szCs w:val="21"/>
              </w:rPr>
              <w:t>S4工业广场外西侧</w:t>
            </w:r>
          </w:p>
        </w:tc>
        <w:tc>
          <w:tcPr>
            <w:tcW w:w="644"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kern w:val="2"/>
                <w:sz w:val="21"/>
                <w:szCs w:val="21"/>
              </w:rPr>
            </w:pPr>
            <w:r>
              <w:rPr>
                <w:rFonts w:hint="eastAsia" w:hAnsi="Times New Roman" w:eastAsia="宋体"/>
                <w:b/>
                <w:kern w:val="2"/>
                <w:sz w:val="21"/>
                <w:szCs w:val="21"/>
              </w:rPr>
              <w:t>S5工业广场外南侧</w:t>
            </w:r>
          </w:p>
        </w:tc>
        <w:tc>
          <w:tcPr>
            <w:tcW w:w="756" w:type="pct"/>
            <w:vMerge w:val="continue"/>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03" w:type="pct"/>
            <w:vMerge w:val="continue"/>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p>
        </w:tc>
        <w:tc>
          <w:tcPr>
            <w:tcW w:w="849"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r>
              <w:rPr>
                <w:rFonts w:hint="eastAsia" w:hAnsi="Times New Roman" w:eastAsia="宋体"/>
                <w:bCs/>
                <w:kern w:val="2"/>
                <w:sz w:val="21"/>
                <w:szCs w:val="21"/>
                <w:lang w:eastAsia="zh-CN"/>
              </w:rPr>
              <w:t>2024/03/01</w:t>
            </w:r>
          </w:p>
        </w:tc>
        <w:tc>
          <w:tcPr>
            <w:tcW w:w="821"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r>
              <w:rPr>
                <w:rFonts w:hint="eastAsia" w:hAnsi="Times New Roman" w:eastAsia="宋体"/>
                <w:bCs/>
                <w:kern w:val="2"/>
                <w:sz w:val="21"/>
                <w:szCs w:val="21"/>
                <w:lang w:eastAsia="zh-CN"/>
              </w:rPr>
              <w:t>2024/03/01</w:t>
            </w:r>
          </w:p>
        </w:tc>
        <w:tc>
          <w:tcPr>
            <w:tcW w:w="690"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lang w:eastAsia="zh-CN"/>
              </w:rPr>
              <w:t>2022/01/06</w:t>
            </w:r>
          </w:p>
        </w:tc>
        <w:tc>
          <w:tcPr>
            <w:tcW w:w="637"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lang w:eastAsia="zh-CN"/>
              </w:rPr>
              <w:t>2022/01/06</w:t>
            </w:r>
          </w:p>
        </w:tc>
        <w:tc>
          <w:tcPr>
            <w:tcW w:w="644"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lang w:eastAsia="zh-CN"/>
              </w:rPr>
              <w:t>2022/01/06</w:t>
            </w:r>
          </w:p>
        </w:tc>
        <w:tc>
          <w:tcPr>
            <w:tcW w:w="756" w:type="pct"/>
            <w:vMerge w:val="continue"/>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b/>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pH（无量纲）</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7.</w:t>
            </w:r>
            <w:r>
              <w:rPr>
                <w:rFonts w:hint="eastAsia" w:hAnsi="Times New Roman" w:eastAsia="宋体"/>
                <w:kern w:val="2"/>
                <w:sz w:val="21"/>
                <w:szCs w:val="21"/>
                <w:lang w:eastAsia="zh-CN"/>
              </w:rPr>
              <w:t>4</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7.</w:t>
            </w:r>
            <w:r>
              <w:rPr>
                <w:rFonts w:hint="eastAsia" w:hAnsi="Times New Roman" w:eastAsia="宋体"/>
                <w:kern w:val="2"/>
                <w:sz w:val="21"/>
                <w:szCs w:val="21"/>
                <w:lang w:eastAsia="zh-CN"/>
              </w:rPr>
              <w:t>4</w:t>
            </w:r>
          </w:p>
        </w:tc>
        <w:tc>
          <w:tcPr>
            <w:tcW w:w="690"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rPr>
              <w:t>7.2</w:t>
            </w:r>
          </w:p>
        </w:tc>
        <w:tc>
          <w:tcPr>
            <w:tcW w:w="637"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rPr>
              <w:t>7.3</w:t>
            </w:r>
          </w:p>
        </w:tc>
        <w:tc>
          <w:tcPr>
            <w:tcW w:w="644"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rPr>
              <w:t>7.2</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6.5~8.5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bCs/>
                <w:kern w:val="2"/>
                <w:sz w:val="21"/>
                <w:szCs w:val="21"/>
              </w:rPr>
              <w:t>氨氮</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0.121</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0.088</w:t>
            </w:r>
          </w:p>
        </w:tc>
        <w:tc>
          <w:tcPr>
            <w:tcW w:w="690"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rPr>
              <w:t>0.102</w:t>
            </w:r>
          </w:p>
        </w:tc>
        <w:tc>
          <w:tcPr>
            <w:tcW w:w="637"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0.089</w:t>
            </w:r>
          </w:p>
        </w:tc>
        <w:tc>
          <w:tcPr>
            <w:tcW w:w="644"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0.044</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硝酸盐（以N计）</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0.080</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0.004</w:t>
            </w:r>
            <w:r>
              <w:rPr>
                <w:rFonts w:hint="eastAsia" w:hAnsi="Times New Roman" w:eastAsia="宋体"/>
                <w:kern w:val="2"/>
                <w:sz w:val="21"/>
                <w:szCs w:val="21"/>
                <w:vertAlign w:val="superscript"/>
                <w:lang w:eastAsia="zh-CN"/>
              </w:rPr>
              <w:t>L</w:t>
            </w:r>
          </w:p>
        </w:tc>
        <w:tc>
          <w:tcPr>
            <w:tcW w:w="690"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0.650</w:t>
            </w:r>
          </w:p>
        </w:tc>
        <w:tc>
          <w:tcPr>
            <w:tcW w:w="637"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0.630</w:t>
            </w:r>
          </w:p>
        </w:tc>
        <w:tc>
          <w:tcPr>
            <w:tcW w:w="644"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3.21</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bCs/>
                <w:kern w:val="2"/>
                <w:sz w:val="21"/>
                <w:szCs w:val="21"/>
              </w:rPr>
              <w:t>亚硝酸盐（以N计）</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rPr>
              <w:t>0.</w:t>
            </w:r>
            <w:r>
              <w:rPr>
                <w:rFonts w:hint="eastAsia" w:hAnsi="Times New Roman" w:eastAsia="宋体"/>
                <w:kern w:val="2"/>
                <w:sz w:val="21"/>
                <w:szCs w:val="21"/>
                <w:lang w:eastAsia="zh-CN"/>
              </w:rPr>
              <w:t>041</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0.039</w:t>
            </w:r>
          </w:p>
        </w:tc>
        <w:tc>
          <w:tcPr>
            <w:tcW w:w="690"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0.008</w:t>
            </w:r>
          </w:p>
        </w:tc>
        <w:tc>
          <w:tcPr>
            <w:tcW w:w="637"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0.007</w:t>
            </w:r>
          </w:p>
        </w:tc>
        <w:tc>
          <w:tcPr>
            <w:tcW w:w="644"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0.015</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挥发性酚类</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0.0003</w:t>
            </w:r>
            <w:r>
              <w:rPr>
                <w:rFonts w:hint="eastAsia" w:hAnsi="Times New Roman" w:eastAsia="宋体"/>
                <w:kern w:val="2"/>
                <w:sz w:val="21"/>
                <w:szCs w:val="21"/>
                <w:vertAlign w:val="superscript"/>
              </w:rPr>
              <w:t>L</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0.0003</w:t>
            </w:r>
            <w:r>
              <w:rPr>
                <w:rFonts w:hint="eastAsia" w:hAnsi="Times New Roman" w:eastAsia="宋体"/>
                <w:kern w:val="2"/>
                <w:sz w:val="21"/>
                <w:szCs w:val="21"/>
                <w:vertAlign w:val="superscript"/>
              </w:rPr>
              <w:t>L</w:t>
            </w:r>
          </w:p>
        </w:tc>
        <w:tc>
          <w:tcPr>
            <w:tcW w:w="690"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0.0003</w:t>
            </w:r>
            <w:r>
              <w:rPr>
                <w:rFonts w:hint="eastAsia" w:hAnsi="Times New Roman" w:eastAsia="宋体"/>
                <w:kern w:val="2"/>
                <w:sz w:val="21"/>
                <w:szCs w:val="21"/>
                <w:vertAlign w:val="superscript"/>
                <w:lang w:eastAsia="zh-CN" w:bidi="ar"/>
              </w:rPr>
              <w:t>L</w:t>
            </w:r>
          </w:p>
        </w:tc>
        <w:tc>
          <w:tcPr>
            <w:tcW w:w="637"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0.0003</w:t>
            </w:r>
            <w:r>
              <w:rPr>
                <w:rFonts w:hint="eastAsia" w:hAnsi="Times New Roman" w:eastAsia="宋体"/>
                <w:kern w:val="2"/>
                <w:sz w:val="21"/>
                <w:szCs w:val="21"/>
                <w:vertAlign w:val="superscript"/>
                <w:lang w:eastAsia="zh-CN" w:bidi="ar"/>
              </w:rPr>
              <w:t>L</w:t>
            </w:r>
          </w:p>
        </w:tc>
        <w:tc>
          <w:tcPr>
            <w:tcW w:w="644"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0.0003</w:t>
            </w:r>
            <w:r>
              <w:rPr>
                <w:rFonts w:hint="eastAsia" w:hAnsi="Times New Roman" w:eastAsia="宋体"/>
                <w:kern w:val="2"/>
                <w:sz w:val="21"/>
                <w:szCs w:val="21"/>
                <w:vertAlign w:val="superscript"/>
                <w:lang w:eastAsia="zh-CN" w:bidi="ar"/>
              </w:rPr>
              <w:t>L</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bCs/>
                <w:kern w:val="2"/>
                <w:sz w:val="21"/>
                <w:szCs w:val="21"/>
              </w:rPr>
              <w:t>氰化物</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0.001</w:t>
            </w:r>
            <w:r>
              <w:rPr>
                <w:rFonts w:hint="eastAsia" w:hAnsi="Times New Roman" w:eastAsia="宋体"/>
                <w:kern w:val="2"/>
                <w:sz w:val="21"/>
                <w:szCs w:val="21"/>
                <w:vertAlign w:val="superscript"/>
              </w:rPr>
              <w:t>L</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0.001</w:t>
            </w:r>
            <w:r>
              <w:rPr>
                <w:rFonts w:hint="eastAsia" w:hAnsi="Times New Roman" w:eastAsia="宋体"/>
                <w:kern w:val="2"/>
                <w:sz w:val="21"/>
                <w:szCs w:val="21"/>
                <w:vertAlign w:val="superscript"/>
              </w:rPr>
              <w:t>L</w:t>
            </w:r>
          </w:p>
        </w:tc>
        <w:tc>
          <w:tcPr>
            <w:tcW w:w="690"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0.001</w:t>
            </w:r>
            <w:r>
              <w:rPr>
                <w:rFonts w:hint="eastAsia" w:hAnsi="Times New Roman" w:eastAsia="宋体"/>
                <w:kern w:val="2"/>
                <w:sz w:val="21"/>
                <w:szCs w:val="21"/>
                <w:vertAlign w:val="superscript"/>
                <w:lang w:eastAsia="zh-CN" w:bidi="ar"/>
              </w:rPr>
              <w:t>L</w:t>
            </w:r>
          </w:p>
        </w:tc>
        <w:tc>
          <w:tcPr>
            <w:tcW w:w="637"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0.001</w:t>
            </w:r>
            <w:r>
              <w:rPr>
                <w:rFonts w:hint="eastAsia" w:hAnsi="Times New Roman" w:eastAsia="宋体"/>
                <w:kern w:val="2"/>
                <w:sz w:val="21"/>
                <w:szCs w:val="21"/>
                <w:vertAlign w:val="superscript"/>
                <w:lang w:eastAsia="zh-CN" w:bidi="ar"/>
              </w:rPr>
              <w:t>L</w:t>
            </w:r>
          </w:p>
        </w:tc>
        <w:tc>
          <w:tcPr>
            <w:tcW w:w="644"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0.001</w:t>
            </w:r>
            <w:r>
              <w:rPr>
                <w:rFonts w:hint="eastAsia" w:hAnsi="Times New Roman" w:eastAsia="宋体"/>
                <w:kern w:val="2"/>
                <w:sz w:val="21"/>
                <w:szCs w:val="21"/>
                <w:vertAlign w:val="superscript"/>
                <w:lang w:eastAsia="zh-CN" w:bidi="ar"/>
              </w:rPr>
              <w:t>L</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bCs/>
                <w:kern w:val="2"/>
                <w:sz w:val="21"/>
                <w:szCs w:val="21"/>
              </w:rPr>
              <w:t>砷</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0.0003</w:t>
            </w:r>
            <w:r>
              <w:rPr>
                <w:rFonts w:hint="eastAsia" w:hAnsi="Times New Roman" w:eastAsia="宋体"/>
                <w:kern w:val="2"/>
                <w:sz w:val="21"/>
                <w:szCs w:val="21"/>
                <w:vertAlign w:val="superscript"/>
              </w:rPr>
              <w:t>L</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0.0003</w:t>
            </w:r>
            <w:r>
              <w:rPr>
                <w:rFonts w:hint="eastAsia" w:hAnsi="Times New Roman" w:eastAsia="宋体"/>
                <w:kern w:val="2"/>
                <w:sz w:val="21"/>
                <w:szCs w:val="21"/>
                <w:vertAlign w:val="superscript"/>
              </w:rPr>
              <w:t>L</w:t>
            </w:r>
          </w:p>
        </w:tc>
        <w:tc>
          <w:tcPr>
            <w:tcW w:w="690"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0.0003</w:t>
            </w:r>
            <w:r>
              <w:rPr>
                <w:rFonts w:hint="eastAsia" w:hAnsi="Times New Roman" w:eastAsia="宋体"/>
                <w:kern w:val="2"/>
                <w:sz w:val="21"/>
                <w:szCs w:val="21"/>
                <w:vertAlign w:val="superscript"/>
                <w:lang w:eastAsia="zh-CN" w:bidi="ar"/>
              </w:rPr>
              <w:t>L</w:t>
            </w:r>
          </w:p>
        </w:tc>
        <w:tc>
          <w:tcPr>
            <w:tcW w:w="637"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0.0003</w:t>
            </w:r>
            <w:r>
              <w:rPr>
                <w:rFonts w:hint="eastAsia" w:hAnsi="Times New Roman" w:eastAsia="宋体"/>
                <w:kern w:val="2"/>
                <w:sz w:val="21"/>
                <w:szCs w:val="21"/>
                <w:vertAlign w:val="superscript"/>
                <w:lang w:eastAsia="zh-CN" w:bidi="ar"/>
              </w:rPr>
              <w:t>L</w:t>
            </w:r>
          </w:p>
        </w:tc>
        <w:tc>
          <w:tcPr>
            <w:tcW w:w="644"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0.0003</w:t>
            </w:r>
            <w:r>
              <w:rPr>
                <w:rFonts w:hint="eastAsia" w:hAnsi="Times New Roman" w:eastAsia="宋体"/>
                <w:kern w:val="2"/>
                <w:sz w:val="21"/>
                <w:szCs w:val="21"/>
                <w:vertAlign w:val="superscript"/>
                <w:lang w:eastAsia="zh-CN" w:bidi="ar"/>
              </w:rPr>
              <w:t>L</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bCs/>
                <w:kern w:val="2"/>
                <w:sz w:val="21"/>
                <w:szCs w:val="21"/>
              </w:rPr>
              <w:t>汞</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rPr>
              <w:t>0.0000</w:t>
            </w:r>
            <w:r>
              <w:rPr>
                <w:rFonts w:hint="eastAsia" w:hAnsi="Times New Roman" w:eastAsia="宋体"/>
                <w:kern w:val="2"/>
                <w:sz w:val="21"/>
                <w:szCs w:val="21"/>
                <w:lang w:eastAsia="zh-CN"/>
              </w:rPr>
              <w:t>015</w:t>
            </w:r>
            <w:r>
              <w:rPr>
                <w:rFonts w:hint="eastAsia" w:hAnsi="Times New Roman" w:eastAsia="宋体"/>
                <w:kern w:val="2"/>
                <w:sz w:val="21"/>
                <w:szCs w:val="21"/>
                <w:vertAlign w:val="superscript"/>
                <w:lang w:eastAsia="zh-CN"/>
              </w:rPr>
              <w:t>L</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0.0000</w:t>
            </w:r>
            <w:r>
              <w:rPr>
                <w:rFonts w:hint="eastAsia" w:hAnsi="Times New Roman" w:eastAsia="宋体"/>
                <w:kern w:val="2"/>
                <w:sz w:val="21"/>
                <w:szCs w:val="21"/>
                <w:lang w:eastAsia="zh-CN"/>
              </w:rPr>
              <w:t>015</w:t>
            </w:r>
            <w:r>
              <w:rPr>
                <w:rFonts w:hint="eastAsia" w:hAnsi="Times New Roman" w:eastAsia="宋体"/>
                <w:kern w:val="2"/>
                <w:sz w:val="21"/>
                <w:szCs w:val="21"/>
                <w:vertAlign w:val="superscript"/>
                <w:lang w:eastAsia="zh-CN"/>
              </w:rPr>
              <w:t>L</w:t>
            </w:r>
          </w:p>
        </w:tc>
        <w:tc>
          <w:tcPr>
            <w:tcW w:w="690"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0.0000330</w:t>
            </w:r>
          </w:p>
        </w:tc>
        <w:tc>
          <w:tcPr>
            <w:tcW w:w="637"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0.0000220</w:t>
            </w:r>
          </w:p>
        </w:tc>
        <w:tc>
          <w:tcPr>
            <w:tcW w:w="644"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0.0000390</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bCs/>
                <w:kern w:val="2"/>
                <w:sz w:val="21"/>
                <w:szCs w:val="21"/>
              </w:rPr>
              <w:t>六价铬</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0.004</w:t>
            </w:r>
            <w:r>
              <w:rPr>
                <w:rStyle w:val="68"/>
                <w:rFonts w:hint="default" w:ascii="Times New Roman" w:hAnsi="Times New Roman" w:cs="Times New Roman"/>
                <w:color w:val="auto"/>
                <w:kern w:val="2"/>
                <w:sz w:val="21"/>
                <w:szCs w:val="21"/>
                <w:lang w:eastAsia="zh-CN" w:bidi="ar"/>
              </w:rPr>
              <w:t>L</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0.004</w:t>
            </w:r>
            <w:r>
              <w:rPr>
                <w:rStyle w:val="68"/>
                <w:rFonts w:hint="default" w:ascii="Times New Roman" w:hAnsi="Times New Roman" w:cs="Times New Roman"/>
                <w:color w:val="auto"/>
                <w:kern w:val="2"/>
                <w:sz w:val="21"/>
                <w:szCs w:val="21"/>
                <w:lang w:eastAsia="zh-CN" w:bidi="ar"/>
              </w:rPr>
              <w:t>L</w:t>
            </w:r>
          </w:p>
        </w:tc>
        <w:tc>
          <w:tcPr>
            <w:tcW w:w="690"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0.004</w:t>
            </w:r>
            <w:r>
              <w:rPr>
                <w:rStyle w:val="68"/>
                <w:rFonts w:hint="default" w:ascii="Times New Roman" w:hAnsi="Times New Roman" w:cs="Times New Roman"/>
                <w:color w:val="auto"/>
                <w:kern w:val="2"/>
                <w:sz w:val="21"/>
                <w:szCs w:val="21"/>
                <w:lang w:eastAsia="zh-CN" w:bidi="ar"/>
              </w:rPr>
              <w:t>L</w:t>
            </w:r>
          </w:p>
        </w:tc>
        <w:tc>
          <w:tcPr>
            <w:tcW w:w="637"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0.004</w:t>
            </w:r>
            <w:r>
              <w:rPr>
                <w:rStyle w:val="68"/>
                <w:rFonts w:hint="default" w:ascii="Times New Roman" w:hAnsi="Times New Roman" w:cs="Times New Roman"/>
                <w:color w:val="auto"/>
                <w:kern w:val="2"/>
                <w:sz w:val="21"/>
                <w:szCs w:val="21"/>
                <w:lang w:eastAsia="zh-CN" w:bidi="ar"/>
              </w:rPr>
              <w:t>L</w:t>
            </w:r>
          </w:p>
        </w:tc>
        <w:tc>
          <w:tcPr>
            <w:tcW w:w="644"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0.004</w:t>
            </w:r>
            <w:r>
              <w:rPr>
                <w:rStyle w:val="68"/>
                <w:rFonts w:hint="default" w:ascii="Times New Roman" w:hAnsi="Times New Roman" w:cs="Times New Roman"/>
                <w:color w:val="auto"/>
                <w:kern w:val="2"/>
                <w:sz w:val="21"/>
                <w:szCs w:val="21"/>
                <w:lang w:eastAsia="zh-CN" w:bidi="ar"/>
              </w:rPr>
              <w:t>L</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bCs/>
                <w:kern w:val="2"/>
                <w:sz w:val="21"/>
                <w:szCs w:val="21"/>
              </w:rPr>
              <w:t>总硬度</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12</w:t>
            </w:r>
            <w:r>
              <w:rPr>
                <w:rFonts w:hint="eastAsia" w:hAnsi="Times New Roman" w:eastAsia="宋体"/>
                <w:kern w:val="2"/>
                <w:sz w:val="21"/>
                <w:szCs w:val="21"/>
                <w:lang w:eastAsia="zh-CN"/>
              </w:rPr>
              <w:t>5</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139</w:t>
            </w:r>
          </w:p>
        </w:tc>
        <w:tc>
          <w:tcPr>
            <w:tcW w:w="690"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89</w:t>
            </w:r>
          </w:p>
        </w:tc>
        <w:tc>
          <w:tcPr>
            <w:tcW w:w="637"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152</w:t>
            </w:r>
          </w:p>
        </w:tc>
        <w:tc>
          <w:tcPr>
            <w:tcW w:w="644"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188</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bCs/>
                <w:kern w:val="2"/>
                <w:sz w:val="21"/>
                <w:szCs w:val="21"/>
              </w:rPr>
              <w:t>氟化物</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0.0</w:t>
            </w:r>
            <w:r>
              <w:rPr>
                <w:rFonts w:hint="eastAsia" w:hAnsi="Times New Roman" w:eastAsia="宋体"/>
                <w:kern w:val="2"/>
                <w:sz w:val="21"/>
                <w:szCs w:val="21"/>
                <w:lang w:eastAsia="zh-CN"/>
              </w:rPr>
              <w:t>32</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w:t>
            </w:r>
            <w:r>
              <w:rPr>
                <w:rFonts w:hint="eastAsia" w:hAnsi="Times New Roman" w:eastAsia="宋体"/>
                <w:kern w:val="2"/>
                <w:sz w:val="21"/>
                <w:szCs w:val="21"/>
                <w:lang w:eastAsia="zh-CN"/>
              </w:rPr>
              <w:t>020</w:t>
            </w:r>
          </w:p>
        </w:tc>
        <w:tc>
          <w:tcPr>
            <w:tcW w:w="690"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0.006</w:t>
            </w:r>
            <w:r>
              <w:rPr>
                <w:rFonts w:hint="eastAsia" w:hAnsi="Times New Roman" w:eastAsia="宋体"/>
                <w:kern w:val="2"/>
                <w:sz w:val="21"/>
                <w:szCs w:val="21"/>
                <w:vertAlign w:val="superscript"/>
              </w:rPr>
              <w:t>L</w:t>
            </w:r>
          </w:p>
        </w:tc>
        <w:tc>
          <w:tcPr>
            <w:tcW w:w="637"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0.114</w:t>
            </w:r>
          </w:p>
        </w:tc>
        <w:tc>
          <w:tcPr>
            <w:tcW w:w="644"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0.482</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镉</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0.0001</w:t>
            </w:r>
            <w:r>
              <w:rPr>
                <w:rFonts w:hint="eastAsia" w:hAnsi="Times New Roman" w:eastAsia="宋体"/>
                <w:kern w:val="2"/>
                <w:sz w:val="21"/>
                <w:szCs w:val="21"/>
                <w:vertAlign w:val="superscript"/>
                <w:lang w:eastAsia="zh-CN"/>
              </w:rPr>
              <w:t>L</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0.0001</w:t>
            </w:r>
            <w:r>
              <w:rPr>
                <w:rFonts w:hint="eastAsia" w:hAnsi="Times New Roman" w:eastAsia="宋体"/>
                <w:kern w:val="2"/>
                <w:sz w:val="21"/>
                <w:szCs w:val="21"/>
                <w:vertAlign w:val="superscript"/>
                <w:lang w:eastAsia="zh-CN"/>
              </w:rPr>
              <w:t>L</w:t>
            </w:r>
          </w:p>
        </w:tc>
        <w:tc>
          <w:tcPr>
            <w:tcW w:w="690"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0.0001</w:t>
            </w:r>
            <w:r>
              <w:rPr>
                <w:rFonts w:hint="eastAsia" w:hAnsi="Times New Roman" w:eastAsia="宋体"/>
                <w:kern w:val="2"/>
                <w:sz w:val="21"/>
                <w:szCs w:val="21"/>
                <w:vertAlign w:val="superscript"/>
                <w:lang w:eastAsia="zh-CN"/>
              </w:rPr>
              <w:t>L</w:t>
            </w:r>
          </w:p>
        </w:tc>
        <w:tc>
          <w:tcPr>
            <w:tcW w:w="637"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0.0001</w:t>
            </w:r>
            <w:r>
              <w:rPr>
                <w:rFonts w:hint="eastAsia" w:hAnsi="Times New Roman" w:eastAsia="宋体"/>
                <w:kern w:val="2"/>
                <w:sz w:val="21"/>
                <w:szCs w:val="21"/>
                <w:vertAlign w:val="superscript"/>
                <w:lang w:eastAsia="zh-CN"/>
              </w:rPr>
              <w:t>L</w:t>
            </w:r>
          </w:p>
        </w:tc>
        <w:tc>
          <w:tcPr>
            <w:tcW w:w="644"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0.0001</w:t>
            </w:r>
            <w:r>
              <w:rPr>
                <w:rFonts w:hint="eastAsia" w:hAnsi="Times New Roman" w:eastAsia="宋体"/>
                <w:kern w:val="2"/>
                <w:sz w:val="21"/>
                <w:szCs w:val="21"/>
                <w:vertAlign w:val="superscript"/>
                <w:lang w:eastAsia="zh-CN"/>
              </w:rPr>
              <w:t>L</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bCs/>
                <w:kern w:val="2"/>
                <w:sz w:val="21"/>
                <w:szCs w:val="21"/>
              </w:rPr>
              <w:t>铁</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0.02</w:t>
            </w:r>
            <w:r>
              <w:rPr>
                <w:rFonts w:hint="eastAsia" w:hAnsi="Times New Roman" w:eastAsia="宋体"/>
                <w:kern w:val="2"/>
                <w:sz w:val="21"/>
                <w:szCs w:val="21"/>
                <w:vertAlign w:val="superscript"/>
              </w:rPr>
              <w:t>L</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0.02</w:t>
            </w:r>
            <w:r>
              <w:rPr>
                <w:rFonts w:hint="eastAsia" w:hAnsi="Times New Roman" w:eastAsia="宋体"/>
                <w:kern w:val="2"/>
                <w:sz w:val="21"/>
                <w:szCs w:val="21"/>
                <w:vertAlign w:val="superscript"/>
              </w:rPr>
              <w:t>L</w:t>
            </w:r>
          </w:p>
        </w:tc>
        <w:tc>
          <w:tcPr>
            <w:tcW w:w="690"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0.0001</w:t>
            </w:r>
          </w:p>
        </w:tc>
        <w:tc>
          <w:tcPr>
            <w:tcW w:w="637"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0.0004</w:t>
            </w:r>
          </w:p>
        </w:tc>
        <w:tc>
          <w:tcPr>
            <w:tcW w:w="644"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0.0007</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bCs/>
                <w:kern w:val="2"/>
                <w:sz w:val="21"/>
                <w:szCs w:val="21"/>
              </w:rPr>
              <w:t>锰</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0.004</w:t>
            </w:r>
            <w:r>
              <w:rPr>
                <w:rFonts w:hint="eastAsia" w:hAnsi="Times New Roman" w:eastAsia="宋体"/>
                <w:kern w:val="2"/>
                <w:sz w:val="21"/>
                <w:szCs w:val="21"/>
                <w:vertAlign w:val="superscript"/>
                <w:lang w:eastAsia="zh-CN" w:bidi="ar"/>
              </w:rPr>
              <w:t>L</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0.004</w:t>
            </w:r>
            <w:r>
              <w:rPr>
                <w:rFonts w:hint="eastAsia" w:hAnsi="Times New Roman" w:eastAsia="宋体"/>
                <w:kern w:val="2"/>
                <w:sz w:val="21"/>
                <w:szCs w:val="21"/>
                <w:vertAlign w:val="superscript"/>
                <w:lang w:eastAsia="zh-CN" w:bidi="ar"/>
              </w:rPr>
              <w:t>L</w:t>
            </w:r>
          </w:p>
        </w:tc>
        <w:tc>
          <w:tcPr>
            <w:tcW w:w="690"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0.004</w:t>
            </w:r>
            <w:r>
              <w:rPr>
                <w:rFonts w:hint="eastAsia" w:hAnsi="Times New Roman" w:eastAsia="宋体"/>
                <w:kern w:val="2"/>
                <w:sz w:val="21"/>
                <w:szCs w:val="21"/>
                <w:vertAlign w:val="superscript"/>
                <w:lang w:eastAsia="zh-CN" w:bidi="ar"/>
              </w:rPr>
              <w:t>L</w:t>
            </w:r>
          </w:p>
        </w:tc>
        <w:tc>
          <w:tcPr>
            <w:tcW w:w="637"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0.023</w:t>
            </w:r>
          </w:p>
        </w:tc>
        <w:tc>
          <w:tcPr>
            <w:tcW w:w="644"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0.004</w:t>
            </w:r>
            <w:r>
              <w:rPr>
                <w:rFonts w:hint="eastAsia" w:hAnsi="Times New Roman" w:eastAsia="宋体"/>
                <w:kern w:val="2"/>
                <w:sz w:val="21"/>
                <w:szCs w:val="21"/>
                <w:vertAlign w:val="superscript"/>
                <w:lang w:eastAsia="zh-CN" w:bidi="ar"/>
              </w:rPr>
              <w:t>L</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铅</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0.001</w:t>
            </w:r>
            <w:r>
              <w:rPr>
                <w:rFonts w:hint="eastAsia" w:hAnsi="Times New Roman" w:eastAsia="宋体"/>
                <w:kern w:val="2"/>
                <w:sz w:val="21"/>
                <w:szCs w:val="21"/>
                <w:vertAlign w:val="superscript"/>
              </w:rPr>
              <w:t>L</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0.001</w:t>
            </w:r>
            <w:r>
              <w:rPr>
                <w:rFonts w:hint="eastAsia" w:hAnsi="Times New Roman" w:eastAsia="宋体"/>
                <w:kern w:val="2"/>
                <w:sz w:val="21"/>
                <w:szCs w:val="21"/>
                <w:vertAlign w:val="superscript"/>
              </w:rPr>
              <w:t>L</w:t>
            </w:r>
          </w:p>
        </w:tc>
        <w:tc>
          <w:tcPr>
            <w:tcW w:w="690"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0.001</w:t>
            </w:r>
            <w:r>
              <w:rPr>
                <w:rFonts w:hint="eastAsia" w:hAnsi="Times New Roman" w:eastAsia="宋体"/>
                <w:kern w:val="2"/>
                <w:sz w:val="21"/>
                <w:szCs w:val="21"/>
                <w:vertAlign w:val="superscript"/>
                <w:lang w:eastAsia="zh-CN" w:bidi="ar"/>
              </w:rPr>
              <w:t>L</w:t>
            </w:r>
          </w:p>
        </w:tc>
        <w:tc>
          <w:tcPr>
            <w:tcW w:w="637"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0.001</w:t>
            </w:r>
            <w:r>
              <w:rPr>
                <w:rFonts w:hint="eastAsia" w:hAnsi="Times New Roman" w:eastAsia="宋体"/>
                <w:kern w:val="2"/>
                <w:sz w:val="21"/>
                <w:szCs w:val="21"/>
                <w:vertAlign w:val="superscript"/>
                <w:lang w:eastAsia="zh-CN" w:bidi="ar"/>
              </w:rPr>
              <w:t>L</w:t>
            </w:r>
          </w:p>
        </w:tc>
        <w:tc>
          <w:tcPr>
            <w:tcW w:w="644"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0.001</w:t>
            </w:r>
            <w:r>
              <w:rPr>
                <w:rFonts w:hint="eastAsia" w:hAnsi="Times New Roman" w:eastAsia="宋体"/>
                <w:kern w:val="2"/>
                <w:sz w:val="21"/>
                <w:szCs w:val="21"/>
                <w:vertAlign w:val="superscript"/>
                <w:lang w:eastAsia="zh-CN" w:bidi="ar"/>
              </w:rPr>
              <w:t>L</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bCs/>
                <w:kern w:val="2"/>
                <w:sz w:val="21"/>
                <w:szCs w:val="21"/>
              </w:rPr>
              <w:t>溶解性总固体</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150</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162</w:t>
            </w:r>
          </w:p>
        </w:tc>
        <w:tc>
          <w:tcPr>
            <w:tcW w:w="690"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111</w:t>
            </w:r>
          </w:p>
        </w:tc>
        <w:tc>
          <w:tcPr>
            <w:tcW w:w="637"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186</w:t>
            </w:r>
          </w:p>
        </w:tc>
        <w:tc>
          <w:tcPr>
            <w:tcW w:w="644"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232</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耗氧量</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w:t>
            </w:r>
          </w:p>
        </w:tc>
        <w:tc>
          <w:tcPr>
            <w:tcW w:w="690"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2.24</w:t>
            </w:r>
          </w:p>
        </w:tc>
        <w:tc>
          <w:tcPr>
            <w:tcW w:w="637"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0.91</w:t>
            </w:r>
          </w:p>
        </w:tc>
        <w:tc>
          <w:tcPr>
            <w:tcW w:w="644"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0.88</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氯化物</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1.26</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1.08</w:t>
            </w:r>
          </w:p>
        </w:tc>
        <w:tc>
          <w:tcPr>
            <w:tcW w:w="690"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3.03</w:t>
            </w:r>
          </w:p>
        </w:tc>
        <w:tc>
          <w:tcPr>
            <w:tcW w:w="637"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9.62</w:t>
            </w:r>
          </w:p>
        </w:tc>
        <w:tc>
          <w:tcPr>
            <w:tcW w:w="644"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5.08</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硫酸盐</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2.81</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1.97</w:t>
            </w:r>
          </w:p>
        </w:tc>
        <w:tc>
          <w:tcPr>
            <w:tcW w:w="690"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5.05</w:t>
            </w:r>
          </w:p>
        </w:tc>
        <w:tc>
          <w:tcPr>
            <w:tcW w:w="637"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3.77</w:t>
            </w:r>
          </w:p>
        </w:tc>
        <w:tc>
          <w:tcPr>
            <w:tcW w:w="644"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2.29</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spacing w:val="-8"/>
                <w:kern w:val="2"/>
                <w:sz w:val="21"/>
                <w:szCs w:val="21"/>
              </w:rPr>
            </w:pPr>
            <w:r>
              <w:rPr>
                <w:rFonts w:hint="eastAsia" w:hAnsi="Times New Roman" w:eastAsia="宋体"/>
                <w:bCs/>
                <w:spacing w:val="-8"/>
                <w:kern w:val="2"/>
                <w:sz w:val="21"/>
                <w:szCs w:val="21"/>
              </w:rPr>
              <w:t>总大肠菌群（</w:t>
            </w:r>
            <w:r>
              <w:rPr>
                <w:rFonts w:hint="eastAsia" w:hAnsi="Times New Roman" w:eastAsia="宋体"/>
                <w:spacing w:val="-8"/>
                <w:kern w:val="2"/>
                <w:sz w:val="21"/>
                <w:szCs w:val="21"/>
              </w:rPr>
              <w:t>MPN/L</w:t>
            </w:r>
            <w:r>
              <w:rPr>
                <w:rFonts w:hint="eastAsia" w:hAnsi="Times New Roman" w:eastAsia="宋体"/>
                <w:bCs/>
                <w:spacing w:val="-8"/>
                <w:kern w:val="2"/>
                <w:sz w:val="21"/>
                <w:szCs w:val="21"/>
              </w:rPr>
              <w:t>）</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20</w:t>
            </w:r>
            <w:r>
              <w:rPr>
                <w:rFonts w:hint="eastAsia" w:hAnsi="Times New Roman" w:eastAsia="宋体"/>
                <w:kern w:val="2"/>
                <w:sz w:val="21"/>
                <w:szCs w:val="21"/>
                <w:vertAlign w:val="superscript"/>
              </w:rPr>
              <w:t>L</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20</w:t>
            </w:r>
            <w:r>
              <w:rPr>
                <w:rFonts w:hint="eastAsia" w:hAnsi="Times New Roman" w:eastAsia="宋体"/>
                <w:kern w:val="2"/>
                <w:sz w:val="21"/>
                <w:szCs w:val="21"/>
                <w:vertAlign w:val="superscript"/>
              </w:rPr>
              <w:t>L</w:t>
            </w:r>
          </w:p>
        </w:tc>
        <w:tc>
          <w:tcPr>
            <w:tcW w:w="690"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20</w:t>
            </w:r>
            <w:r>
              <w:rPr>
                <w:rFonts w:hint="eastAsia" w:hAnsi="Times New Roman" w:eastAsia="宋体"/>
                <w:kern w:val="2"/>
                <w:sz w:val="21"/>
                <w:szCs w:val="21"/>
                <w:vertAlign w:val="superscript"/>
                <w:lang w:eastAsia="zh-CN"/>
              </w:rPr>
              <w:t>L</w:t>
            </w:r>
          </w:p>
        </w:tc>
        <w:tc>
          <w:tcPr>
            <w:tcW w:w="637"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20</w:t>
            </w:r>
            <w:r>
              <w:rPr>
                <w:rFonts w:hint="eastAsia" w:hAnsi="Times New Roman" w:eastAsia="宋体"/>
                <w:kern w:val="2"/>
                <w:sz w:val="21"/>
                <w:szCs w:val="21"/>
                <w:vertAlign w:val="superscript"/>
                <w:lang w:eastAsia="zh-CN"/>
              </w:rPr>
              <w:t>L</w:t>
            </w:r>
          </w:p>
        </w:tc>
        <w:tc>
          <w:tcPr>
            <w:tcW w:w="644"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20</w:t>
            </w:r>
            <w:r>
              <w:rPr>
                <w:rFonts w:hint="eastAsia" w:hAnsi="Times New Roman" w:eastAsia="宋体"/>
                <w:kern w:val="2"/>
                <w:sz w:val="21"/>
                <w:szCs w:val="21"/>
                <w:vertAlign w:val="superscript"/>
                <w:lang w:eastAsia="zh-CN"/>
              </w:rPr>
              <w:t>L</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3.0</w:t>
            </w:r>
            <w:r>
              <w:rPr>
                <w:rFonts w:hint="eastAsia" w:hAnsi="Times New Roman" w:eastAsia="宋体"/>
                <w:bCs/>
                <w:spacing w:val="-8"/>
                <w:kern w:val="2"/>
                <w:sz w:val="21"/>
                <w:szCs w:val="21"/>
              </w:rPr>
              <w:t>（</w:t>
            </w:r>
            <w:r>
              <w:rPr>
                <w:rFonts w:hint="eastAsia" w:hAnsi="Times New Roman" w:eastAsia="宋体"/>
                <w:spacing w:val="-8"/>
                <w:kern w:val="2"/>
                <w:sz w:val="21"/>
                <w:szCs w:val="21"/>
              </w:rPr>
              <w:t>MPN/</w:t>
            </w:r>
            <w:r>
              <w:rPr>
                <w:rFonts w:hint="eastAsia" w:hAnsi="Times New Roman" w:eastAsia="宋体"/>
                <w:spacing w:val="-8"/>
                <w:kern w:val="2"/>
                <w:sz w:val="21"/>
                <w:szCs w:val="21"/>
                <w:lang w:eastAsia="zh-CN"/>
              </w:rPr>
              <w:t>100</w:t>
            </w:r>
            <w:r>
              <w:rPr>
                <w:rFonts w:hint="eastAsia" w:hAnsi="Times New Roman" w:eastAsia="宋体"/>
                <w:spacing w:val="-8"/>
                <w:kern w:val="2"/>
                <w:sz w:val="21"/>
                <w:szCs w:val="21"/>
              </w:rPr>
              <w:t>L</w:t>
            </w:r>
            <w:r>
              <w:rPr>
                <w:rFonts w:hint="eastAsia" w:hAnsi="Times New Roman" w:eastAsia="宋体"/>
                <w:bCs/>
                <w:spacing w:val="-8"/>
                <w:kern w:val="2"/>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kern w:val="2"/>
                <w:sz w:val="21"/>
                <w:szCs w:val="21"/>
              </w:rPr>
            </w:pPr>
            <w:r>
              <w:rPr>
                <w:rFonts w:hint="eastAsia" w:hAnsi="Times New Roman" w:eastAsia="宋体" w:cs="Times New Roman"/>
                <w:bCs/>
                <w:kern w:val="2"/>
                <w:sz w:val="21"/>
                <w:szCs w:val="21"/>
              </w:rPr>
              <w:t>K</w:t>
            </w:r>
            <w:r>
              <w:rPr>
                <w:rFonts w:hint="eastAsia" w:hAnsi="Times New Roman" w:eastAsia="宋体" w:cs="Times New Roman"/>
                <w:bCs/>
                <w:kern w:val="2"/>
                <w:sz w:val="21"/>
                <w:szCs w:val="21"/>
                <w:vertAlign w:val="superscript"/>
              </w:rPr>
              <w:t>+</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w:t>
            </w:r>
            <w:r>
              <w:rPr>
                <w:rFonts w:hint="eastAsia" w:hAnsi="Times New Roman" w:eastAsia="宋体"/>
                <w:kern w:val="2"/>
                <w:sz w:val="21"/>
                <w:szCs w:val="21"/>
                <w:lang w:eastAsia="zh-CN"/>
              </w:rPr>
              <w:t>51</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0.88</w:t>
            </w:r>
          </w:p>
        </w:tc>
        <w:tc>
          <w:tcPr>
            <w:tcW w:w="690"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4.85</w:t>
            </w:r>
          </w:p>
        </w:tc>
        <w:tc>
          <w:tcPr>
            <w:tcW w:w="637"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2.96</w:t>
            </w:r>
          </w:p>
        </w:tc>
        <w:tc>
          <w:tcPr>
            <w:tcW w:w="644"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5.83</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pStyle w:val="58"/>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bCs/>
                <w:kern w:val="2"/>
                <w:sz w:val="21"/>
                <w:szCs w:val="21"/>
              </w:rPr>
              <w:t>Na</w:t>
            </w:r>
            <w:r>
              <w:rPr>
                <w:rFonts w:hint="eastAsia" w:hAnsi="Times New Roman" w:eastAsia="宋体"/>
                <w:bCs/>
                <w:kern w:val="2"/>
                <w:sz w:val="21"/>
                <w:szCs w:val="21"/>
                <w:vertAlign w:val="superscript"/>
              </w:rPr>
              <w:t>+</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3.78</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11.6</w:t>
            </w:r>
          </w:p>
        </w:tc>
        <w:tc>
          <w:tcPr>
            <w:tcW w:w="690"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15.4</w:t>
            </w:r>
          </w:p>
        </w:tc>
        <w:tc>
          <w:tcPr>
            <w:tcW w:w="637"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26.2</w:t>
            </w:r>
          </w:p>
        </w:tc>
        <w:tc>
          <w:tcPr>
            <w:tcW w:w="644"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20.7</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pStyle w:val="57"/>
              <w:keepNext w:val="0"/>
              <w:keepLines w:val="0"/>
              <w:suppressLineNumbers w:val="0"/>
              <w:snapToGrid w:val="0"/>
              <w:spacing w:before="0" w:beforeAutospacing="0" w:after="0" w:afterAutospacing="0" w:line="240" w:lineRule="exact"/>
              <w:ind w:left="0" w:right="0"/>
              <w:rPr>
                <w:rFonts w:hint="eastAsia" w:hAnsi="Times New Roman" w:eastAsia="宋体" w:cs="Times New Roman"/>
                <w:kern w:val="2"/>
                <w:sz w:val="21"/>
                <w:szCs w:val="21"/>
              </w:rPr>
            </w:pPr>
            <w:r>
              <w:rPr>
                <w:rFonts w:hint="eastAsia" w:hAnsi="Times New Roman" w:eastAsia="宋体" w:cs="Times New Roman"/>
                <w:bCs/>
                <w:kern w:val="2"/>
                <w:sz w:val="21"/>
                <w:szCs w:val="21"/>
              </w:rPr>
              <w:t>Ca</w:t>
            </w:r>
            <w:r>
              <w:rPr>
                <w:rFonts w:hint="eastAsia" w:hAnsi="Times New Roman" w:eastAsia="宋体" w:cs="Times New Roman"/>
                <w:bCs/>
                <w:kern w:val="2"/>
                <w:sz w:val="21"/>
                <w:szCs w:val="21"/>
                <w:vertAlign w:val="superscript"/>
              </w:rPr>
              <w:t>2+</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59.5</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26.3</w:t>
            </w:r>
          </w:p>
        </w:tc>
        <w:tc>
          <w:tcPr>
            <w:tcW w:w="690"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7.52</w:t>
            </w:r>
          </w:p>
        </w:tc>
        <w:tc>
          <w:tcPr>
            <w:tcW w:w="637"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54.5</w:t>
            </w:r>
          </w:p>
        </w:tc>
        <w:tc>
          <w:tcPr>
            <w:tcW w:w="644"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70.5</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pStyle w:val="58"/>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bCs/>
                <w:kern w:val="2"/>
                <w:sz w:val="21"/>
                <w:szCs w:val="21"/>
              </w:rPr>
              <w:t>Mg</w:t>
            </w:r>
            <w:r>
              <w:rPr>
                <w:rFonts w:hint="eastAsia" w:hAnsi="Times New Roman" w:eastAsia="宋体"/>
                <w:bCs/>
                <w:kern w:val="2"/>
                <w:sz w:val="21"/>
                <w:szCs w:val="21"/>
                <w:vertAlign w:val="superscript"/>
              </w:rPr>
              <w:t>2+</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4.33</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6.31</w:t>
            </w:r>
          </w:p>
        </w:tc>
        <w:tc>
          <w:tcPr>
            <w:tcW w:w="690"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10.9</w:t>
            </w:r>
          </w:p>
        </w:tc>
        <w:tc>
          <w:tcPr>
            <w:tcW w:w="637"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9.85</w:t>
            </w:r>
          </w:p>
        </w:tc>
        <w:tc>
          <w:tcPr>
            <w:tcW w:w="644"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19.9</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spacing w:val="-2"/>
                <w:kern w:val="2"/>
                <w:sz w:val="21"/>
                <w:szCs w:val="21"/>
              </w:rPr>
              <w:t>CO</w:t>
            </w:r>
            <w:r>
              <w:rPr>
                <w:rFonts w:hint="eastAsia" w:hAnsi="Times New Roman" w:eastAsia="宋体"/>
                <w:bCs/>
                <w:spacing w:val="-2"/>
                <w:kern w:val="2"/>
                <w:sz w:val="21"/>
                <w:szCs w:val="21"/>
                <w:vertAlign w:val="subscript"/>
              </w:rPr>
              <w:t>3</w:t>
            </w:r>
            <w:r>
              <w:rPr>
                <w:rFonts w:hint="eastAsia" w:hAnsi="Times New Roman" w:eastAsia="宋体"/>
                <w:bCs/>
                <w:spacing w:val="-2"/>
                <w:kern w:val="2"/>
                <w:sz w:val="21"/>
                <w:szCs w:val="21"/>
                <w:vertAlign w:val="superscript"/>
              </w:rPr>
              <w:t>2-</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5</w:t>
            </w:r>
            <w:r>
              <w:rPr>
                <w:rFonts w:hint="eastAsia" w:hAnsi="Times New Roman" w:eastAsia="宋体"/>
                <w:kern w:val="2"/>
                <w:sz w:val="21"/>
                <w:szCs w:val="21"/>
                <w:vertAlign w:val="superscript"/>
                <w:lang w:eastAsia="zh-CN"/>
              </w:rPr>
              <w:t>L</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5</w:t>
            </w:r>
            <w:r>
              <w:rPr>
                <w:rFonts w:hint="eastAsia" w:hAnsi="Times New Roman" w:eastAsia="宋体"/>
                <w:kern w:val="2"/>
                <w:sz w:val="21"/>
                <w:szCs w:val="21"/>
                <w:vertAlign w:val="superscript"/>
                <w:lang w:eastAsia="zh-CN"/>
              </w:rPr>
              <w:t>L</w:t>
            </w:r>
          </w:p>
        </w:tc>
        <w:tc>
          <w:tcPr>
            <w:tcW w:w="690"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637"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644"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spacing w:val="-2"/>
                <w:kern w:val="2"/>
                <w:sz w:val="21"/>
                <w:szCs w:val="21"/>
              </w:rPr>
            </w:pPr>
            <w:r>
              <w:rPr>
                <w:rFonts w:hint="eastAsia" w:hAnsi="Times New Roman" w:eastAsia="宋体"/>
                <w:bCs/>
                <w:spacing w:val="-2"/>
                <w:kern w:val="2"/>
                <w:sz w:val="21"/>
                <w:szCs w:val="21"/>
              </w:rPr>
              <w:t>HCO</w:t>
            </w:r>
            <w:r>
              <w:rPr>
                <w:rFonts w:hint="eastAsia" w:hAnsi="Times New Roman" w:eastAsia="宋体"/>
                <w:bCs/>
                <w:spacing w:val="-2"/>
                <w:kern w:val="2"/>
                <w:sz w:val="21"/>
                <w:szCs w:val="21"/>
                <w:vertAlign w:val="subscript"/>
              </w:rPr>
              <w:t>3</w:t>
            </w:r>
            <w:r>
              <w:rPr>
                <w:rFonts w:hint="eastAsia" w:hAnsi="Times New Roman" w:eastAsia="宋体"/>
                <w:bCs/>
                <w:spacing w:val="-2"/>
                <w:kern w:val="2"/>
                <w:sz w:val="21"/>
                <w:szCs w:val="21"/>
                <w:vertAlign w:val="superscript"/>
              </w:rPr>
              <w:t>-</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202</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134</w:t>
            </w:r>
          </w:p>
        </w:tc>
        <w:tc>
          <w:tcPr>
            <w:tcW w:w="690"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144</w:t>
            </w:r>
          </w:p>
        </w:tc>
        <w:tc>
          <w:tcPr>
            <w:tcW w:w="637"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115</w:t>
            </w:r>
          </w:p>
        </w:tc>
        <w:tc>
          <w:tcPr>
            <w:tcW w:w="644"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105</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spacing w:val="-2"/>
                <w:kern w:val="2"/>
                <w:sz w:val="21"/>
                <w:szCs w:val="21"/>
                <w:lang w:eastAsia="zh-CN"/>
              </w:rPr>
            </w:pPr>
            <w:r>
              <w:rPr>
                <w:rFonts w:hint="eastAsia" w:hAnsi="Times New Roman" w:eastAsia="宋体"/>
                <w:bCs/>
                <w:spacing w:val="-2"/>
                <w:kern w:val="2"/>
                <w:sz w:val="21"/>
                <w:szCs w:val="21"/>
                <w:lang w:eastAsia="zh-CN"/>
              </w:rPr>
              <w:t>锌</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0.004</w:t>
            </w:r>
            <w:r>
              <w:rPr>
                <w:rFonts w:hint="eastAsia" w:hAnsi="Times New Roman" w:eastAsia="宋体"/>
                <w:kern w:val="2"/>
                <w:sz w:val="21"/>
                <w:szCs w:val="21"/>
                <w:vertAlign w:val="superscript"/>
                <w:lang w:eastAsia="zh-CN"/>
              </w:rPr>
              <w:t>L</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0.004</w:t>
            </w:r>
            <w:r>
              <w:rPr>
                <w:rFonts w:hint="eastAsia" w:hAnsi="Times New Roman" w:eastAsia="宋体"/>
                <w:kern w:val="2"/>
                <w:sz w:val="21"/>
                <w:szCs w:val="21"/>
                <w:vertAlign w:val="superscript"/>
                <w:lang w:eastAsia="zh-CN"/>
              </w:rPr>
              <w:t>L</w:t>
            </w:r>
          </w:p>
        </w:tc>
        <w:tc>
          <w:tcPr>
            <w:tcW w:w="690"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rPr>
              <w:t>0.004</w:t>
            </w:r>
            <w:r>
              <w:rPr>
                <w:rFonts w:hint="eastAsia" w:hAnsi="Times New Roman" w:eastAsia="宋体"/>
                <w:kern w:val="2"/>
                <w:sz w:val="21"/>
                <w:szCs w:val="21"/>
                <w:vertAlign w:val="superscript"/>
              </w:rPr>
              <w:t>L</w:t>
            </w:r>
          </w:p>
        </w:tc>
        <w:tc>
          <w:tcPr>
            <w:tcW w:w="637"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rPr>
              <w:t>0.004</w:t>
            </w:r>
            <w:r>
              <w:rPr>
                <w:rFonts w:hint="eastAsia" w:hAnsi="Times New Roman" w:eastAsia="宋体"/>
                <w:kern w:val="2"/>
                <w:sz w:val="21"/>
                <w:szCs w:val="21"/>
                <w:vertAlign w:val="superscript"/>
              </w:rPr>
              <w:t>L</w:t>
            </w:r>
          </w:p>
        </w:tc>
        <w:tc>
          <w:tcPr>
            <w:tcW w:w="644"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rPr>
              <w:t>0.004</w:t>
            </w:r>
            <w:r>
              <w:rPr>
                <w:rFonts w:hint="eastAsia" w:hAnsi="Times New Roman" w:eastAsia="宋体"/>
                <w:kern w:val="2"/>
                <w:sz w:val="21"/>
                <w:szCs w:val="21"/>
                <w:vertAlign w:val="superscript"/>
              </w:rPr>
              <w:t>L</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spacing w:val="-2"/>
                <w:kern w:val="2"/>
                <w:sz w:val="21"/>
                <w:szCs w:val="21"/>
                <w:lang w:eastAsia="zh-CN"/>
              </w:rPr>
            </w:pPr>
            <w:r>
              <w:rPr>
                <w:rFonts w:hint="eastAsia" w:hAnsi="Times New Roman" w:eastAsia="宋体"/>
                <w:bCs/>
                <w:spacing w:val="-2"/>
                <w:kern w:val="2"/>
                <w:sz w:val="21"/>
                <w:szCs w:val="21"/>
                <w:lang w:eastAsia="zh-CN"/>
              </w:rPr>
              <w:t>铬</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0.03</w:t>
            </w:r>
            <w:r>
              <w:rPr>
                <w:rFonts w:hint="eastAsia" w:hAnsi="Times New Roman" w:eastAsia="宋体"/>
                <w:kern w:val="2"/>
                <w:sz w:val="21"/>
                <w:szCs w:val="21"/>
                <w:vertAlign w:val="superscript"/>
                <w:lang w:eastAsia="zh-CN"/>
              </w:rPr>
              <w:t>L</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0.03</w:t>
            </w:r>
            <w:r>
              <w:rPr>
                <w:rFonts w:hint="eastAsia" w:hAnsi="Times New Roman" w:eastAsia="宋体"/>
                <w:kern w:val="2"/>
                <w:sz w:val="21"/>
                <w:szCs w:val="21"/>
                <w:vertAlign w:val="superscript"/>
                <w:lang w:eastAsia="zh-CN"/>
              </w:rPr>
              <w:t>L</w:t>
            </w:r>
          </w:p>
        </w:tc>
        <w:tc>
          <w:tcPr>
            <w:tcW w:w="690"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0.03</w:t>
            </w:r>
            <w:r>
              <w:rPr>
                <w:rFonts w:hint="eastAsia" w:hAnsi="Times New Roman" w:eastAsia="宋体"/>
                <w:kern w:val="2"/>
                <w:sz w:val="21"/>
                <w:szCs w:val="21"/>
                <w:vertAlign w:val="superscript"/>
                <w:lang w:eastAsia="zh-CN" w:bidi="ar"/>
              </w:rPr>
              <w:t>L</w:t>
            </w:r>
          </w:p>
        </w:tc>
        <w:tc>
          <w:tcPr>
            <w:tcW w:w="637"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0.03</w:t>
            </w:r>
            <w:r>
              <w:rPr>
                <w:rFonts w:hint="eastAsia" w:hAnsi="Times New Roman" w:eastAsia="宋体"/>
                <w:kern w:val="2"/>
                <w:sz w:val="21"/>
                <w:szCs w:val="21"/>
                <w:vertAlign w:val="superscript"/>
                <w:lang w:eastAsia="zh-CN" w:bidi="ar"/>
              </w:rPr>
              <w:t>L</w:t>
            </w:r>
          </w:p>
        </w:tc>
        <w:tc>
          <w:tcPr>
            <w:tcW w:w="644"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0.03</w:t>
            </w:r>
            <w:r>
              <w:rPr>
                <w:rFonts w:hint="eastAsia" w:hAnsi="Times New Roman" w:eastAsia="宋体"/>
                <w:kern w:val="2"/>
                <w:sz w:val="21"/>
                <w:szCs w:val="21"/>
                <w:vertAlign w:val="superscript"/>
                <w:lang w:eastAsia="zh-CN" w:bidi="ar"/>
              </w:rPr>
              <w:t>L</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03" w:type="pct"/>
            <w:shd w:val="clear" w:color="auto" w:fill="auto"/>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spacing w:val="-2"/>
                <w:kern w:val="2"/>
                <w:sz w:val="21"/>
                <w:szCs w:val="21"/>
              </w:rPr>
            </w:pPr>
            <w:r>
              <w:rPr>
                <w:rFonts w:hint="eastAsia" w:hAnsi="Times New Roman" w:eastAsia="宋体"/>
                <w:bCs/>
                <w:spacing w:val="-2"/>
                <w:kern w:val="2"/>
                <w:sz w:val="21"/>
                <w:szCs w:val="21"/>
                <w:lang w:eastAsia="zh-CN"/>
              </w:rPr>
              <w:t>石油类</w:t>
            </w:r>
          </w:p>
        </w:tc>
        <w:tc>
          <w:tcPr>
            <w:tcW w:w="849"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0.01</w:t>
            </w:r>
            <w:r>
              <w:rPr>
                <w:rFonts w:hint="eastAsia" w:hAnsi="Times New Roman" w:eastAsia="宋体"/>
                <w:kern w:val="2"/>
                <w:sz w:val="21"/>
                <w:szCs w:val="21"/>
                <w:vertAlign w:val="superscript"/>
                <w:lang w:eastAsia="zh-CN" w:bidi="ar"/>
              </w:rPr>
              <w:t>L</w:t>
            </w:r>
          </w:p>
        </w:tc>
        <w:tc>
          <w:tcPr>
            <w:tcW w:w="821"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bidi="ar"/>
              </w:rPr>
              <w:t>0.01</w:t>
            </w:r>
            <w:r>
              <w:rPr>
                <w:rFonts w:hint="eastAsia" w:hAnsi="Times New Roman" w:eastAsia="宋体"/>
                <w:kern w:val="2"/>
                <w:sz w:val="21"/>
                <w:szCs w:val="21"/>
                <w:vertAlign w:val="superscript"/>
                <w:lang w:eastAsia="zh-CN" w:bidi="ar"/>
              </w:rPr>
              <w:t>L</w:t>
            </w:r>
          </w:p>
        </w:tc>
        <w:tc>
          <w:tcPr>
            <w:tcW w:w="690"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0.01</w:t>
            </w:r>
            <w:r>
              <w:rPr>
                <w:rFonts w:hint="eastAsia" w:hAnsi="Times New Roman" w:eastAsia="宋体"/>
                <w:kern w:val="2"/>
                <w:sz w:val="21"/>
                <w:szCs w:val="21"/>
                <w:vertAlign w:val="superscript"/>
                <w:lang w:eastAsia="zh-CN" w:bidi="ar"/>
              </w:rPr>
              <w:t>L</w:t>
            </w:r>
          </w:p>
        </w:tc>
        <w:tc>
          <w:tcPr>
            <w:tcW w:w="637"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0.01</w:t>
            </w:r>
            <w:r>
              <w:rPr>
                <w:rFonts w:hint="eastAsia" w:hAnsi="Times New Roman" w:eastAsia="宋体"/>
                <w:kern w:val="2"/>
                <w:sz w:val="21"/>
                <w:szCs w:val="21"/>
                <w:vertAlign w:val="superscript"/>
                <w:lang w:eastAsia="zh-CN" w:bidi="ar"/>
              </w:rPr>
              <w:t>L</w:t>
            </w:r>
          </w:p>
        </w:tc>
        <w:tc>
          <w:tcPr>
            <w:tcW w:w="644" w:type="pct"/>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0.01</w:t>
            </w:r>
            <w:r>
              <w:rPr>
                <w:rFonts w:hint="eastAsia" w:hAnsi="Times New Roman" w:eastAsia="宋体"/>
                <w:kern w:val="2"/>
                <w:sz w:val="21"/>
                <w:szCs w:val="21"/>
                <w:vertAlign w:val="superscript"/>
                <w:lang w:eastAsia="zh-CN" w:bidi="ar"/>
              </w:rPr>
              <w:t>L</w:t>
            </w:r>
          </w:p>
        </w:tc>
        <w:tc>
          <w:tcPr>
            <w:tcW w:w="756" w:type="pct"/>
            <w:shd w:val="clear" w:color="auto" w:fill="auto"/>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bl>
    <w:p>
      <w:pPr>
        <w:pStyle w:val="70"/>
        <w:ind w:firstLine="480"/>
        <w:rPr>
          <w:rFonts w:eastAsia="宋体"/>
          <w:sz w:val="21"/>
          <w:szCs w:val="21"/>
        </w:rPr>
      </w:pPr>
      <w:r>
        <w:rPr>
          <w:rFonts w:eastAsia="宋体"/>
          <w:sz w:val="21"/>
          <w:szCs w:val="21"/>
        </w:rPr>
        <w:t>注：以上检测数据未检出均按/或L计取。</w:t>
      </w:r>
    </w:p>
    <w:p>
      <w:pPr>
        <w:spacing w:line="360" w:lineRule="auto"/>
        <w:ind w:firstLine="480"/>
        <w:rPr>
          <w:rFonts w:hAnsi="Times New Roman" w:eastAsia="宋体"/>
        </w:rPr>
      </w:pPr>
      <w:r>
        <w:rPr>
          <w:rFonts w:hAnsi="Times New Roman" w:eastAsia="宋体"/>
        </w:rPr>
        <w:t>（4）结果评价</w:t>
      </w:r>
      <w:bookmarkEnd w:id="315"/>
    </w:p>
    <w:p>
      <w:pPr>
        <w:spacing w:line="360" w:lineRule="auto"/>
        <w:ind w:firstLine="480"/>
        <w:rPr>
          <w:rFonts w:hAnsi="Times New Roman" w:eastAsia="宋体"/>
        </w:rPr>
      </w:pPr>
      <w:r>
        <w:rPr>
          <w:rFonts w:hAnsi="Times New Roman" w:eastAsia="宋体"/>
        </w:rPr>
        <w:t>1）评价方法</w:t>
      </w:r>
    </w:p>
    <w:p>
      <w:pPr>
        <w:spacing w:line="360" w:lineRule="auto"/>
        <w:ind w:firstLine="480"/>
        <w:rPr>
          <w:rFonts w:hAnsi="Times New Roman" w:eastAsia="宋体"/>
        </w:rPr>
      </w:pPr>
      <w:r>
        <w:rPr>
          <w:rFonts w:hAnsi="Times New Roman" w:eastAsia="宋体"/>
        </w:rPr>
        <w:t>按照《环境影响评价技术导则 地下水环境》（HJ610-2016）的要求，对属于《地下水质量标准》（GB/T14848-2017）水质指标的评价因子，按其Ⅲ类水标准值（表3.4-4）进行评价，对于不属于《地下水质量标准》（GB/T14848-2017）水质指标的评价因子，如</w:t>
      </w:r>
      <w:r>
        <w:rPr>
          <w:rFonts w:hint="eastAsia" w:hAnsi="Times New Roman" w:eastAsia="宋体"/>
          <w:lang w:eastAsia="zh-CN"/>
        </w:rPr>
        <w:t>石油类</w:t>
      </w:r>
      <w:r>
        <w:rPr>
          <w:rFonts w:hAnsi="Times New Roman" w:eastAsia="宋体"/>
        </w:rPr>
        <w:t>按照《地表水环境质量标准》（GB3838-2002）的Ⅲ类水标准的限值进行评价。</w:t>
      </w:r>
    </w:p>
    <w:p>
      <w:pPr>
        <w:spacing w:line="360" w:lineRule="auto"/>
        <w:ind w:firstLine="480"/>
        <w:rPr>
          <w:rFonts w:hAnsi="Times New Roman" w:eastAsia="宋体"/>
        </w:rPr>
      </w:pPr>
      <w:r>
        <w:rPr>
          <w:rFonts w:hAnsi="Times New Roman" w:eastAsia="宋体"/>
        </w:rPr>
        <w:t>按《环境影响评价技术导则 地下水环境》要求，地下水水质现状评价采用标准指数法进行评价。标准指数&gt;1，表明该水质因子已超过了规定的水质标准，指数值越大，超标越严重。</w:t>
      </w:r>
    </w:p>
    <w:p>
      <w:pPr>
        <w:spacing w:line="360" w:lineRule="auto"/>
        <w:ind w:firstLine="480"/>
        <w:rPr>
          <w:rFonts w:hAnsi="Times New Roman" w:eastAsia="宋体"/>
        </w:rPr>
      </w:pPr>
      <w:r>
        <w:rPr>
          <w:rFonts w:hAnsi="Times New Roman" w:eastAsia="宋体"/>
        </w:rPr>
        <w:t>采用标准指数法进行评价。标准指数计算公式分为以下两种情况：</w:t>
      </w:r>
    </w:p>
    <w:p>
      <w:pPr>
        <w:spacing w:line="360" w:lineRule="auto"/>
        <w:ind w:firstLine="480"/>
        <w:rPr>
          <w:rFonts w:hAnsi="Times New Roman" w:eastAsia="宋体"/>
        </w:rPr>
      </w:pPr>
      <w:r>
        <w:rPr>
          <w:rFonts w:hAnsi="Times New Roman" w:eastAsia="宋体"/>
        </w:rPr>
        <w:t>①对于评价标准为定值的水质因子，其标准指数计算公式：</w:t>
      </w:r>
    </w:p>
    <w:p>
      <w:pPr>
        <w:pStyle w:val="14"/>
        <w:spacing w:line="360" w:lineRule="auto"/>
        <w:ind w:firstLine="480"/>
        <w:jc w:val="center"/>
        <w:rPr>
          <w:rFonts w:ascii="Times New Roman" w:hAnsi="Times New Roman"/>
        </w:rPr>
      </w:pPr>
      <w:r>
        <w:rPr>
          <w:rFonts w:ascii="Times New Roman" w:hAnsi="Times New Roman"/>
          <w:position w:val="-30"/>
        </w:rPr>
        <w:drawing>
          <wp:inline distT="0" distB="0" distL="114300" distR="114300">
            <wp:extent cx="647700" cy="457200"/>
            <wp:effectExtent l="0" t="0" r="0" b="0"/>
            <wp:docPr id="19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35"/>
                    <pic:cNvPicPr>
                      <a:picLocks noChangeAspect="1"/>
                    </pic:cNvPicPr>
                  </pic:nvPicPr>
                  <pic:blipFill>
                    <a:blip r:embed="rId155"/>
                    <a:stretch>
                      <a:fillRect/>
                    </a:stretch>
                  </pic:blipFill>
                  <pic:spPr>
                    <a:xfrm>
                      <a:off x="0" y="0"/>
                      <a:ext cx="647700" cy="457200"/>
                    </a:xfrm>
                    <a:prstGeom prst="rect">
                      <a:avLst/>
                    </a:prstGeom>
                    <a:noFill/>
                    <a:ln>
                      <a:noFill/>
                    </a:ln>
                  </pic:spPr>
                </pic:pic>
              </a:graphicData>
            </a:graphic>
          </wp:inline>
        </w:drawing>
      </w:r>
    </w:p>
    <w:p>
      <w:pPr>
        <w:spacing w:line="360" w:lineRule="auto"/>
        <w:ind w:firstLine="480"/>
        <w:rPr>
          <w:rFonts w:hAnsi="Times New Roman" w:eastAsia="宋体"/>
        </w:rPr>
      </w:pPr>
      <w:r>
        <w:rPr>
          <w:rFonts w:hAnsi="Times New Roman" w:eastAsia="宋体"/>
        </w:rPr>
        <w:t>式中：</w:t>
      </w:r>
      <w:r>
        <w:rPr>
          <w:rFonts w:hAnsi="Times New Roman" w:eastAsia="宋体"/>
          <w:position w:val="-10"/>
        </w:rPr>
        <w:drawing>
          <wp:inline distT="0" distB="0" distL="114300" distR="114300">
            <wp:extent cx="161925" cy="228600"/>
            <wp:effectExtent l="0" t="0" r="7620" b="0"/>
            <wp:docPr id="19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36"/>
                    <pic:cNvPicPr>
                      <a:picLocks noChangeAspect="1"/>
                    </pic:cNvPicPr>
                  </pic:nvPicPr>
                  <pic:blipFill>
                    <a:blip r:embed="rId156"/>
                    <a:stretch>
                      <a:fillRect/>
                    </a:stretch>
                  </pic:blipFill>
                  <pic:spPr>
                    <a:xfrm>
                      <a:off x="0" y="0"/>
                      <a:ext cx="161925" cy="228600"/>
                    </a:xfrm>
                    <a:prstGeom prst="rect">
                      <a:avLst/>
                    </a:prstGeom>
                    <a:noFill/>
                    <a:ln>
                      <a:noFill/>
                    </a:ln>
                  </pic:spPr>
                </pic:pic>
              </a:graphicData>
            </a:graphic>
          </wp:inline>
        </w:drawing>
      </w:r>
      <w:r>
        <w:rPr>
          <w:rFonts w:hAnsi="Times New Roman" w:eastAsia="宋体"/>
        </w:rPr>
        <w:t>—第i个水质因子的标准指数，无量纲；</w:t>
      </w:r>
    </w:p>
    <w:p>
      <w:pPr>
        <w:spacing w:line="360" w:lineRule="auto"/>
        <w:ind w:firstLine="480"/>
        <w:rPr>
          <w:rFonts w:hAnsi="Times New Roman" w:eastAsia="宋体"/>
        </w:rPr>
      </w:pPr>
      <w:r>
        <w:rPr>
          <w:rFonts w:hAnsi="Times New Roman" w:eastAsia="宋体"/>
          <w:position w:val="-10"/>
        </w:rPr>
        <w:drawing>
          <wp:inline distT="0" distB="0" distL="114300" distR="114300">
            <wp:extent cx="180975" cy="228600"/>
            <wp:effectExtent l="0" t="0" r="8890" b="0"/>
            <wp:docPr id="19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37"/>
                    <pic:cNvPicPr>
                      <a:picLocks noChangeAspect="1"/>
                    </pic:cNvPicPr>
                  </pic:nvPicPr>
                  <pic:blipFill>
                    <a:blip r:embed="rId157"/>
                    <a:stretch>
                      <a:fillRect/>
                    </a:stretch>
                  </pic:blipFill>
                  <pic:spPr>
                    <a:xfrm>
                      <a:off x="0" y="0"/>
                      <a:ext cx="180975" cy="228600"/>
                    </a:xfrm>
                    <a:prstGeom prst="rect">
                      <a:avLst/>
                    </a:prstGeom>
                    <a:noFill/>
                    <a:ln>
                      <a:noFill/>
                    </a:ln>
                  </pic:spPr>
                </pic:pic>
              </a:graphicData>
            </a:graphic>
          </wp:inline>
        </w:drawing>
      </w:r>
      <w:r>
        <w:rPr>
          <w:rFonts w:hAnsi="Times New Roman" w:eastAsia="宋体"/>
        </w:rPr>
        <w:t>—第i个水质因子的监测浓度，mg/L；</w:t>
      </w:r>
    </w:p>
    <w:p>
      <w:pPr>
        <w:spacing w:line="360" w:lineRule="auto"/>
        <w:ind w:firstLine="480"/>
        <w:rPr>
          <w:rFonts w:hAnsi="Times New Roman" w:eastAsia="宋体"/>
        </w:rPr>
      </w:pPr>
      <w:r>
        <w:rPr>
          <w:rFonts w:hAnsi="Times New Roman" w:eastAsia="宋体"/>
          <w:position w:val="-10"/>
        </w:rPr>
        <w:drawing>
          <wp:inline distT="0" distB="0" distL="114300" distR="114300">
            <wp:extent cx="228600" cy="228600"/>
            <wp:effectExtent l="0" t="0" r="0" b="0"/>
            <wp:docPr id="19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38"/>
                    <pic:cNvPicPr>
                      <a:picLocks noChangeAspect="1"/>
                    </pic:cNvPicPr>
                  </pic:nvPicPr>
                  <pic:blipFill>
                    <a:blip r:embed="rId158"/>
                    <a:stretch>
                      <a:fillRect/>
                    </a:stretch>
                  </pic:blipFill>
                  <pic:spPr>
                    <a:xfrm>
                      <a:off x="0" y="0"/>
                      <a:ext cx="228600" cy="228600"/>
                    </a:xfrm>
                    <a:prstGeom prst="rect">
                      <a:avLst/>
                    </a:prstGeom>
                    <a:noFill/>
                    <a:ln>
                      <a:noFill/>
                    </a:ln>
                  </pic:spPr>
                </pic:pic>
              </a:graphicData>
            </a:graphic>
          </wp:inline>
        </w:drawing>
      </w:r>
      <w:r>
        <w:rPr>
          <w:rFonts w:hAnsi="Times New Roman" w:eastAsia="宋体"/>
        </w:rPr>
        <w:t>—第i个水质因子的标准浓度，mg/L。</w:t>
      </w:r>
    </w:p>
    <w:p>
      <w:pPr>
        <w:spacing w:line="360" w:lineRule="auto"/>
        <w:ind w:firstLine="480"/>
        <w:rPr>
          <w:rFonts w:hAnsi="Times New Roman" w:eastAsia="宋体"/>
        </w:rPr>
      </w:pPr>
      <w:r>
        <w:rPr>
          <w:rFonts w:hAnsi="Times New Roman" w:eastAsia="宋体"/>
        </w:rPr>
        <w:t>②对于评价标准为区间值的水质因子（如pH值），其标准指数计算公式：</w:t>
      </w:r>
    </w:p>
    <w:p>
      <w:pPr>
        <w:pStyle w:val="14"/>
        <w:spacing w:line="360" w:lineRule="auto"/>
        <w:ind w:firstLine="480"/>
        <w:jc w:val="center"/>
        <w:rPr>
          <w:rFonts w:ascii="Times New Roman" w:hAnsi="Times New Roman"/>
        </w:rPr>
      </w:pPr>
      <w:r>
        <w:rPr>
          <w:rFonts w:ascii="Times New Roman" w:hAnsi="Times New Roman"/>
          <w:position w:val="-30"/>
        </w:rPr>
        <w:drawing>
          <wp:inline distT="0" distB="0" distL="114300" distR="114300">
            <wp:extent cx="1257300" cy="447675"/>
            <wp:effectExtent l="0" t="0" r="0" b="8255"/>
            <wp:docPr id="19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39"/>
                    <pic:cNvPicPr>
                      <a:picLocks noChangeAspect="1"/>
                    </pic:cNvPicPr>
                  </pic:nvPicPr>
                  <pic:blipFill>
                    <a:blip r:embed="rId159"/>
                    <a:stretch>
                      <a:fillRect/>
                    </a:stretch>
                  </pic:blipFill>
                  <pic:spPr>
                    <a:xfrm>
                      <a:off x="0" y="0"/>
                      <a:ext cx="1257300" cy="447675"/>
                    </a:xfrm>
                    <a:prstGeom prst="rect">
                      <a:avLst/>
                    </a:prstGeom>
                    <a:noFill/>
                    <a:ln>
                      <a:noFill/>
                    </a:ln>
                  </pic:spPr>
                </pic:pic>
              </a:graphicData>
            </a:graphic>
          </wp:inline>
        </w:drawing>
      </w:r>
      <w:r>
        <w:rPr>
          <w:rFonts w:ascii="Times New Roman" w:hAnsi="Times New Roman"/>
          <w:sz w:val="24"/>
        </w:rPr>
        <w:t>pH</w:t>
      </w:r>
      <w:r>
        <w:rPr>
          <w:rFonts w:ascii="Times New Roman" w:hAnsi="Times New Roman"/>
        </w:rPr>
        <w:t xml:space="preserve">≤7时； </w:t>
      </w:r>
      <w:r>
        <w:rPr>
          <w:rFonts w:ascii="Times New Roman" w:hAnsi="Times New Roman"/>
          <w:position w:val="-30"/>
        </w:rPr>
        <w:drawing>
          <wp:inline distT="0" distB="0" distL="114300" distR="114300">
            <wp:extent cx="1257300" cy="447675"/>
            <wp:effectExtent l="0" t="0" r="0" b="8255"/>
            <wp:docPr id="198"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40"/>
                    <pic:cNvPicPr>
                      <a:picLocks noChangeAspect="1"/>
                    </pic:cNvPicPr>
                  </pic:nvPicPr>
                  <pic:blipFill>
                    <a:blip r:embed="rId160"/>
                    <a:stretch>
                      <a:fillRect/>
                    </a:stretch>
                  </pic:blipFill>
                  <pic:spPr>
                    <a:xfrm>
                      <a:off x="0" y="0"/>
                      <a:ext cx="1257300" cy="447675"/>
                    </a:xfrm>
                    <a:prstGeom prst="rect">
                      <a:avLst/>
                    </a:prstGeom>
                    <a:noFill/>
                    <a:ln>
                      <a:noFill/>
                    </a:ln>
                  </pic:spPr>
                </pic:pic>
              </a:graphicData>
            </a:graphic>
          </wp:inline>
        </w:drawing>
      </w:r>
      <w:r>
        <w:rPr>
          <w:rFonts w:ascii="Times New Roman" w:hAnsi="Times New Roman"/>
          <w:sz w:val="24"/>
        </w:rPr>
        <w:t>pH</w:t>
      </w:r>
      <w:r>
        <w:rPr>
          <w:rFonts w:ascii="Times New Roman" w:hAnsi="Times New Roman"/>
        </w:rPr>
        <w:t>＞7时。</w:t>
      </w:r>
    </w:p>
    <w:p>
      <w:pPr>
        <w:spacing w:line="360" w:lineRule="auto"/>
        <w:ind w:firstLine="480"/>
        <w:rPr>
          <w:rFonts w:hAnsi="Times New Roman" w:eastAsia="宋体"/>
        </w:rPr>
      </w:pPr>
      <w:r>
        <w:rPr>
          <w:rFonts w:hAnsi="Times New Roman" w:eastAsia="宋体"/>
        </w:rPr>
        <w:t>式中：</w:t>
      </w:r>
      <w:r>
        <w:rPr>
          <w:rFonts w:hAnsi="Times New Roman" w:eastAsia="宋体"/>
          <w:position w:val="-12"/>
        </w:rPr>
        <w:drawing>
          <wp:inline distT="0" distB="0" distL="114300" distR="114300">
            <wp:extent cx="238125" cy="238125"/>
            <wp:effectExtent l="0" t="0" r="0" b="6350"/>
            <wp:docPr id="195"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41"/>
                    <pic:cNvPicPr>
                      <a:picLocks noChangeAspect="1"/>
                    </pic:cNvPicPr>
                  </pic:nvPicPr>
                  <pic:blipFill>
                    <a:blip r:embed="rId161"/>
                    <a:stretch>
                      <a:fillRect/>
                    </a:stretch>
                  </pic:blipFill>
                  <pic:spPr>
                    <a:xfrm>
                      <a:off x="0" y="0"/>
                      <a:ext cx="238125" cy="238125"/>
                    </a:xfrm>
                    <a:prstGeom prst="rect">
                      <a:avLst/>
                    </a:prstGeom>
                    <a:noFill/>
                    <a:ln>
                      <a:noFill/>
                    </a:ln>
                  </pic:spPr>
                </pic:pic>
              </a:graphicData>
            </a:graphic>
          </wp:inline>
        </w:drawing>
      </w:r>
      <w:r>
        <w:rPr>
          <w:rFonts w:hAnsi="Times New Roman" w:eastAsia="宋体"/>
        </w:rPr>
        <w:t>—pH的标准指数，无量纲；</w:t>
      </w:r>
    </w:p>
    <w:p>
      <w:pPr>
        <w:spacing w:line="360" w:lineRule="auto"/>
        <w:ind w:firstLine="1200" w:firstLineChars="500"/>
        <w:rPr>
          <w:rFonts w:hAnsi="Times New Roman" w:eastAsia="宋体"/>
        </w:rPr>
      </w:pPr>
      <w:r>
        <w:rPr>
          <w:rFonts w:hAnsi="Times New Roman" w:eastAsia="宋体"/>
        </w:rPr>
        <w:t>pH—pH监测值；</w:t>
      </w:r>
    </w:p>
    <w:p>
      <w:pPr>
        <w:spacing w:line="360" w:lineRule="auto"/>
        <w:ind w:firstLine="1200" w:firstLineChars="500"/>
        <w:rPr>
          <w:rFonts w:hAnsi="Times New Roman" w:eastAsia="宋体"/>
          <w:szCs w:val="24"/>
        </w:rPr>
      </w:pPr>
      <w:r>
        <w:rPr>
          <w:rFonts w:hAnsi="Times New Roman" w:eastAsia="宋体"/>
          <w:position w:val="-10"/>
          <w:szCs w:val="24"/>
        </w:rPr>
        <w:drawing>
          <wp:inline distT="0" distB="0" distL="114300" distR="114300">
            <wp:extent cx="342900" cy="228600"/>
            <wp:effectExtent l="0" t="0" r="0" b="0"/>
            <wp:docPr id="189"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42"/>
                    <pic:cNvPicPr>
                      <a:picLocks noChangeAspect="1"/>
                    </pic:cNvPicPr>
                  </pic:nvPicPr>
                  <pic:blipFill>
                    <a:blip r:embed="rId162"/>
                    <a:stretch>
                      <a:fillRect/>
                    </a:stretch>
                  </pic:blipFill>
                  <pic:spPr>
                    <a:xfrm>
                      <a:off x="0" y="0"/>
                      <a:ext cx="342900" cy="228600"/>
                    </a:xfrm>
                    <a:prstGeom prst="rect">
                      <a:avLst/>
                    </a:prstGeom>
                    <a:noFill/>
                    <a:ln>
                      <a:noFill/>
                    </a:ln>
                  </pic:spPr>
                </pic:pic>
              </a:graphicData>
            </a:graphic>
          </wp:inline>
        </w:drawing>
      </w:r>
      <w:r>
        <w:rPr>
          <w:rFonts w:hAnsi="Times New Roman" w:eastAsia="宋体"/>
          <w:szCs w:val="24"/>
        </w:rPr>
        <w:t>—标准中pH的下限值；</w:t>
      </w:r>
    </w:p>
    <w:p>
      <w:pPr>
        <w:pStyle w:val="14"/>
        <w:spacing w:line="360" w:lineRule="auto"/>
        <w:ind w:left="420" w:firstLine="712" w:firstLineChars="297"/>
        <w:rPr>
          <w:rFonts w:ascii="Times New Roman" w:hAnsi="Times New Roman"/>
          <w:sz w:val="24"/>
        </w:rPr>
      </w:pPr>
      <w:r>
        <w:rPr>
          <w:rFonts w:ascii="Times New Roman" w:hAnsi="Times New Roman"/>
          <w:position w:val="-10"/>
          <w:sz w:val="24"/>
        </w:rPr>
        <w:drawing>
          <wp:inline distT="0" distB="0" distL="114300" distR="114300">
            <wp:extent cx="333375" cy="228600"/>
            <wp:effectExtent l="0" t="0" r="0" b="0"/>
            <wp:docPr id="20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43"/>
                    <pic:cNvPicPr>
                      <a:picLocks noChangeAspect="1"/>
                    </pic:cNvPicPr>
                  </pic:nvPicPr>
                  <pic:blipFill>
                    <a:blip r:embed="rId163"/>
                    <a:stretch>
                      <a:fillRect/>
                    </a:stretch>
                  </pic:blipFill>
                  <pic:spPr>
                    <a:xfrm>
                      <a:off x="0" y="0"/>
                      <a:ext cx="333375" cy="228600"/>
                    </a:xfrm>
                    <a:prstGeom prst="rect">
                      <a:avLst/>
                    </a:prstGeom>
                    <a:noFill/>
                    <a:ln>
                      <a:noFill/>
                    </a:ln>
                  </pic:spPr>
                </pic:pic>
              </a:graphicData>
            </a:graphic>
          </wp:inline>
        </w:drawing>
      </w:r>
      <w:r>
        <w:rPr>
          <w:rFonts w:ascii="Times New Roman" w:hAnsi="Times New Roman"/>
          <w:sz w:val="24"/>
        </w:rPr>
        <w:t>—标准中pH的上限值。</w:t>
      </w:r>
    </w:p>
    <w:p>
      <w:pPr>
        <w:spacing w:line="360" w:lineRule="auto"/>
        <w:ind w:firstLine="480"/>
        <w:rPr>
          <w:rFonts w:hAnsi="Times New Roman" w:eastAsia="宋体"/>
        </w:rPr>
      </w:pPr>
      <w:r>
        <w:rPr>
          <w:rFonts w:hAnsi="Times New Roman" w:eastAsia="宋体"/>
        </w:rPr>
        <w:t>2）评价结果</w:t>
      </w:r>
    </w:p>
    <w:p>
      <w:pPr>
        <w:spacing w:line="360" w:lineRule="auto"/>
        <w:ind w:firstLine="480"/>
        <w:rPr>
          <w:rFonts w:hAnsi="Times New Roman" w:eastAsia="宋体"/>
        </w:rPr>
      </w:pPr>
      <w:r>
        <w:rPr>
          <w:rFonts w:hAnsi="Times New Roman" w:eastAsia="宋体"/>
        </w:rPr>
        <w:t>本次评价数据由达州恒福环境监测服务有限公司在202</w:t>
      </w:r>
      <w:r>
        <w:rPr>
          <w:rFonts w:hint="eastAsia" w:hAnsi="Times New Roman" w:eastAsia="宋体"/>
          <w:lang w:eastAsia="zh-CN"/>
        </w:rPr>
        <w:t>2</w:t>
      </w:r>
      <w:r>
        <w:rPr>
          <w:rFonts w:hAnsi="Times New Roman" w:eastAsia="宋体"/>
        </w:rPr>
        <w:t>年1月对项目周边地下水环境进行了取样及监测，监测报告见附件。对其地下水质量监测结果进行了分析，见表5.3-</w:t>
      </w:r>
      <w:r>
        <w:rPr>
          <w:rFonts w:hint="eastAsia" w:hAnsi="Times New Roman" w:eastAsia="宋体"/>
          <w:lang w:eastAsia="zh-CN"/>
        </w:rPr>
        <w:t>8</w:t>
      </w:r>
      <w:r>
        <w:rPr>
          <w:rFonts w:hAnsi="Times New Roman" w:eastAsia="宋体"/>
        </w:rPr>
        <w:t>。</w:t>
      </w:r>
    </w:p>
    <w:p>
      <w:pPr>
        <w:pStyle w:val="14"/>
        <w:tabs>
          <w:tab w:val="left" w:pos="3718"/>
        </w:tabs>
        <w:overflowPunct w:val="0"/>
        <w:spacing w:line="360" w:lineRule="auto"/>
        <w:jc w:val="center"/>
        <w:rPr>
          <w:rFonts w:ascii="Times New Roman" w:hAnsi="Times New Roman"/>
          <w:b/>
          <w:bCs w:val="0"/>
          <w:spacing w:val="-2"/>
          <w:sz w:val="24"/>
        </w:rPr>
      </w:pPr>
      <w:r>
        <w:rPr>
          <w:rFonts w:ascii="Times New Roman" w:hAnsi="Times New Roman"/>
          <w:b/>
          <w:bCs w:val="0"/>
          <w:spacing w:val="-2"/>
          <w:sz w:val="24"/>
        </w:rPr>
        <w:t>表5.3-</w:t>
      </w:r>
      <w:r>
        <w:rPr>
          <w:rFonts w:hint="eastAsia" w:ascii="Times New Roman" w:hAnsi="Times New Roman"/>
          <w:b/>
          <w:bCs w:val="0"/>
          <w:spacing w:val="-2"/>
          <w:sz w:val="24"/>
          <w:lang w:eastAsia="zh-CN"/>
        </w:rPr>
        <w:t>8</w:t>
      </w:r>
      <w:r>
        <w:rPr>
          <w:rFonts w:ascii="Times New Roman" w:hAnsi="Times New Roman"/>
          <w:b/>
          <w:bCs w:val="0"/>
          <w:spacing w:val="-2"/>
          <w:sz w:val="24"/>
        </w:rPr>
        <w:t xml:space="preserve"> 水质样品水质监测评价结果</w:t>
      </w:r>
    </w:p>
    <w:tbl>
      <w:tblPr>
        <w:tblStyle w:val="33"/>
        <w:tblW w:w="967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26"/>
        <w:gridCol w:w="862"/>
        <w:gridCol w:w="713"/>
        <w:gridCol w:w="862"/>
        <w:gridCol w:w="800"/>
        <w:gridCol w:w="888"/>
        <w:gridCol w:w="825"/>
        <w:gridCol w:w="887"/>
        <w:gridCol w:w="838"/>
        <w:gridCol w:w="923"/>
        <w:gridCol w:w="8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26" w:type="dxa"/>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监测项目</w:t>
            </w:r>
          </w:p>
        </w:tc>
        <w:tc>
          <w:tcPr>
            <w:tcW w:w="8448" w:type="dxa"/>
            <w:gridSpan w:val="10"/>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评价结果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26"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p>
        </w:tc>
        <w:tc>
          <w:tcPr>
            <w:tcW w:w="1575" w:type="dxa"/>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lang w:eastAsia="zh-CN"/>
              </w:rPr>
              <w:t>S</w:t>
            </w:r>
            <w:r>
              <w:rPr>
                <w:rFonts w:hint="eastAsia" w:hAnsi="Times New Roman" w:eastAsia="宋体"/>
                <w:b/>
                <w:bCs/>
                <w:kern w:val="2"/>
                <w:sz w:val="21"/>
                <w:szCs w:val="21"/>
              </w:rPr>
              <w:t>1</w:t>
            </w:r>
          </w:p>
        </w:tc>
        <w:tc>
          <w:tcPr>
            <w:tcW w:w="1662" w:type="dxa"/>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lang w:eastAsia="zh-CN"/>
              </w:rPr>
              <w:t>S</w:t>
            </w:r>
            <w:r>
              <w:rPr>
                <w:rFonts w:hint="eastAsia" w:hAnsi="Times New Roman" w:eastAsia="宋体"/>
                <w:b/>
                <w:bCs/>
                <w:kern w:val="2"/>
                <w:sz w:val="21"/>
                <w:szCs w:val="21"/>
              </w:rPr>
              <w:t>2</w:t>
            </w:r>
          </w:p>
        </w:tc>
        <w:tc>
          <w:tcPr>
            <w:tcW w:w="1713" w:type="dxa"/>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lang w:eastAsia="zh-CN"/>
              </w:rPr>
              <w:t>S</w:t>
            </w:r>
            <w:r>
              <w:rPr>
                <w:rFonts w:hint="eastAsia" w:hAnsi="Times New Roman" w:eastAsia="宋体"/>
                <w:b/>
                <w:bCs/>
                <w:kern w:val="2"/>
                <w:sz w:val="21"/>
                <w:szCs w:val="21"/>
              </w:rPr>
              <w:t>3</w:t>
            </w:r>
          </w:p>
        </w:tc>
        <w:tc>
          <w:tcPr>
            <w:tcW w:w="1725" w:type="dxa"/>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S4</w:t>
            </w:r>
          </w:p>
        </w:tc>
        <w:tc>
          <w:tcPr>
            <w:tcW w:w="1773" w:type="dxa"/>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S5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26"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超标率（%）</w:t>
            </w:r>
          </w:p>
        </w:tc>
        <w:tc>
          <w:tcPr>
            <w:tcW w:w="71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i/>
                <w:kern w:val="2"/>
                <w:sz w:val="21"/>
                <w:szCs w:val="21"/>
              </w:rPr>
            </w:pPr>
            <w:r>
              <w:rPr>
                <w:rFonts w:hint="eastAsia" w:hAnsi="Times New Roman" w:eastAsia="宋体"/>
                <w:b/>
                <w:bCs/>
                <w:i/>
                <w:kern w:val="2"/>
                <w:sz w:val="21"/>
                <w:szCs w:val="21"/>
              </w:rPr>
              <w:t>P</w:t>
            </w:r>
            <w:r>
              <w:rPr>
                <w:rFonts w:hint="eastAsia" w:hAnsi="Times New Roman" w:eastAsia="宋体"/>
                <w:b/>
                <w:bCs/>
                <w:i/>
                <w:kern w:val="2"/>
                <w:sz w:val="21"/>
                <w:szCs w:val="21"/>
                <w:vertAlign w:val="subscript"/>
              </w:rPr>
              <w:t>i</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i/>
                <w:kern w:val="2"/>
                <w:sz w:val="21"/>
                <w:szCs w:val="21"/>
              </w:rPr>
            </w:pPr>
            <w:r>
              <w:rPr>
                <w:rFonts w:hint="eastAsia" w:hAnsi="Times New Roman" w:eastAsia="宋体"/>
                <w:b/>
                <w:bCs/>
                <w:kern w:val="2"/>
                <w:sz w:val="21"/>
                <w:szCs w:val="21"/>
              </w:rPr>
              <w:t>超标率（%）</w:t>
            </w:r>
          </w:p>
        </w:tc>
        <w:tc>
          <w:tcPr>
            <w:tcW w:w="80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i/>
                <w:kern w:val="2"/>
                <w:sz w:val="21"/>
                <w:szCs w:val="21"/>
              </w:rPr>
            </w:pPr>
            <w:r>
              <w:rPr>
                <w:rFonts w:hint="eastAsia" w:hAnsi="Times New Roman" w:eastAsia="宋体"/>
                <w:b/>
                <w:bCs/>
                <w:i/>
                <w:kern w:val="2"/>
                <w:sz w:val="21"/>
                <w:szCs w:val="21"/>
              </w:rPr>
              <w:t>P</w:t>
            </w:r>
            <w:r>
              <w:rPr>
                <w:rFonts w:hint="eastAsia" w:hAnsi="Times New Roman" w:eastAsia="宋体"/>
                <w:b/>
                <w:bCs/>
                <w:i/>
                <w:kern w:val="2"/>
                <w:sz w:val="21"/>
                <w:szCs w:val="21"/>
                <w:vertAlign w:val="subscript"/>
              </w:rPr>
              <w:t>i</w:t>
            </w:r>
          </w:p>
        </w:tc>
        <w:tc>
          <w:tcPr>
            <w:tcW w:w="8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i/>
                <w:kern w:val="2"/>
                <w:sz w:val="21"/>
                <w:szCs w:val="21"/>
              </w:rPr>
            </w:pPr>
            <w:r>
              <w:rPr>
                <w:rFonts w:hint="eastAsia" w:hAnsi="Times New Roman" w:eastAsia="宋体"/>
                <w:b/>
                <w:bCs/>
                <w:kern w:val="2"/>
                <w:sz w:val="21"/>
                <w:szCs w:val="21"/>
              </w:rPr>
              <w:t>超标率（%）</w:t>
            </w:r>
          </w:p>
        </w:tc>
        <w:tc>
          <w:tcPr>
            <w:tcW w:w="82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i/>
                <w:kern w:val="2"/>
                <w:sz w:val="21"/>
                <w:szCs w:val="21"/>
              </w:rPr>
            </w:pPr>
            <w:r>
              <w:rPr>
                <w:rFonts w:hint="eastAsia" w:hAnsi="Times New Roman" w:eastAsia="宋体"/>
                <w:b/>
                <w:bCs/>
                <w:i/>
                <w:kern w:val="2"/>
                <w:sz w:val="21"/>
                <w:szCs w:val="21"/>
              </w:rPr>
              <w:t>P</w:t>
            </w:r>
            <w:r>
              <w:rPr>
                <w:rFonts w:hint="eastAsia" w:hAnsi="Times New Roman" w:eastAsia="宋体"/>
                <w:b/>
                <w:bCs/>
                <w:i/>
                <w:kern w:val="2"/>
                <w:sz w:val="21"/>
                <w:szCs w:val="21"/>
                <w:vertAlign w:val="subscript"/>
              </w:rPr>
              <w:t>i</w:t>
            </w:r>
          </w:p>
        </w:tc>
        <w:tc>
          <w:tcPr>
            <w:tcW w:w="88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i/>
                <w:kern w:val="2"/>
                <w:sz w:val="21"/>
                <w:szCs w:val="21"/>
              </w:rPr>
            </w:pPr>
            <w:r>
              <w:rPr>
                <w:rFonts w:hint="eastAsia" w:hAnsi="Times New Roman" w:eastAsia="宋体"/>
                <w:b/>
                <w:bCs/>
                <w:kern w:val="2"/>
                <w:sz w:val="21"/>
                <w:szCs w:val="21"/>
              </w:rPr>
              <w:t>超标率（%）</w:t>
            </w:r>
          </w:p>
        </w:tc>
        <w:tc>
          <w:tcPr>
            <w:tcW w:w="83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i/>
                <w:kern w:val="2"/>
                <w:sz w:val="21"/>
                <w:szCs w:val="21"/>
              </w:rPr>
            </w:pPr>
            <w:r>
              <w:rPr>
                <w:rFonts w:hint="eastAsia" w:hAnsi="Times New Roman" w:eastAsia="宋体"/>
                <w:b/>
                <w:bCs/>
                <w:i/>
                <w:kern w:val="2"/>
                <w:sz w:val="21"/>
                <w:szCs w:val="21"/>
              </w:rPr>
              <w:t>P</w:t>
            </w:r>
            <w:r>
              <w:rPr>
                <w:rFonts w:hint="eastAsia" w:hAnsi="Times New Roman" w:eastAsia="宋体"/>
                <w:b/>
                <w:bCs/>
                <w:i/>
                <w:kern w:val="2"/>
                <w:sz w:val="21"/>
                <w:szCs w:val="21"/>
                <w:vertAlign w:val="subscript"/>
              </w:rPr>
              <w:t>i</w:t>
            </w:r>
          </w:p>
        </w:tc>
        <w:tc>
          <w:tcPr>
            <w:tcW w:w="92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i/>
                <w:kern w:val="2"/>
                <w:sz w:val="21"/>
                <w:szCs w:val="21"/>
              </w:rPr>
            </w:pPr>
            <w:r>
              <w:rPr>
                <w:rFonts w:hint="eastAsia" w:hAnsi="Times New Roman" w:eastAsia="宋体"/>
                <w:b/>
                <w:bCs/>
                <w:kern w:val="2"/>
                <w:sz w:val="21"/>
                <w:szCs w:val="21"/>
              </w:rPr>
              <w:t>超标率（%）</w:t>
            </w:r>
          </w:p>
        </w:tc>
        <w:tc>
          <w:tcPr>
            <w:tcW w:w="8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i/>
                <w:kern w:val="2"/>
                <w:sz w:val="21"/>
                <w:szCs w:val="21"/>
              </w:rPr>
            </w:pPr>
            <w:r>
              <w:rPr>
                <w:rFonts w:hint="eastAsia" w:hAnsi="Times New Roman" w:eastAsia="宋体"/>
                <w:b/>
                <w:bCs/>
                <w:i/>
                <w:kern w:val="2"/>
                <w:sz w:val="21"/>
                <w:szCs w:val="21"/>
              </w:rPr>
              <w:t>P</w:t>
            </w:r>
            <w:r>
              <w:rPr>
                <w:rFonts w:hint="eastAsia" w:hAnsi="Times New Roman" w:eastAsia="宋体"/>
                <w:b/>
                <w:bCs/>
                <w:i/>
                <w:kern w:val="2"/>
                <w:sz w:val="21"/>
                <w:szCs w:val="21"/>
                <w:vertAlign w:val="subscript"/>
              </w:rPr>
              <w:t>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26"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kern w:val="2"/>
                <w:sz w:val="21"/>
                <w:szCs w:val="21"/>
              </w:rPr>
              <w:t>pH（无量纲）</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71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0.267</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0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0.267</w:t>
            </w:r>
          </w:p>
        </w:tc>
        <w:tc>
          <w:tcPr>
            <w:tcW w:w="8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2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0.13</w:t>
            </w:r>
          </w:p>
        </w:tc>
        <w:tc>
          <w:tcPr>
            <w:tcW w:w="88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3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0.20</w:t>
            </w:r>
          </w:p>
        </w:tc>
        <w:tc>
          <w:tcPr>
            <w:tcW w:w="92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26"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氨氮</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w:t>
            </w:r>
          </w:p>
        </w:tc>
        <w:tc>
          <w:tcPr>
            <w:tcW w:w="713"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0.242</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800"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0.176</w:t>
            </w:r>
          </w:p>
        </w:tc>
        <w:tc>
          <w:tcPr>
            <w:tcW w:w="8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825"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0.204</w:t>
            </w:r>
          </w:p>
        </w:tc>
        <w:tc>
          <w:tcPr>
            <w:tcW w:w="88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83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0.178</w:t>
            </w:r>
          </w:p>
        </w:tc>
        <w:tc>
          <w:tcPr>
            <w:tcW w:w="92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8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26"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硝酸盐（以N计）</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713"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0.004</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00"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0.0001</w:t>
            </w:r>
          </w:p>
        </w:tc>
        <w:tc>
          <w:tcPr>
            <w:tcW w:w="8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25"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0.0325</w:t>
            </w:r>
          </w:p>
        </w:tc>
        <w:tc>
          <w:tcPr>
            <w:tcW w:w="88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3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0.0315</w:t>
            </w:r>
          </w:p>
        </w:tc>
        <w:tc>
          <w:tcPr>
            <w:tcW w:w="92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0.1605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26"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亚硝酸盐（以N计）</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713"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0.041</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00"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rPr>
              <w:t>0.</w:t>
            </w:r>
            <w:r>
              <w:rPr>
                <w:rFonts w:hint="eastAsia" w:hAnsi="Times New Roman" w:eastAsia="宋体"/>
                <w:kern w:val="2"/>
                <w:sz w:val="21"/>
                <w:szCs w:val="21"/>
                <w:lang w:eastAsia="zh-CN"/>
              </w:rPr>
              <w:t>039</w:t>
            </w:r>
          </w:p>
        </w:tc>
        <w:tc>
          <w:tcPr>
            <w:tcW w:w="8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25"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0.008</w:t>
            </w:r>
          </w:p>
        </w:tc>
        <w:tc>
          <w:tcPr>
            <w:tcW w:w="88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3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0.007</w:t>
            </w:r>
          </w:p>
        </w:tc>
        <w:tc>
          <w:tcPr>
            <w:tcW w:w="92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26"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挥发性酚类</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713"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0.015</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800"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0.075</w:t>
            </w:r>
          </w:p>
        </w:tc>
        <w:tc>
          <w:tcPr>
            <w:tcW w:w="8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825"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0.075</w:t>
            </w:r>
          </w:p>
        </w:tc>
        <w:tc>
          <w:tcPr>
            <w:tcW w:w="88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83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0.075</w:t>
            </w:r>
          </w:p>
        </w:tc>
        <w:tc>
          <w:tcPr>
            <w:tcW w:w="92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8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26"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氰化物</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713"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0.01</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00"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0.01</w:t>
            </w:r>
          </w:p>
        </w:tc>
        <w:tc>
          <w:tcPr>
            <w:tcW w:w="8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25"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0.01</w:t>
            </w:r>
          </w:p>
        </w:tc>
        <w:tc>
          <w:tcPr>
            <w:tcW w:w="88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3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0.01</w:t>
            </w:r>
          </w:p>
        </w:tc>
        <w:tc>
          <w:tcPr>
            <w:tcW w:w="92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26"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砷</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713"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0.015</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00"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0.015</w:t>
            </w:r>
          </w:p>
        </w:tc>
        <w:tc>
          <w:tcPr>
            <w:tcW w:w="8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25"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0.015</w:t>
            </w:r>
          </w:p>
        </w:tc>
        <w:tc>
          <w:tcPr>
            <w:tcW w:w="88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3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0.015</w:t>
            </w:r>
          </w:p>
        </w:tc>
        <w:tc>
          <w:tcPr>
            <w:tcW w:w="92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26"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汞</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713"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0.00075</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800"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0.00075</w:t>
            </w:r>
          </w:p>
        </w:tc>
        <w:tc>
          <w:tcPr>
            <w:tcW w:w="8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825"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0.033</w:t>
            </w:r>
          </w:p>
        </w:tc>
        <w:tc>
          <w:tcPr>
            <w:tcW w:w="88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83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0.022</w:t>
            </w:r>
          </w:p>
        </w:tc>
        <w:tc>
          <w:tcPr>
            <w:tcW w:w="92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8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26"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六价铬</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713"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0.04</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00"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0.04</w:t>
            </w:r>
          </w:p>
        </w:tc>
        <w:tc>
          <w:tcPr>
            <w:tcW w:w="8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25"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0.04</w:t>
            </w:r>
          </w:p>
        </w:tc>
        <w:tc>
          <w:tcPr>
            <w:tcW w:w="88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3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0.04</w:t>
            </w:r>
          </w:p>
        </w:tc>
        <w:tc>
          <w:tcPr>
            <w:tcW w:w="92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26"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总硬度</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713"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0.28</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00"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0.309</w:t>
            </w:r>
          </w:p>
        </w:tc>
        <w:tc>
          <w:tcPr>
            <w:tcW w:w="8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25"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0.20</w:t>
            </w:r>
          </w:p>
        </w:tc>
        <w:tc>
          <w:tcPr>
            <w:tcW w:w="88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3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0.34</w:t>
            </w:r>
          </w:p>
        </w:tc>
        <w:tc>
          <w:tcPr>
            <w:tcW w:w="92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26"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氟化物</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713"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rPr>
              <w:t>0.0</w:t>
            </w:r>
            <w:r>
              <w:rPr>
                <w:rFonts w:hint="eastAsia" w:hAnsi="Times New Roman" w:eastAsia="宋体"/>
                <w:kern w:val="2"/>
                <w:sz w:val="21"/>
                <w:szCs w:val="21"/>
                <w:lang w:eastAsia="zh-CN"/>
              </w:rPr>
              <w:t>32</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800"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rPr>
              <w:t>0.</w:t>
            </w:r>
            <w:r>
              <w:rPr>
                <w:rFonts w:hint="eastAsia" w:hAnsi="Times New Roman" w:eastAsia="宋体"/>
                <w:kern w:val="2"/>
                <w:sz w:val="21"/>
                <w:szCs w:val="21"/>
                <w:lang w:eastAsia="zh-CN"/>
              </w:rPr>
              <w:t>02</w:t>
            </w:r>
          </w:p>
        </w:tc>
        <w:tc>
          <w:tcPr>
            <w:tcW w:w="8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825"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0.003</w:t>
            </w:r>
          </w:p>
        </w:tc>
        <w:tc>
          <w:tcPr>
            <w:tcW w:w="88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83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0.114</w:t>
            </w:r>
          </w:p>
        </w:tc>
        <w:tc>
          <w:tcPr>
            <w:tcW w:w="92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8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0.482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26"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镉</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713"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0.01</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00"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0.01</w:t>
            </w:r>
          </w:p>
        </w:tc>
        <w:tc>
          <w:tcPr>
            <w:tcW w:w="8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25"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0.01</w:t>
            </w:r>
          </w:p>
        </w:tc>
        <w:tc>
          <w:tcPr>
            <w:tcW w:w="88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3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0.01</w:t>
            </w:r>
          </w:p>
        </w:tc>
        <w:tc>
          <w:tcPr>
            <w:tcW w:w="92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26"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铁</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713"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0.033</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00"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0.033</w:t>
            </w:r>
          </w:p>
        </w:tc>
        <w:tc>
          <w:tcPr>
            <w:tcW w:w="8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25"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0.0003</w:t>
            </w:r>
          </w:p>
        </w:tc>
        <w:tc>
          <w:tcPr>
            <w:tcW w:w="88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3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0.0013</w:t>
            </w:r>
          </w:p>
        </w:tc>
        <w:tc>
          <w:tcPr>
            <w:tcW w:w="92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0.0023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26"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锰</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713"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0.02</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800"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0.02</w:t>
            </w:r>
          </w:p>
        </w:tc>
        <w:tc>
          <w:tcPr>
            <w:tcW w:w="8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825"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0.02</w:t>
            </w:r>
          </w:p>
        </w:tc>
        <w:tc>
          <w:tcPr>
            <w:tcW w:w="88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83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0.0023</w:t>
            </w:r>
          </w:p>
        </w:tc>
        <w:tc>
          <w:tcPr>
            <w:tcW w:w="92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8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26"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铅</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713"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0.05</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00"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0.05</w:t>
            </w:r>
          </w:p>
        </w:tc>
        <w:tc>
          <w:tcPr>
            <w:tcW w:w="8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25"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0.05</w:t>
            </w:r>
          </w:p>
        </w:tc>
        <w:tc>
          <w:tcPr>
            <w:tcW w:w="88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3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0.05</w:t>
            </w:r>
          </w:p>
        </w:tc>
        <w:tc>
          <w:tcPr>
            <w:tcW w:w="92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26"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溶解性总固体</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713"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0.15</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00"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0.162</w:t>
            </w:r>
          </w:p>
        </w:tc>
        <w:tc>
          <w:tcPr>
            <w:tcW w:w="8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25"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0.111</w:t>
            </w:r>
          </w:p>
        </w:tc>
        <w:tc>
          <w:tcPr>
            <w:tcW w:w="88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3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0.186</w:t>
            </w:r>
          </w:p>
        </w:tc>
        <w:tc>
          <w:tcPr>
            <w:tcW w:w="92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0.232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26"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耗氧量</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713"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w:t>
            </w:r>
          </w:p>
        </w:tc>
        <w:tc>
          <w:tcPr>
            <w:tcW w:w="800"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8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825"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0.75</w:t>
            </w:r>
          </w:p>
        </w:tc>
        <w:tc>
          <w:tcPr>
            <w:tcW w:w="88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83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0.30</w:t>
            </w:r>
          </w:p>
        </w:tc>
        <w:tc>
          <w:tcPr>
            <w:tcW w:w="92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8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26"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氯化物</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0</w:t>
            </w:r>
          </w:p>
        </w:tc>
        <w:tc>
          <w:tcPr>
            <w:tcW w:w="713"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0.005</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00"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0.004</w:t>
            </w:r>
          </w:p>
        </w:tc>
        <w:tc>
          <w:tcPr>
            <w:tcW w:w="8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25"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0.012</w:t>
            </w:r>
          </w:p>
        </w:tc>
        <w:tc>
          <w:tcPr>
            <w:tcW w:w="88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3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0.038</w:t>
            </w:r>
          </w:p>
        </w:tc>
        <w:tc>
          <w:tcPr>
            <w:tcW w:w="92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26"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kern w:val="2"/>
                <w:sz w:val="21"/>
                <w:szCs w:val="21"/>
              </w:rPr>
              <w:t>硫酸盐</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713"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0.011</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00"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0.008</w:t>
            </w:r>
          </w:p>
        </w:tc>
        <w:tc>
          <w:tcPr>
            <w:tcW w:w="8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25"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0.020</w:t>
            </w:r>
          </w:p>
        </w:tc>
        <w:tc>
          <w:tcPr>
            <w:tcW w:w="88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3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0.015</w:t>
            </w:r>
          </w:p>
        </w:tc>
        <w:tc>
          <w:tcPr>
            <w:tcW w:w="92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26"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Cs/>
                <w:kern w:val="2"/>
                <w:sz w:val="21"/>
                <w:szCs w:val="21"/>
              </w:rPr>
            </w:pPr>
            <w:r>
              <w:rPr>
                <w:rFonts w:hint="eastAsia" w:hAnsi="Times New Roman" w:eastAsia="宋体"/>
                <w:bCs/>
                <w:spacing w:val="-8"/>
                <w:kern w:val="2"/>
                <w:sz w:val="21"/>
                <w:szCs w:val="21"/>
              </w:rPr>
              <w:t>总大肠菌群（</w:t>
            </w:r>
            <w:r>
              <w:rPr>
                <w:rFonts w:hint="eastAsia" w:hAnsi="Times New Roman" w:eastAsia="宋体"/>
                <w:spacing w:val="-8"/>
                <w:kern w:val="2"/>
                <w:sz w:val="21"/>
                <w:szCs w:val="21"/>
              </w:rPr>
              <w:t>MPN/L</w:t>
            </w:r>
            <w:r>
              <w:rPr>
                <w:rFonts w:hint="eastAsia" w:hAnsi="Times New Roman" w:eastAsia="宋体"/>
                <w:bCs/>
                <w:spacing w:val="-8"/>
                <w:kern w:val="2"/>
                <w:sz w:val="21"/>
                <w:szCs w:val="21"/>
              </w:rPr>
              <w:t>）</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713"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0.33</w:t>
            </w:r>
          </w:p>
        </w:tc>
        <w:tc>
          <w:tcPr>
            <w:tcW w:w="862"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00"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0.33</w:t>
            </w:r>
          </w:p>
        </w:tc>
        <w:tc>
          <w:tcPr>
            <w:tcW w:w="88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25" w:type="dxa"/>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0.33</w:t>
            </w:r>
          </w:p>
        </w:tc>
        <w:tc>
          <w:tcPr>
            <w:tcW w:w="88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3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0.33</w:t>
            </w:r>
          </w:p>
        </w:tc>
        <w:tc>
          <w:tcPr>
            <w:tcW w:w="92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0</w:t>
            </w:r>
          </w:p>
        </w:tc>
        <w:tc>
          <w:tcPr>
            <w:tcW w:w="85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bidi="ar"/>
              </w:rPr>
              <w:t>0.33</w:t>
            </w:r>
          </w:p>
        </w:tc>
      </w:tr>
    </w:tbl>
    <w:p>
      <w:pPr>
        <w:spacing w:line="360" w:lineRule="auto"/>
        <w:ind w:firstLine="480"/>
        <w:rPr>
          <w:rFonts w:hAnsi="Times New Roman" w:eastAsia="宋体"/>
          <w:szCs w:val="22"/>
        </w:rPr>
      </w:pPr>
      <w:r>
        <w:rPr>
          <w:rFonts w:hAnsi="Times New Roman" w:eastAsia="宋体"/>
          <w:szCs w:val="22"/>
        </w:rPr>
        <w:t>由表可知，项目地下水各监测的指标因子均满足《地下水环境质量标准》（GB/T14848-2017）III类标准限值要求；另外，石油类满足《地表水质量标准》（GB3838-2002）III类标准限值要求。</w:t>
      </w:r>
    </w:p>
    <w:p>
      <w:pPr>
        <w:pStyle w:val="5"/>
        <w:rPr>
          <w:rFonts w:ascii="Times New Roman" w:hAnsi="Times New Roman"/>
          <w:szCs w:val="22"/>
          <w:lang w:eastAsia="zh-CN"/>
        </w:rPr>
      </w:pPr>
      <w:bookmarkStart w:id="316" w:name="_Toc163749172"/>
      <w:bookmarkStart w:id="317" w:name="_Toc167095226"/>
      <w:r>
        <w:rPr>
          <w:rFonts w:ascii="Times New Roman" w:hAnsi="Times New Roman"/>
          <w:szCs w:val="22"/>
          <w:lang w:eastAsia="zh-CN"/>
        </w:rPr>
        <w:t>5.4</w:t>
      </w:r>
      <w:r>
        <w:rPr>
          <w:rFonts w:ascii="Times New Roman" w:hAnsi="Times New Roman"/>
          <w:szCs w:val="22"/>
          <w:lang w:eastAsia="zh-CN"/>
        </w:rPr>
        <w:tab/>
      </w:r>
      <w:r>
        <w:rPr>
          <w:rFonts w:ascii="Times New Roman" w:hAnsi="Times New Roman"/>
          <w:szCs w:val="22"/>
          <w:lang w:eastAsia="zh-CN"/>
        </w:rPr>
        <w:t>地下水环境影响预测与评价</w:t>
      </w:r>
      <w:bookmarkEnd w:id="316"/>
      <w:bookmarkEnd w:id="317"/>
    </w:p>
    <w:p>
      <w:pPr>
        <w:pStyle w:val="6"/>
        <w:rPr>
          <w:szCs w:val="22"/>
        </w:rPr>
      </w:pPr>
      <w:bookmarkStart w:id="318" w:name="_Toc167095227"/>
      <w:bookmarkStart w:id="319" w:name="_Toc163812604"/>
      <w:r>
        <w:rPr>
          <w:szCs w:val="22"/>
        </w:rPr>
        <w:t>5.4.1</w:t>
      </w:r>
      <w:r>
        <w:rPr>
          <w:rFonts w:hint="eastAsia"/>
          <w:szCs w:val="22"/>
          <w:lang w:eastAsia="zh-CN"/>
        </w:rPr>
        <w:t>矿井涌水量</w:t>
      </w:r>
      <w:r>
        <w:rPr>
          <w:szCs w:val="22"/>
        </w:rPr>
        <w:t>计算方法</w:t>
      </w:r>
      <w:bookmarkEnd w:id="318"/>
      <w:bookmarkEnd w:id="319"/>
    </w:p>
    <w:p>
      <w:pPr>
        <w:spacing w:line="360" w:lineRule="auto"/>
        <w:ind w:firstLine="482"/>
        <w:rPr>
          <w:rFonts w:hAnsi="Times New Roman" w:eastAsia="宋体"/>
        </w:rPr>
      </w:pPr>
      <w:r>
        <w:rPr>
          <w:rFonts w:hAnsi="Times New Roman" w:eastAsia="宋体"/>
        </w:rPr>
        <w:t>（1）</w:t>
      </w:r>
      <w:r>
        <w:rPr>
          <w:rFonts w:hint="eastAsia" w:hAnsi="Times New Roman" w:eastAsia="宋体"/>
          <w:lang w:eastAsia="zh-CN"/>
        </w:rPr>
        <w:t>矿井涌水量</w:t>
      </w:r>
      <w:r>
        <w:rPr>
          <w:rFonts w:hAnsi="Times New Roman" w:eastAsia="宋体"/>
        </w:rPr>
        <w:t>计算</w:t>
      </w:r>
    </w:p>
    <w:p>
      <w:pPr>
        <w:spacing w:line="360" w:lineRule="auto"/>
        <w:ind w:firstLine="482"/>
        <w:rPr>
          <w:rFonts w:hAnsi="Times New Roman" w:eastAsia="宋体"/>
        </w:rPr>
      </w:pPr>
      <w:r>
        <w:rPr>
          <w:rFonts w:hAnsi="Times New Roman" w:eastAsia="宋体"/>
        </w:rPr>
        <w:t>根据乐山市五通桥区福源矿业技术服务有限公司煤矿2019年4月编制的《矿井水患现状调查报告》，七里峡煤矿井下共设置有5个水文观测站，总涌水量为200m</w:t>
      </w:r>
      <w:r>
        <w:rPr>
          <w:rFonts w:hAnsi="Times New Roman" w:eastAsia="宋体"/>
          <w:vertAlign w:val="superscript"/>
        </w:rPr>
        <w:t>3</w:t>
      </w:r>
      <w:r>
        <w:rPr>
          <w:rFonts w:hAnsi="Times New Roman" w:eastAsia="宋体"/>
        </w:rPr>
        <w:t>/h。其中主平硐涌水量25.3m</w:t>
      </w:r>
      <w:r>
        <w:rPr>
          <w:rFonts w:hAnsi="Times New Roman" w:eastAsia="宋体"/>
          <w:vertAlign w:val="superscript"/>
        </w:rPr>
        <w:t>3</w:t>
      </w:r>
      <w:r>
        <w:rPr>
          <w:rFonts w:hAnsi="Times New Roman" w:eastAsia="宋体"/>
        </w:rPr>
        <w:t>/h，+411副平硐涌水量35.6m</w:t>
      </w:r>
      <w:r>
        <w:rPr>
          <w:rFonts w:hAnsi="Times New Roman" w:eastAsia="宋体"/>
          <w:vertAlign w:val="superscript"/>
        </w:rPr>
        <w:t>3</w:t>
      </w:r>
      <w:r>
        <w:rPr>
          <w:rFonts w:hAnsi="Times New Roman" w:eastAsia="宋体"/>
        </w:rPr>
        <w:t>/h，+548m回风平硐涌水量15.2m</w:t>
      </w:r>
      <w:r>
        <w:rPr>
          <w:rFonts w:hAnsi="Times New Roman" w:eastAsia="宋体"/>
          <w:vertAlign w:val="superscript"/>
        </w:rPr>
        <w:t>3</w:t>
      </w:r>
      <w:r>
        <w:rPr>
          <w:rFonts w:hAnsi="Times New Roman" w:eastAsia="宋体"/>
        </w:rPr>
        <w:t>/h，+572m回风平硐涌水量38.3m</w:t>
      </w:r>
      <w:r>
        <w:rPr>
          <w:rFonts w:hAnsi="Times New Roman" w:eastAsia="宋体"/>
          <w:vertAlign w:val="superscript"/>
        </w:rPr>
        <w:t>3</w:t>
      </w:r>
      <w:r>
        <w:rPr>
          <w:rFonts w:hAnsi="Times New Roman" w:eastAsia="宋体"/>
        </w:rPr>
        <w:t>/h，+200m水平涌水量85.5m</w:t>
      </w:r>
      <w:r>
        <w:rPr>
          <w:rFonts w:hAnsi="Times New Roman" w:eastAsia="宋体"/>
          <w:vertAlign w:val="superscript"/>
        </w:rPr>
        <w:t>3</w:t>
      </w:r>
      <w:r>
        <w:rPr>
          <w:rFonts w:hAnsi="Times New Roman" w:eastAsia="宋体"/>
        </w:rPr>
        <w:t>/h。基本能代表当前矿井正常涌水量，随着开采的进行，矿井涌水量将进一步增大。矿井涌水量见表5.4-1。</w:t>
      </w:r>
    </w:p>
    <w:p>
      <w:pPr>
        <w:pStyle w:val="14"/>
        <w:tabs>
          <w:tab w:val="left" w:pos="3718"/>
        </w:tabs>
        <w:overflowPunct w:val="0"/>
        <w:spacing w:line="360" w:lineRule="auto"/>
        <w:jc w:val="center"/>
        <w:rPr>
          <w:rFonts w:ascii="Times New Roman" w:hAnsi="Times New Roman"/>
          <w:b/>
          <w:bCs w:val="0"/>
          <w:spacing w:val="-2"/>
          <w:sz w:val="21"/>
          <w:szCs w:val="21"/>
        </w:rPr>
      </w:pPr>
      <w:r>
        <w:rPr>
          <w:rFonts w:ascii="Times New Roman" w:hAnsi="Times New Roman"/>
          <w:b/>
          <w:bCs w:val="0"/>
          <w:spacing w:val="-2"/>
          <w:sz w:val="21"/>
          <w:szCs w:val="21"/>
        </w:rPr>
        <w:t>表5.4-1  矿井涌水量一览表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1"/>
        <w:gridCol w:w="1988"/>
        <w:gridCol w:w="2751"/>
        <w:gridCol w:w="992"/>
        <w:gridCol w:w="1037"/>
        <w:gridCol w:w="16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8" w:type="pct"/>
            <w:vMerge w:val="restart"/>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r>
              <w:rPr>
                <w:rFonts w:hint="eastAsia" w:hAnsi="Times New Roman" w:eastAsia="宋体"/>
                <w:kern w:val="2"/>
                <w:szCs w:val="22"/>
              </w:rPr>
              <w:t>序号</w:t>
            </w:r>
          </w:p>
        </w:tc>
        <w:tc>
          <w:tcPr>
            <w:tcW w:w="1064" w:type="pct"/>
            <w:vMerge w:val="restart"/>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r>
              <w:rPr>
                <w:rFonts w:hint="eastAsia" w:hAnsi="Times New Roman" w:eastAsia="宋体"/>
                <w:kern w:val="2"/>
                <w:szCs w:val="22"/>
              </w:rPr>
              <w:t>生产系统</w:t>
            </w:r>
          </w:p>
        </w:tc>
        <w:tc>
          <w:tcPr>
            <w:tcW w:w="1472" w:type="pct"/>
            <w:vMerge w:val="restart"/>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r>
              <w:rPr>
                <w:rFonts w:hint="eastAsia" w:hAnsi="Times New Roman" w:eastAsia="宋体"/>
                <w:kern w:val="2"/>
                <w:szCs w:val="22"/>
              </w:rPr>
              <w:t>涌水点位置</w:t>
            </w:r>
          </w:p>
        </w:tc>
        <w:tc>
          <w:tcPr>
            <w:tcW w:w="531" w:type="pct"/>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r>
              <w:rPr>
                <w:rFonts w:hint="eastAsia" w:hAnsi="Times New Roman" w:eastAsia="宋体"/>
                <w:kern w:val="2"/>
                <w:szCs w:val="22"/>
              </w:rPr>
              <w:t>涌水量</w:t>
            </w:r>
          </w:p>
        </w:tc>
        <w:tc>
          <w:tcPr>
            <w:tcW w:w="555" w:type="pct"/>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r>
              <w:rPr>
                <w:rFonts w:hint="eastAsia" w:hAnsi="Times New Roman" w:eastAsia="宋体"/>
                <w:kern w:val="2"/>
                <w:szCs w:val="22"/>
              </w:rPr>
              <w:t>合计</w:t>
            </w:r>
          </w:p>
        </w:tc>
        <w:tc>
          <w:tcPr>
            <w:tcW w:w="880" w:type="pct"/>
            <w:vMerge w:val="restart"/>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r>
              <w:rPr>
                <w:rFonts w:hint="eastAsia" w:hAnsi="Times New Roman" w:eastAsia="宋体"/>
                <w:kern w:val="2"/>
                <w:szCs w:val="22"/>
              </w:rPr>
              <w:t>备 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98" w:type="pct"/>
            <w:vMerge w:val="continue"/>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p>
        </w:tc>
        <w:tc>
          <w:tcPr>
            <w:tcW w:w="1064" w:type="pct"/>
            <w:vMerge w:val="continue"/>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p>
        </w:tc>
        <w:tc>
          <w:tcPr>
            <w:tcW w:w="1472" w:type="pct"/>
            <w:vMerge w:val="continue"/>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p>
        </w:tc>
        <w:tc>
          <w:tcPr>
            <w:tcW w:w="531" w:type="pct"/>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r>
              <w:rPr>
                <w:rFonts w:hint="eastAsia" w:hAnsi="Times New Roman" w:eastAsia="宋体"/>
                <w:kern w:val="2"/>
                <w:szCs w:val="22"/>
              </w:rPr>
              <w:t>m</w:t>
            </w:r>
            <w:r>
              <w:rPr>
                <w:rFonts w:hint="eastAsia" w:hAnsi="Times New Roman" w:eastAsia="宋体"/>
                <w:kern w:val="2"/>
                <w:szCs w:val="22"/>
                <w:vertAlign w:val="superscript"/>
              </w:rPr>
              <w:t>3</w:t>
            </w:r>
            <w:r>
              <w:rPr>
                <w:rFonts w:hint="eastAsia" w:hAnsi="Times New Roman" w:eastAsia="宋体"/>
                <w:kern w:val="2"/>
                <w:szCs w:val="22"/>
              </w:rPr>
              <w:t>/h</w:t>
            </w:r>
          </w:p>
        </w:tc>
        <w:tc>
          <w:tcPr>
            <w:tcW w:w="555" w:type="pct"/>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r>
              <w:rPr>
                <w:rFonts w:hint="eastAsia" w:hAnsi="Times New Roman" w:eastAsia="宋体"/>
                <w:kern w:val="2"/>
                <w:szCs w:val="22"/>
              </w:rPr>
              <w:t>m</w:t>
            </w:r>
            <w:r>
              <w:rPr>
                <w:rFonts w:hint="eastAsia" w:hAnsi="Times New Roman" w:eastAsia="宋体"/>
                <w:kern w:val="2"/>
                <w:szCs w:val="22"/>
                <w:vertAlign w:val="superscript"/>
              </w:rPr>
              <w:t>3</w:t>
            </w:r>
            <w:r>
              <w:rPr>
                <w:rFonts w:hint="eastAsia" w:hAnsi="Times New Roman" w:eastAsia="宋体"/>
                <w:kern w:val="2"/>
                <w:szCs w:val="22"/>
              </w:rPr>
              <w:t>/h</w:t>
            </w:r>
          </w:p>
        </w:tc>
        <w:tc>
          <w:tcPr>
            <w:tcW w:w="880" w:type="pct"/>
            <w:vMerge w:val="continue"/>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98" w:type="pct"/>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r>
              <w:rPr>
                <w:rFonts w:hint="eastAsia" w:hAnsi="Times New Roman" w:eastAsia="宋体"/>
                <w:kern w:val="2"/>
                <w:szCs w:val="22"/>
              </w:rPr>
              <w:t>1</w:t>
            </w:r>
          </w:p>
        </w:tc>
        <w:tc>
          <w:tcPr>
            <w:tcW w:w="1064" w:type="pct"/>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r>
              <w:rPr>
                <w:rFonts w:hint="eastAsia" w:hAnsi="Times New Roman" w:eastAsia="宋体"/>
                <w:kern w:val="2"/>
                <w:szCs w:val="22"/>
              </w:rPr>
              <w:t>主平硐</w:t>
            </w:r>
          </w:p>
        </w:tc>
        <w:tc>
          <w:tcPr>
            <w:tcW w:w="1472" w:type="pct"/>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r>
              <w:rPr>
                <w:rFonts w:hint="eastAsia" w:hAnsi="Times New Roman" w:eastAsia="宋体"/>
                <w:kern w:val="2"/>
                <w:szCs w:val="22"/>
              </w:rPr>
              <w:t>主平硐井口水沟</w:t>
            </w:r>
          </w:p>
        </w:tc>
        <w:tc>
          <w:tcPr>
            <w:tcW w:w="531" w:type="pct"/>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r>
              <w:rPr>
                <w:rFonts w:hint="eastAsia" w:hAnsi="Times New Roman" w:eastAsia="宋体"/>
                <w:kern w:val="2"/>
                <w:szCs w:val="22"/>
              </w:rPr>
              <w:t>25.4</w:t>
            </w:r>
          </w:p>
        </w:tc>
        <w:tc>
          <w:tcPr>
            <w:tcW w:w="555" w:type="pct"/>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r>
              <w:rPr>
                <w:rFonts w:hint="eastAsia" w:hAnsi="Times New Roman" w:eastAsia="宋体"/>
                <w:kern w:val="2"/>
                <w:szCs w:val="22"/>
              </w:rPr>
              <w:t>25.4</w:t>
            </w:r>
          </w:p>
        </w:tc>
        <w:tc>
          <w:tcPr>
            <w:tcW w:w="880" w:type="pct"/>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98" w:type="pct"/>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r>
              <w:rPr>
                <w:rFonts w:hint="eastAsia" w:hAnsi="Times New Roman" w:eastAsia="宋体"/>
                <w:kern w:val="2"/>
                <w:szCs w:val="22"/>
              </w:rPr>
              <w:t>2</w:t>
            </w:r>
          </w:p>
        </w:tc>
        <w:tc>
          <w:tcPr>
            <w:tcW w:w="1064" w:type="pct"/>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r>
              <w:rPr>
                <w:rFonts w:hint="eastAsia" w:hAnsi="Times New Roman" w:eastAsia="宋体"/>
                <w:kern w:val="2"/>
                <w:szCs w:val="22"/>
              </w:rPr>
              <w:t>+548m回风平硐</w:t>
            </w:r>
          </w:p>
        </w:tc>
        <w:tc>
          <w:tcPr>
            <w:tcW w:w="1472" w:type="pct"/>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r>
              <w:rPr>
                <w:rFonts w:hint="eastAsia" w:hAnsi="Times New Roman" w:eastAsia="宋体"/>
                <w:kern w:val="2"/>
                <w:szCs w:val="22"/>
              </w:rPr>
              <w:t>井口水沟</w:t>
            </w:r>
          </w:p>
        </w:tc>
        <w:tc>
          <w:tcPr>
            <w:tcW w:w="531" w:type="pct"/>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r>
              <w:rPr>
                <w:rFonts w:hint="eastAsia" w:hAnsi="Times New Roman" w:eastAsia="宋体"/>
                <w:kern w:val="2"/>
                <w:szCs w:val="22"/>
              </w:rPr>
              <w:t>15.2</w:t>
            </w:r>
          </w:p>
        </w:tc>
        <w:tc>
          <w:tcPr>
            <w:tcW w:w="555" w:type="pct"/>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r>
              <w:rPr>
                <w:rFonts w:hint="eastAsia" w:hAnsi="Times New Roman" w:eastAsia="宋体"/>
                <w:kern w:val="2"/>
                <w:szCs w:val="22"/>
              </w:rPr>
              <w:t>15.2</w:t>
            </w:r>
          </w:p>
        </w:tc>
        <w:tc>
          <w:tcPr>
            <w:tcW w:w="880" w:type="pct"/>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98" w:type="pct"/>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r>
              <w:rPr>
                <w:rFonts w:hint="eastAsia" w:hAnsi="Times New Roman" w:eastAsia="宋体"/>
                <w:kern w:val="2"/>
                <w:szCs w:val="22"/>
              </w:rPr>
              <w:t>3</w:t>
            </w:r>
          </w:p>
        </w:tc>
        <w:tc>
          <w:tcPr>
            <w:tcW w:w="1064" w:type="pct"/>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r>
              <w:rPr>
                <w:rFonts w:hint="eastAsia" w:hAnsi="Times New Roman" w:eastAsia="宋体"/>
                <w:kern w:val="2"/>
                <w:szCs w:val="22"/>
              </w:rPr>
              <w:t>+411m副平硐</w:t>
            </w:r>
          </w:p>
        </w:tc>
        <w:tc>
          <w:tcPr>
            <w:tcW w:w="1472" w:type="pct"/>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r>
              <w:rPr>
                <w:rFonts w:hint="eastAsia" w:hAnsi="Times New Roman" w:eastAsia="宋体"/>
                <w:kern w:val="2"/>
                <w:szCs w:val="22"/>
              </w:rPr>
              <w:t>井口水沟</w:t>
            </w:r>
          </w:p>
        </w:tc>
        <w:tc>
          <w:tcPr>
            <w:tcW w:w="531" w:type="pct"/>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r>
              <w:rPr>
                <w:rFonts w:hint="eastAsia" w:hAnsi="Times New Roman" w:eastAsia="宋体"/>
                <w:kern w:val="2"/>
                <w:szCs w:val="22"/>
              </w:rPr>
              <w:t>35.6</w:t>
            </w:r>
          </w:p>
        </w:tc>
        <w:tc>
          <w:tcPr>
            <w:tcW w:w="555" w:type="pct"/>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r>
              <w:rPr>
                <w:rFonts w:hint="eastAsia" w:hAnsi="Times New Roman" w:eastAsia="宋体"/>
                <w:kern w:val="2"/>
                <w:szCs w:val="22"/>
              </w:rPr>
              <w:t>35.6</w:t>
            </w:r>
          </w:p>
        </w:tc>
        <w:tc>
          <w:tcPr>
            <w:tcW w:w="880" w:type="pct"/>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98" w:type="pct"/>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r>
              <w:rPr>
                <w:rFonts w:hint="eastAsia" w:hAnsi="Times New Roman" w:eastAsia="宋体"/>
                <w:kern w:val="2"/>
                <w:szCs w:val="22"/>
              </w:rPr>
              <w:t>4</w:t>
            </w:r>
          </w:p>
        </w:tc>
        <w:tc>
          <w:tcPr>
            <w:tcW w:w="1064" w:type="pct"/>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r>
              <w:rPr>
                <w:rFonts w:hint="eastAsia" w:hAnsi="Times New Roman" w:eastAsia="宋体"/>
                <w:kern w:val="2"/>
                <w:szCs w:val="22"/>
              </w:rPr>
              <w:t>+572m回风平硐</w:t>
            </w:r>
          </w:p>
        </w:tc>
        <w:tc>
          <w:tcPr>
            <w:tcW w:w="1472" w:type="pct"/>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r>
              <w:rPr>
                <w:rFonts w:hint="eastAsia" w:hAnsi="Times New Roman" w:eastAsia="宋体"/>
                <w:kern w:val="2"/>
                <w:szCs w:val="22"/>
              </w:rPr>
              <w:t>井口水沟</w:t>
            </w:r>
          </w:p>
        </w:tc>
        <w:tc>
          <w:tcPr>
            <w:tcW w:w="531" w:type="pct"/>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r>
              <w:rPr>
                <w:rFonts w:hint="eastAsia" w:hAnsi="Times New Roman" w:eastAsia="宋体"/>
                <w:kern w:val="2"/>
                <w:szCs w:val="22"/>
              </w:rPr>
              <w:t>38.3</w:t>
            </w:r>
          </w:p>
        </w:tc>
        <w:tc>
          <w:tcPr>
            <w:tcW w:w="555" w:type="pct"/>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r>
              <w:rPr>
                <w:rFonts w:hint="eastAsia" w:hAnsi="Times New Roman" w:eastAsia="宋体"/>
                <w:kern w:val="2"/>
                <w:szCs w:val="22"/>
              </w:rPr>
              <w:t>38.3</w:t>
            </w:r>
          </w:p>
        </w:tc>
        <w:tc>
          <w:tcPr>
            <w:tcW w:w="880" w:type="pct"/>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98" w:type="pct"/>
            <w:vMerge w:val="restart"/>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r>
              <w:rPr>
                <w:rFonts w:hint="eastAsia" w:hAnsi="Times New Roman" w:eastAsia="宋体"/>
                <w:kern w:val="2"/>
                <w:szCs w:val="22"/>
              </w:rPr>
              <w:t>5</w:t>
            </w:r>
          </w:p>
        </w:tc>
        <w:tc>
          <w:tcPr>
            <w:tcW w:w="1064" w:type="pct"/>
            <w:vMerge w:val="restart"/>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r>
              <w:rPr>
                <w:rFonts w:hint="eastAsia" w:hAnsi="Times New Roman" w:eastAsia="宋体"/>
                <w:kern w:val="2"/>
                <w:szCs w:val="22"/>
              </w:rPr>
              <w:t>+200m水平</w:t>
            </w:r>
          </w:p>
        </w:tc>
        <w:tc>
          <w:tcPr>
            <w:tcW w:w="1472" w:type="pct"/>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r>
              <w:rPr>
                <w:rFonts w:hint="eastAsia" w:hAnsi="Times New Roman" w:eastAsia="宋体"/>
                <w:kern w:val="2"/>
                <w:szCs w:val="22"/>
              </w:rPr>
              <w:t>+200m西运输大巷水沟</w:t>
            </w:r>
          </w:p>
        </w:tc>
        <w:tc>
          <w:tcPr>
            <w:tcW w:w="531" w:type="pct"/>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r>
              <w:rPr>
                <w:rFonts w:hint="eastAsia" w:hAnsi="Times New Roman" w:eastAsia="宋体"/>
                <w:kern w:val="2"/>
                <w:szCs w:val="22"/>
              </w:rPr>
              <w:t>40.2</w:t>
            </w:r>
          </w:p>
        </w:tc>
        <w:tc>
          <w:tcPr>
            <w:tcW w:w="555" w:type="pct"/>
            <w:vMerge w:val="restart"/>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r>
              <w:rPr>
                <w:rFonts w:hint="eastAsia" w:hAnsi="Times New Roman" w:eastAsia="宋体"/>
                <w:kern w:val="2"/>
                <w:szCs w:val="22"/>
              </w:rPr>
              <w:t>85.5</w:t>
            </w:r>
          </w:p>
        </w:tc>
        <w:tc>
          <w:tcPr>
            <w:tcW w:w="880" w:type="pct"/>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98" w:type="pct"/>
            <w:vMerge w:val="continue"/>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p>
        </w:tc>
        <w:tc>
          <w:tcPr>
            <w:tcW w:w="1064" w:type="pct"/>
            <w:vMerge w:val="continue"/>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p>
        </w:tc>
        <w:tc>
          <w:tcPr>
            <w:tcW w:w="1472" w:type="pct"/>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r>
              <w:rPr>
                <w:rFonts w:hint="eastAsia" w:hAnsi="Times New Roman" w:eastAsia="宋体"/>
                <w:kern w:val="2"/>
                <w:szCs w:val="22"/>
              </w:rPr>
              <w:t>+200m东运输大巷水沟</w:t>
            </w:r>
          </w:p>
        </w:tc>
        <w:tc>
          <w:tcPr>
            <w:tcW w:w="531" w:type="pct"/>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r>
              <w:rPr>
                <w:rFonts w:hint="eastAsia" w:hAnsi="Times New Roman" w:eastAsia="宋体"/>
                <w:kern w:val="2"/>
                <w:szCs w:val="22"/>
              </w:rPr>
              <w:t>45.3</w:t>
            </w:r>
          </w:p>
        </w:tc>
        <w:tc>
          <w:tcPr>
            <w:tcW w:w="555" w:type="pct"/>
            <w:vMerge w:val="continue"/>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p>
        </w:tc>
        <w:tc>
          <w:tcPr>
            <w:tcW w:w="880" w:type="pct"/>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98" w:type="pct"/>
            <w:vMerge w:val="continue"/>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p>
        </w:tc>
        <w:tc>
          <w:tcPr>
            <w:tcW w:w="1064" w:type="pct"/>
            <w:vMerge w:val="continue"/>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p>
        </w:tc>
        <w:tc>
          <w:tcPr>
            <w:tcW w:w="1472" w:type="pct"/>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r>
              <w:rPr>
                <w:rFonts w:hint="eastAsia" w:hAnsi="Times New Roman" w:eastAsia="宋体"/>
                <w:kern w:val="2"/>
                <w:szCs w:val="22"/>
              </w:rPr>
              <w:t>+200m水仓入口</w:t>
            </w:r>
          </w:p>
        </w:tc>
        <w:tc>
          <w:tcPr>
            <w:tcW w:w="531" w:type="pct"/>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r>
              <w:rPr>
                <w:rFonts w:hint="eastAsia" w:hAnsi="Times New Roman" w:eastAsia="宋体"/>
                <w:kern w:val="2"/>
                <w:szCs w:val="22"/>
              </w:rPr>
              <w:t>85.5</w:t>
            </w:r>
          </w:p>
        </w:tc>
        <w:tc>
          <w:tcPr>
            <w:tcW w:w="555" w:type="pct"/>
            <w:vMerge w:val="continue"/>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p>
        </w:tc>
        <w:tc>
          <w:tcPr>
            <w:tcW w:w="880" w:type="pct"/>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561" w:type="pct"/>
            <w:gridSpan w:val="2"/>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r>
              <w:rPr>
                <w:rFonts w:hint="eastAsia" w:hAnsi="Times New Roman" w:eastAsia="宋体"/>
                <w:kern w:val="2"/>
                <w:szCs w:val="22"/>
              </w:rPr>
              <w:t>全矿井合计</w:t>
            </w:r>
          </w:p>
        </w:tc>
        <w:tc>
          <w:tcPr>
            <w:tcW w:w="1472" w:type="pct"/>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p>
        </w:tc>
        <w:tc>
          <w:tcPr>
            <w:tcW w:w="531" w:type="pct"/>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p>
        </w:tc>
        <w:tc>
          <w:tcPr>
            <w:tcW w:w="555" w:type="pct"/>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r>
              <w:rPr>
                <w:rFonts w:hint="eastAsia" w:hAnsi="Times New Roman" w:eastAsia="宋体"/>
                <w:kern w:val="2"/>
                <w:szCs w:val="22"/>
              </w:rPr>
              <w:t>200.0</w:t>
            </w:r>
          </w:p>
        </w:tc>
        <w:tc>
          <w:tcPr>
            <w:tcW w:w="880" w:type="pct"/>
            <w:vAlign w:val="center"/>
          </w:tcPr>
          <w:p>
            <w:pPr>
              <w:pStyle w:val="62"/>
              <w:keepNext w:val="0"/>
              <w:keepLines w:val="0"/>
              <w:suppressLineNumbers w:val="0"/>
              <w:spacing w:before="0" w:beforeAutospacing="0" w:after="0" w:afterAutospacing="0" w:line="280" w:lineRule="exact"/>
              <w:ind w:left="0" w:right="0"/>
              <w:rPr>
                <w:rFonts w:hint="eastAsia" w:hAnsi="Times New Roman" w:eastAsia="宋体"/>
                <w:kern w:val="2"/>
                <w:szCs w:val="22"/>
              </w:rPr>
            </w:pPr>
          </w:p>
        </w:tc>
      </w:tr>
    </w:tbl>
    <w:p>
      <w:pPr>
        <w:spacing w:line="360" w:lineRule="auto"/>
        <w:ind w:firstLine="480"/>
        <w:rPr>
          <w:rFonts w:hAnsi="Times New Roman" w:eastAsia="宋体"/>
        </w:rPr>
      </w:pPr>
      <w:r>
        <w:rPr>
          <w:rFonts w:hAnsi="Times New Roman" w:eastAsia="宋体"/>
        </w:rPr>
        <w:t>（2）涌水量预测</w:t>
      </w:r>
    </w:p>
    <w:p>
      <w:pPr>
        <w:spacing w:line="360" w:lineRule="auto"/>
        <w:ind w:firstLine="480"/>
        <w:rPr>
          <w:rFonts w:hAnsi="Times New Roman" w:eastAsia="宋体"/>
        </w:rPr>
      </w:pPr>
      <w:r>
        <w:rPr>
          <w:rFonts w:hAnsi="Times New Roman" w:eastAsia="宋体"/>
        </w:rPr>
        <w:t>1）预测范围</w:t>
      </w:r>
    </w:p>
    <w:p>
      <w:pPr>
        <w:spacing w:line="360" w:lineRule="auto"/>
        <w:ind w:firstLine="464"/>
        <w:rPr>
          <w:rFonts w:hAnsi="Times New Roman" w:eastAsia="宋体"/>
          <w:spacing w:val="-4"/>
        </w:rPr>
      </w:pPr>
      <w:r>
        <w:rPr>
          <w:rFonts w:hAnsi="Times New Roman" w:eastAsia="宋体"/>
          <w:spacing w:val="-4"/>
        </w:rPr>
        <w:t>矿井各平硐水平以上已采空，矿井涌水量能通过水沟自流出井，且涌水量已稳定，本次预测不再对各平硐以上涌水量进行预测，预测范围为矿区范围内+200m水平。</w:t>
      </w:r>
    </w:p>
    <w:p>
      <w:pPr>
        <w:spacing w:line="360" w:lineRule="auto"/>
        <w:ind w:firstLine="480"/>
        <w:rPr>
          <w:rFonts w:hAnsi="Times New Roman" w:eastAsia="宋体"/>
        </w:rPr>
      </w:pPr>
      <w:r>
        <w:rPr>
          <w:rFonts w:hAnsi="Times New Roman" w:eastAsia="宋体"/>
        </w:rPr>
        <w:t>2）预测方法的选择</w:t>
      </w:r>
    </w:p>
    <w:p>
      <w:pPr>
        <w:spacing w:line="360" w:lineRule="auto"/>
        <w:ind w:firstLine="480"/>
        <w:rPr>
          <w:rFonts w:hAnsi="Times New Roman" w:eastAsia="宋体"/>
          <w:bCs/>
        </w:rPr>
      </w:pPr>
      <w:r>
        <w:rPr>
          <w:rFonts w:hAnsi="Times New Roman" w:eastAsia="宋体"/>
        </w:rPr>
        <w:t>矿井开采前与开采后水文地质条件基本相似，故采用“水文地质比拟法”（简称“比拟法”）估算矿井+200m水平未来开采的矿井涌水量。由于矿坑水未能分煤层巷道测量，故此次涌水量估算也是各煤层合并估算。</w:t>
      </w:r>
      <w:r>
        <w:rPr>
          <w:rFonts w:hAnsi="Times New Roman" w:eastAsia="宋体"/>
          <w:bCs/>
        </w:rPr>
        <w:t>预算公式：</w:t>
      </w:r>
    </w:p>
    <w:p>
      <w:pPr>
        <w:spacing w:line="360" w:lineRule="auto"/>
        <w:ind w:firstLine="480"/>
        <w:rPr>
          <w:rFonts w:hAnsi="Times New Roman" w:eastAsia="宋体"/>
          <w:snapToGrid w:val="0"/>
        </w:rPr>
      </w:pPr>
      <w:r>
        <w:rPr>
          <w:rFonts w:hAnsi="Times New Roman" w:eastAsia="宋体"/>
          <w:snapToGrid w:val="0"/>
        </w:rPr>
        <w:t xml:space="preserve">    </w:t>
      </w:r>
      <w:r>
        <w:rPr>
          <w:rFonts w:hAnsi="Times New Roman" w:eastAsia="宋体"/>
          <w:position w:val="-32"/>
        </w:rPr>
        <w:object>
          <v:shape id="_x0000_i1041" o:spt="75" type="#_x0000_t75" style="height:45.35pt;width:105.35pt;" o:ole="t" filled="f" o:preferrelative="t" stroked="f" coordsize="21600,21600">
            <v:path/>
            <v:fill on="f" focussize="0,0"/>
            <v:stroke on="f" joinstyle="miter"/>
            <v:imagedata r:id="rId165" o:title=""/>
            <o:lock v:ext="edit" aspectratio="t"/>
            <w10:wrap type="none"/>
            <w10:anchorlock/>
          </v:shape>
          <o:OLEObject Type="Embed" ProgID="Equation.3" ShapeID="_x0000_i1041" DrawAspect="Content" ObjectID="_1468075741" r:id="rId164">
            <o:LockedField>false</o:LockedField>
          </o:OLEObject>
        </w:object>
      </w:r>
    </w:p>
    <w:p>
      <w:pPr>
        <w:spacing w:line="360" w:lineRule="auto"/>
        <w:ind w:firstLine="480"/>
        <w:rPr>
          <w:rFonts w:hAnsi="Times New Roman" w:eastAsia="宋体"/>
        </w:rPr>
      </w:pPr>
      <w:r>
        <w:rPr>
          <w:rFonts w:hAnsi="Times New Roman" w:eastAsia="宋体"/>
        </w:rPr>
        <w:t>Q</w:t>
      </w:r>
      <w:r>
        <w:rPr>
          <w:rFonts w:hAnsi="Times New Roman" w:eastAsia="宋体"/>
          <w:vertAlign w:val="subscript"/>
        </w:rPr>
        <w:t>0</w:t>
      </w:r>
      <w:r>
        <w:rPr>
          <w:rFonts w:hAnsi="Times New Roman" w:eastAsia="宋体"/>
        </w:rPr>
        <w:t>－比拟矿井涌水量+200m水平正常涌水量85.5m</w:t>
      </w:r>
      <w:r>
        <w:rPr>
          <w:rFonts w:hAnsi="Times New Roman" w:eastAsia="宋体"/>
          <w:vertAlign w:val="superscript"/>
        </w:rPr>
        <w:t>3</w:t>
      </w:r>
      <w:r>
        <w:rPr>
          <w:rFonts w:hAnsi="Times New Roman" w:eastAsia="宋体"/>
        </w:rPr>
        <w:t>/h，最大涌水量128.3m</w:t>
      </w:r>
      <w:r>
        <w:rPr>
          <w:rFonts w:hAnsi="Times New Roman" w:eastAsia="宋体"/>
          <w:vertAlign w:val="superscript"/>
        </w:rPr>
        <w:t>3</w:t>
      </w:r>
      <w:r>
        <w:rPr>
          <w:rFonts w:hAnsi="Times New Roman" w:eastAsia="宋体"/>
        </w:rPr>
        <w:t>/h</w:t>
      </w:r>
    </w:p>
    <w:p>
      <w:pPr>
        <w:spacing w:line="360" w:lineRule="auto"/>
        <w:ind w:firstLine="480"/>
        <w:rPr>
          <w:rFonts w:hAnsi="Times New Roman" w:eastAsia="宋体"/>
        </w:rPr>
      </w:pPr>
      <w:r>
        <w:rPr>
          <w:rFonts w:hAnsi="Times New Roman" w:eastAsia="宋体"/>
        </w:rPr>
        <w:t>S</w:t>
      </w:r>
      <w:r>
        <w:rPr>
          <w:rFonts w:hAnsi="Times New Roman" w:eastAsia="宋体"/>
          <w:vertAlign w:val="subscript"/>
        </w:rPr>
        <w:t>1</w:t>
      </w:r>
      <w:r>
        <w:rPr>
          <w:rFonts w:hAnsi="Times New Roman" w:eastAsia="宋体"/>
        </w:rPr>
        <w:t>－未来矿井开采面积5850130</w:t>
      </w:r>
      <w:r>
        <w:rPr>
          <w:rFonts w:hAnsi="Times New Roman" w:eastAsia="宋体"/>
          <w:snapToGrid w:val="0"/>
        </w:rPr>
        <w:t>m</w:t>
      </w:r>
      <w:r>
        <w:rPr>
          <w:rFonts w:hAnsi="Times New Roman" w:eastAsia="宋体"/>
          <w:snapToGrid w:val="0"/>
          <w:vertAlign w:val="superscript"/>
        </w:rPr>
        <w:t>2</w:t>
      </w:r>
    </w:p>
    <w:p>
      <w:pPr>
        <w:spacing w:line="360" w:lineRule="auto"/>
        <w:ind w:firstLine="480"/>
        <w:rPr>
          <w:rFonts w:hAnsi="Times New Roman" w:eastAsia="宋体"/>
        </w:rPr>
      </w:pPr>
      <w:r>
        <w:rPr>
          <w:rFonts w:hAnsi="Times New Roman" w:eastAsia="宋体"/>
        </w:rPr>
        <w:t>S</w:t>
      </w:r>
      <w:r>
        <w:rPr>
          <w:rFonts w:hAnsi="Times New Roman" w:eastAsia="宋体"/>
          <w:vertAlign w:val="subscript"/>
        </w:rPr>
        <w:t>0</w:t>
      </w:r>
      <w:r>
        <w:rPr>
          <w:rFonts w:hAnsi="Times New Roman" w:eastAsia="宋体"/>
        </w:rPr>
        <w:t>－比拟矿井现开采面积</w:t>
      </w:r>
      <w:r>
        <w:rPr>
          <w:rFonts w:hAnsi="Times New Roman" w:eastAsia="宋体"/>
          <w:snapToGrid w:val="0"/>
        </w:rPr>
        <w:t>2893910m</w:t>
      </w:r>
      <w:r>
        <w:rPr>
          <w:rFonts w:hAnsi="Times New Roman" w:eastAsia="宋体"/>
          <w:snapToGrid w:val="0"/>
          <w:vertAlign w:val="superscript"/>
        </w:rPr>
        <w:t>2</w:t>
      </w:r>
    </w:p>
    <w:p>
      <w:pPr>
        <w:spacing w:line="360" w:lineRule="auto"/>
        <w:ind w:firstLine="480"/>
        <w:rPr>
          <w:rFonts w:hAnsi="Times New Roman" w:eastAsia="宋体"/>
        </w:rPr>
      </w:pPr>
      <w:r>
        <w:rPr>
          <w:rFonts w:hAnsi="Times New Roman" w:eastAsia="宋体"/>
        </w:rPr>
        <w:t>经预算，七里峡煤矿+200m水平未来开采的正常涌水量为147.9m</w:t>
      </w:r>
      <w:r>
        <w:rPr>
          <w:rFonts w:hAnsi="Times New Roman" w:eastAsia="宋体"/>
          <w:vertAlign w:val="superscript"/>
        </w:rPr>
        <w:t>3</w:t>
      </w:r>
      <w:r>
        <w:rPr>
          <w:rFonts w:hAnsi="Times New Roman" w:eastAsia="宋体"/>
        </w:rPr>
        <w:t>/h，最大涌水量为221.9m</w:t>
      </w:r>
      <w:r>
        <w:rPr>
          <w:rFonts w:hAnsi="Times New Roman" w:eastAsia="宋体"/>
          <w:vertAlign w:val="superscript"/>
        </w:rPr>
        <w:t>3</w:t>
      </w:r>
      <w:r>
        <w:rPr>
          <w:rFonts w:hAnsi="Times New Roman" w:eastAsia="宋体"/>
        </w:rPr>
        <w:t>/h。</w:t>
      </w:r>
    </w:p>
    <w:p>
      <w:pPr>
        <w:spacing w:line="360" w:lineRule="auto"/>
        <w:ind w:firstLine="480"/>
        <w:rPr>
          <w:rFonts w:hAnsi="Times New Roman" w:eastAsia="宋体"/>
        </w:rPr>
      </w:pPr>
      <w:r>
        <w:rPr>
          <w:rFonts w:hAnsi="Times New Roman" w:eastAsia="宋体"/>
        </w:rPr>
        <w:t>3）涌水量估算结果评价</w:t>
      </w:r>
    </w:p>
    <w:p>
      <w:pPr>
        <w:spacing w:line="360" w:lineRule="auto"/>
        <w:ind w:firstLine="480"/>
        <w:rPr>
          <w:rFonts w:hAnsi="Times New Roman" w:eastAsia="宋体"/>
        </w:rPr>
      </w:pPr>
      <w:r>
        <w:rPr>
          <w:rFonts w:hAnsi="Times New Roman" w:eastAsia="宋体"/>
        </w:rPr>
        <w:t>采用水文地质比拟法，计算方法正确，计算参数采用可靠，计算中考虑了开采因素，计算的未来矿井涌水量结果较为可靠。</w:t>
      </w:r>
    </w:p>
    <w:p>
      <w:pPr>
        <w:pStyle w:val="6"/>
        <w:rPr>
          <w:szCs w:val="22"/>
        </w:rPr>
      </w:pPr>
      <w:bookmarkStart w:id="320" w:name="_Toc167095228"/>
      <w:bookmarkStart w:id="321" w:name="_Toc163812605"/>
      <w:r>
        <w:rPr>
          <w:szCs w:val="22"/>
        </w:rPr>
        <w:t>5.4.2地下水环境影响预测与评价</w:t>
      </w:r>
      <w:bookmarkEnd w:id="320"/>
      <w:bookmarkEnd w:id="321"/>
    </w:p>
    <w:p>
      <w:pPr>
        <w:pStyle w:val="53"/>
        <w:ind w:firstLine="0" w:firstLineChars="0"/>
        <w:rPr>
          <w:rFonts w:eastAsia="宋体"/>
          <w:b/>
          <w:bCs/>
        </w:rPr>
      </w:pPr>
      <w:bookmarkStart w:id="322" w:name="_Toc477359801"/>
      <w:bookmarkStart w:id="323" w:name="_Toc531615645"/>
      <w:bookmarkStart w:id="324" w:name="_Toc87392088"/>
      <w:r>
        <w:rPr>
          <w:rFonts w:eastAsia="宋体"/>
          <w:b/>
          <w:bCs/>
        </w:rPr>
        <w:t>5.4.2.1工作概述</w:t>
      </w:r>
      <w:bookmarkEnd w:id="322"/>
      <w:bookmarkEnd w:id="323"/>
      <w:bookmarkEnd w:id="324"/>
    </w:p>
    <w:p>
      <w:pPr>
        <w:spacing w:line="360" w:lineRule="auto"/>
        <w:ind w:firstLine="480"/>
        <w:rPr>
          <w:rFonts w:hAnsi="Times New Roman" w:eastAsia="宋体"/>
        </w:rPr>
      </w:pPr>
      <w:bookmarkStart w:id="325" w:name="_Toc477359802"/>
      <w:r>
        <w:rPr>
          <w:rFonts w:hAnsi="Times New Roman" w:eastAsia="宋体"/>
        </w:rPr>
        <w:t>按《地下水导则》相关要求，本次地下水环境影响评价级别为二级，根据建设项目自身性质及其对地下水环境影响的特点，为预测和评价建设项目各实施阶段（建设期、运营期及服务期满后）对地下水环境可能造成的影响和危害，并针对这种影响和危害提出防治对策，从而达到预防与控制环境恶化，保护地下水资源的目的，本次工作将采用数值模拟法进行预测与评价。</w:t>
      </w:r>
    </w:p>
    <w:p>
      <w:pPr>
        <w:spacing w:line="360" w:lineRule="auto"/>
        <w:ind w:firstLine="480"/>
        <w:rPr>
          <w:rFonts w:hAnsi="Times New Roman" w:eastAsia="宋体"/>
        </w:rPr>
      </w:pPr>
      <w:r>
        <w:rPr>
          <w:rFonts w:hAnsi="Times New Roman" w:eastAsia="宋体"/>
        </w:rPr>
        <w:t>总体思路是：在对评价区水文地质条件综合分析的基础上确定模拟范围，通过合理概化边界条件、地下水流动特征及含水层系统结构，建立评价区的水文地质概念模型，进一步通过对模拟区三角剖分、空间离散、高程插值及非均质分区后进行水文地质参数赋值，从而构建地下水渗流数值模型，利用已有的水位观测资料，完成水流模型的识别验证，得到天然情况下模拟区地下水初始流场。针对场区工程特点，选取典型预测因子，设计不同的情景状况，在地下水渗流数值模型的基础上耦合污染物运移方程，得到地下水溶质运移模型，使用此模型对情景状况进行预测，将得到的预测结果叠加环境现状值，并利用水质标准进行评价，进而模拟评价环保措施的有效性，最终得到地下水环境评价结论。</w:t>
      </w:r>
    </w:p>
    <w:p>
      <w:pPr>
        <w:pStyle w:val="53"/>
        <w:ind w:firstLine="0" w:firstLineChars="0"/>
        <w:rPr>
          <w:rFonts w:eastAsia="宋体"/>
          <w:b/>
          <w:bCs/>
        </w:rPr>
      </w:pPr>
      <w:bookmarkStart w:id="326" w:name="_Toc87392089"/>
      <w:bookmarkStart w:id="327" w:name="_Toc531615648"/>
      <w:bookmarkStart w:id="328" w:name="_Toc477359803"/>
      <w:bookmarkStart w:id="329" w:name="_Toc531615646"/>
      <w:r>
        <w:rPr>
          <w:rFonts w:eastAsia="宋体"/>
          <w:b/>
          <w:bCs/>
        </w:rPr>
        <w:t>5.4.2.2水文地质概念模型</w:t>
      </w:r>
      <w:bookmarkEnd w:id="326"/>
      <w:bookmarkEnd w:id="327"/>
      <w:bookmarkEnd w:id="328"/>
    </w:p>
    <w:p>
      <w:pPr>
        <w:spacing w:line="360" w:lineRule="auto"/>
        <w:ind w:firstLine="480"/>
        <w:rPr>
          <w:rFonts w:hAnsi="Times New Roman" w:eastAsia="宋体"/>
        </w:rPr>
      </w:pPr>
      <w:r>
        <w:rPr>
          <w:rFonts w:hAnsi="Times New Roman" w:eastAsia="宋体"/>
          <w:szCs w:val="22"/>
        </w:rPr>
        <w:t>水</w:t>
      </w:r>
      <w:r>
        <w:rPr>
          <w:rFonts w:hAnsi="Times New Roman" w:eastAsia="宋体"/>
        </w:rPr>
        <w:t>文地质概念模型是把含水层或含水系统实际的边界性质、内部结构、渗透性能、水力特征和补给排泄等条件进行合理的概化，以便可以进行数学与物理模拟。</w:t>
      </w:r>
    </w:p>
    <w:p>
      <w:pPr>
        <w:spacing w:line="360" w:lineRule="auto"/>
        <w:ind w:firstLine="480"/>
        <w:rPr>
          <w:rFonts w:hAnsi="Times New Roman" w:eastAsia="宋体"/>
        </w:rPr>
      </w:pPr>
      <w:bookmarkStart w:id="330" w:name="_Toc368237901"/>
      <w:r>
        <w:rPr>
          <w:rFonts w:hAnsi="Times New Roman" w:eastAsia="宋体"/>
        </w:rPr>
        <w:t>根据项目所处水文地质条件，圈定一个水文地质单元为其评价范围。评价区</w:t>
      </w:r>
      <w:r>
        <w:rPr>
          <w:rFonts w:hint="eastAsia" w:hAnsi="Times New Roman" w:eastAsia="宋体"/>
          <w:lang w:eastAsia="zh-CN"/>
        </w:rPr>
        <w:t>北</w:t>
      </w:r>
      <w:r>
        <w:rPr>
          <w:rFonts w:hAnsi="Times New Roman" w:eastAsia="宋体"/>
        </w:rPr>
        <w:t>部以河沟为给定水头边界，西、南、</w:t>
      </w:r>
      <w:r>
        <w:rPr>
          <w:rFonts w:hint="eastAsia" w:hAnsi="Times New Roman" w:eastAsia="宋体"/>
          <w:lang w:eastAsia="zh-CN"/>
        </w:rPr>
        <w:t>东</w:t>
      </w:r>
      <w:r>
        <w:rPr>
          <w:rFonts w:hAnsi="Times New Roman" w:eastAsia="宋体"/>
        </w:rPr>
        <w:t>侧以地表分水岭为零通量边界，圈定了一个相对独立的水文地质单元，面积约1.54km</w:t>
      </w:r>
      <w:r>
        <w:rPr>
          <w:rFonts w:hAnsi="Times New Roman" w:eastAsia="宋体"/>
          <w:vertAlign w:val="superscript"/>
        </w:rPr>
        <w:t>2</w:t>
      </w:r>
      <w:r>
        <w:rPr>
          <w:rFonts w:hAnsi="Times New Roman" w:eastAsia="宋体"/>
        </w:rPr>
        <w:t>，如下图所示。</w:t>
      </w:r>
    </w:p>
    <w:p>
      <w:pPr>
        <w:spacing w:line="360" w:lineRule="auto"/>
        <w:ind w:firstLine="480"/>
        <w:rPr>
          <w:rFonts w:hAnsi="Times New Roman" w:eastAsia="宋体"/>
        </w:rPr>
      </w:pPr>
      <w:r>
        <w:rPr>
          <w:rFonts w:hAnsi="Times New Roman" w:eastAsia="宋体"/>
        </w:rPr>
        <w:t>将整个单元概化为非均质、各向异性、三维非稳定流的水文地质概念模型。</w:t>
      </w:r>
    </w:p>
    <w:p>
      <w:pPr>
        <w:spacing w:line="360" w:lineRule="auto"/>
        <w:ind w:firstLine="480"/>
        <w:rPr>
          <w:rFonts w:hAnsi="Times New Roman" w:eastAsia="宋体"/>
        </w:rPr>
      </w:pPr>
      <w:r>
        <w:rPr>
          <w:rFonts w:hAnsi="Times New Roman" w:eastAsia="宋体"/>
        </w:rPr>
        <w:t>调查区内出露侏罗系中统新田沟组泥岩，根据区域资料，浅表层有裂隙发育，且随着埋深的增加，裂隙逐渐减弱，发育深度一般在</w:t>
      </w:r>
      <w:r>
        <w:rPr>
          <w:rFonts w:hAnsi="Times New Roman" w:eastAsia="宋体"/>
          <w:lang w:eastAsia="zh-CN"/>
        </w:rPr>
        <w:t>4</w:t>
      </w:r>
      <w:r>
        <w:rPr>
          <w:rFonts w:hAnsi="Times New Roman" w:eastAsia="宋体"/>
        </w:rPr>
        <w:t>0m以内。故将模拟区垂向上概化为裂隙孔隙含水层。</w:t>
      </w:r>
    </w:p>
    <w:bookmarkEnd w:id="330"/>
    <w:p>
      <w:pPr>
        <w:pStyle w:val="62"/>
        <w:rPr>
          <w:rFonts w:hAnsi="Times New Roman" w:eastAsia="宋体"/>
        </w:rPr>
      </w:pPr>
      <w:bookmarkStart w:id="331" w:name="_Toc87392090"/>
      <w:r>
        <w:rPr>
          <w:rFonts w:hAnsi="Times New Roman" w:eastAsia="宋体"/>
        </w:rPr>
        <w:drawing>
          <wp:inline distT="0" distB="0" distL="114300" distR="114300">
            <wp:extent cx="4787265" cy="2923540"/>
            <wp:effectExtent l="0" t="0" r="13335" b="10160"/>
            <wp:docPr id="206"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47"/>
                    <pic:cNvPicPr>
                      <a:picLocks noChangeAspect="1"/>
                    </pic:cNvPicPr>
                  </pic:nvPicPr>
                  <pic:blipFill>
                    <a:blip r:embed="rId150"/>
                    <a:stretch>
                      <a:fillRect/>
                    </a:stretch>
                  </pic:blipFill>
                  <pic:spPr>
                    <a:xfrm>
                      <a:off x="0" y="0"/>
                      <a:ext cx="4787265" cy="2923540"/>
                    </a:xfrm>
                    <a:prstGeom prst="rect">
                      <a:avLst/>
                    </a:prstGeom>
                    <a:noFill/>
                    <a:ln>
                      <a:noFill/>
                    </a:ln>
                  </pic:spPr>
                </pic:pic>
              </a:graphicData>
            </a:graphic>
          </wp:inline>
        </w:drawing>
      </w:r>
    </w:p>
    <w:p>
      <w:pPr>
        <w:spacing w:line="300" w:lineRule="exact"/>
        <w:jc w:val="center"/>
        <w:rPr>
          <w:rFonts w:hAnsi="Times New Roman" w:eastAsia="宋体"/>
          <w:b/>
          <w:bCs/>
          <w:sz w:val="21"/>
          <w:szCs w:val="21"/>
          <w:lang w:eastAsia="zh-CN"/>
        </w:rPr>
      </w:pPr>
      <w:bookmarkStart w:id="332" w:name="_Ref87392193"/>
      <w:bookmarkStart w:id="333" w:name="_Toc475971239"/>
      <w:bookmarkStart w:id="334" w:name="_Toc531615762"/>
      <w:r>
        <w:rPr>
          <w:rFonts w:hAnsi="Times New Roman" w:eastAsia="宋体"/>
          <w:b/>
          <w:bCs/>
          <w:sz w:val="21"/>
          <w:szCs w:val="21"/>
          <w:lang w:eastAsia="zh-CN"/>
        </w:rPr>
        <w:t>图</w:t>
      </w:r>
      <w:bookmarkEnd w:id="332"/>
      <w:r>
        <w:rPr>
          <w:rFonts w:hAnsi="Times New Roman" w:eastAsia="宋体"/>
          <w:b/>
          <w:bCs/>
          <w:sz w:val="21"/>
          <w:szCs w:val="21"/>
          <w:lang w:eastAsia="zh-CN"/>
        </w:rPr>
        <w:t>5.4-1模拟范围示意图</w:t>
      </w:r>
      <w:bookmarkEnd w:id="333"/>
      <w:bookmarkEnd w:id="334"/>
    </w:p>
    <w:p>
      <w:pPr>
        <w:spacing w:line="360" w:lineRule="auto"/>
        <w:ind w:firstLine="480"/>
        <w:rPr>
          <w:rFonts w:hAnsi="Times New Roman" w:eastAsia="宋体"/>
        </w:rPr>
      </w:pPr>
      <w:r>
        <w:rPr>
          <w:rFonts w:hAnsi="Times New Roman" w:eastAsia="宋体"/>
        </w:rPr>
        <w:t>（1）数学方程与求解平台</w:t>
      </w:r>
      <w:bookmarkEnd w:id="331"/>
    </w:p>
    <w:p>
      <w:pPr>
        <w:spacing w:line="360" w:lineRule="auto"/>
        <w:ind w:firstLine="480"/>
        <w:rPr>
          <w:rFonts w:hAnsi="Times New Roman" w:eastAsia="宋体"/>
        </w:rPr>
      </w:pPr>
      <w:r>
        <w:rPr>
          <w:rFonts w:hAnsi="Times New Roman" w:eastAsia="宋体"/>
        </w:rPr>
        <w:t>通过对水文地质概念模型的分析，依据渗流连续性方程和达西定律，建立模拟区地下水系统水文地质概念模型相对应的三维非稳定流数学模型：</w:t>
      </w:r>
    </w:p>
    <w:p>
      <w:pPr>
        <w:spacing w:line="360" w:lineRule="auto"/>
        <w:ind w:firstLine="480"/>
        <w:rPr>
          <w:rFonts w:hAnsi="Times New Roman" w:eastAsia="宋体"/>
          <w:szCs w:val="22"/>
        </w:rPr>
      </w:pPr>
      <w:r>
        <w:rPr>
          <w:rFonts w:hAnsi="Times New Roman" w:eastAsia="宋体"/>
          <w:szCs w:val="22"/>
        </w:rPr>
        <w:object>
          <v:shape id="_x0000_i1042" o:spt="75" type="#_x0000_t75" style="height:40.65pt;width:272pt;" o:ole="t" filled="f" o:preferrelative="t" stroked="f" coordsize="21600,21600">
            <v:path/>
            <v:fill on="f" focussize="0,0"/>
            <v:stroke on="f" joinstyle="miter"/>
            <v:imagedata r:id="rId167" o:title=""/>
            <o:lock v:ext="edit" aspectratio="t"/>
            <w10:wrap type="none"/>
            <w10:anchorlock/>
          </v:shape>
          <o:OLEObject Type="Embed" ProgID="Equation.3" ShapeID="_x0000_i1042" DrawAspect="Content" ObjectID="_1468075742" r:id="rId166">
            <o:LockedField>false</o:LockedField>
          </o:OLEObject>
        </w:object>
      </w:r>
    </w:p>
    <w:p>
      <w:pPr>
        <w:spacing w:line="360" w:lineRule="auto"/>
        <w:ind w:firstLine="480"/>
        <w:rPr>
          <w:rFonts w:hAnsi="Times New Roman" w:eastAsia="宋体"/>
          <w:szCs w:val="22"/>
        </w:rPr>
      </w:pPr>
      <w:r>
        <w:rPr>
          <w:rFonts w:hAnsi="Times New Roman" w:eastAsia="宋体"/>
          <w:szCs w:val="22"/>
        </w:rPr>
        <w:object>
          <v:shape id="_x0000_i1043" o:spt="75" type="#_x0000_t75" style="height:23.35pt;width:112pt;" o:ole="t" filled="f" o:preferrelative="t" stroked="f" coordsize="21600,21600">
            <v:path/>
            <v:fill on="f" focussize="0,0"/>
            <v:stroke on="f" joinstyle="miter"/>
            <v:imagedata r:id="rId169" o:title=""/>
            <o:lock v:ext="edit" aspectratio="t"/>
            <w10:wrap type="none"/>
            <w10:anchorlock/>
          </v:shape>
          <o:OLEObject Type="Embed" ProgID="Equation.3" ShapeID="_x0000_i1043" DrawAspect="Content" ObjectID="_1468075743" r:id="rId168">
            <o:LockedField>false</o:LockedField>
          </o:OLEObject>
        </w:object>
      </w:r>
      <w:r>
        <w:rPr>
          <w:rFonts w:hAnsi="Times New Roman" w:eastAsia="宋体"/>
          <w:szCs w:val="22"/>
        </w:rPr>
        <w:t>，</w:t>
      </w:r>
      <w:r>
        <w:rPr>
          <w:rFonts w:hAnsi="Times New Roman" w:eastAsia="宋体"/>
          <w:szCs w:val="22"/>
        </w:rPr>
        <w:object>
          <v:shape id="_x0000_i1044" o:spt="75" type="#_x0000_t75" style="height:18.65pt;width:60.65pt;" o:ole="t" filled="f" o:preferrelative="t" stroked="f" coordsize="21600,21600">
            <v:path/>
            <v:fill on="f" focussize="0,0"/>
            <v:stroke on="f" joinstyle="miter"/>
            <v:imagedata r:id="rId171" o:title=""/>
            <o:lock v:ext="edit" aspectratio="t"/>
            <w10:wrap type="none"/>
            <w10:anchorlock/>
          </v:shape>
          <o:OLEObject Type="Embed" ProgID="Equation.3" ShapeID="_x0000_i1044" DrawAspect="Content" ObjectID="_1468075744" r:id="rId170">
            <o:LockedField>false</o:LockedField>
          </o:OLEObject>
        </w:object>
      </w:r>
    </w:p>
    <w:p>
      <w:pPr>
        <w:spacing w:line="360" w:lineRule="auto"/>
        <w:ind w:firstLine="480"/>
        <w:rPr>
          <w:rFonts w:hAnsi="Times New Roman" w:eastAsia="宋体"/>
          <w:szCs w:val="22"/>
        </w:rPr>
      </w:pPr>
      <w:r>
        <w:rPr>
          <w:rFonts w:hAnsi="Times New Roman" w:eastAsia="宋体"/>
          <w:szCs w:val="22"/>
        </w:rPr>
        <w:object>
          <v:shape id="_x0000_i1045" o:spt="75" type="#_x0000_t75" style="height:39.35pt;width:125.3pt;" o:ole="t" filled="f" o:preferrelative="t" stroked="f" coordsize="21600,21600">
            <v:path/>
            <v:fill on="f" focussize="0,0"/>
            <v:stroke on="f" joinstyle="miter"/>
            <v:imagedata r:id="rId173" o:title=""/>
            <o:lock v:ext="edit" aspectratio="t"/>
            <w10:wrap type="none"/>
            <w10:anchorlock/>
          </v:shape>
          <o:OLEObject Type="Embed" ProgID="Equation.3" ShapeID="_x0000_i1045" DrawAspect="Content" ObjectID="_1468075745" r:id="rId172">
            <o:LockedField>false</o:LockedField>
          </o:OLEObject>
        </w:object>
      </w:r>
      <w:r>
        <w:rPr>
          <w:rFonts w:hAnsi="Times New Roman" w:eastAsia="宋体"/>
          <w:szCs w:val="22"/>
        </w:rPr>
        <w:t>，</w:t>
      </w:r>
      <w:r>
        <w:rPr>
          <w:rFonts w:hAnsi="Times New Roman" w:eastAsia="宋体"/>
          <w:szCs w:val="22"/>
        </w:rPr>
        <w:object>
          <v:shape id="_x0000_i1046" o:spt="75" type="#_x0000_t75" style="height:24pt;width:72pt;" o:ole="t" filled="f" o:preferrelative="t" stroked="f" coordsize="21600,21600">
            <v:path/>
            <v:fill on="f" focussize="0,0"/>
            <v:stroke on="f" joinstyle="miter"/>
            <v:imagedata r:id="rId175" o:title=""/>
            <o:lock v:ext="edit" aspectratio="t"/>
            <w10:wrap type="none"/>
            <w10:anchorlock/>
          </v:shape>
          <o:OLEObject Type="Embed" ProgID="Equation.3" ShapeID="_x0000_i1046" DrawAspect="Content" ObjectID="_1468075746" r:id="rId174">
            <o:LockedField>false</o:LockedField>
          </o:OLEObject>
        </w:object>
      </w:r>
    </w:p>
    <w:p>
      <w:pPr>
        <w:spacing w:line="360" w:lineRule="auto"/>
        <w:ind w:firstLine="480"/>
        <w:rPr>
          <w:rFonts w:hAnsi="Times New Roman" w:eastAsia="宋体"/>
          <w:szCs w:val="22"/>
        </w:rPr>
      </w:pPr>
      <w:r>
        <w:rPr>
          <w:rFonts w:hAnsi="Times New Roman" w:eastAsia="宋体"/>
          <w:szCs w:val="22"/>
        </w:rPr>
        <w:object>
          <v:shape id="_x0000_i1047" o:spt="75" type="#_x0000_t75" style="height:24pt;width:113.35pt;" o:ole="t" filled="f" o:preferrelative="t" stroked="f" coordsize="21600,21600">
            <v:path/>
            <v:fill on="f" focussize="0,0"/>
            <v:stroke on="f" joinstyle="miter"/>
            <v:imagedata r:id="rId177" o:title=""/>
            <o:lock v:ext="edit" aspectratio="t"/>
            <w10:wrap type="none"/>
            <w10:anchorlock/>
          </v:shape>
          <o:OLEObject Type="Embed" ProgID="Equation.3" ShapeID="_x0000_i1047" DrawAspect="Content" ObjectID="_1468075747" r:id="rId176">
            <o:LockedField>false</o:LockedField>
          </o:OLEObject>
        </w:object>
      </w:r>
      <w:r>
        <w:rPr>
          <w:rFonts w:hAnsi="Times New Roman" w:eastAsia="宋体"/>
          <w:szCs w:val="22"/>
        </w:rPr>
        <w:t>，</w:t>
      </w:r>
      <w:r>
        <w:rPr>
          <w:rFonts w:hAnsi="Times New Roman" w:eastAsia="宋体"/>
          <w:position w:val="-12"/>
          <w:szCs w:val="22"/>
        </w:rPr>
        <w:object>
          <v:shape id="_x0000_i1048" o:spt="75" type="#_x0000_t75" style="height:23.35pt;width:83.35pt;" o:ole="t" filled="f" o:preferrelative="t" stroked="f" coordsize="21600,21600">
            <v:path/>
            <v:fill on="f" focussize="0,0"/>
            <v:stroke on="f" joinstyle="miter"/>
            <v:imagedata r:id="rId179" o:title=""/>
            <o:lock v:ext="edit" aspectratio="t"/>
            <w10:wrap type="none"/>
            <w10:anchorlock/>
          </v:shape>
          <o:OLEObject Type="Embed" ProgID="Equation.DSMT4" ShapeID="_x0000_i1048" DrawAspect="Content" ObjectID="_1468075748" r:id="rId178">
            <o:LockedField>false</o:LockedField>
          </o:OLEObject>
        </w:object>
      </w:r>
    </w:p>
    <w:p>
      <w:pPr>
        <w:spacing w:line="360" w:lineRule="auto"/>
        <w:ind w:firstLine="480"/>
        <w:rPr>
          <w:rFonts w:hAnsi="Times New Roman" w:eastAsia="宋体"/>
          <w:szCs w:val="22"/>
        </w:rPr>
      </w:pPr>
      <w:r>
        <w:rPr>
          <w:rFonts w:hAnsi="Times New Roman" w:eastAsia="宋体"/>
          <w:szCs w:val="22"/>
        </w:rPr>
        <w:t>式中，</w:t>
      </w:r>
      <w:r>
        <w:rPr>
          <w:rFonts w:hAnsi="Times New Roman" w:eastAsia="宋体"/>
          <w:b/>
          <w:szCs w:val="22"/>
        </w:rPr>
        <w:t>Ω</w:t>
      </w:r>
      <w:r>
        <w:rPr>
          <w:rFonts w:hAnsi="Times New Roman" w:eastAsia="宋体"/>
          <w:szCs w:val="22"/>
        </w:rPr>
        <w:t>：地下水渗流区域，量纲：L</w:t>
      </w:r>
      <w:r>
        <w:rPr>
          <w:rFonts w:hAnsi="Times New Roman" w:eastAsia="宋体"/>
          <w:szCs w:val="22"/>
          <w:vertAlign w:val="superscript"/>
        </w:rPr>
        <w:t>2</w:t>
      </w:r>
      <w:r>
        <w:rPr>
          <w:rFonts w:hAnsi="Times New Roman" w:eastAsia="宋体"/>
          <w:szCs w:val="22"/>
        </w:rPr>
        <w:t>；</w:t>
      </w:r>
    </w:p>
    <w:p>
      <w:pPr>
        <w:spacing w:line="360" w:lineRule="auto"/>
        <w:ind w:left="960" w:leftChars="400" w:firstLine="199" w:firstLineChars="83"/>
        <w:rPr>
          <w:rFonts w:hAnsi="Times New Roman" w:eastAsia="宋体"/>
          <w:szCs w:val="22"/>
        </w:rPr>
      </w:pPr>
      <w:r>
        <w:rPr>
          <w:rFonts w:hAnsi="Times New Roman" w:eastAsia="宋体"/>
          <w:szCs w:val="22"/>
        </w:rPr>
        <w:t>H</w:t>
      </w:r>
      <w:r>
        <w:rPr>
          <w:rFonts w:hAnsi="Times New Roman" w:eastAsia="宋体"/>
          <w:szCs w:val="22"/>
          <w:vertAlign w:val="subscript"/>
        </w:rPr>
        <w:t>0</w:t>
      </w:r>
      <w:r>
        <w:rPr>
          <w:rFonts w:hAnsi="Times New Roman" w:eastAsia="宋体"/>
          <w:szCs w:val="22"/>
        </w:rPr>
        <w:t>：初始地下水位，量纲：L；</w:t>
      </w:r>
    </w:p>
    <w:p>
      <w:pPr>
        <w:spacing w:line="360" w:lineRule="auto"/>
        <w:ind w:left="960" w:leftChars="400" w:firstLine="199" w:firstLineChars="83"/>
        <w:rPr>
          <w:rFonts w:hAnsi="Times New Roman" w:eastAsia="宋体"/>
          <w:szCs w:val="22"/>
        </w:rPr>
      </w:pPr>
      <w:r>
        <w:rPr>
          <w:rFonts w:hAnsi="Times New Roman" w:eastAsia="宋体"/>
          <w:szCs w:val="22"/>
        </w:rPr>
        <w:t>H</w:t>
      </w:r>
      <w:r>
        <w:rPr>
          <w:rFonts w:hAnsi="Times New Roman" w:eastAsia="宋体"/>
          <w:szCs w:val="22"/>
          <w:vertAlign w:val="subscript"/>
        </w:rPr>
        <w:t>1</w:t>
      </w:r>
      <w:r>
        <w:rPr>
          <w:rFonts w:hAnsi="Times New Roman" w:eastAsia="宋体"/>
          <w:szCs w:val="22"/>
        </w:rPr>
        <w:t>：指定水位，量纲：L；</w:t>
      </w:r>
    </w:p>
    <w:p>
      <w:pPr>
        <w:spacing w:line="360" w:lineRule="auto"/>
        <w:ind w:left="960" w:leftChars="400" w:firstLine="199" w:firstLineChars="83"/>
        <w:rPr>
          <w:rFonts w:hAnsi="Times New Roman" w:eastAsia="宋体"/>
          <w:szCs w:val="22"/>
        </w:rPr>
      </w:pPr>
      <w:r>
        <w:rPr>
          <w:rFonts w:hAnsi="Times New Roman" w:eastAsia="宋体"/>
          <w:szCs w:val="22"/>
        </w:rPr>
        <w:t>S</w:t>
      </w:r>
      <w:r>
        <w:rPr>
          <w:rFonts w:hAnsi="Times New Roman" w:eastAsia="宋体"/>
          <w:szCs w:val="22"/>
          <w:vertAlign w:val="subscript"/>
        </w:rPr>
        <w:t>1</w:t>
      </w:r>
      <w:r>
        <w:rPr>
          <w:rFonts w:hAnsi="Times New Roman" w:eastAsia="宋体"/>
          <w:szCs w:val="22"/>
        </w:rPr>
        <w:t>：第一类边界；</w:t>
      </w:r>
    </w:p>
    <w:p>
      <w:pPr>
        <w:spacing w:line="360" w:lineRule="auto"/>
        <w:ind w:left="960" w:leftChars="400" w:firstLine="199" w:firstLineChars="83"/>
        <w:rPr>
          <w:rFonts w:hAnsi="Times New Roman" w:eastAsia="宋体"/>
          <w:szCs w:val="22"/>
        </w:rPr>
      </w:pPr>
      <w:r>
        <w:rPr>
          <w:rFonts w:hAnsi="Times New Roman" w:eastAsia="宋体"/>
          <w:szCs w:val="22"/>
        </w:rPr>
        <w:t>S</w:t>
      </w:r>
      <w:r>
        <w:rPr>
          <w:rFonts w:hAnsi="Times New Roman" w:eastAsia="宋体"/>
          <w:szCs w:val="22"/>
          <w:vertAlign w:val="subscript"/>
        </w:rPr>
        <w:t>2</w:t>
      </w:r>
      <w:r>
        <w:rPr>
          <w:rFonts w:hAnsi="Times New Roman" w:eastAsia="宋体"/>
          <w:szCs w:val="22"/>
        </w:rPr>
        <w:t>：第二类边界；</w:t>
      </w:r>
    </w:p>
    <w:p>
      <w:pPr>
        <w:spacing w:line="360" w:lineRule="auto"/>
        <w:ind w:left="960" w:leftChars="400" w:firstLine="199" w:firstLineChars="83"/>
        <w:rPr>
          <w:rFonts w:hAnsi="Times New Roman" w:eastAsia="宋体"/>
          <w:szCs w:val="22"/>
        </w:rPr>
      </w:pPr>
      <w:r>
        <w:rPr>
          <w:rFonts w:hAnsi="Times New Roman" w:eastAsia="宋体"/>
          <w:szCs w:val="22"/>
        </w:rPr>
        <w:t>μs：单位储水系数，量纲：L</w:t>
      </w:r>
      <w:r>
        <w:rPr>
          <w:rFonts w:hAnsi="Times New Roman" w:eastAsia="宋体"/>
          <w:szCs w:val="22"/>
          <w:vertAlign w:val="superscript"/>
        </w:rPr>
        <w:t>-1</w:t>
      </w:r>
      <w:r>
        <w:rPr>
          <w:rFonts w:hAnsi="Times New Roman" w:eastAsia="宋体"/>
          <w:szCs w:val="22"/>
        </w:rPr>
        <w:t>；</w:t>
      </w:r>
    </w:p>
    <w:p>
      <w:pPr>
        <w:spacing w:line="360" w:lineRule="auto"/>
        <w:ind w:left="960" w:leftChars="400" w:firstLine="199" w:firstLineChars="83"/>
        <w:rPr>
          <w:rFonts w:hAnsi="Times New Roman" w:eastAsia="宋体"/>
          <w:szCs w:val="22"/>
        </w:rPr>
      </w:pPr>
      <w:r>
        <w:rPr>
          <w:rFonts w:hAnsi="Times New Roman" w:eastAsia="宋体"/>
          <w:szCs w:val="22"/>
        </w:rPr>
        <w:t>Kxx，Kyy，Kzz：分别为x、y、z主方向的渗透系数，量纲：LT</w:t>
      </w:r>
      <w:r>
        <w:rPr>
          <w:rFonts w:hAnsi="Times New Roman" w:eastAsia="宋体"/>
          <w:szCs w:val="22"/>
          <w:vertAlign w:val="superscript"/>
        </w:rPr>
        <w:t>-1</w:t>
      </w:r>
      <w:r>
        <w:rPr>
          <w:rFonts w:hAnsi="Times New Roman" w:eastAsia="宋体"/>
          <w:szCs w:val="22"/>
        </w:rPr>
        <w:t>；</w:t>
      </w:r>
    </w:p>
    <w:p>
      <w:pPr>
        <w:spacing w:line="360" w:lineRule="auto"/>
        <w:ind w:left="960" w:leftChars="400" w:firstLine="199" w:firstLineChars="83"/>
        <w:rPr>
          <w:rFonts w:hAnsi="Times New Roman" w:eastAsia="宋体"/>
          <w:szCs w:val="22"/>
        </w:rPr>
      </w:pPr>
      <w:r>
        <w:rPr>
          <w:rFonts w:hAnsi="Times New Roman" w:eastAsia="宋体"/>
          <w:szCs w:val="22"/>
        </w:rPr>
        <w:t>w：源汇项，包括蒸发，降雨入渗补给，井的抽水量，量纲：T</w:t>
      </w:r>
      <w:r>
        <w:rPr>
          <w:rFonts w:hAnsi="Times New Roman" w:eastAsia="宋体"/>
          <w:szCs w:val="22"/>
          <w:vertAlign w:val="superscript"/>
        </w:rPr>
        <w:t>-1</w:t>
      </w:r>
      <w:r>
        <w:rPr>
          <w:rFonts w:hAnsi="Times New Roman" w:eastAsia="宋体"/>
          <w:szCs w:val="22"/>
        </w:rPr>
        <w:t>；</w:t>
      </w:r>
    </w:p>
    <w:p>
      <w:pPr>
        <w:spacing w:line="360" w:lineRule="auto"/>
        <w:ind w:left="960" w:leftChars="400" w:firstLine="199" w:firstLineChars="83"/>
        <w:rPr>
          <w:rFonts w:hAnsi="Times New Roman" w:eastAsia="宋体"/>
          <w:szCs w:val="22"/>
        </w:rPr>
      </w:pPr>
      <w:r>
        <w:rPr>
          <w:rFonts w:hAnsi="Times New Roman" w:eastAsia="宋体"/>
          <w:szCs w:val="22"/>
        </w:rPr>
        <w:t>q(x，y，z，t)：表示在边界不同位置上不同时间的流量，量纲：L</w:t>
      </w:r>
      <w:r>
        <w:rPr>
          <w:rFonts w:hAnsi="Times New Roman" w:eastAsia="宋体"/>
          <w:szCs w:val="22"/>
          <w:vertAlign w:val="superscript"/>
        </w:rPr>
        <w:t>3</w:t>
      </w:r>
      <w:r>
        <w:rPr>
          <w:rFonts w:hAnsi="Times New Roman" w:eastAsia="宋体"/>
          <w:szCs w:val="22"/>
        </w:rPr>
        <w:t>T</w:t>
      </w:r>
      <w:r>
        <w:rPr>
          <w:rFonts w:hAnsi="Times New Roman" w:eastAsia="宋体"/>
          <w:szCs w:val="22"/>
          <w:vertAlign w:val="superscript"/>
        </w:rPr>
        <w:t>-1</w:t>
      </w:r>
      <w:r>
        <w:rPr>
          <w:rFonts w:hAnsi="Times New Roman" w:eastAsia="宋体"/>
          <w:szCs w:val="22"/>
        </w:rPr>
        <w:t>；</w:t>
      </w:r>
    </w:p>
    <w:p>
      <w:pPr>
        <w:spacing w:line="360" w:lineRule="auto"/>
        <w:ind w:left="960" w:leftChars="400" w:firstLine="170" w:firstLineChars="71"/>
        <w:rPr>
          <w:rFonts w:hAnsi="Times New Roman" w:eastAsia="宋体"/>
          <w:szCs w:val="22"/>
        </w:rPr>
      </w:pPr>
      <w:r>
        <w:rPr>
          <w:rFonts w:hAnsi="Times New Roman" w:eastAsia="宋体"/>
          <w:szCs w:val="22"/>
        </w:rPr>
        <w:object>
          <v:shape id="_x0000_i1049" o:spt="75" type="#_x0000_t75" style="height:26pt;width:12.65pt;" o:ole="t" filled="f" o:preferrelative="t" stroked="f" coordsize="21600,21600">
            <v:path/>
            <v:fill on="f" focussize="0,0"/>
            <v:stroke on="f" joinstyle="miter"/>
            <v:imagedata r:id="rId181" o:title=""/>
            <o:lock v:ext="edit" aspectratio="t"/>
            <w10:wrap type="none"/>
            <w10:anchorlock/>
          </v:shape>
          <o:OLEObject Type="Embed" ProgID="Equation.3" ShapeID="_x0000_i1049" DrawAspect="Content" ObjectID="_1468075749" r:id="rId180">
            <o:LockedField>false</o:LockedField>
          </o:OLEObject>
        </w:object>
      </w:r>
      <w:r>
        <w:rPr>
          <w:rFonts w:hAnsi="Times New Roman" w:eastAsia="宋体"/>
          <w:szCs w:val="22"/>
        </w:rPr>
        <w:t>：表示水力梯度在边界法线上的分量。</w:t>
      </w:r>
    </w:p>
    <w:p>
      <w:pPr>
        <w:spacing w:line="360" w:lineRule="auto"/>
        <w:ind w:firstLine="480"/>
        <w:rPr>
          <w:rFonts w:hAnsi="Times New Roman" w:eastAsia="宋体"/>
        </w:rPr>
      </w:pPr>
      <w:r>
        <w:rPr>
          <w:rFonts w:hAnsi="Times New Roman" w:eastAsia="宋体"/>
        </w:rPr>
        <w:t>上述数学控制方程的求解平台采用DHI-WASY公司开发的基于有限单元法的FEFLOW</w:t>
      </w:r>
      <w:r>
        <w:rPr>
          <w:rFonts w:hint="eastAsia" w:hAnsi="Times New Roman" w:eastAsia="宋体"/>
          <w:lang w:eastAsia="zh-CN"/>
        </w:rPr>
        <w:t>（</w:t>
      </w:r>
      <w:r>
        <w:rPr>
          <w:rFonts w:hAnsi="Times New Roman" w:eastAsia="宋体"/>
        </w:rPr>
        <w:t>Finite Element subsurface FLOW system</w:t>
      </w:r>
      <w:r>
        <w:rPr>
          <w:rFonts w:hint="eastAsia" w:hAnsi="Times New Roman" w:eastAsia="宋体"/>
          <w:lang w:eastAsia="zh-CN"/>
        </w:rPr>
        <w:t>）</w:t>
      </w:r>
      <w:r>
        <w:rPr>
          <w:rFonts w:hAnsi="Times New Roman" w:eastAsia="宋体"/>
        </w:rPr>
        <w:t>软件。</w:t>
      </w:r>
    </w:p>
    <w:p>
      <w:pPr>
        <w:spacing w:line="360" w:lineRule="auto"/>
        <w:ind w:firstLine="480"/>
        <w:rPr>
          <w:rFonts w:hAnsi="Times New Roman" w:eastAsia="宋体"/>
        </w:rPr>
      </w:pPr>
      <w:r>
        <w:rPr>
          <w:rFonts w:hAnsi="Times New Roman" w:eastAsia="宋体"/>
        </w:rPr>
        <w:t>自20世纪70年代问世以来，FEFLOW经过不断发展已成为世界上功能最齐全、技术最先进的交互式三维地下水模拟分析软件。广泛应用于地下水及渗流介质的二维、三维流量、溶质运移、热传递、变密度及变饱和模拟。</w:t>
      </w:r>
    </w:p>
    <w:p>
      <w:pPr>
        <w:spacing w:line="360" w:lineRule="auto"/>
        <w:ind w:firstLine="480"/>
        <w:rPr>
          <w:rFonts w:hAnsi="Times New Roman" w:eastAsia="宋体"/>
        </w:rPr>
      </w:pPr>
      <w:r>
        <w:rPr>
          <w:rFonts w:hAnsi="Times New Roman" w:eastAsia="宋体"/>
        </w:rPr>
        <w:t>它可有效描述与时间空间分布相关的地下水污染物质及其反应过程、评估化学污染物在含水层中的运移时间和持续时间，可用于规划地下水监测方案，评估地下水防治及应急处置措施的有效性，并指导、优化相关防控工程的设计方案。</w:t>
      </w:r>
    </w:p>
    <w:p>
      <w:pPr>
        <w:spacing w:line="360" w:lineRule="auto"/>
        <w:ind w:firstLine="480"/>
        <w:rPr>
          <w:rFonts w:hAnsi="Times New Roman" w:eastAsia="宋体"/>
        </w:rPr>
      </w:pPr>
      <w:bookmarkStart w:id="335" w:name="_Toc87392091"/>
      <w:r>
        <w:rPr>
          <w:rFonts w:hAnsi="Times New Roman" w:eastAsia="宋体"/>
        </w:rPr>
        <w:t>（2）初始网格与地质模型</w:t>
      </w:r>
      <w:bookmarkEnd w:id="335"/>
    </w:p>
    <w:p>
      <w:pPr>
        <w:spacing w:line="360" w:lineRule="auto"/>
        <w:ind w:firstLine="480"/>
        <w:rPr>
          <w:rFonts w:hAnsi="Times New Roman" w:eastAsia="宋体"/>
        </w:rPr>
      </w:pPr>
      <w:r>
        <w:rPr>
          <w:rFonts w:hAnsi="Times New Roman" w:eastAsia="宋体"/>
        </w:rPr>
        <w:t>基于FEFLOW平台，输入模拟区域矢量数据并转化为supermesh结构，利用Advancing Front剖分方法，将区域离散为不规则三角剖分网格，剖分过程严格遵循Delaunay法则，使三角网格内的三角形内角角度为锐角，三边长度尽量相等，三角形网中任一三角形的外接圆范围内不会有其它点存在，在散点集可能形成的三角剖分中，Delaunay三角剖分所形成的三角形的最小角最大。</w:t>
      </w:r>
    </w:p>
    <w:p>
      <w:pPr>
        <w:spacing w:line="360" w:lineRule="auto"/>
        <w:ind w:firstLine="480"/>
        <w:rPr>
          <w:rFonts w:hAnsi="Times New Roman" w:eastAsia="宋体"/>
        </w:rPr>
      </w:pPr>
      <w:r>
        <w:rPr>
          <w:rFonts w:hAnsi="Times New Roman" w:eastAsia="宋体"/>
        </w:rPr>
        <w:t>模拟区最终得到的初始二维剖分结果如下图所示，其中结点数15850个，有限单元数15521个。</w:t>
      </w:r>
    </w:p>
    <w:p>
      <w:pPr>
        <w:spacing w:line="360" w:lineRule="auto"/>
        <w:ind w:firstLine="480"/>
        <w:rPr>
          <w:rFonts w:hAnsi="Times New Roman" w:eastAsia="宋体"/>
        </w:rPr>
      </w:pPr>
      <w:r>
        <w:rPr>
          <w:rFonts w:hAnsi="Times New Roman" w:eastAsia="宋体"/>
        </w:rPr>
        <w:t>根据水文地质概念模型，将地质模型（含水系统）分为一层（layer）两片（slice）。</w:t>
      </w:r>
    </w:p>
    <w:p>
      <w:pPr>
        <w:spacing w:line="360" w:lineRule="auto"/>
        <w:ind w:firstLine="480"/>
        <w:rPr>
          <w:rFonts w:hAnsi="Times New Roman" w:eastAsia="宋体"/>
        </w:rPr>
      </w:pPr>
      <w:r>
        <w:rPr>
          <w:rFonts w:hAnsi="Times New Roman" w:eastAsia="宋体"/>
        </w:rPr>
        <w:t>一层：碎屑岩裂隙孔隙含水层；</w:t>
      </w:r>
    </w:p>
    <w:p>
      <w:pPr>
        <w:spacing w:line="360" w:lineRule="auto"/>
        <w:ind w:firstLine="480"/>
        <w:rPr>
          <w:rFonts w:hAnsi="Times New Roman" w:eastAsia="宋体"/>
        </w:rPr>
      </w:pPr>
      <w:r>
        <w:rPr>
          <w:rFonts w:hAnsi="Times New Roman" w:eastAsia="宋体"/>
        </w:rPr>
        <w:t>两片：第1片：地表；第2片：侏罗系中统新田沟组风化裂隙层底板。</w:t>
      </w:r>
    </w:p>
    <w:p>
      <w:pPr>
        <w:spacing w:line="360" w:lineRule="auto"/>
        <w:ind w:firstLine="480"/>
        <w:rPr>
          <w:rFonts w:hAnsi="Times New Roman" w:eastAsia="宋体"/>
        </w:rPr>
      </w:pPr>
      <w:r>
        <w:rPr>
          <w:rFonts w:hAnsi="Times New Roman" w:eastAsia="宋体"/>
        </w:rPr>
        <w:t>其中地表高程数据采用ASTER GDEM数据（数据来源于中国科学院计算机网络信息中心科学数据中心），利用ESRI公司的ArcGIS软件处理以上数据，输入FEFLOW后，即可建立模拟区三维地质模型，如下图所示。</w:t>
      </w:r>
    </w:p>
    <w:p>
      <w:pPr>
        <w:pStyle w:val="62"/>
        <w:rPr>
          <w:rFonts w:hAnsi="Times New Roman" w:eastAsia="宋体"/>
        </w:rPr>
      </w:pPr>
      <w:bookmarkStart w:id="336" w:name="_Toc87392092"/>
      <w:r>
        <w:rPr>
          <w:rFonts w:hAnsi="Times New Roman" w:eastAsia="宋体"/>
        </w:rPr>
        <w:drawing>
          <wp:inline distT="0" distB="0" distL="114300" distR="114300">
            <wp:extent cx="4890770" cy="3620135"/>
            <wp:effectExtent l="0" t="0" r="5080" b="18415"/>
            <wp:docPr id="207"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48"/>
                    <pic:cNvPicPr>
                      <a:picLocks noChangeAspect="1"/>
                    </pic:cNvPicPr>
                  </pic:nvPicPr>
                  <pic:blipFill>
                    <a:blip r:embed="rId182"/>
                    <a:stretch>
                      <a:fillRect/>
                    </a:stretch>
                  </pic:blipFill>
                  <pic:spPr>
                    <a:xfrm>
                      <a:off x="0" y="0"/>
                      <a:ext cx="4890770" cy="3620135"/>
                    </a:xfrm>
                    <a:prstGeom prst="rect">
                      <a:avLst/>
                    </a:prstGeom>
                    <a:noFill/>
                    <a:ln>
                      <a:noFill/>
                    </a:ln>
                  </pic:spPr>
                </pic:pic>
              </a:graphicData>
            </a:graphic>
          </wp:inline>
        </w:drawing>
      </w:r>
    </w:p>
    <w:p>
      <w:pPr>
        <w:jc w:val="center"/>
        <w:rPr>
          <w:rFonts w:hAnsi="Times New Roman" w:eastAsia="宋体"/>
          <w:b/>
          <w:bCs/>
          <w:sz w:val="21"/>
          <w:szCs w:val="21"/>
          <w:lang w:eastAsia="zh-CN"/>
        </w:rPr>
      </w:pPr>
      <w:r>
        <w:rPr>
          <w:rFonts w:hAnsi="Times New Roman" w:eastAsia="宋体"/>
          <w:b/>
          <w:bCs/>
          <w:sz w:val="21"/>
          <w:szCs w:val="21"/>
          <w:lang w:eastAsia="zh-CN"/>
        </w:rPr>
        <w:t>（1）模拟区二维网格剖分</w:t>
      </w:r>
    </w:p>
    <w:p>
      <w:pPr>
        <w:pStyle w:val="62"/>
        <w:rPr>
          <w:rFonts w:hAnsi="Times New Roman" w:eastAsia="宋体"/>
        </w:rPr>
      </w:pPr>
      <w:r>
        <w:rPr>
          <w:rFonts w:hAnsi="Times New Roman" w:eastAsia="宋体"/>
        </w:rPr>
        <w:drawing>
          <wp:inline distT="0" distB="0" distL="114300" distR="114300">
            <wp:extent cx="4990465" cy="4866640"/>
            <wp:effectExtent l="0" t="0" r="635" b="10160"/>
            <wp:docPr id="208"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49"/>
                    <pic:cNvPicPr>
                      <a:picLocks noChangeAspect="1"/>
                    </pic:cNvPicPr>
                  </pic:nvPicPr>
                  <pic:blipFill>
                    <a:blip r:embed="rId183"/>
                    <a:stretch>
                      <a:fillRect/>
                    </a:stretch>
                  </pic:blipFill>
                  <pic:spPr>
                    <a:xfrm>
                      <a:off x="0" y="0"/>
                      <a:ext cx="4990465" cy="4866640"/>
                    </a:xfrm>
                    <a:prstGeom prst="rect">
                      <a:avLst/>
                    </a:prstGeom>
                    <a:noFill/>
                    <a:ln>
                      <a:noFill/>
                    </a:ln>
                  </pic:spPr>
                </pic:pic>
              </a:graphicData>
            </a:graphic>
          </wp:inline>
        </w:drawing>
      </w:r>
    </w:p>
    <w:p>
      <w:pPr>
        <w:jc w:val="center"/>
        <w:rPr>
          <w:rFonts w:hAnsi="Times New Roman" w:eastAsia="宋体"/>
          <w:b/>
          <w:bCs/>
          <w:sz w:val="21"/>
          <w:szCs w:val="21"/>
          <w:lang w:eastAsia="zh-CN"/>
        </w:rPr>
      </w:pPr>
      <w:r>
        <w:rPr>
          <w:rFonts w:hAnsi="Times New Roman" w:eastAsia="宋体"/>
          <w:b/>
          <w:bCs/>
          <w:sz w:val="21"/>
          <w:szCs w:val="21"/>
          <w:lang w:eastAsia="zh-CN"/>
        </w:rPr>
        <w:t>（2）模拟区三维网格剖分（加高程，Z轴放大2倍）</w:t>
      </w:r>
    </w:p>
    <w:p>
      <w:pPr>
        <w:jc w:val="center"/>
        <w:rPr>
          <w:rFonts w:hAnsi="Times New Roman" w:eastAsia="宋体"/>
          <w:b/>
          <w:bCs/>
          <w:sz w:val="21"/>
          <w:szCs w:val="21"/>
          <w:lang w:eastAsia="zh-CN"/>
        </w:rPr>
      </w:pPr>
      <w:bookmarkStart w:id="337" w:name="_Ref450513495"/>
      <w:bookmarkStart w:id="338" w:name="_Toc475971240"/>
      <w:bookmarkStart w:id="339" w:name="_Toc531615763"/>
      <w:r>
        <w:rPr>
          <w:rFonts w:hAnsi="Times New Roman" w:eastAsia="宋体"/>
          <w:b/>
          <w:bCs/>
          <w:sz w:val="21"/>
          <w:szCs w:val="21"/>
          <w:lang w:eastAsia="zh-CN"/>
        </w:rPr>
        <w:t>图</w:t>
      </w:r>
      <w:bookmarkEnd w:id="337"/>
      <w:r>
        <w:rPr>
          <w:rFonts w:hAnsi="Times New Roman" w:eastAsia="宋体"/>
          <w:b/>
          <w:bCs/>
          <w:sz w:val="21"/>
          <w:szCs w:val="21"/>
          <w:lang w:eastAsia="zh-CN"/>
        </w:rPr>
        <w:t>5.4-2 模拟区网格剖分</w:t>
      </w:r>
      <w:bookmarkEnd w:id="338"/>
      <w:r>
        <w:rPr>
          <w:rFonts w:hAnsi="Times New Roman" w:eastAsia="宋体"/>
          <w:b/>
          <w:bCs/>
          <w:sz w:val="21"/>
          <w:szCs w:val="21"/>
          <w:lang w:eastAsia="zh-CN"/>
        </w:rPr>
        <w:t>示意图</w:t>
      </w:r>
      <w:bookmarkEnd w:id="339"/>
    </w:p>
    <w:p>
      <w:pPr>
        <w:spacing w:line="360" w:lineRule="auto"/>
        <w:ind w:firstLine="480"/>
        <w:rPr>
          <w:rFonts w:hAnsi="Times New Roman" w:eastAsia="宋体"/>
        </w:rPr>
      </w:pPr>
      <w:r>
        <w:rPr>
          <w:rFonts w:hAnsi="Times New Roman" w:eastAsia="宋体"/>
        </w:rPr>
        <w:t>（1）边界条件与初始参数</w:t>
      </w:r>
      <w:bookmarkEnd w:id="336"/>
    </w:p>
    <w:p>
      <w:pPr>
        <w:spacing w:line="360" w:lineRule="auto"/>
        <w:ind w:firstLine="480"/>
        <w:rPr>
          <w:rFonts w:hAnsi="Times New Roman" w:eastAsia="宋体"/>
        </w:rPr>
      </w:pPr>
      <w:r>
        <w:rPr>
          <w:rFonts w:hAnsi="Times New Roman" w:eastAsia="宋体"/>
        </w:rPr>
        <w:t>1）边界条件</w:t>
      </w:r>
    </w:p>
    <w:p>
      <w:pPr>
        <w:spacing w:line="360" w:lineRule="auto"/>
        <w:ind w:firstLine="480"/>
        <w:rPr>
          <w:rFonts w:hAnsi="Times New Roman" w:eastAsia="宋体"/>
        </w:rPr>
      </w:pPr>
      <w:r>
        <w:rPr>
          <w:rFonts w:hAnsi="Times New Roman" w:eastAsia="宋体"/>
        </w:rPr>
        <w:t>边界条件的概化是建立水文地质数值模型的一项复杂而重要的基础工作，边界条件处理的正确与否，直接关系到是否能够真实</w:t>
      </w:r>
      <w:r>
        <w:rPr>
          <w:rFonts w:hint="eastAsia" w:hAnsi="Times New Roman" w:eastAsia="宋体"/>
          <w:lang w:eastAsia="zh-CN"/>
        </w:rPr>
        <w:t>地</w:t>
      </w:r>
      <w:r>
        <w:rPr>
          <w:rFonts w:hAnsi="Times New Roman" w:eastAsia="宋体"/>
        </w:rPr>
        <w:t>刻画地下水渗流场。概化的关键内容就是边界的性质（类型）和边界条件的控制程度。根据前述水文地质概念模型结合已有各类水文地质资料，确定本次模拟评价区边界条件，如图5.4-3所示。</w:t>
      </w:r>
    </w:p>
    <w:p>
      <w:pPr>
        <w:spacing w:line="360" w:lineRule="auto"/>
        <w:ind w:firstLine="480"/>
        <w:rPr>
          <w:rFonts w:hAnsi="Times New Roman" w:eastAsia="宋体"/>
        </w:rPr>
      </w:pPr>
      <w:r>
        <w:rPr>
          <w:rFonts w:hAnsi="Times New Roman" w:eastAsia="宋体"/>
        </w:rPr>
        <w:t>①四周边界</w:t>
      </w:r>
    </w:p>
    <w:p>
      <w:pPr>
        <w:spacing w:line="360" w:lineRule="auto"/>
        <w:ind w:firstLine="480"/>
        <w:rPr>
          <w:rFonts w:hAnsi="Times New Roman" w:eastAsia="宋体"/>
        </w:rPr>
      </w:pPr>
      <w:r>
        <w:rPr>
          <w:rFonts w:hAnsi="Times New Roman" w:eastAsia="宋体"/>
        </w:rPr>
        <w:t>北侧以地表河沟（新宁河）为给定水头边界，其它三侧以地表分水岭为零通量边界。</w:t>
      </w:r>
    </w:p>
    <w:p>
      <w:pPr>
        <w:spacing w:line="360" w:lineRule="auto"/>
        <w:ind w:firstLine="480"/>
        <w:rPr>
          <w:rFonts w:hAnsi="Times New Roman" w:eastAsia="宋体"/>
        </w:rPr>
      </w:pPr>
      <w:r>
        <w:rPr>
          <w:rFonts w:hAnsi="Times New Roman" w:eastAsia="宋体"/>
        </w:rPr>
        <w:t>②上边界为降水补给、蒸发。</w:t>
      </w:r>
    </w:p>
    <w:p>
      <w:pPr>
        <w:spacing w:line="360" w:lineRule="auto"/>
        <w:ind w:firstLine="480"/>
        <w:rPr>
          <w:rFonts w:hAnsi="Times New Roman" w:eastAsia="宋体"/>
        </w:rPr>
      </w:pPr>
      <w:bookmarkStart w:id="340" w:name="_Toc425623909"/>
      <w:bookmarkStart w:id="341" w:name="_Toc371271888"/>
      <w:bookmarkStart w:id="342" w:name="_Toc445714555"/>
      <w:bookmarkStart w:id="343" w:name="_Toc449021402"/>
      <w:bookmarkStart w:id="344" w:name="_Ref450513543"/>
      <w:bookmarkStart w:id="345" w:name="_Toc454662350"/>
      <w:bookmarkStart w:id="346" w:name="_Toc333490281"/>
      <w:bookmarkStart w:id="347" w:name="_Toc361697185"/>
      <w:bookmarkStart w:id="348" w:name="_Ref425099861"/>
      <w:bookmarkStart w:id="349" w:name="_Toc335353629"/>
      <w:r>
        <w:rPr>
          <w:rFonts w:hAnsi="Times New Roman" w:eastAsia="宋体"/>
        </w:rPr>
        <w:t>2）初始参数</w:t>
      </w:r>
    </w:p>
    <w:bookmarkEnd w:id="340"/>
    <w:bookmarkEnd w:id="341"/>
    <w:bookmarkEnd w:id="342"/>
    <w:bookmarkEnd w:id="343"/>
    <w:bookmarkEnd w:id="344"/>
    <w:bookmarkEnd w:id="345"/>
    <w:bookmarkEnd w:id="346"/>
    <w:bookmarkEnd w:id="347"/>
    <w:bookmarkEnd w:id="348"/>
    <w:bookmarkEnd w:id="349"/>
    <w:p>
      <w:pPr>
        <w:pStyle w:val="63"/>
        <w:spacing w:line="360" w:lineRule="auto"/>
        <w:ind w:firstLine="480"/>
        <w:rPr>
          <w:rFonts w:hAnsi="Times New Roman" w:eastAsia="宋体"/>
        </w:rPr>
      </w:pPr>
      <w:r>
        <w:rPr>
          <w:rFonts w:hAnsi="Times New Roman" w:eastAsia="宋体"/>
        </w:rPr>
        <w:t>参考《红层区风化裂隙弱含水层水文地质特征及储水单元类型研究-以金堂城东南地区为例》等文献资料，对本次模拟区选取的水文地质参数经验值见下表。</w:t>
      </w:r>
    </w:p>
    <w:p>
      <w:pPr>
        <w:spacing w:line="300" w:lineRule="exact"/>
        <w:jc w:val="center"/>
        <w:rPr>
          <w:rFonts w:hAnsi="Times New Roman" w:eastAsia="宋体"/>
          <w:b/>
          <w:bCs/>
          <w:sz w:val="21"/>
          <w:szCs w:val="21"/>
          <w:lang w:eastAsia="zh-CN"/>
        </w:rPr>
      </w:pPr>
      <w:bookmarkStart w:id="350" w:name="_Ref493681088"/>
      <w:bookmarkStart w:id="351" w:name="_Toc531615721"/>
      <w:r>
        <w:rPr>
          <w:rFonts w:hAnsi="Times New Roman" w:eastAsia="宋体"/>
          <w:b/>
          <w:bCs/>
          <w:sz w:val="21"/>
          <w:szCs w:val="21"/>
          <w:lang w:eastAsia="zh-CN"/>
        </w:rPr>
        <w:t>表5.4</w:t>
      </w:r>
      <w:r>
        <w:rPr>
          <w:rFonts w:hAnsi="Times New Roman" w:eastAsia="宋体"/>
          <w:b/>
          <w:bCs/>
          <w:sz w:val="21"/>
          <w:szCs w:val="21"/>
          <w:lang w:eastAsia="zh-CN"/>
        </w:rPr>
        <w:noBreakHyphen/>
      </w:r>
      <w:bookmarkEnd w:id="350"/>
      <w:r>
        <w:rPr>
          <w:rFonts w:hAnsi="Times New Roman" w:eastAsia="宋体"/>
          <w:b/>
          <w:bCs/>
          <w:sz w:val="21"/>
          <w:szCs w:val="21"/>
          <w:lang w:eastAsia="zh-CN"/>
        </w:rPr>
        <w:t>2 初始水文地质参数取值表</w:t>
      </w:r>
      <w:bookmarkEnd w:id="351"/>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32"/>
        <w:gridCol w:w="47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479" w:type="pct"/>
            <w:vAlign w:val="center"/>
          </w:tcPr>
          <w:p>
            <w:pPr>
              <w:pStyle w:val="62"/>
              <w:keepNext w:val="0"/>
              <w:keepLines w:val="0"/>
              <w:suppressLineNumbers w:val="0"/>
              <w:spacing w:before="0" w:beforeAutospacing="0" w:after="0" w:afterAutospacing="0"/>
              <w:ind w:left="0" w:right="0"/>
              <w:rPr>
                <w:rFonts w:hint="eastAsia" w:hAnsi="Times New Roman" w:eastAsia="宋体"/>
                <w:b/>
                <w:kern w:val="2"/>
                <w:szCs w:val="22"/>
              </w:rPr>
            </w:pPr>
            <w:r>
              <w:rPr>
                <w:rFonts w:hint="eastAsia" w:hAnsi="Times New Roman" w:eastAsia="宋体"/>
                <w:b/>
                <w:kern w:val="2"/>
                <w:szCs w:val="22"/>
              </w:rPr>
              <w:t>参数</w:t>
            </w:r>
          </w:p>
        </w:tc>
        <w:tc>
          <w:tcPr>
            <w:tcW w:w="2521" w:type="pct"/>
            <w:vAlign w:val="center"/>
          </w:tcPr>
          <w:p>
            <w:pPr>
              <w:pStyle w:val="62"/>
              <w:keepNext w:val="0"/>
              <w:keepLines w:val="0"/>
              <w:suppressLineNumbers w:val="0"/>
              <w:spacing w:before="0" w:beforeAutospacing="0" w:after="0" w:afterAutospacing="0"/>
              <w:ind w:left="0" w:right="0"/>
              <w:rPr>
                <w:rFonts w:hint="eastAsia" w:hAnsi="Times New Roman" w:eastAsia="宋体"/>
                <w:b/>
                <w:kern w:val="2"/>
                <w:szCs w:val="22"/>
              </w:rPr>
            </w:pPr>
            <w:r>
              <w:rPr>
                <w:rFonts w:hint="eastAsia" w:hAnsi="Times New Roman" w:eastAsia="宋体"/>
                <w:b/>
                <w:kern w:val="2"/>
                <w:szCs w:val="22"/>
              </w:rPr>
              <w:t>碎屑岩裂隙孔隙含水层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479"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Kxx（m/d）</w:t>
            </w:r>
          </w:p>
        </w:tc>
        <w:tc>
          <w:tcPr>
            <w:tcW w:w="2521"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479"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Kyy（m/d）</w:t>
            </w:r>
          </w:p>
        </w:tc>
        <w:tc>
          <w:tcPr>
            <w:tcW w:w="2521"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479"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Kzz（m/d）</w:t>
            </w:r>
          </w:p>
        </w:tc>
        <w:tc>
          <w:tcPr>
            <w:tcW w:w="2521"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479"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给水度</w:t>
            </w:r>
          </w:p>
        </w:tc>
        <w:tc>
          <w:tcPr>
            <w:tcW w:w="2521"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479"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降雨入渗系数</w:t>
            </w:r>
          </w:p>
        </w:tc>
        <w:tc>
          <w:tcPr>
            <w:tcW w:w="2521"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0.1</w:t>
            </w:r>
            <w:r>
              <w:rPr>
                <w:rFonts w:hint="eastAsia" w:hAnsi="Times New Roman" w:eastAsia="宋体"/>
                <w:kern w:val="2"/>
                <w:szCs w:val="22"/>
                <w:lang w:eastAsia="zh-CN"/>
              </w:rPr>
              <w:t>1</w:t>
            </w:r>
          </w:p>
        </w:tc>
      </w:tr>
    </w:tbl>
    <w:p>
      <w:pPr>
        <w:spacing w:line="360" w:lineRule="auto"/>
        <w:ind w:firstLine="480"/>
        <w:rPr>
          <w:rFonts w:hAnsi="Times New Roman" w:eastAsia="宋体"/>
        </w:rPr>
      </w:pPr>
      <w:bookmarkStart w:id="352" w:name="_Toc87392093"/>
      <w:r>
        <w:rPr>
          <w:rFonts w:hAnsi="Times New Roman" w:eastAsia="宋体"/>
        </w:rPr>
        <w:t>（3）识别验证与初始条件</w:t>
      </w:r>
      <w:bookmarkEnd w:id="352"/>
    </w:p>
    <w:p>
      <w:pPr>
        <w:spacing w:line="360" w:lineRule="auto"/>
        <w:ind w:firstLine="480"/>
        <w:rPr>
          <w:rFonts w:hAnsi="Times New Roman" w:eastAsia="宋体"/>
          <w:b/>
          <w:bCs/>
          <w:szCs w:val="32"/>
        </w:rPr>
      </w:pPr>
      <w:r>
        <w:rPr>
          <w:rFonts w:hAnsi="Times New Roman" w:eastAsia="宋体"/>
        </w:rPr>
        <w:t>1）工作思路</w:t>
      </w:r>
    </w:p>
    <w:p>
      <w:pPr>
        <w:spacing w:line="360" w:lineRule="auto"/>
        <w:ind w:firstLine="480"/>
        <w:rPr>
          <w:rFonts w:hAnsi="Times New Roman" w:eastAsia="宋体"/>
        </w:rPr>
      </w:pPr>
      <w:r>
        <w:rPr>
          <w:rFonts w:hAnsi="Times New Roman" w:eastAsia="宋体"/>
        </w:rPr>
        <w:t>数值法求解地下水非稳定流动问题需要给出初始条件，即每个结点在计算初始时刻的水头，作为后续计算的初始流场。而对于网格剖分后形成的如此庞大数目的结点，实际的水位观测数据显然无法满足。因此，需要采取一定的处理技术来获取模拟对象的地下水初始流场。</w:t>
      </w:r>
    </w:p>
    <w:p>
      <w:pPr>
        <w:spacing w:line="360" w:lineRule="auto"/>
        <w:ind w:firstLine="480"/>
        <w:rPr>
          <w:rFonts w:hAnsi="Times New Roman" w:eastAsia="宋体"/>
        </w:rPr>
      </w:pPr>
      <w:r>
        <w:rPr>
          <w:rFonts w:hAnsi="Times New Roman" w:eastAsia="宋体"/>
        </w:rPr>
        <w:t>科学的处理方法是将模拟区边界条件、参数分区、参数取值等输入模型，经过稳定流计算得到此套模型设置参数下的模拟区天然流场，在此基础上，利用模拟区内多期次的地下水补给量、地下水水位静态和动态数据等资料，进一步开展参数识别和模型验证等工作，将最终获得的，能表征模拟区地下水流动特征的天然流场作为地下水渗流模型的初始条件。</w:t>
      </w:r>
    </w:p>
    <w:p>
      <w:pPr>
        <w:spacing w:line="360" w:lineRule="auto"/>
        <w:ind w:firstLine="480"/>
        <w:rPr>
          <w:rFonts w:hAnsi="Times New Roman" w:eastAsia="宋体"/>
          <w:sz w:val="23"/>
          <w:szCs w:val="23"/>
        </w:rPr>
      </w:pPr>
      <w:r>
        <w:rPr>
          <w:rFonts w:hAnsi="Times New Roman" w:eastAsia="宋体"/>
        </w:rPr>
        <w:t>此过程中参数识别与模型验证是保证地下水渗流模型可信的重要工作。因为地质体的非连续、非均匀特点，模型中的各类参数远远无法表达一套含水层的本身特性，在此情况下，需要对模型参数进行识别，通过参数的调整来寻找某组等效值，使得使用等效值的含水层整体特性逼近真实的含水层特性，即参数识别是一个调整模型输入参数，直到模型输出变量（或因变量）与野外观测值达到适当匹配程度的过程。而当完成识别工作后，需要对模型结果进行验证，主要原因是参数识别是一个非唯一性的过程，即很多参数组合可能显著不同，但均足以提供与观测值同等合理匹配的模拟结果。</w:t>
      </w:r>
    </w:p>
    <w:p>
      <w:pPr>
        <w:spacing w:line="360" w:lineRule="auto"/>
        <w:ind w:firstLine="480"/>
        <w:rPr>
          <w:rFonts w:hAnsi="Times New Roman" w:eastAsia="宋体"/>
        </w:rPr>
      </w:pPr>
      <w:r>
        <w:rPr>
          <w:rFonts w:hAnsi="Times New Roman" w:eastAsia="宋体"/>
        </w:rPr>
        <w:t>一般情况下，掌握多期次、长时间序列的地下水补给量和水位动态资料是极为困难的，本项目亦不例外，以某期次的水位统测为主。在此情况下，参考《地下水环境影响预测评价中数值模型的关键问题探究》等期刊文献，采取的技术思路是，利用现状调查中的水位统测资料完成参数识别工作，并根据水文地质专业经验，采用定量和定性的分析方法，对非稳定流状态下水位观测点的水位变化、流场整体趋势、模型水均衡等方面进行专业判读，验证模型的整体稳定性和可靠性，以把握渗流模型是否从宏观整体上符合水文地质条件及地下水流动特征。</w:t>
      </w:r>
    </w:p>
    <w:p>
      <w:pPr>
        <w:spacing w:line="360" w:lineRule="auto"/>
        <w:ind w:firstLine="480"/>
        <w:rPr>
          <w:rFonts w:hAnsi="Times New Roman" w:eastAsia="宋体"/>
        </w:rPr>
      </w:pPr>
      <w:r>
        <w:rPr>
          <w:rFonts w:hAnsi="Times New Roman" w:eastAsia="宋体"/>
        </w:rPr>
        <w:t>2</w:t>
      </w:r>
      <w:r>
        <w:rPr>
          <w:rFonts w:hAnsi="Times New Roman" w:eastAsia="宋体"/>
          <w:lang w:eastAsia="zh-CN"/>
        </w:rPr>
        <w:t>）</w:t>
      </w:r>
      <w:r>
        <w:rPr>
          <w:rFonts w:hAnsi="Times New Roman" w:eastAsia="宋体"/>
        </w:rPr>
        <w:t>识别验证</w:t>
      </w:r>
    </w:p>
    <w:p>
      <w:pPr>
        <w:spacing w:line="360" w:lineRule="auto"/>
        <w:ind w:firstLine="480"/>
        <w:rPr>
          <w:rFonts w:hAnsi="Times New Roman" w:eastAsia="宋体"/>
        </w:rPr>
      </w:pPr>
      <w:bookmarkStart w:id="353" w:name="OLE_LINK16"/>
      <w:bookmarkStart w:id="354" w:name="OLE_LINK15"/>
      <w:r>
        <w:rPr>
          <w:rFonts w:hAnsi="Times New Roman" w:eastAsia="宋体"/>
        </w:rPr>
        <w:t>基于以上技术思路，利用正演试错法，反复调整需要识别的参数，输入模型并执行正演模拟，直到模型结果与现状调查中的水位观测点拟合程度较好为止。</w:t>
      </w:r>
    </w:p>
    <w:p>
      <w:pPr>
        <w:spacing w:line="360" w:lineRule="auto"/>
        <w:ind w:firstLine="480"/>
        <w:rPr>
          <w:rFonts w:hAnsi="Times New Roman" w:eastAsia="宋体"/>
        </w:rPr>
      </w:pPr>
      <w:r>
        <w:rPr>
          <w:rFonts w:hAnsi="Times New Roman" w:eastAsia="宋体"/>
        </w:rPr>
        <w:t>在参数识别基础上，调整模型为非稳定流模式，设置时间为10年，观察水位观测点的动态特征，并记录模型水均衡数据。对出现水动态异常、水均衡失稳等情况的识别结果，重新开展参数识别，直到识别结果能通过验证工作的检验。</w:t>
      </w:r>
      <w:bookmarkEnd w:id="353"/>
      <w:bookmarkEnd w:id="354"/>
    </w:p>
    <w:p>
      <w:pPr>
        <w:pStyle w:val="62"/>
        <w:rPr>
          <w:rFonts w:hAnsi="Times New Roman" w:eastAsia="宋体"/>
        </w:rPr>
      </w:pPr>
      <w:r>
        <w:rPr>
          <w:rFonts w:hAnsi="Times New Roman" w:eastAsia="宋体"/>
        </w:rPr>
        <w:drawing>
          <wp:inline distT="0" distB="0" distL="114300" distR="114300">
            <wp:extent cx="4956175" cy="4131945"/>
            <wp:effectExtent l="0" t="0" r="15875" b="1905"/>
            <wp:docPr id="209"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50"/>
                    <pic:cNvPicPr>
                      <a:picLocks noChangeAspect="1"/>
                    </pic:cNvPicPr>
                  </pic:nvPicPr>
                  <pic:blipFill>
                    <a:blip r:embed="rId184"/>
                    <a:stretch>
                      <a:fillRect/>
                    </a:stretch>
                  </pic:blipFill>
                  <pic:spPr>
                    <a:xfrm>
                      <a:off x="0" y="0"/>
                      <a:ext cx="4956175" cy="4131945"/>
                    </a:xfrm>
                    <a:prstGeom prst="rect">
                      <a:avLst/>
                    </a:prstGeom>
                    <a:noFill/>
                    <a:ln>
                      <a:noFill/>
                    </a:ln>
                  </pic:spPr>
                </pic:pic>
              </a:graphicData>
            </a:graphic>
          </wp:inline>
        </w:drawing>
      </w:r>
    </w:p>
    <w:p>
      <w:pPr>
        <w:spacing w:line="300" w:lineRule="exact"/>
        <w:jc w:val="center"/>
        <w:rPr>
          <w:rFonts w:hAnsi="Times New Roman" w:eastAsia="宋体"/>
          <w:b/>
          <w:bCs/>
          <w:sz w:val="21"/>
          <w:szCs w:val="21"/>
          <w:lang w:eastAsia="zh-CN"/>
        </w:rPr>
      </w:pPr>
      <w:bookmarkStart w:id="355" w:name="_Ref493680743"/>
      <w:bookmarkStart w:id="356" w:name="_Toc531615764"/>
      <w:r>
        <w:rPr>
          <w:rFonts w:hAnsi="Times New Roman" w:eastAsia="宋体"/>
          <w:b/>
          <w:bCs/>
          <w:sz w:val="21"/>
          <w:szCs w:val="21"/>
          <w:lang w:eastAsia="zh-CN"/>
        </w:rPr>
        <w:t>图</w:t>
      </w:r>
      <w:bookmarkEnd w:id="355"/>
      <w:r>
        <w:rPr>
          <w:rFonts w:hAnsi="Times New Roman" w:eastAsia="宋体"/>
          <w:b/>
          <w:bCs/>
          <w:sz w:val="21"/>
          <w:szCs w:val="21"/>
          <w:lang w:eastAsia="zh-CN"/>
        </w:rPr>
        <w:t>5.4-3 水位拟合点位置分布示意图</w:t>
      </w:r>
      <w:bookmarkEnd w:id="356"/>
    </w:p>
    <w:p>
      <w:pPr>
        <w:spacing w:line="360" w:lineRule="auto"/>
        <w:ind w:firstLine="480"/>
        <w:rPr>
          <w:rFonts w:hAnsi="Times New Roman" w:eastAsia="宋体"/>
        </w:rPr>
      </w:pPr>
      <w:r>
        <w:rPr>
          <w:rFonts w:hAnsi="Times New Roman" w:eastAsia="宋体"/>
        </w:rPr>
        <w:t>上述技术工作中所</w:t>
      </w:r>
      <w:r>
        <w:rPr>
          <w:rFonts w:hAnsi="Times New Roman" w:eastAsia="宋体"/>
          <w:szCs w:val="22"/>
        </w:rPr>
        <w:t>采用</w:t>
      </w:r>
      <w:r>
        <w:rPr>
          <w:rFonts w:hAnsi="Times New Roman" w:eastAsia="宋体"/>
        </w:rPr>
        <w:t>的观测点分布如上图所示，最终得到的识别与验证结果如下。</w:t>
      </w:r>
    </w:p>
    <w:p>
      <w:pPr>
        <w:spacing w:line="360" w:lineRule="auto"/>
        <w:ind w:firstLine="480"/>
        <w:rPr>
          <w:rFonts w:hAnsi="Times New Roman" w:eastAsia="宋体"/>
        </w:rPr>
      </w:pPr>
      <w:r>
        <w:rPr>
          <w:rFonts w:hAnsi="Times New Roman" w:eastAsia="宋体"/>
        </w:rPr>
        <w:t>根据拟合</w:t>
      </w:r>
      <w:r>
        <w:rPr>
          <w:rFonts w:hAnsi="Times New Roman" w:eastAsia="宋体"/>
          <w:szCs w:val="22"/>
        </w:rPr>
        <w:t>结果</w:t>
      </w:r>
      <w:r>
        <w:rPr>
          <w:rFonts w:hAnsi="Times New Roman" w:eastAsia="宋体"/>
        </w:rPr>
        <w:t>，裂隙孔隙含水层取下表所示参数值时流场水位与水井水位拟合较好。</w:t>
      </w:r>
    </w:p>
    <w:p>
      <w:pPr>
        <w:spacing w:line="300" w:lineRule="exact"/>
        <w:jc w:val="center"/>
        <w:rPr>
          <w:rFonts w:hAnsi="Times New Roman" w:eastAsia="宋体"/>
          <w:b/>
          <w:bCs/>
          <w:sz w:val="21"/>
          <w:szCs w:val="21"/>
          <w:lang w:eastAsia="zh-CN"/>
        </w:rPr>
      </w:pPr>
      <w:bookmarkStart w:id="357" w:name="_Toc531615722"/>
    </w:p>
    <w:p>
      <w:pPr>
        <w:spacing w:line="300" w:lineRule="exact"/>
        <w:jc w:val="center"/>
        <w:rPr>
          <w:rFonts w:hAnsi="Times New Roman" w:eastAsia="宋体"/>
          <w:b/>
          <w:bCs/>
          <w:sz w:val="21"/>
          <w:szCs w:val="21"/>
          <w:lang w:eastAsia="zh-CN"/>
        </w:rPr>
      </w:pPr>
    </w:p>
    <w:p>
      <w:pPr>
        <w:spacing w:line="300" w:lineRule="exact"/>
        <w:jc w:val="center"/>
        <w:rPr>
          <w:rFonts w:hAnsi="Times New Roman" w:eastAsia="宋体"/>
          <w:b/>
          <w:bCs/>
          <w:sz w:val="21"/>
          <w:szCs w:val="21"/>
          <w:lang w:eastAsia="zh-CN"/>
        </w:rPr>
      </w:pPr>
      <w:r>
        <w:rPr>
          <w:rFonts w:hAnsi="Times New Roman" w:eastAsia="宋体"/>
          <w:b/>
          <w:bCs/>
          <w:sz w:val="21"/>
          <w:szCs w:val="21"/>
          <w:lang w:eastAsia="zh-CN"/>
        </w:rPr>
        <w:t>表5.4</w:t>
      </w:r>
      <w:r>
        <w:rPr>
          <w:rFonts w:hAnsi="Times New Roman" w:eastAsia="宋体"/>
          <w:b/>
          <w:bCs/>
          <w:sz w:val="21"/>
          <w:szCs w:val="21"/>
          <w:lang w:eastAsia="zh-CN"/>
        </w:rPr>
        <w:noBreakHyphen/>
      </w:r>
      <w:r>
        <w:rPr>
          <w:rFonts w:hAnsi="Times New Roman" w:eastAsia="宋体"/>
          <w:b/>
          <w:bCs/>
          <w:sz w:val="21"/>
          <w:szCs w:val="21"/>
          <w:lang w:eastAsia="zh-CN"/>
        </w:rPr>
        <w:t>3水文地质参数拟合表</w:t>
      </w:r>
      <w:bookmarkEnd w:id="357"/>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76"/>
        <w:gridCol w:w="53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128" w:type="pct"/>
            <w:vAlign w:val="center"/>
          </w:tcPr>
          <w:p>
            <w:pPr>
              <w:pStyle w:val="62"/>
              <w:keepNext w:val="0"/>
              <w:keepLines w:val="0"/>
              <w:suppressLineNumbers w:val="0"/>
              <w:spacing w:before="0" w:beforeAutospacing="0" w:after="0" w:afterAutospacing="0"/>
              <w:ind w:left="0" w:right="0"/>
              <w:rPr>
                <w:rFonts w:hint="eastAsia" w:hAnsi="Times New Roman" w:eastAsia="宋体"/>
                <w:b/>
                <w:kern w:val="2"/>
                <w:szCs w:val="22"/>
              </w:rPr>
            </w:pPr>
            <w:r>
              <w:rPr>
                <w:rFonts w:hint="eastAsia" w:hAnsi="Times New Roman" w:eastAsia="宋体"/>
                <w:b/>
                <w:kern w:val="2"/>
                <w:szCs w:val="22"/>
              </w:rPr>
              <w:t>参数</w:t>
            </w:r>
          </w:p>
        </w:tc>
        <w:tc>
          <w:tcPr>
            <w:tcW w:w="2872" w:type="pct"/>
            <w:vAlign w:val="center"/>
          </w:tcPr>
          <w:p>
            <w:pPr>
              <w:pStyle w:val="62"/>
              <w:keepNext w:val="0"/>
              <w:keepLines w:val="0"/>
              <w:suppressLineNumbers w:val="0"/>
              <w:spacing w:before="0" w:beforeAutospacing="0" w:after="0" w:afterAutospacing="0"/>
              <w:ind w:left="0" w:right="0"/>
              <w:rPr>
                <w:rFonts w:hint="eastAsia" w:hAnsi="Times New Roman" w:eastAsia="宋体"/>
                <w:b/>
                <w:kern w:val="2"/>
                <w:szCs w:val="22"/>
              </w:rPr>
            </w:pPr>
            <w:r>
              <w:rPr>
                <w:rFonts w:hint="eastAsia" w:hAnsi="Times New Roman" w:eastAsia="宋体"/>
                <w:b/>
                <w:kern w:val="2"/>
                <w:szCs w:val="22"/>
              </w:rPr>
              <w:t>裂隙孔隙含水层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128"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Kxx（m/d）</w:t>
            </w:r>
          </w:p>
        </w:tc>
        <w:tc>
          <w:tcPr>
            <w:tcW w:w="2872"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lang w:eastAsia="zh-CN"/>
              </w:rPr>
            </w:pPr>
            <w:r>
              <w:rPr>
                <w:rFonts w:hint="eastAsia" w:hAnsi="Times New Roman" w:eastAsia="宋体"/>
                <w:kern w:val="2"/>
                <w:szCs w:val="22"/>
                <w:lang w:eastAsia="zh-CN"/>
              </w:rPr>
              <w:t>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128"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Kyy（m/d）</w:t>
            </w:r>
          </w:p>
        </w:tc>
        <w:tc>
          <w:tcPr>
            <w:tcW w:w="2872"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lang w:eastAsia="zh-CN"/>
              </w:rPr>
            </w:pPr>
            <w:r>
              <w:rPr>
                <w:rFonts w:hint="eastAsia" w:hAnsi="Times New Roman" w:eastAsia="宋体"/>
                <w:kern w:val="2"/>
                <w:szCs w:val="22"/>
                <w:lang w:eastAsia="zh-CN"/>
              </w:rPr>
              <w:t>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128"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Kzz（m/d）</w:t>
            </w:r>
          </w:p>
        </w:tc>
        <w:tc>
          <w:tcPr>
            <w:tcW w:w="2872"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lang w:eastAsia="zh-CN"/>
              </w:rPr>
            </w:pPr>
            <w:r>
              <w:rPr>
                <w:rFonts w:hint="eastAsia" w:hAnsi="Times New Roman" w:eastAsia="宋体"/>
                <w:kern w:val="2"/>
                <w:szCs w:val="22"/>
                <w:lang w:eastAsia="zh-CN"/>
              </w:rPr>
              <w:t>0.032</w:t>
            </w:r>
          </w:p>
        </w:tc>
      </w:tr>
    </w:tbl>
    <w:p>
      <w:pPr>
        <w:spacing w:line="360" w:lineRule="auto"/>
        <w:ind w:firstLine="480"/>
        <w:rPr>
          <w:rFonts w:hAnsi="Times New Roman" w:eastAsia="宋体"/>
        </w:rPr>
      </w:pPr>
      <w:r>
        <w:rPr>
          <w:rFonts w:hAnsi="Times New Roman" w:eastAsia="宋体"/>
        </w:rPr>
        <w:t>根据识别后的参数，水位拟合后，水位标高仅差0.25m，拟合后的初始流场如下图。</w:t>
      </w:r>
    </w:p>
    <w:p>
      <w:pPr>
        <w:pStyle w:val="62"/>
        <w:rPr>
          <w:rFonts w:hAnsi="Times New Roman" w:eastAsia="宋体"/>
        </w:rPr>
      </w:pPr>
      <w:bookmarkStart w:id="358" w:name="_Ref493681660"/>
      <w:bookmarkStart w:id="359" w:name="_Toc477359804"/>
      <w:bookmarkStart w:id="360" w:name="_Toc87392094"/>
      <w:bookmarkStart w:id="361" w:name="_Toc531615649"/>
      <w:r>
        <w:rPr>
          <w:rFonts w:hAnsi="Times New Roman" w:eastAsia="宋体"/>
        </w:rPr>
        <w:drawing>
          <wp:inline distT="0" distB="0" distL="114300" distR="114300">
            <wp:extent cx="5093970" cy="5266055"/>
            <wp:effectExtent l="0" t="0" r="11430" b="10795"/>
            <wp:docPr id="210"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51"/>
                    <pic:cNvPicPr>
                      <a:picLocks noChangeAspect="1"/>
                    </pic:cNvPicPr>
                  </pic:nvPicPr>
                  <pic:blipFill>
                    <a:blip r:embed="rId185"/>
                    <a:stretch>
                      <a:fillRect/>
                    </a:stretch>
                  </pic:blipFill>
                  <pic:spPr>
                    <a:xfrm>
                      <a:off x="0" y="0"/>
                      <a:ext cx="5093970" cy="5266055"/>
                    </a:xfrm>
                    <a:prstGeom prst="rect">
                      <a:avLst/>
                    </a:prstGeom>
                    <a:noFill/>
                    <a:ln>
                      <a:noFill/>
                    </a:ln>
                  </pic:spPr>
                </pic:pic>
              </a:graphicData>
            </a:graphic>
          </wp:inline>
        </w:drawing>
      </w:r>
    </w:p>
    <w:p>
      <w:pPr>
        <w:spacing w:line="300" w:lineRule="exact"/>
        <w:jc w:val="center"/>
        <w:rPr>
          <w:rFonts w:hAnsi="Times New Roman" w:eastAsia="宋体"/>
          <w:b/>
          <w:bCs/>
          <w:sz w:val="21"/>
          <w:szCs w:val="21"/>
          <w:lang w:eastAsia="zh-CN"/>
        </w:rPr>
      </w:pPr>
      <w:bookmarkStart w:id="362" w:name="_Toc531615766"/>
      <w:r>
        <w:rPr>
          <w:rFonts w:hAnsi="Times New Roman" w:eastAsia="宋体"/>
          <w:b/>
          <w:bCs/>
          <w:sz w:val="21"/>
          <w:szCs w:val="21"/>
          <w:lang w:eastAsia="zh-CN"/>
        </w:rPr>
        <w:t>图</w:t>
      </w:r>
      <w:bookmarkEnd w:id="358"/>
      <w:r>
        <w:rPr>
          <w:rFonts w:hAnsi="Times New Roman" w:eastAsia="宋体"/>
          <w:b/>
          <w:bCs/>
          <w:sz w:val="21"/>
          <w:szCs w:val="21"/>
          <w:lang w:eastAsia="zh-CN"/>
        </w:rPr>
        <w:t>5.4-4 初始流场示意图</w:t>
      </w:r>
      <w:bookmarkEnd w:id="362"/>
    </w:p>
    <w:p>
      <w:pPr>
        <w:pStyle w:val="53"/>
        <w:ind w:firstLine="0" w:firstLineChars="0"/>
        <w:rPr>
          <w:rFonts w:eastAsia="宋体"/>
          <w:b/>
          <w:bCs/>
        </w:rPr>
      </w:pPr>
      <w:r>
        <w:rPr>
          <w:rFonts w:eastAsia="宋体"/>
          <w:b/>
          <w:bCs/>
        </w:rPr>
        <w:t>5.4.2.3预测模型</w:t>
      </w:r>
      <w:bookmarkEnd w:id="359"/>
      <w:bookmarkEnd w:id="360"/>
      <w:bookmarkEnd w:id="361"/>
    </w:p>
    <w:p>
      <w:pPr>
        <w:spacing w:line="360" w:lineRule="auto"/>
        <w:ind w:firstLine="480"/>
        <w:rPr>
          <w:rFonts w:hAnsi="Times New Roman" w:eastAsia="宋体"/>
        </w:rPr>
      </w:pPr>
      <w:bookmarkStart w:id="363" w:name="_Toc87392095"/>
      <w:r>
        <w:rPr>
          <w:rFonts w:hAnsi="Times New Roman" w:eastAsia="宋体"/>
        </w:rPr>
        <w:t>（1）溶质运移</w:t>
      </w:r>
      <w:bookmarkEnd w:id="363"/>
    </w:p>
    <w:p>
      <w:pPr>
        <w:spacing w:line="360" w:lineRule="auto"/>
        <w:ind w:firstLine="480"/>
        <w:rPr>
          <w:rFonts w:hAnsi="Times New Roman" w:eastAsia="宋体"/>
        </w:rPr>
      </w:pPr>
      <w:r>
        <w:rPr>
          <w:rFonts w:hAnsi="Times New Roman" w:eastAsia="宋体"/>
        </w:rPr>
        <w:t>由于污染物在地下水中的迁移转化过程十分复杂，存在包括吸附、沉淀、生物吸收、化学与生物降解等作用。本次预测评价本着风险最大原则，在模拟污染物扩散时并不考虑吸附、化学反应等降解作用，仅考虑典型污染物在对流、弥散作用下的扩散过程及其规律。</w:t>
      </w:r>
    </w:p>
    <w:p>
      <w:pPr>
        <w:pStyle w:val="63"/>
        <w:spacing w:line="360" w:lineRule="auto"/>
        <w:ind w:firstLine="482"/>
        <w:rPr>
          <w:rFonts w:hAnsi="Times New Roman" w:eastAsia="宋体"/>
          <w:b/>
        </w:rPr>
      </w:pPr>
      <w:r>
        <w:rPr>
          <w:rFonts w:hAnsi="Times New Roman" w:eastAsia="宋体"/>
          <w:b/>
        </w:rPr>
        <w:t>一、数学方程</w:t>
      </w:r>
    </w:p>
    <w:p>
      <w:pPr>
        <w:spacing w:line="360" w:lineRule="auto"/>
        <w:ind w:firstLine="480"/>
        <w:rPr>
          <w:rFonts w:hAnsi="Times New Roman" w:eastAsia="宋体"/>
        </w:rPr>
      </w:pPr>
      <w:r>
        <w:rPr>
          <w:rFonts w:hAnsi="Times New Roman" w:eastAsia="宋体"/>
        </w:rPr>
        <w:t>溶质运移的三维水动力弥散方程的数学模型如下：</w:t>
      </w:r>
    </w:p>
    <w:p>
      <w:pPr>
        <w:spacing w:line="360" w:lineRule="auto"/>
        <w:ind w:left="-283" w:leftChars="-118"/>
        <w:rPr>
          <w:rFonts w:hAnsi="Times New Roman" w:eastAsia="宋体"/>
          <w:szCs w:val="22"/>
        </w:rPr>
      </w:pPr>
      <m:oMathPara>
        <m:oMath>
          <m:f>
            <m:fPr>
              <m:ctrlPr>
                <w:rPr>
                  <w:rFonts w:ascii="Cambria Math" w:hAnsi="Cambria Math" w:eastAsia="宋体"/>
                  <w:szCs w:val="22"/>
                </w:rPr>
              </m:ctrlPr>
            </m:fPr>
            <m:num>
              <m:r>
                <m:rPr/>
                <w:rPr>
                  <w:rFonts w:ascii="Cambria Math" w:hAnsi="Cambria Math" w:eastAsia="宋体"/>
                  <w:szCs w:val="22"/>
                </w:rPr>
                <m:t>∂C</m:t>
              </m:r>
              <m:ctrlPr>
                <w:rPr>
                  <w:rFonts w:ascii="Cambria Math" w:hAnsi="Cambria Math" w:eastAsia="宋体"/>
                </w:rPr>
              </m:ctrlPr>
            </m:num>
            <m:den>
              <m:r>
                <m:rPr/>
                <w:rPr>
                  <w:rFonts w:ascii="Cambria Math" w:hAnsi="Cambria Math" w:eastAsia="宋体"/>
                  <w:szCs w:val="22"/>
                </w:rPr>
                <m:t>∂t</m:t>
              </m:r>
              <m:ctrlPr>
                <w:rPr>
                  <w:rFonts w:ascii="Cambria Math" w:hAnsi="Cambria Math" w:eastAsia="宋体"/>
                </w:rPr>
              </m:ctrlPr>
            </m:den>
          </m:f>
          <m:r>
            <m:rPr/>
            <w:rPr>
              <w:rFonts w:ascii="Cambria Math" w:hAnsi="Cambria Math" w:eastAsia="宋体"/>
              <w:szCs w:val="22"/>
            </w:rPr>
            <m:t>=</m:t>
          </m:r>
          <m:f>
            <m:fPr>
              <m:ctrlPr>
                <w:rPr>
                  <w:rFonts w:ascii="Cambria Math" w:hAnsi="Cambria Math" w:eastAsia="宋体"/>
                  <w:i/>
                  <w:szCs w:val="22"/>
                </w:rPr>
              </m:ctrlPr>
            </m:fPr>
            <m:num>
              <m:r>
                <m:rPr/>
                <w:rPr>
                  <w:rFonts w:ascii="Cambria Math" w:hAnsi="Cambria Math" w:eastAsia="宋体"/>
                  <w:szCs w:val="22"/>
                </w:rPr>
                <m:t>∂</m:t>
              </m:r>
              <m:ctrlPr>
                <w:rPr>
                  <w:rFonts w:ascii="Cambria Math" w:hAnsi="Cambria Math" w:eastAsia="宋体"/>
                </w:rPr>
              </m:ctrlPr>
            </m:num>
            <m:den>
              <m:r>
                <m:rPr/>
                <w:rPr>
                  <w:rFonts w:ascii="Cambria Math" w:hAnsi="Cambria Math" w:eastAsia="宋体"/>
                  <w:szCs w:val="22"/>
                </w:rPr>
                <m:t>∂x</m:t>
              </m:r>
              <m:ctrlPr>
                <w:rPr>
                  <w:rFonts w:ascii="Cambria Math" w:hAnsi="Cambria Math" w:eastAsia="宋体"/>
                </w:rPr>
              </m:ctrlPr>
            </m:den>
          </m:f>
          <m:d>
            <m:dPr>
              <m:ctrlPr>
                <w:rPr>
                  <w:rFonts w:ascii="Cambria Math" w:hAnsi="Cambria Math" w:eastAsia="宋体"/>
                  <w:i/>
                  <w:szCs w:val="22"/>
                </w:rPr>
              </m:ctrlPr>
            </m:dPr>
            <m:e>
              <m:sSub>
                <m:sSubPr>
                  <m:ctrlPr>
                    <w:rPr>
                      <w:rFonts w:ascii="Cambria Math" w:hAnsi="Cambria Math" w:eastAsia="宋体"/>
                      <w:i/>
                      <w:szCs w:val="22"/>
                    </w:rPr>
                  </m:ctrlPr>
                </m:sSubPr>
                <m:e>
                  <m:r>
                    <m:rPr/>
                    <w:rPr>
                      <w:rFonts w:ascii="Cambria Math" w:hAnsi="Cambria Math" w:eastAsia="宋体"/>
                      <w:szCs w:val="22"/>
                    </w:rPr>
                    <m:t>D</m:t>
                  </m:r>
                  <m:ctrlPr>
                    <w:rPr>
                      <w:rFonts w:ascii="Cambria Math" w:hAnsi="Cambria Math" w:eastAsia="宋体"/>
                    </w:rPr>
                  </m:ctrlPr>
                </m:e>
                <m:sub>
                  <m:r>
                    <m:rPr/>
                    <w:rPr>
                      <w:rFonts w:ascii="Cambria Math" w:hAnsi="Cambria Math" w:eastAsia="宋体"/>
                      <w:szCs w:val="22"/>
                    </w:rPr>
                    <m:t>xx</m:t>
                  </m:r>
                  <m:ctrlPr>
                    <w:rPr>
                      <w:rFonts w:ascii="Cambria Math" w:hAnsi="Cambria Math" w:eastAsia="宋体"/>
                    </w:rPr>
                  </m:ctrlPr>
                </m:sub>
              </m:sSub>
              <m:f>
                <m:fPr>
                  <m:ctrlPr>
                    <w:rPr>
                      <w:rFonts w:ascii="Cambria Math" w:hAnsi="Cambria Math" w:eastAsia="宋体"/>
                      <w:i/>
                      <w:szCs w:val="22"/>
                    </w:rPr>
                  </m:ctrlPr>
                </m:fPr>
                <m:num>
                  <m:r>
                    <m:rPr/>
                    <w:rPr>
                      <w:rFonts w:ascii="Cambria Math" w:hAnsi="Cambria Math" w:eastAsia="宋体"/>
                      <w:szCs w:val="22"/>
                    </w:rPr>
                    <m:t>∂C</m:t>
                  </m:r>
                  <m:ctrlPr>
                    <w:rPr>
                      <w:rFonts w:ascii="Cambria Math" w:hAnsi="Cambria Math" w:eastAsia="宋体"/>
                    </w:rPr>
                  </m:ctrlPr>
                </m:num>
                <m:den>
                  <m:r>
                    <m:rPr/>
                    <w:rPr>
                      <w:rFonts w:ascii="Cambria Math" w:hAnsi="Cambria Math" w:eastAsia="宋体"/>
                      <w:szCs w:val="22"/>
                    </w:rPr>
                    <m:t>∂x</m:t>
                  </m:r>
                  <m:ctrlPr>
                    <w:rPr>
                      <w:rFonts w:ascii="Cambria Math" w:hAnsi="Cambria Math" w:eastAsia="宋体"/>
                    </w:rPr>
                  </m:ctrlPr>
                </m:den>
              </m:f>
              <m:ctrlPr>
                <w:rPr>
                  <w:rFonts w:ascii="Cambria Math" w:hAnsi="Cambria Math" w:eastAsia="宋体"/>
                  <w:i/>
                  <w:szCs w:val="22"/>
                </w:rPr>
              </m:ctrlPr>
            </m:e>
          </m:d>
          <m:r>
            <m:rPr/>
            <w:rPr>
              <w:rFonts w:ascii="Cambria Math" w:hAnsi="Cambria Math" w:eastAsia="宋体"/>
              <w:szCs w:val="22"/>
            </w:rPr>
            <m:t>+</m:t>
          </m:r>
          <m:f>
            <m:fPr>
              <m:ctrlPr>
                <w:rPr>
                  <w:rFonts w:ascii="Cambria Math" w:hAnsi="Cambria Math" w:eastAsia="宋体"/>
                  <w:i/>
                  <w:szCs w:val="22"/>
                </w:rPr>
              </m:ctrlPr>
            </m:fPr>
            <m:num>
              <m:r>
                <m:rPr/>
                <w:rPr>
                  <w:rFonts w:ascii="Cambria Math" w:hAnsi="Cambria Math" w:eastAsia="宋体"/>
                  <w:szCs w:val="22"/>
                </w:rPr>
                <m:t>∂</m:t>
              </m:r>
              <m:ctrlPr>
                <w:rPr>
                  <w:rFonts w:ascii="Cambria Math" w:hAnsi="Cambria Math" w:eastAsia="宋体"/>
                  <w:i/>
                  <w:szCs w:val="22"/>
                </w:rPr>
              </m:ctrlPr>
            </m:num>
            <m:den>
              <m:r>
                <m:rPr/>
                <w:rPr>
                  <w:rFonts w:ascii="Cambria Math" w:hAnsi="Cambria Math" w:eastAsia="宋体"/>
                  <w:szCs w:val="22"/>
                </w:rPr>
                <m:t>∂y</m:t>
              </m:r>
              <m:ctrlPr>
                <w:rPr>
                  <w:rFonts w:ascii="Cambria Math" w:hAnsi="Cambria Math" w:eastAsia="宋体"/>
                  <w:i/>
                  <w:szCs w:val="22"/>
                </w:rPr>
              </m:ctrlPr>
            </m:den>
          </m:f>
          <m:d>
            <m:dPr>
              <m:ctrlPr>
                <w:rPr>
                  <w:rFonts w:ascii="Cambria Math" w:hAnsi="Cambria Math" w:eastAsia="宋体"/>
                  <w:i/>
                  <w:szCs w:val="22"/>
                </w:rPr>
              </m:ctrlPr>
            </m:dPr>
            <m:e>
              <m:sSub>
                <m:sSubPr>
                  <m:ctrlPr>
                    <w:rPr>
                      <w:rFonts w:ascii="Cambria Math" w:hAnsi="Cambria Math" w:eastAsia="宋体"/>
                      <w:i/>
                      <w:szCs w:val="22"/>
                    </w:rPr>
                  </m:ctrlPr>
                </m:sSubPr>
                <m:e>
                  <m:r>
                    <m:rPr/>
                    <w:rPr>
                      <w:rFonts w:ascii="Cambria Math" w:hAnsi="Cambria Math" w:eastAsia="宋体"/>
                      <w:szCs w:val="22"/>
                    </w:rPr>
                    <m:t>D</m:t>
                  </m:r>
                  <m:ctrlPr>
                    <w:rPr>
                      <w:rFonts w:ascii="Cambria Math" w:hAnsi="Cambria Math" w:eastAsia="宋体"/>
                    </w:rPr>
                  </m:ctrlPr>
                </m:e>
                <m:sub>
                  <m:r>
                    <m:rPr/>
                    <w:rPr>
                      <w:rFonts w:ascii="Cambria Math" w:hAnsi="Cambria Math" w:eastAsia="宋体"/>
                      <w:szCs w:val="22"/>
                    </w:rPr>
                    <m:t>yy</m:t>
                  </m:r>
                  <m:ctrlPr>
                    <w:rPr>
                      <w:rFonts w:ascii="Cambria Math" w:hAnsi="Cambria Math" w:eastAsia="宋体"/>
                    </w:rPr>
                  </m:ctrlPr>
                </m:sub>
              </m:sSub>
              <m:f>
                <m:fPr>
                  <m:ctrlPr>
                    <w:rPr>
                      <w:rFonts w:ascii="Cambria Math" w:hAnsi="Cambria Math" w:eastAsia="宋体"/>
                      <w:i/>
                      <w:szCs w:val="22"/>
                    </w:rPr>
                  </m:ctrlPr>
                </m:fPr>
                <m:num>
                  <m:r>
                    <m:rPr/>
                    <w:rPr>
                      <w:rFonts w:ascii="Cambria Math" w:hAnsi="Cambria Math" w:eastAsia="宋体"/>
                      <w:szCs w:val="22"/>
                    </w:rPr>
                    <m:t>∂C</m:t>
                  </m:r>
                  <m:ctrlPr>
                    <w:rPr>
                      <w:rFonts w:ascii="Cambria Math" w:hAnsi="Cambria Math" w:eastAsia="宋体"/>
                    </w:rPr>
                  </m:ctrlPr>
                </m:num>
                <m:den>
                  <m:r>
                    <m:rPr/>
                    <w:rPr>
                      <w:rFonts w:ascii="Cambria Math" w:hAnsi="Cambria Math" w:eastAsia="宋体"/>
                      <w:szCs w:val="22"/>
                    </w:rPr>
                    <m:t>∂y</m:t>
                  </m:r>
                  <m:ctrlPr>
                    <w:rPr>
                      <w:rFonts w:ascii="Cambria Math" w:hAnsi="Cambria Math" w:eastAsia="宋体"/>
                    </w:rPr>
                  </m:ctrlPr>
                </m:den>
              </m:f>
              <m:ctrlPr>
                <w:rPr>
                  <w:rFonts w:ascii="Cambria Math" w:hAnsi="Cambria Math" w:eastAsia="宋体"/>
                  <w:i/>
                  <w:szCs w:val="22"/>
                </w:rPr>
              </m:ctrlPr>
            </m:e>
          </m:d>
          <m:r>
            <m:rPr/>
            <w:rPr>
              <w:rFonts w:ascii="Cambria Math" w:hAnsi="Cambria Math" w:eastAsia="宋体"/>
              <w:szCs w:val="22"/>
            </w:rPr>
            <m:t>+</m:t>
          </m:r>
          <m:f>
            <m:fPr>
              <m:ctrlPr>
                <w:rPr>
                  <w:rFonts w:ascii="Cambria Math" w:hAnsi="Cambria Math" w:eastAsia="宋体"/>
                  <w:i/>
                  <w:szCs w:val="22"/>
                </w:rPr>
              </m:ctrlPr>
            </m:fPr>
            <m:num>
              <m:r>
                <m:rPr/>
                <w:rPr>
                  <w:rFonts w:ascii="Cambria Math" w:hAnsi="Cambria Math" w:eastAsia="宋体"/>
                  <w:szCs w:val="22"/>
                </w:rPr>
                <m:t>∂</m:t>
              </m:r>
              <m:ctrlPr>
                <w:rPr>
                  <w:rFonts w:ascii="Cambria Math" w:hAnsi="Cambria Math" w:eastAsia="宋体"/>
                  <w:i/>
                  <w:szCs w:val="22"/>
                </w:rPr>
              </m:ctrlPr>
            </m:num>
            <m:den>
              <m:r>
                <m:rPr/>
                <w:rPr>
                  <w:rFonts w:ascii="Cambria Math" w:hAnsi="Cambria Math" w:eastAsia="宋体"/>
                  <w:szCs w:val="22"/>
                </w:rPr>
                <m:t>∂z</m:t>
              </m:r>
              <m:ctrlPr>
                <w:rPr>
                  <w:rFonts w:ascii="Cambria Math" w:hAnsi="Cambria Math" w:eastAsia="宋体"/>
                  <w:i/>
                  <w:szCs w:val="22"/>
                </w:rPr>
              </m:ctrlPr>
            </m:den>
          </m:f>
          <m:d>
            <m:dPr>
              <m:ctrlPr>
                <w:rPr>
                  <w:rFonts w:ascii="Cambria Math" w:hAnsi="Cambria Math" w:eastAsia="宋体"/>
                  <w:i/>
                  <w:szCs w:val="22"/>
                </w:rPr>
              </m:ctrlPr>
            </m:dPr>
            <m:e>
              <m:sSub>
                <m:sSubPr>
                  <m:ctrlPr>
                    <w:rPr>
                      <w:rFonts w:ascii="Cambria Math" w:hAnsi="Cambria Math" w:eastAsia="宋体"/>
                      <w:i/>
                      <w:szCs w:val="22"/>
                    </w:rPr>
                  </m:ctrlPr>
                </m:sSubPr>
                <m:e>
                  <m:r>
                    <m:rPr/>
                    <w:rPr>
                      <w:rFonts w:ascii="Cambria Math" w:hAnsi="Cambria Math" w:eastAsia="宋体"/>
                      <w:szCs w:val="22"/>
                    </w:rPr>
                    <m:t>D</m:t>
                  </m:r>
                  <m:ctrlPr>
                    <w:rPr>
                      <w:rFonts w:ascii="Cambria Math" w:hAnsi="Cambria Math" w:eastAsia="宋体"/>
                    </w:rPr>
                  </m:ctrlPr>
                </m:e>
                <m:sub>
                  <m:r>
                    <m:rPr/>
                    <w:rPr>
                      <w:rFonts w:ascii="Cambria Math" w:hAnsi="Cambria Math" w:eastAsia="宋体"/>
                      <w:szCs w:val="22"/>
                    </w:rPr>
                    <m:t>zz</m:t>
                  </m:r>
                  <m:ctrlPr>
                    <w:rPr>
                      <w:rFonts w:ascii="Cambria Math" w:hAnsi="Cambria Math" w:eastAsia="宋体"/>
                    </w:rPr>
                  </m:ctrlPr>
                </m:sub>
              </m:sSub>
              <m:f>
                <m:fPr>
                  <m:ctrlPr>
                    <w:rPr>
                      <w:rFonts w:ascii="Cambria Math" w:hAnsi="Cambria Math" w:eastAsia="宋体"/>
                      <w:i/>
                      <w:szCs w:val="22"/>
                    </w:rPr>
                  </m:ctrlPr>
                </m:fPr>
                <m:num>
                  <m:r>
                    <m:rPr/>
                    <w:rPr>
                      <w:rFonts w:ascii="Cambria Math" w:hAnsi="Cambria Math" w:eastAsia="宋体"/>
                      <w:szCs w:val="22"/>
                    </w:rPr>
                    <m:t>∂C</m:t>
                  </m:r>
                  <m:ctrlPr>
                    <w:rPr>
                      <w:rFonts w:ascii="Cambria Math" w:hAnsi="Cambria Math" w:eastAsia="宋体"/>
                    </w:rPr>
                  </m:ctrlPr>
                </m:num>
                <m:den>
                  <m:r>
                    <m:rPr/>
                    <w:rPr>
                      <w:rFonts w:ascii="Cambria Math" w:hAnsi="Cambria Math" w:eastAsia="宋体"/>
                      <w:szCs w:val="22"/>
                    </w:rPr>
                    <m:t>∂z</m:t>
                  </m:r>
                  <m:ctrlPr>
                    <w:rPr>
                      <w:rFonts w:ascii="Cambria Math" w:hAnsi="Cambria Math" w:eastAsia="宋体"/>
                    </w:rPr>
                  </m:ctrlPr>
                </m:den>
              </m:f>
              <m:ctrlPr>
                <w:rPr>
                  <w:rFonts w:ascii="Cambria Math" w:hAnsi="Cambria Math" w:eastAsia="宋体"/>
                  <w:i/>
                  <w:szCs w:val="22"/>
                </w:rPr>
              </m:ctrlPr>
            </m:e>
          </m:d>
          <m:r>
            <m:rPr/>
            <w:rPr>
              <w:rFonts w:ascii="Cambria Math" w:hAnsi="Cambria Math" w:eastAsia="宋体"/>
              <w:szCs w:val="22"/>
            </w:rPr>
            <m:t>−</m:t>
          </m:r>
          <m:f>
            <m:fPr>
              <m:ctrlPr>
                <w:rPr>
                  <w:rFonts w:ascii="Cambria Math" w:hAnsi="Cambria Math" w:eastAsia="宋体"/>
                  <w:i/>
                  <w:szCs w:val="22"/>
                </w:rPr>
              </m:ctrlPr>
            </m:fPr>
            <m:num>
              <m:r>
                <m:rPr/>
                <w:rPr>
                  <w:rFonts w:ascii="Cambria Math" w:hAnsi="Cambria Math" w:eastAsia="宋体"/>
                  <w:szCs w:val="22"/>
                </w:rPr>
                <m:t>∂</m:t>
              </m:r>
              <m:d>
                <m:dPr>
                  <m:ctrlPr>
                    <w:rPr>
                      <w:rFonts w:ascii="Cambria Math" w:hAnsi="Cambria Math" w:eastAsia="宋体"/>
                      <w:i/>
                      <w:szCs w:val="22"/>
                    </w:rPr>
                  </m:ctrlPr>
                </m:dPr>
                <m:e>
                  <m:sSub>
                    <m:sSubPr>
                      <m:ctrlPr>
                        <w:rPr>
                          <w:rFonts w:ascii="Cambria Math" w:hAnsi="Cambria Math" w:eastAsia="宋体"/>
                          <w:i/>
                          <w:szCs w:val="22"/>
                        </w:rPr>
                      </m:ctrlPr>
                    </m:sSubPr>
                    <m:e>
                      <m:r>
                        <m:rPr/>
                        <w:rPr>
                          <w:rFonts w:ascii="Cambria Math" w:hAnsi="Cambria Math" w:eastAsia="宋体"/>
                          <w:szCs w:val="22"/>
                        </w:rPr>
                        <m:t>μ</m:t>
                      </m:r>
                      <m:ctrlPr>
                        <w:rPr>
                          <w:rFonts w:ascii="Cambria Math" w:hAnsi="Cambria Math" w:eastAsia="宋体"/>
                        </w:rPr>
                      </m:ctrlPr>
                    </m:e>
                    <m:sub>
                      <m:r>
                        <m:rPr/>
                        <w:rPr>
                          <w:rFonts w:ascii="Cambria Math" w:hAnsi="Cambria Math" w:eastAsia="宋体"/>
                          <w:szCs w:val="22"/>
                        </w:rPr>
                        <m:t>x</m:t>
                      </m:r>
                      <m:ctrlPr>
                        <w:rPr>
                          <w:rFonts w:ascii="Cambria Math" w:hAnsi="Cambria Math" w:eastAsia="宋体"/>
                        </w:rPr>
                      </m:ctrlPr>
                    </m:sub>
                  </m:sSub>
                  <m:r>
                    <m:rPr/>
                    <w:rPr>
                      <w:rFonts w:ascii="Cambria Math" w:hAnsi="Cambria Math" w:eastAsia="宋体"/>
                      <w:szCs w:val="22"/>
                    </w:rPr>
                    <m:t>c</m:t>
                  </m:r>
                  <m:ctrlPr>
                    <w:rPr>
                      <w:rFonts w:ascii="Cambria Math" w:hAnsi="Cambria Math" w:eastAsia="宋体"/>
                      <w:i/>
                      <w:szCs w:val="22"/>
                    </w:rPr>
                  </m:ctrlPr>
                </m:e>
              </m:d>
              <m:ctrlPr>
                <w:rPr>
                  <w:rFonts w:ascii="Cambria Math" w:hAnsi="Cambria Math" w:eastAsia="宋体"/>
                  <w:i/>
                  <w:szCs w:val="22"/>
                </w:rPr>
              </m:ctrlPr>
            </m:num>
            <m:den>
              <m:r>
                <m:rPr/>
                <w:rPr>
                  <w:rFonts w:ascii="Cambria Math" w:hAnsi="Cambria Math" w:eastAsia="宋体"/>
                  <w:szCs w:val="22"/>
                </w:rPr>
                <m:t>∂x</m:t>
              </m:r>
              <m:ctrlPr>
                <w:rPr>
                  <w:rFonts w:ascii="Cambria Math" w:hAnsi="Cambria Math" w:eastAsia="宋体"/>
                  <w:i/>
                  <w:szCs w:val="22"/>
                </w:rPr>
              </m:ctrlPr>
            </m:den>
          </m:f>
          <m:r>
            <m:rPr/>
            <w:rPr>
              <w:rFonts w:ascii="Cambria Math" w:hAnsi="Cambria Math" w:eastAsia="宋体"/>
              <w:szCs w:val="22"/>
            </w:rPr>
            <m:t>−</m:t>
          </m:r>
          <m:f>
            <m:fPr>
              <m:ctrlPr>
                <w:rPr>
                  <w:rFonts w:ascii="Cambria Math" w:hAnsi="Cambria Math" w:eastAsia="宋体"/>
                  <w:i/>
                  <w:szCs w:val="22"/>
                </w:rPr>
              </m:ctrlPr>
            </m:fPr>
            <m:num>
              <m:r>
                <m:rPr/>
                <w:rPr>
                  <w:rFonts w:ascii="Cambria Math" w:hAnsi="Cambria Math" w:eastAsia="宋体"/>
                  <w:szCs w:val="22"/>
                </w:rPr>
                <m:t>∂</m:t>
              </m:r>
              <m:d>
                <m:dPr>
                  <m:ctrlPr>
                    <w:rPr>
                      <w:rFonts w:ascii="Cambria Math" w:hAnsi="Cambria Math" w:eastAsia="宋体"/>
                      <w:i/>
                      <w:szCs w:val="22"/>
                    </w:rPr>
                  </m:ctrlPr>
                </m:dPr>
                <m:e>
                  <m:sSub>
                    <m:sSubPr>
                      <m:ctrlPr>
                        <w:rPr>
                          <w:rFonts w:ascii="Cambria Math" w:hAnsi="Cambria Math" w:eastAsia="宋体"/>
                          <w:i/>
                          <w:szCs w:val="22"/>
                        </w:rPr>
                      </m:ctrlPr>
                    </m:sSubPr>
                    <m:e>
                      <m:r>
                        <m:rPr/>
                        <w:rPr>
                          <w:rFonts w:ascii="Cambria Math" w:hAnsi="Cambria Math" w:eastAsia="宋体"/>
                          <w:szCs w:val="22"/>
                        </w:rPr>
                        <m:t>μ</m:t>
                      </m:r>
                      <m:ctrlPr>
                        <w:rPr>
                          <w:rFonts w:ascii="Cambria Math" w:hAnsi="Cambria Math" w:eastAsia="宋体"/>
                        </w:rPr>
                      </m:ctrlPr>
                    </m:e>
                    <m:sub>
                      <m:r>
                        <m:rPr/>
                        <w:rPr>
                          <w:rFonts w:ascii="Cambria Math" w:hAnsi="Cambria Math" w:eastAsia="宋体"/>
                          <w:szCs w:val="22"/>
                        </w:rPr>
                        <m:t>y</m:t>
                      </m:r>
                      <m:ctrlPr>
                        <w:rPr>
                          <w:rFonts w:ascii="Cambria Math" w:hAnsi="Cambria Math" w:eastAsia="宋体"/>
                        </w:rPr>
                      </m:ctrlPr>
                    </m:sub>
                  </m:sSub>
                  <m:r>
                    <m:rPr/>
                    <w:rPr>
                      <w:rFonts w:ascii="Cambria Math" w:hAnsi="Cambria Math" w:eastAsia="宋体"/>
                      <w:szCs w:val="22"/>
                    </w:rPr>
                    <m:t>c</m:t>
                  </m:r>
                  <m:ctrlPr>
                    <w:rPr>
                      <w:rFonts w:ascii="Cambria Math" w:hAnsi="Cambria Math" w:eastAsia="宋体"/>
                      <w:i/>
                      <w:szCs w:val="22"/>
                    </w:rPr>
                  </m:ctrlPr>
                </m:e>
              </m:d>
              <m:ctrlPr>
                <w:rPr>
                  <w:rFonts w:ascii="Cambria Math" w:hAnsi="Cambria Math" w:eastAsia="宋体"/>
                  <w:i/>
                  <w:szCs w:val="22"/>
                </w:rPr>
              </m:ctrlPr>
            </m:num>
            <m:den>
              <m:r>
                <m:rPr/>
                <w:rPr>
                  <w:rFonts w:ascii="Cambria Math" w:hAnsi="Cambria Math" w:eastAsia="宋体"/>
                  <w:szCs w:val="22"/>
                </w:rPr>
                <m:t>∂y</m:t>
              </m:r>
              <m:ctrlPr>
                <w:rPr>
                  <w:rFonts w:ascii="Cambria Math" w:hAnsi="Cambria Math" w:eastAsia="宋体"/>
                  <w:i/>
                  <w:szCs w:val="22"/>
                </w:rPr>
              </m:ctrlPr>
            </m:den>
          </m:f>
          <m:r>
            <m:rPr/>
            <w:rPr>
              <w:rFonts w:ascii="Cambria Math" w:hAnsi="Cambria Math" w:eastAsia="宋体"/>
              <w:szCs w:val="22"/>
            </w:rPr>
            <m:t>−</m:t>
          </m:r>
          <m:f>
            <m:fPr>
              <m:ctrlPr>
                <w:rPr>
                  <w:rFonts w:ascii="Cambria Math" w:hAnsi="Cambria Math" w:eastAsia="宋体"/>
                  <w:i/>
                  <w:szCs w:val="22"/>
                </w:rPr>
              </m:ctrlPr>
            </m:fPr>
            <m:num>
              <m:r>
                <m:rPr/>
                <w:rPr>
                  <w:rFonts w:ascii="Cambria Math" w:hAnsi="Cambria Math" w:eastAsia="宋体"/>
                  <w:szCs w:val="22"/>
                </w:rPr>
                <m:t>∂</m:t>
              </m:r>
              <m:d>
                <m:dPr>
                  <m:ctrlPr>
                    <w:rPr>
                      <w:rFonts w:ascii="Cambria Math" w:hAnsi="Cambria Math" w:eastAsia="宋体"/>
                      <w:i/>
                      <w:szCs w:val="22"/>
                    </w:rPr>
                  </m:ctrlPr>
                </m:dPr>
                <m:e>
                  <m:sSub>
                    <m:sSubPr>
                      <m:ctrlPr>
                        <w:rPr>
                          <w:rFonts w:ascii="Cambria Math" w:hAnsi="Cambria Math" w:eastAsia="宋体"/>
                          <w:i/>
                          <w:szCs w:val="22"/>
                        </w:rPr>
                      </m:ctrlPr>
                    </m:sSubPr>
                    <m:e>
                      <m:r>
                        <m:rPr/>
                        <w:rPr>
                          <w:rFonts w:ascii="Cambria Math" w:hAnsi="Cambria Math" w:eastAsia="宋体"/>
                          <w:szCs w:val="22"/>
                        </w:rPr>
                        <m:t>μ</m:t>
                      </m:r>
                      <m:ctrlPr>
                        <w:rPr>
                          <w:rFonts w:ascii="Cambria Math" w:hAnsi="Cambria Math" w:eastAsia="宋体"/>
                        </w:rPr>
                      </m:ctrlPr>
                    </m:e>
                    <m:sub>
                      <m:r>
                        <m:rPr/>
                        <w:rPr>
                          <w:rFonts w:ascii="Cambria Math" w:hAnsi="Cambria Math" w:eastAsia="宋体"/>
                          <w:szCs w:val="22"/>
                        </w:rPr>
                        <m:t>z</m:t>
                      </m:r>
                      <m:ctrlPr>
                        <w:rPr>
                          <w:rFonts w:ascii="Cambria Math" w:hAnsi="Cambria Math" w:eastAsia="宋体"/>
                        </w:rPr>
                      </m:ctrlPr>
                    </m:sub>
                  </m:sSub>
                  <m:r>
                    <m:rPr/>
                    <w:rPr>
                      <w:rFonts w:ascii="Cambria Math" w:hAnsi="Cambria Math" w:eastAsia="宋体"/>
                      <w:szCs w:val="22"/>
                    </w:rPr>
                    <m:t>c</m:t>
                  </m:r>
                  <m:ctrlPr>
                    <w:rPr>
                      <w:rFonts w:ascii="Cambria Math" w:hAnsi="Cambria Math" w:eastAsia="宋体"/>
                      <w:i/>
                      <w:szCs w:val="22"/>
                    </w:rPr>
                  </m:ctrlPr>
                </m:e>
              </m:d>
              <m:ctrlPr>
                <w:rPr>
                  <w:rFonts w:ascii="Cambria Math" w:hAnsi="Cambria Math" w:eastAsia="宋体"/>
                  <w:i/>
                  <w:szCs w:val="22"/>
                </w:rPr>
              </m:ctrlPr>
            </m:num>
            <m:den>
              <m:r>
                <m:rPr/>
                <w:rPr>
                  <w:rFonts w:ascii="Cambria Math" w:hAnsi="Cambria Math" w:eastAsia="宋体"/>
                  <w:szCs w:val="22"/>
                </w:rPr>
                <m:t>∂z</m:t>
              </m:r>
              <m:ctrlPr>
                <w:rPr>
                  <w:rFonts w:ascii="Cambria Math" w:hAnsi="Cambria Math" w:eastAsia="宋体"/>
                  <w:i/>
                  <w:szCs w:val="22"/>
                </w:rPr>
              </m:ctrlPr>
            </m:den>
          </m:f>
          <m:r>
            <m:rPr/>
            <w:rPr>
              <w:rFonts w:ascii="Cambria Math" w:hAnsi="Cambria Math" w:eastAsia="宋体"/>
              <w:szCs w:val="22"/>
            </w:rPr>
            <m:t>+f</m:t>
          </m:r>
        </m:oMath>
      </m:oMathPara>
    </w:p>
    <w:p>
      <w:pPr>
        <w:spacing w:line="360" w:lineRule="auto"/>
        <w:rPr>
          <w:rFonts w:hAnsi="Times New Roman" w:eastAsia="宋体"/>
          <w:szCs w:val="22"/>
        </w:rPr>
      </w:pPr>
      <m:oMathPara>
        <m:oMath>
          <m:r>
            <m:rPr>
              <m:sty m:val="p"/>
            </m:rPr>
            <w:rPr>
              <w:rFonts w:ascii="Cambria Math" w:hAnsi="Cambria Math" w:eastAsia="宋体"/>
              <w:szCs w:val="22"/>
            </w:rPr>
            <m:t>C</m:t>
          </m:r>
          <m:d>
            <m:dPr>
              <m:ctrlPr>
                <w:rPr>
                  <w:rFonts w:ascii="Cambria Math" w:hAnsi="Cambria Math" w:eastAsia="宋体"/>
                  <w:szCs w:val="22"/>
                </w:rPr>
              </m:ctrlPr>
            </m:dPr>
            <m:e>
              <m:r>
                <m:rPr/>
                <w:rPr>
                  <w:rFonts w:ascii="Cambria Math" w:hAnsi="Cambria Math" w:eastAsia="宋体"/>
                  <w:szCs w:val="22"/>
                </w:rPr>
                <m:t>x,y,z,0</m:t>
              </m:r>
              <m:ctrlPr>
                <w:rPr>
                  <w:rFonts w:ascii="Cambria Math" w:hAnsi="Cambria Math" w:eastAsia="宋体"/>
                </w:rPr>
              </m:ctrlPr>
            </m:e>
          </m:d>
          <m:r>
            <m:rPr/>
            <w:rPr>
              <w:rFonts w:ascii="Cambria Math" w:hAnsi="Cambria Math" w:eastAsia="宋体"/>
              <w:szCs w:val="22"/>
            </w:rPr>
            <m:t>=</m:t>
          </m:r>
          <m:sSub>
            <m:sSubPr>
              <m:ctrlPr>
                <w:rPr>
                  <w:rFonts w:ascii="Cambria Math" w:hAnsi="Cambria Math" w:eastAsia="宋体"/>
                  <w:i/>
                  <w:szCs w:val="22"/>
                </w:rPr>
              </m:ctrlPr>
            </m:sSubPr>
            <m:e>
              <m:r>
                <m:rPr/>
                <w:rPr>
                  <w:rFonts w:ascii="Cambria Math" w:hAnsi="Cambria Math" w:eastAsia="宋体"/>
                  <w:szCs w:val="22"/>
                </w:rPr>
                <m:t>C</m:t>
              </m:r>
              <m:ctrlPr>
                <w:rPr>
                  <w:rFonts w:ascii="Cambria Math" w:hAnsi="Cambria Math" w:eastAsia="宋体"/>
                </w:rPr>
              </m:ctrlPr>
            </m:e>
            <m:sub>
              <m:r>
                <m:rPr/>
                <w:rPr>
                  <w:rFonts w:ascii="Cambria Math" w:hAnsi="Cambria Math" w:eastAsia="宋体"/>
                  <w:szCs w:val="22"/>
                </w:rPr>
                <m:t>0</m:t>
              </m:r>
              <m:ctrlPr>
                <w:rPr>
                  <w:rFonts w:ascii="Cambria Math" w:hAnsi="Cambria Math" w:eastAsia="宋体"/>
                </w:rPr>
              </m:ctrlPr>
            </m:sub>
          </m:sSub>
          <m:d>
            <m:dPr>
              <m:ctrlPr>
                <w:rPr>
                  <w:rFonts w:ascii="Cambria Math" w:hAnsi="Cambria Math" w:eastAsia="宋体"/>
                  <w:i/>
                  <w:szCs w:val="22"/>
                </w:rPr>
              </m:ctrlPr>
            </m:dPr>
            <m:e>
              <m:r>
                <m:rPr/>
                <w:rPr>
                  <w:rFonts w:ascii="Cambria Math" w:hAnsi="Cambria Math" w:eastAsia="宋体"/>
                  <w:szCs w:val="22"/>
                </w:rPr>
                <m:t>x,y,z</m:t>
              </m:r>
              <m:ctrlPr>
                <w:rPr>
                  <w:rFonts w:ascii="Cambria Math" w:hAnsi="Cambria Math" w:eastAsia="宋体"/>
                </w:rPr>
              </m:ctrlPr>
            </m:e>
          </m:d>
          <m:d>
            <m:dPr>
              <m:ctrlPr>
                <w:rPr>
                  <w:rFonts w:ascii="Cambria Math" w:hAnsi="Cambria Math" w:eastAsia="宋体"/>
                  <w:i/>
                  <w:szCs w:val="22"/>
                </w:rPr>
              </m:ctrlPr>
            </m:dPr>
            <m:e>
              <m:r>
                <m:rPr/>
                <w:rPr>
                  <w:rFonts w:ascii="Cambria Math" w:hAnsi="Cambria Math" w:eastAsia="宋体"/>
                  <w:szCs w:val="22"/>
                </w:rPr>
                <m:t>x,y,z</m:t>
              </m:r>
              <m:ctrlPr>
                <w:rPr>
                  <w:rFonts w:ascii="Cambria Math" w:hAnsi="Cambria Math" w:eastAsia="宋体"/>
                </w:rPr>
              </m:ctrlPr>
            </m:e>
          </m:d>
          <m:r>
            <m:rPr/>
            <w:rPr>
              <w:rFonts w:ascii="Cambria Math" w:hAnsi="Cambria Math" w:eastAsia="宋体"/>
              <w:szCs w:val="22"/>
            </w:rPr>
            <m:t>∈</m:t>
          </m:r>
          <m:r>
            <m:rPr>
              <m:sty m:val="p"/>
            </m:rPr>
            <w:rPr>
              <w:rFonts w:ascii="Cambria Math" w:hAnsi="Cambria Math" w:eastAsia="宋体"/>
              <w:szCs w:val="22"/>
            </w:rPr>
            <m:t>Ω</m:t>
          </m:r>
          <m:r>
            <m:rPr/>
            <w:rPr>
              <w:rFonts w:ascii="Cambria Math" w:hAnsi="Cambria Math" w:eastAsia="宋体"/>
              <w:szCs w:val="22"/>
            </w:rPr>
            <m:t xml:space="preserve">  ,t=0</m:t>
          </m:r>
        </m:oMath>
      </m:oMathPara>
    </w:p>
    <w:p>
      <w:pPr>
        <w:spacing w:line="360" w:lineRule="auto"/>
        <w:ind w:firstLine="480"/>
        <w:rPr>
          <w:rFonts w:hAnsi="Times New Roman" w:eastAsia="宋体"/>
        </w:rPr>
      </w:pPr>
      <w:r>
        <w:rPr>
          <w:rFonts w:hAnsi="Times New Roman" w:eastAsia="宋体"/>
        </w:rPr>
        <w:t>式中：</w:t>
      </w:r>
    </w:p>
    <w:p>
      <w:pPr>
        <w:spacing w:line="360" w:lineRule="auto"/>
        <w:ind w:firstLine="480"/>
        <w:rPr>
          <w:rFonts w:hAnsi="Times New Roman" w:eastAsia="宋体"/>
        </w:rPr>
      </w:pPr>
      <w:r>
        <w:rPr>
          <w:rFonts w:hAnsi="Times New Roman" w:eastAsia="宋体"/>
        </w:rPr>
        <w:t>右端前三项为弥散项，后三项为对流项，最后一项为由于化学反应或吸附解析所产生的溶质的增量；</w:t>
      </w:r>
    </w:p>
    <w:p>
      <w:pPr>
        <w:spacing w:line="360" w:lineRule="auto"/>
        <w:ind w:firstLine="480"/>
        <w:rPr>
          <w:rFonts w:hAnsi="Times New Roman" w:eastAsia="宋体"/>
        </w:rPr>
      </w:pPr>
      <w:r>
        <w:rPr>
          <w:rFonts w:hAnsi="Times New Roman" w:eastAsia="宋体"/>
        </w:rPr>
        <w:t>Dxx、Dyy、Dzz分别为x、y、z三个主方向的弥散系数；</w:t>
      </w:r>
    </w:p>
    <w:p>
      <w:pPr>
        <w:spacing w:line="360" w:lineRule="auto"/>
        <w:ind w:firstLine="480"/>
        <w:rPr>
          <w:rFonts w:hAnsi="Times New Roman" w:eastAsia="宋体"/>
        </w:rPr>
      </w:pPr>
      <w:r>
        <w:rPr>
          <w:rFonts w:hAnsi="Times New Roman" w:eastAsia="宋体"/>
        </w:rPr>
        <w:t>μ</w:t>
      </w:r>
      <w:r>
        <w:rPr>
          <w:rFonts w:hAnsi="Times New Roman" w:eastAsia="宋体"/>
          <w:vertAlign w:val="subscript"/>
        </w:rPr>
        <w:t>x</w:t>
      </w:r>
      <w:r>
        <w:rPr>
          <w:rFonts w:hAnsi="Times New Roman" w:eastAsia="宋体"/>
        </w:rPr>
        <w:t>，μ</w:t>
      </w:r>
      <w:r>
        <w:rPr>
          <w:rFonts w:hAnsi="Times New Roman" w:eastAsia="宋体"/>
          <w:vertAlign w:val="subscript"/>
        </w:rPr>
        <w:t>y</w:t>
      </w:r>
      <w:r>
        <w:rPr>
          <w:rFonts w:hAnsi="Times New Roman" w:eastAsia="宋体"/>
        </w:rPr>
        <w:t>、μ</w:t>
      </w:r>
      <w:r>
        <w:rPr>
          <w:rFonts w:hAnsi="Times New Roman" w:eastAsia="宋体"/>
          <w:vertAlign w:val="subscript"/>
        </w:rPr>
        <w:t>z</w:t>
      </w:r>
      <w:r>
        <w:rPr>
          <w:rFonts w:hAnsi="Times New Roman" w:eastAsia="宋体"/>
        </w:rPr>
        <w:t>为x、y、z方向的实际水流速度；</w:t>
      </w:r>
    </w:p>
    <w:p>
      <w:pPr>
        <w:spacing w:line="360" w:lineRule="auto"/>
        <w:ind w:firstLine="480"/>
        <w:rPr>
          <w:rFonts w:hAnsi="Times New Roman" w:eastAsia="宋体"/>
        </w:rPr>
      </w:pPr>
      <w:r>
        <w:rPr>
          <w:rFonts w:hAnsi="Times New Roman" w:eastAsia="宋体"/>
        </w:rPr>
        <w:t>c为溶质浓度，量纲：ML</w:t>
      </w:r>
      <w:r>
        <w:rPr>
          <w:rFonts w:hAnsi="Times New Roman" w:eastAsia="宋体"/>
          <w:vertAlign w:val="superscript"/>
        </w:rPr>
        <w:t>-3</w:t>
      </w:r>
      <w:r>
        <w:rPr>
          <w:rFonts w:hAnsi="Times New Roman" w:eastAsia="宋体"/>
        </w:rPr>
        <w:t>；</w:t>
      </w:r>
    </w:p>
    <w:p>
      <w:pPr>
        <w:spacing w:line="360" w:lineRule="auto"/>
        <w:ind w:firstLine="480"/>
        <w:rPr>
          <w:rFonts w:hAnsi="Times New Roman" w:eastAsia="宋体"/>
        </w:rPr>
      </w:pPr>
      <w:r>
        <w:rPr>
          <w:rFonts w:hAnsi="Times New Roman" w:eastAsia="宋体"/>
        </w:rPr>
        <w:t>Ω为溶质渗流的区域，量纲：L</w:t>
      </w:r>
      <w:r>
        <w:rPr>
          <w:rFonts w:hAnsi="Times New Roman" w:eastAsia="宋体"/>
          <w:vertAlign w:val="superscript"/>
        </w:rPr>
        <w:t>2</w:t>
      </w:r>
      <w:r>
        <w:rPr>
          <w:rFonts w:hAnsi="Times New Roman" w:eastAsia="宋体"/>
        </w:rPr>
        <w:t>；</w:t>
      </w:r>
    </w:p>
    <w:p>
      <w:pPr>
        <w:spacing w:line="360" w:lineRule="auto"/>
        <w:ind w:firstLine="480"/>
        <w:rPr>
          <w:rFonts w:hAnsi="Times New Roman" w:eastAsia="宋体"/>
        </w:rPr>
      </w:pPr>
      <w:r>
        <w:rPr>
          <w:rFonts w:hAnsi="Times New Roman" w:eastAsia="宋体"/>
        </w:rPr>
        <w:t>c</w:t>
      </w:r>
      <w:r>
        <w:rPr>
          <w:rFonts w:hAnsi="Times New Roman" w:eastAsia="宋体"/>
          <w:vertAlign w:val="subscript"/>
        </w:rPr>
        <w:t>0</w:t>
      </w:r>
      <w:r>
        <w:rPr>
          <w:rFonts w:hAnsi="Times New Roman" w:eastAsia="宋体"/>
        </w:rPr>
        <w:t>为初始浓度，量纲：ML</w:t>
      </w:r>
      <w:r>
        <w:rPr>
          <w:rFonts w:hAnsi="Times New Roman" w:eastAsia="宋体"/>
          <w:vertAlign w:val="superscript"/>
        </w:rPr>
        <w:t>-3</w:t>
      </w:r>
      <w:r>
        <w:rPr>
          <w:rFonts w:hAnsi="Times New Roman" w:eastAsia="宋体"/>
        </w:rPr>
        <w:t>。</w:t>
      </w:r>
    </w:p>
    <w:p>
      <w:pPr>
        <w:pStyle w:val="63"/>
        <w:spacing w:line="360" w:lineRule="auto"/>
        <w:ind w:firstLine="482"/>
        <w:rPr>
          <w:rFonts w:hAnsi="Times New Roman" w:eastAsia="宋体"/>
          <w:b/>
        </w:rPr>
      </w:pPr>
      <w:r>
        <w:rPr>
          <w:rFonts w:hAnsi="Times New Roman" w:eastAsia="宋体"/>
          <w:b/>
        </w:rPr>
        <w:t>二、模型参数</w:t>
      </w:r>
    </w:p>
    <w:p>
      <w:pPr>
        <w:spacing w:line="360" w:lineRule="auto"/>
        <w:ind w:firstLine="480"/>
        <w:rPr>
          <w:rFonts w:hAnsi="Times New Roman" w:eastAsia="宋体"/>
          <w:szCs w:val="22"/>
        </w:rPr>
      </w:pPr>
      <w:r>
        <w:rPr>
          <w:rFonts w:hAnsi="Times New Roman" w:eastAsia="宋体"/>
          <w:szCs w:val="22"/>
        </w:rPr>
        <w:t>弥散度是研究污染物在土壤及地下水中迁移转化规律的最重要参数之一，弥散系数D是反映渗流系统弥散特征的一个综合参数，忽略分子扩散时，它是介质弥散度仅和孔隙流速V的函数。在地下水溶质运移方程中，表征含水层介质弥散特征的参数是水动力弥散系数，它可表示为：</w:t>
      </w:r>
    </w:p>
    <w:p>
      <w:pPr>
        <w:spacing w:line="360" w:lineRule="auto"/>
        <w:ind w:firstLine="480"/>
        <w:rPr>
          <w:rFonts w:hAnsi="Times New Roman" w:eastAsia="宋体"/>
          <w:szCs w:val="22"/>
        </w:rPr>
      </w:pPr>
      <m:oMathPara>
        <m:oMath>
          <m:sSub>
            <m:sSubPr>
              <m:ctrlPr>
                <w:rPr>
                  <w:rFonts w:ascii="Cambria Math" w:hAnsi="Cambria Math" w:eastAsia="宋体"/>
                  <w:szCs w:val="22"/>
                </w:rPr>
              </m:ctrlPr>
            </m:sSubPr>
            <m:e>
              <m:r>
                <m:rPr>
                  <m:sty m:val="p"/>
                </m:rPr>
                <w:rPr>
                  <w:rFonts w:ascii="Cambria Math" w:hAnsi="Cambria Math" w:eastAsia="宋体"/>
                  <w:szCs w:val="22"/>
                </w:rPr>
                <m:t>D</m:t>
              </m:r>
              <m:ctrlPr>
                <w:rPr>
                  <w:rFonts w:ascii="Cambria Math" w:hAnsi="Cambria Math" w:eastAsia="宋体"/>
                </w:rPr>
              </m:ctrlPr>
            </m:e>
            <m:sub>
              <m:r>
                <m:rPr/>
                <w:rPr>
                  <w:rFonts w:ascii="Cambria Math" w:hAnsi="Cambria Math" w:eastAsia="宋体"/>
                  <w:szCs w:val="22"/>
                </w:rPr>
                <m:t>ij</m:t>
              </m:r>
              <m:ctrlPr>
                <w:rPr>
                  <w:rFonts w:ascii="Cambria Math" w:hAnsi="Cambria Math" w:eastAsia="宋体"/>
                </w:rPr>
              </m:ctrlPr>
            </m:sub>
          </m:sSub>
          <m:r>
            <m:rPr/>
            <w:rPr>
              <w:rFonts w:ascii="Cambria Math" w:hAnsi="Cambria Math" w:eastAsia="宋体"/>
              <w:szCs w:val="22"/>
            </w:rPr>
            <m:t>=</m:t>
          </m:r>
          <m:sSub>
            <m:sSubPr>
              <m:ctrlPr>
                <w:rPr>
                  <w:rFonts w:ascii="Cambria Math" w:hAnsi="Cambria Math" w:eastAsia="宋体"/>
                  <w:i/>
                  <w:szCs w:val="22"/>
                </w:rPr>
              </m:ctrlPr>
            </m:sSubPr>
            <m:e>
              <m:r>
                <m:rPr/>
                <w:rPr>
                  <w:rFonts w:ascii="Cambria Math" w:hAnsi="Cambria Math" w:eastAsia="宋体"/>
                  <w:szCs w:val="22"/>
                </w:rPr>
                <m:t>α</m:t>
              </m:r>
              <m:ctrlPr>
                <w:rPr>
                  <w:rFonts w:ascii="Cambria Math" w:hAnsi="Cambria Math" w:eastAsia="宋体"/>
                </w:rPr>
              </m:ctrlPr>
            </m:e>
            <m:sub>
              <m:r>
                <m:rPr/>
                <w:rPr>
                  <w:rFonts w:ascii="Cambria Math" w:hAnsi="Cambria Math" w:eastAsia="宋体"/>
                  <w:szCs w:val="22"/>
                </w:rPr>
                <m:t>T</m:t>
              </m:r>
              <m:ctrlPr>
                <w:rPr>
                  <w:rFonts w:ascii="Cambria Math" w:hAnsi="Cambria Math" w:eastAsia="宋体"/>
                </w:rPr>
              </m:ctrlPr>
            </m:sub>
          </m:sSub>
          <m:r>
            <m:rPr/>
            <w:rPr>
              <w:rFonts w:ascii="Cambria Math" w:hAnsi="Cambria Math" w:eastAsia="宋体"/>
              <w:szCs w:val="22"/>
            </w:rPr>
            <m:t>V</m:t>
          </m:r>
          <m:sSub>
            <m:sSubPr>
              <m:ctrlPr>
                <w:rPr>
                  <w:rFonts w:ascii="Cambria Math" w:hAnsi="Cambria Math" w:eastAsia="宋体"/>
                  <w:i/>
                  <w:szCs w:val="22"/>
                </w:rPr>
              </m:ctrlPr>
            </m:sSubPr>
            <m:e>
              <m:r>
                <m:rPr/>
                <w:rPr>
                  <w:rFonts w:ascii="Cambria Math" w:hAnsi="Cambria Math" w:eastAsia="宋体"/>
                  <w:szCs w:val="22"/>
                </w:rPr>
                <m:t>δ</m:t>
              </m:r>
              <m:ctrlPr>
                <w:rPr>
                  <w:rFonts w:ascii="Cambria Math" w:hAnsi="Cambria Math" w:eastAsia="宋体"/>
                </w:rPr>
              </m:ctrlPr>
            </m:e>
            <m:sub>
              <m:r>
                <m:rPr/>
                <w:rPr>
                  <w:rFonts w:ascii="Cambria Math" w:hAnsi="Cambria Math" w:eastAsia="宋体"/>
                  <w:szCs w:val="22"/>
                </w:rPr>
                <m:t>ij</m:t>
              </m:r>
              <m:ctrlPr>
                <w:rPr>
                  <w:rFonts w:ascii="Cambria Math" w:hAnsi="Cambria Math" w:eastAsia="宋体"/>
                </w:rPr>
              </m:ctrlPr>
            </m:sub>
          </m:sSub>
          <m:r>
            <m:rPr/>
            <w:rPr>
              <w:rFonts w:ascii="Cambria Math" w:hAnsi="Cambria Math" w:eastAsia="宋体"/>
              <w:szCs w:val="22"/>
            </w:rPr>
            <m:t>+</m:t>
          </m:r>
          <m:d>
            <m:dPr>
              <m:ctrlPr>
                <w:rPr>
                  <w:rFonts w:ascii="Cambria Math" w:hAnsi="Cambria Math" w:eastAsia="宋体"/>
                  <w:i/>
                  <w:szCs w:val="22"/>
                </w:rPr>
              </m:ctrlPr>
            </m:dPr>
            <m:e>
              <m:sSub>
                <m:sSubPr>
                  <m:ctrlPr>
                    <w:rPr>
                      <w:rFonts w:ascii="Cambria Math" w:hAnsi="Cambria Math" w:eastAsia="宋体"/>
                      <w:i/>
                      <w:szCs w:val="22"/>
                    </w:rPr>
                  </m:ctrlPr>
                </m:sSubPr>
                <m:e>
                  <m:r>
                    <m:rPr/>
                    <w:rPr>
                      <w:rFonts w:ascii="Cambria Math" w:hAnsi="Cambria Math" w:eastAsia="宋体"/>
                      <w:szCs w:val="22"/>
                    </w:rPr>
                    <m:t>α</m:t>
                  </m:r>
                  <m:ctrlPr>
                    <w:rPr>
                      <w:rFonts w:ascii="Cambria Math" w:hAnsi="Cambria Math" w:eastAsia="宋体"/>
                    </w:rPr>
                  </m:ctrlPr>
                </m:e>
                <m:sub>
                  <m:r>
                    <m:rPr/>
                    <w:rPr>
                      <w:rFonts w:ascii="Cambria Math" w:hAnsi="Cambria Math" w:eastAsia="宋体"/>
                      <w:szCs w:val="22"/>
                    </w:rPr>
                    <m:t>L</m:t>
                  </m:r>
                  <m:ctrlPr>
                    <w:rPr>
                      <w:rFonts w:ascii="Cambria Math" w:hAnsi="Cambria Math" w:eastAsia="宋体"/>
                    </w:rPr>
                  </m:ctrlPr>
                </m:sub>
              </m:sSub>
              <m:r>
                <m:rPr/>
                <w:rPr>
                  <w:rFonts w:ascii="Cambria Math" w:hAnsi="Cambria Math" w:eastAsia="宋体"/>
                  <w:szCs w:val="22"/>
                </w:rPr>
                <m:t>−</m:t>
              </m:r>
              <m:sSub>
                <m:sSubPr>
                  <m:ctrlPr>
                    <w:rPr>
                      <w:rFonts w:ascii="Cambria Math" w:hAnsi="Cambria Math" w:eastAsia="宋体"/>
                      <w:i/>
                      <w:szCs w:val="22"/>
                    </w:rPr>
                  </m:ctrlPr>
                </m:sSubPr>
                <m:e>
                  <m:r>
                    <m:rPr/>
                    <w:rPr>
                      <w:rFonts w:ascii="Cambria Math" w:hAnsi="Cambria Math" w:eastAsia="宋体"/>
                      <w:szCs w:val="22"/>
                    </w:rPr>
                    <m:t>α</m:t>
                  </m:r>
                  <m:ctrlPr>
                    <w:rPr>
                      <w:rFonts w:ascii="Cambria Math" w:hAnsi="Cambria Math" w:eastAsia="宋体"/>
                    </w:rPr>
                  </m:ctrlPr>
                </m:e>
                <m:sub>
                  <m:r>
                    <m:rPr/>
                    <w:rPr>
                      <w:rFonts w:ascii="Cambria Math" w:hAnsi="Cambria Math" w:eastAsia="宋体"/>
                      <w:szCs w:val="22"/>
                    </w:rPr>
                    <m:t>T</m:t>
                  </m:r>
                  <m:ctrlPr>
                    <w:rPr>
                      <w:rFonts w:ascii="Cambria Math" w:hAnsi="Cambria Math" w:eastAsia="宋体"/>
                    </w:rPr>
                  </m:ctrlPr>
                </m:sub>
              </m:sSub>
              <m:ctrlPr>
                <w:rPr>
                  <w:rFonts w:ascii="Cambria Math" w:hAnsi="Cambria Math" w:eastAsia="宋体"/>
                  <w:i/>
                  <w:szCs w:val="22"/>
                </w:rPr>
              </m:ctrlPr>
            </m:e>
          </m:d>
          <m:f>
            <m:fPr>
              <m:ctrlPr>
                <w:rPr>
                  <w:rFonts w:ascii="Cambria Math" w:hAnsi="Cambria Math" w:eastAsia="宋体"/>
                  <w:i/>
                  <w:szCs w:val="22"/>
                </w:rPr>
              </m:ctrlPr>
            </m:fPr>
            <m:num>
              <m:sSub>
                <m:sSubPr>
                  <m:ctrlPr>
                    <w:rPr>
                      <w:rFonts w:ascii="Cambria Math" w:hAnsi="Cambria Math" w:eastAsia="宋体"/>
                      <w:i/>
                      <w:szCs w:val="22"/>
                    </w:rPr>
                  </m:ctrlPr>
                </m:sSubPr>
                <m:e>
                  <m:r>
                    <m:rPr/>
                    <w:rPr>
                      <w:rFonts w:ascii="Cambria Math" w:hAnsi="Cambria Math" w:eastAsia="宋体"/>
                      <w:szCs w:val="22"/>
                    </w:rPr>
                    <m:t>V</m:t>
                  </m:r>
                  <m:ctrlPr>
                    <w:rPr>
                      <w:rFonts w:ascii="Cambria Math" w:hAnsi="Cambria Math" w:eastAsia="宋体"/>
                    </w:rPr>
                  </m:ctrlPr>
                </m:e>
                <m:sub>
                  <m:r>
                    <m:rPr/>
                    <w:rPr>
                      <w:rFonts w:ascii="Cambria Math" w:hAnsi="Cambria Math" w:eastAsia="宋体"/>
                      <w:szCs w:val="22"/>
                    </w:rPr>
                    <m:t xml:space="preserve">i </m:t>
                  </m:r>
                  <m:ctrlPr>
                    <w:rPr>
                      <w:rFonts w:ascii="Cambria Math" w:hAnsi="Cambria Math" w:eastAsia="宋体"/>
                    </w:rPr>
                  </m:ctrlPr>
                </m:sub>
              </m:sSub>
              <m:sSub>
                <m:sSubPr>
                  <m:ctrlPr>
                    <w:rPr>
                      <w:rFonts w:ascii="Cambria Math" w:hAnsi="Cambria Math" w:eastAsia="宋体"/>
                      <w:i/>
                      <w:szCs w:val="22"/>
                    </w:rPr>
                  </m:ctrlPr>
                </m:sSubPr>
                <m:e>
                  <m:r>
                    <m:rPr/>
                    <w:rPr>
                      <w:rFonts w:ascii="Cambria Math" w:hAnsi="Cambria Math" w:eastAsia="宋体"/>
                      <w:szCs w:val="22"/>
                    </w:rPr>
                    <m:t>V</m:t>
                  </m:r>
                  <m:ctrlPr>
                    <w:rPr>
                      <w:rFonts w:ascii="Cambria Math" w:hAnsi="Cambria Math" w:eastAsia="宋体"/>
                    </w:rPr>
                  </m:ctrlPr>
                </m:e>
                <m:sub>
                  <m:r>
                    <m:rPr/>
                    <w:rPr>
                      <w:rFonts w:ascii="Cambria Math" w:hAnsi="Cambria Math" w:eastAsia="宋体"/>
                      <w:szCs w:val="22"/>
                    </w:rPr>
                    <m:t>j</m:t>
                  </m:r>
                  <m:ctrlPr>
                    <w:rPr>
                      <w:rFonts w:ascii="Cambria Math" w:hAnsi="Cambria Math" w:eastAsia="宋体"/>
                    </w:rPr>
                  </m:ctrlPr>
                </m:sub>
              </m:sSub>
              <m:ctrlPr>
                <w:rPr>
                  <w:rFonts w:ascii="Cambria Math" w:hAnsi="Cambria Math" w:eastAsia="宋体"/>
                  <w:i/>
                  <w:szCs w:val="22"/>
                </w:rPr>
              </m:ctrlPr>
            </m:num>
            <m:den>
              <m:r>
                <m:rPr/>
                <w:rPr>
                  <w:rFonts w:ascii="Cambria Math" w:hAnsi="Cambria Math" w:eastAsia="宋体"/>
                  <w:szCs w:val="22"/>
                </w:rPr>
                <m:t>V</m:t>
              </m:r>
              <m:ctrlPr>
                <w:rPr>
                  <w:rFonts w:ascii="Cambria Math" w:hAnsi="Cambria Math" w:eastAsia="宋体"/>
                  <w:i/>
                  <w:szCs w:val="22"/>
                </w:rPr>
              </m:ctrlPr>
            </m:den>
          </m:f>
        </m:oMath>
      </m:oMathPara>
    </w:p>
    <w:p>
      <w:pPr>
        <w:spacing w:line="360" w:lineRule="auto"/>
        <w:ind w:firstLine="480"/>
        <w:rPr>
          <w:rFonts w:hAnsi="Times New Roman" w:eastAsia="宋体"/>
          <w:szCs w:val="22"/>
        </w:rPr>
      </w:pPr>
      <w:r>
        <w:rPr>
          <w:rFonts w:hAnsi="Times New Roman" w:eastAsia="宋体"/>
          <w:szCs w:val="22"/>
        </w:rPr>
        <w:t>式中：</w:t>
      </w:r>
      <w:r>
        <w:rPr>
          <w:rFonts w:hAnsi="Times New Roman" w:eastAsia="宋体"/>
          <w:szCs w:val="22"/>
        </w:rPr>
        <w:fldChar w:fldCharType="begin"/>
      </w:r>
      <w:r>
        <w:rPr>
          <w:rFonts w:hAnsi="Times New Roman" w:eastAsia="宋体"/>
          <w:szCs w:val="22"/>
        </w:rPr>
        <w:instrText xml:space="preserve"> QUOTE </w:instrText>
      </w:r>
      <w:r>
        <w:rPr>
          <w:rFonts w:hAnsi="Times New Roman" w:eastAsia="宋体"/>
          <w:position w:val="-15"/>
        </w:rPr>
        <w:pict>
          <v:shape id="_x0000_i1050" o:spt="75" type="#_x0000_t75" style="height:23.35pt;width:30.65pt;" filled="f" o:preferrelative="t" stroked="f" coordsize="21600,21600" equationxml="&lt;?xml version=&quot;1.0&quot; encoding=&quot;UTF-8&quot; standalone=&quot;yes&quot;?&gt;&#10;&#10;&lt;?mso-application progid=&quot;Word.Document&quot;?&gt;&#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isplayBackgroundShape/&gt;&lt;w:doNotEmbedSystemFonts/&gt;&lt;w:stylePaneFormatFilter w:val=&quot;3F21&quot;/&gt;&lt;w:defaultTabStop w:val=&quot;420&quot;/&gt;&lt;w:drawingGridHorizontalSpacing w:val=&quot;120&quot;/&gt;&lt;w:drawingGridVerticalSpacing w:val=&quot;163&quot;/&gt;&lt;w:displayHorizontalDrawingGridEvery w:val=&quot;2&quot;/&gt;&lt;w:displayVerticalDrawingGridEvery w:val=&quot;2&quot;/&gt;&lt;w:characterSpacingControl w:val=&quot;CompressPunctuation&quot;/&gt;&lt;w:webPageEncoding w:val=&quot;utf-8&quot;/&gt;&lt;w:optimizeForBrowser/&gt;&lt;w:allowPNG/&gt;&lt;w:pixelsPerInch w:val=&quot;130&quot;/&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dontGrowAutofit/&gt;&lt;w:useFELayout/&gt;&lt;/w:compat&gt;&lt;wsp:rsids&gt;&lt;wsp:rsidRoot wsp:val=&quot;7D9517B4&quot;/&gt;&lt;wsp:rsid wsp:val=&quot;0000114D&quot;/&gt;&lt;wsp:rsid wsp:val=&quot;00007108&quot;/&gt;&lt;wsp:rsid wsp:val=&quot;000146A3&quot;/&gt;&lt;wsp:rsid wsp:val=&quot;00014EBE&quot;/&gt;&lt;wsp:rsid wsp:val=&quot;00017210&quot;/&gt;&lt;wsp:rsid wsp:val=&quot;000178AC&quot;/&gt;&lt;wsp:rsid wsp:val=&quot;000360FB&quot;/&gt;&lt;wsp:rsid wsp:val=&quot;00047FF1&quot;/&gt;&lt;wsp:rsid wsp:val=&quot;00060D24&quot;/&gt;&lt;wsp:rsid wsp:val=&quot;00062C15&quot;/&gt;&lt;wsp:rsid wsp:val=&quot;0006361D&quot;/&gt;&lt;wsp:rsid wsp:val=&quot;000869EE&quot;/&gt;&lt;wsp:rsid wsp:val=&quot;00091FAE&quot;/&gt;&lt;wsp:rsid wsp:val=&quot;00094098&quot;/&gt;&lt;wsp:rsid wsp:val=&quot;00095883&quot;/&gt;&lt;wsp:rsid wsp:val=&quot;000A7D8E&quot;/&gt;&lt;wsp:rsid wsp:val=&quot;000B1E5A&quot;/&gt;&lt;wsp:rsid wsp:val=&quot;000B571C&quot;/&gt;&lt;wsp:rsid wsp:val=&quot;000C133E&quot;/&gt;&lt;wsp:rsid wsp:val=&quot;000C77B8&quot;/&gt;&lt;wsp:rsid wsp:val=&quot;000C7B6B&quot;/&gt;&lt;wsp:rsid wsp:val=&quot;000D039E&quot;/&gt;&lt;wsp:rsid wsp:val=&quot;000D0934&quot;/&gt;&lt;wsp:rsid wsp:val=&quot;000D398B&quot;/&gt;&lt;wsp:rsid wsp:val=&quot;000E44A4&quot;/&gt;&lt;wsp:rsid wsp:val=&quot;000E66BF&quot;/&gt;&lt;wsp:rsid wsp:val=&quot;00103817&quot;/&gt;&lt;wsp:rsid wsp:val=&quot;001056B0&quot;/&gt;&lt;wsp:rsid wsp:val=&quot;001120A7&quot;/&gt;&lt;wsp:rsid wsp:val=&quot;001126E0&quot;/&gt;&lt;wsp:rsid wsp:val=&quot;00114696&quot;/&gt;&lt;wsp:rsid wsp:val=&quot;00125169&quot;/&gt;&lt;wsp:rsid wsp:val=&quot;00126372&quot;/&gt;&lt;wsp:rsid wsp:val=&quot;0013102B&quot;/&gt;&lt;wsp:rsid wsp:val=&quot;0013539F&quot;/&gt;&lt;wsp:rsid wsp:val=&quot;001355C2&quot;/&gt;&lt;wsp:rsid wsp:val=&quot;00135DEF&quot;/&gt;&lt;wsp:rsid wsp:val=&quot;00143480&quot;/&gt;&lt;wsp:rsid wsp:val=&quot;0015344F&quot;/&gt;&lt;wsp:rsid wsp:val=&quot;00155D8A&quot;/&gt;&lt;wsp:rsid wsp:val=&quot;00160A6A&quot;/&gt;&lt;wsp:rsid wsp:val=&quot;00162FFF&quot;/&gt;&lt;wsp:rsid wsp:val=&quot;00165249&quot;/&gt;&lt;wsp:rsid wsp:val=&quot;00170177&quot;/&gt;&lt;wsp:rsid wsp:val=&quot;00172AC4&quot;/&gt;&lt;wsp:rsid wsp:val=&quot;001778D5&quot;/&gt;&lt;wsp:rsid wsp:val=&quot;001A6B3C&quot;/&gt;&lt;wsp:rsid wsp:val=&quot;001B1F60&quot;/&gt;&lt;wsp:rsid wsp:val=&quot;001C0BFC&quot;/&gt;&lt;wsp:rsid wsp:val=&quot;001C1861&quot;/&gt;&lt;wsp:rsid wsp:val=&quot;001D0163&quot;/&gt;&lt;wsp:rsid wsp:val=&quot;001D0419&quot;/&gt;&lt;wsp:rsid wsp:val=&quot;001D73D9&quot;/&gt;&lt;wsp:rsid wsp:val=&quot;001E218F&quot;/&gt;&lt;wsp:rsid wsp:val=&quot;001E4103&quot;/&gt;&lt;wsp:rsid wsp:val=&quot;001E4108&quot;/&gt;&lt;wsp:rsid wsp:val=&quot;001E63DF&quot;/&gt;&lt;wsp:rsid wsp:val=&quot;001E6FBC&quot;/&gt;&lt;wsp:rsid wsp:val=&quot;001F193A&quot;/&gt;&lt;wsp:rsid wsp:val=&quot;001F2D6B&quot;/&gt;&lt;wsp:rsid wsp:val=&quot;001F5FEE&quot;/&gt;&lt;wsp:rsid wsp:val=&quot;0020071F&quot;/&gt;&lt;wsp:rsid wsp:val=&quot;00204491&quot;/&gt;&lt;wsp:rsid wsp:val=&quot;00206010&quot;/&gt;&lt;wsp:rsid wsp:val=&quot;00207EA6&quot;/&gt;&lt;wsp:rsid wsp:val=&quot;00213865&quot;/&gt;&lt;wsp:rsid wsp:val=&quot;00214AF5&quot;/&gt;&lt;wsp:rsid wsp:val=&quot;00230E1A&quot;/&gt;&lt;wsp:rsid wsp:val=&quot;0023200A&quot;/&gt;&lt;wsp:rsid wsp:val=&quot;0023413E&quot;/&gt;&lt;wsp:rsid wsp:val=&quot;00235209&quot;/&gt;&lt;wsp:rsid wsp:val=&quot;00242E6F&quot;/&gt;&lt;wsp:rsid wsp:val=&quot;00243529&quot;/&gt;&lt;wsp:rsid wsp:val=&quot;00245458&quot;/&gt;&lt;wsp:rsid wsp:val=&quot;00245AFF&quot;/&gt;&lt;wsp:rsid wsp:val=&quot;00246401&quot;/&gt;&lt;wsp:rsid wsp:val=&quot;002466BA&quot;/&gt;&lt;wsp:rsid wsp:val=&quot;002524D2&quot;/&gt;&lt;wsp:rsid wsp:val=&quot;00253372&quot;/&gt;&lt;wsp:rsid wsp:val=&quot;00253899&quot;/&gt;&lt;wsp:rsid wsp:val=&quot;0026326E&quot;/&gt;&lt;wsp:rsid wsp:val=&quot;00267F1C&quot;/&gt;&lt;wsp:rsid wsp:val=&quot;00270BDB&quot;/&gt;&lt;wsp:rsid wsp:val=&quot;00284146&quot;/&gt;&lt;wsp:rsid wsp:val=&quot;002852E0&quot;/&gt;&lt;wsp:rsid wsp:val=&quot;00291BD4&quot;/&gt;&lt;wsp:rsid wsp:val=&quot;00292DA2&quot;/&gt;&lt;wsp:rsid wsp:val=&quot;002979DD&quot;/&gt;&lt;wsp:rsid wsp:val=&quot;002A0447&quot;/&gt;&lt;wsp:rsid wsp:val=&quot;002B0620&quot;/&gt;&lt;wsp:rsid wsp:val=&quot;002B1FEE&quot;/&gt;&lt;wsp:rsid wsp:val=&quot;002B4707&quot;/&gt;&lt;wsp:rsid wsp:val=&quot;002C1213&quot;/&gt;&lt;wsp:rsid wsp:val=&quot;002C3FAA&quot;/&gt;&lt;wsp:rsid wsp:val=&quot;002C4F61&quot;/&gt;&lt;wsp:rsid wsp:val=&quot;002D2289&quot;/&gt;&lt;wsp:rsid wsp:val=&quot;002F34E4&quot;/&gt;&lt;wsp:rsid wsp:val=&quot;002F3AD6&quot;/&gt;&lt;wsp:rsid wsp:val=&quot;002F3EBE&quot;/&gt;&lt;wsp:rsid wsp:val=&quot;00301003&quot;/&gt;&lt;wsp:rsid wsp:val=&quot;003019E7&quot;/&gt;&lt;wsp:rsid wsp:val=&quot;00301E05&quot;/&gt;&lt;wsp:rsid wsp:val=&quot;0030597B&quot;/&gt;&lt;wsp:rsid wsp:val=&quot;0030778E&quot;/&gt;&lt;wsp:rsid wsp:val=&quot;00321E83&quot;/&gt;&lt;wsp:rsid wsp:val=&quot;0032418A&quot;/&gt;&lt;wsp:rsid wsp:val=&quot;00325645&quot;/&gt;&lt;wsp:rsid wsp:val=&quot;00332585&quot;/&gt;&lt;wsp:rsid wsp:val=&quot;0033743C&quot;/&gt;&lt;wsp:rsid wsp:val=&quot;00340E45&quot;/&gt;&lt;wsp:rsid wsp:val=&quot;003414ED&quot;/&gt;&lt;wsp:rsid wsp:val=&quot;00345A0C&quot;/&gt;&lt;wsp:rsid wsp:val=&quot;0035102F&quot;/&gt;&lt;wsp:rsid wsp:val=&quot;00351841&quot;/&gt;&lt;wsp:rsid wsp:val=&quot;00353EBA&quot;/&gt;&lt;wsp:rsid wsp:val=&quot;00363EA1&quot;/&gt;&lt;wsp:rsid wsp:val=&quot;00365AD6&quot;/&gt;&lt;wsp:rsid wsp:val=&quot;00381286&quot;/&gt;&lt;wsp:rsid wsp:val=&quot;0039099C&quot;/&gt;&lt;wsp:rsid wsp:val=&quot;00391720&quot;/&gt;&lt;wsp:rsid wsp:val=&quot;003A0408&quot;/&gt;&lt;wsp:rsid wsp:val=&quot;003A30F7&quot;/&gt;&lt;wsp:rsid wsp:val=&quot;003A3B35&quot;/&gt;&lt;wsp:rsid wsp:val=&quot;003A71CB&quot;/&gt;&lt;wsp:rsid wsp:val=&quot;003B42BB&quot;/&gt;&lt;wsp:rsid wsp:val=&quot;003B64F4&quot;/&gt;&lt;wsp:rsid wsp:val=&quot;003C44E6&quot;/&gt;&lt;wsp:rsid wsp:val=&quot;003C4C9B&quot;/&gt;&lt;wsp:rsid wsp:val=&quot;003C4E8C&quot;/&gt;&lt;wsp:rsid wsp:val=&quot;003C7ED0&quot;/&gt;&lt;wsp:rsid wsp:val=&quot;003D3771&quot;/&gt;&lt;wsp:rsid wsp:val=&quot;003E60E8&quot;/&gt;&lt;wsp:rsid wsp:val=&quot;003F0030&quot;/&gt;&lt;wsp:rsid wsp:val=&quot;003F2939&quot;/&gt;&lt;wsp:rsid wsp:val=&quot;003F349B&quot;/&gt;&lt;wsp:rsid wsp:val=&quot;00401696&quot;/&gt;&lt;wsp:rsid wsp:val=&quot;0040318D&quot;/&gt;&lt;wsp:rsid wsp:val=&quot;00420744&quot;/&gt;&lt;wsp:rsid wsp:val=&quot;0043401E&quot;/&gt;&lt;wsp:rsid wsp:val=&quot;004347FA&quot;/&gt;&lt;wsp:rsid wsp:val=&quot;004354E2&quot;/&gt;&lt;wsp:rsid wsp:val=&quot;0044381E&quot;/&gt;&lt;wsp:rsid wsp:val=&quot;00450EFB&quot;/&gt;&lt;wsp:rsid wsp:val=&quot;0045273C&quot;/&gt;&lt;wsp:rsid wsp:val=&quot;00452ED2&quot;/&gt;&lt;wsp:rsid wsp:val=&quot;004650D6&quot;/&gt;&lt;wsp:rsid wsp:val=&quot;0046677F&quot;/&gt;&lt;wsp:rsid wsp:val=&quot;00472477&quot;/&gt;&lt;wsp:rsid wsp:val=&quot;00472C21&quot;/&gt;&lt;wsp:rsid wsp:val=&quot;00474B26&quot;/&gt;&lt;wsp:rsid wsp:val=&quot;00485017&quot;/&gt;&lt;wsp:rsid wsp:val=&quot;004B0296&quot;/&gt;&lt;wsp:rsid wsp:val=&quot;004B21A8&quot;/&gt;&lt;wsp:rsid wsp:val=&quot;004B557E&quot;/&gt;&lt;wsp:rsid wsp:val=&quot;004C0272&quot;/&gt;&lt;wsp:rsid wsp:val=&quot;004C631D&quot;/&gt;&lt;wsp:rsid wsp:val=&quot;004D69CB&quot;/&gt;&lt;wsp:rsid wsp:val=&quot;004E236A&quot;/&gt;&lt;wsp:rsid wsp:val=&quot;004E755E&quot;/&gt;&lt;wsp:rsid wsp:val=&quot;004F2FF7&quot;/&gt;&lt;wsp:rsid wsp:val=&quot;00500164&quot;/&gt;&lt;wsp:rsid wsp:val=&quot;0050063B&quot;/&gt;&lt;wsp:rsid wsp:val=&quot;00503F52&quot;/&gt;&lt;wsp:rsid wsp:val=&quot;0052411F&quot;/&gt;&lt;wsp:rsid wsp:val=&quot;00530C34&quot;/&gt;&lt;wsp:rsid wsp:val=&quot;00531798&quot;/&gt;&lt;wsp:rsid wsp:val=&quot;00536E0D&quot;/&gt;&lt;wsp:rsid wsp:val=&quot;005376D8&quot;/&gt;&lt;wsp:rsid wsp:val=&quot;00541AA6&quot;/&gt;&lt;wsp:rsid wsp:val=&quot;00545990&quot;/&gt;&lt;wsp:rsid wsp:val=&quot;005562DB&quot;/&gt;&lt;wsp:rsid wsp:val=&quot;00560211&quot;/&gt;&lt;wsp:rsid wsp:val=&quot;00560B30&quot;/&gt;&lt;wsp:rsid wsp:val=&quot;005644FD&quot;/&gt;&lt;wsp:rsid wsp:val=&quot;00571B37&quot;/&gt;&lt;wsp:rsid wsp:val=&quot;005907C3&quot;/&gt;&lt;wsp:rsid wsp:val=&quot;00590E9D&quot;/&gt;&lt;wsp:rsid wsp:val=&quot;005952AA&quot;/&gt;&lt;wsp:rsid wsp:val=&quot;00595777&quot;/&gt;&lt;wsp:rsid wsp:val=&quot;005A18DC&quot;/&gt;&lt;wsp:rsid wsp:val=&quot;005B4AF2&quot;/&gt;&lt;wsp:rsid wsp:val=&quot;005B692D&quot;/&gt;&lt;wsp:rsid wsp:val=&quot;005C1A86&quot;/&gt;&lt;wsp:rsid wsp:val=&quot;005D331D&quot;/&gt;&lt;wsp:rsid wsp:val=&quot;005F73D9&quot;/&gt;&lt;wsp:rsid wsp:val=&quot;0060439C&quot;/&gt;&lt;wsp:rsid wsp:val=&quot;006062B2&quot;/&gt;&lt;wsp:rsid wsp:val=&quot;00612B81&quot;/&gt;&lt;wsp:rsid wsp:val=&quot;00615D3E&quot;/&gt;&lt;wsp:rsid wsp:val=&quot;00617C1D&quot;/&gt;&lt;wsp:rsid wsp:val=&quot;00625690&quot;/&gt;&lt;wsp:rsid wsp:val=&quot;00626249&quot;/&gt;&lt;wsp:rsid wsp:val=&quot;00635D1F&quot;/&gt;&lt;wsp:rsid wsp:val=&quot;006458A9&quot;/&gt;&lt;wsp:rsid wsp:val=&quot;00647ABD&quot;/&gt;&lt;wsp:rsid wsp:val=&quot;00661231&quot;/&gt;&lt;wsp:rsid wsp:val=&quot;006640AB&quot;/&gt;&lt;wsp:rsid wsp:val=&quot;006709D5&quot;/&gt;&lt;wsp:rsid wsp:val=&quot;00670F3C&quot;/&gt;&lt;wsp:rsid wsp:val=&quot;006766DF&quot;/&gt;&lt;wsp:rsid wsp:val=&quot;00677349&quot;/&gt;&lt;wsp:rsid wsp:val=&quot;0068084A&quot;/&gt;&lt;wsp:rsid wsp:val=&quot;00697F27&quot;/&gt;&lt;wsp:rsid wsp:val=&quot;006A0325&quot;/&gt;&lt;wsp:rsid wsp:val=&quot;006A3163&quot;/&gt;&lt;wsp:rsid wsp:val=&quot;006A62A9&quot;/&gt;&lt;wsp:rsid wsp:val=&quot;006B36BC&quot;/&gt;&lt;wsp:rsid wsp:val=&quot;006B508E&quot;/&gt;&lt;wsp:rsid wsp:val=&quot;006C15B5&quot;/&gt;&lt;wsp:rsid wsp:val=&quot;006C4AA8&quot;/&gt;&lt;wsp:rsid wsp:val=&quot;006D0B09&quot;/&gt;&lt;wsp:rsid wsp:val=&quot;006E01D6&quot;/&gt;&lt;wsp:rsid wsp:val=&quot;006E5247&quot;/&gt;&lt;wsp:rsid wsp:val=&quot;006E5881&quot;/&gt;&lt;wsp:rsid wsp:val=&quot;006F5D40&quot;/&gt;&lt;wsp:rsid wsp:val=&quot;006F5D69&quot;/&gt;&lt;wsp:rsid wsp:val=&quot;006F7A26&quot;/&gt;&lt;wsp:rsid wsp:val=&quot;00702B62&quot;/&gt;&lt;wsp:rsid wsp:val=&quot;00702BE5&quot;/&gt;&lt;wsp:rsid wsp:val=&quot;00714E68&quot;/&gt;&lt;wsp:rsid wsp:val=&quot;007170D8&quot;/&gt;&lt;wsp:rsid wsp:val=&quot;00721385&quot;/&gt;&lt;wsp:rsid wsp:val=&quot;0072705A&quot;/&gt;&lt;wsp:rsid wsp:val=&quot;00741056&quot;/&gt;&lt;wsp:rsid wsp:val=&quot;00745CD1&quot;/&gt;&lt;wsp:rsid wsp:val=&quot;007528DD&quot;/&gt;&lt;wsp:rsid wsp:val=&quot;0076352A&quot;/&gt;&lt;wsp:rsid wsp:val=&quot;00763B1D&quot;/&gt;&lt;wsp:rsid wsp:val=&quot;00774545&quot;/&gt;&lt;wsp:rsid wsp:val=&quot;00781DDF&quot;/&gt;&lt;wsp:rsid wsp:val=&quot;00783A67&quot;/&gt;&lt;wsp:rsid wsp:val=&quot;00796795&quot;/&gt;&lt;wsp:rsid wsp:val=&quot;007A75F3&quot;/&gt;&lt;wsp:rsid wsp:val=&quot;007B2656&quot;/&gt;&lt;wsp:rsid wsp:val=&quot;007B3F79&quot;/&gt;&lt;wsp:rsid wsp:val=&quot;007B6C4C&quot;/&gt;&lt;wsp:rsid wsp:val=&quot;007C3B71&quot;/&gt;&lt;wsp:rsid wsp:val=&quot;007D15B8&quot;/&gt;&lt;wsp:rsid wsp:val=&quot;007D61DE&quot;/&gt;&lt;wsp:rsid wsp:val=&quot;007D7070&quot;/&gt;&lt;wsp:rsid wsp:val=&quot;007F3005&quot;/&gt;&lt;wsp:rsid wsp:val=&quot;007F4D32&quot;/&gt;&lt;wsp:rsid wsp:val=&quot;007F5499&quot;/&gt;&lt;wsp:rsid wsp:val=&quot;007F5932&quot;/&gt;&lt;wsp:rsid wsp:val=&quot;00802116&quot;/&gt;&lt;wsp:rsid wsp:val=&quot;008109AF&quot;/&gt;&lt;wsp:rsid wsp:val=&quot;00823438&quot;/&gt;&lt;wsp:rsid wsp:val=&quot;00823839&quot;/&gt;&lt;wsp:rsid wsp:val=&quot;00836406&quot;/&gt;&lt;wsp:rsid wsp:val=&quot;00837730&quot;/&gt;&lt;wsp:rsid wsp:val=&quot;00841F8A&quot;/&gt;&lt;wsp:rsid wsp:val=&quot;00843531&quot;/&gt;&lt;wsp:rsid wsp:val=&quot;00851114&quot;/&gt;&lt;wsp:rsid wsp:val=&quot;00851F95&quot;/&gt;&lt;wsp:rsid wsp:val=&quot;00861520&quot;/&gt;&lt;wsp:rsid wsp:val=&quot;00870820&quot;/&gt;&lt;wsp:rsid wsp:val=&quot;008723FF&quot;/&gt;&lt;wsp:rsid wsp:val=&quot;00877BBC&quot;/&gt;&lt;wsp:rsid wsp:val=&quot;008821D8&quot;/&gt;&lt;wsp:rsid wsp:val=&quot;00882463&quot;/&gt;&lt;wsp:rsid wsp:val=&quot;00886A62&quot;/&gt;&lt;wsp:rsid wsp:val=&quot;00887E3D&quot;/&gt;&lt;wsp:rsid wsp:val=&quot;008A4075&quot;/&gt;&lt;wsp:rsid wsp:val=&quot;008A5D82&quot;/&gt;&lt;wsp:rsid wsp:val=&quot;008C7AA9&quot;/&gt;&lt;wsp:rsid wsp:val=&quot;008D108C&quot;/&gt;&lt;wsp:rsid wsp:val=&quot;008E48A6&quot;/&gt;&lt;wsp:rsid wsp:val=&quot;008F4578&quot;/&gt;&lt;wsp:rsid wsp:val=&quot;00901C4E&quot;/&gt;&lt;wsp:rsid wsp:val=&quot;00913C39&quot;/&gt;&lt;wsp:rsid wsp:val=&quot;00915934&quot;/&gt;&lt;wsp:rsid wsp:val=&quot;00916CBD&quot;/&gt;&lt;wsp:rsid wsp:val=&quot;00922A5C&quot;/&gt;&lt;wsp:rsid wsp:val=&quot;009233CE&quot;/&gt;&lt;wsp:rsid wsp:val=&quot;00924E8D&quot;/&gt;&lt;wsp:rsid wsp:val=&quot;00934405&quot;/&gt;&lt;wsp:rsid wsp:val=&quot;00934E56&quot;/&gt;&lt;wsp:rsid wsp:val=&quot;00934F54&quot;/&gt;&lt;wsp:rsid wsp:val=&quot;0093740B&quot;/&gt;&lt;wsp:rsid wsp:val=&quot;00940B9C&quot;/&gt;&lt;wsp:rsid wsp:val=&quot;00945126&quot;/&gt;&lt;wsp:rsid wsp:val=&quot;00960FB2&quot;/&gt;&lt;wsp:rsid wsp:val=&quot;0096321F&quot;/&gt;&lt;wsp:rsid wsp:val=&quot;009745E9&quot;/&gt;&lt;wsp:rsid wsp:val=&quot;00974AA4&quot;/&gt;&lt;wsp:rsid wsp:val=&quot;0097618A&quot;/&gt;&lt;wsp:rsid wsp:val=&quot;00976992&quot;/&gt;&lt;wsp:rsid wsp:val=&quot;00982C85&quot;/&gt;&lt;wsp:rsid wsp:val=&quot;00995C50&quot;/&gt;&lt;wsp:rsid wsp:val=&quot;00996477&quot;/&gt;&lt;wsp:rsid wsp:val=&quot;009A26B1&quot;/&gt;&lt;wsp:rsid wsp:val=&quot;009A45F9&quot;/&gt;&lt;wsp:rsid wsp:val=&quot;009A510B&quot;/&gt;&lt;wsp:rsid wsp:val=&quot;009A65A5&quot;/&gt;&lt;wsp:rsid wsp:val=&quot;009C1EF5&quot;/&gt;&lt;wsp:rsid wsp:val=&quot;009D208B&quot;/&gt;&lt;wsp:rsid wsp:val=&quot;009D35A2&quot;/&gt;&lt;wsp:rsid wsp:val=&quot;009F21C2&quot;/&gt;&lt;wsp:rsid wsp:val=&quot;00A02313&quot;/&gt;&lt;wsp:rsid wsp:val=&quot;00A03145&quot;/&gt;&lt;wsp:rsid wsp:val=&quot;00A06E4C&quot;/&gt;&lt;wsp:rsid wsp:val=&quot;00A10D76&quot;/&gt;&lt;wsp:rsid wsp:val=&quot;00A11981&quot;/&gt;&lt;wsp:rsid wsp:val=&quot;00A125F7&quot;/&gt;&lt;wsp:rsid wsp:val=&quot;00A13F5D&quot;/&gt;&lt;wsp:rsid wsp:val=&quot;00A2027C&quot;/&gt;&lt;wsp:rsid wsp:val=&quot;00A210E9&quot;/&gt;&lt;wsp:rsid wsp:val=&quot;00A21437&quot;/&gt;&lt;wsp:rsid wsp:val=&quot;00A22681&quot;/&gt;&lt;wsp:rsid wsp:val=&quot;00A23C3F&quot;/&gt;&lt;wsp:rsid wsp:val=&quot;00A24348&quot;/&gt;&lt;wsp:rsid wsp:val=&quot;00A246F0&quot;/&gt;&lt;wsp:rsid wsp:val=&quot;00A2588C&quot;/&gt;&lt;wsp:rsid wsp:val=&quot;00A27248&quot;/&gt;&lt;wsp:rsid wsp:val=&quot;00A27AEF&quot;/&gt;&lt;wsp:rsid wsp:val=&quot;00A31C18&quot;/&gt;&lt;wsp:rsid wsp:val=&quot;00A3578B&quot;/&gt;&lt;wsp:rsid wsp:val=&quot;00A42617&quot;/&gt;&lt;wsp:rsid wsp:val=&quot;00A56EDD&quot;/&gt;&lt;wsp:rsid wsp:val=&quot;00A6289F&quot;/&gt;&lt;wsp:rsid wsp:val=&quot;00A629CF&quot;/&gt;&lt;wsp:rsid wsp:val=&quot;00A62D5C&quot;/&gt;&lt;wsp:rsid wsp:val=&quot;00A64F8F&quot;/&gt;&lt;wsp:rsid wsp:val=&quot;00A724CF&quot;/&gt;&lt;wsp:rsid wsp:val=&quot;00A848EC&quot;/&gt;&lt;wsp:rsid wsp:val=&quot;00A91F87&quot;/&gt;&lt;wsp:rsid wsp:val=&quot;00A976E7&quot;/&gt;&lt;wsp:rsid wsp:val=&quot;00AA0633&quot;/&gt;&lt;wsp:rsid wsp:val=&quot;00AA5735&quot;/&gt;&lt;wsp:rsid wsp:val=&quot;00AB0768&quot;/&gt;&lt;wsp:rsid wsp:val=&quot;00AB2AB5&quot;/&gt;&lt;wsp:rsid wsp:val=&quot;00AB2C54&quot;/&gt;&lt;wsp:rsid wsp:val=&quot;00AB6B20&quot;/&gt;&lt;wsp:rsid wsp:val=&quot;00AC2F60&quot;/&gt;&lt;wsp:rsid wsp:val=&quot;00AC3E55&quot;/&gt;&lt;wsp:rsid wsp:val=&quot;00AC6F55&quot;/&gt;&lt;wsp:rsid wsp:val=&quot;00AD210A&quot;/&gt;&lt;wsp:rsid wsp:val=&quot;00AD6313&quot;/&gt;&lt;wsp:rsid wsp:val=&quot;00AE55EB&quot;/&gt;&lt;wsp:rsid wsp:val=&quot;00AE7B0D&quot;/&gt;&lt;wsp:rsid wsp:val=&quot;00AF134D&quot;/&gt;&lt;wsp:rsid wsp:val=&quot;00AF567A&quot;/&gt;&lt;wsp:rsid wsp:val=&quot;00AF6452&quot;/&gt;&lt;wsp:rsid wsp:val=&quot;00AF747B&quot;/&gt;&lt;wsp:rsid wsp:val=&quot;00B0235E&quot;/&gt;&lt;wsp:rsid wsp:val=&quot;00B063E3&quot;/&gt;&lt;wsp:rsid wsp:val=&quot;00B07F2E&quot;/&gt;&lt;wsp:rsid wsp:val=&quot;00B2508A&quot;/&gt;&lt;wsp:rsid wsp:val=&quot;00B32DD3&quot;/&gt;&lt;wsp:rsid wsp:val=&quot;00B34306&quot;/&gt;&lt;wsp:rsid wsp:val=&quot;00B50513&quot;/&gt;&lt;wsp:rsid wsp:val=&quot;00B540AB&quot;/&gt;&lt;wsp:rsid wsp:val=&quot;00B61A26&quot;/&gt;&lt;wsp:rsid wsp:val=&quot;00B658DA&quot;/&gt;&lt;wsp:rsid wsp:val=&quot;00B83AFB&quot;/&gt;&lt;wsp:rsid wsp:val=&quot;00B83FCF&quot;/&gt;&lt;wsp:rsid wsp:val=&quot;00B87246&quot;/&gt;&lt;wsp:rsid wsp:val=&quot;00B87C1A&quot;/&gt;&lt;wsp:rsid wsp:val=&quot;00B93F38&quot;/&gt;&lt;wsp:rsid wsp:val=&quot;00B959E3&quot;/&gt;&lt;wsp:rsid wsp:val=&quot;00B9695D&quot;/&gt;&lt;wsp:rsid wsp:val=&quot;00BA3342&quot;/&gt;&lt;wsp:rsid wsp:val=&quot;00BA3788&quot;/&gt;&lt;wsp:rsid wsp:val=&quot;00BA61AE&quot;/&gt;&lt;wsp:rsid wsp:val=&quot;00BB1EFE&quot;/&gt;&lt;wsp:rsid wsp:val=&quot;00BC52B6&quot;/&gt;&lt;wsp:rsid wsp:val=&quot;00BD7BA5&quot;/&gt;&lt;wsp:rsid wsp:val=&quot;00BE008E&quot;/&gt;&lt;wsp:rsid wsp:val=&quot;00BE61F2&quot;/&gt;&lt;wsp:rsid wsp:val=&quot;00BF3553&quot;/&gt;&lt;wsp:rsid wsp:val=&quot;00C0701B&quot;/&gt;&lt;wsp:rsid wsp:val=&quot;00C07A53&quot;/&gt;&lt;wsp:rsid wsp:val=&quot;00C14BF1&quot;/&gt;&lt;wsp:rsid wsp:val=&quot;00C162FE&quot;/&gt;&lt;wsp:rsid wsp:val=&quot;00C219EB&quot;/&gt;&lt;wsp:rsid wsp:val=&quot;00C43202&quot;/&gt;&lt;wsp:rsid wsp:val=&quot;00C45F6A&quot;/&gt;&lt;wsp:rsid wsp:val=&quot;00C47F10&quot;/&gt;&lt;wsp:rsid wsp:val=&quot;00C52130&quot;/&gt;&lt;wsp:rsid wsp:val=&quot;00C529FA&quot;/&gt;&lt;wsp:rsid wsp:val=&quot;00C55ACA&quot;/&gt;&lt;wsp:rsid wsp:val=&quot;00C55C88&quot;/&gt;&lt;wsp:rsid wsp:val=&quot;00C56D94&quot;/&gt;&lt;wsp:rsid wsp:val=&quot;00C61861&quot;/&gt;&lt;wsp:rsid wsp:val=&quot;00C742D2&quot;/&gt;&lt;wsp:rsid wsp:val=&quot;00C77595&quot;/&gt;&lt;wsp:rsid wsp:val=&quot;00C805FF&quot;/&gt;&lt;wsp:rsid wsp:val=&quot;00C829EE&quot;/&gt;&lt;wsp:rsid wsp:val=&quot;00C8373B&quot;/&gt;&lt;wsp:rsid wsp:val=&quot;00CA4C6B&quot;/&gt;&lt;wsp:rsid wsp:val=&quot;00CA51E5&quot;/&gt;&lt;wsp:rsid wsp:val=&quot;00CB1B40&quot;/&gt;&lt;wsp:rsid wsp:val=&quot;00CB52B3&quot;/&gt;&lt;wsp:rsid wsp:val=&quot;00CC03DC&quot;/&gt;&lt;wsp:rsid wsp:val=&quot;00CC1E05&quot;/&gt;&lt;wsp:rsid wsp:val=&quot;00CC6A8E&quot;/&gt;&lt;wsp:rsid wsp:val=&quot;00CD29F5&quot;/&gt;&lt;wsp:rsid wsp:val=&quot;00CE3A32&quot;/&gt;&lt;wsp:rsid wsp:val=&quot;00CE598D&quot;/&gt;&lt;wsp:rsid wsp:val=&quot;00CF64AF&quot;/&gt;&lt;wsp:rsid wsp:val=&quot;00CF7F6C&quot;/&gt;&lt;wsp:rsid wsp:val=&quot;00D026D8&quot;/&gt;&lt;wsp:rsid wsp:val=&quot;00D02FFE&quot;/&gt;&lt;wsp:rsid wsp:val=&quot;00D038DF&quot;/&gt;&lt;wsp:rsid wsp:val=&quot;00D050D1&quot;/&gt;&lt;wsp:rsid wsp:val=&quot;00D13404&quot;/&gt;&lt;wsp:rsid wsp:val=&quot;00D21F39&quot;/&gt;&lt;wsp:rsid wsp:val=&quot;00D229BB&quot;/&gt;&lt;wsp:rsid wsp:val=&quot;00D32A4D&quot;/&gt;&lt;wsp:rsid wsp:val=&quot;00D34583&quot;/&gt;&lt;wsp:rsid wsp:val=&quot;00D36B20&quot;/&gt;&lt;wsp:rsid wsp:val=&quot;00D45AAA&quot;/&gt;&lt;wsp:rsid wsp:val=&quot;00D45F8B&quot;/&gt;&lt;wsp:rsid wsp:val=&quot;00D532A2&quot;/&gt;&lt;wsp:rsid wsp:val=&quot;00D54329&quot;/&gt;&lt;wsp:rsid wsp:val=&quot;00D6125C&quot;/&gt;&lt;wsp:rsid wsp:val=&quot;00D7137B&quot;/&gt;&lt;wsp:rsid wsp:val=&quot;00D73C18&quot;/&gt;&lt;wsp:rsid wsp:val=&quot;00D85893&quot;/&gt;&lt;wsp:rsid wsp:val=&quot;00D86E07&quot;/&gt;&lt;wsp:rsid wsp:val=&quot;00D91CF6&quot;/&gt;&lt;wsp:rsid wsp:val=&quot;00D9555C&quot;/&gt;&lt;wsp:rsid wsp:val=&quot;00DA4613&quot;/&gt;&lt;wsp:rsid wsp:val=&quot;00DB28F0&quot;/&gt;&lt;wsp:rsid wsp:val=&quot;00DB34A1&quot;/&gt;&lt;wsp:rsid wsp:val=&quot;00DB34F2&quot;/&gt;&lt;wsp:rsid wsp:val=&quot;00DB603F&quot;/&gt;&lt;wsp:rsid wsp:val=&quot;00DB6BFE&quot;/&gt;&lt;wsp:rsid wsp:val=&quot;00DC10FE&quot;/&gt;&lt;wsp:rsid wsp:val=&quot;00DC262C&quot;/&gt;&lt;wsp:rsid wsp:val=&quot;00DC5051&quot;/&gt;&lt;wsp:rsid wsp:val=&quot;00DC5508&quot;/&gt;&lt;wsp:rsid wsp:val=&quot;00DC792A&quot;/&gt;&lt;wsp:rsid wsp:val=&quot;00DD4A8C&quot;/&gt;&lt;wsp:rsid wsp:val=&quot;00DD614E&quot;/&gt;&lt;wsp:rsid wsp:val=&quot;00DD6BCC&quot;/&gt;&lt;wsp:rsid wsp:val=&quot;00DE52B2&quot;/&gt;&lt;wsp:rsid wsp:val=&quot;00DF2042&quot;/&gt;&lt;wsp:rsid wsp:val=&quot;00E12E92&quot;/&gt;&lt;wsp:rsid wsp:val=&quot;00E1301D&quot;/&gt;&lt;wsp:rsid wsp:val=&quot;00E23254&quot;/&gt;&lt;wsp:rsid wsp:val=&quot;00E23847&quot;/&gt;&lt;wsp:rsid wsp:val=&quot;00E242C4&quot;/&gt;&lt;wsp:rsid wsp:val=&quot;00E42A43&quot;/&gt;&lt;wsp:rsid wsp:val=&quot;00E45502&quot;/&gt;&lt;wsp:rsid wsp:val=&quot;00E541FA&quot;/&gt;&lt;wsp:rsid wsp:val=&quot;00E55B55&quot;/&gt;&lt;wsp:rsid wsp:val=&quot;00E60189&quot;/&gt;&lt;wsp:rsid wsp:val=&quot;00E626E0&quot;/&gt;&lt;wsp:rsid wsp:val=&quot;00E649E9&quot;/&gt;&lt;wsp:rsid wsp:val=&quot;00E70652&quot;/&gt;&lt;wsp:rsid wsp:val=&quot;00E73AFC&quot;/&gt;&lt;wsp:rsid wsp:val=&quot;00E84528&quot;/&gt;&lt;wsp:rsid wsp:val=&quot;00E91108&quot;/&gt;&lt;wsp:rsid wsp:val=&quot;00EA492A&quot;/&gt;&lt;wsp:rsid wsp:val=&quot;00EA586F&quot;/&gt;&lt;wsp:rsid wsp:val=&quot;00EB2E3E&quot;/&gt;&lt;wsp:rsid wsp:val=&quot;00EB32EE&quot;/&gt;&lt;wsp:rsid wsp:val=&quot;00EB6AE0&quot;/&gt;&lt;wsp:rsid wsp:val=&quot;00EC1D53&quot;/&gt;&lt;wsp:rsid wsp:val=&quot;00EC28F8&quot;/&gt;&lt;wsp:rsid wsp:val=&quot;00EC55E1&quot;/&gt;&lt;wsp:rsid wsp:val=&quot;00EC598F&quot;/&gt;&lt;wsp:rsid wsp:val=&quot;00ED19E7&quot;/&gt;&lt;wsp:rsid wsp:val=&quot;00ED1E40&quot;/&gt;&lt;wsp:rsid wsp:val=&quot;00ED2FE4&quot;/&gt;&lt;wsp:rsid wsp:val=&quot;00EE2B10&quot;/&gt;&lt;wsp:rsid wsp:val=&quot;00EE5875&quot;/&gt;&lt;wsp:rsid wsp:val=&quot;00EE636E&quot;/&gt;&lt;wsp:rsid wsp:val=&quot;00EF15DB&quot;/&gt;&lt;wsp:rsid wsp:val=&quot;00EF38D2&quot;/&gt;&lt;wsp:rsid wsp:val=&quot;00EF50C1&quot;/&gt;&lt;wsp:rsid wsp:val=&quot;00F042BA&quot;/&gt;&lt;wsp:rsid wsp:val=&quot;00F04417&quot;/&gt;&lt;wsp:rsid wsp:val=&quot;00F1234E&quot;/&gt;&lt;wsp:rsid wsp:val=&quot;00F1485D&quot;/&gt;&lt;wsp:rsid wsp:val=&quot;00F420C0&quot;/&gt;&lt;wsp:rsid wsp:val=&quot;00F449D6&quot;/&gt;&lt;wsp:rsid wsp:val=&quot;00F50958&quot;/&gt;&lt;wsp:rsid wsp:val=&quot;00F643C1&quot;/&gt;&lt;wsp:rsid wsp:val=&quot;00F6576D&quot;/&gt;&lt;wsp:rsid wsp:val=&quot;00F769A5&quot;/&gt;&lt;wsp:rsid wsp:val=&quot;00F802A2&quot;/&gt;&lt;wsp:rsid wsp:val=&quot;00F81A88&quot;/&gt;&lt;wsp:rsid wsp:val=&quot;00F829A4&quot;/&gt;&lt;wsp:rsid wsp:val=&quot;00F92152&quot;/&gt;&lt;wsp:rsid wsp:val=&quot;00F93931&quot;/&gt;&lt;wsp:rsid wsp:val=&quot;00FA6C6D&quot;/&gt;&lt;wsp:rsid wsp:val=&quot;00FB06CA&quot;/&gt;&lt;wsp:rsid wsp:val=&quot;00FB3040&quot;/&gt;&lt;wsp:rsid wsp:val=&quot;00FB57AD&quot;/&gt;&lt;wsp:rsid wsp:val=&quot;00FC5E15&quot;/&gt;&lt;wsp:rsid wsp:val=&quot;00FD0CF3&quot;/&gt;&lt;wsp:rsid wsp:val=&quot;00FE2898&quot;/&gt;&lt;wsp:rsid wsp:val=&quot;00FE52F3&quot;/&gt;&lt;wsp:rsid wsp:val=&quot;01037A6C&quot;/&gt;&lt;wsp:rsid wsp:val=&quot;012303DA&quot;/&gt;&lt;wsp:rsid wsp:val=&quot;029A3241&quot;/&gt;&lt;wsp:rsid wsp:val=&quot;05BD5B72&quot;/&gt;&lt;wsp:rsid wsp:val=&quot;062E14E1&quot;/&gt;&lt;wsp:rsid wsp:val=&quot;06904004&quot;/&gt;&lt;wsp:rsid wsp:val=&quot;06C940AA&quot;/&gt;&lt;wsp:rsid wsp:val=&quot;082246A9&quot;/&gt;&lt;wsp:rsid wsp:val=&quot;0B9156CD&quot;/&gt;&lt;wsp:rsid wsp:val=&quot;0B9D016D&quot;/&gt;&lt;wsp:rsid wsp:val=&quot;0BBF7FD1&quot;/&gt;&lt;wsp:rsid wsp:val=&quot;0C6E14BD&quot;/&gt;&lt;wsp:rsid wsp:val=&quot;0DCC3209&quot;/&gt;&lt;wsp:rsid wsp:val=&quot;0E145E07&quot;/&gt;&lt;wsp:rsid wsp:val=&quot;100C408A&quot;/&gt;&lt;wsp:rsid wsp:val=&quot;11793575&quot;/&gt;&lt;wsp:rsid wsp:val=&quot;11E31DC9&quot;/&gt;&lt;wsp:rsid wsp:val=&quot;120D3864&quot;/&gt;&lt;wsp:rsid wsp:val=&quot;124317D1&quot;/&gt;&lt;wsp:rsid wsp:val=&quot;12CD390D&quot;/&gt;&lt;wsp:rsid wsp:val=&quot;12F56AC4&quot;/&gt;&lt;wsp:rsid wsp:val=&quot;13624313&quot;/&gt;&lt;wsp:rsid wsp:val=&quot;13671533&quot;/&gt;&lt;wsp:rsid wsp:val=&quot;14337B5D&quot;/&gt;&lt;wsp:rsid wsp:val=&quot;14E96861&quot;/&gt;&lt;wsp:rsid wsp:val=&quot;154D1EF4&quot;/&gt;&lt;wsp:rsid wsp:val=&quot;16444905&quot;/&gt;&lt;wsp:rsid wsp:val=&quot;165C40C2&quot;/&gt;&lt;wsp:rsid wsp:val=&quot;168D6C47&quot;/&gt;&lt;wsp:rsid wsp:val=&quot;1732396E&quot;/&gt;&lt;wsp:rsid wsp:val=&quot;18737BFE&quot;/&gt;&lt;wsp:rsid wsp:val=&quot;1AF67C9A&quot;/&gt;&lt;wsp:rsid wsp:val=&quot;1BB44F30&quot;/&gt;&lt;wsp:rsid wsp:val=&quot;1C2317D5&quot;/&gt;&lt;wsp:rsid wsp:val=&quot;1CA2473D&quot;/&gt;&lt;wsp:rsid wsp:val=&quot;1CBF6EB0&quot;/&gt;&lt;wsp:rsid wsp:val=&quot;1CE8309B&quot;/&gt;&lt;wsp:rsid wsp:val=&quot;1D2F4485&quot;/&gt;&lt;wsp:rsid wsp:val=&quot;1DC36F6E&quot;/&gt;&lt;wsp:rsid wsp:val=&quot;1EB11585&quot;/&gt;&lt;wsp:rsid wsp:val=&quot;1F50668E&quot;/&gt;&lt;wsp:rsid wsp:val=&quot;1F5323D5&quot;/&gt;&lt;wsp:rsid wsp:val=&quot;201231AA&quot;/&gt;&lt;wsp:rsid wsp:val=&quot;21214905&quot;/&gt;&lt;wsp:rsid wsp:val=&quot;217D27F3&quot;/&gt;&lt;wsp:rsid wsp:val=&quot;223D1F05&quot;/&gt;&lt;wsp:rsid wsp:val=&quot;224D5E30&quot;/&gt;&lt;wsp:rsid wsp:val=&quot;228D2A89&quot;/&gt;&lt;wsp:rsid wsp:val=&quot;23204060&quot;/&gt;&lt;wsp:rsid wsp:val=&quot;257D135B&quot;/&gt;&lt;wsp:rsid wsp:val=&quot;25B77020&quot;/&gt;&lt;wsp:rsid wsp:val=&quot;25FB3021&quot;/&gt;&lt;wsp:rsid wsp:val=&quot;269E5976&quot;/&gt;&lt;wsp:rsid wsp:val=&quot;28F272DD&quot;/&gt;&lt;wsp:rsid wsp:val=&quot;29447869&quot;/&gt;&lt;wsp:rsid wsp:val=&quot;294D3C07&quot;/&gt;&lt;wsp:rsid wsp:val=&quot;2A1A1C7C&quot;/&gt;&lt;wsp:rsid wsp:val=&quot;2AF776EF&quot;/&gt;&lt;wsp:rsid wsp:val=&quot;2B8156C2&quot;/&gt;&lt;wsp:rsid wsp:val=&quot;2C9338C0&quot;/&gt;&lt;wsp:rsid wsp:val=&quot;2DBE7F7B&quot;/&gt;&lt;wsp:rsid wsp:val=&quot;2DC47C67&quot;/&gt;&lt;wsp:rsid wsp:val=&quot;2E207E6D&quot;/&gt;&lt;wsp:rsid wsp:val=&quot;2E344DBB&quot;/&gt;&lt;wsp:rsid wsp:val=&quot;2E655BB7&quot;/&gt;&lt;wsp:rsid wsp:val=&quot;30A852D7&quot;/&gt;&lt;wsp:rsid wsp:val=&quot;318B0D2B&quot;/&gt;&lt;wsp:rsid wsp:val=&quot;32D01768&quot;/&gt;&lt;wsp:rsid wsp:val=&quot;33840FDF&quot;/&gt;&lt;wsp:rsid wsp:val=&quot;33A07381&quot;/&gt;&lt;wsp:rsid wsp:val=&quot;33C12C19&quot;/&gt;&lt;wsp:rsid wsp:val=&quot;3497282D&quot;/&gt;&lt;wsp:rsid wsp:val=&quot;34B90466&quot;/&gt;&lt;wsp:rsid wsp:val=&quot;352F2AD5&quot;/&gt;&lt;wsp:rsid wsp:val=&quot;367A64EA&quot;/&gt;&lt;wsp:rsid wsp:val=&quot;36843D97&quot;/&gt;&lt;wsp:rsid wsp:val=&quot;377A526B&quot;/&gt;&lt;wsp:rsid wsp:val=&quot;37C0590E&quot;/&gt;&lt;wsp:rsid wsp:val=&quot;38B916AD&quot;/&gt;&lt;wsp:rsid wsp:val=&quot;398B3C53&quot;/&gt;&lt;wsp:rsid wsp:val=&quot;3A4C09D6&quot;/&gt;&lt;wsp:rsid wsp:val=&quot;3A7430ED&quot;/&gt;&lt;wsp:rsid wsp:val=&quot;3AEA146D&quot;/&gt;&lt;wsp:rsid wsp:val=&quot;3BE22A2E&quot;/&gt;&lt;wsp:rsid wsp:val=&quot;3E2D33B6&quot;/&gt;&lt;wsp:rsid wsp:val=&quot;3FAF4A94&quot;/&gt;&lt;wsp:rsid wsp:val=&quot;40EC2EC6&quot;/&gt;&lt;wsp:rsid wsp:val=&quot;41F7379F&quot;/&gt;&lt;wsp:rsid wsp:val=&quot;427706CF&quot;/&gt;&lt;wsp:rsid wsp:val=&quot;42830893&quot;/&gt;&lt;wsp:rsid wsp:val=&quot;42ED57E8&quot;/&gt;&lt;wsp:rsid wsp:val=&quot;43C81D85&quot;/&gt;&lt;wsp:rsid wsp:val=&quot;43E91871&quot;/&gt;&lt;wsp:rsid wsp:val=&quot;445F3804&quot;/&gt;&lt;wsp:rsid wsp:val=&quot;45810FAE&quot;/&gt;&lt;wsp:rsid wsp:val=&quot;461A3335&quot;/&gt;&lt;wsp:rsid wsp:val=&quot;469002DD&quot;/&gt;&lt;wsp:rsid wsp:val=&quot;46E60707&quot;/&gt;&lt;wsp:rsid wsp:val=&quot;475C0FFA&quot;/&gt;&lt;wsp:rsid wsp:val=&quot;496958D6&quot;/&gt;&lt;wsp:rsid wsp:val=&quot;4A4B41EA&quot;/&gt;&lt;wsp:rsid wsp:val=&quot;4A8171A8&quot;/&gt;&lt;wsp:rsid wsp:val=&quot;4AC52D88&quot;/&gt;&lt;wsp:rsid wsp:val=&quot;4B49415E&quot;/&gt;&lt;wsp:rsid wsp:val=&quot;4B620C8E&quot;/&gt;&lt;wsp:rsid wsp:val=&quot;4B923558&quot;/&gt;&lt;wsp:rsid wsp:val=&quot;4C534A71&quot;/&gt;&lt;wsp:rsid wsp:val=&quot;4CFF51CE&quot;/&gt;&lt;wsp:rsid wsp:val=&quot;4D610F6F&quot;/&gt;&lt;wsp:rsid wsp:val=&quot;4D742AAE&quot;/&gt;&lt;wsp:rsid wsp:val=&quot;50C412D1&quot;/&gt;&lt;wsp:rsid wsp:val=&quot;51977DD6&quot;/&gt;&lt;wsp:rsid wsp:val=&quot;51EB34D8&quot;/&gt;&lt;wsp:rsid wsp:val=&quot;52186FD2&quot;/&gt;&lt;wsp:rsid wsp:val=&quot;527A6F27&quot;/&gt;&lt;wsp:rsid wsp:val=&quot;539F4DBE&quot;/&gt;&lt;wsp:rsid wsp:val=&quot;53EE0447&quot;/&gt;&lt;wsp:rsid wsp:val=&quot;551E60F7&quot;/&gt;&lt;wsp:rsid wsp:val=&quot;552476A0&quot;/&gt;&lt;wsp:rsid wsp:val=&quot;56526909&quot;/&gt;&lt;wsp:rsid wsp:val=&quot;580418FA&quot;/&gt;&lt;wsp:rsid wsp:val=&quot;586D2A06&quot;/&gt;&lt;wsp:rsid wsp:val=&quot;58ED2159&quot;/&gt;&lt;wsp:rsid wsp:val=&quot;5A69095F&quot;/&gt;&lt;wsp:rsid wsp:val=&quot;5B402C3B&quot;/&gt;&lt;wsp:rsid wsp:val=&quot;5B560C8F&quot;/&gt;&lt;wsp:rsid wsp:val=&quot;5B744E01&quot;/&gt;&lt;wsp:rsid wsp:val=&quot;5E20372F&quot;/&gt;&lt;wsp:rsid wsp:val=&quot;5E5233BC&quot;/&gt;&lt;wsp:rsid wsp:val=&quot;5F0A20AB&quot;/&gt;&lt;wsp:rsid wsp:val=&quot;612D488A&quot;/&gt;&lt;wsp:rsid wsp:val=&quot;61BE483F&quot;/&gt;&lt;wsp:rsid wsp:val=&quot;62526C4C&quot;/&gt;&lt;wsp:rsid wsp:val=&quot;62AE1A69&quot;/&gt;&lt;wsp:rsid wsp:val=&quot;63584566&quot;/&gt;&lt;wsp:rsid wsp:val=&quot;64830780&quot;/&gt;&lt;wsp:rsid wsp:val=&quot;657728CC&quot;/&gt;&lt;wsp:rsid wsp:val=&quot;65E40697&quot;/&gt;&lt;wsp:rsid wsp:val=&quot;65E46A39&quot;/&gt;&lt;wsp:rsid wsp:val=&quot;6753784C&quot;/&gt;&lt;wsp:rsid wsp:val=&quot;680410E0&quot;/&gt;&lt;wsp:rsid wsp:val=&quot;685D626F&quot;/&gt;&lt;wsp:rsid wsp:val=&quot;68812414&quot;/&gt;&lt;wsp:rsid wsp:val=&quot;6946268F&quot;/&gt;&lt;wsp:rsid wsp:val=&quot;69BE4B78&quot;/&gt;&lt;wsp:rsid wsp:val=&quot;6A7D4CF6&quot;/&gt;&lt;wsp:rsid wsp:val=&quot;6B133038&quot;/&gt;&lt;wsp:rsid wsp:val=&quot;6C4017C5&quot;/&gt;&lt;wsp:rsid wsp:val=&quot;6D4B0B13&quot;/&gt;&lt;wsp:rsid wsp:val=&quot;6E1B5AC1&quot;/&gt;&lt;wsp:rsid wsp:val=&quot;6FBE472E&quot;/&gt;&lt;wsp:rsid wsp:val=&quot;713D4F8D&quot;/&gt;&lt;wsp:rsid wsp:val=&quot;71790D2A&quot;/&gt;&lt;wsp:rsid wsp:val=&quot;71FC7A3F&quot;/&gt;&lt;wsp:rsid wsp:val=&quot;7216080E&quot;/&gt;&lt;wsp:rsid wsp:val=&quot;724E1573&quot;/&gt;&lt;wsp:rsid wsp:val=&quot;739D64AC&quot;/&gt;&lt;wsp:rsid wsp:val=&quot;73F94B5F&quot;/&gt;&lt;wsp:rsid wsp:val=&quot;740E74C8&quot;/&gt;&lt;wsp:rsid wsp:val=&quot;743B1B4D&quot;/&gt;&lt;wsp:rsid wsp:val=&quot;755A5450&quot;/&gt;&lt;wsp:rsid wsp:val=&quot;75854619&quot;/&gt;&lt;wsp:rsid wsp:val=&quot;75E27B46&quot;/&gt;&lt;wsp:rsid wsp:val=&quot;77D44135&quot;/&gt;&lt;wsp:rsid wsp:val=&quot;77EF1AB8&quot;/&gt;&lt;wsp:rsid wsp:val=&quot;77FE4123&quot;/&gt;&lt;wsp:rsid wsp:val=&quot;7880754E&quot;/&gt;&lt;wsp:rsid wsp:val=&quot;7B041EC6&quot;/&gt;&lt;wsp:rsid wsp:val=&quot;7B14604E&quot;/&gt;&lt;wsp:rsid wsp:val=&quot;7B953AFA&quot;/&gt;&lt;wsp:rsid wsp:val=&quot;7C741EE3&quot;/&gt;&lt;wsp:rsid wsp:val=&quot;7CDC4939&quot;/&gt;&lt;wsp:rsid wsp:val=&quot;7CDF5254&quot;/&gt;&lt;wsp:rsid wsp:val=&quot;7D453F99&quot;/&gt;&lt;wsp:rsid wsp:val=&quot;7D9517B4&quot;/&gt;&lt;wsp:rsid wsp:val=&quot;7E1773D4&quot;/&gt;&lt;wsp:rsid wsp:val=&quot;7E6363CA&quot;/&gt;&lt;wsp:rsid wsp:val=&quot;7EC470AD&quot;/&gt;&lt;wsp:rsid wsp:val=&quot;7F3A28BC&quot;/&gt;&lt;wsp:rsid wsp:val=&quot;7FC15FB5&quot;/&gt;&lt;wsp:rsid wsp:val=&quot;EEBD3406&quot;/&gt;&lt;/wsp:rsids&gt;&lt;/w:docPr&gt;&lt;w:body&gt;&lt;wx:sect&gt;&lt;w:p wsp:rsidR=&quot;00000000&quot; wsp:rsidRDefault=&quot;004354E2&quot; wsp:rsidP=&quot;004354E2&quot;&gt;&lt;w:pPr&gt;&lt;w:ind w:first-line=&quot;480&quot;/&gt;&lt;/w:pPr&gt;&lt;m:oMathPara&gt;&lt;m:oMath&gt;&lt;m:sSub&gt;&lt;m:sSubPr&gt;&lt;m:ctrlPr&gt;&lt;w:rPr&gt;&lt;w:rFonts w:ascii=&quot;Cambria Math&quot; w:h-ansi=&quot;Cambria Math&quot;/&gt;&lt;wx:font wx:val=&quot;Cambria Math&quot;/&gt;&lt;w:i/&gt;&lt;w:sz-cs w:val=&quot;22&quot;/&gt;&lt;/w:rPr&gt;&lt;/m:ctrlPr&gt;&lt;/m:sSubPr&gt;&lt;m:e&gt;&lt;m:r&gt;&lt;w:rPr&gt;&lt;w:rFonts w:ascii=&quot;Cambria Math&quot; w:h-ansi=&quot;Cambria Math&quot;/&gt;&lt;wx:font wx:val=&quot;Cambria Math&quot;/&gt;&lt;w:i/&gt;&lt;w:sz-cs w:val=&quot;22&quot;/&gt;&lt;/w:rPr&gt;&lt;m:t&gt;α&lt;/m:t&gt;&lt;/m:r&gt;&lt;/m:e&gt;&lt;m:sub&gt;&lt;mwwwwwwwwwwwwwwwwww:r:&gt;&lt;w:rPr&gt;&lt;w:rFonts w:ascii=&quot;Cambria Math&quot; w:h-ansi=&quot;Cambria Math&quot;/&gt;&lt;wx:font wx:val=&quot;Cambria Math&quot;/&gt;&lt;w:i/&gt;&lt;w:sz-cs w:val=&quot;22&quot;/&gt;&lt;/w:rPr&gt;&lt;m:t&gt;L&lt;/m:t&gt;&lt;/m:r&gt;&lt;/m:sub&gt;&lt;/m:sSub&gt;&lt;m:r&gt;&lt;w:rPr&gt;&lt;w:rFonts w:ascii=&quot;Cambria Math&quot; w:h-ansi=&quot;Cambria Math&quot;/&gt;&lt;wx:font wx:val=&quot;Cambria Math&quot;/&gt;&lt;w:i/&gt;&lt;w:sz-cs w:val=&quot;22&quot;/&gt;&lt;/w:rPr&gt;&lt;m:t&gt;,&lt;/m:t&gt;&lt;/m:r&gt;&lt;m:sSub&gt;&lt;m:sSubPr&gt;&lt;m:ctrlPr&gt;&lt;w:rPr&gt;&lt;w:rFonts w:ascii=&quot;Cambria Math&quot; w:h-ansi=&quot;Cambria Math&quot;/&gt;&lt;wx:font wx:val=&quot;Cambria Math&quot;/&gt;&lt;w:i/&gt;&lt;w:sz-cs w:val=&quot;22&quot;/&gt;&lt;/w:rPr&gt;&lt;/m:ctrlPr&gt;&lt;/m:sSubPr&gt;&lt;m:e&gt;&lt;m:r&gt;&lt;w:rPr&gt;&lt;w:rFonts w:ascii=&quot;Cambria Math&quot; w:h-ansi=&quot;Cambria Math&quot;/&gt;&lt;wx:font wx:val=&quot;Cambria Math&quot;/&gt;&lt;w:i/&gt;&lt;w:sz-cs w:val=&quot;22&quot;/&gt;&lt;/w:rPr&gt;&lt;m:t&gt;α&lt;/m:t&gt;&lt;/m:r&gt;&lt;/m:e&gt;&lt;m:sub&gt;&lt;m:r&gt;&lt;w:rPr&gt;&lt;w:rFonts w:ascii=&quot;Cambria Math&quot; w:h-ansi=&quot;Cambria Matrhl&quot;P/r&gt;&gt;&lt;&lt;w/xm::fsoSnutb Pwrx&gt;:&lt;vmal=&gt;&quot;Cambria Math&quot;/&gt;&lt;w:i/&gt;&lt;w:sz-cs w:val=&quot;22&quot;/&gt;&lt;/w:rPr&gt;&lt;m:t&gt;T&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path/>
            <v:fill on="f" focussize="0,0"/>
            <v:stroke on="f" joinstyle="miter"/>
            <v:imagedata r:id="rId186" chromakey="#FFFFFF" o:title=""/>
            <o:lock v:ext="edit" aspectratio="t"/>
            <w10:wrap type="none"/>
            <w10:anchorlock/>
          </v:shape>
        </w:pict>
      </w:r>
      <w:r>
        <w:rPr>
          <w:rFonts w:hAnsi="Times New Roman" w:eastAsia="宋体"/>
          <w:szCs w:val="22"/>
        </w:rPr>
        <w:instrText xml:space="preserve"> </w:instrText>
      </w:r>
      <w:r>
        <w:rPr>
          <w:rFonts w:hAnsi="Times New Roman" w:eastAsia="宋体"/>
          <w:szCs w:val="22"/>
        </w:rPr>
        <w:fldChar w:fldCharType="separate"/>
      </w:r>
      <w:r>
        <w:rPr>
          <w:rFonts w:hAnsi="Times New Roman" w:eastAsia="宋体"/>
          <w:position w:val="-15"/>
        </w:rPr>
        <w:pict>
          <v:shape id="_x0000_i1051" o:spt="75" type="#_x0000_t75" style="height:23.35pt;width:30.65pt;" filled="f" o:preferrelative="t" stroked="f" coordsize="21600,21600" equationxml="&lt;?xml version=&quot;1.0&quot; encoding=&quot;UTF-8&quot; standalone=&quot;yes&quot;?&gt;&#10;&#10;&lt;?mso-application progid=&quot;Word.Document&quot;?&gt;&#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isplayBackgroundShape/&gt;&lt;w:doNotEmbedSystemFonts/&gt;&lt;w:stylePaneFormatFilter w:val=&quot;3F21&quot;/&gt;&lt;w:defaultTabStop w:val=&quot;420&quot;/&gt;&lt;w:drawingGridHorizontalSpacing w:val=&quot;120&quot;/&gt;&lt;w:drawingGridVerticalSpacing w:val=&quot;163&quot;/&gt;&lt;w:displayHorizontalDrawingGridEvery w:val=&quot;2&quot;/&gt;&lt;w:displayVerticalDrawingGridEvery w:val=&quot;2&quot;/&gt;&lt;w:characterSpacingControl w:val=&quot;CompressPunctuation&quot;/&gt;&lt;w:webPageEncoding w:val=&quot;utf-8&quot;/&gt;&lt;w:optimizeForBrowser/&gt;&lt;w:allowPNG/&gt;&lt;w:pixelsPerInch w:val=&quot;130&quot;/&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dontGrowAutofit/&gt;&lt;w:useFELayout/&gt;&lt;/w:compat&gt;&lt;wsp:rsids&gt;&lt;wsp:rsidRoot wsp:val=&quot;7D9517B4&quot;/&gt;&lt;wsp:rsid wsp:val=&quot;0000114D&quot;/&gt;&lt;wsp:rsid wsp:val=&quot;00007108&quot;/&gt;&lt;wsp:rsid wsp:val=&quot;000146A3&quot;/&gt;&lt;wsp:rsid wsp:val=&quot;00014EBE&quot;/&gt;&lt;wsp:rsid wsp:val=&quot;00017210&quot;/&gt;&lt;wsp:rsid wsp:val=&quot;000178AC&quot;/&gt;&lt;wsp:rsid wsp:val=&quot;000360FB&quot;/&gt;&lt;wsp:rsid wsp:val=&quot;00047FF1&quot;/&gt;&lt;wsp:rsid wsp:val=&quot;00060D24&quot;/&gt;&lt;wsp:rsid wsp:val=&quot;00062C15&quot;/&gt;&lt;wsp:rsid wsp:val=&quot;0006361D&quot;/&gt;&lt;wsp:rsid wsp:val=&quot;000869EE&quot;/&gt;&lt;wsp:rsid wsp:val=&quot;00091FAE&quot;/&gt;&lt;wsp:rsid wsp:val=&quot;00094098&quot;/&gt;&lt;wsp:rsid wsp:val=&quot;00095883&quot;/&gt;&lt;wsp:rsid wsp:val=&quot;000A7D8E&quot;/&gt;&lt;wsp:rsid wsp:val=&quot;000B1E5A&quot;/&gt;&lt;wsp:rsid wsp:val=&quot;000B571C&quot;/&gt;&lt;wsp:rsid wsp:val=&quot;000C133E&quot;/&gt;&lt;wsp:rsid wsp:val=&quot;000C77B8&quot;/&gt;&lt;wsp:rsid wsp:val=&quot;000C7B6B&quot;/&gt;&lt;wsp:rsid wsp:val=&quot;000D039E&quot;/&gt;&lt;wsp:rsid wsp:val=&quot;000D0934&quot;/&gt;&lt;wsp:rsid wsp:val=&quot;000D398B&quot;/&gt;&lt;wsp:rsid wsp:val=&quot;000E44A4&quot;/&gt;&lt;wsp:rsid wsp:val=&quot;000E66BF&quot;/&gt;&lt;wsp:rsid wsp:val=&quot;00103817&quot;/&gt;&lt;wsp:rsid wsp:val=&quot;001056B0&quot;/&gt;&lt;wsp:rsid wsp:val=&quot;001120A7&quot;/&gt;&lt;wsp:rsid wsp:val=&quot;001126E0&quot;/&gt;&lt;wsp:rsid wsp:val=&quot;00114696&quot;/&gt;&lt;wsp:rsid wsp:val=&quot;00125169&quot;/&gt;&lt;wsp:rsid wsp:val=&quot;00126372&quot;/&gt;&lt;wsp:rsid wsp:val=&quot;0013102B&quot;/&gt;&lt;wsp:rsid wsp:val=&quot;0013539F&quot;/&gt;&lt;wsp:rsid wsp:val=&quot;001355C2&quot;/&gt;&lt;wsp:rsid wsp:val=&quot;00135DEF&quot;/&gt;&lt;wsp:rsid wsp:val=&quot;00143480&quot;/&gt;&lt;wsp:rsid wsp:val=&quot;0015344F&quot;/&gt;&lt;wsp:rsid wsp:val=&quot;00155D8A&quot;/&gt;&lt;wsp:rsid wsp:val=&quot;00160A6A&quot;/&gt;&lt;wsp:rsid wsp:val=&quot;00162FFF&quot;/&gt;&lt;wsp:rsid wsp:val=&quot;00165249&quot;/&gt;&lt;wsp:rsid wsp:val=&quot;00170177&quot;/&gt;&lt;wsp:rsid wsp:val=&quot;00172AC4&quot;/&gt;&lt;wsp:rsid wsp:val=&quot;001778D5&quot;/&gt;&lt;wsp:rsid wsp:val=&quot;001A6B3C&quot;/&gt;&lt;wsp:rsid wsp:val=&quot;001B1F60&quot;/&gt;&lt;wsp:rsid wsp:val=&quot;001C0BFC&quot;/&gt;&lt;wsp:rsid wsp:val=&quot;001C1861&quot;/&gt;&lt;wsp:rsid wsp:val=&quot;001D0163&quot;/&gt;&lt;wsp:rsid wsp:val=&quot;001D0419&quot;/&gt;&lt;wsp:rsid wsp:val=&quot;001D73D9&quot;/&gt;&lt;wsp:rsid wsp:val=&quot;001E218F&quot;/&gt;&lt;wsp:rsid wsp:val=&quot;001E4103&quot;/&gt;&lt;wsp:rsid wsp:val=&quot;001E4108&quot;/&gt;&lt;wsp:rsid wsp:val=&quot;001E63DF&quot;/&gt;&lt;wsp:rsid wsp:val=&quot;001E6FBC&quot;/&gt;&lt;wsp:rsid wsp:val=&quot;001F193A&quot;/&gt;&lt;wsp:rsid wsp:val=&quot;001F2D6B&quot;/&gt;&lt;wsp:rsid wsp:val=&quot;001F5FEE&quot;/&gt;&lt;wsp:rsid wsp:val=&quot;0020071F&quot;/&gt;&lt;wsp:rsid wsp:val=&quot;00204491&quot;/&gt;&lt;wsp:rsid wsp:val=&quot;00206010&quot;/&gt;&lt;wsp:rsid wsp:val=&quot;00207EA6&quot;/&gt;&lt;wsp:rsid wsp:val=&quot;00213865&quot;/&gt;&lt;wsp:rsid wsp:val=&quot;00214AF5&quot;/&gt;&lt;wsp:rsid wsp:val=&quot;00230E1A&quot;/&gt;&lt;wsp:rsid wsp:val=&quot;0023200A&quot;/&gt;&lt;wsp:rsid wsp:val=&quot;0023413E&quot;/&gt;&lt;wsp:rsid wsp:val=&quot;00235209&quot;/&gt;&lt;wsp:rsid wsp:val=&quot;00242E6F&quot;/&gt;&lt;wsp:rsid wsp:val=&quot;00243529&quot;/&gt;&lt;wsp:rsid wsp:val=&quot;00245458&quot;/&gt;&lt;wsp:rsid wsp:val=&quot;00245AFF&quot;/&gt;&lt;wsp:rsid wsp:val=&quot;00246401&quot;/&gt;&lt;wsp:rsid wsp:val=&quot;002466BA&quot;/&gt;&lt;wsp:rsid wsp:val=&quot;002524D2&quot;/&gt;&lt;wsp:rsid wsp:val=&quot;00253372&quot;/&gt;&lt;wsp:rsid wsp:val=&quot;00253899&quot;/&gt;&lt;wsp:rsid wsp:val=&quot;0026326E&quot;/&gt;&lt;wsp:rsid wsp:val=&quot;00267F1C&quot;/&gt;&lt;wsp:rsid wsp:val=&quot;00270BDB&quot;/&gt;&lt;wsp:rsid wsp:val=&quot;00284146&quot;/&gt;&lt;wsp:rsid wsp:val=&quot;002852E0&quot;/&gt;&lt;wsp:rsid wsp:val=&quot;00291BD4&quot;/&gt;&lt;wsp:rsid wsp:val=&quot;00292DA2&quot;/&gt;&lt;wsp:rsid wsp:val=&quot;002979DD&quot;/&gt;&lt;wsp:rsid wsp:val=&quot;002A0447&quot;/&gt;&lt;wsp:rsid wsp:val=&quot;002B0620&quot;/&gt;&lt;wsp:rsid wsp:val=&quot;002B1FEE&quot;/&gt;&lt;wsp:rsid wsp:val=&quot;002B4707&quot;/&gt;&lt;wsp:rsid wsp:val=&quot;002C1213&quot;/&gt;&lt;wsp:rsid wsp:val=&quot;002C3FAA&quot;/&gt;&lt;wsp:rsid wsp:val=&quot;002C4F61&quot;/&gt;&lt;wsp:rsid wsp:val=&quot;002D2289&quot;/&gt;&lt;wsp:rsid wsp:val=&quot;002F34E4&quot;/&gt;&lt;wsp:rsid wsp:val=&quot;002F3AD6&quot;/&gt;&lt;wsp:rsid wsp:val=&quot;002F3EBE&quot;/&gt;&lt;wsp:rsid wsp:val=&quot;00301003&quot;/&gt;&lt;wsp:rsid wsp:val=&quot;003019E7&quot;/&gt;&lt;wsp:rsid wsp:val=&quot;00301E05&quot;/&gt;&lt;wsp:rsid wsp:val=&quot;0030597B&quot;/&gt;&lt;wsp:rsid wsp:val=&quot;0030778E&quot;/&gt;&lt;wsp:rsid wsp:val=&quot;00321E83&quot;/&gt;&lt;wsp:rsid wsp:val=&quot;0032418A&quot;/&gt;&lt;wsp:rsid wsp:val=&quot;00325645&quot;/&gt;&lt;wsp:rsid wsp:val=&quot;00332585&quot;/&gt;&lt;wsp:rsid wsp:val=&quot;0033743C&quot;/&gt;&lt;wsp:rsid wsp:val=&quot;00340E45&quot;/&gt;&lt;wsp:rsid wsp:val=&quot;003414ED&quot;/&gt;&lt;wsp:rsid wsp:val=&quot;00345A0C&quot;/&gt;&lt;wsp:rsid wsp:val=&quot;0035102F&quot;/&gt;&lt;wsp:rsid wsp:val=&quot;00351841&quot;/&gt;&lt;wsp:rsid wsp:val=&quot;00353EBA&quot;/&gt;&lt;wsp:rsid wsp:val=&quot;00363EA1&quot;/&gt;&lt;wsp:rsid wsp:val=&quot;00365AD6&quot;/&gt;&lt;wsp:rsid wsp:val=&quot;00381286&quot;/&gt;&lt;wsp:rsid wsp:val=&quot;0039099C&quot;/&gt;&lt;wsp:rsid wsp:val=&quot;00391720&quot;/&gt;&lt;wsp:rsid wsp:val=&quot;003A0408&quot;/&gt;&lt;wsp:rsid wsp:val=&quot;003A30F7&quot;/&gt;&lt;wsp:rsid wsp:val=&quot;003A3B35&quot;/&gt;&lt;wsp:rsid wsp:val=&quot;003A71CB&quot;/&gt;&lt;wsp:rsid wsp:val=&quot;003B42BB&quot;/&gt;&lt;wsp:rsid wsp:val=&quot;003B64F4&quot;/&gt;&lt;wsp:rsid wsp:val=&quot;003C44E6&quot;/&gt;&lt;wsp:rsid wsp:val=&quot;003C4C9B&quot;/&gt;&lt;wsp:rsid wsp:val=&quot;003C4E8C&quot;/&gt;&lt;wsp:rsid wsp:val=&quot;003C7ED0&quot;/&gt;&lt;wsp:rsid wsp:val=&quot;003D3771&quot;/&gt;&lt;wsp:rsid wsp:val=&quot;003E60E8&quot;/&gt;&lt;wsp:rsid wsp:val=&quot;003F0030&quot;/&gt;&lt;wsp:rsid wsp:val=&quot;003F2939&quot;/&gt;&lt;wsp:rsid wsp:val=&quot;003F349B&quot;/&gt;&lt;wsp:rsid wsp:val=&quot;00401696&quot;/&gt;&lt;wsp:rsid wsp:val=&quot;0040318D&quot;/&gt;&lt;wsp:rsid wsp:val=&quot;00420744&quot;/&gt;&lt;wsp:rsid wsp:val=&quot;0043401E&quot;/&gt;&lt;wsp:rsid wsp:val=&quot;004347FA&quot;/&gt;&lt;wsp:rsid wsp:val=&quot;004354E2&quot;/&gt;&lt;wsp:rsid wsp:val=&quot;0044381E&quot;/&gt;&lt;wsp:rsid wsp:val=&quot;00450EFB&quot;/&gt;&lt;wsp:rsid wsp:val=&quot;0045273C&quot;/&gt;&lt;wsp:rsid wsp:val=&quot;00452ED2&quot;/&gt;&lt;wsp:rsid wsp:val=&quot;004650D6&quot;/&gt;&lt;wsp:rsid wsp:val=&quot;0046677F&quot;/&gt;&lt;wsp:rsid wsp:val=&quot;00472477&quot;/&gt;&lt;wsp:rsid wsp:val=&quot;00472C21&quot;/&gt;&lt;wsp:rsid wsp:val=&quot;00474B26&quot;/&gt;&lt;wsp:rsid wsp:val=&quot;00485017&quot;/&gt;&lt;wsp:rsid wsp:val=&quot;004B0296&quot;/&gt;&lt;wsp:rsid wsp:val=&quot;004B21A8&quot;/&gt;&lt;wsp:rsid wsp:val=&quot;004B557E&quot;/&gt;&lt;wsp:rsid wsp:val=&quot;004C0272&quot;/&gt;&lt;wsp:rsid wsp:val=&quot;004C631D&quot;/&gt;&lt;wsp:rsid wsp:val=&quot;004D69CB&quot;/&gt;&lt;wsp:rsid wsp:val=&quot;004E236A&quot;/&gt;&lt;wsp:rsid wsp:val=&quot;004E755E&quot;/&gt;&lt;wsp:rsid wsp:val=&quot;004F2FF7&quot;/&gt;&lt;wsp:rsid wsp:val=&quot;00500164&quot;/&gt;&lt;wsp:rsid wsp:val=&quot;0050063B&quot;/&gt;&lt;wsp:rsid wsp:val=&quot;00503F52&quot;/&gt;&lt;wsp:rsid wsp:val=&quot;0052411F&quot;/&gt;&lt;wsp:rsid wsp:val=&quot;00530C34&quot;/&gt;&lt;wsp:rsid wsp:val=&quot;00531798&quot;/&gt;&lt;wsp:rsid wsp:val=&quot;00536E0D&quot;/&gt;&lt;wsp:rsid wsp:val=&quot;005376D8&quot;/&gt;&lt;wsp:rsid wsp:val=&quot;00541AA6&quot;/&gt;&lt;wsp:rsid wsp:val=&quot;00545990&quot;/&gt;&lt;wsp:rsid wsp:val=&quot;005562DB&quot;/&gt;&lt;wsp:rsid wsp:val=&quot;00560211&quot;/&gt;&lt;wsp:rsid wsp:val=&quot;00560B30&quot;/&gt;&lt;wsp:rsid wsp:val=&quot;005644FD&quot;/&gt;&lt;wsp:rsid wsp:val=&quot;00571B37&quot;/&gt;&lt;wsp:rsid wsp:val=&quot;005907C3&quot;/&gt;&lt;wsp:rsid wsp:val=&quot;00590E9D&quot;/&gt;&lt;wsp:rsid wsp:val=&quot;005952AA&quot;/&gt;&lt;wsp:rsid wsp:val=&quot;00595777&quot;/&gt;&lt;wsp:rsid wsp:val=&quot;005A18DC&quot;/&gt;&lt;wsp:rsid wsp:val=&quot;005B4AF2&quot;/&gt;&lt;wsp:rsid wsp:val=&quot;005B692D&quot;/&gt;&lt;wsp:rsid wsp:val=&quot;005C1A86&quot;/&gt;&lt;wsp:rsid wsp:val=&quot;005D331D&quot;/&gt;&lt;wsp:rsid wsp:val=&quot;005F73D9&quot;/&gt;&lt;wsp:rsid wsp:val=&quot;0060439C&quot;/&gt;&lt;wsp:rsid wsp:val=&quot;006062B2&quot;/&gt;&lt;wsp:rsid wsp:val=&quot;00612B81&quot;/&gt;&lt;wsp:rsid wsp:val=&quot;00615D3E&quot;/&gt;&lt;wsp:rsid wsp:val=&quot;00617C1D&quot;/&gt;&lt;wsp:rsid wsp:val=&quot;00625690&quot;/&gt;&lt;wsp:rsid wsp:val=&quot;00626249&quot;/&gt;&lt;wsp:rsid wsp:val=&quot;00635D1F&quot;/&gt;&lt;wsp:rsid wsp:val=&quot;006458A9&quot;/&gt;&lt;wsp:rsid wsp:val=&quot;00647ABD&quot;/&gt;&lt;wsp:rsid wsp:val=&quot;00661231&quot;/&gt;&lt;wsp:rsid wsp:val=&quot;006640AB&quot;/&gt;&lt;wsp:rsid wsp:val=&quot;006709D5&quot;/&gt;&lt;wsp:rsid wsp:val=&quot;00670F3C&quot;/&gt;&lt;wsp:rsid wsp:val=&quot;006766DF&quot;/&gt;&lt;wsp:rsid wsp:val=&quot;00677349&quot;/&gt;&lt;wsp:rsid wsp:val=&quot;0068084A&quot;/&gt;&lt;wsp:rsid wsp:val=&quot;00697F27&quot;/&gt;&lt;wsp:rsid wsp:val=&quot;006A0325&quot;/&gt;&lt;wsp:rsid wsp:val=&quot;006A3163&quot;/&gt;&lt;wsp:rsid wsp:val=&quot;006A62A9&quot;/&gt;&lt;wsp:rsid wsp:val=&quot;006B36BC&quot;/&gt;&lt;wsp:rsid wsp:val=&quot;006B508E&quot;/&gt;&lt;wsp:rsid wsp:val=&quot;006C15B5&quot;/&gt;&lt;wsp:rsid wsp:val=&quot;006C4AA8&quot;/&gt;&lt;wsp:rsid wsp:val=&quot;006D0B09&quot;/&gt;&lt;wsp:rsid wsp:val=&quot;006E01D6&quot;/&gt;&lt;wsp:rsid wsp:val=&quot;006E5247&quot;/&gt;&lt;wsp:rsid wsp:val=&quot;006E5881&quot;/&gt;&lt;wsp:rsid wsp:val=&quot;006F5D40&quot;/&gt;&lt;wsp:rsid wsp:val=&quot;006F5D69&quot;/&gt;&lt;wsp:rsid wsp:val=&quot;006F7A26&quot;/&gt;&lt;wsp:rsid wsp:val=&quot;00702B62&quot;/&gt;&lt;wsp:rsid wsp:val=&quot;00702BE5&quot;/&gt;&lt;wsp:rsid wsp:val=&quot;00714E68&quot;/&gt;&lt;wsp:rsid wsp:val=&quot;007170D8&quot;/&gt;&lt;wsp:rsid wsp:val=&quot;00721385&quot;/&gt;&lt;wsp:rsid wsp:val=&quot;0072705A&quot;/&gt;&lt;wsp:rsid wsp:val=&quot;00741056&quot;/&gt;&lt;wsp:rsid wsp:val=&quot;00745CD1&quot;/&gt;&lt;wsp:rsid wsp:val=&quot;007528DD&quot;/&gt;&lt;wsp:rsid wsp:val=&quot;0076352A&quot;/&gt;&lt;wsp:rsid wsp:val=&quot;00763B1D&quot;/&gt;&lt;wsp:rsid wsp:val=&quot;00774545&quot;/&gt;&lt;wsp:rsid wsp:val=&quot;00781DDF&quot;/&gt;&lt;wsp:rsid wsp:val=&quot;00783A67&quot;/&gt;&lt;wsp:rsid wsp:val=&quot;00796795&quot;/&gt;&lt;wsp:rsid wsp:val=&quot;007A75F3&quot;/&gt;&lt;wsp:rsid wsp:val=&quot;007B2656&quot;/&gt;&lt;wsp:rsid wsp:val=&quot;007B3F79&quot;/&gt;&lt;wsp:rsid wsp:val=&quot;007B6C4C&quot;/&gt;&lt;wsp:rsid wsp:val=&quot;007C3B71&quot;/&gt;&lt;wsp:rsid wsp:val=&quot;007D15B8&quot;/&gt;&lt;wsp:rsid wsp:val=&quot;007D61DE&quot;/&gt;&lt;wsp:rsid wsp:val=&quot;007D7070&quot;/&gt;&lt;wsp:rsid wsp:val=&quot;007F3005&quot;/&gt;&lt;wsp:rsid wsp:val=&quot;007F4D32&quot;/&gt;&lt;wsp:rsid wsp:val=&quot;007F5499&quot;/&gt;&lt;wsp:rsid wsp:val=&quot;007F5932&quot;/&gt;&lt;wsp:rsid wsp:val=&quot;00802116&quot;/&gt;&lt;wsp:rsid wsp:val=&quot;008109AF&quot;/&gt;&lt;wsp:rsid wsp:val=&quot;00823438&quot;/&gt;&lt;wsp:rsid wsp:val=&quot;00823839&quot;/&gt;&lt;wsp:rsid wsp:val=&quot;00836406&quot;/&gt;&lt;wsp:rsid wsp:val=&quot;00837730&quot;/&gt;&lt;wsp:rsid wsp:val=&quot;00841F8A&quot;/&gt;&lt;wsp:rsid wsp:val=&quot;00843531&quot;/&gt;&lt;wsp:rsid wsp:val=&quot;00851114&quot;/&gt;&lt;wsp:rsid wsp:val=&quot;00851F95&quot;/&gt;&lt;wsp:rsid wsp:val=&quot;00861520&quot;/&gt;&lt;wsp:rsid wsp:val=&quot;00870820&quot;/&gt;&lt;wsp:rsid wsp:val=&quot;008723FF&quot;/&gt;&lt;wsp:rsid wsp:val=&quot;00877BBC&quot;/&gt;&lt;wsp:rsid wsp:val=&quot;008821D8&quot;/&gt;&lt;wsp:rsid wsp:val=&quot;00882463&quot;/&gt;&lt;wsp:rsid wsp:val=&quot;00886A62&quot;/&gt;&lt;wsp:rsid wsp:val=&quot;00887E3D&quot;/&gt;&lt;wsp:rsid wsp:val=&quot;008A4075&quot;/&gt;&lt;wsp:rsid wsp:val=&quot;008A5D82&quot;/&gt;&lt;wsp:rsid wsp:val=&quot;008C7AA9&quot;/&gt;&lt;wsp:rsid wsp:val=&quot;008D108C&quot;/&gt;&lt;wsp:rsid wsp:val=&quot;008E48A6&quot;/&gt;&lt;wsp:rsid wsp:val=&quot;008F4578&quot;/&gt;&lt;wsp:rsid wsp:val=&quot;00901C4E&quot;/&gt;&lt;wsp:rsid wsp:val=&quot;00913C39&quot;/&gt;&lt;wsp:rsid wsp:val=&quot;00915934&quot;/&gt;&lt;wsp:rsid wsp:val=&quot;00916CBD&quot;/&gt;&lt;wsp:rsid wsp:val=&quot;00922A5C&quot;/&gt;&lt;wsp:rsid wsp:val=&quot;009233CE&quot;/&gt;&lt;wsp:rsid wsp:val=&quot;00924E8D&quot;/&gt;&lt;wsp:rsid wsp:val=&quot;00934405&quot;/&gt;&lt;wsp:rsid wsp:val=&quot;00934E56&quot;/&gt;&lt;wsp:rsid wsp:val=&quot;00934F54&quot;/&gt;&lt;wsp:rsid wsp:val=&quot;0093740B&quot;/&gt;&lt;wsp:rsid wsp:val=&quot;00940B9C&quot;/&gt;&lt;wsp:rsid wsp:val=&quot;00945126&quot;/&gt;&lt;wsp:rsid wsp:val=&quot;00960FB2&quot;/&gt;&lt;wsp:rsid wsp:val=&quot;0096321F&quot;/&gt;&lt;wsp:rsid wsp:val=&quot;009745E9&quot;/&gt;&lt;wsp:rsid wsp:val=&quot;00974AA4&quot;/&gt;&lt;wsp:rsid wsp:val=&quot;0097618A&quot;/&gt;&lt;wsp:rsid wsp:val=&quot;00976992&quot;/&gt;&lt;wsp:rsid wsp:val=&quot;00982C85&quot;/&gt;&lt;wsp:rsid wsp:val=&quot;00995C50&quot;/&gt;&lt;wsp:rsid wsp:val=&quot;00996477&quot;/&gt;&lt;wsp:rsid wsp:val=&quot;009A26B1&quot;/&gt;&lt;wsp:rsid wsp:val=&quot;009A45F9&quot;/&gt;&lt;wsp:rsid wsp:val=&quot;009A510B&quot;/&gt;&lt;wsp:rsid wsp:val=&quot;009A65A5&quot;/&gt;&lt;wsp:rsid wsp:val=&quot;009C1EF5&quot;/&gt;&lt;wsp:rsid wsp:val=&quot;009D208B&quot;/&gt;&lt;wsp:rsid wsp:val=&quot;009D35A2&quot;/&gt;&lt;wsp:rsid wsp:val=&quot;009F21C2&quot;/&gt;&lt;wsp:rsid wsp:val=&quot;00A02313&quot;/&gt;&lt;wsp:rsid wsp:val=&quot;00A03145&quot;/&gt;&lt;wsp:rsid wsp:val=&quot;00A06E4C&quot;/&gt;&lt;wsp:rsid wsp:val=&quot;00A10D76&quot;/&gt;&lt;wsp:rsid wsp:val=&quot;00A11981&quot;/&gt;&lt;wsp:rsid wsp:val=&quot;00A125F7&quot;/&gt;&lt;wsp:rsid wsp:val=&quot;00A13F5D&quot;/&gt;&lt;wsp:rsid wsp:val=&quot;00A2027C&quot;/&gt;&lt;wsp:rsid wsp:val=&quot;00A210E9&quot;/&gt;&lt;wsp:rsid wsp:val=&quot;00A21437&quot;/&gt;&lt;wsp:rsid wsp:val=&quot;00A22681&quot;/&gt;&lt;wsp:rsid wsp:val=&quot;00A23C3F&quot;/&gt;&lt;wsp:rsid wsp:val=&quot;00A24348&quot;/&gt;&lt;wsp:rsid wsp:val=&quot;00A246F0&quot;/&gt;&lt;wsp:rsid wsp:val=&quot;00A2588C&quot;/&gt;&lt;wsp:rsid wsp:val=&quot;00A27248&quot;/&gt;&lt;wsp:rsid wsp:val=&quot;00A27AEF&quot;/&gt;&lt;wsp:rsid wsp:val=&quot;00A31C18&quot;/&gt;&lt;wsp:rsid wsp:val=&quot;00A3578B&quot;/&gt;&lt;wsp:rsid wsp:val=&quot;00A42617&quot;/&gt;&lt;wsp:rsid wsp:val=&quot;00A56EDD&quot;/&gt;&lt;wsp:rsid wsp:val=&quot;00A6289F&quot;/&gt;&lt;wsp:rsid wsp:val=&quot;00A629CF&quot;/&gt;&lt;wsp:rsid wsp:val=&quot;00A62D5C&quot;/&gt;&lt;wsp:rsid wsp:val=&quot;00A64F8F&quot;/&gt;&lt;wsp:rsid wsp:val=&quot;00A724CF&quot;/&gt;&lt;wsp:rsid wsp:val=&quot;00A848EC&quot;/&gt;&lt;wsp:rsid wsp:val=&quot;00A91F87&quot;/&gt;&lt;wsp:rsid wsp:val=&quot;00A976E7&quot;/&gt;&lt;wsp:rsid wsp:val=&quot;00AA0633&quot;/&gt;&lt;wsp:rsid wsp:val=&quot;00AA5735&quot;/&gt;&lt;wsp:rsid wsp:val=&quot;00AB0768&quot;/&gt;&lt;wsp:rsid wsp:val=&quot;00AB2AB5&quot;/&gt;&lt;wsp:rsid wsp:val=&quot;00AB2C54&quot;/&gt;&lt;wsp:rsid wsp:val=&quot;00AB6B20&quot;/&gt;&lt;wsp:rsid wsp:val=&quot;00AC2F60&quot;/&gt;&lt;wsp:rsid wsp:val=&quot;00AC3E55&quot;/&gt;&lt;wsp:rsid wsp:val=&quot;00AC6F55&quot;/&gt;&lt;wsp:rsid wsp:val=&quot;00AD210A&quot;/&gt;&lt;wsp:rsid wsp:val=&quot;00AD6313&quot;/&gt;&lt;wsp:rsid wsp:val=&quot;00AE55EB&quot;/&gt;&lt;wsp:rsid wsp:val=&quot;00AE7B0D&quot;/&gt;&lt;wsp:rsid wsp:val=&quot;00AF134D&quot;/&gt;&lt;wsp:rsid wsp:val=&quot;00AF567A&quot;/&gt;&lt;wsp:rsid wsp:val=&quot;00AF6452&quot;/&gt;&lt;wsp:rsid wsp:val=&quot;00AF747B&quot;/&gt;&lt;wsp:rsid wsp:val=&quot;00B0235E&quot;/&gt;&lt;wsp:rsid wsp:val=&quot;00B063E3&quot;/&gt;&lt;wsp:rsid wsp:val=&quot;00B07F2E&quot;/&gt;&lt;wsp:rsid wsp:val=&quot;00B2508A&quot;/&gt;&lt;wsp:rsid wsp:val=&quot;00B32DD3&quot;/&gt;&lt;wsp:rsid wsp:val=&quot;00B34306&quot;/&gt;&lt;wsp:rsid wsp:val=&quot;00B50513&quot;/&gt;&lt;wsp:rsid wsp:val=&quot;00B540AB&quot;/&gt;&lt;wsp:rsid wsp:val=&quot;00B61A26&quot;/&gt;&lt;wsp:rsid wsp:val=&quot;00B658DA&quot;/&gt;&lt;wsp:rsid wsp:val=&quot;00B83AFB&quot;/&gt;&lt;wsp:rsid wsp:val=&quot;00B83FCF&quot;/&gt;&lt;wsp:rsid wsp:val=&quot;00B87246&quot;/&gt;&lt;wsp:rsid wsp:val=&quot;00B87C1A&quot;/&gt;&lt;wsp:rsid wsp:val=&quot;00B93F38&quot;/&gt;&lt;wsp:rsid wsp:val=&quot;00B959E3&quot;/&gt;&lt;wsp:rsid wsp:val=&quot;00B9695D&quot;/&gt;&lt;wsp:rsid wsp:val=&quot;00BA3342&quot;/&gt;&lt;wsp:rsid wsp:val=&quot;00BA3788&quot;/&gt;&lt;wsp:rsid wsp:val=&quot;00BA61AE&quot;/&gt;&lt;wsp:rsid wsp:val=&quot;00BB1EFE&quot;/&gt;&lt;wsp:rsid wsp:val=&quot;00BC52B6&quot;/&gt;&lt;wsp:rsid wsp:val=&quot;00BD7BA5&quot;/&gt;&lt;wsp:rsid wsp:val=&quot;00BE008E&quot;/&gt;&lt;wsp:rsid wsp:val=&quot;00BE61F2&quot;/&gt;&lt;wsp:rsid wsp:val=&quot;00BF3553&quot;/&gt;&lt;wsp:rsid wsp:val=&quot;00C0701B&quot;/&gt;&lt;wsp:rsid wsp:val=&quot;00C07A53&quot;/&gt;&lt;wsp:rsid wsp:val=&quot;00C14BF1&quot;/&gt;&lt;wsp:rsid wsp:val=&quot;00C162FE&quot;/&gt;&lt;wsp:rsid wsp:val=&quot;00C219EB&quot;/&gt;&lt;wsp:rsid wsp:val=&quot;00C43202&quot;/&gt;&lt;wsp:rsid wsp:val=&quot;00C45F6A&quot;/&gt;&lt;wsp:rsid wsp:val=&quot;00C47F10&quot;/&gt;&lt;wsp:rsid wsp:val=&quot;00C52130&quot;/&gt;&lt;wsp:rsid wsp:val=&quot;00C529FA&quot;/&gt;&lt;wsp:rsid wsp:val=&quot;00C55ACA&quot;/&gt;&lt;wsp:rsid wsp:val=&quot;00C55C88&quot;/&gt;&lt;wsp:rsid wsp:val=&quot;00C56D94&quot;/&gt;&lt;wsp:rsid wsp:val=&quot;00C61861&quot;/&gt;&lt;wsp:rsid wsp:val=&quot;00C742D2&quot;/&gt;&lt;wsp:rsid wsp:val=&quot;00C77595&quot;/&gt;&lt;wsp:rsid wsp:val=&quot;00C805FF&quot;/&gt;&lt;wsp:rsid wsp:val=&quot;00C829EE&quot;/&gt;&lt;wsp:rsid wsp:val=&quot;00C8373B&quot;/&gt;&lt;wsp:rsid wsp:val=&quot;00CA4C6B&quot;/&gt;&lt;wsp:rsid wsp:val=&quot;00CA51E5&quot;/&gt;&lt;wsp:rsid wsp:val=&quot;00CB1B40&quot;/&gt;&lt;wsp:rsid wsp:val=&quot;00CB52B3&quot;/&gt;&lt;wsp:rsid wsp:val=&quot;00CC03DC&quot;/&gt;&lt;wsp:rsid wsp:val=&quot;00CC1E05&quot;/&gt;&lt;wsp:rsid wsp:val=&quot;00CC6A8E&quot;/&gt;&lt;wsp:rsid wsp:val=&quot;00CD29F5&quot;/&gt;&lt;wsp:rsid wsp:val=&quot;00CE3A32&quot;/&gt;&lt;wsp:rsid wsp:val=&quot;00CE598D&quot;/&gt;&lt;wsp:rsid wsp:val=&quot;00CF64AF&quot;/&gt;&lt;wsp:rsid wsp:val=&quot;00CF7F6C&quot;/&gt;&lt;wsp:rsid wsp:val=&quot;00D026D8&quot;/&gt;&lt;wsp:rsid wsp:val=&quot;00D02FFE&quot;/&gt;&lt;wsp:rsid wsp:val=&quot;00D038DF&quot;/&gt;&lt;wsp:rsid wsp:val=&quot;00D050D1&quot;/&gt;&lt;wsp:rsid wsp:val=&quot;00D13404&quot;/&gt;&lt;wsp:rsid wsp:val=&quot;00D21F39&quot;/&gt;&lt;wsp:rsid wsp:val=&quot;00D229BB&quot;/&gt;&lt;wsp:rsid wsp:val=&quot;00D32A4D&quot;/&gt;&lt;wsp:rsid wsp:val=&quot;00D34583&quot;/&gt;&lt;wsp:rsid wsp:val=&quot;00D36B20&quot;/&gt;&lt;wsp:rsid wsp:val=&quot;00D45AAA&quot;/&gt;&lt;wsp:rsid wsp:val=&quot;00D45F8B&quot;/&gt;&lt;wsp:rsid wsp:val=&quot;00D532A2&quot;/&gt;&lt;wsp:rsid wsp:val=&quot;00D54329&quot;/&gt;&lt;wsp:rsid wsp:val=&quot;00D6125C&quot;/&gt;&lt;wsp:rsid wsp:val=&quot;00D7137B&quot;/&gt;&lt;wsp:rsid wsp:val=&quot;00D73C18&quot;/&gt;&lt;wsp:rsid wsp:val=&quot;00D85893&quot;/&gt;&lt;wsp:rsid wsp:val=&quot;00D86E07&quot;/&gt;&lt;wsp:rsid wsp:val=&quot;00D91CF6&quot;/&gt;&lt;wsp:rsid wsp:val=&quot;00D9555C&quot;/&gt;&lt;wsp:rsid wsp:val=&quot;00DA4613&quot;/&gt;&lt;wsp:rsid wsp:val=&quot;00DB28F0&quot;/&gt;&lt;wsp:rsid wsp:val=&quot;00DB34A1&quot;/&gt;&lt;wsp:rsid wsp:val=&quot;00DB34F2&quot;/&gt;&lt;wsp:rsid wsp:val=&quot;00DB603F&quot;/&gt;&lt;wsp:rsid wsp:val=&quot;00DB6BFE&quot;/&gt;&lt;wsp:rsid wsp:val=&quot;00DC10FE&quot;/&gt;&lt;wsp:rsid wsp:val=&quot;00DC262C&quot;/&gt;&lt;wsp:rsid wsp:val=&quot;00DC5051&quot;/&gt;&lt;wsp:rsid wsp:val=&quot;00DC5508&quot;/&gt;&lt;wsp:rsid wsp:val=&quot;00DC792A&quot;/&gt;&lt;wsp:rsid wsp:val=&quot;00DD4A8C&quot;/&gt;&lt;wsp:rsid wsp:val=&quot;00DD614E&quot;/&gt;&lt;wsp:rsid wsp:val=&quot;00DD6BCC&quot;/&gt;&lt;wsp:rsid wsp:val=&quot;00DE52B2&quot;/&gt;&lt;wsp:rsid wsp:val=&quot;00DF2042&quot;/&gt;&lt;wsp:rsid wsp:val=&quot;00E12E92&quot;/&gt;&lt;wsp:rsid wsp:val=&quot;00E1301D&quot;/&gt;&lt;wsp:rsid wsp:val=&quot;00E23254&quot;/&gt;&lt;wsp:rsid wsp:val=&quot;00E23847&quot;/&gt;&lt;wsp:rsid wsp:val=&quot;00E242C4&quot;/&gt;&lt;wsp:rsid wsp:val=&quot;00E42A43&quot;/&gt;&lt;wsp:rsid wsp:val=&quot;00E45502&quot;/&gt;&lt;wsp:rsid wsp:val=&quot;00E541FA&quot;/&gt;&lt;wsp:rsid wsp:val=&quot;00E55B55&quot;/&gt;&lt;wsp:rsid wsp:val=&quot;00E60189&quot;/&gt;&lt;wsp:rsid wsp:val=&quot;00E626E0&quot;/&gt;&lt;wsp:rsid wsp:val=&quot;00E649E9&quot;/&gt;&lt;wsp:rsid wsp:val=&quot;00E70652&quot;/&gt;&lt;wsp:rsid wsp:val=&quot;00E73AFC&quot;/&gt;&lt;wsp:rsid wsp:val=&quot;00E84528&quot;/&gt;&lt;wsp:rsid wsp:val=&quot;00E91108&quot;/&gt;&lt;wsp:rsid wsp:val=&quot;00EA492A&quot;/&gt;&lt;wsp:rsid wsp:val=&quot;00EA586F&quot;/&gt;&lt;wsp:rsid wsp:val=&quot;00EB2E3E&quot;/&gt;&lt;wsp:rsid wsp:val=&quot;00EB32EE&quot;/&gt;&lt;wsp:rsid wsp:val=&quot;00EB6AE0&quot;/&gt;&lt;wsp:rsid wsp:val=&quot;00EC1D53&quot;/&gt;&lt;wsp:rsid wsp:val=&quot;00EC28F8&quot;/&gt;&lt;wsp:rsid wsp:val=&quot;00EC55E1&quot;/&gt;&lt;wsp:rsid wsp:val=&quot;00EC598F&quot;/&gt;&lt;wsp:rsid wsp:val=&quot;00ED19E7&quot;/&gt;&lt;wsp:rsid wsp:val=&quot;00ED1E40&quot;/&gt;&lt;wsp:rsid wsp:val=&quot;00ED2FE4&quot;/&gt;&lt;wsp:rsid wsp:val=&quot;00EE2B10&quot;/&gt;&lt;wsp:rsid wsp:val=&quot;00EE5875&quot;/&gt;&lt;wsp:rsid wsp:val=&quot;00EE636E&quot;/&gt;&lt;wsp:rsid wsp:val=&quot;00EF15DB&quot;/&gt;&lt;wsp:rsid wsp:val=&quot;00EF38D2&quot;/&gt;&lt;wsp:rsid wsp:val=&quot;00EF50C1&quot;/&gt;&lt;wsp:rsid wsp:val=&quot;00F042BA&quot;/&gt;&lt;wsp:rsid wsp:val=&quot;00F04417&quot;/&gt;&lt;wsp:rsid wsp:val=&quot;00F1234E&quot;/&gt;&lt;wsp:rsid wsp:val=&quot;00F1485D&quot;/&gt;&lt;wsp:rsid wsp:val=&quot;00F420C0&quot;/&gt;&lt;wsp:rsid wsp:val=&quot;00F449D6&quot;/&gt;&lt;wsp:rsid wsp:val=&quot;00F50958&quot;/&gt;&lt;wsp:rsid wsp:val=&quot;00F643C1&quot;/&gt;&lt;wsp:rsid wsp:val=&quot;00F6576D&quot;/&gt;&lt;wsp:rsid wsp:val=&quot;00F769A5&quot;/&gt;&lt;wsp:rsid wsp:val=&quot;00F802A2&quot;/&gt;&lt;wsp:rsid wsp:val=&quot;00F81A88&quot;/&gt;&lt;wsp:rsid wsp:val=&quot;00F829A4&quot;/&gt;&lt;wsp:rsid wsp:val=&quot;00F92152&quot;/&gt;&lt;wsp:rsid wsp:val=&quot;00F93931&quot;/&gt;&lt;wsp:rsid wsp:val=&quot;00FA6C6D&quot;/&gt;&lt;wsp:rsid wsp:val=&quot;00FB06CA&quot;/&gt;&lt;wsp:rsid wsp:val=&quot;00FB3040&quot;/&gt;&lt;wsp:rsid wsp:val=&quot;00FB57AD&quot;/&gt;&lt;wsp:rsid wsp:val=&quot;00FC5E15&quot;/&gt;&lt;wsp:rsid wsp:val=&quot;00FD0CF3&quot;/&gt;&lt;wsp:rsid wsp:val=&quot;00FE2898&quot;/&gt;&lt;wsp:rsid wsp:val=&quot;00FE52F3&quot;/&gt;&lt;wsp:rsid wsp:val=&quot;01037A6C&quot;/&gt;&lt;wsp:rsid wsp:val=&quot;012303DA&quot;/&gt;&lt;wsp:rsid wsp:val=&quot;029A3241&quot;/&gt;&lt;wsp:rsid wsp:val=&quot;05BD5B72&quot;/&gt;&lt;wsp:rsid wsp:val=&quot;062E14E1&quot;/&gt;&lt;wsp:rsid wsp:val=&quot;06904004&quot;/&gt;&lt;wsp:rsid wsp:val=&quot;06C940AA&quot;/&gt;&lt;wsp:rsid wsp:val=&quot;082246A9&quot;/&gt;&lt;wsp:rsid wsp:val=&quot;0B9156CD&quot;/&gt;&lt;wsp:rsid wsp:val=&quot;0B9D016D&quot;/&gt;&lt;wsp:rsid wsp:val=&quot;0BBF7FD1&quot;/&gt;&lt;wsp:rsid wsp:val=&quot;0C6E14BD&quot;/&gt;&lt;wsp:rsid wsp:val=&quot;0DCC3209&quot;/&gt;&lt;wsp:rsid wsp:val=&quot;0E145E07&quot;/&gt;&lt;wsp:rsid wsp:val=&quot;100C408A&quot;/&gt;&lt;wsp:rsid wsp:val=&quot;11793575&quot;/&gt;&lt;wsp:rsid wsp:val=&quot;11E31DC9&quot;/&gt;&lt;wsp:rsid wsp:val=&quot;120D3864&quot;/&gt;&lt;wsp:rsid wsp:val=&quot;124317D1&quot;/&gt;&lt;wsp:rsid wsp:val=&quot;12CD390D&quot;/&gt;&lt;wsp:rsid wsp:val=&quot;12F56AC4&quot;/&gt;&lt;wsp:rsid wsp:val=&quot;13624313&quot;/&gt;&lt;wsp:rsid wsp:val=&quot;13671533&quot;/&gt;&lt;wsp:rsid wsp:val=&quot;14337B5D&quot;/&gt;&lt;wsp:rsid wsp:val=&quot;14E96861&quot;/&gt;&lt;wsp:rsid wsp:val=&quot;154D1EF4&quot;/&gt;&lt;wsp:rsid wsp:val=&quot;16444905&quot;/&gt;&lt;wsp:rsid wsp:val=&quot;165C40C2&quot;/&gt;&lt;wsp:rsid wsp:val=&quot;168D6C47&quot;/&gt;&lt;wsp:rsid wsp:val=&quot;1732396E&quot;/&gt;&lt;wsp:rsid wsp:val=&quot;18737BFE&quot;/&gt;&lt;wsp:rsid wsp:val=&quot;1AF67C9A&quot;/&gt;&lt;wsp:rsid wsp:val=&quot;1BB44F30&quot;/&gt;&lt;wsp:rsid wsp:val=&quot;1C2317D5&quot;/&gt;&lt;wsp:rsid wsp:val=&quot;1CA2473D&quot;/&gt;&lt;wsp:rsid wsp:val=&quot;1CBF6EB0&quot;/&gt;&lt;wsp:rsid wsp:val=&quot;1CE8309B&quot;/&gt;&lt;wsp:rsid wsp:val=&quot;1D2F4485&quot;/&gt;&lt;wsp:rsid wsp:val=&quot;1DC36F6E&quot;/&gt;&lt;wsp:rsid wsp:val=&quot;1EB11585&quot;/&gt;&lt;wsp:rsid wsp:val=&quot;1F50668E&quot;/&gt;&lt;wsp:rsid wsp:val=&quot;1F5323D5&quot;/&gt;&lt;wsp:rsid wsp:val=&quot;201231AA&quot;/&gt;&lt;wsp:rsid wsp:val=&quot;21214905&quot;/&gt;&lt;wsp:rsid wsp:val=&quot;217D27F3&quot;/&gt;&lt;wsp:rsid wsp:val=&quot;223D1F05&quot;/&gt;&lt;wsp:rsid wsp:val=&quot;224D5E30&quot;/&gt;&lt;wsp:rsid wsp:val=&quot;228D2A89&quot;/&gt;&lt;wsp:rsid wsp:val=&quot;23204060&quot;/&gt;&lt;wsp:rsid wsp:val=&quot;257D135B&quot;/&gt;&lt;wsp:rsid wsp:val=&quot;25B77020&quot;/&gt;&lt;wsp:rsid wsp:val=&quot;25FB3021&quot;/&gt;&lt;wsp:rsid wsp:val=&quot;269E5976&quot;/&gt;&lt;wsp:rsid wsp:val=&quot;28F272DD&quot;/&gt;&lt;wsp:rsid wsp:val=&quot;29447869&quot;/&gt;&lt;wsp:rsid wsp:val=&quot;294D3C07&quot;/&gt;&lt;wsp:rsid wsp:val=&quot;2A1A1C7C&quot;/&gt;&lt;wsp:rsid wsp:val=&quot;2AF776EF&quot;/&gt;&lt;wsp:rsid wsp:val=&quot;2B8156C2&quot;/&gt;&lt;wsp:rsid wsp:val=&quot;2C9338C0&quot;/&gt;&lt;wsp:rsid wsp:val=&quot;2DBE7F7B&quot;/&gt;&lt;wsp:rsid wsp:val=&quot;2DC47C67&quot;/&gt;&lt;wsp:rsid wsp:val=&quot;2E207E6D&quot;/&gt;&lt;wsp:rsid wsp:val=&quot;2E344DBB&quot;/&gt;&lt;wsp:rsid wsp:val=&quot;2E655BB7&quot;/&gt;&lt;wsp:rsid wsp:val=&quot;30A852D7&quot;/&gt;&lt;wsp:rsid wsp:val=&quot;318B0D2B&quot;/&gt;&lt;wsp:rsid wsp:val=&quot;32D01768&quot;/&gt;&lt;wsp:rsid wsp:val=&quot;33840FDF&quot;/&gt;&lt;wsp:rsid wsp:val=&quot;33A07381&quot;/&gt;&lt;wsp:rsid wsp:val=&quot;33C12C19&quot;/&gt;&lt;wsp:rsid wsp:val=&quot;3497282D&quot;/&gt;&lt;wsp:rsid wsp:val=&quot;34B90466&quot;/&gt;&lt;wsp:rsid wsp:val=&quot;352F2AD5&quot;/&gt;&lt;wsp:rsid wsp:val=&quot;367A64EA&quot;/&gt;&lt;wsp:rsid wsp:val=&quot;36843D97&quot;/&gt;&lt;wsp:rsid wsp:val=&quot;377A526B&quot;/&gt;&lt;wsp:rsid wsp:val=&quot;37C0590E&quot;/&gt;&lt;wsp:rsid wsp:val=&quot;38B916AD&quot;/&gt;&lt;wsp:rsid wsp:val=&quot;398B3C53&quot;/&gt;&lt;wsp:rsid wsp:val=&quot;3A4C09D6&quot;/&gt;&lt;wsp:rsid wsp:val=&quot;3A7430ED&quot;/&gt;&lt;wsp:rsid wsp:val=&quot;3AEA146D&quot;/&gt;&lt;wsp:rsid wsp:val=&quot;3BE22A2E&quot;/&gt;&lt;wsp:rsid wsp:val=&quot;3E2D33B6&quot;/&gt;&lt;wsp:rsid wsp:val=&quot;3FAF4A94&quot;/&gt;&lt;wsp:rsid wsp:val=&quot;40EC2EC6&quot;/&gt;&lt;wsp:rsid wsp:val=&quot;41F7379F&quot;/&gt;&lt;wsp:rsid wsp:val=&quot;427706CF&quot;/&gt;&lt;wsp:rsid wsp:val=&quot;42830893&quot;/&gt;&lt;wsp:rsid wsp:val=&quot;42ED57E8&quot;/&gt;&lt;wsp:rsid wsp:val=&quot;43C81D85&quot;/&gt;&lt;wsp:rsid wsp:val=&quot;43E91871&quot;/&gt;&lt;wsp:rsid wsp:val=&quot;445F3804&quot;/&gt;&lt;wsp:rsid wsp:val=&quot;45810FAE&quot;/&gt;&lt;wsp:rsid wsp:val=&quot;461A3335&quot;/&gt;&lt;wsp:rsid wsp:val=&quot;469002DD&quot;/&gt;&lt;wsp:rsid wsp:val=&quot;46E60707&quot;/&gt;&lt;wsp:rsid wsp:val=&quot;475C0FFA&quot;/&gt;&lt;wsp:rsid wsp:val=&quot;496958D6&quot;/&gt;&lt;wsp:rsid wsp:val=&quot;4A4B41EA&quot;/&gt;&lt;wsp:rsid wsp:val=&quot;4A8171A8&quot;/&gt;&lt;wsp:rsid wsp:val=&quot;4AC52D88&quot;/&gt;&lt;wsp:rsid wsp:val=&quot;4B49415E&quot;/&gt;&lt;wsp:rsid wsp:val=&quot;4B620C8E&quot;/&gt;&lt;wsp:rsid wsp:val=&quot;4B923558&quot;/&gt;&lt;wsp:rsid wsp:val=&quot;4C534A71&quot;/&gt;&lt;wsp:rsid wsp:val=&quot;4CFF51CE&quot;/&gt;&lt;wsp:rsid wsp:val=&quot;4D610F6F&quot;/&gt;&lt;wsp:rsid wsp:val=&quot;4D742AAE&quot;/&gt;&lt;wsp:rsid wsp:val=&quot;50C412D1&quot;/&gt;&lt;wsp:rsid wsp:val=&quot;51977DD6&quot;/&gt;&lt;wsp:rsid wsp:val=&quot;51EB34D8&quot;/&gt;&lt;wsp:rsid wsp:val=&quot;52186FD2&quot;/&gt;&lt;wsp:rsid wsp:val=&quot;527A6F27&quot;/&gt;&lt;wsp:rsid wsp:val=&quot;539F4DBE&quot;/&gt;&lt;wsp:rsid wsp:val=&quot;53EE0447&quot;/&gt;&lt;wsp:rsid wsp:val=&quot;551E60F7&quot;/&gt;&lt;wsp:rsid wsp:val=&quot;552476A0&quot;/&gt;&lt;wsp:rsid wsp:val=&quot;56526909&quot;/&gt;&lt;wsp:rsid wsp:val=&quot;580418FA&quot;/&gt;&lt;wsp:rsid wsp:val=&quot;586D2A06&quot;/&gt;&lt;wsp:rsid wsp:val=&quot;58ED2159&quot;/&gt;&lt;wsp:rsid wsp:val=&quot;5A69095F&quot;/&gt;&lt;wsp:rsid wsp:val=&quot;5B402C3B&quot;/&gt;&lt;wsp:rsid wsp:val=&quot;5B560C8F&quot;/&gt;&lt;wsp:rsid wsp:val=&quot;5B744E01&quot;/&gt;&lt;wsp:rsid wsp:val=&quot;5E20372F&quot;/&gt;&lt;wsp:rsid wsp:val=&quot;5E5233BC&quot;/&gt;&lt;wsp:rsid wsp:val=&quot;5F0A20AB&quot;/&gt;&lt;wsp:rsid wsp:val=&quot;612D488A&quot;/&gt;&lt;wsp:rsid wsp:val=&quot;61BE483F&quot;/&gt;&lt;wsp:rsid wsp:val=&quot;62526C4C&quot;/&gt;&lt;wsp:rsid wsp:val=&quot;62AE1A69&quot;/&gt;&lt;wsp:rsid wsp:val=&quot;63584566&quot;/&gt;&lt;wsp:rsid wsp:val=&quot;64830780&quot;/&gt;&lt;wsp:rsid wsp:val=&quot;657728CC&quot;/&gt;&lt;wsp:rsid wsp:val=&quot;65E40697&quot;/&gt;&lt;wsp:rsid wsp:val=&quot;65E46A39&quot;/&gt;&lt;wsp:rsid wsp:val=&quot;6753784C&quot;/&gt;&lt;wsp:rsid wsp:val=&quot;680410E0&quot;/&gt;&lt;wsp:rsid wsp:val=&quot;685D626F&quot;/&gt;&lt;wsp:rsid wsp:val=&quot;68812414&quot;/&gt;&lt;wsp:rsid wsp:val=&quot;6946268F&quot;/&gt;&lt;wsp:rsid wsp:val=&quot;69BE4B78&quot;/&gt;&lt;wsp:rsid wsp:val=&quot;6A7D4CF6&quot;/&gt;&lt;wsp:rsid wsp:val=&quot;6B133038&quot;/&gt;&lt;wsp:rsid wsp:val=&quot;6C4017C5&quot;/&gt;&lt;wsp:rsid wsp:val=&quot;6D4B0B13&quot;/&gt;&lt;wsp:rsid wsp:val=&quot;6E1B5AC1&quot;/&gt;&lt;wsp:rsid wsp:val=&quot;6FBE472E&quot;/&gt;&lt;wsp:rsid wsp:val=&quot;713D4F8D&quot;/&gt;&lt;wsp:rsid wsp:val=&quot;71790D2A&quot;/&gt;&lt;wsp:rsid wsp:val=&quot;71FC7A3F&quot;/&gt;&lt;wsp:rsid wsp:val=&quot;7216080E&quot;/&gt;&lt;wsp:rsid wsp:val=&quot;724E1573&quot;/&gt;&lt;wsp:rsid wsp:val=&quot;739D64AC&quot;/&gt;&lt;wsp:rsid wsp:val=&quot;73F94B5F&quot;/&gt;&lt;wsp:rsid wsp:val=&quot;740E74C8&quot;/&gt;&lt;wsp:rsid wsp:val=&quot;743B1B4D&quot;/&gt;&lt;wsp:rsid wsp:val=&quot;755A5450&quot;/&gt;&lt;wsp:rsid wsp:val=&quot;75854619&quot;/&gt;&lt;wsp:rsid wsp:val=&quot;75E27B46&quot;/&gt;&lt;wsp:rsid wsp:val=&quot;77D44135&quot;/&gt;&lt;wsp:rsid wsp:val=&quot;77EF1AB8&quot;/&gt;&lt;wsp:rsid wsp:val=&quot;77FE4123&quot;/&gt;&lt;wsp:rsid wsp:val=&quot;7880754E&quot;/&gt;&lt;wsp:rsid wsp:val=&quot;7B041EC6&quot;/&gt;&lt;wsp:rsid wsp:val=&quot;7B14604E&quot;/&gt;&lt;wsp:rsid wsp:val=&quot;7B953AFA&quot;/&gt;&lt;wsp:rsid wsp:val=&quot;7C741EE3&quot;/&gt;&lt;wsp:rsid wsp:val=&quot;7CDC4939&quot;/&gt;&lt;wsp:rsid wsp:val=&quot;7CDF5254&quot;/&gt;&lt;wsp:rsid wsp:val=&quot;7D453F99&quot;/&gt;&lt;wsp:rsid wsp:val=&quot;7D9517B4&quot;/&gt;&lt;wsp:rsid wsp:val=&quot;7E1773D4&quot;/&gt;&lt;wsp:rsid wsp:val=&quot;7E6363CA&quot;/&gt;&lt;wsp:rsid wsp:val=&quot;7EC470AD&quot;/&gt;&lt;wsp:rsid wsp:val=&quot;7F3A28BC&quot;/&gt;&lt;wsp:rsid wsp:val=&quot;7FC15FB5&quot;/&gt;&lt;wsp:rsid wsp:val=&quot;EEBD3406&quot;/&gt;&lt;/wsp:rsids&gt;&lt;/w:docPr&gt;&lt;w:body&gt;&lt;wx:sect&gt;&lt;w:p wsp:rsidR=&quot;00000000&quot; wsp:rsidRDefault=&quot;004354E2&quot; wsp:rsidP=&quot;004354E2&quot;&gt;&lt;w:pPr&gt;&lt;w:ind w:first-line=&quot;480&quot;/&gt;&lt;/w:pPr&gt;&lt;m:oMathPara&gt;&lt;m:oMath&gt;&lt;m:sSub&gt;&lt;m:sSubPr&gt;&lt;m:ctrlPr&gt;&lt;w:rPr&gt;&lt;w:rFonts w:ascii=&quot;Cambria Math&quot; w:h-ansi=&quot;Cambria Math&quot;/&gt;&lt;wx:font wx:val=&quot;Cambria Math&quot;/&gt;&lt;w:i/&gt;&lt;w:sz-cs w:val=&quot;22&quot;/&gt;&lt;/w:rPr&gt;&lt;/m:ctrlPr&gt;&lt;/m:sSubPr&gt;&lt;m:e&gt;&lt;m:r&gt;&lt;w:rPr&gt;&lt;w:rFonts w:ascii=&quot;Cambria Math&quot; w:h-ansi=&quot;Cambria Math&quot;/&gt;&lt;wx:font wx:val=&quot;Cambria Math&quot;/&gt;&lt;w:i/&gt;&lt;w:sz-cs w:val=&quot;22&quot;/&gt;&lt;/w:rPr&gt;&lt;m:t&gt;α&lt;/m:t&gt;&lt;/m:r&gt;&lt;/m:e&gt;&lt;m:sub&gt;&lt;mwwwwwwwwwwwwwwwwww:r:&gt;&lt;w:rPr&gt;&lt;w:rFonts w:ascii=&quot;Cambria Math&quot; w:h-ansi=&quot;Cambria Math&quot;/&gt;&lt;wx:font wx:val=&quot;Cambria Math&quot;/&gt;&lt;w:i/&gt;&lt;w:sz-cs w:val=&quot;22&quot;/&gt;&lt;/w:rPr&gt;&lt;m:t&gt;L&lt;/m:t&gt;&lt;/m:r&gt;&lt;/m:sub&gt;&lt;/m:sSub&gt;&lt;m:r&gt;&lt;w:rPr&gt;&lt;w:rFonts w:ascii=&quot;Cambria Math&quot; w:h-ansi=&quot;Cambria Math&quot;/&gt;&lt;wx:font wx:val=&quot;Cambria Math&quot;/&gt;&lt;w:i/&gt;&lt;w:sz-cs w:val=&quot;22&quot;/&gt;&lt;/w:rPr&gt;&lt;m:t&gt;,&lt;/m:t&gt;&lt;/m:r&gt;&lt;m:sSub&gt;&lt;m:sSubPr&gt;&lt;m:ctrlPr&gt;&lt;w:rPr&gt;&lt;w:rFonts w:ascii=&quot;Cambria Math&quot; w:h-ansi=&quot;Cambria Math&quot;/&gt;&lt;wx:font wx:val=&quot;Cambria Math&quot;/&gt;&lt;w:i/&gt;&lt;w:sz-cs w:val=&quot;22&quot;/&gt;&lt;/w:rPr&gt;&lt;/m:ctrlPr&gt;&lt;/m:sSubPr&gt;&lt;m:e&gt;&lt;m:r&gt;&lt;w:rPr&gt;&lt;w:rFonts w:ascii=&quot;Cambria Math&quot; w:h-ansi=&quot;Cambria Math&quot;/&gt;&lt;wx:font wx:val=&quot;Cambria Math&quot;/&gt;&lt;w:i/&gt;&lt;w:sz-cs w:val=&quot;22&quot;/&gt;&lt;/w:rPr&gt;&lt;m:t&gt;α&lt;/m:t&gt;&lt;/m:r&gt;&lt;/m:e&gt;&lt;m:sub&gt;&lt;m:r&gt;&lt;w:rPr&gt;&lt;w:rFonts w:ascii=&quot;Cambria Math&quot; w:h-ansi=&quot;Cambria Matrhl&quot;P/r&gt;&gt;&lt;&lt;w/xm::fsoSnutb Pwrx&gt;:&lt;vmal=&gt;&quot;Cambria Math&quot;/&gt;&lt;w:i/&gt;&lt;w:sz-cs w:val=&quot;22&quot;/&gt;&lt;/w:rPr&gt;&lt;m:t&gt;T&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path/>
            <v:fill on="f" focussize="0,0"/>
            <v:stroke on="f" joinstyle="miter"/>
            <v:imagedata r:id="rId186" chromakey="#FFFFFF" o:title=""/>
            <o:lock v:ext="edit" aspectratio="t"/>
            <w10:wrap type="none"/>
            <w10:anchorlock/>
          </v:shape>
        </w:pict>
      </w:r>
      <w:r>
        <w:rPr>
          <w:rFonts w:hAnsi="Times New Roman" w:eastAsia="宋体"/>
          <w:szCs w:val="22"/>
        </w:rPr>
        <w:fldChar w:fldCharType="end"/>
      </w:r>
      <w:r>
        <w:rPr>
          <w:rFonts w:hAnsi="Times New Roman" w:eastAsia="宋体"/>
          <w:szCs w:val="22"/>
        </w:rPr>
        <w:t>分别为纵向和横向孔隙尺度弥散度，是仅与介质特性有关的参数。</w:t>
      </w:r>
    </w:p>
    <w:p>
      <w:pPr>
        <w:spacing w:line="360" w:lineRule="auto"/>
        <w:ind w:firstLine="480"/>
        <w:rPr>
          <w:rFonts w:hAnsi="Times New Roman" w:eastAsia="宋体"/>
          <w:szCs w:val="22"/>
        </w:rPr>
      </w:pPr>
      <w:r>
        <w:rPr>
          <w:rFonts w:hAnsi="Times New Roman" w:eastAsia="宋体"/>
          <w:szCs w:val="22"/>
        </w:rPr>
        <w:t>大量的室内弥散试验结果表明，纵向弥散度一般为毫米量级，称为孔隙尺度的水动力弥散作用，而实际上野外试验所得出的弥散度远远大于在试验室所测出的值，相差可达4</w:t>
      </w:r>
      <w:r>
        <w:rPr>
          <w:rFonts w:hint="eastAsia" w:hAnsi="Times New Roman" w:eastAsia="宋体"/>
          <w:szCs w:val="22"/>
          <w:lang w:eastAsia="zh-CN"/>
        </w:rPr>
        <w:t>～</w:t>
      </w:r>
      <w:r>
        <w:rPr>
          <w:rFonts w:hAnsi="Times New Roman" w:eastAsia="宋体"/>
          <w:szCs w:val="22"/>
        </w:rPr>
        <w:t>5个数量级，野外得到的弥散度随研究问题尺度的增大而增大，并随着溶质运移时间而增大，这种空隙介质中弥散度随着溶质运移距离和研究问题尺度增大而增大的现象称为多孔介质水动力弥散的尺度效应。对于造成水动力弥散尺度效应的原因，目前人们趋于一致的看法是：野外条件下介质的不均匀性造成了室内试验结果与野外试验结果之间的巨大差别。</w:t>
      </w:r>
    </w:p>
    <w:p>
      <w:pPr>
        <w:spacing w:line="360" w:lineRule="auto"/>
        <w:ind w:firstLine="482"/>
        <w:rPr>
          <w:rFonts w:hAnsi="Times New Roman" w:eastAsia="宋体"/>
          <w:szCs w:val="22"/>
        </w:rPr>
      </w:pPr>
      <w:r>
        <w:rPr>
          <w:rFonts w:hAnsi="Times New Roman" w:eastAsia="宋体"/>
          <w:szCs w:val="22"/>
        </w:rPr>
        <w:t>水动力弥散尺度效应的存在为模拟和预测地下水中溶质在介质中的运移规律带来了困难。本次溶质运移模型中弥散度的确定主要依据是Geihar等（1992）对世界范围内所收集的59个大区域弥散资料进行的整理分析。按照偏保守原则，最终确定的溶质运移模型参数见表5.4-4。</w:t>
      </w:r>
    </w:p>
    <w:p>
      <w:pPr>
        <w:spacing w:line="360" w:lineRule="auto"/>
        <w:ind w:firstLine="482"/>
        <w:rPr>
          <w:rFonts w:hAnsi="Times New Roman" w:eastAsia="宋体"/>
        </w:rPr>
      </w:pPr>
      <w:r>
        <w:rPr>
          <w:rFonts w:hAnsi="Times New Roman" w:eastAsia="宋体"/>
        </w:rPr>
        <w:t>环保部环境工程评估中心在2011年10月召开的专家研讨会中指出，“根据已有的地下水研究成果表明，弥散试验的结果受试验场地的尺度效应影响明显，其结果应用受到很大的局限性。因此，一般不推荐开展弥散试验工作，其他试验可以根据项目性质及评价深度的需要，必要时适当开展。”</w:t>
      </w:r>
    </w:p>
    <w:p>
      <w:pPr>
        <w:spacing w:line="300" w:lineRule="exact"/>
        <w:jc w:val="center"/>
        <w:rPr>
          <w:rFonts w:hAnsi="Times New Roman" w:eastAsia="宋体"/>
          <w:b/>
          <w:bCs/>
          <w:sz w:val="21"/>
          <w:szCs w:val="21"/>
          <w:lang w:eastAsia="zh-CN"/>
        </w:rPr>
      </w:pPr>
      <w:bookmarkStart w:id="364" w:name="_Ref493682374"/>
      <w:bookmarkStart w:id="365" w:name="_Toc475971217"/>
      <w:bookmarkStart w:id="366" w:name="_Toc531615723"/>
      <w:r>
        <w:rPr>
          <w:rFonts w:hAnsi="Times New Roman" w:eastAsia="宋体"/>
          <w:b/>
          <w:bCs/>
          <w:sz w:val="21"/>
          <w:szCs w:val="21"/>
          <w:lang w:eastAsia="zh-CN"/>
        </w:rPr>
        <w:t>表5.4</w:t>
      </w:r>
      <w:bookmarkEnd w:id="364"/>
      <w:r>
        <w:rPr>
          <w:rFonts w:hAnsi="Times New Roman" w:eastAsia="宋体"/>
          <w:b/>
          <w:bCs/>
          <w:sz w:val="21"/>
          <w:szCs w:val="21"/>
          <w:lang w:eastAsia="zh-CN"/>
        </w:rPr>
        <w:t>-4 溶质运移模型参数表</w:t>
      </w:r>
      <w:bookmarkEnd w:id="365"/>
      <w:bookmarkEnd w:id="366"/>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33"/>
        <w:gridCol w:w="46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533" w:type="pct"/>
            <w:vAlign w:val="center"/>
          </w:tcPr>
          <w:p>
            <w:pPr>
              <w:keepNext w:val="0"/>
              <w:keepLines w:val="0"/>
              <w:widowControl/>
              <w:suppressLineNumbers w:val="0"/>
              <w:spacing w:before="0" w:beforeAutospacing="0" w:after="0" w:afterAutospacing="0"/>
              <w:ind w:left="0" w:right="0"/>
              <w:jc w:val="center"/>
              <w:rPr>
                <w:rFonts w:hint="eastAsia" w:hAnsi="Times New Roman" w:eastAsia="宋体"/>
                <w:b/>
                <w:kern w:val="2"/>
                <w:sz w:val="21"/>
                <w:szCs w:val="21"/>
              </w:rPr>
            </w:pPr>
            <w:r>
              <w:rPr>
                <w:rFonts w:hint="eastAsia" w:hAnsi="Times New Roman" w:eastAsia="宋体"/>
                <w:b/>
                <w:kern w:val="2"/>
                <w:sz w:val="21"/>
                <w:szCs w:val="21"/>
              </w:rPr>
              <w:t>参数</w:t>
            </w:r>
          </w:p>
        </w:tc>
        <w:tc>
          <w:tcPr>
            <w:tcW w:w="2467" w:type="pct"/>
            <w:vAlign w:val="center"/>
          </w:tcPr>
          <w:p>
            <w:pPr>
              <w:keepNext w:val="0"/>
              <w:keepLines w:val="0"/>
              <w:widowControl/>
              <w:suppressLineNumbers w:val="0"/>
              <w:spacing w:before="0" w:beforeAutospacing="0" w:after="0" w:afterAutospacing="0"/>
              <w:ind w:left="0" w:right="0"/>
              <w:jc w:val="center"/>
              <w:rPr>
                <w:rFonts w:hint="eastAsia" w:hAnsi="Times New Roman" w:eastAsia="宋体"/>
                <w:b/>
                <w:kern w:val="2"/>
                <w:sz w:val="21"/>
                <w:szCs w:val="21"/>
              </w:rPr>
            </w:pPr>
            <w:r>
              <w:rPr>
                <w:rFonts w:hint="eastAsia" w:hAnsi="Times New Roman" w:eastAsia="宋体"/>
                <w:b/>
                <w:kern w:val="2"/>
                <w:sz w:val="21"/>
                <w:szCs w:val="21"/>
              </w:rPr>
              <w:t>裂隙孔隙含水层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533" w:type="pct"/>
            <w:vAlign w:val="center"/>
          </w:tcPr>
          <w:p>
            <w:pPr>
              <w:pStyle w:val="64"/>
              <w:keepNext w:val="0"/>
              <w:keepLines w:val="0"/>
              <w:widowControl/>
              <w:suppressLineNumbers w:val="0"/>
              <w:spacing w:before="0" w:beforeAutospacing="0" w:after="0" w:afterAutospacing="0"/>
              <w:ind w:left="0" w:right="0"/>
              <w:rPr>
                <w:rFonts w:hint="eastAsia" w:eastAsia="宋体"/>
                <w:sz w:val="21"/>
                <w:lang w:eastAsia="zh-CN"/>
              </w:rPr>
            </w:pPr>
            <w:r>
              <w:rPr>
                <w:rFonts w:hint="eastAsia"/>
                <w:sz w:val="21"/>
              </w:rPr>
              <w:t>纵向弥散度</w:t>
            </w:r>
            <w:r>
              <w:rPr>
                <w:rFonts w:hint="eastAsia"/>
                <w:sz w:val="21"/>
                <w:lang w:eastAsia="zh-CN"/>
              </w:rPr>
              <w:t>（</w:t>
            </w:r>
            <w:r>
              <w:rPr>
                <w:rFonts w:hint="eastAsia"/>
                <w:sz w:val="21"/>
              </w:rPr>
              <w:t>m</w:t>
            </w:r>
            <w:r>
              <w:rPr>
                <w:rFonts w:hint="eastAsia"/>
                <w:sz w:val="21"/>
                <w:lang w:eastAsia="zh-CN"/>
              </w:rPr>
              <w:t>）</w:t>
            </w:r>
          </w:p>
        </w:tc>
        <w:tc>
          <w:tcPr>
            <w:tcW w:w="2467" w:type="pct"/>
            <w:vAlign w:val="center"/>
          </w:tcPr>
          <w:p>
            <w:pPr>
              <w:pStyle w:val="64"/>
              <w:keepNext w:val="0"/>
              <w:keepLines w:val="0"/>
              <w:widowControl/>
              <w:suppressLineNumbers w:val="0"/>
              <w:spacing w:before="0" w:beforeAutospacing="0" w:after="0" w:afterAutospacing="0"/>
              <w:ind w:left="0" w:right="0"/>
              <w:rPr>
                <w:rFonts w:hint="eastAsia"/>
                <w:sz w:val="21"/>
              </w:rPr>
            </w:pPr>
            <w:r>
              <w:rPr>
                <w:rFonts w:hint="eastAsia"/>
                <w:sz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533" w:type="pct"/>
            <w:vAlign w:val="center"/>
          </w:tcPr>
          <w:p>
            <w:pPr>
              <w:pStyle w:val="64"/>
              <w:keepNext w:val="0"/>
              <w:keepLines w:val="0"/>
              <w:widowControl/>
              <w:suppressLineNumbers w:val="0"/>
              <w:spacing w:before="0" w:beforeAutospacing="0" w:after="0" w:afterAutospacing="0"/>
              <w:ind w:left="0" w:right="0"/>
              <w:rPr>
                <w:rFonts w:hint="eastAsia" w:eastAsia="宋体"/>
                <w:sz w:val="21"/>
                <w:lang w:eastAsia="zh-CN"/>
              </w:rPr>
            </w:pPr>
            <w:r>
              <w:rPr>
                <w:rFonts w:hint="eastAsia"/>
                <w:sz w:val="21"/>
              </w:rPr>
              <w:t>横向弥散度</w:t>
            </w:r>
            <w:r>
              <w:rPr>
                <w:rFonts w:hint="eastAsia"/>
                <w:sz w:val="21"/>
                <w:lang w:eastAsia="zh-CN"/>
              </w:rPr>
              <w:t>（</w:t>
            </w:r>
            <w:r>
              <w:rPr>
                <w:rFonts w:hint="eastAsia"/>
                <w:sz w:val="21"/>
              </w:rPr>
              <w:t>m</w:t>
            </w:r>
            <w:r>
              <w:rPr>
                <w:rFonts w:hint="eastAsia"/>
                <w:sz w:val="21"/>
                <w:lang w:eastAsia="zh-CN"/>
              </w:rPr>
              <w:t>）</w:t>
            </w:r>
          </w:p>
        </w:tc>
        <w:tc>
          <w:tcPr>
            <w:tcW w:w="2467" w:type="pct"/>
            <w:vAlign w:val="center"/>
          </w:tcPr>
          <w:p>
            <w:pPr>
              <w:pStyle w:val="64"/>
              <w:keepNext w:val="0"/>
              <w:keepLines w:val="0"/>
              <w:widowControl/>
              <w:suppressLineNumbers w:val="0"/>
              <w:spacing w:before="0" w:beforeAutospacing="0" w:after="0" w:afterAutospacing="0"/>
              <w:ind w:left="0" w:right="0"/>
              <w:rPr>
                <w:rFonts w:hint="eastAsia"/>
                <w:sz w:val="21"/>
              </w:rPr>
            </w:pPr>
            <w:r>
              <w:rPr>
                <w:rFonts w:hint="eastAsia"/>
                <w:sz w:val="21"/>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533" w:type="pct"/>
            <w:vAlign w:val="center"/>
          </w:tcPr>
          <w:p>
            <w:pPr>
              <w:pStyle w:val="64"/>
              <w:keepNext w:val="0"/>
              <w:keepLines w:val="0"/>
              <w:widowControl/>
              <w:suppressLineNumbers w:val="0"/>
              <w:spacing w:before="0" w:beforeAutospacing="0" w:after="0" w:afterAutospacing="0"/>
              <w:ind w:left="0" w:right="0"/>
              <w:rPr>
                <w:rFonts w:hint="eastAsia"/>
                <w:sz w:val="21"/>
              </w:rPr>
            </w:pPr>
            <w:r>
              <w:rPr>
                <w:rFonts w:hint="eastAsia"/>
                <w:sz w:val="21"/>
              </w:rPr>
              <w:t>有效孔隙度</w:t>
            </w:r>
          </w:p>
        </w:tc>
        <w:tc>
          <w:tcPr>
            <w:tcW w:w="2467" w:type="pct"/>
            <w:vAlign w:val="center"/>
          </w:tcPr>
          <w:p>
            <w:pPr>
              <w:pStyle w:val="64"/>
              <w:keepNext w:val="0"/>
              <w:keepLines w:val="0"/>
              <w:widowControl/>
              <w:suppressLineNumbers w:val="0"/>
              <w:spacing w:before="0" w:beforeAutospacing="0" w:after="0" w:afterAutospacing="0"/>
              <w:ind w:left="0" w:right="0"/>
              <w:rPr>
                <w:rFonts w:hint="eastAsia"/>
                <w:sz w:val="21"/>
              </w:rPr>
            </w:pPr>
            <w:r>
              <w:rPr>
                <w:rFonts w:hint="eastAsia"/>
                <w:sz w:val="21"/>
              </w:rPr>
              <w:t>0.10</w:t>
            </w:r>
          </w:p>
        </w:tc>
      </w:tr>
    </w:tbl>
    <w:p>
      <w:pPr>
        <w:pStyle w:val="63"/>
        <w:spacing w:before="169" w:beforeLines="50" w:line="360" w:lineRule="auto"/>
        <w:ind w:firstLine="482"/>
        <w:rPr>
          <w:rFonts w:hAnsi="Times New Roman" w:eastAsia="宋体"/>
          <w:b/>
        </w:rPr>
      </w:pPr>
      <w:r>
        <w:rPr>
          <w:rFonts w:hAnsi="Times New Roman" w:eastAsia="宋体"/>
          <w:b/>
        </w:rPr>
        <w:t>三、弥散处理</w:t>
      </w:r>
    </w:p>
    <w:p>
      <w:pPr>
        <w:spacing w:line="360" w:lineRule="auto"/>
        <w:ind w:firstLine="480"/>
        <w:rPr>
          <w:rFonts w:hAnsi="Times New Roman" w:eastAsia="宋体"/>
          <w:szCs w:val="22"/>
        </w:rPr>
      </w:pPr>
      <w:r>
        <w:rPr>
          <w:rFonts w:hAnsi="Times New Roman" w:eastAsia="宋体"/>
          <w:szCs w:val="22"/>
        </w:rPr>
        <w:t>在溶质迁移模型中施加持续性、面状污染源时，为了防止污染源边界内外较高的浓度差带来的数值弥散问题，通常的处理技巧是边界处进行逐层加密处理，郑春苗和Bennett在《地下水污染物迁移模拟》一书中指出，当网格peclet数接近2时，数值弥散基本可以忽略。</w:t>
      </w:r>
    </w:p>
    <w:p>
      <w:pPr>
        <w:spacing w:line="360" w:lineRule="auto"/>
        <w:ind w:firstLine="480"/>
        <w:rPr>
          <w:rFonts w:hAnsi="Times New Roman" w:eastAsia="宋体"/>
        </w:rPr>
      </w:pPr>
      <w:r>
        <w:rPr>
          <w:rFonts w:hAnsi="Times New Roman" w:eastAsia="宋体"/>
        </w:rPr>
        <w:t>基于此，针对本次溶质迁移模型预测评价对象进行多级加密，加密后结点数35836个，有限单元数35637个，加密结果如下图所示。</w:t>
      </w:r>
    </w:p>
    <w:p>
      <w:pPr>
        <w:pStyle w:val="62"/>
        <w:rPr>
          <w:rFonts w:hAnsi="Times New Roman" w:eastAsia="宋体"/>
        </w:rPr>
      </w:pPr>
      <w:bookmarkStart w:id="367" w:name="_Toc87392096"/>
      <w:r>
        <w:rPr>
          <w:rFonts w:hAnsi="Times New Roman" w:eastAsia="宋体"/>
        </w:rPr>
        <w:drawing>
          <wp:inline distT="0" distB="0" distL="114300" distR="114300">
            <wp:extent cx="4770755" cy="4930775"/>
            <wp:effectExtent l="0" t="0" r="10795" b="3175"/>
            <wp:docPr id="211"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52"/>
                    <pic:cNvPicPr>
                      <a:picLocks noChangeAspect="1"/>
                    </pic:cNvPicPr>
                  </pic:nvPicPr>
                  <pic:blipFill>
                    <a:blip r:embed="rId187"/>
                    <a:stretch>
                      <a:fillRect/>
                    </a:stretch>
                  </pic:blipFill>
                  <pic:spPr>
                    <a:xfrm>
                      <a:off x="0" y="0"/>
                      <a:ext cx="4770755" cy="4930775"/>
                    </a:xfrm>
                    <a:prstGeom prst="rect">
                      <a:avLst/>
                    </a:prstGeom>
                    <a:noFill/>
                    <a:ln>
                      <a:noFill/>
                    </a:ln>
                  </pic:spPr>
                </pic:pic>
              </a:graphicData>
            </a:graphic>
          </wp:inline>
        </w:drawing>
      </w:r>
    </w:p>
    <w:p>
      <w:pPr>
        <w:spacing w:line="300" w:lineRule="exact"/>
        <w:jc w:val="center"/>
        <w:rPr>
          <w:rFonts w:hAnsi="Times New Roman" w:eastAsia="宋体"/>
          <w:b/>
          <w:bCs/>
          <w:sz w:val="21"/>
          <w:szCs w:val="21"/>
          <w:lang w:eastAsia="zh-CN"/>
        </w:rPr>
      </w:pPr>
      <w:r>
        <w:rPr>
          <w:rFonts w:hAnsi="Times New Roman" w:eastAsia="宋体"/>
          <w:b/>
          <w:bCs/>
          <w:sz w:val="21"/>
          <w:szCs w:val="21"/>
          <w:lang w:eastAsia="zh-CN"/>
        </w:rPr>
        <w:t>（1）二维加密剖分结果</w:t>
      </w:r>
    </w:p>
    <w:p>
      <w:pPr>
        <w:pStyle w:val="62"/>
        <w:rPr>
          <w:rFonts w:hAnsi="Times New Roman" w:eastAsia="宋体"/>
        </w:rPr>
      </w:pPr>
      <w:r>
        <w:rPr>
          <w:rFonts w:hAnsi="Times New Roman" w:eastAsia="宋体"/>
        </w:rPr>
        <w:drawing>
          <wp:inline distT="0" distB="0" distL="114300" distR="114300">
            <wp:extent cx="4996180" cy="4882515"/>
            <wp:effectExtent l="0" t="0" r="13970" b="13335"/>
            <wp:docPr id="212"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53"/>
                    <pic:cNvPicPr>
                      <a:picLocks noChangeAspect="1"/>
                    </pic:cNvPicPr>
                  </pic:nvPicPr>
                  <pic:blipFill>
                    <a:blip r:embed="rId188"/>
                    <a:stretch>
                      <a:fillRect/>
                    </a:stretch>
                  </pic:blipFill>
                  <pic:spPr>
                    <a:xfrm>
                      <a:off x="0" y="0"/>
                      <a:ext cx="4996180" cy="4882515"/>
                    </a:xfrm>
                    <a:prstGeom prst="rect">
                      <a:avLst/>
                    </a:prstGeom>
                    <a:noFill/>
                    <a:ln>
                      <a:noFill/>
                    </a:ln>
                  </pic:spPr>
                </pic:pic>
              </a:graphicData>
            </a:graphic>
          </wp:inline>
        </w:drawing>
      </w:r>
    </w:p>
    <w:p>
      <w:pPr>
        <w:spacing w:line="300" w:lineRule="exact"/>
        <w:jc w:val="center"/>
        <w:rPr>
          <w:rFonts w:hAnsi="Times New Roman" w:eastAsia="宋体"/>
          <w:b/>
          <w:bCs/>
          <w:sz w:val="21"/>
          <w:szCs w:val="21"/>
          <w:lang w:eastAsia="zh-CN"/>
        </w:rPr>
      </w:pPr>
      <w:r>
        <w:rPr>
          <w:rFonts w:hAnsi="Times New Roman" w:eastAsia="宋体"/>
          <w:b/>
          <w:bCs/>
          <w:sz w:val="21"/>
          <w:szCs w:val="21"/>
          <w:lang w:eastAsia="zh-CN"/>
        </w:rPr>
        <w:t>（2）三维加密剖分结果</w:t>
      </w:r>
    </w:p>
    <w:p>
      <w:pPr>
        <w:spacing w:line="300" w:lineRule="exact"/>
        <w:jc w:val="center"/>
        <w:rPr>
          <w:rFonts w:hAnsi="Times New Roman" w:eastAsia="宋体"/>
          <w:b/>
          <w:bCs/>
          <w:sz w:val="21"/>
          <w:szCs w:val="21"/>
          <w:lang w:eastAsia="zh-CN"/>
        </w:rPr>
      </w:pPr>
      <w:r>
        <w:rPr>
          <w:rFonts w:hAnsi="Times New Roman" w:eastAsia="宋体"/>
          <w:b/>
          <w:bCs/>
          <w:sz w:val="21"/>
          <w:szCs w:val="21"/>
          <w:lang w:eastAsia="zh-CN"/>
        </w:rPr>
        <w:t>图5.4-5 模拟区加密后剖分网格图</w:t>
      </w:r>
    </w:p>
    <w:p>
      <w:pPr>
        <w:spacing w:line="360" w:lineRule="auto"/>
        <w:ind w:firstLine="480"/>
        <w:rPr>
          <w:rFonts w:hAnsi="Times New Roman" w:eastAsia="宋体"/>
        </w:rPr>
      </w:pPr>
      <w:r>
        <w:rPr>
          <w:rFonts w:hAnsi="Times New Roman" w:eastAsia="宋体"/>
        </w:rPr>
        <w:t>（1）预测时段</w:t>
      </w:r>
      <w:bookmarkEnd w:id="367"/>
    </w:p>
    <w:p>
      <w:pPr>
        <w:spacing w:line="360" w:lineRule="auto"/>
        <w:ind w:firstLine="480"/>
        <w:rPr>
          <w:rFonts w:hAnsi="Times New Roman" w:eastAsia="宋体"/>
          <w:szCs w:val="22"/>
        </w:rPr>
      </w:pPr>
      <w:r>
        <w:rPr>
          <w:rFonts w:hAnsi="Times New Roman" w:eastAsia="宋体"/>
          <w:szCs w:val="22"/>
        </w:rPr>
        <w:t>选取各项目的运营期</w:t>
      </w:r>
      <w:r>
        <w:rPr>
          <w:rFonts w:hint="eastAsia" w:hAnsi="Times New Roman" w:eastAsia="宋体"/>
          <w:szCs w:val="22"/>
          <w:lang w:eastAsia="zh-CN"/>
        </w:rPr>
        <w:t>5.2</w:t>
      </w:r>
      <w:r>
        <w:rPr>
          <w:rFonts w:hAnsi="Times New Roman" w:eastAsia="宋体"/>
          <w:szCs w:val="22"/>
        </w:rPr>
        <w:t>年</w:t>
      </w:r>
      <w:r>
        <w:rPr>
          <w:rFonts w:hAnsi="Times New Roman" w:eastAsia="宋体"/>
        </w:rPr>
        <w:t>（</w:t>
      </w:r>
      <w:r>
        <w:rPr>
          <w:rFonts w:hint="eastAsia" w:hAnsi="Times New Roman" w:eastAsia="宋体"/>
          <w:lang w:eastAsia="zh-CN"/>
        </w:rPr>
        <w:t>1898</w:t>
      </w:r>
      <w:r>
        <w:rPr>
          <w:rFonts w:hAnsi="Times New Roman" w:eastAsia="宋体"/>
        </w:rPr>
        <w:t>天）</w:t>
      </w:r>
      <w:r>
        <w:rPr>
          <w:rFonts w:hAnsi="Times New Roman" w:eastAsia="宋体"/>
          <w:szCs w:val="22"/>
        </w:rPr>
        <w:t>作为总模拟时间，计算时间步长为自适应模式，保存记录第100天、1000天和每年的模拟预测结果，为污染物迁移规律的分析工作提供数据支撑。</w:t>
      </w:r>
    </w:p>
    <w:p>
      <w:pPr>
        <w:spacing w:line="360" w:lineRule="auto"/>
        <w:ind w:firstLine="480"/>
        <w:rPr>
          <w:rFonts w:hAnsi="Times New Roman" w:eastAsia="宋体"/>
        </w:rPr>
      </w:pPr>
      <w:bookmarkStart w:id="368" w:name="_Toc87392097"/>
      <w:r>
        <w:rPr>
          <w:rFonts w:hAnsi="Times New Roman" w:eastAsia="宋体"/>
        </w:rPr>
        <w:t>（2）预测因子</w:t>
      </w:r>
      <w:bookmarkEnd w:id="368"/>
    </w:p>
    <w:p>
      <w:pPr>
        <w:spacing w:line="360" w:lineRule="auto"/>
        <w:ind w:firstLine="480"/>
        <w:rPr>
          <w:rFonts w:hAnsi="Times New Roman" w:eastAsia="宋体"/>
        </w:rPr>
      </w:pPr>
      <w:r>
        <w:rPr>
          <w:rFonts w:hAnsi="Times New Roman" w:eastAsia="宋体"/>
        </w:rPr>
        <w:t>根据《地下水环境影响评价技术导则-地下水环境》（HJ610-2016），预测因子应包括：</w:t>
      </w:r>
      <w:r>
        <w:rPr>
          <w:rFonts w:hint="eastAsia" w:ascii="宋体" w:hAnsi="宋体" w:eastAsia="宋体" w:cs="宋体"/>
        </w:rPr>
        <w:t>①</w:t>
      </w:r>
      <w:r>
        <w:rPr>
          <w:rFonts w:hAnsi="Times New Roman" w:eastAsia="宋体"/>
        </w:rPr>
        <w:t>本项目识别出的特征因子，按照重金属、持久性有机污染物和其他类别进行分类，并对每一类别中的各项因子采用标准指数法进行排序，分别取标准指数最大的因子作为预测因子。本项目不产生持久性有机污染物；</w:t>
      </w:r>
      <w:r>
        <w:rPr>
          <w:rFonts w:hint="eastAsia" w:ascii="宋体" w:hAnsi="宋体" w:eastAsia="宋体" w:cs="宋体"/>
        </w:rPr>
        <w:t>②</w:t>
      </w:r>
      <w:r>
        <w:rPr>
          <w:rFonts w:hAnsi="Times New Roman" w:eastAsia="宋体"/>
        </w:rPr>
        <w:t>现有工程已经产生的且改、扩建后将继续产生的特征因子，改、扩建后新增加的特征因子；</w:t>
      </w:r>
      <w:r>
        <w:rPr>
          <w:rFonts w:hint="eastAsia" w:ascii="宋体" w:hAnsi="宋体" w:eastAsia="宋体" w:cs="宋体"/>
        </w:rPr>
        <w:t>③</w:t>
      </w:r>
      <w:r>
        <w:rPr>
          <w:rFonts w:hAnsi="Times New Roman" w:eastAsia="宋体"/>
        </w:rPr>
        <w:t>污染场地已查明的主要污染物；</w:t>
      </w:r>
      <w:r>
        <w:rPr>
          <w:rFonts w:hint="eastAsia" w:ascii="宋体" w:hAnsi="宋体" w:eastAsia="宋体" w:cs="宋体"/>
        </w:rPr>
        <w:t>④</w:t>
      </w:r>
      <w:r>
        <w:rPr>
          <w:rFonts w:hAnsi="Times New Roman" w:eastAsia="宋体"/>
        </w:rPr>
        <w:t>国家或地方要求控制的污染物。</w:t>
      </w:r>
    </w:p>
    <w:p>
      <w:pPr>
        <w:spacing w:line="360" w:lineRule="auto"/>
        <w:ind w:firstLine="480"/>
        <w:rPr>
          <w:rFonts w:hAnsi="Times New Roman" w:eastAsia="宋体"/>
        </w:rPr>
      </w:pPr>
      <w:r>
        <w:rPr>
          <w:rFonts w:hAnsi="Times New Roman" w:eastAsia="宋体"/>
        </w:rPr>
        <w:t>预测因子选择应在导则要求的基础上，充分考虑选取与其排放的污染物有关的特征因子。预测因子为建设项目排放的污染物有关的特征因子。拟建项目地下水环境现状良好，地下水污染因子主要考虑运营期正常状况下煤矸石堆场渗滤液中污染因子以及水处理站，根据《环境影响评价技术导则-地下水环境》（HJ610-2016）要求，本项目预测评价选取汞（煤矸石堆场）、COD</w:t>
      </w:r>
      <w:r>
        <w:rPr>
          <w:rFonts w:hAnsi="Times New Roman" w:eastAsia="宋体"/>
          <w:vertAlign w:val="subscript"/>
        </w:rPr>
        <w:t>Mn</w:t>
      </w:r>
      <w:r>
        <w:rPr>
          <w:rFonts w:hAnsi="Times New Roman" w:eastAsia="宋体"/>
        </w:rPr>
        <w:t>（水处理站）、氨氮（水处理站）、石油类（水处理站）</w:t>
      </w:r>
      <w:r>
        <w:rPr>
          <w:rFonts w:hint="eastAsia" w:hAnsi="Times New Roman" w:eastAsia="宋体"/>
          <w:lang w:eastAsia="zh-CN"/>
        </w:rPr>
        <w:t>作为</w:t>
      </w:r>
      <w:r>
        <w:rPr>
          <w:rFonts w:hAnsi="Times New Roman" w:eastAsia="宋体"/>
        </w:rPr>
        <w:t>预测因子。</w:t>
      </w:r>
    </w:p>
    <w:p>
      <w:pPr>
        <w:spacing w:line="360" w:lineRule="auto"/>
        <w:ind w:firstLine="480"/>
        <w:rPr>
          <w:rFonts w:hAnsi="Times New Roman" w:eastAsia="宋体"/>
        </w:rPr>
      </w:pPr>
      <w:r>
        <w:rPr>
          <w:rFonts w:hint="eastAsia" w:hAnsi="Times New Roman" w:eastAsia="宋体"/>
        </w:rPr>
        <w:t>本</w:t>
      </w:r>
      <w:r>
        <w:rPr>
          <w:rFonts w:hAnsi="Times New Roman" w:eastAsia="宋体"/>
        </w:rPr>
        <w:t>次模拟预测选取煤矸石堆场和水处理站作为预测对象，本次项目煤矸石浸出试验结果及工程识别，结合《地下水质量标准》（GB/T 14848-2017）Ⅲ类标准值计算标准指数，煤矸石堆场预测因子选取汞（0.00149mg/L），水处理站预测因子COD</w:t>
      </w:r>
      <w:r>
        <w:rPr>
          <w:rFonts w:hAnsi="Times New Roman" w:eastAsia="宋体"/>
          <w:vertAlign w:val="subscript"/>
        </w:rPr>
        <w:t>Mn</w:t>
      </w:r>
      <w:r>
        <w:rPr>
          <w:rFonts w:hAnsi="Times New Roman" w:eastAsia="宋体"/>
        </w:rPr>
        <w:t>（12mg/L）和氨氮（1mg/L），结合《地表水环境质量标准》（GB3838-2002）Ⅲ类标准值，水处理站预测因子选取石油类（0.2mg/L）。</w:t>
      </w:r>
    </w:p>
    <w:p>
      <w:pPr>
        <w:spacing w:line="360" w:lineRule="auto"/>
        <w:ind w:firstLine="480"/>
        <w:rPr>
          <w:rFonts w:hAnsi="Times New Roman" w:eastAsia="宋体"/>
        </w:rPr>
      </w:pPr>
      <w:bookmarkStart w:id="369" w:name="_Toc87392098"/>
      <w:r>
        <w:rPr>
          <w:rFonts w:hAnsi="Times New Roman" w:eastAsia="宋体"/>
        </w:rPr>
        <w:t>（3）情景源强</w:t>
      </w:r>
      <w:bookmarkEnd w:id="369"/>
    </w:p>
    <w:p>
      <w:pPr>
        <w:spacing w:line="360" w:lineRule="auto"/>
        <w:ind w:firstLine="480"/>
        <w:rPr>
          <w:rFonts w:hAnsi="Times New Roman" w:eastAsia="宋体"/>
        </w:rPr>
      </w:pPr>
      <w:r>
        <w:rPr>
          <w:rFonts w:hAnsi="Times New Roman" w:eastAsia="宋体"/>
        </w:rPr>
        <w:t>一般情况下，建设项目需对正常状况、非正常状况下2种情况分别进行预测。</w:t>
      </w:r>
    </w:p>
    <w:p>
      <w:pPr>
        <w:pStyle w:val="63"/>
        <w:spacing w:line="360" w:lineRule="auto"/>
        <w:ind w:firstLine="482"/>
        <w:rPr>
          <w:rFonts w:hAnsi="Times New Roman" w:eastAsia="宋体"/>
          <w:b/>
        </w:rPr>
      </w:pPr>
      <w:r>
        <w:rPr>
          <w:rFonts w:hAnsi="Times New Roman" w:eastAsia="宋体"/>
          <w:b/>
        </w:rPr>
        <w:t>1）正常状况</w:t>
      </w:r>
    </w:p>
    <w:p>
      <w:pPr>
        <w:spacing w:line="360" w:lineRule="auto"/>
        <w:ind w:firstLine="480"/>
        <w:rPr>
          <w:rFonts w:hAnsi="Times New Roman" w:eastAsia="宋体"/>
        </w:rPr>
      </w:pPr>
      <w:r>
        <w:rPr>
          <w:rFonts w:hAnsi="Times New Roman" w:eastAsia="宋体"/>
        </w:rPr>
        <w:t>正常状况下，在采取严格的防渗、防溢流、防泄漏、防腐蚀等措施的前提下，煤矸石转运场、污水处理站污染物不会渗漏进入地下，对地下水不会造成污染，故依据地下水导则，正常状况情景下不开展预测工作。</w:t>
      </w:r>
    </w:p>
    <w:p>
      <w:pPr>
        <w:pStyle w:val="63"/>
        <w:spacing w:line="360" w:lineRule="auto"/>
        <w:ind w:firstLine="482"/>
        <w:rPr>
          <w:rFonts w:hAnsi="Times New Roman" w:eastAsia="宋体"/>
          <w:b/>
        </w:rPr>
      </w:pPr>
      <w:r>
        <w:rPr>
          <w:rFonts w:hAnsi="Times New Roman" w:eastAsia="宋体"/>
          <w:b/>
        </w:rPr>
        <w:t>2）非正常状况</w:t>
      </w:r>
    </w:p>
    <w:p>
      <w:pPr>
        <w:spacing w:line="360" w:lineRule="auto"/>
        <w:ind w:firstLine="480"/>
        <w:rPr>
          <w:rFonts w:hAnsi="Times New Roman" w:eastAsia="宋体"/>
        </w:rPr>
      </w:pPr>
      <w:r>
        <w:rPr>
          <w:rFonts w:hAnsi="Times New Roman" w:eastAsia="宋体"/>
        </w:rPr>
        <w:t>非正常排放情况下，预测源强可考虑设施老化情况，对于本项目地下水污染非正常排放源强，</w:t>
      </w:r>
      <w:bookmarkStart w:id="370" w:name="OLE_LINK3"/>
      <w:bookmarkStart w:id="371" w:name="OLE_LINK1"/>
      <w:r>
        <w:rPr>
          <w:rFonts w:hAnsi="Times New Roman" w:eastAsia="宋体"/>
        </w:rPr>
        <w:t>污染物在主要污染装置处发生持续泄漏</w:t>
      </w:r>
      <w:bookmarkEnd w:id="370"/>
      <w:bookmarkEnd w:id="371"/>
      <w:r>
        <w:rPr>
          <w:rFonts w:hAnsi="Times New Roman" w:eastAsia="宋体"/>
        </w:rPr>
        <w:t>。</w:t>
      </w:r>
    </w:p>
    <w:p>
      <w:pPr>
        <w:spacing w:line="360" w:lineRule="auto"/>
        <w:ind w:firstLine="480"/>
        <w:rPr>
          <w:rFonts w:hAnsi="Times New Roman" w:eastAsia="宋体"/>
        </w:rPr>
      </w:pPr>
      <w:r>
        <w:rPr>
          <w:rFonts w:hAnsi="Times New Roman" w:eastAsia="宋体"/>
        </w:rPr>
        <w:t>本次模拟煤矸石转运场、污水处理站下部防渗层在非正常状况下因为老化发生泄漏，具体为：</w:t>
      </w:r>
    </w:p>
    <w:p>
      <w:pPr>
        <w:spacing w:line="360" w:lineRule="auto"/>
        <w:ind w:left="480"/>
        <w:rPr>
          <w:rFonts w:hAnsi="Times New Roman" w:eastAsia="宋体"/>
        </w:rPr>
      </w:pPr>
      <w:r>
        <w:rPr>
          <w:rFonts w:hAnsi="Times New Roman" w:eastAsia="宋体"/>
        </w:rPr>
        <w:t>A．煤矸石转运场</w:t>
      </w:r>
    </w:p>
    <w:p>
      <w:pPr>
        <w:spacing w:line="360" w:lineRule="auto"/>
        <w:ind w:left="480"/>
        <w:rPr>
          <w:rFonts w:hAnsi="Times New Roman" w:eastAsia="宋体"/>
        </w:rPr>
      </w:pPr>
      <w:r>
        <w:rPr>
          <w:rFonts w:hAnsi="Times New Roman" w:eastAsia="宋体"/>
        </w:rPr>
        <w:t>模拟污染物：</w:t>
      </w:r>
      <w:r>
        <w:rPr>
          <w:rFonts w:hint="eastAsia" w:hAnsi="Times New Roman" w:eastAsia="宋体"/>
          <w:lang w:eastAsia="zh-CN"/>
        </w:rPr>
        <w:t>汞</w:t>
      </w:r>
      <w:r>
        <w:rPr>
          <w:rFonts w:hAnsi="Times New Roman" w:eastAsia="宋体"/>
        </w:rPr>
        <w:t>。</w:t>
      </w:r>
    </w:p>
    <w:p>
      <w:pPr>
        <w:spacing w:line="360" w:lineRule="auto"/>
        <w:ind w:firstLine="480"/>
        <w:rPr>
          <w:rFonts w:hAnsi="Times New Roman" w:eastAsia="宋体"/>
        </w:rPr>
      </w:pPr>
      <w:r>
        <w:rPr>
          <w:rFonts w:hAnsi="Times New Roman" w:eastAsia="宋体"/>
        </w:rPr>
        <w:t>污染源概化：连续恒定排放，面源。</w:t>
      </w:r>
    </w:p>
    <w:p>
      <w:pPr>
        <w:spacing w:line="360" w:lineRule="auto"/>
        <w:ind w:firstLine="480"/>
        <w:rPr>
          <w:rFonts w:hAnsi="Times New Roman" w:eastAsia="宋体"/>
        </w:rPr>
      </w:pPr>
      <w:r>
        <w:rPr>
          <w:rFonts w:hAnsi="Times New Roman" w:eastAsia="宋体"/>
        </w:rPr>
        <w:t>泄漏点： 煤矸石转运场全部区域。</w:t>
      </w:r>
    </w:p>
    <w:p>
      <w:pPr>
        <w:spacing w:line="360" w:lineRule="auto"/>
        <w:ind w:firstLine="480"/>
        <w:rPr>
          <w:rStyle w:val="65"/>
          <w:rFonts w:hAnsi="Times New Roman" w:eastAsia="宋体"/>
          <w:sz w:val="21"/>
          <w:szCs w:val="21"/>
        </w:rPr>
      </w:pPr>
      <w:r>
        <w:rPr>
          <w:rFonts w:hAnsi="Times New Roman" w:eastAsia="宋体"/>
        </w:rPr>
        <w:t>泄漏面积：设定2</w:t>
      </w:r>
      <w:r>
        <w:rPr>
          <w:rFonts w:hint="eastAsia" w:hAnsi="Times New Roman" w:eastAsia="宋体"/>
          <w:lang w:eastAsia="zh-CN"/>
        </w:rPr>
        <w:t>0</w:t>
      </w:r>
      <w:r>
        <w:rPr>
          <w:rFonts w:hAnsi="Times New Roman" w:eastAsia="宋体"/>
        </w:rPr>
        <w:t>0m</w:t>
      </w:r>
      <w:r>
        <w:rPr>
          <w:rFonts w:hAnsi="Times New Roman" w:eastAsia="宋体"/>
          <w:vertAlign w:val="superscript"/>
        </w:rPr>
        <w:t>2</w:t>
      </w:r>
      <w:r>
        <w:rPr>
          <w:rStyle w:val="65"/>
          <w:rFonts w:hAnsi="Times New Roman" w:eastAsia="宋体"/>
          <w:sz w:val="21"/>
          <w:szCs w:val="21"/>
        </w:rPr>
        <w:t>。</w:t>
      </w:r>
    </w:p>
    <w:p>
      <w:pPr>
        <w:spacing w:line="360" w:lineRule="auto"/>
        <w:ind w:left="480" w:leftChars="200"/>
        <w:rPr>
          <w:rFonts w:hAnsi="Times New Roman" w:eastAsia="宋体"/>
        </w:rPr>
      </w:pPr>
      <w:r>
        <w:rPr>
          <w:rFonts w:hAnsi="Times New Roman" w:eastAsia="宋体"/>
        </w:rPr>
        <w:t>泄漏时间：持续性泄漏，共</w:t>
      </w:r>
      <w:r>
        <w:rPr>
          <w:rFonts w:hint="eastAsia" w:hAnsi="Times New Roman" w:eastAsia="宋体"/>
          <w:lang w:eastAsia="zh-CN"/>
        </w:rPr>
        <w:t>5.2</w:t>
      </w:r>
      <w:r>
        <w:rPr>
          <w:rFonts w:hAnsi="Times New Roman" w:eastAsia="宋体"/>
        </w:rPr>
        <w:t>年（</w:t>
      </w:r>
      <w:r>
        <w:rPr>
          <w:rFonts w:hint="eastAsia" w:hAnsi="Times New Roman" w:eastAsia="宋体"/>
          <w:lang w:eastAsia="zh-CN"/>
        </w:rPr>
        <w:t>1898</w:t>
      </w:r>
      <w:r>
        <w:rPr>
          <w:rFonts w:hAnsi="Times New Roman" w:eastAsia="宋体"/>
        </w:rPr>
        <w:t>天）。</w:t>
      </w:r>
    </w:p>
    <w:p>
      <w:pPr>
        <w:spacing w:line="360" w:lineRule="auto"/>
        <w:ind w:firstLine="480"/>
        <w:rPr>
          <w:rFonts w:hAnsi="Times New Roman" w:eastAsia="宋体"/>
        </w:rPr>
      </w:pPr>
      <w:r>
        <w:rPr>
          <w:rFonts w:hAnsi="Times New Roman" w:eastAsia="宋体"/>
        </w:rPr>
        <w:t>泄漏浓度：初始浓度分别为</w:t>
      </w:r>
      <w:r>
        <w:rPr>
          <w:rFonts w:hint="eastAsia" w:hAnsi="Times New Roman" w:eastAsia="宋体"/>
          <w:lang w:eastAsia="zh-CN"/>
        </w:rPr>
        <w:t>0.00149</w:t>
      </w:r>
      <w:r>
        <w:rPr>
          <w:rFonts w:hAnsi="Times New Roman" w:eastAsia="宋体"/>
        </w:rPr>
        <w:t>mg/L。</w:t>
      </w:r>
    </w:p>
    <w:p>
      <w:pPr>
        <w:spacing w:line="360" w:lineRule="auto"/>
        <w:ind w:firstLine="480"/>
        <w:rPr>
          <w:rFonts w:hAnsi="Times New Roman" w:eastAsia="宋体"/>
        </w:rPr>
      </w:pPr>
      <w:r>
        <w:rPr>
          <w:rFonts w:hAnsi="Times New Roman" w:eastAsia="宋体"/>
        </w:rPr>
        <w:t>评价标准：《地下水质量标准》（GB/T 14848-2017）Ⅲ类标准值0.01mg/L。</w:t>
      </w:r>
    </w:p>
    <w:p>
      <w:pPr>
        <w:spacing w:line="360" w:lineRule="auto"/>
        <w:ind w:left="480"/>
        <w:rPr>
          <w:rFonts w:hAnsi="Times New Roman" w:eastAsia="宋体"/>
        </w:rPr>
      </w:pPr>
      <w:r>
        <w:rPr>
          <w:rFonts w:hAnsi="Times New Roman" w:eastAsia="宋体"/>
        </w:rPr>
        <w:t>B．污水处理站</w:t>
      </w:r>
    </w:p>
    <w:p>
      <w:pPr>
        <w:spacing w:line="360" w:lineRule="auto"/>
        <w:ind w:left="480"/>
        <w:rPr>
          <w:rFonts w:hAnsi="Times New Roman" w:eastAsia="宋体"/>
        </w:rPr>
      </w:pPr>
      <w:r>
        <w:rPr>
          <w:rFonts w:hAnsi="Times New Roman" w:eastAsia="宋体"/>
        </w:rPr>
        <w:t>模拟污染物：石油类</w:t>
      </w:r>
      <w:r>
        <w:rPr>
          <w:rFonts w:hint="eastAsia" w:hAnsi="Times New Roman" w:eastAsia="宋体"/>
          <w:lang w:eastAsia="zh-CN"/>
        </w:rPr>
        <w:t>、</w:t>
      </w:r>
      <w:r>
        <w:rPr>
          <w:rFonts w:hint="eastAsia"/>
        </w:rPr>
        <w:t>C</w:t>
      </w:r>
      <w:r>
        <w:t>OD</w:t>
      </w:r>
      <w:r>
        <w:rPr>
          <w:vertAlign w:val="subscript"/>
        </w:rPr>
        <w:t>M</w:t>
      </w:r>
      <w:r>
        <w:rPr>
          <w:rFonts w:hint="eastAsia"/>
          <w:vertAlign w:val="subscript"/>
        </w:rPr>
        <w:t>n</w:t>
      </w:r>
      <w:r>
        <w:rPr>
          <w:rFonts w:hint="eastAsia"/>
        </w:rPr>
        <w:t>和氨氮</w:t>
      </w:r>
      <w:r>
        <w:rPr>
          <w:rFonts w:hAnsi="Times New Roman" w:eastAsia="宋体"/>
        </w:rPr>
        <w:t>。</w:t>
      </w:r>
    </w:p>
    <w:p>
      <w:pPr>
        <w:spacing w:line="360" w:lineRule="auto"/>
        <w:ind w:firstLine="480"/>
        <w:rPr>
          <w:rFonts w:hAnsi="Times New Roman" w:eastAsia="宋体"/>
        </w:rPr>
      </w:pPr>
      <w:r>
        <w:rPr>
          <w:rFonts w:hAnsi="Times New Roman" w:eastAsia="宋体"/>
        </w:rPr>
        <w:t>污染源概化：连续恒定排放，面源。</w:t>
      </w:r>
    </w:p>
    <w:p>
      <w:pPr>
        <w:spacing w:line="360" w:lineRule="auto"/>
        <w:ind w:firstLine="480"/>
        <w:rPr>
          <w:rFonts w:hAnsi="Times New Roman" w:eastAsia="宋体"/>
        </w:rPr>
      </w:pPr>
      <w:r>
        <w:rPr>
          <w:rFonts w:hAnsi="Times New Roman" w:eastAsia="宋体"/>
        </w:rPr>
        <w:t>泄漏点： 污水处理站全部区域。</w:t>
      </w:r>
    </w:p>
    <w:p>
      <w:pPr>
        <w:spacing w:line="360" w:lineRule="auto"/>
        <w:ind w:left="480" w:leftChars="200"/>
        <w:rPr>
          <w:rStyle w:val="65"/>
          <w:rFonts w:hAnsi="Times New Roman" w:eastAsia="宋体"/>
          <w:sz w:val="21"/>
          <w:szCs w:val="21"/>
        </w:rPr>
      </w:pPr>
      <w:r>
        <w:rPr>
          <w:rFonts w:hAnsi="Times New Roman" w:eastAsia="宋体"/>
        </w:rPr>
        <w:t>泄漏面积：设定50m</w:t>
      </w:r>
      <w:r>
        <w:rPr>
          <w:rFonts w:hAnsi="Times New Roman" w:eastAsia="宋体"/>
          <w:vertAlign w:val="superscript"/>
        </w:rPr>
        <w:t>2</w:t>
      </w:r>
      <w:r>
        <w:rPr>
          <w:rStyle w:val="65"/>
          <w:rFonts w:hAnsi="Times New Roman" w:eastAsia="宋体"/>
          <w:sz w:val="21"/>
          <w:szCs w:val="21"/>
        </w:rPr>
        <w:t>。</w:t>
      </w:r>
    </w:p>
    <w:p>
      <w:pPr>
        <w:spacing w:line="360" w:lineRule="auto"/>
        <w:ind w:left="480" w:leftChars="200"/>
        <w:rPr>
          <w:rFonts w:hAnsi="Times New Roman" w:eastAsia="宋体"/>
        </w:rPr>
      </w:pPr>
      <w:r>
        <w:rPr>
          <w:rFonts w:hAnsi="Times New Roman" w:eastAsia="宋体"/>
        </w:rPr>
        <w:t>泄漏时间：持续性泄漏，共</w:t>
      </w:r>
      <w:r>
        <w:rPr>
          <w:rFonts w:hint="eastAsia" w:hAnsi="Times New Roman" w:eastAsia="宋体"/>
          <w:lang w:eastAsia="zh-CN"/>
        </w:rPr>
        <w:t>5.2</w:t>
      </w:r>
      <w:r>
        <w:rPr>
          <w:rFonts w:hAnsi="Times New Roman" w:eastAsia="宋体"/>
        </w:rPr>
        <w:t>年（</w:t>
      </w:r>
      <w:r>
        <w:rPr>
          <w:rFonts w:hint="eastAsia" w:hAnsi="Times New Roman" w:eastAsia="宋体"/>
          <w:lang w:eastAsia="zh-CN"/>
        </w:rPr>
        <w:t>1898</w:t>
      </w:r>
      <w:r>
        <w:rPr>
          <w:rFonts w:hAnsi="Times New Roman" w:eastAsia="宋体"/>
        </w:rPr>
        <w:t>天）。</w:t>
      </w:r>
    </w:p>
    <w:p>
      <w:pPr>
        <w:spacing w:line="360" w:lineRule="auto"/>
        <w:ind w:firstLine="480"/>
        <w:rPr>
          <w:rFonts w:hAnsi="Times New Roman" w:eastAsia="宋体"/>
        </w:rPr>
      </w:pPr>
      <w:r>
        <w:rPr>
          <w:rFonts w:hAnsi="Times New Roman" w:eastAsia="宋体"/>
        </w:rPr>
        <w:t>泄漏浓度：初始浓度分别为0.2mg/L、12mg/L、1mg/L。</w:t>
      </w:r>
    </w:p>
    <w:p>
      <w:pPr>
        <w:spacing w:line="360" w:lineRule="auto"/>
        <w:ind w:firstLine="480"/>
        <w:rPr>
          <w:rFonts w:hAnsi="Times New Roman" w:eastAsia="宋体"/>
        </w:rPr>
      </w:pPr>
      <w:r>
        <w:rPr>
          <w:rFonts w:hAnsi="Times New Roman" w:eastAsia="宋体"/>
        </w:rPr>
        <w:t>评价</w:t>
      </w:r>
      <w:r>
        <w:rPr>
          <w:rFonts w:hint="eastAsia" w:hAnsi="Times New Roman" w:eastAsia="宋体"/>
        </w:rPr>
        <w:t>标准：</w:t>
      </w:r>
      <w:r>
        <w:rPr>
          <w:rFonts w:hAnsi="Times New Roman" w:eastAsia="宋体"/>
        </w:rPr>
        <w:t>石油类参考《地表水环境质量标准》（GB3838-2002）Ⅲ类标准值0.05mg/L；COD</w:t>
      </w:r>
      <w:r>
        <w:rPr>
          <w:rFonts w:hAnsi="Times New Roman" w:eastAsia="宋体"/>
          <w:vertAlign w:val="subscript"/>
        </w:rPr>
        <w:t>Mn</w:t>
      </w:r>
      <w:r>
        <w:rPr>
          <w:rFonts w:hAnsi="Times New Roman" w:eastAsia="宋体"/>
        </w:rPr>
        <w:t>和氨氮参考《地下水质量标准》（GB/T 14848-2017）Ⅲ类标准值3mg/L和0.5mg/L。</w:t>
      </w:r>
    </w:p>
    <w:p>
      <w:pPr>
        <w:spacing w:line="360" w:lineRule="auto"/>
        <w:ind w:firstLine="480"/>
        <w:rPr>
          <w:rFonts w:hAnsi="Times New Roman" w:eastAsia="宋体"/>
        </w:rPr>
      </w:pPr>
      <w:bookmarkStart w:id="372" w:name="_Toc87392099"/>
      <w:bookmarkStart w:id="373" w:name="_Toc456487038"/>
      <w:r>
        <w:rPr>
          <w:rFonts w:hAnsi="Times New Roman" w:eastAsia="宋体"/>
        </w:rPr>
        <w:t>（4）预测重点</w:t>
      </w:r>
      <w:bookmarkEnd w:id="372"/>
      <w:bookmarkEnd w:id="373"/>
    </w:p>
    <w:p>
      <w:pPr>
        <w:spacing w:line="360" w:lineRule="auto"/>
        <w:ind w:firstLine="480"/>
        <w:rPr>
          <w:rFonts w:hAnsi="Times New Roman" w:eastAsia="宋体"/>
        </w:rPr>
      </w:pPr>
      <w:r>
        <w:rPr>
          <w:rFonts w:hAnsi="Times New Roman" w:eastAsia="宋体"/>
        </w:rPr>
        <w:t>将情景与源强输入模型，即可开展预测工作，预测重点主要为：</w:t>
      </w:r>
    </w:p>
    <w:p>
      <w:pPr>
        <w:spacing w:line="360" w:lineRule="auto"/>
        <w:ind w:firstLine="480"/>
        <w:rPr>
          <w:rFonts w:hAnsi="Times New Roman" w:eastAsia="宋体"/>
        </w:rPr>
      </w:pPr>
      <w:r>
        <w:rPr>
          <w:rFonts w:hAnsi="Times New Roman" w:eastAsia="宋体"/>
        </w:rPr>
        <w:t>① 不同时段下污染物的影响范围、程度，最大迁移距离。</w:t>
      </w:r>
    </w:p>
    <w:p>
      <w:pPr>
        <w:spacing w:line="360" w:lineRule="auto"/>
        <w:ind w:firstLine="480"/>
        <w:rPr>
          <w:rFonts w:hAnsi="Times New Roman" w:eastAsia="宋体"/>
        </w:rPr>
      </w:pPr>
      <w:r>
        <w:rPr>
          <w:rFonts w:hAnsi="Times New Roman" w:eastAsia="宋体"/>
        </w:rPr>
        <w:t>② 场地边界处污染物浓度随时间的变化规律。</w:t>
      </w:r>
    </w:p>
    <w:p>
      <w:pPr>
        <w:spacing w:line="360" w:lineRule="auto"/>
        <w:ind w:firstLine="480"/>
        <w:rPr>
          <w:rFonts w:hAnsi="Times New Roman" w:eastAsia="宋体"/>
        </w:rPr>
      </w:pPr>
      <w:r>
        <w:rPr>
          <w:rFonts w:hAnsi="Times New Roman" w:eastAsia="宋体"/>
        </w:rPr>
        <w:t>根据结果试算工作，选取污染物迁移主方向与场地边界交点为浓度观测点，保持记录观测点的浓度变化曲线。</w:t>
      </w:r>
    </w:p>
    <w:p>
      <w:pPr>
        <w:pStyle w:val="53"/>
        <w:ind w:firstLine="0" w:firstLineChars="0"/>
        <w:rPr>
          <w:rFonts w:eastAsia="宋体"/>
          <w:b/>
          <w:bCs/>
        </w:rPr>
      </w:pPr>
      <w:bookmarkStart w:id="374" w:name="_Toc477359805"/>
      <w:bookmarkStart w:id="375" w:name="_Toc87392100"/>
      <w:bookmarkStart w:id="376" w:name="_Toc531615650"/>
      <w:bookmarkStart w:id="377" w:name="_Toc531615647"/>
      <w:r>
        <w:rPr>
          <w:rFonts w:eastAsia="宋体"/>
          <w:b/>
          <w:bCs/>
        </w:rPr>
        <w:t>5.4.2.4预测评价</w:t>
      </w:r>
      <w:bookmarkEnd w:id="374"/>
      <w:bookmarkEnd w:id="375"/>
      <w:bookmarkEnd w:id="376"/>
    </w:p>
    <w:p>
      <w:pPr>
        <w:spacing w:line="360" w:lineRule="auto"/>
        <w:ind w:firstLine="480"/>
        <w:rPr>
          <w:rFonts w:hAnsi="Times New Roman" w:eastAsia="宋体"/>
        </w:rPr>
      </w:pPr>
      <w:bookmarkStart w:id="378" w:name="_Toc87392101"/>
      <w:r>
        <w:rPr>
          <w:rFonts w:hAnsi="Times New Roman" w:eastAsia="宋体"/>
        </w:rPr>
        <w:t>（1）背景叠加值</w:t>
      </w:r>
      <w:bookmarkEnd w:id="378"/>
    </w:p>
    <w:p>
      <w:pPr>
        <w:spacing w:line="360" w:lineRule="auto"/>
        <w:ind w:firstLine="480"/>
        <w:rPr>
          <w:rFonts w:hAnsi="Times New Roman" w:eastAsia="宋体"/>
        </w:rPr>
      </w:pPr>
      <w:r>
        <w:rPr>
          <w:rFonts w:hAnsi="Times New Roman" w:eastAsia="宋体"/>
        </w:rPr>
        <w:t>现状监测点数据显示，模拟区地下水中汞的浓度为0.000039mg/L，石油类的浓度未检出，COD</w:t>
      </w:r>
      <w:r>
        <w:rPr>
          <w:rFonts w:hAnsi="Times New Roman" w:eastAsia="宋体"/>
          <w:vertAlign w:val="subscript"/>
        </w:rPr>
        <w:t>Mn</w:t>
      </w:r>
      <w:r>
        <w:rPr>
          <w:rFonts w:hAnsi="Times New Roman" w:eastAsia="宋体"/>
        </w:rPr>
        <w:t>的浓度为0.88mg/L，氨氮的浓度为0.044mg/L，故仅预测污水处理站石油类时无需叠加背景值浓度，其余区域指标均需要叠加背景值浓度。</w:t>
      </w:r>
    </w:p>
    <w:p>
      <w:pPr>
        <w:pStyle w:val="62"/>
        <w:rPr>
          <w:rFonts w:hAnsi="Times New Roman" w:eastAsia="宋体"/>
        </w:rPr>
      </w:pPr>
      <w:r>
        <w:rPr>
          <w:rFonts w:hAnsi="Times New Roman" w:eastAsia="宋体"/>
        </w:rPr>
        <w:drawing>
          <wp:inline distT="0" distB="0" distL="114300" distR="114300">
            <wp:extent cx="5117465" cy="2380615"/>
            <wp:effectExtent l="0" t="0" r="6985" b="635"/>
            <wp:docPr id="201" name="图片 58" descr="C:\Users\lvjie623609\Documents\Tencent Files\273928990\Image\C2C\NIAIU%GONUL2]RAOHT38LZ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58" descr="C:\Users\lvjie623609\Documents\Tencent Files\273928990\Image\C2C\NIAIU%GONUL2]RAOHT38LZN.png"/>
                    <pic:cNvPicPr>
                      <a:picLocks noChangeAspect="1"/>
                    </pic:cNvPicPr>
                  </pic:nvPicPr>
                  <pic:blipFill>
                    <a:blip r:embed="rId189"/>
                    <a:srcRect l="7114" r="4500" b="13651"/>
                    <a:stretch>
                      <a:fillRect/>
                    </a:stretch>
                  </pic:blipFill>
                  <pic:spPr>
                    <a:xfrm>
                      <a:off x="0" y="0"/>
                      <a:ext cx="5117465" cy="2380615"/>
                    </a:xfrm>
                    <a:prstGeom prst="rect">
                      <a:avLst/>
                    </a:prstGeom>
                    <a:noFill/>
                    <a:ln>
                      <a:noFill/>
                    </a:ln>
                  </pic:spPr>
                </pic:pic>
              </a:graphicData>
            </a:graphic>
          </wp:inline>
        </w:drawing>
      </w:r>
    </w:p>
    <w:p>
      <w:pPr>
        <w:spacing w:line="360" w:lineRule="auto"/>
        <w:jc w:val="center"/>
        <w:rPr>
          <w:rFonts w:hAnsi="Times New Roman" w:eastAsia="宋体"/>
          <w:b/>
          <w:bCs/>
          <w:sz w:val="21"/>
          <w:szCs w:val="21"/>
          <w:lang w:eastAsia="zh-CN"/>
        </w:rPr>
      </w:pPr>
      <w:bookmarkStart w:id="379" w:name="_Toc531615767"/>
      <w:bookmarkStart w:id="380" w:name="_Toc475971241"/>
      <w:r>
        <w:rPr>
          <w:rFonts w:hAnsi="Times New Roman" w:eastAsia="宋体"/>
          <w:b/>
          <w:bCs/>
          <w:sz w:val="21"/>
          <w:szCs w:val="21"/>
          <w:lang w:eastAsia="zh-CN"/>
        </w:rPr>
        <w:t>图5.4-6 标准限值下污染晕范围与污染物扩散范围关系示意图</w:t>
      </w:r>
      <w:bookmarkEnd w:id="379"/>
      <w:bookmarkEnd w:id="380"/>
    </w:p>
    <w:p>
      <w:pPr>
        <w:spacing w:line="360" w:lineRule="auto"/>
        <w:ind w:firstLine="482"/>
        <w:rPr>
          <w:rFonts w:hAnsi="Times New Roman" w:eastAsia="宋体"/>
        </w:rPr>
      </w:pPr>
      <w:bookmarkStart w:id="381" w:name="_Toc87392102"/>
      <w:r>
        <w:rPr>
          <w:rFonts w:hAnsi="Times New Roman" w:eastAsia="宋体"/>
        </w:rPr>
        <w:t>（2）非正常状况下的评价结果</w:t>
      </w:r>
      <w:bookmarkEnd w:id="381"/>
    </w:p>
    <w:p>
      <w:pPr>
        <w:spacing w:line="360" w:lineRule="auto"/>
        <w:ind w:firstLine="482"/>
        <w:rPr>
          <w:rFonts w:hAnsi="Times New Roman" w:eastAsia="宋体"/>
        </w:rPr>
      </w:pPr>
      <w:r>
        <w:rPr>
          <w:rFonts w:hAnsi="Times New Roman" w:eastAsia="宋体"/>
        </w:rPr>
        <w:t>1）煤矸石转运场</w:t>
      </w:r>
    </w:p>
    <w:p>
      <w:pPr>
        <w:spacing w:line="360" w:lineRule="auto"/>
        <w:ind w:firstLine="482"/>
        <w:rPr>
          <w:rFonts w:hAnsi="Times New Roman" w:eastAsia="宋体"/>
        </w:rPr>
      </w:pPr>
      <w:bookmarkStart w:id="382" w:name="_Ref493581156"/>
      <w:bookmarkStart w:id="383" w:name="_Toc531615725"/>
      <w:r>
        <w:rPr>
          <w:rFonts w:hAnsi="Times New Roman" w:eastAsia="宋体"/>
        </w:rPr>
        <w:t>假设在煤矸石堆场下部防渗层出现裂缝，发生煤矸石渗滤液的泄漏，利用FEFLOW运行溶质运移模型，将水文地质参数、溶质运移参数等代入模型中，其中汞初始浓度设为0.00149mg/L，持续泄漏</w:t>
      </w:r>
      <w:r>
        <w:rPr>
          <w:rFonts w:hint="eastAsia" w:hAnsi="Times New Roman" w:eastAsia="宋体"/>
          <w:lang w:eastAsia="zh-CN"/>
        </w:rPr>
        <w:t>5.2</w:t>
      </w:r>
      <w:r>
        <w:rPr>
          <w:rFonts w:hAnsi="Times New Roman" w:eastAsia="宋体"/>
        </w:rPr>
        <w:t>年（</w:t>
      </w:r>
      <w:r>
        <w:rPr>
          <w:rFonts w:hint="eastAsia" w:hAnsi="Times New Roman" w:eastAsia="宋体"/>
          <w:lang w:eastAsia="zh-CN"/>
        </w:rPr>
        <w:t>1898</w:t>
      </w:r>
      <w:r>
        <w:rPr>
          <w:rFonts w:hAnsi="Times New Roman" w:eastAsia="宋体"/>
        </w:rPr>
        <w:t>天），预测模拟结果的制图工作利用FEFLOW软件完成，数据后处理工作利用ArcGIS软件完成，其中汞污染晕以《地下水质量标准》（GB/T 14848-2017）Ⅲ类标准值浓度0.001mg/L为界。</w:t>
      </w:r>
    </w:p>
    <w:p>
      <w:pPr>
        <w:spacing w:line="360" w:lineRule="auto"/>
        <w:ind w:firstLine="482"/>
        <w:rPr>
          <w:rFonts w:hAnsi="Times New Roman" w:eastAsia="宋体"/>
        </w:rPr>
      </w:pPr>
      <w:r>
        <w:rPr>
          <w:rFonts w:hAnsi="Times New Roman" w:eastAsia="宋体"/>
        </w:rPr>
        <w:t>泄漏发生后，污染物下渗进入地下水中，形成超标污染晕，迁移方向主要受水动力场控制，污染晕向东北侧河流运移，污染范围持续扩大，由于工业区及煤矸石堆场紧邻河流，</w:t>
      </w:r>
      <w:r>
        <w:rPr>
          <w:rFonts w:hint="eastAsia" w:hAnsi="Times New Roman" w:eastAsia="宋体"/>
        </w:rPr>
        <w:t>在第</w:t>
      </w:r>
      <w:r>
        <w:rPr>
          <w:rFonts w:hAnsi="Times New Roman" w:eastAsia="宋体"/>
        </w:rPr>
        <w:t>100</w:t>
      </w:r>
      <w:r>
        <w:rPr>
          <w:rFonts w:hint="eastAsia" w:hAnsi="Times New Roman" w:eastAsia="宋体"/>
        </w:rPr>
        <w:t>天时，超标污染晕即扩散出场界并抵达河流。受地下水稀释的作用，超标污染晕在1</w:t>
      </w:r>
      <w:r>
        <w:rPr>
          <w:rFonts w:hAnsi="Times New Roman" w:eastAsia="宋体"/>
        </w:rPr>
        <w:t>000</w:t>
      </w:r>
      <w:r>
        <w:rPr>
          <w:rFonts w:hint="eastAsia" w:hAnsi="Times New Roman" w:eastAsia="宋体"/>
        </w:rPr>
        <w:t>天时污染晕面积基本保持稳定，在1898天时达到最大污染晕面积</w:t>
      </w:r>
      <w:r>
        <w:rPr>
          <w:rFonts w:hAnsi="Times New Roman" w:eastAsia="宋体"/>
        </w:rPr>
        <w:t>850.40</w:t>
      </w:r>
      <w:r>
        <w:rPr>
          <w:rFonts w:hint="eastAsia" w:hAnsi="Times New Roman" w:eastAsia="宋体"/>
        </w:rPr>
        <w:t>m</w:t>
      </w:r>
      <w:r>
        <w:rPr>
          <w:rFonts w:hAnsi="Times New Roman" w:eastAsia="宋体"/>
          <w:vertAlign w:val="superscript"/>
        </w:rPr>
        <w:t>2</w:t>
      </w:r>
      <w:r>
        <w:rPr>
          <w:rFonts w:hint="eastAsia" w:hAnsi="Times New Roman" w:eastAsia="宋体"/>
        </w:rPr>
        <w:t>。</w:t>
      </w:r>
    </w:p>
    <w:p>
      <w:pPr>
        <w:spacing w:line="360" w:lineRule="auto"/>
        <w:ind w:firstLine="482"/>
        <w:rPr>
          <w:rFonts w:hAnsi="Times New Roman" w:eastAsia="宋体"/>
        </w:rPr>
      </w:pPr>
      <w:r>
        <w:rPr>
          <w:rFonts w:hAnsi="Times New Roman" w:eastAsia="宋体"/>
        </w:rPr>
        <w:t>下图展示了模型运行100天、1000天和</w:t>
      </w:r>
      <w:r>
        <w:rPr>
          <w:rFonts w:hint="eastAsia" w:hAnsi="Times New Roman" w:eastAsia="宋体"/>
          <w:lang w:eastAsia="zh-CN"/>
        </w:rPr>
        <w:t>1898</w:t>
      </w:r>
      <w:r>
        <w:rPr>
          <w:rFonts w:hAnsi="Times New Roman" w:eastAsia="宋体"/>
        </w:rPr>
        <w:t>天</w:t>
      </w:r>
      <w:r>
        <w:rPr>
          <w:rFonts w:hint="eastAsia" w:hAnsi="Times New Roman" w:eastAsia="宋体"/>
        </w:rPr>
        <w:t>三</w:t>
      </w:r>
      <w:r>
        <w:rPr>
          <w:rFonts w:hAnsi="Times New Roman" w:eastAsia="宋体"/>
        </w:rPr>
        <w:t>个时段下地下水中污染物的迁移扩散情况。下表针对</w:t>
      </w:r>
      <w:r>
        <w:rPr>
          <w:rFonts w:hint="eastAsia" w:hAnsi="Times New Roman" w:eastAsia="宋体"/>
        </w:rPr>
        <w:t>三</w:t>
      </w:r>
      <w:r>
        <w:rPr>
          <w:rFonts w:hAnsi="Times New Roman" w:eastAsia="宋体"/>
        </w:rPr>
        <w:t>个典型时间段，统计了污染晕的运移距离、污染面积。</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w:t>
      </w:r>
      <w:bookmarkEnd w:id="382"/>
      <w:r>
        <w:rPr>
          <w:rFonts w:hAnsi="Times New Roman" w:eastAsia="宋体"/>
          <w:b/>
          <w:bCs/>
          <w:sz w:val="21"/>
          <w:szCs w:val="21"/>
          <w:lang w:eastAsia="zh-CN"/>
        </w:rPr>
        <w:t>5.4-5非正常状况下铅超预测结果信息表</w:t>
      </w:r>
      <w:bookmarkEnd w:id="383"/>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76"/>
        <w:gridCol w:w="1917"/>
        <w:gridCol w:w="2700"/>
        <w:gridCol w:w="30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7" w:type="pct"/>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时间（d）</w:t>
            </w:r>
          </w:p>
        </w:tc>
        <w:tc>
          <w:tcPr>
            <w:tcW w:w="1026" w:type="pct"/>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迁移距离（m）</w:t>
            </w:r>
          </w:p>
        </w:tc>
        <w:tc>
          <w:tcPr>
            <w:tcW w:w="1445" w:type="pct"/>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超标污染晕面积（m</w:t>
            </w:r>
            <w:r>
              <w:rPr>
                <w:rFonts w:hint="eastAsia" w:hAnsi="Times New Roman" w:eastAsia="宋体"/>
                <w:kern w:val="2"/>
                <w:szCs w:val="22"/>
                <w:vertAlign w:val="superscript"/>
              </w:rPr>
              <w:t>2</w:t>
            </w:r>
            <w:r>
              <w:rPr>
                <w:rFonts w:hint="eastAsia" w:hAnsi="Times New Roman" w:eastAsia="宋体"/>
                <w:kern w:val="2"/>
                <w:szCs w:val="22"/>
              </w:rPr>
              <w:t>）</w:t>
            </w:r>
          </w:p>
        </w:tc>
        <w:tc>
          <w:tcPr>
            <w:tcW w:w="1632" w:type="pct"/>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事件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7"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kern w:val="2"/>
                <w:szCs w:val="22"/>
              </w:rPr>
              <w:t>100</w:t>
            </w:r>
          </w:p>
        </w:tc>
        <w:tc>
          <w:tcPr>
            <w:tcW w:w="1026"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kern w:val="2"/>
                <w:szCs w:val="22"/>
              </w:rPr>
              <w:t>12.55</w:t>
            </w:r>
          </w:p>
        </w:tc>
        <w:tc>
          <w:tcPr>
            <w:tcW w:w="1445" w:type="pct"/>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kern w:val="2"/>
                <w:szCs w:val="22"/>
              </w:rPr>
              <w:t>411.64</w:t>
            </w:r>
          </w:p>
        </w:tc>
        <w:tc>
          <w:tcPr>
            <w:tcW w:w="1632"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超标污染晕出场界抵达河流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7"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kern w:val="2"/>
                <w:szCs w:val="22"/>
              </w:rPr>
              <w:t>1000</w:t>
            </w:r>
          </w:p>
        </w:tc>
        <w:tc>
          <w:tcPr>
            <w:tcW w:w="1026"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kern w:val="2"/>
                <w:szCs w:val="22"/>
              </w:rPr>
              <w:t>22.48</w:t>
            </w:r>
          </w:p>
        </w:tc>
        <w:tc>
          <w:tcPr>
            <w:tcW w:w="1445" w:type="pct"/>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kern w:val="2"/>
                <w:szCs w:val="22"/>
              </w:rPr>
              <w:t>654.72</w:t>
            </w:r>
          </w:p>
        </w:tc>
        <w:tc>
          <w:tcPr>
            <w:tcW w:w="1632" w:type="pct"/>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7"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kern w:val="2"/>
                <w:szCs w:val="22"/>
              </w:rPr>
              <w:t>1898</w:t>
            </w:r>
          </w:p>
        </w:tc>
        <w:tc>
          <w:tcPr>
            <w:tcW w:w="1026"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kern w:val="2"/>
                <w:szCs w:val="22"/>
              </w:rPr>
              <w:t>31.44</w:t>
            </w:r>
          </w:p>
        </w:tc>
        <w:tc>
          <w:tcPr>
            <w:tcW w:w="1445" w:type="pct"/>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kern w:val="2"/>
                <w:szCs w:val="22"/>
              </w:rPr>
              <w:t>850.40</w:t>
            </w:r>
          </w:p>
        </w:tc>
        <w:tc>
          <w:tcPr>
            <w:tcW w:w="1632" w:type="pct"/>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w:t>
            </w:r>
          </w:p>
        </w:tc>
      </w:tr>
    </w:tbl>
    <w:p>
      <w:pPr>
        <w:pStyle w:val="62"/>
        <w:rPr>
          <w:rFonts w:hAnsi="Times New Roman" w:eastAsia="宋体"/>
        </w:rPr>
      </w:pPr>
      <w:r>
        <w:drawing>
          <wp:inline distT="0" distB="0" distL="114300" distR="114300">
            <wp:extent cx="3078480" cy="2637155"/>
            <wp:effectExtent l="0" t="0" r="7620" b="10795"/>
            <wp:docPr id="3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1"/>
                    <pic:cNvPicPr>
                      <a:picLocks noChangeAspect="1"/>
                    </pic:cNvPicPr>
                  </pic:nvPicPr>
                  <pic:blipFill>
                    <a:blip r:embed="rId190"/>
                    <a:stretch>
                      <a:fillRect/>
                    </a:stretch>
                  </pic:blipFill>
                  <pic:spPr>
                    <a:xfrm>
                      <a:off x="0" y="0"/>
                      <a:ext cx="3078480" cy="2637155"/>
                    </a:xfrm>
                    <a:prstGeom prst="rect">
                      <a:avLst/>
                    </a:prstGeom>
                    <a:noFill/>
                    <a:ln>
                      <a:noFill/>
                    </a:ln>
                  </pic:spPr>
                </pic:pic>
              </a:graphicData>
            </a:graphic>
          </wp:inline>
        </w:drawing>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100d</w:t>
      </w:r>
    </w:p>
    <w:p>
      <w:pPr>
        <w:pStyle w:val="62"/>
        <w:rPr>
          <w:rFonts w:hAnsi="Times New Roman" w:eastAsia="宋体"/>
        </w:rPr>
      </w:pPr>
      <w:r>
        <w:drawing>
          <wp:inline distT="0" distB="0" distL="114300" distR="114300">
            <wp:extent cx="3078480" cy="2637155"/>
            <wp:effectExtent l="0" t="0" r="7620" b="10795"/>
            <wp:docPr id="54"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2"/>
                    <pic:cNvPicPr>
                      <a:picLocks noChangeAspect="1"/>
                    </pic:cNvPicPr>
                  </pic:nvPicPr>
                  <pic:blipFill>
                    <a:blip r:embed="rId191"/>
                    <a:stretch>
                      <a:fillRect/>
                    </a:stretch>
                  </pic:blipFill>
                  <pic:spPr>
                    <a:xfrm>
                      <a:off x="0" y="0"/>
                      <a:ext cx="3078480" cy="2637155"/>
                    </a:xfrm>
                    <a:prstGeom prst="rect">
                      <a:avLst/>
                    </a:prstGeom>
                    <a:noFill/>
                    <a:ln>
                      <a:noFill/>
                    </a:ln>
                  </pic:spPr>
                </pic:pic>
              </a:graphicData>
            </a:graphic>
          </wp:inline>
        </w:drawing>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1000d</w:t>
      </w:r>
    </w:p>
    <w:p>
      <w:pPr>
        <w:pStyle w:val="62"/>
        <w:rPr>
          <w:rFonts w:hAnsi="Times New Roman" w:eastAsia="宋体"/>
        </w:rPr>
      </w:pPr>
      <w:r>
        <w:drawing>
          <wp:inline distT="0" distB="0" distL="114300" distR="114300">
            <wp:extent cx="3078480" cy="2637155"/>
            <wp:effectExtent l="0" t="0" r="7620" b="10795"/>
            <wp:docPr id="56"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3"/>
                    <pic:cNvPicPr>
                      <a:picLocks noChangeAspect="1"/>
                    </pic:cNvPicPr>
                  </pic:nvPicPr>
                  <pic:blipFill>
                    <a:blip r:embed="rId192"/>
                    <a:stretch>
                      <a:fillRect/>
                    </a:stretch>
                  </pic:blipFill>
                  <pic:spPr>
                    <a:xfrm>
                      <a:off x="0" y="0"/>
                      <a:ext cx="3078480" cy="2637155"/>
                    </a:xfrm>
                    <a:prstGeom prst="rect">
                      <a:avLst/>
                    </a:prstGeom>
                    <a:noFill/>
                    <a:ln>
                      <a:noFill/>
                    </a:ln>
                  </pic:spPr>
                </pic:pic>
              </a:graphicData>
            </a:graphic>
          </wp:inline>
        </w:drawing>
      </w:r>
    </w:p>
    <w:p>
      <w:pPr>
        <w:spacing w:line="360" w:lineRule="auto"/>
        <w:jc w:val="center"/>
        <w:rPr>
          <w:rFonts w:hAnsi="Times New Roman" w:eastAsia="宋体"/>
          <w:b/>
          <w:bCs/>
          <w:sz w:val="21"/>
          <w:szCs w:val="21"/>
          <w:lang w:eastAsia="zh-CN"/>
        </w:rPr>
      </w:pPr>
      <w:r>
        <w:rPr>
          <w:rFonts w:hint="eastAsia" w:hAnsi="Times New Roman" w:eastAsia="宋体"/>
          <w:b/>
          <w:bCs/>
          <w:sz w:val="21"/>
          <w:szCs w:val="21"/>
          <w:lang w:eastAsia="zh-CN"/>
        </w:rPr>
        <w:t>1898</w:t>
      </w:r>
      <w:r>
        <w:rPr>
          <w:rFonts w:hAnsi="Times New Roman" w:eastAsia="宋体"/>
          <w:b/>
          <w:bCs/>
          <w:sz w:val="21"/>
          <w:szCs w:val="21"/>
          <w:lang w:eastAsia="zh-CN"/>
        </w:rPr>
        <w:t>d</w:t>
      </w:r>
    </w:p>
    <w:p>
      <w:pPr>
        <w:spacing w:line="360" w:lineRule="auto"/>
        <w:jc w:val="center"/>
        <w:rPr>
          <w:rFonts w:hAnsi="Times New Roman" w:eastAsia="宋体"/>
          <w:b/>
          <w:bCs/>
          <w:sz w:val="21"/>
          <w:szCs w:val="21"/>
          <w:lang w:eastAsia="zh-CN"/>
        </w:rPr>
      </w:pPr>
      <w:bookmarkStart w:id="384" w:name="_Ref493583020"/>
      <w:bookmarkStart w:id="385" w:name="_Toc531615768"/>
      <w:r>
        <w:rPr>
          <w:rFonts w:hAnsi="Times New Roman" w:eastAsia="宋体"/>
          <w:b/>
          <w:bCs/>
          <w:sz w:val="21"/>
          <w:szCs w:val="21"/>
          <w:lang w:eastAsia="zh-CN"/>
        </w:rPr>
        <w:t>图</w:t>
      </w:r>
      <w:bookmarkEnd w:id="384"/>
      <w:r>
        <w:rPr>
          <w:rFonts w:hAnsi="Times New Roman" w:eastAsia="宋体"/>
          <w:b/>
          <w:bCs/>
          <w:sz w:val="21"/>
          <w:szCs w:val="21"/>
          <w:lang w:eastAsia="zh-CN"/>
        </w:rPr>
        <w:t>5.4-7 非正常状况下铅超标污染晕示意图</w:t>
      </w:r>
      <w:bookmarkEnd w:id="385"/>
    </w:p>
    <w:p>
      <w:pPr>
        <w:spacing w:line="360" w:lineRule="auto"/>
        <w:ind w:firstLine="482"/>
        <w:rPr>
          <w:rFonts w:hAnsi="Times New Roman" w:eastAsia="宋体"/>
        </w:rPr>
      </w:pPr>
      <w:r>
        <w:rPr>
          <w:rFonts w:hAnsi="Times New Roman" w:eastAsia="宋体"/>
        </w:rPr>
        <w:t>2）水处理站</w:t>
      </w:r>
    </w:p>
    <w:p>
      <w:pPr>
        <w:spacing w:line="360" w:lineRule="auto"/>
        <w:ind w:firstLine="482"/>
        <w:rPr>
          <w:rFonts w:hAnsi="Times New Roman" w:eastAsia="宋体"/>
        </w:rPr>
      </w:pPr>
      <w:r>
        <w:rPr>
          <w:rFonts w:hAnsi="Times New Roman" w:eastAsia="宋体"/>
        </w:rPr>
        <w:t>假设在水处理站下部防渗层出现裂缝，发生污水的泄漏，利用FEFLOW运行溶质运移模型，将水文地质参数、溶质运移参数等代入模型中，其中石油类初始浓度设为0.2mg/L，CODMn初始浓度设为12mg/L，氨氮初始浓度设为1mg/L，持续泄漏</w:t>
      </w:r>
      <w:r>
        <w:rPr>
          <w:rFonts w:hint="eastAsia" w:hAnsi="Times New Roman" w:eastAsia="宋体"/>
          <w:lang w:eastAsia="zh-CN"/>
        </w:rPr>
        <w:t>5.2</w:t>
      </w:r>
      <w:r>
        <w:rPr>
          <w:rFonts w:hAnsi="Times New Roman" w:eastAsia="宋体"/>
        </w:rPr>
        <w:t>年</w:t>
      </w:r>
      <w:r>
        <w:rPr>
          <w:rFonts w:hint="eastAsia" w:hAnsi="Times New Roman" w:eastAsia="宋体"/>
          <w:lang w:eastAsia="zh-CN"/>
        </w:rPr>
        <w:t>1898</w:t>
      </w:r>
      <w:r>
        <w:rPr>
          <w:rFonts w:hAnsi="Times New Roman" w:eastAsia="宋体"/>
        </w:rPr>
        <w:t>天），预测模拟结果的制图工作利用FEFLOW软件完成，数据后处理工作利用ArcGIS软件完成，其中汞污染晕以《地表水环境质量标准》（GB3838-2002）Ⅲ类标准值浓度0.05mg/L为界，CODMn和氨氮污染晕分别以《地下水质量标准》（GB/T 14848-2017）Ⅲ类标准值3mg/L和0.5mg/L为界。</w:t>
      </w:r>
    </w:p>
    <w:p>
      <w:pPr>
        <w:spacing w:line="360" w:lineRule="auto"/>
        <w:ind w:firstLine="482"/>
        <w:rPr>
          <w:rFonts w:hAnsi="Times New Roman" w:eastAsia="宋体"/>
          <w:szCs w:val="22"/>
        </w:rPr>
      </w:pPr>
      <w:r>
        <w:rPr>
          <w:rFonts w:hint="eastAsia" w:hAnsi="Times New Roman" w:eastAsia="宋体"/>
          <w:szCs w:val="22"/>
        </w:rPr>
        <w:t>（1）石油类</w:t>
      </w:r>
    </w:p>
    <w:p>
      <w:pPr>
        <w:spacing w:line="360" w:lineRule="auto"/>
        <w:ind w:firstLine="482"/>
        <w:rPr>
          <w:rFonts w:hAnsi="Times New Roman" w:eastAsia="宋体"/>
        </w:rPr>
      </w:pPr>
      <w:r>
        <w:rPr>
          <w:rFonts w:hAnsi="Times New Roman" w:eastAsia="宋体"/>
        </w:rPr>
        <w:t>泄漏发生后，污染物下渗进入地下水中，形成超标污染晕，迁移方向主要受水动力场控制，污染晕向北运移，污染范围持续扩大，由于工业区及水处理站紧邻河流，在第100天时，超标污染晕即扩散出场界并抵达河流。受地下水稀释的作用，超标污染晕在1000天时污染晕面积基本保持稳定，在</w:t>
      </w:r>
      <w:r>
        <w:rPr>
          <w:rFonts w:hint="eastAsia" w:hAnsi="Times New Roman" w:eastAsia="宋体"/>
          <w:lang w:eastAsia="zh-CN"/>
        </w:rPr>
        <w:t>1898</w:t>
      </w:r>
      <w:r>
        <w:rPr>
          <w:rFonts w:hAnsi="Times New Roman" w:eastAsia="宋体"/>
        </w:rPr>
        <w:t>天时达到最大污染晕面积659.45m</w:t>
      </w:r>
      <w:r>
        <w:rPr>
          <w:rFonts w:hAnsi="Times New Roman" w:eastAsia="宋体"/>
          <w:vertAlign w:val="superscript"/>
        </w:rPr>
        <w:t>2</w:t>
      </w:r>
      <w:r>
        <w:rPr>
          <w:rFonts w:hAnsi="Times New Roman" w:eastAsia="宋体"/>
        </w:rPr>
        <w:t>。</w:t>
      </w:r>
    </w:p>
    <w:p>
      <w:pPr>
        <w:spacing w:line="360" w:lineRule="auto"/>
        <w:ind w:firstLine="482"/>
        <w:rPr>
          <w:rFonts w:hAnsi="Times New Roman" w:eastAsia="宋体"/>
        </w:rPr>
      </w:pPr>
      <w:r>
        <w:rPr>
          <w:rFonts w:hAnsi="Times New Roman" w:eastAsia="宋体"/>
        </w:rPr>
        <w:t>下图展示了模型运行100天、365天、1000天和</w:t>
      </w:r>
      <w:r>
        <w:rPr>
          <w:rFonts w:hint="eastAsia" w:hAnsi="Times New Roman" w:eastAsia="宋体"/>
          <w:lang w:eastAsia="zh-CN"/>
        </w:rPr>
        <w:t>1898</w:t>
      </w:r>
      <w:r>
        <w:rPr>
          <w:rFonts w:hAnsi="Times New Roman" w:eastAsia="宋体"/>
        </w:rPr>
        <w:t>天四个时段下地下水中污染物的迁移扩散情况。下表针对四个典型时间段，统计了污染晕的运移距离、污染面积。</w:t>
      </w:r>
    </w:p>
    <w:p>
      <w:pPr>
        <w:spacing w:line="360" w:lineRule="auto"/>
        <w:jc w:val="center"/>
        <w:rPr>
          <w:rFonts w:hAnsi="Times New Roman" w:eastAsia="宋体"/>
          <w:b/>
          <w:bCs/>
          <w:sz w:val="21"/>
          <w:szCs w:val="21"/>
          <w:lang w:eastAsia="zh-CN"/>
        </w:rPr>
      </w:pPr>
    </w:p>
    <w:p>
      <w:pPr>
        <w:spacing w:line="360" w:lineRule="auto"/>
        <w:jc w:val="center"/>
        <w:rPr>
          <w:rFonts w:hAnsi="Times New Roman" w:eastAsia="宋体"/>
          <w:b/>
          <w:bCs/>
          <w:sz w:val="21"/>
          <w:szCs w:val="21"/>
          <w:lang w:eastAsia="zh-CN"/>
        </w:rPr>
      </w:pP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表5.4-6非正常状况下污水处理站石油类超预测结果信息表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76"/>
        <w:gridCol w:w="2169"/>
        <w:gridCol w:w="2952"/>
        <w:gridCol w:w="25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7"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时间（d）</w:t>
            </w:r>
          </w:p>
        </w:tc>
        <w:tc>
          <w:tcPr>
            <w:tcW w:w="1161"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迁移距离（m）</w:t>
            </w:r>
          </w:p>
        </w:tc>
        <w:tc>
          <w:tcPr>
            <w:tcW w:w="1580" w:type="pct"/>
            <w:shd w:val="clear" w:color="auto" w:fill="auto"/>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超标污染晕面积（m</w:t>
            </w:r>
            <w:r>
              <w:rPr>
                <w:rFonts w:hint="eastAsia" w:hAnsi="Times New Roman" w:eastAsia="宋体"/>
                <w:kern w:val="2"/>
                <w:szCs w:val="22"/>
                <w:vertAlign w:val="superscript"/>
              </w:rPr>
              <w:t>2</w:t>
            </w:r>
            <w:r>
              <w:rPr>
                <w:rFonts w:hint="eastAsia" w:hAnsi="Times New Roman" w:eastAsia="宋体"/>
                <w:kern w:val="2"/>
                <w:szCs w:val="22"/>
              </w:rPr>
              <w:t>）</w:t>
            </w:r>
          </w:p>
        </w:tc>
        <w:tc>
          <w:tcPr>
            <w:tcW w:w="1362"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事件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7"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100</w:t>
            </w:r>
          </w:p>
        </w:tc>
        <w:tc>
          <w:tcPr>
            <w:tcW w:w="1161"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12.58</w:t>
            </w:r>
          </w:p>
        </w:tc>
        <w:tc>
          <w:tcPr>
            <w:tcW w:w="1580" w:type="pct"/>
            <w:shd w:val="clear" w:color="auto" w:fill="auto"/>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208.78</w:t>
            </w:r>
          </w:p>
        </w:tc>
        <w:tc>
          <w:tcPr>
            <w:tcW w:w="1362"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超标污染晕出场界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7"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365</w:t>
            </w:r>
          </w:p>
        </w:tc>
        <w:tc>
          <w:tcPr>
            <w:tcW w:w="1161"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15.69</w:t>
            </w:r>
          </w:p>
        </w:tc>
        <w:tc>
          <w:tcPr>
            <w:tcW w:w="1580" w:type="pct"/>
            <w:shd w:val="clear" w:color="auto" w:fill="auto"/>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382.57</w:t>
            </w:r>
          </w:p>
        </w:tc>
        <w:tc>
          <w:tcPr>
            <w:tcW w:w="1362"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超标污染晕抵达河流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7"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1000</w:t>
            </w:r>
          </w:p>
        </w:tc>
        <w:tc>
          <w:tcPr>
            <w:tcW w:w="1161"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53.15</w:t>
            </w:r>
          </w:p>
        </w:tc>
        <w:tc>
          <w:tcPr>
            <w:tcW w:w="1580" w:type="pct"/>
            <w:shd w:val="clear" w:color="auto" w:fill="auto"/>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468.91</w:t>
            </w:r>
          </w:p>
        </w:tc>
        <w:tc>
          <w:tcPr>
            <w:tcW w:w="1362"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7"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lang w:eastAsia="zh-CN"/>
              </w:rPr>
              <w:t>1898</w:t>
            </w:r>
          </w:p>
        </w:tc>
        <w:tc>
          <w:tcPr>
            <w:tcW w:w="1161"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15.79</w:t>
            </w:r>
          </w:p>
        </w:tc>
        <w:tc>
          <w:tcPr>
            <w:tcW w:w="1580" w:type="pct"/>
            <w:shd w:val="clear" w:color="auto" w:fill="auto"/>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659.45</w:t>
            </w:r>
          </w:p>
        </w:tc>
        <w:tc>
          <w:tcPr>
            <w:tcW w:w="1362"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w:t>
            </w:r>
          </w:p>
        </w:tc>
      </w:tr>
      <w:bookmarkEnd w:id="325"/>
      <w:bookmarkEnd w:id="329"/>
      <w:bookmarkEnd w:id="377"/>
    </w:tbl>
    <w:p>
      <w:pPr>
        <w:pStyle w:val="62"/>
        <w:rPr>
          <w:rFonts w:hAnsi="Times New Roman" w:eastAsia="宋体"/>
        </w:rPr>
      </w:pPr>
      <w:bookmarkStart w:id="386" w:name="_Toc477359811"/>
      <w:bookmarkStart w:id="387" w:name="_Toc531615655"/>
      <w:bookmarkStart w:id="388" w:name="_Toc87392103"/>
      <w:r>
        <w:rPr>
          <w:rFonts w:hAnsi="Times New Roman" w:eastAsia="宋体"/>
        </w:rPr>
        <w:drawing>
          <wp:inline distT="0" distB="0" distL="114300" distR="114300">
            <wp:extent cx="3070860" cy="2437765"/>
            <wp:effectExtent l="0" t="0" r="15240" b="635"/>
            <wp:docPr id="220"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58"/>
                    <pic:cNvPicPr>
                      <a:picLocks noChangeAspect="1"/>
                    </pic:cNvPicPr>
                  </pic:nvPicPr>
                  <pic:blipFill>
                    <a:blip r:embed="rId193"/>
                    <a:stretch>
                      <a:fillRect/>
                    </a:stretch>
                  </pic:blipFill>
                  <pic:spPr>
                    <a:xfrm>
                      <a:off x="0" y="0"/>
                      <a:ext cx="3070860" cy="2437765"/>
                    </a:xfrm>
                    <a:prstGeom prst="rect">
                      <a:avLst/>
                    </a:prstGeom>
                    <a:noFill/>
                    <a:ln>
                      <a:noFill/>
                    </a:ln>
                  </pic:spPr>
                </pic:pic>
              </a:graphicData>
            </a:graphic>
          </wp:inline>
        </w:drawing>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100d</w:t>
      </w:r>
    </w:p>
    <w:p>
      <w:pPr>
        <w:jc w:val="center"/>
        <w:rPr>
          <w:rFonts w:hAnsi="Times New Roman" w:eastAsia="宋体"/>
        </w:rPr>
      </w:pPr>
      <w:r>
        <w:rPr>
          <w:rFonts w:hAnsi="Times New Roman" w:eastAsia="宋体"/>
        </w:rPr>
        <w:drawing>
          <wp:inline distT="0" distB="0" distL="114300" distR="114300">
            <wp:extent cx="3070860" cy="2437765"/>
            <wp:effectExtent l="0" t="0" r="15240" b="635"/>
            <wp:docPr id="218"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59"/>
                    <pic:cNvPicPr>
                      <a:picLocks noChangeAspect="1"/>
                    </pic:cNvPicPr>
                  </pic:nvPicPr>
                  <pic:blipFill>
                    <a:blip r:embed="rId194"/>
                    <a:stretch>
                      <a:fillRect/>
                    </a:stretch>
                  </pic:blipFill>
                  <pic:spPr>
                    <a:xfrm>
                      <a:off x="0" y="0"/>
                      <a:ext cx="3070860" cy="2437765"/>
                    </a:xfrm>
                    <a:prstGeom prst="rect">
                      <a:avLst/>
                    </a:prstGeom>
                    <a:noFill/>
                    <a:ln>
                      <a:noFill/>
                    </a:ln>
                  </pic:spPr>
                </pic:pic>
              </a:graphicData>
            </a:graphic>
          </wp:inline>
        </w:drawing>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365d</w:t>
      </w:r>
    </w:p>
    <w:p>
      <w:pPr>
        <w:jc w:val="center"/>
        <w:rPr>
          <w:rFonts w:hAnsi="Times New Roman" w:eastAsia="宋体"/>
        </w:rPr>
      </w:pPr>
      <w:r>
        <w:rPr>
          <w:rFonts w:hAnsi="Times New Roman" w:eastAsia="宋体"/>
        </w:rPr>
        <w:drawing>
          <wp:inline distT="0" distB="0" distL="114300" distR="114300">
            <wp:extent cx="3070860" cy="2437765"/>
            <wp:effectExtent l="0" t="0" r="15240" b="635"/>
            <wp:docPr id="219"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60"/>
                    <pic:cNvPicPr>
                      <a:picLocks noChangeAspect="1"/>
                    </pic:cNvPicPr>
                  </pic:nvPicPr>
                  <pic:blipFill>
                    <a:blip r:embed="rId195"/>
                    <a:stretch>
                      <a:fillRect/>
                    </a:stretch>
                  </pic:blipFill>
                  <pic:spPr>
                    <a:xfrm>
                      <a:off x="0" y="0"/>
                      <a:ext cx="3070860" cy="2437765"/>
                    </a:xfrm>
                    <a:prstGeom prst="rect">
                      <a:avLst/>
                    </a:prstGeom>
                    <a:noFill/>
                    <a:ln>
                      <a:noFill/>
                    </a:ln>
                  </pic:spPr>
                </pic:pic>
              </a:graphicData>
            </a:graphic>
          </wp:inline>
        </w:drawing>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1000d</w:t>
      </w:r>
    </w:p>
    <w:p>
      <w:pPr>
        <w:jc w:val="center"/>
        <w:rPr>
          <w:rFonts w:hAnsi="Times New Roman" w:eastAsia="宋体"/>
        </w:rPr>
      </w:pPr>
      <w:r>
        <w:rPr>
          <w:rFonts w:hAnsi="Times New Roman" w:eastAsia="宋体"/>
        </w:rPr>
        <w:drawing>
          <wp:inline distT="0" distB="0" distL="114300" distR="114300">
            <wp:extent cx="3070860" cy="2437765"/>
            <wp:effectExtent l="0" t="0" r="15240" b="635"/>
            <wp:docPr id="217"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61"/>
                    <pic:cNvPicPr>
                      <a:picLocks noChangeAspect="1"/>
                    </pic:cNvPicPr>
                  </pic:nvPicPr>
                  <pic:blipFill>
                    <a:blip r:embed="rId196"/>
                    <a:stretch>
                      <a:fillRect/>
                    </a:stretch>
                  </pic:blipFill>
                  <pic:spPr>
                    <a:xfrm>
                      <a:off x="0" y="0"/>
                      <a:ext cx="3070860" cy="2437765"/>
                    </a:xfrm>
                    <a:prstGeom prst="rect">
                      <a:avLst/>
                    </a:prstGeom>
                    <a:noFill/>
                    <a:ln>
                      <a:noFill/>
                    </a:ln>
                  </pic:spPr>
                </pic:pic>
              </a:graphicData>
            </a:graphic>
          </wp:inline>
        </w:drawing>
      </w:r>
    </w:p>
    <w:p>
      <w:pPr>
        <w:jc w:val="center"/>
        <w:rPr>
          <w:rFonts w:hAnsi="Times New Roman" w:eastAsia="宋体"/>
          <w:b/>
          <w:bCs/>
          <w:sz w:val="21"/>
          <w:szCs w:val="21"/>
          <w:lang w:eastAsia="zh-CN"/>
        </w:rPr>
      </w:pPr>
      <w:r>
        <w:rPr>
          <w:rFonts w:hint="eastAsia" w:hAnsi="Times New Roman" w:eastAsia="宋体"/>
          <w:b/>
          <w:bCs/>
          <w:sz w:val="21"/>
          <w:szCs w:val="21"/>
          <w:lang w:eastAsia="zh-CN"/>
        </w:rPr>
        <w:t>1898</w:t>
      </w:r>
      <w:r>
        <w:rPr>
          <w:rFonts w:hAnsi="Times New Roman" w:eastAsia="宋体"/>
          <w:b/>
          <w:bCs/>
          <w:sz w:val="21"/>
          <w:szCs w:val="21"/>
          <w:lang w:eastAsia="zh-CN"/>
        </w:rPr>
        <w:t>d</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图5.4-8 非正常状况下水处理站石油类超标污染晕示意图</w:t>
      </w:r>
    </w:p>
    <w:p>
      <w:pPr>
        <w:spacing w:line="360" w:lineRule="auto"/>
        <w:ind w:firstLine="482"/>
        <w:rPr>
          <w:rFonts w:hAnsi="Times New Roman" w:eastAsia="宋体"/>
          <w:szCs w:val="22"/>
        </w:rPr>
      </w:pPr>
      <w:r>
        <w:rPr>
          <w:rFonts w:hint="eastAsia" w:hAnsi="Times New Roman" w:eastAsia="宋体"/>
          <w:szCs w:val="22"/>
        </w:rPr>
        <w:t>（2）COD</w:t>
      </w:r>
      <w:r>
        <w:rPr>
          <w:rFonts w:hint="eastAsia" w:hAnsi="Times New Roman" w:eastAsia="宋体"/>
          <w:szCs w:val="22"/>
          <w:vertAlign w:val="subscript"/>
        </w:rPr>
        <w:t>Mn</w:t>
      </w:r>
    </w:p>
    <w:p>
      <w:pPr>
        <w:spacing w:line="360" w:lineRule="auto"/>
        <w:ind w:firstLine="482"/>
        <w:rPr>
          <w:rFonts w:hAnsi="Times New Roman" w:eastAsia="宋体"/>
          <w:szCs w:val="22"/>
        </w:rPr>
      </w:pPr>
      <w:r>
        <w:rPr>
          <w:rFonts w:hint="eastAsia" w:hAnsi="Times New Roman" w:eastAsia="宋体"/>
          <w:szCs w:val="22"/>
        </w:rPr>
        <w:t>泄漏发生后，污染物下渗进入地下水中，形成超标污染晕，迁移方向主要受水动力场控制，污染晕向北运移，污染范围持续扩大，由于工业区及水处理站紧邻河流，在第</w:t>
      </w:r>
      <w:r>
        <w:rPr>
          <w:rFonts w:hAnsi="Times New Roman" w:eastAsia="宋体"/>
          <w:szCs w:val="22"/>
        </w:rPr>
        <w:t>100</w:t>
      </w:r>
      <w:r>
        <w:rPr>
          <w:rFonts w:hint="eastAsia" w:hAnsi="Times New Roman" w:eastAsia="宋体"/>
          <w:szCs w:val="22"/>
        </w:rPr>
        <w:t>天时，超标污染晕即扩散出场界并抵达河流。受地下水稀释的作用，超标污染晕在1</w:t>
      </w:r>
      <w:r>
        <w:rPr>
          <w:rFonts w:hAnsi="Times New Roman" w:eastAsia="宋体"/>
          <w:szCs w:val="22"/>
        </w:rPr>
        <w:t>000</w:t>
      </w:r>
      <w:r>
        <w:rPr>
          <w:rFonts w:hint="eastAsia" w:hAnsi="Times New Roman" w:eastAsia="宋体"/>
          <w:szCs w:val="22"/>
        </w:rPr>
        <w:t>天时污染晕面积基本保持稳定，在</w:t>
      </w:r>
      <w:r>
        <w:rPr>
          <w:rFonts w:hint="eastAsia" w:hAnsi="Times New Roman" w:eastAsia="宋体"/>
          <w:szCs w:val="22"/>
          <w:lang w:eastAsia="zh-CN"/>
        </w:rPr>
        <w:t>1898</w:t>
      </w:r>
      <w:r>
        <w:rPr>
          <w:rFonts w:hint="eastAsia" w:hAnsi="Times New Roman" w:eastAsia="宋体"/>
          <w:szCs w:val="22"/>
        </w:rPr>
        <w:t>天时达到最大污染晕面积</w:t>
      </w:r>
      <w:r>
        <w:rPr>
          <w:rFonts w:hAnsi="Times New Roman" w:eastAsia="宋体"/>
          <w:szCs w:val="22"/>
        </w:rPr>
        <w:t>563.69</w:t>
      </w:r>
      <w:r>
        <w:rPr>
          <w:rFonts w:hint="eastAsia" w:hAnsi="Times New Roman" w:eastAsia="宋体"/>
          <w:szCs w:val="22"/>
        </w:rPr>
        <w:t>m</w:t>
      </w:r>
      <w:r>
        <w:rPr>
          <w:rFonts w:hAnsi="Times New Roman" w:eastAsia="宋体"/>
          <w:szCs w:val="22"/>
          <w:vertAlign w:val="superscript"/>
        </w:rPr>
        <w:t>2</w:t>
      </w:r>
      <w:r>
        <w:rPr>
          <w:rFonts w:hint="eastAsia" w:hAnsi="Times New Roman" w:eastAsia="宋体"/>
          <w:szCs w:val="22"/>
        </w:rPr>
        <w:t>。</w:t>
      </w:r>
    </w:p>
    <w:p>
      <w:pPr>
        <w:spacing w:line="360" w:lineRule="auto"/>
        <w:ind w:firstLine="482"/>
        <w:rPr>
          <w:rFonts w:hAnsi="Times New Roman" w:eastAsia="宋体"/>
          <w:szCs w:val="22"/>
        </w:rPr>
      </w:pPr>
      <w:r>
        <w:rPr>
          <w:rFonts w:hint="eastAsia" w:hAnsi="Times New Roman" w:eastAsia="宋体"/>
          <w:szCs w:val="22"/>
        </w:rPr>
        <w:t>下图展示了模型运行100天、</w:t>
      </w:r>
      <w:r>
        <w:rPr>
          <w:rFonts w:hAnsi="Times New Roman" w:eastAsia="宋体"/>
          <w:szCs w:val="22"/>
        </w:rPr>
        <w:t>100</w:t>
      </w:r>
      <w:r>
        <w:rPr>
          <w:rFonts w:hint="eastAsia" w:hAnsi="Times New Roman" w:eastAsia="宋体"/>
          <w:szCs w:val="22"/>
        </w:rPr>
        <w:t>0天和</w:t>
      </w:r>
      <w:r>
        <w:rPr>
          <w:rFonts w:hint="eastAsia" w:hAnsi="Times New Roman" w:eastAsia="宋体"/>
          <w:szCs w:val="22"/>
          <w:lang w:eastAsia="zh-CN"/>
        </w:rPr>
        <w:t>1898</w:t>
      </w:r>
      <w:r>
        <w:rPr>
          <w:rFonts w:hint="eastAsia" w:hAnsi="Times New Roman" w:eastAsia="宋体"/>
          <w:szCs w:val="22"/>
        </w:rPr>
        <w:t>天三个时段下地下水中污染物的迁移扩散情况。下表针对三个典型时间段，统计了污染晕的运移距离、污染面积。</w:t>
      </w:r>
    </w:p>
    <w:p>
      <w:pPr>
        <w:pStyle w:val="14"/>
        <w:tabs>
          <w:tab w:val="left" w:pos="3718"/>
        </w:tabs>
        <w:overflowPunct w:val="0"/>
        <w:spacing w:line="360" w:lineRule="auto"/>
        <w:jc w:val="center"/>
        <w:rPr>
          <w:rFonts w:ascii="Times New Roman" w:hAnsi="Times New Roman"/>
          <w:b/>
          <w:bCs w:val="0"/>
          <w:spacing w:val="-2"/>
          <w:sz w:val="21"/>
          <w:szCs w:val="21"/>
          <w:lang w:eastAsia="zh-CN"/>
        </w:rPr>
      </w:pPr>
    </w:p>
    <w:p>
      <w:pPr>
        <w:pStyle w:val="14"/>
        <w:tabs>
          <w:tab w:val="left" w:pos="3718"/>
        </w:tabs>
        <w:overflowPunct w:val="0"/>
        <w:spacing w:line="360" w:lineRule="auto"/>
        <w:jc w:val="center"/>
        <w:rPr>
          <w:rFonts w:ascii="Times New Roman" w:hAnsi="Times New Roman"/>
          <w:b/>
          <w:bCs w:val="0"/>
          <w:spacing w:val="-2"/>
          <w:sz w:val="21"/>
          <w:szCs w:val="21"/>
          <w:lang w:eastAsia="zh-CN"/>
        </w:rPr>
      </w:pPr>
    </w:p>
    <w:p>
      <w:pPr>
        <w:pStyle w:val="14"/>
        <w:tabs>
          <w:tab w:val="left" w:pos="3718"/>
        </w:tabs>
        <w:overflowPunct w:val="0"/>
        <w:spacing w:line="360" w:lineRule="auto"/>
        <w:jc w:val="center"/>
        <w:rPr>
          <w:rFonts w:ascii="Times New Roman" w:hAnsi="Times New Roman"/>
          <w:b/>
          <w:bCs w:val="0"/>
          <w:spacing w:val="-2"/>
          <w:sz w:val="21"/>
          <w:szCs w:val="21"/>
        </w:rPr>
      </w:pPr>
      <w:r>
        <w:rPr>
          <w:rFonts w:hint="eastAsia" w:ascii="Times New Roman" w:hAnsi="Times New Roman"/>
          <w:b/>
          <w:bCs w:val="0"/>
          <w:spacing w:val="-2"/>
          <w:sz w:val="21"/>
          <w:szCs w:val="21"/>
        </w:rPr>
        <w:t>表</w:t>
      </w:r>
      <w:r>
        <w:rPr>
          <w:rFonts w:ascii="Times New Roman" w:hAnsi="Times New Roman"/>
          <w:b/>
          <w:bCs w:val="0"/>
          <w:spacing w:val="-2"/>
          <w:sz w:val="21"/>
          <w:szCs w:val="21"/>
        </w:rPr>
        <w:t>5.4</w:t>
      </w:r>
      <w:r>
        <w:rPr>
          <w:rFonts w:hint="eastAsia" w:ascii="Times New Roman" w:hAnsi="Times New Roman"/>
          <w:b/>
          <w:bCs w:val="0"/>
          <w:spacing w:val="-2"/>
          <w:sz w:val="21"/>
          <w:szCs w:val="21"/>
        </w:rPr>
        <w:t>-</w:t>
      </w:r>
      <w:r>
        <w:rPr>
          <w:rFonts w:hint="eastAsia" w:ascii="Times New Roman" w:hAnsi="Times New Roman"/>
          <w:b/>
          <w:bCs w:val="0"/>
          <w:spacing w:val="-2"/>
          <w:sz w:val="21"/>
          <w:szCs w:val="21"/>
          <w:lang w:eastAsia="zh-CN"/>
        </w:rPr>
        <w:t>7</w:t>
      </w:r>
      <w:r>
        <w:rPr>
          <w:rFonts w:ascii="Times New Roman" w:hAnsi="Times New Roman"/>
          <w:b/>
          <w:bCs w:val="0"/>
          <w:spacing w:val="-2"/>
          <w:sz w:val="21"/>
          <w:szCs w:val="21"/>
        </w:rPr>
        <w:t xml:space="preserve"> </w:t>
      </w:r>
      <w:r>
        <w:rPr>
          <w:rFonts w:hint="eastAsia" w:ascii="Times New Roman" w:hAnsi="Times New Roman"/>
          <w:b/>
          <w:bCs w:val="0"/>
          <w:spacing w:val="-2"/>
          <w:sz w:val="21"/>
          <w:szCs w:val="21"/>
        </w:rPr>
        <w:t xml:space="preserve"> 非正常状况下水处理站C</w:t>
      </w:r>
      <w:r>
        <w:rPr>
          <w:rFonts w:ascii="Times New Roman" w:hAnsi="Times New Roman"/>
          <w:b/>
          <w:bCs w:val="0"/>
          <w:spacing w:val="-2"/>
          <w:sz w:val="21"/>
          <w:szCs w:val="21"/>
        </w:rPr>
        <w:t>OD</w:t>
      </w:r>
      <w:r>
        <w:rPr>
          <w:rFonts w:ascii="Times New Roman" w:hAnsi="Times New Roman"/>
          <w:b/>
          <w:bCs w:val="0"/>
          <w:spacing w:val="-2"/>
          <w:sz w:val="21"/>
          <w:szCs w:val="21"/>
          <w:vertAlign w:val="subscript"/>
        </w:rPr>
        <w:t>M</w:t>
      </w:r>
      <w:r>
        <w:rPr>
          <w:rFonts w:hint="eastAsia" w:ascii="Times New Roman" w:hAnsi="Times New Roman"/>
          <w:b/>
          <w:bCs w:val="0"/>
          <w:spacing w:val="-2"/>
          <w:sz w:val="21"/>
          <w:szCs w:val="21"/>
          <w:vertAlign w:val="subscript"/>
        </w:rPr>
        <w:t>n</w:t>
      </w:r>
      <w:r>
        <w:rPr>
          <w:rFonts w:hint="eastAsia" w:ascii="Times New Roman" w:hAnsi="Times New Roman"/>
          <w:b/>
          <w:bCs w:val="0"/>
          <w:spacing w:val="-2"/>
          <w:sz w:val="21"/>
          <w:szCs w:val="21"/>
        </w:rPr>
        <w:t>超预测结果信息表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78"/>
        <w:gridCol w:w="1736"/>
        <w:gridCol w:w="2642"/>
        <w:gridCol w:w="32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8"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时间（d）</w:t>
            </w:r>
          </w:p>
        </w:tc>
        <w:tc>
          <w:tcPr>
            <w:tcW w:w="929"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迁移距离（m）</w:t>
            </w:r>
          </w:p>
        </w:tc>
        <w:tc>
          <w:tcPr>
            <w:tcW w:w="1414" w:type="pct"/>
            <w:shd w:val="clear" w:color="auto" w:fill="auto"/>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超标污染晕面积（m</w:t>
            </w:r>
            <w:r>
              <w:rPr>
                <w:rFonts w:hint="eastAsia" w:hAnsi="Times New Roman" w:eastAsia="宋体"/>
                <w:kern w:val="2"/>
                <w:szCs w:val="22"/>
                <w:vertAlign w:val="superscript"/>
              </w:rPr>
              <w:t>2</w:t>
            </w:r>
            <w:r>
              <w:rPr>
                <w:rFonts w:hint="eastAsia" w:hAnsi="Times New Roman" w:eastAsia="宋体"/>
                <w:kern w:val="2"/>
                <w:szCs w:val="22"/>
              </w:rPr>
              <w:t>）</w:t>
            </w:r>
          </w:p>
        </w:tc>
        <w:tc>
          <w:tcPr>
            <w:tcW w:w="1759"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事件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8"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100</w:t>
            </w:r>
          </w:p>
        </w:tc>
        <w:tc>
          <w:tcPr>
            <w:tcW w:w="929"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7.87</w:t>
            </w:r>
          </w:p>
        </w:tc>
        <w:tc>
          <w:tcPr>
            <w:tcW w:w="1414" w:type="pct"/>
            <w:shd w:val="clear" w:color="auto" w:fill="auto"/>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259.43</w:t>
            </w:r>
          </w:p>
        </w:tc>
        <w:tc>
          <w:tcPr>
            <w:tcW w:w="1759"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超标污染晕出场界且抵达河流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8"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1000</w:t>
            </w:r>
          </w:p>
        </w:tc>
        <w:tc>
          <w:tcPr>
            <w:tcW w:w="929"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13.47</w:t>
            </w:r>
          </w:p>
        </w:tc>
        <w:tc>
          <w:tcPr>
            <w:tcW w:w="1414" w:type="pct"/>
            <w:shd w:val="clear" w:color="auto" w:fill="auto"/>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484.78</w:t>
            </w:r>
          </w:p>
        </w:tc>
        <w:tc>
          <w:tcPr>
            <w:tcW w:w="1759"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898"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lang w:eastAsia="zh-CN"/>
              </w:rPr>
              <w:t>1898</w:t>
            </w:r>
          </w:p>
        </w:tc>
        <w:tc>
          <w:tcPr>
            <w:tcW w:w="929"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15.32</w:t>
            </w:r>
          </w:p>
        </w:tc>
        <w:tc>
          <w:tcPr>
            <w:tcW w:w="1414" w:type="pct"/>
            <w:shd w:val="clear" w:color="auto" w:fill="auto"/>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563.69</w:t>
            </w:r>
          </w:p>
        </w:tc>
        <w:tc>
          <w:tcPr>
            <w:tcW w:w="1759"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w:t>
            </w:r>
          </w:p>
        </w:tc>
      </w:tr>
    </w:tbl>
    <w:p>
      <w:pPr>
        <w:jc w:val="center"/>
      </w:pPr>
      <w:r>
        <w:drawing>
          <wp:inline distT="0" distB="0" distL="114300" distR="114300">
            <wp:extent cx="2852420" cy="2357120"/>
            <wp:effectExtent l="0" t="0" r="5080" b="5080"/>
            <wp:docPr id="21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44"/>
                    <pic:cNvPicPr>
                      <a:picLocks noChangeAspect="1"/>
                    </pic:cNvPicPr>
                  </pic:nvPicPr>
                  <pic:blipFill>
                    <a:blip r:embed="rId197"/>
                    <a:stretch>
                      <a:fillRect/>
                    </a:stretch>
                  </pic:blipFill>
                  <pic:spPr>
                    <a:xfrm>
                      <a:off x="0" y="0"/>
                      <a:ext cx="2852420" cy="2357120"/>
                    </a:xfrm>
                    <a:prstGeom prst="rect">
                      <a:avLst/>
                    </a:prstGeom>
                    <a:noFill/>
                    <a:ln>
                      <a:noFill/>
                    </a:ln>
                  </pic:spPr>
                </pic:pic>
              </a:graphicData>
            </a:graphic>
          </wp:inline>
        </w:drawing>
      </w:r>
    </w:p>
    <w:p>
      <w:pPr>
        <w:jc w:val="center"/>
        <w:rPr>
          <w:rFonts w:hAnsi="Times New Roman" w:eastAsia="宋体"/>
          <w:b/>
          <w:bCs/>
          <w:sz w:val="21"/>
          <w:szCs w:val="21"/>
          <w:lang w:eastAsia="zh-CN"/>
        </w:rPr>
      </w:pPr>
      <w:r>
        <w:rPr>
          <w:rFonts w:hint="eastAsia" w:hAnsi="Times New Roman" w:eastAsia="宋体"/>
          <w:b/>
          <w:bCs/>
          <w:sz w:val="21"/>
          <w:szCs w:val="21"/>
          <w:lang w:eastAsia="zh-CN"/>
        </w:rPr>
        <w:t>1</w:t>
      </w:r>
      <w:r>
        <w:rPr>
          <w:rFonts w:hAnsi="Times New Roman" w:eastAsia="宋体"/>
          <w:b/>
          <w:bCs/>
          <w:sz w:val="21"/>
          <w:szCs w:val="21"/>
          <w:lang w:eastAsia="zh-CN"/>
        </w:rPr>
        <w:t>00</w:t>
      </w:r>
      <w:r>
        <w:rPr>
          <w:rFonts w:hint="eastAsia" w:hAnsi="Times New Roman" w:eastAsia="宋体"/>
          <w:b/>
          <w:bCs/>
          <w:sz w:val="21"/>
          <w:szCs w:val="21"/>
          <w:lang w:eastAsia="zh-CN"/>
        </w:rPr>
        <w:t>d</w:t>
      </w:r>
    </w:p>
    <w:p>
      <w:pPr>
        <w:jc w:val="center"/>
      </w:pPr>
      <w:r>
        <w:drawing>
          <wp:inline distT="0" distB="0" distL="114300" distR="114300">
            <wp:extent cx="2852420" cy="2214245"/>
            <wp:effectExtent l="0" t="0" r="5080" b="14605"/>
            <wp:docPr id="190"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45"/>
                    <pic:cNvPicPr>
                      <a:picLocks noChangeAspect="1"/>
                    </pic:cNvPicPr>
                  </pic:nvPicPr>
                  <pic:blipFill>
                    <a:blip r:embed="rId198"/>
                    <a:stretch>
                      <a:fillRect/>
                    </a:stretch>
                  </pic:blipFill>
                  <pic:spPr>
                    <a:xfrm>
                      <a:off x="0" y="0"/>
                      <a:ext cx="2852420" cy="2214245"/>
                    </a:xfrm>
                    <a:prstGeom prst="rect">
                      <a:avLst/>
                    </a:prstGeom>
                    <a:noFill/>
                    <a:ln>
                      <a:noFill/>
                    </a:ln>
                  </pic:spPr>
                </pic:pic>
              </a:graphicData>
            </a:graphic>
          </wp:inline>
        </w:drawing>
      </w:r>
    </w:p>
    <w:p>
      <w:pPr>
        <w:jc w:val="center"/>
        <w:rPr>
          <w:rFonts w:hAnsi="Times New Roman" w:eastAsia="宋体"/>
          <w:b/>
          <w:bCs/>
          <w:sz w:val="21"/>
          <w:szCs w:val="21"/>
          <w:lang w:eastAsia="zh-CN"/>
        </w:rPr>
      </w:pPr>
      <w:r>
        <w:rPr>
          <w:rFonts w:hint="eastAsia" w:hAnsi="Times New Roman" w:eastAsia="宋体"/>
          <w:b/>
          <w:bCs/>
          <w:sz w:val="21"/>
          <w:szCs w:val="21"/>
          <w:lang w:eastAsia="zh-CN"/>
        </w:rPr>
        <w:t>1</w:t>
      </w:r>
      <w:r>
        <w:rPr>
          <w:rFonts w:hAnsi="Times New Roman" w:eastAsia="宋体"/>
          <w:b/>
          <w:bCs/>
          <w:sz w:val="21"/>
          <w:szCs w:val="21"/>
          <w:lang w:eastAsia="zh-CN"/>
        </w:rPr>
        <w:t>000</w:t>
      </w:r>
      <w:r>
        <w:rPr>
          <w:rFonts w:hint="eastAsia" w:hAnsi="Times New Roman" w:eastAsia="宋体"/>
          <w:b/>
          <w:bCs/>
          <w:sz w:val="21"/>
          <w:szCs w:val="21"/>
          <w:lang w:eastAsia="zh-CN"/>
        </w:rPr>
        <w:t>d</w:t>
      </w:r>
    </w:p>
    <w:p>
      <w:pPr>
        <w:jc w:val="center"/>
      </w:pPr>
      <w:r>
        <w:drawing>
          <wp:inline distT="0" distB="0" distL="114300" distR="114300">
            <wp:extent cx="2852420" cy="2261235"/>
            <wp:effectExtent l="0" t="0" r="5080" b="5715"/>
            <wp:docPr id="21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46"/>
                    <pic:cNvPicPr>
                      <a:picLocks noChangeAspect="1"/>
                    </pic:cNvPicPr>
                  </pic:nvPicPr>
                  <pic:blipFill>
                    <a:blip r:embed="rId199"/>
                    <a:stretch>
                      <a:fillRect/>
                    </a:stretch>
                  </pic:blipFill>
                  <pic:spPr>
                    <a:xfrm>
                      <a:off x="0" y="0"/>
                      <a:ext cx="2852420" cy="2261235"/>
                    </a:xfrm>
                    <a:prstGeom prst="rect">
                      <a:avLst/>
                    </a:prstGeom>
                    <a:noFill/>
                    <a:ln>
                      <a:noFill/>
                    </a:ln>
                  </pic:spPr>
                </pic:pic>
              </a:graphicData>
            </a:graphic>
          </wp:inline>
        </w:drawing>
      </w:r>
    </w:p>
    <w:p>
      <w:pPr>
        <w:jc w:val="center"/>
        <w:rPr>
          <w:rFonts w:hAnsi="Times New Roman" w:eastAsia="宋体"/>
          <w:b/>
          <w:bCs/>
          <w:sz w:val="21"/>
          <w:szCs w:val="21"/>
          <w:lang w:eastAsia="zh-CN"/>
        </w:rPr>
      </w:pPr>
      <w:r>
        <w:rPr>
          <w:rFonts w:hint="eastAsia" w:hAnsi="Times New Roman" w:eastAsia="宋体"/>
          <w:b/>
          <w:bCs/>
          <w:sz w:val="21"/>
          <w:szCs w:val="21"/>
          <w:lang w:eastAsia="zh-CN"/>
        </w:rPr>
        <w:t>1898d</w:t>
      </w:r>
    </w:p>
    <w:p>
      <w:pPr>
        <w:pStyle w:val="14"/>
        <w:tabs>
          <w:tab w:val="left" w:pos="3718"/>
        </w:tabs>
        <w:overflowPunct w:val="0"/>
        <w:spacing w:line="360" w:lineRule="auto"/>
        <w:jc w:val="center"/>
        <w:rPr>
          <w:rFonts w:ascii="Times New Roman" w:hAnsi="Times New Roman"/>
          <w:b/>
          <w:bCs w:val="0"/>
          <w:spacing w:val="-2"/>
          <w:sz w:val="21"/>
          <w:szCs w:val="21"/>
        </w:rPr>
      </w:pPr>
      <w:r>
        <w:rPr>
          <w:rFonts w:hint="eastAsia" w:ascii="Times New Roman" w:hAnsi="Times New Roman"/>
          <w:b/>
          <w:bCs w:val="0"/>
          <w:spacing w:val="-2"/>
          <w:sz w:val="21"/>
          <w:szCs w:val="21"/>
        </w:rPr>
        <w:t>图</w:t>
      </w:r>
      <w:r>
        <w:rPr>
          <w:rFonts w:ascii="Times New Roman" w:hAnsi="Times New Roman"/>
          <w:b/>
          <w:bCs w:val="0"/>
          <w:spacing w:val="-2"/>
          <w:sz w:val="21"/>
          <w:szCs w:val="21"/>
        </w:rPr>
        <w:t>5.4</w:t>
      </w:r>
      <w:r>
        <w:rPr>
          <w:rFonts w:hint="eastAsia" w:ascii="Times New Roman" w:hAnsi="Times New Roman"/>
          <w:b/>
          <w:bCs w:val="0"/>
          <w:spacing w:val="-2"/>
          <w:sz w:val="21"/>
          <w:szCs w:val="21"/>
        </w:rPr>
        <w:t>-9</w:t>
      </w:r>
      <w:r>
        <w:rPr>
          <w:rFonts w:ascii="Times New Roman" w:hAnsi="Times New Roman"/>
          <w:b/>
          <w:bCs w:val="0"/>
          <w:spacing w:val="-2"/>
          <w:sz w:val="21"/>
          <w:szCs w:val="21"/>
        </w:rPr>
        <w:t xml:space="preserve"> </w:t>
      </w:r>
      <w:r>
        <w:rPr>
          <w:rFonts w:hint="eastAsia" w:ascii="Times New Roman" w:hAnsi="Times New Roman"/>
          <w:b/>
          <w:bCs w:val="0"/>
          <w:spacing w:val="-2"/>
          <w:sz w:val="21"/>
          <w:szCs w:val="21"/>
        </w:rPr>
        <w:t xml:space="preserve"> 非正常状况下水处理站C</w:t>
      </w:r>
      <w:r>
        <w:rPr>
          <w:rFonts w:ascii="Times New Roman" w:hAnsi="Times New Roman"/>
          <w:b/>
          <w:bCs w:val="0"/>
          <w:spacing w:val="-2"/>
          <w:sz w:val="21"/>
          <w:szCs w:val="21"/>
        </w:rPr>
        <w:t>ODM</w:t>
      </w:r>
      <w:r>
        <w:rPr>
          <w:rFonts w:hint="eastAsia" w:ascii="Times New Roman" w:hAnsi="Times New Roman"/>
          <w:b/>
          <w:bCs w:val="0"/>
          <w:spacing w:val="-2"/>
          <w:sz w:val="21"/>
          <w:szCs w:val="21"/>
        </w:rPr>
        <w:t>n超标污染晕示意图</w:t>
      </w:r>
    </w:p>
    <w:p>
      <w:pPr>
        <w:spacing w:line="360" w:lineRule="auto"/>
        <w:ind w:firstLine="482"/>
        <w:rPr>
          <w:rFonts w:hAnsi="Times New Roman" w:eastAsia="宋体"/>
          <w:szCs w:val="22"/>
        </w:rPr>
      </w:pPr>
      <w:r>
        <w:rPr>
          <w:rFonts w:hint="eastAsia" w:hAnsi="Times New Roman" w:eastAsia="宋体"/>
          <w:szCs w:val="22"/>
        </w:rPr>
        <w:t>（3）氨氮</w:t>
      </w:r>
    </w:p>
    <w:p>
      <w:pPr>
        <w:spacing w:line="360" w:lineRule="auto"/>
        <w:ind w:firstLine="482"/>
        <w:rPr>
          <w:rFonts w:hAnsi="Times New Roman" w:eastAsia="宋体"/>
          <w:szCs w:val="22"/>
        </w:rPr>
      </w:pPr>
      <w:r>
        <w:rPr>
          <w:rFonts w:hint="eastAsia" w:hAnsi="Times New Roman" w:eastAsia="宋体"/>
          <w:szCs w:val="22"/>
        </w:rPr>
        <w:t>泄漏发生后，污染物下渗进入地下水中，形成超标污染晕，迁移方向主要受水动力场控制，污染晕向北运移，污染范围持续扩大，由于工业区及水处理站紧邻河流，在第100天时，超标污染晕即扩散出场界并抵达河流。受地下水稀释的作用，超标污染晕在1000天时污染晕面积基本保持稳定，在</w:t>
      </w:r>
      <w:r>
        <w:rPr>
          <w:rFonts w:hint="eastAsia" w:hAnsi="Times New Roman" w:eastAsia="宋体"/>
          <w:szCs w:val="22"/>
          <w:lang w:eastAsia="zh-CN"/>
        </w:rPr>
        <w:t>1898</w:t>
      </w:r>
      <w:r>
        <w:rPr>
          <w:rFonts w:hint="eastAsia" w:hAnsi="Times New Roman" w:eastAsia="宋体"/>
          <w:szCs w:val="22"/>
        </w:rPr>
        <w:t>天时达到最大污染晕面积394.82m</w:t>
      </w:r>
      <w:r>
        <w:rPr>
          <w:rFonts w:hint="eastAsia" w:hAnsi="Times New Roman" w:eastAsia="宋体"/>
          <w:szCs w:val="22"/>
          <w:vertAlign w:val="superscript"/>
        </w:rPr>
        <w:t>2</w:t>
      </w:r>
      <w:r>
        <w:rPr>
          <w:rFonts w:hint="eastAsia" w:hAnsi="Times New Roman" w:eastAsia="宋体"/>
          <w:szCs w:val="22"/>
        </w:rPr>
        <w:t>。</w:t>
      </w:r>
    </w:p>
    <w:p>
      <w:pPr>
        <w:spacing w:line="360" w:lineRule="auto"/>
        <w:ind w:firstLine="482"/>
        <w:rPr>
          <w:rFonts w:hAnsi="Times New Roman" w:eastAsia="宋体"/>
          <w:szCs w:val="22"/>
        </w:rPr>
      </w:pPr>
      <w:r>
        <w:rPr>
          <w:rFonts w:hint="eastAsia" w:hAnsi="Times New Roman" w:eastAsia="宋体"/>
          <w:szCs w:val="22"/>
        </w:rPr>
        <w:t>下图展示了模型运行100天、1000天和</w:t>
      </w:r>
      <w:r>
        <w:rPr>
          <w:rFonts w:hint="eastAsia" w:hAnsi="Times New Roman" w:eastAsia="宋体"/>
          <w:szCs w:val="22"/>
          <w:lang w:eastAsia="zh-CN"/>
        </w:rPr>
        <w:t>1898</w:t>
      </w:r>
      <w:r>
        <w:rPr>
          <w:rFonts w:hint="eastAsia" w:hAnsi="Times New Roman" w:eastAsia="宋体"/>
          <w:szCs w:val="22"/>
        </w:rPr>
        <w:t>天三个时段下地下水中污染物的迁移扩散情况。下表针对三个典型时间段，统计了污染晕的运移距离、污染面积。</w:t>
      </w:r>
    </w:p>
    <w:p>
      <w:pPr>
        <w:pStyle w:val="14"/>
        <w:tabs>
          <w:tab w:val="left" w:pos="3718"/>
        </w:tabs>
        <w:overflowPunct w:val="0"/>
        <w:spacing w:line="360" w:lineRule="auto"/>
        <w:jc w:val="center"/>
        <w:rPr>
          <w:rFonts w:ascii="Times New Roman" w:hAnsi="Times New Roman"/>
          <w:b/>
          <w:bCs w:val="0"/>
          <w:spacing w:val="-2"/>
          <w:sz w:val="21"/>
          <w:szCs w:val="21"/>
        </w:rPr>
      </w:pPr>
      <w:r>
        <w:rPr>
          <w:rFonts w:hint="eastAsia" w:ascii="Times New Roman" w:hAnsi="Times New Roman"/>
          <w:b/>
          <w:bCs w:val="0"/>
          <w:spacing w:val="-2"/>
          <w:sz w:val="21"/>
          <w:szCs w:val="21"/>
        </w:rPr>
        <w:t>表5.4-</w:t>
      </w:r>
      <w:r>
        <w:rPr>
          <w:rFonts w:hint="eastAsia" w:ascii="Times New Roman" w:hAnsi="Times New Roman"/>
          <w:b/>
          <w:bCs w:val="0"/>
          <w:spacing w:val="-2"/>
          <w:sz w:val="21"/>
          <w:szCs w:val="21"/>
          <w:lang w:eastAsia="zh-CN"/>
        </w:rPr>
        <w:t>8</w:t>
      </w:r>
      <w:r>
        <w:rPr>
          <w:rFonts w:hint="eastAsia" w:ascii="Times New Roman" w:hAnsi="Times New Roman"/>
          <w:b/>
          <w:bCs w:val="0"/>
          <w:spacing w:val="-2"/>
          <w:sz w:val="21"/>
          <w:szCs w:val="21"/>
        </w:rPr>
        <w:t xml:space="preserve"> 非正常状况下水处理站氨氮类超预测结果信息表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78"/>
        <w:gridCol w:w="1893"/>
        <w:gridCol w:w="2487"/>
        <w:gridCol w:w="32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8"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时间（d）</w:t>
            </w:r>
          </w:p>
        </w:tc>
        <w:tc>
          <w:tcPr>
            <w:tcW w:w="1013"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迁移距离（m）</w:t>
            </w:r>
          </w:p>
        </w:tc>
        <w:tc>
          <w:tcPr>
            <w:tcW w:w="1331" w:type="pct"/>
            <w:shd w:val="clear" w:color="auto" w:fill="auto"/>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超标污染晕面积（m</w:t>
            </w:r>
            <w:r>
              <w:rPr>
                <w:rFonts w:hint="eastAsia" w:hAnsi="Times New Roman" w:eastAsia="宋体"/>
                <w:kern w:val="2"/>
                <w:szCs w:val="22"/>
                <w:vertAlign w:val="superscript"/>
              </w:rPr>
              <w:t>2</w:t>
            </w:r>
            <w:r>
              <w:rPr>
                <w:rFonts w:hint="eastAsia" w:hAnsi="Times New Roman" w:eastAsia="宋体"/>
                <w:kern w:val="2"/>
                <w:szCs w:val="22"/>
              </w:rPr>
              <w:t>）</w:t>
            </w:r>
          </w:p>
        </w:tc>
        <w:tc>
          <w:tcPr>
            <w:tcW w:w="1758"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事件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8"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100</w:t>
            </w:r>
          </w:p>
        </w:tc>
        <w:tc>
          <w:tcPr>
            <w:tcW w:w="1013"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9.60</w:t>
            </w:r>
          </w:p>
        </w:tc>
        <w:tc>
          <w:tcPr>
            <w:tcW w:w="1331" w:type="pct"/>
            <w:shd w:val="clear" w:color="auto" w:fill="auto"/>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239.86</w:t>
            </w:r>
          </w:p>
        </w:tc>
        <w:tc>
          <w:tcPr>
            <w:tcW w:w="1758"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超标污染晕出场界且抵达河流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8"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1000</w:t>
            </w:r>
          </w:p>
        </w:tc>
        <w:tc>
          <w:tcPr>
            <w:tcW w:w="1013"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12.47</w:t>
            </w:r>
          </w:p>
        </w:tc>
        <w:tc>
          <w:tcPr>
            <w:tcW w:w="1331" w:type="pct"/>
            <w:shd w:val="clear" w:color="auto" w:fill="auto"/>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372.51</w:t>
            </w:r>
          </w:p>
        </w:tc>
        <w:tc>
          <w:tcPr>
            <w:tcW w:w="1758"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8"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lang w:eastAsia="zh-CN"/>
              </w:rPr>
              <w:t>1898</w:t>
            </w:r>
          </w:p>
        </w:tc>
        <w:tc>
          <w:tcPr>
            <w:tcW w:w="1013"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14.72</w:t>
            </w:r>
          </w:p>
        </w:tc>
        <w:tc>
          <w:tcPr>
            <w:tcW w:w="1331" w:type="pct"/>
            <w:shd w:val="clear" w:color="auto" w:fill="auto"/>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394.82</w:t>
            </w:r>
          </w:p>
        </w:tc>
        <w:tc>
          <w:tcPr>
            <w:tcW w:w="1758" w:type="pct"/>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w:t>
            </w:r>
          </w:p>
        </w:tc>
      </w:tr>
    </w:tbl>
    <w:p>
      <w:pPr>
        <w:pStyle w:val="62"/>
      </w:pPr>
      <w:r>
        <w:drawing>
          <wp:inline distT="0" distB="0" distL="114300" distR="114300">
            <wp:extent cx="3302635" cy="2095500"/>
            <wp:effectExtent l="0" t="0" r="12065" b="0"/>
            <wp:docPr id="9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47"/>
                    <pic:cNvPicPr>
                      <a:picLocks noChangeAspect="1"/>
                    </pic:cNvPicPr>
                  </pic:nvPicPr>
                  <pic:blipFill>
                    <a:blip r:embed="rId200"/>
                    <a:stretch>
                      <a:fillRect/>
                    </a:stretch>
                  </pic:blipFill>
                  <pic:spPr>
                    <a:xfrm>
                      <a:off x="0" y="0"/>
                      <a:ext cx="3302635" cy="2095500"/>
                    </a:xfrm>
                    <a:prstGeom prst="rect">
                      <a:avLst/>
                    </a:prstGeom>
                    <a:noFill/>
                    <a:ln>
                      <a:noFill/>
                    </a:ln>
                  </pic:spPr>
                </pic:pic>
              </a:graphicData>
            </a:graphic>
          </wp:inline>
        </w:drawing>
      </w:r>
    </w:p>
    <w:p>
      <w:pPr>
        <w:jc w:val="center"/>
        <w:rPr>
          <w:rFonts w:hAnsi="Times New Roman" w:eastAsia="宋体"/>
          <w:b/>
          <w:bCs/>
          <w:sz w:val="21"/>
          <w:szCs w:val="21"/>
          <w:lang w:eastAsia="zh-CN"/>
        </w:rPr>
      </w:pPr>
      <w:r>
        <w:rPr>
          <w:rFonts w:hint="eastAsia" w:hAnsi="Times New Roman" w:eastAsia="宋体"/>
          <w:b/>
          <w:bCs/>
          <w:sz w:val="21"/>
          <w:szCs w:val="21"/>
          <w:lang w:eastAsia="zh-CN"/>
        </w:rPr>
        <w:t>1</w:t>
      </w:r>
      <w:r>
        <w:rPr>
          <w:rFonts w:hAnsi="Times New Roman" w:eastAsia="宋体"/>
          <w:b/>
          <w:bCs/>
          <w:sz w:val="21"/>
          <w:szCs w:val="21"/>
          <w:lang w:eastAsia="zh-CN"/>
        </w:rPr>
        <w:t>00</w:t>
      </w:r>
      <w:r>
        <w:rPr>
          <w:rFonts w:hint="eastAsia" w:hAnsi="Times New Roman" w:eastAsia="宋体"/>
          <w:b/>
          <w:bCs/>
          <w:sz w:val="21"/>
          <w:szCs w:val="21"/>
          <w:lang w:eastAsia="zh-CN"/>
        </w:rPr>
        <w:t>d</w:t>
      </w:r>
    </w:p>
    <w:p>
      <w:pPr>
        <w:pStyle w:val="62"/>
      </w:pPr>
      <w:r>
        <w:drawing>
          <wp:inline distT="0" distB="0" distL="114300" distR="114300">
            <wp:extent cx="3422015" cy="2518410"/>
            <wp:effectExtent l="0" t="0" r="6985" b="15240"/>
            <wp:docPr id="62"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48"/>
                    <pic:cNvPicPr>
                      <a:picLocks noChangeAspect="1"/>
                    </pic:cNvPicPr>
                  </pic:nvPicPr>
                  <pic:blipFill>
                    <a:blip r:embed="rId201"/>
                    <a:stretch>
                      <a:fillRect/>
                    </a:stretch>
                  </pic:blipFill>
                  <pic:spPr>
                    <a:xfrm>
                      <a:off x="0" y="0"/>
                      <a:ext cx="3422015" cy="2518410"/>
                    </a:xfrm>
                    <a:prstGeom prst="rect">
                      <a:avLst/>
                    </a:prstGeom>
                    <a:noFill/>
                    <a:ln>
                      <a:noFill/>
                    </a:ln>
                  </pic:spPr>
                </pic:pic>
              </a:graphicData>
            </a:graphic>
          </wp:inline>
        </w:drawing>
      </w:r>
    </w:p>
    <w:p>
      <w:pPr>
        <w:jc w:val="center"/>
        <w:rPr>
          <w:rFonts w:hAnsi="Times New Roman" w:eastAsia="宋体"/>
          <w:b/>
          <w:bCs/>
          <w:sz w:val="21"/>
          <w:szCs w:val="21"/>
          <w:lang w:eastAsia="zh-CN"/>
        </w:rPr>
      </w:pPr>
      <w:r>
        <w:rPr>
          <w:rFonts w:hint="eastAsia" w:hAnsi="Times New Roman" w:eastAsia="宋体"/>
          <w:b/>
          <w:bCs/>
          <w:sz w:val="21"/>
          <w:szCs w:val="21"/>
          <w:lang w:eastAsia="zh-CN"/>
        </w:rPr>
        <w:t>1</w:t>
      </w:r>
      <w:r>
        <w:rPr>
          <w:rFonts w:hAnsi="Times New Roman" w:eastAsia="宋体"/>
          <w:b/>
          <w:bCs/>
          <w:sz w:val="21"/>
          <w:szCs w:val="21"/>
          <w:lang w:eastAsia="zh-CN"/>
        </w:rPr>
        <w:t>000</w:t>
      </w:r>
      <w:r>
        <w:rPr>
          <w:rFonts w:hint="eastAsia" w:hAnsi="Times New Roman" w:eastAsia="宋体"/>
          <w:b/>
          <w:bCs/>
          <w:sz w:val="21"/>
          <w:szCs w:val="21"/>
          <w:lang w:eastAsia="zh-CN"/>
        </w:rPr>
        <w:t>d</w:t>
      </w:r>
    </w:p>
    <w:p>
      <w:pPr>
        <w:pStyle w:val="62"/>
      </w:pPr>
      <w:r>
        <w:drawing>
          <wp:inline distT="0" distB="0" distL="114300" distR="114300">
            <wp:extent cx="3347085" cy="2459355"/>
            <wp:effectExtent l="0" t="0" r="5715" b="17145"/>
            <wp:docPr id="215"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49"/>
                    <pic:cNvPicPr>
                      <a:picLocks noChangeAspect="1"/>
                    </pic:cNvPicPr>
                  </pic:nvPicPr>
                  <pic:blipFill>
                    <a:blip r:embed="rId202"/>
                    <a:stretch>
                      <a:fillRect/>
                    </a:stretch>
                  </pic:blipFill>
                  <pic:spPr>
                    <a:xfrm>
                      <a:off x="0" y="0"/>
                      <a:ext cx="3347085" cy="2459355"/>
                    </a:xfrm>
                    <a:prstGeom prst="rect">
                      <a:avLst/>
                    </a:prstGeom>
                    <a:noFill/>
                    <a:ln>
                      <a:noFill/>
                    </a:ln>
                  </pic:spPr>
                </pic:pic>
              </a:graphicData>
            </a:graphic>
          </wp:inline>
        </w:drawing>
      </w:r>
    </w:p>
    <w:p>
      <w:pPr>
        <w:jc w:val="center"/>
        <w:rPr>
          <w:rFonts w:hAnsi="Times New Roman" w:eastAsia="宋体"/>
          <w:b/>
          <w:bCs/>
          <w:sz w:val="21"/>
          <w:szCs w:val="21"/>
          <w:lang w:eastAsia="zh-CN"/>
        </w:rPr>
      </w:pPr>
      <w:r>
        <w:rPr>
          <w:rFonts w:hint="eastAsia" w:hAnsi="Times New Roman" w:eastAsia="宋体"/>
          <w:b/>
          <w:bCs/>
          <w:sz w:val="21"/>
          <w:szCs w:val="21"/>
          <w:lang w:eastAsia="zh-CN"/>
        </w:rPr>
        <w:t>1898d</w:t>
      </w:r>
    </w:p>
    <w:p>
      <w:pPr>
        <w:pStyle w:val="14"/>
        <w:tabs>
          <w:tab w:val="left" w:pos="3718"/>
        </w:tabs>
        <w:overflowPunct w:val="0"/>
        <w:spacing w:line="360" w:lineRule="auto"/>
        <w:jc w:val="center"/>
        <w:rPr>
          <w:rFonts w:ascii="Times New Roman" w:hAnsi="Times New Roman"/>
          <w:b/>
          <w:bCs w:val="0"/>
          <w:spacing w:val="-2"/>
          <w:sz w:val="21"/>
          <w:szCs w:val="21"/>
        </w:rPr>
      </w:pPr>
      <w:r>
        <w:rPr>
          <w:rFonts w:hint="eastAsia" w:ascii="Times New Roman" w:hAnsi="Times New Roman"/>
          <w:b/>
          <w:bCs w:val="0"/>
          <w:spacing w:val="-2"/>
          <w:sz w:val="21"/>
          <w:szCs w:val="21"/>
        </w:rPr>
        <w:t>图5.4-10  非正常状况下水处理站氨氮超标污染晕示意图</w:t>
      </w:r>
    </w:p>
    <w:p>
      <w:pPr>
        <w:pStyle w:val="53"/>
        <w:ind w:firstLine="0" w:firstLineChars="0"/>
        <w:rPr>
          <w:rFonts w:eastAsia="宋体"/>
          <w:b/>
          <w:bCs/>
        </w:rPr>
      </w:pPr>
      <w:r>
        <w:rPr>
          <w:rFonts w:eastAsia="宋体"/>
          <w:b/>
          <w:bCs/>
        </w:rPr>
        <w:t>5.4.2.5地下水环境影响结论</w:t>
      </w:r>
      <w:bookmarkEnd w:id="386"/>
      <w:bookmarkEnd w:id="387"/>
      <w:bookmarkEnd w:id="388"/>
    </w:p>
    <w:p>
      <w:pPr>
        <w:spacing w:line="360" w:lineRule="auto"/>
        <w:ind w:firstLine="480"/>
        <w:rPr>
          <w:rFonts w:hAnsi="Times New Roman" w:eastAsia="宋体"/>
        </w:rPr>
      </w:pPr>
      <w:r>
        <w:rPr>
          <w:rFonts w:hAnsi="Times New Roman" w:eastAsia="宋体"/>
        </w:rPr>
        <w:t>本次预测工作在结合矿区水文地质条件及项目特点的基础上，选取煤矸石转运场、水处理站利用数值法进行预测评价。</w:t>
      </w:r>
    </w:p>
    <w:p>
      <w:pPr>
        <w:spacing w:line="360" w:lineRule="auto"/>
        <w:ind w:firstLine="480"/>
        <w:rPr>
          <w:rFonts w:hAnsi="Times New Roman" w:eastAsia="宋体"/>
        </w:rPr>
      </w:pPr>
      <w:r>
        <w:rPr>
          <w:rFonts w:hAnsi="Times New Roman" w:eastAsia="宋体"/>
        </w:rPr>
        <w:t>正常状况下，在采取严格防护措施的前提下，模拟预测区污染物不会渗漏进入地下，对地下水不会造成污染，故不开展预测工作。</w:t>
      </w:r>
    </w:p>
    <w:p>
      <w:pPr>
        <w:spacing w:line="360" w:lineRule="auto"/>
        <w:ind w:firstLine="480"/>
        <w:rPr>
          <w:rFonts w:hAnsi="Times New Roman" w:eastAsia="宋体"/>
        </w:rPr>
      </w:pPr>
      <w:r>
        <w:rPr>
          <w:rFonts w:hAnsi="Times New Roman" w:eastAsia="宋体"/>
        </w:rPr>
        <w:t>非正常状况下，污染物下渗进入地下水中，形成超标污染晕，受水动力场控制向北迁移，污染范围持续扩大，两个预测区在100天时，超标污染晕运移出了工业区界并抵达了河流，受地下水稀释作用，在运营期</w:t>
      </w:r>
      <w:r>
        <w:rPr>
          <w:rFonts w:hint="eastAsia" w:hAnsi="Times New Roman" w:eastAsia="宋体"/>
          <w:lang w:eastAsia="zh-CN"/>
        </w:rPr>
        <w:t>5.2</w:t>
      </w:r>
      <w:r>
        <w:rPr>
          <w:rFonts w:hAnsi="Times New Roman" w:eastAsia="宋体"/>
        </w:rPr>
        <w:t>年（</w:t>
      </w:r>
      <w:r>
        <w:rPr>
          <w:rFonts w:hint="eastAsia" w:hAnsi="Times New Roman" w:eastAsia="宋体"/>
          <w:lang w:eastAsia="zh-CN"/>
        </w:rPr>
        <w:t>1898</w:t>
      </w:r>
      <w:r>
        <w:rPr>
          <w:rFonts w:hAnsi="Times New Roman" w:eastAsia="宋体"/>
        </w:rPr>
        <w:t>天）时，煤矸石堆场汞超标污染晕达到最大污染晕面积850.40m</w:t>
      </w:r>
      <w:r>
        <w:rPr>
          <w:rFonts w:hAnsi="Times New Roman" w:eastAsia="宋体"/>
          <w:vertAlign w:val="superscript"/>
        </w:rPr>
        <w:t>2</w:t>
      </w:r>
      <w:r>
        <w:rPr>
          <w:rFonts w:hAnsi="Times New Roman" w:eastAsia="宋体"/>
        </w:rPr>
        <w:t>，水处理站石油类超标污染晕达到最大面积659.45m</w:t>
      </w:r>
      <w:r>
        <w:rPr>
          <w:rFonts w:hAnsi="Times New Roman" w:eastAsia="宋体"/>
          <w:vertAlign w:val="superscript"/>
        </w:rPr>
        <w:t>2</w:t>
      </w:r>
      <w:r>
        <w:rPr>
          <w:rFonts w:hAnsi="Times New Roman" w:eastAsia="宋体"/>
        </w:rPr>
        <w:t>，COD</w:t>
      </w:r>
      <w:r>
        <w:rPr>
          <w:rFonts w:hAnsi="Times New Roman" w:eastAsia="宋体"/>
          <w:vertAlign w:val="subscript"/>
        </w:rPr>
        <w:t>Mn</w:t>
      </w:r>
      <w:r>
        <w:rPr>
          <w:rFonts w:hAnsi="Times New Roman" w:eastAsia="宋体"/>
        </w:rPr>
        <w:t>超标污染晕最大面积563.69m</w:t>
      </w:r>
      <w:r>
        <w:rPr>
          <w:rFonts w:hAnsi="Times New Roman" w:eastAsia="宋体"/>
          <w:vertAlign w:val="superscript"/>
        </w:rPr>
        <w:t>2</w:t>
      </w:r>
      <w:r>
        <w:rPr>
          <w:rFonts w:hAnsi="Times New Roman" w:eastAsia="宋体"/>
        </w:rPr>
        <w:t>，氨氮超标污染晕大面积394.82m</w:t>
      </w:r>
      <w:r>
        <w:rPr>
          <w:rFonts w:hAnsi="Times New Roman" w:eastAsia="宋体"/>
          <w:vertAlign w:val="superscript"/>
        </w:rPr>
        <w:t>2</w:t>
      </w:r>
      <w:r>
        <w:rPr>
          <w:rFonts w:hAnsi="Times New Roman" w:eastAsia="宋体"/>
        </w:rPr>
        <w:t>。</w:t>
      </w:r>
    </w:p>
    <w:p>
      <w:pPr>
        <w:spacing w:line="360" w:lineRule="auto"/>
        <w:ind w:firstLine="480"/>
        <w:rPr>
          <w:rFonts w:hAnsi="Times New Roman" w:eastAsia="宋体"/>
        </w:rPr>
      </w:pPr>
      <w:r>
        <w:rPr>
          <w:rFonts w:hAnsi="Times New Roman" w:eastAsia="宋体"/>
        </w:rPr>
        <w:t>通过上述模拟结果，建议矿区做好污染设施的防渗工作，并在场区南侧布设跟踪监测井，实</w:t>
      </w:r>
      <w:r>
        <w:rPr>
          <w:rFonts w:hint="eastAsia" w:hAnsi="Times New Roman" w:eastAsia="宋体"/>
          <w:lang w:eastAsia="zh-CN"/>
        </w:rPr>
        <w:t>时</w:t>
      </w:r>
      <w:r>
        <w:rPr>
          <w:rFonts w:hAnsi="Times New Roman" w:eastAsia="宋体"/>
        </w:rPr>
        <w:t>掌握地下水环境现状，同时起到应急监测井的作用。</w:t>
      </w:r>
    </w:p>
    <w:p>
      <w:pPr>
        <w:pStyle w:val="6"/>
        <w:rPr>
          <w:szCs w:val="22"/>
        </w:rPr>
      </w:pPr>
      <w:bookmarkStart w:id="389" w:name="_Toc167095229"/>
      <w:bookmarkStart w:id="390" w:name="_Toc163812606"/>
      <w:bookmarkStart w:id="391" w:name="_Hlk87432525"/>
      <w:r>
        <w:rPr>
          <w:szCs w:val="22"/>
        </w:rPr>
        <w:t>5.4.3煤矿开采影响分析</w:t>
      </w:r>
      <w:bookmarkEnd w:id="389"/>
      <w:bookmarkEnd w:id="390"/>
    </w:p>
    <w:p>
      <w:pPr>
        <w:pStyle w:val="53"/>
        <w:ind w:firstLine="0" w:firstLineChars="0"/>
        <w:rPr>
          <w:rFonts w:eastAsia="宋体"/>
          <w:b/>
          <w:bCs/>
        </w:rPr>
      </w:pPr>
      <w:r>
        <w:rPr>
          <w:rFonts w:eastAsia="宋体"/>
          <w:b/>
          <w:bCs/>
        </w:rPr>
        <w:t>5.4.3.1冒落裂</w:t>
      </w:r>
      <w:r>
        <w:rPr>
          <w:rFonts w:hint="eastAsia" w:eastAsia="宋体"/>
          <w:b/>
          <w:bCs/>
        </w:rPr>
        <w:t>缝</w:t>
      </w:r>
      <w:r>
        <w:rPr>
          <w:rFonts w:eastAsia="宋体"/>
          <w:b/>
          <w:bCs/>
        </w:rPr>
        <w:t>带高度预测分析</w:t>
      </w:r>
    </w:p>
    <w:p>
      <w:pPr>
        <w:spacing w:line="360" w:lineRule="auto"/>
        <w:ind w:firstLine="480"/>
        <w:rPr>
          <w:rFonts w:hAnsi="Times New Roman" w:eastAsia="宋体"/>
        </w:rPr>
      </w:pPr>
      <w:r>
        <w:rPr>
          <w:rFonts w:hint="eastAsia" w:hAnsi="Times New Roman" w:eastAsia="宋体"/>
        </w:rPr>
        <w:t>根据《达州市宣汉县七里峡煤业有限公司七里峡煤矿扩建工程项目申请与安全审核报告（代可行性研究报告）说明书》，七里峡煤矿各煤层开采后冒落带最大高度（Hc）和导水裂缝带高度（Hf）根据《矿区水文地质工程地质勘探规范》（GB12718-91）标准计算：</w:t>
      </w:r>
    </w:p>
    <w:p>
      <w:pPr>
        <w:spacing w:line="360" w:lineRule="auto"/>
        <w:ind w:firstLine="480"/>
        <w:rPr>
          <w:rFonts w:hAnsi="Times New Roman" w:eastAsia="宋体"/>
        </w:rPr>
      </w:pPr>
      <w:r>
        <w:rPr>
          <w:rFonts w:hAnsi="Times New Roman" w:eastAsia="宋体"/>
          <w:lang w:val="zh-CN"/>
        </w:rPr>
        <w:t>冒落带</w:t>
      </w:r>
      <w:r>
        <w:rPr>
          <w:rFonts w:hAnsi="Times New Roman" w:eastAsia="宋体"/>
        </w:rPr>
        <w:t xml:space="preserve">        Hc=5M</w:t>
      </w:r>
    </w:p>
    <w:p>
      <w:pPr>
        <w:spacing w:line="360" w:lineRule="auto"/>
        <w:ind w:firstLine="480"/>
        <w:rPr>
          <w:rFonts w:hAnsi="Times New Roman" w:eastAsia="宋体"/>
        </w:rPr>
      </w:pPr>
      <w:r>
        <w:rPr>
          <w:rFonts w:hAnsi="Times New Roman" w:eastAsia="宋体"/>
          <w:lang w:val="zh-CN"/>
        </w:rPr>
        <w:t>导水裂缝带</w:t>
      </w:r>
      <w:r>
        <w:rPr>
          <w:rFonts w:hAnsi="Times New Roman" w:eastAsia="宋体"/>
        </w:rPr>
        <w:t xml:space="preserve">    </w:t>
      </w:r>
      <w:r>
        <w:rPr>
          <w:rFonts w:hAnsi="Times New Roman" w:eastAsia="宋体"/>
          <w:position w:val="-24"/>
        </w:rPr>
        <w:object>
          <v:shape id="_x0000_i1052" o:spt="75" type="#_x0000_t75" style="height:27.35pt;width:97.4pt;" o:ole="t" filled="f" o:preferrelative="t" stroked="f" coordsize="21600,21600">
            <v:path/>
            <v:fill on="f" focussize="0,0"/>
            <v:stroke on="f" joinstyle="miter"/>
            <v:imagedata r:id="rId204" o:title=""/>
            <o:lock v:ext="edit" aspectratio="t"/>
            <w10:wrap type="none"/>
            <w10:anchorlock/>
          </v:shape>
          <o:OLEObject Type="Embed" ProgID="Equation.3" ShapeID="_x0000_i1052" DrawAspect="Content" ObjectID="_1468075750" r:id="rId203">
            <o:LockedField>false</o:LockedField>
          </o:OLEObject>
        </w:object>
      </w:r>
    </w:p>
    <w:p>
      <w:pPr>
        <w:spacing w:line="360" w:lineRule="auto"/>
        <w:ind w:firstLine="480"/>
        <w:rPr>
          <w:rFonts w:hAnsi="Times New Roman" w:eastAsia="宋体"/>
        </w:rPr>
      </w:pPr>
      <w:r>
        <w:rPr>
          <w:rFonts w:hAnsi="Times New Roman" w:eastAsia="宋体"/>
        </w:rPr>
        <w:t>式中：</w:t>
      </w:r>
      <w:r>
        <w:rPr>
          <w:rFonts w:hAnsi="Times New Roman" w:eastAsia="宋体"/>
        </w:rPr>
        <w:object>
          <v:shape id="_x0000_i1053" o:spt="75" type="#_x0000_t75" style="height:14pt;width:18pt;" o:ole="t" filled="f" o:preferrelative="t" stroked="f" coordsize="21600,21600">
            <v:path/>
            <v:fill on="f" focussize="0,0"/>
            <v:stroke on="f" joinstyle="miter"/>
            <v:imagedata r:id="rId206" o:title=""/>
            <o:lock v:ext="edit" aspectratio="t"/>
            <w10:wrap type="none"/>
            <w10:anchorlock/>
          </v:shape>
          <o:OLEObject Type="Embed" ProgID="Equation.3" ShapeID="_x0000_i1053" DrawAspect="Content" ObjectID="_1468075751" r:id="rId205">
            <o:LockedField>false</o:LockedField>
          </o:OLEObject>
        </w:object>
      </w:r>
      <w:r>
        <w:rPr>
          <w:rFonts w:hAnsi="Times New Roman" w:eastAsia="宋体"/>
        </w:rPr>
        <w:t>－煤层开采后的冒落带高度（m）；</w:t>
      </w:r>
    </w:p>
    <w:p>
      <w:pPr>
        <w:spacing w:line="360" w:lineRule="auto"/>
        <w:ind w:firstLine="1200" w:firstLineChars="500"/>
        <w:rPr>
          <w:rFonts w:hAnsi="Times New Roman" w:eastAsia="宋体"/>
        </w:rPr>
      </w:pPr>
      <w:r>
        <w:rPr>
          <w:rFonts w:hAnsi="Times New Roman" w:eastAsia="宋体"/>
        </w:rPr>
        <w:object>
          <v:shape id="_x0000_i1054" o:spt="75" type="#_x0000_t75" style="height:13.35pt;width:16pt;" o:ole="t" filled="f" o:preferrelative="t" stroked="f" coordsize="21600,21600">
            <v:path/>
            <v:fill on="f" focussize="0,0"/>
            <v:stroke on="f" joinstyle="miter"/>
            <v:imagedata r:id="rId208" o:title=""/>
            <o:lock v:ext="edit" aspectratio="t"/>
            <w10:wrap type="none"/>
            <w10:anchorlock/>
          </v:shape>
          <o:OLEObject Type="Embed" ProgID="Equation.3" ShapeID="_x0000_i1054" DrawAspect="Content" ObjectID="_1468075752" r:id="rId207">
            <o:LockedField>false</o:LockedField>
          </o:OLEObject>
        </w:object>
      </w:r>
      <w:r>
        <w:rPr>
          <w:rFonts w:hAnsi="Times New Roman" w:eastAsia="宋体"/>
        </w:rPr>
        <w:t>－煤层累计采厚（m）；</w:t>
      </w:r>
    </w:p>
    <w:p>
      <w:pPr>
        <w:spacing w:line="360" w:lineRule="auto"/>
        <w:ind w:firstLine="1200" w:firstLineChars="500"/>
        <w:rPr>
          <w:rFonts w:hAnsi="Times New Roman" w:eastAsia="宋体"/>
        </w:rPr>
      </w:pPr>
      <w:r>
        <w:rPr>
          <w:rFonts w:hAnsi="Times New Roman" w:eastAsia="宋体"/>
        </w:rPr>
        <w:object>
          <v:shape id="_x0000_i1055" o:spt="75" type="#_x0000_t75" style="height:16pt;width:19.35pt;" o:ole="t" filled="f" o:preferrelative="t" stroked="f" coordsize="21600,21600">
            <v:path/>
            <v:fill on="f" focussize="0,0"/>
            <v:stroke on="f" joinstyle="miter"/>
            <v:imagedata r:id="rId210" o:title=""/>
            <o:lock v:ext="edit" aspectratio="t"/>
            <w10:wrap type="none"/>
            <w10:anchorlock/>
          </v:shape>
          <o:OLEObject Type="Embed" ProgID="Equation.3" ShapeID="_x0000_i1055" DrawAspect="Content" ObjectID="_1468075753" r:id="rId209">
            <o:LockedField>false</o:LockedField>
          </o:OLEObject>
        </w:object>
      </w:r>
      <w:r>
        <w:rPr>
          <w:rFonts w:hAnsi="Times New Roman" w:eastAsia="宋体"/>
        </w:rPr>
        <w:t>－导水裂隙影响带高度（m）；</w:t>
      </w:r>
    </w:p>
    <w:p>
      <w:pPr>
        <w:spacing w:line="360" w:lineRule="auto"/>
        <w:ind w:firstLine="1200" w:firstLineChars="500"/>
        <w:rPr>
          <w:rFonts w:hAnsi="Times New Roman" w:eastAsia="宋体"/>
          <w:lang w:val="zh-CN"/>
        </w:rPr>
      </w:pPr>
      <w:r>
        <w:rPr>
          <w:rFonts w:hAnsi="Times New Roman" w:eastAsia="宋体"/>
        </w:rPr>
        <w:object>
          <v:shape id="_x0000_i1056" o:spt="75" type="#_x0000_t75" style="height:10.65pt;width:10pt;" o:ole="t" filled="f" o:preferrelative="t" stroked="f" coordsize="21600,21600">
            <v:path/>
            <v:fill on="f" focussize="0,0"/>
            <v:stroke on="f" joinstyle="miter"/>
            <v:imagedata r:id="rId212" o:title=""/>
            <o:lock v:ext="edit" aspectratio="t"/>
            <w10:wrap type="none"/>
            <w10:anchorlock/>
          </v:shape>
          <o:OLEObject Type="Embed" ProgID="Equation.3" ShapeID="_x0000_i1056" DrawAspect="Content" ObjectID="_1468075754" r:id="rId211">
            <o:LockedField>false</o:LockedField>
          </o:OLEObject>
        </w:object>
      </w:r>
      <w:r>
        <w:rPr>
          <w:rFonts w:hAnsi="Times New Roman" w:eastAsia="宋体"/>
        </w:rPr>
        <w:t>－煤分层层数。</w:t>
      </w:r>
    </w:p>
    <w:p>
      <w:pPr>
        <w:spacing w:line="360" w:lineRule="auto"/>
        <w:ind w:firstLine="480"/>
        <w:rPr>
          <w:rFonts w:hAnsi="Times New Roman" w:eastAsia="宋体"/>
        </w:rPr>
      </w:pPr>
      <w:r>
        <w:rPr>
          <w:rFonts w:hAnsi="Times New Roman" w:eastAsia="宋体"/>
        </w:rPr>
        <w:t>七里峡煤矿允许开采的K</w:t>
      </w:r>
      <w:r>
        <w:rPr>
          <w:rFonts w:hAnsi="Times New Roman" w:eastAsia="宋体"/>
          <w:vertAlign w:val="subscript"/>
        </w:rPr>
        <w:t>6</w:t>
      </w:r>
      <w:r>
        <w:rPr>
          <w:rFonts w:hAnsi="Times New Roman" w:eastAsia="宋体"/>
        </w:rPr>
        <w:t>煤层采高1.30m左右，K</w:t>
      </w:r>
      <w:r>
        <w:rPr>
          <w:rFonts w:hAnsi="Times New Roman" w:eastAsia="宋体"/>
          <w:vertAlign w:val="subscript"/>
        </w:rPr>
        <w:t>5-1</w:t>
      </w:r>
      <w:r>
        <w:rPr>
          <w:rFonts w:hAnsi="Times New Roman" w:eastAsia="宋体"/>
        </w:rPr>
        <w:t>煤层采高1.30m左右，K</w:t>
      </w:r>
      <w:r>
        <w:rPr>
          <w:rFonts w:hAnsi="Times New Roman" w:eastAsia="宋体"/>
          <w:vertAlign w:val="subscript"/>
        </w:rPr>
        <w:t>5</w:t>
      </w:r>
      <w:r>
        <w:rPr>
          <w:rFonts w:hAnsi="Times New Roman" w:eastAsia="宋体"/>
        </w:rPr>
        <w:t>煤层采高1.32m左右。经计算，矿井煤层开采后冒落带最大高度7.2m；导水裂</w:t>
      </w:r>
      <w:r>
        <w:rPr>
          <w:rFonts w:hint="eastAsia" w:hAnsi="Times New Roman" w:eastAsia="宋体"/>
        </w:rPr>
        <w:t>缝</w:t>
      </w:r>
      <w:r>
        <w:rPr>
          <w:rFonts w:hAnsi="Times New Roman" w:eastAsia="宋体"/>
        </w:rPr>
        <w:t>最大影响带高度43m。</w:t>
      </w:r>
    </w:p>
    <w:p>
      <w:pPr>
        <w:pStyle w:val="53"/>
        <w:ind w:firstLine="0" w:firstLineChars="0"/>
        <w:rPr>
          <w:rFonts w:eastAsia="宋体"/>
          <w:b/>
          <w:bCs/>
        </w:rPr>
      </w:pPr>
      <w:r>
        <w:rPr>
          <w:rFonts w:eastAsia="宋体"/>
          <w:b/>
          <w:bCs/>
        </w:rPr>
        <w:t>5.4.3.2煤炭开采对各含水层的影响分析</w:t>
      </w:r>
    </w:p>
    <w:p>
      <w:pPr>
        <w:spacing w:line="360" w:lineRule="auto"/>
        <w:ind w:firstLine="480"/>
        <w:rPr>
          <w:rFonts w:hAnsi="Times New Roman" w:eastAsia="宋体"/>
        </w:rPr>
      </w:pPr>
      <w:r>
        <w:rPr>
          <w:rFonts w:hAnsi="Times New Roman" w:eastAsia="宋体"/>
        </w:rPr>
        <w:t>煤炭开采对地下水资源的破坏程度及其数量，受多方面因素的影响，有自然因素和人为因素，主要是水文地质条件、地质构造特征、煤矿开采阶段、降水量、开采面积、开采深度、开采沉陷等因素的影响。</w:t>
      </w:r>
    </w:p>
    <w:p>
      <w:pPr>
        <w:spacing w:line="360" w:lineRule="auto"/>
        <w:ind w:firstLine="480"/>
        <w:rPr>
          <w:rFonts w:hAnsi="Times New Roman" w:eastAsia="宋体"/>
        </w:rPr>
      </w:pPr>
      <w:r>
        <w:rPr>
          <w:rFonts w:hAnsi="Times New Roman" w:eastAsia="宋体"/>
        </w:rPr>
        <w:t>煤炭开采时，在地面以下形成纵横交错的竖井、斜井、巷道及不同开采面、不同采掘深度的采空区等等，这些井、巷道、采空区相互贯通，沟通了地下水含水层和隔水层，可能改变原先含煤地层及上覆松散岩系地层中地下水运行状态。通常煤系含水层和上覆松散岩系含水层之间有隔水层存在，并无水力联系。由于井、巷道、采空区的出现，加之采空区顶板塌陷，形成了冒落带和裂隙带，成为裂隙沟通的各类含水层中地下水快速渗漏的通道。</w:t>
      </w:r>
    </w:p>
    <w:p>
      <w:pPr>
        <w:spacing w:line="360" w:lineRule="auto"/>
        <w:ind w:firstLine="480"/>
        <w:rPr>
          <w:rFonts w:hAnsi="Times New Roman" w:eastAsia="宋体"/>
          <w:b/>
          <w:bCs/>
        </w:rPr>
      </w:pPr>
      <w:r>
        <w:rPr>
          <w:rFonts w:hAnsi="Times New Roman" w:eastAsia="宋体"/>
          <w:b/>
          <w:bCs/>
        </w:rPr>
        <w:t>（1）煤炭开采对导通含水层的影响半径</w:t>
      </w:r>
    </w:p>
    <w:p>
      <w:pPr>
        <w:spacing w:line="360" w:lineRule="auto"/>
        <w:ind w:firstLine="480"/>
        <w:rPr>
          <w:rFonts w:hAnsi="Times New Roman" w:eastAsia="宋体"/>
        </w:rPr>
      </w:pPr>
      <w:r>
        <w:rPr>
          <w:rFonts w:hAnsi="Times New Roman" w:eastAsia="宋体"/>
        </w:rPr>
        <w:t>根据“5.4.3.1导水裂缝带预测”结果，煤系地层须家河组含水层和侏罗系珍珠冲组含水层会受煤炭开采导水裂缝带导通破坏，其地下水位下降，自导通区域周围产生地下水水位下降漏斗，其影响半径按下式估算：</w:t>
      </w:r>
    </w:p>
    <w:p>
      <w:pPr>
        <w:spacing w:line="360" w:lineRule="auto"/>
        <w:ind w:firstLine="480"/>
        <w:rPr>
          <w:rFonts w:hAnsi="Times New Roman" w:eastAsia="宋体"/>
        </w:rPr>
      </w:pPr>
      <w:r>
        <w:rPr>
          <w:rFonts w:hAnsi="Times New Roman" w:eastAsia="宋体"/>
        </w:rPr>
        <w:drawing>
          <wp:inline distT="0" distB="0" distL="114300" distR="114300">
            <wp:extent cx="1143000" cy="241300"/>
            <wp:effectExtent l="0" t="0" r="0" b="6350"/>
            <wp:docPr id="250"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54"/>
                    <pic:cNvPicPr>
                      <a:picLocks noChangeAspect="1"/>
                    </pic:cNvPicPr>
                  </pic:nvPicPr>
                  <pic:blipFill>
                    <a:blip r:embed="rId213"/>
                    <a:stretch>
                      <a:fillRect/>
                    </a:stretch>
                  </pic:blipFill>
                  <pic:spPr>
                    <a:xfrm>
                      <a:off x="0" y="0"/>
                      <a:ext cx="1143000" cy="241300"/>
                    </a:xfrm>
                    <a:prstGeom prst="rect">
                      <a:avLst/>
                    </a:prstGeom>
                    <a:noFill/>
                    <a:ln>
                      <a:noFill/>
                    </a:ln>
                  </pic:spPr>
                </pic:pic>
              </a:graphicData>
            </a:graphic>
          </wp:inline>
        </w:drawing>
      </w:r>
    </w:p>
    <w:p>
      <w:pPr>
        <w:spacing w:line="360" w:lineRule="auto"/>
        <w:ind w:firstLine="480"/>
        <w:rPr>
          <w:rFonts w:hAnsi="Times New Roman" w:eastAsia="宋体"/>
        </w:rPr>
      </w:pPr>
      <w:r>
        <w:rPr>
          <w:rFonts w:hAnsi="Times New Roman" w:eastAsia="宋体"/>
        </w:rPr>
        <w:t>式中：R—影响半径，m；  Sw—水位下降值，m；  K—渗透系数，m/d。</w:t>
      </w:r>
    </w:p>
    <w:p>
      <w:pPr>
        <w:spacing w:line="360" w:lineRule="auto"/>
        <w:ind w:firstLine="480"/>
        <w:rPr>
          <w:rFonts w:hAnsi="Times New Roman" w:eastAsia="宋体"/>
        </w:rPr>
      </w:pPr>
      <w:r>
        <w:rPr>
          <w:rFonts w:hAnsi="Times New Roman" w:eastAsia="宋体"/>
        </w:rPr>
        <w:t>参考《四川省宣汉县上峡井田上峡煤矿资源储量核实及延伸勘探报告》资料抽水试验资料，本次项目开采层位类似，参考其渗透系数k=0.0031 m/d，开采后最大水位降深取含水层静止水位标高与最小开采标高之差（本次取值470m），则R=261.69m。</w:t>
      </w:r>
    </w:p>
    <w:p>
      <w:pPr>
        <w:spacing w:line="360" w:lineRule="auto"/>
        <w:ind w:firstLine="480"/>
        <w:rPr>
          <w:rFonts w:hAnsi="Times New Roman" w:eastAsia="宋体"/>
        </w:rPr>
      </w:pPr>
      <w:r>
        <w:rPr>
          <w:rFonts w:hAnsi="Times New Roman" w:eastAsia="宋体"/>
        </w:rPr>
        <w:t>1）地下水位变化趋势</w:t>
      </w:r>
    </w:p>
    <w:p>
      <w:pPr>
        <w:spacing w:line="360" w:lineRule="auto"/>
        <w:ind w:firstLine="480"/>
        <w:rPr>
          <w:rFonts w:hAnsi="Times New Roman" w:eastAsia="宋体"/>
        </w:rPr>
      </w:pPr>
      <w:r>
        <w:rPr>
          <w:rFonts w:hAnsi="Times New Roman" w:eastAsia="宋体"/>
        </w:rPr>
        <w:t>煤炭开采过程中，井下疏排水影响带内地下水流场将发生变化，地下水通过岩石节理裂隙及导水裂缝带对矿井充水，以开采层位（T</w:t>
      </w:r>
      <w:r>
        <w:rPr>
          <w:rFonts w:hAnsi="Times New Roman" w:eastAsia="宋体"/>
          <w:vertAlign w:val="subscript"/>
        </w:rPr>
        <w:t>3</w:t>
      </w:r>
      <w:r>
        <w:rPr>
          <w:rFonts w:hAnsi="Times New Roman" w:eastAsia="宋体"/>
        </w:rPr>
        <w:t>xj</w:t>
      </w:r>
      <w:r>
        <w:rPr>
          <w:rFonts w:hAnsi="Times New Roman" w:eastAsia="宋体"/>
          <w:vertAlign w:val="superscript"/>
        </w:rPr>
        <w:t>5</w:t>
      </w:r>
      <w:r>
        <w:rPr>
          <w:rFonts w:hAnsi="Times New Roman" w:eastAsia="宋体"/>
        </w:rPr>
        <w:t>）为中心，在影响带内形成地下水位降落漏斗。T</w:t>
      </w:r>
      <w:r>
        <w:rPr>
          <w:rFonts w:hAnsi="Times New Roman" w:eastAsia="宋体"/>
          <w:vertAlign w:val="subscript"/>
        </w:rPr>
        <w:t>3</w:t>
      </w:r>
      <w:r>
        <w:rPr>
          <w:rFonts w:hAnsi="Times New Roman" w:eastAsia="宋体"/>
        </w:rPr>
        <w:t>xj</w:t>
      </w:r>
      <w:r>
        <w:rPr>
          <w:rFonts w:hAnsi="Times New Roman" w:eastAsia="宋体"/>
          <w:vertAlign w:val="superscript"/>
        </w:rPr>
        <w:t>6</w:t>
      </w:r>
      <w:r>
        <w:rPr>
          <w:rFonts w:hAnsi="Times New Roman" w:eastAsia="宋体"/>
        </w:rPr>
        <w:t>含水层内地下水将随开采进程逐步漏失，水位直至下降至煤层最低开采标高。</w:t>
      </w:r>
    </w:p>
    <w:p>
      <w:pPr>
        <w:spacing w:line="360" w:lineRule="auto"/>
        <w:ind w:firstLine="480"/>
        <w:rPr>
          <w:rFonts w:hAnsi="Times New Roman" w:eastAsia="宋体"/>
        </w:rPr>
      </w:pPr>
      <w:r>
        <w:rPr>
          <w:rFonts w:hAnsi="Times New Roman" w:eastAsia="宋体"/>
        </w:rPr>
        <w:t>2）预测模式的选择</w:t>
      </w:r>
    </w:p>
    <w:p>
      <w:pPr>
        <w:spacing w:line="360" w:lineRule="auto"/>
        <w:ind w:firstLine="480"/>
        <w:rPr>
          <w:rFonts w:hAnsi="Times New Roman" w:eastAsia="宋体"/>
        </w:rPr>
      </w:pPr>
      <w:r>
        <w:rPr>
          <w:rFonts w:hAnsi="Times New Roman" w:eastAsia="宋体"/>
        </w:rPr>
        <w:t>建设项目引起的地下水水位变化区域范围可用影响半径来表示，导水裂缝带可能疏干导通区的地下水，同时影响周边的地下水，现将导通区（可采区）概化为一大井，进行抽水，矿坑平面形态为长条状不规则的多边形，其计算公式如下</w:t>
      </w:r>
    </w:p>
    <w:p>
      <w:pPr>
        <w:spacing w:line="360" w:lineRule="auto"/>
        <w:ind w:firstLine="480"/>
        <w:rPr>
          <w:rFonts w:hAnsi="Times New Roman" w:eastAsia="宋体"/>
        </w:rPr>
      </w:pPr>
      <w:r>
        <w:rPr>
          <w:rFonts w:hAnsi="Times New Roman" w:eastAsia="宋体"/>
        </w:rPr>
        <w:drawing>
          <wp:inline distT="0" distB="0" distL="114300" distR="114300">
            <wp:extent cx="1471295" cy="522605"/>
            <wp:effectExtent l="0" t="0" r="14605" b="10795"/>
            <wp:docPr id="252"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55"/>
                    <pic:cNvPicPr>
                      <a:picLocks noChangeAspect="1"/>
                    </pic:cNvPicPr>
                  </pic:nvPicPr>
                  <pic:blipFill>
                    <a:blip r:embed="rId214"/>
                    <a:stretch>
                      <a:fillRect/>
                    </a:stretch>
                  </pic:blipFill>
                  <pic:spPr>
                    <a:xfrm>
                      <a:off x="0" y="0"/>
                      <a:ext cx="1471295" cy="522605"/>
                    </a:xfrm>
                    <a:prstGeom prst="rect">
                      <a:avLst/>
                    </a:prstGeom>
                    <a:noFill/>
                    <a:ln>
                      <a:noFill/>
                    </a:ln>
                  </pic:spPr>
                </pic:pic>
              </a:graphicData>
            </a:graphic>
          </wp:inline>
        </w:drawing>
      </w:r>
    </w:p>
    <w:p>
      <w:pPr>
        <w:spacing w:line="360" w:lineRule="auto"/>
        <w:ind w:firstLine="480"/>
        <w:rPr>
          <w:rFonts w:hAnsi="Times New Roman" w:eastAsia="宋体"/>
        </w:rPr>
      </w:pPr>
      <w:r>
        <w:rPr>
          <w:rFonts w:hAnsi="Times New Roman" w:eastAsia="宋体"/>
        </w:rPr>
        <w:t>式中，R</w:t>
      </w:r>
      <w:r>
        <w:rPr>
          <w:rFonts w:hAnsi="Times New Roman" w:eastAsia="宋体"/>
          <w:vertAlign w:val="subscript"/>
        </w:rPr>
        <w:t>0</w:t>
      </w:r>
      <w:r>
        <w:rPr>
          <w:rFonts w:hAnsi="Times New Roman" w:eastAsia="宋体"/>
        </w:rPr>
        <w:t>—“大井”引用影响半径，m； r</w:t>
      </w:r>
      <w:r>
        <w:rPr>
          <w:rFonts w:hAnsi="Times New Roman" w:eastAsia="宋体"/>
          <w:vertAlign w:val="subscript"/>
        </w:rPr>
        <w:t>0</w:t>
      </w:r>
      <w:r>
        <w:rPr>
          <w:rFonts w:hAnsi="Times New Roman" w:eastAsia="宋体"/>
        </w:rPr>
        <w:t>—“大井”引用半径，m； R—影响半径，m；P—矿坑不规则多边形周长，m； S—水位降深，m；H—含水层厚度，m；K—含水层渗透系数，m/d。</w:t>
      </w:r>
    </w:p>
    <w:p>
      <w:pPr>
        <w:spacing w:line="360" w:lineRule="auto"/>
        <w:ind w:firstLine="480"/>
        <w:rPr>
          <w:rFonts w:hAnsi="Times New Roman" w:eastAsia="宋体"/>
        </w:rPr>
      </w:pPr>
      <w:r>
        <w:rPr>
          <w:rFonts w:hAnsi="Times New Roman" w:eastAsia="宋体"/>
        </w:rPr>
        <w:t>S－未来水位降深，采用目前矿井平均水位标高与未来最低开采标高的差值，即S＝452-200=252m；</w:t>
      </w:r>
    </w:p>
    <w:p>
      <w:pPr>
        <w:spacing w:line="360" w:lineRule="auto"/>
        <w:ind w:firstLine="480"/>
        <w:rPr>
          <w:rFonts w:hAnsi="Times New Roman" w:eastAsia="宋体"/>
        </w:rPr>
      </w:pPr>
      <w:r>
        <w:rPr>
          <w:rFonts w:hAnsi="Times New Roman" w:eastAsia="宋体"/>
        </w:rPr>
        <w:t>H－含水层厚度，本次采用间接充水含水层（J</w:t>
      </w:r>
      <w:r>
        <w:rPr>
          <w:rFonts w:hAnsi="Times New Roman" w:eastAsia="宋体"/>
          <w:vertAlign w:val="subscript"/>
        </w:rPr>
        <w:t>1</w:t>
      </w:r>
      <w:r>
        <w:rPr>
          <w:rFonts w:hAnsi="Times New Roman" w:eastAsia="宋体"/>
        </w:rPr>
        <w:t>zh）顶板至矿区可采煤层 K</w:t>
      </w:r>
      <w:r>
        <w:rPr>
          <w:rFonts w:hAnsi="Times New Roman" w:eastAsia="宋体"/>
          <w:vertAlign w:val="subscript"/>
        </w:rPr>
        <w:t>5</w:t>
      </w:r>
      <w:r>
        <w:rPr>
          <w:rFonts w:hAnsi="Times New Roman" w:eastAsia="宋体"/>
        </w:rPr>
        <w:t>煤层底板的最大厚度，约187m；</w:t>
      </w:r>
    </w:p>
    <w:p>
      <w:pPr>
        <w:spacing w:line="360" w:lineRule="auto"/>
        <w:ind w:firstLine="480"/>
        <w:rPr>
          <w:rFonts w:hAnsi="Times New Roman" w:eastAsia="宋体"/>
        </w:rPr>
      </w:pPr>
      <w:r>
        <w:rPr>
          <w:rFonts w:hAnsi="Times New Roman" w:eastAsia="宋体"/>
        </w:rPr>
        <w:t>K—渗透系数，由于矿区内并未开展过抽水试验，因此本次渗透系数来源于周边所做的抽水成果资料，由于未来矿山疏干排水影响地层为煤系含水层及J</w:t>
      </w:r>
      <w:r>
        <w:rPr>
          <w:rFonts w:hAnsi="Times New Roman" w:eastAsia="宋体"/>
          <w:vertAlign w:val="subscript"/>
        </w:rPr>
        <w:t>1</w:t>
      </w:r>
      <w:r>
        <w:rPr>
          <w:rFonts w:hAnsi="Times New Roman" w:eastAsia="宋体"/>
        </w:rPr>
        <w:t>zh含水层，为能客观反映出未来矿山真实的水文地质特征，因此本次将两套含水层视为同一充水含水层，k为0.0031m/d。通过</w:t>
      </w:r>
      <w:r>
        <w:rPr>
          <w:rFonts w:hint="eastAsia" w:hAnsi="Times New Roman" w:eastAsia="宋体"/>
          <w:lang w:eastAsia="zh-CN"/>
        </w:rPr>
        <w:t>代入</w:t>
      </w:r>
      <w:r>
        <w:rPr>
          <w:rFonts w:hAnsi="Times New Roman" w:eastAsia="宋体"/>
        </w:rPr>
        <w:t>公式进行计算，R=383.74m 通过本次计算，未来矿山开采时疏干排水影响范围为R=383.74m。</w:t>
      </w:r>
    </w:p>
    <w:p>
      <w:pPr>
        <w:spacing w:line="360" w:lineRule="auto"/>
        <w:ind w:firstLine="480"/>
        <w:rPr>
          <w:rFonts w:hAnsi="Times New Roman" w:eastAsia="宋体"/>
        </w:rPr>
      </w:pPr>
      <w:r>
        <w:rPr>
          <w:rFonts w:hAnsi="Times New Roman" w:eastAsia="宋体"/>
        </w:rPr>
        <w:t>3）预测结果</w:t>
      </w:r>
    </w:p>
    <w:p>
      <w:pPr>
        <w:spacing w:line="360" w:lineRule="auto"/>
        <w:ind w:firstLine="480"/>
        <w:rPr>
          <w:rFonts w:hAnsi="Times New Roman" w:eastAsia="宋体"/>
        </w:rPr>
      </w:pPr>
      <w:r>
        <w:rPr>
          <w:rFonts w:hAnsi="Times New Roman" w:eastAsia="宋体"/>
        </w:rPr>
        <w:t>矿坑周长P=33208m，则r0=5285.22m，根据储量核实报告，含水层平均厚度为H=187m，开采后，水位平均降深为252m，T</w:t>
      </w:r>
      <w:r>
        <w:rPr>
          <w:rFonts w:hAnsi="Times New Roman" w:eastAsia="宋体"/>
          <w:vertAlign w:val="subscript"/>
        </w:rPr>
        <w:t>3</w:t>
      </w:r>
      <w:r>
        <w:rPr>
          <w:rFonts w:hAnsi="Times New Roman" w:eastAsia="宋体"/>
        </w:rPr>
        <w:t>xj</w:t>
      </w:r>
      <w:r>
        <w:rPr>
          <w:rFonts w:hAnsi="Times New Roman" w:eastAsia="宋体"/>
          <w:vertAlign w:val="superscript"/>
        </w:rPr>
        <w:t>5</w:t>
      </w:r>
      <w:r>
        <w:rPr>
          <w:rFonts w:hAnsi="Times New Roman" w:eastAsia="宋体"/>
        </w:rPr>
        <w:t>、J</w:t>
      </w:r>
      <w:r>
        <w:rPr>
          <w:rFonts w:hAnsi="Times New Roman" w:eastAsia="宋体"/>
          <w:vertAlign w:val="subscript"/>
        </w:rPr>
        <w:t>1</w:t>
      </w:r>
      <w:r>
        <w:rPr>
          <w:rFonts w:hAnsi="Times New Roman" w:eastAsia="宋体"/>
        </w:rPr>
        <w:t>zh含水层综合渗透系数K=0.0031m/d。经上式计算，R=383.74m，R</w:t>
      </w:r>
      <w:r>
        <w:rPr>
          <w:rFonts w:hAnsi="Times New Roman" w:eastAsia="宋体"/>
          <w:vertAlign w:val="subscript"/>
        </w:rPr>
        <w:t>0</w:t>
      </w:r>
      <w:r>
        <w:rPr>
          <w:rFonts w:hAnsi="Times New Roman" w:eastAsia="宋体"/>
        </w:rPr>
        <w:t>=5668.96m，煤层持续开采后，含水层预测地下水疏干影响范围为开采范围外扩383.74m范围内，影响区面积约11.49km</w:t>
      </w:r>
      <w:r>
        <w:rPr>
          <w:rFonts w:hAnsi="Times New Roman" w:eastAsia="宋体"/>
          <w:vertAlign w:val="superscript"/>
        </w:rPr>
        <w:t>2</w:t>
      </w:r>
      <w:r>
        <w:rPr>
          <w:rFonts w:hAnsi="Times New Roman" w:eastAsia="宋体"/>
        </w:rPr>
        <w:t>。由于王一庙（村级）集中式饮用水水源地距离本次矿区最近直线距离为2.5km，远离本次疏干影响范围，且矿区疏干含水层为须家河组砂岩裂隙水。而水源地取水口地处侏罗系中统沙溪庙组泥岩、砂质泥岩夹长石石英砂岩，</w:t>
      </w:r>
      <w:r>
        <w:rPr>
          <w:rFonts w:hAnsi="Times New Roman" w:eastAsia="宋体"/>
          <w:szCs w:val="28"/>
        </w:rPr>
        <w:t>以砂岩为主要含水层</w:t>
      </w:r>
      <w:r>
        <w:rPr>
          <w:rFonts w:hAnsi="Times New Roman" w:eastAsia="宋体"/>
        </w:rPr>
        <w:t>，</w:t>
      </w:r>
      <w:r>
        <w:rPr>
          <w:rFonts w:hAnsi="Times New Roman" w:eastAsia="宋体"/>
          <w:szCs w:val="28"/>
        </w:rPr>
        <w:t>裂隙是该类型含水层地下水储集、径流、排泄的通道。含水层浅层风化带裂隙发育的不均匀性导致其富水性及透水性不均一，受风化裂隙的性状控制，多呈网状分布，局部呈脉状延伸。风化带深度一般在20－30m，往下裂隙不发育，岩体较完整，岩石透水性和含水性很弱，为相对隔水层。因此，含水层厚度一般为18～28m</w:t>
      </w:r>
      <w:r>
        <w:rPr>
          <w:rFonts w:hAnsi="Times New Roman" w:eastAsia="宋体"/>
        </w:rPr>
        <w:t>，地下水补给、径流、排泄较短。综上所述</w:t>
      </w:r>
      <w:r>
        <w:rPr>
          <w:rFonts w:hint="eastAsia" w:hAnsi="Times New Roman" w:eastAsia="宋体"/>
        </w:rPr>
        <w:t>，项目对</w:t>
      </w:r>
      <w:r>
        <w:rPr>
          <w:rFonts w:hAnsi="Times New Roman" w:eastAsia="宋体"/>
        </w:rPr>
        <w:t>王一庙（村级）集中式饮用水水源地</w:t>
      </w:r>
      <w:r>
        <w:rPr>
          <w:rFonts w:hint="eastAsia" w:hAnsi="Times New Roman" w:eastAsia="宋体"/>
        </w:rPr>
        <w:t>的</w:t>
      </w:r>
      <w:r>
        <w:rPr>
          <w:rFonts w:hAnsi="Times New Roman" w:eastAsia="宋体"/>
        </w:rPr>
        <w:t>影响甚微。</w:t>
      </w:r>
    </w:p>
    <w:p>
      <w:pPr>
        <w:spacing w:line="360" w:lineRule="auto"/>
        <w:ind w:firstLine="480"/>
        <w:rPr>
          <w:rFonts w:hAnsi="Times New Roman" w:eastAsia="宋体"/>
          <w:b/>
          <w:bCs/>
        </w:rPr>
      </w:pPr>
      <w:r>
        <w:rPr>
          <w:rFonts w:hAnsi="Times New Roman" w:eastAsia="宋体"/>
          <w:b/>
          <w:bCs/>
        </w:rPr>
        <w:t>（2）煤炭开采对潜水含水层的影响</w:t>
      </w:r>
    </w:p>
    <w:p>
      <w:pPr>
        <w:spacing w:line="360" w:lineRule="auto"/>
        <w:ind w:firstLine="480"/>
        <w:rPr>
          <w:rFonts w:hAnsi="Times New Roman" w:eastAsia="宋体"/>
        </w:rPr>
      </w:pPr>
      <w:r>
        <w:rPr>
          <w:rFonts w:hAnsi="Times New Roman" w:eastAsia="宋体"/>
        </w:rPr>
        <w:t>潜水即浅层地下水，主要为侏罗系红层风化裂隙水。主要分布于矿区东、西两侧，厚度一般小于30m，主要受大气降雨补给，无定向径流排泄方向，大部分呈散状向低洼处径流排泄，少量补给裂隙承压含水层。该区沟谷冲刷作用强烈，地下水补给条件较差，含水层富水性弱，煤炭开采之后对井田范围内的潜水含水层影响较小。</w:t>
      </w:r>
    </w:p>
    <w:p>
      <w:pPr>
        <w:spacing w:line="360" w:lineRule="auto"/>
        <w:ind w:firstLine="480"/>
        <w:rPr>
          <w:rFonts w:hAnsi="Times New Roman" w:eastAsia="宋体"/>
          <w:b/>
          <w:bCs/>
        </w:rPr>
      </w:pPr>
      <w:r>
        <w:rPr>
          <w:rFonts w:hAnsi="Times New Roman" w:eastAsia="宋体"/>
          <w:b/>
          <w:bCs/>
        </w:rPr>
        <w:t>（3）对上覆含水层的影响</w:t>
      </w:r>
    </w:p>
    <w:p>
      <w:pPr>
        <w:spacing w:line="360" w:lineRule="auto"/>
        <w:ind w:firstLine="480"/>
        <w:rPr>
          <w:rFonts w:hAnsi="Times New Roman" w:eastAsia="宋体"/>
        </w:rPr>
      </w:pPr>
      <w:r>
        <w:rPr>
          <w:rFonts w:hAnsi="Times New Roman" w:eastAsia="宋体"/>
        </w:rPr>
        <w:t>煤矿开采影响上覆地下水含水层的方式主要是煤层开采后顶板发生垮落，形成垮落带和导水裂缝带，受垮落带和导水裂缝带的影响，使地下含水层与开采煤层之间的隔水层被破坏，导致含水层水量漏失、水位下降，间接对与被破坏含水层有水力联系的其他含水层产生影响，造成水量有所减少，水位缓慢下降。</w:t>
      </w:r>
    </w:p>
    <w:p>
      <w:pPr>
        <w:spacing w:line="360" w:lineRule="auto"/>
        <w:ind w:firstLine="480"/>
        <w:rPr>
          <w:rFonts w:hAnsi="Times New Roman" w:eastAsia="宋体"/>
        </w:rPr>
      </w:pPr>
      <w:r>
        <w:rPr>
          <w:rFonts w:hAnsi="Times New Roman" w:eastAsia="宋体"/>
        </w:rPr>
        <w:t>本煤矿主要开采K</w:t>
      </w:r>
      <w:r>
        <w:rPr>
          <w:rFonts w:hAnsi="Times New Roman" w:eastAsia="宋体"/>
          <w:vertAlign w:val="subscript"/>
        </w:rPr>
        <w:t>6</w:t>
      </w:r>
      <w:r>
        <w:rPr>
          <w:rFonts w:hAnsi="Times New Roman" w:eastAsia="宋体"/>
        </w:rPr>
        <w:t>、K</w:t>
      </w:r>
      <w:r>
        <w:rPr>
          <w:rFonts w:hAnsi="Times New Roman" w:eastAsia="宋体"/>
          <w:vertAlign w:val="subscript"/>
        </w:rPr>
        <w:t>5-1</w:t>
      </w:r>
      <w:r>
        <w:rPr>
          <w:rFonts w:hAnsi="Times New Roman" w:eastAsia="宋体"/>
        </w:rPr>
        <w:t>、K</w:t>
      </w:r>
      <w:r>
        <w:rPr>
          <w:rFonts w:hAnsi="Times New Roman" w:eastAsia="宋体"/>
          <w:vertAlign w:val="subscript"/>
        </w:rPr>
        <w:t>5</w:t>
      </w:r>
      <w:r>
        <w:rPr>
          <w:rFonts w:hAnsi="Times New Roman" w:eastAsia="宋体"/>
        </w:rPr>
        <w:t>煤层，根据开采煤层所在地层位置，位于三叠系上统须家河组第五段（三叠系须家河组第六段含水层以下），煤层顶板可能发生垮落，会对煤层上覆一定范围内的含水层产生破坏及影响。</w:t>
      </w:r>
    </w:p>
    <w:p>
      <w:pPr>
        <w:spacing w:line="360" w:lineRule="auto"/>
        <w:ind w:firstLine="480"/>
        <w:rPr>
          <w:rFonts w:hAnsi="Times New Roman" w:eastAsia="宋体"/>
        </w:rPr>
      </w:pPr>
      <w:r>
        <w:rPr>
          <w:rFonts w:hAnsi="Times New Roman" w:eastAsia="宋体"/>
        </w:rPr>
        <w:t>据资源储量核实报告，三叠系须家河组第六段（T</w:t>
      </w:r>
      <w:r>
        <w:rPr>
          <w:rFonts w:hAnsi="Times New Roman" w:eastAsia="宋体"/>
          <w:vertAlign w:val="subscript"/>
        </w:rPr>
        <w:t>3</w:t>
      </w:r>
      <w:r>
        <w:rPr>
          <w:rFonts w:hAnsi="Times New Roman" w:eastAsia="宋体"/>
        </w:rPr>
        <w:t>xj</w:t>
      </w:r>
      <w:r>
        <w:rPr>
          <w:rFonts w:hAnsi="Times New Roman" w:eastAsia="宋体"/>
          <w:vertAlign w:val="superscript"/>
        </w:rPr>
        <w:t>6</w:t>
      </w:r>
      <w:r>
        <w:rPr>
          <w:rFonts w:hAnsi="Times New Roman" w:eastAsia="宋体"/>
        </w:rPr>
        <w:t>）</w:t>
      </w:r>
      <w:r>
        <w:rPr>
          <w:rFonts w:hAnsi="Times New Roman" w:eastAsia="宋体"/>
          <w:lang w:val="zh-CN"/>
        </w:rPr>
        <w:t>砂岩裂隙含水层</w:t>
      </w:r>
      <w:r>
        <w:rPr>
          <w:rFonts w:hAnsi="Times New Roman" w:eastAsia="宋体"/>
        </w:rPr>
        <w:t>下部为K</w:t>
      </w:r>
      <w:r>
        <w:rPr>
          <w:rFonts w:hAnsi="Times New Roman" w:eastAsia="宋体"/>
          <w:vertAlign w:val="subscript"/>
        </w:rPr>
        <w:t>6</w:t>
      </w:r>
      <w:r>
        <w:rPr>
          <w:rFonts w:hAnsi="Times New Roman" w:eastAsia="宋体"/>
        </w:rPr>
        <w:t>煤层（煤层与上部须家河组第六段还有20m左右基岩），K</w:t>
      </w:r>
      <w:r>
        <w:rPr>
          <w:rFonts w:hAnsi="Times New Roman" w:eastAsia="宋体"/>
          <w:vertAlign w:val="subscript"/>
        </w:rPr>
        <w:t>6</w:t>
      </w:r>
      <w:r>
        <w:rPr>
          <w:rFonts w:hAnsi="Times New Roman" w:eastAsia="宋体"/>
        </w:rPr>
        <w:t>、K</w:t>
      </w:r>
      <w:r>
        <w:rPr>
          <w:rFonts w:hAnsi="Times New Roman" w:eastAsia="宋体"/>
          <w:vertAlign w:val="subscript"/>
        </w:rPr>
        <w:t>5-1</w:t>
      </w:r>
      <w:r>
        <w:rPr>
          <w:rFonts w:hAnsi="Times New Roman" w:eastAsia="宋体"/>
        </w:rPr>
        <w:t>、K</w:t>
      </w:r>
      <w:r>
        <w:rPr>
          <w:rFonts w:hAnsi="Times New Roman" w:eastAsia="宋体"/>
          <w:vertAlign w:val="subscript"/>
        </w:rPr>
        <w:t>5</w:t>
      </w:r>
      <w:r>
        <w:rPr>
          <w:rFonts w:hAnsi="Times New Roman" w:eastAsia="宋体"/>
        </w:rPr>
        <w:t>煤层全层最大厚度为1.32m，计算得</w:t>
      </w:r>
      <w:r>
        <w:rPr>
          <w:rFonts w:hint="eastAsia" w:hAnsi="Times New Roman" w:eastAsia="宋体"/>
          <w:lang w:val="en-US" w:eastAsia="zh-CN"/>
        </w:rPr>
        <w:t>到</w:t>
      </w:r>
      <w:r>
        <w:rPr>
          <w:rFonts w:hAnsi="Times New Roman" w:eastAsia="宋体"/>
        </w:rPr>
        <w:t>导水裂缝带最大高度为43m，可见导水裂缝带最大高度进入三叠系须家河组第六段（T</w:t>
      </w:r>
      <w:r>
        <w:rPr>
          <w:rFonts w:hAnsi="Times New Roman" w:eastAsia="宋体"/>
          <w:vertAlign w:val="subscript"/>
        </w:rPr>
        <w:t>3</w:t>
      </w:r>
      <w:r>
        <w:rPr>
          <w:rFonts w:hAnsi="Times New Roman" w:eastAsia="宋体"/>
        </w:rPr>
        <w:t>xj</w:t>
      </w:r>
      <w:r>
        <w:rPr>
          <w:rFonts w:hAnsi="Times New Roman" w:eastAsia="宋体"/>
          <w:vertAlign w:val="superscript"/>
        </w:rPr>
        <w:t>6</w:t>
      </w:r>
      <w:r>
        <w:rPr>
          <w:rFonts w:hAnsi="Times New Roman" w:eastAsia="宋体"/>
        </w:rPr>
        <w:t>）</w:t>
      </w:r>
      <w:r>
        <w:rPr>
          <w:rFonts w:hAnsi="Times New Roman" w:eastAsia="宋体"/>
          <w:lang w:val="zh-CN"/>
        </w:rPr>
        <w:t>砂岩裂隙含水层</w:t>
      </w:r>
      <w:r>
        <w:rPr>
          <w:rFonts w:hAnsi="Times New Roman" w:eastAsia="宋体"/>
        </w:rPr>
        <w:t>岩组，因此，三叠系须家河组第六段（T</w:t>
      </w:r>
      <w:r>
        <w:rPr>
          <w:rFonts w:hAnsi="Times New Roman" w:eastAsia="宋体"/>
          <w:vertAlign w:val="subscript"/>
        </w:rPr>
        <w:t>3</w:t>
      </w:r>
      <w:r>
        <w:rPr>
          <w:rFonts w:hAnsi="Times New Roman" w:eastAsia="宋体"/>
        </w:rPr>
        <w:t>xj</w:t>
      </w:r>
      <w:r>
        <w:rPr>
          <w:rFonts w:hAnsi="Times New Roman" w:eastAsia="宋体"/>
          <w:vertAlign w:val="superscript"/>
        </w:rPr>
        <w:t>6</w:t>
      </w:r>
      <w:r>
        <w:rPr>
          <w:rFonts w:hAnsi="Times New Roman" w:eastAsia="宋体"/>
        </w:rPr>
        <w:t>）</w:t>
      </w:r>
      <w:r>
        <w:rPr>
          <w:rFonts w:hAnsi="Times New Roman" w:eastAsia="宋体"/>
          <w:lang w:val="zh-CN"/>
        </w:rPr>
        <w:t>砂岩裂隙含水层</w:t>
      </w:r>
      <w:r>
        <w:rPr>
          <w:rFonts w:hAnsi="Times New Roman" w:eastAsia="宋体"/>
        </w:rPr>
        <w:t>为煤矿直接充水含水层，对矿井充水有影响。</w:t>
      </w:r>
    </w:p>
    <w:p>
      <w:pPr>
        <w:spacing w:line="360" w:lineRule="auto"/>
        <w:ind w:firstLine="480"/>
        <w:rPr>
          <w:rFonts w:hAnsi="Times New Roman" w:eastAsia="宋体"/>
          <w:lang w:eastAsia="zh-CN"/>
        </w:rPr>
      </w:pPr>
      <w:r>
        <w:rPr>
          <w:rFonts w:hAnsi="Times New Roman" w:eastAsia="宋体"/>
        </w:rPr>
        <w:t>煤系地层间接上覆含水层自下至上依次为</w:t>
      </w:r>
      <w:r>
        <w:rPr>
          <w:rFonts w:hAnsi="Times New Roman" w:eastAsia="宋体"/>
          <w:lang w:val="zh-CN"/>
        </w:rPr>
        <w:t>侏罗系中下统自流井组（J</w:t>
      </w:r>
      <w:r>
        <w:rPr>
          <w:rFonts w:hAnsi="Times New Roman" w:eastAsia="宋体"/>
          <w:vertAlign w:val="subscript"/>
          <w:lang w:val="zh-CN"/>
        </w:rPr>
        <w:t>1-2</w:t>
      </w:r>
      <w:r>
        <w:rPr>
          <w:rFonts w:hAnsi="Times New Roman" w:eastAsia="宋体"/>
          <w:lang w:val="zh-CN"/>
        </w:rPr>
        <w:t>z）、侏罗系</w:t>
      </w:r>
      <w:r>
        <w:rPr>
          <w:rFonts w:hAnsi="Times New Roman" w:eastAsia="宋体"/>
        </w:rPr>
        <w:t>新田沟组</w:t>
      </w:r>
      <w:r>
        <w:rPr>
          <w:rFonts w:hAnsi="Times New Roman" w:eastAsia="宋体"/>
          <w:lang w:val="zh-CN"/>
        </w:rPr>
        <w:t>（J</w:t>
      </w:r>
      <w:r>
        <w:rPr>
          <w:rFonts w:hAnsi="Times New Roman" w:eastAsia="宋体"/>
          <w:vertAlign w:val="subscript"/>
          <w:lang w:val="zh-CN"/>
        </w:rPr>
        <w:t>2</w:t>
      </w:r>
      <w:r>
        <w:rPr>
          <w:rFonts w:hAnsi="Times New Roman" w:eastAsia="宋体"/>
        </w:rPr>
        <w:t>x</w:t>
      </w:r>
      <w:r>
        <w:rPr>
          <w:rFonts w:hAnsi="Times New Roman" w:eastAsia="宋体"/>
          <w:lang w:val="zh-CN"/>
        </w:rPr>
        <w:t>）地层中的泥岩风化裂隙含水层</w:t>
      </w:r>
      <w:r>
        <w:rPr>
          <w:rFonts w:hAnsi="Times New Roman" w:eastAsia="宋体"/>
        </w:rPr>
        <w:t>，其与煤系地层间有</w:t>
      </w:r>
      <w:r>
        <w:rPr>
          <w:rFonts w:hAnsi="Times New Roman" w:eastAsia="宋体"/>
          <w:lang w:val="zh-CN"/>
        </w:rPr>
        <w:t>侏罗系下统</w:t>
      </w:r>
      <w:r>
        <w:rPr>
          <w:rFonts w:hAnsi="Times New Roman" w:eastAsia="宋体"/>
        </w:rPr>
        <w:t>珍珠冲组</w:t>
      </w:r>
      <w:r>
        <w:rPr>
          <w:rFonts w:hAnsi="Times New Roman" w:eastAsia="宋体"/>
          <w:lang w:val="zh-CN"/>
        </w:rPr>
        <w:t>（</w:t>
      </w:r>
      <w:r>
        <w:rPr>
          <w:rFonts w:hAnsi="Times New Roman" w:eastAsia="宋体"/>
        </w:rPr>
        <w:t>J</w:t>
      </w:r>
      <w:r>
        <w:rPr>
          <w:rFonts w:hAnsi="Times New Roman" w:eastAsia="宋体"/>
          <w:vertAlign w:val="subscript"/>
        </w:rPr>
        <w:t>1</w:t>
      </w:r>
      <w:r>
        <w:rPr>
          <w:rFonts w:hAnsi="Times New Roman" w:eastAsia="宋体"/>
        </w:rPr>
        <w:t>zh</w:t>
      </w:r>
      <w:r>
        <w:rPr>
          <w:rFonts w:hAnsi="Times New Roman" w:eastAsia="宋体"/>
          <w:lang w:val="zh-CN"/>
        </w:rPr>
        <w:t>）砂岩</w:t>
      </w:r>
      <w:r>
        <w:rPr>
          <w:rFonts w:hAnsi="Times New Roman" w:eastAsia="宋体"/>
        </w:rPr>
        <w:t>相隔，且</w:t>
      </w:r>
      <w:r>
        <w:rPr>
          <w:rFonts w:hAnsi="Times New Roman" w:eastAsia="宋体"/>
          <w:lang w:val="zh-CN"/>
        </w:rPr>
        <w:t>侏罗系中下统自流井组（J</w:t>
      </w:r>
      <w:r>
        <w:rPr>
          <w:rFonts w:hAnsi="Times New Roman" w:eastAsia="宋体"/>
          <w:vertAlign w:val="subscript"/>
          <w:lang w:val="zh-CN"/>
        </w:rPr>
        <w:t>1-2</w:t>
      </w:r>
      <w:r>
        <w:rPr>
          <w:rFonts w:hAnsi="Times New Roman" w:eastAsia="宋体"/>
          <w:lang w:val="zh-CN"/>
        </w:rPr>
        <w:t>z）以泥岩为主</w:t>
      </w:r>
      <w:r>
        <w:rPr>
          <w:rFonts w:hAnsi="Times New Roman" w:eastAsia="宋体"/>
        </w:rPr>
        <w:t>。井田煤炭开采导水裂缝带会到达</w:t>
      </w:r>
      <w:r>
        <w:rPr>
          <w:rFonts w:hAnsi="Times New Roman" w:eastAsia="宋体"/>
          <w:lang w:val="zh-CN"/>
        </w:rPr>
        <w:t>侏罗系下统</w:t>
      </w:r>
      <w:r>
        <w:rPr>
          <w:rFonts w:hAnsi="Times New Roman" w:eastAsia="宋体"/>
        </w:rPr>
        <w:t>珍珠冲组</w:t>
      </w:r>
      <w:r>
        <w:rPr>
          <w:rFonts w:hAnsi="Times New Roman" w:eastAsia="宋体"/>
          <w:lang w:val="zh-CN"/>
        </w:rPr>
        <w:t>（</w:t>
      </w:r>
      <w:r>
        <w:rPr>
          <w:rFonts w:hAnsi="Times New Roman" w:eastAsia="宋体"/>
        </w:rPr>
        <w:t>J</w:t>
      </w:r>
      <w:r>
        <w:rPr>
          <w:rFonts w:hAnsi="Times New Roman" w:eastAsia="宋体"/>
          <w:vertAlign w:val="subscript"/>
        </w:rPr>
        <w:t>1</w:t>
      </w:r>
      <w:r>
        <w:rPr>
          <w:rFonts w:hAnsi="Times New Roman" w:eastAsia="宋体"/>
        </w:rPr>
        <w:t>zh</w:t>
      </w:r>
      <w:r>
        <w:rPr>
          <w:rFonts w:hAnsi="Times New Roman" w:eastAsia="宋体"/>
          <w:lang w:val="zh-CN"/>
        </w:rPr>
        <w:t>）砂岩</w:t>
      </w:r>
      <w:r>
        <w:rPr>
          <w:rFonts w:hAnsi="Times New Roman" w:eastAsia="宋体"/>
        </w:rPr>
        <w:t>含水层，不会到达其上的</w:t>
      </w:r>
      <w:r>
        <w:rPr>
          <w:rFonts w:hAnsi="Times New Roman" w:eastAsia="宋体"/>
          <w:lang w:val="zh-CN"/>
        </w:rPr>
        <w:t>侏罗系中下统自流井组（J</w:t>
      </w:r>
      <w:r>
        <w:rPr>
          <w:rFonts w:hAnsi="Times New Roman" w:eastAsia="宋体"/>
          <w:vertAlign w:val="subscript"/>
          <w:lang w:val="zh-CN"/>
        </w:rPr>
        <w:t>1-2</w:t>
      </w:r>
      <w:r>
        <w:rPr>
          <w:rFonts w:hAnsi="Times New Roman" w:eastAsia="宋体"/>
          <w:lang w:val="zh-CN"/>
        </w:rPr>
        <w:t>z）、</w:t>
      </w:r>
      <w:r>
        <w:rPr>
          <w:rFonts w:hAnsi="Times New Roman" w:eastAsia="宋体"/>
        </w:rPr>
        <w:t>新田沟组</w:t>
      </w:r>
      <w:r>
        <w:rPr>
          <w:rFonts w:hAnsi="Times New Roman" w:eastAsia="宋体"/>
          <w:lang w:val="zh-CN"/>
        </w:rPr>
        <w:t>（J</w:t>
      </w:r>
      <w:r>
        <w:rPr>
          <w:rFonts w:hAnsi="Times New Roman" w:eastAsia="宋体"/>
          <w:vertAlign w:val="subscript"/>
          <w:lang w:val="zh-CN"/>
        </w:rPr>
        <w:t>2</w:t>
      </w:r>
      <w:r>
        <w:rPr>
          <w:rFonts w:hAnsi="Times New Roman" w:eastAsia="宋体"/>
        </w:rPr>
        <w:t>x</w:t>
      </w:r>
      <w:r>
        <w:rPr>
          <w:rFonts w:hAnsi="Times New Roman" w:eastAsia="宋体"/>
          <w:lang w:val="zh-CN"/>
        </w:rPr>
        <w:t>）</w:t>
      </w:r>
      <w:r>
        <w:rPr>
          <w:rFonts w:hAnsi="Times New Roman" w:eastAsia="宋体"/>
        </w:rPr>
        <w:t>等风化裂隙弱含水层，这些含水层的富水性不会受煤炭开采产生的导水裂缝带导通影响，即煤炭开采对煤系地层间接上覆含水层的富水性影响很小。</w:t>
      </w:r>
    </w:p>
    <w:p>
      <w:pPr>
        <w:spacing w:line="360" w:lineRule="auto"/>
        <w:ind w:firstLine="480"/>
        <w:rPr>
          <w:rFonts w:hAnsi="Times New Roman" w:eastAsia="宋体"/>
        </w:rPr>
      </w:pPr>
      <w:r>
        <w:rPr>
          <w:rFonts w:hint="eastAsia" w:hAnsi="Times New Roman" w:eastAsia="宋体"/>
        </w:rPr>
        <w:t>同时根据初设，项目按照《建筑物、水体、铁路及主要井巷煤柱留设与压煤开采规范》留设防水煤柱，会减少对地下水影响。</w:t>
      </w:r>
    </w:p>
    <w:p>
      <w:pPr>
        <w:pStyle w:val="14"/>
        <w:spacing w:line="240" w:lineRule="auto"/>
        <w:jc w:val="center"/>
      </w:pPr>
      <w:r>
        <w:drawing>
          <wp:inline distT="0" distB="0" distL="114300" distR="114300">
            <wp:extent cx="4910455" cy="2326005"/>
            <wp:effectExtent l="0" t="0" r="4445" b="0"/>
            <wp:docPr id="260"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56"/>
                    <pic:cNvPicPr>
                      <a:picLocks noChangeAspect="1"/>
                    </pic:cNvPicPr>
                  </pic:nvPicPr>
                  <pic:blipFill>
                    <a:blip r:embed="rId215"/>
                    <a:stretch>
                      <a:fillRect/>
                    </a:stretch>
                  </pic:blipFill>
                  <pic:spPr>
                    <a:xfrm>
                      <a:off x="0" y="0"/>
                      <a:ext cx="4916893" cy="2329561"/>
                    </a:xfrm>
                    <a:prstGeom prst="rect">
                      <a:avLst/>
                    </a:prstGeom>
                    <a:noFill/>
                    <a:ln>
                      <a:noFill/>
                    </a:ln>
                  </pic:spPr>
                </pic:pic>
              </a:graphicData>
            </a:graphic>
          </wp:inline>
        </w:drawing>
      </w:r>
    </w:p>
    <w:p>
      <w:pPr>
        <w:jc w:val="center"/>
        <w:rPr>
          <w:rFonts w:hAnsi="Times New Roman" w:eastAsia="宋体"/>
          <w:b/>
          <w:bCs/>
          <w:sz w:val="21"/>
          <w:szCs w:val="21"/>
          <w:lang w:eastAsia="zh-CN"/>
        </w:rPr>
      </w:pPr>
      <w:r>
        <w:rPr>
          <w:rFonts w:hint="eastAsia" w:hAnsi="Times New Roman" w:eastAsia="宋体"/>
          <w:b/>
          <w:bCs/>
          <w:sz w:val="21"/>
          <w:szCs w:val="21"/>
          <w:lang w:eastAsia="zh-CN"/>
        </w:rPr>
        <w:t>图5.4-11  矿山开采对含水层影响分析剖面图（Ⅱ-Ⅱ</w:t>
      </w:r>
      <w:r>
        <w:rPr>
          <w:rFonts w:hint="eastAsia" w:hAnsi="Times New Roman" w:eastAsia="宋体"/>
          <w:b/>
          <w:bCs/>
          <w:sz w:val="21"/>
          <w:szCs w:val="21"/>
          <w:lang w:val="en-US" w:eastAsia="zh-CN"/>
        </w:rPr>
        <w:t>′</w:t>
      </w:r>
      <w:r>
        <w:rPr>
          <w:rFonts w:hint="eastAsia" w:hAnsi="Times New Roman" w:eastAsia="宋体"/>
          <w:b/>
          <w:bCs/>
          <w:sz w:val="21"/>
          <w:szCs w:val="21"/>
          <w:lang w:eastAsia="zh-CN"/>
        </w:rPr>
        <w:t>）</w:t>
      </w:r>
    </w:p>
    <w:p>
      <w:pPr>
        <w:pStyle w:val="52"/>
        <w:numPr>
          <w:ilvl w:val="1"/>
          <w:numId w:val="0"/>
        </w:numPr>
        <w:jc w:val="center"/>
      </w:pPr>
      <w:r>
        <w:drawing>
          <wp:inline distT="0" distB="0" distL="114300" distR="114300">
            <wp:extent cx="5396865" cy="3145790"/>
            <wp:effectExtent l="0" t="0" r="13335" b="16510"/>
            <wp:docPr id="259"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57"/>
                    <pic:cNvPicPr>
                      <a:picLocks noChangeAspect="1"/>
                    </pic:cNvPicPr>
                  </pic:nvPicPr>
                  <pic:blipFill>
                    <a:blip r:embed="rId216"/>
                    <a:stretch>
                      <a:fillRect/>
                    </a:stretch>
                  </pic:blipFill>
                  <pic:spPr>
                    <a:xfrm>
                      <a:off x="0" y="0"/>
                      <a:ext cx="5396865" cy="3145790"/>
                    </a:xfrm>
                    <a:prstGeom prst="rect">
                      <a:avLst/>
                    </a:prstGeom>
                    <a:noFill/>
                    <a:ln>
                      <a:noFill/>
                    </a:ln>
                  </pic:spPr>
                </pic:pic>
              </a:graphicData>
            </a:graphic>
          </wp:inline>
        </w:drawing>
      </w:r>
    </w:p>
    <w:p>
      <w:pPr>
        <w:jc w:val="center"/>
        <w:rPr>
          <w:rFonts w:hAnsi="Times New Roman" w:eastAsia="宋体"/>
          <w:b/>
          <w:bCs/>
          <w:sz w:val="21"/>
          <w:szCs w:val="21"/>
          <w:lang w:eastAsia="zh-CN"/>
        </w:rPr>
      </w:pPr>
      <w:r>
        <w:rPr>
          <w:rFonts w:hint="eastAsia" w:hAnsi="Times New Roman" w:eastAsia="宋体"/>
          <w:b/>
          <w:bCs/>
          <w:sz w:val="21"/>
          <w:szCs w:val="21"/>
          <w:lang w:eastAsia="zh-CN"/>
        </w:rPr>
        <w:t>图5.4-12  矿山开采对含水层影响分析剖面图（C-C</w:t>
      </w:r>
      <w:r>
        <w:rPr>
          <w:rFonts w:hint="eastAsia" w:hAnsi="Times New Roman" w:eastAsia="宋体"/>
          <w:b/>
          <w:bCs/>
          <w:sz w:val="21"/>
          <w:szCs w:val="21"/>
          <w:lang w:val="en-US" w:eastAsia="zh-CN"/>
        </w:rPr>
        <w:t>′</w:t>
      </w:r>
      <w:r>
        <w:rPr>
          <w:rFonts w:hint="eastAsia" w:hAnsi="Times New Roman" w:eastAsia="宋体"/>
          <w:b/>
          <w:bCs/>
          <w:sz w:val="21"/>
          <w:szCs w:val="21"/>
          <w:lang w:eastAsia="zh-CN"/>
        </w:rPr>
        <w:t>）</w:t>
      </w:r>
    </w:p>
    <w:p>
      <w:pPr>
        <w:spacing w:line="360" w:lineRule="auto"/>
        <w:jc w:val="center"/>
        <w:rPr>
          <w:rFonts w:hAnsi="Times New Roman" w:eastAsia="宋体"/>
        </w:rPr>
      </w:pPr>
      <w:r>
        <w:drawing>
          <wp:inline distT="0" distB="0" distL="114300" distR="114300">
            <wp:extent cx="5885815" cy="3158490"/>
            <wp:effectExtent l="0" t="0" r="635" b="3810"/>
            <wp:docPr id="265"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58"/>
                    <pic:cNvPicPr>
                      <a:picLocks noChangeAspect="1"/>
                    </pic:cNvPicPr>
                  </pic:nvPicPr>
                  <pic:blipFill>
                    <a:blip r:embed="rId217"/>
                    <a:stretch>
                      <a:fillRect/>
                    </a:stretch>
                  </pic:blipFill>
                  <pic:spPr>
                    <a:xfrm>
                      <a:off x="0" y="0"/>
                      <a:ext cx="5885815" cy="3158490"/>
                    </a:xfrm>
                    <a:prstGeom prst="rect">
                      <a:avLst/>
                    </a:prstGeom>
                    <a:noFill/>
                    <a:ln>
                      <a:noFill/>
                    </a:ln>
                  </pic:spPr>
                </pic:pic>
              </a:graphicData>
            </a:graphic>
          </wp:inline>
        </w:drawing>
      </w:r>
    </w:p>
    <w:p>
      <w:pPr>
        <w:spacing w:line="360" w:lineRule="auto"/>
        <w:jc w:val="center"/>
        <w:rPr>
          <w:rFonts w:hAnsi="Times New Roman" w:eastAsia="宋体"/>
          <w:sz w:val="21"/>
          <w:szCs w:val="21"/>
        </w:rPr>
      </w:pPr>
      <w:r>
        <w:rPr>
          <w:rFonts w:hint="eastAsia" w:hAnsi="Times New Roman" w:eastAsia="宋体"/>
          <w:b/>
          <w:bCs/>
          <w:sz w:val="21"/>
          <w:szCs w:val="21"/>
          <w:lang w:eastAsia="zh-CN"/>
        </w:rPr>
        <w:t>图5.4-13  矿山开采对含水层影响分析剖面图（K-K</w:t>
      </w:r>
      <w:r>
        <w:rPr>
          <w:rFonts w:hint="eastAsia" w:hAnsi="Times New Roman" w:eastAsia="宋体"/>
          <w:b/>
          <w:bCs/>
          <w:sz w:val="21"/>
          <w:szCs w:val="21"/>
          <w:lang w:val="en-US" w:eastAsia="zh-CN"/>
        </w:rPr>
        <w:t>′</w:t>
      </w:r>
      <w:r>
        <w:rPr>
          <w:rFonts w:hint="eastAsia" w:hAnsi="Times New Roman" w:eastAsia="宋体"/>
          <w:b/>
          <w:bCs/>
          <w:sz w:val="21"/>
          <w:szCs w:val="21"/>
          <w:lang w:eastAsia="zh-CN"/>
        </w:rPr>
        <w:t>）</w:t>
      </w:r>
    </w:p>
    <w:p>
      <w:pPr>
        <w:spacing w:line="360" w:lineRule="auto"/>
        <w:ind w:firstLine="480"/>
        <w:rPr>
          <w:rFonts w:hAnsi="Times New Roman" w:eastAsia="宋体"/>
          <w:b/>
          <w:bCs/>
          <w:szCs w:val="22"/>
        </w:rPr>
      </w:pPr>
      <w:r>
        <w:rPr>
          <w:rFonts w:hint="eastAsia" w:hAnsi="Times New Roman" w:eastAsia="宋体"/>
          <w:b/>
          <w:bCs/>
          <w:szCs w:val="22"/>
        </w:rPr>
        <w:t>（</w:t>
      </w:r>
      <w:r>
        <w:rPr>
          <w:rFonts w:hAnsi="Times New Roman" w:eastAsia="宋体"/>
          <w:b/>
          <w:bCs/>
          <w:szCs w:val="22"/>
        </w:rPr>
        <w:t>3</w:t>
      </w:r>
      <w:r>
        <w:rPr>
          <w:rFonts w:hint="eastAsia" w:hAnsi="Times New Roman" w:eastAsia="宋体"/>
          <w:b/>
          <w:bCs/>
          <w:szCs w:val="22"/>
        </w:rPr>
        <w:t>）对煤系含水层的影响</w:t>
      </w:r>
    </w:p>
    <w:p>
      <w:pPr>
        <w:spacing w:line="360" w:lineRule="auto"/>
        <w:ind w:firstLine="480"/>
        <w:rPr>
          <w:rFonts w:hAnsi="Times New Roman" w:eastAsia="宋体"/>
          <w:szCs w:val="22"/>
        </w:rPr>
      </w:pPr>
      <w:r>
        <w:rPr>
          <w:rFonts w:hint="eastAsia" w:hAnsi="Times New Roman" w:eastAsia="宋体"/>
          <w:szCs w:val="22"/>
        </w:rPr>
        <w:t>根据资源储量核实报告，煤层主要分布于三叠系上统须家河组第五段，由泥岩、泥质粉砂岩、炭质泥岩、细砂岩及煤层等组成，其中薄层细砂岩含裂隙水，但含水性弱，基本为相对隔水层，故煤系地层中裂隙水水量较小，为非主要含水层。</w:t>
      </w:r>
    </w:p>
    <w:p>
      <w:pPr>
        <w:spacing w:line="360" w:lineRule="auto"/>
        <w:ind w:firstLine="480"/>
        <w:rPr>
          <w:rFonts w:hAnsi="Times New Roman" w:eastAsia="宋体"/>
          <w:szCs w:val="22"/>
        </w:rPr>
      </w:pPr>
      <w:r>
        <w:rPr>
          <w:rFonts w:hint="eastAsia" w:hAnsi="Times New Roman" w:eastAsia="宋体"/>
          <w:szCs w:val="22"/>
        </w:rPr>
        <w:t>煤炭开采将全部导通三叠系上统须家河组第五段、第七段含水层，使影响范围内的该含水层地下水不再向下游径流，而是成为矿井充水水源，最终以矿井水的形式排出。随着煤炭开采的推进，井田开采范围内的煤系地层须家河组第五段含水层会被逐渐疏干，四周影响范围内的水位有所下降。</w:t>
      </w:r>
    </w:p>
    <w:p>
      <w:pPr>
        <w:spacing w:line="360" w:lineRule="auto"/>
        <w:ind w:firstLine="480"/>
        <w:rPr>
          <w:rFonts w:hAnsi="Times New Roman" w:eastAsia="宋体"/>
        </w:rPr>
      </w:pPr>
      <w:r>
        <w:rPr>
          <w:rFonts w:hAnsi="Times New Roman" w:eastAsia="宋体"/>
        </w:rPr>
        <w:t>煤矿区内主要砂岩含水层段分别有侏罗系下统珍珠冲组（J</w:t>
      </w:r>
      <w:r>
        <w:rPr>
          <w:rFonts w:hAnsi="Times New Roman" w:eastAsia="宋体"/>
          <w:vertAlign w:val="subscript"/>
        </w:rPr>
        <w:t>1</w:t>
      </w:r>
      <w:r>
        <w:rPr>
          <w:rFonts w:hAnsi="Times New Roman" w:eastAsia="宋体"/>
        </w:rPr>
        <w:t>zh）含水层、须家河组第六段（T</w:t>
      </w:r>
      <w:r>
        <w:rPr>
          <w:rFonts w:hAnsi="Times New Roman" w:eastAsia="宋体"/>
          <w:vertAlign w:val="subscript"/>
        </w:rPr>
        <w:t>3</w:t>
      </w:r>
      <w:r>
        <w:rPr>
          <w:rFonts w:hAnsi="Times New Roman" w:eastAsia="宋体"/>
        </w:rPr>
        <w:t>xj</w:t>
      </w:r>
      <w:r>
        <w:rPr>
          <w:rFonts w:hAnsi="Times New Roman" w:eastAsia="宋体"/>
          <w:vertAlign w:val="superscript"/>
        </w:rPr>
        <w:t>6</w:t>
      </w:r>
      <w:r>
        <w:rPr>
          <w:rFonts w:hAnsi="Times New Roman" w:eastAsia="宋体"/>
        </w:rPr>
        <w:t>）含水层、须家河组第四段（T</w:t>
      </w:r>
      <w:r>
        <w:rPr>
          <w:rFonts w:hAnsi="Times New Roman" w:eastAsia="宋体"/>
          <w:vertAlign w:val="subscript"/>
        </w:rPr>
        <w:t>3</w:t>
      </w:r>
      <w:r>
        <w:rPr>
          <w:rFonts w:hAnsi="Times New Roman" w:eastAsia="宋体"/>
        </w:rPr>
        <w:t>xj</w:t>
      </w:r>
      <w:r>
        <w:rPr>
          <w:rFonts w:hAnsi="Times New Roman" w:eastAsia="宋体"/>
          <w:vertAlign w:val="superscript"/>
        </w:rPr>
        <w:t>4</w:t>
      </w:r>
      <w:r>
        <w:rPr>
          <w:rFonts w:hAnsi="Times New Roman" w:eastAsia="宋体"/>
        </w:rPr>
        <w:t>）含水层、须家河组第二段（T</w:t>
      </w:r>
      <w:r>
        <w:rPr>
          <w:rFonts w:hAnsi="Times New Roman" w:eastAsia="宋体"/>
          <w:vertAlign w:val="subscript"/>
        </w:rPr>
        <w:t>3</w:t>
      </w:r>
      <w:r>
        <w:rPr>
          <w:rFonts w:hAnsi="Times New Roman" w:eastAsia="宋体"/>
        </w:rPr>
        <w:t>xj</w:t>
      </w:r>
      <w:r>
        <w:rPr>
          <w:rFonts w:hAnsi="Times New Roman" w:eastAsia="宋体"/>
          <w:vertAlign w:val="superscript"/>
        </w:rPr>
        <w:t>2</w:t>
      </w:r>
      <w:r>
        <w:rPr>
          <w:rFonts w:hAnsi="Times New Roman" w:eastAsia="宋体"/>
        </w:rPr>
        <w:t>）含水层、三叠系中统雷口坡组（T</w:t>
      </w:r>
      <w:r>
        <w:rPr>
          <w:rFonts w:hAnsi="Times New Roman" w:eastAsia="宋体"/>
          <w:vertAlign w:val="subscript"/>
        </w:rPr>
        <w:t>2</w:t>
      </w:r>
      <w:r>
        <w:rPr>
          <w:rFonts w:hAnsi="Times New Roman" w:eastAsia="宋体"/>
        </w:rPr>
        <w:t>l）含水层。这些砂岩段中，珍珠冲组底部砂岩之下有须家河组第七段第三亚段厚约8m的泥岩隔水层相隔，对须家河组第七段第一亚段各开采煤层一般不会造成充水影响。其余砂岩段之间均有较稳定的隔水性能良好的粉砂质泥岩和泥岩，一般不发生水力联系。同时砂岩含水层的富水性受充水空间的控制，一般随深度的增加裂隙减少，富水性相对减弱。</w:t>
      </w:r>
    </w:p>
    <w:p>
      <w:pPr>
        <w:spacing w:line="360" w:lineRule="auto"/>
        <w:ind w:firstLine="480"/>
        <w:rPr>
          <w:rFonts w:hAnsi="Times New Roman" w:eastAsia="宋体"/>
        </w:rPr>
      </w:pPr>
      <w:r>
        <w:rPr>
          <w:rFonts w:hAnsi="Times New Roman" w:eastAsia="宋体"/>
        </w:rPr>
        <w:t>虽然顶板砂岩裂隙含水层在煤层开采的导水裂缝带内，但由于各含水层富水性弱，且随着开采深度增加，地下水位跟随下降，含水层无承压性质，对开采影响很小。</w:t>
      </w:r>
    </w:p>
    <w:p>
      <w:pPr>
        <w:pStyle w:val="14"/>
        <w:tabs>
          <w:tab w:val="left" w:pos="3718"/>
        </w:tabs>
        <w:overflowPunct w:val="0"/>
        <w:spacing w:line="360" w:lineRule="auto"/>
        <w:jc w:val="center"/>
        <w:rPr>
          <w:rFonts w:ascii="Times New Roman" w:hAnsi="Times New Roman"/>
          <w:b/>
          <w:bCs w:val="0"/>
          <w:spacing w:val="-2"/>
          <w:sz w:val="21"/>
          <w:szCs w:val="21"/>
        </w:rPr>
      </w:pPr>
      <w:r>
        <w:rPr>
          <w:rFonts w:ascii="Times New Roman" w:hAnsi="Times New Roman"/>
          <w:b/>
          <w:bCs w:val="0"/>
          <w:spacing w:val="-2"/>
          <w:sz w:val="21"/>
          <w:szCs w:val="21"/>
        </w:rPr>
        <w:t>表5.4-</w:t>
      </w:r>
      <w:r>
        <w:rPr>
          <w:rFonts w:hint="eastAsia" w:ascii="Times New Roman" w:hAnsi="Times New Roman"/>
          <w:b/>
          <w:bCs w:val="0"/>
          <w:spacing w:val="-2"/>
          <w:sz w:val="21"/>
          <w:szCs w:val="21"/>
          <w:lang w:eastAsia="zh-CN"/>
        </w:rPr>
        <w:t>9</w:t>
      </w:r>
      <w:r>
        <w:rPr>
          <w:rFonts w:ascii="Times New Roman" w:hAnsi="Times New Roman"/>
          <w:b/>
          <w:bCs w:val="0"/>
          <w:spacing w:val="-2"/>
          <w:sz w:val="21"/>
          <w:szCs w:val="21"/>
        </w:rPr>
        <w:t xml:space="preserve">  各每层顶底板岩性关系表</w:t>
      </w:r>
    </w:p>
    <w:tbl>
      <w:tblPr>
        <w:tblStyle w:val="33"/>
        <w:tblW w:w="86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669"/>
        <w:gridCol w:w="1226"/>
        <w:gridCol w:w="1276"/>
        <w:gridCol w:w="567"/>
        <w:gridCol w:w="567"/>
        <w:gridCol w:w="1134"/>
        <w:gridCol w:w="1134"/>
        <w:gridCol w:w="1134"/>
        <w:gridCol w:w="9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0" w:hRule="atLeast"/>
          <w:jc w:val="center"/>
        </w:trPr>
        <w:tc>
          <w:tcPr>
            <w:tcW w:w="669" w:type="dxa"/>
            <w:vMerge w:val="restart"/>
            <w:vAlign w:val="center"/>
          </w:tcPr>
          <w:p>
            <w:pPr>
              <w:pStyle w:val="62"/>
              <w:keepNext w:val="0"/>
              <w:keepLines w:val="0"/>
              <w:suppressLineNumbers w:val="0"/>
              <w:spacing w:before="0" w:beforeAutospacing="0" w:after="0" w:afterAutospacing="0"/>
              <w:ind w:left="0" w:right="0"/>
              <w:rPr>
                <w:rFonts w:hint="eastAsia" w:hAnsi="Times New Roman" w:eastAsia="宋体"/>
                <w:b/>
                <w:bCs/>
                <w:kern w:val="2"/>
                <w:szCs w:val="21"/>
              </w:rPr>
            </w:pPr>
            <w:r>
              <w:rPr>
                <w:rFonts w:hint="eastAsia" w:hAnsi="Times New Roman" w:eastAsia="宋体"/>
                <w:b/>
                <w:bCs/>
                <w:kern w:val="2"/>
                <w:szCs w:val="21"/>
              </w:rPr>
              <w:t>煤层编号</w:t>
            </w:r>
          </w:p>
        </w:tc>
        <w:tc>
          <w:tcPr>
            <w:tcW w:w="1226" w:type="dxa"/>
            <w:vAlign w:val="center"/>
          </w:tcPr>
          <w:p>
            <w:pPr>
              <w:pStyle w:val="62"/>
              <w:keepNext w:val="0"/>
              <w:keepLines w:val="0"/>
              <w:suppressLineNumbers w:val="0"/>
              <w:spacing w:before="0" w:beforeAutospacing="0" w:after="0" w:afterAutospacing="0"/>
              <w:ind w:left="0" w:right="0"/>
              <w:rPr>
                <w:rFonts w:hint="eastAsia" w:hAnsi="Times New Roman" w:eastAsia="宋体"/>
                <w:b/>
                <w:bCs/>
                <w:kern w:val="2"/>
                <w:szCs w:val="21"/>
                <w:lang w:eastAsia="zh-CN"/>
              </w:rPr>
            </w:pPr>
            <w:r>
              <w:rPr>
                <w:rFonts w:hint="eastAsia" w:hAnsi="Times New Roman" w:eastAsia="宋体"/>
                <w:b/>
                <w:bCs/>
                <w:kern w:val="2"/>
                <w:szCs w:val="21"/>
              </w:rPr>
              <w:t>煤层厚度</w:t>
            </w:r>
          </w:p>
          <w:p>
            <w:pPr>
              <w:pStyle w:val="62"/>
              <w:keepNext w:val="0"/>
              <w:keepLines w:val="0"/>
              <w:suppressLineNumbers w:val="0"/>
              <w:spacing w:before="0" w:beforeAutospacing="0" w:after="0" w:afterAutospacing="0"/>
              <w:ind w:left="0" w:right="0"/>
              <w:rPr>
                <w:rFonts w:hint="eastAsia" w:hAnsi="Times New Roman" w:eastAsia="宋体"/>
                <w:b/>
                <w:bCs/>
                <w:kern w:val="2"/>
                <w:szCs w:val="21"/>
                <w:u w:val="single"/>
              </w:rPr>
            </w:pPr>
            <w:r>
              <w:rPr>
                <w:rFonts w:hint="eastAsia" w:hAnsi="Times New Roman" w:eastAsia="宋体"/>
                <w:b/>
                <w:bCs/>
                <w:kern w:val="2"/>
                <w:szCs w:val="21"/>
              </w:rPr>
              <w:t>（m）</w:t>
            </w:r>
          </w:p>
        </w:tc>
        <w:tc>
          <w:tcPr>
            <w:tcW w:w="1276" w:type="dxa"/>
            <w:vAlign w:val="center"/>
          </w:tcPr>
          <w:p>
            <w:pPr>
              <w:pStyle w:val="62"/>
              <w:keepNext w:val="0"/>
              <w:keepLines w:val="0"/>
              <w:suppressLineNumbers w:val="0"/>
              <w:spacing w:before="0" w:beforeAutospacing="0" w:after="0" w:afterAutospacing="0"/>
              <w:ind w:left="0" w:right="0"/>
              <w:rPr>
                <w:rFonts w:hint="eastAsia" w:hAnsi="Times New Roman" w:eastAsia="宋体"/>
                <w:b/>
                <w:bCs/>
                <w:kern w:val="2"/>
                <w:szCs w:val="21"/>
              </w:rPr>
            </w:pPr>
            <w:r>
              <w:rPr>
                <w:rFonts w:hint="eastAsia" w:hAnsi="Times New Roman" w:eastAsia="宋体"/>
                <w:b/>
                <w:bCs/>
                <w:kern w:val="2"/>
                <w:szCs w:val="21"/>
              </w:rPr>
              <w:t>层间距</w:t>
            </w:r>
          </w:p>
          <w:p>
            <w:pPr>
              <w:pStyle w:val="62"/>
              <w:keepNext w:val="0"/>
              <w:keepLines w:val="0"/>
              <w:suppressLineNumbers w:val="0"/>
              <w:spacing w:before="0" w:beforeAutospacing="0" w:after="0" w:afterAutospacing="0"/>
              <w:ind w:left="0" w:right="0"/>
              <w:rPr>
                <w:rFonts w:hint="eastAsia" w:hAnsi="Times New Roman" w:eastAsia="宋体"/>
                <w:b/>
                <w:bCs/>
                <w:kern w:val="2"/>
                <w:szCs w:val="21"/>
              </w:rPr>
            </w:pPr>
            <w:r>
              <w:rPr>
                <w:rFonts w:hint="eastAsia" w:hAnsi="Times New Roman" w:eastAsia="宋体"/>
                <w:b/>
                <w:bCs/>
                <w:kern w:val="2"/>
                <w:szCs w:val="21"/>
              </w:rPr>
              <w:t>（m）</w:t>
            </w:r>
          </w:p>
        </w:tc>
        <w:tc>
          <w:tcPr>
            <w:tcW w:w="1134" w:type="dxa"/>
            <w:gridSpan w:val="2"/>
            <w:vAlign w:val="center"/>
          </w:tcPr>
          <w:p>
            <w:pPr>
              <w:pStyle w:val="62"/>
              <w:keepNext w:val="0"/>
              <w:keepLines w:val="0"/>
              <w:suppressLineNumbers w:val="0"/>
              <w:spacing w:before="0" w:beforeAutospacing="0" w:after="0" w:afterAutospacing="0"/>
              <w:ind w:left="0" w:right="0"/>
              <w:rPr>
                <w:rFonts w:hint="eastAsia" w:hAnsi="Times New Roman" w:eastAsia="宋体"/>
                <w:b/>
                <w:bCs/>
                <w:kern w:val="2"/>
                <w:szCs w:val="21"/>
              </w:rPr>
            </w:pPr>
            <w:r>
              <w:rPr>
                <w:rFonts w:hint="eastAsia" w:hAnsi="Times New Roman" w:eastAsia="宋体"/>
                <w:b/>
                <w:bCs/>
                <w:kern w:val="2"/>
                <w:szCs w:val="21"/>
              </w:rPr>
              <w:t>煤层结构</w:t>
            </w:r>
          </w:p>
        </w:tc>
        <w:tc>
          <w:tcPr>
            <w:tcW w:w="2268" w:type="dxa"/>
            <w:gridSpan w:val="2"/>
            <w:vAlign w:val="center"/>
          </w:tcPr>
          <w:p>
            <w:pPr>
              <w:pStyle w:val="62"/>
              <w:keepNext w:val="0"/>
              <w:keepLines w:val="0"/>
              <w:suppressLineNumbers w:val="0"/>
              <w:spacing w:before="0" w:beforeAutospacing="0" w:after="0" w:afterAutospacing="0"/>
              <w:ind w:left="0" w:right="0"/>
              <w:rPr>
                <w:rFonts w:hint="eastAsia" w:hAnsi="Times New Roman" w:eastAsia="宋体"/>
                <w:b/>
                <w:bCs/>
                <w:kern w:val="2"/>
                <w:szCs w:val="21"/>
              </w:rPr>
            </w:pPr>
            <w:r>
              <w:rPr>
                <w:rFonts w:hint="eastAsia" w:hAnsi="Times New Roman" w:eastAsia="宋体"/>
                <w:b/>
                <w:bCs/>
                <w:kern w:val="2"/>
                <w:szCs w:val="21"/>
              </w:rPr>
              <w:t>顶底板岩性</w:t>
            </w:r>
          </w:p>
        </w:tc>
        <w:tc>
          <w:tcPr>
            <w:tcW w:w="1134" w:type="dxa"/>
            <w:vAlign w:val="center"/>
          </w:tcPr>
          <w:p>
            <w:pPr>
              <w:pStyle w:val="62"/>
              <w:keepNext w:val="0"/>
              <w:keepLines w:val="0"/>
              <w:suppressLineNumbers w:val="0"/>
              <w:spacing w:before="0" w:beforeAutospacing="0" w:after="0" w:afterAutospacing="0"/>
              <w:ind w:left="0" w:right="0"/>
              <w:rPr>
                <w:rFonts w:hint="eastAsia" w:hAnsi="Times New Roman" w:eastAsia="宋体"/>
                <w:b/>
                <w:bCs/>
                <w:kern w:val="2"/>
                <w:szCs w:val="21"/>
              </w:rPr>
            </w:pPr>
            <w:r>
              <w:rPr>
                <w:rFonts w:hint="eastAsia" w:hAnsi="Times New Roman" w:eastAsia="宋体"/>
                <w:b/>
                <w:bCs/>
                <w:kern w:val="2"/>
                <w:szCs w:val="21"/>
              </w:rPr>
              <w:t>稳定性</w:t>
            </w:r>
          </w:p>
          <w:p>
            <w:pPr>
              <w:pStyle w:val="62"/>
              <w:keepNext w:val="0"/>
              <w:keepLines w:val="0"/>
              <w:suppressLineNumbers w:val="0"/>
              <w:spacing w:before="0" w:beforeAutospacing="0" w:after="0" w:afterAutospacing="0"/>
              <w:ind w:left="0" w:right="0"/>
              <w:rPr>
                <w:rFonts w:hint="eastAsia" w:hAnsi="Times New Roman" w:eastAsia="宋体"/>
                <w:b/>
                <w:bCs/>
                <w:kern w:val="2"/>
                <w:szCs w:val="21"/>
              </w:rPr>
            </w:pPr>
            <w:r>
              <w:rPr>
                <w:rFonts w:hint="eastAsia" w:hAnsi="Times New Roman" w:eastAsia="宋体"/>
                <w:b/>
                <w:bCs/>
                <w:kern w:val="2"/>
                <w:szCs w:val="21"/>
              </w:rPr>
              <w:t>及可采性</w:t>
            </w:r>
          </w:p>
        </w:tc>
        <w:tc>
          <w:tcPr>
            <w:tcW w:w="900" w:type="dxa"/>
            <w:vAlign w:val="center"/>
          </w:tcPr>
          <w:p>
            <w:pPr>
              <w:pStyle w:val="62"/>
              <w:keepNext w:val="0"/>
              <w:keepLines w:val="0"/>
              <w:suppressLineNumbers w:val="0"/>
              <w:spacing w:before="0" w:beforeAutospacing="0" w:after="0" w:afterAutospacing="0"/>
              <w:ind w:left="0" w:right="0"/>
              <w:rPr>
                <w:rFonts w:hint="eastAsia" w:hAnsi="Times New Roman" w:eastAsia="宋体"/>
                <w:b/>
                <w:bCs/>
                <w:kern w:val="2"/>
                <w:szCs w:val="21"/>
              </w:rPr>
            </w:pPr>
            <w:r>
              <w:rPr>
                <w:rFonts w:hint="eastAsia" w:hAnsi="Times New Roman" w:eastAsia="宋体"/>
                <w:b/>
                <w:bCs/>
                <w:kern w:val="2"/>
                <w:szCs w:val="21"/>
              </w:rPr>
              <w:t>平均倾角（°）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0" w:hRule="atLeast"/>
          <w:jc w:val="center"/>
        </w:trPr>
        <w:tc>
          <w:tcPr>
            <w:tcW w:w="669" w:type="dxa"/>
            <w:vMerge w:val="continue"/>
            <w:vAlign w:val="center"/>
          </w:tcPr>
          <w:p>
            <w:pPr>
              <w:pStyle w:val="62"/>
              <w:keepNext w:val="0"/>
              <w:keepLines w:val="0"/>
              <w:suppressLineNumbers w:val="0"/>
              <w:spacing w:before="0" w:beforeAutospacing="0" w:after="0" w:afterAutospacing="0"/>
              <w:ind w:left="0" w:right="0" w:firstLine="361"/>
              <w:rPr>
                <w:rFonts w:hint="eastAsia" w:hAnsi="Times New Roman" w:eastAsia="宋体"/>
                <w:b/>
                <w:bCs/>
                <w:kern w:val="2"/>
                <w:szCs w:val="21"/>
              </w:rPr>
            </w:pPr>
          </w:p>
        </w:tc>
        <w:tc>
          <w:tcPr>
            <w:tcW w:w="1226" w:type="dxa"/>
            <w:vAlign w:val="center"/>
          </w:tcPr>
          <w:p>
            <w:pPr>
              <w:pStyle w:val="62"/>
              <w:keepNext w:val="0"/>
              <w:keepLines w:val="0"/>
              <w:suppressLineNumbers w:val="0"/>
              <w:spacing w:before="0" w:beforeAutospacing="0" w:after="0" w:afterAutospacing="0"/>
              <w:ind w:left="0" w:right="0"/>
              <w:rPr>
                <w:rFonts w:hint="eastAsia" w:hAnsi="Times New Roman" w:eastAsia="宋体"/>
                <w:b/>
                <w:bCs/>
                <w:kern w:val="2"/>
                <w:szCs w:val="21"/>
              </w:rPr>
            </w:pPr>
            <w:r>
              <w:rPr>
                <w:rFonts w:hint="eastAsia" w:hAnsi="Times New Roman" w:eastAsia="宋体"/>
                <w:b/>
                <w:bCs/>
                <w:kern w:val="2"/>
                <w:szCs w:val="21"/>
              </w:rPr>
              <w:t>最小～最大</w:t>
            </w:r>
          </w:p>
          <w:p>
            <w:pPr>
              <w:pStyle w:val="62"/>
              <w:keepNext w:val="0"/>
              <w:keepLines w:val="0"/>
              <w:suppressLineNumbers w:val="0"/>
              <w:spacing w:before="0" w:beforeAutospacing="0" w:after="0" w:afterAutospacing="0"/>
              <w:ind w:left="0" w:right="0"/>
              <w:rPr>
                <w:rFonts w:hint="eastAsia" w:hAnsi="Times New Roman" w:eastAsia="宋体"/>
                <w:b/>
                <w:bCs/>
                <w:kern w:val="2"/>
                <w:szCs w:val="21"/>
              </w:rPr>
            </w:pPr>
            <w:r>
              <w:rPr>
                <w:rFonts w:hint="eastAsia" w:hAnsi="Times New Roman" w:eastAsia="宋体"/>
                <w:b/>
                <w:bCs/>
                <w:kern w:val="2"/>
                <w:szCs w:val="21"/>
              </w:rPr>
              <w:t>平均</w:t>
            </w:r>
          </w:p>
        </w:tc>
        <w:tc>
          <w:tcPr>
            <w:tcW w:w="1276" w:type="dxa"/>
            <w:vAlign w:val="center"/>
          </w:tcPr>
          <w:p>
            <w:pPr>
              <w:pStyle w:val="62"/>
              <w:keepNext w:val="0"/>
              <w:keepLines w:val="0"/>
              <w:suppressLineNumbers w:val="0"/>
              <w:spacing w:before="0" w:beforeAutospacing="0" w:after="0" w:afterAutospacing="0"/>
              <w:ind w:left="0" w:right="0"/>
              <w:rPr>
                <w:rFonts w:hint="eastAsia" w:hAnsi="Times New Roman" w:eastAsia="宋体"/>
                <w:b/>
                <w:bCs/>
                <w:kern w:val="2"/>
                <w:szCs w:val="21"/>
              </w:rPr>
            </w:pPr>
            <w:r>
              <w:rPr>
                <w:rFonts w:hint="eastAsia" w:hAnsi="Times New Roman" w:eastAsia="宋体"/>
                <w:b/>
                <w:bCs/>
                <w:kern w:val="2"/>
                <w:szCs w:val="21"/>
              </w:rPr>
              <w:t>最小～最大</w:t>
            </w:r>
          </w:p>
          <w:p>
            <w:pPr>
              <w:pStyle w:val="62"/>
              <w:keepNext w:val="0"/>
              <w:keepLines w:val="0"/>
              <w:suppressLineNumbers w:val="0"/>
              <w:spacing w:before="0" w:beforeAutospacing="0" w:after="0" w:afterAutospacing="0"/>
              <w:ind w:left="0" w:right="0"/>
              <w:rPr>
                <w:rFonts w:hint="eastAsia" w:hAnsi="Times New Roman" w:eastAsia="宋体"/>
                <w:b/>
                <w:bCs/>
                <w:kern w:val="2"/>
                <w:szCs w:val="21"/>
              </w:rPr>
            </w:pPr>
            <w:r>
              <w:rPr>
                <w:rFonts w:hint="eastAsia" w:hAnsi="Times New Roman" w:eastAsia="宋体"/>
                <w:b/>
                <w:bCs/>
                <w:kern w:val="2"/>
                <w:szCs w:val="21"/>
              </w:rPr>
              <w:t>平均</w:t>
            </w:r>
          </w:p>
        </w:tc>
        <w:tc>
          <w:tcPr>
            <w:tcW w:w="567" w:type="dxa"/>
            <w:vAlign w:val="center"/>
          </w:tcPr>
          <w:p>
            <w:pPr>
              <w:pStyle w:val="62"/>
              <w:keepNext w:val="0"/>
              <w:keepLines w:val="0"/>
              <w:suppressLineNumbers w:val="0"/>
              <w:spacing w:before="0" w:beforeAutospacing="0" w:after="0" w:afterAutospacing="0"/>
              <w:ind w:left="0" w:right="0"/>
              <w:rPr>
                <w:rFonts w:hint="eastAsia" w:hAnsi="Times New Roman" w:eastAsia="宋体"/>
                <w:b/>
                <w:bCs/>
                <w:kern w:val="2"/>
                <w:szCs w:val="21"/>
              </w:rPr>
            </w:pPr>
            <w:r>
              <w:rPr>
                <w:rFonts w:hint="eastAsia" w:hAnsi="Times New Roman" w:eastAsia="宋体"/>
                <w:b/>
                <w:bCs/>
                <w:kern w:val="2"/>
                <w:szCs w:val="21"/>
              </w:rPr>
              <w:t>结构</w:t>
            </w:r>
          </w:p>
        </w:tc>
        <w:tc>
          <w:tcPr>
            <w:tcW w:w="567" w:type="dxa"/>
            <w:vAlign w:val="center"/>
          </w:tcPr>
          <w:p>
            <w:pPr>
              <w:pStyle w:val="62"/>
              <w:keepNext w:val="0"/>
              <w:keepLines w:val="0"/>
              <w:suppressLineNumbers w:val="0"/>
              <w:spacing w:before="0" w:beforeAutospacing="0" w:after="0" w:afterAutospacing="0"/>
              <w:ind w:left="0" w:right="0"/>
              <w:rPr>
                <w:rFonts w:hint="eastAsia" w:hAnsi="Times New Roman" w:eastAsia="宋体"/>
                <w:b/>
                <w:bCs/>
                <w:kern w:val="2"/>
                <w:szCs w:val="21"/>
              </w:rPr>
            </w:pPr>
            <w:r>
              <w:rPr>
                <w:rFonts w:hint="eastAsia" w:hAnsi="Times New Roman" w:eastAsia="宋体"/>
                <w:b/>
                <w:bCs/>
                <w:kern w:val="2"/>
                <w:szCs w:val="21"/>
              </w:rPr>
              <w:t>夹矸</w:t>
            </w:r>
          </w:p>
          <w:p>
            <w:pPr>
              <w:pStyle w:val="62"/>
              <w:keepNext w:val="0"/>
              <w:keepLines w:val="0"/>
              <w:suppressLineNumbers w:val="0"/>
              <w:spacing w:before="0" w:beforeAutospacing="0" w:after="0" w:afterAutospacing="0"/>
              <w:ind w:left="0" w:right="0"/>
              <w:rPr>
                <w:rFonts w:hint="eastAsia" w:hAnsi="Times New Roman" w:eastAsia="宋体"/>
                <w:b/>
                <w:bCs/>
                <w:kern w:val="2"/>
                <w:szCs w:val="21"/>
              </w:rPr>
            </w:pPr>
            <w:r>
              <w:rPr>
                <w:rFonts w:hint="eastAsia" w:hAnsi="Times New Roman" w:eastAsia="宋体"/>
                <w:b/>
                <w:bCs/>
                <w:kern w:val="2"/>
                <w:szCs w:val="21"/>
              </w:rPr>
              <w:t>层数</w:t>
            </w:r>
          </w:p>
        </w:tc>
        <w:tc>
          <w:tcPr>
            <w:tcW w:w="1134" w:type="dxa"/>
            <w:vAlign w:val="center"/>
          </w:tcPr>
          <w:p>
            <w:pPr>
              <w:pStyle w:val="62"/>
              <w:keepNext w:val="0"/>
              <w:keepLines w:val="0"/>
              <w:suppressLineNumbers w:val="0"/>
              <w:spacing w:before="0" w:beforeAutospacing="0" w:after="0" w:afterAutospacing="0"/>
              <w:ind w:left="0" w:right="0"/>
              <w:rPr>
                <w:rFonts w:hint="eastAsia" w:hAnsi="Times New Roman" w:eastAsia="宋体"/>
                <w:b/>
                <w:bCs/>
                <w:kern w:val="2"/>
                <w:szCs w:val="21"/>
              </w:rPr>
            </w:pPr>
            <w:r>
              <w:rPr>
                <w:rFonts w:hint="eastAsia" w:hAnsi="Times New Roman" w:eastAsia="宋体"/>
                <w:b/>
                <w:bCs/>
                <w:kern w:val="2"/>
                <w:szCs w:val="21"/>
              </w:rPr>
              <w:t>顶板</w:t>
            </w:r>
          </w:p>
        </w:tc>
        <w:tc>
          <w:tcPr>
            <w:tcW w:w="1134" w:type="dxa"/>
            <w:vAlign w:val="center"/>
          </w:tcPr>
          <w:p>
            <w:pPr>
              <w:pStyle w:val="62"/>
              <w:keepNext w:val="0"/>
              <w:keepLines w:val="0"/>
              <w:suppressLineNumbers w:val="0"/>
              <w:spacing w:before="0" w:beforeAutospacing="0" w:after="0" w:afterAutospacing="0"/>
              <w:ind w:left="0" w:right="0"/>
              <w:rPr>
                <w:rFonts w:hint="eastAsia" w:hAnsi="Times New Roman" w:eastAsia="宋体"/>
                <w:b/>
                <w:bCs/>
                <w:kern w:val="2"/>
                <w:szCs w:val="21"/>
              </w:rPr>
            </w:pPr>
            <w:r>
              <w:rPr>
                <w:rFonts w:hint="eastAsia" w:hAnsi="Times New Roman" w:eastAsia="宋体"/>
                <w:b/>
                <w:bCs/>
                <w:kern w:val="2"/>
                <w:szCs w:val="21"/>
              </w:rPr>
              <w:t>底板</w:t>
            </w:r>
          </w:p>
        </w:tc>
        <w:tc>
          <w:tcPr>
            <w:tcW w:w="1134" w:type="dxa"/>
            <w:vAlign w:val="center"/>
          </w:tcPr>
          <w:p>
            <w:pPr>
              <w:pStyle w:val="62"/>
              <w:keepNext w:val="0"/>
              <w:keepLines w:val="0"/>
              <w:suppressLineNumbers w:val="0"/>
              <w:spacing w:before="0" w:beforeAutospacing="0" w:after="0" w:afterAutospacing="0"/>
              <w:ind w:left="0" w:right="0"/>
              <w:rPr>
                <w:rFonts w:hint="eastAsia" w:hAnsi="Times New Roman" w:eastAsia="宋体"/>
                <w:b/>
                <w:bCs/>
                <w:kern w:val="2"/>
                <w:szCs w:val="21"/>
              </w:rPr>
            </w:pPr>
          </w:p>
        </w:tc>
        <w:tc>
          <w:tcPr>
            <w:tcW w:w="900" w:type="dxa"/>
            <w:vAlign w:val="center"/>
          </w:tcPr>
          <w:p>
            <w:pPr>
              <w:pStyle w:val="62"/>
              <w:keepNext w:val="0"/>
              <w:keepLines w:val="0"/>
              <w:suppressLineNumbers w:val="0"/>
              <w:spacing w:before="0" w:beforeAutospacing="0" w:after="0" w:afterAutospacing="0"/>
              <w:ind w:left="0" w:right="0"/>
              <w:rPr>
                <w:rFonts w:hint="eastAsia" w:hAnsi="Times New Roman" w:eastAsia="宋体"/>
                <w:b/>
                <w:bCs/>
                <w:kern w:val="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0" w:hRule="atLeast"/>
          <w:jc w:val="center"/>
        </w:trPr>
        <w:tc>
          <w:tcPr>
            <w:tcW w:w="669" w:type="dxa"/>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K</w:t>
            </w:r>
            <w:r>
              <w:rPr>
                <w:rFonts w:hint="eastAsia" w:hAnsi="Times New Roman" w:eastAsia="宋体"/>
                <w:kern w:val="2"/>
                <w:szCs w:val="21"/>
                <w:vertAlign w:val="subscript"/>
              </w:rPr>
              <w:t>6</w:t>
            </w:r>
          </w:p>
        </w:tc>
        <w:tc>
          <w:tcPr>
            <w:tcW w:w="1226" w:type="dxa"/>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u w:val="single"/>
              </w:rPr>
            </w:pPr>
            <w:r>
              <w:rPr>
                <w:rFonts w:hint="eastAsia" w:hAnsi="Times New Roman" w:eastAsia="宋体"/>
                <w:kern w:val="2"/>
                <w:szCs w:val="21"/>
                <w:u w:val="single"/>
              </w:rPr>
              <w:t>0.13～0.69</w:t>
            </w:r>
          </w:p>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0.48</w:t>
            </w:r>
          </w:p>
        </w:tc>
        <w:tc>
          <w:tcPr>
            <w:tcW w:w="1276" w:type="dxa"/>
            <w:vMerge w:val="restar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u w:val="single"/>
              </w:rPr>
            </w:pPr>
            <w:r>
              <w:rPr>
                <w:rFonts w:hint="eastAsia" w:hAnsi="Times New Roman" w:eastAsia="宋体"/>
                <w:kern w:val="2"/>
                <w:szCs w:val="21"/>
                <w:u w:val="single"/>
              </w:rPr>
              <w:t>5.78～8.41</w:t>
            </w:r>
          </w:p>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7.10</w:t>
            </w:r>
          </w:p>
        </w:tc>
        <w:tc>
          <w:tcPr>
            <w:tcW w:w="567" w:type="dxa"/>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复合</w:t>
            </w:r>
          </w:p>
        </w:tc>
        <w:tc>
          <w:tcPr>
            <w:tcW w:w="567" w:type="dxa"/>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2</w:t>
            </w:r>
          </w:p>
        </w:tc>
        <w:tc>
          <w:tcPr>
            <w:tcW w:w="1134" w:type="dxa"/>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炭质泥岩</w:t>
            </w:r>
          </w:p>
        </w:tc>
        <w:tc>
          <w:tcPr>
            <w:tcW w:w="1134" w:type="dxa"/>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泥质砂岩</w:t>
            </w:r>
          </w:p>
        </w:tc>
        <w:tc>
          <w:tcPr>
            <w:tcW w:w="1134" w:type="dxa"/>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较稳定，大部可采</w:t>
            </w:r>
          </w:p>
        </w:tc>
        <w:tc>
          <w:tcPr>
            <w:tcW w:w="900" w:type="dxa"/>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38" w:hRule="atLeast"/>
          <w:jc w:val="center"/>
        </w:trPr>
        <w:tc>
          <w:tcPr>
            <w:tcW w:w="669" w:type="dxa"/>
            <w:vMerge w:val="restar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K</w:t>
            </w:r>
            <w:r>
              <w:rPr>
                <w:rFonts w:hint="eastAsia" w:hAnsi="Times New Roman" w:eastAsia="宋体"/>
                <w:kern w:val="2"/>
                <w:szCs w:val="21"/>
                <w:vertAlign w:val="subscript"/>
              </w:rPr>
              <w:t>5-1</w:t>
            </w:r>
          </w:p>
        </w:tc>
        <w:tc>
          <w:tcPr>
            <w:tcW w:w="1226" w:type="dxa"/>
            <w:vMerge w:val="restar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u w:val="single"/>
              </w:rPr>
            </w:pPr>
            <w:r>
              <w:rPr>
                <w:rFonts w:hint="eastAsia" w:hAnsi="Times New Roman" w:eastAsia="宋体"/>
                <w:kern w:val="2"/>
                <w:szCs w:val="21"/>
                <w:u w:val="single"/>
              </w:rPr>
              <w:t>0.38～0.51</w:t>
            </w:r>
          </w:p>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0.44</w:t>
            </w:r>
          </w:p>
        </w:tc>
        <w:tc>
          <w:tcPr>
            <w:tcW w:w="1276" w:type="dxa"/>
            <w:vMerge w:val="continue"/>
            <w:vAlign w:val="center"/>
          </w:tcPr>
          <w:p>
            <w:pPr>
              <w:pStyle w:val="62"/>
              <w:keepNext w:val="0"/>
              <w:keepLines w:val="0"/>
              <w:suppressLineNumbers w:val="0"/>
              <w:spacing w:before="0" w:beforeAutospacing="0" w:after="0" w:afterAutospacing="0"/>
              <w:ind w:left="0" w:right="0" w:firstLine="360"/>
              <w:rPr>
                <w:rFonts w:hint="eastAsia" w:hAnsi="Times New Roman" w:eastAsia="宋体"/>
                <w:kern w:val="2"/>
                <w:szCs w:val="21"/>
              </w:rPr>
            </w:pPr>
          </w:p>
        </w:tc>
        <w:tc>
          <w:tcPr>
            <w:tcW w:w="567" w:type="dxa"/>
            <w:vMerge w:val="restar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复合</w:t>
            </w:r>
          </w:p>
        </w:tc>
        <w:tc>
          <w:tcPr>
            <w:tcW w:w="567" w:type="dxa"/>
            <w:vMerge w:val="restar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2</w:t>
            </w:r>
          </w:p>
        </w:tc>
        <w:tc>
          <w:tcPr>
            <w:tcW w:w="1134" w:type="dxa"/>
            <w:vMerge w:val="restar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炭质泥岩</w:t>
            </w:r>
          </w:p>
        </w:tc>
        <w:tc>
          <w:tcPr>
            <w:tcW w:w="1134" w:type="dxa"/>
            <w:vMerge w:val="restar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泥质粉砂岩</w:t>
            </w:r>
          </w:p>
        </w:tc>
        <w:tc>
          <w:tcPr>
            <w:tcW w:w="1134" w:type="dxa"/>
            <w:vMerge w:val="restar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不稳定，局部可采</w:t>
            </w:r>
          </w:p>
        </w:tc>
        <w:tc>
          <w:tcPr>
            <w:tcW w:w="900" w:type="dxa"/>
            <w:vMerge w:val="restar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38" w:hRule="atLeast"/>
          <w:jc w:val="center"/>
        </w:trPr>
        <w:tc>
          <w:tcPr>
            <w:tcW w:w="669" w:type="dxa"/>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1226" w:type="dxa"/>
            <w:vMerge w:val="continue"/>
            <w:vAlign w:val="center"/>
          </w:tcPr>
          <w:p>
            <w:pPr>
              <w:pStyle w:val="62"/>
              <w:keepNext w:val="0"/>
              <w:keepLines w:val="0"/>
              <w:suppressLineNumbers w:val="0"/>
              <w:spacing w:before="0" w:beforeAutospacing="0" w:after="0" w:afterAutospacing="0"/>
              <w:ind w:left="0" w:right="0" w:firstLine="360"/>
              <w:rPr>
                <w:rFonts w:hint="eastAsia" w:hAnsi="Times New Roman" w:eastAsia="宋体"/>
                <w:kern w:val="2"/>
                <w:szCs w:val="21"/>
              </w:rPr>
            </w:pPr>
          </w:p>
        </w:tc>
        <w:tc>
          <w:tcPr>
            <w:tcW w:w="1276" w:type="dxa"/>
            <w:vMerge w:val="restar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u w:val="single"/>
              </w:rPr>
            </w:pPr>
            <w:r>
              <w:rPr>
                <w:rFonts w:hint="eastAsia" w:hAnsi="Times New Roman" w:eastAsia="宋体"/>
                <w:kern w:val="2"/>
                <w:szCs w:val="21"/>
                <w:u w:val="single"/>
              </w:rPr>
              <w:t>4.5～9.2</w:t>
            </w:r>
          </w:p>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6.85</w:t>
            </w:r>
          </w:p>
        </w:tc>
        <w:tc>
          <w:tcPr>
            <w:tcW w:w="567" w:type="dxa"/>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567" w:type="dxa"/>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1134" w:type="dxa"/>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1134" w:type="dxa"/>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1134" w:type="dxa"/>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900" w:type="dxa"/>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662" w:hRule="atLeast"/>
          <w:jc w:val="center"/>
        </w:trPr>
        <w:tc>
          <w:tcPr>
            <w:tcW w:w="669" w:type="dxa"/>
            <w:tcBorders>
              <w:bottom w:val="single" w:color="auto" w:sz="4" w:space="0"/>
            </w:tcBorders>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K</w:t>
            </w:r>
            <w:r>
              <w:rPr>
                <w:rFonts w:hint="eastAsia" w:hAnsi="Times New Roman" w:eastAsia="宋体"/>
                <w:kern w:val="2"/>
                <w:szCs w:val="21"/>
                <w:vertAlign w:val="subscript"/>
              </w:rPr>
              <w:t>5</w:t>
            </w:r>
          </w:p>
        </w:tc>
        <w:tc>
          <w:tcPr>
            <w:tcW w:w="1226" w:type="dxa"/>
            <w:tcBorders>
              <w:bottom w:val="single" w:color="auto" w:sz="4" w:space="0"/>
            </w:tcBorders>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u w:val="single"/>
              </w:rPr>
            </w:pPr>
            <w:r>
              <w:rPr>
                <w:rFonts w:hint="eastAsia" w:hAnsi="Times New Roman" w:eastAsia="宋体"/>
                <w:kern w:val="2"/>
                <w:szCs w:val="21"/>
                <w:u w:val="single"/>
              </w:rPr>
              <w:t>0.12～0.85</w:t>
            </w:r>
          </w:p>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0.44</w:t>
            </w:r>
          </w:p>
        </w:tc>
        <w:tc>
          <w:tcPr>
            <w:tcW w:w="1276" w:type="dxa"/>
            <w:vMerge w:val="continue"/>
            <w:tcBorders>
              <w:bottom w:val="single" w:color="auto" w:sz="4" w:space="0"/>
            </w:tcBorders>
            <w:vAlign w:val="center"/>
          </w:tcPr>
          <w:p>
            <w:pPr>
              <w:pStyle w:val="62"/>
              <w:keepNext w:val="0"/>
              <w:keepLines w:val="0"/>
              <w:suppressLineNumbers w:val="0"/>
              <w:spacing w:before="0" w:beforeAutospacing="0" w:after="0" w:afterAutospacing="0"/>
              <w:ind w:left="0" w:right="0" w:firstLine="360"/>
              <w:rPr>
                <w:rFonts w:hint="eastAsia" w:hAnsi="Times New Roman" w:eastAsia="宋体"/>
                <w:kern w:val="2"/>
                <w:szCs w:val="21"/>
              </w:rPr>
            </w:pPr>
          </w:p>
        </w:tc>
        <w:tc>
          <w:tcPr>
            <w:tcW w:w="567" w:type="dxa"/>
            <w:tcBorders>
              <w:bottom w:val="single" w:color="auto" w:sz="4" w:space="0"/>
            </w:tcBorders>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复合</w:t>
            </w:r>
          </w:p>
        </w:tc>
        <w:tc>
          <w:tcPr>
            <w:tcW w:w="567" w:type="dxa"/>
            <w:tcBorders>
              <w:bottom w:val="single" w:color="auto" w:sz="4" w:space="0"/>
            </w:tcBorders>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2</w:t>
            </w:r>
          </w:p>
        </w:tc>
        <w:tc>
          <w:tcPr>
            <w:tcW w:w="1134" w:type="dxa"/>
            <w:tcBorders>
              <w:bottom w:val="single" w:color="auto" w:sz="4" w:space="0"/>
            </w:tcBorders>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粉砂质泥岩</w:t>
            </w:r>
          </w:p>
        </w:tc>
        <w:tc>
          <w:tcPr>
            <w:tcW w:w="1134" w:type="dxa"/>
            <w:tcBorders>
              <w:bottom w:val="single" w:color="auto" w:sz="4" w:space="0"/>
            </w:tcBorders>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泥岩</w:t>
            </w:r>
          </w:p>
        </w:tc>
        <w:tc>
          <w:tcPr>
            <w:tcW w:w="1134" w:type="dxa"/>
            <w:tcBorders>
              <w:bottom w:val="single" w:color="auto" w:sz="4" w:space="0"/>
            </w:tcBorders>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较稳定，大部可采</w:t>
            </w:r>
          </w:p>
        </w:tc>
        <w:tc>
          <w:tcPr>
            <w:tcW w:w="900" w:type="dxa"/>
            <w:tcBorders>
              <w:bottom w:val="single" w:color="auto" w:sz="4" w:space="0"/>
            </w:tcBorders>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55</w:t>
            </w:r>
          </w:p>
        </w:tc>
      </w:tr>
    </w:tbl>
    <w:p>
      <w:pPr>
        <w:pStyle w:val="55"/>
        <w:spacing w:line="360" w:lineRule="auto"/>
        <w:rPr>
          <w:rFonts w:hAnsi="Times New Roman" w:eastAsia="宋体"/>
        </w:rPr>
      </w:pPr>
      <w:r>
        <w:rPr>
          <w:rFonts w:hint="eastAsia" w:hAnsi="Times New Roman" w:eastAsia="宋体"/>
        </w:rPr>
        <w:t>综上，矿区内开采的各煤层赋存于须家河组第五段（本次开采层位），其上部分别为须家河组第六段、侏罗系下统珍珠冲组砂岩含水层，煤层与上部含水层直接相接。虽然砂岩节理裂隙发育一般，含水性不丰富，水力联系较弱，但砂岩厚度巨大（总厚度大于</w:t>
      </w:r>
      <w:r>
        <w:rPr>
          <w:rFonts w:hAnsi="Times New Roman" w:eastAsia="宋体"/>
        </w:rPr>
        <w:t>300m</w:t>
      </w:r>
      <w:r>
        <w:rPr>
          <w:rFonts w:hint="eastAsia" w:hAnsi="Times New Roman" w:eastAsia="宋体"/>
        </w:rPr>
        <w:t>），矿坑内涌水量较大，涌水主要为沿裂隙和岩层浸水、滴水，局部为股流，雨季矿坑涌水量有一定增加。老窑采空区积水也是本区主要充水因素之一。七里峡煤矿为裂隙充水为主、水文地质条件中等的煤矿床。地下水和地表水对矿山开采活动有一定影响，而矿山开采对地表水的疏干影响不大，对地下水水质基本无影响。</w:t>
      </w:r>
    </w:p>
    <w:p>
      <w:pPr>
        <w:pStyle w:val="53"/>
        <w:ind w:firstLine="0" w:firstLineChars="0"/>
        <w:rPr>
          <w:rFonts w:eastAsia="宋体"/>
          <w:b/>
          <w:bCs/>
          <w:lang w:eastAsia="zh-CN"/>
        </w:rPr>
      </w:pPr>
      <w:r>
        <w:rPr>
          <w:rFonts w:eastAsia="宋体"/>
          <w:b/>
          <w:bCs/>
        </w:rPr>
        <w:t xml:space="preserve">5.4.3.3 </w:t>
      </w:r>
      <w:r>
        <w:rPr>
          <w:rFonts w:hint="eastAsia" w:eastAsia="宋体"/>
          <w:b/>
          <w:bCs/>
          <w:lang w:eastAsia="zh-CN"/>
        </w:rPr>
        <w:t>煤矿开采对地下水水质的影响分析</w:t>
      </w:r>
    </w:p>
    <w:p>
      <w:pPr>
        <w:spacing w:line="360" w:lineRule="auto"/>
        <w:ind w:firstLine="480"/>
        <w:rPr>
          <w:rFonts w:hAnsi="Times New Roman" w:eastAsia="宋体"/>
          <w:b/>
          <w:bCs/>
          <w:szCs w:val="22"/>
        </w:rPr>
      </w:pPr>
      <w:r>
        <w:rPr>
          <w:rFonts w:hint="eastAsia" w:hAnsi="Times New Roman" w:eastAsia="宋体"/>
          <w:b/>
          <w:bCs/>
          <w:szCs w:val="22"/>
        </w:rPr>
        <w:t>（1）对浅层风化裂隙水的影响</w:t>
      </w:r>
    </w:p>
    <w:p>
      <w:pPr>
        <w:pStyle w:val="55"/>
        <w:spacing w:line="360" w:lineRule="auto"/>
        <w:rPr>
          <w:rFonts w:hAnsi="Times New Roman" w:eastAsia="宋体"/>
        </w:rPr>
      </w:pPr>
      <w:r>
        <w:rPr>
          <w:rFonts w:hint="eastAsia" w:hAnsi="Times New Roman" w:eastAsia="宋体"/>
        </w:rPr>
        <w:t>由于浅层风化裂隙水接受地表水的补给，因此地表水质的变化有可能影响到地下水质，具体到本项目，表现以下方面：</w:t>
      </w:r>
    </w:p>
    <w:p>
      <w:pPr>
        <w:pStyle w:val="55"/>
        <w:spacing w:line="360" w:lineRule="auto"/>
        <w:rPr>
          <w:rFonts w:hAnsi="Times New Roman" w:eastAsia="宋体"/>
        </w:rPr>
      </w:pPr>
      <w:r>
        <w:rPr>
          <w:rFonts w:hint="eastAsia" w:hAnsi="Times New Roman" w:eastAsia="宋体"/>
        </w:rPr>
        <w:t xml:space="preserve">①污废水排放对地下水质的影响 </w:t>
      </w:r>
    </w:p>
    <w:p>
      <w:pPr>
        <w:pStyle w:val="55"/>
        <w:spacing w:line="360" w:lineRule="auto"/>
        <w:rPr>
          <w:rFonts w:hAnsi="Times New Roman" w:eastAsia="宋体"/>
        </w:rPr>
      </w:pPr>
      <w:r>
        <w:rPr>
          <w:rFonts w:hint="eastAsia" w:hAnsi="Times New Roman" w:eastAsia="宋体"/>
        </w:rPr>
        <w:t>正常情况下，煤矿开采过程中实现矿井水处理后和生活污水处理后部分回用，剩余部分排放，对地表水质影响较小，下渗对浅层地下水造成污染可能性不大。</w:t>
      </w:r>
    </w:p>
    <w:p>
      <w:pPr>
        <w:pStyle w:val="55"/>
        <w:spacing w:line="360" w:lineRule="auto"/>
        <w:rPr>
          <w:rFonts w:hAnsi="Times New Roman" w:eastAsia="宋体"/>
        </w:rPr>
      </w:pPr>
      <w:r>
        <w:rPr>
          <w:rFonts w:hint="eastAsia" w:hAnsi="Times New Roman" w:eastAsia="宋体"/>
        </w:rPr>
        <w:t>事故情况下，该矿污废水未经处理排放，污染物浓度较高，对地表水环境有一定程度的影响，进而下渗影响浅层地下水水质。</w:t>
      </w:r>
    </w:p>
    <w:p>
      <w:pPr>
        <w:pStyle w:val="55"/>
        <w:spacing w:line="360" w:lineRule="auto"/>
        <w:rPr>
          <w:rFonts w:hAnsi="Times New Roman" w:eastAsia="宋体"/>
        </w:rPr>
      </w:pPr>
      <w:r>
        <w:rPr>
          <w:rFonts w:hint="eastAsia" w:hAnsi="Times New Roman" w:eastAsia="宋体"/>
        </w:rPr>
        <w:t>②煤矸石浸溶水对地下水质的影响</w:t>
      </w:r>
    </w:p>
    <w:p>
      <w:pPr>
        <w:pStyle w:val="55"/>
        <w:spacing w:line="360" w:lineRule="auto"/>
        <w:rPr>
          <w:rFonts w:hAnsi="Times New Roman" w:eastAsia="宋体"/>
        </w:rPr>
      </w:pPr>
      <w:r>
        <w:rPr>
          <w:rFonts w:hint="eastAsia" w:hAnsi="Times New Roman" w:eastAsia="宋体"/>
        </w:rPr>
        <w:t>项目矸石临时堆场为室外堆场，可能产生矸石淋溶，对浅层地下水产生一定程度的影响。</w:t>
      </w:r>
    </w:p>
    <w:p>
      <w:pPr>
        <w:spacing w:line="360" w:lineRule="auto"/>
        <w:ind w:firstLine="480"/>
        <w:rPr>
          <w:rFonts w:hAnsi="Times New Roman" w:eastAsia="宋体"/>
          <w:b/>
          <w:bCs/>
          <w:szCs w:val="22"/>
        </w:rPr>
      </w:pPr>
      <w:r>
        <w:rPr>
          <w:rFonts w:hint="eastAsia" w:hAnsi="Times New Roman" w:eastAsia="宋体"/>
          <w:b/>
          <w:bCs/>
          <w:szCs w:val="22"/>
        </w:rPr>
        <w:t>（2）对深层含水层水质的影响</w:t>
      </w:r>
    </w:p>
    <w:p>
      <w:pPr>
        <w:pStyle w:val="55"/>
        <w:spacing w:line="360" w:lineRule="auto"/>
        <w:rPr>
          <w:rFonts w:hAnsi="Times New Roman" w:eastAsia="宋体"/>
        </w:rPr>
      </w:pPr>
      <w:r>
        <w:rPr>
          <w:rFonts w:hint="eastAsia" w:hAnsi="Times New Roman" w:eastAsia="宋体"/>
        </w:rPr>
        <w:t>深层含水层主要分布在侏罗系下统珍珠冲组（J</w:t>
      </w:r>
      <w:r>
        <w:rPr>
          <w:rFonts w:hint="eastAsia" w:hAnsi="Times New Roman" w:eastAsia="宋体"/>
          <w:vertAlign w:val="subscript"/>
        </w:rPr>
        <w:t>1</w:t>
      </w:r>
      <w:r>
        <w:rPr>
          <w:rFonts w:hint="eastAsia" w:hAnsi="Times New Roman" w:eastAsia="宋体"/>
        </w:rPr>
        <w:t>zh）底部</w:t>
      </w:r>
      <w:r>
        <w:rPr>
          <w:rFonts w:hint="eastAsia" w:hAnsi="Times New Roman" w:eastAsia="宋体"/>
          <w:lang w:val="zh-CN"/>
        </w:rPr>
        <w:t>砂岩裂隙含水层、</w:t>
      </w:r>
      <w:r>
        <w:rPr>
          <w:rFonts w:hint="eastAsia" w:hAnsi="Times New Roman" w:eastAsia="宋体"/>
        </w:rPr>
        <w:t>须家河组第六段（T</w:t>
      </w:r>
      <w:r>
        <w:rPr>
          <w:rFonts w:hint="eastAsia" w:hAnsi="Times New Roman" w:eastAsia="宋体"/>
          <w:vertAlign w:val="subscript"/>
        </w:rPr>
        <w:t>3</w:t>
      </w:r>
      <w:r>
        <w:rPr>
          <w:rFonts w:hint="eastAsia" w:hAnsi="Times New Roman" w:eastAsia="宋体"/>
        </w:rPr>
        <w:t>xj</w:t>
      </w:r>
      <w:r>
        <w:rPr>
          <w:rFonts w:hint="eastAsia" w:hAnsi="Times New Roman" w:eastAsia="宋体"/>
          <w:vertAlign w:val="superscript"/>
        </w:rPr>
        <w:t>6</w:t>
      </w:r>
      <w:r>
        <w:rPr>
          <w:rFonts w:hint="eastAsia" w:hAnsi="Times New Roman" w:eastAsia="宋体"/>
        </w:rPr>
        <w:t>）砂岩（Ⅲ号含水层）、须家河组第四段（T</w:t>
      </w:r>
      <w:r>
        <w:rPr>
          <w:rFonts w:hint="eastAsia" w:hAnsi="Times New Roman" w:eastAsia="宋体"/>
          <w:vertAlign w:val="subscript"/>
        </w:rPr>
        <w:t>3</w:t>
      </w:r>
      <w:r>
        <w:rPr>
          <w:rFonts w:hint="eastAsia" w:hAnsi="Times New Roman" w:eastAsia="宋体"/>
        </w:rPr>
        <w:t>xj</w:t>
      </w:r>
      <w:r>
        <w:rPr>
          <w:rFonts w:hint="eastAsia" w:hAnsi="Times New Roman" w:eastAsia="宋体"/>
          <w:vertAlign w:val="superscript"/>
        </w:rPr>
        <w:t>4</w:t>
      </w:r>
      <w:r>
        <w:rPr>
          <w:rFonts w:hint="eastAsia" w:hAnsi="Times New Roman" w:eastAsia="宋体"/>
        </w:rPr>
        <w:t>）（Ⅳ号含水层）、须家河组第二段砂岩（Ⅴ号含水层），三叠系中统雷口坡组</w:t>
      </w:r>
      <w:r>
        <w:rPr>
          <w:rFonts w:hint="eastAsia" w:hAnsi="Times New Roman" w:eastAsia="宋体"/>
          <w:lang w:eastAsia="zh-CN"/>
        </w:rPr>
        <w:t>（</w:t>
      </w:r>
      <w:r>
        <w:rPr>
          <w:rFonts w:hint="eastAsia" w:hAnsi="Times New Roman" w:eastAsia="宋体"/>
        </w:rPr>
        <w:t>T</w:t>
      </w:r>
      <w:r>
        <w:rPr>
          <w:rFonts w:hint="eastAsia" w:hAnsi="Times New Roman" w:eastAsia="宋体"/>
          <w:vertAlign w:val="subscript"/>
        </w:rPr>
        <w:t>2</w:t>
      </w:r>
      <w:r>
        <w:rPr>
          <w:rFonts w:hint="eastAsia" w:hAnsi="Times New Roman" w:eastAsia="宋体"/>
        </w:rPr>
        <w:t>l</w:t>
      </w:r>
      <w:r>
        <w:rPr>
          <w:rFonts w:hint="eastAsia" w:hAnsi="Times New Roman" w:eastAsia="宋体"/>
          <w:lang w:eastAsia="zh-CN"/>
        </w:rPr>
        <w:t>）</w:t>
      </w:r>
      <w:r>
        <w:rPr>
          <w:rFonts w:hint="eastAsia" w:hAnsi="Times New Roman" w:eastAsia="宋体"/>
        </w:rPr>
        <w:t>（Ⅵ号含水层）。污染物不会渗入地下水体造成直接污染。即对深层含水层水质没有直接影响。而对于下伏含水层，本矿生活污废水矿区正常涌水量，最大涌水量不会发生改变。处理方式仍然按照采矿设计要求，不会对地下水水质产生新的影响。所以，预测矿山开采对地下水水质的影响程度较轻。</w:t>
      </w:r>
    </w:p>
    <w:p>
      <w:pPr>
        <w:spacing w:line="360" w:lineRule="auto"/>
        <w:ind w:firstLine="480"/>
        <w:rPr>
          <w:rFonts w:hAnsi="Times New Roman" w:eastAsia="宋体"/>
          <w:b/>
          <w:bCs/>
          <w:szCs w:val="22"/>
        </w:rPr>
      </w:pPr>
      <w:r>
        <w:rPr>
          <w:rFonts w:hint="eastAsia" w:hAnsi="Times New Roman" w:eastAsia="宋体"/>
          <w:b/>
          <w:bCs/>
          <w:szCs w:val="22"/>
        </w:rPr>
        <w:t>（3）对王一庙水源地影响</w:t>
      </w:r>
    </w:p>
    <w:p>
      <w:pPr>
        <w:pStyle w:val="55"/>
        <w:spacing w:line="360" w:lineRule="auto"/>
        <w:rPr>
          <w:rFonts w:hAnsi="Times New Roman" w:eastAsia="宋体"/>
        </w:rPr>
      </w:pPr>
      <w:r>
        <w:rPr>
          <w:rFonts w:hint="eastAsia" w:hAnsi="Times New Roman" w:eastAsia="宋体"/>
        </w:rPr>
        <w:t>根据《达州市人民政府关于划定万源市、宣汉县和大竹县乡镇及以下集中式饮用水水源地保护区的批复》（达市府函</w:t>
      </w:r>
      <w:r>
        <w:rPr>
          <w:rFonts w:hint="eastAsia" w:hAnsi="Times New Roman" w:eastAsia="宋体"/>
          <w:lang w:eastAsia="zh-CN"/>
        </w:rPr>
        <w:t>〔</w:t>
      </w:r>
      <w:r>
        <w:rPr>
          <w:rFonts w:hint="eastAsia" w:hAnsi="Times New Roman" w:eastAsia="宋体"/>
        </w:rPr>
        <w:t>2020</w:t>
      </w:r>
      <w:r>
        <w:rPr>
          <w:rFonts w:hint="eastAsia" w:hAnsi="Times New Roman" w:eastAsia="宋体"/>
          <w:lang w:eastAsia="zh-CN"/>
        </w:rPr>
        <w:t>〕</w:t>
      </w:r>
      <w:r>
        <w:rPr>
          <w:rFonts w:hint="eastAsia" w:hAnsi="Times New Roman" w:eastAsia="宋体"/>
        </w:rPr>
        <w:t>124号），本项目涉及的集中式饮用水水源保护区为“宣汉县天生镇王一庙（村级）集中式饮用水水源地（地下水型）”，取水点位于天生镇塔坝村一组，取水口坐标为E107°43′15.917″，N31°02′0.687″。设计供水规模120t/d，服务樊天生镇洞宫社区。一级保护区范围：以地下水取水点为中心，半径30米范围内，但海拔不低于373.0m的区域；取水口至东侧明月江上游1000米（公路桥处</w:t>
      </w:r>
      <w:r>
        <w:rPr>
          <w:rFonts w:hint="eastAsia" w:hAnsi="Times New Roman" w:eastAsia="宋体"/>
          <w:lang w:eastAsia="zh-CN"/>
        </w:rPr>
        <w:t>）</w:t>
      </w:r>
      <w:r>
        <w:rPr>
          <w:rFonts w:hint="eastAsia" w:hAnsi="Times New Roman" w:eastAsia="宋体"/>
        </w:rPr>
        <w:t>，多年平均水位对应的高程线下的水域范围；与明月江一级保护区水域长度一致、水域边界两岸纵深50米、但左右两岸均不超过七里场镇防洪堤堤顶的全部陆域范围。二级保护区范围：除一级保护区外，以取水点为中心，300米范围内，但不低于海拔373.0m的区域。</w:t>
      </w:r>
    </w:p>
    <w:p>
      <w:pPr>
        <w:pStyle w:val="62"/>
        <w:ind w:firstLine="480"/>
      </w:pPr>
      <w:r>
        <w:rPr>
          <w:rFonts w:hint="eastAsia"/>
        </w:rPr>
        <w:drawing>
          <wp:inline distT="0" distB="0" distL="114300" distR="114300">
            <wp:extent cx="4746625" cy="3608705"/>
            <wp:effectExtent l="0" t="0" r="15875" b="10795"/>
            <wp:docPr id="268"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60"/>
                    <pic:cNvPicPr>
                      <a:picLocks noChangeAspect="1"/>
                    </pic:cNvPicPr>
                  </pic:nvPicPr>
                  <pic:blipFill>
                    <a:blip r:embed="rId218"/>
                    <a:stretch>
                      <a:fillRect/>
                    </a:stretch>
                  </pic:blipFill>
                  <pic:spPr>
                    <a:xfrm>
                      <a:off x="0" y="0"/>
                      <a:ext cx="4746625" cy="3608705"/>
                    </a:xfrm>
                    <a:prstGeom prst="rect">
                      <a:avLst/>
                    </a:prstGeom>
                    <a:noFill/>
                    <a:ln>
                      <a:noFill/>
                    </a:ln>
                  </pic:spPr>
                </pic:pic>
              </a:graphicData>
            </a:graphic>
          </wp:inline>
        </w:drawing>
      </w:r>
    </w:p>
    <w:p>
      <w:pPr>
        <w:spacing w:line="360" w:lineRule="auto"/>
        <w:jc w:val="center"/>
        <w:rPr>
          <w:rFonts w:hAnsi="Times New Roman" w:eastAsia="宋体"/>
          <w:b/>
          <w:bCs/>
          <w:sz w:val="21"/>
          <w:szCs w:val="21"/>
          <w:lang w:eastAsia="zh-CN"/>
        </w:rPr>
      </w:pPr>
      <w:r>
        <w:rPr>
          <w:rFonts w:hint="eastAsia" w:hAnsi="Times New Roman" w:eastAsia="宋体"/>
          <w:b/>
          <w:bCs/>
          <w:sz w:val="21"/>
          <w:szCs w:val="21"/>
          <w:lang w:eastAsia="zh-CN"/>
        </w:rPr>
        <w:t>图5.4-14  王一庙水源地位置图</w:t>
      </w:r>
    </w:p>
    <w:p>
      <w:pPr>
        <w:pStyle w:val="55"/>
        <w:spacing w:line="360" w:lineRule="auto"/>
        <w:rPr>
          <w:rFonts w:hAnsi="Times New Roman" w:eastAsia="宋体"/>
        </w:rPr>
      </w:pPr>
      <w:r>
        <w:rPr>
          <w:rFonts w:hint="eastAsia" w:hAnsi="Times New Roman" w:eastAsia="宋体"/>
        </w:rPr>
        <w:t>本项目建设区域位于取水点上游1.0km，七里峡煤矿主井工业广场位于王一庙（村级）集中式饮用水水源地一级保护区上游，最近距离约20m，不在宣汉县天生镇王一庙（村级）集中式饮用水水源地的一级、二级保护区范围。</w:t>
      </w:r>
    </w:p>
    <w:p>
      <w:pPr>
        <w:pStyle w:val="55"/>
        <w:spacing w:line="360" w:lineRule="auto"/>
        <w:rPr>
          <w:rFonts w:hAnsi="Times New Roman" w:eastAsia="宋体"/>
          <w:lang w:eastAsia="zh-CN"/>
        </w:rPr>
      </w:pPr>
      <w:r>
        <w:rPr>
          <w:rFonts w:hint="eastAsia" w:hAnsi="Times New Roman" w:eastAsia="宋体"/>
        </w:rPr>
        <w:t>七里峡煤矿矿井水处理后要用管道引至工业广场下游1500m</w:t>
      </w:r>
      <w:r>
        <w:rPr>
          <w:rFonts w:hint="eastAsia" w:hAnsi="Times New Roman" w:eastAsia="宋体"/>
          <w:lang w:eastAsia="zh-CN"/>
        </w:rPr>
        <w:t>处</w:t>
      </w:r>
      <w:r>
        <w:rPr>
          <w:rFonts w:hint="eastAsia" w:hAnsi="Times New Roman" w:eastAsia="宋体"/>
        </w:rPr>
        <w:t>排放，在下游1500m</w:t>
      </w:r>
      <w:r>
        <w:rPr>
          <w:rFonts w:hint="eastAsia" w:hAnsi="Times New Roman" w:eastAsia="宋体"/>
          <w:lang w:eastAsia="zh-CN"/>
        </w:rPr>
        <w:t>处</w:t>
      </w:r>
      <w:r>
        <w:rPr>
          <w:rFonts w:hint="eastAsia" w:hAnsi="Times New Roman" w:eastAsia="宋体"/>
        </w:rPr>
        <w:t>设置排放口，因此正常状况下煤矿开采对王一庙水源地影响较小。</w:t>
      </w:r>
    </w:p>
    <w:p>
      <w:pPr>
        <w:pStyle w:val="14"/>
        <w:spacing w:line="360" w:lineRule="auto"/>
        <w:ind w:firstLine="480" w:firstLineChars="200"/>
        <w:rPr>
          <w:rFonts w:ascii="Times New Roman" w:hAnsi="Times New Roman"/>
          <w:sz w:val="24"/>
        </w:rPr>
      </w:pPr>
      <w:r>
        <w:rPr>
          <w:rFonts w:ascii="Times New Roman" w:hAnsi="Times New Roman"/>
          <w:sz w:val="24"/>
        </w:rPr>
        <w:t>矿井所处的须家河组第七段、六段、第五段砂岩为煤层顶底板直接充水含水层，珍珠冲组砂岩为煤层顶底板间接充水含水层，固其排水主要来自须家河组第七段、第六段、第五段砂岩含水层（本次不开采K</w:t>
      </w:r>
      <w:r>
        <w:rPr>
          <w:rFonts w:ascii="Times New Roman" w:hAnsi="Times New Roman"/>
          <w:sz w:val="24"/>
          <w:vertAlign w:val="subscript"/>
        </w:rPr>
        <w:t>10</w:t>
      </w:r>
      <w:r>
        <w:rPr>
          <w:rFonts w:ascii="Times New Roman" w:hAnsi="Times New Roman"/>
          <w:sz w:val="24"/>
        </w:rPr>
        <w:t>煤层，基本不涉及煤层顶板间接充水含水层珍珠冲组砂岩），其排水主要通过+379m主平硐（井口水沟）、+548m回风平硐（井口水沟）、+411m副平硐（井口水沟）、+572m回风平硐（井口水沟）、+200m水平（+200m西运输大巷水沟、+200m东运输大巷水沟、+200m水仓入口）。</w:t>
      </w:r>
    </w:p>
    <w:p>
      <w:pPr>
        <w:spacing w:line="360" w:lineRule="auto"/>
        <w:ind w:firstLine="480"/>
        <w:rPr>
          <w:rFonts w:hAnsi="Times New Roman" w:eastAsia="宋体"/>
          <w:szCs w:val="24"/>
        </w:rPr>
      </w:pPr>
      <w:r>
        <w:rPr>
          <w:rFonts w:hAnsi="Times New Roman" w:eastAsia="宋体"/>
          <w:szCs w:val="24"/>
        </w:rPr>
        <w:t>根据《宣汉县天生镇集中式饮用水水源地划分技术报告》，七里峡煤矿与王一庙（村级）集中式饮用水水源地含水层为侏罗系中统下沙溪庙组（J</w:t>
      </w:r>
      <w:r>
        <w:rPr>
          <w:rFonts w:hAnsi="Times New Roman" w:eastAsia="宋体"/>
          <w:szCs w:val="24"/>
          <w:vertAlign w:val="subscript"/>
        </w:rPr>
        <w:t>2</w:t>
      </w:r>
      <w:r>
        <w:rPr>
          <w:rFonts w:hAnsi="Times New Roman" w:eastAsia="宋体"/>
          <w:szCs w:val="24"/>
        </w:rPr>
        <w:t>s），碎屑岩类裂隙孔隙水为主，上部普遍为风化裂隙水，泉水流量0.01</w:t>
      </w:r>
      <w:r>
        <w:rPr>
          <w:rFonts w:hint="eastAsia" w:hAnsi="Times New Roman" w:eastAsia="宋体"/>
          <w:szCs w:val="24"/>
          <w:lang w:eastAsia="zh-CN"/>
        </w:rPr>
        <w:t>～</w:t>
      </w:r>
      <w:r>
        <w:rPr>
          <w:rFonts w:hAnsi="Times New Roman" w:eastAsia="宋体"/>
          <w:szCs w:val="24"/>
        </w:rPr>
        <w:t>0.05升／秒，单井涌水量小于100吨／日，矿化度0.2</w:t>
      </w:r>
      <w:r>
        <w:rPr>
          <w:rFonts w:hint="eastAsia" w:hAnsi="Times New Roman" w:eastAsia="宋体"/>
          <w:szCs w:val="24"/>
          <w:lang w:eastAsia="zh-CN"/>
        </w:rPr>
        <w:t>～</w:t>
      </w:r>
      <w:r>
        <w:rPr>
          <w:rFonts w:hAnsi="Times New Roman" w:eastAsia="宋体"/>
          <w:szCs w:val="24"/>
        </w:rPr>
        <w:t>0.5克／升。宣汉县天生镇地下水水源地位于中－深丘状地貌水文地质单元。区内该单元内一般一条沟谷即为一个独立的水文地质单元，丘顶为渗入补给区，丘坡为径流区，沟谷为埋藏储集区。补给来源主要来自大气降水，丘顶接受大气降水垂直入渗补给后，沿丘坡段顺坡发育的风化网状裂隙或地层倾斜层面缓慢渗流形成径流区，在低洼沟谷侵蚀面附近以井泉形式排泄，或在地形较平缓，风化带较厚的区域形成地下潜水，成为埋藏区。</w:t>
      </w:r>
    </w:p>
    <w:p>
      <w:pPr>
        <w:pStyle w:val="14"/>
        <w:spacing w:line="360" w:lineRule="auto"/>
        <w:ind w:firstLine="480" w:firstLineChars="200"/>
        <w:rPr>
          <w:rFonts w:ascii="Times New Roman" w:hAnsi="Times New Roman"/>
          <w:sz w:val="24"/>
        </w:rPr>
      </w:pPr>
      <w:r>
        <w:rPr>
          <w:rFonts w:ascii="Times New Roman" w:hAnsi="Times New Roman"/>
          <w:sz w:val="24"/>
        </w:rPr>
        <w:t>综上所述，七里峡煤矿与王一庙（村级）集中式饮用水水源地保护区与本次矿区属两个不同的水文地质单元，之间不存在水力联系，因此，七里峡煤矿开采对王一庙（村级）集中式饮用水水源地保护区的水量及水质影响较小。</w:t>
      </w:r>
    </w:p>
    <w:p>
      <w:pPr>
        <w:pStyle w:val="53"/>
        <w:ind w:firstLine="0" w:firstLineChars="0"/>
        <w:rPr>
          <w:rFonts w:eastAsia="宋体"/>
          <w:b/>
          <w:bCs/>
        </w:rPr>
      </w:pPr>
      <w:r>
        <w:rPr>
          <w:rFonts w:eastAsia="宋体"/>
          <w:b/>
          <w:bCs/>
        </w:rPr>
        <w:t>5.4.3.</w:t>
      </w:r>
      <w:r>
        <w:rPr>
          <w:rFonts w:hint="eastAsia" w:eastAsia="宋体"/>
          <w:b/>
          <w:bCs/>
          <w:lang w:eastAsia="zh-CN"/>
        </w:rPr>
        <w:t>4</w:t>
      </w:r>
      <w:r>
        <w:rPr>
          <w:rFonts w:eastAsia="宋体"/>
          <w:b/>
          <w:bCs/>
        </w:rPr>
        <w:t xml:space="preserve"> 对</w:t>
      </w:r>
      <w:r>
        <w:rPr>
          <w:rFonts w:hint="eastAsia" w:eastAsia="宋体"/>
          <w:b/>
          <w:bCs/>
          <w:lang w:eastAsia="zh-CN"/>
        </w:rPr>
        <w:t>井、</w:t>
      </w:r>
      <w:r>
        <w:rPr>
          <w:rFonts w:eastAsia="宋体"/>
          <w:b/>
          <w:bCs/>
        </w:rPr>
        <w:t>泉点的影响分析</w:t>
      </w:r>
    </w:p>
    <w:p>
      <w:pPr>
        <w:spacing w:line="360" w:lineRule="auto"/>
        <w:ind w:firstLine="480"/>
        <w:rPr>
          <w:rFonts w:hAnsi="Times New Roman" w:eastAsia="宋体"/>
        </w:rPr>
      </w:pPr>
      <w:r>
        <w:rPr>
          <w:rFonts w:hAnsi="Times New Roman" w:eastAsia="宋体"/>
        </w:rPr>
        <w:t>根据导水裂缝带高度，K</w:t>
      </w:r>
      <w:r>
        <w:rPr>
          <w:rFonts w:hAnsi="Times New Roman" w:eastAsia="宋体"/>
          <w:vertAlign w:val="subscript"/>
        </w:rPr>
        <w:t>6、</w:t>
      </w:r>
      <w:r>
        <w:rPr>
          <w:rFonts w:hAnsi="Times New Roman" w:eastAsia="宋体"/>
        </w:rPr>
        <w:t>K</w:t>
      </w:r>
      <w:r>
        <w:rPr>
          <w:rFonts w:hAnsi="Times New Roman" w:eastAsia="宋体"/>
          <w:vertAlign w:val="subscript"/>
        </w:rPr>
        <w:t>5-1、</w:t>
      </w:r>
      <w:r>
        <w:rPr>
          <w:rFonts w:hAnsi="Times New Roman" w:eastAsia="宋体"/>
        </w:rPr>
        <w:t>K</w:t>
      </w:r>
      <w:r>
        <w:rPr>
          <w:rFonts w:hAnsi="Times New Roman" w:eastAsia="宋体"/>
          <w:vertAlign w:val="subscript"/>
        </w:rPr>
        <w:t>5</w:t>
      </w:r>
      <w:r>
        <w:rPr>
          <w:rFonts w:hAnsi="Times New Roman" w:eastAsia="宋体"/>
        </w:rPr>
        <w:t>煤层开采后，其导水裂缝带会发育上须家河组第六段含水层，会造成出露井泉的局部漏失，但由于本区地下水以砂岩裂隙含水层为主，裂隙不发育，富水性较弱；且含水层厚度较小，出露面积也小，补水来源有限，煤层开采后导水裂隙影响带已达到含水层，含水层被井下开采疏干，地表泉水消失，地下水位下降。</w:t>
      </w:r>
    </w:p>
    <w:p>
      <w:pPr>
        <w:spacing w:line="360" w:lineRule="auto"/>
        <w:ind w:firstLine="480"/>
        <w:rPr>
          <w:rFonts w:hAnsi="Times New Roman" w:eastAsia="宋体"/>
        </w:rPr>
      </w:pPr>
      <w:r>
        <w:rPr>
          <w:rFonts w:hAnsi="Times New Roman" w:eastAsia="宋体"/>
        </w:rPr>
        <w:t>（1）煤炭开采对井泉的影响分析方法</w:t>
      </w:r>
    </w:p>
    <w:p>
      <w:pPr>
        <w:spacing w:line="360" w:lineRule="auto"/>
        <w:ind w:firstLine="480"/>
        <w:rPr>
          <w:rFonts w:hAnsi="Times New Roman" w:eastAsia="宋体"/>
        </w:rPr>
      </w:pPr>
      <w:r>
        <w:rPr>
          <w:rFonts w:hAnsi="Times New Roman" w:eastAsia="宋体"/>
        </w:rPr>
        <w:t>出露地表的井泉为地下水排泄点，通常由其出露点所在的含水层补给，煤炭开采对井泉的影响主要取决于对其补给含水层的影响，其分析方法是通过对其补给含水层的影响来判断。煤炭开采对井泉的影响主要有两种：</w:t>
      </w:r>
    </w:p>
    <w:p>
      <w:pPr>
        <w:spacing w:line="360" w:lineRule="auto"/>
        <w:ind w:firstLine="480"/>
        <w:rPr>
          <w:rFonts w:hAnsi="Times New Roman" w:eastAsia="宋体"/>
        </w:rPr>
      </w:pPr>
      <w:r>
        <w:rPr>
          <w:rFonts w:hAnsi="Times New Roman" w:eastAsia="宋体"/>
        </w:rPr>
        <w:t>1）煤炭开采产生导水裂缝带导通含水层，导致含水层的地下水进入矿井以矿井水的形式排泄，破坏其原有的井泉排泄方式，造成由该含水层补给的井泉断流。</w:t>
      </w:r>
    </w:p>
    <w:p>
      <w:pPr>
        <w:spacing w:line="360" w:lineRule="auto"/>
        <w:ind w:firstLine="480"/>
        <w:rPr>
          <w:rFonts w:hAnsi="Times New Roman" w:eastAsia="宋体"/>
        </w:rPr>
      </w:pPr>
      <w:r>
        <w:rPr>
          <w:rFonts w:hAnsi="Times New Roman" w:eastAsia="宋体"/>
        </w:rPr>
        <w:t>2）煤炭开采产生导水裂缝带未导通含水层，但引发的地表沉陷导致含水层的地下水径流排泄路径发生变化，不再通过原有井泉点排泄，而会出现新的井泉点，即井泉出露点位发生变化，但流量不受影响。</w:t>
      </w:r>
    </w:p>
    <w:p>
      <w:pPr>
        <w:spacing w:line="360" w:lineRule="auto"/>
        <w:ind w:firstLine="480"/>
        <w:rPr>
          <w:rFonts w:hAnsi="Times New Roman" w:eastAsia="宋体"/>
        </w:rPr>
      </w:pPr>
      <w:r>
        <w:rPr>
          <w:rFonts w:hAnsi="Times New Roman" w:eastAsia="宋体"/>
        </w:rPr>
        <w:t>（2）煤炭开采对井泉的影响分析</w:t>
      </w:r>
    </w:p>
    <w:p>
      <w:pPr>
        <w:spacing w:line="360" w:lineRule="auto"/>
        <w:ind w:firstLine="480"/>
        <w:rPr>
          <w:rFonts w:hAnsi="Times New Roman" w:eastAsia="宋体"/>
        </w:rPr>
      </w:pPr>
      <w:r>
        <w:rPr>
          <w:rFonts w:hAnsi="Times New Roman" w:eastAsia="宋体"/>
        </w:rPr>
        <w:t>根据地质报告以及现场踏勘，本次调查井田内及附近井泉点共1</w:t>
      </w:r>
      <w:r>
        <w:rPr>
          <w:rFonts w:hint="eastAsia" w:hAnsi="Times New Roman" w:eastAsia="宋体"/>
          <w:lang w:eastAsia="zh-CN"/>
        </w:rPr>
        <w:t>0</w:t>
      </w:r>
      <w:r>
        <w:rPr>
          <w:rFonts w:hAnsi="Times New Roman" w:eastAsia="宋体"/>
        </w:rPr>
        <w:t>个，详细情况见下表。</w:t>
      </w:r>
    </w:p>
    <w:p>
      <w:pPr>
        <w:pStyle w:val="14"/>
        <w:tabs>
          <w:tab w:val="left" w:pos="3718"/>
        </w:tabs>
        <w:overflowPunct w:val="0"/>
        <w:spacing w:line="360" w:lineRule="auto"/>
        <w:jc w:val="center"/>
        <w:rPr>
          <w:rFonts w:ascii="Times New Roman" w:hAnsi="Times New Roman"/>
          <w:b/>
          <w:bCs w:val="0"/>
          <w:spacing w:val="-2"/>
          <w:sz w:val="21"/>
          <w:szCs w:val="21"/>
        </w:rPr>
      </w:pPr>
      <w:r>
        <w:rPr>
          <w:rFonts w:hint="eastAsia" w:ascii="Times New Roman" w:hAnsi="Times New Roman"/>
          <w:b/>
          <w:bCs w:val="0"/>
          <w:spacing w:val="-2"/>
          <w:sz w:val="21"/>
          <w:szCs w:val="21"/>
        </w:rPr>
        <w:t>表5</w:t>
      </w:r>
      <w:r>
        <w:rPr>
          <w:rFonts w:ascii="Times New Roman" w:hAnsi="Times New Roman"/>
          <w:b/>
          <w:bCs w:val="0"/>
          <w:spacing w:val="-2"/>
          <w:sz w:val="21"/>
          <w:szCs w:val="21"/>
        </w:rPr>
        <w:t>.4</w:t>
      </w:r>
      <w:r>
        <w:rPr>
          <w:rFonts w:hint="eastAsia" w:ascii="Times New Roman" w:hAnsi="Times New Roman"/>
          <w:b/>
          <w:bCs w:val="0"/>
          <w:spacing w:val="-2"/>
          <w:sz w:val="21"/>
          <w:szCs w:val="21"/>
        </w:rPr>
        <w:t>-</w:t>
      </w:r>
      <w:r>
        <w:rPr>
          <w:rFonts w:hint="eastAsia" w:ascii="Times New Roman" w:hAnsi="Times New Roman"/>
          <w:b/>
          <w:bCs w:val="0"/>
          <w:spacing w:val="-2"/>
          <w:sz w:val="21"/>
          <w:szCs w:val="21"/>
          <w:lang w:eastAsia="zh-CN"/>
        </w:rPr>
        <w:t>10</w:t>
      </w:r>
      <w:r>
        <w:rPr>
          <w:rFonts w:ascii="Times New Roman" w:hAnsi="Times New Roman"/>
          <w:b/>
          <w:bCs w:val="0"/>
          <w:spacing w:val="-2"/>
          <w:sz w:val="21"/>
          <w:szCs w:val="21"/>
        </w:rPr>
        <w:t xml:space="preserve"> </w:t>
      </w:r>
      <w:r>
        <w:rPr>
          <w:rFonts w:hint="eastAsia" w:ascii="Times New Roman" w:hAnsi="Times New Roman"/>
          <w:b/>
          <w:bCs w:val="0"/>
          <w:spacing w:val="-2"/>
          <w:sz w:val="21"/>
          <w:szCs w:val="21"/>
        </w:rPr>
        <w:t>区内井、泉点影响情况统计表</w:t>
      </w:r>
    </w:p>
    <w:tbl>
      <w:tblPr>
        <w:tblStyle w:val="33"/>
        <w:tblW w:w="5000" w:type="pct"/>
        <w:tblInd w:w="0" w:type="dxa"/>
        <w:tblLayout w:type="autofit"/>
        <w:tblCellMar>
          <w:top w:w="0" w:type="dxa"/>
          <w:left w:w="108" w:type="dxa"/>
          <w:bottom w:w="0" w:type="dxa"/>
          <w:right w:w="108" w:type="dxa"/>
        </w:tblCellMar>
      </w:tblPr>
      <w:tblGrid>
        <w:gridCol w:w="895"/>
        <w:gridCol w:w="914"/>
        <w:gridCol w:w="921"/>
        <w:gridCol w:w="1235"/>
        <w:gridCol w:w="992"/>
        <w:gridCol w:w="1067"/>
        <w:gridCol w:w="3319"/>
      </w:tblGrid>
      <w:tr>
        <w:tblPrEx>
          <w:tblCellMar>
            <w:top w:w="0" w:type="dxa"/>
            <w:left w:w="108" w:type="dxa"/>
            <w:bottom w:w="0" w:type="dxa"/>
            <w:right w:w="108" w:type="dxa"/>
          </w:tblCellMar>
        </w:tblPrEx>
        <w:trPr>
          <w:trHeight w:val="540" w:hRule="atLeast"/>
          <w:tblHeader/>
        </w:trPr>
        <w:tc>
          <w:tcPr>
            <w:tcW w:w="479" w:type="pct"/>
            <w:tcBorders>
              <w:top w:val="single" w:color="auto" w:sz="4" w:space="0"/>
              <w:left w:val="single" w:color="auto" w:sz="4" w:space="0"/>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b/>
                <w:bCs/>
                <w:kern w:val="2"/>
                <w:szCs w:val="21"/>
              </w:rPr>
            </w:pPr>
            <w:r>
              <w:rPr>
                <w:rFonts w:hint="eastAsia" w:hAnsi="Times New Roman" w:eastAsia="宋体"/>
                <w:b/>
                <w:bCs/>
                <w:kern w:val="2"/>
                <w:szCs w:val="21"/>
              </w:rPr>
              <w:t>井泉编号</w:t>
            </w:r>
          </w:p>
        </w:tc>
        <w:tc>
          <w:tcPr>
            <w:tcW w:w="489" w:type="pct"/>
            <w:tcBorders>
              <w:top w:val="single" w:color="auto" w:sz="4" w:space="0"/>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b/>
                <w:bCs/>
                <w:kern w:val="2"/>
                <w:szCs w:val="21"/>
              </w:rPr>
            </w:pPr>
            <w:r>
              <w:rPr>
                <w:rFonts w:hint="eastAsia" w:hAnsi="Times New Roman" w:eastAsia="宋体"/>
                <w:b/>
                <w:bCs/>
                <w:kern w:val="2"/>
                <w:szCs w:val="21"/>
              </w:rPr>
              <w:t>位置关系</w:t>
            </w:r>
          </w:p>
        </w:tc>
        <w:tc>
          <w:tcPr>
            <w:tcW w:w="493" w:type="pct"/>
            <w:tcBorders>
              <w:top w:val="single" w:color="auto" w:sz="4" w:space="0"/>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b/>
                <w:bCs/>
                <w:kern w:val="2"/>
                <w:szCs w:val="21"/>
              </w:rPr>
            </w:pPr>
            <w:r>
              <w:rPr>
                <w:rFonts w:hint="eastAsia" w:hAnsi="Times New Roman" w:eastAsia="宋体"/>
                <w:b/>
                <w:bCs/>
                <w:kern w:val="2"/>
                <w:szCs w:val="21"/>
              </w:rPr>
              <w:t>出露地层</w:t>
            </w:r>
          </w:p>
        </w:tc>
        <w:tc>
          <w:tcPr>
            <w:tcW w:w="661" w:type="pct"/>
            <w:tcBorders>
              <w:top w:val="single" w:color="auto" w:sz="4" w:space="0"/>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b/>
                <w:bCs/>
                <w:kern w:val="2"/>
                <w:szCs w:val="21"/>
              </w:rPr>
            </w:pPr>
            <w:r>
              <w:rPr>
                <w:rFonts w:hint="eastAsia" w:hAnsi="Times New Roman" w:eastAsia="宋体"/>
                <w:b/>
                <w:bCs/>
                <w:kern w:val="2"/>
                <w:szCs w:val="21"/>
              </w:rPr>
              <w:t>出露标高（水位）</w:t>
            </w:r>
          </w:p>
        </w:tc>
        <w:tc>
          <w:tcPr>
            <w:tcW w:w="531" w:type="pct"/>
            <w:tcBorders>
              <w:top w:val="single" w:color="auto" w:sz="4" w:space="0"/>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b/>
                <w:bCs/>
                <w:kern w:val="2"/>
                <w:szCs w:val="21"/>
              </w:rPr>
            </w:pPr>
            <w:r>
              <w:rPr>
                <w:rFonts w:hint="eastAsia" w:hAnsi="Times New Roman" w:eastAsia="宋体"/>
                <w:b/>
                <w:bCs/>
                <w:kern w:val="2"/>
                <w:szCs w:val="21"/>
              </w:rPr>
              <w:t>流量（L/s）</w:t>
            </w:r>
          </w:p>
        </w:tc>
        <w:tc>
          <w:tcPr>
            <w:tcW w:w="571" w:type="pct"/>
            <w:tcBorders>
              <w:top w:val="single" w:color="auto" w:sz="4" w:space="0"/>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b/>
                <w:bCs/>
                <w:kern w:val="2"/>
                <w:szCs w:val="21"/>
              </w:rPr>
            </w:pPr>
            <w:r>
              <w:rPr>
                <w:rFonts w:hint="eastAsia" w:hAnsi="Times New Roman" w:eastAsia="宋体"/>
                <w:b/>
                <w:bCs/>
                <w:kern w:val="2"/>
                <w:szCs w:val="21"/>
              </w:rPr>
              <w:t>功能</w:t>
            </w:r>
          </w:p>
        </w:tc>
        <w:tc>
          <w:tcPr>
            <w:tcW w:w="1776" w:type="pct"/>
            <w:tcBorders>
              <w:top w:val="single" w:color="auto" w:sz="4" w:space="0"/>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b/>
                <w:bCs/>
                <w:kern w:val="2"/>
                <w:szCs w:val="21"/>
              </w:rPr>
            </w:pPr>
            <w:r>
              <w:rPr>
                <w:rFonts w:hint="eastAsia" w:hAnsi="Times New Roman" w:eastAsia="宋体"/>
                <w:b/>
                <w:bCs/>
                <w:kern w:val="2"/>
                <w:szCs w:val="21"/>
              </w:rPr>
              <w:t>影响因素</w:t>
            </w:r>
          </w:p>
        </w:tc>
      </w:tr>
      <w:tr>
        <w:tblPrEx>
          <w:tblCellMar>
            <w:top w:w="0" w:type="dxa"/>
            <w:left w:w="108" w:type="dxa"/>
            <w:bottom w:w="0" w:type="dxa"/>
            <w:right w:w="108" w:type="dxa"/>
          </w:tblCellMar>
        </w:tblPrEx>
        <w:trPr>
          <w:trHeight w:val="810" w:hRule="atLeast"/>
        </w:trPr>
        <w:tc>
          <w:tcPr>
            <w:tcW w:w="479" w:type="pct"/>
            <w:tcBorders>
              <w:top w:val="nil"/>
              <w:left w:val="single" w:color="auto" w:sz="4" w:space="0"/>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S1</w:t>
            </w:r>
          </w:p>
        </w:tc>
        <w:tc>
          <w:tcPr>
            <w:tcW w:w="489"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主井工业广场西侧水井</w:t>
            </w:r>
          </w:p>
        </w:tc>
        <w:tc>
          <w:tcPr>
            <w:tcW w:w="493"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J</w:t>
            </w:r>
            <w:r>
              <w:rPr>
                <w:rFonts w:hint="eastAsia" w:hAnsi="Times New Roman" w:eastAsia="宋体"/>
                <w:kern w:val="2"/>
                <w:szCs w:val="21"/>
                <w:vertAlign w:val="subscript"/>
              </w:rPr>
              <w:t>2</w:t>
            </w:r>
            <w:r>
              <w:rPr>
                <w:rFonts w:hint="eastAsia" w:hAnsi="Times New Roman" w:eastAsia="宋体"/>
                <w:kern w:val="2"/>
                <w:szCs w:val="21"/>
              </w:rPr>
              <w:t>x</w:t>
            </w:r>
          </w:p>
        </w:tc>
        <w:tc>
          <w:tcPr>
            <w:tcW w:w="661"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342.5</w:t>
            </w:r>
          </w:p>
        </w:tc>
        <w:tc>
          <w:tcPr>
            <w:tcW w:w="531"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w:t>
            </w:r>
          </w:p>
        </w:tc>
        <w:tc>
          <w:tcPr>
            <w:tcW w:w="571"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未利用</w:t>
            </w:r>
          </w:p>
        </w:tc>
        <w:tc>
          <w:tcPr>
            <w:tcW w:w="1776"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矿区范围外，西侧区域，地处区内地下水排泄区，对表层潜水含水层基本无影响</w:t>
            </w:r>
          </w:p>
        </w:tc>
      </w:tr>
      <w:tr>
        <w:tblPrEx>
          <w:tblCellMar>
            <w:top w:w="0" w:type="dxa"/>
            <w:left w:w="108" w:type="dxa"/>
            <w:bottom w:w="0" w:type="dxa"/>
            <w:right w:w="108" w:type="dxa"/>
          </w:tblCellMar>
        </w:tblPrEx>
        <w:trPr>
          <w:trHeight w:val="1620" w:hRule="atLeast"/>
        </w:trPr>
        <w:tc>
          <w:tcPr>
            <w:tcW w:w="479" w:type="pct"/>
            <w:tcBorders>
              <w:top w:val="nil"/>
              <w:left w:val="single" w:color="auto" w:sz="4" w:space="0"/>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S2</w:t>
            </w:r>
          </w:p>
        </w:tc>
        <w:tc>
          <w:tcPr>
            <w:tcW w:w="489"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主井工业广场西北侧水井</w:t>
            </w:r>
          </w:p>
        </w:tc>
        <w:tc>
          <w:tcPr>
            <w:tcW w:w="493"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J</w:t>
            </w:r>
            <w:r>
              <w:rPr>
                <w:rFonts w:hint="eastAsia" w:hAnsi="Times New Roman" w:eastAsia="宋体"/>
                <w:kern w:val="2"/>
                <w:szCs w:val="21"/>
                <w:vertAlign w:val="subscript"/>
              </w:rPr>
              <w:t>2</w:t>
            </w:r>
            <w:r>
              <w:rPr>
                <w:rFonts w:hint="eastAsia" w:hAnsi="Times New Roman" w:eastAsia="宋体"/>
                <w:kern w:val="2"/>
                <w:szCs w:val="21"/>
              </w:rPr>
              <w:t>x</w:t>
            </w:r>
          </w:p>
        </w:tc>
        <w:tc>
          <w:tcPr>
            <w:tcW w:w="661"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370.4</w:t>
            </w:r>
          </w:p>
        </w:tc>
        <w:tc>
          <w:tcPr>
            <w:tcW w:w="531"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w:t>
            </w:r>
          </w:p>
        </w:tc>
        <w:tc>
          <w:tcPr>
            <w:tcW w:w="571"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当地居民饮用水源</w:t>
            </w:r>
          </w:p>
        </w:tc>
        <w:tc>
          <w:tcPr>
            <w:tcW w:w="1776"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矿区范围外，西侧区域，地处区内地下水排泄区，距离矿区范围2km有余，且距离煤矿主井1.44km（其风化裂隙水补径排较短），其导水裂隙带发育厚度约43m，距离其出露地层距离差大，预计影响很小，对表层潜水含水层基本无影响，对居民饮用水水量及水质影响较小</w:t>
            </w:r>
          </w:p>
        </w:tc>
      </w:tr>
      <w:tr>
        <w:tblPrEx>
          <w:tblCellMar>
            <w:top w:w="0" w:type="dxa"/>
            <w:left w:w="108" w:type="dxa"/>
            <w:bottom w:w="0" w:type="dxa"/>
            <w:right w:w="108" w:type="dxa"/>
          </w:tblCellMar>
        </w:tblPrEx>
        <w:trPr>
          <w:trHeight w:val="1620" w:hRule="atLeast"/>
        </w:trPr>
        <w:tc>
          <w:tcPr>
            <w:tcW w:w="479" w:type="pct"/>
            <w:tcBorders>
              <w:top w:val="nil"/>
              <w:left w:val="single" w:color="auto" w:sz="4" w:space="0"/>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S3</w:t>
            </w:r>
          </w:p>
        </w:tc>
        <w:tc>
          <w:tcPr>
            <w:tcW w:w="489"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工业广场外西北侧</w:t>
            </w:r>
          </w:p>
        </w:tc>
        <w:tc>
          <w:tcPr>
            <w:tcW w:w="493"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J</w:t>
            </w:r>
            <w:r>
              <w:rPr>
                <w:rFonts w:hint="eastAsia" w:hAnsi="Times New Roman" w:eastAsia="宋体"/>
                <w:kern w:val="2"/>
                <w:szCs w:val="21"/>
                <w:vertAlign w:val="subscript"/>
              </w:rPr>
              <w:t>2</w:t>
            </w:r>
            <w:r>
              <w:rPr>
                <w:rFonts w:hint="eastAsia" w:hAnsi="Times New Roman" w:eastAsia="宋体"/>
                <w:kern w:val="2"/>
                <w:szCs w:val="21"/>
              </w:rPr>
              <w:t>x</w:t>
            </w:r>
          </w:p>
        </w:tc>
        <w:tc>
          <w:tcPr>
            <w:tcW w:w="661"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342.1</w:t>
            </w:r>
          </w:p>
        </w:tc>
        <w:tc>
          <w:tcPr>
            <w:tcW w:w="531"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w:t>
            </w:r>
          </w:p>
        </w:tc>
        <w:tc>
          <w:tcPr>
            <w:tcW w:w="571"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当地居民饮用水源</w:t>
            </w:r>
          </w:p>
        </w:tc>
        <w:tc>
          <w:tcPr>
            <w:tcW w:w="1776" w:type="pct"/>
            <w:vMerge w:val="restart"/>
            <w:tcBorders>
              <w:top w:val="nil"/>
              <w:left w:val="single" w:color="auto" w:sz="4" w:space="0"/>
              <w:bottom w:val="single" w:color="000000"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矿区范围外，西侧区域，地处区内地下水排泄区，距离矿区最近范围1.6km有余，其导水裂隙带发育最大厚度约43m，距离其出露地层较远，预计影响很小，对表层潜水含水层基本无影响，对居民饮用水水量影响较小，但在工业广场发生事故状态下，区内地下水遭受污染，污染可能会通过弥散影响到居民用水水质</w:t>
            </w:r>
          </w:p>
        </w:tc>
      </w:tr>
      <w:tr>
        <w:tblPrEx>
          <w:tblCellMar>
            <w:top w:w="0" w:type="dxa"/>
            <w:left w:w="108" w:type="dxa"/>
            <w:bottom w:w="0" w:type="dxa"/>
            <w:right w:w="108" w:type="dxa"/>
          </w:tblCellMar>
        </w:tblPrEx>
        <w:trPr>
          <w:trHeight w:val="540" w:hRule="atLeast"/>
        </w:trPr>
        <w:tc>
          <w:tcPr>
            <w:tcW w:w="479" w:type="pct"/>
            <w:tcBorders>
              <w:top w:val="nil"/>
              <w:left w:val="single" w:color="auto" w:sz="4" w:space="0"/>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S4</w:t>
            </w:r>
          </w:p>
        </w:tc>
        <w:tc>
          <w:tcPr>
            <w:tcW w:w="489"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工业广场外西侧</w:t>
            </w:r>
          </w:p>
        </w:tc>
        <w:tc>
          <w:tcPr>
            <w:tcW w:w="493"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J</w:t>
            </w:r>
            <w:r>
              <w:rPr>
                <w:rFonts w:hint="eastAsia" w:hAnsi="Times New Roman" w:eastAsia="宋体"/>
                <w:kern w:val="2"/>
                <w:szCs w:val="21"/>
                <w:vertAlign w:val="subscript"/>
              </w:rPr>
              <w:t>2</w:t>
            </w:r>
            <w:r>
              <w:rPr>
                <w:rFonts w:hint="eastAsia" w:hAnsi="Times New Roman" w:eastAsia="宋体"/>
                <w:kern w:val="2"/>
                <w:szCs w:val="21"/>
              </w:rPr>
              <w:t>x</w:t>
            </w:r>
          </w:p>
        </w:tc>
        <w:tc>
          <w:tcPr>
            <w:tcW w:w="661"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375.1</w:t>
            </w:r>
          </w:p>
        </w:tc>
        <w:tc>
          <w:tcPr>
            <w:tcW w:w="531"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w:t>
            </w:r>
          </w:p>
        </w:tc>
        <w:tc>
          <w:tcPr>
            <w:tcW w:w="571"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未利用</w:t>
            </w:r>
          </w:p>
        </w:tc>
        <w:tc>
          <w:tcPr>
            <w:tcW w:w="1776" w:type="pct"/>
            <w:vMerge w:val="continue"/>
            <w:tcBorders>
              <w:top w:val="nil"/>
              <w:left w:val="single" w:color="auto" w:sz="4" w:space="0"/>
              <w:bottom w:val="single" w:color="000000" w:sz="4" w:space="0"/>
              <w:right w:val="single" w:color="auto" w:sz="4" w:space="0"/>
            </w:tcBorders>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r>
      <w:tr>
        <w:tblPrEx>
          <w:tblCellMar>
            <w:top w:w="0" w:type="dxa"/>
            <w:left w:w="108" w:type="dxa"/>
            <w:bottom w:w="0" w:type="dxa"/>
            <w:right w:w="108" w:type="dxa"/>
          </w:tblCellMar>
        </w:tblPrEx>
        <w:trPr>
          <w:trHeight w:val="1080" w:hRule="atLeast"/>
        </w:trPr>
        <w:tc>
          <w:tcPr>
            <w:tcW w:w="479" w:type="pct"/>
            <w:tcBorders>
              <w:top w:val="nil"/>
              <w:left w:val="single" w:color="auto" w:sz="4" w:space="0"/>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S5</w:t>
            </w:r>
          </w:p>
        </w:tc>
        <w:tc>
          <w:tcPr>
            <w:tcW w:w="489"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工业广场外南侧</w:t>
            </w:r>
          </w:p>
        </w:tc>
        <w:tc>
          <w:tcPr>
            <w:tcW w:w="493"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J</w:t>
            </w:r>
            <w:r>
              <w:rPr>
                <w:rFonts w:hint="eastAsia" w:hAnsi="Times New Roman" w:eastAsia="宋体"/>
                <w:kern w:val="2"/>
                <w:szCs w:val="21"/>
                <w:vertAlign w:val="subscript"/>
              </w:rPr>
              <w:t>1</w:t>
            </w:r>
            <w:r>
              <w:rPr>
                <w:rFonts w:hint="eastAsia" w:hAnsi="Times New Roman" w:eastAsia="宋体"/>
                <w:kern w:val="2"/>
                <w:szCs w:val="21"/>
              </w:rPr>
              <w:t>zh</w:t>
            </w:r>
          </w:p>
        </w:tc>
        <w:tc>
          <w:tcPr>
            <w:tcW w:w="661"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395.7</w:t>
            </w:r>
          </w:p>
        </w:tc>
        <w:tc>
          <w:tcPr>
            <w:tcW w:w="531"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0.05</w:t>
            </w:r>
          </w:p>
        </w:tc>
        <w:tc>
          <w:tcPr>
            <w:tcW w:w="571"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矿区工业广场供水水源（泉点）</w:t>
            </w:r>
          </w:p>
        </w:tc>
        <w:tc>
          <w:tcPr>
            <w:tcW w:w="1776"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矿区范围外，西侧区域，地处区内地下水径流排泄区，其导水裂隙带发育最大厚度约43m，距离其出露地层较远，但其处在主平硐附近，由于主平硐改变了小流场，</w:t>
            </w:r>
            <w:r>
              <w:rPr>
                <w:rFonts w:hint="eastAsia" w:hAnsi="Times New Roman" w:eastAsia="宋体"/>
                <w:kern w:val="2"/>
                <w:szCs w:val="21"/>
                <w:lang w:eastAsia="zh-CN"/>
              </w:rPr>
              <w:t>成为</w:t>
            </w:r>
            <w:r>
              <w:rPr>
                <w:rFonts w:hint="eastAsia" w:hAnsi="Times New Roman" w:eastAsia="宋体"/>
                <w:kern w:val="2"/>
                <w:szCs w:val="21"/>
              </w:rPr>
              <w:t>新的排泄点，可能会造成泉流量衰减，但对水质影响较小</w:t>
            </w:r>
          </w:p>
        </w:tc>
      </w:tr>
      <w:tr>
        <w:tblPrEx>
          <w:tblCellMar>
            <w:top w:w="0" w:type="dxa"/>
            <w:left w:w="108" w:type="dxa"/>
            <w:bottom w:w="0" w:type="dxa"/>
            <w:right w:w="108" w:type="dxa"/>
          </w:tblCellMar>
        </w:tblPrEx>
        <w:trPr>
          <w:trHeight w:val="1620" w:hRule="atLeast"/>
        </w:trPr>
        <w:tc>
          <w:tcPr>
            <w:tcW w:w="479" w:type="pct"/>
            <w:tcBorders>
              <w:top w:val="nil"/>
              <w:left w:val="single" w:color="auto" w:sz="4" w:space="0"/>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S6</w:t>
            </w:r>
          </w:p>
        </w:tc>
        <w:tc>
          <w:tcPr>
            <w:tcW w:w="489"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矿区范围外陈家大院子</w:t>
            </w:r>
          </w:p>
        </w:tc>
        <w:tc>
          <w:tcPr>
            <w:tcW w:w="493"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J</w:t>
            </w:r>
            <w:r>
              <w:rPr>
                <w:rFonts w:hint="eastAsia" w:hAnsi="Times New Roman" w:eastAsia="宋体"/>
                <w:kern w:val="2"/>
                <w:szCs w:val="21"/>
                <w:vertAlign w:val="subscript"/>
              </w:rPr>
              <w:t>2</w:t>
            </w:r>
            <w:r>
              <w:rPr>
                <w:rFonts w:hint="eastAsia" w:hAnsi="Times New Roman" w:eastAsia="宋体"/>
                <w:kern w:val="2"/>
                <w:szCs w:val="21"/>
              </w:rPr>
              <w:t>x</w:t>
            </w:r>
          </w:p>
        </w:tc>
        <w:tc>
          <w:tcPr>
            <w:tcW w:w="661"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422.1</w:t>
            </w:r>
          </w:p>
        </w:tc>
        <w:tc>
          <w:tcPr>
            <w:tcW w:w="531"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w:t>
            </w:r>
          </w:p>
        </w:tc>
        <w:tc>
          <w:tcPr>
            <w:tcW w:w="571"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当地居民饮用水源</w:t>
            </w:r>
          </w:p>
        </w:tc>
        <w:tc>
          <w:tcPr>
            <w:tcW w:w="1776" w:type="pct"/>
            <w:vMerge w:val="restart"/>
            <w:tcBorders>
              <w:top w:val="nil"/>
              <w:left w:val="single" w:color="auto" w:sz="4" w:space="0"/>
              <w:bottom w:val="single" w:color="000000"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矿区范围外，东侧区域，地处区内地下水径流区，距离矿区开采范围1km有余，其导水裂隙带发育厚度约43m，井点距离其出露地层较远，且矿井疏干层为须家河组六段砂岩含水层，该处S6、S7所处的新田沟组红层风化裂隙水非矿井直接和间接充水含水层，因此预计影响很小，对表层潜水含水层水量、水质影响甚微，对居民饮水影响较小</w:t>
            </w:r>
          </w:p>
        </w:tc>
      </w:tr>
      <w:tr>
        <w:tblPrEx>
          <w:tblCellMar>
            <w:top w:w="0" w:type="dxa"/>
            <w:left w:w="108" w:type="dxa"/>
            <w:bottom w:w="0" w:type="dxa"/>
            <w:right w:w="108" w:type="dxa"/>
          </w:tblCellMar>
        </w:tblPrEx>
        <w:trPr>
          <w:trHeight w:val="540" w:hRule="atLeast"/>
        </w:trPr>
        <w:tc>
          <w:tcPr>
            <w:tcW w:w="479" w:type="pct"/>
            <w:tcBorders>
              <w:top w:val="nil"/>
              <w:left w:val="single" w:color="auto" w:sz="4" w:space="0"/>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S7</w:t>
            </w:r>
          </w:p>
        </w:tc>
        <w:tc>
          <w:tcPr>
            <w:tcW w:w="489"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矿区范围外肖家院子</w:t>
            </w:r>
          </w:p>
        </w:tc>
        <w:tc>
          <w:tcPr>
            <w:tcW w:w="493"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J</w:t>
            </w:r>
            <w:r>
              <w:rPr>
                <w:rFonts w:hint="eastAsia" w:hAnsi="Times New Roman" w:eastAsia="宋体"/>
                <w:kern w:val="2"/>
                <w:szCs w:val="21"/>
                <w:vertAlign w:val="subscript"/>
              </w:rPr>
              <w:t>2</w:t>
            </w:r>
            <w:r>
              <w:rPr>
                <w:rFonts w:hint="eastAsia" w:hAnsi="Times New Roman" w:eastAsia="宋体"/>
                <w:kern w:val="2"/>
                <w:szCs w:val="21"/>
              </w:rPr>
              <w:t>x</w:t>
            </w:r>
          </w:p>
        </w:tc>
        <w:tc>
          <w:tcPr>
            <w:tcW w:w="661"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412.7</w:t>
            </w:r>
          </w:p>
        </w:tc>
        <w:tc>
          <w:tcPr>
            <w:tcW w:w="531"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w:t>
            </w:r>
          </w:p>
        </w:tc>
        <w:tc>
          <w:tcPr>
            <w:tcW w:w="571"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当地居民饮用水源</w:t>
            </w:r>
          </w:p>
        </w:tc>
        <w:tc>
          <w:tcPr>
            <w:tcW w:w="1776" w:type="pct"/>
            <w:vMerge w:val="continue"/>
            <w:tcBorders>
              <w:top w:val="nil"/>
              <w:left w:val="single" w:color="auto" w:sz="4" w:space="0"/>
              <w:bottom w:val="single" w:color="000000" w:sz="4" w:space="0"/>
              <w:right w:val="single" w:color="auto" w:sz="4" w:space="0"/>
            </w:tcBorders>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r>
      <w:tr>
        <w:tblPrEx>
          <w:tblCellMar>
            <w:top w:w="0" w:type="dxa"/>
            <w:left w:w="108" w:type="dxa"/>
            <w:bottom w:w="0" w:type="dxa"/>
            <w:right w:w="108" w:type="dxa"/>
          </w:tblCellMar>
        </w:tblPrEx>
        <w:trPr>
          <w:trHeight w:val="1080" w:hRule="atLeast"/>
        </w:trPr>
        <w:tc>
          <w:tcPr>
            <w:tcW w:w="479" w:type="pct"/>
            <w:tcBorders>
              <w:top w:val="nil"/>
              <w:left w:val="single" w:color="auto" w:sz="4" w:space="0"/>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S8</w:t>
            </w:r>
          </w:p>
        </w:tc>
        <w:tc>
          <w:tcPr>
            <w:tcW w:w="489"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矿区范围外凼里头</w:t>
            </w:r>
          </w:p>
        </w:tc>
        <w:tc>
          <w:tcPr>
            <w:tcW w:w="493"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J</w:t>
            </w:r>
            <w:r>
              <w:rPr>
                <w:rFonts w:hint="eastAsia" w:hAnsi="Times New Roman" w:eastAsia="宋体"/>
                <w:kern w:val="2"/>
                <w:szCs w:val="21"/>
                <w:vertAlign w:val="subscript"/>
              </w:rPr>
              <w:t>1</w:t>
            </w:r>
            <w:r>
              <w:rPr>
                <w:rFonts w:hint="eastAsia" w:hAnsi="Times New Roman" w:eastAsia="宋体"/>
                <w:kern w:val="2"/>
                <w:szCs w:val="21"/>
              </w:rPr>
              <w:t>zh</w:t>
            </w:r>
          </w:p>
        </w:tc>
        <w:tc>
          <w:tcPr>
            <w:tcW w:w="661"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415.3</w:t>
            </w:r>
          </w:p>
        </w:tc>
        <w:tc>
          <w:tcPr>
            <w:tcW w:w="531"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0.12</w:t>
            </w:r>
          </w:p>
        </w:tc>
        <w:tc>
          <w:tcPr>
            <w:tcW w:w="571"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泉点（未利用）</w:t>
            </w:r>
          </w:p>
        </w:tc>
        <w:tc>
          <w:tcPr>
            <w:tcW w:w="1776"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矿区范围外，东侧区域，地处区内地下水排泄区，其导水裂隙带发育最大厚度约43m，泉点距离其出露地层约400m，由于本次开采层为K5、K6煤层，不涉及K10煤层，故侏罗系珍珠冲组非煤层间接充水含水层，对泉流量影响较小，对水质影响甚微</w:t>
            </w:r>
          </w:p>
        </w:tc>
      </w:tr>
      <w:tr>
        <w:tblPrEx>
          <w:tblCellMar>
            <w:top w:w="0" w:type="dxa"/>
            <w:left w:w="108" w:type="dxa"/>
            <w:bottom w:w="0" w:type="dxa"/>
            <w:right w:w="108" w:type="dxa"/>
          </w:tblCellMar>
        </w:tblPrEx>
        <w:trPr>
          <w:trHeight w:val="1503" w:hRule="atLeast"/>
        </w:trPr>
        <w:tc>
          <w:tcPr>
            <w:tcW w:w="479" w:type="pct"/>
            <w:tcBorders>
              <w:top w:val="nil"/>
              <w:left w:val="single" w:color="auto" w:sz="4" w:space="0"/>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S9</w:t>
            </w:r>
          </w:p>
        </w:tc>
        <w:tc>
          <w:tcPr>
            <w:tcW w:w="489"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矿区范围外毛家老屋</w:t>
            </w:r>
          </w:p>
        </w:tc>
        <w:tc>
          <w:tcPr>
            <w:tcW w:w="493"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J</w:t>
            </w:r>
            <w:r>
              <w:rPr>
                <w:rFonts w:hint="eastAsia" w:hAnsi="Times New Roman" w:eastAsia="宋体"/>
                <w:kern w:val="2"/>
                <w:szCs w:val="21"/>
                <w:vertAlign w:val="subscript"/>
              </w:rPr>
              <w:t>2</w:t>
            </w:r>
            <w:r>
              <w:rPr>
                <w:rFonts w:hint="eastAsia" w:hAnsi="Times New Roman" w:eastAsia="宋体"/>
                <w:kern w:val="2"/>
                <w:szCs w:val="21"/>
              </w:rPr>
              <w:t>x</w:t>
            </w:r>
          </w:p>
        </w:tc>
        <w:tc>
          <w:tcPr>
            <w:tcW w:w="661"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393.7</w:t>
            </w:r>
          </w:p>
        </w:tc>
        <w:tc>
          <w:tcPr>
            <w:tcW w:w="531"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w:t>
            </w:r>
          </w:p>
        </w:tc>
        <w:tc>
          <w:tcPr>
            <w:tcW w:w="571"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毛家老屋当地居民饮用水源</w:t>
            </w:r>
          </w:p>
        </w:tc>
        <w:tc>
          <w:tcPr>
            <w:tcW w:w="1776" w:type="pct"/>
            <w:vMerge w:val="restart"/>
            <w:tcBorders>
              <w:top w:val="nil"/>
              <w:left w:val="single" w:color="auto" w:sz="4" w:space="0"/>
              <w:bottom w:val="single" w:color="000000"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矿区范围外，东侧区域，地处区内地下水径流排泄区，众井点距离矿区开采范围在0.9-1.7km，其导水裂隙带发育最大厚度约43m，S9井点距离其出露约0.87km，区域井点更远，且矿井疏干含水层为须家河组六段砂岩含水层，该处S9所处的新田沟组红层风化裂隙水、S10沙溪庙组风化裂隙水非矿井直接和间接充水含水层，预计影响较小，对表层潜水含水层影响不大，对居民饮水水量和水质影响较小</w:t>
            </w:r>
          </w:p>
        </w:tc>
      </w:tr>
      <w:tr>
        <w:tblPrEx>
          <w:tblCellMar>
            <w:top w:w="0" w:type="dxa"/>
            <w:left w:w="108" w:type="dxa"/>
            <w:bottom w:w="0" w:type="dxa"/>
            <w:right w:w="108" w:type="dxa"/>
          </w:tblCellMar>
        </w:tblPrEx>
        <w:trPr>
          <w:trHeight w:val="540" w:hRule="atLeast"/>
        </w:trPr>
        <w:tc>
          <w:tcPr>
            <w:tcW w:w="479" w:type="pct"/>
            <w:tcBorders>
              <w:top w:val="nil"/>
              <w:left w:val="single" w:color="auto" w:sz="4" w:space="0"/>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S10</w:t>
            </w:r>
          </w:p>
        </w:tc>
        <w:tc>
          <w:tcPr>
            <w:tcW w:w="489"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矿区范围外马家梁</w:t>
            </w:r>
          </w:p>
        </w:tc>
        <w:tc>
          <w:tcPr>
            <w:tcW w:w="493"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J</w:t>
            </w:r>
            <w:r>
              <w:rPr>
                <w:rFonts w:hint="eastAsia" w:hAnsi="Times New Roman" w:eastAsia="宋体"/>
                <w:kern w:val="2"/>
                <w:szCs w:val="21"/>
                <w:vertAlign w:val="subscript"/>
              </w:rPr>
              <w:t>2</w:t>
            </w:r>
            <w:r>
              <w:rPr>
                <w:rFonts w:hint="eastAsia" w:hAnsi="Times New Roman" w:eastAsia="宋体"/>
                <w:kern w:val="2"/>
                <w:szCs w:val="21"/>
              </w:rPr>
              <w:t>s</w:t>
            </w:r>
          </w:p>
        </w:tc>
        <w:tc>
          <w:tcPr>
            <w:tcW w:w="661"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401.4</w:t>
            </w:r>
          </w:p>
        </w:tc>
        <w:tc>
          <w:tcPr>
            <w:tcW w:w="531"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w:t>
            </w:r>
          </w:p>
        </w:tc>
        <w:tc>
          <w:tcPr>
            <w:tcW w:w="571" w:type="pct"/>
            <w:tcBorders>
              <w:top w:val="nil"/>
              <w:left w:val="nil"/>
              <w:bottom w:val="single" w:color="auto" w:sz="4" w:space="0"/>
              <w:right w:val="single" w:color="auto" w:sz="4" w:space="0"/>
            </w:tcBorders>
            <w:shd w:val="clear" w:color="auto" w:fill="auto"/>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马家梁当地居民饮用水源</w:t>
            </w:r>
          </w:p>
        </w:tc>
        <w:tc>
          <w:tcPr>
            <w:tcW w:w="1776" w:type="pct"/>
            <w:vMerge w:val="continue"/>
            <w:tcBorders>
              <w:top w:val="nil"/>
              <w:left w:val="single" w:color="auto" w:sz="4" w:space="0"/>
              <w:bottom w:val="single" w:color="000000" w:sz="4" w:space="0"/>
              <w:right w:val="single" w:color="auto" w:sz="4" w:space="0"/>
            </w:tcBorders>
            <w:vAlign w:val="center"/>
          </w:tcPr>
          <w:p>
            <w:pPr>
              <w:pStyle w:val="62"/>
              <w:keepNext w:val="0"/>
              <w:keepLines w:val="0"/>
              <w:suppressLineNumbers w:val="0"/>
              <w:spacing w:before="0" w:beforeAutospacing="0" w:after="0" w:afterAutospacing="0"/>
              <w:ind w:left="0" w:right="0" w:firstLine="480"/>
              <w:rPr>
                <w:rFonts w:hint="eastAsia"/>
                <w:kern w:val="2"/>
                <w:szCs w:val="22"/>
              </w:rPr>
            </w:pPr>
          </w:p>
        </w:tc>
      </w:tr>
    </w:tbl>
    <w:p>
      <w:pPr>
        <w:pStyle w:val="53"/>
        <w:ind w:firstLine="0" w:firstLineChars="0"/>
        <w:rPr>
          <w:rFonts w:eastAsia="宋体"/>
          <w:b/>
          <w:bCs/>
        </w:rPr>
      </w:pPr>
      <w:r>
        <w:rPr>
          <w:rFonts w:eastAsia="宋体"/>
          <w:b/>
          <w:bCs/>
        </w:rPr>
        <w:t>5.4.3.</w:t>
      </w:r>
      <w:r>
        <w:rPr>
          <w:rFonts w:hint="eastAsia" w:eastAsia="宋体"/>
          <w:b/>
          <w:bCs/>
          <w:lang w:eastAsia="zh-CN"/>
        </w:rPr>
        <w:t>5</w:t>
      </w:r>
      <w:r>
        <w:rPr>
          <w:rFonts w:eastAsia="宋体"/>
          <w:b/>
          <w:bCs/>
        </w:rPr>
        <w:t>对周边居民用水的影响分析</w:t>
      </w:r>
    </w:p>
    <w:p>
      <w:pPr>
        <w:spacing w:line="360" w:lineRule="auto"/>
        <w:ind w:firstLine="480"/>
        <w:rPr>
          <w:rFonts w:hAnsi="Times New Roman" w:eastAsia="宋体"/>
        </w:rPr>
      </w:pPr>
      <w:r>
        <w:rPr>
          <w:rFonts w:hAnsi="Times New Roman" w:eastAsia="宋体"/>
        </w:rPr>
        <w:t>矿区平硐位于山坡，其开采矿层位于+670～</w:t>
      </w:r>
      <w:r>
        <w:rPr>
          <w:rFonts w:hint="eastAsia"/>
        </w:rPr>
        <w:t>±0</w:t>
      </w:r>
      <w:r>
        <w:t>m</w:t>
      </w:r>
      <w:r>
        <w:rPr>
          <w:rFonts w:hAnsi="Times New Roman" w:eastAsia="宋体"/>
        </w:rPr>
        <w:t xml:space="preserve"> 海拔，矿坑疏干排水影响半径范围内无集中式饮用水水源地。矿区范围内基本不存在居民，矿区外东侧、西侧分布少量当地居民，该区域已不在主要采场上方，且巷道采用锚喷支护和砌碹支护，对地面居民影响很小。当地居民生活用水多以当地山间溪水、山泉水为主，另外在矿区外（矿区东、西两侧）典型红层区存在部分居民通过钻探打井取水的方式作为饮用水。</w:t>
      </w:r>
    </w:p>
    <w:bookmarkEnd w:id="391"/>
    <w:p>
      <w:pPr>
        <w:spacing w:line="360" w:lineRule="auto"/>
        <w:ind w:firstLine="480"/>
        <w:rPr>
          <w:rFonts w:hAnsi="Times New Roman" w:eastAsia="宋体"/>
        </w:rPr>
      </w:pPr>
      <w:r>
        <w:rPr>
          <w:rFonts w:hAnsi="Times New Roman" w:eastAsia="宋体"/>
        </w:rPr>
        <w:t>本区直接相对隔水层为须家河组第七段（T</w:t>
      </w:r>
      <w:r>
        <w:rPr>
          <w:rFonts w:hAnsi="Times New Roman" w:eastAsia="宋体"/>
          <w:vertAlign w:val="subscript"/>
        </w:rPr>
        <w:t>3</w:t>
      </w:r>
      <w:r>
        <w:rPr>
          <w:rFonts w:hAnsi="Times New Roman" w:eastAsia="宋体"/>
        </w:rPr>
        <w:t>xj</w:t>
      </w:r>
      <w:r>
        <w:rPr>
          <w:rFonts w:hAnsi="Times New Roman" w:eastAsia="宋体"/>
          <w:vertAlign w:val="superscript"/>
        </w:rPr>
        <w:t>7</w:t>
      </w:r>
      <w:r>
        <w:rPr>
          <w:rFonts w:hAnsi="Times New Roman" w:eastAsia="宋体"/>
        </w:rPr>
        <w:t>）隔水层、须家河组第五段（T</w:t>
      </w:r>
      <w:r>
        <w:rPr>
          <w:rFonts w:hAnsi="Times New Roman" w:eastAsia="宋体"/>
          <w:vertAlign w:val="subscript"/>
        </w:rPr>
        <w:t>3</w:t>
      </w:r>
      <w:r>
        <w:rPr>
          <w:rFonts w:hAnsi="Times New Roman" w:eastAsia="宋体"/>
        </w:rPr>
        <w:t>xj</w:t>
      </w:r>
      <w:r>
        <w:rPr>
          <w:rFonts w:hAnsi="Times New Roman" w:eastAsia="宋体"/>
          <w:vertAlign w:val="superscript"/>
        </w:rPr>
        <w:t>5</w:t>
      </w:r>
      <w:r>
        <w:rPr>
          <w:rFonts w:hAnsi="Times New Roman" w:eastAsia="宋体"/>
        </w:rPr>
        <w:t>）隔水层、须家河组第三段（T</w:t>
      </w:r>
      <w:r>
        <w:rPr>
          <w:rFonts w:hAnsi="Times New Roman" w:eastAsia="宋体"/>
          <w:vertAlign w:val="subscript"/>
        </w:rPr>
        <w:t>3</w:t>
      </w:r>
      <w:r>
        <w:rPr>
          <w:rFonts w:hAnsi="Times New Roman" w:eastAsia="宋体"/>
        </w:rPr>
        <w:t>xj</w:t>
      </w:r>
      <w:r>
        <w:rPr>
          <w:rFonts w:hAnsi="Times New Roman" w:eastAsia="宋体"/>
          <w:vertAlign w:val="superscript"/>
        </w:rPr>
        <w:t>3</w:t>
      </w:r>
      <w:r>
        <w:rPr>
          <w:rFonts w:hAnsi="Times New Roman" w:eastAsia="宋体"/>
        </w:rPr>
        <w:t>）隔水层，须家河组第一段（T</w:t>
      </w:r>
      <w:r>
        <w:rPr>
          <w:rFonts w:hAnsi="Times New Roman" w:eastAsia="宋体"/>
          <w:vertAlign w:val="subscript"/>
        </w:rPr>
        <w:t>3</w:t>
      </w:r>
      <w:r>
        <w:rPr>
          <w:rFonts w:hAnsi="Times New Roman" w:eastAsia="宋体"/>
        </w:rPr>
        <w:t>xj</w:t>
      </w:r>
      <w:r>
        <w:rPr>
          <w:rFonts w:hAnsi="Times New Roman" w:eastAsia="宋体"/>
          <w:vertAlign w:val="superscript"/>
        </w:rPr>
        <w:t>1</w:t>
      </w:r>
      <w:r>
        <w:rPr>
          <w:rFonts w:hAnsi="Times New Roman" w:eastAsia="宋体"/>
        </w:rPr>
        <w:t>）隔水层。三叠系须家河组岩性主要为泥岩、粉砂质泥岩及石英砂岩，其中须家河组第七段（T</w:t>
      </w:r>
      <w:r>
        <w:rPr>
          <w:rFonts w:hAnsi="Times New Roman" w:eastAsia="宋体"/>
          <w:vertAlign w:val="subscript"/>
        </w:rPr>
        <w:t>3</w:t>
      </w:r>
      <w:r>
        <w:rPr>
          <w:rFonts w:hAnsi="Times New Roman" w:eastAsia="宋体"/>
        </w:rPr>
        <w:t>xj</w:t>
      </w:r>
      <w:r>
        <w:rPr>
          <w:rFonts w:hAnsi="Times New Roman" w:eastAsia="宋体"/>
          <w:vertAlign w:val="superscript"/>
        </w:rPr>
        <w:t>7</w:t>
      </w:r>
      <w:r>
        <w:rPr>
          <w:rFonts w:hAnsi="Times New Roman" w:eastAsia="宋体"/>
        </w:rPr>
        <w:t>）隔水层平均厚度79.07m，含K10、K9、K8煤层夹多层煤线；须家河组第五段（T</w:t>
      </w:r>
      <w:r>
        <w:rPr>
          <w:rFonts w:hAnsi="Times New Roman" w:eastAsia="宋体"/>
          <w:vertAlign w:val="subscript"/>
        </w:rPr>
        <w:t>3</w:t>
      </w:r>
      <w:r>
        <w:rPr>
          <w:rFonts w:hAnsi="Times New Roman" w:eastAsia="宋体"/>
        </w:rPr>
        <w:t>xj</w:t>
      </w:r>
      <w:r>
        <w:rPr>
          <w:rFonts w:hAnsi="Times New Roman" w:eastAsia="宋体"/>
          <w:vertAlign w:val="superscript"/>
        </w:rPr>
        <w:t>5</w:t>
      </w:r>
      <w:r>
        <w:rPr>
          <w:rFonts w:hAnsi="Times New Roman" w:eastAsia="宋体"/>
        </w:rPr>
        <w:t>）平均厚度71.18m，含K7、K4煤层；须家河组第三段（T</w:t>
      </w:r>
      <w:r>
        <w:rPr>
          <w:rFonts w:hAnsi="Times New Roman" w:eastAsia="宋体"/>
          <w:vertAlign w:val="subscript"/>
        </w:rPr>
        <w:t>3</w:t>
      </w:r>
      <w:r>
        <w:rPr>
          <w:rFonts w:hAnsi="Times New Roman" w:eastAsia="宋体"/>
        </w:rPr>
        <w:t>xj</w:t>
      </w:r>
      <w:r>
        <w:rPr>
          <w:rFonts w:hAnsi="Times New Roman" w:eastAsia="宋体"/>
          <w:vertAlign w:val="superscript"/>
        </w:rPr>
        <w:t>3</w:t>
      </w:r>
      <w:r>
        <w:rPr>
          <w:rFonts w:hAnsi="Times New Roman" w:eastAsia="宋体"/>
        </w:rPr>
        <w:t>）厚度约35m，含K</w:t>
      </w:r>
      <w:r>
        <w:rPr>
          <w:rFonts w:hAnsi="Times New Roman" w:eastAsia="宋体"/>
          <w:vertAlign w:val="subscript"/>
        </w:rPr>
        <w:t>3</w:t>
      </w:r>
      <w:r>
        <w:rPr>
          <w:rFonts w:hAnsi="Times New Roman" w:eastAsia="宋体"/>
        </w:rPr>
        <w:t>煤层；须家河组第一段（T</w:t>
      </w:r>
      <w:r>
        <w:rPr>
          <w:rFonts w:hAnsi="Times New Roman" w:eastAsia="宋体"/>
          <w:vertAlign w:val="subscript"/>
        </w:rPr>
        <w:t>3</w:t>
      </w:r>
      <w:r>
        <w:rPr>
          <w:rFonts w:hAnsi="Times New Roman" w:eastAsia="宋体"/>
        </w:rPr>
        <w:t>xj</w:t>
      </w:r>
      <w:r>
        <w:rPr>
          <w:rFonts w:hAnsi="Times New Roman" w:eastAsia="宋体"/>
          <w:vertAlign w:val="superscript"/>
        </w:rPr>
        <w:t>1</w:t>
      </w:r>
      <w:r>
        <w:rPr>
          <w:rFonts w:hAnsi="Times New Roman" w:eastAsia="宋体"/>
        </w:rPr>
        <w:t>）厚度约36m，含K</w:t>
      </w:r>
      <w:r>
        <w:rPr>
          <w:rFonts w:hAnsi="Times New Roman" w:eastAsia="宋体"/>
          <w:vertAlign w:val="subscript"/>
        </w:rPr>
        <w:t>1</w:t>
      </w:r>
      <w:r>
        <w:rPr>
          <w:rFonts w:hAnsi="Times New Roman" w:eastAsia="宋体"/>
        </w:rPr>
        <w:t>煤层。其中泥岩、砂质泥岩结构致密，裂隙不甚发育，基本不具容水空间，属隔水岩组。</w:t>
      </w:r>
      <w:r>
        <w:rPr>
          <w:rFonts w:hAnsi="Times New Roman" w:eastAsia="宋体"/>
          <w:spacing w:val="-2"/>
          <w:szCs w:val="28"/>
        </w:rPr>
        <w:t>区内各煤层的直接顶、底板及含水层之间的泥岩为隔水层，主要由泥岩、粉砂质泥岩、泥质粉砂岩组成，厚度较稳定，结构致密，裂隙不发育，因有隔水层的存在，所以各含水层之间天然状态下一般不发生水力联系</w:t>
      </w:r>
      <w:r>
        <w:rPr>
          <w:rFonts w:hAnsi="Times New Roman" w:eastAsia="宋体"/>
          <w:spacing w:val="-2"/>
        </w:rPr>
        <w:t>，且对浅部地下水影响不大。</w:t>
      </w:r>
    </w:p>
    <w:p>
      <w:pPr>
        <w:spacing w:line="360" w:lineRule="auto"/>
        <w:ind w:firstLine="480"/>
        <w:rPr>
          <w:rFonts w:hAnsi="Times New Roman" w:eastAsia="宋体"/>
        </w:rPr>
      </w:pPr>
      <w:r>
        <w:rPr>
          <w:rFonts w:hAnsi="Times New Roman" w:eastAsia="宋体"/>
        </w:rPr>
        <w:t>根据调查，地表与采空区之间有隔水层，矿井涌水疏干排水对当地居民饮用地下水的水位、水质不会产生较大影响。但由于本项目原因对评价范围内居民生活饮用水造成影响时，建设单位应统筹安排，将居民饮用水使用集中式供应自来水，安装费用由建设单位出资。</w:t>
      </w:r>
    </w:p>
    <w:p>
      <w:pPr>
        <w:pStyle w:val="53"/>
        <w:ind w:firstLine="0" w:firstLineChars="0"/>
        <w:rPr>
          <w:rFonts w:eastAsia="宋体"/>
          <w:b/>
          <w:bCs/>
        </w:rPr>
      </w:pPr>
      <w:r>
        <w:rPr>
          <w:rFonts w:eastAsia="宋体"/>
          <w:b/>
          <w:bCs/>
        </w:rPr>
        <w:t>5.4.3.</w:t>
      </w:r>
      <w:r>
        <w:rPr>
          <w:rFonts w:hint="eastAsia" w:eastAsia="宋体"/>
          <w:b/>
          <w:bCs/>
          <w:lang w:eastAsia="zh-CN"/>
        </w:rPr>
        <w:t>6</w:t>
      </w:r>
      <w:r>
        <w:rPr>
          <w:rFonts w:eastAsia="宋体"/>
          <w:b/>
          <w:bCs/>
        </w:rPr>
        <w:t>煤炭开采对地下水资源的影响</w:t>
      </w:r>
    </w:p>
    <w:p>
      <w:pPr>
        <w:spacing w:line="360" w:lineRule="auto"/>
        <w:ind w:firstLine="480"/>
        <w:rPr>
          <w:rFonts w:hAnsi="Times New Roman" w:eastAsia="宋体"/>
        </w:rPr>
      </w:pPr>
      <w:r>
        <w:rPr>
          <w:rFonts w:hAnsi="Times New Roman" w:eastAsia="宋体"/>
        </w:rPr>
        <w:t>根据项目区域水文地质资料及本项目工程特征，本次煤矿含煤地层为三叠系上统须家河组第五段（T</w:t>
      </w:r>
      <w:r>
        <w:rPr>
          <w:rFonts w:hAnsi="Times New Roman" w:eastAsia="宋体"/>
          <w:vertAlign w:val="subscript"/>
        </w:rPr>
        <w:t>3</w:t>
      </w:r>
      <w:r>
        <w:rPr>
          <w:rFonts w:hAnsi="Times New Roman" w:eastAsia="宋体"/>
        </w:rPr>
        <w:t>xj</w:t>
      </w:r>
      <w:r>
        <w:rPr>
          <w:rFonts w:hAnsi="Times New Roman" w:eastAsia="宋体"/>
          <w:vertAlign w:val="superscript"/>
        </w:rPr>
        <w:t>5</w:t>
      </w:r>
      <w:r>
        <w:rPr>
          <w:rFonts w:hAnsi="Times New Roman" w:eastAsia="宋体"/>
        </w:rPr>
        <w:t>），区内岩层主要为三叠系上统须家河组（T</w:t>
      </w:r>
      <w:r>
        <w:rPr>
          <w:rFonts w:hAnsi="Times New Roman" w:eastAsia="宋体"/>
          <w:vertAlign w:val="subscript"/>
        </w:rPr>
        <w:t>3</w:t>
      </w:r>
      <w:r>
        <w:rPr>
          <w:rFonts w:hAnsi="Times New Roman" w:eastAsia="宋体"/>
        </w:rPr>
        <w:t>xj）灰色细～中粒砂岩、深灰色泥岩、粉砂质泥岩及侏罗系下统珍珠冲组（J</w:t>
      </w:r>
      <w:r>
        <w:rPr>
          <w:rFonts w:hAnsi="Times New Roman" w:eastAsia="宋体"/>
          <w:vertAlign w:val="subscript"/>
        </w:rPr>
        <w:t>1</w:t>
      </w:r>
      <w:r>
        <w:rPr>
          <w:rFonts w:hAnsi="Times New Roman" w:eastAsia="宋体"/>
        </w:rPr>
        <w:t>zh）底部深灰色泥岩、粉砂质泥岩、细～中粒砂岩。K</w:t>
      </w:r>
      <w:r>
        <w:rPr>
          <w:rFonts w:hAnsi="Times New Roman" w:eastAsia="宋体"/>
          <w:vertAlign w:val="subscript"/>
        </w:rPr>
        <w:t>6</w:t>
      </w:r>
      <w:r>
        <w:rPr>
          <w:rFonts w:hAnsi="Times New Roman" w:eastAsia="宋体"/>
        </w:rPr>
        <w:t>煤层位于三叠系上统须家河组第五段（T</w:t>
      </w:r>
      <w:r>
        <w:rPr>
          <w:rFonts w:hAnsi="Times New Roman" w:eastAsia="宋体"/>
          <w:vertAlign w:val="subscript"/>
        </w:rPr>
        <w:t>3</w:t>
      </w:r>
      <w:r>
        <w:rPr>
          <w:rFonts w:hAnsi="Times New Roman" w:eastAsia="宋体"/>
        </w:rPr>
        <w:t>xj</w:t>
      </w:r>
      <w:r>
        <w:rPr>
          <w:rFonts w:hAnsi="Times New Roman" w:eastAsia="宋体"/>
          <w:vertAlign w:val="superscript"/>
        </w:rPr>
        <w:t>5</w:t>
      </w:r>
      <w:r>
        <w:rPr>
          <w:rFonts w:hAnsi="Times New Roman" w:eastAsia="宋体"/>
        </w:rPr>
        <w:t>）中下部，煤层顶板为炭质泥岩，底板为泥质粉砂岩。K</w:t>
      </w:r>
      <w:r>
        <w:rPr>
          <w:rFonts w:hAnsi="Times New Roman" w:eastAsia="宋体"/>
          <w:vertAlign w:val="subscript"/>
        </w:rPr>
        <w:t>5</w:t>
      </w:r>
      <w:r>
        <w:rPr>
          <w:rFonts w:hAnsi="Times New Roman" w:eastAsia="宋体"/>
        </w:rPr>
        <w:t>煤层位于三叠系上统须家河组第五段（T</w:t>
      </w:r>
      <w:r>
        <w:rPr>
          <w:rFonts w:hAnsi="Times New Roman" w:eastAsia="宋体"/>
          <w:vertAlign w:val="subscript"/>
        </w:rPr>
        <w:t>3</w:t>
      </w:r>
      <w:r>
        <w:rPr>
          <w:rFonts w:hAnsi="Times New Roman" w:eastAsia="宋体"/>
        </w:rPr>
        <w:t>xj</w:t>
      </w:r>
      <w:r>
        <w:rPr>
          <w:rFonts w:hAnsi="Times New Roman" w:eastAsia="宋体"/>
          <w:vertAlign w:val="superscript"/>
        </w:rPr>
        <w:t>5</w:t>
      </w:r>
      <w:r>
        <w:rPr>
          <w:rFonts w:hAnsi="Times New Roman" w:eastAsia="宋体"/>
        </w:rPr>
        <w:t>）下部，煤层顶板为砂质泥岩，底板为粉砂岩。</w:t>
      </w:r>
    </w:p>
    <w:p>
      <w:pPr>
        <w:spacing w:line="360" w:lineRule="auto"/>
        <w:ind w:firstLine="480"/>
        <w:rPr>
          <w:rFonts w:hAnsi="Times New Roman" w:eastAsia="宋体"/>
          <w:szCs w:val="22"/>
        </w:rPr>
      </w:pPr>
      <w:r>
        <w:rPr>
          <w:rFonts w:hAnsi="Times New Roman" w:eastAsia="宋体"/>
          <w:szCs w:val="22"/>
        </w:rPr>
        <w:t>根据《铁路工程水文地质勘查规程》（TB10049-2004）提供不同含水介质降雨入渗经验值和评价区水文地质条件，降雨入渗系数取值0.11（表5.4-7），根据煤矿开采区出露地层岩性含水性及隔水层边界条件估算其集水面积约为</w:t>
      </w:r>
      <w:r>
        <w:rPr>
          <w:rFonts w:hint="eastAsia" w:hAnsi="Times New Roman" w:eastAsia="宋体"/>
          <w:szCs w:val="22"/>
        </w:rPr>
        <w:t>6</w:t>
      </w:r>
      <w:r>
        <w:rPr>
          <w:rFonts w:hAnsi="Times New Roman" w:eastAsia="宋体"/>
          <w:szCs w:val="22"/>
        </w:rPr>
        <w:t>3.75km</w:t>
      </w:r>
      <w:r>
        <w:rPr>
          <w:rFonts w:hAnsi="Times New Roman" w:eastAsia="宋体"/>
          <w:szCs w:val="22"/>
          <w:vertAlign w:val="superscript"/>
        </w:rPr>
        <w:t>2</w:t>
      </w:r>
      <w:r>
        <w:rPr>
          <w:rFonts w:hAnsi="Times New Roman" w:eastAsia="宋体"/>
          <w:szCs w:val="22"/>
        </w:rPr>
        <w:t>（具有入渗条件的面积），多年平均降水量为1239.40mm，大气降水入渗法计算如下：</w:t>
      </w:r>
    </w:p>
    <w:p>
      <w:pPr>
        <w:ind w:firstLine="480"/>
        <w:jc w:val="center"/>
        <w:rPr>
          <w:rFonts w:eastAsia="等线"/>
        </w:rPr>
      </w:pPr>
      <w:r>
        <w:rPr>
          <w:rFonts w:eastAsia="等线"/>
          <w:position w:val="-24"/>
        </w:rPr>
        <w:object>
          <v:shape id="_x0000_i1057" o:spt="75" type="#_x0000_t75" style="height:31.35pt;width:76.6pt;" o:ole="t" filled="f" o:preferrelative="t" stroked="f" coordsize="21600,21600">
            <v:path/>
            <v:fill on="f" focussize="0,0"/>
            <v:stroke on="f" joinstyle="miter"/>
            <v:imagedata r:id="rId220" o:title=""/>
            <o:lock v:ext="edit" aspectratio="t"/>
            <w10:wrap type="none"/>
            <w10:anchorlock/>
          </v:shape>
          <o:OLEObject Type="Embed" ProgID="Equation.3" ShapeID="_x0000_i1057" DrawAspect="Content" ObjectID="_1468075755" r:id="rId219">
            <o:LockedField>false</o:LockedField>
          </o:OLEObject>
        </w:object>
      </w:r>
    </w:p>
    <w:p>
      <w:pPr>
        <w:spacing w:line="360" w:lineRule="auto"/>
        <w:ind w:firstLine="480"/>
        <w:rPr>
          <w:rFonts w:hAnsi="Times New Roman" w:eastAsia="宋体"/>
        </w:rPr>
      </w:pPr>
      <w:r>
        <w:rPr>
          <w:rFonts w:hAnsi="Times New Roman" w:eastAsia="宋体"/>
        </w:rPr>
        <w:t>式中：</w:t>
      </w:r>
      <w:r>
        <w:rPr>
          <w:rFonts w:hAnsi="Times New Roman" w:eastAsia="宋体"/>
          <w:i/>
        </w:rPr>
        <w:t>Q</w:t>
      </w:r>
      <w:r>
        <w:rPr>
          <w:rFonts w:hAnsi="Times New Roman" w:eastAsia="宋体"/>
          <w:i/>
          <w:vertAlign w:val="subscript"/>
        </w:rPr>
        <w:t>降</w:t>
      </w:r>
      <w:r>
        <w:rPr>
          <w:rFonts w:hAnsi="Times New Roman" w:eastAsia="宋体"/>
        </w:rPr>
        <w:t>——降雨入渗补给量（m</w:t>
      </w:r>
      <w:r>
        <w:rPr>
          <w:rFonts w:hAnsi="Times New Roman" w:eastAsia="宋体"/>
          <w:vertAlign w:val="superscript"/>
        </w:rPr>
        <w:t>3</w:t>
      </w:r>
      <w:r>
        <w:rPr>
          <w:rFonts w:hAnsi="Times New Roman" w:eastAsia="宋体"/>
        </w:rPr>
        <w:t>/d）；</w:t>
      </w:r>
    </w:p>
    <w:p>
      <w:pPr>
        <w:spacing w:line="360" w:lineRule="auto"/>
        <w:ind w:firstLine="1132" w:firstLineChars="472"/>
        <w:rPr>
          <w:rFonts w:hAnsi="Times New Roman" w:eastAsia="宋体"/>
        </w:rPr>
      </w:pPr>
      <w:r>
        <w:rPr>
          <w:rFonts w:hAnsi="Times New Roman" w:eastAsia="宋体"/>
          <w:i/>
        </w:rPr>
        <w:t>F</w:t>
      </w:r>
      <w:r>
        <w:rPr>
          <w:rFonts w:hAnsi="Times New Roman" w:eastAsia="宋体"/>
        </w:rPr>
        <w:t>——降雨入渗有效面积（m</w:t>
      </w:r>
      <w:r>
        <w:rPr>
          <w:rFonts w:hAnsi="Times New Roman" w:eastAsia="宋体"/>
          <w:vertAlign w:val="superscript"/>
        </w:rPr>
        <w:t>2</w:t>
      </w:r>
      <w:r>
        <w:rPr>
          <w:rFonts w:hAnsi="Times New Roman" w:eastAsia="宋体"/>
        </w:rPr>
        <w:t>）；</w:t>
      </w:r>
    </w:p>
    <w:p>
      <w:pPr>
        <w:spacing w:line="360" w:lineRule="auto"/>
        <w:ind w:firstLine="1132" w:firstLineChars="472"/>
        <w:rPr>
          <w:rFonts w:hAnsi="Times New Roman" w:eastAsia="宋体"/>
        </w:rPr>
      </w:pPr>
      <w:r>
        <w:rPr>
          <w:rFonts w:hAnsi="Times New Roman" w:eastAsia="宋体"/>
          <w:i/>
        </w:rPr>
        <w:t>α</w:t>
      </w:r>
      <w:r>
        <w:rPr>
          <w:rFonts w:hAnsi="Times New Roman" w:eastAsia="宋体"/>
        </w:rPr>
        <w:t>——平均降雨入渗系数，参照《水文地质手册》选取经验值；</w:t>
      </w:r>
    </w:p>
    <w:p>
      <w:pPr>
        <w:spacing w:line="360" w:lineRule="auto"/>
        <w:ind w:firstLine="1132" w:firstLineChars="472"/>
        <w:rPr>
          <w:rFonts w:hAnsi="Times New Roman" w:eastAsia="宋体"/>
        </w:rPr>
      </w:pPr>
      <w:r>
        <w:rPr>
          <w:rFonts w:hAnsi="Times New Roman" w:eastAsia="宋体"/>
          <w:i/>
        </w:rPr>
        <w:t>P</w:t>
      </w:r>
      <w:r>
        <w:rPr>
          <w:rFonts w:hAnsi="Times New Roman" w:eastAsia="宋体"/>
        </w:rPr>
        <w:t>——多年平均降雨量（mm），根据气象资料整理。</w:t>
      </w:r>
    </w:p>
    <w:p>
      <w:pPr>
        <w:spacing w:line="360" w:lineRule="auto"/>
        <w:ind w:firstLine="480"/>
        <w:rPr>
          <w:rFonts w:hAnsi="Times New Roman" w:eastAsia="宋体"/>
          <w:szCs w:val="22"/>
        </w:rPr>
      </w:pPr>
      <w:r>
        <w:rPr>
          <w:rFonts w:hint="eastAsia" w:hAnsi="Times New Roman" w:eastAsia="宋体"/>
          <w:szCs w:val="22"/>
        </w:rPr>
        <w:t>则</w:t>
      </w:r>
      <w:r>
        <w:rPr>
          <w:rFonts w:hAnsi="Times New Roman" w:eastAsia="宋体"/>
          <w:szCs w:val="22"/>
        </w:rPr>
        <w:t>大气降水入渗</w:t>
      </w:r>
      <w:r>
        <w:rPr>
          <w:rFonts w:hint="eastAsia" w:hAnsi="Times New Roman" w:eastAsia="宋体"/>
          <w:szCs w:val="22"/>
        </w:rPr>
        <w:t>补给地下水Q=</w:t>
      </w:r>
      <w:r>
        <w:rPr>
          <w:rFonts w:hint="eastAsia" w:hAnsi="Times New Roman" w:eastAsia="宋体"/>
          <w:szCs w:val="22"/>
          <w:lang w:eastAsia="zh-CN"/>
        </w:rPr>
        <w:t>13431.70</w:t>
      </w:r>
      <w:r>
        <w:rPr>
          <w:rFonts w:hAnsi="Times New Roman" w:eastAsia="宋体"/>
          <w:szCs w:val="22"/>
        </w:rPr>
        <w:t>m</w:t>
      </w:r>
      <w:r>
        <w:rPr>
          <w:rFonts w:hAnsi="Times New Roman" w:eastAsia="宋体"/>
          <w:szCs w:val="22"/>
          <w:vertAlign w:val="superscript"/>
        </w:rPr>
        <w:t>3</w:t>
      </w:r>
      <w:r>
        <w:rPr>
          <w:rFonts w:hAnsi="Times New Roman" w:eastAsia="宋体"/>
          <w:szCs w:val="22"/>
        </w:rPr>
        <w:t>/d</w:t>
      </w:r>
      <w:r>
        <w:rPr>
          <w:rFonts w:hint="eastAsia" w:hAnsi="Times New Roman" w:eastAsia="宋体"/>
          <w:szCs w:val="22"/>
        </w:rPr>
        <w:t>（</w:t>
      </w:r>
      <w:r>
        <w:rPr>
          <w:rFonts w:hint="eastAsia" w:hAnsi="Times New Roman" w:eastAsia="宋体"/>
          <w:szCs w:val="22"/>
          <w:lang w:eastAsia="zh-CN"/>
        </w:rPr>
        <w:t>490.25</w:t>
      </w:r>
      <w:r>
        <w:rPr>
          <w:rFonts w:hint="eastAsia" w:hAnsi="Times New Roman" w:eastAsia="宋体"/>
          <w:szCs w:val="22"/>
        </w:rPr>
        <w:t>万</w:t>
      </w:r>
      <w:r>
        <w:rPr>
          <w:rFonts w:hAnsi="Times New Roman" w:eastAsia="宋体"/>
          <w:szCs w:val="22"/>
        </w:rPr>
        <w:t>m</w:t>
      </w:r>
      <w:r>
        <w:rPr>
          <w:rFonts w:hAnsi="Times New Roman" w:eastAsia="宋体"/>
          <w:szCs w:val="22"/>
          <w:vertAlign w:val="superscript"/>
        </w:rPr>
        <w:t>3</w:t>
      </w:r>
      <w:r>
        <w:rPr>
          <w:rFonts w:hAnsi="Times New Roman" w:eastAsia="宋体"/>
          <w:szCs w:val="22"/>
        </w:rPr>
        <w:t>/a</w:t>
      </w:r>
      <w:r>
        <w:rPr>
          <w:rFonts w:hint="eastAsia" w:hAnsi="Times New Roman" w:eastAsia="宋体"/>
          <w:szCs w:val="22"/>
        </w:rPr>
        <w:t>）。</w:t>
      </w:r>
    </w:p>
    <w:p>
      <w:pPr>
        <w:pStyle w:val="14"/>
        <w:tabs>
          <w:tab w:val="left" w:pos="3718"/>
        </w:tabs>
        <w:overflowPunct w:val="0"/>
        <w:spacing w:line="360" w:lineRule="auto"/>
        <w:jc w:val="center"/>
        <w:rPr>
          <w:rFonts w:ascii="Times New Roman" w:hAnsi="Times New Roman"/>
          <w:b/>
          <w:bCs w:val="0"/>
          <w:spacing w:val="-2"/>
          <w:sz w:val="21"/>
          <w:szCs w:val="21"/>
        </w:rPr>
      </w:pPr>
      <w:r>
        <w:rPr>
          <w:rFonts w:hint="eastAsia" w:ascii="Times New Roman" w:hAnsi="Times New Roman"/>
          <w:b/>
          <w:bCs w:val="0"/>
          <w:spacing w:val="-2"/>
          <w:sz w:val="21"/>
          <w:szCs w:val="21"/>
        </w:rPr>
        <w:t>表 5.4-</w:t>
      </w:r>
      <w:r>
        <w:rPr>
          <w:rFonts w:hint="eastAsia" w:ascii="Times New Roman" w:hAnsi="Times New Roman"/>
          <w:b/>
          <w:bCs w:val="0"/>
          <w:spacing w:val="-2"/>
          <w:sz w:val="21"/>
          <w:szCs w:val="21"/>
          <w:lang w:eastAsia="zh-CN"/>
        </w:rPr>
        <w:t>11</w:t>
      </w:r>
      <w:r>
        <w:rPr>
          <w:rFonts w:hint="eastAsia" w:ascii="Times New Roman" w:hAnsi="Times New Roman"/>
          <w:b/>
          <w:bCs w:val="0"/>
          <w:spacing w:val="-2"/>
          <w:sz w:val="21"/>
          <w:szCs w:val="21"/>
        </w:rPr>
        <w:t xml:space="preserve">  降雨入渗系数经验数据（引自：《铁路工程水文地质勘查规程》）</w:t>
      </w:r>
    </w:p>
    <w:tbl>
      <w:tblPr>
        <w:tblStyle w:val="33"/>
        <w:tblW w:w="5000" w:type="pct"/>
        <w:jc w:val="center"/>
        <w:tblLayout w:type="autofit"/>
        <w:tblCellMar>
          <w:top w:w="0" w:type="dxa"/>
          <w:left w:w="0" w:type="dxa"/>
          <w:bottom w:w="0" w:type="dxa"/>
          <w:right w:w="0" w:type="dxa"/>
        </w:tblCellMar>
      </w:tblPr>
      <w:tblGrid>
        <w:gridCol w:w="2282"/>
        <w:gridCol w:w="2284"/>
        <w:gridCol w:w="2286"/>
        <w:gridCol w:w="2285"/>
      </w:tblGrid>
      <w:tr>
        <w:tblPrEx>
          <w:tblCellMar>
            <w:top w:w="0" w:type="dxa"/>
            <w:left w:w="0" w:type="dxa"/>
            <w:bottom w:w="0" w:type="dxa"/>
            <w:right w:w="0" w:type="dxa"/>
          </w:tblCellMar>
        </w:tblPrEx>
        <w:trPr>
          <w:trHeight w:val="319" w:hRule="atLeast"/>
          <w:jc w:val="center"/>
        </w:trPr>
        <w:tc>
          <w:tcPr>
            <w:tcW w:w="1249" w:type="pct"/>
            <w:tcBorders>
              <w:top w:val="single" w:color="000000" w:sz="4" w:space="0"/>
              <w:left w:val="single" w:color="000000" w:sz="4" w:space="0"/>
              <w:bottom w:val="single" w:color="000000" w:sz="4" w:space="0"/>
              <w:right w:val="single" w:color="000000" w:sz="4" w:space="0"/>
            </w:tcBorders>
            <w:shd w:val="clear" w:color="auto" w:fill="auto"/>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含水介质</w:t>
            </w:r>
          </w:p>
        </w:tc>
        <w:tc>
          <w:tcPr>
            <w:tcW w:w="1250" w:type="pct"/>
            <w:tcBorders>
              <w:top w:val="single" w:color="000000" w:sz="4" w:space="0"/>
              <w:left w:val="single" w:color="000000" w:sz="4" w:space="0"/>
              <w:bottom w:val="single" w:color="000000" w:sz="4" w:space="0"/>
              <w:right w:val="single" w:color="000000" w:sz="4" w:space="0"/>
            </w:tcBorders>
            <w:shd w:val="clear" w:color="auto" w:fill="auto"/>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λ</w:t>
            </w:r>
          </w:p>
        </w:tc>
        <w:tc>
          <w:tcPr>
            <w:tcW w:w="1251" w:type="pct"/>
            <w:tcBorders>
              <w:top w:val="single" w:color="000000" w:sz="4" w:space="0"/>
              <w:left w:val="single" w:color="000000" w:sz="4" w:space="0"/>
              <w:bottom w:val="single" w:color="000000" w:sz="4" w:space="0"/>
              <w:right w:val="single" w:color="000000" w:sz="4" w:space="0"/>
            </w:tcBorders>
            <w:shd w:val="clear" w:color="auto" w:fill="auto"/>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含水介质</w:t>
            </w:r>
          </w:p>
        </w:tc>
        <w:tc>
          <w:tcPr>
            <w:tcW w:w="1250" w:type="pct"/>
            <w:tcBorders>
              <w:top w:val="single" w:color="000000" w:sz="4" w:space="0"/>
              <w:left w:val="single" w:color="000000" w:sz="4" w:space="0"/>
              <w:bottom w:val="single" w:color="000000" w:sz="4" w:space="0"/>
              <w:right w:val="single" w:color="000000" w:sz="4" w:space="0"/>
            </w:tcBorders>
            <w:shd w:val="clear" w:color="auto" w:fill="auto"/>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λ</w:t>
            </w:r>
          </w:p>
        </w:tc>
      </w:tr>
      <w:tr>
        <w:tblPrEx>
          <w:tblCellMar>
            <w:top w:w="0" w:type="dxa"/>
            <w:left w:w="0" w:type="dxa"/>
            <w:bottom w:w="0" w:type="dxa"/>
            <w:right w:w="0" w:type="dxa"/>
          </w:tblCellMar>
        </w:tblPrEx>
        <w:trPr>
          <w:trHeight w:val="319" w:hRule="exact"/>
          <w:jc w:val="center"/>
        </w:trPr>
        <w:tc>
          <w:tcPr>
            <w:tcW w:w="1249" w:type="pct"/>
            <w:tcBorders>
              <w:top w:val="single" w:color="000000" w:sz="4" w:space="0"/>
              <w:left w:val="single" w:color="000000" w:sz="4" w:space="0"/>
              <w:bottom w:val="single" w:color="000000" w:sz="4" w:space="0"/>
              <w:right w:val="single" w:color="000000" w:sz="4" w:space="0"/>
            </w:tcBorders>
            <w:shd w:val="clear" w:color="auto" w:fill="auto"/>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粉质粘土</w:t>
            </w:r>
          </w:p>
        </w:tc>
        <w:tc>
          <w:tcPr>
            <w:tcW w:w="1250" w:type="pct"/>
            <w:tcBorders>
              <w:top w:val="single" w:color="000000" w:sz="4" w:space="0"/>
              <w:left w:val="single" w:color="000000" w:sz="4" w:space="0"/>
              <w:bottom w:val="single" w:color="000000" w:sz="4" w:space="0"/>
              <w:right w:val="single" w:color="000000" w:sz="4" w:space="0"/>
            </w:tcBorders>
            <w:shd w:val="clear" w:color="auto" w:fill="auto"/>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0.01～0.02</w:t>
            </w:r>
          </w:p>
        </w:tc>
        <w:tc>
          <w:tcPr>
            <w:tcW w:w="1251" w:type="pct"/>
            <w:tcBorders>
              <w:top w:val="single" w:color="000000" w:sz="4" w:space="0"/>
              <w:left w:val="single" w:color="000000" w:sz="4" w:space="0"/>
              <w:bottom w:val="single" w:color="000000" w:sz="4" w:space="0"/>
              <w:right w:val="single" w:color="000000" w:sz="4" w:space="0"/>
            </w:tcBorders>
            <w:shd w:val="clear" w:color="auto" w:fill="auto"/>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较完整岩石</w:t>
            </w:r>
          </w:p>
        </w:tc>
        <w:tc>
          <w:tcPr>
            <w:tcW w:w="1250" w:type="pct"/>
            <w:tcBorders>
              <w:top w:val="single" w:color="000000" w:sz="4" w:space="0"/>
              <w:left w:val="single" w:color="000000" w:sz="4" w:space="0"/>
              <w:bottom w:val="single" w:color="000000" w:sz="4" w:space="0"/>
              <w:right w:val="single" w:color="000000" w:sz="4" w:space="0"/>
            </w:tcBorders>
            <w:shd w:val="clear" w:color="auto" w:fill="auto"/>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0.10～0.15</w:t>
            </w:r>
          </w:p>
        </w:tc>
      </w:tr>
      <w:tr>
        <w:tblPrEx>
          <w:tblCellMar>
            <w:top w:w="0" w:type="dxa"/>
            <w:left w:w="0" w:type="dxa"/>
            <w:bottom w:w="0" w:type="dxa"/>
            <w:right w:w="0" w:type="dxa"/>
          </w:tblCellMar>
        </w:tblPrEx>
        <w:trPr>
          <w:trHeight w:val="319" w:hRule="exact"/>
          <w:jc w:val="center"/>
        </w:trPr>
        <w:tc>
          <w:tcPr>
            <w:tcW w:w="1249" w:type="pct"/>
            <w:tcBorders>
              <w:top w:val="single" w:color="000000" w:sz="4" w:space="0"/>
              <w:left w:val="single" w:color="000000" w:sz="4" w:space="0"/>
              <w:bottom w:val="single" w:color="000000" w:sz="4" w:space="0"/>
              <w:right w:val="single" w:color="000000" w:sz="4" w:space="0"/>
            </w:tcBorders>
            <w:shd w:val="clear" w:color="auto" w:fill="auto"/>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粉土</w:t>
            </w:r>
          </w:p>
        </w:tc>
        <w:tc>
          <w:tcPr>
            <w:tcW w:w="1250" w:type="pct"/>
            <w:tcBorders>
              <w:top w:val="single" w:color="000000" w:sz="4" w:space="0"/>
              <w:left w:val="single" w:color="000000" w:sz="4" w:space="0"/>
              <w:bottom w:val="single" w:color="000000" w:sz="4" w:space="0"/>
              <w:right w:val="single" w:color="000000" w:sz="4" w:space="0"/>
            </w:tcBorders>
            <w:shd w:val="clear" w:color="auto" w:fill="auto"/>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0.02～0.05</w:t>
            </w:r>
          </w:p>
        </w:tc>
        <w:tc>
          <w:tcPr>
            <w:tcW w:w="1251" w:type="pct"/>
            <w:tcBorders>
              <w:top w:val="single" w:color="000000" w:sz="4" w:space="0"/>
              <w:left w:val="single" w:color="000000" w:sz="4" w:space="0"/>
              <w:bottom w:val="single" w:color="000000" w:sz="4" w:space="0"/>
              <w:right w:val="single" w:color="000000" w:sz="4" w:space="0"/>
            </w:tcBorders>
            <w:shd w:val="clear" w:color="auto" w:fill="auto"/>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较破碎岩石</w:t>
            </w:r>
          </w:p>
        </w:tc>
        <w:tc>
          <w:tcPr>
            <w:tcW w:w="1250" w:type="pct"/>
            <w:tcBorders>
              <w:top w:val="single" w:color="000000" w:sz="4" w:space="0"/>
              <w:left w:val="single" w:color="000000" w:sz="4" w:space="0"/>
              <w:bottom w:val="single" w:color="000000" w:sz="4" w:space="0"/>
              <w:right w:val="single" w:color="000000" w:sz="4" w:space="0"/>
            </w:tcBorders>
            <w:shd w:val="clear" w:color="auto" w:fill="auto"/>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0.15～0.18</w:t>
            </w:r>
          </w:p>
        </w:tc>
      </w:tr>
      <w:tr>
        <w:tblPrEx>
          <w:tblCellMar>
            <w:top w:w="0" w:type="dxa"/>
            <w:left w:w="0" w:type="dxa"/>
            <w:bottom w:w="0" w:type="dxa"/>
            <w:right w:w="0" w:type="dxa"/>
          </w:tblCellMar>
        </w:tblPrEx>
        <w:trPr>
          <w:trHeight w:val="319" w:hRule="exact"/>
          <w:jc w:val="center"/>
        </w:trPr>
        <w:tc>
          <w:tcPr>
            <w:tcW w:w="1249" w:type="pct"/>
            <w:tcBorders>
              <w:top w:val="single" w:color="000000" w:sz="4" w:space="0"/>
              <w:left w:val="single" w:color="000000" w:sz="4" w:space="0"/>
              <w:bottom w:val="single" w:color="000000" w:sz="4" w:space="0"/>
              <w:right w:val="single" w:color="000000" w:sz="4" w:space="0"/>
            </w:tcBorders>
            <w:shd w:val="clear" w:color="auto" w:fill="auto"/>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粉砂</w:t>
            </w:r>
          </w:p>
        </w:tc>
        <w:tc>
          <w:tcPr>
            <w:tcW w:w="1250" w:type="pct"/>
            <w:tcBorders>
              <w:top w:val="single" w:color="000000" w:sz="4" w:space="0"/>
              <w:left w:val="single" w:color="000000" w:sz="4" w:space="0"/>
              <w:bottom w:val="single" w:color="000000" w:sz="4" w:space="0"/>
              <w:right w:val="single" w:color="000000" w:sz="4" w:space="0"/>
            </w:tcBorders>
            <w:shd w:val="clear" w:color="auto" w:fill="auto"/>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0.05～0.08</w:t>
            </w:r>
          </w:p>
        </w:tc>
        <w:tc>
          <w:tcPr>
            <w:tcW w:w="1251" w:type="pct"/>
            <w:tcBorders>
              <w:top w:val="single" w:color="000000" w:sz="4" w:space="0"/>
              <w:left w:val="single" w:color="000000" w:sz="4" w:space="0"/>
              <w:bottom w:val="single" w:color="000000" w:sz="4" w:space="0"/>
              <w:right w:val="single" w:color="000000" w:sz="4" w:space="0"/>
            </w:tcBorders>
            <w:shd w:val="clear" w:color="auto" w:fill="auto"/>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破碎岩石</w:t>
            </w:r>
          </w:p>
        </w:tc>
        <w:tc>
          <w:tcPr>
            <w:tcW w:w="1250" w:type="pct"/>
            <w:tcBorders>
              <w:top w:val="single" w:color="000000" w:sz="4" w:space="0"/>
              <w:left w:val="single" w:color="000000" w:sz="4" w:space="0"/>
              <w:bottom w:val="single" w:color="000000" w:sz="4" w:space="0"/>
              <w:right w:val="single" w:color="000000" w:sz="4" w:space="0"/>
            </w:tcBorders>
            <w:shd w:val="clear" w:color="auto" w:fill="auto"/>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0.18～0.20</w:t>
            </w:r>
          </w:p>
        </w:tc>
      </w:tr>
      <w:tr>
        <w:tblPrEx>
          <w:tblCellMar>
            <w:top w:w="0" w:type="dxa"/>
            <w:left w:w="0" w:type="dxa"/>
            <w:bottom w:w="0" w:type="dxa"/>
            <w:right w:w="0" w:type="dxa"/>
          </w:tblCellMar>
        </w:tblPrEx>
        <w:trPr>
          <w:trHeight w:val="321" w:hRule="exact"/>
          <w:jc w:val="center"/>
        </w:trPr>
        <w:tc>
          <w:tcPr>
            <w:tcW w:w="1249" w:type="pct"/>
            <w:tcBorders>
              <w:top w:val="single" w:color="000000" w:sz="4" w:space="0"/>
              <w:left w:val="single" w:color="000000" w:sz="4" w:space="0"/>
              <w:bottom w:val="single" w:color="000000" w:sz="4" w:space="0"/>
              <w:right w:val="single" w:color="000000" w:sz="4" w:space="0"/>
            </w:tcBorders>
            <w:shd w:val="clear" w:color="auto" w:fill="auto"/>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细砂</w:t>
            </w:r>
          </w:p>
        </w:tc>
        <w:tc>
          <w:tcPr>
            <w:tcW w:w="1250" w:type="pct"/>
            <w:tcBorders>
              <w:top w:val="single" w:color="000000" w:sz="4" w:space="0"/>
              <w:left w:val="single" w:color="000000" w:sz="4" w:space="0"/>
              <w:bottom w:val="single" w:color="000000" w:sz="4" w:space="0"/>
              <w:right w:val="single" w:color="000000" w:sz="4" w:space="0"/>
            </w:tcBorders>
            <w:shd w:val="clear" w:color="auto" w:fill="auto"/>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0.08～0.12</w:t>
            </w:r>
          </w:p>
        </w:tc>
        <w:tc>
          <w:tcPr>
            <w:tcW w:w="1251" w:type="pct"/>
            <w:tcBorders>
              <w:top w:val="single" w:color="000000" w:sz="4" w:space="0"/>
              <w:left w:val="single" w:color="000000" w:sz="4" w:space="0"/>
              <w:bottom w:val="single" w:color="000000" w:sz="4" w:space="0"/>
              <w:right w:val="single" w:color="000000" w:sz="4" w:space="0"/>
            </w:tcBorders>
            <w:shd w:val="clear" w:color="auto" w:fill="auto"/>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极破碎岩石</w:t>
            </w:r>
          </w:p>
        </w:tc>
        <w:tc>
          <w:tcPr>
            <w:tcW w:w="1250" w:type="pct"/>
            <w:tcBorders>
              <w:top w:val="single" w:color="000000" w:sz="4" w:space="0"/>
              <w:left w:val="single" w:color="000000" w:sz="4" w:space="0"/>
              <w:bottom w:val="single" w:color="000000" w:sz="4" w:space="0"/>
              <w:right w:val="single" w:color="000000" w:sz="4" w:space="0"/>
            </w:tcBorders>
            <w:shd w:val="clear" w:color="auto" w:fill="auto"/>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0.20～0.25</w:t>
            </w:r>
          </w:p>
        </w:tc>
      </w:tr>
      <w:tr>
        <w:tblPrEx>
          <w:tblCellMar>
            <w:top w:w="0" w:type="dxa"/>
            <w:left w:w="0" w:type="dxa"/>
            <w:bottom w:w="0" w:type="dxa"/>
            <w:right w:w="0" w:type="dxa"/>
          </w:tblCellMar>
        </w:tblPrEx>
        <w:trPr>
          <w:trHeight w:val="319" w:hRule="exact"/>
          <w:jc w:val="center"/>
        </w:trPr>
        <w:tc>
          <w:tcPr>
            <w:tcW w:w="1249" w:type="pct"/>
            <w:tcBorders>
              <w:top w:val="single" w:color="000000" w:sz="4" w:space="0"/>
              <w:left w:val="single" w:color="000000" w:sz="4" w:space="0"/>
              <w:bottom w:val="single" w:color="000000" w:sz="4" w:space="0"/>
              <w:right w:val="single" w:color="000000" w:sz="4" w:space="0"/>
            </w:tcBorders>
            <w:shd w:val="clear" w:color="auto" w:fill="auto"/>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中砂</w:t>
            </w:r>
          </w:p>
        </w:tc>
        <w:tc>
          <w:tcPr>
            <w:tcW w:w="1250" w:type="pct"/>
            <w:tcBorders>
              <w:top w:val="single" w:color="000000" w:sz="4" w:space="0"/>
              <w:left w:val="single" w:color="000000" w:sz="4" w:space="0"/>
              <w:bottom w:val="single" w:color="000000" w:sz="4" w:space="0"/>
              <w:right w:val="single" w:color="000000" w:sz="4" w:space="0"/>
            </w:tcBorders>
            <w:shd w:val="clear" w:color="auto" w:fill="auto"/>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0.12～0.18</w:t>
            </w:r>
          </w:p>
        </w:tc>
        <w:tc>
          <w:tcPr>
            <w:tcW w:w="1251" w:type="pct"/>
            <w:tcBorders>
              <w:top w:val="single" w:color="000000" w:sz="4" w:space="0"/>
              <w:left w:val="single" w:color="000000" w:sz="4" w:space="0"/>
              <w:bottom w:val="single" w:color="000000" w:sz="4" w:space="0"/>
              <w:right w:val="single" w:color="000000" w:sz="4" w:space="0"/>
            </w:tcBorders>
            <w:shd w:val="clear" w:color="auto" w:fill="auto"/>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岩溶微弱发育</w:t>
            </w:r>
          </w:p>
        </w:tc>
        <w:tc>
          <w:tcPr>
            <w:tcW w:w="1250" w:type="pct"/>
            <w:tcBorders>
              <w:top w:val="single" w:color="000000" w:sz="4" w:space="0"/>
              <w:left w:val="single" w:color="000000" w:sz="4" w:space="0"/>
              <w:bottom w:val="single" w:color="000000" w:sz="4" w:space="0"/>
              <w:right w:val="single" w:color="000000" w:sz="4" w:space="0"/>
            </w:tcBorders>
            <w:shd w:val="clear" w:color="auto" w:fill="auto"/>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0.01～0.10</w:t>
            </w:r>
          </w:p>
        </w:tc>
      </w:tr>
      <w:tr>
        <w:tblPrEx>
          <w:tblCellMar>
            <w:top w:w="0" w:type="dxa"/>
            <w:left w:w="0" w:type="dxa"/>
            <w:bottom w:w="0" w:type="dxa"/>
            <w:right w:w="0" w:type="dxa"/>
          </w:tblCellMar>
        </w:tblPrEx>
        <w:trPr>
          <w:trHeight w:val="319" w:hRule="exact"/>
          <w:jc w:val="center"/>
        </w:trPr>
        <w:tc>
          <w:tcPr>
            <w:tcW w:w="1249" w:type="pct"/>
            <w:tcBorders>
              <w:top w:val="single" w:color="000000" w:sz="4" w:space="0"/>
              <w:left w:val="single" w:color="000000" w:sz="4" w:space="0"/>
              <w:bottom w:val="single" w:color="000000" w:sz="4" w:space="0"/>
              <w:right w:val="single" w:color="000000" w:sz="4" w:space="0"/>
            </w:tcBorders>
            <w:shd w:val="clear" w:color="auto" w:fill="auto"/>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粗砂</w:t>
            </w:r>
          </w:p>
        </w:tc>
        <w:tc>
          <w:tcPr>
            <w:tcW w:w="1250" w:type="pct"/>
            <w:tcBorders>
              <w:top w:val="single" w:color="000000" w:sz="4" w:space="0"/>
              <w:left w:val="single" w:color="000000" w:sz="4" w:space="0"/>
              <w:bottom w:val="single" w:color="000000" w:sz="4" w:space="0"/>
              <w:right w:val="single" w:color="000000" w:sz="4" w:space="0"/>
            </w:tcBorders>
            <w:shd w:val="clear" w:color="auto" w:fill="auto"/>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0.18～0.24</w:t>
            </w:r>
          </w:p>
        </w:tc>
        <w:tc>
          <w:tcPr>
            <w:tcW w:w="1251" w:type="pct"/>
            <w:tcBorders>
              <w:top w:val="single" w:color="000000" w:sz="4" w:space="0"/>
              <w:left w:val="single" w:color="000000" w:sz="4" w:space="0"/>
              <w:bottom w:val="single" w:color="000000" w:sz="4" w:space="0"/>
              <w:right w:val="single" w:color="000000" w:sz="4" w:space="0"/>
            </w:tcBorders>
            <w:shd w:val="clear" w:color="auto" w:fill="auto"/>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岩溶弱发育</w:t>
            </w:r>
          </w:p>
        </w:tc>
        <w:tc>
          <w:tcPr>
            <w:tcW w:w="1250" w:type="pct"/>
            <w:tcBorders>
              <w:top w:val="single" w:color="000000" w:sz="4" w:space="0"/>
              <w:left w:val="single" w:color="000000" w:sz="4" w:space="0"/>
              <w:bottom w:val="single" w:color="000000" w:sz="4" w:space="0"/>
              <w:right w:val="single" w:color="000000" w:sz="4" w:space="0"/>
            </w:tcBorders>
            <w:shd w:val="clear" w:color="auto" w:fill="auto"/>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0.10～0.15</w:t>
            </w:r>
          </w:p>
        </w:tc>
      </w:tr>
      <w:tr>
        <w:tblPrEx>
          <w:tblCellMar>
            <w:top w:w="0" w:type="dxa"/>
            <w:left w:w="0" w:type="dxa"/>
            <w:bottom w:w="0" w:type="dxa"/>
            <w:right w:w="0" w:type="dxa"/>
          </w:tblCellMar>
        </w:tblPrEx>
        <w:trPr>
          <w:trHeight w:val="319" w:hRule="exact"/>
          <w:jc w:val="center"/>
        </w:trPr>
        <w:tc>
          <w:tcPr>
            <w:tcW w:w="1249" w:type="pct"/>
            <w:tcBorders>
              <w:top w:val="single" w:color="000000" w:sz="4" w:space="0"/>
              <w:left w:val="single" w:color="000000" w:sz="4" w:space="0"/>
              <w:bottom w:val="single" w:color="000000" w:sz="4" w:space="0"/>
              <w:right w:val="single" w:color="000000" w:sz="4" w:space="0"/>
            </w:tcBorders>
            <w:shd w:val="clear" w:color="auto" w:fill="auto"/>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圆砾（夹砂）</w:t>
            </w:r>
          </w:p>
        </w:tc>
        <w:tc>
          <w:tcPr>
            <w:tcW w:w="1250" w:type="pct"/>
            <w:tcBorders>
              <w:top w:val="single" w:color="000000" w:sz="4" w:space="0"/>
              <w:left w:val="single" w:color="000000" w:sz="4" w:space="0"/>
              <w:bottom w:val="single" w:color="000000" w:sz="4" w:space="0"/>
              <w:right w:val="single" w:color="000000" w:sz="4" w:space="0"/>
            </w:tcBorders>
            <w:shd w:val="clear" w:color="auto" w:fill="auto"/>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0.24～0.30</w:t>
            </w:r>
          </w:p>
        </w:tc>
        <w:tc>
          <w:tcPr>
            <w:tcW w:w="1251" w:type="pct"/>
            <w:tcBorders>
              <w:top w:val="single" w:color="000000" w:sz="4" w:space="0"/>
              <w:left w:val="single" w:color="000000" w:sz="4" w:space="0"/>
              <w:bottom w:val="single" w:color="000000" w:sz="4" w:space="0"/>
              <w:right w:val="single" w:color="000000" w:sz="4" w:space="0"/>
            </w:tcBorders>
            <w:shd w:val="clear" w:color="auto" w:fill="auto"/>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岩溶中等发育</w:t>
            </w:r>
          </w:p>
        </w:tc>
        <w:tc>
          <w:tcPr>
            <w:tcW w:w="1250" w:type="pct"/>
            <w:tcBorders>
              <w:top w:val="single" w:color="000000" w:sz="4" w:space="0"/>
              <w:left w:val="single" w:color="000000" w:sz="4" w:space="0"/>
              <w:bottom w:val="single" w:color="000000" w:sz="4" w:space="0"/>
              <w:right w:val="single" w:color="000000" w:sz="4" w:space="0"/>
            </w:tcBorders>
            <w:shd w:val="clear" w:color="auto" w:fill="auto"/>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0.15～0.20</w:t>
            </w:r>
          </w:p>
        </w:tc>
      </w:tr>
      <w:tr>
        <w:tblPrEx>
          <w:tblCellMar>
            <w:top w:w="0" w:type="dxa"/>
            <w:left w:w="0" w:type="dxa"/>
            <w:bottom w:w="0" w:type="dxa"/>
            <w:right w:w="0" w:type="dxa"/>
          </w:tblCellMar>
        </w:tblPrEx>
        <w:trPr>
          <w:trHeight w:val="319" w:hRule="exact"/>
          <w:jc w:val="center"/>
        </w:trPr>
        <w:tc>
          <w:tcPr>
            <w:tcW w:w="1249" w:type="pct"/>
            <w:tcBorders>
              <w:top w:val="single" w:color="000000" w:sz="4" w:space="0"/>
              <w:left w:val="single" w:color="000000" w:sz="4" w:space="0"/>
              <w:bottom w:val="single" w:color="000000" w:sz="4" w:space="0"/>
              <w:right w:val="single" w:color="000000" w:sz="4" w:space="0"/>
            </w:tcBorders>
            <w:shd w:val="clear" w:color="auto" w:fill="auto"/>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卵石（夹砂）</w:t>
            </w:r>
          </w:p>
        </w:tc>
        <w:tc>
          <w:tcPr>
            <w:tcW w:w="1250" w:type="pct"/>
            <w:tcBorders>
              <w:top w:val="single" w:color="000000" w:sz="4" w:space="0"/>
              <w:left w:val="single" w:color="000000" w:sz="4" w:space="0"/>
              <w:bottom w:val="single" w:color="000000" w:sz="4" w:space="0"/>
              <w:right w:val="single" w:color="000000" w:sz="4" w:space="0"/>
            </w:tcBorders>
            <w:shd w:val="clear" w:color="auto" w:fill="auto"/>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0.30～0.35</w:t>
            </w:r>
          </w:p>
        </w:tc>
        <w:tc>
          <w:tcPr>
            <w:tcW w:w="1251" w:type="pct"/>
            <w:tcBorders>
              <w:top w:val="single" w:color="000000" w:sz="4" w:space="0"/>
              <w:left w:val="single" w:color="000000" w:sz="4" w:space="0"/>
              <w:bottom w:val="single" w:color="000000" w:sz="4" w:space="0"/>
              <w:right w:val="single" w:color="000000" w:sz="4" w:space="0"/>
            </w:tcBorders>
            <w:shd w:val="clear" w:color="auto" w:fill="auto"/>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岩溶强烈发育</w:t>
            </w:r>
          </w:p>
        </w:tc>
        <w:tc>
          <w:tcPr>
            <w:tcW w:w="1250" w:type="pct"/>
            <w:tcBorders>
              <w:top w:val="single" w:color="000000" w:sz="4" w:space="0"/>
              <w:left w:val="single" w:color="000000" w:sz="4" w:space="0"/>
              <w:bottom w:val="single" w:color="000000" w:sz="4" w:space="0"/>
              <w:right w:val="single" w:color="000000" w:sz="4" w:space="0"/>
            </w:tcBorders>
            <w:shd w:val="clear" w:color="auto" w:fill="auto"/>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0.20～0.50</w:t>
            </w:r>
          </w:p>
        </w:tc>
      </w:tr>
      <w:tr>
        <w:tblPrEx>
          <w:tblCellMar>
            <w:top w:w="0" w:type="dxa"/>
            <w:left w:w="0" w:type="dxa"/>
            <w:bottom w:w="0" w:type="dxa"/>
            <w:right w:w="0" w:type="dxa"/>
          </w:tblCellMar>
        </w:tblPrEx>
        <w:trPr>
          <w:trHeight w:val="331" w:hRule="exact"/>
          <w:jc w:val="center"/>
        </w:trPr>
        <w:tc>
          <w:tcPr>
            <w:tcW w:w="1249" w:type="pct"/>
            <w:tcBorders>
              <w:top w:val="single" w:color="000000" w:sz="4" w:space="0"/>
              <w:left w:val="single" w:color="000000" w:sz="4" w:space="0"/>
              <w:bottom w:val="single" w:color="000000" w:sz="4" w:space="0"/>
              <w:right w:val="single" w:color="000000" w:sz="4" w:space="0"/>
            </w:tcBorders>
            <w:shd w:val="clear" w:color="auto" w:fill="auto"/>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完整岩石</w:t>
            </w:r>
          </w:p>
        </w:tc>
        <w:tc>
          <w:tcPr>
            <w:tcW w:w="1250" w:type="pct"/>
            <w:tcBorders>
              <w:top w:val="single" w:color="000000" w:sz="4" w:space="0"/>
              <w:left w:val="single" w:color="000000" w:sz="4" w:space="0"/>
              <w:bottom w:val="single" w:color="000000" w:sz="4" w:space="0"/>
              <w:right w:val="single" w:color="000000" w:sz="4" w:space="0"/>
            </w:tcBorders>
            <w:shd w:val="clear" w:color="auto" w:fill="auto"/>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0.01～0.10</w:t>
            </w:r>
          </w:p>
        </w:tc>
        <w:tc>
          <w:tcPr>
            <w:tcW w:w="1251" w:type="pct"/>
            <w:tcBorders>
              <w:top w:val="single" w:color="000000" w:sz="4" w:space="0"/>
              <w:left w:val="single" w:color="000000" w:sz="4" w:space="0"/>
              <w:bottom w:val="single" w:color="000000" w:sz="4" w:space="0"/>
              <w:right w:val="single" w:color="000000" w:sz="4" w:space="0"/>
            </w:tcBorders>
            <w:shd w:val="clear" w:color="auto" w:fill="auto"/>
          </w:tcPr>
          <w:p>
            <w:pPr>
              <w:pStyle w:val="62"/>
              <w:keepNext w:val="0"/>
              <w:keepLines w:val="0"/>
              <w:suppressLineNumbers w:val="0"/>
              <w:spacing w:before="0" w:beforeAutospacing="0" w:after="0" w:afterAutospacing="0"/>
              <w:ind w:left="0" w:right="0"/>
              <w:rPr>
                <w:rFonts w:hint="eastAsia" w:hAnsi="Times New Roman" w:eastAsia="宋体"/>
                <w:kern w:val="2"/>
                <w:szCs w:val="22"/>
              </w:rPr>
            </w:pPr>
          </w:p>
        </w:tc>
        <w:tc>
          <w:tcPr>
            <w:tcW w:w="1250" w:type="pct"/>
            <w:tcBorders>
              <w:top w:val="single" w:color="000000" w:sz="4" w:space="0"/>
              <w:left w:val="single" w:color="000000" w:sz="4" w:space="0"/>
              <w:bottom w:val="single" w:color="000000" w:sz="4" w:space="0"/>
              <w:right w:val="single" w:color="000000" w:sz="4" w:space="0"/>
            </w:tcBorders>
            <w:shd w:val="clear" w:color="auto" w:fill="auto"/>
          </w:tcPr>
          <w:p>
            <w:pPr>
              <w:pStyle w:val="62"/>
              <w:keepNext w:val="0"/>
              <w:keepLines w:val="0"/>
              <w:suppressLineNumbers w:val="0"/>
              <w:spacing w:before="0" w:beforeAutospacing="0" w:after="0" w:afterAutospacing="0"/>
              <w:ind w:left="0" w:right="0"/>
              <w:rPr>
                <w:rFonts w:hint="eastAsia" w:hAnsi="Times New Roman" w:eastAsia="宋体"/>
                <w:kern w:val="2"/>
                <w:szCs w:val="22"/>
              </w:rPr>
            </w:pPr>
          </w:p>
        </w:tc>
      </w:tr>
    </w:tbl>
    <w:p>
      <w:pPr>
        <w:spacing w:line="360" w:lineRule="auto"/>
        <w:ind w:firstLine="480"/>
        <w:rPr>
          <w:rFonts w:hAnsi="Times New Roman" w:eastAsia="宋体"/>
        </w:rPr>
      </w:pPr>
      <w:r>
        <w:rPr>
          <w:rFonts w:hAnsi="Times New Roman" w:eastAsia="宋体"/>
        </w:rPr>
        <w:t>在煤炭开采过程中，地下水天然消耗量逐步衰减，转为人为消耗。矿井开采正常涌水量为147.9m</w:t>
      </w:r>
      <w:r>
        <w:rPr>
          <w:rFonts w:hAnsi="Times New Roman" w:eastAsia="宋体"/>
          <w:vertAlign w:val="superscript"/>
        </w:rPr>
        <w:t>3</w:t>
      </w:r>
      <w:r>
        <w:rPr>
          <w:rFonts w:hAnsi="Times New Roman" w:eastAsia="宋体"/>
        </w:rPr>
        <w:t>/h，最大涌水量221.9m</w:t>
      </w:r>
      <w:r>
        <w:rPr>
          <w:rFonts w:hAnsi="Times New Roman" w:eastAsia="宋体"/>
          <w:vertAlign w:val="superscript"/>
        </w:rPr>
        <w:t>3</w:t>
      </w:r>
      <w:r>
        <w:rPr>
          <w:rFonts w:hAnsi="Times New Roman" w:eastAsia="宋体"/>
        </w:rPr>
        <w:t>/h。因此，井下疏排水造成地下水资源量流失量为129.56万m</w:t>
      </w:r>
      <w:r>
        <w:rPr>
          <w:rFonts w:hAnsi="Times New Roman" w:eastAsia="宋体"/>
          <w:vertAlign w:val="superscript"/>
        </w:rPr>
        <w:t>3</w:t>
      </w:r>
      <w:r>
        <w:rPr>
          <w:rFonts w:hAnsi="Times New Roman" w:eastAsia="宋体"/>
        </w:rPr>
        <w:t>/a</w:t>
      </w:r>
      <w:r>
        <w:rPr>
          <w:rFonts w:hint="eastAsia" w:hAnsi="Times New Roman" w:eastAsia="宋体"/>
          <w:lang w:eastAsia="zh-CN"/>
        </w:rPr>
        <w:t>，较大涌水量占区域地下水资源的26.43%</w:t>
      </w:r>
      <w:r>
        <w:rPr>
          <w:rFonts w:hAnsi="Times New Roman" w:eastAsia="宋体"/>
        </w:rPr>
        <w:t>。由于在开采过程中破坏了地下含水层原有的储水结构，补径排条件随之改变，水的循环过程为：大气降水—地下水—矿井涌水，这一过程中，造成自然排泄量衰减和地下水位下降。地下水的可利用量主要为地下水水位下降引起的可利用量即地下水存储量和利用期补给自然增量。由于本次煤矿生产用水是利用矿井涌水，矿井地下水可利用量在正常情况下约为40.80万m</w:t>
      </w:r>
      <w:r>
        <w:rPr>
          <w:rFonts w:hAnsi="Times New Roman" w:eastAsia="宋体"/>
          <w:vertAlign w:val="superscript"/>
        </w:rPr>
        <w:t>3</w:t>
      </w:r>
      <w:r>
        <w:rPr>
          <w:rFonts w:hAnsi="Times New Roman" w:eastAsia="宋体"/>
        </w:rPr>
        <w:t>/a，年利用率为33.5%。</w:t>
      </w:r>
    </w:p>
    <w:p>
      <w:pPr>
        <w:spacing w:line="360" w:lineRule="auto"/>
        <w:ind w:firstLine="480"/>
        <w:rPr>
          <w:rFonts w:hAnsi="Times New Roman" w:eastAsia="宋体"/>
        </w:rPr>
      </w:pPr>
      <w:r>
        <w:rPr>
          <w:rFonts w:hAnsi="Times New Roman" w:eastAsia="宋体"/>
        </w:rPr>
        <w:t>为减少矿井水资源的损失，矿井水经处理后尽量回用，总的来说不会造成区内地下水资源的大量浪费。值得一提的是，随着开采面积的增加，地下水瞬态流场的变化将引起矿井涌水不断发生变化，矿井涌水量总体上会呈现增加趋势，但增加幅度会趋于平缓。另一方面矿井水排出地表后经处理复用后，多余部分可作为河道补充水源，水资源的转化形式为“大气降水—矿井涌水—地表水”，从此过程来看，煤炭开采对地下水影响是有限的。</w:t>
      </w:r>
    </w:p>
    <w:p>
      <w:pPr>
        <w:pStyle w:val="5"/>
        <w:rPr>
          <w:rFonts w:ascii="Times New Roman" w:hAnsi="Times New Roman"/>
          <w:szCs w:val="22"/>
          <w:lang w:eastAsia="zh-CN"/>
        </w:rPr>
      </w:pPr>
      <w:bookmarkStart w:id="392" w:name="_Toc163749173"/>
      <w:bookmarkStart w:id="393" w:name="_Toc167095230"/>
      <w:r>
        <w:rPr>
          <w:rFonts w:ascii="Times New Roman" w:hAnsi="Times New Roman"/>
          <w:szCs w:val="22"/>
          <w:lang w:eastAsia="zh-CN"/>
        </w:rPr>
        <w:t>5.5地下水环境保护措施及对策</w:t>
      </w:r>
      <w:bookmarkEnd w:id="392"/>
      <w:bookmarkEnd w:id="393"/>
    </w:p>
    <w:p>
      <w:pPr>
        <w:pStyle w:val="6"/>
        <w:rPr>
          <w:szCs w:val="22"/>
        </w:rPr>
      </w:pPr>
      <w:bookmarkStart w:id="394" w:name="_Toc167095231"/>
      <w:bookmarkStart w:id="395" w:name="_Toc163812608"/>
      <w:r>
        <w:rPr>
          <w:szCs w:val="22"/>
        </w:rPr>
        <w:t>5.5.1污染源源头控制措施</w:t>
      </w:r>
      <w:bookmarkEnd w:id="394"/>
      <w:bookmarkEnd w:id="395"/>
    </w:p>
    <w:p>
      <w:pPr>
        <w:spacing w:line="360" w:lineRule="auto"/>
        <w:ind w:firstLine="480"/>
        <w:rPr>
          <w:rFonts w:hAnsi="Times New Roman" w:eastAsia="宋体"/>
        </w:rPr>
      </w:pPr>
      <w:r>
        <w:rPr>
          <w:rFonts w:hAnsi="Times New Roman" w:eastAsia="宋体"/>
        </w:rPr>
        <w:t>地下水一旦受到污染，将很难恢复。地下水污染的主要措施为源头控制，主要是做好前期的各项工作，加强地下水环保措施，将地下水灾害降至最低。</w:t>
      </w:r>
    </w:p>
    <w:p>
      <w:pPr>
        <w:spacing w:line="360" w:lineRule="auto"/>
        <w:ind w:firstLine="480"/>
        <w:rPr>
          <w:rFonts w:hAnsi="Times New Roman" w:eastAsia="宋体"/>
        </w:rPr>
      </w:pPr>
      <w:r>
        <w:rPr>
          <w:rFonts w:hAnsi="Times New Roman" w:eastAsia="宋体"/>
        </w:rPr>
        <w:t>本项目污染源头控制主要包括实施清洁生产及各类废物循环利用，减少污染物的排放量；在工业场地、辅助生产构筑物等采取相应工程防范措施及环境管理巡检，尤其是加强各生产平硐、工业场地、沉淀池、污水处理池等设施的日常维护和检查，防止和降低污染物跑、冒、滴、漏。</w:t>
      </w:r>
    </w:p>
    <w:p>
      <w:pPr>
        <w:pStyle w:val="6"/>
        <w:rPr>
          <w:szCs w:val="22"/>
        </w:rPr>
      </w:pPr>
      <w:bookmarkStart w:id="396" w:name="_Toc163812609"/>
      <w:bookmarkStart w:id="397" w:name="_Toc167095232"/>
      <w:r>
        <w:rPr>
          <w:szCs w:val="22"/>
        </w:rPr>
        <w:t>5.5.2分区防控措施</w:t>
      </w:r>
      <w:bookmarkEnd w:id="396"/>
      <w:bookmarkEnd w:id="397"/>
    </w:p>
    <w:p>
      <w:pPr>
        <w:spacing w:line="360" w:lineRule="auto"/>
        <w:ind w:firstLine="480"/>
        <w:rPr>
          <w:rFonts w:hAnsi="Times New Roman" w:eastAsia="宋体"/>
        </w:rPr>
      </w:pPr>
      <w:r>
        <w:rPr>
          <w:rFonts w:hAnsi="Times New Roman" w:eastAsia="宋体"/>
        </w:rPr>
        <w:t>对于已经颁布污染控制国家标准或防渗技术规范的行业，水平防渗技术要求按照相应标准或规范执行，未颁布相关标准的行业，根据预测结果及天然包气带防污性能、污染控制难易程度和污染物特性提出防渗技术要求。根据采矿行业生产特征，按照导则中技术要求，确定的各区域的防渗措施分区如下表。</w:t>
      </w:r>
    </w:p>
    <w:p>
      <w:pPr>
        <w:pStyle w:val="14"/>
        <w:tabs>
          <w:tab w:val="left" w:pos="3718"/>
        </w:tabs>
        <w:overflowPunct w:val="0"/>
        <w:spacing w:line="360" w:lineRule="auto"/>
        <w:jc w:val="center"/>
        <w:rPr>
          <w:rFonts w:ascii="Times New Roman" w:hAnsi="Times New Roman"/>
          <w:b/>
          <w:bCs w:val="0"/>
          <w:spacing w:val="-2"/>
          <w:sz w:val="21"/>
          <w:szCs w:val="21"/>
        </w:rPr>
      </w:pPr>
      <w:r>
        <w:rPr>
          <w:rFonts w:ascii="Times New Roman" w:hAnsi="Times New Roman"/>
          <w:b/>
          <w:bCs w:val="0"/>
          <w:spacing w:val="-2"/>
          <w:sz w:val="21"/>
          <w:szCs w:val="21"/>
        </w:rPr>
        <w:t>表5.5-1 本项目污染控制难易程度分级</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84"/>
        <w:gridCol w:w="3468"/>
        <w:gridCol w:w="1850"/>
        <w:gridCol w:w="25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1" w:hRule="atLeast"/>
          <w:tblHeader/>
          <w:jc w:val="center"/>
        </w:trPr>
        <w:tc>
          <w:tcPr>
            <w:tcW w:w="794" w:type="pct"/>
            <w:vAlign w:val="center"/>
          </w:tcPr>
          <w:p>
            <w:pPr>
              <w:pStyle w:val="62"/>
              <w:keepNext w:val="0"/>
              <w:keepLines w:val="0"/>
              <w:suppressLineNumbers w:val="0"/>
              <w:spacing w:before="0" w:beforeAutospacing="0" w:after="0" w:afterAutospacing="0"/>
              <w:ind w:left="0" w:right="0"/>
              <w:rPr>
                <w:rFonts w:hint="eastAsia" w:hAnsi="Times New Roman" w:eastAsia="宋体"/>
                <w:b/>
                <w:kern w:val="2"/>
                <w:szCs w:val="22"/>
              </w:rPr>
            </w:pPr>
            <w:r>
              <w:rPr>
                <w:rFonts w:hint="eastAsia" w:hAnsi="Times New Roman" w:eastAsia="宋体"/>
                <w:b/>
                <w:kern w:val="2"/>
                <w:szCs w:val="22"/>
              </w:rPr>
              <w:t>污染物控制难易程度</w:t>
            </w:r>
          </w:p>
        </w:tc>
        <w:tc>
          <w:tcPr>
            <w:tcW w:w="1856" w:type="pct"/>
            <w:vAlign w:val="center"/>
          </w:tcPr>
          <w:p>
            <w:pPr>
              <w:pStyle w:val="62"/>
              <w:keepNext w:val="0"/>
              <w:keepLines w:val="0"/>
              <w:suppressLineNumbers w:val="0"/>
              <w:spacing w:before="0" w:beforeAutospacing="0" w:after="0" w:afterAutospacing="0"/>
              <w:ind w:left="0" w:right="0"/>
              <w:rPr>
                <w:rFonts w:hint="eastAsia" w:hAnsi="Times New Roman" w:eastAsia="宋体"/>
                <w:b/>
                <w:kern w:val="2"/>
                <w:szCs w:val="22"/>
              </w:rPr>
            </w:pPr>
            <w:r>
              <w:rPr>
                <w:rFonts w:hint="eastAsia" w:hAnsi="Times New Roman" w:eastAsia="宋体"/>
                <w:b/>
                <w:kern w:val="2"/>
                <w:szCs w:val="22"/>
              </w:rPr>
              <w:t>主要特征</w:t>
            </w:r>
          </w:p>
        </w:tc>
        <w:tc>
          <w:tcPr>
            <w:tcW w:w="990" w:type="pct"/>
            <w:vAlign w:val="center"/>
          </w:tcPr>
          <w:p>
            <w:pPr>
              <w:pStyle w:val="62"/>
              <w:keepNext w:val="0"/>
              <w:keepLines w:val="0"/>
              <w:suppressLineNumbers w:val="0"/>
              <w:spacing w:before="0" w:beforeAutospacing="0" w:after="0" w:afterAutospacing="0"/>
              <w:ind w:left="0" w:right="0"/>
              <w:rPr>
                <w:rFonts w:hint="eastAsia" w:hAnsi="Times New Roman" w:eastAsia="宋体"/>
                <w:b/>
                <w:kern w:val="2"/>
                <w:szCs w:val="22"/>
              </w:rPr>
            </w:pPr>
            <w:r>
              <w:rPr>
                <w:rFonts w:hint="eastAsia" w:hAnsi="Times New Roman" w:eastAsia="宋体"/>
                <w:b/>
                <w:kern w:val="2"/>
                <w:szCs w:val="22"/>
              </w:rPr>
              <w:t>拟建构筑物</w:t>
            </w:r>
          </w:p>
        </w:tc>
        <w:tc>
          <w:tcPr>
            <w:tcW w:w="1360" w:type="pct"/>
            <w:vAlign w:val="center"/>
          </w:tcPr>
          <w:p>
            <w:pPr>
              <w:pStyle w:val="62"/>
              <w:keepNext w:val="0"/>
              <w:keepLines w:val="0"/>
              <w:suppressLineNumbers w:val="0"/>
              <w:spacing w:before="0" w:beforeAutospacing="0" w:after="0" w:afterAutospacing="0"/>
              <w:ind w:left="0" w:right="0"/>
              <w:rPr>
                <w:rFonts w:hint="eastAsia" w:hAnsi="Times New Roman" w:eastAsia="宋体"/>
                <w:b/>
                <w:kern w:val="2"/>
                <w:szCs w:val="22"/>
              </w:rPr>
            </w:pPr>
            <w:r>
              <w:rPr>
                <w:rFonts w:hint="eastAsia" w:hAnsi="Times New Roman" w:eastAsia="宋体"/>
                <w:b/>
                <w:kern w:val="2"/>
                <w:szCs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1" w:hRule="atLeast"/>
          <w:jc w:val="center"/>
        </w:trPr>
        <w:tc>
          <w:tcPr>
            <w:tcW w:w="794" w:type="pct"/>
            <w:vMerge w:val="restar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难</w:t>
            </w:r>
          </w:p>
        </w:tc>
        <w:tc>
          <w:tcPr>
            <w:tcW w:w="1856"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对地下水环境有污染的物料或污染物泄漏后，不能及时发现和处理</w:t>
            </w:r>
          </w:p>
        </w:tc>
        <w:tc>
          <w:tcPr>
            <w:tcW w:w="990"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煤矸石转运场</w:t>
            </w:r>
          </w:p>
        </w:tc>
        <w:tc>
          <w:tcPr>
            <w:tcW w:w="1360" w:type="pct"/>
            <w:vMerge w:val="restar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持续</w:t>
            </w:r>
            <w:r>
              <w:rPr>
                <w:rFonts w:hint="eastAsia" w:hAnsi="Times New Roman" w:eastAsia="宋体"/>
                <w:kern w:val="2"/>
                <w:szCs w:val="22"/>
                <w:lang w:eastAsia="zh-CN"/>
              </w:rPr>
              <w:t>污染</w:t>
            </w:r>
            <w:r>
              <w:rPr>
                <w:rFonts w:hint="eastAsia" w:hAnsi="Times New Roman" w:eastAsia="宋体"/>
                <w:kern w:val="2"/>
                <w:szCs w:val="22"/>
              </w:rPr>
              <w:t>且不易被发现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1" w:hRule="atLeast"/>
          <w:jc w:val="center"/>
        </w:trPr>
        <w:tc>
          <w:tcPr>
            <w:tcW w:w="794" w:type="pct"/>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p>
        </w:tc>
        <w:tc>
          <w:tcPr>
            <w:tcW w:w="1856"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收集平硐涌水，含金属离子高，泄漏后不能及时发现和处理</w:t>
            </w:r>
          </w:p>
        </w:tc>
        <w:tc>
          <w:tcPr>
            <w:tcW w:w="990"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水处理站（矿井涌水）</w:t>
            </w:r>
          </w:p>
        </w:tc>
        <w:tc>
          <w:tcPr>
            <w:tcW w:w="1360" w:type="pct"/>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1" w:hRule="atLeast"/>
          <w:jc w:val="center"/>
        </w:trPr>
        <w:tc>
          <w:tcPr>
            <w:tcW w:w="794" w:type="pct"/>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p>
        </w:tc>
        <w:tc>
          <w:tcPr>
            <w:tcW w:w="1856"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对地下水环境有污染的物料或污染物泄漏后，不能及时发现和处理</w:t>
            </w:r>
          </w:p>
        </w:tc>
        <w:tc>
          <w:tcPr>
            <w:tcW w:w="990"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生活水池、沉淀</w:t>
            </w:r>
          </w:p>
        </w:tc>
        <w:tc>
          <w:tcPr>
            <w:tcW w:w="1360" w:type="pct"/>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8" w:hRule="atLeast"/>
          <w:jc w:val="center"/>
        </w:trPr>
        <w:tc>
          <w:tcPr>
            <w:tcW w:w="794" w:type="pct"/>
            <w:vMerge w:val="restar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易</w:t>
            </w:r>
          </w:p>
        </w:tc>
        <w:tc>
          <w:tcPr>
            <w:tcW w:w="1856" w:type="pct"/>
            <w:vMerge w:val="restar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对地下水环境有污染的物料或污染物泄漏后，可及时发现和处理</w:t>
            </w:r>
          </w:p>
        </w:tc>
        <w:tc>
          <w:tcPr>
            <w:tcW w:w="990"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机修车间、材料库房、风机房、坑木加工房等</w:t>
            </w:r>
          </w:p>
        </w:tc>
        <w:tc>
          <w:tcPr>
            <w:tcW w:w="1360"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对地下水环境有污染的物料或污染物泄漏后，可及时发现和处理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1" w:hRule="atLeast"/>
          <w:jc w:val="center"/>
        </w:trPr>
        <w:tc>
          <w:tcPr>
            <w:tcW w:w="794" w:type="pct"/>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p>
        </w:tc>
        <w:tc>
          <w:tcPr>
            <w:tcW w:w="1856" w:type="pct"/>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p>
        </w:tc>
        <w:tc>
          <w:tcPr>
            <w:tcW w:w="990"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职工生活区（宿舍及食堂）</w:t>
            </w:r>
          </w:p>
        </w:tc>
        <w:tc>
          <w:tcPr>
            <w:tcW w:w="1360"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员工宿舍及食堂，发生泄漏后可及时发现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8" w:hRule="atLeast"/>
          <w:jc w:val="center"/>
        </w:trPr>
        <w:tc>
          <w:tcPr>
            <w:tcW w:w="794"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其它</w:t>
            </w:r>
          </w:p>
        </w:tc>
        <w:tc>
          <w:tcPr>
            <w:tcW w:w="1856"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w:t>
            </w:r>
          </w:p>
        </w:tc>
        <w:tc>
          <w:tcPr>
            <w:tcW w:w="990"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办公区、矿灯房、井口值班室及检身房、井口房</w:t>
            </w:r>
          </w:p>
        </w:tc>
        <w:tc>
          <w:tcPr>
            <w:tcW w:w="1360"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无持续污染源及下渗所需的水力条件，仅需做一般地面硬化</w:t>
            </w:r>
          </w:p>
        </w:tc>
      </w:tr>
    </w:tbl>
    <w:p>
      <w:pPr>
        <w:pStyle w:val="14"/>
        <w:tabs>
          <w:tab w:val="left" w:pos="3718"/>
        </w:tabs>
        <w:overflowPunct w:val="0"/>
        <w:spacing w:line="360" w:lineRule="auto"/>
        <w:jc w:val="center"/>
        <w:rPr>
          <w:rFonts w:ascii="Times New Roman" w:hAnsi="Times New Roman"/>
          <w:b/>
          <w:bCs w:val="0"/>
          <w:spacing w:val="-2"/>
          <w:sz w:val="21"/>
          <w:szCs w:val="21"/>
        </w:rPr>
      </w:pPr>
      <w:r>
        <w:rPr>
          <w:rFonts w:ascii="Times New Roman" w:hAnsi="Times New Roman"/>
          <w:b/>
          <w:bCs w:val="0"/>
          <w:spacing w:val="-2"/>
          <w:sz w:val="21"/>
          <w:szCs w:val="21"/>
        </w:rPr>
        <w:t>表5.5-2 天然包气带防污性能分级</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52"/>
        <w:gridCol w:w="4191"/>
        <w:gridCol w:w="41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tblHeader/>
          <w:jc w:val="center"/>
        </w:trPr>
        <w:tc>
          <w:tcPr>
            <w:tcW w:w="563" w:type="pct"/>
            <w:vAlign w:val="center"/>
          </w:tcPr>
          <w:p>
            <w:pPr>
              <w:pStyle w:val="62"/>
              <w:keepNext w:val="0"/>
              <w:keepLines w:val="0"/>
              <w:suppressLineNumbers w:val="0"/>
              <w:spacing w:before="0" w:beforeAutospacing="0" w:after="0" w:afterAutospacing="0"/>
              <w:ind w:left="0" w:right="0"/>
              <w:rPr>
                <w:rFonts w:hint="eastAsia" w:hAnsi="Times New Roman" w:eastAsia="宋体"/>
                <w:b/>
                <w:bCs/>
                <w:kern w:val="2"/>
                <w:szCs w:val="22"/>
              </w:rPr>
            </w:pPr>
            <w:r>
              <w:rPr>
                <w:rFonts w:hint="eastAsia" w:hAnsi="Times New Roman" w:eastAsia="宋体"/>
                <w:b/>
                <w:bCs/>
                <w:kern w:val="2"/>
                <w:szCs w:val="22"/>
              </w:rPr>
              <w:t>分级</w:t>
            </w:r>
          </w:p>
        </w:tc>
        <w:tc>
          <w:tcPr>
            <w:tcW w:w="2243" w:type="pct"/>
            <w:vAlign w:val="center"/>
          </w:tcPr>
          <w:p>
            <w:pPr>
              <w:pStyle w:val="62"/>
              <w:keepNext w:val="0"/>
              <w:keepLines w:val="0"/>
              <w:suppressLineNumbers w:val="0"/>
              <w:spacing w:before="0" w:beforeAutospacing="0" w:after="0" w:afterAutospacing="0"/>
              <w:ind w:left="0" w:right="0"/>
              <w:rPr>
                <w:rFonts w:hint="eastAsia" w:hAnsi="Times New Roman" w:eastAsia="宋体"/>
                <w:b/>
                <w:bCs/>
                <w:kern w:val="2"/>
                <w:szCs w:val="22"/>
              </w:rPr>
            </w:pPr>
            <w:r>
              <w:rPr>
                <w:rFonts w:hint="eastAsia" w:hAnsi="Times New Roman" w:eastAsia="宋体"/>
                <w:b/>
                <w:bCs/>
                <w:kern w:val="2"/>
                <w:szCs w:val="22"/>
              </w:rPr>
              <w:t>包气带岩土的渗透性能</w:t>
            </w:r>
          </w:p>
        </w:tc>
        <w:tc>
          <w:tcPr>
            <w:tcW w:w="2194" w:type="pct"/>
            <w:vAlign w:val="center"/>
          </w:tcPr>
          <w:p>
            <w:pPr>
              <w:pStyle w:val="62"/>
              <w:keepNext w:val="0"/>
              <w:keepLines w:val="0"/>
              <w:suppressLineNumbers w:val="0"/>
              <w:spacing w:before="0" w:beforeAutospacing="0" w:after="0" w:afterAutospacing="0"/>
              <w:ind w:left="0" w:right="0"/>
              <w:rPr>
                <w:rFonts w:hint="eastAsia" w:hAnsi="Times New Roman" w:eastAsia="宋体"/>
                <w:b/>
                <w:bCs/>
                <w:kern w:val="2"/>
                <w:szCs w:val="22"/>
              </w:rPr>
            </w:pPr>
            <w:r>
              <w:rPr>
                <w:rFonts w:hint="eastAsia" w:hAnsi="Times New Roman" w:eastAsia="宋体"/>
                <w:b/>
                <w:bCs/>
                <w:kern w:val="2"/>
                <w:szCs w:val="22"/>
              </w:rPr>
              <w:t>本工程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563"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强</w:t>
            </w:r>
          </w:p>
        </w:tc>
        <w:tc>
          <w:tcPr>
            <w:tcW w:w="2243"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岩（土）层单层厚度Mb≥1.0m，渗透系数K≤10</w:t>
            </w:r>
            <w:r>
              <w:rPr>
                <w:rFonts w:hint="eastAsia" w:hAnsi="Times New Roman" w:eastAsia="宋体"/>
                <w:kern w:val="2"/>
                <w:szCs w:val="22"/>
                <w:vertAlign w:val="superscript"/>
              </w:rPr>
              <w:t>-7</w:t>
            </w:r>
            <w:r>
              <w:rPr>
                <w:rFonts w:hint="eastAsia" w:hAnsi="Times New Roman" w:eastAsia="宋体"/>
                <w:kern w:val="2"/>
                <w:szCs w:val="22"/>
              </w:rPr>
              <w:t>cm/s，且分布连续、稳定。</w:t>
            </w:r>
          </w:p>
        </w:tc>
        <w:tc>
          <w:tcPr>
            <w:tcW w:w="2194" w:type="pct"/>
            <w:vMerge w:val="restar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本项目评价区含水层主要为层间裂隙水。根据钻孔揭露，本项目区包气带主要为第四系全新统冲洪积（Q</w:t>
            </w:r>
            <w:r>
              <w:rPr>
                <w:rFonts w:hint="eastAsia" w:hAnsi="Times New Roman" w:eastAsia="宋体"/>
                <w:kern w:val="2"/>
                <w:szCs w:val="22"/>
                <w:vertAlign w:val="subscript"/>
              </w:rPr>
              <w:t>4</w:t>
            </w:r>
            <w:r>
              <w:rPr>
                <w:rFonts w:hint="eastAsia" w:hAnsi="Times New Roman" w:eastAsia="宋体"/>
                <w:kern w:val="2"/>
                <w:szCs w:val="22"/>
              </w:rPr>
              <w:t>）和残坡积的松散堆积层、三叠系上统须家河组</w:t>
            </w:r>
          </w:p>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砂岩泥岩，第四系岩性为黄灰、紫红色粉质粘土为主，其厚度在0.6-7.3m，三叠系为砂泥岩互层，厚度较大，综合考虑，渗透系数为1×10</w:t>
            </w:r>
            <w:r>
              <w:rPr>
                <w:rFonts w:hint="eastAsia" w:hAnsi="Times New Roman" w:eastAsia="宋体"/>
                <w:kern w:val="2"/>
                <w:szCs w:val="22"/>
                <w:vertAlign w:val="superscript"/>
              </w:rPr>
              <w:t>-5</w:t>
            </w:r>
            <w:r>
              <w:rPr>
                <w:rFonts w:hint="eastAsia" w:hAnsi="Times New Roman" w:eastAsia="宋体"/>
                <w:kern w:val="2"/>
                <w:szCs w:val="22"/>
              </w:rPr>
              <w:t>～1×10</w:t>
            </w:r>
            <w:r>
              <w:rPr>
                <w:rFonts w:hint="eastAsia" w:hAnsi="Times New Roman" w:eastAsia="宋体"/>
                <w:kern w:val="2"/>
                <w:szCs w:val="22"/>
                <w:vertAlign w:val="superscript"/>
              </w:rPr>
              <w:t>-6</w:t>
            </w:r>
            <w:r>
              <w:rPr>
                <w:rFonts w:hint="eastAsia" w:hAnsi="Times New Roman" w:eastAsia="宋体"/>
                <w:kern w:val="2"/>
                <w:szCs w:val="22"/>
              </w:rPr>
              <w:t>cm/s，综上确定包气带防污性能为“中”。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563"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中</w:t>
            </w:r>
          </w:p>
        </w:tc>
        <w:tc>
          <w:tcPr>
            <w:tcW w:w="2243"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岩（土）层单层厚度0.5m≤Mb&lt;1.0m，渗透系数K≤10</w:t>
            </w:r>
            <w:r>
              <w:rPr>
                <w:rFonts w:hint="eastAsia" w:hAnsi="Times New Roman" w:eastAsia="宋体"/>
                <w:kern w:val="2"/>
                <w:szCs w:val="22"/>
                <w:vertAlign w:val="superscript"/>
              </w:rPr>
              <w:t>-7</w:t>
            </w:r>
            <w:r>
              <w:rPr>
                <w:rFonts w:hint="eastAsia" w:hAnsi="Times New Roman" w:eastAsia="宋体"/>
                <w:kern w:val="2"/>
                <w:szCs w:val="22"/>
              </w:rPr>
              <w:t>cm/s，且分布连续、稳定。</w:t>
            </w:r>
          </w:p>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岩（土）层单层厚度Mb≥1.0m，渗透系数10</w:t>
            </w:r>
            <w:r>
              <w:rPr>
                <w:rFonts w:hint="eastAsia" w:hAnsi="Times New Roman" w:eastAsia="宋体"/>
                <w:kern w:val="2"/>
                <w:szCs w:val="22"/>
                <w:vertAlign w:val="superscript"/>
              </w:rPr>
              <w:t>-7</w:t>
            </w:r>
            <w:r>
              <w:rPr>
                <w:rFonts w:hint="eastAsia" w:hAnsi="Times New Roman" w:eastAsia="宋体"/>
                <w:kern w:val="2"/>
                <w:szCs w:val="22"/>
              </w:rPr>
              <w:t>cm/s&lt;K≤10</w:t>
            </w:r>
            <w:r>
              <w:rPr>
                <w:rFonts w:hint="eastAsia" w:hAnsi="Times New Roman" w:eastAsia="宋体"/>
                <w:kern w:val="2"/>
                <w:szCs w:val="22"/>
                <w:vertAlign w:val="superscript"/>
              </w:rPr>
              <w:t>-4</w:t>
            </w:r>
            <w:r>
              <w:rPr>
                <w:rFonts w:hint="eastAsia" w:hAnsi="Times New Roman" w:eastAsia="宋体"/>
                <w:kern w:val="2"/>
                <w:szCs w:val="22"/>
              </w:rPr>
              <w:t>cm/s，且分布连续、稳定。</w:t>
            </w:r>
          </w:p>
        </w:tc>
        <w:tc>
          <w:tcPr>
            <w:tcW w:w="2194" w:type="pct"/>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563"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弱（√）</w:t>
            </w:r>
          </w:p>
        </w:tc>
        <w:tc>
          <w:tcPr>
            <w:tcW w:w="2243"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岩（土）层不满足上述“强”和“中”条件。</w:t>
            </w:r>
          </w:p>
        </w:tc>
        <w:tc>
          <w:tcPr>
            <w:tcW w:w="2194" w:type="pct"/>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p>
        </w:tc>
      </w:tr>
    </w:tbl>
    <w:p>
      <w:pPr>
        <w:pStyle w:val="14"/>
        <w:tabs>
          <w:tab w:val="left" w:pos="3718"/>
        </w:tabs>
        <w:overflowPunct w:val="0"/>
        <w:spacing w:line="360" w:lineRule="auto"/>
        <w:jc w:val="center"/>
        <w:rPr>
          <w:rFonts w:ascii="Times New Roman" w:hAnsi="Times New Roman"/>
          <w:b/>
          <w:bCs w:val="0"/>
          <w:spacing w:val="-2"/>
          <w:sz w:val="21"/>
          <w:szCs w:val="21"/>
        </w:rPr>
      </w:pPr>
      <w:r>
        <w:rPr>
          <w:rFonts w:ascii="Times New Roman" w:hAnsi="Times New Roman"/>
          <w:b/>
          <w:bCs w:val="0"/>
          <w:spacing w:val="-2"/>
          <w:sz w:val="21"/>
          <w:szCs w:val="21"/>
        </w:rPr>
        <w:t>表5.5-3 本项目地下水污染防渗分区</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6"/>
        <w:gridCol w:w="1086"/>
        <w:gridCol w:w="1108"/>
        <w:gridCol w:w="1244"/>
        <w:gridCol w:w="1753"/>
        <w:gridCol w:w="1667"/>
        <w:gridCol w:w="16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blHeader/>
          <w:jc w:val="center"/>
        </w:trPr>
        <w:tc>
          <w:tcPr>
            <w:tcW w:w="469" w:type="pct"/>
            <w:vAlign w:val="center"/>
          </w:tcPr>
          <w:p>
            <w:pPr>
              <w:pStyle w:val="62"/>
              <w:keepNext w:val="0"/>
              <w:keepLines w:val="0"/>
              <w:suppressLineNumbers w:val="0"/>
              <w:spacing w:before="0" w:beforeAutospacing="0" w:after="0" w:afterAutospacing="0"/>
              <w:ind w:left="0" w:right="0"/>
              <w:rPr>
                <w:rFonts w:hint="eastAsia" w:hAnsi="Times New Roman" w:eastAsia="宋体"/>
                <w:b/>
                <w:kern w:val="2"/>
                <w:szCs w:val="22"/>
              </w:rPr>
            </w:pPr>
            <w:r>
              <w:rPr>
                <w:rFonts w:hint="eastAsia" w:hAnsi="Times New Roman" w:eastAsia="宋体"/>
                <w:b/>
                <w:kern w:val="2"/>
                <w:szCs w:val="22"/>
              </w:rPr>
              <w:t>防渗分区</w:t>
            </w:r>
          </w:p>
        </w:tc>
        <w:tc>
          <w:tcPr>
            <w:tcW w:w="581" w:type="pct"/>
            <w:vAlign w:val="center"/>
          </w:tcPr>
          <w:p>
            <w:pPr>
              <w:pStyle w:val="62"/>
              <w:keepNext w:val="0"/>
              <w:keepLines w:val="0"/>
              <w:suppressLineNumbers w:val="0"/>
              <w:spacing w:before="0" w:beforeAutospacing="0" w:after="0" w:afterAutospacing="0"/>
              <w:ind w:left="0" w:right="0"/>
              <w:rPr>
                <w:rFonts w:hint="eastAsia" w:hAnsi="Times New Roman" w:eastAsia="宋体"/>
                <w:b/>
                <w:kern w:val="2"/>
                <w:szCs w:val="22"/>
              </w:rPr>
            </w:pPr>
            <w:r>
              <w:rPr>
                <w:rFonts w:hint="eastAsia" w:hAnsi="Times New Roman" w:eastAsia="宋体"/>
                <w:b/>
                <w:kern w:val="2"/>
                <w:szCs w:val="22"/>
              </w:rPr>
              <w:t>天然包气带防污性能</w:t>
            </w:r>
          </w:p>
        </w:tc>
        <w:tc>
          <w:tcPr>
            <w:tcW w:w="593" w:type="pct"/>
            <w:vAlign w:val="center"/>
          </w:tcPr>
          <w:p>
            <w:pPr>
              <w:pStyle w:val="62"/>
              <w:keepNext w:val="0"/>
              <w:keepLines w:val="0"/>
              <w:suppressLineNumbers w:val="0"/>
              <w:spacing w:before="0" w:beforeAutospacing="0" w:after="0" w:afterAutospacing="0"/>
              <w:ind w:left="0" w:right="0"/>
              <w:rPr>
                <w:rFonts w:hint="eastAsia" w:hAnsi="Times New Roman" w:eastAsia="宋体"/>
                <w:b/>
                <w:kern w:val="2"/>
                <w:szCs w:val="22"/>
              </w:rPr>
            </w:pPr>
            <w:r>
              <w:rPr>
                <w:rFonts w:hint="eastAsia" w:hAnsi="Times New Roman" w:eastAsia="宋体"/>
                <w:b/>
                <w:kern w:val="2"/>
                <w:szCs w:val="22"/>
              </w:rPr>
              <w:t>污染控制难易程度</w:t>
            </w:r>
          </w:p>
        </w:tc>
        <w:tc>
          <w:tcPr>
            <w:tcW w:w="666" w:type="pct"/>
            <w:vAlign w:val="center"/>
          </w:tcPr>
          <w:p>
            <w:pPr>
              <w:pStyle w:val="62"/>
              <w:keepNext w:val="0"/>
              <w:keepLines w:val="0"/>
              <w:suppressLineNumbers w:val="0"/>
              <w:spacing w:before="0" w:beforeAutospacing="0" w:after="0" w:afterAutospacing="0"/>
              <w:ind w:left="0" w:right="0"/>
              <w:rPr>
                <w:rFonts w:hint="eastAsia" w:hAnsi="Times New Roman" w:eastAsia="宋体"/>
                <w:b/>
                <w:kern w:val="2"/>
                <w:szCs w:val="22"/>
              </w:rPr>
            </w:pPr>
            <w:r>
              <w:rPr>
                <w:rFonts w:hint="eastAsia" w:hAnsi="Times New Roman" w:eastAsia="宋体"/>
                <w:b/>
                <w:kern w:val="2"/>
                <w:szCs w:val="22"/>
              </w:rPr>
              <w:t>污染物类型</w:t>
            </w:r>
          </w:p>
        </w:tc>
        <w:tc>
          <w:tcPr>
            <w:tcW w:w="938" w:type="pct"/>
            <w:vAlign w:val="center"/>
          </w:tcPr>
          <w:p>
            <w:pPr>
              <w:pStyle w:val="62"/>
              <w:keepNext w:val="0"/>
              <w:keepLines w:val="0"/>
              <w:suppressLineNumbers w:val="0"/>
              <w:spacing w:before="0" w:beforeAutospacing="0" w:after="0" w:afterAutospacing="0"/>
              <w:ind w:left="0" w:right="0"/>
              <w:rPr>
                <w:rFonts w:hint="eastAsia" w:hAnsi="Times New Roman" w:eastAsia="宋体"/>
                <w:b/>
                <w:kern w:val="2"/>
                <w:szCs w:val="22"/>
              </w:rPr>
            </w:pPr>
            <w:r>
              <w:rPr>
                <w:rFonts w:hint="eastAsia" w:hAnsi="Times New Roman" w:eastAsia="宋体"/>
                <w:b/>
                <w:kern w:val="2"/>
                <w:szCs w:val="22"/>
              </w:rPr>
              <w:t>防渗技术要求</w:t>
            </w:r>
          </w:p>
        </w:tc>
        <w:tc>
          <w:tcPr>
            <w:tcW w:w="892" w:type="pct"/>
            <w:vAlign w:val="center"/>
          </w:tcPr>
          <w:p>
            <w:pPr>
              <w:pStyle w:val="62"/>
              <w:keepNext w:val="0"/>
              <w:keepLines w:val="0"/>
              <w:suppressLineNumbers w:val="0"/>
              <w:spacing w:before="0" w:beforeAutospacing="0" w:after="0" w:afterAutospacing="0"/>
              <w:ind w:left="0" w:right="0"/>
              <w:rPr>
                <w:rFonts w:hint="eastAsia" w:hAnsi="Times New Roman" w:eastAsia="宋体"/>
                <w:b/>
                <w:kern w:val="2"/>
                <w:szCs w:val="22"/>
              </w:rPr>
            </w:pPr>
            <w:r>
              <w:rPr>
                <w:rFonts w:hint="eastAsia" w:hAnsi="Times New Roman" w:eastAsia="宋体"/>
                <w:b/>
                <w:kern w:val="2"/>
                <w:szCs w:val="22"/>
              </w:rPr>
              <w:t>拟建构筑物</w:t>
            </w:r>
          </w:p>
        </w:tc>
        <w:tc>
          <w:tcPr>
            <w:tcW w:w="861" w:type="pct"/>
            <w:vAlign w:val="center"/>
          </w:tcPr>
          <w:p>
            <w:pPr>
              <w:pStyle w:val="62"/>
              <w:keepNext w:val="0"/>
              <w:keepLines w:val="0"/>
              <w:suppressLineNumbers w:val="0"/>
              <w:spacing w:before="0" w:beforeAutospacing="0" w:after="0" w:afterAutospacing="0"/>
              <w:ind w:left="0" w:right="0"/>
              <w:rPr>
                <w:rFonts w:hint="eastAsia" w:hAnsi="Times New Roman" w:eastAsia="宋体"/>
                <w:b/>
                <w:kern w:val="2"/>
                <w:szCs w:val="22"/>
              </w:rPr>
            </w:pPr>
            <w:r>
              <w:rPr>
                <w:rFonts w:hint="eastAsia" w:hAnsi="Times New Roman" w:eastAsia="宋体"/>
                <w:b/>
                <w:kern w:val="2"/>
                <w:szCs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469" w:type="pct"/>
            <w:vMerge w:val="restar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重点 防渗 区</w:t>
            </w:r>
          </w:p>
        </w:tc>
        <w:tc>
          <w:tcPr>
            <w:tcW w:w="581"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弱</w:t>
            </w:r>
          </w:p>
        </w:tc>
        <w:tc>
          <w:tcPr>
            <w:tcW w:w="593"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难</w:t>
            </w:r>
          </w:p>
        </w:tc>
        <w:tc>
          <w:tcPr>
            <w:tcW w:w="666" w:type="pct"/>
            <w:vMerge w:val="restar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重金属、 持久性 有机污 染物</w:t>
            </w:r>
          </w:p>
        </w:tc>
        <w:tc>
          <w:tcPr>
            <w:tcW w:w="938" w:type="pct"/>
            <w:vMerge w:val="restar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等效粘土防渗层Mb≥6.0m，K≤1×10</w:t>
            </w:r>
            <w:r>
              <w:rPr>
                <w:rFonts w:hint="eastAsia" w:hAnsi="Times New Roman" w:eastAsia="宋体"/>
                <w:kern w:val="2"/>
                <w:szCs w:val="22"/>
                <w:vertAlign w:val="superscript"/>
              </w:rPr>
              <w:t>-7</w:t>
            </w:r>
            <w:r>
              <w:rPr>
                <w:rFonts w:hint="eastAsia" w:hAnsi="Times New Roman" w:eastAsia="宋体"/>
                <w:kern w:val="2"/>
                <w:szCs w:val="22"/>
              </w:rPr>
              <w:t>cm/s；或参照 GB18598执行</w:t>
            </w:r>
          </w:p>
        </w:tc>
        <w:tc>
          <w:tcPr>
            <w:tcW w:w="892" w:type="pct"/>
            <w:vMerge w:val="restar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lang w:eastAsia="zh-CN"/>
              </w:rPr>
            </w:pPr>
            <w:r>
              <w:rPr>
                <w:rFonts w:hint="eastAsia" w:hAnsi="Times New Roman" w:eastAsia="宋体"/>
                <w:kern w:val="2"/>
                <w:szCs w:val="22"/>
              </w:rPr>
              <w:t>沉淀</w:t>
            </w:r>
            <w:r>
              <w:rPr>
                <w:rFonts w:hint="eastAsia" w:hAnsi="Times New Roman" w:eastAsia="宋体"/>
                <w:kern w:val="2"/>
                <w:szCs w:val="21"/>
              </w:rPr>
              <w:t>池、水处理</w:t>
            </w:r>
            <w:r>
              <w:rPr>
                <w:rFonts w:hint="eastAsia" w:hAnsi="Times New Roman" w:eastAsia="宋体"/>
                <w:spacing w:val="-5"/>
                <w:kern w:val="2"/>
                <w:szCs w:val="21"/>
              </w:rPr>
              <w:t>站</w:t>
            </w:r>
            <w:r>
              <w:rPr>
                <w:rFonts w:hint="eastAsia" w:hAnsi="Times New Roman" w:eastAsia="宋体"/>
                <w:kern w:val="2"/>
                <w:szCs w:val="21"/>
              </w:rPr>
              <w:t>、机修车间</w:t>
            </w:r>
            <w:r>
              <w:rPr>
                <w:rFonts w:hint="eastAsia" w:hAnsi="Times New Roman" w:eastAsia="宋体"/>
                <w:kern w:val="2"/>
                <w:szCs w:val="21"/>
                <w:lang w:eastAsia="zh-CN"/>
              </w:rPr>
              <w:t>、危废暂存间</w:t>
            </w:r>
          </w:p>
        </w:tc>
        <w:tc>
          <w:tcPr>
            <w:tcW w:w="861" w:type="pct"/>
            <w:vMerge w:val="restart"/>
            <w:vAlign w:val="center"/>
          </w:tcPr>
          <w:p>
            <w:pPr>
              <w:pStyle w:val="44"/>
              <w:keepNext w:val="0"/>
              <w:keepLines w:val="0"/>
              <w:suppressLineNumbers w:val="0"/>
              <w:kinsoku w:val="0"/>
              <w:overflowPunct w:val="0"/>
              <w:spacing w:before="0" w:beforeAutospacing="0" w:after="0" w:afterAutospacing="0"/>
              <w:ind w:left="0" w:right="10"/>
              <w:rPr>
                <w:rFonts w:hint="eastAsia" w:hAnsi="Times New Roman" w:eastAsia="宋体"/>
                <w:kern w:val="2"/>
                <w:sz w:val="21"/>
                <w:szCs w:val="21"/>
              </w:rPr>
            </w:pPr>
            <w:r>
              <w:rPr>
                <w:rFonts w:hint="eastAsia" w:hAnsi="Times New Roman" w:eastAsia="宋体"/>
                <w:kern w:val="2"/>
                <w:sz w:val="21"/>
                <w:szCs w:val="21"/>
              </w:rPr>
              <w:t>产生含金</w:t>
            </w:r>
            <w:r>
              <w:rPr>
                <w:rFonts w:hint="eastAsia" w:hAnsi="Times New Roman" w:eastAsia="宋体"/>
                <w:spacing w:val="-5"/>
                <w:kern w:val="2"/>
                <w:sz w:val="21"/>
                <w:szCs w:val="21"/>
              </w:rPr>
              <w:t>属</w:t>
            </w:r>
            <w:r>
              <w:rPr>
                <w:rFonts w:hint="eastAsia" w:hAnsi="Times New Roman" w:eastAsia="宋体"/>
                <w:kern w:val="2"/>
                <w:sz w:val="21"/>
                <w:szCs w:val="21"/>
              </w:rPr>
              <w:t>离子高的淋溶水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469" w:type="pct"/>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p>
        </w:tc>
        <w:tc>
          <w:tcPr>
            <w:tcW w:w="581"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中-强</w:t>
            </w:r>
          </w:p>
        </w:tc>
        <w:tc>
          <w:tcPr>
            <w:tcW w:w="593"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难</w:t>
            </w:r>
          </w:p>
        </w:tc>
        <w:tc>
          <w:tcPr>
            <w:tcW w:w="666" w:type="pct"/>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p>
        </w:tc>
        <w:tc>
          <w:tcPr>
            <w:tcW w:w="938" w:type="pct"/>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p>
        </w:tc>
        <w:tc>
          <w:tcPr>
            <w:tcW w:w="892" w:type="pct"/>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p>
        </w:tc>
        <w:tc>
          <w:tcPr>
            <w:tcW w:w="861" w:type="pct"/>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469" w:type="pct"/>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p>
        </w:tc>
        <w:tc>
          <w:tcPr>
            <w:tcW w:w="581"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弱</w:t>
            </w:r>
          </w:p>
        </w:tc>
        <w:tc>
          <w:tcPr>
            <w:tcW w:w="593"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易</w:t>
            </w:r>
          </w:p>
        </w:tc>
        <w:tc>
          <w:tcPr>
            <w:tcW w:w="666" w:type="pct"/>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p>
        </w:tc>
        <w:tc>
          <w:tcPr>
            <w:tcW w:w="938" w:type="pct"/>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p>
        </w:tc>
        <w:tc>
          <w:tcPr>
            <w:tcW w:w="892" w:type="pct"/>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p>
        </w:tc>
        <w:tc>
          <w:tcPr>
            <w:tcW w:w="861" w:type="pct"/>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469" w:type="pct"/>
            <w:vMerge w:val="restar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一般 防渗 区</w:t>
            </w:r>
          </w:p>
        </w:tc>
        <w:tc>
          <w:tcPr>
            <w:tcW w:w="581"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弱</w:t>
            </w:r>
          </w:p>
        </w:tc>
        <w:tc>
          <w:tcPr>
            <w:tcW w:w="593"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易-难</w:t>
            </w:r>
          </w:p>
        </w:tc>
        <w:tc>
          <w:tcPr>
            <w:tcW w:w="666" w:type="pct"/>
            <w:vMerge w:val="restar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其它类型</w:t>
            </w:r>
          </w:p>
        </w:tc>
        <w:tc>
          <w:tcPr>
            <w:tcW w:w="938" w:type="pct"/>
            <w:vMerge w:val="restar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等效粘土防渗层Mb≥1.5m，K≤1×10</w:t>
            </w:r>
            <w:r>
              <w:rPr>
                <w:rFonts w:hint="eastAsia" w:hAnsi="Times New Roman" w:eastAsia="宋体"/>
                <w:kern w:val="2"/>
                <w:szCs w:val="22"/>
                <w:vertAlign w:val="superscript"/>
              </w:rPr>
              <w:t>-7</w:t>
            </w:r>
            <w:r>
              <w:rPr>
                <w:rFonts w:hint="eastAsia" w:hAnsi="Times New Roman" w:eastAsia="宋体"/>
                <w:kern w:val="2"/>
                <w:szCs w:val="22"/>
              </w:rPr>
              <w:t>cm/s</w:t>
            </w:r>
          </w:p>
        </w:tc>
        <w:tc>
          <w:tcPr>
            <w:tcW w:w="892" w:type="pct"/>
            <w:vMerge w:val="restar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1"/>
              </w:rPr>
              <w:t>材料库房</w:t>
            </w:r>
            <w:r>
              <w:rPr>
                <w:rFonts w:hint="eastAsia" w:hAnsi="Times New Roman" w:eastAsia="宋体"/>
                <w:spacing w:val="-5"/>
                <w:kern w:val="2"/>
                <w:szCs w:val="21"/>
              </w:rPr>
              <w:t>、</w:t>
            </w:r>
            <w:r>
              <w:rPr>
                <w:rFonts w:hint="eastAsia" w:hAnsi="Times New Roman" w:eastAsia="宋体"/>
                <w:kern w:val="2"/>
                <w:szCs w:val="21"/>
              </w:rPr>
              <w:t>压风机房、坑</w:t>
            </w:r>
            <w:r>
              <w:rPr>
                <w:rFonts w:hint="eastAsia" w:hAnsi="Times New Roman" w:eastAsia="宋体"/>
                <w:spacing w:val="-5"/>
                <w:kern w:val="2"/>
                <w:szCs w:val="21"/>
              </w:rPr>
              <w:t>木</w:t>
            </w:r>
            <w:r>
              <w:rPr>
                <w:rFonts w:hint="eastAsia" w:hAnsi="Times New Roman" w:eastAsia="宋体"/>
                <w:kern w:val="2"/>
                <w:szCs w:val="21"/>
              </w:rPr>
              <w:t>加工房、生活</w:t>
            </w:r>
            <w:r>
              <w:rPr>
                <w:rFonts w:hint="eastAsia" w:hAnsi="Times New Roman" w:eastAsia="宋体"/>
                <w:spacing w:val="-5"/>
                <w:kern w:val="2"/>
                <w:szCs w:val="21"/>
              </w:rPr>
              <w:t>水</w:t>
            </w:r>
            <w:r>
              <w:rPr>
                <w:rFonts w:hint="eastAsia" w:hAnsi="Times New Roman" w:eastAsia="宋体"/>
                <w:kern w:val="2"/>
                <w:szCs w:val="21"/>
              </w:rPr>
              <w:t>池等</w:t>
            </w:r>
          </w:p>
        </w:tc>
        <w:tc>
          <w:tcPr>
            <w:tcW w:w="861" w:type="pct"/>
            <w:vMerge w:val="restar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1"/>
              </w:rPr>
              <w:t>主要污染</w:t>
            </w:r>
            <w:r>
              <w:rPr>
                <w:rFonts w:hint="eastAsia" w:hAnsi="Times New Roman" w:eastAsia="宋体"/>
                <w:spacing w:val="-5"/>
                <w:kern w:val="2"/>
                <w:szCs w:val="21"/>
              </w:rPr>
              <w:t>物</w:t>
            </w:r>
            <w:r>
              <w:rPr>
                <w:rFonts w:hint="eastAsia" w:hAnsi="Times New Roman" w:eastAsia="宋体"/>
                <w:kern w:val="2"/>
                <w:szCs w:val="21"/>
              </w:rPr>
              <w:t>为</w:t>
            </w:r>
            <w:r>
              <w:rPr>
                <w:rFonts w:hint="eastAsia" w:hAnsi="Times New Roman" w:eastAsia="宋体"/>
                <w:spacing w:val="-2"/>
                <w:kern w:val="2"/>
                <w:szCs w:val="21"/>
              </w:rPr>
              <w:t>C</w:t>
            </w:r>
            <w:r>
              <w:rPr>
                <w:rFonts w:hint="eastAsia" w:hAnsi="Times New Roman" w:eastAsia="宋体"/>
                <w:spacing w:val="1"/>
                <w:kern w:val="2"/>
                <w:szCs w:val="21"/>
              </w:rPr>
              <w:t>OD</w:t>
            </w:r>
            <w:r>
              <w:rPr>
                <w:rFonts w:hint="eastAsia" w:hAnsi="Times New Roman" w:eastAsia="宋体"/>
                <w:spacing w:val="-53"/>
                <w:kern w:val="2"/>
                <w:szCs w:val="21"/>
              </w:rPr>
              <w:t>、</w:t>
            </w:r>
            <w:r>
              <w:rPr>
                <w:rFonts w:hint="eastAsia" w:hAnsi="Times New Roman" w:eastAsia="宋体"/>
                <w:spacing w:val="-2"/>
                <w:kern w:val="2"/>
                <w:szCs w:val="21"/>
              </w:rPr>
              <w:t>B</w:t>
            </w:r>
            <w:r>
              <w:rPr>
                <w:rFonts w:hint="eastAsia" w:hAnsi="Times New Roman" w:eastAsia="宋体"/>
                <w:spacing w:val="1"/>
                <w:kern w:val="2"/>
                <w:szCs w:val="21"/>
              </w:rPr>
              <w:t>OD</w:t>
            </w:r>
            <w:r>
              <w:rPr>
                <w:rFonts w:hint="eastAsia" w:hAnsi="Times New Roman" w:eastAsia="宋体"/>
                <w:spacing w:val="-3"/>
                <w:kern w:val="2"/>
                <w:position w:val="-3"/>
                <w:sz w:val="14"/>
                <w:szCs w:val="14"/>
              </w:rPr>
              <w:t>5</w:t>
            </w:r>
            <w:r>
              <w:rPr>
                <w:rFonts w:hint="eastAsia" w:hAnsi="Times New Roman" w:eastAsia="宋体"/>
                <w:kern w:val="2"/>
                <w:szCs w:val="22"/>
              </w:rPr>
              <w:t>、氨</w:t>
            </w:r>
            <w:r>
              <w:rPr>
                <w:rFonts w:hint="eastAsia" w:hAnsi="Times New Roman" w:eastAsia="宋体"/>
                <w:kern w:val="2"/>
                <w:szCs w:val="21"/>
              </w:rPr>
              <w:t>氮等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469" w:type="pct"/>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p>
        </w:tc>
        <w:tc>
          <w:tcPr>
            <w:tcW w:w="581"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中-强</w:t>
            </w:r>
          </w:p>
        </w:tc>
        <w:tc>
          <w:tcPr>
            <w:tcW w:w="593"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难</w:t>
            </w:r>
          </w:p>
        </w:tc>
        <w:tc>
          <w:tcPr>
            <w:tcW w:w="666" w:type="pct"/>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p>
        </w:tc>
        <w:tc>
          <w:tcPr>
            <w:tcW w:w="938" w:type="pct"/>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p>
        </w:tc>
        <w:tc>
          <w:tcPr>
            <w:tcW w:w="892" w:type="pct"/>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p>
        </w:tc>
        <w:tc>
          <w:tcPr>
            <w:tcW w:w="861" w:type="pct"/>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469" w:type="pct"/>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p>
        </w:tc>
        <w:tc>
          <w:tcPr>
            <w:tcW w:w="581"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中</w:t>
            </w:r>
          </w:p>
        </w:tc>
        <w:tc>
          <w:tcPr>
            <w:tcW w:w="593"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易</w:t>
            </w:r>
          </w:p>
        </w:tc>
        <w:tc>
          <w:tcPr>
            <w:tcW w:w="666" w:type="pct"/>
            <w:vMerge w:val="restar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重金属、持久性有机污染物</w:t>
            </w:r>
          </w:p>
        </w:tc>
        <w:tc>
          <w:tcPr>
            <w:tcW w:w="938" w:type="pct"/>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p>
        </w:tc>
        <w:tc>
          <w:tcPr>
            <w:tcW w:w="892" w:type="pct"/>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p>
        </w:tc>
        <w:tc>
          <w:tcPr>
            <w:tcW w:w="861" w:type="pct"/>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jc w:val="center"/>
        </w:trPr>
        <w:tc>
          <w:tcPr>
            <w:tcW w:w="469" w:type="pct"/>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p>
        </w:tc>
        <w:tc>
          <w:tcPr>
            <w:tcW w:w="581"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强</w:t>
            </w:r>
          </w:p>
        </w:tc>
        <w:tc>
          <w:tcPr>
            <w:tcW w:w="593"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易</w:t>
            </w:r>
          </w:p>
        </w:tc>
        <w:tc>
          <w:tcPr>
            <w:tcW w:w="666" w:type="pct"/>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p>
        </w:tc>
        <w:tc>
          <w:tcPr>
            <w:tcW w:w="938" w:type="pct"/>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p>
        </w:tc>
        <w:tc>
          <w:tcPr>
            <w:tcW w:w="892" w:type="pct"/>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p>
        </w:tc>
        <w:tc>
          <w:tcPr>
            <w:tcW w:w="861" w:type="pct"/>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469"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简单防渗区</w:t>
            </w:r>
          </w:p>
        </w:tc>
        <w:tc>
          <w:tcPr>
            <w:tcW w:w="581"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中-强</w:t>
            </w:r>
          </w:p>
        </w:tc>
        <w:tc>
          <w:tcPr>
            <w:tcW w:w="593"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易</w:t>
            </w:r>
          </w:p>
        </w:tc>
        <w:tc>
          <w:tcPr>
            <w:tcW w:w="666"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其它类型</w:t>
            </w:r>
          </w:p>
        </w:tc>
        <w:tc>
          <w:tcPr>
            <w:tcW w:w="938"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一般地面硬化</w:t>
            </w:r>
          </w:p>
        </w:tc>
        <w:tc>
          <w:tcPr>
            <w:tcW w:w="892" w:type="pct"/>
            <w:vAlign w:val="center"/>
          </w:tcPr>
          <w:p>
            <w:pPr>
              <w:pStyle w:val="44"/>
              <w:keepNext w:val="0"/>
              <w:keepLines w:val="0"/>
              <w:suppressLineNumbers w:val="0"/>
              <w:kinsoku w:val="0"/>
              <w:overflowPunct w:val="0"/>
              <w:spacing w:before="0" w:beforeAutospacing="0" w:after="0" w:afterAutospacing="0" w:line="283" w:lineRule="exact"/>
              <w:ind w:left="119" w:right="0"/>
              <w:rPr>
                <w:rFonts w:hint="eastAsia" w:hAnsi="Times New Roman" w:eastAsia="宋体"/>
                <w:kern w:val="2"/>
                <w:szCs w:val="22"/>
              </w:rPr>
            </w:pPr>
            <w:r>
              <w:rPr>
                <w:rFonts w:hint="eastAsia" w:hAnsi="Times New Roman" w:eastAsia="宋体"/>
                <w:kern w:val="2"/>
                <w:sz w:val="21"/>
                <w:szCs w:val="21"/>
              </w:rPr>
              <w:t>煤矸石转运场、办公区、</w:t>
            </w:r>
            <w:r>
              <w:rPr>
                <w:rFonts w:hint="eastAsia" w:hAnsi="Times New Roman" w:eastAsia="宋体"/>
                <w:spacing w:val="-5"/>
                <w:kern w:val="2"/>
                <w:sz w:val="21"/>
                <w:szCs w:val="21"/>
              </w:rPr>
              <w:t>员</w:t>
            </w:r>
            <w:r>
              <w:rPr>
                <w:rFonts w:hint="eastAsia" w:hAnsi="Times New Roman" w:eastAsia="宋体"/>
                <w:kern w:val="2"/>
                <w:sz w:val="21"/>
                <w:szCs w:val="21"/>
              </w:rPr>
              <w:t>工生活区（宿</w:t>
            </w:r>
            <w:r>
              <w:rPr>
                <w:rFonts w:hint="eastAsia" w:hAnsi="Times New Roman" w:eastAsia="宋体"/>
                <w:spacing w:val="-5"/>
                <w:kern w:val="2"/>
                <w:sz w:val="21"/>
                <w:szCs w:val="21"/>
              </w:rPr>
              <w:t>舍</w:t>
            </w:r>
            <w:r>
              <w:rPr>
                <w:rFonts w:hint="eastAsia" w:hAnsi="Times New Roman" w:eastAsia="宋体"/>
                <w:kern w:val="2"/>
                <w:sz w:val="21"/>
                <w:szCs w:val="21"/>
              </w:rPr>
              <w:t>及食堂等）</w:t>
            </w:r>
          </w:p>
        </w:tc>
        <w:tc>
          <w:tcPr>
            <w:tcW w:w="861"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w:t>
            </w:r>
          </w:p>
        </w:tc>
      </w:tr>
    </w:tbl>
    <w:p>
      <w:pPr>
        <w:spacing w:line="360" w:lineRule="auto"/>
        <w:ind w:firstLine="480"/>
        <w:rPr>
          <w:rFonts w:hAnsi="Times New Roman" w:eastAsia="宋体"/>
        </w:rPr>
      </w:pPr>
      <w:r>
        <w:rPr>
          <w:rFonts w:hAnsi="Times New Roman" w:eastAsia="宋体"/>
          <w:lang w:eastAsia="zh-CN"/>
        </w:rPr>
        <w:t>（1）</w:t>
      </w:r>
      <w:r>
        <w:rPr>
          <w:rFonts w:hAnsi="Times New Roman" w:eastAsia="宋体"/>
        </w:rPr>
        <w:t>重点防渗区</w:t>
      </w:r>
    </w:p>
    <w:p>
      <w:pPr>
        <w:spacing w:line="360" w:lineRule="auto"/>
        <w:ind w:firstLine="480"/>
        <w:rPr>
          <w:rFonts w:hAnsi="Times New Roman" w:eastAsia="宋体"/>
        </w:rPr>
      </w:pPr>
      <w:r>
        <w:rPr>
          <w:rFonts w:hAnsi="Times New Roman" w:eastAsia="宋体"/>
        </w:rPr>
        <w:t>①机修车间、沉淀池及水处理站</w:t>
      </w:r>
      <w:r>
        <w:rPr>
          <w:rFonts w:hint="eastAsia" w:hAnsi="Times New Roman" w:eastAsia="宋体"/>
          <w:lang w:eastAsia="zh-CN"/>
        </w:rPr>
        <w:t>、危废暂存间</w:t>
      </w:r>
      <w:r>
        <w:rPr>
          <w:rFonts w:hAnsi="Times New Roman" w:eastAsia="宋体"/>
        </w:rPr>
        <w:t>：参照《危险废物贮存污染控制标准》</w:t>
      </w:r>
      <w:r>
        <w:rPr>
          <w:rFonts w:hint="eastAsia" w:hAnsi="Times New Roman" w:eastAsia="宋体"/>
          <w:lang w:eastAsia="zh-CN"/>
        </w:rPr>
        <w:t>（</w:t>
      </w:r>
      <w:r>
        <w:rPr>
          <w:rFonts w:hAnsi="Times New Roman" w:eastAsia="宋体"/>
        </w:rPr>
        <w:t>GB 18597-2001</w:t>
      </w:r>
      <w:r>
        <w:rPr>
          <w:rFonts w:hint="eastAsia" w:hAnsi="Times New Roman" w:eastAsia="宋体"/>
          <w:lang w:eastAsia="zh-CN"/>
        </w:rPr>
        <w:t>）</w:t>
      </w:r>
      <w:r>
        <w:rPr>
          <w:rFonts w:hAnsi="Times New Roman" w:eastAsia="宋体"/>
        </w:rPr>
        <w:t>对基础进行防渗处理。其防渗层的防渗性能不低于6.0m厚渗透系数为1.0×10</w:t>
      </w:r>
      <w:r>
        <w:rPr>
          <w:rFonts w:hAnsi="Times New Roman" w:eastAsia="宋体"/>
          <w:vertAlign w:val="superscript"/>
        </w:rPr>
        <w:t>-7</w:t>
      </w:r>
      <w:r>
        <w:rPr>
          <w:rFonts w:hAnsi="Times New Roman" w:eastAsia="宋体"/>
        </w:rPr>
        <w:t>cm/s的黏土层的防渗性能，或2mm厚HDPE土工膜，或至少2mm厚的其他人工材料</w:t>
      </w:r>
      <w:r>
        <w:rPr>
          <w:rFonts w:hint="eastAsia" w:hAnsi="Times New Roman" w:eastAsia="宋体"/>
          <w:lang w:eastAsia="zh-CN"/>
        </w:rPr>
        <w:t>（</w:t>
      </w:r>
      <w:r>
        <w:rPr>
          <w:rFonts w:hAnsi="Times New Roman" w:eastAsia="宋体"/>
        </w:rPr>
        <w:t>渗透系数不大于1.0×10</w:t>
      </w:r>
      <w:r>
        <w:rPr>
          <w:rFonts w:hAnsi="Times New Roman" w:eastAsia="宋体"/>
          <w:vertAlign w:val="superscript"/>
        </w:rPr>
        <w:t>-10</w:t>
      </w:r>
      <w:r>
        <w:rPr>
          <w:rFonts w:hAnsi="Times New Roman" w:eastAsia="宋体"/>
        </w:rPr>
        <w:t>cm/s</w:t>
      </w:r>
      <w:r>
        <w:rPr>
          <w:rFonts w:hint="eastAsia" w:hAnsi="Times New Roman" w:eastAsia="宋体"/>
          <w:lang w:eastAsia="zh-CN"/>
        </w:rPr>
        <w:t>）</w:t>
      </w:r>
      <w:r>
        <w:rPr>
          <w:rFonts w:hAnsi="Times New Roman" w:eastAsia="宋体"/>
        </w:rPr>
        <w:t>。本报告建议采用以下措施：从上至下依次采用20cm厚P8级混凝土面层、长丝无纺工布、2mm厚HDPE防渗膜、长丝无纺土工布、原土夯实的方式进行防渗。</w:t>
      </w:r>
    </w:p>
    <w:p>
      <w:pPr>
        <w:spacing w:line="360" w:lineRule="auto"/>
        <w:ind w:firstLine="480"/>
        <w:rPr>
          <w:rFonts w:hAnsi="Times New Roman" w:eastAsia="宋体"/>
        </w:rPr>
      </w:pPr>
      <w:r>
        <w:rPr>
          <w:rFonts w:hAnsi="Times New Roman" w:eastAsia="宋体"/>
        </w:rPr>
        <w:t>机修车间、沉淀池及水处理站四周修建集排水沟，排水沟外侧不低于40cm，排水沟内侧30cm，在煤矸石转运场地势低洼处修建沉淀池</w:t>
      </w:r>
      <w:r>
        <w:rPr>
          <w:rFonts w:hint="eastAsia" w:hAnsi="Times New Roman" w:eastAsia="宋体"/>
          <w:lang w:eastAsia="zh-CN"/>
        </w:rPr>
        <w:t>（</w:t>
      </w:r>
      <w:r>
        <w:rPr>
          <w:rFonts w:hAnsi="Times New Roman" w:eastAsia="宋体"/>
        </w:rPr>
        <w:t>机修间修建隔油池</w:t>
      </w:r>
      <w:r>
        <w:rPr>
          <w:rFonts w:hint="eastAsia" w:hAnsi="Times New Roman" w:eastAsia="宋体"/>
          <w:lang w:eastAsia="zh-CN"/>
        </w:rPr>
        <w:t>）</w:t>
      </w:r>
      <w:r>
        <w:rPr>
          <w:rFonts w:hAnsi="Times New Roman" w:eastAsia="宋体"/>
        </w:rPr>
        <w:t>。</w:t>
      </w:r>
    </w:p>
    <w:p>
      <w:pPr>
        <w:spacing w:line="360" w:lineRule="auto"/>
        <w:ind w:firstLine="480"/>
        <w:rPr>
          <w:rFonts w:hAnsi="Times New Roman" w:eastAsia="宋体"/>
        </w:rPr>
      </w:pPr>
      <w:r>
        <w:rPr>
          <w:rFonts w:hAnsi="Times New Roman" w:eastAsia="宋体"/>
        </w:rPr>
        <w:t>②本报告建议所有生活污水池（化粪池）防渗结构从上往下依次为：</w:t>
      </w:r>
    </w:p>
    <w:p>
      <w:pPr>
        <w:spacing w:line="360" w:lineRule="auto"/>
        <w:ind w:firstLine="480"/>
        <w:rPr>
          <w:rFonts w:hAnsi="Times New Roman" w:eastAsia="宋体"/>
        </w:rPr>
      </w:pPr>
      <w:r>
        <w:rPr>
          <w:rFonts w:hAnsi="Times New Roman" w:eastAsia="宋体"/>
        </w:rPr>
        <w:t>20cm厚P8级掺水泥基渗透结晶型防水剂的抗渗钢纤维混凝土面层、砂石基层</w:t>
      </w:r>
      <w:r>
        <w:rPr>
          <w:rFonts w:hAnsi="Times New Roman" w:eastAsia="宋体"/>
          <w:lang w:eastAsia="zh-CN"/>
        </w:rPr>
        <w:t>，</w:t>
      </w:r>
      <w:r>
        <w:rPr>
          <w:rFonts w:hAnsi="Times New Roman" w:eastAsia="宋体"/>
        </w:rPr>
        <w:t>50cm原土夯实层。</w:t>
      </w:r>
    </w:p>
    <w:p>
      <w:pPr>
        <w:spacing w:line="360" w:lineRule="auto"/>
        <w:ind w:firstLine="480"/>
        <w:rPr>
          <w:rFonts w:hAnsi="Times New Roman" w:eastAsia="宋体"/>
        </w:rPr>
      </w:pPr>
      <w:r>
        <w:rPr>
          <w:rFonts w:hint="eastAsia" w:hAnsi="Times New Roman" w:eastAsia="宋体"/>
          <w:lang w:eastAsia="zh-CN"/>
        </w:rPr>
        <w:t>（</w:t>
      </w:r>
      <w:r>
        <w:rPr>
          <w:rFonts w:hAnsi="Times New Roman" w:eastAsia="宋体"/>
        </w:rPr>
        <w:t>2</w:t>
      </w:r>
      <w:r>
        <w:rPr>
          <w:rFonts w:hint="eastAsia" w:hAnsi="Times New Roman" w:eastAsia="宋体"/>
          <w:lang w:eastAsia="zh-CN"/>
        </w:rPr>
        <w:t>）</w:t>
      </w:r>
      <w:r>
        <w:rPr>
          <w:rFonts w:hAnsi="Times New Roman" w:eastAsia="宋体"/>
        </w:rPr>
        <w:t>一般防渗区</w:t>
      </w:r>
    </w:p>
    <w:p>
      <w:pPr>
        <w:spacing w:line="360" w:lineRule="auto"/>
        <w:ind w:firstLine="480"/>
        <w:rPr>
          <w:rFonts w:hAnsi="Times New Roman" w:eastAsia="宋体"/>
        </w:rPr>
      </w:pPr>
      <w:r>
        <w:rPr>
          <w:rFonts w:hAnsi="Times New Roman" w:eastAsia="宋体"/>
        </w:rPr>
        <w:t>坑木加工房、消防、材料库等：地面按照一般污染防治区进行防渗处理，其渗层的防渗性能不低于1.5m厚渗透系数为1.0×10</w:t>
      </w:r>
      <w:r>
        <w:rPr>
          <w:rFonts w:hAnsi="Times New Roman" w:eastAsia="宋体"/>
          <w:vertAlign w:val="superscript"/>
        </w:rPr>
        <w:t>-7</w:t>
      </w:r>
      <w:r>
        <w:rPr>
          <w:rFonts w:hAnsi="Times New Roman" w:eastAsia="宋体"/>
        </w:rPr>
        <w:t>cm/s的黏土层的防渗性能。</w:t>
      </w:r>
    </w:p>
    <w:p>
      <w:pPr>
        <w:spacing w:line="360" w:lineRule="auto"/>
        <w:ind w:firstLine="480"/>
        <w:rPr>
          <w:rFonts w:hAnsi="Times New Roman" w:eastAsia="宋体"/>
        </w:rPr>
      </w:pPr>
      <w:r>
        <w:rPr>
          <w:rFonts w:hint="eastAsia" w:hAnsi="Times New Roman" w:eastAsia="宋体"/>
          <w:lang w:eastAsia="zh-CN"/>
        </w:rPr>
        <w:t>（</w:t>
      </w:r>
      <w:r>
        <w:rPr>
          <w:rFonts w:hAnsi="Times New Roman" w:eastAsia="宋体"/>
        </w:rPr>
        <w:t>3</w:t>
      </w:r>
      <w:r>
        <w:rPr>
          <w:rFonts w:hint="eastAsia" w:hAnsi="Times New Roman" w:eastAsia="宋体"/>
          <w:lang w:eastAsia="zh-CN"/>
        </w:rPr>
        <w:t>）</w:t>
      </w:r>
      <w:r>
        <w:rPr>
          <w:rFonts w:hAnsi="Times New Roman" w:eastAsia="宋体"/>
        </w:rPr>
        <w:t>简单防渗区</w:t>
      </w:r>
    </w:p>
    <w:p>
      <w:pPr>
        <w:spacing w:line="360" w:lineRule="auto"/>
        <w:ind w:firstLine="480"/>
        <w:rPr>
          <w:rFonts w:hAnsi="Times New Roman" w:eastAsia="宋体"/>
        </w:rPr>
      </w:pPr>
      <w:r>
        <w:rPr>
          <w:rFonts w:hAnsi="Times New Roman" w:eastAsia="宋体"/>
        </w:rPr>
        <w:t>煤矸石转运场、办公区、职工宿舍、食堂、浴室等：各建筑物地面采取简单防渗处理即可。通过上述分区防渗措施可有效防止污染土壤及地下水，并及时地将泄漏、渗漏的污染物收集并进行集中处理。</w:t>
      </w:r>
    </w:p>
    <w:p>
      <w:pPr>
        <w:spacing w:line="360" w:lineRule="auto"/>
        <w:ind w:firstLine="480"/>
        <w:rPr>
          <w:rFonts w:hAnsi="Times New Roman" w:eastAsia="宋体"/>
          <w:szCs w:val="22"/>
        </w:rPr>
      </w:pPr>
      <w:r>
        <w:rPr>
          <w:rFonts w:hAnsi="Times New Roman" w:eastAsia="宋体"/>
          <w:szCs w:val="22"/>
        </w:rPr>
        <w:t>原有的机修间以及危废暂存间仅为一般地面硬化，不满足重点防渗要求，需进行整改，可重新破除原有地面后做30cm厚p8等级防渗混凝土。一般防渗区中，针对已建成建构筑物可在内壁加涂防渗涂料，需达到“等效黏土防渗层Mb≥1.5m，K≤1×10</w:t>
      </w:r>
      <w:r>
        <w:rPr>
          <w:rFonts w:hAnsi="Times New Roman" w:eastAsia="宋体"/>
          <w:szCs w:val="22"/>
          <w:vertAlign w:val="superscript"/>
        </w:rPr>
        <w:t>-7</w:t>
      </w:r>
      <w:r>
        <w:rPr>
          <w:rFonts w:hAnsi="Times New Roman" w:eastAsia="宋体"/>
          <w:szCs w:val="22"/>
        </w:rPr>
        <w:t>cm/s”的防渗技术要求。</w:t>
      </w:r>
    </w:p>
    <w:p>
      <w:pPr>
        <w:spacing w:line="360" w:lineRule="auto"/>
        <w:ind w:firstLine="480"/>
        <w:rPr>
          <w:rFonts w:hAnsi="Times New Roman" w:eastAsia="宋体"/>
          <w:szCs w:val="22"/>
        </w:rPr>
      </w:pPr>
      <w:r>
        <w:rPr>
          <w:rFonts w:hAnsi="Times New Roman" w:eastAsia="宋体"/>
          <w:szCs w:val="22"/>
        </w:rPr>
        <w:t>具体防渗设计以专业设计单位资料为准。</w:t>
      </w:r>
    </w:p>
    <w:p>
      <w:pPr>
        <w:pStyle w:val="5"/>
        <w:rPr>
          <w:rFonts w:ascii="Times New Roman" w:hAnsi="Times New Roman"/>
          <w:szCs w:val="22"/>
          <w:lang w:eastAsia="zh-CN"/>
        </w:rPr>
      </w:pPr>
      <w:bookmarkStart w:id="398" w:name="_Toc163749174"/>
      <w:bookmarkStart w:id="399" w:name="_Toc480413458"/>
      <w:bookmarkStart w:id="400" w:name="_Toc167095233"/>
      <w:r>
        <w:rPr>
          <w:rFonts w:ascii="Times New Roman" w:hAnsi="Times New Roman"/>
          <w:szCs w:val="22"/>
          <w:lang w:eastAsia="zh-CN"/>
        </w:rPr>
        <w:t>5.6地下水环境监控</w:t>
      </w:r>
      <w:bookmarkEnd w:id="398"/>
      <w:bookmarkEnd w:id="399"/>
      <w:bookmarkEnd w:id="400"/>
    </w:p>
    <w:p>
      <w:pPr>
        <w:pStyle w:val="6"/>
        <w:rPr>
          <w:szCs w:val="22"/>
        </w:rPr>
      </w:pPr>
      <w:bookmarkStart w:id="401" w:name="_Toc167095234"/>
      <w:bookmarkStart w:id="402" w:name="_Toc163812611"/>
      <w:r>
        <w:rPr>
          <w:szCs w:val="22"/>
        </w:rPr>
        <w:t>5.6.1地下水监测原则</w:t>
      </w:r>
      <w:bookmarkEnd w:id="401"/>
      <w:bookmarkEnd w:id="402"/>
    </w:p>
    <w:p>
      <w:pPr>
        <w:spacing w:line="360" w:lineRule="auto"/>
        <w:ind w:firstLine="480"/>
        <w:rPr>
          <w:rFonts w:hAnsi="Times New Roman" w:eastAsia="宋体"/>
        </w:rPr>
      </w:pPr>
      <w:r>
        <w:rPr>
          <w:rFonts w:hAnsi="Times New Roman" w:eastAsia="宋体"/>
        </w:rPr>
        <w:t>按照地下水环评导则及《地下水监测技术规范》等相关要求，地下水监测应按以下要求进行：</w:t>
      </w:r>
    </w:p>
    <w:p>
      <w:pPr>
        <w:spacing w:line="360" w:lineRule="auto"/>
        <w:ind w:firstLine="480"/>
        <w:rPr>
          <w:rFonts w:hAnsi="Times New Roman" w:eastAsia="宋体"/>
        </w:rPr>
      </w:pPr>
      <w:r>
        <w:rPr>
          <w:rFonts w:hAnsi="Times New Roman" w:eastAsia="宋体"/>
        </w:rPr>
        <w:t>（1）在地下水水流上游方向应设不少于1眼地下水背景（或对照）监控井；</w:t>
      </w:r>
    </w:p>
    <w:p>
      <w:pPr>
        <w:spacing w:line="360" w:lineRule="auto"/>
        <w:ind w:firstLine="480"/>
        <w:rPr>
          <w:rFonts w:hAnsi="Times New Roman" w:eastAsia="宋体"/>
        </w:rPr>
      </w:pPr>
      <w:r>
        <w:rPr>
          <w:rFonts w:hAnsi="Times New Roman" w:eastAsia="宋体"/>
        </w:rPr>
        <w:t>（2）在项目场地外可能受到影响的地下水环境敏感目标的上游应至少布设1眼地下水污染监控井；</w:t>
      </w:r>
    </w:p>
    <w:p>
      <w:pPr>
        <w:spacing w:line="360" w:lineRule="auto"/>
        <w:ind w:firstLine="480"/>
        <w:rPr>
          <w:rFonts w:hAnsi="Times New Roman" w:eastAsia="宋体"/>
        </w:rPr>
      </w:pPr>
      <w:r>
        <w:rPr>
          <w:rFonts w:hAnsi="Times New Roman" w:eastAsia="宋体"/>
        </w:rPr>
        <w:t>（3）以取水层为监测目的层，以浅层潜水含水层为主，并应考虑可能受影响的承压含水层；</w:t>
      </w:r>
    </w:p>
    <w:p>
      <w:pPr>
        <w:spacing w:line="360" w:lineRule="auto"/>
        <w:ind w:firstLine="480"/>
        <w:rPr>
          <w:rFonts w:hAnsi="Times New Roman" w:eastAsia="宋体"/>
        </w:rPr>
      </w:pPr>
      <w:r>
        <w:rPr>
          <w:rFonts w:hAnsi="Times New Roman" w:eastAsia="宋体"/>
        </w:rPr>
        <w:t>（4）在重点污染防治区加密监测；</w:t>
      </w:r>
    </w:p>
    <w:p>
      <w:pPr>
        <w:spacing w:line="360" w:lineRule="auto"/>
        <w:ind w:firstLine="480"/>
        <w:rPr>
          <w:rFonts w:hAnsi="Times New Roman" w:eastAsia="宋体"/>
          <w:lang w:eastAsia="zh-CN"/>
        </w:rPr>
      </w:pPr>
      <w:r>
        <w:rPr>
          <w:rFonts w:hAnsi="Times New Roman" w:eastAsia="宋体"/>
        </w:rPr>
        <w:t>（5）根据各区块地下水环境影响预测与评价结果有针对性地布设监测井</w:t>
      </w:r>
      <w:r>
        <w:rPr>
          <w:rFonts w:hAnsi="Times New Roman" w:eastAsia="宋体"/>
          <w:lang w:eastAsia="zh-CN"/>
        </w:rPr>
        <w:t>；</w:t>
      </w:r>
    </w:p>
    <w:p>
      <w:pPr>
        <w:spacing w:line="360" w:lineRule="auto"/>
        <w:ind w:firstLine="480"/>
        <w:rPr>
          <w:rFonts w:hAnsi="Times New Roman" w:eastAsia="宋体"/>
        </w:rPr>
      </w:pPr>
      <w:r>
        <w:rPr>
          <w:rFonts w:hAnsi="Times New Roman" w:eastAsia="宋体"/>
        </w:rPr>
        <w:t>（6）充分利用现有民井、监测井，污染事件发生后监测井可以作为地下水污染事故应急处置的抽水井；</w:t>
      </w:r>
    </w:p>
    <w:p>
      <w:pPr>
        <w:spacing w:line="360" w:lineRule="auto"/>
        <w:ind w:firstLine="480"/>
        <w:rPr>
          <w:rFonts w:hAnsi="Times New Roman" w:eastAsia="宋体"/>
        </w:rPr>
      </w:pPr>
      <w:r>
        <w:rPr>
          <w:rFonts w:hAnsi="Times New Roman" w:eastAsia="宋体"/>
        </w:rPr>
        <w:t>（7）水质监测项目参照《地下水质量标准》</w:t>
      </w:r>
      <w:r>
        <w:rPr>
          <w:rFonts w:hint="eastAsia" w:hAnsi="Times New Roman" w:eastAsia="宋体"/>
          <w:lang w:eastAsia="zh-CN"/>
        </w:rPr>
        <w:t>（</w:t>
      </w:r>
      <w:r>
        <w:rPr>
          <w:rFonts w:hAnsi="Times New Roman" w:eastAsia="宋体"/>
        </w:rPr>
        <w:t>GB/T 14848-2017</w:t>
      </w:r>
      <w:r>
        <w:rPr>
          <w:rFonts w:hint="eastAsia" w:hAnsi="Times New Roman" w:eastAsia="宋体"/>
          <w:lang w:eastAsia="zh-CN"/>
        </w:rPr>
        <w:t>）</w:t>
      </w:r>
      <w:r>
        <w:rPr>
          <w:rFonts w:hAnsi="Times New Roman" w:eastAsia="宋体"/>
        </w:rPr>
        <w:t>相关要求和潜在污染源特征污染因子确定，各监测井可依据监测目的不同适当增加和减少监测项目。建设单位安全环保部门设立地下水动态监测小组，专人负责监测或者委托专业的机构分析。</w:t>
      </w:r>
    </w:p>
    <w:p>
      <w:pPr>
        <w:pStyle w:val="6"/>
        <w:rPr>
          <w:szCs w:val="22"/>
        </w:rPr>
      </w:pPr>
      <w:bookmarkStart w:id="403" w:name="_Toc167095235"/>
      <w:bookmarkStart w:id="404" w:name="_Toc163812612"/>
      <w:r>
        <w:rPr>
          <w:szCs w:val="22"/>
        </w:rPr>
        <w:t>5.6.2数据管理</w:t>
      </w:r>
      <w:bookmarkEnd w:id="403"/>
      <w:bookmarkEnd w:id="404"/>
    </w:p>
    <w:p>
      <w:pPr>
        <w:spacing w:line="360" w:lineRule="auto"/>
        <w:ind w:firstLine="480"/>
        <w:rPr>
          <w:rFonts w:hAnsi="Times New Roman" w:eastAsia="宋体"/>
        </w:rPr>
      </w:pPr>
      <w:r>
        <w:rPr>
          <w:rFonts w:hAnsi="Times New Roman" w:eastAsia="宋体"/>
        </w:rPr>
        <w:t>建设单位应按相关规定对监测结果及时建立档案，并按照国家环保部门相关规定定期向相关部门汇报并备案。如发现异常或发生事故，加密监测频次，并根据污染物特征增加监测项目，并分析污染原因，确定泄漏污染源，及时采取应急措施。建设单位应建立完善的质量管理体系，实现“质量、安全、环境”三位一体的全面质量管理目标。设立地下水动态监测小组，负责对地下水环境监测和管理，或者委托专业的资质机构完成。建立有关规章制度和岗位责任制。制定风险预警方案，设立应急设施减少环境污染影响。</w:t>
      </w:r>
    </w:p>
    <w:p>
      <w:pPr>
        <w:spacing w:line="360" w:lineRule="auto"/>
        <w:ind w:firstLine="480"/>
        <w:rPr>
          <w:rFonts w:hAnsi="Times New Roman" w:eastAsia="宋体"/>
        </w:rPr>
      </w:pPr>
      <w:r>
        <w:rPr>
          <w:rFonts w:hAnsi="Times New Roman" w:eastAsia="宋体"/>
        </w:rPr>
        <w:t>（1）管理措施</w:t>
      </w:r>
    </w:p>
    <w:p>
      <w:pPr>
        <w:spacing w:line="360" w:lineRule="auto"/>
        <w:ind w:firstLine="480"/>
        <w:rPr>
          <w:rFonts w:hAnsi="Times New Roman" w:eastAsia="宋体"/>
        </w:rPr>
      </w:pPr>
      <w:r>
        <w:rPr>
          <w:rFonts w:hAnsi="Times New Roman" w:eastAsia="宋体"/>
        </w:rPr>
        <w:t>①防止地下水污染管理的职责属于环境保护管理部门的职责之一。环境保护管理部门指派专人负责防治地下水污染管理工作，费用由项目建设单位支付。</w:t>
      </w:r>
    </w:p>
    <w:p>
      <w:pPr>
        <w:spacing w:line="360" w:lineRule="auto"/>
        <w:ind w:firstLine="480"/>
        <w:rPr>
          <w:rFonts w:hAnsi="Times New Roman" w:eastAsia="宋体"/>
        </w:rPr>
      </w:pPr>
      <w:r>
        <w:rPr>
          <w:rFonts w:hAnsi="Times New Roman" w:eastAsia="宋体"/>
        </w:rPr>
        <w:t>②环境保护管理部门应委托具有监测资质的单位负责地下水监测工作，按要求及时分析整理原始资料、监测报告的编写工作。</w:t>
      </w:r>
    </w:p>
    <w:p>
      <w:pPr>
        <w:spacing w:line="360" w:lineRule="auto"/>
        <w:ind w:firstLine="480"/>
        <w:rPr>
          <w:rFonts w:hAnsi="Times New Roman" w:eastAsia="宋体"/>
        </w:rPr>
      </w:pPr>
      <w:r>
        <w:rPr>
          <w:rFonts w:hAnsi="Times New Roman" w:eastAsia="宋体"/>
        </w:rPr>
        <w:t>③建立地下水监测数据信息管理系统，与场环境管理系统相联系。</w:t>
      </w:r>
    </w:p>
    <w:p>
      <w:pPr>
        <w:spacing w:line="360" w:lineRule="auto"/>
        <w:ind w:firstLine="480"/>
        <w:rPr>
          <w:rFonts w:hAnsi="Times New Roman" w:eastAsia="宋体"/>
        </w:rPr>
      </w:pPr>
      <w:r>
        <w:rPr>
          <w:rFonts w:hAnsi="Times New Roman" w:eastAsia="宋体"/>
        </w:rPr>
        <w:t>④根据实际情况，按事故的性质、类型、影响范围、严重后果分等级地制订相应的预案。在制定预案时要根据本场环境污染事故潜在威胁的情况，认真细致地考虑各项影响因素，适当的时候组织有关部门、人员进行演练，不断补充完善。</w:t>
      </w:r>
    </w:p>
    <w:p>
      <w:pPr>
        <w:spacing w:line="360" w:lineRule="auto"/>
        <w:ind w:firstLine="480"/>
        <w:rPr>
          <w:rFonts w:hAnsi="Times New Roman" w:eastAsia="宋体"/>
        </w:rPr>
      </w:pPr>
      <w:r>
        <w:rPr>
          <w:rFonts w:hAnsi="Times New Roman" w:eastAsia="宋体"/>
        </w:rPr>
        <w:t>（2）技术措施</w:t>
      </w:r>
    </w:p>
    <w:p>
      <w:pPr>
        <w:spacing w:line="360" w:lineRule="auto"/>
        <w:ind w:firstLine="480"/>
        <w:rPr>
          <w:rFonts w:hAnsi="Times New Roman" w:eastAsia="宋体"/>
        </w:rPr>
      </w:pPr>
      <w:r>
        <w:rPr>
          <w:rFonts w:hAnsi="Times New Roman" w:eastAsia="宋体"/>
        </w:rPr>
        <w:t>①按照《地下水环境监测技术规范》（HJ/T 164－2020）要求，及时上报监测数据和有关表格。</w:t>
      </w:r>
    </w:p>
    <w:p>
      <w:pPr>
        <w:spacing w:line="360" w:lineRule="auto"/>
        <w:ind w:firstLine="480"/>
        <w:rPr>
          <w:rFonts w:hAnsi="Times New Roman" w:eastAsia="宋体"/>
        </w:rPr>
      </w:pPr>
      <w:r>
        <w:rPr>
          <w:rFonts w:hAnsi="Times New Roman" w:eastAsia="宋体"/>
        </w:rPr>
        <w:t>②在日常例行监测中，一旦发现地下水水质监测数据异常，应尽快核查数据，确保数据的正确性。并将核查过的监测</w:t>
      </w:r>
      <w:r>
        <w:rPr>
          <w:rFonts w:hint="eastAsia" w:hAnsi="Times New Roman" w:eastAsia="宋体"/>
          <w:lang w:eastAsia="zh-CN"/>
        </w:rPr>
        <w:t>数据报告</w:t>
      </w:r>
      <w:r>
        <w:rPr>
          <w:rFonts w:hAnsi="Times New Roman" w:eastAsia="宋体"/>
        </w:rPr>
        <w:t>安全环保部门，由专人负责对数据进行分析、核实，并密切关注生产设施的运行情况，为防止地下水污染采取措施提供正确的依据。应采取的措施如下：</w:t>
      </w:r>
    </w:p>
    <w:p>
      <w:pPr>
        <w:spacing w:line="360" w:lineRule="auto"/>
        <w:ind w:firstLine="480"/>
        <w:rPr>
          <w:rFonts w:hAnsi="Times New Roman" w:eastAsia="宋体"/>
        </w:rPr>
      </w:pPr>
      <w:r>
        <w:rPr>
          <w:rFonts w:hAnsi="Times New Roman" w:eastAsia="宋体"/>
        </w:rPr>
        <w:t>A、了解全场生产是否出现异常情况，出现异常情况的装置、原因。加大监测密度，如监测频率由每月（季）一次临时加密为每天一次或更多，连续多天，分析变化动向；</w:t>
      </w:r>
    </w:p>
    <w:p>
      <w:pPr>
        <w:spacing w:line="360" w:lineRule="auto"/>
        <w:ind w:firstLine="480"/>
        <w:rPr>
          <w:rFonts w:hAnsi="Times New Roman" w:eastAsia="宋体"/>
        </w:rPr>
      </w:pPr>
      <w:r>
        <w:rPr>
          <w:rFonts w:hAnsi="Times New Roman" w:eastAsia="宋体"/>
        </w:rPr>
        <w:t>B、周期性地编写地下水动态监测报告；</w:t>
      </w:r>
    </w:p>
    <w:p>
      <w:pPr>
        <w:spacing w:line="360" w:lineRule="auto"/>
        <w:ind w:firstLine="480"/>
        <w:rPr>
          <w:rFonts w:hAnsi="Times New Roman" w:eastAsia="宋体"/>
        </w:rPr>
      </w:pPr>
      <w:r>
        <w:rPr>
          <w:rFonts w:hAnsi="Times New Roman" w:eastAsia="宋体"/>
        </w:rPr>
        <w:t>C、定期对污染区的生产装置进行检查。</w:t>
      </w:r>
    </w:p>
    <w:p>
      <w:pPr>
        <w:pStyle w:val="6"/>
        <w:rPr>
          <w:szCs w:val="22"/>
        </w:rPr>
      </w:pPr>
      <w:bookmarkStart w:id="405" w:name="_Toc163812613"/>
      <w:bookmarkStart w:id="406" w:name="_Toc167095236"/>
      <w:r>
        <w:rPr>
          <w:szCs w:val="22"/>
        </w:rPr>
        <w:t>5.6.3监测井布置</w:t>
      </w:r>
      <w:bookmarkEnd w:id="405"/>
      <w:bookmarkEnd w:id="406"/>
    </w:p>
    <w:p>
      <w:pPr>
        <w:spacing w:line="360" w:lineRule="auto"/>
        <w:ind w:firstLine="480"/>
        <w:rPr>
          <w:rFonts w:hAnsi="Times New Roman" w:eastAsia="宋体"/>
        </w:rPr>
      </w:pPr>
      <w:r>
        <w:rPr>
          <w:rFonts w:hAnsi="Times New Roman" w:eastAsia="宋体"/>
        </w:rPr>
        <w:t>（1）根据本项目产污特征，环评要求本项目运行过程中布设3个地下水水质（水位）监测点对评价区地下水水质及水位进行动态监测：在项目区域地下水上游、厂区和下游各设置一个监测点位，可利用现有民井、监测井等，其中S5为背景监测井，S3作为跟踪监测井，S1作为扩散监测井。具体计划见下表5.6-1。</w:t>
      </w:r>
    </w:p>
    <w:p>
      <w:pPr>
        <w:spacing w:line="360" w:lineRule="auto"/>
        <w:ind w:firstLine="480"/>
        <w:rPr>
          <w:rFonts w:hAnsi="Times New Roman" w:eastAsia="宋体"/>
        </w:rPr>
      </w:pPr>
      <w:r>
        <w:rPr>
          <w:rFonts w:hAnsi="Times New Roman" w:eastAsia="宋体"/>
        </w:rPr>
        <w:t>（2）本项目施工及运行过程中，严格按照环评要求对下游水质监测井进行监测，一旦发现水质异常，立刻采取有效措施（如采用水动力隔离技术）阻止污染羽的扩散迁移，将地下水控制在局部范围，避免对项目下游地下水造成污染。</w:t>
      </w:r>
    </w:p>
    <w:p>
      <w:pPr>
        <w:pStyle w:val="14"/>
        <w:tabs>
          <w:tab w:val="left" w:pos="3718"/>
        </w:tabs>
        <w:overflowPunct w:val="0"/>
        <w:spacing w:line="360" w:lineRule="auto"/>
        <w:jc w:val="center"/>
        <w:rPr>
          <w:rFonts w:ascii="Times New Roman" w:hAnsi="Times New Roman"/>
          <w:b/>
          <w:bCs w:val="0"/>
          <w:spacing w:val="-2"/>
          <w:sz w:val="21"/>
          <w:szCs w:val="21"/>
        </w:rPr>
      </w:pPr>
      <w:r>
        <w:rPr>
          <w:rFonts w:ascii="Times New Roman" w:hAnsi="Times New Roman"/>
          <w:b/>
          <w:bCs w:val="0"/>
          <w:spacing w:val="-2"/>
          <w:sz w:val="21"/>
          <w:szCs w:val="21"/>
        </w:rPr>
        <w:t>表5.6-1 地下水污染监控布点</w:t>
      </w:r>
    </w:p>
    <w:tbl>
      <w:tblPr>
        <w:tblStyle w:val="33"/>
        <w:tblW w:w="91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314"/>
        <w:gridCol w:w="707"/>
        <w:gridCol w:w="992"/>
        <w:gridCol w:w="1218"/>
        <w:gridCol w:w="1250"/>
        <w:gridCol w:w="2250"/>
        <w:gridCol w:w="813"/>
        <w:gridCol w:w="675"/>
        <w:gridCol w:w="9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166" w:hRule="atLeast"/>
          <w:jc w:val="center"/>
        </w:trPr>
        <w:tc>
          <w:tcPr>
            <w:tcW w:w="1021" w:type="dxa"/>
            <w:gridSpan w:val="2"/>
            <w:vMerge w:val="restart"/>
            <w:vAlign w:val="center"/>
          </w:tcPr>
          <w:p>
            <w:pPr>
              <w:pStyle w:val="62"/>
              <w:keepNext w:val="0"/>
              <w:keepLines w:val="0"/>
              <w:suppressLineNumbers w:val="0"/>
              <w:spacing w:before="0" w:beforeAutospacing="0" w:after="0" w:afterAutospacing="0"/>
              <w:ind w:left="0" w:right="0"/>
              <w:rPr>
                <w:rFonts w:hint="eastAsia" w:hAnsi="Times New Roman" w:eastAsia="宋体"/>
                <w:b/>
                <w:kern w:val="2"/>
                <w:szCs w:val="21"/>
              </w:rPr>
            </w:pPr>
            <w:r>
              <w:rPr>
                <w:rFonts w:hint="eastAsia" w:hAnsi="Times New Roman" w:eastAsia="宋体"/>
                <w:b/>
                <w:kern w:val="2"/>
                <w:szCs w:val="21"/>
              </w:rPr>
              <w:t>监测功能</w:t>
            </w:r>
          </w:p>
        </w:tc>
        <w:tc>
          <w:tcPr>
            <w:tcW w:w="992" w:type="dxa"/>
            <w:vMerge w:val="restart"/>
            <w:vAlign w:val="center"/>
          </w:tcPr>
          <w:p>
            <w:pPr>
              <w:pStyle w:val="62"/>
              <w:keepNext w:val="0"/>
              <w:keepLines w:val="0"/>
              <w:suppressLineNumbers w:val="0"/>
              <w:spacing w:before="0" w:beforeAutospacing="0" w:after="0" w:afterAutospacing="0"/>
              <w:ind w:left="0" w:right="0"/>
              <w:rPr>
                <w:rFonts w:hint="eastAsia" w:hAnsi="Times New Roman" w:eastAsia="宋体"/>
                <w:b/>
                <w:kern w:val="2"/>
                <w:szCs w:val="21"/>
              </w:rPr>
            </w:pPr>
            <w:r>
              <w:rPr>
                <w:rFonts w:hint="eastAsia" w:hAnsi="Times New Roman" w:eastAsia="宋体"/>
                <w:b/>
                <w:kern w:val="2"/>
                <w:szCs w:val="21"/>
              </w:rPr>
              <w:t>监测点位</w:t>
            </w:r>
          </w:p>
        </w:tc>
        <w:tc>
          <w:tcPr>
            <w:tcW w:w="2468" w:type="dxa"/>
            <w:gridSpan w:val="2"/>
            <w:vAlign w:val="center"/>
          </w:tcPr>
          <w:p>
            <w:pPr>
              <w:pStyle w:val="62"/>
              <w:keepNext w:val="0"/>
              <w:keepLines w:val="0"/>
              <w:suppressLineNumbers w:val="0"/>
              <w:spacing w:before="0" w:beforeAutospacing="0" w:after="0" w:afterAutospacing="0"/>
              <w:ind w:left="0" w:right="0"/>
              <w:rPr>
                <w:rFonts w:hint="eastAsia" w:hAnsi="Times New Roman" w:eastAsia="宋体"/>
                <w:b/>
                <w:kern w:val="2"/>
                <w:szCs w:val="21"/>
                <w:lang w:eastAsia="zh-CN"/>
              </w:rPr>
            </w:pPr>
            <w:r>
              <w:rPr>
                <w:rFonts w:hint="eastAsia" w:hAnsi="Times New Roman" w:eastAsia="宋体"/>
                <w:b/>
                <w:kern w:val="2"/>
                <w:szCs w:val="21"/>
              </w:rPr>
              <w:t>监测点坐标</w:t>
            </w:r>
            <w:r>
              <w:rPr>
                <w:rFonts w:hint="eastAsia" w:hAnsi="Times New Roman" w:eastAsia="宋体"/>
                <w:b/>
                <w:kern w:val="2"/>
                <w:szCs w:val="21"/>
                <w:lang w:eastAsia="zh-CN"/>
              </w:rPr>
              <w:t>（</w:t>
            </w:r>
            <w:r>
              <w:rPr>
                <w:rFonts w:hint="eastAsia" w:hAnsi="Times New Roman" w:eastAsia="宋体"/>
                <w:b/>
                <w:kern w:val="2"/>
                <w:szCs w:val="21"/>
              </w:rPr>
              <w:t>°</w:t>
            </w:r>
            <w:r>
              <w:rPr>
                <w:rFonts w:hint="eastAsia" w:hAnsi="Times New Roman" w:eastAsia="宋体"/>
                <w:b/>
                <w:kern w:val="2"/>
                <w:szCs w:val="21"/>
                <w:lang w:eastAsia="zh-CN"/>
              </w:rPr>
              <w:t>）</w:t>
            </w:r>
          </w:p>
        </w:tc>
        <w:tc>
          <w:tcPr>
            <w:tcW w:w="3063" w:type="dxa"/>
            <w:gridSpan w:val="2"/>
            <w:vAlign w:val="center"/>
          </w:tcPr>
          <w:p>
            <w:pPr>
              <w:pStyle w:val="62"/>
              <w:keepNext w:val="0"/>
              <w:keepLines w:val="0"/>
              <w:suppressLineNumbers w:val="0"/>
              <w:spacing w:before="0" w:beforeAutospacing="0" w:after="0" w:afterAutospacing="0"/>
              <w:ind w:left="0" w:right="0"/>
              <w:rPr>
                <w:rFonts w:hint="eastAsia" w:hAnsi="Times New Roman" w:eastAsia="宋体"/>
                <w:b/>
                <w:kern w:val="2"/>
                <w:szCs w:val="21"/>
              </w:rPr>
            </w:pPr>
            <w:r>
              <w:rPr>
                <w:rFonts w:hint="eastAsia" w:hAnsi="Times New Roman" w:eastAsia="宋体"/>
                <w:b/>
                <w:kern w:val="2"/>
                <w:szCs w:val="21"/>
              </w:rPr>
              <w:t>基本因子</w:t>
            </w:r>
          </w:p>
        </w:tc>
        <w:tc>
          <w:tcPr>
            <w:tcW w:w="1635" w:type="dxa"/>
            <w:gridSpan w:val="2"/>
            <w:vAlign w:val="center"/>
          </w:tcPr>
          <w:p>
            <w:pPr>
              <w:pStyle w:val="62"/>
              <w:keepNext w:val="0"/>
              <w:keepLines w:val="0"/>
              <w:suppressLineNumbers w:val="0"/>
              <w:spacing w:before="0" w:beforeAutospacing="0" w:after="0" w:afterAutospacing="0"/>
              <w:ind w:left="0" w:right="0"/>
              <w:rPr>
                <w:rFonts w:hint="eastAsia" w:hAnsi="Times New Roman" w:eastAsia="宋体"/>
                <w:b/>
                <w:kern w:val="2"/>
                <w:szCs w:val="21"/>
              </w:rPr>
            </w:pPr>
            <w:r>
              <w:rPr>
                <w:rFonts w:hint="eastAsia" w:hAnsi="Times New Roman" w:eastAsia="宋体"/>
                <w:b/>
                <w:kern w:val="2"/>
                <w:szCs w:val="21"/>
              </w:rPr>
              <w:t>特征因子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166" w:hRule="atLeast"/>
          <w:jc w:val="center"/>
        </w:trPr>
        <w:tc>
          <w:tcPr>
            <w:tcW w:w="1021" w:type="dxa"/>
            <w:gridSpan w:val="2"/>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b/>
                <w:kern w:val="2"/>
                <w:szCs w:val="21"/>
              </w:rPr>
            </w:pPr>
          </w:p>
        </w:tc>
        <w:tc>
          <w:tcPr>
            <w:tcW w:w="992" w:type="dxa"/>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b/>
                <w:kern w:val="2"/>
                <w:szCs w:val="21"/>
              </w:rPr>
            </w:pPr>
          </w:p>
        </w:tc>
        <w:tc>
          <w:tcPr>
            <w:tcW w:w="1218" w:type="dxa"/>
            <w:vAlign w:val="center"/>
          </w:tcPr>
          <w:p>
            <w:pPr>
              <w:pStyle w:val="62"/>
              <w:keepNext w:val="0"/>
              <w:keepLines w:val="0"/>
              <w:suppressLineNumbers w:val="0"/>
              <w:spacing w:before="0" w:beforeAutospacing="0" w:after="0" w:afterAutospacing="0"/>
              <w:ind w:left="0" w:right="0"/>
              <w:rPr>
                <w:rFonts w:hint="eastAsia" w:hAnsi="Times New Roman" w:eastAsia="宋体"/>
                <w:b/>
                <w:kern w:val="2"/>
                <w:szCs w:val="21"/>
              </w:rPr>
            </w:pPr>
            <w:r>
              <w:rPr>
                <w:rFonts w:hint="eastAsia" w:hAnsi="Times New Roman" w:eastAsia="宋体"/>
                <w:b/>
                <w:kern w:val="2"/>
                <w:szCs w:val="21"/>
              </w:rPr>
              <w:t>E（东经）</w:t>
            </w:r>
          </w:p>
        </w:tc>
        <w:tc>
          <w:tcPr>
            <w:tcW w:w="1250" w:type="dxa"/>
            <w:vAlign w:val="center"/>
          </w:tcPr>
          <w:p>
            <w:pPr>
              <w:pStyle w:val="62"/>
              <w:keepNext w:val="0"/>
              <w:keepLines w:val="0"/>
              <w:suppressLineNumbers w:val="0"/>
              <w:spacing w:before="0" w:beforeAutospacing="0" w:after="0" w:afterAutospacing="0"/>
              <w:ind w:left="0" w:right="0"/>
              <w:rPr>
                <w:rFonts w:hint="eastAsia" w:hAnsi="Times New Roman" w:eastAsia="宋体"/>
                <w:b/>
                <w:kern w:val="2"/>
                <w:szCs w:val="21"/>
              </w:rPr>
            </w:pPr>
            <w:r>
              <w:rPr>
                <w:rFonts w:hint="eastAsia" w:hAnsi="Times New Roman" w:eastAsia="宋体"/>
                <w:b/>
                <w:kern w:val="2"/>
                <w:szCs w:val="21"/>
              </w:rPr>
              <w:t>N（北纬）</w:t>
            </w:r>
          </w:p>
        </w:tc>
        <w:tc>
          <w:tcPr>
            <w:tcW w:w="2250" w:type="dxa"/>
            <w:vAlign w:val="center"/>
          </w:tcPr>
          <w:p>
            <w:pPr>
              <w:pStyle w:val="62"/>
              <w:keepNext w:val="0"/>
              <w:keepLines w:val="0"/>
              <w:suppressLineNumbers w:val="0"/>
              <w:spacing w:before="0" w:beforeAutospacing="0" w:after="0" w:afterAutospacing="0"/>
              <w:ind w:left="0" w:right="0"/>
              <w:rPr>
                <w:rFonts w:hint="eastAsia" w:hAnsi="Times New Roman" w:eastAsia="宋体"/>
                <w:b/>
                <w:kern w:val="2"/>
                <w:szCs w:val="21"/>
              </w:rPr>
            </w:pPr>
            <w:r>
              <w:rPr>
                <w:rFonts w:hint="eastAsia" w:hAnsi="Times New Roman" w:eastAsia="宋体"/>
                <w:b/>
                <w:kern w:val="2"/>
                <w:szCs w:val="21"/>
              </w:rPr>
              <w:t>监测项目</w:t>
            </w:r>
          </w:p>
        </w:tc>
        <w:tc>
          <w:tcPr>
            <w:tcW w:w="813" w:type="dxa"/>
            <w:vAlign w:val="center"/>
          </w:tcPr>
          <w:p>
            <w:pPr>
              <w:pStyle w:val="62"/>
              <w:keepNext w:val="0"/>
              <w:keepLines w:val="0"/>
              <w:suppressLineNumbers w:val="0"/>
              <w:spacing w:before="0" w:beforeAutospacing="0" w:after="0" w:afterAutospacing="0"/>
              <w:ind w:left="0" w:right="0"/>
              <w:rPr>
                <w:rFonts w:hint="eastAsia" w:hAnsi="Times New Roman" w:eastAsia="宋体"/>
                <w:b/>
                <w:kern w:val="2"/>
                <w:szCs w:val="21"/>
              </w:rPr>
            </w:pPr>
            <w:r>
              <w:rPr>
                <w:rFonts w:hint="eastAsia" w:hAnsi="Times New Roman" w:eastAsia="宋体"/>
                <w:b/>
                <w:kern w:val="2"/>
                <w:szCs w:val="21"/>
              </w:rPr>
              <w:t>监测</w:t>
            </w:r>
          </w:p>
          <w:p>
            <w:pPr>
              <w:pStyle w:val="62"/>
              <w:keepNext w:val="0"/>
              <w:keepLines w:val="0"/>
              <w:suppressLineNumbers w:val="0"/>
              <w:spacing w:before="0" w:beforeAutospacing="0" w:after="0" w:afterAutospacing="0"/>
              <w:ind w:left="0" w:right="0"/>
              <w:rPr>
                <w:rFonts w:hint="eastAsia" w:hAnsi="Times New Roman" w:eastAsia="宋体"/>
                <w:b/>
                <w:kern w:val="2"/>
                <w:szCs w:val="21"/>
              </w:rPr>
            </w:pPr>
            <w:r>
              <w:rPr>
                <w:rFonts w:hint="eastAsia" w:hAnsi="Times New Roman" w:eastAsia="宋体"/>
                <w:b/>
                <w:kern w:val="2"/>
                <w:szCs w:val="21"/>
              </w:rPr>
              <w:t>频率</w:t>
            </w:r>
          </w:p>
        </w:tc>
        <w:tc>
          <w:tcPr>
            <w:tcW w:w="675" w:type="dxa"/>
            <w:vAlign w:val="center"/>
          </w:tcPr>
          <w:p>
            <w:pPr>
              <w:pStyle w:val="62"/>
              <w:keepNext w:val="0"/>
              <w:keepLines w:val="0"/>
              <w:suppressLineNumbers w:val="0"/>
              <w:spacing w:before="0" w:beforeAutospacing="0" w:after="0" w:afterAutospacing="0"/>
              <w:ind w:left="0" w:right="0"/>
              <w:rPr>
                <w:rFonts w:hint="eastAsia" w:hAnsi="Times New Roman" w:eastAsia="宋体"/>
                <w:b/>
                <w:kern w:val="2"/>
                <w:szCs w:val="21"/>
              </w:rPr>
            </w:pPr>
            <w:r>
              <w:rPr>
                <w:rFonts w:hint="eastAsia" w:hAnsi="Times New Roman" w:eastAsia="宋体"/>
                <w:b/>
                <w:kern w:val="2"/>
                <w:szCs w:val="21"/>
              </w:rPr>
              <w:t>监测</w:t>
            </w:r>
          </w:p>
          <w:p>
            <w:pPr>
              <w:pStyle w:val="62"/>
              <w:keepNext w:val="0"/>
              <w:keepLines w:val="0"/>
              <w:suppressLineNumbers w:val="0"/>
              <w:spacing w:before="0" w:beforeAutospacing="0" w:after="0" w:afterAutospacing="0"/>
              <w:ind w:left="0" w:right="0"/>
              <w:rPr>
                <w:rFonts w:hint="eastAsia" w:hAnsi="Times New Roman" w:eastAsia="宋体"/>
                <w:b/>
                <w:kern w:val="2"/>
                <w:szCs w:val="21"/>
              </w:rPr>
            </w:pPr>
            <w:r>
              <w:rPr>
                <w:rFonts w:hint="eastAsia" w:hAnsi="Times New Roman" w:eastAsia="宋体"/>
                <w:b/>
                <w:kern w:val="2"/>
                <w:szCs w:val="21"/>
              </w:rPr>
              <w:t>项目</w:t>
            </w:r>
          </w:p>
        </w:tc>
        <w:tc>
          <w:tcPr>
            <w:tcW w:w="960" w:type="dxa"/>
            <w:vAlign w:val="center"/>
          </w:tcPr>
          <w:p>
            <w:pPr>
              <w:pStyle w:val="62"/>
              <w:keepNext w:val="0"/>
              <w:keepLines w:val="0"/>
              <w:suppressLineNumbers w:val="0"/>
              <w:spacing w:before="0" w:beforeAutospacing="0" w:after="0" w:afterAutospacing="0"/>
              <w:ind w:left="0" w:right="0"/>
              <w:rPr>
                <w:rFonts w:hint="eastAsia" w:hAnsi="Times New Roman" w:eastAsia="宋体"/>
                <w:b/>
                <w:kern w:val="2"/>
                <w:szCs w:val="21"/>
              </w:rPr>
            </w:pPr>
            <w:r>
              <w:rPr>
                <w:rFonts w:hint="eastAsia" w:hAnsi="Times New Roman" w:eastAsia="宋体"/>
                <w:b/>
                <w:kern w:val="2"/>
                <w:szCs w:val="21"/>
              </w:rPr>
              <w:t>监测</w:t>
            </w:r>
          </w:p>
          <w:p>
            <w:pPr>
              <w:pStyle w:val="62"/>
              <w:keepNext w:val="0"/>
              <w:keepLines w:val="0"/>
              <w:suppressLineNumbers w:val="0"/>
              <w:spacing w:before="0" w:beforeAutospacing="0" w:after="0" w:afterAutospacing="0"/>
              <w:ind w:left="0" w:right="0"/>
              <w:rPr>
                <w:rFonts w:hint="eastAsia" w:hAnsi="Times New Roman" w:eastAsia="宋体"/>
                <w:b/>
                <w:kern w:val="2"/>
                <w:szCs w:val="21"/>
              </w:rPr>
            </w:pPr>
            <w:r>
              <w:rPr>
                <w:rFonts w:hint="eastAsia" w:hAnsi="Times New Roman" w:eastAsia="宋体"/>
                <w:b/>
                <w:kern w:val="2"/>
                <w:szCs w:val="21"/>
              </w:rPr>
              <w:t>频率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579" w:hRule="atLeast"/>
          <w:jc w:val="center"/>
        </w:trPr>
        <w:tc>
          <w:tcPr>
            <w:tcW w:w="314" w:type="dxa"/>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S1</w:t>
            </w:r>
          </w:p>
        </w:tc>
        <w:tc>
          <w:tcPr>
            <w:tcW w:w="707" w:type="dxa"/>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污染监测井</w:t>
            </w:r>
          </w:p>
        </w:tc>
        <w:tc>
          <w:tcPr>
            <w:tcW w:w="992" w:type="dxa"/>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工业广场内监测井水井</w:t>
            </w:r>
          </w:p>
        </w:tc>
        <w:tc>
          <w:tcPr>
            <w:tcW w:w="1218" w:type="dxa"/>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107.732700°</w:t>
            </w:r>
          </w:p>
        </w:tc>
        <w:tc>
          <w:tcPr>
            <w:tcW w:w="1250" w:type="dxa"/>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31.200500°</w:t>
            </w:r>
          </w:p>
        </w:tc>
        <w:tc>
          <w:tcPr>
            <w:tcW w:w="2250" w:type="dxa"/>
            <w:vMerge w:val="restar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地下水水位、pH、Cl</w:t>
            </w:r>
            <w:r>
              <w:rPr>
                <w:rFonts w:hint="eastAsia" w:hAnsi="Times New Roman" w:eastAsia="宋体"/>
                <w:kern w:val="2"/>
                <w:szCs w:val="21"/>
                <w:vertAlign w:val="superscript"/>
              </w:rPr>
              <w:t>-</w:t>
            </w:r>
            <w:r>
              <w:rPr>
                <w:rFonts w:hint="eastAsia" w:hAnsi="Times New Roman" w:eastAsia="宋体"/>
                <w:kern w:val="2"/>
                <w:szCs w:val="21"/>
              </w:rPr>
              <w:t>、SO</w:t>
            </w:r>
            <w:r>
              <w:rPr>
                <w:rFonts w:hint="eastAsia" w:hAnsi="Times New Roman" w:eastAsia="宋体"/>
                <w:kern w:val="2"/>
                <w:szCs w:val="21"/>
                <w:vertAlign w:val="subscript"/>
              </w:rPr>
              <w:t>4</w:t>
            </w:r>
            <w:r>
              <w:rPr>
                <w:rFonts w:hint="eastAsia" w:hAnsi="Times New Roman" w:eastAsia="宋体"/>
                <w:kern w:val="2"/>
                <w:szCs w:val="21"/>
                <w:vertAlign w:val="superscript"/>
              </w:rPr>
              <w:t>2-</w:t>
            </w:r>
            <w:r>
              <w:rPr>
                <w:rFonts w:hint="eastAsia" w:hAnsi="Times New Roman" w:eastAsia="宋体"/>
                <w:kern w:val="2"/>
                <w:szCs w:val="21"/>
              </w:rPr>
              <w:t>、HCO</w:t>
            </w:r>
            <w:r>
              <w:rPr>
                <w:rFonts w:hint="eastAsia" w:hAnsi="Times New Roman" w:eastAsia="宋体"/>
                <w:kern w:val="2"/>
                <w:szCs w:val="21"/>
                <w:vertAlign w:val="superscript"/>
              </w:rPr>
              <w:t>3-</w:t>
            </w:r>
            <w:r>
              <w:rPr>
                <w:rFonts w:hint="eastAsia" w:hAnsi="Times New Roman" w:eastAsia="宋体"/>
                <w:kern w:val="2"/>
                <w:szCs w:val="21"/>
              </w:rPr>
              <w:t>、CO</w:t>
            </w:r>
            <w:r>
              <w:rPr>
                <w:rFonts w:hint="eastAsia" w:hAnsi="Times New Roman" w:eastAsia="宋体"/>
                <w:kern w:val="2"/>
                <w:szCs w:val="21"/>
                <w:vertAlign w:val="subscript"/>
              </w:rPr>
              <w:t>3</w:t>
            </w:r>
            <w:r>
              <w:rPr>
                <w:rFonts w:hint="eastAsia" w:hAnsi="Times New Roman" w:eastAsia="宋体"/>
                <w:kern w:val="2"/>
                <w:szCs w:val="21"/>
                <w:vertAlign w:val="superscript"/>
              </w:rPr>
              <w:t>2-</w:t>
            </w:r>
            <w:r>
              <w:rPr>
                <w:rFonts w:hint="eastAsia" w:hAnsi="Times New Roman" w:eastAsia="宋体"/>
                <w:kern w:val="2"/>
                <w:szCs w:val="21"/>
              </w:rPr>
              <w:t>、PO</w:t>
            </w:r>
            <w:r>
              <w:rPr>
                <w:rFonts w:hint="eastAsia" w:hAnsi="Times New Roman" w:eastAsia="宋体"/>
                <w:kern w:val="2"/>
                <w:szCs w:val="21"/>
                <w:vertAlign w:val="subscript"/>
              </w:rPr>
              <w:t>4</w:t>
            </w:r>
            <w:r>
              <w:rPr>
                <w:rFonts w:hint="eastAsia" w:hAnsi="Times New Roman" w:eastAsia="宋体"/>
                <w:kern w:val="2"/>
                <w:szCs w:val="21"/>
                <w:vertAlign w:val="superscript"/>
              </w:rPr>
              <w:t>3-</w:t>
            </w:r>
            <w:r>
              <w:rPr>
                <w:rFonts w:hint="eastAsia" w:hAnsi="Times New Roman" w:eastAsia="宋体"/>
                <w:kern w:val="2"/>
                <w:szCs w:val="21"/>
              </w:rPr>
              <w:t>、Na</w:t>
            </w:r>
            <w:r>
              <w:rPr>
                <w:rFonts w:hint="eastAsia" w:hAnsi="Times New Roman" w:eastAsia="宋体"/>
                <w:kern w:val="2"/>
                <w:szCs w:val="21"/>
                <w:vertAlign w:val="superscript"/>
              </w:rPr>
              <w:t>+</w:t>
            </w:r>
            <w:r>
              <w:rPr>
                <w:rFonts w:hint="eastAsia" w:hAnsi="Times New Roman" w:eastAsia="宋体"/>
                <w:kern w:val="2"/>
                <w:szCs w:val="21"/>
              </w:rPr>
              <w:t>、K</w:t>
            </w:r>
            <w:r>
              <w:rPr>
                <w:rFonts w:hint="eastAsia" w:hAnsi="Times New Roman" w:eastAsia="宋体"/>
                <w:kern w:val="2"/>
                <w:szCs w:val="21"/>
                <w:vertAlign w:val="superscript"/>
              </w:rPr>
              <w:t>+</w:t>
            </w:r>
            <w:r>
              <w:rPr>
                <w:rFonts w:hint="eastAsia" w:hAnsi="Times New Roman" w:eastAsia="宋体"/>
                <w:kern w:val="2"/>
                <w:szCs w:val="21"/>
              </w:rPr>
              <w:t>、Ca</w:t>
            </w:r>
            <w:r>
              <w:rPr>
                <w:rFonts w:hint="eastAsia" w:hAnsi="Times New Roman" w:eastAsia="宋体"/>
                <w:kern w:val="2"/>
                <w:szCs w:val="21"/>
                <w:vertAlign w:val="superscript"/>
              </w:rPr>
              <w:t>2+</w:t>
            </w:r>
            <w:r>
              <w:rPr>
                <w:rFonts w:hint="eastAsia" w:hAnsi="Times New Roman" w:eastAsia="宋体"/>
                <w:kern w:val="2"/>
                <w:szCs w:val="21"/>
              </w:rPr>
              <w:t>、Mg</w:t>
            </w:r>
            <w:r>
              <w:rPr>
                <w:rFonts w:hint="eastAsia" w:hAnsi="Times New Roman" w:eastAsia="宋体"/>
                <w:kern w:val="2"/>
                <w:szCs w:val="21"/>
                <w:vertAlign w:val="superscript"/>
              </w:rPr>
              <w:t>2+</w:t>
            </w:r>
            <w:r>
              <w:rPr>
                <w:rFonts w:hint="eastAsia" w:hAnsi="Times New Roman" w:eastAsia="宋体"/>
                <w:kern w:val="2"/>
                <w:szCs w:val="21"/>
              </w:rPr>
              <w:t>、TDS、硝酸盐、亚硝酸盐（以N计）、氨氮、铬（六价）、锌、铁、锰、铜、砷、镉、汞、挥发性酚类、氰化物、耗氧量</w:t>
            </w:r>
          </w:p>
        </w:tc>
        <w:tc>
          <w:tcPr>
            <w:tcW w:w="813" w:type="dxa"/>
            <w:vMerge w:val="restar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枯水期、丰水期各1次</w:t>
            </w:r>
          </w:p>
        </w:tc>
        <w:tc>
          <w:tcPr>
            <w:tcW w:w="675" w:type="dxa"/>
            <w:vMerge w:val="restar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石油类、铅</w:t>
            </w:r>
          </w:p>
        </w:tc>
        <w:tc>
          <w:tcPr>
            <w:tcW w:w="960" w:type="dxa"/>
            <w:vMerge w:val="restar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枯水期、丰水期各1次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573" w:hRule="atLeast"/>
          <w:jc w:val="center"/>
        </w:trPr>
        <w:tc>
          <w:tcPr>
            <w:tcW w:w="314" w:type="dxa"/>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S3</w:t>
            </w:r>
          </w:p>
        </w:tc>
        <w:tc>
          <w:tcPr>
            <w:tcW w:w="707" w:type="dxa"/>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跟踪监测井</w:t>
            </w:r>
          </w:p>
        </w:tc>
        <w:tc>
          <w:tcPr>
            <w:tcW w:w="992" w:type="dxa"/>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主井工业广场西侧</w:t>
            </w:r>
          </w:p>
        </w:tc>
        <w:tc>
          <w:tcPr>
            <w:tcW w:w="1218" w:type="dxa"/>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107.730914°</w:t>
            </w:r>
          </w:p>
        </w:tc>
        <w:tc>
          <w:tcPr>
            <w:tcW w:w="1250" w:type="dxa"/>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31.200572°</w:t>
            </w:r>
          </w:p>
        </w:tc>
        <w:tc>
          <w:tcPr>
            <w:tcW w:w="2250" w:type="dxa"/>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813" w:type="dxa"/>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675" w:type="dxa"/>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960" w:type="dxa"/>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553" w:hRule="atLeast"/>
          <w:jc w:val="center"/>
        </w:trPr>
        <w:tc>
          <w:tcPr>
            <w:tcW w:w="314" w:type="dxa"/>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S5</w:t>
            </w:r>
          </w:p>
        </w:tc>
        <w:tc>
          <w:tcPr>
            <w:tcW w:w="707" w:type="dxa"/>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背景值监测井</w:t>
            </w:r>
          </w:p>
        </w:tc>
        <w:tc>
          <w:tcPr>
            <w:tcW w:w="992" w:type="dxa"/>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工业广场上游处</w:t>
            </w:r>
          </w:p>
        </w:tc>
        <w:tc>
          <w:tcPr>
            <w:tcW w:w="1218" w:type="dxa"/>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107.732234°</w:t>
            </w:r>
          </w:p>
        </w:tc>
        <w:tc>
          <w:tcPr>
            <w:tcW w:w="1250" w:type="dxa"/>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r>
              <w:rPr>
                <w:rFonts w:hint="eastAsia" w:hAnsi="Times New Roman" w:eastAsia="宋体"/>
                <w:kern w:val="2"/>
                <w:szCs w:val="21"/>
              </w:rPr>
              <w:t>31.194035°</w:t>
            </w:r>
          </w:p>
        </w:tc>
        <w:tc>
          <w:tcPr>
            <w:tcW w:w="2250" w:type="dxa"/>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813" w:type="dxa"/>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675" w:type="dxa"/>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c>
          <w:tcPr>
            <w:tcW w:w="960" w:type="dxa"/>
            <w:vMerge w:val="continue"/>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1"/>
              </w:rPr>
            </w:pPr>
          </w:p>
        </w:tc>
      </w:tr>
    </w:tbl>
    <w:p>
      <w:pPr>
        <w:pStyle w:val="62"/>
        <w:rPr>
          <w:rFonts w:hAnsi="Times New Roman" w:eastAsia="宋体"/>
        </w:rPr>
      </w:pPr>
      <w:r>
        <w:rPr>
          <w:rFonts w:hint="eastAsia"/>
        </w:rPr>
        <w:drawing>
          <wp:inline distT="0" distB="0" distL="114300" distR="114300">
            <wp:extent cx="5038090" cy="3477260"/>
            <wp:effectExtent l="0" t="0" r="10160" b="8890"/>
            <wp:docPr id="188"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45"/>
                    <pic:cNvPicPr>
                      <a:picLocks noChangeAspect="1"/>
                    </pic:cNvPicPr>
                  </pic:nvPicPr>
                  <pic:blipFill>
                    <a:blip r:embed="rId221"/>
                    <a:stretch>
                      <a:fillRect/>
                    </a:stretch>
                  </pic:blipFill>
                  <pic:spPr>
                    <a:xfrm>
                      <a:off x="0" y="0"/>
                      <a:ext cx="5038090" cy="3477260"/>
                    </a:xfrm>
                    <a:prstGeom prst="rect">
                      <a:avLst/>
                    </a:prstGeom>
                    <a:noFill/>
                    <a:ln>
                      <a:noFill/>
                    </a:ln>
                  </pic:spPr>
                </pic:pic>
              </a:graphicData>
            </a:graphic>
          </wp:inline>
        </w:drawing>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图5.6-1 地下水跟踪监测井位置示意图</w:t>
      </w:r>
    </w:p>
    <w:p>
      <w:pPr>
        <w:pStyle w:val="6"/>
        <w:rPr>
          <w:szCs w:val="22"/>
        </w:rPr>
      </w:pPr>
      <w:bookmarkStart w:id="407" w:name="_Toc163812614"/>
      <w:bookmarkStart w:id="408" w:name="_Toc167095237"/>
      <w:r>
        <w:rPr>
          <w:szCs w:val="22"/>
        </w:rPr>
        <w:t>5.6.4信息公开</w:t>
      </w:r>
      <w:bookmarkEnd w:id="407"/>
      <w:bookmarkEnd w:id="408"/>
    </w:p>
    <w:p>
      <w:pPr>
        <w:spacing w:line="360" w:lineRule="auto"/>
        <w:ind w:firstLine="480"/>
        <w:rPr>
          <w:rFonts w:hAnsi="Times New Roman" w:eastAsia="宋体"/>
        </w:rPr>
      </w:pPr>
      <w:r>
        <w:rPr>
          <w:rFonts w:hAnsi="Times New Roman" w:eastAsia="宋体"/>
        </w:rPr>
        <w:t>本项目跟踪监测报告编制的主体为项目当地环境保护管理部门，跟踪监测具体实施单位由环境保护管理部门委托具有监测资质的单位负责。跟踪监测报告的内容包括：</w:t>
      </w:r>
    </w:p>
    <w:p>
      <w:pPr>
        <w:spacing w:line="360" w:lineRule="auto"/>
        <w:ind w:firstLine="480"/>
        <w:rPr>
          <w:rFonts w:hAnsi="Times New Roman" w:eastAsia="宋体"/>
        </w:rPr>
      </w:pPr>
      <w:r>
        <w:rPr>
          <w:rFonts w:hAnsi="Times New Roman" w:eastAsia="宋体"/>
        </w:rPr>
        <w:t>（1）本项目设置的环境监测点的地下水环境跟踪监测数据，同时包括项目排放的污染物的种类、数量和浓度。</w:t>
      </w:r>
    </w:p>
    <w:p>
      <w:pPr>
        <w:spacing w:line="360" w:lineRule="auto"/>
        <w:ind w:firstLine="480"/>
        <w:rPr>
          <w:rFonts w:hAnsi="Times New Roman" w:eastAsia="宋体"/>
        </w:rPr>
      </w:pPr>
      <w:r>
        <w:rPr>
          <w:rFonts w:hAnsi="Times New Roman" w:eastAsia="宋体"/>
        </w:rPr>
        <w:t>（2）生产设备、管廊或管线、贮存与运输设备、污染物贮存于处理装置、事故应急装置等设施的运行状况、跑冒滴漏记录、维护记录等。</w:t>
      </w:r>
    </w:p>
    <w:p>
      <w:pPr>
        <w:spacing w:line="360" w:lineRule="auto"/>
        <w:ind w:firstLine="480"/>
        <w:rPr>
          <w:rFonts w:hAnsi="Times New Roman" w:eastAsia="宋体"/>
          <w:szCs w:val="22"/>
        </w:rPr>
      </w:pPr>
      <w:r>
        <w:rPr>
          <w:rFonts w:hAnsi="Times New Roman" w:eastAsia="宋体"/>
          <w:szCs w:val="22"/>
        </w:rPr>
        <w:t>跟踪监测的信息应在当地环境保护主管部门网站上公开，公开内容主要包含建设项目特征因子的地下水环境监测值。</w:t>
      </w:r>
    </w:p>
    <w:p>
      <w:pPr>
        <w:pStyle w:val="5"/>
        <w:rPr>
          <w:rFonts w:ascii="Times New Roman" w:hAnsi="Times New Roman"/>
        </w:rPr>
      </w:pPr>
      <w:bookmarkStart w:id="409" w:name="_Toc163749175"/>
      <w:bookmarkStart w:id="410" w:name="_Toc167095238"/>
      <w:bookmarkStart w:id="411" w:name="_Toc480413459"/>
      <w:r>
        <w:rPr>
          <w:rFonts w:ascii="Times New Roman" w:hAnsi="Times New Roman"/>
        </w:rPr>
        <w:t>5.7风险事故应急响应措施</w:t>
      </w:r>
      <w:bookmarkEnd w:id="409"/>
      <w:bookmarkEnd w:id="410"/>
      <w:bookmarkEnd w:id="411"/>
    </w:p>
    <w:p>
      <w:pPr>
        <w:pStyle w:val="6"/>
      </w:pPr>
      <w:bookmarkStart w:id="412" w:name="_Toc167095239"/>
      <w:bookmarkStart w:id="413" w:name="_Toc163812616"/>
      <w:r>
        <w:t>5.7.1地下水污染风险快速评估及决策</w:t>
      </w:r>
      <w:bookmarkEnd w:id="412"/>
      <w:bookmarkEnd w:id="413"/>
    </w:p>
    <w:p>
      <w:pPr>
        <w:spacing w:line="360" w:lineRule="auto"/>
        <w:ind w:firstLine="480"/>
        <w:rPr>
          <w:rFonts w:hAnsi="Times New Roman" w:eastAsia="宋体"/>
        </w:rPr>
      </w:pPr>
      <w:r>
        <w:rPr>
          <w:rFonts w:hAnsi="Times New Roman" w:eastAsia="宋体"/>
        </w:rPr>
        <w:t>地下水污染风险快速评估方法与决策由连续的3个阶段组成（图5.7-1）：</w:t>
      </w:r>
    </w:p>
    <w:p>
      <w:pPr>
        <w:pStyle w:val="62"/>
        <w:ind w:firstLine="480"/>
        <w:rPr>
          <w:rFonts w:hAnsi="Times New Roman" w:eastAsia="宋体"/>
        </w:rPr>
      </w:pPr>
      <w:r>
        <w:rPr>
          <w:rFonts w:hAnsi="Times New Roman" w:eastAsia="宋体"/>
        </w:rPr>
        <w:drawing>
          <wp:inline distT="0" distB="0" distL="114300" distR="114300">
            <wp:extent cx="3072130" cy="3561080"/>
            <wp:effectExtent l="0" t="0" r="13970" b="1270"/>
            <wp:docPr id="194" name="图片 59" descr="说明: 地下水污染应急措施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59" descr="说明: 地下水污染应急措施图"/>
                    <pic:cNvPicPr>
                      <a:picLocks noChangeAspect="1"/>
                    </pic:cNvPicPr>
                  </pic:nvPicPr>
                  <pic:blipFill>
                    <a:blip r:embed="rId222"/>
                    <a:stretch>
                      <a:fillRect/>
                    </a:stretch>
                  </pic:blipFill>
                  <pic:spPr>
                    <a:xfrm>
                      <a:off x="0" y="0"/>
                      <a:ext cx="3072130" cy="3561080"/>
                    </a:xfrm>
                    <a:prstGeom prst="rect">
                      <a:avLst/>
                    </a:prstGeom>
                    <a:noFill/>
                    <a:ln>
                      <a:noFill/>
                    </a:ln>
                  </pic:spPr>
                </pic:pic>
              </a:graphicData>
            </a:graphic>
          </wp:inline>
        </w:drawing>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图5.7-1 地下水污染风险快速评估与决策过程</w:t>
      </w:r>
    </w:p>
    <w:p>
      <w:pPr>
        <w:spacing w:line="360" w:lineRule="auto"/>
        <w:ind w:firstLine="480"/>
        <w:rPr>
          <w:rFonts w:hAnsi="Times New Roman" w:eastAsia="宋体"/>
        </w:rPr>
      </w:pPr>
      <w:r>
        <w:rPr>
          <w:rFonts w:hAnsi="Times New Roman" w:eastAsia="宋体"/>
        </w:rPr>
        <w:t>第1阶段为事故与场地调查：主要任务为搜集事故与污染物信息及场地水文地质资料等一些基本信息；</w:t>
      </w:r>
    </w:p>
    <w:p>
      <w:pPr>
        <w:spacing w:line="360" w:lineRule="auto"/>
        <w:ind w:firstLine="480"/>
        <w:rPr>
          <w:rFonts w:hAnsi="Times New Roman" w:eastAsia="宋体"/>
        </w:rPr>
      </w:pPr>
      <w:r>
        <w:rPr>
          <w:rFonts w:hAnsi="Times New Roman" w:eastAsia="宋体"/>
        </w:rPr>
        <w:t>第2阶段为计算和评价：采用简单的数学模型判断事故对地下水影响的紧迫程度，以及对下游敏感点的影响，以快速获取所需要的信息；</w:t>
      </w:r>
    </w:p>
    <w:p>
      <w:pPr>
        <w:spacing w:line="360" w:lineRule="auto"/>
        <w:ind w:firstLine="480"/>
        <w:rPr>
          <w:rFonts w:hAnsi="Times New Roman" w:eastAsia="宋体"/>
        </w:rPr>
      </w:pPr>
      <w:r>
        <w:rPr>
          <w:rFonts w:hAnsi="Times New Roman" w:eastAsia="宋体"/>
        </w:rPr>
        <w:t>第3阶段为分析与决策：综合分析前两阶段的结果制定场地应急控制措施。</w:t>
      </w:r>
    </w:p>
    <w:p>
      <w:pPr>
        <w:pStyle w:val="6"/>
      </w:pPr>
      <w:bookmarkStart w:id="414" w:name="_Toc163812617"/>
      <w:bookmarkStart w:id="415" w:name="_Toc167095240"/>
      <w:r>
        <w:t>5.7.2风险事故应急程序</w:t>
      </w:r>
      <w:bookmarkEnd w:id="414"/>
      <w:bookmarkEnd w:id="415"/>
    </w:p>
    <w:p>
      <w:pPr>
        <w:spacing w:line="360" w:lineRule="auto"/>
        <w:ind w:firstLine="480"/>
        <w:rPr>
          <w:rFonts w:hAnsi="Times New Roman" w:eastAsia="宋体"/>
        </w:rPr>
      </w:pPr>
      <w:r>
        <w:rPr>
          <w:rFonts w:hAnsi="Times New Roman" w:eastAsia="宋体"/>
        </w:rPr>
        <w:t>无论预防工作如何周密，风险事故总是难以根本杜绝，因此，必须制定地下水风险事故应急响应预案，明确风险事故状态下应采取封闭、截流等措施，提出防止受污染的地下水扩散和对受污染的地下水进行治理的具体方案。</w:t>
      </w:r>
    </w:p>
    <w:p>
      <w:pPr>
        <w:pStyle w:val="62"/>
        <w:jc w:val="both"/>
        <w:rPr>
          <w:rFonts w:hAnsi="Times New Roman" w:eastAsia="宋体"/>
        </w:rPr>
      </w:pPr>
      <w:r>
        <w:rPr>
          <w:rFonts w:hAnsi="Times New Roman" w:eastAsia="宋体"/>
        </w:rPr>
        <mc:AlternateContent>
          <mc:Choice Requires="wpg">
            <w:drawing>
              <wp:inline distT="0" distB="0" distL="114300" distR="114300">
                <wp:extent cx="5229860" cy="3486150"/>
                <wp:effectExtent l="0" t="0" r="0" b="0"/>
                <wp:docPr id="202" name="组合 202"/>
                <wp:cNvGraphicFramePr/>
                <a:graphic xmlns:a="http://schemas.openxmlformats.org/drawingml/2006/main">
                  <a:graphicData uri="http://schemas.microsoft.com/office/word/2010/wordprocessingGroup">
                    <wpg:wgp>
                      <wpg:cNvGrpSpPr>
                        <a:grpSpLocks noRot="1"/>
                      </wpg:cNvGrpSpPr>
                      <wpg:grpSpPr>
                        <a:xfrm>
                          <a:off x="0" y="0"/>
                          <a:ext cx="5229860" cy="3486150"/>
                          <a:chOff x="0" y="0"/>
                          <a:chExt cx="8304" cy="6262"/>
                        </a:xfrm>
                      </wpg:grpSpPr>
                      <wps:wsp>
                        <wps:cNvPr id="99" name="矩形 99"/>
                        <wps:cNvSpPr>
                          <a:spLocks noChangeAspect="1"/>
                        </wps:cNvSpPr>
                        <wps:spPr>
                          <a:xfrm>
                            <a:off x="0" y="0"/>
                            <a:ext cx="8304" cy="6262"/>
                          </a:xfrm>
                          <a:prstGeom prst="rect">
                            <a:avLst/>
                          </a:prstGeom>
                          <a:noFill/>
                          <a:ln>
                            <a:noFill/>
                          </a:ln>
                        </wps:spPr>
                        <wps:bodyPr upright="1"/>
                      </wps:wsp>
                      <wps:wsp>
                        <wps:cNvPr id="100" name="矩形 100"/>
                        <wps:cNvSpPr/>
                        <wps:spPr>
                          <a:xfrm>
                            <a:off x="3204" y="66"/>
                            <a:ext cx="1932" cy="468"/>
                          </a:xfrm>
                          <a:prstGeom prst="rect">
                            <a:avLst/>
                          </a:prstGeom>
                          <a:noFill/>
                          <a:ln w="12700" cap="flat" cmpd="sng">
                            <a:solidFill>
                              <a:srgbClr val="000000"/>
                            </a:solidFill>
                            <a:prstDash val="solid"/>
                            <a:miter/>
                            <a:headEnd type="none" w="med" len="med"/>
                            <a:tailEnd type="none" w="med" len="med"/>
                          </a:ln>
                        </wps:spPr>
                        <wps:txbx>
                          <w:txbxContent>
                            <w:p>
                              <w:pPr>
                                <w:rPr>
                                  <w:color w:val="000000"/>
                                </w:rPr>
                              </w:pPr>
                              <w:r>
                                <w:rPr>
                                  <w:rFonts w:hint="eastAsia"/>
                                  <w:color w:val="000000"/>
                                </w:rPr>
                                <w:t>地下水污染事故</w:t>
                              </w:r>
                            </w:p>
                          </w:txbxContent>
                        </wps:txbx>
                        <wps:bodyPr lIns="36000" tIns="18000" rIns="36000" bIns="18000" anchor="ctr" anchorCtr="0" upright="1"/>
                      </wps:wsp>
                      <wps:wsp>
                        <wps:cNvPr id="101" name="矩形 101"/>
                        <wps:cNvSpPr/>
                        <wps:spPr>
                          <a:xfrm>
                            <a:off x="559" y="966"/>
                            <a:ext cx="1932" cy="676"/>
                          </a:xfrm>
                          <a:prstGeom prst="rect">
                            <a:avLst/>
                          </a:prstGeom>
                          <a:noFill/>
                          <a:ln w="12700" cap="flat" cmpd="sng">
                            <a:solidFill>
                              <a:srgbClr val="000000"/>
                            </a:solidFill>
                            <a:prstDash val="solid"/>
                            <a:miter/>
                            <a:headEnd type="none" w="med" len="med"/>
                            <a:tailEnd type="none" w="med" len="med"/>
                          </a:ln>
                        </wps:spPr>
                        <wps:txbx>
                          <w:txbxContent>
                            <w:p>
                              <w:pPr>
                                <w:pStyle w:val="31"/>
                                <w:spacing w:before="0" w:beforeAutospacing="0" w:after="0" w:afterAutospacing="0"/>
                              </w:pPr>
                              <w:r>
                                <w:rPr>
                                  <w:rFonts w:hint="eastAsia" w:cs="Times New Roman"/>
                                  <w:color w:val="000000"/>
                                  <w:kern w:val="2"/>
                                  <w:sz w:val="21"/>
                                  <w:szCs w:val="21"/>
                                </w:rPr>
                                <w:t>控制事故现场，及时切断污染源</w:t>
                              </w:r>
                            </w:p>
                          </w:txbxContent>
                        </wps:txbx>
                        <wps:bodyPr lIns="36000" tIns="0" rIns="36000" bIns="36000" anchor="ctr" anchorCtr="0" upright="1"/>
                      </wps:wsp>
                      <wps:wsp>
                        <wps:cNvPr id="102" name="矩形 102"/>
                        <wps:cNvSpPr/>
                        <wps:spPr>
                          <a:xfrm>
                            <a:off x="3204" y="966"/>
                            <a:ext cx="1932" cy="468"/>
                          </a:xfrm>
                          <a:prstGeom prst="rect">
                            <a:avLst/>
                          </a:prstGeom>
                          <a:noFill/>
                          <a:ln w="12700" cap="flat" cmpd="sng">
                            <a:solidFill>
                              <a:srgbClr val="000000"/>
                            </a:solidFill>
                            <a:prstDash val="solid"/>
                            <a:miter/>
                            <a:headEnd type="none" w="med" len="med"/>
                            <a:tailEnd type="none" w="med" len="med"/>
                          </a:ln>
                        </wps:spPr>
                        <wps:txbx>
                          <w:txbxContent>
                            <w:p>
                              <w:pPr>
                                <w:pStyle w:val="31"/>
                                <w:spacing w:before="0" w:beforeAutospacing="0" w:after="0" w:afterAutospacing="0"/>
                                <w:jc w:val="center"/>
                              </w:pPr>
                              <w:r>
                                <w:rPr>
                                  <w:rFonts w:hint="eastAsia" w:hAnsi="Times New Roman" w:cs="Times New Roman"/>
                                  <w:color w:val="000000"/>
                                  <w:kern w:val="2"/>
                                  <w:sz w:val="21"/>
                                  <w:szCs w:val="21"/>
                                </w:rPr>
                                <w:t>上报相关主管部门</w:t>
                              </w:r>
                            </w:p>
                          </w:txbxContent>
                        </wps:txbx>
                        <wps:bodyPr lIns="36000" tIns="18000" rIns="36000" bIns="18000" anchor="ctr" anchorCtr="0" upright="1"/>
                      </wps:wsp>
                      <wps:wsp>
                        <wps:cNvPr id="103" name="矩形 103"/>
                        <wps:cNvSpPr/>
                        <wps:spPr>
                          <a:xfrm>
                            <a:off x="5815" y="1002"/>
                            <a:ext cx="1932" cy="468"/>
                          </a:xfrm>
                          <a:prstGeom prst="rect">
                            <a:avLst/>
                          </a:prstGeom>
                          <a:noFill/>
                          <a:ln w="12700" cap="flat" cmpd="sng">
                            <a:solidFill>
                              <a:srgbClr val="000000"/>
                            </a:solidFill>
                            <a:prstDash val="solid"/>
                            <a:miter/>
                            <a:headEnd type="none" w="med" len="med"/>
                            <a:tailEnd type="none" w="med" len="med"/>
                          </a:ln>
                        </wps:spPr>
                        <wps:txbx>
                          <w:txbxContent>
                            <w:p>
                              <w:pPr>
                                <w:pStyle w:val="31"/>
                                <w:spacing w:before="0" w:beforeAutospacing="0" w:after="0" w:afterAutospacing="0"/>
                                <w:jc w:val="center"/>
                              </w:pPr>
                              <w:r>
                                <w:rPr>
                                  <w:rFonts w:hint="eastAsia" w:hAnsi="Times New Roman" w:cs="Times New Roman"/>
                                  <w:color w:val="000000"/>
                                  <w:kern w:val="2"/>
                                  <w:sz w:val="21"/>
                                  <w:szCs w:val="21"/>
                                </w:rPr>
                                <w:t>准备相关资料</w:t>
                              </w:r>
                            </w:p>
                          </w:txbxContent>
                        </wps:txbx>
                        <wps:bodyPr lIns="36000" tIns="18000" rIns="36000" bIns="18000" anchor="ctr" anchorCtr="0" upright="1"/>
                      </wps:wsp>
                      <wps:wsp>
                        <wps:cNvPr id="104" name="矩形 104"/>
                        <wps:cNvSpPr/>
                        <wps:spPr>
                          <a:xfrm>
                            <a:off x="3204" y="1992"/>
                            <a:ext cx="1932" cy="468"/>
                          </a:xfrm>
                          <a:prstGeom prst="rect">
                            <a:avLst/>
                          </a:prstGeom>
                          <a:noFill/>
                          <a:ln w="12700" cap="flat" cmpd="sng">
                            <a:solidFill>
                              <a:srgbClr val="000000"/>
                            </a:solidFill>
                            <a:prstDash val="solid"/>
                            <a:miter/>
                            <a:headEnd type="none" w="med" len="med"/>
                            <a:tailEnd type="none" w="med" len="med"/>
                          </a:ln>
                        </wps:spPr>
                        <wps:txbx>
                          <w:txbxContent>
                            <w:p>
                              <w:pPr>
                                <w:pStyle w:val="31"/>
                                <w:spacing w:before="0" w:beforeAutospacing="0" w:after="0" w:afterAutospacing="0"/>
                                <w:ind w:firstLine="420"/>
                                <w:jc w:val="center"/>
                              </w:pPr>
                              <w:r>
                                <w:rPr>
                                  <w:rFonts w:hint="eastAsia" w:hAnsi="Times New Roman" w:cs="Times New Roman"/>
                                  <w:color w:val="000000"/>
                                  <w:kern w:val="2"/>
                                  <w:sz w:val="21"/>
                                  <w:szCs w:val="21"/>
                                </w:rPr>
                                <w:t>环境监测取样</w:t>
                              </w:r>
                            </w:p>
                          </w:txbxContent>
                        </wps:txbx>
                        <wps:bodyPr lIns="36000" tIns="18000" rIns="36000" bIns="18000" anchor="ctr" anchorCtr="0" upright="1"/>
                      </wps:wsp>
                      <wps:wsp>
                        <wps:cNvPr id="105" name="矩形 105"/>
                        <wps:cNvSpPr/>
                        <wps:spPr>
                          <a:xfrm>
                            <a:off x="2412" y="2785"/>
                            <a:ext cx="3511" cy="444"/>
                          </a:xfrm>
                          <a:prstGeom prst="rect">
                            <a:avLst/>
                          </a:prstGeom>
                          <a:noFill/>
                          <a:ln w="12700" cap="flat" cmpd="sng">
                            <a:solidFill>
                              <a:srgbClr val="000000"/>
                            </a:solidFill>
                            <a:prstDash val="solid"/>
                            <a:miter/>
                            <a:headEnd type="none" w="med" len="med"/>
                            <a:tailEnd type="none" w="med" len="med"/>
                          </a:ln>
                        </wps:spPr>
                        <wps:txbx>
                          <w:txbxContent>
                            <w:p>
                              <w:pPr>
                                <w:pStyle w:val="31"/>
                                <w:spacing w:before="0" w:beforeAutospacing="0" w:after="0" w:afterAutospacing="0"/>
                                <w:ind w:firstLine="420"/>
                                <w:jc w:val="center"/>
                              </w:pPr>
                              <w:r>
                                <w:rPr>
                                  <w:rFonts w:hint="eastAsia" w:hAnsi="Times New Roman" w:cs="Times New Roman"/>
                                  <w:color w:val="000000"/>
                                  <w:kern w:val="2"/>
                                  <w:sz w:val="21"/>
                                  <w:szCs w:val="21"/>
                                </w:rPr>
                                <w:t>进行详细调查方案确定污染范围</w:t>
                              </w:r>
                            </w:p>
                          </w:txbxContent>
                        </wps:txbx>
                        <wps:bodyPr lIns="36000" tIns="18000" rIns="36000" bIns="18000" anchor="ctr" anchorCtr="0" upright="1"/>
                      </wps:wsp>
                      <wps:wsp>
                        <wps:cNvPr id="171" name="矩形 171"/>
                        <wps:cNvSpPr/>
                        <wps:spPr>
                          <a:xfrm>
                            <a:off x="3204" y="3567"/>
                            <a:ext cx="1932" cy="712"/>
                          </a:xfrm>
                          <a:prstGeom prst="rect">
                            <a:avLst/>
                          </a:prstGeom>
                          <a:noFill/>
                          <a:ln w="12700" cap="flat" cmpd="sng">
                            <a:solidFill>
                              <a:srgbClr val="000000"/>
                            </a:solidFill>
                            <a:prstDash val="solid"/>
                            <a:miter/>
                            <a:headEnd type="none" w="med" len="med"/>
                            <a:tailEnd type="none" w="med" len="med"/>
                          </a:ln>
                        </wps:spPr>
                        <wps:txbx>
                          <w:txbxContent>
                            <w:p>
                              <w:pPr>
                                <w:pStyle w:val="31"/>
                                <w:spacing w:before="0" w:beforeAutospacing="0" w:after="0" w:afterAutospacing="0"/>
                                <w:ind w:firstLine="420"/>
                              </w:pPr>
                              <w:r>
                                <w:rPr>
                                  <w:rFonts w:hint="eastAsia" w:hAnsi="Times New Roman" w:cs="Times New Roman"/>
                                  <w:color w:val="000000"/>
                                  <w:kern w:val="2"/>
                                  <w:sz w:val="21"/>
                                  <w:szCs w:val="21"/>
                                </w:rPr>
                                <w:t>制定修复方案，进行方案审查</w:t>
                              </w:r>
                            </w:p>
                          </w:txbxContent>
                        </wps:txbx>
                        <wps:bodyPr lIns="36000" tIns="18000" rIns="36000" bIns="18000" anchor="ctr" anchorCtr="0" upright="1"/>
                      </wps:wsp>
                      <wps:wsp>
                        <wps:cNvPr id="172" name="矩形 172"/>
                        <wps:cNvSpPr/>
                        <wps:spPr>
                          <a:xfrm>
                            <a:off x="559" y="4745"/>
                            <a:ext cx="1932" cy="468"/>
                          </a:xfrm>
                          <a:prstGeom prst="rect">
                            <a:avLst/>
                          </a:prstGeom>
                          <a:noFill/>
                          <a:ln w="12700" cap="flat" cmpd="sng">
                            <a:solidFill>
                              <a:srgbClr val="000000"/>
                            </a:solidFill>
                            <a:prstDash val="solid"/>
                            <a:miter/>
                            <a:headEnd type="none" w="med" len="med"/>
                            <a:tailEnd type="none" w="med" len="med"/>
                          </a:ln>
                        </wps:spPr>
                        <wps:txbx>
                          <w:txbxContent>
                            <w:p>
                              <w:pPr>
                                <w:pStyle w:val="31"/>
                                <w:spacing w:before="0" w:beforeAutospacing="0" w:after="0" w:afterAutospacing="0"/>
                                <w:ind w:firstLine="420"/>
                                <w:jc w:val="center"/>
                              </w:pPr>
                              <w:r>
                                <w:rPr>
                                  <w:rFonts w:hint="eastAsia" w:hAnsi="Times New Roman" w:cs="Times New Roman"/>
                                  <w:color w:val="000000"/>
                                  <w:kern w:val="2"/>
                                  <w:sz w:val="21"/>
                                  <w:szCs w:val="21"/>
                                </w:rPr>
                                <w:t>实施修复方案</w:t>
                              </w:r>
                            </w:p>
                          </w:txbxContent>
                        </wps:txbx>
                        <wps:bodyPr lIns="36000" tIns="18000" rIns="36000" bIns="18000" anchor="ctr" anchorCtr="0" upright="1"/>
                      </wps:wsp>
                      <wps:wsp>
                        <wps:cNvPr id="173" name="矩形 173"/>
                        <wps:cNvSpPr/>
                        <wps:spPr>
                          <a:xfrm>
                            <a:off x="3204" y="4745"/>
                            <a:ext cx="1932" cy="468"/>
                          </a:xfrm>
                          <a:prstGeom prst="rect">
                            <a:avLst/>
                          </a:prstGeom>
                          <a:noFill/>
                          <a:ln w="12700" cap="flat" cmpd="sng">
                            <a:solidFill>
                              <a:srgbClr val="000000"/>
                            </a:solidFill>
                            <a:prstDash val="solid"/>
                            <a:miter/>
                            <a:headEnd type="none" w="med" len="med"/>
                            <a:tailEnd type="none" w="med" len="med"/>
                          </a:ln>
                        </wps:spPr>
                        <wps:txbx>
                          <w:txbxContent>
                            <w:p>
                              <w:pPr>
                                <w:pStyle w:val="31"/>
                                <w:spacing w:before="0" w:beforeAutospacing="0" w:after="0" w:afterAutospacing="0"/>
                                <w:ind w:firstLine="420"/>
                                <w:jc w:val="center"/>
                              </w:pPr>
                              <w:r>
                                <w:rPr>
                                  <w:rFonts w:hint="eastAsia" w:hAnsi="Times New Roman" w:cs="Times New Roman"/>
                                  <w:color w:val="000000"/>
                                  <w:kern w:val="2"/>
                                  <w:sz w:val="21"/>
                                  <w:szCs w:val="21"/>
                                </w:rPr>
                                <w:t>进行跟踪监测</w:t>
                              </w:r>
                            </w:p>
                          </w:txbxContent>
                        </wps:txbx>
                        <wps:bodyPr lIns="36000" tIns="18000" rIns="36000" bIns="18000" anchor="ctr" anchorCtr="0" upright="1"/>
                      </wps:wsp>
                      <wps:wsp>
                        <wps:cNvPr id="174" name="矩形 174"/>
                        <wps:cNvSpPr/>
                        <wps:spPr>
                          <a:xfrm>
                            <a:off x="5815" y="4731"/>
                            <a:ext cx="1932" cy="468"/>
                          </a:xfrm>
                          <a:prstGeom prst="rect">
                            <a:avLst/>
                          </a:prstGeom>
                          <a:noFill/>
                          <a:ln w="12700" cap="flat" cmpd="sng">
                            <a:solidFill>
                              <a:srgbClr val="000000"/>
                            </a:solidFill>
                            <a:prstDash val="solid"/>
                            <a:miter/>
                            <a:headEnd type="none" w="med" len="med"/>
                            <a:tailEnd type="none" w="med" len="med"/>
                          </a:ln>
                        </wps:spPr>
                        <wps:txbx>
                          <w:txbxContent>
                            <w:p>
                              <w:pPr>
                                <w:pStyle w:val="31"/>
                                <w:spacing w:before="0" w:beforeAutospacing="0" w:after="0" w:afterAutospacing="0"/>
                                <w:ind w:firstLine="420"/>
                                <w:jc w:val="center"/>
                              </w:pPr>
                              <w:r>
                                <w:rPr>
                                  <w:rFonts w:hint="eastAsia" w:hAnsi="Times New Roman" w:cs="Times New Roman"/>
                                  <w:color w:val="000000"/>
                                  <w:kern w:val="2"/>
                                  <w:sz w:val="21"/>
                                  <w:szCs w:val="21"/>
                                </w:rPr>
                                <w:t>修复达到目标</w:t>
                              </w:r>
                            </w:p>
                          </w:txbxContent>
                        </wps:txbx>
                        <wps:bodyPr lIns="36000" tIns="18000" rIns="36000" bIns="18000" anchor="ctr" anchorCtr="0" upright="1"/>
                      </wps:wsp>
                      <wps:wsp>
                        <wps:cNvPr id="175" name="矩形 175"/>
                        <wps:cNvSpPr/>
                        <wps:spPr>
                          <a:xfrm>
                            <a:off x="3204" y="5725"/>
                            <a:ext cx="1932" cy="468"/>
                          </a:xfrm>
                          <a:prstGeom prst="rect">
                            <a:avLst/>
                          </a:prstGeom>
                          <a:noFill/>
                          <a:ln w="12700" cap="flat" cmpd="sng">
                            <a:solidFill>
                              <a:srgbClr val="000000"/>
                            </a:solidFill>
                            <a:prstDash val="solid"/>
                            <a:miter/>
                            <a:headEnd type="none" w="med" len="med"/>
                            <a:tailEnd type="none" w="med" len="med"/>
                          </a:ln>
                        </wps:spPr>
                        <wps:txbx>
                          <w:txbxContent>
                            <w:p>
                              <w:pPr>
                                <w:pStyle w:val="31"/>
                                <w:spacing w:before="0" w:beforeAutospacing="0" w:after="0" w:afterAutospacing="0"/>
                                <w:ind w:firstLine="420"/>
                                <w:jc w:val="center"/>
                              </w:pPr>
                              <w:r>
                                <w:rPr>
                                  <w:rFonts w:hint="eastAsia" w:hAnsi="Times New Roman" w:cs="Times New Roman"/>
                                  <w:color w:val="000000"/>
                                  <w:kern w:val="2"/>
                                  <w:sz w:val="21"/>
                                  <w:szCs w:val="21"/>
                                </w:rPr>
                                <w:t>修复工程验收</w:t>
                              </w:r>
                            </w:p>
                          </w:txbxContent>
                        </wps:txbx>
                        <wps:bodyPr lIns="36000" tIns="18000" rIns="36000" bIns="18000" anchor="ctr" anchorCtr="0" upright="1"/>
                      </wps:wsp>
                      <wpg:grpSp>
                        <wpg:cNvPr id="203" name="组合 178"/>
                        <wpg:cNvGrpSpPr/>
                        <wpg:grpSpPr>
                          <a:xfrm>
                            <a:off x="1525" y="534"/>
                            <a:ext cx="5256" cy="468"/>
                            <a:chOff x="0" y="0"/>
                            <a:chExt cx="5256" cy="468"/>
                          </a:xfrm>
                        </wpg:grpSpPr>
                        <wps:wsp>
                          <wps:cNvPr id="176" name="直接箭头连接符 176"/>
                          <wps:cNvCnPr/>
                          <wps:spPr>
                            <a:xfrm>
                              <a:off x="2645" y="0"/>
                              <a:ext cx="0" cy="432"/>
                            </a:xfrm>
                            <a:prstGeom prst="straightConnector1">
                              <a:avLst/>
                            </a:prstGeom>
                            <a:ln w="12700" cap="flat" cmpd="sng">
                              <a:solidFill>
                                <a:srgbClr val="000000"/>
                              </a:solidFill>
                              <a:prstDash val="solid"/>
                              <a:headEnd type="none" w="med" len="med"/>
                              <a:tailEnd type="stealth" w="med" len="med"/>
                            </a:ln>
                          </wps:spPr>
                          <wps:bodyPr/>
                        </wps:wsp>
                        <wps:wsp>
                          <wps:cNvPr id="177" name="肘形连接符 177"/>
                          <wps:cNvCnPr/>
                          <wps:spPr>
                            <a:xfrm rot="5400000" flipV="1">
                              <a:off x="2610" y="-2178"/>
                              <a:ext cx="36" cy="5256"/>
                            </a:xfrm>
                            <a:prstGeom prst="bentConnector3">
                              <a:avLst>
                                <a:gd name="adj1" fmla="val -700000"/>
                              </a:avLst>
                            </a:prstGeom>
                            <a:ln w="12700" cap="flat" cmpd="sng">
                              <a:solidFill>
                                <a:srgbClr val="000000"/>
                              </a:solidFill>
                              <a:prstDash val="solid"/>
                              <a:miter/>
                              <a:headEnd type="stealth" w="med" len="med"/>
                              <a:tailEnd type="stealth" w="med" len="med"/>
                            </a:ln>
                          </wps:spPr>
                          <wps:bodyPr/>
                        </wps:wsp>
                      </wpg:grpSp>
                      <wpg:grpSp>
                        <wpg:cNvPr id="204" name="组合 181"/>
                        <wpg:cNvGrpSpPr/>
                        <wpg:grpSpPr>
                          <a:xfrm>
                            <a:off x="1525" y="1434"/>
                            <a:ext cx="5256" cy="558"/>
                            <a:chOff x="0" y="0"/>
                            <a:chExt cx="5256" cy="558"/>
                          </a:xfrm>
                        </wpg:grpSpPr>
                        <wps:wsp>
                          <wps:cNvPr id="179" name="肘形连接符 179"/>
                          <wps:cNvCnPr/>
                          <wps:spPr>
                            <a:xfrm rot="5400000" flipH="1" flipV="1">
                              <a:off x="2542" y="-2506"/>
                              <a:ext cx="172" cy="5256"/>
                            </a:xfrm>
                            <a:prstGeom prst="bentConnector3">
                              <a:avLst>
                                <a:gd name="adj1" fmla="val -62213"/>
                              </a:avLst>
                            </a:prstGeom>
                            <a:ln w="12700" cap="flat" cmpd="sng">
                              <a:solidFill>
                                <a:srgbClr val="000000"/>
                              </a:solidFill>
                              <a:prstDash val="solid"/>
                              <a:miter/>
                              <a:headEnd type="none" w="med" len="med"/>
                              <a:tailEnd type="none" w="med" len="med"/>
                            </a:ln>
                          </wps:spPr>
                          <wps:bodyPr/>
                        </wps:wsp>
                        <wps:wsp>
                          <wps:cNvPr id="180" name="直接箭头连接符 180"/>
                          <wps:cNvCnPr/>
                          <wps:spPr>
                            <a:xfrm>
                              <a:off x="2645" y="0"/>
                              <a:ext cx="0" cy="558"/>
                            </a:xfrm>
                            <a:prstGeom prst="straightConnector1">
                              <a:avLst/>
                            </a:prstGeom>
                            <a:ln w="12700" cap="flat" cmpd="sng">
                              <a:solidFill>
                                <a:srgbClr val="000000"/>
                              </a:solidFill>
                              <a:prstDash val="solid"/>
                              <a:headEnd type="none" w="med" len="med"/>
                              <a:tailEnd type="stealth" w="med" len="med"/>
                            </a:ln>
                          </wps:spPr>
                          <wps:bodyPr/>
                        </wps:wsp>
                      </wpg:grpSp>
                      <wps:wsp>
                        <wps:cNvPr id="182" name="直接箭头连接符 182"/>
                        <wps:cNvCnPr/>
                        <wps:spPr>
                          <a:xfrm flipH="1">
                            <a:off x="4168" y="2460"/>
                            <a:ext cx="2" cy="325"/>
                          </a:xfrm>
                          <a:prstGeom prst="straightConnector1">
                            <a:avLst/>
                          </a:prstGeom>
                          <a:ln w="12700" cap="flat" cmpd="sng">
                            <a:solidFill>
                              <a:srgbClr val="000000"/>
                            </a:solidFill>
                            <a:prstDash val="solid"/>
                            <a:headEnd type="none" w="med" len="med"/>
                            <a:tailEnd type="stealth" w="med" len="med"/>
                          </a:ln>
                        </wps:spPr>
                        <wps:bodyPr/>
                      </wps:wsp>
                      <wps:wsp>
                        <wps:cNvPr id="183" name="直接箭头连接符 183"/>
                        <wps:cNvCnPr/>
                        <wps:spPr>
                          <a:xfrm>
                            <a:off x="4168" y="3229"/>
                            <a:ext cx="2" cy="338"/>
                          </a:xfrm>
                          <a:prstGeom prst="straightConnector1">
                            <a:avLst/>
                          </a:prstGeom>
                          <a:ln w="12700" cap="flat" cmpd="sng">
                            <a:solidFill>
                              <a:srgbClr val="000000"/>
                            </a:solidFill>
                            <a:prstDash val="solid"/>
                            <a:headEnd type="none" w="med" len="med"/>
                            <a:tailEnd type="stealth" w="med" len="med"/>
                          </a:ln>
                        </wps:spPr>
                        <wps:bodyPr/>
                      </wps:wsp>
                      <wps:wsp>
                        <wps:cNvPr id="184" name="直接箭头连接符 184"/>
                        <wps:cNvCnPr/>
                        <wps:spPr>
                          <a:xfrm flipH="1">
                            <a:off x="4170" y="4290"/>
                            <a:ext cx="1" cy="455"/>
                          </a:xfrm>
                          <a:prstGeom prst="straightConnector1">
                            <a:avLst/>
                          </a:prstGeom>
                          <a:ln w="12700" cap="flat" cmpd="sng">
                            <a:solidFill>
                              <a:srgbClr val="000000"/>
                            </a:solidFill>
                            <a:prstDash val="solid"/>
                            <a:headEnd type="none" w="med" len="med"/>
                            <a:tailEnd type="stealth" w="med" len="med"/>
                          </a:ln>
                        </wps:spPr>
                        <wps:bodyPr/>
                      </wps:wsp>
                      <wps:wsp>
                        <wps:cNvPr id="185" name="肘形连接符 185"/>
                        <wps:cNvCnPr/>
                        <wps:spPr>
                          <a:xfrm rot="5400000" flipH="1" flipV="1">
                            <a:off x="4153" y="2107"/>
                            <a:ext cx="20" cy="5256"/>
                          </a:xfrm>
                          <a:prstGeom prst="bentConnector3">
                            <a:avLst>
                              <a:gd name="adj1" fmla="val 1140000"/>
                            </a:avLst>
                          </a:prstGeom>
                          <a:ln w="12700" cap="flat" cmpd="sng">
                            <a:solidFill>
                              <a:srgbClr val="000000"/>
                            </a:solidFill>
                            <a:prstDash val="solid"/>
                            <a:miter/>
                            <a:headEnd type="stealth" w="med" len="med"/>
                            <a:tailEnd type="stealth" w="med" len="med"/>
                          </a:ln>
                        </wps:spPr>
                        <wps:bodyPr/>
                      </wps:wsp>
                      <wps:wsp>
                        <wps:cNvPr id="186" name="直接箭头连接符 186"/>
                        <wps:cNvCnPr/>
                        <wps:spPr>
                          <a:xfrm>
                            <a:off x="4170" y="5213"/>
                            <a:ext cx="1" cy="512"/>
                          </a:xfrm>
                          <a:prstGeom prst="straightConnector1">
                            <a:avLst/>
                          </a:prstGeom>
                          <a:ln w="12700" cap="flat" cmpd="sng">
                            <a:solidFill>
                              <a:srgbClr val="000000"/>
                            </a:solidFill>
                            <a:prstDash val="solid"/>
                            <a:headEnd type="none" w="med" len="med"/>
                            <a:tailEnd type="stealth" w="med" len="med"/>
                          </a:ln>
                        </wps:spPr>
                        <wps:bodyPr/>
                      </wps:wsp>
                      <wps:wsp>
                        <wps:cNvPr id="187" name="肘形连接符 187"/>
                        <wps:cNvCnPr/>
                        <wps:spPr>
                          <a:xfrm rot="5400000" flipH="1" flipV="1">
                            <a:off x="4146" y="2578"/>
                            <a:ext cx="14" cy="5256"/>
                          </a:xfrm>
                          <a:prstGeom prst="bentConnector3">
                            <a:avLst>
                              <a:gd name="adj1" fmla="val -2571431"/>
                            </a:avLst>
                          </a:prstGeom>
                          <a:ln w="12700" cap="flat" cmpd="sng">
                            <a:solidFill>
                              <a:srgbClr val="000000"/>
                            </a:solidFill>
                            <a:prstDash val="solid"/>
                            <a:miter/>
                            <a:headEnd type="none" w="med" len="med"/>
                            <a:tailEnd type="none" w="med" len="med"/>
                          </a:ln>
                        </wps:spPr>
                        <wps:bodyPr/>
                      </wps:wsp>
                    </wpg:wgp>
                  </a:graphicData>
                </a:graphic>
              </wp:inline>
            </w:drawing>
          </mc:Choice>
          <mc:Fallback>
            <w:pict>
              <v:group id="_x0000_s1026" o:spid="_x0000_s1026" o:spt="203" style="height:274.5pt;width:411.8pt;" coordsize="8304,6262" o:gfxdata="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">
                <o:lock v:ext="edit" rotation="t" aspectratio="f"/>
                <v:rect id="_x0000_s1026" o:spid="_x0000_s1026" o:spt="1" style="position:absolute;left:0;top:0;height:6262;width:8304;" filled="f" stroked="f" coordsize="21600,21600" o:gfxdata="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NYO174A&#10;AADbAAAADwAAAAAAAAABACAAAAAiAAAAZHJzL2Rvd25yZXYueG1sUEsBAhQAFAAAAAgAh07iQDMv&#10;BZ47AAAAOQAAABAAAAAAAAAAAQAgAAAADQEAAGRycy9zaGFwZXhtbC54bWxQSwUGAAAAAAYABgBb&#10;AQAAtwMAAAAA&#10;">
                  <v:fill on="f" focussize="0,0"/>
                  <v:stroke on="f"/>
                  <v:imagedata o:title=""/>
                  <o:lock v:ext="edit" aspectratio="t"/>
                </v:rect>
                <v:rect id="_x0000_s1026" o:spid="_x0000_s1026" o:spt="1" style="position:absolute;left:3204;top:66;height:468;width:1932;v-text-anchor:middle;" filled="f" stroked="t" coordsize="21600,21600" o:gfxdata="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T9Q474A&#10;AADcAAAADwAAAAAAAAABACAAAAAiAAAAZHJzL2Rvd25yZXYueG1sUEsBAhQAFAAAAAgAh07iQDMv&#10;BZ47AAAAOQAAABAAAAAAAAAAAQAgAAAADQEAAGRycy9zaGFwZXhtbC54bWxQSwUGAAAAAAYABgBb&#10;AQAAtwMAAAAA&#10;">
                  <v:fill on="f" focussize="0,0"/>
                  <v:stroke weight="1pt" color="#000000" joinstyle="miter"/>
                  <v:imagedata o:title=""/>
                  <o:lock v:ext="edit" aspectratio="f"/>
                  <v:textbox inset="1mm,0.5mm,1mm,0.5mm">
                    <w:txbxContent>
                      <w:p>
                        <w:pPr>
                          <w:rPr>
                            <w:color w:val="000000"/>
                          </w:rPr>
                        </w:pPr>
                        <w:r>
                          <w:rPr>
                            <w:rFonts w:hint="eastAsia"/>
                            <w:color w:val="000000"/>
                          </w:rPr>
                          <w:t>地下水污染事故</w:t>
                        </w:r>
                      </w:p>
                    </w:txbxContent>
                  </v:textbox>
                </v:rect>
                <v:rect id="_x0000_s1026" o:spid="_x0000_s1026" o:spt="1" style="position:absolute;left:559;top:966;height:676;width:1932;v-text-anchor:middle;" filled="f" stroked="t" coordsize="21600,21600" o:gfxdata="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wfzCCugAAANwA&#10;AAAPAAAAAAAAAAEAIAAAACIAAABkcnMvZG93bnJldi54bWxQSwECFAAUAAAACACHTuJAMy8FnjsA&#10;AAA5AAAAEAAAAAAAAAABACAAAAAJAQAAZHJzL3NoYXBleG1sLnhtbFBLBQYAAAAABgAGAFsBAACz&#10;AwAAAAA=&#10;">
                  <v:fill on="f" focussize="0,0"/>
                  <v:stroke weight="1pt" color="#000000" joinstyle="miter"/>
                  <v:imagedata o:title=""/>
                  <o:lock v:ext="edit" aspectratio="f"/>
                  <v:textbox inset="1mm,0mm,1mm,1mm">
                    <w:txbxContent>
                      <w:p>
                        <w:pPr>
                          <w:pStyle w:val="31"/>
                          <w:spacing w:before="0" w:beforeAutospacing="0" w:after="0" w:afterAutospacing="0"/>
                        </w:pPr>
                        <w:r>
                          <w:rPr>
                            <w:rFonts w:hint="eastAsia" w:cs="Times New Roman"/>
                            <w:color w:val="000000"/>
                            <w:kern w:val="2"/>
                            <w:sz w:val="21"/>
                            <w:szCs w:val="21"/>
                          </w:rPr>
                          <w:t>控制事故现场，及时切断污染源</w:t>
                        </w:r>
                      </w:p>
                    </w:txbxContent>
                  </v:textbox>
                </v:rect>
                <v:rect id="_x0000_s1026" o:spid="_x0000_s1026" o:spt="1" style="position:absolute;left:3204;top:966;height:468;width:1932;v-text-anchor:middle;" filled="f" stroked="t" coordsize="21600,21600" o:gfxdata="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6oWsPugAAANwA&#10;AAAPAAAAAAAAAAEAIAAAACIAAABkcnMvZG93bnJldi54bWxQSwECFAAUAAAACACHTuJAMy8FnjsA&#10;AAA5AAAAEAAAAAAAAAABACAAAAAJAQAAZHJzL3NoYXBleG1sLnhtbFBLBQYAAAAABgAGAFsBAACz&#10;AwAAAAA=&#10;">
                  <v:fill on="f" focussize="0,0"/>
                  <v:stroke weight="1pt" color="#000000" joinstyle="miter"/>
                  <v:imagedata o:title=""/>
                  <o:lock v:ext="edit" aspectratio="f"/>
                  <v:textbox inset="1mm,0.5mm,1mm,0.5mm">
                    <w:txbxContent>
                      <w:p>
                        <w:pPr>
                          <w:pStyle w:val="31"/>
                          <w:spacing w:before="0" w:beforeAutospacing="0" w:after="0" w:afterAutospacing="0"/>
                          <w:jc w:val="center"/>
                        </w:pPr>
                        <w:r>
                          <w:rPr>
                            <w:rFonts w:hint="eastAsia" w:hAnsi="Times New Roman" w:cs="Times New Roman"/>
                            <w:color w:val="000000"/>
                            <w:kern w:val="2"/>
                            <w:sz w:val="21"/>
                            <w:szCs w:val="21"/>
                          </w:rPr>
                          <w:t>上报相关主管部门</w:t>
                        </w:r>
                      </w:p>
                    </w:txbxContent>
                  </v:textbox>
                </v:rect>
                <v:rect id="_x0000_s1026" o:spid="_x0000_s1026" o:spt="1" style="position:absolute;left:5815;top:1002;height:468;width:1932;v-text-anchor:middle;" filled="f" stroked="t" coordsize="21600,21600" o:gfxdata="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e3OlLsAAADc&#10;AAAADwAAAAAAAAABACAAAAAiAAAAZHJzL2Rvd25yZXYueG1sUEsBAhQAFAAAAAgAh07iQDMvBZ47&#10;AAAAOQAAABAAAAAAAAAAAQAgAAAACgEAAGRycy9zaGFwZXhtbC54bWxQSwUGAAAAAAYABgBbAQAA&#10;tAMAAAAA&#10;">
                  <v:fill on="f" focussize="0,0"/>
                  <v:stroke weight="1pt" color="#000000" joinstyle="miter"/>
                  <v:imagedata o:title=""/>
                  <o:lock v:ext="edit" aspectratio="f"/>
                  <v:textbox inset="1mm,0.5mm,1mm,0.5mm">
                    <w:txbxContent>
                      <w:p>
                        <w:pPr>
                          <w:pStyle w:val="31"/>
                          <w:spacing w:before="0" w:beforeAutospacing="0" w:after="0" w:afterAutospacing="0"/>
                          <w:jc w:val="center"/>
                        </w:pPr>
                        <w:r>
                          <w:rPr>
                            <w:rFonts w:hint="eastAsia" w:hAnsi="Times New Roman" w:cs="Times New Roman"/>
                            <w:color w:val="000000"/>
                            <w:kern w:val="2"/>
                            <w:sz w:val="21"/>
                            <w:szCs w:val="21"/>
                          </w:rPr>
                          <w:t>准备相关资料</w:t>
                        </w:r>
                      </w:p>
                    </w:txbxContent>
                  </v:textbox>
                </v:rect>
                <v:rect id="_x0000_s1026" o:spid="_x0000_s1026" o:spt="1" style="position:absolute;left:3204;top:1992;height:468;width:1932;v-text-anchor:middle;" filled="f" stroked="t" coordsize="21600,21600" o:gfxdata="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2gRW4LsAAADc&#10;AAAADwAAAAAAAAABACAAAAAiAAAAZHJzL2Rvd25yZXYueG1sUEsBAhQAFAAAAAgAh07iQDMvBZ47&#10;AAAAOQAAABAAAAAAAAAAAQAgAAAACgEAAGRycy9zaGFwZXhtbC54bWxQSwUGAAAAAAYABgBbAQAA&#10;tAMAAAAA&#10;">
                  <v:fill on="f" focussize="0,0"/>
                  <v:stroke weight="1pt" color="#000000" joinstyle="miter"/>
                  <v:imagedata o:title=""/>
                  <o:lock v:ext="edit" aspectratio="f"/>
                  <v:textbox inset="1mm,0.5mm,1mm,0.5mm">
                    <w:txbxContent>
                      <w:p>
                        <w:pPr>
                          <w:pStyle w:val="31"/>
                          <w:spacing w:before="0" w:beforeAutospacing="0" w:after="0" w:afterAutospacing="0"/>
                          <w:ind w:firstLine="420"/>
                          <w:jc w:val="center"/>
                        </w:pPr>
                        <w:r>
                          <w:rPr>
                            <w:rFonts w:hint="eastAsia" w:hAnsi="Times New Roman" w:cs="Times New Roman"/>
                            <w:color w:val="000000"/>
                            <w:kern w:val="2"/>
                            <w:sz w:val="21"/>
                            <w:szCs w:val="21"/>
                          </w:rPr>
                          <w:t>环境监测取样</w:t>
                        </w:r>
                      </w:p>
                    </w:txbxContent>
                  </v:textbox>
                </v:rect>
                <v:rect id="_x0000_s1026" o:spid="_x0000_s1026" o:spt="1" style="position:absolute;left:2412;top:2785;height:444;width:3511;v-text-anchor:middle;" filled="f" stroked="t" coordsize="21600,21600" o:gfxdata="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Ujze7sAAADc&#10;AAAADwAAAAAAAAABACAAAAAiAAAAZHJzL2Rvd25yZXYueG1sUEsBAhQAFAAAAAgAh07iQDMvBZ47&#10;AAAAOQAAABAAAAAAAAAAAQAgAAAACgEAAGRycy9zaGFwZXhtbC54bWxQSwUGAAAAAAYABgBbAQAA&#10;tAMAAAAA&#10;">
                  <v:fill on="f" focussize="0,0"/>
                  <v:stroke weight="1pt" color="#000000" joinstyle="miter"/>
                  <v:imagedata o:title=""/>
                  <o:lock v:ext="edit" aspectratio="f"/>
                  <v:textbox inset="1mm,0.5mm,1mm,0.5mm">
                    <w:txbxContent>
                      <w:p>
                        <w:pPr>
                          <w:pStyle w:val="31"/>
                          <w:spacing w:before="0" w:beforeAutospacing="0" w:after="0" w:afterAutospacing="0"/>
                          <w:ind w:firstLine="420"/>
                          <w:jc w:val="center"/>
                        </w:pPr>
                        <w:r>
                          <w:rPr>
                            <w:rFonts w:hint="eastAsia" w:hAnsi="Times New Roman" w:cs="Times New Roman"/>
                            <w:color w:val="000000"/>
                            <w:kern w:val="2"/>
                            <w:sz w:val="21"/>
                            <w:szCs w:val="21"/>
                          </w:rPr>
                          <w:t>进行详细调查方案确定污染范围</w:t>
                        </w:r>
                      </w:p>
                    </w:txbxContent>
                  </v:textbox>
                </v:rect>
                <v:rect id="_x0000_s1026" o:spid="_x0000_s1026" o:spt="1" style="position:absolute;left:3204;top:3567;height:712;width:1932;v-text-anchor:middle;" filled="f" stroked="t" coordsize="21600,21600" o:gfxdata="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nWGBbsAAADc&#10;AAAADwAAAAAAAAABACAAAAAiAAAAZHJzL2Rvd25yZXYueG1sUEsBAhQAFAAAAAgAh07iQDMvBZ47&#10;AAAAOQAAABAAAAAAAAAAAQAgAAAACgEAAGRycy9zaGFwZXhtbC54bWxQSwUGAAAAAAYABgBbAQAA&#10;tAMAAAAA&#10;">
                  <v:fill on="f" focussize="0,0"/>
                  <v:stroke weight="1pt" color="#000000" joinstyle="miter"/>
                  <v:imagedata o:title=""/>
                  <o:lock v:ext="edit" aspectratio="f"/>
                  <v:textbox inset="1mm,0.5mm,1mm,0.5mm">
                    <w:txbxContent>
                      <w:p>
                        <w:pPr>
                          <w:pStyle w:val="31"/>
                          <w:spacing w:before="0" w:beforeAutospacing="0" w:after="0" w:afterAutospacing="0"/>
                          <w:ind w:firstLine="420"/>
                        </w:pPr>
                        <w:r>
                          <w:rPr>
                            <w:rFonts w:hint="eastAsia" w:hAnsi="Times New Roman" w:cs="Times New Roman"/>
                            <w:color w:val="000000"/>
                            <w:kern w:val="2"/>
                            <w:sz w:val="21"/>
                            <w:szCs w:val="21"/>
                          </w:rPr>
                          <w:t>制定修复方案，进行方案审查</w:t>
                        </w:r>
                      </w:p>
                    </w:txbxContent>
                  </v:textbox>
                </v:rect>
                <v:rect id="_x0000_s1026" o:spid="_x0000_s1026" o:spt="1" style="position:absolute;left:559;top:4745;height:468;width:1932;v-text-anchor:middle;" filled="f" stroked="t" coordsize="21600,21600" o:gfxdata="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ipxhyugAAANwA&#10;AAAPAAAAAAAAAAEAIAAAACIAAABkcnMvZG93bnJldi54bWxQSwECFAAUAAAACACHTuJAMy8FnjsA&#10;AAA5AAAAEAAAAAAAAAABACAAAAAJAQAAZHJzL3NoYXBleG1sLnhtbFBLBQYAAAAABgAGAFsBAACz&#10;AwAAAAA=&#10;">
                  <v:fill on="f" focussize="0,0"/>
                  <v:stroke weight="1pt" color="#000000" joinstyle="miter"/>
                  <v:imagedata o:title=""/>
                  <o:lock v:ext="edit" aspectratio="f"/>
                  <v:textbox inset="1mm,0.5mm,1mm,0.5mm">
                    <w:txbxContent>
                      <w:p>
                        <w:pPr>
                          <w:pStyle w:val="31"/>
                          <w:spacing w:before="0" w:beforeAutospacing="0" w:after="0" w:afterAutospacing="0"/>
                          <w:ind w:firstLine="420"/>
                          <w:jc w:val="center"/>
                        </w:pPr>
                        <w:r>
                          <w:rPr>
                            <w:rFonts w:hint="eastAsia" w:hAnsi="Times New Roman" w:cs="Times New Roman"/>
                            <w:color w:val="000000"/>
                            <w:kern w:val="2"/>
                            <w:sz w:val="21"/>
                            <w:szCs w:val="21"/>
                          </w:rPr>
                          <w:t>实施修复方案</w:t>
                        </w:r>
                      </w:p>
                    </w:txbxContent>
                  </v:textbox>
                </v:rect>
                <v:rect id="_x0000_s1026" o:spid="_x0000_s1026" o:spt="1" style="position:absolute;left:3204;top:4745;height:468;width:1932;v-text-anchor:middle;" filled="f" stroked="t" coordsize="21600,21600" o:gfxdata="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eu96bsAAADc&#10;AAAADwAAAAAAAAABACAAAAAiAAAAZHJzL2Rvd25yZXYueG1sUEsBAhQAFAAAAAgAh07iQDMvBZ47&#10;AAAAOQAAABAAAAAAAAAAAQAgAAAACgEAAGRycy9zaGFwZXhtbC54bWxQSwUGAAAAAAYABgBbAQAA&#10;tAMAAAAA&#10;">
                  <v:fill on="f" focussize="0,0"/>
                  <v:stroke weight="1pt" color="#000000" joinstyle="miter"/>
                  <v:imagedata o:title=""/>
                  <o:lock v:ext="edit" aspectratio="f"/>
                  <v:textbox inset="1mm,0.5mm,1mm,0.5mm">
                    <w:txbxContent>
                      <w:p>
                        <w:pPr>
                          <w:pStyle w:val="31"/>
                          <w:spacing w:before="0" w:beforeAutospacing="0" w:after="0" w:afterAutospacing="0"/>
                          <w:ind w:firstLine="420"/>
                          <w:jc w:val="center"/>
                        </w:pPr>
                        <w:r>
                          <w:rPr>
                            <w:rFonts w:hint="eastAsia" w:hAnsi="Times New Roman" w:cs="Times New Roman"/>
                            <w:color w:val="000000"/>
                            <w:kern w:val="2"/>
                            <w:sz w:val="21"/>
                            <w:szCs w:val="21"/>
                          </w:rPr>
                          <w:t>进行跟踪监测</w:t>
                        </w:r>
                      </w:p>
                    </w:txbxContent>
                  </v:textbox>
                </v:rect>
                <v:rect id="_x0000_s1026" o:spid="_x0000_s1026" o:spt="1" style="position:absolute;left:5815;top:4731;height:468;width:1932;v-text-anchor:middle;" filled="f" stroked="t" coordsize="21600,21600" o:gfxdata="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gIlnbsAAADc&#10;AAAADwAAAAAAAAABACAAAAAiAAAAZHJzL2Rvd25yZXYueG1sUEsBAhQAFAAAAAgAh07iQDMvBZ47&#10;AAAAOQAAABAAAAAAAAAAAQAgAAAACgEAAGRycy9zaGFwZXhtbC54bWxQSwUGAAAAAAYABgBbAQAA&#10;tAMAAAAA&#10;">
                  <v:fill on="f" focussize="0,0"/>
                  <v:stroke weight="1pt" color="#000000" joinstyle="miter"/>
                  <v:imagedata o:title=""/>
                  <o:lock v:ext="edit" aspectratio="f"/>
                  <v:textbox inset="1mm,0.5mm,1mm,0.5mm">
                    <w:txbxContent>
                      <w:p>
                        <w:pPr>
                          <w:pStyle w:val="31"/>
                          <w:spacing w:before="0" w:beforeAutospacing="0" w:after="0" w:afterAutospacing="0"/>
                          <w:ind w:firstLine="420"/>
                          <w:jc w:val="center"/>
                        </w:pPr>
                        <w:r>
                          <w:rPr>
                            <w:rFonts w:hint="eastAsia" w:hAnsi="Times New Roman" w:cs="Times New Roman"/>
                            <w:color w:val="000000"/>
                            <w:kern w:val="2"/>
                            <w:sz w:val="21"/>
                            <w:szCs w:val="21"/>
                          </w:rPr>
                          <w:t>修复达到目标</w:t>
                        </w:r>
                      </w:p>
                    </w:txbxContent>
                  </v:textbox>
                </v:rect>
                <v:rect id="_x0000_s1026" o:spid="_x0000_s1026" o:spt="1" style="position:absolute;left:3204;top:5725;height:468;width:1932;v-text-anchor:middle;" filled="f" stroked="t" coordsize="21600,21600" o:gfxdata="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1OgAa8AAAA&#10;3AAAAA8AAAAAAAAAAQAgAAAAIgAAAGRycy9kb3ducmV2LnhtbFBLAQIUABQAAAAIAIdO4kAzLwWe&#10;OwAAADkAAAAQAAAAAAAAAAEAIAAAAAsBAABkcnMvc2hhcGV4bWwueG1sUEsFBgAAAAAGAAYAWwEA&#10;ALUDAAAAAA==&#10;">
                  <v:fill on="f" focussize="0,0"/>
                  <v:stroke weight="1pt" color="#000000" joinstyle="miter"/>
                  <v:imagedata o:title=""/>
                  <o:lock v:ext="edit" aspectratio="f"/>
                  <v:textbox inset="1mm,0.5mm,1mm,0.5mm">
                    <w:txbxContent>
                      <w:p>
                        <w:pPr>
                          <w:pStyle w:val="31"/>
                          <w:spacing w:before="0" w:beforeAutospacing="0" w:after="0" w:afterAutospacing="0"/>
                          <w:ind w:firstLine="420"/>
                          <w:jc w:val="center"/>
                        </w:pPr>
                        <w:r>
                          <w:rPr>
                            <w:rFonts w:hint="eastAsia" w:hAnsi="Times New Roman" w:cs="Times New Roman"/>
                            <w:color w:val="000000"/>
                            <w:kern w:val="2"/>
                            <w:sz w:val="21"/>
                            <w:szCs w:val="21"/>
                          </w:rPr>
                          <w:t>修复工程验收</w:t>
                        </w:r>
                      </w:p>
                    </w:txbxContent>
                  </v:textbox>
                </v:rect>
                <v:group id="组合 178" o:spid="_x0000_s1026" o:spt="203" style="position:absolute;left:1525;top:534;height:468;width:5256;" coordsize="5256,468" o:gfxdata="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pm1i2r0AAADcAAAADwAAAAAAAAABACAAAAAiAAAAZHJzL2Rvd25yZXYueG1s&#10;UEsBAhQAFAAAAAgAh07iQDMvBZ47AAAAOQAAABUAAAAAAAAAAQAgAAAADAEAAGRycy9ncm91cHNo&#10;YXBleG1sLnhtbFBLBQYAAAAABgAGAGABAADJAwAAAAA=&#10;">
                  <o:lock v:ext="edit" aspectratio="f"/>
                  <v:shape id="_x0000_s1026" o:spid="_x0000_s1026" o:spt="32" type="#_x0000_t32" style="position:absolute;left:2645;top:0;height:432;width:0;" filled="f" stroked="t" coordsize="21600,21600" o:gfxdata="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ZJ2KKvQAA&#10;ANwAAAAPAAAAAAAAAAEAIAAAACIAAABkcnMvZG93bnJldi54bWxQSwECFAAUAAAACACHTuJAMy8F&#10;njsAAAA5AAAAEAAAAAAAAAABACAAAAAMAQAAZHJzL3NoYXBleG1sLnhtbFBLBQYAAAAABgAGAFsB&#10;AAC2AwAAAAA=&#10;">
                    <v:fill on="f" focussize="0,0"/>
                    <v:stroke weight="1pt" color="#000000" joinstyle="round" endarrow="classic"/>
                    <v:imagedata o:title=""/>
                    <o:lock v:ext="edit" aspectratio="f"/>
                  </v:shape>
                  <v:shape id="_x0000_s1026" o:spid="_x0000_s1026" o:spt="34" type="#_x0000_t34" style="position:absolute;left:2610;top:-2178;flip:y;height:5256;width:36;rotation:-5898240f;" filled="f" stroked="t" coordsize="21600,21600" o:gfxdata="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76RO7sAAADc&#10;AAAADwAAAAAAAAABACAAAAAiAAAAZHJzL2Rvd25yZXYueG1sUEsBAhQAFAAAAAgAh07iQDMvBZ47&#10;AAAAOQAAABAAAAAAAAAAAQAgAAAACgEAAGRycy9zaGFwZXhtbC54bWxQSwUGAAAAAAYABgBbAQAA&#10;tAMAAAAA&#10;" adj="-151200">
                    <v:fill on="f" focussize="0,0"/>
                    <v:stroke weight="1pt" color="#000000" joinstyle="miter" startarrow="classic" endarrow="classic"/>
                    <v:imagedata o:title=""/>
                    <o:lock v:ext="edit" aspectratio="f"/>
                  </v:shape>
                </v:group>
                <v:group id="组合 181" o:spid="_x0000_s1026" o:spt="203" style="position:absolute;left:1525;top:1434;height:558;width:5256;" coordsize="5256,558" o:gfxdata="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phPquvwAAANwAAAAPAAAAAAAAAAEAIAAAACIAAABkcnMvZG93bnJldi54&#10;bWxQSwECFAAUAAAACACHTuJAMy8FnjsAAAA5AAAAFQAAAAAAAAABACAAAAAOAQAAZHJzL2dyb3Vw&#10;c2hhcGV4bWwueG1sUEsFBgAAAAAGAAYAYAEAAMsDAAAAAA==&#10;">
                  <o:lock v:ext="edit" aspectratio="f"/>
                  <v:shape id="_x0000_s1026" o:spid="_x0000_s1026" o:spt="34" type="#_x0000_t34" style="position:absolute;left:2542;top:-2506;flip:x y;height:5256;width:172;rotation:5898240f;" filled="f" stroked="t" coordsize="21600,21600" o:gfxdata="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UNNf7sAAADc&#10;AAAADwAAAAAAAAABACAAAAAiAAAAZHJzL2Rvd25yZXYueG1sUEsBAhQAFAAAAAgAh07iQDMvBZ47&#10;AAAAOQAAABAAAAAAAAAAAQAgAAAACgEAAGRycy9zaGFwZXhtbC54bWxQSwUGAAAAAAYABgBbAQAA&#10;tAMAAAAA&#10;" adj="-13438">
                    <v:fill on="f" focussize="0,0"/>
                    <v:stroke weight="1pt" color="#000000" joinstyle="miter"/>
                    <v:imagedata o:title=""/>
                    <o:lock v:ext="edit" aspectratio="f"/>
                  </v:shape>
                  <v:shape id="_x0000_s1026" o:spid="_x0000_s1026" o:spt="32" type="#_x0000_t32" style="position:absolute;left:2645;top:0;height:558;width:0;" filled="f" stroked="t" coordsize="21600,21600" o:gfxdata="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MVy9CvQAA&#10;ANwAAAAPAAAAAAAAAAEAIAAAACIAAABkcnMvZG93bnJldi54bWxQSwECFAAUAAAACACHTuJAMy8F&#10;njsAAAA5AAAAEAAAAAAAAAABACAAAAAMAQAAZHJzL3NoYXBleG1sLnhtbFBLBQYAAAAABgAGAFsB&#10;AAC2AwAAAAA=&#10;">
                    <v:fill on="f" focussize="0,0"/>
                    <v:stroke weight="1pt" color="#000000" joinstyle="round" endarrow="classic"/>
                    <v:imagedata o:title=""/>
                    <o:lock v:ext="edit" aspectratio="f"/>
                  </v:shape>
                </v:group>
                <v:shape id="_x0000_s1026" o:spid="_x0000_s1026" o:spt="32" type="#_x0000_t32" style="position:absolute;left:4168;top:2460;flip:x;height:325;width:2;" filled="f" stroked="t" coordsize="21600,21600" o:gfxdata="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0CZDrsAAADc&#10;AAAADwAAAAAAAAABACAAAAAiAAAAZHJzL2Rvd25yZXYueG1sUEsBAhQAFAAAAAgAh07iQDMvBZ47&#10;AAAAOQAAABAAAAAAAAAAAQAgAAAACgEAAGRycy9zaGFwZXhtbC54bWxQSwUGAAAAAAYABgBbAQAA&#10;tAMAAAAA&#10;">
                  <v:fill on="f" focussize="0,0"/>
                  <v:stroke weight="1pt" color="#000000" joinstyle="round" endarrow="classic"/>
                  <v:imagedata o:title=""/>
                  <o:lock v:ext="edit" aspectratio="f"/>
                </v:shape>
                <v:shape id="_x0000_s1026" o:spid="_x0000_s1026" o:spt="32" type="#_x0000_t32" style="position:absolute;left:4168;top:3229;height:338;width:2;" filled="f" stroked="t" coordsize="21600,21600" o:gfxdata="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8hbE1vQAA&#10;ANwAAAAPAAAAAAAAAAEAIAAAACIAAABkcnMvZG93bnJldi54bWxQSwECFAAUAAAACACHTuJAMy8F&#10;njsAAAA5AAAAEAAAAAAAAAABACAAAAAMAQAAZHJzL3NoYXBleG1sLnhtbFBLBQYAAAAABgAGAFsB&#10;AAC2AwAAAAA=&#10;">
                  <v:fill on="f" focussize="0,0"/>
                  <v:stroke weight="1pt" color="#000000" joinstyle="round" endarrow="classic"/>
                  <v:imagedata o:title=""/>
                  <o:lock v:ext="edit" aspectratio="f"/>
                </v:shape>
                <v:shape id="_x0000_s1026" o:spid="_x0000_s1026" o:spt="32" type="#_x0000_t32" style="position:absolute;left:4170;top:4290;flip:x;height:455;width:1;" filled="f" stroked="t" coordsize="21600,21600" o:gfxdata="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Wk4bsAAADc&#10;AAAADwAAAAAAAAABACAAAAAiAAAAZHJzL2Rvd25yZXYueG1sUEsBAhQAFAAAAAgAh07iQDMvBZ47&#10;AAAAOQAAABAAAAAAAAAAAQAgAAAACgEAAGRycy9zaGFwZXhtbC54bWxQSwUGAAAAAAYABgBbAQAA&#10;tAMAAAAA&#10;">
                  <v:fill on="f" focussize="0,0"/>
                  <v:stroke weight="1pt" color="#000000" joinstyle="round" endarrow="classic"/>
                  <v:imagedata o:title=""/>
                  <o:lock v:ext="edit" aspectratio="f"/>
                </v:shape>
                <v:shape id="_x0000_s1026" o:spid="_x0000_s1026" o:spt="34" type="#_x0000_t34" style="position:absolute;left:4153;top:2107;flip:x y;height:5256;width:20;rotation:5898240f;" filled="f" stroked="t" coordsize="21600,21600" o:gfxdata="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dugbsAAADc&#10;AAAADwAAAAAAAAABACAAAAAiAAAAZHJzL2Rvd25yZXYueG1sUEsBAhQAFAAAAAgAh07iQDMvBZ47&#10;AAAAOQAAABAAAAAAAAAAAQAgAAAACgEAAGRycy9zaGFwZXhtbC54bWxQSwUGAAAAAAYABgBbAQAA&#10;tAMAAAAA&#10;" adj="246240">
                  <v:fill on="f" focussize="0,0"/>
                  <v:stroke weight="1pt" color="#000000" joinstyle="miter" startarrow="classic" endarrow="classic"/>
                  <v:imagedata o:title=""/>
                  <o:lock v:ext="edit" aspectratio="f"/>
                </v:shape>
                <v:shape id="_x0000_s1026" o:spid="_x0000_s1026" o:spt="32" type="#_x0000_t32" style="position:absolute;left:4170;top:5213;height:512;width:1;" filled="f" stroked="t" coordsize="21600,21600" o:gfxdata="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PISrb4A&#10;AADcAAAADwAAAAAAAAABACAAAAAiAAAAZHJzL2Rvd25yZXYueG1sUEsBAhQAFAAAAAgAh07iQDMv&#10;BZ47AAAAOQAAABAAAAAAAAAAAQAgAAAADQEAAGRycy9zaGFwZXhtbC54bWxQSwUGAAAAAAYABgBb&#10;AQAAtwMAAAAA&#10;">
                  <v:fill on="f" focussize="0,0"/>
                  <v:stroke weight="1pt" color="#000000" joinstyle="round" endarrow="classic"/>
                  <v:imagedata o:title=""/>
                  <o:lock v:ext="edit" aspectratio="f"/>
                </v:shape>
                <v:shape id="_x0000_s1026" o:spid="_x0000_s1026" o:spt="34" type="#_x0000_t34" style="position:absolute;left:4146;top:2578;flip:x y;height:5256;width:14;rotation:5898240f;" filled="f" stroked="t" coordsize="21600,21600" o:gfxdata="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4bersAAADc&#10;AAAADwAAAAAAAAABACAAAAAiAAAAZHJzL2Rvd25yZXYueG1sUEsBAhQAFAAAAAgAh07iQDMvBZ47&#10;AAAAOQAAABAAAAAAAAAAAQAgAAAACgEAAGRycy9zaGFwZXhtbC54bWxQSwUGAAAAAAYABgBbAQAA&#10;tAMAAAAA&#10;" adj="-555429">
                  <v:fill on="f" focussize="0,0"/>
                  <v:stroke weight="1pt" color="#000000" joinstyle="miter"/>
                  <v:imagedata o:title=""/>
                  <o:lock v:ext="edit" aspectratio="f"/>
                </v:shape>
                <w10:wrap type="none"/>
                <w10:anchorlock/>
              </v:group>
            </w:pict>
          </mc:Fallback>
        </mc:AlternateConten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图5.7-2 地下水污染应急治理程序</w:t>
      </w:r>
    </w:p>
    <w:p>
      <w:pPr>
        <w:spacing w:line="360" w:lineRule="auto"/>
        <w:ind w:firstLine="480"/>
        <w:rPr>
          <w:rFonts w:hAnsi="Times New Roman" w:eastAsia="宋体"/>
        </w:rPr>
      </w:pPr>
      <w:bookmarkStart w:id="416" w:name="_Toc480413460"/>
      <w:bookmarkStart w:id="417" w:name="_Toc408589623"/>
      <w:r>
        <w:rPr>
          <w:rFonts w:hAnsi="Times New Roman" w:eastAsia="宋体"/>
        </w:rPr>
        <w:t>制定风险事故应急预案的目的是为了在发生风险事故时，能以最快的速度发挥最大的效能，有序地实施救援，尽快控制事态的发展，降低事故对地下水的污染。因此，建设单位应根据《中华人民共和国水污染防治法》编制相应的应急方案，并按照《关于印发</w:t>
      </w:r>
      <w:r>
        <w:rPr>
          <w:rFonts w:hint="eastAsia" w:hAnsi="Times New Roman" w:eastAsia="宋体"/>
          <w:lang w:eastAsia="zh-CN"/>
        </w:rPr>
        <w:t>〈</w:t>
      </w:r>
      <w:r>
        <w:rPr>
          <w:rFonts w:hAnsi="Times New Roman" w:eastAsia="宋体"/>
        </w:rPr>
        <w:t>企业突发环境事件风险评估指南</w:t>
      </w:r>
      <w:r>
        <w:rPr>
          <w:rFonts w:hint="eastAsia" w:hAnsi="Times New Roman" w:eastAsia="宋体"/>
          <w:lang w:eastAsia="zh-CN"/>
        </w:rPr>
        <w:t>（</w:t>
      </w:r>
      <w:r>
        <w:rPr>
          <w:rFonts w:hAnsi="Times New Roman" w:eastAsia="宋体"/>
        </w:rPr>
        <w:t>试行</w:t>
      </w:r>
      <w:r>
        <w:rPr>
          <w:rFonts w:hint="eastAsia" w:hAnsi="Times New Roman" w:eastAsia="宋体"/>
          <w:lang w:eastAsia="zh-CN"/>
        </w:rPr>
        <w:t>）〉</w:t>
      </w:r>
      <w:r>
        <w:rPr>
          <w:rFonts w:hAnsi="Times New Roman" w:eastAsia="宋体"/>
        </w:rPr>
        <w:t>的通知》</w:t>
      </w:r>
      <w:r>
        <w:rPr>
          <w:rFonts w:hint="eastAsia" w:hAnsi="Times New Roman" w:eastAsia="宋体"/>
          <w:lang w:eastAsia="zh-CN"/>
        </w:rPr>
        <w:t>（</w:t>
      </w:r>
      <w:r>
        <w:rPr>
          <w:rFonts w:hAnsi="Times New Roman" w:eastAsia="宋体"/>
        </w:rPr>
        <w:t>环办</w:t>
      </w:r>
      <w:r>
        <w:rPr>
          <w:rFonts w:hint="eastAsia" w:hAnsi="Times New Roman" w:eastAsia="宋体"/>
          <w:lang w:eastAsia="zh-CN"/>
        </w:rPr>
        <w:t>〔</w:t>
      </w:r>
      <w:r>
        <w:rPr>
          <w:rFonts w:hAnsi="Times New Roman" w:eastAsia="宋体"/>
        </w:rPr>
        <w:t>2014</w:t>
      </w:r>
      <w:r>
        <w:rPr>
          <w:rFonts w:hint="eastAsia" w:hAnsi="Times New Roman" w:eastAsia="宋体"/>
          <w:lang w:eastAsia="zh-CN"/>
        </w:rPr>
        <w:t>〕</w:t>
      </w:r>
      <w:r>
        <w:rPr>
          <w:rFonts w:hAnsi="Times New Roman" w:eastAsia="宋体"/>
        </w:rPr>
        <w:t>34号</w:t>
      </w:r>
      <w:r>
        <w:rPr>
          <w:rFonts w:hint="eastAsia" w:hAnsi="Times New Roman" w:eastAsia="宋体"/>
          <w:lang w:eastAsia="zh-CN"/>
        </w:rPr>
        <w:t>）</w:t>
      </w:r>
      <w:r>
        <w:rPr>
          <w:rFonts w:hAnsi="Times New Roman" w:eastAsia="宋体"/>
        </w:rPr>
        <w:t>，将地下水风险纳入建设单位环境风险事故评估中，防止对周围地下水环境造成污染。针对应急工作需要，参照相关技术导则，结合地下水污染治理的技术特点，制定地下水污染应急治理程序见图5.7-2。</w:t>
      </w:r>
    </w:p>
    <w:p>
      <w:pPr>
        <w:pStyle w:val="6"/>
      </w:pPr>
      <w:bookmarkStart w:id="418" w:name="_Toc163812618"/>
      <w:bookmarkStart w:id="419" w:name="_Toc167095241"/>
      <w:r>
        <w:t>5.7.3地下水环保投资估算</w:t>
      </w:r>
      <w:bookmarkEnd w:id="416"/>
      <w:bookmarkEnd w:id="417"/>
      <w:bookmarkEnd w:id="418"/>
      <w:bookmarkEnd w:id="419"/>
    </w:p>
    <w:p>
      <w:pPr>
        <w:spacing w:line="360" w:lineRule="auto"/>
        <w:ind w:firstLine="480"/>
        <w:rPr>
          <w:rFonts w:hAnsi="Times New Roman" w:eastAsia="宋体"/>
        </w:rPr>
      </w:pPr>
      <w:r>
        <w:rPr>
          <w:rFonts w:hAnsi="Times New Roman" w:eastAsia="宋体"/>
        </w:rPr>
        <w:t>本项目地下水环保措施如场地防渗，重点防渗区及一般防渗区投资计入工程投资；地下水环境跟踪监测预计费用为1</w:t>
      </w:r>
      <w:r>
        <w:rPr>
          <w:rFonts w:hAnsi="Times New Roman" w:eastAsia="宋体"/>
          <w:lang w:eastAsia="zh-CN"/>
        </w:rPr>
        <w:t>2</w:t>
      </w:r>
      <w:r>
        <w:rPr>
          <w:rFonts w:hAnsi="Times New Roman" w:eastAsia="宋体"/>
        </w:rPr>
        <w:t>万元。投资估算详见表5.7-2。</w:t>
      </w:r>
    </w:p>
    <w:p>
      <w:pPr>
        <w:pStyle w:val="14"/>
        <w:tabs>
          <w:tab w:val="left" w:pos="3718"/>
        </w:tabs>
        <w:overflowPunct w:val="0"/>
        <w:spacing w:line="360" w:lineRule="auto"/>
        <w:jc w:val="center"/>
        <w:rPr>
          <w:rFonts w:ascii="Times New Roman" w:hAnsi="Times New Roman"/>
          <w:b/>
          <w:bCs w:val="0"/>
          <w:spacing w:val="-2"/>
          <w:sz w:val="21"/>
          <w:szCs w:val="21"/>
        </w:rPr>
      </w:pPr>
      <w:r>
        <w:rPr>
          <w:rFonts w:ascii="Times New Roman" w:hAnsi="Times New Roman"/>
          <w:b/>
          <w:bCs w:val="0"/>
          <w:spacing w:val="-2"/>
          <w:sz w:val="21"/>
          <w:szCs w:val="21"/>
        </w:rPr>
        <w:t>表5.7-2 地下水环保投资估算（单位：万元）</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2"/>
        <w:gridCol w:w="5944"/>
        <w:gridCol w:w="26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397"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1</w:t>
            </w:r>
          </w:p>
        </w:tc>
        <w:tc>
          <w:tcPr>
            <w:tcW w:w="3181"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项目防渗措施</w:t>
            </w:r>
          </w:p>
        </w:tc>
        <w:tc>
          <w:tcPr>
            <w:tcW w:w="1422"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计入本项目环保投资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397"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2</w:t>
            </w:r>
          </w:p>
        </w:tc>
        <w:tc>
          <w:tcPr>
            <w:tcW w:w="3181"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布设3个地下水监测点（2口监测井，1个背景值监测点）</w:t>
            </w:r>
          </w:p>
        </w:tc>
        <w:tc>
          <w:tcPr>
            <w:tcW w:w="1422"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397"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3</w:t>
            </w:r>
          </w:p>
        </w:tc>
        <w:tc>
          <w:tcPr>
            <w:tcW w:w="3181"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水位、水质动态监测预留费（每半年监测1次，共监测3个点）</w:t>
            </w:r>
          </w:p>
        </w:tc>
        <w:tc>
          <w:tcPr>
            <w:tcW w:w="1422"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397"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4</w:t>
            </w:r>
          </w:p>
        </w:tc>
        <w:tc>
          <w:tcPr>
            <w:tcW w:w="3181"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rPr>
            </w:pPr>
            <w:r>
              <w:rPr>
                <w:rFonts w:hint="eastAsia" w:hAnsi="Times New Roman" w:eastAsia="宋体"/>
                <w:kern w:val="2"/>
                <w:szCs w:val="22"/>
              </w:rPr>
              <w:t>合计</w:t>
            </w:r>
          </w:p>
        </w:tc>
        <w:tc>
          <w:tcPr>
            <w:tcW w:w="1422" w:type="pct"/>
            <w:vAlign w:val="center"/>
          </w:tcPr>
          <w:p>
            <w:pPr>
              <w:pStyle w:val="62"/>
              <w:keepNext w:val="0"/>
              <w:keepLines w:val="0"/>
              <w:suppressLineNumbers w:val="0"/>
              <w:spacing w:before="0" w:beforeAutospacing="0" w:after="0" w:afterAutospacing="0"/>
              <w:ind w:left="0" w:right="0"/>
              <w:rPr>
                <w:rFonts w:hint="eastAsia" w:hAnsi="Times New Roman" w:eastAsia="宋体"/>
                <w:kern w:val="2"/>
                <w:szCs w:val="22"/>
                <w:lang w:eastAsia="zh-CN"/>
              </w:rPr>
            </w:pPr>
            <w:r>
              <w:rPr>
                <w:rFonts w:hint="eastAsia" w:hAnsi="Times New Roman" w:eastAsia="宋体"/>
                <w:kern w:val="2"/>
                <w:szCs w:val="22"/>
              </w:rPr>
              <w:t>1</w:t>
            </w:r>
            <w:r>
              <w:rPr>
                <w:rFonts w:hint="eastAsia" w:hAnsi="Times New Roman" w:eastAsia="宋体"/>
                <w:kern w:val="2"/>
                <w:szCs w:val="22"/>
                <w:lang w:eastAsia="zh-CN"/>
              </w:rPr>
              <w:t>2</w:t>
            </w:r>
          </w:p>
        </w:tc>
      </w:tr>
    </w:tbl>
    <w:p>
      <w:pPr>
        <w:spacing w:line="360" w:lineRule="auto"/>
        <w:ind w:firstLine="480" w:firstLineChars="200"/>
        <w:rPr>
          <w:rFonts w:hAnsi="Times New Roman" w:eastAsia="宋体"/>
          <w:lang w:eastAsia="zh-CN"/>
        </w:rPr>
        <w:sectPr>
          <w:pgSz w:w="11905" w:h="16838"/>
          <w:pgMar w:top="1440" w:right="1304" w:bottom="1440" w:left="1474" w:header="850" w:footer="992" w:gutter="0"/>
          <w:cols w:space="0" w:num="1"/>
          <w:docGrid w:type="lines" w:linePitch="338" w:charSpace="0"/>
        </w:sectPr>
      </w:pPr>
    </w:p>
    <w:p>
      <w:pPr>
        <w:pStyle w:val="4"/>
        <w:rPr>
          <w:lang w:eastAsia="zh-CN"/>
        </w:rPr>
      </w:pPr>
      <w:bookmarkStart w:id="420" w:name="_Toc163749176"/>
      <w:bookmarkStart w:id="421" w:name="_Toc167095242"/>
      <w:r>
        <w:rPr>
          <w:lang w:eastAsia="zh-CN"/>
        </w:rPr>
        <w:t>6 地表水环境影响评价</w:t>
      </w:r>
      <w:bookmarkEnd w:id="420"/>
      <w:bookmarkEnd w:id="421"/>
    </w:p>
    <w:p>
      <w:pPr>
        <w:pStyle w:val="5"/>
        <w:rPr>
          <w:rFonts w:ascii="Times New Roman" w:hAnsi="Times New Roman"/>
          <w:szCs w:val="22"/>
          <w:lang w:eastAsia="zh-CN"/>
        </w:rPr>
      </w:pPr>
      <w:bookmarkStart w:id="422" w:name="_Toc167095243"/>
      <w:bookmarkStart w:id="423" w:name="_Toc163749177"/>
      <w:bookmarkStart w:id="424" w:name="_Toc16473"/>
      <w:r>
        <w:rPr>
          <w:rFonts w:hint="eastAsia" w:ascii="Times New Roman" w:hAnsi="Times New Roman"/>
          <w:szCs w:val="22"/>
          <w:lang w:eastAsia="zh-CN"/>
        </w:rPr>
        <w:t>6</w:t>
      </w:r>
      <w:r>
        <w:rPr>
          <w:rFonts w:ascii="Times New Roman" w:hAnsi="Times New Roman"/>
          <w:szCs w:val="22"/>
          <w:lang w:eastAsia="zh-CN"/>
        </w:rPr>
        <w:t>.1 地表水环境质量现状</w:t>
      </w:r>
      <w:bookmarkEnd w:id="422"/>
      <w:bookmarkEnd w:id="423"/>
      <w:bookmarkEnd w:id="424"/>
    </w:p>
    <w:p>
      <w:pPr>
        <w:pStyle w:val="6"/>
        <w:rPr>
          <w:szCs w:val="22"/>
          <w:lang w:eastAsia="zh-CN"/>
        </w:rPr>
      </w:pPr>
      <w:bookmarkStart w:id="425" w:name="_Toc167095244"/>
      <w:bookmarkStart w:id="426" w:name="_Toc163812621"/>
      <w:r>
        <w:rPr>
          <w:rFonts w:hint="eastAsia"/>
          <w:szCs w:val="22"/>
          <w:lang w:eastAsia="zh-CN"/>
        </w:rPr>
        <w:t>6</w:t>
      </w:r>
      <w:r>
        <w:rPr>
          <w:szCs w:val="22"/>
          <w:lang w:eastAsia="zh-CN"/>
        </w:rPr>
        <w:t>.1.1 地表水环境污染源现状调查</w:t>
      </w:r>
      <w:bookmarkEnd w:id="425"/>
      <w:bookmarkEnd w:id="426"/>
    </w:p>
    <w:p>
      <w:pPr>
        <w:pStyle w:val="14"/>
        <w:overflowPunct w:val="0"/>
        <w:spacing w:line="360" w:lineRule="auto"/>
        <w:ind w:right="224" w:firstLine="460"/>
        <w:jc w:val="left"/>
        <w:rPr>
          <w:rFonts w:ascii="Times New Roman" w:hAnsi="Times New Roman"/>
          <w:sz w:val="24"/>
          <w:lang w:eastAsia="zh-CN"/>
        </w:rPr>
      </w:pPr>
      <w:r>
        <w:rPr>
          <w:rFonts w:ascii="Times New Roman" w:hAnsi="Times New Roman"/>
          <w:sz w:val="24"/>
          <w:lang w:eastAsia="zh-CN"/>
        </w:rPr>
        <w:t>（1）本项目入河排污口设置情况</w:t>
      </w:r>
    </w:p>
    <w:p>
      <w:pPr>
        <w:spacing w:line="360" w:lineRule="auto"/>
        <w:ind w:firstLine="480" w:firstLineChars="200"/>
        <w:rPr>
          <w:rFonts w:hAnsi="Times New Roman" w:eastAsia="宋体"/>
          <w:szCs w:val="22"/>
          <w:lang w:eastAsia="zh-CN"/>
        </w:rPr>
      </w:pPr>
      <w:r>
        <w:rPr>
          <w:rFonts w:hAnsi="Times New Roman" w:eastAsia="宋体"/>
          <w:szCs w:val="22"/>
          <w:lang w:eastAsia="zh-CN"/>
        </w:rPr>
        <w:t>入河排污口地理位置：</w:t>
      </w:r>
      <w:r>
        <w:rPr>
          <w:rFonts w:hAnsi="Times New Roman" w:eastAsia="宋体"/>
          <w:lang w:eastAsia="zh-CN"/>
        </w:rPr>
        <w:t>达州市宣汉县天生镇</w:t>
      </w:r>
      <w:r>
        <w:rPr>
          <w:rFonts w:hint="eastAsia" w:hAnsi="Times New Roman" w:eastAsia="宋体"/>
          <w:lang w:eastAsia="zh-CN"/>
        </w:rPr>
        <w:t>塔坝村一组</w:t>
      </w:r>
      <w:r>
        <w:rPr>
          <w:rFonts w:hAnsi="Times New Roman" w:eastAsia="宋体"/>
          <w:szCs w:val="22"/>
          <w:lang w:eastAsia="zh-CN"/>
        </w:rPr>
        <w:t>，坐标：东经</w:t>
      </w:r>
      <w:r>
        <w:rPr>
          <w:rFonts w:hint="eastAsia" w:hAnsi="Times New Roman" w:eastAsia="宋体"/>
          <w:szCs w:val="22"/>
          <w:lang w:eastAsia="zh-CN"/>
        </w:rPr>
        <w:t>107.720023256</w:t>
      </w:r>
      <w:r>
        <w:rPr>
          <w:rFonts w:hAnsi="Times New Roman" w:eastAsia="宋体"/>
          <w:szCs w:val="22"/>
          <w:lang w:eastAsia="zh-CN"/>
        </w:rPr>
        <w:t>，北纬</w:t>
      </w:r>
      <w:r>
        <w:rPr>
          <w:rFonts w:hint="eastAsia" w:hAnsi="Times New Roman" w:eastAsia="宋体"/>
          <w:szCs w:val="22"/>
          <w:lang w:eastAsia="zh-CN"/>
        </w:rPr>
        <w:t>31.195051547</w:t>
      </w:r>
      <w:r>
        <w:rPr>
          <w:rFonts w:hAnsi="Times New Roman" w:eastAsia="宋体"/>
          <w:szCs w:val="22"/>
          <w:lang w:eastAsia="zh-CN"/>
        </w:rPr>
        <w:t xml:space="preserve"> </w:t>
      </w:r>
    </w:p>
    <w:p>
      <w:pPr>
        <w:spacing w:line="360" w:lineRule="auto"/>
        <w:ind w:firstLine="480" w:firstLineChars="200"/>
        <w:rPr>
          <w:rFonts w:hAnsi="Times New Roman" w:eastAsia="宋体"/>
          <w:szCs w:val="22"/>
          <w:lang w:eastAsia="zh-CN"/>
        </w:rPr>
      </w:pPr>
      <w:r>
        <w:rPr>
          <w:rFonts w:hAnsi="Times New Roman" w:eastAsia="宋体"/>
          <w:szCs w:val="22"/>
          <w:lang w:eastAsia="zh-CN"/>
        </w:rPr>
        <w:t>入河排污口类型：企业矿井涌水入河排污口</w:t>
      </w:r>
    </w:p>
    <w:p>
      <w:pPr>
        <w:spacing w:line="360" w:lineRule="auto"/>
        <w:ind w:firstLine="480" w:firstLineChars="200"/>
        <w:rPr>
          <w:rFonts w:hAnsi="Times New Roman" w:eastAsia="宋体"/>
          <w:szCs w:val="22"/>
          <w:lang w:eastAsia="zh-CN"/>
        </w:rPr>
      </w:pPr>
      <w:r>
        <w:rPr>
          <w:rFonts w:hAnsi="Times New Roman" w:eastAsia="宋体"/>
          <w:szCs w:val="22"/>
          <w:lang w:eastAsia="zh-CN"/>
        </w:rPr>
        <w:t xml:space="preserve">排放方式：连续排放 </w:t>
      </w:r>
    </w:p>
    <w:p>
      <w:pPr>
        <w:spacing w:line="360" w:lineRule="auto"/>
        <w:ind w:firstLine="480" w:firstLineChars="200"/>
        <w:rPr>
          <w:rFonts w:hAnsi="Times New Roman" w:eastAsia="宋体"/>
          <w:szCs w:val="22"/>
          <w:lang w:eastAsia="zh-CN"/>
        </w:rPr>
      </w:pPr>
      <w:r>
        <w:rPr>
          <w:rFonts w:hAnsi="Times New Roman" w:eastAsia="宋体"/>
          <w:szCs w:val="22"/>
          <w:lang w:eastAsia="zh-CN"/>
        </w:rPr>
        <w:t>入河方式：管道排放</w:t>
      </w:r>
    </w:p>
    <w:p>
      <w:pPr>
        <w:spacing w:line="360" w:lineRule="auto"/>
        <w:ind w:firstLine="480" w:firstLineChars="200"/>
        <w:rPr>
          <w:rFonts w:hAnsi="Times New Roman" w:eastAsia="宋体"/>
          <w:szCs w:val="22"/>
          <w:lang w:eastAsia="zh-CN"/>
        </w:rPr>
      </w:pPr>
      <w:r>
        <w:rPr>
          <w:rFonts w:hAnsi="Times New Roman" w:eastAsia="宋体"/>
          <w:szCs w:val="22"/>
          <w:lang w:eastAsia="zh-CN"/>
        </w:rPr>
        <w:t>排放废水量：</w:t>
      </w:r>
      <w:r>
        <w:rPr>
          <w:rFonts w:hint="eastAsia" w:hAnsi="Times New Roman" w:eastAsia="宋体"/>
          <w:szCs w:val="22"/>
          <w:lang w:eastAsia="zh-CN"/>
        </w:rPr>
        <w:t>125.76</w:t>
      </w:r>
      <w:r>
        <w:rPr>
          <w:rFonts w:hAnsi="Times New Roman" w:eastAsia="宋体"/>
          <w:szCs w:val="22"/>
          <w:lang w:eastAsia="zh-CN"/>
        </w:rPr>
        <w:t>m</w:t>
      </w:r>
      <w:r>
        <w:rPr>
          <w:rFonts w:hint="eastAsia" w:hAnsi="Times New Roman" w:eastAsia="宋体"/>
          <w:szCs w:val="22"/>
          <w:vertAlign w:val="superscript"/>
          <w:lang w:eastAsia="zh-CN"/>
        </w:rPr>
        <w:t>3</w:t>
      </w:r>
      <w:r>
        <w:rPr>
          <w:rFonts w:hAnsi="Times New Roman" w:eastAsia="宋体"/>
          <w:szCs w:val="22"/>
          <w:lang w:eastAsia="zh-CN"/>
        </w:rPr>
        <w:t>/h（</w:t>
      </w:r>
      <w:r>
        <w:rPr>
          <w:rFonts w:hint="eastAsia" w:hAnsi="Times New Roman" w:eastAsia="宋体"/>
          <w:szCs w:val="22"/>
          <w:lang w:eastAsia="zh-CN"/>
        </w:rPr>
        <w:t>3018.186</w:t>
      </w:r>
      <w:r>
        <w:rPr>
          <w:rFonts w:hAnsi="Times New Roman" w:eastAsia="宋体"/>
          <w:szCs w:val="22"/>
          <w:lang w:eastAsia="zh-CN"/>
        </w:rPr>
        <w:t>m</w:t>
      </w:r>
      <w:r>
        <w:rPr>
          <w:rFonts w:hAnsi="Times New Roman" w:eastAsia="宋体"/>
          <w:szCs w:val="22"/>
          <w:vertAlign w:val="superscript"/>
          <w:lang w:eastAsia="zh-CN"/>
        </w:rPr>
        <w:t>3</w:t>
      </w:r>
      <w:r>
        <w:rPr>
          <w:rFonts w:hAnsi="Times New Roman" w:eastAsia="宋体"/>
          <w:szCs w:val="22"/>
          <w:lang w:eastAsia="zh-CN"/>
        </w:rPr>
        <w:t>/d），</w:t>
      </w:r>
      <w:r>
        <w:rPr>
          <w:rFonts w:hint="eastAsia" w:hAnsi="Times New Roman" w:eastAsia="宋体"/>
          <w:szCs w:val="22"/>
          <w:lang w:eastAsia="zh-CN"/>
        </w:rPr>
        <w:t>110.16</w:t>
      </w:r>
      <w:r>
        <w:rPr>
          <w:rFonts w:hAnsi="Times New Roman" w:eastAsia="宋体"/>
          <w:szCs w:val="22"/>
          <w:lang w:eastAsia="zh-CN"/>
        </w:rPr>
        <w:t>万m</w:t>
      </w:r>
      <w:r>
        <w:rPr>
          <w:rFonts w:hAnsi="Times New Roman" w:eastAsia="宋体"/>
          <w:szCs w:val="22"/>
          <w:vertAlign w:val="superscript"/>
          <w:lang w:eastAsia="zh-CN"/>
        </w:rPr>
        <w:t>3</w:t>
      </w:r>
      <w:r>
        <w:rPr>
          <w:rFonts w:hAnsi="Times New Roman" w:eastAsia="宋体"/>
          <w:szCs w:val="22"/>
          <w:lang w:eastAsia="zh-CN"/>
        </w:rPr>
        <w:t>/a</w:t>
      </w:r>
    </w:p>
    <w:p>
      <w:pPr>
        <w:spacing w:line="360" w:lineRule="auto"/>
        <w:ind w:firstLine="480" w:firstLineChars="200"/>
        <w:rPr>
          <w:rFonts w:hAnsi="Times New Roman" w:eastAsia="宋体"/>
          <w:szCs w:val="22"/>
          <w:lang w:eastAsia="zh-CN"/>
        </w:rPr>
      </w:pPr>
      <w:r>
        <w:rPr>
          <w:rFonts w:hAnsi="Times New Roman" w:eastAsia="宋体"/>
          <w:szCs w:val="22"/>
          <w:lang w:eastAsia="zh-CN"/>
        </w:rPr>
        <w:t>受纳水体：</w:t>
      </w:r>
      <w:r>
        <w:rPr>
          <w:rFonts w:hint="eastAsia" w:hAnsi="Times New Roman" w:eastAsia="宋体"/>
          <w:szCs w:val="22"/>
          <w:lang w:eastAsia="zh-CN"/>
        </w:rPr>
        <w:t>新宁</w:t>
      </w:r>
      <w:r>
        <w:rPr>
          <w:rFonts w:hAnsi="Times New Roman" w:eastAsia="宋体"/>
          <w:szCs w:val="22"/>
          <w:lang w:eastAsia="zh-CN"/>
        </w:rPr>
        <w:t>河。水域为Ⅲ类水域，水质保护目标Ⅲ类水水质。</w:t>
      </w:r>
    </w:p>
    <w:p>
      <w:pPr>
        <w:pStyle w:val="14"/>
        <w:overflowPunct w:val="0"/>
        <w:spacing w:line="360" w:lineRule="auto"/>
        <w:ind w:right="224"/>
        <w:jc w:val="center"/>
        <w:rPr>
          <w:rFonts w:ascii="Times New Roman" w:hAnsi="Times New Roman"/>
          <w:sz w:val="24"/>
        </w:rPr>
      </w:pPr>
      <w:r>
        <w:drawing>
          <wp:inline distT="0" distB="0" distL="114300" distR="114300">
            <wp:extent cx="5305425" cy="3672840"/>
            <wp:effectExtent l="0" t="0" r="9525" b="3810"/>
            <wp:docPr id="29"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6"/>
                    <pic:cNvPicPr>
                      <a:picLocks noChangeAspect="1"/>
                    </pic:cNvPicPr>
                  </pic:nvPicPr>
                  <pic:blipFill>
                    <a:blip r:embed="rId223"/>
                    <a:stretch>
                      <a:fillRect/>
                    </a:stretch>
                  </pic:blipFill>
                  <pic:spPr>
                    <a:xfrm>
                      <a:off x="0" y="0"/>
                      <a:ext cx="5305425" cy="3672840"/>
                    </a:xfrm>
                    <a:prstGeom prst="rect">
                      <a:avLst/>
                    </a:prstGeom>
                    <a:noFill/>
                    <a:ln>
                      <a:noFill/>
                    </a:ln>
                  </pic:spPr>
                </pic:pic>
              </a:graphicData>
            </a:graphic>
          </wp:inline>
        </w:drawing>
      </w:r>
    </w:p>
    <w:p>
      <w:pPr>
        <w:spacing w:line="360" w:lineRule="auto"/>
        <w:ind w:firstLine="422" w:firstLineChars="200"/>
        <w:jc w:val="center"/>
        <w:rPr>
          <w:rFonts w:hAnsi="Times New Roman" w:eastAsia="宋体"/>
          <w:b/>
          <w:bCs/>
          <w:sz w:val="21"/>
          <w:szCs w:val="21"/>
          <w:lang w:eastAsia="zh-CN"/>
        </w:rPr>
      </w:pPr>
      <w:r>
        <w:rPr>
          <w:rFonts w:hAnsi="Times New Roman" w:eastAsia="宋体"/>
          <w:b/>
          <w:bCs/>
          <w:sz w:val="21"/>
          <w:szCs w:val="21"/>
          <w:lang w:eastAsia="zh-CN"/>
        </w:rPr>
        <w:t>图6.1-1 本项目入河排污口位置示意图</w:t>
      </w:r>
    </w:p>
    <w:p>
      <w:pPr>
        <w:pStyle w:val="14"/>
        <w:overflowPunct w:val="0"/>
        <w:spacing w:line="360" w:lineRule="auto"/>
        <w:ind w:right="224" w:firstLine="460"/>
        <w:jc w:val="left"/>
        <w:rPr>
          <w:rFonts w:ascii="Times New Roman" w:hAnsi="Times New Roman"/>
          <w:spacing w:val="15"/>
          <w:sz w:val="24"/>
          <w:lang w:eastAsia="zh-CN"/>
        </w:rPr>
      </w:pPr>
      <w:r>
        <w:rPr>
          <w:rFonts w:ascii="Times New Roman" w:hAnsi="Times New Roman"/>
          <w:sz w:val="24"/>
        </w:rPr>
        <w:t>本项目正常工况下废水排放量为</w:t>
      </w:r>
      <w:r>
        <w:rPr>
          <w:rFonts w:hint="eastAsia" w:ascii="Times New Roman" w:hAnsi="Times New Roman"/>
          <w:sz w:val="24"/>
          <w:lang w:eastAsia="zh-CN"/>
        </w:rPr>
        <w:t>3018.186</w:t>
      </w:r>
      <w:r>
        <w:rPr>
          <w:rFonts w:ascii="Times New Roman" w:hAnsi="Times New Roman"/>
          <w:sz w:val="24"/>
        </w:rPr>
        <w:t>m</w:t>
      </w:r>
      <w:r>
        <w:rPr>
          <w:rFonts w:ascii="Times New Roman" w:hAnsi="Times New Roman"/>
          <w:position w:val="11"/>
          <w:sz w:val="16"/>
        </w:rPr>
        <w:t>3</w:t>
      </w:r>
      <w:r>
        <w:rPr>
          <w:rFonts w:ascii="Times New Roman" w:hAnsi="Times New Roman"/>
          <w:sz w:val="24"/>
        </w:rPr>
        <w:t>/d，项目废水</w:t>
      </w:r>
      <w:r>
        <w:rPr>
          <w:rFonts w:ascii="Times New Roman" w:hAnsi="Times New Roman"/>
          <w:sz w:val="24"/>
          <w:lang w:eastAsia="zh-CN"/>
        </w:rPr>
        <w:t>通过1.5km排水管道引至</w:t>
      </w:r>
      <w:r>
        <w:rPr>
          <w:rFonts w:hint="eastAsia" w:ascii="Times New Roman" w:hAnsi="Times New Roman"/>
          <w:sz w:val="24"/>
          <w:lang w:eastAsia="zh-CN"/>
        </w:rPr>
        <w:t>天生镇王一庙</w:t>
      </w:r>
      <w:r>
        <w:rPr>
          <w:rFonts w:ascii="Times New Roman" w:hAnsi="Times New Roman"/>
          <w:sz w:val="24"/>
          <w:lang w:eastAsia="zh-CN"/>
        </w:rPr>
        <w:t>水源保护区下游河段</w:t>
      </w:r>
      <w:r>
        <w:rPr>
          <w:rFonts w:hint="eastAsia" w:ascii="Times New Roman" w:hAnsi="Times New Roman"/>
          <w:sz w:val="24"/>
          <w:lang w:eastAsia="zh-CN"/>
        </w:rPr>
        <w:t>（新宁河）</w:t>
      </w:r>
      <w:r>
        <w:rPr>
          <w:rFonts w:ascii="Times New Roman" w:hAnsi="Times New Roman"/>
          <w:sz w:val="24"/>
          <w:lang w:eastAsia="zh-CN"/>
        </w:rPr>
        <w:t>排放</w:t>
      </w:r>
      <w:r>
        <w:rPr>
          <w:rFonts w:ascii="Times New Roman" w:hAnsi="Times New Roman"/>
          <w:spacing w:val="15"/>
          <w:sz w:val="24"/>
        </w:rPr>
        <w:t>，</w:t>
      </w:r>
      <w:r>
        <w:rPr>
          <w:rFonts w:hint="eastAsia" w:ascii="Times New Roman" w:hAnsi="Times New Roman"/>
          <w:spacing w:val="15"/>
          <w:sz w:val="24"/>
          <w:lang w:eastAsia="zh-CN"/>
        </w:rPr>
        <w:t>排污口位于新宁河右岸</w:t>
      </w:r>
      <w:r>
        <w:rPr>
          <w:rFonts w:ascii="Times New Roman" w:hAnsi="Times New Roman"/>
          <w:spacing w:val="15"/>
          <w:sz w:val="24"/>
          <w:lang w:eastAsia="zh-CN"/>
        </w:rPr>
        <w:t>。根据《宣汉县主要河流水功能区划》，</w:t>
      </w:r>
      <w:r>
        <w:rPr>
          <w:rFonts w:hint="eastAsia" w:ascii="Times New Roman" w:hAnsi="Times New Roman"/>
          <w:spacing w:val="15"/>
          <w:sz w:val="24"/>
          <w:lang w:eastAsia="zh-CN"/>
        </w:rPr>
        <w:t>新宁河为渠江水系明月江一级支流，新宁河在宣汉县境内共划分2个功能区，为新宁河七里乡开发利用区、新宁河七里、柏树保留区，</w:t>
      </w:r>
      <w:r>
        <w:rPr>
          <w:rFonts w:ascii="Times New Roman" w:hAnsi="Times New Roman"/>
          <w:spacing w:val="15"/>
          <w:sz w:val="24"/>
          <w:lang w:eastAsia="zh-CN"/>
        </w:rPr>
        <w:t>项目</w:t>
      </w:r>
      <w:r>
        <w:rPr>
          <w:rFonts w:hint="eastAsia" w:ascii="Times New Roman" w:hAnsi="Times New Roman"/>
          <w:spacing w:val="15"/>
          <w:sz w:val="24"/>
          <w:lang w:eastAsia="zh-CN"/>
        </w:rPr>
        <w:t>涌水</w:t>
      </w:r>
      <w:r>
        <w:rPr>
          <w:rFonts w:ascii="Times New Roman" w:hAnsi="Times New Roman"/>
          <w:spacing w:val="15"/>
          <w:sz w:val="24"/>
          <w:lang w:eastAsia="zh-CN"/>
        </w:rPr>
        <w:t>汇入</w:t>
      </w:r>
      <w:r>
        <w:rPr>
          <w:rFonts w:hint="eastAsia" w:ascii="Times New Roman" w:hAnsi="Times New Roman"/>
          <w:spacing w:val="15"/>
          <w:sz w:val="24"/>
          <w:lang w:eastAsia="zh-CN"/>
        </w:rPr>
        <w:t>新宁</w:t>
      </w:r>
      <w:r>
        <w:rPr>
          <w:rFonts w:ascii="Times New Roman" w:hAnsi="Times New Roman"/>
          <w:spacing w:val="15"/>
          <w:sz w:val="24"/>
          <w:lang w:eastAsia="zh-CN"/>
        </w:rPr>
        <w:t>河的</w:t>
      </w:r>
      <w:r>
        <w:rPr>
          <w:rFonts w:hint="eastAsia" w:ascii="Times New Roman" w:hAnsi="Times New Roman"/>
          <w:spacing w:val="15"/>
          <w:sz w:val="24"/>
          <w:lang w:eastAsia="zh-CN"/>
        </w:rPr>
        <w:t>断面</w:t>
      </w:r>
      <w:r>
        <w:rPr>
          <w:rFonts w:ascii="Times New Roman" w:hAnsi="Times New Roman"/>
          <w:spacing w:val="15"/>
          <w:sz w:val="24"/>
          <w:lang w:eastAsia="zh-CN"/>
        </w:rPr>
        <w:t>位于达州市宣汉县一级水功能区中</w:t>
      </w:r>
      <w:r>
        <w:rPr>
          <w:rFonts w:hint="eastAsia" w:ascii="Times New Roman" w:hAnsi="Times New Roman"/>
          <w:spacing w:val="15"/>
          <w:sz w:val="24"/>
          <w:lang w:eastAsia="zh-CN"/>
        </w:rPr>
        <w:t>新宁河七里乡开发利用区。</w:t>
      </w:r>
    </w:p>
    <w:p>
      <w:pPr>
        <w:pStyle w:val="14"/>
        <w:overflowPunct w:val="0"/>
        <w:spacing w:line="360" w:lineRule="auto"/>
        <w:ind w:right="224" w:firstLine="460"/>
        <w:jc w:val="left"/>
        <w:rPr>
          <w:rFonts w:ascii="Times New Roman" w:hAnsi="Times New Roman"/>
          <w:sz w:val="24"/>
          <w:lang w:eastAsia="zh-CN"/>
        </w:rPr>
      </w:pPr>
      <w:r>
        <w:rPr>
          <w:rFonts w:ascii="Times New Roman" w:hAnsi="Times New Roman"/>
          <w:sz w:val="24"/>
          <w:lang w:eastAsia="zh-CN"/>
        </w:rPr>
        <w:t>（2）水域管理要求和现有取排水状况</w:t>
      </w:r>
    </w:p>
    <w:p>
      <w:pPr>
        <w:pStyle w:val="14"/>
        <w:overflowPunct w:val="0"/>
        <w:spacing w:line="360" w:lineRule="auto"/>
        <w:ind w:right="224" w:firstLine="460"/>
        <w:jc w:val="left"/>
        <w:rPr>
          <w:rFonts w:ascii="Times New Roman" w:hAnsi="Times New Roman"/>
          <w:sz w:val="24"/>
          <w:lang w:eastAsia="zh-CN"/>
        </w:rPr>
      </w:pPr>
      <w:r>
        <w:rPr>
          <w:rFonts w:hint="eastAsia" w:hAnsi="Times New Roman"/>
          <w:bCs w:val="0"/>
          <w:sz w:val="24"/>
          <w:lang w:eastAsia="zh-CN"/>
        </w:rPr>
        <w:t>新宁河</w:t>
      </w:r>
      <w:r>
        <w:rPr>
          <w:rFonts w:ascii="Times New Roman" w:hAnsi="Times New Roman"/>
          <w:sz w:val="24"/>
          <w:lang w:eastAsia="zh-CN"/>
        </w:rPr>
        <w:t>是</w:t>
      </w:r>
      <w:r>
        <w:rPr>
          <w:rFonts w:hint="eastAsia" w:hAnsi="Times New Roman"/>
          <w:sz w:val="24"/>
          <w:lang w:eastAsia="zh-CN"/>
        </w:rPr>
        <w:t>明月江的一级</w:t>
      </w:r>
      <w:r>
        <w:rPr>
          <w:rFonts w:ascii="Times New Roman" w:hAnsi="Times New Roman"/>
          <w:sz w:val="24"/>
          <w:lang w:eastAsia="zh-CN"/>
        </w:rPr>
        <w:t>支流，发源于开江县灵岩乡境内的天堡寨，自东北向西南流，经开江县新太、永兴等乡镇至宝塔坝折向西北流，经回龙镇入宣汉县境内的七里镇，</w:t>
      </w:r>
      <w:r>
        <w:rPr>
          <w:rFonts w:hint="eastAsia" w:ascii="Times New Roman" w:hAnsi="Times New Roman"/>
          <w:sz w:val="24"/>
          <w:lang w:eastAsia="zh-CN"/>
        </w:rPr>
        <w:t>再</w:t>
      </w:r>
      <w:r>
        <w:rPr>
          <w:rFonts w:ascii="Times New Roman" w:hAnsi="Times New Roman"/>
          <w:sz w:val="24"/>
          <w:lang w:eastAsia="zh-CN"/>
        </w:rPr>
        <w:t>转向西南流经柏树镇，至达州市的下胡家坝从右岸汇入明月江。新宁河宣汉段流域面积178.98km</w:t>
      </w:r>
      <w:r>
        <w:rPr>
          <w:rFonts w:ascii="Times New Roman" w:hAnsi="Times New Roman"/>
          <w:sz w:val="24"/>
          <w:vertAlign w:val="superscript"/>
          <w:lang w:eastAsia="zh-CN"/>
        </w:rPr>
        <w:t>2</w:t>
      </w:r>
      <w:r>
        <w:rPr>
          <w:rFonts w:ascii="Times New Roman" w:hAnsi="Times New Roman"/>
          <w:sz w:val="24"/>
          <w:lang w:eastAsia="zh-CN"/>
        </w:rPr>
        <w:t>，境内河长26.03km</w:t>
      </w:r>
      <w:r>
        <w:rPr>
          <w:rFonts w:hint="eastAsia" w:ascii="Times New Roman" w:hAnsi="Times New Roman"/>
          <w:sz w:val="24"/>
          <w:lang w:eastAsia="zh-CN"/>
        </w:rPr>
        <w:t>，</w:t>
      </w:r>
      <w:r>
        <w:rPr>
          <w:rFonts w:ascii="Times New Roman" w:hAnsi="Times New Roman"/>
          <w:sz w:val="24"/>
          <w:lang w:eastAsia="zh-CN"/>
        </w:rPr>
        <w:t>平均坡降</w:t>
      </w:r>
      <w:r>
        <w:rPr>
          <w:rFonts w:hint="eastAsia" w:ascii="Times New Roman" w:hAnsi="Times New Roman"/>
          <w:sz w:val="24"/>
          <w:lang w:eastAsia="zh-CN"/>
        </w:rPr>
        <w:t>2.2</w:t>
      </w:r>
      <w:r>
        <w:rPr>
          <w:rFonts w:ascii="Times New Roman" w:hAnsi="Times New Roman"/>
          <w:sz w:val="24"/>
          <w:lang w:eastAsia="zh-CN"/>
        </w:rPr>
        <w:t>‰。</w:t>
      </w:r>
    </w:p>
    <w:p>
      <w:pPr>
        <w:spacing w:line="360" w:lineRule="auto"/>
        <w:ind w:firstLine="480" w:firstLineChars="200"/>
        <w:rPr>
          <w:rFonts w:hAnsi="Times New Roman" w:eastAsia="宋体"/>
          <w:bCs/>
          <w:kern w:val="2"/>
          <w:szCs w:val="24"/>
        </w:rPr>
      </w:pPr>
      <w:r>
        <w:rPr>
          <w:rFonts w:hAnsi="Times New Roman" w:eastAsia="宋体"/>
          <w:bCs/>
          <w:kern w:val="2"/>
          <w:szCs w:val="24"/>
        </w:rPr>
        <w:t>新宁河七里乡开发利用区：上起入县界（低槽沟）（N31.196255，E107.744807），下至罗家塝（N31.202151，E107.709801），全长5.9km</w:t>
      </w:r>
      <w:r>
        <w:rPr>
          <w:rFonts w:hint="eastAsia" w:hAnsi="Times New Roman" w:eastAsia="宋体"/>
          <w:bCs/>
          <w:kern w:val="2"/>
          <w:szCs w:val="24"/>
          <w:lang w:eastAsia="zh-CN"/>
        </w:rPr>
        <w:t>。</w:t>
      </w:r>
      <w:r>
        <w:rPr>
          <w:rFonts w:hAnsi="Times New Roman" w:eastAsia="宋体"/>
          <w:bCs/>
          <w:kern w:val="2"/>
          <w:szCs w:val="24"/>
        </w:rPr>
        <w:t>该段目前水质较好，达地表水Ⅲ类水质标准，水质管理目标执行Ⅲ类标准。地表水环境质量总体情况乐观</w:t>
      </w:r>
      <w:r>
        <w:rPr>
          <w:rFonts w:hAnsi="Times New Roman" w:eastAsia="宋体"/>
          <w:bCs/>
          <w:kern w:val="2"/>
          <w:szCs w:val="24"/>
          <w:lang w:eastAsia="zh-CN"/>
        </w:rPr>
        <w:t>。</w:t>
      </w:r>
      <w:r>
        <w:rPr>
          <w:rFonts w:hAnsi="Times New Roman" w:eastAsia="宋体"/>
          <w:bCs/>
          <w:kern w:val="2"/>
          <w:szCs w:val="24"/>
        </w:rPr>
        <w:t>水功能区概况见表</w:t>
      </w:r>
      <w:r>
        <w:rPr>
          <w:rFonts w:hAnsi="Times New Roman" w:eastAsia="宋体"/>
          <w:bCs/>
          <w:kern w:val="2"/>
          <w:szCs w:val="24"/>
          <w:lang w:eastAsia="zh-CN"/>
        </w:rPr>
        <w:t>6.1-1</w:t>
      </w:r>
      <w:r>
        <w:rPr>
          <w:rFonts w:hAnsi="Times New Roman" w:eastAsia="宋体"/>
          <w:bCs/>
          <w:kern w:val="2"/>
          <w:szCs w:val="24"/>
        </w:rPr>
        <w:t>。</w:t>
      </w:r>
    </w:p>
    <w:p>
      <w:pPr>
        <w:spacing w:line="360" w:lineRule="auto"/>
        <w:jc w:val="center"/>
        <w:rPr>
          <w:rFonts w:hAnsi="Times New Roman" w:eastAsia="宋体"/>
          <w:b/>
          <w:bCs/>
          <w:sz w:val="21"/>
          <w:szCs w:val="21"/>
        </w:rPr>
      </w:pPr>
      <w:r>
        <w:rPr>
          <w:rFonts w:hAnsi="Times New Roman" w:eastAsia="宋体"/>
          <w:b/>
          <w:bCs/>
          <w:sz w:val="21"/>
          <w:szCs w:val="21"/>
          <w:lang w:eastAsia="zh-CN"/>
        </w:rPr>
        <w:t xml:space="preserve">表6.1-1  </w:t>
      </w:r>
      <w:r>
        <w:rPr>
          <w:rFonts w:hAnsi="Times New Roman" w:eastAsia="宋体"/>
          <w:b/>
          <w:bCs/>
          <w:sz w:val="21"/>
          <w:szCs w:val="21"/>
        </w:rPr>
        <w:t>项目排污口影响区域水功能区划</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494"/>
        <w:gridCol w:w="493"/>
        <w:gridCol w:w="427"/>
        <w:gridCol w:w="636"/>
        <w:gridCol w:w="1214"/>
        <w:gridCol w:w="1109"/>
        <w:gridCol w:w="436"/>
        <w:gridCol w:w="1214"/>
        <w:gridCol w:w="1109"/>
        <w:gridCol w:w="930"/>
        <w:gridCol w:w="427"/>
        <w:gridCol w:w="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tblHeader/>
          <w:jc w:val="center"/>
        </w:trPr>
        <w:tc>
          <w:tcPr>
            <w:tcW w:w="207"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序号</w:t>
            </w:r>
          </w:p>
        </w:tc>
        <w:tc>
          <w:tcPr>
            <w:tcW w:w="408"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一级区名称</w:t>
            </w:r>
          </w:p>
        </w:tc>
        <w:tc>
          <w:tcPr>
            <w:tcW w:w="407"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二级功能区名称</w:t>
            </w:r>
          </w:p>
        </w:tc>
        <w:tc>
          <w:tcPr>
            <w:tcW w:w="370"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河流湖库</w:t>
            </w:r>
          </w:p>
        </w:tc>
        <w:tc>
          <w:tcPr>
            <w:tcW w:w="2494" w:type="pct"/>
            <w:gridSpan w:val="6"/>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范围</w:t>
            </w:r>
          </w:p>
        </w:tc>
        <w:tc>
          <w:tcPr>
            <w:tcW w:w="506"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长度</w:t>
            </w:r>
          </w:p>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（km）</w:t>
            </w:r>
          </w:p>
        </w:tc>
        <w:tc>
          <w:tcPr>
            <w:tcW w:w="296"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水质现状</w:t>
            </w:r>
          </w:p>
        </w:tc>
        <w:tc>
          <w:tcPr>
            <w:tcW w:w="311"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水质目标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2" w:hRule="atLeast"/>
          <w:tblHeader/>
          <w:jc w:val="center"/>
        </w:trPr>
        <w:tc>
          <w:tcPr>
            <w:tcW w:w="207"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p>
        </w:tc>
        <w:tc>
          <w:tcPr>
            <w:tcW w:w="408"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p>
        </w:tc>
        <w:tc>
          <w:tcPr>
            <w:tcW w:w="407"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p>
        </w:tc>
        <w:tc>
          <w:tcPr>
            <w:tcW w:w="370"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p>
        </w:tc>
        <w:tc>
          <w:tcPr>
            <w:tcW w:w="403"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起始范围</w:t>
            </w:r>
          </w:p>
        </w:tc>
        <w:tc>
          <w:tcPr>
            <w:tcW w:w="394"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经度</w:t>
            </w:r>
          </w:p>
        </w:tc>
        <w:tc>
          <w:tcPr>
            <w:tcW w:w="419"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纬度</w:t>
            </w:r>
          </w:p>
        </w:tc>
        <w:tc>
          <w:tcPr>
            <w:tcW w:w="420"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终止范围</w:t>
            </w:r>
          </w:p>
        </w:tc>
        <w:tc>
          <w:tcPr>
            <w:tcW w:w="419"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经度</w:t>
            </w:r>
          </w:p>
        </w:tc>
        <w:tc>
          <w:tcPr>
            <w:tcW w:w="440"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纬度</w:t>
            </w:r>
          </w:p>
        </w:tc>
        <w:tc>
          <w:tcPr>
            <w:tcW w:w="506"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296"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311"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4" w:hRule="atLeast"/>
          <w:jc w:val="center"/>
        </w:trPr>
        <w:tc>
          <w:tcPr>
            <w:tcW w:w="20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w:t>
            </w:r>
          </w:p>
        </w:tc>
        <w:tc>
          <w:tcPr>
            <w:tcW w:w="40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新宁河七里乡开发利用区</w:t>
            </w:r>
          </w:p>
        </w:tc>
        <w:tc>
          <w:tcPr>
            <w:tcW w:w="40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新宁河七里乡农业用水区</w:t>
            </w:r>
          </w:p>
        </w:tc>
        <w:tc>
          <w:tcPr>
            <w:tcW w:w="37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新宁河</w:t>
            </w:r>
          </w:p>
        </w:tc>
        <w:tc>
          <w:tcPr>
            <w:tcW w:w="40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入县界（低槽沟）</w:t>
            </w:r>
          </w:p>
        </w:tc>
        <w:tc>
          <w:tcPr>
            <w:tcW w:w="39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107.744807</w:t>
            </w:r>
          </w:p>
        </w:tc>
        <w:tc>
          <w:tcPr>
            <w:tcW w:w="41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31.196255</w:t>
            </w:r>
          </w:p>
        </w:tc>
        <w:tc>
          <w:tcPr>
            <w:tcW w:w="42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罗家塝</w:t>
            </w:r>
          </w:p>
        </w:tc>
        <w:tc>
          <w:tcPr>
            <w:tcW w:w="41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107.709801</w:t>
            </w:r>
          </w:p>
        </w:tc>
        <w:tc>
          <w:tcPr>
            <w:tcW w:w="44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31.202151</w:t>
            </w:r>
          </w:p>
        </w:tc>
        <w:tc>
          <w:tcPr>
            <w:tcW w:w="506"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5.9</w:t>
            </w:r>
          </w:p>
        </w:tc>
        <w:tc>
          <w:tcPr>
            <w:tcW w:w="296"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fldChar w:fldCharType="begin"/>
            </w:r>
            <w:r>
              <w:rPr>
                <w:rFonts w:hint="eastAsia" w:hAnsi="Times New Roman" w:eastAsia="宋体"/>
                <w:kern w:val="2"/>
                <w:sz w:val="21"/>
                <w:szCs w:val="21"/>
              </w:rPr>
              <w:instrText xml:space="preserve"> = 4 \* ROMAN </w:instrText>
            </w:r>
            <w:r>
              <w:rPr>
                <w:rFonts w:hint="eastAsia" w:hAnsi="Times New Roman" w:eastAsia="宋体"/>
                <w:kern w:val="2"/>
                <w:sz w:val="21"/>
                <w:szCs w:val="21"/>
              </w:rPr>
              <w:fldChar w:fldCharType="separate"/>
            </w:r>
            <w:r>
              <w:rPr>
                <w:rFonts w:hint="eastAsia" w:hAnsi="Times New Roman" w:eastAsia="宋体"/>
                <w:kern w:val="2"/>
                <w:sz w:val="21"/>
                <w:szCs w:val="21"/>
              </w:rPr>
              <w:t>Ⅲ</w:t>
            </w:r>
            <w:r>
              <w:rPr>
                <w:rFonts w:hint="eastAsia" w:hAnsi="Times New Roman" w:eastAsia="宋体"/>
                <w:kern w:val="2"/>
                <w:sz w:val="21"/>
                <w:szCs w:val="21"/>
              </w:rPr>
              <w:fldChar w:fldCharType="end"/>
            </w:r>
          </w:p>
        </w:tc>
        <w:tc>
          <w:tcPr>
            <w:tcW w:w="311"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fldChar w:fldCharType="begin"/>
            </w:r>
            <w:r>
              <w:rPr>
                <w:rFonts w:hint="eastAsia" w:hAnsi="Times New Roman" w:eastAsia="宋体"/>
                <w:kern w:val="2"/>
                <w:sz w:val="21"/>
                <w:szCs w:val="21"/>
              </w:rPr>
              <w:instrText xml:space="preserve"> = 4 \* ROMAN </w:instrText>
            </w:r>
            <w:r>
              <w:rPr>
                <w:rFonts w:hint="eastAsia" w:hAnsi="Times New Roman" w:eastAsia="宋体"/>
                <w:kern w:val="2"/>
                <w:sz w:val="21"/>
                <w:szCs w:val="21"/>
              </w:rPr>
              <w:fldChar w:fldCharType="separate"/>
            </w:r>
            <w:r>
              <w:rPr>
                <w:rFonts w:hint="eastAsia" w:hAnsi="Times New Roman" w:eastAsia="宋体"/>
                <w:kern w:val="2"/>
                <w:sz w:val="21"/>
                <w:szCs w:val="21"/>
              </w:rPr>
              <w:t>Ⅲ</w:t>
            </w:r>
            <w:r>
              <w:rPr>
                <w:rFonts w:hint="eastAsia" w:hAnsi="Times New Roman" w:eastAsia="宋体"/>
                <w:kern w:val="2"/>
                <w:sz w:val="21"/>
                <w:szCs w:val="21"/>
              </w:rPr>
              <w:fldChar w:fldCharType="end"/>
            </w:r>
          </w:p>
        </w:tc>
      </w:tr>
    </w:tbl>
    <w:p>
      <w:pPr>
        <w:spacing w:line="360" w:lineRule="auto"/>
        <w:ind w:firstLine="480" w:firstLineChars="200"/>
        <w:rPr>
          <w:rFonts w:hAnsi="Times New Roman" w:eastAsia="宋体"/>
          <w:spacing w:val="15"/>
          <w:lang w:eastAsia="zh-CN"/>
        </w:rPr>
      </w:pPr>
      <w:r>
        <w:rPr>
          <w:rFonts w:hAnsi="Times New Roman" w:eastAsia="宋体"/>
          <w:bCs/>
          <w:kern w:val="2"/>
          <w:szCs w:val="24"/>
          <w:lang w:eastAsia="zh-CN"/>
        </w:rPr>
        <w:t>根据调查发现，本项目不在饮用水保护区范围内；本次论证河段范围内无集中式饮用水取水口。项目所在地不涉及饮用水源保护区，排污口下游论证范围内无相关集中取用水用户</w:t>
      </w:r>
      <w:r>
        <w:rPr>
          <w:rFonts w:hint="eastAsia" w:hAnsi="Times New Roman" w:eastAsia="宋体"/>
          <w:bCs/>
          <w:kern w:val="2"/>
          <w:szCs w:val="24"/>
          <w:lang w:eastAsia="zh-CN"/>
        </w:rPr>
        <w:t>。</w:t>
      </w:r>
    </w:p>
    <w:p>
      <w:pPr>
        <w:spacing w:line="360" w:lineRule="auto"/>
        <w:ind w:firstLine="480" w:firstLineChars="200"/>
        <w:rPr>
          <w:rFonts w:hAnsi="Times New Roman" w:eastAsia="宋体"/>
          <w:bCs/>
          <w:kern w:val="2"/>
          <w:szCs w:val="24"/>
          <w:lang w:eastAsia="zh-CN"/>
        </w:rPr>
      </w:pPr>
      <w:r>
        <w:rPr>
          <w:rFonts w:hAnsi="Times New Roman" w:eastAsia="宋体"/>
          <w:bCs/>
          <w:kern w:val="2"/>
          <w:szCs w:val="24"/>
          <w:lang w:eastAsia="zh-CN"/>
        </w:rPr>
        <w:t>根据调查，“新宁河七里乡开发利用区”区内现有排污口有</w:t>
      </w:r>
      <w:r>
        <w:rPr>
          <w:rFonts w:hint="eastAsia" w:hAnsi="Times New Roman" w:eastAsia="宋体"/>
          <w:bCs/>
          <w:kern w:val="2"/>
          <w:szCs w:val="24"/>
          <w:lang w:eastAsia="zh-CN"/>
        </w:rPr>
        <w:t>1</w:t>
      </w:r>
      <w:r>
        <w:rPr>
          <w:rFonts w:hAnsi="Times New Roman" w:eastAsia="宋体"/>
          <w:bCs/>
          <w:kern w:val="2"/>
          <w:szCs w:val="24"/>
          <w:lang w:eastAsia="zh-CN"/>
        </w:rPr>
        <w:t>个，现有排污口设置情况如下。</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表6.1-</w:t>
      </w:r>
      <w:r>
        <w:rPr>
          <w:rFonts w:hint="eastAsia" w:hAnsi="Times New Roman" w:eastAsia="宋体"/>
          <w:b/>
          <w:bCs/>
          <w:sz w:val="21"/>
          <w:szCs w:val="21"/>
          <w:lang w:eastAsia="zh-CN"/>
        </w:rPr>
        <w:t>2</w:t>
      </w:r>
      <w:r>
        <w:rPr>
          <w:rFonts w:hAnsi="Times New Roman" w:eastAsia="宋体"/>
          <w:b/>
          <w:bCs/>
          <w:sz w:val="21"/>
          <w:szCs w:val="21"/>
          <w:lang w:eastAsia="zh-CN"/>
        </w:rPr>
        <w:t xml:space="preserve"> 排水状况一览表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14"/>
        <w:gridCol w:w="869"/>
        <w:gridCol w:w="474"/>
        <w:gridCol w:w="1217"/>
        <w:gridCol w:w="1584"/>
        <w:gridCol w:w="1576"/>
        <w:gridCol w:w="825"/>
        <w:gridCol w:w="503"/>
        <w:gridCol w:w="603"/>
        <w:gridCol w:w="456"/>
        <w:gridCol w:w="6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tblHeader/>
          <w:jc w:val="center"/>
        </w:trPr>
        <w:tc>
          <w:tcPr>
            <w:tcW w:w="323"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序号</w:t>
            </w:r>
          </w:p>
        </w:tc>
        <w:tc>
          <w:tcPr>
            <w:tcW w:w="572"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排污单位名称</w:t>
            </w:r>
          </w:p>
        </w:tc>
        <w:tc>
          <w:tcPr>
            <w:tcW w:w="355"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排水去向</w:t>
            </w:r>
          </w:p>
        </w:tc>
        <w:tc>
          <w:tcPr>
            <w:tcW w:w="762"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位置</w:t>
            </w:r>
          </w:p>
        </w:tc>
        <w:tc>
          <w:tcPr>
            <w:tcW w:w="459"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经度</w:t>
            </w:r>
          </w:p>
        </w:tc>
        <w:tc>
          <w:tcPr>
            <w:tcW w:w="407"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纬度</w:t>
            </w:r>
          </w:p>
        </w:tc>
        <w:tc>
          <w:tcPr>
            <w:tcW w:w="511"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排放规模（m</w:t>
            </w:r>
            <w:r>
              <w:rPr>
                <w:rFonts w:hint="eastAsia" w:hAnsi="Times New Roman" w:eastAsia="宋体"/>
                <w:kern w:val="2"/>
                <w:sz w:val="21"/>
                <w:szCs w:val="21"/>
                <w:vertAlign w:val="superscript"/>
                <w:lang w:eastAsia="zh-CN"/>
              </w:rPr>
              <w:t>3</w:t>
            </w:r>
            <w:r>
              <w:rPr>
                <w:rFonts w:hint="eastAsia" w:hAnsi="Times New Roman" w:eastAsia="宋体"/>
                <w:kern w:val="2"/>
                <w:sz w:val="21"/>
                <w:szCs w:val="21"/>
                <w:lang w:eastAsia="zh-CN"/>
              </w:rPr>
              <w:t>/d）</w:t>
            </w:r>
          </w:p>
        </w:tc>
        <w:tc>
          <w:tcPr>
            <w:tcW w:w="822" w:type="pct"/>
            <w:gridSpan w:val="2"/>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废水情况（t/a）</w:t>
            </w:r>
          </w:p>
        </w:tc>
        <w:tc>
          <w:tcPr>
            <w:tcW w:w="355"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污水类型</w:t>
            </w:r>
          </w:p>
        </w:tc>
        <w:tc>
          <w:tcPr>
            <w:tcW w:w="435"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tblHeader/>
          <w:jc w:val="center"/>
        </w:trPr>
        <w:tc>
          <w:tcPr>
            <w:tcW w:w="323"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p>
        </w:tc>
        <w:tc>
          <w:tcPr>
            <w:tcW w:w="572"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p>
        </w:tc>
        <w:tc>
          <w:tcPr>
            <w:tcW w:w="355"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p>
        </w:tc>
        <w:tc>
          <w:tcPr>
            <w:tcW w:w="762"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p>
        </w:tc>
        <w:tc>
          <w:tcPr>
            <w:tcW w:w="459"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p>
        </w:tc>
        <w:tc>
          <w:tcPr>
            <w:tcW w:w="407"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p>
        </w:tc>
        <w:tc>
          <w:tcPr>
            <w:tcW w:w="511"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p>
        </w:tc>
        <w:tc>
          <w:tcPr>
            <w:tcW w:w="40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COD</w:t>
            </w:r>
          </w:p>
        </w:tc>
        <w:tc>
          <w:tcPr>
            <w:tcW w:w="416"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NH</w:t>
            </w:r>
            <w:r>
              <w:rPr>
                <w:rFonts w:hint="eastAsia" w:hAnsi="Times New Roman" w:eastAsia="宋体"/>
                <w:kern w:val="2"/>
                <w:sz w:val="21"/>
                <w:szCs w:val="21"/>
                <w:vertAlign w:val="subscript"/>
                <w:lang w:eastAsia="zh-CN"/>
              </w:rPr>
              <w:t>3</w:t>
            </w:r>
            <w:r>
              <w:rPr>
                <w:rFonts w:hint="eastAsia" w:hAnsi="Times New Roman" w:eastAsia="宋体"/>
                <w:kern w:val="2"/>
                <w:sz w:val="21"/>
                <w:szCs w:val="21"/>
                <w:lang w:eastAsia="zh-CN"/>
              </w:rPr>
              <w:t>-N</w:t>
            </w:r>
          </w:p>
        </w:tc>
        <w:tc>
          <w:tcPr>
            <w:tcW w:w="355"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p>
        </w:tc>
        <w:tc>
          <w:tcPr>
            <w:tcW w:w="435"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618" w:hRule="atLeast"/>
          <w:jc w:val="center"/>
        </w:trPr>
        <w:tc>
          <w:tcPr>
            <w:tcW w:w="32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w:t>
            </w:r>
          </w:p>
        </w:tc>
        <w:tc>
          <w:tcPr>
            <w:tcW w:w="572"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宣汉县天生镇七里污水处理厂</w:t>
            </w:r>
          </w:p>
        </w:tc>
        <w:tc>
          <w:tcPr>
            <w:tcW w:w="35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新宁河</w:t>
            </w:r>
          </w:p>
        </w:tc>
        <w:tc>
          <w:tcPr>
            <w:tcW w:w="762"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宣汉县天生镇七里塔坝村一社</w:t>
            </w:r>
          </w:p>
        </w:tc>
        <w:tc>
          <w:tcPr>
            <w:tcW w:w="45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kern w:val="2"/>
                <w:sz w:val="21"/>
                <w:szCs w:val="21"/>
                <w:lang w:eastAsia="zh-CN"/>
              </w:rPr>
              <w:t>107°43′5.5452″</w:t>
            </w:r>
          </w:p>
        </w:tc>
        <w:tc>
          <w:tcPr>
            <w:tcW w:w="40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kern w:val="2"/>
                <w:sz w:val="21"/>
                <w:szCs w:val="21"/>
                <w:lang w:eastAsia="zh-CN"/>
              </w:rPr>
              <w:t>31°11′44.0196″</w:t>
            </w:r>
          </w:p>
        </w:tc>
        <w:tc>
          <w:tcPr>
            <w:tcW w:w="511"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kern w:val="2"/>
                <w:sz w:val="21"/>
                <w:szCs w:val="21"/>
                <w:lang w:eastAsia="zh-CN"/>
              </w:rPr>
              <w:t>500</w:t>
            </w:r>
          </w:p>
        </w:tc>
        <w:tc>
          <w:tcPr>
            <w:tcW w:w="40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kern w:val="2"/>
                <w:sz w:val="21"/>
                <w:szCs w:val="21"/>
                <w:lang w:eastAsia="zh-CN"/>
              </w:rPr>
              <w:t>9.13</w:t>
            </w:r>
          </w:p>
        </w:tc>
        <w:tc>
          <w:tcPr>
            <w:tcW w:w="416"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kern w:val="2"/>
                <w:sz w:val="21"/>
                <w:szCs w:val="21"/>
                <w:lang w:eastAsia="zh-CN"/>
              </w:rPr>
              <w:t>0.91</w:t>
            </w:r>
          </w:p>
        </w:tc>
        <w:tc>
          <w:tcPr>
            <w:tcW w:w="35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生活污水</w:t>
            </w:r>
          </w:p>
        </w:tc>
        <w:tc>
          <w:tcPr>
            <w:tcW w:w="43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highlight w:val="yellow"/>
                <w:lang w:eastAsia="zh-CN"/>
              </w:rPr>
            </w:pPr>
            <w:r>
              <w:rPr>
                <w:rFonts w:hint="eastAsia" w:hAnsi="Times New Roman" w:eastAsia="宋体"/>
                <w:kern w:val="2"/>
                <w:sz w:val="21"/>
                <w:szCs w:val="21"/>
                <w:lang w:eastAsia="zh-CN"/>
              </w:rPr>
              <w:t>已批复</w:t>
            </w:r>
          </w:p>
        </w:tc>
      </w:tr>
    </w:tbl>
    <w:p>
      <w:pPr>
        <w:spacing w:line="360" w:lineRule="auto"/>
        <w:jc w:val="center"/>
        <w:rPr>
          <w:rFonts w:hAnsi="Times New Roman" w:eastAsia="宋体"/>
          <w:spacing w:val="15"/>
          <w:lang w:eastAsia="zh-CN"/>
        </w:rPr>
      </w:pPr>
      <w:r>
        <w:drawing>
          <wp:inline distT="0" distB="0" distL="114300" distR="114300">
            <wp:extent cx="5520055" cy="3089910"/>
            <wp:effectExtent l="0" t="0" r="4445" b="15240"/>
            <wp:docPr id="205"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48"/>
                    <pic:cNvPicPr>
                      <a:picLocks noChangeAspect="1"/>
                    </pic:cNvPicPr>
                  </pic:nvPicPr>
                  <pic:blipFill>
                    <a:blip r:embed="rId224"/>
                    <a:stretch>
                      <a:fillRect/>
                    </a:stretch>
                  </pic:blipFill>
                  <pic:spPr>
                    <a:xfrm>
                      <a:off x="0" y="0"/>
                      <a:ext cx="5520055" cy="3089910"/>
                    </a:xfrm>
                    <a:prstGeom prst="rect">
                      <a:avLst/>
                    </a:prstGeom>
                    <a:noFill/>
                    <a:ln>
                      <a:noFill/>
                    </a:ln>
                  </pic:spPr>
                </pic:pic>
              </a:graphicData>
            </a:graphic>
          </wp:inline>
        </w:drawing>
      </w:r>
    </w:p>
    <w:p>
      <w:pPr>
        <w:jc w:val="center"/>
        <w:rPr>
          <w:rFonts w:hAnsi="Times New Roman" w:eastAsia="宋体"/>
          <w:b/>
          <w:bCs/>
          <w:sz w:val="21"/>
          <w:szCs w:val="21"/>
          <w:lang w:eastAsia="zh-CN"/>
        </w:rPr>
      </w:pPr>
      <w:r>
        <w:rPr>
          <w:rFonts w:hAnsi="Times New Roman" w:eastAsia="宋体"/>
          <w:b/>
          <w:bCs/>
          <w:sz w:val="21"/>
          <w:szCs w:val="21"/>
          <w:lang w:eastAsia="zh-CN"/>
        </w:rPr>
        <w:t>图6.1-</w:t>
      </w:r>
      <w:r>
        <w:rPr>
          <w:rFonts w:hint="eastAsia" w:hAnsi="Times New Roman" w:eastAsia="宋体"/>
          <w:b/>
          <w:bCs/>
          <w:sz w:val="21"/>
          <w:szCs w:val="21"/>
          <w:lang w:eastAsia="zh-CN"/>
        </w:rPr>
        <w:t>2</w:t>
      </w:r>
      <w:r>
        <w:rPr>
          <w:rFonts w:hAnsi="Times New Roman" w:eastAsia="宋体"/>
          <w:b/>
          <w:bCs/>
          <w:sz w:val="21"/>
          <w:szCs w:val="21"/>
          <w:lang w:eastAsia="zh-CN"/>
        </w:rPr>
        <w:t xml:space="preserve"> 新宁河七里乡开发利用区内排污口分布情况图</w:t>
      </w:r>
    </w:p>
    <w:p>
      <w:pPr>
        <w:pStyle w:val="14"/>
        <w:overflowPunct w:val="0"/>
        <w:spacing w:line="360" w:lineRule="auto"/>
        <w:ind w:right="224" w:firstLine="460"/>
        <w:jc w:val="left"/>
        <w:rPr>
          <w:rFonts w:ascii="Times New Roman" w:hAnsi="Times New Roman"/>
          <w:sz w:val="24"/>
          <w:lang w:eastAsia="zh-CN"/>
        </w:rPr>
      </w:pPr>
      <w:r>
        <w:rPr>
          <w:rFonts w:ascii="Times New Roman" w:hAnsi="Times New Roman"/>
          <w:sz w:val="24"/>
          <w:lang w:eastAsia="zh-CN"/>
        </w:rPr>
        <w:t>（3）所在水功能区（水域）纳污状况</w:t>
      </w:r>
    </w:p>
    <w:p>
      <w:pPr>
        <w:spacing w:line="360" w:lineRule="auto"/>
        <w:ind w:firstLine="480" w:firstLineChars="200"/>
        <w:rPr>
          <w:rFonts w:hAnsi="Times New Roman" w:eastAsia="宋体"/>
          <w:bCs/>
          <w:kern w:val="2"/>
          <w:szCs w:val="24"/>
          <w:lang w:eastAsia="zh-CN"/>
        </w:rPr>
      </w:pPr>
      <w:r>
        <w:rPr>
          <w:rFonts w:hAnsi="Times New Roman" w:eastAsia="宋体"/>
          <w:bCs/>
          <w:kern w:val="2"/>
          <w:szCs w:val="24"/>
          <w:lang w:eastAsia="zh-CN"/>
        </w:rPr>
        <w:t>根据四川省水利厅 四川省水文水资源勘测局编制《四川省全国重要江河湖泊水功能区纳污能力复核和分阶段限制排污总量控制方案报告》中采用解析法对该新宁河七里乡开发利用区纳污能力及限排总量的计算成果，该报告对现状况下该水功能区</w:t>
      </w:r>
      <w:r>
        <w:rPr>
          <w:rFonts w:hint="eastAsia" w:hAnsi="Times New Roman" w:eastAsia="宋体"/>
          <w:bCs/>
          <w:kern w:val="2"/>
          <w:szCs w:val="24"/>
          <w:lang w:eastAsia="zh-CN"/>
        </w:rPr>
        <w:t>（</w:t>
      </w:r>
      <w:r>
        <w:rPr>
          <w:rFonts w:hAnsi="Times New Roman" w:eastAsia="宋体"/>
          <w:bCs/>
          <w:kern w:val="2"/>
          <w:szCs w:val="24"/>
          <w:lang w:eastAsia="zh-CN"/>
        </w:rPr>
        <w:t>新宁河七里乡开发利用区</w:t>
      </w:r>
      <w:r>
        <w:rPr>
          <w:rFonts w:hint="eastAsia" w:hAnsi="Times New Roman" w:eastAsia="宋体"/>
          <w:bCs/>
          <w:kern w:val="2"/>
          <w:szCs w:val="24"/>
          <w:lang w:eastAsia="zh-CN"/>
        </w:rPr>
        <w:t>）</w:t>
      </w:r>
      <w:r>
        <w:rPr>
          <w:rFonts w:hAnsi="Times New Roman" w:eastAsia="宋体"/>
          <w:bCs/>
          <w:kern w:val="2"/>
          <w:szCs w:val="24"/>
          <w:lang w:eastAsia="zh-CN"/>
        </w:rPr>
        <w:t>纳污能力为COD：</w:t>
      </w:r>
      <w:r>
        <w:rPr>
          <w:rFonts w:hint="eastAsia" w:hAnsi="Times New Roman" w:eastAsia="宋体"/>
          <w:bCs/>
          <w:kern w:val="2"/>
          <w:szCs w:val="24"/>
          <w:lang w:eastAsia="zh-CN"/>
        </w:rPr>
        <w:t>281.79</w:t>
      </w:r>
      <w:r>
        <w:rPr>
          <w:rFonts w:hAnsi="Times New Roman" w:eastAsia="宋体"/>
          <w:bCs/>
          <w:kern w:val="2"/>
          <w:szCs w:val="24"/>
          <w:lang w:eastAsia="zh-CN"/>
        </w:rPr>
        <w:t>t/a，NH</w:t>
      </w:r>
      <w:r>
        <w:rPr>
          <w:rFonts w:hAnsi="Times New Roman" w:eastAsia="宋体"/>
          <w:bCs/>
          <w:kern w:val="2"/>
          <w:szCs w:val="24"/>
          <w:vertAlign w:val="subscript"/>
          <w:lang w:eastAsia="zh-CN"/>
        </w:rPr>
        <w:t>3</w:t>
      </w:r>
      <w:r>
        <w:rPr>
          <w:rFonts w:hAnsi="Times New Roman" w:eastAsia="宋体"/>
          <w:bCs/>
          <w:kern w:val="2"/>
          <w:szCs w:val="24"/>
          <w:lang w:eastAsia="zh-CN"/>
        </w:rPr>
        <w:t>-N：</w:t>
      </w:r>
      <w:r>
        <w:rPr>
          <w:rFonts w:hint="eastAsia" w:hAnsi="Times New Roman" w:eastAsia="宋体"/>
          <w:bCs/>
          <w:kern w:val="2"/>
          <w:szCs w:val="24"/>
          <w:lang w:eastAsia="zh-CN"/>
        </w:rPr>
        <w:t>27.27</w:t>
      </w:r>
      <w:r>
        <w:rPr>
          <w:rFonts w:hAnsi="Times New Roman" w:eastAsia="宋体"/>
          <w:bCs/>
          <w:kern w:val="2"/>
          <w:szCs w:val="24"/>
          <w:lang w:eastAsia="zh-CN"/>
        </w:rPr>
        <w:t>t/a。</w:t>
      </w:r>
    </w:p>
    <w:p>
      <w:pPr>
        <w:pStyle w:val="79"/>
        <w:rPr>
          <w:rFonts w:eastAsia="宋体"/>
          <w:lang w:eastAsia="zh-CN"/>
        </w:rPr>
      </w:pPr>
    </w:p>
    <w:p>
      <w:pPr>
        <w:pStyle w:val="79"/>
        <w:rPr>
          <w:rFonts w:eastAsia="宋体"/>
          <w:lang w:eastAsia="zh-CN"/>
        </w:rPr>
      </w:pPr>
    </w:p>
    <w:p>
      <w:pPr>
        <w:pStyle w:val="79"/>
        <w:rPr>
          <w:rFonts w:eastAsia="宋体"/>
          <w:lang w:eastAsia="zh-CN"/>
        </w:rPr>
      </w:pPr>
    </w:p>
    <w:p>
      <w:pPr>
        <w:pStyle w:val="79"/>
        <w:rPr>
          <w:rFonts w:eastAsia="宋体"/>
          <w:lang w:eastAsia="zh-CN"/>
        </w:rPr>
      </w:pPr>
    </w:p>
    <w:p>
      <w:pPr>
        <w:pStyle w:val="79"/>
        <w:rPr>
          <w:rFonts w:eastAsia="宋体"/>
        </w:rPr>
      </w:pPr>
      <w:r>
        <w:rPr>
          <w:rFonts w:eastAsia="宋体"/>
          <w:lang w:eastAsia="zh-CN"/>
        </w:rPr>
        <w:t>表6.1-</w:t>
      </w:r>
      <w:r>
        <w:rPr>
          <w:rFonts w:hint="eastAsia" w:eastAsia="宋体"/>
          <w:lang w:eastAsia="zh-CN"/>
        </w:rPr>
        <w:t>3</w:t>
      </w:r>
      <w:r>
        <w:rPr>
          <w:rFonts w:eastAsia="宋体"/>
          <w:lang w:eastAsia="zh-CN"/>
        </w:rPr>
        <w:t xml:space="preserve">  州河宣汉保留区</w:t>
      </w:r>
      <w:r>
        <w:rPr>
          <w:rFonts w:eastAsia="宋体"/>
        </w:rPr>
        <w:t xml:space="preserve">纳污能力汇总表  </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17"/>
        <w:gridCol w:w="1308"/>
        <w:gridCol w:w="1949"/>
        <w:gridCol w:w="2244"/>
        <w:gridCol w:w="23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812" w:type="pct"/>
            <w:vAlign w:val="center"/>
          </w:tcPr>
          <w:p>
            <w:pPr>
              <w:pStyle w:val="44"/>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地级行政区</w:t>
            </w:r>
          </w:p>
        </w:tc>
        <w:tc>
          <w:tcPr>
            <w:tcW w:w="700" w:type="pct"/>
            <w:vAlign w:val="center"/>
          </w:tcPr>
          <w:p>
            <w:pPr>
              <w:pStyle w:val="44"/>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河流</w:t>
            </w:r>
          </w:p>
        </w:tc>
        <w:tc>
          <w:tcPr>
            <w:tcW w:w="1043" w:type="pct"/>
            <w:vAlign w:val="center"/>
          </w:tcPr>
          <w:p>
            <w:pPr>
              <w:pStyle w:val="44"/>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水功能区</w:t>
            </w:r>
          </w:p>
        </w:tc>
        <w:tc>
          <w:tcPr>
            <w:tcW w:w="1201" w:type="pct"/>
            <w:vAlign w:val="center"/>
          </w:tcPr>
          <w:p>
            <w:pPr>
              <w:pStyle w:val="44"/>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COD纳污能力（t/a）</w:t>
            </w:r>
          </w:p>
        </w:tc>
        <w:tc>
          <w:tcPr>
            <w:tcW w:w="1244" w:type="pct"/>
            <w:vAlign w:val="center"/>
          </w:tcPr>
          <w:p>
            <w:pPr>
              <w:pStyle w:val="44"/>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NH</w:t>
            </w:r>
            <w:r>
              <w:rPr>
                <w:rFonts w:hint="eastAsia" w:hAnsi="Times New Roman" w:eastAsia="宋体"/>
                <w:kern w:val="2"/>
                <w:sz w:val="21"/>
                <w:szCs w:val="21"/>
                <w:vertAlign w:val="subscript"/>
                <w:lang w:eastAsia="zh-CN"/>
              </w:rPr>
              <w:t>3</w:t>
            </w:r>
            <w:r>
              <w:rPr>
                <w:rFonts w:hint="eastAsia" w:hAnsi="Times New Roman" w:eastAsia="宋体"/>
                <w:kern w:val="2"/>
                <w:sz w:val="21"/>
                <w:szCs w:val="21"/>
                <w:lang w:eastAsia="zh-CN"/>
              </w:rPr>
              <w:t>-N纳污能力（t/a）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8" w:hRule="atLeast"/>
          <w:jc w:val="center"/>
        </w:trPr>
        <w:tc>
          <w:tcPr>
            <w:tcW w:w="812" w:type="pct"/>
            <w:vAlign w:val="center"/>
          </w:tcPr>
          <w:p>
            <w:pPr>
              <w:pStyle w:val="44"/>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宣汉县</w:t>
            </w:r>
          </w:p>
        </w:tc>
        <w:tc>
          <w:tcPr>
            <w:tcW w:w="700" w:type="pct"/>
            <w:vAlign w:val="center"/>
          </w:tcPr>
          <w:p>
            <w:pPr>
              <w:pStyle w:val="44"/>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新宁河</w:t>
            </w:r>
          </w:p>
        </w:tc>
        <w:tc>
          <w:tcPr>
            <w:tcW w:w="1043" w:type="pct"/>
            <w:vAlign w:val="center"/>
          </w:tcPr>
          <w:p>
            <w:pPr>
              <w:pStyle w:val="44"/>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新宁河七里乡开发利用区</w:t>
            </w:r>
          </w:p>
        </w:tc>
        <w:tc>
          <w:tcPr>
            <w:tcW w:w="1201" w:type="pct"/>
            <w:vAlign w:val="center"/>
          </w:tcPr>
          <w:p>
            <w:pPr>
              <w:pStyle w:val="44"/>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284.79</w:t>
            </w:r>
          </w:p>
        </w:tc>
        <w:tc>
          <w:tcPr>
            <w:tcW w:w="1244" w:type="pct"/>
            <w:vAlign w:val="center"/>
          </w:tcPr>
          <w:p>
            <w:pPr>
              <w:pStyle w:val="44"/>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27.27</w:t>
            </w:r>
          </w:p>
        </w:tc>
      </w:tr>
    </w:tbl>
    <w:p>
      <w:pPr>
        <w:spacing w:line="360" w:lineRule="auto"/>
        <w:ind w:firstLine="480" w:firstLineChars="200"/>
        <w:rPr>
          <w:rFonts w:hAnsi="Times New Roman" w:eastAsia="宋体"/>
          <w:bCs/>
          <w:kern w:val="2"/>
          <w:szCs w:val="24"/>
          <w:lang w:eastAsia="zh-CN"/>
        </w:rPr>
      </w:pPr>
      <w:r>
        <w:rPr>
          <w:rFonts w:hAnsi="Times New Roman" w:eastAsia="宋体"/>
          <w:bCs/>
          <w:kern w:val="2"/>
          <w:szCs w:val="24"/>
          <w:lang w:eastAsia="zh-CN"/>
        </w:rPr>
        <w:t>参考《四川省全国重要江河湖泊水功能区纳污能力复核和分阶段限制排污总量控制方案报告》提出的水功能区限排量：COD限排量均为</w:t>
      </w:r>
      <w:r>
        <w:rPr>
          <w:rFonts w:hint="eastAsia" w:hAnsi="Times New Roman" w:eastAsia="宋体"/>
          <w:bCs/>
          <w:kern w:val="2"/>
          <w:szCs w:val="24"/>
          <w:lang w:eastAsia="zh-CN"/>
        </w:rPr>
        <w:t>284.79</w:t>
      </w:r>
      <w:r>
        <w:rPr>
          <w:rFonts w:hAnsi="Times New Roman" w:eastAsia="宋体"/>
          <w:bCs/>
          <w:kern w:val="2"/>
          <w:szCs w:val="24"/>
          <w:lang w:eastAsia="zh-CN"/>
        </w:rPr>
        <w:t>t/a，NH</w:t>
      </w:r>
      <w:r>
        <w:rPr>
          <w:rFonts w:hAnsi="Times New Roman" w:eastAsia="宋体"/>
          <w:bCs/>
          <w:kern w:val="2"/>
          <w:szCs w:val="24"/>
          <w:vertAlign w:val="subscript"/>
          <w:lang w:eastAsia="zh-CN"/>
        </w:rPr>
        <w:t>3</w:t>
      </w:r>
      <w:r>
        <w:rPr>
          <w:rFonts w:hAnsi="Times New Roman" w:eastAsia="宋体"/>
          <w:bCs/>
          <w:kern w:val="2"/>
          <w:szCs w:val="24"/>
          <w:lang w:eastAsia="zh-CN"/>
        </w:rPr>
        <w:t>-N限排量均为</w:t>
      </w:r>
      <w:r>
        <w:rPr>
          <w:rFonts w:hint="eastAsia" w:hAnsi="Times New Roman" w:eastAsia="宋体"/>
          <w:bCs/>
          <w:kern w:val="2"/>
          <w:szCs w:val="24"/>
          <w:lang w:eastAsia="zh-CN"/>
        </w:rPr>
        <w:t>27.27</w:t>
      </w:r>
      <w:r>
        <w:rPr>
          <w:rFonts w:hAnsi="Times New Roman" w:eastAsia="宋体"/>
          <w:bCs/>
          <w:kern w:val="2"/>
          <w:szCs w:val="24"/>
          <w:lang w:eastAsia="zh-CN"/>
        </w:rPr>
        <w:t>t/a。</w:t>
      </w:r>
    </w:p>
    <w:p>
      <w:pPr>
        <w:pStyle w:val="79"/>
        <w:rPr>
          <w:rFonts w:eastAsia="宋体"/>
          <w:lang w:eastAsia="zh-CN"/>
        </w:rPr>
      </w:pPr>
      <w:r>
        <w:rPr>
          <w:rFonts w:eastAsia="宋体"/>
          <w:lang w:eastAsia="zh-CN"/>
        </w:rPr>
        <w:t>表6.1-</w:t>
      </w:r>
      <w:r>
        <w:rPr>
          <w:rFonts w:hint="eastAsia" w:eastAsia="宋体"/>
          <w:lang w:eastAsia="zh-CN"/>
        </w:rPr>
        <w:t>4</w:t>
      </w:r>
      <w:r>
        <w:rPr>
          <w:rFonts w:eastAsia="宋体"/>
          <w:lang w:eastAsia="zh-CN"/>
        </w:rPr>
        <w:t xml:space="preserve"> 水功能区限制排放总量</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3"/>
        <w:gridCol w:w="1882"/>
        <w:gridCol w:w="1611"/>
        <w:gridCol w:w="2480"/>
        <w:gridCol w:w="24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484" w:type="pct"/>
            <w:vAlign w:val="center"/>
          </w:tcPr>
          <w:p>
            <w:pPr>
              <w:pStyle w:val="44"/>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河流</w:t>
            </w:r>
          </w:p>
        </w:tc>
        <w:tc>
          <w:tcPr>
            <w:tcW w:w="1007" w:type="pct"/>
            <w:vAlign w:val="center"/>
          </w:tcPr>
          <w:p>
            <w:pPr>
              <w:pStyle w:val="44"/>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一级水功能区</w:t>
            </w:r>
          </w:p>
        </w:tc>
        <w:tc>
          <w:tcPr>
            <w:tcW w:w="862" w:type="pct"/>
            <w:vAlign w:val="center"/>
          </w:tcPr>
          <w:p>
            <w:pPr>
              <w:pStyle w:val="44"/>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二级水功能区</w:t>
            </w:r>
          </w:p>
        </w:tc>
        <w:tc>
          <w:tcPr>
            <w:tcW w:w="1327" w:type="pct"/>
            <w:vAlign w:val="center"/>
          </w:tcPr>
          <w:p>
            <w:pPr>
              <w:pStyle w:val="44"/>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COD限排总量（t/a）</w:t>
            </w:r>
          </w:p>
        </w:tc>
        <w:tc>
          <w:tcPr>
            <w:tcW w:w="1320" w:type="pct"/>
            <w:vAlign w:val="center"/>
          </w:tcPr>
          <w:p>
            <w:pPr>
              <w:pStyle w:val="44"/>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NH</w:t>
            </w:r>
            <w:r>
              <w:rPr>
                <w:rFonts w:hint="eastAsia" w:hAnsi="Times New Roman" w:eastAsia="宋体"/>
                <w:kern w:val="2"/>
                <w:sz w:val="21"/>
                <w:szCs w:val="21"/>
                <w:vertAlign w:val="subscript"/>
                <w:lang w:eastAsia="zh-CN"/>
              </w:rPr>
              <w:t>3</w:t>
            </w:r>
            <w:r>
              <w:rPr>
                <w:rFonts w:hint="eastAsia" w:hAnsi="Times New Roman" w:eastAsia="宋体"/>
                <w:kern w:val="2"/>
                <w:sz w:val="21"/>
                <w:szCs w:val="21"/>
                <w:lang w:eastAsia="zh-CN"/>
              </w:rPr>
              <w:t>-N限排总量（t/a）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4" w:type="pct"/>
            <w:vAlign w:val="center"/>
          </w:tcPr>
          <w:p>
            <w:pPr>
              <w:pStyle w:val="44"/>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新宁河</w:t>
            </w:r>
          </w:p>
        </w:tc>
        <w:tc>
          <w:tcPr>
            <w:tcW w:w="1007" w:type="pct"/>
            <w:vAlign w:val="center"/>
          </w:tcPr>
          <w:p>
            <w:pPr>
              <w:pStyle w:val="44"/>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新宁河七里乡开发利用区</w:t>
            </w:r>
          </w:p>
        </w:tc>
        <w:tc>
          <w:tcPr>
            <w:tcW w:w="862" w:type="pct"/>
            <w:vAlign w:val="center"/>
          </w:tcPr>
          <w:p>
            <w:pPr>
              <w:pStyle w:val="44"/>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新宁河七里乡农业用水区</w:t>
            </w:r>
          </w:p>
        </w:tc>
        <w:tc>
          <w:tcPr>
            <w:tcW w:w="1327" w:type="pct"/>
            <w:vAlign w:val="center"/>
          </w:tcPr>
          <w:p>
            <w:pPr>
              <w:pStyle w:val="44"/>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284.79</w:t>
            </w:r>
          </w:p>
        </w:tc>
        <w:tc>
          <w:tcPr>
            <w:tcW w:w="1320" w:type="pct"/>
            <w:vAlign w:val="center"/>
          </w:tcPr>
          <w:p>
            <w:pPr>
              <w:pStyle w:val="44"/>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kern w:val="2"/>
                <w:sz w:val="21"/>
                <w:szCs w:val="21"/>
                <w:lang w:eastAsia="zh-CN"/>
              </w:rPr>
              <w:t>27.27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53" w:type="pct"/>
            <w:gridSpan w:val="3"/>
            <w:vAlign w:val="center"/>
          </w:tcPr>
          <w:p>
            <w:pPr>
              <w:pStyle w:val="44"/>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合计</w:t>
            </w:r>
          </w:p>
        </w:tc>
        <w:tc>
          <w:tcPr>
            <w:tcW w:w="1327" w:type="pct"/>
            <w:vAlign w:val="center"/>
          </w:tcPr>
          <w:p>
            <w:pPr>
              <w:pStyle w:val="44"/>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kern w:val="2"/>
                <w:sz w:val="21"/>
                <w:szCs w:val="21"/>
                <w:lang w:eastAsia="zh-CN"/>
              </w:rPr>
              <w:t>284.79</w:t>
            </w:r>
          </w:p>
        </w:tc>
        <w:tc>
          <w:tcPr>
            <w:tcW w:w="1320" w:type="pct"/>
            <w:vAlign w:val="center"/>
          </w:tcPr>
          <w:p>
            <w:pPr>
              <w:pStyle w:val="44"/>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kern w:val="2"/>
                <w:sz w:val="21"/>
                <w:szCs w:val="21"/>
                <w:lang w:eastAsia="zh-CN"/>
              </w:rPr>
              <w:t>27.27</w:t>
            </w:r>
          </w:p>
        </w:tc>
      </w:tr>
    </w:tbl>
    <w:p>
      <w:pPr>
        <w:pStyle w:val="14"/>
        <w:overflowPunct w:val="0"/>
        <w:spacing w:line="360" w:lineRule="auto"/>
        <w:ind w:right="224" w:firstLine="460"/>
        <w:jc w:val="left"/>
        <w:rPr>
          <w:rFonts w:ascii="Times New Roman" w:hAnsi="Times New Roman"/>
          <w:sz w:val="24"/>
          <w:lang w:eastAsia="zh-CN"/>
        </w:rPr>
      </w:pPr>
      <w:r>
        <w:rPr>
          <w:rFonts w:ascii="Times New Roman" w:hAnsi="Times New Roman"/>
          <w:sz w:val="24"/>
          <w:lang w:eastAsia="zh-CN"/>
        </w:rPr>
        <w:t>（4）水功能区纳污现状</w:t>
      </w:r>
    </w:p>
    <w:p>
      <w:pPr>
        <w:spacing w:line="360" w:lineRule="auto"/>
        <w:ind w:firstLine="480" w:firstLineChars="200"/>
        <w:rPr>
          <w:rFonts w:hAnsi="Times New Roman" w:eastAsia="宋体"/>
          <w:bCs/>
          <w:kern w:val="2"/>
          <w:szCs w:val="24"/>
          <w:lang w:eastAsia="zh-CN"/>
        </w:rPr>
      </w:pPr>
      <w:r>
        <w:rPr>
          <w:rFonts w:hAnsi="Times New Roman" w:eastAsia="宋体"/>
          <w:bCs/>
          <w:kern w:val="2"/>
          <w:szCs w:val="24"/>
          <w:lang w:eastAsia="zh-CN"/>
        </w:rPr>
        <w:t>根据现场调查以及收集资料，新宁河七里乡开发利用区内目前设置有</w:t>
      </w:r>
      <w:r>
        <w:rPr>
          <w:rFonts w:hint="eastAsia" w:hAnsi="Times New Roman" w:eastAsia="宋体"/>
          <w:bCs/>
          <w:kern w:val="2"/>
          <w:szCs w:val="24"/>
          <w:lang w:eastAsia="zh-CN"/>
        </w:rPr>
        <w:t>1</w:t>
      </w:r>
      <w:r>
        <w:rPr>
          <w:rFonts w:hAnsi="Times New Roman" w:eastAsia="宋体"/>
          <w:bCs/>
          <w:kern w:val="2"/>
          <w:szCs w:val="24"/>
          <w:lang w:eastAsia="zh-CN"/>
        </w:rPr>
        <w:t>个排污口，已取得主管部门批复，详见表</w:t>
      </w:r>
      <w:r>
        <w:rPr>
          <w:rFonts w:hint="eastAsia" w:hAnsi="Times New Roman" w:eastAsia="宋体"/>
          <w:bCs/>
          <w:kern w:val="2"/>
          <w:szCs w:val="24"/>
          <w:lang w:eastAsia="zh-CN"/>
        </w:rPr>
        <w:t>6.1</w:t>
      </w:r>
      <w:r>
        <w:rPr>
          <w:rFonts w:hAnsi="Times New Roman" w:eastAsia="宋体"/>
          <w:bCs/>
          <w:kern w:val="2"/>
          <w:szCs w:val="24"/>
          <w:lang w:eastAsia="zh-CN"/>
        </w:rPr>
        <w:t>-</w:t>
      </w:r>
      <w:r>
        <w:rPr>
          <w:rFonts w:hint="eastAsia" w:hAnsi="Times New Roman" w:eastAsia="宋体"/>
          <w:bCs/>
          <w:kern w:val="2"/>
          <w:szCs w:val="24"/>
          <w:lang w:eastAsia="zh-CN"/>
        </w:rPr>
        <w:t>5</w:t>
      </w:r>
      <w:r>
        <w:rPr>
          <w:rFonts w:hAnsi="Times New Roman" w:eastAsia="宋体"/>
          <w:bCs/>
          <w:kern w:val="2"/>
          <w:szCs w:val="24"/>
          <w:lang w:eastAsia="zh-CN"/>
        </w:rPr>
        <w:t>。</w:t>
      </w:r>
    </w:p>
    <w:p>
      <w:pPr>
        <w:pStyle w:val="79"/>
        <w:rPr>
          <w:rFonts w:eastAsia="宋体"/>
          <w:lang w:eastAsia="zh-CN"/>
        </w:rPr>
      </w:pPr>
      <w:r>
        <w:rPr>
          <w:rFonts w:eastAsia="宋体"/>
          <w:lang w:eastAsia="zh-CN"/>
        </w:rPr>
        <w:t>表6.1-</w:t>
      </w:r>
      <w:r>
        <w:rPr>
          <w:rFonts w:hint="eastAsia" w:eastAsia="宋体"/>
          <w:lang w:eastAsia="zh-CN"/>
        </w:rPr>
        <w:t>5</w:t>
      </w:r>
      <w:r>
        <w:rPr>
          <w:rFonts w:eastAsia="宋体"/>
          <w:lang w:eastAsia="zh-CN"/>
        </w:rPr>
        <w:t xml:space="preserve"> 水功能区纳污状况一览表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07"/>
        <w:gridCol w:w="2571"/>
        <w:gridCol w:w="1213"/>
        <w:gridCol w:w="2187"/>
        <w:gridCol w:w="1307"/>
        <w:gridCol w:w="12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5" w:hRule="atLeast"/>
          <w:jc w:val="center"/>
        </w:trPr>
        <w:tc>
          <w:tcPr>
            <w:tcW w:w="332" w:type="pct"/>
            <w:vMerge w:val="restart"/>
            <w:vAlign w:val="center"/>
          </w:tcPr>
          <w:p>
            <w:pPr>
              <w:pStyle w:val="44"/>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序号</w:t>
            </w:r>
          </w:p>
        </w:tc>
        <w:tc>
          <w:tcPr>
            <w:tcW w:w="1407" w:type="pct"/>
            <w:vMerge w:val="restart"/>
            <w:vAlign w:val="center"/>
          </w:tcPr>
          <w:p>
            <w:pPr>
              <w:pStyle w:val="44"/>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入河排污口名称</w:t>
            </w:r>
          </w:p>
        </w:tc>
        <w:tc>
          <w:tcPr>
            <w:tcW w:w="664" w:type="pct"/>
            <w:vMerge w:val="restart"/>
            <w:vAlign w:val="center"/>
          </w:tcPr>
          <w:p>
            <w:pPr>
              <w:pStyle w:val="44"/>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排水去向</w:t>
            </w:r>
          </w:p>
        </w:tc>
        <w:tc>
          <w:tcPr>
            <w:tcW w:w="1197" w:type="pct"/>
            <w:vMerge w:val="restart"/>
            <w:vAlign w:val="center"/>
          </w:tcPr>
          <w:p>
            <w:pPr>
              <w:pStyle w:val="44"/>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位置</w:t>
            </w:r>
          </w:p>
        </w:tc>
        <w:tc>
          <w:tcPr>
            <w:tcW w:w="1400" w:type="pct"/>
            <w:gridSpan w:val="2"/>
            <w:vAlign w:val="center"/>
          </w:tcPr>
          <w:p>
            <w:pPr>
              <w:pStyle w:val="44"/>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主要污染物（t/a）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7" w:hRule="atLeast"/>
          <w:jc w:val="center"/>
        </w:trPr>
        <w:tc>
          <w:tcPr>
            <w:tcW w:w="332" w:type="pct"/>
            <w:vMerge w:val="continue"/>
            <w:vAlign w:val="center"/>
          </w:tcPr>
          <w:p>
            <w:pPr>
              <w:pStyle w:val="44"/>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p>
        </w:tc>
        <w:tc>
          <w:tcPr>
            <w:tcW w:w="1407" w:type="pct"/>
            <w:vMerge w:val="continue"/>
            <w:vAlign w:val="center"/>
          </w:tcPr>
          <w:p>
            <w:pPr>
              <w:pStyle w:val="44"/>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p>
        </w:tc>
        <w:tc>
          <w:tcPr>
            <w:tcW w:w="664" w:type="pct"/>
            <w:vMerge w:val="continue"/>
            <w:vAlign w:val="center"/>
          </w:tcPr>
          <w:p>
            <w:pPr>
              <w:pStyle w:val="44"/>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p>
        </w:tc>
        <w:tc>
          <w:tcPr>
            <w:tcW w:w="1197" w:type="pct"/>
            <w:vMerge w:val="continue"/>
            <w:vAlign w:val="center"/>
          </w:tcPr>
          <w:p>
            <w:pPr>
              <w:pStyle w:val="44"/>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p>
        </w:tc>
        <w:tc>
          <w:tcPr>
            <w:tcW w:w="715" w:type="pct"/>
            <w:vAlign w:val="center"/>
          </w:tcPr>
          <w:p>
            <w:pPr>
              <w:pStyle w:val="44"/>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COD</w:t>
            </w:r>
          </w:p>
        </w:tc>
        <w:tc>
          <w:tcPr>
            <w:tcW w:w="685" w:type="pct"/>
            <w:vAlign w:val="center"/>
          </w:tcPr>
          <w:p>
            <w:pPr>
              <w:pStyle w:val="44"/>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NH</w:t>
            </w:r>
            <w:r>
              <w:rPr>
                <w:rFonts w:hint="eastAsia" w:hAnsi="Times New Roman" w:eastAsia="宋体"/>
                <w:kern w:val="2"/>
                <w:sz w:val="21"/>
                <w:szCs w:val="21"/>
                <w:vertAlign w:val="subscript"/>
                <w:lang w:eastAsia="zh-CN"/>
              </w:rPr>
              <w:t>3</w:t>
            </w:r>
            <w:r>
              <w:rPr>
                <w:rFonts w:hint="eastAsia" w:hAnsi="Times New Roman" w:eastAsia="宋体"/>
                <w:kern w:val="2"/>
                <w:sz w:val="21"/>
                <w:szCs w:val="21"/>
                <w:lang w:eastAsia="zh-CN"/>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16" w:hRule="atLeast"/>
          <w:jc w:val="center"/>
        </w:trPr>
        <w:tc>
          <w:tcPr>
            <w:tcW w:w="332" w:type="pct"/>
            <w:vAlign w:val="center"/>
          </w:tcPr>
          <w:p>
            <w:pPr>
              <w:pStyle w:val="44"/>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w:t>
            </w:r>
          </w:p>
        </w:tc>
        <w:tc>
          <w:tcPr>
            <w:tcW w:w="1407" w:type="pct"/>
            <w:vAlign w:val="center"/>
          </w:tcPr>
          <w:p>
            <w:pPr>
              <w:pStyle w:val="44"/>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宣汉县天生镇七里污水处理厂生活污水入河排污口</w:t>
            </w:r>
          </w:p>
        </w:tc>
        <w:tc>
          <w:tcPr>
            <w:tcW w:w="664" w:type="pct"/>
            <w:vAlign w:val="center"/>
          </w:tcPr>
          <w:p>
            <w:pPr>
              <w:pStyle w:val="44"/>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新宁河</w:t>
            </w:r>
          </w:p>
        </w:tc>
        <w:tc>
          <w:tcPr>
            <w:tcW w:w="1197" w:type="pct"/>
            <w:vAlign w:val="center"/>
          </w:tcPr>
          <w:p>
            <w:pPr>
              <w:pStyle w:val="44"/>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宣汉县天生镇七里塔坝村一社</w:t>
            </w:r>
          </w:p>
        </w:tc>
        <w:tc>
          <w:tcPr>
            <w:tcW w:w="715" w:type="pct"/>
            <w:vAlign w:val="center"/>
          </w:tcPr>
          <w:p>
            <w:pPr>
              <w:pStyle w:val="44"/>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9.13</w:t>
            </w:r>
          </w:p>
        </w:tc>
        <w:tc>
          <w:tcPr>
            <w:tcW w:w="685" w:type="pct"/>
            <w:vAlign w:val="center"/>
          </w:tcPr>
          <w:p>
            <w:pPr>
              <w:pStyle w:val="44"/>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4" w:hRule="atLeast"/>
          <w:jc w:val="center"/>
        </w:trPr>
        <w:tc>
          <w:tcPr>
            <w:tcW w:w="3600" w:type="pct"/>
            <w:gridSpan w:val="4"/>
            <w:vAlign w:val="center"/>
          </w:tcPr>
          <w:p>
            <w:pPr>
              <w:pStyle w:val="44"/>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合计</w:t>
            </w:r>
          </w:p>
        </w:tc>
        <w:tc>
          <w:tcPr>
            <w:tcW w:w="71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9.13</w:t>
            </w:r>
          </w:p>
        </w:tc>
        <w:tc>
          <w:tcPr>
            <w:tcW w:w="68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0.91</w:t>
            </w:r>
          </w:p>
        </w:tc>
      </w:tr>
    </w:tbl>
    <w:p>
      <w:pPr>
        <w:pStyle w:val="79"/>
        <w:rPr>
          <w:rFonts w:eastAsia="宋体"/>
          <w:lang w:eastAsia="zh-CN"/>
        </w:rPr>
      </w:pPr>
      <w:r>
        <w:rPr>
          <w:rFonts w:eastAsia="宋体"/>
          <w:lang w:eastAsia="zh-CN"/>
        </w:rPr>
        <w:t>表6.1-</w:t>
      </w:r>
      <w:r>
        <w:rPr>
          <w:rFonts w:hint="eastAsia" w:eastAsia="宋体"/>
          <w:lang w:eastAsia="zh-CN"/>
        </w:rPr>
        <w:t>6</w:t>
      </w:r>
      <w:r>
        <w:rPr>
          <w:rFonts w:eastAsia="宋体"/>
          <w:lang w:eastAsia="zh-CN"/>
        </w:rPr>
        <w:t xml:space="preserve">  水功能区纳能力计算表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00"/>
        <w:gridCol w:w="1282"/>
        <w:gridCol w:w="2581"/>
        <w:gridCol w:w="2297"/>
        <w:gridCol w:w="15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857"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项目</w:t>
            </w:r>
          </w:p>
        </w:tc>
        <w:tc>
          <w:tcPr>
            <w:tcW w:w="686"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单位</w:t>
            </w:r>
          </w:p>
        </w:tc>
        <w:tc>
          <w:tcPr>
            <w:tcW w:w="1381"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水功能区限制排放总量</w:t>
            </w:r>
          </w:p>
        </w:tc>
        <w:tc>
          <w:tcPr>
            <w:tcW w:w="1229"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已有排污口排放总量</w:t>
            </w:r>
          </w:p>
        </w:tc>
        <w:tc>
          <w:tcPr>
            <w:tcW w:w="848"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剩余排污总量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857"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p>
        </w:tc>
        <w:tc>
          <w:tcPr>
            <w:tcW w:w="686"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p>
        </w:tc>
        <w:tc>
          <w:tcPr>
            <w:tcW w:w="1381"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p>
        </w:tc>
        <w:tc>
          <w:tcPr>
            <w:tcW w:w="1229"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p>
        </w:tc>
        <w:tc>
          <w:tcPr>
            <w:tcW w:w="848"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85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废水</w:t>
            </w:r>
          </w:p>
        </w:tc>
        <w:tc>
          <w:tcPr>
            <w:tcW w:w="686"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万m³/a</w:t>
            </w:r>
          </w:p>
        </w:tc>
        <w:tc>
          <w:tcPr>
            <w:tcW w:w="1381"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22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84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85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COD</w:t>
            </w:r>
          </w:p>
        </w:tc>
        <w:tc>
          <w:tcPr>
            <w:tcW w:w="686"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t/a</w:t>
            </w:r>
          </w:p>
        </w:tc>
        <w:tc>
          <w:tcPr>
            <w:tcW w:w="1381"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284.79</w:t>
            </w:r>
          </w:p>
        </w:tc>
        <w:tc>
          <w:tcPr>
            <w:tcW w:w="122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9.13</w:t>
            </w:r>
          </w:p>
        </w:tc>
        <w:tc>
          <w:tcPr>
            <w:tcW w:w="84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275.66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7" w:type="pct"/>
            <w:vAlign w:val="center"/>
          </w:tcPr>
          <w:p>
            <w:pPr>
              <w:keepNext w:val="0"/>
              <w:keepLines w:val="0"/>
              <w:suppressLineNumbers w:val="0"/>
              <w:spacing w:before="0" w:beforeAutospacing="0" w:after="0" w:afterAutospacing="0"/>
              <w:ind w:left="0" w:right="0"/>
              <w:jc w:val="center"/>
              <w:rPr>
                <w:rFonts w:hint="eastAsia" w:hAnsi="Times New Roman"/>
                <w:kern w:val="2"/>
                <w:sz w:val="21"/>
                <w:szCs w:val="21"/>
                <w:lang w:eastAsia="zh-CN"/>
              </w:rPr>
            </w:pPr>
            <w:r>
              <w:rPr>
                <w:rFonts w:hint="eastAsia" w:hAnsi="Times New Roman"/>
                <w:kern w:val="2"/>
                <w:sz w:val="21"/>
                <w:szCs w:val="21"/>
                <w:lang w:eastAsia="zh-CN"/>
              </w:rPr>
              <w:t>NH</w:t>
            </w:r>
            <w:r>
              <w:rPr>
                <w:rFonts w:hint="eastAsia" w:hAnsi="Times New Roman"/>
                <w:kern w:val="2"/>
                <w:sz w:val="21"/>
                <w:szCs w:val="21"/>
                <w:vertAlign w:val="subscript"/>
                <w:lang w:eastAsia="zh-CN"/>
              </w:rPr>
              <w:t>3</w:t>
            </w:r>
            <w:r>
              <w:rPr>
                <w:rFonts w:hint="eastAsia" w:hAnsi="Times New Roman"/>
                <w:kern w:val="2"/>
                <w:sz w:val="21"/>
                <w:szCs w:val="21"/>
                <w:lang w:eastAsia="zh-CN"/>
              </w:rPr>
              <w:t>-N</w:t>
            </w:r>
          </w:p>
        </w:tc>
        <w:tc>
          <w:tcPr>
            <w:tcW w:w="686" w:type="pct"/>
            <w:vAlign w:val="center"/>
          </w:tcPr>
          <w:p>
            <w:pPr>
              <w:keepNext w:val="0"/>
              <w:keepLines w:val="0"/>
              <w:suppressLineNumbers w:val="0"/>
              <w:spacing w:before="0" w:beforeAutospacing="0" w:after="0" w:afterAutospacing="0"/>
              <w:ind w:left="0" w:right="0"/>
              <w:jc w:val="center"/>
              <w:rPr>
                <w:rFonts w:hint="eastAsia" w:hAnsi="Times New Roman"/>
                <w:kern w:val="2"/>
                <w:sz w:val="21"/>
                <w:szCs w:val="21"/>
                <w:lang w:eastAsia="zh-CN"/>
              </w:rPr>
            </w:pPr>
            <w:r>
              <w:rPr>
                <w:rFonts w:hint="eastAsia" w:hAnsi="Times New Roman"/>
                <w:kern w:val="2"/>
                <w:sz w:val="21"/>
                <w:szCs w:val="21"/>
                <w:lang w:eastAsia="zh-CN"/>
              </w:rPr>
              <w:t>t/a</w:t>
            </w:r>
          </w:p>
        </w:tc>
        <w:tc>
          <w:tcPr>
            <w:tcW w:w="1381" w:type="pct"/>
            <w:vAlign w:val="center"/>
          </w:tcPr>
          <w:p>
            <w:pPr>
              <w:keepNext w:val="0"/>
              <w:keepLines w:val="0"/>
              <w:suppressLineNumbers w:val="0"/>
              <w:spacing w:before="0" w:beforeAutospacing="0" w:after="0" w:afterAutospacing="0"/>
              <w:ind w:left="0" w:right="0"/>
              <w:jc w:val="center"/>
              <w:rPr>
                <w:rFonts w:hint="eastAsia" w:hAnsi="Times New Roman"/>
                <w:kern w:val="2"/>
                <w:sz w:val="21"/>
                <w:szCs w:val="21"/>
                <w:lang w:eastAsia="zh-CN"/>
              </w:rPr>
            </w:pPr>
            <w:r>
              <w:rPr>
                <w:rFonts w:hint="eastAsia" w:hAnsi="Times New Roman"/>
                <w:kern w:val="2"/>
                <w:sz w:val="21"/>
                <w:szCs w:val="21"/>
                <w:lang w:eastAsia="zh-CN"/>
              </w:rPr>
              <w:t>27.27</w:t>
            </w:r>
          </w:p>
        </w:tc>
        <w:tc>
          <w:tcPr>
            <w:tcW w:w="1229" w:type="pct"/>
            <w:vAlign w:val="center"/>
          </w:tcPr>
          <w:p>
            <w:pPr>
              <w:keepNext w:val="0"/>
              <w:keepLines w:val="0"/>
              <w:suppressLineNumbers w:val="0"/>
              <w:spacing w:before="0" w:beforeAutospacing="0" w:after="0" w:afterAutospacing="0"/>
              <w:ind w:left="0" w:right="0"/>
              <w:jc w:val="center"/>
              <w:rPr>
                <w:rFonts w:hint="eastAsia" w:hAnsi="Times New Roman"/>
                <w:kern w:val="2"/>
                <w:sz w:val="21"/>
                <w:szCs w:val="21"/>
                <w:lang w:eastAsia="zh-CN"/>
              </w:rPr>
            </w:pPr>
            <w:r>
              <w:rPr>
                <w:rFonts w:hint="eastAsia" w:hAnsi="Times New Roman"/>
                <w:kern w:val="2"/>
                <w:sz w:val="21"/>
                <w:szCs w:val="21"/>
                <w:lang w:eastAsia="zh-CN"/>
              </w:rPr>
              <w:t>0.91</w:t>
            </w:r>
          </w:p>
        </w:tc>
        <w:tc>
          <w:tcPr>
            <w:tcW w:w="848" w:type="pct"/>
            <w:vAlign w:val="center"/>
          </w:tcPr>
          <w:p>
            <w:pPr>
              <w:keepNext w:val="0"/>
              <w:keepLines w:val="0"/>
              <w:suppressLineNumbers w:val="0"/>
              <w:spacing w:before="0" w:beforeAutospacing="0" w:after="0" w:afterAutospacing="0"/>
              <w:ind w:left="0" w:right="0"/>
              <w:jc w:val="center"/>
              <w:rPr>
                <w:rFonts w:hint="eastAsia" w:hAnsi="Times New Roman"/>
                <w:kern w:val="2"/>
                <w:sz w:val="21"/>
                <w:szCs w:val="21"/>
                <w:lang w:eastAsia="zh-CN"/>
              </w:rPr>
            </w:pPr>
            <w:r>
              <w:rPr>
                <w:rFonts w:hint="eastAsia" w:hAnsi="Times New Roman"/>
                <w:kern w:val="2"/>
                <w:sz w:val="21"/>
                <w:szCs w:val="21"/>
                <w:lang w:eastAsia="zh-CN"/>
              </w:rPr>
              <w:t>26.36</w:t>
            </w:r>
          </w:p>
        </w:tc>
      </w:tr>
    </w:tbl>
    <w:p>
      <w:pPr>
        <w:pStyle w:val="6"/>
        <w:rPr>
          <w:szCs w:val="22"/>
          <w:lang w:eastAsia="zh-CN"/>
        </w:rPr>
      </w:pPr>
      <w:bookmarkStart w:id="427" w:name="_Toc163812622"/>
      <w:bookmarkStart w:id="428" w:name="_Toc167095245"/>
      <w:r>
        <w:rPr>
          <w:rFonts w:hint="eastAsia"/>
          <w:szCs w:val="22"/>
          <w:lang w:eastAsia="zh-CN"/>
        </w:rPr>
        <w:t>6</w:t>
      </w:r>
      <w:r>
        <w:rPr>
          <w:szCs w:val="22"/>
          <w:lang w:eastAsia="zh-CN"/>
        </w:rPr>
        <w:t>.1.2 地表水环境质量监测与评价</w:t>
      </w:r>
      <w:bookmarkEnd w:id="427"/>
      <w:bookmarkEnd w:id="428"/>
    </w:p>
    <w:p>
      <w:pPr>
        <w:spacing w:line="360" w:lineRule="auto"/>
        <w:ind w:firstLine="480" w:firstLineChars="200"/>
        <w:rPr>
          <w:rFonts w:hAnsi="Times New Roman" w:eastAsia="宋体"/>
          <w:bCs/>
          <w:kern w:val="2"/>
          <w:szCs w:val="24"/>
          <w:lang w:eastAsia="zh-CN"/>
        </w:rPr>
      </w:pPr>
      <w:r>
        <w:rPr>
          <w:rFonts w:hAnsi="Times New Roman" w:eastAsia="宋体"/>
          <w:bCs/>
          <w:kern w:val="2"/>
          <w:szCs w:val="24"/>
          <w:lang w:eastAsia="zh-CN"/>
        </w:rPr>
        <w:t>由章节</w:t>
      </w:r>
      <w:r>
        <w:rPr>
          <w:rFonts w:hint="eastAsia" w:hAnsi="Times New Roman" w:eastAsia="宋体"/>
          <w:bCs/>
          <w:kern w:val="2"/>
          <w:szCs w:val="24"/>
          <w:lang w:eastAsia="zh-CN"/>
        </w:rPr>
        <w:t>3</w:t>
      </w:r>
      <w:r>
        <w:rPr>
          <w:rFonts w:hAnsi="Times New Roman" w:eastAsia="宋体"/>
          <w:bCs/>
          <w:kern w:val="2"/>
          <w:szCs w:val="24"/>
          <w:lang w:eastAsia="zh-CN"/>
        </w:rPr>
        <w:t>.2.2地表水质量现状调查与评价可知，根据现状补充监测，项目排污口</w:t>
      </w:r>
      <w:r>
        <w:rPr>
          <w:rFonts w:hint="eastAsia" w:hAnsi="Times New Roman" w:eastAsia="宋体"/>
          <w:bCs/>
          <w:kern w:val="2"/>
          <w:szCs w:val="24"/>
          <w:lang w:eastAsia="zh-CN"/>
        </w:rPr>
        <w:t>新宁河</w:t>
      </w:r>
      <w:r>
        <w:rPr>
          <w:rFonts w:hAnsi="Times New Roman" w:eastAsia="宋体"/>
          <w:bCs/>
          <w:kern w:val="2"/>
          <w:szCs w:val="24"/>
          <w:lang w:eastAsia="zh-CN"/>
        </w:rPr>
        <w:t>上游500m</w:t>
      </w:r>
      <w:r>
        <w:rPr>
          <w:rFonts w:hint="eastAsia" w:hAnsi="Times New Roman" w:eastAsia="宋体"/>
          <w:bCs/>
          <w:kern w:val="2"/>
          <w:szCs w:val="24"/>
          <w:lang w:eastAsia="zh-CN"/>
        </w:rPr>
        <w:t>、</w:t>
      </w:r>
      <w:r>
        <w:rPr>
          <w:rFonts w:hAnsi="Times New Roman" w:eastAsia="宋体"/>
          <w:bCs/>
          <w:kern w:val="2"/>
          <w:szCs w:val="24"/>
          <w:lang w:eastAsia="zh-CN"/>
        </w:rPr>
        <w:t>项目排污口</w:t>
      </w:r>
      <w:r>
        <w:rPr>
          <w:rFonts w:hint="eastAsia" w:hAnsi="Times New Roman" w:eastAsia="宋体"/>
          <w:bCs/>
          <w:kern w:val="2"/>
          <w:szCs w:val="24"/>
          <w:lang w:eastAsia="zh-CN"/>
        </w:rPr>
        <w:t>新宁</w:t>
      </w:r>
      <w:r>
        <w:rPr>
          <w:rFonts w:hAnsi="Times New Roman" w:eastAsia="宋体"/>
          <w:bCs/>
          <w:kern w:val="2"/>
          <w:szCs w:val="24"/>
          <w:lang w:eastAsia="zh-CN"/>
        </w:rPr>
        <w:t>河</w:t>
      </w:r>
      <w:r>
        <w:rPr>
          <w:rFonts w:hint="eastAsia" w:hAnsi="Times New Roman" w:eastAsia="宋体"/>
          <w:bCs/>
          <w:kern w:val="2"/>
          <w:szCs w:val="24"/>
          <w:lang w:eastAsia="zh-CN"/>
        </w:rPr>
        <w:t>下游1000m</w:t>
      </w:r>
      <w:r>
        <w:rPr>
          <w:rFonts w:hAnsi="Times New Roman" w:eastAsia="宋体"/>
          <w:bCs/>
          <w:kern w:val="2"/>
          <w:szCs w:val="24"/>
          <w:lang w:eastAsia="zh-CN"/>
        </w:rPr>
        <w:t>监测断面的各监测指标均能满足《地表水质量标准》（GB3838-2002）Ⅲ类标准。</w:t>
      </w:r>
    </w:p>
    <w:p>
      <w:pPr>
        <w:pStyle w:val="5"/>
        <w:rPr>
          <w:rFonts w:ascii="Times New Roman" w:hAnsi="Times New Roman"/>
          <w:lang w:eastAsia="zh-CN"/>
        </w:rPr>
      </w:pPr>
      <w:bookmarkStart w:id="429" w:name="_Toc163749178"/>
      <w:bookmarkStart w:id="430" w:name="_Toc167095246"/>
      <w:r>
        <w:rPr>
          <w:rFonts w:ascii="Times New Roman" w:hAnsi="Times New Roman"/>
          <w:lang w:eastAsia="zh-CN"/>
        </w:rPr>
        <w:t>6.</w:t>
      </w:r>
      <w:r>
        <w:rPr>
          <w:rFonts w:hint="eastAsia" w:ascii="Times New Roman" w:hAnsi="Times New Roman"/>
          <w:lang w:eastAsia="zh-CN"/>
        </w:rPr>
        <w:t>2</w:t>
      </w:r>
      <w:r>
        <w:rPr>
          <w:rFonts w:ascii="Times New Roman" w:hAnsi="Times New Roman"/>
          <w:lang w:eastAsia="zh-CN"/>
        </w:rPr>
        <w:t xml:space="preserve"> 建设期地表水环境影响分析与防治措施</w:t>
      </w:r>
      <w:bookmarkEnd w:id="429"/>
      <w:bookmarkEnd w:id="430"/>
    </w:p>
    <w:p>
      <w:pPr>
        <w:pStyle w:val="6"/>
        <w:rPr>
          <w:lang w:eastAsia="zh-CN"/>
        </w:rPr>
      </w:pPr>
      <w:bookmarkStart w:id="431" w:name="_Toc163812624"/>
      <w:bookmarkStart w:id="432" w:name="_Toc167095247"/>
      <w:r>
        <w:rPr>
          <w:lang w:eastAsia="zh-CN"/>
        </w:rPr>
        <w:t>6.</w:t>
      </w:r>
      <w:r>
        <w:rPr>
          <w:rFonts w:hint="eastAsia"/>
          <w:lang w:eastAsia="zh-CN"/>
        </w:rPr>
        <w:t>2</w:t>
      </w:r>
      <w:r>
        <w:rPr>
          <w:lang w:eastAsia="zh-CN"/>
        </w:rPr>
        <w:t>.1 建设期地表水环境影响分析</w:t>
      </w:r>
      <w:bookmarkEnd w:id="431"/>
      <w:bookmarkEnd w:id="432"/>
    </w:p>
    <w:p>
      <w:pPr>
        <w:spacing w:line="360" w:lineRule="auto"/>
        <w:ind w:firstLine="480" w:firstLineChars="200"/>
        <w:rPr>
          <w:rFonts w:hAnsi="Times New Roman" w:eastAsia="宋体"/>
          <w:lang w:eastAsia="zh-CN"/>
        </w:rPr>
      </w:pPr>
      <w:r>
        <w:rPr>
          <w:rFonts w:hAnsi="Times New Roman" w:eastAsia="宋体"/>
          <w:lang w:eastAsia="zh-CN"/>
        </w:rPr>
        <w:t>七里峡煤矿独立升级改造主要依托现有工程进行改扩建，根据设计方案，建设期主要工程为井下巷道建设和地面设施建设，故建设期主要水污染源为井下排水及生活污水。</w:t>
      </w:r>
    </w:p>
    <w:p>
      <w:pPr>
        <w:spacing w:line="360" w:lineRule="auto"/>
        <w:ind w:firstLine="482" w:firstLineChars="200"/>
        <w:rPr>
          <w:rFonts w:hAnsi="Times New Roman" w:eastAsia="宋体"/>
          <w:b/>
          <w:bCs/>
          <w:lang w:eastAsia="zh-CN"/>
        </w:rPr>
      </w:pPr>
      <w:r>
        <w:rPr>
          <w:rFonts w:hAnsi="Times New Roman" w:eastAsia="宋体"/>
          <w:b/>
          <w:bCs/>
          <w:lang w:eastAsia="zh-CN"/>
        </w:rPr>
        <w:t>1、井下排水影响分析</w:t>
      </w:r>
    </w:p>
    <w:p>
      <w:pPr>
        <w:spacing w:line="360" w:lineRule="auto"/>
        <w:ind w:firstLine="480" w:firstLineChars="200"/>
        <w:rPr>
          <w:rFonts w:hAnsi="Times New Roman" w:eastAsia="宋体"/>
          <w:lang w:eastAsia="zh-CN"/>
        </w:rPr>
      </w:pPr>
      <w:r>
        <w:rPr>
          <w:rFonts w:hAnsi="Times New Roman" w:eastAsia="宋体"/>
          <w:lang w:eastAsia="zh-CN"/>
        </w:rPr>
        <w:t>七里峡煤矿独立升级改造施工期间井下排水主要源于掘进巷道时形成的基岩渗水和现有采空区矿井涌水，主要污染物为SS，浓度约为300mg/L左右，本次评价要求在井下巷道开拓前，对现有项目的井下废水处理站进行改造，采用“</w:t>
      </w:r>
      <w:r>
        <w:rPr>
          <w:rFonts w:hint="eastAsia" w:hAnsi="Times New Roman" w:eastAsia="宋体"/>
          <w:szCs w:val="24"/>
          <w:lang w:eastAsia="zh-CN"/>
        </w:rPr>
        <w:t>隔油+预沉调节+混凝沉淀+斜管沉淀+石英砂过滤+消毒</w:t>
      </w:r>
      <w:r>
        <w:rPr>
          <w:rFonts w:hAnsi="Times New Roman" w:eastAsia="宋体"/>
          <w:lang w:eastAsia="zh-CN"/>
        </w:rPr>
        <w:t>”处理后一部分用于井下降尘使用，</w:t>
      </w:r>
      <w:r>
        <w:rPr>
          <w:rFonts w:hint="eastAsia" w:hAnsi="Times New Roman" w:eastAsia="宋体"/>
          <w:lang w:eastAsia="zh-CN"/>
        </w:rPr>
        <w:t>剩</w:t>
      </w:r>
      <w:r>
        <w:rPr>
          <w:rFonts w:hAnsi="Times New Roman" w:eastAsia="宋体"/>
          <w:lang w:eastAsia="zh-CN"/>
        </w:rPr>
        <w:t>余部分通过1.5km排水管道引至</w:t>
      </w:r>
      <w:r>
        <w:rPr>
          <w:rFonts w:hint="eastAsia" w:hAnsi="Times New Roman" w:eastAsia="宋体"/>
          <w:lang w:eastAsia="zh-CN"/>
        </w:rPr>
        <w:t>天生镇王一庙</w:t>
      </w:r>
      <w:r>
        <w:rPr>
          <w:rFonts w:hAnsi="Times New Roman" w:eastAsia="宋体"/>
          <w:lang w:eastAsia="zh-CN"/>
        </w:rPr>
        <w:t>水源保护区下游河段</w:t>
      </w:r>
      <w:r>
        <w:rPr>
          <w:rFonts w:hint="eastAsia" w:hAnsi="Times New Roman" w:eastAsia="宋体"/>
          <w:lang w:eastAsia="zh-CN"/>
        </w:rPr>
        <w:t>（新宁河）</w:t>
      </w:r>
      <w:r>
        <w:rPr>
          <w:rFonts w:hAnsi="Times New Roman" w:eastAsia="宋体"/>
          <w:lang w:eastAsia="zh-CN"/>
        </w:rPr>
        <w:t>排放</w:t>
      </w:r>
      <w:r>
        <w:rPr>
          <w:rFonts w:hAnsi="Times New Roman" w:eastAsia="宋体"/>
          <w:bCs/>
          <w:kern w:val="2"/>
          <w:lang w:eastAsia="zh-CN"/>
        </w:rPr>
        <w:t>，</w:t>
      </w:r>
      <w:r>
        <w:rPr>
          <w:rFonts w:hAnsi="Times New Roman" w:eastAsia="宋体"/>
          <w:lang w:eastAsia="zh-CN"/>
        </w:rPr>
        <w:t>排放水质满足《地表水环境质量标准》GB3838-2002 中Ⅲ类限值，因此本项目建设期间的排水对附近地表水环境造成污染影响较小。</w:t>
      </w:r>
    </w:p>
    <w:p>
      <w:pPr>
        <w:spacing w:line="360" w:lineRule="auto"/>
        <w:ind w:firstLine="482" w:firstLineChars="200"/>
        <w:rPr>
          <w:rFonts w:hAnsi="Times New Roman" w:eastAsia="宋体"/>
          <w:b/>
          <w:bCs/>
          <w:lang w:eastAsia="zh-CN"/>
        </w:rPr>
      </w:pPr>
      <w:r>
        <w:rPr>
          <w:rFonts w:hAnsi="Times New Roman" w:eastAsia="宋体"/>
          <w:b/>
          <w:bCs/>
          <w:lang w:eastAsia="zh-CN"/>
        </w:rPr>
        <w:t>2、生活污水</w:t>
      </w:r>
    </w:p>
    <w:p>
      <w:pPr>
        <w:spacing w:line="360" w:lineRule="auto"/>
        <w:ind w:firstLine="480" w:firstLineChars="200"/>
        <w:rPr>
          <w:rFonts w:hAnsi="Times New Roman" w:eastAsia="宋体"/>
          <w:lang w:eastAsia="zh-CN"/>
        </w:rPr>
      </w:pPr>
      <w:r>
        <w:rPr>
          <w:rFonts w:hAnsi="Times New Roman" w:eastAsia="宋体"/>
          <w:lang w:eastAsia="zh-CN"/>
        </w:rPr>
        <w:t>七里峡煤矿独立升级项目施工期间由于生产工人多为当地聘用，生活</w:t>
      </w:r>
      <w:r>
        <w:rPr>
          <w:rFonts w:hint="eastAsia" w:hAnsi="Times New Roman" w:eastAsia="宋体"/>
          <w:lang w:eastAsia="zh-CN"/>
        </w:rPr>
        <w:t>污水</w:t>
      </w:r>
      <w:r>
        <w:rPr>
          <w:rFonts w:hAnsi="Times New Roman" w:eastAsia="宋体"/>
          <w:lang w:eastAsia="zh-CN"/>
        </w:rPr>
        <w:t>产生量较小，产生的生活污水利用现有污水处理设施进行处理。</w:t>
      </w:r>
    </w:p>
    <w:p>
      <w:pPr>
        <w:spacing w:line="360" w:lineRule="auto"/>
        <w:ind w:firstLine="480" w:firstLineChars="200"/>
        <w:rPr>
          <w:rFonts w:hAnsi="Times New Roman" w:eastAsia="宋体"/>
          <w:lang w:eastAsia="zh-CN"/>
        </w:rPr>
      </w:pPr>
      <w:r>
        <w:rPr>
          <w:rFonts w:hAnsi="Times New Roman" w:eastAsia="宋体"/>
          <w:lang w:eastAsia="zh-CN"/>
        </w:rPr>
        <w:t>综上所</w:t>
      </w:r>
      <w:r>
        <w:rPr>
          <w:rFonts w:hint="eastAsia" w:hAnsi="Times New Roman" w:eastAsia="宋体"/>
          <w:lang w:eastAsia="zh-CN"/>
        </w:rPr>
        <w:t>述</w:t>
      </w:r>
      <w:r>
        <w:rPr>
          <w:rFonts w:hAnsi="Times New Roman" w:eastAsia="宋体"/>
          <w:lang w:eastAsia="zh-CN"/>
        </w:rPr>
        <w:t>，七里峡煤矿升级改造施工期间对地表水环境影响较小。</w:t>
      </w:r>
    </w:p>
    <w:p>
      <w:pPr>
        <w:pStyle w:val="6"/>
        <w:rPr>
          <w:lang w:eastAsia="zh-CN"/>
        </w:rPr>
      </w:pPr>
      <w:bookmarkStart w:id="433" w:name="_Toc167095248"/>
      <w:bookmarkStart w:id="434" w:name="_Toc163812625"/>
      <w:r>
        <w:rPr>
          <w:lang w:eastAsia="zh-CN"/>
        </w:rPr>
        <w:t>6.</w:t>
      </w:r>
      <w:r>
        <w:rPr>
          <w:rFonts w:hint="eastAsia"/>
          <w:lang w:eastAsia="zh-CN"/>
        </w:rPr>
        <w:t>2</w:t>
      </w:r>
      <w:r>
        <w:rPr>
          <w:lang w:eastAsia="zh-CN"/>
        </w:rPr>
        <w:t>.2 建设期地表水污染治理措施</w:t>
      </w:r>
      <w:bookmarkEnd w:id="433"/>
      <w:bookmarkEnd w:id="434"/>
    </w:p>
    <w:p>
      <w:pPr>
        <w:spacing w:line="360" w:lineRule="auto"/>
        <w:ind w:firstLine="480" w:firstLineChars="200"/>
        <w:rPr>
          <w:rFonts w:hAnsi="Times New Roman" w:eastAsia="宋体"/>
          <w:lang w:eastAsia="zh-CN"/>
        </w:rPr>
      </w:pPr>
      <w:r>
        <w:rPr>
          <w:rFonts w:hAnsi="Times New Roman" w:eastAsia="宋体"/>
          <w:lang w:eastAsia="zh-CN"/>
        </w:rPr>
        <w:t>本次评价要求在井下巷道开拓前，对现有项目的井下废水处理站进行改造，采用“</w:t>
      </w:r>
      <w:r>
        <w:rPr>
          <w:rFonts w:hint="eastAsia" w:hAnsi="Times New Roman" w:eastAsia="宋体"/>
          <w:szCs w:val="24"/>
          <w:lang w:eastAsia="zh-CN"/>
        </w:rPr>
        <w:t>隔油+预沉调节+混凝沉淀+斜管沉淀+石英砂过滤+消毒</w:t>
      </w:r>
      <w:r>
        <w:rPr>
          <w:rFonts w:hAnsi="Times New Roman" w:eastAsia="宋体"/>
          <w:lang w:eastAsia="zh-CN"/>
        </w:rPr>
        <w:t>”工艺，施工期间的井下排水通过改造的废水处理站处理后一部分用泵抽至高位水池用于井下降尘使用，其余部分排放至新宁河；施工期间生活污水经过污水处理一体化设备处理后达标排放。本次评价要求施工期间采取以下污染控制措施：</w:t>
      </w:r>
    </w:p>
    <w:p>
      <w:pPr>
        <w:spacing w:line="360" w:lineRule="auto"/>
        <w:ind w:firstLine="480" w:firstLineChars="200"/>
        <w:rPr>
          <w:rFonts w:hAnsi="Times New Roman" w:eastAsia="宋体"/>
          <w:lang w:eastAsia="zh-CN"/>
        </w:rPr>
      </w:pPr>
      <w:r>
        <w:rPr>
          <w:rFonts w:hAnsi="Times New Roman" w:eastAsia="宋体"/>
          <w:lang w:eastAsia="zh-CN"/>
        </w:rPr>
        <w:t>1、加强管理，施工期间产生的废水不可任意直接排放，尽量减少物料流失、散落和溢流等现象的发生；</w:t>
      </w:r>
    </w:p>
    <w:p>
      <w:pPr>
        <w:spacing w:line="360" w:lineRule="auto"/>
        <w:ind w:firstLine="480" w:firstLineChars="200"/>
        <w:rPr>
          <w:rFonts w:hAnsi="Times New Roman" w:eastAsia="宋体"/>
          <w:lang w:eastAsia="zh-CN"/>
        </w:rPr>
      </w:pPr>
      <w:r>
        <w:rPr>
          <w:rFonts w:hAnsi="Times New Roman" w:eastAsia="宋体"/>
          <w:lang w:eastAsia="zh-CN"/>
        </w:rPr>
        <w:t>2、加强对生活污水处理站和矿井水处理站的维护和管理，确保井下废水和生活污水经处理后优先利用，以减轻建设期污水对地表水体的污染影响。</w:t>
      </w:r>
    </w:p>
    <w:p>
      <w:pPr>
        <w:spacing w:line="360" w:lineRule="auto"/>
        <w:ind w:firstLine="480" w:firstLineChars="200"/>
        <w:rPr>
          <w:rFonts w:hAnsi="Times New Roman" w:eastAsia="宋体"/>
          <w:lang w:eastAsia="zh-CN"/>
        </w:rPr>
      </w:pPr>
      <w:r>
        <w:rPr>
          <w:rFonts w:hAnsi="Times New Roman" w:eastAsia="宋体"/>
          <w:lang w:eastAsia="zh-CN"/>
        </w:rPr>
        <w:t>3、加强对场地内污水管网的维护，及时疏通管网，确保污水收集。</w:t>
      </w:r>
    </w:p>
    <w:p>
      <w:pPr>
        <w:spacing w:line="360" w:lineRule="auto"/>
        <w:ind w:firstLine="480" w:firstLineChars="200"/>
        <w:rPr>
          <w:rFonts w:hAnsi="Times New Roman" w:eastAsia="宋体"/>
          <w:lang w:eastAsia="zh-CN"/>
        </w:rPr>
      </w:pPr>
      <w:r>
        <w:rPr>
          <w:rFonts w:hAnsi="Times New Roman" w:eastAsia="宋体"/>
          <w:lang w:eastAsia="zh-CN"/>
        </w:rPr>
        <w:t>4、不设置施工营地，利用工业场地内的宿舍或租赁附近农村民房，防止生活污水乱排。</w:t>
      </w:r>
    </w:p>
    <w:p>
      <w:pPr>
        <w:pStyle w:val="5"/>
        <w:rPr>
          <w:rFonts w:ascii="Times New Roman" w:hAnsi="Times New Roman"/>
          <w:lang w:eastAsia="zh-CN"/>
        </w:rPr>
      </w:pPr>
      <w:bookmarkStart w:id="435" w:name="_Toc167095249"/>
      <w:bookmarkStart w:id="436" w:name="_Toc163749179"/>
      <w:r>
        <w:rPr>
          <w:rFonts w:ascii="Times New Roman" w:hAnsi="Times New Roman"/>
          <w:lang w:eastAsia="zh-CN"/>
        </w:rPr>
        <w:t>6.</w:t>
      </w:r>
      <w:r>
        <w:rPr>
          <w:rFonts w:hint="eastAsia" w:ascii="Times New Roman" w:hAnsi="Times New Roman"/>
          <w:lang w:eastAsia="zh-CN"/>
        </w:rPr>
        <w:t>3</w:t>
      </w:r>
      <w:r>
        <w:rPr>
          <w:rFonts w:ascii="Times New Roman" w:hAnsi="Times New Roman"/>
          <w:lang w:eastAsia="zh-CN"/>
        </w:rPr>
        <w:t xml:space="preserve"> 运营期地表水环境影响预测与评价</w:t>
      </w:r>
      <w:bookmarkEnd w:id="435"/>
      <w:bookmarkEnd w:id="436"/>
    </w:p>
    <w:p>
      <w:pPr>
        <w:pStyle w:val="6"/>
        <w:rPr>
          <w:szCs w:val="22"/>
          <w:lang w:eastAsia="zh-CN"/>
        </w:rPr>
      </w:pPr>
      <w:bookmarkStart w:id="437" w:name="_Toc163812627"/>
      <w:bookmarkStart w:id="438" w:name="_Toc167095250"/>
      <w:r>
        <w:rPr>
          <w:szCs w:val="22"/>
          <w:lang w:eastAsia="zh-CN"/>
        </w:rPr>
        <w:t>6.</w:t>
      </w:r>
      <w:r>
        <w:rPr>
          <w:rFonts w:hint="eastAsia"/>
          <w:szCs w:val="22"/>
          <w:lang w:eastAsia="zh-CN"/>
        </w:rPr>
        <w:t>3</w:t>
      </w:r>
      <w:r>
        <w:rPr>
          <w:szCs w:val="22"/>
          <w:lang w:eastAsia="zh-CN"/>
        </w:rPr>
        <w:t>.1废水排放</w:t>
      </w:r>
      <w:r>
        <w:rPr>
          <w:rFonts w:hint="eastAsia"/>
          <w:szCs w:val="22"/>
          <w:lang w:eastAsia="zh-CN"/>
        </w:rPr>
        <w:t>源强分析</w:t>
      </w:r>
      <w:bookmarkEnd w:id="437"/>
      <w:bookmarkEnd w:id="438"/>
    </w:p>
    <w:p>
      <w:pPr>
        <w:spacing w:line="360" w:lineRule="auto"/>
        <w:ind w:firstLine="480" w:firstLineChars="200"/>
        <w:rPr>
          <w:rFonts w:hAnsi="Times New Roman" w:eastAsia="宋体"/>
          <w:szCs w:val="22"/>
          <w:lang w:eastAsia="zh-CN"/>
        </w:rPr>
      </w:pPr>
      <w:r>
        <w:rPr>
          <w:rFonts w:hAnsi="Times New Roman" w:eastAsia="宋体"/>
          <w:szCs w:val="22"/>
          <w:lang w:eastAsia="zh-CN"/>
        </w:rPr>
        <w:t>矿井涌水先进入+200m水平主、副水仓（总容积约</w:t>
      </w:r>
      <w:r>
        <w:rPr>
          <w:rFonts w:hint="eastAsia" w:hAnsi="Times New Roman" w:eastAsia="宋体"/>
          <w:szCs w:val="22"/>
          <w:lang w:eastAsia="zh-CN"/>
        </w:rPr>
        <w:t>2000</w:t>
      </w:r>
      <w:r>
        <w:rPr>
          <w:rFonts w:hAnsi="Times New Roman" w:eastAsia="宋体"/>
          <w:szCs w:val="22"/>
          <w:lang w:eastAsia="zh-CN"/>
        </w:rPr>
        <w:t>m</w:t>
      </w:r>
      <w:r>
        <w:rPr>
          <w:rFonts w:hAnsi="Times New Roman" w:eastAsia="宋体"/>
          <w:szCs w:val="22"/>
          <w:vertAlign w:val="superscript"/>
          <w:lang w:eastAsia="zh-CN"/>
        </w:rPr>
        <w:t>3</w:t>
      </w:r>
      <w:r>
        <w:rPr>
          <w:rFonts w:hAnsi="Times New Roman" w:eastAsia="宋体"/>
          <w:szCs w:val="22"/>
          <w:lang w:eastAsia="zh-CN"/>
        </w:rPr>
        <w:t>），经沉淀后抽送至+</w:t>
      </w:r>
      <w:r>
        <w:rPr>
          <w:rFonts w:hint="eastAsia" w:hAnsi="Times New Roman" w:eastAsia="宋体"/>
          <w:szCs w:val="22"/>
          <w:lang w:eastAsia="zh-CN"/>
        </w:rPr>
        <w:t>379</w:t>
      </w:r>
      <w:r>
        <w:rPr>
          <w:rFonts w:hAnsi="Times New Roman" w:eastAsia="宋体"/>
          <w:szCs w:val="22"/>
          <w:lang w:eastAsia="zh-CN"/>
        </w:rPr>
        <w:t>m水平处的矿井水处理设施，采用“</w:t>
      </w:r>
      <w:r>
        <w:rPr>
          <w:rFonts w:hint="eastAsia" w:hAnsi="Times New Roman" w:eastAsia="宋体"/>
          <w:szCs w:val="24"/>
          <w:lang w:eastAsia="zh-CN"/>
        </w:rPr>
        <w:t>隔油+预沉调节+混凝沉淀+斜管沉淀+石英砂过滤+消毒</w:t>
      </w:r>
      <w:r>
        <w:rPr>
          <w:rFonts w:hAnsi="Times New Roman" w:eastAsia="宋体"/>
          <w:szCs w:val="22"/>
          <w:lang w:eastAsia="zh-CN"/>
        </w:rPr>
        <w:t>”处理工艺，处理能力</w:t>
      </w:r>
      <w:r>
        <w:rPr>
          <w:rFonts w:hint="eastAsia" w:hAnsi="Times New Roman" w:eastAsia="宋体"/>
          <w:szCs w:val="22"/>
          <w:lang w:eastAsia="zh-CN"/>
        </w:rPr>
        <w:t>4</w:t>
      </w:r>
      <w:r>
        <w:rPr>
          <w:rFonts w:hAnsi="Times New Roman" w:eastAsia="宋体"/>
          <w:szCs w:val="22"/>
          <w:lang w:eastAsia="zh-CN"/>
        </w:rPr>
        <w:t>00m</w:t>
      </w:r>
      <w:r>
        <w:rPr>
          <w:rFonts w:hAnsi="Times New Roman" w:eastAsia="宋体"/>
          <w:szCs w:val="22"/>
          <w:vertAlign w:val="superscript"/>
          <w:lang w:eastAsia="zh-CN"/>
        </w:rPr>
        <w:t>3</w:t>
      </w:r>
      <w:r>
        <w:rPr>
          <w:rFonts w:hAnsi="Times New Roman" w:eastAsia="宋体"/>
          <w:szCs w:val="22"/>
          <w:lang w:eastAsia="zh-CN"/>
        </w:rPr>
        <w:t>/h，经处理后的矿井涌水一部分（</w:t>
      </w:r>
      <w:r>
        <w:rPr>
          <w:rFonts w:hint="eastAsia" w:hAnsi="Times New Roman" w:eastAsia="宋体"/>
          <w:szCs w:val="22"/>
          <w:lang w:eastAsia="zh-CN"/>
        </w:rPr>
        <w:t>531.414</w:t>
      </w:r>
      <w:r>
        <w:rPr>
          <w:rFonts w:hAnsi="Times New Roman" w:eastAsia="宋体"/>
          <w:szCs w:val="22"/>
          <w:lang w:eastAsia="zh-CN"/>
        </w:rPr>
        <w:t>m</w:t>
      </w:r>
      <w:r>
        <w:rPr>
          <w:rFonts w:hAnsi="Times New Roman" w:eastAsia="宋体"/>
          <w:szCs w:val="22"/>
          <w:vertAlign w:val="superscript"/>
          <w:lang w:eastAsia="zh-CN"/>
        </w:rPr>
        <w:t>3</w:t>
      </w:r>
      <w:r>
        <w:rPr>
          <w:rFonts w:hAnsi="Times New Roman" w:eastAsia="宋体"/>
          <w:szCs w:val="22"/>
          <w:lang w:eastAsia="zh-CN"/>
        </w:rPr>
        <w:t>/d）抽至高位水池作为井下降尘及地面生产用水等使用，其余部分通过1.5km排水管道引至天生镇王一庙水源保护区下游河段（新宁河）排放。正常涌水外排量为</w:t>
      </w:r>
      <w:r>
        <w:rPr>
          <w:rFonts w:hint="eastAsia" w:hAnsi="Times New Roman" w:eastAsia="宋体"/>
          <w:szCs w:val="22"/>
          <w:lang w:eastAsia="zh-CN"/>
        </w:rPr>
        <w:t>3018.186</w:t>
      </w:r>
      <w:r>
        <w:rPr>
          <w:rFonts w:hAnsi="Times New Roman" w:eastAsia="宋体"/>
          <w:szCs w:val="22"/>
          <w:lang w:eastAsia="zh-CN"/>
        </w:rPr>
        <w:t>m</w:t>
      </w:r>
      <w:r>
        <w:rPr>
          <w:rFonts w:hAnsi="Times New Roman" w:eastAsia="宋体"/>
          <w:szCs w:val="22"/>
          <w:vertAlign w:val="superscript"/>
          <w:lang w:eastAsia="zh-CN"/>
        </w:rPr>
        <w:t>3</w:t>
      </w:r>
      <w:r>
        <w:rPr>
          <w:rFonts w:hAnsi="Times New Roman" w:eastAsia="宋体"/>
          <w:szCs w:val="22"/>
          <w:lang w:eastAsia="zh-CN"/>
        </w:rPr>
        <w:t>/d， 最大涌水外排量为</w:t>
      </w:r>
      <w:r>
        <w:rPr>
          <w:rFonts w:hint="eastAsia" w:hAnsi="Times New Roman" w:eastAsia="宋体"/>
          <w:szCs w:val="22"/>
          <w:lang w:eastAsia="zh-CN"/>
        </w:rPr>
        <w:t>4794.186</w:t>
      </w:r>
      <w:r>
        <w:rPr>
          <w:rFonts w:hAnsi="Times New Roman" w:eastAsia="宋体"/>
          <w:szCs w:val="22"/>
          <w:lang w:eastAsia="zh-CN"/>
        </w:rPr>
        <w:t>m</w:t>
      </w:r>
      <w:r>
        <w:rPr>
          <w:rFonts w:hAnsi="Times New Roman" w:eastAsia="宋体"/>
          <w:szCs w:val="22"/>
          <w:vertAlign w:val="superscript"/>
          <w:lang w:eastAsia="zh-CN"/>
        </w:rPr>
        <w:t>3</w:t>
      </w:r>
      <w:r>
        <w:rPr>
          <w:rFonts w:hAnsi="Times New Roman" w:eastAsia="宋体"/>
          <w:szCs w:val="22"/>
          <w:lang w:eastAsia="zh-CN"/>
        </w:rPr>
        <w:t>/d。</w:t>
      </w:r>
    </w:p>
    <w:p>
      <w:pPr>
        <w:spacing w:line="360" w:lineRule="auto"/>
        <w:ind w:firstLine="480" w:firstLineChars="200"/>
        <w:rPr>
          <w:rFonts w:hAnsi="Times New Roman" w:eastAsia="宋体"/>
          <w:szCs w:val="22"/>
          <w:lang w:eastAsia="zh-CN"/>
        </w:rPr>
      </w:pPr>
      <w:r>
        <w:rPr>
          <w:rFonts w:hAnsi="Times New Roman" w:eastAsia="宋体"/>
          <w:szCs w:val="22"/>
          <w:lang w:eastAsia="zh-CN"/>
        </w:rPr>
        <w:t>综合考虑本河段的水文特征、河势特征、污水上溯最大距离及可能产生的对下游的最大影响区域，参照HJ2.3-2018的有关规定，确定本项目地表水环境影响评价范围拟定为“</w:t>
      </w:r>
      <w:r>
        <w:rPr>
          <w:rFonts w:hint="eastAsia" w:hAnsi="Times New Roman" w:eastAsia="宋体"/>
          <w:szCs w:val="22"/>
          <w:lang w:eastAsia="zh-CN"/>
        </w:rPr>
        <w:t>项目</w:t>
      </w:r>
      <w:r>
        <w:rPr>
          <w:rFonts w:hAnsi="Times New Roman" w:eastAsia="宋体"/>
          <w:szCs w:val="22"/>
          <w:lang w:eastAsia="zh-CN"/>
        </w:rPr>
        <w:t>汇入</w:t>
      </w:r>
      <w:r>
        <w:rPr>
          <w:rFonts w:hint="eastAsia" w:hAnsi="Times New Roman" w:eastAsia="宋体"/>
          <w:szCs w:val="22"/>
          <w:lang w:eastAsia="zh-CN"/>
        </w:rPr>
        <w:t>新宁</w:t>
      </w:r>
      <w:r>
        <w:rPr>
          <w:rFonts w:hAnsi="Times New Roman" w:eastAsia="宋体"/>
          <w:szCs w:val="22"/>
          <w:lang w:eastAsia="zh-CN"/>
        </w:rPr>
        <w:t>河断面上游500m至下游</w:t>
      </w:r>
      <w:r>
        <w:rPr>
          <w:rFonts w:hint="eastAsia" w:hAnsi="Times New Roman" w:eastAsia="宋体"/>
          <w:szCs w:val="22"/>
          <w:lang w:eastAsia="zh-CN"/>
        </w:rPr>
        <w:t>3</w:t>
      </w:r>
      <w:r>
        <w:rPr>
          <w:rFonts w:hAnsi="Times New Roman" w:eastAsia="宋体"/>
          <w:szCs w:val="22"/>
          <w:lang w:eastAsia="zh-CN"/>
        </w:rPr>
        <w:t>000m处”。拟定的地表水评价范围内，除本项目外，无其他工矿企业外排水。</w:t>
      </w:r>
    </w:p>
    <w:p>
      <w:pPr>
        <w:pStyle w:val="6"/>
        <w:rPr>
          <w:lang w:eastAsia="zh-CN"/>
        </w:rPr>
      </w:pPr>
      <w:bookmarkStart w:id="439" w:name="_Toc163812628"/>
      <w:bookmarkStart w:id="440" w:name="_Toc167095251"/>
      <w:r>
        <w:rPr>
          <w:lang w:eastAsia="zh-CN"/>
        </w:rPr>
        <w:t>6.</w:t>
      </w:r>
      <w:r>
        <w:rPr>
          <w:rFonts w:hint="eastAsia"/>
          <w:lang w:eastAsia="zh-CN"/>
        </w:rPr>
        <w:t>3</w:t>
      </w:r>
      <w:r>
        <w:rPr>
          <w:lang w:eastAsia="zh-CN"/>
        </w:rPr>
        <w:t>.</w:t>
      </w:r>
      <w:r>
        <w:rPr>
          <w:rFonts w:hint="eastAsia"/>
          <w:lang w:eastAsia="zh-CN"/>
        </w:rPr>
        <w:t>2</w:t>
      </w:r>
      <w:r>
        <w:rPr>
          <w:lang w:eastAsia="zh-CN"/>
        </w:rPr>
        <w:t xml:space="preserve"> </w:t>
      </w:r>
      <w:r>
        <w:rPr>
          <w:szCs w:val="22"/>
          <w:lang w:eastAsia="zh-CN"/>
        </w:rPr>
        <w:t>废水排放影响预测</w:t>
      </w:r>
      <w:bookmarkEnd w:id="439"/>
      <w:bookmarkEnd w:id="440"/>
    </w:p>
    <w:p>
      <w:pPr>
        <w:pStyle w:val="14"/>
        <w:overflowPunct w:val="0"/>
        <w:spacing w:line="360" w:lineRule="auto"/>
        <w:ind w:firstLine="482" w:firstLineChars="200"/>
        <w:rPr>
          <w:rFonts w:ascii="Times New Roman" w:hAnsi="Times New Roman"/>
          <w:b/>
          <w:bCs w:val="0"/>
          <w:sz w:val="24"/>
          <w:lang w:eastAsia="zh-CN"/>
        </w:rPr>
      </w:pPr>
      <w:r>
        <w:rPr>
          <w:rFonts w:hint="eastAsia" w:ascii="Times New Roman" w:hAnsi="Times New Roman"/>
          <w:b/>
          <w:bCs w:val="0"/>
          <w:sz w:val="24"/>
          <w:lang w:eastAsia="zh-CN"/>
        </w:rPr>
        <w:t>1、预测方案</w:t>
      </w:r>
    </w:p>
    <w:p>
      <w:pPr>
        <w:spacing w:line="360" w:lineRule="auto"/>
        <w:ind w:firstLine="480" w:firstLineChars="200"/>
        <w:rPr>
          <w:rFonts w:hAnsi="Times New Roman" w:eastAsia="宋体"/>
          <w:bCs/>
          <w:kern w:val="2"/>
          <w:szCs w:val="24"/>
          <w:lang w:eastAsia="zh-CN"/>
        </w:rPr>
      </w:pPr>
      <w:r>
        <w:rPr>
          <w:rFonts w:hint="eastAsia" w:hAnsi="Times New Roman" w:eastAsia="宋体"/>
          <w:bCs/>
          <w:kern w:val="2"/>
          <w:szCs w:val="24"/>
          <w:lang w:eastAsia="zh-CN"/>
        </w:rPr>
        <w:t>（1）预测时段</w:t>
      </w:r>
    </w:p>
    <w:p>
      <w:pPr>
        <w:spacing w:line="360" w:lineRule="auto"/>
        <w:ind w:firstLine="480" w:firstLineChars="200"/>
        <w:rPr>
          <w:rFonts w:hAnsi="Times New Roman" w:eastAsia="宋体"/>
          <w:bCs/>
          <w:kern w:val="2"/>
          <w:szCs w:val="24"/>
          <w:lang w:eastAsia="zh-CN"/>
        </w:rPr>
      </w:pPr>
      <w:r>
        <w:rPr>
          <w:rFonts w:hint="eastAsia" w:hAnsi="Times New Roman" w:eastAsia="宋体"/>
          <w:bCs/>
          <w:kern w:val="2"/>
          <w:szCs w:val="24"/>
          <w:lang w:eastAsia="zh-CN"/>
        </w:rPr>
        <w:t>根据导则，本项目预测时期确定为新宁河水体自净能力最不利以及水质状况相对较差的枯水期；</w:t>
      </w:r>
    </w:p>
    <w:p>
      <w:pPr>
        <w:spacing w:line="360" w:lineRule="auto"/>
        <w:ind w:firstLine="480" w:firstLineChars="200"/>
        <w:rPr>
          <w:rFonts w:hAnsi="Times New Roman" w:eastAsia="宋体"/>
          <w:bCs/>
          <w:kern w:val="2"/>
          <w:szCs w:val="24"/>
          <w:lang w:eastAsia="zh-CN"/>
        </w:rPr>
      </w:pPr>
      <w:r>
        <w:rPr>
          <w:rFonts w:hint="eastAsia" w:hAnsi="Times New Roman" w:eastAsia="宋体"/>
          <w:bCs/>
          <w:kern w:val="2"/>
          <w:szCs w:val="24"/>
          <w:lang w:eastAsia="zh-CN"/>
        </w:rPr>
        <w:t>（2）预测因子</w:t>
      </w:r>
    </w:p>
    <w:p>
      <w:pPr>
        <w:spacing w:line="360" w:lineRule="auto"/>
        <w:ind w:firstLine="480" w:firstLineChars="200"/>
        <w:rPr>
          <w:rFonts w:hAnsi="Times New Roman" w:eastAsia="宋体"/>
          <w:bCs/>
          <w:kern w:val="2"/>
          <w:szCs w:val="24"/>
          <w:lang w:eastAsia="zh-CN"/>
        </w:rPr>
      </w:pPr>
      <w:r>
        <w:rPr>
          <w:rFonts w:hint="eastAsia" w:hAnsi="Times New Roman" w:eastAsia="宋体"/>
          <w:bCs/>
          <w:kern w:val="2"/>
          <w:szCs w:val="24"/>
          <w:lang w:eastAsia="zh-CN"/>
        </w:rPr>
        <w:t>根据本项目工程分析内容，选用化学需氧量、氨氮、石油类作为预测因子；</w:t>
      </w:r>
    </w:p>
    <w:p>
      <w:pPr>
        <w:spacing w:line="360" w:lineRule="auto"/>
        <w:ind w:firstLine="480" w:firstLineChars="200"/>
        <w:rPr>
          <w:rFonts w:hAnsi="Times New Roman" w:eastAsia="宋体"/>
          <w:bCs/>
          <w:kern w:val="2"/>
          <w:szCs w:val="24"/>
          <w:lang w:eastAsia="zh-CN"/>
        </w:rPr>
      </w:pPr>
      <w:r>
        <w:rPr>
          <w:rFonts w:hint="eastAsia" w:hAnsi="Times New Roman" w:eastAsia="宋体"/>
          <w:bCs/>
          <w:kern w:val="2"/>
          <w:szCs w:val="24"/>
          <w:lang w:eastAsia="zh-CN"/>
        </w:rPr>
        <w:t>（3）预测情景</w:t>
      </w:r>
    </w:p>
    <w:p>
      <w:pPr>
        <w:spacing w:line="360" w:lineRule="auto"/>
        <w:ind w:firstLine="480" w:firstLineChars="200"/>
        <w:rPr>
          <w:rFonts w:hAnsi="Times New Roman" w:eastAsia="宋体"/>
          <w:bCs/>
          <w:kern w:val="2"/>
          <w:szCs w:val="24"/>
          <w:lang w:eastAsia="zh-CN"/>
        </w:rPr>
      </w:pPr>
      <w:r>
        <w:rPr>
          <w:rFonts w:hint="eastAsia" w:hAnsi="Times New Roman" w:eastAsia="宋体"/>
          <w:bCs/>
          <w:kern w:val="2"/>
          <w:szCs w:val="24"/>
          <w:lang w:eastAsia="zh-CN"/>
        </w:rPr>
        <w:t>根据导则7.4.</w:t>
      </w:r>
      <w:r>
        <w:rPr>
          <w:rFonts w:hAnsi="Times New Roman" w:eastAsia="宋体"/>
          <w:bCs/>
          <w:kern w:val="2"/>
          <w:szCs w:val="24"/>
          <w:lang w:eastAsia="zh-CN"/>
        </w:rPr>
        <w:t>2</w:t>
      </w:r>
      <w:r>
        <w:rPr>
          <w:rFonts w:hint="eastAsia" w:hAnsi="Times New Roman" w:eastAsia="宋体"/>
          <w:bCs/>
          <w:kern w:val="2"/>
          <w:szCs w:val="24"/>
          <w:lang w:eastAsia="zh-CN"/>
        </w:rPr>
        <w:t>“生产运行期应预测正常排放、非正常排放两种工况对水环境的影响”，因此本次评价预测项目运行期正常排放和非正常排放两种工况对水环境的影响。本项目非正常情况选用地下涌水处理站故障时，废水处理效率未</w:t>
      </w:r>
      <w:r>
        <w:rPr>
          <w:rFonts w:hAnsi="Times New Roman" w:eastAsia="宋体"/>
          <w:bCs/>
          <w:kern w:val="2"/>
          <w:szCs w:val="24"/>
          <w:lang w:eastAsia="zh-CN"/>
        </w:rPr>
        <w:t>为</w:t>
      </w:r>
      <w:r>
        <w:rPr>
          <w:rFonts w:hint="eastAsia" w:hAnsi="Times New Roman" w:eastAsia="宋体"/>
          <w:bCs/>
          <w:kern w:val="2"/>
          <w:szCs w:val="24"/>
          <w:lang w:eastAsia="zh-CN"/>
        </w:rPr>
        <w:t>0</w:t>
      </w:r>
      <w:r>
        <w:rPr>
          <w:rFonts w:hAnsi="Times New Roman" w:eastAsia="宋体"/>
          <w:bCs/>
          <w:kern w:val="2"/>
          <w:szCs w:val="24"/>
          <w:lang w:eastAsia="zh-CN"/>
        </w:rPr>
        <w:t>，即出水水质为进水水质时进行分析。</w:t>
      </w:r>
    </w:p>
    <w:p>
      <w:pPr>
        <w:spacing w:line="360" w:lineRule="auto"/>
        <w:ind w:firstLine="480" w:firstLineChars="200"/>
        <w:rPr>
          <w:rFonts w:hAnsi="Times New Roman" w:eastAsia="宋体"/>
          <w:bCs/>
          <w:kern w:val="2"/>
          <w:szCs w:val="24"/>
          <w:lang w:eastAsia="zh-CN"/>
        </w:rPr>
      </w:pPr>
      <w:r>
        <w:rPr>
          <w:rFonts w:hAnsi="Times New Roman" w:eastAsia="宋体"/>
          <w:bCs/>
          <w:kern w:val="2"/>
          <w:szCs w:val="24"/>
          <w:lang w:eastAsia="zh-CN"/>
        </w:rPr>
        <w:t>由于本项目地下涌水最大涌水发生时，矿井水中的污染物浓度会较正常涌水时更低，因此</w:t>
      </w:r>
      <w:r>
        <w:rPr>
          <w:rFonts w:hint="eastAsia" w:hAnsi="Times New Roman" w:eastAsia="宋体"/>
          <w:bCs/>
          <w:kern w:val="2"/>
          <w:szCs w:val="24"/>
          <w:lang w:eastAsia="zh-CN"/>
        </w:rPr>
        <w:t>评价主要考虑正常涌水情况下的预测分析。</w:t>
      </w:r>
    </w:p>
    <w:p>
      <w:pPr>
        <w:spacing w:line="360" w:lineRule="auto"/>
        <w:ind w:firstLine="480" w:firstLineChars="200"/>
        <w:rPr>
          <w:rFonts w:hAnsi="Times New Roman" w:eastAsia="宋体"/>
          <w:bCs/>
          <w:kern w:val="2"/>
          <w:szCs w:val="24"/>
          <w:lang w:eastAsia="zh-CN"/>
        </w:rPr>
      </w:pPr>
      <w:r>
        <w:rPr>
          <w:rFonts w:hint="eastAsia" w:hAnsi="Times New Roman" w:eastAsia="宋体"/>
          <w:bCs/>
          <w:kern w:val="2"/>
          <w:szCs w:val="24"/>
          <w:lang w:eastAsia="zh-CN"/>
        </w:rPr>
        <w:t>（4）河流概化</w:t>
      </w:r>
    </w:p>
    <w:p>
      <w:pPr>
        <w:spacing w:line="360" w:lineRule="auto"/>
        <w:ind w:firstLine="480" w:firstLineChars="200"/>
        <w:rPr>
          <w:rFonts w:hAnsi="Times New Roman" w:eastAsia="宋体"/>
          <w:bCs/>
          <w:kern w:val="2"/>
          <w:szCs w:val="24"/>
          <w:lang w:eastAsia="zh-CN"/>
        </w:rPr>
      </w:pPr>
      <w:r>
        <w:rPr>
          <w:rFonts w:hAnsi="Times New Roman" w:eastAsia="宋体"/>
          <w:bCs/>
          <w:kern w:val="2"/>
          <w:szCs w:val="24"/>
          <w:lang w:eastAsia="zh-CN"/>
        </w:rPr>
        <w:t>根据《环境影响评价技术导则-地表水环境》（HJ/T2.3-2018）：预测河段及代表性断面的宽深比≥20时，可视为矩形河段；河段弯曲系数＞1.3时，可视为弯曲河段，其余可概化为平直河段。本项目受纳水体河宽深比＞20，弯曲系数＜1.3，故评价河段可简化为矩形平直河流。</w:t>
      </w:r>
    </w:p>
    <w:p>
      <w:pPr>
        <w:pStyle w:val="14"/>
        <w:overflowPunct w:val="0"/>
        <w:spacing w:line="360" w:lineRule="auto"/>
        <w:ind w:left="687"/>
        <w:rPr>
          <w:rFonts w:ascii="Times New Roman" w:hAnsi="Times New Roman"/>
          <w:b/>
          <w:bCs w:val="0"/>
          <w:sz w:val="24"/>
          <w:lang w:eastAsia="zh-CN"/>
        </w:rPr>
      </w:pPr>
      <w:r>
        <w:rPr>
          <w:rFonts w:hint="eastAsia" w:ascii="Times New Roman" w:hAnsi="Times New Roman"/>
          <w:b/>
          <w:bCs w:val="0"/>
          <w:sz w:val="24"/>
          <w:lang w:eastAsia="zh-CN"/>
        </w:rPr>
        <w:t>2、计算</w:t>
      </w:r>
      <w:r>
        <w:rPr>
          <w:rFonts w:ascii="Times New Roman" w:hAnsi="Times New Roman"/>
          <w:b/>
          <w:bCs w:val="0"/>
          <w:sz w:val="24"/>
        </w:rPr>
        <w:t>模</w:t>
      </w:r>
      <w:r>
        <w:rPr>
          <w:rFonts w:hint="eastAsia" w:ascii="Times New Roman" w:hAnsi="Times New Roman"/>
          <w:b/>
          <w:bCs w:val="0"/>
          <w:sz w:val="24"/>
          <w:lang w:eastAsia="zh-CN"/>
        </w:rPr>
        <w:t>型</w:t>
      </w:r>
    </w:p>
    <w:p>
      <w:pPr>
        <w:spacing w:line="360" w:lineRule="auto"/>
        <w:ind w:firstLine="480" w:firstLineChars="200"/>
        <w:rPr>
          <w:rFonts w:hAnsi="Times New Roman" w:eastAsia="宋体"/>
          <w:bCs/>
          <w:kern w:val="2"/>
          <w:szCs w:val="24"/>
          <w:lang w:eastAsia="zh-CN"/>
        </w:rPr>
      </w:pPr>
      <w:r>
        <w:rPr>
          <w:rFonts w:hAnsi="Times New Roman" w:eastAsia="宋体"/>
          <w:bCs/>
          <w:kern w:val="2"/>
          <w:szCs w:val="24"/>
          <w:lang w:eastAsia="zh-CN"/>
        </w:rPr>
        <w:t>根据本项目出水水质情况，本项目水质经处理后达到《地表水环境质量标准》（GB3838-2002）</w:t>
      </w:r>
      <w:r>
        <w:rPr>
          <w:rFonts w:hint="eastAsia" w:hAnsi="Times New Roman" w:eastAsia="宋体"/>
          <w:bCs/>
          <w:kern w:val="2"/>
          <w:szCs w:val="24"/>
          <w:lang w:eastAsia="zh-CN"/>
        </w:rPr>
        <w:t>Ⅲ类水质</w:t>
      </w:r>
      <w:r>
        <w:rPr>
          <w:rFonts w:hAnsi="Times New Roman" w:eastAsia="宋体"/>
          <w:bCs/>
          <w:kern w:val="2"/>
          <w:szCs w:val="24"/>
          <w:lang w:eastAsia="zh-CN"/>
        </w:rPr>
        <w:t>标准，本次评价混合过程段预测模式拟采用导则平面二维数学模型解析法中的连续稳定排放，考虑岸边反射影响的宽浅型平直恒定均匀河流，岸边点源稳定排放，浓度分布公式</w:t>
      </w:r>
      <w:r>
        <w:rPr>
          <w:rFonts w:hint="eastAsia" w:hAnsi="Times New Roman" w:eastAsia="宋体"/>
          <w:bCs/>
          <w:kern w:val="2"/>
          <w:szCs w:val="24"/>
          <w:lang w:eastAsia="zh-CN"/>
        </w:rPr>
        <w:t>。</w:t>
      </w:r>
    </w:p>
    <w:p>
      <w:pPr>
        <w:spacing w:line="360" w:lineRule="auto"/>
        <w:ind w:firstLine="480" w:firstLineChars="200"/>
        <w:rPr>
          <w:rFonts w:hAnsi="Times New Roman" w:eastAsia="宋体"/>
          <w:szCs w:val="24"/>
          <w:lang w:eastAsia="zh-CN"/>
        </w:rPr>
      </w:pPr>
      <w:r>
        <w:rPr>
          <w:rFonts w:hAnsi="Times New Roman" w:eastAsia="宋体"/>
          <w:szCs w:val="24"/>
          <w:lang w:eastAsia="zh-CN"/>
        </w:rPr>
        <w:t>（1）混合过程</w:t>
      </w:r>
      <w:r>
        <w:rPr>
          <w:rFonts w:hint="eastAsia" w:hAnsi="Times New Roman" w:eastAsia="宋体"/>
          <w:szCs w:val="24"/>
          <w:lang w:val="en-US" w:eastAsia="zh-CN"/>
        </w:rPr>
        <w:t>段</w:t>
      </w:r>
      <w:r>
        <w:rPr>
          <w:rFonts w:hAnsi="Times New Roman" w:eastAsia="宋体"/>
          <w:szCs w:val="24"/>
          <w:lang w:eastAsia="zh-CN"/>
        </w:rPr>
        <w:t>长度估算公式</w:t>
      </w:r>
    </w:p>
    <w:p>
      <w:pPr>
        <w:spacing w:line="360" w:lineRule="auto"/>
        <w:jc w:val="center"/>
        <w:rPr>
          <w:rFonts w:hAnsi="Times New Roman" w:eastAsia="宋体"/>
          <w:szCs w:val="24"/>
          <w:lang w:eastAsia="zh-CN"/>
        </w:rPr>
      </w:pPr>
      <w:r>
        <w:rPr>
          <w:rFonts w:hAnsi="Times New Roman" w:eastAsia="宋体"/>
          <w:szCs w:val="24"/>
          <w:lang w:eastAsia="zh-CN"/>
        </w:rPr>
        <w:object>
          <v:shape id="_x0000_i1058" o:spt="75" type="#_x0000_t75" style="height:64pt;width:244pt;" o:ole="t" fillcolor="#6D6D6D" filled="f" o:preferrelative="t" stroked="f" coordsize="21600,21600">
            <v:path/>
            <v:fill on="f" focussize="0,0"/>
            <v:stroke on="f" joinstyle="miter"/>
            <v:imagedata r:id="rId226" o:title=""/>
            <o:lock v:ext="edit" aspectratio="t"/>
            <w10:wrap type="none"/>
            <w10:anchorlock/>
          </v:shape>
          <o:OLEObject Type="Embed" ProgID="Equation.3" ShapeID="_x0000_i1058" DrawAspect="Content" ObjectID="_1468075756" r:id="rId225">
            <o:LockedField>false</o:LockedField>
          </o:OLEObject>
        </w:object>
      </w:r>
    </w:p>
    <w:p>
      <w:pPr>
        <w:spacing w:line="360" w:lineRule="auto"/>
        <w:ind w:firstLine="480" w:firstLineChars="200"/>
        <w:rPr>
          <w:rFonts w:hAnsi="Times New Roman" w:eastAsia="宋体"/>
          <w:szCs w:val="24"/>
          <w:lang w:eastAsia="zh-CN"/>
        </w:rPr>
      </w:pPr>
      <w:r>
        <w:rPr>
          <w:rFonts w:hAnsi="Times New Roman" w:eastAsia="宋体"/>
          <w:szCs w:val="24"/>
          <w:lang w:eastAsia="zh-CN"/>
        </w:rPr>
        <w:t>式中：</w:t>
      </w:r>
      <w:r>
        <w:rPr>
          <w:rFonts w:hAnsi="Times New Roman" w:eastAsia="宋体"/>
          <w:szCs w:val="24"/>
          <w:lang w:eastAsia="zh-CN"/>
        </w:rPr>
        <w:object>
          <v:shape id="_x0000_i1059" o:spt="75" type="#_x0000_t75" style="height:18pt;width:16pt;" o:ole="t" filled="f" o:preferrelative="t" stroked="f" coordsize="21600,21600">
            <v:path/>
            <v:fill on="f" focussize="0,0"/>
            <v:stroke on="f" joinstyle="miter"/>
            <v:imagedata r:id="rId228" o:title=""/>
            <o:lock v:ext="edit" aspectratio="t"/>
            <w10:wrap type="none"/>
            <w10:anchorlock/>
          </v:shape>
          <o:OLEObject Type="Embed" ProgID="Equation.DSMT4" ShapeID="_x0000_i1059" DrawAspect="Content" ObjectID="_1468075757" r:id="rId227">
            <o:LockedField>false</o:LockedField>
          </o:OLEObject>
        </w:object>
      </w:r>
      <w:r>
        <w:rPr>
          <w:rFonts w:hAnsi="Times New Roman" w:eastAsia="宋体"/>
          <w:szCs w:val="24"/>
          <w:lang w:eastAsia="zh-CN"/>
        </w:rPr>
        <w:t>—混合段长度，m；</w:t>
      </w:r>
    </w:p>
    <w:p>
      <w:pPr>
        <w:spacing w:line="360" w:lineRule="auto"/>
        <w:ind w:firstLine="480" w:firstLineChars="200"/>
        <w:rPr>
          <w:rFonts w:hAnsi="Times New Roman" w:eastAsia="宋体"/>
          <w:szCs w:val="24"/>
          <w:lang w:eastAsia="zh-CN"/>
        </w:rPr>
      </w:pPr>
      <w:r>
        <w:rPr>
          <w:rFonts w:hAnsi="Times New Roman" w:eastAsia="宋体"/>
          <w:szCs w:val="24"/>
          <w:lang w:eastAsia="zh-CN"/>
        </w:rPr>
        <w:t xml:space="preserve">      B—水面宽度，m；</w:t>
      </w:r>
    </w:p>
    <w:p>
      <w:pPr>
        <w:spacing w:line="360" w:lineRule="auto"/>
        <w:ind w:firstLine="480" w:firstLineChars="200"/>
        <w:rPr>
          <w:rFonts w:hAnsi="Times New Roman" w:eastAsia="宋体"/>
          <w:szCs w:val="24"/>
          <w:lang w:eastAsia="zh-CN"/>
        </w:rPr>
      </w:pPr>
      <w:r>
        <w:rPr>
          <w:rFonts w:hAnsi="Times New Roman" w:eastAsia="宋体"/>
          <w:szCs w:val="24"/>
          <w:lang w:eastAsia="zh-CN"/>
        </w:rPr>
        <w:t xml:space="preserve">      a—排</w:t>
      </w:r>
      <w:r>
        <w:rPr>
          <w:rFonts w:hint="eastAsia" w:hAnsi="Times New Roman" w:eastAsia="宋体"/>
          <w:szCs w:val="24"/>
          <w:lang w:eastAsia="zh-CN"/>
        </w:rPr>
        <w:t>污</w:t>
      </w:r>
      <w:r>
        <w:rPr>
          <w:rFonts w:hAnsi="Times New Roman" w:eastAsia="宋体"/>
          <w:szCs w:val="24"/>
          <w:lang w:eastAsia="zh-CN"/>
        </w:rPr>
        <w:t>口到岸边的距离，m；</w:t>
      </w:r>
    </w:p>
    <w:p>
      <w:pPr>
        <w:spacing w:line="360" w:lineRule="auto"/>
        <w:ind w:firstLine="1200" w:firstLineChars="500"/>
        <w:rPr>
          <w:rFonts w:hAnsi="Times New Roman" w:eastAsia="宋体"/>
          <w:szCs w:val="24"/>
          <w:lang w:eastAsia="zh-CN"/>
        </w:rPr>
      </w:pPr>
      <w:r>
        <w:rPr>
          <w:rFonts w:hAnsi="Times New Roman" w:eastAsia="宋体"/>
          <w:szCs w:val="24"/>
          <w:lang w:eastAsia="zh-CN"/>
        </w:rPr>
        <w:t>u—断面流速，mg/L；</w:t>
      </w:r>
    </w:p>
    <w:p>
      <w:pPr>
        <w:spacing w:line="360" w:lineRule="auto"/>
        <w:ind w:firstLine="480" w:firstLineChars="200"/>
        <w:rPr>
          <w:rFonts w:hAnsi="Times New Roman" w:eastAsia="宋体"/>
          <w:szCs w:val="24"/>
          <w:lang w:eastAsia="zh-CN"/>
        </w:rPr>
      </w:pPr>
      <w:r>
        <w:rPr>
          <w:rFonts w:hAnsi="Times New Roman" w:eastAsia="宋体"/>
          <w:szCs w:val="24"/>
          <w:lang w:eastAsia="zh-CN"/>
        </w:rPr>
        <w:t xml:space="preserve">      </w:t>
      </w:r>
      <w:r>
        <w:rPr>
          <w:rFonts w:hAnsi="Times New Roman" w:eastAsia="宋体"/>
          <w:szCs w:val="24"/>
          <w:lang w:eastAsia="zh-CN"/>
        </w:rPr>
        <w:object>
          <v:shape id="_x0000_i1060" o:spt="75" type="#_x0000_t75" style="height:19.35pt;width:16pt;" o:ole="t" filled="f" o:preferrelative="t" stroked="f" coordsize="21600,21600">
            <v:path/>
            <v:fill on="f" focussize="0,0"/>
            <v:stroke on="f" joinstyle="miter"/>
            <v:imagedata r:id="rId230" o:title=""/>
            <o:lock v:ext="edit" aspectratio="t"/>
            <w10:wrap type="none"/>
            <w10:anchorlock/>
          </v:shape>
          <o:OLEObject Type="Embed" ProgID="Equation.DSMT4" ShapeID="_x0000_i1060" DrawAspect="Content" ObjectID="_1468075758" r:id="rId229">
            <o:LockedField>false</o:LockedField>
          </o:OLEObject>
        </w:object>
      </w:r>
      <w:r>
        <w:rPr>
          <w:rFonts w:hAnsi="Times New Roman" w:eastAsia="宋体"/>
          <w:szCs w:val="24"/>
          <w:lang w:eastAsia="zh-CN"/>
        </w:rPr>
        <w:t>—污染物横向扩散系数，m</w:t>
      </w:r>
      <w:r>
        <w:rPr>
          <w:rFonts w:hAnsi="Times New Roman" w:eastAsia="宋体"/>
          <w:szCs w:val="24"/>
          <w:vertAlign w:val="superscript"/>
          <w:lang w:eastAsia="zh-CN"/>
        </w:rPr>
        <w:t>2</w:t>
      </w:r>
      <w:r>
        <w:rPr>
          <w:rFonts w:hAnsi="Times New Roman" w:eastAsia="宋体"/>
          <w:szCs w:val="24"/>
          <w:lang w:eastAsia="zh-CN"/>
        </w:rPr>
        <w:t>/s。</w:t>
      </w:r>
    </w:p>
    <w:p>
      <w:pPr>
        <w:snapToGrid w:val="0"/>
        <w:spacing w:line="360" w:lineRule="auto"/>
        <w:ind w:firstLine="480" w:firstLineChars="200"/>
        <w:rPr>
          <w:rFonts w:hAnsi="Times New Roman" w:eastAsia="宋体"/>
          <w:bCs/>
          <w:szCs w:val="24"/>
          <w:lang w:eastAsia="zh-CN"/>
        </w:rPr>
      </w:pPr>
      <w:r>
        <w:rPr>
          <w:rFonts w:hAnsi="Times New Roman" w:eastAsia="宋体"/>
          <w:bCs/>
          <w:szCs w:val="24"/>
          <w:lang w:eastAsia="zh-CN"/>
        </w:rPr>
        <w:t>其中</w:t>
      </w:r>
      <w:r>
        <w:rPr>
          <w:rFonts w:hAnsi="Times New Roman" w:eastAsia="宋体"/>
          <w:bCs/>
          <w:szCs w:val="24"/>
        </w:rPr>
        <w:t>Ey</w:t>
      </w:r>
      <w:r>
        <w:rPr>
          <w:rFonts w:hAnsi="Times New Roman" w:eastAsia="宋体"/>
          <w:bCs/>
          <w:szCs w:val="24"/>
          <w:lang w:eastAsia="zh-CN"/>
        </w:rPr>
        <w:t>采用泰勒（Taylor）法进行计算：</w:t>
      </w:r>
    </w:p>
    <w:p>
      <w:pPr>
        <w:snapToGrid w:val="0"/>
        <w:spacing w:line="360" w:lineRule="auto"/>
        <w:jc w:val="center"/>
        <w:rPr>
          <w:rFonts w:hAnsi="Times New Roman" w:eastAsia="宋体"/>
          <w:bCs/>
          <w:szCs w:val="24"/>
          <w:lang w:eastAsia="zh-CN"/>
        </w:rPr>
      </w:pPr>
      <w:r>
        <w:rPr>
          <w:rFonts w:hAnsi="Times New Roman" w:eastAsia="宋体"/>
          <w:position w:val="-10"/>
          <w:szCs w:val="24"/>
        </w:rPr>
        <w:object>
          <v:shape id="_x0000_i1061" o:spt="75" type="#_x0000_t75" style="height:18pt;width:178pt;" o:ole="t" filled="f" o:preferrelative="t" stroked="f" coordsize="21600,21600">
            <v:path/>
            <v:fill on="f" focussize="0,0"/>
            <v:stroke on="f" joinstyle="miter"/>
            <v:imagedata r:id="rId232" o:title=""/>
            <o:lock v:ext="edit" aspectratio="t"/>
            <w10:wrap type="none"/>
            <w10:anchorlock/>
          </v:shape>
          <o:OLEObject Type="Embed" ProgID="Equation.KSEE3" ShapeID="_x0000_i1061" DrawAspect="Content" ObjectID="_1468075759" r:id="rId231">
            <o:LockedField>false</o:LockedField>
          </o:OLEObject>
        </w:object>
      </w:r>
    </w:p>
    <w:p>
      <w:pPr>
        <w:snapToGrid w:val="0"/>
        <w:spacing w:line="360" w:lineRule="auto"/>
        <w:ind w:firstLine="480" w:firstLineChars="200"/>
        <w:rPr>
          <w:rFonts w:hAnsi="Times New Roman" w:eastAsia="宋体"/>
          <w:bCs/>
          <w:szCs w:val="24"/>
        </w:rPr>
      </w:pPr>
      <w:r>
        <w:rPr>
          <w:rFonts w:hAnsi="Times New Roman" w:eastAsia="宋体"/>
          <w:bCs/>
          <w:szCs w:val="24"/>
        </w:rPr>
        <w:t>式中：Ey——河流横向混合（弥散）系数，m</w:t>
      </w:r>
      <w:r>
        <w:rPr>
          <w:rFonts w:hAnsi="Times New Roman" w:eastAsia="宋体"/>
          <w:bCs/>
          <w:szCs w:val="24"/>
          <w:vertAlign w:val="superscript"/>
        </w:rPr>
        <w:t>2</w:t>
      </w:r>
      <w:r>
        <w:rPr>
          <w:rFonts w:hAnsi="Times New Roman" w:eastAsia="宋体"/>
          <w:bCs/>
          <w:szCs w:val="24"/>
        </w:rPr>
        <w:t>/s；</w:t>
      </w:r>
    </w:p>
    <w:p>
      <w:pPr>
        <w:snapToGrid w:val="0"/>
        <w:spacing w:line="360" w:lineRule="auto"/>
        <w:ind w:firstLine="1200" w:firstLineChars="500"/>
        <w:rPr>
          <w:rFonts w:hAnsi="Times New Roman" w:eastAsia="宋体"/>
          <w:bCs/>
          <w:szCs w:val="24"/>
        </w:rPr>
      </w:pPr>
      <w:r>
        <w:rPr>
          <w:rFonts w:hAnsi="Times New Roman" w:eastAsia="宋体"/>
          <w:bCs/>
          <w:szCs w:val="24"/>
        </w:rPr>
        <w:t>B——河流宽度，m；</w:t>
      </w:r>
    </w:p>
    <w:p>
      <w:pPr>
        <w:snapToGrid w:val="0"/>
        <w:spacing w:line="360" w:lineRule="auto"/>
        <w:ind w:firstLine="1200" w:firstLineChars="500"/>
        <w:rPr>
          <w:rFonts w:hAnsi="Times New Roman" w:eastAsia="宋体"/>
          <w:bCs/>
          <w:szCs w:val="24"/>
        </w:rPr>
      </w:pPr>
      <w:r>
        <w:rPr>
          <w:rFonts w:hAnsi="Times New Roman" w:eastAsia="宋体"/>
          <w:bCs/>
          <w:szCs w:val="24"/>
        </w:rPr>
        <w:t>H——平均水深，m；</w:t>
      </w:r>
    </w:p>
    <w:p>
      <w:pPr>
        <w:snapToGrid w:val="0"/>
        <w:spacing w:line="360" w:lineRule="auto"/>
        <w:ind w:firstLine="1200" w:firstLineChars="500"/>
        <w:rPr>
          <w:rFonts w:hAnsi="Times New Roman" w:eastAsia="宋体"/>
          <w:bCs/>
          <w:szCs w:val="24"/>
        </w:rPr>
      </w:pPr>
      <w:r>
        <w:rPr>
          <w:rFonts w:hAnsi="Times New Roman" w:eastAsia="宋体"/>
          <w:bCs/>
          <w:szCs w:val="24"/>
        </w:rPr>
        <w:t>I——河流地坡系数，无量纲；</w:t>
      </w:r>
    </w:p>
    <w:p>
      <w:pPr>
        <w:snapToGrid w:val="0"/>
        <w:spacing w:line="360" w:lineRule="auto"/>
        <w:ind w:firstLine="1200" w:firstLineChars="500"/>
        <w:rPr>
          <w:rFonts w:hAnsi="Times New Roman" w:eastAsia="宋体"/>
          <w:bCs/>
          <w:szCs w:val="24"/>
        </w:rPr>
      </w:pPr>
      <w:r>
        <w:rPr>
          <w:rFonts w:hAnsi="Times New Roman" w:eastAsia="宋体"/>
          <w:bCs/>
          <w:szCs w:val="24"/>
        </w:rPr>
        <w:t>g——重力加速度，9.81m/s</w:t>
      </w:r>
      <w:r>
        <w:rPr>
          <w:rFonts w:hAnsi="Times New Roman" w:eastAsia="宋体"/>
          <w:bCs/>
          <w:szCs w:val="24"/>
          <w:vertAlign w:val="superscript"/>
        </w:rPr>
        <w:t>2</w:t>
      </w:r>
      <w:r>
        <w:rPr>
          <w:rFonts w:hAnsi="Times New Roman" w:eastAsia="宋体"/>
          <w:bCs/>
          <w:szCs w:val="24"/>
        </w:rPr>
        <w:t>。</w:t>
      </w:r>
    </w:p>
    <w:p>
      <w:pPr>
        <w:spacing w:line="360" w:lineRule="auto"/>
        <w:ind w:firstLine="480" w:firstLineChars="200"/>
        <w:rPr>
          <w:rFonts w:hAnsi="Times New Roman" w:eastAsia="宋体"/>
          <w:szCs w:val="24"/>
          <w:lang w:eastAsia="zh-CN"/>
        </w:rPr>
      </w:pPr>
      <w:r>
        <w:rPr>
          <w:rFonts w:hAnsi="Times New Roman" w:eastAsia="宋体"/>
          <w:szCs w:val="24"/>
          <w:lang w:eastAsia="zh-CN"/>
        </w:rPr>
        <w:t>（2）混合过程段二维连续稳定排放模型</w:t>
      </w:r>
    </w:p>
    <w:p>
      <w:pPr>
        <w:spacing w:line="360" w:lineRule="auto"/>
        <w:jc w:val="center"/>
        <w:rPr>
          <w:rFonts w:hAnsi="Times New Roman" w:eastAsia="宋体"/>
          <w:szCs w:val="24"/>
          <w:lang w:eastAsia="zh-CN"/>
        </w:rPr>
      </w:pPr>
      <w:r>
        <w:rPr>
          <w:position w:val="-32"/>
        </w:rPr>
        <w:object>
          <v:shape id="_x0000_i1062" o:spt="75" type="#_x0000_t75" style="height:38pt;width:246.1pt;" o:ole="t" filled="f" o:preferrelative="t" stroked="f" coordsize="21600,21600">
            <v:path/>
            <v:fill on="f" focussize="0,0"/>
            <v:stroke on="f" joinstyle="miter"/>
            <v:imagedata r:id="rId234" o:title=""/>
            <o:lock v:ext="edit" aspectratio="t"/>
            <w10:wrap type="none"/>
            <w10:anchorlock/>
          </v:shape>
          <o:OLEObject Type="Embed" ProgID="Equation.3" ShapeID="_x0000_i1062" DrawAspect="Content" ObjectID="_1468075760" r:id="rId233">
            <o:LockedField>false</o:LockedField>
          </o:OLEObject>
        </w:object>
      </w:r>
    </w:p>
    <w:p>
      <w:pPr>
        <w:autoSpaceDE w:val="0"/>
        <w:autoSpaceDN w:val="0"/>
        <w:adjustRightInd w:val="0"/>
        <w:snapToGrid w:val="0"/>
        <w:spacing w:line="360" w:lineRule="auto"/>
        <w:ind w:firstLine="480" w:firstLineChars="200"/>
        <w:rPr>
          <w:rFonts w:hAnsi="Times New Roman" w:eastAsia="宋体"/>
        </w:rPr>
      </w:pPr>
      <w:r>
        <w:rPr>
          <w:rFonts w:hAnsi="Times New Roman" w:eastAsia="宋体"/>
        </w:rPr>
        <w:t>式中：C（x，y）—纵向距离x、横向距离y点的污染物浓度，mg/L；</w:t>
      </w:r>
    </w:p>
    <w:p>
      <w:pPr>
        <w:autoSpaceDE w:val="0"/>
        <w:autoSpaceDN w:val="0"/>
        <w:adjustRightInd w:val="0"/>
        <w:snapToGrid w:val="0"/>
        <w:spacing w:line="360" w:lineRule="auto"/>
        <w:ind w:firstLine="1200" w:firstLineChars="500"/>
        <w:rPr>
          <w:rFonts w:hAnsi="Times New Roman" w:eastAsia="宋体"/>
          <w:i/>
          <w:iCs/>
        </w:rPr>
      </w:pPr>
      <w:r>
        <w:rPr>
          <w:rFonts w:hAnsi="Times New Roman" w:eastAsia="宋体"/>
          <w:i/>
          <w:iCs/>
        </w:rPr>
        <w:t>C</w:t>
      </w:r>
      <w:r>
        <w:rPr>
          <w:rFonts w:hAnsi="Times New Roman" w:eastAsia="宋体"/>
          <w:i/>
          <w:iCs/>
          <w:vertAlign w:val="subscript"/>
        </w:rPr>
        <w:t>h--</w:t>
      </w:r>
      <w:r>
        <w:rPr>
          <w:rFonts w:hAnsi="Times New Roman" w:eastAsia="宋体"/>
        </w:rPr>
        <w:t>河流上游污染物浓度，mg/L；</w:t>
      </w:r>
    </w:p>
    <w:p>
      <w:pPr>
        <w:autoSpaceDE w:val="0"/>
        <w:autoSpaceDN w:val="0"/>
        <w:adjustRightInd w:val="0"/>
        <w:snapToGrid w:val="0"/>
        <w:spacing w:line="360" w:lineRule="auto"/>
        <w:ind w:firstLine="1200" w:firstLineChars="500"/>
        <w:rPr>
          <w:rFonts w:hAnsi="Times New Roman" w:eastAsia="宋体"/>
        </w:rPr>
      </w:pPr>
      <w:r>
        <w:rPr>
          <w:rFonts w:hAnsi="Times New Roman" w:eastAsia="宋体"/>
          <w:i/>
          <w:iCs/>
        </w:rPr>
        <w:t>m</w:t>
      </w:r>
      <w:r>
        <w:rPr>
          <w:rFonts w:hAnsi="Times New Roman" w:eastAsia="宋体"/>
        </w:rPr>
        <w:t>--污染物排放速率，g/s；121</w:t>
      </w:r>
    </w:p>
    <w:p>
      <w:pPr>
        <w:autoSpaceDE w:val="0"/>
        <w:autoSpaceDN w:val="0"/>
        <w:adjustRightInd w:val="0"/>
        <w:snapToGrid w:val="0"/>
        <w:spacing w:line="360" w:lineRule="auto"/>
        <w:ind w:firstLine="1200" w:firstLineChars="500"/>
        <w:rPr>
          <w:rFonts w:hAnsi="Times New Roman" w:eastAsia="宋体"/>
        </w:rPr>
      </w:pPr>
      <w:r>
        <w:rPr>
          <w:rFonts w:hAnsi="Times New Roman" w:eastAsia="宋体"/>
          <w:i/>
          <w:iCs/>
        </w:rPr>
        <w:t>h--</w:t>
      </w:r>
      <w:r>
        <w:rPr>
          <w:rFonts w:hAnsi="Times New Roman" w:eastAsia="宋体"/>
        </w:rPr>
        <w:t>断面水深，m；</w:t>
      </w:r>
    </w:p>
    <w:p>
      <w:pPr>
        <w:autoSpaceDE w:val="0"/>
        <w:autoSpaceDN w:val="0"/>
        <w:adjustRightInd w:val="0"/>
        <w:snapToGrid w:val="0"/>
        <w:spacing w:line="360" w:lineRule="auto"/>
        <w:ind w:firstLine="1200" w:firstLineChars="500"/>
        <w:rPr>
          <w:rFonts w:hAnsi="Times New Roman" w:eastAsia="宋体"/>
        </w:rPr>
      </w:pPr>
      <w:r>
        <w:rPr>
          <w:rFonts w:hAnsi="Times New Roman" w:eastAsia="宋体"/>
          <w:i/>
          <w:iCs/>
        </w:rPr>
        <w:t>π</w:t>
      </w:r>
      <w:r>
        <w:rPr>
          <w:rFonts w:hAnsi="Times New Roman" w:eastAsia="宋体"/>
        </w:rPr>
        <w:t>--圆周率。</w:t>
      </w:r>
    </w:p>
    <w:p>
      <w:pPr>
        <w:tabs>
          <w:tab w:val="center" w:pos="4153"/>
          <w:tab w:val="right" w:pos="8306"/>
        </w:tabs>
        <w:adjustRightInd w:val="0"/>
        <w:snapToGrid w:val="0"/>
        <w:spacing w:line="360" w:lineRule="auto"/>
        <w:ind w:firstLine="1200" w:firstLineChars="500"/>
        <w:rPr>
          <w:rFonts w:hAnsi="Times New Roman" w:eastAsia="宋体"/>
        </w:rPr>
      </w:pPr>
      <w:r>
        <w:rPr>
          <w:rFonts w:hAnsi="Times New Roman" w:eastAsia="宋体"/>
        </w:rPr>
        <w:t>μ--断面流速，m/s；</w:t>
      </w:r>
    </w:p>
    <w:p>
      <w:pPr>
        <w:autoSpaceDE w:val="0"/>
        <w:autoSpaceDN w:val="0"/>
        <w:adjustRightInd w:val="0"/>
        <w:snapToGrid w:val="0"/>
        <w:spacing w:line="360" w:lineRule="auto"/>
        <w:ind w:firstLine="1200" w:firstLineChars="500"/>
        <w:rPr>
          <w:rFonts w:hAnsi="Times New Roman" w:eastAsia="宋体"/>
        </w:rPr>
      </w:pPr>
      <w:r>
        <w:rPr>
          <w:rFonts w:hAnsi="Times New Roman" w:eastAsia="宋体"/>
          <w:i/>
          <w:iCs/>
        </w:rPr>
        <w:t>x--</w:t>
      </w:r>
      <w:r>
        <w:rPr>
          <w:rFonts w:hAnsi="Times New Roman" w:eastAsia="宋体"/>
        </w:rPr>
        <w:t>笛卡尔坐标系X向的坐标，m；</w:t>
      </w:r>
    </w:p>
    <w:p>
      <w:pPr>
        <w:autoSpaceDE w:val="0"/>
        <w:autoSpaceDN w:val="0"/>
        <w:adjustRightInd w:val="0"/>
        <w:snapToGrid w:val="0"/>
        <w:spacing w:line="360" w:lineRule="auto"/>
        <w:ind w:firstLine="1200" w:firstLineChars="500"/>
        <w:rPr>
          <w:rFonts w:hAnsi="Times New Roman" w:eastAsia="宋体"/>
        </w:rPr>
      </w:pPr>
      <w:r>
        <w:rPr>
          <w:rFonts w:hAnsi="Times New Roman" w:eastAsia="宋体"/>
          <w:i/>
          <w:iCs/>
        </w:rPr>
        <w:t>y--</w:t>
      </w:r>
      <w:r>
        <w:rPr>
          <w:rFonts w:hAnsi="Times New Roman" w:eastAsia="宋体"/>
        </w:rPr>
        <w:t>笛卡尔坐标系Y向的坐标，m；</w:t>
      </w:r>
    </w:p>
    <w:p>
      <w:pPr>
        <w:tabs>
          <w:tab w:val="center" w:pos="4153"/>
          <w:tab w:val="right" w:pos="8306"/>
        </w:tabs>
        <w:adjustRightInd w:val="0"/>
        <w:snapToGrid w:val="0"/>
        <w:spacing w:line="360" w:lineRule="auto"/>
        <w:ind w:firstLine="1200" w:firstLineChars="500"/>
        <w:rPr>
          <w:rFonts w:hAnsi="Times New Roman" w:eastAsia="宋体"/>
        </w:rPr>
      </w:pPr>
      <w:r>
        <w:rPr>
          <w:rFonts w:hAnsi="Times New Roman" w:eastAsia="宋体"/>
        </w:rPr>
        <w:t>k--污染物综合衰减系数，1/s；</w:t>
      </w:r>
    </w:p>
    <w:p>
      <w:pPr>
        <w:tabs>
          <w:tab w:val="center" w:pos="4153"/>
          <w:tab w:val="right" w:pos="8306"/>
        </w:tabs>
        <w:adjustRightInd w:val="0"/>
        <w:snapToGrid w:val="0"/>
        <w:spacing w:line="360" w:lineRule="auto"/>
        <w:ind w:firstLine="1200" w:firstLineChars="500"/>
        <w:rPr>
          <w:rFonts w:hAnsi="Times New Roman" w:eastAsia="宋体"/>
        </w:rPr>
      </w:pPr>
      <w:r>
        <w:rPr>
          <w:rFonts w:hAnsi="Times New Roman" w:eastAsia="宋体"/>
        </w:rPr>
        <w:t>n--河道糙率，无量纲，取1；</w:t>
      </w:r>
    </w:p>
    <w:p>
      <w:pPr>
        <w:tabs>
          <w:tab w:val="center" w:pos="4153"/>
          <w:tab w:val="right" w:pos="8306"/>
        </w:tabs>
        <w:adjustRightInd w:val="0"/>
        <w:snapToGrid w:val="0"/>
        <w:spacing w:line="360" w:lineRule="auto"/>
        <w:ind w:firstLine="1200" w:firstLineChars="500"/>
        <w:rPr>
          <w:rFonts w:hAnsi="Times New Roman" w:eastAsia="宋体"/>
        </w:rPr>
      </w:pPr>
      <w:r>
        <w:rPr>
          <w:rFonts w:hAnsi="Times New Roman" w:eastAsia="宋体"/>
        </w:rPr>
        <w:t>B--水面宽度，m；</w:t>
      </w:r>
    </w:p>
    <w:p>
      <w:pPr>
        <w:tabs>
          <w:tab w:val="center" w:pos="4153"/>
          <w:tab w:val="right" w:pos="8306"/>
        </w:tabs>
        <w:adjustRightInd w:val="0"/>
        <w:snapToGrid w:val="0"/>
        <w:spacing w:line="360" w:lineRule="auto"/>
        <w:ind w:firstLine="1200" w:firstLineChars="500"/>
        <w:rPr>
          <w:rFonts w:hAnsi="Times New Roman" w:eastAsia="宋体"/>
        </w:rPr>
      </w:pPr>
      <w:r>
        <w:rPr>
          <w:rFonts w:hAnsi="Times New Roman" w:eastAsia="宋体"/>
        </w:rPr>
        <w:t>E</w:t>
      </w:r>
      <w:r>
        <w:rPr>
          <w:rFonts w:hAnsi="Times New Roman" w:eastAsia="宋体"/>
          <w:vertAlign w:val="subscript"/>
        </w:rPr>
        <w:t>y</w:t>
      </w:r>
      <w:r>
        <w:rPr>
          <w:rFonts w:hAnsi="Times New Roman" w:eastAsia="宋体"/>
        </w:rPr>
        <w:t>--污染物横向扩散系数，m</w:t>
      </w:r>
      <w:r>
        <w:rPr>
          <w:rFonts w:hAnsi="Times New Roman" w:eastAsia="宋体"/>
          <w:vertAlign w:val="superscript"/>
        </w:rPr>
        <w:t>2</w:t>
      </w:r>
      <w:r>
        <w:rPr>
          <w:rFonts w:hAnsi="Times New Roman" w:eastAsia="宋体"/>
        </w:rPr>
        <w:t>/s</w:t>
      </w:r>
    </w:p>
    <w:p>
      <w:pPr>
        <w:spacing w:line="360" w:lineRule="auto"/>
        <w:ind w:firstLine="480" w:firstLineChars="200"/>
        <w:rPr>
          <w:rFonts w:hAnsi="Times New Roman" w:eastAsia="宋体"/>
          <w:kern w:val="2"/>
          <w:szCs w:val="24"/>
        </w:rPr>
      </w:pPr>
      <w:r>
        <w:rPr>
          <w:rFonts w:hAnsi="Times New Roman" w:eastAsia="宋体"/>
          <w:kern w:val="2"/>
          <w:szCs w:val="24"/>
        </w:rPr>
        <w:t>其中，Ey-采用泰勒（Taylor）法进行计算</w:t>
      </w:r>
    </w:p>
    <w:p>
      <w:pPr>
        <w:autoSpaceDE w:val="0"/>
        <w:autoSpaceDN w:val="0"/>
        <w:adjustRightInd w:val="0"/>
        <w:snapToGrid w:val="0"/>
        <w:spacing w:line="360" w:lineRule="auto"/>
        <w:jc w:val="center"/>
        <w:rPr>
          <w:rFonts w:hAnsi="Times New Roman" w:eastAsia="宋体"/>
        </w:rPr>
      </w:pPr>
      <w:r>
        <w:rPr>
          <w:rFonts w:hAnsi="Times New Roman" w:eastAsia="宋体"/>
          <w:position w:val="-10"/>
        </w:rPr>
        <w:object>
          <v:shape id="_x0000_i1063" o:spt="75" type="#_x0000_t75" style="height:17.35pt;width:169.95pt;" o:ole="t" filled="f" o:preferrelative="t" stroked="f" coordsize="21600,21600">
            <v:path/>
            <v:fill on="f" focussize="0,0"/>
            <v:stroke on="f" joinstyle="miter"/>
            <v:imagedata r:id="rId236" o:title=""/>
            <o:lock v:ext="edit" aspectratio="t"/>
            <w10:wrap type="none"/>
            <w10:anchorlock/>
          </v:shape>
          <o:OLEObject Type="Embed" ProgID="Equation.3" ShapeID="_x0000_i1063" DrawAspect="Content" ObjectID="_1468075761" r:id="rId235">
            <o:LockedField>false</o:LockedField>
          </o:OLEObject>
        </w:object>
      </w:r>
      <w:r>
        <w:rPr>
          <w:rFonts w:hAnsi="Times New Roman" w:eastAsia="宋体"/>
          <w:position w:val="-10"/>
        </w:rPr>
        <w:t xml:space="preserve">   </w:t>
      </w:r>
      <w:r>
        <w:rPr>
          <w:rFonts w:hAnsi="Times New Roman" w:eastAsia="宋体"/>
          <w:position w:val="-6"/>
        </w:rPr>
        <w:object>
          <v:shape id="_x0000_i1064" o:spt="75" type="#_x0000_t75" style="height:13.35pt;width:59.35pt;" o:ole="t" filled="f" o:preferrelative="t" stroked="f" coordsize="21600,21600">
            <v:path/>
            <v:fill on="f" focussize="0,0"/>
            <v:stroke on="f" joinstyle="miter"/>
            <v:imagedata r:id="rId238" o:title=""/>
            <o:lock v:ext="edit" aspectratio="t"/>
            <w10:wrap type="none"/>
            <w10:anchorlock/>
          </v:shape>
          <o:OLEObject Type="Embed" ProgID="Equation.3" ShapeID="_x0000_i1064" DrawAspect="Content" ObjectID="_1468075762" r:id="rId237">
            <o:LockedField>false</o:LockedField>
          </o:OLEObject>
        </w:object>
      </w:r>
    </w:p>
    <w:p>
      <w:pPr>
        <w:pStyle w:val="81"/>
        <w:snapToGrid w:val="0"/>
        <w:ind w:firstLine="480" w:firstLineChars="200"/>
        <w:textAlignment w:val="bottom"/>
        <w:rPr>
          <w:rFonts w:ascii="Times New Roman" w:hAnsi="Times New Roman" w:eastAsia="宋体"/>
        </w:rPr>
      </w:pPr>
      <w:r>
        <w:rPr>
          <w:rFonts w:ascii="Times New Roman" w:hAnsi="Times New Roman" w:eastAsia="宋体"/>
          <w:kern w:val="2"/>
          <w:szCs w:val="24"/>
        </w:rPr>
        <w:t>式中：</w:t>
      </w:r>
      <w:r>
        <w:rPr>
          <w:rFonts w:ascii="Times New Roman" w:hAnsi="Times New Roman" w:eastAsia="宋体"/>
        </w:rPr>
        <w:t>B--河流宽度，m；</w:t>
      </w:r>
    </w:p>
    <w:p>
      <w:pPr>
        <w:tabs>
          <w:tab w:val="center" w:pos="4153"/>
          <w:tab w:val="right" w:pos="8306"/>
        </w:tabs>
        <w:adjustRightInd w:val="0"/>
        <w:snapToGrid w:val="0"/>
        <w:spacing w:line="360" w:lineRule="auto"/>
        <w:ind w:firstLine="1200" w:firstLineChars="500"/>
        <w:rPr>
          <w:rFonts w:hAnsi="Times New Roman" w:eastAsia="宋体"/>
        </w:rPr>
      </w:pPr>
      <w:r>
        <w:rPr>
          <w:rFonts w:hAnsi="Times New Roman" w:eastAsia="宋体"/>
        </w:rPr>
        <w:t>H--平均水深，m；</w:t>
      </w:r>
    </w:p>
    <w:p>
      <w:pPr>
        <w:pStyle w:val="14"/>
        <w:overflowPunct w:val="0"/>
        <w:spacing w:line="360" w:lineRule="auto"/>
        <w:ind w:left="687"/>
        <w:rPr>
          <w:rFonts w:ascii="Times New Roman" w:hAnsi="Times New Roman"/>
          <w:sz w:val="24"/>
        </w:rPr>
      </w:pPr>
      <w:r>
        <w:rPr>
          <w:rFonts w:ascii="Times New Roman" w:hAnsi="Times New Roman"/>
          <w:sz w:val="24"/>
        </w:rPr>
        <w:t>I--河流地坡系数，无量纲；</w:t>
      </w:r>
    </w:p>
    <w:p>
      <w:pPr>
        <w:tabs>
          <w:tab w:val="center" w:pos="4153"/>
          <w:tab w:val="right" w:pos="8306"/>
        </w:tabs>
        <w:adjustRightInd w:val="0"/>
        <w:snapToGrid w:val="0"/>
        <w:spacing w:line="360" w:lineRule="auto"/>
        <w:ind w:firstLine="1200" w:firstLineChars="500"/>
        <w:rPr>
          <w:rFonts w:hAnsi="Times New Roman" w:eastAsia="宋体"/>
          <w:szCs w:val="22"/>
          <w:lang w:eastAsia="zh-CN"/>
        </w:rPr>
      </w:pPr>
      <w:r>
        <w:rPr>
          <w:rFonts w:hint="eastAsia" w:hAnsi="Times New Roman" w:eastAsia="宋体"/>
          <w:szCs w:val="22"/>
          <w:lang w:eastAsia="zh-CN"/>
        </w:rPr>
        <w:t>经计算，Ey=0.053</w:t>
      </w:r>
      <w:r>
        <w:rPr>
          <w:rFonts w:hAnsi="Times New Roman" w:eastAsia="宋体"/>
        </w:rPr>
        <w:t>m</w:t>
      </w:r>
      <w:r>
        <w:rPr>
          <w:rFonts w:hAnsi="Times New Roman" w:eastAsia="宋体"/>
          <w:vertAlign w:val="superscript"/>
        </w:rPr>
        <w:t>2</w:t>
      </w:r>
      <w:r>
        <w:rPr>
          <w:rFonts w:hAnsi="Times New Roman" w:eastAsia="宋体"/>
        </w:rPr>
        <w:t>/s</w:t>
      </w:r>
    </w:p>
    <w:p>
      <w:pPr>
        <w:spacing w:line="360" w:lineRule="auto"/>
        <w:ind w:firstLine="482" w:firstLineChars="200"/>
        <w:rPr>
          <w:rFonts w:hAnsi="Times New Roman" w:eastAsia="宋体"/>
          <w:b/>
          <w:bCs/>
          <w:szCs w:val="22"/>
          <w:lang w:eastAsia="zh-CN"/>
        </w:rPr>
      </w:pPr>
      <w:r>
        <w:rPr>
          <w:rFonts w:hint="eastAsia" w:hAnsi="Times New Roman" w:eastAsia="宋体"/>
          <w:b/>
          <w:bCs/>
          <w:szCs w:val="22"/>
          <w:lang w:eastAsia="zh-CN"/>
        </w:rPr>
        <w:t>3</w:t>
      </w:r>
      <w:r>
        <w:rPr>
          <w:rFonts w:hAnsi="Times New Roman" w:eastAsia="宋体"/>
          <w:b/>
          <w:bCs/>
          <w:szCs w:val="22"/>
          <w:lang w:eastAsia="zh-CN"/>
        </w:rPr>
        <w:t>、预测参数</w:t>
      </w:r>
    </w:p>
    <w:p>
      <w:pPr>
        <w:spacing w:line="360" w:lineRule="auto"/>
        <w:ind w:firstLine="480" w:firstLineChars="200"/>
        <w:rPr>
          <w:rFonts w:hAnsi="Times New Roman" w:eastAsia="宋体"/>
          <w:szCs w:val="22"/>
          <w:lang w:eastAsia="zh-CN"/>
        </w:rPr>
      </w:pPr>
      <w:r>
        <w:rPr>
          <w:rFonts w:hAnsi="Times New Roman" w:eastAsia="宋体"/>
          <w:szCs w:val="22"/>
          <w:lang w:eastAsia="zh-CN"/>
        </w:rPr>
        <w:t>（1）污染源参数</w:t>
      </w:r>
    </w:p>
    <w:p>
      <w:pPr>
        <w:spacing w:line="360" w:lineRule="auto"/>
        <w:ind w:firstLine="480" w:firstLineChars="200"/>
        <w:rPr>
          <w:rFonts w:hAnsi="Times New Roman" w:eastAsia="宋体"/>
          <w:szCs w:val="22"/>
          <w:lang w:eastAsia="zh-CN"/>
        </w:rPr>
      </w:pPr>
      <w:r>
        <w:rPr>
          <w:rFonts w:hAnsi="Times New Roman" w:eastAsia="宋体"/>
          <w:szCs w:val="22"/>
          <w:lang w:eastAsia="zh-CN"/>
        </w:rPr>
        <w:t>从工程分析可知，项目</w:t>
      </w:r>
      <w:r>
        <w:rPr>
          <w:rFonts w:hint="eastAsia" w:hAnsi="Times New Roman" w:eastAsia="宋体"/>
          <w:szCs w:val="22"/>
          <w:lang w:eastAsia="zh-CN"/>
        </w:rPr>
        <w:t>正常情况下排水量为3018.186m</w:t>
      </w:r>
      <w:r>
        <w:rPr>
          <w:rFonts w:hint="eastAsia" w:hAnsi="Times New Roman" w:eastAsia="宋体"/>
          <w:szCs w:val="22"/>
          <w:vertAlign w:val="superscript"/>
          <w:lang w:eastAsia="zh-CN"/>
        </w:rPr>
        <w:t>3</w:t>
      </w:r>
      <w:r>
        <w:rPr>
          <w:rFonts w:hint="eastAsia" w:hAnsi="Times New Roman" w:eastAsia="宋体"/>
          <w:szCs w:val="22"/>
          <w:lang w:eastAsia="zh-CN"/>
        </w:rPr>
        <w:t>/d（</w:t>
      </w:r>
      <w:r>
        <w:rPr>
          <w:rFonts w:hAnsi="Times New Roman" w:eastAsia="宋体"/>
          <w:szCs w:val="22"/>
          <w:lang w:eastAsia="zh-CN"/>
        </w:rPr>
        <w:t>0.035m</w:t>
      </w:r>
      <w:r>
        <w:rPr>
          <w:rFonts w:hAnsi="Times New Roman" w:eastAsia="宋体"/>
          <w:szCs w:val="22"/>
          <w:vertAlign w:val="superscript"/>
          <w:lang w:eastAsia="zh-CN"/>
        </w:rPr>
        <w:t>3</w:t>
      </w:r>
      <w:r>
        <w:rPr>
          <w:rFonts w:hAnsi="Times New Roman" w:eastAsia="宋体"/>
          <w:szCs w:val="22"/>
          <w:lang w:eastAsia="zh-CN"/>
        </w:rPr>
        <w:t>/s</w:t>
      </w:r>
      <w:r>
        <w:rPr>
          <w:rFonts w:hint="eastAsia" w:hAnsi="Times New Roman" w:eastAsia="宋体"/>
          <w:szCs w:val="22"/>
          <w:lang w:eastAsia="zh-CN"/>
        </w:rPr>
        <w:t>）</w:t>
      </w:r>
      <w:r>
        <w:rPr>
          <w:rFonts w:hAnsi="Times New Roman" w:eastAsia="宋体"/>
          <w:szCs w:val="22"/>
          <w:lang w:eastAsia="zh-CN"/>
        </w:rPr>
        <w:t>，</w:t>
      </w:r>
      <w:r>
        <w:rPr>
          <w:rFonts w:hint="eastAsia" w:hAnsi="Times New Roman" w:eastAsia="宋体"/>
          <w:szCs w:val="22"/>
          <w:lang w:eastAsia="zh-CN"/>
        </w:rPr>
        <w:t>本项目运营期间，不同工况下污染物排放情况见下表所示</w:t>
      </w:r>
      <w:r>
        <w:rPr>
          <w:rFonts w:hAnsi="Times New Roman" w:eastAsia="宋体"/>
          <w:szCs w:val="22"/>
          <w:lang w:eastAsia="zh-CN"/>
        </w:rPr>
        <w:t>。</w:t>
      </w:r>
    </w:p>
    <w:p>
      <w:pPr>
        <w:spacing w:line="360" w:lineRule="auto"/>
        <w:jc w:val="center"/>
        <w:rPr>
          <w:rFonts w:hAnsi="Times New Roman" w:eastAsia="宋体"/>
          <w:b/>
          <w:bCs/>
          <w:szCs w:val="24"/>
          <w:lang w:eastAsia="zh-CN"/>
        </w:rPr>
      </w:pPr>
      <w:r>
        <w:rPr>
          <w:rFonts w:hAnsi="Times New Roman" w:eastAsia="宋体"/>
          <w:b/>
          <w:bCs/>
          <w:sz w:val="21"/>
          <w:szCs w:val="21"/>
          <w:lang w:eastAsia="zh-CN"/>
        </w:rPr>
        <w:t>表6.3-1</w:t>
      </w:r>
      <w:r>
        <w:rPr>
          <w:rFonts w:hAnsi="Times New Roman" w:eastAsia="宋体"/>
          <w:b/>
          <w:bCs/>
          <w:sz w:val="21"/>
          <w:szCs w:val="21"/>
        </w:rPr>
        <w:t>不同工况下污染物排放情况一览表</w:t>
      </w:r>
      <w:r>
        <w:rPr>
          <w:rFonts w:hAnsi="Times New Roman" w:eastAsia="宋体"/>
          <w:b/>
          <w:bCs/>
          <w:sz w:val="21"/>
          <w:szCs w:val="21"/>
          <w:lang w:eastAsia="zh-CN"/>
        </w:rPr>
        <w:t xml:space="preserve">     单位：mg/L</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53"/>
        <w:gridCol w:w="2795"/>
        <w:gridCol w:w="2016"/>
        <w:gridCol w:w="18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1420" w:type="pct"/>
            <w:vAlign w:val="center"/>
          </w:tcPr>
          <w:p>
            <w:pPr>
              <w:pStyle w:val="44"/>
              <w:keepNext w:val="0"/>
              <w:keepLines w:val="0"/>
              <w:suppressLineNumbers w:val="0"/>
              <w:overflowPunct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b/>
                <w:kern w:val="2"/>
                <w:sz w:val="21"/>
                <w:szCs w:val="21"/>
              </w:rPr>
              <w:t>排放情况</w:t>
            </w:r>
          </w:p>
        </w:tc>
        <w:tc>
          <w:tcPr>
            <w:tcW w:w="1496" w:type="pct"/>
          </w:tcPr>
          <w:p>
            <w:pPr>
              <w:pStyle w:val="44"/>
              <w:keepNext w:val="0"/>
              <w:keepLines w:val="0"/>
              <w:suppressLineNumbers w:val="0"/>
              <w:overflowPunct w:val="0"/>
              <w:spacing w:before="54"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b/>
                <w:spacing w:val="-1"/>
                <w:kern w:val="2"/>
                <w:sz w:val="21"/>
                <w:szCs w:val="21"/>
              </w:rPr>
              <w:t>CODcr</w:t>
            </w:r>
          </w:p>
        </w:tc>
        <w:tc>
          <w:tcPr>
            <w:tcW w:w="1079" w:type="pct"/>
          </w:tcPr>
          <w:p>
            <w:pPr>
              <w:pStyle w:val="44"/>
              <w:keepNext w:val="0"/>
              <w:keepLines w:val="0"/>
              <w:suppressLineNumbers w:val="0"/>
              <w:overflowPunct w:val="0"/>
              <w:spacing w:before="54" w:beforeAutospacing="0" w:after="0" w:afterAutospacing="0" w:line="240" w:lineRule="exact"/>
              <w:ind w:left="2" w:right="0"/>
              <w:jc w:val="center"/>
              <w:rPr>
                <w:rFonts w:hint="eastAsia" w:hAnsi="Times New Roman" w:eastAsia="宋体"/>
                <w:kern w:val="2"/>
                <w:sz w:val="21"/>
                <w:szCs w:val="21"/>
                <w:lang w:eastAsia="zh-CN"/>
              </w:rPr>
            </w:pPr>
            <w:r>
              <w:rPr>
                <w:rFonts w:hint="eastAsia" w:hAnsi="Times New Roman" w:eastAsia="宋体"/>
                <w:b/>
                <w:bCs/>
                <w:kern w:val="2"/>
                <w:sz w:val="21"/>
                <w:szCs w:val="21"/>
                <w:lang w:eastAsia="zh-CN"/>
              </w:rPr>
              <w:t>氨氮</w:t>
            </w:r>
          </w:p>
        </w:tc>
        <w:tc>
          <w:tcPr>
            <w:tcW w:w="1006" w:type="pct"/>
          </w:tcPr>
          <w:p>
            <w:pPr>
              <w:pStyle w:val="44"/>
              <w:keepNext w:val="0"/>
              <w:keepLines w:val="0"/>
              <w:suppressLineNumbers w:val="0"/>
              <w:overflowPunct w:val="0"/>
              <w:spacing w:before="54" w:beforeAutospacing="0" w:after="0" w:afterAutospacing="0" w:line="240" w:lineRule="exact"/>
              <w:ind w:left="2" w:right="0"/>
              <w:jc w:val="center"/>
              <w:rPr>
                <w:rFonts w:hint="eastAsia" w:hAnsi="Times New Roman" w:eastAsia="宋体"/>
                <w:b/>
                <w:spacing w:val="-1"/>
                <w:kern w:val="2"/>
                <w:sz w:val="21"/>
                <w:szCs w:val="21"/>
                <w:lang w:eastAsia="zh-CN"/>
              </w:rPr>
            </w:pPr>
            <w:r>
              <w:rPr>
                <w:rFonts w:hint="eastAsia" w:hAnsi="Times New Roman" w:eastAsia="宋体"/>
                <w:b/>
                <w:spacing w:val="-1"/>
                <w:kern w:val="2"/>
                <w:sz w:val="21"/>
                <w:szCs w:val="21"/>
                <w:lang w:eastAsia="zh-CN"/>
              </w:rPr>
              <w:t>石油类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1420" w:type="pct"/>
            <w:vAlign w:val="center"/>
          </w:tcPr>
          <w:p>
            <w:pPr>
              <w:pStyle w:val="44"/>
              <w:keepNext w:val="0"/>
              <w:keepLines w:val="0"/>
              <w:suppressLineNumbers w:val="0"/>
              <w:overflowPunct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正常工况</w:t>
            </w:r>
          </w:p>
        </w:tc>
        <w:tc>
          <w:tcPr>
            <w:tcW w:w="1496" w:type="pct"/>
          </w:tcPr>
          <w:p>
            <w:pPr>
              <w:pStyle w:val="44"/>
              <w:keepNext w:val="0"/>
              <w:keepLines w:val="0"/>
              <w:suppressLineNumbers w:val="0"/>
              <w:spacing w:before="80" w:beforeAutospacing="0" w:after="0" w:afterAutospacing="0" w:line="240" w:lineRule="exact"/>
              <w:ind w:left="0" w:right="0"/>
              <w:jc w:val="center"/>
              <w:rPr>
                <w:rFonts w:hint="eastAsia" w:hAnsi="Times New Roman" w:eastAsia="宋体"/>
                <w:kern w:val="2"/>
                <w:sz w:val="21"/>
                <w:szCs w:val="21"/>
                <w:lang w:eastAsia="zh-CN"/>
              </w:rPr>
            </w:pPr>
            <w:r>
              <w:rPr>
                <w:rFonts w:hint="eastAsia"/>
                <w:kern w:val="2"/>
                <w:sz w:val="21"/>
                <w:szCs w:val="22"/>
              </w:rPr>
              <w:t>20</w:t>
            </w:r>
          </w:p>
        </w:tc>
        <w:tc>
          <w:tcPr>
            <w:tcW w:w="1079" w:type="pct"/>
          </w:tcPr>
          <w:p>
            <w:pPr>
              <w:pStyle w:val="44"/>
              <w:keepNext w:val="0"/>
              <w:keepLines w:val="0"/>
              <w:suppressLineNumbers w:val="0"/>
              <w:spacing w:before="8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w:t>
            </w:r>
          </w:p>
        </w:tc>
        <w:tc>
          <w:tcPr>
            <w:tcW w:w="1006" w:type="pct"/>
          </w:tcPr>
          <w:p>
            <w:pPr>
              <w:pStyle w:val="44"/>
              <w:keepNext w:val="0"/>
              <w:keepLines w:val="0"/>
              <w:suppressLineNumbers w:val="0"/>
              <w:spacing w:before="80" w:beforeAutospacing="0" w:after="0" w:afterAutospacing="0" w:line="240" w:lineRule="exact"/>
              <w:ind w:left="0" w:right="0"/>
              <w:jc w:val="center"/>
              <w:rPr>
                <w:rFonts w:hint="eastAsia"/>
                <w:kern w:val="2"/>
                <w:sz w:val="21"/>
                <w:szCs w:val="22"/>
              </w:rPr>
            </w:pPr>
            <w:r>
              <w:rPr>
                <w:rFonts w:hint="eastAsia"/>
                <w:kern w:val="2"/>
                <w:sz w:val="21"/>
                <w:szCs w:val="22"/>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1420" w:type="pct"/>
            <w:vAlign w:val="center"/>
          </w:tcPr>
          <w:p>
            <w:pPr>
              <w:pStyle w:val="44"/>
              <w:keepNext w:val="0"/>
              <w:keepLines w:val="0"/>
              <w:suppressLineNumbers w:val="0"/>
              <w:overflowPunct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非正常工况</w:t>
            </w:r>
            <w:r>
              <w:rPr>
                <w:rFonts w:hint="eastAsia" w:hAnsi="Times New Roman" w:eastAsia="Times New Roman"/>
                <w:kern w:val="2"/>
                <w:position w:val="8"/>
                <w:sz w:val="14"/>
                <w:szCs w:val="14"/>
              </w:rPr>
              <w:t>*1</w:t>
            </w:r>
          </w:p>
        </w:tc>
        <w:tc>
          <w:tcPr>
            <w:tcW w:w="1496" w:type="pct"/>
          </w:tcPr>
          <w:p>
            <w:pPr>
              <w:pStyle w:val="44"/>
              <w:keepNext w:val="0"/>
              <w:keepLines w:val="0"/>
              <w:suppressLineNumbers w:val="0"/>
              <w:spacing w:before="81" w:beforeAutospacing="0" w:after="0" w:afterAutospacing="0" w:line="240" w:lineRule="exact"/>
              <w:ind w:left="0" w:right="0"/>
              <w:jc w:val="center"/>
              <w:rPr>
                <w:rFonts w:hint="eastAsia" w:hAnsi="Times New Roman" w:eastAsia="宋体"/>
                <w:kern w:val="2"/>
                <w:sz w:val="21"/>
                <w:szCs w:val="21"/>
                <w:lang w:eastAsia="zh-CN"/>
              </w:rPr>
            </w:pPr>
            <w:r>
              <w:rPr>
                <w:rFonts w:hint="eastAsia" w:eastAsia="宋体"/>
                <w:kern w:val="2"/>
                <w:sz w:val="21"/>
                <w:szCs w:val="22"/>
                <w:lang w:eastAsia="zh-CN"/>
              </w:rPr>
              <w:t>30</w:t>
            </w:r>
          </w:p>
        </w:tc>
        <w:tc>
          <w:tcPr>
            <w:tcW w:w="1079" w:type="pct"/>
          </w:tcPr>
          <w:p>
            <w:pPr>
              <w:pStyle w:val="44"/>
              <w:keepNext w:val="0"/>
              <w:keepLines w:val="0"/>
              <w:suppressLineNumbers w:val="0"/>
              <w:spacing w:before="67"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1.5</w:t>
            </w:r>
          </w:p>
        </w:tc>
        <w:tc>
          <w:tcPr>
            <w:tcW w:w="1006" w:type="pct"/>
          </w:tcPr>
          <w:p>
            <w:pPr>
              <w:pStyle w:val="44"/>
              <w:keepNext w:val="0"/>
              <w:keepLines w:val="0"/>
              <w:suppressLineNumbers w:val="0"/>
              <w:spacing w:before="67" w:beforeAutospacing="0" w:after="0" w:afterAutospacing="0" w:line="240" w:lineRule="exact"/>
              <w:ind w:left="0" w:right="0"/>
              <w:jc w:val="center"/>
              <w:rPr>
                <w:rFonts w:hint="eastAsia" w:eastAsia="宋体"/>
                <w:spacing w:val="-1"/>
                <w:kern w:val="2"/>
                <w:sz w:val="21"/>
                <w:szCs w:val="22"/>
                <w:lang w:eastAsia="zh-CN"/>
              </w:rPr>
            </w:pPr>
            <w:r>
              <w:rPr>
                <w:rFonts w:hint="eastAsia" w:eastAsia="宋体"/>
                <w:spacing w:val="-1"/>
                <w:kern w:val="2"/>
                <w:sz w:val="21"/>
                <w:szCs w:val="22"/>
                <w:lang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7" w:hRule="atLeast"/>
          <w:jc w:val="center"/>
        </w:trPr>
        <w:tc>
          <w:tcPr>
            <w:tcW w:w="5000" w:type="pct"/>
            <w:gridSpan w:val="4"/>
          </w:tcPr>
          <w:p>
            <w:pPr>
              <w:pStyle w:val="44"/>
              <w:keepNext w:val="0"/>
              <w:keepLines w:val="0"/>
              <w:suppressLineNumbers w:val="0"/>
              <w:spacing w:before="67" w:beforeAutospacing="0" w:after="0" w:afterAutospacing="0" w:line="240" w:lineRule="exact"/>
              <w:ind w:left="0" w:right="0"/>
              <w:jc w:val="center"/>
              <w:rPr>
                <w:rFonts w:hint="eastAsia"/>
                <w:spacing w:val="-1"/>
                <w:kern w:val="2"/>
                <w:sz w:val="21"/>
                <w:szCs w:val="22"/>
              </w:rPr>
            </w:pPr>
            <w:r>
              <w:rPr>
                <w:rFonts w:hint="eastAsia" w:hAnsi="Times New Roman" w:eastAsia="Times New Roman"/>
                <w:spacing w:val="-1"/>
                <w:kern w:val="2"/>
                <w:sz w:val="21"/>
                <w:szCs w:val="21"/>
              </w:rPr>
              <w:t>*1</w:t>
            </w:r>
            <w:r>
              <w:rPr>
                <w:rFonts w:hint="eastAsia" w:ascii="宋体" w:hAnsi="宋体" w:eastAsia="宋体" w:cs="宋体"/>
                <w:spacing w:val="-1"/>
                <w:kern w:val="2"/>
                <w:sz w:val="21"/>
                <w:szCs w:val="21"/>
              </w:rPr>
              <w:t>：非正常排放考虑井矿井涌水污水处理系统完全故障，按照本次评价监测的未经处理的矿井</w:t>
            </w:r>
            <w:r>
              <w:rPr>
                <w:rFonts w:hint="eastAsia" w:ascii="宋体" w:hAnsi="宋体" w:eastAsia="宋体" w:cs="宋体"/>
                <w:spacing w:val="80"/>
                <w:kern w:val="2"/>
                <w:sz w:val="21"/>
                <w:szCs w:val="21"/>
              </w:rPr>
              <w:t xml:space="preserve"> </w:t>
            </w:r>
            <w:r>
              <w:rPr>
                <w:rFonts w:hint="eastAsia" w:ascii="宋体" w:hAnsi="宋体" w:eastAsia="宋体" w:cs="宋体"/>
                <w:spacing w:val="-1"/>
                <w:kern w:val="2"/>
                <w:sz w:val="21"/>
                <w:szCs w:val="21"/>
              </w:rPr>
              <w:t>涌水处理。正常排放以达标的限值确定；</w:t>
            </w:r>
            <w:r>
              <w:rPr>
                <w:rFonts w:hint="eastAsia" w:hAnsi="Times New Roman" w:eastAsia="Times New Roman"/>
                <w:spacing w:val="-1"/>
                <w:kern w:val="2"/>
                <w:sz w:val="21"/>
                <w:szCs w:val="21"/>
              </w:rPr>
              <w:t>*2</w:t>
            </w:r>
            <w:r>
              <w:rPr>
                <w:rFonts w:hint="eastAsia" w:ascii="宋体" w:hAnsi="宋体" w:eastAsia="宋体" w:cs="宋体"/>
                <w:spacing w:val="-1"/>
                <w:kern w:val="2"/>
                <w:sz w:val="21"/>
                <w:szCs w:val="21"/>
              </w:rPr>
              <w:t>：为采取源头控制措施后，正常生产情况下的数</w:t>
            </w:r>
            <w:r>
              <w:rPr>
                <w:rFonts w:hint="eastAsia" w:ascii="宋体" w:hAnsi="宋体" w:eastAsia="宋体" w:cs="宋体"/>
                <w:kern w:val="2"/>
                <w:sz w:val="21"/>
                <w:szCs w:val="21"/>
              </w:rPr>
              <w:t>值。</w:t>
            </w:r>
          </w:p>
        </w:tc>
      </w:tr>
    </w:tbl>
    <w:p>
      <w:pPr>
        <w:spacing w:line="360" w:lineRule="auto"/>
        <w:ind w:firstLine="480" w:firstLineChars="200"/>
        <w:rPr>
          <w:rFonts w:hAnsi="Times New Roman" w:eastAsia="宋体"/>
          <w:szCs w:val="22"/>
          <w:lang w:eastAsia="zh-CN"/>
        </w:rPr>
      </w:pPr>
      <w:r>
        <w:rPr>
          <w:rFonts w:hAnsi="Times New Roman" w:eastAsia="宋体"/>
          <w:szCs w:val="22"/>
          <w:lang w:eastAsia="zh-CN"/>
        </w:rPr>
        <w:t>（2）河流参数</w:t>
      </w:r>
    </w:p>
    <w:p>
      <w:pPr>
        <w:autoSpaceDE w:val="0"/>
        <w:autoSpaceDN w:val="0"/>
        <w:adjustRightInd w:val="0"/>
        <w:snapToGrid w:val="0"/>
        <w:spacing w:line="360" w:lineRule="auto"/>
        <w:ind w:firstLine="480" w:firstLineChars="200"/>
        <w:jc w:val="left"/>
        <w:rPr>
          <w:rFonts w:ascii="宋体" w:hAnsi="宋体" w:eastAsia="宋体" w:cs="宋体"/>
        </w:rPr>
      </w:pPr>
      <w:r>
        <w:rPr>
          <w:rFonts w:hint="eastAsia" w:ascii="宋体" w:hAnsi="宋体" w:eastAsia="宋体" w:cs="宋体"/>
          <w:lang w:eastAsia="zh-CN"/>
        </w:rPr>
        <w:t>本次环评河流水文参数引用《宣汉县乡村振兴人居环境综合治理项目（一期）天生镇七里污水处理工程》报告中新宁河水文参数</w:t>
      </w:r>
      <w:r>
        <w:rPr>
          <w:rFonts w:hint="eastAsia" w:ascii="宋体" w:hAnsi="宋体" w:eastAsia="宋体" w:cs="宋体"/>
        </w:rPr>
        <w:t>。河流水文参数见下表。</w:t>
      </w:r>
    </w:p>
    <w:p>
      <w:pPr>
        <w:jc w:val="center"/>
        <w:rPr>
          <w:rFonts w:ascii="宋体" w:hAnsi="宋体" w:eastAsia="宋体" w:cs="宋体"/>
          <w:b/>
          <w:bCs/>
          <w:sz w:val="21"/>
          <w:szCs w:val="21"/>
        </w:rPr>
      </w:pPr>
      <w:r>
        <w:rPr>
          <w:rFonts w:hAnsi="Times New Roman" w:eastAsia="宋体"/>
          <w:b/>
          <w:bCs/>
          <w:sz w:val="21"/>
          <w:szCs w:val="21"/>
          <w:lang w:eastAsia="zh-CN"/>
        </w:rPr>
        <w:t>表6.3-</w:t>
      </w:r>
      <w:r>
        <w:rPr>
          <w:rFonts w:hint="eastAsia" w:hAnsi="Times New Roman" w:eastAsia="宋体"/>
          <w:b/>
          <w:bCs/>
          <w:sz w:val="21"/>
          <w:szCs w:val="21"/>
          <w:lang w:eastAsia="zh-CN"/>
        </w:rPr>
        <w:t>2</w:t>
      </w:r>
      <w:r>
        <w:rPr>
          <w:rFonts w:hint="eastAsia" w:ascii="宋体" w:hAnsi="宋体" w:eastAsia="宋体" w:cs="宋体"/>
          <w:b/>
          <w:bCs/>
          <w:sz w:val="21"/>
          <w:szCs w:val="21"/>
        </w:rPr>
        <w:t xml:space="preserve"> 水文参数一览表（枯水期）</w:t>
      </w:r>
    </w:p>
    <w:tbl>
      <w:tblPr>
        <w:tblStyle w:val="33"/>
        <w:tblW w:w="914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351"/>
        <w:gridCol w:w="1072"/>
        <w:gridCol w:w="1391"/>
        <w:gridCol w:w="1132"/>
        <w:gridCol w:w="1268"/>
        <w:gridCol w:w="1132"/>
        <w:gridCol w:w="18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351" w:type="dxa"/>
            <w:vAlign w:val="center"/>
          </w:tcPr>
          <w:p>
            <w:pPr>
              <w:keepNext w:val="0"/>
              <w:keepLines w:val="0"/>
              <w:suppressLineNumbers w:val="0"/>
              <w:kinsoku w:val="0"/>
              <w:overflowPunct w:val="0"/>
              <w:autoSpaceDE w:val="0"/>
              <w:autoSpaceDN w:val="0"/>
              <w:adjustRightInd w:val="0"/>
              <w:snapToGrid w:val="0"/>
              <w:spacing w:before="0" w:beforeAutospacing="0" w:after="0" w:afterAutospacing="0"/>
              <w:ind w:left="0" w:right="0"/>
              <w:jc w:val="center"/>
              <w:rPr>
                <w:rFonts w:hint="eastAsia" w:ascii="宋体" w:hAnsi="宋体" w:eastAsia="宋体" w:cs="宋体"/>
                <w:b/>
                <w:kern w:val="2"/>
                <w:sz w:val="21"/>
                <w:szCs w:val="21"/>
                <w:lang w:eastAsia="zh-CN"/>
              </w:rPr>
            </w:pPr>
            <w:r>
              <w:rPr>
                <w:rFonts w:hint="eastAsia" w:ascii="宋体" w:hAnsi="宋体" w:eastAsia="宋体" w:cs="宋体"/>
                <w:b/>
                <w:kern w:val="2"/>
                <w:sz w:val="21"/>
                <w:szCs w:val="21"/>
                <w:lang w:eastAsia="zh-CN"/>
              </w:rPr>
              <w:t>河流名称</w:t>
            </w:r>
          </w:p>
        </w:tc>
        <w:tc>
          <w:tcPr>
            <w:tcW w:w="1072" w:type="dxa"/>
            <w:vAlign w:val="center"/>
          </w:tcPr>
          <w:p>
            <w:pPr>
              <w:keepNext w:val="0"/>
              <w:keepLines w:val="0"/>
              <w:suppressLineNumbers w:val="0"/>
              <w:kinsoku w:val="0"/>
              <w:overflowPunct w:val="0"/>
              <w:autoSpaceDE w:val="0"/>
              <w:autoSpaceDN w:val="0"/>
              <w:adjustRightInd w:val="0"/>
              <w:snapToGrid w:val="0"/>
              <w:spacing w:before="0" w:beforeAutospacing="0" w:after="0" w:afterAutospacing="0"/>
              <w:ind w:left="0" w:right="0"/>
              <w:jc w:val="center"/>
              <w:rPr>
                <w:rFonts w:hint="eastAsia" w:ascii="宋体" w:hAnsi="宋体" w:eastAsia="宋体" w:cs="宋体"/>
                <w:b/>
                <w:kern w:val="2"/>
                <w:sz w:val="21"/>
                <w:szCs w:val="21"/>
                <w:lang w:eastAsia="zh-CN"/>
              </w:rPr>
            </w:pPr>
            <w:r>
              <w:rPr>
                <w:rFonts w:hint="eastAsia" w:ascii="宋体" w:hAnsi="宋体" w:eastAsia="宋体" w:cs="宋体"/>
                <w:b/>
                <w:kern w:val="2"/>
                <w:sz w:val="21"/>
                <w:szCs w:val="21"/>
                <w:lang w:eastAsia="zh-CN"/>
              </w:rPr>
              <w:t>平均流量</w:t>
            </w:r>
          </w:p>
          <w:p>
            <w:pPr>
              <w:keepNext w:val="0"/>
              <w:keepLines w:val="0"/>
              <w:suppressLineNumbers w:val="0"/>
              <w:kinsoku w:val="0"/>
              <w:overflowPunct w:val="0"/>
              <w:autoSpaceDE w:val="0"/>
              <w:autoSpaceDN w:val="0"/>
              <w:adjustRightInd w:val="0"/>
              <w:snapToGrid w:val="0"/>
              <w:spacing w:before="0" w:beforeAutospacing="0" w:after="0" w:afterAutospacing="0"/>
              <w:ind w:left="0" w:right="0"/>
              <w:jc w:val="center"/>
              <w:rPr>
                <w:rFonts w:hint="eastAsia" w:ascii="宋体" w:hAnsi="宋体" w:eastAsia="宋体" w:cs="宋体"/>
                <w:b/>
                <w:kern w:val="2"/>
                <w:sz w:val="21"/>
                <w:szCs w:val="21"/>
                <w:lang w:eastAsia="zh-CN"/>
              </w:rPr>
            </w:pPr>
            <w:r>
              <w:rPr>
                <w:rFonts w:hint="eastAsia" w:ascii="宋体" w:hAnsi="宋体" w:eastAsia="宋体" w:cs="宋体"/>
                <w:b/>
                <w:kern w:val="2"/>
                <w:sz w:val="21"/>
                <w:szCs w:val="21"/>
                <w:lang w:eastAsia="zh-CN"/>
              </w:rPr>
              <w:t>（</w:t>
            </w:r>
            <w:r>
              <w:rPr>
                <w:rFonts w:hint="eastAsia" w:hAnsi="Times New Roman" w:eastAsia="Times New Roman"/>
                <w:b/>
                <w:bCs/>
                <w:spacing w:val="-1"/>
                <w:kern w:val="2"/>
                <w:sz w:val="21"/>
                <w:szCs w:val="21"/>
              </w:rPr>
              <w:t>m</w:t>
            </w:r>
            <w:r>
              <w:rPr>
                <w:rFonts w:hint="eastAsia" w:hAnsi="Times New Roman" w:eastAsia="宋体"/>
                <w:b/>
                <w:bCs/>
                <w:spacing w:val="-1"/>
                <w:kern w:val="2"/>
                <w:sz w:val="21"/>
                <w:szCs w:val="21"/>
                <w:vertAlign w:val="superscript"/>
                <w:lang w:eastAsia="zh-CN"/>
              </w:rPr>
              <w:t>3</w:t>
            </w:r>
            <w:r>
              <w:rPr>
                <w:rFonts w:hint="eastAsia" w:hAnsi="Times New Roman" w:eastAsia="Times New Roman"/>
                <w:b/>
                <w:bCs/>
                <w:spacing w:val="-1"/>
                <w:kern w:val="2"/>
                <w:sz w:val="21"/>
                <w:szCs w:val="21"/>
              </w:rPr>
              <w:t>/s</w:t>
            </w:r>
            <w:r>
              <w:rPr>
                <w:rFonts w:hint="eastAsia" w:ascii="宋体" w:hAnsi="宋体" w:eastAsia="宋体" w:cs="宋体"/>
                <w:b/>
                <w:kern w:val="2"/>
                <w:sz w:val="21"/>
                <w:szCs w:val="21"/>
                <w:lang w:eastAsia="zh-CN"/>
              </w:rPr>
              <w:t>）</w:t>
            </w:r>
          </w:p>
        </w:tc>
        <w:tc>
          <w:tcPr>
            <w:tcW w:w="1391" w:type="dxa"/>
            <w:vAlign w:val="center"/>
          </w:tcPr>
          <w:p>
            <w:pPr>
              <w:keepNext w:val="0"/>
              <w:keepLines w:val="0"/>
              <w:suppressLineNumbers w:val="0"/>
              <w:kinsoku w:val="0"/>
              <w:overflowPunct w:val="0"/>
              <w:autoSpaceDE w:val="0"/>
              <w:autoSpaceDN w:val="0"/>
              <w:adjustRightInd w:val="0"/>
              <w:snapToGrid w:val="0"/>
              <w:spacing w:before="0" w:beforeAutospacing="0" w:after="0" w:afterAutospacing="0"/>
              <w:ind w:left="0" w:right="0"/>
              <w:jc w:val="center"/>
              <w:rPr>
                <w:rFonts w:hint="eastAsia" w:ascii="宋体" w:hAnsi="宋体" w:eastAsia="宋体" w:cs="宋体"/>
                <w:b/>
                <w:kern w:val="2"/>
                <w:sz w:val="21"/>
                <w:szCs w:val="21"/>
                <w:lang w:eastAsia="zh-CN"/>
              </w:rPr>
            </w:pPr>
            <w:r>
              <w:rPr>
                <w:rFonts w:hint="eastAsia" w:ascii="宋体" w:hAnsi="宋体" w:eastAsia="宋体" w:cs="宋体"/>
                <w:b/>
                <w:kern w:val="2"/>
                <w:sz w:val="21"/>
                <w:szCs w:val="21"/>
                <w:lang w:eastAsia="zh-CN"/>
              </w:rPr>
              <w:t>枯水期流量</w:t>
            </w:r>
          </w:p>
          <w:p>
            <w:pPr>
              <w:keepNext w:val="0"/>
              <w:keepLines w:val="0"/>
              <w:suppressLineNumbers w:val="0"/>
              <w:kinsoku w:val="0"/>
              <w:overflowPunct w:val="0"/>
              <w:autoSpaceDE w:val="0"/>
              <w:autoSpaceDN w:val="0"/>
              <w:adjustRightInd w:val="0"/>
              <w:snapToGrid w:val="0"/>
              <w:spacing w:before="0" w:beforeAutospacing="0" w:after="0" w:afterAutospacing="0"/>
              <w:ind w:left="0" w:right="0"/>
              <w:jc w:val="center"/>
              <w:rPr>
                <w:rFonts w:hint="eastAsia" w:ascii="宋体" w:hAnsi="宋体" w:eastAsia="宋体" w:cs="宋体"/>
                <w:b/>
                <w:kern w:val="2"/>
                <w:sz w:val="21"/>
                <w:szCs w:val="21"/>
                <w:lang w:eastAsia="zh-CN"/>
              </w:rPr>
            </w:pPr>
            <w:r>
              <w:rPr>
                <w:rFonts w:hint="eastAsia" w:ascii="宋体" w:hAnsi="宋体" w:eastAsia="宋体" w:cs="宋体"/>
                <w:b/>
                <w:kern w:val="2"/>
                <w:sz w:val="21"/>
                <w:szCs w:val="21"/>
                <w:lang w:eastAsia="zh-CN"/>
              </w:rPr>
              <w:t>（</w:t>
            </w:r>
            <w:r>
              <w:rPr>
                <w:rFonts w:hint="eastAsia" w:hAnsi="Times New Roman" w:eastAsia="Times New Roman"/>
                <w:b/>
                <w:bCs/>
                <w:spacing w:val="-1"/>
                <w:kern w:val="2"/>
                <w:sz w:val="21"/>
                <w:szCs w:val="21"/>
              </w:rPr>
              <w:t>m</w:t>
            </w:r>
            <w:r>
              <w:rPr>
                <w:rFonts w:hint="eastAsia" w:hAnsi="Times New Roman" w:eastAsia="宋体"/>
                <w:b/>
                <w:bCs/>
                <w:spacing w:val="-1"/>
                <w:kern w:val="2"/>
                <w:sz w:val="21"/>
                <w:szCs w:val="21"/>
                <w:vertAlign w:val="superscript"/>
                <w:lang w:eastAsia="zh-CN"/>
              </w:rPr>
              <w:t>3</w:t>
            </w:r>
            <w:r>
              <w:rPr>
                <w:rFonts w:hint="eastAsia" w:hAnsi="Times New Roman" w:eastAsia="Times New Roman"/>
                <w:b/>
                <w:bCs/>
                <w:spacing w:val="-1"/>
                <w:kern w:val="2"/>
                <w:sz w:val="21"/>
                <w:szCs w:val="21"/>
              </w:rPr>
              <w:t>/s</w:t>
            </w:r>
            <w:r>
              <w:rPr>
                <w:rFonts w:hint="eastAsia" w:ascii="宋体" w:hAnsi="宋体" w:eastAsia="宋体" w:cs="宋体"/>
                <w:b/>
                <w:kern w:val="2"/>
                <w:sz w:val="21"/>
                <w:szCs w:val="21"/>
                <w:lang w:eastAsia="zh-CN"/>
              </w:rPr>
              <w:t>）</w:t>
            </w:r>
          </w:p>
        </w:tc>
        <w:tc>
          <w:tcPr>
            <w:tcW w:w="1132" w:type="dxa"/>
            <w:vAlign w:val="center"/>
          </w:tcPr>
          <w:p>
            <w:pPr>
              <w:keepNext w:val="0"/>
              <w:keepLines w:val="0"/>
              <w:suppressLineNumbers w:val="0"/>
              <w:kinsoku w:val="0"/>
              <w:overflowPunct w:val="0"/>
              <w:autoSpaceDE w:val="0"/>
              <w:autoSpaceDN w:val="0"/>
              <w:adjustRightInd w:val="0"/>
              <w:snapToGrid w:val="0"/>
              <w:spacing w:before="0" w:beforeAutospacing="0" w:after="0" w:afterAutospacing="0"/>
              <w:ind w:left="0" w:right="0"/>
              <w:jc w:val="center"/>
              <w:rPr>
                <w:rFonts w:hint="eastAsia" w:ascii="宋体" w:hAnsi="宋体" w:eastAsia="宋体" w:cs="宋体"/>
                <w:b/>
                <w:kern w:val="2"/>
                <w:sz w:val="21"/>
                <w:szCs w:val="21"/>
                <w:lang w:eastAsia="zh-CN"/>
              </w:rPr>
            </w:pPr>
            <w:r>
              <w:rPr>
                <w:rFonts w:hint="eastAsia" w:ascii="宋体" w:hAnsi="宋体" w:eastAsia="宋体" w:cs="宋体"/>
                <w:b/>
                <w:kern w:val="2"/>
                <w:sz w:val="21"/>
                <w:szCs w:val="21"/>
                <w:lang w:eastAsia="zh-CN"/>
              </w:rPr>
              <w:t>流速</w:t>
            </w:r>
          </w:p>
          <w:p>
            <w:pPr>
              <w:keepNext w:val="0"/>
              <w:keepLines w:val="0"/>
              <w:suppressLineNumbers w:val="0"/>
              <w:kinsoku w:val="0"/>
              <w:overflowPunct w:val="0"/>
              <w:autoSpaceDE w:val="0"/>
              <w:autoSpaceDN w:val="0"/>
              <w:adjustRightInd w:val="0"/>
              <w:snapToGrid w:val="0"/>
              <w:spacing w:before="0" w:beforeAutospacing="0" w:after="0" w:afterAutospacing="0"/>
              <w:ind w:left="0" w:right="0"/>
              <w:jc w:val="center"/>
              <w:rPr>
                <w:rFonts w:hint="eastAsia" w:ascii="宋体" w:hAnsi="宋体" w:eastAsia="宋体" w:cs="宋体"/>
                <w:b/>
                <w:kern w:val="2"/>
                <w:sz w:val="21"/>
                <w:szCs w:val="21"/>
                <w:lang w:eastAsia="zh-CN"/>
              </w:rPr>
            </w:pPr>
            <w:r>
              <w:rPr>
                <w:rFonts w:hint="eastAsia" w:ascii="宋体" w:hAnsi="宋体" w:eastAsia="宋体" w:cs="宋体"/>
                <w:b/>
                <w:kern w:val="2"/>
                <w:sz w:val="21"/>
                <w:szCs w:val="21"/>
                <w:lang w:eastAsia="zh-CN"/>
              </w:rPr>
              <w:t>（</w:t>
            </w:r>
            <w:r>
              <w:rPr>
                <w:rFonts w:hint="eastAsia" w:hAnsi="Times New Roman" w:eastAsia="Times New Roman"/>
                <w:b/>
                <w:bCs/>
                <w:spacing w:val="-1"/>
                <w:kern w:val="2"/>
                <w:sz w:val="21"/>
                <w:szCs w:val="21"/>
              </w:rPr>
              <w:t>m/s</w:t>
            </w:r>
            <w:r>
              <w:rPr>
                <w:rFonts w:hint="eastAsia" w:ascii="宋体" w:hAnsi="宋体" w:eastAsia="宋体" w:cs="宋体"/>
                <w:b/>
                <w:kern w:val="2"/>
                <w:sz w:val="21"/>
                <w:szCs w:val="21"/>
                <w:lang w:eastAsia="zh-CN"/>
              </w:rPr>
              <w:t>）</w:t>
            </w:r>
          </w:p>
        </w:tc>
        <w:tc>
          <w:tcPr>
            <w:tcW w:w="1268" w:type="dxa"/>
            <w:vAlign w:val="center"/>
          </w:tcPr>
          <w:p>
            <w:pPr>
              <w:keepNext w:val="0"/>
              <w:keepLines w:val="0"/>
              <w:suppressLineNumbers w:val="0"/>
              <w:kinsoku w:val="0"/>
              <w:overflowPunct w:val="0"/>
              <w:autoSpaceDE w:val="0"/>
              <w:autoSpaceDN w:val="0"/>
              <w:adjustRightInd w:val="0"/>
              <w:snapToGrid w:val="0"/>
              <w:spacing w:before="0" w:beforeAutospacing="0" w:after="0" w:afterAutospacing="0"/>
              <w:ind w:left="0" w:right="0"/>
              <w:jc w:val="center"/>
              <w:rPr>
                <w:rFonts w:hint="eastAsia" w:ascii="宋体" w:hAnsi="宋体" w:eastAsia="宋体" w:cs="宋体"/>
                <w:b/>
                <w:kern w:val="2"/>
                <w:sz w:val="21"/>
                <w:szCs w:val="21"/>
                <w:lang w:eastAsia="zh-CN"/>
              </w:rPr>
            </w:pPr>
            <w:r>
              <w:rPr>
                <w:rFonts w:hint="eastAsia" w:ascii="宋体" w:hAnsi="宋体" w:eastAsia="宋体" w:cs="宋体"/>
                <w:b/>
                <w:kern w:val="2"/>
                <w:sz w:val="21"/>
                <w:szCs w:val="21"/>
                <w:lang w:eastAsia="zh-CN"/>
              </w:rPr>
              <w:t>平均水深</w:t>
            </w:r>
          </w:p>
          <w:p>
            <w:pPr>
              <w:keepNext w:val="0"/>
              <w:keepLines w:val="0"/>
              <w:suppressLineNumbers w:val="0"/>
              <w:kinsoku w:val="0"/>
              <w:overflowPunct w:val="0"/>
              <w:autoSpaceDE w:val="0"/>
              <w:autoSpaceDN w:val="0"/>
              <w:adjustRightInd w:val="0"/>
              <w:snapToGrid w:val="0"/>
              <w:spacing w:before="0" w:beforeAutospacing="0" w:after="0" w:afterAutospacing="0"/>
              <w:ind w:left="0" w:right="0"/>
              <w:jc w:val="center"/>
              <w:rPr>
                <w:rFonts w:hint="eastAsia" w:ascii="宋体" w:hAnsi="宋体" w:eastAsia="宋体" w:cs="宋体"/>
                <w:b/>
                <w:kern w:val="2"/>
                <w:sz w:val="21"/>
                <w:szCs w:val="21"/>
                <w:lang w:eastAsia="zh-CN"/>
              </w:rPr>
            </w:pPr>
            <w:r>
              <w:rPr>
                <w:rFonts w:hint="eastAsia" w:ascii="宋体" w:hAnsi="宋体" w:eastAsia="宋体" w:cs="宋体"/>
                <w:b/>
                <w:kern w:val="2"/>
                <w:sz w:val="21"/>
                <w:szCs w:val="21"/>
                <w:lang w:eastAsia="zh-CN"/>
              </w:rPr>
              <w:t>（</w:t>
            </w:r>
            <w:r>
              <w:rPr>
                <w:rFonts w:hint="eastAsia" w:hAnsi="Times New Roman" w:eastAsia="Times New Roman"/>
                <w:b/>
                <w:bCs/>
                <w:spacing w:val="-1"/>
                <w:kern w:val="2"/>
                <w:sz w:val="21"/>
                <w:szCs w:val="21"/>
              </w:rPr>
              <w:t>m</w:t>
            </w:r>
            <w:r>
              <w:rPr>
                <w:rFonts w:hint="eastAsia" w:ascii="宋体" w:hAnsi="宋体" w:eastAsia="宋体" w:cs="宋体"/>
                <w:b/>
                <w:kern w:val="2"/>
                <w:sz w:val="21"/>
                <w:szCs w:val="21"/>
                <w:lang w:eastAsia="zh-CN"/>
              </w:rPr>
              <w:t>）</w:t>
            </w:r>
          </w:p>
        </w:tc>
        <w:tc>
          <w:tcPr>
            <w:tcW w:w="1132" w:type="dxa"/>
            <w:vAlign w:val="center"/>
          </w:tcPr>
          <w:p>
            <w:pPr>
              <w:keepNext w:val="0"/>
              <w:keepLines w:val="0"/>
              <w:suppressLineNumbers w:val="0"/>
              <w:kinsoku w:val="0"/>
              <w:overflowPunct w:val="0"/>
              <w:autoSpaceDE w:val="0"/>
              <w:autoSpaceDN w:val="0"/>
              <w:adjustRightInd w:val="0"/>
              <w:snapToGrid w:val="0"/>
              <w:spacing w:before="0" w:beforeAutospacing="0" w:after="0" w:afterAutospacing="0"/>
              <w:ind w:left="0" w:right="0"/>
              <w:jc w:val="center"/>
              <w:rPr>
                <w:rFonts w:hint="eastAsia" w:ascii="宋体" w:hAnsi="宋体" w:eastAsia="宋体" w:cs="宋体"/>
                <w:b/>
                <w:kern w:val="2"/>
                <w:sz w:val="21"/>
                <w:szCs w:val="21"/>
                <w:lang w:eastAsia="zh-CN"/>
              </w:rPr>
            </w:pPr>
            <w:r>
              <w:rPr>
                <w:rFonts w:hint="eastAsia" w:ascii="宋体" w:hAnsi="宋体" w:eastAsia="宋体" w:cs="宋体"/>
                <w:b/>
                <w:kern w:val="2"/>
                <w:sz w:val="21"/>
                <w:szCs w:val="21"/>
                <w:lang w:eastAsia="zh-CN"/>
              </w:rPr>
              <w:t>水面宽度</w:t>
            </w:r>
          </w:p>
          <w:p>
            <w:pPr>
              <w:keepNext w:val="0"/>
              <w:keepLines w:val="0"/>
              <w:suppressLineNumbers w:val="0"/>
              <w:kinsoku w:val="0"/>
              <w:overflowPunct w:val="0"/>
              <w:autoSpaceDE w:val="0"/>
              <w:autoSpaceDN w:val="0"/>
              <w:adjustRightInd w:val="0"/>
              <w:snapToGrid w:val="0"/>
              <w:spacing w:before="0" w:beforeAutospacing="0" w:after="0" w:afterAutospacing="0"/>
              <w:ind w:left="0" w:right="0"/>
              <w:jc w:val="center"/>
              <w:rPr>
                <w:rFonts w:hint="eastAsia"/>
                <w:kern w:val="2"/>
                <w:sz w:val="21"/>
                <w:szCs w:val="21"/>
                <w:lang w:eastAsia="zh-CN"/>
              </w:rPr>
            </w:pPr>
            <w:r>
              <w:rPr>
                <w:rFonts w:hint="eastAsia" w:ascii="宋体" w:hAnsi="宋体" w:eastAsia="宋体" w:cs="宋体"/>
                <w:b/>
                <w:kern w:val="2"/>
                <w:sz w:val="21"/>
                <w:szCs w:val="21"/>
                <w:lang w:eastAsia="zh-CN"/>
              </w:rPr>
              <w:t>（m）</w:t>
            </w:r>
          </w:p>
        </w:tc>
        <w:tc>
          <w:tcPr>
            <w:tcW w:w="1800" w:type="dxa"/>
            <w:vAlign w:val="center"/>
          </w:tcPr>
          <w:p>
            <w:pPr>
              <w:keepNext w:val="0"/>
              <w:keepLines w:val="0"/>
              <w:suppressLineNumbers w:val="0"/>
              <w:kinsoku w:val="0"/>
              <w:overflowPunct w:val="0"/>
              <w:autoSpaceDE w:val="0"/>
              <w:autoSpaceDN w:val="0"/>
              <w:adjustRightInd w:val="0"/>
              <w:snapToGrid w:val="0"/>
              <w:spacing w:before="0" w:beforeAutospacing="0" w:after="0" w:afterAutospacing="0"/>
              <w:ind w:left="0" w:right="0"/>
              <w:jc w:val="center"/>
              <w:rPr>
                <w:rFonts w:hint="eastAsia" w:ascii="宋体" w:hAnsi="宋体" w:eastAsia="宋体" w:cs="宋体"/>
                <w:b/>
                <w:kern w:val="2"/>
                <w:sz w:val="21"/>
                <w:szCs w:val="21"/>
                <w:lang w:eastAsia="zh-CN"/>
              </w:rPr>
            </w:pPr>
            <w:r>
              <w:rPr>
                <w:rFonts w:hint="eastAsia" w:ascii="宋体" w:hAnsi="宋体" w:eastAsia="宋体" w:cs="宋体"/>
                <w:b/>
                <w:kern w:val="2"/>
                <w:sz w:val="21"/>
                <w:szCs w:val="21"/>
                <w:lang w:eastAsia="zh-CN"/>
              </w:rPr>
              <w:t>水质现状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351" w:type="dxa"/>
            <w:vAlign w:val="center"/>
          </w:tcPr>
          <w:p>
            <w:pPr>
              <w:keepNext w:val="0"/>
              <w:keepLines w:val="0"/>
              <w:suppressLineNumbers w:val="0"/>
              <w:kinsoku w:val="0"/>
              <w:overflowPunct w:val="0"/>
              <w:autoSpaceDE w:val="0"/>
              <w:autoSpaceDN w:val="0"/>
              <w:adjustRightInd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新宁河</w:t>
            </w:r>
          </w:p>
        </w:tc>
        <w:tc>
          <w:tcPr>
            <w:tcW w:w="1072" w:type="dxa"/>
            <w:vAlign w:val="center"/>
          </w:tcPr>
          <w:p>
            <w:pPr>
              <w:keepNext w:val="0"/>
              <w:keepLines w:val="0"/>
              <w:suppressLineNumbers w:val="0"/>
              <w:kinsoku w:val="0"/>
              <w:overflowPunct w:val="0"/>
              <w:autoSpaceDE w:val="0"/>
              <w:autoSpaceDN w:val="0"/>
              <w:adjustRightInd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2.2</w:t>
            </w:r>
          </w:p>
        </w:tc>
        <w:tc>
          <w:tcPr>
            <w:tcW w:w="1391" w:type="dxa"/>
            <w:vAlign w:val="center"/>
          </w:tcPr>
          <w:p>
            <w:pPr>
              <w:keepNext w:val="0"/>
              <w:keepLines w:val="0"/>
              <w:suppressLineNumbers w:val="0"/>
              <w:kinsoku w:val="0"/>
              <w:overflowPunct w:val="0"/>
              <w:autoSpaceDE w:val="0"/>
              <w:autoSpaceDN w:val="0"/>
              <w:adjustRightInd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1.3</w:t>
            </w:r>
          </w:p>
        </w:tc>
        <w:tc>
          <w:tcPr>
            <w:tcW w:w="1132" w:type="dxa"/>
            <w:vAlign w:val="center"/>
          </w:tcPr>
          <w:p>
            <w:pPr>
              <w:keepNext w:val="0"/>
              <w:keepLines w:val="0"/>
              <w:suppressLineNumbers w:val="0"/>
              <w:kinsoku w:val="0"/>
              <w:overflowPunct w:val="0"/>
              <w:autoSpaceDE w:val="0"/>
              <w:autoSpaceDN w:val="0"/>
              <w:adjustRightInd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0.22</w:t>
            </w:r>
          </w:p>
        </w:tc>
        <w:tc>
          <w:tcPr>
            <w:tcW w:w="1268" w:type="dxa"/>
            <w:vAlign w:val="center"/>
          </w:tcPr>
          <w:p>
            <w:pPr>
              <w:keepNext w:val="0"/>
              <w:keepLines w:val="0"/>
              <w:suppressLineNumbers w:val="0"/>
              <w:kinsoku w:val="0"/>
              <w:overflowPunct w:val="0"/>
              <w:autoSpaceDE w:val="0"/>
              <w:autoSpaceDN w:val="0"/>
              <w:adjustRightInd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1.6</w:t>
            </w:r>
          </w:p>
        </w:tc>
        <w:tc>
          <w:tcPr>
            <w:tcW w:w="1132" w:type="dxa"/>
            <w:vAlign w:val="center"/>
          </w:tcPr>
          <w:p>
            <w:pPr>
              <w:keepNext w:val="0"/>
              <w:keepLines w:val="0"/>
              <w:suppressLineNumbers w:val="0"/>
              <w:kinsoku w:val="0"/>
              <w:overflowPunct w:val="0"/>
              <w:autoSpaceDE w:val="0"/>
              <w:autoSpaceDN w:val="0"/>
              <w:adjustRightInd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30</w:t>
            </w:r>
          </w:p>
        </w:tc>
        <w:tc>
          <w:tcPr>
            <w:tcW w:w="1800" w:type="dxa"/>
            <w:vAlign w:val="center"/>
          </w:tcPr>
          <w:p>
            <w:pPr>
              <w:keepNext w:val="0"/>
              <w:keepLines w:val="0"/>
              <w:suppressLineNumbers w:val="0"/>
              <w:kinsoku w:val="0"/>
              <w:overflowPunct w:val="0"/>
              <w:autoSpaceDE w:val="0"/>
              <w:autoSpaceDN w:val="0"/>
              <w:adjustRightInd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rPr>
              <w:t>Ⅲ</w:t>
            </w:r>
            <w:r>
              <w:rPr>
                <w:rFonts w:hint="eastAsia" w:hAnsi="Times New Roman" w:eastAsia="宋体"/>
                <w:kern w:val="2"/>
                <w:sz w:val="21"/>
                <w:szCs w:val="21"/>
                <w:lang w:eastAsia="zh-CN"/>
              </w:rPr>
              <w:t>类地表水体</w:t>
            </w:r>
          </w:p>
        </w:tc>
      </w:tr>
    </w:tbl>
    <w:p>
      <w:pPr>
        <w:pStyle w:val="14"/>
        <w:overflowPunct w:val="0"/>
        <w:spacing w:line="360" w:lineRule="auto"/>
        <w:ind w:firstLine="480" w:firstLineChars="200"/>
        <w:rPr>
          <w:rFonts w:ascii="Times New Roman" w:hAnsi="Times New Roman"/>
          <w:sz w:val="24"/>
          <w:lang w:eastAsia="zh-CN"/>
        </w:rPr>
      </w:pPr>
      <w:r>
        <w:rPr>
          <w:rFonts w:hint="eastAsia" w:ascii="Times New Roman" w:hAnsi="Times New Roman"/>
          <w:sz w:val="24"/>
          <w:lang w:eastAsia="zh-CN"/>
        </w:rPr>
        <w:t>（3）背景浓度参数</w:t>
      </w:r>
    </w:p>
    <w:p>
      <w:pPr>
        <w:pStyle w:val="14"/>
        <w:overflowPunct w:val="0"/>
        <w:spacing w:line="360" w:lineRule="auto"/>
        <w:ind w:firstLine="480" w:firstLineChars="200"/>
        <w:rPr>
          <w:rFonts w:ascii="Times New Roman" w:hAnsi="Times New Roman"/>
          <w:sz w:val="24"/>
        </w:rPr>
      </w:pPr>
      <w:r>
        <w:rPr>
          <w:rFonts w:hint="eastAsia" w:ascii="Times New Roman" w:hAnsi="Times New Roman"/>
          <w:sz w:val="24"/>
          <w:lang w:eastAsia="zh-CN"/>
        </w:rPr>
        <w:t>根据本项目地表水监测结果，本项目新宁河水质背景浓度取值上游500m处断面的最大水质监测结果，其流量和污染物浓度见下表所示。</w:t>
      </w:r>
    </w:p>
    <w:p>
      <w:pPr>
        <w:jc w:val="center"/>
        <w:rPr>
          <w:rFonts w:hAnsi="Times New Roman" w:eastAsia="宋体"/>
          <w:b/>
          <w:bCs/>
          <w:sz w:val="21"/>
          <w:szCs w:val="21"/>
        </w:rPr>
      </w:pPr>
      <w:r>
        <w:rPr>
          <w:rFonts w:hAnsi="Times New Roman" w:eastAsia="宋体"/>
          <w:b/>
          <w:bCs/>
          <w:sz w:val="21"/>
          <w:szCs w:val="21"/>
        </w:rPr>
        <w:t>表</w:t>
      </w:r>
      <w:r>
        <w:rPr>
          <w:rFonts w:hAnsi="Times New Roman" w:eastAsia="宋体"/>
          <w:b/>
          <w:bCs/>
          <w:sz w:val="21"/>
          <w:szCs w:val="21"/>
          <w:lang w:eastAsia="zh-CN"/>
        </w:rPr>
        <w:t>6.3</w:t>
      </w:r>
      <w:r>
        <w:rPr>
          <w:rFonts w:hAnsi="Times New Roman" w:eastAsia="宋体"/>
          <w:b/>
          <w:bCs/>
          <w:sz w:val="21"/>
          <w:szCs w:val="21"/>
        </w:rPr>
        <w:t>-</w:t>
      </w:r>
      <w:r>
        <w:rPr>
          <w:rFonts w:hint="eastAsia" w:hAnsi="Times New Roman" w:eastAsia="宋体"/>
          <w:b/>
          <w:bCs/>
          <w:sz w:val="21"/>
          <w:szCs w:val="21"/>
          <w:lang w:eastAsia="zh-CN"/>
        </w:rPr>
        <w:t>3</w:t>
      </w:r>
      <w:r>
        <w:rPr>
          <w:rFonts w:hAnsi="Times New Roman" w:eastAsia="宋体"/>
          <w:b/>
          <w:bCs/>
          <w:sz w:val="21"/>
          <w:szCs w:val="21"/>
        </w:rPr>
        <w:t xml:space="preserve"> 水文参数及河流上游污染物浓度</w:t>
      </w:r>
    </w:p>
    <w:tbl>
      <w:tblPr>
        <w:tblStyle w:val="33"/>
        <w:tblW w:w="8960" w:type="dxa"/>
        <w:tblInd w:w="1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437"/>
        <w:gridCol w:w="1671"/>
        <w:gridCol w:w="1262"/>
        <w:gridCol w:w="1338"/>
        <w:gridCol w:w="12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6" w:hRule="atLeast"/>
        </w:trPr>
        <w:tc>
          <w:tcPr>
            <w:tcW w:w="3437" w:type="dxa"/>
            <w:vAlign w:val="center"/>
          </w:tcPr>
          <w:p>
            <w:pPr>
              <w:pStyle w:val="44"/>
              <w:keepNext w:val="0"/>
              <w:keepLines w:val="0"/>
              <w:suppressLineNumbers w:val="0"/>
              <w:spacing w:before="14" w:beforeAutospacing="0" w:after="0" w:afterAutospacing="0"/>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rPr>
              <w:t>断面</w:t>
            </w:r>
          </w:p>
        </w:tc>
        <w:tc>
          <w:tcPr>
            <w:tcW w:w="1671" w:type="dxa"/>
            <w:vAlign w:val="center"/>
          </w:tcPr>
          <w:p>
            <w:pPr>
              <w:pStyle w:val="44"/>
              <w:keepNext w:val="0"/>
              <w:keepLines w:val="0"/>
              <w:suppressLineNumbers w:val="0"/>
              <w:spacing w:before="14" w:beforeAutospacing="0" w:after="0" w:afterAutospacing="0"/>
              <w:ind w:left="466" w:right="0"/>
              <w:jc w:val="center"/>
              <w:rPr>
                <w:rFonts w:hint="eastAsia" w:ascii="宋体" w:hAnsi="宋体" w:eastAsia="宋体" w:cs="宋体"/>
                <w:kern w:val="2"/>
                <w:sz w:val="21"/>
                <w:szCs w:val="21"/>
              </w:rPr>
            </w:pPr>
            <w:r>
              <w:rPr>
                <w:rFonts w:hint="eastAsia" w:ascii="宋体" w:hAnsi="宋体" w:eastAsia="宋体" w:cs="宋体"/>
                <w:spacing w:val="-1"/>
                <w:kern w:val="2"/>
                <w:sz w:val="21"/>
                <w:szCs w:val="21"/>
              </w:rPr>
              <w:t>流量（</w:t>
            </w:r>
            <w:r>
              <w:rPr>
                <w:rFonts w:hint="eastAsia" w:hAnsi="Times New Roman" w:eastAsia="Times New Roman"/>
                <w:spacing w:val="-1"/>
                <w:kern w:val="2"/>
                <w:sz w:val="21"/>
                <w:szCs w:val="21"/>
              </w:rPr>
              <w:t>m</w:t>
            </w:r>
            <w:r>
              <w:rPr>
                <w:rFonts w:hint="eastAsia" w:hAnsi="Times New Roman" w:eastAsia="Times New Roman"/>
                <w:spacing w:val="-1"/>
                <w:kern w:val="2"/>
                <w:position w:val="8"/>
                <w:sz w:val="14"/>
                <w:szCs w:val="14"/>
              </w:rPr>
              <w:t>3</w:t>
            </w:r>
            <w:r>
              <w:rPr>
                <w:rFonts w:hint="eastAsia" w:hAnsi="Times New Roman" w:eastAsia="Times New Roman"/>
                <w:spacing w:val="-1"/>
                <w:kern w:val="2"/>
                <w:sz w:val="21"/>
                <w:szCs w:val="21"/>
              </w:rPr>
              <w:t>/s</w:t>
            </w:r>
            <w:r>
              <w:rPr>
                <w:rFonts w:hint="eastAsia" w:ascii="宋体" w:hAnsi="宋体" w:eastAsia="宋体" w:cs="宋体"/>
                <w:spacing w:val="-1"/>
                <w:kern w:val="2"/>
                <w:sz w:val="21"/>
                <w:szCs w:val="21"/>
              </w:rPr>
              <w:t>）</w:t>
            </w:r>
          </w:p>
        </w:tc>
        <w:tc>
          <w:tcPr>
            <w:tcW w:w="1262" w:type="dxa"/>
            <w:vAlign w:val="center"/>
          </w:tcPr>
          <w:p>
            <w:pPr>
              <w:pStyle w:val="44"/>
              <w:keepNext w:val="0"/>
              <w:keepLines w:val="0"/>
              <w:suppressLineNumbers w:val="0"/>
              <w:spacing w:before="63" w:beforeAutospacing="0" w:after="0" w:afterAutospacing="0"/>
              <w:ind w:left="0" w:right="1"/>
              <w:jc w:val="center"/>
              <w:rPr>
                <w:rFonts w:hint="eastAsia" w:hAnsi="Times New Roman" w:eastAsia="Times New Roman"/>
                <w:kern w:val="2"/>
                <w:sz w:val="21"/>
                <w:szCs w:val="21"/>
              </w:rPr>
            </w:pPr>
            <w:r>
              <w:rPr>
                <w:rFonts w:hint="eastAsia"/>
                <w:kern w:val="2"/>
                <w:sz w:val="21"/>
                <w:szCs w:val="22"/>
              </w:rPr>
              <w:t>COD</w:t>
            </w:r>
          </w:p>
        </w:tc>
        <w:tc>
          <w:tcPr>
            <w:tcW w:w="1338" w:type="dxa"/>
            <w:vAlign w:val="center"/>
          </w:tcPr>
          <w:p>
            <w:pPr>
              <w:pStyle w:val="44"/>
              <w:keepNext w:val="0"/>
              <w:keepLines w:val="0"/>
              <w:suppressLineNumbers w:val="0"/>
              <w:spacing w:before="63" w:beforeAutospacing="0" w:after="0" w:afterAutospacing="0"/>
              <w:ind w:left="0" w:right="1"/>
              <w:jc w:val="center"/>
              <w:rPr>
                <w:rFonts w:hint="eastAsia"/>
                <w:kern w:val="2"/>
                <w:sz w:val="21"/>
                <w:szCs w:val="22"/>
              </w:rPr>
            </w:pPr>
            <w:r>
              <w:rPr>
                <w:rFonts w:hint="eastAsia" w:ascii="宋体" w:hAnsi="宋体" w:eastAsia="宋体" w:cs="宋体"/>
                <w:kern w:val="2"/>
                <w:sz w:val="21"/>
                <w:szCs w:val="22"/>
              </w:rPr>
              <w:t>氨氮</w:t>
            </w:r>
          </w:p>
        </w:tc>
        <w:tc>
          <w:tcPr>
            <w:tcW w:w="1252" w:type="dxa"/>
            <w:vAlign w:val="center"/>
          </w:tcPr>
          <w:p>
            <w:pPr>
              <w:pStyle w:val="44"/>
              <w:keepNext w:val="0"/>
              <w:keepLines w:val="0"/>
              <w:suppressLineNumbers w:val="0"/>
              <w:spacing w:before="14" w:beforeAutospacing="0" w:after="0" w:afterAutospacing="0"/>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rPr>
              <w:t>石油类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5" w:hRule="exact"/>
        </w:trPr>
        <w:tc>
          <w:tcPr>
            <w:tcW w:w="3437" w:type="dxa"/>
            <w:vAlign w:val="center"/>
          </w:tcPr>
          <w:p>
            <w:pPr>
              <w:pStyle w:val="44"/>
              <w:keepNext w:val="0"/>
              <w:keepLines w:val="0"/>
              <w:suppressLineNumbers w:val="0"/>
              <w:spacing w:before="0" w:beforeAutospacing="0" w:after="0" w:afterAutospacing="0" w:line="246" w:lineRule="exact"/>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eastAsia="zh-CN"/>
              </w:rPr>
              <w:t>项目排污口新宁河</w:t>
            </w:r>
            <w:r>
              <w:rPr>
                <w:rFonts w:hint="eastAsia" w:ascii="宋体" w:hAnsi="宋体" w:eastAsia="宋体" w:cs="宋体"/>
                <w:kern w:val="2"/>
                <w:sz w:val="21"/>
                <w:szCs w:val="21"/>
              </w:rPr>
              <w:t>上游</w:t>
            </w:r>
            <w:r>
              <w:rPr>
                <w:rFonts w:hint="eastAsia" w:ascii="宋体" w:hAnsi="宋体" w:eastAsia="宋体" w:cs="宋体"/>
                <w:spacing w:val="-53"/>
                <w:kern w:val="2"/>
                <w:sz w:val="21"/>
                <w:szCs w:val="21"/>
              </w:rPr>
              <w:t xml:space="preserve"> </w:t>
            </w:r>
            <w:r>
              <w:rPr>
                <w:rFonts w:hint="eastAsia" w:hAnsi="Times New Roman" w:eastAsia="Times New Roman"/>
                <w:kern w:val="2"/>
                <w:sz w:val="21"/>
                <w:szCs w:val="21"/>
              </w:rPr>
              <w:t>500m</w:t>
            </w:r>
            <w:r>
              <w:rPr>
                <w:rFonts w:hint="eastAsia" w:ascii="宋体" w:hAnsi="宋体" w:eastAsia="宋体" w:cs="宋体"/>
                <w:kern w:val="2"/>
                <w:sz w:val="21"/>
                <w:szCs w:val="21"/>
              </w:rPr>
              <w:t>处</w:t>
            </w:r>
          </w:p>
        </w:tc>
        <w:tc>
          <w:tcPr>
            <w:tcW w:w="1671" w:type="dxa"/>
            <w:vAlign w:val="center"/>
          </w:tcPr>
          <w:p>
            <w:pPr>
              <w:pStyle w:val="44"/>
              <w:keepNext w:val="0"/>
              <w:keepLines w:val="0"/>
              <w:suppressLineNumbers w:val="0"/>
              <w:spacing w:before="0" w:beforeAutospacing="0" w:after="0" w:afterAutospacing="0"/>
              <w:ind w:left="0" w:right="0"/>
              <w:jc w:val="center"/>
              <w:rPr>
                <w:rFonts w:hint="eastAsia" w:ascii="宋体" w:hAnsi="宋体" w:eastAsia="宋体" w:cs="宋体"/>
                <w:spacing w:val="-1"/>
                <w:kern w:val="2"/>
                <w:sz w:val="21"/>
                <w:szCs w:val="21"/>
                <w:lang w:eastAsia="zh-CN"/>
              </w:rPr>
            </w:pPr>
            <w:r>
              <w:rPr>
                <w:rFonts w:hint="eastAsia" w:eastAsia="宋体"/>
                <w:kern w:val="2"/>
                <w:sz w:val="21"/>
                <w:szCs w:val="22"/>
                <w:lang w:eastAsia="zh-CN"/>
              </w:rPr>
              <w:t>1.38</w:t>
            </w:r>
          </w:p>
        </w:tc>
        <w:tc>
          <w:tcPr>
            <w:tcW w:w="1262" w:type="dxa"/>
            <w:vAlign w:val="center"/>
          </w:tcPr>
          <w:p>
            <w:pPr>
              <w:pStyle w:val="44"/>
              <w:keepNext w:val="0"/>
              <w:keepLines w:val="0"/>
              <w:suppressLineNumbers w:val="0"/>
              <w:spacing w:before="0" w:beforeAutospacing="0" w:after="0" w:afterAutospacing="0"/>
              <w:ind w:left="0" w:right="0"/>
              <w:jc w:val="center"/>
              <w:rPr>
                <w:rFonts w:hint="eastAsia" w:eastAsia="宋体"/>
                <w:kern w:val="2"/>
                <w:sz w:val="21"/>
                <w:szCs w:val="22"/>
                <w:lang w:eastAsia="zh-CN"/>
              </w:rPr>
            </w:pPr>
            <w:r>
              <w:rPr>
                <w:rFonts w:hint="eastAsia" w:eastAsia="宋体"/>
                <w:kern w:val="2"/>
                <w:sz w:val="21"/>
                <w:szCs w:val="22"/>
                <w:lang w:eastAsia="zh-CN"/>
              </w:rPr>
              <w:t>17</w:t>
            </w:r>
          </w:p>
        </w:tc>
        <w:tc>
          <w:tcPr>
            <w:tcW w:w="1338" w:type="dxa"/>
            <w:vAlign w:val="center"/>
          </w:tcPr>
          <w:p>
            <w:pPr>
              <w:pStyle w:val="44"/>
              <w:keepNext w:val="0"/>
              <w:keepLines w:val="0"/>
              <w:suppressLineNumbers w:val="0"/>
              <w:spacing w:before="0" w:beforeAutospacing="0" w:after="0" w:afterAutospacing="0"/>
              <w:ind w:left="0" w:right="0"/>
              <w:jc w:val="center"/>
              <w:rPr>
                <w:rFonts w:hint="eastAsia" w:eastAsia="宋体"/>
                <w:kern w:val="2"/>
                <w:sz w:val="21"/>
                <w:szCs w:val="22"/>
                <w:lang w:eastAsia="zh-CN"/>
              </w:rPr>
            </w:pPr>
            <w:r>
              <w:rPr>
                <w:rFonts w:hint="eastAsia" w:eastAsia="宋体"/>
                <w:kern w:val="2"/>
                <w:sz w:val="21"/>
                <w:szCs w:val="22"/>
                <w:lang w:eastAsia="zh-CN"/>
              </w:rPr>
              <w:t>0.625</w:t>
            </w:r>
          </w:p>
        </w:tc>
        <w:tc>
          <w:tcPr>
            <w:tcW w:w="1252" w:type="dxa"/>
            <w:vAlign w:val="center"/>
          </w:tcPr>
          <w:p>
            <w:pPr>
              <w:pStyle w:val="44"/>
              <w:keepNext w:val="0"/>
              <w:keepLines w:val="0"/>
              <w:suppressLineNumbers w:val="0"/>
              <w:spacing w:before="0" w:beforeAutospacing="0" w:after="0" w:afterAutospacing="0"/>
              <w:ind w:left="0" w:right="0"/>
              <w:jc w:val="center"/>
              <w:rPr>
                <w:rFonts w:hint="eastAsia" w:ascii="宋体" w:hAnsi="宋体" w:eastAsia="宋体" w:cs="宋体"/>
                <w:kern w:val="2"/>
                <w:sz w:val="21"/>
                <w:szCs w:val="21"/>
                <w:lang w:eastAsia="zh-CN"/>
              </w:rPr>
            </w:pPr>
            <w:r>
              <w:rPr>
                <w:rFonts w:hint="eastAsia"/>
                <w:kern w:val="2"/>
                <w:sz w:val="21"/>
                <w:szCs w:val="22"/>
              </w:rPr>
              <w:t>0.0</w:t>
            </w:r>
            <w:r>
              <w:rPr>
                <w:rFonts w:hint="eastAsia" w:eastAsia="宋体"/>
                <w:kern w:val="2"/>
                <w:sz w:val="21"/>
                <w:szCs w:val="22"/>
                <w:lang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0" w:hRule="exact"/>
        </w:trPr>
        <w:tc>
          <w:tcPr>
            <w:tcW w:w="8960" w:type="dxa"/>
            <w:gridSpan w:val="5"/>
            <w:vAlign w:val="center"/>
          </w:tcPr>
          <w:p>
            <w:pPr>
              <w:pStyle w:val="44"/>
              <w:keepNext w:val="0"/>
              <w:keepLines w:val="0"/>
              <w:suppressLineNumbers w:val="0"/>
              <w:spacing w:before="3" w:beforeAutospacing="0" w:after="0" w:afterAutospacing="0"/>
              <w:ind w:left="102" w:right="0"/>
              <w:jc w:val="center"/>
              <w:rPr>
                <w:rFonts w:hint="eastAsia"/>
                <w:kern w:val="2"/>
                <w:szCs w:val="22"/>
              </w:rPr>
            </w:pPr>
            <w:r>
              <w:rPr>
                <w:rFonts w:hint="eastAsia" w:ascii="宋体" w:hAnsi="宋体" w:eastAsia="宋体" w:cs="宋体"/>
                <w:kern w:val="2"/>
                <w:sz w:val="21"/>
                <w:szCs w:val="21"/>
              </w:rPr>
              <w:t>注：地表水体污染物浓度选取监测期间最大值。石油类未检出以检出限计。</w:t>
            </w:r>
          </w:p>
        </w:tc>
      </w:tr>
    </w:tbl>
    <w:p>
      <w:pPr>
        <w:pStyle w:val="14"/>
        <w:overflowPunct w:val="0"/>
        <w:spacing w:line="360" w:lineRule="auto"/>
        <w:ind w:firstLine="480" w:firstLineChars="200"/>
        <w:rPr>
          <w:rFonts w:ascii="Times New Roman" w:hAnsi="Times New Roman"/>
          <w:sz w:val="24"/>
          <w:lang w:eastAsia="zh-CN"/>
        </w:rPr>
      </w:pPr>
      <w:r>
        <w:rPr>
          <w:rFonts w:hint="eastAsia" w:ascii="Times New Roman" w:hAnsi="Times New Roman"/>
          <w:sz w:val="24"/>
          <w:lang w:eastAsia="zh-CN"/>
        </w:rPr>
        <w:t>（4）污染物综合衰减系数K的确定</w:t>
      </w:r>
    </w:p>
    <w:p>
      <w:pPr>
        <w:pStyle w:val="14"/>
        <w:overflowPunct w:val="0"/>
        <w:spacing w:line="360" w:lineRule="auto"/>
        <w:ind w:firstLine="480" w:firstLineChars="200"/>
        <w:rPr>
          <w:rFonts w:ascii="Times New Roman" w:hAnsi="Times New Roman"/>
          <w:sz w:val="24"/>
          <w:lang w:eastAsia="zh-CN"/>
        </w:rPr>
      </w:pPr>
      <w:r>
        <w:rPr>
          <w:rFonts w:hint="eastAsia" w:ascii="Times New Roman" w:hAnsi="Times New Roman"/>
          <w:sz w:val="24"/>
          <w:lang w:eastAsia="zh-CN"/>
        </w:rPr>
        <w:t>新宁河</w:t>
      </w:r>
      <w:r>
        <w:rPr>
          <w:rFonts w:ascii="Times New Roman" w:hAnsi="Times New Roman"/>
          <w:sz w:val="24"/>
          <w:lang w:eastAsia="zh-CN"/>
        </w:rPr>
        <w:t>COD降解系数可参考《全国地表水水</w:t>
      </w:r>
      <w:r>
        <w:rPr>
          <w:rFonts w:hint="eastAsia" w:ascii="Times New Roman" w:hAnsi="Times New Roman"/>
          <w:sz w:val="24"/>
          <w:lang w:eastAsia="zh-CN"/>
        </w:rPr>
        <w:t>环</w:t>
      </w:r>
      <w:r>
        <w:rPr>
          <w:rFonts w:ascii="Times New Roman" w:hAnsi="Times New Roman"/>
          <w:sz w:val="24"/>
          <w:lang w:eastAsia="zh-CN"/>
        </w:rPr>
        <w:t>境容量核定技术复核要点》中小河流水质降解系数参考值确定。</w:t>
      </w:r>
      <w:r>
        <w:rPr>
          <w:rFonts w:hint="eastAsia" w:ascii="Times New Roman" w:hAnsi="Times New Roman"/>
          <w:sz w:val="24"/>
          <w:lang w:eastAsia="zh-CN"/>
        </w:rPr>
        <w:t>新宁河</w:t>
      </w:r>
      <w:r>
        <w:rPr>
          <w:rFonts w:ascii="Times New Roman" w:hAnsi="Times New Roman"/>
          <w:sz w:val="24"/>
          <w:lang w:eastAsia="zh-CN"/>
        </w:rPr>
        <w:t>水质管理目标为Ⅲ类，故本次COD降解系数取0.18/d</w:t>
      </w:r>
      <w:r>
        <w:rPr>
          <w:rFonts w:hint="eastAsia" w:ascii="Times New Roman" w:hAnsi="Times New Roman"/>
          <w:sz w:val="24"/>
          <w:lang w:eastAsia="zh-CN"/>
        </w:rPr>
        <w:t>，石油类取值0。</w:t>
      </w:r>
    </w:p>
    <w:p>
      <w:pPr>
        <w:spacing w:line="360" w:lineRule="auto"/>
        <w:ind w:firstLine="480" w:firstLineChars="200"/>
        <w:rPr>
          <w:rFonts w:hAnsi="Times New Roman" w:eastAsia="宋体"/>
          <w:szCs w:val="22"/>
          <w:lang w:eastAsia="zh-CN"/>
        </w:rPr>
      </w:pPr>
      <w:r>
        <w:rPr>
          <w:rFonts w:hint="eastAsia" w:hAnsi="Times New Roman" w:eastAsia="宋体"/>
          <w:szCs w:val="22"/>
          <w:lang w:eastAsia="zh-CN"/>
        </w:rPr>
        <w:t>4</w:t>
      </w:r>
      <w:r>
        <w:rPr>
          <w:rFonts w:hAnsi="Times New Roman" w:eastAsia="宋体"/>
          <w:szCs w:val="22"/>
          <w:lang w:eastAsia="zh-CN"/>
        </w:rPr>
        <w:t>、预测结果</w:t>
      </w:r>
      <w:r>
        <w:rPr>
          <w:rFonts w:hint="eastAsia" w:hAnsi="Times New Roman" w:eastAsia="宋体"/>
          <w:szCs w:val="22"/>
          <w:lang w:eastAsia="zh-CN"/>
        </w:rPr>
        <w:t xml:space="preserve"> </w:t>
      </w:r>
    </w:p>
    <w:p>
      <w:pPr>
        <w:pStyle w:val="14"/>
        <w:overflowPunct w:val="0"/>
        <w:spacing w:line="360" w:lineRule="auto"/>
        <w:ind w:firstLine="480" w:firstLineChars="200"/>
        <w:rPr>
          <w:rFonts w:ascii="Times New Roman" w:hAnsi="Times New Roman"/>
          <w:sz w:val="24"/>
          <w:lang w:eastAsia="zh-CN"/>
        </w:rPr>
      </w:pPr>
      <w:r>
        <w:rPr>
          <w:rFonts w:hint="eastAsia" w:ascii="Times New Roman" w:hAnsi="Times New Roman"/>
          <w:sz w:val="24"/>
          <w:lang w:eastAsia="zh-CN"/>
        </w:rPr>
        <w:t>①</w:t>
      </w:r>
      <w:r>
        <w:rPr>
          <w:rFonts w:ascii="Times New Roman" w:hAnsi="Times New Roman"/>
          <w:sz w:val="24"/>
          <w:lang w:eastAsia="zh-CN"/>
        </w:rPr>
        <w:t>混合过程段长度估算</w:t>
      </w:r>
    </w:p>
    <w:p>
      <w:pPr>
        <w:ind w:left="2185"/>
        <w:jc w:val="left"/>
        <w:rPr>
          <w:rFonts w:ascii="宋体" w:hAnsi="宋体" w:eastAsia="宋体" w:cs="宋体"/>
          <w:sz w:val="21"/>
          <w:szCs w:val="21"/>
        </w:rPr>
      </w:pPr>
      <w:r>
        <w:rPr>
          <w:rFonts w:ascii="宋体" w:hAnsi="宋体" w:eastAsia="宋体" w:cs="宋体"/>
          <w:b/>
          <w:bCs/>
          <w:sz w:val="21"/>
          <w:szCs w:val="21"/>
        </w:rPr>
        <w:t>表</w:t>
      </w:r>
      <w:r>
        <w:rPr>
          <w:rFonts w:ascii="宋体" w:hAnsi="宋体" w:eastAsia="宋体" w:cs="宋体"/>
          <w:b/>
          <w:bCs/>
          <w:spacing w:val="-67"/>
          <w:sz w:val="21"/>
          <w:szCs w:val="21"/>
        </w:rPr>
        <w:t xml:space="preserve"> </w:t>
      </w:r>
      <w:r>
        <w:rPr>
          <w:rFonts w:hint="eastAsia" w:hAnsi="Times New Roman" w:eastAsia="宋体"/>
          <w:b/>
          <w:bCs/>
          <w:spacing w:val="-1"/>
          <w:sz w:val="21"/>
          <w:szCs w:val="21"/>
          <w:lang w:eastAsia="zh-CN"/>
        </w:rPr>
        <w:t>6.3</w:t>
      </w:r>
      <w:r>
        <w:rPr>
          <w:rFonts w:hAnsi="Times New Roman" w:eastAsia="Times New Roman"/>
          <w:b/>
          <w:bCs/>
          <w:spacing w:val="-1"/>
          <w:sz w:val="21"/>
          <w:szCs w:val="21"/>
        </w:rPr>
        <w:t>-</w:t>
      </w:r>
      <w:r>
        <w:rPr>
          <w:rFonts w:hint="eastAsia" w:hAnsi="Times New Roman" w:eastAsia="宋体"/>
          <w:b/>
          <w:bCs/>
          <w:spacing w:val="-1"/>
          <w:sz w:val="21"/>
          <w:szCs w:val="21"/>
          <w:lang w:eastAsia="zh-CN"/>
        </w:rPr>
        <w:t>4</w:t>
      </w:r>
      <w:r>
        <w:rPr>
          <w:rFonts w:hAnsi="Times New Roman" w:eastAsia="Times New Roman"/>
          <w:b/>
          <w:bCs/>
          <w:spacing w:val="25"/>
          <w:sz w:val="21"/>
          <w:szCs w:val="21"/>
        </w:rPr>
        <w:t xml:space="preserve"> </w:t>
      </w:r>
      <w:r>
        <w:rPr>
          <w:rFonts w:ascii="宋体" w:hAnsi="宋体" w:eastAsia="宋体" w:cs="宋体"/>
          <w:b/>
          <w:bCs/>
          <w:sz w:val="21"/>
          <w:szCs w:val="21"/>
        </w:rPr>
        <w:t>与河流水体完全混合所需长度计算参数选取</w:t>
      </w:r>
    </w:p>
    <w:tbl>
      <w:tblPr>
        <w:tblStyle w:val="3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570"/>
        <w:gridCol w:w="45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2" w:hRule="atLeast"/>
        </w:trPr>
        <w:tc>
          <w:tcPr>
            <w:tcW w:w="2501" w:type="pct"/>
          </w:tcPr>
          <w:p>
            <w:pPr>
              <w:pStyle w:val="44"/>
              <w:keepNext w:val="0"/>
              <w:keepLines w:val="0"/>
              <w:suppressLineNumbers w:val="0"/>
              <w:spacing w:before="0" w:beforeAutospacing="0" w:after="0" w:afterAutospacing="0" w:line="240" w:lineRule="exact"/>
              <w:ind w:left="0" w:right="1"/>
              <w:jc w:val="center"/>
              <w:rPr>
                <w:rFonts w:hint="eastAsia" w:ascii="宋体" w:hAnsi="宋体" w:eastAsia="宋体" w:cs="宋体"/>
                <w:kern w:val="2"/>
                <w:sz w:val="21"/>
                <w:szCs w:val="21"/>
              </w:rPr>
            </w:pPr>
            <w:r>
              <w:rPr>
                <w:rFonts w:hint="eastAsia" w:ascii="宋体" w:hAnsi="宋体" w:eastAsia="宋体" w:cs="宋体"/>
                <w:kern w:val="2"/>
                <w:sz w:val="21"/>
                <w:szCs w:val="21"/>
              </w:rPr>
              <w:t>参数</w:t>
            </w:r>
          </w:p>
        </w:tc>
        <w:tc>
          <w:tcPr>
            <w:tcW w:w="2499" w:type="pct"/>
            <w:vAlign w:val="center"/>
          </w:tcPr>
          <w:p>
            <w:pPr>
              <w:pStyle w:val="44"/>
              <w:keepNext w:val="0"/>
              <w:keepLines w:val="0"/>
              <w:suppressLineNumbers w:val="0"/>
              <w:spacing w:before="0" w:beforeAutospacing="0" w:after="0" w:afterAutospacing="0" w:line="240" w:lineRule="exact"/>
              <w:ind w:left="0" w:right="1"/>
              <w:jc w:val="center"/>
              <w:rPr>
                <w:rFonts w:hint="eastAsia" w:ascii="宋体" w:hAnsi="宋体" w:eastAsia="宋体" w:cs="宋体"/>
                <w:kern w:val="2"/>
                <w:sz w:val="21"/>
                <w:szCs w:val="21"/>
              </w:rPr>
            </w:pPr>
            <w:r>
              <w:rPr>
                <w:rFonts w:hint="eastAsia" w:ascii="宋体" w:hAnsi="宋体" w:eastAsia="宋体" w:cs="宋体"/>
                <w:kern w:val="2"/>
                <w:sz w:val="21"/>
                <w:szCs w:val="21"/>
              </w:rPr>
              <w:t>取值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exact"/>
        </w:trPr>
        <w:tc>
          <w:tcPr>
            <w:tcW w:w="2501" w:type="pct"/>
          </w:tcPr>
          <w:p>
            <w:pPr>
              <w:pStyle w:val="44"/>
              <w:keepNext w:val="0"/>
              <w:keepLines w:val="0"/>
              <w:suppressLineNumbers w:val="0"/>
              <w:spacing w:before="0" w:beforeAutospacing="0" w:after="0" w:afterAutospacing="0" w:line="257" w:lineRule="exact"/>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rPr>
              <w:t>河宽</w:t>
            </w:r>
            <w:r>
              <w:rPr>
                <w:rFonts w:hint="eastAsia" w:ascii="宋体" w:hAnsi="宋体" w:eastAsia="宋体" w:cs="宋体"/>
                <w:spacing w:val="-53"/>
                <w:kern w:val="2"/>
                <w:sz w:val="21"/>
                <w:szCs w:val="21"/>
              </w:rPr>
              <w:t xml:space="preserve"> </w:t>
            </w:r>
            <w:r>
              <w:rPr>
                <w:rFonts w:hint="eastAsia" w:hAnsi="Times New Roman" w:eastAsia="Times New Roman"/>
                <w:spacing w:val="-1"/>
                <w:kern w:val="2"/>
                <w:sz w:val="21"/>
                <w:szCs w:val="21"/>
              </w:rPr>
              <w:t>B</w:t>
            </w:r>
            <w:r>
              <w:rPr>
                <w:rFonts w:hint="eastAsia" w:ascii="宋体" w:hAnsi="宋体" w:eastAsia="宋体" w:cs="宋体"/>
                <w:spacing w:val="-1"/>
                <w:kern w:val="2"/>
                <w:sz w:val="21"/>
                <w:szCs w:val="21"/>
              </w:rPr>
              <w:t>（</w:t>
            </w:r>
            <w:r>
              <w:rPr>
                <w:rFonts w:hint="eastAsia" w:hAnsi="Times New Roman" w:eastAsia="Times New Roman"/>
                <w:spacing w:val="-1"/>
                <w:kern w:val="2"/>
                <w:sz w:val="21"/>
                <w:szCs w:val="21"/>
              </w:rPr>
              <w:t>m</w:t>
            </w:r>
            <w:r>
              <w:rPr>
                <w:rFonts w:hint="eastAsia" w:ascii="宋体" w:hAnsi="宋体" w:eastAsia="宋体" w:cs="宋体"/>
                <w:spacing w:val="-1"/>
                <w:kern w:val="2"/>
                <w:sz w:val="21"/>
                <w:szCs w:val="21"/>
              </w:rPr>
              <w:t>）</w:t>
            </w:r>
          </w:p>
        </w:tc>
        <w:tc>
          <w:tcPr>
            <w:tcW w:w="2499" w:type="pct"/>
            <w:vAlign w:val="center"/>
          </w:tcPr>
          <w:p>
            <w:pPr>
              <w:pStyle w:val="44"/>
              <w:keepNext w:val="0"/>
              <w:keepLines w:val="0"/>
              <w:suppressLineNumbers w:val="0"/>
              <w:spacing w:before="14" w:beforeAutospacing="0" w:after="0" w:afterAutospacing="0"/>
              <w:ind w:left="0" w:right="0"/>
              <w:jc w:val="center"/>
              <w:rPr>
                <w:rFonts w:hint="eastAsia" w:hAnsi="Times New Roman" w:eastAsia="宋体"/>
                <w:kern w:val="2"/>
                <w:sz w:val="21"/>
                <w:szCs w:val="21"/>
                <w:lang w:eastAsia="zh-CN"/>
              </w:rPr>
            </w:pPr>
            <w:r>
              <w:rPr>
                <w:rFonts w:hint="eastAsia" w:eastAsia="宋体"/>
                <w:kern w:val="2"/>
                <w:sz w:val="21"/>
                <w:szCs w:val="22"/>
                <w:lang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2" w:hRule="exact"/>
        </w:trPr>
        <w:tc>
          <w:tcPr>
            <w:tcW w:w="2501" w:type="pct"/>
          </w:tcPr>
          <w:p>
            <w:pPr>
              <w:pStyle w:val="44"/>
              <w:keepNext w:val="0"/>
              <w:keepLines w:val="0"/>
              <w:suppressLineNumbers w:val="0"/>
              <w:spacing w:before="0" w:beforeAutospacing="0" w:after="0" w:afterAutospacing="0" w:line="256" w:lineRule="exact"/>
              <w:ind w:left="1392" w:right="0"/>
              <w:jc w:val="left"/>
              <w:rPr>
                <w:rFonts w:hint="eastAsia" w:ascii="宋体" w:hAnsi="宋体" w:eastAsia="宋体" w:cs="宋体"/>
                <w:kern w:val="2"/>
                <w:sz w:val="21"/>
                <w:szCs w:val="21"/>
              </w:rPr>
            </w:pPr>
            <w:r>
              <w:rPr>
                <w:rFonts w:hint="eastAsia" w:ascii="宋体" w:hAnsi="宋体" w:eastAsia="宋体" w:cs="宋体"/>
                <w:kern w:val="2"/>
                <w:sz w:val="21"/>
                <w:szCs w:val="21"/>
              </w:rPr>
              <w:t>岸边距离</w:t>
            </w:r>
            <w:r>
              <w:rPr>
                <w:rFonts w:hint="eastAsia" w:ascii="宋体" w:hAnsi="宋体" w:eastAsia="宋体" w:cs="宋体"/>
                <w:spacing w:val="-53"/>
                <w:kern w:val="2"/>
                <w:sz w:val="21"/>
                <w:szCs w:val="21"/>
              </w:rPr>
              <w:t xml:space="preserve"> </w:t>
            </w:r>
            <w:r>
              <w:rPr>
                <w:rFonts w:hint="eastAsia" w:hAnsi="Times New Roman" w:eastAsia="Times New Roman"/>
                <w:spacing w:val="-1"/>
                <w:kern w:val="2"/>
                <w:sz w:val="21"/>
                <w:szCs w:val="21"/>
              </w:rPr>
              <w:t>a</w:t>
            </w:r>
            <w:r>
              <w:rPr>
                <w:rFonts w:hint="eastAsia" w:ascii="宋体" w:hAnsi="宋体" w:eastAsia="宋体" w:cs="宋体"/>
                <w:spacing w:val="-1"/>
                <w:kern w:val="2"/>
                <w:sz w:val="21"/>
                <w:szCs w:val="21"/>
              </w:rPr>
              <w:t>（</w:t>
            </w:r>
            <w:r>
              <w:rPr>
                <w:rFonts w:hint="eastAsia" w:hAnsi="Times New Roman" w:eastAsia="Times New Roman"/>
                <w:spacing w:val="-1"/>
                <w:kern w:val="2"/>
                <w:sz w:val="21"/>
                <w:szCs w:val="21"/>
              </w:rPr>
              <w:t>m</w:t>
            </w:r>
            <w:r>
              <w:rPr>
                <w:rFonts w:hint="eastAsia" w:ascii="宋体" w:hAnsi="宋体" w:eastAsia="宋体" w:cs="宋体"/>
                <w:spacing w:val="-1"/>
                <w:kern w:val="2"/>
                <w:sz w:val="21"/>
                <w:szCs w:val="21"/>
              </w:rPr>
              <w:t>）</w:t>
            </w:r>
          </w:p>
        </w:tc>
        <w:tc>
          <w:tcPr>
            <w:tcW w:w="2499" w:type="pct"/>
            <w:vAlign w:val="center"/>
          </w:tcPr>
          <w:p>
            <w:pPr>
              <w:pStyle w:val="44"/>
              <w:keepNext w:val="0"/>
              <w:keepLines w:val="0"/>
              <w:suppressLineNumbers w:val="0"/>
              <w:spacing w:before="14" w:beforeAutospacing="0" w:after="0" w:afterAutospacing="0"/>
              <w:ind w:left="0" w:right="0"/>
              <w:jc w:val="center"/>
              <w:rPr>
                <w:rFonts w:hint="eastAsia" w:hAnsi="Times New Roman" w:eastAsia="Times New Roman"/>
                <w:kern w:val="2"/>
                <w:sz w:val="21"/>
                <w:szCs w:val="21"/>
              </w:rPr>
            </w:pPr>
            <w:r>
              <w:rPr>
                <w:rFonts w:hint="eastAsia"/>
                <w:kern w:val="2"/>
                <w:sz w:val="21"/>
                <w:szCs w:val="22"/>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2" w:hRule="exact"/>
        </w:trPr>
        <w:tc>
          <w:tcPr>
            <w:tcW w:w="2501" w:type="pct"/>
          </w:tcPr>
          <w:p>
            <w:pPr>
              <w:pStyle w:val="44"/>
              <w:keepNext w:val="0"/>
              <w:keepLines w:val="0"/>
              <w:suppressLineNumbers w:val="0"/>
              <w:spacing w:before="0" w:beforeAutospacing="0" w:after="0" w:afterAutospacing="0" w:line="256" w:lineRule="exact"/>
              <w:ind w:left="0" w:right="1"/>
              <w:jc w:val="center"/>
              <w:rPr>
                <w:rFonts w:hint="eastAsia" w:ascii="宋体" w:hAnsi="宋体" w:eastAsia="宋体" w:cs="宋体"/>
                <w:kern w:val="2"/>
                <w:sz w:val="21"/>
                <w:szCs w:val="21"/>
              </w:rPr>
            </w:pPr>
            <w:r>
              <w:rPr>
                <w:rFonts w:hint="eastAsia" w:ascii="宋体" w:hAnsi="宋体" w:eastAsia="宋体" w:cs="宋体"/>
                <w:kern w:val="2"/>
                <w:sz w:val="21"/>
                <w:szCs w:val="21"/>
              </w:rPr>
              <w:t>流速</w:t>
            </w:r>
            <w:r>
              <w:rPr>
                <w:rFonts w:hint="eastAsia" w:ascii="宋体" w:hAnsi="宋体" w:eastAsia="宋体" w:cs="宋体"/>
                <w:spacing w:val="-53"/>
                <w:kern w:val="2"/>
                <w:sz w:val="21"/>
                <w:szCs w:val="21"/>
              </w:rPr>
              <w:t xml:space="preserve"> </w:t>
            </w:r>
            <w:r>
              <w:rPr>
                <w:rFonts w:hint="eastAsia" w:hAnsi="Times New Roman" w:eastAsia="Times New Roman"/>
                <w:spacing w:val="-1"/>
                <w:kern w:val="2"/>
                <w:sz w:val="21"/>
                <w:szCs w:val="21"/>
              </w:rPr>
              <w:t>u</w:t>
            </w:r>
            <w:r>
              <w:rPr>
                <w:rFonts w:hint="eastAsia" w:ascii="宋体" w:hAnsi="宋体" w:eastAsia="宋体" w:cs="宋体"/>
                <w:spacing w:val="-1"/>
                <w:kern w:val="2"/>
                <w:sz w:val="21"/>
                <w:szCs w:val="21"/>
              </w:rPr>
              <w:t>（</w:t>
            </w:r>
            <w:r>
              <w:rPr>
                <w:rFonts w:hint="eastAsia" w:hAnsi="Times New Roman" w:eastAsia="Times New Roman"/>
                <w:spacing w:val="-1"/>
                <w:kern w:val="2"/>
                <w:sz w:val="21"/>
                <w:szCs w:val="21"/>
              </w:rPr>
              <w:t>m/s</w:t>
            </w:r>
            <w:r>
              <w:rPr>
                <w:rFonts w:hint="eastAsia" w:ascii="宋体" w:hAnsi="宋体" w:eastAsia="宋体" w:cs="宋体"/>
                <w:spacing w:val="-1"/>
                <w:kern w:val="2"/>
                <w:sz w:val="21"/>
                <w:szCs w:val="21"/>
              </w:rPr>
              <w:t>）</w:t>
            </w:r>
          </w:p>
        </w:tc>
        <w:tc>
          <w:tcPr>
            <w:tcW w:w="2499" w:type="pct"/>
            <w:vAlign w:val="center"/>
          </w:tcPr>
          <w:p>
            <w:pPr>
              <w:pStyle w:val="44"/>
              <w:keepNext w:val="0"/>
              <w:keepLines w:val="0"/>
              <w:suppressLineNumbers w:val="0"/>
              <w:spacing w:before="14" w:beforeAutospacing="0" w:after="0" w:afterAutospacing="0"/>
              <w:ind w:left="0" w:right="0"/>
              <w:jc w:val="center"/>
              <w:rPr>
                <w:rFonts w:hint="eastAsia" w:hAnsi="Times New Roman" w:eastAsia="宋体"/>
                <w:kern w:val="2"/>
                <w:sz w:val="21"/>
                <w:szCs w:val="21"/>
                <w:lang w:eastAsia="zh-CN"/>
              </w:rPr>
            </w:pPr>
            <w:r>
              <w:rPr>
                <w:rFonts w:hint="eastAsia"/>
                <w:kern w:val="2"/>
                <w:sz w:val="21"/>
                <w:szCs w:val="22"/>
              </w:rPr>
              <w:t>0.2</w:t>
            </w:r>
            <w:r>
              <w:rPr>
                <w:rFonts w:hint="eastAsia" w:eastAsia="宋体"/>
                <w:kern w:val="2"/>
                <w:sz w:val="21"/>
                <w:szCs w:val="22"/>
                <w:lang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2" w:hRule="exact"/>
        </w:trPr>
        <w:tc>
          <w:tcPr>
            <w:tcW w:w="2501" w:type="pct"/>
          </w:tcPr>
          <w:p>
            <w:pPr>
              <w:pStyle w:val="44"/>
              <w:keepNext w:val="0"/>
              <w:keepLines w:val="0"/>
              <w:suppressLineNumbers w:val="0"/>
              <w:spacing w:before="0" w:beforeAutospacing="0" w:after="0" w:afterAutospacing="0" w:line="256" w:lineRule="exact"/>
              <w:ind w:left="0" w:right="1"/>
              <w:jc w:val="center"/>
              <w:rPr>
                <w:rFonts w:hint="eastAsia" w:ascii="宋体" w:hAnsi="宋体" w:eastAsia="宋体" w:cs="宋体"/>
                <w:kern w:val="2"/>
                <w:sz w:val="21"/>
                <w:szCs w:val="21"/>
              </w:rPr>
            </w:pPr>
            <w:r>
              <w:rPr>
                <w:rFonts w:hint="eastAsia" w:ascii="宋体" w:hAnsi="宋体" w:eastAsia="宋体" w:cs="宋体"/>
                <w:kern w:val="2"/>
                <w:sz w:val="21"/>
                <w:szCs w:val="21"/>
              </w:rPr>
              <w:t>水深</w:t>
            </w:r>
            <w:r>
              <w:rPr>
                <w:rFonts w:hint="eastAsia" w:ascii="宋体" w:hAnsi="宋体" w:eastAsia="宋体" w:cs="宋体"/>
                <w:spacing w:val="-53"/>
                <w:kern w:val="2"/>
                <w:sz w:val="21"/>
                <w:szCs w:val="21"/>
              </w:rPr>
              <w:t xml:space="preserve"> </w:t>
            </w:r>
            <w:r>
              <w:rPr>
                <w:rFonts w:hint="eastAsia" w:hAnsi="Times New Roman" w:eastAsia="Times New Roman"/>
                <w:spacing w:val="-1"/>
                <w:kern w:val="2"/>
                <w:sz w:val="21"/>
                <w:szCs w:val="21"/>
              </w:rPr>
              <w:t>H</w:t>
            </w:r>
            <w:r>
              <w:rPr>
                <w:rFonts w:hint="eastAsia" w:ascii="宋体" w:hAnsi="宋体" w:eastAsia="宋体" w:cs="宋体"/>
                <w:spacing w:val="-1"/>
                <w:kern w:val="2"/>
                <w:sz w:val="21"/>
                <w:szCs w:val="21"/>
              </w:rPr>
              <w:t>（</w:t>
            </w:r>
            <w:r>
              <w:rPr>
                <w:rFonts w:hint="eastAsia" w:hAnsi="Times New Roman" w:eastAsia="Times New Roman"/>
                <w:spacing w:val="-1"/>
                <w:kern w:val="2"/>
                <w:sz w:val="21"/>
                <w:szCs w:val="21"/>
              </w:rPr>
              <w:t>m</w:t>
            </w:r>
            <w:r>
              <w:rPr>
                <w:rFonts w:hint="eastAsia" w:ascii="宋体" w:hAnsi="宋体" w:eastAsia="宋体" w:cs="宋体"/>
                <w:spacing w:val="-1"/>
                <w:kern w:val="2"/>
                <w:sz w:val="21"/>
                <w:szCs w:val="21"/>
              </w:rPr>
              <w:t>）</w:t>
            </w:r>
          </w:p>
        </w:tc>
        <w:tc>
          <w:tcPr>
            <w:tcW w:w="2499" w:type="pct"/>
            <w:vAlign w:val="center"/>
          </w:tcPr>
          <w:p>
            <w:pPr>
              <w:pStyle w:val="44"/>
              <w:keepNext w:val="0"/>
              <w:keepLines w:val="0"/>
              <w:suppressLineNumbers w:val="0"/>
              <w:spacing w:before="14" w:beforeAutospacing="0" w:after="0" w:afterAutospacing="0"/>
              <w:ind w:left="0" w:right="0"/>
              <w:jc w:val="center"/>
              <w:rPr>
                <w:rFonts w:hint="eastAsia" w:hAnsi="Times New Roman" w:eastAsia="宋体"/>
                <w:kern w:val="2"/>
                <w:sz w:val="21"/>
                <w:szCs w:val="21"/>
                <w:lang w:eastAsia="zh-CN"/>
              </w:rPr>
            </w:pPr>
            <w:r>
              <w:rPr>
                <w:rFonts w:hint="eastAsia" w:eastAsia="宋体"/>
                <w:kern w:val="2"/>
                <w:sz w:val="21"/>
                <w:szCs w:val="22"/>
                <w:lang w:eastAsia="zh-CN"/>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exact"/>
        </w:trPr>
        <w:tc>
          <w:tcPr>
            <w:tcW w:w="2501" w:type="pct"/>
          </w:tcPr>
          <w:p>
            <w:pPr>
              <w:pStyle w:val="44"/>
              <w:keepNext w:val="0"/>
              <w:keepLines w:val="0"/>
              <w:suppressLineNumbers w:val="0"/>
              <w:spacing w:before="0" w:beforeAutospacing="0" w:after="0" w:afterAutospacing="0" w:line="257" w:lineRule="exact"/>
              <w:ind w:left="1380" w:right="0"/>
              <w:jc w:val="left"/>
              <w:rPr>
                <w:rFonts w:hint="eastAsia" w:ascii="宋体" w:hAnsi="宋体" w:eastAsia="宋体" w:cs="宋体"/>
                <w:kern w:val="2"/>
                <w:sz w:val="21"/>
                <w:szCs w:val="21"/>
              </w:rPr>
            </w:pPr>
            <w:r>
              <w:rPr>
                <w:rFonts w:hint="eastAsia" w:ascii="宋体" w:hAnsi="宋体" w:eastAsia="宋体" w:cs="宋体"/>
                <w:kern w:val="2"/>
                <w:sz w:val="21"/>
                <w:szCs w:val="21"/>
              </w:rPr>
              <w:t>河道比降</w:t>
            </w:r>
            <w:r>
              <w:rPr>
                <w:rFonts w:hint="eastAsia" w:ascii="宋体" w:hAnsi="宋体" w:eastAsia="宋体" w:cs="宋体"/>
                <w:spacing w:val="-53"/>
                <w:kern w:val="2"/>
                <w:sz w:val="21"/>
                <w:szCs w:val="21"/>
              </w:rPr>
              <w:t xml:space="preserve"> </w:t>
            </w:r>
            <w:r>
              <w:rPr>
                <w:rFonts w:hint="eastAsia" w:hAnsi="Times New Roman" w:eastAsia="Times New Roman"/>
                <w:spacing w:val="-1"/>
                <w:kern w:val="2"/>
                <w:sz w:val="21"/>
                <w:szCs w:val="21"/>
              </w:rPr>
              <w:t>I</w:t>
            </w:r>
            <w:r>
              <w:rPr>
                <w:rFonts w:hint="eastAsia" w:ascii="宋体" w:hAnsi="宋体" w:eastAsia="宋体" w:cs="宋体"/>
                <w:spacing w:val="-1"/>
                <w:kern w:val="2"/>
                <w:sz w:val="21"/>
                <w:szCs w:val="21"/>
              </w:rPr>
              <w:t>（</w:t>
            </w:r>
            <w:r>
              <w:rPr>
                <w:rFonts w:hint="eastAsia" w:hAnsi="Times New Roman" w:eastAsia="Times New Roman"/>
                <w:spacing w:val="-1"/>
                <w:kern w:val="2"/>
                <w:sz w:val="21"/>
                <w:szCs w:val="21"/>
              </w:rPr>
              <w:t>‰</w:t>
            </w:r>
            <w:r>
              <w:rPr>
                <w:rFonts w:hint="eastAsia" w:ascii="宋体" w:hAnsi="宋体" w:eastAsia="宋体" w:cs="宋体"/>
                <w:spacing w:val="-1"/>
                <w:kern w:val="2"/>
                <w:sz w:val="21"/>
                <w:szCs w:val="21"/>
              </w:rPr>
              <w:t>）</w:t>
            </w:r>
          </w:p>
        </w:tc>
        <w:tc>
          <w:tcPr>
            <w:tcW w:w="2499" w:type="pct"/>
            <w:vAlign w:val="center"/>
          </w:tcPr>
          <w:p>
            <w:pPr>
              <w:pStyle w:val="44"/>
              <w:keepNext w:val="0"/>
              <w:keepLines w:val="0"/>
              <w:suppressLineNumbers w:val="0"/>
              <w:spacing w:before="15" w:beforeAutospacing="0" w:after="0" w:afterAutospacing="0"/>
              <w:ind w:left="0" w:right="0"/>
              <w:jc w:val="center"/>
              <w:rPr>
                <w:rFonts w:hint="eastAsia" w:hAnsi="Times New Roman" w:eastAsia="宋体"/>
                <w:kern w:val="2"/>
                <w:sz w:val="21"/>
                <w:szCs w:val="21"/>
                <w:lang w:eastAsia="zh-CN"/>
              </w:rPr>
            </w:pPr>
            <w:r>
              <w:rPr>
                <w:rFonts w:hint="eastAsia" w:eastAsia="宋体"/>
                <w:kern w:val="2"/>
                <w:sz w:val="21"/>
                <w:szCs w:val="22"/>
                <w:lang w:eastAsia="zh-CN"/>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2" w:hRule="exact"/>
        </w:trPr>
        <w:tc>
          <w:tcPr>
            <w:tcW w:w="2501" w:type="pct"/>
          </w:tcPr>
          <w:p>
            <w:pPr>
              <w:pStyle w:val="44"/>
              <w:keepNext w:val="0"/>
              <w:keepLines w:val="0"/>
              <w:suppressLineNumbers w:val="0"/>
              <w:spacing w:before="0" w:beforeAutospacing="0" w:after="0" w:afterAutospacing="0" w:line="256" w:lineRule="exact"/>
              <w:ind w:left="1176" w:right="0"/>
              <w:jc w:val="left"/>
              <w:rPr>
                <w:rFonts w:hint="eastAsia" w:ascii="宋体" w:hAnsi="宋体" w:eastAsia="宋体" w:cs="宋体"/>
                <w:kern w:val="2"/>
                <w:sz w:val="21"/>
                <w:szCs w:val="21"/>
              </w:rPr>
            </w:pPr>
            <w:r>
              <w:rPr>
                <w:rFonts w:hint="eastAsia" w:ascii="宋体" w:hAnsi="宋体" w:eastAsia="宋体" w:cs="宋体"/>
                <w:kern w:val="2"/>
                <w:sz w:val="21"/>
                <w:szCs w:val="21"/>
              </w:rPr>
              <w:t>重力加速度</w:t>
            </w:r>
            <w:r>
              <w:rPr>
                <w:rFonts w:hint="eastAsia" w:ascii="宋体" w:hAnsi="宋体" w:eastAsia="宋体" w:cs="宋体"/>
                <w:spacing w:val="-53"/>
                <w:kern w:val="2"/>
                <w:sz w:val="21"/>
                <w:szCs w:val="21"/>
              </w:rPr>
              <w:t xml:space="preserve"> </w:t>
            </w:r>
            <w:r>
              <w:rPr>
                <w:rFonts w:hint="eastAsia" w:hAnsi="Times New Roman" w:eastAsia="Times New Roman"/>
                <w:spacing w:val="-1"/>
                <w:kern w:val="2"/>
                <w:sz w:val="21"/>
                <w:szCs w:val="21"/>
              </w:rPr>
              <w:t>g</w:t>
            </w:r>
            <w:r>
              <w:rPr>
                <w:rFonts w:hint="eastAsia" w:ascii="宋体" w:hAnsi="宋体" w:eastAsia="宋体" w:cs="宋体"/>
                <w:spacing w:val="-1"/>
                <w:kern w:val="2"/>
                <w:sz w:val="21"/>
                <w:szCs w:val="21"/>
              </w:rPr>
              <w:t>（</w:t>
            </w:r>
            <w:r>
              <w:rPr>
                <w:rFonts w:hint="eastAsia" w:hAnsi="Times New Roman" w:eastAsia="Times New Roman"/>
                <w:spacing w:val="-1"/>
                <w:kern w:val="2"/>
                <w:sz w:val="21"/>
                <w:szCs w:val="21"/>
              </w:rPr>
              <w:t>m/s</w:t>
            </w:r>
            <w:r>
              <w:rPr>
                <w:rFonts w:hint="eastAsia" w:hAnsi="Times New Roman" w:eastAsia="Times New Roman"/>
                <w:spacing w:val="-1"/>
                <w:kern w:val="2"/>
                <w:position w:val="8"/>
                <w:sz w:val="14"/>
                <w:szCs w:val="14"/>
              </w:rPr>
              <w:t>2</w:t>
            </w:r>
            <w:r>
              <w:rPr>
                <w:rFonts w:hint="eastAsia" w:ascii="宋体" w:hAnsi="宋体" w:eastAsia="宋体" w:cs="宋体"/>
                <w:spacing w:val="-1"/>
                <w:kern w:val="2"/>
                <w:sz w:val="21"/>
                <w:szCs w:val="21"/>
              </w:rPr>
              <w:t>）</w:t>
            </w:r>
          </w:p>
        </w:tc>
        <w:tc>
          <w:tcPr>
            <w:tcW w:w="2499" w:type="pct"/>
            <w:vAlign w:val="center"/>
          </w:tcPr>
          <w:p>
            <w:pPr>
              <w:pStyle w:val="44"/>
              <w:keepNext w:val="0"/>
              <w:keepLines w:val="0"/>
              <w:suppressLineNumbers w:val="0"/>
              <w:spacing w:before="14" w:beforeAutospacing="0" w:after="0" w:afterAutospacing="0"/>
              <w:ind w:left="0" w:right="0"/>
              <w:jc w:val="center"/>
              <w:rPr>
                <w:rFonts w:hint="eastAsia" w:hAnsi="Times New Roman" w:eastAsia="Times New Roman"/>
                <w:kern w:val="2"/>
                <w:sz w:val="21"/>
                <w:szCs w:val="21"/>
              </w:rPr>
            </w:pPr>
            <w:r>
              <w:rPr>
                <w:rFonts w:hint="eastAsia"/>
                <w:kern w:val="2"/>
                <w:sz w:val="21"/>
                <w:szCs w:val="22"/>
              </w:rPr>
              <w:t>9.81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2" w:hRule="exact"/>
        </w:trPr>
        <w:tc>
          <w:tcPr>
            <w:tcW w:w="5000" w:type="pct"/>
            <w:gridSpan w:val="2"/>
            <w:vAlign w:val="center"/>
          </w:tcPr>
          <w:p>
            <w:pPr>
              <w:pStyle w:val="44"/>
              <w:keepNext w:val="0"/>
              <w:keepLines w:val="0"/>
              <w:suppressLineNumbers w:val="0"/>
              <w:spacing w:before="0" w:beforeAutospacing="0" w:after="0" w:afterAutospacing="0" w:line="240" w:lineRule="exact"/>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rPr>
              <w:t>计算结果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exact"/>
        </w:trPr>
        <w:tc>
          <w:tcPr>
            <w:tcW w:w="2501" w:type="pct"/>
          </w:tcPr>
          <w:p>
            <w:pPr>
              <w:pStyle w:val="44"/>
              <w:keepNext w:val="0"/>
              <w:keepLines w:val="0"/>
              <w:suppressLineNumbers w:val="0"/>
              <w:spacing w:before="0" w:beforeAutospacing="0" w:after="0" w:afterAutospacing="0" w:line="257" w:lineRule="exact"/>
              <w:ind w:left="1146" w:right="0"/>
              <w:jc w:val="left"/>
              <w:rPr>
                <w:rFonts w:hint="eastAsia" w:ascii="宋体" w:hAnsi="宋体" w:eastAsia="宋体" w:cs="宋体"/>
                <w:kern w:val="2"/>
                <w:sz w:val="21"/>
                <w:szCs w:val="21"/>
              </w:rPr>
            </w:pPr>
            <w:r>
              <w:rPr>
                <w:rFonts w:hint="eastAsia" w:ascii="宋体" w:hAnsi="宋体" w:eastAsia="宋体" w:cs="宋体"/>
                <w:kern w:val="2"/>
                <w:sz w:val="21"/>
                <w:szCs w:val="21"/>
              </w:rPr>
              <w:t>混合所需长度</w:t>
            </w:r>
            <w:r>
              <w:rPr>
                <w:rFonts w:hint="eastAsia" w:ascii="宋体" w:hAnsi="宋体" w:eastAsia="宋体" w:cs="宋体"/>
                <w:spacing w:val="-53"/>
                <w:kern w:val="2"/>
                <w:sz w:val="21"/>
                <w:szCs w:val="21"/>
              </w:rPr>
              <w:t xml:space="preserve"> </w:t>
            </w:r>
            <w:r>
              <w:rPr>
                <w:rFonts w:hint="eastAsia" w:hAnsi="Times New Roman" w:eastAsia="Times New Roman"/>
                <w:spacing w:val="-1"/>
                <w:kern w:val="2"/>
                <w:sz w:val="21"/>
                <w:szCs w:val="21"/>
              </w:rPr>
              <w:t>L</w:t>
            </w:r>
            <w:r>
              <w:rPr>
                <w:rFonts w:hint="eastAsia" w:ascii="宋体" w:hAnsi="宋体" w:eastAsia="宋体" w:cs="宋体"/>
                <w:spacing w:val="-1"/>
                <w:kern w:val="2"/>
                <w:sz w:val="21"/>
                <w:szCs w:val="21"/>
              </w:rPr>
              <w:t>（</w:t>
            </w:r>
            <w:r>
              <w:rPr>
                <w:rFonts w:hint="eastAsia" w:hAnsi="Times New Roman" w:eastAsia="Times New Roman"/>
                <w:spacing w:val="-1"/>
                <w:kern w:val="2"/>
                <w:sz w:val="21"/>
                <w:szCs w:val="21"/>
              </w:rPr>
              <w:t>m</w:t>
            </w:r>
            <w:r>
              <w:rPr>
                <w:rFonts w:hint="eastAsia" w:ascii="宋体" w:hAnsi="宋体" w:eastAsia="宋体" w:cs="宋体"/>
                <w:spacing w:val="-1"/>
                <w:kern w:val="2"/>
                <w:sz w:val="21"/>
                <w:szCs w:val="21"/>
              </w:rPr>
              <w:t>）</w:t>
            </w:r>
          </w:p>
        </w:tc>
        <w:tc>
          <w:tcPr>
            <w:tcW w:w="2499" w:type="pct"/>
            <w:vAlign w:val="center"/>
          </w:tcPr>
          <w:p>
            <w:pPr>
              <w:pStyle w:val="44"/>
              <w:keepNext w:val="0"/>
              <w:keepLines w:val="0"/>
              <w:suppressLineNumbers w:val="0"/>
              <w:spacing w:before="14" w:beforeAutospacing="0" w:after="0" w:afterAutospacing="0"/>
              <w:ind w:left="0" w:right="32"/>
              <w:jc w:val="center"/>
              <w:rPr>
                <w:rFonts w:hint="eastAsia" w:hAnsi="Times New Roman" w:eastAsia="宋体"/>
                <w:kern w:val="2"/>
                <w:sz w:val="21"/>
                <w:szCs w:val="21"/>
                <w:lang w:eastAsia="zh-CN"/>
              </w:rPr>
            </w:pPr>
            <w:r>
              <w:rPr>
                <w:rFonts w:hint="eastAsia" w:eastAsia="宋体"/>
                <w:kern w:val="2"/>
                <w:sz w:val="21"/>
                <w:szCs w:val="22"/>
                <w:lang w:eastAsia="zh-CN"/>
              </w:rPr>
              <w:t>1636.57</w:t>
            </w:r>
          </w:p>
        </w:tc>
      </w:tr>
    </w:tbl>
    <w:p>
      <w:pPr>
        <w:pStyle w:val="14"/>
        <w:overflowPunct w:val="0"/>
        <w:spacing w:line="360" w:lineRule="auto"/>
        <w:ind w:firstLine="480" w:firstLineChars="200"/>
        <w:rPr>
          <w:rFonts w:ascii="Times New Roman" w:hAnsi="Times New Roman"/>
          <w:sz w:val="24"/>
          <w:lang w:eastAsia="zh-CN"/>
        </w:rPr>
      </w:pPr>
      <w:r>
        <w:rPr>
          <w:rFonts w:ascii="Times New Roman" w:hAnsi="Times New Roman"/>
          <w:sz w:val="24"/>
          <w:lang w:eastAsia="zh-CN"/>
        </w:rPr>
        <mc:AlternateContent>
          <mc:Choice Requires="wpg">
            <w:drawing>
              <wp:anchor distT="0" distB="0" distL="114300" distR="114300" simplePos="0" relativeHeight="251679744" behindDoc="1" locked="0" layoutInCell="1" allowOverlap="1">
                <wp:simplePos x="0" y="0"/>
                <wp:positionH relativeFrom="page">
                  <wp:posOffset>3792855</wp:posOffset>
                </wp:positionH>
                <wp:positionV relativeFrom="paragraph">
                  <wp:posOffset>-242570</wp:posOffset>
                </wp:positionV>
                <wp:extent cx="1270" cy="173990"/>
                <wp:effectExtent l="4445" t="0" r="13335" b="16510"/>
                <wp:wrapNone/>
                <wp:docPr id="20" name="组合 20"/>
                <wp:cNvGraphicFramePr/>
                <a:graphic xmlns:a="http://schemas.openxmlformats.org/drawingml/2006/main">
                  <a:graphicData uri="http://schemas.microsoft.com/office/word/2010/wordprocessingGroup">
                    <wpg:wgp>
                      <wpg:cNvGrpSpPr/>
                      <wpg:grpSpPr>
                        <a:xfrm>
                          <a:off x="0" y="0"/>
                          <a:ext cx="1270" cy="173990"/>
                          <a:chOff x="5973" y="-382"/>
                          <a:chExt cx="2" cy="274"/>
                        </a:xfrm>
                      </wpg:grpSpPr>
                      <wps:wsp>
                        <wps:cNvPr id="7" name="任意多边形 7"/>
                        <wps:cNvSpPr/>
                        <wps:spPr>
                          <a:xfrm>
                            <a:off x="5973" y="-382"/>
                            <a:ext cx="2" cy="274"/>
                          </a:xfrm>
                          <a:custGeom>
                            <a:avLst/>
                            <a:gdLst/>
                            <a:ahLst/>
                            <a:cxnLst/>
                            <a:rect l="0" t="0" r="0" b="0"/>
                            <a:pathLst>
                              <a:path h="274">
                                <a:moveTo>
                                  <a:pt x="0" y="0"/>
                                </a:moveTo>
                                <a:lnTo>
                                  <a:pt x="0" y="273"/>
                                </a:lnTo>
                              </a:path>
                            </a:pathLst>
                          </a:custGeom>
                          <a:noFill/>
                          <a:ln w="7366" cap="flat" cmpd="sng">
                            <a:solidFill>
                              <a:srgbClr val="000000"/>
                            </a:solidFill>
                            <a:prstDash val="solid"/>
                            <a:headEnd type="none" w="med" len="med"/>
                            <a:tailEnd type="none" w="med" len="med"/>
                          </a:ln>
                        </wps:spPr>
                        <wps:bodyPr upright="1"/>
                      </wps:wsp>
                    </wpg:wgp>
                  </a:graphicData>
                </a:graphic>
              </wp:anchor>
            </w:drawing>
          </mc:Choice>
          <mc:Fallback>
            <w:pict>
              <v:group id="_x0000_s1026" o:spid="_x0000_s1026" o:spt="203" style="position:absolute;left:0pt;margin-left:298.65pt;margin-top:-19.1pt;height:13.7pt;width:0.1pt;mso-position-horizontal-relative:page;z-index:-251636736;mso-width-relative:page;mso-height-relative:page;" coordorigin="5973,-382" coordsize="2,274" o:gfxdata="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">
                <o:lock v:ext="edit" aspectratio="f"/>
                <v:shape id="_x0000_s1026" o:spid="_x0000_s1026" o:spt="100" style="position:absolute;left:5973;top:-382;height:274;width:2;" filled="f" stroked="t" coordsize="1,274" o:gfxdata="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uDjS1vQAA&#10;ANoAAAAPAAAAAAAAAAEAIAAAACIAAABkcnMvZG93bnJldi54bWxQSwECFAAUAAAACACHTuJAMy8F&#10;njsAAAA5AAAAEAAAAAAAAAABACAAAAAMAQAAZHJzL3NoYXBleG1sLnhtbFBLBQYAAAAABgAGAFsB&#10;AAC2AwAAAAA=&#10;" path="m0,0l0,273e">
                  <v:fill on="f" focussize="0,0"/>
                  <v:stroke weight="0.58pt" color="#000000" joinstyle="round"/>
                  <v:imagedata o:title=""/>
                  <o:lock v:ext="edit" aspectratio="f"/>
                </v:shape>
              </v:group>
            </w:pict>
          </mc:Fallback>
        </mc:AlternateContent>
      </w:r>
      <w:r>
        <w:rPr>
          <w:rFonts w:ascii="Times New Roman" w:hAnsi="Times New Roman"/>
          <w:sz w:val="24"/>
          <w:lang w:eastAsia="zh-CN"/>
        </w:rPr>
        <w:t>根据计算，本项目外排的矿井涌水在</w:t>
      </w:r>
      <w:r>
        <w:rPr>
          <w:rFonts w:hint="eastAsia" w:ascii="Times New Roman" w:hAnsi="Times New Roman"/>
          <w:sz w:val="24"/>
          <w:lang w:eastAsia="zh-CN"/>
        </w:rPr>
        <w:t>新宁河</w:t>
      </w:r>
      <w:r>
        <w:rPr>
          <w:rFonts w:ascii="Times New Roman" w:hAnsi="Times New Roman"/>
          <w:sz w:val="24"/>
          <w:lang w:eastAsia="zh-CN"/>
        </w:rPr>
        <w:t>需要</w:t>
      </w:r>
      <w:r>
        <w:rPr>
          <w:rFonts w:hint="eastAsia" w:ascii="Times New Roman" w:hAnsi="Times New Roman"/>
          <w:sz w:val="24"/>
          <w:lang w:eastAsia="zh-CN"/>
        </w:rPr>
        <w:t>1636.57</w:t>
      </w:r>
      <w:r>
        <w:rPr>
          <w:rFonts w:ascii="Times New Roman" w:hAnsi="Times New Roman"/>
          <w:sz w:val="24"/>
          <w:lang w:eastAsia="zh-CN"/>
        </w:rPr>
        <w:t>m，则可以完全混合</w:t>
      </w:r>
      <w:r>
        <w:rPr>
          <w:rFonts w:hint="eastAsia" w:ascii="Times New Roman" w:hAnsi="Times New Roman"/>
          <w:sz w:val="24"/>
          <w:lang w:eastAsia="zh-CN"/>
        </w:rPr>
        <w:t>。</w:t>
      </w:r>
    </w:p>
    <w:p>
      <w:pPr>
        <w:pStyle w:val="14"/>
        <w:overflowPunct w:val="0"/>
        <w:spacing w:line="360" w:lineRule="auto"/>
        <w:ind w:firstLine="480" w:firstLineChars="200"/>
        <w:rPr>
          <w:rFonts w:ascii="Times New Roman" w:hAnsi="Times New Roman"/>
          <w:sz w:val="24"/>
          <w:lang w:eastAsia="zh-CN"/>
        </w:rPr>
      </w:pPr>
      <w:r>
        <w:rPr>
          <w:rFonts w:hint="eastAsia" w:ascii="Times New Roman" w:hAnsi="Times New Roman"/>
          <w:sz w:val="24"/>
          <w:lang w:eastAsia="zh-CN"/>
        </w:rPr>
        <w:t>②正常排放</w:t>
      </w:r>
    </w:p>
    <w:p>
      <w:pPr>
        <w:pStyle w:val="14"/>
        <w:overflowPunct w:val="0"/>
        <w:spacing w:line="360" w:lineRule="auto"/>
        <w:ind w:firstLine="480" w:firstLineChars="200"/>
        <w:rPr>
          <w:rFonts w:ascii="Times New Roman" w:hAnsi="Times New Roman"/>
          <w:sz w:val="24"/>
        </w:rPr>
      </w:pPr>
      <w:r>
        <w:rPr>
          <w:rFonts w:hint="eastAsia" w:ascii="Times New Roman" w:hAnsi="Times New Roman"/>
          <w:sz w:val="24"/>
        </w:rPr>
        <w:t>根据预测，</w:t>
      </w:r>
      <w:r>
        <w:rPr>
          <w:rFonts w:hint="eastAsia" w:ascii="Times New Roman" w:hAnsi="Times New Roman"/>
          <w:sz w:val="24"/>
          <w:lang w:eastAsia="zh-CN"/>
        </w:rPr>
        <w:t>七里峡</w:t>
      </w:r>
      <w:r>
        <w:rPr>
          <w:rFonts w:hint="eastAsia" w:ascii="Times New Roman" w:hAnsi="Times New Roman"/>
          <w:sz w:val="24"/>
        </w:rPr>
        <w:t>煤矿升级改造完成后，矿井涌水经过处理后正常工况下对</w:t>
      </w:r>
      <w:r>
        <w:rPr>
          <w:rFonts w:hint="eastAsia" w:ascii="Times New Roman" w:hAnsi="Times New Roman"/>
          <w:sz w:val="24"/>
          <w:lang w:eastAsia="zh-CN"/>
        </w:rPr>
        <w:t>新宁</w:t>
      </w:r>
      <w:r>
        <w:rPr>
          <w:rFonts w:hint="eastAsia" w:ascii="Times New Roman" w:hAnsi="Times New Roman"/>
          <w:sz w:val="24"/>
        </w:rPr>
        <w:t>河的影响预测结果见下表所示。</w:t>
      </w:r>
    </w:p>
    <w:p>
      <w:pPr>
        <w:ind w:left="2185"/>
        <w:jc w:val="left"/>
        <w:rPr>
          <w:rFonts w:hAnsi="Times New Roman" w:eastAsia="宋体"/>
          <w:b/>
          <w:bCs/>
          <w:sz w:val="21"/>
          <w:szCs w:val="21"/>
        </w:rPr>
      </w:pPr>
      <w:r>
        <w:rPr>
          <w:rFonts w:hAnsi="Times New Roman" w:eastAsia="宋体"/>
          <w:b/>
          <w:bCs/>
          <w:sz w:val="21"/>
          <w:szCs w:val="21"/>
        </w:rPr>
        <w:t>表</w:t>
      </w:r>
      <w:r>
        <w:rPr>
          <w:rFonts w:hAnsi="Times New Roman" w:eastAsia="宋体"/>
          <w:b/>
          <w:bCs/>
          <w:sz w:val="21"/>
          <w:szCs w:val="21"/>
          <w:lang w:eastAsia="zh-CN"/>
        </w:rPr>
        <w:t>6.3</w:t>
      </w:r>
      <w:r>
        <w:rPr>
          <w:rFonts w:hAnsi="Times New Roman" w:eastAsia="宋体"/>
          <w:b/>
          <w:bCs/>
          <w:sz w:val="21"/>
          <w:szCs w:val="21"/>
        </w:rPr>
        <w:t>-5 正常工况下水环境影响预测计算结果</w:t>
      </w:r>
    </w:p>
    <w:tbl>
      <w:tblPr>
        <w:tblStyle w:val="3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080"/>
        <w:gridCol w:w="1572"/>
        <w:gridCol w:w="1685"/>
        <w:gridCol w:w="18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8" w:hRule="atLeast"/>
        </w:trPr>
        <w:tc>
          <w:tcPr>
            <w:tcW w:w="2233" w:type="pct"/>
            <w:vAlign w:val="center"/>
          </w:tcPr>
          <w:p>
            <w:pPr>
              <w:pStyle w:val="44"/>
              <w:keepNext w:val="0"/>
              <w:keepLines w:val="0"/>
              <w:suppressLineNumbers w:val="0"/>
              <w:spacing w:before="0" w:beforeAutospacing="0" w:after="0" w:afterAutospacing="0" w:line="269" w:lineRule="exact"/>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rPr>
              <w:t>断面</w:t>
            </w:r>
          </w:p>
        </w:tc>
        <w:tc>
          <w:tcPr>
            <w:tcW w:w="860" w:type="pct"/>
            <w:vAlign w:val="center"/>
          </w:tcPr>
          <w:p>
            <w:pPr>
              <w:pStyle w:val="44"/>
              <w:keepNext w:val="0"/>
              <w:keepLines w:val="0"/>
              <w:suppressLineNumbers w:val="0"/>
              <w:spacing w:before="0" w:beforeAutospacing="0" w:after="0" w:afterAutospacing="0"/>
              <w:ind w:left="0" w:right="0"/>
              <w:jc w:val="center"/>
              <w:rPr>
                <w:rFonts w:hint="eastAsia" w:hAnsi="Times New Roman" w:eastAsia="Times New Roman"/>
                <w:kern w:val="2"/>
                <w:sz w:val="21"/>
                <w:szCs w:val="21"/>
              </w:rPr>
            </w:pPr>
            <w:r>
              <w:rPr>
                <w:rFonts w:hint="eastAsia"/>
                <w:kern w:val="2"/>
                <w:sz w:val="21"/>
                <w:szCs w:val="22"/>
              </w:rPr>
              <w:t>COD</w:t>
            </w:r>
          </w:p>
        </w:tc>
        <w:tc>
          <w:tcPr>
            <w:tcW w:w="922" w:type="pct"/>
            <w:vAlign w:val="center"/>
          </w:tcPr>
          <w:p>
            <w:pPr>
              <w:pStyle w:val="44"/>
              <w:keepNext w:val="0"/>
              <w:keepLines w:val="0"/>
              <w:suppressLineNumbers w:val="0"/>
              <w:spacing w:before="0" w:beforeAutospacing="0" w:after="0" w:afterAutospacing="0"/>
              <w:ind w:left="0" w:right="0"/>
              <w:jc w:val="center"/>
              <w:rPr>
                <w:rFonts w:hint="eastAsia"/>
                <w:kern w:val="2"/>
                <w:sz w:val="21"/>
                <w:szCs w:val="22"/>
              </w:rPr>
            </w:pPr>
            <w:r>
              <w:rPr>
                <w:rFonts w:hint="eastAsia" w:ascii="宋体" w:hAnsi="宋体" w:eastAsia="宋体" w:cs="宋体"/>
                <w:kern w:val="2"/>
                <w:sz w:val="21"/>
                <w:szCs w:val="22"/>
              </w:rPr>
              <w:t>氨氮</w:t>
            </w:r>
          </w:p>
        </w:tc>
        <w:tc>
          <w:tcPr>
            <w:tcW w:w="985" w:type="pct"/>
            <w:vAlign w:val="center"/>
          </w:tcPr>
          <w:p>
            <w:pPr>
              <w:pStyle w:val="44"/>
              <w:keepNext w:val="0"/>
              <w:keepLines w:val="0"/>
              <w:suppressLineNumbers w:val="0"/>
              <w:spacing w:before="0" w:beforeAutospacing="0" w:after="0" w:afterAutospacing="0" w:line="269" w:lineRule="exact"/>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rPr>
              <w:t>石油类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06" w:hRule="exact"/>
        </w:trPr>
        <w:tc>
          <w:tcPr>
            <w:tcW w:w="2233" w:type="pct"/>
            <w:vAlign w:val="center"/>
          </w:tcPr>
          <w:p>
            <w:pPr>
              <w:pStyle w:val="44"/>
              <w:keepNext w:val="0"/>
              <w:keepLines w:val="0"/>
              <w:suppressLineNumbers w:val="0"/>
              <w:spacing w:before="0" w:beforeAutospacing="0" w:after="0" w:afterAutospacing="0" w:line="264" w:lineRule="exact"/>
              <w:ind w:left="1" w:right="0"/>
              <w:jc w:val="center"/>
              <w:rPr>
                <w:rFonts w:hint="eastAsia" w:ascii="宋体" w:hAnsi="宋体" w:eastAsia="宋体" w:cs="宋体"/>
                <w:kern w:val="2"/>
                <w:sz w:val="21"/>
                <w:szCs w:val="21"/>
              </w:rPr>
            </w:pPr>
            <w:r>
              <w:rPr>
                <w:rFonts w:hint="eastAsia" w:ascii="宋体" w:hAnsi="宋体" w:eastAsia="宋体" w:cs="宋体"/>
                <w:kern w:val="2"/>
                <w:sz w:val="21"/>
                <w:szCs w:val="21"/>
              </w:rPr>
              <w:t>完全混合后（</w:t>
            </w:r>
            <w:r>
              <w:rPr>
                <w:rFonts w:hint="eastAsia" w:ascii="宋体" w:hAnsi="宋体" w:eastAsia="宋体" w:cs="宋体"/>
                <w:kern w:val="2"/>
                <w:sz w:val="21"/>
                <w:szCs w:val="21"/>
                <w:lang w:eastAsia="zh-CN"/>
              </w:rPr>
              <w:t>新宁河</w:t>
            </w:r>
            <w:r>
              <w:rPr>
                <w:rFonts w:hint="eastAsia" w:ascii="宋体" w:hAnsi="宋体" w:eastAsia="宋体" w:cs="宋体"/>
                <w:kern w:val="2"/>
                <w:sz w:val="21"/>
                <w:szCs w:val="21"/>
              </w:rPr>
              <w:t>汇入断面下游约</w:t>
            </w:r>
          </w:p>
          <w:p>
            <w:pPr>
              <w:pStyle w:val="44"/>
              <w:keepNext w:val="0"/>
              <w:keepLines w:val="0"/>
              <w:suppressLineNumbers w:val="0"/>
              <w:spacing w:before="0" w:beforeAutospacing="0" w:after="0" w:afterAutospacing="0" w:line="289" w:lineRule="exact"/>
              <w:ind w:left="1" w:right="0"/>
              <w:jc w:val="center"/>
              <w:rPr>
                <w:rFonts w:hint="eastAsia" w:ascii="宋体" w:hAnsi="宋体" w:eastAsia="宋体" w:cs="宋体"/>
                <w:kern w:val="2"/>
                <w:sz w:val="21"/>
                <w:szCs w:val="21"/>
              </w:rPr>
            </w:pPr>
            <w:r>
              <w:rPr>
                <w:rFonts w:hint="eastAsia" w:hAnsi="Times New Roman" w:eastAsia="宋体"/>
                <w:kern w:val="2"/>
                <w:sz w:val="21"/>
                <w:szCs w:val="21"/>
                <w:lang w:eastAsia="zh-CN"/>
              </w:rPr>
              <w:t>1636.57</w:t>
            </w:r>
            <w:r>
              <w:rPr>
                <w:rFonts w:hint="eastAsia" w:hAnsi="Times New Roman" w:eastAsia="Times New Roman"/>
                <w:kern w:val="2"/>
                <w:sz w:val="21"/>
                <w:szCs w:val="21"/>
              </w:rPr>
              <w:t>m</w:t>
            </w:r>
            <w:r>
              <w:rPr>
                <w:rFonts w:hint="eastAsia" w:hAnsi="Times New Roman" w:eastAsia="Times New Roman"/>
                <w:spacing w:val="-11"/>
                <w:kern w:val="2"/>
                <w:sz w:val="21"/>
                <w:szCs w:val="21"/>
              </w:rPr>
              <w:t xml:space="preserve"> </w:t>
            </w:r>
            <w:r>
              <w:rPr>
                <w:rFonts w:hint="eastAsia" w:ascii="宋体" w:hAnsi="宋体" w:eastAsia="宋体" w:cs="宋体"/>
                <w:kern w:val="2"/>
                <w:sz w:val="21"/>
                <w:szCs w:val="21"/>
              </w:rPr>
              <w:t>处）</w:t>
            </w:r>
          </w:p>
        </w:tc>
        <w:tc>
          <w:tcPr>
            <w:tcW w:w="860" w:type="pct"/>
            <w:vAlign w:val="center"/>
          </w:tcPr>
          <w:p>
            <w:pPr>
              <w:pStyle w:val="44"/>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eastAsia="宋体"/>
                <w:spacing w:val="-1"/>
                <w:kern w:val="2"/>
                <w:sz w:val="21"/>
                <w:szCs w:val="22"/>
                <w:lang w:eastAsia="zh-CN"/>
              </w:rPr>
              <w:t>17.04</w:t>
            </w:r>
          </w:p>
        </w:tc>
        <w:tc>
          <w:tcPr>
            <w:tcW w:w="922" w:type="pct"/>
            <w:vAlign w:val="center"/>
          </w:tcPr>
          <w:p>
            <w:pPr>
              <w:pStyle w:val="44"/>
              <w:keepNext w:val="0"/>
              <w:keepLines w:val="0"/>
              <w:suppressLineNumbers w:val="0"/>
              <w:spacing w:before="0" w:beforeAutospacing="0" w:after="0" w:afterAutospacing="0"/>
              <w:ind w:left="0" w:right="0"/>
              <w:jc w:val="center"/>
              <w:rPr>
                <w:rFonts w:hint="eastAsia" w:eastAsia="宋体"/>
                <w:spacing w:val="-1"/>
                <w:kern w:val="2"/>
                <w:sz w:val="21"/>
                <w:szCs w:val="22"/>
                <w:lang w:eastAsia="zh-CN"/>
              </w:rPr>
            </w:pPr>
            <w:r>
              <w:rPr>
                <w:rFonts w:hint="eastAsia" w:eastAsia="宋体"/>
                <w:spacing w:val="-1"/>
                <w:kern w:val="2"/>
                <w:sz w:val="21"/>
                <w:szCs w:val="22"/>
                <w:lang w:eastAsia="zh-CN"/>
              </w:rPr>
              <w:t>0.63</w:t>
            </w:r>
          </w:p>
        </w:tc>
        <w:tc>
          <w:tcPr>
            <w:tcW w:w="985" w:type="pct"/>
            <w:vAlign w:val="center"/>
          </w:tcPr>
          <w:p>
            <w:pPr>
              <w:pStyle w:val="44"/>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kern w:val="2"/>
                <w:sz w:val="21"/>
                <w:szCs w:val="22"/>
              </w:rPr>
              <w:t>0.0</w:t>
            </w:r>
            <w:r>
              <w:rPr>
                <w:rFonts w:hint="eastAsia" w:eastAsia="宋体"/>
                <w:kern w:val="2"/>
                <w:sz w:val="21"/>
                <w:szCs w:val="22"/>
                <w:lang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7" w:hRule="exact"/>
        </w:trPr>
        <w:tc>
          <w:tcPr>
            <w:tcW w:w="2233" w:type="pct"/>
            <w:vAlign w:val="center"/>
          </w:tcPr>
          <w:p>
            <w:pPr>
              <w:pStyle w:val="44"/>
              <w:keepNext w:val="0"/>
              <w:keepLines w:val="0"/>
              <w:suppressLineNumbers w:val="0"/>
              <w:spacing w:before="0" w:beforeAutospacing="0" w:after="0" w:afterAutospacing="0" w:line="240" w:lineRule="exact"/>
              <w:ind w:left="0" w:right="0"/>
              <w:jc w:val="center"/>
              <w:rPr>
                <w:rFonts w:hint="eastAsia" w:ascii="宋体" w:hAnsi="宋体" w:eastAsia="宋体" w:cs="宋体"/>
                <w:kern w:val="2"/>
                <w:sz w:val="11"/>
                <w:szCs w:val="11"/>
              </w:rPr>
            </w:pPr>
            <w:r>
              <w:rPr>
                <w:rFonts w:hint="eastAsia" w:ascii="宋体" w:hAnsi="宋体" w:eastAsia="宋体" w:cs="宋体"/>
                <w:kern w:val="2"/>
                <w:sz w:val="21"/>
                <w:szCs w:val="21"/>
              </w:rPr>
              <w:t>评价标准限值</w:t>
            </w:r>
            <w:r>
              <w:rPr>
                <w:rFonts w:hint="eastAsia" w:ascii="宋体" w:hAnsi="宋体" w:eastAsia="宋体" w:cs="宋体"/>
                <w:kern w:val="2"/>
                <w:position w:val="11"/>
                <w:sz w:val="11"/>
                <w:szCs w:val="11"/>
              </w:rPr>
              <w:t>※</w:t>
            </w:r>
          </w:p>
        </w:tc>
        <w:tc>
          <w:tcPr>
            <w:tcW w:w="860" w:type="pct"/>
            <w:vAlign w:val="center"/>
          </w:tcPr>
          <w:p>
            <w:pPr>
              <w:pStyle w:val="44"/>
              <w:keepNext w:val="0"/>
              <w:keepLines w:val="0"/>
              <w:suppressLineNumbers w:val="0"/>
              <w:spacing w:before="0" w:beforeAutospacing="0" w:after="0" w:afterAutospacing="0" w:line="256" w:lineRule="exact"/>
              <w:ind w:left="0" w:right="0"/>
              <w:jc w:val="center"/>
              <w:rPr>
                <w:rFonts w:hint="eastAsia" w:hAnsi="Times New Roman" w:eastAsia="Times New Roman"/>
                <w:kern w:val="2"/>
                <w:sz w:val="21"/>
                <w:szCs w:val="21"/>
              </w:rPr>
            </w:pPr>
            <w:r>
              <w:rPr>
                <w:rFonts w:hint="eastAsia" w:ascii="宋体" w:hAnsi="宋体" w:eastAsia="宋体" w:cs="宋体"/>
                <w:kern w:val="2"/>
                <w:sz w:val="21"/>
                <w:szCs w:val="21"/>
              </w:rPr>
              <w:t>≤</w:t>
            </w:r>
            <w:r>
              <w:rPr>
                <w:rFonts w:hint="eastAsia" w:hAnsi="Times New Roman" w:eastAsia="Times New Roman"/>
                <w:kern w:val="2"/>
                <w:sz w:val="21"/>
                <w:szCs w:val="21"/>
              </w:rPr>
              <w:t>18</w:t>
            </w:r>
          </w:p>
        </w:tc>
        <w:tc>
          <w:tcPr>
            <w:tcW w:w="922" w:type="pct"/>
            <w:vAlign w:val="center"/>
          </w:tcPr>
          <w:p>
            <w:pPr>
              <w:pStyle w:val="44"/>
              <w:keepNext w:val="0"/>
              <w:keepLines w:val="0"/>
              <w:suppressLineNumbers w:val="0"/>
              <w:spacing w:before="0" w:beforeAutospacing="0" w:after="0" w:afterAutospacing="0" w:line="256" w:lineRule="exact"/>
              <w:ind w:left="0" w:right="0"/>
              <w:jc w:val="center"/>
              <w:rPr>
                <w:rFonts w:hint="eastAsia" w:ascii="宋体" w:hAnsi="宋体" w:eastAsia="宋体" w:cs="宋体"/>
                <w:kern w:val="2"/>
                <w:sz w:val="21"/>
                <w:szCs w:val="21"/>
              </w:rPr>
            </w:pPr>
            <w:r>
              <w:rPr>
                <w:rFonts w:hint="eastAsia" w:hAnsi="Times New Roman" w:eastAsia="宋体"/>
                <w:kern w:val="2"/>
                <w:sz w:val="21"/>
                <w:szCs w:val="21"/>
              </w:rPr>
              <w:t>≤</w:t>
            </w:r>
            <w:r>
              <w:rPr>
                <w:rFonts w:hint="eastAsia" w:hAnsi="Times New Roman" w:eastAsia="宋体"/>
                <w:kern w:val="2"/>
                <w:sz w:val="21"/>
                <w:szCs w:val="21"/>
                <w:lang w:eastAsia="zh-CN"/>
              </w:rPr>
              <w:t>0.8</w:t>
            </w:r>
          </w:p>
        </w:tc>
        <w:tc>
          <w:tcPr>
            <w:tcW w:w="985" w:type="pct"/>
            <w:vAlign w:val="center"/>
          </w:tcPr>
          <w:p>
            <w:pPr>
              <w:pStyle w:val="44"/>
              <w:keepNext w:val="0"/>
              <w:keepLines w:val="0"/>
              <w:suppressLineNumbers w:val="0"/>
              <w:spacing w:before="0" w:beforeAutospacing="0" w:after="0" w:afterAutospacing="0" w:line="256" w:lineRule="exact"/>
              <w:ind w:left="0" w:right="0"/>
              <w:jc w:val="center"/>
              <w:rPr>
                <w:rFonts w:hint="eastAsia" w:hAnsi="Times New Roman" w:eastAsia="宋体"/>
                <w:kern w:val="2"/>
                <w:sz w:val="21"/>
                <w:szCs w:val="21"/>
                <w:lang w:eastAsia="zh-CN"/>
              </w:rPr>
            </w:pPr>
            <w:r>
              <w:rPr>
                <w:rFonts w:hint="eastAsia" w:ascii="宋体" w:hAnsi="宋体" w:eastAsia="宋体" w:cs="宋体"/>
                <w:kern w:val="2"/>
                <w:sz w:val="21"/>
                <w:szCs w:val="21"/>
              </w:rPr>
              <w:t>≤</w:t>
            </w:r>
            <w:r>
              <w:rPr>
                <w:rFonts w:hint="eastAsia" w:hAnsi="Times New Roman" w:eastAsia="Times New Roman"/>
                <w:kern w:val="2"/>
                <w:sz w:val="21"/>
                <w:szCs w:val="21"/>
              </w:rPr>
              <w:t>0.0</w:t>
            </w:r>
            <w:r>
              <w:rPr>
                <w:rFonts w:hint="eastAsia" w:hAnsi="Times New Roman" w:eastAsia="宋体"/>
                <w:kern w:val="2"/>
                <w:sz w:val="21"/>
                <w:szCs w:val="21"/>
                <w:lang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64" w:hRule="exact"/>
        </w:trPr>
        <w:tc>
          <w:tcPr>
            <w:tcW w:w="5000" w:type="pct"/>
            <w:gridSpan w:val="4"/>
            <w:vAlign w:val="center"/>
          </w:tcPr>
          <w:p>
            <w:pPr>
              <w:pStyle w:val="44"/>
              <w:keepNext w:val="0"/>
              <w:keepLines w:val="0"/>
              <w:suppressLineNumbers w:val="0"/>
              <w:spacing w:before="46" w:beforeAutospacing="0" w:after="0" w:afterAutospacing="0" w:line="272" w:lineRule="exact"/>
              <w:ind w:left="103" w:right="97"/>
              <w:jc w:val="left"/>
              <w:rPr>
                <w:rFonts w:hint="eastAsia" w:ascii="宋体" w:hAnsi="宋体" w:eastAsia="宋体" w:cs="宋体"/>
                <w:kern w:val="2"/>
                <w:sz w:val="21"/>
                <w:szCs w:val="21"/>
              </w:rPr>
            </w:pPr>
            <w:r>
              <w:rPr>
                <w:rFonts w:hint="eastAsia" w:ascii="宋体" w:hAnsi="宋体" w:eastAsia="宋体" w:cs="宋体"/>
                <w:kern w:val="2"/>
                <w:position w:val="11"/>
                <w:sz w:val="11"/>
                <w:szCs w:val="11"/>
              </w:rPr>
              <w:t>※</w:t>
            </w:r>
            <w:r>
              <w:rPr>
                <w:rFonts w:hint="eastAsia" w:ascii="宋体" w:hAnsi="宋体" w:eastAsia="宋体" w:cs="宋体"/>
                <w:kern w:val="2"/>
                <w:sz w:val="21"/>
                <w:szCs w:val="21"/>
              </w:rPr>
              <w:t>：评价标准为《地表水环境质量标准</w:t>
            </w:r>
            <w:r>
              <w:rPr>
                <w:rFonts w:hint="eastAsia" w:ascii="宋体" w:hAnsi="宋体" w:eastAsia="宋体" w:cs="宋体"/>
                <w:spacing w:val="-105"/>
                <w:kern w:val="2"/>
                <w:sz w:val="21"/>
                <w:szCs w:val="21"/>
              </w:rPr>
              <w:t>》</w:t>
            </w:r>
            <w:r>
              <w:rPr>
                <w:rFonts w:hint="eastAsia" w:ascii="宋体" w:hAnsi="宋体" w:eastAsia="宋体" w:cs="宋体"/>
                <w:kern w:val="2"/>
                <w:sz w:val="21"/>
                <w:szCs w:val="21"/>
              </w:rPr>
              <w:t>（</w:t>
            </w:r>
            <w:r>
              <w:rPr>
                <w:rFonts w:hint="eastAsia" w:hAnsi="Times New Roman" w:eastAsia="Times New Roman"/>
                <w:kern w:val="2"/>
                <w:sz w:val="21"/>
                <w:szCs w:val="21"/>
              </w:rPr>
              <w:t>GB38</w:t>
            </w:r>
            <w:r>
              <w:rPr>
                <w:rFonts w:hint="eastAsia" w:hAnsi="Times New Roman" w:eastAsia="Times New Roman"/>
                <w:spacing w:val="-1"/>
                <w:kern w:val="2"/>
                <w:sz w:val="21"/>
                <w:szCs w:val="21"/>
              </w:rPr>
              <w:t>3</w:t>
            </w:r>
            <w:r>
              <w:rPr>
                <w:rFonts w:hint="eastAsia" w:hAnsi="Times New Roman" w:eastAsia="Times New Roman"/>
                <w:kern w:val="2"/>
                <w:sz w:val="21"/>
                <w:szCs w:val="21"/>
              </w:rPr>
              <w:t>8</w:t>
            </w:r>
            <w:r>
              <w:rPr>
                <w:rFonts w:hint="eastAsia" w:hAnsi="Times New Roman" w:eastAsia="Times New Roman"/>
                <w:spacing w:val="-1"/>
                <w:kern w:val="2"/>
                <w:sz w:val="21"/>
                <w:szCs w:val="21"/>
              </w:rPr>
              <w:t>-</w:t>
            </w:r>
            <w:r>
              <w:rPr>
                <w:rFonts w:hint="eastAsia" w:hAnsi="Times New Roman" w:eastAsia="Times New Roman"/>
                <w:kern w:val="2"/>
                <w:sz w:val="21"/>
                <w:szCs w:val="21"/>
              </w:rPr>
              <w:t>200</w:t>
            </w:r>
            <w:r>
              <w:rPr>
                <w:rFonts w:hint="eastAsia" w:hAnsi="Times New Roman" w:eastAsia="Times New Roman"/>
                <w:spacing w:val="1"/>
                <w:kern w:val="2"/>
                <w:sz w:val="21"/>
                <w:szCs w:val="21"/>
              </w:rPr>
              <w:t>2</w:t>
            </w:r>
            <w:r>
              <w:rPr>
                <w:rFonts w:hint="eastAsia" w:ascii="宋体" w:hAnsi="宋体" w:eastAsia="宋体" w:cs="宋体"/>
                <w:kern w:val="2"/>
                <w:sz w:val="21"/>
                <w:szCs w:val="21"/>
              </w:rPr>
              <w:t>）</w:t>
            </w:r>
            <w:r>
              <w:rPr>
                <w:rFonts w:hint="eastAsia" w:hAnsi="Times New Roman" w:eastAsia="Times New Roman"/>
                <w:kern w:val="2"/>
                <w:sz w:val="21"/>
                <w:szCs w:val="21"/>
              </w:rPr>
              <w:t>Ⅲ</w:t>
            </w:r>
            <w:r>
              <w:rPr>
                <w:rFonts w:hint="eastAsia" w:ascii="宋体" w:hAnsi="宋体" w:eastAsia="宋体" w:cs="宋体"/>
                <w:spacing w:val="-2"/>
                <w:kern w:val="2"/>
                <w:sz w:val="21"/>
                <w:szCs w:val="21"/>
              </w:rPr>
              <w:t>类</w:t>
            </w:r>
            <w:r>
              <w:rPr>
                <w:rFonts w:hint="eastAsia" w:ascii="宋体" w:hAnsi="宋体" w:eastAsia="宋体" w:cs="宋体"/>
                <w:kern w:val="2"/>
                <w:sz w:val="21"/>
                <w:szCs w:val="21"/>
              </w:rPr>
              <w:t>标准值，其中</w:t>
            </w:r>
            <w:r>
              <w:rPr>
                <w:rFonts w:hint="eastAsia" w:ascii="宋体" w:hAnsi="宋体" w:eastAsia="宋体" w:cs="宋体"/>
                <w:spacing w:val="-41"/>
                <w:kern w:val="2"/>
                <w:sz w:val="21"/>
                <w:szCs w:val="21"/>
              </w:rPr>
              <w:t xml:space="preserve"> </w:t>
            </w:r>
            <w:r>
              <w:rPr>
                <w:rFonts w:hint="eastAsia" w:hAnsi="Times New Roman" w:eastAsia="Times New Roman"/>
                <w:kern w:val="2"/>
                <w:sz w:val="21"/>
                <w:szCs w:val="21"/>
              </w:rPr>
              <w:t>COD</w:t>
            </w:r>
            <w:r>
              <w:rPr>
                <w:rFonts w:hint="eastAsia" w:hAnsi="Times New Roman" w:eastAsia="Times New Roman"/>
                <w:spacing w:val="-1"/>
                <w:kern w:val="2"/>
                <w:sz w:val="21"/>
                <w:szCs w:val="21"/>
              </w:rPr>
              <w:t xml:space="preserve"> </w:t>
            </w:r>
            <w:r>
              <w:rPr>
                <w:rFonts w:hint="eastAsia" w:ascii="宋体" w:hAnsi="宋体" w:eastAsia="宋体" w:cs="宋体"/>
                <w:kern w:val="2"/>
                <w:sz w:val="21"/>
                <w:szCs w:val="21"/>
              </w:rPr>
              <w:t>为预留</w:t>
            </w:r>
            <w:r>
              <w:rPr>
                <w:rFonts w:hint="eastAsia" w:ascii="宋体" w:hAnsi="宋体" w:eastAsia="宋体" w:cs="宋体"/>
                <w:spacing w:val="-41"/>
                <w:kern w:val="2"/>
                <w:sz w:val="21"/>
                <w:szCs w:val="21"/>
              </w:rPr>
              <w:t xml:space="preserve"> </w:t>
            </w:r>
            <w:r>
              <w:rPr>
                <w:rFonts w:hint="eastAsia" w:hAnsi="Times New Roman" w:eastAsia="Times New Roman"/>
                <w:kern w:val="2"/>
                <w:sz w:val="21"/>
                <w:szCs w:val="21"/>
              </w:rPr>
              <w:t>10%</w:t>
            </w:r>
            <w:r>
              <w:rPr>
                <w:rFonts w:hint="eastAsia" w:ascii="宋体" w:hAnsi="宋体" w:eastAsia="宋体" w:cs="宋体"/>
                <w:kern w:val="2"/>
                <w:sz w:val="21"/>
                <w:szCs w:val="21"/>
              </w:rPr>
              <w:t>安 全余量后限值：</w:t>
            </w:r>
          </w:p>
        </w:tc>
      </w:tr>
    </w:tbl>
    <w:p>
      <w:pPr>
        <w:pStyle w:val="14"/>
        <w:overflowPunct w:val="0"/>
        <w:spacing w:line="360" w:lineRule="auto"/>
        <w:ind w:firstLine="480" w:firstLineChars="200"/>
        <w:rPr>
          <w:rFonts w:ascii="Times New Roman" w:hAnsi="Times New Roman"/>
          <w:sz w:val="24"/>
          <w:lang w:eastAsia="zh-CN"/>
        </w:rPr>
      </w:pPr>
      <w:r>
        <w:rPr>
          <w:rFonts w:ascii="Times New Roman" w:hAnsi="Times New Roman"/>
          <w:sz w:val="24"/>
        </w:rPr>
        <w:t>根据预测结果，由于</w:t>
      </w:r>
      <w:r>
        <w:rPr>
          <w:rFonts w:hint="eastAsia" w:ascii="Times New Roman" w:hAnsi="Times New Roman"/>
          <w:sz w:val="24"/>
          <w:lang w:eastAsia="zh-CN"/>
        </w:rPr>
        <w:t>七里峡</w:t>
      </w:r>
      <w:r>
        <w:rPr>
          <w:rFonts w:ascii="Times New Roman" w:hAnsi="Times New Roman"/>
          <w:sz w:val="24"/>
        </w:rPr>
        <w:t>煤矿矿井涌水中所含的污染物量较低，在枯水期，</w:t>
      </w:r>
      <w:r>
        <w:rPr>
          <w:rFonts w:hint="eastAsia" w:ascii="Times New Roman" w:hAnsi="Times New Roman"/>
          <w:sz w:val="24"/>
          <w:lang w:eastAsia="zh-CN"/>
        </w:rPr>
        <w:t>毛须坝河沟</w:t>
      </w:r>
      <w:r>
        <w:rPr>
          <w:rFonts w:ascii="Times New Roman" w:hAnsi="Times New Roman"/>
          <w:sz w:val="24"/>
        </w:rPr>
        <w:t>汇入断面下游约</w:t>
      </w:r>
      <w:r>
        <w:rPr>
          <w:rFonts w:hint="eastAsia" w:ascii="Times New Roman" w:hAnsi="Times New Roman"/>
          <w:sz w:val="24"/>
          <w:lang w:eastAsia="zh-CN"/>
        </w:rPr>
        <w:t>1636.57</w:t>
      </w:r>
      <w:r>
        <w:rPr>
          <w:rFonts w:ascii="Times New Roman" w:hAnsi="Times New Roman"/>
          <w:sz w:val="24"/>
        </w:rPr>
        <w:t>m处，COD、</w:t>
      </w:r>
      <w:r>
        <w:rPr>
          <w:rFonts w:hint="eastAsia" w:ascii="Times New Roman" w:hAnsi="Times New Roman"/>
          <w:sz w:val="24"/>
          <w:lang w:eastAsia="zh-CN"/>
        </w:rPr>
        <w:t>氨氮、</w:t>
      </w:r>
      <w:r>
        <w:rPr>
          <w:rFonts w:ascii="Times New Roman" w:hAnsi="Times New Roman"/>
          <w:sz w:val="24"/>
        </w:rPr>
        <w:t>石油类可满足《地表水环境质量标准》（GB38</w:t>
      </w:r>
      <w:r>
        <w:rPr>
          <w:rFonts w:hint="eastAsia" w:ascii="Times New Roman" w:hAnsi="Times New Roman"/>
          <w:sz w:val="24"/>
          <w:lang w:eastAsia="zh-CN"/>
        </w:rPr>
        <w:t>3</w:t>
      </w:r>
      <w:r>
        <w:rPr>
          <w:rFonts w:ascii="Times New Roman" w:hAnsi="Times New Roman"/>
          <w:sz w:val="24"/>
        </w:rPr>
        <w:t>8-2002）Ⅲ类标准要求，且在考虑10%的安全余量情况下，指标</w:t>
      </w:r>
      <w:r>
        <w:rPr>
          <w:rFonts w:hint="eastAsia" w:ascii="Times New Roman" w:hAnsi="Times New Roman"/>
          <w:sz w:val="24"/>
          <w:lang w:eastAsia="zh-CN"/>
        </w:rPr>
        <w:t>仍然</w:t>
      </w:r>
      <w:r>
        <w:rPr>
          <w:rFonts w:ascii="Times New Roman" w:hAnsi="Times New Roman"/>
          <w:sz w:val="24"/>
        </w:rPr>
        <w:t>满足要求</w:t>
      </w:r>
      <w:r>
        <w:rPr>
          <w:rFonts w:hint="eastAsia" w:ascii="Times New Roman" w:hAnsi="Times New Roman"/>
          <w:sz w:val="24"/>
          <w:lang w:eastAsia="zh-CN"/>
        </w:rPr>
        <w:t>。</w:t>
      </w:r>
    </w:p>
    <w:p>
      <w:pPr>
        <w:pStyle w:val="14"/>
        <w:overflowPunct w:val="0"/>
        <w:spacing w:line="360" w:lineRule="auto"/>
        <w:ind w:firstLine="480" w:firstLineChars="200"/>
        <w:rPr>
          <w:rFonts w:ascii="Times New Roman" w:hAnsi="Times New Roman"/>
          <w:sz w:val="24"/>
          <w:lang w:eastAsia="zh-CN"/>
        </w:rPr>
      </w:pPr>
      <w:r>
        <w:rPr>
          <w:rFonts w:hint="eastAsia" w:ascii="Times New Roman" w:hAnsi="Times New Roman"/>
          <w:sz w:val="24"/>
          <w:lang w:eastAsia="zh-CN"/>
        </w:rPr>
        <w:t>③非正常排放</w:t>
      </w:r>
    </w:p>
    <w:p>
      <w:pPr>
        <w:spacing w:line="360" w:lineRule="auto"/>
        <w:ind w:left="2422"/>
        <w:jc w:val="left"/>
        <w:rPr>
          <w:rFonts w:ascii="宋体" w:hAnsi="宋体" w:eastAsia="宋体" w:cs="宋体"/>
          <w:sz w:val="21"/>
          <w:szCs w:val="21"/>
        </w:rPr>
      </w:pPr>
      <w:r>
        <w:rPr>
          <w:rFonts w:ascii="宋体" w:hAnsi="宋体" w:eastAsia="宋体" w:cs="宋体"/>
          <w:b/>
          <w:bCs/>
          <w:sz w:val="21"/>
          <w:szCs w:val="21"/>
        </w:rPr>
        <w:t>表</w:t>
      </w:r>
      <w:r>
        <w:rPr>
          <w:rFonts w:hAnsi="Times New Roman" w:eastAsia="宋体"/>
          <w:b/>
          <w:bCs/>
          <w:sz w:val="21"/>
          <w:szCs w:val="21"/>
          <w:lang w:eastAsia="zh-CN"/>
        </w:rPr>
        <w:t>6.3</w:t>
      </w:r>
      <w:r>
        <w:rPr>
          <w:rFonts w:hAnsi="Times New Roman" w:eastAsia="宋体"/>
          <w:b/>
          <w:bCs/>
          <w:sz w:val="21"/>
          <w:szCs w:val="21"/>
        </w:rPr>
        <w:t>-</w:t>
      </w:r>
      <w:r>
        <w:rPr>
          <w:rFonts w:hAnsi="Times New Roman" w:eastAsia="Times New Roman"/>
          <w:b/>
          <w:bCs/>
          <w:spacing w:val="-1"/>
          <w:sz w:val="21"/>
          <w:szCs w:val="21"/>
        </w:rPr>
        <w:t>-6</w:t>
      </w:r>
      <w:r>
        <w:rPr>
          <w:rFonts w:hAnsi="Times New Roman" w:eastAsia="Times New Roman"/>
          <w:b/>
          <w:bCs/>
          <w:spacing w:val="-19"/>
          <w:sz w:val="21"/>
          <w:szCs w:val="21"/>
        </w:rPr>
        <w:t xml:space="preserve"> </w:t>
      </w:r>
      <w:r>
        <w:rPr>
          <w:rFonts w:ascii="宋体" w:hAnsi="宋体" w:eastAsia="宋体" w:cs="宋体"/>
          <w:b/>
          <w:bCs/>
          <w:sz w:val="21"/>
          <w:szCs w:val="21"/>
        </w:rPr>
        <w:t>非正常工况下水环境影响预测计算结果</w:t>
      </w:r>
    </w:p>
    <w:tbl>
      <w:tblPr>
        <w:tblStyle w:val="3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682"/>
        <w:gridCol w:w="2006"/>
        <w:gridCol w:w="1751"/>
        <w:gridCol w:w="16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015" w:type="pct"/>
            <w:vAlign w:val="center"/>
          </w:tcPr>
          <w:p>
            <w:pPr>
              <w:pStyle w:val="44"/>
              <w:keepNext w:val="0"/>
              <w:keepLines w:val="0"/>
              <w:suppressLineNumbers w:val="0"/>
              <w:spacing w:before="0" w:beforeAutospacing="0" w:after="0" w:afterAutospacing="0" w:line="269" w:lineRule="exact"/>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rPr>
              <w:t>断面</w:t>
            </w:r>
          </w:p>
        </w:tc>
        <w:tc>
          <w:tcPr>
            <w:tcW w:w="1098" w:type="pct"/>
            <w:vAlign w:val="center"/>
          </w:tcPr>
          <w:p>
            <w:pPr>
              <w:pStyle w:val="44"/>
              <w:keepNext w:val="0"/>
              <w:keepLines w:val="0"/>
              <w:suppressLineNumbers w:val="0"/>
              <w:spacing w:before="0" w:beforeAutospacing="0" w:after="0" w:afterAutospacing="0"/>
              <w:ind w:left="0" w:right="0"/>
              <w:jc w:val="center"/>
              <w:rPr>
                <w:rFonts w:hint="eastAsia" w:hAnsi="Times New Roman" w:eastAsia="Times New Roman"/>
                <w:kern w:val="2"/>
                <w:sz w:val="21"/>
                <w:szCs w:val="21"/>
              </w:rPr>
            </w:pPr>
            <w:r>
              <w:rPr>
                <w:rFonts w:hint="eastAsia"/>
                <w:kern w:val="2"/>
                <w:sz w:val="21"/>
                <w:szCs w:val="22"/>
              </w:rPr>
              <w:t>COD</w:t>
            </w:r>
          </w:p>
        </w:tc>
        <w:tc>
          <w:tcPr>
            <w:tcW w:w="958" w:type="pct"/>
            <w:vAlign w:val="center"/>
          </w:tcPr>
          <w:p>
            <w:pPr>
              <w:pStyle w:val="44"/>
              <w:keepNext w:val="0"/>
              <w:keepLines w:val="0"/>
              <w:suppressLineNumbers w:val="0"/>
              <w:spacing w:before="0" w:beforeAutospacing="0" w:after="0" w:afterAutospacing="0"/>
              <w:ind w:left="0" w:right="0"/>
              <w:jc w:val="center"/>
              <w:rPr>
                <w:rFonts w:hint="eastAsia" w:ascii="宋体" w:hAnsi="宋体" w:eastAsia="宋体" w:cs="宋体"/>
                <w:kern w:val="2"/>
                <w:sz w:val="21"/>
                <w:szCs w:val="21"/>
              </w:rPr>
            </w:pPr>
            <w:r>
              <w:rPr>
                <w:rFonts w:hint="eastAsia" w:hAnsi="Times New Roman" w:eastAsia="Times New Roman"/>
                <w:kern w:val="2"/>
                <w:sz w:val="21"/>
                <w:szCs w:val="21"/>
              </w:rPr>
              <w:t>氨氮</w:t>
            </w:r>
          </w:p>
        </w:tc>
        <w:tc>
          <w:tcPr>
            <w:tcW w:w="930" w:type="pct"/>
            <w:vAlign w:val="center"/>
          </w:tcPr>
          <w:p>
            <w:pPr>
              <w:pStyle w:val="44"/>
              <w:keepNext w:val="0"/>
              <w:keepLines w:val="0"/>
              <w:suppressLineNumbers w:val="0"/>
              <w:spacing w:before="0" w:beforeAutospacing="0" w:after="0" w:afterAutospacing="0" w:line="269" w:lineRule="exact"/>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rPr>
              <w:t>石油类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06" w:hRule="exact"/>
        </w:trPr>
        <w:tc>
          <w:tcPr>
            <w:tcW w:w="2015" w:type="pct"/>
            <w:vAlign w:val="center"/>
          </w:tcPr>
          <w:p>
            <w:pPr>
              <w:pStyle w:val="44"/>
              <w:keepNext w:val="0"/>
              <w:keepLines w:val="0"/>
              <w:suppressLineNumbers w:val="0"/>
              <w:spacing w:before="0" w:beforeAutospacing="0" w:after="0" w:afterAutospacing="0" w:line="289" w:lineRule="exact"/>
              <w:ind w:left="1" w:right="0"/>
              <w:jc w:val="center"/>
              <w:rPr>
                <w:rFonts w:hint="eastAsia" w:ascii="宋体" w:hAnsi="宋体" w:eastAsia="宋体" w:cs="宋体"/>
                <w:kern w:val="2"/>
                <w:sz w:val="21"/>
                <w:szCs w:val="21"/>
              </w:rPr>
            </w:pPr>
            <w:r>
              <w:rPr>
                <w:rFonts w:hint="eastAsia" w:ascii="宋体" w:hAnsi="宋体" w:eastAsia="宋体" w:cs="宋体"/>
                <w:kern w:val="2"/>
                <w:sz w:val="21"/>
                <w:szCs w:val="21"/>
              </w:rPr>
              <w:t>完全混合后（</w:t>
            </w:r>
            <w:r>
              <w:rPr>
                <w:rFonts w:hint="eastAsia" w:ascii="宋体" w:hAnsi="宋体" w:eastAsia="宋体" w:cs="宋体"/>
                <w:kern w:val="2"/>
                <w:sz w:val="21"/>
                <w:szCs w:val="21"/>
                <w:lang w:eastAsia="zh-CN"/>
              </w:rPr>
              <w:t>新宁河</w:t>
            </w:r>
            <w:r>
              <w:rPr>
                <w:rFonts w:hint="eastAsia" w:ascii="宋体" w:hAnsi="宋体" w:eastAsia="宋体" w:cs="宋体"/>
                <w:kern w:val="2"/>
                <w:sz w:val="21"/>
                <w:szCs w:val="21"/>
              </w:rPr>
              <w:t>汇入断面下游约</w:t>
            </w:r>
            <w:r>
              <w:rPr>
                <w:rFonts w:hint="eastAsia" w:ascii="宋体" w:hAnsi="宋体" w:eastAsia="宋体" w:cs="宋体"/>
                <w:spacing w:val="-53"/>
                <w:kern w:val="2"/>
                <w:sz w:val="21"/>
                <w:szCs w:val="21"/>
              </w:rPr>
              <w:t xml:space="preserve"> </w:t>
            </w:r>
            <w:r>
              <w:rPr>
                <w:rFonts w:hint="eastAsia" w:hAnsi="Times New Roman" w:eastAsia="宋体"/>
                <w:kern w:val="2"/>
                <w:sz w:val="21"/>
                <w:szCs w:val="21"/>
                <w:lang w:eastAsia="zh-CN"/>
              </w:rPr>
              <w:t>1636.57</w:t>
            </w:r>
            <w:r>
              <w:rPr>
                <w:rFonts w:hint="eastAsia" w:hAnsi="Times New Roman" w:eastAsia="Times New Roman"/>
                <w:kern w:val="2"/>
                <w:sz w:val="21"/>
                <w:szCs w:val="21"/>
              </w:rPr>
              <w:t>m</w:t>
            </w:r>
            <w:r>
              <w:rPr>
                <w:rFonts w:hint="eastAsia" w:hAnsi="Times New Roman" w:eastAsia="Times New Roman"/>
                <w:spacing w:val="-12"/>
                <w:kern w:val="2"/>
                <w:sz w:val="21"/>
                <w:szCs w:val="21"/>
              </w:rPr>
              <w:t xml:space="preserve"> </w:t>
            </w:r>
            <w:r>
              <w:rPr>
                <w:rFonts w:hint="eastAsia" w:ascii="宋体" w:hAnsi="宋体" w:eastAsia="宋体" w:cs="宋体"/>
                <w:kern w:val="2"/>
                <w:sz w:val="21"/>
                <w:szCs w:val="21"/>
              </w:rPr>
              <w:t>处）</w:t>
            </w:r>
          </w:p>
        </w:tc>
        <w:tc>
          <w:tcPr>
            <w:tcW w:w="1098" w:type="pct"/>
            <w:vAlign w:val="center"/>
          </w:tcPr>
          <w:p>
            <w:pPr>
              <w:pStyle w:val="44"/>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eastAsia="宋体"/>
                <w:spacing w:val="-1"/>
                <w:kern w:val="2"/>
                <w:sz w:val="21"/>
                <w:szCs w:val="22"/>
                <w:lang w:eastAsia="zh-CN"/>
              </w:rPr>
              <w:t>18.08</w:t>
            </w:r>
          </w:p>
        </w:tc>
        <w:tc>
          <w:tcPr>
            <w:tcW w:w="958" w:type="pct"/>
            <w:vAlign w:val="center"/>
          </w:tcPr>
          <w:p>
            <w:pPr>
              <w:pStyle w:val="44"/>
              <w:keepNext w:val="0"/>
              <w:keepLines w:val="0"/>
              <w:suppressLineNumbers w:val="0"/>
              <w:spacing w:before="0" w:beforeAutospacing="0" w:after="0" w:afterAutospacing="0" w:line="257" w:lineRule="exact"/>
              <w:ind w:left="0" w:right="0"/>
              <w:jc w:val="center"/>
              <w:rPr>
                <w:rFonts w:hint="eastAsia" w:hAnsi="Times New Roman" w:eastAsia="Times New Roman"/>
                <w:kern w:val="2"/>
                <w:sz w:val="21"/>
                <w:szCs w:val="21"/>
              </w:rPr>
            </w:pPr>
            <w:r>
              <w:rPr>
                <w:rFonts w:hint="eastAsia" w:hAnsi="Times New Roman" w:eastAsia="宋体"/>
                <w:kern w:val="2"/>
                <w:sz w:val="21"/>
                <w:szCs w:val="21"/>
                <w:lang w:eastAsia="zh-CN"/>
              </w:rPr>
              <w:t>0.68</w:t>
            </w:r>
          </w:p>
        </w:tc>
        <w:tc>
          <w:tcPr>
            <w:tcW w:w="930" w:type="pct"/>
            <w:vAlign w:val="center"/>
          </w:tcPr>
          <w:p>
            <w:pPr>
              <w:pStyle w:val="44"/>
              <w:keepNext w:val="0"/>
              <w:keepLines w:val="0"/>
              <w:suppressLineNumbers w:val="0"/>
              <w:spacing w:before="0" w:beforeAutospacing="0" w:after="0" w:afterAutospacing="0"/>
              <w:ind w:left="0" w:right="0"/>
              <w:jc w:val="center"/>
              <w:rPr>
                <w:rFonts w:hint="eastAsia" w:eastAsia="宋体"/>
                <w:kern w:val="2"/>
                <w:sz w:val="21"/>
                <w:szCs w:val="22"/>
                <w:lang w:eastAsia="zh-CN"/>
              </w:rPr>
            </w:pPr>
            <w:r>
              <w:rPr>
                <w:rFonts w:hint="eastAsia"/>
                <w:kern w:val="2"/>
                <w:sz w:val="21"/>
                <w:szCs w:val="22"/>
              </w:rPr>
              <w:t>0.0</w:t>
            </w:r>
            <w:r>
              <w:rPr>
                <w:rFonts w:hint="eastAsia" w:eastAsia="宋体"/>
                <w:kern w:val="2"/>
                <w:sz w:val="21"/>
                <w:szCs w:val="22"/>
                <w:lang w:eastAsia="zh-CN"/>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2" w:hRule="exact"/>
        </w:trPr>
        <w:tc>
          <w:tcPr>
            <w:tcW w:w="2015" w:type="pct"/>
            <w:vAlign w:val="center"/>
          </w:tcPr>
          <w:p>
            <w:pPr>
              <w:pStyle w:val="44"/>
              <w:keepNext w:val="0"/>
              <w:keepLines w:val="0"/>
              <w:suppressLineNumbers w:val="0"/>
              <w:spacing w:before="0" w:beforeAutospacing="0" w:after="0" w:afterAutospacing="0" w:line="240" w:lineRule="exact"/>
              <w:ind w:left="0" w:right="0"/>
              <w:jc w:val="center"/>
              <w:rPr>
                <w:rFonts w:hint="eastAsia" w:ascii="宋体" w:hAnsi="宋体" w:eastAsia="宋体" w:cs="宋体"/>
                <w:kern w:val="2"/>
                <w:sz w:val="11"/>
                <w:szCs w:val="11"/>
              </w:rPr>
            </w:pPr>
            <w:r>
              <w:rPr>
                <w:rFonts w:hint="eastAsia" w:ascii="宋体" w:hAnsi="宋体" w:eastAsia="宋体" w:cs="宋体"/>
                <w:kern w:val="2"/>
                <w:sz w:val="21"/>
                <w:szCs w:val="21"/>
              </w:rPr>
              <w:t>评价标准限值</w:t>
            </w:r>
            <w:r>
              <w:rPr>
                <w:rFonts w:hint="eastAsia" w:ascii="宋体" w:hAnsi="宋体" w:eastAsia="宋体" w:cs="宋体"/>
                <w:kern w:val="2"/>
                <w:position w:val="11"/>
                <w:sz w:val="11"/>
                <w:szCs w:val="11"/>
              </w:rPr>
              <w:t>※</w:t>
            </w:r>
          </w:p>
        </w:tc>
        <w:tc>
          <w:tcPr>
            <w:tcW w:w="1098" w:type="pct"/>
            <w:vAlign w:val="center"/>
          </w:tcPr>
          <w:p>
            <w:pPr>
              <w:pStyle w:val="44"/>
              <w:keepNext w:val="0"/>
              <w:keepLines w:val="0"/>
              <w:suppressLineNumbers w:val="0"/>
              <w:spacing w:before="0" w:beforeAutospacing="0" w:after="0" w:afterAutospacing="0" w:line="256" w:lineRule="exact"/>
              <w:ind w:left="0" w:right="0"/>
              <w:jc w:val="center"/>
              <w:rPr>
                <w:rFonts w:hint="eastAsia" w:hAnsi="Times New Roman" w:eastAsia="Times New Roman"/>
                <w:kern w:val="2"/>
                <w:sz w:val="21"/>
                <w:szCs w:val="21"/>
              </w:rPr>
            </w:pPr>
            <w:r>
              <w:rPr>
                <w:rFonts w:hint="eastAsia" w:ascii="宋体" w:hAnsi="宋体" w:eastAsia="宋体" w:cs="宋体"/>
                <w:kern w:val="2"/>
                <w:sz w:val="21"/>
                <w:szCs w:val="21"/>
              </w:rPr>
              <w:t>≤</w:t>
            </w:r>
            <w:r>
              <w:rPr>
                <w:rFonts w:hint="eastAsia" w:hAnsi="Times New Roman" w:eastAsia="Times New Roman"/>
                <w:kern w:val="2"/>
                <w:sz w:val="21"/>
                <w:szCs w:val="21"/>
              </w:rPr>
              <w:t>18</w:t>
            </w:r>
          </w:p>
        </w:tc>
        <w:tc>
          <w:tcPr>
            <w:tcW w:w="958" w:type="pct"/>
            <w:vAlign w:val="center"/>
          </w:tcPr>
          <w:p>
            <w:pPr>
              <w:pStyle w:val="44"/>
              <w:keepNext w:val="0"/>
              <w:keepLines w:val="0"/>
              <w:suppressLineNumbers w:val="0"/>
              <w:spacing w:before="0" w:beforeAutospacing="0" w:after="0" w:afterAutospacing="0" w:line="256" w:lineRule="exact"/>
              <w:ind w:left="0" w:right="0"/>
              <w:jc w:val="center"/>
              <w:rPr>
                <w:rFonts w:hint="eastAsia" w:hAnsi="Times New Roman" w:eastAsia="Times New Roman"/>
                <w:kern w:val="2"/>
                <w:sz w:val="21"/>
                <w:szCs w:val="21"/>
              </w:rPr>
            </w:pPr>
            <w:r>
              <w:rPr>
                <w:rFonts w:hint="eastAsia" w:hAnsi="Times New Roman" w:eastAsia="宋体"/>
                <w:kern w:val="2"/>
                <w:sz w:val="21"/>
                <w:szCs w:val="21"/>
              </w:rPr>
              <w:t>≤</w:t>
            </w:r>
            <w:r>
              <w:rPr>
                <w:rFonts w:hint="eastAsia" w:hAnsi="Times New Roman" w:eastAsia="宋体"/>
                <w:kern w:val="2"/>
                <w:sz w:val="21"/>
                <w:szCs w:val="21"/>
                <w:lang w:eastAsia="zh-CN"/>
              </w:rPr>
              <w:t>0.8</w:t>
            </w:r>
          </w:p>
        </w:tc>
        <w:tc>
          <w:tcPr>
            <w:tcW w:w="930" w:type="pct"/>
            <w:vAlign w:val="center"/>
          </w:tcPr>
          <w:p>
            <w:pPr>
              <w:pStyle w:val="44"/>
              <w:keepNext w:val="0"/>
              <w:keepLines w:val="0"/>
              <w:suppressLineNumbers w:val="0"/>
              <w:spacing w:before="0" w:beforeAutospacing="0" w:after="0" w:afterAutospacing="0" w:line="256" w:lineRule="exact"/>
              <w:ind w:left="0" w:right="0"/>
              <w:jc w:val="center"/>
              <w:rPr>
                <w:rFonts w:hint="eastAsia" w:ascii="宋体" w:hAnsi="宋体" w:eastAsia="宋体" w:cs="宋体"/>
                <w:kern w:val="2"/>
                <w:sz w:val="21"/>
                <w:szCs w:val="21"/>
                <w:lang w:eastAsia="zh-CN"/>
              </w:rPr>
            </w:pPr>
            <w:r>
              <w:rPr>
                <w:rFonts w:hint="eastAsia" w:ascii="宋体" w:hAnsi="宋体" w:eastAsia="宋体" w:cs="宋体"/>
                <w:kern w:val="2"/>
                <w:sz w:val="21"/>
                <w:szCs w:val="21"/>
              </w:rPr>
              <w:t>≤</w:t>
            </w:r>
            <w:r>
              <w:rPr>
                <w:rFonts w:hint="eastAsia" w:hAnsi="Times New Roman" w:eastAsia="Times New Roman"/>
                <w:kern w:val="2"/>
                <w:sz w:val="21"/>
                <w:szCs w:val="21"/>
              </w:rPr>
              <w:t>0.0</w:t>
            </w:r>
            <w:r>
              <w:rPr>
                <w:rFonts w:hint="eastAsia" w:hAnsi="Times New Roman" w:eastAsia="宋体"/>
                <w:kern w:val="2"/>
                <w:sz w:val="21"/>
                <w:szCs w:val="21"/>
                <w:lang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56" w:hRule="exact"/>
        </w:trPr>
        <w:tc>
          <w:tcPr>
            <w:tcW w:w="5000" w:type="pct"/>
            <w:gridSpan w:val="4"/>
          </w:tcPr>
          <w:p>
            <w:pPr>
              <w:pStyle w:val="44"/>
              <w:keepNext w:val="0"/>
              <w:keepLines w:val="0"/>
              <w:suppressLineNumbers w:val="0"/>
              <w:spacing w:before="0" w:beforeAutospacing="0" w:after="0" w:afterAutospacing="0" w:line="246" w:lineRule="exact"/>
              <w:ind w:left="103" w:right="0"/>
              <w:jc w:val="left"/>
              <w:rPr>
                <w:rFonts w:hint="eastAsia" w:ascii="宋体" w:hAnsi="宋体" w:eastAsia="宋体" w:cs="宋体"/>
                <w:kern w:val="2"/>
                <w:sz w:val="21"/>
                <w:szCs w:val="21"/>
              </w:rPr>
            </w:pPr>
            <w:r>
              <w:rPr>
                <w:rFonts w:hint="eastAsia" w:ascii="宋体" w:hAnsi="宋体" w:eastAsia="宋体" w:cs="宋体"/>
                <w:kern w:val="2"/>
                <w:position w:val="11"/>
                <w:sz w:val="11"/>
                <w:szCs w:val="11"/>
              </w:rPr>
              <w:t>※</w:t>
            </w:r>
            <w:r>
              <w:rPr>
                <w:rFonts w:hint="eastAsia" w:ascii="宋体" w:hAnsi="宋体" w:eastAsia="宋体" w:cs="宋体"/>
                <w:kern w:val="2"/>
                <w:sz w:val="21"/>
                <w:szCs w:val="21"/>
              </w:rPr>
              <w:t>：评价标准为《地表水环境质量标准</w:t>
            </w:r>
            <w:r>
              <w:rPr>
                <w:rFonts w:hint="eastAsia" w:ascii="宋体" w:hAnsi="宋体" w:eastAsia="宋体" w:cs="宋体"/>
                <w:spacing w:val="-105"/>
                <w:kern w:val="2"/>
                <w:sz w:val="21"/>
                <w:szCs w:val="21"/>
              </w:rPr>
              <w:t>》</w:t>
            </w:r>
            <w:r>
              <w:rPr>
                <w:rFonts w:hint="eastAsia" w:ascii="宋体" w:hAnsi="宋体" w:eastAsia="宋体" w:cs="宋体"/>
                <w:kern w:val="2"/>
                <w:sz w:val="21"/>
                <w:szCs w:val="21"/>
              </w:rPr>
              <w:t>（</w:t>
            </w:r>
            <w:r>
              <w:rPr>
                <w:rFonts w:hint="eastAsia" w:hAnsi="Times New Roman" w:eastAsia="Times New Roman"/>
                <w:kern w:val="2"/>
                <w:sz w:val="21"/>
                <w:szCs w:val="21"/>
              </w:rPr>
              <w:t>GB38</w:t>
            </w:r>
            <w:r>
              <w:rPr>
                <w:rFonts w:hint="eastAsia" w:hAnsi="Times New Roman" w:eastAsia="Times New Roman"/>
                <w:spacing w:val="-1"/>
                <w:kern w:val="2"/>
                <w:sz w:val="21"/>
                <w:szCs w:val="21"/>
              </w:rPr>
              <w:t>3</w:t>
            </w:r>
            <w:r>
              <w:rPr>
                <w:rFonts w:hint="eastAsia" w:hAnsi="Times New Roman" w:eastAsia="Times New Roman"/>
                <w:kern w:val="2"/>
                <w:sz w:val="21"/>
                <w:szCs w:val="21"/>
              </w:rPr>
              <w:t>8</w:t>
            </w:r>
            <w:r>
              <w:rPr>
                <w:rFonts w:hint="eastAsia" w:hAnsi="Times New Roman" w:eastAsia="Times New Roman"/>
                <w:spacing w:val="-1"/>
                <w:kern w:val="2"/>
                <w:sz w:val="21"/>
                <w:szCs w:val="21"/>
              </w:rPr>
              <w:t>-</w:t>
            </w:r>
            <w:r>
              <w:rPr>
                <w:rFonts w:hint="eastAsia" w:hAnsi="Times New Roman" w:eastAsia="Times New Roman"/>
                <w:kern w:val="2"/>
                <w:sz w:val="21"/>
                <w:szCs w:val="21"/>
              </w:rPr>
              <w:t>200</w:t>
            </w:r>
            <w:r>
              <w:rPr>
                <w:rFonts w:hint="eastAsia" w:hAnsi="Times New Roman" w:eastAsia="Times New Roman"/>
                <w:spacing w:val="1"/>
                <w:kern w:val="2"/>
                <w:sz w:val="21"/>
                <w:szCs w:val="21"/>
              </w:rPr>
              <w:t>2</w:t>
            </w:r>
            <w:r>
              <w:rPr>
                <w:rFonts w:hint="eastAsia" w:ascii="宋体" w:hAnsi="宋体" w:eastAsia="宋体" w:cs="宋体"/>
                <w:kern w:val="2"/>
                <w:sz w:val="21"/>
                <w:szCs w:val="21"/>
              </w:rPr>
              <w:t>）</w:t>
            </w:r>
            <w:r>
              <w:rPr>
                <w:rFonts w:hint="eastAsia" w:hAnsi="Times New Roman" w:eastAsia="Times New Roman"/>
                <w:kern w:val="2"/>
                <w:sz w:val="21"/>
                <w:szCs w:val="21"/>
              </w:rPr>
              <w:t>Ⅲ</w:t>
            </w:r>
            <w:r>
              <w:rPr>
                <w:rFonts w:hint="eastAsia" w:ascii="宋体" w:hAnsi="宋体" w:eastAsia="宋体" w:cs="宋体"/>
                <w:spacing w:val="-2"/>
                <w:kern w:val="2"/>
                <w:sz w:val="21"/>
                <w:szCs w:val="21"/>
              </w:rPr>
              <w:t>类</w:t>
            </w:r>
            <w:r>
              <w:rPr>
                <w:rFonts w:hint="eastAsia" w:ascii="宋体" w:hAnsi="宋体" w:eastAsia="宋体" w:cs="宋体"/>
                <w:kern w:val="2"/>
                <w:sz w:val="21"/>
                <w:szCs w:val="21"/>
              </w:rPr>
              <w:t>标准值，其中</w:t>
            </w:r>
            <w:r>
              <w:rPr>
                <w:rFonts w:hint="eastAsia" w:ascii="宋体" w:hAnsi="宋体" w:eastAsia="宋体" w:cs="宋体"/>
                <w:spacing w:val="-41"/>
                <w:kern w:val="2"/>
                <w:sz w:val="21"/>
                <w:szCs w:val="21"/>
              </w:rPr>
              <w:t xml:space="preserve"> </w:t>
            </w:r>
            <w:r>
              <w:rPr>
                <w:rFonts w:hint="eastAsia" w:hAnsi="Times New Roman" w:eastAsia="Times New Roman"/>
                <w:kern w:val="2"/>
                <w:sz w:val="21"/>
                <w:szCs w:val="21"/>
              </w:rPr>
              <w:t>COD</w:t>
            </w:r>
            <w:r>
              <w:rPr>
                <w:rFonts w:hint="eastAsia" w:hAnsi="Times New Roman" w:eastAsia="Times New Roman"/>
                <w:spacing w:val="-1"/>
                <w:kern w:val="2"/>
                <w:sz w:val="21"/>
                <w:szCs w:val="21"/>
              </w:rPr>
              <w:t xml:space="preserve"> </w:t>
            </w:r>
            <w:r>
              <w:rPr>
                <w:rFonts w:hint="eastAsia" w:ascii="宋体" w:hAnsi="宋体" w:eastAsia="宋体" w:cs="宋体"/>
                <w:kern w:val="2"/>
                <w:sz w:val="21"/>
                <w:szCs w:val="21"/>
              </w:rPr>
              <w:t>为预留</w:t>
            </w:r>
            <w:r>
              <w:rPr>
                <w:rFonts w:hint="eastAsia" w:ascii="宋体" w:hAnsi="宋体" w:eastAsia="宋体" w:cs="宋体"/>
                <w:spacing w:val="-41"/>
                <w:kern w:val="2"/>
                <w:sz w:val="21"/>
                <w:szCs w:val="21"/>
              </w:rPr>
              <w:t xml:space="preserve"> </w:t>
            </w:r>
            <w:r>
              <w:rPr>
                <w:rFonts w:hint="eastAsia" w:hAnsi="Times New Roman" w:eastAsia="Times New Roman"/>
                <w:kern w:val="2"/>
                <w:sz w:val="21"/>
                <w:szCs w:val="21"/>
              </w:rPr>
              <w:t>10%</w:t>
            </w:r>
            <w:r>
              <w:rPr>
                <w:rFonts w:hint="eastAsia" w:ascii="宋体" w:hAnsi="宋体" w:eastAsia="宋体" w:cs="宋体"/>
                <w:kern w:val="2"/>
                <w:sz w:val="21"/>
                <w:szCs w:val="21"/>
              </w:rPr>
              <w:t>安</w:t>
            </w:r>
          </w:p>
          <w:p>
            <w:pPr>
              <w:pStyle w:val="44"/>
              <w:keepNext w:val="0"/>
              <w:keepLines w:val="0"/>
              <w:suppressLineNumbers w:val="0"/>
              <w:spacing w:before="0" w:beforeAutospacing="0" w:after="0" w:afterAutospacing="0" w:line="266" w:lineRule="exact"/>
              <w:ind w:left="103" w:right="0"/>
              <w:jc w:val="left"/>
              <w:rPr>
                <w:rFonts w:hint="eastAsia" w:ascii="宋体" w:hAnsi="宋体" w:eastAsia="宋体" w:cs="宋体"/>
                <w:kern w:val="2"/>
                <w:sz w:val="21"/>
                <w:szCs w:val="21"/>
              </w:rPr>
            </w:pPr>
            <w:r>
              <w:rPr>
                <w:rFonts w:hint="eastAsia" w:ascii="宋体" w:hAnsi="宋体" w:eastAsia="宋体" w:cs="宋体"/>
                <w:kern w:val="2"/>
                <w:sz w:val="21"/>
                <w:szCs w:val="21"/>
              </w:rPr>
              <w:t>全余量后限值：</w:t>
            </w:r>
          </w:p>
        </w:tc>
      </w:tr>
    </w:tbl>
    <w:p>
      <w:pPr>
        <w:pStyle w:val="14"/>
        <w:overflowPunct w:val="0"/>
        <w:spacing w:line="360" w:lineRule="auto"/>
        <w:ind w:firstLine="480" w:firstLineChars="200"/>
        <w:rPr>
          <w:rFonts w:ascii="Times New Roman" w:hAnsi="Times New Roman"/>
          <w:sz w:val="24"/>
          <w:highlight w:val="yellow"/>
          <w:lang w:eastAsia="zh-CN"/>
        </w:rPr>
      </w:pPr>
      <w:r>
        <w:rPr>
          <w:rFonts w:ascii="Times New Roman" w:hAnsi="Times New Roman"/>
          <w:sz w:val="24"/>
        </w:rPr>
        <w:t>在非正常情况下，</w:t>
      </w:r>
      <w:r>
        <w:rPr>
          <w:rFonts w:hint="eastAsia" w:ascii="Times New Roman" w:hAnsi="Times New Roman"/>
          <w:sz w:val="24"/>
          <w:lang w:eastAsia="zh-CN"/>
        </w:rPr>
        <w:t>七里峡煤矿</w:t>
      </w:r>
      <w:r>
        <w:rPr>
          <w:rFonts w:ascii="Times New Roman" w:hAnsi="Times New Roman"/>
          <w:sz w:val="24"/>
        </w:rPr>
        <w:t>COD、</w:t>
      </w:r>
      <w:r>
        <w:rPr>
          <w:rFonts w:hint="eastAsia" w:ascii="Times New Roman" w:hAnsi="Times New Roman"/>
          <w:sz w:val="24"/>
        </w:rPr>
        <w:t>石油类</w:t>
      </w:r>
      <w:r>
        <w:rPr>
          <w:rFonts w:hint="eastAsia" w:ascii="Times New Roman" w:hAnsi="Times New Roman"/>
          <w:sz w:val="24"/>
          <w:lang w:eastAsia="zh-CN"/>
        </w:rPr>
        <w:t>不能</w:t>
      </w:r>
      <w:r>
        <w:rPr>
          <w:rFonts w:ascii="Times New Roman" w:hAnsi="Times New Roman"/>
          <w:sz w:val="24"/>
        </w:rPr>
        <w:t>满足《地表水环境质量标准》GB3838-2002）Ⅲ类标准要求</w:t>
      </w:r>
      <w:r>
        <w:rPr>
          <w:rFonts w:hint="eastAsia" w:ascii="Times New Roman" w:hAnsi="Times New Roman"/>
          <w:sz w:val="24"/>
          <w:lang w:eastAsia="zh-CN"/>
        </w:rPr>
        <w:t>；氨氮</w:t>
      </w:r>
      <w:r>
        <w:rPr>
          <w:rFonts w:ascii="Times New Roman" w:hAnsi="Times New Roman"/>
          <w:sz w:val="24"/>
        </w:rPr>
        <w:t>能够满足《地表水环境质量标准》GB3838-2002）Ⅲ类标准要求，且在考虑10%的安全余量情况下，指标</w:t>
      </w:r>
      <w:r>
        <w:rPr>
          <w:rFonts w:hint="eastAsia" w:ascii="Times New Roman" w:hAnsi="Times New Roman"/>
          <w:sz w:val="24"/>
        </w:rPr>
        <w:t>仍然</w:t>
      </w:r>
      <w:r>
        <w:rPr>
          <w:rFonts w:ascii="Times New Roman" w:hAnsi="Times New Roman"/>
          <w:sz w:val="24"/>
        </w:rPr>
        <w:t>满足要求</w:t>
      </w:r>
      <w:r>
        <w:rPr>
          <w:rFonts w:hint="eastAsia" w:ascii="Times New Roman" w:hAnsi="Times New Roman"/>
          <w:sz w:val="24"/>
          <w:lang w:eastAsia="zh-CN"/>
        </w:rPr>
        <w:t>；</w:t>
      </w:r>
      <w:r>
        <w:rPr>
          <w:rFonts w:ascii="Times New Roman" w:hAnsi="Times New Roman"/>
          <w:sz w:val="24"/>
        </w:rPr>
        <w:t>石油类指标非正常情况下超标</w:t>
      </w:r>
      <w:r>
        <w:rPr>
          <w:rFonts w:hint="eastAsia" w:ascii="Times New Roman" w:hAnsi="Times New Roman"/>
          <w:sz w:val="24"/>
          <w:lang w:eastAsia="zh-CN"/>
        </w:rPr>
        <w:t>1.5</w:t>
      </w:r>
      <w:r>
        <w:rPr>
          <w:rFonts w:ascii="Times New Roman" w:hAnsi="Times New Roman"/>
          <w:sz w:val="24"/>
        </w:rPr>
        <w:t>倍，因此，必须加强矿井水处理设施管理，杜绝非正常情况的发生</w:t>
      </w:r>
      <w:r>
        <w:rPr>
          <w:rFonts w:hint="eastAsia" w:ascii="Times New Roman" w:hAnsi="Times New Roman"/>
          <w:sz w:val="24"/>
        </w:rPr>
        <w:t>。</w:t>
      </w:r>
    </w:p>
    <w:p>
      <w:pPr>
        <w:pStyle w:val="5"/>
        <w:keepLines w:val="0"/>
        <w:rPr>
          <w:rFonts w:ascii="Times New Roman" w:hAnsi="Times New Roman"/>
        </w:rPr>
      </w:pPr>
      <w:bookmarkStart w:id="441" w:name="_Toc163749180"/>
      <w:bookmarkStart w:id="442" w:name="_Toc91231655"/>
      <w:bookmarkStart w:id="443" w:name="_Toc167095252"/>
      <w:bookmarkStart w:id="444" w:name="_Toc91420879"/>
      <w:r>
        <w:rPr>
          <w:rFonts w:hint="eastAsia" w:ascii="Times New Roman" w:hAnsi="Times New Roman"/>
          <w:lang w:eastAsia="zh-CN"/>
        </w:rPr>
        <w:t>6</w:t>
      </w:r>
      <w:r>
        <w:rPr>
          <w:rFonts w:ascii="Times New Roman" w:hAnsi="Times New Roman"/>
        </w:rPr>
        <w:t>.</w:t>
      </w:r>
      <w:r>
        <w:rPr>
          <w:rFonts w:hint="eastAsia" w:ascii="Times New Roman" w:hAnsi="Times New Roman"/>
          <w:lang w:eastAsia="zh-CN"/>
        </w:rPr>
        <w:t>4</w:t>
      </w:r>
      <w:r>
        <w:rPr>
          <w:rFonts w:ascii="Times New Roman" w:hAnsi="Times New Roman"/>
        </w:rPr>
        <w:t xml:space="preserve"> </w:t>
      </w:r>
      <w:r>
        <w:rPr>
          <w:rFonts w:hint="eastAsia" w:ascii="Times New Roman" w:hAnsi="Times New Roman"/>
        </w:rPr>
        <w:t>水污染防治措施可行性分析</w:t>
      </w:r>
      <w:bookmarkEnd w:id="441"/>
      <w:bookmarkEnd w:id="442"/>
      <w:bookmarkEnd w:id="443"/>
      <w:bookmarkEnd w:id="444"/>
    </w:p>
    <w:p>
      <w:pPr>
        <w:pStyle w:val="6"/>
        <w:rPr>
          <w:szCs w:val="24"/>
          <w:lang w:eastAsia="zh-CN"/>
        </w:rPr>
      </w:pPr>
      <w:bookmarkStart w:id="445" w:name="_Toc163812630"/>
      <w:bookmarkStart w:id="446" w:name="_Toc167095253"/>
      <w:r>
        <w:rPr>
          <w:rFonts w:hint="eastAsia"/>
          <w:szCs w:val="24"/>
          <w:lang w:eastAsia="zh-CN"/>
        </w:rPr>
        <w:t>6.4.1</w:t>
      </w:r>
      <w:r>
        <w:rPr>
          <w:szCs w:val="24"/>
          <w:lang w:eastAsia="zh-CN"/>
        </w:rPr>
        <w:t>矿井涌水</w:t>
      </w:r>
      <w:r>
        <w:rPr>
          <w:rFonts w:hint="eastAsia"/>
          <w:szCs w:val="24"/>
          <w:lang w:eastAsia="zh-CN"/>
        </w:rPr>
        <w:t>处理措施可行性分析</w:t>
      </w:r>
      <w:bookmarkEnd w:id="445"/>
      <w:bookmarkEnd w:id="446"/>
    </w:p>
    <w:p>
      <w:pPr>
        <w:pStyle w:val="14"/>
        <w:overflowPunct w:val="0"/>
        <w:spacing w:line="360" w:lineRule="auto"/>
        <w:ind w:right="104" w:firstLine="490" w:firstLineChars="200"/>
        <w:rPr>
          <w:rFonts w:ascii="Times New Roman" w:hAnsi="Times New Roman"/>
          <w:b/>
          <w:bCs w:val="0"/>
          <w:spacing w:val="2"/>
          <w:sz w:val="24"/>
          <w:lang w:eastAsia="zh-CN"/>
        </w:rPr>
      </w:pPr>
      <w:r>
        <w:rPr>
          <w:rFonts w:hint="eastAsia" w:ascii="Times New Roman" w:hAnsi="Times New Roman"/>
          <w:b/>
          <w:bCs w:val="0"/>
          <w:spacing w:val="2"/>
          <w:sz w:val="24"/>
          <w:lang w:eastAsia="zh-CN"/>
        </w:rPr>
        <w:t>（1）水量</w:t>
      </w:r>
    </w:p>
    <w:p>
      <w:pPr>
        <w:pStyle w:val="14"/>
        <w:overflowPunct w:val="0"/>
        <w:spacing w:line="360" w:lineRule="auto"/>
        <w:ind w:right="104" w:firstLine="488" w:firstLineChars="200"/>
        <w:rPr>
          <w:rFonts w:ascii="Times New Roman" w:hAnsi="Times New Roman"/>
          <w:sz w:val="24"/>
        </w:rPr>
      </w:pPr>
      <w:r>
        <w:rPr>
          <w:rFonts w:ascii="Times New Roman" w:hAnsi="Times New Roman"/>
          <w:spacing w:val="2"/>
          <w:sz w:val="24"/>
        </w:rPr>
        <w:t>根据《</w:t>
      </w:r>
      <w:r>
        <w:rPr>
          <w:rFonts w:ascii="Times New Roman" w:hAnsi="Times New Roman"/>
          <w:spacing w:val="2"/>
          <w:sz w:val="24"/>
          <w:lang w:eastAsia="zh-CN"/>
        </w:rPr>
        <w:t>达州市宣汉县七里峡煤业</w:t>
      </w:r>
      <w:r>
        <w:rPr>
          <w:rFonts w:ascii="Times New Roman" w:hAnsi="Times New Roman"/>
          <w:spacing w:val="2"/>
          <w:sz w:val="24"/>
        </w:rPr>
        <w:t>有限公司</w:t>
      </w:r>
      <w:r>
        <w:rPr>
          <w:rFonts w:ascii="Times New Roman" w:hAnsi="Times New Roman"/>
          <w:spacing w:val="2"/>
          <w:sz w:val="24"/>
          <w:lang w:eastAsia="zh-CN"/>
        </w:rPr>
        <w:t>七里峡</w:t>
      </w:r>
      <w:r>
        <w:rPr>
          <w:rFonts w:ascii="Times New Roman" w:hAnsi="Times New Roman"/>
          <w:sz w:val="24"/>
        </w:rPr>
        <w:t>煤矿扩建工程项目申请与安全审核报告（代可行性研究报告）》数据，矿井正常涌水量为</w:t>
      </w:r>
      <w:r>
        <w:rPr>
          <w:rFonts w:ascii="Times New Roman" w:hAnsi="Times New Roman"/>
          <w:sz w:val="24"/>
          <w:lang w:eastAsia="zh-CN"/>
        </w:rPr>
        <w:t>3549.6</w:t>
      </w:r>
      <w:r>
        <w:rPr>
          <w:rFonts w:ascii="Times New Roman" w:hAnsi="Times New Roman"/>
          <w:sz w:val="24"/>
        </w:rPr>
        <w:t>m</w:t>
      </w:r>
      <w:r>
        <w:rPr>
          <w:rFonts w:ascii="Times New Roman" w:hAnsi="Times New Roman"/>
          <w:position w:val="11"/>
          <w:sz w:val="16"/>
        </w:rPr>
        <w:t>3</w:t>
      </w:r>
      <w:r>
        <w:rPr>
          <w:rFonts w:ascii="Times New Roman" w:hAnsi="Times New Roman"/>
          <w:sz w:val="24"/>
        </w:rPr>
        <w:t xml:space="preserve">/d，最大涌水量为 </w:t>
      </w:r>
      <w:r>
        <w:rPr>
          <w:rFonts w:ascii="Times New Roman" w:hAnsi="Times New Roman"/>
          <w:sz w:val="24"/>
          <w:lang w:eastAsia="zh-CN"/>
        </w:rPr>
        <w:t>5325.6</w:t>
      </w:r>
      <w:r>
        <w:rPr>
          <w:rFonts w:ascii="Times New Roman" w:hAnsi="Times New Roman"/>
          <w:sz w:val="24"/>
        </w:rPr>
        <w:t>m</w:t>
      </w:r>
      <w:r>
        <w:rPr>
          <w:rFonts w:ascii="Times New Roman" w:hAnsi="Times New Roman"/>
          <w:position w:val="11"/>
          <w:sz w:val="16"/>
        </w:rPr>
        <w:t>3</w:t>
      </w:r>
      <w:r>
        <w:rPr>
          <w:rFonts w:ascii="Times New Roman" w:hAnsi="Times New Roman"/>
          <w:sz w:val="24"/>
        </w:rPr>
        <w:t>/d。该矿矿井水质主要超标污染物为SS。</w:t>
      </w:r>
      <w:r>
        <w:rPr>
          <w:rFonts w:ascii="Times New Roman" w:hAnsi="Times New Roman"/>
          <w:sz w:val="24"/>
          <w:lang w:eastAsia="zh-CN"/>
        </w:rPr>
        <w:t>经处理后的矿井用水优先回用于井下洒水防尘和地面生产</w:t>
      </w:r>
      <w:r>
        <w:rPr>
          <w:rFonts w:hint="eastAsia" w:ascii="Times New Roman" w:hAnsi="Times New Roman"/>
          <w:sz w:val="24"/>
          <w:lang w:eastAsia="zh-CN"/>
        </w:rPr>
        <w:t>（513.414</w:t>
      </w:r>
      <w:r>
        <w:rPr>
          <w:rFonts w:ascii="Times New Roman" w:hAnsi="Times New Roman"/>
          <w:sz w:val="24"/>
        </w:rPr>
        <w:t>m</w:t>
      </w:r>
      <w:r>
        <w:rPr>
          <w:rFonts w:ascii="Times New Roman" w:hAnsi="Times New Roman"/>
          <w:spacing w:val="1"/>
          <w:position w:val="11"/>
          <w:sz w:val="16"/>
        </w:rPr>
        <w:t>3</w:t>
      </w:r>
      <w:r>
        <w:rPr>
          <w:rFonts w:ascii="Times New Roman" w:hAnsi="Times New Roman"/>
          <w:sz w:val="24"/>
        </w:rPr>
        <w:t>/d</w:t>
      </w:r>
      <w:r>
        <w:rPr>
          <w:rFonts w:hint="eastAsia" w:ascii="Times New Roman" w:hAnsi="Times New Roman"/>
          <w:sz w:val="24"/>
          <w:lang w:eastAsia="zh-CN"/>
        </w:rPr>
        <w:t>）</w:t>
      </w:r>
      <w:r>
        <w:rPr>
          <w:rFonts w:ascii="Times New Roman" w:hAnsi="Times New Roman"/>
          <w:sz w:val="24"/>
          <w:lang w:eastAsia="zh-CN"/>
        </w:rPr>
        <w:t>，其余部分</w:t>
      </w:r>
      <w:r>
        <w:rPr>
          <w:rFonts w:hint="eastAsia" w:ascii="Times New Roman" w:hAnsi="Times New Roman"/>
          <w:sz w:val="24"/>
          <w:lang w:eastAsia="zh-CN"/>
        </w:rPr>
        <w:t>（3018.186</w:t>
      </w:r>
      <w:r>
        <w:rPr>
          <w:rFonts w:ascii="Times New Roman" w:hAnsi="Times New Roman"/>
          <w:sz w:val="24"/>
        </w:rPr>
        <w:t>m</w:t>
      </w:r>
      <w:r>
        <w:rPr>
          <w:rFonts w:ascii="Times New Roman" w:hAnsi="Times New Roman"/>
          <w:spacing w:val="1"/>
          <w:position w:val="11"/>
          <w:sz w:val="16"/>
        </w:rPr>
        <w:t>3</w:t>
      </w:r>
      <w:r>
        <w:rPr>
          <w:rFonts w:ascii="Times New Roman" w:hAnsi="Times New Roman"/>
          <w:sz w:val="24"/>
        </w:rPr>
        <w:t>/d</w:t>
      </w:r>
      <w:r>
        <w:rPr>
          <w:rFonts w:hint="eastAsia" w:ascii="Times New Roman" w:hAnsi="Times New Roman"/>
          <w:sz w:val="24"/>
          <w:lang w:eastAsia="zh-CN"/>
        </w:rPr>
        <w:t>）</w:t>
      </w:r>
      <w:r>
        <w:rPr>
          <w:rFonts w:ascii="Times New Roman" w:hAnsi="Times New Roman"/>
          <w:spacing w:val="-1"/>
          <w:sz w:val="24"/>
        </w:rPr>
        <w:t>达到《地表水环境质量标准》（GB3838-2002）中Ⅲ类</w:t>
      </w:r>
      <w:r>
        <w:rPr>
          <w:rFonts w:ascii="Times New Roman" w:hAnsi="Times New Roman"/>
          <w:sz w:val="24"/>
        </w:rPr>
        <w:t>标准后</w:t>
      </w:r>
      <w:r>
        <w:rPr>
          <w:rFonts w:hint="eastAsia" w:ascii="Times New Roman" w:hAnsi="Times New Roman"/>
          <w:sz w:val="24"/>
          <w:lang w:eastAsia="zh-CN"/>
        </w:rPr>
        <w:t>，</w:t>
      </w:r>
      <w:r>
        <w:rPr>
          <w:rFonts w:ascii="Times New Roman" w:hAnsi="Times New Roman"/>
          <w:sz w:val="24"/>
          <w:lang w:eastAsia="zh-CN"/>
        </w:rPr>
        <w:t>通过1.5km排水管道引至天生镇王一庙水源保护区下游河段（新宁河）排放。本次环评设计矿井水处理站处理能力为</w:t>
      </w:r>
      <w:r>
        <w:rPr>
          <w:rFonts w:hint="eastAsia" w:ascii="Times New Roman" w:hAnsi="Times New Roman"/>
          <w:bCs w:val="0"/>
          <w:sz w:val="24"/>
          <w:lang w:eastAsia="zh-CN"/>
        </w:rPr>
        <w:t>40</w:t>
      </w:r>
      <w:r>
        <w:rPr>
          <w:rFonts w:ascii="Times New Roman" w:hAnsi="Times New Roman"/>
          <w:bCs w:val="0"/>
          <w:sz w:val="24"/>
          <w:lang w:eastAsia="zh-CN"/>
        </w:rPr>
        <w:t>0m</w:t>
      </w:r>
      <w:r>
        <w:rPr>
          <w:rFonts w:ascii="Times New Roman" w:hAnsi="Times New Roman"/>
          <w:bCs w:val="0"/>
          <w:sz w:val="24"/>
          <w:vertAlign w:val="superscript"/>
          <w:lang w:eastAsia="zh-CN"/>
        </w:rPr>
        <w:t>3</w:t>
      </w:r>
      <w:r>
        <w:rPr>
          <w:rFonts w:ascii="Times New Roman" w:hAnsi="Times New Roman"/>
          <w:bCs w:val="0"/>
          <w:sz w:val="24"/>
          <w:lang w:eastAsia="zh-CN"/>
        </w:rPr>
        <w:t>/h（</w:t>
      </w:r>
      <w:r>
        <w:rPr>
          <w:rFonts w:hint="eastAsia" w:ascii="Times New Roman" w:hAnsi="Times New Roman"/>
          <w:bCs w:val="0"/>
          <w:sz w:val="24"/>
          <w:lang w:eastAsia="zh-CN"/>
        </w:rPr>
        <w:t>9600</w:t>
      </w:r>
      <w:r>
        <w:rPr>
          <w:rFonts w:ascii="Times New Roman" w:hAnsi="Times New Roman"/>
          <w:bCs w:val="0"/>
          <w:sz w:val="24"/>
          <w:lang w:eastAsia="zh-CN"/>
        </w:rPr>
        <w:t>m</w:t>
      </w:r>
      <w:r>
        <w:rPr>
          <w:rFonts w:ascii="Times New Roman" w:hAnsi="Times New Roman"/>
          <w:bCs w:val="0"/>
          <w:sz w:val="24"/>
          <w:vertAlign w:val="superscript"/>
          <w:lang w:eastAsia="zh-CN"/>
        </w:rPr>
        <w:t>3</w:t>
      </w:r>
      <w:r>
        <w:rPr>
          <w:rFonts w:ascii="Times New Roman" w:hAnsi="Times New Roman"/>
          <w:bCs w:val="0"/>
          <w:sz w:val="24"/>
          <w:lang w:eastAsia="zh-CN"/>
        </w:rPr>
        <w:t>/d），</w:t>
      </w:r>
      <w:r>
        <w:rPr>
          <w:rFonts w:ascii="Times New Roman" w:hAnsi="Times New Roman"/>
          <w:sz w:val="24"/>
          <w:lang w:eastAsia="zh-CN"/>
        </w:rPr>
        <w:t>满足正常涌水量、最大涌水量处理要求。</w:t>
      </w:r>
    </w:p>
    <w:p>
      <w:pPr>
        <w:pStyle w:val="14"/>
        <w:kinsoku w:val="0"/>
        <w:overflowPunct w:val="0"/>
        <w:spacing w:line="360" w:lineRule="auto"/>
        <w:ind w:right="98" w:firstLine="480"/>
        <w:jc w:val="left"/>
        <w:rPr>
          <w:rFonts w:ascii="Times New Roman" w:hAnsi="Times New Roman"/>
          <w:b/>
          <w:bCs w:val="0"/>
          <w:sz w:val="24"/>
          <w:lang w:eastAsia="zh-CN"/>
        </w:rPr>
      </w:pPr>
      <w:r>
        <w:rPr>
          <w:rFonts w:hint="eastAsia" w:ascii="Times New Roman" w:hAnsi="Times New Roman"/>
          <w:b/>
          <w:bCs w:val="0"/>
          <w:sz w:val="24"/>
          <w:lang w:eastAsia="zh-CN"/>
        </w:rPr>
        <w:t>（2）水质</w:t>
      </w:r>
    </w:p>
    <w:p>
      <w:pPr>
        <w:pStyle w:val="14"/>
        <w:kinsoku w:val="0"/>
        <w:overflowPunct w:val="0"/>
        <w:spacing w:line="360" w:lineRule="auto"/>
        <w:ind w:right="104" w:firstLine="480" w:firstLineChars="200"/>
        <w:rPr>
          <w:rFonts w:ascii="Times New Roman" w:hAnsi="Times New Roman"/>
          <w:sz w:val="24"/>
          <w:lang w:eastAsia="zh-CN"/>
        </w:rPr>
      </w:pPr>
      <w:r>
        <w:rPr>
          <w:rFonts w:ascii="Times New Roman" w:hAnsi="Times New Roman"/>
          <w:sz w:val="24"/>
          <w:lang w:eastAsia="zh-CN"/>
        </w:rPr>
        <w:t>矿井涌水中污染物的组成和含量与地质构造、煤层伴生矿物，煤炭相邻岩层</w:t>
      </w:r>
      <w:r>
        <w:rPr>
          <w:rFonts w:hint="eastAsia" w:ascii="Times New Roman" w:hAnsi="Times New Roman"/>
          <w:sz w:val="24"/>
          <w:lang w:eastAsia="zh-CN"/>
        </w:rPr>
        <w:t>的成分</w:t>
      </w:r>
      <w:r>
        <w:rPr>
          <w:rFonts w:ascii="Times New Roman" w:hAnsi="Times New Roman"/>
          <w:sz w:val="24"/>
          <w:lang w:eastAsia="zh-CN"/>
        </w:rPr>
        <w:t>、开采强度、采煤方式、采煤深度有关，其中COD、SS含量主要与开采强度、采煤方式有关，其他污染物主要与地质构造、煤层伴生矿物，煤炭相邻岩层</w:t>
      </w:r>
      <w:r>
        <w:rPr>
          <w:rFonts w:hint="eastAsia" w:ascii="Times New Roman" w:hAnsi="Times New Roman"/>
          <w:sz w:val="24"/>
          <w:lang w:eastAsia="zh-CN"/>
        </w:rPr>
        <w:t>的成分</w:t>
      </w:r>
      <w:r>
        <w:rPr>
          <w:rFonts w:ascii="Times New Roman" w:hAnsi="Times New Roman"/>
          <w:sz w:val="24"/>
          <w:lang w:eastAsia="zh-CN"/>
        </w:rPr>
        <w:t>相关。</w:t>
      </w:r>
    </w:p>
    <w:p>
      <w:pPr>
        <w:pStyle w:val="14"/>
        <w:kinsoku w:val="0"/>
        <w:overflowPunct w:val="0"/>
        <w:spacing w:line="360" w:lineRule="auto"/>
        <w:ind w:right="104" w:firstLine="480" w:firstLineChars="200"/>
        <w:rPr>
          <w:rFonts w:ascii="Times New Roman" w:hAnsi="Times New Roman"/>
          <w:sz w:val="24"/>
          <w:lang w:eastAsia="zh-CN"/>
        </w:rPr>
      </w:pPr>
      <w:r>
        <w:rPr>
          <w:rFonts w:ascii="Times New Roman" w:hAnsi="Times New Roman"/>
          <w:sz w:val="24"/>
          <w:lang w:eastAsia="zh-CN"/>
        </w:rPr>
        <w:t>为确定项目矿井涌水进水水质，本次评价参考项目在正常生产时期四川省华检技术检测服务有限公司2019年1月30日《达州市宣汉县七里峡煤业有限公司七里峡煤矿150kt/a改扩建项目竣工环境保护验收调查报告验收检测》（川华检字（2018）第2646号）中</w:t>
      </w:r>
      <w:r>
        <w:rPr>
          <w:rFonts w:hint="eastAsia" w:ascii="Times New Roman" w:hAnsi="Times New Roman"/>
          <w:sz w:val="24"/>
          <w:lang w:eastAsia="zh-CN"/>
        </w:rPr>
        <w:t>七里峡</w:t>
      </w:r>
      <w:r>
        <w:rPr>
          <w:rFonts w:ascii="Times New Roman" w:hAnsi="Times New Roman"/>
          <w:sz w:val="24"/>
          <w:lang w:eastAsia="zh-CN"/>
        </w:rPr>
        <w:t>煤矿矿井水出水水质指标数值；同时引用达州恒福环境监测服务有限公司2022年1月</w:t>
      </w:r>
      <w:r>
        <w:rPr>
          <w:rFonts w:hint="eastAsia" w:ascii="Times New Roman" w:hAnsi="Times New Roman"/>
          <w:sz w:val="24"/>
          <w:lang w:eastAsia="zh-CN"/>
        </w:rPr>
        <w:t>18</w:t>
      </w:r>
      <w:r>
        <w:rPr>
          <w:rFonts w:ascii="Times New Roman" w:hAnsi="Times New Roman"/>
          <w:sz w:val="24"/>
          <w:lang w:eastAsia="zh-CN"/>
        </w:rPr>
        <w:t>日《达州市宣汉县七里峡煤业有限公司七里峡煤矿扩建工程项目入河排污口设置论证报告》（恒福环检</w:t>
      </w:r>
      <w:r>
        <w:rPr>
          <w:rFonts w:hint="eastAsia" w:ascii="Times New Roman" w:hAnsi="Times New Roman"/>
          <w:sz w:val="24"/>
          <w:lang w:eastAsia="zh-CN"/>
        </w:rPr>
        <w:t>〔2020〕</w:t>
      </w:r>
      <w:r>
        <w:rPr>
          <w:rFonts w:ascii="Times New Roman" w:hAnsi="Times New Roman"/>
          <w:sz w:val="24"/>
          <w:lang w:eastAsia="zh-CN"/>
        </w:rPr>
        <w:t>第0043号）中对矿井涌水排口的监测数据。</w:t>
      </w:r>
    </w:p>
    <w:p>
      <w:pPr>
        <w:spacing w:line="360" w:lineRule="auto"/>
        <w:ind w:firstLine="480" w:firstLineChars="200"/>
        <w:rPr>
          <w:rFonts w:hAnsi="Times New Roman" w:eastAsia="宋体"/>
          <w:szCs w:val="22"/>
          <w:lang w:eastAsia="zh-CN"/>
        </w:rPr>
      </w:pPr>
      <w:r>
        <w:rPr>
          <w:rFonts w:hAnsi="Times New Roman" w:eastAsia="宋体"/>
          <w:szCs w:val="24"/>
          <w:lang w:eastAsia="zh-CN"/>
        </w:rPr>
        <w:t>根据业主提供资料，项目至2019年</w:t>
      </w:r>
      <w:r>
        <w:rPr>
          <w:rFonts w:hint="eastAsia" w:hAnsi="Times New Roman" w:eastAsia="宋体"/>
          <w:szCs w:val="24"/>
          <w:lang w:eastAsia="zh-CN"/>
        </w:rPr>
        <w:t>9月</w:t>
      </w:r>
      <w:r>
        <w:rPr>
          <w:rFonts w:hAnsi="Times New Roman" w:eastAsia="宋体"/>
          <w:szCs w:val="24"/>
          <w:lang w:eastAsia="zh-CN"/>
        </w:rPr>
        <w:t>停产至今，矿井水处理系统未正常使用，水质进、出口指标差异较小，</w:t>
      </w:r>
      <w:r>
        <w:rPr>
          <w:rFonts w:hint="eastAsia" w:hAnsi="Times New Roman" w:eastAsia="宋体"/>
          <w:szCs w:val="22"/>
          <w:lang w:eastAsia="zh-CN"/>
        </w:rPr>
        <w:t>但通过对比项目正常生产时期监测数据可知矿井涌水石油类不能满足《地表水环境质量标准》（GB3838-2002）中III类限值。</w:t>
      </w:r>
    </w:p>
    <w:p>
      <w:pPr>
        <w:spacing w:line="360" w:lineRule="auto"/>
        <w:ind w:firstLine="480" w:firstLineChars="200"/>
        <w:rPr>
          <w:rFonts w:hAnsi="Times New Roman" w:eastAsia="宋体"/>
          <w:szCs w:val="24"/>
          <w:lang w:eastAsia="zh-CN"/>
        </w:rPr>
      </w:pPr>
      <w:r>
        <w:rPr>
          <w:rFonts w:hint="eastAsia" w:hAnsi="Times New Roman" w:eastAsia="宋体"/>
          <w:szCs w:val="22"/>
          <w:lang w:eastAsia="zh-CN"/>
        </w:rPr>
        <w:t>项目经过改扩建正式投入运营后，</w:t>
      </w:r>
      <w:r>
        <w:rPr>
          <w:rFonts w:hAnsi="Times New Roman" w:eastAsia="宋体"/>
          <w:szCs w:val="22"/>
          <w:lang w:eastAsia="zh-CN"/>
        </w:rPr>
        <w:t>矿</w:t>
      </w:r>
      <w:r>
        <w:rPr>
          <w:rFonts w:hint="eastAsia" w:hAnsi="Times New Roman" w:eastAsia="宋体"/>
          <w:szCs w:val="22"/>
          <w:lang w:eastAsia="zh-CN"/>
        </w:rPr>
        <w:t>井</w:t>
      </w:r>
      <w:r>
        <w:rPr>
          <w:rFonts w:hAnsi="Times New Roman" w:eastAsia="宋体"/>
          <w:szCs w:val="22"/>
          <w:lang w:eastAsia="zh-CN"/>
        </w:rPr>
        <w:t>涌水水质和目前的水质现状相似，但由于人为因素的干扰，可能导致矿坑涌水中的</w:t>
      </w:r>
      <w:r>
        <w:rPr>
          <w:rFonts w:hint="eastAsia" w:hAnsi="Times New Roman" w:eastAsia="宋体"/>
          <w:szCs w:val="22"/>
          <w:lang w:eastAsia="zh-CN"/>
        </w:rPr>
        <w:t>部分污染物浓度增加，主要是COD、SS、石油类等。根据监测数据，本项目应重点关注石油类的处理。</w:t>
      </w:r>
    </w:p>
    <w:p>
      <w:pPr>
        <w:pStyle w:val="14"/>
        <w:kinsoku w:val="0"/>
        <w:overflowPunct w:val="0"/>
        <w:spacing w:line="360" w:lineRule="auto"/>
        <w:ind w:right="98" w:firstLine="480"/>
        <w:jc w:val="left"/>
        <w:rPr>
          <w:rFonts w:ascii="Times New Roman" w:hAnsi="Times New Roman"/>
          <w:b/>
          <w:bCs w:val="0"/>
          <w:sz w:val="24"/>
          <w:lang w:eastAsia="zh-CN"/>
        </w:rPr>
      </w:pPr>
      <w:r>
        <w:rPr>
          <w:rFonts w:hint="eastAsia" w:ascii="Times New Roman" w:hAnsi="Times New Roman"/>
          <w:b/>
          <w:bCs w:val="0"/>
          <w:sz w:val="24"/>
          <w:lang w:eastAsia="zh-CN"/>
        </w:rPr>
        <w:t>（3）污水处理站可行性分析</w:t>
      </w:r>
    </w:p>
    <w:p>
      <w:pPr>
        <w:ind w:firstLine="482" w:firstLineChars="200"/>
        <w:rPr>
          <w:lang w:eastAsia="zh-CN"/>
        </w:rPr>
      </w:pPr>
      <w:r>
        <w:rPr>
          <w:rFonts w:hint="eastAsia" w:hAnsi="Times New Roman" w:eastAsia="宋体"/>
          <w:b/>
          <w:bCs/>
          <w:szCs w:val="24"/>
          <w:lang w:eastAsia="zh-CN"/>
        </w:rPr>
        <w:t>①</w:t>
      </w:r>
      <w:r>
        <w:rPr>
          <w:rFonts w:hAnsi="Times New Roman" w:eastAsia="宋体"/>
          <w:b/>
          <w:bCs/>
          <w:szCs w:val="24"/>
          <w:lang w:eastAsia="zh-CN"/>
        </w:rPr>
        <w:t>矿井水处理工艺流程</w:t>
      </w:r>
    </w:p>
    <w:p>
      <w:pPr>
        <w:pStyle w:val="14"/>
        <w:overflowPunct w:val="0"/>
        <w:spacing w:line="360" w:lineRule="auto"/>
        <w:ind w:right="104"/>
        <w:jc w:val="center"/>
        <w:rPr>
          <w:rFonts w:ascii="Times New Roman" w:hAnsi="Times New Roman"/>
          <w:sz w:val="24"/>
          <w:lang w:eastAsia="zh-CN"/>
        </w:rPr>
      </w:pPr>
      <w:r>
        <w:drawing>
          <wp:inline distT="0" distB="0" distL="114300" distR="114300">
            <wp:extent cx="5781675" cy="2560320"/>
            <wp:effectExtent l="0" t="0" r="9525" b="11430"/>
            <wp:docPr id="42"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5"/>
                    <pic:cNvPicPr>
                      <a:picLocks noChangeAspect="1"/>
                    </pic:cNvPicPr>
                  </pic:nvPicPr>
                  <pic:blipFill>
                    <a:blip r:embed="rId239"/>
                    <a:stretch>
                      <a:fillRect/>
                    </a:stretch>
                  </pic:blipFill>
                  <pic:spPr>
                    <a:xfrm>
                      <a:off x="0" y="0"/>
                      <a:ext cx="5781675" cy="2560320"/>
                    </a:xfrm>
                    <a:prstGeom prst="rect">
                      <a:avLst/>
                    </a:prstGeom>
                    <a:noFill/>
                    <a:ln>
                      <a:noFill/>
                    </a:ln>
                  </pic:spPr>
                </pic:pic>
              </a:graphicData>
            </a:graphic>
          </wp:inline>
        </w:drawing>
      </w:r>
    </w:p>
    <w:p>
      <w:pPr>
        <w:spacing w:line="260" w:lineRule="exact"/>
        <w:ind w:firstLine="422" w:firstLineChars="200"/>
        <w:jc w:val="center"/>
        <w:rPr>
          <w:rFonts w:hAnsi="Times New Roman" w:eastAsia="宋体"/>
          <w:b/>
          <w:bCs/>
          <w:sz w:val="21"/>
          <w:szCs w:val="21"/>
          <w:lang w:eastAsia="zh-CN"/>
        </w:rPr>
      </w:pPr>
      <w:r>
        <w:rPr>
          <w:rFonts w:hAnsi="Times New Roman" w:eastAsia="宋体"/>
          <w:b/>
          <w:bCs/>
          <w:sz w:val="21"/>
          <w:szCs w:val="21"/>
          <w:lang w:eastAsia="zh-CN"/>
        </w:rPr>
        <w:t>图</w:t>
      </w:r>
      <w:r>
        <w:rPr>
          <w:rFonts w:hint="eastAsia" w:hAnsi="Times New Roman" w:eastAsia="宋体"/>
          <w:b/>
          <w:bCs/>
          <w:sz w:val="21"/>
          <w:szCs w:val="21"/>
          <w:lang w:eastAsia="zh-CN"/>
        </w:rPr>
        <w:t>6.4</w:t>
      </w:r>
      <w:r>
        <w:rPr>
          <w:rFonts w:hAnsi="Times New Roman" w:eastAsia="宋体"/>
          <w:b/>
          <w:bCs/>
          <w:sz w:val="21"/>
          <w:szCs w:val="21"/>
          <w:lang w:eastAsia="zh-CN"/>
        </w:rPr>
        <w:t>-1</w:t>
      </w:r>
      <w:r>
        <w:rPr>
          <w:rFonts w:hAnsi="Times New Roman" w:eastAsia="宋体"/>
          <w:b/>
          <w:bCs/>
          <w:sz w:val="21"/>
          <w:szCs w:val="21"/>
          <w:lang w:eastAsia="zh-CN"/>
        </w:rPr>
        <w:tab/>
      </w:r>
      <w:r>
        <w:rPr>
          <w:rFonts w:hAnsi="Times New Roman" w:eastAsia="宋体"/>
          <w:b/>
          <w:bCs/>
          <w:sz w:val="21"/>
          <w:szCs w:val="21"/>
          <w:lang w:eastAsia="zh-CN"/>
        </w:rPr>
        <w:t>矿井涌水处理工艺流程图</w:t>
      </w:r>
    </w:p>
    <w:p>
      <w:pPr>
        <w:spacing w:line="360" w:lineRule="auto"/>
        <w:ind w:firstLine="482" w:firstLineChars="200"/>
        <w:rPr>
          <w:rFonts w:hAnsi="Times New Roman" w:eastAsia="宋体"/>
          <w:b/>
          <w:bCs/>
          <w:szCs w:val="24"/>
          <w:lang w:eastAsia="zh-CN"/>
        </w:rPr>
      </w:pPr>
      <w:r>
        <w:rPr>
          <w:rFonts w:hAnsi="Times New Roman" w:eastAsia="宋体"/>
          <w:b/>
          <w:bCs/>
          <w:szCs w:val="24"/>
          <w:lang w:eastAsia="zh-CN"/>
        </w:rPr>
        <w:t>根据历史监测数据可知，项目矿井涌水中主要超标因子为石油类。因此，针对石油类，本次设计隔油池对石油类进行去除。</w:t>
      </w:r>
    </w:p>
    <w:p>
      <w:pPr>
        <w:spacing w:line="360" w:lineRule="auto"/>
        <w:ind w:firstLine="482" w:firstLineChars="200"/>
        <w:rPr>
          <w:rFonts w:hAnsi="Times New Roman" w:eastAsia="宋体"/>
          <w:b/>
          <w:bCs/>
          <w:szCs w:val="24"/>
          <w:lang w:eastAsia="zh-CN"/>
        </w:rPr>
      </w:pPr>
      <w:r>
        <w:rPr>
          <w:rFonts w:hAnsi="Times New Roman" w:eastAsia="宋体"/>
          <w:b/>
          <w:bCs/>
          <w:szCs w:val="24"/>
          <w:lang w:eastAsia="zh-CN"/>
        </w:rPr>
        <w:t>项目工艺流程简介如下：</w:t>
      </w:r>
    </w:p>
    <w:p>
      <w:pPr>
        <w:spacing w:line="360" w:lineRule="auto"/>
        <w:ind w:firstLine="480" w:firstLineChars="200"/>
        <w:rPr>
          <w:rFonts w:hAnsi="Times New Roman" w:eastAsia="宋体"/>
          <w:szCs w:val="22"/>
          <w:lang w:eastAsia="zh-CN"/>
        </w:rPr>
      </w:pPr>
      <w:r>
        <w:rPr>
          <w:rFonts w:hAnsi="Times New Roman" w:eastAsia="宋体"/>
          <w:szCs w:val="22"/>
          <w:lang w:eastAsia="zh-CN"/>
        </w:rPr>
        <w:t>矿井水出井后，经隔油池去除矿井水中石油类；处理后进入预沉调节池，对pH进行调节；pH调节后加入PAC、PAM进行混凝沉淀处理；充分混凝沉淀后进入斜管沉淀；部分出水经消毒达《城市污水再生利用城市杂用水水质标准》（GB/T18920-2002）和《煤矿井下消防、洒水设计规范》（GB 50383-2016）水质指标后回用于地面</w:t>
      </w:r>
      <w:r>
        <w:rPr>
          <w:rFonts w:hAnsi="Times New Roman" w:eastAsia="宋体"/>
          <w:szCs w:val="22"/>
          <w:lang w:val="zh-CN" w:eastAsia="zh-CN"/>
        </w:rPr>
        <w:t>防尘用水、井下防尘洒水、井下消防等用水。</w:t>
      </w:r>
      <w:r>
        <w:rPr>
          <w:rFonts w:hAnsi="Times New Roman" w:eastAsia="宋体"/>
          <w:szCs w:val="22"/>
          <w:lang w:eastAsia="zh-CN"/>
        </w:rPr>
        <w:t>无法利用的出水进入</w:t>
      </w:r>
      <w:r>
        <w:rPr>
          <w:rFonts w:hint="eastAsia" w:hAnsi="Times New Roman" w:eastAsia="宋体"/>
          <w:szCs w:val="22"/>
          <w:lang w:eastAsia="zh-CN"/>
        </w:rPr>
        <w:t>石英砂</w:t>
      </w:r>
      <w:r>
        <w:rPr>
          <w:rFonts w:hAnsi="Times New Roman" w:eastAsia="宋体"/>
          <w:szCs w:val="22"/>
          <w:lang w:eastAsia="zh-CN"/>
        </w:rPr>
        <w:t>过滤池，可有效降低废水中</w:t>
      </w:r>
      <w:r>
        <w:rPr>
          <w:rFonts w:hint="eastAsia" w:hAnsi="Times New Roman" w:eastAsia="宋体"/>
          <w:szCs w:val="22"/>
          <w:lang w:eastAsia="zh-CN"/>
        </w:rPr>
        <w:t>悬浮物</w:t>
      </w:r>
      <w:r>
        <w:rPr>
          <w:rFonts w:hAnsi="Times New Roman" w:eastAsia="宋体"/>
          <w:szCs w:val="22"/>
          <w:lang w:eastAsia="zh-CN"/>
        </w:rPr>
        <w:t>含量</w:t>
      </w:r>
      <w:r>
        <w:rPr>
          <w:rFonts w:hint="eastAsia" w:hAnsi="Times New Roman" w:eastAsia="宋体"/>
          <w:szCs w:val="22"/>
          <w:lang w:eastAsia="zh-CN"/>
        </w:rPr>
        <w:t>，</w:t>
      </w:r>
      <w:r>
        <w:rPr>
          <w:rFonts w:hAnsi="Times New Roman" w:eastAsia="宋体"/>
          <w:szCs w:val="22"/>
          <w:lang w:eastAsia="zh-CN"/>
        </w:rPr>
        <w:t>出水经消毒达《地表水环境质量标准》（GB3838-2002）中III类限值要求后外排。</w:t>
      </w:r>
    </w:p>
    <w:p>
      <w:pPr>
        <w:pStyle w:val="14"/>
        <w:kinsoku w:val="0"/>
        <w:overflowPunct w:val="0"/>
        <w:spacing w:line="360" w:lineRule="auto"/>
        <w:ind w:firstLine="480" w:firstLineChars="200"/>
        <w:rPr>
          <w:rFonts w:ascii="Times New Roman" w:hAnsi="Times New Roman"/>
          <w:sz w:val="24"/>
          <w:lang w:eastAsia="zh-CN"/>
        </w:rPr>
      </w:pPr>
      <w:r>
        <w:rPr>
          <w:rFonts w:ascii="Times New Roman" w:hAnsi="Times New Roman"/>
          <w:sz w:val="24"/>
          <w:lang w:eastAsia="zh-CN"/>
        </w:rPr>
        <w:t>煤泥进入污泥浓缩池，上清液经管道排入调节池，浓缩污泥经污泥泵抽至带式压滤机压滤，滤液进入预沉调节沉淀池。压滤后煤泥掺入末煤外售。</w:t>
      </w:r>
    </w:p>
    <w:p>
      <w:pPr>
        <w:pStyle w:val="14"/>
        <w:overflowPunct w:val="0"/>
        <w:spacing w:line="360" w:lineRule="auto"/>
        <w:ind w:right="104" w:firstLine="480" w:firstLineChars="200"/>
        <w:rPr>
          <w:rFonts w:ascii="Times New Roman" w:hAnsi="Times New Roman"/>
          <w:sz w:val="24"/>
          <w:lang w:eastAsia="zh-CN"/>
        </w:rPr>
      </w:pPr>
      <w:r>
        <w:rPr>
          <w:rFonts w:ascii="Times New Roman" w:hAnsi="Times New Roman"/>
          <w:sz w:val="24"/>
          <w:lang w:eastAsia="zh-CN"/>
        </w:rPr>
        <w:t>使用达《地表水环境质量标准》（GB3838-2002）中III类水质指标的尾水用于</w:t>
      </w:r>
      <w:r>
        <w:rPr>
          <w:rFonts w:hint="eastAsia" w:ascii="Times New Roman" w:hAnsi="Times New Roman"/>
          <w:sz w:val="24"/>
          <w:lang w:eastAsia="zh-CN"/>
        </w:rPr>
        <w:t>石英砂</w:t>
      </w:r>
      <w:r>
        <w:rPr>
          <w:rFonts w:ascii="Times New Roman" w:hAnsi="Times New Roman"/>
          <w:sz w:val="24"/>
          <w:lang w:eastAsia="zh-CN"/>
        </w:rPr>
        <w:t>过滤的反冲洗，反冲洗废水经管道进入预沉调节沉淀池。</w:t>
      </w:r>
    </w:p>
    <w:p>
      <w:pPr>
        <w:spacing w:line="360" w:lineRule="auto"/>
        <w:ind w:firstLine="482" w:firstLineChars="200"/>
        <w:rPr>
          <w:rFonts w:hAnsi="Times New Roman" w:eastAsia="宋体"/>
          <w:b/>
          <w:bCs/>
          <w:szCs w:val="24"/>
          <w:lang w:eastAsia="zh-CN"/>
        </w:rPr>
      </w:pPr>
      <w:r>
        <w:rPr>
          <w:rFonts w:hint="eastAsia" w:hAnsi="Times New Roman" w:eastAsia="宋体"/>
          <w:b/>
          <w:bCs/>
          <w:szCs w:val="24"/>
          <w:lang w:eastAsia="zh-CN"/>
        </w:rPr>
        <w:t>②</w:t>
      </w:r>
      <w:r>
        <w:rPr>
          <w:rFonts w:hAnsi="Times New Roman" w:eastAsia="宋体"/>
          <w:b/>
          <w:bCs/>
          <w:szCs w:val="24"/>
          <w:lang w:eastAsia="zh-CN"/>
        </w:rPr>
        <w:t>矿井水工艺可行性分析</w:t>
      </w:r>
    </w:p>
    <w:p>
      <w:pPr>
        <w:spacing w:line="360" w:lineRule="auto"/>
        <w:ind w:firstLine="482" w:firstLineChars="200"/>
        <w:rPr>
          <w:rFonts w:hAnsi="Times New Roman" w:eastAsia="宋体"/>
          <w:b/>
          <w:bCs/>
          <w:szCs w:val="24"/>
          <w:lang w:eastAsia="zh-CN"/>
        </w:rPr>
      </w:pPr>
      <w:r>
        <w:rPr>
          <w:rFonts w:hint="eastAsia" w:hAnsi="Times New Roman" w:eastAsia="宋体"/>
          <w:b/>
          <w:bCs/>
          <w:szCs w:val="24"/>
          <w:lang w:eastAsia="zh-CN"/>
        </w:rPr>
        <w:t>a.</w:t>
      </w:r>
      <w:r>
        <w:rPr>
          <w:rFonts w:hAnsi="Times New Roman" w:eastAsia="宋体"/>
          <w:b/>
          <w:bCs/>
          <w:szCs w:val="24"/>
          <w:lang w:eastAsia="zh-CN"/>
        </w:rPr>
        <w:t>隔油工艺可行性分析</w:t>
      </w:r>
    </w:p>
    <w:p>
      <w:pPr>
        <w:spacing w:line="360" w:lineRule="auto"/>
        <w:ind w:firstLine="480" w:firstLineChars="200"/>
        <w:rPr>
          <w:rFonts w:hAnsi="Times New Roman" w:eastAsia="宋体"/>
          <w:szCs w:val="24"/>
          <w:lang w:eastAsia="zh-CN"/>
        </w:rPr>
      </w:pPr>
      <w:r>
        <w:rPr>
          <w:rFonts w:hAnsi="Times New Roman" w:eastAsia="宋体"/>
          <w:szCs w:val="24"/>
          <w:lang w:eastAsia="zh-CN"/>
        </w:rPr>
        <w:t>本次设计隔油池对矿井涌水中石油类、悬浮物、COD进行去除。</w:t>
      </w:r>
    </w:p>
    <w:p>
      <w:pPr>
        <w:spacing w:line="360" w:lineRule="auto"/>
        <w:ind w:firstLine="480" w:firstLineChars="200"/>
        <w:rPr>
          <w:rFonts w:hAnsi="Times New Roman" w:eastAsia="宋体"/>
          <w:szCs w:val="24"/>
          <w:lang w:eastAsia="zh-CN"/>
        </w:rPr>
      </w:pPr>
      <w:r>
        <w:rPr>
          <w:rFonts w:hAnsi="Times New Roman" w:eastAsia="宋体"/>
          <w:szCs w:val="24"/>
          <w:lang w:eastAsia="zh-CN"/>
        </w:rPr>
        <w:t>隔油池石油类去除效率≥95%，悬浮物去除效率≥10%，COD去除效率≥10%。</w:t>
      </w:r>
    </w:p>
    <w:p>
      <w:pPr>
        <w:spacing w:line="360" w:lineRule="auto"/>
        <w:ind w:firstLine="482" w:firstLineChars="200"/>
        <w:rPr>
          <w:rFonts w:hAnsi="Times New Roman" w:eastAsia="宋体"/>
          <w:b/>
          <w:bCs/>
          <w:szCs w:val="24"/>
          <w:lang w:eastAsia="zh-CN"/>
        </w:rPr>
      </w:pPr>
      <w:r>
        <w:rPr>
          <w:rFonts w:hint="eastAsia" w:hAnsi="Times New Roman" w:eastAsia="宋体"/>
          <w:b/>
          <w:bCs/>
          <w:szCs w:val="24"/>
          <w:lang w:eastAsia="zh-CN"/>
        </w:rPr>
        <w:t>b.</w:t>
      </w:r>
      <w:r>
        <w:rPr>
          <w:rFonts w:hAnsi="Times New Roman" w:eastAsia="宋体"/>
          <w:b/>
          <w:bCs/>
          <w:szCs w:val="24"/>
          <w:lang w:eastAsia="zh-CN"/>
        </w:rPr>
        <w:t>调节pH工艺可行性分析</w:t>
      </w:r>
    </w:p>
    <w:p>
      <w:pPr>
        <w:spacing w:line="360" w:lineRule="auto"/>
        <w:ind w:firstLine="480" w:firstLineChars="200"/>
        <w:rPr>
          <w:rFonts w:hAnsi="Times New Roman" w:eastAsia="宋体"/>
          <w:szCs w:val="24"/>
          <w:lang w:eastAsia="zh-CN"/>
        </w:rPr>
      </w:pPr>
      <w:r>
        <w:rPr>
          <w:rFonts w:hAnsi="Times New Roman" w:eastAsia="宋体"/>
          <w:szCs w:val="24"/>
          <w:lang w:eastAsia="zh-CN"/>
        </w:rPr>
        <w:t>中和调节池主要作用是调节水量、pH，均匀水质。本次拟选用Ca</w:t>
      </w:r>
      <w:r>
        <w:rPr>
          <w:rFonts w:hint="eastAsia" w:hAnsi="Times New Roman" w:eastAsia="宋体"/>
          <w:szCs w:val="24"/>
          <w:lang w:eastAsia="zh-CN"/>
        </w:rPr>
        <w:t>(</w:t>
      </w:r>
      <w:r>
        <w:rPr>
          <w:rFonts w:hAnsi="Times New Roman" w:eastAsia="宋体"/>
          <w:szCs w:val="24"/>
          <w:lang w:eastAsia="zh-CN"/>
        </w:rPr>
        <w:t>OH</w:t>
      </w:r>
      <w:r>
        <w:rPr>
          <w:rFonts w:hint="eastAsia" w:hAnsi="Times New Roman" w:eastAsia="宋体"/>
          <w:szCs w:val="24"/>
          <w:lang w:eastAsia="zh-CN"/>
        </w:rPr>
        <w:t>)</w:t>
      </w:r>
      <w:r>
        <w:rPr>
          <w:rFonts w:hAnsi="Times New Roman" w:eastAsia="宋体"/>
          <w:szCs w:val="24"/>
          <w:vertAlign w:val="subscript"/>
          <w:lang w:eastAsia="zh-CN"/>
        </w:rPr>
        <w:t>2</w:t>
      </w:r>
      <w:r>
        <w:rPr>
          <w:rFonts w:hAnsi="Times New Roman" w:eastAsia="宋体"/>
          <w:szCs w:val="24"/>
          <w:lang w:eastAsia="zh-CN"/>
        </w:rPr>
        <w:t>作为pH调节剂。根据查找金属离子在水溶液中开始沉淀和沉淀完全的pH</w:t>
      </w:r>
      <w:r>
        <w:rPr>
          <w:rFonts w:hint="eastAsia" w:hAnsi="Times New Roman" w:eastAsia="宋体"/>
          <w:szCs w:val="24"/>
          <w:lang w:eastAsia="zh-CN"/>
        </w:rPr>
        <w:t>值</w:t>
      </w:r>
      <w:r>
        <w:rPr>
          <w:rFonts w:hAnsi="Times New Roman" w:eastAsia="宋体"/>
          <w:szCs w:val="24"/>
          <w:lang w:eastAsia="zh-CN"/>
        </w:rPr>
        <w:t>可知，Hg</w:t>
      </w:r>
      <w:r>
        <w:rPr>
          <w:rFonts w:hAnsi="Times New Roman" w:eastAsia="宋体"/>
          <w:szCs w:val="24"/>
          <w:vertAlign w:val="superscript"/>
          <w:lang w:eastAsia="zh-CN"/>
        </w:rPr>
        <w:t>2+</w:t>
      </w:r>
      <w:r>
        <w:rPr>
          <w:rFonts w:hAnsi="Times New Roman" w:eastAsia="宋体"/>
          <w:szCs w:val="24"/>
          <w:lang w:eastAsia="zh-CN"/>
        </w:rPr>
        <w:t>完全沉淀pH值均为3.74，Fe</w:t>
      </w:r>
      <w:r>
        <w:rPr>
          <w:rFonts w:hAnsi="Times New Roman" w:eastAsia="宋体"/>
          <w:szCs w:val="24"/>
          <w:vertAlign w:val="superscript"/>
          <w:lang w:eastAsia="zh-CN"/>
        </w:rPr>
        <w:t>2+</w:t>
      </w:r>
      <w:r>
        <w:rPr>
          <w:rFonts w:hAnsi="Times New Roman" w:eastAsia="宋体"/>
          <w:szCs w:val="24"/>
          <w:lang w:eastAsia="zh-CN"/>
        </w:rPr>
        <w:t>完全沉淀pH值为8.34，Fe</w:t>
      </w:r>
      <w:r>
        <w:rPr>
          <w:rFonts w:hAnsi="Times New Roman" w:eastAsia="宋体"/>
          <w:szCs w:val="24"/>
          <w:vertAlign w:val="superscript"/>
          <w:lang w:eastAsia="zh-CN"/>
        </w:rPr>
        <w:t>3+</w:t>
      </w:r>
      <w:r>
        <w:rPr>
          <w:rFonts w:hAnsi="Times New Roman" w:eastAsia="宋体"/>
          <w:szCs w:val="24"/>
          <w:lang w:eastAsia="zh-CN"/>
        </w:rPr>
        <w:t>完全沉淀pH值为2.80。因本项目汞</w:t>
      </w:r>
      <w:r>
        <w:rPr>
          <w:rFonts w:hint="eastAsia" w:hAnsi="Times New Roman" w:eastAsia="宋体"/>
          <w:szCs w:val="24"/>
          <w:lang w:eastAsia="zh-CN"/>
        </w:rPr>
        <w:t>、铁</w:t>
      </w:r>
      <w:r>
        <w:rPr>
          <w:rFonts w:hAnsi="Times New Roman" w:eastAsia="宋体"/>
          <w:szCs w:val="24"/>
          <w:lang w:eastAsia="zh-CN"/>
        </w:rPr>
        <w:t>含量</w:t>
      </w:r>
      <w:r>
        <w:rPr>
          <w:rFonts w:hint="eastAsia" w:hAnsi="Times New Roman" w:eastAsia="宋体"/>
          <w:szCs w:val="24"/>
          <w:lang w:eastAsia="zh-CN"/>
        </w:rPr>
        <w:t>极低</w:t>
      </w:r>
      <w:r>
        <w:rPr>
          <w:rFonts w:hAnsi="Times New Roman" w:eastAsia="宋体"/>
          <w:szCs w:val="24"/>
          <w:lang w:eastAsia="zh-CN"/>
        </w:rPr>
        <w:t>，因此不考虑通过调节pH去除废水中汞</w:t>
      </w:r>
      <w:r>
        <w:rPr>
          <w:rFonts w:hint="eastAsia" w:hAnsi="Times New Roman" w:eastAsia="宋体"/>
          <w:szCs w:val="24"/>
          <w:lang w:eastAsia="zh-CN"/>
        </w:rPr>
        <w:t>、铁</w:t>
      </w:r>
      <w:r>
        <w:rPr>
          <w:rFonts w:hAnsi="Times New Roman" w:eastAsia="宋体"/>
          <w:szCs w:val="24"/>
          <w:lang w:eastAsia="zh-CN"/>
        </w:rPr>
        <w:t>离子。</w:t>
      </w:r>
    </w:p>
    <w:p>
      <w:pPr>
        <w:spacing w:line="360" w:lineRule="auto"/>
        <w:ind w:firstLine="482" w:firstLineChars="200"/>
        <w:rPr>
          <w:rFonts w:hAnsi="Times New Roman" w:eastAsia="宋体"/>
          <w:b/>
          <w:bCs/>
          <w:szCs w:val="24"/>
          <w:lang w:eastAsia="zh-CN"/>
        </w:rPr>
      </w:pPr>
      <w:r>
        <w:rPr>
          <w:rFonts w:hint="eastAsia" w:hAnsi="Times New Roman" w:eastAsia="宋体"/>
          <w:b/>
          <w:bCs/>
          <w:szCs w:val="24"/>
          <w:lang w:eastAsia="zh-CN"/>
        </w:rPr>
        <w:t>c.</w:t>
      </w:r>
      <w:r>
        <w:rPr>
          <w:rFonts w:hAnsi="Times New Roman" w:eastAsia="宋体"/>
          <w:b/>
          <w:bCs/>
          <w:szCs w:val="24"/>
          <w:lang w:eastAsia="zh-CN"/>
        </w:rPr>
        <w:t>混凝沉淀+</w:t>
      </w:r>
      <w:r>
        <w:rPr>
          <w:rFonts w:hint="eastAsia" w:hAnsi="Times New Roman" w:eastAsia="宋体"/>
          <w:b/>
          <w:bCs/>
          <w:szCs w:val="24"/>
          <w:lang w:eastAsia="zh-CN"/>
        </w:rPr>
        <w:t>斜管沉淀</w:t>
      </w:r>
      <w:r>
        <w:rPr>
          <w:rFonts w:hAnsi="Times New Roman" w:eastAsia="宋体"/>
          <w:b/>
          <w:bCs/>
          <w:szCs w:val="24"/>
          <w:lang w:eastAsia="zh-CN"/>
        </w:rPr>
        <w:t>可行性分析</w:t>
      </w:r>
    </w:p>
    <w:p>
      <w:pPr>
        <w:spacing w:line="360" w:lineRule="auto"/>
        <w:ind w:firstLine="480" w:firstLineChars="200"/>
        <w:rPr>
          <w:rFonts w:hAnsi="Times New Roman" w:eastAsia="宋体"/>
          <w:szCs w:val="24"/>
          <w:lang w:eastAsia="zh-CN"/>
        </w:rPr>
      </w:pPr>
      <w:r>
        <w:rPr>
          <w:rFonts w:hAnsi="Times New Roman" w:eastAsia="宋体"/>
          <w:szCs w:val="24"/>
          <w:lang w:eastAsia="zh-CN"/>
        </w:rPr>
        <w:t>本次设计中设混凝沉淀池，在混凝沉淀内先投加聚合氯化铝（PAC），投加之前水质的pH值应控制在5~9之间，添加溶液后充分搅拌后静止15分钟后添加PAM水溶液辅助絮凝。项目现有废水pH值在7.4~8.33之间，因此无需对pH值进行调整。斜</w:t>
      </w:r>
      <w:r>
        <w:rPr>
          <w:rFonts w:hint="eastAsia" w:hAnsi="Times New Roman" w:eastAsia="宋体"/>
          <w:szCs w:val="24"/>
          <w:lang w:eastAsia="zh-CN"/>
        </w:rPr>
        <w:t>管</w:t>
      </w:r>
      <w:r>
        <w:rPr>
          <w:rFonts w:hAnsi="Times New Roman" w:eastAsia="宋体"/>
          <w:szCs w:val="24"/>
          <w:lang w:eastAsia="zh-CN"/>
        </w:rPr>
        <w:t>沉淀池有利于混凝沉淀中产生的煤泥得到进一步沉淀。因添加PAC后水质呈酸性，因此在混凝沉淀过程中需注意控制pH值。</w:t>
      </w:r>
    </w:p>
    <w:p>
      <w:pPr>
        <w:spacing w:line="360" w:lineRule="auto"/>
        <w:ind w:firstLine="480" w:firstLineChars="200"/>
        <w:rPr>
          <w:rFonts w:hAnsi="Times New Roman" w:eastAsia="宋体"/>
          <w:szCs w:val="24"/>
          <w:lang w:eastAsia="zh-CN"/>
        </w:rPr>
      </w:pPr>
      <w:r>
        <w:rPr>
          <w:rFonts w:hAnsi="Times New Roman" w:eastAsia="宋体"/>
          <w:szCs w:val="24"/>
          <w:lang w:eastAsia="zh-CN"/>
        </w:rPr>
        <w:t>混凝沉淀+</w:t>
      </w:r>
      <w:r>
        <w:rPr>
          <w:rFonts w:hint="eastAsia" w:hAnsi="Times New Roman" w:eastAsia="宋体"/>
          <w:szCs w:val="24"/>
          <w:lang w:eastAsia="zh-CN"/>
        </w:rPr>
        <w:t>斜管沉淀</w:t>
      </w:r>
      <w:r>
        <w:rPr>
          <w:rFonts w:hAnsi="Times New Roman" w:eastAsia="宋体"/>
          <w:szCs w:val="24"/>
          <w:lang w:eastAsia="zh-CN"/>
        </w:rPr>
        <w:t>石油类去除效率≥50%，悬浮物去除效率≥</w:t>
      </w:r>
      <w:r>
        <w:rPr>
          <w:rFonts w:hint="eastAsia" w:hAnsi="Times New Roman" w:eastAsia="宋体"/>
          <w:szCs w:val="24"/>
          <w:lang w:eastAsia="zh-CN"/>
        </w:rPr>
        <w:t>9</w:t>
      </w:r>
      <w:r>
        <w:rPr>
          <w:rFonts w:hAnsi="Times New Roman" w:eastAsia="宋体"/>
          <w:szCs w:val="24"/>
          <w:lang w:eastAsia="zh-CN"/>
        </w:rPr>
        <w:t>0%，COD去除效率≥40%。</w:t>
      </w:r>
    </w:p>
    <w:p>
      <w:pPr>
        <w:spacing w:line="360" w:lineRule="auto"/>
        <w:ind w:firstLine="482" w:firstLineChars="200"/>
        <w:rPr>
          <w:rFonts w:hAnsi="Times New Roman" w:eastAsia="宋体"/>
          <w:b/>
          <w:bCs/>
          <w:szCs w:val="24"/>
          <w:lang w:eastAsia="zh-CN"/>
        </w:rPr>
      </w:pPr>
      <w:r>
        <w:rPr>
          <w:rFonts w:hint="eastAsia" w:hAnsi="Times New Roman" w:eastAsia="宋体"/>
          <w:b/>
          <w:bCs/>
          <w:szCs w:val="24"/>
          <w:lang w:eastAsia="zh-CN"/>
        </w:rPr>
        <w:t>d.石英砂</w:t>
      </w:r>
      <w:r>
        <w:rPr>
          <w:rFonts w:hAnsi="Times New Roman" w:eastAsia="宋体"/>
          <w:b/>
          <w:bCs/>
          <w:szCs w:val="24"/>
          <w:lang w:eastAsia="zh-CN"/>
        </w:rPr>
        <w:t>过滤工艺可行性分析</w:t>
      </w:r>
    </w:p>
    <w:p>
      <w:pPr>
        <w:spacing w:line="360" w:lineRule="auto"/>
        <w:ind w:firstLine="480" w:firstLineChars="200"/>
        <w:rPr>
          <w:rFonts w:hAnsi="Times New Roman" w:eastAsia="宋体"/>
          <w:szCs w:val="24"/>
          <w:lang w:eastAsia="zh-CN"/>
        </w:rPr>
      </w:pPr>
      <w:r>
        <w:rPr>
          <w:rFonts w:hint="eastAsia" w:hAnsi="Times New Roman" w:eastAsia="宋体"/>
          <w:szCs w:val="24"/>
          <w:lang w:eastAsia="zh-CN"/>
        </w:rPr>
        <w:t>本项目设计采取石英砂过滤进一步去除污水中的悬浮物，</w:t>
      </w:r>
      <w:r>
        <w:rPr>
          <w:rFonts w:hAnsi="Times New Roman" w:eastAsia="宋体"/>
          <w:szCs w:val="24"/>
          <w:lang w:eastAsia="zh-CN"/>
        </w:rPr>
        <w:t>在过滤的过程中，一些悬浮物会被石英砂滤料拦截，并且被吸附在表面，之后又经过重叠和架桥的作用，形成薄膜，继续过滤。石英砂滤料还能形成接触混凝作用，让滤料之间相互碰撞和接触，之后用于水中的悬浮物相互粘附而形成的作用，能进一步把一些污染物质吸附在石英砂滤料上。</w:t>
      </w:r>
      <w:r>
        <w:rPr>
          <w:rFonts w:hint="eastAsia" w:hAnsi="Times New Roman" w:eastAsia="宋体"/>
          <w:szCs w:val="24"/>
          <w:lang w:eastAsia="zh-CN"/>
        </w:rPr>
        <w:t>石英砂过滤</w:t>
      </w:r>
      <w:r>
        <w:rPr>
          <w:rFonts w:hAnsi="Times New Roman" w:eastAsia="宋体"/>
          <w:szCs w:val="24"/>
          <w:lang w:eastAsia="zh-CN"/>
        </w:rPr>
        <w:t>石油类去除效率≥50%，悬浮物去除效率≥</w:t>
      </w:r>
      <w:r>
        <w:rPr>
          <w:rFonts w:hint="eastAsia" w:hAnsi="Times New Roman" w:eastAsia="宋体"/>
          <w:szCs w:val="24"/>
          <w:lang w:eastAsia="zh-CN"/>
        </w:rPr>
        <w:t>8</w:t>
      </w:r>
      <w:r>
        <w:rPr>
          <w:rFonts w:hAnsi="Times New Roman" w:eastAsia="宋体"/>
          <w:szCs w:val="24"/>
          <w:lang w:eastAsia="zh-CN"/>
        </w:rPr>
        <w:t>0%，COD去除效率≥</w:t>
      </w:r>
      <w:r>
        <w:rPr>
          <w:rFonts w:hint="eastAsia" w:hAnsi="Times New Roman" w:eastAsia="宋体"/>
          <w:szCs w:val="24"/>
          <w:lang w:eastAsia="zh-CN"/>
        </w:rPr>
        <w:t>2</w:t>
      </w:r>
      <w:r>
        <w:rPr>
          <w:rFonts w:hAnsi="Times New Roman" w:eastAsia="宋体"/>
          <w:szCs w:val="24"/>
          <w:lang w:eastAsia="zh-CN"/>
        </w:rPr>
        <w:t>0%。</w:t>
      </w:r>
    </w:p>
    <w:p>
      <w:pPr>
        <w:spacing w:line="360" w:lineRule="auto"/>
        <w:ind w:firstLine="480" w:firstLineChars="200"/>
        <w:rPr>
          <w:rFonts w:hAnsi="Times New Roman" w:eastAsia="宋体"/>
          <w:szCs w:val="24"/>
          <w:lang w:eastAsia="zh-CN"/>
        </w:rPr>
      </w:pPr>
      <w:r>
        <w:rPr>
          <w:rFonts w:hAnsi="Times New Roman" w:eastAsia="宋体"/>
          <w:szCs w:val="24"/>
          <w:lang w:eastAsia="zh-CN"/>
        </w:rPr>
        <w:t>各工艺单元污染物进出水水质及去除率预测表见下表。</w:t>
      </w:r>
    </w:p>
    <w:p>
      <w:pPr>
        <w:spacing w:line="360" w:lineRule="auto"/>
        <w:ind w:firstLine="422" w:firstLineChars="200"/>
        <w:jc w:val="center"/>
        <w:rPr>
          <w:rFonts w:hAnsi="Times New Roman" w:eastAsia="宋体"/>
          <w:b/>
          <w:bCs/>
          <w:sz w:val="21"/>
          <w:szCs w:val="21"/>
          <w:lang w:eastAsia="zh-CN"/>
        </w:rPr>
      </w:pPr>
      <w:r>
        <w:rPr>
          <w:rFonts w:hAnsi="Times New Roman" w:eastAsia="宋体"/>
          <w:b/>
          <w:bCs/>
          <w:sz w:val="21"/>
          <w:szCs w:val="21"/>
          <w:lang w:eastAsia="zh-CN"/>
        </w:rPr>
        <w:t>表</w:t>
      </w:r>
      <w:r>
        <w:rPr>
          <w:rFonts w:hint="eastAsia" w:hAnsi="Times New Roman" w:eastAsia="宋体"/>
          <w:b/>
          <w:bCs/>
          <w:sz w:val="21"/>
          <w:szCs w:val="21"/>
          <w:lang w:eastAsia="zh-CN"/>
        </w:rPr>
        <w:t xml:space="preserve">6.4-1 </w:t>
      </w:r>
      <w:r>
        <w:rPr>
          <w:rFonts w:hAnsi="Times New Roman" w:eastAsia="宋体"/>
          <w:b/>
          <w:bCs/>
          <w:sz w:val="21"/>
          <w:szCs w:val="21"/>
          <w:lang w:eastAsia="zh-CN"/>
        </w:rPr>
        <w:t xml:space="preserve"> 各工艺单元污染物进出水水质及去除率 单位：mg/L</w:t>
      </w:r>
    </w:p>
    <w:tbl>
      <w:tblPr>
        <w:tblStyle w:val="3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28"/>
        <w:gridCol w:w="1807"/>
        <w:gridCol w:w="1870"/>
        <w:gridCol w:w="1700"/>
        <w:gridCol w:w="20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99" w:type="pct"/>
            <w:gridSpan w:val="2"/>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b/>
                <w:bCs/>
                <w:kern w:val="2"/>
                <w:sz w:val="21"/>
                <w:szCs w:val="21"/>
              </w:rPr>
            </w:pPr>
            <w:r>
              <w:rPr>
                <w:rFonts w:hint="eastAsia" w:hAnsi="Times New Roman" w:eastAsia="宋体"/>
                <w:b/>
                <w:bCs/>
                <w:kern w:val="2"/>
                <w:sz w:val="21"/>
                <w:szCs w:val="21"/>
                <w:lang w:eastAsia="zh-CN" w:bidi="ar"/>
              </w:rPr>
              <w:t>水质指标</w:t>
            </w:r>
          </w:p>
        </w:tc>
        <w:tc>
          <w:tcPr>
            <w:tcW w:w="1001"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b/>
                <w:bCs/>
                <w:kern w:val="2"/>
                <w:sz w:val="21"/>
                <w:szCs w:val="21"/>
              </w:rPr>
            </w:pPr>
            <w:r>
              <w:rPr>
                <w:rFonts w:hint="eastAsia" w:hAnsi="Times New Roman" w:eastAsia="宋体"/>
                <w:b/>
                <w:bCs/>
                <w:kern w:val="2"/>
                <w:sz w:val="21"/>
                <w:szCs w:val="21"/>
                <w:lang w:eastAsia="zh-CN" w:bidi="ar"/>
              </w:rPr>
              <w:t>石油类</w:t>
            </w:r>
          </w:p>
        </w:tc>
        <w:tc>
          <w:tcPr>
            <w:tcW w:w="910"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b/>
                <w:bCs/>
                <w:kern w:val="2"/>
                <w:sz w:val="21"/>
                <w:szCs w:val="21"/>
              </w:rPr>
            </w:pPr>
            <w:r>
              <w:rPr>
                <w:rFonts w:hint="eastAsia" w:hAnsi="Times New Roman" w:eastAsia="宋体"/>
                <w:b/>
                <w:bCs/>
                <w:kern w:val="2"/>
                <w:sz w:val="21"/>
                <w:szCs w:val="21"/>
                <w:lang w:eastAsia="zh-CN" w:bidi="ar"/>
              </w:rPr>
              <w:t>悬浮物</w:t>
            </w:r>
          </w:p>
        </w:tc>
        <w:tc>
          <w:tcPr>
            <w:tcW w:w="1090"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b/>
                <w:bCs/>
                <w:kern w:val="2"/>
                <w:sz w:val="21"/>
                <w:szCs w:val="21"/>
              </w:rPr>
            </w:pPr>
            <w:r>
              <w:rPr>
                <w:rFonts w:hint="eastAsia" w:hAnsi="Times New Roman" w:eastAsia="宋体"/>
                <w:b/>
                <w:bCs/>
                <w:kern w:val="2"/>
                <w:sz w:val="21"/>
                <w:szCs w:val="21"/>
                <w:lang w:eastAsia="zh-CN" w:bidi="ar"/>
              </w:rPr>
              <w:t>化学需氧量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2" w:type="pct"/>
            <w:vMerge w:val="restar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隔油池</w:t>
            </w:r>
          </w:p>
        </w:tc>
        <w:tc>
          <w:tcPr>
            <w:tcW w:w="967"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进水</w:t>
            </w:r>
          </w:p>
        </w:tc>
        <w:tc>
          <w:tcPr>
            <w:tcW w:w="1001"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3</w:t>
            </w:r>
          </w:p>
        </w:tc>
        <w:tc>
          <w:tcPr>
            <w:tcW w:w="910"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300</w:t>
            </w:r>
          </w:p>
        </w:tc>
        <w:tc>
          <w:tcPr>
            <w:tcW w:w="1090"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2"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967"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出水</w:t>
            </w:r>
          </w:p>
        </w:tc>
        <w:tc>
          <w:tcPr>
            <w:tcW w:w="1001"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0.15</w:t>
            </w:r>
          </w:p>
        </w:tc>
        <w:tc>
          <w:tcPr>
            <w:tcW w:w="910"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270</w:t>
            </w:r>
          </w:p>
        </w:tc>
        <w:tc>
          <w:tcPr>
            <w:tcW w:w="1090"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31.5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2"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967"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去除率</w:t>
            </w:r>
          </w:p>
        </w:tc>
        <w:tc>
          <w:tcPr>
            <w:tcW w:w="1001"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95%</w:t>
            </w:r>
          </w:p>
        </w:tc>
        <w:tc>
          <w:tcPr>
            <w:tcW w:w="910"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10%</w:t>
            </w:r>
          </w:p>
        </w:tc>
        <w:tc>
          <w:tcPr>
            <w:tcW w:w="1090"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2" w:type="pct"/>
            <w:vMerge w:val="restar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调节pH</w:t>
            </w:r>
          </w:p>
        </w:tc>
        <w:tc>
          <w:tcPr>
            <w:tcW w:w="967"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进水</w:t>
            </w:r>
          </w:p>
        </w:tc>
        <w:tc>
          <w:tcPr>
            <w:tcW w:w="1001"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0.15</w:t>
            </w:r>
          </w:p>
        </w:tc>
        <w:tc>
          <w:tcPr>
            <w:tcW w:w="910"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270</w:t>
            </w:r>
          </w:p>
        </w:tc>
        <w:tc>
          <w:tcPr>
            <w:tcW w:w="1090"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31.5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2"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967"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出水</w:t>
            </w:r>
          </w:p>
        </w:tc>
        <w:tc>
          <w:tcPr>
            <w:tcW w:w="1001"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0.15</w:t>
            </w:r>
          </w:p>
        </w:tc>
        <w:tc>
          <w:tcPr>
            <w:tcW w:w="910"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270</w:t>
            </w:r>
          </w:p>
        </w:tc>
        <w:tc>
          <w:tcPr>
            <w:tcW w:w="1090"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31.5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2"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967"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去除率</w:t>
            </w:r>
          </w:p>
        </w:tc>
        <w:tc>
          <w:tcPr>
            <w:tcW w:w="1001"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w:t>
            </w:r>
          </w:p>
        </w:tc>
        <w:tc>
          <w:tcPr>
            <w:tcW w:w="910"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w:t>
            </w:r>
          </w:p>
        </w:tc>
        <w:tc>
          <w:tcPr>
            <w:tcW w:w="1090"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2" w:type="pct"/>
            <w:vMerge w:val="restar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混凝沉淀+斜管沉淀池</w:t>
            </w:r>
          </w:p>
        </w:tc>
        <w:tc>
          <w:tcPr>
            <w:tcW w:w="967"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进水</w:t>
            </w:r>
          </w:p>
        </w:tc>
        <w:tc>
          <w:tcPr>
            <w:tcW w:w="1001"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0.15</w:t>
            </w:r>
          </w:p>
        </w:tc>
        <w:tc>
          <w:tcPr>
            <w:tcW w:w="910"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270</w:t>
            </w:r>
          </w:p>
        </w:tc>
        <w:tc>
          <w:tcPr>
            <w:tcW w:w="1090"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31.5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2"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967"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出水</w:t>
            </w:r>
          </w:p>
        </w:tc>
        <w:tc>
          <w:tcPr>
            <w:tcW w:w="1001"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0.075</w:t>
            </w:r>
          </w:p>
        </w:tc>
        <w:tc>
          <w:tcPr>
            <w:tcW w:w="910"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27</w:t>
            </w:r>
          </w:p>
        </w:tc>
        <w:tc>
          <w:tcPr>
            <w:tcW w:w="1090"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18.9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2"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967"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去除率</w:t>
            </w:r>
          </w:p>
        </w:tc>
        <w:tc>
          <w:tcPr>
            <w:tcW w:w="1001"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50%</w:t>
            </w:r>
          </w:p>
        </w:tc>
        <w:tc>
          <w:tcPr>
            <w:tcW w:w="910"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90%</w:t>
            </w:r>
          </w:p>
        </w:tc>
        <w:tc>
          <w:tcPr>
            <w:tcW w:w="1090"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2" w:type="pct"/>
            <w:vMerge w:val="restar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石英砂过滤</w:t>
            </w:r>
          </w:p>
        </w:tc>
        <w:tc>
          <w:tcPr>
            <w:tcW w:w="967"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进水</w:t>
            </w:r>
          </w:p>
        </w:tc>
        <w:tc>
          <w:tcPr>
            <w:tcW w:w="1001"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0.075</w:t>
            </w:r>
          </w:p>
        </w:tc>
        <w:tc>
          <w:tcPr>
            <w:tcW w:w="910"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27</w:t>
            </w:r>
          </w:p>
        </w:tc>
        <w:tc>
          <w:tcPr>
            <w:tcW w:w="1090"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18.9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2"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967"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出水</w:t>
            </w:r>
          </w:p>
        </w:tc>
        <w:tc>
          <w:tcPr>
            <w:tcW w:w="1001"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0.03</w:t>
            </w:r>
          </w:p>
        </w:tc>
        <w:tc>
          <w:tcPr>
            <w:tcW w:w="910"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5.4</w:t>
            </w:r>
          </w:p>
        </w:tc>
        <w:tc>
          <w:tcPr>
            <w:tcW w:w="1090"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15.12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2" w:type="pct"/>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967"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去除率</w:t>
            </w:r>
          </w:p>
        </w:tc>
        <w:tc>
          <w:tcPr>
            <w:tcW w:w="1001"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60%</w:t>
            </w:r>
          </w:p>
        </w:tc>
        <w:tc>
          <w:tcPr>
            <w:tcW w:w="910"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80%</w:t>
            </w:r>
          </w:p>
        </w:tc>
        <w:tc>
          <w:tcPr>
            <w:tcW w:w="1090"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99" w:type="pct"/>
            <w:gridSpan w:val="2"/>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地表水环境质量Ⅲ类</w:t>
            </w:r>
          </w:p>
        </w:tc>
        <w:tc>
          <w:tcPr>
            <w:tcW w:w="1001"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b/>
                <w:bCs/>
                <w:kern w:val="2"/>
                <w:sz w:val="21"/>
                <w:szCs w:val="21"/>
              </w:rPr>
            </w:pPr>
            <w:r>
              <w:rPr>
                <w:rFonts w:hint="eastAsia" w:hAnsi="Times New Roman" w:eastAsia="宋体"/>
                <w:b/>
                <w:bCs/>
                <w:kern w:val="2"/>
                <w:sz w:val="21"/>
                <w:szCs w:val="21"/>
                <w:lang w:eastAsia="zh-CN" w:bidi="ar"/>
              </w:rPr>
              <w:t>0.05</w:t>
            </w:r>
          </w:p>
        </w:tc>
        <w:tc>
          <w:tcPr>
            <w:tcW w:w="910"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b/>
                <w:bCs/>
                <w:kern w:val="2"/>
                <w:sz w:val="21"/>
                <w:szCs w:val="21"/>
              </w:rPr>
            </w:pPr>
            <w:r>
              <w:rPr>
                <w:rFonts w:hint="eastAsia" w:hAnsi="Times New Roman" w:eastAsia="宋体"/>
                <w:b/>
                <w:bCs/>
                <w:kern w:val="2"/>
                <w:sz w:val="21"/>
                <w:szCs w:val="21"/>
                <w:lang w:eastAsia="zh-CN" w:bidi="ar"/>
              </w:rPr>
              <w:t>/</w:t>
            </w:r>
          </w:p>
        </w:tc>
        <w:tc>
          <w:tcPr>
            <w:tcW w:w="1090" w:type="pc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b/>
                <w:bCs/>
                <w:kern w:val="2"/>
                <w:sz w:val="21"/>
                <w:szCs w:val="21"/>
              </w:rPr>
            </w:pPr>
            <w:r>
              <w:rPr>
                <w:rFonts w:hint="eastAsia" w:hAnsi="Times New Roman" w:eastAsia="宋体"/>
                <w:b/>
                <w:bCs/>
                <w:kern w:val="2"/>
                <w:sz w:val="21"/>
                <w:szCs w:val="21"/>
                <w:lang w:eastAsia="zh-CN" w:bidi="ar"/>
              </w:rPr>
              <w:t>20</w:t>
            </w:r>
          </w:p>
        </w:tc>
      </w:tr>
    </w:tbl>
    <w:p>
      <w:pPr>
        <w:spacing w:line="360" w:lineRule="auto"/>
        <w:ind w:firstLine="482" w:firstLineChars="200"/>
        <w:rPr>
          <w:rFonts w:hAnsi="Times New Roman" w:eastAsia="宋体"/>
          <w:b/>
          <w:bCs/>
          <w:szCs w:val="24"/>
          <w:lang w:eastAsia="zh-CN"/>
        </w:rPr>
      </w:pPr>
      <w:r>
        <w:rPr>
          <w:rFonts w:hAnsi="Times New Roman" w:eastAsia="宋体"/>
          <w:b/>
          <w:bCs/>
          <w:szCs w:val="24"/>
          <w:lang w:eastAsia="zh-CN"/>
        </w:rPr>
        <w:t>根据上表可知，项目采用“</w:t>
      </w:r>
      <w:r>
        <w:rPr>
          <w:rFonts w:hint="eastAsia" w:hAnsi="Times New Roman" w:eastAsia="宋体"/>
          <w:b/>
          <w:bCs/>
          <w:szCs w:val="24"/>
          <w:lang w:eastAsia="zh-CN"/>
        </w:rPr>
        <w:t>隔油+预沉调节+混凝沉淀+斜管沉淀+石英砂过滤+消毒</w:t>
      </w:r>
      <w:r>
        <w:rPr>
          <w:rFonts w:hAnsi="Times New Roman" w:eastAsia="宋体"/>
          <w:b/>
          <w:bCs/>
          <w:szCs w:val="24"/>
          <w:lang w:eastAsia="zh-CN"/>
        </w:rPr>
        <w:t>”工艺处理矿井涌水技术可行。</w:t>
      </w:r>
    </w:p>
    <w:p>
      <w:pPr>
        <w:spacing w:line="360" w:lineRule="auto"/>
        <w:ind w:firstLine="482" w:firstLineChars="200"/>
        <w:rPr>
          <w:rFonts w:hAnsi="Times New Roman" w:eastAsia="宋体"/>
          <w:b/>
          <w:bCs/>
          <w:szCs w:val="24"/>
          <w:lang w:eastAsia="zh-CN"/>
        </w:rPr>
      </w:pPr>
      <w:r>
        <w:rPr>
          <w:rFonts w:hint="eastAsia" w:hAnsi="Times New Roman" w:eastAsia="宋体"/>
          <w:b/>
          <w:bCs/>
          <w:szCs w:val="24"/>
          <w:lang w:eastAsia="zh-CN"/>
        </w:rPr>
        <w:t>③</w:t>
      </w:r>
      <w:r>
        <w:rPr>
          <w:rFonts w:hAnsi="Times New Roman" w:eastAsia="宋体"/>
          <w:b/>
          <w:bCs/>
          <w:szCs w:val="24"/>
          <w:lang w:eastAsia="zh-CN"/>
        </w:rPr>
        <w:t>矿井水处理方案经济可行性分析</w:t>
      </w:r>
    </w:p>
    <w:p>
      <w:pPr>
        <w:spacing w:line="360" w:lineRule="auto"/>
        <w:ind w:firstLine="480" w:firstLineChars="200"/>
        <w:rPr>
          <w:rFonts w:hAnsi="Times New Roman" w:eastAsia="宋体"/>
          <w:szCs w:val="24"/>
          <w:lang w:eastAsia="zh-CN"/>
        </w:rPr>
      </w:pPr>
      <w:r>
        <w:rPr>
          <w:rFonts w:hAnsi="Times New Roman" w:eastAsia="宋体"/>
          <w:szCs w:val="24"/>
          <w:lang w:eastAsia="zh-CN"/>
        </w:rPr>
        <w:t>矿井水处理量按照正常涌水量</w:t>
      </w:r>
      <w:r>
        <w:rPr>
          <w:rFonts w:hint="eastAsia" w:hAnsi="Times New Roman" w:eastAsia="宋体"/>
          <w:lang w:eastAsia="zh-CN"/>
        </w:rPr>
        <w:t>3549.6</w:t>
      </w:r>
      <w:r>
        <w:rPr>
          <w:rFonts w:hAnsi="Times New Roman" w:eastAsia="宋体"/>
          <w:szCs w:val="24"/>
          <w:lang w:eastAsia="zh-CN"/>
        </w:rPr>
        <w:t>m</w:t>
      </w:r>
      <w:r>
        <w:rPr>
          <w:rFonts w:hAnsi="Times New Roman" w:eastAsia="宋体"/>
          <w:szCs w:val="24"/>
          <w:vertAlign w:val="superscript"/>
          <w:lang w:eastAsia="zh-CN"/>
        </w:rPr>
        <w:t>3</w:t>
      </w:r>
      <w:r>
        <w:rPr>
          <w:rFonts w:hAnsi="Times New Roman" w:eastAsia="宋体"/>
          <w:szCs w:val="24"/>
          <w:lang w:eastAsia="zh-CN"/>
        </w:rPr>
        <w:t>/d 计算，预计矿井水处理站总投资50万元，其</w:t>
      </w:r>
      <w:r>
        <w:rPr>
          <w:rFonts w:hint="eastAsia" w:hAnsi="Times New Roman" w:eastAsia="宋体"/>
          <w:szCs w:val="24"/>
          <w:lang w:eastAsia="zh-CN"/>
        </w:rPr>
        <w:t>中</w:t>
      </w:r>
      <w:r>
        <w:rPr>
          <w:rFonts w:hAnsi="Times New Roman" w:eastAsia="宋体"/>
          <w:szCs w:val="24"/>
          <w:lang w:eastAsia="zh-CN"/>
        </w:rPr>
        <w:t>设备及安装费</w:t>
      </w:r>
      <w:r>
        <w:rPr>
          <w:rFonts w:hint="eastAsia" w:hAnsi="Times New Roman" w:eastAsia="宋体"/>
          <w:szCs w:val="24"/>
          <w:lang w:eastAsia="zh-CN"/>
        </w:rPr>
        <w:t>50</w:t>
      </w:r>
      <w:r>
        <w:rPr>
          <w:rFonts w:hAnsi="Times New Roman" w:eastAsia="宋体"/>
          <w:szCs w:val="24"/>
          <w:lang w:eastAsia="zh-CN"/>
        </w:rPr>
        <w:t>万元。矿井水处理成本详见表</w:t>
      </w:r>
      <w:r>
        <w:rPr>
          <w:rFonts w:hint="eastAsia" w:hAnsi="Times New Roman" w:eastAsia="宋体"/>
          <w:szCs w:val="24"/>
          <w:lang w:eastAsia="zh-CN"/>
        </w:rPr>
        <w:t>6.4</w:t>
      </w:r>
      <w:r>
        <w:rPr>
          <w:rFonts w:hAnsi="Times New Roman" w:eastAsia="宋体"/>
          <w:szCs w:val="24"/>
          <w:lang w:eastAsia="zh-CN"/>
        </w:rPr>
        <w:t>-</w:t>
      </w:r>
      <w:r>
        <w:rPr>
          <w:rFonts w:hint="eastAsia" w:hAnsi="Times New Roman" w:eastAsia="宋体"/>
          <w:szCs w:val="24"/>
          <w:lang w:eastAsia="zh-CN"/>
        </w:rPr>
        <w:t>3</w:t>
      </w:r>
      <w:r>
        <w:rPr>
          <w:rFonts w:hAnsi="Times New Roman" w:eastAsia="宋体"/>
          <w:szCs w:val="24"/>
          <w:lang w:eastAsia="zh-CN"/>
        </w:rPr>
        <w:t>。</w:t>
      </w:r>
    </w:p>
    <w:p>
      <w:pPr>
        <w:spacing w:line="360" w:lineRule="auto"/>
        <w:ind w:firstLine="422" w:firstLineChars="200"/>
        <w:jc w:val="center"/>
        <w:rPr>
          <w:rFonts w:hAnsi="Times New Roman" w:eastAsia="宋体"/>
          <w:b/>
          <w:bCs/>
          <w:sz w:val="21"/>
          <w:szCs w:val="21"/>
          <w:lang w:eastAsia="zh-CN"/>
        </w:rPr>
      </w:pPr>
      <w:r>
        <w:rPr>
          <w:rFonts w:hAnsi="Times New Roman" w:eastAsia="宋体"/>
          <w:b/>
          <w:bCs/>
          <w:sz w:val="21"/>
          <w:szCs w:val="21"/>
          <w:lang w:eastAsia="zh-CN"/>
        </w:rPr>
        <w:t>表</w:t>
      </w:r>
      <w:r>
        <w:rPr>
          <w:rFonts w:hint="eastAsia" w:hAnsi="Times New Roman" w:eastAsia="宋体"/>
          <w:b/>
          <w:bCs/>
          <w:sz w:val="21"/>
          <w:szCs w:val="21"/>
          <w:lang w:eastAsia="zh-CN"/>
        </w:rPr>
        <w:t xml:space="preserve">6.4-2 </w:t>
      </w:r>
      <w:r>
        <w:rPr>
          <w:rFonts w:hAnsi="Times New Roman" w:eastAsia="宋体"/>
          <w:b/>
          <w:bCs/>
          <w:sz w:val="21"/>
          <w:szCs w:val="21"/>
          <w:lang w:eastAsia="zh-CN"/>
        </w:rPr>
        <w:t xml:space="preserve"> 矿井水处理成本计算表  单位：元/m</w:t>
      </w:r>
      <w:r>
        <w:rPr>
          <w:rFonts w:hAnsi="Times New Roman" w:eastAsia="宋体"/>
          <w:b/>
          <w:bCs/>
          <w:sz w:val="21"/>
          <w:szCs w:val="21"/>
          <w:vertAlign w:val="superscript"/>
          <w:lang w:eastAsia="zh-CN"/>
        </w:rPr>
        <w:t>3</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6"/>
        <w:gridCol w:w="931"/>
        <w:gridCol w:w="73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87"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b/>
                <w:bCs/>
                <w:kern w:val="2"/>
                <w:sz w:val="21"/>
                <w:szCs w:val="21"/>
              </w:rPr>
            </w:pPr>
            <w:r>
              <w:rPr>
                <w:rFonts w:hint="eastAsia" w:hAnsi="Times New Roman" w:eastAsia="宋体"/>
                <w:b/>
                <w:bCs/>
                <w:kern w:val="2"/>
                <w:sz w:val="21"/>
                <w:szCs w:val="21"/>
                <w:lang w:eastAsia="zh-CN" w:bidi="ar"/>
              </w:rPr>
              <w:t>项目</w:t>
            </w:r>
          </w:p>
        </w:tc>
        <w:tc>
          <w:tcPr>
            <w:tcW w:w="498"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b/>
                <w:bCs/>
                <w:kern w:val="2"/>
                <w:sz w:val="21"/>
                <w:szCs w:val="21"/>
              </w:rPr>
            </w:pPr>
            <w:r>
              <w:rPr>
                <w:rFonts w:hint="eastAsia" w:hAnsi="Times New Roman" w:eastAsia="宋体"/>
                <w:b/>
                <w:bCs/>
                <w:kern w:val="2"/>
                <w:sz w:val="21"/>
                <w:szCs w:val="21"/>
                <w:lang w:eastAsia="zh-CN" w:bidi="ar"/>
              </w:rPr>
              <w:t>金额</w:t>
            </w:r>
          </w:p>
        </w:tc>
        <w:tc>
          <w:tcPr>
            <w:tcW w:w="3915"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计算依据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87"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电费</w:t>
            </w:r>
          </w:p>
        </w:tc>
        <w:tc>
          <w:tcPr>
            <w:tcW w:w="498"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0.15</w:t>
            </w:r>
          </w:p>
        </w:tc>
        <w:tc>
          <w:tcPr>
            <w:tcW w:w="3915"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类比估算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87"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药剂费</w:t>
            </w:r>
          </w:p>
        </w:tc>
        <w:tc>
          <w:tcPr>
            <w:tcW w:w="498"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0.37</w:t>
            </w:r>
          </w:p>
        </w:tc>
        <w:tc>
          <w:tcPr>
            <w:tcW w:w="3915"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PAC用量60g/m</w:t>
            </w:r>
            <w:r>
              <w:rPr>
                <w:rFonts w:hint="eastAsia" w:hAnsi="Times New Roman" w:eastAsia="宋体"/>
                <w:kern w:val="2"/>
                <w:sz w:val="21"/>
                <w:szCs w:val="21"/>
                <w:vertAlign w:val="superscript"/>
                <w:lang w:eastAsia="zh-CN"/>
              </w:rPr>
              <w:t>3</w:t>
            </w:r>
            <w:r>
              <w:rPr>
                <w:rFonts w:hint="eastAsia" w:hAnsi="Times New Roman" w:eastAsia="宋体"/>
                <w:kern w:val="2"/>
                <w:sz w:val="21"/>
                <w:szCs w:val="21"/>
                <w:lang w:eastAsia="zh-CN"/>
              </w:rPr>
              <w:t>，按2000元/t计，PAM用量25g/m</w:t>
            </w:r>
            <w:r>
              <w:rPr>
                <w:rFonts w:hint="eastAsia" w:hAnsi="Times New Roman" w:eastAsia="宋体"/>
                <w:kern w:val="2"/>
                <w:sz w:val="21"/>
                <w:szCs w:val="21"/>
                <w:vertAlign w:val="superscript"/>
                <w:lang w:eastAsia="zh-CN"/>
              </w:rPr>
              <w:t>3</w:t>
            </w:r>
            <w:r>
              <w:rPr>
                <w:rFonts w:hint="eastAsia" w:hAnsi="Times New Roman" w:eastAsia="宋体"/>
                <w:kern w:val="2"/>
                <w:sz w:val="21"/>
                <w:szCs w:val="21"/>
                <w:lang w:eastAsia="zh-CN"/>
              </w:rPr>
              <w:t>，按10000元/t计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87"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人工费</w:t>
            </w:r>
          </w:p>
        </w:tc>
        <w:tc>
          <w:tcPr>
            <w:tcW w:w="498" w:type="pct"/>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0.05</w:t>
            </w:r>
          </w:p>
        </w:tc>
        <w:tc>
          <w:tcPr>
            <w:tcW w:w="3915" w:type="pct"/>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管理人员2人（兼顾生活污水处理站），每人工资按3万元/a计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87"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折旧费</w:t>
            </w:r>
          </w:p>
        </w:tc>
        <w:tc>
          <w:tcPr>
            <w:tcW w:w="498" w:type="pct"/>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0.11</w:t>
            </w:r>
          </w:p>
        </w:tc>
        <w:tc>
          <w:tcPr>
            <w:tcW w:w="3915" w:type="pct"/>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综合折旧按6.1a计，设备残值按5%计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87"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合计</w:t>
            </w:r>
          </w:p>
        </w:tc>
        <w:tc>
          <w:tcPr>
            <w:tcW w:w="498" w:type="pct"/>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0.68</w:t>
            </w:r>
          </w:p>
        </w:tc>
        <w:tc>
          <w:tcPr>
            <w:tcW w:w="3915" w:type="pct"/>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p>
        </w:tc>
      </w:tr>
    </w:tbl>
    <w:p>
      <w:pPr>
        <w:spacing w:line="360" w:lineRule="auto"/>
        <w:ind w:firstLine="482" w:firstLineChars="200"/>
        <w:rPr>
          <w:rFonts w:hAnsi="Times New Roman" w:eastAsia="宋体"/>
          <w:szCs w:val="24"/>
          <w:lang w:eastAsia="zh-CN"/>
        </w:rPr>
      </w:pPr>
      <w:r>
        <w:rPr>
          <w:rFonts w:hAnsi="Times New Roman" w:eastAsia="宋体"/>
          <w:b/>
          <w:bCs/>
          <w:szCs w:val="24"/>
          <w:lang w:eastAsia="zh-CN"/>
        </w:rPr>
        <w:t>由上表可见，矿井水处理成本为0.</w:t>
      </w:r>
      <w:r>
        <w:rPr>
          <w:rFonts w:hint="eastAsia" w:hAnsi="Times New Roman" w:eastAsia="宋体"/>
          <w:b/>
          <w:bCs/>
          <w:szCs w:val="24"/>
          <w:lang w:eastAsia="zh-CN"/>
        </w:rPr>
        <w:t>68</w:t>
      </w:r>
      <w:r>
        <w:rPr>
          <w:rFonts w:hAnsi="Times New Roman" w:eastAsia="宋体"/>
          <w:b/>
          <w:bCs/>
          <w:szCs w:val="24"/>
          <w:lang w:eastAsia="zh-CN"/>
        </w:rPr>
        <w:t>元/m</w:t>
      </w:r>
      <w:r>
        <w:rPr>
          <w:rFonts w:hAnsi="Times New Roman" w:eastAsia="宋体"/>
          <w:b/>
          <w:bCs/>
          <w:szCs w:val="24"/>
          <w:vertAlign w:val="superscript"/>
          <w:lang w:eastAsia="zh-CN"/>
        </w:rPr>
        <w:t>3</w:t>
      </w:r>
      <w:r>
        <w:rPr>
          <w:rFonts w:hAnsi="Times New Roman" w:eastAsia="宋体"/>
          <w:b/>
          <w:bCs/>
          <w:szCs w:val="24"/>
          <w:lang w:eastAsia="zh-CN"/>
        </w:rPr>
        <w:t>，处理成本适中。从经济角度分析，项目采用“隔油+预沉调节+混凝沉淀+</w:t>
      </w:r>
      <w:r>
        <w:rPr>
          <w:rFonts w:hint="eastAsia" w:hAnsi="Times New Roman" w:eastAsia="宋体"/>
          <w:b/>
          <w:bCs/>
          <w:szCs w:val="24"/>
          <w:lang w:eastAsia="zh-CN"/>
        </w:rPr>
        <w:t>斜管沉淀</w:t>
      </w:r>
      <w:r>
        <w:rPr>
          <w:rFonts w:hAnsi="Times New Roman" w:eastAsia="宋体"/>
          <w:b/>
          <w:bCs/>
          <w:szCs w:val="24"/>
          <w:lang w:eastAsia="zh-CN"/>
        </w:rPr>
        <w:t>+石英砂过滤+消毒”工艺处理矿井涌水经济可行。</w:t>
      </w:r>
    </w:p>
    <w:p>
      <w:pPr>
        <w:spacing w:line="360" w:lineRule="auto"/>
        <w:ind w:firstLine="482" w:firstLineChars="200"/>
        <w:rPr>
          <w:rFonts w:hAnsi="Times New Roman" w:eastAsia="宋体"/>
          <w:szCs w:val="24"/>
          <w:lang w:eastAsia="zh-CN"/>
        </w:rPr>
      </w:pPr>
      <w:r>
        <w:rPr>
          <w:rFonts w:hAnsi="Times New Roman" w:eastAsia="宋体"/>
          <w:b/>
          <w:bCs/>
          <w:szCs w:val="24"/>
          <w:lang w:eastAsia="zh-CN"/>
        </w:rPr>
        <w:t>综上，项目采用“隔油+预沉调节+混凝沉淀+</w:t>
      </w:r>
      <w:r>
        <w:rPr>
          <w:rFonts w:hint="eastAsia" w:hAnsi="Times New Roman" w:eastAsia="宋体"/>
          <w:b/>
          <w:bCs/>
          <w:szCs w:val="24"/>
          <w:lang w:eastAsia="zh-CN"/>
        </w:rPr>
        <w:t>斜管沉淀</w:t>
      </w:r>
      <w:r>
        <w:rPr>
          <w:rFonts w:hAnsi="Times New Roman" w:eastAsia="宋体"/>
          <w:b/>
          <w:bCs/>
          <w:szCs w:val="24"/>
          <w:lang w:eastAsia="zh-CN"/>
        </w:rPr>
        <w:t>+石英砂过滤+消毒”工艺处理矿井涌水技术与经济均是可行的。</w:t>
      </w:r>
    </w:p>
    <w:p>
      <w:pPr>
        <w:pStyle w:val="6"/>
        <w:rPr>
          <w:szCs w:val="24"/>
          <w:lang w:eastAsia="zh-CN"/>
        </w:rPr>
      </w:pPr>
      <w:bookmarkStart w:id="447" w:name="_Toc163812631"/>
      <w:bookmarkStart w:id="448" w:name="_Toc167095254"/>
      <w:r>
        <w:rPr>
          <w:rFonts w:hint="eastAsia"/>
          <w:szCs w:val="24"/>
          <w:lang w:eastAsia="zh-CN"/>
        </w:rPr>
        <w:t>6.4.2生活污水处理可行性分析</w:t>
      </w:r>
      <w:bookmarkEnd w:id="447"/>
      <w:bookmarkEnd w:id="448"/>
      <w:r>
        <w:rPr>
          <w:rFonts w:hint="eastAsia"/>
          <w:szCs w:val="24"/>
          <w:lang w:eastAsia="zh-CN"/>
        </w:rPr>
        <w:t xml:space="preserve"> </w:t>
      </w:r>
    </w:p>
    <w:p>
      <w:pPr>
        <w:pStyle w:val="14"/>
        <w:overflowPunct w:val="0"/>
        <w:spacing w:line="360" w:lineRule="auto"/>
        <w:ind w:right="104" w:firstLine="490" w:firstLineChars="200"/>
        <w:rPr>
          <w:rFonts w:ascii="Times New Roman" w:hAnsi="Times New Roman"/>
          <w:b/>
          <w:bCs w:val="0"/>
          <w:spacing w:val="2"/>
          <w:sz w:val="24"/>
          <w:lang w:eastAsia="zh-CN"/>
        </w:rPr>
      </w:pPr>
      <w:r>
        <w:rPr>
          <w:rFonts w:hint="eastAsia" w:ascii="Times New Roman" w:hAnsi="Times New Roman"/>
          <w:b/>
          <w:bCs w:val="0"/>
          <w:spacing w:val="2"/>
          <w:sz w:val="24"/>
          <w:lang w:eastAsia="zh-CN"/>
        </w:rPr>
        <w:t>（1）水量</w:t>
      </w:r>
    </w:p>
    <w:p>
      <w:pPr>
        <w:spacing w:line="360" w:lineRule="auto"/>
        <w:ind w:firstLine="480" w:firstLineChars="200"/>
        <w:rPr>
          <w:rFonts w:hAnsi="Times New Roman" w:eastAsia="宋体"/>
          <w:szCs w:val="22"/>
          <w:lang w:eastAsia="zh-CN"/>
        </w:rPr>
      </w:pPr>
      <w:r>
        <w:rPr>
          <w:rFonts w:hAnsi="Times New Roman" w:eastAsia="宋体"/>
          <w:szCs w:val="22"/>
          <w:lang w:eastAsia="zh-CN"/>
        </w:rPr>
        <w:t>项目扩建后生活用水量111.54m</w:t>
      </w:r>
      <w:r>
        <w:rPr>
          <w:rFonts w:hAnsi="Times New Roman" w:eastAsia="宋体"/>
          <w:szCs w:val="22"/>
          <w:vertAlign w:val="superscript"/>
          <w:lang w:eastAsia="zh-CN"/>
        </w:rPr>
        <w:t>3</w:t>
      </w:r>
      <w:r>
        <w:rPr>
          <w:rFonts w:hAnsi="Times New Roman" w:eastAsia="宋体"/>
          <w:szCs w:val="22"/>
          <w:lang w:eastAsia="zh-CN"/>
        </w:rPr>
        <w:t>/d，产生量为89.232m</w:t>
      </w:r>
      <w:r>
        <w:rPr>
          <w:rFonts w:hAnsi="Times New Roman" w:eastAsia="宋体"/>
          <w:szCs w:val="22"/>
          <w:vertAlign w:val="superscript"/>
          <w:lang w:eastAsia="zh-CN"/>
        </w:rPr>
        <w:t>3</w:t>
      </w:r>
      <w:r>
        <w:rPr>
          <w:rFonts w:hAnsi="Times New Roman" w:eastAsia="宋体"/>
          <w:szCs w:val="22"/>
          <w:lang w:eastAsia="zh-CN"/>
        </w:rPr>
        <w:t>/d。生活污水主</w:t>
      </w:r>
      <w:r>
        <w:rPr>
          <w:rFonts w:hint="eastAsia" w:hAnsi="Times New Roman" w:eastAsia="宋体"/>
          <w:szCs w:val="22"/>
          <w:lang w:eastAsia="zh-CN"/>
        </w:rPr>
        <w:t>要污</w:t>
      </w:r>
      <w:r>
        <w:rPr>
          <w:rFonts w:hAnsi="Times New Roman" w:eastAsia="宋体"/>
          <w:szCs w:val="22"/>
          <w:lang w:eastAsia="zh-CN"/>
        </w:rPr>
        <w:t>染因子为 COD、BOD</w:t>
      </w:r>
      <w:r>
        <w:rPr>
          <w:rFonts w:hAnsi="Times New Roman" w:eastAsia="宋体"/>
          <w:szCs w:val="22"/>
          <w:vertAlign w:val="subscript"/>
          <w:lang w:eastAsia="zh-CN"/>
        </w:rPr>
        <w:t>5</w:t>
      </w:r>
      <w:r>
        <w:rPr>
          <w:rFonts w:hAnsi="Times New Roman" w:eastAsia="宋体"/>
          <w:szCs w:val="22"/>
          <w:lang w:eastAsia="zh-CN"/>
        </w:rPr>
        <w:t>、SS、NH</w:t>
      </w:r>
      <w:r>
        <w:rPr>
          <w:rFonts w:hAnsi="Times New Roman" w:eastAsia="宋体"/>
          <w:szCs w:val="22"/>
          <w:vertAlign w:val="subscript"/>
          <w:lang w:eastAsia="zh-CN"/>
        </w:rPr>
        <w:t>3</w:t>
      </w:r>
      <w:r>
        <w:rPr>
          <w:rFonts w:hAnsi="Times New Roman" w:eastAsia="宋体"/>
          <w:szCs w:val="22"/>
          <w:lang w:eastAsia="zh-CN"/>
        </w:rPr>
        <w:t>-N和少量油类。</w:t>
      </w:r>
      <w:r>
        <w:rPr>
          <w:rFonts w:hint="eastAsia" w:hAnsi="Times New Roman" w:eastAsia="宋体"/>
          <w:szCs w:val="22"/>
          <w:lang w:eastAsia="zh-CN"/>
        </w:rPr>
        <w:t>本项目生活污水站处理能力为240m</w:t>
      </w:r>
      <w:r>
        <w:rPr>
          <w:rFonts w:hint="eastAsia" w:hAnsi="Times New Roman" w:eastAsia="宋体"/>
          <w:szCs w:val="22"/>
          <w:vertAlign w:val="superscript"/>
          <w:lang w:eastAsia="zh-CN"/>
        </w:rPr>
        <w:t>3</w:t>
      </w:r>
      <w:r>
        <w:rPr>
          <w:rFonts w:hint="eastAsia" w:hAnsi="Times New Roman" w:eastAsia="宋体"/>
          <w:szCs w:val="22"/>
          <w:lang w:eastAsia="zh-CN"/>
        </w:rPr>
        <w:t>/d，满足生活污水处理要求。</w:t>
      </w:r>
    </w:p>
    <w:p>
      <w:pPr>
        <w:pStyle w:val="14"/>
        <w:kinsoku w:val="0"/>
        <w:overflowPunct w:val="0"/>
        <w:spacing w:line="360" w:lineRule="auto"/>
        <w:ind w:right="98" w:firstLine="480"/>
        <w:jc w:val="left"/>
        <w:rPr>
          <w:rFonts w:ascii="Times New Roman" w:hAnsi="Times New Roman"/>
          <w:b/>
          <w:bCs w:val="0"/>
          <w:sz w:val="24"/>
          <w:lang w:eastAsia="zh-CN"/>
        </w:rPr>
      </w:pPr>
      <w:r>
        <w:rPr>
          <w:rFonts w:hint="eastAsia" w:ascii="Times New Roman" w:hAnsi="Times New Roman"/>
          <w:b/>
          <w:bCs w:val="0"/>
          <w:sz w:val="24"/>
          <w:lang w:eastAsia="zh-CN"/>
        </w:rPr>
        <w:t>（2）水质</w:t>
      </w:r>
    </w:p>
    <w:p>
      <w:pPr>
        <w:spacing w:line="360" w:lineRule="auto"/>
        <w:ind w:firstLine="480" w:firstLineChars="200"/>
        <w:rPr>
          <w:rFonts w:hAnsi="Times New Roman" w:eastAsia="宋体"/>
          <w:szCs w:val="24"/>
          <w:lang w:eastAsia="zh-CN"/>
        </w:rPr>
      </w:pPr>
      <w:r>
        <w:rPr>
          <w:rFonts w:hAnsi="Times New Roman" w:eastAsia="宋体"/>
          <w:szCs w:val="24"/>
          <w:lang w:eastAsia="zh-CN"/>
        </w:rPr>
        <w:t>生活污水主要来自食堂、洗衣房、浴室、宿舍等，少量机修车间洗手废水。</w:t>
      </w:r>
    </w:p>
    <w:p>
      <w:pPr>
        <w:spacing w:line="360" w:lineRule="auto"/>
        <w:ind w:firstLine="480" w:firstLineChars="200"/>
        <w:rPr>
          <w:rFonts w:hAnsi="Times New Roman" w:eastAsia="宋体"/>
          <w:szCs w:val="24"/>
          <w:lang w:eastAsia="zh-CN"/>
        </w:rPr>
      </w:pPr>
      <w:r>
        <w:rPr>
          <w:rFonts w:hAnsi="Times New Roman" w:eastAsia="宋体"/>
          <w:szCs w:val="24"/>
          <w:lang w:eastAsia="zh-CN"/>
        </w:rPr>
        <w:t>本次参考《四川省宣汉县煤炭矿区总体规划环境影响报告书》中</w:t>
      </w:r>
      <w:r>
        <w:rPr>
          <w:rFonts w:hint="eastAsia" w:hAnsi="Times New Roman" w:eastAsia="宋体"/>
          <w:szCs w:val="24"/>
          <w:lang w:eastAsia="zh-CN"/>
        </w:rPr>
        <w:t>宣汉县</w:t>
      </w:r>
      <w:r>
        <w:rPr>
          <w:rFonts w:hAnsi="Times New Roman" w:eastAsia="宋体"/>
          <w:szCs w:val="24"/>
          <w:lang w:eastAsia="zh-CN"/>
        </w:rPr>
        <w:t>规划范围内生活污水产生情况，详见下表：</w:t>
      </w:r>
    </w:p>
    <w:p>
      <w:pPr>
        <w:spacing w:line="360" w:lineRule="auto"/>
        <w:ind w:firstLine="422" w:firstLineChars="200"/>
        <w:jc w:val="center"/>
        <w:rPr>
          <w:rFonts w:hAnsi="Times New Roman" w:eastAsia="宋体"/>
          <w:b/>
          <w:bCs/>
          <w:sz w:val="21"/>
          <w:szCs w:val="21"/>
          <w:lang w:eastAsia="zh-CN"/>
        </w:rPr>
      </w:pPr>
      <w:r>
        <w:rPr>
          <w:rFonts w:hAnsi="Times New Roman" w:eastAsia="宋体"/>
          <w:b/>
          <w:bCs/>
          <w:sz w:val="21"/>
          <w:szCs w:val="21"/>
          <w:lang w:eastAsia="zh-CN"/>
        </w:rPr>
        <w:t>表</w:t>
      </w:r>
      <w:r>
        <w:rPr>
          <w:rFonts w:hint="eastAsia" w:hAnsi="Times New Roman" w:eastAsia="宋体"/>
          <w:b/>
          <w:bCs/>
          <w:sz w:val="21"/>
          <w:szCs w:val="21"/>
          <w:lang w:eastAsia="zh-CN"/>
        </w:rPr>
        <w:t>6.4-3</w:t>
      </w:r>
      <w:r>
        <w:rPr>
          <w:rFonts w:hAnsi="Times New Roman" w:eastAsia="宋体"/>
          <w:b/>
          <w:bCs/>
          <w:sz w:val="21"/>
          <w:szCs w:val="21"/>
          <w:lang w:eastAsia="zh-CN"/>
        </w:rPr>
        <w:t xml:space="preserve"> </w:t>
      </w:r>
      <w:r>
        <w:rPr>
          <w:rFonts w:hint="eastAsia" w:hAnsi="Times New Roman" w:eastAsia="宋体"/>
          <w:b/>
          <w:bCs/>
          <w:sz w:val="21"/>
          <w:szCs w:val="21"/>
          <w:lang w:eastAsia="zh-CN"/>
        </w:rPr>
        <w:t>矿区生活污水</w:t>
      </w:r>
      <w:r>
        <w:rPr>
          <w:rFonts w:hAnsi="Times New Roman" w:eastAsia="宋体"/>
          <w:b/>
          <w:bCs/>
          <w:sz w:val="21"/>
          <w:szCs w:val="21"/>
          <w:lang w:eastAsia="zh-CN"/>
        </w:rPr>
        <w:t>水质特征表</w:t>
      </w:r>
    </w:p>
    <w:tbl>
      <w:tblPr>
        <w:tblStyle w:val="33"/>
        <w:tblW w:w="8740" w:type="dxa"/>
        <w:tblInd w:w="-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200"/>
        <w:gridCol w:w="738"/>
        <w:gridCol w:w="1946"/>
        <w:gridCol w:w="972"/>
        <w:gridCol w:w="972"/>
        <w:gridCol w:w="972"/>
        <w:gridCol w:w="972"/>
        <w:gridCol w:w="96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82" w:hRule="atLeast"/>
        </w:trPr>
        <w:tc>
          <w:tcPr>
            <w:tcW w:w="3884" w:type="dxa"/>
            <w:gridSpan w:val="3"/>
            <w:vMerge w:val="restart"/>
            <w:tcBorders>
              <w:tl2br w:val="single" w:color="000000"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b/>
                <w:bCs/>
                <w:kern w:val="2"/>
                <w:sz w:val="21"/>
                <w:szCs w:val="21"/>
                <w:lang w:eastAsia="zh-CN" w:bidi="ar"/>
              </w:rPr>
            </w:pPr>
            <w:r>
              <w:rPr>
                <w:rFonts w:hint="eastAsia" w:hAnsi="Times New Roman" w:eastAsia="宋体"/>
                <w:b/>
                <w:bCs/>
                <w:kern w:val="2"/>
                <w:sz w:val="21"/>
                <w:szCs w:val="21"/>
                <w:lang w:eastAsia="zh-CN" w:bidi="ar"/>
              </w:rPr>
              <w:t>污染物</w:t>
            </w:r>
          </w:p>
          <w:p>
            <w:pPr>
              <w:keepNext w:val="0"/>
              <w:keepLines w:val="0"/>
              <w:widowControl/>
              <w:suppressLineNumbers w:val="0"/>
              <w:spacing w:before="0" w:beforeAutospacing="0" w:after="0" w:afterAutospacing="0"/>
              <w:ind w:left="0" w:right="0"/>
              <w:jc w:val="center"/>
              <w:textAlignment w:val="center"/>
              <w:rPr>
                <w:rFonts w:hint="eastAsia" w:hAnsi="Times New Roman" w:eastAsia="宋体"/>
                <w:b/>
                <w:bCs/>
                <w:kern w:val="2"/>
                <w:sz w:val="21"/>
                <w:szCs w:val="21"/>
                <w:lang w:eastAsia="zh-CN" w:bidi="ar"/>
              </w:rPr>
            </w:pPr>
            <w:r>
              <w:rPr>
                <w:rFonts w:hint="eastAsia" w:hAnsi="Times New Roman" w:eastAsia="宋体"/>
                <w:b/>
                <w:bCs/>
                <w:kern w:val="2"/>
                <w:sz w:val="21"/>
                <w:szCs w:val="21"/>
                <w:lang w:eastAsia="zh-CN" w:bidi="ar"/>
              </w:rPr>
              <w:t>污废水种类</w:t>
            </w:r>
          </w:p>
        </w:tc>
        <w:tc>
          <w:tcPr>
            <w:tcW w:w="4856" w:type="dxa"/>
            <w:gridSpan w:val="5"/>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b/>
                <w:bCs/>
                <w:kern w:val="2"/>
                <w:sz w:val="21"/>
                <w:szCs w:val="21"/>
                <w:lang w:eastAsia="zh-CN" w:bidi="ar"/>
              </w:rPr>
            </w:pPr>
            <w:r>
              <w:rPr>
                <w:rFonts w:hint="eastAsia" w:hAnsi="Times New Roman" w:eastAsia="宋体"/>
                <w:b/>
                <w:bCs/>
                <w:kern w:val="2"/>
                <w:sz w:val="21"/>
                <w:szCs w:val="21"/>
                <w:lang w:eastAsia="zh-CN" w:bidi="ar"/>
              </w:rPr>
              <w:t>特征污染物浓度，mg/L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82" w:hRule="atLeast"/>
        </w:trPr>
        <w:tc>
          <w:tcPr>
            <w:tcW w:w="3884" w:type="dxa"/>
            <w:gridSpan w:val="3"/>
            <w:vMerge w:val="continue"/>
            <w:tcBorders>
              <w:top w:val="nil"/>
              <w:tl2br w:val="single" w:color="000000" w:sz="4" w:space="0"/>
            </w:tcBorders>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b/>
                <w:bCs/>
                <w:kern w:val="2"/>
                <w:sz w:val="21"/>
                <w:szCs w:val="21"/>
                <w:lang w:eastAsia="zh-CN" w:bidi="ar"/>
              </w:rPr>
            </w:pPr>
          </w:p>
        </w:tc>
        <w:tc>
          <w:tcPr>
            <w:tcW w:w="972"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b/>
                <w:bCs/>
                <w:kern w:val="2"/>
                <w:sz w:val="21"/>
                <w:szCs w:val="21"/>
                <w:lang w:eastAsia="zh-CN" w:bidi="ar"/>
              </w:rPr>
            </w:pPr>
            <w:r>
              <w:rPr>
                <w:rFonts w:hint="eastAsia" w:hAnsi="Times New Roman" w:eastAsia="宋体"/>
                <w:b/>
                <w:bCs/>
                <w:kern w:val="2"/>
                <w:sz w:val="21"/>
                <w:szCs w:val="21"/>
                <w:lang w:eastAsia="zh-CN" w:bidi="ar"/>
              </w:rPr>
              <w:t>SS</w:t>
            </w:r>
          </w:p>
        </w:tc>
        <w:tc>
          <w:tcPr>
            <w:tcW w:w="972"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b/>
                <w:bCs/>
                <w:kern w:val="2"/>
                <w:sz w:val="21"/>
                <w:szCs w:val="21"/>
                <w:lang w:eastAsia="zh-CN" w:bidi="ar"/>
              </w:rPr>
            </w:pPr>
            <w:r>
              <w:rPr>
                <w:rFonts w:hint="eastAsia" w:hAnsi="Times New Roman" w:eastAsia="宋体"/>
                <w:b/>
                <w:bCs/>
                <w:kern w:val="2"/>
                <w:sz w:val="21"/>
                <w:szCs w:val="21"/>
                <w:lang w:eastAsia="zh-CN" w:bidi="ar"/>
              </w:rPr>
              <w:t>COD</w:t>
            </w:r>
          </w:p>
        </w:tc>
        <w:tc>
          <w:tcPr>
            <w:tcW w:w="972"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b/>
                <w:bCs/>
                <w:kern w:val="2"/>
                <w:sz w:val="21"/>
                <w:szCs w:val="21"/>
                <w:lang w:eastAsia="zh-CN" w:bidi="ar"/>
              </w:rPr>
            </w:pPr>
            <w:r>
              <w:rPr>
                <w:rFonts w:hint="eastAsia" w:hAnsi="Times New Roman" w:eastAsia="宋体"/>
                <w:b/>
                <w:bCs/>
                <w:kern w:val="2"/>
                <w:sz w:val="21"/>
                <w:szCs w:val="21"/>
                <w:lang w:eastAsia="zh-CN" w:bidi="ar"/>
              </w:rPr>
              <w:t>BOD</w:t>
            </w:r>
            <w:r>
              <w:rPr>
                <w:rFonts w:hint="eastAsia" w:hAnsi="Times New Roman" w:eastAsia="宋体"/>
                <w:b/>
                <w:bCs/>
                <w:kern w:val="2"/>
                <w:sz w:val="21"/>
                <w:szCs w:val="21"/>
                <w:vertAlign w:val="subscript"/>
                <w:lang w:eastAsia="zh-CN" w:bidi="ar"/>
              </w:rPr>
              <w:t>5</w:t>
            </w:r>
          </w:p>
        </w:tc>
        <w:tc>
          <w:tcPr>
            <w:tcW w:w="972"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b/>
                <w:bCs/>
                <w:kern w:val="2"/>
                <w:sz w:val="21"/>
                <w:szCs w:val="21"/>
                <w:lang w:eastAsia="zh-CN" w:bidi="ar"/>
              </w:rPr>
            </w:pPr>
            <w:r>
              <w:rPr>
                <w:rFonts w:hint="eastAsia" w:hAnsi="Times New Roman" w:eastAsia="宋体"/>
                <w:b/>
                <w:bCs/>
                <w:kern w:val="2"/>
                <w:sz w:val="21"/>
                <w:szCs w:val="21"/>
                <w:lang w:eastAsia="zh-CN" w:bidi="ar"/>
              </w:rPr>
              <w:t>石油类</w:t>
            </w:r>
          </w:p>
        </w:tc>
        <w:tc>
          <w:tcPr>
            <w:tcW w:w="968" w:type="dxa"/>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b/>
                <w:bCs/>
                <w:kern w:val="2"/>
                <w:sz w:val="21"/>
                <w:szCs w:val="21"/>
                <w:lang w:eastAsia="zh-CN" w:bidi="ar"/>
              </w:rPr>
            </w:pPr>
            <w:r>
              <w:rPr>
                <w:rFonts w:hint="eastAsia" w:hAnsi="Times New Roman" w:eastAsia="宋体"/>
                <w:b/>
                <w:bCs/>
                <w:kern w:val="2"/>
                <w:sz w:val="21"/>
                <w:szCs w:val="21"/>
                <w:lang w:eastAsia="zh-CN" w:bidi="ar"/>
              </w:rPr>
              <w:t>氨氮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82" w:hRule="atLeast"/>
        </w:trPr>
        <w:tc>
          <w:tcPr>
            <w:tcW w:w="120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矿井工</w:t>
            </w:r>
          </w:p>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业场地</w:t>
            </w:r>
          </w:p>
        </w:tc>
        <w:tc>
          <w:tcPr>
            <w:tcW w:w="73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生活</w:t>
            </w:r>
          </w:p>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污水</w:t>
            </w:r>
          </w:p>
        </w:tc>
        <w:tc>
          <w:tcPr>
            <w:tcW w:w="1946"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处理前</w:t>
            </w:r>
          </w:p>
        </w:tc>
        <w:tc>
          <w:tcPr>
            <w:tcW w:w="972"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136</w:t>
            </w:r>
          </w:p>
        </w:tc>
        <w:tc>
          <w:tcPr>
            <w:tcW w:w="972"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165</w:t>
            </w:r>
          </w:p>
        </w:tc>
        <w:tc>
          <w:tcPr>
            <w:tcW w:w="972"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93.3</w:t>
            </w:r>
          </w:p>
        </w:tc>
        <w:tc>
          <w:tcPr>
            <w:tcW w:w="972"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96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26.8</w:t>
            </w:r>
          </w:p>
        </w:tc>
      </w:tr>
    </w:tbl>
    <w:p>
      <w:pPr>
        <w:pStyle w:val="14"/>
        <w:kinsoku w:val="0"/>
        <w:overflowPunct w:val="0"/>
        <w:spacing w:line="360" w:lineRule="auto"/>
        <w:ind w:right="98" w:firstLine="480"/>
        <w:jc w:val="left"/>
        <w:rPr>
          <w:rFonts w:ascii="Times New Roman" w:hAnsi="Times New Roman"/>
          <w:b/>
          <w:bCs w:val="0"/>
          <w:sz w:val="24"/>
          <w:lang w:eastAsia="zh-CN"/>
        </w:rPr>
      </w:pPr>
      <w:r>
        <w:rPr>
          <w:rFonts w:hint="eastAsia" w:ascii="Times New Roman" w:hAnsi="Times New Roman"/>
          <w:b/>
          <w:bCs w:val="0"/>
          <w:sz w:val="24"/>
          <w:lang w:eastAsia="zh-CN"/>
        </w:rPr>
        <w:t>（3）生活污水处理站可行性分析</w:t>
      </w:r>
    </w:p>
    <w:p>
      <w:pPr>
        <w:spacing w:line="360" w:lineRule="auto"/>
        <w:ind w:firstLine="482" w:firstLineChars="200"/>
        <w:rPr>
          <w:rFonts w:hAnsi="Times New Roman" w:eastAsia="宋体"/>
          <w:b/>
          <w:bCs/>
          <w:szCs w:val="22"/>
          <w:lang w:eastAsia="zh-CN"/>
        </w:rPr>
      </w:pPr>
      <w:r>
        <w:rPr>
          <w:rFonts w:hint="eastAsia" w:hAnsi="Times New Roman" w:eastAsia="宋体"/>
          <w:b/>
          <w:bCs/>
          <w:szCs w:val="22"/>
          <w:lang w:eastAsia="zh-CN"/>
        </w:rPr>
        <w:t>①污水处理工艺</w:t>
      </w:r>
    </w:p>
    <w:p>
      <w:pPr>
        <w:spacing w:line="360" w:lineRule="auto"/>
        <w:ind w:firstLine="480" w:firstLineChars="200"/>
        <w:rPr>
          <w:rFonts w:hAnsi="Times New Roman" w:eastAsia="宋体"/>
        </w:rPr>
      </w:pPr>
      <w:r>
        <w:rPr>
          <w:rFonts w:hint="eastAsia" w:hAnsi="Times New Roman" w:eastAsia="宋体"/>
          <w:szCs w:val="22"/>
          <w:lang w:eastAsia="zh-CN"/>
        </w:rPr>
        <w:t>食堂废水经油水分离器，</w:t>
      </w:r>
      <w:r>
        <w:rPr>
          <w:rFonts w:hAnsi="Times New Roman" w:eastAsia="宋体"/>
          <w:szCs w:val="22"/>
          <w:lang w:eastAsia="zh-CN"/>
        </w:rPr>
        <w:t>洗浴废水</w:t>
      </w:r>
      <w:r>
        <w:rPr>
          <w:rFonts w:hint="eastAsia" w:hAnsi="Times New Roman" w:eastAsia="宋体"/>
          <w:szCs w:val="22"/>
          <w:lang w:eastAsia="zh-CN"/>
        </w:rPr>
        <w:t>经</w:t>
      </w:r>
      <w:r>
        <w:rPr>
          <w:rFonts w:hAnsi="Times New Roman" w:eastAsia="宋体"/>
          <w:szCs w:val="22"/>
          <w:lang w:eastAsia="zh-CN"/>
        </w:rPr>
        <w:t>毛发集污井处理</w:t>
      </w:r>
      <w:r>
        <w:rPr>
          <w:rFonts w:hint="eastAsia" w:hAnsi="Times New Roman" w:eastAsia="宋体"/>
          <w:szCs w:val="22"/>
          <w:lang w:eastAsia="zh-CN"/>
        </w:rPr>
        <w:t>后进</w:t>
      </w:r>
      <w:r>
        <w:rPr>
          <w:rFonts w:hAnsi="Times New Roman" w:eastAsia="宋体"/>
          <w:szCs w:val="22"/>
          <w:lang w:eastAsia="zh-CN"/>
        </w:rPr>
        <w:t>入污水处理一体化设施</w:t>
      </w:r>
      <w:r>
        <w:rPr>
          <w:rFonts w:hint="eastAsia" w:hAnsi="Times New Roman" w:eastAsia="宋体"/>
          <w:szCs w:val="22"/>
          <w:lang w:eastAsia="zh-CN"/>
        </w:rPr>
        <w:t>（处理能力240m</w:t>
      </w:r>
      <w:r>
        <w:rPr>
          <w:rFonts w:hint="eastAsia" w:hAnsi="Times New Roman" w:eastAsia="宋体"/>
          <w:szCs w:val="22"/>
          <w:vertAlign w:val="superscript"/>
          <w:lang w:eastAsia="zh-CN"/>
        </w:rPr>
        <w:t>3</w:t>
      </w:r>
      <w:r>
        <w:rPr>
          <w:rFonts w:hint="eastAsia" w:hAnsi="Times New Roman" w:eastAsia="宋体"/>
          <w:szCs w:val="22"/>
          <w:lang w:eastAsia="zh-CN"/>
        </w:rPr>
        <w:t>/d）处理</w:t>
      </w:r>
      <w:r>
        <w:rPr>
          <w:rFonts w:hAnsi="Times New Roman" w:eastAsia="宋体"/>
          <w:szCs w:val="22"/>
          <w:lang w:eastAsia="zh-CN"/>
        </w:rPr>
        <w:t>，最终回用于地面防尘用水、绿化用水等不外排，生活污水进入化粪池（容积约</w:t>
      </w:r>
      <w:r>
        <w:rPr>
          <w:rFonts w:hint="eastAsia" w:hAnsi="Times New Roman" w:eastAsia="宋体"/>
          <w:szCs w:val="22"/>
          <w:lang w:eastAsia="zh-CN"/>
        </w:rPr>
        <w:t>422.4</w:t>
      </w:r>
      <w:r>
        <w:rPr>
          <w:rFonts w:hAnsi="Times New Roman" w:eastAsia="宋体"/>
          <w:szCs w:val="22"/>
          <w:lang w:eastAsia="zh-CN"/>
        </w:rPr>
        <w:t>m</w:t>
      </w:r>
      <w:r>
        <w:rPr>
          <w:rFonts w:hAnsi="Times New Roman" w:eastAsia="宋体"/>
          <w:szCs w:val="22"/>
          <w:vertAlign w:val="superscript"/>
          <w:lang w:eastAsia="zh-CN"/>
        </w:rPr>
        <w:t>3</w:t>
      </w:r>
      <w:r>
        <w:rPr>
          <w:rFonts w:hAnsi="Times New Roman" w:eastAsia="宋体"/>
          <w:szCs w:val="22"/>
          <w:lang w:eastAsia="zh-CN"/>
        </w:rPr>
        <w:t>）处理后，由达州市鑫通管道疏通有限公司定期清运处置，不外排。</w:t>
      </w:r>
      <w:r>
        <w:rPr>
          <w:rFonts w:hAnsi="Times New Roman" w:eastAsia="宋体"/>
        </w:rPr>
        <w:t>生活污水处理工艺如图。</w:t>
      </w:r>
    </w:p>
    <w:p>
      <w:pPr>
        <w:jc w:val="center"/>
        <w:rPr>
          <w:rFonts w:hAnsi="Times New Roman" w:eastAsia="宋体"/>
        </w:rPr>
      </w:pPr>
      <w:r>
        <w:drawing>
          <wp:inline distT="0" distB="0" distL="114300" distR="114300">
            <wp:extent cx="5782945" cy="1440815"/>
            <wp:effectExtent l="0" t="0" r="8255" b="6985"/>
            <wp:docPr id="55"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7"/>
                    <pic:cNvPicPr>
                      <a:picLocks noChangeAspect="1"/>
                    </pic:cNvPicPr>
                  </pic:nvPicPr>
                  <pic:blipFill>
                    <a:blip r:embed="rId240"/>
                    <a:stretch>
                      <a:fillRect/>
                    </a:stretch>
                  </pic:blipFill>
                  <pic:spPr>
                    <a:xfrm>
                      <a:off x="0" y="0"/>
                      <a:ext cx="5782945" cy="1440815"/>
                    </a:xfrm>
                    <a:prstGeom prst="rect">
                      <a:avLst/>
                    </a:prstGeom>
                    <a:noFill/>
                    <a:ln>
                      <a:noFill/>
                    </a:ln>
                  </pic:spPr>
                </pic:pic>
              </a:graphicData>
            </a:graphic>
          </wp:inline>
        </w:drawing>
      </w:r>
    </w:p>
    <w:p>
      <w:pPr>
        <w:spacing w:after="169" w:afterLines="50"/>
        <w:jc w:val="center"/>
        <w:rPr>
          <w:rFonts w:hAnsi="Times New Roman" w:eastAsia="宋体"/>
          <w:b/>
          <w:sz w:val="21"/>
          <w:szCs w:val="18"/>
        </w:rPr>
      </w:pPr>
      <w:r>
        <w:rPr>
          <w:rFonts w:hAnsi="Times New Roman" w:eastAsia="宋体"/>
          <w:b/>
          <w:sz w:val="21"/>
          <w:szCs w:val="18"/>
        </w:rPr>
        <w:t xml:space="preserve">图 </w:t>
      </w:r>
      <w:r>
        <w:rPr>
          <w:rFonts w:hint="eastAsia" w:hAnsi="Times New Roman" w:eastAsia="宋体"/>
          <w:b/>
          <w:sz w:val="21"/>
          <w:szCs w:val="18"/>
          <w:lang w:eastAsia="zh-CN"/>
        </w:rPr>
        <w:t xml:space="preserve">6.4-2 </w:t>
      </w:r>
      <w:r>
        <w:rPr>
          <w:rFonts w:hAnsi="Times New Roman" w:eastAsia="宋体"/>
          <w:b/>
          <w:sz w:val="21"/>
          <w:szCs w:val="18"/>
        </w:rPr>
        <w:t>生活污水处理工艺流程图</w:t>
      </w:r>
    </w:p>
    <w:p>
      <w:pPr>
        <w:spacing w:line="360" w:lineRule="auto"/>
        <w:ind w:firstLine="482" w:firstLineChars="200"/>
        <w:rPr>
          <w:rFonts w:hAnsi="Times New Roman" w:eastAsia="宋体"/>
          <w:b/>
          <w:bCs/>
          <w:szCs w:val="24"/>
          <w:lang w:eastAsia="zh-CN"/>
        </w:rPr>
      </w:pPr>
      <w:r>
        <w:rPr>
          <w:rFonts w:hAnsi="Times New Roman" w:eastAsia="宋体"/>
          <w:b/>
          <w:bCs/>
          <w:szCs w:val="24"/>
          <w:lang w:eastAsia="zh-CN"/>
        </w:rPr>
        <w:t>项目工艺流程简介如下：</w:t>
      </w:r>
    </w:p>
    <w:p>
      <w:pPr>
        <w:snapToGrid w:val="0"/>
        <w:spacing w:line="360" w:lineRule="auto"/>
        <w:ind w:firstLine="482" w:firstLineChars="200"/>
        <w:rPr>
          <w:rFonts w:hAnsi="Times New Roman" w:eastAsia="宋体"/>
          <w:szCs w:val="24"/>
          <w:lang w:eastAsia="zh-CN"/>
        </w:rPr>
      </w:pPr>
      <w:r>
        <w:rPr>
          <w:rFonts w:hAnsi="Times New Roman" w:eastAsia="宋体"/>
          <w:b/>
          <w:szCs w:val="24"/>
          <w:lang w:eastAsia="zh-CN"/>
        </w:rPr>
        <w:t>预处理</w:t>
      </w:r>
      <w:r>
        <w:rPr>
          <w:rFonts w:hint="eastAsia" w:hAnsi="Times New Roman" w:eastAsia="宋体"/>
          <w:b/>
          <w:szCs w:val="24"/>
          <w:lang w:eastAsia="zh-CN"/>
        </w:rPr>
        <w:t>：</w:t>
      </w:r>
      <w:r>
        <w:rPr>
          <w:rFonts w:hAnsi="Times New Roman" w:eastAsia="宋体"/>
          <w:bCs/>
          <w:szCs w:val="24"/>
          <w:lang w:eastAsia="zh-CN"/>
        </w:rPr>
        <w:t>项目食堂废水</w:t>
      </w:r>
      <w:r>
        <w:rPr>
          <w:rFonts w:hint="eastAsia" w:hAnsi="Times New Roman" w:eastAsia="宋体"/>
          <w:bCs/>
          <w:szCs w:val="24"/>
          <w:lang w:eastAsia="zh-CN"/>
        </w:rPr>
        <w:t>油水分离器</w:t>
      </w:r>
      <w:r>
        <w:rPr>
          <w:rFonts w:hAnsi="Times New Roman" w:eastAsia="宋体"/>
          <w:bCs/>
          <w:szCs w:val="24"/>
          <w:lang w:eastAsia="zh-CN"/>
        </w:rPr>
        <w:t>预处理，淋浴废水先经</w:t>
      </w:r>
      <w:r>
        <w:rPr>
          <w:rFonts w:hAnsi="Times New Roman" w:eastAsia="宋体"/>
          <w:szCs w:val="24"/>
          <w:lang w:eastAsia="zh-CN"/>
        </w:rPr>
        <w:t>2座容积均为1.5m</w:t>
      </w:r>
      <w:r>
        <w:rPr>
          <w:rFonts w:hAnsi="Times New Roman" w:eastAsia="宋体"/>
          <w:szCs w:val="24"/>
          <w:vertAlign w:val="superscript"/>
          <w:lang w:eastAsia="zh-CN"/>
        </w:rPr>
        <w:t>3</w:t>
      </w:r>
      <w:r>
        <w:rPr>
          <w:rFonts w:hAnsi="Times New Roman" w:eastAsia="宋体"/>
          <w:szCs w:val="24"/>
          <w:lang w:eastAsia="zh-CN"/>
        </w:rPr>
        <w:t>的毛发集污井</w:t>
      </w:r>
      <w:r>
        <w:rPr>
          <w:rFonts w:hAnsi="Times New Roman" w:eastAsia="宋体"/>
          <w:bCs/>
          <w:szCs w:val="24"/>
          <w:lang w:eastAsia="zh-CN"/>
        </w:rPr>
        <w:t>进行预处理</w:t>
      </w:r>
      <w:r>
        <w:rPr>
          <w:rFonts w:hAnsi="Times New Roman" w:eastAsia="宋体"/>
          <w:szCs w:val="24"/>
          <w:lang w:eastAsia="zh-CN"/>
        </w:rPr>
        <w:t>。</w:t>
      </w:r>
      <w:r>
        <w:rPr>
          <w:rFonts w:hint="eastAsia" w:hAnsi="Times New Roman" w:eastAsia="宋体"/>
          <w:szCs w:val="24"/>
          <w:lang w:eastAsia="zh-CN"/>
        </w:rPr>
        <w:t>生活污水经化粪池处理。</w:t>
      </w:r>
    </w:p>
    <w:p>
      <w:pPr>
        <w:snapToGrid w:val="0"/>
        <w:spacing w:line="360" w:lineRule="auto"/>
        <w:ind w:firstLine="482" w:firstLineChars="200"/>
        <w:rPr>
          <w:rFonts w:hAnsi="Times New Roman" w:eastAsia="宋体"/>
          <w:bCs/>
          <w:szCs w:val="24"/>
          <w:lang w:eastAsia="zh-CN"/>
        </w:rPr>
      </w:pPr>
      <w:r>
        <w:rPr>
          <w:rFonts w:hAnsi="Times New Roman" w:eastAsia="宋体"/>
          <w:b/>
          <w:szCs w:val="24"/>
          <w:lang w:eastAsia="zh-CN"/>
        </w:rPr>
        <w:t>调节池</w:t>
      </w:r>
      <w:r>
        <w:rPr>
          <w:rFonts w:hint="eastAsia" w:hAnsi="Times New Roman" w:eastAsia="宋体"/>
          <w:b/>
          <w:szCs w:val="24"/>
          <w:lang w:eastAsia="zh-CN"/>
        </w:rPr>
        <w:t>：</w:t>
      </w:r>
      <w:r>
        <w:rPr>
          <w:rFonts w:hAnsi="Times New Roman" w:eastAsia="宋体"/>
          <w:bCs/>
          <w:szCs w:val="24"/>
          <w:lang w:eastAsia="zh-CN"/>
        </w:rPr>
        <w:t>由于煤矿生活污水约90%左右为淋浴废水和洗衣废水，淋浴废水、洗衣废水具有集中性、间歇性、量大的特点，为了调节水量水质和合理设计水处理设施规模，保证水处理构筑物运行的连续性、稳定性，需增加调节池的有效调节容积。</w:t>
      </w:r>
    </w:p>
    <w:p>
      <w:pPr>
        <w:snapToGrid w:val="0"/>
        <w:spacing w:line="360" w:lineRule="auto"/>
        <w:ind w:firstLine="482" w:firstLineChars="200"/>
        <w:rPr>
          <w:rFonts w:hAnsi="Times New Roman" w:eastAsia="宋体"/>
          <w:bCs/>
          <w:szCs w:val="24"/>
          <w:lang w:eastAsia="zh-CN"/>
        </w:rPr>
      </w:pPr>
      <w:r>
        <w:rPr>
          <w:rFonts w:hAnsi="Times New Roman" w:eastAsia="宋体"/>
          <w:b/>
          <w:szCs w:val="24"/>
          <w:lang w:eastAsia="zh-CN"/>
        </w:rPr>
        <w:t>生化处理工艺选择</w:t>
      </w:r>
      <w:r>
        <w:rPr>
          <w:rFonts w:hint="eastAsia" w:hAnsi="Times New Roman" w:eastAsia="宋体"/>
          <w:b/>
          <w:szCs w:val="24"/>
          <w:lang w:eastAsia="zh-CN"/>
        </w:rPr>
        <w:t>：</w:t>
      </w:r>
      <w:r>
        <w:rPr>
          <w:rFonts w:hAnsi="Times New Roman" w:eastAsia="宋体"/>
          <w:bCs/>
          <w:szCs w:val="24"/>
          <w:lang w:eastAsia="zh-CN"/>
        </w:rPr>
        <w:t>AO生物膜兼有生物膜法和活性污泥法二者之长，其是在活性污泥工艺的反应池装设组合填料，反应池内的生物量由悬浮态污泥和附着态生物膜组成，大幅提高了反应池内生物量，有利于生长缓慢的硝化菌的生长聚集，增加了系统耐冲击负荷能力和除污效率，减少污泥产量，不产生污泥膨胀。AO生物膜工艺同时具有缺氧段、好氧段微生物相互独立，各自始终处于最佳生态环境中，不受厌氧、好氧环境交替的抑制作用，缺氧段污水中的有机物可直接作为碳源被反硝化细菌利用，达到同步去除COD和脱氮目的。另外，采用组合填料作为生化反应池内微生物生长载体，由于组合填料比表面积较大，反应池中大量生物体附着在填料上，而悬浮在池内的生物量并不很高，工艺脱碳、硝化效果好，硝化段的出水SS较低，可不设污泥回流。</w:t>
      </w:r>
    </w:p>
    <w:p>
      <w:pPr>
        <w:snapToGrid w:val="0"/>
        <w:spacing w:line="360" w:lineRule="auto"/>
        <w:ind w:firstLine="482" w:firstLineChars="200"/>
        <w:rPr>
          <w:rFonts w:hAnsi="Times New Roman" w:eastAsia="宋体"/>
          <w:bCs/>
          <w:szCs w:val="24"/>
          <w:lang w:eastAsia="zh-CN"/>
        </w:rPr>
      </w:pPr>
      <w:r>
        <w:rPr>
          <w:rFonts w:hAnsi="Times New Roman" w:eastAsia="宋体"/>
          <w:b/>
          <w:szCs w:val="24"/>
          <w:lang w:eastAsia="zh-CN"/>
        </w:rPr>
        <w:t>消毒</w:t>
      </w:r>
      <w:r>
        <w:rPr>
          <w:rFonts w:hint="eastAsia" w:hAnsi="Times New Roman" w:eastAsia="宋体"/>
          <w:b/>
          <w:szCs w:val="24"/>
          <w:lang w:eastAsia="zh-CN"/>
        </w:rPr>
        <w:t>：</w:t>
      </w:r>
      <w:r>
        <w:rPr>
          <w:rFonts w:hAnsi="Times New Roman" w:eastAsia="宋体"/>
          <w:bCs/>
          <w:szCs w:val="24"/>
          <w:lang w:eastAsia="zh-CN"/>
        </w:rPr>
        <w:t>次氯酸钠是一种高效、广谱、安全的强力灭菌消毒药剂，它与水亲和性好，能与水以任意比互溶，易购置储存，操作安全方便，可在各种环境及工作状况下投加，可替代二氧化氯作为小规模煤矿生活污水处理的消毒药剂。本项目出水回用于</w:t>
      </w:r>
      <w:r>
        <w:rPr>
          <w:rFonts w:hint="eastAsia" w:hAnsi="Times New Roman" w:eastAsia="宋体"/>
          <w:bCs/>
          <w:szCs w:val="24"/>
          <w:lang w:eastAsia="zh-CN"/>
        </w:rPr>
        <w:t>地面</w:t>
      </w:r>
      <w:r>
        <w:rPr>
          <w:rFonts w:hAnsi="Times New Roman" w:eastAsia="宋体"/>
          <w:bCs/>
          <w:szCs w:val="24"/>
          <w:lang w:eastAsia="zh-CN"/>
        </w:rPr>
        <w:t>生产用水等。</w:t>
      </w:r>
    </w:p>
    <w:p>
      <w:pPr>
        <w:spacing w:line="360" w:lineRule="auto"/>
        <w:ind w:firstLine="482" w:firstLineChars="200"/>
        <w:rPr>
          <w:rFonts w:hAnsi="Times New Roman" w:eastAsia="宋体"/>
          <w:b/>
          <w:bCs/>
          <w:szCs w:val="24"/>
          <w:lang w:eastAsia="zh-CN"/>
        </w:rPr>
      </w:pPr>
      <w:r>
        <w:rPr>
          <w:rFonts w:hint="eastAsia" w:hAnsi="Times New Roman" w:eastAsia="宋体"/>
          <w:b/>
          <w:bCs/>
          <w:szCs w:val="22"/>
          <w:lang w:eastAsia="zh-CN"/>
        </w:rPr>
        <w:t>②</w:t>
      </w:r>
      <w:r>
        <w:rPr>
          <w:rFonts w:hAnsi="Times New Roman" w:eastAsia="宋体"/>
          <w:b/>
          <w:bCs/>
          <w:szCs w:val="24"/>
          <w:lang w:eastAsia="zh-CN"/>
        </w:rPr>
        <w:t>生活污水工艺可行性分析</w:t>
      </w:r>
    </w:p>
    <w:p>
      <w:pPr>
        <w:spacing w:line="360" w:lineRule="auto"/>
        <w:ind w:firstLine="480" w:firstLineChars="200"/>
        <w:rPr>
          <w:rFonts w:hAnsi="Times New Roman" w:eastAsia="宋体"/>
          <w:szCs w:val="24"/>
          <w:lang w:eastAsia="zh-CN"/>
        </w:rPr>
      </w:pPr>
      <w:r>
        <w:rPr>
          <w:rFonts w:hAnsi="Times New Roman" w:eastAsia="宋体"/>
          <w:szCs w:val="24"/>
          <w:lang w:eastAsia="zh-CN"/>
        </w:rPr>
        <w:t>一般说来，煤矿生产、生活污水污染物浓度要比城市污水低得多，环评认为采用具有脱氮除磷效果的生活污水处理装置处理后，生活污水中主要污染物 SS、COD、BOD</w:t>
      </w:r>
      <w:r>
        <w:rPr>
          <w:rFonts w:hAnsi="Times New Roman" w:eastAsia="宋体"/>
          <w:szCs w:val="24"/>
          <w:vertAlign w:val="subscript"/>
          <w:lang w:eastAsia="zh-CN"/>
        </w:rPr>
        <w:t>5</w:t>
      </w:r>
      <w:r>
        <w:rPr>
          <w:rFonts w:hAnsi="Times New Roman" w:eastAsia="宋体"/>
          <w:szCs w:val="24"/>
          <w:lang w:eastAsia="zh-CN"/>
        </w:rPr>
        <w:t>、NH</w:t>
      </w:r>
      <w:r>
        <w:rPr>
          <w:rFonts w:hAnsi="Times New Roman" w:eastAsia="宋体"/>
          <w:szCs w:val="24"/>
          <w:vertAlign w:val="subscript"/>
          <w:lang w:eastAsia="zh-CN"/>
        </w:rPr>
        <w:t>3</w:t>
      </w:r>
      <w:r>
        <w:rPr>
          <w:rFonts w:hAnsi="Times New Roman" w:eastAsia="宋体"/>
          <w:szCs w:val="24"/>
          <w:lang w:eastAsia="zh-CN"/>
        </w:rPr>
        <w:t>-N及总磷的去除效率分别为</w:t>
      </w:r>
      <w:r>
        <w:rPr>
          <w:rFonts w:hint="eastAsia" w:hAnsi="Times New Roman" w:eastAsia="宋体"/>
          <w:szCs w:val="24"/>
          <w:lang w:eastAsia="zh-CN"/>
        </w:rPr>
        <w:t>80</w:t>
      </w:r>
      <w:r>
        <w:rPr>
          <w:rFonts w:hAnsi="Times New Roman" w:eastAsia="宋体"/>
          <w:szCs w:val="24"/>
          <w:lang w:eastAsia="zh-CN"/>
        </w:rPr>
        <w:t>%、</w:t>
      </w:r>
      <w:r>
        <w:rPr>
          <w:rFonts w:hint="eastAsia" w:hAnsi="Times New Roman" w:eastAsia="宋体"/>
          <w:szCs w:val="24"/>
          <w:lang w:eastAsia="zh-CN"/>
        </w:rPr>
        <w:t>82.5</w:t>
      </w:r>
      <w:r>
        <w:rPr>
          <w:rFonts w:hAnsi="Times New Roman" w:eastAsia="宋体"/>
          <w:szCs w:val="24"/>
          <w:lang w:eastAsia="zh-CN"/>
        </w:rPr>
        <w:t>%、85%、60%、</w:t>
      </w:r>
      <w:r>
        <w:rPr>
          <w:rFonts w:hint="eastAsia" w:hAnsi="Times New Roman" w:eastAsia="宋体"/>
          <w:szCs w:val="24"/>
          <w:lang w:eastAsia="zh-CN"/>
        </w:rPr>
        <w:t>80</w:t>
      </w:r>
      <w:r>
        <w:rPr>
          <w:rFonts w:hAnsi="Times New Roman" w:eastAsia="宋体"/>
          <w:szCs w:val="24"/>
          <w:lang w:eastAsia="zh-CN"/>
        </w:rPr>
        <w:t>%以上。</w:t>
      </w:r>
    </w:p>
    <w:p>
      <w:pPr>
        <w:spacing w:line="360" w:lineRule="auto"/>
        <w:ind w:firstLine="422" w:firstLineChars="200"/>
        <w:jc w:val="center"/>
        <w:rPr>
          <w:rFonts w:hAnsi="Times New Roman" w:eastAsia="宋体"/>
          <w:b/>
          <w:bCs/>
          <w:sz w:val="21"/>
          <w:szCs w:val="21"/>
          <w:lang w:eastAsia="zh-CN"/>
        </w:rPr>
      </w:pPr>
      <w:r>
        <w:rPr>
          <w:rFonts w:hAnsi="Times New Roman" w:eastAsia="宋体"/>
          <w:b/>
          <w:bCs/>
          <w:sz w:val="21"/>
          <w:szCs w:val="21"/>
          <w:lang w:eastAsia="zh-CN"/>
        </w:rPr>
        <w:t>表</w:t>
      </w:r>
      <w:r>
        <w:rPr>
          <w:rFonts w:hint="eastAsia" w:hAnsi="Times New Roman" w:eastAsia="宋体"/>
          <w:b/>
          <w:bCs/>
          <w:sz w:val="21"/>
          <w:szCs w:val="21"/>
          <w:lang w:eastAsia="zh-CN"/>
        </w:rPr>
        <w:t>6.4-4</w:t>
      </w:r>
      <w:r>
        <w:rPr>
          <w:rFonts w:hAnsi="Times New Roman" w:eastAsia="宋体"/>
          <w:b/>
          <w:bCs/>
          <w:sz w:val="21"/>
          <w:szCs w:val="21"/>
          <w:lang w:eastAsia="zh-CN"/>
        </w:rPr>
        <w:t xml:space="preserve">  生活污水进出水水质及去除率 单位：mg/L，pH无量纲</w:t>
      </w:r>
    </w:p>
    <w:tbl>
      <w:tblPr>
        <w:tblStyle w:val="33"/>
        <w:tblW w:w="91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75"/>
        <w:gridCol w:w="2342"/>
        <w:gridCol w:w="1341"/>
        <w:gridCol w:w="1341"/>
        <w:gridCol w:w="1340"/>
        <w:gridCol w:w="13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3817" w:type="dxa"/>
            <w:gridSpan w:val="2"/>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水质指标</w:t>
            </w:r>
          </w:p>
        </w:tc>
        <w:tc>
          <w:tcPr>
            <w:tcW w:w="1341"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kern w:val="2"/>
                <w:sz w:val="22"/>
                <w:szCs w:val="22"/>
              </w:rPr>
              <w:t>SS</w:t>
            </w:r>
          </w:p>
        </w:tc>
        <w:tc>
          <w:tcPr>
            <w:tcW w:w="1341"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kern w:val="2"/>
                <w:sz w:val="22"/>
                <w:szCs w:val="22"/>
              </w:rPr>
              <w:t>COD</w:t>
            </w:r>
          </w:p>
        </w:tc>
        <w:tc>
          <w:tcPr>
            <w:tcW w:w="1340"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kern w:val="2"/>
                <w:sz w:val="22"/>
                <w:szCs w:val="22"/>
              </w:rPr>
              <w:t>BOD</w:t>
            </w:r>
            <w:r>
              <w:rPr>
                <w:rFonts w:hint="eastAsia" w:hAnsi="Times New Roman"/>
                <w:kern w:val="2"/>
                <w:sz w:val="22"/>
                <w:szCs w:val="22"/>
                <w:vertAlign w:val="subscript"/>
              </w:rPr>
              <w:t>5</w:t>
            </w:r>
          </w:p>
        </w:tc>
        <w:tc>
          <w:tcPr>
            <w:tcW w:w="1341"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kern w:val="2"/>
                <w:sz w:val="22"/>
                <w:szCs w:val="22"/>
              </w:rPr>
              <w:t>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475" w:type="dxa"/>
            <w:vMerge w:val="restart"/>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生活污水处理站</w:t>
            </w:r>
          </w:p>
        </w:tc>
        <w:tc>
          <w:tcPr>
            <w:tcW w:w="2342" w:type="dxa"/>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进水</w:t>
            </w:r>
          </w:p>
        </w:tc>
        <w:tc>
          <w:tcPr>
            <w:tcW w:w="1341"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kern w:val="2"/>
                <w:sz w:val="22"/>
                <w:szCs w:val="22"/>
              </w:rPr>
              <w:t>136</w:t>
            </w:r>
          </w:p>
        </w:tc>
        <w:tc>
          <w:tcPr>
            <w:tcW w:w="1341"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kern w:val="2"/>
                <w:sz w:val="22"/>
                <w:szCs w:val="22"/>
              </w:rPr>
              <w:t>165</w:t>
            </w:r>
          </w:p>
        </w:tc>
        <w:tc>
          <w:tcPr>
            <w:tcW w:w="1340"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kern w:val="2"/>
                <w:sz w:val="22"/>
                <w:szCs w:val="22"/>
              </w:rPr>
              <w:t>93.3</w:t>
            </w:r>
          </w:p>
        </w:tc>
        <w:tc>
          <w:tcPr>
            <w:tcW w:w="1341"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kern w:val="2"/>
                <w:sz w:val="22"/>
                <w:szCs w:val="22"/>
              </w:rPr>
              <w:t>26.8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475" w:type="dxa"/>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2342" w:type="dxa"/>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出水</w:t>
            </w:r>
          </w:p>
        </w:tc>
        <w:tc>
          <w:tcPr>
            <w:tcW w:w="1341"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
                <w:bCs/>
                <w:kern w:val="2"/>
                <w:sz w:val="21"/>
                <w:szCs w:val="21"/>
                <w:lang w:eastAsia="zh-CN"/>
              </w:rPr>
            </w:pPr>
            <w:r>
              <w:rPr>
                <w:rFonts w:hint="eastAsia" w:hAnsi="Times New Roman" w:eastAsia="宋体"/>
                <w:kern w:val="2"/>
                <w:sz w:val="22"/>
                <w:szCs w:val="22"/>
                <w:lang w:eastAsia="zh-CN"/>
              </w:rPr>
              <w:t>27.2</w:t>
            </w:r>
          </w:p>
        </w:tc>
        <w:tc>
          <w:tcPr>
            <w:tcW w:w="1341"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
                <w:bCs/>
                <w:kern w:val="2"/>
                <w:sz w:val="21"/>
                <w:szCs w:val="21"/>
              </w:rPr>
            </w:pPr>
            <w:r>
              <w:rPr>
                <w:rFonts w:hint="eastAsia" w:hAnsi="Times New Roman"/>
                <w:kern w:val="2"/>
                <w:sz w:val="22"/>
                <w:szCs w:val="22"/>
              </w:rPr>
              <w:t>28.8</w:t>
            </w:r>
          </w:p>
        </w:tc>
        <w:tc>
          <w:tcPr>
            <w:tcW w:w="1340"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
                <w:bCs/>
                <w:kern w:val="2"/>
                <w:sz w:val="21"/>
                <w:szCs w:val="21"/>
              </w:rPr>
            </w:pPr>
            <w:r>
              <w:rPr>
                <w:rFonts w:hint="eastAsia" w:hAnsi="Times New Roman"/>
                <w:kern w:val="2"/>
                <w:sz w:val="22"/>
                <w:szCs w:val="22"/>
              </w:rPr>
              <w:t>14.6</w:t>
            </w:r>
          </w:p>
        </w:tc>
        <w:tc>
          <w:tcPr>
            <w:tcW w:w="1341"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
                <w:bCs/>
                <w:kern w:val="2"/>
                <w:sz w:val="21"/>
                <w:szCs w:val="21"/>
                <w:lang w:eastAsia="zh-CN"/>
              </w:rPr>
            </w:pPr>
            <w:r>
              <w:rPr>
                <w:rFonts w:hint="eastAsia" w:hAnsi="Times New Roman" w:eastAsia="宋体"/>
                <w:kern w:val="2"/>
                <w:sz w:val="22"/>
                <w:szCs w:val="22"/>
                <w:lang w:eastAsia="zh-CN"/>
              </w:rPr>
              <w:t>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475" w:type="dxa"/>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2342" w:type="dxa"/>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去除率</w:t>
            </w:r>
          </w:p>
        </w:tc>
        <w:tc>
          <w:tcPr>
            <w:tcW w:w="1341" w:type="dxa"/>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80%</w:t>
            </w:r>
          </w:p>
        </w:tc>
        <w:tc>
          <w:tcPr>
            <w:tcW w:w="1341" w:type="dxa"/>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82.5%</w:t>
            </w:r>
          </w:p>
        </w:tc>
        <w:tc>
          <w:tcPr>
            <w:tcW w:w="1340" w:type="dxa"/>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85%</w:t>
            </w:r>
          </w:p>
        </w:tc>
        <w:tc>
          <w:tcPr>
            <w:tcW w:w="1341" w:type="dxa"/>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6" w:hRule="atLeast"/>
          <w:jc w:val="center"/>
        </w:trPr>
        <w:tc>
          <w:tcPr>
            <w:tcW w:w="3817" w:type="dxa"/>
            <w:gridSpan w:val="2"/>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kern w:val="2"/>
                <w:sz w:val="21"/>
                <w:szCs w:val="21"/>
              </w:rPr>
            </w:pPr>
            <w:r>
              <w:rPr>
                <w:rFonts w:hint="eastAsia" w:hAnsi="Times New Roman" w:eastAsia="宋体"/>
                <w:kern w:val="2"/>
                <w:sz w:val="21"/>
                <w:szCs w:val="21"/>
              </w:rPr>
              <w:t>《城市污水再生利用城市杂用水水质》（GB/T18920-2002）中城镇杂用水水质（绿化用水）标准</w:t>
            </w:r>
          </w:p>
        </w:tc>
        <w:tc>
          <w:tcPr>
            <w:tcW w:w="1341" w:type="dxa"/>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w:t>
            </w:r>
          </w:p>
        </w:tc>
        <w:tc>
          <w:tcPr>
            <w:tcW w:w="1341" w:type="dxa"/>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w:t>
            </w:r>
          </w:p>
        </w:tc>
        <w:tc>
          <w:tcPr>
            <w:tcW w:w="1340" w:type="dxa"/>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b/>
                <w:bCs/>
                <w:kern w:val="2"/>
                <w:sz w:val="21"/>
                <w:szCs w:val="21"/>
              </w:rPr>
            </w:pPr>
            <w:r>
              <w:rPr>
                <w:rFonts w:hint="eastAsia" w:hAnsi="Times New Roman" w:eastAsia="宋体"/>
                <w:b/>
                <w:bCs/>
                <w:spacing w:val="-1"/>
                <w:kern w:val="2"/>
                <w:sz w:val="21"/>
                <w:szCs w:val="22"/>
                <w:lang w:eastAsia="zh-CN"/>
              </w:rPr>
              <w:t>20</w:t>
            </w:r>
          </w:p>
        </w:tc>
        <w:tc>
          <w:tcPr>
            <w:tcW w:w="1341" w:type="dxa"/>
            <w:vAlign w:val="center"/>
          </w:tcPr>
          <w:p>
            <w:pPr>
              <w:keepNext w:val="0"/>
              <w:keepLines w:val="0"/>
              <w:widowControl/>
              <w:suppressLineNumbers w:val="0"/>
              <w:spacing w:before="0" w:beforeAutospacing="0" w:after="0" w:afterAutospacing="0" w:line="260" w:lineRule="exact"/>
              <w:ind w:left="0" w:right="0"/>
              <w:jc w:val="center"/>
              <w:textAlignment w:val="center"/>
              <w:rPr>
                <w:rFonts w:hint="eastAsia" w:hAnsi="Times New Roman" w:eastAsia="宋体"/>
                <w:b/>
                <w:bCs/>
                <w:kern w:val="2"/>
                <w:sz w:val="21"/>
                <w:szCs w:val="21"/>
              </w:rPr>
            </w:pPr>
            <w:r>
              <w:rPr>
                <w:rFonts w:hint="eastAsia" w:hAnsi="Times New Roman" w:eastAsia="宋体"/>
                <w:b/>
                <w:bCs/>
                <w:spacing w:val="-1"/>
                <w:kern w:val="2"/>
                <w:sz w:val="21"/>
                <w:szCs w:val="22"/>
                <w:lang w:eastAsia="zh-CN"/>
              </w:rPr>
              <w:t>20</w:t>
            </w:r>
          </w:p>
        </w:tc>
      </w:tr>
    </w:tbl>
    <w:p>
      <w:pPr>
        <w:spacing w:line="360" w:lineRule="auto"/>
        <w:ind w:firstLine="482" w:firstLineChars="200"/>
        <w:rPr>
          <w:rFonts w:hAnsi="Times New Roman" w:eastAsia="宋体"/>
          <w:b/>
          <w:bCs/>
          <w:szCs w:val="24"/>
          <w:lang w:eastAsia="zh-CN"/>
        </w:rPr>
      </w:pPr>
      <w:r>
        <w:rPr>
          <w:rFonts w:hAnsi="Times New Roman" w:eastAsia="宋体"/>
          <w:b/>
          <w:bCs/>
          <w:szCs w:val="24"/>
          <w:lang w:eastAsia="zh-CN"/>
        </w:rPr>
        <w:t>根据上表结果可知，项目采用“</w:t>
      </w:r>
      <w:r>
        <w:rPr>
          <w:rFonts w:hAnsi="Times New Roman" w:eastAsia="宋体"/>
          <w:b/>
          <w:bCs/>
        </w:rPr>
        <w:t>混凝+A</w:t>
      </w:r>
      <w:r>
        <w:rPr>
          <w:rFonts w:hAnsi="Times New Roman" w:eastAsia="宋体"/>
          <w:b/>
          <w:bCs/>
          <w:vertAlign w:val="superscript"/>
        </w:rPr>
        <w:t>2</w:t>
      </w:r>
      <w:r>
        <w:rPr>
          <w:rFonts w:hAnsi="Times New Roman" w:eastAsia="宋体"/>
          <w:b/>
          <w:bCs/>
        </w:rPr>
        <w:t>O+消毒</w:t>
      </w:r>
      <w:r>
        <w:rPr>
          <w:rFonts w:hAnsi="Times New Roman" w:eastAsia="宋体"/>
          <w:b/>
          <w:bCs/>
          <w:szCs w:val="24"/>
          <w:lang w:eastAsia="zh-CN"/>
        </w:rPr>
        <w:t>”工艺处理</w:t>
      </w:r>
      <w:r>
        <w:rPr>
          <w:rFonts w:hint="eastAsia" w:hAnsi="Times New Roman" w:eastAsia="宋体"/>
          <w:b/>
          <w:bCs/>
          <w:szCs w:val="24"/>
          <w:lang w:eastAsia="zh-CN"/>
        </w:rPr>
        <w:t>生活污水</w:t>
      </w:r>
      <w:r>
        <w:rPr>
          <w:rFonts w:hAnsi="Times New Roman" w:eastAsia="宋体"/>
          <w:b/>
          <w:bCs/>
          <w:szCs w:val="24"/>
          <w:lang w:eastAsia="zh-CN"/>
        </w:rPr>
        <w:t>技术可行。</w:t>
      </w:r>
    </w:p>
    <w:p>
      <w:pPr>
        <w:pStyle w:val="56"/>
        <w:numPr>
          <w:ilvl w:val="0"/>
          <w:numId w:val="5"/>
        </w:numPr>
        <w:spacing w:line="360" w:lineRule="auto"/>
        <w:ind w:firstLineChars="0"/>
        <w:rPr>
          <w:rFonts w:hAnsi="Times New Roman" w:eastAsia="宋体"/>
          <w:b/>
          <w:bCs/>
          <w:szCs w:val="24"/>
          <w:lang w:eastAsia="zh-CN"/>
        </w:rPr>
      </w:pPr>
      <w:r>
        <w:rPr>
          <w:rFonts w:hint="eastAsia" w:hAnsi="Times New Roman" w:eastAsia="宋体"/>
          <w:b/>
          <w:bCs/>
          <w:szCs w:val="24"/>
          <w:lang w:eastAsia="zh-CN"/>
        </w:rPr>
        <w:t>生活污</w:t>
      </w:r>
      <w:r>
        <w:rPr>
          <w:rFonts w:hAnsi="Times New Roman" w:eastAsia="宋体"/>
          <w:b/>
          <w:bCs/>
          <w:szCs w:val="24"/>
          <w:lang w:eastAsia="zh-CN"/>
        </w:rPr>
        <w:t>水处理方案经济可行性分析</w:t>
      </w:r>
    </w:p>
    <w:p>
      <w:pPr>
        <w:spacing w:line="360" w:lineRule="auto"/>
        <w:ind w:firstLine="480" w:firstLineChars="200"/>
        <w:rPr>
          <w:rFonts w:hAnsi="Times New Roman" w:eastAsia="宋体"/>
          <w:szCs w:val="24"/>
          <w:lang w:eastAsia="zh-CN"/>
        </w:rPr>
      </w:pPr>
      <w:r>
        <w:rPr>
          <w:rFonts w:hint="eastAsia" w:hAnsi="Times New Roman" w:eastAsia="宋体"/>
          <w:szCs w:val="24"/>
          <w:lang w:eastAsia="zh-CN"/>
        </w:rPr>
        <w:t>本项目</w:t>
      </w:r>
      <w:r>
        <w:rPr>
          <w:rFonts w:hAnsi="Times New Roman" w:eastAsia="宋体"/>
          <w:szCs w:val="24"/>
          <w:lang w:eastAsia="zh-CN"/>
        </w:rPr>
        <w:t>生活污水处理量</w:t>
      </w:r>
      <w:r>
        <w:rPr>
          <w:rFonts w:hint="eastAsia" w:hAnsi="Times New Roman" w:eastAsia="宋体"/>
          <w:szCs w:val="24"/>
          <w:lang w:eastAsia="zh-CN"/>
        </w:rPr>
        <w:t>89.232</w:t>
      </w:r>
      <w:r>
        <w:rPr>
          <w:rFonts w:hAnsi="Times New Roman" w:eastAsia="宋体"/>
          <w:szCs w:val="24"/>
          <w:lang w:eastAsia="zh-CN"/>
        </w:rPr>
        <w:t>m</w:t>
      </w:r>
      <w:r>
        <w:rPr>
          <w:rFonts w:hAnsi="Times New Roman" w:eastAsia="宋体"/>
          <w:szCs w:val="24"/>
          <w:vertAlign w:val="superscript"/>
          <w:lang w:eastAsia="zh-CN"/>
        </w:rPr>
        <w:t>3</w:t>
      </w:r>
      <w:r>
        <w:rPr>
          <w:rFonts w:hAnsi="Times New Roman" w:eastAsia="宋体"/>
          <w:szCs w:val="24"/>
          <w:lang w:eastAsia="zh-CN"/>
        </w:rPr>
        <w:t>/d</w:t>
      </w:r>
      <w:r>
        <w:rPr>
          <w:rFonts w:hint="eastAsia" w:hAnsi="Times New Roman" w:eastAsia="宋体"/>
          <w:szCs w:val="24"/>
          <w:lang w:eastAsia="zh-CN"/>
        </w:rPr>
        <w:t>，</w:t>
      </w:r>
      <w:r>
        <w:rPr>
          <w:rFonts w:hAnsi="Times New Roman" w:eastAsia="宋体"/>
          <w:szCs w:val="24"/>
          <w:lang w:eastAsia="zh-CN"/>
        </w:rPr>
        <w:t>矿井水处理成本详见表</w:t>
      </w:r>
      <w:r>
        <w:rPr>
          <w:rFonts w:hint="eastAsia" w:hAnsi="Times New Roman" w:eastAsia="宋体"/>
          <w:szCs w:val="24"/>
          <w:lang w:eastAsia="zh-CN"/>
        </w:rPr>
        <w:t>6.4-5</w:t>
      </w:r>
      <w:r>
        <w:rPr>
          <w:rFonts w:hAnsi="Times New Roman" w:eastAsia="宋体"/>
          <w:szCs w:val="24"/>
          <w:lang w:eastAsia="zh-CN"/>
        </w:rPr>
        <w:t>。</w:t>
      </w:r>
    </w:p>
    <w:p>
      <w:pPr>
        <w:spacing w:line="360" w:lineRule="auto"/>
        <w:ind w:firstLine="422" w:firstLineChars="200"/>
        <w:jc w:val="center"/>
        <w:rPr>
          <w:rFonts w:hAnsi="Times New Roman" w:eastAsia="宋体"/>
          <w:b/>
          <w:bCs/>
          <w:sz w:val="21"/>
          <w:szCs w:val="21"/>
          <w:lang w:eastAsia="zh-CN"/>
        </w:rPr>
      </w:pPr>
      <w:r>
        <w:rPr>
          <w:rFonts w:hAnsi="Times New Roman" w:eastAsia="宋体"/>
          <w:b/>
          <w:bCs/>
          <w:sz w:val="21"/>
          <w:szCs w:val="21"/>
          <w:lang w:eastAsia="zh-CN"/>
        </w:rPr>
        <w:t>表</w:t>
      </w:r>
      <w:r>
        <w:rPr>
          <w:rFonts w:hint="eastAsia" w:hAnsi="Times New Roman" w:eastAsia="宋体"/>
          <w:b/>
          <w:bCs/>
          <w:sz w:val="21"/>
          <w:szCs w:val="21"/>
          <w:lang w:eastAsia="zh-CN"/>
        </w:rPr>
        <w:t>6.4-5 生活污水</w:t>
      </w:r>
      <w:r>
        <w:rPr>
          <w:rFonts w:hAnsi="Times New Roman" w:eastAsia="宋体"/>
          <w:b/>
          <w:bCs/>
          <w:sz w:val="21"/>
          <w:szCs w:val="21"/>
          <w:lang w:eastAsia="zh-CN"/>
        </w:rPr>
        <w:t>处理成本计算表  单位：元/m</w:t>
      </w:r>
      <w:r>
        <w:rPr>
          <w:rFonts w:hAnsi="Times New Roman" w:eastAsia="宋体"/>
          <w:b/>
          <w:bCs/>
          <w:sz w:val="21"/>
          <w:szCs w:val="21"/>
          <w:vertAlign w:val="superscript"/>
          <w:lang w:eastAsia="zh-CN"/>
        </w:rPr>
        <w:t>3</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5"/>
        <w:gridCol w:w="931"/>
        <w:gridCol w:w="73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86"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项目</w:t>
            </w:r>
          </w:p>
        </w:tc>
        <w:tc>
          <w:tcPr>
            <w:tcW w:w="498"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bidi="ar"/>
              </w:rPr>
              <w:t>金额</w:t>
            </w:r>
          </w:p>
        </w:tc>
        <w:tc>
          <w:tcPr>
            <w:tcW w:w="3915"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计算依据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86"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电费</w:t>
            </w:r>
          </w:p>
        </w:tc>
        <w:tc>
          <w:tcPr>
            <w:tcW w:w="498"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0.10</w:t>
            </w:r>
          </w:p>
        </w:tc>
        <w:tc>
          <w:tcPr>
            <w:tcW w:w="3915"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类比估算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86"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人工费</w:t>
            </w:r>
          </w:p>
        </w:tc>
        <w:tc>
          <w:tcPr>
            <w:tcW w:w="498" w:type="pct"/>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w:t>
            </w:r>
          </w:p>
        </w:tc>
        <w:tc>
          <w:tcPr>
            <w:tcW w:w="3915" w:type="pct"/>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由矿井水处理站管理人员兼管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86"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折旧费</w:t>
            </w:r>
          </w:p>
        </w:tc>
        <w:tc>
          <w:tcPr>
            <w:tcW w:w="498" w:type="pct"/>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0.38</w:t>
            </w:r>
          </w:p>
        </w:tc>
        <w:tc>
          <w:tcPr>
            <w:tcW w:w="3915" w:type="pct"/>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综合折旧按6.1a计，设备残值按5%计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86" w:type="pct"/>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合计</w:t>
            </w:r>
          </w:p>
        </w:tc>
        <w:tc>
          <w:tcPr>
            <w:tcW w:w="498" w:type="pct"/>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bidi="ar"/>
              </w:rPr>
            </w:pPr>
            <w:r>
              <w:rPr>
                <w:rFonts w:hint="eastAsia" w:hAnsi="Times New Roman" w:eastAsia="宋体"/>
                <w:kern w:val="2"/>
                <w:sz w:val="21"/>
                <w:szCs w:val="21"/>
                <w:lang w:eastAsia="zh-CN" w:bidi="ar"/>
              </w:rPr>
              <w:t>0.48</w:t>
            </w:r>
          </w:p>
        </w:tc>
        <w:tc>
          <w:tcPr>
            <w:tcW w:w="3915" w:type="pct"/>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p>
        </w:tc>
      </w:tr>
    </w:tbl>
    <w:p>
      <w:pPr>
        <w:spacing w:line="360" w:lineRule="auto"/>
        <w:ind w:firstLine="482" w:firstLineChars="200"/>
        <w:rPr>
          <w:rFonts w:hAnsi="Times New Roman" w:eastAsia="宋体"/>
          <w:szCs w:val="24"/>
          <w:lang w:eastAsia="zh-CN"/>
        </w:rPr>
      </w:pPr>
      <w:r>
        <w:rPr>
          <w:rFonts w:hAnsi="Times New Roman" w:eastAsia="宋体"/>
          <w:b/>
          <w:bCs/>
          <w:szCs w:val="24"/>
          <w:lang w:eastAsia="zh-CN"/>
        </w:rPr>
        <w:t>由上表可见，生活污水处理成本为0.</w:t>
      </w:r>
      <w:r>
        <w:rPr>
          <w:rFonts w:hint="eastAsia" w:hAnsi="Times New Roman" w:eastAsia="宋体"/>
          <w:b/>
          <w:bCs/>
          <w:szCs w:val="24"/>
          <w:lang w:eastAsia="zh-CN"/>
        </w:rPr>
        <w:t>48</w:t>
      </w:r>
      <w:r>
        <w:rPr>
          <w:rFonts w:hAnsi="Times New Roman" w:eastAsia="宋体"/>
          <w:b/>
          <w:bCs/>
          <w:szCs w:val="24"/>
          <w:lang w:eastAsia="zh-CN"/>
        </w:rPr>
        <w:t>元/m</w:t>
      </w:r>
      <w:r>
        <w:rPr>
          <w:rFonts w:hAnsi="Times New Roman" w:eastAsia="宋体"/>
          <w:b/>
          <w:bCs/>
          <w:szCs w:val="24"/>
          <w:vertAlign w:val="superscript"/>
          <w:lang w:eastAsia="zh-CN"/>
        </w:rPr>
        <w:t>3</w:t>
      </w:r>
      <w:r>
        <w:rPr>
          <w:rFonts w:hAnsi="Times New Roman" w:eastAsia="宋体"/>
          <w:b/>
          <w:bCs/>
          <w:szCs w:val="24"/>
          <w:lang w:eastAsia="zh-CN"/>
        </w:rPr>
        <w:t>，项目采用“</w:t>
      </w:r>
      <w:r>
        <w:rPr>
          <w:rFonts w:hAnsi="Times New Roman" w:eastAsia="宋体"/>
          <w:b/>
          <w:bCs/>
        </w:rPr>
        <w:t>混凝+A</w:t>
      </w:r>
      <w:r>
        <w:rPr>
          <w:rFonts w:hAnsi="Times New Roman" w:eastAsia="宋体"/>
          <w:b/>
          <w:bCs/>
          <w:vertAlign w:val="superscript"/>
        </w:rPr>
        <w:t>2</w:t>
      </w:r>
      <w:r>
        <w:rPr>
          <w:rFonts w:hAnsi="Times New Roman" w:eastAsia="宋体"/>
          <w:b/>
          <w:bCs/>
        </w:rPr>
        <w:t>O+消毒</w:t>
      </w:r>
      <w:r>
        <w:rPr>
          <w:rFonts w:hAnsi="Times New Roman" w:eastAsia="宋体"/>
          <w:b/>
          <w:bCs/>
          <w:szCs w:val="24"/>
          <w:lang w:eastAsia="zh-CN"/>
        </w:rPr>
        <w:t>”工艺处理生活污水经济可行。</w:t>
      </w:r>
    </w:p>
    <w:p>
      <w:pPr>
        <w:spacing w:line="360" w:lineRule="auto"/>
        <w:ind w:firstLine="482" w:firstLineChars="200"/>
        <w:rPr>
          <w:rFonts w:hAnsi="Times New Roman" w:eastAsia="宋体"/>
          <w:b/>
          <w:bCs/>
          <w:szCs w:val="24"/>
          <w:lang w:eastAsia="zh-CN"/>
        </w:rPr>
      </w:pPr>
      <w:r>
        <w:rPr>
          <w:rFonts w:hAnsi="Times New Roman" w:eastAsia="宋体"/>
          <w:b/>
          <w:bCs/>
          <w:szCs w:val="24"/>
          <w:lang w:eastAsia="zh-CN"/>
        </w:rPr>
        <w:t>综上，项目采用“混凝+A</w:t>
      </w:r>
      <w:r>
        <w:rPr>
          <w:rFonts w:hAnsi="Times New Roman" w:eastAsia="宋体"/>
          <w:b/>
          <w:bCs/>
          <w:szCs w:val="24"/>
          <w:vertAlign w:val="superscript"/>
          <w:lang w:eastAsia="zh-CN"/>
        </w:rPr>
        <w:t>2</w:t>
      </w:r>
      <w:r>
        <w:rPr>
          <w:rFonts w:hAnsi="Times New Roman" w:eastAsia="宋体"/>
          <w:b/>
          <w:bCs/>
          <w:szCs w:val="24"/>
          <w:lang w:eastAsia="zh-CN"/>
        </w:rPr>
        <w:t>O+消毒”工艺处理生活污水技术与经济均是可行的。</w:t>
      </w:r>
    </w:p>
    <w:p>
      <w:pPr>
        <w:pStyle w:val="6"/>
      </w:pPr>
      <w:bookmarkStart w:id="449" w:name="_Toc167095255"/>
      <w:bookmarkStart w:id="450" w:name="_Toc163812632"/>
      <w:r>
        <w:rPr>
          <w:rFonts w:hint="eastAsia"/>
          <w:lang w:eastAsia="zh-CN"/>
        </w:rPr>
        <w:t>6.4.3</w:t>
      </w:r>
      <w:r>
        <w:t xml:space="preserve"> </w:t>
      </w:r>
      <w:r>
        <w:rPr>
          <w:rFonts w:hint="eastAsia"/>
        </w:rPr>
        <w:t>工业场地初期雨水防治措施</w:t>
      </w:r>
      <w:bookmarkEnd w:id="449"/>
      <w:bookmarkEnd w:id="450"/>
    </w:p>
    <w:p>
      <w:pPr>
        <w:spacing w:line="360" w:lineRule="auto"/>
        <w:ind w:firstLine="480" w:firstLineChars="200"/>
        <w:rPr>
          <w:rFonts w:hAnsi="Times New Roman" w:eastAsia="宋体"/>
          <w:szCs w:val="24"/>
          <w:lang w:eastAsia="zh-CN"/>
        </w:rPr>
      </w:pPr>
      <w:r>
        <w:rPr>
          <w:szCs w:val="24"/>
        </w:rPr>
        <w:t>（</w:t>
      </w:r>
      <w:r>
        <w:rPr>
          <w:rFonts w:hint="eastAsia" w:hAnsi="Times New Roman" w:eastAsia="宋体"/>
          <w:szCs w:val="24"/>
          <w:lang w:eastAsia="zh-CN"/>
        </w:rPr>
        <w:t>1）工业场地要求实行“雨污分流”，对场地、道路进行硬化，工业广场北侧、东侧设置截洪沟，场地外部雨水经截水沟排入周边自然径流系统。</w:t>
      </w:r>
    </w:p>
    <w:p>
      <w:pPr>
        <w:spacing w:line="360" w:lineRule="auto"/>
        <w:ind w:firstLine="480" w:firstLineChars="200"/>
        <w:rPr>
          <w:rFonts w:hAnsi="Times New Roman" w:eastAsia="宋体"/>
          <w:szCs w:val="24"/>
          <w:lang w:eastAsia="zh-CN"/>
        </w:rPr>
      </w:pPr>
      <w:r>
        <w:rPr>
          <w:rFonts w:hint="eastAsia" w:hAnsi="Times New Roman" w:eastAsia="宋体"/>
          <w:szCs w:val="24"/>
          <w:lang w:eastAsia="zh-CN"/>
        </w:rPr>
        <w:t>（2）地面储煤场设置成封闭式储煤场，且地面进行硬化。储场周边设场内雨水截流边沟，防止场地内部雨水径流进入储煤场。</w:t>
      </w:r>
    </w:p>
    <w:p>
      <w:pPr>
        <w:spacing w:line="360" w:lineRule="auto"/>
        <w:ind w:firstLine="480" w:firstLineChars="200"/>
        <w:rPr>
          <w:rFonts w:hAnsi="Times New Roman" w:eastAsia="宋体"/>
          <w:szCs w:val="24"/>
          <w:lang w:eastAsia="zh-CN"/>
        </w:rPr>
      </w:pPr>
      <w:r>
        <w:rPr>
          <w:rFonts w:hint="eastAsia" w:hAnsi="Times New Roman" w:eastAsia="宋体"/>
          <w:szCs w:val="24"/>
          <w:lang w:eastAsia="zh-CN"/>
        </w:rPr>
        <w:t>（3）项目工业场地全场实现地面硬化，沿各厂房、地面构筑物外墙砌筑环形集水沟与散水收集池相连，集水沟及散水收集池采取地面防渗防漏，初期雨水经沉淀处理后，用于补充项目生产用水，不外排。</w:t>
      </w:r>
    </w:p>
    <w:p>
      <w:pPr>
        <w:pStyle w:val="6"/>
        <w:rPr>
          <w:szCs w:val="22"/>
          <w:lang w:eastAsia="zh-CN"/>
        </w:rPr>
      </w:pPr>
      <w:bookmarkStart w:id="451" w:name="_Toc167095256"/>
      <w:bookmarkStart w:id="452" w:name="_Toc163812633"/>
      <w:r>
        <w:rPr>
          <w:szCs w:val="22"/>
          <w:lang w:eastAsia="zh-CN"/>
        </w:rPr>
        <w:t>6.</w:t>
      </w:r>
      <w:r>
        <w:rPr>
          <w:rFonts w:hint="eastAsia"/>
          <w:szCs w:val="22"/>
          <w:lang w:eastAsia="zh-CN"/>
        </w:rPr>
        <w:t>4</w:t>
      </w:r>
      <w:r>
        <w:rPr>
          <w:szCs w:val="22"/>
          <w:lang w:eastAsia="zh-CN"/>
        </w:rPr>
        <w:t>.</w:t>
      </w:r>
      <w:r>
        <w:rPr>
          <w:rFonts w:hint="eastAsia"/>
          <w:szCs w:val="22"/>
          <w:lang w:eastAsia="zh-CN"/>
        </w:rPr>
        <w:t>4</w:t>
      </w:r>
      <w:r>
        <w:rPr>
          <w:szCs w:val="22"/>
          <w:lang w:eastAsia="zh-CN"/>
        </w:rPr>
        <w:t xml:space="preserve"> 水污染控制和水环境影响减缓措施有效性</w:t>
      </w:r>
      <w:bookmarkEnd w:id="451"/>
      <w:bookmarkEnd w:id="452"/>
    </w:p>
    <w:p>
      <w:pPr>
        <w:spacing w:line="360" w:lineRule="auto"/>
        <w:ind w:firstLine="480" w:firstLineChars="200"/>
        <w:rPr>
          <w:rFonts w:hAnsi="Times New Roman" w:eastAsia="宋体"/>
          <w:lang w:eastAsia="zh-CN"/>
        </w:rPr>
      </w:pPr>
      <w:r>
        <w:rPr>
          <w:rFonts w:hAnsi="Times New Roman" w:eastAsia="宋体"/>
          <w:szCs w:val="24"/>
        </w:rPr>
        <w:t>本项目</w:t>
      </w:r>
      <w:r>
        <w:rPr>
          <w:rFonts w:hAnsi="Times New Roman" w:eastAsia="宋体"/>
          <w:szCs w:val="24"/>
          <w:lang w:eastAsia="zh-CN"/>
        </w:rPr>
        <w:t>改扩建后，</w:t>
      </w:r>
      <w:r>
        <w:rPr>
          <w:rFonts w:hAnsi="Times New Roman" w:eastAsia="宋体"/>
          <w:szCs w:val="24"/>
        </w:rPr>
        <w:t>矿井水排放量</w:t>
      </w:r>
      <w:r>
        <w:rPr>
          <w:rFonts w:hAnsi="Times New Roman" w:eastAsia="宋体"/>
          <w:szCs w:val="24"/>
          <w:lang w:eastAsia="zh-CN"/>
        </w:rPr>
        <w:t>为3018.186m</w:t>
      </w:r>
      <w:r>
        <w:rPr>
          <w:rFonts w:hAnsi="Times New Roman" w:eastAsia="宋体"/>
          <w:szCs w:val="24"/>
          <w:vertAlign w:val="superscript"/>
          <w:lang w:eastAsia="zh-CN"/>
        </w:rPr>
        <w:t>3</w:t>
      </w:r>
      <w:r>
        <w:rPr>
          <w:rFonts w:hAnsi="Times New Roman" w:eastAsia="宋体"/>
          <w:szCs w:val="24"/>
          <w:lang w:eastAsia="zh-CN"/>
        </w:rPr>
        <w:t>/</w:t>
      </w:r>
      <w:r>
        <w:rPr>
          <w:rFonts w:hAnsi="Times New Roman" w:eastAsia="宋体"/>
          <w:spacing w:val="-3"/>
          <w:szCs w:val="24"/>
        </w:rPr>
        <w:t>d</w:t>
      </w:r>
      <w:r>
        <w:rPr>
          <w:rFonts w:hAnsi="Times New Roman" w:eastAsia="宋体"/>
          <w:spacing w:val="-32"/>
          <w:szCs w:val="24"/>
        </w:rPr>
        <w:t>。</w:t>
      </w:r>
      <w:r>
        <w:rPr>
          <w:rFonts w:hAnsi="Times New Roman" w:eastAsia="宋体"/>
          <w:spacing w:val="-1"/>
          <w:szCs w:val="24"/>
        </w:rPr>
        <w:t>矿井涌水</w:t>
      </w:r>
      <w:r>
        <w:rPr>
          <w:rFonts w:hAnsi="Times New Roman" w:eastAsia="宋体"/>
          <w:spacing w:val="-1"/>
          <w:szCs w:val="24"/>
          <w:lang w:eastAsia="zh-CN"/>
        </w:rPr>
        <w:t>在+200m水平主副水仓（容积2000</w:t>
      </w:r>
      <w:r>
        <w:rPr>
          <w:rFonts w:hAnsi="Times New Roman" w:eastAsia="宋体"/>
          <w:szCs w:val="24"/>
          <w:lang w:eastAsia="zh-CN"/>
        </w:rPr>
        <w:t>m</w:t>
      </w:r>
      <w:r>
        <w:rPr>
          <w:rFonts w:hAnsi="Times New Roman" w:eastAsia="宋体"/>
          <w:szCs w:val="24"/>
          <w:vertAlign w:val="superscript"/>
          <w:lang w:eastAsia="zh-CN"/>
        </w:rPr>
        <w:t>3</w:t>
      </w:r>
      <w:r>
        <w:rPr>
          <w:rFonts w:hAnsi="Times New Roman" w:eastAsia="宋体"/>
          <w:szCs w:val="24"/>
          <w:lang w:eastAsia="zh-CN"/>
        </w:rPr>
        <w:t>/</w:t>
      </w:r>
      <w:r>
        <w:rPr>
          <w:rFonts w:hAnsi="Times New Roman" w:eastAsia="宋体"/>
          <w:spacing w:val="-1"/>
          <w:szCs w:val="24"/>
        </w:rPr>
        <w:t>d</w:t>
      </w:r>
      <w:r>
        <w:rPr>
          <w:rFonts w:hAnsi="Times New Roman" w:eastAsia="宋体"/>
          <w:spacing w:val="-1"/>
          <w:szCs w:val="24"/>
          <w:lang w:eastAsia="zh-CN"/>
        </w:rPr>
        <w:t>）沉淀后，抽送至地面矿井水处理设施，经处理后部分抽送至高位水池</w:t>
      </w:r>
      <w:r>
        <w:rPr>
          <w:rFonts w:hAnsi="Times New Roman" w:eastAsia="宋体"/>
          <w:spacing w:val="-1"/>
          <w:szCs w:val="24"/>
        </w:rPr>
        <w:t>回用于井下生产</w:t>
      </w:r>
      <w:r>
        <w:rPr>
          <w:rFonts w:hAnsi="Times New Roman" w:eastAsia="宋体"/>
          <w:spacing w:val="-1"/>
          <w:szCs w:val="24"/>
          <w:lang w:eastAsia="zh-CN"/>
        </w:rPr>
        <w:t>，</w:t>
      </w:r>
      <w:r>
        <w:rPr>
          <w:rFonts w:hAnsi="Times New Roman" w:eastAsia="宋体"/>
          <w:spacing w:val="-1"/>
          <w:szCs w:val="24"/>
        </w:rPr>
        <w:t>剩余部分</w:t>
      </w:r>
      <w:r>
        <w:rPr>
          <w:rFonts w:hAnsi="Times New Roman" w:eastAsia="宋体"/>
          <w:spacing w:val="-3"/>
          <w:szCs w:val="24"/>
        </w:rPr>
        <w:t>达</w:t>
      </w:r>
      <w:r>
        <w:rPr>
          <w:rFonts w:hAnsi="Times New Roman" w:eastAsia="宋体"/>
          <w:spacing w:val="-20"/>
          <w:szCs w:val="24"/>
        </w:rPr>
        <w:t>到</w:t>
      </w:r>
      <w:r>
        <w:rPr>
          <w:rFonts w:hAnsi="Times New Roman" w:eastAsia="宋体"/>
          <w:bCs/>
          <w:lang w:eastAsia="zh-CN"/>
        </w:rPr>
        <w:t>《地表水环境质量标准》（GB3838-2002）中Ⅲ类</w:t>
      </w:r>
      <w:r>
        <w:rPr>
          <w:rFonts w:hAnsi="Times New Roman" w:eastAsia="宋体"/>
          <w:szCs w:val="24"/>
        </w:rPr>
        <w:t>标准后</w:t>
      </w:r>
      <w:r>
        <w:rPr>
          <w:rFonts w:hAnsi="Times New Roman" w:eastAsia="宋体"/>
          <w:lang w:eastAsia="zh-CN"/>
        </w:rPr>
        <w:t>通过1.5km排水管道引至</w:t>
      </w:r>
      <w:r>
        <w:rPr>
          <w:rFonts w:hint="eastAsia" w:hAnsi="Times New Roman" w:eastAsia="宋体"/>
          <w:lang w:eastAsia="zh-CN"/>
        </w:rPr>
        <w:t>天生镇王一庙</w:t>
      </w:r>
      <w:r>
        <w:rPr>
          <w:rFonts w:hAnsi="Times New Roman" w:eastAsia="宋体"/>
          <w:lang w:eastAsia="zh-CN"/>
        </w:rPr>
        <w:t>水源保护区下游河段</w:t>
      </w:r>
      <w:r>
        <w:rPr>
          <w:rFonts w:hint="eastAsia" w:hAnsi="Times New Roman" w:eastAsia="宋体"/>
          <w:lang w:eastAsia="zh-CN"/>
        </w:rPr>
        <w:t>（新宁河）</w:t>
      </w:r>
      <w:r>
        <w:rPr>
          <w:rFonts w:hAnsi="Times New Roman" w:eastAsia="宋体"/>
          <w:lang w:eastAsia="zh-CN"/>
        </w:rPr>
        <w:t>排放。</w:t>
      </w:r>
    </w:p>
    <w:p>
      <w:pPr>
        <w:pStyle w:val="6"/>
        <w:rPr>
          <w:szCs w:val="24"/>
          <w:lang w:eastAsia="zh-CN"/>
        </w:rPr>
      </w:pPr>
      <w:bookmarkStart w:id="453" w:name="_Toc167095257"/>
      <w:bookmarkStart w:id="454" w:name="_Toc163812634"/>
      <w:r>
        <w:rPr>
          <w:rFonts w:hint="eastAsia"/>
          <w:szCs w:val="24"/>
          <w:lang w:eastAsia="zh-CN"/>
        </w:rPr>
        <w:t>6.4.5入河排污口设置合理性分析</w:t>
      </w:r>
      <w:bookmarkEnd w:id="453"/>
      <w:bookmarkEnd w:id="454"/>
    </w:p>
    <w:p>
      <w:pPr>
        <w:pStyle w:val="14"/>
        <w:overflowPunct w:val="0"/>
        <w:spacing w:line="360" w:lineRule="auto"/>
        <w:ind w:firstLine="480" w:firstLineChars="200"/>
        <w:rPr>
          <w:rFonts w:ascii="Times New Roman" w:hAnsi="Times New Roman"/>
          <w:sz w:val="24"/>
          <w:lang w:eastAsia="zh-CN"/>
        </w:rPr>
      </w:pPr>
      <w:r>
        <w:rPr>
          <w:rFonts w:hint="eastAsia" w:ascii="Times New Roman" w:hAnsi="Times New Roman"/>
          <w:sz w:val="24"/>
          <w:lang w:eastAsia="zh-CN"/>
        </w:rPr>
        <w:t>（1）</w:t>
      </w:r>
      <w:r>
        <w:rPr>
          <w:rFonts w:ascii="Times New Roman" w:hAnsi="Times New Roman"/>
          <w:sz w:val="24"/>
          <w:lang w:eastAsia="zh-CN"/>
        </w:rPr>
        <w:t>排污口位置设置合理性分析</w:t>
      </w:r>
    </w:p>
    <w:p>
      <w:pPr>
        <w:pStyle w:val="14"/>
        <w:overflowPunct w:val="0"/>
        <w:spacing w:line="360" w:lineRule="auto"/>
        <w:ind w:firstLine="480" w:firstLineChars="200"/>
        <w:rPr>
          <w:rFonts w:ascii="Times New Roman" w:hAnsi="Times New Roman"/>
          <w:sz w:val="24"/>
          <w:lang w:eastAsia="zh-CN"/>
        </w:rPr>
      </w:pPr>
      <w:r>
        <w:rPr>
          <w:rFonts w:ascii="Times New Roman" w:hAnsi="Times New Roman"/>
          <w:sz w:val="24"/>
          <w:lang w:eastAsia="zh-CN"/>
        </w:rPr>
        <w:t>本项目排污口位于宣汉县</w:t>
      </w:r>
      <w:r>
        <w:rPr>
          <w:rFonts w:hint="eastAsia" w:ascii="Times New Roman" w:hAnsi="Times New Roman"/>
          <w:sz w:val="24"/>
          <w:lang w:eastAsia="zh-CN"/>
        </w:rPr>
        <w:t>天生</w:t>
      </w:r>
      <w:r>
        <w:rPr>
          <w:rFonts w:ascii="Times New Roman" w:hAnsi="Times New Roman"/>
          <w:sz w:val="24"/>
          <w:lang w:eastAsia="zh-CN"/>
        </w:rPr>
        <w:t>镇</w:t>
      </w:r>
      <w:r>
        <w:rPr>
          <w:rFonts w:hint="eastAsia" w:ascii="Times New Roman" w:hAnsi="Times New Roman"/>
          <w:sz w:val="24"/>
          <w:lang w:eastAsia="zh-CN"/>
        </w:rPr>
        <w:t>塔坝</w:t>
      </w:r>
      <w:r>
        <w:rPr>
          <w:rFonts w:ascii="Times New Roman" w:hAnsi="Times New Roman"/>
          <w:sz w:val="24"/>
          <w:lang w:eastAsia="zh-CN"/>
        </w:rPr>
        <w:t>村</w:t>
      </w:r>
      <w:r>
        <w:rPr>
          <w:rFonts w:hint="eastAsia" w:ascii="Times New Roman" w:hAnsi="Times New Roman"/>
          <w:sz w:val="24"/>
          <w:lang w:eastAsia="zh-CN"/>
        </w:rPr>
        <w:t>一组</w:t>
      </w:r>
      <w:r>
        <w:rPr>
          <w:rFonts w:ascii="Times New Roman" w:hAnsi="Times New Roman"/>
          <w:sz w:val="24"/>
          <w:lang w:eastAsia="zh-CN"/>
        </w:rPr>
        <w:t>，采用管道形式排放污水，根据水质模拟计算结果，污水处理设施入河排污口正常排放情况下，其排放影响范围（污染带）在</w:t>
      </w:r>
      <w:r>
        <w:rPr>
          <w:rFonts w:hint="eastAsia" w:ascii="Times New Roman" w:hAnsi="Times New Roman"/>
          <w:sz w:val="24"/>
          <w:lang w:eastAsia="zh-CN"/>
        </w:rPr>
        <w:t>新宁河1636.57m</w:t>
      </w:r>
      <w:r>
        <w:rPr>
          <w:rFonts w:ascii="Times New Roman" w:hAnsi="Times New Roman"/>
          <w:sz w:val="24"/>
          <w:lang w:eastAsia="zh-CN"/>
        </w:rPr>
        <w:t>范围内，且污染带水质满足地表水Ⅲ类水质标准，不会大范围影响到排污口下游水功能区，不会影响到</w:t>
      </w:r>
      <w:r>
        <w:rPr>
          <w:rFonts w:hint="eastAsia" w:ascii="Times New Roman" w:hAnsi="Times New Roman"/>
          <w:sz w:val="24"/>
          <w:lang w:eastAsia="zh-CN"/>
        </w:rPr>
        <w:t>新宁</w:t>
      </w:r>
      <w:r>
        <w:rPr>
          <w:rFonts w:ascii="Times New Roman" w:hAnsi="Times New Roman"/>
          <w:sz w:val="24"/>
          <w:lang w:eastAsia="zh-CN"/>
        </w:rPr>
        <w:t>河水质监测要求。据调查，排污口下游</w:t>
      </w:r>
      <w:r>
        <w:rPr>
          <w:rFonts w:hint="eastAsia" w:ascii="Times New Roman" w:hAnsi="Times New Roman"/>
          <w:sz w:val="24"/>
          <w:lang w:eastAsia="zh-CN"/>
        </w:rPr>
        <w:t>10km</w:t>
      </w:r>
      <w:r>
        <w:rPr>
          <w:rFonts w:ascii="Times New Roman" w:hAnsi="Times New Roman"/>
          <w:sz w:val="24"/>
          <w:lang w:eastAsia="zh-CN"/>
        </w:rPr>
        <w:t>范围内无集中式饮用水水源地，无生态敏感地带。排污口位置设置合理。</w:t>
      </w:r>
    </w:p>
    <w:p>
      <w:pPr>
        <w:pStyle w:val="14"/>
        <w:overflowPunct w:val="0"/>
        <w:spacing w:line="360" w:lineRule="auto"/>
        <w:ind w:firstLine="480" w:firstLineChars="200"/>
        <w:rPr>
          <w:rFonts w:ascii="Times New Roman" w:hAnsi="Times New Roman"/>
          <w:sz w:val="24"/>
          <w:lang w:eastAsia="zh-CN"/>
        </w:rPr>
      </w:pPr>
      <w:r>
        <w:rPr>
          <w:rFonts w:hint="eastAsia" w:ascii="Times New Roman" w:hAnsi="Times New Roman"/>
          <w:sz w:val="24"/>
          <w:lang w:eastAsia="zh-CN"/>
        </w:rPr>
        <w:t>（2）水功能区（水域）管理合理性分析</w:t>
      </w:r>
    </w:p>
    <w:p>
      <w:pPr>
        <w:spacing w:line="360" w:lineRule="auto"/>
        <w:ind w:firstLine="480" w:firstLineChars="200"/>
        <w:rPr>
          <w:rFonts w:hAnsi="Times New Roman" w:eastAsia="宋体"/>
          <w:bCs/>
          <w:kern w:val="2"/>
          <w:szCs w:val="24"/>
          <w:lang w:eastAsia="zh-CN"/>
        </w:rPr>
      </w:pPr>
      <w:r>
        <w:rPr>
          <w:rFonts w:hint="eastAsia" w:hAnsi="Times New Roman" w:eastAsia="宋体"/>
          <w:bCs/>
          <w:kern w:val="2"/>
          <w:szCs w:val="24"/>
          <w:lang w:eastAsia="zh-CN"/>
        </w:rPr>
        <w:t>结合本项目下游水功能区要求和水资源相关管理要求，现状该水域执行《地表水环境质量标准》（GB3838-2002）中Ⅲ类水体管理目标。本水域允许设置入河排污口。</w:t>
      </w:r>
    </w:p>
    <w:p>
      <w:pPr>
        <w:spacing w:line="360" w:lineRule="auto"/>
        <w:ind w:firstLine="480" w:firstLineChars="200"/>
        <w:rPr>
          <w:rFonts w:hAnsi="Times New Roman" w:eastAsia="宋体"/>
          <w:bCs/>
          <w:kern w:val="2"/>
          <w:szCs w:val="24"/>
          <w:lang w:eastAsia="zh-CN"/>
        </w:rPr>
      </w:pPr>
      <w:r>
        <w:rPr>
          <w:rFonts w:hint="eastAsia" w:hAnsi="Times New Roman" w:eastAsia="宋体"/>
          <w:bCs/>
          <w:kern w:val="2"/>
          <w:szCs w:val="24"/>
          <w:lang w:eastAsia="zh-CN"/>
        </w:rPr>
        <w:t>从排污口设置角度来看，七里峡煤矿入河排污口不在任何饮用水源地一级、二级保护区内，排污口设置对水域水质影响较小，不影响第三者取水户，对水功能区（水域）生态影响较小。</w:t>
      </w:r>
    </w:p>
    <w:p>
      <w:pPr>
        <w:spacing w:line="360" w:lineRule="auto"/>
        <w:ind w:firstLine="480" w:firstLineChars="200"/>
        <w:rPr>
          <w:rFonts w:hAnsi="Times New Roman" w:eastAsia="宋体"/>
          <w:bCs/>
          <w:kern w:val="2"/>
          <w:szCs w:val="24"/>
          <w:lang w:eastAsia="zh-CN"/>
        </w:rPr>
      </w:pPr>
      <w:r>
        <w:rPr>
          <w:rFonts w:hint="eastAsia" w:hAnsi="Times New Roman" w:eastAsia="宋体"/>
          <w:bCs/>
          <w:kern w:val="2"/>
          <w:szCs w:val="24"/>
          <w:lang w:eastAsia="zh-CN"/>
        </w:rPr>
        <w:t>因此，本项目入河排污口设置是符合水功能区（水域）管理要求的。</w:t>
      </w:r>
    </w:p>
    <w:p>
      <w:pPr>
        <w:spacing w:line="360" w:lineRule="auto"/>
        <w:ind w:firstLine="480" w:firstLineChars="200"/>
        <w:rPr>
          <w:rFonts w:hAnsi="Times New Roman" w:eastAsia="宋体"/>
          <w:bCs/>
          <w:kern w:val="2"/>
          <w:szCs w:val="24"/>
          <w:lang w:eastAsia="zh-CN"/>
        </w:rPr>
      </w:pPr>
      <w:r>
        <w:rPr>
          <w:rFonts w:hint="eastAsia" w:hAnsi="Times New Roman" w:eastAsia="宋体"/>
          <w:bCs/>
          <w:kern w:val="2"/>
          <w:szCs w:val="24"/>
          <w:lang w:eastAsia="zh-CN"/>
        </w:rPr>
        <w:t>（3）防洪管理要求合理性分析</w:t>
      </w:r>
    </w:p>
    <w:p>
      <w:pPr>
        <w:spacing w:line="360" w:lineRule="auto"/>
        <w:ind w:firstLine="480" w:firstLineChars="200"/>
        <w:rPr>
          <w:rFonts w:hAnsi="Times New Roman" w:eastAsia="宋体"/>
          <w:bCs/>
          <w:kern w:val="2"/>
          <w:szCs w:val="24"/>
          <w:lang w:eastAsia="zh-CN"/>
        </w:rPr>
      </w:pPr>
      <w:bookmarkStart w:id="455" w:name="_Toc24724498"/>
      <w:r>
        <w:rPr>
          <w:rFonts w:hAnsi="Times New Roman" w:eastAsia="宋体"/>
          <w:bCs/>
          <w:kern w:val="2"/>
          <w:szCs w:val="24"/>
          <w:lang w:eastAsia="zh-CN"/>
        </w:rPr>
        <w:t>本项目入河排污口位于</w:t>
      </w:r>
      <w:r>
        <w:rPr>
          <w:rFonts w:hint="eastAsia" w:hAnsi="Times New Roman" w:eastAsia="宋体"/>
          <w:bCs/>
          <w:kern w:val="2"/>
          <w:szCs w:val="24"/>
          <w:lang w:eastAsia="zh-CN"/>
        </w:rPr>
        <w:t>新宁河右</w:t>
      </w:r>
      <w:r>
        <w:rPr>
          <w:rFonts w:hAnsi="Times New Roman" w:eastAsia="宋体"/>
          <w:bCs/>
          <w:kern w:val="2"/>
          <w:szCs w:val="24"/>
          <w:lang w:eastAsia="zh-CN"/>
        </w:rPr>
        <w:t>岸，入河排污口坐标：东经107.720023256，北纬31.195051547，污水处理设施标高（</w:t>
      </w:r>
      <w:r>
        <w:rPr>
          <w:rFonts w:hint="eastAsia" w:hAnsi="Times New Roman" w:eastAsia="宋体"/>
          <w:bCs/>
          <w:kern w:val="2"/>
          <w:szCs w:val="24"/>
          <w:lang w:eastAsia="zh-CN"/>
        </w:rPr>
        <w:t>376</w:t>
      </w:r>
      <w:r>
        <w:rPr>
          <w:rFonts w:hAnsi="Times New Roman" w:eastAsia="宋体"/>
          <w:bCs/>
          <w:kern w:val="2"/>
          <w:szCs w:val="24"/>
          <w:lang w:eastAsia="zh-CN"/>
        </w:rPr>
        <w:t>m）高于防洪要求的最低高程（</w:t>
      </w:r>
      <w:r>
        <w:rPr>
          <w:rFonts w:hint="eastAsia" w:hAnsi="Times New Roman" w:eastAsia="宋体"/>
          <w:bCs/>
          <w:kern w:val="2"/>
          <w:szCs w:val="24"/>
          <w:lang w:eastAsia="zh-CN"/>
        </w:rPr>
        <w:t>374</w:t>
      </w:r>
      <w:r>
        <w:rPr>
          <w:rFonts w:hAnsi="Times New Roman" w:eastAsia="宋体"/>
          <w:bCs/>
          <w:kern w:val="2"/>
          <w:szCs w:val="24"/>
          <w:lang w:eastAsia="zh-CN"/>
        </w:rPr>
        <w:t>m），能够满足防洪要求。</w:t>
      </w:r>
    </w:p>
    <w:bookmarkEnd w:id="455"/>
    <w:p>
      <w:pPr>
        <w:spacing w:line="360" w:lineRule="auto"/>
        <w:ind w:firstLine="480" w:firstLineChars="200"/>
        <w:rPr>
          <w:rFonts w:hAnsi="Times New Roman" w:eastAsia="宋体"/>
          <w:bCs/>
          <w:kern w:val="2"/>
          <w:szCs w:val="24"/>
          <w:lang w:eastAsia="zh-CN"/>
        </w:rPr>
      </w:pPr>
      <w:r>
        <w:rPr>
          <w:rFonts w:hint="eastAsia" w:hAnsi="Times New Roman" w:eastAsia="宋体"/>
          <w:bCs/>
          <w:kern w:val="2"/>
          <w:szCs w:val="24"/>
          <w:lang w:eastAsia="zh-CN"/>
        </w:rPr>
        <w:t>（4）排污口设置可行性分析</w:t>
      </w:r>
    </w:p>
    <w:p>
      <w:pPr>
        <w:pStyle w:val="14"/>
        <w:overflowPunct w:val="0"/>
        <w:spacing w:line="360" w:lineRule="auto"/>
        <w:ind w:firstLine="480" w:firstLineChars="200"/>
        <w:rPr>
          <w:rFonts w:ascii="Times New Roman" w:hAnsi="Times New Roman"/>
          <w:sz w:val="24"/>
        </w:rPr>
      </w:pPr>
      <w:r>
        <w:rPr>
          <w:rFonts w:ascii="Times New Roman" w:hAnsi="Times New Roman"/>
          <w:sz w:val="24"/>
        </w:rPr>
        <w:t>入河排污口废水排放各项污染物在90%保证率条件下，正常排放时、非正常排放时，排污口下游 COD、NH</w:t>
      </w:r>
      <w:r>
        <w:rPr>
          <w:rFonts w:ascii="Times New Roman" w:hAnsi="Times New Roman"/>
          <w:sz w:val="24"/>
          <w:vertAlign w:val="subscript"/>
        </w:rPr>
        <w:t>3</w:t>
      </w:r>
      <w:r>
        <w:rPr>
          <w:rFonts w:ascii="Times New Roman" w:hAnsi="Times New Roman"/>
          <w:sz w:val="24"/>
        </w:rPr>
        <w:t>-N 浓度值均小于地表水环境质量Ⅲ类标准值。无超标污染带，河段地表水均能达到</w:t>
      </w:r>
      <w:r>
        <w:rPr>
          <w:rFonts w:hint="eastAsia" w:ascii="Times New Roman" w:hAnsi="Times New Roman"/>
          <w:sz w:val="24"/>
          <w:lang w:eastAsia="zh-CN"/>
        </w:rPr>
        <w:t>Ⅲ</w:t>
      </w:r>
      <w:r>
        <w:rPr>
          <w:rFonts w:ascii="Times New Roman" w:hAnsi="Times New Roman"/>
          <w:sz w:val="24"/>
        </w:rPr>
        <w:t>类标准。排污口对</w:t>
      </w:r>
      <w:r>
        <w:rPr>
          <w:rFonts w:hint="eastAsia" w:ascii="Times New Roman" w:hAnsi="Times New Roman"/>
          <w:sz w:val="24"/>
          <w:lang w:eastAsia="zh-CN"/>
        </w:rPr>
        <w:t>新宁</w:t>
      </w:r>
      <w:r>
        <w:rPr>
          <w:rFonts w:ascii="Times New Roman" w:hAnsi="Times New Roman"/>
          <w:sz w:val="24"/>
        </w:rPr>
        <w:t>河水质影响较小。项目废水经处理后</w:t>
      </w:r>
      <w:r>
        <w:rPr>
          <w:rFonts w:ascii="Times New Roman" w:hAnsi="Times New Roman"/>
          <w:sz w:val="24"/>
          <w:lang w:eastAsia="zh-CN"/>
        </w:rPr>
        <w:t>通过1.5km排水管道引至天生镇王一庙水源保护区下游河段（新宁河）排放</w:t>
      </w:r>
      <w:r>
        <w:rPr>
          <w:rFonts w:ascii="Times New Roman" w:hAnsi="Times New Roman"/>
          <w:sz w:val="24"/>
        </w:rPr>
        <w:t>。</w:t>
      </w:r>
    </w:p>
    <w:p>
      <w:pPr>
        <w:pStyle w:val="14"/>
        <w:overflowPunct w:val="0"/>
        <w:spacing w:line="360" w:lineRule="auto"/>
        <w:ind w:firstLine="480" w:firstLineChars="200"/>
        <w:rPr>
          <w:rFonts w:ascii="Times New Roman" w:hAnsi="Times New Roman"/>
          <w:sz w:val="24"/>
        </w:rPr>
      </w:pPr>
      <w:r>
        <w:rPr>
          <w:rFonts w:ascii="Times New Roman" w:hAnsi="Times New Roman"/>
          <w:sz w:val="24"/>
        </w:rPr>
        <w:t>根据水域纳污能力的核算结果，</w:t>
      </w:r>
      <w:r>
        <w:rPr>
          <w:rFonts w:hint="eastAsia" w:ascii="Times New Roman" w:hAnsi="Times New Roman"/>
          <w:sz w:val="24"/>
          <w:lang w:eastAsia="zh-CN"/>
        </w:rPr>
        <w:t>本项目入河排污口所在位置为新宁河七里乡开发利用区。该开发利用</w:t>
      </w:r>
      <w:r>
        <w:rPr>
          <w:rFonts w:ascii="Times New Roman" w:hAnsi="Times New Roman"/>
          <w:sz w:val="24"/>
        </w:rPr>
        <w:t>区的水域纳污能力COD入河总量为</w:t>
      </w:r>
      <w:r>
        <w:rPr>
          <w:rFonts w:hint="eastAsia" w:ascii="Times New Roman" w:hAnsi="Times New Roman"/>
          <w:sz w:val="24"/>
          <w:lang w:eastAsia="zh-CN"/>
        </w:rPr>
        <w:t>284.79</w:t>
      </w:r>
      <w:r>
        <w:rPr>
          <w:rFonts w:ascii="Times New Roman" w:hAnsi="Times New Roman"/>
          <w:sz w:val="24"/>
        </w:rPr>
        <w:t>t/a，NH</w:t>
      </w:r>
      <w:r>
        <w:rPr>
          <w:rFonts w:ascii="Times New Roman" w:hAnsi="Times New Roman"/>
          <w:sz w:val="24"/>
          <w:vertAlign w:val="subscript"/>
        </w:rPr>
        <w:t>3</w:t>
      </w:r>
      <w:r>
        <w:rPr>
          <w:rFonts w:ascii="Times New Roman" w:hAnsi="Times New Roman"/>
          <w:sz w:val="24"/>
        </w:rPr>
        <w:t xml:space="preserve">-N入河总量为 </w:t>
      </w:r>
      <w:r>
        <w:rPr>
          <w:rFonts w:hint="eastAsia" w:ascii="Times New Roman" w:hAnsi="Times New Roman"/>
          <w:sz w:val="24"/>
          <w:lang w:eastAsia="zh-CN"/>
        </w:rPr>
        <w:t>27.27</w:t>
      </w:r>
      <w:r>
        <w:rPr>
          <w:rFonts w:ascii="Times New Roman" w:hAnsi="Times New Roman"/>
          <w:sz w:val="24"/>
        </w:rPr>
        <w:t>t/a。本项目建立后，该排污口合计COD入河总量为</w:t>
      </w:r>
      <w:r>
        <w:rPr>
          <w:rFonts w:hint="eastAsia" w:ascii="Times New Roman" w:hAnsi="Times New Roman"/>
          <w:sz w:val="24"/>
          <w:lang w:eastAsia="zh-CN"/>
        </w:rPr>
        <w:t>13.22</w:t>
      </w:r>
      <w:r>
        <w:rPr>
          <w:rFonts w:ascii="Times New Roman" w:hAnsi="Times New Roman"/>
          <w:sz w:val="24"/>
        </w:rPr>
        <w:t>t/a，NH</w:t>
      </w:r>
      <w:r>
        <w:rPr>
          <w:rFonts w:ascii="Times New Roman" w:hAnsi="Times New Roman"/>
          <w:sz w:val="24"/>
          <w:vertAlign w:val="subscript"/>
        </w:rPr>
        <w:t>3</w:t>
      </w:r>
      <w:r>
        <w:rPr>
          <w:rFonts w:ascii="Times New Roman" w:hAnsi="Times New Roman"/>
          <w:sz w:val="24"/>
        </w:rPr>
        <w:t>-N入河总量为</w:t>
      </w:r>
      <w:r>
        <w:rPr>
          <w:rFonts w:hint="eastAsia" w:ascii="Times New Roman" w:hAnsi="Times New Roman"/>
          <w:sz w:val="24"/>
          <w:lang w:eastAsia="zh-CN"/>
        </w:rPr>
        <w:t>0.15</w:t>
      </w:r>
      <w:r>
        <w:rPr>
          <w:rFonts w:ascii="Times New Roman" w:hAnsi="Times New Roman"/>
          <w:sz w:val="24"/>
        </w:rPr>
        <w:t>t/a，不会超过该保留区的限制总量，在限制排放总量上还有较大排放空间，符合水功能区管理要求。</w:t>
      </w:r>
    </w:p>
    <w:p>
      <w:pPr>
        <w:pStyle w:val="14"/>
        <w:overflowPunct w:val="0"/>
        <w:spacing w:line="360" w:lineRule="auto"/>
        <w:ind w:firstLine="480" w:firstLineChars="200"/>
        <w:rPr>
          <w:rFonts w:ascii="Times New Roman" w:hAnsi="Times New Roman"/>
          <w:sz w:val="24"/>
          <w:lang w:eastAsia="zh-CN"/>
        </w:rPr>
      </w:pPr>
      <w:r>
        <w:rPr>
          <w:rFonts w:hint="eastAsia" w:ascii="Times New Roman" w:hAnsi="Times New Roman"/>
          <w:sz w:val="24"/>
          <w:lang w:eastAsia="zh-CN"/>
        </w:rPr>
        <w:t>综上所述，本项目入河排污口设置合理。</w:t>
      </w:r>
    </w:p>
    <w:p>
      <w:pPr>
        <w:pStyle w:val="14"/>
        <w:overflowPunct w:val="0"/>
        <w:spacing w:line="360" w:lineRule="auto"/>
        <w:ind w:firstLine="482" w:firstLineChars="200"/>
        <w:rPr>
          <w:rFonts w:ascii="Times New Roman" w:hAnsi="Times New Roman"/>
          <w:b/>
          <w:bCs w:val="0"/>
          <w:sz w:val="24"/>
          <w:lang w:eastAsia="zh-CN"/>
        </w:rPr>
      </w:pPr>
      <w:r>
        <w:rPr>
          <w:rFonts w:hint="eastAsia" w:ascii="Times New Roman" w:hAnsi="Times New Roman"/>
          <w:b/>
          <w:bCs w:val="0"/>
          <w:sz w:val="24"/>
          <w:lang w:eastAsia="zh-CN"/>
        </w:rPr>
        <w:t>环评要求：企业应编制</w:t>
      </w:r>
      <w:r>
        <w:rPr>
          <w:rFonts w:ascii="Times New Roman" w:hAnsi="Times New Roman"/>
          <w:b/>
          <w:bCs w:val="0"/>
          <w:sz w:val="24"/>
          <w:lang w:eastAsia="zh-CN"/>
        </w:rPr>
        <w:t>入河排污口设置论证报告</w:t>
      </w:r>
      <w:r>
        <w:rPr>
          <w:rFonts w:hint="eastAsia" w:ascii="Times New Roman" w:hAnsi="Times New Roman"/>
          <w:b/>
          <w:bCs w:val="0"/>
          <w:sz w:val="24"/>
          <w:lang w:eastAsia="zh-CN"/>
        </w:rPr>
        <w:t>，进一步论证入河排污口设置合法合规性，在取得入河排污口批复前，企业不得生产。</w:t>
      </w:r>
    </w:p>
    <w:p>
      <w:pPr>
        <w:pStyle w:val="6"/>
        <w:rPr>
          <w:szCs w:val="22"/>
          <w:lang w:eastAsia="zh-CN"/>
        </w:rPr>
      </w:pPr>
      <w:bookmarkStart w:id="456" w:name="_Toc163812635"/>
      <w:bookmarkStart w:id="457" w:name="_Toc167095258"/>
      <w:r>
        <w:rPr>
          <w:szCs w:val="22"/>
          <w:lang w:eastAsia="zh-CN"/>
        </w:rPr>
        <w:t>6.</w:t>
      </w:r>
      <w:r>
        <w:rPr>
          <w:rFonts w:hint="eastAsia"/>
          <w:szCs w:val="22"/>
          <w:lang w:eastAsia="zh-CN"/>
        </w:rPr>
        <w:t>4</w:t>
      </w:r>
      <w:r>
        <w:rPr>
          <w:szCs w:val="22"/>
          <w:lang w:eastAsia="zh-CN"/>
        </w:rPr>
        <w:t>.</w:t>
      </w:r>
      <w:r>
        <w:rPr>
          <w:rFonts w:hint="eastAsia"/>
          <w:szCs w:val="22"/>
          <w:lang w:eastAsia="zh-CN"/>
        </w:rPr>
        <w:t>5</w:t>
      </w:r>
      <w:r>
        <w:rPr>
          <w:szCs w:val="22"/>
          <w:lang w:eastAsia="zh-CN"/>
        </w:rPr>
        <w:t xml:space="preserve"> 地表水环境影响评价结论</w:t>
      </w:r>
      <w:bookmarkEnd w:id="456"/>
      <w:bookmarkEnd w:id="457"/>
    </w:p>
    <w:p>
      <w:pPr>
        <w:spacing w:line="360" w:lineRule="auto"/>
        <w:ind w:firstLine="480" w:firstLineChars="200"/>
        <w:rPr>
          <w:rFonts w:hAnsi="Times New Roman" w:eastAsia="宋体"/>
          <w:lang w:eastAsia="zh-CN"/>
        </w:rPr>
      </w:pPr>
      <w:r>
        <w:rPr>
          <w:rFonts w:hAnsi="Times New Roman" w:eastAsia="宋体"/>
          <w:szCs w:val="24"/>
        </w:rPr>
        <w:t>由预测可知，</w:t>
      </w:r>
      <w:r>
        <w:rPr>
          <w:rFonts w:hAnsi="Times New Roman" w:eastAsia="宋体"/>
          <w:szCs w:val="24"/>
          <w:lang w:eastAsia="zh-CN"/>
        </w:rPr>
        <w:t>项目在</w:t>
      </w:r>
      <w:r>
        <w:rPr>
          <w:rFonts w:hAnsi="Times New Roman" w:eastAsia="宋体"/>
          <w:spacing w:val="-2"/>
          <w:szCs w:val="24"/>
        </w:rPr>
        <w:t>正常排放</w:t>
      </w:r>
      <w:r>
        <w:rPr>
          <w:rFonts w:hAnsi="Times New Roman" w:eastAsia="宋体"/>
          <w:spacing w:val="-2"/>
          <w:szCs w:val="24"/>
          <w:lang w:eastAsia="zh-CN"/>
        </w:rPr>
        <w:t>时，</w:t>
      </w:r>
      <w:r>
        <w:rPr>
          <w:rFonts w:hAnsi="Times New Roman" w:eastAsia="宋体"/>
          <w:spacing w:val="-2"/>
          <w:szCs w:val="24"/>
        </w:rPr>
        <w:t>排放口下游附近</w:t>
      </w:r>
      <w:r>
        <w:rPr>
          <w:rFonts w:hAnsi="Times New Roman" w:eastAsia="宋体"/>
          <w:spacing w:val="-60"/>
          <w:szCs w:val="24"/>
        </w:rPr>
        <w:t xml:space="preserve"> </w:t>
      </w:r>
      <w:r>
        <w:rPr>
          <w:rFonts w:hAnsi="Times New Roman" w:eastAsia="宋体"/>
          <w:spacing w:val="-3"/>
          <w:szCs w:val="24"/>
        </w:rPr>
        <w:t>COD、</w:t>
      </w:r>
      <w:r>
        <w:rPr>
          <w:rFonts w:hAnsi="Times New Roman" w:eastAsia="宋体"/>
          <w:spacing w:val="-3"/>
          <w:szCs w:val="24"/>
          <w:lang w:eastAsia="zh-CN"/>
        </w:rPr>
        <w:t>氨氮、</w:t>
      </w:r>
      <w:r>
        <w:rPr>
          <w:rFonts w:hint="eastAsia" w:hAnsi="Times New Roman" w:eastAsia="宋体"/>
          <w:spacing w:val="-3"/>
          <w:szCs w:val="24"/>
          <w:lang w:val="en-US" w:eastAsia="zh-CN"/>
        </w:rPr>
        <w:t>TP</w:t>
      </w:r>
      <w:r>
        <w:rPr>
          <w:rFonts w:hAnsi="Times New Roman" w:eastAsia="宋体"/>
          <w:szCs w:val="24"/>
        </w:rPr>
        <w:t>的预测值均能满足《地表水</w:t>
      </w:r>
      <w:r>
        <w:rPr>
          <w:rFonts w:hint="eastAsia" w:hAnsi="Times New Roman" w:eastAsia="宋体"/>
          <w:szCs w:val="24"/>
          <w:lang w:val="en-US" w:eastAsia="zh-CN"/>
        </w:rPr>
        <w:t>环境</w:t>
      </w:r>
      <w:r>
        <w:rPr>
          <w:rFonts w:hAnsi="Times New Roman" w:eastAsia="宋体"/>
          <w:szCs w:val="24"/>
        </w:rPr>
        <w:t>质量标准》Ⅲ类</w:t>
      </w:r>
      <w:r>
        <w:rPr>
          <w:rFonts w:hint="eastAsia" w:hAnsi="Times New Roman" w:eastAsia="宋体"/>
          <w:szCs w:val="24"/>
          <w:lang w:eastAsia="zh-CN"/>
        </w:rPr>
        <w:t>水质标准</w:t>
      </w:r>
      <w:r>
        <w:rPr>
          <w:rFonts w:hAnsi="Times New Roman" w:eastAsia="宋体"/>
          <w:spacing w:val="-2"/>
          <w:szCs w:val="24"/>
          <w:lang w:eastAsia="zh-CN"/>
        </w:rPr>
        <w:t>。</w:t>
      </w:r>
      <w:r>
        <w:rPr>
          <w:rFonts w:hAnsi="Times New Roman" w:eastAsia="宋体"/>
          <w:szCs w:val="24"/>
        </w:rPr>
        <w:t>项目排放口下游</w:t>
      </w:r>
      <w:r>
        <w:rPr>
          <w:rFonts w:hAnsi="Times New Roman" w:eastAsia="宋体"/>
          <w:spacing w:val="-60"/>
          <w:szCs w:val="24"/>
        </w:rPr>
        <w:t xml:space="preserve"> </w:t>
      </w:r>
      <w:r>
        <w:rPr>
          <w:rFonts w:hAnsi="Times New Roman" w:eastAsia="宋体"/>
          <w:szCs w:val="24"/>
        </w:rPr>
        <w:t>5km内无珍稀鱼类三场及洄游通道分布。项目正常排放</w:t>
      </w:r>
      <w:r>
        <w:rPr>
          <w:rFonts w:hAnsi="Times New Roman" w:eastAsia="宋体"/>
          <w:szCs w:val="24"/>
          <w:lang w:eastAsia="zh-CN"/>
        </w:rPr>
        <w:t>时</w:t>
      </w:r>
      <w:r>
        <w:rPr>
          <w:rFonts w:hAnsi="Times New Roman" w:eastAsia="宋体"/>
          <w:szCs w:val="24"/>
        </w:rPr>
        <w:t>对下游水生生物影响较小</w:t>
      </w:r>
      <w:r>
        <w:rPr>
          <w:rFonts w:hAnsi="Times New Roman" w:eastAsia="宋体"/>
          <w:lang w:eastAsia="zh-CN"/>
        </w:rPr>
        <w:t>。</w:t>
      </w:r>
    </w:p>
    <w:p>
      <w:pPr>
        <w:spacing w:line="360" w:lineRule="auto"/>
        <w:ind w:firstLine="480" w:firstLineChars="200"/>
        <w:rPr>
          <w:rFonts w:hAnsi="Times New Roman" w:eastAsia="宋体"/>
          <w:lang w:eastAsia="zh-CN"/>
        </w:rPr>
      </w:pPr>
      <w:r>
        <w:rPr>
          <w:rFonts w:hAnsi="Times New Roman" w:eastAsia="宋体"/>
          <w:lang w:eastAsia="zh-CN"/>
        </w:rPr>
        <w:t>在非正常情况下，COD、SS均超过《地表水环境质量标准》（GB3838-2002）Ⅲ类标准要求，因此，必须加强矿井水处理设施管理，杜绝非正常情况的发生。</w:t>
      </w:r>
    </w:p>
    <w:p>
      <w:pPr>
        <w:spacing w:line="360" w:lineRule="auto"/>
        <w:ind w:firstLine="480" w:firstLineChars="200"/>
        <w:rPr>
          <w:rFonts w:hAnsi="Times New Roman" w:eastAsia="宋体"/>
          <w:lang w:eastAsia="zh-CN"/>
        </w:rPr>
      </w:pPr>
      <w:r>
        <w:rPr>
          <w:rFonts w:hAnsi="Times New Roman" w:eastAsia="宋体"/>
        </w:rPr>
        <w:t>综上所述，项目采取的水污染控制措施有效，项目建成后</w:t>
      </w:r>
      <w:r>
        <w:rPr>
          <w:rFonts w:hAnsi="Times New Roman" w:eastAsia="宋体"/>
          <w:lang w:eastAsia="zh-CN"/>
        </w:rPr>
        <w:t>对</w:t>
      </w:r>
      <w:r>
        <w:rPr>
          <w:rFonts w:hAnsi="Times New Roman" w:eastAsia="宋体"/>
        </w:rPr>
        <w:t>地表水环境影响较小，可接受</w:t>
      </w:r>
      <w:r>
        <w:rPr>
          <w:rFonts w:hAnsi="Times New Roman" w:eastAsia="宋体"/>
          <w:lang w:eastAsia="zh-CN"/>
        </w:rPr>
        <w:t>。</w:t>
      </w:r>
    </w:p>
    <w:p>
      <w:pPr>
        <w:pStyle w:val="2"/>
        <w:ind w:left="480" w:firstLine="403"/>
        <w:rPr>
          <w:rFonts w:eastAsiaTheme="minorEastAsia"/>
          <w:lang w:eastAsia="zh-CN"/>
        </w:rPr>
      </w:pPr>
    </w:p>
    <w:p>
      <w:pPr>
        <w:rPr>
          <w:rFonts w:eastAsiaTheme="minorEastAsia"/>
          <w:lang w:eastAsia="zh-CN"/>
        </w:rPr>
      </w:pPr>
    </w:p>
    <w:p>
      <w:pPr>
        <w:pStyle w:val="2"/>
        <w:ind w:left="480" w:firstLine="403"/>
        <w:rPr>
          <w:rFonts w:eastAsiaTheme="minorEastAsia"/>
          <w:lang w:eastAsia="zh-CN"/>
        </w:rPr>
      </w:pPr>
    </w:p>
    <w:p>
      <w:pPr>
        <w:rPr>
          <w:rFonts w:eastAsiaTheme="minorEastAsia"/>
          <w:lang w:eastAsia="zh-CN"/>
        </w:rPr>
      </w:pPr>
    </w:p>
    <w:p>
      <w:pPr>
        <w:pStyle w:val="5"/>
        <w:rPr>
          <w:rFonts w:ascii="Times New Roman" w:hAnsi="Times New Roman"/>
          <w:lang w:eastAsia="zh-CN"/>
        </w:rPr>
      </w:pPr>
      <w:bookmarkStart w:id="458" w:name="_Toc167095259"/>
      <w:bookmarkStart w:id="459" w:name="_Toc163749181"/>
      <w:r>
        <w:rPr>
          <w:rFonts w:ascii="Times New Roman" w:hAnsi="Times New Roman"/>
          <w:lang w:eastAsia="zh-CN"/>
        </w:rPr>
        <w:t>6.</w:t>
      </w:r>
      <w:r>
        <w:rPr>
          <w:rFonts w:hint="eastAsia" w:ascii="Times New Roman" w:hAnsi="Times New Roman"/>
          <w:lang w:eastAsia="zh-CN"/>
        </w:rPr>
        <w:t>5</w:t>
      </w:r>
      <w:r>
        <w:rPr>
          <w:rFonts w:ascii="Times New Roman" w:hAnsi="Times New Roman"/>
          <w:lang w:eastAsia="zh-CN"/>
        </w:rPr>
        <w:t xml:space="preserve"> 污染物排放量核算</w:t>
      </w:r>
      <w:bookmarkEnd w:id="458"/>
      <w:bookmarkEnd w:id="459"/>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 6.</w:t>
      </w:r>
      <w:r>
        <w:rPr>
          <w:rFonts w:hint="eastAsia" w:hAnsi="Times New Roman" w:eastAsia="宋体"/>
          <w:b/>
          <w:bCs/>
          <w:sz w:val="21"/>
          <w:szCs w:val="21"/>
          <w:lang w:eastAsia="zh-CN"/>
        </w:rPr>
        <w:t>5</w:t>
      </w:r>
      <w:r>
        <w:rPr>
          <w:rFonts w:hAnsi="Times New Roman" w:eastAsia="宋体"/>
          <w:b/>
          <w:bCs/>
          <w:sz w:val="21"/>
          <w:szCs w:val="21"/>
          <w:lang w:eastAsia="zh-CN"/>
        </w:rPr>
        <w:t>-1 废水类别、污染物及污染治理设施信息表</w:t>
      </w:r>
    </w:p>
    <w:tbl>
      <w:tblPr>
        <w:tblStyle w:val="33"/>
        <w:tblW w:w="91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0"/>
        <w:gridCol w:w="808"/>
        <w:gridCol w:w="1272"/>
        <w:gridCol w:w="655"/>
        <w:gridCol w:w="813"/>
        <w:gridCol w:w="662"/>
        <w:gridCol w:w="1282"/>
        <w:gridCol w:w="680"/>
        <w:gridCol w:w="845"/>
        <w:gridCol w:w="885"/>
        <w:gridCol w:w="7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10" w:type="dxa"/>
            <w:vMerge w:val="restart"/>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b/>
                <w:spacing w:val="-1"/>
                <w:kern w:val="2"/>
                <w:sz w:val="21"/>
                <w:szCs w:val="21"/>
              </w:rPr>
            </w:pPr>
            <w:r>
              <w:rPr>
                <w:rFonts w:hint="eastAsia" w:hAnsi="Times New Roman" w:eastAsia="宋体"/>
                <w:b/>
                <w:spacing w:val="-1"/>
                <w:kern w:val="2"/>
                <w:sz w:val="21"/>
                <w:szCs w:val="21"/>
              </w:rPr>
              <w:t>序 号</w:t>
            </w:r>
          </w:p>
        </w:tc>
        <w:tc>
          <w:tcPr>
            <w:tcW w:w="808" w:type="dxa"/>
            <w:vMerge w:val="restart"/>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b/>
                <w:spacing w:val="-1"/>
                <w:kern w:val="2"/>
                <w:sz w:val="21"/>
                <w:szCs w:val="21"/>
              </w:rPr>
            </w:pPr>
            <w:r>
              <w:rPr>
                <w:rFonts w:hint="eastAsia" w:hAnsi="Times New Roman" w:eastAsia="宋体"/>
                <w:b/>
                <w:spacing w:val="-1"/>
                <w:kern w:val="2"/>
                <w:sz w:val="21"/>
                <w:szCs w:val="21"/>
              </w:rPr>
              <w:t>废水 类别</w:t>
            </w:r>
          </w:p>
        </w:tc>
        <w:tc>
          <w:tcPr>
            <w:tcW w:w="1272" w:type="dxa"/>
            <w:vMerge w:val="restart"/>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b/>
                <w:spacing w:val="-1"/>
                <w:kern w:val="2"/>
                <w:sz w:val="21"/>
                <w:szCs w:val="21"/>
              </w:rPr>
            </w:pPr>
            <w:r>
              <w:rPr>
                <w:rFonts w:hint="eastAsia" w:hAnsi="Times New Roman" w:eastAsia="宋体"/>
                <w:b/>
                <w:spacing w:val="-1"/>
                <w:kern w:val="2"/>
                <w:sz w:val="21"/>
                <w:szCs w:val="21"/>
              </w:rPr>
              <w:t>污染物种类</w:t>
            </w:r>
          </w:p>
        </w:tc>
        <w:tc>
          <w:tcPr>
            <w:tcW w:w="655" w:type="dxa"/>
            <w:vMerge w:val="restart"/>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b/>
                <w:spacing w:val="-1"/>
                <w:kern w:val="2"/>
                <w:sz w:val="21"/>
                <w:szCs w:val="21"/>
              </w:rPr>
            </w:pPr>
            <w:r>
              <w:rPr>
                <w:rFonts w:hint="eastAsia" w:hAnsi="Times New Roman" w:eastAsia="宋体"/>
                <w:b/>
                <w:spacing w:val="-1"/>
                <w:kern w:val="2"/>
                <w:sz w:val="21"/>
                <w:szCs w:val="21"/>
              </w:rPr>
              <w:t>排放 去向</w:t>
            </w:r>
          </w:p>
        </w:tc>
        <w:tc>
          <w:tcPr>
            <w:tcW w:w="813" w:type="dxa"/>
            <w:vMerge w:val="restart"/>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b/>
                <w:spacing w:val="-1"/>
                <w:kern w:val="2"/>
                <w:sz w:val="21"/>
                <w:szCs w:val="21"/>
              </w:rPr>
            </w:pPr>
            <w:r>
              <w:rPr>
                <w:rFonts w:hint="eastAsia" w:hAnsi="Times New Roman" w:eastAsia="宋体"/>
                <w:b/>
                <w:spacing w:val="-1"/>
                <w:kern w:val="2"/>
                <w:sz w:val="21"/>
                <w:szCs w:val="21"/>
              </w:rPr>
              <w:t>排放 规律</w:t>
            </w:r>
          </w:p>
        </w:tc>
        <w:tc>
          <w:tcPr>
            <w:tcW w:w="2624" w:type="dxa"/>
            <w:gridSpan w:val="3"/>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b/>
                <w:spacing w:val="-1"/>
                <w:kern w:val="2"/>
                <w:sz w:val="21"/>
                <w:szCs w:val="21"/>
              </w:rPr>
            </w:pPr>
            <w:r>
              <w:rPr>
                <w:rFonts w:hint="eastAsia" w:hAnsi="Times New Roman" w:eastAsia="宋体"/>
                <w:b/>
                <w:spacing w:val="-1"/>
                <w:kern w:val="2"/>
                <w:sz w:val="21"/>
                <w:szCs w:val="21"/>
              </w:rPr>
              <w:t>污染治理设施</w:t>
            </w:r>
          </w:p>
        </w:tc>
        <w:tc>
          <w:tcPr>
            <w:tcW w:w="845" w:type="dxa"/>
            <w:vMerge w:val="restart"/>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b/>
                <w:spacing w:val="-1"/>
                <w:kern w:val="2"/>
                <w:sz w:val="21"/>
                <w:szCs w:val="21"/>
              </w:rPr>
            </w:pPr>
            <w:r>
              <w:rPr>
                <w:rFonts w:hint="eastAsia" w:hAnsi="Times New Roman" w:eastAsia="宋体"/>
                <w:b/>
                <w:spacing w:val="-1"/>
                <w:kern w:val="2"/>
                <w:sz w:val="21"/>
                <w:szCs w:val="21"/>
              </w:rPr>
              <w:t>排放口 编号</w:t>
            </w:r>
          </w:p>
        </w:tc>
        <w:tc>
          <w:tcPr>
            <w:tcW w:w="885" w:type="dxa"/>
            <w:vMerge w:val="restart"/>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b/>
                <w:spacing w:val="-1"/>
                <w:kern w:val="2"/>
                <w:sz w:val="21"/>
                <w:szCs w:val="21"/>
              </w:rPr>
            </w:pPr>
            <w:r>
              <w:rPr>
                <w:rFonts w:hint="eastAsia" w:hAnsi="Times New Roman" w:eastAsia="宋体"/>
                <w:b/>
                <w:spacing w:val="-1"/>
                <w:kern w:val="2"/>
                <w:sz w:val="21"/>
                <w:szCs w:val="21"/>
              </w:rPr>
              <w:t>排放口设施是否符合要求</w:t>
            </w:r>
          </w:p>
        </w:tc>
        <w:tc>
          <w:tcPr>
            <w:tcW w:w="708" w:type="dxa"/>
            <w:vMerge w:val="restart"/>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b/>
                <w:spacing w:val="-1"/>
                <w:kern w:val="2"/>
                <w:sz w:val="21"/>
                <w:szCs w:val="21"/>
              </w:rPr>
            </w:pPr>
            <w:r>
              <w:rPr>
                <w:rFonts w:hint="eastAsia" w:hAnsi="Times New Roman" w:eastAsia="宋体"/>
                <w:b/>
                <w:spacing w:val="-1"/>
                <w:kern w:val="2"/>
                <w:sz w:val="21"/>
                <w:szCs w:val="21"/>
              </w:rPr>
              <w:t>排放 口类 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3" w:hRule="atLeast"/>
          <w:jc w:val="center"/>
        </w:trPr>
        <w:tc>
          <w:tcPr>
            <w:tcW w:w="510" w:type="dxa"/>
            <w:vMerge w:val="continue"/>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b/>
                <w:spacing w:val="-1"/>
                <w:kern w:val="2"/>
                <w:sz w:val="21"/>
                <w:szCs w:val="21"/>
              </w:rPr>
            </w:pPr>
          </w:p>
        </w:tc>
        <w:tc>
          <w:tcPr>
            <w:tcW w:w="808" w:type="dxa"/>
            <w:vMerge w:val="continue"/>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b/>
                <w:spacing w:val="-1"/>
                <w:kern w:val="2"/>
                <w:sz w:val="21"/>
                <w:szCs w:val="21"/>
              </w:rPr>
            </w:pPr>
          </w:p>
        </w:tc>
        <w:tc>
          <w:tcPr>
            <w:tcW w:w="1272" w:type="dxa"/>
            <w:vMerge w:val="continue"/>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b/>
                <w:spacing w:val="-1"/>
                <w:kern w:val="2"/>
                <w:sz w:val="21"/>
                <w:szCs w:val="21"/>
              </w:rPr>
            </w:pPr>
          </w:p>
        </w:tc>
        <w:tc>
          <w:tcPr>
            <w:tcW w:w="655" w:type="dxa"/>
            <w:vMerge w:val="continue"/>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b/>
                <w:spacing w:val="-1"/>
                <w:kern w:val="2"/>
                <w:sz w:val="21"/>
                <w:szCs w:val="21"/>
              </w:rPr>
            </w:pPr>
          </w:p>
        </w:tc>
        <w:tc>
          <w:tcPr>
            <w:tcW w:w="813" w:type="dxa"/>
            <w:vMerge w:val="continue"/>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b/>
                <w:spacing w:val="-1"/>
                <w:kern w:val="2"/>
                <w:sz w:val="21"/>
                <w:szCs w:val="21"/>
              </w:rPr>
            </w:pPr>
          </w:p>
        </w:tc>
        <w:tc>
          <w:tcPr>
            <w:tcW w:w="662"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b/>
                <w:spacing w:val="-1"/>
                <w:kern w:val="2"/>
                <w:sz w:val="21"/>
                <w:szCs w:val="21"/>
              </w:rPr>
            </w:pPr>
            <w:r>
              <w:rPr>
                <w:rFonts w:hint="eastAsia" w:hAnsi="Times New Roman" w:eastAsia="宋体"/>
                <w:b/>
                <w:spacing w:val="-1"/>
                <w:kern w:val="2"/>
                <w:sz w:val="21"/>
                <w:szCs w:val="21"/>
              </w:rPr>
              <w:t>编号</w:t>
            </w:r>
          </w:p>
        </w:tc>
        <w:tc>
          <w:tcPr>
            <w:tcW w:w="1282"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b/>
                <w:spacing w:val="-1"/>
                <w:kern w:val="2"/>
                <w:sz w:val="21"/>
                <w:szCs w:val="21"/>
              </w:rPr>
            </w:pPr>
            <w:r>
              <w:rPr>
                <w:rFonts w:hint="eastAsia" w:hAnsi="Times New Roman" w:eastAsia="宋体"/>
                <w:b/>
                <w:spacing w:val="-1"/>
                <w:kern w:val="2"/>
                <w:sz w:val="21"/>
                <w:szCs w:val="21"/>
              </w:rPr>
              <w:t>名称</w:t>
            </w:r>
          </w:p>
        </w:tc>
        <w:tc>
          <w:tcPr>
            <w:tcW w:w="680"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b/>
                <w:spacing w:val="-1"/>
                <w:kern w:val="2"/>
                <w:sz w:val="21"/>
                <w:szCs w:val="21"/>
              </w:rPr>
            </w:pPr>
            <w:r>
              <w:rPr>
                <w:rFonts w:hint="eastAsia" w:hAnsi="Times New Roman" w:eastAsia="宋体"/>
                <w:b/>
                <w:spacing w:val="-1"/>
                <w:kern w:val="2"/>
                <w:sz w:val="21"/>
                <w:szCs w:val="21"/>
              </w:rPr>
              <w:t>工艺</w:t>
            </w:r>
          </w:p>
        </w:tc>
        <w:tc>
          <w:tcPr>
            <w:tcW w:w="845" w:type="dxa"/>
            <w:vMerge w:val="continue"/>
            <w:vAlign w:val="center"/>
          </w:tcPr>
          <w:p>
            <w:pPr>
              <w:pStyle w:val="44"/>
              <w:keepNext w:val="0"/>
              <w:keepLines w:val="0"/>
              <w:suppressLineNumbers w:val="0"/>
              <w:kinsoku w:val="0"/>
              <w:overflowPunct w:val="0"/>
              <w:spacing w:before="0" w:beforeAutospacing="0" w:after="0" w:afterAutospacing="0" w:line="260" w:lineRule="exact"/>
              <w:ind w:left="150" w:right="0"/>
              <w:jc w:val="center"/>
              <w:rPr>
                <w:rFonts w:hint="eastAsia" w:hAnsi="Times New Roman" w:eastAsia="宋体"/>
                <w:kern w:val="2"/>
                <w:szCs w:val="22"/>
              </w:rPr>
            </w:pPr>
          </w:p>
        </w:tc>
        <w:tc>
          <w:tcPr>
            <w:tcW w:w="885" w:type="dxa"/>
            <w:vMerge w:val="continue"/>
            <w:vAlign w:val="center"/>
          </w:tcPr>
          <w:p>
            <w:pPr>
              <w:pStyle w:val="44"/>
              <w:keepNext w:val="0"/>
              <w:keepLines w:val="0"/>
              <w:suppressLineNumbers w:val="0"/>
              <w:kinsoku w:val="0"/>
              <w:overflowPunct w:val="0"/>
              <w:spacing w:before="0" w:beforeAutospacing="0" w:after="0" w:afterAutospacing="0" w:line="260" w:lineRule="exact"/>
              <w:ind w:left="150" w:right="0"/>
              <w:jc w:val="center"/>
              <w:rPr>
                <w:rFonts w:hint="eastAsia" w:hAnsi="Times New Roman" w:eastAsia="宋体"/>
                <w:kern w:val="2"/>
                <w:szCs w:val="22"/>
              </w:rPr>
            </w:pPr>
          </w:p>
        </w:tc>
        <w:tc>
          <w:tcPr>
            <w:tcW w:w="708" w:type="dxa"/>
            <w:vMerge w:val="continue"/>
            <w:vAlign w:val="center"/>
          </w:tcPr>
          <w:p>
            <w:pPr>
              <w:pStyle w:val="44"/>
              <w:keepNext w:val="0"/>
              <w:keepLines w:val="0"/>
              <w:suppressLineNumbers w:val="0"/>
              <w:kinsoku w:val="0"/>
              <w:overflowPunct w:val="0"/>
              <w:spacing w:before="0" w:beforeAutospacing="0" w:after="0" w:afterAutospacing="0" w:line="260" w:lineRule="exact"/>
              <w:ind w:left="150" w:right="0"/>
              <w:jc w:val="center"/>
              <w:rPr>
                <w:rFonts w:hint="eastAsia" w:hAnsi="Times New Roman" w:eastAsia="宋体"/>
                <w:kern w:val="2"/>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4" w:hRule="atLeast"/>
          <w:jc w:val="center"/>
        </w:trPr>
        <w:tc>
          <w:tcPr>
            <w:tcW w:w="510" w:type="dxa"/>
            <w:vAlign w:val="center"/>
          </w:tcPr>
          <w:p>
            <w:pPr>
              <w:pStyle w:val="44"/>
              <w:keepNext w:val="0"/>
              <w:keepLines w:val="0"/>
              <w:suppressLineNumbers w:val="0"/>
              <w:kinsoku w:val="0"/>
              <w:overflowPunct w:val="0"/>
              <w:spacing w:before="49" w:beforeAutospacing="0" w:after="0" w:afterAutospacing="0" w:line="260" w:lineRule="exact"/>
              <w:ind w:left="0" w:right="2"/>
              <w:jc w:val="center"/>
              <w:rPr>
                <w:rFonts w:hint="eastAsia" w:hAnsi="Times New Roman" w:eastAsia="宋体"/>
                <w:kern w:val="2"/>
                <w:sz w:val="21"/>
                <w:szCs w:val="21"/>
              </w:rPr>
            </w:pPr>
            <w:r>
              <w:rPr>
                <w:rFonts w:hint="eastAsia" w:hAnsi="Times New Roman" w:eastAsia="宋体"/>
                <w:kern w:val="2"/>
                <w:sz w:val="21"/>
                <w:szCs w:val="21"/>
              </w:rPr>
              <w:t>1</w:t>
            </w:r>
          </w:p>
        </w:tc>
        <w:tc>
          <w:tcPr>
            <w:tcW w:w="808" w:type="dxa"/>
            <w:vAlign w:val="center"/>
          </w:tcPr>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矿井</w:t>
            </w:r>
          </w:p>
          <w:p>
            <w:pPr>
              <w:pStyle w:val="44"/>
              <w:keepNext w:val="0"/>
              <w:keepLines w:val="0"/>
              <w:suppressLineNumbers w:val="0"/>
              <w:kinsoku w:val="0"/>
              <w:overflowPunct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水</w:t>
            </w:r>
          </w:p>
        </w:tc>
        <w:tc>
          <w:tcPr>
            <w:tcW w:w="1272" w:type="dxa"/>
            <w:vAlign w:val="center"/>
          </w:tcPr>
          <w:p>
            <w:pPr>
              <w:pStyle w:val="44"/>
              <w:keepNext w:val="0"/>
              <w:keepLines w:val="0"/>
              <w:suppressLineNumbers w:val="0"/>
              <w:kinsoku w:val="0"/>
              <w:overflowPunct w:val="0"/>
              <w:spacing w:before="49" w:beforeAutospacing="0" w:after="0" w:afterAutospacing="0" w:line="260" w:lineRule="exact"/>
              <w:ind w:left="0" w:right="2"/>
              <w:jc w:val="center"/>
              <w:rPr>
                <w:rFonts w:hint="eastAsia" w:hAnsi="Times New Roman" w:eastAsia="宋体"/>
                <w:kern w:val="2"/>
                <w:sz w:val="21"/>
                <w:szCs w:val="21"/>
              </w:rPr>
            </w:pPr>
            <w:r>
              <w:rPr>
                <w:rFonts w:hint="eastAsia" w:hAnsi="Times New Roman" w:eastAsia="宋体"/>
                <w:spacing w:val="-1"/>
                <w:kern w:val="2"/>
                <w:sz w:val="21"/>
                <w:szCs w:val="21"/>
              </w:rPr>
              <w:t>COD、</w:t>
            </w:r>
            <w:r>
              <w:rPr>
                <w:rFonts w:hint="eastAsia" w:hAnsi="Times New Roman" w:eastAsia="宋体"/>
                <w:spacing w:val="-1"/>
                <w:kern w:val="2"/>
                <w:sz w:val="21"/>
                <w:szCs w:val="21"/>
                <w:lang w:eastAsia="zh-CN"/>
              </w:rPr>
              <w:t>NH</w:t>
            </w:r>
            <w:r>
              <w:rPr>
                <w:rFonts w:hint="eastAsia" w:hAnsi="Times New Roman" w:eastAsia="宋体"/>
                <w:spacing w:val="-1"/>
                <w:kern w:val="2"/>
                <w:sz w:val="21"/>
                <w:szCs w:val="21"/>
                <w:vertAlign w:val="subscript"/>
                <w:lang w:eastAsia="zh-CN"/>
              </w:rPr>
              <w:t>3</w:t>
            </w:r>
            <w:r>
              <w:rPr>
                <w:rFonts w:hint="eastAsia" w:hAnsi="Times New Roman" w:eastAsia="宋体"/>
                <w:spacing w:val="-1"/>
                <w:kern w:val="2"/>
                <w:sz w:val="21"/>
                <w:szCs w:val="21"/>
                <w:lang w:eastAsia="zh-CN"/>
              </w:rPr>
              <w:t>-N、</w:t>
            </w:r>
            <w:r>
              <w:rPr>
                <w:rFonts w:hint="eastAsia" w:hAnsi="Times New Roman" w:eastAsia="宋体"/>
                <w:spacing w:val="-1"/>
                <w:kern w:val="2"/>
                <w:sz w:val="21"/>
                <w:szCs w:val="21"/>
              </w:rPr>
              <w:t>SS</w:t>
            </w:r>
          </w:p>
        </w:tc>
        <w:tc>
          <w:tcPr>
            <w:tcW w:w="655" w:type="dxa"/>
            <w:vAlign w:val="center"/>
          </w:tcPr>
          <w:p>
            <w:pPr>
              <w:pStyle w:val="44"/>
              <w:keepNext w:val="0"/>
              <w:keepLines w:val="0"/>
              <w:suppressLineNumbers w:val="0"/>
              <w:kinsoku w:val="0"/>
              <w:overflowPunct w:val="0"/>
              <w:spacing w:before="49" w:beforeAutospacing="0" w:after="0" w:afterAutospacing="0" w:line="260" w:lineRule="exact"/>
              <w:ind w:left="0" w:right="2"/>
              <w:jc w:val="center"/>
              <w:rPr>
                <w:rFonts w:hint="eastAsia" w:hAnsi="Times New Roman" w:eastAsia="宋体"/>
                <w:kern w:val="2"/>
                <w:sz w:val="21"/>
                <w:szCs w:val="21"/>
                <w:lang w:eastAsia="zh-CN"/>
              </w:rPr>
            </w:pPr>
            <w:r>
              <w:rPr>
                <w:rFonts w:hint="eastAsia" w:hAnsi="Times New Roman" w:eastAsia="宋体"/>
                <w:kern w:val="2"/>
                <w:sz w:val="21"/>
                <w:szCs w:val="21"/>
                <w:lang w:eastAsia="zh-CN"/>
              </w:rPr>
              <w:t>新宁河</w:t>
            </w:r>
          </w:p>
        </w:tc>
        <w:tc>
          <w:tcPr>
            <w:tcW w:w="813" w:type="dxa"/>
            <w:vAlign w:val="center"/>
          </w:tcPr>
          <w:p>
            <w:pPr>
              <w:pStyle w:val="44"/>
              <w:keepNext w:val="0"/>
              <w:keepLines w:val="0"/>
              <w:suppressLineNumbers w:val="0"/>
              <w:kinsoku w:val="0"/>
              <w:overflowPunct w:val="0"/>
              <w:spacing w:before="49" w:beforeAutospacing="0" w:after="0" w:afterAutospacing="0" w:line="260" w:lineRule="exact"/>
              <w:ind w:left="0" w:right="2"/>
              <w:jc w:val="center"/>
              <w:rPr>
                <w:rFonts w:hint="eastAsia" w:hAnsi="Times New Roman" w:eastAsia="宋体"/>
                <w:kern w:val="2"/>
                <w:sz w:val="21"/>
                <w:szCs w:val="21"/>
              </w:rPr>
            </w:pPr>
            <w:r>
              <w:rPr>
                <w:rFonts w:hint="eastAsia" w:hAnsi="Times New Roman" w:eastAsia="宋体"/>
                <w:kern w:val="2"/>
                <w:sz w:val="21"/>
                <w:szCs w:val="21"/>
              </w:rPr>
              <w:t>连续 稳定</w:t>
            </w:r>
          </w:p>
        </w:tc>
        <w:tc>
          <w:tcPr>
            <w:tcW w:w="662" w:type="dxa"/>
            <w:vAlign w:val="center"/>
          </w:tcPr>
          <w:p>
            <w:pPr>
              <w:pStyle w:val="44"/>
              <w:keepNext w:val="0"/>
              <w:keepLines w:val="0"/>
              <w:suppressLineNumbers w:val="0"/>
              <w:kinsoku w:val="0"/>
              <w:overflowPunct w:val="0"/>
              <w:spacing w:before="49" w:beforeAutospacing="0" w:after="0" w:afterAutospacing="0" w:line="260" w:lineRule="exact"/>
              <w:ind w:left="0" w:right="2"/>
              <w:jc w:val="center"/>
              <w:rPr>
                <w:rFonts w:hint="eastAsia" w:hAnsi="Times New Roman" w:eastAsia="宋体"/>
                <w:kern w:val="2"/>
                <w:sz w:val="21"/>
                <w:szCs w:val="21"/>
              </w:rPr>
            </w:pPr>
            <w:r>
              <w:rPr>
                <w:rFonts w:hint="eastAsia" w:hAnsi="Times New Roman" w:eastAsia="宋体"/>
                <w:kern w:val="2"/>
                <w:sz w:val="21"/>
                <w:szCs w:val="21"/>
              </w:rPr>
              <w:t>/</w:t>
            </w:r>
          </w:p>
        </w:tc>
        <w:tc>
          <w:tcPr>
            <w:tcW w:w="1282" w:type="dxa"/>
            <w:vAlign w:val="center"/>
          </w:tcPr>
          <w:p>
            <w:pPr>
              <w:pStyle w:val="44"/>
              <w:keepNext w:val="0"/>
              <w:keepLines w:val="0"/>
              <w:suppressLineNumbers w:val="0"/>
              <w:overflowPunct w:val="0"/>
              <w:spacing w:before="0" w:beforeAutospacing="0" w:after="0" w:afterAutospacing="0" w:line="260" w:lineRule="exact"/>
              <w:ind w:left="0" w:right="0"/>
              <w:jc w:val="center"/>
              <w:rPr>
                <w:rFonts w:hint="eastAsia" w:hAnsi="Times New Roman" w:eastAsia="宋体"/>
                <w:kern w:val="2"/>
                <w:sz w:val="18"/>
                <w:szCs w:val="18"/>
              </w:rPr>
            </w:pPr>
            <w:r>
              <w:rPr>
                <w:rFonts w:hint="eastAsia" w:hAnsi="Times New Roman" w:eastAsia="宋体"/>
                <w:kern w:val="2"/>
                <w:sz w:val="18"/>
                <w:szCs w:val="18"/>
              </w:rPr>
              <w:t>矿井水</w:t>
            </w:r>
          </w:p>
          <w:p>
            <w:pPr>
              <w:pStyle w:val="44"/>
              <w:keepNext w:val="0"/>
              <w:keepLines w:val="0"/>
              <w:suppressLineNumbers w:val="0"/>
              <w:kinsoku w:val="0"/>
              <w:overflowPunct w:val="0"/>
              <w:spacing w:before="49" w:beforeAutospacing="0" w:after="0" w:afterAutospacing="0" w:line="260" w:lineRule="exact"/>
              <w:ind w:left="0" w:right="2"/>
              <w:jc w:val="center"/>
              <w:rPr>
                <w:rFonts w:hint="eastAsia" w:hAnsi="Times New Roman" w:eastAsia="宋体"/>
                <w:kern w:val="2"/>
                <w:sz w:val="21"/>
                <w:szCs w:val="21"/>
              </w:rPr>
            </w:pPr>
            <w:r>
              <w:rPr>
                <w:rFonts w:hint="eastAsia" w:hAnsi="Times New Roman" w:eastAsia="宋体"/>
                <w:kern w:val="2"/>
                <w:sz w:val="18"/>
                <w:szCs w:val="18"/>
                <w:lang w:eastAsia="zh-CN"/>
              </w:rPr>
              <w:t>处理设施</w:t>
            </w:r>
          </w:p>
        </w:tc>
        <w:tc>
          <w:tcPr>
            <w:tcW w:w="680" w:type="dxa"/>
            <w:vAlign w:val="center"/>
          </w:tcPr>
          <w:p>
            <w:pPr>
              <w:pStyle w:val="44"/>
              <w:keepNext w:val="0"/>
              <w:keepLines w:val="0"/>
              <w:suppressLineNumbers w:val="0"/>
              <w:kinsoku w:val="0"/>
              <w:overflowPunct w:val="0"/>
              <w:spacing w:before="49" w:beforeAutospacing="0" w:after="0" w:afterAutospacing="0" w:line="260" w:lineRule="exact"/>
              <w:ind w:left="0" w:right="2"/>
              <w:jc w:val="center"/>
              <w:rPr>
                <w:rFonts w:hint="eastAsia" w:hAnsi="Times New Roman" w:eastAsia="宋体"/>
                <w:kern w:val="2"/>
                <w:sz w:val="21"/>
                <w:szCs w:val="21"/>
              </w:rPr>
            </w:pPr>
            <w:r>
              <w:rPr>
                <w:rFonts w:hint="eastAsia" w:hAnsi="Times New Roman" w:eastAsia="宋体"/>
                <w:kern w:val="2"/>
                <w:sz w:val="18"/>
                <w:szCs w:val="18"/>
                <w:lang w:eastAsia="zh-CN"/>
              </w:rPr>
              <w:t>絮凝沉淀</w:t>
            </w:r>
          </w:p>
        </w:tc>
        <w:tc>
          <w:tcPr>
            <w:tcW w:w="845" w:type="dxa"/>
            <w:vAlign w:val="center"/>
          </w:tcPr>
          <w:p>
            <w:pPr>
              <w:pStyle w:val="44"/>
              <w:keepNext w:val="0"/>
              <w:keepLines w:val="0"/>
              <w:suppressLineNumbers w:val="0"/>
              <w:kinsoku w:val="0"/>
              <w:overflowPunct w:val="0"/>
              <w:spacing w:before="49" w:beforeAutospacing="0" w:after="0" w:afterAutospacing="0" w:line="260" w:lineRule="exact"/>
              <w:ind w:left="0" w:right="2"/>
              <w:jc w:val="center"/>
              <w:rPr>
                <w:rFonts w:hint="eastAsia" w:hAnsi="Times New Roman" w:eastAsia="宋体"/>
                <w:kern w:val="2"/>
                <w:sz w:val="21"/>
                <w:szCs w:val="21"/>
                <w:lang w:eastAsia="zh-CN"/>
              </w:rPr>
            </w:pPr>
            <w:r>
              <w:rPr>
                <w:rFonts w:hint="eastAsia" w:hAnsi="Times New Roman" w:eastAsia="宋体"/>
                <w:kern w:val="2"/>
                <w:sz w:val="21"/>
                <w:szCs w:val="21"/>
                <w:lang w:eastAsia="zh-CN"/>
              </w:rPr>
              <w:t>DW001</w:t>
            </w:r>
          </w:p>
        </w:tc>
        <w:tc>
          <w:tcPr>
            <w:tcW w:w="885" w:type="dxa"/>
            <w:vAlign w:val="center"/>
          </w:tcPr>
          <w:p>
            <w:pPr>
              <w:pStyle w:val="44"/>
              <w:keepNext w:val="0"/>
              <w:keepLines w:val="0"/>
              <w:suppressLineNumbers w:val="0"/>
              <w:kinsoku w:val="0"/>
              <w:overflowPunct w:val="0"/>
              <w:spacing w:before="49" w:beforeAutospacing="0" w:after="0" w:afterAutospacing="0" w:line="260" w:lineRule="exact"/>
              <w:ind w:left="0" w:right="2"/>
              <w:jc w:val="center"/>
              <w:rPr>
                <w:rFonts w:hint="eastAsia" w:hAnsi="Times New Roman" w:eastAsia="宋体"/>
                <w:kern w:val="2"/>
                <w:sz w:val="21"/>
                <w:szCs w:val="21"/>
                <w:lang w:eastAsia="zh-CN"/>
              </w:rPr>
            </w:pPr>
            <w:r>
              <w:rPr>
                <w:rFonts w:hint="eastAsia" w:hAnsi="Times New Roman" w:eastAsia="宋体"/>
                <w:kern w:val="2"/>
                <w:sz w:val="21"/>
                <w:szCs w:val="21"/>
                <w:lang w:eastAsia="zh-CN"/>
              </w:rPr>
              <w:t>是</w:t>
            </w:r>
          </w:p>
        </w:tc>
        <w:tc>
          <w:tcPr>
            <w:tcW w:w="708" w:type="dxa"/>
            <w:vAlign w:val="center"/>
          </w:tcPr>
          <w:p>
            <w:pPr>
              <w:pStyle w:val="44"/>
              <w:keepNext w:val="0"/>
              <w:keepLines w:val="0"/>
              <w:suppressLineNumbers w:val="0"/>
              <w:kinsoku w:val="0"/>
              <w:overflowPunct w:val="0"/>
              <w:spacing w:before="49" w:beforeAutospacing="0" w:after="0" w:afterAutospacing="0" w:line="260" w:lineRule="exact"/>
              <w:ind w:left="0" w:right="2"/>
              <w:jc w:val="center"/>
              <w:rPr>
                <w:rFonts w:hint="eastAsia" w:hAnsi="Times New Roman" w:eastAsia="宋体"/>
                <w:kern w:val="2"/>
                <w:sz w:val="21"/>
                <w:szCs w:val="21"/>
              </w:rPr>
            </w:pPr>
            <w:r>
              <w:rPr>
                <w:rFonts w:hint="eastAsia" w:hAnsi="Times New Roman" w:eastAsia="宋体"/>
                <w:kern w:val="2"/>
                <w:sz w:val="21"/>
                <w:szCs w:val="21"/>
              </w:rPr>
              <w:t>企业 总排 口</w:t>
            </w:r>
          </w:p>
        </w:tc>
      </w:tr>
    </w:tbl>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 6.</w:t>
      </w:r>
      <w:r>
        <w:rPr>
          <w:rFonts w:hint="eastAsia" w:hAnsi="Times New Roman" w:eastAsia="宋体"/>
          <w:b/>
          <w:bCs/>
          <w:sz w:val="21"/>
          <w:szCs w:val="21"/>
          <w:lang w:eastAsia="zh-CN"/>
        </w:rPr>
        <w:t>5</w:t>
      </w:r>
      <w:r>
        <w:rPr>
          <w:rFonts w:hAnsi="Times New Roman" w:eastAsia="宋体"/>
          <w:b/>
          <w:bCs/>
          <w:sz w:val="21"/>
          <w:szCs w:val="21"/>
          <w:lang w:eastAsia="zh-CN"/>
        </w:rPr>
        <w:t>-2 废水直接排放口基本情况表</w:t>
      </w:r>
    </w:p>
    <w:tbl>
      <w:tblPr>
        <w:tblStyle w:val="33"/>
        <w:tblW w:w="93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7"/>
        <w:gridCol w:w="655"/>
        <w:gridCol w:w="1200"/>
        <w:gridCol w:w="1104"/>
        <w:gridCol w:w="859"/>
        <w:gridCol w:w="641"/>
        <w:gridCol w:w="518"/>
        <w:gridCol w:w="546"/>
        <w:gridCol w:w="2059"/>
        <w:gridCol w:w="573"/>
        <w:gridCol w:w="6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4" w:hRule="atLeast"/>
          <w:jc w:val="center"/>
        </w:trPr>
        <w:tc>
          <w:tcPr>
            <w:tcW w:w="567" w:type="dxa"/>
            <w:vMerge w:val="restart"/>
            <w:vAlign w:val="center"/>
          </w:tcPr>
          <w:p>
            <w:pPr>
              <w:pStyle w:val="44"/>
              <w:keepNext w:val="0"/>
              <w:keepLines w:val="0"/>
              <w:suppressLineNumbers w:val="0"/>
              <w:kinsoku w:val="0"/>
              <w:overflowPunct w:val="0"/>
              <w:spacing w:before="0" w:beforeAutospacing="0" w:after="0" w:afterAutospacing="0" w:line="240" w:lineRule="exact"/>
              <w:ind w:left="0" w:right="0"/>
              <w:jc w:val="center"/>
              <w:rPr>
                <w:rFonts w:hint="eastAsia" w:hAnsi="Times New Roman" w:eastAsia="宋体"/>
                <w:b/>
                <w:spacing w:val="-1"/>
                <w:kern w:val="2"/>
                <w:sz w:val="21"/>
                <w:szCs w:val="21"/>
              </w:rPr>
            </w:pPr>
            <w:r>
              <w:rPr>
                <w:rFonts w:hint="eastAsia" w:hAnsi="Times New Roman" w:eastAsia="宋体"/>
                <w:b/>
                <w:spacing w:val="-1"/>
                <w:kern w:val="2"/>
                <w:sz w:val="21"/>
                <w:szCs w:val="21"/>
              </w:rPr>
              <w:t>序 号</w:t>
            </w:r>
          </w:p>
        </w:tc>
        <w:tc>
          <w:tcPr>
            <w:tcW w:w="655" w:type="dxa"/>
            <w:vMerge w:val="restart"/>
            <w:vAlign w:val="center"/>
          </w:tcPr>
          <w:p>
            <w:pPr>
              <w:pStyle w:val="44"/>
              <w:keepNext w:val="0"/>
              <w:keepLines w:val="0"/>
              <w:suppressLineNumbers w:val="0"/>
              <w:kinsoku w:val="0"/>
              <w:overflowPunct w:val="0"/>
              <w:spacing w:before="0" w:beforeAutospacing="0" w:after="0" w:afterAutospacing="0" w:line="240" w:lineRule="exact"/>
              <w:ind w:left="0" w:right="0"/>
              <w:jc w:val="center"/>
              <w:rPr>
                <w:rFonts w:hint="eastAsia" w:hAnsi="Times New Roman" w:eastAsia="宋体"/>
                <w:b/>
                <w:spacing w:val="-1"/>
                <w:kern w:val="2"/>
                <w:sz w:val="21"/>
                <w:szCs w:val="21"/>
              </w:rPr>
            </w:pPr>
            <w:r>
              <w:rPr>
                <w:rFonts w:hint="eastAsia" w:hAnsi="Times New Roman" w:eastAsia="宋体"/>
                <w:b/>
                <w:spacing w:val="-1"/>
                <w:kern w:val="2"/>
                <w:sz w:val="21"/>
                <w:szCs w:val="21"/>
              </w:rPr>
              <w:t>排放口编号</w:t>
            </w:r>
          </w:p>
        </w:tc>
        <w:tc>
          <w:tcPr>
            <w:tcW w:w="2304" w:type="dxa"/>
            <w:gridSpan w:val="2"/>
            <w:vAlign w:val="center"/>
          </w:tcPr>
          <w:p>
            <w:pPr>
              <w:pStyle w:val="44"/>
              <w:keepNext w:val="0"/>
              <w:keepLines w:val="0"/>
              <w:suppressLineNumbers w:val="0"/>
              <w:kinsoku w:val="0"/>
              <w:overflowPunct w:val="0"/>
              <w:spacing w:before="0" w:beforeAutospacing="0" w:after="0" w:afterAutospacing="0" w:line="240" w:lineRule="exact"/>
              <w:ind w:left="0" w:right="0"/>
              <w:jc w:val="center"/>
              <w:rPr>
                <w:rFonts w:hint="eastAsia" w:hAnsi="Times New Roman" w:eastAsia="宋体"/>
                <w:b/>
                <w:spacing w:val="-1"/>
                <w:kern w:val="2"/>
                <w:sz w:val="21"/>
                <w:szCs w:val="21"/>
              </w:rPr>
            </w:pPr>
            <w:r>
              <w:rPr>
                <w:rFonts w:hint="eastAsia" w:hAnsi="Times New Roman" w:eastAsia="宋体"/>
                <w:b/>
                <w:spacing w:val="-1"/>
                <w:kern w:val="2"/>
                <w:sz w:val="21"/>
                <w:szCs w:val="21"/>
              </w:rPr>
              <w:t>排放口地理坐标</w:t>
            </w:r>
          </w:p>
        </w:tc>
        <w:tc>
          <w:tcPr>
            <w:tcW w:w="859" w:type="dxa"/>
            <w:vMerge w:val="restart"/>
            <w:vAlign w:val="center"/>
          </w:tcPr>
          <w:p>
            <w:pPr>
              <w:pStyle w:val="44"/>
              <w:keepNext w:val="0"/>
              <w:keepLines w:val="0"/>
              <w:suppressLineNumbers w:val="0"/>
              <w:kinsoku w:val="0"/>
              <w:overflowPunct w:val="0"/>
              <w:spacing w:before="0" w:beforeAutospacing="0" w:after="0" w:afterAutospacing="0" w:line="240" w:lineRule="exact"/>
              <w:ind w:left="0" w:right="0"/>
              <w:jc w:val="center"/>
              <w:rPr>
                <w:rFonts w:hint="eastAsia" w:hAnsi="Times New Roman" w:eastAsia="宋体"/>
                <w:b/>
                <w:spacing w:val="-1"/>
                <w:kern w:val="2"/>
                <w:sz w:val="21"/>
                <w:szCs w:val="21"/>
              </w:rPr>
            </w:pPr>
            <w:r>
              <w:rPr>
                <w:rFonts w:hint="eastAsia" w:hAnsi="Times New Roman" w:eastAsia="宋体"/>
                <w:b/>
                <w:spacing w:val="-1"/>
                <w:kern w:val="2"/>
                <w:sz w:val="21"/>
                <w:szCs w:val="21"/>
              </w:rPr>
              <w:t>废水排 放量万 t/a</w:t>
            </w:r>
          </w:p>
        </w:tc>
        <w:tc>
          <w:tcPr>
            <w:tcW w:w="641" w:type="dxa"/>
            <w:vMerge w:val="restart"/>
            <w:vAlign w:val="center"/>
          </w:tcPr>
          <w:p>
            <w:pPr>
              <w:pStyle w:val="44"/>
              <w:keepNext w:val="0"/>
              <w:keepLines w:val="0"/>
              <w:suppressLineNumbers w:val="0"/>
              <w:kinsoku w:val="0"/>
              <w:overflowPunct w:val="0"/>
              <w:spacing w:before="0" w:beforeAutospacing="0" w:after="0" w:afterAutospacing="0" w:line="240" w:lineRule="exact"/>
              <w:ind w:left="0" w:right="0"/>
              <w:jc w:val="center"/>
              <w:rPr>
                <w:rFonts w:hint="eastAsia" w:hAnsi="Times New Roman" w:eastAsia="宋体"/>
                <w:b/>
                <w:spacing w:val="-1"/>
                <w:kern w:val="2"/>
                <w:sz w:val="21"/>
                <w:szCs w:val="21"/>
              </w:rPr>
            </w:pPr>
            <w:r>
              <w:rPr>
                <w:rFonts w:hint="eastAsia" w:hAnsi="Times New Roman" w:eastAsia="宋体"/>
                <w:b/>
                <w:spacing w:val="-1"/>
                <w:kern w:val="2"/>
                <w:sz w:val="21"/>
                <w:szCs w:val="21"/>
              </w:rPr>
              <w:t>排放去向</w:t>
            </w:r>
          </w:p>
        </w:tc>
        <w:tc>
          <w:tcPr>
            <w:tcW w:w="518" w:type="dxa"/>
            <w:vMerge w:val="restart"/>
            <w:vAlign w:val="center"/>
          </w:tcPr>
          <w:p>
            <w:pPr>
              <w:pStyle w:val="44"/>
              <w:keepNext w:val="0"/>
              <w:keepLines w:val="0"/>
              <w:suppressLineNumbers w:val="0"/>
              <w:kinsoku w:val="0"/>
              <w:overflowPunct w:val="0"/>
              <w:spacing w:before="0" w:beforeAutospacing="0" w:after="0" w:afterAutospacing="0" w:line="240" w:lineRule="exact"/>
              <w:ind w:left="0" w:right="0"/>
              <w:jc w:val="center"/>
              <w:rPr>
                <w:rFonts w:hint="eastAsia" w:hAnsi="Times New Roman" w:eastAsia="宋体"/>
                <w:b/>
                <w:spacing w:val="-1"/>
                <w:kern w:val="2"/>
                <w:sz w:val="21"/>
                <w:szCs w:val="21"/>
              </w:rPr>
            </w:pPr>
            <w:r>
              <w:rPr>
                <w:rFonts w:hint="eastAsia" w:hAnsi="Times New Roman" w:eastAsia="宋体"/>
                <w:b/>
                <w:spacing w:val="-1"/>
                <w:kern w:val="2"/>
                <w:sz w:val="21"/>
                <w:szCs w:val="21"/>
              </w:rPr>
              <w:t>排 放 规 律</w:t>
            </w:r>
          </w:p>
        </w:tc>
        <w:tc>
          <w:tcPr>
            <w:tcW w:w="546" w:type="dxa"/>
            <w:vMerge w:val="restart"/>
            <w:vAlign w:val="center"/>
          </w:tcPr>
          <w:p>
            <w:pPr>
              <w:pStyle w:val="44"/>
              <w:keepNext w:val="0"/>
              <w:keepLines w:val="0"/>
              <w:suppressLineNumbers w:val="0"/>
              <w:kinsoku w:val="0"/>
              <w:overflowPunct w:val="0"/>
              <w:spacing w:before="0" w:beforeAutospacing="0" w:after="0" w:afterAutospacing="0" w:line="240" w:lineRule="exact"/>
              <w:ind w:left="0" w:right="0"/>
              <w:jc w:val="center"/>
              <w:rPr>
                <w:rFonts w:hint="eastAsia" w:hAnsi="Times New Roman" w:eastAsia="宋体"/>
                <w:b/>
                <w:spacing w:val="-1"/>
                <w:kern w:val="2"/>
                <w:sz w:val="21"/>
                <w:szCs w:val="21"/>
              </w:rPr>
            </w:pPr>
            <w:r>
              <w:rPr>
                <w:rFonts w:hint="eastAsia" w:hAnsi="Times New Roman" w:eastAsia="宋体"/>
                <w:b/>
                <w:spacing w:val="-1"/>
                <w:kern w:val="2"/>
                <w:sz w:val="21"/>
                <w:szCs w:val="21"/>
              </w:rPr>
              <w:t>间 歇 排 放 时 段</w:t>
            </w:r>
          </w:p>
        </w:tc>
        <w:tc>
          <w:tcPr>
            <w:tcW w:w="2059" w:type="dxa"/>
            <w:vMerge w:val="restart"/>
            <w:vAlign w:val="center"/>
          </w:tcPr>
          <w:p>
            <w:pPr>
              <w:pStyle w:val="44"/>
              <w:keepNext w:val="0"/>
              <w:keepLines w:val="0"/>
              <w:suppressLineNumbers w:val="0"/>
              <w:kinsoku w:val="0"/>
              <w:overflowPunct w:val="0"/>
              <w:spacing w:before="0" w:beforeAutospacing="0" w:after="0" w:afterAutospacing="0" w:line="240" w:lineRule="exact"/>
              <w:ind w:left="0" w:right="0"/>
              <w:jc w:val="center"/>
              <w:rPr>
                <w:rFonts w:hint="eastAsia" w:hAnsi="Times New Roman" w:eastAsia="宋体"/>
                <w:b/>
                <w:spacing w:val="-1"/>
                <w:kern w:val="2"/>
                <w:sz w:val="21"/>
                <w:szCs w:val="21"/>
              </w:rPr>
            </w:pPr>
            <w:r>
              <w:rPr>
                <w:rFonts w:hint="eastAsia" w:hAnsi="Times New Roman" w:eastAsia="宋体"/>
                <w:b/>
                <w:spacing w:val="-1"/>
                <w:kern w:val="2"/>
                <w:sz w:val="21"/>
                <w:szCs w:val="21"/>
              </w:rPr>
              <w:t>排放标准</w:t>
            </w:r>
          </w:p>
        </w:tc>
        <w:tc>
          <w:tcPr>
            <w:tcW w:w="1227" w:type="dxa"/>
            <w:gridSpan w:val="2"/>
            <w:vAlign w:val="center"/>
          </w:tcPr>
          <w:p>
            <w:pPr>
              <w:pStyle w:val="44"/>
              <w:keepNext w:val="0"/>
              <w:keepLines w:val="0"/>
              <w:suppressLineNumbers w:val="0"/>
              <w:kinsoku w:val="0"/>
              <w:overflowPunct w:val="0"/>
              <w:spacing w:before="0" w:beforeAutospacing="0" w:after="0" w:afterAutospacing="0" w:line="240" w:lineRule="exact"/>
              <w:ind w:left="0" w:right="0"/>
              <w:jc w:val="center"/>
              <w:rPr>
                <w:rFonts w:hint="eastAsia" w:hAnsi="Times New Roman" w:eastAsia="宋体"/>
                <w:b/>
                <w:spacing w:val="-1"/>
                <w:kern w:val="2"/>
                <w:sz w:val="21"/>
                <w:szCs w:val="21"/>
              </w:rPr>
            </w:pPr>
            <w:r>
              <w:rPr>
                <w:rFonts w:hint="eastAsia" w:hAnsi="Times New Roman" w:eastAsia="宋体"/>
                <w:b/>
                <w:spacing w:val="-1"/>
                <w:kern w:val="2"/>
                <w:sz w:val="21"/>
                <w:szCs w:val="21"/>
              </w:rPr>
              <w:t>受纳自然水体信息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7" w:hRule="atLeast"/>
          <w:jc w:val="center"/>
        </w:trPr>
        <w:tc>
          <w:tcPr>
            <w:tcW w:w="567" w:type="dxa"/>
            <w:vMerge w:val="continue"/>
            <w:vAlign w:val="center"/>
          </w:tcPr>
          <w:p>
            <w:pPr>
              <w:pStyle w:val="44"/>
              <w:keepNext w:val="0"/>
              <w:keepLines w:val="0"/>
              <w:suppressLineNumbers w:val="0"/>
              <w:kinsoku w:val="0"/>
              <w:overflowPunct w:val="0"/>
              <w:spacing w:before="141" w:beforeAutospacing="0" w:after="0" w:afterAutospacing="0" w:line="240" w:lineRule="exact"/>
              <w:ind w:left="863" w:right="119" w:hanging="735"/>
              <w:jc w:val="center"/>
              <w:rPr>
                <w:rFonts w:hint="eastAsia" w:hAnsi="Times New Roman" w:eastAsia="宋体"/>
                <w:kern w:val="2"/>
                <w:szCs w:val="22"/>
              </w:rPr>
            </w:pPr>
          </w:p>
        </w:tc>
        <w:tc>
          <w:tcPr>
            <w:tcW w:w="655" w:type="dxa"/>
            <w:vMerge w:val="continue"/>
            <w:vAlign w:val="center"/>
          </w:tcPr>
          <w:p>
            <w:pPr>
              <w:pStyle w:val="44"/>
              <w:keepNext w:val="0"/>
              <w:keepLines w:val="0"/>
              <w:suppressLineNumbers w:val="0"/>
              <w:kinsoku w:val="0"/>
              <w:overflowPunct w:val="0"/>
              <w:spacing w:before="0" w:beforeAutospacing="0" w:after="0" w:afterAutospacing="0" w:line="240" w:lineRule="exact"/>
              <w:ind w:left="0" w:right="0"/>
              <w:jc w:val="center"/>
              <w:rPr>
                <w:rFonts w:hint="eastAsia" w:hAnsi="Times New Roman" w:eastAsia="宋体"/>
                <w:b/>
                <w:spacing w:val="-1"/>
                <w:kern w:val="2"/>
                <w:sz w:val="21"/>
                <w:szCs w:val="21"/>
              </w:rPr>
            </w:pPr>
          </w:p>
        </w:tc>
        <w:tc>
          <w:tcPr>
            <w:tcW w:w="1200" w:type="dxa"/>
            <w:vAlign w:val="center"/>
          </w:tcPr>
          <w:p>
            <w:pPr>
              <w:pStyle w:val="44"/>
              <w:keepNext w:val="0"/>
              <w:keepLines w:val="0"/>
              <w:suppressLineNumbers w:val="0"/>
              <w:kinsoku w:val="0"/>
              <w:overflowPunct w:val="0"/>
              <w:spacing w:before="0" w:beforeAutospacing="0" w:after="0" w:afterAutospacing="0" w:line="240" w:lineRule="exact"/>
              <w:ind w:left="0" w:right="0"/>
              <w:jc w:val="center"/>
              <w:rPr>
                <w:rFonts w:hint="eastAsia" w:hAnsi="Times New Roman" w:eastAsia="宋体"/>
                <w:b/>
                <w:spacing w:val="-1"/>
                <w:kern w:val="2"/>
                <w:sz w:val="21"/>
                <w:szCs w:val="21"/>
              </w:rPr>
            </w:pPr>
            <w:r>
              <w:rPr>
                <w:rFonts w:hint="eastAsia" w:hAnsi="Times New Roman" w:eastAsia="宋体"/>
                <w:b/>
                <w:spacing w:val="-1"/>
                <w:kern w:val="2"/>
                <w:sz w:val="21"/>
                <w:szCs w:val="21"/>
              </w:rPr>
              <w:t>经度</w:t>
            </w:r>
          </w:p>
        </w:tc>
        <w:tc>
          <w:tcPr>
            <w:tcW w:w="1104" w:type="dxa"/>
            <w:vAlign w:val="center"/>
          </w:tcPr>
          <w:p>
            <w:pPr>
              <w:pStyle w:val="44"/>
              <w:keepNext w:val="0"/>
              <w:keepLines w:val="0"/>
              <w:suppressLineNumbers w:val="0"/>
              <w:kinsoku w:val="0"/>
              <w:overflowPunct w:val="0"/>
              <w:spacing w:before="0" w:beforeAutospacing="0" w:after="0" w:afterAutospacing="0" w:line="240" w:lineRule="exact"/>
              <w:ind w:left="0" w:right="0"/>
              <w:jc w:val="center"/>
              <w:rPr>
                <w:rFonts w:hint="eastAsia" w:hAnsi="Times New Roman" w:eastAsia="宋体"/>
                <w:b/>
                <w:spacing w:val="-1"/>
                <w:kern w:val="2"/>
                <w:sz w:val="21"/>
                <w:szCs w:val="21"/>
              </w:rPr>
            </w:pPr>
            <w:r>
              <w:rPr>
                <w:rFonts w:hint="eastAsia" w:hAnsi="Times New Roman" w:eastAsia="宋体"/>
                <w:b/>
                <w:spacing w:val="-1"/>
                <w:kern w:val="2"/>
                <w:sz w:val="21"/>
                <w:szCs w:val="21"/>
              </w:rPr>
              <w:t>纬度</w:t>
            </w:r>
          </w:p>
        </w:tc>
        <w:tc>
          <w:tcPr>
            <w:tcW w:w="859" w:type="dxa"/>
            <w:vMerge w:val="continue"/>
            <w:vAlign w:val="center"/>
          </w:tcPr>
          <w:p>
            <w:pPr>
              <w:pStyle w:val="44"/>
              <w:keepNext w:val="0"/>
              <w:keepLines w:val="0"/>
              <w:suppressLineNumbers w:val="0"/>
              <w:kinsoku w:val="0"/>
              <w:overflowPunct w:val="0"/>
              <w:spacing w:before="0" w:beforeAutospacing="0" w:after="0" w:afterAutospacing="0" w:line="240" w:lineRule="exact"/>
              <w:ind w:left="0" w:right="0"/>
              <w:jc w:val="center"/>
              <w:rPr>
                <w:rFonts w:hint="eastAsia" w:hAnsi="Times New Roman" w:eastAsia="宋体"/>
                <w:b/>
                <w:spacing w:val="-1"/>
                <w:kern w:val="2"/>
                <w:sz w:val="21"/>
                <w:szCs w:val="21"/>
              </w:rPr>
            </w:pPr>
          </w:p>
        </w:tc>
        <w:tc>
          <w:tcPr>
            <w:tcW w:w="641" w:type="dxa"/>
            <w:vMerge w:val="continue"/>
            <w:vAlign w:val="center"/>
          </w:tcPr>
          <w:p>
            <w:pPr>
              <w:pStyle w:val="44"/>
              <w:keepNext w:val="0"/>
              <w:keepLines w:val="0"/>
              <w:suppressLineNumbers w:val="0"/>
              <w:kinsoku w:val="0"/>
              <w:overflowPunct w:val="0"/>
              <w:spacing w:before="0" w:beforeAutospacing="0" w:after="0" w:afterAutospacing="0" w:line="240" w:lineRule="exact"/>
              <w:ind w:left="0" w:right="0"/>
              <w:jc w:val="center"/>
              <w:rPr>
                <w:rFonts w:hint="eastAsia" w:hAnsi="Times New Roman" w:eastAsia="宋体"/>
                <w:b/>
                <w:spacing w:val="-1"/>
                <w:kern w:val="2"/>
                <w:sz w:val="21"/>
                <w:szCs w:val="21"/>
              </w:rPr>
            </w:pPr>
          </w:p>
        </w:tc>
        <w:tc>
          <w:tcPr>
            <w:tcW w:w="518" w:type="dxa"/>
            <w:vMerge w:val="continue"/>
            <w:vAlign w:val="center"/>
          </w:tcPr>
          <w:p>
            <w:pPr>
              <w:pStyle w:val="44"/>
              <w:keepNext w:val="0"/>
              <w:keepLines w:val="0"/>
              <w:suppressLineNumbers w:val="0"/>
              <w:kinsoku w:val="0"/>
              <w:overflowPunct w:val="0"/>
              <w:spacing w:before="0" w:beforeAutospacing="0" w:after="0" w:afterAutospacing="0" w:line="240" w:lineRule="exact"/>
              <w:ind w:left="0" w:right="0"/>
              <w:jc w:val="center"/>
              <w:rPr>
                <w:rFonts w:hint="eastAsia" w:hAnsi="Times New Roman" w:eastAsia="宋体"/>
                <w:b/>
                <w:spacing w:val="-1"/>
                <w:kern w:val="2"/>
                <w:sz w:val="21"/>
                <w:szCs w:val="21"/>
              </w:rPr>
            </w:pPr>
          </w:p>
        </w:tc>
        <w:tc>
          <w:tcPr>
            <w:tcW w:w="546" w:type="dxa"/>
            <w:vMerge w:val="continue"/>
            <w:vAlign w:val="center"/>
          </w:tcPr>
          <w:p>
            <w:pPr>
              <w:pStyle w:val="44"/>
              <w:keepNext w:val="0"/>
              <w:keepLines w:val="0"/>
              <w:suppressLineNumbers w:val="0"/>
              <w:kinsoku w:val="0"/>
              <w:overflowPunct w:val="0"/>
              <w:spacing w:before="0" w:beforeAutospacing="0" w:after="0" w:afterAutospacing="0" w:line="240" w:lineRule="exact"/>
              <w:ind w:left="0" w:right="0"/>
              <w:jc w:val="center"/>
              <w:rPr>
                <w:rFonts w:hint="eastAsia" w:hAnsi="Times New Roman" w:eastAsia="宋体"/>
                <w:b/>
                <w:spacing w:val="-1"/>
                <w:kern w:val="2"/>
                <w:sz w:val="21"/>
                <w:szCs w:val="21"/>
              </w:rPr>
            </w:pPr>
          </w:p>
        </w:tc>
        <w:tc>
          <w:tcPr>
            <w:tcW w:w="2059" w:type="dxa"/>
            <w:vMerge w:val="continue"/>
            <w:vAlign w:val="center"/>
          </w:tcPr>
          <w:p>
            <w:pPr>
              <w:pStyle w:val="44"/>
              <w:keepNext w:val="0"/>
              <w:keepLines w:val="0"/>
              <w:suppressLineNumbers w:val="0"/>
              <w:kinsoku w:val="0"/>
              <w:overflowPunct w:val="0"/>
              <w:spacing w:before="0" w:beforeAutospacing="0" w:after="0" w:afterAutospacing="0" w:line="240" w:lineRule="exact"/>
              <w:ind w:left="0" w:right="0"/>
              <w:jc w:val="center"/>
              <w:rPr>
                <w:rFonts w:hint="eastAsia" w:hAnsi="Times New Roman" w:eastAsia="宋体"/>
                <w:b/>
                <w:spacing w:val="-1"/>
                <w:kern w:val="2"/>
                <w:sz w:val="21"/>
                <w:szCs w:val="21"/>
              </w:rPr>
            </w:pPr>
          </w:p>
        </w:tc>
        <w:tc>
          <w:tcPr>
            <w:tcW w:w="573" w:type="dxa"/>
            <w:vAlign w:val="center"/>
          </w:tcPr>
          <w:p>
            <w:pPr>
              <w:pStyle w:val="44"/>
              <w:keepNext w:val="0"/>
              <w:keepLines w:val="0"/>
              <w:suppressLineNumbers w:val="0"/>
              <w:kinsoku w:val="0"/>
              <w:overflowPunct w:val="0"/>
              <w:spacing w:before="0" w:beforeAutospacing="0" w:after="0" w:afterAutospacing="0" w:line="240" w:lineRule="exact"/>
              <w:ind w:left="0" w:right="0"/>
              <w:jc w:val="center"/>
              <w:rPr>
                <w:rFonts w:hint="eastAsia" w:hAnsi="Times New Roman" w:eastAsia="宋体"/>
                <w:b/>
                <w:spacing w:val="-1"/>
                <w:kern w:val="2"/>
                <w:sz w:val="21"/>
                <w:szCs w:val="21"/>
              </w:rPr>
            </w:pPr>
            <w:r>
              <w:rPr>
                <w:rFonts w:hint="eastAsia" w:hAnsi="Times New Roman" w:eastAsia="宋体"/>
                <w:b/>
                <w:spacing w:val="-1"/>
                <w:kern w:val="2"/>
                <w:sz w:val="21"/>
                <w:szCs w:val="21"/>
              </w:rPr>
              <w:t>名称</w:t>
            </w:r>
          </w:p>
        </w:tc>
        <w:tc>
          <w:tcPr>
            <w:tcW w:w="654" w:type="dxa"/>
            <w:vAlign w:val="center"/>
          </w:tcPr>
          <w:p>
            <w:pPr>
              <w:pStyle w:val="44"/>
              <w:keepNext w:val="0"/>
              <w:keepLines w:val="0"/>
              <w:suppressLineNumbers w:val="0"/>
              <w:kinsoku w:val="0"/>
              <w:overflowPunct w:val="0"/>
              <w:spacing w:before="0" w:beforeAutospacing="0" w:after="0" w:afterAutospacing="0" w:line="240" w:lineRule="exact"/>
              <w:ind w:left="0" w:right="0"/>
              <w:jc w:val="center"/>
              <w:rPr>
                <w:rFonts w:hint="eastAsia" w:hAnsi="Times New Roman" w:eastAsia="宋体"/>
                <w:b/>
                <w:spacing w:val="-1"/>
                <w:kern w:val="2"/>
                <w:sz w:val="21"/>
                <w:szCs w:val="21"/>
              </w:rPr>
            </w:pPr>
            <w:r>
              <w:rPr>
                <w:rFonts w:hint="eastAsia" w:hAnsi="Times New Roman" w:eastAsia="宋体"/>
                <w:b/>
                <w:spacing w:val="-1"/>
                <w:kern w:val="2"/>
                <w:sz w:val="21"/>
                <w:szCs w:val="21"/>
              </w:rPr>
              <w:t>功能</w:t>
            </w:r>
          </w:p>
          <w:p>
            <w:pPr>
              <w:pStyle w:val="44"/>
              <w:keepNext w:val="0"/>
              <w:keepLines w:val="0"/>
              <w:suppressLineNumbers w:val="0"/>
              <w:kinsoku w:val="0"/>
              <w:overflowPunct w:val="0"/>
              <w:spacing w:before="0" w:beforeAutospacing="0" w:after="0" w:afterAutospacing="0" w:line="240" w:lineRule="exact"/>
              <w:ind w:left="0" w:right="0"/>
              <w:jc w:val="center"/>
              <w:rPr>
                <w:rFonts w:hint="eastAsia" w:hAnsi="Times New Roman" w:eastAsia="宋体"/>
                <w:b/>
                <w:spacing w:val="-1"/>
                <w:kern w:val="2"/>
                <w:sz w:val="21"/>
                <w:szCs w:val="21"/>
              </w:rPr>
            </w:pPr>
            <w:r>
              <w:rPr>
                <w:rFonts w:hint="eastAsia" w:hAnsi="Times New Roman" w:eastAsia="宋体"/>
                <w:b/>
                <w:spacing w:val="-1"/>
                <w:kern w:val="2"/>
                <w:sz w:val="21"/>
                <w:szCs w:val="21"/>
              </w:rPr>
              <w:t>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3" w:hRule="atLeast"/>
          <w:jc w:val="center"/>
        </w:trPr>
        <w:tc>
          <w:tcPr>
            <w:tcW w:w="567" w:type="dxa"/>
            <w:vAlign w:val="center"/>
          </w:tcPr>
          <w:p>
            <w:pPr>
              <w:pStyle w:val="44"/>
              <w:keepNext w:val="0"/>
              <w:keepLines w:val="0"/>
              <w:suppressLineNumbers w:val="0"/>
              <w:kinsoku w:val="0"/>
              <w:overflowPunct w:val="0"/>
              <w:spacing w:before="49"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1</w:t>
            </w:r>
          </w:p>
        </w:tc>
        <w:tc>
          <w:tcPr>
            <w:tcW w:w="655" w:type="dxa"/>
            <w:vAlign w:val="center"/>
          </w:tcPr>
          <w:p>
            <w:pPr>
              <w:pStyle w:val="44"/>
              <w:keepNext w:val="0"/>
              <w:keepLines w:val="0"/>
              <w:suppressLineNumbers w:val="0"/>
              <w:kinsoku w:val="0"/>
              <w:overflowPunct w:val="0"/>
              <w:spacing w:before="49"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DW001</w:t>
            </w:r>
          </w:p>
        </w:tc>
        <w:tc>
          <w:tcPr>
            <w:tcW w:w="1200" w:type="dxa"/>
            <w:vAlign w:val="center"/>
          </w:tcPr>
          <w:p>
            <w:pPr>
              <w:pStyle w:val="44"/>
              <w:keepNext w:val="0"/>
              <w:keepLines w:val="0"/>
              <w:suppressLineNumbers w:val="0"/>
              <w:kinsoku w:val="0"/>
              <w:overflowPunct w:val="0"/>
              <w:spacing w:before="49" w:beforeAutospacing="0" w:after="0" w:afterAutospacing="0" w:line="240" w:lineRule="exact"/>
              <w:ind w:left="0" w:right="0"/>
              <w:jc w:val="center"/>
              <w:rPr>
                <w:rFonts w:hint="eastAsia" w:hAnsi="Times New Roman" w:eastAsia="宋体"/>
                <w:kern w:val="2"/>
                <w:sz w:val="21"/>
                <w:szCs w:val="21"/>
                <w:highlight w:val="yellow"/>
                <w:lang w:eastAsia="zh-CN"/>
              </w:rPr>
            </w:pPr>
            <w:r>
              <w:rPr>
                <w:rFonts w:hint="eastAsia" w:hAnsi="Times New Roman" w:eastAsia="宋体"/>
                <w:kern w:val="2"/>
                <w:sz w:val="21"/>
                <w:szCs w:val="21"/>
                <w:lang w:eastAsia="zh-CN"/>
              </w:rPr>
              <w:t>107.73325</w:t>
            </w:r>
          </w:p>
        </w:tc>
        <w:tc>
          <w:tcPr>
            <w:tcW w:w="1104" w:type="dxa"/>
            <w:vAlign w:val="center"/>
          </w:tcPr>
          <w:p>
            <w:pPr>
              <w:pStyle w:val="44"/>
              <w:keepNext w:val="0"/>
              <w:keepLines w:val="0"/>
              <w:suppressLineNumbers w:val="0"/>
              <w:kinsoku w:val="0"/>
              <w:overflowPunct w:val="0"/>
              <w:spacing w:before="49" w:beforeAutospacing="0" w:after="0" w:afterAutospacing="0" w:line="240" w:lineRule="exact"/>
              <w:ind w:left="0" w:right="0"/>
              <w:jc w:val="center"/>
              <w:rPr>
                <w:rFonts w:hint="eastAsia" w:hAnsi="Times New Roman" w:eastAsia="宋体"/>
                <w:kern w:val="2"/>
                <w:sz w:val="21"/>
                <w:szCs w:val="21"/>
                <w:highlight w:val="yellow"/>
              </w:rPr>
            </w:pPr>
            <w:r>
              <w:rPr>
                <w:rFonts w:hint="eastAsia" w:hAnsi="Times New Roman" w:eastAsia="宋体"/>
                <w:kern w:val="2"/>
                <w:sz w:val="21"/>
                <w:szCs w:val="21"/>
              </w:rPr>
              <w:t>31.</w:t>
            </w:r>
            <w:r>
              <w:rPr>
                <w:rFonts w:hint="eastAsia" w:hAnsi="Times New Roman" w:eastAsia="宋体"/>
                <w:kern w:val="2"/>
                <w:sz w:val="21"/>
                <w:szCs w:val="21"/>
                <w:lang w:eastAsia="zh-CN"/>
              </w:rPr>
              <w:t>20038</w:t>
            </w:r>
          </w:p>
        </w:tc>
        <w:tc>
          <w:tcPr>
            <w:tcW w:w="859" w:type="dxa"/>
            <w:vAlign w:val="center"/>
          </w:tcPr>
          <w:p>
            <w:pPr>
              <w:pStyle w:val="44"/>
              <w:keepNext w:val="0"/>
              <w:keepLines w:val="0"/>
              <w:suppressLineNumbers w:val="0"/>
              <w:kinsoku w:val="0"/>
              <w:overflowPunct w:val="0"/>
              <w:spacing w:before="49"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110.16</w:t>
            </w:r>
          </w:p>
        </w:tc>
        <w:tc>
          <w:tcPr>
            <w:tcW w:w="641" w:type="dxa"/>
            <w:vAlign w:val="center"/>
          </w:tcPr>
          <w:p>
            <w:pPr>
              <w:pStyle w:val="44"/>
              <w:keepNext w:val="0"/>
              <w:keepLines w:val="0"/>
              <w:suppressLineNumbers w:val="0"/>
              <w:kinsoku w:val="0"/>
              <w:overflowPunct w:val="0"/>
              <w:spacing w:before="49"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新宁河</w:t>
            </w:r>
          </w:p>
        </w:tc>
        <w:tc>
          <w:tcPr>
            <w:tcW w:w="518" w:type="dxa"/>
            <w:vAlign w:val="center"/>
          </w:tcPr>
          <w:p>
            <w:pPr>
              <w:pStyle w:val="44"/>
              <w:keepNext w:val="0"/>
              <w:keepLines w:val="0"/>
              <w:suppressLineNumbers w:val="0"/>
              <w:kinsoku w:val="0"/>
              <w:overflowPunct w:val="0"/>
              <w:spacing w:before="49"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连续稳定</w:t>
            </w:r>
          </w:p>
        </w:tc>
        <w:tc>
          <w:tcPr>
            <w:tcW w:w="546" w:type="dxa"/>
            <w:vAlign w:val="center"/>
          </w:tcPr>
          <w:p>
            <w:pPr>
              <w:pStyle w:val="44"/>
              <w:keepNext w:val="0"/>
              <w:keepLines w:val="0"/>
              <w:suppressLineNumbers w:val="0"/>
              <w:kinsoku w:val="0"/>
              <w:overflowPunct w:val="0"/>
              <w:spacing w:before="49"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2059" w:type="dxa"/>
            <w:vAlign w:val="center"/>
          </w:tcPr>
          <w:p>
            <w:pPr>
              <w:pStyle w:val="44"/>
              <w:keepNext w:val="0"/>
              <w:keepLines w:val="0"/>
              <w:suppressLineNumbers w:val="0"/>
              <w:kinsoku w:val="0"/>
              <w:overflowPunct w:val="0"/>
              <w:spacing w:before="49"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《地表水环境质量标准》（GB3838-2002）中Ⅲ类限值要求</w:t>
            </w:r>
          </w:p>
        </w:tc>
        <w:tc>
          <w:tcPr>
            <w:tcW w:w="573" w:type="dxa"/>
            <w:vAlign w:val="center"/>
          </w:tcPr>
          <w:p>
            <w:pPr>
              <w:pStyle w:val="44"/>
              <w:keepNext w:val="0"/>
              <w:keepLines w:val="0"/>
              <w:suppressLineNumbers w:val="0"/>
              <w:kinsoku w:val="0"/>
              <w:overflowPunct w:val="0"/>
              <w:spacing w:before="49"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新宁</w:t>
            </w:r>
            <w:r>
              <w:rPr>
                <w:rFonts w:hint="eastAsia" w:hAnsi="Times New Roman" w:eastAsia="宋体"/>
                <w:kern w:val="2"/>
                <w:sz w:val="21"/>
                <w:szCs w:val="21"/>
              </w:rPr>
              <w:t>河</w:t>
            </w:r>
          </w:p>
        </w:tc>
        <w:tc>
          <w:tcPr>
            <w:tcW w:w="654" w:type="dxa"/>
            <w:vAlign w:val="center"/>
          </w:tcPr>
          <w:p>
            <w:pPr>
              <w:pStyle w:val="44"/>
              <w:keepNext w:val="0"/>
              <w:keepLines w:val="0"/>
              <w:suppressLineNumbers w:val="0"/>
              <w:kinsoku w:val="0"/>
              <w:overflowPunct w:val="0"/>
              <w:spacing w:before="49"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Ⅲ</w:t>
            </w:r>
          </w:p>
        </w:tc>
      </w:tr>
    </w:tbl>
    <w:p>
      <w:pPr>
        <w:jc w:val="center"/>
        <w:rPr>
          <w:rFonts w:hAnsi="Times New Roman" w:eastAsia="宋体"/>
          <w:b/>
          <w:bCs/>
          <w:kern w:val="2"/>
          <w:sz w:val="21"/>
          <w:szCs w:val="21"/>
          <w:lang w:eastAsia="zh-CN"/>
        </w:rPr>
      </w:pPr>
      <w:r>
        <w:rPr>
          <w:rFonts w:hAnsi="Times New Roman" w:eastAsia="宋体"/>
          <w:b/>
          <w:bCs/>
          <w:kern w:val="2"/>
          <w:sz w:val="21"/>
          <w:szCs w:val="21"/>
          <w:lang w:eastAsia="zh-CN"/>
        </w:rPr>
        <w:t>表 6.</w:t>
      </w:r>
      <w:r>
        <w:rPr>
          <w:rFonts w:hint="eastAsia" w:hAnsi="Times New Roman" w:eastAsia="宋体"/>
          <w:b/>
          <w:bCs/>
          <w:kern w:val="2"/>
          <w:sz w:val="21"/>
          <w:szCs w:val="21"/>
          <w:lang w:eastAsia="zh-CN"/>
        </w:rPr>
        <w:t>5</w:t>
      </w:r>
      <w:r>
        <w:rPr>
          <w:rFonts w:hAnsi="Times New Roman" w:eastAsia="宋体"/>
          <w:b/>
          <w:bCs/>
          <w:kern w:val="2"/>
          <w:sz w:val="21"/>
          <w:szCs w:val="21"/>
          <w:lang w:eastAsia="zh-CN"/>
        </w:rPr>
        <w:t>-3 本项目废水污染物排放信息表</w:t>
      </w:r>
    </w:p>
    <w:tbl>
      <w:tblPr>
        <w:tblStyle w:val="3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19"/>
        <w:gridCol w:w="1224"/>
        <w:gridCol w:w="1411"/>
        <w:gridCol w:w="1536"/>
        <w:gridCol w:w="1596"/>
        <w:gridCol w:w="1596"/>
        <w:gridCol w:w="13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0" w:hRule="atLeast"/>
        </w:trPr>
        <w:tc>
          <w:tcPr>
            <w:tcW w:w="331" w:type="pct"/>
            <w:vAlign w:val="center"/>
          </w:tcPr>
          <w:p>
            <w:pPr>
              <w:pStyle w:val="44"/>
              <w:keepNext w:val="0"/>
              <w:keepLines w:val="0"/>
              <w:suppressLineNumbers w:val="0"/>
              <w:overflowPunct w:val="0"/>
              <w:spacing w:before="7" w:beforeAutospacing="0" w:after="0" w:afterAutospacing="0"/>
              <w:ind w:left="0" w:right="0"/>
              <w:jc w:val="center"/>
              <w:rPr>
                <w:rFonts w:hint="eastAsia" w:hAnsi="Times New Roman" w:eastAsia="宋体"/>
                <w:b/>
                <w:kern w:val="2"/>
                <w:sz w:val="21"/>
                <w:szCs w:val="21"/>
              </w:rPr>
            </w:pPr>
            <w:r>
              <w:rPr>
                <w:rFonts w:hint="eastAsia" w:hAnsi="Times New Roman" w:eastAsia="宋体"/>
                <w:b/>
                <w:kern w:val="2"/>
                <w:sz w:val="21"/>
                <w:szCs w:val="21"/>
              </w:rPr>
              <w:t>序</w:t>
            </w:r>
          </w:p>
          <w:p>
            <w:pPr>
              <w:pStyle w:val="44"/>
              <w:keepNext w:val="0"/>
              <w:keepLines w:val="0"/>
              <w:suppressLineNumbers w:val="0"/>
              <w:overflowPunct w:val="0"/>
              <w:spacing w:before="7" w:beforeAutospacing="0" w:after="0" w:afterAutospacing="0"/>
              <w:ind w:left="0" w:right="0"/>
              <w:jc w:val="center"/>
              <w:rPr>
                <w:rFonts w:hint="eastAsia" w:hAnsi="Times New Roman" w:eastAsia="宋体"/>
                <w:b/>
                <w:kern w:val="2"/>
                <w:sz w:val="21"/>
                <w:szCs w:val="21"/>
              </w:rPr>
            </w:pPr>
            <w:r>
              <w:rPr>
                <w:rFonts w:hint="eastAsia" w:hAnsi="Times New Roman" w:eastAsia="宋体"/>
                <w:b/>
                <w:kern w:val="2"/>
                <w:sz w:val="21"/>
                <w:szCs w:val="21"/>
              </w:rPr>
              <w:t>号</w:t>
            </w:r>
          </w:p>
        </w:tc>
        <w:tc>
          <w:tcPr>
            <w:tcW w:w="655" w:type="pct"/>
            <w:vAlign w:val="center"/>
          </w:tcPr>
          <w:p>
            <w:pPr>
              <w:pStyle w:val="44"/>
              <w:keepNext w:val="0"/>
              <w:keepLines w:val="0"/>
              <w:suppressLineNumbers w:val="0"/>
              <w:overflowPunct w:val="0"/>
              <w:spacing w:before="7" w:beforeAutospacing="0" w:after="0" w:afterAutospacing="0"/>
              <w:ind w:left="0" w:right="0"/>
              <w:jc w:val="center"/>
              <w:rPr>
                <w:rFonts w:hint="eastAsia" w:hAnsi="Times New Roman" w:eastAsia="宋体"/>
                <w:b/>
                <w:kern w:val="2"/>
                <w:sz w:val="21"/>
                <w:szCs w:val="21"/>
              </w:rPr>
            </w:pPr>
            <w:r>
              <w:rPr>
                <w:rFonts w:hint="eastAsia" w:hAnsi="Times New Roman" w:eastAsia="宋体"/>
                <w:b/>
                <w:kern w:val="2"/>
                <w:sz w:val="21"/>
                <w:szCs w:val="21"/>
              </w:rPr>
              <w:t>废水类型</w:t>
            </w:r>
          </w:p>
        </w:tc>
        <w:tc>
          <w:tcPr>
            <w:tcW w:w="755" w:type="pct"/>
            <w:vAlign w:val="center"/>
          </w:tcPr>
          <w:p>
            <w:pPr>
              <w:pStyle w:val="44"/>
              <w:keepNext w:val="0"/>
              <w:keepLines w:val="0"/>
              <w:suppressLineNumbers w:val="0"/>
              <w:overflowPunct w:val="0"/>
              <w:spacing w:before="7" w:beforeAutospacing="0" w:after="0" w:afterAutospacing="0"/>
              <w:ind w:left="0" w:right="0"/>
              <w:jc w:val="center"/>
              <w:rPr>
                <w:rFonts w:hint="eastAsia" w:hAnsi="Times New Roman" w:eastAsia="宋体"/>
                <w:b/>
                <w:kern w:val="2"/>
                <w:sz w:val="21"/>
                <w:szCs w:val="21"/>
              </w:rPr>
            </w:pPr>
            <w:r>
              <w:rPr>
                <w:rFonts w:hint="eastAsia" w:hAnsi="Times New Roman" w:eastAsia="宋体"/>
                <w:b/>
                <w:kern w:val="2"/>
                <w:sz w:val="21"/>
                <w:szCs w:val="21"/>
              </w:rPr>
              <w:t>污染物种类</w:t>
            </w:r>
          </w:p>
        </w:tc>
        <w:tc>
          <w:tcPr>
            <w:tcW w:w="822" w:type="pct"/>
            <w:vAlign w:val="center"/>
          </w:tcPr>
          <w:p>
            <w:pPr>
              <w:pStyle w:val="44"/>
              <w:keepNext w:val="0"/>
              <w:keepLines w:val="0"/>
              <w:suppressLineNumbers w:val="0"/>
              <w:overflowPunct w:val="0"/>
              <w:spacing w:before="7" w:beforeAutospacing="0" w:after="0" w:afterAutospacing="0"/>
              <w:ind w:left="0" w:right="0"/>
              <w:jc w:val="center"/>
              <w:rPr>
                <w:rFonts w:hint="eastAsia" w:hAnsi="Times New Roman" w:eastAsia="宋体"/>
                <w:b/>
                <w:kern w:val="2"/>
                <w:sz w:val="21"/>
                <w:szCs w:val="21"/>
                <w:lang w:eastAsia="zh-CN"/>
              </w:rPr>
            </w:pPr>
            <w:r>
              <w:rPr>
                <w:rFonts w:hint="eastAsia" w:hAnsi="Times New Roman" w:eastAsia="宋体"/>
                <w:b/>
                <w:kern w:val="2"/>
                <w:sz w:val="21"/>
                <w:szCs w:val="21"/>
              </w:rPr>
              <w:t>排放浓度 mg/</w:t>
            </w:r>
            <w:r>
              <w:rPr>
                <w:rFonts w:hint="eastAsia" w:hAnsi="Times New Roman" w:eastAsia="宋体"/>
                <w:b/>
                <w:kern w:val="2"/>
                <w:sz w:val="21"/>
                <w:szCs w:val="21"/>
                <w:lang w:eastAsia="zh-CN"/>
              </w:rPr>
              <w:t>L</w:t>
            </w:r>
          </w:p>
        </w:tc>
        <w:tc>
          <w:tcPr>
            <w:tcW w:w="854" w:type="pct"/>
            <w:vAlign w:val="center"/>
          </w:tcPr>
          <w:p>
            <w:pPr>
              <w:pStyle w:val="44"/>
              <w:keepNext w:val="0"/>
              <w:keepLines w:val="0"/>
              <w:suppressLineNumbers w:val="0"/>
              <w:overflowPunct w:val="0"/>
              <w:spacing w:before="7" w:beforeAutospacing="0" w:after="0" w:afterAutospacing="0"/>
              <w:ind w:left="0" w:right="0"/>
              <w:jc w:val="center"/>
              <w:rPr>
                <w:rFonts w:hint="eastAsia" w:hAnsi="Times New Roman" w:eastAsia="宋体"/>
                <w:b/>
                <w:kern w:val="2"/>
                <w:sz w:val="21"/>
                <w:szCs w:val="21"/>
              </w:rPr>
            </w:pPr>
            <w:r>
              <w:rPr>
                <w:rFonts w:hint="eastAsia" w:hAnsi="Times New Roman" w:eastAsia="宋体"/>
                <w:b/>
                <w:kern w:val="2"/>
                <w:sz w:val="21"/>
                <w:szCs w:val="21"/>
              </w:rPr>
              <w:t>废水排放量</w:t>
            </w:r>
          </w:p>
          <w:p>
            <w:pPr>
              <w:pStyle w:val="44"/>
              <w:keepNext w:val="0"/>
              <w:keepLines w:val="0"/>
              <w:suppressLineNumbers w:val="0"/>
              <w:overflowPunct w:val="0"/>
              <w:spacing w:before="7" w:beforeAutospacing="0" w:after="0" w:afterAutospacing="0"/>
              <w:ind w:left="0" w:right="0"/>
              <w:jc w:val="center"/>
              <w:rPr>
                <w:rFonts w:hint="eastAsia" w:hAnsi="Times New Roman" w:eastAsia="宋体"/>
                <w:b/>
                <w:kern w:val="2"/>
                <w:sz w:val="21"/>
                <w:szCs w:val="21"/>
              </w:rPr>
            </w:pPr>
            <w:r>
              <w:rPr>
                <w:rFonts w:hint="eastAsia" w:hAnsi="Times New Roman" w:eastAsia="宋体"/>
                <w:b/>
                <w:kern w:val="2"/>
                <w:sz w:val="21"/>
                <w:szCs w:val="21"/>
              </w:rPr>
              <w:t>（m</w:t>
            </w:r>
            <w:r>
              <w:rPr>
                <w:rFonts w:hint="eastAsia" w:hAnsi="Times New Roman" w:eastAsia="宋体"/>
                <w:b/>
                <w:kern w:val="2"/>
                <w:sz w:val="21"/>
                <w:szCs w:val="21"/>
                <w:vertAlign w:val="superscript"/>
              </w:rPr>
              <w:t>3</w:t>
            </w:r>
            <w:r>
              <w:rPr>
                <w:rFonts w:hint="eastAsia" w:hAnsi="Times New Roman" w:eastAsia="宋体"/>
                <w:b/>
                <w:kern w:val="2"/>
                <w:sz w:val="21"/>
                <w:szCs w:val="21"/>
              </w:rPr>
              <w:t>/a）</w:t>
            </w:r>
          </w:p>
        </w:tc>
        <w:tc>
          <w:tcPr>
            <w:tcW w:w="854" w:type="pct"/>
            <w:vAlign w:val="center"/>
          </w:tcPr>
          <w:p>
            <w:pPr>
              <w:pStyle w:val="44"/>
              <w:keepNext w:val="0"/>
              <w:keepLines w:val="0"/>
              <w:suppressLineNumbers w:val="0"/>
              <w:overflowPunct w:val="0"/>
              <w:spacing w:before="7" w:beforeAutospacing="0" w:after="0" w:afterAutospacing="0"/>
              <w:ind w:left="0" w:right="0"/>
              <w:jc w:val="center"/>
              <w:rPr>
                <w:rFonts w:hint="eastAsia" w:hAnsi="Times New Roman" w:eastAsia="宋体"/>
                <w:b/>
                <w:kern w:val="2"/>
                <w:sz w:val="21"/>
                <w:szCs w:val="21"/>
              </w:rPr>
            </w:pPr>
            <w:r>
              <w:rPr>
                <w:rFonts w:hint="eastAsia" w:hAnsi="Times New Roman" w:eastAsia="宋体"/>
                <w:b/>
                <w:kern w:val="2"/>
                <w:sz w:val="21"/>
                <w:szCs w:val="21"/>
              </w:rPr>
              <w:t>日排放量 kg/d</w:t>
            </w:r>
          </w:p>
        </w:tc>
        <w:tc>
          <w:tcPr>
            <w:tcW w:w="728" w:type="pct"/>
            <w:vAlign w:val="center"/>
          </w:tcPr>
          <w:p>
            <w:pPr>
              <w:pStyle w:val="44"/>
              <w:keepNext w:val="0"/>
              <w:keepLines w:val="0"/>
              <w:suppressLineNumbers w:val="0"/>
              <w:overflowPunct w:val="0"/>
              <w:spacing w:before="7" w:beforeAutospacing="0" w:after="0" w:afterAutospacing="0"/>
              <w:ind w:left="0" w:right="0"/>
              <w:jc w:val="center"/>
              <w:rPr>
                <w:rFonts w:hint="eastAsia" w:hAnsi="Times New Roman" w:eastAsia="宋体"/>
                <w:b/>
                <w:kern w:val="2"/>
                <w:sz w:val="21"/>
                <w:szCs w:val="21"/>
              </w:rPr>
            </w:pPr>
            <w:r>
              <w:rPr>
                <w:rFonts w:hint="eastAsia" w:hAnsi="Times New Roman" w:eastAsia="宋体"/>
                <w:b/>
                <w:kern w:val="2"/>
                <w:sz w:val="21"/>
                <w:szCs w:val="21"/>
              </w:rPr>
              <w:t>年排放量 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trPr>
        <w:tc>
          <w:tcPr>
            <w:tcW w:w="331" w:type="pct"/>
            <w:vMerge w:val="restart"/>
            <w:vAlign w:val="center"/>
          </w:tcPr>
          <w:p>
            <w:pPr>
              <w:pStyle w:val="44"/>
              <w:keepNext w:val="0"/>
              <w:keepLines w:val="0"/>
              <w:suppressLineNumbers w:val="0"/>
              <w:overflowPunct w:val="0"/>
              <w:spacing w:before="0" w:beforeAutospacing="0" w:after="0" w:afterAutospacing="0"/>
              <w:ind w:left="0" w:right="0"/>
              <w:jc w:val="center"/>
              <w:rPr>
                <w:rFonts w:hint="eastAsia" w:hAnsi="Times New Roman" w:eastAsia="宋体"/>
                <w:spacing w:val="-1"/>
                <w:kern w:val="2"/>
                <w:sz w:val="21"/>
                <w:szCs w:val="21"/>
                <w:lang w:eastAsia="zh-CN"/>
              </w:rPr>
            </w:pPr>
            <w:r>
              <w:rPr>
                <w:rFonts w:hint="eastAsia" w:hAnsi="Times New Roman" w:eastAsia="宋体"/>
                <w:spacing w:val="-1"/>
                <w:kern w:val="2"/>
                <w:sz w:val="21"/>
                <w:szCs w:val="21"/>
                <w:lang w:eastAsia="zh-CN"/>
              </w:rPr>
              <w:t>1</w:t>
            </w:r>
          </w:p>
        </w:tc>
        <w:tc>
          <w:tcPr>
            <w:tcW w:w="655" w:type="pct"/>
            <w:vMerge w:val="restart"/>
            <w:vAlign w:val="center"/>
          </w:tcPr>
          <w:p>
            <w:pPr>
              <w:pStyle w:val="44"/>
              <w:keepNext w:val="0"/>
              <w:keepLines w:val="0"/>
              <w:suppressLineNumbers w:val="0"/>
              <w:overflowPunct w:val="0"/>
              <w:spacing w:before="0" w:beforeAutospacing="0" w:after="0" w:afterAutospacing="0"/>
              <w:ind w:left="0" w:right="0"/>
              <w:jc w:val="center"/>
              <w:rPr>
                <w:rFonts w:hint="eastAsia" w:hAnsi="Times New Roman" w:eastAsia="宋体"/>
                <w:spacing w:val="-1"/>
                <w:kern w:val="2"/>
                <w:sz w:val="21"/>
                <w:szCs w:val="21"/>
                <w:lang w:eastAsia="zh-CN"/>
              </w:rPr>
            </w:pPr>
            <w:r>
              <w:rPr>
                <w:rFonts w:hint="eastAsia" w:hAnsi="Times New Roman" w:eastAsia="宋体"/>
                <w:spacing w:val="-1"/>
                <w:kern w:val="2"/>
                <w:sz w:val="21"/>
                <w:szCs w:val="21"/>
                <w:lang w:eastAsia="zh-CN"/>
              </w:rPr>
              <w:t>矿井废水</w:t>
            </w:r>
          </w:p>
        </w:tc>
        <w:tc>
          <w:tcPr>
            <w:tcW w:w="755" w:type="pct"/>
            <w:vAlign w:val="center"/>
          </w:tcPr>
          <w:p>
            <w:pPr>
              <w:pStyle w:val="44"/>
              <w:keepNext w:val="0"/>
              <w:keepLines w:val="0"/>
              <w:suppressLineNumbers w:val="0"/>
              <w:overflowPunct w:val="0"/>
              <w:spacing w:before="0" w:beforeAutospacing="0" w:after="0" w:afterAutospacing="0"/>
              <w:ind w:left="0" w:right="0"/>
              <w:jc w:val="center"/>
              <w:rPr>
                <w:rFonts w:hint="eastAsia" w:hAnsi="Times New Roman" w:eastAsia="宋体"/>
                <w:spacing w:val="-1"/>
                <w:kern w:val="2"/>
                <w:sz w:val="21"/>
                <w:szCs w:val="21"/>
                <w:lang w:eastAsia="zh-CN"/>
              </w:rPr>
            </w:pPr>
            <w:r>
              <w:rPr>
                <w:rFonts w:hint="eastAsia" w:hAnsi="Times New Roman" w:eastAsia="宋体"/>
                <w:spacing w:val="-1"/>
                <w:kern w:val="2"/>
                <w:sz w:val="21"/>
                <w:szCs w:val="21"/>
                <w:lang w:eastAsia="zh-CN"/>
              </w:rPr>
              <w:t>COD</w:t>
            </w:r>
          </w:p>
        </w:tc>
        <w:tc>
          <w:tcPr>
            <w:tcW w:w="822" w:type="pct"/>
            <w:vAlign w:val="center"/>
          </w:tcPr>
          <w:p>
            <w:pPr>
              <w:pStyle w:val="44"/>
              <w:keepNext w:val="0"/>
              <w:keepLines w:val="0"/>
              <w:suppressLineNumbers w:val="0"/>
              <w:overflowPunct w:val="0"/>
              <w:spacing w:before="0" w:beforeAutospacing="0" w:after="0" w:afterAutospacing="0"/>
              <w:ind w:left="0" w:right="0"/>
              <w:jc w:val="center"/>
              <w:rPr>
                <w:rFonts w:hint="eastAsia" w:hAnsi="Times New Roman" w:eastAsia="宋体"/>
                <w:spacing w:val="-1"/>
                <w:kern w:val="2"/>
                <w:sz w:val="21"/>
                <w:szCs w:val="21"/>
                <w:lang w:eastAsia="zh-CN"/>
              </w:rPr>
            </w:pPr>
            <w:r>
              <w:rPr>
                <w:rFonts w:hint="eastAsia" w:hAnsi="Times New Roman" w:eastAsia="宋体"/>
                <w:kern w:val="2"/>
                <w:sz w:val="21"/>
                <w:szCs w:val="21"/>
                <w:lang w:eastAsia="zh-CN"/>
              </w:rPr>
              <w:t>12</w:t>
            </w:r>
          </w:p>
        </w:tc>
        <w:tc>
          <w:tcPr>
            <w:tcW w:w="854" w:type="pct"/>
            <w:vMerge w:val="restart"/>
            <w:vAlign w:val="center"/>
          </w:tcPr>
          <w:p>
            <w:pPr>
              <w:pStyle w:val="44"/>
              <w:keepNext w:val="0"/>
              <w:keepLines w:val="0"/>
              <w:suppressLineNumbers w:val="0"/>
              <w:overflowPunct w:val="0"/>
              <w:spacing w:before="0" w:beforeAutospacing="0" w:after="0" w:afterAutospacing="0"/>
              <w:ind w:left="0" w:right="0"/>
              <w:jc w:val="center"/>
              <w:rPr>
                <w:rFonts w:hint="eastAsia" w:hAnsi="Times New Roman" w:eastAsia="宋体"/>
                <w:spacing w:val="-1"/>
                <w:kern w:val="2"/>
                <w:sz w:val="21"/>
                <w:szCs w:val="21"/>
                <w:lang w:eastAsia="zh-CN"/>
              </w:rPr>
            </w:pPr>
            <w:r>
              <w:rPr>
                <w:rFonts w:hint="eastAsia" w:hAnsi="Times New Roman" w:eastAsia="宋体"/>
                <w:spacing w:val="-1"/>
                <w:kern w:val="2"/>
                <w:sz w:val="21"/>
                <w:szCs w:val="21"/>
                <w:lang w:eastAsia="zh-CN"/>
              </w:rPr>
              <w:t>1101637</w:t>
            </w:r>
          </w:p>
        </w:tc>
        <w:tc>
          <w:tcPr>
            <w:tcW w:w="854" w:type="pct"/>
            <w:vAlign w:val="center"/>
          </w:tcPr>
          <w:p>
            <w:pPr>
              <w:pStyle w:val="44"/>
              <w:keepNext w:val="0"/>
              <w:keepLines w:val="0"/>
              <w:suppressLineNumbers w:val="0"/>
              <w:overflowPunct w:val="0"/>
              <w:spacing w:before="0" w:beforeAutospacing="0" w:after="0" w:afterAutospacing="0"/>
              <w:ind w:left="0" w:right="0"/>
              <w:jc w:val="center"/>
              <w:rPr>
                <w:rFonts w:hint="eastAsia" w:hAnsi="Times New Roman" w:eastAsia="宋体"/>
                <w:spacing w:val="-1"/>
                <w:kern w:val="2"/>
                <w:sz w:val="21"/>
                <w:szCs w:val="21"/>
                <w:lang w:eastAsia="zh-CN"/>
              </w:rPr>
            </w:pPr>
            <w:r>
              <w:rPr>
                <w:rFonts w:hint="eastAsia" w:hAnsi="Times New Roman" w:eastAsia="宋体"/>
                <w:spacing w:val="-1"/>
                <w:kern w:val="2"/>
                <w:sz w:val="21"/>
                <w:szCs w:val="21"/>
                <w:lang w:eastAsia="zh-CN"/>
              </w:rPr>
              <w:t>36.22</w:t>
            </w:r>
          </w:p>
        </w:tc>
        <w:tc>
          <w:tcPr>
            <w:tcW w:w="728" w:type="pct"/>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spacing w:val="-1"/>
                <w:kern w:val="2"/>
                <w:sz w:val="21"/>
                <w:szCs w:val="21"/>
                <w:lang w:eastAsia="zh-CN"/>
              </w:rPr>
            </w:pPr>
            <w:r>
              <w:rPr>
                <w:rFonts w:hint="eastAsia" w:hAnsi="Times New Roman" w:eastAsia="宋体"/>
                <w:spacing w:val="-1"/>
                <w:kern w:val="2"/>
                <w:sz w:val="21"/>
                <w:szCs w:val="21"/>
                <w:lang w:eastAsia="zh-CN"/>
              </w:rPr>
              <w:t>13.22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trPr>
        <w:tc>
          <w:tcPr>
            <w:tcW w:w="331" w:type="pct"/>
            <w:vMerge w:val="continue"/>
            <w:vAlign w:val="center"/>
          </w:tcPr>
          <w:p>
            <w:pPr>
              <w:pStyle w:val="44"/>
              <w:keepNext w:val="0"/>
              <w:keepLines w:val="0"/>
              <w:suppressLineNumbers w:val="0"/>
              <w:overflowPunct w:val="0"/>
              <w:spacing w:before="0" w:beforeAutospacing="0" w:after="0" w:afterAutospacing="0"/>
              <w:ind w:left="0" w:right="0"/>
              <w:jc w:val="center"/>
              <w:rPr>
                <w:rFonts w:hint="eastAsia" w:hAnsi="Times New Roman" w:eastAsia="宋体"/>
                <w:spacing w:val="-1"/>
                <w:kern w:val="2"/>
                <w:sz w:val="21"/>
                <w:szCs w:val="21"/>
                <w:lang w:eastAsia="zh-CN"/>
              </w:rPr>
            </w:pPr>
          </w:p>
        </w:tc>
        <w:tc>
          <w:tcPr>
            <w:tcW w:w="655" w:type="pct"/>
            <w:vMerge w:val="continue"/>
            <w:vAlign w:val="center"/>
          </w:tcPr>
          <w:p>
            <w:pPr>
              <w:pStyle w:val="44"/>
              <w:keepNext w:val="0"/>
              <w:keepLines w:val="0"/>
              <w:suppressLineNumbers w:val="0"/>
              <w:overflowPunct w:val="0"/>
              <w:spacing w:before="0" w:beforeAutospacing="0" w:after="0" w:afterAutospacing="0"/>
              <w:ind w:left="0" w:right="0"/>
              <w:jc w:val="center"/>
              <w:rPr>
                <w:rFonts w:hint="eastAsia" w:hAnsi="Times New Roman" w:eastAsia="宋体"/>
                <w:spacing w:val="-1"/>
                <w:kern w:val="2"/>
                <w:sz w:val="21"/>
                <w:szCs w:val="21"/>
                <w:lang w:eastAsia="zh-CN"/>
              </w:rPr>
            </w:pPr>
          </w:p>
        </w:tc>
        <w:tc>
          <w:tcPr>
            <w:tcW w:w="755" w:type="pct"/>
            <w:vAlign w:val="center"/>
          </w:tcPr>
          <w:p>
            <w:pPr>
              <w:pStyle w:val="44"/>
              <w:keepNext w:val="0"/>
              <w:keepLines w:val="0"/>
              <w:suppressLineNumbers w:val="0"/>
              <w:overflowPunct w:val="0"/>
              <w:spacing w:before="0" w:beforeAutospacing="0" w:after="0" w:afterAutospacing="0"/>
              <w:ind w:left="0" w:right="0"/>
              <w:jc w:val="center"/>
              <w:rPr>
                <w:rFonts w:hint="eastAsia" w:hAnsi="Times New Roman" w:eastAsia="宋体"/>
                <w:spacing w:val="-1"/>
                <w:kern w:val="2"/>
                <w:sz w:val="21"/>
                <w:szCs w:val="21"/>
                <w:lang w:eastAsia="zh-CN"/>
              </w:rPr>
            </w:pPr>
            <w:r>
              <w:rPr>
                <w:rFonts w:hint="eastAsia" w:hAnsi="Times New Roman" w:eastAsia="宋体"/>
                <w:spacing w:val="-1"/>
                <w:kern w:val="2"/>
                <w:sz w:val="21"/>
                <w:szCs w:val="21"/>
                <w:lang w:eastAsia="zh-CN"/>
              </w:rPr>
              <w:t>NH</w:t>
            </w:r>
            <w:r>
              <w:rPr>
                <w:rFonts w:hint="eastAsia" w:hAnsi="Times New Roman" w:eastAsia="宋体"/>
                <w:spacing w:val="-1"/>
                <w:kern w:val="2"/>
                <w:sz w:val="21"/>
                <w:szCs w:val="21"/>
                <w:vertAlign w:val="subscript"/>
                <w:lang w:eastAsia="zh-CN"/>
              </w:rPr>
              <w:t>3</w:t>
            </w:r>
            <w:r>
              <w:rPr>
                <w:rFonts w:hint="eastAsia" w:hAnsi="Times New Roman" w:eastAsia="宋体"/>
                <w:spacing w:val="-1"/>
                <w:kern w:val="2"/>
                <w:sz w:val="21"/>
                <w:szCs w:val="21"/>
                <w:lang w:eastAsia="zh-CN"/>
              </w:rPr>
              <w:t>-N</w:t>
            </w:r>
          </w:p>
        </w:tc>
        <w:tc>
          <w:tcPr>
            <w:tcW w:w="822" w:type="pct"/>
            <w:vAlign w:val="center"/>
          </w:tcPr>
          <w:p>
            <w:pPr>
              <w:pStyle w:val="44"/>
              <w:keepNext w:val="0"/>
              <w:keepLines w:val="0"/>
              <w:suppressLineNumbers w:val="0"/>
              <w:overflowPunct w:val="0"/>
              <w:spacing w:before="0" w:beforeAutospacing="0" w:after="0" w:afterAutospacing="0"/>
              <w:ind w:left="0" w:right="0"/>
              <w:jc w:val="center"/>
              <w:rPr>
                <w:rFonts w:hint="eastAsia" w:hAnsi="Times New Roman" w:eastAsia="宋体"/>
                <w:spacing w:val="-1"/>
                <w:kern w:val="2"/>
                <w:sz w:val="21"/>
                <w:szCs w:val="21"/>
                <w:lang w:eastAsia="zh-CN"/>
              </w:rPr>
            </w:pPr>
            <w:r>
              <w:rPr>
                <w:rFonts w:hint="eastAsia" w:hAnsi="Times New Roman" w:eastAsia="宋体"/>
                <w:kern w:val="2"/>
                <w:sz w:val="21"/>
                <w:szCs w:val="21"/>
                <w:lang w:eastAsia="zh-CN"/>
              </w:rPr>
              <w:t>0.133</w:t>
            </w:r>
          </w:p>
        </w:tc>
        <w:tc>
          <w:tcPr>
            <w:tcW w:w="854" w:type="pct"/>
            <w:vMerge w:val="continue"/>
            <w:vAlign w:val="center"/>
          </w:tcPr>
          <w:p>
            <w:pPr>
              <w:pStyle w:val="44"/>
              <w:keepNext w:val="0"/>
              <w:keepLines w:val="0"/>
              <w:suppressLineNumbers w:val="0"/>
              <w:overflowPunct w:val="0"/>
              <w:spacing w:before="0" w:beforeAutospacing="0" w:after="0" w:afterAutospacing="0"/>
              <w:ind w:left="0" w:right="0"/>
              <w:jc w:val="center"/>
              <w:rPr>
                <w:rFonts w:hint="eastAsia" w:hAnsi="Times New Roman" w:eastAsia="宋体"/>
                <w:spacing w:val="-1"/>
                <w:kern w:val="2"/>
                <w:sz w:val="21"/>
                <w:szCs w:val="21"/>
                <w:lang w:eastAsia="zh-CN"/>
              </w:rPr>
            </w:pPr>
          </w:p>
        </w:tc>
        <w:tc>
          <w:tcPr>
            <w:tcW w:w="854" w:type="pct"/>
            <w:vAlign w:val="center"/>
          </w:tcPr>
          <w:p>
            <w:pPr>
              <w:pStyle w:val="44"/>
              <w:keepNext w:val="0"/>
              <w:keepLines w:val="0"/>
              <w:suppressLineNumbers w:val="0"/>
              <w:overflowPunct w:val="0"/>
              <w:spacing w:before="0" w:beforeAutospacing="0" w:after="0" w:afterAutospacing="0"/>
              <w:ind w:left="0" w:right="0"/>
              <w:jc w:val="center"/>
              <w:rPr>
                <w:rFonts w:hint="eastAsia" w:hAnsi="Times New Roman" w:eastAsia="宋体"/>
                <w:spacing w:val="-1"/>
                <w:kern w:val="2"/>
                <w:sz w:val="21"/>
                <w:szCs w:val="21"/>
                <w:lang w:eastAsia="zh-CN"/>
              </w:rPr>
            </w:pPr>
            <w:r>
              <w:rPr>
                <w:rFonts w:hint="eastAsia" w:hAnsi="Times New Roman" w:eastAsia="宋体"/>
                <w:spacing w:val="-1"/>
                <w:kern w:val="2"/>
                <w:sz w:val="21"/>
                <w:szCs w:val="21"/>
                <w:lang w:eastAsia="zh-CN"/>
              </w:rPr>
              <w:t>0.40</w:t>
            </w:r>
          </w:p>
        </w:tc>
        <w:tc>
          <w:tcPr>
            <w:tcW w:w="728" w:type="pct"/>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trPr>
        <w:tc>
          <w:tcPr>
            <w:tcW w:w="331" w:type="pct"/>
            <w:vMerge w:val="continue"/>
            <w:vAlign w:val="center"/>
          </w:tcPr>
          <w:p>
            <w:pPr>
              <w:pStyle w:val="44"/>
              <w:keepNext w:val="0"/>
              <w:keepLines w:val="0"/>
              <w:suppressLineNumbers w:val="0"/>
              <w:overflowPunct w:val="0"/>
              <w:spacing w:before="0" w:beforeAutospacing="0" w:after="0" w:afterAutospacing="0"/>
              <w:ind w:left="0" w:right="0"/>
              <w:jc w:val="center"/>
              <w:rPr>
                <w:rFonts w:hint="eastAsia" w:hAnsi="Times New Roman" w:eastAsia="宋体"/>
                <w:spacing w:val="-1"/>
                <w:kern w:val="2"/>
                <w:sz w:val="21"/>
                <w:szCs w:val="21"/>
                <w:lang w:eastAsia="zh-CN"/>
              </w:rPr>
            </w:pPr>
          </w:p>
        </w:tc>
        <w:tc>
          <w:tcPr>
            <w:tcW w:w="655" w:type="pct"/>
            <w:vMerge w:val="continue"/>
            <w:vAlign w:val="center"/>
          </w:tcPr>
          <w:p>
            <w:pPr>
              <w:pStyle w:val="44"/>
              <w:keepNext w:val="0"/>
              <w:keepLines w:val="0"/>
              <w:suppressLineNumbers w:val="0"/>
              <w:overflowPunct w:val="0"/>
              <w:spacing w:before="0" w:beforeAutospacing="0" w:after="0" w:afterAutospacing="0"/>
              <w:ind w:left="0" w:right="0"/>
              <w:jc w:val="center"/>
              <w:rPr>
                <w:rFonts w:hint="eastAsia" w:hAnsi="Times New Roman" w:eastAsia="宋体"/>
                <w:spacing w:val="-1"/>
                <w:kern w:val="2"/>
                <w:sz w:val="21"/>
                <w:szCs w:val="21"/>
                <w:lang w:eastAsia="zh-CN"/>
              </w:rPr>
            </w:pPr>
          </w:p>
        </w:tc>
        <w:tc>
          <w:tcPr>
            <w:tcW w:w="755" w:type="pct"/>
            <w:vAlign w:val="center"/>
          </w:tcPr>
          <w:p>
            <w:pPr>
              <w:pStyle w:val="44"/>
              <w:keepNext w:val="0"/>
              <w:keepLines w:val="0"/>
              <w:suppressLineNumbers w:val="0"/>
              <w:overflowPunct w:val="0"/>
              <w:spacing w:before="0" w:beforeAutospacing="0" w:after="0" w:afterAutospacing="0"/>
              <w:ind w:left="0" w:right="0"/>
              <w:jc w:val="center"/>
              <w:rPr>
                <w:rFonts w:hint="eastAsia" w:hAnsi="Times New Roman" w:eastAsia="宋体"/>
                <w:spacing w:val="-1"/>
                <w:kern w:val="2"/>
                <w:sz w:val="21"/>
                <w:szCs w:val="21"/>
                <w:lang w:eastAsia="zh-CN"/>
              </w:rPr>
            </w:pPr>
            <w:r>
              <w:rPr>
                <w:rFonts w:hint="eastAsia" w:hAnsi="Times New Roman" w:eastAsia="宋体"/>
                <w:spacing w:val="-1"/>
                <w:kern w:val="2"/>
                <w:sz w:val="21"/>
                <w:szCs w:val="21"/>
                <w:lang w:eastAsia="zh-CN"/>
              </w:rPr>
              <w:t>SS</w:t>
            </w:r>
          </w:p>
        </w:tc>
        <w:tc>
          <w:tcPr>
            <w:tcW w:w="822" w:type="pct"/>
            <w:vAlign w:val="center"/>
          </w:tcPr>
          <w:p>
            <w:pPr>
              <w:pStyle w:val="44"/>
              <w:keepNext w:val="0"/>
              <w:keepLines w:val="0"/>
              <w:suppressLineNumbers w:val="0"/>
              <w:overflowPunct w:val="0"/>
              <w:spacing w:before="0" w:beforeAutospacing="0" w:after="0" w:afterAutospacing="0"/>
              <w:ind w:left="0" w:right="0"/>
              <w:jc w:val="center"/>
              <w:rPr>
                <w:rFonts w:hint="eastAsia" w:hAnsi="Times New Roman" w:eastAsia="宋体"/>
                <w:spacing w:val="-1"/>
                <w:kern w:val="2"/>
                <w:sz w:val="21"/>
                <w:szCs w:val="21"/>
                <w:lang w:eastAsia="zh-CN"/>
              </w:rPr>
            </w:pPr>
            <w:r>
              <w:rPr>
                <w:rFonts w:hint="eastAsia" w:hAnsi="Times New Roman" w:eastAsia="宋体"/>
                <w:kern w:val="2"/>
                <w:sz w:val="21"/>
                <w:szCs w:val="21"/>
                <w:lang w:eastAsia="zh-CN"/>
              </w:rPr>
              <w:t>21</w:t>
            </w:r>
          </w:p>
        </w:tc>
        <w:tc>
          <w:tcPr>
            <w:tcW w:w="854" w:type="pct"/>
            <w:vMerge w:val="continue"/>
            <w:vAlign w:val="center"/>
          </w:tcPr>
          <w:p>
            <w:pPr>
              <w:pStyle w:val="44"/>
              <w:keepNext w:val="0"/>
              <w:keepLines w:val="0"/>
              <w:suppressLineNumbers w:val="0"/>
              <w:overflowPunct w:val="0"/>
              <w:spacing w:before="0" w:beforeAutospacing="0" w:after="0" w:afterAutospacing="0"/>
              <w:ind w:left="0" w:right="0"/>
              <w:jc w:val="center"/>
              <w:rPr>
                <w:rFonts w:hint="eastAsia" w:hAnsi="Times New Roman" w:eastAsia="宋体"/>
                <w:spacing w:val="-1"/>
                <w:kern w:val="2"/>
                <w:sz w:val="21"/>
                <w:szCs w:val="21"/>
                <w:lang w:eastAsia="zh-CN"/>
              </w:rPr>
            </w:pPr>
          </w:p>
        </w:tc>
        <w:tc>
          <w:tcPr>
            <w:tcW w:w="854" w:type="pct"/>
            <w:vAlign w:val="center"/>
          </w:tcPr>
          <w:p>
            <w:pPr>
              <w:pStyle w:val="44"/>
              <w:keepNext w:val="0"/>
              <w:keepLines w:val="0"/>
              <w:suppressLineNumbers w:val="0"/>
              <w:overflowPunct w:val="0"/>
              <w:spacing w:before="0" w:beforeAutospacing="0" w:after="0" w:afterAutospacing="0"/>
              <w:ind w:left="0" w:right="0"/>
              <w:jc w:val="center"/>
              <w:rPr>
                <w:rFonts w:hint="eastAsia" w:hAnsi="Times New Roman" w:eastAsia="宋体"/>
                <w:spacing w:val="-1"/>
                <w:kern w:val="2"/>
                <w:sz w:val="21"/>
                <w:szCs w:val="21"/>
                <w:lang w:eastAsia="zh-CN"/>
              </w:rPr>
            </w:pPr>
            <w:r>
              <w:rPr>
                <w:rFonts w:hint="eastAsia" w:hAnsi="Times New Roman" w:eastAsia="宋体"/>
                <w:spacing w:val="-1"/>
                <w:kern w:val="2"/>
                <w:sz w:val="21"/>
                <w:szCs w:val="21"/>
                <w:lang w:eastAsia="zh-CN"/>
              </w:rPr>
              <w:t>63.38</w:t>
            </w:r>
          </w:p>
        </w:tc>
        <w:tc>
          <w:tcPr>
            <w:tcW w:w="728" w:type="pct"/>
            <w:vAlign w:val="center"/>
          </w:tcPr>
          <w:p>
            <w:pPr>
              <w:keepNext w:val="0"/>
              <w:keepLines w:val="0"/>
              <w:widowControl/>
              <w:suppressLineNumbers w:val="0"/>
              <w:spacing w:before="0" w:beforeAutospacing="0" w:after="0" w:afterAutospacing="0" w:line="240" w:lineRule="exact"/>
              <w:ind w:left="0" w:right="0"/>
              <w:jc w:val="center"/>
              <w:textAlignment w:val="center"/>
              <w:rPr>
                <w:rFonts w:hint="eastAsia" w:hAnsi="Times New Roman" w:eastAsia="宋体"/>
                <w:spacing w:val="-1"/>
                <w:kern w:val="2"/>
                <w:sz w:val="21"/>
                <w:szCs w:val="21"/>
                <w:lang w:eastAsia="zh-CN"/>
              </w:rPr>
            </w:pPr>
            <w:r>
              <w:rPr>
                <w:rFonts w:hint="eastAsia" w:hAnsi="Times New Roman" w:eastAsia="宋体"/>
                <w:spacing w:val="-1"/>
                <w:kern w:val="2"/>
                <w:sz w:val="21"/>
                <w:szCs w:val="21"/>
                <w:lang w:eastAsia="zh-CN"/>
              </w:rPr>
              <w:t>23.13</w:t>
            </w:r>
          </w:p>
        </w:tc>
      </w:tr>
    </w:tbl>
    <w:p>
      <w:pPr>
        <w:pStyle w:val="5"/>
        <w:rPr>
          <w:rFonts w:ascii="Times New Roman" w:hAnsi="Times New Roman"/>
          <w:lang w:eastAsia="zh-CN"/>
        </w:rPr>
      </w:pPr>
      <w:bookmarkStart w:id="460" w:name="_Toc167095260"/>
      <w:bookmarkStart w:id="461" w:name="_Toc163749182"/>
      <w:r>
        <w:rPr>
          <w:rFonts w:ascii="Times New Roman" w:hAnsi="Times New Roman"/>
          <w:lang w:eastAsia="zh-CN"/>
        </w:rPr>
        <w:t>6.</w:t>
      </w:r>
      <w:r>
        <w:rPr>
          <w:rFonts w:hint="eastAsia" w:ascii="Times New Roman" w:hAnsi="Times New Roman"/>
          <w:lang w:eastAsia="zh-CN"/>
        </w:rPr>
        <w:t>6</w:t>
      </w:r>
      <w:r>
        <w:rPr>
          <w:rFonts w:ascii="Times New Roman" w:hAnsi="Times New Roman"/>
          <w:lang w:eastAsia="zh-CN"/>
        </w:rPr>
        <w:t xml:space="preserve"> 地表水环境影响评价自查表</w:t>
      </w:r>
      <w:bookmarkEnd w:id="460"/>
      <w:bookmarkEnd w:id="461"/>
    </w:p>
    <w:p>
      <w:pPr>
        <w:jc w:val="center"/>
        <w:rPr>
          <w:rFonts w:hAnsi="Times New Roman" w:eastAsia="宋体"/>
          <w:b/>
          <w:bCs/>
          <w:kern w:val="2"/>
          <w:sz w:val="21"/>
          <w:szCs w:val="21"/>
          <w:lang w:eastAsia="zh-CN"/>
        </w:rPr>
      </w:pPr>
      <w:r>
        <w:rPr>
          <w:rFonts w:hAnsi="Times New Roman" w:eastAsia="宋体"/>
          <w:b/>
          <w:bCs/>
          <w:kern w:val="2"/>
          <w:sz w:val="21"/>
          <w:szCs w:val="21"/>
          <w:lang w:eastAsia="zh-CN"/>
        </w:rPr>
        <w:t>表6.</w:t>
      </w:r>
      <w:r>
        <w:rPr>
          <w:rFonts w:hint="eastAsia" w:hAnsi="Times New Roman" w:eastAsia="宋体"/>
          <w:b/>
          <w:bCs/>
          <w:kern w:val="2"/>
          <w:sz w:val="21"/>
          <w:szCs w:val="21"/>
          <w:lang w:eastAsia="zh-CN"/>
        </w:rPr>
        <w:t>6</w:t>
      </w:r>
      <w:r>
        <w:rPr>
          <w:rFonts w:hAnsi="Times New Roman" w:eastAsia="宋体"/>
          <w:b/>
          <w:bCs/>
          <w:kern w:val="2"/>
          <w:sz w:val="21"/>
          <w:szCs w:val="21"/>
          <w:lang w:eastAsia="zh-CN"/>
        </w:rPr>
        <w:t>-1 地表水环境影响评价自查表</w:t>
      </w:r>
    </w:p>
    <w:tbl>
      <w:tblPr>
        <w:tblStyle w:val="34"/>
        <w:tblW w:w="92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1"/>
        <w:gridCol w:w="1657"/>
        <w:gridCol w:w="1214"/>
        <w:gridCol w:w="1102"/>
        <w:gridCol w:w="113"/>
        <w:gridCol w:w="564"/>
        <w:gridCol w:w="980"/>
        <w:gridCol w:w="675"/>
        <w:gridCol w:w="1103"/>
        <w:gridCol w:w="14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048" w:type="dxa"/>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工作内容</w:t>
            </w:r>
          </w:p>
        </w:tc>
        <w:tc>
          <w:tcPr>
            <w:tcW w:w="7212" w:type="dxa"/>
            <w:gridSpan w:val="8"/>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自查项目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391" w:type="dxa"/>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影响识别</w:t>
            </w:r>
          </w:p>
        </w:tc>
        <w:tc>
          <w:tcPr>
            <w:tcW w:w="165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影响类型</w:t>
            </w:r>
          </w:p>
        </w:tc>
        <w:tc>
          <w:tcPr>
            <w:tcW w:w="7212" w:type="dxa"/>
            <w:gridSpan w:val="8"/>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水污染影响型</w:t>
            </w:r>
            <w:r>
              <w:rPr>
                <w:rFonts w:hint="eastAsia" w:hAnsi="Times New Roman" w:eastAsia="宋体"/>
                <w:kern w:val="2"/>
                <w:sz w:val="21"/>
                <w:szCs w:val="21"/>
                <w:lang w:eastAsia="zh-CN"/>
              </w:rPr>
              <w:sym w:font="Wingdings 2" w:char="0052"/>
            </w:r>
            <w:r>
              <w:rPr>
                <w:rFonts w:hint="eastAsia" w:hAnsi="Times New Roman" w:eastAsia="宋体"/>
                <w:kern w:val="2"/>
                <w:sz w:val="21"/>
                <w:szCs w:val="21"/>
                <w:lang w:eastAsia="zh-CN"/>
              </w:rPr>
              <w:t>；水文要素影响型□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391"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p>
        </w:tc>
        <w:tc>
          <w:tcPr>
            <w:tcW w:w="165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水环境保护目标</w:t>
            </w:r>
          </w:p>
        </w:tc>
        <w:tc>
          <w:tcPr>
            <w:tcW w:w="7212" w:type="dxa"/>
            <w:gridSpan w:val="8"/>
            <w:vAlign w:val="center"/>
          </w:tcPr>
          <w:p>
            <w:pPr>
              <w:keepNext w:val="0"/>
              <w:keepLines w:val="0"/>
              <w:suppressLineNumbers w:val="0"/>
              <w:spacing w:before="0" w:beforeAutospacing="0" w:after="0" w:afterAutospacing="0" w:line="240" w:lineRule="exact"/>
              <w:ind w:left="0" w:right="0"/>
              <w:rPr>
                <w:rFonts w:hint="eastAsia" w:hAnsi="Times New Roman" w:eastAsia="宋体"/>
                <w:kern w:val="2"/>
                <w:sz w:val="21"/>
                <w:szCs w:val="21"/>
                <w:lang w:eastAsia="zh-CN"/>
              </w:rPr>
            </w:pPr>
            <w:r>
              <w:rPr>
                <w:rFonts w:hint="eastAsia" w:hAnsi="Times New Roman" w:eastAsia="宋体"/>
                <w:kern w:val="2"/>
                <w:sz w:val="21"/>
                <w:szCs w:val="21"/>
                <w:lang w:eastAsia="zh-CN"/>
              </w:rPr>
              <w:t>饮用水水源保护区□；饮用水取水□；涉水的自然保护区□；涉水的风景名胜区□；重要湿地□；重点保护与珍稀水生生物的栖息地□；重要水生生物的自然产卵场及索饵场、越冬场和洄游通道□；天然渔场等渔业水体□；水产种质资源保护区□；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391"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p>
        </w:tc>
        <w:tc>
          <w:tcPr>
            <w:tcW w:w="1657" w:type="dxa"/>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影响途径</w:t>
            </w:r>
          </w:p>
        </w:tc>
        <w:tc>
          <w:tcPr>
            <w:tcW w:w="3973" w:type="dxa"/>
            <w:gridSpan w:val="5"/>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水污染影响型</w:t>
            </w:r>
          </w:p>
        </w:tc>
        <w:tc>
          <w:tcPr>
            <w:tcW w:w="3239" w:type="dxa"/>
            <w:gridSpan w:val="3"/>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水文要素影响型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391"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p>
        </w:tc>
        <w:tc>
          <w:tcPr>
            <w:tcW w:w="1657"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p>
        </w:tc>
        <w:tc>
          <w:tcPr>
            <w:tcW w:w="3973" w:type="dxa"/>
            <w:gridSpan w:val="5"/>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直接排放</w:t>
            </w:r>
            <w:r>
              <w:rPr>
                <w:rFonts w:hint="eastAsia" w:hAnsi="Times New Roman" w:eastAsia="宋体"/>
                <w:kern w:val="2"/>
                <w:sz w:val="21"/>
                <w:szCs w:val="21"/>
                <w:lang w:eastAsia="zh-CN"/>
              </w:rPr>
              <w:sym w:font="Wingdings 2" w:char="0052"/>
            </w:r>
            <w:r>
              <w:rPr>
                <w:rFonts w:hint="eastAsia" w:hAnsi="Times New Roman" w:eastAsia="宋体"/>
                <w:kern w:val="2"/>
                <w:sz w:val="21"/>
                <w:szCs w:val="21"/>
                <w:lang w:eastAsia="zh-CN"/>
              </w:rPr>
              <w:t>；间接排放</w:t>
            </w:r>
            <w:r>
              <w:rPr>
                <w:rFonts w:hint="eastAsia" w:hAnsi="Times New Roman" w:eastAsia="宋体"/>
                <w:kern w:val="2"/>
                <w:sz w:val="21"/>
                <w:szCs w:val="21"/>
                <w:lang w:eastAsia="zh-CN"/>
              </w:rPr>
              <w:sym w:font="Wingdings 2" w:char="00A3"/>
            </w:r>
            <w:r>
              <w:rPr>
                <w:rFonts w:hint="eastAsia" w:hAnsi="Times New Roman" w:eastAsia="宋体"/>
                <w:kern w:val="2"/>
                <w:sz w:val="21"/>
                <w:szCs w:val="21"/>
                <w:lang w:eastAsia="zh-CN"/>
              </w:rPr>
              <w:t>；其他</w:t>
            </w:r>
            <w:r>
              <w:rPr>
                <w:rFonts w:hint="eastAsia" w:hAnsi="Times New Roman" w:eastAsia="宋体"/>
                <w:kern w:val="2"/>
                <w:sz w:val="21"/>
                <w:szCs w:val="21"/>
                <w:lang w:eastAsia="zh-CN"/>
              </w:rPr>
              <w:sym w:font="Wingdings 2" w:char="00A3"/>
            </w:r>
          </w:p>
        </w:tc>
        <w:tc>
          <w:tcPr>
            <w:tcW w:w="3239" w:type="dxa"/>
            <w:gridSpan w:val="3"/>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水温□；径流□；水域面积□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391"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p>
        </w:tc>
        <w:tc>
          <w:tcPr>
            <w:tcW w:w="165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影响因子</w:t>
            </w:r>
          </w:p>
        </w:tc>
        <w:tc>
          <w:tcPr>
            <w:tcW w:w="3973" w:type="dxa"/>
            <w:gridSpan w:val="5"/>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持久性污染物</w:t>
            </w:r>
            <w:r>
              <w:rPr>
                <w:rFonts w:hint="eastAsia" w:hAnsi="Times New Roman" w:eastAsia="宋体"/>
                <w:kern w:val="2"/>
                <w:sz w:val="21"/>
                <w:szCs w:val="21"/>
                <w:lang w:eastAsia="zh-CN"/>
              </w:rPr>
              <w:sym w:font="Wingdings 2" w:char="00A3"/>
            </w:r>
            <w:r>
              <w:rPr>
                <w:rFonts w:hint="eastAsia" w:hAnsi="Times New Roman" w:eastAsia="宋体"/>
                <w:kern w:val="2"/>
                <w:sz w:val="21"/>
                <w:szCs w:val="21"/>
                <w:lang w:eastAsia="zh-CN"/>
              </w:rPr>
              <w:t>；有毒有害污染物</w:t>
            </w:r>
            <w:r>
              <w:rPr>
                <w:rFonts w:hint="eastAsia" w:hAnsi="Times New Roman" w:eastAsia="宋体"/>
                <w:kern w:val="2"/>
                <w:sz w:val="21"/>
                <w:szCs w:val="21"/>
                <w:lang w:eastAsia="zh-CN"/>
              </w:rPr>
              <w:sym w:font="Wingdings 2" w:char="00A3"/>
            </w:r>
            <w:r>
              <w:rPr>
                <w:rFonts w:hint="eastAsia" w:hAnsi="Times New Roman" w:eastAsia="宋体"/>
                <w:kern w:val="2"/>
                <w:sz w:val="21"/>
                <w:szCs w:val="21"/>
                <w:lang w:eastAsia="zh-CN"/>
              </w:rPr>
              <w:t>；非持久性污染物</w:t>
            </w:r>
            <w:r>
              <w:rPr>
                <w:rFonts w:hint="eastAsia" w:hAnsi="Times New Roman" w:eastAsia="宋体"/>
                <w:kern w:val="2"/>
                <w:sz w:val="21"/>
                <w:szCs w:val="21"/>
                <w:lang w:eastAsia="zh-CN"/>
              </w:rPr>
              <w:sym w:font="Wingdings 2" w:char="0052"/>
            </w:r>
            <w:r>
              <w:rPr>
                <w:rFonts w:hint="eastAsia" w:hAnsi="Times New Roman" w:eastAsia="宋体"/>
                <w:kern w:val="2"/>
                <w:sz w:val="21"/>
                <w:szCs w:val="21"/>
                <w:lang w:eastAsia="zh-CN"/>
              </w:rPr>
              <w:t>；pH值</w:t>
            </w:r>
            <w:r>
              <w:rPr>
                <w:rFonts w:hint="eastAsia" w:hAnsi="Times New Roman" w:eastAsia="宋体"/>
                <w:kern w:val="2"/>
                <w:sz w:val="21"/>
                <w:szCs w:val="21"/>
                <w:lang w:eastAsia="zh-CN"/>
              </w:rPr>
              <w:sym w:font="Wingdings 2" w:char="00A3"/>
            </w:r>
            <w:r>
              <w:rPr>
                <w:rFonts w:hint="eastAsia" w:hAnsi="Times New Roman" w:eastAsia="宋体"/>
                <w:kern w:val="2"/>
                <w:sz w:val="21"/>
                <w:szCs w:val="21"/>
                <w:lang w:eastAsia="zh-CN"/>
              </w:rPr>
              <w:t>；热污染</w:t>
            </w:r>
            <w:r>
              <w:rPr>
                <w:rFonts w:hint="eastAsia" w:hAnsi="Times New Roman" w:eastAsia="宋体"/>
                <w:kern w:val="2"/>
                <w:sz w:val="21"/>
                <w:szCs w:val="21"/>
                <w:lang w:eastAsia="zh-CN"/>
              </w:rPr>
              <w:sym w:font="Wingdings 2" w:char="00A3"/>
            </w:r>
            <w:r>
              <w:rPr>
                <w:rFonts w:hint="eastAsia" w:hAnsi="Times New Roman" w:eastAsia="宋体"/>
                <w:kern w:val="2"/>
                <w:sz w:val="21"/>
                <w:szCs w:val="21"/>
                <w:lang w:eastAsia="zh-CN"/>
              </w:rPr>
              <w:t>；富营养化</w:t>
            </w:r>
            <w:r>
              <w:rPr>
                <w:rFonts w:hint="eastAsia" w:hAnsi="Times New Roman" w:eastAsia="宋体"/>
                <w:kern w:val="2"/>
                <w:sz w:val="21"/>
                <w:szCs w:val="21"/>
                <w:lang w:eastAsia="zh-CN"/>
              </w:rPr>
              <w:sym w:font="Wingdings 2" w:char="00A3"/>
            </w:r>
            <w:r>
              <w:rPr>
                <w:rFonts w:hint="eastAsia" w:hAnsi="Times New Roman" w:eastAsia="宋体"/>
                <w:kern w:val="2"/>
                <w:sz w:val="21"/>
                <w:szCs w:val="21"/>
                <w:lang w:eastAsia="zh-CN"/>
              </w:rPr>
              <w:t>；其他</w:t>
            </w:r>
            <w:r>
              <w:rPr>
                <w:rFonts w:hint="eastAsia" w:hAnsi="Times New Roman" w:eastAsia="宋体"/>
                <w:kern w:val="2"/>
                <w:sz w:val="21"/>
                <w:szCs w:val="21"/>
                <w:lang w:eastAsia="zh-CN"/>
              </w:rPr>
              <w:sym w:font="Wingdings 2" w:char="00A3"/>
            </w:r>
          </w:p>
        </w:tc>
        <w:tc>
          <w:tcPr>
            <w:tcW w:w="3239" w:type="dxa"/>
            <w:gridSpan w:val="3"/>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水温□；水位（水深）□；流速□；流量□；其他□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048" w:type="dxa"/>
            <w:gridSpan w:val="2"/>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评价等级</w:t>
            </w:r>
          </w:p>
        </w:tc>
        <w:tc>
          <w:tcPr>
            <w:tcW w:w="3973" w:type="dxa"/>
            <w:gridSpan w:val="5"/>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水污染影响型</w:t>
            </w:r>
          </w:p>
        </w:tc>
        <w:tc>
          <w:tcPr>
            <w:tcW w:w="3239" w:type="dxa"/>
            <w:gridSpan w:val="3"/>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水文要素影响型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048" w:type="dxa"/>
            <w:gridSpan w:val="2"/>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p>
        </w:tc>
        <w:tc>
          <w:tcPr>
            <w:tcW w:w="3973" w:type="dxa"/>
            <w:gridSpan w:val="5"/>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一级</w:t>
            </w:r>
            <w:r>
              <w:rPr>
                <w:rFonts w:hint="eastAsia" w:hAnsi="Times New Roman" w:eastAsia="宋体"/>
                <w:kern w:val="2"/>
                <w:sz w:val="21"/>
                <w:szCs w:val="21"/>
                <w:lang w:eastAsia="zh-CN"/>
              </w:rPr>
              <w:sym w:font="Wingdings 2" w:char="00A3"/>
            </w:r>
            <w:r>
              <w:rPr>
                <w:rFonts w:hint="eastAsia" w:hAnsi="Times New Roman" w:eastAsia="宋体"/>
                <w:kern w:val="2"/>
                <w:sz w:val="21"/>
                <w:szCs w:val="21"/>
                <w:lang w:eastAsia="zh-CN"/>
              </w:rPr>
              <w:t>；二级</w:t>
            </w:r>
            <w:r>
              <w:rPr>
                <w:rFonts w:hint="eastAsia" w:hAnsi="Times New Roman" w:eastAsia="宋体"/>
                <w:kern w:val="2"/>
                <w:sz w:val="21"/>
                <w:szCs w:val="21"/>
                <w:lang w:eastAsia="zh-CN"/>
              </w:rPr>
              <w:sym w:font="Wingdings 2" w:char="0052"/>
            </w:r>
            <w:r>
              <w:rPr>
                <w:rFonts w:hint="eastAsia" w:hAnsi="Times New Roman" w:eastAsia="宋体"/>
                <w:kern w:val="2"/>
                <w:sz w:val="21"/>
                <w:szCs w:val="21"/>
                <w:lang w:eastAsia="zh-CN"/>
              </w:rPr>
              <w:t>；三级A</w:t>
            </w:r>
            <w:r>
              <w:rPr>
                <w:rFonts w:hint="eastAsia" w:hAnsi="Times New Roman" w:eastAsia="宋体"/>
                <w:kern w:val="2"/>
                <w:sz w:val="21"/>
                <w:szCs w:val="21"/>
                <w:lang w:eastAsia="zh-CN"/>
              </w:rPr>
              <w:sym w:font="Wingdings 2" w:char="00A3"/>
            </w:r>
            <w:r>
              <w:rPr>
                <w:rFonts w:hint="eastAsia" w:hAnsi="Times New Roman" w:eastAsia="宋体"/>
                <w:kern w:val="2"/>
                <w:sz w:val="21"/>
                <w:szCs w:val="21"/>
                <w:lang w:eastAsia="zh-CN"/>
              </w:rPr>
              <w:t>；三级B</w:t>
            </w:r>
            <w:r>
              <w:rPr>
                <w:rFonts w:hint="eastAsia" w:hAnsi="Times New Roman" w:eastAsia="宋体"/>
                <w:kern w:val="2"/>
                <w:sz w:val="21"/>
                <w:szCs w:val="21"/>
                <w:lang w:eastAsia="zh-CN"/>
              </w:rPr>
              <w:sym w:font="Wingdings 2" w:char="00A3"/>
            </w:r>
          </w:p>
        </w:tc>
        <w:tc>
          <w:tcPr>
            <w:tcW w:w="3239" w:type="dxa"/>
            <w:gridSpan w:val="3"/>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一级□；二级□；三级□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391" w:type="dxa"/>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p>
        </w:tc>
        <w:tc>
          <w:tcPr>
            <w:tcW w:w="1657" w:type="dxa"/>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区域污染源</w:t>
            </w:r>
          </w:p>
        </w:tc>
        <w:tc>
          <w:tcPr>
            <w:tcW w:w="3973" w:type="dxa"/>
            <w:gridSpan w:val="5"/>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调查项目</w:t>
            </w:r>
          </w:p>
        </w:tc>
        <w:tc>
          <w:tcPr>
            <w:tcW w:w="3239" w:type="dxa"/>
            <w:gridSpan w:val="3"/>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391"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p>
        </w:tc>
        <w:tc>
          <w:tcPr>
            <w:tcW w:w="1657"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p>
        </w:tc>
        <w:tc>
          <w:tcPr>
            <w:tcW w:w="2429" w:type="dxa"/>
            <w:gridSpan w:val="3"/>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已建□；在建□；拟建□；</w:t>
            </w:r>
          </w:p>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其他</w:t>
            </w:r>
            <w:r>
              <w:rPr>
                <w:rFonts w:hint="eastAsia" w:hAnsi="Times New Roman" w:eastAsia="宋体"/>
                <w:kern w:val="2"/>
                <w:sz w:val="21"/>
                <w:szCs w:val="21"/>
                <w:lang w:eastAsia="zh-CN"/>
              </w:rPr>
              <w:sym w:font="Wingdings 2" w:char="0052"/>
            </w:r>
          </w:p>
        </w:tc>
        <w:tc>
          <w:tcPr>
            <w:tcW w:w="1544" w:type="dxa"/>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拟替代的污染源□</w:t>
            </w:r>
          </w:p>
        </w:tc>
        <w:tc>
          <w:tcPr>
            <w:tcW w:w="3239" w:type="dxa"/>
            <w:gridSpan w:val="3"/>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排污许可证□；环评□；环保验收□；既有实测□；现场监测□；入河排放口数据□；其他□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391" w:type="dxa"/>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现状调查</w:t>
            </w:r>
          </w:p>
        </w:tc>
        <w:tc>
          <w:tcPr>
            <w:tcW w:w="1657" w:type="dxa"/>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受影响水体水环境质量</w:t>
            </w:r>
          </w:p>
        </w:tc>
        <w:tc>
          <w:tcPr>
            <w:tcW w:w="3973" w:type="dxa"/>
            <w:gridSpan w:val="5"/>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调查时期</w:t>
            </w:r>
          </w:p>
        </w:tc>
        <w:tc>
          <w:tcPr>
            <w:tcW w:w="3239" w:type="dxa"/>
            <w:gridSpan w:val="3"/>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391"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p>
        </w:tc>
        <w:tc>
          <w:tcPr>
            <w:tcW w:w="1657"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p>
        </w:tc>
        <w:tc>
          <w:tcPr>
            <w:tcW w:w="3973" w:type="dxa"/>
            <w:gridSpan w:val="5"/>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丰水期</w:t>
            </w:r>
            <w:r>
              <w:rPr>
                <w:rFonts w:hint="eastAsia" w:hAnsi="Times New Roman" w:eastAsia="宋体"/>
                <w:kern w:val="2"/>
                <w:sz w:val="21"/>
                <w:szCs w:val="21"/>
                <w:lang w:eastAsia="zh-CN"/>
              </w:rPr>
              <w:sym w:font="Wingdings 2" w:char="00A3"/>
            </w:r>
            <w:r>
              <w:rPr>
                <w:rFonts w:hint="eastAsia" w:hAnsi="Times New Roman" w:eastAsia="宋体"/>
                <w:kern w:val="2"/>
                <w:sz w:val="21"/>
                <w:szCs w:val="21"/>
                <w:lang w:eastAsia="zh-CN"/>
              </w:rPr>
              <w:t>；平水期</w:t>
            </w:r>
            <w:r>
              <w:rPr>
                <w:rFonts w:hint="eastAsia" w:hAnsi="Times New Roman" w:eastAsia="宋体"/>
                <w:kern w:val="2"/>
                <w:sz w:val="21"/>
                <w:szCs w:val="21"/>
                <w:lang w:eastAsia="zh-CN"/>
              </w:rPr>
              <w:sym w:font="Wingdings 2" w:char="00A3"/>
            </w:r>
            <w:r>
              <w:rPr>
                <w:rFonts w:hint="eastAsia" w:hAnsi="Times New Roman" w:eastAsia="宋体"/>
                <w:kern w:val="2"/>
                <w:sz w:val="21"/>
                <w:szCs w:val="21"/>
                <w:lang w:eastAsia="zh-CN"/>
              </w:rPr>
              <w:t>；枯水期</w:t>
            </w:r>
            <w:r>
              <w:rPr>
                <w:rFonts w:hint="eastAsia" w:hAnsi="Times New Roman" w:eastAsia="宋体"/>
                <w:kern w:val="2"/>
                <w:sz w:val="21"/>
                <w:szCs w:val="21"/>
                <w:lang w:eastAsia="zh-CN"/>
              </w:rPr>
              <w:sym w:font="Wingdings 2" w:char="0052"/>
            </w:r>
            <w:r>
              <w:rPr>
                <w:rFonts w:hint="eastAsia" w:hAnsi="Times New Roman" w:eastAsia="宋体"/>
                <w:kern w:val="2"/>
                <w:sz w:val="21"/>
                <w:szCs w:val="21"/>
                <w:lang w:eastAsia="zh-CN"/>
              </w:rPr>
              <w:t>；冰封期</w:t>
            </w:r>
            <w:r>
              <w:rPr>
                <w:rFonts w:hint="eastAsia" w:hAnsi="Times New Roman" w:eastAsia="宋体"/>
                <w:kern w:val="2"/>
                <w:sz w:val="21"/>
                <w:szCs w:val="21"/>
                <w:lang w:eastAsia="zh-CN"/>
              </w:rPr>
              <w:sym w:font="Wingdings 2" w:char="00A3"/>
            </w:r>
            <w:r>
              <w:rPr>
                <w:rFonts w:hint="eastAsia" w:hAnsi="Times New Roman" w:eastAsia="宋体"/>
                <w:kern w:val="2"/>
                <w:sz w:val="21"/>
                <w:szCs w:val="21"/>
                <w:lang w:eastAsia="zh-CN"/>
              </w:rPr>
              <w:t>春季</w:t>
            </w:r>
            <w:r>
              <w:rPr>
                <w:rFonts w:hint="eastAsia" w:hAnsi="Times New Roman" w:eastAsia="宋体"/>
                <w:kern w:val="2"/>
                <w:sz w:val="21"/>
                <w:szCs w:val="21"/>
                <w:lang w:eastAsia="zh-CN"/>
              </w:rPr>
              <w:sym w:font="Wingdings 2" w:char="00A3"/>
            </w:r>
            <w:r>
              <w:rPr>
                <w:rFonts w:hint="eastAsia" w:hAnsi="Times New Roman" w:eastAsia="宋体"/>
                <w:kern w:val="2"/>
                <w:sz w:val="21"/>
                <w:szCs w:val="21"/>
                <w:lang w:eastAsia="zh-CN"/>
              </w:rPr>
              <w:t>；夏季□；秋季</w:t>
            </w:r>
            <w:r>
              <w:rPr>
                <w:rFonts w:hint="eastAsia" w:hAnsi="Times New Roman" w:eastAsia="宋体"/>
                <w:kern w:val="2"/>
                <w:sz w:val="21"/>
                <w:szCs w:val="21"/>
                <w:lang w:eastAsia="zh-CN"/>
              </w:rPr>
              <w:sym w:font="Wingdings 2" w:char="00A3"/>
            </w:r>
            <w:r>
              <w:rPr>
                <w:rFonts w:hint="eastAsia" w:hAnsi="Times New Roman" w:eastAsia="宋体"/>
                <w:kern w:val="2"/>
                <w:sz w:val="21"/>
                <w:szCs w:val="21"/>
                <w:lang w:eastAsia="zh-CN"/>
              </w:rPr>
              <w:t>；冬季</w:t>
            </w:r>
            <w:r>
              <w:rPr>
                <w:rFonts w:hint="eastAsia" w:hAnsi="Times New Roman" w:eastAsia="宋体"/>
                <w:kern w:val="2"/>
                <w:sz w:val="21"/>
                <w:szCs w:val="21"/>
                <w:lang w:eastAsia="zh-CN"/>
              </w:rPr>
              <w:sym w:font="Wingdings 2" w:char="0052"/>
            </w:r>
          </w:p>
        </w:tc>
        <w:tc>
          <w:tcPr>
            <w:tcW w:w="3239" w:type="dxa"/>
            <w:gridSpan w:val="3"/>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生态环境保护主管部门</w:t>
            </w:r>
            <w:r>
              <w:rPr>
                <w:rFonts w:hint="eastAsia" w:hAnsi="Times New Roman" w:eastAsia="宋体"/>
                <w:kern w:val="2"/>
                <w:sz w:val="21"/>
                <w:szCs w:val="21"/>
                <w:lang w:eastAsia="zh-CN"/>
              </w:rPr>
              <w:sym w:font="Wingdings 2" w:char="0052"/>
            </w:r>
            <w:r>
              <w:rPr>
                <w:rFonts w:hint="eastAsia" w:hAnsi="Times New Roman" w:eastAsia="宋体"/>
                <w:kern w:val="2"/>
                <w:sz w:val="21"/>
                <w:szCs w:val="21"/>
                <w:lang w:eastAsia="zh-CN"/>
              </w:rPr>
              <w:t>；补充监测</w:t>
            </w:r>
            <w:r>
              <w:rPr>
                <w:rFonts w:hint="eastAsia" w:hAnsi="Times New Roman" w:eastAsia="宋体"/>
                <w:kern w:val="2"/>
                <w:sz w:val="21"/>
                <w:szCs w:val="21"/>
                <w:lang w:eastAsia="zh-CN"/>
              </w:rPr>
              <w:sym w:font="Wingdings 2" w:char="0052"/>
            </w:r>
            <w:r>
              <w:rPr>
                <w:rFonts w:hint="eastAsia" w:hAnsi="Times New Roman" w:eastAsia="宋体"/>
                <w:kern w:val="2"/>
                <w:sz w:val="21"/>
                <w:szCs w:val="21"/>
                <w:lang w:eastAsia="zh-CN"/>
              </w:rPr>
              <w:t>；其他</w:t>
            </w:r>
            <w:r>
              <w:rPr>
                <w:rFonts w:hint="eastAsia" w:hAnsi="Times New Roman" w:eastAsia="宋体"/>
                <w:kern w:val="2"/>
                <w:sz w:val="21"/>
                <w:szCs w:val="21"/>
                <w:lang w:eastAsia="zh-CN"/>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391"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p>
        </w:tc>
        <w:tc>
          <w:tcPr>
            <w:tcW w:w="165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区域水资源开发利用状况</w:t>
            </w:r>
          </w:p>
        </w:tc>
        <w:tc>
          <w:tcPr>
            <w:tcW w:w="7212" w:type="dxa"/>
            <w:gridSpan w:val="8"/>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未开发</w:t>
            </w:r>
            <w:r>
              <w:rPr>
                <w:rFonts w:hint="eastAsia" w:hAnsi="Times New Roman" w:eastAsia="宋体"/>
                <w:kern w:val="2"/>
                <w:sz w:val="21"/>
                <w:szCs w:val="21"/>
                <w:lang w:eastAsia="zh-CN"/>
              </w:rPr>
              <w:sym w:font="Wingdings 2" w:char="00A3"/>
            </w:r>
            <w:r>
              <w:rPr>
                <w:rFonts w:hint="eastAsia" w:hAnsi="Times New Roman" w:eastAsia="宋体"/>
                <w:kern w:val="2"/>
                <w:sz w:val="21"/>
                <w:szCs w:val="21"/>
                <w:lang w:eastAsia="zh-CN"/>
              </w:rPr>
              <w:t>；开发量40%以下</w:t>
            </w:r>
            <w:r>
              <w:rPr>
                <w:rFonts w:hint="eastAsia" w:hAnsi="Times New Roman" w:eastAsia="宋体"/>
                <w:kern w:val="2"/>
                <w:sz w:val="21"/>
                <w:szCs w:val="21"/>
                <w:lang w:eastAsia="zh-CN"/>
              </w:rPr>
              <w:sym w:font="Wingdings 2" w:char="00A3"/>
            </w:r>
            <w:r>
              <w:rPr>
                <w:rFonts w:hint="eastAsia" w:hAnsi="Times New Roman" w:eastAsia="宋体"/>
                <w:kern w:val="2"/>
                <w:sz w:val="21"/>
                <w:szCs w:val="21"/>
                <w:lang w:eastAsia="zh-CN"/>
              </w:rPr>
              <w:t>；开发量40%以上□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391"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p>
        </w:tc>
        <w:tc>
          <w:tcPr>
            <w:tcW w:w="1657" w:type="dxa"/>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水文情势调查</w:t>
            </w:r>
          </w:p>
        </w:tc>
        <w:tc>
          <w:tcPr>
            <w:tcW w:w="3973" w:type="dxa"/>
            <w:gridSpan w:val="5"/>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调查时期</w:t>
            </w:r>
          </w:p>
        </w:tc>
        <w:tc>
          <w:tcPr>
            <w:tcW w:w="3239" w:type="dxa"/>
            <w:gridSpan w:val="3"/>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391"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p>
        </w:tc>
        <w:tc>
          <w:tcPr>
            <w:tcW w:w="1657"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p>
        </w:tc>
        <w:tc>
          <w:tcPr>
            <w:tcW w:w="3973" w:type="dxa"/>
            <w:gridSpan w:val="5"/>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丰水期</w:t>
            </w:r>
            <w:r>
              <w:rPr>
                <w:rFonts w:hint="eastAsia" w:hAnsi="Times New Roman" w:eastAsia="宋体"/>
                <w:kern w:val="2"/>
                <w:sz w:val="21"/>
                <w:szCs w:val="21"/>
                <w:lang w:eastAsia="zh-CN"/>
              </w:rPr>
              <w:sym w:font="Wingdings 2" w:char="00A3"/>
            </w:r>
            <w:r>
              <w:rPr>
                <w:rFonts w:hint="eastAsia" w:hAnsi="Times New Roman" w:eastAsia="宋体"/>
                <w:kern w:val="2"/>
                <w:sz w:val="21"/>
                <w:szCs w:val="21"/>
                <w:lang w:eastAsia="zh-CN"/>
              </w:rPr>
              <w:t>；平水期</w:t>
            </w:r>
            <w:r>
              <w:rPr>
                <w:rFonts w:hint="eastAsia" w:hAnsi="Times New Roman" w:eastAsia="宋体"/>
                <w:kern w:val="2"/>
                <w:sz w:val="21"/>
                <w:szCs w:val="21"/>
                <w:lang w:eastAsia="zh-CN"/>
              </w:rPr>
              <w:sym w:font="Wingdings 2" w:char="0052"/>
            </w:r>
            <w:r>
              <w:rPr>
                <w:rFonts w:hint="eastAsia" w:hAnsi="Times New Roman" w:eastAsia="宋体"/>
                <w:kern w:val="2"/>
                <w:sz w:val="21"/>
                <w:szCs w:val="21"/>
                <w:lang w:eastAsia="zh-CN"/>
              </w:rPr>
              <w:t>；枯水期□；冰封期□春季□；夏季□；秋季</w:t>
            </w:r>
            <w:r>
              <w:rPr>
                <w:rFonts w:hint="eastAsia" w:hAnsi="Times New Roman" w:eastAsia="宋体"/>
                <w:kern w:val="2"/>
                <w:sz w:val="21"/>
                <w:szCs w:val="21"/>
                <w:lang w:eastAsia="zh-CN"/>
              </w:rPr>
              <w:sym w:font="Wingdings 2" w:char="00A3"/>
            </w:r>
            <w:r>
              <w:rPr>
                <w:rFonts w:hint="eastAsia" w:hAnsi="Times New Roman" w:eastAsia="宋体"/>
                <w:kern w:val="2"/>
                <w:sz w:val="21"/>
                <w:szCs w:val="21"/>
                <w:lang w:eastAsia="zh-CN"/>
              </w:rPr>
              <w:t>；冬季□</w:t>
            </w:r>
          </w:p>
        </w:tc>
        <w:tc>
          <w:tcPr>
            <w:tcW w:w="3239" w:type="dxa"/>
            <w:gridSpan w:val="3"/>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水行政主管部门□；补充监测□；其他□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391"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p>
        </w:tc>
        <w:tc>
          <w:tcPr>
            <w:tcW w:w="1657" w:type="dxa"/>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补充监测</w:t>
            </w:r>
          </w:p>
        </w:tc>
        <w:tc>
          <w:tcPr>
            <w:tcW w:w="2429" w:type="dxa"/>
            <w:gridSpan w:val="3"/>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监测时期</w:t>
            </w:r>
          </w:p>
        </w:tc>
        <w:tc>
          <w:tcPr>
            <w:tcW w:w="3322" w:type="dxa"/>
            <w:gridSpan w:val="4"/>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监测因子</w:t>
            </w:r>
          </w:p>
        </w:tc>
        <w:tc>
          <w:tcPr>
            <w:tcW w:w="1461"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监测断面或点位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391"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p>
        </w:tc>
        <w:tc>
          <w:tcPr>
            <w:tcW w:w="1657"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p>
        </w:tc>
        <w:tc>
          <w:tcPr>
            <w:tcW w:w="2429" w:type="dxa"/>
            <w:gridSpan w:val="3"/>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丰水期</w:t>
            </w:r>
            <w:r>
              <w:rPr>
                <w:rFonts w:hint="eastAsia" w:hAnsi="Times New Roman" w:eastAsia="宋体"/>
                <w:kern w:val="2"/>
                <w:sz w:val="21"/>
                <w:szCs w:val="21"/>
                <w:lang w:eastAsia="zh-CN"/>
              </w:rPr>
              <w:sym w:font="Wingdings 2" w:char="00A3"/>
            </w:r>
            <w:r>
              <w:rPr>
                <w:rFonts w:hint="eastAsia" w:hAnsi="Times New Roman" w:eastAsia="宋体"/>
                <w:kern w:val="2"/>
                <w:sz w:val="21"/>
                <w:szCs w:val="21"/>
                <w:lang w:eastAsia="zh-CN"/>
              </w:rPr>
              <w:t>；平水期</w:t>
            </w:r>
            <w:r>
              <w:rPr>
                <w:rFonts w:hint="eastAsia" w:hAnsi="Times New Roman" w:eastAsia="宋体"/>
                <w:kern w:val="2"/>
                <w:sz w:val="21"/>
                <w:szCs w:val="21"/>
                <w:lang w:eastAsia="zh-CN"/>
              </w:rPr>
              <w:sym w:font="Wingdings 2" w:char="00A3"/>
            </w:r>
            <w:r>
              <w:rPr>
                <w:rFonts w:hint="eastAsia" w:hAnsi="Times New Roman" w:eastAsia="宋体"/>
                <w:kern w:val="2"/>
                <w:sz w:val="21"/>
                <w:szCs w:val="21"/>
                <w:lang w:eastAsia="zh-CN"/>
              </w:rPr>
              <w:t>；枯水期</w:t>
            </w:r>
            <w:r>
              <w:rPr>
                <w:rFonts w:hint="eastAsia" w:hAnsi="Times New Roman" w:eastAsia="宋体"/>
                <w:kern w:val="2"/>
                <w:sz w:val="21"/>
                <w:szCs w:val="21"/>
                <w:lang w:eastAsia="zh-CN"/>
              </w:rPr>
              <w:sym w:font="Wingdings 2" w:char="0052"/>
            </w:r>
            <w:r>
              <w:rPr>
                <w:rFonts w:hint="eastAsia" w:hAnsi="Times New Roman" w:eastAsia="宋体"/>
                <w:kern w:val="2"/>
                <w:sz w:val="21"/>
                <w:szCs w:val="21"/>
                <w:lang w:eastAsia="zh-CN"/>
              </w:rPr>
              <w:t>；冰封期□春季□；夏季□；秋季□；冬季</w:t>
            </w:r>
            <w:r>
              <w:rPr>
                <w:rFonts w:hint="eastAsia" w:hAnsi="Times New Roman" w:eastAsia="宋体"/>
                <w:kern w:val="2"/>
                <w:sz w:val="21"/>
                <w:szCs w:val="21"/>
                <w:lang w:eastAsia="zh-CN"/>
              </w:rPr>
              <w:sym w:font="Wingdings 2" w:char="0052"/>
            </w:r>
          </w:p>
        </w:tc>
        <w:tc>
          <w:tcPr>
            <w:tcW w:w="3322" w:type="dxa"/>
            <w:gridSpan w:val="4"/>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r>
              <w:rPr>
                <w:rFonts w:hint="eastAsia" w:hAnsi="Times New Roman" w:eastAsia="宋体"/>
                <w:spacing w:val="-2"/>
                <w:kern w:val="2"/>
                <w:sz w:val="21"/>
                <w:szCs w:val="21"/>
              </w:rPr>
              <w:t>pH、悬浮物、化学需氧量、五日生化需氧量、氨氮、溶解氧、石油类、铁、锰、氟化物、硫化物、汞、镉、六价铬、总磷、挥发酚、氰化物、铜、硒、粪大肠菌群、阴离子表面活性剂、高锰酸盐指数、铅、砷、锌、含盐量</w:t>
            </w:r>
            <w:r>
              <w:rPr>
                <w:rFonts w:hint="eastAsia" w:hAnsi="Times New Roman" w:eastAsia="宋体"/>
                <w:kern w:val="2"/>
                <w:sz w:val="21"/>
                <w:szCs w:val="21"/>
                <w:lang w:eastAsia="zh-CN"/>
              </w:rPr>
              <w:t>）</w:t>
            </w:r>
          </w:p>
        </w:tc>
        <w:tc>
          <w:tcPr>
            <w:tcW w:w="1461"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监测断面或点位个数</w:t>
            </w:r>
          </w:p>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391" w:type="dxa"/>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现状评价</w:t>
            </w:r>
          </w:p>
        </w:tc>
        <w:tc>
          <w:tcPr>
            <w:tcW w:w="165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评价范围</w:t>
            </w:r>
          </w:p>
        </w:tc>
        <w:tc>
          <w:tcPr>
            <w:tcW w:w="7212" w:type="dxa"/>
            <w:gridSpan w:val="8"/>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河流：长度（1.5）km；湖库、河口及近岸海域：面积（）km</w:t>
            </w:r>
            <w:r>
              <w:rPr>
                <w:rFonts w:hint="eastAsia" w:hAnsi="Times New Roman" w:eastAsia="宋体"/>
                <w:kern w:val="2"/>
                <w:sz w:val="21"/>
                <w:szCs w:val="21"/>
                <w:vertAlign w:val="superscript"/>
                <w:lang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391"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p>
        </w:tc>
        <w:tc>
          <w:tcPr>
            <w:tcW w:w="165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评价因子</w:t>
            </w:r>
          </w:p>
        </w:tc>
        <w:tc>
          <w:tcPr>
            <w:tcW w:w="7212" w:type="dxa"/>
            <w:gridSpan w:val="8"/>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r>
              <w:rPr>
                <w:rFonts w:hint="eastAsia" w:hAnsi="Times New Roman" w:eastAsia="宋体"/>
                <w:spacing w:val="-2"/>
                <w:kern w:val="2"/>
                <w:sz w:val="21"/>
                <w:szCs w:val="21"/>
              </w:rPr>
              <w:t>pH、悬浮物、化学需氧量、五日生化需氧量、氨氮、溶解氧、石油类、铁、锰、氟化物、硫化物、汞、镉、六价铬、总磷、挥发酚、氰化物、铜、硒、粪大肠菌群、阴离子表面活性剂、高锰酸盐指数、铅、砷、锌、含盐量</w:t>
            </w: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391"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p>
        </w:tc>
        <w:tc>
          <w:tcPr>
            <w:tcW w:w="165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评价标准</w:t>
            </w:r>
          </w:p>
        </w:tc>
        <w:tc>
          <w:tcPr>
            <w:tcW w:w="7212" w:type="dxa"/>
            <w:gridSpan w:val="8"/>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河流、湖库、河口：Ⅰ类□；Ⅱ类□；Ⅲ类</w:t>
            </w:r>
            <w:r>
              <w:rPr>
                <w:rFonts w:hint="eastAsia" w:hAnsi="Times New Roman" w:eastAsia="宋体"/>
                <w:kern w:val="2"/>
                <w:sz w:val="21"/>
                <w:szCs w:val="21"/>
                <w:lang w:eastAsia="zh-CN"/>
              </w:rPr>
              <w:sym w:font="Wingdings 2" w:char="0052"/>
            </w:r>
            <w:r>
              <w:rPr>
                <w:rFonts w:hint="eastAsia" w:hAnsi="Times New Roman" w:eastAsia="宋体"/>
                <w:kern w:val="2"/>
                <w:sz w:val="21"/>
                <w:szCs w:val="21"/>
                <w:lang w:eastAsia="zh-CN"/>
              </w:rPr>
              <w:t>；Ⅳ类□；Ⅴ类□</w:t>
            </w:r>
          </w:p>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近岸海域：第一类□；第二类□；第三类□；第四类□</w:t>
            </w:r>
          </w:p>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规划年评价标准（）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391"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p>
        </w:tc>
        <w:tc>
          <w:tcPr>
            <w:tcW w:w="165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评价时期</w:t>
            </w:r>
          </w:p>
        </w:tc>
        <w:tc>
          <w:tcPr>
            <w:tcW w:w="7212" w:type="dxa"/>
            <w:gridSpan w:val="8"/>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丰水期</w:t>
            </w:r>
            <w:r>
              <w:rPr>
                <w:rFonts w:hint="eastAsia" w:hAnsi="Times New Roman" w:eastAsia="宋体"/>
                <w:kern w:val="2"/>
                <w:sz w:val="21"/>
                <w:szCs w:val="21"/>
                <w:lang w:eastAsia="zh-CN"/>
              </w:rPr>
              <w:sym w:font="Wingdings 2" w:char="00A3"/>
            </w:r>
            <w:r>
              <w:rPr>
                <w:rFonts w:hint="eastAsia" w:hAnsi="Times New Roman" w:eastAsia="宋体"/>
                <w:kern w:val="2"/>
                <w:sz w:val="21"/>
                <w:szCs w:val="21"/>
                <w:lang w:eastAsia="zh-CN"/>
              </w:rPr>
              <w:t>；平水期</w:t>
            </w:r>
            <w:r>
              <w:rPr>
                <w:rFonts w:hint="eastAsia" w:hAnsi="Times New Roman" w:eastAsia="宋体"/>
                <w:kern w:val="2"/>
                <w:sz w:val="21"/>
                <w:szCs w:val="21"/>
                <w:lang w:eastAsia="zh-CN"/>
              </w:rPr>
              <w:sym w:font="Wingdings 2" w:char="00A3"/>
            </w:r>
            <w:r>
              <w:rPr>
                <w:rFonts w:hint="eastAsia" w:hAnsi="Times New Roman" w:eastAsia="宋体"/>
                <w:kern w:val="2"/>
                <w:sz w:val="21"/>
                <w:szCs w:val="21"/>
                <w:lang w:eastAsia="zh-CN"/>
              </w:rPr>
              <w:t>；枯水期</w:t>
            </w:r>
            <w:r>
              <w:rPr>
                <w:rFonts w:hint="eastAsia" w:hAnsi="Times New Roman" w:eastAsia="宋体"/>
                <w:kern w:val="2"/>
                <w:sz w:val="21"/>
                <w:szCs w:val="21"/>
                <w:lang w:eastAsia="zh-CN"/>
              </w:rPr>
              <w:sym w:font="Wingdings 2" w:char="0052"/>
            </w:r>
            <w:r>
              <w:rPr>
                <w:rFonts w:hint="eastAsia" w:hAnsi="Times New Roman" w:eastAsia="宋体"/>
                <w:kern w:val="2"/>
                <w:sz w:val="21"/>
                <w:szCs w:val="21"/>
                <w:lang w:eastAsia="zh-CN"/>
              </w:rPr>
              <w:t>；冰封期□</w:t>
            </w:r>
          </w:p>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春季□；夏季□；秋季□；冬季</w:t>
            </w:r>
            <w:r>
              <w:rPr>
                <w:rFonts w:hint="eastAsia" w:hAnsi="Times New Roman" w:eastAsia="宋体"/>
                <w:kern w:val="2"/>
                <w:sz w:val="21"/>
                <w:szCs w:val="21"/>
                <w:lang w:eastAsia="zh-CN"/>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391"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p>
        </w:tc>
        <w:tc>
          <w:tcPr>
            <w:tcW w:w="165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评价结论</w:t>
            </w:r>
          </w:p>
        </w:tc>
        <w:tc>
          <w:tcPr>
            <w:tcW w:w="5751" w:type="dxa"/>
            <w:gridSpan w:val="7"/>
            <w:vAlign w:val="center"/>
          </w:tcPr>
          <w:p>
            <w:pPr>
              <w:keepNext w:val="0"/>
              <w:keepLines w:val="0"/>
              <w:suppressLineNumbers w:val="0"/>
              <w:spacing w:before="0" w:beforeAutospacing="0" w:after="0" w:afterAutospacing="0" w:line="240" w:lineRule="exact"/>
              <w:ind w:left="0" w:right="0" w:firstLine="420" w:firstLineChars="200"/>
              <w:rPr>
                <w:rFonts w:hint="eastAsia" w:hAnsi="Times New Roman" w:eastAsia="宋体"/>
                <w:kern w:val="2"/>
                <w:sz w:val="21"/>
                <w:szCs w:val="21"/>
                <w:lang w:eastAsia="zh-CN"/>
              </w:rPr>
            </w:pPr>
            <w:r>
              <w:rPr>
                <w:rFonts w:hint="eastAsia" w:hAnsi="Times New Roman" w:eastAsia="宋体"/>
                <w:kern w:val="2"/>
                <w:sz w:val="21"/>
                <w:szCs w:val="21"/>
                <w:lang w:eastAsia="zh-CN"/>
              </w:rPr>
              <w:t>水环境功能区或水功能区、近岸海域环境功能区水质达标状况：达标</w:t>
            </w:r>
            <w:r>
              <w:rPr>
                <w:rFonts w:hint="eastAsia" w:hAnsi="Times New Roman" w:eastAsia="宋体"/>
                <w:kern w:val="2"/>
                <w:sz w:val="21"/>
                <w:szCs w:val="21"/>
                <w:lang w:eastAsia="zh-CN"/>
              </w:rPr>
              <w:sym w:font="Wingdings 2" w:char="0052"/>
            </w:r>
            <w:r>
              <w:rPr>
                <w:rFonts w:hint="eastAsia" w:hAnsi="Times New Roman" w:eastAsia="宋体"/>
                <w:kern w:val="2"/>
                <w:sz w:val="21"/>
                <w:szCs w:val="21"/>
                <w:lang w:eastAsia="zh-CN"/>
              </w:rPr>
              <w:t>；不达标□</w:t>
            </w:r>
          </w:p>
          <w:p>
            <w:pPr>
              <w:keepNext w:val="0"/>
              <w:keepLines w:val="0"/>
              <w:suppressLineNumbers w:val="0"/>
              <w:spacing w:before="0" w:beforeAutospacing="0" w:after="0" w:afterAutospacing="0" w:line="240" w:lineRule="exact"/>
              <w:ind w:left="0" w:right="0" w:firstLine="420" w:firstLineChars="200"/>
              <w:rPr>
                <w:rFonts w:hint="eastAsia" w:hAnsi="Times New Roman" w:eastAsia="宋体"/>
                <w:kern w:val="2"/>
                <w:sz w:val="21"/>
                <w:szCs w:val="21"/>
                <w:lang w:eastAsia="zh-CN"/>
              </w:rPr>
            </w:pPr>
            <w:r>
              <w:rPr>
                <w:rFonts w:hint="eastAsia" w:hAnsi="Times New Roman" w:eastAsia="宋体"/>
                <w:kern w:val="2"/>
                <w:sz w:val="21"/>
                <w:szCs w:val="21"/>
                <w:lang w:eastAsia="zh-CN"/>
              </w:rPr>
              <w:t>水环境控制单元或断面水质达标状况：达标</w:t>
            </w:r>
            <w:r>
              <w:rPr>
                <w:rFonts w:hint="eastAsia" w:hAnsi="Times New Roman" w:eastAsia="宋体"/>
                <w:kern w:val="2"/>
                <w:sz w:val="21"/>
                <w:szCs w:val="21"/>
                <w:lang w:eastAsia="zh-CN"/>
              </w:rPr>
              <w:sym w:font="Wingdings 2" w:char="0052"/>
            </w:r>
            <w:r>
              <w:rPr>
                <w:rFonts w:hint="eastAsia" w:hAnsi="Times New Roman" w:eastAsia="宋体"/>
                <w:kern w:val="2"/>
                <w:sz w:val="21"/>
                <w:szCs w:val="21"/>
                <w:lang w:eastAsia="zh-CN"/>
              </w:rPr>
              <w:t>；不达标□</w:t>
            </w:r>
          </w:p>
          <w:p>
            <w:pPr>
              <w:keepNext w:val="0"/>
              <w:keepLines w:val="0"/>
              <w:suppressLineNumbers w:val="0"/>
              <w:spacing w:before="0" w:beforeAutospacing="0" w:after="0" w:afterAutospacing="0" w:line="240" w:lineRule="exact"/>
              <w:ind w:left="0" w:right="0" w:firstLine="420" w:firstLineChars="200"/>
              <w:rPr>
                <w:rFonts w:hint="eastAsia" w:hAnsi="Times New Roman" w:eastAsia="宋体"/>
                <w:kern w:val="2"/>
                <w:sz w:val="21"/>
                <w:szCs w:val="21"/>
                <w:lang w:eastAsia="zh-CN"/>
              </w:rPr>
            </w:pPr>
            <w:r>
              <w:rPr>
                <w:rFonts w:hint="eastAsia" w:hAnsi="Times New Roman" w:eastAsia="宋体"/>
                <w:kern w:val="2"/>
                <w:sz w:val="21"/>
                <w:szCs w:val="21"/>
                <w:lang w:eastAsia="zh-CN"/>
              </w:rPr>
              <w:t>水环境保护目标质量状况：达标</w:t>
            </w:r>
            <w:r>
              <w:rPr>
                <w:rFonts w:hint="eastAsia" w:hAnsi="Times New Roman" w:eastAsia="宋体"/>
                <w:kern w:val="2"/>
                <w:sz w:val="21"/>
                <w:szCs w:val="21"/>
                <w:lang w:eastAsia="zh-CN"/>
              </w:rPr>
              <w:sym w:font="Wingdings 2" w:char="0052"/>
            </w:r>
            <w:r>
              <w:rPr>
                <w:rFonts w:hint="eastAsia" w:hAnsi="Times New Roman" w:eastAsia="宋体"/>
                <w:kern w:val="2"/>
                <w:sz w:val="21"/>
                <w:szCs w:val="21"/>
                <w:lang w:eastAsia="zh-CN"/>
              </w:rPr>
              <w:t>；不达标□</w:t>
            </w:r>
          </w:p>
          <w:p>
            <w:pPr>
              <w:keepNext w:val="0"/>
              <w:keepLines w:val="0"/>
              <w:suppressLineNumbers w:val="0"/>
              <w:spacing w:before="0" w:beforeAutospacing="0" w:after="0" w:afterAutospacing="0" w:line="240" w:lineRule="exact"/>
              <w:ind w:left="0" w:right="0" w:firstLine="420" w:firstLineChars="200"/>
              <w:rPr>
                <w:rFonts w:hint="eastAsia" w:hAnsi="Times New Roman" w:eastAsia="宋体"/>
                <w:kern w:val="2"/>
                <w:sz w:val="21"/>
                <w:szCs w:val="21"/>
                <w:lang w:eastAsia="zh-CN"/>
              </w:rPr>
            </w:pPr>
            <w:r>
              <w:rPr>
                <w:rFonts w:hint="eastAsia" w:hAnsi="Times New Roman" w:eastAsia="宋体"/>
                <w:kern w:val="2"/>
                <w:sz w:val="21"/>
                <w:szCs w:val="21"/>
                <w:lang w:eastAsia="zh-CN"/>
              </w:rPr>
              <w:t>对照断面、控制断面等代表性断面的水质状况：达标</w:t>
            </w:r>
            <w:r>
              <w:rPr>
                <w:rFonts w:hint="eastAsia" w:hAnsi="Times New Roman" w:eastAsia="宋体"/>
                <w:kern w:val="2"/>
                <w:sz w:val="21"/>
                <w:szCs w:val="21"/>
                <w:lang w:eastAsia="zh-CN"/>
              </w:rPr>
              <w:sym w:font="Wingdings 2" w:char="0052"/>
            </w:r>
            <w:r>
              <w:rPr>
                <w:rFonts w:hint="eastAsia" w:hAnsi="Times New Roman" w:eastAsia="宋体"/>
                <w:kern w:val="2"/>
                <w:sz w:val="21"/>
                <w:szCs w:val="21"/>
                <w:lang w:eastAsia="zh-CN"/>
              </w:rPr>
              <w:t>；不达标</w:t>
            </w:r>
            <w:r>
              <w:rPr>
                <w:rFonts w:hint="eastAsia" w:hAnsi="Times New Roman" w:eastAsia="宋体"/>
                <w:kern w:val="2"/>
                <w:sz w:val="21"/>
                <w:szCs w:val="21"/>
                <w:lang w:eastAsia="zh-CN"/>
              </w:rPr>
              <w:sym w:font="Wingdings 2" w:char="00A3"/>
            </w:r>
          </w:p>
          <w:p>
            <w:pPr>
              <w:keepNext w:val="0"/>
              <w:keepLines w:val="0"/>
              <w:suppressLineNumbers w:val="0"/>
              <w:spacing w:before="0" w:beforeAutospacing="0" w:after="0" w:afterAutospacing="0" w:line="240" w:lineRule="exact"/>
              <w:ind w:left="0" w:right="0" w:firstLine="420" w:firstLineChars="200"/>
              <w:rPr>
                <w:rFonts w:hint="eastAsia" w:hAnsi="Times New Roman" w:eastAsia="宋体"/>
                <w:kern w:val="2"/>
                <w:sz w:val="21"/>
                <w:szCs w:val="21"/>
                <w:lang w:eastAsia="zh-CN"/>
              </w:rPr>
            </w:pPr>
            <w:r>
              <w:rPr>
                <w:rFonts w:hint="eastAsia" w:hAnsi="Times New Roman" w:eastAsia="宋体"/>
                <w:kern w:val="2"/>
                <w:sz w:val="21"/>
                <w:szCs w:val="21"/>
                <w:lang w:eastAsia="zh-CN"/>
              </w:rPr>
              <w:t>底泥污染评价□</w:t>
            </w:r>
          </w:p>
          <w:p>
            <w:pPr>
              <w:keepNext w:val="0"/>
              <w:keepLines w:val="0"/>
              <w:suppressLineNumbers w:val="0"/>
              <w:spacing w:before="0" w:beforeAutospacing="0" w:after="0" w:afterAutospacing="0" w:line="240" w:lineRule="exact"/>
              <w:ind w:left="0" w:right="0" w:firstLine="420" w:firstLineChars="200"/>
              <w:rPr>
                <w:rFonts w:hint="eastAsia" w:hAnsi="Times New Roman" w:eastAsia="宋体"/>
                <w:kern w:val="2"/>
                <w:sz w:val="21"/>
                <w:szCs w:val="21"/>
                <w:lang w:eastAsia="zh-CN"/>
              </w:rPr>
            </w:pPr>
            <w:r>
              <w:rPr>
                <w:rFonts w:hint="eastAsia" w:hAnsi="Times New Roman" w:eastAsia="宋体"/>
                <w:kern w:val="2"/>
                <w:sz w:val="21"/>
                <w:szCs w:val="21"/>
                <w:lang w:eastAsia="zh-CN"/>
              </w:rPr>
              <w:t>水资源与开发利用程度及其水文情势评价□</w:t>
            </w:r>
          </w:p>
          <w:p>
            <w:pPr>
              <w:keepNext w:val="0"/>
              <w:keepLines w:val="0"/>
              <w:suppressLineNumbers w:val="0"/>
              <w:spacing w:before="0" w:beforeAutospacing="0" w:after="0" w:afterAutospacing="0" w:line="240" w:lineRule="exact"/>
              <w:ind w:left="0" w:right="0" w:firstLine="420" w:firstLineChars="200"/>
              <w:rPr>
                <w:rFonts w:hint="eastAsia" w:hAnsi="Times New Roman" w:eastAsia="宋体"/>
                <w:kern w:val="2"/>
                <w:sz w:val="21"/>
                <w:szCs w:val="21"/>
                <w:lang w:eastAsia="zh-CN"/>
              </w:rPr>
            </w:pPr>
            <w:r>
              <w:rPr>
                <w:rFonts w:hint="eastAsia" w:hAnsi="Times New Roman" w:eastAsia="宋体"/>
                <w:kern w:val="2"/>
                <w:sz w:val="21"/>
                <w:szCs w:val="21"/>
                <w:lang w:eastAsia="zh-CN"/>
              </w:rPr>
              <w:t>水环境质量回顾评价□</w:t>
            </w:r>
          </w:p>
          <w:p>
            <w:pPr>
              <w:keepNext w:val="0"/>
              <w:keepLines w:val="0"/>
              <w:suppressLineNumbers w:val="0"/>
              <w:spacing w:before="0" w:beforeAutospacing="0" w:after="0" w:afterAutospacing="0" w:line="240" w:lineRule="exact"/>
              <w:ind w:left="0" w:right="0" w:firstLine="420" w:firstLineChars="200"/>
              <w:rPr>
                <w:rFonts w:hint="eastAsia" w:hAnsi="Times New Roman" w:eastAsia="宋体"/>
                <w:kern w:val="2"/>
                <w:sz w:val="21"/>
                <w:szCs w:val="21"/>
                <w:lang w:eastAsia="zh-CN"/>
              </w:rPr>
            </w:pPr>
            <w:r>
              <w:rPr>
                <w:rFonts w:hint="eastAsia" w:hAnsi="Times New Roman" w:eastAsia="宋体"/>
                <w:kern w:val="2"/>
                <w:sz w:val="21"/>
                <w:szCs w:val="21"/>
                <w:lang w:eastAsia="zh-CN"/>
              </w:rPr>
              <w:t>流域（区域）水资源（包括水能资源）与开发利用总体状况、生态流量管理要求与现状满足程度、建设项目占用水域空间的水流状况与河湖演变状况□</w:t>
            </w:r>
          </w:p>
          <w:p>
            <w:pPr>
              <w:keepNext w:val="0"/>
              <w:keepLines w:val="0"/>
              <w:suppressLineNumbers w:val="0"/>
              <w:spacing w:before="0" w:beforeAutospacing="0" w:after="0" w:afterAutospacing="0" w:line="240" w:lineRule="exact"/>
              <w:ind w:left="0" w:right="0" w:firstLine="420" w:firstLineChars="200"/>
              <w:rPr>
                <w:rFonts w:hint="eastAsia" w:hAnsi="Times New Roman" w:eastAsia="宋体"/>
                <w:kern w:val="2"/>
                <w:sz w:val="21"/>
                <w:szCs w:val="21"/>
                <w:lang w:eastAsia="zh-CN"/>
              </w:rPr>
            </w:pPr>
            <w:r>
              <w:rPr>
                <w:rFonts w:hint="eastAsia" w:hAnsi="Times New Roman" w:eastAsia="宋体"/>
                <w:kern w:val="2"/>
                <w:sz w:val="21"/>
                <w:szCs w:val="21"/>
                <w:lang w:eastAsia="zh-CN"/>
              </w:rPr>
              <w:t>依托污水处理设施稳定达标排放评价□</w:t>
            </w:r>
          </w:p>
        </w:tc>
        <w:tc>
          <w:tcPr>
            <w:tcW w:w="1461"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达标区</w:t>
            </w:r>
            <w:r>
              <w:rPr>
                <w:rFonts w:hint="eastAsia" w:hAnsi="Times New Roman" w:eastAsia="宋体"/>
                <w:kern w:val="2"/>
                <w:sz w:val="21"/>
                <w:szCs w:val="21"/>
                <w:lang w:eastAsia="zh-CN"/>
              </w:rPr>
              <w:sym w:font="Wingdings 2" w:char="0052"/>
            </w:r>
          </w:p>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不达标区□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391" w:type="dxa"/>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影响预测</w:t>
            </w:r>
          </w:p>
        </w:tc>
        <w:tc>
          <w:tcPr>
            <w:tcW w:w="165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预测范围</w:t>
            </w:r>
          </w:p>
        </w:tc>
        <w:tc>
          <w:tcPr>
            <w:tcW w:w="7212" w:type="dxa"/>
            <w:gridSpan w:val="8"/>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河流：长度（1.5）km；湖库、河口及近岸海域：面积（）km</w:t>
            </w:r>
            <w:r>
              <w:rPr>
                <w:rFonts w:hint="eastAsia" w:hAnsi="Times New Roman" w:eastAsia="宋体"/>
                <w:kern w:val="2"/>
                <w:sz w:val="21"/>
                <w:szCs w:val="21"/>
                <w:vertAlign w:val="superscript"/>
                <w:lang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391"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p>
        </w:tc>
        <w:tc>
          <w:tcPr>
            <w:tcW w:w="165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预测因子</w:t>
            </w:r>
          </w:p>
        </w:tc>
        <w:tc>
          <w:tcPr>
            <w:tcW w:w="7212" w:type="dxa"/>
            <w:gridSpan w:val="8"/>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391"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p>
        </w:tc>
        <w:tc>
          <w:tcPr>
            <w:tcW w:w="165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预测时期</w:t>
            </w:r>
          </w:p>
        </w:tc>
        <w:tc>
          <w:tcPr>
            <w:tcW w:w="7212" w:type="dxa"/>
            <w:gridSpan w:val="8"/>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丰水期</w:t>
            </w:r>
            <w:r>
              <w:rPr>
                <w:rFonts w:hint="eastAsia" w:hAnsi="Times New Roman" w:eastAsia="宋体"/>
                <w:kern w:val="2"/>
                <w:sz w:val="21"/>
                <w:szCs w:val="21"/>
                <w:lang w:eastAsia="zh-CN"/>
              </w:rPr>
              <w:sym w:font="Wingdings 2" w:char="00A3"/>
            </w:r>
            <w:r>
              <w:rPr>
                <w:rFonts w:hint="eastAsia" w:hAnsi="Times New Roman" w:eastAsia="宋体"/>
                <w:kern w:val="2"/>
                <w:sz w:val="21"/>
                <w:szCs w:val="21"/>
                <w:lang w:eastAsia="zh-CN"/>
              </w:rPr>
              <w:t>；平水期</w:t>
            </w:r>
            <w:r>
              <w:rPr>
                <w:rFonts w:hint="eastAsia" w:hAnsi="Times New Roman" w:eastAsia="宋体"/>
                <w:kern w:val="2"/>
                <w:sz w:val="21"/>
                <w:szCs w:val="21"/>
                <w:lang w:eastAsia="zh-CN"/>
              </w:rPr>
              <w:sym w:font="Wingdings 2" w:char="00A3"/>
            </w:r>
            <w:r>
              <w:rPr>
                <w:rFonts w:hint="eastAsia" w:hAnsi="Times New Roman" w:eastAsia="宋体"/>
                <w:kern w:val="2"/>
                <w:sz w:val="21"/>
                <w:szCs w:val="21"/>
                <w:lang w:eastAsia="zh-CN"/>
              </w:rPr>
              <w:t>；枯水期</w:t>
            </w:r>
            <w:r>
              <w:rPr>
                <w:rFonts w:hint="eastAsia" w:hAnsi="Times New Roman" w:eastAsia="宋体"/>
                <w:kern w:val="2"/>
                <w:sz w:val="21"/>
                <w:szCs w:val="21"/>
                <w:lang w:eastAsia="zh-CN"/>
              </w:rPr>
              <w:sym w:font="Wingdings 2" w:char="0052"/>
            </w:r>
            <w:r>
              <w:rPr>
                <w:rFonts w:hint="eastAsia" w:hAnsi="Times New Roman" w:eastAsia="宋体"/>
                <w:kern w:val="2"/>
                <w:sz w:val="21"/>
                <w:szCs w:val="21"/>
                <w:lang w:eastAsia="zh-CN"/>
              </w:rPr>
              <w:t>；冰封期□</w:t>
            </w:r>
          </w:p>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春季□；夏季□；秋季□；冬季□</w:t>
            </w:r>
          </w:p>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设计水文条件□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391"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p>
        </w:tc>
        <w:tc>
          <w:tcPr>
            <w:tcW w:w="165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预测背景</w:t>
            </w:r>
          </w:p>
        </w:tc>
        <w:tc>
          <w:tcPr>
            <w:tcW w:w="7212" w:type="dxa"/>
            <w:gridSpan w:val="8"/>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建设期</w:t>
            </w:r>
            <w:r>
              <w:rPr>
                <w:rFonts w:hint="eastAsia" w:hAnsi="Times New Roman" w:eastAsia="宋体"/>
                <w:kern w:val="2"/>
                <w:sz w:val="21"/>
                <w:szCs w:val="21"/>
                <w:lang w:eastAsia="zh-CN"/>
              </w:rPr>
              <w:sym w:font="Wingdings 2" w:char="00A3"/>
            </w:r>
            <w:r>
              <w:rPr>
                <w:rFonts w:hint="eastAsia" w:hAnsi="Times New Roman" w:eastAsia="宋体"/>
                <w:kern w:val="2"/>
                <w:sz w:val="21"/>
                <w:szCs w:val="21"/>
                <w:lang w:eastAsia="zh-CN"/>
              </w:rPr>
              <w:t>；生产运行期</w:t>
            </w:r>
            <w:r>
              <w:rPr>
                <w:rFonts w:hint="eastAsia" w:hAnsi="Times New Roman" w:eastAsia="宋体"/>
                <w:kern w:val="2"/>
                <w:sz w:val="21"/>
                <w:szCs w:val="21"/>
                <w:lang w:eastAsia="zh-CN"/>
              </w:rPr>
              <w:sym w:font="Wingdings 2" w:char="0052"/>
            </w:r>
            <w:r>
              <w:rPr>
                <w:rFonts w:hint="eastAsia" w:hAnsi="Times New Roman" w:eastAsia="宋体"/>
                <w:kern w:val="2"/>
                <w:sz w:val="21"/>
                <w:szCs w:val="21"/>
                <w:lang w:eastAsia="zh-CN"/>
              </w:rPr>
              <w:t>；服务期满后□</w:t>
            </w:r>
          </w:p>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正常工况</w:t>
            </w:r>
            <w:r>
              <w:rPr>
                <w:rFonts w:hint="eastAsia" w:hAnsi="Times New Roman" w:eastAsia="宋体"/>
                <w:kern w:val="2"/>
                <w:sz w:val="21"/>
                <w:szCs w:val="21"/>
                <w:lang w:eastAsia="zh-CN"/>
              </w:rPr>
              <w:sym w:font="Wingdings 2" w:char="0052"/>
            </w:r>
            <w:r>
              <w:rPr>
                <w:rFonts w:hint="eastAsia" w:hAnsi="Times New Roman" w:eastAsia="宋体"/>
                <w:kern w:val="2"/>
                <w:sz w:val="21"/>
                <w:szCs w:val="21"/>
                <w:lang w:eastAsia="zh-CN"/>
              </w:rPr>
              <w:t>；非正常工况</w:t>
            </w:r>
            <w:r>
              <w:rPr>
                <w:rFonts w:hint="eastAsia" w:hAnsi="Times New Roman" w:eastAsia="宋体"/>
                <w:kern w:val="2"/>
                <w:sz w:val="21"/>
                <w:szCs w:val="21"/>
                <w:lang w:eastAsia="zh-CN"/>
              </w:rPr>
              <w:sym w:font="Wingdings 2" w:char="0052"/>
            </w:r>
          </w:p>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污染控制和减缓措施方案□</w:t>
            </w:r>
          </w:p>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区（流）域环境质量改善目标要求情景□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391"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p>
        </w:tc>
        <w:tc>
          <w:tcPr>
            <w:tcW w:w="165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预测方法</w:t>
            </w:r>
          </w:p>
        </w:tc>
        <w:tc>
          <w:tcPr>
            <w:tcW w:w="7212" w:type="dxa"/>
            <w:gridSpan w:val="8"/>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数值解□：解析解□；其他</w:t>
            </w:r>
            <w:r>
              <w:rPr>
                <w:rFonts w:hint="eastAsia" w:hAnsi="Times New Roman" w:eastAsia="宋体"/>
                <w:kern w:val="2"/>
                <w:sz w:val="21"/>
                <w:szCs w:val="21"/>
                <w:lang w:eastAsia="zh-CN"/>
              </w:rPr>
              <w:sym w:font="Wingdings 2" w:char="0052"/>
            </w:r>
          </w:p>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导则推荐模式□：其他□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391" w:type="dxa"/>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影响评价</w:t>
            </w:r>
          </w:p>
        </w:tc>
        <w:tc>
          <w:tcPr>
            <w:tcW w:w="165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水污染控制和水环境影响减缓措施有效性评价</w:t>
            </w:r>
          </w:p>
        </w:tc>
        <w:tc>
          <w:tcPr>
            <w:tcW w:w="7212" w:type="dxa"/>
            <w:gridSpan w:val="8"/>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区（流）域水环境质量改善目标□；替代削减源□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391"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p>
        </w:tc>
        <w:tc>
          <w:tcPr>
            <w:tcW w:w="165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水环境影响评价</w:t>
            </w:r>
          </w:p>
        </w:tc>
        <w:tc>
          <w:tcPr>
            <w:tcW w:w="7212" w:type="dxa"/>
            <w:gridSpan w:val="8"/>
            <w:vAlign w:val="center"/>
          </w:tcPr>
          <w:p>
            <w:pPr>
              <w:keepNext w:val="0"/>
              <w:keepLines w:val="0"/>
              <w:suppressLineNumbers w:val="0"/>
              <w:spacing w:before="0" w:beforeAutospacing="0" w:after="0" w:afterAutospacing="0" w:line="240" w:lineRule="exact"/>
              <w:ind w:left="0" w:right="0" w:firstLine="420" w:firstLineChars="200"/>
              <w:rPr>
                <w:rFonts w:hint="eastAsia" w:hAnsi="Times New Roman" w:eastAsia="宋体"/>
                <w:kern w:val="2"/>
                <w:sz w:val="21"/>
                <w:szCs w:val="21"/>
                <w:lang w:eastAsia="zh-CN"/>
              </w:rPr>
            </w:pPr>
            <w:r>
              <w:rPr>
                <w:rFonts w:hint="eastAsia" w:hAnsi="Times New Roman" w:eastAsia="宋体"/>
                <w:kern w:val="2"/>
                <w:sz w:val="21"/>
                <w:szCs w:val="21"/>
                <w:lang w:eastAsia="zh-CN"/>
              </w:rPr>
              <w:t>排放口混合区外满足水环境管理要求</w:t>
            </w:r>
            <w:r>
              <w:rPr>
                <w:rFonts w:hint="eastAsia" w:hAnsi="Times New Roman" w:eastAsia="宋体"/>
                <w:kern w:val="2"/>
                <w:sz w:val="21"/>
                <w:szCs w:val="21"/>
                <w:lang w:eastAsia="zh-CN"/>
              </w:rPr>
              <w:sym w:font="Wingdings 2" w:char="0052"/>
            </w:r>
          </w:p>
          <w:p>
            <w:pPr>
              <w:keepNext w:val="0"/>
              <w:keepLines w:val="0"/>
              <w:suppressLineNumbers w:val="0"/>
              <w:spacing w:before="0" w:beforeAutospacing="0" w:after="0" w:afterAutospacing="0" w:line="240" w:lineRule="exact"/>
              <w:ind w:left="0" w:right="0" w:firstLine="420" w:firstLineChars="200"/>
              <w:rPr>
                <w:rFonts w:hint="eastAsia" w:hAnsi="Times New Roman" w:eastAsia="宋体"/>
                <w:kern w:val="2"/>
                <w:sz w:val="21"/>
                <w:szCs w:val="21"/>
                <w:lang w:eastAsia="zh-CN"/>
              </w:rPr>
            </w:pPr>
            <w:r>
              <w:rPr>
                <w:rFonts w:hint="eastAsia" w:hAnsi="Times New Roman" w:eastAsia="宋体"/>
                <w:kern w:val="2"/>
                <w:sz w:val="21"/>
                <w:szCs w:val="21"/>
                <w:lang w:eastAsia="zh-CN"/>
              </w:rPr>
              <w:t>水环境功能区或水功能区、近岸海域环境功能区水质达标□</w:t>
            </w:r>
          </w:p>
          <w:p>
            <w:pPr>
              <w:keepNext w:val="0"/>
              <w:keepLines w:val="0"/>
              <w:suppressLineNumbers w:val="0"/>
              <w:spacing w:before="0" w:beforeAutospacing="0" w:after="0" w:afterAutospacing="0" w:line="240" w:lineRule="exact"/>
              <w:ind w:left="0" w:right="0" w:firstLine="420" w:firstLineChars="200"/>
              <w:rPr>
                <w:rFonts w:hint="eastAsia" w:hAnsi="Times New Roman" w:eastAsia="宋体"/>
                <w:kern w:val="2"/>
                <w:sz w:val="21"/>
                <w:szCs w:val="21"/>
                <w:lang w:eastAsia="zh-CN"/>
              </w:rPr>
            </w:pPr>
            <w:r>
              <w:rPr>
                <w:rFonts w:hint="eastAsia" w:hAnsi="Times New Roman" w:eastAsia="宋体"/>
                <w:kern w:val="2"/>
                <w:sz w:val="21"/>
                <w:szCs w:val="21"/>
                <w:lang w:eastAsia="zh-CN"/>
              </w:rPr>
              <w:t>满足水环境保护目标水域水环境质量要求□</w:t>
            </w:r>
          </w:p>
          <w:p>
            <w:pPr>
              <w:keepNext w:val="0"/>
              <w:keepLines w:val="0"/>
              <w:suppressLineNumbers w:val="0"/>
              <w:spacing w:before="0" w:beforeAutospacing="0" w:after="0" w:afterAutospacing="0" w:line="240" w:lineRule="exact"/>
              <w:ind w:left="0" w:right="0" w:firstLine="420" w:firstLineChars="200"/>
              <w:rPr>
                <w:rFonts w:hint="eastAsia" w:hAnsi="Times New Roman" w:eastAsia="宋体"/>
                <w:kern w:val="2"/>
                <w:sz w:val="21"/>
                <w:szCs w:val="21"/>
                <w:lang w:eastAsia="zh-CN"/>
              </w:rPr>
            </w:pPr>
            <w:r>
              <w:rPr>
                <w:rFonts w:hint="eastAsia" w:hAnsi="Times New Roman" w:eastAsia="宋体"/>
                <w:kern w:val="2"/>
                <w:sz w:val="21"/>
                <w:szCs w:val="21"/>
                <w:lang w:eastAsia="zh-CN"/>
              </w:rPr>
              <w:t>水环境控制单元或断面水质达标□</w:t>
            </w:r>
          </w:p>
          <w:p>
            <w:pPr>
              <w:keepNext w:val="0"/>
              <w:keepLines w:val="0"/>
              <w:suppressLineNumbers w:val="0"/>
              <w:spacing w:before="0" w:beforeAutospacing="0" w:after="0" w:afterAutospacing="0" w:line="240" w:lineRule="exact"/>
              <w:ind w:left="0" w:right="0" w:firstLine="420" w:firstLineChars="200"/>
              <w:rPr>
                <w:rFonts w:hint="eastAsia" w:hAnsi="Times New Roman" w:eastAsia="宋体"/>
                <w:kern w:val="2"/>
                <w:sz w:val="21"/>
                <w:szCs w:val="21"/>
                <w:lang w:eastAsia="zh-CN"/>
              </w:rPr>
            </w:pPr>
            <w:r>
              <w:rPr>
                <w:rFonts w:hint="eastAsia" w:hAnsi="Times New Roman" w:eastAsia="宋体"/>
                <w:kern w:val="2"/>
                <w:sz w:val="21"/>
                <w:szCs w:val="21"/>
                <w:lang w:eastAsia="zh-CN"/>
              </w:rPr>
              <w:t>满足重点水污染物排放总量控制指标要求，重点行业建设项目，主要污染物排放满足等量或减量替代要求□</w:t>
            </w:r>
          </w:p>
          <w:p>
            <w:pPr>
              <w:keepNext w:val="0"/>
              <w:keepLines w:val="0"/>
              <w:suppressLineNumbers w:val="0"/>
              <w:spacing w:before="0" w:beforeAutospacing="0" w:after="0" w:afterAutospacing="0" w:line="240" w:lineRule="exact"/>
              <w:ind w:left="0" w:right="0" w:firstLine="420" w:firstLineChars="200"/>
              <w:rPr>
                <w:rFonts w:hint="eastAsia" w:hAnsi="Times New Roman" w:eastAsia="宋体"/>
                <w:kern w:val="2"/>
                <w:sz w:val="21"/>
                <w:szCs w:val="21"/>
                <w:lang w:eastAsia="zh-CN"/>
              </w:rPr>
            </w:pPr>
            <w:r>
              <w:rPr>
                <w:rFonts w:hint="eastAsia" w:hAnsi="Times New Roman" w:eastAsia="宋体"/>
                <w:kern w:val="2"/>
                <w:sz w:val="21"/>
                <w:szCs w:val="21"/>
                <w:lang w:eastAsia="zh-CN"/>
              </w:rPr>
              <w:t>满足区（流）域水环境质量改善目标要求□</w:t>
            </w:r>
          </w:p>
          <w:p>
            <w:pPr>
              <w:keepNext w:val="0"/>
              <w:keepLines w:val="0"/>
              <w:suppressLineNumbers w:val="0"/>
              <w:spacing w:before="0" w:beforeAutospacing="0" w:after="0" w:afterAutospacing="0" w:line="240" w:lineRule="exact"/>
              <w:ind w:left="0" w:right="0" w:firstLine="420" w:firstLineChars="200"/>
              <w:rPr>
                <w:rFonts w:hint="eastAsia" w:hAnsi="Times New Roman" w:eastAsia="宋体"/>
                <w:kern w:val="2"/>
                <w:sz w:val="21"/>
                <w:szCs w:val="21"/>
                <w:lang w:eastAsia="zh-CN"/>
              </w:rPr>
            </w:pPr>
            <w:r>
              <w:rPr>
                <w:rFonts w:hint="eastAsia" w:hAnsi="Times New Roman" w:eastAsia="宋体"/>
                <w:kern w:val="2"/>
                <w:sz w:val="21"/>
                <w:szCs w:val="21"/>
                <w:lang w:eastAsia="zh-CN"/>
              </w:rPr>
              <w:t>水文要素影响型建设项目同时应包括水文情势变化评价、主要水文特征值影响评价、生态流量符合性评价□</w:t>
            </w:r>
          </w:p>
          <w:p>
            <w:pPr>
              <w:keepNext w:val="0"/>
              <w:keepLines w:val="0"/>
              <w:suppressLineNumbers w:val="0"/>
              <w:spacing w:before="0" w:beforeAutospacing="0" w:after="0" w:afterAutospacing="0" w:line="240" w:lineRule="exact"/>
              <w:ind w:left="0" w:right="0" w:firstLine="420" w:firstLineChars="200"/>
              <w:rPr>
                <w:rFonts w:hint="eastAsia" w:hAnsi="Times New Roman" w:eastAsia="宋体"/>
                <w:kern w:val="2"/>
                <w:sz w:val="21"/>
                <w:szCs w:val="21"/>
                <w:lang w:eastAsia="zh-CN"/>
              </w:rPr>
            </w:pPr>
            <w:r>
              <w:rPr>
                <w:rFonts w:hint="eastAsia" w:hAnsi="Times New Roman" w:eastAsia="宋体"/>
                <w:kern w:val="2"/>
                <w:sz w:val="21"/>
                <w:szCs w:val="21"/>
                <w:lang w:eastAsia="zh-CN"/>
              </w:rPr>
              <w:t>对于新设或调整入河（湖库、近岸海域）排放口的建设项目，应包括排放口设置的环境合理性评价□</w:t>
            </w:r>
          </w:p>
          <w:p>
            <w:pPr>
              <w:keepNext w:val="0"/>
              <w:keepLines w:val="0"/>
              <w:suppressLineNumbers w:val="0"/>
              <w:spacing w:before="0" w:beforeAutospacing="0" w:after="0" w:afterAutospacing="0" w:line="240" w:lineRule="exact"/>
              <w:ind w:left="0" w:right="0" w:firstLine="420" w:firstLineChars="200"/>
              <w:rPr>
                <w:rFonts w:hint="eastAsia" w:hAnsi="Times New Roman" w:eastAsia="宋体"/>
                <w:kern w:val="2"/>
                <w:sz w:val="21"/>
                <w:szCs w:val="21"/>
                <w:lang w:eastAsia="zh-CN"/>
              </w:rPr>
            </w:pPr>
            <w:r>
              <w:rPr>
                <w:rFonts w:hint="eastAsia" w:hAnsi="Times New Roman" w:eastAsia="宋体"/>
                <w:kern w:val="2"/>
                <w:sz w:val="21"/>
                <w:szCs w:val="21"/>
                <w:lang w:eastAsia="zh-CN"/>
              </w:rPr>
              <w:t>满足生态保护红线、水环境质量底线、资源利用上线和环境准入清单管理要求□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391"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p>
        </w:tc>
        <w:tc>
          <w:tcPr>
            <w:tcW w:w="1657" w:type="dxa"/>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污染物排放量核算</w:t>
            </w:r>
          </w:p>
        </w:tc>
        <w:tc>
          <w:tcPr>
            <w:tcW w:w="2429" w:type="dxa"/>
            <w:gridSpan w:val="3"/>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污染物名称</w:t>
            </w:r>
          </w:p>
        </w:tc>
        <w:tc>
          <w:tcPr>
            <w:tcW w:w="1544" w:type="dxa"/>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排放量/（t/a）</w:t>
            </w:r>
          </w:p>
        </w:tc>
        <w:tc>
          <w:tcPr>
            <w:tcW w:w="3239" w:type="dxa"/>
            <w:gridSpan w:val="3"/>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排放浓度/（mg/L）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391"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p>
        </w:tc>
        <w:tc>
          <w:tcPr>
            <w:tcW w:w="1657"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p>
        </w:tc>
        <w:tc>
          <w:tcPr>
            <w:tcW w:w="2429" w:type="dxa"/>
            <w:gridSpan w:val="3"/>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（COD、</w:t>
            </w:r>
            <w:r>
              <w:rPr>
                <w:rFonts w:hint="eastAsia" w:hAnsi="Times New Roman" w:eastAsia="宋体"/>
                <w:spacing w:val="-1"/>
                <w:kern w:val="2"/>
                <w:sz w:val="21"/>
                <w:szCs w:val="21"/>
                <w:lang w:eastAsia="zh-CN"/>
              </w:rPr>
              <w:t>NH</w:t>
            </w:r>
            <w:r>
              <w:rPr>
                <w:rFonts w:hint="eastAsia" w:hAnsi="Times New Roman" w:eastAsia="宋体"/>
                <w:spacing w:val="-1"/>
                <w:kern w:val="2"/>
                <w:sz w:val="21"/>
                <w:szCs w:val="21"/>
                <w:vertAlign w:val="subscript"/>
                <w:lang w:eastAsia="zh-CN"/>
              </w:rPr>
              <w:t>3</w:t>
            </w:r>
            <w:r>
              <w:rPr>
                <w:rFonts w:hint="eastAsia" w:hAnsi="Times New Roman" w:eastAsia="宋体"/>
                <w:spacing w:val="-1"/>
                <w:kern w:val="2"/>
                <w:sz w:val="21"/>
                <w:szCs w:val="21"/>
                <w:lang w:eastAsia="zh-CN"/>
              </w:rPr>
              <w:t>-N、SS</w:t>
            </w:r>
            <w:r>
              <w:rPr>
                <w:rFonts w:hint="eastAsia" w:hAnsi="Times New Roman" w:eastAsia="宋体"/>
                <w:kern w:val="2"/>
                <w:sz w:val="21"/>
                <w:szCs w:val="21"/>
                <w:lang w:eastAsia="zh-CN"/>
              </w:rPr>
              <w:t>）</w:t>
            </w:r>
          </w:p>
        </w:tc>
        <w:tc>
          <w:tcPr>
            <w:tcW w:w="1544" w:type="dxa"/>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r>
              <w:rPr>
                <w:rFonts w:hint="eastAsia" w:hAnsi="Times New Roman" w:eastAsia="宋体"/>
                <w:spacing w:val="-1"/>
                <w:kern w:val="2"/>
                <w:sz w:val="21"/>
                <w:szCs w:val="21"/>
                <w:lang w:eastAsia="zh-CN"/>
              </w:rPr>
              <w:t>13.22、0.15、23.13</w:t>
            </w:r>
            <w:r>
              <w:rPr>
                <w:rFonts w:hint="eastAsia" w:hAnsi="Times New Roman" w:eastAsia="宋体"/>
                <w:kern w:val="2"/>
                <w:sz w:val="21"/>
                <w:szCs w:val="21"/>
                <w:lang w:eastAsia="zh-CN"/>
              </w:rPr>
              <w:t>）</w:t>
            </w:r>
          </w:p>
        </w:tc>
        <w:tc>
          <w:tcPr>
            <w:tcW w:w="3239" w:type="dxa"/>
            <w:gridSpan w:val="3"/>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（12、0.133、21）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391"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p>
        </w:tc>
        <w:tc>
          <w:tcPr>
            <w:tcW w:w="165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替代源排放情况</w:t>
            </w:r>
          </w:p>
        </w:tc>
        <w:tc>
          <w:tcPr>
            <w:tcW w:w="1214"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污染源名称</w:t>
            </w:r>
          </w:p>
        </w:tc>
        <w:tc>
          <w:tcPr>
            <w:tcW w:w="1215" w:type="dxa"/>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排污许可证编号</w:t>
            </w:r>
          </w:p>
        </w:tc>
        <w:tc>
          <w:tcPr>
            <w:tcW w:w="1544" w:type="dxa"/>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污染物名称</w:t>
            </w:r>
          </w:p>
        </w:tc>
        <w:tc>
          <w:tcPr>
            <w:tcW w:w="1778" w:type="dxa"/>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排放量/（t/a）</w:t>
            </w:r>
          </w:p>
        </w:tc>
        <w:tc>
          <w:tcPr>
            <w:tcW w:w="1461"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排放浓度/（mg/L）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391"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p>
        </w:tc>
        <w:tc>
          <w:tcPr>
            <w:tcW w:w="165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p>
        </w:tc>
        <w:tc>
          <w:tcPr>
            <w:tcW w:w="1214"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215" w:type="dxa"/>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544" w:type="dxa"/>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778" w:type="dxa"/>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461"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391"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p>
        </w:tc>
        <w:tc>
          <w:tcPr>
            <w:tcW w:w="165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生态流量确定</w:t>
            </w:r>
          </w:p>
        </w:tc>
        <w:tc>
          <w:tcPr>
            <w:tcW w:w="7212" w:type="dxa"/>
            <w:gridSpan w:val="8"/>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生态流量：一般水期（）m</w:t>
            </w:r>
            <w:r>
              <w:rPr>
                <w:rFonts w:hint="eastAsia" w:hAnsi="Times New Roman" w:eastAsia="宋体"/>
                <w:kern w:val="2"/>
                <w:sz w:val="21"/>
                <w:szCs w:val="21"/>
                <w:vertAlign w:val="superscript"/>
                <w:lang w:eastAsia="zh-CN"/>
              </w:rPr>
              <w:t>3</w:t>
            </w:r>
            <w:r>
              <w:rPr>
                <w:rFonts w:hint="eastAsia" w:hAnsi="Times New Roman" w:eastAsia="宋体"/>
                <w:kern w:val="2"/>
                <w:sz w:val="21"/>
                <w:szCs w:val="21"/>
                <w:lang w:eastAsia="zh-CN"/>
              </w:rPr>
              <w:t>/s；鱼类繁殖期（）m</w:t>
            </w:r>
            <w:r>
              <w:rPr>
                <w:rFonts w:hint="eastAsia" w:hAnsi="Times New Roman" w:eastAsia="宋体"/>
                <w:kern w:val="2"/>
                <w:sz w:val="21"/>
                <w:szCs w:val="21"/>
                <w:vertAlign w:val="superscript"/>
                <w:lang w:eastAsia="zh-CN"/>
              </w:rPr>
              <w:t>3</w:t>
            </w:r>
            <w:r>
              <w:rPr>
                <w:rFonts w:hint="eastAsia" w:hAnsi="Times New Roman" w:eastAsia="宋体"/>
                <w:kern w:val="2"/>
                <w:sz w:val="21"/>
                <w:szCs w:val="21"/>
                <w:lang w:eastAsia="zh-CN"/>
              </w:rPr>
              <w:t>/s；其他（）m</w:t>
            </w:r>
            <w:r>
              <w:rPr>
                <w:rFonts w:hint="eastAsia" w:hAnsi="Times New Roman" w:eastAsia="宋体"/>
                <w:kern w:val="2"/>
                <w:sz w:val="21"/>
                <w:szCs w:val="21"/>
                <w:vertAlign w:val="superscript"/>
                <w:lang w:eastAsia="zh-CN"/>
              </w:rPr>
              <w:t>3</w:t>
            </w:r>
            <w:r>
              <w:rPr>
                <w:rFonts w:hint="eastAsia" w:hAnsi="Times New Roman" w:eastAsia="宋体"/>
                <w:kern w:val="2"/>
                <w:sz w:val="21"/>
                <w:szCs w:val="21"/>
                <w:lang w:eastAsia="zh-CN"/>
              </w:rPr>
              <w:t>/s</w:t>
            </w:r>
          </w:p>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生态水位：一般水期（）m；鱼类繁殖期（）m；其他（）m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391" w:type="dxa"/>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防治措施</w:t>
            </w:r>
          </w:p>
        </w:tc>
        <w:tc>
          <w:tcPr>
            <w:tcW w:w="3973" w:type="dxa"/>
            <w:gridSpan w:val="3"/>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环保措施</w:t>
            </w:r>
          </w:p>
        </w:tc>
        <w:tc>
          <w:tcPr>
            <w:tcW w:w="4896" w:type="dxa"/>
            <w:gridSpan w:val="6"/>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 xml:space="preserve">污水处理设施 □；水文减缓设施 □；生态流量保障设施 □；区域削减 □；依托其他工程措施 □；其他 </w:t>
            </w:r>
            <w:r>
              <w:rPr>
                <w:rFonts w:hint="eastAsia" w:hAnsi="Times New Roman" w:eastAsia="宋体"/>
                <w:kern w:val="2"/>
                <w:sz w:val="21"/>
                <w:szCs w:val="21"/>
                <w:lang w:eastAsia="zh-CN"/>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391"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p>
        </w:tc>
        <w:tc>
          <w:tcPr>
            <w:tcW w:w="3973" w:type="dxa"/>
            <w:gridSpan w:val="3"/>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监测计划</w:t>
            </w:r>
          </w:p>
        </w:tc>
        <w:tc>
          <w:tcPr>
            <w:tcW w:w="677" w:type="dxa"/>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p>
        </w:tc>
        <w:tc>
          <w:tcPr>
            <w:tcW w:w="1655" w:type="dxa"/>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环境质量</w:t>
            </w:r>
          </w:p>
        </w:tc>
        <w:tc>
          <w:tcPr>
            <w:tcW w:w="2564" w:type="dxa"/>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污染源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391"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p>
        </w:tc>
        <w:tc>
          <w:tcPr>
            <w:tcW w:w="3973" w:type="dxa"/>
            <w:gridSpan w:val="3"/>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p>
        </w:tc>
        <w:tc>
          <w:tcPr>
            <w:tcW w:w="677" w:type="dxa"/>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监测方式</w:t>
            </w:r>
          </w:p>
        </w:tc>
        <w:tc>
          <w:tcPr>
            <w:tcW w:w="1655" w:type="dxa"/>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手动</w:t>
            </w:r>
            <w:r>
              <w:rPr>
                <w:rFonts w:hint="eastAsia" w:hAnsi="Times New Roman" w:eastAsia="宋体"/>
                <w:kern w:val="2"/>
                <w:sz w:val="21"/>
                <w:szCs w:val="21"/>
                <w:lang w:eastAsia="zh-CN"/>
              </w:rPr>
              <w:sym w:font="Wingdings 2" w:char="0052"/>
            </w:r>
            <w:r>
              <w:rPr>
                <w:rFonts w:hint="eastAsia" w:hAnsi="Times New Roman" w:eastAsia="宋体"/>
                <w:kern w:val="2"/>
                <w:sz w:val="21"/>
                <w:szCs w:val="21"/>
                <w:lang w:eastAsia="zh-CN"/>
              </w:rPr>
              <w:t>；自动□；无监测</w:t>
            </w:r>
            <w:r>
              <w:rPr>
                <w:rFonts w:hint="eastAsia" w:hAnsi="Times New Roman" w:eastAsia="宋体"/>
                <w:kern w:val="2"/>
                <w:sz w:val="21"/>
                <w:szCs w:val="21"/>
                <w:lang w:eastAsia="zh-CN"/>
              </w:rPr>
              <w:sym w:font="Wingdings 2" w:char="00A3"/>
            </w:r>
          </w:p>
        </w:tc>
        <w:tc>
          <w:tcPr>
            <w:tcW w:w="2564" w:type="dxa"/>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手动</w:t>
            </w:r>
            <w:r>
              <w:rPr>
                <w:rFonts w:hint="eastAsia" w:hAnsi="Times New Roman" w:eastAsia="宋体"/>
                <w:kern w:val="2"/>
                <w:sz w:val="21"/>
                <w:szCs w:val="21"/>
                <w:lang w:eastAsia="zh-CN"/>
              </w:rPr>
              <w:sym w:font="Wingdings 2" w:char="0052"/>
            </w:r>
            <w:r>
              <w:rPr>
                <w:rFonts w:hint="eastAsia" w:hAnsi="Times New Roman" w:eastAsia="宋体"/>
                <w:kern w:val="2"/>
                <w:sz w:val="21"/>
                <w:szCs w:val="21"/>
                <w:lang w:eastAsia="zh-CN"/>
              </w:rPr>
              <w:t>；自动</w:t>
            </w:r>
            <w:r>
              <w:rPr>
                <w:rFonts w:hint="eastAsia" w:hAnsi="Times New Roman" w:eastAsia="宋体"/>
                <w:kern w:val="2"/>
                <w:sz w:val="21"/>
                <w:szCs w:val="21"/>
                <w:lang w:eastAsia="zh-CN"/>
              </w:rPr>
              <w:sym w:font="Wingdings 2" w:char="0052"/>
            </w:r>
            <w:r>
              <w:rPr>
                <w:rFonts w:hint="eastAsia" w:hAnsi="Times New Roman" w:eastAsia="宋体"/>
                <w:kern w:val="2"/>
                <w:sz w:val="21"/>
                <w:szCs w:val="21"/>
                <w:lang w:eastAsia="zh-CN"/>
              </w:rPr>
              <w:t>；无监测□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391"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p>
        </w:tc>
        <w:tc>
          <w:tcPr>
            <w:tcW w:w="3973" w:type="dxa"/>
            <w:gridSpan w:val="3"/>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p>
        </w:tc>
        <w:tc>
          <w:tcPr>
            <w:tcW w:w="677" w:type="dxa"/>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监测点位</w:t>
            </w:r>
          </w:p>
        </w:tc>
        <w:tc>
          <w:tcPr>
            <w:tcW w:w="1655" w:type="dxa"/>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2564" w:type="dxa"/>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（企业总排口）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391"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p>
        </w:tc>
        <w:tc>
          <w:tcPr>
            <w:tcW w:w="3973" w:type="dxa"/>
            <w:gridSpan w:val="3"/>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p>
        </w:tc>
        <w:tc>
          <w:tcPr>
            <w:tcW w:w="677" w:type="dxa"/>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监测因子</w:t>
            </w:r>
          </w:p>
        </w:tc>
        <w:tc>
          <w:tcPr>
            <w:tcW w:w="1655" w:type="dxa"/>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2564" w:type="dxa"/>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（pH、SS、COD、石油类、氟化物、总铁）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391"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p>
        </w:tc>
        <w:tc>
          <w:tcPr>
            <w:tcW w:w="3973" w:type="dxa"/>
            <w:gridSpan w:val="3"/>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污染物排放清单</w:t>
            </w:r>
          </w:p>
        </w:tc>
        <w:tc>
          <w:tcPr>
            <w:tcW w:w="4896" w:type="dxa"/>
            <w:gridSpan w:val="6"/>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4364" w:type="dxa"/>
            <w:gridSpan w:val="4"/>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评价结论</w:t>
            </w:r>
          </w:p>
        </w:tc>
        <w:tc>
          <w:tcPr>
            <w:tcW w:w="4896" w:type="dxa"/>
            <w:gridSpan w:val="6"/>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可以接受</w:t>
            </w:r>
            <w:r>
              <w:rPr>
                <w:rFonts w:hint="eastAsia" w:hAnsi="Times New Roman" w:eastAsia="宋体"/>
                <w:kern w:val="2"/>
                <w:sz w:val="21"/>
                <w:szCs w:val="21"/>
                <w:lang w:eastAsia="zh-CN"/>
              </w:rPr>
              <w:sym w:font="Wingdings 2" w:char="0052"/>
            </w:r>
            <w:r>
              <w:rPr>
                <w:rFonts w:hint="eastAsia" w:hAnsi="Times New Roman" w:eastAsia="宋体"/>
                <w:kern w:val="2"/>
                <w:sz w:val="21"/>
                <w:szCs w:val="21"/>
                <w:lang w:eastAsia="zh-CN"/>
              </w:rPr>
              <w:t>；不可以接受□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9260" w:type="dxa"/>
            <w:gridSpan w:val="10"/>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注：“□”为勾选项，可打√；“（）”为内容填写项；“备注”为其他补充内容。</w:t>
            </w:r>
          </w:p>
        </w:tc>
      </w:tr>
    </w:tbl>
    <w:p>
      <w:pPr>
        <w:spacing w:line="360" w:lineRule="auto"/>
        <w:ind w:firstLine="480" w:firstLineChars="200"/>
        <w:rPr>
          <w:rFonts w:hAnsi="Times New Roman" w:eastAsia="宋体"/>
          <w:lang w:eastAsia="zh-CN"/>
        </w:rPr>
        <w:sectPr>
          <w:footerReference r:id="rId13" w:type="default"/>
          <w:pgSz w:w="11905" w:h="16838"/>
          <w:pgMar w:top="1440" w:right="1304" w:bottom="1440" w:left="1474" w:header="850" w:footer="992" w:gutter="0"/>
          <w:cols w:space="0" w:num="1"/>
          <w:docGrid w:type="lines" w:linePitch="338" w:charSpace="0"/>
        </w:sectPr>
      </w:pPr>
    </w:p>
    <w:p>
      <w:pPr>
        <w:pStyle w:val="4"/>
        <w:rPr>
          <w:lang w:eastAsia="zh-CN"/>
        </w:rPr>
      </w:pPr>
      <w:bookmarkStart w:id="462" w:name="_Toc167095261"/>
      <w:bookmarkStart w:id="463" w:name="_Toc163749183"/>
      <w:r>
        <w:rPr>
          <w:lang w:eastAsia="zh-CN"/>
        </w:rPr>
        <w:t>7 大气环境影响评价</w:t>
      </w:r>
      <w:bookmarkEnd w:id="462"/>
      <w:bookmarkEnd w:id="463"/>
    </w:p>
    <w:p>
      <w:pPr>
        <w:pStyle w:val="5"/>
        <w:rPr>
          <w:rFonts w:ascii="Times New Roman" w:hAnsi="Times New Roman"/>
          <w:lang w:eastAsia="zh-CN"/>
        </w:rPr>
      </w:pPr>
      <w:bookmarkStart w:id="464" w:name="_Toc167095262"/>
      <w:bookmarkStart w:id="465" w:name="_Toc163749184"/>
      <w:r>
        <w:rPr>
          <w:rFonts w:ascii="Times New Roman" w:hAnsi="Times New Roman"/>
          <w:lang w:eastAsia="zh-CN"/>
        </w:rPr>
        <w:t>7.1 建设期大气环境影响及防治措施</w:t>
      </w:r>
      <w:bookmarkEnd w:id="464"/>
      <w:bookmarkEnd w:id="465"/>
    </w:p>
    <w:p>
      <w:pPr>
        <w:kinsoku w:val="0"/>
        <w:overflowPunct w:val="0"/>
        <w:autoSpaceDE w:val="0"/>
        <w:autoSpaceDN w:val="0"/>
        <w:adjustRightInd w:val="0"/>
        <w:spacing w:before="9"/>
        <w:ind w:left="226" w:firstLine="480"/>
        <w:rPr>
          <w:rFonts w:hAnsi="Times New Roman" w:eastAsia="宋体"/>
        </w:rPr>
      </w:pPr>
      <w:r>
        <w:rPr>
          <w:rFonts w:hAnsi="Times New Roman" w:eastAsia="宋体"/>
        </w:rPr>
        <w:t>建设期大气污染物主要是来自施工产生的扬尘。</w:t>
      </w:r>
    </w:p>
    <w:p>
      <w:pPr>
        <w:pStyle w:val="6"/>
        <w:rPr>
          <w:lang w:eastAsia="zh-CN"/>
        </w:rPr>
      </w:pPr>
      <w:bookmarkStart w:id="466" w:name="_Toc167095263"/>
      <w:bookmarkStart w:id="467" w:name="_Toc163812640"/>
      <w:r>
        <w:rPr>
          <w:lang w:eastAsia="zh-CN"/>
        </w:rPr>
        <w:t>7.1.1 施工扬尘</w:t>
      </w:r>
      <w:bookmarkEnd w:id="466"/>
      <w:bookmarkEnd w:id="467"/>
    </w:p>
    <w:p>
      <w:pPr>
        <w:spacing w:line="360" w:lineRule="auto"/>
        <w:ind w:firstLine="480" w:firstLineChars="200"/>
        <w:rPr>
          <w:rFonts w:hAnsi="Times New Roman" w:eastAsia="宋体"/>
          <w:lang w:eastAsia="zh-CN"/>
        </w:rPr>
      </w:pPr>
      <w:r>
        <w:rPr>
          <w:rFonts w:hAnsi="Times New Roman" w:eastAsia="宋体"/>
          <w:lang w:eastAsia="zh-CN"/>
        </w:rPr>
        <w:t>施工期大气污染因子主要是扬尘。其对周围环境的污染程度取决于施工方式及风力等因素，以风力因素的影响最大。颗粒沉降的速率可用斯托克斯定律计算出，见下式：</w:t>
      </w:r>
    </w:p>
    <w:p>
      <w:pPr>
        <w:spacing w:line="360" w:lineRule="auto"/>
        <w:ind w:firstLine="400" w:firstLineChars="200"/>
        <w:jc w:val="center"/>
        <w:rPr>
          <w:rFonts w:hAnsi="Times New Roman" w:eastAsia="宋体"/>
          <w:b/>
          <w:bCs/>
          <w:highlight w:val="yellow"/>
          <w:lang w:eastAsia="zh-CN"/>
        </w:rPr>
      </w:pPr>
      <w:r>
        <w:rPr>
          <w:rFonts w:hAnsi="Times New Roman" w:eastAsia="宋体"/>
          <w:sz w:val="20"/>
        </w:rPr>
        <w:drawing>
          <wp:inline distT="0" distB="0" distL="114300" distR="114300">
            <wp:extent cx="1276350" cy="589915"/>
            <wp:effectExtent l="0" t="0" r="0" b="0"/>
            <wp:docPr id="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
                    <pic:cNvPicPr>
                      <a:picLocks noChangeAspect="1"/>
                    </pic:cNvPicPr>
                  </pic:nvPicPr>
                  <pic:blipFill>
                    <a:blip r:embed="rId241"/>
                    <a:stretch>
                      <a:fillRect/>
                    </a:stretch>
                  </pic:blipFill>
                  <pic:spPr>
                    <a:xfrm>
                      <a:off x="0" y="0"/>
                      <a:ext cx="1276350" cy="589915"/>
                    </a:xfrm>
                    <a:prstGeom prst="rect">
                      <a:avLst/>
                    </a:prstGeom>
                    <a:noFill/>
                    <a:ln>
                      <a:noFill/>
                    </a:ln>
                  </pic:spPr>
                </pic:pic>
              </a:graphicData>
            </a:graphic>
          </wp:inline>
        </w:drawing>
      </w:r>
    </w:p>
    <w:p>
      <w:pPr>
        <w:pStyle w:val="14"/>
        <w:kinsoku w:val="0"/>
        <w:overflowPunct w:val="0"/>
        <w:spacing w:before="73" w:line="328" w:lineRule="auto"/>
        <w:ind w:left="687" w:right="3265"/>
        <w:rPr>
          <w:rFonts w:ascii="Times New Roman" w:hAnsi="Times New Roman"/>
          <w:spacing w:val="-1"/>
          <w:sz w:val="24"/>
        </w:rPr>
      </w:pPr>
      <w:r>
        <w:rPr>
          <w:rFonts w:ascii="Times New Roman" w:hAnsi="Times New Roman"/>
          <w:spacing w:val="-1"/>
          <w:sz w:val="24"/>
        </w:rPr>
        <w:t>其中：v：沉降速度，cm/s</w:t>
      </w:r>
    </w:p>
    <w:p>
      <w:pPr>
        <w:pStyle w:val="14"/>
        <w:kinsoku w:val="0"/>
        <w:overflowPunct w:val="0"/>
        <w:spacing w:before="73" w:line="328" w:lineRule="auto"/>
        <w:ind w:left="687" w:right="3265" w:firstLine="714" w:firstLineChars="300"/>
        <w:rPr>
          <w:rFonts w:ascii="Times New Roman" w:hAnsi="Times New Roman"/>
          <w:spacing w:val="-1"/>
          <w:sz w:val="24"/>
        </w:rPr>
      </w:pPr>
      <w:r>
        <w:rPr>
          <w:rFonts w:ascii="Times New Roman" w:hAnsi="Times New Roman"/>
          <w:spacing w:val="-1"/>
          <w:sz w:val="24"/>
        </w:rPr>
        <w:t>g：重力加速度，cm/s</w:t>
      </w:r>
      <w:r>
        <w:rPr>
          <w:rFonts w:ascii="Times New Roman" w:hAnsi="Times New Roman"/>
          <w:spacing w:val="-1"/>
          <w:sz w:val="24"/>
          <w:vertAlign w:val="superscript"/>
        </w:rPr>
        <w:t>2</w:t>
      </w:r>
      <w:r>
        <w:rPr>
          <w:rFonts w:ascii="Times New Roman" w:hAnsi="Times New Roman"/>
          <w:spacing w:val="-1"/>
          <w:sz w:val="24"/>
        </w:rPr>
        <w:t xml:space="preserve"> </w:t>
      </w:r>
    </w:p>
    <w:p>
      <w:pPr>
        <w:pStyle w:val="14"/>
        <w:kinsoku w:val="0"/>
        <w:overflowPunct w:val="0"/>
        <w:spacing w:before="73" w:line="328" w:lineRule="auto"/>
        <w:ind w:left="687" w:right="3265" w:firstLine="714" w:firstLineChars="300"/>
        <w:rPr>
          <w:rFonts w:ascii="Times New Roman" w:hAnsi="Times New Roman"/>
          <w:spacing w:val="-1"/>
          <w:sz w:val="24"/>
        </w:rPr>
      </w:pPr>
      <w:r>
        <w:rPr>
          <w:rFonts w:ascii="Times New Roman" w:hAnsi="Times New Roman"/>
          <w:spacing w:val="-1"/>
          <w:sz w:val="24"/>
        </w:rPr>
        <w:t>d：粒径，cm</w:t>
      </w:r>
    </w:p>
    <w:p>
      <w:pPr>
        <w:pStyle w:val="14"/>
        <w:kinsoku w:val="0"/>
        <w:overflowPunct w:val="0"/>
        <w:spacing w:before="73" w:line="328" w:lineRule="auto"/>
        <w:ind w:left="687" w:right="3265" w:firstLine="714" w:firstLineChars="300"/>
        <w:rPr>
          <w:rFonts w:ascii="Times New Roman" w:hAnsi="Times New Roman"/>
          <w:spacing w:val="-1"/>
          <w:sz w:val="24"/>
        </w:rPr>
      </w:pPr>
      <w:r>
        <w:rPr>
          <w:rFonts w:ascii="Times New Roman" w:hAnsi="Times New Roman"/>
          <w:spacing w:val="-1"/>
          <w:sz w:val="24"/>
        </w:rPr>
        <w:t>ρ</w:t>
      </w:r>
      <w:r>
        <w:rPr>
          <w:rFonts w:ascii="Times New Roman" w:hAnsi="Times New Roman"/>
          <w:spacing w:val="-1"/>
          <w:sz w:val="24"/>
          <w:vertAlign w:val="subscript"/>
          <w:lang w:eastAsia="zh-CN"/>
        </w:rPr>
        <w:t>1</w:t>
      </w:r>
      <w:r>
        <w:rPr>
          <w:rFonts w:ascii="Times New Roman" w:hAnsi="Times New Roman"/>
          <w:spacing w:val="-1"/>
          <w:sz w:val="24"/>
          <w:lang w:eastAsia="zh-CN"/>
        </w:rPr>
        <w:t>、</w:t>
      </w:r>
      <w:r>
        <w:rPr>
          <w:rFonts w:ascii="Times New Roman" w:hAnsi="Times New Roman"/>
          <w:spacing w:val="-1"/>
          <w:sz w:val="24"/>
        </w:rPr>
        <w:t>ρ</w:t>
      </w:r>
      <w:r>
        <w:rPr>
          <w:rFonts w:ascii="Times New Roman" w:hAnsi="Times New Roman"/>
          <w:spacing w:val="-1"/>
          <w:sz w:val="24"/>
          <w:vertAlign w:val="subscript"/>
          <w:lang w:eastAsia="zh-CN"/>
        </w:rPr>
        <w:t>2</w:t>
      </w:r>
      <w:r>
        <w:rPr>
          <w:rFonts w:ascii="Times New Roman" w:hAnsi="Times New Roman"/>
          <w:spacing w:val="-1"/>
          <w:sz w:val="24"/>
        </w:rPr>
        <w:t>：分别为颗粒物和空气的密度，g/cm</w:t>
      </w:r>
      <w:r>
        <w:rPr>
          <w:rFonts w:ascii="Times New Roman" w:hAnsi="Times New Roman"/>
          <w:spacing w:val="-1"/>
          <w:sz w:val="24"/>
          <w:vertAlign w:val="superscript"/>
        </w:rPr>
        <w:t>3</w:t>
      </w:r>
      <w:r>
        <w:rPr>
          <w:rFonts w:ascii="Times New Roman" w:hAnsi="Times New Roman"/>
          <w:spacing w:val="-1"/>
          <w:sz w:val="24"/>
        </w:rPr>
        <w:t xml:space="preserve"> </w:t>
      </w:r>
    </w:p>
    <w:p>
      <w:pPr>
        <w:pStyle w:val="14"/>
        <w:kinsoku w:val="0"/>
        <w:overflowPunct w:val="0"/>
        <w:spacing w:before="73" w:line="328" w:lineRule="auto"/>
        <w:ind w:left="687" w:right="3265" w:firstLine="714" w:firstLineChars="300"/>
        <w:rPr>
          <w:rFonts w:ascii="Times New Roman" w:hAnsi="Times New Roman"/>
          <w:spacing w:val="-1"/>
          <w:sz w:val="24"/>
        </w:rPr>
      </w:pPr>
      <w:r>
        <w:rPr>
          <w:rFonts w:ascii="Times New Roman" w:hAnsi="Times New Roman"/>
          <w:spacing w:val="-1"/>
          <w:sz w:val="24"/>
        </w:rPr>
        <w:t>η：空气粘度，Pas</w:t>
      </w:r>
    </w:p>
    <w:p>
      <w:pPr>
        <w:spacing w:line="360" w:lineRule="auto"/>
        <w:ind w:firstLine="480" w:firstLineChars="200"/>
        <w:rPr>
          <w:rFonts w:hAnsi="Times New Roman" w:eastAsia="宋体"/>
          <w:szCs w:val="22"/>
          <w:lang w:eastAsia="zh-CN"/>
        </w:rPr>
      </w:pPr>
      <w:r>
        <w:rPr>
          <w:rFonts w:hAnsi="Times New Roman" w:eastAsia="宋体"/>
          <w:szCs w:val="22"/>
          <w:lang w:eastAsia="zh-CN"/>
        </w:rPr>
        <w:t>由该公式可计算不同粒径颗粒的沉降时间和距离（按照初速为 1m/s，抛射角为45°计算），见表7.1-1。</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表7.1-1颗粒的沉降时间和距离</w:t>
      </w:r>
    </w:p>
    <w:tbl>
      <w:tblPr>
        <w:tblStyle w:val="3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75"/>
        <w:gridCol w:w="2349"/>
        <w:gridCol w:w="2663"/>
        <w:gridCol w:w="21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 w:hRule="atLeast"/>
        </w:trPr>
        <w:tc>
          <w:tcPr>
            <w:tcW w:w="1164" w:type="pct"/>
            <w:vAlign w:val="center"/>
          </w:tcPr>
          <w:p>
            <w:pPr>
              <w:pStyle w:val="44"/>
              <w:keepNext w:val="0"/>
              <w:keepLines w:val="0"/>
              <w:suppressLineNumbers w:val="0"/>
              <w:kinsoku w:val="0"/>
              <w:overflowPunct w:val="0"/>
              <w:spacing w:before="142" w:beforeAutospacing="0" w:after="0" w:afterAutospacing="0"/>
              <w:ind w:left="344" w:right="0"/>
              <w:jc w:val="center"/>
              <w:rPr>
                <w:rFonts w:hint="eastAsia" w:hAnsi="Times New Roman" w:eastAsia="宋体"/>
                <w:b/>
                <w:bCs/>
                <w:kern w:val="2"/>
                <w:szCs w:val="22"/>
              </w:rPr>
            </w:pPr>
            <w:r>
              <w:rPr>
                <w:rFonts w:hint="eastAsia" w:hAnsi="Times New Roman" w:eastAsia="宋体"/>
                <w:b/>
                <w:bCs/>
                <w:spacing w:val="-2"/>
                <w:kern w:val="2"/>
                <w:sz w:val="21"/>
                <w:szCs w:val="22"/>
              </w:rPr>
              <w:t>颗粒直径（μm）</w:t>
            </w:r>
          </w:p>
        </w:tc>
        <w:tc>
          <w:tcPr>
            <w:tcW w:w="1257" w:type="pct"/>
            <w:vAlign w:val="center"/>
          </w:tcPr>
          <w:p>
            <w:pPr>
              <w:pStyle w:val="44"/>
              <w:keepNext w:val="0"/>
              <w:keepLines w:val="0"/>
              <w:suppressLineNumbers w:val="0"/>
              <w:kinsoku w:val="0"/>
              <w:overflowPunct w:val="0"/>
              <w:spacing w:before="142" w:beforeAutospacing="0" w:after="0" w:afterAutospacing="0"/>
              <w:ind w:left="284" w:right="0"/>
              <w:jc w:val="center"/>
              <w:rPr>
                <w:rFonts w:hint="eastAsia" w:hAnsi="Times New Roman" w:eastAsia="宋体"/>
                <w:b/>
                <w:bCs/>
                <w:kern w:val="2"/>
                <w:szCs w:val="22"/>
              </w:rPr>
            </w:pPr>
            <w:r>
              <w:rPr>
                <w:rFonts w:hint="eastAsia" w:hAnsi="Times New Roman" w:eastAsia="宋体"/>
                <w:b/>
                <w:bCs/>
                <w:spacing w:val="-2"/>
                <w:kern w:val="2"/>
                <w:sz w:val="21"/>
                <w:szCs w:val="22"/>
              </w:rPr>
              <w:t>沉降速率（cm/s）</w:t>
            </w:r>
          </w:p>
        </w:tc>
        <w:tc>
          <w:tcPr>
            <w:tcW w:w="1425" w:type="pct"/>
            <w:vAlign w:val="center"/>
          </w:tcPr>
          <w:p>
            <w:pPr>
              <w:pStyle w:val="44"/>
              <w:keepNext w:val="0"/>
              <w:keepLines w:val="0"/>
              <w:suppressLineNumbers w:val="0"/>
              <w:kinsoku w:val="0"/>
              <w:overflowPunct w:val="0"/>
              <w:spacing w:before="0" w:beforeAutospacing="0" w:after="0" w:afterAutospacing="0" w:line="261" w:lineRule="exact"/>
              <w:ind w:left="2" w:right="0"/>
              <w:jc w:val="center"/>
              <w:rPr>
                <w:rFonts w:hint="eastAsia" w:hAnsi="Times New Roman" w:eastAsia="宋体"/>
                <w:b/>
                <w:bCs/>
                <w:kern w:val="2"/>
                <w:szCs w:val="22"/>
              </w:rPr>
            </w:pPr>
            <w:r>
              <w:rPr>
                <w:rFonts w:hint="eastAsia" w:hAnsi="Times New Roman" w:eastAsia="宋体"/>
                <w:b/>
                <w:bCs/>
                <w:spacing w:val="-1"/>
                <w:kern w:val="2"/>
                <w:sz w:val="21"/>
                <w:szCs w:val="22"/>
              </w:rPr>
              <w:t>到达地面所需要的时</w:t>
            </w:r>
            <w:r>
              <w:rPr>
                <w:rFonts w:hint="eastAsia" w:hAnsi="Times New Roman" w:eastAsia="宋体"/>
                <w:b/>
                <w:bCs/>
                <w:kern w:val="2"/>
                <w:sz w:val="21"/>
                <w:szCs w:val="22"/>
              </w:rPr>
              <w:t>间</w:t>
            </w:r>
          </w:p>
        </w:tc>
        <w:tc>
          <w:tcPr>
            <w:tcW w:w="1154" w:type="pct"/>
            <w:vAlign w:val="center"/>
          </w:tcPr>
          <w:p>
            <w:pPr>
              <w:pStyle w:val="44"/>
              <w:keepNext w:val="0"/>
              <w:keepLines w:val="0"/>
              <w:suppressLineNumbers w:val="0"/>
              <w:kinsoku w:val="0"/>
              <w:overflowPunct w:val="0"/>
              <w:spacing w:before="142" w:beforeAutospacing="0" w:after="0" w:afterAutospacing="0"/>
              <w:ind w:left="399" w:right="0"/>
              <w:jc w:val="center"/>
              <w:rPr>
                <w:rFonts w:hint="eastAsia" w:hAnsi="Times New Roman" w:eastAsia="宋体"/>
                <w:b/>
                <w:bCs/>
                <w:kern w:val="2"/>
                <w:szCs w:val="22"/>
              </w:rPr>
            </w:pPr>
            <w:r>
              <w:rPr>
                <w:rFonts w:hint="eastAsia" w:hAnsi="Times New Roman" w:eastAsia="宋体"/>
                <w:b/>
                <w:bCs/>
                <w:spacing w:val="-1"/>
                <w:kern w:val="2"/>
                <w:sz w:val="21"/>
                <w:szCs w:val="22"/>
              </w:rPr>
              <w:t>漂浮距离（m）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exact"/>
        </w:trPr>
        <w:tc>
          <w:tcPr>
            <w:tcW w:w="1164" w:type="pct"/>
          </w:tcPr>
          <w:p>
            <w:pPr>
              <w:pStyle w:val="44"/>
              <w:keepNext w:val="0"/>
              <w:keepLines w:val="0"/>
              <w:suppressLineNumbers w:val="0"/>
              <w:kinsoku w:val="0"/>
              <w:overflowPunct w:val="0"/>
              <w:spacing w:before="33" w:beforeAutospacing="0" w:after="0" w:afterAutospacing="0"/>
              <w:ind w:left="0" w:right="0"/>
              <w:jc w:val="center"/>
              <w:rPr>
                <w:rFonts w:hint="eastAsia" w:hAnsi="Times New Roman" w:eastAsia="宋体"/>
                <w:kern w:val="2"/>
                <w:szCs w:val="22"/>
              </w:rPr>
            </w:pPr>
            <w:r>
              <w:rPr>
                <w:rFonts w:hint="eastAsia" w:hAnsi="Times New Roman" w:eastAsia="宋体"/>
                <w:kern w:val="2"/>
                <w:sz w:val="21"/>
                <w:szCs w:val="22"/>
              </w:rPr>
              <w:t>0.1</w:t>
            </w:r>
          </w:p>
        </w:tc>
        <w:tc>
          <w:tcPr>
            <w:tcW w:w="1257" w:type="pct"/>
          </w:tcPr>
          <w:p>
            <w:pPr>
              <w:pStyle w:val="44"/>
              <w:keepNext w:val="0"/>
              <w:keepLines w:val="0"/>
              <w:suppressLineNumbers w:val="0"/>
              <w:kinsoku w:val="0"/>
              <w:overflowPunct w:val="0"/>
              <w:spacing w:before="0" w:beforeAutospacing="0" w:after="0" w:afterAutospacing="0" w:line="275" w:lineRule="exact"/>
              <w:ind w:left="0" w:right="0"/>
              <w:jc w:val="center"/>
              <w:rPr>
                <w:rFonts w:hint="eastAsia" w:hAnsi="Times New Roman" w:eastAsia="宋体"/>
                <w:kern w:val="2"/>
                <w:szCs w:val="22"/>
              </w:rPr>
            </w:pPr>
            <w:r>
              <w:rPr>
                <w:rFonts w:hint="eastAsia" w:hAnsi="Times New Roman" w:eastAsia="宋体"/>
                <w:spacing w:val="-1"/>
                <w:kern w:val="2"/>
                <w:sz w:val="21"/>
                <w:szCs w:val="22"/>
              </w:rPr>
              <w:t>8×10</w:t>
            </w:r>
            <w:r>
              <w:rPr>
                <w:rFonts w:hint="eastAsia" w:hAnsi="Times New Roman" w:eastAsia="宋体"/>
                <w:spacing w:val="-1"/>
                <w:kern w:val="2"/>
                <w:position w:val="10"/>
                <w:sz w:val="14"/>
                <w:szCs w:val="22"/>
              </w:rPr>
              <w:t>-5</w:t>
            </w:r>
          </w:p>
        </w:tc>
        <w:tc>
          <w:tcPr>
            <w:tcW w:w="1425" w:type="pct"/>
          </w:tcPr>
          <w:p>
            <w:pPr>
              <w:pStyle w:val="44"/>
              <w:keepNext w:val="0"/>
              <w:keepLines w:val="0"/>
              <w:suppressLineNumbers w:val="0"/>
              <w:kinsoku w:val="0"/>
              <w:overflowPunct w:val="0"/>
              <w:spacing w:before="33" w:beforeAutospacing="0" w:after="0" w:afterAutospacing="0"/>
              <w:ind w:left="0" w:right="0"/>
              <w:jc w:val="center"/>
              <w:rPr>
                <w:rFonts w:hint="eastAsia" w:hAnsi="Times New Roman" w:eastAsia="宋体"/>
                <w:kern w:val="2"/>
                <w:szCs w:val="22"/>
              </w:rPr>
            </w:pPr>
            <w:r>
              <w:rPr>
                <w:rFonts w:hint="eastAsia" w:hAnsi="Times New Roman" w:eastAsia="宋体"/>
                <w:spacing w:val="-1"/>
                <w:kern w:val="2"/>
                <w:sz w:val="21"/>
                <w:szCs w:val="22"/>
              </w:rPr>
              <w:t>13~98a</w:t>
            </w:r>
          </w:p>
        </w:tc>
        <w:tc>
          <w:tcPr>
            <w:tcW w:w="1154" w:type="pct"/>
          </w:tcPr>
          <w:p>
            <w:pPr>
              <w:pStyle w:val="44"/>
              <w:keepNext w:val="0"/>
              <w:keepLines w:val="0"/>
              <w:suppressLineNumbers w:val="0"/>
              <w:kinsoku w:val="0"/>
              <w:overflowPunct w:val="0"/>
              <w:spacing w:before="33" w:beforeAutospacing="0" w:after="0" w:afterAutospacing="0"/>
              <w:ind w:left="1" w:right="0"/>
              <w:jc w:val="center"/>
              <w:rPr>
                <w:rFonts w:hint="eastAsia" w:hAnsi="Times New Roman" w:eastAsia="宋体"/>
                <w:kern w:val="2"/>
                <w:szCs w:val="22"/>
              </w:rPr>
            </w:pPr>
            <w:r>
              <w:rPr>
                <w:rFonts w:hint="eastAsia" w:hAnsi="Times New Roman" w:eastAsia="宋体"/>
                <w:kern w:val="2"/>
                <w:sz w:val="21"/>
                <w:szCs w:val="22"/>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exact"/>
        </w:trPr>
        <w:tc>
          <w:tcPr>
            <w:tcW w:w="1164" w:type="pct"/>
          </w:tcPr>
          <w:p>
            <w:pPr>
              <w:pStyle w:val="44"/>
              <w:keepNext w:val="0"/>
              <w:keepLines w:val="0"/>
              <w:suppressLineNumbers w:val="0"/>
              <w:kinsoku w:val="0"/>
              <w:overflowPunct w:val="0"/>
              <w:spacing w:before="35" w:beforeAutospacing="0" w:after="0" w:afterAutospacing="0"/>
              <w:ind w:left="0" w:right="0"/>
              <w:jc w:val="center"/>
              <w:rPr>
                <w:rFonts w:hint="eastAsia" w:hAnsi="Times New Roman" w:eastAsia="宋体"/>
                <w:kern w:val="2"/>
                <w:szCs w:val="22"/>
              </w:rPr>
            </w:pPr>
            <w:r>
              <w:rPr>
                <w:rFonts w:hint="eastAsia" w:hAnsi="Times New Roman" w:eastAsia="宋体"/>
                <w:kern w:val="2"/>
                <w:sz w:val="21"/>
                <w:szCs w:val="22"/>
              </w:rPr>
              <w:t>1</w:t>
            </w:r>
          </w:p>
        </w:tc>
        <w:tc>
          <w:tcPr>
            <w:tcW w:w="1257" w:type="pct"/>
          </w:tcPr>
          <w:p>
            <w:pPr>
              <w:pStyle w:val="44"/>
              <w:keepNext w:val="0"/>
              <w:keepLines w:val="0"/>
              <w:suppressLineNumbers w:val="0"/>
              <w:kinsoku w:val="0"/>
              <w:overflowPunct w:val="0"/>
              <w:spacing w:before="1" w:beforeAutospacing="0" w:after="0" w:afterAutospacing="0"/>
              <w:ind w:left="0" w:right="0"/>
              <w:jc w:val="center"/>
              <w:rPr>
                <w:rFonts w:hint="eastAsia" w:hAnsi="Times New Roman" w:eastAsia="宋体"/>
                <w:kern w:val="2"/>
                <w:szCs w:val="22"/>
              </w:rPr>
            </w:pPr>
            <w:r>
              <w:rPr>
                <w:rFonts w:hint="eastAsia" w:hAnsi="Times New Roman" w:eastAsia="宋体"/>
                <w:spacing w:val="-1"/>
                <w:kern w:val="2"/>
                <w:sz w:val="21"/>
                <w:szCs w:val="22"/>
              </w:rPr>
              <w:t>4×10</w:t>
            </w:r>
            <w:r>
              <w:rPr>
                <w:rFonts w:hint="eastAsia" w:hAnsi="Times New Roman" w:eastAsia="宋体"/>
                <w:spacing w:val="-1"/>
                <w:kern w:val="2"/>
                <w:position w:val="10"/>
                <w:sz w:val="14"/>
                <w:szCs w:val="22"/>
              </w:rPr>
              <w:t>-3</w:t>
            </w:r>
          </w:p>
        </w:tc>
        <w:tc>
          <w:tcPr>
            <w:tcW w:w="1425" w:type="pct"/>
          </w:tcPr>
          <w:p>
            <w:pPr>
              <w:pStyle w:val="44"/>
              <w:keepNext w:val="0"/>
              <w:keepLines w:val="0"/>
              <w:suppressLineNumbers w:val="0"/>
              <w:kinsoku w:val="0"/>
              <w:overflowPunct w:val="0"/>
              <w:spacing w:before="35" w:beforeAutospacing="0" w:after="0" w:afterAutospacing="0"/>
              <w:ind w:left="0" w:right="0"/>
              <w:jc w:val="center"/>
              <w:rPr>
                <w:rFonts w:hint="eastAsia" w:hAnsi="Times New Roman" w:eastAsia="宋体"/>
                <w:kern w:val="2"/>
                <w:szCs w:val="22"/>
              </w:rPr>
            </w:pPr>
            <w:r>
              <w:rPr>
                <w:rFonts w:hint="eastAsia" w:hAnsi="Times New Roman" w:eastAsia="宋体"/>
                <w:spacing w:val="-1"/>
                <w:kern w:val="2"/>
                <w:sz w:val="21"/>
                <w:szCs w:val="22"/>
              </w:rPr>
              <w:t>2~13a</w:t>
            </w:r>
          </w:p>
        </w:tc>
        <w:tc>
          <w:tcPr>
            <w:tcW w:w="1154" w:type="pct"/>
          </w:tcPr>
          <w:p>
            <w:pPr>
              <w:pStyle w:val="44"/>
              <w:keepNext w:val="0"/>
              <w:keepLines w:val="0"/>
              <w:suppressLineNumbers w:val="0"/>
              <w:kinsoku w:val="0"/>
              <w:overflowPunct w:val="0"/>
              <w:spacing w:before="35" w:beforeAutospacing="0" w:after="0" w:afterAutospacing="0"/>
              <w:ind w:left="1" w:right="0"/>
              <w:jc w:val="center"/>
              <w:rPr>
                <w:rFonts w:hint="eastAsia" w:hAnsi="Times New Roman" w:eastAsia="宋体"/>
                <w:kern w:val="2"/>
                <w:szCs w:val="22"/>
              </w:rPr>
            </w:pPr>
            <w:r>
              <w:rPr>
                <w:rFonts w:hint="eastAsia" w:hAnsi="Times New Roman" w:eastAsia="宋体"/>
                <w:kern w:val="2"/>
                <w:sz w:val="21"/>
                <w:szCs w:val="22"/>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exact"/>
        </w:trPr>
        <w:tc>
          <w:tcPr>
            <w:tcW w:w="1164" w:type="pct"/>
          </w:tcPr>
          <w:p>
            <w:pPr>
              <w:pStyle w:val="44"/>
              <w:keepNext w:val="0"/>
              <w:keepLines w:val="0"/>
              <w:suppressLineNumbers w:val="0"/>
              <w:kinsoku w:val="0"/>
              <w:overflowPunct w:val="0"/>
              <w:spacing w:before="33" w:beforeAutospacing="0" w:after="0" w:afterAutospacing="0"/>
              <w:ind w:left="0" w:right="0"/>
              <w:jc w:val="center"/>
              <w:rPr>
                <w:rFonts w:hint="eastAsia" w:hAnsi="Times New Roman" w:eastAsia="宋体"/>
                <w:kern w:val="2"/>
                <w:szCs w:val="22"/>
              </w:rPr>
            </w:pPr>
            <w:r>
              <w:rPr>
                <w:rFonts w:hint="eastAsia" w:hAnsi="Times New Roman" w:eastAsia="宋体"/>
                <w:kern w:val="2"/>
                <w:sz w:val="21"/>
                <w:szCs w:val="22"/>
              </w:rPr>
              <w:t>10</w:t>
            </w:r>
          </w:p>
        </w:tc>
        <w:tc>
          <w:tcPr>
            <w:tcW w:w="1257" w:type="pct"/>
          </w:tcPr>
          <w:p>
            <w:pPr>
              <w:pStyle w:val="44"/>
              <w:keepNext w:val="0"/>
              <w:keepLines w:val="0"/>
              <w:suppressLineNumbers w:val="0"/>
              <w:kinsoku w:val="0"/>
              <w:overflowPunct w:val="0"/>
              <w:spacing w:before="33" w:beforeAutospacing="0" w:after="0" w:afterAutospacing="0"/>
              <w:ind w:left="0" w:right="0"/>
              <w:jc w:val="center"/>
              <w:rPr>
                <w:rFonts w:hint="eastAsia" w:hAnsi="Times New Roman" w:eastAsia="宋体"/>
                <w:kern w:val="2"/>
                <w:szCs w:val="22"/>
              </w:rPr>
            </w:pPr>
            <w:r>
              <w:rPr>
                <w:rFonts w:hint="eastAsia" w:hAnsi="Times New Roman" w:eastAsia="宋体"/>
                <w:kern w:val="2"/>
                <w:sz w:val="21"/>
                <w:szCs w:val="22"/>
              </w:rPr>
              <w:t>0.3</w:t>
            </w:r>
          </w:p>
        </w:tc>
        <w:tc>
          <w:tcPr>
            <w:tcW w:w="1425" w:type="pct"/>
          </w:tcPr>
          <w:p>
            <w:pPr>
              <w:pStyle w:val="44"/>
              <w:keepNext w:val="0"/>
              <w:keepLines w:val="0"/>
              <w:suppressLineNumbers w:val="0"/>
              <w:kinsoku w:val="0"/>
              <w:overflowPunct w:val="0"/>
              <w:spacing w:before="33" w:beforeAutospacing="0" w:after="0" w:afterAutospacing="0"/>
              <w:ind w:left="0" w:right="0"/>
              <w:jc w:val="center"/>
              <w:rPr>
                <w:rFonts w:hint="eastAsia" w:hAnsi="Times New Roman" w:eastAsia="宋体"/>
                <w:kern w:val="2"/>
                <w:szCs w:val="22"/>
              </w:rPr>
            </w:pPr>
            <w:r>
              <w:rPr>
                <w:rFonts w:hint="eastAsia" w:hAnsi="Times New Roman" w:eastAsia="宋体"/>
                <w:kern w:val="2"/>
                <w:sz w:val="21"/>
                <w:szCs w:val="22"/>
              </w:rPr>
              <w:t>4</w:t>
            </w:r>
            <w:r>
              <w:rPr>
                <w:rFonts w:hint="eastAsia" w:hAnsi="Times New Roman" w:eastAsia="宋体"/>
                <w:kern w:val="2"/>
                <w:sz w:val="21"/>
                <w:szCs w:val="22"/>
                <w:lang w:eastAsia="zh-CN"/>
              </w:rPr>
              <w:t>～</w:t>
            </w:r>
            <w:r>
              <w:rPr>
                <w:rFonts w:hint="eastAsia" w:hAnsi="Times New Roman" w:eastAsia="宋体"/>
                <w:kern w:val="2"/>
                <w:sz w:val="21"/>
                <w:szCs w:val="22"/>
              </w:rPr>
              <w:t>9h</w:t>
            </w:r>
          </w:p>
        </w:tc>
        <w:tc>
          <w:tcPr>
            <w:tcW w:w="1154" w:type="pct"/>
          </w:tcPr>
          <w:p>
            <w:pPr>
              <w:pStyle w:val="44"/>
              <w:keepNext w:val="0"/>
              <w:keepLines w:val="0"/>
              <w:suppressLineNumbers w:val="0"/>
              <w:kinsoku w:val="0"/>
              <w:overflowPunct w:val="0"/>
              <w:spacing w:before="33" w:beforeAutospacing="0" w:after="0" w:afterAutospacing="0"/>
              <w:ind w:left="582" w:right="0"/>
              <w:rPr>
                <w:rFonts w:hint="eastAsia" w:hAnsi="Times New Roman" w:eastAsia="宋体"/>
                <w:kern w:val="2"/>
                <w:szCs w:val="22"/>
              </w:rPr>
            </w:pPr>
            <w:r>
              <w:rPr>
                <w:rFonts w:hint="eastAsia" w:hAnsi="Times New Roman" w:eastAsia="宋体"/>
                <w:spacing w:val="-1"/>
                <w:kern w:val="2"/>
                <w:sz w:val="21"/>
                <w:szCs w:val="22"/>
              </w:rPr>
              <w:t>2000~10000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exact"/>
        </w:trPr>
        <w:tc>
          <w:tcPr>
            <w:tcW w:w="1164" w:type="pct"/>
          </w:tcPr>
          <w:p>
            <w:pPr>
              <w:pStyle w:val="44"/>
              <w:keepNext w:val="0"/>
              <w:keepLines w:val="0"/>
              <w:suppressLineNumbers w:val="0"/>
              <w:kinsoku w:val="0"/>
              <w:overflowPunct w:val="0"/>
              <w:spacing w:before="33" w:beforeAutospacing="0" w:after="0" w:afterAutospacing="0"/>
              <w:ind w:left="0" w:right="0"/>
              <w:jc w:val="center"/>
              <w:rPr>
                <w:rFonts w:hint="eastAsia" w:hAnsi="Times New Roman" w:eastAsia="宋体"/>
                <w:kern w:val="2"/>
                <w:szCs w:val="22"/>
              </w:rPr>
            </w:pPr>
            <w:r>
              <w:rPr>
                <w:rFonts w:hint="eastAsia" w:hAnsi="Times New Roman" w:eastAsia="宋体"/>
                <w:kern w:val="2"/>
                <w:sz w:val="21"/>
                <w:szCs w:val="22"/>
              </w:rPr>
              <w:t>100</w:t>
            </w:r>
          </w:p>
        </w:tc>
        <w:tc>
          <w:tcPr>
            <w:tcW w:w="1257" w:type="pct"/>
          </w:tcPr>
          <w:p>
            <w:pPr>
              <w:pStyle w:val="44"/>
              <w:keepNext w:val="0"/>
              <w:keepLines w:val="0"/>
              <w:suppressLineNumbers w:val="0"/>
              <w:kinsoku w:val="0"/>
              <w:overflowPunct w:val="0"/>
              <w:spacing w:before="33" w:beforeAutospacing="0" w:after="0" w:afterAutospacing="0"/>
              <w:ind w:left="0" w:right="0"/>
              <w:jc w:val="center"/>
              <w:rPr>
                <w:rFonts w:hint="eastAsia" w:hAnsi="Times New Roman" w:eastAsia="宋体"/>
                <w:kern w:val="2"/>
                <w:szCs w:val="22"/>
              </w:rPr>
            </w:pPr>
            <w:r>
              <w:rPr>
                <w:rFonts w:hint="eastAsia" w:hAnsi="Times New Roman" w:eastAsia="宋体"/>
                <w:kern w:val="2"/>
                <w:sz w:val="21"/>
                <w:szCs w:val="22"/>
              </w:rPr>
              <w:t>30</w:t>
            </w:r>
          </w:p>
        </w:tc>
        <w:tc>
          <w:tcPr>
            <w:tcW w:w="1425" w:type="pct"/>
          </w:tcPr>
          <w:p>
            <w:pPr>
              <w:pStyle w:val="44"/>
              <w:keepNext w:val="0"/>
              <w:keepLines w:val="0"/>
              <w:suppressLineNumbers w:val="0"/>
              <w:kinsoku w:val="0"/>
              <w:overflowPunct w:val="0"/>
              <w:spacing w:before="33" w:beforeAutospacing="0" w:after="0" w:afterAutospacing="0"/>
              <w:ind w:left="733" w:right="0"/>
              <w:rPr>
                <w:rFonts w:hint="eastAsia" w:hAnsi="Times New Roman" w:eastAsia="宋体"/>
                <w:kern w:val="2"/>
                <w:szCs w:val="22"/>
              </w:rPr>
            </w:pPr>
            <w:r>
              <w:rPr>
                <w:rFonts w:hint="eastAsia" w:hAnsi="Times New Roman" w:eastAsia="宋体"/>
                <w:spacing w:val="-1"/>
                <w:kern w:val="2"/>
                <w:sz w:val="21"/>
                <w:szCs w:val="22"/>
              </w:rPr>
              <w:t>3</w:t>
            </w:r>
            <w:r>
              <w:rPr>
                <w:rFonts w:hint="eastAsia" w:hAnsi="Times New Roman" w:eastAsia="宋体"/>
                <w:spacing w:val="-1"/>
                <w:kern w:val="2"/>
                <w:sz w:val="21"/>
                <w:szCs w:val="22"/>
                <w:lang w:eastAsia="zh-CN"/>
              </w:rPr>
              <w:t>～</w:t>
            </w:r>
            <w:r>
              <w:rPr>
                <w:rFonts w:hint="eastAsia" w:hAnsi="Times New Roman" w:eastAsia="宋体"/>
                <w:spacing w:val="-1"/>
                <w:kern w:val="2"/>
                <w:sz w:val="21"/>
                <w:szCs w:val="22"/>
              </w:rPr>
              <w:t>18min</w:t>
            </w:r>
          </w:p>
        </w:tc>
        <w:tc>
          <w:tcPr>
            <w:tcW w:w="1154" w:type="pct"/>
          </w:tcPr>
          <w:p>
            <w:pPr>
              <w:pStyle w:val="44"/>
              <w:keepNext w:val="0"/>
              <w:keepLines w:val="0"/>
              <w:suppressLineNumbers w:val="0"/>
              <w:kinsoku w:val="0"/>
              <w:overflowPunct w:val="0"/>
              <w:spacing w:before="33" w:beforeAutospacing="0" w:after="0" w:afterAutospacing="0"/>
              <w:ind w:left="2" w:right="0"/>
              <w:jc w:val="center"/>
              <w:rPr>
                <w:rFonts w:hint="eastAsia" w:hAnsi="Times New Roman" w:eastAsia="宋体"/>
                <w:kern w:val="2"/>
                <w:szCs w:val="22"/>
              </w:rPr>
            </w:pPr>
            <w:r>
              <w:rPr>
                <w:rFonts w:hint="eastAsia" w:hAnsi="Times New Roman" w:eastAsia="宋体"/>
                <w:spacing w:val="-1"/>
                <w:kern w:val="2"/>
                <w:sz w:val="21"/>
                <w:szCs w:val="22"/>
              </w:rPr>
              <w:t>10~50</w:t>
            </w:r>
          </w:p>
        </w:tc>
      </w:tr>
    </w:tbl>
    <w:p>
      <w:pPr>
        <w:spacing w:line="360" w:lineRule="auto"/>
        <w:ind w:firstLine="480" w:firstLineChars="200"/>
        <w:rPr>
          <w:rFonts w:hAnsi="Times New Roman" w:eastAsia="宋体"/>
          <w:lang w:eastAsia="zh-CN"/>
        </w:rPr>
      </w:pPr>
      <w:r>
        <w:rPr>
          <w:rFonts w:hAnsi="Times New Roman" w:eastAsia="宋体"/>
          <w:lang w:eastAsia="zh-CN"/>
        </w:rPr>
        <w:t>漂移距离按照风速为零的情况进行计算，如考虑到风速的影响，应在初速上叠加风速的实际速度，因此，实际漂移距离可能是上述计算值的1~4倍。由此可见，能够扩散造成空气影响的粉尘主要是粒径为0~10μm的颗粒，这部分粉尘可通过洒水的方式减少其扩散。总体来说，只要增大洒水降尘的频率，施工期的扬尘</w:t>
      </w:r>
      <w:r>
        <w:rPr>
          <w:rFonts w:hint="eastAsia" w:hAnsi="Times New Roman" w:eastAsia="宋体"/>
          <w:lang w:eastAsia="zh-CN"/>
        </w:rPr>
        <w:t>不会</w:t>
      </w:r>
      <w:r>
        <w:rPr>
          <w:rFonts w:hAnsi="Times New Roman" w:eastAsia="宋体"/>
          <w:lang w:eastAsia="zh-CN"/>
        </w:rPr>
        <w:t>影响施工人员的正常生活和健康。</w:t>
      </w:r>
    </w:p>
    <w:p>
      <w:pPr>
        <w:spacing w:line="360" w:lineRule="auto"/>
        <w:ind w:firstLine="480" w:firstLineChars="200"/>
        <w:rPr>
          <w:rFonts w:hAnsi="Times New Roman" w:eastAsia="宋体"/>
          <w:lang w:eastAsia="zh-CN"/>
        </w:rPr>
      </w:pPr>
      <w:r>
        <w:rPr>
          <w:rFonts w:hAnsi="Times New Roman" w:eastAsia="宋体"/>
          <w:lang w:eastAsia="zh-CN"/>
        </w:rPr>
        <w:t>施工过程中，施工区域内扬尘污染的危害性是不容忽视的。浮于空气中的扬尘被施工人员和周围居民吸入，不但会引起各种呼吸道疾病，而且扬尘可能夹带的病原菌，传染各种疾病，影响施工人员及周围居民的身体健康。</w:t>
      </w:r>
    </w:p>
    <w:p>
      <w:pPr>
        <w:spacing w:line="360" w:lineRule="auto"/>
        <w:ind w:firstLine="480" w:firstLineChars="200"/>
        <w:rPr>
          <w:rFonts w:hAnsi="Times New Roman" w:eastAsia="宋体"/>
          <w:lang w:eastAsia="zh-CN"/>
        </w:rPr>
      </w:pPr>
      <w:r>
        <w:rPr>
          <w:rFonts w:hAnsi="Times New Roman" w:eastAsia="宋体"/>
          <w:lang w:eastAsia="zh-CN"/>
        </w:rPr>
        <w:t>项目通过采取在施工场地周界搭设防尘篷布、对场地进行定期洒水、运输通道 及时清扫冲洗、运输时覆盖起尘散料、施工中尽可能采用水泥预制件及临时堆放多 尘材料用棚布覆盖等措施后，项目建设期产生的扬尘不会影响周围居民的身体健康， 也不会对周围环境空气质量造成明显的影响。</w:t>
      </w:r>
    </w:p>
    <w:p>
      <w:pPr>
        <w:pStyle w:val="6"/>
        <w:rPr>
          <w:lang w:eastAsia="zh-CN"/>
        </w:rPr>
      </w:pPr>
      <w:bookmarkStart w:id="468" w:name="_Toc163812641"/>
      <w:bookmarkStart w:id="469" w:name="_Toc167095264"/>
      <w:r>
        <w:rPr>
          <w:lang w:eastAsia="zh-CN"/>
        </w:rPr>
        <w:t>7.1.2 井下开拓废气</w:t>
      </w:r>
      <w:bookmarkEnd w:id="468"/>
      <w:bookmarkEnd w:id="469"/>
    </w:p>
    <w:p>
      <w:pPr>
        <w:spacing w:line="360" w:lineRule="auto"/>
        <w:ind w:firstLine="480" w:firstLineChars="200"/>
        <w:rPr>
          <w:rFonts w:hAnsi="Times New Roman" w:eastAsia="宋体"/>
          <w:lang w:eastAsia="zh-CN"/>
        </w:rPr>
      </w:pPr>
      <w:r>
        <w:rPr>
          <w:rFonts w:hAnsi="Times New Roman" w:eastAsia="宋体"/>
          <w:lang w:eastAsia="zh-CN"/>
        </w:rPr>
        <w:t>项目施工期需进行爆破作业，本项目采用乳化炸药，其爆破废气主要为CO、NO</w:t>
      </w:r>
      <w:r>
        <w:rPr>
          <w:rFonts w:hAnsi="Times New Roman" w:eastAsia="宋体"/>
          <w:vertAlign w:val="subscript"/>
          <w:lang w:eastAsia="zh-CN"/>
        </w:rPr>
        <w:t>X</w:t>
      </w:r>
      <w:r>
        <w:rPr>
          <w:rFonts w:hAnsi="Times New Roman" w:eastAsia="宋体"/>
          <w:lang w:eastAsia="zh-CN"/>
        </w:rPr>
        <w:t>和粉尘等。由于CO极不稳定，可快速转化为CO</w:t>
      </w:r>
      <w:r>
        <w:rPr>
          <w:rFonts w:hAnsi="Times New Roman" w:eastAsia="宋体"/>
          <w:vertAlign w:val="subscript"/>
          <w:lang w:eastAsia="zh-CN"/>
        </w:rPr>
        <w:t>2</w:t>
      </w:r>
      <w:r>
        <w:rPr>
          <w:rFonts w:hAnsi="Times New Roman" w:eastAsia="宋体"/>
          <w:lang w:eastAsia="zh-CN"/>
        </w:rPr>
        <w:t>，不会对环境产生明显的不利影响。 同时，氮氧化物排放量极低，项目所在地地势开阔，空气流动性较强，氮氧化物可以在短时间内稀释扩散，不会对环境空气产生明显的不利影响。</w:t>
      </w:r>
    </w:p>
    <w:p>
      <w:pPr>
        <w:spacing w:line="360" w:lineRule="auto"/>
        <w:ind w:firstLine="480" w:firstLineChars="200"/>
        <w:rPr>
          <w:rFonts w:hAnsi="Times New Roman" w:eastAsia="宋体"/>
          <w:lang w:eastAsia="zh-CN"/>
        </w:rPr>
      </w:pPr>
      <w:r>
        <w:rPr>
          <w:rFonts w:hAnsi="Times New Roman" w:eastAsia="宋体"/>
          <w:lang w:eastAsia="zh-CN"/>
        </w:rPr>
        <w:t>为了减少炸药爆破废气对环境空气质量的影响，施工期间，应在爆破结束后立即对爆破区域进行洒水降尘，降低空气中扬尘和氮氧化物含量。</w:t>
      </w:r>
    </w:p>
    <w:p>
      <w:pPr>
        <w:spacing w:line="360" w:lineRule="auto"/>
        <w:ind w:firstLine="480" w:firstLineChars="200"/>
        <w:rPr>
          <w:rFonts w:hAnsi="Times New Roman" w:eastAsia="宋体"/>
          <w:lang w:eastAsia="zh-CN"/>
        </w:rPr>
      </w:pPr>
      <w:r>
        <w:rPr>
          <w:rFonts w:hAnsi="Times New Roman" w:eastAsia="宋体"/>
          <w:lang w:eastAsia="zh-CN"/>
        </w:rPr>
        <w:t>项目施工期爆破过程中产生的污染物较少，在采取上述防治措施后，</w:t>
      </w:r>
      <w:r>
        <w:rPr>
          <w:rFonts w:hint="eastAsia" w:hAnsi="Times New Roman" w:eastAsia="宋体"/>
          <w:lang w:eastAsia="zh-CN"/>
        </w:rPr>
        <w:t>能进</w:t>
      </w:r>
      <w:r>
        <w:rPr>
          <w:rFonts w:hAnsi="Times New Roman" w:eastAsia="宋体"/>
          <w:lang w:eastAsia="zh-CN"/>
        </w:rPr>
        <w:t>一步降低爆破废气对环境空气质量的影响。因此，项目施工期爆破废气不会对环境空气产生明显的不利影响。</w:t>
      </w:r>
    </w:p>
    <w:p>
      <w:pPr>
        <w:pStyle w:val="5"/>
        <w:rPr>
          <w:rFonts w:ascii="Times New Roman" w:hAnsi="Times New Roman"/>
          <w:lang w:eastAsia="zh-CN"/>
        </w:rPr>
      </w:pPr>
      <w:bookmarkStart w:id="470" w:name="_Toc163749185"/>
      <w:bookmarkStart w:id="471" w:name="_Toc167095265"/>
      <w:r>
        <w:rPr>
          <w:rFonts w:ascii="Times New Roman" w:hAnsi="Times New Roman"/>
          <w:lang w:eastAsia="zh-CN"/>
        </w:rPr>
        <w:t>7.2 营运期大气环境影响预测与评价</w:t>
      </w:r>
      <w:bookmarkEnd w:id="470"/>
      <w:bookmarkEnd w:id="471"/>
    </w:p>
    <w:p>
      <w:pPr>
        <w:spacing w:line="360" w:lineRule="auto"/>
        <w:ind w:firstLine="480" w:firstLineChars="200"/>
        <w:rPr>
          <w:rFonts w:hAnsi="Times New Roman" w:eastAsia="宋体"/>
          <w:szCs w:val="22"/>
          <w:lang w:eastAsia="zh-CN"/>
        </w:rPr>
      </w:pPr>
      <w:r>
        <w:rPr>
          <w:rFonts w:hAnsi="Times New Roman" w:eastAsia="宋体"/>
          <w:lang w:eastAsia="zh-CN"/>
        </w:rPr>
        <w:t>本项目实施后全场营运期产生的大气污染物为粉尘。主要包括储煤场及临时堆矸场产生的粉尘、道路运输产生的扬尘污染、食堂油烟</w:t>
      </w:r>
      <w:r>
        <w:rPr>
          <w:rFonts w:hAnsi="Times New Roman" w:eastAsia="宋体"/>
          <w:szCs w:val="22"/>
          <w:lang w:eastAsia="zh-CN"/>
        </w:rPr>
        <w:t>。</w:t>
      </w:r>
    </w:p>
    <w:p>
      <w:pPr>
        <w:spacing w:line="360" w:lineRule="auto"/>
        <w:ind w:firstLine="480"/>
        <w:rPr>
          <w:rFonts w:hAnsi="Times New Roman" w:eastAsia="宋体"/>
          <w:b/>
          <w:bCs/>
          <w:kern w:val="2"/>
        </w:rPr>
      </w:pPr>
      <w:r>
        <w:rPr>
          <w:rFonts w:hAnsi="Times New Roman" w:eastAsia="宋体"/>
          <w:b/>
          <w:bCs/>
          <w:kern w:val="2"/>
        </w:rPr>
        <w:t>（</w:t>
      </w:r>
      <w:r>
        <w:rPr>
          <w:rFonts w:hAnsi="Times New Roman" w:eastAsia="宋体"/>
          <w:b/>
          <w:bCs/>
          <w:kern w:val="2"/>
          <w:lang w:eastAsia="zh-CN"/>
        </w:rPr>
        <w:t>1</w:t>
      </w:r>
      <w:r>
        <w:rPr>
          <w:rFonts w:hAnsi="Times New Roman" w:eastAsia="宋体"/>
          <w:b/>
          <w:bCs/>
          <w:kern w:val="2"/>
        </w:rPr>
        <w:t>）大气环境评价等级与范围</w:t>
      </w:r>
    </w:p>
    <w:p>
      <w:pPr>
        <w:spacing w:line="360" w:lineRule="auto"/>
        <w:ind w:firstLine="480"/>
        <w:rPr>
          <w:rFonts w:hAnsi="Times New Roman" w:eastAsia="宋体"/>
          <w:b/>
          <w:bCs/>
          <w:kern w:val="2"/>
        </w:rPr>
      </w:pPr>
      <w:r>
        <w:rPr>
          <w:rFonts w:hAnsi="Times New Roman" w:eastAsia="宋体"/>
          <w:b/>
          <w:bCs/>
          <w:kern w:val="2"/>
        </w:rPr>
        <w:t>①评价因子和评价标准筛选</w:t>
      </w:r>
    </w:p>
    <w:p>
      <w:pPr>
        <w:spacing w:line="360" w:lineRule="auto"/>
        <w:ind w:firstLine="555"/>
        <w:rPr>
          <w:rFonts w:hAnsi="Times New Roman" w:eastAsia="宋体"/>
          <w:spacing w:val="-4"/>
          <w:szCs w:val="24"/>
        </w:rPr>
      </w:pPr>
      <w:r>
        <w:rPr>
          <w:rFonts w:hAnsi="Times New Roman" w:eastAsia="宋体"/>
          <w:kern w:val="2"/>
        </w:rPr>
        <w:t>根据《环境影响评价技术导则—大气环境》（HJ2.2-2018）导则计算每一种污染物的最大地面浓度占标率Pi （第i个污染物）及第i</w:t>
      </w:r>
      <w:r>
        <w:rPr>
          <w:rFonts w:hint="eastAsia" w:hAnsi="Times New Roman" w:eastAsia="宋体"/>
          <w:kern w:val="2"/>
          <w:lang w:eastAsia="zh-CN"/>
        </w:rPr>
        <w:t>个</w:t>
      </w:r>
      <w:r>
        <w:rPr>
          <w:rFonts w:hAnsi="Times New Roman" w:eastAsia="宋体"/>
          <w:kern w:val="2"/>
        </w:rPr>
        <w:t>污染物的地面浓度达标准限制10%时所对应的最远距离D10%，然后根据下表分级判据进行分级。Pi计算公式如下</w:t>
      </w:r>
      <w:r>
        <w:rPr>
          <w:rFonts w:hAnsi="Times New Roman" w:eastAsia="宋体"/>
          <w:spacing w:val="-4"/>
          <w:szCs w:val="24"/>
          <w:lang w:eastAsia="zh-CN"/>
        </w:rPr>
        <w:t>：</w:t>
      </w:r>
    </w:p>
    <w:p>
      <w:pPr>
        <w:spacing w:line="360" w:lineRule="auto"/>
        <w:ind w:firstLine="480"/>
        <w:jc w:val="center"/>
        <w:rPr>
          <w:rFonts w:hAnsi="Times New Roman" w:eastAsia="宋体"/>
          <w:kern w:val="2"/>
        </w:rPr>
      </w:pPr>
      <w:r>
        <w:rPr>
          <w:rFonts w:hAnsi="Times New Roman" w:eastAsia="宋体"/>
          <w:kern w:val="2"/>
          <w:position w:val="-30"/>
        </w:rPr>
        <w:object>
          <v:shape id="_x0000_i1065" o:spt="75" type="#_x0000_t75" style="height:34pt;width:78pt;" o:ole="t" filled="f" o:preferrelative="t" stroked="f" coordsize="21600,21600">
            <v:path/>
            <v:fill on="f" focussize="0,0"/>
            <v:stroke on="f" joinstyle="miter"/>
            <v:imagedata r:id="rId243" o:title=""/>
            <o:lock v:ext="edit" aspectratio="t"/>
            <w10:wrap type="none"/>
            <w10:anchorlock/>
          </v:shape>
          <o:OLEObject Type="Embed" ProgID="Equation.3" ShapeID="_x0000_i1065" DrawAspect="Content" ObjectID="_1468075763" r:id="rId242">
            <o:LockedField>false</o:LockedField>
          </o:OLEObject>
        </w:object>
      </w:r>
    </w:p>
    <w:p>
      <w:pPr>
        <w:spacing w:line="360" w:lineRule="auto"/>
        <w:ind w:firstLine="480"/>
        <w:rPr>
          <w:rFonts w:hAnsi="Times New Roman" w:eastAsia="宋体"/>
          <w:kern w:val="2"/>
        </w:rPr>
      </w:pPr>
      <w:r>
        <w:rPr>
          <w:rFonts w:hAnsi="Times New Roman" w:eastAsia="宋体"/>
          <w:kern w:val="2"/>
        </w:rPr>
        <w:t>式中：Pi—第i个污染物的最大地面浓度占标率，%；</w:t>
      </w:r>
    </w:p>
    <w:p>
      <w:pPr>
        <w:spacing w:line="360" w:lineRule="auto"/>
        <w:ind w:firstLine="480"/>
        <w:rPr>
          <w:rFonts w:hAnsi="Times New Roman" w:eastAsia="宋体"/>
          <w:kern w:val="2"/>
        </w:rPr>
      </w:pPr>
      <w:r>
        <w:rPr>
          <w:rFonts w:hAnsi="Times New Roman" w:eastAsia="宋体"/>
          <w:kern w:val="2"/>
        </w:rPr>
        <w:t>Ci——采用估算模式计算出的第 i 个污染物的最大地面浓度，mg/m</w:t>
      </w:r>
      <w:r>
        <w:rPr>
          <w:rFonts w:hAnsi="Times New Roman" w:eastAsia="宋体"/>
          <w:kern w:val="2"/>
          <w:vertAlign w:val="superscript"/>
        </w:rPr>
        <w:t>3</w:t>
      </w:r>
      <w:r>
        <w:rPr>
          <w:rFonts w:hAnsi="Times New Roman" w:eastAsia="宋体"/>
          <w:kern w:val="2"/>
        </w:rPr>
        <w:t xml:space="preserve">； </w:t>
      </w:r>
    </w:p>
    <w:p>
      <w:pPr>
        <w:spacing w:line="360" w:lineRule="auto"/>
        <w:ind w:firstLine="480"/>
        <w:rPr>
          <w:rFonts w:hAnsi="Times New Roman" w:eastAsia="宋体"/>
          <w:lang w:eastAsia="zh-CN"/>
        </w:rPr>
      </w:pPr>
      <w:r>
        <w:rPr>
          <w:rFonts w:hAnsi="Times New Roman" w:eastAsia="宋体"/>
          <w:kern w:val="2"/>
        </w:rPr>
        <w:t>Coi——第i个污染物的环境空气质量标准，mg/m</w:t>
      </w:r>
      <w:r>
        <w:rPr>
          <w:rFonts w:hAnsi="Times New Roman" w:eastAsia="宋体"/>
          <w:kern w:val="2"/>
          <w:vertAlign w:val="superscript"/>
        </w:rPr>
        <w:t>3</w:t>
      </w:r>
      <w:r>
        <w:rPr>
          <w:rFonts w:hAnsi="Times New Roman" w:eastAsia="宋体"/>
          <w:kern w:val="2"/>
        </w:rPr>
        <w:t>。一般选用 GB3095 中 1 小时平均取样时间的二级标准的浓度限值；对仅有 8h</w:t>
      </w:r>
      <w:r>
        <w:rPr>
          <w:rFonts w:hint="eastAsia" w:hAnsi="Times New Roman" w:eastAsia="宋体"/>
          <w:kern w:val="2"/>
          <w:lang w:eastAsia="zh-CN"/>
        </w:rPr>
        <w:t>平均</w:t>
      </w:r>
      <w:r>
        <w:rPr>
          <w:rFonts w:hAnsi="Times New Roman" w:eastAsia="宋体"/>
          <w:kern w:val="2"/>
        </w:rPr>
        <w:t>质量浓度限值、日平均质量浓度限值或年平均质量浓度限值的，可分别按2倍、3倍、6倍折算为1h平均质量浓度限值。如已有地方标准，应选用地方标准中的相应值</w:t>
      </w:r>
      <w:r>
        <w:rPr>
          <w:rFonts w:hAnsi="Times New Roman" w:eastAsia="宋体"/>
          <w:kern w:val="2"/>
          <w:lang w:eastAsia="zh-CN"/>
        </w:rPr>
        <w:t>。</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表7.2-1 大气评价工作等级的划分</w:t>
      </w:r>
    </w:p>
    <w:tbl>
      <w:tblPr>
        <w:tblStyle w:val="34"/>
        <w:tblW w:w="91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85"/>
        <w:gridCol w:w="63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85" w:type="dxa"/>
            <w:vAlign w:val="center"/>
          </w:tcPr>
          <w:p>
            <w:pPr>
              <w:keepNext w:val="0"/>
              <w:keepLines w:val="0"/>
              <w:suppressLineNumbers w:val="0"/>
              <w:adjustRightInd w:val="0"/>
              <w:snapToGrid w:val="0"/>
              <w:spacing w:before="0" w:beforeAutospacing="0" w:after="0" w:afterAutospacing="0"/>
              <w:ind w:left="0" w:right="0"/>
              <w:jc w:val="center"/>
              <w:rPr>
                <w:rFonts w:hint="eastAsia" w:hAnsi="Times New Roman" w:eastAsia="宋体"/>
                <w:b/>
                <w:bCs/>
                <w:kern w:val="21"/>
                <w:sz w:val="21"/>
                <w:szCs w:val="21"/>
              </w:rPr>
            </w:pPr>
            <w:r>
              <w:rPr>
                <w:rFonts w:hint="eastAsia" w:hAnsi="Times New Roman" w:eastAsia="宋体"/>
                <w:b/>
                <w:bCs/>
                <w:kern w:val="21"/>
                <w:sz w:val="21"/>
                <w:szCs w:val="21"/>
              </w:rPr>
              <w:t>评价工作等级</w:t>
            </w:r>
          </w:p>
        </w:tc>
        <w:tc>
          <w:tcPr>
            <w:tcW w:w="6343" w:type="dxa"/>
            <w:vAlign w:val="center"/>
          </w:tcPr>
          <w:p>
            <w:pPr>
              <w:keepNext w:val="0"/>
              <w:keepLines w:val="0"/>
              <w:suppressLineNumbers w:val="0"/>
              <w:adjustRightInd w:val="0"/>
              <w:snapToGrid w:val="0"/>
              <w:spacing w:before="0" w:beforeAutospacing="0" w:after="0" w:afterAutospacing="0"/>
              <w:ind w:left="0" w:right="0"/>
              <w:jc w:val="center"/>
              <w:rPr>
                <w:rFonts w:hint="eastAsia" w:hAnsi="Times New Roman" w:eastAsia="宋体"/>
                <w:b/>
                <w:bCs/>
                <w:kern w:val="21"/>
                <w:sz w:val="21"/>
                <w:szCs w:val="21"/>
              </w:rPr>
            </w:pPr>
            <w:r>
              <w:rPr>
                <w:rFonts w:hint="eastAsia" w:hAnsi="Times New Roman" w:eastAsia="宋体"/>
                <w:b/>
                <w:bCs/>
                <w:kern w:val="21"/>
                <w:sz w:val="21"/>
                <w:szCs w:val="21"/>
              </w:rPr>
              <w:t>评价工作分级依据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85" w:type="dxa"/>
            <w:vAlign w:val="center"/>
          </w:tcPr>
          <w:p>
            <w:pPr>
              <w:keepNext w:val="0"/>
              <w:keepLines w:val="0"/>
              <w:suppressLineNumbers w:val="0"/>
              <w:adjustRightInd w:val="0"/>
              <w:snapToGrid w:val="0"/>
              <w:spacing w:before="0" w:beforeAutospacing="0" w:after="0" w:afterAutospacing="0"/>
              <w:ind w:left="0" w:right="0"/>
              <w:jc w:val="center"/>
              <w:rPr>
                <w:rFonts w:hint="eastAsia" w:hAnsi="Times New Roman" w:eastAsia="宋体"/>
                <w:kern w:val="21"/>
                <w:sz w:val="21"/>
                <w:szCs w:val="21"/>
              </w:rPr>
            </w:pPr>
            <w:r>
              <w:rPr>
                <w:rFonts w:hint="eastAsia" w:hAnsi="Times New Roman" w:eastAsia="宋体"/>
                <w:kern w:val="21"/>
                <w:sz w:val="21"/>
                <w:szCs w:val="21"/>
              </w:rPr>
              <w:t>一级</w:t>
            </w:r>
          </w:p>
        </w:tc>
        <w:tc>
          <w:tcPr>
            <w:tcW w:w="6343" w:type="dxa"/>
            <w:vAlign w:val="center"/>
          </w:tcPr>
          <w:p>
            <w:pPr>
              <w:keepNext w:val="0"/>
              <w:keepLines w:val="0"/>
              <w:suppressLineNumbers w:val="0"/>
              <w:adjustRightInd w:val="0"/>
              <w:snapToGrid w:val="0"/>
              <w:spacing w:before="0" w:beforeAutospacing="0" w:after="0" w:afterAutospacing="0"/>
              <w:ind w:left="0" w:right="0"/>
              <w:jc w:val="center"/>
              <w:rPr>
                <w:rFonts w:hint="eastAsia" w:hAnsi="Times New Roman" w:eastAsia="宋体"/>
                <w:kern w:val="21"/>
                <w:sz w:val="21"/>
                <w:szCs w:val="21"/>
              </w:rPr>
            </w:pPr>
            <w:r>
              <w:rPr>
                <w:rFonts w:hint="eastAsia" w:hAnsi="Times New Roman" w:eastAsia="宋体"/>
                <w:kern w:val="21"/>
                <w:sz w:val="21"/>
                <w:szCs w:val="21"/>
              </w:rPr>
              <w:t>Pmax≥10%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85" w:type="dxa"/>
            <w:vAlign w:val="center"/>
          </w:tcPr>
          <w:p>
            <w:pPr>
              <w:keepNext w:val="0"/>
              <w:keepLines w:val="0"/>
              <w:suppressLineNumbers w:val="0"/>
              <w:adjustRightInd w:val="0"/>
              <w:snapToGrid w:val="0"/>
              <w:spacing w:before="0" w:beforeAutospacing="0" w:after="0" w:afterAutospacing="0"/>
              <w:ind w:left="0" w:right="0"/>
              <w:jc w:val="center"/>
              <w:rPr>
                <w:rFonts w:hint="eastAsia" w:hAnsi="Times New Roman" w:eastAsia="宋体"/>
                <w:kern w:val="21"/>
                <w:sz w:val="21"/>
                <w:szCs w:val="21"/>
              </w:rPr>
            </w:pPr>
            <w:r>
              <w:rPr>
                <w:rFonts w:hint="eastAsia" w:hAnsi="Times New Roman" w:eastAsia="宋体"/>
                <w:kern w:val="21"/>
                <w:sz w:val="21"/>
                <w:szCs w:val="21"/>
              </w:rPr>
              <w:t>二级</w:t>
            </w:r>
          </w:p>
        </w:tc>
        <w:tc>
          <w:tcPr>
            <w:tcW w:w="6343" w:type="dxa"/>
            <w:vAlign w:val="center"/>
          </w:tcPr>
          <w:p>
            <w:pPr>
              <w:keepNext w:val="0"/>
              <w:keepLines w:val="0"/>
              <w:suppressLineNumbers w:val="0"/>
              <w:adjustRightInd w:val="0"/>
              <w:snapToGrid w:val="0"/>
              <w:spacing w:before="0" w:beforeAutospacing="0" w:after="0" w:afterAutospacing="0"/>
              <w:ind w:left="0" w:right="0"/>
              <w:jc w:val="center"/>
              <w:rPr>
                <w:rFonts w:hint="eastAsia" w:hAnsi="Times New Roman" w:eastAsia="宋体"/>
                <w:kern w:val="21"/>
                <w:sz w:val="21"/>
                <w:szCs w:val="21"/>
              </w:rPr>
            </w:pPr>
            <w:r>
              <w:rPr>
                <w:rFonts w:hint="eastAsia" w:hAnsi="Times New Roman" w:eastAsia="宋体"/>
                <w:kern w:val="21"/>
                <w:sz w:val="21"/>
                <w:szCs w:val="21"/>
              </w:rPr>
              <w:t>1%≤Pmax＜10%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85" w:type="dxa"/>
            <w:vAlign w:val="center"/>
          </w:tcPr>
          <w:p>
            <w:pPr>
              <w:keepNext w:val="0"/>
              <w:keepLines w:val="0"/>
              <w:suppressLineNumbers w:val="0"/>
              <w:adjustRightInd w:val="0"/>
              <w:snapToGrid w:val="0"/>
              <w:spacing w:before="0" w:beforeAutospacing="0" w:after="0" w:afterAutospacing="0"/>
              <w:ind w:left="0" w:right="0"/>
              <w:jc w:val="center"/>
              <w:rPr>
                <w:rFonts w:hint="eastAsia" w:hAnsi="Times New Roman" w:eastAsia="宋体"/>
                <w:kern w:val="21"/>
                <w:sz w:val="21"/>
                <w:szCs w:val="21"/>
              </w:rPr>
            </w:pPr>
            <w:r>
              <w:rPr>
                <w:rFonts w:hint="eastAsia" w:hAnsi="Times New Roman" w:eastAsia="宋体"/>
                <w:kern w:val="21"/>
                <w:sz w:val="21"/>
                <w:szCs w:val="21"/>
              </w:rPr>
              <w:t>三级</w:t>
            </w:r>
          </w:p>
        </w:tc>
        <w:tc>
          <w:tcPr>
            <w:tcW w:w="6343" w:type="dxa"/>
            <w:vAlign w:val="center"/>
          </w:tcPr>
          <w:p>
            <w:pPr>
              <w:keepNext w:val="0"/>
              <w:keepLines w:val="0"/>
              <w:suppressLineNumbers w:val="0"/>
              <w:adjustRightInd w:val="0"/>
              <w:snapToGrid w:val="0"/>
              <w:spacing w:before="0" w:beforeAutospacing="0" w:after="0" w:afterAutospacing="0"/>
              <w:ind w:left="0" w:right="0"/>
              <w:jc w:val="center"/>
              <w:rPr>
                <w:rFonts w:hint="eastAsia" w:hAnsi="Times New Roman" w:eastAsia="宋体"/>
                <w:kern w:val="21"/>
                <w:sz w:val="21"/>
                <w:szCs w:val="21"/>
              </w:rPr>
            </w:pPr>
            <w:r>
              <w:rPr>
                <w:rFonts w:hint="eastAsia" w:hAnsi="Times New Roman" w:eastAsia="宋体"/>
                <w:kern w:val="21"/>
                <w:sz w:val="21"/>
                <w:szCs w:val="21"/>
              </w:rPr>
              <w:t>Pmax＜1%</w:t>
            </w:r>
          </w:p>
        </w:tc>
      </w:tr>
    </w:tbl>
    <w:p>
      <w:pPr>
        <w:spacing w:line="360" w:lineRule="auto"/>
        <w:ind w:firstLine="480"/>
        <w:rPr>
          <w:rFonts w:hAnsi="Times New Roman" w:eastAsia="宋体"/>
          <w:kern w:val="2"/>
        </w:rPr>
      </w:pPr>
      <w:r>
        <w:rPr>
          <w:rFonts w:hAnsi="Times New Roman" w:eastAsia="宋体"/>
          <w:kern w:val="2"/>
        </w:rPr>
        <w:t>本项目评价因</w:t>
      </w:r>
      <w:r>
        <w:rPr>
          <w:rFonts w:hAnsi="Times New Roman" w:eastAsia="宋体"/>
          <w:kern w:val="2"/>
          <w:szCs w:val="24"/>
        </w:rPr>
        <w:t>子为</w:t>
      </w:r>
      <w:r>
        <w:rPr>
          <w:rFonts w:hAnsi="Times New Roman" w:eastAsia="宋体"/>
          <w:bCs/>
          <w:szCs w:val="24"/>
          <w:lang w:eastAsia="zh-CN"/>
        </w:rPr>
        <w:t>TSP</w:t>
      </w:r>
      <w:r>
        <w:rPr>
          <w:rFonts w:hAnsi="Times New Roman" w:eastAsia="宋体"/>
          <w:kern w:val="2"/>
          <w:szCs w:val="24"/>
        </w:rPr>
        <w:t>，</w:t>
      </w:r>
      <w:r>
        <w:rPr>
          <w:rFonts w:hAnsi="Times New Roman" w:eastAsia="宋体"/>
          <w:kern w:val="2"/>
        </w:rPr>
        <w:t>《环境影响评价技术导则 大气环境》（HJ2.2-2018）附录D中的标准。</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表7.2-2 各项污染物预测评价标准</w:t>
      </w:r>
    </w:p>
    <w:tbl>
      <w:tblPr>
        <w:tblStyle w:val="34"/>
        <w:tblW w:w="91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81"/>
        <w:gridCol w:w="2085"/>
        <w:gridCol w:w="2461"/>
        <w:gridCol w:w="31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81" w:type="dxa"/>
            <w:vAlign w:val="center"/>
          </w:tcPr>
          <w:p>
            <w:pPr>
              <w:keepNext w:val="0"/>
              <w:keepLines w:val="0"/>
              <w:suppressLineNumbers w:val="0"/>
              <w:snapToGrid w:val="0"/>
              <w:spacing w:before="0" w:beforeAutospacing="0" w:after="0" w:afterAutospacing="0"/>
              <w:ind w:left="0" w:right="0"/>
              <w:jc w:val="center"/>
              <w:outlineLvl w:val="1"/>
              <w:rPr>
                <w:rFonts w:hint="eastAsia" w:hAnsi="Times New Roman" w:eastAsia="宋体"/>
                <w:b/>
                <w:kern w:val="2"/>
                <w:sz w:val="21"/>
                <w:szCs w:val="21"/>
              </w:rPr>
            </w:pPr>
            <w:bookmarkStart w:id="472" w:name="_Toc24438"/>
            <w:bookmarkStart w:id="473" w:name="_Toc15521"/>
            <w:bookmarkStart w:id="474" w:name="_Toc18975"/>
            <w:bookmarkStart w:id="475" w:name="_Toc163812643"/>
            <w:bookmarkStart w:id="476" w:name="_Toc163749186"/>
            <w:bookmarkStart w:id="477" w:name="_Toc451"/>
            <w:bookmarkStart w:id="478" w:name="_Toc167095266"/>
            <w:bookmarkStart w:id="479" w:name="_Toc20375"/>
            <w:bookmarkStart w:id="480" w:name="_Toc9182"/>
            <w:r>
              <w:rPr>
                <w:rFonts w:hint="eastAsia" w:hAnsi="Times New Roman" w:eastAsia="宋体"/>
                <w:b/>
                <w:kern w:val="2"/>
                <w:sz w:val="21"/>
                <w:szCs w:val="21"/>
              </w:rPr>
              <w:t>评价因子</w:t>
            </w:r>
            <w:bookmarkEnd w:id="472"/>
            <w:bookmarkEnd w:id="473"/>
            <w:bookmarkEnd w:id="474"/>
            <w:bookmarkEnd w:id="475"/>
            <w:bookmarkEnd w:id="476"/>
            <w:bookmarkEnd w:id="477"/>
            <w:bookmarkEnd w:id="478"/>
            <w:bookmarkEnd w:id="479"/>
            <w:bookmarkEnd w:id="480"/>
          </w:p>
        </w:tc>
        <w:tc>
          <w:tcPr>
            <w:tcW w:w="2085" w:type="dxa"/>
            <w:vAlign w:val="center"/>
          </w:tcPr>
          <w:p>
            <w:pPr>
              <w:keepNext w:val="0"/>
              <w:keepLines w:val="0"/>
              <w:suppressLineNumbers w:val="0"/>
              <w:snapToGrid w:val="0"/>
              <w:spacing w:before="0" w:beforeAutospacing="0" w:after="0" w:afterAutospacing="0"/>
              <w:ind w:left="0" w:right="0"/>
              <w:jc w:val="center"/>
              <w:outlineLvl w:val="1"/>
              <w:rPr>
                <w:rFonts w:hint="eastAsia" w:hAnsi="Times New Roman" w:eastAsia="宋体"/>
                <w:b/>
                <w:kern w:val="2"/>
                <w:sz w:val="21"/>
                <w:szCs w:val="21"/>
              </w:rPr>
            </w:pPr>
            <w:bookmarkStart w:id="481" w:name="_Toc16584"/>
            <w:bookmarkStart w:id="482" w:name="_Toc11902"/>
            <w:bookmarkStart w:id="483" w:name="_Toc21002"/>
            <w:bookmarkStart w:id="484" w:name="_Toc24352"/>
            <w:bookmarkStart w:id="485" w:name="_Toc163749187"/>
            <w:bookmarkStart w:id="486" w:name="_Toc19842"/>
            <w:bookmarkStart w:id="487" w:name="_Toc24456"/>
            <w:bookmarkStart w:id="488" w:name="_Toc163812644"/>
            <w:bookmarkStart w:id="489" w:name="_Toc167095267"/>
            <w:r>
              <w:rPr>
                <w:rFonts w:hint="eastAsia" w:hAnsi="Times New Roman" w:eastAsia="宋体"/>
                <w:b/>
                <w:kern w:val="2"/>
                <w:sz w:val="21"/>
                <w:szCs w:val="21"/>
              </w:rPr>
              <w:t>平均时段</w:t>
            </w:r>
            <w:bookmarkEnd w:id="481"/>
            <w:bookmarkEnd w:id="482"/>
            <w:bookmarkEnd w:id="483"/>
            <w:bookmarkEnd w:id="484"/>
            <w:bookmarkEnd w:id="485"/>
            <w:bookmarkEnd w:id="486"/>
            <w:bookmarkEnd w:id="487"/>
            <w:bookmarkEnd w:id="488"/>
            <w:bookmarkEnd w:id="489"/>
          </w:p>
        </w:tc>
        <w:tc>
          <w:tcPr>
            <w:tcW w:w="2461" w:type="dxa"/>
            <w:vAlign w:val="center"/>
          </w:tcPr>
          <w:p>
            <w:pPr>
              <w:keepNext w:val="0"/>
              <w:keepLines w:val="0"/>
              <w:suppressLineNumbers w:val="0"/>
              <w:snapToGrid w:val="0"/>
              <w:spacing w:before="0" w:beforeAutospacing="0" w:after="0" w:afterAutospacing="0"/>
              <w:ind w:left="0" w:right="0"/>
              <w:jc w:val="center"/>
              <w:outlineLvl w:val="1"/>
              <w:rPr>
                <w:rFonts w:hint="eastAsia" w:hAnsi="Times New Roman" w:eastAsia="宋体"/>
                <w:b/>
                <w:kern w:val="2"/>
                <w:sz w:val="21"/>
                <w:szCs w:val="21"/>
              </w:rPr>
            </w:pPr>
            <w:bookmarkStart w:id="490" w:name="_Toc16765"/>
            <w:bookmarkStart w:id="491" w:name="_Toc163749188"/>
            <w:bookmarkStart w:id="492" w:name="_Toc167095268"/>
            <w:bookmarkStart w:id="493" w:name="_Toc11181"/>
            <w:bookmarkStart w:id="494" w:name="_Toc163812645"/>
            <w:bookmarkStart w:id="495" w:name="_Toc23310"/>
            <w:bookmarkStart w:id="496" w:name="_Toc23664"/>
            <w:bookmarkStart w:id="497" w:name="_Toc22351"/>
            <w:bookmarkStart w:id="498" w:name="_Toc26815"/>
            <w:r>
              <w:rPr>
                <w:rFonts w:hint="eastAsia" w:hAnsi="Times New Roman" w:eastAsia="宋体"/>
                <w:b/>
                <w:kern w:val="2"/>
                <w:sz w:val="21"/>
                <w:szCs w:val="21"/>
              </w:rPr>
              <w:t>标准值（mg/m</w:t>
            </w:r>
            <w:r>
              <w:rPr>
                <w:rFonts w:hint="eastAsia" w:hAnsi="Times New Roman" w:eastAsia="宋体"/>
                <w:b/>
                <w:kern w:val="2"/>
                <w:sz w:val="21"/>
                <w:szCs w:val="21"/>
                <w:vertAlign w:val="superscript"/>
              </w:rPr>
              <w:t>3</w:t>
            </w:r>
            <w:r>
              <w:rPr>
                <w:rFonts w:hint="eastAsia" w:hAnsi="Times New Roman" w:eastAsia="宋体"/>
                <w:b/>
                <w:kern w:val="2"/>
                <w:sz w:val="21"/>
                <w:szCs w:val="21"/>
              </w:rPr>
              <w:t>）</w:t>
            </w:r>
            <w:bookmarkEnd w:id="490"/>
            <w:bookmarkEnd w:id="491"/>
            <w:bookmarkEnd w:id="492"/>
            <w:bookmarkEnd w:id="493"/>
            <w:bookmarkEnd w:id="494"/>
            <w:bookmarkEnd w:id="495"/>
            <w:bookmarkEnd w:id="496"/>
            <w:bookmarkEnd w:id="497"/>
            <w:bookmarkEnd w:id="498"/>
          </w:p>
        </w:tc>
        <w:tc>
          <w:tcPr>
            <w:tcW w:w="3101" w:type="dxa"/>
            <w:vAlign w:val="center"/>
          </w:tcPr>
          <w:p>
            <w:pPr>
              <w:keepNext w:val="0"/>
              <w:keepLines w:val="0"/>
              <w:suppressLineNumbers w:val="0"/>
              <w:snapToGrid w:val="0"/>
              <w:spacing w:before="0" w:beforeAutospacing="0" w:after="0" w:afterAutospacing="0"/>
              <w:ind w:left="0" w:right="0"/>
              <w:jc w:val="center"/>
              <w:outlineLvl w:val="1"/>
              <w:rPr>
                <w:rFonts w:hint="eastAsia" w:hAnsi="Times New Roman" w:eastAsia="宋体"/>
                <w:b/>
                <w:kern w:val="2"/>
                <w:sz w:val="21"/>
                <w:szCs w:val="21"/>
              </w:rPr>
            </w:pPr>
            <w:bookmarkStart w:id="499" w:name="_Toc163812646"/>
            <w:bookmarkStart w:id="500" w:name="_Toc163749189"/>
            <w:bookmarkStart w:id="501" w:name="_Toc860"/>
            <w:bookmarkStart w:id="502" w:name="_Toc7323"/>
            <w:bookmarkStart w:id="503" w:name="_Toc21234"/>
            <w:bookmarkStart w:id="504" w:name="_Toc19355"/>
            <w:bookmarkStart w:id="505" w:name="_Toc3245"/>
            <w:bookmarkStart w:id="506" w:name="_Toc16341"/>
            <w:bookmarkStart w:id="507" w:name="_Toc167095269"/>
            <w:r>
              <w:rPr>
                <w:rFonts w:hint="eastAsia" w:hAnsi="Times New Roman" w:eastAsia="宋体"/>
                <w:b/>
                <w:kern w:val="2"/>
                <w:sz w:val="21"/>
                <w:szCs w:val="21"/>
              </w:rPr>
              <w:t>标准来源</w:t>
            </w:r>
            <w:bookmarkEnd w:id="499"/>
            <w:bookmarkEnd w:id="500"/>
            <w:bookmarkEnd w:id="501"/>
            <w:bookmarkEnd w:id="502"/>
            <w:bookmarkEnd w:id="503"/>
            <w:bookmarkEnd w:id="504"/>
            <w:bookmarkEnd w:id="505"/>
            <w:bookmarkEnd w:id="506"/>
            <w:bookmarkEnd w:id="507"/>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81" w:type="dxa"/>
            <w:vAlign w:val="center"/>
          </w:tcPr>
          <w:p>
            <w:pPr>
              <w:keepNext w:val="0"/>
              <w:keepLines w:val="0"/>
              <w:suppressLineNumbers w:val="0"/>
              <w:snapToGrid w:val="0"/>
              <w:spacing w:before="0" w:beforeAutospacing="0" w:after="0" w:afterAutospacing="0"/>
              <w:ind w:left="0" w:right="0"/>
              <w:jc w:val="center"/>
              <w:outlineLvl w:val="1"/>
              <w:rPr>
                <w:rFonts w:hint="eastAsia" w:hAnsi="Times New Roman" w:eastAsia="宋体"/>
                <w:kern w:val="2"/>
                <w:sz w:val="21"/>
                <w:szCs w:val="21"/>
                <w:lang w:eastAsia="zh-CN"/>
              </w:rPr>
            </w:pPr>
            <w:bookmarkStart w:id="508" w:name="_Toc9417"/>
            <w:bookmarkStart w:id="509" w:name="_Toc21244"/>
            <w:bookmarkStart w:id="510" w:name="_Toc167095270"/>
            <w:bookmarkStart w:id="511" w:name="_Toc163749190"/>
            <w:bookmarkStart w:id="512" w:name="_Toc7235"/>
            <w:bookmarkStart w:id="513" w:name="_Toc13810"/>
            <w:bookmarkStart w:id="514" w:name="_Toc163812647"/>
            <w:bookmarkStart w:id="515" w:name="_Toc26398"/>
            <w:bookmarkStart w:id="516" w:name="_Toc1679"/>
            <w:r>
              <w:rPr>
                <w:rFonts w:hint="eastAsia" w:hAnsi="Times New Roman" w:eastAsia="宋体"/>
                <w:bCs/>
                <w:kern w:val="2"/>
                <w:sz w:val="21"/>
                <w:szCs w:val="21"/>
                <w:lang w:eastAsia="zh-CN"/>
              </w:rPr>
              <w:t>TSP</w:t>
            </w:r>
            <w:bookmarkEnd w:id="508"/>
            <w:bookmarkEnd w:id="509"/>
            <w:bookmarkEnd w:id="510"/>
            <w:bookmarkEnd w:id="511"/>
            <w:bookmarkEnd w:id="512"/>
            <w:bookmarkEnd w:id="513"/>
            <w:bookmarkEnd w:id="514"/>
            <w:bookmarkEnd w:id="515"/>
            <w:bookmarkEnd w:id="516"/>
          </w:p>
        </w:tc>
        <w:tc>
          <w:tcPr>
            <w:tcW w:w="2085" w:type="dxa"/>
            <w:vAlign w:val="center"/>
          </w:tcPr>
          <w:p>
            <w:pPr>
              <w:keepNext w:val="0"/>
              <w:keepLines w:val="0"/>
              <w:suppressLineNumbers w:val="0"/>
              <w:snapToGrid w:val="0"/>
              <w:spacing w:before="0" w:beforeAutospacing="0" w:after="0" w:afterAutospacing="0"/>
              <w:ind w:left="0" w:right="0"/>
              <w:jc w:val="center"/>
              <w:outlineLvl w:val="1"/>
              <w:rPr>
                <w:rFonts w:hint="eastAsia" w:hAnsi="Times New Roman" w:eastAsia="宋体"/>
                <w:kern w:val="2"/>
                <w:sz w:val="21"/>
                <w:szCs w:val="21"/>
              </w:rPr>
            </w:pPr>
            <w:bookmarkStart w:id="517" w:name="_Toc7389"/>
            <w:bookmarkStart w:id="518" w:name="_Toc7236"/>
            <w:bookmarkStart w:id="519" w:name="_Toc27704"/>
            <w:bookmarkStart w:id="520" w:name="_Toc167095271"/>
            <w:bookmarkStart w:id="521" w:name="_Toc163749191"/>
            <w:bookmarkStart w:id="522" w:name="_Toc163812648"/>
            <w:bookmarkStart w:id="523" w:name="_Toc48"/>
            <w:bookmarkStart w:id="524" w:name="_Toc30224"/>
            <w:bookmarkStart w:id="525" w:name="_Toc3214"/>
            <w:r>
              <w:rPr>
                <w:rFonts w:hint="eastAsia" w:hAnsi="Times New Roman" w:eastAsia="宋体"/>
                <w:kern w:val="2"/>
                <w:sz w:val="21"/>
                <w:szCs w:val="21"/>
              </w:rPr>
              <w:t>24h平均</w:t>
            </w:r>
            <w:bookmarkEnd w:id="517"/>
            <w:bookmarkEnd w:id="518"/>
            <w:bookmarkEnd w:id="519"/>
            <w:bookmarkEnd w:id="520"/>
            <w:bookmarkEnd w:id="521"/>
            <w:bookmarkEnd w:id="522"/>
            <w:bookmarkEnd w:id="523"/>
            <w:bookmarkEnd w:id="524"/>
            <w:bookmarkEnd w:id="525"/>
          </w:p>
        </w:tc>
        <w:tc>
          <w:tcPr>
            <w:tcW w:w="2461" w:type="dxa"/>
            <w:vAlign w:val="center"/>
          </w:tcPr>
          <w:p>
            <w:pPr>
              <w:keepNext w:val="0"/>
              <w:keepLines w:val="0"/>
              <w:suppressLineNumbers w:val="0"/>
              <w:adjustRightInd w:val="0"/>
              <w:snapToGrid w:val="0"/>
              <w:spacing w:before="0" w:beforeAutospacing="0" w:after="0" w:afterAutospacing="0"/>
              <w:ind w:left="0" w:right="0"/>
              <w:jc w:val="center"/>
              <w:rPr>
                <w:rFonts w:hint="eastAsia" w:hAnsi="Times New Roman" w:eastAsia="宋体"/>
                <w:kern w:val="21"/>
                <w:sz w:val="21"/>
                <w:szCs w:val="21"/>
              </w:rPr>
            </w:pPr>
            <w:r>
              <w:rPr>
                <w:rFonts w:hint="eastAsia" w:hAnsi="Times New Roman" w:eastAsia="宋体"/>
                <w:kern w:val="21"/>
                <w:sz w:val="21"/>
                <w:szCs w:val="21"/>
              </w:rPr>
              <w:t>0.3</w:t>
            </w:r>
          </w:p>
          <w:p>
            <w:pPr>
              <w:keepNext w:val="0"/>
              <w:keepLines w:val="0"/>
              <w:suppressLineNumbers w:val="0"/>
              <w:snapToGrid w:val="0"/>
              <w:spacing w:before="0" w:beforeAutospacing="0" w:after="0" w:afterAutospacing="0"/>
              <w:ind w:left="0" w:right="0"/>
              <w:jc w:val="center"/>
              <w:outlineLvl w:val="1"/>
              <w:rPr>
                <w:rFonts w:hint="eastAsia" w:hAnsi="Times New Roman" w:eastAsia="宋体"/>
                <w:kern w:val="2"/>
                <w:sz w:val="21"/>
                <w:szCs w:val="21"/>
                <w:lang w:eastAsia="zh-CN"/>
              </w:rPr>
            </w:pPr>
            <w:bookmarkStart w:id="526" w:name="_Toc163812649"/>
            <w:bookmarkStart w:id="527" w:name="_Toc11028"/>
            <w:bookmarkStart w:id="528" w:name="_Toc10379"/>
            <w:bookmarkStart w:id="529" w:name="_Toc167095272"/>
            <w:bookmarkStart w:id="530" w:name="_Toc11889"/>
            <w:bookmarkStart w:id="531" w:name="_Toc163749192"/>
            <w:r>
              <w:rPr>
                <w:rFonts w:hint="eastAsia" w:hAnsi="Times New Roman" w:eastAsia="宋体"/>
                <w:kern w:val="21"/>
                <w:sz w:val="21"/>
                <w:szCs w:val="21"/>
              </w:rPr>
              <w:t>折合小时均值0.9（3倍）</w:t>
            </w:r>
            <w:bookmarkEnd w:id="526"/>
            <w:bookmarkEnd w:id="527"/>
            <w:bookmarkEnd w:id="528"/>
            <w:bookmarkEnd w:id="529"/>
            <w:bookmarkEnd w:id="530"/>
            <w:bookmarkEnd w:id="531"/>
          </w:p>
        </w:tc>
        <w:tc>
          <w:tcPr>
            <w:tcW w:w="3101" w:type="dxa"/>
            <w:vAlign w:val="center"/>
          </w:tcPr>
          <w:p>
            <w:pPr>
              <w:keepNext w:val="0"/>
              <w:keepLines w:val="0"/>
              <w:suppressLineNumbers w:val="0"/>
              <w:snapToGrid w:val="0"/>
              <w:spacing w:before="0" w:beforeAutospacing="0" w:after="0" w:afterAutospacing="0"/>
              <w:ind w:left="0" w:right="0"/>
              <w:jc w:val="center"/>
              <w:outlineLvl w:val="1"/>
              <w:rPr>
                <w:rFonts w:hint="eastAsia" w:hAnsi="Times New Roman" w:eastAsia="宋体"/>
                <w:bCs/>
                <w:kern w:val="2"/>
                <w:sz w:val="21"/>
                <w:szCs w:val="21"/>
              </w:rPr>
            </w:pPr>
            <w:bookmarkStart w:id="532" w:name="_Toc13252"/>
            <w:bookmarkStart w:id="533" w:name="_Toc23638"/>
            <w:bookmarkStart w:id="534" w:name="_Toc6174"/>
            <w:bookmarkStart w:id="535" w:name="_Toc11802"/>
            <w:bookmarkStart w:id="536" w:name="_Toc13835"/>
            <w:bookmarkStart w:id="537" w:name="_Toc10710"/>
            <w:bookmarkStart w:id="538" w:name="_Toc163812650"/>
            <w:bookmarkStart w:id="539" w:name="_Toc163749193"/>
            <w:bookmarkStart w:id="540" w:name="_Toc167095273"/>
            <w:r>
              <w:rPr>
                <w:rFonts w:hint="eastAsia" w:hAnsi="Times New Roman" w:eastAsia="宋体"/>
                <w:bCs/>
                <w:kern w:val="2"/>
                <w:sz w:val="21"/>
                <w:szCs w:val="21"/>
              </w:rPr>
              <w:t>《环境空气质量标准》</w:t>
            </w:r>
            <w:bookmarkEnd w:id="532"/>
            <w:bookmarkEnd w:id="533"/>
            <w:bookmarkEnd w:id="534"/>
            <w:bookmarkEnd w:id="535"/>
            <w:bookmarkEnd w:id="536"/>
            <w:bookmarkEnd w:id="537"/>
            <w:bookmarkEnd w:id="538"/>
            <w:bookmarkEnd w:id="539"/>
            <w:bookmarkEnd w:id="540"/>
          </w:p>
          <w:p>
            <w:pPr>
              <w:keepNext w:val="0"/>
              <w:keepLines w:val="0"/>
              <w:suppressLineNumbers w:val="0"/>
              <w:snapToGrid w:val="0"/>
              <w:spacing w:before="0" w:beforeAutospacing="0" w:after="0" w:afterAutospacing="0"/>
              <w:ind w:left="0" w:right="0"/>
              <w:jc w:val="center"/>
              <w:outlineLvl w:val="1"/>
              <w:rPr>
                <w:rFonts w:hint="eastAsia" w:hAnsi="Times New Roman" w:eastAsia="宋体"/>
                <w:b/>
                <w:kern w:val="2"/>
                <w:sz w:val="21"/>
                <w:szCs w:val="21"/>
              </w:rPr>
            </w:pPr>
            <w:bookmarkStart w:id="541" w:name="_Toc24039"/>
            <w:bookmarkStart w:id="542" w:name="_Toc167095274"/>
            <w:bookmarkStart w:id="543" w:name="_Toc19012"/>
            <w:bookmarkStart w:id="544" w:name="_Toc22890"/>
            <w:bookmarkStart w:id="545" w:name="_Toc163749194"/>
            <w:bookmarkStart w:id="546" w:name="_Toc2218"/>
            <w:bookmarkStart w:id="547" w:name="_Toc163812651"/>
            <w:bookmarkStart w:id="548" w:name="_Toc4099"/>
            <w:bookmarkStart w:id="549" w:name="_Toc27010"/>
            <w:r>
              <w:rPr>
                <w:rFonts w:hint="eastAsia" w:hAnsi="Times New Roman" w:eastAsia="宋体"/>
                <w:bCs/>
                <w:kern w:val="2"/>
                <w:sz w:val="21"/>
                <w:szCs w:val="21"/>
              </w:rPr>
              <w:t>（GB 3095-2012）</w:t>
            </w:r>
            <w:bookmarkEnd w:id="541"/>
            <w:bookmarkEnd w:id="542"/>
            <w:bookmarkEnd w:id="543"/>
            <w:bookmarkEnd w:id="544"/>
            <w:bookmarkEnd w:id="545"/>
            <w:bookmarkEnd w:id="546"/>
            <w:bookmarkEnd w:id="547"/>
            <w:bookmarkEnd w:id="548"/>
            <w:bookmarkEnd w:id="549"/>
          </w:p>
        </w:tc>
      </w:tr>
    </w:tbl>
    <w:p>
      <w:pPr>
        <w:spacing w:line="360" w:lineRule="auto"/>
        <w:ind w:firstLine="480"/>
        <w:rPr>
          <w:rFonts w:hAnsi="Times New Roman" w:eastAsia="宋体"/>
          <w:b/>
          <w:bCs/>
          <w:kern w:val="2"/>
        </w:rPr>
      </w:pPr>
      <w:r>
        <w:rPr>
          <w:rFonts w:hAnsi="Times New Roman" w:eastAsia="宋体"/>
          <w:b/>
          <w:bCs/>
          <w:kern w:val="2"/>
        </w:rPr>
        <w:t>②</w:t>
      </w:r>
      <w:r>
        <w:rPr>
          <w:rFonts w:hAnsi="Times New Roman" w:eastAsia="宋体"/>
          <w:b/>
          <w:bCs/>
          <w:kern w:val="2"/>
          <w:lang w:eastAsia="zh-CN"/>
        </w:rPr>
        <w:t>估算模型参数</w:t>
      </w:r>
    </w:p>
    <w:p>
      <w:pPr>
        <w:spacing w:line="360" w:lineRule="auto"/>
        <w:ind w:firstLine="480"/>
        <w:rPr>
          <w:rFonts w:hAnsi="Times New Roman" w:eastAsia="宋体"/>
          <w:kern w:val="2"/>
        </w:rPr>
      </w:pPr>
      <w:r>
        <w:rPr>
          <w:rFonts w:hAnsi="Times New Roman" w:eastAsia="宋体"/>
          <w:kern w:val="2"/>
        </w:rPr>
        <w:t>本次大气环境影响预测采用《环境影响评价技术导则-大气环境》（HJ2.2-2018）推荐模式清单中的AERSCREEN模型进行预测，计算各预测因子最大落地地面浓度值。根据项目所在地环境特点，本项目估算模型参数见下表：</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表7.2-3 估算模式参数表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23"/>
        <w:gridCol w:w="3210"/>
        <w:gridCol w:w="42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2747" w:type="pct"/>
            <w:gridSpan w:val="2"/>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参数</w:t>
            </w:r>
          </w:p>
        </w:tc>
        <w:tc>
          <w:tcPr>
            <w:tcW w:w="2253"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取值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1029"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城市农村/选项</w:t>
            </w:r>
          </w:p>
        </w:tc>
        <w:tc>
          <w:tcPr>
            <w:tcW w:w="171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城市/农村</w:t>
            </w:r>
          </w:p>
        </w:tc>
        <w:tc>
          <w:tcPr>
            <w:tcW w:w="225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农村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1029"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71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人口数（城市选项时）</w:t>
            </w:r>
          </w:p>
        </w:tc>
        <w:tc>
          <w:tcPr>
            <w:tcW w:w="225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2747" w:type="pct"/>
            <w:gridSpan w:val="2"/>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最高环境温度</w:t>
            </w:r>
          </w:p>
        </w:tc>
        <w:tc>
          <w:tcPr>
            <w:tcW w:w="225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41.3</w:t>
            </w:r>
            <w:r>
              <w:rPr>
                <w:rFonts w:hint="eastAsia" w:hAnsi="Times New Roman" w:eastAsia="宋体"/>
                <w:kern w:val="2"/>
                <w:sz w:val="21"/>
                <w:szCs w:val="21"/>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2747" w:type="pct"/>
            <w:gridSpan w:val="2"/>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最低环境温度</w:t>
            </w:r>
          </w:p>
        </w:tc>
        <w:tc>
          <w:tcPr>
            <w:tcW w:w="225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w:t>
            </w:r>
            <w:r>
              <w:rPr>
                <w:rFonts w:hint="eastAsia" w:hAnsi="Times New Roman" w:eastAsia="宋体"/>
                <w:kern w:val="2"/>
                <w:sz w:val="21"/>
                <w:szCs w:val="21"/>
                <w:lang w:eastAsia="zh-CN"/>
              </w:rPr>
              <w:t>5.3</w:t>
            </w:r>
            <w:r>
              <w:rPr>
                <w:rFonts w:hint="eastAsia" w:hAnsi="Times New Roman" w:eastAsia="宋体"/>
                <w:kern w:val="2"/>
                <w:sz w:val="21"/>
                <w:szCs w:val="21"/>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2747" w:type="pct"/>
            <w:gridSpan w:val="2"/>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土地利用类型</w:t>
            </w:r>
          </w:p>
        </w:tc>
        <w:tc>
          <w:tcPr>
            <w:tcW w:w="225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阔叶林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2747" w:type="pct"/>
            <w:gridSpan w:val="2"/>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区域湿度条件</w:t>
            </w:r>
          </w:p>
        </w:tc>
        <w:tc>
          <w:tcPr>
            <w:tcW w:w="225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潮湿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1029"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是否考虑地形</w:t>
            </w:r>
          </w:p>
        </w:tc>
        <w:tc>
          <w:tcPr>
            <w:tcW w:w="171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考虑地形</w:t>
            </w:r>
          </w:p>
        </w:tc>
        <w:tc>
          <w:tcPr>
            <w:tcW w:w="225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1029"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71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地形数据分辨率/m</w:t>
            </w:r>
          </w:p>
        </w:tc>
        <w:tc>
          <w:tcPr>
            <w:tcW w:w="225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1029"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是否考虑海岸线熏烟</w:t>
            </w:r>
          </w:p>
        </w:tc>
        <w:tc>
          <w:tcPr>
            <w:tcW w:w="171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考虑海岸线熏烟</w:t>
            </w:r>
          </w:p>
        </w:tc>
        <w:tc>
          <w:tcPr>
            <w:tcW w:w="225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1029"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71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海岸线距离/km</w:t>
            </w:r>
          </w:p>
        </w:tc>
        <w:tc>
          <w:tcPr>
            <w:tcW w:w="225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29"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c>
          <w:tcPr>
            <w:tcW w:w="171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海岸线方向/o</w:t>
            </w:r>
          </w:p>
        </w:tc>
        <w:tc>
          <w:tcPr>
            <w:tcW w:w="225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w:t>
            </w:r>
          </w:p>
        </w:tc>
      </w:tr>
    </w:tbl>
    <w:p>
      <w:pPr>
        <w:spacing w:line="360" w:lineRule="auto"/>
        <w:ind w:firstLine="480"/>
        <w:rPr>
          <w:rFonts w:hAnsi="Times New Roman" w:eastAsia="宋体"/>
          <w:b/>
          <w:bCs/>
          <w:kern w:val="2"/>
        </w:rPr>
      </w:pPr>
      <w:r>
        <w:rPr>
          <w:rFonts w:hAnsi="Times New Roman" w:eastAsia="宋体"/>
          <w:b/>
          <w:bCs/>
          <w:kern w:val="2"/>
          <w:lang w:eastAsia="zh-CN"/>
        </w:rPr>
        <w:t>③</w:t>
      </w:r>
      <w:r>
        <w:rPr>
          <w:rFonts w:hAnsi="Times New Roman" w:eastAsia="宋体"/>
          <w:b/>
          <w:bCs/>
          <w:kern w:val="2"/>
          <w:szCs w:val="22"/>
          <w:lang w:eastAsia="zh-CN"/>
        </w:rPr>
        <w:t>污染源调查</w:t>
      </w:r>
    </w:p>
    <w:p>
      <w:pPr>
        <w:spacing w:line="360" w:lineRule="auto"/>
        <w:ind w:firstLine="480"/>
        <w:rPr>
          <w:rFonts w:hAnsi="Times New Roman" w:eastAsia="宋体"/>
          <w:kern w:val="2"/>
        </w:rPr>
      </w:pPr>
      <w:r>
        <w:rPr>
          <w:rFonts w:hAnsi="Times New Roman" w:eastAsia="宋体"/>
          <w:kern w:val="2"/>
        </w:rPr>
        <w:t>本项目大气污染源点源及面源参数调查清单见下表。</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表7.2-4 项目无组织（面源）废气污染源强排放参数</w:t>
      </w:r>
    </w:p>
    <w:tbl>
      <w:tblPr>
        <w:tblStyle w:val="34"/>
        <w:tblW w:w="9161" w:type="dxa"/>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56"/>
        <w:gridCol w:w="600"/>
        <w:gridCol w:w="1035"/>
        <w:gridCol w:w="1260"/>
        <w:gridCol w:w="1215"/>
        <w:gridCol w:w="1215"/>
        <w:gridCol w:w="960"/>
        <w:gridCol w:w="7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6"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排放源</w:t>
            </w:r>
          </w:p>
        </w:tc>
        <w:tc>
          <w:tcPr>
            <w:tcW w:w="600"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污染物</w:t>
            </w:r>
          </w:p>
        </w:tc>
        <w:tc>
          <w:tcPr>
            <w:tcW w:w="1035"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排放量（t/a）</w:t>
            </w:r>
          </w:p>
        </w:tc>
        <w:tc>
          <w:tcPr>
            <w:tcW w:w="1260"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排放速率（kg/h）</w:t>
            </w:r>
          </w:p>
        </w:tc>
        <w:tc>
          <w:tcPr>
            <w:tcW w:w="1215"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面源长度</w:t>
            </w:r>
            <w:r>
              <w:rPr>
                <w:rFonts w:hint="eastAsia" w:hAnsi="Times New Roman" w:eastAsia="宋体"/>
                <w:b/>
                <w:bCs/>
                <w:kern w:val="2"/>
                <w:sz w:val="21"/>
                <w:szCs w:val="21"/>
                <w:lang w:eastAsia="zh-CN"/>
              </w:rPr>
              <w:t>（</w:t>
            </w:r>
            <w:r>
              <w:rPr>
                <w:rFonts w:hint="eastAsia" w:hAnsi="Times New Roman" w:eastAsia="宋体"/>
                <w:b/>
                <w:bCs/>
                <w:kern w:val="2"/>
                <w:sz w:val="21"/>
                <w:szCs w:val="21"/>
              </w:rPr>
              <w:t>m</w:t>
            </w:r>
            <w:r>
              <w:rPr>
                <w:rFonts w:hint="eastAsia" w:hAnsi="Times New Roman" w:eastAsia="宋体"/>
                <w:b/>
                <w:bCs/>
                <w:kern w:val="2"/>
                <w:sz w:val="21"/>
                <w:szCs w:val="21"/>
                <w:lang w:eastAsia="zh-CN"/>
              </w:rPr>
              <w:t>）</w:t>
            </w:r>
          </w:p>
        </w:tc>
        <w:tc>
          <w:tcPr>
            <w:tcW w:w="1215"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面源宽度</w:t>
            </w:r>
            <w:r>
              <w:rPr>
                <w:rFonts w:hint="eastAsia" w:hAnsi="Times New Roman" w:eastAsia="宋体"/>
                <w:b/>
                <w:bCs/>
                <w:kern w:val="2"/>
                <w:sz w:val="21"/>
                <w:szCs w:val="21"/>
                <w:lang w:eastAsia="zh-CN"/>
              </w:rPr>
              <w:t>（</w:t>
            </w:r>
            <w:r>
              <w:rPr>
                <w:rFonts w:hint="eastAsia" w:hAnsi="Times New Roman" w:eastAsia="宋体"/>
                <w:b/>
                <w:bCs/>
                <w:kern w:val="2"/>
                <w:sz w:val="21"/>
                <w:szCs w:val="21"/>
              </w:rPr>
              <w:t>m</w:t>
            </w:r>
            <w:r>
              <w:rPr>
                <w:rFonts w:hint="eastAsia" w:hAnsi="Times New Roman" w:eastAsia="宋体"/>
                <w:b/>
                <w:bCs/>
                <w:kern w:val="2"/>
                <w:sz w:val="21"/>
                <w:szCs w:val="21"/>
                <w:lang w:eastAsia="zh-CN"/>
              </w:rPr>
              <w:t>）</w:t>
            </w:r>
          </w:p>
        </w:tc>
        <w:tc>
          <w:tcPr>
            <w:tcW w:w="960"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面源有效排放高度</w:t>
            </w:r>
          </w:p>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（m）</w:t>
            </w:r>
          </w:p>
        </w:tc>
        <w:tc>
          <w:tcPr>
            <w:tcW w:w="720"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年排放小时数</w:t>
            </w:r>
            <w:r>
              <w:rPr>
                <w:rFonts w:hint="eastAsia" w:hAnsi="Times New Roman" w:eastAsia="宋体"/>
                <w:b/>
                <w:bCs/>
                <w:kern w:val="2"/>
                <w:sz w:val="21"/>
                <w:szCs w:val="21"/>
                <w:lang w:eastAsia="zh-CN"/>
              </w:rPr>
              <w:t>（</w:t>
            </w:r>
            <w:r>
              <w:rPr>
                <w:rFonts w:hint="eastAsia" w:hAnsi="Times New Roman" w:eastAsia="宋体"/>
                <w:b/>
                <w:bCs/>
                <w:kern w:val="2"/>
                <w:sz w:val="21"/>
                <w:szCs w:val="21"/>
              </w:rPr>
              <w:t>h</w:t>
            </w:r>
            <w:r>
              <w:rPr>
                <w:rFonts w:hint="eastAsia" w:hAnsi="Times New Roman" w:eastAsia="宋体"/>
                <w:b/>
                <w:bCs/>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6"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堆煤场及临时堆矸场</w:t>
            </w:r>
          </w:p>
        </w:tc>
        <w:tc>
          <w:tcPr>
            <w:tcW w:w="60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TSP</w:t>
            </w:r>
          </w:p>
        </w:tc>
        <w:tc>
          <w:tcPr>
            <w:tcW w:w="103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0.532</w:t>
            </w:r>
          </w:p>
        </w:tc>
        <w:tc>
          <w:tcPr>
            <w:tcW w:w="126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0.2796</w:t>
            </w:r>
          </w:p>
        </w:tc>
        <w:tc>
          <w:tcPr>
            <w:tcW w:w="121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65</w:t>
            </w:r>
          </w:p>
        </w:tc>
        <w:tc>
          <w:tcPr>
            <w:tcW w:w="121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28</w:t>
            </w:r>
          </w:p>
        </w:tc>
        <w:tc>
          <w:tcPr>
            <w:tcW w:w="96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6</w:t>
            </w:r>
          </w:p>
        </w:tc>
        <w:tc>
          <w:tcPr>
            <w:tcW w:w="72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7920</w:t>
            </w:r>
          </w:p>
        </w:tc>
      </w:tr>
    </w:tbl>
    <w:p>
      <w:pPr>
        <w:spacing w:line="360" w:lineRule="auto"/>
        <w:ind w:firstLine="480"/>
        <w:rPr>
          <w:rFonts w:hAnsi="Times New Roman" w:eastAsia="宋体"/>
          <w:kern w:val="2"/>
        </w:rPr>
      </w:pPr>
      <w:r>
        <w:rPr>
          <w:rFonts w:hAnsi="Times New Roman" w:eastAsia="宋体"/>
          <w:b/>
          <w:bCs/>
          <w:kern w:val="2"/>
        </w:rPr>
        <w:t>④评价等级判定</w:t>
      </w:r>
    </w:p>
    <w:p>
      <w:pPr>
        <w:spacing w:line="360" w:lineRule="auto"/>
        <w:ind w:firstLine="480"/>
        <w:rPr>
          <w:rFonts w:hAnsi="Times New Roman" w:eastAsia="宋体"/>
          <w:kern w:val="2"/>
        </w:rPr>
      </w:pPr>
      <w:r>
        <w:rPr>
          <w:rFonts w:hAnsi="Times New Roman" w:eastAsia="宋体"/>
          <w:kern w:val="2"/>
        </w:rPr>
        <w:t>根据估算模式，计算结果如下表所示：</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表7.2-5 无组织污染源 AERSCREEN 预测结果最大落地浓度占标率统计</w:t>
      </w:r>
    </w:p>
    <w:tbl>
      <w:tblPr>
        <w:tblStyle w:val="3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1"/>
        <w:gridCol w:w="1305"/>
        <w:gridCol w:w="1013"/>
        <w:gridCol w:w="1351"/>
        <w:gridCol w:w="1828"/>
        <w:gridCol w:w="1841"/>
        <w:gridCol w:w="13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9"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类型</w:t>
            </w:r>
          </w:p>
        </w:tc>
        <w:tc>
          <w:tcPr>
            <w:tcW w:w="698"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污染源</w:t>
            </w:r>
          </w:p>
        </w:tc>
        <w:tc>
          <w:tcPr>
            <w:tcW w:w="542"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污染物</w:t>
            </w:r>
          </w:p>
        </w:tc>
        <w:tc>
          <w:tcPr>
            <w:tcW w:w="723"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最大地面浓度（</w:t>
            </w:r>
            <w:r>
              <w:rPr>
                <w:rFonts w:hint="eastAsia" w:hAnsi="Times New Roman" w:eastAsia="宋体"/>
                <w:b/>
                <w:bCs/>
                <w:kern w:val="2"/>
                <w:sz w:val="21"/>
                <w:szCs w:val="21"/>
                <w:lang w:eastAsia="zh-CN"/>
              </w:rPr>
              <w:t>μg/m</w:t>
            </w:r>
            <w:r>
              <w:rPr>
                <w:rFonts w:hint="eastAsia" w:hAnsi="Times New Roman" w:eastAsia="宋体"/>
                <w:b/>
                <w:bCs/>
                <w:kern w:val="2"/>
                <w:sz w:val="21"/>
                <w:szCs w:val="21"/>
                <w:vertAlign w:val="superscript"/>
                <w:lang w:eastAsia="zh-CN"/>
              </w:rPr>
              <w:t>3</w:t>
            </w:r>
            <w:r>
              <w:rPr>
                <w:rFonts w:hint="eastAsia" w:hAnsi="Times New Roman" w:eastAsia="宋体"/>
                <w:b/>
                <w:bCs/>
                <w:kern w:val="2"/>
                <w:sz w:val="21"/>
                <w:szCs w:val="21"/>
              </w:rPr>
              <w:t>）</w:t>
            </w:r>
          </w:p>
        </w:tc>
        <w:tc>
          <w:tcPr>
            <w:tcW w:w="978"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下风向地面浓度占标率Pmax（%）</w:t>
            </w:r>
          </w:p>
        </w:tc>
        <w:tc>
          <w:tcPr>
            <w:tcW w:w="985"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最大地面浓度出现距离m</w:t>
            </w:r>
          </w:p>
        </w:tc>
        <w:tc>
          <w:tcPr>
            <w:tcW w:w="714"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评价标准mg/m</w:t>
            </w:r>
            <w:r>
              <w:rPr>
                <w:rFonts w:hint="eastAsia" w:hAnsi="Times New Roman" w:eastAsia="宋体"/>
                <w:b/>
                <w:bCs/>
                <w:kern w:val="2"/>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59" w:type="pct"/>
            <w:vAlign w:val="center"/>
          </w:tcPr>
          <w:p>
            <w:pPr>
              <w:keepNext w:val="0"/>
              <w:keepLines w:val="0"/>
              <w:suppressLineNumbers w:val="0"/>
              <w:autoSpaceDE w:val="0"/>
              <w:autoSpaceDN w:val="0"/>
              <w:spacing w:before="0" w:beforeAutospacing="0" w:after="0" w:afterAutospacing="0"/>
              <w:ind w:left="0" w:right="0"/>
              <w:jc w:val="center"/>
              <w:outlineLvl w:val="1"/>
              <w:rPr>
                <w:rFonts w:hint="eastAsia" w:hAnsi="Times New Roman" w:eastAsia="宋体"/>
                <w:kern w:val="2"/>
                <w:sz w:val="21"/>
                <w:szCs w:val="21"/>
              </w:rPr>
            </w:pPr>
            <w:bookmarkStart w:id="550" w:name="_Toc23539"/>
            <w:bookmarkStart w:id="551" w:name="_Toc163749195"/>
            <w:bookmarkStart w:id="552" w:name="_Toc5342"/>
            <w:bookmarkStart w:id="553" w:name="_Toc14063"/>
            <w:bookmarkStart w:id="554" w:name="_Toc163812652"/>
            <w:bookmarkStart w:id="555" w:name="_Toc18856"/>
            <w:bookmarkStart w:id="556" w:name="_Toc167095275"/>
            <w:bookmarkStart w:id="557" w:name="_Toc12917"/>
            <w:bookmarkStart w:id="558" w:name="_Toc10883"/>
            <w:r>
              <w:rPr>
                <w:rFonts w:hint="eastAsia" w:hAnsi="Times New Roman" w:eastAsia="宋体"/>
                <w:kern w:val="2"/>
                <w:sz w:val="21"/>
                <w:szCs w:val="21"/>
              </w:rPr>
              <w:t>面源</w:t>
            </w:r>
            <w:bookmarkEnd w:id="550"/>
            <w:bookmarkEnd w:id="551"/>
            <w:bookmarkEnd w:id="552"/>
            <w:bookmarkEnd w:id="553"/>
            <w:bookmarkEnd w:id="554"/>
            <w:bookmarkEnd w:id="555"/>
            <w:bookmarkEnd w:id="556"/>
            <w:bookmarkEnd w:id="557"/>
            <w:bookmarkEnd w:id="558"/>
          </w:p>
        </w:tc>
        <w:tc>
          <w:tcPr>
            <w:tcW w:w="69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堆煤场及临时堆矸场</w:t>
            </w:r>
          </w:p>
        </w:tc>
        <w:tc>
          <w:tcPr>
            <w:tcW w:w="542"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spacing w:val="4"/>
                <w:kern w:val="2"/>
                <w:sz w:val="21"/>
                <w:szCs w:val="21"/>
                <w:lang w:eastAsia="zh-CN"/>
              </w:rPr>
              <w:t>TSP</w:t>
            </w:r>
          </w:p>
        </w:tc>
        <w:tc>
          <w:tcPr>
            <w:tcW w:w="72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highlight w:val="yellow"/>
                <w:lang w:eastAsia="zh-CN"/>
              </w:rPr>
            </w:pPr>
            <w:r>
              <w:rPr>
                <w:rFonts w:hint="eastAsia" w:hAnsi="Times New Roman" w:eastAsia="宋体"/>
                <w:kern w:val="2"/>
                <w:sz w:val="21"/>
                <w:szCs w:val="21"/>
                <w:lang w:eastAsia="zh-CN"/>
              </w:rPr>
              <w:t>81.5190</w:t>
            </w:r>
          </w:p>
        </w:tc>
        <w:tc>
          <w:tcPr>
            <w:tcW w:w="97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highlight w:val="yellow"/>
                <w:lang w:eastAsia="zh-CN"/>
              </w:rPr>
            </w:pPr>
            <w:r>
              <w:rPr>
                <w:rFonts w:hint="eastAsia" w:hAnsi="Times New Roman" w:eastAsia="宋体"/>
                <w:kern w:val="2"/>
                <w:sz w:val="21"/>
                <w:szCs w:val="21"/>
                <w:lang w:eastAsia="zh-CN"/>
              </w:rPr>
              <w:t>9.0577</w:t>
            </w:r>
          </w:p>
        </w:tc>
        <w:tc>
          <w:tcPr>
            <w:tcW w:w="98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46.0</w:t>
            </w:r>
          </w:p>
        </w:tc>
        <w:tc>
          <w:tcPr>
            <w:tcW w:w="71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0.9</w:t>
            </w:r>
          </w:p>
        </w:tc>
      </w:tr>
    </w:tbl>
    <w:p>
      <w:pPr>
        <w:spacing w:line="360" w:lineRule="auto"/>
        <w:ind w:firstLine="480"/>
        <w:rPr>
          <w:rFonts w:hAnsi="Times New Roman" w:eastAsia="宋体"/>
          <w:kern w:val="2"/>
          <w:szCs w:val="22"/>
        </w:rPr>
      </w:pPr>
      <w:r>
        <w:rPr>
          <w:rFonts w:hAnsi="Times New Roman" w:eastAsia="宋体"/>
          <w:kern w:val="2"/>
          <w:szCs w:val="22"/>
        </w:rPr>
        <w:t>由上表可知，本项目大气环境影响评价为二级评价。</w:t>
      </w:r>
    </w:p>
    <w:p>
      <w:pPr>
        <w:spacing w:line="360" w:lineRule="auto"/>
        <w:ind w:firstLine="480"/>
        <w:rPr>
          <w:rFonts w:hAnsi="Times New Roman" w:eastAsia="宋体"/>
          <w:b/>
          <w:bCs/>
          <w:kern w:val="2"/>
          <w:lang w:eastAsia="zh-CN"/>
        </w:rPr>
      </w:pPr>
      <w:r>
        <w:rPr>
          <w:rFonts w:hAnsi="Times New Roman" w:eastAsia="宋体"/>
          <w:b/>
          <w:bCs/>
          <w:kern w:val="2"/>
        </w:rPr>
        <w:t>（</w:t>
      </w:r>
      <w:r>
        <w:rPr>
          <w:rFonts w:hAnsi="Times New Roman" w:eastAsia="宋体"/>
          <w:b/>
          <w:bCs/>
          <w:kern w:val="2"/>
          <w:lang w:eastAsia="zh-CN"/>
        </w:rPr>
        <w:t>2</w:t>
      </w:r>
      <w:r>
        <w:rPr>
          <w:rFonts w:hAnsi="Times New Roman" w:eastAsia="宋体"/>
          <w:b/>
          <w:bCs/>
          <w:kern w:val="2"/>
        </w:rPr>
        <w:t>）大气环境评价</w:t>
      </w:r>
      <w:r>
        <w:rPr>
          <w:rFonts w:hAnsi="Times New Roman" w:eastAsia="宋体"/>
          <w:b/>
          <w:bCs/>
          <w:kern w:val="2"/>
          <w:lang w:eastAsia="zh-CN"/>
        </w:rPr>
        <w:t>预测</w:t>
      </w:r>
    </w:p>
    <w:p>
      <w:pPr>
        <w:spacing w:line="360" w:lineRule="auto"/>
        <w:ind w:firstLine="480"/>
        <w:rPr>
          <w:rFonts w:hAnsi="Times New Roman" w:eastAsia="宋体"/>
          <w:kern w:val="2"/>
          <w:szCs w:val="22"/>
        </w:rPr>
      </w:pPr>
      <w:r>
        <w:rPr>
          <w:rFonts w:hAnsi="Times New Roman" w:eastAsia="宋体"/>
          <w:kern w:val="2"/>
          <w:szCs w:val="22"/>
        </w:rPr>
        <w:t>根据 HJ 2.2-2018 推荐估算模式，预测出正常工况下有组织排放源、无组织排放源分别形成的最大落地浓度及离源距离，见下表：</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表7.2-6  大气无组织污染物预测结果</w:t>
      </w:r>
    </w:p>
    <w:tbl>
      <w:tblPr>
        <w:tblStyle w:val="33"/>
        <w:tblW w:w="93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68"/>
        <w:gridCol w:w="3586"/>
        <w:gridCol w:w="29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8" w:type="dxa"/>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rPr>
              <w:t>下方向距离</w:t>
            </w:r>
            <w:r>
              <w:rPr>
                <w:rFonts w:hint="eastAsia" w:hAnsi="Times New Roman" w:eastAsia="宋体"/>
                <w:b/>
                <w:bCs/>
                <w:kern w:val="2"/>
                <w:sz w:val="21"/>
                <w:szCs w:val="21"/>
                <w:lang w:eastAsia="zh-CN"/>
              </w:rPr>
              <w:t>（</w:t>
            </w:r>
            <w:r>
              <w:rPr>
                <w:rFonts w:hint="eastAsia" w:hAnsi="Times New Roman" w:eastAsia="宋体"/>
                <w:b/>
                <w:bCs/>
                <w:kern w:val="2"/>
                <w:sz w:val="21"/>
                <w:szCs w:val="21"/>
              </w:rPr>
              <w:t>m</w:t>
            </w:r>
            <w:r>
              <w:rPr>
                <w:rFonts w:hint="eastAsia" w:hAnsi="Times New Roman" w:eastAsia="宋体"/>
                <w:b/>
                <w:bCs/>
                <w:kern w:val="2"/>
                <w:sz w:val="21"/>
                <w:szCs w:val="21"/>
                <w:lang w:eastAsia="zh-CN"/>
              </w:rPr>
              <w:t>）</w:t>
            </w:r>
          </w:p>
        </w:tc>
        <w:tc>
          <w:tcPr>
            <w:tcW w:w="6569" w:type="dxa"/>
            <w:gridSpan w:val="2"/>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厂区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8"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p>
        </w:tc>
        <w:tc>
          <w:tcPr>
            <w:tcW w:w="3586"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spacing w:val="4"/>
                <w:kern w:val="2"/>
                <w:sz w:val="21"/>
                <w:szCs w:val="21"/>
                <w:lang w:eastAsia="zh-CN"/>
              </w:rPr>
              <w:t>TSP</w:t>
            </w:r>
            <w:r>
              <w:rPr>
                <w:rFonts w:hint="eastAsia" w:hAnsi="Times New Roman" w:eastAsia="宋体"/>
                <w:b/>
                <w:bCs/>
                <w:kern w:val="2"/>
                <w:sz w:val="21"/>
                <w:szCs w:val="21"/>
              </w:rPr>
              <w:t>浓度（</w:t>
            </w:r>
            <w:r>
              <w:rPr>
                <w:rFonts w:hint="eastAsia" w:hAnsi="Times New Roman" w:eastAsia="宋体"/>
                <w:b/>
                <w:bCs/>
                <w:kern w:val="2"/>
                <w:sz w:val="21"/>
                <w:szCs w:val="21"/>
                <w:lang w:eastAsia="zh-CN"/>
              </w:rPr>
              <w:t>μg/m</w:t>
            </w:r>
            <w:r>
              <w:rPr>
                <w:rFonts w:hint="eastAsia" w:hAnsi="Times New Roman" w:eastAsia="宋体"/>
                <w:b/>
                <w:bCs/>
                <w:kern w:val="2"/>
                <w:sz w:val="21"/>
                <w:szCs w:val="21"/>
                <w:vertAlign w:val="superscript"/>
                <w:lang w:eastAsia="zh-CN"/>
              </w:rPr>
              <w:t>3</w:t>
            </w:r>
            <w:r>
              <w:rPr>
                <w:rFonts w:hint="eastAsia" w:hAnsi="Times New Roman" w:eastAsia="宋体"/>
                <w:b/>
                <w:bCs/>
                <w:kern w:val="2"/>
                <w:sz w:val="21"/>
                <w:szCs w:val="21"/>
              </w:rPr>
              <w:t>）</w:t>
            </w:r>
          </w:p>
        </w:tc>
        <w:tc>
          <w:tcPr>
            <w:tcW w:w="2983"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spacing w:val="4"/>
                <w:kern w:val="2"/>
                <w:sz w:val="21"/>
                <w:szCs w:val="21"/>
                <w:lang w:eastAsia="zh-CN"/>
              </w:rPr>
              <w:t>TSP</w:t>
            </w:r>
            <w:r>
              <w:rPr>
                <w:rFonts w:hint="eastAsia" w:hAnsi="Times New Roman" w:eastAsia="宋体"/>
                <w:b/>
                <w:bCs/>
                <w:kern w:val="2"/>
                <w:sz w:val="21"/>
                <w:szCs w:val="21"/>
              </w:rPr>
              <w:t>占标率（%）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1.0</w:t>
            </w:r>
          </w:p>
        </w:tc>
        <w:tc>
          <w:tcPr>
            <w:tcW w:w="3586"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rPr>
              <w:t>51.7420</w:t>
            </w:r>
          </w:p>
        </w:tc>
        <w:tc>
          <w:tcPr>
            <w:tcW w:w="298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rPr>
              <w:t>5.7491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25.0</w:t>
            </w:r>
          </w:p>
        </w:tc>
        <w:tc>
          <w:tcPr>
            <w:tcW w:w="3586"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74.6040</w:t>
            </w:r>
          </w:p>
        </w:tc>
        <w:tc>
          <w:tcPr>
            <w:tcW w:w="298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8.2893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46.0</w:t>
            </w:r>
          </w:p>
        </w:tc>
        <w:tc>
          <w:tcPr>
            <w:tcW w:w="3586"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81.5190</w:t>
            </w:r>
          </w:p>
        </w:tc>
        <w:tc>
          <w:tcPr>
            <w:tcW w:w="298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9.0577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100.0</w:t>
            </w:r>
          </w:p>
        </w:tc>
        <w:tc>
          <w:tcPr>
            <w:tcW w:w="3586"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60.1720</w:t>
            </w:r>
          </w:p>
        </w:tc>
        <w:tc>
          <w:tcPr>
            <w:tcW w:w="298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6.6858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rPr>
              <w:t>200.0</w:t>
            </w:r>
          </w:p>
        </w:tc>
        <w:tc>
          <w:tcPr>
            <w:tcW w:w="3586"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39.2190</w:t>
            </w:r>
          </w:p>
        </w:tc>
        <w:tc>
          <w:tcPr>
            <w:tcW w:w="298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4.3577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300.0</w:t>
            </w:r>
          </w:p>
        </w:tc>
        <w:tc>
          <w:tcPr>
            <w:tcW w:w="3586"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29.6010</w:t>
            </w:r>
          </w:p>
        </w:tc>
        <w:tc>
          <w:tcPr>
            <w:tcW w:w="298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3.2890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400.0</w:t>
            </w:r>
          </w:p>
        </w:tc>
        <w:tc>
          <w:tcPr>
            <w:tcW w:w="3586"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23.4310</w:t>
            </w:r>
          </w:p>
        </w:tc>
        <w:tc>
          <w:tcPr>
            <w:tcW w:w="298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2.6034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500.0</w:t>
            </w:r>
          </w:p>
        </w:tc>
        <w:tc>
          <w:tcPr>
            <w:tcW w:w="3586"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19.0550</w:t>
            </w:r>
          </w:p>
        </w:tc>
        <w:tc>
          <w:tcPr>
            <w:tcW w:w="298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2.1172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600.0</w:t>
            </w:r>
          </w:p>
        </w:tc>
        <w:tc>
          <w:tcPr>
            <w:tcW w:w="3586"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15.8700</w:t>
            </w:r>
          </w:p>
        </w:tc>
        <w:tc>
          <w:tcPr>
            <w:tcW w:w="298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rPr>
              <w:t>1.7633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700.0</w:t>
            </w:r>
          </w:p>
        </w:tc>
        <w:tc>
          <w:tcPr>
            <w:tcW w:w="3586"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13.4880</w:t>
            </w:r>
          </w:p>
        </w:tc>
        <w:tc>
          <w:tcPr>
            <w:tcW w:w="298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1.4987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800.0</w:t>
            </w:r>
          </w:p>
        </w:tc>
        <w:tc>
          <w:tcPr>
            <w:tcW w:w="3586"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11.6550</w:t>
            </w:r>
          </w:p>
        </w:tc>
        <w:tc>
          <w:tcPr>
            <w:tcW w:w="298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1.2950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900.0</w:t>
            </w:r>
          </w:p>
        </w:tc>
        <w:tc>
          <w:tcPr>
            <w:tcW w:w="3586"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10.2410</w:t>
            </w:r>
          </w:p>
        </w:tc>
        <w:tc>
          <w:tcPr>
            <w:tcW w:w="298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rPr>
              <w:t>1.1379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1000.0</w:t>
            </w:r>
          </w:p>
        </w:tc>
        <w:tc>
          <w:tcPr>
            <w:tcW w:w="3586"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9.0719</w:t>
            </w:r>
          </w:p>
        </w:tc>
        <w:tc>
          <w:tcPr>
            <w:tcW w:w="298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1.0080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1500.0</w:t>
            </w:r>
          </w:p>
        </w:tc>
        <w:tc>
          <w:tcPr>
            <w:tcW w:w="3586"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5.5862</w:t>
            </w:r>
          </w:p>
        </w:tc>
        <w:tc>
          <w:tcPr>
            <w:tcW w:w="298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0.6207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2000.0</w:t>
            </w:r>
          </w:p>
        </w:tc>
        <w:tc>
          <w:tcPr>
            <w:tcW w:w="3586"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3.9076</w:t>
            </w:r>
          </w:p>
        </w:tc>
        <w:tc>
          <w:tcPr>
            <w:tcW w:w="298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0.4342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2500.0</w:t>
            </w:r>
          </w:p>
        </w:tc>
        <w:tc>
          <w:tcPr>
            <w:tcW w:w="3586"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2.9455</w:t>
            </w:r>
          </w:p>
        </w:tc>
        <w:tc>
          <w:tcPr>
            <w:tcW w:w="298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0.3273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下风向最大浓度及占标率</w:t>
            </w:r>
          </w:p>
        </w:tc>
        <w:tc>
          <w:tcPr>
            <w:tcW w:w="3586"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81.5190</w:t>
            </w:r>
          </w:p>
        </w:tc>
        <w:tc>
          <w:tcPr>
            <w:tcW w:w="298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9.0577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下风向最大浓度出现距离</w:t>
            </w:r>
          </w:p>
        </w:tc>
        <w:tc>
          <w:tcPr>
            <w:tcW w:w="3586"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rPr>
              <w:t>46.0</w:t>
            </w:r>
          </w:p>
        </w:tc>
        <w:tc>
          <w:tcPr>
            <w:tcW w:w="298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46.0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D10%最远距离</w:t>
            </w:r>
          </w:p>
        </w:tc>
        <w:tc>
          <w:tcPr>
            <w:tcW w:w="3586"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298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w:t>
            </w:r>
          </w:p>
        </w:tc>
      </w:tr>
    </w:tbl>
    <w:p>
      <w:pPr>
        <w:jc w:val="center"/>
        <w:rPr>
          <w:rFonts w:hAnsi="Times New Roman" w:eastAsia="宋体"/>
          <w:lang w:eastAsia="zh-CN"/>
        </w:rPr>
      </w:pPr>
      <w:r>
        <w:rPr>
          <w:rFonts w:hAnsi="Times New Roman" w:eastAsia="宋体"/>
          <w:lang w:eastAsia="zh-CN"/>
        </w:rPr>
        <w:drawing>
          <wp:inline distT="0" distB="0" distL="114300" distR="114300">
            <wp:extent cx="5326380" cy="3230880"/>
            <wp:effectExtent l="0" t="0" r="7620" b="7620"/>
            <wp:docPr id="4" name="图片 4" descr="f13be0e78e38dd71806f1d8788594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f13be0e78e38dd71806f1d87885944f"/>
                    <pic:cNvPicPr>
                      <a:picLocks noChangeAspect="1"/>
                    </pic:cNvPicPr>
                  </pic:nvPicPr>
                  <pic:blipFill>
                    <a:blip r:embed="rId244"/>
                    <a:stretch>
                      <a:fillRect/>
                    </a:stretch>
                  </pic:blipFill>
                  <pic:spPr>
                    <a:xfrm>
                      <a:off x="0" y="0"/>
                      <a:ext cx="5326380" cy="3230880"/>
                    </a:xfrm>
                    <a:prstGeom prst="rect">
                      <a:avLst/>
                    </a:prstGeom>
                  </pic:spPr>
                </pic:pic>
              </a:graphicData>
            </a:graphic>
          </wp:inline>
        </w:drawing>
      </w:r>
    </w:p>
    <w:p>
      <w:pPr>
        <w:jc w:val="center"/>
        <w:rPr>
          <w:rFonts w:hAnsi="Times New Roman" w:eastAsia="宋体"/>
          <w:lang w:eastAsia="zh-CN"/>
        </w:rPr>
      </w:pPr>
      <w:r>
        <w:rPr>
          <w:rFonts w:hAnsi="Times New Roman" w:eastAsia="宋体"/>
          <w:b/>
          <w:bCs/>
          <w:sz w:val="21"/>
          <w:szCs w:val="21"/>
          <w:lang w:eastAsia="zh-CN"/>
        </w:rPr>
        <w:t>图7.2-1  堆煤场及临时堆矸场大气预测软件结果截图</w:t>
      </w:r>
      <w:r>
        <w:rPr>
          <w:rFonts w:hAnsi="Times New Roman" w:eastAsia="宋体"/>
          <w:lang w:eastAsia="zh-CN"/>
        </w:rPr>
        <w:drawing>
          <wp:inline distT="0" distB="0" distL="114300" distR="114300">
            <wp:extent cx="5298440" cy="3563620"/>
            <wp:effectExtent l="0" t="0" r="16510" b="17780"/>
            <wp:docPr id="8" name="图片 8" descr="b8bb56d78dfb8c8152a50e2ec943c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b8bb56d78dfb8c8152a50e2ec943cb5"/>
                    <pic:cNvPicPr>
                      <a:picLocks noChangeAspect="1"/>
                    </pic:cNvPicPr>
                  </pic:nvPicPr>
                  <pic:blipFill>
                    <a:blip r:embed="rId245"/>
                    <a:stretch>
                      <a:fillRect/>
                    </a:stretch>
                  </pic:blipFill>
                  <pic:spPr>
                    <a:xfrm>
                      <a:off x="0" y="0"/>
                      <a:ext cx="5298440" cy="3563620"/>
                    </a:xfrm>
                    <a:prstGeom prst="rect">
                      <a:avLst/>
                    </a:prstGeom>
                  </pic:spPr>
                </pic:pic>
              </a:graphicData>
            </a:graphic>
          </wp:inline>
        </w:drawing>
      </w:r>
    </w:p>
    <w:p>
      <w:pPr>
        <w:jc w:val="center"/>
        <w:rPr>
          <w:rFonts w:hAnsi="Times New Roman" w:eastAsia="宋体"/>
          <w:b/>
          <w:bCs/>
          <w:sz w:val="21"/>
          <w:szCs w:val="21"/>
          <w:lang w:eastAsia="zh-CN"/>
        </w:rPr>
      </w:pPr>
      <w:r>
        <w:rPr>
          <w:rFonts w:hAnsi="Times New Roman" w:eastAsia="宋体"/>
          <w:b/>
          <w:bCs/>
          <w:sz w:val="21"/>
          <w:szCs w:val="21"/>
          <w:lang w:eastAsia="zh-CN"/>
        </w:rPr>
        <w:t>图7.2-2   项目大气污染物预测结果截图</w:t>
      </w:r>
    </w:p>
    <w:p>
      <w:pPr>
        <w:spacing w:line="360" w:lineRule="auto"/>
        <w:ind w:firstLine="480"/>
        <w:rPr>
          <w:rFonts w:hAnsi="Times New Roman" w:eastAsia="宋体"/>
          <w:kern w:val="2"/>
        </w:rPr>
      </w:pPr>
      <w:r>
        <w:rPr>
          <w:rFonts w:hAnsi="Times New Roman" w:eastAsia="宋体"/>
          <w:kern w:val="2"/>
        </w:rPr>
        <w:t>综上所述，经估算模式预测，本项目排放污染物下风向最大质量浓度占标率Pmax=</w:t>
      </w:r>
      <w:r>
        <w:rPr>
          <w:rFonts w:hAnsi="Times New Roman" w:eastAsia="宋体"/>
          <w:kern w:val="2"/>
          <w:lang w:eastAsia="zh-CN"/>
        </w:rPr>
        <w:t>9.0577</w:t>
      </w:r>
      <w:r>
        <w:rPr>
          <w:rFonts w:hAnsi="Times New Roman" w:eastAsia="宋体"/>
          <w:kern w:val="2"/>
        </w:rPr>
        <w:t>%，即Pmax&lt;1%，根据《环境影响评价技术导则—大气环境》（HJ2.2-2018），大气环境评价工作等级为二级。根据导则要求，评价等级为二级的建设项目需要对污染物排放量进行核算。</w:t>
      </w:r>
    </w:p>
    <w:p>
      <w:pPr>
        <w:spacing w:line="360" w:lineRule="auto"/>
        <w:ind w:firstLine="480"/>
        <w:rPr>
          <w:rFonts w:hAnsi="Times New Roman" w:eastAsia="宋体"/>
          <w:b/>
          <w:bCs/>
          <w:kern w:val="2"/>
        </w:rPr>
      </w:pPr>
      <w:r>
        <w:rPr>
          <w:rFonts w:hAnsi="Times New Roman" w:eastAsia="宋体"/>
          <w:b/>
          <w:bCs/>
          <w:kern w:val="2"/>
        </w:rPr>
        <w:t>（</w:t>
      </w:r>
      <w:r>
        <w:rPr>
          <w:rFonts w:hAnsi="Times New Roman" w:eastAsia="宋体"/>
          <w:b/>
          <w:bCs/>
          <w:kern w:val="2"/>
          <w:lang w:eastAsia="zh-CN"/>
        </w:rPr>
        <w:t>3</w:t>
      </w:r>
      <w:r>
        <w:rPr>
          <w:rFonts w:hAnsi="Times New Roman" w:eastAsia="宋体"/>
          <w:b/>
          <w:bCs/>
          <w:kern w:val="2"/>
        </w:rPr>
        <w:t>）污染物排放量核算</w:t>
      </w:r>
    </w:p>
    <w:p>
      <w:pPr>
        <w:spacing w:line="360" w:lineRule="auto"/>
        <w:ind w:firstLine="480" w:firstLineChars="200"/>
        <w:rPr>
          <w:rFonts w:hAnsi="Times New Roman" w:eastAsia="宋体"/>
          <w:kern w:val="2"/>
        </w:rPr>
      </w:pPr>
      <w:r>
        <w:rPr>
          <w:rFonts w:hAnsi="Times New Roman" w:eastAsia="宋体"/>
          <w:kern w:val="2"/>
        </w:rPr>
        <w:t>根据《环境影响评价技术导则—大气环境》HJ2.2-2018 要求：二级评价项目不进行进一步预测与评价，只对污染物排放量进行核算。</w:t>
      </w:r>
      <w:r>
        <w:rPr>
          <w:rFonts w:hAnsi="Times New Roman" w:eastAsia="宋体"/>
        </w:rPr>
        <w:t>污染物排放量核算表包括有组织及无组织排放量、大气污染物年排放量等。</w:t>
      </w:r>
      <w:r>
        <w:rPr>
          <w:rFonts w:hAnsi="Times New Roman" w:eastAsia="宋体"/>
          <w:lang w:eastAsia="zh-CN"/>
        </w:rPr>
        <w:t>本项目无有组织废气排放，</w:t>
      </w:r>
      <w:r>
        <w:rPr>
          <w:rFonts w:hAnsi="Times New Roman" w:eastAsia="宋体"/>
        </w:rPr>
        <w:t>因此，本项目污染物排放量核算主要包括无组织排放量核算、大气污染物年排放量核算。</w:t>
      </w:r>
      <w:r>
        <w:rPr>
          <w:rFonts w:hAnsi="Times New Roman" w:eastAsia="宋体"/>
          <w:kern w:val="2"/>
        </w:rPr>
        <w:t>具体情况如下：</w:t>
      </w:r>
    </w:p>
    <w:p>
      <w:pPr>
        <w:jc w:val="center"/>
        <w:rPr>
          <w:rFonts w:hAnsi="Times New Roman" w:eastAsia="宋体"/>
          <w:b/>
          <w:bCs/>
          <w:sz w:val="21"/>
          <w:szCs w:val="21"/>
          <w:lang w:eastAsia="zh-CN"/>
        </w:rPr>
      </w:pPr>
      <w:r>
        <w:rPr>
          <w:rFonts w:hAnsi="Times New Roman" w:eastAsia="宋体"/>
          <w:b/>
          <w:bCs/>
          <w:sz w:val="21"/>
          <w:szCs w:val="21"/>
          <w:lang w:eastAsia="zh-CN"/>
        </w:rPr>
        <w:t>表7.2-7 大气污染物无组织排放量核算表</w:t>
      </w:r>
    </w:p>
    <w:tbl>
      <w:tblPr>
        <w:tblStyle w:val="34"/>
        <w:tblW w:w="934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1"/>
        <w:gridCol w:w="882"/>
        <w:gridCol w:w="1163"/>
        <w:gridCol w:w="887"/>
        <w:gridCol w:w="1736"/>
        <w:gridCol w:w="1843"/>
        <w:gridCol w:w="1255"/>
        <w:gridCol w:w="11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1" w:type="dxa"/>
            <w:vMerge w:val="restar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序号</w:t>
            </w:r>
          </w:p>
        </w:tc>
        <w:tc>
          <w:tcPr>
            <w:tcW w:w="882" w:type="dxa"/>
            <w:vMerge w:val="restar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排放口编号</w:t>
            </w:r>
          </w:p>
        </w:tc>
        <w:tc>
          <w:tcPr>
            <w:tcW w:w="1163" w:type="dxa"/>
            <w:vMerge w:val="restar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产污环节</w:t>
            </w:r>
          </w:p>
        </w:tc>
        <w:tc>
          <w:tcPr>
            <w:tcW w:w="887" w:type="dxa"/>
            <w:vMerge w:val="restar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污染物</w:t>
            </w:r>
          </w:p>
        </w:tc>
        <w:tc>
          <w:tcPr>
            <w:tcW w:w="1736" w:type="dxa"/>
            <w:vMerge w:val="restar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主要污染防治措施</w:t>
            </w:r>
          </w:p>
        </w:tc>
        <w:tc>
          <w:tcPr>
            <w:tcW w:w="3098" w:type="dxa"/>
            <w:gridSpan w:val="2"/>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国家或地方污染物排放标准</w:t>
            </w:r>
          </w:p>
        </w:tc>
        <w:tc>
          <w:tcPr>
            <w:tcW w:w="1143" w:type="dxa"/>
            <w:vMerge w:val="restar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年排放量（</w:t>
            </w:r>
            <w:r>
              <w:rPr>
                <w:rFonts w:hint="eastAsia" w:hAnsi="Times New Roman" w:eastAsia="宋体"/>
                <w:b/>
                <w:bCs/>
                <w:kern w:val="2"/>
                <w:sz w:val="21"/>
                <w:szCs w:val="21"/>
                <w:lang w:eastAsia="zh-CN"/>
              </w:rPr>
              <w:t>t</w:t>
            </w:r>
            <w:r>
              <w:rPr>
                <w:rFonts w:hint="eastAsia" w:hAnsi="Times New Roman" w:eastAsia="宋体"/>
                <w:b/>
                <w:bCs/>
                <w:kern w:val="2"/>
                <w:sz w:val="21"/>
                <w:szCs w:val="21"/>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1" w:type="dxa"/>
            <w:vMerge w:val="continue"/>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
                <w:bCs/>
                <w:kern w:val="2"/>
                <w:sz w:val="21"/>
                <w:szCs w:val="21"/>
              </w:rPr>
            </w:pPr>
          </w:p>
        </w:tc>
        <w:tc>
          <w:tcPr>
            <w:tcW w:w="882" w:type="dxa"/>
            <w:vMerge w:val="continue"/>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
                <w:bCs/>
                <w:kern w:val="2"/>
                <w:sz w:val="21"/>
                <w:szCs w:val="21"/>
              </w:rPr>
            </w:pPr>
          </w:p>
        </w:tc>
        <w:tc>
          <w:tcPr>
            <w:tcW w:w="1163" w:type="dxa"/>
            <w:vMerge w:val="continue"/>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
                <w:bCs/>
                <w:kern w:val="2"/>
                <w:sz w:val="21"/>
                <w:szCs w:val="21"/>
              </w:rPr>
            </w:pPr>
          </w:p>
        </w:tc>
        <w:tc>
          <w:tcPr>
            <w:tcW w:w="887" w:type="dxa"/>
            <w:vMerge w:val="continue"/>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
                <w:bCs/>
                <w:kern w:val="2"/>
                <w:sz w:val="21"/>
                <w:szCs w:val="21"/>
              </w:rPr>
            </w:pPr>
          </w:p>
        </w:tc>
        <w:tc>
          <w:tcPr>
            <w:tcW w:w="1736" w:type="dxa"/>
            <w:vMerge w:val="continue"/>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
                <w:bCs/>
                <w:kern w:val="2"/>
                <w:sz w:val="21"/>
                <w:szCs w:val="21"/>
              </w:rPr>
            </w:pPr>
          </w:p>
        </w:tc>
        <w:tc>
          <w:tcPr>
            <w:tcW w:w="1843"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标准名称</w:t>
            </w:r>
          </w:p>
        </w:tc>
        <w:tc>
          <w:tcPr>
            <w:tcW w:w="1255"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浓度限值（mg/m</w:t>
            </w:r>
            <w:r>
              <w:rPr>
                <w:rFonts w:hint="eastAsia" w:hAnsi="Times New Roman" w:eastAsia="宋体"/>
                <w:b/>
                <w:bCs/>
                <w:kern w:val="2"/>
                <w:sz w:val="21"/>
                <w:szCs w:val="21"/>
                <w:vertAlign w:val="superscript"/>
              </w:rPr>
              <w:t>3</w:t>
            </w:r>
            <w:r>
              <w:rPr>
                <w:rFonts w:hint="eastAsia" w:hAnsi="Times New Roman" w:eastAsia="宋体"/>
                <w:b/>
                <w:bCs/>
                <w:kern w:val="2"/>
                <w:sz w:val="21"/>
                <w:szCs w:val="21"/>
              </w:rPr>
              <w:t>）</w:t>
            </w:r>
          </w:p>
        </w:tc>
        <w:tc>
          <w:tcPr>
            <w:tcW w:w="1143" w:type="dxa"/>
            <w:vMerge w:val="continue"/>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
                <w:bCs/>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1"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1</w:t>
            </w:r>
          </w:p>
        </w:tc>
        <w:tc>
          <w:tcPr>
            <w:tcW w:w="882"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p>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163"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地面储煤场</w:t>
            </w:r>
          </w:p>
        </w:tc>
        <w:tc>
          <w:tcPr>
            <w:tcW w:w="887"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TSP</w:t>
            </w:r>
          </w:p>
        </w:tc>
        <w:tc>
          <w:tcPr>
            <w:tcW w:w="1736"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封闭式储煤场，喷雾洒水降尘</w:t>
            </w:r>
          </w:p>
        </w:tc>
        <w:tc>
          <w:tcPr>
            <w:tcW w:w="1843" w:type="dxa"/>
            <w:vMerge w:val="restar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p>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p>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《煤炭工业污染物 排放标准》</w:t>
            </w:r>
          </w:p>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（GB20426-2006）</w:t>
            </w:r>
          </w:p>
        </w:tc>
        <w:tc>
          <w:tcPr>
            <w:tcW w:w="1255" w:type="dxa"/>
            <w:vMerge w:val="restar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w:t>
            </w:r>
          </w:p>
        </w:tc>
        <w:tc>
          <w:tcPr>
            <w:tcW w:w="1143"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1"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w:t>
            </w:r>
          </w:p>
        </w:tc>
        <w:tc>
          <w:tcPr>
            <w:tcW w:w="882"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163"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临时矸堆场</w:t>
            </w:r>
          </w:p>
        </w:tc>
        <w:tc>
          <w:tcPr>
            <w:tcW w:w="887"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TSP</w:t>
            </w:r>
          </w:p>
        </w:tc>
        <w:tc>
          <w:tcPr>
            <w:tcW w:w="1736"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顶部覆盖、三面围挡封闭的半封闭式矸石堆场，在煤矸石堆场转运点进行封闭，并设置喷雾降尘装置</w:t>
            </w:r>
          </w:p>
        </w:tc>
        <w:tc>
          <w:tcPr>
            <w:tcW w:w="1843" w:type="dxa"/>
            <w:vMerge w:val="continue"/>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p>
        </w:tc>
        <w:tc>
          <w:tcPr>
            <w:tcW w:w="1255" w:type="dxa"/>
            <w:vMerge w:val="continue"/>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p>
        </w:tc>
        <w:tc>
          <w:tcPr>
            <w:tcW w:w="1143"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1"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w:t>
            </w:r>
          </w:p>
        </w:tc>
        <w:tc>
          <w:tcPr>
            <w:tcW w:w="882"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163"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道路运输</w:t>
            </w:r>
          </w:p>
        </w:tc>
        <w:tc>
          <w:tcPr>
            <w:tcW w:w="887"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TSP</w:t>
            </w:r>
          </w:p>
        </w:tc>
        <w:tc>
          <w:tcPr>
            <w:tcW w:w="1736"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汽车装载加盖篷布，控制装载量，运输道路洒水抑尘，工业广场出口设置洗车平台。</w:t>
            </w:r>
          </w:p>
        </w:tc>
        <w:tc>
          <w:tcPr>
            <w:tcW w:w="1843" w:type="dxa"/>
            <w:vMerge w:val="continue"/>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p>
        </w:tc>
        <w:tc>
          <w:tcPr>
            <w:tcW w:w="1255" w:type="dxa"/>
            <w:vMerge w:val="continue"/>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p>
        </w:tc>
        <w:tc>
          <w:tcPr>
            <w:tcW w:w="1143"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少量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340" w:type="dxa"/>
            <w:gridSpan w:val="8"/>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b/>
                <w:bCs/>
                <w:kern w:val="2"/>
                <w:sz w:val="21"/>
                <w:szCs w:val="21"/>
                <w:lang w:eastAsia="zh-CN"/>
              </w:rPr>
              <w:t>无组织排放总计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76" w:type="dxa"/>
            <w:gridSpan w:val="3"/>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无组织排放总计</w:t>
            </w:r>
          </w:p>
        </w:tc>
        <w:tc>
          <w:tcPr>
            <w:tcW w:w="5721" w:type="dxa"/>
            <w:gridSpan w:val="4"/>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TSP</w:t>
            </w:r>
          </w:p>
        </w:tc>
        <w:tc>
          <w:tcPr>
            <w:tcW w:w="1143"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0.532</w:t>
            </w:r>
          </w:p>
        </w:tc>
      </w:tr>
    </w:tbl>
    <w:p>
      <w:pPr>
        <w:spacing w:line="360" w:lineRule="auto"/>
        <w:ind w:firstLine="480"/>
        <w:rPr>
          <w:rFonts w:hAnsi="Times New Roman" w:eastAsia="宋体"/>
        </w:rPr>
      </w:pPr>
      <w:r>
        <w:rPr>
          <w:rFonts w:hAnsi="Times New Roman" w:eastAsia="宋体"/>
        </w:rPr>
        <w:t>项目大气污染物年排放量核算，见下表：</w:t>
      </w:r>
    </w:p>
    <w:p>
      <w:pPr>
        <w:jc w:val="center"/>
        <w:rPr>
          <w:rFonts w:hAnsi="Times New Roman" w:eastAsia="宋体"/>
          <w:b/>
          <w:bCs/>
          <w:sz w:val="21"/>
          <w:szCs w:val="21"/>
          <w:lang w:eastAsia="zh-CN"/>
        </w:rPr>
      </w:pPr>
      <w:r>
        <w:rPr>
          <w:rFonts w:hAnsi="Times New Roman" w:eastAsia="宋体"/>
          <w:b/>
          <w:bCs/>
          <w:sz w:val="21"/>
          <w:szCs w:val="21"/>
          <w:lang w:eastAsia="zh-CN"/>
        </w:rPr>
        <w:t>表7.2-8 大气污染物年排放量核算表</w:t>
      </w:r>
    </w:p>
    <w:tbl>
      <w:tblPr>
        <w:tblStyle w:val="34"/>
        <w:tblW w:w="93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99"/>
        <w:gridCol w:w="3877"/>
        <w:gridCol w:w="39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1" w:hRule="atLeast"/>
        </w:trPr>
        <w:tc>
          <w:tcPr>
            <w:tcW w:w="1499"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序号</w:t>
            </w:r>
          </w:p>
        </w:tc>
        <w:tc>
          <w:tcPr>
            <w:tcW w:w="3877"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污染物</w:t>
            </w:r>
          </w:p>
        </w:tc>
        <w:tc>
          <w:tcPr>
            <w:tcW w:w="3944"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5" w:hRule="atLeast"/>
        </w:trPr>
        <w:tc>
          <w:tcPr>
            <w:tcW w:w="1499"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w:t>
            </w:r>
          </w:p>
        </w:tc>
        <w:tc>
          <w:tcPr>
            <w:tcW w:w="3877" w:type="dxa"/>
            <w:vAlign w:val="center"/>
          </w:tcPr>
          <w:p>
            <w:pPr>
              <w:keepNext w:val="0"/>
              <w:keepLines w:val="0"/>
              <w:suppressLineNumbers w:val="0"/>
              <w:snapToGrid w:val="0"/>
              <w:spacing w:before="0" w:beforeAutospacing="0" w:after="0" w:afterAutospacing="0"/>
              <w:ind w:left="0" w:right="0"/>
              <w:jc w:val="center"/>
              <w:outlineLvl w:val="1"/>
              <w:rPr>
                <w:rFonts w:hint="eastAsia" w:hAnsi="Times New Roman" w:eastAsia="宋体"/>
                <w:kern w:val="21"/>
                <w:sz w:val="21"/>
                <w:szCs w:val="21"/>
                <w:lang w:eastAsia="zh-CN"/>
              </w:rPr>
            </w:pPr>
            <w:bookmarkStart w:id="559" w:name="_Toc163749196"/>
            <w:bookmarkStart w:id="560" w:name="_Toc167095276"/>
            <w:bookmarkStart w:id="561" w:name="_Toc7374"/>
            <w:bookmarkStart w:id="562" w:name="_Toc15994"/>
            <w:bookmarkStart w:id="563" w:name="_Toc32022"/>
            <w:bookmarkStart w:id="564" w:name="_Toc19526"/>
            <w:bookmarkStart w:id="565" w:name="_Toc2839"/>
            <w:bookmarkStart w:id="566" w:name="_Toc22411"/>
            <w:bookmarkStart w:id="567" w:name="_Toc163812653"/>
            <w:r>
              <w:rPr>
                <w:rFonts w:hint="eastAsia" w:hAnsi="Times New Roman" w:eastAsia="宋体"/>
                <w:spacing w:val="4"/>
                <w:kern w:val="2"/>
                <w:sz w:val="21"/>
                <w:szCs w:val="21"/>
                <w:lang w:eastAsia="zh-CN"/>
              </w:rPr>
              <w:t>TSP</w:t>
            </w:r>
            <w:bookmarkEnd w:id="559"/>
            <w:bookmarkEnd w:id="560"/>
            <w:bookmarkEnd w:id="561"/>
            <w:bookmarkEnd w:id="562"/>
            <w:bookmarkEnd w:id="563"/>
            <w:bookmarkEnd w:id="564"/>
            <w:bookmarkEnd w:id="565"/>
            <w:bookmarkEnd w:id="566"/>
            <w:bookmarkEnd w:id="567"/>
          </w:p>
        </w:tc>
        <w:tc>
          <w:tcPr>
            <w:tcW w:w="394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0.532</w:t>
            </w:r>
          </w:p>
        </w:tc>
      </w:tr>
    </w:tbl>
    <w:p>
      <w:pPr>
        <w:spacing w:line="360" w:lineRule="auto"/>
        <w:ind w:firstLine="480"/>
        <w:rPr>
          <w:rFonts w:hAnsi="Times New Roman" w:eastAsia="宋体"/>
          <w:b/>
          <w:bCs/>
          <w:kern w:val="2"/>
          <w:szCs w:val="22"/>
          <w:lang w:eastAsia="zh-CN"/>
        </w:rPr>
      </w:pPr>
      <w:r>
        <w:rPr>
          <w:rFonts w:hAnsi="Times New Roman" w:eastAsia="宋体"/>
          <w:b/>
          <w:bCs/>
          <w:kern w:val="2"/>
          <w:szCs w:val="22"/>
        </w:rPr>
        <w:t>（</w:t>
      </w:r>
      <w:r>
        <w:rPr>
          <w:rFonts w:hAnsi="Times New Roman" w:eastAsia="宋体"/>
          <w:b/>
          <w:bCs/>
          <w:kern w:val="2"/>
          <w:szCs w:val="22"/>
          <w:lang w:eastAsia="zh-CN"/>
        </w:rPr>
        <w:t>4</w:t>
      </w:r>
      <w:r>
        <w:rPr>
          <w:rFonts w:hAnsi="Times New Roman" w:eastAsia="宋体"/>
          <w:b/>
          <w:bCs/>
          <w:kern w:val="2"/>
          <w:szCs w:val="22"/>
        </w:rPr>
        <w:t>）</w:t>
      </w:r>
      <w:r>
        <w:rPr>
          <w:rFonts w:hAnsi="Times New Roman" w:eastAsia="宋体"/>
          <w:b/>
          <w:bCs/>
          <w:kern w:val="2"/>
          <w:szCs w:val="22"/>
          <w:lang w:eastAsia="zh-CN"/>
        </w:rPr>
        <w:t xml:space="preserve"> 大气环境防护距离</w:t>
      </w:r>
    </w:p>
    <w:p>
      <w:pPr>
        <w:spacing w:line="360" w:lineRule="auto"/>
        <w:ind w:firstLine="480"/>
        <w:rPr>
          <w:rFonts w:hAnsi="Times New Roman" w:eastAsia="宋体"/>
        </w:rPr>
      </w:pPr>
      <w:r>
        <w:rPr>
          <w:rFonts w:hAnsi="Times New Roman" w:eastAsia="宋体"/>
        </w:rPr>
        <w:t>按照《环境影响评价技术导则—大气环境》（HJ2.2-2018）第8.7.5节关于大气环境防护距离的确定方法，采用《环境影响评价技术导则—大气环境》（HJ2.2-2018）推荐模式清单中的模式进行预测，选择进一步预测模型中的环境防护距离计算模式进行计算</w:t>
      </w:r>
      <w:r>
        <w:rPr>
          <w:rFonts w:hAnsi="Times New Roman" w:eastAsia="宋体"/>
          <w:lang w:eastAsia="zh-CN"/>
        </w:rPr>
        <w:t>。</w:t>
      </w:r>
    </w:p>
    <w:p>
      <w:pPr>
        <w:spacing w:line="360" w:lineRule="auto"/>
        <w:jc w:val="center"/>
        <w:rPr>
          <w:rFonts w:hAnsi="Times New Roman" w:eastAsia="宋体"/>
        </w:rPr>
      </w:pPr>
      <w:r>
        <w:rPr>
          <w:rFonts w:hAnsi="Times New Roman" w:eastAsia="宋体"/>
          <w:position w:val="-24"/>
        </w:rPr>
        <w:object>
          <v:shape id="_x0000_i1066" o:spt="75" type="#_x0000_t75" style="height:28.65pt;width:136.65pt;" o:ole="t" filled="f" o:preferrelative="t" stroked="f" coordsize="21600,21600">
            <v:path/>
            <v:fill on="f" focussize="0,0"/>
            <v:stroke on="f" joinstyle="miter"/>
            <v:imagedata r:id="rId247" o:title=""/>
            <o:lock v:ext="edit" aspectratio="t"/>
            <w10:wrap type="none"/>
            <w10:anchorlock/>
          </v:shape>
          <o:OLEObject Type="Embed" ProgID="Equation.DSMT4" ShapeID="_x0000_i1066" DrawAspect="Content" ObjectID="_1468075764" r:id="rId246">
            <o:LockedField>false</o:LockedField>
          </o:OLEObject>
        </w:object>
      </w:r>
    </w:p>
    <w:p>
      <w:pPr>
        <w:spacing w:line="360" w:lineRule="auto"/>
        <w:ind w:firstLine="480"/>
        <w:rPr>
          <w:rFonts w:hAnsi="Times New Roman" w:eastAsia="宋体"/>
        </w:rPr>
      </w:pPr>
      <w:r>
        <w:rPr>
          <w:rFonts w:hAnsi="Times New Roman" w:eastAsia="宋体"/>
        </w:rPr>
        <w:t>式中，Cm —— 标准浓度限值，mg/m</w:t>
      </w:r>
      <w:r>
        <w:rPr>
          <w:rFonts w:hAnsi="Times New Roman" w:eastAsia="宋体"/>
          <w:vertAlign w:val="superscript"/>
        </w:rPr>
        <w:t>3</w:t>
      </w:r>
      <w:r>
        <w:rPr>
          <w:rFonts w:hAnsi="Times New Roman" w:eastAsia="宋体"/>
        </w:rPr>
        <w:t>；</w:t>
      </w:r>
    </w:p>
    <w:p>
      <w:pPr>
        <w:spacing w:line="360" w:lineRule="auto"/>
        <w:ind w:firstLine="1200" w:firstLineChars="500"/>
        <w:rPr>
          <w:rFonts w:hAnsi="Times New Roman" w:eastAsia="宋体"/>
        </w:rPr>
      </w:pPr>
      <w:r>
        <w:rPr>
          <w:rFonts w:hAnsi="Times New Roman" w:eastAsia="宋体"/>
        </w:rPr>
        <w:t>L —— 工业企业所需卫生防护距离，m；</w:t>
      </w:r>
    </w:p>
    <w:p>
      <w:pPr>
        <w:spacing w:line="360" w:lineRule="auto"/>
        <w:ind w:firstLine="1200" w:firstLineChars="500"/>
        <w:rPr>
          <w:rFonts w:hAnsi="Times New Roman" w:eastAsia="宋体"/>
        </w:rPr>
      </w:pPr>
      <w:r>
        <w:rPr>
          <w:rFonts w:hAnsi="Times New Roman" w:eastAsia="宋体"/>
        </w:rPr>
        <w:t>r —— 有害气体无组织排放源所在生产单元的等效半径，m；</w:t>
      </w:r>
    </w:p>
    <w:p>
      <w:pPr>
        <w:spacing w:line="360" w:lineRule="auto"/>
        <w:ind w:firstLine="1200" w:firstLineChars="500"/>
        <w:rPr>
          <w:rFonts w:hAnsi="Times New Roman" w:eastAsia="宋体"/>
        </w:rPr>
      </w:pPr>
      <w:r>
        <w:rPr>
          <w:rFonts w:hAnsi="Times New Roman" w:eastAsia="宋体"/>
        </w:rPr>
        <w:t>A、B、C、D —— 卫生防护距离计算系数，无因次，根据工业企业所在地区近五年平均风速及工业企业大气污染源构成类别从GB/T3840中表5查取。</w:t>
      </w:r>
    </w:p>
    <w:p>
      <w:pPr>
        <w:spacing w:line="360" w:lineRule="auto"/>
        <w:ind w:firstLine="1200" w:firstLineChars="500"/>
        <w:rPr>
          <w:rFonts w:hAnsi="Times New Roman" w:eastAsia="宋体"/>
        </w:rPr>
      </w:pPr>
      <w:r>
        <w:rPr>
          <w:rFonts w:hAnsi="Times New Roman" w:eastAsia="宋体"/>
        </w:rPr>
        <w:t>Qc —— 工业企业有害气体无组织排放控制量，kg/h。</w:t>
      </w:r>
    </w:p>
    <w:p>
      <w:pPr>
        <w:spacing w:line="360" w:lineRule="auto"/>
        <w:ind w:firstLine="480"/>
        <w:rPr>
          <w:rFonts w:hAnsi="Times New Roman" w:eastAsia="宋体"/>
        </w:rPr>
      </w:pPr>
      <w:r>
        <w:rPr>
          <w:rFonts w:hAnsi="Times New Roman" w:eastAsia="宋体"/>
        </w:rPr>
        <w:t>通过计算，本项目无组织排放源卫生防护距离结果见下表。</w:t>
      </w:r>
    </w:p>
    <w:p>
      <w:pPr>
        <w:jc w:val="center"/>
        <w:rPr>
          <w:rFonts w:hAnsi="Times New Roman" w:eastAsia="宋体"/>
          <w:b/>
          <w:bCs/>
          <w:sz w:val="21"/>
          <w:szCs w:val="21"/>
          <w:lang w:eastAsia="zh-CN"/>
        </w:rPr>
      </w:pPr>
      <w:r>
        <w:rPr>
          <w:rFonts w:hAnsi="Times New Roman" w:eastAsia="宋体"/>
          <w:b/>
          <w:bCs/>
          <w:sz w:val="21"/>
          <w:szCs w:val="21"/>
          <w:lang w:eastAsia="zh-CN"/>
        </w:rPr>
        <w:t>表7.2-9 卫生防护距离计算结果</w:t>
      </w:r>
    </w:p>
    <w:tbl>
      <w:tblPr>
        <w:tblStyle w:val="33"/>
        <w:tblW w:w="89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9"/>
        <w:gridCol w:w="1119"/>
        <w:gridCol w:w="1122"/>
        <w:gridCol w:w="1023"/>
        <w:gridCol w:w="1037"/>
        <w:gridCol w:w="1386"/>
        <w:gridCol w:w="1033"/>
        <w:gridCol w:w="11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119" w:type="dxa"/>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无组织面 源</w:t>
            </w:r>
          </w:p>
        </w:tc>
        <w:tc>
          <w:tcPr>
            <w:tcW w:w="1119" w:type="dxa"/>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污染物</w:t>
            </w:r>
          </w:p>
        </w:tc>
        <w:tc>
          <w:tcPr>
            <w:tcW w:w="1122" w:type="dxa"/>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排放高度</w:t>
            </w:r>
          </w:p>
        </w:tc>
        <w:tc>
          <w:tcPr>
            <w:tcW w:w="2060" w:type="dxa"/>
            <w:gridSpan w:val="2"/>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无组织排放面积</w:t>
            </w:r>
          </w:p>
        </w:tc>
        <w:tc>
          <w:tcPr>
            <w:tcW w:w="1386" w:type="dxa"/>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标准值（折 算小时值）</w:t>
            </w:r>
          </w:p>
        </w:tc>
        <w:tc>
          <w:tcPr>
            <w:tcW w:w="1033" w:type="dxa"/>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计算结 果</w:t>
            </w:r>
          </w:p>
        </w:tc>
        <w:tc>
          <w:tcPr>
            <w:tcW w:w="1121" w:type="dxa"/>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大气防护 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exact"/>
          <w:jc w:val="center"/>
        </w:trPr>
        <w:tc>
          <w:tcPr>
            <w:tcW w:w="1119"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p>
        </w:tc>
        <w:tc>
          <w:tcPr>
            <w:tcW w:w="1119"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p>
        </w:tc>
        <w:tc>
          <w:tcPr>
            <w:tcW w:w="1122"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p>
        </w:tc>
        <w:tc>
          <w:tcPr>
            <w:tcW w:w="1023"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长</w:t>
            </w:r>
          </w:p>
        </w:tc>
        <w:tc>
          <w:tcPr>
            <w:tcW w:w="1037"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宽</w:t>
            </w:r>
          </w:p>
        </w:tc>
        <w:tc>
          <w:tcPr>
            <w:tcW w:w="1386" w:type="dxa"/>
            <w:vMerge w:val="continue"/>
            <w:vAlign w:val="center"/>
          </w:tcPr>
          <w:p>
            <w:pPr>
              <w:pStyle w:val="44"/>
              <w:keepNext w:val="0"/>
              <w:keepLines w:val="0"/>
              <w:suppressLineNumbers w:val="0"/>
              <w:overflowPunct w:val="0"/>
              <w:spacing w:before="0" w:beforeAutospacing="0" w:after="0" w:afterAutospacing="0" w:line="266" w:lineRule="exact"/>
              <w:ind w:left="0" w:right="0"/>
              <w:jc w:val="center"/>
              <w:rPr>
                <w:rFonts w:hint="eastAsia" w:hAnsi="Times New Roman" w:eastAsia="宋体"/>
                <w:kern w:val="2"/>
                <w:szCs w:val="22"/>
              </w:rPr>
            </w:pPr>
          </w:p>
        </w:tc>
        <w:tc>
          <w:tcPr>
            <w:tcW w:w="1033" w:type="dxa"/>
            <w:vMerge w:val="continue"/>
            <w:vAlign w:val="center"/>
          </w:tcPr>
          <w:p>
            <w:pPr>
              <w:pStyle w:val="44"/>
              <w:keepNext w:val="0"/>
              <w:keepLines w:val="0"/>
              <w:suppressLineNumbers w:val="0"/>
              <w:overflowPunct w:val="0"/>
              <w:spacing w:before="0" w:beforeAutospacing="0" w:after="0" w:afterAutospacing="0" w:line="266" w:lineRule="exact"/>
              <w:ind w:left="0" w:right="0"/>
              <w:jc w:val="center"/>
              <w:rPr>
                <w:rFonts w:hint="eastAsia" w:hAnsi="Times New Roman" w:eastAsia="宋体"/>
                <w:kern w:val="2"/>
                <w:szCs w:val="22"/>
              </w:rPr>
            </w:pPr>
          </w:p>
        </w:tc>
        <w:tc>
          <w:tcPr>
            <w:tcW w:w="1121" w:type="dxa"/>
            <w:vMerge w:val="continue"/>
            <w:vAlign w:val="center"/>
          </w:tcPr>
          <w:p>
            <w:pPr>
              <w:pStyle w:val="44"/>
              <w:keepNext w:val="0"/>
              <w:keepLines w:val="0"/>
              <w:suppressLineNumbers w:val="0"/>
              <w:overflowPunct w:val="0"/>
              <w:spacing w:before="0" w:beforeAutospacing="0" w:after="0" w:afterAutospacing="0" w:line="266" w:lineRule="exact"/>
              <w:ind w:left="0" w:right="0"/>
              <w:jc w:val="center"/>
              <w:rPr>
                <w:rFonts w:hint="eastAsia" w:hAnsi="Times New Roman" w:eastAsia="宋体"/>
                <w:kern w:val="2"/>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 w:hRule="exact"/>
          <w:jc w:val="center"/>
        </w:trPr>
        <w:tc>
          <w:tcPr>
            <w:tcW w:w="1119"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工业广场</w:t>
            </w:r>
          </w:p>
        </w:tc>
        <w:tc>
          <w:tcPr>
            <w:tcW w:w="1119"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颗粒物</w:t>
            </w:r>
          </w:p>
        </w:tc>
        <w:tc>
          <w:tcPr>
            <w:tcW w:w="1122"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6</w:t>
            </w:r>
            <w:r>
              <w:rPr>
                <w:rFonts w:hint="eastAsia" w:hAnsi="Times New Roman" w:eastAsia="宋体"/>
                <w:kern w:val="2"/>
                <w:sz w:val="21"/>
                <w:szCs w:val="21"/>
              </w:rPr>
              <w:t>m</w:t>
            </w:r>
          </w:p>
        </w:tc>
        <w:tc>
          <w:tcPr>
            <w:tcW w:w="102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65</w:t>
            </w:r>
            <w:r>
              <w:rPr>
                <w:rFonts w:hint="eastAsia" w:hAnsi="Times New Roman" w:eastAsia="宋体"/>
                <w:kern w:val="2"/>
                <w:sz w:val="21"/>
                <w:szCs w:val="21"/>
              </w:rPr>
              <w:t>m</w:t>
            </w:r>
          </w:p>
        </w:tc>
        <w:tc>
          <w:tcPr>
            <w:tcW w:w="10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28</w:t>
            </w:r>
            <w:r>
              <w:rPr>
                <w:rFonts w:hint="eastAsia" w:hAnsi="Times New Roman" w:eastAsia="宋体"/>
                <w:kern w:val="2"/>
                <w:sz w:val="21"/>
                <w:szCs w:val="21"/>
              </w:rPr>
              <w:t>m</w:t>
            </w:r>
          </w:p>
        </w:tc>
        <w:tc>
          <w:tcPr>
            <w:tcW w:w="1386"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900ug/m</w:t>
            </w:r>
            <w:r>
              <w:rPr>
                <w:rFonts w:hint="eastAsia" w:hAnsi="Times New Roman" w:eastAsia="宋体"/>
                <w:kern w:val="2"/>
                <w:sz w:val="21"/>
                <w:szCs w:val="21"/>
                <w:vertAlign w:val="superscript"/>
              </w:rPr>
              <w:t>3</w:t>
            </w:r>
          </w:p>
        </w:tc>
        <w:tc>
          <w:tcPr>
            <w:tcW w:w="103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无超标</w:t>
            </w:r>
          </w:p>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点</w:t>
            </w:r>
          </w:p>
        </w:tc>
        <w:tc>
          <w:tcPr>
            <w:tcW w:w="1121"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无需设置</w:t>
            </w:r>
          </w:p>
        </w:tc>
      </w:tr>
    </w:tbl>
    <w:p>
      <w:pPr>
        <w:spacing w:line="360" w:lineRule="auto"/>
        <w:ind w:firstLine="480" w:firstLineChars="200"/>
        <w:rPr>
          <w:rFonts w:hAnsi="Times New Roman" w:eastAsia="宋体"/>
          <w:lang w:eastAsia="zh-CN"/>
        </w:rPr>
      </w:pPr>
      <w:r>
        <w:rPr>
          <w:rFonts w:hAnsi="Times New Roman" w:eastAsia="宋体"/>
          <w:lang w:eastAsia="zh-CN"/>
        </w:rPr>
        <w:t>通过计算可知，本项目无组织排放在厂界外无浓度超标范围。因此，本项目无需设置大气防护距离。</w:t>
      </w:r>
    </w:p>
    <w:p>
      <w:pPr>
        <w:pStyle w:val="5"/>
        <w:rPr>
          <w:rFonts w:ascii="Times New Roman" w:hAnsi="Times New Roman"/>
          <w:szCs w:val="22"/>
          <w:lang w:eastAsia="zh-CN"/>
        </w:rPr>
      </w:pPr>
      <w:bookmarkStart w:id="568" w:name="_Toc167095277"/>
      <w:bookmarkStart w:id="569" w:name="_Toc163749197"/>
      <w:r>
        <w:rPr>
          <w:rFonts w:ascii="Times New Roman" w:hAnsi="Times New Roman"/>
          <w:szCs w:val="22"/>
          <w:lang w:eastAsia="zh-CN"/>
        </w:rPr>
        <w:t>7.3大气污染防治措施</w:t>
      </w:r>
      <w:bookmarkEnd w:id="568"/>
      <w:bookmarkEnd w:id="569"/>
    </w:p>
    <w:p>
      <w:pPr>
        <w:pStyle w:val="6"/>
        <w:rPr>
          <w:szCs w:val="22"/>
          <w:lang w:eastAsia="zh-CN"/>
        </w:rPr>
      </w:pPr>
      <w:bookmarkStart w:id="570" w:name="_Toc167095278"/>
      <w:bookmarkStart w:id="571" w:name="_Toc163812655"/>
      <w:r>
        <w:rPr>
          <w:szCs w:val="22"/>
          <w:lang w:eastAsia="zh-CN"/>
        </w:rPr>
        <w:t>7.3.1井下作业粉尘影响分析</w:t>
      </w:r>
      <w:bookmarkEnd w:id="570"/>
      <w:bookmarkEnd w:id="571"/>
    </w:p>
    <w:p>
      <w:pPr>
        <w:pStyle w:val="14"/>
        <w:overflowPunct w:val="0"/>
        <w:spacing w:line="360" w:lineRule="auto"/>
        <w:ind w:firstLine="480" w:firstLineChars="200"/>
        <w:rPr>
          <w:rFonts w:ascii="Times New Roman" w:hAnsi="Times New Roman"/>
          <w:sz w:val="24"/>
          <w:lang w:eastAsia="zh-CN"/>
        </w:rPr>
      </w:pPr>
      <w:r>
        <w:rPr>
          <w:rFonts w:ascii="Times New Roman" w:hAnsi="Times New Roman"/>
          <w:sz w:val="24"/>
          <w:lang w:eastAsia="zh-CN"/>
        </w:rPr>
        <w:t>井下粉尘主要来源于工作面爆破、井下装运时产生，井下粉尘通过矿井主要通风机经风井排出井外，属无组织排放，且仅在爆破刚结束的排风阶段浓度较高，正常生产阶段的粉尘及NOx等浓度均不高，在矿界外最高点浓度符合《煤炭工业污染物排放标准》</w:t>
      </w:r>
      <w:r>
        <w:rPr>
          <w:rFonts w:hint="eastAsia" w:ascii="Times New Roman" w:hAnsi="Times New Roman"/>
          <w:sz w:val="24"/>
          <w:lang w:eastAsia="zh-CN"/>
        </w:rPr>
        <w:t>（</w:t>
      </w:r>
      <w:r>
        <w:rPr>
          <w:rFonts w:ascii="Times New Roman" w:hAnsi="Times New Roman"/>
          <w:sz w:val="24"/>
          <w:lang w:eastAsia="zh-CN"/>
        </w:rPr>
        <w:t>GB20426-2006</w:t>
      </w:r>
      <w:r>
        <w:rPr>
          <w:rFonts w:hint="eastAsia" w:ascii="Times New Roman" w:hAnsi="Times New Roman"/>
          <w:sz w:val="24"/>
          <w:lang w:eastAsia="zh-CN"/>
        </w:rPr>
        <w:t>）</w:t>
      </w:r>
      <w:r>
        <w:rPr>
          <w:rFonts w:ascii="Times New Roman" w:hAnsi="Times New Roman"/>
          <w:sz w:val="24"/>
          <w:lang w:eastAsia="zh-CN"/>
        </w:rPr>
        <w:t>中的表5和《大气污染物综合排放标准》</w:t>
      </w:r>
      <w:r>
        <w:rPr>
          <w:rFonts w:hint="eastAsia" w:ascii="Times New Roman" w:hAnsi="Times New Roman"/>
          <w:sz w:val="24"/>
          <w:lang w:eastAsia="zh-CN"/>
        </w:rPr>
        <w:t>（</w:t>
      </w:r>
      <w:r>
        <w:rPr>
          <w:rFonts w:ascii="Times New Roman" w:hAnsi="Times New Roman"/>
          <w:sz w:val="24"/>
          <w:lang w:eastAsia="zh-CN"/>
        </w:rPr>
        <w:t>GB16297-1996</w:t>
      </w:r>
      <w:r>
        <w:rPr>
          <w:rFonts w:hint="eastAsia" w:ascii="Times New Roman" w:hAnsi="Times New Roman"/>
          <w:sz w:val="24"/>
          <w:lang w:eastAsia="zh-CN"/>
        </w:rPr>
        <w:t>）</w:t>
      </w:r>
      <w:r>
        <w:rPr>
          <w:rFonts w:ascii="Times New Roman" w:hAnsi="Times New Roman"/>
          <w:sz w:val="24"/>
          <w:lang w:eastAsia="zh-CN"/>
        </w:rPr>
        <w:t>中表2中的相关规定。对于爆破工段的煤尘，本项目主要采用洒水方法进行抑尘，降尘效率约为80%左右。通过采取湿式凿岩、爆破洒水降尘、井下通风等防尘措施后，风硐口的粉尘浓度可降到1.0mg/m</w:t>
      </w:r>
      <w:r>
        <w:rPr>
          <w:rFonts w:ascii="Times New Roman" w:hAnsi="Times New Roman"/>
          <w:sz w:val="24"/>
          <w:vertAlign w:val="superscript"/>
          <w:lang w:eastAsia="zh-CN"/>
        </w:rPr>
        <w:t>3</w:t>
      </w:r>
      <w:r>
        <w:rPr>
          <w:rFonts w:ascii="Times New Roman" w:hAnsi="Times New Roman"/>
          <w:sz w:val="24"/>
          <w:lang w:eastAsia="zh-CN"/>
        </w:rPr>
        <w:t>以下。井下粉尘对周围环境影响较小。</w:t>
      </w:r>
    </w:p>
    <w:p>
      <w:pPr>
        <w:pStyle w:val="6"/>
        <w:rPr>
          <w:szCs w:val="22"/>
          <w:lang w:eastAsia="zh-CN"/>
        </w:rPr>
      </w:pPr>
      <w:bookmarkStart w:id="572" w:name="_Toc163812656"/>
      <w:bookmarkStart w:id="573" w:name="_Toc167095279"/>
      <w:r>
        <w:rPr>
          <w:szCs w:val="22"/>
          <w:lang w:eastAsia="zh-CN"/>
        </w:rPr>
        <w:t>7.3.2地面储煤场防尘</w:t>
      </w:r>
      <w:bookmarkEnd w:id="572"/>
      <w:bookmarkEnd w:id="573"/>
    </w:p>
    <w:p>
      <w:pPr>
        <w:spacing w:line="360" w:lineRule="auto"/>
        <w:ind w:firstLine="555"/>
        <w:rPr>
          <w:rFonts w:hAnsi="Times New Roman" w:eastAsia="宋体"/>
          <w:spacing w:val="-4"/>
          <w:szCs w:val="24"/>
          <w:lang w:eastAsia="zh-CN"/>
        </w:rPr>
      </w:pPr>
      <w:r>
        <w:rPr>
          <w:rFonts w:hAnsi="Times New Roman" w:eastAsia="宋体"/>
          <w:spacing w:val="-4"/>
          <w:szCs w:val="24"/>
          <w:lang w:eastAsia="zh-CN"/>
        </w:rPr>
        <w:t>项目煤炭采用封闭煤仓作为煤炭储存，</w:t>
      </w:r>
      <w:r>
        <w:rPr>
          <w:rFonts w:hint="eastAsia" w:hAnsi="Times New Roman" w:eastAsia="宋体"/>
          <w:spacing w:val="-4"/>
          <w:szCs w:val="24"/>
          <w:lang w:eastAsia="zh-CN"/>
        </w:rPr>
        <w:t>在</w:t>
      </w:r>
      <w:r>
        <w:rPr>
          <w:rFonts w:hAnsi="Times New Roman" w:eastAsia="宋体"/>
          <w:spacing w:val="-4"/>
          <w:szCs w:val="24"/>
          <w:lang w:eastAsia="zh-CN"/>
        </w:rPr>
        <w:t>封闭煤仓内采用自动喷雾除尘，原煤采用原煤堆场堆放，设置雨篷防止降水冲刷，并</w:t>
      </w:r>
      <w:r>
        <w:rPr>
          <w:rFonts w:hint="eastAsia" w:hAnsi="Times New Roman" w:eastAsia="宋体"/>
          <w:spacing w:val="-4"/>
          <w:szCs w:val="24"/>
          <w:lang w:eastAsia="zh-CN"/>
        </w:rPr>
        <w:t>减少</w:t>
      </w:r>
      <w:r>
        <w:rPr>
          <w:rFonts w:hAnsi="Times New Roman" w:eastAsia="宋体"/>
          <w:spacing w:val="-4"/>
          <w:szCs w:val="24"/>
          <w:lang w:eastAsia="zh-CN"/>
        </w:rPr>
        <w:t>扬尘量，且原煤含水率高，产生扬尘几率小，仅在煤炭装卸过程中及煤炭入仓过程中产生部分无组织排放。</w:t>
      </w:r>
    </w:p>
    <w:p>
      <w:pPr>
        <w:spacing w:line="360" w:lineRule="auto"/>
        <w:ind w:firstLine="555"/>
        <w:rPr>
          <w:rFonts w:hAnsi="Times New Roman" w:eastAsia="宋体"/>
          <w:spacing w:val="-4"/>
          <w:szCs w:val="24"/>
        </w:rPr>
      </w:pPr>
      <w:r>
        <w:rPr>
          <w:rFonts w:hAnsi="Times New Roman" w:eastAsia="宋体"/>
          <w:spacing w:val="-4"/>
          <w:szCs w:val="24"/>
          <w:lang w:eastAsia="zh-CN"/>
        </w:rPr>
        <w:t>同时在储煤场四周高地上的植被稀疏处，补充种植滞尘性较强的树种，绿化带宽度不小于5m。环评认为储煤场采用洒水防尘、设置绿化带措施是有效可行的，在管理中应当加强。</w:t>
      </w:r>
    </w:p>
    <w:p>
      <w:pPr>
        <w:pStyle w:val="6"/>
        <w:rPr>
          <w:szCs w:val="22"/>
          <w:lang w:eastAsia="zh-CN"/>
        </w:rPr>
      </w:pPr>
      <w:bookmarkStart w:id="574" w:name="_Toc167095280"/>
      <w:bookmarkStart w:id="575" w:name="_Toc163812657"/>
      <w:r>
        <w:rPr>
          <w:szCs w:val="22"/>
          <w:lang w:eastAsia="zh-CN"/>
        </w:rPr>
        <w:t>7.3.3临时矸石堆场防尘</w:t>
      </w:r>
      <w:bookmarkEnd w:id="574"/>
      <w:bookmarkEnd w:id="575"/>
    </w:p>
    <w:p>
      <w:pPr>
        <w:spacing w:line="360" w:lineRule="auto"/>
        <w:ind w:firstLine="555"/>
        <w:rPr>
          <w:rFonts w:hAnsi="Times New Roman" w:eastAsia="宋体"/>
          <w:spacing w:val="-4"/>
          <w:szCs w:val="24"/>
          <w:lang w:eastAsia="zh-CN"/>
        </w:rPr>
      </w:pPr>
      <w:r>
        <w:rPr>
          <w:rFonts w:hAnsi="Times New Roman" w:eastAsia="宋体"/>
          <w:spacing w:val="-4"/>
          <w:szCs w:val="24"/>
          <w:lang w:eastAsia="zh-CN"/>
        </w:rPr>
        <w:t>项目临时堆矸场设置有防护网、自动喷雾除尘，减少扬尘量；产生的矸石定期清运外售砖厂。故仅在矸石装卸过程中及入场过程中产生部分无组织排放。 矸石临时堆场建为顶部遮盖、三面围挡封闭的半封闭式的钢架结构彩钢棚，并在矸石临时堆场的敞开位置，加设防尘网和防尘水雾喷洒系统，</w:t>
      </w:r>
      <w:r>
        <w:rPr>
          <w:rFonts w:hint="eastAsia" w:hAnsi="Times New Roman" w:eastAsia="宋体"/>
          <w:spacing w:val="-4"/>
          <w:szCs w:val="24"/>
          <w:lang w:eastAsia="zh-CN"/>
        </w:rPr>
        <w:t>在煤矸石堆场转运点进行封闭，并设置喷雾降尘装置，</w:t>
      </w:r>
      <w:r>
        <w:rPr>
          <w:rFonts w:hAnsi="Times New Roman" w:eastAsia="宋体"/>
          <w:spacing w:val="-4"/>
          <w:szCs w:val="24"/>
          <w:lang w:eastAsia="zh-CN"/>
        </w:rPr>
        <w:t>同时在临时矸石堆场四周高地上的植被稀疏处，补充种植滞尘性较强的树种，绿化带宽度不小于5m。环评认为临时矸石堆场采用设置围挡、防尘遮盖、洒水防尘、设置绿化带措施是有效可行的。</w:t>
      </w:r>
    </w:p>
    <w:p>
      <w:pPr>
        <w:pStyle w:val="6"/>
        <w:rPr>
          <w:szCs w:val="22"/>
          <w:lang w:eastAsia="zh-CN"/>
        </w:rPr>
      </w:pPr>
      <w:bookmarkStart w:id="576" w:name="_Toc167095281"/>
      <w:bookmarkStart w:id="577" w:name="_Toc163812658"/>
      <w:r>
        <w:rPr>
          <w:szCs w:val="22"/>
          <w:lang w:eastAsia="zh-CN"/>
        </w:rPr>
        <w:t>7.3.4运输过程防尘</w:t>
      </w:r>
      <w:bookmarkEnd w:id="576"/>
      <w:bookmarkEnd w:id="577"/>
    </w:p>
    <w:p>
      <w:pPr>
        <w:spacing w:line="360" w:lineRule="auto"/>
        <w:ind w:firstLine="555"/>
        <w:rPr>
          <w:rFonts w:hAnsi="Times New Roman" w:eastAsia="宋体"/>
          <w:spacing w:val="-4"/>
          <w:szCs w:val="24"/>
          <w:lang w:eastAsia="zh-CN"/>
        </w:rPr>
      </w:pPr>
      <w:r>
        <w:rPr>
          <w:rFonts w:hAnsi="Times New Roman" w:eastAsia="宋体"/>
          <w:spacing w:val="-4"/>
          <w:szCs w:val="24"/>
          <w:lang w:eastAsia="zh-CN"/>
        </w:rPr>
        <w:t>矿井煤炭在工业场地运输过程中容易产生扬尘，矿井工业场地运输采用胶带运输，胶带设在走廊，工业场地的运输在密闭环境中进行，可以有效</w:t>
      </w:r>
      <w:r>
        <w:rPr>
          <w:rFonts w:hint="eastAsia" w:hAnsi="Times New Roman" w:eastAsia="宋体"/>
          <w:spacing w:val="-4"/>
          <w:szCs w:val="24"/>
          <w:lang w:eastAsia="zh-CN"/>
        </w:rPr>
        <w:t>减少</w:t>
      </w:r>
      <w:r>
        <w:rPr>
          <w:rFonts w:hAnsi="Times New Roman" w:eastAsia="宋体"/>
          <w:spacing w:val="-4"/>
          <w:szCs w:val="24"/>
          <w:lang w:eastAsia="zh-CN"/>
        </w:rPr>
        <w:t>运输过程中煤尘散逸对环境的影响。</w:t>
      </w:r>
    </w:p>
    <w:p>
      <w:pPr>
        <w:spacing w:line="360" w:lineRule="auto"/>
        <w:ind w:firstLine="555"/>
        <w:rPr>
          <w:rFonts w:hAnsi="Times New Roman" w:eastAsia="宋体"/>
          <w:spacing w:val="-4"/>
          <w:szCs w:val="24"/>
          <w:lang w:eastAsia="zh-CN"/>
        </w:rPr>
      </w:pPr>
      <w:r>
        <w:rPr>
          <w:rFonts w:hAnsi="Times New Roman" w:eastAsia="宋体"/>
          <w:spacing w:val="-4"/>
          <w:szCs w:val="24"/>
          <w:lang w:eastAsia="zh-CN"/>
        </w:rPr>
        <w:t>矿井煤炭主要采用汽车运输，运输车辆应采用全密闭方式运输，同时加强运输 车辆运输管理。汽车经过沿途城镇、居民点时应降低车速，</w:t>
      </w:r>
      <w:r>
        <w:rPr>
          <w:rFonts w:hint="eastAsia" w:hAnsi="Times New Roman" w:eastAsia="宋体"/>
          <w:spacing w:val="-4"/>
          <w:szCs w:val="24"/>
          <w:lang w:eastAsia="zh-CN"/>
        </w:rPr>
        <w:t>减少</w:t>
      </w:r>
      <w:r>
        <w:rPr>
          <w:rFonts w:hAnsi="Times New Roman" w:eastAsia="宋体"/>
          <w:spacing w:val="-4"/>
          <w:szCs w:val="24"/>
          <w:lang w:eastAsia="zh-CN"/>
        </w:rPr>
        <w:t>粉尘污染。</w:t>
      </w:r>
    </w:p>
    <w:p>
      <w:pPr>
        <w:pStyle w:val="6"/>
        <w:rPr>
          <w:szCs w:val="22"/>
          <w:lang w:eastAsia="zh-CN"/>
        </w:rPr>
      </w:pPr>
      <w:bookmarkStart w:id="578" w:name="_Toc163812659"/>
      <w:bookmarkStart w:id="579" w:name="_Toc167095282"/>
      <w:r>
        <w:rPr>
          <w:szCs w:val="22"/>
          <w:lang w:eastAsia="zh-CN"/>
        </w:rPr>
        <w:t>7.3.5瓦斯</w:t>
      </w:r>
      <w:bookmarkEnd w:id="578"/>
      <w:bookmarkEnd w:id="579"/>
    </w:p>
    <w:p>
      <w:pPr>
        <w:pStyle w:val="14"/>
        <w:overflowPunct w:val="0"/>
        <w:spacing w:line="360" w:lineRule="auto"/>
        <w:ind w:right="179" w:firstLine="480" w:firstLineChars="200"/>
        <w:rPr>
          <w:rFonts w:ascii="Times New Roman" w:hAnsi="Times New Roman"/>
          <w:sz w:val="24"/>
          <w:lang w:eastAsia="zh-CN"/>
        </w:rPr>
      </w:pPr>
      <w:r>
        <w:rPr>
          <w:rFonts w:ascii="Times New Roman" w:hAnsi="Times New Roman"/>
          <w:sz w:val="24"/>
        </w:rPr>
        <w:t>根据项目设计资料预测该矿为低瓦斯矿井，矿井瓦斯涌出量较小，瓦斯经瓦斯抽采系统抽出后无组织排放，能达到《煤层气</w:t>
      </w:r>
      <w:r>
        <w:rPr>
          <w:rFonts w:hint="eastAsia" w:ascii="Times New Roman" w:hAnsi="Times New Roman"/>
          <w:sz w:val="24"/>
          <w:lang w:eastAsia="zh-CN"/>
        </w:rPr>
        <w:t>（</w:t>
      </w:r>
      <w:r>
        <w:rPr>
          <w:rFonts w:ascii="Times New Roman" w:hAnsi="Times New Roman"/>
          <w:sz w:val="24"/>
        </w:rPr>
        <w:t>煤矿瓦斯</w:t>
      </w:r>
      <w:r>
        <w:rPr>
          <w:rFonts w:hint="eastAsia" w:ascii="Times New Roman" w:hAnsi="Times New Roman"/>
          <w:sz w:val="24"/>
          <w:lang w:eastAsia="zh-CN"/>
        </w:rPr>
        <w:t>）</w:t>
      </w:r>
      <w:r>
        <w:rPr>
          <w:rFonts w:ascii="Times New Roman" w:hAnsi="Times New Roman"/>
          <w:sz w:val="24"/>
        </w:rPr>
        <w:t>排放标准</w:t>
      </w:r>
      <w:r>
        <w:rPr>
          <w:rFonts w:hint="eastAsia" w:ascii="Times New Roman" w:hAnsi="Times New Roman"/>
          <w:sz w:val="24"/>
          <w:lang w:eastAsia="zh-CN"/>
        </w:rPr>
        <w:t>（</w:t>
      </w:r>
      <w:r>
        <w:rPr>
          <w:rFonts w:ascii="Times New Roman" w:hAnsi="Times New Roman"/>
          <w:sz w:val="24"/>
        </w:rPr>
        <w:t>暂行</w:t>
      </w:r>
      <w:r>
        <w:rPr>
          <w:rFonts w:hint="eastAsia" w:ascii="Times New Roman" w:hAnsi="Times New Roman"/>
          <w:sz w:val="24"/>
          <w:lang w:eastAsia="zh-CN"/>
        </w:rPr>
        <w:t>）</w:t>
      </w:r>
      <w:r>
        <w:rPr>
          <w:rFonts w:ascii="Times New Roman" w:hAnsi="Times New Roman"/>
          <w:sz w:val="24"/>
        </w:rPr>
        <w:t>》</w:t>
      </w:r>
      <w:r>
        <w:rPr>
          <w:rFonts w:hint="eastAsia" w:ascii="Times New Roman" w:hAnsi="Times New Roman"/>
          <w:sz w:val="24"/>
          <w:lang w:eastAsia="zh-CN"/>
        </w:rPr>
        <w:t>（</w:t>
      </w:r>
      <w:r>
        <w:rPr>
          <w:rFonts w:ascii="Times New Roman" w:hAnsi="Times New Roman"/>
          <w:sz w:val="24"/>
        </w:rPr>
        <w:t>GB21522-2008</w:t>
      </w:r>
      <w:r>
        <w:rPr>
          <w:rFonts w:hint="eastAsia" w:ascii="Times New Roman" w:hAnsi="Times New Roman"/>
          <w:sz w:val="24"/>
          <w:lang w:eastAsia="zh-CN"/>
        </w:rPr>
        <w:t>）</w:t>
      </w:r>
      <w:r>
        <w:rPr>
          <w:rFonts w:ascii="Times New Roman" w:hAnsi="Times New Roman"/>
          <w:sz w:val="24"/>
        </w:rPr>
        <w:t>中相关要求。</w:t>
      </w:r>
    </w:p>
    <w:p>
      <w:pPr>
        <w:pStyle w:val="6"/>
        <w:rPr>
          <w:szCs w:val="22"/>
          <w:lang w:eastAsia="zh-CN"/>
        </w:rPr>
      </w:pPr>
      <w:bookmarkStart w:id="580" w:name="_Toc167095283"/>
      <w:bookmarkStart w:id="581" w:name="_Toc163812660"/>
      <w:r>
        <w:rPr>
          <w:szCs w:val="22"/>
          <w:lang w:eastAsia="zh-CN"/>
        </w:rPr>
        <w:t>7.3.6食堂油烟</w:t>
      </w:r>
      <w:bookmarkEnd w:id="580"/>
      <w:bookmarkEnd w:id="581"/>
    </w:p>
    <w:p>
      <w:pPr>
        <w:spacing w:line="360" w:lineRule="auto"/>
        <w:ind w:firstLine="555"/>
        <w:rPr>
          <w:rFonts w:hAnsi="Times New Roman" w:eastAsia="宋体"/>
          <w:spacing w:val="-4"/>
          <w:szCs w:val="24"/>
          <w:lang w:eastAsia="zh-CN"/>
        </w:rPr>
      </w:pPr>
      <w:r>
        <w:rPr>
          <w:rFonts w:hAnsi="Times New Roman" w:eastAsia="宋体"/>
          <w:spacing w:val="-4"/>
          <w:szCs w:val="24"/>
          <w:lang w:eastAsia="zh-CN"/>
        </w:rPr>
        <w:t>项目生活区设有食堂，食堂产生的油烟经现有油烟净化器处理后，达标排放。</w:t>
      </w:r>
    </w:p>
    <w:p>
      <w:pPr>
        <w:pStyle w:val="6"/>
        <w:rPr>
          <w:szCs w:val="22"/>
          <w:lang w:eastAsia="zh-CN"/>
        </w:rPr>
      </w:pPr>
      <w:bookmarkStart w:id="582" w:name="_Toc167095284"/>
      <w:bookmarkStart w:id="583" w:name="_Toc163812661"/>
      <w:r>
        <w:rPr>
          <w:szCs w:val="22"/>
          <w:lang w:eastAsia="zh-CN"/>
        </w:rPr>
        <w:t xml:space="preserve">7.3.7 </w:t>
      </w:r>
      <w:r>
        <w:t>矸石堆存自燃污染</w:t>
      </w:r>
      <w:bookmarkEnd w:id="582"/>
      <w:bookmarkEnd w:id="583"/>
    </w:p>
    <w:p>
      <w:pPr>
        <w:pStyle w:val="14"/>
        <w:overflowPunct w:val="0"/>
        <w:autoSpaceDE w:val="0"/>
        <w:autoSpaceDN w:val="0"/>
        <w:adjustRightInd w:val="0"/>
        <w:spacing w:line="360" w:lineRule="auto"/>
        <w:ind w:firstLine="480" w:firstLineChars="200"/>
        <w:rPr>
          <w:rFonts w:ascii="Times New Roman" w:hAnsi="Times New Roman"/>
          <w:sz w:val="24"/>
          <w:lang w:eastAsia="zh-CN"/>
        </w:rPr>
      </w:pPr>
      <w:bookmarkStart w:id="584" w:name="7.3.8大气环境影响评价结论"/>
      <w:bookmarkEnd w:id="584"/>
      <w:r>
        <w:rPr>
          <w:rFonts w:ascii="Times New Roman" w:hAnsi="Times New Roman"/>
          <w:sz w:val="24"/>
          <w:lang w:eastAsia="zh-CN"/>
        </w:rPr>
        <w:t>引起煤矸石自燃的因素很多，目前的研究结果表明，煤矸石的自燃主要取决于以下两个因素：一是煤矸石中存在着可燃物-硫铁矿，它是引起自燃的决定性因素，二是有供氧、储热条件，如果煤矸石在堆放过程中形成空隙，这就为煤矸石自燃提供了供氧条件。</w:t>
      </w:r>
    </w:p>
    <w:p>
      <w:pPr>
        <w:pStyle w:val="14"/>
        <w:overflowPunct w:val="0"/>
        <w:spacing w:line="360" w:lineRule="auto"/>
        <w:ind w:right="106" w:firstLine="480" w:firstLineChars="200"/>
        <w:rPr>
          <w:rFonts w:ascii="Times New Roman" w:hAnsi="Times New Roman"/>
          <w:spacing w:val="2"/>
          <w:sz w:val="24"/>
        </w:rPr>
      </w:pPr>
      <w:r>
        <w:rPr>
          <w:rFonts w:ascii="Times New Roman" w:hAnsi="Times New Roman"/>
          <w:sz w:val="24"/>
          <w:lang w:eastAsia="zh-CN"/>
        </w:rPr>
        <w:t>矸石自燃对环境的影响是多方面的，矸石排放场自燃时释放大量 CO、CO</w:t>
      </w:r>
      <w:r>
        <w:rPr>
          <w:rFonts w:ascii="Times New Roman" w:hAnsi="Times New Roman"/>
          <w:sz w:val="24"/>
          <w:vertAlign w:val="subscript"/>
          <w:lang w:eastAsia="zh-CN"/>
        </w:rPr>
        <w:t>2</w:t>
      </w:r>
      <w:r>
        <w:rPr>
          <w:rFonts w:ascii="Times New Roman" w:hAnsi="Times New Roman"/>
          <w:sz w:val="24"/>
          <w:lang w:eastAsia="zh-CN"/>
        </w:rPr>
        <w:t>、SO</w:t>
      </w:r>
      <w:r>
        <w:rPr>
          <w:rFonts w:ascii="Times New Roman" w:hAnsi="Times New Roman"/>
          <w:sz w:val="24"/>
          <w:vertAlign w:val="subscript"/>
          <w:lang w:eastAsia="zh-CN"/>
        </w:rPr>
        <w:t>2</w:t>
      </w:r>
      <w:r>
        <w:rPr>
          <w:rFonts w:ascii="Times New Roman" w:hAnsi="Times New Roman"/>
          <w:sz w:val="24"/>
          <w:lang w:eastAsia="zh-CN"/>
        </w:rPr>
        <w:t>、H</w:t>
      </w:r>
      <w:r>
        <w:rPr>
          <w:rFonts w:ascii="Times New Roman" w:hAnsi="Times New Roman"/>
          <w:sz w:val="24"/>
          <w:vertAlign w:val="subscript"/>
          <w:lang w:eastAsia="zh-CN"/>
        </w:rPr>
        <w:t>2</w:t>
      </w:r>
      <w:r>
        <w:rPr>
          <w:rFonts w:ascii="Times New Roman" w:hAnsi="Times New Roman"/>
          <w:sz w:val="24"/>
          <w:lang w:eastAsia="zh-CN"/>
        </w:rPr>
        <w:t>S、氮氧化物等有害气体，严重影响矸石排放场周围的空气质量，矸石自燃还能引起局部范围地表层温度过高，不利于植物生长和植被的恢复，矸石自燃形成的烟雾对当地的景观也会造成不良影响。因此，各矿井临时堆放的矸石应实施分层堆置、压实、覆土、及时清运减少堆放时间等措施，减轻外因影响因素，防止矸石堆自燃。</w:t>
      </w:r>
    </w:p>
    <w:p>
      <w:pPr>
        <w:spacing w:line="360" w:lineRule="auto"/>
        <w:ind w:firstLine="555"/>
        <w:rPr>
          <w:rFonts w:hAnsi="Times New Roman" w:eastAsia="宋体"/>
          <w:spacing w:val="-4"/>
          <w:szCs w:val="24"/>
          <w:lang w:eastAsia="zh-CN"/>
        </w:rPr>
      </w:pPr>
      <w:r>
        <w:rPr>
          <w:rFonts w:hAnsi="Times New Roman" w:eastAsia="宋体"/>
          <w:spacing w:val="2"/>
        </w:rPr>
        <w:t>综上分析，项目所在区域环境空气为不敏感，评价认为项目产生的废气经处理</w:t>
      </w:r>
      <w:r>
        <w:rPr>
          <w:rFonts w:hAnsi="Times New Roman" w:eastAsia="宋体"/>
        </w:rPr>
        <w:t>后对周边大气环境影响轻微，能够确保区域环境空气质量满足其功能区的要求</w:t>
      </w:r>
      <w:r>
        <w:rPr>
          <w:rFonts w:hAnsi="Times New Roman" w:eastAsia="宋体"/>
          <w:spacing w:val="-4"/>
          <w:szCs w:val="24"/>
          <w:lang w:eastAsia="zh-CN"/>
        </w:rPr>
        <w:t>。</w:t>
      </w:r>
    </w:p>
    <w:p>
      <w:pPr>
        <w:pStyle w:val="5"/>
        <w:rPr>
          <w:rFonts w:ascii="Times New Roman" w:hAnsi="Times New Roman"/>
          <w:lang w:eastAsia="zh-CN"/>
        </w:rPr>
      </w:pPr>
      <w:bookmarkStart w:id="585" w:name="_Toc163749198"/>
      <w:bookmarkStart w:id="586" w:name="_Toc167095285"/>
      <w:r>
        <w:rPr>
          <w:rFonts w:ascii="Times New Roman" w:hAnsi="Times New Roman"/>
          <w:lang w:eastAsia="zh-CN"/>
        </w:rPr>
        <w:t>7.4 大气环境影响评价自查表</w:t>
      </w:r>
      <w:bookmarkEnd w:id="585"/>
      <w:bookmarkEnd w:id="586"/>
    </w:p>
    <w:p>
      <w:pPr>
        <w:spacing w:line="360" w:lineRule="auto"/>
        <w:ind w:firstLine="480" w:firstLineChars="200"/>
        <w:rPr>
          <w:rFonts w:hAnsi="Times New Roman" w:eastAsia="宋体"/>
          <w:lang w:eastAsia="zh-CN"/>
        </w:rPr>
      </w:pPr>
      <w:r>
        <w:rPr>
          <w:rFonts w:hAnsi="Times New Roman" w:eastAsia="宋体"/>
          <w:lang w:eastAsia="zh-CN"/>
        </w:rPr>
        <w:t>大气环境影响评价自查表如下表所示。</w:t>
      </w:r>
    </w:p>
    <w:p>
      <w:pPr>
        <w:jc w:val="center"/>
        <w:rPr>
          <w:rFonts w:hAnsi="Times New Roman" w:eastAsia="宋体"/>
          <w:b/>
          <w:bCs/>
          <w:sz w:val="21"/>
          <w:szCs w:val="21"/>
          <w:lang w:eastAsia="zh-CN"/>
        </w:rPr>
      </w:pPr>
      <w:r>
        <w:rPr>
          <w:rFonts w:hAnsi="Times New Roman" w:eastAsia="宋体"/>
          <w:b/>
          <w:bCs/>
          <w:sz w:val="21"/>
          <w:szCs w:val="21"/>
          <w:lang w:eastAsia="zh-CN"/>
        </w:rPr>
        <w:t>表7.4-1 大气环境影响评价自查表</w:t>
      </w:r>
    </w:p>
    <w:tbl>
      <w:tblPr>
        <w:tblStyle w:val="33"/>
        <w:tblW w:w="93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8"/>
        <w:gridCol w:w="1068"/>
        <w:gridCol w:w="1105"/>
        <w:gridCol w:w="633"/>
        <w:gridCol w:w="212"/>
        <w:gridCol w:w="464"/>
        <w:gridCol w:w="931"/>
        <w:gridCol w:w="687"/>
        <w:gridCol w:w="668"/>
        <w:gridCol w:w="747"/>
        <w:gridCol w:w="369"/>
        <w:gridCol w:w="133"/>
        <w:gridCol w:w="524"/>
        <w:gridCol w:w="8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976" w:type="dxa"/>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工作内容</w:t>
            </w:r>
          </w:p>
        </w:tc>
        <w:tc>
          <w:tcPr>
            <w:tcW w:w="7366" w:type="dxa"/>
            <w:gridSpan w:val="12"/>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自查项目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08" w:type="dxa"/>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评价等级与范围</w:t>
            </w:r>
          </w:p>
        </w:tc>
        <w:tc>
          <w:tcPr>
            <w:tcW w:w="106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评价等级</w:t>
            </w:r>
          </w:p>
        </w:tc>
        <w:tc>
          <w:tcPr>
            <w:tcW w:w="2414" w:type="dxa"/>
            <w:gridSpan w:val="4"/>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一级□</w:t>
            </w:r>
          </w:p>
        </w:tc>
        <w:tc>
          <w:tcPr>
            <w:tcW w:w="3033" w:type="dxa"/>
            <w:gridSpan w:val="4"/>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二级</w:t>
            </w:r>
            <w:r>
              <w:rPr>
                <w:rFonts w:hint="eastAsia" w:hAnsi="Times New Roman" w:eastAsia="宋体"/>
                <w:kern w:val="2"/>
                <w:sz w:val="21"/>
                <w:szCs w:val="21"/>
              </w:rPr>
              <w:sym w:font="Wingdings 2" w:char="0052"/>
            </w:r>
          </w:p>
        </w:tc>
        <w:tc>
          <w:tcPr>
            <w:tcW w:w="1919" w:type="dxa"/>
            <w:gridSpan w:val="4"/>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三级</w:t>
            </w:r>
            <w:r>
              <w:rPr>
                <w:rFonts w:hint="eastAsia" w:hAnsi="Times New Roman" w:eastAsia="宋体"/>
                <w:kern w:val="2"/>
                <w:sz w:val="21"/>
                <w:szCs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08"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06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评价范围</w:t>
            </w:r>
          </w:p>
        </w:tc>
        <w:tc>
          <w:tcPr>
            <w:tcW w:w="2414" w:type="dxa"/>
            <w:gridSpan w:val="4"/>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边长=50km□</w:t>
            </w:r>
          </w:p>
        </w:tc>
        <w:tc>
          <w:tcPr>
            <w:tcW w:w="3033" w:type="dxa"/>
            <w:gridSpan w:val="4"/>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边长5</w:t>
            </w:r>
            <w:r>
              <w:rPr>
                <w:rFonts w:hint="eastAsia" w:hAnsi="Times New Roman" w:eastAsia="宋体"/>
                <w:kern w:val="2"/>
                <w:sz w:val="21"/>
                <w:szCs w:val="21"/>
                <w:lang w:eastAsia="zh-CN"/>
              </w:rPr>
              <w:t>～</w:t>
            </w:r>
            <w:r>
              <w:rPr>
                <w:rFonts w:hint="eastAsia" w:hAnsi="Times New Roman" w:eastAsia="宋体"/>
                <w:kern w:val="2"/>
                <w:sz w:val="21"/>
                <w:szCs w:val="21"/>
              </w:rPr>
              <w:t>50km□</w:t>
            </w:r>
          </w:p>
        </w:tc>
        <w:tc>
          <w:tcPr>
            <w:tcW w:w="1919" w:type="dxa"/>
            <w:gridSpan w:val="4"/>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边长=5km</w:t>
            </w:r>
            <w:r>
              <w:rPr>
                <w:rFonts w:hint="eastAsia" w:hAnsi="Times New Roman" w:eastAsia="宋体"/>
                <w:kern w:val="2"/>
                <w:sz w:val="21"/>
                <w:szCs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08" w:type="dxa"/>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评价因子</w:t>
            </w:r>
          </w:p>
        </w:tc>
        <w:tc>
          <w:tcPr>
            <w:tcW w:w="106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SO</w:t>
            </w:r>
            <w:r>
              <w:rPr>
                <w:rFonts w:hint="eastAsia" w:hAnsi="Times New Roman" w:eastAsia="宋体"/>
                <w:kern w:val="2"/>
                <w:sz w:val="21"/>
                <w:szCs w:val="21"/>
                <w:vertAlign w:val="subscript"/>
              </w:rPr>
              <w:t>2</w:t>
            </w:r>
            <w:r>
              <w:rPr>
                <w:rFonts w:hint="eastAsia" w:hAnsi="Times New Roman" w:eastAsia="宋体"/>
                <w:kern w:val="2"/>
                <w:sz w:val="21"/>
                <w:szCs w:val="21"/>
              </w:rPr>
              <w:t>+NO</w:t>
            </w:r>
            <w:r>
              <w:rPr>
                <w:rFonts w:hint="eastAsia" w:hAnsi="Times New Roman" w:eastAsia="宋体"/>
                <w:kern w:val="2"/>
                <w:sz w:val="21"/>
                <w:szCs w:val="21"/>
                <w:vertAlign w:val="subscript"/>
              </w:rPr>
              <w:t>x</w:t>
            </w:r>
            <w:r>
              <w:rPr>
                <w:rFonts w:hint="eastAsia" w:hAnsi="Times New Roman" w:eastAsia="宋体"/>
                <w:kern w:val="2"/>
                <w:sz w:val="21"/>
                <w:szCs w:val="21"/>
              </w:rPr>
              <w:t>排放量</w:t>
            </w:r>
          </w:p>
        </w:tc>
        <w:tc>
          <w:tcPr>
            <w:tcW w:w="2414" w:type="dxa"/>
            <w:gridSpan w:val="4"/>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≥2000t/a□</w:t>
            </w:r>
          </w:p>
        </w:tc>
        <w:tc>
          <w:tcPr>
            <w:tcW w:w="3033" w:type="dxa"/>
            <w:gridSpan w:val="4"/>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500</w:t>
            </w:r>
            <w:r>
              <w:rPr>
                <w:rFonts w:hint="eastAsia" w:hAnsi="Times New Roman" w:eastAsia="宋体"/>
                <w:kern w:val="2"/>
                <w:sz w:val="21"/>
                <w:szCs w:val="21"/>
                <w:lang w:eastAsia="zh-CN"/>
              </w:rPr>
              <w:t>～</w:t>
            </w:r>
            <w:r>
              <w:rPr>
                <w:rFonts w:hint="eastAsia" w:hAnsi="Times New Roman" w:eastAsia="宋体"/>
                <w:kern w:val="2"/>
                <w:sz w:val="21"/>
                <w:szCs w:val="21"/>
              </w:rPr>
              <w:t>2000t/a□</w:t>
            </w:r>
          </w:p>
        </w:tc>
        <w:tc>
          <w:tcPr>
            <w:tcW w:w="1919" w:type="dxa"/>
            <w:gridSpan w:val="4"/>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 xml:space="preserve"> &lt;500t/a</w:t>
            </w:r>
            <w:r>
              <w:rPr>
                <w:rFonts w:hint="eastAsia" w:hAnsi="Times New Roman" w:eastAsia="宋体"/>
                <w:kern w:val="2"/>
                <w:sz w:val="21"/>
                <w:szCs w:val="21"/>
              </w:rPr>
              <w:sym w:font="Wingdings 2" w:char="F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08"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06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评价因子</w:t>
            </w:r>
          </w:p>
        </w:tc>
        <w:tc>
          <w:tcPr>
            <w:tcW w:w="4032" w:type="dxa"/>
            <w:gridSpan w:val="6"/>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基本污染物（SO</w:t>
            </w:r>
            <w:r>
              <w:rPr>
                <w:rFonts w:hint="eastAsia" w:hAnsi="Times New Roman" w:eastAsia="宋体"/>
                <w:kern w:val="2"/>
                <w:sz w:val="21"/>
                <w:szCs w:val="21"/>
                <w:vertAlign w:val="subscript"/>
              </w:rPr>
              <w:t>2</w:t>
            </w:r>
            <w:r>
              <w:rPr>
                <w:rFonts w:hint="eastAsia" w:hAnsi="Times New Roman" w:eastAsia="宋体"/>
                <w:kern w:val="2"/>
                <w:sz w:val="21"/>
                <w:szCs w:val="21"/>
              </w:rPr>
              <w:t>、NO</w:t>
            </w:r>
            <w:r>
              <w:rPr>
                <w:rFonts w:hint="eastAsia" w:hAnsi="Times New Roman" w:eastAsia="宋体"/>
                <w:kern w:val="2"/>
                <w:sz w:val="21"/>
                <w:szCs w:val="21"/>
                <w:vertAlign w:val="subscript"/>
              </w:rPr>
              <w:t>2</w:t>
            </w:r>
            <w:r>
              <w:rPr>
                <w:rFonts w:hint="eastAsia" w:hAnsi="Times New Roman" w:eastAsia="宋体"/>
                <w:kern w:val="2"/>
                <w:sz w:val="21"/>
                <w:szCs w:val="21"/>
              </w:rPr>
              <w:t>、PM</w:t>
            </w:r>
            <w:r>
              <w:rPr>
                <w:rFonts w:hint="eastAsia" w:hAnsi="Times New Roman" w:eastAsia="宋体"/>
                <w:kern w:val="2"/>
                <w:sz w:val="21"/>
                <w:szCs w:val="21"/>
                <w:vertAlign w:val="subscript"/>
              </w:rPr>
              <w:t>10</w:t>
            </w:r>
            <w:r>
              <w:rPr>
                <w:rFonts w:hint="eastAsia" w:hAnsi="Times New Roman" w:eastAsia="宋体"/>
                <w:kern w:val="2"/>
                <w:sz w:val="21"/>
                <w:szCs w:val="21"/>
              </w:rPr>
              <w:t>、PM</w:t>
            </w:r>
            <w:r>
              <w:rPr>
                <w:rFonts w:hint="eastAsia" w:hAnsi="Times New Roman" w:eastAsia="宋体"/>
                <w:kern w:val="2"/>
                <w:sz w:val="21"/>
                <w:szCs w:val="21"/>
                <w:vertAlign w:val="subscript"/>
              </w:rPr>
              <w:t>2.5</w:t>
            </w:r>
            <w:r>
              <w:rPr>
                <w:rFonts w:hint="eastAsia" w:hAnsi="Times New Roman" w:eastAsia="宋体"/>
                <w:kern w:val="2"/>
                <w:sz w:val="21"/>
                <w:szCs w:val="21"/>
              </w:rPr>
              <w:t>、CO、O</w:t>
            </w:r>
            <w:r>
              <w:rPr>
                <w:rFonts w:hint="eastAsia" w:hAnsi="Times New Roman" w:eastAsia="宋体"/>
                <w:kern w:val="2"/>
                <w:sz w:val="21"/>
                <w:szCs w:val="21"/>
                <w:vertAlign w:val="subscript"/>
              </w:rPr>
              <w:t>3</w:t>
            </w:r>
            <w:r>
              <w:rPr>
                <w:rFonts w:hint="eastAsia" w:hAnsi="Times New Roman" w:eastAsia="宋体"/>
                <w:kern w:val="2"/>
                <w:sz w:val="21"/>
                <w:szCs w:val="21"/>
              </w:rPr>
              <w:t>）</w:t>
            </w:r>
          </w:p>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其他污染物（</w:t>
            </w:r>
            <w:r>
              <w:rPr>
                <w:rFonts w:hint="eastAsia" w:hAnsi="Times New Roman" w:eastAsia="宋体"/>
                <w:kern w:val="2"/>
                <w:sz w:val="21"/>
                <w:szCs w:val="21"/>
                <w:lang w:eastAsia="zh-CN"/>
              </w:rPr>
              <w:t>TSP</w:t>
            </w:r>
            <w:r>
              <w:rPr>
                <w:rFonts w:hint="eastAsia" w:hAnsi="Times New Roman" w:eastAsia="宋体"/>
                <w:kern w:val="2"/>
                <w:sz w:val="21"/>
                <w:szCs w:val="21"/>
              </w:rPr>
              <w:t>）</w:t>
            </w:r>
          </w:p>
        </w:tc>
        <w:tc>
          <w:tcPr>
            <w:tcW w:w="3334" w:type="dxa"/>
            <w:gridSpan w:val="6"/>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包括二次PM2.5□</w:t>
            </w:r>
          </w:p>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不包括二次PM2.5</w:t>
            </w:r>
            <w:r>
              <w:rPr>
                <w:rFonts w:hint="eastAsia" w:hAnsi="Times New Roman" w:eastAsia="宋体"/>
                <w:kern w:val="2"/>
                <w:sz w:val="21"/>
                <w:szCs w:val="21"/>
              </w:rPr>
              <w:sym w:font="Wingdings 2" w:char="F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0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评价标准</w:t>
            </w:r>
          </w:p>
        </w:tc>
        <w:tc>
          <w:tcPr>
            <w:tcW w:w="106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评价标准</w:t>
            </w:r>
          </w:p>
        </w:tc>
        <w:tc>
          <w:tcPr>
            <w:tcW w:w="1738" w:type="dxa"/>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国家标准</w:t>
            </w:r>
            <w:r>
              <w:rPr>
                <w:rFonts w:hint="eastAsia" w:hAnsi="Times New Roman" w:eastAsia="宋体"/>
                <w:kern w:val="2"/>
                <w:sz w:val="21"/>
                <w:szCs w:val="21"/>
              </w:rPr>
              <w:sym w:font="Wingdings 2" w:char="F052"/>
            </w:r>
          </w:p>
        </w:tc>
        <w:tc>
          <w:tcPr>
            <w:tcW w:w="2294" w:type="dxa"/>
            <w:gridSpan w:val="4"/>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地方标准□</w:t>
            </w:r>
          </w:p>
        </w:tc>
        <w:tc>
          <w:tcPr>
            <w:tcW w:w="1917" w:type="dxa"/>
            <w:gridSpan w:val="4"/>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附录D</w:t>
            </w:r>
            <w:r>
              <w:rPr>
                <w:rFonts w:hint="eastAsia" w:hAnsi="Times New Roman" w:eastAsia="宋体"/>
                <w:kern w:val="2"/>
                <w:sz w:val="21"/>
                <w:szCs w:val="21"/>
              </w:rPr>
              <w:sym w:font="Wingdings 2" w:char="F052"/>
            </w:r>
          </w:p>
        </w:tc>
        <w:tc>
          <w:tcPr>
            <w:tcW w:w="1417" w:type="dxa"/>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其他标准□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08" w:type="dxa"/>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现状评价</w:t>
            </w:r>
          </w:p>
        </w:tc>
        <w:tc>
          <w:tcPr>
            <w:tcW w:w="106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环境功能区</w:t>
            </w:r>
          </w:p>
        </w:tc>
        <w:tc>
          <w:tcPr>
            <w:tcW w:w="2414" w:type="dxa"/>
            <w:gridSpan w:val="4"/>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一类区□</w:t>
            </w:r>
          </w:p>
        </w:tc>
        <w:tc>
          <w:tcPr>
            <w:tcW w:w="3033" w:type="dxa"/>
            <w:gridSpan w:val="4"/>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二类区</w:t>
            </w:r>
            <w:r>
              <w:rPr>
                <w:rFonts w:hint="eastAsia" w:hAnsi="Times New Roman" w:eastAsia="宋体"/>
                <w:kern w:val="2"/>
                <w:sz w:val="21"/>
                <w:szCs w:val="21"/>
              </w:rPr>
              <w:sym w:font="Wingdings 2" w:char="F052"/>
            </w:r>
          </w:p>
        </w:tc>
        <w:tc>
          <w:tcPr>
            <w:tcW w:w="1919" w:type="dxa"/>
            <w:gridSpan w:val="4"/>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一类区和二类区□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08"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06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评价基准年</w:t>
            </w:r>
          </w:p>
        </w:tc>
        <w:tc>
          <w:tcPr>
            <w:tcW w:w="7366" w:type="dxa"/>
            <w:gridSpan w:val="1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08"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06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环境空气质量现状调查数据来源</w:t>
            </w:r>
          </w:p>
        </w:tc>
        <w:tc>
          <w:tcPr>
            <w:tcW w:w="2414" w:type="dxa"/>
            <w:gridSpan w:val="4"/>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长期例行监测数据□</w:t>
            </w:r>
          </w:p>
        </w:tc>
        <w:tc>
          <w:tcPr>
            <w:tcW w:w="3033" w:type="dxa"/>
            <w:gridSpan w:val="4"/>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主管部门发布的数据</w:t>
            </w:r>
            <w:r>
              <w:rPr>
                <w:rFonts w:hint="eastAsia" w:hAnsi="Times New Roman" w:eastAsia="宋体"/>
                <w:kern w:val="2"/>
                <w:sz w:val="21"/>
                <w:szCs w:val="21"/>
              </w:rPr>
              <w:sym w:font="Wingdings 2" w:char="F052"/>
            </w:r>
          </w:p>
        </w:tc>
        <w:tc>
          <w:tcPr>
            <w:tcW w:w="1919" w:type="dxa"/>
            <w:gridSpan w:val="4"/>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现状补充监测</w:t>
            </w:r>
            <w:r>
              <w:rPr>
                <w:rFonts w:hint="eastAsia" w:hAnsi="Times New Roman" w:eastAsia="宋体"/>
                <w:kern w:val="2"/>
                <w:sz w:val="21"/>
                <w:szCs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08"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06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现状评价</w:t>
            </w:r>
          </w:p>
        </w:tc>
        <w:tc>
          <w:tcPr>
            <w:tcW w:w="4032" w:type="dxa"/>
            <w:gridSpan w:val="6"/>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达标区</w:t>
            </w:r>
            <w:r>
              <w:rPr>
                <w:rFonts w:hint="eastAsia" w:hAnsi="Times New Roman" w:eastAsia="宋体"/>
                <w:kern w:val="2"/>
                <w:sz w:val="21"/>
                <w:szCs w:val="21"/>
              </w:rPr>
              <w:sym w:font="Wingdings 2" w:char="0052"/>
            </w:r>
          </w:p>
        </w:tc>
        <w:tc>
          <w:tcPr>
            <w:tcW w:w="3334" w:type="dxa"/>
            <w:gridSpan w:val="6"/>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不达标区</w:t>
            </w:r>
            <w:r>
              <w:rPr>
                <w:rFonts w:hint="eastAsia" w:hAnsi="Times New Roman" w:eastAsia="宋体"/>
                <w:kern w:val="2"/>
                <w:sz w:val="21"/>
                <w:szCs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0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污染源调查</w:t>
            </w:r>
          </w:p>
        </w:tc>
        <w:tc>
          <w:tcPr>
            <w:tcW w:w="106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调查内容</w:t>
            </w:r>
          </w:p>
        </w:tc>
        <w:tc>
          <w:tcPr>
            <w:tcW w:w="1738" w:type="dxa"/>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本项目正常排放源</w:t>
            </w:r>
            <w:r>
              <w:rPr>
                <w:rFonts w:hint="eastAsia" w:hAnsi="Times New Roman" w:eastAsia="宋体"/>
                <w:kern w:val="2"/>
                <w:sz w:val="21"/>
                <w:szCs w:val="21"/>
              </w:rPr>
              <w:sym w:font="Wingdings 2" w:char="F052"/>
            </w:r>
            <w:r>
              <w:rPr>
                <w:rFonts w:hint="eastAsia" w:hAnsi="Times New Roman" w:eastAsia="宋体"/>
                <w:kern w:val="2"/>
                <w:sz w:val="21"/>
                <w:szCs w:val="21"/>
              </w:rPr>
              <w:t>本项目非正常排放源□现有污染源□</w:t>
            </w:r>
          </w:p>
        </w:tc>
        <w:tc>
          <w:tcPr>
            <w:tcW w:w="2294" w:type="dxa"/>
            <w:gridSpan w:val="4"/>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拟替代的污染源□</w:t>
            </w:r>
          </w:p>
        </w:tc>
        <w:tc>
          <w:tcPr>
            <w:tcW w:w="1917" w:type="dxa"/>
            <w:gridSpan w:val="4"/>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其他在建、拟建项目污染源□</w:t>
            </w:r>
          </w:p>
        </w:tc>
        <w:tc>
          <w:tcPr>
            <w:tcW w:w="1417" w:type="dxa"/>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区域污染源□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08" w:type="dxa"/>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大气环境影响预测与评价</w:t>
            </w:r>
          </w:p>
        </w:tc>
        <w:tc>
          <w:tcPr>
            <w:tcW w:w="106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预测模型</w:t>
            </w:r>
          </w:p>
        </w:tc>
        <w:tc>
          <w:tcPr>
            <w:tcW w:w="110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AERMOD□</w:t>
            </w:r>
          </w:p>
        </w:tc>
        <w:tc>
          <w:tcPr>
            <w:tcW w:w="845" w:type="dxa"/>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ADMS□</w:t>
            </w:r>
          </w:p>
        </w:tc>
        <w:tc>
          <w:tcPr>
            <w:tcW w:w="1395" w:type="dxa"/>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AUSTAL2000□</w:t>
            </w:r>
          </w:p>
        </w:tc>
        <w:tc>
          <w:tcPr>
            <w:tcW w:w="1355" w:type="dxa"/>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EDMS/AEDT□</w:t>
            </w:r>
          </w:p>
        </w:tc>
        <w:tc>
          <w:tcPr>
            <w:tcW w:w="1116" w:type="dxa"/>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CALPUFF□</w:t>
            </w:r>
          </w:p>
        </w:tc>
        <w:tc>
          <w:tcPr>
            <w:tcW w:w="657" w:type="dxa"/>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网格模型□</w:t>
            </w:r>
          </w:p>
        </w:tc>
        <w:tc>
          <w:tcPr>
            <w:tcW w:w="89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08"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06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预测范围</w:t>
            </w:r>
          </w:p>
        </w:tc>
        <w:tc>
          <w:tcPr>
            <w:tcW w:w="2414" w:type="dxa"/>
            <w:gridSpan w:val="4"/>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边长≥50km</w:t>
            </w:r>
            <w:r>
              <w:rPr>
                <w:rFonts w:hint="eastAsia" w:hAnsi="Times New Roman" w:eastAsia="宋体"/>
                <w:kern w:val="2"/>
                <w:sz w:val="21"/>
                <w:szCs w:val="21"/>
              </w:rPr>
              <w:sym w:font="Wingdings 2" w:char="00A3"/>
            </w:r>
          </w:p>
        </w:tc>
        <w:tc>
          <w:tcPr>
            <w:tcW w:w="3033" w:type="dxa"/>
            <w:gridSpan w:val="4"/>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边长5</w:t>
            </w:r>
            <w:r>
              <w:rPr>
                <w:rFonts w:hint="eastAsia" w:hAnsi="Times New Roman" w:eastAsia="宋体"/>
                <w:kern w:val="2"/>
                <w:sz w:val="21"/>
                <w:szCs w:val="21"/>
                <w:lang w:eastAsia="zh-CN"/>
              </w:rPr>
              <w:t>～</w:t>
            </w:r>
            <w:r>
              <w:rPr>
                <w:rFonts w:hint="eastAsia" w:hAnsi="Times New Roman" w:eastAsia="宋体"/>
                <w:kern w:val="2"/>
                <w:sz w:val="21"/>
                <w:szCs w:val="21"/>
              </w:rPr>
              <w:t>50km</w:t>
            </w:r>
            <w:r>
              <w:rPr>
                <w:rFonts w:hint="eastAsia" w:hAnsi="Times New Roman" w:eastAsia="宋体"/>
                <w:kern w:val="2"/>
                <w:sz w:val="21"/>
                <w:szCs w:val="21"/>
              </w:rPr>
              <w:sym w:font="Wingdings 2" w:char="00A3"/>
            </w:r>
          </w:p>
        </w:tc>
        <w:tc>
          <w:tcPr>
            <w:tcW w:w="1919" w:type="dxa"/>
            <w:gridSpan w:val="4"/>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边长=5km</w:t>
            </w:r>
            <w:r>
              <w:rPr>
                <w:rFonts w:hint="eastAsia" w:hAnsi="Times New Roman" w:eastAsia="宋体"/>
                <w:kern w:val="2"/>
                <w:sz w:val="21"/>
                <w:szCs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08"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06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预测因子</w:t>
            </w:r>
          </w:p>
        </w:tc>
        <w:tc>
          <w:tcPr>
            <w:tcW w:w="4032" w:type="dxa"/>
            <w:gridSpan w:val="6"/>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预测因子（</w:t>
            </w:r>
            <w:r>
              <w:rPr>
                <w:rFonts w:hint="eastAsia" w:hAnsi="Times New Roman" w:eastAsia="宋体"/>
                <w:kern w:val="2"/>
                <w:sz w:val="21"/>
                <w:szCs w:val="21"/>
                <w:lang w:eastAsia="zh-CN"/>
              </w:rPr>
              <w:t>TSP</w:t>
            </w:r>
            <w:r>
              <w:rPr>
                <w:rFonts w:hint="eastAsia" w:hAnsi="Times New Roman" w:eastAsia="宋体"/>
                <w:kern w:val="2"/>
                <w:sz w:val="21"/>
                <w:szCs w:val="21"/>
              </w:rPr>
              <w:t>）</w:t>
            </w:r>
          </w:p>
        </w:tc>
        <w:tc>
          <w:tcPr>
            <w:tcW w:w="3334" w:type="dxa"/>
            <w:gridSpan w:val="6"/>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包括二次PM2.5</w:t>
            </w:r>
            <w:r>
              <w:rPr>
                <w:rFonts w:hint="eastAsia" w:hAnsi="Times New Roman" w:eastAsia="宋体"/>
                <w:kern w:val="2"/>
                <w:sz w:val="21"/>
                <w:szCs w:val="21"/>
              </w:rPr>
              <w:sym w:font="Wingdings 2" w:char="00A3"/>
            </w:r>
          </w:p>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不包括二次PM2.5</w:t>
            </w:r>
            <w:r>
              <w:rPr>
                <w:rFonts w:hint="eastAsia" w:hAnsi="Times New Roman" w:eastAsia="宋体"/>
                <w:kern w:val="2"/>
                <w:sz w:val="21"/>
                <w:szCs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08"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06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正常排放短期浓度贡献值</w:t>
            </w:r>
          </w:p>
        </w:tc>
        <w:tc>
          <w:tcPr>
            <w:tcW w:w="4032" w:type="dxa"/>
            <w:gridSpan w:val="6"/>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i/>
                <w:kern w:val="2"/>
                <w:sz w:val="21"/>
                <w:szCs w:val="21"/>
              </w:rPr>
              <w:t>C</w:t>
            </w:r>
            <w:r>
              <w:rPr>
                <w:rFonts w:hint="eastAsia" w:hAnsi="Times New Roman" w:eastAsia="宋体"/>
                <w:kern w:val="2"/>
                <w:sz w:val="21"/>
                <w:szCs w:val="21"/>
                <w:vertAlign w:val="subscript"/>
              </w:rPr>
              <w:t>本项目</w:t>
            </w:r>
            <w:r>
              <w:rPr>
                <w:rFonts w:hint="eastAsia" w:hAnsi="Times New Roman" w:eastAsia="宋体"/>
                <w:kern w:val="2"/>
                <w:sz w:val="21"/>
                <w:szCs w:val="21"/>
              </w:rPr>
              <w:t>最大占标率≤100%</w:t>
            </w:r>
            <w:r>
              <w:rPr>
                <w:rFonts w:hint="eastAsia" w:hAnsi="Times New Roman" w:eastAsia="宋体"/>
                <w:kern w:val="2"/>
                <w:sz w:val="21"/>
                <w:szCs w:val="21"/>
              </w:rPr>
              <w:sym w:font="Wingdings 2" w:char="0052"/>
            </w:r>
          </w:p>
        </w:tc>
        <w:tc>
          <w:tcPr>
            <w:tcW w:w="3334" w:type="dxa"/>
            <w:gridSpan w:val="6"/>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i/>
                <w:kern w:val="2"/>
                <w:sz w:val="21"/>
                <w:szCs w:val="21"/>
              </w:rPr>
              <w:t>C</w:t>
            </w:r>
            <w:r>
              <w:rPr>
                <w:rFonts w:hint="eastAsia" w:hAnsi="Times New Roman" w:eastAsia="宋体"/>
                <w:kern w:val="2"/>
                <w:sz w:val="21"/>
                <w:szCs w:val="21"/>
                <w:vertAlign w:val="subscript"/>
              </w:rPr>
              <w:t>本项目</w:t>
            </w:r>
            <w:r>
              <w:rPr>
                <w:rFonts w:hint="eastAsia" w:hAnsi="Times New Roman" w:eastAsia="宋体"/>
                <w:kern w:val="2"/>
                <w:sz w:val="21"/>
                <w:szCs w:val="21"/>
              </w:rPr>
              <w:t>最大占标率&gt;100%□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08"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068" w:type="dxa"/>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正常排放年均浓度贡献值</w:t>
            </w:r>
          </w:p>
        </w:tc>
        <w:tc>
          <w:tcPr>
            <w:tcW w:w="110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一类区</w:t>
            </w:r>
          </w:p>
        </w:tc>
        <w:tc>
          <w:tcPr>
            <w:tcW w:w="2927" w:type="dxa"/>
            <w:gridSpan w:val="5"/>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i/>
                <w:kern w:val="2"/>
                <w:sz w:val="21"/>
                <w:szCs w:val="21"/>
              </w:rPr>
              <w:t>C</w:t>
            </w:r>
            <w:r>
              <w:rPr>
                <w:rFonts w:hint="eastAsia" w:hAnsi="Times New Roman" w:eastAsia="宋体"/>
                <w:kern w:val="2"/>
                <w:sz w:val="21"/>
                <w:szCs w:val="21"/>
                <w:vertAlign w:val="subscript"/>
              </w:rPr>
              <w:t>本项目</w:t>
            </w:r>
            <w:r>
              <w:rPr>
                <w:rFonts w:hint="eastAsia" w:hAnsi="Times New Roman" w:eastAsia="宋体"/>
                <w:kern w:val="2"/>
                <w:sz w:val="21"/>
                <w:szCs w:val="21"/>
              </w:rPr>
              <w:t>最大占标率≤10%</w:t>
            </w:r>
            <w:r>
              <w:rPr>
                <w:rFonts w:hint="eastAsia" w:hAnsi="Times New Roman" w:eastAsia="宋体"/>
                <w:kern w:val="2"/>
                <w:sz w:val="21"/>
                <w:szCs w:val="21"/>
              </w:rPr>
              <w:sym w:font="Wingdings 2" w:char="00A3"/>
            </w:r>
          </w:p>
        </w:tc>
        <w:tc>
          <w:tcPr>
            <w:tcW w:w="3334" w:type="dxa"/>
            <w:gridSpan w:val="6"/>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i/>
                <w:kern w:val="2"/>
                <w:sz w:val="21"/>
                <w:szCs w:val="21"/>
              </w:rPr>
              <w:t>C</w:t>
            </w:r>
            <w:r>
              <w:rPr>
                <w:rFonts w:hint="eastAsia" w:hAnsi="Times New Roman" w:eastAsia="宋体"/>
                <w:kern w:val="2"/>
                <w:sz w:val="21"/>
                <w:szCs w:val="21"/>
                <w:vertAlign w:val="subscript"/>
              </w:rPr>
              <w:t>本项目</w:t>
            </w:r>
            <w:r>
              <w:rPr>
                <w:rFonts w:hint="eastAsia" w:hAnsi="Times New Roman" w:eastAsia="宋体"/>
                <w:kern w:val="2"/>
                <w:sz w:val="21"/>
                <w:szCs w:val="21"/>
              </w:rPr>
              <w:t>最大占标率&gt;10%</w:t>
            </w:r>
            <w:r>
              <w:rPr>
                <w:rFonts w:hint="eastAsia" w:hAnsi="Times New Roman" w:eastAsia="宋体"/>
                <w:kern w:val="2"/>
                <w:sz w:val="21"/>
                <w:szCs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08"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068"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10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二类区</w:t>
            </w:r>
          </w:p>
        </w:tc>
        <w:tc>
          <w:tcPr>
            <w:tcW w:w="2927" w:type="dxa"/>
            <w:gridSpan w:val="5"/>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i/>
                <w:kern w:val="2"/>
                <w:sz w:val="21"/>
                <w:szCs w:val="21"/>
              </w:rPr>
              <w:t>C</w:t>
            </w:r>
            <w:r>
              <w:rPr>
                <w:rFonts w:hint="eastAsia" w:hAnsi="Times New Roman" w:eastAsia="宋体"/>
                <w:kern w:val="2"/>
                <w:sz w:val="21"/>
                <w:szCs w:val="21"/>
                <w:vertAlign w:val="subscript"/>
              </w:rPr>
              <w:t>本项目</w:t>
            </w:r>
            <w:r>
              <w:rPr>
                <w:rFonts w:hint="eastAsia" w:hAnsi="Times New Roman" w:eastAsia="宋体"/>
                <w:kern w:val="2"/>
                <w:sz w:val="21"/>
                <w:szCs w:val="21"/>
              </w:rPr>
              <w:t>最大占标率≤30%</w:t>
            </w:r>
            <w:r>
              <w:rPr>
                <w:rFonts w:hint="eastAsia" w:hAnsi="Times New Roman" w:eastAsia="宋体"/>
                <w:kern w:val="2"/>
                <w:sz w:val="21"/>
                <w:szCs w:val="21"/>
              </w:rPr>
              <w:sym w:font="Wingdings 2" w:char="0052"/>
            </w:r>
          </w:p>
        </w:tc>
        <w:tc>
          <w:tcPr>
            <w:tcW w:w="3334" w:type="dxa"/>
            <w:gridSpan w:val="6"/>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i/>
                <w:kern w:val="2"/>
                <w:sz w:val="21"/>
                <w:szCs w:val="21"/>
              </w:rPr>
              <w:t>C</w:t>
            </w:r>
            <w:r>
              <w:rPr>
                <w:rFonts w:hint="eastAsia" w:hAnsi="Times New Roman" w:eastAsia="宋体"/>
                <w:kern w:val="2"/>
                <w:sz w:val="21"/>
                <w:szCs w:val="21"/>
                <w:vertAlign w:val="subscript"/>
              </w:rPr>
              <w:t>本项目</w:t>
            </w:r>
            <w:r>
              <w:rPr>
                <w:rFonts w:hint="eastAsia" w:hAnsi="Times New Roman" w:eastAsia="宋体"/>
                <w:kern w:val="2"/>
                <w:sz w:val="21"/>
                <w:szCs w:val="21"/>
              </w:rPr>
              <w:t>最大占标率&gt;30%</w:t>
            </w:r>
            <w:r>
              <w:rPr>
                <w:rFonts w:hint="eastAsia" w:hAnsi="Times New Roman" w:eastAsia="宋体"/>
                <w:kern w:val="2"/>
                <w:sz w:val="21"/>
                <w:szCs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08"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06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非正常排放1h浓度贡献值</w:t>
            </w:r>
          </w:p>
        </w:tc>
        <w:tc>
          <w:tcPr>
            <w:tcW w:w="2414" w:type="dxa"/>
            <w:gridSpan w:val="4"/>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非正常持续时长（ ）h</w:t>
            </w:r>
          </w:p>
        </w:tc>
        <w:tc>
          <w:tcPr>
            <w:tcW w:w="3033" w:type="dxa"/>
            <w:gridSpan w:val="4"/>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i/>
                <w:kern w:val="2"/>
                <w:sz w:val="21"/>
                <w:szCs w:val="21"/>
              </w:rPr>
              <w:t>C</w:t>
            </w:r>
            <w:r>
              <w:rPr>
                <w:rFonts w:hint="eastAsia" w:hAnsi="Times New Roman" w:eastAsia="宋体"/>
                <w:kern w:val="2"/>
                <w:sz w:val="21"/>
                <w:szCs w:val="21"/>
                <w:vertAlign w:val="subscript"/>
              </w:rPr>
              <w:t>非正常</w:t>
            </w:r>
            <w:r>
              <w:rPr>
                <w:rFonts w:hint="eastAsia" w:hAnsi="Times New Roman" w:eastAsia="宋体"/>
                <w:kern w:val="2"/>
                <w:sz w:val="21"/>
                <w:szCs w:val="21"/>
              </w:rPr>
              <w:t>占标率≤100%□</w:t>
            </w:r>
          </w:p>
        </w:tc>
        <w:tc>
          <w:tcPr>
            <w:tcW w:w="1919" w:type="dxa"/>
            <w:gridSpan w:val="4"/>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i/>
                <w:kern w:val="2"/>
                <w:sz w:val="21"/>
                <w:szCs w:val="21"/>
              </w:rPr>
              <w:t>C</w:t>
            </w:r>
            <w:r>
              <w:rPr>
                <w:rFonts w:hint="eastAsia" w:hAnsi="Times New Roman" w:eastAsia="宋体"/>
                <w:kern w:val="2"/>
                <w:sz w:val="21"/>
                <w:szCs w:val="21"/>
                <w:vertAlign w:val="subscript"/>
              </w:rPr>
              <w:t>非正常</w:t>
            </w:r>
            <w:r>
              <w:rPr>
                <w:rFonts w:hint="eastAsia" w:hAnsi="Times New Roman" w:eastAsia="宋体"/>
                <w:kern w:val="2"/>
                <w:sz w:val="21"/>
                <w:szCs w:val="21"/>
              </w:rPr>
              <w:t>占标率&gt;100%□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08"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06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保证率日平均浓度和年平均浓度叠加值</w:t>
            </w:r>
          </w:p>
        </w:tc>
        <w:tc>
          <w:tcPr>
            <w:tcW w:w="4032" w:type="dxa"/>
            <w:gridSpan w:val="6"/>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i/>
                <w:kern w:val="2"/>
                <w:sz w:val="21"/>
                <w:szCs w:val="21"/>
              </w:rPr>
              <w:t>C</w:t>
            </w:r>
            <w:r>
              <w:rPr>
                <w:rFonts w:hint="eastAsia" w:hAnsi="Times New Roman" w:eastAsia="宋体"/>
                <w:kern w:val="2"/>
                <w:sz w:val="21"/>
                <w:szCs w:val="21"/>
                <w:vertAlign w:val="subscript"/>
              </w:rPr>
              <w:t>叠加</w:t>
            </w:r>
            <w:r>
              <w:rPr>
                <w:rFonts w:hint="eastAsia" w:hAnsi="Times New Roman" w:eastAsia="宋体"/>
                <w:kern w:val="2"/>
                <w:sz w:val="21"/>
                <w:szCs w:val="21"/>
              </w:rPr>
              <w:t>达标□</w:t>
            </w:r>
          </w:p>
        </w:tc>
        <w:tc>
          <w:tcPr>
            <w:tcW w:w="3334" w:type="dxa"/>
            <w:gridSpan w:val="6"/>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i/>
                <w:kern w:val="2"/>
                <w:sz w:val="21"/>
                <w:szCs w:val="21"/>
              </w:rPr>
              <w:t>C</w:t>
            </w:r>
            <w:r>
              <w:rPr>
                <w:rFonts w:hint="eastAsia" w:hAnsi="Times New Roman" w:eastAsia="宋体"/>
                <w:kern w:val="2"/>
                <w:sz w:val="21"/>
                <w:szCs w:val="21"/>
                <w:vertAlign w:val="subscript"/>
              </w:rPr>
              <w:t>叠加</w:t>
            </w:r>
            <w:r>
              <w:rPr>
                <w:rFonts w:hint="eastAsia" w:hAnsi="Times New Roman" w:eastAsia="宋体"/>
                <w:kern w:val="2"/>
                <w:sz w:val="21"/>
                <w:szCs w:val="21"/>
              </w:rPr>
              <w:t>不达标□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08"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06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区域环境质量的整体变化情况</w:t>
            </w:r>
          </w:p>
        </w:tc>
        <w:tc>
          <w:tcPr>
            <w:tcW w:w="4032" w:type="dxa"/>
            <w:gridSpan w:val="6"/>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i/>
                <w:kern w:val="2"/>
                <w:sz w:val="21"/>
                <w:szCs w:val="21"/>
              </w:rPr>
              <w:t>k</w:t>
            </w:r>
            <w:r>
              <w:rPr>
                <w:rFonts w:hint="eastAsia" w:hAnsi="Times New Roman" w:eastAsia="宋体"/>
                <w:kern w:val="2"/>
                <w:sz w:val="21"/>
                <w:szCs w:val="21"/>
              </w:rPr>
              <w:t>≤-20%□</w:t>
            </w:r>
          </w:p>
        </w:tc>
        <w:tc>
          <w:tcPr>
            <w:tcW w:w="3334" w:type="dxa"/>
            <w:gridSpan w:val="6"/>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i/>
                <w:kern w:val="2"/>
                <w:sz w:val="21"/>
                <w:szCs w:val="21"/>
              </w:rPr>
              <w:t>k</w:t>
            </w:r>
            <w:r>
              <w:rPr>
                <w:rFonts w:hint="eastAsia" w:hAnsi="Times New Roman" w:eastAsia="宋体"/>
                <w:kern w:val="2"/>
                <w:sz w:val="21"/>
                <w:szCs w:val="21"/>
              </w:rPr>
              <w:t>&gt;-20%□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08" w:type="dxa"/>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环境监测计划</w:t>
            </w:r>
          </w:p>
        </w:tc>
        <w:tc>
          <w:tcPr>
            <w:tcW w:w="106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污染源监测</w:t>
            </w:r>
          </w:p>
        </w:tc>
        <w:tc>
          <w:tcPr>
            <w:tcW w:w="2414" w:type="dxa"/>
            <w:gridSpan w:val="4"/>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监测因子（</w:t>
            </w:r>
            <w:r>
              <w:rPr>
                <w:rFonts w:hint="eastAsia" w:hAnsi="Times New Roman" w:eastAsia="宋体"/>
                <w:kern w:val="2"/>
                <w:sz w:val="21"/>
                <w:szCs w:val="21"/>
                <w:lang w:eastAsia="zh-CN"/>
              </w:rPr>
              <w:t xml:space="preserve"> / </w:t>
            </w:r>
            <w:r>
              <w:rPr>
                <w:rFonts w:hint="eastAsia" w:hAnsi="Times New Roman" w:eastAsia="宋体"/>
                <w:kern w:val="2"/>
                <w:sz w:val="21"/>
                <w:szCs w:val="21"/>
              </w:rPr>
              <w:t>）</w:t>
            </w:r>
          </w:p>
        </w:tc>
        <w:tc>
          <w:tcPr>
            <w:tcW w:w="3033" w:type="dxa"/>
            <w:gridSpan w:val="4"/>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有组织废气监测</w:t>
            </w:r>
            <w:r>
              <w:rPr>
                <w:rFonts w:hint="eastAsia" w:hAnsi="Times New Roman" w:eastAsia="宋体"/>
                <w:kern w:val="2"/>
                <w:sz w:val="21"/>
                <w:szCs w:val="21"/>
              </w:rPr>
              <w:sym w:font="Wingdings 2" w:char="00A3"/>
            </w:r>
          </w:p>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无组织废气监测</w:t>
            </w:r>
            <w:r>
              <w:rPr>
                <w:rFonts w:hint="eastAsia" w:hAnsi="Times New Roman" w:eastAsia="宋体"/>
                <w:kern w:val="2"/>
                <w:sz w:val="21"/>
                <w:szCs w:val="21"/>
              </w:rPr>
              <w:sym w:font="Wingdings 2" w:char="00A3"/>
            </w:r>
          </w:p>
        </w:tc>
        <w:tc>
          <w:tcPr>
            <w:tcW w:w="1919" w:type="dxa"/>
            <w:gridSpan w:val="4"/>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无监测</w:t>
            </w:r>
            <w:r>
              <w:rPr>
                <w:rFonts w:hint="eastAsia" w:hAnsi="Times New Roman" w:eastAsia="宋体"/>
                <w:kern w:val="2"/>
                <w:sz w:val="21"/>
                <w:szCs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08"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06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环境质量监测</w:t>
            </w:r>
          </w:p>
        </w:tc>
        <w:tc>
          <w:tcPr>
            <w:tcW w:w="2414" w:type="dxa"/>
            <w:gridSpan w:val="4"/>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监测因子（ / ）</w:t>
            </w:r>
          </w:p>
        </w:tc>
        <w:tc>
          <w:tcPr>
            <w:tcW w:w="3033" w:type="dxa"/>
            <w:gridSpan w:val="4"/>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监测点位数（ / ）</w:t>
            </w:r>
          </w:p>
        </w:tc>
        <w:tc>
          <w:tcPr>
            <w:tcW w:w="1919" w:type="dxa"/>
            <w:gridSpan w:val="4"/>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无监测</w:t>
            </w:r>
            <w:r>
              <w:rPr>
                <w:rFonts w:hint="eastAsia" w:hAnsi="Times New Roman" w:eastAsia="宋体"/>
                <w:kern w:val="2"/>
                <w:sz w:val="21"/>
                <w:szCs w:val="21"/>
              </w:rPr>
              <w:sym w:font="Wingdings 2" w:char="F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08" w:type="dxa"/>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评价结论</w:t>
            </w:r>
          </w:p>
        </w:tc>
        <w:tc>
          <w:tcPr>
            <w:tcW w:w="106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环境影响</w:t>
            </w:r>
          </w:p>
        </w:tc>
        <w:tc>
          <w:tcPr>
            <w:tcW w:w="7366" w:type="dxa"/>
            <w:gridSpan w:val="1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可以接受</w:t>
            </w:r>
            <w:r>
              <w:rPr>
                <w:rFonts w:hint="eastAsia" w:hAnsi="Times New Roman" w:eastAsia="宋体"/>
                <w:kern w:val="2"/>
                <w:sz w:val="21"/>
                <w:szCs w:val="21"/>
              </w:rPr>
              <w:sym w:font="Wingdings 2" w:char="F052"/>
            </w:r>
            <w:r>
              <w:rPr>
                <w:rFonts w:hint="eastAsia" w:hAnsi="Times New Roman" w:eastAsia="宋体"/>
                <w:kern w:val="2"/>
                <w:sz w:val="21"/>
                <w:szCs w:val="21"/>
              </w:rPr>
              <w:t xml:space="preserve">        不可以接受□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08"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06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大气环境防护距离</w:t>
            </w:r>
          </w:p>
        </w:tc>
        <w:tc>
          <w:tcPr>
            <w:tcW w:w="7366" w:type="dxa"/>
            <w:gridSpan w:val="1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距（  /  ）厂界最远（  /  ）m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08"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p>
        </w:tc>
        <w:tc>
          <w:tcPr>
            <w:tcW w:w="106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污染源年排放量</w:t>
            </w:r>
          </w:p>
        </w:tc>
        <w:tc>
          <w:tcPr>
            <w:tcW w:w="1738" w:type="dxa"/>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SO</w:t>
            </w:r>
            <w:r>
              <w:rPr>
                <w:rFonts w:hint="eastAsia" w:hAnsi="Times New Roman" w:eastAsia="宋体"/>
                <w:kern w:val="2"/>
                <w:sz w:val="21"/>
                <w:szCs w:val="21"/>
                <w:vertAlign w:val="subscript"/>
              </w:rPr>
              <w:t>2</w:t>
            </w:r>
            <w:r>
              <w:rPr>
                <w:rFonts w:hint="eastAsia" w:hAnsi="Times New Roman" w:eastAsia="宋体"/>
                <w:kern w:val="2"/>
                <w:sz w:val="21"/>
                <w:szCs w:val="21"/>
              </w:rPr>
              <w:t>（ ）t/a</w:t>
            </w:r>
          </w:p>
        </w:tc>
        <w:tc>
          <w:tcPr>
            <w:tcW w:w="2294" w:type="dxa"/>
            <w:gridSpan w:val="4"/>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NO</w:t>
            </w:r>
            <w:r>
              <w:rPr>
                <w:rFonts w:hint="eastAsia" w:hAnsi="Times New Roman" w:eastAsia="宋体"/>
                <w:kern w:val="2"/>
                <w:sz w:val="21"/>
                <w:szCs w:val="21"/>
                <w:vertAlign w:val="subscript"/>
              </w:rPr>
              <w:t>x</w:t>
            </w:r>
            <w:r>
              <w:rPr>
                <w:rFonts w:hint="eastAsia" w:hAnsi="Times New Roman" w:eastAsia="宋体"/>
                <w:kern w:val="2"/>
                <w:sz w:val="21"/>
                <w:szCs w:val="21"/>
              </w:rPr>
              <w:t>（ ）t/a</w:t>
            </w:r>
          </w:p>
        </w:tc>
        <w:tc>
          <w:tcPr>
            <w:tcW w:w="1917" w:type="dxa"/>
            <w:gridSpan w:val="4"/>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颗粒物（</w:t>
            </w:r>
            <w:r>
              <w:rPr>
                <w:rFonts w:hint="eastAsia" w:hAnsi="Times New Roman" w:eastAsia="宋体"/>
                <w:kern w:val="2"/>
                <w:sz w:val="21"/>
                <w:szCs w:val="21"/>
                <w:lang w:eastAsia="zh-CN"/>
              </w:rPr>
              <w:t>0.532</w:t>
            </w:r>
            <w:r>
              <w:rPr>
                <w:rFonts w:hint="eastAsia" w:hAnsi="Times New Roman" w:eastAsia="宋体"/>
                <w:kern w:val="2"/>
                <w:sz w:val="21"/>
                <w:szCs w:val="21"/>
              </w:rPr>
              <w:t>）t/a</w:t>
            </w:r>
          </w:p>
        </w:tc>
        <w:tc>
          <w:tcPr>
            <w:tcW w:w="1417" w:type="dxa"/>
            <w:gridSpan w:val="2"/>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VOCs（ / ）t/a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342" w:type="dxa"/>
            <w:gridSpan w:val="14"/>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注：“□”为勾选项，填“√”；“（ ）”为内容填写项</w:t>
            </w:r>
          </w:p>
        </w:tc>
      </w:tr>
    </w:tbl>
    <w:p>
      <w:pPr>
        <w:spacing w:line="360" w:lineRule="auto"/>
        <w:ind w:firstLine="480" w:firstLineChars="200"/>
        <w:rPr>
          <w:rFonts w:hAnsi="Times New Roman" w:eastAsia="宋体"/>
          <w:lang w:eastAsia="zh-CN"/>
        </w:rPr>
        <w:sectPr>
          <w:pgSz w:w="11905" w:h="16838"/>
          <w:pgMar w:top="1440" w:right="1304" w:bottom="1440" w:left="1474" w:header="850" w:footer="992" w:gutter="0"/>
          <w:cols w:space="0" w:num="1"/>
          <w:docGrid w:type="lines" w:linePitch="338" w:charSpace="0"/>
        </w:sectPr>
      </w:pPr>
    </w:p>
    <w:p>
      <w:pPr>
        <w:pStyle w:val="4"/>
        <w:rPr>
          <w:lang w:eastAsia="zh-CN"/>
        </w:rPr>
      </w:pPr>
      <w:bookmarkStart w:id="587" w:name="_Toc167095286"/>
      <w:bookmarkStart w:id="588" w:name="_Toc163749199"/>
      <w:r>
        <w:rPr>
          <w:lang w:eastAsia="zh-CN"/>
        </w:rPr>
        <w:t>8 声环境影响评价</w:t>
      </w:r>
      <w:bookmarkEnd w:id="587"/>
      <w:bookmarkEnd w:id="588"/>
    </w:p>
    <w:p>
      <w:pPr>
        <w:pStyle w:val="5"/>
        <w:rPr>
          <w:rFonts w:ascii="Times New Roman" w:hAnsi="Times New Roman"/>
          <w:lang w:eastAsia="zh-CN"/>
        </w:rPr>
      </w:pPr>
      <w:bookmarkStart w:id="589" w:name="_Toc163749200"/>
      <w:bookmarkStart w:id="590" w:name="_Toc167095287"/>
      <w:r>
        <w:rPr>
          <w:rFonts w:ascii="Times New Roman" w:hAnsi="Times New Roman"/>
          <w:lang w:eastAsia="zh-CN"/>
        </w:rPr>
        <w:t>8.1 建设期声环境影响评价及防治措施</w:t>
      </w:r>
      <w:bookmarkEnd w:id="589"/>
      <w:bookmarkEnd w:id="590"/>
    </w:p>
    <w:p>
      <w:pPr>
        <w:spacing w:line="360" w:lineRule="auto"/>
        <w:ind w:firstLine="480" w:firstLineChars="200"/>
        <w:rPr>
          <w:rFonts w:hAnsi="Times New Roman" w:eastAsia="宋体"/>
          <w:lang w:eastAsia="zh-CN"/>
        </w:rPr>
      </w:pPr>
      <w:r>
        <w:rPr>
          <w:rFonts w:hAnsi="Times New Roman" w:eastAsia="宋体"/>
          <w:lang w:eastAsia="zh-CN"/>
        </w:rPr>
        <w:t>建设期声环境影响因素主要为工业场地施工区各类施工机械噪声、建筑材料和弃土弃渣外运车辆交通噪声。施工机械噪声源强一般在73～103dB</w:t>
      </w:r>
      <w:r>
        <w:rPr>
          <w:rFonts w:hint="eastAsia" w:hAnsi="Times New Roman" w:eastAsia="宋体"/>
          <w:lang w:eastAsia="zh-CN"/>
        </w:rPr>
        <w:t>（</w:t>
      </w:r>
      <w:r>
        <w:rPr>
          <w:rFonts w:hAnsi="Times New Roman" w:eastAsia="宋体"/>
          <w:lang w:eastAsia="zh-CN"/>
        </w:rPr>
        <w:t>A</w:t>
      </w:r>
      <w:r>
        <w:rPr>
          <w:rFonts w:hint="eastAsia" w:hAnsi="Times New Roman" w:eastAsia="宋体"/>
          <w:lang w:eastAsia="zh-CN"/>
        </w:rPr>
        <w:t>）</w:t>
      </w:r>
      <w:r>
        <w:rPr>
          <w:rFonts w:hAnsi="Times New Roman" w:eastAsia="宋体"/>
          <w:lang w:eastAsia="zh-CN"/>
        </w:rPr>
        <w:t>间。工程施工一般为露天作业，无隔声与消减措施，故噪声传播较远，对工业场地周围的影响较大。</w:t>
      </w:r>
    </w:p>
    <w:p>
      <w:pPr>
        <w:spacing w:line="360" w:lineRule="auto"/>
        <w:ind w:firstLine="480" w:firstLineChars="200"/>
        <w:rPr>
          <w:rFonts w:hAnsi="Times New Roman" w:eastAsia="宋体"/>
          <w:szCs w:val="24"/>
        </w:rPr>
      </w:pPr>
      <w:r>
        <w:rPr>
          <w:rFonts w:hAnsi="Times New Roman" w:eastAsia="宋体"/>
          <w:szCs w:val="24"/>
        </w:rPr>
        <w:t>本次评价噪声预测采用点声源衰减模式，仅考虑距离衰减值、场界围墙屏障等因素，预测公式为：</w:t>
      </w:r>
    </w:p>
    <w:p>
      <w:pPr>
        <w:spacing w:line="360" w:lineRule="auto"/>
        <w:ind w:firstLine="480" w:firstLineChars="200"/>
        <w:jc w:val="center"/>
        <w:rPr>
          <w:rFonts w:hAnsi="Times New Roman" w:eastAsia="宋体"/>
          <w:szCs w:val="24"/>
        </w:rPr>
      </w:pPr>
      <w:r>
        <w:rPr>
          <w:rFonts w:hAnsi="Times New Roman" w:eastAsia="宋体"/>
          <w:szCs w:val="24"/>
        </w:rPr>
        <w:object>
          <v:shape id="_x0000_i1067" o:spt="75" type="#_x0000_t75" style="height:28pt;width:152pt;" o:ole="t" filled="f" o:preferrelative="t" stroked="f" coordsize="21600,21600">
            <v:path/>
            <v:fill on="f" focussize="0,0"/>
            <v:stroke on="f" joinstyle="miter"/>
            <v:imagedata r:id="rId249" o:title=""/>
            <o:lock v:ext="edit" aspectratio="t"/>
            <w10:wrap type="none"/>
            <w10:anchorlock/>
          </v:shape>
          <o:OLEObject Type="Embed" ProgID="Equation.DSMT4" ShapeID="_x0000_i1067" DrawAspect="Content" ObjectID="_1468075765" r:id="rId248">
            <o:LockedField>false</o:LockedField>
          </o:OLEObject>
        </w:object>
      </w:r>
    </w:p>
    <w:p>
      <w:pPr>
        <w:spacing w:line="360" w:lineRule="auto"/>
        <w:ind w:firstLine="480" w:firstLineChars="200"/>
        <w:rPr>
          <w:rFonts w:hAnsi="Times New Roman" w:eastAsia="宋体"/>
          <w:szCs w:val="24"/>
        </w:rPr>
      </w:pPr>
      <w:r>
        <w:rPr>
          <w:rFonts w:hAnsi="Times New Roman" w:eastAsia="宋体"/>
          <w:szCs w:val="24"/>
        </w:rPr>
        <w:t>式中，</w:t>
      </w:r>
      <w:r>
        <w:rPr>
          <w:rFonts w:hAnsi="Times New Roman" w:eastAsia="宋体"/>
          <w:i/>
          <w:szCs w:val="24"/>
        </w:rPr>
        <w:t>L</w:t>
      </w:r>
      <w:r>
        <w:rPr>
          <w:rFonts w:hAnsi="Times New Roman" w:eastAsia="宋体"/>
          <w:i/>
          <w:szCs w:val="24"/>
          <w:vertAlign w:val="subscript"/>
        </w:rPr>
        <w:t>A</w:t>
      </w:r>
      <w:r>
        <w:rPr>
          <w:rFonts w:hAnsi="Times New Roman" w:eastAsia="宋体"/>
          <w:szCs w:val="24"/>
          <w:vertAlign w:val="subscript"/>
        </w:rPr>
        <w:t>（</w:t>
      </w:r>
      <w:r>
        <w:rPr>
          <w:rFonts w:hAnsi="Times New Roman" w:eastAsia="宋体"/>
          <w:i/>
          <w:szCs w:val="24"/>
          <w:vertAlign w:val="subscript"/>
        </w:rPr>
        <w:t>r</w:t>
      </w:r>
      <w:r>
        <w:rPr>
          <w:rFonts w:hAnsi="Times New Roman" w:eastAsia="宋体"/>
          <w:szCs w:val="24"/>
          <w:vertAlign w:val="subscript"/>
        </w:rPr>
        <w:t>）</w:t>
      </w:r>
      <w:r>
        <w:rPr>
          <w:rFonts w:hAnsi="Times New Roman" w:eastAsia="宋体"/>
          <w:szCs w:val="24"/>
        </w:rPr>
        <w:t>—— 距声源</w:t>
      </w:r>
      <w:r>
        <w:rPr>
          <w:rFonts w:hAnsi="Times New Roman" w:eastAsia="宋体"/>
          <w:i/>
          <w:szCs w:val="24"/>
        </w:rPr>
        <w:t>r</w:t>
      </w:r>
      <w:r>
        <w:rPr>
          <w:rFonts w:hAnsi="Times New Roman" w:eastAsia="宋体"/>
          <w:szCs w:val="24"/>
        </w:rPr>
        <w:t>米处的A声级，dB（A）；</w:t>
      </w:r>
    </w:p>
    <w:p>
      <w:pPr>
        <w:spacing w:line="360" w:lineRule="auto"/>
        <w:ind w:firstLine="1080" w:firstLineChars="450"/>
        <w:rPr>
          <w:rFonts w:hAnsi="Times New Roman" w:eastAsia="宋体"/>
          <w:szCs w:val="24"/>
        </w:rPr>
      </w:pPr>
      <w:r>
        <w:rPr>
          <w:rFonts w:hAnsi="Times New Roman" w:eastAsia="宋体"/>
          <w:i/>
          <w:szCs w:val="24"/>
        </w:rPr>
        <w:t>L</w:t>
      </w:r>
      <w:r>
        <w:rPr>
          <w:rFonts w:hAnsi="Times New Roman" w:eastAsia="宋体"/>
          <w:i/>
          <w:szCs w:val="24"/>
          <w:vertAlign w:val="subscript"/>
        </w:rPr>
        <w:t>A</w:t>
      </w:r>
      <w:r>
        <w:rPr>
          <w:rFonts w:hAnsi="Times New Roman" w:eastAsia="宋体"/>
          <w:szCs w:val="24"/>
          <w:vertAlign w:val="subscript"/>
        </w:rPr>
        <w:t>（</w:t>
      </w:r>
      <w:r>
        <w:rPr>
          <w:rFonts w:hAnsi="Times New Roman" w:eastAsia="宋体"/>
          <w:i/>
          <w:szCs w:val="24"/>
          <w:vertAlign w:val="subscript"/>
        </w:rPr>
        <w:t>r0</w:t>
      </w:r>
      <w:r>
        <w:rPr>
          <w:rFonts w:hAnsi="Times New Roman" w:eastAsia="宋体"/>
          <w:szCs w:val="24"/>
          <w:vertAlign w:val="subscript"/>
        </w:rPr>
        <w:t>）</w:t>
      </w:r>
      <w:r>
        <w:rPr>
          <w:rFonts w:hAnsi="Times New Roman" w:eastAsia="宋体"/>
          <w:szCs w:val="24"/>
        </w:rPr>
        <w:t>—— 距声源</w:t>
      </w:r>
      <w:r>
        <w:rPr>
          <w:rFonts w:hAnsi="Times New Roman" w:eastAsia="宋体"/>
          <w:i/>
          <w:szCs w:val="24"/>
        </w:rPr>
        <w:t>r</w:t>
      </w:r>
      <w:r>
        <w:rPr>
          <w:rFonts w:hAnsi="Times New Roman" w:eastAsia="宋体"/>
          <w:i/>
          <w:szCs w:val="24"/>
          <w:vertAlign w:val="subscript"/>
        </w:rPr>
        <w:t>0</w:t>
      </w:r>
      <w:r>
        <w:rPr>
          <w:rFonts w:hAnsi="Times New Roman" w:eastAsia="宋体"/>
          <w:szCs w:val="24"/>
        </w:rPr>
        <w:t>米处的A声级，dB（A）；</w:t>
      </w:r>
    </w:p>
    <w:p>
      <w:pPr>
        <w:spacing w:line="360" w:lineRule="auto"/>
        <w:ind w:firstLine="1080" w:firstLineChars="450"/>
        <w:rPr>
          <w:rFonts w:hAnsi="Times New Roman" w:eastAsia="宋体"/>
          <w:szCs w:val="24"/>
        </w:rPr>
      </w:pPr>
      <w:r>
        <w:rPr>
          <w:rFonts w:hAnsi="Times New Roman" w:eastAsia="宋体"/>
          <w:i/>
          <w:szCs w:val="24"/>
        </w:rPr>
        <w:t>r</w:t>
      </w:r>
      <w:r>
        <w:rPr>
          <w:rFonts w:hAnsi="Times New Roman" w:eastAsia="宋体"/>
          <w:szCs w:val="24"/>
        </w:rPr>
        <w:t>、</w:t>
      </w:r>
      <w:r>
        <w:rPr>
          <w:rFonts w:hAnsi="Times New Roman" w:eastAsia="宋体"/>
          <w:i/>
          <w:szCs w:val="24"/>
        </w:rPr>
        <w:t>r</w:t>
      </w:r>
      <w:r>
        <w:rPr>
          <w:rFonts w:hAnsi="Times New Roman" w:eastAsia="宋体"/>
          <w:i/>
          <w:szCs w:val="24"/>
          <w:vertAlign w:val="subscript"/>
        </w:rPr>
        <w:t>0</w:t>
      </w:r>
      <w:r>
        <w:rPr>
          <w:rFonts w:hAnsi="Times New Roman" w:eastAsia="宋体"/>
          <w:szCs w:val="24"/>
        </w:rPr>
        <w:t xml:space="preserve"> —— 距点声源的距离，m；</w:t>
      </w:r>
    </w:p>
    <w:p>
      <w:pPr>
        <w:spacing w:line="360" w:lineRule="auto"/>
        <w:ind w:firstLine="720" w:firstLineChars="300"/>
        <w:rPr>
          <w:rFonts w:hAnsi="Times New Roman" w:eastAsia="宋体"/>
          <w:szCs w:val="24"/>
        </w:rPr>
      </w:pPr>
      <w:r>
        <w:rPr>
          <w:rFonts w:hAnsi="Times New Roman" w:eastAsia="宋体"/>
          <w:szCs w:val="24"/>
        </w:rPr>
        <w:t xml:space="preserve">  Δ</w:t>
      </w:r>
      <w:r>
        <w:rPr>
          <w:rFonts w:hAnsi="Times New Roman" w:eastAsia="宋体"/>
          <w:i/>
          <w:szCs w:val="24"/>
        </w:rPr>
        <w:t>L</w:t>
      </w:r>
      <w:r>
        <w:rPr>
          <w:rFonts w:hAnsi="Times New Roman" w:eastAsia="宋体"/>
          <w:szCs w:val="24"/>
        </w:rPr>
        <w:t xml:space="preserve"> —— 场界围墙引起的衰减量。</w:t>
      </w:r>
    </w:p>
    <w:p>
      <w:pPr>
        <w:spacing w:line="360" w:lineRule="auto"/>
        <w:ind w:firstLine="480" w:firstLineChars="200"/>
        <w:rPr>
          <w:rFonts w:hAnsi="Times New Roman" w:eastAsia="宋体"/>
          <w:szCs w:val="24"/>
        </w:rPr>
      </w:pPr>
      <w:r>
        <w:rPr>
          <w:rFonts w:hAnsi="Times New Roman" w:eastAsia="宋体"/>
          <w:szCs w:val="24"/>
        </w:rPr>
        <w:t>由上式预测单个点声源在评价点的噪声贡献值，采用噪声合成公式计算各点声源在该处的噪声合成值，计算公式如下：</w:t>
      </w:r>
    </w:p>
    <w:p>
      <w:pPr>
        <w:spacing w:line="360" w:lineRule="auto"/>
        <w:ind w:firstLine="480" w:firstLineChars="200"/>
        <w:jc w:val="center"/>
        <w:rPr>
          <w:rFonts w:hAnsi="Times New Roman" w:eastAsia="宋体"/>
          <w:szCs w:val="24"/>
        </w:rPr>
      </w:pPr>
      <w:r>
        <w:rPr>
          <w:rFonts w:hAnsi="Times New Roman" w:eastAsia="宋体"/>
          <w:szCs w:val="24"/>
        </w:rPr>
        <w:object>
          <v:shape id="_x0000_i1068" o:spt="75" type="#_x0000_t75" style="height:28pt;width:72pt;" o:ole="t" filled="f" o:preferrelative="t" stroked="f" coordsize="21600,21600">
            <v:path/>
            <v:fill on="f" focussize="0,0"/>
            <v:stroke on="f" joinstyle="miter"/>
            <v:imagedata r:id="rId251" o:title=""/>
            <o:lock v:ext="edit" aspectratio="t"/>
            <w10:wrap type="none"/>
            <w10:anchorlock/>
          </v:shape>
          <o:OLEObject Type="Embed" ProgID="Equation.DSMT4" ShapeID="_x0000_i1068" DrawAspect="Content" ObjectID="_1468075766" r:id="rId250">
            <o:LockedField>false</o:LockedField>
          </o:OLEObject>
        </w:object>
      </w:r>
    </w:p>
    <w:p>
      <w:pPr>
        <w:spacing w:line="360" w:lineRule="auto"/>
        <w:ind w:firstLine="480" w:firstLineChars="200"/>
        <w:rPr>
          <w:rFonts w:hAnsi="Times New Roman" w:eastAsia="宋体"/>
          <w:szCs w:val="24"/>
        </w:rPr>
      </w:pPr>
      <w:r>
        <w:rPr>
          <w:rFonts w:hAnsi="Times New Roman" w:eastAsia="宋体"/>
          <w:szCs w:val="24"/>
        </w:rPr>
        <w:t>式中，</w:t>
      </w:r>
      <w:r>
        <w:rPr>
          <w:rFonts w:hAnsi="Times New Roman" w:eastAsia="宋体"/>
          <w:i/>
          <w:szCs w:val="24"/>
        </w:rPr>
        <w:t>L</w:t>
      </w:r>
      <w:r>
        <w:rPr>
          <w:rFonts w:hAnsi="Times New Roman" w:eastAsia="宋体"/>
          <w:szCs w:val="24"/>
        </w:rPr>
        <w:t xml:space="preserve"> —— 为叠加后总的声压级，dB（A）；</w:t>
      </w:r>
    </w:p>
    <w:p>
      <w:pPr>
        <w:spacing w:line="360" w:lineRule="auto"/>
        <w:ind w:firstLine="1080" w:firstLineChars="450"/>
        <w:rPr>
          <w:rFonts w:hAnsi="Times New Roman" w:eastAsia="宋体"/>
          <w:szCs w:val="24"/>
        </w:rPr>
      </w:pPr>
      <w:r>
        <w:rPr>
          <w:rFonts w:hAnsi="Times New Roman" w:eastAsia="宋体"/>
          <w:i/>
          <w:szCs w:val="24"/>
        </w:rPr>
        <w:t>L</w:t>
      </w:r>
      <w:r>
        <w:rPr>
          <w:rFonts w:hAnsi="Times New Roman" w:eastAsia="宋体"/>
          <w:i/>
          <w:szCs w:val="24"/>
          <w:vertAlign w:val="subscript"/>
        </w:rPr>
        <w:t>i</w:t>
      </w:r>
      <w:r>
        <w:rPr>
          <w:rFonts w:hAnsi="Times New Roman" w:eastAsia="宋体"/>
          <w:szCs w:val="24"/>
        </w:rPr>
        <w:t xml:space="preserve"> —— 各点声源的声压级，dB（A）；</w:t>
      </w:r>
    </w:p>
    <w:p>
      <w:pPr>
        <w:spacing w:line="360" w:lineRule="auto"/>
        <w:ind w:firstLine="960" w:firstLineChars="400"/>
        <w:rPr>
          <w:rFonts w:hAnsi="Times New Roman" w:eastAsia="宋体"/>
          <w:szCs w:val="24"/>
        </w:rPr>
      </w:pPr>
      <w:r>
        <w:rPr>
          <w:rFonts w:hAnsi="Times New Roman" w:eastAsia="宋体"/>
          <w:i/>
          <w:szCs w:val="24"/>
        </w:rPr>
        <w:t>n</w:t>
      </w:r>
      <w:r>
        <w:rPr>
          <w:rFonts w:hAnsi="Times New Roman" w:eastAsia="宋体"/>
          <w:szCs w:val="24"/>
        </w:rPr>
        <w:t xml:space="preserve"> —— 点声源个数。</w:t>
      </w:r>
    </w:p>
    <w:p>
      <w:pPr>
        <w:spacing w:line="360" w:lineRule="auto"/>
        <w:ind w:firstLine="480" w:firstLineChars="200"/>
        <w:rPr>
          <w:rFonts w:hAnsi="Times New Roman" w:eastAsia="宋体"/>
          <w:szCs w:val="24"/>
        </w:rPr>
      </w:pPr>
      <w:r>
        <w:rPr>
          <w:rFonts w:hAnsi="Times New Roman" w:eastAsia="宋体"/>
          <w:szCs w:val="24"/>
        </w:rPr>
        <w:t>本次评价选择各施工阶段最强噪声进行计算，各施工阶段现场施工噪声随距离的衰减预测结果见下表。预测结果表明，施工期噪声昼间将对50m范围，夜间对150m范围内敏感点产生影响。</w:t>
      </w:r>
    </w:p>
    <w:p>
      <w:pPr>
        <w:jc w:val="center"/>
        <w:rPr>
          <w:rFonts w:hAnsi="Times New Roman" w:eastAsia="宋体"/>
          <w:b/>
          <w:bCs/>
          <w:sz w:val="21"/>
          <w:szCs w:val="21"/>
          <w:lang w:eastAsia="zh-CN"/>
        </w:rPr>
      </w:pPr>
      <w:r>
        <w:rPr>
          <w:rFonts w:hAnsi="Times New Roman" w:eastAsia="宋体"/>
          <w:b/>
          <w:bCs/>
          <w:sz w:val="21"/>
          <w:szCs w:val="21"/>
          <w:lang w:eastAsia="zh-CN"/>
        </w:rPr>
        <w:t>表8.1-1  施工期各阶段噪声预测结果</w:t>
      </w:r>
    </w:p>
    <w:tbl>
      <w:tblPr>
        <w:tblStyle w:val="33"/>
        <w:tblW w:w="93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3"/>
        <w:gridCol w:w="993"/>
        <w:gridCol w:w="1028"/>
        <w:gridCol w:w="1028"/>
        <w:gridCol w:w="1029"/>
        <w:gridCol w:w="1028"/>
        <w:gridCol w:w="1029"/>
        <w:gridCol w:w="1028"/>
        <w:gridCol w:w="10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jc w:val="center"/>
        </w:trPr>
        <w:tc>
          <w:tcPr>
            <w:tcW w:w="1103" w:type="dxa"/>
            <w:vMerge w:val="restart"/>
            <w:shd w:val="clear" w:color="auto" w:fill="auto"/>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b/>
                <w:kern w:val="2"/>
                <w:sz w:val="21"/>
                <w:szCs w:val="21"/>
              </w:rPr>
            </w:pPr>
            <w:r>
              <w:rPr>
                <w:rFonts w:hint="eastAsia" w:hAnsi="Times New Roman" w:eastAsia="宋体"/>
                <w:b/>
                <w:kern w:val="2"/>
                <w:sz w:val="21"/>
                <w:szCs w:val="21"/>
              </w:rPr>
              <w:t>施工阶段</w:t>
            </w:r>
          </w:p>
        </w:tc>
        <w:tc>
          <w:tcPr>
            <w:tcW w:w="993" w:type="dxa"/>
            <w:vMerge w:val="restart"/>
            <w:shd w:val="clear" w:color="auto" w:fill="auto"/>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b/>
                <w:kern w:val="2"/>
                <w:sz w:val="21"/>
                <w:szCs w:val="21"/>
              </w:rPr>
            </w:pPr>
            <w:r>
              <w:rPr>
                <w:rFonts w:hint="eastAsia" w:hAnsi="Times New Roman" w:eastAsia="宋体"/>
                <w:b/>
                <w:kern w:val="2"/>
                <w:sz w:val="21"/>
                <w:szCs w:val="21"/>
              </w:rPr>
              <w:t>最强噪声值</w:t>
            </w:r>
          </w:p>
        </w:tc>
        <w:tc>
          <w:tcPr>
            <w:tcW w:w="7204" w:type="dxa"/>
            <w:gridSpan w:val="7"/>
            <w:shd w:val="clear" w:color="auto" w:fill="auto"/>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b/>
                <w:kern w:val="2"/>
                <w:sz w:val="21"/>
                <w:szCs w:val="21"/>
              </w:rPr>
            </w:pPr>
            <w:r>
              <w:rPr>
                <w:rFonts w:hint="eastAsia" w:hAnsi="Times New Roman" w:eastAsia="宋体"/>
                <w:b/>
                <w:kern w:val="2"/>
                <w:sz w:val="21"/>
                <w:szCs w:val="21"/>
              </w:rPr>
              <w:t>预测距离[dB（A）]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1103" w:type="dxa"/>
            <w:vMerge w:val="continue"/>
            <w:shd w:val="clear" w:color="auto" w:fill="auto"/>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b/>
                <w:kern w:val="2"/>
                <w:sz w:val="21"/>
                <w:szCs w:val="21"/>
              </w:rPr>
            </w:pPr>
          </w:p>
        </w:tc>
        <w:tc>
          <w:tcPr>
            <w:tcW w:w="993" w:type="dxa"/>
            <w:vMerge w:val="continue"/>
            <w:shd w:val="clear" w:color="auto" w:fill="auto"/>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b/>
                <w:kern w:val="2"/>
                <w:sz w:val="21"/>
                <w:szCs w:val="21"/>
              </w:rPr>
            </w:pPr>
          </w:p>
        </w:tc>
        <w:tc>
          <w:tcPr>
            <w:tcW w:w="1028" w:type="dxa"/>
            <w:shd w:val="clear" w:color="auto" w:fill="auto"/>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b/>
                <w:kern w:val="2"/>
                <w:sz w:val="21"/>
                <w:szCs w:val="21"/>
              </w:rPr>
            </w:pPr>
            <w:r>
              <w:rPr>
                <w:rFonts w:hint="eastAsia" w:hAnsi="Times New Roman" w:eastAsia="宋体"/>
                <w:b/>
                <w:kern w:val="2"/>
                <w:sz w:val="21"/>
                <w:szCs w:val="21"/>
              </w:rPr>
              <w:t>10m</w:t>
            </w:r>
          </w:p>
        </w:tc>
        <w:tc>
          <w:tcPr>
            <w:tcW w:w="1028" w:type="dxa"/>
            <w:shd w:val="clear" w:color="auto" w:fill="auto"/>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b/>
                <w:kern w:val="2"/>
                <w:sz w:val="21"/>
                <w:szCs w:val="21"/>
              </w:rPr>
            </w:pPr>
            <w:r>
              <w:rPr>
                <w:rFonts w:hint="eastAsia" w:hAnsi="Times New Roman" w:eastAsia="宋体"/>
                <w:b/>
                <w:kern w:val="2"/>
                <w:sz w:val="21"/>
                <w:szCs w:val="21"/>
              </w:rPr>
              <w:t>20m</w:t>
            </w:r>
          </w:p>
        </w:tc>
        <w:tc>
          <w:tcPr>
            <w:tcW w:w="1029" w:type="dxa"/>
            <w:shd w:val="clear" w:color="auto" w:fill="auto"/>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b/>
                <w:kern w:val="2"/>
                <w:sz w:val="21"/>
                <w:szCs w:val="21"/>
              </w:rPr>
            </w:pPr>
            <w:r>
              <w:rPr>
                <w:rFonts w:hint="eastAsia" w:hAnsi="Times New Roman" w:eastAsia="宋体"/>
                <w:b/>
                <w:kern w:val="2"/>
                <w:sz w:val="21"/>
                <w:szCs w:val="21"/>
              </w:rPr>
              <w:t>25m</w:t>
            </w:r>
          </w:p>
        </w:tc>
        <w:tc>
          <w:tcPr>
            <w:tcW w:w="1028" w:type="dxa"/>
            <w:shd w:val="clear" w:color="auto" w:fill="auto"/>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b/>
                <w:kern w:val="2"/>
                <w:sz w:val="21"/>
                <w:szCs w:val="21"/>
              </w:rPr>
            </w:pPr>
            <w:r>
              <w:rPr>
                <w:rFonts w:hint="eastAsia" w:hAnsi="Times New Roman" w:eastAsia="宋体"/>
                <w:b/>
                <w:kern w:val="2"/>
                <w:sz w:val="21"/>
                <w:szCs w:val="21"/>
              </w:rPr>
              <w:t>50m</w:t>
            </w:r>
          </w:p>
        </w:tc>
        <w:tc>
          <w:tcPr>
            <w:tcW w:w="1029" w:type="dxa"/>
            <w:shd w:val="clear" w:color="auto" w:fill="auto"/>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b/>
                <w:kern w:val="2"/>
                <w:sz w:val="21"/>
                <w:szCs w:val="21"/>
              </w:rPr>
            </w:pPr>
            <w:r>
              <w:rPr>
                <w:rFonts w:hint="eastAsia" w:hAnsi="Times New Roman" w:eastAsia="宋体"/>
                <w:b/>
                <w:kern w:val="2"/>
                <w:sz w:val="21"/>
                <w:szCs w:val="21"/>
              </w:rPr>
              <w:t>100m</w:t>
            </w:r>
          </w:p>
        </w:tc>
        <w:tc>
          <w:tcPr>
            <w:tcW w:w="1028" w:type="dxa"/>
            <w:shd w:val="clear" w:color="auto" w:fill="auto"/>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b/>
                <w:kern w:val="2"/>
                <w:sz w:val="21"/>
                <w:szCs w:val="21"/>
              </w:rPr>
            </w:pPr>
            <w:r>
              <w:rPr>
                <w:rFonts w:hint="eastAsia" w:hAnsi="Times New Roman" w:eastAsia="宋体"/>
                <w:b/>
                <w:kern w:val="2"/>
                <w:sz w:val="21"/>
                <w:szCs w:val="21"/>
              </w:rPr>
              <w:t>150m</w:t>
            </w:r>
          </w:p>
        </w:tc>
        <w:tc>
          <w:tcPr>
            <w:tcW w:w="1034" w:type="dxa"/>
            <w:shd w:val="clear" w:color="auto" w:fill="auto"/>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b/>
                <w:kern w:val="2"/>
                <w:sz w:val="21"/>
                <w:szCs w:val="21"/>
              </w:rPr>
            </w:pPr>
            <w:r>
              <w:rPr>
                <w:rFonts w:hint="eastAsia" w:hAnsi="Times New Roman" w:eastAsia="宋体"/>
                <w:b/>
                <w:kern w:val="2"/>
                <w:sz w:val="21"/>
                <w:szCs w:val="21"/>
              </w:rPr>
              <w:t>100m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1103" w:type="dxa"/>
            <w:shd w:val="clear" w:color="auto" w:fill="auto"/>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土石方</w:t>
            </w:r>
          </w:p>
        </w:tc>
        <w:tc>
          <w:tcPr>
            <w:tcW w:w="993" w:type="dxa"/>
            <w:shd w:val="clear" w:color="auto" w:fill="auto"/>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85</w:t>
            </w:r>
          </w:p>
        </w:tc>
        <w:tc>
          <w:tcPr>
            <w:tcW w:w="1028" w:type="dxa"/>
            <w:shd w:val="clear" w:color="auto" w:fill="auto"/>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65</w:t>
            </w:r>
          </w:p>
        </w:tc>
        <w:tc>
          <w:tcPr>
            <w:tcW w:w="1028" w:type="dxa"/>
            <w:shd w:val="clear" w:color="auto" w:fill="auto"/>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59</w:t>
            </w:r>
          </w:p>
        </w:tc>
        <w:tc>
          <w:tcPr>
            <w:tcW w:w="1029" w:type="dxa"/>
            <w:shd w:val="clear" w:color="auto" w:fill="auto"/>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57</w:t>
            </w:r>
          </w:p>
        </w:tc>
        <w:tc>
          <w:tcPr>
            <w:tcW w:w="1028" w:type="dxa"/>
            <w:shd w:val="clear" w:color="auto" w:fill="auto"/>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51</w:t>
            </w:r>
          </w:p>
        </w:tc>
        <w:tc>
          <w:tcPr>
            <w:tcW w:w="1029" w:type="dxa"/>
            <w:shd w:val="clear" w:color="auto" w:fill="auto"/>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45</w:t>
            </w:r>
          </w:p>
        </w:tc>
        <w:tc>
          <w:tcPr>
            <w:tcW w:w="1028" w:type="dxa"/>
            <w:shd w:val="clear" w:color="auto" w:fill="auto"/>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41.5</w:t>
            </w:r>
          </w:p>
        </w:tc>
        <w:tc>
          <w:tcPr>
            <w:tcW w:w="1034" w:type="dxa"/>
            <w:shd w:val="clear" w:color="auto" w:fill="auto"/>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1103" w:type="dxa"/>
            <w:shd w:val="clear" w:color="auto" w:fill="auto"/>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结构</w:t>
            </w:r>
          </w:p>
        </w:tc>
        <w:tc>
          <w:tcPr>
            <w:tcW w:w="993" w:type="dxa"/>
            <w:shd w:val="clear" w:color="auto" w:fill="auto"/>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100</w:t>
            </w:r>
          </w:p>
        </w:tc>
        <w:tc>
          <w:tcPr>
            <w:tcW w:w="1028" w:type="dxa"/>
            <w:shd w:val="clear" w:color="auto" w:fill="auto"/>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80</w:t>
            </w:r>
          </w:p>
        </w:tc>
        <w:tc>
          <w:tcPr>
            <w:tcW w:w="1028" w:type="dxa"/>
            <w:shd w:val="clear" w:color="auto" w:fill="auto"/>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74</w:t>
            </w:r>
          </w:p>
        </w:tc>
        <w:tc>
          <w:tcPr>
            <w:tcW w:w="1029" w:type="dxa"/>
            <w:shd w:val="clear" w:color="auto" w:fill="auto"/>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72</w:t>
            </w:r>
          </w:p>
        </w:tc>
        <w:tc>
          <w:tcPr>
            <w:tcW w:w="1028" w:type="dxa"/>
            <w:shd w:val="clear" w:color="auto" w:fill="auto"/>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66</w:t>
            </w:r>
          </w:p>
        </w:tc>
        <w:tc>
          <w:tcPr>
            <w:tcW w:w="1029" w:type="dxa"/>
            <w:shd w:val="clear" w:color="auto" w:fill="auto"/>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60</w:t>
            </w:r>
          </w:p>
        </w:tc>
        <w:tc>
          <w:tcPr>
            <w:tcW w:w="1028" w:type="dxa"/>
            <w:shd w:val="clear" w:color="auto" w:fill="auto"/>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56.5</w:t>
            </w:r>
          </w:p>
        </w:tc>
        <w:tc>
          <w:tcPr>
            <w:tcW w:w="1034" w:type="dxa"/>
            <w:shd w:val="clear" w:color="auto" w:fill="auto"/>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103" w:type="dxa"/>
            <w:shd w:val="clear" w:color="auto" w:fill="auto"/>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装修</w:t>
            </w:r>
          </w:p>
        </w:tc>
        <w:tc>
          <w:tcPr>
            <w:tcW w:w="993" w:type="dxa"/>
            <w:shd w:val="clear" w:color="auto" w:fill="auto"/>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85</w:t>
            </w:r>
          </w:p>
        </w:tc>
        <w:tc>
          <w:tcPr>
            <w:tcW w:w="1028" w:type="dxa"/>
            <w:shd w:val="clear" w:color="auto" w:fill="auto"/>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65</w:t>
            </w:r>
          </w:p>
        </w:tc>
        <w:tc>
          <w:tcPr>
            <w:tcW w:w="1028" w:type="dxa"/>
            <w:shd w:val="clear" w:color="auto" w:fill="auto"/>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59</w:t>
            </w:r>
          </w:p>
        </w:tc>
        <w:tc>
          <w:tcPr>
            <w:tcW w:w="1029" w:type="dxa"/>
            <w:shd w:val="clear" w:color="auto" w:fill="auto"/>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57</w:t>
            </w:r>
          </w:p>
        </w:tc>
        <w:tc>
          <w:tcPr>
            <w:tcW w:w="1028" w:type="dxa"/>
            <w:shd w:val="clear" w:color="auto" w:fill="auto"/>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51</w:t>
            </w:r>
          </w:p>
        </w:tc>
        <w:tc>
          <w:tcPr>
            <w:tcW w:w="1029" w:type="dxa"/>
            <w:shd w:val="clear" w:color="auto" w:fill="auto"/>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45</w:t>
            </w:r>
          </w:p>
        </w:tc>
        <w:tc>
          <w:tcPr>
            <w:tcW w:w="1028" w:type="dxa"/>
            <w:shd w:val="clear" w:color="auto" w:fill="auto"/>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41.5</w:t>
            </w:r>
          </w:p>
        </w:tc>
        <w:tc>
          <w:tcPr>
            <w:tcW w:w="1034" w:type="dxa"/>
            <w:shd w:val="clear" w:color="auto" w:fill="auto"/>
            <w:vAlign w:val="center"/>
          </w:tcPr>
          <w:p>
            <w:pPr>
              <w:keepNext w:val="0"/>
              <w:keepLines w:val="0"/>
              <w:suppressLineNumbers w:val="0"/>
              <w:snapToGri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39</w:t>
            </w:r>
          </w:p>
        </w:tc>
      </w:tr>
    </w:tbl>
    <w:p>
      <w:pPr>
        <w:spacing w:line="360" w:lineRule="auto"/>
        <w:ind w:firstLine="480" w:firstLineChars="200"/>
        <w:rPr>
          <w:rFonts w:hAnsi="Times New Roman" w:eastAsia="宋体"/>
          <w:lang w:eastAsia="zh-CN"/>
        </w:rPr>
      </w:pPr>
      <w:r>
        <w:rPr>
          <w:rFonts w:hAnsi="Times New Roman" w:eastAsia="宋体"/>
          <w:lang w:eastAsia="zh-CN"/>
        </w:rPr>
        <w:t>由上表可知，昼间在距施工机械58m外基本可以达到标准限值，夜间在150m外可以达到标准限值。由于工业场地施工噪声夜间影响范围较大，因此严禁在夜间施工。</w:t>
      </w:r>
    </w:p>
    <w:p>
      <w:pPr>
        <w:spacing w:line="360" w:lineRule="auto"/>
        <w:ind w:firstLine="480" w:firstLineChars="200"/>
        <w:rPr>
          <w:rFonts w:hAnsi="Times New Roman" w:eastAsia="宋体"/>
          <w:lang w:eastAsia="zh-CN"/>
        </w:rPr>
      </w:pPr>
      <w:r>
        <w:rPr>
          <w:rFonts w:hAnsi="Times New Roman" w:eastAsia="宋体"/>
          <w:lang w:eastAsia="zh-CN"/>
        </w:rPr>
        <w:t>从主井工业广场周边声环境敏感目标分布情况看。昼间影响范围主要为工业广场西北侧的近距离的敏感目标。</w:t>
      </w:r>
    </w:p>
    <w:p>
      <w:pPr>
        <w:spacing w:line="360" w:lineRule="auto"/>
        <w:ind w:firstLine="480" w:firstLineChars="200"/>
        <w:rPr>
          <w:rFonts w:hAnsi="Times New Roman" w:eastAsia="宋体"/>
          <w:lang w:eastAsia="zh-CN"/>
        </w:rPr>
      </w:pPr>
      <w:r>
        <w:rPr>
          <w:rFonts w:hAnsi="Times New Roman" w:eastAsia="宋体"/>
          <w:lang w:eastAsia="zh-CN"/>
        </w:rPr>
        <w:t>环评要求：除严禁在夜间施工外，矿井应合理安排施工时间，禁止在昼间12:00至2:00的午休时段施工；尽量选用低噪声设备；合理布局高噪声设备，尽量远离离敏感目标布置；合理安排施工工序，避免大量高噪声设备同时施工。</w:t>
      </w:r>
    </w:p>
    <w:p>
      <w:pPr>
        <w:spacing w:line="360" w:lineRule="auto"/>
        <w:ind w:firstLine="480" w:firstLineChars="200"/>
        <w:rPr>
          <w:rFonts w:hAnsi="Times New Roman" w:eastAsia="宋体"/>
          <w:lang w:eastAsia="zh-CN"/>
        </w:rPr>
      </w:pPr>
      <w:r>
        <w:rPr>
          <w:rFonts w:hAnsi="Times New Roman" w:eastAsia="宋体"/>
          <w:lang w:eastAsia="zh-CN"/>
        </w:rPr>
        <w:t>由于本次扩建主要利用现有地面设施，只对少量地面设施进行改造建设，项目施工期时间较短，总体而言，在采取噪声防治措施后，施工期噪声对声环境将影响不大。</w:t>
      </w:r>
    </w:p>
    <w:p>
      <w:pPr>
        <w:pStyle w:val="5"/>
        <w:rPr>
          <w:rFonts w:ascii="Times New Roman" w:hAnsi="Times New Roman"/>
          <w:lang w:eastAsia="zh-CN"/>
        </w:rPr>
      </w:pPr>
      <w:bookmarkStart w:id="591" w:name="_Toc163749201"/>
      <w:bookmarkStart w:id="592" w:name="_Toc167095288"/>
      <w:r>
        <w:rPr>
          <w:rFonts w:ascii="Times New Roman" w:hAnsi="Times New Roman"/>
          <w:lang w:eastAsia="zh-CN"/>
        </w:rPr>
        <w:t>8.2 运营期声环境影响预测与评价</w:t>
      </w:r>
      <w:bookmarkEnd w:id="591"/>
      <w:bookmarkEnd w:id="592"/>
    </w:p>
    <w:p>
      <w:pPr>
        <w:pStyle w:val="6"/>
        <w:rPr>
          <w:lang w:eastAsia="zh-CN"/>
        </w:rPr>
      </w:pPr>
      <w:bookmarkStart w:id="593" w:name="_Toc163812666"/>
      <w:bookmarkStart w:id="594" w:name="_Toc167095289"/>
      <w:r>
        <w:rPr>
          <w:lang w:eastAsia="zh-CN"/>
        </w:rPr>
        <w:t>8.2.1 工业场地噪声影响评价</w:t>
      </w:r>
      <w:bookmarkEnd w:id="593"/>
      <w:bookmarkEnd w:id="594"/>
    </w:p>
    <w:p>
      <w:pPr>
        <w:spacing w:line="360" w:lineRule="auto"/>
        <w:ind w:firstLine="480" w:firstLineChars="200"/>
        <w:rPr>
          <w:rFonts w:hAnsi="Times New Roman" w:eastAsia="宋体"/>
          <w:lang w:eastAsia="zh-CN"/>
        </w:rPr>
      </w:pPr>
      <w:r>
        <w:rPr>
          <w:rFonts w:hAnsi="Times New Roman" w:eastAsia="宋体"/>
          <w:lang w:eastAsia="zh-CN"/>
        </w:rPr>
        <w:t>项目运行期主要噪声产生区为工业场地内设备噪声、风井场地通风机噪声。</w:t>
      </w:r>
    </w:p>
    <w:p>
      <w:pPr>
        <w:spacing w:line="360" w:lineRule="auto"/>
        <w:ind w:firstLine="480" w:firstLineChars="200"/>
        <w:rPr>
          <w:rFonts w:hAnsi="Times New Roman" w:eastAsia="宋体"/>
          <w:lang w:eastAsia="zh-CN"/>
        </w:rPr>
      </w:pPr>
      <w:r>
        <w:rPr>
          <w:rFonts w:hAnsi="Times New Roman" w:eastAsia="宋体"/>
          <w:lang w:eastAsia="zh-CN"/>
        </w:rPr>
        <w:t>由于本次环评现状监测时，为了防止瓦斯聚集，风井场地通风机处于运营状态，现状监测已经包含了设备噪声的影响，因此本次评价只对工业场地厂界进行预测，工业场地周边敏感点评价通过对现状监测值进行叠加后分析本项目建成运营后的敏感点噪声达标性。</w:t>
      </w:r>
    </w:p>
    <w:p>
      <w:pPr>
        <w:jc w:val="center"/>
        <w:rPr>
          <w:rFonts w:hAnsi="Times New Roman" w:eastAsia="宋体"/>
          <w:b/>
          <w:bCs/>
          <w:sz w:val="21"/>
          <w:szCs w:val="21"/>
          <w:lang w:eastAsia="zh-CN"/>
        </w:rPr>
      </w:pPr>
      <w:r>
        <w:rPr>
          <w:rFonts w:hAnsi="Times New Roman" w:eastAsia="宋体"/>
          <w:b/>
          <w:bCs/>
          <w:sz w:val="21"/>
          <w:szCs w:val="21"/>
          <w:lang w:eastAsia="zh-CN"/>
        </w:rPr>
        <w:t xml:space="preserve">表8.2-1 </w:t>
      </w:r>
      <w:r>
        <w:rPr>
          <w:rFonts w:hint="eastAsia" w:hAnsi="Times New Roman" w:eastAsia="宋体"/>
          <w:b/>
          <w:bCs/>
          <w:sz w:val="21"/>
          <w:szCs w:val="21"/>
          <w:lang w:eastAsia="zh-CN"/>
        </w:rPr>
        <w:t>主井</w:t>
      </w:r>
      <w:r>
        <w:rPr>
          <w:rFonts w:hAnsi="Times New Roman" w:eastAsia="宋体"/>
          <w:b/>
          <w:bCs/>
          <w:sz w:val="21"/>
          <w:szCs w:val="21"/>
          <w:lang w:eastAsia="zh-CN"/>
        </w:rPr>
        <w:t>工业场地室外噪声源强及治理措施一览表</w:t>
      </w:r>
      <w:r>
        <w:rPr>
          <w:rFonts w:hint="eastAsia" w:hAnsi="Times New Roman" w:eastAsia="宋体"/>
          <w:b/>
          <w:bCs/>
          <w:sz w:val="21"/>
          <w:szCs w:val="21"/>
          <w:lang w:eastAsia="zh-CN"/>
        </w:rPr>
        <w:t xml:space="preserve"> </w:t>
      </w:r>
      <w:r>
        <w:rPr>
          <w:rFonts w:hAnsi="Times New Roman" w:eastAsia="宋体"/>
          <w:b/>
          <w:bCs/>
          <w:sz w:val="21"/>
          <w:szCs w:val="21"/>
          <w:lang w:eastAsia="zh-CN"/>
        </w:rPr>
        <w:t>单位：dB（A）</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8"/>
        <w:gridCol w:w="1517"/>
        <w:gridCol w:w="1122"/>
        <w:gridCol w:w="447"/>
        <w:gridCol w:w="671"/>
        <w:gridCol w:w="581"/>
        <w:gridCol w:w="583"/>
        <w:gridCol w:w="436"/>
        <w:gridCol w:w="438"/>
        <w:gridCol w:w="1454"/>
        <w:gridCol w:w="467"/>
        <w:gridCol w:w="587"/>
        <w:gridCol w:w="5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0" w:type="pct"/>
            <w:vMerge w:val="restart"/>
            <w:vAlign w:val="center"/>
          </w:tcPr>
          <w:p>
            <w:pPr>
              <w:keepNext w:val="0"/>
              <w:keepLines w:val="0"/>
              <w:suppressLineNumbers w:val="0"/>
              <w:spacing w:before="0" w:beforeAutospacing="0" w:after="0" w:afterAutospacing="0"/>
              <w:ind w:left="0" w:right="0"/>
              <w:jc w:val="center"/>
              <w:rPr>
                <w:rFonts w:hint="eastAsia"/>
                <w:b/>
                <w:bCs/>
                <w:kern w:val="2"/>
                <w:sz w:val="18"/>
                <w:szCs w:val="18"/>
              </w:rPr>
            </w:pPr>
            <w:r>
              <w:rPr>
                <w:rFonts w:hint="eastAsia"/>
                <w:b/>
                <w:bCs/>
                <w:kern w:val="2"/>
                <w:sz w:val="18"/>
                <w:szCs w:val="18"/>
              </w:rPr>
              <w:t>序号</w:t>
            </w:r>
          </w:p>
        </w:tc>
        <w:tc>
          <w:tcPr>
            <w:tcW w:w="812" w:type="pct"/>
            <w:vMerge w:val="restart"/>
            <w:vAlign w:val="center"/>
          </w:tcPr>
          <w:p>
            <w:pPr>
              <w:keepNext w:val="0"/>
              <w:keepLines w:val="0"/>
              <w:suppressLineNumbers w:val="0"/>
              <w:spacing w:before="0" w:beforeAutospacing="0" w:after="0" w:afterAutospacing="0"/>
              <w:ind w:left="0" w:right="0"/>
              <w:jc w:val="center"/>
              <w:rPr>
                <w:rFonts w:hint="eastAsia"/>
                <w:b/>
                <w:bCs/>
                <w:kern w:val="2"/>
                <w:sz w:val="18"/>
                <w:szCs w:val="18"/>
              </w:rPr>
            </w:pPr>
            <w:r>
              <w:rPr>
                <w:rFonts w:hint="eastAsia"/>
                <w:b/>
                <w:bCs/>
                <w:kern w:val="2"/>
                <w:sz w:val="18"/>
                <w:szCs w:val="18"/>
              </w:rPr>
              <w:t>声源名称</w:t>
            </w:r>
          </w:p>
        </w:tc>
        <w:tc>
          <w:tcPr>
            <w:tcW w:w="601" w:type="pct"/>
            <w:vMerge w:val="restart"/>
            <w:vAlign w:val="center"/>
          </w:tcPr>
          <w:p>
            <w:pPr>
              <w:keepNext w:val="0"/>
              <w:keepLines w:val="0"/>
              <w:suppressLineNumbers w:val="0"/>
              <w:spacing w:before="0" w:beforeAutospacing="0" w:after="0" w:afterAutospacing="0"/>
              <w:ind w:left="0" w:right="0"/>
              <w:jc w:val="center"/>
              <w:rPr>
                <w:rFonts w:hint="eastAsia"/>
                <w:b/>
                <w:bCs/>
                <w:kern w:val="2"/>
                <w:sz w:val="18"/>
                <w:szCs w:val="18"/>
              </w:rPr>
            </w:pPr>
            <w:r>
              <w:rPr>
                <w:rFonts w:hint="eastAsia"/>
                <w:b/>
                <w:bCs/>
                <w:kern w:val="2"/>
                <w:sz w:val="18"/>
                <w:szCs w:val="18"/>
              </w:rPr>
              <w:t>设备名称</w:t>
            </w:r>
          </w:p>
        </w:tc>
        <w:tc>
          <w:tcPr>
            <w:tcW w:w="239" w:type="pct"/>
            <w:vMerge w:val="restart"/>
            <w:vAlign w:val="center"/>
          </w:tcPr>
          <w:p>
            <w:pPr>
              <w:keepNext w:val="0"/>
              <w:keepLines w:val="0"/>
              <w:suppressLineNumbers w:val="0"/>
              <w:spacing w:before="0" w:beforeAutospacing="0" w:after="0" w:afterAutospacing="0"/>
              <w:ind w:left="0" w:right="0"/>
              <w:jc w:val="center"/>
              <w:rPr>
                <w:rFonts w:hint="eastAsia"/>
                <w:b/>
                <w:bCs/>
                <w:kern w:val="2"/>
                <w:sz w:val="18"/>
                <w:szCs w:val="18"/>
              </w:rPr>
            </w:pPr>
            <w:r>
              <w:rPr>
                <w:rFonts w:hint="eastAsia"/>
                <w:b/>
                <w:bCs/>
                <w:kern w:val="2"/>
                <w:sz w:val="18"/>
                <w:szCs w:val="18"/>
              </w:rPr>
              <w:t>数量</w:t>
            </w:r>
          </w:p>
        </w:tc>
        <w:tc>
          <w:tcPr>
            <w:tcW w:w="982" w:type="pct"/>
            <w:gridSpan w:val="3"/>
            <w:vAlign w:val="center"/>
          </w:tcPr>
          <w:p>
            <w:pPr>
              <w:keepNext w:val="0"/>
              <w:keepLines w:val="0"/>
              <w:suppressLineNumbers w:val="0"/>
              <w:spacing w:before="0" w:beforeAutospacing="0" w:after="0" w:afterAutospacing="0"/>
              <w:ind w:left="0" w:right="0"/>
              <w:jc w:val="center"/>
              <w:rPr>
                <w:rFonts w:hint="eastAsia"/>
                <w:b/>
                <w:bCs/>
                <w:kern w:val="2"/>
                <w:sz w:val="18"/>
                <w:szCs w:val="18"/>
              </w:rPr>
            </w:pPr>
            <w:r>
              <w:rPr>
                <w:rFonts w:hint="eastAsia"/>
                <w:b/>
                <w:bCs/>
                <w:kern w:val="2"/>
                <w:sz w:val="18"/>
                <w:szCs w:val="18"/>
              </w:rPr>
              <w:t>空间相对位置/m</w:t>
            </w:r>
          </w:p>
        </w:tc>
        <w:tc>
          <w:tcPr>
            <w:tcW w:w="467" w:type="pct"/>
            <w:gridSpan w:val="2"/>
            <w:vAlign w:val="center"/>
          </w:tcPr>
          <w:p>
            <w:pPr>
              <w:keepNext w:val="0"/>
              <w:keepLines w:val="0"/>
              <w:suppressLineNumbers w:val="0"/>
              <w:spacing w:before="0" w:beforeAutospacing="0" w:after="0" w:afterAutospacing="0"/>
              <w:ind w:left="0" w:right="0"/>
              <w:jc w:val="center"/>
              <w:rPr>
                <w:rFonts w:hint="eastAsia"/>
                <w:b/>
                <w:bCs/>
                <w:kern w:val="2"/>
                <w:sz w:val="18"/>
                <w:szCs w:val="18"/>
              </w:rPr>
            </w:pPr>
            <w:r>
              <w:rPr>
                <w:rFonts w:hint="eastAsia"/>
                <w:b/>
                <w:bCs/>
                <w:kern w:val="2"/>
                <w:sz w:val="18"/>
                <w:szCs w:val="18"/>
              </w:rPr>
              <w:t>声源源强声级功率</w:t>
            </w:r>
          </w:p>
        </w:tc>
        <w:tc>
          <w:tcPr>
            <w:tcW w:w="778" w:type="pct"/>
            <w:vMerge w:val="restart"/>
            <w:vAlign w:val="center"/>
          </w:tcPr>
          <w:p>
            <w:pPr>
              <w:keepNext w:val="0"/>
              <w:keepLines w:val="0"/>
              <w:suppressLineNumbers w:val="0"/>
              <w:spacing w:before="0" w:beforeAutospacing="0" w:after="0" w:afterAutospacing="0"/>
              <w:ind w:left="0" w:right="0"/>
              <w:jc w:val="center"/>
              <w:rPr>
                <w:rFonts w:hint="eastAsia"/>
                <w:b/>
                <w:bCs/>
                <w:kern w:val="2"/>
                <w:sz w:val="18"/>
                <w:szCs w:val="18"/>
              </w:rPr>
            </w:pPr>
            <w:r>
              <w:rPr>
                <w:rFonts w:hint="eastAsia"/>
                <w:b/>
                <w:bCs/>
                <w:kern w:val="2"/>
                <w:sz w:val="18"/>
                <w:szCs w:val="18"/>
              </w:rPr>
              <w:t>声源控制措施</w:t>
            </w:r>
          </w:p>
        </w:tc>
        <w:tc>
          <w:tcPr>
            <w:tcW w:w="250" w:type="pct"/>
            <w:vMerge w:val="restart"/>
            <w:vAlign w:val="center"/>
          </w:tcPr>
          <w:p>
            <w:pPr>
              <w:keepNext w:val="0"/>
              <w:keepLines w:val="0"/>
              <w:suppressLineNumbers w:val="0"/>
              <w:spacing w:before="0" w:beforeAutospacing="0" w:after="0" w:afterAutospacing="0"/>
              <w:ind w:left="0" w:right="0"/>
              <w:jc w:val="center"/>
              <w:rPr>
                <w:rFonts w:hint="eastAsia"/>
                <w:b/>
                <w:bCs/>
                <w:kern w:val="2"/>
                <w:sz w:val="18"/>
                <w:szCs w:val="18"/>
              </w:rPr>
            </w:pPr>
            <w:r>
              <w:rPr>
                <w:rFonts w:hint="eastAsia"/>
                <w:b/>
                <w:bCs/>
                <w:kern w:val="2"/>
                <w:sz w:val="18"/>
                <w:szCs w:val="18"/>
              </w:rPr>
              <w:t>降噪后声级</w:t>
            </w:r>
          </w:p>
        </w:tc>
        <w:tc>
          <w:tcPr>
            <w:tcW w:w="314" w:type="pct"/>
            <w:vMerge w:val="restart"/>
            <w:vAlign w:val="center"/>
          </w:tcPr>
          <w:p>
            <w:pPr>
              <w:keepNext w:val="0"/>
              <w:keepLines w:val="0"/>
              <w:suppressLineNumbers w:val="0"/>
              <w:spacing w:before="0" w:beforeAutospacing="0" w:after="0" w:afterAutospacing="0"/>
              <w:ind w:left="0" w:right="0"/>
              <w:jc w:val="center"/>
              <w:rPr>
                <w:rFonts w:hint="eastAsia"/>
                <w:b/>
                <w:bCs/>
                <w:kern w:val="2"/>
                <w:sz w:val="18"/>
                <w:szCs w:val="18"/>
              </w:rPr>
            </w:pPr>
            <w:r>
              <w:rPr>
                <w:rFonts w:hint="eastAsia"/>
                <w:b/>
                <w:bCs/>
                <w:kern w:val="2"/>
                <w:sz w:val="18"/>
                <w:szCs w:val="18"/>
              </w:rPr>
              <w:t>运行时段</w:t>
            </w:r>
          </w:p>
        </w:tc>
        <w:tc>
          <w:tcPr>
            <w:tcW w:w="317" w:type="pct"/>
            <w:vMerge w:val="restart"/>
            <w:vAlign w:val="center"/>
          </w:tcPr>
          <w:p>
            <w:pPr>
              <w:keepNext w:val="0"/>
              <w:keepLines w:val="0"/>
              <w:suppressLineNumbers w:val="0"/>
              <w:spacing w:before="0" w:beforeAutospacing="0" w:after="0" w:afterAutospacing="0"/>
              <w:ind w:left="0" w:right="0"/>
              <w:jc w:val="center"/>
              <w:rPr>
                <w:rFonts w:hint="eastAsia"/>
                <w:b/>
                <w:bCs/>
                <w:kern w:val="2"/>
                <w:sz w:val="18"/>
                <w:szCs w:val="18"/>
              </w:rPr>
            </w:pPr>
            <w:r>
              <w:rPr>
                <w:rFonts w:hint="eastAsia"/>
                <w:b/>
                <w:bCs/>
                <w:kern w:val="2"/>
                <w:sz w:val="18"/>
                <w:szCs w:val="1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0" w:type="pct"/>
            <w:vMerge w:val="continue"/>
            <w:vAlign w:val="center"/>
          </w:tcPr>
          <w:p>
            <w:pPr>
              <w:keepNext w:val="0"/>
              <w:keepLines w:val="0"/>
              <w:suppressLineNumbers w:val="0"/>
              <w:spacing w:before="0" w:beforeAutospacing="0" w:after="0" w:afterAutospacing="0"/>
              <w:ind w:left="0" w:right="0"/>
              <w:jc w:val="center"/>
              <w:rPr>
                <w:rFonts w:hint="eastAsia"/>
                <w:kern w:val="2"/>
                <w:sz w:val="18"/>
                <w:szCs w:val="18"/>
              </w:rPr>
            </w:pPr>
          </w:p>
        </w:tc>
        <w:tc>
          <w:tcPr>
            <w:tcW w:w="812" w:type="pct"/>
            <w:vMerge w:val="continue"/>
            <w:vAlign w:val="center"/>
          </w:tcPr>
          <w:p>
            <w:pPr>
              <w:keepNext w:val="0"/>
              <w:keepLines w:val="0"/>
              <w:suppressLineNumbers w:val="0"/>
              <w:spacing w:before="0" w:beforeAutospacing="0" w:after="0" w:afterAutospacing="0"/>
              <w:ind w:left="0" w:right="0"/>
              <w:jc w:val="center"/>
              <w:rPr>
                <w:rFonts w:hint="eastAsia"/>
                <w:kern w:val="2"/>
                <w:sz w:val="18"/>
                <w:szCs w:val="18"/>
              </w:rPr>
            </w:pPr>
          </w:p>
        </w:tc>
        <w:tc>
          <w:tcPr>
            <w:tcW w:w="601" w:type="pct"/>
            <w:vMerge w:val="continue"/>
            <w:vAlign w:val="center"/>
          </w:tcPr>
          <w:p>
            <w:pPr>
              <w:keepNext w:val="0"/>
              <w:keepLines w:val="0"/>
              <w:suppressLineNumbers w:val="0"/>
              <w:spacing w:before="0" w:beforeAutospacing="0" w:after="0" w:afterAutospacing="0"/>
              <w:ind w:left="0" w:right="0"/>
              <w:jc w:val="center"/>
              <w:rPr>
                <w:rFonts w:hint="eastAsia"/>
                <w:kern w:val="2"/>
                <w:sz w:val="18"/>
                <w:szCs w:val="18"/>
              </w:rPr>
            </w:pPr>
          </w:p>
        </w:tc>
        <w:tc>
          <w:tcPr>
            <w:tcW w:w="239" w:type="pct"/>
            <w:vMerge w:val="continue"/>
            <w:vAlign w:val="center"/>
          </w:tcPr>
          <w:p>
            <w:pPr>
              <w:keepNext w:val="0"/>
              <w:keepLines w:val="0"/>
              <w:suppressLineNumbers w:val="0"/>
              <w:spacing w:before="0" w:beforeAutospacing="0" w:after="0" w:afterAutospacing="0"/>
              <w:ind w:left="0" w:right="0"/>
              <w:jc w:val="center"/>
              <w:rPr>
                <w:rFonts w:hint="eastAsia"/>
                <w:kern w:val="2"/>
                <w:sz w:val="18"/>
                <w:szCs w:val="18"/>
              </w:rPr>
            </w:pPr>
          </w:p>
        </w:tc>
        <w:tc>
          <w:tcPr>
            <w:tcW w:w="359" w:type="pct"/>
            <w:vAlign w:val="center"/>
          </w:tcPr>
          <w:p>
            <w:pPr>
              <w:keepNext w:val="0"/>
              <w:keepLines w:val="0"/>
              <w:suppressLineNumbers w:val="0"/>
              <w:spacing w:before="0" w:beforeAutospacing="0" w:after="0" w:afterAutospacing="0"/>
              <w:ind w:left="0" w:right="0"/>
              <w:jc w:val="center"/>
              <w:rPr>
                <w:rFonts w:hint="eastAsia"/>
                <w:b/>
                <w:bCs/>
                <w:kern w:val="2"/>
                <w:sz w:val="18"/>
                <w:szCs w:val="18"/>
              </w:rPr>
            </w:pPr>
            <w:r>
              <w:rPr>
                <w:rFonts w:hint="eastAsia"/>
                <w:b/>
                <w:bCs/>
                <w:kern w:val="2"/>
                <w:sz w:val="18"/>
                <w:szCs w:val="18"/>
              </w:rPr>
              <w:t>X</w:t>
            </w:r>
          </w:p>
        </w:tc>
        <w:tc>
          <w:tcPr>
            <w:tcW w:w="311" w:type="pct"/>
            <w:vAlign w:val="center"/>
          </w:tcPr>
          <w:p>
            <w:pPr>
              <w:keepNext w:val="0"/>
              <w:keepLines w:val="0"/>
              <w:suppressLineNumbers w:val="0"/>
              <w:spacing w:before="0" w:beforeAutospacing="0" w:after="0" w:afterAutospacing="0"/>
              <w:ind w:left="0" w:right="0"/>
              <w:jc w:val="center"/>
              <w:rPr>
                <w:rFonts w:hint="eastAsia"/>
                <w:b/>
                <w:bCs/>
                <w:kern w:val="2"/>
                <w:sz w:val="18"/>
                <w:szCs w:val="18"/>
              </w:rPr>
            </w:pPr>
            <w:r>
              <w:rPr>
                <w:rFonts w:hint="eastAsia"/>
                <w:b/>
                <w:bCs/>
                <w:kern w:val="2"/>
                <w:sz w:val="18"/>
                <w:szCs w:val="18"/>
              </w:rPr>
              <w:t>Y</w:t>
            </w:r>
          </w:p>
        </w:tc>
        <w:tc>
          <w:tcPr>
            <w:tcW w:w="312" w:type="pct"/>
            <w:vAlign w:val="center"/>
          </w:tcPr>
          <w:p>
            <w:pPr>
              <w:keepNext w:val="0"/>
              <w:keepLines w:val="0"/>
              <w:suppressLineNumbers w:val="0"/>
              <w:spacing w:before="0" w:beforeAutospacing="0" w:after="0" w:afterAutospacing="0"/>
              <w:ind w:left="0" w:right="0"/>
              <w:jc w:val="center"/>
              <w:rPr>
                <w:rFonts w:hint="eastAsia"/>
                <w:b/>
                <w:bCs/>
                <w:kern w:val="2"/>
                <w:sz w:val="18"/>
                <w:szCs w:val="18"/>
              </w:rPr>
            </w:pPr>
            <w:r>
              <w:rPr>
                <w:rFonts w:hint="eastAsia"/>
                <w:b/>
                <w:bCs/>
                <w:kern w:val="2"/>
                <w:sz w:val="18"/>
                <w:szCs w:val="18"/>
              </w:rPr>
              <w:t>Z</w:t>
            </w:r>
          </w:p>
        </w:tc>
        <w:tc>
          <w:tcPr>
            <w:tcW w:w="233" w:type="pct"/>
            <w:vAlign w:val="center"/>
          </w:tcPr>
          <w:p>
            <w:pPr>
              <w:keepNext w:val="0"/>
              <w:keepLines w:val="0"/>
              <w:suppressLineNumbers w:val="0"/>
              <w:spacing w:before="0" w:beforeAutospacing="0" w:after="0" w:afterAutospacing="0"/>
              <w:ind w:left="0" w:right="0"/>
              <w:jc w:val="center"/>
              <w:rPr>
                <w:rFonts w:hint="eastAsia"/>
                <w:b/>
                <w:bCs/>
                <w:kern w:val="2"/>
                <w:sz w:val="18"/>
                <w:szCs w:val="18"/>
              </w:rPr>
            </w:pPr>
            <w:r>
              <w:rPr>
                <w:rFonts w:hint="eastAsia"/>
                <w:b/>
                <w:bCs/>
                <w:kern w:val="2"/>
                <w:sz w:val="18"/>
                <w:szCs w:val="18"/>
              </w:rPr>
              <w:t>单台</w:t>
            </w:r>
          </w:p>
        </w:tc>
        <w:tc>
          <w:tcPr>
            <w:tcW w:w="234" w:type="pct"/>
            <w:vAlign w:val="center"/>
          </w:tcPr>
          <w:p>
            <w:pPr>
              <w:keepNext w:val="0"/>
              <w:keepLines w:val="0"/>
              <w:suppressLineNumbers w:val="0"/>
              <w:spacing w:before="0" w:beforeAutospacing="0" w:after="0" w:afterAutospacing="0"/>
              <w:ind w:left="0" w:right="0"/>
              <w:jc w:val="center"/>
              <w:rPr>
                <w:rFonts w:hint="eastAsia"/>
                <w:b/>
                <w:bCs/>
                <w:kern w:val="2"/>
                <w:sz w:val="18"/>
                <w:szCs w:val="18"/>
              </w:rPr>
            </w:pPr>
            <w:r>
              <w:rPr>
                <w:rFonts w:hint="eastAsia"/>
                <w:b/>
                <w:bCs/>
                <w:kern w:val="2"/>
                <w:sz w:val="18"/>
                <w:szCs w:val="18"/>
              </w:rPr>
              <w:t>叠加</w:t>
            </w:r>
          </w:p>
        </w:tc>
        <w:tc>
          <w:tcPr>
            <w:tcW w:w="778" w:type="pct"/>
            <w:vMerge w:val="continue"/>
            <w:vAlign w:val="center"/>
          </w:tcPr>
          <w:p>
            <w:pPr>
              <w:keepNext w:val="0"/>
              <w:keepLines w:val="0"/>
              <w:suppressLineNumbers w:val="0"/>
              <w:spacing w:before="0" w:beforeAutospacing="0" w:after="0" w:afterAutospacing="0"/>
              <w:ind w:left="0" w:right="0"/>
              <w:jc w:val="center"/>
              <w:rPr>
                <w:rFonts w:hint="eastAsia"/>
                <w:kern w:val="2"/>
                <w:sz w:val="18"/>
                <w:szCs w:val="18"/>
              </w:rPr>
            </w:pPr>
          </w:p>
        </w:tc>
        <w:tc>
          <w:tcPr>
            <w:tcW w:w="250" w:type="pct"/>
            <w:vMerge w:val="continue"/>
            <w:vAlign w:val="center"/>
          </w:tcPr>
          <w:p>
            <w:pPr>
              <w:keepNext w:val="0"/>
              <w:keepLines w:val="0"/>
              <w:suppressLineNumbers w:val="0"/>
              <w:spacing w:before="0" w:beforeAutospacing="0" w:after="0" w:afterAutospacing="0"/>
              <w:ind w:left="0" w:right="0"/>
              <w:jc w:val="center"/>
              <w:rPr>
                <w:rFonts w:hint="eastAsia"/>
                <w:kern w:val="2"/>
                <w:sz w:val="18"/>
                <w:szCs w:val="18"/>
              </w:rPr>
            </w:pPr>
          </w:p>
        </w:tc>
        <w:tc>
          <w:tcPr>
            <w:tcW w:w="314" w:type="pct"/>
            <w:vMerge w:val="continue"/>
            <w:vAlign w:val="center"/>
          </w:tcPr>
          <w:p>
            <w:pPr>
              <w:keepNext w:val="0"/>
              <w:keepLines w:val="0"/>
              <w:suppressLineNumbers w:val="0"/>
              <w:spacing w:before="0" w:beforeAutospacing="0" w:after="0" w:afterAutospacing="0"/>
              <w:ind w:left="0" w:right="0"/>
              <w:jc w:val="center"/>
              <w:rPr>
                <w:rFonts w:hint="eastAsia"/>
                <w:kern w:val="2"/>
                <w:sz w:val="18"/>
                <w:szCs w:val="18"/>
              </w:rPr>
            </w:pPr>
          </w:p>
        </w:tc>
        <w:tc>
          <w:tcPr>
            <w:tcW w:w="317" w:type="pct"/>
            <w:vMerge w:val="continue"/>
            <w:vAlign w:val="center"/>
          </w:tcPr>
          <w:p>
            <w:pPr>
              <w:keepNext w:val="0"/>
              <w:keepLines w:val="0"/>
              <w:suppressLineNumbers w:val="0"/>
              <w:spacing w:before="0" w:beforeAutospacing="0" w:after="0" w:afterAutospacing="0"/>
              <w:ind w:left="0" w:right="0"/>
              <w:jc w:val="center"/>
              <w:rPr>
                <w:rFonts w:hint="eastAsia"/>
                <w:kern w:val="2"/>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0"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kern w:val="2"/>
                <w:sz w:val="18"/>
                <w:szCs w:val="18"/>
              </w:rPr>
              <w:t>1</w:t>
            </w:r>
          </w:p>
        </w:tc>
        <w:tc>
          <w:tcPr>
            <w:tcW w:w="812"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kern w:val="2"/>
                <w:sz w:val="18"/>
                <w:szCs w:val="18"/>
              </w:rPr>
              <w:t>矿井涌水</w:t>
            </w:r>
            <w:r>
              <w:rPr>
                <w:rFonts w:hint="eastAsia" w:asciiTheme="minorEastAsia" w:hAnsiTheme="minorEastAsia" w:eastAsiaTheme="minorEastAsia"/>
                <w:kern w:val="2"/>
                <w:sz w:val="18"/>
                <w:szCs w:val="18"/>
              </w:rPr>
              <w:t>处理</w:t>
            </w:r>
          </w:p>
        </w:tc>
        <w:tc>
          <w:tcPr>
            <w:tcW w:w="601"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kern w:val="2"/>
                <w:sz w:val="18"/>
                <w:szCs w:val="18"/>
              </w:rPr>
              <w:t>涌水</w:t>
            </w:r>
            <w:r>
              <w:rPr>
                <w:rFonts w:hint="eastAsia" w:asciiTheme="minorEastAsia" w:hAnsiTheme="minorEastAsia" w:eastAsiaTheme="minorEastAsia"/>
                <w:kern w:val="2"/>
                <w:sz w:val="18"/>
                <w:szCs w:val="18"/>
              </w:rPr>
              <w:t>处理</w:t>
            </w:r>
            <w:r>
              <w:rPr>
                <w:rFonts w:hint="eastAsia"/>
                <w:kern w:val="2"/>
                <w:sz w:val="18"/>
                <w:szCs w:val="18"/>
              </w:rPr>
              <w:t>设施</w:t>
            </w:r>
          </w:p>
        </w:tc>
        <w:tc>
          <w:tcPr>
            <w:tcW w:w="239"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asciiTheme="minorEastAsia" w:hAnsiTheme="minorEastAsia" w:eastAsiaTheme="minorEastAsia"/>
                <w:kern w:val="2"/>
                <w:sz w:val="18"/>
                <w:szCs w:val="18"/>
                <w:lang w:eastAsia="zh-CN"/>
              </w:rPr>
              <w:t>1</w:t>
            </w:r>
            <w:r>
              <w:rPr>
                <w:rFonts w:hint="eastAsia" w:asciiTheme="minorEastAsia" w:hAnsiTheme="minorEastAsia" w:eastAsiaTheme="minorEastAsia"/>
                <w:kern w:val="2"/>
                <w:sz w:val="18"/>
                <w:szCs w:val="18"/>
              </w:rPr>
              <w:t>套</w:t>
            </w:r>
          </w:p>
        </w:tc>
        <w:tc>
          <w:tcPr>
            <w:tcW w:w="359"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asciiTheme="minorEastAsia" w:hAnsiTheme="minorEastAsia" w:eastAsiaTheme="minorEastAsia"/>
                <w:kern w:val="2"/>
                <w:sz w:val="18"/>
                <w:szCs w:val="18"/>
                <w:lang w:eastAsia="zh-CN"/>
              </w:rPr>
              <w:t>63</w:t>
            </w:r>
          </w:p>
        </w:tc>
        <w:tc>
          <w:tcPr>
            <w:tcW w:w="311"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asciiTheme="minorEastAsia" w:hAnsiTheme="minorEastAsia" w:eastAsiaTheme="minorEastAsia"/>
                <w:kern w:val="2"/>
                <w:sz w:val="18"/>
                <w:szCs w:val="18"/>
                <w:lang w:eastAsia="zh-CN"/>
              </w:rPr>
              <w:t>450</w:t>
            </w:r>
          </w:p>
        </w:tc>
        <w:tc>
          <w:tcPr>
            <w:tcW w:w="312"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kern w:val="2"/>
                <w:sz w:val="18"/>
                <w:szCs w:val="18"/>
              </w:rPr>
              <w:t>1</w:t>
            </w:r>
          </w:p>
        </w:tc>
        <w:tc>
          <w:tcPr>
            <w:tcW w:w="233"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asciiTheme="minorEastAsia" w:hAnsiTheme="minorEastAsia" w:eastAsiaTheme="minorEastAsia"/>
                <w:kern w:val="2"/>
                <w:sz w:val="18"/>
                <w:szCs w:val="18"/>
                <w:lang w:eastAsia="zh-CN"/>
              </w:rPr>
              <w:t>75</w:t>
            </w:r>
          </w:p>
        </w:tc>
        <w:tc>
          <w:tcPr>
            <w:tcW w:w="234"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asciiTheme="minorEastAsia" w:hAnsiTheme="minorEastAsia" w:eastAsiaTheme="minorEastAsia"/>
                <w:kern w:val="2"/>
                <w:sz w:val="18"/>
                <w:szCs w:val="18"/>
                <w:lang w:eastAsia="zh-CN"/>
              </w:rPr>
              <w:t>75</w:t>
            </w:r>
          </w:p>
        </w:tc>
        <w:tc>
          <w:tcPr>
            <w:tcW w:w="778" w:type="pct"/>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kern w:val="2"/>
                <w:sz w:val="18"/>
                <w:szCs w:val="18"/>
                <w:lang w:eastAsia="zh-CN"/>
              </w:rPr>
            </w:pPr>
            <w:r>
              <w:rPr>
                <w:rFonts w:hint="eastAsia" w:asciiTheme="minorEastAsia" w:hAnsiTheme="minorEastAsia" w:eastAsiaTheme="minorEastAsia"/>
                <w:kern w:val="2"/>
                <w:sz w:val="18"/>
                <w:szCs w:val="18"/>
                <w:lang w:eastAsia="zh-CN"/>
              </w:rPr>
              <w:t>设备基座减振、水泵与进出口管道间安装软橡胶接头</w:t>
            </w:r>
          </w:p>
        </w:tc>
        <w:tc>
          <w:tcPr>
            <w:tcW w:w="250" w:type="pct"/>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kern w:val="2"/>
                <w:sz w:val="18"/>
                <w:szCs w:val="18"/>
                <w:lang w:eastAsia="zh-CN"/>
              </w:rPr>
            </w:pPr>
            <w:r>
              <w:rPr>
                <w:rFonts w:hint="eastAsia" w:asciiTheme="minorEastAsia" w:hAnsiTheme="minorEastAsia" w:eastAsiaTheme="minorEastAsia"/>
                <w:kern w:val="2"/>
                <w:sz w:val="18"/>
                <w:szCs w:val="18"/>
                <w:lang w:eastAsia="zh-CN"/>
              </w:rPr>
              <w:t>60</w:t>
            </w:r>
          </w:p>
        </w:tc>
        <w:tc>
          <w:tcPr>
            <w:tcW w:w="314"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kern w:val="2"/>
                <w:sz w:val="18"/>
                <w:szCs w:val="18"/>
              </w:rPr>
              <w:t>昼夜持续</w:t>
            </w:r>
          </w:p>
        </w:tc>
        <w:tc>
          <w:tcPr>
            <w:tcW w:w="317"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asciiTheme="minorEastAsia" w:hAnsiTheme="minorEastAsia" w:eastAsiaTheme="minorEastAsia"/>
                <w:kern w:val="2"/>
                <w:sz w:val="18"/>
                <w:szCs w:val="18"/>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0"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kern w:val="2"/>
                <w:sz w:val="18"/>
                <w:szCs w:val="18"/>
              </w:rPr>
              <w:t>2</w:t>
            </w:r>
          </w:p>
        </w:tc>
        <w:tc>
          <w:tcPr>
            <w:tcW w:w="812"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kern w:val="2"/>
                <w:sz w:val="18"/>
                <w:szCs w:val="18"/>
              </w:rPr>
              <w:t>生活污水</w:t>
            </w:r>
            <w:r>
              <w:rPr>
                <w:rFonts w:hint="eastAsia" w:asciiTheme="minorEastAsia" w:hAnsiTheme="minorEastAsia" w:eastAsiaTheme="minorEastAsia"/>
                <w:kern w:val="2"/>
                <w:sz w:val="18"/>
                <w:szCs w:val="18"/>
              </w:rPr>
              <w:t>处理</w:t>
            </w:r>
          </w:p>
        </w:tc>
        <w:tc>
          <w:tcPr>
            <w:tcW w:w="601"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kern w:val="2"/>
                <w:sz w:val="18"/>
                <w:szCs w:val="18"/>
              </w:rPr>
              <w:t>一体化</w:t>
            </w:r>
            <w:r>
              <w:rPr>
                <w:rFonts w:hint="eastAsia" w:asciiTheme="minorEastAsia" w:hAnsiTheme="minorEastAsia" w:eastAsiaTheme="minorEastAsia"/>
                <w:kern w:val="2"/>
                <w:sz w:val="18"/>
                <w:szCs w:val="18"/>
              </w:rPr>
              <w:t>处理</w:t>
            </w:r>
            <w:r>
              <w:rPr>
                <w:rFonts w:hint="eastAsia"/>
                <w:kern w:val="2"/>
                <w:sz w:val="18"/>
                <w:szCs w:val="18"/>
              </w:rPr>
              <w:t>设施</w:t>
            </w:r>
          </w:p>
        </w:tc>
        <w:tc>
          <w:tcPr>
            <w:tcW w:w="239"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asciiTheme="minorEastAsia" w:hAnsiTheme="minorEastAsia" w:eastAsiaTheme="minorEastAsia"/>
                <w:kern w:val="2"/>
                <w:sz w:val="18"/>
                <w:szCs w:val="18"/>
                <w:lang w:eastAsia="zh-CN"/>
              </w:rPr>
              <w:t>1套</w:t>
            </w:r>
          </w:p>
        </w:tc>
        <w:tc>
          <w:tcPr>
            <w:tcW w:w="359"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asciiTheme="minorEastAsia" w:hAnsiTheme="minorEastAsia" w:eastAsiaTheme="minorEastAsia"/>
                <w:kern w:val="2"/>
                <w:sz w:val="18"/>
                <w:szCs w:val="18"/>
                <w:lang w:eastAsia="zh-CN"/>
              </w:rPr>
              <w:t>36</w:t>
            </w:r>
          </w:p>
        </w:tc>
        <w:tc>
          <w:tcPr>
            <w:tcW w:w="311"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asciiTheme="minorEastAsia" w:hAnsiTheme="minorEastAsia" w:eastAsiaTheme="minorEastAsia"/>
                <w:kern w:val="2"/>
                <w:sz w:val="18"/>
                <w:szCs w:val="18"/>
                <w:lang w:eastAsia="zh-CN"/>
              </w:rPr>
              <w:t>131</w:t>
            </w:r>
          </w:p>
        </w:tc>
        <w:tc>
          <w:tcPr>
            <w:tcW w:w="312"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asciiTheme="minorEastAsia" w:hAnsiTheme="minorEastAsia" w:eastAsiaTheme="minorEastAsia"/>
                <w:kern w:val="2"/>
                <w:sz w:val="18"/>
                <w:szCs w:val="18"/>
                <w:lang w:eastAsia="zh-CN"/>
              </w:rPr>
              <w:t>1.5</w:t>
            </w:r>
          </w:p>
        </w:tc>
        <w:tc>
          <w:tcPr>
            <w:tcW w:w="233"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kern w:val="2"/>
                <w:sz w:val="18"/>
                <w:szCs w:val="18"/>
              </w:rPr>
              <w:t>7</w:t>
            </w:r>
            <w:r>
              <w:rPr>
                <w:rFonts w:hint="eastAsia" w:asciiTheme="minorEastAsia" w:hAnsiTheme="minorEastAsia" w:eastAsiaTheme="minorEastAsia"/>
                <w:kern w:val="2"/>
                <w:sz w:val="18"/>
                <w:szCs w:val="18"/>
                <w:lang w:eastAsia="zh-CN"/>
              </w:rPr>
              <w:t>0</w:t>
            </w:r>
          </w:p>
        </w:tc>
        <w:tc>
          <w:tcPr>
            <w:tcW w:w="234"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asciiTheme="minorEastAsia" w:hAnsiTheme="minorEastAsia" w:eastAsiaTheme="minorEastAsia"/>
                <w:kern w:val="2"/>
                <w:sz w:val="18"/>
                <w:szCs w:val="18"/>
                <w:lang w:eastAsia="zh-CN"/>
              </w:rPr>
              <w:t>70</w:t>
            </w:r>
          </w:p>
        </w:tc>
        <w:tc>
          <w:tcPr>
            <w:tcW w:w="778" w:type="pct"/>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kern w:val="2"/>
                <w:sz w:val="18"/>
                <w:szCs w:val="18"/>
                <w:lang w:eastAsia="zh-CN"/>
              </w:rPr>
            </w:pPr>
            <w:r>
              <w:rPr>
                <w:rFonts w:hint="eastAsia" w:asciiTheme="minorEastAsia" w:hAnsiTheme="minorEastAsia" w:eastAsiaTheme="minorEastAsia"/>
                <w:kern w:val="2"/>
                <w:sz w:val="18"/>
                <w:szCs w:val="18"/>
                <w:lang w:eastAsia="zh-CN"/>
              </w:rPr>
              <w:t>设备基座减振、水泵与进出口管道间安装软橡胶接头</w:t>
            </w:r>
          </w:p>
        </w:tc>
        <w:tc>
          <w:tcPr>
            <w:tcW w:w="250"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asciiTheme="minorEastAsia" w:hAnsiTheme="minorEastAsia" w:eastAsiaTheme="minorEastAsia"/>
                <w:kern w:val="2"/>
                <w:sz w:val="18"/>
                <w:szCs w:val="18"/>
                <w:lang w:eastAsia="zh-CN"/>
              </w:rPr>
              <w:t>55</w:t>
            </w:r>
          </w:p>
        </w:tc>
        <w:tc>
          <w:tcPr>
            <w:tcW w:w="314"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kern w:val="2"/>
                <w:sz w:val="18"/>
                <w:szCs w:val="18"/>
              </w:rPr>
              <w:t>昼夜持续</w:t>
            </w:r>
          </w:p>
        </w:tc>
        <w:tc>
          <w:tcPr>
            <w:tcW w:w="317"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asciiTheme="minorEastAsia" w:hAnsiTheme="minorEastAsia" w:eastAsiaTheme="minorEastAsia"/>
                <w:kern w:val="2"/>
                <w:sz w:val="18"/>
                <w:szCs w:val="18"/>
                <w:lang w:eastAsia="zh-CN"/>
              </w:rPr>
              <w:t>/</w:t>
            </w:r>
          </w:p>
        </w:tc>
      </w:tr>
    </w:tbl>
    <w:p>
      <w:pPr>
        <w:jc w:val="center"/>
        <w:rPr>
          <w:rFonts w:hAnsi="Times New Roman" w:eastAsia="宋体"/>
          <w:b/>
          <w:bCs/>
          <w:sz w:val="21"/>
          <w:szCs w:val="21"/>
          <w:lang w:eastAsia="zh-CN"/>
        </w:rPr>
      </w:pPr>
      <w:r>
        <w:rPr>
          <w:rFonts w:hAnsi="Times New Roman" w:eastAsia="宋体"/>
          <w:b/>
          <w:bCs/>
          <w:sz w:val="21"/>
          <w:szCs w:val="21"/>
          <w:lang w:eastAsia="zh-CN"/>
        </w:rPr>
        <w:t>表</w:t>
      </w:r>
      <w:r>
        <w:rPr>
          <w:rFonts w:hint="eastAsia" w:hAnsi="Times New Roman" w:eastAsia="宋体"/>
          <w:b/>
          <w:bCs/>
          <w:sz w:val="21"/>
          <w:szCs w:val="21"/>
          <w:lang w:eastAsia="zh-CN"/>
        </w:rPr>
        <w:t>8.2-2主井工业场地</w:t>
      </w:r>
      <w:r>
        <w:rPr>
          <w:rFonts w:hAnsi="Times New Roman" w:eastAsia="宋体"/>
          <w:b/>
          <w:bCs/>
          <w:sz w:val="21"/>
          <w:szCs w:val="21"/>
          <w:lang w:eastAsia="zh-CN"/>
        </w:rPr>
        <w:t>室内噪声源强及治理措施一览表</w:t>
      </w:r>
      <w:r>
        <w:rPr>
          <w:rFonts w:hint="eastAsia" w:hAnsi="Times New Roman" w:eastAsia="宋体"/>
          <w:b/>
          <w:bCs/>
          <w:sz w:val="21"/>
          <w:szCs w:val="21"/>
          <w:lang w:eastAsia="zh-CN"/>
        </w:rPr>
        <w:t xml:space="preserve"> </w:t>
      </w:r>
      <w:r>
        <w:rPr>
          <w:rFonts w:hAnsi="Times New Roman" w:eastAsia="宋体"/>
          <w:b/>
          <w:bCs/>
          <w:sz w:val="21"/>
          <w:szCs w:val="21"/>
          <w:lang w:eastAsia="zh-CN"/>
        </w:rPr>
        <w:t>单位：dB（A）</w:t>
      </w:r>
    </w:p>
    <w:tbl>
      <w:tblPr>
        <w:tblStyle w:val="3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8"/>
        <w:gridCol w:w="447"/>
        <w:gridCol w:w="1022"/>
        <w:gridCol w:w="404"/>
        <w:gridCol w:w="523"/>
        <w:gridCol w:w="638"/>
        <w:gridCol w:w="710"/>
        <w:gridCol w:w="766"/>
        <w:gridCol w:w="766"/>
        <w:gridCol w:w="500"/>
        <w:gridCol w:w="597"/>
        <w:gridCol w:w="447"/>
        <w:gridCol w:w="447"/>
        <w:gridCol w:w="699"/>
        <w:gridCol w:w="448"/>
        <w:gridCol w:w="4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0" w:type="pct"/>
            <w:vMerge w:val="restart"/>
            <w:vAlign w:val="center"/>
          </w:tcPr>
          <w:p>
            <w:pPr>
              <w:keepNext w:val="0"/>
              <w:keepLines w:val="0"/>
              <w:suppressLineNumbers w:val="0"/>
              <w:spacing w:before="0" w:beforeAutospacing="0" w:after="0" w:afterAutospacing="0"/>
              <w:ind w:left="0" w:right="0"/>
              <w:jc w:val="center"/>
              <w:rPr>
                <w:rFonts w:hint="eastAsia"/>
                <w:b/>
                <w:bCs/>
                <w:kern w:val="2"/>
                <w:sz w:val="18"/>
                <w:szCs w:val="18"/>
              </w:rPr>
            </w:pPr>
            <w:r>
              <w:rPr>
                <w:rFonts w:hint="eastAsia"/>
                <w:b/>
                <w:bCs/>
                <w:kern w:val="2"/>
                <w:sz w:val="18"/>
                <w:szCs w:val="18"/>
              </w:rPr>
              <w:t>序号</w:t>
            </w:r>
          </w:p>
        </w:tc>
        <w:tc>
          <w:tcPr>
            <w:tcW w:w="239" w:type="pct"/>
            <w:vMerge w:val="restart"/>
            <w:vAlign w:val="center"/>
          </w:tcPr>
          <w:p>
            <w:pPr>
              <w:keepNext w:val="0"/>
              <w:keepLines w:val="0"/>
              <w:suppressLineNumbers w:val="0"/>
              <w:spacing w:before="0" w:beforeAutospacing="0" w:after="0" w:afterAutospacing="0"/>
              <w:ind w:left="0" w:right="0"/>
              <w:jc w:val="center"/>
              <w:rPr>
                <w:rFonts w:hint="eastAsia"/>
                <w:b/>
                <w:bCs/>
                <w:kern w:val="2"/>
                <w:sz w:val="18"/>
                <w:szCs w:val="18"/>
              </w:rPr>
            </w:pPr>
            <w:r>
              <w:rPr>
                <w:rFonts w:hint="eastAsia"/>
                <w:b/>
                <w:bCs/>
                <w:kern w:val="2"/>
                <w:sz w:val="18"/>
                <w:szCs w:val="18"/>
              </w:rPr>
              <w:t>建筑物名称</w:t>
            </w:r>
          </w:p>
        </w:tc>
        <w:tc>
          <w:tcPr>
            <w:tcW w:w="547" w:type="pct"/>
            <w:vMerge w:val="restart"/>
            <w:vAlign w:val="center"/>
          </w:tcPr>
          <w:p>
            <w:pPr>
              <w:keepNext w:val="0"/>
              <w:keepLines w:val="0"/>
              <w:suppressLineNumbers w:val="0"/>
              <w:spacing w:before="0" w:beforeAutospacing="0" w:after="0" w:afterAutospacing="0"/>
              <w:ind w:left="0" w:right="0"/>
              <w:jc w:val="center"/>
              <w:rPr>
                <w:rFonts w:hint="eastAsia"/>
                <w:b/>
                <w:bCs/>
                <w:kern w:val="2"/>
                <w:sz w:val="18"/>
                <w:szCs w:val="18"/>
              </w:rPr>
            </w:pPr>
            <w:r>
              <w:rPr>
                <w:rFonts w:hint="eastAsia"/>
                <w:b/>
                <w:bCs/>
                <w:kern w:val="2"/>
                <w:sz w:val="18"/>
                <w:szCs w:val="18"/>
              </w:rPr>
              <w:t>声源名称</w:t>
            </w:r>
          </w:p>
        </w:tc>
        <w:tc>
          <w:tcPr>
            <w:tcW w:w="216" w:type="pct"/>
            <w:vMerge w:val="restart"/>
            <w:vAlign w:val="center"/>
          </w:tcPr>
          <w:p>
            <w:pPr>
              <w:keepNext w:val="0"/>
              <w:keepLines w:val="0"/>
              <w:suppressLineNumbers w:val="0"/>
              <w:spacing w:before="0" w:beforeAutospacing="0" w:after="0" w:afterAutospacing="0"/>
              <w:ind w:left="0" w:right="0"/>
              <w:jc w:val="center"/>
              <w:rPr>
                <w:rFonts w:hint="eastAsia"/>
                <w:b/>
                <w:bCs/>
                <w:kern w:val="2"/>
                <w:sz w:val="18"/>
                <w:szCs w:val="18"/>
              </w:rPr>
            </w:pPr>
            <w:r>
              <w:rPr>
                <w:rFonts w:hint="eastAsia"/>
                <w:b/>
                <w:bCs/>
                <w:kern w:val="2"/>
                <w:sz w:val="18"/>
                <w:szCs w:val="18"/>
              </w:rPr>
              <w:t>数量</w:t>
            </w:r>
          </w:p>
        </w:tc>
        <w:tc>
          <w:tcPr>
            <w:tcW w:w="622" w:type="pct"/>
            <w:gridSpan w:val="2"/>
            <w:vAlign w:val="center"/>
          </w:tcPr>
          <w:p>
            <w:pPr>
              <w:keepNext w:val="0"/>
              <w:keepLines w:val="0"/>
              <w:suppressLineNumbers w:val="0"/>
              <w:spacing w:before="0" w:beforeAutospacing="0" w:after="0" w:afterAutospacing="0"/>
              <w:ind w:left="0" w:right="0"/>
              <w:jc w:val="center"/>
              <w:rPr>
                <w:rFonts w:hint="eastAsia"/>
                <w:b/>
                <w:bCs/>
                <w:kern w:val="2"/>
                <w:sz w:val="18"/>
                <w:szCs w:val="18"/>
              </w:rPr>
            </w:pPr>
            <w:r>
              <w:rPr>
                <w:rFonts w:hint="eastAsia"/>
                <w:b/>
                <w:bCs/>
                <w:kern w:val="2"/>
                <w:sz w:val="18"/>
                <w:szCs w:val="18"/>
              </w:rPr>
              <w:t>声源源强声级功率</w:t>
            </w:r>
          </w:p>
        </w:tc>
        <w:tc>
          <w:tcPr>
            <w:tcW w:w="380" w:type="pct"/>
            <w:vMerge w:val="restart"/>
            <w:vAlign w:val="center"/>
          </w:tcPr>
          <w:p>
            <w:pPr>
              <w:keepNext w:val="0"/>
              <w:keepLines w:val="0"/>
              <w:suppressLineNumbers w:val="0"/>
              <w:spacing w:before="0" w:beforeAutospacing="0" w:after="0" w:afterAutospacing="0"/>
              <w:ind w:left="0" w:right="0"/>
              <w:jc w:val="center"/>
              <w:rPr>
                <w:rFonts w:hint="eastAsia"/>
                <w:b/>
                <w:bCs/>
                <w:kern w:val="2"/>
                <w:sz w:val="18"/>
                <w:szCs w:val="18"/>
              </w:rPr>
            </w:pPr>
            <w:r>
              <w:rPr>
                <w:rFonts w:hint="eastAsia"/>
                <w:b/>
                <w:bCs/>
                <w:kern w:val="2"/>
                <w:sz w:val="18"/>
                <w:szCs w:val="18"/>
              </w:rPr>
              <w:t>声源控制措施</w:t>
            </w:r>
          </w:p>
        </w:tc>
        <w:tc>
          <w:tcPr>
            <w:tcW w:w="1087" w:type="pct"/>
            <w:gridSpan w:val="3"/>
            <w:vAlign w:val="center"/>
          </w:tcPr>
          <w:p>
            <w:pPr>
              <w:keepNext w:val="0"/>
              <w:keepLines w:val="0"/>
              <w:suppressLineNumbers w:val="0"/>
              <w:spacing w:before="0" w:beforeAutospacing="0" w:after="0" w:afterAutospacing="0"/>
              <w:ind w:left="0" w:right="0"/>
              <w:jc w:val="center"/>
              <w:rPr>
                <w:rFonts w:hint="eastAsia"/>
                <w:b/>
                <w:bCs/>
                <w:kern w:val="2"/>
                <w:sz w:val="18"/>
                <w:szCs w:val="18"/>
              </w:rPr>
            </w:pPr>
            <w:r>
              <w:rPr>
                <w:rFonts w:hint="eastAsia"/>
                <w:b/>
                <w:bCs/>
                <w:kern w:val="2"/>
                <w:sz w:val="18"/>
                <w:szCs w:val="18"/>
              </w:rPr>
              <w:t>空间相对位置/m</w:t>
            </w:r>
          </w:p>
        </w:tc>
        <w:tc>
          <w:tcPr>
            <w:tcW w:w="320" w:type="pct"/>
            <w:vMerge w:val="restart"/>
            <w:vAlign w:val="center"/>
          </w:tcPr>
          <w:p>
            <w:pPr>
              <w:keepNext w:val="0"/>
              <w:keepLines w:val="0"/>
              <w:suppressLineNumbers w:val="0"/>
              <w:spacing w:before="0" w:beforeAutospacing="0" w:after="0" w:afterAutospacing="0"/>
              <w:ind w:left="0" w:right="0"/>
              <w:jc w:val="center"/>
              <w:rPr>
                <w:rFonts w:hint="eastAsia"/>
                <w:b/>
                <w:bCs/>
                <w:kern w:val="2"/>
                <w:sz w:val="18"/>
                <w:szCs w:val="18"/>
              </w:rPr>
            </w:pPr>
            <w:r>
              <w:rPr>
                <w:rFonts w:hint="eastAsia"/>
                <w:b/>
                <w:bCs/>
                <w:kern w:val="2"/>
                <w:sz w:val="18"/>
                <w:szCs w:val="18"/>
              </w:rPr>
              <w:t>距室内边界距离/m</w:t>
            </w:r>
          </w:p>
        </w:tc>
        <w:tc>
          <w:tcPr>
            <w:tcW w:w="239" w:type="pct"/>
            <w:vMerge w:val="restart"/>
            <w:vAlign w:val="center"/>
          </w:tcPr>
          <w:p>
            <w:pPr>
              <w:keepNext w:val="0"/>
              <w:keepLines w:val="0"/>
              <w:suppressLineNumbers w:val="0"/>
              <w:spacing w:before="0" w:beforeAutospacing="0" w:after="0" w:afterAutospacing="0"/>
              <w:ind w:left="0" w:right="0"/>
              <w:jc w:val="center"/>
              <w:rPr>
                <w:rFonts w:hint="eastAsia"/>
                <w:b/>
                <w:bCs/>
                <w:kern w:val="2"/>
                <w:sz w:val="18"/>
                <w:szCs w:val="18"/>
              </w:rPr>
            </w:pPr>
            <w:r>
              <w:rPr>
                <w:rFonts w:hint="eastAsia"/>
                <w:b/>
                <w:bCs/>
                <w:kern w:val="2"/>
                <w:sz w:val="18"/>
                <w:szCs w:val="18"/>
              </w:rPr>
              <w:t>运行时段</w:t>
            </w:r>
          </w:p>
        </w:tc>
        <w:tc>
          <w:tcPr>
            <w:tcW w:w="239" w:type="pct"/>
            <w:vMerge w:val="restart"/>
            <w:vAlign w:val="center"/>
          </w:tcPr>
          <w:p>
            <w:pPr>
              <w:keepNext w:val="0"/>
              <w:keepLines w:val="0"/>
              <w:suppressLineNumbers w:val="0"/>
              <w:spacing w:before="0" w:beforeAutospacing="0" w:after="0" w:afterAutospacing="0"/>
              <w:ind w:left="0" w:right="0"/>
              <w:jc w:val="center"/>
              <w:rPr>
                <w:rFonts w:hint="eastAsia"/>
                <w:b/>
                <w:bCs/>
                <w:kern w:val="2"/>
                <w:sz w:val="18"/>
                <w:szCs w:val="18"/>
              </w:rPr>
            </w:pPr>
            <w:r>
              <w:rPr>
                <w:rFonts w:hint="eastAsia"/>
                <w:b/>
                <w:bCs/>
                <w:kern w:val="2"/>
                <w:sz w:val="18"/>
                <w:szCs w:val="18"/>
              </w:rPr>
              <w:t>建筑物插入损失</w:t>
            </w:r>
          </w:p>
        </w:tc>
        <w:tc>
          <w:tcPr>
            <w:tcW w:w="614" w:type="pct"/>
            <w:gridSpan w:val="2"/>
            <w:vAlign w:val="center"/>
          </w:tcPr>
          <w:p>
            <w:pPr>
              <w:keepNext w:val="0"/>
              <w:keepLines w:val="0"/>
              <w:suppressLineNumbers w:val="0"/>
              <w:spacing w:before="0" w:beforeAutospacing="0" w:after="0" w:afterAutospacing="0"/>
              <w:ind w:left="0" w:right="0"/>
              <w:jc w:val="center"/>
              <w:rPr>
                <w:rFonts w:hint="eastAsia"/>
                <w:b/>
                <w:bCs/>
                <w:kern w:val="2"/>
                <w:sz w:val="18"/>
                <w:szCs w:val="18"/>
              </w:rPr>
            </w:pPr>
            <w:r>
              <w:rPr>
                <w:rFonts w:hint="eastAsia"/>
                <w:b/>
                <w:bCs/>
                <w:kern w:val="2"/>
                <w:sz w:val="18"/>
                <w:szCs w:val="18"/>
              </w:rPr>
              <w:t>建筑物外噪声</w:t>
            </w:r>
          </w:p>
        </w:tc>
        <w:tc>
          <w:tcPr>
            <w:tcW w:w="256" w:type="pct"/>
            <w:vMerge w:val="restart"/>
            <w:vAlign w:val="center"/>
          </w:tcPr>
          <w:p>
            <w:pPr>
              <w:keepNext w:val="0"/>
              <w:keepLines w:val="0"/>
              <w:suppressLineNumbers w:val="0"/>
              <w:spacing w:before="0" w:beforeAutospacing="0" w:after="0" w:afterAutospacing="0"/>
              <w:ind w:left="0" w:right="0"/>
              <w:jc w:val="center"/>
              <w:rPr>
                <w:rFonts w:hint="eastAsia"/>
                <w:b/>
                <w:bCs/>
                <w:kern w:val="2"/>
                <w:sz w:val="18"/>
                <w:szCs w:val="18"/>
              </w:rPr>
            </w:pPr>
            <w:r>
              <w:rPr>
                <w:rFonts w:hint="eastAsia"/>
                <w:b/>
                <w:bCs/>
                <w:kern w:val="2"/>
                <w:sz w:val="18"/>
                <w:szCs w:val="1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0" w:type="pct"/>
            <w:vMerge w:val="continue"/>
            <w:vAlign w:val="center"/>
          </w:tcPr>
          <w:p>
            <w:pPr>
              <w:keepNext w:val="0"/>
              <w:keepLines w:val="0"/>
              <w:suppressLineNumbers w:val="0"/>
              <w:spacing w:before="0" w:beforeAutospacing="0" w:after="0" w:afterAutospacing="0"/>
              <w:ind w:left="0" w:right="0"/>
              <w:jc w:val="center"/>
              <w:rPr>
                <w:rFonts w:hint="eastAsia"/>
                <w:kern w:val="2"/>
                <w:sz w:val="18"/>
                <w:szCs w:val="18"/>
              </w:rPr>
            </w:pPr>
          </w:p>
        </w:tc>
        <w:tc>
          <w:tcPr>
            <w:tcW w:w="239" w:type="pct"/>
            <w:vMerge w:val="continue"/>
            <w:vAlign w:val="center"/>
          </w:tcPr>
          <w:p>
            <w:pPr>
              <w:keepNext w:val="0"/>
              <w:keepLines w:val="0"/>
              <w:suppressLineNumbers w:val="0"/>
              <w:spacing w:before="0" w:beforeAutospacing="0" w:after="0" w:afterAutospacing="0"/>
              <w:ind w:left="0" w:right="0"/>
              <w:jc w:val="center"/>
              <w:rPr>
                <w:rFonts w:hint="eastAsia"/>
                <w:kern w:val="2"/>
                <w:sz w:val="18"/>
                <w:szCs w:val="18"/>
              </w:rPr>
            </w:pPr>
          </w:p>
        </w:tc>
        <w:tc>
          <w:tcPr>
            <w:tcW w:w="547" w:type="pct"/>
            <w:vMerge w:val="continue"/>
            <w:vAlign w:val="center"/>
          </w:tcPr>
          <w:p>
            <w:pPr>
              <w:keepNext w:val="0"/>
              <w:keepLines w:val="0"/>
              <w:suppressLineNumbers w:val="0"/>
              <w:spacing w:before="0" w:beforeAutospacing="0" w:after="0" w:afterAutospacing="0"/>
              <w:ind w:left="0" w:right="0"/>
              <w:jc w:val="center"/>
              <w:rPr>
                <w:rFonts w:hint="eastAsia"/>
                <w:kern w:val="2"/>
                <w:sz w:val="18"/>
                <w:szCs w:val="18"/>
              </w:rPr>
            </w:pPr>
          </w:p>
        </w:tc>
        <w:tc>
          <w:tcPr>
            <w:tcW w:w="216" w:type="pct"/>
            <w:vMerge w:val="continue"/>
            <w:vAlign w:val="center"/>
          </w:tcPr>
          <w:p>
            <w:pPr>
              <w:keepNext w:val="0"/>
              <w:keepLines w:val="0"/>
              <w:suppressLineNumbers w:val="0"/>
              <w:spacing w:before="0" w:beforeAutospacing="0" w:after="0" w:afterAutospacing="0"/>
              <w:ind w:left="0" w:right="0"/>
              <w:jc w:val="center"/>
              <w:rPr>
                <w:rFonts w:hint="eastAsia"/>
                <w:kern w:val="2"/>
                <w:sz w:val="18"/>
                <w:szCs w:val="18"/>
              </w:rPr>
            </w:pPr>
          </w:p>
        </w:tc>
        <w:tc>
          <w:tcPr>
            <w:tcW w:w="280" w:type="pct"/>
            <w:vAlign w:val="center"/>
          </w:tcPr>
          <w:p>
            <w:pPr>
              <w:keepNext w:val="0"/>
              <w:keepLines w:val="0"/>
              <w:suppressLineNumbers w:val="0"/>
              <w:spacing w:before="0" w:beforeAutospacing="0" w:after="0" w:afterAutospacing="0"/>
              <w:ind w:left="0" w:right="0"/>
              <w:jc w:val="center"/>
              <w:rPr>
                <w:rFonts w:hint="eastAsia"/>
                <w:b/>
                <w:bCs/>
                <w:kern w:val="2"/>
                <w:sz w:val="18"/>
                <w:szCs w:val="18"/>
              </w:rPr>
            </w:pPr>
            <w:r>
              <w:rPr>
                <w:rFonts w:hint="eastAsia"/>
                <w:b/>
                <w:bCs/>
                <w:kern w:val="2"/>
                <w:sz w:val="18"/>
                <w:szCs w:val="18"/>
              </w:rPr>
              <w:t>单台</w:t>
            </w:r>
          </w:p>
        </w:tc>
        <w:tc>
          <w:tcPr>
            <w:tcW w:w="342" w:type="pct"/>
            <w:vAlign w:val="center"/>
          </w:tcPr>
          <w:p>
            <w:pPr>
              <w:keepNext w:val="0"/>
              <w:keepLines w:val="0"/>
              <w:suppressLineNumbers w:val="0"/>
              <w:spacing w:before="0" w:beforeAutospacing="0" w:after="0" w:afterAutospacing="0"/>
              <w:ind w:left="0" w:right="0"/>
              <w:jc w:val="center"/>
              <w:rPr>
                <w:rFonts w:hint="eastAsia"/>
                <w:b/>
                <w:bCs/>
                <w:kern w:val="2"/>
                <w:sz w:val="18"/>
                <w:szCs w:val="18"/>
              </w:rPr>
            </w:pPr>
            <w:r>
              <w:rPr>
                <w:rFonts w:hint="eastAsia"/>
                <w:b/>
                <w:bCs/>
                <w:kern w:val="2"/>
                <w:sz w:val="18"/>
                <w:szCs w:val="18"/>
              </w:rPr>
              <w:t>叠加</w:t>
            </w:r>
          </w:p>
        </w:tc>
        <w:tc>
          <w:tcPr>
            <w:tcW w:w="380" w:type="pct"/>
            <w:vMerge w:val="continue"/>
            <w:vAlign w:val="center"/>
          </w:tcPr>
          <w:p>
            <w:pPr>
              <w:keepNext w:val="0"/>
              <w:keepLines w:val="0"/>
              <w:suppressLineNumbers w:val="0"/>
              <w:spacing w:before="0" w:beforeAutospacing="0" w:after="0" w:afterAutospacing="0"/>
              <w:ind w:left="0" w:right="0"/>
              <w:jc w:val="center"/>
              <w:rPr>
                <w:rFonts w:hint="eastAsia"/>
                <w:b/>
                <w:bCs/>
                <w:kern w:val="2"/>
                <w:sz w:val="18"/>
                <w:szCs w:val="18"/>
              </w:rPr>
            </w:pPr>
          </w:p>
        </w:tc>
        <w:tc>
          <w:tcPr>
            <w:tcW w:w="410" w:type="pct"/>
            <w:vAlign w:val="center"/>
          </w:tcPr>
          <w:p>
            <w:pPr>
              <w:keepNext w:val="0"/>
              <w:keepLines w:val="0"/>
              <w:suppressLineNumbers w:val="0"/>
              <w:spacing w:before="0" w:beforeAutospacing="0" w:after="0" w:afterAutospacing="0"/>
              <w:ind w:left="0" w:right="0"/>
              <w:jc w:val="center"/>
              <w:rPr>
                <w:rFonts w:hint="eastAsia"/>
                <w:b/>
                <w:bCs/>
                <w:kern w:val="2"/>
                <w:sz w:val="18"/>
                <w:szCs w:val="18"/>
              </w:rPr>
            </w:pPr>
            <w:r>
              <w:rPr>
                <w:rFonts w:hint="eastAsia"/>
                <w:b/>
                <w:bCs/>
                <w:kern w:val="2"/>
                <w:sz w:val="18"/>
                <w:szCs w:val="18"/>
              </w:rPr>
              <w:t>X</w:t>
            </w:r>
          </w:p>
        </w:tc>
        <w:tc>
          <w:tcPr>
            <w:tcW w:w="410" w:type="pct"/>
            <w:vAlign w:val="center"/>
          </w:tcPr>
          <w:p>
            <w:pPr>
              <w:keepNext w:val="0"/>
              <w:keepLines w:val="0"/>
              <w:suppressLineNumbers w:val="0"/>
              <w:spacing w:before="0" w:beforeAutospacing="0" w:after="0" w:afterAutospacing="0"/>
              <w:ind w:left="0" w:right="0"/>
              <w:jc w:val="center"/>
              <w:rPr>
                <w:rFonts w:hint="eastAsia"/>
                <w:b/>
                <w:bCs/>
                <w:kern w:val="2"/>
                <w:sz w:val="18"/>
                <w:szCs w:val="18"/>
              </w:rPr>
            </w:pPr>
            <w:r>
              <w:rPr>
                <w:rFonts w:hint="eastAsia"/>
                <w:b/>
                <w:bCs/>
                <w:kern w:val="2"/>
                <w:sz w:val="18"/>
                <w:szCs w:val="18"/>
              </w:rPr>
              <w:t>Y</w:t>
            </w:r>
          </w:p>
        </w:tc>
        <w:tc>
          <w:tcPr>
            <w:tcW w:w="268" w:type="pct"/>
            <w:vAlign w:val="center"/>
          </w:tcPr>
          <w:p>
            <w:pPr>
              <w:keepNext w:val="0"/>
              <w:keepLines w:val="0"/>
              <w:suppressLineNumbers w:val="0"/>
              <w:spacing w:before="0" w:beforeAutospacing="0" w:after="0" w:afterAutospacing="0"/>
              <w:ind w:left="0" w:right="0"/>
              <w:jc w:val="center"/>
              <w:rPr>
                <w:rFonts w:hint="eastAsia"/>
                <w:b/>
                <w:bCs/>
                <w:kern w:val="2"/>
                <w:sz w:val="18"/>
                <w:szCs w:val="18"/>
              </w:rPr>
            </w:pPr>
            <w:r>
              <w:rPr>
                <w:rFonts w:hint="eastAsia"/>
                <w:b/>
                <w:bCs/>
                <w:kern w:val="2"/>
                <w:sz w:val="18"/>
                <w:szCs w:val="18"/>
              </w:rPr>
              <w:t>Z</w:t>
            </w:r>
          </w:p>
        </w:tc>
        <w:tc>
          <w:tcPr>
            <w:tcW w:w="320" w:type="pct"/>
            <w:vMerge w:val="continue"/>
            <w:vAlign w:val="center"/>
          </w:tcPr>
          <w:p>
            <w:pPr>
              <w:keepNext w:val="0"/>
              <w:keepLines w:val="0"/>
              <w:suppressLineNumbers w:val="0"/>
              <w:spacing w:before="0" w:beforeAutospacing="0" w:after="0" w:afterAutospacing="0"/>
              <w:ind w:left="0" w:right="0"/>
              <w:jc w:val="center"/>
              <w:rPr>
                <w:rFonts w:hint="eastAsia"/>
                <w:b/>
                <w:bCs/>
                <w:kern w:val="2"/>
                <w:sz w:val="18"/>
                <w:szCs w:val="18"/>
              </w:rPr>
            </w:pPr>
          </w:p>
        </w:tc>
        <w:tc>
          <w:tcPr>
            <w:tcW w:w="239" w:type="pct"/>
            <w:vMerge w:val="continue"/>
            <w:vAlign w:val="center"/>
          </w:tcPr>
          <w:p>
            <w:pPr>
              <w:keepNext w:val="0"/>
              <w:keepLines w:val="0"/>
              <w:suppressLineNumbers w:val="0"/>
              <w:spacing w:before="0" w:beforeAutospacing="0" w:after="0" w:afterAutospacing="0"/>
              <w:ind w:left="0" w:right="0"/>
              <w:jc w:val="center"/>
              <w:rPr>
                <w:rFonts w:hint="eastAsia"/>
                <w:b/>
                <w:bCs/>
                <w:kern w:val="2"/>
                <w:sz w:val="18"/>
                <w:szCs w:val="18"/>
              </w:rPr>
            </w:pPr>
          </w:p>
        </w:tc>
        <w:tc>
          <w:tcPr>
            <w:tcW w:w="239" w:type="pct"/>
            <w:vMerge w:val="continue"/>
            <w:vAlign w:val="center"/>
          </w:tcPr>
          <w:p>
            <w:pPr>
              <w:keepNext w:val="0"/>
              <w:keepLines w:val="0"/>
              <w:suppressLineNumbers w:val="0"/>
              <w:spacing w:before="0" w:beforeAutospacing="0" w:after="0" w:afterAutospacing="0"/>
              <w:ind w:left="0" w:right="0"/>
              <w:jc w:val="center"/>
              <w:rPr>
                <w:rFonts w:hint="eastAsia"/>
                <w:b/>
                <w:bCs/>
                <w:kern w:val="2"/>
                <w:sz w:val="18"/>
                <w:szCs w:val="18"/>
              </w:rPr>
            </w:pPr>
          </w:p>
        </w:tc>
        <w:tc>
          <w:tcPr>
            <w:tcW w:w="374" w:type="pct"/>
            <w:vAlign w:val="center"/>
          </w:tcPr>
          <w:p>
            <w:pPr>
              <w:keepNext w:val="0"/>
              <w:keepLines w:val="0"/>
              <w:suppressLineNumbers w:val="0"/>
              <w:spacing w:before="0" w:beforeAutospacing="0" w:after="0" w:afterAutospacing="0"/>
              <w:ind w:left="0" w:right="0"/>
              <w:jc w:val="center"/>
              <w:rPr>
                <w:rFonts w:hint="eastAsia"/>
                <w:b/>
                <w:bCs/>
                <w:kern w:val="2"/>
                <w:sz w:val="18"/>
                <w:szCs w:val="18"/>
              </w:rPr>
            </w:pPr>
            <w:r>
              <w:rPr>
                <w:rFonts w:hint="eastAsia"/>
                <w:b/>
                <w:bCs/>
                <w:kern w:val="2"/>
                <w:sz w:val="18"/>
                <w:szCs w:val="18"/>
              </w:rPr>
              <w:t>声压级</w:t>
            </w:r>
          </w:p>
        </w:tc>
        <w:tc>
          <w:tcPr>
            <w:tcW w:w="240" w:type="pct"/>
            <w:vAlign w:val="center"/>
          </w:tcPr>
          <w:p>
            <w:pPr>
              <w:keepNext w:val="0"/>
              <w:keepLines w:val="0"/>
              <w:suppressLineNumbers w:val="0"/>
              <w:spacing w:before="0" w:beforeAutospacing="0" w:after="0" w:afterAutospacing="0"/>
              <w:ind w:left="0" w:right="0"/>
              <w:jc w:val="center"/>
              <w:rPr>
                <w:rFonts w:hint="eastAsia"/>
                <w:b/>
                <w:bCs/>
                <w:kern w:val="2"/>
                <w:sz w:val="18"/>
                <w:szCs w:val="18"/>
              </w:rPr>
            </w:pPr>
            <w:r>
              <w:rPr>
                <w:rFonts w:hint="eastAsia"/>
                <w:b/>
                <w:bCs/>
                <w:kern w:val="2"/>
                <w:sz w:val="18"/>
                <w:szCs w:val="18"/>
              </w:rPr>
              <w:t>建筑物外距离</w:t>
            </w:r>
          </w:p>
        </w:tc>
        <w:tc>
          <w:tcPr>
            <w:tcW w:w="256" w:type="pct"/>
            <w:vMerge w:val="continue"/>
            <w:vAlign w:val="center"/>
          </w:tcPr>
          <w:p>
            <w:pPr>
              <w:keepNext w:val="0"/>
              <w:keepLines w:val="0"/>
              <w:suppressLineNumbers w:val="0"/>
              <w:spacing w:before="0" w:beforeAutospacing="0" w:after="0" w:afterAutospacing="0"/>
              <w:ind w:left="0" w:right="0"/>
              <w:jc w:val="center"/>
              <w:rPr>
                <w:rFonts w:hint="eastAsia"/>
                <w:kern w:val="2"/>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0"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asciiTheme="minorEastAsia" w:hAnsiTheme="minorEastAsia" w:eastAsiaTheme="minorEastAsia"/>
                <w:kern w:val="2"/>
                <w:sz w:val="18"/>
                <w:szCs w:val="18"/>
                <w:lang w:eastAsia="zh-CN"/>
              </w:rPr>
              <w:t>1</w:t>
            </w:r>
          </w:p>
        </w:tc>
        <w:tc>
          <w:tcPr>
            <w:tcW w:w="239" w:type="pct"/>
            <w:vAlign w:val="center"/>
          </w:tcPr>
          <w:p>
            <w:pPr>
              <w:keepNext w:val="0"/>
              <w:keepLines w:val="0"/>
              <w:suppressLineNumbers w:val="0"/>
              <w:spacing w:before="0" w:beforeAutospacing="0" w:after="0" w:afterAutospacing="0"/>
              <w:ind w:left="0" w:right="0"/>
              <w:jc w:val="center"/>
              <w:rPr>
                <w:rFonts w:hint="eastAsia" w:ascii="宋体" w:hAnsi="宋体" w:cs="宋体"/>
                <w:kern w:val="2"/>
                <w:sz w:val="18"/>
                <w:szCs w:val="18"/>
                <w:lang w:bidi="ar"/>
              </w:rPr>
            </w:pPr>
            <w:r>
              <w:rPr>
                <w:rFonts w:hint="eastAsia" w:ascii="宋体" w:hAnsi="宋体" w:cs="宋体"/>
                <w:kern w:val="2"/>
                <w:sz w:val="18"/>
                <w:szCs w:val="18"/>
                <w:lang w:bidi="ar"/>
              </w:rPr>
              <w:t>坑木房</w:t>
            </w:r>
          </w:p>
        </w:tc>
        <w:tc>
          <w:tcPr>
            <w:tcW w:w="547" w:type="pct"/>
            <w:vAlign w:val="center"/>
          </w:tcPr>
          <w:p>
            <w:pPr>
              <w:keepNext w:val="0"/>
              <w:keepLines w:val="0"/>
              <w:suppressLineNumbers w:val="0"/>
              <w:spacing w:before="0" w:beforeAutospacing="0" w:after="0" w:afterAutospacing="0"/>
              <w:ind w:left="0" w:right="0"/>
              <w:jc w:val="center"/>
              <w:rPr>
                <w:rFonts w:hint="eastAsia" w:ascii="宋体" w:hAnsi="宋体" w:cs="宋体"/>
                <w:kern w:val="2"/>
                <w:sz w:val="18"/>
                <w:szCs w:val="18"/>
                <w:lang w:bidi="ar"/>
              </w:rPr>
            </w:pPr>
            <w:r>
              <w:rPr>
                <w:rFonts w:hint="eastAsia" w:ascii="宋体" w:hAnsi="宋体" w:cs="宋体"/>
                <w:kern w:val="2"/>
                <w:sz w:val="18"/>
                <w:szCs w:val="18"/>
                <w:lang w:bidi="ar"/>
              </w:rPr>
              <w:t>圆锯机</w:t>
            </w:r>
          </w:p>
        </w:tc>
        <w:tc>
          <w:tcPr>
            <w:tcW w:w="216" w:type="pct"/>
            <w:vAlign w:val="center"/>
          </w:tcPr>
          <w:p>
            <w:pPr>
              <w:keepNext w:val="0"/>
              <w:keepLines w:val="0"/>
              <w:suppressLineNumbers w:val="0"/>
              <w:spacing w:before="0" w:beforeAutospacing="0" w:after="0" w:afterAutospacing="0"/>
              <w:ind w:left="0" w:right="0"/>
              <w:jc w:val="center"/>
              <w:rPr>
                <w:rFonts w:hint="eastAsia" w:ascii="宋体" w:hAnsi="宋体" w:cs="宋体"/>
                <w:kern w:val="2"/>
                <w:sz w:val="18"/>
                <w:szCs w:val="18"/>
                <w:lang w:bidi="ar"/>
              </w:rPr>
            </w:pPr>
            <w:r>
              <w:rPr>
                <w:rFonts w:hint="eastAsia" w:cs="宋体" w:asciiTheme="minorEastAsia" w:hAnsiTheme="minorEastAsia" w:eastAsiaTheme="minorEastAsia"/>
                <w:kern w:val="2"/>
                <w:sz w:val="18"/>
                <w:szCs w:val="18"/>
                <w:lang w:eastAsia="zh-CN" w:bidi="ar"/>
              </w:rPr>
              <w:t>1</w:t>
            </w:r>
            <w:r>
              <w:rPr>
                <w:rFonts w:hint="eastAsia" w:ascii="宋体" w:hAnsi="宋体" w:cs="宋体"/>
                <w:kern w:val="2"/>
                <w:sz w:val="18"/>
                <w:szCs w:val="18"/>
                <w:lang w:bidi="ar"/>
              </w:rPr>
              <w:t>台</w:t>
            </w:r>
          </w:p>
        </w:tc>
        <w:tc>
          <w:tcPr>
            <w:tcW w:w="280" w:type="pct"/>
            <w:vAlign w:val="center"/>
          </w:tcPr>
          <w:p>
            <w:pPr>
              <w:keepNext w:val="0"/>
              <w:keepLines w:val="0"/>
              <w:suppressLineNumbers w:val="0"/>
              <w:spacing w:before="0" w:beforeAutospacing="0" w:after="0" w:afterAutospacing="0"/>
              <w:ind w:left="0" w:right="0"/>
              <w:jc w:val="center"/>
              <w:rPr>
                <w:rFonts w:hint="eastAsia" w:ascii="宋体" w:hAnsi="宋体" w:cs="宋体"/>
                <w:kern w:val="2"/>
                <w:sz w:val="18"/>
                <w:szCs w:val="18"/>
                <w:lang w:bidi="ar"/>
              </w:rPr>
            </w:pPr>
            <w:r>
              <w:rPr>
                <w:rFonts w:hint="eastAsia" w:cs="宋体" w:asciiTheme="minorEastAsia" w:hAnsiTheme="minorEastAsia" w:eastAsiaTheme="minorEastAsia"/>
                <w:kern w:val="2"/>
                <w:sz w:val="18"/>
                <w:szCs w:val="18"/>
                <w:lang w:eastAsia="zh-CN" w:bidi="ar"/>
              </w:rPr>
              <w:t>100</w:t>
            </w:r>
          </w:p>
        </w:tc>
        <w:tc>
          <w:tcPr>
            <w:tcW w:w="342"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asciiTheme="minorEastAsia" w:hAnsiTheme="minorEastAsia" w:eastAsiaTheme="minorEastAsia"/>
                <w:kern w:val="2"/>
                <w:sz w:val="18"/>
                <w:szCs w:val="18"/>
                <w:lang w:eastAsia="zh-CN"/>
              </w:rPr>
              <w:t>100</w:t>
            </w:r>
          </w:p>
        </w:tc>
        <w:tc>
          <w:tcPr>
            <w:tcW w:w="380" w:type="pct"/>
            <w:vAlign w:val="center"/>
          </w:tcPr>
          <w:p>
            <w:pPr>
              <w:keepNext w:val="0"/>
              <w:keepLines w:val="0"/>
              <w:suppressLineNumbers w:val="0"/>
              <w:spacing w:before="0" w:beforeAutospacing="0" w:after="0" w:afterAutospacing="0"/>
              <w:ind w:left="0" w:right="0"/>
              <w:jc w:val="center"/>
              <w:rPr>
                <w:rFonts w:hint="eastAsia" w:cs="宋体" w:asciiTheme="minorEastAsia" w:hAnsiTheme="minorEastAsia" w:eastAsiaTheme="minorEastAsia"/>
                <w:kern w:val="2"/>
                <w:sz w:val="18"/>
                <w:szCs w:val="18"/>
                <w:lang w:eastAsia="zh-CN" w:bidi="ar"/>
              </w:rPr>
            </w:pPr>
            <w:r>
              <w:rPr>
                <w:rFonts w:hint="eastAsia" w:cs="宋体" w:asciiTheme="minorEastAsia" w:hAnsiTheme="minorEastAsia" w:eastAsiaTheme="minorEastAsia"/>
                <w:kern w:val="2"/>
                <w:sz w:val="18"/>
                <w:szCs w:val="18"/>
                <w:lang w:eastAsia="zh-CN" w:bidi="ar"/>
              </w:rPr>
              <w:t>设置隔声门窗，设备基础减振</w:t>
            </w:r>
          </w:p>
        </w:tc>
        <w:tc>
          <w:tcPr>
            <w:tcW w:w="410"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kern w:val="2"/>
                <w:sz w:val="18"/>
                <w:szCs w:val="18"/>
              </w:rPr>
              <w:t>78</w:t>
            </w:r>
          </w:p>
        </w:tc>
        <w:tc>
          <w:tcPr>
            <w:tcW w:w="410"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asciiTheme="minorEastAsia" w:hAnsiTheme="minorEastAsia" w:eastAsiaTheme="minorEastAsia"/>
                <w:kern w:val="2"/>
                <w:sz w:val="18"/>
                <w:szCs w:val="18"/>
                <w:lang w:eastAsia="zh-CN"/>
              </w:rPr>
              <w:t>369</w:t>
            </w:r>
          </w:p>
        </w:tc>
        <w:tc>
          <w:tcPr>
            <w:tcW w:w="268"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kern w:val="2"/>
                <w:sz w:val="18"/>
                <w:szCs w:val="18"/>
              </w:rPr>
              <w:t>1.</w:t>
            </w:r>
            <w:r>
              <w:rPr>
                <w:rFonts w:hint="eastAsia" w:asciiTheme="minorEastAsia" w:hAnsiTheme="minorEastAsia" w:eastAsiaTheme="minorEastAsia"/>
                <w:kern w:val="2"/>
                <w:sz w:val="18"/>
                <w:szCs w:val="18"/>
                <w:lang w:eastAsia="zh-CN"/>
              </w:rPr>
              <w:t>2</w:t>
            </w:r>
          </w:p>
        </w:tc>
        <w:tc>
          <w:tcPr>
            <w:tcW w:w="320"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kern w:val="2"/>
                <w:sz w:val="18"/>
                <w:szCs w:val="18"/>
              </w:rPr>
              <w:t>2</w:t>
            </w:r>
          </w:p>
        </w:tc>
        <w:tc>
          <w:tcPr>
            <w:tcW w:w="239"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kern w:val="2"/>
                <w:sz w:val="18"/>
                <w:szCs w:val="18"/>
              </w:rPr>
              <w:t>昼夜持续</w:t>
            </w:r>
          </w:p>
        </w:tc>
        <w:tc>
          <w:tcPr>
            <w:tcW w:w="239"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kern w:val="2"/>
                <w:sz w:val="18"/>
                <w:szCs w:val="18"/>
              </w:rPr>
              <w:t>25</w:t>
            </w:r>
          </w:p>
        </w:tc>
        <w:tc>
          <w:tcPr>
            <w:tcW w:w="374"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asciiTheme="minorEastAsia" w:hAnsiTheme="minorEastAsia" w:eastAsiaTheme="minorEastAsia"/>
                <w:kern w:val="2"/>
                <w:sz w:val="18"/>
                <w:szCs w:val="18"/>
                <w:lang w:eastAsia="zh-CN"/>
              </w:rPr>
              <w:t>75</w:t>
            </w:r>
          </w:p>
        </w:tc>
        <w:tc>
          <w:tcPr>
            <w:tcW w:w="240"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kern w:val="2"/>
                <w:sz w:val="18"/>
                <w:szCs w:val="18"/>
              </w:rPr>
              <w:t>1</w:t>
            </w:r>
          </w:p>
        </w:tc>
        <w:tc>
          <w:tcPr>
            <w:tcW w:w="256" w:type="pct"/>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kern w:val="2"/>
                <w:sz w:val="18"/>
                <w:szCs w:val="18"/>
                <w:lang w:eastAsia="zh-CN"/>
              </w:rPr>
            </w:pPr>
            <w:r>
              <w:rPr>
                <w:rFonts w:hint="eastAsia" w:asciiTheme="minorEastAsia" w:hAnsiTheme="minorEastAsia" w:eastAsiaTheme="minorEastAsia"/>
                <w:kern w:val="2"/>
                <w:sz w:val="18"/>
                <w:szCs w:val="18"/>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0" w:type="pct"/>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kern w:val="2"/>
                <w:sz w:val="18"/>
                <w:szCs w:val="18"/>
                <w:lang w:eastAsia="zh-CN"/>
              </w:rPr>
            </w:pPr>
            <w:r>
              <w:rPr>
                <w:rFonts w:hint="eastAsia" w:asciiTheme="minorEastAsia" w:hAnsiTheme="minorEastAsia" w:eastAsiaTheme="minorEastAsia"/>
                <w:kern w:val="2"/>
                <w:sz w:val="18"/>
                <w:szCs w:val="18"/>
                <w:lang w:eastAsia="zh-CN"/>
              </w:rPr>
              <w:t>2</w:t>
            </w:r>
          </w:p>
        </w:tc>
        <w:tc>
          <w:tcPr>
            <w:tcW w:w="239" w:type="pct"/>
            <w:vAlign w:val="center"/>
          </w:tcPr>
          <w:p>
            <w:pPr>
              <w:keepNext w:val="0"/>
              <w:keepLines w:val="0"/>
              <w:suppressLineNumbers w:val="0"/>
              <w:spacing w:before="0" w:beforeAutospacing="0" w:after="0" w:afterAutospacing="0"/>
              <w:ind w:left="0" w:right="0"/>
              <w:jc w:val="center"/>
              <w:rPr>
                <w:rFonts w:hint="eastAsia" w:ascii="宋体" w:hAnsi="宋体" w:cs="宋体"/>
                <w:kern w:val="2"/>
                <w:sz w:val="18"/>
                <w:szCs w:val="18"/>
                <w:lang w:bidi="ar"/>
              </w:rPr>
            </w:pPr>
            <w:r>
              <w:rPr>
                <w:rFonts w:hint="eastAsia" w:ascii="宋体" w:hAnsi="宋体" w:cs="宋体"/>
                <w:kern w:val="2"/>
                <w:sz w:val="18"/>
                <w:szCs w:val="18"/>
                <w:lang w:bidi="ar"/>
              </w:rPr>
              <w:t>机修车间</w:t>
            </w:r>
          </w:p>
        </w:tc>
        <w:tc>
          <w:tcPr>
            <w:tcW w:w="547" w:type="pct"/>
            <w:vAlign w:val="center"/>
          </w:tcPr>
          <w:p>
            <w:pPr>
              <w:keepNext w:val="0"/>
              <w:keepLines w:val="0"/>
              <w:suppressLineNumbers w:val="0"/>
              <w:spacing w:before="0" w:beforeAutospacing="0" w:after="0" w:afterAutospacing="0"/>
              <w:ind w:left="0" w:right="0"/>
              <w:jc w:val="center"/>
              <w:rPr>
                <w:rFonts w:hint="eastAsia" w:ascii="宋体" w:hAnsi="宋体" w:cs="宋体" w:eastAsiaTheme="minorEastAsia"/>
                <w:kern w:val="2"/>
                <w:sz w:val="18"/>
                <w:szCs w:val="18"/>
                <w:lang w:eastAsia="zh-CN" w:bidi="ar"/>
              </w:rPr>
            </w:pPr>
            <w:r>
              <w:rPr>
                <w:rFonts w:hint="eastAsia" w:ascii="宋体" w:hAnsi="宋体" w:cs="宋体" w:eastAsiaTheme="minorEastAsia"/>
                <w:kern w:val="2"/>
                <w:sz w:val="18"/>
                <w:szCs w:val="18"/>
                <w:lang w:eastAsia="zh-CN" w:bidi="ar"/>
              </w:rPr>
              <w:t>维修设备</w:t>
            </w:r>
          </w:p>
        </w:tc>
        <w:tc>
          <w:tcPr>
            <w:tcW w:w="216" w:type="pct"/>
            <w:vAlign w:val="center"/>
          </w:tcPr>
          <w:p>
            <w:pPr>
              <w:keepNext w:val="0"/>
              <w:keepLines w:val="0"/>
              <w:suppressLineNumbers w:val="0"/>
              <w:spacing w:before="0" w:beforeAutospacing="0" w:after="0" w:afterAutospacing="0"/>
              <w:ind w:left="0" w:right="0"/>
              <w:jc w:val="center"/>
              <w:rPr>
                <w:rFonts w:hint="eastAsia" w:cs="宋体" w:asciiTheme="minorEastAsia" w:hAnsiTheme="minorEastAsia" w:eastAsiaTheme="minorEastAsia"/>
                <w:kern w:val="2"/>
                <w:sz w:val="18"/>
                <w:szCs w:val="18"/>
                <w:lang w:eastAsia="zh-CN" w:bidi="ar"/>
              </w:rPr>
            </w:pPr>
            <w:r>
              <w:rPr>
                <w:rFonts w:hint="eastAsia" w:cs="宋体" w:asciiTheme="minorEastAsia" w:hAnsiTheme="minorEastAsia" w:eastAsiaTheme="minorEastAsia"/>
                <w:kern w:val="2"/>
                <w:sz w:val="18"/>
                <w:szCs w:val="18"/>
                <w:lang w:eastAsia="zh-CN" w:bidi="ar"/>
              </w:rPr>
              <w:t>1</w:t>
            </w:r>
            <w:r>
              <w:rPr>
                <w:rFonts w:hint="eastAsia" w:ascii="宋体" w:hAnsi="宋体" w:cs="宋体"/>
                <w:kern w:val="2"/>
                <w:sz w:val="18"/>
                <w:szCs w:val="18"/>
                <w:lang w:bidi="ar"/>
              </w:rPr>
              <w:t>台</w:t>
            </w:r>
          </w:p>
        </w:tc>
        <w:tc>
          <w:tcPr>
            <w:tcW w:w="280" w:type="pct"/>
            <w:vAlign w:val="center"/>
          </w:tcPr>
          <w:p>
            <w:pPr>
              <w:keepNext w:val="0"/>
              <w:keepLines w:val="0"/>
              <w:suppressLineNumbers w:val="0"/>
              <w:spacing w:before="0" w:beforeAutospacing="0" w:after="0" w:afterAutospacing="0"/>
              <w:ind w:left="0" w:right="0"/>
              <w:jc w:val="center"/>
              <w:rPr>
                <w:rFonts w:hint="eastAsia" w:cs="宋体" w:asciiTheme="minorEastAsia" w:hAnsiTheme="minorEastAsia" w:eastAsiaTheme="minorEastAsia"/>
                <w:kern w:val="2"/>
                <w:sz w:val="18"/>
                <w:szCs w:val="18"/>
                <w:lang w:eastAsia="zh-CN" w:bidi="ar"/>
              </w:rPr>
            </w:pPr>
            <w:r>
              <w:rPr>
                <w:rFonts w:hint="eastAsia" w:cs="宋体" w:asciiTheme="minorEastAsia" w:hAnsiTheme="minorEastAsia" w:eastAsiaTheme="minorEastAsia"/>
                <w:kern w:val="2"/>
                <w:sz w:val="18"/>
                <w:szCs w:val="18"/>
                <w:lang w:eastAsia="zh-CN" w:bidi="ar"/>
              </w:rPr>
              <w:t>95</w:t>
            </w:r>
          </w:p>
        </w:tc>
        <w:tc>
          <w:tcPr>
            <w:tcW w:w="342" w:type="pct"/>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kern w:val="2"/>
                <w:sz w:val="18"/>
                <w:szCs w:val="18"/>
                <w:lang w:eastAsia="zh-CN"/>
              </w:rPr>
            </w:pPr>
            <w:r>
              <w:rPr>
                <w:rFonts w:hint="eastAsia" w:asciiTheme="minorEastAsia" w:hAnsiTheme="minorEastAsia" w:eastAsiaTheme="minorEastAsia"/>
                <w:kern w:val="2"/>
                <w:sz w:val="18"/>
                <w:szCs w:val="18"/>
                <w:lang w:eastAsia="zh-CN"/>
              </w:rPr>
              <w:t>95</w:t>
            </w:r>
          </w:p>
        </w:tc>
        <w:tc>
          <w:tcPr>
            <w:tcW w:w="380" w:type="pct"/>
            <w:vAlign w:val="center"/>
          </w:tcPr>
          <w:p>
            <w:pPr>
              <w:keepNext w:val="0"/>
              <w:keepLines w:val="0"/>
              <w:suppressLineNumbers w:val="0"/>
              <w:spacing w:before="0" w:beforeAutospacing="0" w:after="0" w:afterAutospacing="0"/>
              <w:ind w:left="0" w:right="0"/>
              <w:jc w:val="center"/>
              <w:rPr>
                <w:rFonts w:hint="eastAsia" w:cs="宋体" w:asciiTheme="minorEastAsia" w:hAnsiTheme="minorEastAsia" w:eastAsiaTheme="minorEastAsia"/>
                <w:kern w:val="2"/>
                <w:sz w:val="18"/>
                <w:szCs w:val="18"/>
                <w:lang w:eastAsia="zh-CN" w:bidi="ar"/>
              </w:rPr>
            </w:pPr>
            <w:r>
              <w:rPr>
                <w:rFonts w:hint="eastAsia" w:cs="宋体" w:asciiTheme="minorEastAsia" w:hAnsiTheme="minorEastAsia" w:eastAsiaTheme="minorEastAsia"/>
                <w:kern w:val="2"/>
                <w:sz w:val="18"/>
                <w:szCs w:val="18"/>
                <w:lang w:eastAsia="zh-CN" w:bidi="ar"/>
              </w:rPr>
              <w:t>设置隔声门窗，设备基础减振</w:t>
            </w:r>
          </w:p>
        </w:tc>
        <w:tc>
          <w:tcPr>
            <w:tcW w:w="410"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asciiTheme="minorEastAsia" w:hAnsiTheme="minorEastAsia" w:eastAsiaTheme="minorEastAsia"/>
                <w:kern w:val="2"/>
                <w:sz w:val="18"/>
                <w:szCs w:val="18"/>
                <w:lang w:eastAsia="zh-CN"/>
              </w:rPr>
              <w:t>81</w:t>
            </w:r>
          </w:p>
        </w:tc>
        <w:tc>
          <w:tcPr>
            <w:tcW w:w="410"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asciiTheme="minorEastAsia" w:hAnsiTheme="minorEastAsia" w:eastAsiaTheme="minorEastAsia"/>
                <w:kern w:val="2"/>
                <w:sz w:val="18"/>
                <w:szCs w:val="18"/>
                <w:lang w:eastAsia="zh-CN"/>
              </w:rPr>
              <w:t>281</w:t>
            </w:r>
          </w:p>
        </w:tc>
        <w:tc>
          <w:tcPr>
            <w:tcW w:w="268"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asciiTheme="minorEastAsia" w:hAnsiTheme="minorEastAsia" w:eastAsiaTheme="minorEastAsia"/>
                <w:kern w:val="2"/>
                <w:sz w:val="18"/>
                <w:szCs w:val="18"/>
                <w:lang w:eastAsia="zh-CN"/>
              </w:rPr>
              <w:t>1.2</w:t>
            </w:r>
          </w:p>
        </w:tc>
        <w:tc>
          <w:tcPr>
            <w:tcW w:w="320" w:type="pct"/>
            <w:vAlign w:val="center"/>
          </w:tcPr>
          <w:p>
            <w:pPr>
              <w:keepNext w:val="0"/>
              <w:keepLines w:val="0"/>
              <w:suppressLineNumbers w:val="0"/>
              <w:spacing w:before="0" w:beforeAutospacing="0" w:after="0" w:afterAutospacing="0"/>
              <w:ind w:left="0" w:right="0"/>
              <w:jc w:val="center"/>
              <w:rPr>
                <w:rFonts w:hint="eastAsia"/>
                <w:kern w:val="2"/>
                <w:sz w:val="18"/>
                <w:szCs w:val="18"/>
              </w:rPr>
            </w:pPr>
          </w:p>
        </w:tc>
        <w:tc>
          <w:tcPr>
            <w:tcW w:w="239"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asciiTheme="minorEastAsia" w:hAnsiTheme="minorEastAsia" w:eastAsiaTheme="minorEastAsia"/>
                <w:kern w:val="2"/>
                <w:sz w:val="18"/>
                <w:szCs w:val="18"/>
              </w:rPr>
              <w:t>昼间</w:t>
            </w:r>
          </w:p>
        </w:tc>
        <w:tc>
          <w:tcPr>
            <w:tcW w:w="239"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kern w:val="2"/>
                <w:sz w:val="18"/>
                <w:szCs w:val="18"/>
              </w:rPr>
              <w:t>25</w:t>
            </w:r>
          </w:p>
        </w:tc>
        <w:tc>
          <w:tcPr>
            <w:tcW w:w="374" w:type="pct"/>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kern w:val="2"/>
                <w:sz w:val="18"/>
                <w:szCs w:val="18"/>
                <w:lang w:eastAsia="zh-CN"/>
              </w:rPr>
            </w:pPr>
            <w:r>
              <w:rPr>
                <w:rFonts w:hint="eastAsia" w:asciiTheme="minorEastAsia" w:hAnsiTheme="minorEastAsia" w:eastAsiaTheme="minorEastAsia"/>
                <w:kern w:val="2"/>
                <w:sz w:val="18"/>
                <w:szCs w:val="18"/>
                <w:lang w:eastAsia="zh-CN"/>
              </w:rPr>
              <w:t>70</w:t>
            </w:r>
          </w:p>
        </w:tc>
        <w:tc>
          <w:tcPr>
            <w:tcW w:w="240"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asciiTheme="minorEastAsia" w:hAnsiTheme="minorEastAsia" w:eastAsiaTheme="minorEastAsia"/>
                <w:kern w:val="2"/>
                <w:sz w:val="18"/>
                <w:szCs w:val="18"/>
                <w:lang w:eastAsia="zh-CN"/>
              </w:rPr>
              <w:t>1</w:t>
            </w:r>
          </w:p>
        </w:tc>
        <w:tc>
          <w:tcPr>
            <w:tcW w:w="256" w:type="pct"/>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kern w:val="2"/>
                <w:sz w:val="18"/>
                <w:szCs w:val="18"/>
                <w:lang w:eastAsia="zh-CN"/>
              </w:rPr>
            </w:pPr>
            <w:r>
              <w:rPr>
                <w:rFonts w:hint="eastAsia" w:asciiTheme="minorEastAsia" w:hAnsiTheme="minorEastAsia" w:eastAsiaTheme="minorEastAsia"/>
                <w:kern w:val="2"/>
                <w:sz w:val="18"/>
                <w:szCs w:val="18"/>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0" w:type="pct"/>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kern w:val="2"/>
                <w:sz w:val="18"/>
                <w:szCs w:val="18"/>
                <w:lang w:eastAsia="zh-CN"/>
              </w:rPr>
            </w:pPr>
            <w:r>
              <w:rPr>
                <w:rFonts w:hint="eastAsia" w:asciiTheme="minorEastAsia" w:hAnsiTheme="minorEastAsia" w:eastAsiaTheme="minorEastAsia"/>
                <w:kern w:val="2"/>
                <w:sz w:val="18"/>
                <w:szCs w:val="18"/>
                <w:lang w:eastAsia="zh-CN"/>
              </w:rPr>
              <w:t>3</w:t>
            </w:r>
          </w:p>
        </w:tc>
        <w:tc>
          <w:tcPr>
            <w:tcW w:w="239" w:type="pct"/>
            <w:vAlign w:val="center"/>
          </w:tcPr>
          <w:p>
            <w:pPr>
              <w:keepNext w:val="0"/>
              <w:keepLines w:val="0"/>
              <w:suppressLineNumbers w:val="0"/>
              <w:spacing w:before="0" w:beforeAutospacing="0" w:after="0" w:afterAutospacing="0"/>
              <w:ind w:left="0" w:right="0"/>
              <w:jc w:val="center"/>
              <w:rPr>
                <w:rFonts w:hint="eastAsia" w:ascii="宋体" w:hAnsi="宋体" w:cs="宋体"/>
                <w:kern w:val="2"/>
                <w:sz w:val="18"/>
                <w:szCs w:val="18"/>
                <w:lang w:bidi="ar"/>
              </w:rPr>
            </w:pPr>
            <w:r>
              <w:rPr>
                <w:rFonts w:hint="eastAsia" w:ascii="宋体" w:hAnsi="宋体" w:cs="宋体"/>
                <w:kern w:val="2"/>
                <w:sz w:val="18"/>
                <w:szCs w:val="18"/>
                <w:lang w:bidi="ar"/>
              </w:rPr>
              <w:t>空压机房</w:t>
            </w:r>
          </w:p>
        </w:tc>
        <w:tc>
          <w:tcPr>
            <w:tcW w:w="547" w:type="pct"/>
            <w:vAlign w:val="center"/>
          </w:tcPr>
          <w:p>
            <w:pPr>
              <w:keepNext w:val="0"/>
              <w:keepLines w:val="0"/>
              <w:suppressLineNumbers w:val="0"/>
              <w:spacing w:before="0" w:beforeAutospacing="0" w:after="0" w:afterAutospacing="0"/>
              <w:ind w:left="0" w:right="0"/>
              <w:jc w:val="center"/>
              <w:rPr>
                <w:rFonts w:hint="eastAsia" w:ascii="宋体" w:hAnsi="宋体" w:cs="宋体"/>
                <w:kern w:val="2"/>
                <w:sz w:val="18"/>
                <w:szCs w:val="18"/>
                <w:lang w:bidi="ar"/>
              </w:rPr>
            </w:pPr>
            <w:r>
              <w:rPr>
                <w:rFonts w:hint="eastAsia" w:cs="宋体" w:asciiTheme="minorEastAsia" w:hAnsiTheme="minorEastAsia" w:eastAsiaTheme="minorEastAsia"/>
                <w:kern w:val="2"/>
                <w:sz w:val="18"/>
                <w:szCs w:val="18"/>
                <w:lang w:bidi="ar"/>
              </w:rPr>
              <w:t>空压机</w:t>
            </w:r>
          </w:p>
        </w:tc>
        <w:tc>
          <w:tcPr>
            <w:tcW w:w="216" w:type="pct"/>
            <w:vAlign w:val="center"/>
          </w:tcPr>
          <w:p>
            <w:pPr>
              <w:keepNext w:val="0"/>
              <w:keepLines w:val="0"/>
              <w:suppressLineNumbers w:val="0"/>
              <w:spacing w:before="0" w:beforeAutospacing="0" w:after="0" w:afterAutospacing="0"/>
              <w:ind w:left="0" w:right="0"/>
              <w:jc w:val="center"/>
              <w:rPr>
                <w:rFonts w:hint="eastAsia" w:cs="宋体" w:asciiTheme="minorEastAsia" w:hAnsiTheme="minorEastAsia" w:eastAsiaTheme="minorEastAsia"/>
                <w:kern w:val="2"/>
                <w:sz w:val="18"/>
                <w:szCs w:val="18"/>
                <w:lang w:eastAsia="zh-CN" w:bidi="ar"/>
              </w:rPr>
            </w:pPr>
            <w:r>
              <w:rPr>
                <w:rFonts w:hint="eastAsia" w:cs="宋体" w:asciiTheme="minorEastAsia" w:hAnsiTheme="minorEastAsia" w:eastAsiaTheme="minorEastAsia"/>
                <w:kern w:val="2"/>
                <w:sz w:val="18"/>
                <w:szCs w:val="18"/>
                <w:lang w:eastAsia="zh-CN" w:bidi="ar"/>
              </w:rPr>
              <w:t>1</w:t>
            </w:r>
            <w:r>
              <w:rPr>
                <w:rFonts w:hint="eastAsia" w:ascii="宋体" w:hAnsi="宋体" w:cs="宋体"/>
                <w:kern w:val="2"/>
                <w:sz w:val="18"/>
                <w:szCs w:val="18"/>
                <w:lang w:bidi="ar"/>
              </w:rPr>
              <w:t>台</w:t>
            </w:r>
          </w:p>
        </w:tc>
        <w:tc>
          <w:tcPr>
            <w:tcW w:w="280" w:type="pct"/>
            <w:vAlign w:val="center"/>
          </w:tcPr>
          <w:p>
            <w:pPr>
              <w:keepNext w:val="0"/>
              <w:keepLines w:val="0"/>
              <w:suppressLineNumbers w:val="0"/>
              <w:spacing w:before="0" w:beforeAutospacing="0" w:after="0" w:afterAutospacing="0"/>
              <w:ind w:left="0" w:right="0"/>
              <w:jc w:val="center"/>
              <w:rPr>
                <w:rFonts w:hint="eastAsia" w:cs="宋体" w:asciiTheme="minorEastAsia" w:hAnsiTheme="minorEastAsia" w:eastAsiaTheme="minorEastAsia"/>
                <w:kern w:val="2"/>
                <w:sz w:val="18"/>
                <w:szCs w:val="18"/>
                <w:lang w:eastAsia="zh-CN" w:bidi="ar"/>
              </w:rPr>
            </w:pPr>
            <w:r>
              <w:rPr>
                <w:rFonts w:hint="eastAsia" w:cs="宋体" w:asciiTheme="minorEastAsia" w:hAnsiTheme="minorEastAsia" w:eastAsiaTheme="minorEastAsia"/>
                <w:kern w:val="2"/>
                <w:sz w:val="18"/>
                <w:szCs w:val="18"/>
                <w:lang w:eastAsia="zh-CN" w:bidi="ar"/>
              </w:rPr>
              <w:t>90</w:t>
            </w:r>
          </w:p>
        </w:tc>
        <w:tc>
          <w:tcPr>
            <w:tcW w:w="342" w:type="pct"/>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kern w:val="2"/>
                <w:sz w:val="18"/>
                <w:szCs w:val="18"/>
                <w:lang w:eastAsia="zh-CN"/>
              </w:rPr>
            </w:pPr>
            <w:r>
              <w:rPr>
                <w:rFonts w:hint="eastAsia" w:asciiTheme="minorEastAsia" w:hAnsiTheme="minorEastAsia" w:eastAsiaTheme="minorEastAsia"/>
                <w:kern w:val="2"/>
                <w:sz w:val="18"/>
                <w:szCs w:val="18"/>
                <w:lang w:eastAsia="zh-CN"/>
              </w:rPr>
              <w:t>90</w:t>
            </w:r>
          </w:p>
        </w:tc>
        <w:tc>
          <w:tcPr>
            <w:tcW w:w="380" w:type="pct"/>
            <w:vAlign w:val="center"/>
          </w:tcPr>
          <w:p>
            <w:pPr>
              <w:keepNext w:val="0"/>
              <w:keepLines w:val="0"/>
              <w:suppressLineNumbers w:val="0"/>
              <w:spacing w:before="0" w:beforeAutospacing="0" w:after="0" w:afterAutospacing="0"/>
              <w:ind w:left="0" w:right="0"/>
              <w:jc w:val="center"/>
              <w:rPr>
                <w:rFonts w:hint="eastAsia" w:cs="宋体" w:asciiTheme="minorEastAsia" w:hAnsiTheme="minorEastAsia" w:eastAsiaTheme="minorEastAsia"/>
                <w:kern w:val="2"/>
                <w:sz w:val="18"/>
                <w:szCs w:val="18"/>
                <w:lang w:eastAsia="zh-CN" w:bidi="ar"/>
              </w:rPr>
            </w:pPr>
            <w:r>
              <w:rPr>
                <w:rFonts w:hint="eastAsia" w:cs="宋体" w:asciiTheme="minorEastAsia" w:hAnsiTheme="minorEastAsia" w:eastAsiaTheme="minorEastAsia"/>
                <w:kern w:val="2"/>
                <w:sz w:val="18"/>
                <w:szCs w:val="18"/>
                <w:lang w:eastAsia="zh-CN" w:bidi="ar"/>
              </w:rPr>
              <w:t>隔振机座、进排风口消声器、隔声门窗、建筑物隔声</w:t>
            </w:r>
          </w:p>
        </w:tc>
        <w:tc>
          <w:tcPr>
            <w:tcW w:w="410"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asciiTheme="minorEastAsia" w:hAnsiTheme="minorEastAsia" w:eastAsiaTheme="minorEastAsia"/>
                <w:kern w:val="2"/>
                <w:sz w:val="18"/>
                <w:szCs w:val="18"/>
                <w:lang w:eastAsia="zh-CN"/>
              </w:rPr>
              <w:t>180</w:t>
            </w:r>
          </w:p>
        </w:tc>
        <w:tc>
          <w:tcPr>
            <w:tcW w:w="410"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asciiTheme="minorEastAsia" w:hAnsiTheme="minorEastAsia" w:eastAsiaTheme="minorEastAsia"/>
                <w:kern w:val="2"/>
                <w:sz w:val="18"/>
                <w:szCs w:val="18"/>
                <w:lang w:eastAsia="zh-CN"/>
              </w:rPr>
              <w:t>-6</w:t>
            </w:r>
          </w:p>
        </w:tc>
        <w:tc>
          <w:tcPr>
            <w:tcW w:w="268"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asciiTheme="minorEastAsia" w:hAnsiTheme="minorEastAsia" w:eastAsiaTheme="minorEastAsia"/>
                <w:kern w:val="2"/>
                <w:sz w:val="18"/>
                <w:szCs w:val="18"/>
                <w:lang w:eastAsia="zh-CN"/>
              </w:rPr>
              <w:t>1.0</w:t>
            </w:r>
          </w:p>
        </w:tc>
        <w:tc>
          <w:tcPr>
            <w:tcW w:w="320" w:type="pct"/>
            <w:vAlign w:val="center"/>
          </w:tcPr>
          <w:p>
            <w:pPr>
              <w:keepNext w:val="0"/>
              <w:keepLines w:val="0"/>
              <w:suppressLineNumbers w:val="0"/>
              <w:spacing w:before="0" w:beforeAutospacing="0" w:after="0" w:afterAutospacing="0"/>
              <w:ind w:left="0" w:right="0"/>
              <w:jc w:val="center"/>
              <w:rPr>
                <w:rFonts w:hint="eastAsia"/>
                <w:kern w:val="2"/>
                <w:sz w:val="18"/>
                <w:szCs w:val="18"/>
              </w:rPr>
            </w:pPr>
          </w:p>
        </w:tc>
        <w:tc>
          <w:tcPr>
            <w:tcW w:w="239"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asciiTheme="minorEastAsia" w:hAnsiTheme="minorEastAsia" w:eastAsiaTheme="minorEastAsia"/>
                <w:kern w:val="2"/>
                <w:sz w:val="18"/>
                <w:szCs w:val="18"/>
              </w:rPr>
              <w:t>昼间</w:t>
            </w:r>
            <w:r>
              <w:rPr>
                <w:rFonts w:hint="eastAsia"/>
                <w:kern w:val="2"/>
                <w:sz w:val="18"/>
                <w:szCs w:val="18"/>
              </w:rPr>
              <w:t>持续</w:t>
            </w:r>
          </w:p>
        </w:tc>
        <w:tc>
          <w:tcPr>
            <w:tcW w:w="239"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kern w:val="2"/>
                <w:sz w:val="18"/>
                <w:szCs w:val="18"/>
              </w:rPr>
              <w:t>25</w:t>
            </w:r>
          </w:p>
        </w:tc>
        <w:tc>
          <w:tcPr>
            <w:tcW w:w="374" w:type="pct"/>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kern w:val="2"/>
                <w:sz w:val="18"/>
                <w:szCs w:val="18"/>
                <w:lang w:eastAsia="zh-CN"/>
              </w:rPr>
            </w:pPr>
            <w:r>
              <w:rPr>
                <w:rFonts w:hint="eastAsia" w:asciiTheme="minorEastAsia" w:hAnsiTheme="minorEastAsia" w:eastAsiaTheme="minorEastAsia"/>
                <w:kern w:val="2"/>
                <w:sz w:val="18"/>
                <w:szCs w:val="18"/>
                <w:lang w:eastAsia="zh-CN"/>
              </w:rPr>
              <w:t>65</w:t>
            </w:r>
          </w:p>
        </w:tc>
        <w:tc>
          <w:tcPr>
            <w:tcW w:w="240"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asciiTheme="minorEastAsia" w:hAnsiTheme="minorEastAsia" w:eastAsiaTheme="minorEastAsia"/>
                <w:kern w:val="2"/>
                <w:sz w:val="18"/>
                <w:szCs w:val="18"/>
                <w:lang w:eastAsia="zh-CN"/>
              </w:rPr>
              <w:t>1</w:t>
            </w:r>
          </w:p>
        </w:tc>
        <w:tc>
          <w:tcPr>
            <w:tcW w:w="256" w:type="pct"/>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kern w:val="2"/>
                <w:sz w:val="18"/>
                <w:szCs w:val="18"/>
                <w:lang w:eastAsia="zh-CN"/>
              </w:rPr>
            </w:pPr>
            <w:r>
              <w:rPr>
                <w:rFonts w:hint="eastAsia" w:asciiTheme="minorEastAsia" w:hAnsiTheme="minorEastAsia" w:eastAsiaTheme="minorEastAsia"/>
                <w:kern w:val="2"/>
                <w:sz w:val="18"/>
                <w:szCs w:val="18"/>
                <w:lang w:eastAsia="zh-CN"/>
              </w:rPr>
              <w:t>/</w:t>
            </w:r>
          </w:p>
        </w:tc>
      </w:tr>
    </w:tbl>
    <w:p>
      <w:pPr>
        <w:jc w:val="center"/>
        <w:rPr>
          <w:rFonts w:hAnsi="Times New Roman" w:eastAsia="宋体"/>
          <w:b/>
          <w:bCs/>
          <w:sz w:val="18"/>
          <w:szCs w:val="18"/>
          <w:lang w:eastAsia="zh-CN"/>
        </w:rPr>
      </w:pPr>
      <w:r>
        <w:rPr>
          <w:rFonts w:hAnsi="Times New Roman" w:eastAsia="宋体"/>
          <w:b/>
          <w:bCs/>
          <w:sz w:val="18"/>
          <w:szCs w:val="18"/>
          <w:lang w:eastAsia="zh-CN"/>
        </w:rPr>
        <w:t>表8.2-</w:t>
      </w:r>
      <w:r>
        <w:rPr>
          <w:rFonts w:hint="eastAsia" w:hAnsi="Times New Roman" w:eastAsia="宋体"/>
          <w:b/>
          <w:bCs/>
          <w:sz w:val="18"/>
          <w:szCs w:val="18"/>
          <w:lang w:eastAsia="zh-CN"/>
        </w:rPr>
        <w:t xml:space="preserve">3 </w:t>
      </w:r>
      <w:r>
        <w:rPr>
          <w:rFonts w:hAnsi="Times New Roman" w:eastAsia="宋体"/>
          <w:b/>
          <w:bCs/>
          <w:sz w:val="18"/>
          <w:szCs w:val="18"/>
          <w:lang w:eastAsia="zh-CN"/>
        </w:rPr>
        <w:t xml:space="preserve"> +572m回风平硐</w:t>
      </w:r>
      <w:r>
        <w:rPr>
          <w:rFonts w:hint="eastAsia" w:hAnsi="Times New Roman" w:eastAsia="宋体"/>
          <w:b/>
          <w:bCs/>
          <w:sz w:val="18"/>
          <w:szCs w:val="18"/>
          <w:lang w:eastAsia="zh-CN"/>
        </w:rPr>
        <w:t>、</w:t>
      </w:r>
      <w:r>
        <w:rPr>
          <w:rFonts w:hAnsi="Times New Roman" w:eastAsia="宋体"/>
          <w:b/>
          <w:bCs/>
          <w:sz w:val="18"/>
          <w:szCs w:val="18"/>
          <w:lang w:eastAsia="zh-CN"/>
        </w:rPr>
        <w:t>+548m回风平硐</w:t>
      </w:r>
      <w:r>
        <w:rPr>
          <w:rFonts w:hint="eastAsia" w:hAnsi="Times New Roman" w:eastAsia="宋体"/>
          <w:b/>
          <w:bCs/>
          <w:sz w:val="18"/>
          <w:szCs w:val="18"/>
          <w:lang w:eastAsia="zh-CN"/>
        </w:rPr>
        <w:t>工业</w:t>
      </w:r>
      <w:r>
        <w:rPr>
          <w:rFonts w:hAnsi="Times New Roman" w:eastAsia="宋体"/>
          <w:b/>
          <w:bCs/>
          <w:sz w:val="18"/>
          <w:szCs w:val="18"/>
          <w:lang w:eastAsia="zh-CN"/>
        </w:rPr>
        <w:t>场地室外噪声源强及治理措施一览表</w:t>
      </w:r>
      <w:r>
        <w:rPr>
          <w:rFonts w:hint="eastAsia" w:hAnsi="Times New Roman" w:eastAsia="宋体"/>
          <w:b/>
          <w:bCs/>
          <w:sz w:val="18"/>
          <w:szCs w:val="18"/>
          <w:lang w:eastAsia="zh-CN"/>
        </w:rPr>
        <w:t xml:space="preserve"> </w:t>
      </w:r>
      <w:r>
        <w:rPr>
          <w:rFonts w:hAnsi="Times New Roman" w:eastAsia="宋体"/>
          <w:b/>
          <w:bCs/>
          <w:sz w:val="18"/>
          <w:szCs w:val="18"/>
          <w:lang w:eastAsia="zh-CN"/>
        </w:rPr>
        <w:t>单位：dB（A）</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8"/>
        <w:gridCol w:w="1517"/>
        <w:gridCol w:w="1122"/>
        <w:gridCol w:w="447"/>
        <w:gridCol w:w="671"/>
        <w:gridCol w:w="581"/>
        <w:gridCol w:w="583"/>
        <w:gridCol w:w="436"/>
        <w:gridCol w:w="438"/>
        <w:gridCol w:w="1454"/>
        <w:gridCol w:w="467"/>
        <w:gridCol w:w="587"/>
        <w:gridCol w:w="5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0" w:type="pct"/>
            <w:vMerge w:val="restart"/>
            <w:vAlign w:val="center"/>
          </w:tcPr>
          <w:p>
            <w:pPr>
              <w:keepNext w:val="0"/>
              <w:keepLines w:val="0"/>
              <w:suppressLineNumbers w:val="0"/>
              <w:spacing w:before="0" w:beforeAutospacing="0" w:after="0" w:afterAutospacing="0"/>
              <w:ind w:left="0" w:right="0"/>
              <w:jc w:val="center"/>
              <w:rPr>
                <w:rFonts w:hint="eastAsia"/>
                <w:b/>
                <w:bCs/>
                <w:kern w:val="2"/>
                <w:sz w:val="18"/>
                <w:szCs w:val="18"/>
              </w:rPr>
            </w:pPr>
            <w:r>
              <w:rPr>
                <w:rFonts w:hint="eastAsia"/>
                <w:b/>
                <w:bCs/>
                <w:kern w:val="2"/>
                <w:sz w:val="18"/>
                <w:szCs w:val="18"/>
              </w:rPr>
              <w:t>序号</w:t>
            </w:r>
          </w:p>
        </w:tc>
        <w:tc>
          <w:tcPr>
            <w:tcW w:w="812" w:type="pct"/>
            <w:vMerge w:val="restart"/>
            <w:vAlign w:val="center"/>
          </w:tcPr>
          <w:p>
            <w:pPr>
              <w:keepNext w:val="0"/>
              <w:keepLines w:val="0"/>
              <w:suppressLineNumbers w:val="0"/>
              <w:spacing w:before="0" w:beforeAutospacing="0" w:after="0" w:afterAutospacing="0"/>
              <w:ind w:left="0" w:right="0"/>
              <w:jc w:val="center"/>
              <w:rPr>
                <w:rFonts w:hint="eastAsia"/>
                <w:b/>
                <w:bCs/>
                <w:kern w:val="2"/>
                <w:sz w:val="18"/>
                <w:szCs w:val="18"/>
              </w:rPr>
            </w:pPr>
            <w:r>
              <w:rPr>
                <w:rFonts w:hint="eastAsia"/>
                <w:b/>
                <w:bCs/>
                <w:kern w:val="2"/>
                <w:sz w:val="18"/>
                <w:szCs w:val="18"/>
              </w:rPr>
              <w:t>声源名称</w:t>
            </w:r>
          </w:p>
        </w:tc>
        <w:tc>
          <w:tcPr>
            <w:tcW w:w="601" w:type="pct"/>
            <w:vMerge w:val="restart"/>
            <w:vAlign w:val="center"/>
          </w:tcPr>
          <w:p>
            <w:pPr>
              <w:keepNext w:val="0"/>
              <w:keepLines w:val="0"/>
              <w:suppressLineNumbers w:val="0"/>
              <w:spacing w:before="0" w:beforeAutospacing="0" w:after="0" w:afterAutospacing="0"/>
              <w:ind w:left="0" w:right="0"/>
              <w:jc w:val="center"/>
              <w:rPr>
                <w:rFonts w:hint="eastAsia"/>
                <w:b/>
                <w:bCs/>
                <w:kern w:val="2"/>
                <w:sz w:val="18"/>
                <w:szCs w:val="18"/>
              </w:rPr>
            </w:pPr>
            <w:r>
              <w:rPr>
                <w:rFonts w:hint="eastAsia"/>
                <w:b/>
                <w:bCs/>
                <w:kern w:val="2"/>
                <w:sz w:val="18"/>
                <w:szCs w:val="18"/>
              </w:rPr>
              <w:t>设备名称</w:t>
            </w:r>
          </w:p>
        </w:tc>
        <w:tc>
          <w:tcPr>
            <w:tcW w:w="239" w:type="pct"/>
            <w:vMerge w:val="restart"/>
            <w:vAlign w:val="center"/>
          </w:tcPr>
          <w:p>
            <w:pPr>
              <w:keepNext w:val="0"/>
              <w:keepLines w:val="0"/>
              <w:suppressLineNumbers w:val="0"/>
              <w:spacing w:before="0" w:beforeAutospacing="0" w:after="0" w:afterAutospacing="0"/>
              <w:ind w:left="0" w:right="0"/>
              <w:jc w:val="center"/>
              <w:rPr>
                <w:rFonts w:hint="eastAsia"/>
                <w:b/>
                <w:bCs/>
                <w:kern w:val="2"/>
                <w:sz w:val="18"/>
                <w:szCs w:val="18"/>
              </w:rPr>
            </w:pPr>
            <w:r>
              <w:rPr>
                <w:rFonts w:hint="eastAsia"/>
                <w:b/>
                <w:bCs/>
                <w:kern w:val="2"/>
                <w:sz w:val="18"/>
                <w:szCs w:val="18"/>
              </w:rPr>
              <w:t>数量</w:t>
            </w:r>
          </w:p>
        </w:tc>
        <w:tc>
          <w:tcPr>
            <w:tcW w:w="982" w:type="pct"/>
            <w:gridSpan w:val="3"/>
            <w:vAlign w:val="center"/>
          </w:tcPr>
          <w:p>
            <w:pPr>
              <w:keepNext w:val="0"/>
              <w:keepLines w:val="0"/>
              <w:suppressLineNumbers w:val="0"/>
              <w:spacing w:before="0" w:beforeAutospacing="0" w:after="0" w:afterAutospacing="0"/>
              <w:ind w:left="0" w:right="0"/>
              <w:jc w:val="center"/>
              <w:rPr>
                <w:rFonts w:hint="eastAsia"/>
                <w:b/>
                <w:bCs/>
                <w:kern w:val="2"/>
                <w:sz w:val="18"/>
                <w:szCs w:val="18"/>
              </w:rPr>
            </w:pPr>
            <w:r>
              <w:rPr>
                <w:rFonts w:hint="eastAsia"/>
                <w:b/>
                <w:bCs/>
                <w:kern w:val="2"/>
                <w:sz w:val="18"/>
                <w:szCs w:val="18"/>
              </w:rPr>
              <w:t>空间相对位置/m</w:t>
            </w:r>
          </w:p>
        </w:tc>
        <w:tc>
          <w:tcPr>
            <w:tcW w:w="467" w:type="pct"/>
            <w:gridSpan w:val="2"/>
            <w:vAlign w:val="center"/>
          </w:tcPr>
          <w:p>
            <w:pPr>
              <w:keepNext w:val="0"/>
              <w:keepLines w:val="0"/>
              <w:suppressLineNumbers w:val="0"/>
              <w:spacing w:before="0" w:beforeAutospacing="0" w:after="0" w:afterAutospacing="0"/>
              <w:ind w:left="0" w:right="0"/>
              <w:jc w:val="center"/>
              <w:rPr>
                <w:rFonts w:hint="eastAsia"/>
                <w:b/>
                <w:bCs/>
                <w:kern w:val="2"/>
                <w:sz w:val="18"/>
                <w:szCs w:val="18"/>
              </w:rPr>
            </w:pPr>
            <w:r>
              <w:rPr>
                <w:rFonts w:hint="eastAsia"/>
                <w:b/>
                <w:bCs/>
                <w:kern w:val="2"/>
                <w:sz w:val="18"/>
                <w:szCs w:val="18"/>
              </w:rPr>
              <w:t>声源源强声级功率</w:t>
            </w:r>
          </w:p>
        </w:tc>
        <w:tc>
          <w:tcPr>
            <w:tcW w:w="778" w:type="pct"/>
            <w:vMerge w:val="restart"/>
            <w:vAlign w:val="center"/>
          </w:tcPr>
          <w:p>
            <w:pPr>
              <w:keepNext w:val="0"/>
              <w:keepLines w:val="0"/>
              <w:suppressLineNumbers w:val="0"/>
              <w:spacing w:before="0" w:beforeAutospacing="0" w:after="0" w:afterAutospacing="0"/>
              <w:ind w:left="0" w:right="0"/>
              <w:jc w:val="center"/>
              <w:rPr>
                <w:rFonts w:hint="eastAsia"/>
                <w:b/>
                <w:bCs/>
                <w:kern w:val="2"/>
                <w:sz w:val="18"/>
                <w:szCs w:val="18"/>
              </w:rPr>
            </w:pPr>
            <w:r>
              <w:rPr>
                <w:rFonts w:hint="eastAsia"/>
                <w:b/>
                <w:bCs/>
                <w:kern w:val="2"/>
                <w:sz w:val="18"/>
                <w:szCs w:val="18"/>
              </w:rPr>
              <w:t>声源控制措施</w:t>
            </w:r>
          </w:p>
        </w:tc>
        <w:tc>
          <w:tcPr>
            <w:tcW w:w="250" w:type="pct"/>
            <w:vMerge w:val="restart"/>
            <w:vAlign w:val="center"/>
          </w:tcPr>
          <w:p>
            <w:pPr>
              <w:keepNext w:val="0"/>
              <w:keepLines w:val="0"/>
              <w:suppressLineNumbers w:val="0"/>
              <w:spacing w:before="0" w:beforeAutospacing="0" w:after="0" w:afterAutospacing="0"/>
              <w:ind w:left="0" w:right="0"/>
              <w:jc w:val="center"/>
              <w:rPr>
                <w:rFonts w:hint="eastAsia"/>
                <w:b/>
                <w:bCs/>
                <w:kern w:val="2"/>
                <w:sz w:val="18"/>
                <w:szCs w:val="18"/>
              </w:rPr>
            </w:pPr>
            <w:r>
              <w:rPr>
                <w:rFonts w:hint="eastAsia"/>
                <w:b/>
                <w:bCs/>
                <w:kern w:val="2"/>
                <w:sz w:val="18"/>
                <w:szCs w:val="18"/>
              </w:rPr>
              <w:t>降噪后声级</w:t>
            </w:r>
          </w:p>
        </w:tc>
        <w:tc>
          <w:tcPr>
            <w:tcW w:w="314" w:type="pct"/>
            <w:vMerge w:val="restart"/>
            <w:vAlign w:val="center"/>
          </w:tcPr>
          <w:p>
            <w:pPr>
              <w:keepNext w:val="0"/>
              <w:keepLines w:val="0"/>
              <w:suppressLineNumbers w:val="0"/>
              <w:spacing w:before="0" w:beforeAutospacing="0" w:after="0" w:afterAutospacing="0"/>
              <w:ind w:left="0" w:right="0"/>
              <w:jc w:val="center"/>
              <w:rPr>
                <w:rFonts w:hint="eastAsia"/>
                <w:b/>
                <w:bCs/>
                <w:kern w:val="2"/>
                <w:sz w:val="18"/>
                <w:szCs w:val="18"/>
              </w:rPr>
            </w:pPr>
            <w:r>
              <w:rPr>
                <w:rFonts w:hint="eastAsia"/>
                <w:b/>
                <w:bCs/>
                <w:kern w:val="2"/>
                <w:sz w:val="18"/>
                <w:szCs w:val="18"/>
              </w:rPr>
              <w:t>运行时段</w:t>
            </w:r>
          </w:p>
        </w:tc>
        <w:tc>
          <w:tcPr>
            <w:tcW w:w="317" w:type="pct"/>
            <w:vMerge w:val="restart"/>
            <w:vAlign w:val="center"/>
          </w:tcPr>
          <w:p>
            <w:pPr>
              <w:keepNext w:val="0"/>
              <w:keepLines w:val="0"/>
              <w:suppressLineNumbers w:val="0"/>
              <w:spacing w:before="0" w:beforeAutospacing="0" w:after="0" w:afterAutospacing="0"/>
              <w:ind w:left="0" w:right="0"/>
              <w:jc w:val="center"/>
              <w:rPr>
                <w:rFonts w:hint="eastAsia"/>
                <w:b/>
                <w:bCs/>
                <w:kern w:val="2"/>
                <w:sz w:val="18"/>
                <w:szCs w:val="18"/>
              </w:rPr>
            </w:pPr>
            <w:r>
              <w:rPr>
                <w:rFonts w:hint="eastAsia"/>
                <w:b/>
                <w:bCs/>
                <w:kern w:val="2"/>
                <w:sz w:val="18"/>
                <w:szCs w:val="1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0" w:type="pct"/>
            <w:vMerge w:val="continue"/>
            <w:vAlign w:val="center"/>
          </w:tcPr>
          <w:p>
            <w:pPr>
              <w:keepNext w:val="0"/>
              <w:keepLines w:val="0"/>
              <w:suppressLineNumbers w:val="0"/>
              <w:spacing w:before="0" w:beforeAutospacing="0" w:after="0" w:afterAutospacing="0"/>
              <w:ind w:left="0" w:right="0"/>
              <w:jc w:val="center"/>
              <w:rPr>
                <w:rFonts w:hint="eastAsia"/>
                <w:kern w:val="2"/>
                <w:sz w:val="18"/>
                <w:szCs w:val="18"/>
              </w:rPr>
            </w:pPr>
          </w:p>
        </w:tc>
        <w:tc>
          <w:tcPr>
            <w:tcW w:w="812" w:type="pct"/>
            <w:vMerge w:val="continue"/>
            <w:vAlign w:val="center"/>
          </w:tcPr>
          <w:p>
            <w:pPr>
              <w:keepNext w:val="0"/>
              <w:keepLines w:val="0"/>
              <w:suppressLineNumbers w:val="0"/>
              <w:spacing w:before="0" w:beforeAutospacing="0" w:after="0" w:afterAutospacing="0"/>
              <w:ind w:left="0" w:right="0"/>
              <w:jc w:val="center"/>
              <w:rPr>
                <w:rFonts w:hint="eastAsia"/>
                <w:kern w:val="2"/>
                <w:sz w:val="18"/>
                <w:szCs w:val="18"/>
              </w:rPr>
            </w:pPr>
          </w:p>
        </w:tc>
        <w:tc>
          <w:tcPr>
            <w:tcW w:w="601" w:type="pct"/>
            <w:vMerge w:val="continue"/>
            <w:vAlign w:val="center"/>
          </w:tcPr>
          <w:p>
            <w:pPr>
              <w:keepNext w:val="0"/>
              <w:keepLines w:val="0"/>
              <w:suppressLineNumbers w:val="0"/>
              <w:spacing w:before="0" w:beforeAutospacing="0" w:after="0" w:afterAutospacing="0"/>
              <w:ind w:left="0" w:right="0"/>
              <w:jc w:val="center"/>
              <w:rPr>
                <w:rFonts w:hint="eastAsia"/>
                <w:kern w:val="2"/>
                <w:sz w:val="18"/>
                <w:szCs w:val="18"/>
              </w:rPr>
            </w:pPr>
          </w:p>
        </w:tc>
        <w:tc>
          <w:tcPr>
            <w:tcW w:w="239" w:type="pct"/>
            <w:vMerge w:val="continue"/>
            <w:vAlign w:val="center"/>
          </w:tcPr>
          <w:p>
            <w:pPr>
              <w:keepNext w:val="0"/>
              <w:keepLines w:val="0"/>
              <w:suppressLineNumbers w:val="0"/>
              <w:spacing w:before="0" w:beforeAutospacing="0" w:after="0" w:afterAutospacing="0"/>
              <w:ind w:left="0" w:right="0"/>
              <w:jc w:val="center"/>
              <w:rPr>
                <w:rFonts w:hint="eastAsia"/>
                <w:kern w:val="2"/>
                <w:sz w:val="18"/>
                <w:szCs w:val="18"/>
              </w:rPr>
            </w:pPr>
          </w:p>
        </w:tc>
        <w:tc>
          <w:tcPr>
            <w:tcW w:w="359" w:type="pct"/>
            <w:vAlign w:val="center"/>
          </w:tcPr>
          <w:p>
            <w:pPr>
              <w:keepNext w:val="0"/>
              <w:keepLines w:val="0"/>
              <w:suppressLineNumbers w:val="0"/>
              <w:spacing w:before="0" w:beforeAutospacing="0" w:after="0" w:afterAutospacing="0"/>
              <w:ind w:left="0" w:right="0"/>
              <w:jc w:val="center"/>
              <w:rPr>
                <w:rFonts w:hint="eastAsia"/>
                <w:b/>
                <w:bCs/>
                <w:kern w:val="2"/>
                <w:sz w:val="18"/>
                <w:szCs w:val="18"/>
              </w:rPr>
            </w:pPr>
            <w:r>
              <w:rPr>
                <w:rFonts w:hint="eastAsia"/>
                <w:b/>
                <w:bCs/>
                <w:kern w:val="2"/>
                <w:sz w:val="18"/>
                <w:szCs w:val="18"/>
              </w:rPr>
              <w:t>X</w:t>
            </w:r>
          </w:p>
        </w:tc>
        <w:tc>
          <w:tcPr>
            <w:tcW w:w="311" w:type="pct"/>
            <w:vAlign w:val="center"/>
          </w:tcPr>
          <w:p>
            <w:pPr>
              <w:keepNext w:val="0"/>
              <w:keepLines w:val="0"/>
              <w:suppressLineNumbers w:val="0"/>
              <w:spacing w:before="0" w:beforeAutospacing="0" w:after="0" w:afterAutospacing="0"/>
              <w:ind w:left="0" w:right="0"/>
              <w:jc w:val="center"/>
              <w:rPr>
                <w:rFonts w:hint="eastAsia"/>
                <w:b/>
                <w:bCs/>
                <w:kern w:val="2"/>
                <w:sz w:val="18"/>
                <w:szCs w:val="18"/>
              </w:rPr>
            </w:pPr>
            <w:r>
              <w:rPr>
                <w:rFonts w:hint="eastAsia"/>
                <w:b/>
                <w:bCs/>
                <w:kern w:val="2"/>
                <w:sz w:val="18"/>
                <w:szCs w:val="18"/>
              </w:rPr>
              <w:t>Y</w:t>
            </w:r>
          </w:p>
        </w:tc>
        <w:tc>
          <w:tcPr>
            <w:tcW w:w="312" w:type="pct"/>
            <w:vAlign w:val="center"/>
          </w:tcPr>
          <w:p>
            <w:pPr>
              <w:keepNext w:val="0"/>
              <w:keepLines w:val="0"/>
              <w:suppressLineNumbers w:val="0"/>
              <w:spacing w:before="0" w:beforeAutospacing="0" w:after="0" w:afterAutospacing="0"/>
              <w:ind w:left="0" w:right="0"/>
              <w:jc w:val="center"/>
              <w:rPr>
                <w:rFonts w:hint="eastAsia"/>
                <w:b/>
                <w:bCs/>
                <w:kern w:val="2"/>
                <w:sz w:val="18"/>
                <w:szCs w:val="18"/>
              </w:rPr>
            </w:pPr>
            <w:r>
              <w:rPr>
                <w:rFonts w:hint="eastAsia"/>
                <w:b/>
                <w:bCs/>
                <w:kern w:val="2"/>
                <w:sz w:val="18"/>
                <w:szCs w:val="18"/>
              </w:rPr>
              <w:t>Z</w:t>
            </w:r>
          </w:p>
        </w:tc>
        <w:tc>
          <w:tcPr>
            <w:tcW w:w="233" w:type="pct"/>
            <w:vAlign w:val="center"/>
          </w:tcPr>
          <w:p>
            <w:pPr>
              <w:keepNext w:val="0"/>
              <w:keepLines w:val="0"/>
              <w:suppressLineNumbers w:val="0"/>
              <w:spacing w:before="0" w:beforeAutospacing="0" w:after="0" w:afterAutospacing="0"/>
              <w:ind w:left="0" w:right="0"/>
              <w:jc w:val="center"/>
              <w:rPr>
                <w:rFonts w:hint="eastAsia"/>
                <w:b/>
                <w:bCs/>
                <w:kern w:val="2"/>
                <w:sz w:val="18"/>
                <w:szCs w:val="18"/>
              </w:rPr>
            </w:pPr>
            <w:r>
              <w:rPr>
                <w:rFonts w:hint="eastAsia"/>
                <w:b/>
                <w:bCs/>
                <w:kern w:val="2"/>
                <w:sz w:val="18"/>
                <w:szCs w:val="18"/>
              </w:rPr>
              <w:t>单台</w:t>
            </w:r>
          </w:p>
        </w:tc>
        <w:tc>
          <w:tcPr>
            <w:tcW w:w="234" w:type="pct"/>
            <w:vAlign w:val="center"/>
          </w:tcPr>
          <w:p>
            <w:pPr>
              <w:keepNext w:val="0"/>
              <w:keepLines w:val="0"/>
              <w:suppressLineNumbers w:val="0"/>
              <w:spacing w:before="0" w:beforeAutospacing="0" w:after="0" w:afterAutospacing="0"/>
              <w:ind w:left="0" w:right="0"/>
              <w:jc w:val="center"/>
              <w:rPr>
                <w:rFonts w:hint="eastAsia"/>
                <w:b/>
                <w:bCs/>
                <w:kern w:val="2"/>
                <w:sz w:val="18"/>
                <w:szCs w:val="18"/>
              </w:rPr>
            </w:pPr>
            <w:r>
              <w:rPr>
                <w:rFonts w:hint="eastAsia"/>
                <w:b/>
                <w:bCs/>
                <w:kern w:val="2"/>
                <w:sz w:val="18"/>
                <w:szCs w:val="18"/>
              </w:rPr>
              <w:t>叠加</w:t>
            </w:r>
          </w:p>
        </w:tc>
        <w:tc>
          <w:tcPr>
            <w:tcW w:w="778" w:type="pct"/>
            <w:vMerge w:val="continue"/>
            <w:vAlign w:val="center"/>
          </w:tcPr>
          <w:p>
            <w:pPr>
              <w:keepNext w:val="0"/>
              <w:keepLines w:val="0"/>
              <w:suppressLineNumbers w:val="0"/>
              <w:spacing w:before="0" w:beforeAutospacing="0" w:after="0" w:afterAutospacing="0"/>
              <w:ind w:left="0" w:right="0"/>
              <w:jc w:val="center"/>
              <w:rPr>
                <w:rFonts w:hint="eastAsia"/>
                <w:kern w:val="2"/>
                <w:sz w:val="18"/>
                <w:szCs w:val="18"/>
              </w:rPr>
            </w:pPr>
          </w:p>
        </w:tc>
        <w:tc>
          <w:tcPr>
            <w:tcW w:w="250" w:type="pct"/>
            <w:vMerge w:val="continue"/>
            <w:vAlign w:val="center"/>
          </w:tcPr>
          <w:p>
            <w:pPr>
              <w:keepNext w:val="0"/>
              <w:keepLines w:val="0"/>
              <w:suppressLineNumbers w:val="0"/>
              <w:spacing w:before="0" w:beforeAutospacing="0" w:after="0" w:afterAutospacing="0"/>
              <w:ind w:left="0" w:right="0"/>
              <w:jc w:val="center"/>
              <w:rPr>
                <w:rFonts w:hint="eastAsia"/>
                <w:kern w:val="2"/>
                <w:sz w:val="18"/>
                <w:szCs w:val="18"/>
              </w:rPr>
            </w:pPr>
          </w:p>
        </w:tc>
        <w:tc>
          <w:tcPr>
            <w:tcW w:w="314" w:type="pct"/>
            <w:vMerge w:val="continue"/>
            <w:vAlign w:val="center"/>
          </w:tcPr>
          <w:p>
            <w:pPr>
              <w:keepNext w:val="0"/>
              <w:keepLines w:val="0"/>
              <w:suppressLineNumbers w:val="0"/>
              <w:spacing w:before="0" w:beforeAutospacing="0" w:after="0" w:afterAutospacing="0"/>
              <w:ind w:left="0" w:right="0"/>
              <w:jc w:val="center"/>
              <w:rPr>
                <w:rFonts w:hint="eastAsia"/>
                <w:kern w:val="2"/>
                <w:sz w:val="18"/>
                <w:szCs w:val="18"/>
              </w:rPr>
            </w:pPr>
          </w:p>
        </w:tc>
        <w:tc>
          <w:tcPr>
            <w:tcW w:w="317" w:type="pct"/>
            <w:vMerge w:val="continue"/>
            <w:vAlign w:val="center"/>
          </w:tcPr>
          <w:p>
            <w:pPr>
              <w:keepNext w:val="0"/>
              <w:keepLines w:val="0"/>
              <w:suppressLineNumbers w:val="0"/>
              <w:spacing w:before="0" w:beforeAutospacing="0" w:after="0" w:afterAutospacing="0"/>
              <w:ind w:left="0" w:right="0"/>
              <w:jc w:val="center"/>
              <w:rPr>
                <w:rFonts w:hint="eastAsia"/>
                <w:kern w:val="2"/>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0"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kern w:val="2"/>
                <w:sz w:val="18"/>
                <w:szCs w:val="18"/>
              </w:rPr>
              <w:t>1</w:t>
            </w:r>
          </w:p>
        </w:tc>
        <w:tc>
          <w:tcPr>
            <w:tcW w:w="812"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asciiTheme="minorEastAsia" w:hAnsiTheme="minorEastAsia" w:eastAsiaTheme="minorEastAsia"/>
                <w:kern w:val="2"/>
                <w:sz w:val="18"/>
                <w:szCs w:val="18"/>
              </w:rPr>
              <w:t>瓦斯抽采系统</w:t>
            </w:r>
          </w:p>
        </w:tc>
        <w:tc>
          <w:tcPr>
            <w:tcW w:w="601"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kern w:val="2"/>
                <w:sz w:val="18"/>
                <w:szCs w:val="18"/>
              </w:rPr>
              <w:t>水环真空泵</w:t>
            </w:r>
          </w:p>
        </w:tc>
        <w:tc>
          <w:tcPr>
            <w:tcW w:w="239"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kern w:val="2"/>
                <w:sz w:val="18"/>
                <w:szCs w:val="18"/>
              </w:rPr>
              <w:t>2台</w:t>
            </w:r>
          </w:p>
        </w:tc>
        <w:tc>
          <w:tcPr>
            <w:tcW w:w="359"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asciiTheme="minorEastAsia" w:hAnsiTheme="minorEastAsia" w:eastAsiaTheme="minorEastAsia"/>
                <w:kern w:val="2"/>
                <w:sz w:val="18"/>
                <w:szCs w:val="18"/>
                <w:lang w:eastAsia="zh-CN"/>
              </w:rPr>
              <w:t>0</w:t>
            </w:r>
          </w:p>
        </w:tc>
        <w:tc>
          <w:tcPr>
            <w:tcW w:w="311"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asciiTheme="minorEastAsia" w:hAnsiTheme="minorEastAsia" w:eastAsiaTheme="minorEastAsia"/>
                <w:kern w:val="2"/>
                <w:sz w:val="18"/>
                <w:szCs w:val="18"/>
                <w:lang w:eastAsia="zh-CN"/>
              </w:rPr>
              <w:t>0</w:t>
            </w:r>
          </w:p>
        </w:tc>
        <w:tc>
          <w:tcPr>
            <w:tcW w:w="312"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asciiTheme="minorEastAsia" w:hAnsiTheme="minorEastAsia" w:eastAsiaTheme="minorEastAsia"/>
                <w:kern w:val="2"/>
                <w:sz w:val="18"/>
                <w:szCs w:val="18"/>
                <w:lang w:eastAsia="zh-CN"/>
              </w:rPr>
              <w:t>0.5</w:t>
            </w:r>
          </w:p>
        </w:tc>
        <w:tc>
          <w:tcPr>
            <w:tcW w:w="233"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asciiTheme="minorEastAsia" w:hAnsiTheme="minorEastAsia" w:eastAsiaTheme="minorEastAsia"/>
                <w:kern w:val="2"/>
                <w:sz w:val="18"/>
                <w:szCs w:val="18"/>
                <w:lang w:eastAsia="zh-CN"/>
              </w:rPr>
              <w:t>85</w:t>
            </w:r>
          </w:p>
        </w:tc>
        <w:tc>
          <w:tcPr>
            <w:tcW w:w="234"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asciiTheme="minorEastAsia" w:hAnsiTheme="minorEastAsia" w:eastAsiaTheme="minorEastAsia"/>
                <w:kern w:val="2"/>
                <w:sz w:val="18"/>
                <w:szCs w:val="18"/>
                <w:lang w:eastAsia="zh-CN"/>
              </w:rPr>
              <w:t>85</w:t>
            </w:r>
          </w:p>
        </w:tc>
        <w:tc>
          <w:tcPr>
            <w:tcW w:w="778" w:type="pct"/>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kern w:val="2"/>
                <w:sz w:val="18"/>
                <w:szCs w:val="18"/>
                <w:lang w:eastAsia="zh-CN"/>
              </w:rPr>
            </w:pPr>
            <w:r>
              <w:rPr>
                <w:rFonts w:hint="eastAsia" w:asciiTheme="minorEastAsia" w:hAnsiTheme="minorEastAsia" w:eastAsiaTheme="minorEastAsia"/>
                <w:kern w:val="2"/>
                <w:sz w:val="18"/>
                <w:szCs w:val="18"/>
                <w:lang w:eastAsia="zh-CN"/>
              </w:rPr>
              <w:t>设备基座减振、水泵与进出口管道间安装软橡胶接头</w:t>
            </w:r>
          </w:p>
        </w:tc>
        <w:tc>
          <w:tcPr>
            <w:tcW w:w="250" w:type="pct"/>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kern w:val="2"/>
                <w:sz w:val="18"/>
                <w:szCs w:val="18"/>
                <w:lang w:eastAsia="zh-CN"/>
              </w:rPr>
            </w:pPr>
            <w:r>
              <w:rPr>
                <w:rFonts w:hint="eastAsia" w:asciiTheme="minorEastAsia" w:hAnsiTheme="minorEastAsia" w:eastAsiaTheme="minorEastAsia"/>
                <w:kern w:val="2"/>
                <w:sz w:val="18"/>
                <w:szCs w:val="18"/>
                <w:lang w:eastAsia="zh-CN"/>
              </w:rPr>
              <w:t>70</w:t>
            </w:r>
          </w:p>
        </w:tc>
        <w:tc>
          <w:tcPr>
            <w:tcW w:w="314"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kern w:val="2"/>
                <w:sz w:val="18"/>
                <w:szCs w:val="18"/>
              </w:rPr>
              <w:t>昼夜持续</w:t>
            </w:r>
          </w:p>
        </w:tc>
        <w:tc>
          <w:tcPr>
            <w:tcW w:w="317" w:type="pct"/>
            <w:vAlign w:val="center"/>
          </w:tcPr>
          <w:p>
            <w:pPr>
              <w:keepNext w:val="0"/>
              <w:keepLines w:val="0"/>
              <w:suppressLineNumbers w:val="0"/>
              <w:spacing w:before="0" w:beforeAutospacing="0" w:after="0" w:afterAutospacing="0"/>
              <w:ind w:left="0" w:right="0"/>
              <w:jc w:val="center"/>
              <w:rPr>
                <w:rFonts w:hint="eastAsia"/>
                <w:kern w:val="2"/>
                <w:sz w:val="18"/>
                <w:szCs w:val="18"/>
              </w:rPr>
            </w:pPr>
            <w:r>
              <w:rPr>
                <w:rFonts w:hint="eastAsia" w:asciiTheme="minorEastAsia" w:hAnsiTheme="minorEastAsia" w:eastAsiaTheme="minorEastAsia"/>
                <w:kern w:val="2"/>
                <w:sz w:val="18"/>
                <w:szCs w:val="18"/>
                <w:lang w:eastAsia="zh-CN"/>
              </w:rPr>
              <w:t>1用1备</w:t>
            </w:r>
          </w:p>
        </w:tc>
      </w:tr>
    </w:tbl>
    <w:p>
      <w:pPr>
        <w:pStyle w:val="8"/>
        <w:rPr>
          <w:rFonts w:ascii="Times New Roman" w:hAnsi="Times New Roman"/>
          <w:lang w:eastAsia="zh-CN"/>
        </w:rPr>
      </w:pPr>
      <w:r>
        <w:rPr>
          <w:rFonts w:ascii="Times New Roman" w:hAnsi="Times New Roman"/>
          <w:lang w:eastAsia="zh-CN"/>
        </w:rPr>
        <w:t>8.2.1.1 声环境影响预测内容</w:t>
      </w:r>
    </w:p>
    <w:p>
      <w:pPr>
        <w:spacing w:line="360" w:lineRule="auto"/>
        <w:ind w:firstLine="480" w:firstLineChars="200"/>
        <w:rPr>
          <w:rFonts w:hAnsi="Times New Roman" w:eastAsia="宋体"/>
          <w:lang w:eastAsia="zh-CN"/>
        </w:rPr>
      </w:pPr>
      <w:r>
        <w:rPr>
          <w:rFonts w:hAnsi="Times New Roman" w:eastAsia="宋体"/>
          <w:lang w:eastAsia="zh-CN"/>
        </w:rPr>
        <w:t>根据项目工程特点、声环境影响评价工作等级及声环境保护目标分布情况，确定本次声环境影响预测内容主要为：矿井工业场地厂界噪声预测（厂界噪声最大值及位置）以及敏感目标噪声预测（预测敏感目标的贡献值、预测值），说明噪声影响范围和程度。</w:t>
      </w:r>
    </w:p>
    <w:p>
      <w:pPr>
        <w:pStyle w:val="8"/>
        <w:rPr>
          <w:rFonts w:ascii="Times New Roman" w:hAnsi="Times New Roman"/>
          <w:lang w:eastAsia="zh-CN"/>
        </w:rPr>
      </w:pPr>
      <w:r>
        <w:rPr>
          <w:rFonts w:ascii="Times New Roman" w:hAnsi="Times New Roman"/>
          <w:lang w:eastAsia="zh-CN"/>
        </w:rPr>
        <w:t>8.2.1.2 主要噪声源强及预测方式</w:t>
      </w:r>
    </w:p>
    <w:p>
      <w:pPr>
        <w:spacing w:line="360" w:lineRule="auto"/>
        <w:ind w:firstLine="480" w:firstLineChars="200"/>
        <w:rPr>
          <w:rFonts w:hAnsi="Times New Roman" w:eastAsia="宋体"/>
          <w:szCs w:val="24"/>
        </w:rPr>
      </w:pPr>
      <w:r>
        <w:rPr>
          <w:rFonts w:hAnsi="Times New Roman" w:eastAsia="宋体"/>
          <w:szCs w:val="24"/>
        </w:rPr>
        <w:t>本次评价采用《环境影响评价技术导则声环境》（HJ2.4-2021）中推荐模式进行预测，用A声级计算，模式如下：</w:t>
      </w:r>
    </w:p>
    <w:p>
      <w:pPr>
        <w:adjustRightInd w:val="0"/>
        <w:spacing w:line="360" w:lineRule="auto"/>
        <w:ind w:firstLine="482" w:firstLineChars="200"/>
        <w:rPr>
          <w:rFonts w:hAnsi="Times New Roman" w:eastAsia="宋体"/>
          <w:szCs w:val="24"/>
        </w:rPr>
      </w:pPr>
      <w:r>
        <w:rPr>
          <w:rFonts w:hAnsi="Times New Roman" w:eastAsia="宋体"/>
          <w:b/>
          <w:bCs/>
          <w:szCs w:val="24"/>
        </w:rPr>
        <w:t>（1）室外声源</w:t>
      </w:r>
    </w:p>
    <w:p>
      <w:pPr>
        <w:spacing w:line="360" w:lineRule="auto"/>
        <w:ind w:firstLine="480" w:firstLineChars="200"/>
        <w:rPr>
          <w:rFonts w:hAnsi="Times New Roman" w:eastAsia="宋体"/>
          <w:szCs w:val="24"/>
        </w:rPr>
      </w:pPr>
      <w:r>
        <w:rPr>
          <w:rFonts w:hAnsi="Times New Roman" w:eastAsia="宋体"/>
          <w:szCs w:val="24"/>
        </w:rPr>
        <w:t>在预测点的声压级计算：</w:t>
      </w:r>
    </w:p>
    <w:p>
      <w:pPr>
        <w:spacing w:line="360" w:lineRule="auto"/>
        <w:ind w:firstLine="480" w:firstLineChars="200"/>
        <w:jc w:val="center"/>
        <w:rPr>
          <w:rFonts w:hAnsi="Times New Roman" w:eastAsia="宋体"/>
          <w:szCs w:val="24"/>
        </w:rPr>
      </w:pPr>
      <w:r>
        <w:rPr>
          <w:rFonts w:hAnsi="Times New Roman" w:eastAsia="宋体"/>
          <w:szCs w:val="24"/>
        </w:rPr>
        <w:t>L</w:t>
      </w:r>
      <w:r>
        <w:rPr>
          <w:rFonts w:hAnsi="Times New Roman" w:eastAsia="宋体"/>
          <w:szCs w:val="24"/>
          <w:vertAlign w:val="subscript"/>
        </w:rPr>
        <w:t>p</w:t>
      </w:r>
      <w:r>
        <w:rPr>
          <w:rFonts w:hAnsi="Times New Roman" w:eastAsia="宋体"/>
          <w:szCs w:val="24"/>
        </w:rPr>
        <w:t>（r）＝L</w:t>
      </w:r>
      <w:r>
        <w:rPr>
          <w:rFonts w:hAnsi="Times New Roman" w:eastAsia="宋体"/>
          <w:szCs w:val="24"/>
          <w:vertAlign w:val="subscript"/>
        </w:rPr>
        <w:t>w</w:t>
      </w:r>
      <w:r>
        <w:rPr>
          <w:rFonts w:hAnsi="Times New Roman" w:eastAsia="宋体"/>
          <w:szCs w:val="24"/>
        </w:rPr>
        <w:t>+D</w:t>
      </w:r>
      <w:r>
        <w:rPr>
          <w:rFonts w:hAnsi="Times New Roman" w:eastAsia="宋体"/>
          <w:szCs w:val="24"/>
          <w:vertAlign w:val="subscript"/>
        </w:rPr>
        <w:t>C</w:t>
      </w:r>
      <w:r>
        <w:rPr>
          <w:rFonts w:hAnsi="Times New Roman" w:eastAsia="宋体"/>
          <w:szCs w:val="24"/>
        </w:rPr>
        <w:t>－（A</w:t>
      </w:r>
      <w:r>
        <w:rPr>
          <w:rFonts w:hAnsi="Times New Roman" w:eastAsia="宋体"/>
          <w:szCs w:val="24"/>
          <w:vertAlign w:val="subscript"/>
        </w:rPr>
        <w:t>dⅣ</w:t>
      </w:r>
      <w:r>
        <w:rPr>
          <w:rFonts w:hAnsi="Times New Roman" w:eastAsia="宋体"/>
          <w:szCs w:val="24"/>
        </w:rPr>
        <w:t>＋A</w:t>
      </w:r>
      <w:r>
        <w:rPr>
          <w:rFonts w:hAnsi="Times New Roman" w:eastAsia="宋体"/>
          <w:szCs w:val="24"/>
          <w:vertAlign w:val="subscript"/>
        </w:rPr>
        <w:t>atm</w:t>
      </w:r>
      <w:r>
        <w:rPr>
          <w:rFonts w:hAnsi="Times New Roman" w:eastAsia="宋体"/>
          <w:szCs w:val="24"/>
        </w:rPr>
        <w:t>＋A</w:t>
      </w:r>
      <w:r>
        <w:rPr>
          <w:rFonts w:hAnsi="Times New Roman" w:eastAsia="宋体"/>
          <w:szCs w:val="24"/>
          <w:vertAlign w:val="subscript"/>
        </w:rPr>
        <w:t>gr</w:t>
      </w:r>
      <w:r>
        <w:rPr>
          <w:rFonts w:hAnsi="Times New Roman" w:eastAsia="宋体"/>
          <w:szCs w:val="24"/>
        </w:rPr>
        <w:t>＋A</w:t>
      </w:r>
      <w:r>
        <w:rPr>
          <w:rFonts w:hAnsi="Times New Roman" w:eastAsia="宋体"/>
          <w:szCs w:val="24"/>
          <w:vertAlign w:val="subscript"/>
        </w:rPr>
        <w:t>bar</w:t>
      </w:r>
      <w:r>
        <w:rPr>
          <w:rFonts w:hAnsi="Times New Roman" w:eastAsia="宋体"/>
          <w:szCs w:val="24"/>
        </w:rPr>
        <w:t>＋A</w:t>
      </w:r>
      <w:r>
        <w:rPr>
          <w:rFonts w:hAnsi="Times New Roman" w:eastAsia="宋体"/>
          <w:szCs w:val="24"/>
          <w:vertAlign w:val="subscript"/>
        </w:rPr>
        <w:t>misc</w:t>
      </w:r>
      <w:r>
        <w:rPr>
          <w:rFonts w:hAnsi="Times New Roman" w:eastAsia="宋体"/>
          <w:szCs w:val="24"/>
        </w:rPr>
        <w:t>）</w:t>
      </w:r>
    </w:p>
    <w:p>
      <w:pPr>
        <w:spacing w:line="360" w:lineRule="auto"/>
        <w:ind w:firstLine="480" w:firstLineChars="200"/>
        <w:rPr>
          <w:rFonts w:hAnsi="Times New Roman" w:eastAsia="宋体"/>
          <w:szCs w:val="24"/>
        </w:rPr>
      </w:pPr>
      <w:r>
        <w:rPr>
          <w:rFonts w:hAnsi="Times New Roman" w:eastAsia="宋体"/>
          <w:szCs w:val="24"/>
        </w:rPr>
        <w:t>式中：L</w:t>
      </w:r>
      <w:r>
        <w:rPr>
          <w:rFonts w:hAnsi="Times New Roman" w:eastAsia="宋体"/>
          <w:szCs w:val="24"/>
          <w:vertAlign w:val="subscript"/>
        </w:rPr>
        <w:t>p</w:t>
      </w:r>
      <w:r>
        <w:rPr>
          <w:rFonts w:hAnsi="Times New Roman" w:eastAsia="宋体"/>
          <w:szCs w:val="24"/>
        </w:rPr>
        <w:t>（r）——预测点处声压级，dB；</w:t>
      </w:r>
    </w:p>
    <w:p>
      <w:pPr>
        <w:spacing w:line="360" w:lineRule="auto"/>
        <w:ind w:firstLine="480" w:firstLineChars="200"/>
        <w:rPr>
          <w:rFonts w:hAnsi="Times New Roman" w:eastAsia="宋体"/>
          <w:szCs w:val="24"/>
        </w:rPr>
      </w:pPr>
      <w:r>
        <w:rPr>
          <w:rFonts w:hAnsi="Times New Roman" w:eastAsia="宋体"/>
          <w:szCs w:val="24"/>
        </w:rPr>
        <w:t>L</w:t>
      </w:r>
      <w:r>
        <w:rPr>
          <w:rFonts w:hAnsi="Times New Roman" w:eastAsia="宋体"/>
          <w:szCs w:val="24"/>
          <w:vertAlign w:val="subscript"/>
        </w:rPr>
        <w:t>w</w:t>
      </w:r>
      <w:r>
        <w:rPr>
          <w:rFonts w:hAnsi="Times New Roman" w:eastAsia="宋体"/>
          <w:szCs w:val="24"/>
        </w:rPr>
        <w:t>——由点声源产生的声功率级（A计权或倍频带），dB；</w:t>
      </w:r>
    </w:p>
    <w:p>
      <w:pPr>
        <w:spacing w:line="360" w:lineRule="auto"/>
        <w:ind w:firstLine="480" w:firstLineChars="200"/>
        <w:rPr>
          <w:rFonts w:hAnsi="Times New Roman" w:eastAsia="宋体"/>
          <w:szCs w:val="24"/>
        </w:rPr>
      </w:pPr>
      <w:r>
        <w:rPr>
          <w:rFonts w:hAnsi="Times New Roman" w:eastAsia="宋体"/>
          <w:szCs w:val="24"/>
        </w:rPr>
        <w:t>D</w:t>
      </w:r>
      <w:r>
        <w:rPr>
          <w:rFonts w:hAnsi="Times New Roman" w:eastAsia="宋体"/>
          <w:szCs w:val="24"/>
          <w:vertAlign w:val="subscript"/>
        </w:rPr>
        <w:t>C</w:t>
      </w:r>
      <w:r>
        <w:rPr>
          <w:rFonts w:hAnsi="Times New Roman" w:eastAsia="宋体"/>
          <w:szCs w:val="24"/>
        </w:rPr>
        <w:t>——指向性校正，它描述点声源的等效连续声压级与产生声功率级L</w:t>
      </w:r>
      <w:r>
        <w:rPr>
          <w:rFonts w:hAnsi="Times New Roman" w:eastAsia="宋体"/>
          <w:szCs w:val="24"/>
          <w:vertAlign w:val="subscript"/>
        </w:rPr>
        <w:t>w</w:t>
      </w:r>
      <w:r>
        <w:rPr>
          <w:rFonts w:hAnsi="Times New Roman" w:eastAsia="宋体"/>
          <w:szCs w:val="24"/>
        </w:rPr>
        <w:t>的全向点声源在规定方向的声级的偏差程度，dB；</w:t>
      </w:r>
    </w:p>
    <w:p>
      <w:pPr>
        <w:spacing w:line="360" w:lineRule="auto"/>
        <w:ind w:firstLine="480" w:firstLineChars="200"/>
        <w:rPr>
          <w:rFonts w:hAnsi="Times New Roman" w:eastAsia="宋体"/>
          <w:szCs w:val="24"/>
        </w:rPr>
      </w:pPr>
      <w:r>
        <w:rPr>
          <w:rFonts w:hAnsi="Times New Roman" w:eastAsia="宋体"/>
          <w:szCs w:val="24"/>
        </w:rPr>
        <w:t>A</w:t>
      </w:r>
      <w:r>
        <w:rPr>
          <w:rFonts w:hAnsi="Times New Roman" w:eastAsia="宋体"/>
          <w:szCs w:val="24"/>
          <w:vertAlign w:val="subscript"/>
        </w:rPr>
        <w:t>dⅣ</w:t>
      </w:r>
      <w:r>
        <w:rPr>
          <w:rFonts w:hAnsi="Times New Roman" w:eastAsia="宋体"/>
          <w:szCs w:val="24"/>
        </w:rPr>
        <w:t>——几何发散引起的衰减，dB；</w:t>
      </w:r>
    </w:p>
    <w:p>
      <w:pPr>
        <w:spacing w:line="360" w:lineRule="auto"/>
        <w:ind w:firstLine="480" w:firstLineChars="200"/>
        <w:rPr>
          <w:rFonts w:hAnsi="Times New Roman" w:eastAsia="宋体"/>
          <w:szCs w:val="24"/>
        </w:rPr>
      </w:pPr>
      <w:r>
        <w:rPr>
          <w:rFonts w:hAnsi="Times New Roman" w:eastAsia="宋体"/>
          <w:szCs w:val="24"/>
        </w:rPr>
        <w:t>A</w:t>
      </w:r>
      <w:r>
        <w:rPr>
          <w:rFonts w:hAnsi="Times New Roman" w:eastAsia="宋体"/>
          <w:szCs w:val="24"/>
          <w:vertAlign w:val="subscript"/>
        </w:rPr>
        <w:t>atm</w:t>
      </w:r>
      <w:r>
        <w:rPr>
          <w:rFonts w:hAnsi="Times New Roman" w:eastAsia="宋体"/>
          <w:szCs w:val="24"/>
        </w:rPr>
        <w:t>——大气吸收引起的衰减，dB；</w:t>
      </w:r>
    </w:p>
    <w:p>
      <w:pPr>
        <w:spacing w:line="360" w:lineRule="auto"/>
        <w:ind w:firstLine="480" w:firstLineChars="200"/>
        <w:rPr>
          <w:rFonts w:hAnsi="Times New Roman" w:eastAsia="宋体"/>
          <w:szCs w:val="24"/>
        </w:rPr>
      </w:pPr>
      <w:r>
        <w:rPr>
          <w:rFonts w:hAnsi="Times New Roman" w:eastAsia="宋体"/>
          <w:szCs w:val="24"/>
        </w:rPr>
        <w:t>A</w:t>
      </w:r>
      <w:r>
        <w:rPr>
          <w:rFonts w:hAnsi="Times New Roman" w:eastAsia="宋体"/>
          <w:szCs w:val="24"/>
          <w:vertAlign w:val="subscript"/>
        </w:rPr>
        <w:t>gr</w:t>
      </w:r>
      <w:r>
        <w:rPr>
          <w:rFonts w:hAnsi="Times New Roman" w:eastAsia="宋体"/>
          <w:szCs w:val="24"/>
        </w:rPr>
        <w:t>——地面效应引起的衰减，dB；</w:t>
      </w:r>
    </w:p>
    <w:p>
      <w:pPr>
        <w:spacing w:line="360" w:lineRule="auto"/>
        <w:ind w:firstLine="480" w:firstLineChars="200"/>
        <w:rPr>
          <w:rFonts w:hAnsi="Times New Roman" w:eastAsia="宋体"/>
          <w:szCs w:val="24"/>
        </w:rPr>
      </w:pPr>
      <w:r>
        <w:rPr>
          <w:rFonts w:hAnsi="Times New Roman" w:eastAsia="宋体"/>
          <w:szCs w:val="24"/>
        </w:rPr>
        <w:t>A</w:t>
      </w:r>
      <w:r>
        <w:rPr>
          <w:rFonts w:hAnsi="Times New Roman" w:eastAsia="宋体"/>
          <w:szCs w:val="24"/>
          <w:vertAlign w:val="subscript"/>
        </w:rPr>
        <w:t>bar</w:t>
      </w:r>
      <w:r>
        <w:rPr>
          <w:rFonts w:hAnsi="Times New Roman" w:eastAsia="宋体"/>
          <w:szCs w:val="24"/>
        </w:rPr>
        <w:t>——障碍物屏蔽引起的衰减，dB；</w:t>
      </w:r>
    </w:p>
    <w:p>
      <w:pPr>
        <w:spacing w:line="360" w:lineRule="auto"/>
        <w:ind w:firstLine="480" w:firstLineChars="200"/>
        <w:rPr>
          <w:rFonts w:hAnsi="Times New Roman" w:eastAsia="宋体"/>
          <w:szCs w:val="24"/>
        </w:rPr>
      </w:pPr>
      <w:r>
        <w:rPr>
          <w:rFonts w:hAnsi="Times New Roman" w:eastAsia="宋体"/>
          <w:szCs w:val="24"/>
        </w:rPr>
        <w:t>A</w:t>
      </w:r>
      <w:r>
        <w:rPr>
          <w:rFonts w:hAnsi="Times New Roman" w:eastAsia="宋体"/>
          <w:szCs w:val="24"/>
          <w:vertAlign w:val="subscript"/>
        </w:rPr>
        <w:t>misc</w:t>
      </w:r>
      <w:r>
        <w:rPr>
          <w:rFonts w:hAnsi="Times New Roman" w:eastAsia="宋体"/>
          <w:szCs w:val="24"/>
        </w:rPr>
        <w:t>——其他多方面效应引起的衰减，dB。</w:t>
      </w:r>
    </w:p>
    <w:p>
      <w:pPr>
        <w:adjustRightInd w:val="0"/>
        <w:spacing w:line="360" w:lineRule="auto"/>
        <w:ind w:firstLine="482" w:firstLineChars="200"/>
        <w:rPr>
          <w:rFonts w:hAnsi="Times New Roman" w:eastAsia="宋体"/>
          <w:b/>
          <w:bCs/>
          <w:szCs w:val="24"/>
        </w:rPr>
      </w:pPr>
      <w:r>
        <w:rPr>
          <w:rFonts w:hAnsi="Times New Roman" w:eastAsia="宋体"/>
          <w:b/>
          <w:bCs/>
          <w:szCs w:val="24"/>
        </w:rPr>
        <w:t>（2）室内声源在预测点的声压级计算</w:t>
      </w:r>
    </w:p>
    <w:p>
      <w:pPr>
        <w:spacing w:line="360" w:lineRule="auto"/>
        <w:ind w:firstLine="480" w:firstLineChars="200"/>
        <w:rPr>
          <w:rFonts w:hAnsi="Times New Roman" w:eastAsia="宋体"/>
          <w:szCs w:val="24"/>
        </w:rPr>
      </w:pPr>
      <w:r>
        <w:rPr>
          <w:rFonts w:hint="eastAsia" w:ascii="宋体" w:hAnsi="宋体" w:eastAsia="宋体" w:cs="宋体"/>
          <w:szCs w:val="24"/>
        </w:rPr>
        <w:t>①</w:t>
      </w:r>
      <w:r>
        <w:rPr>
          <w:rFonts w:hAnsi="Times New Roman" w:eastAsia="宋体"/>
          <w:szCs w:val="24"/>
        </w:rPr>
        <w:t>首先计算某个室内声源在靠近围护结构处的声压级：</w:t>
      </w:r>
    </w:p>
    <w:p>
      <w:pPr>
        <w:adjustRightInd w:val="0"/>
        <w:spacing w:line="360" w:lineRule="auto"/>
        <w:jc w:val="center"/>
        <w:rPr>
          <w:rFonts w:hAnsi="Times New Roman" w:eastAsia="宋体"/>
          <w:szCs w:val="24"/>
        </w:rPr>
      </w:pPr>
      <w:r>
        <w:rPr>
          <w:rFonts w:hAnsi="Times New Roman" w:eastAsia="宋体"/>
          <w:szCs w:val="24"/>
          <w:lang w:eastAsia="zh-CN"/>
        </w:rPr>
        <w:drawing>
          <wp:inline distT="0" distB="0" distL="0" distR="0">
            <wp:extent cx="2491740" cy="586740"/>
            <wp:effectExtent l="0" t="0" r="3810" b="3810"/>
            <wp:docPr id="13199168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91686" name="图片 8"/>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a:xfrm>
                      <a:off x="0" y="0"/>
                      <a:ext cx="2491740" cy="586740"/>
                    </a:xfrm>
                    <a:prstGeom prst="rect">
                      <a:avLst/>
                    </a:prstGeom>
                    <a:noFill/>
                    <a:ln>
                      <a:noFill/>
                    </a:ln>
                  </pic:spPr>
                </pic:pic>
              </a:graphicData>
            </a:graphic>
          </wp:inline>
        </w:drawing>
      </w:r>
    </w:p>
    <w:p>
      <w:pPr>
        <w:spacing w:line="360" w:lineRule="auto"/>
        <w:ind w:firstLine="480" w:firstLineChars="200"/>
        <w:rPr>
          <w:rFonts w:hAnsi="Times New Roman" w:eastAsia="宋体"/>
          <w:szCs w:val="24"/>
        </w:rPr>
      </w:pPr>
      <w:r>
        <w:rPr>
          <w:rFonts w:hAnsi="Times New Roman" w:eastAsia="宋体"/>
          <w:szCs w:val="24"/>
        </w:rPr>
        <w:t>式中：</w:t>
      </w:r>
    </w:p>
    <w:p>
      <w:pPr>
        <w:spacing w:line="360" w:lineRule="auto"/>
        <w:ind w:firstLine="480" w:firstLineChars="200"/>
        <w:rPr>
          <w:rFonts w:hAnsi="Times New Roman" w:eastAsia="宋体"/>
          <w:szCs w:val="24"/>
        </w:rPr>
      </w:pPr>
      <w:r>
        <w:rPr>
          <w:rFonts w:hAnsi="Times New Roman" w:eastAsia="宋体"/>
          <w:szCs w:val="24"/>
        </w:rPr>
        <w:t>L</w:t>
      </w:r>
      <w:r>
        <w:rPr>
          <w:rFonts w:hAnsi="Times New Roman" w:eastAsia="宋体"/>
          <w:szCs w:val="24"/>
          <w:vertAlign w:val="subscript"/>
        </w:rPr>
        <w:t>p1</w:t>
      </w:r>
      <w:r>
        <w:rPr>
          <w:rFonts w:hAnsi="Times New Roman" w:eastAsia="宋体"/>
          <w:szCs w:val="24"/>
        </w:rPr>
        <w:t>——靠近开口处（或窗户）室内某倍频带的声压级或A声级，dB；</w:t>
      </w:r>
    </w:p>
    <w:p>
      <w:pPr>
        <w:spacing w:line="360" w:lineRule="auto"/>
        <w:ind w:firstLine="480" w:firstLineChars="200"/>
        <w:rPr>
          <w:rFonts w:hAnsi="Times New Roman" w:eastAsia="宋体"/>
          <w:szCs w:val="24"/>
        </w:rPr>
      </w:pPr>
      <w:r>
        <w:rPr>
          <w:rFonts w:hAnsi="Times New Roman" w:eastAsia="宋体"/>
          <w:szCs w:val="24"/>
        </w:rPr>
        <w:t>Lw——点声源声功率级（A计权或倍频带），dB；</w:t>
      </w:r>
    </w:p>
    <w:p>
      <w:pPr>
        <w:spacing w:line="360" w:lineRule="auto"/>
        <w:ind w:firstLine="480" w:firstLineChars="200"/>
        <w:rPr>
          <w:rFonts w:hAnsi="Times New Roman" w:eastAsia="宋体"/>
          <w:szCs w:val="24"/>
        </w:rPr>
      </w:pPr>
      <w:r>
        <w:rPr>
          <w:rFonts w:hAnsi="Times New Roman" w:eastAsia="宋体"/>
          <w:szCs w:val="24"/>
        </w:rPr>
        <w:t>Q——指向性因数；通常对无指向性声源，当声源放在房间中心时，Q=1；当放在一面墙的中心时，Q=2；当放在两面墙夹角处时，Q=4；当放在三面墙夹角处时，Q=8；</w:t>
      </w:r>
    </w:p>
    <w:p>
      <w:pPr>
        <w:spacing w:line="360" w:lineRule="auto"/>
        <w:ind w:firstLine="480" w:firstLineChars="200"/>
        <w:rPr>
          <w:rFonts w:hAnsi="Times New Roman" w:eastAsia="宋体"/>
          <w:szCs w:val="24"/>
        </w:rPr>
      </w:pPr>
      <w:r>
        <w:rPr>
          <w:rFonts w:hAnsi="Times New Roman" w:eastAsia="宋体"/>
          <w:szCs w:val="24"/>
        </w:rPr>
        <w:t>R——房间常数；R=Sα/（1-α），S为房间内表面面积，m</w:t>
      </w:r>
      <w:r>
        <w:rPr>
          <w:rFonts w:hAnsi="Times New Roman" w:eastAsia="宋体"/>
          <w:szCs w:val="24"/>
          <w:vertAlign w:val="superscript"/>
        </w:rPr>
        <w:t>2</w:t>
      </w:r>
      <w:r>
        <w:rPr>
          <w:rFonts w:hAnsi="Times New Roman" w:eastAsia="宋体"/>
          <w:szCs w:val="24"/>
        </w:rPr>
        <w:t>；α为平均吸声系数；</w:t>
      </w:r>
    </w:p>
    <w:p>
      <w:pPr>
        <w:spacing w:line="360" w:lineRule="auto"/>
        <w:ind w:firstLine="480" w:firstLineChars="200"/>
        <w:rPr>
          <w:rFonts w:hAnsi="Times New Roman" w:eastAsia="宋体"/>
          <w:szCs w:val="24"/>
        </w:rPr>
      </w:pPr>
      <w:r>
        <w:rPr>
          <w:rFonts w:hAnsi="Times New Roman" w:eastAsia="宋体"/>
          <w:szCs w:val="24"/>
        </w:rPr>
        <w:t>r——声源到靠近围护结构某点处的距离，m。</w:t>
      </w:r>
    </w:p>
    <w:p>
      <w:pPr>
        <w:spacing w:line="360" w:lineRule="auto"/>
        <w:ind w:firstLine="480" w:firstLineChars="200"/>
        <w:rPr>
          <w:rFonts w:hAnsi="Times New Roman" w:eastAsia="宋体"/>
          <w:szCs w:val="24"/>
        </w:rPr>
      </w:pPr>
      <w:r>
        <w:rPr>
          <w:rFonts w:hint="eastAsia" w:ascii="宋体" w:hAnsi="宋体" w:eastAsia="宋体" w:cs="宋体"/>
          <w:szCs w:val="24"/>
        </w:rPr>
        <w:t>②</w:t>
      </w:r>
      <w:r>
        <w:rPr>
          <w:rFonts w:hAnsi="Times New Roman" w:eastAsia="宋体"/>
          <w:szCs w:val="24"/>
        </w:rPr>
        <w:t>然后计算出所有室内声源在围护结构处产生的i倍频带叠加声压级：</w:t>
      </w:r>
    </w:p>
    <w:p>
      <w:pPr>
        <w:spacing w:line="360" w:lineRule="auto"/>
        <w:jc w:val="center"/>
        <w:rPr>
          <w:rFonts w:hAnsi="Times New Roman" w:eastAsia="宋体"/>
          <w:szCs w:val="24"/>
        </w:rPr>
      </w:pPr>
      <w:r>
        <w:rPr>
          <w:rFonts w:hAnsi="Times New Roman" w:eastAsia="宋体"/>
          <w:szCs w:val="24"/>
          <w:lang w:eastAsia="zh-CN"/>
        </w:rPr>
        <w:drawing>
          <wp:inline distT="0" distB="0" distL="0" distR="0">
            <wp:extent cx="2308860" cy="594360"/>
            <wp:effectExtent l="0" t="0" r="0" b="0"/>
            <wp:docPr id="32089239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892394" name="图片 7"/>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a:xfrm>
                      <a:off x="0" y="0"/>
                      <a:ext cx="2308860" cy="594360"/>
                    </a:xfrm>
                    <a:prstGeom prst="rect">
                      <a:avLst/>
                    </a:prstGeom>
                    <a:noFill/>
                    <a:ln>
                      <a:noFill/>
                    </a:ln>
                  </pic:spPr>
                </pic:pic>
              </a:graphicData>
            </a:graphic>
          </wp:inline>
        </w:drawing>
      </w:r>
    </w:p>
    <w:p>
      <w:pPr>
        <w:spacing w:line="360" w:lineRule="auto"/>
        <w:ind w:firstLine="480" w:firstLineChars="200"/>
        <w:rPr>
          <w:rFonts w:hAnsi="Times New Roman" w:eastAsia="宋体"/>
          <w:szCs w:val="24"/>
        </w:rPr>
      </w:pPr>
      <w:r>
        <w:rPr>
          <w:rFonts w:hAnsi="Times New Roman" w:eastAsia="宋体"/>
          <w:szCs w:val="24"/>
        </w:rPr>
        <w:t>式中：</w:t>
      </w:r>
    </w:p>
    <w:p>
      <w:pPr>
        <w:spacing w:line="360" w:lineRule="auto"/>
        <w:ind w:firstLine="480" w:firstLineChars="200"/>
        <w:rPr>
          <w:rFonts w:hAnsi="Times New Roman" w:eastAsia="宋体"/>
          <w:szCs w:val="24"/>
        </w:rPr>
      </w:pPr>
      <w:r>
        <w:rPr>
          <w:rFonts w:hAnsi="Times New Roman" w:eastAsia="宋体"/>
          <w:szCs w:val="24"/>
        </w:rPr>
        <w:t>L</w:t>
      </w:r>
      <w:r>
        <w:rPr>
          <w:rFonts w:hAnsi="Times New Roman" w:eastAsia="宋体"/>
          <w:szCs w:val="24"/>
          <w:vertAlign w:val="subscript"/>
        </w:rPr>
        <w:t>pli（T）</w:t>
      </w:r>
      <w:r>
        <w:rPr>
          <w:rFonts w:hAnsi="Times New Roman" w:eastAsia="宋体"/>
          <w:szCs w:val="24"/>
        </w:rPr>
        <w:t>——靠近围护结构处室内N个声源i倍频带的叠加声压级，dB；</w:t>
      </w:r>
    </w:p>
    <w:p>
      <w:pPr>
        <w:spacing w:line="360" w:lineRule="auto"/>
        <w:ind w:firstLine="480" w:firstLineChars="200"/>
        <w:rPr>
          <w:rFonts w:hAnsi="Times New Roman" w:eastAsia="宋体"/>
          <w:szCs w:val="24"/>
        </w:rPr>
      </w:pPr>
      <w:r>
        <w:rPr>
          <w:rFonts w:hAnsi="Times New Roman" w:eastAsia="宋体"/>
          <w:szCs w:val="24"/>
        </w:rPr>
        <w:t>L</w:t>
      </w:r>
      <w:r>
        <w:rPr>
          <w:rFonts w:hAnsi="Times New Roman" w:eastAsia="宋体"/>
          <w:szCs w:val="24"/>
          <w:vertAlign w:val="subscript"/>
        </w:rPr>
        <w:t>pli</w:t>
      </w:r>
      <w:r>
        <w:rPr>
          <w:rFonts w:hAnsi="Times New Roman" w:eastAsia="宋体"/>
          <w:szCs w:val="24"/>
        </w:rPr>
        <w:t>——室内j声源i倍频带的声压级，dB；</w:t>
      </w:r>
    </w:p>
    <w:p>
      <w:pPr>
        <w:spacing w:line="360" w:lineRule="auto"/>
        <w:ind w:firstLine="480" w:firstLineChars="200"/>
        <w:rPr>
          <w:rFonts w:hAnsi="Times New Roman" w:eastAsia="宋体"/>
          <w:szCs w:val="24"/>
        </w:rPr>
      </w:pPr>
      <w:r>
        <w:rPr>
          <w:rFonts w:hAnsi="Times New Roman" w:eastAsia="宋体"/>
          <w:szCs w:val="24"/>
        </w:rPr>
        <w:t>N——室内声源总数。</w:t>
      </w:r>
    </w:p>
    <w:p>
      <w:pPr>
        <w:spacing w:line="360" w:lineRule="auto"/>
        <w:ind w:firstLine="480" w:firstLineChars="200"/>
        <w:rPr>
          <w:rFonts w:hAnsi="Times New Roman" w:eastAsia="宋体"/>
          <w:szCs w:val="24"/>
        </w:rPr>
      </w:pPr>
      <w:r>
        <w:rPr>
          <w:rFonts w:hint="eastAsia" w:ascii="宋体" w:hAnsi="宋体" w:eastAsia="宋体" w:cs="宋体"/>
          <w:szCs w:val="24"/>
        </w:rPr>
        <w:t>③</w:t>
      </w:r>
      <w:r>
        <w:rPr>
          <w:rFonts w:hAnsi="Times New Roman" w:eastAsia="宋体"/>
          <w:szCs w:val="24"/>
        </w:rPr>
        <w:t>计算出室外靠近围护结构处的声压级：</w:t>
      </w:r>
    </w:p>
    <w:p>
      <w:pPr>
        <w:spacing w:line="360" w:lineRule="auto"/>
        <w:ind w:firstLine="480" w:firstLineChars="200"/>
        <w:jc w:val="center"/>
        <w:rPr>
          <w:rFonts w:hAnsi="Times New Roman" w:eastAsia="宋体"/>
          <w:szCs w:val="24"/>
        </w:rPr>
      </w:pPr>
      <w:r>
        <w:rPr>
          <w:rFonts w:hAnsi="Times New Roman" w:eastAsia="宋体"/>
          <w:szCs w:val="24"/>
        </w:rPr>
        <w:t>L</w:t>
      </w:r>
      <w:r>
        <w:rPr>
          <w:rFonts w:hAnsi="Times New Roman" w:eastAsia="宋体"/>
          <w:szCs w:val="24"/>
          <w:vertAlign w:val="subscript"/>
        </w:rPr>
        <w:t>p2i</w:t>
      </w:r>
      <w:r>
        <w:rPr>
          <w:rFonts w:hAnsi="Times New Roman" w:eastAsia="宋体"/>
          <w:szCs w:val="24"/>
        </w:rPr>
        <w:t>（T）=L</w:t>
      </w:r>
      <w:r>
        <w:rPr>
          <w:rFonts w:hAnsi="Times New Roman" w:eastAsia="宋体"/>
          <w:szCs w:val="24"/>
          <w:vertAlign w:val="subscript"/>
        </w:rPr>
        <w:t>pli</w:t>
      </w:r>
      <w:r>
        <w:rPr>
          <w:rFonts w:hAnsi="Times New Roman" w:eastAsia="宋体"/>
          <w:szCs w:val="24"/>
        </w:rPr>
        <w:t>（T）-（TL</w:t>
      </w:r>
      <w:r>
        <w:rPr>
          <w:rFonts w:hAnsi="Times New Roman" w:eastAsia="宋体"/>
          <w:szCs w:val="24"/>
          <w:vertAlign w:val="subscript"/>
        </w:rPr>
        <w:t>i</w:t>
      </w:r>
      <w:r>
        <w:rPr>
          <w:rFonts w:hAnsi="Times New Roman" w:eastAsia="宋体"/>
          <w:szCs w:val="24"/>
        </w:rPr>
        <w:t>+6）</w:t>
      </w:r>
    </w:p>
    <w:p>
      <w:pPr>
        <w:spacing w:line="360" w:lineRule="auto"/>
        <w:ind w:firstLine="480" w:firstLineChars="200"/>
        <w:rPr>
          <w:rFonts w:hAnsi="Times New Roman" w:eastAsia="宋体"/>
          <w:szCs w:val="24"/>
        </w:rPr>
      </w:pPr>
      <w:r>
        <w:rPr>
          <w:rFonts w:hAnsi="Times New Roman" w:eastAsia="宋体"/>
          <w:szCs w:val="24"/>
        </w:rPr>
        <w:t>式中：</w:t>
      </w:r>
    </w:p>
    <w:p>
      <w:pPr>
        <w:spacing w:line="360" w:lineRule="auto"/>
        <w:ind w:firstLine="480" w:firstLineChars="200"/>
        <w:rPr>
          <w:rFonts w:hAnsi="Times New Roman" w:eastAsia="宋体"/>
          <w:szCs w:val="24"/>
        </w:rPr>
      </w:pPr>
      <w:r>
        <w:rPr>
          <w:rFonts w:hAnsi="Times New Roman" w:eastAsia="宋体"/>
          <w:szCs w:val="24"/>
        </w:rPr>
        <w:t>L</w:t>
      </w:r>
      <w:r>
        <w:rPr>
          <w:rFonts w:hAnsi="Times New Roman" w:eastAsia="宋体"/>
          <w:szCs w:val="24"/>
          <w:vertAlign w:val="subscript"/>
        </w:rPr>
        <w:t>p2i</w:t>
      </w:r>
      <w:r>
        <w:rPr>
          <w:rFonts w:hAnsi="Times New Roman" w:eastAsia="宋体"/>
          <w:szCs w:val="24"/>
        </w:rPr>
        <w:t>（T）——靠近围护结构处室外N个声源i倍频带的叠加声压级，dB；</w:t>
      </w:r>
    </w:p>
    <w:p>
      <w:pPr>
        <w:spacing w:line="360" w:lineRule="auto"/>
        <w:ind w:firstLine="480" w:firstLineChars="200"/>
        <w:rPr>
          <w:rFonts w:hAnsi="Times New Roman" w:eastAsia="宋体"/>
          <w:szCs w:val="24"/>
        </w:rPr>
      </w:pPr>
      <w:r>
        <w:rPr>
          <w:rFonts w:hAnsi="Times New Roman" w:eastAsia="宋体"/>
          <w:szCs w:val="24"/>
        </w:rPr>
        <w:t>L</w:t>
      </w:r>
      <w:r>
        <w:rPr>
          <w:rFonts w:hAnsi="Times New Roman" w:eastAsia="宋体"/>
          <w:szCs w:val="24"/>
          <w:vertAlign w:val="subscript"/>
        </w:rPr>
        <w:t>pli</w:t>
      </w:r>
      <w:r>
        <w:rPr>
          <w:rFonts w:hAnsi="Times New Roman" w:eastAsia="宋体"/>
          <w:szCs w:val="24"/>
        </w:rPr>
        <w:t>（T）——靠近围护结构处室内N个声源i倍频带的叠加声压级，dB；</w:t>
      </w:r>
    </w:p>
    <w:p>
      <w:pPr>
        <w:spacing w:line="360" w:lineRule="auto"/>
        <w:ind w:firstLine="480" w:firstLineChars="200"/>
        <w:rPr>
          <w:rFonts w:hAnsi="Times New Roman" w:eastAsia="宋体"/>
          <w:szCs w:val="24"/>
        </w:rPr>
      </w:pPr>
      <w:r>
        <w:rPr>
          <w:rFonts w:hAnsi="Times New Roman" w:eastAsia="宋体"/>
          <w:szCs w:val="24"/>
        </w:rPr>
        <w:t>TL</w:t>
      </w:r>
      <w:r>
        <w:rPr>
          <w:rFonts w:hAnsi="Times New Roman" w:eastAsia="宋体"/>
          <w:szCs w:val="24"/>
          <w:vertAlign w:val="subscript"/>
        </w:rPr>
        <w:t>i</w:t>
      </w:r>
      <w:r>
        <w:rPr>
          <w:rFonts w:hAnsi="Times New Roman" w:eastAsia="宋体"/>
          <w:szCs w:val="24"/>
        </w:rPr>
        <w:t>——围护结构i倍频带的隔声量，dB。</w:t>
      </w:r>
    </w:p>
    <w:p>
      <w:pPr>
        <w:spacing w:line="360" w:lineRule="auto"/>
        <w:ind w:firstLine="480" w:firstLineChars="200"/>
        <w:rPr>
          <w:rFonts w:hAnsi="Times New Roman" w:eastAsia="宋体"/>
          <w:szCs w:val="24"/>
        </w:rPr>
      </w:pPr>
      <w:r>
        <w:rPr>
          <w:rFonts w:hint="eastAsia" w:ascii="宋体" w:hAnsi="宋体" w:eastAsia="宋体" w:cs="宋体"/>
          <w:szCs w:val="24"/>
        </w:rPr>
        <w:t>④</w:t>
      </w:r>
      <w:r>
        <w:rPr>
          <w:rFonts w:hAnsi="Times New Roman" w:eastAsia="宋体"/>
          <w:szCs w:val="24"/>
        </w:rPr>
        <w:t>将室外声级和透声面积换算成等效的室外声源，计算出等效声源第i个倍频带的声功率级：</w:t>
      </w:r>
    </w:p>
    <w:p>
      <w:pPr>
        <w:spacing w:line="360" w:lineRule="auto"/>
        <w:ind w:firstLine="480" w:firstLineChars="200"/>
        <w:jc w:val="center"/>
        <w:rPr>
          <w:rFonts w:hAnsi="Times New Roman" w:eastAsia="宋体"/>
          <w:szCs w:val="24"/>
        </w:rPr>
      </w:pPr>
      <w:r>
        <w:rPr>
          <w:rFonts w:hAnsi="Times New Roman" w:eastAsia="宋体"/>
          <w:szCs w:val="24"/>
        </w:rPr>
        <w:t>L</w:t>
      </w:r>
      <w:r>
        <w:rPr>
          <w:rFonts w:hAnsi="Times New Roman" w:eastAsia="宋体"/>
          <w:szCs w:val="24"/>
          <w:vertAlign w:val="subscript"/>
        </w:rPr>
        <w:t>w</w:t>
      </w:r>
      <w:r>
        <w:rPr>
          <w:rFonts w:hAnsi="Times New Roman" w:eastAsia="宋体"/>
          <w:szCs w:val="24"/>
        </w:rPr>
        <w:t>=L</w:t>
      </w:r>
      <w:r>
        <w:rPr>
          <w:rFonts w:hAnsi="Times New Roman" w:eastAsia="宋体"/>
          <w:szCs w:val="24"/>
          <w:vertAlign w:val="subscript"/>
        </w:rPr>
        <w:t>p2</w:t>
      </w:r>
      <w:r>
        <w:rPr>
          <w:rFonts w:hAnsi="Times New Roman" w:eastAsia="宋体"/>
          <w:szCs w:val="24"/>
        </w:rPr>
        <w:t>（T）+10lgS</w:t>
      </w:r>
    </w:p>
    <w:p>
      <w:pPr>
        <w:spacing w:line="360" w:lineRule="auto"/>
        <w:ind w:firstLine="480" w:firstLineChars="200"/>
        <w:rPr>
          <w:rFonts w:hAnsi="Times New Roman" w:eastAsia="宋体"/>
          <w:szCs w:val="24"/>
        </w:rPr>
      </w:pPr>
      <w:r>
        <w:rPr>
          <w:rFonts w:hAnsi="Times New Roman" w:eastAsia="宋体"/>
          <w:szCs w:val="24"/>
        </w:rPr>
        <w:t>式中：</w:t>
      </w:r>
    </w:p>
    <w:p>
      <w:pPr>
        <w:spacing w:line="360" w:lineRule="auto"/>
        <w:ind w:firstLine="480" w:firstLineChars="200"/>
        <w:rPr>
          <w:rFonts w:hAnsi="Times New Roman" w:eastAsia="宋体"/>
          <w:szCs w:val="24"/>
        </w:rPr>
      </w:pPr>
      <w:r>
        <w:rPr>
          <w:rFonts w:hAnsi="Times New Roman" w:eastAsia="宋体"/>
          <w:szCs w:val="24"/>
        </w:rPr>
        <w:t>L</w:t>
      </w:r>
      <w:r>
        <w:rPr>
          <w:rFonts w:hAnsi="Times New Roman" w:eastAsia="宋体"/>
          <w:szCs w:val="24"/>
          <w:vertAlign w:val="subscript"/>
        </w:rPr>
        <w:t>w</w:t>
      </w:r>
      <w:r>
        <w:rPr>
          <w:rFonts w:hAnsi="Times New Roman" w:eastAsia="宋体"/>
          <w:szCs w:val="24"/>
        </w:rPr>
        <w:t>——中心位置位于透声面积（S）处的等效声源的倍频带声功率级，dB；</w:t>
      </w:r>
    </w:p>
    <w:p>
      <w:pPr>
        <w:spacing w:line="360" w:lineRule="auto"/>
        <w:ind w:firstLine="480" w:firstLineChars="200"/>
        <w:rPr>
          <w:rFonts w:hAnsi="Times New Roman" w:eastAsia="宋体"/>
          <w:szCs w:val="24"/>
        </w:rPr>
      </w:pPr>
      <w:r>
        <w:rPr>
          <w:rFonts w:hAnsi="Times New Roman" w:eastAsia="宋体"/>
          <w:szCs w:val="24"/>
        </w:rPr>
        <w:t>L</w:t>
      </w:r>
      <w:r>
        <w:rPr>
          <w:rFonts w:hAnsi="Times New Roman" w:eastAsia="宋体"/>
          <w:szCs w:val="24"/>
          <w:vertAlign w:val="subscript"/>
        </w:rPr>
        <w:t>p2</w:t>
      </w:r>
      <w:r>
        <w:rPr>
          <w:rFonts w:hAnsi="Times New Roman" w:eastAsia="宋体"/>
          <w:szCs w:val="24"/>
        </w:rPr>
        <w:t>（T）——靠近围护结构处室外声源的声压级，dB；</w:t>
      </w:r>
    </w:p>
    <w:p>
      <w:pPr>
        <w:spacing w:line="360" w:lineRule="auto"/>
        <w:ind w:firstLine="480" w:firstLineChars="200"/>
        <w:rPr>
          <w:rFonts w:hAnsi="Times New Roman" w:eastAsia="宋体"/>
          <w:szCs w:val="24"/>
        </w:rPr>
      </w:pPr>
      <w:r>
        <w:rPr>
          <w:rFonts w:hAnsi="Times New Roman" w:eastAsia="宋体"/>
          <w:szCs w:val="24"/>
        </w:rPr>
        <w:t>S——透声面积，m</w:t>
      </w:r>
      <w:r>
        <w:rPr>
          <w:rFonts w:hAnsi="Times New Roman" w:eastAsia="宋体"/>
          <w:szCs w:val="24"/>
          <w:vertAlign w:val="superscript"/>
        </w:rPr>
        <w:t>2</w:t>
      </w:r>
      <w:r>
        <w:rPr>
          <w:rFonts w:hAnsi="Times New Roman" w:eastAsia="宋体"/>
          <w:szCs w:val="24"/>
        </w:rPr>
        <w:t>。</w:t>
      </w:r>
    </w:p>
    <w:p>
      <w:pPr>
        <w:spacing w:line="360" w:lineRule="auto"/>
        <w:ind w:firstLine="480" w:firstLineChars="200"/>
        <w:rPr>
          <w:rFonts w:hAnsi="Times New Roman" w:eastAsia="宋体"/>
          <w:szCs w:val="24"/>
        </w:rPr>
      </w:pPr>
      <w:r>
        <w:rPr>
          <w:rFonts w:hint="eastAsia" w:ascii="宋体" w:hAnsi="宋体" w:eastAsia="宋体" w:cs="宋体"/>
          <w:szCs w:val="24"/>
        </w:rPr>
        <w:t>⑤</w:t>
      </w:r>
      <w:r>
        <w:rPr>
          <w:rFonts w:hAnsi="Times New Roman" w:eastAsia="宋体"/>
          <w:szCs w:val="24"/>
        </w:rPr>
        <w:t>等效室外声源的位置为围护结构的位置，其声功率级为L</w:t>
      </w:r>
      <w:r>
        <w:rPr>
          <w:rFonts w:hAnsi="Times New Roman" w:eastAsia="宋体"/>
          <w:szCs w:val="24"/>
          <w:vertAlign w:val="subscript"/>
        </w:rPr>
        <w:t>w</w:t>
      </w:r>
      <w:r>
        <w:rPr>
          <w:rFonts w:hAnsi="Times New Roman" w:eastAsia="宋体"/>
          <w:szCs w:val="24"/>
        </w:rPr>
        <w:t>，由此计算等效声源在预测点产生的声级。</w:t>
      </w:r>
    </w:p>
    <w:p>
      <w:pPr>
        <w:adjustRightInd w:val="0"/>
        <w:spacing w:line="360" w:lineRule="auto"/>
        <w:ind w:firstLine="482" w:firstLineChars="200"/>
        <w:rPr>
          <w:rFonts w:hAnsi="Times New Roman" w:eastAsia="宋体"/>
          <w:b/>
          <w:bCs/>
          <w:szCs w:val="24"/>
        </w:rPr>
      </w:pPr>
      <w:r>
        <w:rPr>
          <w:rFonts w:hAnsi="Times New Roman" w:eastAsia="宋体"/>
          <w:b/>
          <w:bCs/>
          <w:szCs w:val="24"/>
        </w:rPr>
        <w:t>（3）总声级的计算</w:t>
      </w:r>
    </w:p>
    <w:p>
      <w:pPr>
        <w:spacing w:line="360" w:lineRule="auto"/>
        <w:ind w:firstLine="480" w:firstLineChars="200"/>
        <w:rPr>
          <w:rFonts w:hAnsi="Times New Roman" w:eastAsia="宋体"/>
          <w:szCs w:val="24"/>
        </w:rPr>
      </w:pPr>
      <w:r>
        <w:rPr>
          <w:rFonts w:hAnsi="Times New Roman" w:eastAsia="宋体"/>
          <w:szCs w:val="24"/>
        </w:rPr>
        <w:t>设第i个室外声源在预测点产生的A声级为L</w:t>
      </w:r>
      <w:r>
        <w:rPr>
          <w:rFonts w:hAnsi="Times New Roman" w:eastAsia="宋体"/>
          <w:szCs w:val="24"/>
          <w:vertAlign w:val="subscript"/>
        </w:rPr>
        <w:t>Ai</w:t>
      </w:r>
      <w:r>
        <w:rPr>
          <w:rFonts w:hAnsi="Times New Roman" w:eastAsia="宋体"/>
          <w:szCs w:val="24"/>
        </w:rPr>
        <w:t>，在T时间内该声源工作时间为t</w:t>
      </w:r>
      <w:r>
        <w:rPr>
          <w:rFonts w:hAnsi="Times New Roman" w:eastAsia="宋体"/>
          <w:szCs w:val="24"/>
          <w:vertAlign w:val="subscript"/>
        </w:rPr>
        <w:t>i</w:t>
      </w:r>
      <w:r>
        <w:rPr>
          <w:rFonts w:hAnsi="Times New Roman" w:eastAsia="宋体"/>
          <w:szCs w:val="24"/>
        </w:rPr>
        <w:t>；第j个等效室外声源在预测点产生的A声级为L</w:t>
      </w:r>
      <w:r>
        <w:rPr>
          <w:rFonts w:hAnsi="Times New Roman" w:eastAsia="宋体"/>
          <w:szCs w:val="24"/>
          <w:vertAlign w:val="subscript"/>
        </w:rPr>
        <w:t>Aj</w:t>
      </w:r>
      <w:r>
        <w:rPr>
          <w:rFonts w:hAnsi="Times New Roman" w:eastAsia="宋体"/>
          <w:szCs w:val="24"/>
        </w:rPr>
        <w:t>，在T时间内该声源工作时间为t</w:t>
      </w:r>
      <w:r>
        <w:rPr>
          <w:rFonts w:hAnsi="Times New Roman" w:eastAsia="宋体"/>
          <w:szCs w:val="24"/>
          <w:vertAlign w:val="subscript"/>
        </w:rPr>
        <w:t>j</w:t>
      </w:r>
      <w:r>
        <w:rPr>
          <w:rFonts w:hAnsi="Times New Roman" w:eastAsia="宋体"/>
          <w:szCs w:val="24"/>
        </w:rPr>
        <w:t>，则拟建工程声源对预测点产生的贡献值（L</w:t>
      </w:r>
      <w:r>
        <w:rPr>
          <w:rFonts w:hAnsi="Times New Roman" w:eastAsia="宋体"/>
          <w:szCs w:val="24"/>
          <w:vertAlign w:val="subscript"/>
        </w:rPr>
        <w:t>eqg</w:t>
      </w:r>
      <w:r>
        <w:rPr>
          <w:rFonts w:hAnsi="Times New Roman" w:eastAsia="宋体"/>
          <w:szCs w:val="24"/>
        </w:rPr>
        <w:t>）为：</w:t>
      </w:r>
    </w:p>
    <w:p>
      <w:pPr>
        <w:spacing w:line="360" w:lineRule="auto"/>
        <w:jc w:val="center"/>
        <w:rPr>
          <w:rFonts w:hAnsi="Times New Roman" w:eastAsia="宋体"/>
          <w:szCs w:val="24"/>
        </w:rPr>
      </w:pPr>
      <w:r>
        <w:rPr>
          <w:rFonts w:hAnsi="Times New Roman" w:eastAsia="宋体"/>
          <w:szCs w:val="24"/>
          <w:lang w:eastAsia="zh-CN"/>
        </w:rPr>
        <w:drawing>
          <wp:inline distT="0" distB="0" distL="0" distR="0">
            <wp:extent cx="2933700" cy="609600"/>
            <wp:effectExtent l="0" t="0" r="0" b="0"/>
            <wp:docPr id="103081576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815761" name="图片 6"/>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a:xfrm>
                      <a:off x="0" y="0"/>
                      <a:ext cx="2933700" cy="609600"/>
                    </a:xfrm>
                    <a:prstGeom prst="rect">
                      <a:avLst/>
                    </a:prstGeom>
                    <a:noFill/>
                    <a:ln>
                      <a:noFill/>
                    </a:ln>
                  </pic:spPr>
                </pic:pic>
              </a:graphicData>
            </a:graphic>
          </wp:inline>
        </w:drawing>
      </w:r>
    </w:p>
    <w:p>
      <w:pPr>
        <w:spacing w:line="360" w:lineRule="auto"/>
        <w:ind w:firstLine="480" w:firstLineChars="200"/>
        <w:rPr>
          <w:rFonts w:hAnsi="Times New Roman" w:eastAsia="宋体"/>
          <w:szCs w:val="24"/>
        </w:rPr>
      </w:pPr>
      <w:r>
        <w:rPr>
          <w:rFonts w:hAnsi="Times New Roman" w:eastAsia="宋体"/>
          <w:szCs w:val="24"/>
        </w:rPr>
        <w:t>式中：</w:t>
      </w:r>
    </w:p>
    <w:p>
      <w:pPr>
        <w:spacing w:line="360" w:lineRule="auto"/>
        <w:ind w:firstLine="480" w:firstLineChars="200"/>
        <w:rPr>
          <w:rFonts w:hAnsi="Times New Roman" w:eastAsia="宋体"/>
          <w:szCs w:val="24"/>
        </w:rPr>
      </w:pPr>
      <w:r>
        <w:rPr>
          <w:rFonts w:hAnsi="Times New Roman" w:eastAsia="宋体"/>
          <w:szCs w:val="24"/>
        </w:rPr>
        <w:t>L</w:t>
      </w:r>
      <w:r>
        <w:rPr>
          <w:rFonts w:hAnsi="Times New Roman" w:eastAsia="宋体"/>
          <w:szCs w:val="24"/>
          <w:vertAlign w:val="subscript"/>
        </w:rPr>
        <w:t>eqg</w:t>
      </w:r>
      <w:r>
        <w:rPr>
          <w:rFonts w:hAnsi="Times New Roman" w:eastAsia="宋体"/>
          <w:szCs w:val="24"/>
        </w:rPr>
        <w:t>——建设项目声源在预测点产生的噪声贡献值，dB；</w:t>
      </w:r>
    </w:p>
    <w:p>
      <w:pPr>
        <w:spacing w:line="360" w:lineRule="auto"/>
        <w:ind w:firstLine="480" w:firstLineChars="200"/>
        <w:rPr>
          <w:rFonts w:hAnsi="Times New Roman" w:eastAsia="宋体"/>
          <w:szCs w:val="24"/>
        </w:rPr>
      </w:pPr>
      <w:r>
        <w:rPr>
          <w:rFonts w:hAnsi="Times New Roman" w:eastAsia="宋体"/>
          <w:szCs w:val="24"/>
        </w:rPr>
        <w:t>T——用于计算等效声级的时间，s；</w:t>
      </w:r>
    </w:p>
    <w:p>
      <w:pPr>
        <w:spacing w:line="360" w:lineRule="auto"/>
        <w:ind w:firstLine="480" w:firstLineChars="200"/>
        <w:rPr>
          <w:rFonts w:hAnsi="Times New Roman" w:eastAsia="宋体"/>
          <w:szCs w:val="24"/>
        </w:rPr>
      </w:pPr>
      <w:r>
        <w:rPr>
          <w:rFonts w:hAnsi="Times New Roman" w:eastAsia="宋体"/>
          <w:szCs w:val="24"/>
        </w:rPr>
        <w:t>N——室外声源个数；</w:t>
      </w:r>
    </w:p>
    <w:p>
      <w:pPr>
        <w:spacing w:line="360" w:lineRule="auto"/>
        <w:ind w:firstLine="480" w:firstLineChars="200"/>
        <w:rPr>
          <w:rFonts w:hAnsi="Times New Roman" w:eastAsia="宋体"/>
          <w:szCs w:val="24"/>
        </w:rPr>
      </w:pPr>
      <w:r>
        <w:rPr>
          <w:rFonts w:hAnsi="Times New Roman" w:eastAsia="宋体"/>
          <w:szCs w:val="24"/>
        </w:rPr>
        <w:t>t</w:t>
      </w:r>
      <w:r>
        <w:rPr>
          <w:rFonts w:hAnsi="Times New Roman" w:eastAsia="宋体"/>
          <w:szCs w:val="24"/>
          <w:vertAlign w:val="subscript"/>
        </w:rPr>
        <w:t>i</w:t>
      </w:r>
      <w:r>
        <w:rPr>
          <w:rFonts w:hAnsi="Times New Roman" w:eastAsia="宋体"/>
          <w:szCs w:val="24"/>
        </w:rPr>
        <w:t>——在T时间内i声源工作时间，s；</w:t>
      </w:r>
    </w:p>
    <w:p>
      <w:pPr>
        <w:spacing w:line="360" w:lineRule="auto"/>
        <w:ind w:firstLine="480" w:firstLineChars="200"/>
        <w:rPr>
          <w:rFonts w:hAnsi="Times New Roman" w:eastAsia="宋体"/>
          <w:szCs w:val="24"/>
        </w:rPr>
      </w:pPr>
      <w:r>
        <w:rPr>
          <w:rFonts w:hAnsi="Times New Roman" w:eastAsia="宋体"/>
          <w:szCs w:val="24"/>
        </w:rPr>
        <w:t>M——等效室外声源个数；</w:t>
      </w:r>
    </w:p>
    <w:p>
      <w:pPr>
        <w:spacing w:line="360" w:lineRule="auto"/>
        <w:ind w:firstLine="480" w:firstLineChars="200"/>
        <w:rPr>
          <w:rFonts w:hAnsi="Times New Roman" w:eastAsia="宋体"/>
          <w:szCs w:val="24"/>
        </w:rPr>
      </w:pPr>
      <w:r>
        <w:rPr>
          <w:rFonts w:hAnsi="Times New Roman" w:eastAsia="宋体"/>
          <w:szCs w:val="24"/>
        </w:rPr>
        <w:t>t</w:t>
      </w:r>
      <w:r>
        <w:rPr>
          <w:rFonts w:hAnsi="Times New Roman" w:eastAsia="宋体"/>
          <w:szCs w:val="24"/>
          <w:vertAlign w:val="subscript"/>
        </w:rPr>
        <w:t>j</w:t>
      </w:r>
      <w:r>
        <w:rPr>
          <w:rFonts w:hAnsi="Times New Roman" w:eastAsia="宋体"/>
          <w:szCs w:val="24"/>
        </w:rPr>
        <w:t>——在T时间内j声源工作时间，s。</w:t>
      </w:r>
    </w:p>
    <w:p>
      <w:pPr>
        <w:adjustRightInd w:val="0"/>
        <w:spacing w:line="360" w:lineRule="auto"/>
        <w:ind w:firstLine="482" w:firstLineChars="200"/>
        <w:rPr>
          <w:rFonts w:hAnsi="Times New Roman" w:eastAsia="宋体"/>
          <w:b/>
          <w:bCs/>
          <w:szCs w:val="24"/>
        </w:rPr>
      </w:pPr>
      <w:r>
        <w:rPr>
          <w:rFonts w:hAnsi="Times New Roman" w:eastAsia="宋体"/>
          <w:b/>
          <w:bCs/>
          <w:szCs w:val="24"/>
        </w:rPr>
        <w:t>3、参数确定</w:t>
      </w:r>
    </w:p>
    <w:p>
      <w:pPr>
        <w:spacing w:line="360" w:lineRule="auto"/>
        <w:ind w:firstLine="480" w:firstLineChars="200"/>
        <w:rPr>
          <w:rFonts w:hAnsi="Times New Roman" w:eastAsia="宋体"/>
          <w:szCs w:val="24"/>
        </w:rPr>
      </w:pPr>
      <w:r>
        <w:rPr>
          <w:rFonts w:hAnsi="Times New Roman" w:eastAsia="宋体"/>
          <w:szCs w:val="24"/>
        </w:rPr>
        <w:t>（1）声波几何发散引起的A声级衰减量：</w:t>
      </w:r>
    </w:p>
    <w:p>
      <w:pPr>
        <w:spacing w:line="360" w:lineRule="auto"/>
        <w:ind w:firstLine="480" w:firstLineChars="200"/>
        <w:jc w:val="center"/>
        <w:rPr>
          <w:rFonts w:hAnsi="Times New Roman" w:eastAsia="宋体"/>
          <w:szCs w:val="24"/>
        </w:rPr>
      </w:pPr>
      <w:r>
        <w:rPr>
          <w:rFonts w:hAnsi="Times New Roman" w:eastAsia="宋体"/>
          <w:szCs w:val="24"/>
        </w:rPr>
        <w:t>点声源A</w:t>
      </w:r>
      <w:r>
        <w:rPr>
          <w:rFonts w:hAnsi="Times New Roman" w:eastAsia="宋体"/>
          <w:szCs w:val="24"/>
          <w:vertAlign w:val="subscript"/>
        </w:rPr>
        <w:t>dⅣ</w:t>
      </w:r>
      <w:r>
        <w:rPr>
          <w:rFonts w:hAnsi="Times New Roman" w:eastAsia="宋体"/>
          <w:szCs w:val="24"/>
        </w:rPr>
        <w:t>=201g（r/r</w:t>
      </w:r>
      <w:r>
        <w:rPr>
          <w:rFonts w:hAnsi="Times New Roman" w:eastAsia="宋体"/>
          <w:szCs w:val="24"/>
          <w:vertAlign w:val="subscript"/>
        </w:rPr>
        <w:t>0</w:t>
      </w:r>
      <w:r>
        <w:rPr>
          <w:rFonts w:hAnsi="Times New Roman" w:eastAsia="宋体"/>
          <w:szCs w:val="24"/>
        </w:rPr>
        <w:t>）</w:t>
      </w:r>
    </w:p>
    <w:p>
      <w:pPr>
        <w:spacing w:line="360" w:lineRule="auto"/>
        <w:ind w:firstLine="480" w:firstLineChars="200"/>
        <w:rPr>
          <w:rFonts w:hAnsi="Times New Roman" w:eastAsia="宋体"/>
          <w:szCs w:val="24"/>
          <w:vertAlign w:val="subscript"/>
        </w:rPr>
      </w:pPr>
      <w:r>
        <w:rPr>
          <w:rFonts w:hAnsi="Times New Roman" w:eastAsia="宋体"/>
          <w:szCs w:val="24"/>
        </w:rPr>
        <w:t>（2）空气吸收衰减量A</w:t>
      </w:r>
      <w:r>
        <w:rPr>
          <w:rFonts w:hAnsi="Times New Roman" w:eastAsia="宋体"/>
          <w:szCs w:val="24"/>
          <w:vertAlign w:val="subscript"/>
        </w:rPr>
        <w:t>atm</w:t>
      </w:r>
      <w:r>
        <w:rPr>
          <w:rFonts w:hAnsi="Times New Roman" w:eastAsia="宋体"/>
          <w:szCs w:val="24"/>
        </w:rPr>
        <w:t>：</w:t>
      </w:r>
    </w:p>
    <w:p>
      <w:pPr>
        <w:spacing w:line="360" w:lineRule="auto"/>
        <w:ind w:firstLine="480" w:firstLineChars="200"/>
        <w:rPr>
          <w:rFonts w:hAnsi="Times New Roman" w:eastAsia="宋体"/>
          <w:szCs w:val="24"/>
        </w:rPr>
      </w:pPr>
      <w:r>
        <w:rPr>
          <w:rFonts w:hAnsi="Times New Roman" w:eastAsia="宋体"/>
          <w:szCs w:val="24"/>
        </w:rPr>
        <w:t>拟建项目噪声以中低频为主，空气吸收性衰减很少，预测时可忽略不计。</w:t>
      </w:r>
    </w:p>
    <w:p>
      <w:pPr>
        <w:spacing w:line="360" w:lineRule="auto"/>
        <w:ind w:firstLine="480" w:firstLineChars="200"/>
        <w:rPr>
          <w:rFonts w:hAnsi="Times New Roman" w:eastAsia="宋体"/>
          <w:szCs w:val="24"/>
        </w:rPr>
      </w:pPr>
      <w:r>
        <w:rPr>
          <w:rFonts w:hAnsi="Times New Roman" w:eastAsia="宋体"/>
          <w:szCs w:val="24"/>
        </w:rPr>
        <w:t>（3）遮挡物引起的衰减量A</w:t>
      </w:r>
      <w:r>
        <w:rPr>
          <w:rFonts w:hAnsi="Times New Roman" w:eastAsia="宋体"/>
          <w:szCs w:val="24"/>
          <w:vertAlign w:val="subscript"/>
        </w:rPr>
        <w:t>bar</w:t>
      </w:r>
      <w:r>
        <w:rPr>
          <w:rFonts w:hAnsi="Times New Roman" w:eastAsia="宋体"/>
          <w:szCs w:val="24"/>
        </w:rPr>
        <w:t>：</w:t>
      </w:r>
    </w:p>
    <w:p>
      <w:pPr>
        <w:spacing w:line="360" w:lineRule="auto"/>
        <w:ind w:firstLine="480" w:firstLineChars="200"/>
        <w:rPr>
          <w:rFonts w:hAnsi="Times New Roman" w:eastAsia="宋体"/>
          <w:szCs w:val="24"/>
        </w:rPr>
      </w:pPr>
      <w:r>
        <w:rPr>
          <w:rFonts w:hAnsi="Times New Roman" w:eastAsia="宋体"/>
          <w:szCs w:val="24"/>
        </w:rPr>
        <w:t>噪声在向外传播过程中将受到厂房或其它车间的阻挡影响，从而引起声能量的衰减，具体衰减根据不同声级的传播途径而定，一般取0～30dB（A），本次环评取20。</w:t>
      </w:r>
    </w:p>
    <w:p>
      <w:pPr>
        <w:spacing w:line="360" w:lineRule="auto"/>
        <w:ind w:firstLine="480" w:firstLineChars="200"/>
        <w:rPr>
          <w:rFonts w:hAnsi="Times New Roman" w:eastAsia="宋体"/>
          <w:szCs w:val="24"/>
        </w:rPr>
      </w:pPr>
      <w:r>
        <w:rPr>
          <w:rFonts w:hAnsi="Times New Roman" w:eastAsia="宋体"/>
          <w:szCs w:val="24"/>
        </w:rPr>
        <w:t>（4）地面效应引起的声级衰减量A</w:t>
      </w:r>
      <w:r>
        <w:rPr>
          <w:rFonts w:hAnsi="Times New Roman" w:eastAsia="宋体"/>
          <w:szCs w:val="24"/>
          <w:vertAlign w:val="subscript"/>
        </w:rPr>
        <w:t>gr</w:t>
      </w:r>
      <w:r>
        <w:rPr>
          <w:rFonts w:hAnsi="Times New Roman" w:eastAsia="宋体"/>
          <w:szCs w:val="24"/>
        </w:rPr>
        <w:t>：</w:t>
      </w:r>
    </w:p>
    <w:p>
      <w:pPr>
        <w:spacing w:line="360" w:lineRule="auto"/>
        <w:ind w:firstLine="480" w:firstLineChars="200"/>
        <w:rPr>
          <w:rFonts w:hAnsi="Times New Roman" w:eastAsia="宋体"/>
          <w:szCs w:val="24"/>
        </w:rPr>
      </w:pPr>
      <w:r>
        <w:rPr>
          <w:rFonts w:hAnsi="Times New Roman" w:eastAsia="宋体"/>
          <w:szCs w:val="24"/>
        </w:rPr>
        <w:t>根据项目总平面布置和噪声源强及外环境状况，可以忽略本项附加衰减量。</w:t>
      </w:r>
    </w:p>
    <w:p>
      <w:pPr>
        <w:spacing w:line="360" w:lineRule="auto"/>
        <w:ind w:firstLine="480" w:firstLineChars="200"/>
        <w:rPr>
          <w:rFonts w:hAnsi="Times New Roman" w:eastAsia="宋体"/>
          <w:szCs w:val="24"/>
        </w:rPr>
      </w:pPr>
      <w:r>
        <w:rPr>
          <w:rFonts w:hAnsi="Times New Roman" w:eastAsia="宋体"/>
          <w:szCs w:val="24"/>
        </w:rPr>
        <w:t>（5）其他多方面效应引起的声级衰减量A</w:t>
      </w:r>
      <w:r>
        <w:rPr>
          <w:rFonts w:hAnsi="Times New Roman" w:eastAsia="宋体"/>
          <w:szCs w:val="24"/>
          <w:vertAlign w:val="subscript"/>
        </w:rPr>
        <w:t>misc</w:t>
      </w:r>
      <w:r>
        <w:rPr>
          <w:rFonts w:hAnsi="Times New Roman" w:eastAsia="宋体"/>
          <w:szCs w:val="24"/>
        </w:rPr>
        <w:t>：</w:t>
      </w:r>
    </w:p>
    <w:p>
      <w:pPr>
        <w:spacing w:line="360" w:lineRule="auto"/>
        <w:ind w:firstLine="480" w:firstLineChars="200"/>
        <w:rPr>
          <w:rFonts w:hAnsi="Times New Roman" w:eastAsia="宋体"/>
          <w:szCs w:val="24"/>
        </w:rPr>
      </w:pPr>
      <w:r>
        <w:rPr>
          <w:rFonts w:hAnsi="Times New Roman" w:eastAsia="宋体"/>
          <w:szCs w:val="24"/>
        </w:rPr>
        <w:t>其他衰减包括通过工业场所的衰减，通过房屋群的衰减等。一般情况下，不考虑自然条件（如风、温度梯度、雾）变化引起的附加修正。</w:t>
      </w:r>
    </w:p>
    <w:p>
      <w:pPr>
        <w:pStyle w:val="8"/>
        <w:rPr>
          <w:rFonts w:ascii="Times New Roman" w:hAnsi="Times New Roman"/>
          <w:lang w:eastAsia="zh-CN"/>
        </w:rPr>
      </w:pPr>
      <w:r>
        <w:rPr>
          <w:rFonts w:ascii="Times New Roman" w:hAnsi="Times New Roman"/>
          <w:lang w:eastAsia="zh-CN"/>
        </w:rPr>
        <w:t>8.2.1.3 预测结果</w:t>
      </w:r>
    </w:p>
    <w:p>
      <w:pPr>
        <w:pStyle w:val="14"/>
        <w:kinsoku w:val="0"/>
        <w:overflowPunct w:val="0"/>
        <w:spacing w:before="41" w:line="338" w:lineRule="auto"/>
        <w:ind w:right="109" w:firstLine="480" w:firstLineChars="200"/>
        <w:rPr>
          <w:rFonts w:ascii="Times New Roman" w:hAnsi="Times New Roman"/>
          <w:bCs w:val="0"/>
          <w:kern w:val="0"/>
          <w:sz w:val="24"/>
        </w:rPr>
      </w:pPr>
      <w:r>
        <w:rPr>
          <w:rFonts w:ascii="Times New Roman" w:hAnsi="Times New Roman"/>
          <w:bCs w:val="0"/>
          <w:kern w:val="0"/>
          <w:sz w:val="24"/>
        </w:rPr>
        <w:t>评价标准采用《工业企业厂界环境噪声排放标准》（GB12348-2008）对场界噪声达标进行分析评价。对评价关心点的影响，采用《声环境质量标准》（GB3096-2008）进行分析评价。</w:t>
      </w:r>
    </w:p>
    <w:p>
      <w:pPr>
        <w:numPr>
          <w:ilvl w:val="0"/>
          <w:numId w:val="6"/>
        </w:numPr>
        <w:spacing w:line="360" w:lineRule="auto"/>
        <w:ind w:firstLine="480" w:firstLineChars="200"/>
        <w:rPr>
          <w:rFonts w:hAnsi="Times New Roman" w:eastAsia="宋体"/>
          <w:szCs w:val="24"/>
        </w:rPr>
      </w:pPr>
      <w:r>
        <w:rPr>
          <w:rFonts w:hAnsi="Times New Roman" w:eastAsia="宋体"/>
          <w:szCs w:val="24"/>
        </w:rPr>
        <w:t>主井工业场地场界噪声影响评价</w:t>
      </w:r>
    </w:p>
    <w:p>
      <w:pPr>
        <w:spacing w:line="360" w:lineRule="auto"/>
        <w:ind w:firstLine="480" w:firstLineChars="200"/>
        <w:rPr>
          <w:rFonts w:hAnsi="Times New Roman" w:eastAsia="宋体"/>
          <w:szCs w:val="24"/>
        </w:rPr>
      </w:pPr>
      <w:r>
        <w:rPr>
          <w:rFonts w:hAnsi="Times New Roman" w:eastAsia="宋体"/>
          <w:szCs w:val="24"/>
        </w:rPr>
        <w:t>主井工业场地厂界噪声预测结果具体见表8.2-</w:t>
      </w:r>
      <w:r>
        <w:rPr>
          <w:rFonts w:hint="eastAsia" w:hAnsi="Times New Roman" w:eastAsia="宋体"/>
          <w:szCs w:val="24"/>
          <w:lang w:eastAsia="zh-CN"/>
        </w:rPr>
        <w:t>4</w:t>
      </w:r>
      <w:r>
        <w:rPr>
          <w:rFonts w:hAnsi="Times New Roman" w:eastAsia="宋体"/>
          <w:szCs w:val="24"/>
        </w:rPr>
        <w:t>。</w:t>
      </w:r>
    </w:p>
    <w:p>
      <w:pPr>
        <w:jc w:val="center"/>
        <w:rPr>
          <w:rFonts w:hAnsi="Times New Roman" w:eastAsia="宋体"/>
          <w:b/>
          <w:bCs/>
          <w:sz w:val="21"/>
          <w:szCs w:val="21"/>
          <w:lang w:eastAsia="zh-CN"/>
        </w:rPr>
      </w:pPr>
      <w:r>
        <w:rPr>
          <w:rFonts w:hAnsi="Times New Roman" w:eastAsia="宋体"/>
          <w:b/>
          <w:bCs/>
          <w:sz w:val="21"/>
          <w:szCs w:val="21"/>
          <w:lang w:eastAsia="zh-CN"/>
        </w:rPr>
        <w:t>表8.2-</w:t>
      </w:r>
      <w:r>
        <w:rPr>
          <w:rFonts w:hint="eastAsia" w:hAnsi="Times New Roman" w:eastAsia="宋体"/>
          <w:b/>
          <w:bCs/>
          <w:sz w:val="21"/>
          <w:szCs w:val="21"/>
          <w:lang w:eastAsia="zh-CN"/>
        </w:rPr>
        <w:t>4</w:t>
      </w:r>
      <w:r>
        <w:rPr>
          <w:rFonts w:hAnsi="Times New Roman" w:eastAsia="宋体"/>
          <w:b/>
          <w:bCs/>
          <w:sz w:val="21"/>
          <w:szCs w:val="21"/>
          <w:lang w:eastAsia="zh-CN"/>
        </w:rPr>
        <w:t xml:space="preserve"> 主井工业场地厂界噪声值</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35"/>
        <w:gridCol w:w="1349"/>
        <w:gridCol w:w="1353"/>
        <w:gridCol w:w="1349"/>
        <w:gridCol w:w="1353"/>
        <w:gridCol w:w="1349"/>
        <w:gridCol w:w="13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1" w:type="pct"/>
            <w:vMerge w:val="restar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预测点位</w:t>
            </w:r>
          </w:p>
        </w:tc>
        <w:tc>
          <w:tcPr>
            <w:tcW w:w="1446" w:type="pct"/>
            <w:gridSpan w:val="2"/>
            <w:vMerge w:val="restar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厂界贡献值</w:t>
            </w:r>
          </w:p>
          <w:p>
            <w:pPr>
              <w:keepNext w:val="0"/>
              <w:keepLines w:val="0"/>
              <w:suppressLineNumbers w:val="0"/>
              <w:snapToGrid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dB(A)</w:t>
            </w:r>
          </w:p>
        </w:tc>
        <w:tc>
          <w:tcPr>
            <w:tcW w:w="1446" w:type="pct"/>
            <w:gridSpan w:val="2"/>
            <w:vMerge w:val="restar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标准值dB(A)</w:t>
            </w:r>
          </w:p>
        </w:tc>
        <w:tc>
          <w:tcPr>
            <w:tcW w:w="1447" w:type="pct"/>
            <w:gridSpan w:val="2"/>
            <w:vMerge w:val="restar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评价结果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1" w:type="pct"/>
            <w:vMerge w:val="continue"/>
            <w:tcBorders>
              <w:tl2br w:val="nil"/>
              <w:tr2bl w:val="nil"/>
            </w:tcBorders>
            <w:vAlign w:val="center"/>
          </w:tcPr>
          <w:p>
            <w:pPr>
              <w:pStyle w:val="19"/>
              <w:keepNext w:val="0"/>
              <w:keepLines w:val="0"/>
              <w:suppressLineNumbers w:val="0"/>
              <w:adjustRightInd w:val="0"/>
              <w:snapToGrid w:val="0"/>
              <w:spacing w:before="0" w:beforeAutospacing="0" w:after="0" w:afterAutospacing="0" w:line="240" w:lineRule="auto"/>
              <w:ind w:left="0" w:right="0" w:firstLine="422"/>
              <w:jc w:val="center"/>
              <w:rPr>
                <w:rFonts w:hint="eastAsia"/>
                <w:b/>
                <w:sz w:val="21"/>
                <w:szCs w:val="21"/>
              </w:rPr>
            </w:pPr>
          </w:p>
        </w:tc>
        <w:tc>
          <w:tcPr>
            <w:tcW w:w="1446" w:type="pct"/>
            <w:gridSpan w:val="2"/>
            <w:vMerge w:val="continue"/>
            <w:tcBorders>
              <w:tl2br w:val="nil"/>
              <w:tr2bl w:val="nil"/>
            </w:tcBorders>
            <w:vAlign w:val="center"/>
          </w:tcPr>
          <w:p>
            <w:pPr>
              <w:pStyle w:val="19"/>
              <w:keepNext w:val="0"/>
              <w:keepLines w:val="0"/>
              <w:suppressLineNumbers w:val="0"/>
              <w:adjustRightInd w:val="0"/>
              <w:snapToGrid w:val="0"/>
              <w:spacing w:before="0" w:beforeAutospacing="0" w:after="0" w:afterAutospacing="0" w:line="240" w:lineRule="auto"/>
              <w:ind w:left="0" w:right="0" w:firstLine="422"/>
              <w:jc w:val="center"/>
              <w:rPr>
                <w:rFonts w:hint="eastAsia"/>
                <w:b/>
                <w:sz w:val="21"/>
                <w:szCs w:val="21"/>
              </w:rPr>
            </w:pPr>
          </w:p>
        </w:tc>
        <w:tc>
          <w:tcPr>
            <w:tcW w:w="1446" w:type="pct"/>
            <w:gridSpan w:val="2"/>
            <w:vMerge w:val="continue"/>
            <w:tcBorders>
              <w:tl2br w:val="nil"/>
              <w:tr2bl w:val="nil"/>
            </w:tcBorders>
            <w:vAlign w:val="center"/>
          </w:tcPr>
          <w:p>
            <w:pPr>
              <w:pStyle w:val="19"/>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b/>
                <w:sz w:val="21"/>
                <w:szCs w:val="21"/>
              </w:rPr>
            </w:pPr>
          </w:p>
        </w:tc>
        <w:tc>
          <w:tcPr>
            <w:tcW w:w="1447" w:type="pct"/>
            <w:gridSpan w:val="2"/>
            <w:vMerge w:val="continue"/>
            <w:tcBorders>
              <w:tl2br w:val="nil"/>
              <w:tr2bl w:val="nil"/>
            </w:tcBorders>
            <w:vAlign w:val="center"/>
          </w:tcPr>
          <w:p>
            <w:pPr>
              <w:pStyle w:val="19"/>
              <w:keepNext w:val="0"/>
              <w:keepLines w:val="0"/>
              <w:suppressLineNumbers w:val="0"/>
              <w:adjustRightInd w:val="0"/>
              <w:snapToGrid w:val="0"/>
              <w:spacing w:before="0" w:beforeAutospacing="0" w:after="0" w:afterAutospacing="0" w:line="240" w:lineRule="auto"/>
              <w:ind w:left="0" w:right="0" w:firstLine="422"/>
              <w:jc w:val="center"/>
              <w:rPr>
                <w:rFonts w:hint="eastAsia"/>
                <w:b/>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1" w:type="pct"/>
            <w:vMerge w:val="continue"/>
            <w:tcBorders>
              <w:tl2br w:val="nil"/>
              <w:tr2bl w:val="nil"/>
            </w:tcBorders>
            <w:vAlign w:val="center"/>
          </w:tcPr>
          <w:p>
            <w:pPr>
              <w:pStyle w:val="19"/>
              <w:keepNext w:val="0"/>
              <w:keepLines w:val="0"/>
              <w:suppressLineNumbers w:val="0"/>
              <w:adjustRightInd w:val="0"/>
              <w:snapToGrid w:val="0"/>
              <w:spacing w:before="0" w:beforeAutospacing="0" w:after="0" w:afterAutospacing="0" w:line="240" w:lineRule="auto"/>
              <w:ind w:left="0" w:right="0" w:firstLine="422"/>
              <w:jc w:val="center"/>
              <w:rPr>
                <w:rFonts w:hint="eastAsia"/>
                <w:b/>
                <w:sz w:val="21"/>
                <w:szCs w:val="21"/>
              </w:rPr>
            </w:pPr>
          </w:p>
        </w:tc>
        <w:tc>
          <w:tcPr>
            <w:tcW w:w="722"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昼间</w:t>
            </w:r>
          </w:p>
        </w:tc>
        <w:tc>
          <w:tcPr>
            <w:tcW w:w="724"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夜间</w:t>
            </w:r>
          </w:p>
        </w:tc>
        <w:tc>
          <w:tcPr>
            <w:tcW w:w="722"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昼间</w:t>
            </w:r>
          </w:p>
        </w:tc>
        <w:tc>
          <w:tcPr>
            <w:tcW w:w="724"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夜间</w:t>
            </w:r>
          </w:p>
        </w:tc>
        <w:tc>
          <w:tcPr>
            <w:tcW w:w="722"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kern w:val="2"/>
                <w:sz w:val="21"/>
                <w:szCs w:val="21"/>
              </w:rPr>
            </w:pPr>
            <w:r>
              <w:rPr>
                <w:rFonts w:hint="eastAsia" w:hAnsi="Times New Roman" w:eastAsia="宋体"/>
                <w:b/>
                <w:bCs/>
                <w:kern w:val="2"/>
                <w:sz w:val="21"/>
                <w:szCs w:val="21"/>
                <w:lang w:eastAsia="zh-CN"/>
              </w:rPr>
              <w:t>昼间</w:t>
            </w:r>
          </w:p>
        </w:tc>
        <w:tc>
          <w:tcPr>
            <w:tcW w:w="725"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kern w:val="2"/>
                <w:sz w:val="21"/>
                <w:szCs w:val="21"/>
              </w:rPr>
            </w:pPr>
            <w:r>
              <w:rPr>
                <w:rFonts w:hint="eastAsia" w:hAnsi="Times New Roman" w:eastAsia="宋体"/>
                <w:b/>
                <w:bCs/>
                <w:kern w:val="2"/>
                <w:sz w:val="21"/>
                <w:szCs w:val="21"/>
                <w:lang w:eastAsia="zh-CN"/>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1"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东面厂界</w:t>
            </w:r>
          </w:p>
        </w:tc>
        <w:tc>
          <w:tcPr>
            <w:tcW w:w="722"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49.5</w:t>
            </w:r>
          </w:p>
        </w:tc>
        <w:tc>
          <w:tcPr>
            <w:tcW w:w="724"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highlight w:val="yellow"/>
                <w:lang w:eastAsia="zh-CN"/>
              </w:rPr>
            </w:pPr>
            <w:r>
              <w:rPr>
                <w:rFonts w:hint="eastAsia" w:hAnsi="Times New Roman" w:eastAsia="宋体"/>
                <w:kern w:val="2"/>
                <w:sz w:val="21"/>
                <w:szCs w:val="21"/>
                <w:lang w:eastAsia="zh-CN"/>
              </w:rPr>
              <w:t>49.5</w:t>
            </w:r>
          </w:p>
        </w:tc>
        <w:tc>
          <w:tcPr>
            <w:tcW w:w="722"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60</w:t>
            </w:r>
          </w:p>
        </w:tc>
        <w:tc>
          <w:tcPr>
            <w:tcW w:w="724"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50</w:t>
            </w:r>
          </w:p>
        </w:tc>
        <w:tc>
          <w:tcPr>
            <w:tcW w:w="722"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达标</w:t>
            </w:r>
          </w:p>
        </w:tc>
        <w:tc>
          <w:tcPr>
            <w:tcW w:w="725"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1"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南面厂界</w:t>
            </w:r>
          </w:p>
        </w:tc>
        <w:tc>
          <w:tcPr>
            <w:tcW w:w="722"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47.2</w:t>
            </w:r>
          </w:p>
        </w:tc>
        <w:tc>
          <w:tcPr>
            <w:tcW w:w="724"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highlight w:val="yellow"/>
                <w:lang w:eastAsia="zh-CN"/>
              </w:rPr>
            </w:pPr>
            <w:r>
              <w:rPr>
                <w:rFonts w:hint="eastAsia" w:hAnsi="Times New Roman" w:eastAsia="宋体"/>
                <w:kern w:val="2"/>
                <w:sz w:val="21"/>
                <w:szCs w:val="21"/>
                <w:lang w:eastAsia="zh-CN"/>
              </w:rPr>
              <w:t>47.2</w:t>
            </w:r>
          </w:p>
        </w:tc>
        <w:tc>
          <w:tcPr>
            <w:tcW w:w="722"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60</w:t>
            </w:r>
          </w:p>
        </w:tc>
        <w:tc>
          <w:tcPr>
            <w:tcW w:w="724"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50</w:t>
            </w:r>
          </w:p>
        </w:tc>
        <w:tc>
          <w:tcPr>
            <w:tcW w:w="722"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达标</w:t>
            </w:r>
          </w:p>
        </w:tc>
        <w:tc>
          <w:tcPr>
            <w:tcW w:w="725"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1"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西面厂界</w:t>
            </w:r>
          </w:p>
        </w:tc>
        <w:tc>
          <w:tcPr>
            <w:tcW w:w="722"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49.3</w:t>
            </w:r>
          </w:p>
        </w:tc>
        <w:tc>
          <w:tcPr>
            <w:tcW w:w="724"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highlight w:val="yellow"/>
                <w:lang w:eastAsia="zh-CN"/>
              </w:rPr>
            </w:pPr>
            <w:r>
              <w:rPr>
                <w:rFonts w:hint="eastAsia" w:hAnsi="Times New Roman" w:eastAsia="宋体"/>
                <w:kern w:val="2"/>
                <w:sz w:val="21"/>
                <w:szCs w:val="21"/>
                <w:lang w:eastAsia="zh-CN"/>
              </w:rPr>
              <w:t>49.3</w:t>
            </w:r>
          </w:p>
        </w:tc>
        <w:tc>
          <w:tcPr>
            <w:tcW w:w="722"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60</w:t>
            </w:r>
          </w:p>
        </w:tc>
        <w:tc>
          <w:tcPr>
            <w:tcW w:w="724"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50</w:t>
            </w:r>
          </w:p>
        </w:tc>
        <w:tc>
          <w:tcPr>
            <w:tcW w:w="722"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达标</w:t>
            </w:r>
          </w:p>
        </w:tc>
        <w:tc>
          <w:tcPr>
            <w:tcW w:w="725"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1"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北面厂界</w:t>
            </w:r>
          </w:p>
        </w:tc>
        <w:tc>
          <w:tcPr>
            <w:tcW w:w="722"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33.1</w:t>
            </w:r>
          </w:p>
        </w:tc>
        <w:tc>
          <w:tcPr>
            <w:tcW w:w="724"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highlight w:val="yellow"/>
                <w:lang w:eastAsia="zh-CN"/>
              </w:rPr>
            </w:pPr>
            <w:r>
              <w:rPr>
                <w:rFonts w:hint="eastAsia" w:hAnsi="Times New Roman" w:eastAsia="宋体"/>
                <w:kern w:val="2"/>
                <w:sz w:val="21"/>
                <w:szCs w:val="21"/>
                <w:lang w:eastAsia="zh-CN"/>
              </w:rPr>
              <w:t>33.1</w:t>
            </w:r>
          </w:p>
        </w:tc>
        <w:tc>
          <w:tcPr>
            <w:tcW w:w="722"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60</w:t>
            </w:r>
          </w:p>
        </w:tc>
        <w:tc>
          <w:tcPr>
            <w:tcW w:w="724"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50</w:t>
            </w:r>
          </w:p>
        </w:tc>
        <w:tc>
          <w:tcPr>
            <w:tcW w:w="722"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达标</w:t>
            </w:r>
          </w:p>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p>
        </w:tc>
        <w:tc>
          <w:tcPr>
            <w:tcW w:w="725"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达标</w:t>
            </w:r>
          </w:p>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p>
        </w:tc>
      </w:tr>
    </w:tbl>
    <w:p>
      <w:pPr>
        <w:pStyle w:val="14"/>
        <w:kinsoku w:val="0"/>
        <w:overflowPunct w:val="0"/>
        <w:spacing w:line="360" w:lineRule="auto"/>
        <w:ind w:left="226" w:right="298" w:firstLine="480"/>
        <w:rPr>
          <w:rFonts w:ascii="Times New Roman" w:hAnsi="Times New Roman"/>
          <w:spacing w:val="-1"/>
          <w:sz w:val="24"/>
        </w:rPr>
      </w:pPr>
      <w:r>
        <w:rPr>
          <w:rFonts w:ascii="Times New Roman" w:hAnsi="Times New Roman"/>
          <w:spacing w:val="-1"/>
          <w:sz w:val="24"/>
        </w:rPr>
        <w:t>根据表8.2-</w:t>
      </w:r>
      <w:r>
        <w:rPr>
          <w:rFonts w:hint="eastAsia" w:ascii="Times New Roman" w:hAnsi="Times New Roman"/>
          <w:spacing w:val="-1"/>
          <w:sz w:val="24"/>
          <w:lang w:eastAsia="zh-CN"/>
        </w:rPr>
        <w:t>4</w:t>
      </w:r>
      <w:r>
        <w:rPr>
          <w:rFonts w:ascii="Times New Roman" w:hAnsi="Times New Roman"/>
          <w:spacing w:val="-1"/>
          <w:sz w:val="24"/>
        </w:rPr>
        <w:t>，工业场地四周场界噪声昼间、夜间均满足《工业企业厂界环境噪</w:t>
      </w:r>
      <w:r>
        <w:rPr>
          <w:rFonts w:ascii="Times New Roman" w:hAnsi="Times New Roman"/>
          <w:spacing w:val="72"/>
          <w:sz w:val="24"/>
        </w:rPr>
        <w:t xml:space="preserve"> </w:t>
      </w:r>
      <w:r>
        <w:rPr>
          <w:rFonts w:ascii="Times New Roman" w:hAnsi="Times New Roman"/>
          <w:spacing w:val="-1"/>
          <w:sz w:val="24"/>
        </w:rPr>
        <w:t>声排放标准》（GB12348-2008）2类标准，不会对周围环境产生明显影响。</w:t>
      </w:r>
    </w:p>
    <w:p>
      <w:pPr>
        <w:pStyle w:val="14"/>
        <w:numPr>
          <w:ilvl w:val="0"/>
          <w:numId w:val="6"/>
        </w:numPr>
        <w:kinsoku w:val="0"/>
        <w:overflowPunct w:val="0"/>
        <w:spacing w:line="360" w:lineRule="auto"/>
        <w:ind w:right="4378" w:firstLine="480" w:firstLineChars="200"/>
        <w:rPr>
          <w:rFonts w:ascii="Times New Roman" w:hAnsi="Times New Roman"/>
          <w:spacing w:val="-1"/>
          <w:sz w:val="24"/>
        </w:rPr>
      </w:pPr>
      <w:r>
        <w:rPr>
          <w:rFonts w:ascii="Times New Roman" w:hAnsi="Times New Roman"/>
          <w:sz w:val="24"/>
        </w:rPr>
        <w:t>环境敏感点噪声影响评价</w:t>
      </w:r>
      <w:r>
        <w:rPr>
          <w:rFonts w:ascii="Times New Roman" w:hAnsi="Times New Roman"/>
          <w:spacing w:val="-1"/>
          <w:sz w:val="24"/>
        </w:rPr>
        <w:t>环境</w:t>
      </w:r>
    </w:p>
    <w:p>
      <w:pPr>
        <w:pStyle w:val="14"/>
        <w:kinsoku w:val="0"/>
        <w:overflowPunct w:val="0"/>
        <w:spacing w:line="360" w:lineRule="auto"/>
        <w:ind w:left="480" w:leftChars="200" w:right="4378"/>
        <w:rPr>
          <w:rFonts w:ascii="Times New Roman" w:hAnsi="Times New Roman"/>
          <w:spacing w:val="-1"/>
          <w:sz w:val="24"/>
        </w:rPr>
      </w:pPr>
      <w:r>
        <w:rPr>
          <w:rFonts w:ascii="Times New Roman" w:hAnsi="Times New Roman"/>
          <w:spacing w:val="-1"/>
          <w:sz w:val="24"/>
        </w:rPr>
        <w:t>敏感噪声预测结果具体见表8.2-</w:t>
      </w:r>
      <w:r>
        <w:rPr>
          <w:rFonts w:hint="eastAsia" w:ascii="Times New Roman" w:hAnsi="Times New Roman"/>
          <w:spacing w:val="-1"/>
          <w:sz w:val="24"/>
          <w:lang w:eastAsia="zh-CN"/>
        </w:rPr>
        <w:t>5</w:t>
      </w:r>
      <w:r>
        <w:rPr>
          <w:rFonts w:ascii="Times New Roman" w:hAnsi="Times New Roman"/>
          <w:spacing w:val="-1"/>
          <w:sz w:val="24"/>
        </w:rPr>
        <w:t>。</w:t>
      </w:r>
    </w:p>
    <w:p>
      <w:pPr>
        <w:jc w:val="center"/>
        <w:rPr>
          <w:rFonts w:hAnsi="Times New Roman" w:eastAsia="宋体"/>
          <w:b/>
          <w:bCs/>
          <w:sz w:val="21"/>
          <w:szCs w:val="21"/>
          <w:lang w:eastAsia="zh-CN"/>
        </w:rPr>
      </w:pPr>
      <w:r>
        <w:rPr>
          <w:rFonts w:hAnsi="Times New Roman" w:eastAsia="宋体"/>
          <w:b/>
          <w:bCs/>
          <w:sz w:val="21"/>
          <w:szCs w:val="21"/>
          <w:lang w:eastAsia="zh-CN"/>
        </w:rPr>
        <w:t>表8.2-</w:t>
      </w:r>
      <w:r>
        <w:rPr>
          <w:rFonts w:hint="eastAsia" w:hAnsi="Times New Roman" w:eastAsia="宋体"/>
          <w:b/>
          <w:bCs/>
          <w:sz w:val="21"/>
          <w:szCs w:val="21"/>
          <w:lang w:eastAsia="zh-CN"/>
        </w:rPr>
        <w:t>5</w:t>
      </w:r>
      <w:r>
        <w:rPr>
          <w:rFonts w:hAnsi="Times New Roman" w:eastAsia="宋体"/>
          <w:b/>
          <w:bCs/>
          <w:sz w:val="21"/>
          <w:szCs w:val="21"/>
          <w:lang w:eastAsia="zh-CN"/>
        </w:rPr>
        <w:t>环境敏感点噪声值</w:t>
      </w:r>
    </w:p>
    <w:tbl>
      <w:tblPr>
        <w:tblStyle w:val="33"/>
        <w:tblW w:w="8960" w:type="dxa"/>
        <w:jc w:val="center"/>
        <w:tblLayout w:type="fixed"/>
        <w:tblCellMar>
          <w:top w:w="0" w:type="dxa"/>
          <w:left w:w="108" w:type="dxa"/>
          <w:bottom w:w="0" w:type="dxa"/>
          <w:right w:w="108" w:type="dxa"/>
        </w:tblCellMar>
      </w:tblPr>
      <w:tblGrid>
        <w:gridCol w:w="1528"/>
        <w:gridCol w:w="1702"/>
        <w:gridCol w:w="851"/>
        <w:gridCol w:w="853"/>
        <w:gridCol w:w="1137"/>
        <w:gridCol w:w="711"/>
        <w:gridCol w:w="709"/>
        <w:gridCol w:w="712"/>
        <w:gridCol w:w="757"/>
      </w:tblGrid>
      <w:tr>
        <w:tblPrEx>
          <w:tblCellMar>
            <w:top w:w="0" w:type="dxa"/>
            <w:left w:w="108" w:type="dxa"/>
            <w:bottom w:w="0" w:type="dxa"/>
            <w:right w:w="108" w:type="dxa"/>
          </w:tblCellMar>
        </w:tblPrEx>
        <w:trPr>
          <w:trHeight w:val="386" w:hRule="atLeast"/>
          <w:jc w:val="center"/>
        </w:trPr>
        <w:tc>
          <w:tcPr>
            <w:tcW w:w="1528" w:type="dxa"/>
            <w:vMerge w:val="restart"/>
            <w:tcBorders>
              <w:top w:val="single" w:color="000000" w:sz="4" w:space="0"/>
              <w:left w:val="single" w:color="000000" w:sz="4" w:space="0"/>
              <w:bottom w:val="single" w:color="000000" w:sz="4" w:space="0"/>
              <w:right w:val="single" w:color="000000" w:sz="4" w:space="0"/>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预测点名称</w:t>
            </w:r>
          </w:p>
        </w:tc>
        <w:tc>
          <w:tcPr>
            <w:tcW w:w="1702" w:type="dxa"/>
            <w:vMerge w:val="restart"/>
            <w:tcBorders>
              <w:top w:val="single" w:color="000000" w:sz="4" w:space="0"/>
              <w:left w:val="single" w:color="000000" w:sz="4" w:space="0"/>
              <w:bottom w:val="single" w:color="000000" w:sz="4" w:space="0"/>
              <w:right w:val="single" w:color="000000" w:sz="4" w:space="0"/>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与厂界距离（m）</w:t>
            </w:r>
          </w:p>
        </w:tc>
        <w:tc>
          <w:tcPr>
            <w:tcW w:w="1704" w:type="dxa"/>
            <w:gridSpan w:val="2"/>
            <w:tcBorders>
              <w:top w:val="single" w:color="000000" w:sz="4" w:space="0"/>
              <w:left w:val="single" w:color="000000" w:sz="4" w:space="0"/>
              <w:bottom w:val="single" w:color="000000" w:sz="4" w:space="0"/>
              <w:right w:val="single" w:color="000000" w:sz="4" w:space="0"/>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本底值</w:t>
            </w:r>
          </w:p>
        </w:tc>
        <w:tc>
          <w:tcPr>
            <w:tcW w:w="1137" w:type="dxa"/>
            <w:vMerge w:val="restart"/>
            <w:tcBorders>
              <w:top w:val="single" w:color="000000" w:sz="4" w:space="0"/>
              <w:left w:val="single" w:color="000000" w:sz="4" w:space="0"/>
              <w:bottom w:val="single" w:color="000000" w:sz="4" w:space="0"/>
              <w:right w:val="single" w:color="000000" w:sz="4" w:space="0"/>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贡献值</w:t>
            </w:r>
          </w:p>
          <w:p>
            <w:pPr>
              <w:keepNext w:val="0"/>
              <w:keepLines w:val="0"/>
              <w:suppressLineNumbers w:val="0"/>
              <w:snapToGrid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dB（A）</w:t>
            </w:r>
          </w:p>
        </w:tc>
        <w:tc>
          <w:tcPr>
            <w:tcW w:w="1420" w:type="dxa"/>
            <w:gridSpan w:val="2"/>
            <w:tcBorders>
              <w:top w:val="single" w:color="000000" w:sz="4" w:space="0"/>
              <w:left w:val="single" w:color="000000" w:sz="4" w:space="0"/>
              <w:bottom w:val="single" w:color="000000" w:sz="4" w:space="0"/>
              <w:right w:val="single" w:color="000000" w:sz="4" w:space="0"/>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预测值Lmax</w:t>
            </w:r>
          </w:p>
        </w:tc>
        <w:tc>
          <w:tcPr>
            <w:tcW w:w="1469" w:type="dxa"/>
            <w:gridSpan w:val="2"/>
            <w:tcBorders>
              <w:top w:val="single" w:color="000000" w:sz="4" w:space="0"/>
              <w:left w:val="single" w:color="000000" w:sz="4" w:space="0"/>
              <w:bottom w:val="single" w:color="000000" w:sz="4" w:space="0"/>
              <w:right w:val="single" w:color="000000" w:sz="4" w:space="0"/>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评价结果</w:t>
            </w:r>
          </w:p>
        </w:tc>
      </w:tr>
      <w:tr>
        <w:tblPrEx>
          <w:tblCellMar>
            <w:top w:w="0" w:type="dxa"/>
            <w:left w:w="108" w:type="dxa"/>
            <w:bottom w:w="0" w:type="dxa"/>
            <w:right w:w="108" w:type="dxa"/>
          </w:tblCellMar>
        </w:tblPrEx>
        <w:trPr>
          <w:trHeight w:val="386" w:hRule="exact"/>
          <w:jc w:val="center"/>
        </w:trPr>
        <w:tc>
          <w:tcPr>
            <w:tcW w:w="1528" w:type="dxa"/>
            <w:vMerge w:val="continue"/>
            <w:tcBorders>
              <w:top w:val="single" w:color="000000" w:sz="4" w:space="0"/>
              <w:left w:val="single" w:color="000000" w:sz="4" w:space="0"/>
              <w:bottom w:val="single" w:color="000000" w:sz="4" w:space="0"/>
              <w:right w:val="single" w:color="000000" w:sz="4" w:space="0"/>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bCs/>
                <w:kern w:val="2"/>
                <w:sz w:val="21"/>
                <w:szCs w:val="21"/>
                <w:lang w:eastAsia="zh-CN"/>
              </w:rPr>
            </w:pPr>
          </w:p>
        </w:tc>
        <w:tc>
          <w:tcPr>
            <w:tcW w:w="1702" w:type="dxa"/>
            <w:vMerge w:val="continue"/>
            <w:tcBorders>
              <w:top w:val="single" w:color="000000" w:sz="4" w:space="0"/>
              <w:left w:val="single" w:color="000000" w:sz="4" w:space="0"/>
              <w:bottom w:val="single" w:color="000000" w:sz="4" w:space="0"/>
              <w:right w:val="single" w:color="000000" w:sz="4" w:space="0"/>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bCs/>
                <w:kern w:val="2"/>
                <w:sz w:val="21"/>
                <w:szCs w:val="21"/>
                <w:lang w:eastAsia="zh-CN"/>
              </w:rPr>
            </w:pPr>
          </w:p>
        </w:tc>
        <w:tc>
          <w:tcPr>
            <w:tcW w:w="851" w:type="dxa"/>
            <w:tcBorders>
              <w:top w:val="single" w:color="000000" w:sz="4" w:space="0"/>
              <w:left w:val="single" w:color="000000" w:sz="4" w:space="0"/>
              <w:bottom w:val="single" w:color="000000" w:sz="4" w:space="0"/>
              <w:right w:val="single" w:color="000000" w:sz="4" w:space="0"/>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昼间</w:t>
            </w:r>
          </w:p>
        </w:tc>
        <w:tc>
          <w:tcPr>
            <w:tcW w:w="853" w:type="dxa"/>
            <w:tcBorders>
              <w:top w:val="single" w:color="000000" w:sz="4" w:space="0"/>
              <w:left w:val="single" w:color="000000" w:sz="4" w:space="0"/>
              <w:bottom w:val="single" w:color="000000" w:sz="4" w:space="0"/>
              <w:right w:val="single" w:color="000000" w:sz="4" w:space="0"/>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夜间</w:t>
            </w:r>
          </w:p>
        </w:tc>
        <w:tc>
          <w:tcPr>
            <w:tcW w:w="1137" w:type="dxa"/>
            <w:vMerge w:val="continue"/>
            <w:tcBorders>
              <w:top w:val="single" w:color="000000" w:sz="4" w:space="0"/>
              <w:left w:val="single" w:color="000000" w:sz="4" w:space="0"/>
              <w:bottom w:val="single" w:color="000000" w:sz="4" w:space="0"/>
              <w:right w:val="single" w:color="000000" w:sz="4" w:space="0"/>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bCs/>
                <w:kern w:val="2"/>
                <w:sz w:val="21"/>
                <w:szCs w:val="21"/>
                <w:lang w:eastAsia="zh-CN"/>
              </w:rPr>
            </w:pPr>
          </w:p>
        </w:tc>
        <w:tc>
          <w:tcPr>
            <w:tcW w:w="711" w:type="dxa"/>
            <w:tcBorders>
              <w:top w:val="single" w:color="000000" w:sz="4" w:space="0"/>
              <w:left w:val="single" w:color="000000" w:sz="4" w:space="0"/>
              <w:bottom w:val="single" w:color="000000" w:sz="4" w:space="0"/>
              <w:right w:val="single" w:color="000000" w:sz="4" w:space="0"/>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昼间</w:t>
            </w:r>
          </w:p>
        </w:tc>
        <w:tc>
          <w:tcPr>
            <w:tcW w:w="709" w:type="dxa"/>
            <w:tcBorders>
              <w:top w:val="single" w:color="000000" w:sz="4" w:space="0"/>
              <w:left w:val="single" w:color="000000" w:sz="4" w:space="0"/>
              <w:bottom w:val="single" w:color="000000" w:sz="4" w:space="0"/>
              <w:right w:val="single" w:color="000000" w:sz="4" w:space="0"/>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夜间</w:t>
            </w:r>
          </w:p>
        </w:tc>
        <w:tc>
          <w:tcPr>
            <w:tcW w:w="712" w:type="dxa"/>
            <w:tcBorders>
              <w:top w:val="single" w:color="000000" w:sz="4" w:space="0"/>
              <w:left w:val="single" w:color="000000" w:sz="4" w:space="0"/>
              <w:bottom w:val="single" w:color="000000" w:sz="4" w:space="0"/>
              <w:right w:val="single" w:color="000000" w:sz="4" w:space="0"/>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昼间</w:t>
            </w:r>
          </w:p>
        </w:tc>
        <w:tc>
          <w:tcPr>
            <w:tcW w:w="757" w:type="dxa"/>
            <w:tcBorders>
              <w:top w:val="single" w:color="000000" w:sz="4" w:space="0"/>
              <w:left w:val="single" w:color="000000" w:sz="4" w:space="0"/>
              <w:bottom w:val="single" w:color="000000" w:sz="4" w:space="0"/>
              <w:right w:val="single" w:color="000000" w:sz="4" w:space="0"/>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夜间</w:t>
            </w:r>
          </w:p>
        </w:tc>
      </w:tr>
      <w:tr>
        <w:tblPrEx>
          <w:tblCellMar>
            <w:top w:w="0" w:type="dxa"/>
            <w:left w:w="108" w:type="dxa"/>
            <w:bottom w:w="0" w:type="dxa"/>
            <w:right w:w="108" w:type="dxa"/>
          </w:tblCellMar>
        </w:tblPrEx>
        <w:trPr>
          <w:trHeight w:val="400" w:hRule="exact"/>
          <w:jc w:val="center"/>
        </w:trPr>
        <w:tc>
          <w:tcPr>
            <w:tcW w:w="1528" w:type="dxa"/>
            <w:tcBorders>
              <w:top w:val="single" w:color="000000" w:sz="4" w:space="0"/>
              <w:left w:val="single" w:color="000000" w:sz="4" w:space="0"/>
              <w:bottom w:val="single" w:color="000000" w:sz="4" w:space="0"/>
              <w:right w:val="single" w:color="000000" w:sz="4" w:space="0"/>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西北侧住户</w:t>
            </w:r>
          </w:p>
        </w:tc>
        <w:tc>
          <w:tcPr>
            <w:tcW w:w="1702" w:type="dxa"/>
            <w:tcBorders>
              <w:top w:val="single" w:color="000000" w:sz="4" w:space="0"/>
              <w:left w:val="single" w:color="000000" w:sz="4" w:space="0"/>
              <w:bottom w:val="single" w:color="000000" w:sz="4" w:space="0"/>
              <w:right w:val="single" w:color="000000" w:sz="4" w:space="0"/>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14</w:t>
            </w:r>
          </w:p>
        </w:tc>
        <w:tc>
          <w:tcPr>
            <w:tcW w:w="851" w:type="dxa"/>
            <w:tcBorders>
              <w:top w:val="single" w:color="000000" w:sz="4" w:space="0"/>
              <w:left w:val="single" w:color="000000" w:sz="4" w:space="0"/>
              <w:bottom w:val="single" w:color="000000" w:sz="4" w:space="0"/>
              <w:right w:val="single" w:color="000000" w:sz="4" w:space="0"/>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58</w:t>
            </w:r>
          </w:p>
        </w:tc>
        <w:tc>
          <w:tcPr>
            <w:tcW w:w="853" w:type="dxa"/>
            <w:tcBorders>
              <w:top w:val="single" w:color="000000" w:sz="4" w:space="0"/>
              <w:left w:val="single" w:color="000000" w:sz="4" w:space="0"/>
              <w:bottom w:val="single" w:color="000000" w:sz="4" w:space="0"/>
              <w:right w:val="single" w:color="000000" w:sz="4" w:space="0"/>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44</w:t>
            </w:r>
          </w:p>
        </w:tc>
        <w:tc>
          <w:tcPr>
            <w:tcW w:w="1137" w:type="dxa"/>
            <w:tcBorders>
              <w:top w:val="single" w:color="000000" w:sz="4" w:space="0"/>
              <w:left w:val="single" w:color="000000" w:sz="4" w:space="0"/>
              <w:bottom w:val="single" w:color="000000" w:sz="4" w:space="0"/>
              <w:right w:val="single" w:color="000000" w:sz="4" w:space="0"/>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49.3</w:t>
            </w:r>
          </w:p>
        </w:tc>
        <w:tc>
          <w:tcPr>
            <w:tcW w:w="711" w:type="dxa"/>
            <w:tcBorders>
              <w:top w:val="single" w:color="000000" w:sz="4" w:space="0"/>
              <w:left w:val="single" w:color="000000" w:sz="4" w:space="0"/>
              <w:bottom w:val="single" w:color="000000" w:sz="4" w:space="0"/>
              <w:right w:val="single" w:color="000000" w:sz="4" w:space="0"/>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58.5</w:t>
            </w:r>
          </w:p>
        </w:tc>
        <w:tc>
          <w:tcPr>
            <w:tcW w:w="709" w:type="dxa"/>
            <w:tcBorders>
              <w:top w:val="single" w:color="000000" w:sz="4" w:space="0"/>
              <w:left w:val="single" w:color="000000" w:sz="4" w:space="0"/>
              <w:bottom w:val="single" w:color="000000" w:sz="4" w:space="0"/>
              <w:right w:val="single" w:color="000000" w:sz="4" w:space="0"/>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50.4</w:t>
            </w:r>
          </w:p>
        </w:tc>
        <w:tc>
          <w:tcPr>
            <w:tcW w:w="712" w:type="dxa"/>
            <w:tcBorders>
              <w:top w:val="single" w:color="000000" w:sz="4" w:space="0"/>
              <w:left w:val="single" w:color="000000" w:sz="4" w:space="0"/>
              <w:bottom w:val="single" w:color="000000" w:sz="4" w:space="0"/>
              <w:right w:val="single" w:color="000000" w:sz="4" w:space="0"/>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达标</w:t>
            </w:r>
          </w:p>
        </w:tc>
        <w:tc>
          <w:tcPr>
            <w:tcW w:w="757" w:type="dxa"/>
            <w:tcBorders>
              <w:top w:val="single" w:color="000000" w:sz="4" w:space="0"/>
              <w:left w:val="single" w:color="000000" w:sz="4" w:space="0"/>
              <w:bottom w:val="single" w:color="000000" w:sz="4" w:space="0"/>
              <w:right w:val="single" w:color="000000" w:sz="4" w:space="0"/>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达标</w:t>
            </w:r>
          </w:p>
        </w:tc>
      </w:tr>
    </w:tbl>
    <w:p>
      <w:pPr>
        <w:spacing w:line="360" w:lineRule="auto"/>
        <w:ind w:firstLine="476" w:firstLineChars="200"/>
        <w:rPr>
          <w:rFonts w:hAnsi="Times New Roman" w:eastAsia="宋体"/>
          <w:szCs w:val="24"/>
          <w:lang w:eastAsia="zh-CN"/>
        </w:rPr>
      </w:pPr>
      <w:r>
        <w:rPr>
          <w:rFonts w:hAnsi="Times New Roman" w:eastAsia="宋体"/>
          <w:spacing w:val="-1"/>
        </w:rPr>
        <w:t>根据表 8.2-</w:t>
      </w:r>
      <w:r>
        <w:rPr>
          <w:rFonts w:hint="eastAsia" w:hAnsi="Times New Roman" w:eastAsia="宋体"/>
          <w:spacing w:val="-1"/>
          <w:lang w:eastAsia="zh-CN"/>
        </w:rPr>
        <w:t>5</w:t>
      </w:r>
      <w:r>
        <w:rPr>
          <w:rFonts w:hAnsi="Times New Roman" w:eastAsia="宋体"/>
          <w:spacing w:val="-1"/>
        </w:rPr>
        <w:t>， 环境敏感点噪声昼间、夜间均满足《声环境质量标准》（GB3096-2008）2类标准，不会对周围环境产生明显影响</w:t>
      </w:r>
      <w:r>
        <w:rPr>
          <w:rFonts w:hAnsi="Times New Roman" w:eastAsia="宋体"/>
          <w:spacing w:val="-1"/>
          <w:lang w:eastAsia="zh-CN"/>
        </w:rPr>
        <w:t>。</w:t>
      </w:r>
    </w:p>
    <w:p>
      <w:pPr>
        <w:pStyle w:val="14"/>
        <w:kinsoku w:val="0"/>
        <w:overflowPunct w:val="0"/>
        <w:spacing w:line="360" w:lineRule="auto"/>
        <w:ind w:right="298"/>
        <w:jc w:val="center"/>
        <w:rPr>
          <w:rFonts w:ascii="Times New Roman" w:hAnsi="Times New Roman"/>
          <w:spacing w:val="-1"/>
          <w:sz w:val="24"/>
          <w:lang w:eastAsia="zh-CN"/>
        </w:rPr>
      </w:pPr>
      <w:r>
        <w:rPr>
          <w:rFonts w:ascii="Times New Roman" w:hAnsi="Times New Roman"/>
        </w:rPr>
        <w:drawing>
          <wp:inline distT="0" distB="0" distL="114300" distR="114300">
            <wp:extent cx="5540375" cy="3963035"/>
            <wp:effectExtent l="0" t="0" r="3175" b="18415"/>
            <wp:docPr id="23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46"/>
                    <pic:cNvPicPr>
                      <a:picLocks noChangeAspect="1"/>
                    </pic:cNvPicPr>
                  </pic:nvPicPr>
                  <pic:blipFill>
                    <a:blip r:embed="rId255"/>
                    <a:stretch>
                      <a:fillRect/>
                    </a:stretch>
                  </pic:blipFill>
                  <pic:spPr>
                    <a:xfrm>
                      <a:off x="0" y="0"/>
                      <a:ext cx="5540375" cy="3963035"/>
                    </a:xfrm>
                    <a:prstGeom prst="rect">
                      <a:avLst/>
                    </a:prstGeom>
                    <a:noFill/>
                    <a:ln>
                      <a:noFill/>
                    </a:ln>
                  </pic:spPr>
                </pic:pic>
              </a:graphicData>
            </a:graphic>
          </wp:inline>
        </w:drawing>
      </w:r>
    </w:p>
    <w:p>
      <w:pPr>
        <w:jc w:val="center"/>
        <w:rPr>
          <w:rFonts w:hAnsi="Times New Roman" w:eastAsia="宋体"/>
          <w:b/>
          <w:bCs/>
          <w:sz w:val="21"/>
          <w:szCs w:val="21"/>
          <w:lang w:eastAsia="zh-CN"/>
        </w:rPr>
      </w:pPr>
      <w:r>
        <w:rPr>
          <w:rFonts w:hAnsi="Times New Roman" w:eastAsia="宋体"/>
          <w:b/>
          <w:bCs/>
          <w:sz w:val="21"/>
          <w:szCs w:val="21"/>
          <w:lang w:eastAsia="zh-CN"/>
        </w:rPr>
        <w:t>图8.2-1 本项目营运期主井工业广场昼间等声级线图 （单位：[dB(A)]）</w:t>
      </w:r>
    </w:p>
    <w:p>
      <w:pPr>
        <w:pStyle w:val="6"/>
        <w:jc w:val="center"/>
        <w:rPr>
          <w:lang w:eastAsia="zh-CN"/>
        </w:rPr>
      </w:pPr>
      <w:bookmarkStart w:id="595" w:name="_Toc163812667"/>
      <w:bookmarkStart w:id="596" w:name="_Toc167095290"/>
      <w:r>
        <w:drawing>
          <wp:inline distT="0" distB="0" distL="114300" distR="114300">
            <wp:extent cx="5452110" cy="4225290"/>
            <wp:effectExtent l="0" t="0" r="15240" b="3810"/>
            <wp:docPr id="243"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47"/>
                    <pic:cNvPicPr>
                      <a:picLocks noChangeAspect="1"/>
                    </pic:cNvPicPr>
                  </pic:nvPicPr>
                  <pic:blipFill>
                    <a:blip r:embed="rId256"/>
                    <a:stretch>
                      <a:fillRect/>
                    </a:stretch>
                  </pic:blipFill>
                  <pic:spPr>
                    <a:xfrm>
                      <a:off x="0" y="0"/>
                      <a:ext cx="5452110" cy="4225290"/>
                    </a:xfrm>
                    <a:prstGeom prst="rect">
                      <a:avLst/>
                    </a:prstGeom>
                    <a:noFill/>
                    <a:ln>
                      <a:noFill/>
                    </a:ln>
                  </pic:spPr>
                </pic:pic>
              </a:graphicData>
            </a:graphic>
          </wp:inline>
        </w:drawing>
      </w:r>
      <w:bookmarkEnd w:id="595"/>
      <w:bookmarkEnd w:id="596"/>
    </w:p>
    <w:p>
      <w:pPr>
        <w:jc w:val="center"/>
        <w:rPr>
          <w:rFonts w:hAnsi="Times New Roman" w:eastAsia="宋体"/>
          <w:b/>
          <w:bCs/>
          <w:sz w:val="21"/>
          <w:szCs w:val="21"/>
          <w:lang w:eastAsia="zh-CN"/>
        </w:rPr>
      </w:pPr>
      <w:r>
        <w:rPr>
          <w:rFonts w:hAnsi="Times New Roman" w:eastAsia="宋体"/>
          <w:b/>
          <w:bCs/>
          <w:sz w:val="21"/>
          <w:szCs w:val="21"/>
          <w:lang w:eastAsia="zh-CN"/>
        </w:rPr>
        <w:t>图8.2-2 本项目营运期主井工业广场夜间等声级线图 （单位：[dB(A)]）</w:t>
      </w:r>
    </w:p>
    <w:p>
      <w:pPr>
        <w:pStyle w:val="6"/>
        <w:rPr>
          <w:lang w:eastAsia="zh-CN"/>
        </w:rPr>
      </w:pPr>
      <w:bookmarkStart w:id="597" w:name="_Toc163812668"/>
      <w:bookmarkStart w:id="598" w:name="_Toc167095291"/>
      <w:r>
        <w:rPr>
          <w:lang w:eastAsia="zh-CN"/>
        </w:rPr>
        <w:t>8.2.2 风井场地声环境影响分析</w:t>
      </w:r>
      <w:bookmarkEnd w:id="597"/>
      <w:bookmarkEnd w:id="598"/>
    </w:p>
    <w:p>
      <w:pPr>
        <w:spacing w:line="360" w:lineRule="auto"/>
        <w:ind w:firstLine="480" w:firstLineChars="200"/>
        <w:rPr>
          <w:rFonts w:hAnsi="Times New Roman" w:eastAsia="宋体"/>
          <w:lang w:eastAsia="zh-CN"/>
        </w:rPr>
      </w:pPr>
      <w:r>
        <w:rPr>
          <w:rFonts w:hAnsi="Times New Roman" w:eastAsia="宋体"/>
          <w:lang w:eastAsia="zh-CN"/>
        </w:rPr>
        <w:t>（1）+572m回风平硐场地</w:t>
      </w:r>
    </w:p>
    <w:p>
      <w:pPr>
        <w:spacing w:line="360" w:lineRule="auto"/>
        <w:ind w:firstLine="480" w:firstLineChars="200"/>
        <w:rPr>
          <w:rFonts w:hAnsi="Times New Roman" w:eastAsia="宋体"/>
          <w:lang w:eastAsia="zh-CN"/>
        </w:rPr>
      </w:pPr>
      <w:r>
        <w:rPr>
          <w:rFonts w:hAnsi="Times New Roman" w:eastAsia="宋体"/>
          <w:lang w:eastAsia="zh-CN"/>
        </w:rPr>
        <w:t>由于本次环评现状监测时，为了防止瓦斯聚集，+572m回风平硐场地通风机处于运营状态，现状监测已经包含了风机噪声的影响，因此预测采用现状监测值叠加瓦斯抽采站贡献值预测分析影响情况。</w:t>
      </w:r>
    </w:p>
    <w:p>
      <w:pPr>
        <w:jc w:val="center"/>
        <w:rPr>
          <w:rFonts w:hAnsi="Times New Roman" w:eastAsia="宋体"/>
          <w:b/>
          <w:bCs/>
          <w:sz w:val="21"/>
          <w:szCs w:val="21"/>
          <w:lang w:eastAsia="zh-CN"/>
        </w:rPr>
      </w:pPr>
      <w:r>
        <w:rPr>
          <w:rFonts w:hAnsi="Times New Roman" w:eastAsia="宋体"/>
          <w:b/>
          <w:bCs/>
          <w:sz w:val="21"/>
          <w:szCs w:val="21"/>
          <w:lang w:eastAsia="zh-CN"/>
        </w:rPr>
        <w:t>表8.2-</w:t>
      </w:r>
      <w:r>
        <w:rPr>
          <w:rFonts w:hint="eastAsia" w:hAnsi="Times New Roman" w:eastAsia="宋体"/>
          <w:b/>
          <w:bCs/>
          <w:sz w:val="21"/>
          <w:szCs w:val="21"/>
          <w:lang w:eastAsia="zh-CN"/>
        </w:rPr>
        <w:t>6</w:t>
      </w:r>
      <w:r>
        <w:rPr>
          <w:rFonts w:hAnsi="Times New Roman" w:eastAsia="宋体"/>
          <w:b/>
          <w:bCs/>
          <w:sz w:val="21"/>
          <w:szCs w:val="21"/>
          <w:lang w:eastAsia="zh-CN"/>
        </w:rPr>
        <w:t xml:space="preserve">  营运期+572m回风平硐场地厂界噪声预测结果    单位：dB(A)</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7"/>
        <w:gridCol w:w="850"/>
        <w:gridCol w:w="850"/>
        <w:gridCol w:w="850"/>
        <w:gridCol w:w="850"/>
        <w:gridCol w:w="850"/>
        <w:gridCol w:w="850"/>
        <w:gridCol w:w="850"/>
        <w:gridCol w:w="854"/>
        <w:gridCol w:w="845"/>
        <w:gridCol w:w="8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448" w:type="pct"/>
            <w:vMerge w:val="restar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预测点位</w:t>
            </w:r>
          </w:p>
        </w:tc>
        <w:tc>
          <w:tcPr>
            <w:tcW w:w="910" w:type="pct"/>
            <w:gridSpan w:val="2"/>
            <w:vMerge w:val="restar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厂界贡献值</w:t>
            </w:r>
          </w:p>
          <w:p>
            <w:pPr>
              <w:keepNext w:val="0"/>
              <w:keepLines w:val="0"/>
              <w:suppressLineNumbers w:val="0"/>
              <w:snapToGrid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dB(A)</w:t>
            </w:r>
          </w:p>
        </w:tc>
        <w:tc>
          <w:tcPr>
            <w:tcW w:w="910" w:type="pct"/>
            <w:gridSpan w:val="2"/>
            <w:vMerge w:val="restar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原有工程厂界值dB(A)</w:t>
            </w:r>
          </w:p>
        </w:tc>
        <w:tc>
          <w:tcPr>
            <w:tcW w:w="910" w:type="pct"/>
            <w:gridSpan w:val="2"/>
            <w:vMerge w:val="restar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预测值</w:t>
            </w:r>
          </w:p>
          <w:p>
            <w:pPr>
              <w:keepNext w:val="0"/>
              <w:keepLines w:val="0"/>
              <w:suppressLineNumbers w:val="0"/>
              <w:snapToGrid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dB(A)</w:t>
            </w:r>
          </w:p>
        </w:tc>
        <w:tc>
          <w:tcPr>
            <w:tcW w:w="912" w:type="pct"/>
            <w:gridSpan w:val="2"/>
            <w:vMerge w:val="restar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标准值dB(A)</w:t>
            </w:r>
          </w:p>
        </w:tc>
        <w:tc>
          <w:tcPr>
            <w:tcW w:w="910" w:type="pct"/>
            <w:gridSpan w:val="2"/>
            <w:vMerge w:val="restar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评价结果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jc w:val="center"/>
        </w:trPr>
        <w:tc>
          <w:tcPr>
            <w:tcW w:w="448" w:type="pct"/>
            <w:vMerge w:val="continue"/>
            <w:tcBorders>
              <w:tl2br w:val="nil"/>
              <w:tr2bl w:val="nil"/>
            </w:tcBorders>
            <w:vAlign w:val="center"/>
          </w:tcPr>
          <w:p>
            <w:pPr>
              <w:pStyle w:val="19"/>
              <w:keepNext w:val="0"/>
              <w:keepLines w:val="0"/>
              <w:suppressLineNumbers w:val="0"/>
              <w:adjustRightInd w:val="0"/>
              <w:snapToGrid w:val="0"/>
              <w:spacing w:before="0" w:beforeAutospacing="0" w:after="0" w:afterAutospacing="0" w:line="240" w:lineRule="exact"/>
              <w:ind w:left="0" w:right="0" w:firstLine="422"/>
              <w:jc w:val="center"/>
              <w:rPr>
                <w:rFonts w:hint="eastAsia"/>
                <w:b/>
                <w:sz w:val="21"/>
                <w:szCs w:val="21"/>
              </w:rPr>
            </w:pPr>
          </w:p>
        </w:tc>
        <w:tc>
          <w:tcPr>
            <w:tcW w:w="910" w:type="pct"/>
            <w:gridSpan w:val="2"/>
            <w:vMerge w:val="continue"/>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bCs/>
                <w:kern w:val="2"/>
                <w:sz w:val="21"/>
                <w:szCs w:val="21"/>
                <w:lang w:eastAsia="zh-CN"/>
              </w:rPr>
            </w:pPr>
          </w:p>
        </w:tc>
        <w:tc>
          <w:tcPr>
            <w:tcW w:w="910" w:type="pct"/>
            <w:gridSpan w:val="2"/>
            <w:vMerge w:val="continue"/>
            <w:tcBorders>
              <w:tl2br w:val="nil"/>
              <w:tr2bl w:val="nil"/>
            </w:tcBorders>
            <w:vAlign w:val="center"/>
          </w:tcPr>
          <w:p>
            <w:pPr>
              <w:pStyle w:val="19"/>
              <w:keepNext w:val="0"/>
              <w:keepLines w:val="0"/>
              <w:suppressLineNumbers w:val="0"/>
              <w:adjustRightInd w:val="0"/>
              <w:snapToGrid w:val="0"/>
              <w:spacing w:before="0" w:beforeAutospacing="0" w:after="0" w:afterAutospacing="0" w:line="240" w:lineRule="exact"/>
              <w:ind w:left="0" w:right="0" w:firstLine="422"/>
              <w:jc w:val="center"/>
              <w:rPr>
                <w:rFonts w:hint="eastAsia"/>
                <w:b/>
                <w:sz w:val="21"/>
                <w:szCs w:val="21"/>
              </w:rPr>
            </w:pPr>
          </w:p>
        </w:tc>
        <w:tc>
          <w:tcPr>
            <w:tcW w:w="910" w:type="pct"/>
            <w:gridSpan w:val="2"/>
            <w:vMerge w:val="continue"/>
            <w:tcBorders>
              <w:tl2br w:val="nil"/>
              <w:tr2bl w:val="nil"/>
            </w:tcBorders>
            <w:vAlign w:val="center"/>
          </w:tcPr>
          <w:p>
            <w:pPr>
              <w:pStyle w:val="19"/>
              <w:keepNext w:val="0"/>
              <w:keepLines w:val="0"/>
              <w:suppressLineNumbers w:val="0"/>
              <w:adjustRightInd w:val="0"/>
              <w:snapToGrid w:val="0"/>
              <w:spacing w:before="0" w:beforeAutospacing="0" w:after="0" w:afterAutospacing="0" w:line="240" w:lineRule="exact"/>
              <w:ind w:left="0" w:right="0" w:firstLine="0" w:firstLineChars="0"/>
              <w:jc w:val="center"/>
              <w:rPr>
                <w:rFonts w:hint="eastAsia"/>
                <w:b/>
                <w:sz w:val="21"/>
                <w:szCs w:val="21"/>
              </w:rPr>
            </w:pPr>
          </w:p>
        </w:tc>
        <w:tc>
          <w:tcPr>
            <w:tcW w:w="912" w:type="pct"/>
            <w:gridSpan w:val="2"/>
            <w:vMerge w:val="continue"/>
            <w:tcBorders>
              <w:tl2br w:val="nil"/>
              <w:tr2bl w:val="nil"/>
            </w:tcBorders>
            <w:vAlign w:val="center"/>
          </w:tcPr>
          <w:p>
            <w:pPr>
              <w:pStyle w:val="19"/>
              <w:keepNext w:val="0"/>
              <w:keepLines w:val="0"/>
              <w:suppressLineNumbers w:val="0"/>
              <w:adjustRightInd w:val="0"/>
              <w:snapToGrid w:val="0"/>
              <w:spacing w:before="0" w:beforeAutospacing="0" w:after="0" w:afterAutospacing="0" w:line="240" w:lineRule="exact"/>
              <w:ind w:left="0" w:right="0" w:firstLine="0" w:firstLineChars="0"/>
              <w:jc w:val="center"/>
              <w:rPr>
                <w:rFonts w:hint="eastAsia"/>
                <w:b/>
                <w:sz w:val="21"/>
                <w:szCs w:val="21"/>
              </w:rPr>
            </w:pPr>
          </w:p>
        </w:tc>
        <w:tc>
          <w:tcPr>
            <w:tcW w:w="910" w:type="pct"/>
            <w:gridSpan w:val="2"/>
            <w:vMerge w:val="continue"/>
            <w:tcBorders>
              <w:tl2br w:val="nil"/>
              <w:tr2bl w:val="nil"/>
            </w:tcBorders>
            <w:vAlign w:val="center"/>
          </w:tcPr>
          <w:p>
            <w:pPr>
              <w:pStyle w:val="19"/>
              <w:keepNext w:val="0"/>
              <w:keepLines w:val="0"/>
              <w:suppressLineNumbers w:val="0"/>
              <w:adjustRightInd w:val="0"/>
              <w:snapToGrid w:val="0"/>
              <w:spacing w:before="0" w:beforeAutospacing="0" w:after="0" w:afterAutospacing="0" w:line="240" w:lineRule="exact"/>
              <w:ind w:left="0" w:right="0" w:firstLine="422"/>
              <w:jc w:val="center"/>
              <w:rPr>
                <w:rFonts w:hint="eastAsia"/>
                <w:b/>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jc w:val="center"/>
        </w:trPr>
        <w:tc>
          <w:tcPr>
            <w:tcW w:w="448" w:type="pct"/>
            <w:vMerge w:val="continue"/>
            <w:tcBorders>
              <w:tl2br w:val="nil"/>
              <w:tr2bl w:val="nil"/>
            </w:tcBorders>
            <w:vAlign w:val="center"/>
          </w:tcPr>
          <w:p>
            <w:pPr>
              <w:pStyle w:val="19"/>
              <w:keepNext w:val="0"/>
              <w:keepLines w:val="0"/>
              <w:suppressLineNumbers w:val="0"/>
              <w:adjustRightInd w:val="0"/>
              <w:snapToGrid w:val="0"/>
              <w:spacing w:before="0" w:beforeAutospacing="0" w:after="0" w:afterAutospacing="0" w:line="240" w:lineRule="exact"/>
              <w:ind w:left="0" w:right="0" w:firstLine="422"/>
              <w:jc w:val="center"/>
              <w:rPr>
                <w:rFonts w:hint="eastAsia"/>
                <w:b/>
                <w:sz w:val="21"/>
                <w:szCs w:val="21"/>
              </w:rPr>
            </w:pPr>
          </w:p>
        </w:tc>
        <w:tc>
          <w:tcPr>
            <w:tcW w:w="455"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昼间</w:t>
            </w:r>
          </w:p>
        </w:tc>
        <w:tc>
          <w:tcPr>
            <w:tcW w:w="455"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夜间</w:t>
            </w:r>
          </w:p>
        </w:tc>
        <w:tc>
          <w:tcPr>
            <w:tcW w:w="455"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kern w:val="2"/>
                <w:sz w:val="21"/>
                <w:szCs w:val="21"/>
              </w:rPr>
            </w:pPr>
            <w:r>
              <w:rPr>
                <w:rFonts w:hint="eastAsia" w:hAnsi="Times New Roman" w:eastAsia="宋体"/>
                <w:b/>
                <w:bCs/>
                <w:kern w:val="2"/>
                <w:sz w:val="21"/>
                <w:szCs w:val="21"/>
                <w:lang w:eastAsia="zh-CN"/>
              </w:rPr>
              <w:t>昼间</w:t>
            </w:r>
          </w:p>
        </w:tc>
        <w:tc>
          <w:tcPr>
            <w:tcW w:w="455"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kern w:val="2"/>
                <w:sz w:val="21"/>
                <w:szCs w:val="21"/>
              </w:rPr>
            </w:pPr>
            <w:r>
              <w:rPr>
                <w:rFonts w:hint="eastAsia" w:hAnsi="Times New Roman" w:eastAsia="宋体"/>
                <w:b/>
                <w:bCs/>
                <w:kern w:val="2"/>
                <w:sz w:val="21"/>
                <w:szCs w:val="21"/>
                <w:lang w:eastAsia="zh-CN"/>
              </w:rPr>
              <w:t>夜间</w:t>
            </w:r>
          </w:p>
        </w:tc>
        <w:tc>
          <w:tcPr>
            <w:tcW w:w="455"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kern w:val="2"/>
                <w:sz w:val="21"/>
                <w:szCs w:val="21"/>
              </w:rPr>
            </w:pPr>
            <w:r>
              <w:rPr>
                <w:rFonts w:hint="eastAsia" w:hAnsi="Times New Roman" w:eastAsia="宋体"/>
                <w:b/>
                <w:bCs/>
                <w:kern w:val="2"/>
                <w:sz w:val="21"/>
                <w:szCs w:val="21"/>
                <w:lang w:eastAsia="zh-CN"/>
              </w:rPr>
              <w:t>昼间</w:t>
            </w:r>
          </w:p>
        </w:tc>
        <w:tc>
          <w:tcPr>
            <w:tcW w:w="455"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kern w:val="2"/>
                <w:sz w:val="21"/>
                <w:szCs w:val="21"/>
              </w:rPr>
            </w:pPr>
            <w:r>
              <w:rPr>
                <w:rFonts w:hint="eastAsia" w:hAnsi="Times New Roman" w:eastAsia="宋体"/>
                <w:b/>
                <w:bCs/>
                <w:kern w:val="2"/>
                <w:sz w:val="21"/>
                <w:szCs w:val="21"/>
                <w:lang w:eastAsia="zh-CN"/>
              </w:rPr>
              <w:t>夜间</w:t>
            </w:r>
          </w:p>
        </w:tc>
        <w:tc>
          <w:tcPr>
            <w:tcW w:w="455"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kern w:val="2"/>
                <w:sz w:val="21"/>
                <w:szCs w:val="21"/>
              </w:rPr>
            </w:pPr>
            <w:r>
              <w:rPr>
                <w:rFonts w:hint="eastAsia" w:hAnsi="Times New Roman" w:eastAsia="宋体"/>
                <w:b/>
                <w:bCs/>
                <w:kern w:val="2"/>
                <w:sz w:val="21"/>
                <w:szCs w:val="21"/>
                <w:lang w:eastAsia="zh-CN"/>
              </w:rPr>
              <w:t>昼间</w:t>
            </w:r>
          </w:p>
        </w:tc>
        <w:tc>
          <w:tcPr>
            <w:tcW w:w="457"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kern w:val="2"/>
                <w:sz w:val="21"/>
                <w:szCs w:val="21"/>
              </w:rPr>
            </w:pPr>
            <w:r>
              <w:rPr>
                <w:rFonts w:hint="eastAsia" w:hAnsi="Times New Roman" w:eastAsia="宋体"/>
                <w:b/>
                <w:bCs/>
                <w:kern w:val="2"/>
                <w:sz w:val="21"/>
                <w:szCs w:val="21"/>
                <w:lang w:eastAsia="zh-CN"/>
              </w:rPr>
              <w:t>夜间</w:t>
            </w:r>
          </w:p>
        </w:tc>
        <w:tc>
          <w:tcPr>
            <w:tcW w:w="452"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kern w:val="2"/>
                <w:sz w:val="21"/>
                <w:szCs w:val="21"/>
              </w:rPr>
            </w:pPr>
            <w:r>
              <w:rPr>
                <w:rFonts w:hint="eastAsia" w:hAnsi="Times New Roman" w:eastAsia="宋体"/>
                <w:b/>
                <w:bCs/>
                <w:kern w:val="2"/>
                <w:sz w:val="21"/>
                <w:szCs w:val="21"/>
                <w:lang w:eastAsia="zh-CN"/>
              </w:rPr>
              <w:t>昼间</w:t>
            </w:r>
          </w:p>
        </w:tc>
        <w:tc>
          <w:tcPr>
            <w:tcW w:w="458"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kern w:val="2"/>
                <w:sz w:val="21"/>
                <w:szCs w:val="21"/>
              </w:rPr>
            </w:pPr>
            <w:r>
              <w:rPr>
                <w:rFonts w:hint="eastAsia" w:hAnsi="Times New Roman" w:eastAsia="宋体"/>
                <w:b/>
                <w:bCs/>
                <w:kern w:val="2"/>
                <w:sz w:val="21"/>
                <w:szCs w:val="21"/>
                <w:lang w:eastAsia="zh-CN"/>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jc w:val="center"/>
        </w:trPr>
        <w:tc>
          <w:tcPr>
            <w:tcW w:w="448"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东面厂界</w:t>
            </w:r>
          </w:p>
        </w:tc>
        <w:tc>
          <w:tcPr>
            <w:tcW w:w="455"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48.4</w:t>
            </w:r>
          </w:p>
        </w:tc>
        <w:tc>
          <w:tcPr>
            <w:tcW w:w="455"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48.4</w:t>
            </w:r>
          </w:p>
        </w:tc>
        <w:tc>
          <w:tcPr>
            <w:tcW w:w="455" w:type="pct"/>
            <w:tcBorders>
              <w:tl2br w:val="nil"/>
              <w:tr2bl w:val="nil"/>
            </w:tcBorders>
            <w:vAlign w:val="center"/>
          </w:tcPr>
          <w:p>
            <w:pPr>
              <w:pStyle w:val="57"/>
              <w:keepNext w:val="0"/>
              <w:keepLines w:val="0"/>
              <w:suppressLineNumbers w:val="0"/>
              <w:snapToGrid w:val="0"/>
              <w:spacing w:before="0" w:beforeAutospacing="0" w:after="0" w:afterAutospacing="0"/>
              <w:ind w:left="0" w:right="0"/>
              <w:rPr>
                <w:rFonts w:hint="eastAsia" w:hAnsi="Times New Roman" w:eastAsia="宋体" w:cs="Times New Roman"/>
                <w:kern w:val="2"/>
                <w:sz w:val="21"/>
                <w:szCs w:val="21"/>
                <w:lang w:eastAsia="zh-CN"/>
              </w:rPr>
            </w:pPr>
            <w:r>
              <w:rPr>
                <w:rFonts w:hint="eastAsia" w:hAnsi="Times New Roman" w:eastAsia="宋体" w:cs="Times New Roman"/>
                <w:bCs/>
                <w:kern w:val="2"/>
                <w:sz w:val="21"/>
                <w:szCs w:val="21"/>
                <w:lang w:eastAsia="zh-CN"/>
              </w:rPr>
              <w:t>54</w:t>
            </w:r>
          </w:p>
        </w:tc>
        <w:tc>
          <w:tcPr>
            <w:tcW w:w="455" w:type="pct"/>
            <w:tcBorders>
              <w:tl2br w:val="nil"/>
              <w:tr2bl w:val="nil"/>
            </w:tcBorders>
            <w:vAlign w:val="center"/>
          </w:tcPr>
          <w:p>
            <w:pPr>
              <w:pStyle w:val="57"/>
              <w:keepNext w:val="0"/>
              <w:keepLines w:val="0"/>
              <w:suppressLineNumbers w:val="0"/>
              <w:snapToGrid w:val="0"/>
              <w:spacing w:before="0" w:beforeAutospacing="0" w:after="0" w:afterAutospacing="0"/>
              <w:ind w:left="0" w:right="0"/>
              <w:rPr>
                <w:rFonts w:hint="eastAsia" w:hAnsi="Times New Roman" w:eastAsia="宋体" w:cs="Times New Roman"/>
                <w:kern w:val="2"/>
                <w:sz w:val="21"/>
                <w:szCs w:val="21"/>
                <w:lang w:eastAsia="zh-CN"/>
              </w:rPr>
            </w:pPr>
            <w:r>
              <w:rPr>
                <w:rFonts w:hint="eastAsia" w:hAnsi="Times New Roman" w:eastAsia="宋体" w:cs="Times New Roman"/>
                <w:bCs/>
                <w:kern w:val="2"/>
                <w:sz w:val="21"/>
                <w:szCs w:val="21"/>
                <w:lang w:eastAsia="zh-CN"/>
              </w:rPr>
              <w:t>43</w:t>
            </w:r>
          </w:p>
        </w:tc>
        <w:tc>
          <w:tcPr>
            <w:tcW w:w="455"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55.1</w:t>
            </w:r>
          </w:p>
        </w:tc>
        <w:tc>
          <w:tcPr>
            <w:tcW w:w="455"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49.5</w:t>
            </w:r>
          </w:p>
        </w:tc>
        <w:tc>
          <w:tcPr>
            <w:tcW w:w="455"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60</w:t>
            </w:r>
          </w:p>
        </w:tc>
        <w:tc>
          <w:tcPr>
            <w:tcW w:w="457"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50</w:t>
            </w:r>
          </w:p>
        </w:tc>
        <w:tc>
          <w:tcPr>
            <w:tcW w:w="452"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不达标</w:t>
            </w:r>
          </w:p>
        </w:tc>
        <w:tc>
          <w:tcPr>
            <w:tcW w:w="458"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不达标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448"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南面厂界</w:t>
            </w:r>
          </w:p>
        </w:tc>
        <w:tc>
          <w:tcPr>
            <w:tcW w:w="455"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43.2</w:t>
            </w:r>
          </w:p>
        </w:tc>
        <w:tc>
          <w:tcPr>
            <w:tcW w:w="455"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43.2</w:t>
            </w:r>
          </w:p>
        </w:tc>
        <w:tc>
          <w:tcPr>
            <w:tcW w:w="455" w:type="pct"/>
            <w:tcBorders>
              <w:tl2br w:val="nil"/>
              <w:tr2bl w:val="nil"/>
            </w:tcBorders>
            <w:vAlign w:val="center"/>
          </w:tcPr>
          <w:p>
            <w:pPr>
              <w:pStyle w:val="57"/>
              <w:keepNext w:val="0"/>
              <w:keepLines w:val="0"/>
              <w:suppressLineNumbers w:val="0"/>
              <w:snapToGrid w:val="0"/>
              <w:spacing w:before="0" w:beforeAutospacing="0" w:after="0" w:afterAutospacing="0"/>
              <w:ind w:left="0" w:right="0"/>
              <w:rPr>
                <w:rFonts w:hint="eastAsia" w:hAnsi="Times New Roman" w:eastAsia="宋体" w:cs="Times New Roman"/>
                <w:kern w:val="2"/>
                <w:sz w:val="21"/>
                <w:szCs w:val="21"/>
                <w:lang w:eastAsia="zh-CN"/>
              </w:rPr>
            </w:pPr>
            <w:r>
              <w:rPr>
                <w:rFonts w:hint="eastAsia" w:hAnsi="Times New Roman" w:eastAsia="宋体" w:cs="Times New Roman"/>
                <w:bCs/>
                <w:kern w:val="2"/>
                <w:sz w:val="21"/>
                <w:szCs w:val="21"/>
                <w:lang w:eastAsia="zh-CN"/>
              </w:rPr>
              <w:t>56</w:t>
            </w:r>
          </w:p>
        </w:tc>
        <w:tc>
          <w:tcPr>
            <w:tcW w:w="455" w:type="pct"/>
            <w:tcBorders>
              <w:tl2br w:val="nil"/>
              <w:tr2bl w:val="nil"/>
            </w:tcBorders>
            <w:vAlign w:val="center"/>
          </w:tcPr>
          <w:p>
            <w:pPr>
              <w:pStyle w:val="57"/>
              <w:keepNext w:val="0"/>
              <w:keepLines w:val="0"/>
              <w:suppressLineNumbers w:val="0"/>
              <w:snapToGrid w:val="0"/>
              <w:spacing w:before="0" w:beforeAutospacing="0" w:after="0" w:afterAutospacing="0"/>
              <w:ind w:left="0" w:right="0"/>
              <w:rPr>
                <w:rFonts w:hint="eastAsia" w:hAnsi="Times New Roman" w:eastAsia="宋体" w:cs="Times New Roman"/>
                <w:kern w:val="2"/>
                <w:sz w:val="21"/>
                <w:szCs w:val="21"/>
                <w:lang w:eastAsia="zh-CN"/>
              </w:rPr>
            </w:pPr>
            <w:r>
              <w:rPr>
                <w:rFonts w:hint="eastAsia" w:hAnsi="Times New Roman" w:eastAsia="宋体" w:cs="Times New Roman"/>
                <w:bCs/>
                <w:kern w:val="2"/>
                <w:sz w:val="21"/>
                <w:szCs w:val="21"/>
                <w:lang w:eastAsia="zh-CN"/>
              </w:rPr>
              <w:t>45</w:t>
            </w:r>
          </w:p>
        </w:tc>
        <w:tc>
          <w:tcPr>
            <w:tcW w:w="455"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56.2</w:t>
            </w:r>
          </w:p>
        </w:tc>
        <w:tc>
          <w:tcPr>
            <w:tcW w:w="455"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47.2</w:t>
            </w:r>
          </w:p>
        </w:tc>
        <w:tc>
          <w:tcPr>
            <w:tcW w:w="455"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60</w:t>
            </w:r>
          </w:p>
        </w:tc>
        <w:tc>
          <w:tcPr>
            <w:tcW w:w="457"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50</w:t>
            </w:r>
          </w:p>
        </w:tc>
        <w:tc>
          <w:tcPr>
            <w:tcW w:w="452"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不达标</w:t>
            </w:r>
          </w:p>
        </w:tc>
        <w:tc>
          <w:tcPr>
            <w:tcW w:w="458"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不达标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448"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西面厂界</w:t>
            </w:r>
          </w:p>
        </w:tc>
        <w:tc>
          <w:tcPr>
            <w:tcW w:w="455"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35.9</w:t>
            </w:r>
          </w:p>
        </w:tc>
        <w:tc>
          <w:tcPr>
            <w:tcW w:w="455"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35.9</w:t>
            </w:r>
          </w:p>
        </w:tc>
        <w:tc>
          <w:tcPr>
            <w:tcW w:w="455"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bCs/>
                <w:kern w:val="2"/>
                <w:sz w:val="21"/>
                <w:szCs w:val="21"/>
                <w:lang w:eastAsia="zh-CN"/>
              </w:rPr>
              <w:t>55</w:t>
            </w:r>
          </w:p>
        </w:tc>
        <w:tc>
          <w:tcPr>
            <w:tcW w:w="455"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bCs/>
                <w:kern w:val="2"/>
                <w:sz w:val="21"/>
                <w:szCs w:val="21"/>
                <w:lang w:eastAsia="zh-CN"/>
              </w:rPr>
              <w:t>44</w:t>
            </w:r>
          </w:p>
        </w:tc>
        <w:tc>
          <w:tcPr>
            <w:tcW w:w="455"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55.1</w:t>
            </w:r>
          </w:p>
        </w:tc>
        <w:tc>
          <w:tcPr>
            <w:tcW w:w="455"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44.6</w:t>
            </w:r>
          </w:p>
        </w:tc>
        <w:tc>
          <w:tcPr>
            <w:tcW w:w="455"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60</w:t>
            </w:r>
          </w:p>
        </w:tc>
        <w:tc>
          <w:tcPr>
            <w:tcW w:w="457"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50</w:t>
            </w:r>
          </w:p>
        </w:tc>
        <w:tc>
          <w:tcPr>
            <w:tcW w:w="452"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不达标</w:t>
            </w:r>
          </w:p>
        </w:tc>
        <w:tc>
          <w:tcPr>
            <w:tcW w:w="458"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不达标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8" w:hRule="atLeast"/>
          <w:jc w:val="center"/>
        </w:trPr>
        <w:tc>
          <w:tcPr>
            <w:tcW w:w="448"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北面厂界</w:t>
            </w:r>
          </w:p>
        </w:tc>
        <w:tc>
          <w:tcPr>
            <w:tcW w:w="455"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40.5</w:t>
            </w:r>
          </w:p>
        </w:tc>
        <w:tc>
          <w:tcPr>
            <w:tcW w:w="455"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40.5</w:t>
            </w:r>
          </w:p>
        </w:tc>
        <w:tc>
          <w:tcPr>
            <w:tcW w:w="455"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bCs/>
                <w:kern w:val="2"/>
                <w:sz w:val="21"/>
                <w:szCs w:val="21"/>
                <w:lang w:eastAsia="zh-CN"/>
              </w:rPr>
              <w:t>57</w:t>
            </w:r>
          </w:p>
        </w:tc>
        <w:tc>
          <w:tcPr>
            <w:tcW w:w="455"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bCs/>
                <w:kern w:val="2"/>
                <w:sz w:val="21"/>
                <w:szCs w:val="21"/>
                <w:lang w:eastAsia="zh-CN"/>
              </w:rPr>
              <w:t>46</w:t>
            </w:r>
          </w:p>
        </w:tc>
        <w:tc>
          <w:tcPr>
            <w:tcW w:w="455"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57.1</w:t>
            </w:r>
          </w:p>
        </w:tc>
        <w:tc>
          <w:tcPr>
            <w:tcW w:w="455"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47.1</w:t>
            </w:r>
          </w:p>
        </w:tc>
        <w:tc>
          <w:tcPr>
            <w:tcW w:w="455"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60</w:t>
            </w:r>
          </w:p>
        </w:tc>
        <w:tc>
          <w:tcPr>
            <w:tcW w:w="457"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50</w:t>
            </w:r>
          </w:p>
        </w:tc>
        <w:tc>
          <w:tcPr>
            <w:tcW w:w="452"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不达标</w:t>
            </w:r>
          </w:p>
        </w:tc>
        <w:tc>
          <w:tcPr>
            <w:tcW w:w="458"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不达标</w:t>
            </w:r>
          </w:p>
        </w:tc>
      </w:tr>
    </w:tbl>
    <w:p>
      <w:pPr>
        <w:spacing w:line="360" w:lineRule="auto"/>
        <w:ind w:firstLine="480" w:firstLineChars="200"/>
        <w:rPr>
          <w:rFonts w:hAnsi="Times New Roman" w:eastAsia="宋体"/>
          <w:lang w:eastAsia="zh-CN"/>
        </w:rPr>
      </w:pPr>
      <w:r>
        <w:rPr>
          <w:rFonts w:hAnsi="Times New Roman" w:eastAsia="宋体"/>
          <w:szCs w:val="22"/>
          <w:lang w:eastAsia="zh-CN"/>
        </w:rPr>
        <w:t>由预测结果可知，营运期+572m回风平硐</w:t>
      </w:r>
      <w:r>
        <w:rPr>
          <w:rFonts w:hAnsi="Times New Roman" w:eastAsia="宋体"/>
          <w:spacing w:val="-1"/>
        </w:rPr>
        <w:t>场地四周场界噪声昼间、夜间</w:t>
      </w:r>
      <w:r>
        <w:rPr>
          <w:rFonts w:hint="eastAsia" w:hAnsi="Times New Roman" w:eastAsia="宋体"/>
          <w:spacing w:val="-1"/>
        </w:rPr>
        <w:t>均</w:t>
      </w:r>
      <w:r>
        <w:rPr>
          <w:rFonts w:hAnsi="Times New Roman" w:eastAsia="宋体"/>
          <w:spacing w:val="-1"/>
        </w:rPr>
        <w:t>满足《工业企业厂界环境噪声排放标准》（GB12348-2008）2类标准</w:t>
      </w:r>
      <w:r>
        <w:rPr>
          <w:rFonts w:hint="eastAsia" w:hAnsi="Times New Roman" w:eastAsia="宋体"/>
          <w:lang w:eastAsia="zh-CN"/>
        </w:rPr>
        <w:t>，且</w:t>
      </w:r>
      <w:r>
        <w:rPr>
          <w:rFonts w:hAnsi="Times New Roman" w:eastAsia="宋体"/>
          <w:lang w:eastAsia="zh-CN"/>
        </w:rPr>
        <w:t>+572m回风平硐场地周边200m范围内无居民敏感点，最近居民点位于东侧732m处，受到风井场地噪声影响较小。</w:t>
      </w:r>
    </w:p>
    <w:p>
      <w:pPr>
        <w:jc w:val="center"/>
        <w:rPr>
          <w:rFonts w:hAnsi="Times New Roman" w:eastAsia="宋体"/>
          <w:b/>
          <w:bCs/>
          <w:sz w:val="21"/>
          <w:szCs w:val="21"/>
        </w:rPr>
      </w:pPr>
      <w:r>
        <w:rPr>
          <w:rFonts w:hAnsi="Times New Roman" w:eastAsia="宋体"/>
        </w:rPr>
        <w:drawing>
          <wp:inline distT="0" distB="0" distL="114300" distR="114300">
            <wp:extent cx="5234940" cy="3963670"/>
            <wp:effectExtent l="0" t="0" r="3810" b="17780"/>
            <wp:docPr id="244"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48"/>
                    <pic:cNvPicPr>
                      <a:picLocks noChangeAspect="1"/>
                    </pic:cNvPicPr>
                  </pic:nvPicPr>
                  <pic:blipFill>
                    <a:blip r:embed="rId257"/>
                    <a:stretch>
                      <a:fillRect/>
                    </a:stretch>
                  </pic:blipFill>
                  <pic:spPr>
                    <a:xfrm>
                      <a:off x="0" y="0"/>
                      <a:ext cx="5234940" cy="3963670"/>
                    </a:xfrm>
                    <a:prstGeom prst="rect">
                      <a:avLst/>
                    </a:prstGeom>
                    <a:noFill/>
                    <a:ln>
                      <a:noFill/>
                    </a:ln>
                  </pic:spPr>
                </pic:pic>
              </a:graphicData>
            </a:graphic>
          </wp:inline>
        </w:drawing>
      </w:r>
    </w:p>
    <w:p>
      <w:pPr>
        <w:jc w:val="center"/>
        <w:rPr>
          <w:rFonts w:hAnsi="Times New Roman" w:eastAsia="宋体"/>
          <w:b/>
          <w:bCs/>
          <w:sz w:val="21"/>
          <w:szCs w:val="21"/>
          <w:lang w:eastAsia="zh-CN"/>
        </w:rPr>
      </w:pPr>
      <w:r>
        <w:rPr>
          <w:rFonts w:hAnsi="Times New Roman" w:eastAsia="宋体"/>
          <w:b/>
          <w:bCs/>
          <w:sz w:val="21"/>
          <w:szCs w:val="21"/>
          <w:lang w:eastAsia="zh-CN"/>
        </w:rPr>
        <w:t>图8.2-2 本项目营运期+572m回风平硐场地昼间等声级线图 （单位：[dB(A)]）</w:t>
      </w:r>
    </w:p>
    <w:p>
      <w:pPr>
        <w:jc w:val="center"/>
        <w:rPr>
          <w:rFonts w:hAnsi="Times New Roman" w:eastAsia="宋体"/>
          <w:b/>
          <w:bCs/>
          <w:sz w:val="21"/>
          <w:szCs w:val="21"/>
        </w:rPr>
      </w:pPr>
      <w:r>
        <w:rPr>
          <w:rFonts w:hAnsi="Times New Roman" w:eastAsia="宋体"/>
        </w:rPr>
        <w:drawing>
          <wp:inline distT="0" distB="0" distL="114300" distR="114300">
            <wp:extent cx="5097145" cy="4220845"/>
            <wp:effectExtent l="0" t="0" r="8255" b="8255"/>
            <wp:docPr id="17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43"/>
                    <pic:cNvPicPr>
                      <a:picLocks noChangeAspect="1"/>
                    </pic:cNvPicPr>
                  </pic:nvPicPr>
                  <pic:blipFill>
                    <a:blip r:embed="rId258"/>
                    <a:stretch>
                      <a:fillRect/>
                    </a:stretch>
                  </pic:blipFill>
                  <pic:spPr>
                    <a:xfrm>
                      <a:off x="0" y="0"/>
                      <a:ext cx="5097145" cy="4220845"/>
                    </a:xfrm>
                    <a:prstGeom prst="rect">
                      <a:avLst/>
                    </a:prstGeom>
                    <a:noFill/>
                    <a:ln>
                      <a:noFill/>
                    </a:ln>
                  </pic:spPr>
                </pic:pic>
              </a:graphicData>
            </a:graphic>
          </wp:inline>
        </w:drawing>
      </w:r>
    </w:p>
    <w:p>
      <w:pPr>
        <w:jc w:val="center"/>
        <w:rPr>
          <w:rFonts w:hAnsi="Times New Roman" w:eastAsia="宋体"/>
          <w:b/>
          <w:bCs/>
          <w:sz w:val="21"/>
          <w:szCs w:val="21"/>
          <w:lang w:eastAsia="zh-CN"/>
        </w:rPr>
      </w:pPr>
      <w:r>
        <w:rPr>
          <w:rFonts w:hAnsi="Times New Roman" w:eastAsia="宋体"/>
          <w:b/>
          <w:bCs/>
          <w:sz w:val="21"/>
          <w:szCs w:val="21"/>
          <w:lang w:eastAsia="zh-CN"/>
        </w:rPr>
        <w:t>图8.2-4 本项目营运期+572m回风平硐场地夜间等声级线图 （单位：[dB(A)]）</w:t>
      </w:r>
    </w:p>
    <w:p>
      <w:pPr>
        <w:spacing w:line="360" w:lineRule="auto"/>
        <w:ind w:firstLine="480" w:firstLineChars="200"/>
        <w:rPr>
          <w:rFonts w:hAnsi="Times New Roman" w:eastAsia="宋体"/>
          <w:lang w:eastAsia="zh-CN"/>
        </w:rPr>
      </w:pPr>
      <w:r>
        <w:rPr>
          <w:rFonts w:hAnsi="Times New Roman" w:eastAsia="宋体"/>
          <w:lang w:eastAsia="zh-CN"/>
        </w:rPr>
        <w:t>（2）+548m回风平硐场地</w:t>
      </w:r>
    </w:p>
    <w:p>
      <w:pPr>
        <w:spacing w:line="360" w:lineRule="auto"/>
        <w:ind w:firstLine="480" w:firstLineChars="200"/>
        <w:rPr>
          <w:rFonts w:hAnsi="Times New Roman" w:eastAsia="宋体"/>
          <w:lang w:eastAsia="zh-CN"/>
        </w:rPr>
      </w:pPr>
      <w:r>
        <w:rPr>
          <w:rFonts w:hAnsi="Times New Roman" w:eastAsia="宋体"/>
          <w:lang w:eastAsia="zh-CN"/>
        </w:rPr>
        <w:t>由于本次环评现状监测时，为了防止瓦斯聚集，+548m回风平硐场地通风机处于运营状态，现状监测已经包含了风机噪声的影响，因此预测采用现状监测值叠加瓦斯抽采站贡献值预测分析影响情况。</w:t>
      </w:r>
    </w:p>
    <w:p>
      <w:pPr>
        <w:pStyle w:val="19"/>
        <w:ind w:left="476" w:hanging="476" w:hangingChars="228"/>
        <w:jc w:val="center"/>
        <w:rPr>
          <w:b/>
          <w:sz w:val="21"/>
          <w:szCs w:val="21"/>
        </w:rPr>
      </w:pPr>
      <w:r>
        <w:rPr>
          <w:b/>
          <w:spacing w:val="-1"/>
          <w:sz w:val="21"/>
          <w:szCs w:val="21"/>
        </w:rPr>
        <w:t>表8.2-</w:t>
      </w:r>
      <w:r>
        <w:rPr>
          <w:rFonts w:hint="eastAsia"/>
          <w:b/>
          <w:spacing w:val="-1"/>
          <w:sz w:val="21"/>
          <w:szCs w:val="21"/>
          <w:lang w:eastAsia="zh-CN"/>
        </w:rPr>
        <w:t>7</w:t>
      </w:r>
      <w:r>
        <w:rPr>
          <w:b/>
          <w:spacing w:val="-1"/>
          <w:sz w:val="21"/>
          <w:szCs w:val="21"/>
          <w:lang w:eastAsia="zh-CN"/>
        </w:rPr>
        <w:t xml:space="preserve"> </w:t>
      </w:r>
      <w:r>
        <w:rPr>
          <w:b/>
          <w:sz w:val="21"/>
          <w:szCs w:val="21"/>
        </w:rPr>
        <w:t>营运期+</w:t>
      </w:r>
      <w:r>
        <w:rPr>
          <w:b/>
          <w:sz w:val="21"/>
          <w:szCs w:val="21"/>
          <w:lang w:eastAsia="zh-CN"/>
        </w:rPr>
        <w:t>548</w:t>
      </w:r>
      <w:r>
        <w:rPr>
          <w:b/>
          <w:sz w:val="21"/>
          <w:szCs w:val="21"/>
        </w:rPr>
        <w:t>m回风</w:t>
      </w:r>
      <w:r>
        <w:rPr>
          <w:b/>
          <w:sz w:val="21"/>
          <w:szCs w:val="21"/>
          <w:lang w:eastAsia="zh-CN"/>
        </w:rPr>
        <w:t>平硐</w:t>
      </w:r>
      <w:r>
        <w:rPr>
          <w:b/>
          <w:sz w:val="21"/>
          <w:szCs w:val="21"/>
        </w:rPr>
        <w:t>场地</w:t>
      </w:r>
      <w:r>
        <w:rPr>
          <w:b/>
          <w:sz w:val="21"/>
          <w:szCs w:val="21"/>
          <w:lang w:eastAsia="zh-CN"/>
        </w:rPr>
        <w:t>厂界</w:t>
      </w:r>
      <w:r>
        <w:rPr>
          <w:b/>
          <w:sz w:val="21"/>
          <w:szCs w:val="21"/>
        </w:rPr>
        <w:t>噪声预测结果</w:t>
      </w:r>
      <w:r>
        <w:rPr>
          <w:b/>
          <w:sz w:val="21"/>
          <w:szCs w:val="21"/>
          <w:lang w:eastAsia="zh-CN"/>
        </w:rPr>
        <w:t xml:space="preserve">    </w:t>
      </w:r>
      <w:r>
        <w:rPr>
          <w:b/>
          <w:sz w:val="21"/>
          <w:szCs w:val="21"/>
        </w:rPr>
        <w:t>单位：dB(A)</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9"/>
        <w:gridCol w:w="848"/>
        <w:gridCol w:w="852"/>
        <w:gridCol w:w="848"/>
        <w:gridCol w:w="852"/>
        <w:gridCol w:w="848"/>
        <w:gridCol w:w="852"/>
        <w:gridCol w:w="848"/>
        <w:gridCol w:w="852"/>
        <w:gridCol w:w="849"/>
        <w:gridCol w:w="8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449" w:type="pct"/>
            <w:vMerge w:val="restar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预测点位</w:t>
            </w:r>
          </w:p>
        </w:tc>
        <w:tc>
          <w:tcPr>
            <w:tcW w:w="910" w:type="pct"/>
            <w:gridSpan w:val="2"/>
            <w:vMerge w:val="restar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厂界贡献值</w:t>
            </w:r>
          </w:p>
          <w:p>
            <w:pPr>
              <w:keepNext w:val="0"/>
              <w:keepLines w:val="0"/>
              <w:suppressLineNumbers w:val="0"/>
              <w:snapToGrid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dB(A)</w:t>
            </w:r>
          </w:p>
        </w:tc>
        <w:tc>
          <w:tcPr>
            <w:tcW w:w="910" w:type="pct"/>
            <w:gridSpan w:val="2"/>
            <w:vMerge w:val="restar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原有工程厂界值dB(A)</w:t>
            </w:r>
          </w:p>
        </w:tc>
        <w:tc>
          <w:tcPr>
            <w:tcW w:w="910" w:type="pct"/>
            <w:gridSpan w:val="2"/>
            <w:vMerge w:val="restar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预测值</w:t>
            </w:r>
          </w:p>
          <w:p>
            <w:pPr>
              <w:keepNext w:val="0"/>
              <w:keepLines w:val="0"/>
              <w:suppressLineNumbers w:val="0"/>
              <w:snapToGrid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dB(A)</w:t>
            </w:r>
          </w:p>
        </w:tc>
        <w:tc>
          <w:tcPr>
            <w:tcW w:w="910" w:type="pct"/>
            <w:gridSpan w:val="2"/>
            <w:vMerge w:val="restar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标准值dB(A)</w:t>
            </w:r>
          </w:p>
        </w:tc>
        <w:tc>
          <w:tcPr>
            <w:tcW w:w="912" w:type="pct"/>
            <w:gridSpan w:val="2"/>
            <w:vMerge w:val="restar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评价结果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jc w:val="center"/>
        </w:trPr>
        <w:tc>
          <w:tcPr>
            <w:tcW w:w="449" w:type="pct"/>
            <w:vMerge w:val="continue"/>
            <w:tcBorders>
              <w:tl2br w:val="nil"/>
              <w:tr2bl w:val="nil"/>
            </w:tcBorders>
            <w:vAlign w:val="center"/>
          </w:tcPr>
          <w:p>
            <w:pPr>
              <w:pStyle w:val="19"/>
              <w:keepNext w:val="0"/>
              <w:keepLines w:val="0"/>
              <w:suppressLineNumbers w:val="0"/>
              <w:adjustRightInd w:val="0"/>
              <w:snapToGrid w:val="0"/>
              <w:spacing w:before="0" w:beforeAutospacing="0" w:after="0" w:afterAutospacing="0" w:line="240" w:lineRule="exact"/>
              <w:ind w:left="0" w:right="0" w:firstLine="422"/>
              <w:jc w:val="center"/>
              <w:rPr>
                <w:rFonts w:hint="eastAsia"/>
                <w:b/>
                <w:sz w:val="21"/>
                <w:szCs w:val="21"/>
              </w:rPr>
            </w:pPr>
          </w:p>
        </w:tc>
        <w:tc>
          <w:tcPr>
            <w:tcW w:w="910" w:type="pct"/>
            <w:gridSpan w:val="2"/>
            <w:vMerge w:val="continue"/>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bCs/>
                <w:kern w:val="2"/>
                <w:sz w:val="21"/>
                <w:szCs w:val="21"/>
                <w:lang w:eastAsia="zh-CN"/>
              </w:rPr>
            </w:pPr>
          </w:p>
        </w:tc>
        <w:tc>
          <w:tcPr>
            <w:tcW w:w="910" w:type="pct"/>
            <w:gridSpan w:val="2"/>
            <w:vMerge w:val="continue"/>
            <w:tcBorders>
              <w:tl2br w:val="nil"/>
              <w:tr2bl w:val="nil"/>
            </w:tcBorders>
            <w:vAlign w:val="center"/>
          </w:tcPr>
          <w:p>
            <w:pPr>
              <w:pStyle w:val="19"/>
              <w:keepNext w:val="0"/>
              <w:keepLines w:val="0"/>
              <w:suppressLineNumbers w:val="0"/>
              <w:adjustRightInd w:val="0"/>
              <w:snapToGrid w:val="0"/>
              <w:spacing w:before="0" w:beforeAutospacing="0" w:after="0" w:afterAutospacing="0" w:line="240" w:lineRule="exact"/>
              <w:ind w:left="0" w:right="0" w:firstLine="422"/>
              <w:jc w:val="center"/>
              <w:rPr>
                <w:rFonts w:hint="eastAsia"/>
                <w:b/>
                <w:sz w:val="21"/>
                <w:szCs w:val="21"/>
              </w:rPr>
            </w:pPr>
          </w:p>
        </w:tc>
        <w:tc>
          <w:tcPr>
            <w:tcW w:w="910" w:type="pct"/>
            <w:gridSpan w:val="2"/>
            <w:vMerge w:val="continue"/>
            <w:tcBorders>
              <w:tl2br w:val="nil"/>
              <w:tr2bl w:val="nil"/>
            </w:tcBorders>
            <w:vAlign w:val="center"/>
          </w:tcPr>
          <w:p>
            <w:pPr>
              <w:pStyle w:val="19"/>
              <w:keepNext w:val="0"/>
              <w:keepLines w:val="0"/>
              <w:suppressLineNumbers w:val="0"/>
              <w:adjustRightInd w:val="0"/>
              <w:snapToGrid w:val="0"/>
              <w:spacing w:before="0" w:beforeAutospacing="0" w:after="0" w:afterAutospacing="0" w:line="240" w:lineRule="exact"/>
              <w:ind w:left="0" w:right="0" w:firstLine="0" w:firstLineChars="0"/>
              <w:jc w:val="center"/>
              <w:rPr>
                <w:rFonts w:hint="eastAsia"/>
                <w:b/>
                <w:sz w:val="21"/>
                <w:szCs w:val="21"/>
              </w:rPr>
            </w:pPr>
          </w:p>
        </w:tc>
        <w:tc>
          <w:tcPr>
            <w:tcW w:w="910" w:type="pct"/>
            <w:gridSpan w:val="2"/>
            <w:vMerge w:val="continue"/>
            <w:tcBorders>
              <w:tl2br w:val="nil"/>
              <w:tr2bl w:val="nil"/>
            </w:tcBorders>
            <w:vAlign w:val="center"/>
          </w:tcPr>
          <w:p>
            <w:pPr>
              <w:pStyle w:val="19"/>
              <w:keepNext w:val="0"/>
              <w:keepLines w:val="0"/>
              <w:suppressLineNumbers w:val="0"/>
              <w:adjustRightInd w:val="0"/>
              <w:snapToGrid w:val="0"/>
              <w:spacing w:before="0" w:beforeAutospacing="0" w:after="0" w:afterAutospacing="0" w:line="240" w:lineRule="exact"/>
              <w:ind w:left="0" w:right="0" w:firstLine="0" w:firstLineChars="0"/>
              <w:jc w:val="center"/>
              <w:rPr>
                <w:rFonts w:hint="eastAsia"/>
                <w:b/>
                <w:sz w:val="21"/>
                <w:szCs w:val="21"/>
              </w:rPr>
            </w:pPr>
          </w:p>
        </w:tc>
        <w:tc>
          <w:tcPr>
            <w:tcW w:w="912" w:type="pct"/>
            <w:gridSpan w:val="2"/>
            <w:vMerge w:val="continue"/>
            <w:tcBorders>
              <w:tl2br w:val="nil"/>
              <w:tr2bl w:val="nil"/>
            </w:tcBorders>
            <w:vAlign w:val="center"/>
          </w:tcPr>
          <w:p>
            <w:pPr>
              <w:pStyle w:val="19"/>
              <w:keepNext w:val="0"/>
              <w:keepLines w:val="0"/>
              <w:suppressLineNumbers w:val="0"/>
              <w:adjustRightInd w:val="0"/>
              <w:snapToGrid w:val="0"/>
              <w:spacing w:before="0" w:beforeAutospacing="0" w:after="0" w:afterAutospacing="0" w:line="240" w:lineRule="exact"/>
              <w:ind w:left="0" w:right="0" w:firstLine="422"/>
              <w:jc w:val="center"/>
              <w:rPr>
                <w:rFonts w:hint="eastAsia"/>
                <w:b/>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jc w:val="center"/>
        </w:trPr>
        <w:tc>
          <w:tcPr>
            <w:tcW w:w="449" w:type="pct"/>
            <w:vMerge w:val="continue"/>
            <w:tcBorders>
              <w:tl2br w:val="nil"/>
              <w:tr2bl w:val="nil"/>
            </w:tcBorders>
            <w:vAlign w:val="center"/>
          </w:tcPr>
          <w:p>
            <w:pPr>
              <w:pStyle w:val="19"/>
              <w:keepNext w:val="0"/>
              <w:keepLines w:val="0"/>
              <w:suppressLineNumbers w:val="0"/>
              <w:adjustRightInd w:val="0"/>
              <w:snapToGrid w:val="0"/>
              <w:spacing w:before="0" w:beforeAutospacing="0" w:after="0" w:afterAutospacing="0" w:line="240" w:lineRule="exact"/>
              <w:ind w:left="0" w:right="0" w:firstLine="422"/>
              <w:jc w:val="center"/>
              <w:rPr>
                <w:rFonts w:hint="eastAsia"/>
                <w:b/>
                <w:sz w:val="21"/>
                <w:szCs w:val="21"/>
              </w:rPr>
            </w:pPr>
          </w:p>
        </w:tc>
        <w:tc>
          <w:tcPr>
            <w:tcW w:w="454"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昼间</w:t>
            </w:r>
          </w:p>
        </w:tc>
        <w:tc>
          <w:tcPr>
            <w:tcW w:w="456"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夜间</w:t>
            </w:r>
          </w:p>
        </w:tc>
        <w:tc>
          <w:tcPr>
            <w:tcW w:w="454"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kern w:val="2"/>
                <w:sz w:val="21"/>
                <w:szCs w:val="21"/>
              </w:rPr>
            </w:pPr>
            <w:r>
              <w:rPr>
                <w:rFonts w:hint="eastAsia" w:hAnsi="Times New Roman" w:eastAsia="宋体"/>
                <w:b/>
                <w:bCs/>
                <w:kern w:val="2"/>
                <w:sz w:val="21"/>
                <w:szCs w:val="21"/>
                <w:lang w:eastAsia="zh-CN"/>
              </w:rPr>
              <w:t>昼间</w:t>
            </w:r>
          </w:p>
        </w:tc>
        <w:tc>
          <w:tcPr>
            <w:tcW w:w="456"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kern w:val="2"/>
                <w:sz w:val="21"/>
                <w:szCs w:val="21"/>
              </w:rPr>
            </w:pPr>
            <w:r>
              <w:rPr>
                <w:rFonts w:hint="eastAsia" w:hAnsi="Times New Roman" w:eastAsia="宋体"/>
                <w:b/>
                <w:bCs/>
                <w:kern w:val="2"/>
                <w:sz w:val="21"/>
                <w:szCs w:val="21"/>
                <w:lang w:eastAsia="zh-CN"/>
              </w:rPr>
              <w:t>夜间</w:t>
            </w:r>
          </w:p>
        </w:tc>
        <w:tc>
          <w:tcPr>
            <w:tcW w:w="454"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kern w:val="2"/>
                <w:sz w:val="21"/>
                <w:szCs w:val="21"/>
              </w:rPr>
            </w:pPr>
            <w:r>
              <w:rPr>
                <w:rFonts w:hint="eastAsia" w:hAnsi="Times New Roman" w:eastAsia="宋体"/>
                <w:b/>
                <w:bCs/>
                <w:kern w:val="2"/>
                <w:sz w:val="21"/>
                <w:szCs w:val="21"/>
                <w:lang w:eastAsia="zh-CN"/>
              </w:rPr>
              <w:t>昼间</w:t>
            </w:r>
          </w:p>
        </w:tc>
        <w:tc>
          <w:tcPr>
            <w:tcW w:w="456"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kern w:val="2"/>
                <w:sz w:val="21"/>
                <w:szCs w:val="21"/>
              </w:rPr>
            </w:pPr>
            <w:r>
              <w:rPr>
                <w:rFonts w:hint="eastAsia" w:hAnsi="Times New Roman" w:eastAsia="宋体"/>
                <w:b/>
                <w:bCs/>
                <w:kern w:val="2"/>
                <w:sz w:val="21"/>
                <w:szCs w:val="21"/>
                <w:lang w:eastAsia="zh-CN"/>
              </w:rPr>
              <w:t>夜间</w:t>
            </w:r>
          </w:p>
        </w:tc>
        <w:tc>
          <w:tcPr>
            <w:tcW w:w="454"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kern w:val="2"/>
                <w:sz w:val="21"/>
                <w:szCs w:val="21"/>
              </w:rPr>
            </w:pPr>
            <w:r>
              <w:rPr>
                <w:rFonts w:hint="eastAsia" w:hAnsi="Times New Roman" w:eastAsia="宋体"/>
                <w:b/>
                <w:bCs/>
                <w:kern w:val="2"/>
                <w:sz w:val="21"/>
                <w:szCs w:val="21"/>
                <w:lang w:eastAsia="zh-CN"/>
              </w:rPr>
              <w:t>昼间</w:t>
            </w:r>
          </w:p>
        </w:tc>
        <w:tc>
          <w:tcPr>
            <w:tcW w:w="456"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kern w:val="2"/>
                <w:sz w:val="21"/>
                <w:szCs w:val="21"/>
              </w:rPr>
            </w:pPr>
            <w:r>
              <w:rPr>
                <w:rFonts w:hint="eastAsia" w:hAnsi="Times New Roman" w:eastAsia="宋体"/>
                <w:b/>
                <w:bCs/>
                <w:kern w:val="2"/>
                <w:sz w:val="21"/>
                <w:szCs w:val="21"/>
                <w:lang w:eastAsia="zh-CN"/>
              </w:rPr>
              <w:t>夜间</w:t>
            </w:r>
          </w:p>
        </w:tc>
        <w:tc>
          <w:tcPr>
            <w:tcW w:w="454"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kern w:val="2"/>
                <w:sz w:val="21"/>
                <w:szCs w:val="21"/>
              </w:rPr>
            </w:pPr>
            <w:r>
              <w:rPr>
                <w:rFonts w:hint="eastAsia" w:hAnsi="Times New Roman" w:eastAsia="宋体"/>
                <w:b/>
                <w:bCs/>
                <w:kern w:val="2"/>
                <w:sz w:val="21"/>
                <w:szCs w:val="21"/>
                <w:lang w:eastAsia="zh-CN"/>
              </w:rPr>
              <w:t>昼间</w:t>
            </w:r>
          </w:p>
        </w:tc>
        <w:tc>
          <w:tcPr>
            <w:tcW w:w="458"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b/>
                <w:kern w:val="2"/>
                <w:sz w:val="21"/>
                <w:szCs w:val="21"/>
              </w:rPr>
            </w:pPr>
            <w:r>
              <w:rPr>
                <w:rFonts w:hint="eastAsia" w:hAnsi="Times New Roman" w:eastAsia="宋体"/>
                <w:b/>
                <w:bCs/>
                <w:kern w:val="2"/>
                <w:sz w:val="21"/>
                <w:szCs w:val="21"/>
                <w:lang w:eastAsia="zh-CN"/>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jc w:val="center"/>
        </w:trPr>
        <w:tc>
          <w:tcPr>
            <w:tcW w:w="449"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东面厂界</w:t>
            </w:r>
          </w:p>
        </w:tc>
        <w:tc>
          <w:tcPr>
            <w:tcW w:w="454"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38.0</w:t>
            </w:r>
          </w:p>
        </w:tc>
        <w:tc>
          <w:tcPr>
            <w:tcW w:w="456"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38.0</w:t>
            </w:r>
          </w:p>
        </w:tc>
        <w:tc>
          <w:tcPr>
            <w:tcW w:w="454"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bCs/>
                <w:kern w:val="2"/>
                <w:sz w:val="21"/>
                <w:szCs w:val="21"/>
                <w:lang w:eastAsia="zh-CN"/>
              </w:rPr>
              <w:t>52</w:t>
            </w:r>
          </w:p>
        </w:tc>
        <w:tc>
          <w:tcPr>
            <w:tcW w:w="456"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bCs/>
                <w:kern w:val="2"/>
                <w:sz w:val="21"/>
                <w:szCs w:val="21"/>
                <w:lang w:eastAsia="zh-CN"/>
              </w:rPr>
              <w:t>42</w:t>
            </w:r>
          </w:p>
        </w:tc>
        <w:tc>
          <w:tcPr>
            <w:tcW w:w="454"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52.2</w:t>
            </w:r>
          </w:p>
        </w:tc>
        <w:tc>
          <w:tcPr>
            <w:tcW w:w="456"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43.5</w:t>
            </w:r>
          </w:p>
        </w:tc>
        <w:tc>
          <w:tcPr>
            <w:tcW w:w="454"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60</w:t>
            </w:r>
          </w:p>
        </w:tc>
        <w:tc>
          <w:tcPr>
            <w:tcW w:w="456"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50</w:t>
            </w:r>
          </w:p>
        </w:tc>
        <w:tc>
          <w:tcPr>
            <w:tcW w:w="454"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不达标</w:t>
            </w:r>
          </w:p>
        </w:tc>
        <w:tc>
          <w:tcPr>
            <w:tcW w:w="458"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不达标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449"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南面厂界</w:t>
            </w:r>
          </w:p>
        </w:tc>
        <w:tc>
          <w:tcPr>
            <w:tcW w:w="454"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44.4</w:t>
            </w:r>
          </w:p>
        </w:tc>
        <w:tc>
          <w:tcPr>
            <w:tcW w:w="456"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44.4</w:t>
            </w:r>
          </w:p>
        </w:tc>
        <w:tc>
          <w:tcPr>
            <w:tcW w:w="454"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bCs/>
                <w:kern w:val="2"/>
                <w:sz w:val="21"/>
                <w:szCs w:val="21"/>
                <w:lang w:eastAsia="zh-CN"/>
              </w:rPr>
              <w:t>54</w:t>
            </w:r>
          </w:p>
        </w:tc>
        <w:tc>
          <w:tcPr>
            <w:tcW w:w="456"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bCs/>
                <w:kern w:val="2"/>
                <w:sz w:val="21"/>
                <w:szCs w:val="21"/>
                <w:lang w:eastAsia="zh-CN"/>
              </w:rPr>
              <w:t>47</w:t>
            </w:r>
          </w:p>
        </w:tc>
        <w:tc>
          <w:tcPr>
            <w:tcW w:w="454"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54.5</w:t>
            </w:r>
          </w:p>
        </w:tc>
        <w:tc>
          <w:tcPr>
            <w:tcW w:w="456"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48.9</w:t>
            </w:r>
          </w:p>
        </w:tc>
        <w:tc>
          <w:tcPr>
            <w:tcW w:w="454"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60</w:t>
            </w:r>
          </w:p>
        </w:tc>
        <w:tc>
          <w:tcPr>
            <w:tcW w:w="456"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50</w:t>
            </w:r>
          </w:p>
        </w:tc>
        <w:tc>
          <w:tcPr>
            <w:tcW w:w="454"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不达标</w:t>
            </w:r>
          </w:p>
        </w:tc>
        <w:tc>
          <w:tcPr>
            <w:tcW w:w="458"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不达标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449"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西面厂界</w:t>
            </w:r>
          </w:p>
        </w:tc>
        <w:tc>
          <w:tcPr>
            <w:tcW w:w="454"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44.4</w:t>
            </w:r>
          </w:p>
        </w:tc>
        <w:tc>
          <w:tcPr>
            <w:tcW w:w="456"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44.4</w:t>
            </w:r>
          </w:p>
        </w:tc>
        <w:tc>
          <w:tcPr>
            <w:tcW w:w="454"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bCs/>
                <w:kern w:val="2"/>
                <w:sz w:val="21"/>
                <w:szCs w:val="21"/>
                <w:lang w:eastAsia="zh-CN"/>
              </w:rPr>
              <w:t>53</w:t>
            </w:r>
          </w:p>
        </w:tc>
        <w:tc>
          <w:tcPr>
            <w:tcW w:w="456"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bCs/>
                <w:kern w:val="2"/>
                <w:sz w:val="21"/>
                <w:szCs w:val="21"/>
                <w:lang w:eastAsia="zh-CN"/>
              </w:rPr>
              <w:t>43</w:t>
            </w:r>
          </w:p>
        </w:tc>
        <w:tc>
          <w:tcPr>
            <w:tcW w:w="454"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53.6</w:t>
            </w:r>
          </w:p>
        </w:tc>
        <w:tc>
          <w:tcPr>
            <w:tcW w:w="456"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46.8</w:t>
            </w:r>
          </w:p>
        </w:tc>
        <w:tc>
          <w:tcPr>
            <w:tcW w:w="454"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60</w:t>
            </w:r>
          </w:p>
        </w:tc>
        <w:tc>
          <w:tcPr>
            <w:tcW w:w="456"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50</w:t>
            </w:r>
          </w:p>
        </w:tc>
        <w:tc>
          <w:tcPr>
            <w:tcW w:w="454"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达标</w:t>
            </w:r>
          </w:p>
        </w:tc>
        <w:tc>
          <w:tcPr>
            <w:tcW w:w="458"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不达标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8" w:hRule="atLeast"/>
          <w:jc w:val="center"/>
        </w:trPr>
        <w:tc>
          <w:tcPr>
            <w:tcW w:w="449"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北面厂界</w:t>
            </w:r>
          </w:p>
        </w:tc>
        <w:tc>
          <w:tcPr>
            <w:tcW w:w="454"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44.0</w:t>
            </w:r>
          </w:p>
        </w:tc>
        <w:tc>
          <w:tcPr>
            <w:tcW w:w="456"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44.0</w:t>
            </w:r>
          </w:p>
        </w:tc>
        <w:tc>
          <w:tcPr>
            <w:tcW w:w="454"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bCs/>
                <w:kern w:val="2"/>
                <w:sz w:val="21"/>
                <w:szCs w:val="21"/>
                <w:lang w:eastAsia="zh-CN"/>
              </w:rPr>
              <w:t>53</w:t>
            </w:r>
          </w:p>
        </w:tc>
        <w:tc>
          <w:tcPr>
            <w:tcW w:w="456"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bCs/>
                <w:kern w:val="2"/>
                <w:sz w:val="21"/>
                <w:szCs w:val="21"/>
                <w:lang w:eastAsia="zh-CN"/>
              </w:rPr>
              <w:t>45</w:t>
            </w:r>
          </w:p>
        </w:tc>
        <w:tc>
          <w:tcPr>
            <w:tcW w:w="454"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53.5</w:t>
            </w:r>
          </w:p>
        </w:tc>
        <w:tc>
          <w:tcPr>
            <w:tcW w:w="456"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47.5</w:t>
            </w:r>
          </w:p>
        </w:tc>
        <w:tc>
          <w:tcPr>
            <w:tcW w:w="454"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60</w:t>
            </w:r>
          </w:p>
        </w:tc>
        <w:tc>
          <w:tcPr>
            <w:tcW w:w="456"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50</w:t>
            </w:r>
          </w:p>
        </w:tc>
        <w:tc>
          <w:tcPr>
            <w:tcW w:w="454"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不达标</w:t>
            </w:r>
          </w:p>
        </w:tc>
        <w:tc>
          <w:tcPr>
            <w:tcW w:w="458"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不达标</w:t>
            </w:r>
          </w:p>
        </w:tc>
      </w:tr>
    </w:tbl>
    <w:p>
      <w:pPr>
        <w:spacing w:line="360" w:lineRule="auto"/>
        <w:ind w:firstLine="480" w:firstLineChars="200"/>
        <w:rPr>
          <w:rFonts w:hAnsi="Times New Roman" w:eastAsia="宋体"/>
          <w:szCs w:val="22"/>
          <w:lang w:eastAsia="zh-CN"/>
        </w:rPr>
      </w:pPr>
      <w:r>
        <w:rPr>
          <w:rFonts w:hAnsi="Times New Roman" w:eastAsia="宋体"/>
          <w:szCs w:val="22"/>
          <w:lang w:eastAsia="zh-CN"/>
        </w:rPr>
        <w:t>由预测结果可知，营运期+548m回风平硐</w:t>
      </w:r>
      <w:r>
        <w:rPr>
          <w:rFonts w:hAnsi="Times New Roman" w:eastAsia="宋体"/>
          <w:spacing w:val="-1"/>
        </w:rPr>
        <w:t>场地四周场界噪声昼间、夜间</w:t>
      </w:r>
      <w:r>
        <w:rPr>
          <w:rFonts w:hint="eastAsia" w:hAnsi="Times New Roman" w:eastAsia="宋体"/>
          <w:spacing w:val="-1"/>
          <w:lang w:eastAsia="zh-CN"/>
        </w:rPr>
        <w:t>均</w:t>
      </w:r>
      <w:r>
        <w:rPr>
          <w:rFonts w:hAnsi="Times New Roman" w:eastAsia="宋体"/>
          <w:spacing w:val="-1"/>
        </w:rPr>
        <w:t>满足《工业企业厂界环境噪声排放标准》（GB12348-2008）2类标准</w:t>
      </w:r>
      <w:r>
        <w:rPr>
          <w:rFonts w:hAnsi="Times New Roman" w:eastAsia="宋体"/>
          <w:lang w:eastAsia="zh-CN"/>
        </w:rPr>
        <w:t>。</w:t>
      </w:r>
      <w:r>
        <w:rPr>
          <w:rFonts w:hAnsi="Times New Roman" w:eastAsia="宋体"/>
          <w:szCs w:val="22"/>
          <w:lang w:eastAsia="zh-CN"/>
        </w:rPr>
        <w:t>根据现场调查，+548m回风平硐场地周边200m范围内无居民敏感点，最近居民点位于东南侧300m处，且之间有山体隔开，受到风井场地噪声影响较小。</w:t>
      </w:r>
    </w:p>
    <w:p>
      <w:pPr>
        <w:jc w:val="center"/>
        <w:rPr>
          <w:rFonts w:hAnsi="Times New Roman" w:eastAsia="宋体"/>
          <w:b/>
          <w:bCs/>
          <w:sz w:val="21"/>
          <w:szCs w:val="21"/>
        </w:rPr>
      </w:pPr>
      <w:r>
        <w:rPr>
          <w:rFonts w:hAnsi="Times New Roman" w:eastAsia="宋体"/>
        </w:rPr>
        <w:drawing>
          <wp:inline distT="0" distB="0" distL="114300" distR="114300">
            <wp:extent cx="5079365" cy="4104640"/>
            <wp:effectExtent l="0" t="0" r="6985" b="10160"/>
            <wp:docPr id="23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44"/>
                    <pic:cNvPicPr>
                      <a:picLocks noChangeAspect="1"/>
                    </pic:cNvPicPr>
                  </pic:nvPicPr>
                  <pic:blipFill>
                    <a:blip r:embed="rId259"/>
                    <a:stretch>
                      <a:fillRect/>
                    </a:stretch>
                  </pic:blipFill>
                  <pic:spPr>
                    <a:xfrm>
                      <a:off x="0" y="0"/>
                      <a:ext cx="5079365" cy="4104640"/>
                    </a:xfrm>
                    <a:prstGeom prst="rect">
                      <a:avLst/>
                    </a:prstGeom>
                    <a:noFill/>
                    <a:ln>
                      <a:noFill/>
                    </a:ln>
                  </pic:spPr>
                </pic:pic>
              </a:graphicData>
            </a:graphic>
          </wp:inline>
        </w:drawing>
      </w:r>
    </w:p>
    <w:p>
      <w:pPr>
        <w:spacing w:line="280" w:lineRule="exact"/>
        <w:jc w:val="center"/>
        <w:rPr>
          <w:rFonts w:hAnsi="Times New Roman" w:eastAsia="宋体"/>
          <w:b/>
          <w:bCs/>
          <w:sz w:val="21"/>
          <w:szCs w:val="21"/>
        </w:rPr>
      </w:pPr>
      <w:r>
        <w:rPr>
          <w:rFonts w:hAnsi="Times New Roman" w:eastAsia="宋体"/>
          <w:b/>
          <w:bCs/>
          <w:sz w:val="21"/>
          <w:szCs w:val="21"/>
        </w:rPr>
        <w:t>图</w:t>
      </w:r>
      <w:r>
        <w:rPr>
          <w:rFonts w:hAnsi="Times New Roman" w:eastAsia="宋体"/>
          <w:b/>
          <w:bCs/>
          <w:sz w:val="21"/>
          <w:szCs w:val="21"/>
          <w:lang w:eastAsia="zh-CN"/>
        </w:rPr>
        <w:t xml:space="preserve">8.2-2 </w:t>
      </w:r>
      <w:r>
        <w:rPr>
          <w:rFonts w:hAnsi="Times New Roman" w:eastAsia="宋体"/>
          <w:b/>
          <w:bCs/>
          <w:sz w:val="21"/>
          <w:szCs w:val="21"/>
        </w:rPr>
        <w:t>本项目营运期+</w:t>
      </w:r>
      <w:r>
        <w:rPr>
          <w:rFonts w:hAnsi="Times New Roman" w:eastAsia="宋体"/>
          <w:b/>
          <w:bCs/>
          <w:sz w:val="21"/>
          <w:szCs w:val="21"/>
          <w:lang w:eastAsia="zh-CN"/>
        </w:rPr>
        <w:t>548</w:t>
      </w:r>
      <w:r>
        <w:rPr>
          <w:rFonts w:hAnsi="Times New Roman" w:eastAsia="宋体"/>
          <w:b/>
          <w:bCs/>
          <w:sz w:val="21"/>
          <w:szCs w:val="21"/>
        </w:rPr>
        <w:t>m回风</w:t>
      </w:r>
      <w:r>
        <w:rPr>
          <w:rFonts w:hAnsi="Times New Roman" w:eastAsia="宋体"/>
          <w:b/>
          <w:bCs/>
          <w:sz w:val="21"/>
          <w:szCs w:val="21"/>
          <w:lang w:eastAsia="zh-CN"/>
        </w:rPr>
        <w:t>平硐</w:t>
      </w:r>
      <w:r>
        <w:rPr>
          <w:rFonts w:hAnsi="Times New Roman" w:eastAsia="宋体"/>
          <w:b/>
          <w:bCs/>
          <w:sz w:val="21"/>
          <w:szCs w:val="21"/>
        </w:rPr>
        <w:t>场地</w:t>
      </w:r>
      <w:r>
        <w:rPr>
          <w:rFonts w:hAnsi="Times New Roman" w:eastAsia="宋体"/>
          <w:b/>
          <w:bCs/>
          <w:sz w:val="21"/>
          <w:szCs w:val="21"/>
          <w:lang w:eastAsia="zh-CN"/>
        </w:rPr>
        <w:t>昼间</w:t>
      </w:r>
      <w:r>
        <w:rPr>
          <w:rFonts w:hAnsi="Times New Roman" w:eastAsia="宋体"/>
          <w:b/>
          <w:bCs/>
          <w:sz w:val="21"/>
          <w:szCs w:val="21"/>
        </w:rPr>
        <w:t>等声级线图 （单位：[dB(A)]）</w:t>
      </w:r>
    </w:p>
    <w:p>
      <w:pPr>
        <w:jc w:val="center"/>
        <w:rPr>
          <w:rFonts w:hAnsi="Times New Roman" w:eastAsia="宋体"/>
          <w:b/>
          <w:bCs/>
          <w:sz w:val="21"/>
          <w:szCs w:val="21"/>
          <w:highlight w:val="yellow"/>
        </w:rPr>
      </w:pPr>
      <w:r>
        <w:rPr>
          <w:rFonts w:hAnsi="Times New Roman" w:eastAsia="宋体"/>
        </w:rPr>
        <w:drawing>
          <wp:inline distT="0" distB="0" distL="114300" distR="114300">
            <wp:extent cx="5055870" cy="4032885"/>
            <wp:effectExtent l="0" t="0" r="11430" b="5715"/>
            <wp:docPr id="232"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45"/>
                    <pic:cNvPicPr>
                      <a:picLocks noChangeAspect="1"/>
                    </pic:cNvPicPr>
                  </pic:nvPicPr>
                  <pic:blipFill>
                    <a:blip r:embed="rId260"/>
                    <a:stretch>
                      <a:fillRect/>
                    </a:stretch>
                  </pic:blipFill>
                  <pic:spPr>
                    <a:xfrm>
                      <a:off x="0" y="0"/>
                      <a:ext cx="5055870" cy="4032885"/>
                    </a:xfrm>
                    <a:prstGeom prst="rect">
                      <a:avLst/>
                    </a:prstGeom>
                    <a:noFill/>
                    <a:ln>
                      <a:noFill/>
                    </a:ln>
                  </pic:spPr>
                </pic:pic>
              </a:graphicData>
            </a:graphic>
          </wp:inline>
        </w:drawing>
      </w:r>
    </w:p>
    <w:p>
      <w:pPr>
        <w:spacing w:line="280" w:lineRule="exact"/>
        <w:jc w:val="center"/>
        <w:rPr>
          <w:rFonts w:hAnsi="Times New Roman" w:eastAsia="宋体"/>
          <w:b/>
          <w:bCs/>
          <w:sz w:val="21"/>
          <w:szCs w:val="21"/>
        </w:rPr>
      </w:pPr>
      <w:r>
        <w:rPr>
          <w:rFonts w:hAnsi="Times New Roman" w:eastAsia="宋体"/>
          <w:b/>
          <w:bCs/>
          <w:sz w:val="21"/>
          <w:szCs w:val="21"/>
        </w:rPr>
        <w:t>图</w:t>
      </w:r>
      <w:r>
        <w:rPr>
          <w:rFonts w:hAnsi="Times New Roman" w:eastAsia="宋体"/>
          <w:b/>
          <w:bCs/>
          <w:sz w:val="21"/>
          <w:szCs w:val="21"/>
          <w:lang w:eastAsia="zh-CN"/>
        </w:rPr>
        <w:t xml:space="preserve">8.2-2 </w:t>
      </w:r>
      <w:r>
        <w:rPr>
          <w:rFonts w:hAnsi="Times New Roman" w:eastAsia="宋体"/>
          <w:b/>
          <w:bCs/>
          <w:sz w:val="21"/>
          <w:szCs w:val="21"/>
        </w:rPr>
        <w:t>本项目营运期+</w:t>
      </w:r>
      <w:r>
        <w:rPr>
          <w:rFonts w:hAnsi="Times New Roman" w:eastAsia="宋体"/>
          <w:b/>
          <w:bCs/>
          <w:sz w:val="21"/>
          <w:szCs w:val="21"/>
          <w:lang w:eastAsia="zh-CN"/>
        </w:rPr>
        <w:t>548</w:t>
      </w:r>
      <w:r>
        <w:rPr>
          <w:rFonts w:hAnsi="Times New Roman" w:eastAsia="宋体"/>
          <w:b/>
          <w:bCs/>
          <w:sz w:val="21"/>
          <w:szCs w:val="21"/>
        </w:rPr>
        <w:t>m回风</w:t>
      </w:r>
      <w:r>
        <w:rPr>
          <w:rFonts w:hAnsi="Times New Roman" w:eastAsia="宋体"/>
          <w:b/>
          <w:bCs/>
          <w:sz w:val="21"/>
          <w:szCs w:val="21"/>
          <w:lang w:eastAsia="zh-CN"/>
        </w:rPr>
        <w:t>平硐</w:t>
      </w:r>
      <w:r>
        <w:rPr>
          <w:rFonts w:hAnsi="Times New Roman" w:eastAsia="宋体"/>
          <w:b/>
          <w:bCs/>
          <w:sz w:val="21"/>
          <w:szCs w:val="21"/>
        </w:rPr>
        <w:t>场地</w:t>
      </w:r>
      <w:r>
        <w:rPr>
          <w:rFonts w:hAnsi="Times New Roman" w:eastAsia="宋体"/>
          <w:b/>
          <w:bCs/>
          <w:sz w:val="21"/>
          <w:szCs w:val="21"/>
          <w:lang w:eastAsia="zh-CN"/>
        </w:rPr>
        <w:t>夜间</w:t>
      </w:r>
      <w:r>
        <w:rPr>
          <w:rFonts w:hAnsi="Times New Roman" w:eastAsia="宋体"/>
          <w:b/>
          <w:bCs/>
          <w:sz w:val="21"/>
          <w:szCs w:val="21"/>
        </w:rPr>
        <w:t>等声级线图 （单位：[dB(A)]）</w:t>
      </w:r>
    </w:p>
    <w:p>
      <w:pPr>
        <w:pStyle w:val="6"/>
        <w:rPr>
          <w:lang w:eastAsia="zh-CN"/>
        </w:rPr>
      </w:pPr>
      <w:bookmarkStart w:id="599" w:name="_Toc167095292"/>
      <w:bookmarkStart w:id="600" w:name="_Toc163812669"/>
      <w:r>
        <w:rPr>
          <w:lang w:eastAsia="zh-CN"/>
        </w:rPr>
        <w:t>8.2.3 运输噪声影响预测评价</w:t>
      </w:r>
      <w:bookmarkEnd w:id="599"/>
      <w:bookmarkEnd w:id="600"/>
    </w:p>
    <w:p>
      <w:pPr>
        <w:spacing w:line="360" w:lineRule="auto"/>
        <w:ind w:firstLine="480" w:firstLineChars="200"/>
        <w:rPr>
          <w:rFonts w:hAnsi="Times New Roman" w:eastAsia="宋体"/>
          <w:lang w:eastAsia="zh-CN"/>
        </w:rPr>
      </w:pPr>
      <w:r>
        <w:rPr>
          <w:rFonts w:hAnsi="Times New Roman" w:eastAsia="宋体"/>
          <w:lang w:eastAsia="zh-CN"/>
        </w:rPr>
        <w:t>项目工业场地矸石和煤的外运主要是靠汽车运输。</w:t>
      </w:r>
    </w:p>
    <w:p>
      <w:pPr>
        <w:spacing w:line="360" w:lineRule="auto"/>
        <w:ind w:firstLine="480" w:firstLineChars="200"/>
        <w:rPr>
          <w:rFonts w:hAnsi="Times New Roman" w:eastAsia="宋体"/>
          <w:lang w:eastAsia="zh-CN"/>
        </w:rPr>
      </w:pPr>
      <w:r>
        <w:rPr>
          <w:rFonts w:hAnsi="Times New Roman" w:eastAsia="宋体"/>
          <w:lang w:eastAsia="zh-CN"/>
        </w:rPr>
        <w:t>项目煤炭、矸石主要依托现有乡镇公路（太平路）进行运输。本项目外运煤炭30万t/a、矸石3万t/a，公路运煤车辆时速按20km/h考虑，日运量约1000t。按照载重20t 的车辆白天运输10小时，夜间不运输计算，则运煤车流量平均白天20辆/d（其中满载运煤车辆为5辆/h，空载运煤车辆为5辆/h），发车量少。</w:t>
      </w:r>
    </w:p>
    <w:p>
      <w:pPr>
        <w:spacing w:line="360" w:lineRule="auto"/>
        <w:ind w:firstLine="480" w:firstLineChars="200"/>
        <w:rPr>
          <w:rFonts w:hAnsi="Times New Roman" w:eastAsia="宋体"/>
          <w:highlight w:val="yellow"/>
          <w:lang w:eastAsia="zh-CN"/>
        </w:rPr>
      </w:pPr>
      <w:r>
        <w:rPr>
          <w:rFonts w:hAnsi="Times New Roman" w:eastAsia="宋体"/>
          <w:lang w:eastAsia="zh-CN"/>
        </w:rPr>
        <w:t>根据计算，载重汽车时速为20km/h 时，平均辐射噪声级（7.5m处）为75.65dB（A）左右，经预测可知，道路中心线两侧，昼间45m处单一车辆贡献值符合《声环境质量标准》（GB 3096-2008）2类区要求。现有太平路道路沿线5-45m范围内分布村民较多，项目煤炭、矸石运输噪声会对其产生一定影响，但本项目新增车流量仅为10辆/h，产生运输噪声扰民的时段极短。总体来说，项目道路运输对太平路道路两</w:t>
      </w:r>
      <w:r>
        <w:rPr>
          <w:rFonts w:hint="eastAsia" w:hAnsi="Times New Roman" w:eastAsia="宋体"/>
          <w:lang w:val="en-US" w:eastAsia="zh-CN"/>
        </w:rPr>
        <w:t>侧</w:t>
      </w:r>
      <w:r>
        <w:rPr>
          <w:rFonts w:hAnsi="Times New Roman" w:eastAsia="宋体"/>
          <w:lang w:eastAsia="zh-CN"/>
        </w:rPr>
        <w:t>村民影响不大。</w:t>
      </w:r>
    </w:p>
    <w:p>
      <w:pPr>
        <w:spacing w:line="360" w:lineRule="auto"/>
        <w:ind w:firstLine="480" w:firstLineChars="200"/>
        <w:rPr>
          <w:rFonts w:hAnsi="Times New Roman" w:eastAsia="宋体"/>
          <w:lang w:eastAsia="zh-CN"/>
        </w:rPr>
      </w:pPr>
      <w:r>
        <w:rPr>
          <w:rFonts w:hAnsi="Times New Roman" w:eastAsia="宋体"/>
          <w:lang w:eastAsia="zh-CN"/>
        </w:rPr>
        <w:t>环评要求应合理安排运输车辆运行时间；加强运输车辆管理，尽量避免夜间运输，并应控制车速；煤炭运输过程中经过居民点时，运输车辆应降低车速，禁止鸣号。采取措施后，可进一步减缓对当地声环境的影响，运输噪声对当地声环境的影响控制在能接受的范围内。</w:t>
      </w:r>
    </w:p>
    <w:p>
      <w:pPr>
        <w:pStyle w:val="5"/>
        <w:rPr>
          <w:rFonts w:ascii="Times New Roman" w:hAnsi="Times New Roman"/>
          <w:lang w:eastAsia="zh-CN"/>
        </w:rPr>
      </w:pPr>
      <w:bookmarkStart w:id="601" w:name="_Toc167095293"/>
      <w:bookmarkStart w:id="602" w:name="_Toc163749202"/>
      <w:r>
        <w:rPr>
          <w:rFonts w:ascii="Times New Roman" w:hAnsi="Times New Roman"/>
          <w:lang w:eastAsia="zh-CN"/>
        </w:rPr>
        <w:t>8.3 声环境污染防治措施</w:t>
      </w:r>
      <w:bookmarkEnd w:id="601"/>
      <w:bookmarkEnd w:id="602"/>
    </w:p>
    <w:p>
      <w:pPr>
        <w:pStyle w:val="6"/>
        <w:rPr>
          <w:lang w:eastAsia="zh-CN"/>
        </w:rPr>
      </w:pPr>
      <w:bookmarkStart w:id="603" w:name="_Toc163812671"/>
      <w:bookmarkStart w:id="604" w:name="_Toc167095294"/>
      <w:r>
        <w:rPr>
          <w:lang w:eastAsia="zh-CN"/>
        </w:rPr>
        <w:t>8.3.1 建设期声环境污染防治措施</w:t>
      </w:r>
      <w:bookmarkEnd w:id="603"/>
      <w:bookmarkEnd w:id="604"/>
    </w:p>
    <w:p>
      <w:pPr>
        <w:spacing w:line="360" w:lineRule="auto"/>
        <w:ind w:firstLine="480" w:firstLineChars="200"/>
        <w:rPr>
          <w:rFonts w:hAnsi="Times New Roman" w:eastAsia="宋体"/>
          <w:lang w:eastAsia="zh-CN"/>
        </w:rPr>
      </w:pPr>
      <w:r>
        <w:rPr>
          <w:rFonts w:hAnsi="Times New Roman" w:eastAsia="宋体"/>
          <w:lang w:eastAsia="zh-CN"/>
        </w:rPr>
        <w:t>①合理布置施工场地及施工方式，尽量采用低噪声施工机械及施工方法；同时，合理制定施工计划，尽量避免高噪声设备同时运行；对设备定期维修、养护；对闲置不用的设备立即关闭；按规定操作机械设备，支架拆卸、装卸材料做到轻拿轻放。</w:t>
      </w:r>
    </w:p>
    <w:p>
      <w:pPr>
        <w:spacing w:line="360" w:lineRule="auto"/>
        <w:ind w:firstLine="480" w:firstLineChars="200"/>
        <w:rPr>
          <w:rFonts w:hAnsi="Times New Roman" w:eastAsia="宋体"/>
          <w:lang w:eastAsia="zh-CN"/>
        </w:rPr>
      </w:pPr>
      <w:r>
        <w:rPr>
          <w:rFonts w:hAnsi="Times New Roman" w:eastAsia="宋体"/>
          <w:lang w:eastAsia="zh-CN"/>
        </w:rPr>
        <w:t>②合理安排施工时间，夜间禁止施工；禁止在昼间12:00至2:00的午休时段施工。</w:t>
      </w:r>
    </w:p>
    <w:p>
      <w:pPr>
        <w:spacing w:line="360" w:lineRule="auto"/>
        <w:ind w:firstLine="480" w:firstLineChars="200"/>
        <w:rPr>
          <w:rFonts w:hAnsi="Times New Roman" w:eastAsia="宋体"/>
          <w:lang w:eastAsia="zh-CN"/>
        </w:rPr>
      </w:pPr>
      <w:r>
        <w:rPr>
          <w:rFonts w:hAnsi="Times New Roman" w:eastAsia="宋体"/>
          <w:lang w:eastAsia="zh-CN"/>
        </w:rPr>
        <w:t>③严格控制施工车辆运输路线，严禁超范围施工或弃渣弃土车辆通行，施工现场应执行《建筑施工场界环境噪声排放标准》（GB12523-2011）中的规定要求，由施工企业对施工现场的噪声值进行监测和记录，超过限值必须调整施工强度；在施工过程定期和不定期走访居民，征询附近居民的意见，取得周边居民谅解。</w:t>
      </w:r>
    </w:p>
    <w:p>
      <w:pPr>
        <w:pStyle w:val="6"/>
        <w:rPr>
          <w:lang w:eastAsia="zh-CN"/>
        </w:rPr>
      </w:pPr>
      <w:bookmarkStart w:id="605" w:name="_Toc163812672"/>
      <w:bookmarkStart w:id="606" w:name="_Toc167095295"/>
      <w:r>
        <w:rPr>
          <w:lang w:eastAsia="zh-CN"/>
        </w:rPr>
        <w:t>8.3.2 运行期声环境污染防治措施合理布局工业场地</w:t>
      </w:r>
      <w:bookmarkEnd w:id="605"/>
      <w:bookmarkEnd w:id="606"/>
    </w:p>
    <w:p>
      <w:pPr>
        <w:spacing w:line="360" w:lineRule="auto"/>
        <w:ind w:firstLine="480" w:firstLineChars="200"/>
        <w:rPr>
          <w:rFonts w:hAnsi="Times New Roman" w:eastAsia="宋体"/>
          <w:lang w:eastAsia="zh-CN"/>
        </w:rPr>
      </w:pPr>
      <w:r>
        <w:rPr>
          <w:rFonts w:hAnsi="Times New Roman" w:eastAsia="宋体"/>
          <w:lang w:eastAsia="zh-CN"/>
        </w:rPr>
        <w:t>合理布局工业场地，将工业场地按生产和生活功能分区，减小噪声对行政福利生活区和环境保护目标的影响。</w:t>
      </w:r>
    </w:p>
    <w:p>
      <w:pPr>
        <w:spacing w:line="360" w:lineRule="auto"/>
        <w:ind w:firstLine="480" w:firstLineChars="200"/>
        <w:rPr>
          <w:rFonts w:hAnsi="Times New Roman" w:eastAsia="宋体"/>
          <w:lang w:eastAsia="zh-CN"/>
        </w:rPr>
      </w:pPr>
      <w:r>
        <w:rPr>
          <w:rFonts w:hAnsi="Times New Roman" w:eastAsia="宋体"/>
          <w:lang w:eastAsia="zh-CN"/>
        </w:rPr>
        <w:t>设计对新增矿用各种机电产品选用时，除考虑满足生产工艺技术要求外，选型还必须考虑产品具备良好的声学特性（高效低噪），按照国家劳动总局和卫生部颁</w:t>
      </w:r>
      <w:r>
        <w:rPr>
          <w:rFonts w:hint="eastAsia" w:hAnsi="Times New Roman" w:eastAsia="宋体"/>
          <w:lang w:eastAsia="zh-CN"/>
        </w:rPr>
        <w:t>布</w:t>
      </w:r>
      <w:r>
        <w:rPr>
          <w:rFonts w:hAnsi="Times New Roman" w:eastAsia="宋体"/>
          <w:lang w:eastAsia="zh-CN"/>
        </w:rPr>
        <w:t>的“工业企业噪声卫生标准”及有关设计规定，向供货制造设备厂方提出限制噪声要求。距设备表面1m处声压级不超过85dB（A），否则应与厂方协商提供相配套的降噪设施。</w:t>
      </w:r>
    </w:p>
    <w:p>
      <w:pPr>
        <w:spacing w:line="360" w:lineRule="auto"/>
        <w:ind w:firstLine="482" w:firstLineChars="200"/>
        <w:rPr>
          <w:rFonts w:hAnsi="Times New Roman" w:eastAsia="宋体"/>
          <w:b/>
          <w:bCs/>
          <w:lang w:eastAsia="zh-CN"/>
        </w:rPr>
      </w:pPr>
      <w:r>
        <w:rPr>
          <w:rFonts w:hAnsi="Times New Roman" w:eastAsia="宋体"/>
          <w:b/>
          <w:bCs/>
          <w:lang w:eastAsia="zh-CN"/>
        </w:rPr>
        <w:t>1、矿井通风机、空压机</w:t>
      </w:r>
    </w:p>
    <w:p>
      <w:pPr>
        <w:spacing w:line="360" w:lineRule="auto"/>
        <w:ind w:firstLine="480" w:firstLineChars="200"/>
        <w:rPr>
          <w:rFonts w:hAnsi="Times New Roman" w:eastAsia="宋体"/>
          <w:lang w:eastAsia="zh-CN"/>
        </w:rPr>
      </w:pPr>
      <w:r>
        <w:rPr>
          <w:rFonts w:hAnsi="Times New Roman" w:eastAsia="宋体"/>
          <w:lang w:eastAsia="zh-CN"/>
        </w:rPr>
        <w:t>通风机声级在100dB</w:t>
      </w:r>
      <w:r>
        <w:rPr>
          <w:rFonts w:hint="eastAsia" w:hAnsi="Times New Roman" w:eastAsia="宋体"/>
          <w:lang w:eastAsia="zh-CN"/>
        </w:rPr>
        <w:t>（</w:t>
      </w:r>
      <w:r>
        <w:rPr>
          <w:rFonts w:hAnsi="Times New Roman" w:eastAsia="宋体"/>
          <w:lang w:eastAsia="zh-CN"/>
        </w:rPr>
        <w:t>A</w:t>
      </w:r>
      <w:r>
        <w:rPr>
          <w:rFonts w:hint="eastAsia" w:hAnsi="Times New Roman" w:eastAsia="宋体"/>
          <w:lang w:eastAsia="zh-CN"/>
        </w:rPr>
        <w:t>）</w:t>
      </w:r>
      <w:r>
        <w:rPr>
          <w:rFonts w:hAnsi="Times New Roman" w:eastAsia="宋体"/>
          <w:lang w:eastAsia="zh-CN"/>
        </w:rPr>
        <w:t>左右。按类似矿实际使用效果，在采取通风机的进、出口安装阻性消声器，降噪量可达10dB</w:t>
      </w:r>
      <w:r>
        <w:rPr>
          <w:rFonts w:hint="eastAsia" w:hAnsi="Times New Roman" w:eastAsia="宋体"/>
          <w:lang w:eastAsia="zh-CN"/>
        </w:rPr>
        <w:t>（</w:t>
      </w:r>
      <w:r>
        <w:rPr>
          <w:rFonts w:hAnsi="Times New Roman" w:eastAsia="宋体"/>
          <w:lang w:eastAsia="zh-CN"/>
        </w:rPr>
        <w:t>A</w:t>
      </w:r>
      <w:r>
        <w:rPr>
          <w:rFonts w:hint="eastAsia" w:hAnsi="Times New Roman" w:eastAsia="宋体"/>
          <w:lang w:eastAsia="zh-CN"/>
        </w:rPr>
        <w:t>）</w:t>
      </w:r>
      <w:r>
        <w:rPr>
          <w:rFonts w:hAnsi="Times New Roman" w:eastAsia="宋体"/>
          <w:lang w:eastAsia="zh-CN"/>
        </w:rPr>
        <w:t>。项目风井场地周边200m范围内无居民等敏感点，主要通过距离衰减、山体阻隔达到隔声效果。</w:t>
      </w:r>
    </w:p>
    <w:p>
      <w:pPr>
        <w:spacing w:line="360" w:lineRule="auto"/>
        <w:ind w:firstLine="480" w:firstLineChars="200"/>
        <w:rPr>
          <w:rFonts w:hAnsi="Times New Roman" w:eastAsia="宋体"/>
          <w:lang w:eastAsia="zh-CN"/>
        </w:rPr>
      </w:pPr>
      <w:r>
        <w:rPr>
          <w:rFonts w:hAnsi="Times New Roman" w:eastAsia="宋体"/>
          <w:lang w:eastAsia="zh-CN"/>
        </w:rPr>
        <w:t>空压机采取机房封闭，采用隔振机座和软性连接，进排气口安装消声器，设隔声门窗。采取措施后预计可降噪量15dB（A）。</w:t>
      </w:r>
    </w:p>
    <w:p>
      <w:pPr>
        <w:spacing w:line="360" w:lineRule="auto"/>
        <w:ind w:firstLine="482" w:firstLineChars="200"/>
        <w:rPr>
          <w:rFonts w:hAnsi="Times New Roman" w:eastAsia="宋体"/>
          <w:b/>
          <w:bCs/>
          <w:lang w:eastAsia="zh-CN"/>
        </w:rPr>
      </w:pPr>
      <w:r>
        <w:rPr>
          <w:rFonts w:hAnsi="Times New Roman" w:eastAsia="宋体"/>
          <w:b/>
          <w:bCs/>
          <w:lang w:eastAsia="zh-CN"/>
        </w:rPr>
        <w:t>2、坑木加工房及机修车间噪声控制</w:t>
      </w:r>
    </w:p>
    <w:p>
      <w:pPr>
        <w:spacing w:line="360" w:lineRule="auto"/>
        <w:ind w:firstLine="482" w:firstLineChars="200"/>
        <w:rPr>
          <w:rFonts w:hAnsi="Times New Roman" w:eastAsia="宋体"/>
          <w:b/>
          <w:bCs/>
          <w:lang w:eastAsia="zh-CN"/>
        </w:rPr>
      </w:pPr>
      <w:r>
        <w:rPr>
          <w:rFonts w:hAnsi="Times New Roman" w:eastAsia="宋体"/>
          <w:b/>
          <w:bCs/>
          <w:lang w:eastAsia="zh-CN"/>
        </w:rPr>
        <w:t>（1）坑木加工房噪声控制</w:t>
      </w:r>
    </w:p>
    <w:p>
      <w:pPr>
        <w:spacing w:line="360" w:lineRule="auto"/>
        <w:ind w:firstLine="480" w:firstLineChars="200"/>
        <w:rPr>
          <w:rFonts w:hAnsi="Times New Roman" w:eastAsia="宋体"/>
          <w:lang w:eastAsia="zh-CN"/>
        </w:rPr>
      </w:pPr>
      <w:r>
        <w:rPr>
          <w:rFonts w:hAnsi="Times New Roman" w:eastAsia="宋体"/>
          <w:lang w:eastAsia="zh-CN"/>
        </w:rPr>
        <w:t>坑木加工房夜间停止加工，坑木加工房高噪声设备为圆锯机，采用如下控制措施：</w:t>
      </w:r>
    </w:p>
    <w:p>
      <w:pPr>
        <w:spacing w:line="360" w:lineRule="auto"/>
        <w:ind w:firstLine="480" w:firstLineChars="200"/>
        <w:rPr>
          <w:rFonts w:hAnsi="Times New Roman" w:eastAsia="宋体"/>
          <w:lang w:eastAsia="zh-CN"/>
        </w:rPr>
      </w:pPr>
      <w:r>
        <w:rPr>
          <w:rFonts w:hAnsi="Times New Roman" w:eastAsia="宋体"/>
          <w:lang w:eastAsia="zh-CN"/>
        </w:rPr>
        <w:t>①在锯片上开消声槽。锯片开槽后，总体</w:t>
      </w:r>
      <w:r>
        <w:rPr>
          <w:rFonts w:hint="eastAsia" w:hAnsi="Times New Roman" w:eastAsia="宋体"/>
          <w:lang w:eastAsia="zh-CN"/>
        </w:rPr>
        <w:t>刚度</w:t>
      </w:r>
      <w:r>
        <w:rPr>
          <w:rFonts w:hAnsi="Times New Roman" w:eastAsia="宋体"/>
          <w:lang w:eastAsia="zh-CN"/>
        </w:rPr>
        <w:t>下降，各个独立部分弹性加大，锯片和弯曲振动应力分散，使适张度下降，因而降低了锯片振动辐射的噪声。对φ400的圆锯片开槽后可取得近10～15 dB（A）的降噪效果。</w:t>
      </w:r>
    </w:p>
    <w:p>
      <w:pPr>
        <w:spacing w:line="360" w:lineRule="auto"/>
        <w:ind w:firstLine="480" w:firstLineChars="200"/>
        <w:rPr>
          <w:rFonts w:hAnsi="Times New Roman" w:eastAsia="宋体"/>
          <w:lang w:eastAsia="zh-CN"/>
        </w:rPr>
      </w:pPr>
      <w:r>
        <w:rPr>
          <w:rFonts w:hAnsi="Times New Roman" w:eastAsia="宋体"/>
          <w:lang w:eastAsia="zh-CN"/>
        </w:rPr>
        <w:t>②在锯片下半圆旁加消声板。消声板一方面使锯片高速旋转所带动的空气在狭窄缝中形成的涡流减少，使空气动力性噪声减弱。另一方面，由于消声板的吸声材料的吸声作用使噪声降低。若安装合理可取得20dB（A）的降噪效果。</w:t>
      </w:r>
    </w:p>
    <w:p>
      <w:pPr>
        <w:spacing w:line="360" w:lineRule="auto"/>
        <w:ind w:firstLine="482" w:firstLineChars="200"/>
        <w:rPr>
          <w:rFonts w:hAnsi="Times New Roman" w:eastAsia="宋体"/>
          <w:b/>
          <w:bCs/>
          <w:lang w:eastAsia="zh-CN"/>
        </w:rPr>
      </w:pPr>
      <w:r>
        <w:rPr>
          <w:rFonts w:hAnsi="Times New Roman" w:eastAsia="宋体"/>
          <w:b/>
          <w:bCs/>
          <w:lang w:eastAsia="zh-CN"/>
        </w:rPr>
        <w:t>（2）机修车间噪声控制</w:t>
      </w:r>
    </w:p>
    <w:p>
      <w:pPr>
        <w:spacing w:line="360" w:lineRule="auto"/>
        <w:ind w:firstLine="480" w:firstLineChars="200"/>
        <w:rPr>
          <w:rFonts w:hAnsi="Times New Roman" w:eastAsia="宋体"/>
          <w:lang w:eastAsia="zh-CN"/>
        </w:rPr>
      </w:pPr>
      <w:r>
        <w:rPr>
          <w:rFonts w:hAnsi="Times New Roman" w:eastAsia="宋体"/>
          <w:lang w:eastAsia="zh-CN"/>
        </w:rPr>
        <w:t>机修车间安装隔声门窗，设备基础减震，同时要求机修车间设备间歇作业，夜间停止工作，消除夜间噪声影响。尽量减少冲击性工艺，如以焊代铆、以液压代冲击、以液动代气动等。</w:t>
      </w:r>
    </w:p>
    <w:p>
      <w:pPr>
        <w:spacing w:line="360" w:lineRule="auto"/>
        <w:ind w:firstLine="482" w:firstLineChars="200"/>
        <w:rPr>
          <w:rFonts w:hAnsi="Times New Roman" w:eastAsia="宋体"/>
          <w:b/>
          <w:bCs/>
          <w:lang w:eastAsia="zh-CN"/>
        </w:rPr>
      </w:pPr>
      <w:r>
        <w:rPr>
          <w:rFonts w:hAnsi="Times New Roman" w:eastAsia="宋体"/>
          <w:b/>
          <w:bCs/>
          <w:lang w:eastAsia="zh-CN"/>
        </w:rPr>
        <w:t>3、矿井泵类噪声控制</w:t>
      </w:r>
    </w:p>
    <w:p>
      <w:pPr>
        <w:spacing w:line="360" w:lineRule="auto"/>
        <w:ind w:firstLine="480" w:firstLineChars="200"/>
        <w:rPr>
          <w:rFonts w:hAnsi="Times New Roman" w:eastAsia="宋体"/>
          <w:lang w:eastAsia="zh-CN"/>
        </w:rPr>
      </w:pPr>
      <w:r>
        <w:rPr>
          <w:rFonts w:hAnsi="Times New Roman" w:eastAsia="宋体"/>
          <w:lang w:eastAsia="zh-CN"/>
        </w:rPr>
        <w:t>使用的各种型号清水泵、污水泵等，噪声机理是流体在泵内被叶轮高速旋转，同时流体压力发生变化，在水泵进出口及泵壳内引起强烈振动，以及流体在蜗壳内产生涡流冲击壳体等产生噪声；此外与泵体钢性连接的阀门及管道也随之振动；有时电机噪声有可能高于水泵。</w:t>
      </w:r>
    </w:p>
    <w:p>
      <w:pPr>
        <w:spacing w:line="360" w:lineRule="auto"/>
        <w:ind w:firstLine="480" w:firstLineChars="200"/>
        <w:rPr>
          <w:rFonts w:hAnsi="Times New Roman" w:eastAsia="宋体"/>
          <w:lang w:eastAsia="zh-CN"/>
        </w:rPr>
      </w:pPr>
      <w:r>
        <w:rPr>
          <w:rFonts w:hAnsi="Times New Roman" w:eastAsia="宋体"/>
          <w:lang w:eastAsia="zh-CN"/>
        </w:rPr>
        <w:t>治理时首先在建筑结构考虑，水泵间单独隔开封闭或在室内吊装吸声体，水泵与进出口管道间安装软橡胶接头，同时泵体基础设橡胶垫或弹簧减振动器，降低管道和基础产生的固体传声。电机根据型号结构不同，考虑设散热消声间或隔声罩，若采用全封闭罩时，外加机械通风。</w:t>
      </w:r>
    </w:p>
    <w:p>
      <w:pPr>
        <w:spacing w:line="360" w:lineRule="auto"/>
        <w:ind w:firstLine="482" w:firstLineChars="200"/>
        <w:rPr>
          <w:rFonts w:hAnsi="Times New Roman" w:eastAsia="宋体"/>
          <w:b/>
          <w:bCs/>
          <w:lang w:eastAsia="zh-CN"/>
        </w:rPr>
      </w:pPr>
      <w:r>
        <w:rPr>
          <w:rFonts w:hAnsi="Times New Roman" w:eastAsia="宋体"/>
          <w:b/>
          <w:bCs/>
          <w:lang w:eastAsia="zh-CN"/>
        </w:rPr>
        <w:t>4、绿化降噪</w:t>
      </w:r>
    </w:p>
    <w:p>
      <w:pPr>
        <w:spacing w:line="360" w:lineRule="auto"/>
        <w:ind w:firstLine="480" w:firstLineChars="200"/>
        <w:rPr>
          <w:rFonts w:hAnsi="Times New Roman" w:eastAsia="宋体"/>
          <w:lang w:eastAsia="zh-CN"/>
        </w:rPr>
      </w:pPr>
      <w:r>
        <w:rPr>
          <w:rFonts w:hAnsi="Times New Roman" w:eastAsia="宋体"/>
          <w:lang w:eastAsia="zh-CN"/>
        </w:rPr>
        <w:t>加强场区绿化措施，降低噪声的传播。在厂界、高噪声车间周围、场区道路两侧种植灌木、乔木和林带绿化，起到阻止噪声传播的作用。在场地</w:t>
      </w:r>
      <w:r>
        <w:rPr>
          <w:rFonts w:hint="eastAsia" w:hAnsi="Times New Roman" w:eastAsia="宋体"/>
          <w:lang w:eastAsia="zh-CN"/>
        </w:rPr>
        <w:t>内</w:t>
      </w:r>
      <w:r>
        <w:rPr>
          <w:rFonts w:hAnsi="Times New Roman" w:eastAsia="宋体"/>
          <w:lang w:eastAsia="zh-CN"/>
        </w:rPr>
        <w:t>空地及办公区布置花坛、种植草坪美化环境，起到阻挡噪声传播和吸声的作用。选择的树种应适宜于自然条件。</w:t>
      </w:r>
    </w:p>
    <w:p>
      <w:pPr>
        <w:spacing w:line="360" w:lineRule="auto"/>
        <w:ind w:firstLine="482" w:firstLineChars="200"/>
        <w:rPr>
          <w:rFonts w:hAnsi="Times New Roman" w:eastAsia="宋体"/>
          <w:b/>
          <w:bCs/>
          <w:lang w:eastAsia="zh-CN"/>
        </w:rPr>
      </w:pPr>
      <w:r>
        <w:rPr>
          <w:rFonts w:hAnsi="Times New Roman" w:eastAsia="宋体"/>
          <w:b/>
          <w:bCs/>
          <w:lang w:eastAsia="zh-CN"/>
        </w:rPr>
        <w:t>5、运输噪声</w:t>
      </w:r>
    </w:p>
    <w:p>
      <w:pPr>
        <w:spacing w:line="360" w:lineRule="auto"/>
        <w:ind w:firstLine="480" w:firstLineChars="200"/>
        <w:rPr>
          <w:rFonts w:hAnsi="Times New Roman" w:eastAsia="宋体"/>
          <w:lang w:eastAsia="zh-CN"/>
        </w:rPr>
      </w:pPr>
      <w:r>
        <w:rPr>
          <w:rFonts w:hAnsi="Times New Roman" w:eastAsia="宋体"/>
          <w:lang w:eastAsia="zh-CN"/>
        </w:rPr>
        <w:t>加强运输车辆管理，合理安排运输时间，严禁在22：00～次日6：00 运输，严禁车辆超速超载，在经过居民点时严禁鸣笛。</w:t>
      </w:r>
    </w:p>
    <w:p>
      <w:pPr>
        <w:spacing w:line="360" w:lineRule="auto"/>
        <w:ind w:firstLine="480" w:firstLineChars="200"/>
        <w:rPr>
          <w:rFonts w:hAnsi="Times New Roman" w:eastAsia="宋体"/>
          <w:lang w:eastAsia="zh-CN"/>
        </w:rPr>
        <w:sectPr>
          <w:pgSz w:w="11905" w:h="16838"/>
          <w:pgMar w:top="1440" w:right="1304" w:bottom="1440" w:left="1474" w:header="850" w:footer="992" w:gutter="0"/>
          <w:cols w:space="0" w:num="1"/>
          <w:docGrid w:type="lines" w:linePitch="338" w:charSpace="0"/>
        </w:sectPr>
      </w:pPr>
    </w:p>
    <w:p>
      <w:pPr>
        <w:pStyle w:val="4"/>
        <w:rPr>
          <w:lang w:eastAsia="zh-CN"/>
        </w:rPr>
      </w:pPr>
      <w:bookmarkStart w:id="607" w:name="_Toc167095296"/>
      <w:bookmarkStart w:id="608" w:name="_Toc163749203"/>
      <w:r>
        <w:rPr>
          <w:lang w:eastAsia="zh-CN"/>
        </w:rPr>
        <w:t>9 固体废物环境影响分析</w:t>
      </w:r>
      <w:bookmarkEnd w:id="607"/>
      <w:bookmarkEnd w:id="608"/>
    </w:p>
    <w:p>
      <w:pPr>
        <w:pStyle w:val="5"/>
        <w:rPr>
          <w:rFonts w:ascii="Times New Roman" w:hAnsi="Times New Roman"/>
          <w:lang w:eastAsia="zh-CN"/>
        </w:rPr>
      </w:pPr>
      <w:bookmarkStart w:id="609" w:name="_Toc163749204"/>
      <w:bookmarkStart w:id="610" w:name="_Toc167095297"/>
      <w:r>
        <w:rPr>
          <w:rFonts w:ascii="Times New Roman" w:hAnsi="Times New Roman"/>
          <w:lang w:eastAsia="zh-CN"/>
        </w:rPr>
        <w:t>9.1 建设期固体废物的处置</w:t>
      </w:r>
      <w:bookmarkEnd w:id="609"/>
      <w:bookmarkEnd w:id="610"/>
    </w:p>
    <w:p>
      <w:pPr>
        <w:spacing w:line="360" w:lineRule="auto"/>
        <w:ind w:firstLine="480" w:firstLineChars="200"/>
        <w:rPr>
          <w:rFonts w:hAnsi="Times New Roman" w:eastAsia="宋体"/>
          <w:lang w:eastAsia="zh-CN"/>
        </w:rPr>
      </w:pPr>
      <w:r>
        <w:rPr>
          <w:rFonts w:hAnsi="Times New Roman" w:eastAsia="宋体"/>
          <w:lang w:eastAsia="zh-CN"/>
        </w:rPr>
        <w:t>七里峡煤矿独立升级改造期间产生的巷道掘进矸石尽量回填采空区，不能回填采空区的矸石暂存至矸石临时堆场，全部运至本地砖厂制砖使用，不外排；建设期间产生的建筑垃圾能够回收利用的可回收利用，不能回收的应运往城乡规划部门指定的建筑垃圾堆放场；施工期间产生的生活垃圾经集中收集后由环卫部门统一清运处理，不会造成二次污染。</w:t>
      </w:r>
    </w:p>
    <w:p>
      <w:pPr>
        <w:spacing w:line="360" w:lineRule="auto"/>
        <w:ind w:firstLine="480" w:firstLineChars="200"/>
        <w:rPr>
          <w:rFonts w:hAnsi="Times New Roman" w:eastAsia="宋体"/>
          <w:lang w:eastAsia="zh-CN"/>
        </w:rPr>
      </w:pPr>
      <w:r>
        <w:rPr>
          <w:rFonts w:hAnsi="Times New Roman" w:eastAsia="宋体"/>
          <w:lang w:eastAsia="zh-CN"/>
        </w:rPr>
        <w:t>综上所述，七里峡煤矿独立升级改造期间产生的固废均得到了合理处置，固体不会对环境造成二次污染。</w:t>
      </w:r>
    </w:p>
    <w:p>
      <w:pPr>
        <w:pStyle w:val="5"/>
        <w:rPr>
          <w:rFonts w:ascii="Times New Roman" w:hAnsi="Times New Roman"/>
          <w:lang w:eastAsia="zh-CN"/>
        </w:rPr>
      </w:pPr>
      <w:bookmarkStart w:id="611" w:name="_Toc163749205"/>
      <w:bookmarkStart w:id="612" w:name="_Toc167095298"/>
      <w:r>
        <w:rPr>
          <w:rFonts w:ascii="Times New Roman" w:hAnsi="Times New Roman"/>
          <w:lang w:eastAsia="zh-CN"/>
        </w:rPr>
        <w:t>9.2 运营期固体废物排放情况与处置措施分析</w:t>
      </w:r>
      <w:bookmarkEnd w:id="611"/>
      <w:bookmarkEnd w:id="612"/>
    </w:p>
    <w:p>
      <w:pPr>
        <w:pStyle w:val="6"/>
        <w:rPr>
          <w:lang w:eastAsia="zh-CN"/>
        </w:rPr>
      </w:pPr>
      <w:bookmarkStart w:id="613" w:name="_Toc163812676"/>
      <w:bookmarkStart w:id="614" w:name="_Toc167095299"/>
      <w:r>
        <w:rPr>
          <w:lang w:eastAsia="zh-CN"/>
        </w:rPr>
        <w:t>9.2.1 运营期固体废物种类</w:t>
      </w:r>
      <w:bookmarkEnd w:id="613"/>
      <w:bookmarkEnd w:id="614"/>
    </w:p>
    <w:p>
      <w:pPr>
        <w:spacing w:line="360" w:lineRule="auto"/>
        <w:ind w:firstLine="480" w:firstLineChars="200"/>
        <w:rPr>
          <w:rFonts w:hAnsi="Times New Roman" w:eastAsia="宋体"/>
          <w:lang w:eastAsia="zh-CN"/>
        </w:rPr>
      </w:pPr>
      <w:r>
        <w:rPr>
          <w:rFonts w:hAnsi="Times New Roman" w:eastAsia="宋体"/>
          <w:lang w:eastAsia="zh-CN"/>
        </w:rPr>
        <w:t>项目生产运营期排放的主要固体废物为煤矸石、生活垃圾、生活污水处理站污泥、矿井水处理站煤泥，废弃矿灯、蓄电池、废机油、含油抹布及手套等。</w:t>
      </w:r>
    </w:p>
    <w:p>
      <w:pPr>
        <w:pStyle w:val="6"/>
        <w:rPr>
          <w:lang w:eastAsia="zh-CN"/>
        </w:rPr>
      </w:pPr>
      <w:bookmarkStart w:id="615" w:name="_Toc167095300"/>
      <w:bookmarkStart w:id="616" w:name="_Toc163812677"/>
      <w:r>
        <w:rPr>
          <w:lang w:eastAsia="zh-CN"/>
        </w:rPr>
        <w:t>9.2.2 运营期固体废物处置措施</w:t>
      </w:r>
      <w:bookmarkEnd w:id="615"/>
      <w:bookmarkEnd w:id="616"/>
    </w:p>
    <w:p>
      <w:pPr>
        <w:spacing w:line="360" w:lineRule="auto"/>
        <w:ind w:firstLine="482" w:firstLineChars="200"/>
        <w:rPr>
          <w:rFonts w:hAnsi="Times New Roman" w:eastAsia="宋体"/>
          <w:b/>
          <w:bCs/>
          <w:lang w:eastAsia="zh-CN"/>
        </w:rPr>
      </w:pPr>
      <w:r>
        <w:rPr>
          <w:rFonts w:hAnsi="Times New Roman" w:eastAsia="宋体"/>
          <w:b/>
          <w:bCs/>
          <w:lang w:eastAsia="zh-CN"/>
        </w:rPr>
        <w:t>1、煤矸石</w:t>
      </w:r>
    </w:p>
    <w:p>
      <w:pPr>
        <w:spacing w:line="360" w:lineRule="auto"/>
        <w:ind w:firstLine="482" w:firstLineChars="200"/>
        <w:rPr>
          <w:rFonts w:hAnsi="Times New Roman" w:eastAsia="宋体"/>
          <w:b/>
          <w:bCs/>
          <w:lang w:eastAsia="zh-CN"/>
        </w:rPr>
      </w:pPr>
      <w:r>
        <w:rPr>
          <w:rFonts w:hAnsi="Times New Roman" w:eastAsia="宋体"/>
          <w:b/>
          <w:bCs/>
          <w:lang w:eastAsia="zh-CN"/>
        </w:rPr>
        <w:t>（1）矸石产生及处置</w:t>
      </w:r>
    </w:p>
    <w:p>
      <w:pPr>
        <w:spacing w:line="360" w:lineRule="auto"/>
        <w:ind w:firstLine="480" w:firstLineChars="200"/>
        <w:rPr>
          <w:rFonts w:hAnsi="Times New Roman" w:eastAsia="宋体"/>
          <w:lang w:eastAsia="zh-CN"/>
        </w:rPr>
      </w:pPr>
      <w:r>
        <w:rPr>
          <w:rFonts w:hAnsi="Times New Roman" w:eastAsia="宋体"/>
          <w:lang w:eastAsia="zh-CN"/>
        </w:rPr>
        <w:t>矿井生产营运期煤矸石产生量约3万t/a。本矿矸石为Ⅰ类一般固体废物（见表2- 22），矸石全部综合利用。</w:t>
      </w:r>
    </w:p>
    <w:p>
      <w:pPr>
        <w:spacing w:line="360" w:lineRule="auto"/>
        <w:ind w:firstLine="480" w:firstLineChars="200"/>
        <w:rPr>
          <w:rFonts w:hAnsi="Times New Roman" w:eastAsia="宋体"/>
          <w:lang w:eastAsia="zh-CN"/>
        </w:rPr>
      </w:pPr>
      <w:r>
        <w:rPr>
          <w:rFonts w:hAnsi="Times New Roman" w:eastAsia="宋体"/>
          <w:lang w:eastAsia="zh-CN"/>
        </w:rPr>
        <w:t>七里峡煤矿已与宣汉县平桥砖厂签订了矸石处理协议（见附件）。宣汉县平桥砖厂位于宣汉县七里乡民主村，2010年6月10日前已建成并投入运行，根据四川省人民政府《关于印发四川省清理整顿环保违法违规建设项目工作方案的通知》</w:t>
      </w:r>
      <w:r>
        <w:rPr>
          <w:rFonts w:hint="eastAsia" w:hAnsi="Times New Roman" w:eastAsia="宋体"/>
          <w:lang w:eastAsia="zh-CN"/>
        </w:rPr>
        <w:t>（</w:t>
      </w:r>
      <w:r>
        <w:rPr>
          <w:rFonts w:hAnsi="Times New Roman" w:eastAsia="宋体"/>
          <w:lang w:eastAsia="zh-CN"/>
        </w:rPr>
        <w:t>川办发</w:t>
      </w:r>
      <w:r>
        <w:rPr>
          <w:rFonts w:hint="eastAsia" w:hAnsi="Times New Roman" w:eastAsia="宋体"/>
          <w:lang w:eastAsia="zh-CN"/>
        </w:rPr>
        <w:t>〔</w:t>
      </w:r>
      <w:r>
        <w:rPr>
          <w:rFonts w:hAnsi="Times New Roman" w:eastAsia="宋体"/>
          <w:lang w:eastAsia="zh-CN"/>
        </w:rPr>
        <w:t>201</w:t>
      </w:r>
      <w:r>
        <w:rPr>
          <w:rFonts w:hint="eastAsia" w:hAnsi="Times New Roman" w:eastAsia="宋体"/>
          <w:lang w:val="en-US" w:eastAsia="zh-CN"/>
        </w:rPr>
        <w:t>5</w:t>
      </w:r>
      <w:r>
        <w:rPr>
          <w:rFonts w:hint="eastAsia" w:hAnsi="Times New Roman" w:eastAsia="宋体"/>
          <w:lang w:eastAsia="zh-CN"/>
        </w:rPr>
        <w:t>〕</w:t>
      </w:r>
      <w:r>
        <w:rPr>
          <w:rFonts w:hAnsi="Times New Roman" w:eastAsia="宋体"/>
          <w:lang w:eastAsia="zh-CN"/>
        </w:rPr>
        <w:t>90号</w:t>
      </w:r>
      <w:r>
        <w:rPr>
          <w:rFonts w:hint="eastAsia" w:hAnsi="Times New Roman" w:eastAsia="宋体"/>
          <w:lang w:eastAsia="zh-CN"/>
        </w:rPr>
        <w:t>）</w:t>
      </w:r>
      <w:r>
        <w:rPr>
          <w:rFonts w:hAnsi="Times New Roman" w:eastAsia="宋体"/>
          <w:lang w:eastAsia="zh-CN"/>
        </w:rPr>
        <w:t>、四川省环境保护厅《关于扎实推进全省环保违法违规建设项目清理整顿工作的函》</w:t>
      </w:r>
      <w:r>
        <w:rPr>
          <w:rFonts w:hint="eastAsia" w:hAnsi="Times New Roman" w:eastAsia="宋体"/>
          <w:lang w:eastAsia="zh-CN"/>
        </w:rPr>
        <w:t>（</w:t>
      </w:r>
      <w:r>
        <w:rPr>
          <w:rFonts w:hAnsi="Times New Roman" w:eastAsia="宋体"/>
          <w:lang w:eastAsia="zh-CN"/>
        </w:rPr>
        <w:t>川环函</w:t>
      </w:r>
      <w:r>
        <w:rPr>
          <w:rFonts w:hint="eastAsia" w:hAnsi="Times New Roman" w:eastAsia="宋体"/>
          <w:lang w:eastAsia="zh-CN"/>
        </w:rPr>
        <w:t>〔</w:t>
      </w:r>
      <w:r>
        <w:rPr>
          <w:rFonts w:hAnsi="Times New Roman" w:eastAsia="宋体"/>
          <w:lang w:eastAsia="zh-CN"/>
        </w:rPr>
        <w:t>2017</w:t>
      </w:r>
      <w:r>
        <w:rPr>
          <w:rFonts w:hint="eastAsia" w:hAnsi="Times New Roman" w:eastAsia="宋体"/>
          <w:lang w:eastAsia="zh-CN"/>
        </w:rPr>
        <w:t>〕</w:t>
      </w:r>
      <w:r>
        <w:rPr>
          <w:rFonts w:hAnsi="Times New Roman" w:eastAsia="宋体"/>
          <w:lang w:eastAsia="zh-CN"/>
        </w:rPr>
        <w:t>1926号</w:t>
      </w:r>
      <w:r>
        <w:rPr>
          <w:rFonts w:hint="eastAsia" w:hAnsi="Times New Roman" w:eastAsia="宋体"/>
          <w:lang w:eastAsia="zh-CN"/>
        </w:rPr>
        <w:t>）</w:t>
      </w:r>
      <w:r>
        <w:rPr>
          <w:rFonts w:hAnsi="Times New Roman" w:eastAsia="宋体"/>
          <w:lang w:eastAsia="zh-CN"/>
        </w:rPr>
        <w:t>等要求，于2018年履行了临时环保备案管理等环保手续。宣汉县平桥砖厂位于七里峡煤矿临时矸石临时堆场西侧约2.2km处。该砖厂年消耗煤矸石5万吨，可以完全消纳项目改造后的煤矸石量。</w:t>
      </w:r>
    </w:p>
    <w:p>
      <w:pPr>
        <w:spacing w:line="360" w:lineRule="auto"/>
        <w:ind w:firstLine="482" w:firstLineChars="200"/>
        <w:rPr>
          <w:rFonts w:hAnsi="Times New Roman" w:eastAsia="宋体"/>
          <w:b/>
          <w:bCs/>
          <w:lang w:eastAsia="zh-CN"/>
        </w:rPr>
      </w:pPr>
      <w:r>
        <w:rPr>
          <w:rFonts w:hAnsi="Times New Roman" w:eastAsia="宋体"/>
          <w:b/>
          <w:bCs/>
          <w:lang w:eastAsia="zh-CN"/>
        </w:rPr>
        <w:t>（2）矸石综合利用可行性分析</w:t>
      </w:r>
    </w:p>
    <w:p>
      <w:pPr>
        <w:spacing w:line="360" w:lineRule="auto"/>
        <w:ind w:firstLine="480" w:firstLineChars="200"/>
        <w:rPr>
          <w:rFonts w:hAnsi="Times New Roman" w:eastAsia="宋体"/>
          <w:lang w:eastAsia="zh-CN"/>
        </w:rPr>
      </w:pPr>
      <w:r>
        <w:rPr>
          <w:rFonts w:hAnsi="Times New Roman" w:eastAsia="宋体"/>
          <w:lang w:eastAsia="zh-CN"/>
        </w:rPr>
        <w:t>矸石是煤矿生产的主要污染物，它既是一种固体废物，但也是一种矿产资源，煤矸石的综合利用是煤炭资源开发中保护环境的一项重要措施。近年来国内外对这项工作十分重视，开发了多种多样的利用途径。归纳为三类：①燃化类，利用矸石发电，提取化工产品等；②建材类，生产水泥和建筑制品等；③填铺类。煤矸石中含有SiO</w:t>
      </w:r>
      <w:r>
        <w:rPr>
          <w:rFonts w:hAnsi="Times New Roman" w:eastAsia="宋体"/>
          <w:vertAlign w:val="subscript"/>
          <w:lang w:eastAsia="zh-CN"/>
        </w:rPr>
        <w:t>2</w:t>
      </w:r>
      <w:r>
        <w:rPr>
          <w:rFonts w:hAnsi="Times New Roman" w:eastAsia="宋体"/>
          <w:lang w:eastAsia="zh-CN"/>
        </w:rPr>
        <w:t>、Al</w:t>
      </w:r>
      <w:r>
        <w:rPr>
          <w:rFonts w:hAnsi="Times New Roman" w:eastAsia="宋体"/>
          <w:vertAlign w:val="subscript"/>
          <w:lang w:eastAsia="zh-CN"/>
        </w:rPr>
        <w:t>2</w:t>
      </w:r>
      <w:r>
        <w:rPr>
          <w:rFonts w:hAnsi="Times New Roman" w:eastAsia="宋体"/>
          <w:lang w:eastAsia="zh-CN"/>
        </w:rPr>
        <w:t>O</w:t>
      </w:r>
      <w:r>
        <w:rPr>
          <w:rFonts w:hAnsi="Times New Roman" w:eastAsia="宋体"/>
          <w:vertAlign w:val="subscript"/>
          <w:lang w:eastAsia="zh-CN"/>
        </w:rPr>
        <w:t>3</w:t>
      </w:r>
      <w:r>
        <w:rPr>
          <w:rFonts w:hAnsi="Times New Roman" w:eastAsia="宋体"/>
          <w:lang w:eastAsia="zh-CN"/>
        </w:rPr>
        <w:t>和Fe</w:t>
      </w:r>
      <w:r>
        <w:rPr>
          <w:rFonts w:hAnsi="Times New Roman" w:eastAsia="宋体"/>
          <w:vertAlign w:val="subscript"/>
          <w:lang w:eastAsia="zh-CN"/>
        </w:rPr>
        <w:t>2</w:t>
      </w:r>
      <w:r>
        <w:rPr>
          <w:rFonts w:hAnsi="Times New Roman" w:eastAsia="宋体"/>
          <w:lang w:eastAsia="zh-CN"/>
        </w:rPr>
        <w:t>O</w:t>
      </w:r>
      <w:r>
        <w:rPr>
          <w:rFonts w:hAnsi="Times New Roman" w:eastAsia="宋体"/>
          <w:vertAlign w:val="subscript"/>
          <w:lang w:eastAsia="zh-CN"/>
        </w:rPr>
        <w:t>3</w:t>
      </w:r>
      <w:r>
        <w:rPr>
          <w:rFonts w:hAnsi="Times New Roman" w:eastAsia="宋体"/>
          <w:lang w:eastAsia="zh-CN"/>
        </w:rPr>
        <w:t>，它们的总含量达80%左右，是一种天然的黏土质原料，可以代替黏土配料烧制普通硅酸盐水泥、特种水泥、无熟料水泥和煤矸石矿渣水泥等。</w:t>
      </w:r>
    </w:p>
    <w:p>
      <w:pPr>
        <w:spacing w:line="360" w:lineRule="auto"/>
        <w:ind w:firstLine="480" w:firstLineChars="200"/>
        <w:rPr>
          <w:rFonts w:hAnsi="Times New Roman" w:eastAsia="宋体"/>
          <w:lang w:eastAsia="zh-CN"/>
        </w:rPr>
      </w:pPr>
      <w:r>
        <w:rPr>
          <w:rFonts w:hAnsi="Times New Roman" w:eastAsia="宋体"/>
          <w:lang w:eastAsia="zh-CN"/>
        </w:rPr>
        <w:t>1999年12月国家建设部、经贸委、质量技术监管局、建材局联合发布了《关于在住宅建设中淘汰落后产品的通知》中明确规定：限制实心</w:t>
      </w:r>
      <w:r>
        <w:rPr>
          <w:rFonts w:hint="eastAsia" w:hAnsi="Times New Roman" w:eastAsia="宋体"/>
          <w:lang w:eastAsia="zh-CN"/>
        </w:rPr>
        <w:t>黏土砖</w:t>
      </w:r>
      <w:r>
        <w:rPr>
          <w:rFonts w:hAnsi="Times New Roman" w:eastAsia="宋体"/>
          <w:lang w:eastAsia="zh-CN"/>
        </w:rPr>
        <w:t>的使用，大力推广新型环保节能墙体材料，节能降耗，实现工业废渣的综合利用。近几年空心矸石砖的出现在逐渐取代实心</w:t>
      </w:r>
      <w:r>
        <w:rPr>
          <w:rFonts w:hint="eastAsia" w:hAnsi="Times New Roman" w:eastAsia="宋体"/>
          <w:lang w:eastAsia="zh-CN"/>
        </w:rPr>
        <w:t>黏土砖</w:t>
      </w:r>
      <w:r>
        <w:rPr>
          <w:rFonts w:hAnsi="Times New Roman" w:eastAsia="宋体"/>
          <w:lang w:eastAsia="zh-CN"/>
        </w:rPr>
        <w:t>，煤矸石砖是将矸石、页岩分别粉碎，按一定比例混合，经加水搅拌，挤压成型、烧结而成的。该砖比实心</w:t>
      </w:r>
      <w:r>
        <w:rPr>
          <w:rFonts w:hint="eastAsia" w:hAnsi="Times New Roman" w:eastAsia="宋体"/>
          <w:lang w:eastAsia="zh-CN"/>
        </w:rPr>
        <w:t>黏土砖</w:t>
      </w:r>
      <w:r>
        <w:rPr>
          <w:rFonts w:hAnsi="Times New Roman" w:eastAsia="宋体"/>
          <w:lang w:eastAsia="zh-CN"/>
        </w:rPr>
        <w:t>具有强度大、容量小、隔热、保温、隔音等特性。矸石砖取代</w:t>
      </w:r>
      <w:r>
        <w:rPr>
          <w:rFonts w:hint="eastAsia" w:hAnsi="Times New Roman" w:eastAsia="宋体"/>
          <w:lang w:eastAsia="zh-CN"/>
        </w:rPr>
        <w:t>黏土砖</w:t>
      </w:r>
      <w:r>
        <w:rPr>
          <w:rFonts w:hAnsi="Times New Roman" w:eastAsia="宋体"/>
          <w:lang w:eastAsia="zh-CN"/>
        </w:rPr>
        <w:t>将成为建材行业的一个主导方向。</w:t>
      </w:r>
    </w:p>
    <w:p>
      <w:pPr>
        <w:spacing w:line="360" w:lineRule="auto"/>
        <w:ind w:firstLine="480" w:firstLineChars="200"/>
        <w:rPr>
          <w:rFonts w:hAnsi="Times New Roman" w:eastAsia="宋体"/>
          <w:lang w:eastAsia="zh-CN"/>
        </w:rPr>
      </w:pPr>
      <w:r>
        <w:rPr>
          <w:rFonts w:hAnsi="Times New Roman" w:eastAsia="宋体"/>
          <w:lang w:eastAsia="zh-CN"/>
        </w:rPr>
        <w:t>总之煤矸石综合利用的途径十分广阔。本项目运营期的煤矸石产生可供砖厂作生产原料，做到废物利用。</w:t>
      </w:r>
    </w:p>
    <w:p>
      <w:pPr>
        <w:spacing w:line="360" w:lineRule="auto"/>
        <w:ind w:firstLine="482" w:firstLineChars="200"/>
        <w:rPr>
          <w:rFonts w:hAnsi="Times New Roman" w:eastAsia="宋体"/>
          <w:b/>
          <w:bCs/>
          <w:lang w:eastAsia="zh-CN"/>
        </w:rPr>
      </w:pPr>
      <w:r>
        <w:rPr>
          <w:rFonts w:hAnsi="Times New Roman" w:eastAsia="宋体"/>
          <w:b/>
          <w:bCs/>
          <w:lang w:eastAsia="zh-CN"/>
        </w:rPr>
        <w:t>2、生活垃圾</w:t>
      </w:r>
    </w:p>
    <w:p>
      <w:pPr>
        <w:spacing w:line="360" w:lineRule="auto"/>
        <w:ind w:firstLine="480" w:firstLineChars="200"/>
        <w:rPr>
          <w:rFonts w:hAnsi="Times New Roman" w:eastAsia="宋体"/>
          <w:lang w:eastAsia="zh-CN"/>
        </w:rPr>
      </w:pPr>
      <w:r>
        <w:rPr>
          <w:rFonts w:hAnsi="Times New Roman" w:eastAsia="宋体"/>
          <w:lang w:eastAsia="zh-CN"/>
        </w:rPr>
        <w:t>营运期生活垃圾产生量约55.3t/a。在工业场地的主要建筑物及作业场所设置垃圾桶和垃圾箱，垃圾袋装收集后，投放至工业广场的生活垃圾收集点，由乡镇环卫部门清运处置。</w:t>
      </w:r>
    </w:p>
    <w:p>
      <w:pPr>
        <w:spacing w:line="360" w:lineRule="auto"/>
        <w:ind w:firstLine="482" w:firstLineChars="200"/>
        <w:rPr>
          <w:rFonts w:hAnsi="Times New Roman" w:eastAsia="宋体"/>
          <w:b/>
          <w:bCs/>
          <w:lang w:eastAsia="zh-CN"/>
        </w:rPr>
      </w:pPr>
      <w:r>
        <w:rPr>
          <w:rFonts w:hAnsi="Times New Roman" w:eastAsia="宋体"/>
          <w:b/>
          <w:bCs/>
          <w:lang w:eastAsia="zh-CN"/>
        </w:rPr>
        <w:t>3、生活污水处理站污泥</w:t>
      </w:r>
    </w:p>
    <w:p>
      <w:pPr>
        <w:spacing w:line="360" w:lineRule="auto"/>
        <w:ind w:firstLine="480" w:firstLineChars="200"/>
        <w:rPr>
          <w:rFonts w:hAnsi="Times New Roman" w:eastAsia="宋体"/>
          <w:lang w:eastAsia="zh-CN"/>
        </w:rPr>
      </w:pPr>
      <w:r>
        <w:rPr>
          <w:rFonts w:hAnsi="Times New Roman" w:eastAsia="宋体"/>
          <w:lang w:eastAsia="zh-CN"/>
        </w:rPr>
        <w:t>生活污水处理站产生的污泥约4.33t/a。剩余污泥</w:t>
      </w:r>
      <w:r>
        <w:rPr>
          <w:rFonts w:hint="eastAsia" w:hAnsi="Times New Roman" w:eastAsia="宋体"/>
          <w:lang w:eastAsia="zh-CN"/>
        </w:rPr>
        <w:t>来自</w:t>
      </w:r>
      <w:r>
        <w:rPr>
          <w:rFonts w:hAnsi="Times New Roman" w:eastAsia="宋体"/>
          <w:lang w:eastAsia="zh-CN"/>
        </w:rPr>
        <w:t>工业场地内的污水处理站的生活污水处理过程，剩余污泥中</w:t>
      </w:r>
      <w:r>
        <w:rPr>
          <w:rFonts w:hint="eastAsia" w:hAnsi="Times New Roman" w:eastAsia="宋体"/>
          <w:lang w:eastAsia="zh-CN"/>
        </w:rPr>
        <w:t>的主要成分</w:t>
      </w:r>
      <w:r>
        <w:rPr>
          <w:rFonts w:hAnsi="Times New Roman" w:eastAsia="宋体"/>
          <w:lang w:eastAsia="zh-CN"/>
        </w:rPr>
        <w:t>为有机质和挥发性物质，并含有病原微生物、寄生虫卵等。生活污水处理站剩余污泥掺加石灰干化后和生活垃圾一并处理。</w:t>
      </w:r>
    </w:p>
    <w:p>
      <w:pPr>
        <w:spacing w:line="360" w:lineRule="auto"/>
        <w:ind w:firstLine="482" w:firstLineChars="200"/>
        <w:rPr>
          <w:rFonts w:hAnsi="Times New Roman" w:eastAsia="宋体"/>
          <w:b/>
          <w:bCs/>
          <w:lang w:eastAsia="zh-CN"/>
        </w:rPr>
      </w:pPr>
      <w:r>
        <w:rPr>
          <w:rFonts w:hAnsi="Times New Roman" w:eastAsia="宋体"/>
          <w:b/>
          <w:bCs/>
          <w:lang w:eastAsia="zh-CN"/>
        </w:rPr>
        <w:t>4、矿井水处理站污泥</w:t>
      </w:r>
    </w:p>
    <w:p>
      <w:pPr>
        <w:spacing w:line="360" w:lineRule="auto"/>
        <w:ind w:firstLine="480" w:firstLineChars="200"/>
        <w:rPr>
          <w:rFonts w:hAnsi="Times New Roman" w:eastAsia="宋体"/>
          <w:lang w:eastAsia="zh-CN"/>
        </w:rPr>
      </w:pPr>
      <w:r>
        <w:rPr>
          <w:rFonts w:hAnsi="Times New Roman" w:eastAsia="宋体"/>
          <w:lang w:eastAsia="zh-CN"/>
        </w:rPr>
        <w:t>矿井水处理站污泥约80t/a，此类污泥中所含成分主要是煤屑，其特性与选煤厂煤泥相似，矿井水处理站污泥经压滤脱水后掺入末煤对外销售。</w:t>
      </w:r>
    </w:p>
    <w:p>
      <w:pPr>
        <w:spacing w:line="360" w:lineRule="auto"/>
        <w:ind w:firstLine="482" w:firstLineChars="200"/>
        <w:rPr>
          <w:rFonts w:hAnsi="Times New Roman" w:eastAsia="宋体"/>
          <w:b/>
          <w:bCs/>
          <w:lang w:eastAsia="zh-CN"/>
        </w:rPr>
      </w:pPr>
      <w:r>
        <w:rPr>
          <w:rFonts w:hAnsi="Times New Roman" w:eastAsia="宋体"/>
          <w:b/>
          <w:bCs/>
          <w:lang w:eastAsia="zh-CN"/>
        </w:rPr>
        <w:t>5、含油手套、抹布</w:t>
      </w:r>
    </w:p>
    <w:p>
      <w:pPr>
        <w:spacing w:line="360" w:lineRule="auto"/>
        <w:ind w:firstLine="480" w:firstLineChars="200"/>
        <w:rPr>
          <w:rFonts w:hAnsi="Times New Roman" w:eastAsia="宋体"/>
          <w:b/>
          <w:bCs/>
          <w:lang w:eastAsia="zh-CN"/>
        </w:rPr>
      </w:pPr>
      <w:r>
        <w:rPr>
          <w:rFonts w:hAnsi="Times New Roman" w:eastAsia="宋体"/>
          <w:lang w:eastAsia="zh-CN"/>
        </w:rPr>
        <w:t>含油手套、抹布约0.05t/a。环评要求含油手套、抹布同生活垃圾一同交由环卫部门处理。</w:t>
      </w:r>
    </w:p>
    <w:p>
      <w:pPr>
        <w:spacing w:line="360" w:lineRule="auto"/>
        <w:ind w:firstLine="482" w:firstLineChars="200"/>
        <w:rPr>
          <w:rFonts w:hAnsi="Times New Roman" w:eastAsia="宋体"/>
          <w:b/>
          <w:bCs/>
          <w:lang w:eastAsia="zh-CN"/>
        </w:rPr>
      </w:pPr>
      <w:r>
        <w:rPr>
          <w:rFonts w:hAnsi="Times New Roman" w:eastAsia="宋体"/>
          <w:b/>
          <w:bCs/>
          <w:lang w:eastAsia="zh-CN"/>
        </w:rPr>
        <w:t>6、废蓄电池</w:t>
      </w:r>
    </w:p>
    <w:p>
      <w:pPr>
        <w:spacing w:line="360" w:lineRule="auto"/>
        <w:ind w:firstLine="480" w:firstLineChars="200"/>
        <w:rPr>
          <w:rFonts w:hAnsi="Times New Roman" w:eastAsia="宋体"/>
          <w:lang w:eastAsia="zh-CN"/>
        </w:rPr>
      </w:pPr>
      <w:r>
        <w:rPr>
          <w:rFonts w:hAnsi="Times New Roman" w:eastAsia="宋体"/>
          <w:lang w:eastAsia="zh-CN"/>
        </w:rPr>
        <w:t>矿井废锂电池产生量约2个/a，约0.1t/a，由厂家回收处理。</w:t>
      </w:r>
    </w:p>
    <w:p>
      <w:pPr>
        <w:spacing w:line="360" w:lineRule="auto"/>
        <w:ind w:firstLine="482" w:firstLineChars="200"/>
        <w:rPr>
          <w:rFonts w:hAnsi="Times New Roman" w:eastAsia="宋体"/>
          <w:b/>
          <w:bCs/>
          <w:lang w:eastAsia="zh-CN"/>
        </w:rPr>
      </w:pPr>
      <w:r>
        <w:rPr>
          <w:rFonts w:hAnsi="Times New Roman" w:eastAsia="宋体"/>
          <w:b/>
          <w:bCs/>
          <w:lang w:eastAsia="zh-CN"/>
        </w:rPr>
        <w:t>7、废矿灯</w:t>
      </w:r>
    </w:p>
    <w:p>
      <w:pPr>
        <w:spacing w:line="360" w:lineRule="auto"/>
        <w:ind w:firstLine="480" w:firstLineChars="200"/>
        <w:rPr>
          <w:rFonts w:hAnsi="Times New Roman" w:eastAsia="宋体"/>
          <w:lang w:eastAsia="zh-CN"/>
        </w:rPr>
      </w:pPr>
      <w:r>
        <w:rPr>
          <w:rFonts w:hAnsi="Times New Roman" w:eastAsia="宋体"/>
          <w:lang w:eastAsia="zh-CN"/>
        </w:rPr>
        <w:t>本项目采用锂离子电池矿灯产生量约100个/a，约0.05t/a，由厂家回收处理。</w:t>
      </w:r>
    </w:p>
    <w:p>
      <w:pPr>
        <w:spacing w:line="360" w:lineRule="auto"/>
        <w:ind w:firstLine="482" w:firstLineChars="200"/>
        <w:rPr>
          <w:rFonts w:hAnsi="Times New Roman" w:eastAsia="宋体"/>
          <w:b/>
          <w:bCs/>
          <w:lang w:eastAsia="zh-CN"/>
        </w:rPr>
      </w:pPr>
      <w:r>
        <w:rPr>
          <w:rFonts w:hAnsi="Times New Roman" w:eastAsia="宋体"/>
          <w:b/>
          <w:bCs/>
          <w:lang w:eastAsia="zh-CN"/>
        </w:rPr>
        <w:t>8、危险废物</w:t>
      </w:r>
    </w:p>
    <w:p>
      <w:pPr>
        <w:spacing w:line="360" w:lineRule="auto"/>
        <w:ind w:firstLine="480" w:firstLineChars="200"/>
        <w:rPr>
          <w:rFonts w:hAnsi="Times New Roman" w:eastAsia="宋体"/>
          <w:b/>
          <w:bCs/>
          <w:lang w:eastAsia="zh-CN"/>
        </w:rPr>
      </w:pPr>
      <w:r>
        <w:rPr>
          <w:rFonts w:hAnsi="Times New Roman" w:eastAsia="宋体"/>
          <w:lang w:eastAsia="zh-CN"/>
        </w:rPr>
        <w:t>项目废机油（HW08 900-214-08）属于危险废物，于危废暂存间暂存，按危废管理，用于场地内轨道、钢丝润滑。</w:t>
      </w:r>
    </w:p>
    <w:p>
      <w:pPr>
        <w:spacing w:line="360" w:lineRule="auto"/>
        <w:ind w:firstLine="480" w:firstLineChars="200"/>
        <w:rPr>
          <w:rFonts w:hAnsi="Times New Roman" w:eastAsia="宋体"/>
          <w:lang w:eastAsia="zh-CN"/>
        </w:rPr>
      </w:pPr>
      <w:r>
        <w:rPr>
          <w:rFonts w:hAnsi="Times New Roman" w:eastAsia="宋体"/>
          <w:lang w:eastAsia="zh-CN"/>
        </w:rPr>
        <w:t>评价要求：①所有机械维修须集中在机修车间内进行，不得置于室外，换下的含油零部件不得随意丢弃。②暂存间内地面为水泥硬化防渗地坪，具备防风、防雨、防漫流等功能。液态危废存放区建设堵截泄漏的裙脚，地面与裙脚要用坚固的防渗材料建造。③各种危险固废单独隔离存放，禁止</w:t>
      </w:r>
      <w:r>
        <w:rPr>
          <w:rFonts w:hint="eastAsia" w:hAnsi="Times New Roman" w:eastAsia="宋体"/>
          <w:lang w:eastAsia="zh-CN"/>
        </w:rPr>
        <w:t>与其他</w:t>
      </w:r>
      <w:r>
        <w:rPr>
          <w:rFonts w:hAnsi="Times New Roman" w:eastAsia="宋体"/>
          <w:lang w:eastAsia="zh-CN"/>
        </w:rPr>
        <w:t>原料或废物混合存放。④各种废物包装贮存需按照国家相应要求处置。⑤应设置固定危险废物存放点，并用符合规范的封闭、防渗容器封闭储存。⑥设置危险废物标识，分类收集，由专人负责，并建立储存记录，并主动到当地主管部门进行备案。</w:t>
      </w:r>
    </w:p>
    <w:p>
      <w:pPr>
        <w:spacing w:line="360" w:lineRule="auto"/>
        <w:ind w:firstLine="482" w:firstLineChars="200"/>
        <w:rPr>
          <w:rFonts w:hAnsi="Times New Roman" w:eastAsia="宋体"/>
          <w:b/>
          <w:bCs/>
          <w:lang w:eastAsia="zh-CN"/>
        </w:rPr>
      </w:pPr>
      <w:r>
        <w:rPr>
          <w:rFonts w:hAnsi="Times New Roman" w:eastAsia="宋体"/>
          <w:b/>
          <w:bCs/>
          <w:lang w:eastAsia="zh-CN"/>
        </w:rPr>
        <w:t>危险废物管理要求：</w:t>
      </w:r>
    </w:p>
    <w:p>
      <w:pPr>
        <w:spacing w:line="360" w:lineRule="auto"/>
        <w:ind w:firstLine="482" w:firstLineChars="200"/>
        <w:rPr>
          <w:rFonts w:hAnsi="Times New Roman" w:eastAsia="宋体"/>
          <w:lang w:eastAsia="zh-CN"/>
        </w:rPr>
      </w:pPr>
      <w:r>
        <w:rPr>
          <w:rFonts w:hAnsi="Times New Roman" w:eastAsia="宋体"/>
          <w:b/>
          <w:bCs/>
          <w:lang w:eastAsia="zh-CN"/>
        </w:rPr>
        <w:t>①收集：</w:t>
      </w:r>
      <w:r>
        <w:rPr>
          <w:rFonts w:hAnsi="Times New Roman" w:eastAsia="宋体"/>
          <w:lang w:eastAsia="zh-CN"/>
        </w:rPr>
        <w:t>危废收集时确定相应作业区域，同时要设置作业界限标志和警示牌；作业区内设置危废收集通道和人员避险通道；收集时应配备必要的收集工具和包装物，以及必要的应急装备；危险废物收集应参照《危险废物收集贮存运输技术规范》HJ2025-2012 中的附录A填写记录表，并将记录表作为危废管理的重要档案妥善保存；收集结束后，应清理和恢复收集作业区域；收集过危废的容器、设备及其他物品转作用时，应消除污染。</w:t>
      </w:r>
    </w:p>
    <w:p>
      <w:pPr>
        <w:spacing w:line="360" w:lineRule="auto"/>
        <w:ind w:firstLine="482" w:firstLineChars="200"/>
        <w:rPr>
          <w:rFonts w:hAnsi="Times New Roman" w:eastAsia="宋体"/>
          <w:lang w:eastAsia="zh-CN"/>
        </w:rPr>
      </w:pPr>
      <w:r>
        <w:rPr>
          <w:rFonts w:hAnsi="Times New Roman" w:eastAsia="宋体"/>
          <w:b/>
          <w:bCs/>
          <w:lang w:eastAsia="zh-CN"/>
        </w:rPr>
        <w:t>②转运：</w:t>
      </w:r>
      <w:r>
        <w:rPr>
          <w:rFonts w:hAnsi="Times New Roman" w:eastAsia="宋体"/>
          <w:lang w:eastAsia="zh-CN"/>
        </w:rPr>
        <w:t>项目危险废物转运指企业内部生产车间至危险废物暂存间的转运，应根据企业生产车间和厂区内部实际情况制定安全转运路线，尽量避开繁忙区域；采用专用工具进行运输，参照《危险废物收集贮存运输技术规范》HJ2025-2012中的附录B 填写《危险废物厂内转运记录表》；转运结束后，应对转运路线进行检查和清理，确保无危废遗失在转运路线上。</w:t>
      </w:r>
    </w:p>
    <w:p>
      <w:pPr>
        <w:spacing w:line="360" w:lineRule="auto"/>
        <w:ind w:firstLine="482" w:firstLineChars="200"/>
        <w:rPr>
          <w:rFonts w:hAnsi="Times New Roman" w:eastAsia="宋体"/>
          <w:lang w:eastAsia="zh-CN"/>
        </w:rPr>
      </w:pPr>
      <w:r>
        <w:rPr>
          <w:rFonts w:hAnsi="Times New Roman" w:eastAsia="宋体"/>
          <w:b/>
          <w:bCs/>
          <w:lang w:eastAsia="zh-CN"/>
        </w:rPr>
        <w:t>③暂存：</w:t>
      </w:r>
      <w:r>
        <w:rPr>
          <w:rFonts w:hAnsi="Times New Roman" w:eastAsia="宋体"/>
          <w:lang w:eastAsia="zh-CN"/>
        </w:rPr>
        <w:t>危险废物分类收集暂存于危险暂存间，按照《危险化学品安全管理条例</w:t>
      </w:r>
      <w:r>
        <w:rPr>
          <w:rFonts w:hint="eastAsia" w:hAnsi="Times New Roman" w:eastAsia="宋体"/>
          <w:lang w:eastAsia="zh-CN"/>
        </w:rPr>
        <w:t>》《</w:t>
      </w:r>
      <w:r>
        <w:rPr>
          <w:rFonts w:hAnsi="Times New Roman" w:eastAsia="宋体"/>
          <w:lang w:eastAsia="zh-CN"/>
        </w:rPr>
        <w:t>废气危险化学品污染环境防治方法》及《危险废物贮存污染控制标准》（GB18597-2001）等的要求进行暂存。</w:t>
      </w:r>
    </w:p>
    <w:p>
      <w:pPr>
        <w:spacing w:line="360" w:lineRule="auto"/>
        <w:ind w:firstLine="480" w:firstLineChars="200"/>
        <w:rPr>
          <w:rFonts w:hAnsi="Times New Roman" w:eastAsia="宋体"/>
          <w:lang w:eastAsia="zh-CN"/>
        </w:rPr>
      </w:pPr>
      <w:r>
        <w:rPr>
          <w:rFonts w:hAnsi="Times New Roman" w:eastAsia="宋体"/>
          <w:lang w:eastAsia="zh-CN"/>
        </w:rPr>
        <w:t>a. 暂存时间不得超过一年；</w:t>
      </w:r>
    </w:p>
    <w:p>
      <w:pPr>
        <w:spacing w:line="360" w:lineRule="auto"/>
        <w:ind w:firstLine="480" w:firstLineChars="200"/>
        <w:rPr>
          <w:rFonts w:hAnsi="Times New Roman" w:eastAsia="宋体"/>
          <w:lang w:eastAsia="zh-CN"/>
        </w:rPr>
      </w:pPr>
      <w:r>
        <w:rPr>
          <w:rFonts w:hAnsi="Times New Roman" w:eastAsia="宋体"/>
          <w:lang w:eastAsia="zh-CN"/>
        </w:rPr>
        <w:t>b. 暂存期应建立贮存的台账制度，危废出入库交接记录应参照《危险废物收集贮存运输技术规范》HJ2025-2012 中的附录C 执行；</w:t>
      </w:r>
    </w:p>
    <w:p>
      <w:pPr>
        <w:spacing w:line="360" w:lineRule="auto"/>
        <w:ind w:firstLine="480" w:firstLineChars="200"/>
        <w:rPr>
          <w:rFonts w:hAnsi="Times New Roman" w:eastAsia="宋体"/>
          <w:lang w:eastAsia="zh-CN"/>
        </w:rPr>
      </w:pPr>
      <w:r>
        <w:rPr>
          <w:rFonts w:hAnsi="Times New Roman" w:eastAsia="宋体"/>
          <w:lang w:eastAsia="zh-CN"/>
        </w:rPr>
        <w:t>c. 设置专用的危险废物贮存设施，并按其性质分类贮存；禁止将不相容（相互反应）的危险废物在同一容器内混装；无法装入常用容器的危险废物可用防漏胶袋等盛装；</w:t>
      </w:r>
    </w:p>
    <w:p>
      <w:pPr>
        <w:spacing w:line="360" w:lineRule="auto"/>
        <w:ind w:firstLine="480" w:firstLineChars="200"/>
        <w:rPr>
          <w:rFonts w:hAnsi="Times New Roman" w:eastAsia="宋体"/>
          <w:lang w:eastAsia="zh-CN"/>
        </w:rPr>
      </w:pPr>
      <w:r>
        <w:rPr>
          <w:rFonts w:hAnsi="Times New Roman" w:eastAsia="宋体"/>
          <w:lang w:eastAsia="zh-CN"/>
        </w:rPr>
        <w:t>d. 危险暂存间应做好“四防”（防风、防雨、防晒、防渗）措施；</w:t>
      </w:r>
    </w:p>
    <w:p>
      <w:pPr>
        <w:spacing w:line="360" w:lineRule="auto"/>
        <w:ind w:firstLine="480" w:firstLineChars="200"/>
        <w:rPr>
          <w:rFonts w:hAnsi="Times New Roman" w:eastAsia="宋体"/>
          <w:lang w:eastAsia="zh-CN"/>
        </w:rPr>
      </w:pPr>
      <w:r>
        <w:rPr>
          <w:rFonts w:hAnsi="Times New Roman" w:eastAsia="宋体"/>
          <w:lang w:eastAsia="zh-CN"/>
        </w:rPr>
        <w:t>e. 盛装危险废物的容器上必须粘贴符合GB18597-2001 标准中所示的标签。</w:t>
      </w:r>
    </w:p>
    <w:p>
      <w:pPr>
        <w:spacing w:line="360" w:lineRule="auto"/>
        <w:ind w:firstLine="482" w:firstLineChars="200"/>
        <w:rPr>
          <w:rFonts w:hAnsi="Times New Roman" w:eastAsia="宋体"/>
          <w:lang w:eastAsia="zh-CN"/>
        </w:rPr>
      </w:pPr>
      <w:r>
        <w:rPr>
          <w:rFonts w:hAnsi="Times New Roman" w:eastAsia="宋体"/>
          <w:b/>
          <w:bCs/>
          <w:lang w:eastAsia="zh-CN"/>
        </w:rPr>
        <w:t>④运输：</w:t>
      </w:r>
      <w:r>
        <w:rPr>
          <w:rFonts w:hAnsi="Times New Roman" w:eastAsia="宋体"/>
          <w:lang w:eastAsia="zh-CN"/>
        </w:rPr>
        <w:t>危险废物由持有危险废物运输经营许可证的单位进行运输。</w:t>
      </w:r>
    </w:p>
    <w:p>
      <w:pPr>
        <w:spacing w:line="360" w:lineRule="auto"/>
        <w:ind w:firstLine="482" w:firstLineChars="200"/>
        <w:rPr>
          <w:rFonts w:hAnsi="Times New Roman" w:eastAsia="宋体"/>
          <w:lang w:eastAsia="zh-CN"/>
        </w:rPr>
      </w:pPr>
      <w:r>
        <w:rPr>
          <w:rFonts w:hAnsi="Times New Roman" w:eastAsia="宋体"/>
          <w:b/>
          <w:bCs/>
          <w:lang w:eastAsia="zh-CN"/>
        </w:rPr>
        <w:t>⑤处置：</w:t>
      </w:r>
      <w:r>
        <w:rPr>
          <w:rFonts w:hAnsi="Times New Roman" w:eastAsia="宋体"/>
          <w:lang w:eastAsia="zh-CN"/>
        </w:rPr>
        <w:t>交给有资质的单位处理，同时，要求企业应严格按照《危险废物转运联单管理办法执行》，在转移危险废物前，按照国家有关规定报批危险废物转移计划；经批准后，向移出地环保行政主管部门申请领取联单，并如实填写联单中栏目，并加盖公章，联单保存期限不低于5年，每转运1次，均填写一份转移联单。</w:t>
      </w:r>
    </w:p>
    <w:p>
      <w:pPr>
        <w:spacing w:line="360" w:lineRule="auto"/>
        <w:ind w:firstLine="482" w:firstLineChars="200"/>
        <w:rPr>
          <w:rFonts w:hAnsi="Times New Roman" w:eastAsia="宋体"/>
          <w:b/>
          <w:bCs/>
          <w:lang w:eastAsia="zh-CN"/>
        </w:rPr>
      </w:pPr>
      <w:r>
        <w:rPr>
          <w:rFonts w:hAnsi="Times New Roman" w:eastAsia="宋体"/>
          <w:b/>
          <w:bCs/>
          <w:lang w:eastAsia="zh-CN"/>
        </w:rPr>
        <w:t>⑥</w:t>
      </w:r>
      <w:r>
        <w:rPr>
          <w:rFonts w:hint="eastAsia" w:hAnsi="Times New Roman" w:eastAsia="宋体"/>
          <w:b/>
          <w:bCs/>
          <w:lang w:eastAsia="zh-CN"/>
        </w:rPr>
        <w:t>其他要求</w:t>
      </w:r>
      <w:r>
        <w:rPr>
          <w:rFonts w:hAnsi="Times New Roman" w:eastAsia="宋体"/>
          <w:b/>
          <w:bCs/>
          <w:lang w:eastAsia="zh-CN"/>
        </w:rPr>
        <w:t>：</w:t>
      </w:r>
    </w:p>
    <w:p>
      <w:pPr>
        <w:spacing w:line="360" w:lineRule="auto"/>
        <w:ind w:firstLine="480" w:firstLineChars="200"/>
        <w:rPr>
          <w:rFonts w:hAnsi="Times New Roman" w:eastAsia="宋体"/>
          <w:lang w:eastAsia="zh-CN"/>
        </w:rPr>
      </w:pPr>
      <w:r>
        <w:rPr>
          <w:rFonts w:hAnsi="Times New Roman" w:eastAsia="宋体"/>
          <w:lang w:eastAsia="zh-CN"/>
        </w:rPr>
        <w:t>1）建设单位应建立规范的管理和技术人员培训制度，定期</w:t>
      </w:r>
      <w:r>
        <w:rPr>
          <w:rFonts w:hint="eastAsia" w:hAnsi="Times New Roman" w:eastAsia="宋体"/>
          <w:lang w:eastAsia="zh-CN"/>
        </w:rPr>
        <w:t>对</w:t>
      </w:r>
      <w:r>
        <w:rPr>
          <w:rFonts w:hAnsi="Times New Roman" w:eastAsia="宋体"/>
          <w:lang w:eastAsia="zh-CN"/>
        </w:rPr>
        <w:t>管理和技术人员进行培训。培训内容至少应包括危险废物鉴别要求、危险废物经营许可证管理、危险废物转移联单管理、危险废物包装和标识、危险废物运输要求、危险废物事故应急方法等。</w:t>
      </w:r>
    </w:p>
    <w:p>
      <w:pPr>
        <w:spacing w:line="360" w:lineRule="auto"/>
        <w:ind w:firstLine="480" w:firstLineChars="200"/>
        <w:rPr>
          <w:rFonts w:hAnsi="Times New Roman" w:eastAsia="宋体"/>
          <w:lang w:eastAsia="zh-CN"/>
        </w:rPr>
      </w:pPr>
      <w:r>
        <w:rPr>
          <w:rFonts w:hAnsi="Times New Roman" w:eastAsia="宋体"/>
          <w:lang w:eastAsia="zh-CN"/>
        </w:rPr>
        <w:t>2）建设单位应编制应急预案。应急预案编制可参照《危险废物经营单位编制应急预案指南》。</w:t>
      </w:r>
    </w:p>
    <w:p>
      <w:pPr>
        <w:spacing w:line="360" w:lineRule="auto"/>
        <w:ind w:firstLine="480" w:firstLineChars="200"/>
        <w:rPr>
          <w:rFonts w:hAnsi="Times New Roman" w:eastAsia="宋体"/>
          <w:lang w:eastAsia="zh-CN"/>
        </w:rPr>
      </w:pPr>
      <w:r>
        <w:rPr>
          <w:rFonts w:hAnsi="Times New Roman" w:eastAsia="宋体"/>
          <w:lang w:eastAsia="zh-CN"/>
        </w:rPr>
        <w:t>本项目危废采取严格管理措施后，在正常储存过程中不会对环境造成不利影响。</w:t>
      </w:r>
    </w:p>
    <w:p>
      <w:pPr>
        <w:pStyle w:val="5"/>
        <w:rPr>
          <w:rFonts w:ascii="Times New Roman" w:hAnsi="Times New Roman"/>
          <w:lang w:eastAsia="zh-CN"/>
        </w:rPr>
      </w:pPr>
      <w:bookmarkStart w:id="617" w:name="_Toc163749206"/>
      <w:bookmarkStart w:id="618" w:name="_Toc167095301"/>
      <w:r>
        <w:rPr>
          <w:rFonts w:ascii="Times New Roman" w:hAnsi="Times New Roman"/>
          <w:lang w:eastAsia="zh-CN"/>
        </w:rPr>
        <w:t>9.3 固体废物对环境的影响分析</w:t>
      </w:r>
      <w:bookmarkEnd w:id="617"/>
      <w:bookmarkEnd w:id="618"/>
    </w:p>
    <w:p>
      <w:pPr>
        <w:spacing w:line="360" w:lineRule="auto"/>
        <w:ind w:firstLine="480" w:firstLineChars="200"/>
        <w:rPr>
          <w:rFonts w:hAnsi="Times New Roman" w:eastAsia="宋体"/>
          <w:lang w:eastAsia="zh-CN"/>
        </w:rPr>
      </w:pPr>
      <w:r>
        <w:rPr>
          <w:rFonts w:hAnsi="Times New Roman" w:eastAsia="宋体"/>
          <w:lang w:eastAsia="zh-CN"/>
        </w:rPr>
        <w:t>综上，本项目各类固体废物采取的处理处置方案合理可行，不会对周围环境产生污染影响。</w:t>
      </w:r>
    </w:p>
    <w:p>
      <w:pPr>
        <w:pStyle w:val="5"/>
        <w:rPr>
          <w:rFonts w:ascii="Times New Roman" w:hAnsi="Times New Roman"/>
          <w:szCs w:val="22"/>
          <w:lang w:eastAsia="zh-CN"/>
        </w:rPr>
      </w:pPr>
      <w:bookmarkStart w:id="619" w:name="_Toc163749207"/>
      <w:bookmarkStart w:id="620" w:name="_Toc167095302"/>
      <w:r>
        <w:rPr>
          <w:rFonts w:ascii="Times New Roman" w:hAnsi="Times New Roman"/>
          <w:szCs w:val="22"/>
          <w:lang w:eastAsia="zh-CN"/>
        </w:rPr>
        <w:t>9.4 矸石临时堆场综合利用和无害化处置方案</w:t>
      </w:r>
      <w:bookmarkEnd w:id="619"/>
      <w:bookmarkEnd w:id="620"/>
      <w:r>
        <w:rPr>
          <w:rFonts w:ascii="Times New Roman" w:hAnsi="Times New Roman"/>
          <w:szCs w:val="22"/>
          <w:lang w:eastAsia="zh-CN"/>
        </w:rPr>
        <w:t xml:space="preserve"> </w:t>
      </w:r>
    </w:p>
    <w:p>
      <w:pPr>
        <w:spacing w:line="360" w:lineRule="auto"/>
        <w:ind w:firstLine="480" w:firstLineChars="200"/>
        <w:rPr>
          <w:rFonts w:hAnsi="Times New Roman" w:eastAsia="宋体"/>
          <w:szCs w:val="24"/>
        </w:rPr>
      </w:pPr>
      <w:r>
        <w:rPr>
          <w:rFonts w:hAnsi="Times New Roman" w:eastAsia="宋体"/>
          <w:szCs w:val="24"/>
          <w:lang w:eastAsia="zh-CN"/>
        </w:rPr>
        <w:t>本项目应</w:t>
      </w:r>
      <w:r>
        <w:rPr>
          <w:rFonts w:hAnsi="Times New Roman" w:eastAsia="宋体"/>
          <w:szCs w:val="24"/>
        </w:rPr>
        <w:t>严格按照《煤矸石综合利用管理办法》相关要求，对矸石</w:t>
      </w:r>
      <w:r>
        <w:rPr>
          <w:rFonts w:hAnsi="Times New Roman" w:eastAsia="宋体"/>
          <w:szCs w:val="24"/>
          <w:lang w:eastAsia="zh-CN"/>
        </w:rPr>
        <w:t>临时</w:t>
      </w:r>
      <w:r>
        <w:rPr>
          <w:rFonts w:hAnsi="Times New Roman" w:eastAsia="宋体"/>
          <w:szCs w:val="24"/>
        </w:rPr>
        <w:t>堆场制定综合利用方案和无害化处置方案。</w:t>
      </w:r>
    </w:p>
    <w:p>
      <w:pPr>
        <w:spacing w:line="360" w:lineRule="auto"/>
        <w:ind w:firstLine="480" w:firstLineChars="200"/>
        <w:rPr>
          <w:rFonts w:hAnsi="Times New Roman" w:eastAsia="宋体"/>
          <w:szCs w:val="24"/>
          <w:lang w:eastAsia="zh-CN"/>
        </w:rPr>
      </w:pPr>
      <w:r>
        <w:rPr>
          <w:rFonts w:hint="eastAsia" w:hAnsi="Times New Roman" w:eastAsia="宋体"/>
          <w:szCs w:val="24"/>
          <w:lang w:eastAsia="zh-CN"/>
        </w:rPr>
        <w:t>七里峡</w:t>
      </w:r>
      <w:r>
        <w:rPr>
          <w:rFonts w:hAnsi="Times New Roman" w:eastAsia="宋体"/>
          <w:szCs w:val="24"/>
          <w:lang w:eastAsia="zh-CN"/>
        </w:rPr>
        <w:t>煤矿位于</w:t>
      </w:r>
      <w:r>
        <w:rPr>
          <w:rFonts w:hint="eastAsia" w:hAnsi="Times New Roman" w:eastAsia="宋体"/>
          <w:szCs w:val="24"/>
          <w:lang w:eastAsia="zh-CN"/>
        </w:rPr>
        <w:t>新宁</w:t>
      </w:r>
      <w:r>
        <w:rPr>
          <w:rFonts w:hAnsi="Times New Roman" w:eastAsia="宋体"/>
          <w:szCs w:val="24"/>
          <w:lang w:eastAsia="zh-CN"/>
        </w:rPr>
        <w:t>河西侧距离约</w:t>
      </w:r>
      <w:r>
        <w:rPr>
          <w:rFonts w:hint="eastAsia" w:hAnsi="Times New Roman" w:eastAsia="宋体"/>
          <w:szCs w:val="24"/>
          <w:lang w:eastAsia="zh-CN"/>
        </w:rPr>
        <w:t>5</w:t>
      </w:r>
      <w:r>
        <w:rPr>
          <w:rFonts w:hAnsi="Times New Roman" w:eastAsia="宋体"/>
          <w:szCs w:val="24"/>
          <w:lang w:eastAsia="zh-CN"/>
        </w:rPr>
        <w:t>m，临时矸石堆场下沿</w:t>
      </w:r>
      <w:r>
        <w:rPr>
          <w:rFonts w:hint="eastAsia" w:hAnsi="Times New Roman" w:eastAsia="宋体"/>
          <w:szCs w:val="24"/>
          <w:lang w:eastAsia="zh-CN"/>
        </w:rPr>
        <w:t>北</w:t>
      </w:r>
      <w:r>
        <w:rPr>
          <w:rFonts w:hAnsi="Times New Roman" w:eastAsia="宋体"/>
          <w:szCs w:val="24"/>
          <w:lang w:eastAsia="zh-CN"/>
        </w:rPr>
        <w:t>侧为</w:t>
      </w:r>
      <w:r>
        <w:rPr>
          <w:rFonts w:hint="eastAsia" w:hAnsi="Times New Roman" w:eastAsia="宋体"/>
          <w:szCs w:val="24"/>
          <w:lang w:eastAsia="zh-CN"/>
        </w:rPr>
        <w:t>新宁河，</w:t>
      </w:r>
      <w:r>
        <w:rPr>
          <w:rFonts w:hAnsi="Times New Roman" w:eastAsia="宋体"/>
          <w:szCs w:val="24"/>
          <w:lang w:eastAsia="zh-CN"/>
        </w:rPr>
        <w:t>距离约</w:t>
      </w:r>
      <w:r>
        <w:rPr>
          <w:rFonts w:hint="eastAsia" w:hAnsi="Times New Roman" w:eastAsia="宋体"/>
          <w:szCs w:val="24"/>
          <w:lang w:eastAsia="zh-CN"/>
        </w:rPr>
        <w:t>42</w:t>
      </w:r>
      <w:r>
        <w:rPr>
          <w:rFonts w:hAnsi="Times New Roman" w:eastAsia="宋体"/>
          <w:szCs w:val="24"/>
          <w:lang w:eastAsia="zh-CN"/>
        </w:rPr>
        <w:t>m，临时矸石堆场在下沿修建有挡墙，并设置有截排水沟。</w:t>
      </w:r>
    </w:p>
    <w:p>
      <w:pPr>
        <w:spacing w:line="360" w:lineRule="auto"/>
        <w:ind w:firstLine="480" w:firstLineChars="200"/>
        <w:rPr>
          <w:rFonts w:hAnsi="Times New Roman" w:eastAsia="宋体"/>
          <w:szCs w:val="24"/>
        </w:rPr>
      </w:pPr>
      <w:r>
        <w:rPr>
          <w:rFonts w:hAnsi="Times New Roman" w:eastAsia="宋体"/>
          <w:szCs w:val="24"/>
          <w:lang w:eastAsia="zh-CN"/>
        </w:rPr>
        <w:t>本次改扩建后，</w:t>
      </w:r>
      <w:r>
        <w:rPr>
          <w:rFonts w:hAnsi="Times New Roman" w:eastAsia="宋体"/>
          <w:szCs w:val="24"/>
        </w:rPr>
        <w:t>应对临时矸石堆场采取必要的边坡防护措施，在坡度较陡的堆渣坡底部修筑挡墙、排水等设施，防止边坡不稳定，尤其是在雨洪季节造成的滑坡、泥石流等地质灾害，防止对下游的危害。</w:t>
      </w:r>
    </w:p>
    <w:p>
      <w:pPr>
        <w:spacing w:line="360" w:lineRule="auto"/>
        <w:ind w:firstLine="480" w:firstLineChars="200"/>
        <w:rPr>
          <w:rFonts w:hAnsi="Times New Roman" w:eastAsia="宋体"/>
          <w:szCs w:val="24"/>
        </w:rPr>
      </w:pPr>
      <w:r>
        <w:rPr>
          <w:rFonts w:hAnsi="Times New Roman" w:eastAsia="宋体"/>
          <w:szCs w:val="24"/>
        </w:rPr>
        <w:t>服务期满后矸石临时堆场应及时进行复垦或绿化造林，按建设单位经批准后的土地复垦方案要求执行。 应对堆土场进行平整，回覆原有剥离的表土，并进行绿化。覆土厚度可考虑40cm，绿化树种以竹类为主，可播撒草籽进行绿化。</w:t>
      </w:r>
    </w:p>
    <w:p>
      <w:pPr>
        <w:spacing w:line="360" w:lineRule="auto"/>
        <w:ind w:firstLine="480" w:firstLineChars="200"/>
        <w:rPr>
          <w:rFonts w:hAnsi="Times New Roman" w:eastAsia="宋体"/>
          <w:lang w:eastAsia="zh-CN"/>
        </w:rPr>
      </w:pPr>
    </w:p>
    <w:p>
      <w:pPr>
        <w:pStyle w:val="16"/>
        <w:rPr>
          <w:lang w:eastAsia="zh-CN"/>
        </w:rPr>
        <w:sectPr>
          <w:pgSz w:w="11905" w:h="16838"/>
          <w:pgMar w:top="1440" w:right="1304" w:bottom="1440" w:left="1474" w:header="850" w:footer="992" w:gutter="0"/>
          <w:cols w:space="0" w:num="1"/>
          <w:docGrid w:type="lines" w:linePitch="338" w:charSpace="0"/>
        </w:sectPr>
      </w:pPr>
    </w:p>
    <w:p>
      <w:pPr>
        <w:pStyle w:val="4"/>
        <w:rPr>
          <w:lang w:eastAsia="zh-CN"/>
        </w:rPr>
      </w:pPr>
      <w:bookmarkStart w:id="621" w:name="_Toc163749208"/>
      <w:bookmarkStart w:id="622" w:name="_Toc167095303"/>
      <w:r>
        <w:rPr>
          <w:lang w:eastAsia="zh-CN"/>
        </w:rPr>
        <w:t>10 土壤环境影响分析</w:t>
      </w:r>
      <w:bookmarkEnd w:id="621"/>
      <w:bookmarkEnd w:id="622"/>
    </w:p>
    <w:p>
      <w:pPr>
        <w:pStyle w:val="5"/>
        <w:rPr>
          <w:rFonts w:ascii="Times New Roman" w:hAnsi="Times New Roman"/>
          <w:lang w:eastAsia="zh-CN"/>
        </w:rPr>
      </w:pPr>
      <w:bookmarkStart w:id="623" w:name="_Toc163749209"/>
      <w:bookmarkStart w:id="624" w:name="_Toc167095304"/>
      <w:r>
        <w:rPr>
          <w:rFonts w:ascii="Times New Roman" w:hAnsi="Times New Roman"/>
          <w:lang w:eastAsia="zh-CN"/>
        </w:rPr>
        <w:t>10.1 土壤环境影响识别及评价筛选因子</w:t>
      </w:r>
      <w:bookmarkEnd w:id="623"/>
      <w:bookmarkEnd w:id="624"/>
    </w:p>
    <w:p>
      <w:pPr>
        <w:pStyle w:val="6"/>
        <w:rPr>
          <w:szCs w:val="22"/>
          <w:lang w:eastAsia="zh-CN"/>
        </w:rPr>
      </w:pPr>
      <w:bookmarkStart w:id="625" w:name="_Toc167095305"/>
      <w:bookmarkStart w:id="626" w:name="_Toc163812682"/>
      <w:r>
        <w:rPr>
          <w:szCs w:val="22"/>
          <w:lang w:eastAsia="zh-CN"/>
        </w:rPr>
        <w:t>10.1.1 土壤环境影响识别</w:t>
      </w:r>
      <w:bookmarkEnd w:id="625"/>
      <w:bookmarkEnd w:id="626"/>
    </w:p>
    <w:p>
      <w:pPr>
        <w:spacing w:line="360" w:lineRule="auto"/>
        <w:ind w:firstLine="480" w:firstLineChars="200"/>
        <w:rPr>
          <w:rFonts w:hAnsi="Times New Roman" w:eastAsia="宋体"/>
          <w:szCs w:val="24"/>
          <w:lang w:eastAsia="zh-CN"/>
        </w:rPr>
      </w:pPr>
      <w:r>
        <w:rPr>
          <w:rFonts w:hAnsi="Times New Roman" w:eastAsia="宋体"/>
          <w:szCs w:val="24"/>
          <w:lang w:eastAsia="zh-CN"/>
        </w:rPr>
        <w:t>本项目为采矿业中的煤炭采选项目，根据《环境影响评价技术导则 土壤环境》附录A，本项目属于Ⅱ类行业。兼具污染影响与生态影响特征，建设项目土壤环境影响类型与影响途径识别见表10.1-1。</w:t>
      </w:r>
    </w:p>
    <w:p>
      <w:pPr>
        <w:jc w:val="center"/>
        <w:rPr>
          <w:rFonts w:hAnsi="Times New Roman" w:eastAsia="宋体"/>
          <w:b/>
          <w:bCs/>
          <w:sz w:val="21"/>
          <w:szCs w:val="21"/>
          <w:lang w:eastAsia="zh-CN"/>
        </w:rPr>
      </w:pPr>
      <w:r>
        <w:rPr>
          <w:rFonts w:hAnsi="Times New Roman" w:eastAsia="宋体"/>
          <w:b/>
          <w:bCs/>
          <w:sz w:val="21"/>
          <w:szCs w:val="21"/>
          <w:lang w:eastAsia="zh-CN"/>
        </w:rPr>
        <w:t>表10.1-1 污染影响型项目敏感程度分级表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1"/>
        <w:gridCol w:w="1387"/>
        <w:gridCol w:w="1387"/>
        <w:gridCol w:w="1390"/>
        <w:gridCol w:w="942"/>
        <w:gridCol w:w="820"/>
        <w:gridCol w:w="818"/>
        <w:gridCol w:w="820"/>
        <w:gridCol w:w="8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509" w:type="pct"/>
            <w:vMerge w:val="restart"/>
            <w:vAlign w:val="center"/>
          </w:tcPr>
          <w:p>
            <w:pPr>
              <w:pStyle w:val="2"/>
              <w:keepNext w:val="0"/>
              <w:keepLines w:val="0"/>
              <w:suppressLineNumbers w:val="0"/>
              <w:spacing w:before="0" w:beforeAutospacing="0" w:after="0" w:afterAutospacing="0" w:line="260" w:lineRule="exact"/>
              <w:ind w:left="0" w:leftChars="0" w:right="0" w:firstLine="0" w:firstLineChars="0"/>
              <w:jc w:val="center"/>
              <w:rPr>
                <w:rFonts w:hint="eastAsia" w:eastAsia="宋体"/>
                <w:b/>
                <w:bCs/>
                <w:szCs w:val="21"/>
                <w:lang w:eastAsia="zh-CN"/>
              </w:rPr>
            </w:pPr>
            <w:r>
              <w:rPr>
                <w:rFonts w:hint="eastAsia" w:eastAsia="宋体"/>
                <w:b/>
                <w:bCs/>
                <w:szCs w:val="21"/>
                <w:lang w:eastAsia="zh-CN"/>
              </w:rPr>
              <w:t>不同时段</w:t>
            </w:r>
          </w:p>
        </w:tc>
        <w:tc>
          <w:tcPr>
            <w:tcW w:w="2732" w:type="pct"/>
            <w:gridSpan w:val="4"/>
            <w:vAlign w:val="center"/>
          </w:tcPr>
          <w:p>
            <w:pPr>
              <w:pStyle w:val="2"/>
              <w:keepNext w:val="0"/>
              <w:keepLines w:val="0"/>
              <w:suppressLineNumbers w:val="0"/>
              <w:spacing w:before="0" w:beforeAutospacing="0" w:after="0" w:afterAutospacing="0" w:line="260" w:lineRule="exact"/>
              <w:ind w:left="0" w:leftChars="0" w:right="0" w:firstLine="0" w:firstLineChars="0"/>
              <w:jc w:val="center"/>
              <w:rPr>
                <w:rFonts w:hint="eastAsia" w:eastAsia="宋体"/>
                <w:b/>
                <w:bCs/>
                <w:szCs w:val="21"/>
                <w:lang w:eastAsia="zh-CN"/>
              </w:rPr>
            </w:pPr>
            <w:r>
              <w:rPr>
                <w:rFonts w:hint="eastAsia" w:eastAsia="宋体"/>
                <w:b/>
                <w:bCs/>
                <w:szCs w:val="21"/>
                <w:lang w:eastAsia="zh-CN"/>
              </w:rPr>
              <w:t>污染影响型</w:t>
            </w:r>
          </w:p>
        </w:tc>
        <w:tc>
          <w:tcPr>
            <w:tcW w:w="1759" w:type="pct"/>
            <w:gridSpan w:val="4"/>
            <w:vAlign w:val="center"/>
          </w:tcPr>
          <w:p>
            <w:pPr>
              <w:pStyle w:val="2"/>
              <w:keepNext w:val="0"/>
              <w:keepLines w:val="0"/>
              <w:suppressLineNumbers w:val="0"/>
              <w:spacing w:before="0" w:beforeAutospacing="0" w:after="0" w:afterAutospacing="0" w:line="260" w:lineRule="exact"/>
              <w:ind w:left="0" w:leftChars="0" w:right="0" w:firstLine="0" w:firstLineChars="0"/>
              <w:jc w:val="center"/>
              <w:rPr>
                <w:rFonts w:hint="eastAsia" w:eastAsia="宋体"/>
                <w:b/>
                <w:bCs/>
                <w:szCs w:val="21"/>
                <w:lang w:eastAsia="zh-CN"/>
              </w:rPr>
            </w:pPr>
            <w:r>
              <w:rPr>
                <w:rFonts w:hint="eastAsia" w:eastAsia="宋体"/>
                <w:b/>
                <w:bCs/>
                <w:szCs w:val="21"/>
                <w:lang w:eastAsia="zh-CN"/>
              </w:rPr>
              <w:t>生态影响型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509" w:type="pct"/>
            <w:vMerge w:val="continue"/>
            <w:vAlign w:val="center"/>
          </w:tcPr>
          <w:p>
            <w:pPr>
              <w:pStyle w:val="2"/>
              <w:keepNext w:val="0"/>
              <w:keepLines w:val="0"/>
              <w:suppressLineNumbers w:val="0"/>
              <w:spacing w:before="0" w:beforeAutospacing="0" w:after="0" w:afterAutospacing="0" w:line="260" w:lineRule="exact"/>
              <w:ind w:left="0" w:leftChars="0" w:right="0" w:firstLine="0" w:firstLineChars="0"/>
              <w:jc w:val="center"/>
              <w:rPr>
                <w:rFonts w:hint="eastAsia" w:eastAsia="宋体"/>
                <w:szCs w:val="21"/>
              </w:rPr>
            </w:pPr>
          </w:p>
        </w:tc>
        <w:tc>
          <w:tcPr>
            <w:tcW w:w="742" w:type="pct"/>
            <w:vAlign w:val="center"/>
          </w:tcPr>
          <w:p>
            <w:pPr>
              <w:pStyle w:val="2"/>
              <w:keepNext w:val="0"/>
              <w:keepLines w:val="0"/>
              <w:suppressLineNumbers w:val="0"/>
              <w:spacing w:before="0" w:beforeAutospacing="0" w:after="0" w:afterAutospacing="0" w:line="260" w:lineRule="exact"/>
              <w:ind w:left="0" w:leftChars="0" w:right="0" w:firstLine="0" w:firstLineChars="0"/>
              <w:jc w:val="center"/>
              <w:rPr>
                <w:rFonts w:hint="eastAsia" w:eastAsia="宋体"/>
                <w:b/>
                <w:bCs/>
                <w:szCs w:val="21"/>
                <w:lang w:eastAsia="zh-CN"/>
              </w:rPr>
            </w:pPr>
            <w:r>
              <w:rPr>
                <w:rFonts w:hint="eastAsia" w:eastAsia="宋体"/>
                <w:b/>
                <w:bCs/>
                <w:szCs w:val="21"/>
                <w:lang w:eastAsia="zh-CN"/>
              </w:rPr>
              <w:t>大气沉降</w:t>
            </w:r>
          </w:p>
        </w:tc>
        <w:tc>
          <w:tcPr>
            <w:tcW w:w="742" w:type="pct"/>
            <w:vAlign w:val="center"/>
          </w:tcPr>
          <w:p>
            <w:pPr>
              <w:pStyle w:val="2"/>
              <w:keepNext w:val="0"/>
              <w:keepLines w:val="0"/>
              <w:suppressLineNumbers w:val="0"/>
              <w:spacing w:before="0" w:beforeAutospacing="0" w:after="0" w:afterAutospacing="0" w:line="260" w:lineRule="exact"/>
              <w:ind w:left="0" w:leftChars="0" w:right="0" w:firstLine="0" w:firstLineChars="0"/>
              <w:jc w:val="center"/>
              <w:rPr>
                <w:rFonts w:hint="eastAsia" w:eastAsia="宋体"/>
                <w:b/>
                <w:bCs/>
                <w:szCs w:val="21"/>
                <w:lang w:eastAsia="zh-CN"/>
              </w:rPr>
            </w:pPr>
            <w:r>
              <w:rPr>
                <w:rFonts w:hint="eastAsia" w:eastAsia="宋体"/>
                <w:b/>
                <w:bCs/>
                <w:szCs w:val="21"/>
                <w:lang w:eastAsia="zh-CN"/>
              </w:rPr>
              <w:t>地面漫流</w:t>
            </w:r>
          </w:p>
        </w:tc>
        <w:tc>
          <w:tcPr>
            <w:tcW w:w="744" w:type="pct"/>
            <w:vAlign w:val="center"/>
          </w:tcPr>
          <w:p>
            <w:pPr>
              <w:pStyle w:val="2"/>
              <w:keepNext w:val="0"/>
              <w:keepLines w:val="0"/>
              <w:suppressLineNumbers w:val="0"/>
              <w:spacing w:before="0" w:beforeAutospacing="0" w:after="0" w:afterAutospacing="0" w:line="260" w:lineRule="exact"/>
              <w:ind w:left="0" w:leftChars="0" w:right="0" w:firstLine="0" w:firstLineChars="0"/>
              <w:jc w:val="center"/>
              <w:rPr>
                <w:rFonts w:hint="eastAsia" w:eastAsia="宋体"/>
                <w:b/>
                <w:bCs/>
                <w:szCs w:val="21"/>
                <w:lang w:eastAsia="zh-CN"/>
              </w:rPr>
            </w:pPr>
            <w:r>
              <w:rPr>
                <w:rFonts w:hint="eastAsia" w:eastAsia="宋体"/>
                <w:b/>
                <w:bCs/>
                <w:szCs w:val="21"/>
                <w:lang w:eastAsia="zh-CN"/>
              </w:rPr>
              <w:t>垂直入渗</w:t>
            </w:r>
          </w:p>
        </w:tc>
        <w:tc>
          <w:tcPr>
            <w:tcW w:w="504" w:type="pct"/>
            <w:vAlign w:val="center"/>
          </w:tcPr>
          <w:p>
            <w:pPr>
              <w:pStyle w:val="2"/>
              <w:keepNext w:val="0"/>
              <w:keepLines w:val="0"/>
              <w:suppressLineNumbers w:val="0"/>
              <w:spacing w:before="0" w:beforeAutospacing="0" w:after="0" w:afterAutospacing="0" w:line="260" w:lineRule="exact"/>
              <w:ind w:left="0" w:leftChars="0" w:right="0" w:firstLine="0" w:firstLineChars="0"/>
              <w:jc w:val="center"/>
              <w:rPr>
                <w:rFonts w:hint="eastAsia" w:eastAsia="宋体"/>
                <w:b/>
                <w:bCs/>
                <w:szCs w:val="21"/>
                <w:lang w:eastAsia="zh-CN"/>
              </w:rPr>
            </w:pPr>
            <w:r>
              <w:rPr>
                <w:rFonts w:hint="eastAsia" w:eastAsia="宋体"/>
                <w:b/>
                <w:bCs/>
                <w:szCs w:val="21"/>
                <w:lang w:eastAsia="zh-CN"/>
              </w:rPr>
              <w:t>其他</w:t>
            </w:r>
          </w:p>
        </w:tc>
        <w:tc>
          <w:tcPr>
            <w:tcW w:w="439" w:type="pct"/>
            <w:vAlign w:val="center"/>
          </w:tcPr>
          <w:p>
            <w:pPr>
              <w:pStyle w:val="2"/>
              <w:keepNext w:val="0"/>
              <w:keepLines w:val="0"/>
              <w:suppressLineNumbers w:val="0"/>
              <w:spacing w:before="0" w:beforeAutospacing="0" w:after="0" w:afterAutospacing="0" w:line="260" w:lineRule="exact"/>
              <w:ind w:left="0" w:leftChars="0" w:right="0" w:firstLine="0" w:firstLineChars="0"/>
              <w:jc w:val="center"/>
              <w:rPr>
                <w:rFonts w:hint="eastAsia" w:eastAsia="宋体"/>
                <w:b/>
                <w:bCs/>
                <w:szCs w:val="21"/>
                <w:lang w:eastAsia="zh-CN"/>
              </w:rPr>
            </w:pPr>
            <w:r>
              <w:rPr>
                <w:rFonts w:hint="eastAsia" w:eastAsia="宋体"/>
                <w:b/>
                <w:bCs/>
                <w:szCs w:val="21"/>
                <w:lang w:eastAsia="zh-CN"/>
              </w:rPr>
              <w:t>盐化</w:t>
            </w:r>
          </w:p>
        </w:tc>
        <w:tc>
          <w:tcPr>
            <w:tcW w:w="438" w:type="pct"/>
            <w:vAlign w:val="center"/>
          </w:tcPr>
          <w:p>
            <w:pPr>
              <w:pStyle w:val="2"/>
              <w:keepNext w:val="0"/>
              <w:keepLines w:val="0"/>
              <w:suppressLineNumbers w:val="0"/>
              <w:spacing w:before="0" w:beforeAutospacing="0" w:after="0" w:afterAutospacing="0" w:line="260" w:lineRule="exact"/>
              <w:ind w:left="0" w:leftChars="0" w:right="0" w:firstLine="0" w:firstLineChars="0"/>
              <w:jc w:val="center"/>
              <w:rPr>
                <w:rFonts w:hint="eastAsia" w:eastAsia="宋体"/>
                <w:b/>
                <w:bCs/>
                <w:szCs w:val="21"/>
                <w:lang w:eastAsia="zh-CN"/>
              </w:rPr>
            </w:pPr>
            <w:r>
              <w:rPr>
                <w:rFonts w:hint="eastAsia" w:eastAsia="宋体"/>
                <w:b/>
                <w:bCs/>
                <w:szCs w:val="21"/>
                <w:lang w:eastAsia="zh-CN"/>
              </w:rPr>
              <w:t>碱化</w:t>
            </w:r>
          </w:p>
        </w:tc>
        <w:tc>
          <w:tcPr>
            <w:tcW w:w="439" w:type="pct"/>
            <w:vAlign w:val="center"/>
          </w:tcPr>
          <w:p>
            <w:pPr>
              <w:pStyle w:val="2"/>
              <w:keepNext w:val="0"/>
              <w:keepLines w:val="0"/>
              <w:suppressLineNumbers w:val="0"/>
              <w:spacing w:before="0" w:beforeAutospacing="0" w:after="0" w:afterAutospacing="0" w:line="260" w:lineRule="exact"/>
              <w:ind w:left="0" w:leftChars="0" w:right="0" w:firstLine="0" w:firstLineChars="0"/>
              <w:jc w:val="center"/>
              <w:rPr>
                <w:rFonts w:hint="eastAsia" w:eastAsia="宋体"/>
                <w:b/>
                <w:bCs/>
                <w:szCs w:val="21"/>
                <w:lang w:eastAsia="zh-CN"/>
              </w:rPr>
            </w:pPr>
            <w:r>
              <w:rPr>
                <w:rFonts w:hint="eastAsia" w:eastAsia="宋体"/>
                <w:b/>
                <w:bCs/>
                <w:szCs w:val="21"/>
                <w:lang w:eastAsia="zh-CN"/>
              </w:rPr>
              <w:t>酸化</w:t>
            </w:r>
          </w:p>
        </w:tc>
        <w:tc>
          <w:tcPr>
            <w:tcW w:w="443" w:type="pct"/>
            <w:vAlign w:val="center"/>
          </w:tcPr>
          <w:p>
            <w:pPr>
              <w:pStyle w:val="2"/>
              <w:keepNext w:val="0"/>
              <w:keepLines w:val="0"/>
              <w:suppressLineNumbers w:val="0"/>
              <w:spacing w:before="0" w:beforeAutospacing="0" w:after="0" w:afterAutospacing="0" w:line="260" w:lineRule="exact"/>
              <w:ind w:left="0" w:leftChars="0" w:right="0" w:firstLine="0" w:firstLineChars="0"/>
              <w:jc w:val="center"/>
              <w:rPr>
                <w:rFonts w:hint="eastAsia" w:eastAsia="宋体"/>
                <w:b/>
                <w:bCs/>
                <w:szCs w:val="21"/>
                <w:lang w:eastAsia="zh-CN"/>
              </w:rPr>
            </w:pPr>
            <w:r>
              <w:rPr>
                <w:rFonts w:hint="eastAsia" w:eastAsia="宋体"/>
                <w:b/>
                <w:bCs/>
                <w:szCs w:val="21"/>
                <w:lang w:eastAsia="zh-CN"/>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509" w:type="pct"/>
            <w:vAlign w:val="center"/>
          </w:tcPr>
          <w:p>
            <w:pPr>
              <w:pStyle w:val="2"/>
              <w:keepNext w:val="0"/>
              <w:keepLines w:val="0"/>
              <w:suppressLineNumbers w:val="0"/>
              <w:spacing w:before="0" w:beforeAutospacing="0" w:after="0" w:afterAutospacing="0" w:line="260" w:lineRule="exact"/>
              <w:ind w:left="0" w:leftChars="0" w:right="0" w:firstLine="0" w:firstLineChars="0"/>
              <w:jc w:val="center"/>
              <w:rPr>
                <w:rFonts w:hint="eastAsia" w:eastAsia="宋体"/>
                <w:szCs w:val="21"/>
                <w:lang w:eastAsia="zh-CN"/>
              </w:rPr>
            </w:pPr>
            <w:r>
              <w:rPr>
                <w:rFonts w:hint="eastAsia" w:eastAsia="宋体"/>
                <w:szCs w:val="21"/>
                <w:lang w:eastAsia="zh-CN"/>
              </w:rPr>
              <w:t>建设期</w:t>
            </w:r>
          </w:p>
        </w:tc>
        <w:tc>
          <w:tcPr>
            <w:tcW w:w="742" w:type="pct"/>
            <w:vAlign w:val="center"/>
          </w:tcPr>
          <w:p>
            <w:pPr>
              <w:pStyle w:val="2"/>
              <w:keepNext w:val="0"/>
              <w:keepLines w:val="0"/>
              <w:suppressLineNumbers w:val="0"/>
              <w:spacing w:before="0" w:beforeAutospacing="0" w:after="0" w:afterAutospacing="0" w:line="260" w:lineRule="exact"/>
              <w:ind w:left="0" w:leftChars="0" w:right="0" w:firstLine="0" w:firstLineChars="0"/>
              <w:jc w:val="center"/>
              <w:rPr>
                <w:rFonts w:hint="eastAsia" w:eastAsia="宋体"/>
                <w:szCs w:val="21"/>
                <w:lang w:eastAsia="zh-CN"/>
              </w:rPr>
            </w:pPr>
            <w:r>
              <w:rPr>
                <w:rFonts w:hint="eastAsia" w:eastAsia="宋体"/>
                <w:szCs w:val="21"/>
                <w:lang w:eastAsia="zh-CN"/>
              </w:rPr>
              <w:t>√</w:t>
            </w:r>
          </w:p>
        </w:tc>
        <w:tc>
          <w:tcPr>
            <w:tcW w:w="742" w:type="pct"/>
            <w:vAlign w:val="center"/>
          </w:tcPr>
          <w:p>
            <w:pPr>
              <w:pStyle w:val="2"/>
              <w:keepNext w:val="0"/>
              <w:keepLines w:val="0"/>
              <w:suppressLineNumbers w:val="0"/>
              <w:spacing w:before="0" w:beforeAutospacing="0" w:after="0" w:afterAutospacing="0" w:line="260" w:lineRule="exact"/>
              <w:ind w:left="0" w:leftChars="0" w:right="0" w:firstLine="0" w:firstLineChars="0"/>
              <w:jc w:val="center"/>
              <w:rPr>
                <w:rFonts w:hint="eastAsia" w:eastAsia="宋体"/>
                <w:szCs w:val="21"/>
              </w:rPr>
            </w:pPr>
            <w:r>
              <w:rPr>
                <w:rFonts w:hint="eastAsia" w:eastAsia="宋体"/>
                <w:szCs w:val="21"/>
                <w:lang w:eastAsia="zh-CN"/>
              </w:rPr>
              <w:t>√</w:t>
            </w:r>
          </w:p>
        </w:tc>
        <w:tc>
          <w:tcPr>
            <w:tcW w:w="744" w:type="pct"/>
            <w:vAlign w:val="center"/>
          </w:tcPr>
          <w:p>
            <w:pPr>
              <w:pStyle w:val="2"/>
              <w:keepNext w:val="0"/>
              <w:keepLines w:val="0"/>
              <w:suppressLineNumbers w:val="0"/>
              <w:spacing w:before="0" w:beforeAutospacing="0" w:after="0" w:afterAutospacing="0" w:line="260" w:lineRule="exact"/>
              <w:ind w:left="0" w:leftChars="0" w:right="0" w:firstLine="0" w:firstLineChars="0"/>
              <w:jc w:val="center"/>
              <w:rPr>
                <w:rFonts w:hint="eastAsia" w:eastAsia="宋体"/>
                <w:szCs w:val="21"/>
              </w:rPr>
            </w:pPr>
            <w:r>
              <w:rPr>
                <w:rFonts w:hint="eastAsia" w:eastAsia="宋体"/>
                <w:szCs w:val="21"/>
                <w:lang w:eastAsia="zh-CN"/>
              </w:rPr>
              <w:t>√</w:t>
            </w:r>
          </w:p>
        </w:tc>
        <w:tc>
          <w:tcPr>
            <w:tcW w:w="504" w:type="pct"/>
            <w:vAlign w:val="center"/>
          </w:tcPr>
          <w:p>
            <w:pPr>
              <w:pStyle w:val="2"/>
              <w:keepNext w:val="0"/>
              <w:keepLines w:val="0"/>
              <w:suppressLineNumbers w:val="0"/>
              <w:spacing w:before="0" w:beforeAutospacing="0" w:after="0" w:afterAutospacing="0" w:line="260" w:lineRule="exact"/>
              <w:ind w:left="0" w:leftChars="0" w:right="0" w:firstLine="0" w:firstLineChars="0"/>
              <w:jc w:val="center"/>
              <w:rPr>
                <w:rFonts w:hint="eastAsia" w:eastAsia="宋体"/>
                <w:szCs w:val="21"/>
              </w:rPr>
            </w:pPr>
          </w:p>
        </w:tc>
        <w:tc>
          <w:tcPr>
            <w:tcW w:w="439" w:type="pct"/>
            <w:vAlign w:val="center"/>
          </w:tcPr>
          <w:p>
            <w:pPr>
              <w:pStyle w:val="2"/>
              <w:keepNext w:val="0"/>
              <w:keepLines w:val="0"/>
              <w:suppressLineNumbers w:val="0"/>
              <w:spacing w:before="0" w:beforeAutospacing="0" w:after="0" w:afterAutospacing="0" w:line="260" w:lineRule="exact"/>
              <w:ind w:left="0" w:leftChars="0" w:right="0" w:firstLine="0" w:firstLineChars="0"/>
              <w:jc w:val="center"/>
              <w:rPr>
                <w:rFonts w:hint="eastAsia" w:eastAsia="宋体"/>
                <w:szCs w:val="21"/>
              </w:rPr>
            </w:pPr>
          </w:p>
        </w:tc>
        <w:tc>
          <w:tcPr>
            <w:tcW w:w="438" w:type="pct"/>
            <w:vAlign w:val="center"/>
          </w:tcPr>
          <w:p>
            <w:pPr>
              <w:pStyle w:val="2"/>
              <w:keepNext w:val="0"/>
              <w:keepLines w:val="0"/>
              <w:suppressLineNumbers w:val="0"/>
              <w:spacing w:before="0" w:beforeAutospacing="0" w:after="0" w:afterAutospacing="0" w:line="260" w:lineRule="exact"/>
              <w:ind w:left="0" w:leftChars="0" w:right="0" w:firstLine="0" w:firstLineChars="0"/>
              <w:jc w:val="center"/>
              <w:rPr>
                <w:rFonts w:hint="eastAsia" w:eastAsia="宋体"/>
                <w:szCs w:val="21"/>
              </w:rPr>
            </w:pPr>
          </w:p>
        </w:tc>
        <w:tc>
          <w:tcPr>
            <w:tcW w:w="439" w:type="pct"/>
            <w:vAlign w:val="center"/>
          </w:tcPr>
          <w:p>
            <w:pPr>
              <w:pStyle w:val="2"/>
              <w:keepNext w:val="0"/>
              <w:keepLines w:val="0"/>
              <w:suppressLineNumbers w:val="0"/>
              <w:spacing w:before="0" w:beforeAutospacing="0" w:after="0" w:afterAutospacing="0" w:line="260" w:lineRule="exact"/>
              <w:ind w:left="0" w:leftChars="0" w:right="0" w:firstLine="0" w:firstLineChars="0"/>
              <w:jc w:val="center"/>
              <w:rPr>
                <w:rFonts w:hint="eastAsia" w:eastAsia="宋体"/>
                <w:szCs w:val="21"/>
              </w:rPr>
            </w:pPr>
          </w:p>
        </w:tc>
        <w:tc>
          <w:tcPr>
            <w:tcW w:w="443" w:type="pct"/>
            <w:vAlign w:val="center"/>
          </w:tcPr>
          <w:p>
            <w:pPr>
              <w:pStyle w:val="2"/>
              <w:keepNext w:val="0"/>
              <w:keepLines w:val="0"/>
              <w:suppressLineNumbers w:val="0"/>
              <w:spacing w:before="0" w:beforeAutospacing="0" w:after="0" w:afterAutospacing="0" w:line="260" w:lineRule="exact"/>
              <w:ind w:left="0" w:leftChars="0" w:right="0" w:firstLine="0" w:firstLineChars="0"/>
              <w:jc w:val="center"/>
              <w:rPr>
                <w:rFonts w:hint="eastAsia" w:eastAsia="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509" w:type="pct"/>
            <w:vAlign w:val="center"/>
          </w:tcPr>
          <w:p>
            <w:pPr>
              <w:pStyle w:val="2"/>
              <w:keepNext w:val="0"/>
              <w:keepLines w:val="0"/>
              <w:suppressLineNumbers w:val="0"/>
              <w:spacing w:before="0" w:beforeAutospacing="0" w:after="0" w:afterAutospacing="0" w:line="260" w:lineRule="exact"/>
              <w:ind w:left="0" w:leftChars="0" w:right="0" w:firstLine="0" w:firstLineChars="0"/>
              <w:jc w:val="center"/>
              <w:rPr>
                <w:rFonts w:hint="eastAsia" w:eastAsia="宋体"/>
                <w:szCs w:val="21"/>
                <w:lang w:eastAsia="zh-CN"/>
              </w:rPr>
            </w:pPr>
            <w:r>
              <w:rPr>
                <w:rFonts w:hint="eastAsia" w:eastAsia="宋体"/>
                <w:szCs w:val="21"/>
                <w:lang w:eastAsia="zh-CN"/>
              </w:rPr>
              <w:t>运营期</w:t>
            </w:r>
          </w:p>
        </w:tc>
        <w:tc>
          <w:tcPr>
            <w:tcW w:w="742" w:type="pct"/>
            <w:vAlign w:val="center"/>
          </w:tcPr>
          <w:p>
            <w:pPr>
              <w:pStyle w:val="2"/>
              <w:keepNext w:val="0"/>
              <w:keepLines w:val="0"/>
              <w:suppressLineNumbers w:val="0"/>
              <w:spacing w:before="0" w:beforeAutospacing="0" w:after="0" w:afterAutospacing="0" w:line="260" w:lineRule="exact"/>
              <w:ind w:left="0" w:leftChars="0" w:right="0" w:firstLine="0" w:firstLineChars="0"/>
              <w:jc w:val="center"/>
              <w:rPr>
                <w:rFonts w:hint="eastAsia" w:eastAsia="宋体"/>
                <w:szCs w:val="21"/>
              </w:rPr>
            </w:pPr>
            <w:r>
              <w:rPr>
                <w:rFonts w:hint="eastAsia" w:eastAsia="宋体"/>
                <w:szCs w:val="21"/>
                <w:lang w:eastAsia="zh-CN"/>
              </w:rPr>
              <w:t>√</w:t>
            </w:r>
          </w:p>
        </w:tc>
        <w:tc>
          <w:tcPr>
            <w:tcW w:w="742" w:type="pct"/>
            <w:vAlign w:val="center"/>
          </w:tcPr>
          <w:p>
            <w:pPr>
              <w:pStyle w:val="2"/>
              <w:keepNext w:val="0"/>
              <w:keepLines w:val="0"/>
              <w:suppressLineNumbers w:val="0"/>
              <w:spacing w:before="0" w:beforeAutospacing="0" w:after="0" w:afterAutospacing="0" w:line="260" w:lineRule="exact"/>
              <w:ind w:left="0" w:leftChars="0" w:right="0" w:firstLine="0" w:firstLineChars="0"/>
              <w:jc w:val="center"/>
              <w:rPr>
                <w:rFonts w:hint="eastAsia" w:eastAsia="宋体"/>
                <w:szCs w:val="21"/>
              </w:rPr>
            </w:pPr>
          </w:p>
        </w:tc>
        <w:tc>
          <w:tcPr>
            <w:tcW w:w="744" w:type="pct"/>
            <w:vAlign w:val="center"/>
          </w:tcPr>
          <w:p>
            <w:pPr>
              <w:pStyle w:val="2"/>
              <w:keepNext w:val="0"/>
              <w:keepLines w:val="0"/>
              <w:suppressLineNumbers w:val="0"/>
              <w:spacing w:before="0" w:beforeAutospacing="0" w:after="0" w:afterAutospacing="0" w:line="260" w:lineRule="exact"/>
              <w:ind w:left="0" w:leftChars="0" w:right="0" w:firstLine="0" w:firstLineChars="0"/>
              <w:jc w:val="center"/>
              <w:rPr>
                <w:rFonts w:hint="eastAsia" w:eastAsia="宋体"/>
                <w:szCs w:val="21"/>
              </w:rPr>
            </w:pPr>
            <w:r>
              <w:rPr>
                <w:rFonts w:hint="eastAsia" w:eastAsia="宋体"/>
                <w:szCs w:val="21"/>
                <w:lang w:eastAsia="zh-CN"/>
              </w:rPr>
              <w:t>√</w:t>
            </w:r>
          </w:p>
        </w:tc>
        <w:tc>
          <w:tcPr>
            <w:tcW w:w="504" w:type="pct"/>
            <w:vAlign w:val="center"/>
          </w:tcPr>
          <w:p>
            <w:pPr>
              <w:pStyle w:val="2"/>
              <w:keepNext w:val="0"/>
              <w:keepLines w:val="0"/>
              <w:suppressLineNumbers w:val="0"/>
              <w:spacing w:before="0" w:beforeAutospacing="0" w:after="0" w:afterAutospacing="0" w:line="260" w:lineRule="exact"/>
              <w:ind w:left="0" w:leftChars="0" w:right="0" w:firstLine="0" w:firstLineChars="0"/>
              <w:jc w:val="center"/>
              <w:rPr>
                <w:rFonts w:hint="eastAsia" w:eastAsia="宋体"/>
                <w:szCs w:val="21"/>
              </w:rPr>
            </w:pPr>
          </w:p>
        </w:tc>
        <w:tc>
          <w:tcPr>
            <w:tcW w:w="439" w:type="pct"/>
            <w:vAlign w:val="center"/>
          </w:tcPr>
          <w:p>
            <w:pPr>
              <w:pStyle w:val="2"/>
              <w:keepNext w:val="0"/>
              <w:keepLines w:val="0"/>
              <w:suppressLineNumbers w:val="0"/>
              <w:spacing w:before="0" w:beforeAutospacing="0" w:after="0" w:afterAutospacing="0" w:line="260" w:lineRule="exact"/>
              <w:ind w:left="0" w:leftChars="0" w:right="0" w:firstLine="0" w:firstLineChars="0"/>
              <w:jc w:val="center"/>
              <w:rPr>
                <w:rFonts w:hint="eastAsia" w:eastAsia="宋体"/>
                <w:szCs w:val="21"/>
              </w:rPr>
            </w:pPr>
          </w:p>
        </w:tc>
        <w:tc>
          <w:tcPr>
            <w:tcW w:w="438" w:type="pct"/>
            <w:vAlign w:val="center"/>
          </w:tcPr>
          <w:p>
            <w:pPr>
              <w:pStyle w:val="2"/>
              <w:keepNext w:val="0"/>
              <w:keepLines w:val="0"/>
              <w:suppressLineNumbers w:val="0"/>
              <w:spacing w:before="0" w:beforeAutospacing="0" w:after="0" w:afterAutospacing="0" w:line="260" w:lineRule="exact"/>
              <w:ind w:left="0" w:leftChars="0" w:right="0" w:firstLine="0" w:firstLineChars="0"/>
              <w:jc w:val="center"/>
              <w:rPr>
                <w:rFonts w:hint="eastAsia" w:eastAsia="宋体"/>
                <w:szCs w:val="21"/>
              </w:rPr>
            </w:pPr>
          </w:p>
        </w:tc>
        <w:tc>
          <w:tcPr>
            <w:tcW w:w="439" w:type="pct"/>
            <w:vAlign w:val="center"/>
          </w:tcPr>
          <w:p>
            <w:pPr>
              <w:pStyle w:val="2"/>
              <w:keepNext w:val="0"/>
              <w:keepLines w:val="0"/>
              <w:suppressLineNumbers w:val="0"/>
              <w:spacing w:before="0" w:beforeAutospacing="0" w:after="0" w:afterAutospacing="0" w:line="260" w:lineRule="exact"/>
              <w:ind w:left="0" w:leftChars="0" w:right="0" w:firstLine="0" w:firstLineChars="0"/>
              <w:jc w:val="center"/>
              <w:rPr>
                <w:rFonts w:hint="eastAsia" w:eastAsia="宋体"/>
                <w:szCs w:val="21"/>
              </w:rPr>
            </w:pPr>
          </w:p>
        </w:tc>
        <w:tc>
          <w:tcPr>
            <w:tcW w:w="443" w:type="pct"/>
            <w:vAlign w:val="center"/>
          </w:tcPr>
          <w:p>
            <w:pPr>
              <w:pStyle w:val="2"/>
              <w:keepNext w:val="0"/>
              <w:keepLines w:val="0"/>
              <w:suppressLineNumbers w:val="0"/>
              <w:spacing w:before="0" w:beforeAutospacing="0" w:after="0" w:afterAutospacing="0" w:line="260" w:lineRule="exact"/>
              <w:ind w:left="0" w:leftChars="0" w:right="0" w:firstLine="0" w:firstLineChars="0"/>
              <w:jc w:val="center"/>
              <w:rPr>
                <w:rFonts w:hint="eastAsia" w:eastAsia="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509" w:type="pct"/>
            <w:vAlign w:val="center"/>
          </w:tcPr>
          <w:p>
            <w:pPr>
              <w:pStyle w:val="2"/>
              <w:keepNext w:val="0"/>
              <w:keepLines w:val="0"/>
              <w:suppressLineNumbers w:val="0"/>
              <w:spacing w:before="0" w:beforeAutospacing="0" w:after="0" w:afterAutospacing="0" w:line="260" w:lineRule="exact"/>
              <w:ind w:left="0" w:leftChars="0" w:right="0" w:firstLine="0" w:firstLineChars="0"/>
              <w:jc w:val="center"/>
              <w:rPr>
                <w:rFonts w:hint="eastAsia" w:eastAsia="宋体"/>
                <w:szCs w:val="21"/>
                <w:lang w:eastAsia="zh-CN"/>
              </w:rPr>
            </w:pPr>
            <w:r>
              <w:rPr>
                <w:rFonts w:hint="eastAsia" w:eastAsia="宋体"/>
                <w:szCs w:val="21"/>
                <w:lang w:eastAsia="zh-CN"/>
              </w:rPr>
              <w:t>服务期满后</w:t>
            </w:r>
          </w:p>
        </w:tc>
        <w:tc>
          <w:tcPr>
            <w:tcW w:w="742" w:type="pct"/>
            <w:vAlign w:val="center"/>
          </w:tcPr>
          <w:p>
            <w:pPr>
              <w:pStyle w:val="2"/>
              <w:keepNext w:val="0"/>
              <w:keepLines w:val="0"/>
              <w:suppressLineNumbers w:val="0"/>
              <w:spacing w:before="0" w:beforeAutospacing="0" w:after="0" w:afterAutospacing="0" w:line="260" w:lineRule="exact"/>
              <w:ind w:left="0" w:leftChars="0" w:right="0" w:firstLine="0" w:firstLineChars="0"/>
              <w:jc w:val="center"/>
              <w:rPr>
                <w:rFonts w:hint="eastAsia" w:eastAsia="宋体"/>
                <w:szCs w:val="21"/>
                <w:lang w:eastAsia="zh-CN"/>
              </w:rPr>
            </w:pPr>
          </w:p>
        </w:tc>
        <w:tc>
          <w:tcPr>
            <w:tcW w:w="742" w:type="pct"/>
            <w:vAlign w:val="center"/>
          </w:tcPr>
          <w:p>
            <w:pPr>
              <w:pStyle w:val="2"/>
              <w:keepNext w:val="0"/>
              <w:keepLines w:val="0"/>
              <w:suppressLineNumbers w:val="0"/>
              <w:spacing w:before="0" w:beforeAutospacing="0" w:after="0" w:afterAutospacing="0" w:line="260" w:lineRule="exact"/>
              <w:ind w:left="0" w:leftChars="0" w:right="0" w:firstLine="0" w:firstLineChars="0"/>
              <w:jc w:val="center"/>
              <w:rPr>
                <w:rFonts w:hint="eastAsia" w:eastAsia="宋体"/>
                <w:szCs w:val="21"/>
              </w:rPr>
            </w:pPr>
          </w:p>
        </w:tc>
        <w:tc>
          <w:tcPr>
            <w:tcW w:w="744" w:type="pct"/>
            <w:vAlign w:val="center"/>
          </w:tcPr>
          <w:p>
            <w:pPr>
              <w:pStyle w:val="2"/>
              <w:keepNext w:val="0"/>
              <w:keepLines w:val="0"/>
              <w:suppressLineNumbers w:val="0"/>
              <w:spacing w:before="0" w:beforeAutospacing="0" w:after="0" w:afterAutospacing="0" w:line="260" w:lineRule="exact"/>
              <w:ind w:left="0" w:leftChars="0" w:right="0" w:firstLine="0" w:firstLineChars="0"/>
              <w:jc w:val="center"/>
              <w:rPr>
                <w:rFonts w:hint="eastAsia" w:eastAsia="宋体"/>
                <w:szCs w:val="21"/>
                <w:lang w:eastAsia="zh-CN"/>
              </w:rPr>
            </w:pPr>
          </w:p>
        </w:tc>
        <w:tc>
          <w:tcPr>
            <w:tcW w:w="504" w:type="pct"/>
            <w:vAlign w:val="center"/>
          </w:tcPr>
          <w:p>
            <w:pPr>
              <w:pStyle w:val="2"/>
              <w:keepNext w:val="0"/>
              <w:keepLines w:val="0"/>
              <w:suppressLineNumbers w:val="0"/>
              <w:spacing w:before="0" w:beforeAutospacing="0" w:after="0" w:afterAutospacing="0" w:line="260" w:lineRule="exact"/>
              <w:ind w:left="0" w:leftChars="0" w:right="0" w:firstLine="0" w:firstLineChars="0"/>
              <w:jc w:val="center"/>
              <w:rPr>
                <w:rFonts w:hint="eastAsia" w:eastAsia="宋体"/>
                <w:szCs w:val="21"/>
              </w:rPr>
            </w:pPr>
          </w:p>
        </w:tc>
        <w:tc>
          <w:tcPr>
            <w:tcW w:w="439" w:type="pct"/>
            <w:vAlign w:val="center"/>
          </w:tcPr>
          <w:p>
            <w:pPr>
              <w:pStyle w:val="2"/>
              <w:keepNext w:val="0"/>
              <w:keepLines w:val="0"/>
              <w:suppressLineNumbers w:val="0"/>
              <w:spacing w:before="0" w:beforeAutospacing="0" w:after="0" w:afterAutospacing="0" w:line="260" w:lineRule="exact"/>
              <w:ind w:left="0" w:leftChars="0" w:right="0" w:firstLine="0" w:firstLineChars="0"/>
              <w:jc w:val="center"/>
              <w:rPr>
                <w:rFonts w:hint="eastAsia" w:eastAsia="宋体"/>
                <w:szCs w:val="21"/>
              </w:rPr>
            </w:pPr>
          </w:p>
        </w:tc>
        <w:tc>
          <w:tcPr>
            <w:tcW w:w="438" w:type="pct"/>
            <w:vAlign w:val="center"/>
          </w:tcPr>
          <w:p>
            <w:pPr>
              <w:pStyle w:val="2"/>
              <w:keepNext w:val="0"/>
              <w:keepLines w:val="0"/>
              <w:suppressLineNumbers w:val="0"/>
              <w:spacing w:before="0" w:beforeAutospacing="0" w:after="0" w:afterAutospacing="0" w:line="260" w:lineRule="exact"/>
              <w:ind w:left="0" w:leftChars="0" w:right="0" w:firstLine="0" w:firstLineChars="0"/>
              <w:jc w:val="center"/>
              <w:rPr>
                <w:rFonts w:hint="eastAsia" w:eastAsia="宋体"/>
                <w:szCs w:val="21"/>
              </w:rPr>
            </w:pPr>
          </w:p>
        </w:tc>
        <w:tc>
          <w:tcPr>
            <w:tcW w:w="439" w:type="pct"/>
            <w:vAlign w:val="center"/>
          </w:tcPr>
          <w:p>
            <w:pPr>
              <w:pStyle w:val="2"/>
              <w:keepNext w:val="0"/>
              <w:keepLines w:val="0"/>
              <w:suppressLineNumbers w:val="0"/>
              <w:spacing w:before="0" w:beforeAutospacing="0" w:after="0" w:afterAutospacing="0" w:line="260" w:lineRule="exact"/>
              <w:ind w:left="0" w:leftChars="0" w:right="0" w:firstLine="0" w:firstLineChars="0"/>
              <w:jc w:val="center"/>
              <w:rPr>
                <w:rFonts w:hint="eastAsia" w:eastAsia="宋体"/>
                <w:szCs w:val="21"/>
              </w:rPr>
            </w:pPr>
          </w:p>
        </w:tc>
        <w:tc>
          <w:tcPr>
            <w:tcW w:w="443" w:type="pct"/>
            <w:vAlign w:val="center"/>
          </w:tcPr>
          <w:p>
            <w:pPr>
              <w:pStyle w:val="2"/>
              <w:keepNext w:val="0"/>
              <w:keepLines w:val="0"/>
              <w:suppressLineNumbers w:val="0"/>
              <w:spacing w:before="0" w:beforeAutospacing="0" w:after="0" w:afterAutospacing="0" w:line="260" w:lineRule="exact"/>
              <w:ind w:left="0" w:leftChars="0" w:right="0" w:firstLine="0" w:firstLineChars="0"/>
              <w:jc w:val="center"/>
              <w:rPr>
                <w:rFonts w:hint="eastAsia" w:eastAsia="宋体"/>
                <w:szCs w:val="21"/>
              </w:rPr>
            </w:pPr>
          </w:p>
        </w:tc>
      </w:tr>
    </w:tbl>
    <w:p>
      <w:pPr>
        <w:spacing w:line="360" w:lineRule="auto"/>
        <w:ind w:firstLine="480" w:firstLineChars="200"/>
        <w:rPr>
          <w:rFonts w:hAnsi="Times New Roman" w:eastAsia="宋体"/>
          <w:szCs w:val="24"/>
          <w:lang w:eastAsia="zh-CN"/>
        </w:rPr>
      </w:pPr>
      <w:r>
        <w:rPr>
          <w:rFonts w:hAnsi="Times New Roman" w:eastAsia="宋体"/>
          <w:szCs w:val="24"/>
          <w:lang w:eastAsia="zh-CN"/>
        </w:rPr>
        <w:t>（1）污染影响型</w:t>
      </w:r>
    </w:p>
    <w:p>
      <w:pPr>
        <w:spacing w:line="360" w:lineRule="auto"/>
        <w:ind w:firstLine="480" w:firstLineChars="200"/>
        <w:rPr>
          <w:rFonts w:hAnsi="Times New Roman" w:eastAsia="宋体"/>
          <w:szCs w:val="24"/>
          <w:lang w:eastAsia="zh-CN"/>
        </w:rPr>
      </w:pPr>
      <w:r>
        <w:rPr>
          <w:rFonts w:hAnsi="Times New Roman" w:eastAsia="宋体"/>
          <w:szCs w:val="24"/>
          <w:lang w:eastAsia="zh-CN"/>
        </w:rPr>
        <w:t xml:space="preserve">根据工程分析，本项目大气污染源主要为储煤场堆场粉尘、矸石临时堆场扬尘、原煤和矸石装卸扬尘、运输扬尘等；水污染源主要是矿井涌水、生活污水等；固体废物主要为煤矸石、生活垃圾、生活污水处理站的污泥、矿井水处理站的煤泥以及危险废物等。 </w:t>
      </w:r>
    </w:p>
    <w:p>
      <w:pPr>
        <w:spacing w:line="360" w:lineRule="auto"/>
        <w:ind w:firstLine="480" w:firstLineChars="200"/>
        <w:rPr>
          <w:rFonts w:hAnsi="Times New Roman" w:eastAsia="宋体"/>
          <w:szCs w:val="24"/>
          <w:lang w:eastAsia="zh-CN"/>
        </w:rPr>
      </w:pPr>
      <w:r>
        <w:rPr>
          <w:rFonts w:hAnsi="Times New Roman" w:eastAsia="宋体"/>
          <w:szCs w:val="24"/>
          <w:lang w:eastAsia="zh-CN"/>
        </w:rPr>
        <w:t xml:space="preserve">上述污染物可通过大气沉降、地面漫流和垂直入渗构成土壤污染的输入物质。其中，储煤场堆场粉尘、矸石临时堆场扬尘、原煤和矸石装卸扬尘、运输扬尘等采取污染防治措施后，污染物排放浓度较低，土壤中的沉降可忽略不计；废水和固废造成的土壤污染主要发生在事故情况以及间断的跑冒滴漏。 </w:t>
      </w:r>
    </w:p>
    <w:p>
      <w:pPr>
        <w:spacing w:line="360" w:lineRule="auto"/>
        <w:ind w:firstLine="480" w:firstLineChars="200"/>
        <w:rPr>
          <w:rFonts w:hAnsi="Times New Roman" w:eastAsia="宋体"/>
          <w:szCs w:val="24"/>
          <w:lang w:eastAsia="zh-CN"/>
        </w:rPr>
      </w:pPr>
      <w:r>
        <w:rPr>
          <w:rFonts w:hAnsi="Times New Roman" w:eastAsia="宋体"/>
          <w:szCs w:val="24"/>
          <w:lang w:eastAsia="zh-CN"/>
        </w:rPr>
        <w:t>（2）生态影响型</w:t>
      </w:r>
    </w:p>
    <w:p>
      <w:pPr>
        <w:spacing w:line="360" w:lineRule="auto"/>
        <w:ind w:firstLine="480" w:firstLineChars="200"/>
        <w:rPr>
          <w:rFonts w:hAnsi="Times New Roman" w:eastAsia="宋体"/>
          <w:szCs w:val="24"/>
          <w:lang w:eastAsia="zh-CN"/>
        </w:rPr>
      </w:pPr>
      <w:r>
        <w:rPr>
          <w:rFonts w:hAnsi="Times New Roman" w:eastAsia="宋体"/>
          <w:szCs w:val="24"/>
          <w:lang w:eastAsia="zh-CN"/>
        </w:rPr>
        <w:t>本项目场地土壤类型主要为耕地、林地、矿山用地等。煤矿开采会形成采煤沉陷区，属于生态影响型。沉陷区地表下沉可能导致潜水位埋深变小或植被退化加剧土壤蒸发，导致盐分在地表</w:t>
      </w:r>
      <w:r>
        <w:rPr>
          <w:rFonts w:hint="eastAsia" w:hAnsi="Times New Roman" w:eastAsia="宋体"/>
          <w:szCs w:val="24"/>
          <w:lang w:eastAsia="zh-CN"/>
        </w:rPr>
        <w:t>积聚</w:t>
      </w:r>
      <w:r>
        <w:rPr>
          <w:rFonts w:hAnsi="Times New Roman" w:eastAsia="宋体"/>
          <w:szCs w:val="24"/>
          <w:lang w:eastAsia="zh-CN"/>
        </w:rPr>
        <w:t>低，可能会造成地表沉陷区土壤盐化问题，影响范围主要为采煤沉陷区。具体见下表10.1-2。</w:t>
      </w:r>
    </w:p>
    <w:p>
      <w:pPr>
        <w:jc w:val="center"/>
        <w:rPr>
          <w:rFonts w:hAnsi="Times New Roman" w:eastAsia="宋体"/>
          <w:b/>
          <w:bCs/>
          <w:sz w:val="21"/>
          <w:szCs w:val="21"/>
          <w:lang w:eastAsia="zh-CN"/>
        </w:rPr>
      </w:pPr>
      <w:r>
        <w:rPr>
          <w:rFonts w:hAnsi="Times New Roman" w:eastAsia="宋体"/>
          <w:b/>
          <w:bCs/>
          <w:sz w:val="21"/>
          <w:szCs w:val="21"/>
          <w:lang w:eastAsia="zh-CN"/>
        </w:rPr>
        <w:t>表10.1-2 污染影响型项目敏感程度分级表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82"/>
        <w:gridCol w:w="2168"/>
        <w:gridCol w:w="47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jc w:val="center"/>
        </w:trPr>
        <w:tc>
          <w:tcPr>
            <w:tcW w:w="1275" w:type="pct"/>
            <w:vAlign w:val="center"/>
          </w:tcPr>
          <w:p>
            <w:pPr>
              <w:pStyle w:val="2"/>
              <w:keepNext w:val="0"/>
              <w:keepLines w:val="0"/>
              <w:suppressLineNumbers w:val="0"/>
              <w:spacing w:before="0" w:beforeAutospacing="0" w:after="0" w:afterAutospacing="0" w:line="260" w:lineRule="exact"/>
              <w:ind w:left="0" w:leftChars="0" w:right="0" w:firstLine="0" w:firstLineChars="0"/>
              <w:jc w:val="center"/>
              <w:rPr>
                <w:rFonts w:hint="eastAsia" w:eastAsia="宋体"/>
                <w:b/>
                <w:bCs/>
                <w:szCs w:val="21"/>
                <w:lang w:eastAsia="zh-CN"/>
              </w:rPr>
            </w:pPr>
            <w:r>
              <w:rPr>
                <w:rFonts w:hint="eastAsia" w:eastAsia="宋体"/>
                <w:b/>
                <w:bCs/>
                <w:szCs w:val="21"/>
                <w:lang w:eastAsia="zh-CN"/>
              </w:rPr>
              <w:t>影响结果</w:t>
            </w:r>
          </w:p>
        </w:tc>
        <w:tc>
          <w:tcPr>
            <w:tcW w:w="1160" w:type="pct"/>
            <w:vAlign w:val="center"/>
          </w:tcPr>
          <w:p>
            <w:pPr>
              <w:pStyle w:val="2"/>
              <w:keepNext w:val="0"/>
              <w:keepLines w:val="0"/>
              <w:suppressLineNumbers w:val="0"/>
              <w:spacing w:before="0" w:beforeAutospacing="0" w:after="0" w:afterAutospacing="0" w:line="260" w:lineRule="exact"/>
              <w:ind w:left="0" w:leftChars="0" w:right="0" w:firstLine="0" w:firstLineChars="0"/>
              <w:jc w:val="center"/>
              <w:rPr>
                <w:rFonts w:hint="eastAsia" w:eastAsia="宋体"/>
                <w:b/>
                <w:bCs/>
                <w:szCs w:val="21"/>
                <w:lang w:eastAsia="zh-CN"/>
              </w:rPr>
            </w:pPr>
            <w:r>
              <w:rPr>
                <w:rFonts w:hint="eastAsia" w:eastAsia="宋体"/>
                <w:b/>
                <w:bCs/>
                <w:szCs w:val="21"/>
                <w:lang w:eastAsia="zh-CN"/>
              </w:rPr>
              <w:t>影响途径</w:t>
            </w:r>
          </w:p>
        </w:tc>
        <w:tc>
          <w:tcPr>
            <w:tcW w:w="2565" w:type="pct"/>
            <w:vAlign w:val="center"/>
          </w:tcPr>
          <w:p>
            <w:pPr>
              <w:pStyle w:val="2"/>
              <w:keepNext w:val="0"/>
              <w:keepLines w:val="0"/>
              <w:suppressLineNumbers w:val="0"/>
              <w:spacing w:before="0" w:beforeAutospacing="0" w:after="0" w:afterAutospacing="0" w:line="260" w:lineRule="exact"/>
              <w:ind w:left="0" w:leftChars="0" w:right="0" w:firstLine="0" w:firstLineChars="0"/>
              <w:jc w:val="center"/>
              <w:rPr>
                <w:rFonts w:hint="eastAsia" w:eastAsia="宋体"/>
                <w:b/>
                <w:bCs/>
                <w:szCs w:val="21"/>
                <w:lang w:eastAsia="zh-CN"/>
              </w:rPr>
            </w:pPr>
            <w:r>
              <w:rPr>
                <w:rFonts w:hint="eastAsia" w:eastAsia="宋体"/>
                <w:b/>
                <w:bCs/>
                <w:szCs w:val="21"/>
                <w:lang w:eastAsia="zh-CN"/>
              </w:rPr>
              <w:t>具体指标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1275" w:type="pct"/>
            <w:vMerge w:val="restart"/>
            <w:vAlign w:val="center"/>
          </w:tcPr>
          <w:p>
            <w:pPr>
              <w:pStyle w:val="2"/>
              <w:keepNext w:val="0"/>
              <w:keepLines w:val="0"/>
              <w:suppressLineNumbers w:val="0"/>
              <w:spacing w:before="0" w:beforeAutospacing="0" w:after="0" w:afterAutospacing="0" w:line="260" w:lineRule="exact"/>
              <w:ind w:left="0" w:leftChars="0" w:right="0" w:firstLine="0" w:firstLineChars="0"/>
              <w:jc w:val="center"/>
              <w:rPr>
                <w:rFonts w:hint="eastAsia" w:eastAsia="宋体"/>
                <w:szCs w:val="21"/>
                <w:lang w:eastAsia="zh-CN"/>
              </w:rPr>
            </w:pPr>
            <w:r>
              <w:rPr>
                <w:rFonts w:hint="eastAsia" w:eastAsia="宋体"/>
                <w:szCs w:val="21"/>
                <w:lang w:eastAsia="zh-CN"/>
              </w:rPr>
              <w:t>盐化/酸化/碱化/其他</w:t>
            </w:r>
          </w:p>
        </w:tc>
        <w:tc>
          <w:tcPr>
            <w:tcW w:w="1160" w:type="pct"/>
            <w:vAlign w:val="center"/>
          </w:tcPr>
          <w:p>
            <w:pPr>
              <w:pStyle w:val="2"/>
              <w:keepNext w:val="0"/>
              <w:keepLines w:val="0"/>
              <w:suppressLineNumbers w:val="0"/>
              <w:spacing w:before="0" w:beforeAutospacing="0" w:after="0" w:afterAutospacing="0" w:line="260" w:lineRule="exact"/>
              <w:ind w:left="0" w:leftChars="0" w:right="0" w:firstLine="0" w:firstLineChars="0"/>
              <w:jc w:val="center"/>
              <w:rPr>
                <w:rFonts w:hint="eastAsia" w:eastAsia="宋体"/>
                <w:szCs w:val="21"/>
              </w:rPr>
            </w:pPr>
            <w:r>
              <w:rPr>
                <w:rFonts w:hint="eastAsia" w:eastAsia="宋体"/>
                <w:szCs w:val="21"/>
              </w:rPr>
              <w:t>物质输入/运移</w:t>
            </w:r>
          </w:p>
        </w:tc>
        <w:tc>
          <w:tcPr>
            <w:tcW w:w="2565" w:type="pct"/>
            <w:vAlign w:val="center"/>
          </w:tcPr>
          <w:p>
            <w:pPr>
              <w:pStyle w:val="2"/>
              <w:keepNext w:val="0"/>
              <w:keepLines w:val="0"/>
              <w:suppressLineNumbers w:val="0"/>
              <w:spacing w:before="0" w:beforeAutospacing="0" w:after="0" w:afterAutospacing="0" w:line="260" w:lineRule="exact"/>
              <w:ind w:left="0" w:leftChars="0" w:right="0" w:firstLine="0" w:firstLineChars="0"/>
              <w:jc w:val="center"/>
              <w:rPr>
                <w:rFonts w:hint="eastAsia" w:eastAsia="宋体"/>
                <w:szCs w:val="21"/>
              </w:rPr>
            </w:pPr>
            <w:r>
              <w:rPr>
                <w:rFonts w:hint="eastAsia" w:eastAsia="宋体"/>
                <w:szCs w:val="21"/>
              </w:rPr>
              <w:t xml:space="preserve">地表沉陷导致植被退化，覆盖度降低，导致蒸发加剧，盐分在地表集聚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275" w:type="pct"/>
            <w:vMerge w:val="continue"/>
            <w:vAlign w:val="center"/>
          </w:tcPr>
          <w:p>
            <w:pPr>
              <w:pStyle w:val="2"/>
              <w:keepNext w:val="0"/>
              <w:keepLines w:val="0"/>
              <w:suppressLineNumbers w:val="0"/>
              <w:spacing w:before="0" w:beforeAutospacing="0" w:after="0" w:afterAutospacing="0" w:line="260" w:lineRule="exact"/>
              <w:ind w:left="0" w:leftChars="0" w:right="0" w:firstLine="0" w:firstLineChars="0"/>
              <w:jc w:val="center"/>
              <w:rPr>
                <w:rFonts w:hint="eastAsia" w:eastAsia="宋体"/>
                <w:szCs w:val="21"/>
                <w:lang w:eastAsia="zh-CN"/>
              </w:rPr>
            </w:pPr>
          </w:p>
        </w:tc>
        <w:tc>
          <w:tcPr>
            <w:tcW w:w="1160" w:type="pct"/>
            <w:vAlign w:val="center"/>
          </w:tcPr>
          <w:p>
            <w:pPr>
              <w:pStyle w:val="2"/>
              <w:keepNext w:val="0"/>
              <w:keepLines w:val="0"/>
              <w:suppressLineNumbers w:val="0"/>
              <w:spacing w:before="0" w:beforeAutospacing="0" w:after="0" w:afterAutospacing="0" w:line="260" w:lineRule="exact"/>
              <w:ind w:left="0" w:leftChars="0" w:right="0" w:firstLine="0" w:firstLineChars="0"/>
              <w:jc w:val="center"/>
              <w:rPr>
                <w:rFonts w:hint="eastAsia" w:eastAsia="宋体"/>
                <w:szCs w:val="21"/>
              </w:rPr>
            </w:pPr>
            <w:r>
              <w:rPr>
                <w:rFonts w:hint="eastAsia" w:eastAsia="宋体"/>
                <w:szCs w:val="21"/>
              </w:rPr>
              <w:t>水位变化</w:t>
            </w:r>
          </w:p>
        </w:tc>
        <w:tc>
          <w:tcPr>
            <w:tcW w:w="2565" w:type="pct"/>
            <w:vAlign w:val="center"/>
          </w:tcPr>
          <w:p>
            <w:pPr>
              <w:pStyle w:val="2"/>
              <w:keepNext w:val="0"/>
              <w:keepLines w:val="0"/>
              <w:suppressLineNumbers w:val="0"/>
              <w:spacing w:before="0" w:beforeAutospacing="0" w:after="0" w:afterAutospacing="0" w:line="260" w:lineRule="exact"/>
              <w:ind w:left="0" w:leftChars="0" w:right="0" w:firstLine="0" w:firstLineChars="0"/>
              <w:jc w:val="center"/>
              <w:rPr>
                <w:rFonts w:hint="eastAsia" w:eastAsia="宋体"/>
                <w:szCs w:val="21"/>
              </w:rPr>
            </w:pPr>
            <w:r>
              <w:rPr>
                <w:rFonts w:hint="eastAsia" w:eastAsia="宋体"/>
                <w:szCs w:val="21"/>
              </w:rPr>
              <w:t>由于地表沉陷造成地下水埋深变小，可能导致土壤盐渍化</w:t>
            </w:r>
          </w:p>
        </w:tc>
      </w:tr>
    </w:tbl>
    <w:p>
      <w:pPr>
        <w:pStyle w:val="6"/>
        <w:rPr>
          <w:szCs w:val="22"/>
          <w:lang w:eastAsia="zh-CN"/>
        </w:rPr>
      </w:pPr>
      <w:bookmarkStart w:id="627" w:name="_Toc167095306"/>
      <w:bookmarkStart w:id="628" w:name="_Toc163812683"/>
      <w:r>
        <w:rPr>
          <w:szCs w:val="22"/>
          <w:lang w:eastAsia="zh-CN"/>
        </w:rPr>
        <w:t>10.1.2 评价工作等级划分</w:t>
      </w:r>
      <w:bookmarkEnd w:id="627"/>
      <w:bookmarkEnd w:id="628"/>
    </w:p>
    <w:p>
      <w:pPr>
        <w:spacing w:line="360" w:lineRule="auto"/>
        <w:ind w:firstLine="482" w:firstLineChars="200"/>
        <w:rPr>
          <w:rFonts w:hAnsi="Times New Roman" w:eastAsia="宋体"/>
          <w:b/>
          <w:bCs/>
          <w:szCs w:val="24"/>
          <w:lang w:eastAsia="zh-CN"/>
        </w:rPr>
      </w:pPr>
      <w:r>
        <w:rPr>
          <w:rFonts w:hAnsi="Times New Roman" w:eastAsia="宋体"/>
          <w:b/>
          <w:bCs/>
          <w:szCs w:val="24"/>
          <w:lang w:eastAsia="zh-CN"/>
        </w:rPr>
        <w:t>（1）污染影响型</w:t>
      </w:r>
    </w:p>
    <w:p>
      <w:pPr>
        <w:spacing w:line="360" w:lineRule="auto"/>
        <w:ind w:firstLine="480" w:firstLineChars="200"/>
        <w:rPr>
          <w:rFonts w:hAnsi="Times New Roman" w:eastAsia="宋体"/>
          <w:szCs w:val="24"/>
          <w:lang w:eastAsia="zh-CN"/>
        </w:rPr>
      </w:pPr>
      <w:r>
        <w:rPr>
          <w:rFonts w:hAnsi="Times New Roman" w:eastAsia="宋体"/>
          <w:szCs w:val="24"/>
          <w:lang w:eastAsia="zh-CN"/>
        </w:rPr>
        <w:t>项目工业场地为污染影响型，结合其周边土地利用类型参照表10.1-3分析其敏感性，结果见表10.1-4。</w:t>
      </w:r>
    </w:p>
    <w:p>
      <w:pPr>
        <w:jc w:val="center"/>
        <w:rPr>
          <w:rFonts w:hAnsi="Times New Roman" w:eastAsia="宋体"/>
          <w:b/>
          <w:bCs/>
          <w:sz w:val="21"/>
          <w:szCs w:val="21"/>
          <w:lang w:eastAsia="zh-CN"/>
        </w:rPr>
      </w:pPr>
      <w:r>
        <w:rPr>
          <w:rFonts w:hAnsi="Times New Roman" w:eastAsia="宋体"/>
          <w:b/>
          <w:bCs/>
          <w:sz w:val="21"/>
          <w:szCs w:val="21"/>
          <w:lang w:eastAsia="zh-CN"/>
        </w:rPr>
        <w:t>表10.1-3 污染影响型项目敏感程度分级表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7"/>
        <w:gridCol w:w="80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5" w:type="pct"/>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b/>
                <w:bCs/>
                <w:szCs w:val="21"/>
              </w:rPr>
            </w:pPr>
            <w:r>
              <w:rPr>
                <w:rFonts w:hint="eastAsia" w:eastAsia="宋体"/>
                <w:b/>
                <w:bCs/>
                <w:szCs w:val="21"/>
              </w:rPr>
              <w:t>敏感程度</w:t>
            </w:r>
          </w:p>
        </w:tc>
        <w:tc>
          <w:tcPr>
            <w:tcW w:w="4295" w:type="pct"/>
          </w:tcPr>
          <w:p>
            <w:pPr>
              <w:pStyle w:val="2"/>
              <w:keepNext w:val="0"/>
              <w:keepLines w:val="0"/>
              <w:suppressLineNumbers w:val="0"/>
              <w:spacing w:before="0" w:beforeAutospacing="0" w:after="0" w:afterAutospacing="0"/>
              <w:ind w:left="0" w:leftChars="0" w:right="0" w:firstLine="0" w:firstLineChars="0"/>
              <w:jc w:val="center"/>
              <w:rPr>
                <w:rFonts w:hint="eastAsia" w:eastAsia="宋体"/>
                <w:b/>
                <w:bCs/>
                <w:szCs w:val="21"/>
              </w:rPr>
            </w:pPr>
            <w:r>
              <w:rPr>
                <w:rFonts w:hint="eastAsia" w:eastAsia="宋体"/>
                <w:b/>
                <w:bCs/>
                <w:szCs w:val="21"/>
              </w:rPr>
              <w:t>判别依据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5" w:type="pct"/>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rPr>
            </w:pPr>
            <w:r>
              <w:rPr>
                <w:rFonts w:hint="eastAsia" w:eastAsia="宋体"/>
                <w:szCs w:val="21"/>
              </w:rPr>
              <w:t>敏感</w:t>
            </w:r>
          </w:p>
        </w:tc>
        <w:tc>
          <w:tcPr>
            <w:tcW w:w="4295" w:type="pct"/>
          </w:tcPr>
          <w:p>
            <w:pPr>
              <w:pStyle w:val="2"/>
              <w:keepNext w:val="0"/>
              <w:keepLines w:val="0"/>
              <w:suppressLineNumbers w:val="0"/>
              <w:spacing w:before="0" w:beforeAutospacing="0" w:after="0" w:afterAutospacing="0"/>
              <w:ind w:left="0" w:leftChars="0" w:right="0" w:firstLine="0" w:firstLineChars="0"/>
              <w:rPr>
                <w:rFonts w:hint="eastAsia" w:eastAsia="宋体"/>
                <w:szCs w:val="21"/>
              </w:rPr>
            </w:pPr>
            <w:r>
              <w:rPr>
                <w:rFonts w:hint="eastAsia" w:eastAsia="宋体"/>
                <w:szCs w:val="21"/>
              </w:rPr>
              <w:t>建设项目周边存在耕地、园地、牧草地、饮用水水源地或居民区、学校、医院、疗养院、养老院等土壤环境敏感目标的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5" w:type="pct"/>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rPr>
            </w:pPr>
            <w:r>
              <w:rPr>
                <w:rFonts w:hint="eastAsia" w:eastAsia="宋体"/>
                <w:szCs w:val="21"/>
              </w:rPr>
              <w:t>较敏感</w:t>
            </w:r>
          </w:p>
        </w:tc>
        <w:tc>
          <w:tcPr>
            <w:tcW w:w="4295" w:type="pct"/>
          </w:tcPr>
          <w:p>
            <w:pPr>
              <w:pStyle w:val="2"/>
              <w:keepNext w:val="0"/>
              <w:keepLines w:val="0"/>
              <w:suppressLineNumbers w:val="0"/>
              <w:spacing w:before="0" w:beforeAutospacing="0" w:after="0" w:afterAutospacing="0"/>
              <w:ind w:left="0" w:leftChars="0" w:right="0" w:firstLine="0" w:firstLineChars="0"/>
              <w:rPr>
                <w:rFonts w:hint="eastAsia" w:eastAsia="宋体"/>
                <w:szCs w:val="21"/>
              </w:rPr>
            </w:pPr>
            <w:r>
              <w:rPr>
                <w:rFonts w:hint="eastAsia" w:eastAsia="宋体"/>
                <w:szCs w:val="21"/>
              </w:rPr>
              <w:t>建设项目周边存在其他土壤环境敏感目标的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5" w:type="pct"/>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rPr>
            </w:pPr>
            <w:r>
              <w:rPr>
                <w:rFonts w:hint="eastAsia" w:eastAsia="宋体"/>
                <w:szCs w:val="21"/>
              </w:rPr>
              <w:t>不敏感</w:t>
            </w:r>
          </w:p>
        </w:tc>
        <w:tc>
          <w:tcPr>
            <w:tcW w:w="4295" w:type="pct"/>
          </w:tcPr>
          <w:p>
            <w:pPr>
              <w:pStyle w:val="2"/>
              <w:keepNext w:val="0"/>
              <w:keepLines w:val="0"/>
              <w:suppressLineNumbers w:val="0"/>
              <w:spacing w:before="0" w:beforeAutospacing="0" w:after="0" w:afterAutospacing="0"/>
              <w:ind w:left="0" w:leftChars="0" w:right="0" w:firstLine="0" w:firstLineChars="0"/>
              <w:rPr>
                <w:rFonts w:hint="eastAsia" w:eastAsia="宋体"/>
                <w:szCs w:val="21"/>
              </w:rPr>
            </w:pPr>
            <w:r>
              <w:rPr>
                <w:rFonts w:hint="eastAsia" w:eastAsia="宋体"/>
                <w:szCs w:val="21"/>
              </w:rPr>
              <w:t>其他情况</w:t>
            </w:r>
          </w:p>
        </w:tc>
      </w:tr>
    </w:tbl>
    <w:p>
      <w:pPr>
        <w:pStyle w:val="14"/>
        <w:kinsoku w:val="0"/>
        <w:overflowPunct w:val="0"/>
        <w:spacing w:line="360" w:lineRule="auto"/>
        <w:jc w:val="center"/>
        <w:rPr>
          <w:rFonts w:ascii="Times New Roman" w:hAnsi="Times New Roman"/>
          <w:b/>
          <w:spacing w:val="-1"/>
          <w:sz w:val="21"/>
          <w:szCs w:val="21"/>
          <w:lang w:eastAsia="zh-CN"/>
        </w:rPr>
      </w:pPr>
      <w:r>
        <w:rPr>
          <w:rFonts w:ascii="Times New Roman" w:hAnsi="Times New Roman"/>
          <w:b/>
          <w:spacing w:val="-1"/>
          <w:sz w:val="21"/>
          <w:szCs w:val="21"/>
        </w:rPr>
        <w:t>表</w:t>
      </w:r>
      <w:r>
        <w:rPr>
          <w:rFonts w:ascii="Times New Roman" w:hAnsi="Times New Roman"/>
          <w:b/>
          <w:spacing w:val="-1"/>
          <w:sz w:val="21"/>
          <w:szCs w:val="21"/>
          <w:lang w:eastAsia="zh-CN"/>
        </w:rPr>
        <w:t>1</w:t>
      </w:r>
      <w:r>
        <w:rPr>
          <w:rFonts w:ascii="Times New Roman" w:hAnsi="Times New Roman"/>
          <w:b/>
          <w:kern w:val="0"/>
          <w:sz w:val="21"/>
          <w:szCs w:val="21"/>
          <w:lang w:eastAsia="zh-CN"/>
        </w:rPr>
        <w:t>0.1-4 各场地占地以及敏感程度分析表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86"/>
        <w:gridCol w:w="2089"/>
        <w:gridCol w:w="1368"/>
        <w:gridCol w:w="33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pct"/>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b/>
                <w:bCs/>
                <w:szCs w:val="21"/>
                <w:lang w:eastAsia="zh-CN"/>
              </w:rPr>
            </w:pPr>
            <w:r>
              <w:rPr>
                <w:rFonts w:hint="eastAsia" w:eastAsia="宋体"/>
                <w:b/>
                <w:bCs/>
                <w:szCs w:val="21"/>
                <w:lang w:eastAsia="zh-CN"/>
              </w:rPr>
              <w:t>场地构成</w:t>
            </w:r>
          </w:p>
        </w:tc>
        <w:tc>
          <w:tcPr>
            <w:tcW w:w="1118" w:type="pct"/>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b/>
                <w:bCs/>
                <w:szCs w:val="21"/>
                <w:lang w:eastAsia="zh-CN"/>
              </w:rPr>
            </w:pPr>
            <w:r>
              <w:rPr>
                <w:rFonts w:hint="eastAsia" w:eastAsia="宋体"/>
                <w:b/>
                <w:bCs/>
                <w:szCs w:val="21"/>
                <w:lang w:eastAsia="zh-CN"/>
              </w:rPr>
              <w:t>占地面积（hm</w:t>
            </w:r>
            <w:r>
              <w:rPr>
                <w:rFonts w:hint="eastAsia" w:eastAsia="宋体"/>
                <w:b/>
                <w:bCs/>
                <w:szCs w:val="21"/>
                <w:vertAlign w:val="superscript"/>
                <w:lang w:eastAsia="zh-CN"/>
              </w:rPr>
              <w:t>2</w:t>
            </w:r>
            <w:r>
              <w:rPr>
                <w:rFonts w:hint="eastAsia" w:eastAsia="宋体"/>
                <w:b/>
                <w:bCs/>
                <w:szCs w:val="21"/>
                <w:lang w:eastAsia="zh-CN"/>
              </w:rPr>
              <w:t>）</w:t>
            </w:r>
          </w:p>
        </w:tc>
        <w:tc>
          <w:tcPr>
            <w:tcW w:w="732" w:type="pct"/>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b/>
                <w:bCs/>
                <w:szCs w:val="21"/>
                <w:lang w:eastAsia="zh-CN"/>
              </w:rPr>
            </w:pPr>
            <w:r>
              <w:rPr>
                <w:rFonts w:hint="eastAsia" w:eastAsia="宋体"/>
                <w:b/>
                <w:bCs/>
                <w:szCs w:val="21"/>
                <w:lang w:eastAsia="zh-CN"/>
              </w:rPr>
              <w:t>占地规模</w:t>
            </w:r>
          </w:p>
        </w:tc>
        <w:tc>
          <w:tcPr>
            <w:tcW w:w="1767" w:type="pct"/>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b/>
                <w:bCs/>
                <w:szCs w:val="21"/>
                <w:lang w:eastAsia="zh-CN"/>
              </w:rPr>
            </w:pPr>
            <w:r>
              <w:rPr>
                <w:rFonts w:hint="eastAsia" w:eastAsia="宋体"/>
                <w:b/>
                <w:bCs/>
                <w:szCs w:val="21"/>
                <w:lang w:eastAsia="zh-CN"/>
              </w:rPr>
              <w:t>周边敏感目标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pct"/>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lang w:eastAsia="zh-CN"/>
              </w:rPr>
            </w:pPr>
            <w:r>
              <w:rPr>
                <w:rFonts w:hint="eastAsia" w:eastAsia="宋体"/>
                <w:szCs w:val="21"/>
                <w:lang w:eastAsia="zh-CN"/>
              </w:rPr>
              <w:t>+379m主平硐工业场地</w:t>
            </w:r>
          </w:p>
        </w:tc>
        <w:tc>
          <w:tcPr>
            <w:tcW w:w="111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4.6</w:t>
            </w:r>
          </w:p>
        </w:tc>
        <w:tc>
          <w:tcPr>
            <w:tcW w:w="732" w:type="pct"/>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lang w:eastAsia="zh-CN"/>
              </w:rPr>
            </w:pPr>
            <w:r>
              <w:rPr>
                <w:rFonts w:hint="eastAsia" w:eastAsia="宋体"/>
                <w:szCs w:val="21"/>
                <w:lang w:eastAsia="zh-CN"/>
              </w:rPr>
              <w:t>小型</w:t>
            </w:r>
          </w:p>
        </w:tc>
        <w:tc>
          <w:tcPr>
            <w:tcW w:w="1767" w:type="pct"/>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lang w:eastAsia="zh-CN"/>
              </w:rPr>
            </w:pPr>
            <w:r>
              <w:rPr>
                <w:rFonts w:hint="eastAsia" w:eastAsia="宋体"/>
                <w:szCs w:val="21"/>
                <w:lang w:eastAsia="zh-CN"/>
              </w:rPr>
              <w:t>耕地、林地（敏感）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pct"/>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lang w:eastAsia="zh-CN"/>
              </w:rPr>
            </w:pPr>
            <w:r>
              <w:rPr>
                <w:rFonts w:hint="eastAsia" w:eastAsia="宋体"/>
                <w:szCs w:val="21"/>
                <w:lang w:eastAsia="zh-CN"/>
              </w:rPr>
              <w:t>+411m副平硐</w:t>
            </w:r>
          </w:p>
        </w:tc>
        <w:tc>
          <w:tcPr>
            <w:tcW w:w="111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1.8</w:t>
            </w:r>
          </w:p>
        </w:tc>
        <w:tc>
          <w:tcPr>
            <w:tcW w:w="732" w:type="pct"/>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rPr>
            </w:pPr>
            <w:r>
              <w:rPr>
                <w:rFonts w:hint="eastAsia" w:eastAsia="宋体"/>
                <w:szCs w:val="21"/>
                <w:lang w:eastAsia="zh-CN"/>
              </w:rPr>
              <w:t>小型</w:t>
            </w:r>
          </w:p>
        </w:tc>
        <w:tc>
          <w:tcPr>
            <w:tcW w:w="176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林地（较敏感）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pct"/>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lang w:eastAsia="zh-CN"/>
              </w:rPr>
            </w:pPr>
            <w:r>
              <w:rPr>
                <w:rFonts w:hint="eastAsia" w:eastAsia="宋体"/>
                <w:szCs w:val="21"/>
                <w:lang w:eastAsia="zh-CN"/>
              </w:rPr>
              <w:t>+548m回风平硐场地</w:t>
            </w:r>
          </w:p>
        </w:tc>
        <w:tc>
          <w:tcPr>
            <w:tcW w:w="111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1.3</w:t>
            </w:r>
          </w:p>
        </w:tc>
        <w:tc>
          <w:tcPr>
            <w:tcW w:w="732" w:type="pct"/>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lang w:eastAsia="zh-CN"/>
              </w:rPr>
            </w:pPr>
            <w:r>
              <w:rPr>
                <w:rFonts w:hint="eastAsia" w:eastAsia="宋体"/>
                <w:szCs w:val="21"/>
                <w:lang w:eastAsia="zh-CN"/>
              </w:rPr>
              <w:t>小型</w:t>
            </w:r>
          </w:p>
        </w:tc>
        <w:tc>
          <w:tcPr>
            <w:tcW w:w="176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林地（较敏感）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+572m回风平硐场地</w:t>
            </w:r>
          </w:p>
        </w:tc>
        <w:tc>
          <w:tcPr>
            <w:tcW w:w="111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1.8</w:t>
            </w:r>
          </w:p>
        </w:tc>
        <w:tc>
          <w:tcPr>
            <w:tcW w:w="732" w:type="pct"/>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rPr>
            </w:pPr>
            <w:r>
              <w:rPr>
                <w:rFonts w:hint="eastAsia" w:eastAsia="宋体"/>
                <w:szCs w:val="21"/>
                <w:lang w:eastAsia="zh-CN"/>
              </w:rPr>
              <w:t>小型</w:t>
            </w:r>
          </w:p>
        </w:tc>
        <w:tc>
          <w:tcPr>
            <w:tcW w:w="176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林地（较敏感）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炸药库</w:t>
            </w:r>
          </w:p>
        </w:tc>
        <w:tc>
          <w:tcPr>
            <w:tcW w:w="1118" w:type="pct"/>
          </w:tcPr>
          <w:p>
            <w:pPr>
              <w:pStyle w:val="44"/>
              <w:keepNext w:val="0"/>
              <w:keepLines w:val="0"/>
              <w:suppressLineNumbers w:val="0"/>
              <w:kinsoku w:val="0"/>
              <w:overflowPunct w:val="0"/>
              <w:spacing w:before="34"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w:t>
            </w:r>
          </w:p>
        </w:tc>
        <w:tc>
          <w:tcPr>
            <w:tcW w:w="732" w:type="pct"/>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lang w:eastAsia="zh-CN"/>
              </w:rPr>
            </w:pPr>
            <w:r>
              <w:rPr>
                <w:rFonts w:hint="eastAsia" w:eastAsia="宋体"/>
                <w:szCs w:val="21"/>
                <w:lang w:eastAsia="zh-CN"/>
              </w:rPr>
              <w:t>小型</w:t>
            </w:r>
          </w:p>
        </w:tc>
        <w:tc>
          <w:tcPr>
            <w:tcW w:w="176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林地（较敏感）</w:t>
            </w:r>
          </w:p>
        </w:tc>
      </w:tr>
    </w:tbl>
    <w:p>
      <w:pPr>
        <w:pStyle w:val="14"/>
        <w:kinsoku w:val="0"/>
        <w:overflowPunct w:val="0"/>
        <w:spacing w:line="360" w:lineRule="auto"/>
        <w:jc w:val="center"/>
        <w:rPr>
          <w:rFonts w:ascii="Times New Roman" w:hAnsi="Times New Roman"/>
          <w:b/>
          <w:spacing w:val="-1"/>
          <w:sz w:val="21"/>
          <w:szCs w:val="21"/>
          <w:lang w:eastAsia="zh-CN"/>
        </w:rPr>
      </w:pPr>
      <w:r>
        <w:rPr>
          <w:rFonts w:ascii="Times New Roman" w:hAnsi="Times New Roman"/>
          <w:b/>
          <w:spacing w:val="-1"/>
          <w:sz w:val="21"/>
          <w:szCs w:val="21"/>
          <w:lang w:eastAsia="zh-CN"/>
        </w:rPr>
        <w:t>表10.1-5  污染影响型评价工作等级划分表</w:t>
      </w:r>
    </w:p>
    <w:tbl>
      <w:tblPr>
        <w:tblStyle w:val="33"/>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558"/>
        <w:gridCol w:w="861"/>
        <w:gridCol w:w="863"/>
        <w:gridCol w:w="869"/>
        <w:gridCol w:w="863"/>
        <w:gridCol w:w="861"/>
        <w:gridCol w:w="869"/>
        <w:gridCol w:w="863"/>
        <w:gridCol w:w="868"/>
        <w:gridCol w:w="86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34" w:type="pct"/>
            <w:vMerge w:val="restart"/>
            <w:tcBorders>
              <w:tl2br w:val="single" w:color="000000" w:sz="4" w:space="0"/>
            </w:tcBorders>
            <w:vAlign w:val="center"/>
          </w:tcPr>
          <w:p>
            <w:pPr>
              <w:pStyle w:val="2"/>
              <w:keepNext w:val="0"/>
              <w:keepLines w:val="0"/>
              <w:suppressLineNumbers w:val="0"/>
              <w:spacing w:before="0" w:beforeAutospacing="0" w:after="0" w:afterAutospacing="0"/>
              <w:ind w:left="0" w:leftChars="0" w:right="0" w:firstLine="0" w:firstLineChars="0"/>
              <w:jc w:val="right"/>
              <w:rPr>
                <w:rFonts w:hint="eastAsia" w:eastAsia="宋体"/>
                <w:szCs w:val="21"/>
              </w:rPr>
            </w:pPr>
            <w:r>
              <w:rPr>
                <w:rFonts w:hint="eastAsia" w:eastAsia="宋体"/>
                <w:szCs w:val="21"/>
              </w:rPr>
              <w:t>占地规模</w:t>
            </w:r>
          </w:p>
          <w:p>
            <w:pPr>
              <w:pStyle w:val="2"/>
              <w:keepNext w:val="0"/>
              <w:keepLines w:val="0"/>
              <w:suppressLineNumbers w:val="0"/>
              <w:spacing w:before="0" w:beforeAutospacing="0" w:after="0" w:afterAutospacing="0"/>
              <w:ind w:left="0" w:leftChars="0" w:right="0" w:firstLine="0" w:firstLineChars="0"/>
              <w:rPr>
                <w:rFonts w:hint="eastAsia" w:eastAsia="宋体"/>
                <w:szCs w:val="21"/>
              </w:rPr>
            </w:pPr>
            <w:r>
              <w:rPr>
                <w:rFonts w:hint="eastAsia" w:eastAsia="宋体"/>
                <w:szCs w:val="21"/>
              </w:rPr>
              <w:t>敏感程度</w:t>
            </w:r>
          </w:p>
        </w:tc>
        <w:tc>
          <w:tcPr>
            <w:tcW w:w="1388" w:type="pct"/>
            <w:gridSpan w:val="3"/>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b/>
                <w:szCs w:val="21"/>
              </w:rPr>
            </w:pPr>
            <w:r>
              <w:rPr>
                <w:rFonts w:hint="eastAsia" w:eastAsia="宋体"/>
                <w:bCs/>
                <w:szCs w:val="21"/>
              </w:rPr>
              <w:fldChar w:fldCharType="begin"/>
            </w:r>
            <w:r>
              <w:rPr>
                <w:rFonts w:hint="eastAsia" w:eastAsia="宋体"/>
                <w:bCs/>
                <w:szCs w:val="21"/>
              </w:rPr>
              <w:instrText xml:space="preserve"> = 1 \* ROMAN </w:instrText>
            </w:r>
            <w:r>
              <w:rPr>
                <w:rFonts w:hint="eastAsia" w:eastAsia="宋体"/>
                <w:bCs/>
                <w:szCs w:val="21"/>
              </w:rPr>
              <w:fldChar w:fldCharType="separate"/>
            </w:r>
            <w:r>
              <w:rPr>
                <w:rFonts w:hint="eastAsia" w:eastAsia="宋体"/>
                <w:bCs/>
                <w:szCs w:val="21"/>
              </w:rPr>
              <w:t>I</w:t>
            </w:r>
            <w:r>
              <w:rPr>
                <w:rFonts w:hint="eastAsia" w:eastAsia="宋体"/>
                <w:bCs/>
                <w:szCs w:val="21"/>
              </w:rPr>
              <w:fldChar w:fldCharType="end"/>
            </w:r>
            <w:r>
              <w:rPr>
                <w:rFonts w:hint="eastAsia" w:eastAsia="宋体"/>
                <w:bCs/>
                <w:szCs w:val="21"/>
              </w:rPr>
              <w:t>类</w:t>
            </w:r>
          </w:p>
        </w:tc>
        <w:tc>
          <w:tcPr>
            <w:tcW w:w="1388" w:type="pct"/>
            <w:gridSpan w:val="3"/>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rPr>
            </w:pPr>
            <w:r>
              <w:rPr>
                <w:rFonts w:hint="default" w:hAnsi="Times New Roman" w:eastAsia="宋体"/>
                <w:sz w:val="21"/>
                <w:szCs w:val="21"/>
                <w:lang w:val="en-US" w:eastAsia="zh-CN"/>
              </w:rPr>
              <w:fldChar w:fldCharType="begin"/>
            </w:r>
            <w:r>
              <w:rPr>
                <w:rFonts w:hint="default" w:hAnsi="Times New Roman" w:eastAsia="宋体"/>
                <w:sz w:val="21"/>
                <w:szCs w:val="21"/>
                <w:lang w:val="en-US" w:eastAsia="zh-CN"/>
              </w:rPr>
              <w:instrText xml:space="preserve"> = 2 \* ROMAN </w:instrText>
            </w:r>
            <w:r>
              <w:rPr>
                <w:rFonts w:hint="default" w:hAnsi="Times New Roman" w:eastAsia="宋体"/>
                <w:sz w:val="21"/>
                <w:szCs w:val="21"/>
                <w:lang w:val="en-US" w:eastAsia="zh-CN"/>
              </w:rPr>
              <w:fldChar w:fldCharType="separate"/>
            </w:r>
            <w:r>
              <w:rPr>
                <w:rFonts w:hint="default" w:hAnsi="Times New Roman" w:eastAsia="宋体"/>
                <w:sz w:val="21"/>
                <w:szCs w:val="21"/>
                <w:lang w:val="en-US" w:eastAsia="zh-CN"/>
              </w:rPr>
              <w:t>II</w:t>
            </w:r>
            <w:r>
              <w:rPr>
                <w:rFonts w:hint="default" w:hAnsi="Times New Roman" w:eastAsia="宋体"/>
                <w:sz w:val="21"/>
                <w:szCs w:val="21"/>
                <w:lang w:val="en-US" w:eastAsia="zh-CN"/>
              </w:rPr>
              <w:fldChar w:fldCharType="end"/>
            </w:r>
            <w:r>
              <w:rPr>
                <w:rFonts w:hint="eastAsia" w:hAnsi="Times New Roman" w:eastAsia="宋体"/>
                <w:sz w:val="21"/>
                <w:szCs w:val="21"/>
                <w:lang w:eastAsia="zh-CN"/>
              </w:rPr>
              <w:t>类</w:t>
            </w:r>
          </w:p>
        </w:tc>
        <w:tc>
          <w:tcPr>
            <w:tcW w:w="1391" w:type="pct"/>
            <w:gridSpan w:val="3"/>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rPr>
            </w:pPr>
            <w:r>
              <w:rPr>
                <w:rFonts w:hint="eastAsia" w:eastAsia="宋体"/>
                <w:szCs w:val="21"/>
              </w:rPr>
              <w:fldChar w:fldCharType="begin"/>
            </w:r>
            <w:r>
              <w:rPr>
                <w:rFonts w:hint="eastAsia" w:eastAsia="宋体"/>
                <w:szCs w:val="21"/>
              </w:rPr>
              <w:instrText xml:space="preserve"> = 3 \* ROMAN </w:instrText>
            </w:r>
            <w:r>
              <w:rPr>
                <w:rFonts w:hint="eastAsia" w:eastAsia="宋体"/>
                <w:szCs w:val="21"/>
              </w:rPr>
              <w:fldChar w:fldCharType="separate"/>
            </w:r>
            <w:r>
              <w:rPr>
                <w:rFonts w:hint="eastAsia" w:eastAsia="宋体"/>
                <w:szCs w:val="21"/>
                <w:lang w:eastAsia="zh-CN"/>
              </w:rPr>
              <w:t>Ⅲ</w:t>
            </w:r>
            <w:r>
              <w:rPr>
                <w:rFonts w:hint="eastAsia" w:eastAsia="宋体"/>
                <w:szCs w:val="21"/>
              </w:rPr>
              <w:fldChar w:fldCharType="end"/>
            </w:r>
            <w:r>
              <w:rPr>
                <w:rFonts w:hint="eastAsia" w:eastAsia="宋体"/>
                <w:szCs w:val="21"/>
              </w:rPr>
              <w:t>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34" w:type="pct"/>
            <w:vMerge w:val="continue"/>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rPr>
            </w:pPr>
          </w:p>
        </w:tc>
        <w:tc>
          <w:tcPr>
            <w:tcW w:w="461" w:type="pct"/>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rPr>
            </w:pPr>
            <w:r>
              <w:rPr>
                <w:rFonts w:hint="eastAsia" w:eastAsia="宋体"/>
                <w:szCs w:val="21"/>
              </w:rPr>
              <w:t>大</w:t>
            </w:r>
          </w:p>
        </w:tc>
        <w:tc>
          <w:tcPr>
            <w:tcW w:w="462" w:type="pct"/>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rPr>
            </w:pPr>
            <w:r>
              <w:rPr>
                <w:rFonts w:hint="eastAsia" w:eastAsia="宋体"/>
                <w:szCs w:val="21"/>
              </w:rPr>
              <w:t>中</w:t>
            </w:r>
          </w:p>
        </w:tc>
        <w:tc>
          <w:tcPr>
            <w:tcW w:w="464" w:type="pct"/>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b/>
                <w:szCs w:val="21"/>
              </w:rPr>
            </w:pPr>
            <w:r>
              <w:rPr>
                <w:rFonts w:hint="eastAsia" w:eastAsia="宋体"/>
                <w:bCs/>
                <w:szCs w:val="21"/>
              </w:rPr>
              <w:t>小</w:t>
            </w:r>
          </w:p>
        </w:tc>
        <w:tc>
          <w:tcPr>
            <w:tcW w:w="462" w:type="pct"/>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rPr>
            </w:pPr>
            <w:r>
              <w:rPr>
                <w:rFonts w:hint="eastAsia" w:eastAsia="宋体"/>
                <w:szCs w:val="21"/>
              </w:rPr>
              <w:t>大</w:t>
            </w:r>
          </w:p>
        </w:tc>
        <w:tc>
          <w:tcPr>
            <w:tcW w:w="461" w:type="pct"/>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b/>
                <w:bCs/>
                <w:szCs w:val="21"/>
              </w:rPr>
            </w:pPr>
            <w:r>
              <w:rPr>
                <w:rFonts w:hint="eastAsia" w:eastAsia="宋体"/>
                <w:szCs w:val="21"/>
              </w:rPr>
              <w:t>中</w:t>
            </w:r>
          </w:p>
        </w:tc>
        <w:tc>
          <w:tcPr>
            <w:tcW w:w="464" w:type="pct"/>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b/>
                <w:bCs/>
                <w:szCs w:val="21"/>
              </w:rPr>
            </w:pPr>
            <w:r>
              <w:rPr>
                <w:rFonts w:hint="eastAsia" w:eastAsia="宋体"/>
                <w:b/>
                <w:bCs/>
                <w:szCs w:val="21"/>
              </w:rPr>
              <w:t>小</w:t>
            </w:r>
          </w:p>
        </w:tc>
        <w:tc>
          <w:tcPr>
            <w:tcW w:w="462" w:type="pct"/>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rPr>
            </w:pPr>
            <w:r>
              <w:rPr>
                <w:rFonts w:hint="eastAsia" w:eastAsia="宋体"/>
                <w:szCs w:val="21"/>
              </w:rPr>
              <w:t>大</w:t>
            </w:r>
          </w:p>
        </w:tc>
        <w:tc>
          <w:tcPr>
            <w:tcW w:w="464" w:type="pct"/>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rPr>
            </w:pPr>
            <w:r>
              <w:rPr>
                <w:rFonts w:hint="eastAsia" w:eastAsia="宋体"/>
                <w:szCs w:val="21"/>
              </w:rPr>
              <w:t>中</w:t>
            </w:r>
          </w:p>
        </w:tc>
        <w:tc>
          <w:tcPr>
            <w:tcW w:w="465" w:type="pct"/>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rPr>
            </w:pPr>
            <w:r>
              <w:rPr>
                <w:rFonts w:hint="eastAsia" w:eastAsia="宋体"/>
                <w:szCs w:val="21"/>
              </w:rPr>
              <w:t>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34" w:type="pct"/>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rPr>
            </w:pPr>
            <w:r>
              <w:rPr>
                <w:rFonts w:hint="eastAsia" w:eastAsia="宋体"/>
                <w:szCs w:val="21"/>
              </w:rPr>
              <w:t>敏感</w:t>
            </w:r>
          </w:p>
        </w:tc>
        <w:tc>
          <w:tcPr>
            <w:tcW w:w="461" w:type="pct"/>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rPr>
            </w:pPr>
            <w:r>
              <w:rPr>
                <w:rFonts w:hint="eastAsia" w:eastAsia="宋体"/>
                <w:szCs w:val="21"/>
              </w:rPr>
              <w:t>一级</w:t>
            </w:r>
          </w:p>
        </w:tc>
        <w:tc>
          <w:tcPr>
            <w:tcW w:w="462" w:type="pct"/>
            <w:tcBorders>
              <w:tl2br w:val="nil"/>
              <w:tr2bl w:val="nil"/>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一级</w:t>
            </w:r>
          </w:p>
        </w:tc>
        <w:tc>
          <w:tcPr>
            <w:tcW w:w="464" w:type="pct"/>
            <w:tcBorders>
              <w:tl2br w:val="nil"/>
              <w:tr2bl w:val="nil"/>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一级</w:t>
            </w:r>
          </w:p>
        </w:tc>
        <w:tc>
          <w:tcPr>
            <w:tcW w:w="462" w:type="pct"/>
            <w:tcBorders>
              <w:tl2br w:val="nil"/>
              <w:tr2bl w:val="nil"/>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二级</w:t>
            </w:r>
          </w:p>
        </w:tc>
        <w:tc>
          <w:tcPr>
            <w:tcW w:w="461" w:type="pct"/>
            <w:tcBorders>
              <w:tl2br w:val="nil"/>
              <w:tr2bl w:val="nil"/>
            </w:tcBorders>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kern w:val="2"/>
                <w:sz w:val="21"/>
                <w:szCs w:val="21"/>
              </w:rPr>
              <w:t>二级</w:t>
            </w:r>
          </w:p>
        </w:tc>
        <w:tc>
          <w:tcPr>
            <w:tcW w:w="464" w:type="pct"/>
            <w:tcBorders>
              <w:tl2br w:val="nil"/>
              <w:tr2bl w:val="nil"/>
            </w:tcBorders>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二级</w:t>
            </w:r>
          </w:p>
        </w:tc>
        <w:tc>
          <w:tcPr>
            <w:tcW w:w="462" w:type="pct"/>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rPr>
            </w:pPr>
            <w:r>
              <w:rPr>
                <w:rFonts w:hint="eastAsia" w:eastAsia="宋体"/>
                <w:szCs w:val="21"/>
              </w:rPr>
              <w:t>三级</w:t>
            </w:r>
          </w:p>
        </w:tc>
        <w:tc>
          <w:tcPr>
            <w:tcW w:w="464" w:type="pct"/>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rPr>
            </w:pPr>
            <w:r>
              <w:rPr>
                <w:rFonts w:hint="eastAsia" w:eastAsia="宋体"/>
                <w:szCs w:val="21"/>
              </w:rPr>
              <w:t>三级</w:t>
            </w:r>
          </w:p>
        </w:tc>
        <w:tc>
          <w:tcPr>
            <w:tcW w:w="465" w:type="pct"/>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rPr>
            </w:pPr>
            <w:r>
              <w:rPr>
                <w:rFonts w:hint="eastAsia" w:eastAsia="宋体"/>
                <w:szCs w:val="21"/>
              </w:rPr>
              <w:t>三级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34" w:type="pct"/>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rPr>
            </w:pPr>
            <w:r>
              <w:rPr>
                <w:rFonts w:hint="eastAsia" w:eastAsia="宋体"/>
                <w:szCs w:val="21"/>
              </w:rPr>
              <w:t>较敏感</w:t>
            </w:r>
          </w:p>
        </w:tc>
        <w:tc>
          <w:tcPr>
            <w:tcW w:w="461" w:type="pct"/>
            <w:tcBorders>
              <w:tl2br w:val="nil"/>
              <w:tr2bl w:val="nil"/>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一级</w:t>
            </w:r>
          </w:p>
        </w:tc>
        <w:tc>
          <w:tcPr>
            <w:tcW w:w="462" w:type="pct"/>
            <w:tcBorders>
              <w:tl2br w:val="nil"/>
              <w:tr2bl w:val="nil"/>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一级</w:t>
            </w:r>
          </w:p>
        </w:tc>
        <w:tc>
          <w:tcPr>
            <w:tcW w:w="464" w:type="pct"/>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rPr>
            </w:pPr>
            <w:r>
              <w:rPr>
                <w:rFonts w:hint="eastAsia" w:eastAsia="宋体"/>
                <w:szCs w:val="21"/>
              </w:rPr>
              <w:t>二级</w:t>
            </w:r>
          </w:p>
        </w:tc>
        <w:tc>
          <w:tcPr>
            <w:tcW w:w="462" w:type="pct"/>
            <w:tcBorders>
              <w:tl2br w:val="nil"/>
              <w:tr2bl w:val="nil"/>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二级</w:t>
            </w:r>
          </w:p>
        </w:tc>
        <w:tc>
          <w:tcPr>
            <w:tcW w:w="461" w:type="pct"/>
            <w:tcBorders>
              <w:tl2br w:val="nil"/>
              <w:tr2bl w:val="nil"/>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二级</w:t>
            </w:r>
          </w:p>
        </w:tc>
        <w:tc>
          <w:tcPr>
            <w:tcW w:w="464" w:type="pct"/>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rPr>
            </w:pPr>
            <w:r>
              <w:rPr>
                <w:rFonts w:hint="eastAsia" w:eastAsia="宋体"/>
                <w:szCs w:val="21"/>
              </w:rPr>
              <w:t>三级</w:t>
            </w:r>
          </w:p>
        </w:tc>
        <w:tc>
          <w:tcPr>
            <w:tcW w:w="462" w:type="pct"/>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rPr>
            </w:pPr>
            <w:r>
              <w:rPr>
                <w:rFonts w:hint="eastAsia" w:eastAsia="宋体"/>
                <w:szCs w:val="21"/>
              </w:rPr>
              <w:t>三级</w:t>
            </w:r>
          </w:p>
        </w:tc>
        <w:tc>
          <w:tcPr>
            <w:tcW w:w="464" w:type="pct"/>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rPr>
            </w:pPr>
            <w:r>
              <w:rPr>
                <w:rFonts w:hint="eastAsia" w:eastAsia="宋体"/>
                <w:szCs w:val="21"/>
              </w:rPr>
              <w:t>三级</w:t>
            </w:r>
          </w:p>
        </w:tc>
        <w:tc>
          <w:tcPr>
            <w:tcW w:w="465" w:type="pct"/>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rPr>
            </w:pPr>
            <w:r>
              <w:rPr>
                <w:rFonts w:hint="eastAsia" w:eastAsia="宋体"/>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34" w:type="pct"/>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rPr>
            </w:pPr>
            <w:r>
              <w:rPr>
                <w:rFonts w:hint="eastAsia" w:eastAsia="宋体"/>
                <w:szCs w:val="21"/>
              </w:rPr>
              <w:t>不敏感</w:t>
            </w:r>
          </w:p>
        </w:tc>
        <w:tc>
          <w:tcPr>
            <w:tcW w:w="461" w:type="pct"/>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rPr>
            </w:pPr>
            <w:r>
              <w:rPr>
                <w:rFonts w:hint="eastAsia" w:eastAsia="宋体"/>
                <w:szCs w:val="21"/>
              </w:rPr>
              <w:t>一级</w:t>
            </w:r>
          </w:p>
        </w:tc>
        <w:tc>
          <w:tcPr>
            <w:tcW w:w="462" w:type="pct"/>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rPr>
            </w:pPr>
            <w:r>
              <w:rPr>
                <w:rFonts w:hint="eastAsia" w:eastAsia="宋体"/>
                <w:szCs w:val="21"/>
              </w:rPr>
              <w:t>二级</w:t>
            </w:r>
          </w:p>
        </w:tc>
        <w:tc>
          <w:tcPr>
            <w:tcW w:w="464" w:type="pct"/>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b/>
                <w:szCs w:val="21"/>
              </w:rPr>
            </w:pPr>
            <w:r>
              <w:rPr>
                <w:rFonts w:hint="eastAsia" w:eastAsia="宋体"/>
                <w:bCs/>
                <w:szCs w:val="21"/>
              </w:rPr>
              <w:t>二级</w:t>
            </w:r>
          </w:p>
        </w:tc>
        <w:tc>
          <w:tcPr>
            <w:tcW w:w="462" w:type="pct"/>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rPr>
            </w:pPr>
            <w:r>
              <w:rPr>
                <w:rFonts w:hint="eastAsia" w:eastAsia="宋体"/>
                <w:szCs w:val="21"/>
              </w:rPr>
              <w:t>二级</w:t>
            </w:r>
          </w:p>
        </w:tc>
        <w:tc>
          <w:tcPr>
            <w:tcW w:w="461" w:type="pct"/>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rPr>
            </w:pPr>
            <w:r>
              <w:rPr>
                <w:rFonts w:hint="eastAsia" w:eastAsia="宋体"/>
                <w:szCs w:val="21"/>
              </w:rPr>
              <w:t>三级</w:t>
            </w:r>
          </w:p>
        </w:tc>
        <w:tc>
          <w:tcPr>
            <w:tcW w:w="464" w:type="pct"/>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rPr>
            </w:pPr>
            <w:r>
              <w:rPr>
                <w:rFonts w:hint="eastAsia" w:eastAsia="宋体"/>
                <w:szCs w:val="21"/>
              </w:rPr>
              <w:t>三级</w:t>
            </w:r>
          </w:p>
        </w:tc>
        <w:tc>
          <w:tcPr>
            <w:tcW w:w="462" w:type="pct"/>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rPr>
            </w:pPr>
            <w:r>
              <w:rPr>
                <w:rFonts w:hint="eastAsia" w:eastAsia="宋体"/>
                <w:szCs w:val="21"/>
              </w:rPr>
              <w:t>三级</w:t>
            </w:r>
          </w:p>
        </w:tc>
        <w:tc>
          <w:tcPr>
            <w:tcW w:w="464" w:type="pct"/>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rPr>
            </w:pPr>
            <w:r>
              <w:rPr>
                <w:rFonts w:hint="eastAsia" w:eastAsia="宋体"/>
                <w:szCs w:val="21"/>
              </w:rPr>
              <w:t>—</w:t>
            </w:r>
          </w:p>
        </w:tc>
        <w:tc>
          <w:tcPr>
            <w:tcW w:w="465" w:type="pct"/>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rPr>
            </w:pPr>
            <w:r>
              <w:rPr>
                <w:rFonts w:hint="eastAsia" w:eastAsia="宋体"/>
                <w:szCs w:val="21"/>
              </w:rPr>
              <w:t>—</w:t>
            </w:r>
          </w:p>
        </w:tc>
      </w:tr>
    </w:tbl>
    <w:p>
      <w:pPr>
        <w:pStyle w:val="14"/>
        <w:kinsoku w:val="0"/>
        <w:overflowPunct w:val="0"/>
        <w:spacing w:line="360" w:lineRule="auto"/>
        <w:jc w:val="center"/>
        <w:rPr>
          <w:rFonts w:ascii="Times New Roman" w:hAnsi="Times New Roman"/>
          <w:b/>
          <w:kern w:val="0"/>
          <w:sz w:val="21"/>
          <w:szCs w:val="21"/>
          <w:lang w:eastAsia="zh-CN"/>
        </w:rPr>
      </w:pPr>
      <w:r>
        <w:rPr>
          <w:rFonts w:ascii="Times New Roman" w:hAnsi="Times New Roman"/>
          <w:b/>
          <w:kern w:val="0"/>
          <w:sz w:val="21"/>
          <w:szCs w:val="21"/>
          <w:lang w:eastAsia="zh-CN"/>
        </w:rPr>
        <w:t>表10.1-6 各场地评价工作等级分级表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9"/>
        <w:gridCol w:w="1925"/>
        <w:gridCol w:w="1398"/>
        <w:gridCol w:w="1529"/>
        <w:gridCol w:w="16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25" w:type="pct"/>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b/>
                <w:bCs/>
                <w:szCs w:val="21"/>
                <w:lang w:eastAsia="zh-CN"/>
              </w:rPr>
            </w:pPr>
            <w:r>
              <w:rPr>
                <w:rFonts w:hint="eastAsia" w:eastAsia="宋体"/>
                <w:b/>
                <w:bCs/>
                <w:szCs w:val="21"/>
                <w:lang w:eastAsia="zh-CN"/>
              </w:rPr>
              <w:t>场地构成</w:t>
            </w:r>
          </w:p>
        </w:tc>
        <w:tc>
          <w:tcPr>
            <w:tcW w:w="1030" w:type="pct"/>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b/>
                <w:bCs/>
                <w:szCs w:val="21"/>
                <w:lang w:eastAsia="zh-CN"/>
              </w:rPr>
            </w:pPr>
            <w:r>
              <w:rPr>
                <w:rFonts w:hint="eastAsia" w:eastAsia="宋体"/>
                <w:b/>
                <w:bCs/>
                <w:szCs w:val="21"/>
                <w:lang w:eastAsia="zh-CN"/>
              </w:rPr>
              <w:t>项目类型</w:t>
            </w:r>
          </w:p>
        </w:tc>
        <w:tc>
          <w:tcPr>
            <w:tcW w:w="748" w:type="pct"/>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b/>
                <w:bCs/>
                <w:szCs w:val="21"/>
                <w:lang w:eastAsia="zh-CN"/>
              </w:rPr>
            </w:pPr>
            <w:r>
              <w:rPr>
                <w:rFonts w:hint="eastAsia" w:eastAsia="宋体"/>
                <w:b/>
                <w:bCs/>
                <w:szCs w:val="21"/>
                <w:lang w:eastAsia="zh-CN"/>
              </w:rPr>
              <w:t>占地规模</w:t>
            </w:r>
          </w:p>
        </w:tc>
        <w:tc>
          <w:tcPr>
            <w:tcW w:w="818" w:type="pct"/>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b/>
                <w:bCs/>
                <w:szCs w:val="21"/>
                <w:lang w:eastAsia="zh-CN"/>
              </w:rPr>
            </w:pPr>
            <w:r>
              <w:rPr>
                <w:rFonts w:hint="eastAsia" w:eastAsia="宋体"/>
                <w:b/>
                <w:bCs/>
                <w:szCs w:val="21"/>
                <w:lang w:eastAsia="zh-CN"/>
              </w:rPr>
              <w:t>敏感程度</w:t>
            </w:r>
          </w:p>
        </w:tc>
        <w:tc>
          <w:tcPr>
            <w:tcW w:w="879" w:type="pct"/>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b/>
                <w:bCs/>
                <w:szCs w:val="21"/>
                <w:lang w:eastAsia="zh-CN"/>
              </w:rPr>
            </w:pPr>
            <w:r>
              <w:rPr>
                <w:rFonts w:hint="eastAsia" w:eastAsia="宋体"/>
                <w:b/>
                <w:bCs/>
                <w:szCs w:val="21"/>
                <w:lang w:eastAsia="zh-CN"/>
              </w:rPr>
              <w:t>评价工作等级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25" w:type="pct"/>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lang w:eastAsia="zh-CN"/>
              </w:rPr>
            </w:pPr>
            <w:r>
              <w:rPr>
                <w:rFonts w:hint="eastAsia" w:eastAsia="宋体"/>
                <w:szCs w:val="21"/>
                <w:lang w:eastAsia="zh-CN"/>
              </w:rPr>
              <w:t>+379m主平硐工业场地</w:t>
            </w:r>
          </w:p>
        </w:tc>
        <w:tc>
          <w:tcPr>
            <w:tcW w:w="103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default" w:hAnsi="Times New Roman" w:eastAsia="宋体"/>
                <w:kern w:val="2"/>
                <w:sz w:val="21"/>
                <w:szCs w:val="21"/>
                <w:lang w:val="en-US" w:eastAsia="zh-CN"/>
              </w:rPr>
              <w:fldChar w:fldCharType="begin"/>
            </w:r>
            <w:r>
              <w:rPr>
                <w:rFonts w:hint="default" w:hAnsi="Times New Roman" w:eastAsia="宋体"/>
                <w:kern w:val="2"/>
                <w:sz w:val="21"/>
                <w:szCs w:val="21"/>
                <w:lang w:val="en-US" w:eastAsia="zh-CN"/>
              </w:rPr>
              <w:instrText xml:space="preserve"> = 2 \* ROMAN </w:instrText>
            </w:r>
            <w:r>
              <w:rPr>
                <w:rFonts w:hint="default" w:hAnsi="Times New Roman" w:eastAsia="宋体"/>
                <w:kern w:val="2"/>
                <w:sz w:val="21"/>
                <w:szCs w:val="21"/>
                <w:lang w:val="en-US" w:eastAsia="zh-CN"/>
              </w:rPr>
              <w:fldChar w:fldCharType="separate"/>
            </w:r>
            <w:r>
              <w:rPr>
                <w:rFonts w:hint="default" w:hAnsi="Times New Roman" w:eastAsia="宋体"/>
                <w:kern w:val="2"/>
                <w:sz w:val="21"/>
                <w:szCs w:val="21"/>
                <w:lang w:val="en-US" w:eastAsia="zh-CN"/>
              </w:rPr>
              <w:t>II</w:t>
            </w:r>
            <w:r>
              <w:rPr>
                <w:rFonts w:hint="default" w:hAnsi="Times New Roman" w:eastAsia="宋体"/>
                <w:kern w:val="2"/>
                <w:sz w:val="21"/>
                <w:szCs w:val="21"/>
                <w:lang w:val="en-US" w:eastAsia="zh-CN"/>
              </w:rPr>
              <w:fldChar w:fldCharType="end"/>
            </w:r>
            <w:r>
              <w:rPr>
                <w:rFonts w:hint="eastAsia" w:hAnsi="Times New Roman" w:eastAsia="宋体"/>
                <w:kern w:val="2"/>
                <w:sz w:val="21"/>
                <w:szCs w:val="21"/>
                <w:lang w:eastAsia="zh-CN"/>
              </w:rPr>
              <w:t>类</w:t>
            </w:r>
          </w:p>
        </w:tc>
        <w:tc>
          <w:tcPr>
            <w:tcW w:w="748" w:type="pct"/>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lang w:eastAsia="zh-CN"/>
              </w:rPr>
            </w:pPr>
            <w:r>
              <w:rPr>
                <w:rFonts w:hint="eastAsia" w:eastAsia="宋体"/>
                <w:szCs w:val="21"/>
                <w:lang w:eastAsia="zh-CN"/>
              </w:rPr>
              <w:t>小型</w:t>
            </w:r>
          </w:p>
        </w:tc>
        <w:tc>
          <w:tcPr>
            <w:tcW w:w="818" w:type="pct"/>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lang w:eastAsia="zh-CN"/>
              </w:rPr>
            </w:pPr>
            <w:r>
              <w:rPr>
                <w:rFonts w:hint="eastAsia" w:eastAsia="宋体"/>
                <w:szCs w:val="21"/>
              </w:rPr>
              <w:t>敏感</w:t>
            </w:r>
          </w:p>
        </w:tc>
        <w:tc>
          <w:tcPr>
            <w:tcW w:w="879" w:type="pct"/>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lang w:eastAsia="zh-CN"/>
              </w:rPr>
            </w:pPr>
            <w:r>
              <w:rPr>
                <w:rFonts w:hint="eastAsia" w:eastAsia="宋体"/>
                <w:szCs w:val="21"/>
                <w:lang w:eastAsia="zh-CN"/>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25" w:type="pct"/>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lang w:eastAsia="zh-CN"/>
              </w:rPr>
            </w:pPr>
            <w:r>
              <w:rPr>
                <w:rFonts w:hint="eastAsia" w:eastAsia="宋体"/>
                <w:szCs w:val="21"/>
                <w:lang w:eastAsia="zh-CN"/>
              </w:rPr>
              <w:t>+411m副平硐</w:t>
            </w:r>
          </w:p>
        </w:tc>
        <w:tc>
          <w:tcPr>
            <w:tcW w:w="103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default" w:hAnsi="Times New Roman" w:eastAsia="宋体"/>
                <w:kern w:val="2"/>
                <w:sz w:val="21"/>
                <w:szCs w:val="21"/>
                <w:lang w:val="en-US" w:eastAsia="zh-CN"/>
              </w:rPr>
              <w:fldChar w:fldCharType="begin"/>
            </w:r>
            <w:r>
              <w:rPr>
                <w:rFonts w:hint="default" w:hAnsi="Times New Roman" w:eastAsia="宋体"/>
                <w:kern w:val="2"/>
                <w:sz w:val="21"/>
                <w:szCs w:val="21"/>
                <w:lang w:val="en-US" w:eastAsia="zh-CN"/>
              </w:rPr>
              <w:instrText xml:space="preserve"> = 2 \* ROMAN </w:instrText>
            </w:r>
            <w:r>
              <w:rPr>
                <w:rFonts w:hint="default" w:hAnsi="Times New Roman" w:eastAsia="宋体"/>
                <w:kern w:val="2"/>
                <w:sz w:val="21"/>
                <w:szCs w:val="21"/>
                <w:lang w:val="en-US" w:eastAsia="zh-CN"/>
              </w:rPr>
              <w:fldChar w:fldCharType="separate"/>
            </w:r>
            <w:r>
              <w:rPr>
                <w:rFonts w:hint="default" w:hAnsi="Times New Roman" w:eastAsia="宋体"/>
                <w:kern w:val="2"/>
                <w:sz w:val="21"/>
                <w:szCs w:val="21"/>
                <w:lang w:val="en-US" w:eastAsia="zh-CN"/>
              </w:rPr>
              <w:t>II</w:t>
            </w:r>
            <w:r>
              <w:rPr>
                <w:rFonts w:hint="default" w:hAnsi="Times New Roman" w:eastAsia="宋体"/>
                <w:kern w:val="2"/>
                <w:sz w:val="21"/>
                <w:szCs w:val="21"/>
                <w:lang w:val="en-US" w:eastAsia="zh-CN"/>
              </w:rPr>
              <w:fldChar w:fldCharType="end"/>
            </w:r>
            <w:r>
              <w:rPr>
                <w:rFonts w:hint="eastAsia" w:hAnsi="Times New Roman" w:eastAsia="宋体"/>
                <w:kern w:val="2"/>
                <w:sz w:val="21"/>
                <w:szCs w:val="21"/>
                <w:lang w:eastAsia="zh-CN"/>
              </w:rPr>
              <w:t>类</w:t>
            </w:r>
          </w:p>
        </w:tc>
        <w:tc>
          <w:tcPr>
            <w:tcW w:w="748" w:type="pct"/>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rPr>
            </w:pPr>
            <w:r>
              <w:rPr>
                <w:rFonts w:hint="eastAsia" w:eastAsia="宋体"/>
                <w:szCs w:val="21"/>
                <w:lang w:eastAsia="zh-CN"/>
              </w:rPr>
              <w:t>小型</w:t>
            </w:r>
          </w:p>
        </w:tc>
        <w:tc>
          <w:tcPr>
            <w:tcW w:w="81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较敏感</w:t>
            </w:r>
          </w:p>
        </w:tc>
        <w:tc>
          <w:tcPr>
            <w:tcW w:w="87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25" w:type="pct"/>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pacing w:val="-6"/>
                <w:szCs w:val="21"/>
                <w:lang w:eastAsia="zh-CN"/>
              </w:rPr>
            </w:pPr>
            <w:r>
              <w:rPr>
                <w:rFonts w:hint="eastAsia" w:eastAsia="宋体"/>
                <w:szCs w:val="21"/>
                <w:lang w:eastAsia="zh-CN"/>
              </w:rPr>
              <w:t>+548m回风平硐场地</w:t>
            </w:r>
          </w:p>
        </w:tc>
        <w:tc>
          <w:tcPr>
            <w:tcW w:w="103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default" w:hAnsi="Times New Roman" w:eastAsia="宋体"/>
                <w:kern w:val="2"/>
                <w:sz w:val="21"/>
                <w:szCs w:val="21"/>
                <w:lang w:val="en-US" w:eastAsia="zh-CN"/>
              </w:rPr>
              <w:fldChar w:fldCharType="begin"/>
            </w:r>
            <w:r>
              <w:rPr>
                <w:rFonts w:hint="default" w:hAnsi="Times New Roman" w:eastAsia="宋体"/>
                <w:kern w:val="2"/>
                <w:sz w:val="21"/>
                <w:szCs w:val="21"/>
                <w:lang w:val="en-US" w:eastAsia="zh-CN"/>
              </w:rPr>
              <w:instrText xml:space="preserve"> = 2 \* ROMAN </w:instrText>
            </w:r>
            <w:r>
              <w:rPr>
                <w:rFonts w:hint="default" w:hAnsi="Times New Roman" w:eastAsia="宋体"/>
                <w:kern w:val="2"/>
                <w:sz w:val="21"/>
                <w:szCs w:val="21"/>
                <w:lang w:val="en-US" w:eastAsia="zh-CN"/>
              </w:rPr>
              <w:fldChar w:fldCharType="separate"/>
            </w:r>
            <w:r>
              <w:rPr>
                <w:rFonts w:hint="default" w:hAnsi="Times New Roman" w:eastAsia="宋体"/>
                <w:kern w:val="2"/>
                <w:sz w:val="21"/>
                <w:szCs w:val="21"/>
                <w:lang w:val="en-US" w:eastAsia="zh-CN"/>
              </w:rPr>
              <w:t>II</w:t>
            </w:r>
            <w:r>
              <w:rPr>
                <w:rFonts w:hint="default" w:hAnsi="Times New Roman" w:eastAsia="宋体"/>
                <w:kern w:val="2"/>
                <w:sz w:val="21"/>
                <w:szCs w:val="21"/>
                <w:lang w:val="en-US" w:eastAsia="zh-CN"/>
              </w:rPr>
              <w:fldChar w:fldCharType="end"/>
            </w:r>
            <w:r>
              <w:rPr>
                <w:rFonts w:hint="eastAsia" w:hAnsi="Times New Roman" w:eastAsia="宋体"/>
                <w:kern w:val="2"/>
                <w:sz w:val="21"/>
                <w:szCs w:val="21"/>
                <w:lang w:eastAsia="zh-CN"/>
              </w:rPr>
              <w:t>类</w:t>
            </w:r>
          </w:p>
        </w:tc>
        <w:tc>
          <w:tcPr>
            <w:tcW w:w="748" w:type="pct"/>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lang w:eastAsia="zh-CN"/>
              </w:rPr>
            </w:pPr>
            <w:r>
              <w:rPr>
                <w:rFonts w:hint="eastAsia" w:eastAsia="宋体"/>
                <w:szCs w:val="21"/>
                <w:lang w:eastAsia="zh-CN"/>
              </w:rPr>
              <w:t>小型</w:t>
            </w:r>
          </w:p>
        </w:tc>
        <w:tc>
          <w:tcPr>
            <w:tcW w:w="81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较敏感</w:t>
            </w:r>
          </w:p>
        </w:tc>
        <w:tc>
          <w:tcPr>
            <w:tcW w:w="87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 w:hRule="atLeast"/>
          <w:jc w:val="center"/>
        </w:trPr>
        <w:tc>
          <w:tcPr>
            <w:tcW w:w="152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+572m回风平硐场地</w:t>
            </w:r>
          </w:p>
        </w:tc>
        <w:tc>
          <w:tcPr>
            <w:tcW w:w="103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default" w:hAnsi="Times New Roman" w:eastAsia="宋体"/>
                <w:kern w:val="2"/>
                <w:sz w:val="21"/>
                <w:szCs w:val="21"/>
                <w:lang w:val="en-US" w:eastAsia="zh-CN"/>
              </w:rPr>
              <w:fldChar w:fldCharType="begin"/>
            </w:r>
            <w:r>
              <w:rPr>
                <w:rFonts w:hint="default" w:hAnsi="Times New Roman" w:eastAsia="宋体"/>
                <w:kern w:val="2"/>
                <w:sz w:val="21"/>
                <w:szCs w:val="21"/>
                <w:lang w:val="en-US" w:eastAsia="zh-CN"/>
              </w:rPr>
              <w:instrText xml:space="preserve"> = 2 \* ROMAN </w:instrText>
            </w:r>
            <w:r>
              <w:rPr>
                <w:rFonts w:hint="default" w:hAnsi="Times New Roman" w:eastAsia="宋体"/>
                <w:kern w:val="2"/>
                <w:sz w:val="21"/>
                <w:szCs w:val="21"/>
                <w:lang w:val="en-US" w:eastAsia="zh-CN"/>
              </w:rPr>
              <w:fldChar w:fldCharType="separate"/>
            </w:r>
            <w:r>
              <w:rPr>
                <w:rFonts w:hint="default" w:hAnsi="Times New Roman" w:eastAsia="宋体"/>
                <w:kern w:val="2"/>
                <w:sz w:val="21"/>
                <w:szCs w:val="21"/>
                <w:lang w:val="en-US" w:eastAsia="zh-CN"/>
              </w:rPr>
              <w:t>II</w:t>
            </w:r>
            <w:r>
              <w:rPr>
                <w:rFonts w:hint="default" w:hAnsi="Times New Roman" w:eastAsia="宋体"/>
                <w:kern w:val="2"/>
                <w:sz w:val="21"/>
                <w:szCs w:val="21"/>
                <w:lang w:val="en-US" w:eastAsia="zh-CN"/>
              </w:rPr>
              <w:fldChar w:fldCharType="end"/>
            </w:r>
            <w:r>
              <w:rPr>
                <w:rFonts w:hint="eastAsia" w:hAnsi="Times New Roman" w:eastAsia="宋体"/>
                <w:kern w:val="2"/>
                <w:sz w:val="21"/>
                <w:szCs w:val="21"/>
                <w:lang w:eastAsia="zh-CN"/>
              </w:rPr>
              <w:t>类</w:t>
            </w:r>
          </w:p>
        </w:tc>
        <w:tc>
          <w:tcPr>
            <w:tcW w:w="748" w:type="pct"/>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rPr>
            </w:pPr>
            <w:r>
              <w:rPr>
                <w:rFonts w:hint="eastAsia" w:eastAsia="宋体"/>
                <w:szCs w:val="21"/>
                <w:lang w:eastAsia="zh-CN"/>
              </w:rPr>
              <w:t>小型</w:t>
            </w:r>
          </w:p>
        </w:tc>
        <w:tc>
          <w:tcPr>
            <w:tcW w:w="81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较敏感</w:t>
            </w:r>
          </w:p>
        </w:tc>
        <w:tc>
          <w:tcPr>
            <w:tcW w:w="87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2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炸药库</w:t>
            </w:r>
          </w:p>
        </w:tc>
        <w:tc>
          <w:tcPr>
            <w:tcW w:w="1030"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default" w:hAnsi="Times New Roman" w:eastAsia="宋体"/>
                <w:kern w:val="2"/>
                <w:sz w:val="21"/>
                <w:szCs w:val="21"/>
                <w:lang w:val="en-US" w:eastAsia="zh-CN"/>
              </w:rPr>
              <w:fldChar w:fldCharType="begin"/>
            </w:r>
            <w:r>
              <w:rPr>
                <w:rFonts w:hint="default" w:hAnsi="Times New Roman" w:eastAsia="宋体"/>
                <w:kern w:val="2"/>
                <w:sz w:val="21"/>
                <w:szCs w:val="21"/>
                <w:lang w:val="en-US" w:eastAsia="zh-CN"/>
              </w:rPr>
              <w:instrText xml:space="preserve"> = 2 \* ROMAN </w:instrText>
            </w:r>
            <w:r>
              <w:rPr>
                <w:rFonts w:hint="default" w:hAnsi="Times New Roman" w:eastAsia="宋体"/>
                <w:kern w:val="2"/>
                <w:sz w:val="21"/>
                <w:szCs w:val="21"/>
                <w:lang w:val="en-US" w:eastAsia="zh-CN"/>
              </w:rPr>
              <w:fldChar w:fldCharType="separate"/>
            </w:r>
            <w:r>
              <w:rPr>
                <w:rFonts w:hint="default" w:hAnsi="Times New Roman" w:eastAsia="宋体"/>
                <w:kern w:val="2"/>
                <w:sz w:val="21"/>
                <w:szCs w:val="21"/>
                <w:lang w:val="en-US" w:eastAsia="zh-CN"/>
              </w:rPr>
              <w:t>II</w:t>
            </w:r>
            <w:r>
              <w:rPr>
                <w:rFonts w:hint="default" w:hAnsi="Times New Roman" w:eastAsia="宋体"/>
                <w:kern w:val="2"/>
                <w:sz w:val="21"/>
                <w:szCs w:val="21"/>
                <w:lang w:val="en-US" w:eastAsia="zh-CN"/>
              </w:rPr>
              <w:fldChar w:fldCharType="end"/>
            </w:r>
            <w:r>
              <w:rPr>
                <w:rFonts w:hint="eastAsia" w:hAnsi="Times New Roman" w:eastAsia="宋体"/>
                <w:kern w:val="2"/>
                <w:sz w:val="21"/>
                <w:szCs w:val="21"/>
                <w:lang w:eastAsia="zh-CN"/>
              </w:rPr>
              <w:t>类</w:t>
            </w:r>
          </w:p>
        </w:tc>
        <w:tc>
          <w:tcPr>
            <w:tcW w:w="748" w:type="pct"/>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lang w:eastAsia="zh-CN"/>
              </w:rPr>
            </w:pPr>
            <w:r>
              <w:rPr>
                <w:rFonts w:hint="eastAsia" w:eastAsia="宋体"/>
                <w:szCs w:val="21"/>
                <w:lang w:eastAsia="zh-CN"/>
              </w:rPr>
              <w:t>小型</w:t>
            </w:r>
          </w:p>
        </w:tc>
        <w:tc>
          <w:tcPr>
            <w:tcW w:w="81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较敏感</w:t>
            </w:r>
          </w:p>
        </w:tc>
        <w:tc>
          <w:tcPr>
            <w:tcW w:w="87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三级</w:t>
            </w:r>
          </w:p>
        </w:tc>
      </w:tr>
    </w:tbl>
    <w:p>
      <w:pPr>
        <w:spacing w:line="360" w:lineRule="auto"/>
        <w:ind w:firstLine="480" w:firstLineChars="200"/>
        <w:rPr>
          <w:rFonts w:hAnsi="Times New Roman" w:eastAsia="宋体"/>
          <w:b/>
          <w:bCs/>
          <w:szCs w:val="24"/>
          <w:lang w:eastAsia="zh-CN"/>
        </w:rPr>
      </w:pPr>
      <w:r>
        <w:rPr>
          <w:rFonts w:hAnsi="Times New Roman" w:eastAsia="宋体"/>
          <w:szCs w:val="24"/>
          <w:lang w:eastAsia="zh-CN"/>
        </w:rPr>
        <w:t>对各场地对照污染影响型评价工作等级划分表，结果见表10.1-6，</w:t>
      </w:r>
      <w:r>
        <w:rPr>
          <w:rFonts w:hAnsi="Times New Roman" w:eastAsia="宋体"/>
          <w:b/>
          <w:bCs/>
          <w:szCs w:val="24"/>
          <w:lang w:eastAsia="zh-CN"/>
        </w:rPr>
        <w:t>本项目污染影响评价工作等级为二级。</w:t>
      </w:r>
    </w:p>
    <w:p>
      <w:pPr>
        <w:spacing w:line="360" w:lineRule="auto"/>
        <w:ind w:firstLine="482" w:firstLineChars="200"/>
        <w:rPr>
          <w:rFonts w:hAnsi="Times New Roman" w:eastAsia="宋体"/>
          <w:b/>
          <w:bCs/>
          <w:szCs w:val="24"/>
          <w:lang w:eastAsia="zh-CN"/>
        </w:rPr>
      </w:pPr>
      <w:r>
        <w:rPr>
          <w:rFonts w:hAnsi="Times New Roman" w:eastAsia="宋体"/>
          <w:b/>
          <w:bCs/>
          <w:szCs w:val="24"/>
          <w:lang w:eastAsia="zh-CN"/>
        </w:rPr>
        <w:t>（2）生态影响型</w:t>
      </w:r>
    </w:p>
    <w:p>
      <w:pPr>
        <w:spacing w:line="360" w:lineRule="auto"/>
        <w:ind w:firstLine="480" w:firstLineChars="200"/>
        <w:rPr>
          <w:rFonts w:hAnsi="Times New Roman" w:eastAsia="宋体"/>
          <w:szCs w:val="22"/>
          <w:lang w:eastAsia="zh-CN"/>
        </w:rPr>
      </w:pPr>
      <w:r>
        <w:rPr>
          <w:rFonts w:hAnsi="Times New Roman" w:eastAsia="宋体"/>
          <w:szCs w:val="22"/>
          <w:lang w:eastAsia="zh-CN"/>
        </w:rPr>
        <w:t>土壤生态影响型的评价重点为盐化、酸化、碱化。对照《环境影响评价技术导则土壤环境（试行）》（HJ964-2018）表1生态影响型敏感程度分级表分别识别盐化、酸化与碱化的敏感性。</w:t>
      </w:r>
    </w:p>
    <w:p>
      <w:pPr>
        <w:pStyle w:val="14"/>
        <w:overflowPunct w:val="0"/>
        <w:spacing w:line="360" w:lineRule="auto"/>
        <w:ind w:right="215" w:firstLine="482" w:firstLineChars="200"/>
        <w:rPr>
          <w:rFonts w:ascii="Times New Roman" w:hAnsi="Times New Roman"/>
          <w:bCs w:val="0"/>
          <w:kern w:val="0"/>
          <w:sz w:val="24"/>
          <w:szCs w:val="22"/>
          <w:lang w:eastAsia="zh-CN"/>
        </w:rPr>
      </w:pPr>
      <w:r>
        <w:rPr>
          <w:rFonts w:ascii="Times New Roman" w:hAnsi="Times New Roman"/>
          <w:b/>
          <w:sz w:val="24"/>
        </w:rPr>
        <w:t>盐化敏感程度：</w:t>
      </w:r>
      <w:r>
        <w:rPr>
          <w:rFonts w:ascii="Times New Roman" w:hAnsi="Times New Roman"/>
          <w:bCs w:val="0"/>
          <w:kern w:val="0"/>
          <w:sz w:val="24"/>
          <w:szCs w:val="22"/>
          <w:lang w:eastAsia="zh-CN"/>
        </w:rPr>
        <w:t>经查询达州市气象资料</w:t>
      </w:r>
      <w:r>
        <w:rPr>
          <w:rFonts w:hint="eastAsia" w:ascii="Times New Roman" w:hAnsi="Times New Roman"/>
          <w:bCs w:val="0"/>
          <w:kern w:val="0"/>
          <w:sz w:val="24"/>
          <w:szCs w:val="22"/>
          <w:lang w:eastAsia="zh-CN"/>
        </w:rPr>
        <w:t>数据</w:t>
      </w:r>
      <w:r>
        <w:rPr>
          <w:rFonts w:ascii="Times New Roman" w:hAnsi="Times New Roman"/>
          <w:bCs w:val="0"/>
          <w:kern w:val="0"/>
          <w:sz w:val="24"/>
          <w:szCs w:val="22"/>
          <w:lang w:eastAsia="zh-CN"/>
        </w:rPr>
        <w:t>，达州市近10年平均降水量为1100mm，年均蒸发量为1118mm，因此地区的干燥度为 1.02＜2.5；达州市的地下水水位埋深大于3.0m，根据土壤检测数据，土壤含盐量为1.2</w:t>
      </w:r>
      <w:r>
        <w:rPr>
          <w:rFonts w:hint="eastAsia" w:ascii="Times New Roman" w:hAnsi="Times New Roman"/>
          <w:bCs w:val="0"/>
          <w:kern w:val="0"/>
          <w:sz w:val="24"/>
          <w:szCs w:val="22"/>
          <w:lang w:eastAsia="zh-CN"/>
        </w:rPr>
        <w:t>～</w:t>
      </w:r>
      <w:r>
        <w:rPr>
          <w:rFonts w:ascii="Times New Roman" w:hAnsi="Times New Roman"/>
          <w:bCs w:val="0"/>
          <w:kern w:val="0"/>
          <w:sz w:val="24"/>
          <w:szCs w:val="22"/>
          <w:lang w:eastAsia="zh-CN"/>
        </w:rPr>
        <w:t>1.5g/kg≤2.0g/kg，盐化敏感程度为不敏感。</w:t>
      </w:r>
    </w:p>
    <w:p>
      <w:pPr>
        <w:spacing w:line="360" w:lineRule="auto"/>
        <w:ind w:firstLine="482" w:firstLineChars="200"/>
        <w:rPr>
          <w:rFonts w:hAnsi="Times New Roman" w:eastAsia="宋体"/>
          <w:lang w:eastAsia="zh-CN"/>
        </w:rPr>
      </w:pPr>
      <w:r>
        <w:rPr>
          <w:rFonts w:hAnsi="Times New Roman" w:eastAsia="宋体"/>
          <w:b/>
          <w:bCs/>
          <w:kern w:val="2"/>
          <w:szCs w:val="24"/>
        </w:rPr>
        <w:t>酸化、碱化：</w:t>
      </w:r>
      <w:r>
        <w:rPr>
          <w:rFonts w:hAnsi="Times New Roman" w:eastAsia="宋体"/>
          <w:szCs w:val="22"/>
          <w:lang w:eastAsia="zh-CN"/>
        </w:rPr>
        <w:t>根据土壤监测数据，土壤 pH值为6.28~7.31，酸化、碱化程度为其他，因此敏感程度属于不敏感。</w:t>
      </w:r>
      <w:r>
        <w:rPr>
          <w:rFonts w:hAnsi="Times New Roman" w:eastAsia="宋体"/>
          <w:lang w:eastAsia="zh-CN"/>
        </w:rPr>
        <w:t>项目对土壤的生态影响主要表现为井工地表沉陷对土壤结构的破坏，土壤结构的破坏会影响土壤的理化性质以及土壤肥力。随着开采结束，矿井对开挖区和沉陷区采取植被恢复措施，土地平整的开挖与回填中，将有可能扰动甚至打乱原有土体构型，使土壤养分含量及肥力状况受到影响。根据相关资料，开挖与回填对土壤养分的影响相当明显，即使实行分层堆放、分层回填措施，土壤表土的有机质也将下降43%，粘粒含量减少</w:t>
      </w:r>
      <w:r>
        <w:rPr>
          <w:rFonts w:hint="eastAsia" w:hAnsi="Times New Roman" w:eastAsia="宋体"/>
          <w:lang w:eastAsia="zh-CN"/>
        </w:rPr>
        <w:t>60%～80%</w:t>
      </w:r>
      <w:r>
        <w:rPr>
          <w:rFonts w:hAnsi="Times New Roman" w:eastAsia="宋体"/>
          <w:lang w:eastAsia="zh-CN"/>
        </w:rPr>
        <w:t>，磷下降40%，钾下降43%。但这种影响一般持续2～3年，随时间推移逐渐消失，土壤的肥力将逐渐恢复。</w:t>
      </w:r>
    </w:p>
    <w:p>
      <w:pPr>
        <w:spacing w:line="360" w:lineRule="auto"/>
        <w:ind w:firstLine="482" w:firstLineChars="200"/>
        <w:rPr>
          <w:rFonts w:hAnsi="Times New Roman" w:eastAsia="宋体"/>
          <w:b/>
          <w:bCs/>
          <w:szCs w:val="22"/>
          <w:lang w:eastAsia="zh-CN"/>
        </w:rPr>
      </w:pPr>
      <w:r>
        <w:rPr>
          <w:rFonts w:hAnsi="Times New Roman" w:eastAsia="宋体"/>
          <w:b/>
          <w:bCs/>
          <w:szCs w:val="22"/>
          <w:lang w:eastAsia="zh-CN"/>
        </w:rPr>
        <w:t>综上所述，本项目生态敏感程度为不敏感。</w:t>
      </w:r>
    </w:p>
    <w:p>
      <w:pPr>
        <w:pStyle w:val="14"/>
        <w:kinsoku w:val="0"/>
        <w:overflowPunct w:val="0"/>
        <w:spacing w:line="360" w:lineRule="auto"/>
        <w:jc w:val="center"/>
        <w:rPr>
          <w:rFonts w:ascii="Times New Roman" w:hAnsi="Times New Roman"/>
          <w:b/>
          <w:kern w:val="0"/>
          <w:sz w:val="21"/>
          <w:szCs w:val="21"/>
          <w:lang w:eastAsia="zh-CN"/>
        </w:rPr>
      </w:pPr>
      <w:r>
        <w:rPr>
          <w:rFonts w:ascii="Times New Roman" w:hAnsi="Times New Roman"/>
          <w:b/>
          <w:kern w:val="0"/>
          <w:sz w:val="21"/>
          <w:szCs w:val="21"/>
          <w:lang w:eastAsia="zh-CN"/>
        </w:rPr>
        <w:t>表10.1-7 生态影响型敏感程度分级表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89"/>
        <w:gridCol w:w="4049"/>
        <w:gridCol w:w="1842"/>
        <w:gridCol w:w="21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690" w:type="pct"/>
            <w:vMerge w:val="restart"/>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b/>
                <w:bCs/>
                <w:szCs w:val="21"/>
                <w:lang w:eastAsia="zh-CN"/>
              </w:rPr>
            </w:pPr>
            <w:r>
              <w:rPr>
                <w:rFonts w:hint="eastAsia" w:eastAsia="宋体"/>
                <w:b/>
                <w:bCs/>
                <w:szCs w:val="21"/>
                <w:lang w:eastAsia="zh-CN"/>
              </w:rPr>
              <w:t>敏感程度</w:t>
            </w:r>
          </w:p>
        </w:tc>
        <w:tc>
          <w:tcPr>
            <w:tcW w:w="4310" w:type="pct"/>
            <w:gridSpan w:val="3"/>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b/>
                <w:bCs/>
                <w:szCs w:val="21"/>
                <w:lang w:eastAsia="zh-CN"/>
              </w:rPr>
            </w:pPr>
            <w:r>
              <w:rPr>
                <w:rFonts w:hint="eastAsia" w:eastAsia="宋体"/>
                <w:b/>
                <w:bCs/>
                <w:szCs w:val="21"/>
                <w:lang w:eastAsia="zh-CN"/>
              </w:rPr>
              <w:t>判别依据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690" w:type="pct"/>
            <w:vMerge w:val="continue"/>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lang w:eastAsia="zh-CN"/>
              </w:rPr>
            </w:pPr>
          </w:p>
        </w:tc>
        <w:tc>
          <w:tcPr>
            <w:tcW w:w="2167"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盐化</w:t>
            </w:r>
          </w:p>
        </w:tc>
        <w:tc>
          <w:tcPr>
            <w:tcW w:w="986" w:type="pct"/>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b/>
                <w:bCs/>
                <w:szCs w:val="21"/>
                <w:lang w:eastAsia="zh-CN"/>
              </w:rPr>
            </w:pPr>
            <w:r>
              <w:rPr>
                <w:rFonts w:hint="eastAsia" w:eastAsia="宋体"/>
                <w:b/>
                <w:bCs/>
                <w:szCs w:val="21"/>
                <w:lang w:eastAsia="zh-CN"/>
              </w:rPr>
              <w:t>酸化</w:t>
            </w:r>
          </w:p>
        </w:tc>
        <w:tc>
          <w:tcPr>
            <w:tcW w:w="1157" w:type="pct"/>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b/>
                <w:bCs/>
                <w:szCs w:val="21"/>
                <w:lang w:eastAsia="zh-CN"/>
              </w:rPr>
            </w:pPr>
            <w:r>
              <w:rPr>
                <w:rFonts w:hint="eastAsia" w:eastAsia="宋体"/>
                <w:b/>
                <w:bCs/>
                <w:szCs w:val="21"/>
                <w:lang w:eastAsia="zh-CN"/>
              </w:rPr>
              <w:t>碱化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5" w:hRule="atLeast"/>
          <w:jc w:val="center"/>
        </w:trPr>
        <w:tc>
          <w:tcPr>
            <w:tcW w:w="690" w:type="pct"/>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lang w:eastAsia="zh-CN"/>
              </w:rPr>
            </w:pPr>
            <w:r>
              <w:rPr>
                <w:rFonts w:hint="eastAsia" w:eastAsia="宋体"/>
                <w:szCs w:val="21"/>
              </w:rPr>
              <w:t>敏感</w:t>
            </w:r>
          </w:p>
        </w:tc>
        <w:tc>
          <w:tcPr>
            <w:tcW w:w="216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 xml:space="preserve">建设项目所在地干燥度a＞2.5且常年地下水位平均埋深＜1.5m的地势平坦区域；或土壤含盐量＞4g/kg的区域 </w:t>
            </w:r>
          </w:p>
        </w:tc>
        <w:tc>
          <w:tcPr>
            <w:tcW w:w="986" w:type="pct"/>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rPr>
            </w:pPr>
            <w:r>
              <w:rPr>
                <w:rFonts w:hint="eastAsia" w:eastAsia="宋体"/>
                <w:szCs w:val="21"/>
              </w:rPr>
              <w:t>pH≤4.5</w:t>
            </w:r>
          </w:p>
        </w:tc>
        <w:tc>
          <w:tcPr>
            <w:tcW w:w="115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pH≥9.0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89" w:hRule="atLeast"/>
          <w:jc w:val="center"/>
        </w:trPr>
        <w:tc>
          <w:tcPr>
            <w:tcW w:w="690" w:type="pct"/>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lang w:eastAsia="zh-CN"/>
              </w:rPr>
            </w:pPr>
            <w:r>
              <w:rPr>
                <w:rFonts w:hint="eastAsia" w:eastAsia="宋体"/>
                <w:szCs w:val="21"/>
              </w:rPr>
              <w:t>较敏感</w:t>
            </w:r>
          </w:p>
        </w:tc>
        <w:tc>
          <w:tcPr>
            <w:tcW w:w="216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 xml:space="preserve">建设项目所在地干燥度＞2.5且常年地下水位平均埋深≥1.5，或1.8＜干燥度≤2.5且常年地下水位平均埋深＜1.8m的地势平坦区域；建设项目所在地干燥度a＞2.5或常年地下水位平均埋深＜1.5m的平原区；或2g/kg＜土壤含盐量 ≤4g/kg的区域 </w:t>
            </w:r>
          </w:p>
        </w:tc>
        <w:tc>
          <w:tcPr>
            <w:tcW w:w="986" w:type="pct"/>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lang w:eastAsia="zh-CN"/>
              </w:rPr>
            </w:pPr>
            <w:r>
              <w:rPr>
                <w:rFonts w:hint="eastAsia" w:eastAsia="宋体"/>
                <w:szCs w:val="21"/>
              </w:rPr>
              <w:t>4.5＜pH≤</w:t>
            </w:r>
            <w:r>
              <w:rPr>
                <w:rFonts w:hint="eastAsia" w:eastAsia="宋体"/>
                <w:szCs w:val="21"/>
                <w:lang w:eastAsia="zh-CN"/>
              </w:rPr>
              <w:t>5.5</w:t>
            </w:r>
          </w:p>
        </w:tc>
        <w:tc>
          <w:tcPr>
            <w:tcW w:w="115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5≤pH＜9.0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690" w:type="pct"/>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lang w:eastAsia="zh-CN"/>
              </w:rPr>
            </w:pPr>
            <w:r>
              <w:rPr>
                <w:rFonts w:hint="eastAsia" w:eastAsia="宋体"/>
                <w:szCs w:val="21"/>
              </w:rPr>
              <w:t>不敏感</w:t>
            </w:r>
          </w:p>
        </w:tc>
        <w:tc>
          <w:tcPr>
            <w:tcW w:w="216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其他</w:t>
            </w:r>
          </w:p>
        </w:tc>
        <w:tc>
          <w:tcPr>
            <w:tcW w:w="2143" w:type="pct"/>
            <w:gridSpan w:val="2"/>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5.5＜pH＜8.5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5000" w:type="pct"/>
            <w:gridSpan w:val="4"/>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干燥度是指采用E601观测的多年平均水面蒸发量与降雨量的比值，即蒸降比值。</w:t>
            </w:r>
          </w:p>
        </w:tc>
      </w:tr>
    </w:tbl>
    <w:p>
      <w:pPr>
        <w:spacing w:line="360" w:lineRule="auto"/>
        <w:ind w:firstLine="480" w:firstLineChars="200"/>
        <w:rPr>
          <w:rFonts w:hAnsi="Times New Roman" w:eastAsia="宋体"/>
          <w:szCs w:val="24"/>
          <w:lang w:eastAsia="zh-CN"/>
        </w:rPr>
      </w:pPr>
      <w:r>
        <w:rPr>
          <w:rFonts w:hAnsi="Times New Roman" w:eastAsia="宋体"/>
          <w:szCs w:val="24"/>
          <w:lang w:eastAsia="zh-CN"/>
        </w:rPr>
        <w:t>对照《环境影响评价技术导则 土壤环境（试行）》（HJ964-2018）表2生态影响型评价工作等级分级表（表 10.1-8），本项目井工开采区生态影响评价工作等级为三级。</w:t>
      </w:r>
    </w:p>
    <w:p>
      <w:pPr>
        <w:pStyle w:val="14"/>
        <w:kinsoku w:val="0"/>
        <w:overflowPunct w:val="0"/>
        <w:spacing w:line="360" w:lineRule="auto"/>
        <w:jc w:val="center"/>
        <w:rPr>
          <w:rFonts w:ascii="Times New Roman" w:hAnsi="Times New Roman"/>
          <w:b/>
          <w:kern w:val="0"/>
          <w:sz w:val="21"/>
          <w:szCs w:val="21"/>
          <w:lang w:eastAsia="zh-CN"/>
        </w:rPr>
      </w:pPr>
      <w:r>
        <w:rPr>
          <w:rFonts w:ascii="Times New Roman" w:hAnsi="Times New Roman"/>
          <w:b/>
          <w:kern w:val="0"/>
          <w:sz w:val="21"/>
          <w:szCs w:val="21"/>
          <w:lang w:eastAsia="zh-CN"/>
        </w:rPr>
        <w:t>表10.1-8井田开采区评价工作等级分级表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08"/>
        <w:gridCol w:w="2345"/>
        <w:gridCol w:w="2343"/>
        <w:gridCol w:w="23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1235" w:type="pct"/>
            <w:vMerge w:val="restart"/>
            <w:tcBorders>
              <w:tl2br w:val="single" w:color="auto" w:sz="4" w:space="0"/>
            </w:tcBorders>
            <w:vAlign w:val="center"/>
          </w:tcPr>
          <w:p>
            <w:pPr>
              <w:pStyle w:val="2"/>
              <w:keepNext w:val="0"/>
              <w:keepLines w:val="0"/>
              <w:suppressLineNumbers w:val="0"/>
              <w:spacing w:before="0" w:beforeAutospacing="0" w:after="0" w:afterAutospacing="0"/>
              <w:ind w:left="0" w:leftChars="0" w:right="0" w:firstLine="0" w:firstLineChars="0"/>
              <w:jc w:val="right"/>
              <w:rPr>
                <w:rFonts w:hint="eastAsia" w:eastAsia="宋体"/>
                <w:b/>
                <w:bCs/>
                <w:szCs w:val="21"/>
                <w:lang w:eastAsia="zh-CN"/>
              </w:rPr>
            </w:pPr>
            <w:r>
              <w:rPr>
                <w:rFonts w:hint="eastAsia" w:eastAsia="宋体"/>
                <w:b/>
                <w:bCs/>
                <w:szCs w:val="21"/>
                <w:lang w:eastAsia="zh-CN"/>
              </w:rPr>
              <w:t>项目类别</w:t>
            </w:r>
          </w:p>
          <w:p>
            <w:pPr>
              <w:pStyle w:val="2"/>
              <w:keepNext w:val="0"/>
              <w:keepLines w:val="0"/>
              <w:suppressLineNumbers w:val="0"/>
              <w:spacing w:before="0" w:beforeAutospacing="0" w:after="0" w:afterAutospacing="0"/>
              <w:ind w:left="0" w:leftChars="0" w:right="0" w:firstLine="0" w:firstLineChars="0"/>
              <w:jc w:val="left"/>
              <w:rPr>
                <w:rFonts w:hint="eastAsia" w:eastAsia="宋体"/>
                <w:b/>
                <w:bCs/>
                <w:szCs w:val="21"/>
                <w:lang w:eastAsia="zh-CN"/>
              </w:rPr>
            </w:pPr>
            <w:r>
              <w:rPr>
                <w:rFonts w:hint="eastAsia" w:eastAsia="宋体"/>
                <w:b/>
                <w:bCs/>
                <w:szCs w:val="21"/>
                <w:lang w:eastAsia="zh-CN"/>
              </w:rPr>
              <w:t>环境敏感程度</w:t>
            </w:r>
          </w:p>
        </w:tc>
        <w:tc>
          <w:tcPr>
            <w:tcW w:w="3765" w:type="pct"/>
            <w:gridSpan w:val="3"/>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b/>
                <w:bCs/>
                <w:szCs w:val="21"/>
                <w:lang w:eastAsia="zh-CN"/>
              </w:rPr>
            </w:pPr>
            <w:r>
              <w:rPr>
                <w:rFonts w:hint="eastAsia" w:eastAsia="宋体"/>
                <w:b/>
                <w:bCs/>
                <w:szCs w:val="21"/>
                <w:lang w:eastAsia="zh-CN"/>
              </w:rPr>
              <w:t>判别依据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1235" w:type="pct"/>
            <w:vMerge w:val="continue"/>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lang w:eastAsia="zh-CN"/>
              </w:rPr>
            </w:pPr>
          </w:p>
        </w:tc>
        <w:tc>
          <w:tcPr>
            <w:tcW w:w="1255" w:type="pct"/>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b/>
                <w:szCs w:val="21"/>
                <w:lang w:eastAsia="zh-CN"/>
              </w:rPr>
            </w:pPr>
            <w:r>
              <w:rPr>
                <w:rFonts w:hint="eastAsia" w:eastAsia="宋体"/>
                <w:b/>
                <w:szCs w:val="21"/>
              </w:rPr>
              <w:fldChar w:fldCharType="begin"/>
            </w:r>
            <w:r>
              <w:rPr>
                <w:rFonts w:hint="eastAsia" w:eastAsia="宋体"/>
                <w:b/>
                <w:szCs w:val="21"/>
              </w:rPr>
              <w:instrText xml:space="preserve"> = 1 \* ROMAN </w:instrText>
            </w:r>
            <w:r>
              <w:rPr>
                <w:rFonts w:hint="eastAsia" w:eastAsia="宋体"/>
                <w:b/>
                <w:szCs w:val="21"/>
              </w:rPr>
              <w:fldChar w:fldCharType="separate"/>
            </w:r>
            <w:r>
              <w:rPr>
                <w:rFonts w:hint="eastAsia" w:eastAsia="宋体"/>
                <w:b/>
                <w:szCs w:val="21"/>
              </w:rPr>
              <w:t>I</w:t>
            </w:r>
            <w:r>
              <w:rPr>
                <w:rFonts w:hint="eastAsia" w:eastAsia="宋体"/>
                <w:b/>
                <w:szCs w:val="21"/>
              </w:rPr>
              <w:fldChar w:fldCharType="end"/>
            </w:r>
            <w:r>
              <w:rPr>
                <w:rFonts w:hint="eastAsia" w:eastAsia="宋体"/>
                <w:b/>
                <w:szCs w:val="21"/>
              </w:rPr>
              <w:t>类</w:t>
            </w:r>
            <w:r>
              <w:rPr>
                <w:rFonts w:hint="eastAsia" w:eastAsia="宋体"/>
                <w:b/>
                <w:szCs w:val="21"/>
                <w:lang w:eastAsia="zh-CN"/>
              </w:rPr>
              <w:t>项目</w:t>
            </w:r>
          </w:p>
        </w:tc>
        <w:tc>
          <w:tcPr>
            <w:tcW w:w="1254" w:type="pct"/>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b/>
                <w:szCs w:val="21"/>
                <w:lang w:eastAsia="zh-CN"/>
              </w:rPr>
            </w:pPr>
            <w:r>
              <w:rPr>
                <w:rFonts w:hint="default" w:eastAsia="宋体"/>
                <w:b/>
                <w:szCs w:val="21"/>
                <w:lang w:val="en-US" w:eastAsia="zh-CN"/>
              </w:rPr>
              <w:fldChar w:fldCharType="begin"/>
            </w:r>
            <w:r>
              <w:rPr>
                <w:rFonts w:hint="default" w:eastAsia="宋体"/>
                <w:b/>
                <w:szCs w:val="21"/>
                <w:lang w:val="en-US" w:eastAsia="zh-CN"/>
              </w:rPr>
              <w:instrText xml:space="preserve"> = 2 \* ROMAN </w:instrText>
            </w:r>
            <w:r>
              <w:rPr>
                <w:rFonts w:hint="default" w:eastAsia="宋体"/>
                <w:b/>
                <w:szCs w:val="21"/>
                <w:lang w:val="en-US" w:eastAsia="zh-CN"/>
              </w:rPr>
              <w:fldChar w:fldCharType="separate"/>
            </w:r>
            <w:r>
              <w:rPr>
                <w:rFonts w:hint="default" w:eastAsia="宋体"/>
                <w:b/>
                <w:szCs w:val="21"/>
                <w:lang w:val="en-US" w:eastAsia="zh-CN"/>
              </w:rPr>
              <w:t>II</w:t>
            </w:r>
            <w:r>
              <w:rPr>
                <w:rFonts w:hint="default" w:eastAsia="宋体"/>
                <w:b/>
                <w:szCs w:val="21"/>
                <w:lang w:val="en-US" w:eastAsia="zh-CN"/>
              </w:rPr>
              <w:fldChar w:fldCharType="end"/>
            </w:r>
            <w:r>
              <w:rPr>
                <w:rFonts w:hint="eastAsia" w:eastAsia="宋体"/>
                <w:b/>
                <w:szCs w:val="21"/>
                <w:lang w:eastAsia="zh-CN"/>
              </w:rPr>
              <w:t>类项目</w:t>
            </w:r>
          </w:p>
        </w:tc>
        <w:tc>
          <w:tcPr>
            <w:tcW w:w="1256" w:type="pct"/>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b/>
                <w:szCs w:val="21"/>
                <w:lang w:eastAsia="zh-CN"/>
              </w:rPr>
            </w:pPr>
            <w:r>
              <w:rPr>
                <w:rFonts w:hint="eastAsia" w:eastAsia="宋体"/>
                <w:b/>
                <w:szCs w:val="21"/>
              </w:rPr>
              <w:fldChar w:fldCharType="begin"/>
            </w:r>
            <w:r>
              <w:rPr>
                <w:rFonts w:hint="eastAsia" w:eastAsia="宋体"/>
                <w:b/>
                <w:szCs w:val="21"/>
              </w:rPr>
              <w:instrText xml:space="preserve"> = 3 \* ROMAN </w:instrText>
            </w:r>
            <w:r>
              <w:rPr>
                <w:rFonts w:hint="eastAsia" w:eastAsia="宋体"/>
                <w:b/>
                <w:szCs w:val="21"/>
              </w:rPr>
              <w:fldChar w:fldCharType="separate"/>
            </w:r>
            <w:r>
              <w:rPr>
                <w:rFonts w:hint="eastAsia" w:eastAsia="宋体"/>
                <w:b/>
                <w:szCs w:val="21"/>
                <w:lang w:eastAsia="zh-CN"/>
              </w:rPr>
              <w:t>Ⅲ</w:t>
            </w:r>
            <w:r>
              <w:rPr>
                <w:rFonts w:hint="eastAsia" w:eastAsia="宋体"/>
                <w:b/>
                <w:szCs w:val="21"/>
              </w:rPr>
              <w:fldChar w:fldCharType="end"/>
            </w:r>
            <w:r>
              <w:rPr>
                <w:rFonts w:hint="eastAsia" w:eastAsia="宋体"/>
                <w:b/>
                <w:szCs w:val="21"/>
              </w:rPr>
              <w:t>类</w:t>
            </w:r>
            <w:r>
              <w:rPr>
                <w:rFonts w:hint="eastAsia" w:eastAsia="宋体"/>
                <w:b/>
                <w:szCs w:val="21"/>
                <w:lang w:eastAsia="zh-CN"/>
              </w:rPr>
              <w:t>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1235" w:type="pct"/>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lang w:eastAsia="zh-CN"/>
              </w:rPr>
            </w:pPr>
            <w:r>
              <w:rPr>
                <w:rFonts w:hint="eastAsia" w:eastAsia="宋体"/>
                <w:szCs w:val="21"/>
              </w:rPr>
              <w:t>敏感</w:t>
            </w:r>
          </w:p>
        </w:tc>
        <w:tc>
          <w:tcPr>
            <w:tcW w:w="1255" w:type="pct"/>
            <w:tcBorders>
              <w:tl2br w:val="nil"/>
              <w:tr2bl w:val="nil"/>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rPr>
              <w:t>一级</w:t>
            </w:r>
          </w:p>
        </w:tc>
        <w:tc>
          <w:tcPr>
            <w:tcW w:w="1254" w:type="pct"/>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rPr>
            </w:pPr>
            <w:r>
              <w:rPr>
                <w:rFonts w:hint="eastAsia" w:eastAsia="宋体"/>
                <w:szCs w:val="21"/>
                <w:lang w:eastAsia="zh-CN"/>
              </w:rPr>
              <w:t>二级</w:t>
            </w:r>
          </w:p>
        </w:tc>
        <w:tc>
          <w:tcPr>
            <w:tcW w:w="1256" w:type="pct"/>
            <w:tcBorders>
              <w:tl2br w:val="nil"/>
              <w:tr2bl w:val="nil"/>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1235" w:type="pct"/>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lang w:eastAsia="zh-CN"/>
              </w:rPr>
            </w:pPr>
            <w:r>
              <w:rPr>
                <w:rFonts w:hint="eastAsia" w:eastAsia="宋体"/>
                <w:szCs w:val="21"/>
              </w:rPr>
              <w:t>较敏感</w:t>
            </w:r>
          </w:p>
        </w:tc>
        <w:tc>
          <w:tcPr>
            <w:tcW w:w="1255" w:type="pct"/>
            <w:tcBorders>
              <w:tl2br w:val="nil"/>
              <w:tr2bl w:val="nil"/>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二级</w:t>
            </w:r>
          </w:p>
        </w:tc>
        <w:tc>
          <w:tcPr>
            <w:tcW w:w="1254" w:type="pct"/>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lang w:eastAsia="zh-CN"/>
              </w:rPr>
            </w:pPr>
            <w:r>
              <w:rPr>
                <w:rFonts w:hint="eastAsia" w:eastAsia="宋体"/>
                <w:szCs w:val="21"/>
                <w:lang w:eastAsia="zh-CN"/>
              </w:rPr>
              <w:t>二级</w:t>
            </w:r>
          </w:p>
        </w:tc>
        <w:tc>
          <w:tcPr>
            <w:tcW w:w="1256" w:type="pct"/>
            <w:tcBorders>
              <w:tl2br w:val="nil"/>
              <w:tr2bl w:val="nil"/>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jc w:val="center"/>
        </w:trPr>
        <w:tc>
          <w:tcPr>
            <w:tcW w:w="1235" w:type="pct"/>
            <w:tcBorders>
              <w:tl2br w:val="nil"/>
              <w:tr2bl w:val="nil"/>
            </w:tcBorders>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szCs w:val="21"/>
                <w:lang w:eastAsia="zh-CN"/>
              </w:rPr>
            </w:pPr>
            <w:r>
              <w:rPr>
                <w:rFonts w:hint="eastAsia" w:eastAsia="宋体"/>
                <w:szCs w:val="21"/>
              </w:rPr>
              <w:t>不敏感</w:t>
            </w:r>
          </w:p>
        </w:tc>
        <w:tc>
          <w:tcPr>
            <w:tcW w:w="1255" w:type="pct"/>
            <w:tcBorders>
              <w:tl2br w:val="nil"/>
              <w:tr2bl w:val="nil"/>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二级</w:t>
            </w:r>
          </w:p>
        </w:tc>
        <w:tc>
          <w:tcPr>
            <w:tcW w:w="1254" w:type="pct"/>
            <w:tcBorders>
              <w:tl2br w:val="nil"/>
              <w:tr2bl w:val="nil"/>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三级</w:t>
            </w:r>
          </w:p>
        </w:tc>
        <w:tc>
          <w:tcPr>
            <w:tcW w:w="1256" w:type="pct"/>
            <w:tcBorders>
              <w:tl2br w:val="nil"/>
              <w:tr2bl w:val="nil"/>
            </w:tcBorders>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bl>
    <w:p>
      <w:pPr>
        <w:pStyle w:val="6"/>
        <w:rPr>
          <w:szCs w:val="22"/>
          <w:lang w:eastAsia="zh-CN"/>
        </w:rPr>
      </w:pPr>
      <w:bookmarkStart w:id="629" w:name="_Toc167095307"/>
      <w:bookmarkStart w:id="630" w:name="_Toc163812684"/>
      <w:r>
        <w:rPr>
          <w:szCs w:val="22"/>
          <w:lang w:eastAsia="zh-CN"/>
        </w:rPr>
        <w:t>10.1.3 评价范围</w:t>
      </w:r>
      <w:bookmarkEnd w:id="629"/>
      <w:bookmarkEnd w:id="630"/>
    </w:p>
    <w:p>
      <w:pPr>
        <w:pStyle w:val="14"/>
        <w:overflowPunct w:val="0"/>
        <w:spacing w:line="360" w:lineRule="auto"/>
        <w:ind w:right="204" w:firstLine="488" w:firstLineChars="200"/>
        <w:rPr>
          <w:rFonts w:ascii="Times New Roman" w:hAnsi="Times New Roman"/>
          <w:spacing w:val="2"/>
          <w:sz w:val="24"/>
        </w:rPr>
      </w:pPr>
      <w:r>
        <w:rPr>
          <w:rFonts w:ascii="Times New Roman" w:hAnsi="Times New Roman"/>
          <w:spacing w:val="2"/>
          <w:sz w:val="24"/>
          <w:lang w:eastAsia="zh-CN"/>
        </w:rPr>
        <w:t>本项目土壤生态型评价范围以调查范围相同：以矿区范围向周边延伸200m。本项目土壤污染型评价范围</w:t>
      </w:r>
      <w:r>
        <w:rPr>
          <w:rFonts w:hint="eastAsia" w:ascii="Times New Roman" w:hAnsi="Times New Roman"/>
          <w:spacing w:val="2"/>
          <w:sz w:val="24"/>
          <w:lang w:eastAsia="zh-CN"/>
        </w:rPr>
        <w:t>与</w:t>
      </w:r>
      <w:r>
        <w:rPr>
          <w:rFonts w:ascii="Times New Roman" w:hAnsi="Times New Roman"/>
          <w:spacing w:val="2"/>
          <w:sz w:val="24"/>
          <w:lang w:eastAsia="zh-CN"/>
        </w:rPr>
        <w:t>调查范围相同：以工业广场向周边延伸200m。</w:t>
      </w:r>
    </w:p>
    <w:p>
      <w:pPr>
        <w:pStyle w:val="5"/>
        <w:rPr>
          <w:rFonts w:ascii="Times New Roman" w:hAnsi="Times New Roman"/>
          <w:szCs w:val="22"/>
          <w:lang w:eastAsia="zh-CN"/>
        </w:rPr>
      </w:pPr>
      <w:bookmarkStart w:id="631" w:name="_Toc167095308"/>
      <w:bookmarkStart w:id="632" w:name="_Toc163749210"/>
      <w:bookmarkStart w:id="633" w:name="_Toc26767"/>
      <w:r>
        <w:rPr>
          <w:rFonts w:ascii="Times New Roman" w:hAnsi="Times New Roman"/>
          <w:szCs w:val="22"/>
          <w:lang w:eastAsia="zh-CN"/>
        </w:rPr>
        <w:t>10.2 区域土壤环境现状</w:t>
      </w:r>
      <w:bookmarkEnd w:id="631"/>
      <w:bookmarkEnd w:id="632"/>
      <w:bookmarkEnd w:id="633"/>
    </w:p>
    <w:p>
      <w:pPr>
        <w:spacing w:line="360" w:lineRule="auto"/>
        <w:ind w:firstLine="482" w:firstLineChars="200"/>
        <w:rPr>
          <w:rFonts w:hAnsi="Times New Roman" w:eastAsia="宋体"/>
          <w:b/>
          <w:bCs/>
          <w:lang w:eastAsia="zh-CN"/>
        </w:rPr>
      </w:pPr>
      <w:r>
        <w:rPr>
          <w:rFonts w:hAnsi="Times New Roman" w:eastAsia="宋体"/>
          <w:b/>
          <w:bCs/>
          <w:lang w:eastAsia="zh-CN"/>
        </w:rPr>
        <w:t>（1）土壤类型</w:t>
      </w:r>
    </w:p>
    <w:p>
      <w:pPr>
        <w:spacing w:line="360" w:lineRule="auto"/>
        <w:ind w:firstLine="480" w:firstLineChars="200"/>
        <w:rPr>
          <w:rFonts w:hAnsi="Times New Roman" w:eastAsia="宋体"/>
          <w:szCs w:val="24"/>
          <w:lang w:eastAsia="zh-CN"/>
        </w:rPr>
      </w:pPr>
      <w:r>
        <w:rPr>
          <w:rFonts w:hAnsi="Times New Roman" w:eastAsia="宋体"/>
          <w:szCs w:val="24"/>
          <w:lang w:eastAsia="zh-CN"/>
        </w:rPr>
        <w:t>根据国家土壤信息服务平台（http://www.soilinfo.cn/MAP/index.aspx）查询及现场调查，本项目占地的土壤类型主要为紫色土。根据《中国土壤分类与代码》（GB/T17296-2009）确定项目区域土壤属于碳酸盐紫色土。</w:t>
      </w:r>
    </w:p>
    <w:p>
      <w:pPr>
        <w:spacing w:line="360" w:lineRule="auto"/>
        <w:rPr>
          <w:rFonts w:hAnsi="Times New Roman" w:eastAsia="宋体"/>
          <w:lang w:eastAsia="zh-CN"/>
        </w:rPr>
      </w:pPr>
      <w:r>
        <w:rPr>
          <w:rFonts w:hAnsi="Times New Roman" w:eastAsia="宋体"/>
        </w:rPr>
        <w:drawing>
          <wp:inline distT="0" distB="0" distL="114300" distR="114300">
            <wp:extent cx="5795645" cy="4008755"/>
            <wp:effectExtent l="0" t="0" r="14605" b="10795"/>
            <wp:docPr id="89"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44"/>
                    <pic:cNvPicPr>
                      <a:picLocks noChangeAspect="1"/>
                    </pic:cNvPicPr>
                  </pic:nvPicPr>
                  <pic:blipFill>
                    <a:blip r:embed="rId261"/>
                    <a:stretch>
                      <a:fillRect/>
                    </a:stretch>
                  </pic:blipFill>
                  <pic:spPr>
                    <a:xfrm>
                      <a:off x="0" y="0"/>
                      <a:ext cx="5795645" cy="4008755"/>
                    </a:xfrm>
                    <a:prstGeom prst="rect">
                      <a:avLst/>
                    </a:prstGeom>
                    <a:noFill/>
                    <a:ln>
                      <a:noFill/>
                    </a:ln>
                  </pic:spPr>
                </pic:pic>
              </a:graphicData>
            </a:graphic>
          </wp:inline>
        </w:drawing>
      </w:r>
    </w:p>
    <w:p>
      <w:pPr>
        <w:pStyle w:val="14"/>
        <w:kinsoku w:val="0"/>
        <w:overflowPunct w:val="0"/>
        <w:spacing w:line="360" w:lineRule="auto"/>
        <w:jc w:val="center"/>
        <w:rPr>
          <w:rFonts w:ascii="Times New Roman" w:hAnsi="Times New Roman"/>
          <w:b/>
          <w:kern w:val="0"/>
          <w:sz w:val="21"/>
          <w:szCs w:val="21"/>
          <w:lang w:eastAsia="zh-CN"/>
        </w:rPr>
      </w:pPr>
      <w:r>
        <w:rPr>
          <w:rFonts w:ascii="Times New Roman" w:hAnsi="Times New Roman"/>
          <w:b/>
          <w:kern w:val="0"/>
          <w:sz w:val="21"/>
          <w:szCs w:val="21"/>
          <w:lang w:eastAsia="zh-CN"/>
        </w:rPr>
        <w:t>图10.2-1 土壤类型查询结果图</w:t>
      </w:r>
    </w:p>
    <w:p>
      <w:pPr>
        <w:spacing w:line="360" w:lineRule="auto"/>
        <w:ind w:firstLine="482" w:firstLineChars="200"/>
        <w:rPr>
          <w:rFonts w:hAnsi="Times New Roman" w:eastAsia="宋体"/>
          <w:b/>
          <w:bCs/>
          <w:szCs w:val="22"/>
          <w:lang w:eastAsia="zh-CN"/>
        </w:rPr>
      </w:pPr>
      <w:r>
        <w:rPr>
          <w:rFonts w:hAnsi="Times New Roman" w:eastAsia="宋体"/>
          <w:b/>
          <w:bCs/>
          <w:szCs w:val="22"/>
          <w:lang w:eastAsia="zh-CN"/>
        </w:rPr>
        <w:t>（2）土壤理化性质</w:t>
      </w:r>
    </w:p>
    <w:p>
      <w:pPr>
        <w:spacing w:line="360" w:lineRule="auto"/>
        <w:ind w:firstLine="480" w:firstLineChars="200"/>
        <w:rPr>
          <w:rFonts w:hAnsi="Times New Roman" w:eastAsia="宋体"/>
          <w:szCs w:val="24"/>
          <w:lang w:eastAsia="zh-CN"/>
        </w:rPr>
      </w:pPr>
      <w:r>
        <w:rPr>
          <w:rFonts w:hAnsi="Times New Roman" w:eastAsia="宋体"/>
          <w:szCs w:val="24"/>
          <w:lang w:eastAsia="zh-CN"/>
        </w:rPr>
        <w:t>本次评价在TS2、TS3、TS4点取土壤表层土壤进行理化性质调查，本次土壤理化特性调查结果如下表。</w:t>
      </w:r>
    </w:p>
    <w:p>
      <w:pPr>
        <w:pStyle w:val="14"/>
        <w:kinsoku w:val="0"/>
        <w:overflowPunct w:val="0"/>
        <w:spacing w:line="360" w:lineRule="auto"/>
        <w:jc w:val="center"/>
        <w:rPr>
          <w:rFonts w:ascii="Times New Roman" w:hAnsi="Times New Roman"/>
          <w:b/>
          <w:kern w:val="0"/>
          <w:sz w:val="21"/>
          <w:szCs w:val="21"/>
          <w:lang w:eastAsia="zh-CN"/>
        </w:rPr>
      </w:pPr>
      <w:r>
        <w:rPr>
          <w:rFonts w:ascii="Times New Roman" w:hAnsi="Times New Roman"/>
          <w:b/>
          <w:kern w:val="0"/>
          <w:sz w:val="21"/>
          <w:szCs w:val="21"/>
          <w:lang w:eastAsia="zh-CN"/>
        </w:rPr>
        <w:t>表 10.2-1</w:t>
      </w:r>
      <w:r>
        <w:rPr>
          <w:rFonts w:ascii="Times New Roman" w:hAnsi="Times New Roman"/>
          <w:b/>
          <w:kern w:val="0"/>
          <w:sz w:val="21"/>
          <w:szCs w:val="21"/>
          <w:lang w:eastAsia="zh-CN"/>
        </w:rPr>
        <w:tab/>
      </w:r>
      <w:r>
        <w:rPr>
          <w:rFonts w:ascii="Times New Roman" w:hAnsi="Times New Roman"/>
          <w:b/>
          <w:kern w:val="0"/>
          <w:sz w:val="21"/>
          <w:szCs w:val="21"/>
          <w:lang w:eastAsia="zh-CN"/>
        </w:rPr>
        <w:t>土壤理化性质调查表</w:t>
      </w:r>
    </w:p>
    <w:tbl>
      <w:tblPr>
        <w:tblStyle w:val="3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18"/>
        <w:gridCol w:w="1486"/>
        <w:gridCol w:w="2430"/>
        <w:gridCol w:w="2164"/>
        <w:gridCol w:w="20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0" w:type="pct"/>
            <w:gridSpan w:val="2"/>
            <w:vMerge w:val="restart"/>
            <w:tcBorders>
              <w:top w:val="single" w:color="auto" w:sz="4" w:space="0"/>
              <w:left w:val="single" w:color="auto" w:sz="4" w:space="0"/>
              <w:bottom w:val="single" w:color="auto" w:sz="4" w:space="0"/>
              <w:tl2br w:val="single" w:color="auto" w:sz="4" w:space="0"/>
            </w:tcBorders>
            <w:tcMar>
              <w:top w:w="57" w:type="dxa"/>
              <w:left w:w="0" w:type="dxa"/>
              <w:bottom w:w="57" w:type="dxa"/>
              <w:right w:w="0" w:type="dxa"/>
            </w:tcMar>
            <w:vAlign w:val="center"/>
          </w:tcPr>
          <w:p>
            <w:pPr>
              <w:keepNext w:val="0"/>
              <w:keepLines w:val="0"/>
              <w:suppressLineNumbers w:val="0"/>
              <w:spacing w:before="0" w:beforeAutospacing="0" w:after="0" w:afterAutospacing="0"/>
              <w:ind w:left="0" w:right="0"/>
              <w:jc w:val="right"/>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检测点位及</w:t>
            </w:r>
          </w:p>
          <w:p>
            <w:pPr>
              <w:keepNext w:val="0"/>
              <w:keepLines w:val="0"/>
              <w:suppressLineNumbers w:val="0"/>
              <w:spacing w:before="0" w:beforeAutospacing="0" w:after="0" w:afterAutospacing="0"/>
              <w:ind w:left="0" w:right="0"/>
              <w:jc w:val="right"/>
              <w:rPr>
                <w:rFonts w:hint="eastAsia" w:hAnsi="Times New Roman" w:eastAsia="宋体"/>
                <w:b/>
                <w:bCs/>
                <w:kern w:val="2"/>
                <w:sz w:val="21"/>
                <w:szCs w:val="21"/>
                <w:lang w:eastAsia="zh-CN"/>
              </w:rPr>
            </w:pPr>
            <w:r>
              <w:rPr>
                <w:rFonts w:hint="eastAsia" w:hAnsi="Times New Roman" w:eastAsia="宋体"/>
                <w:b/>
                <w:bCs/>
                <w:kern w:val="2"/>
                <w:sz w:val="21"/>
                <w:szCs w:val="21"/>
                <w:lang w:eastAsia="zh-CN"/>
              </w:rPr>
              <w:t>经纬度</w:t>
            </w:r>
          </w:p>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b/>
                <w:bCs/>
                <w:kern w:val="2"/>
                <w:sz w:val="21"/>
                <w:szCs w:val="21"/>
              </w:rPr>
              <w:t>检测项目</w:t>
            </w:r>
          </w:p>
        </w:tc>
        <w:tc>
          <w:tcPr>
            <w:tcW w:w="1330" w:type="pct"/>
            <w:vMerge w:val="restart"/>
            <w:tcBorders>
              <w:top w:val="single" w:color="auto" w:sz="4" w:space="0"/>
              <w:bottom w:val="single" w:color="auto" w:sz="4" w:space="0"/>
              <w:tl2br w:val="nil"/>
              <w:tr2bl w:val="nil"/>
            </w:tcBorders>
            <w:tcMar>
              <w:top w:w="57" w:type="dxa"/>
              <w:left w:w="0" w:type="dxa"/>
              <w:bottom w:w="57"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b/>
                <w:bCs/>
                <w:kern w:val="2"/>
                <w:sz w:val="21"/>
                <w:szCs w:val="21"/>
                <w:lang w:eastAsia="zh-CN"/>
              </w:rPr>
              <w:t>TS2，项目占地范围外</w:t>
            </w:r>
          </w:p>
        </w:tc>
        <w:tc>
          <w:tcPr>
            <w:tcW w:w="1184" w:type="pct"/>
            <w:vMerge w:val="restart"/>
            <w:tcBorders>
              <w:top w:val="single" w:color="auto" w:sz="4" w:space="0"/>
              <w:bottom w:val="single" w:color="auto" w:sz="4" w:space="0"/>
              <w:tl2br w:val="nil"/>
              <w:tr2bl w:val="nil"/>
            </w:tcBorders>
            <w:tcMar>
              <w:top w:w="57" w:type="dxa"/>
              <w:left w:w="0" w:type="dxa"/>
              <w:bottom w:w="57"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TS3，项目占地范围外</w:t>
            </w:r>
          </w:p>
        </w:tc>
        <w:tc>
          <w:tcPr>
            <w:tcW w:w="1116" w:type="pct"/>
            <w:vMerge w:val="restart"/>
            <w:tcBorders>
              <w:top w:val="single" w:color="auto" w:sz="4" w:space="0"/>
              <w:bottom w:val="single" w:color="auto" w:sz="4" w:space="0"/>
              <w:right w:val="single" w:color="auto" w:sz="4" w:space="0"/>
              <w:tl2br w:val="nil"/>
              <w:tr2bl w:val="nil"/>
            </w:tcBorders>
            <w:tcMar>
              <w:top w:w="57" w:type="dxa"/>
              <w:left w:w="0" w:type="dxa"/>
              <w:bottom w:w="57" w:type="dxa"/>
              <w:right w:w="0" w:type="dxa"/>
            </w:tcMar>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TS4，工业广场范围内员工宿舍旁绿化带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0" w:type="pct"/>
            <w:gridSpan w:val="2"/>
            <w:vMerge w:val="continue"/>
            <w:tcBorders>
              <w:top w:val="single" w:color="auto" w:sz="4" w:space="0"/>
              <w:left w:val="single" w:color="auto" w:sz="4" w:space="0"/>
              <w:bottom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p>
        </w:tc>
        <w:tc>
          <w:tcPr>
            <w:tcW w:w="1330" w:type="pct"/>
            <w:vMerge w:val="continue"/>
            <w:tcBorders>
              <w:top w:val="single" w:color="auto" w:sz="4" w:space="0"/>
              <w:bottom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p>
        </w:tc>
        <w:tc>
          <w:tcPr>
            <w:tcW w:w="1184" w:type="pct"/>
            <w:vMerge w:val="continue"/>
            <w:tcBorders>
              <w:top w:val="single" w:color="auto" w:sz="4" w:space="0"/>
              <w:bottom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p>
        </w:tc>
        <w:tc>
          <w:tcPr>
            <w:tcW w:w="1116" w:type="pct"/>
            <w:vMerge w:val="continue"/>
            <w:tcBorders>
              <w:top w:val="single" w:color="auto" w:sz="4" w:space="0"/>
              <w:bottom w:val="single" w:color="auto" w:sz="4" w:space="0"/>
              <w:right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0" w:type="pct"/>
            <w:gridSpan w:val="2"/>
            <w:tcBorders>
              <w:top w:val="single" w:color="auto" w:sz="4" w:space="0"/>
              <w:left w:val="single" w:color="auto" w:sz="4" w:space="0"/>
              <w:bottom w:val="single" w:color="auto" w:sz="4" w:space="0"/>
              <w:right w:val="single" w:color="auto" w:sz="4" w:space="0"/>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b/>
                <w:bCs/>
                <w:kern w:val="2"/>
                <w:sz w:val="21"/>
                <w:szCs w:val="21"/>
                <w:lang w:eastAsia="zh-CN"/>
              </w:rPr>
              <w:t>取样深度</w:t>
            </w:r>
          </w:p>
        </w:tc>
        <w:tc>
          <w:tcPr>
            <w:tcW w:w="1330" w:type="pct"/>
            <w:tcBorders>
              <w:top w:val="single" w:color="auto" w:sz="4" w:space="0"/>
              <w:left w:val="single" w:color="auto" w:sz="4" w:space="0"/>
              <w:bottom w:val="single" w:color="auto" w:sz="4" w:space="0"/>
              <w:right w:val="single" w:color="auto" w:sz="4" w:space="0"/>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rPr>
              <w:t>0~0.</w:t>
            </w:r>
            <w:r>
              <w:rPr>
                <w:rFonts w:hint="eastAsia" w:hAnsi="Times New Roman" w:eastAsia="宋体"/>
                <w:kern w:val="2"/>
                <w:sz w:val="21"/>
                <w:szCs w:val="21"/>
                <w:lang w:eastAsia="zh-CN"/>
              </w:rPr>
              <w:t>2</w:t>
            </w:r>
            <w:r>
              <w:rPr>
                <w:rFonts w:hint="eastAsia" w:hAnsi="Times New Roman" w:eastAsia="宋体"/>
                <w:kern w:val="2"/>
                <w:sz w:val="21"/>
                <w:szCs w:val="21"/>
              </w:rPr>
              <w:t>m</w:t>
            </w:r>
          </w:p>
        </w:tc>
        <w:tc>
          <w:tcPr>
            <w:tcW w:w="1184" w:type="pct"/>
            <w:tcBorders>
              <w:top w:val="single" w:color="auto" w:sz="4" w:space="0"/>
              <w:left w:val="single" w:color="auto" w:sz="4" w:space="0"/>
              <w:bottom w:val="single" w:color="auto" w:sz="4" w:space="0"/>
              <w:right w:val="single" w:color="auto" w:sz="4" w:space="0"/>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rPr>
              <w:t>0~0.</w:t>
            </w:r>
            <w:r>
              <w:rPr>
                <w:rFonts w:hint="eastAsia" w:hAnsi="Times New Roman" w:eastAsia="宋体"/>
                <w:kern w:val="2"/>
                <w:sz w:val="21"/>
                <w:szCs w:val="21"/>
                <w:lang w:eastAsia="zh-CN"/>
              </w:rPr>
              <w:t>2</w:t>
            </w:r>
            <w:r>
              <w:rPr>
                <w:rFonts w:hint="eastAsia" w:hAnsi="Times New Roman" w:eastAsia="宋体"/>
                <w:kern w:val="2"/>
                <w:sz w:val="21"/>
                <w:szCs w:val="21"/>
              </w:rPr>
              <w:t>m</w:t>
            </w:r>
          </w:p>
        </w:tc>
        <w:tc>
          <w:tcPr>
            <w:tcW w:w="1116" w:type="pct"/>
            <w:tcBorders>
              <w:top w:val="single" w:color="auto" w:sz="4" w:space="0"/>
              <w:left w:val="single" w:color="auto" w:sz="4" w:space="0"/>
              <w:bottom w:val="single" w:color="auto" w:sz="4" w:space="0"/>
              <w:right w:val="single" w:color="auto" w:sz="4" w:space="0"/>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rPr>
              <w:t>0~0.</w:t>
            </w:r>
            <w:r>
              <w:rPr>
                <w:rFonts w:hint="eastAsia" w:hAnsi="Times New Roman" w:eastAsia="宋体"/>
                <w:kern w:val="2"/>
                <w:sz w:val="21"/>
                <w:szCs w:val="21"/>
                <w:lang w:eastAsia="zh-CN"/>
              </w:rPr>
              <w:t>2</w:t>
            </w:r>
            <w:r>
              <w:rPr>
                <w:rFonts w:hint="eastAsia" w:hAnsi="Times New Roman" w:eastAsia="宋体"/>
                <w:kern w:val="2"/>
                <w:sz w:val="21"/>
                <w:szCs w:val="21"/>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57" w:type="pct"/>
            <w:vMerge w:val="restart"/>
            <w:tcBorders>
              <w:top w:val="single" w:color="auto" w:sz="4" w:space="0"/>
              <w:left w:val="single" w:color="auto" w:sz="4" w:space="0"/>
              <w:bottom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b/>
                <w:bCs/>
                <w:kern w:val="2"/>
                <w:sz w:val="21"/>
                <w:szCs w:val="21"/>
              </w:rPr>
            </w:pPr>
            <w:r>
              <w:rPr>
                <w:rFonts w:hint="eastAsia" w:hAnsi="Times New Roman" w:eastAsia="宋体"/>
                <w:b/>
                <w:bCs/>
                <w:kern w:val="2"/>
                <w:sz w:val="21"/>
                <w:szCs w:val="21"/>
                <w:lang w:eastAsia="zh-CN"/>
              </w:rPr>
              <w:t>现场记录</w:t>
            </w:r>
          </w:p>
        </w:tc>
        <w:tc>
          <w:tcPr>
            <w:tcW w:w="813" w:type="pct"/>
            <w:tcBorders>
              <w:top w:val="single" w:color="auto" w:sz="4" w:space="0"/>
              <w:bottom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颜色</w:t>
            </w:r>
          </w:p>
        </w:tc>
        <w:tc>
          <w:tcPr>
            <w:tcW w:w="1330" w:type="pct"/>
            <w:tcBorders>
              <w:top w:val="single" w:color="auto" w:sz="4" w:space="0"/>
              <w:bottom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黄棕色</w:t>
            </w:r>
          </w:p>
        </w:tc>
        <w:tc>
          <w:tcPr>
            <w:tcW w:w="1184" w:type="pct"/>
            <w:tcBorders>
              <w:top w:val="single" w:color="auto" w:sz="4" w:space="0"/>
              <w:bottom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黄棕色</w:t>
            </w:r>
          </w:p>
        </w:tc>
        <w:tc>
          <w:tcPr>
            <w:tcW w:w="1116" w:type="pct"/>
            <w:tcBorders>
              <w:top w:val="single" w:color="auto" w:sz="4" w:space="0"/>
              <w:bottom w:val="single" w:color="auto" w:sz="4" w:space="0"/>
              <w:right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红棕色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57" w:type="pct"/>
            <w:vMerge w:val="continue"/>
            <w:tcBorders>
              <w:top w:val="single" w:color="auto" w:sz="4" w:space="0"/>
              <w:left w:val="single" w:color="auto" w:sz="4" w:space="0"/>
              <w:bottom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b/>
                <w:bCs/>
                <w:kern w:val="2"/>
                <w:sz w:val="21"/>
                <w:szCs w:val="21"/>
              </w:rPr>
            </w:pPr>
          </w:p>
        </w:tc>
        <w:tc>
          <w:tcPr>
            <w:tcW w:w="813" w:type="pct"/>
            <w:tcBorders>
              <w:top w:val="single" w:color="auto" w:sz="4" w:space="0"/>
              <w:bottom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结构</w:t>
            </w:r>
          </w:p>
        </w:tc>
        <w:tc>
          <w:tcPr>
            <w:tcW w:w="1330" w:type="pct"/>
            <w:tcBorders>
              <w:top w:val="single" w:color="auto" w:sz="4" w:space="0"/>
              <w:bottom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团粒状</w:t>
            </w:r>
          </w:p>
        </w:tc>
        <w:tc>
          <w:tcPr>
            <w:tcW w:w="1184" w:type="pct"/>
            <w:tcBorders>
              <w:top w:val="single" w:color="auto" w:sz="4" w:space="0"/>
              <w:bottom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团粒状</w:t>
            </w:r>
          </w:p>
        </w:tc>
        <w:tc>
          <w:tcPr>
            <w:tcW w:w="1116" w:type="pct"/>
            <w:tcBorders>
              <w:top w:val="single" w:color="auto" w:sz="4" w:space="0"/>
              <w:bottom w:val="single" w:color="auto" w:sz="4" w:space="0"/>
              <w:right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团粒状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57" w:type="pct"/>
            <w:vMerge w:val="continue"/>
            <w:tcBorders>
              <w:top w:val="single" w:color="auto" w:sz="4" w:space="0"/>
              <w:left w:val="single" w:color="auto" w:sz="4" w:space="0"/>
              <w:bottom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 xml:space="preserve"> </w:t>
            </w:r>
          </w:p>
        </w:tc>
        <w:tc>
          <w:tcPr>
            <w:tcW w:w="813" w:type="pct"/>
            <w:tcBorders>
              <w:top w:val="single" w:color="auto" w:sz="4" w:space="0"/>
              <w:bottom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质地</w:t>
            </w:r>
          </w:p>
        </w:tc>
        <w:tc>
          <w:tcPr>
            <w:tcW w:w="1330" w:type="pct"/>
            <w:tcBorders>
              <w:top w:val="single" w:color="auto" w:sz="4" w:space="0"/>
              <w:bottom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砂土</w:t>
            </w:r>
          </w:p>
        </w:tc>
        <w:tc>
          <w:tcPr>
            <w:tcW w:w="1184" w:type="pct"/>
            <w:tcBorders>
              <w:top w:val="single" w:color="auto" w:sz="4" w:space="0"/>
              <w:bottom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中壤土</w:t>
            </w:r>
          </w:p>
        </w:tc>
        <w:tc>
          <w:tcPr>
            <w:tcW w:w="1116" w:type="pct"/>
            <w:tcBorders>
              <w:top w:val="single" w:color="auto" w:sz="4" w:space="0"/>
              <w:bottom w:val="single" w:color="auto" w:sz="4" w:space="0"/>
              <w:right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砂土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57" w:type="pct"/>
            <w:vMerge w:val="continue"/>
            <w:tcBorders>
              <w:top w:val="single" w:color="auto" w:sz="4" w:space="0"/>
              <w:left w:val="single" w:color="auto" w:sz="4" w:space="0"/>
              <w:bottom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b/>
                <w:bCs/>
                <w:kern w:val="2"/>
                <w:sz w:val="21"/>
                <w:szCs w:val="21"/>
              </w:rPr>
            </w:pPr>
          </w:p>
        </w:tc>
        <w:tc>
          <w:tcPr>
            <w:tcW w:w="813" w:type="pct"/>
            <w:tcBorders>
              <w:top w:val="single" w:color="auto" w:sz="4" w:space="0"/>
              <w:bottom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砂砾含量</w:t>
            </w:r>
          </w:p>
        </w:tc>
        <w:tc>
          <w:tcPr>
            <w:tcW w:w="1330" w:type="pct"/>
            <w:tcBorders>
              <w:top w:val="single" w:color="auto" w:sz="4" w:space="0"/>
              <w:bottom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30%～45%</w:t>
            </w:r>
          </w:p>
        </w:tc>
        <w:tc>
          <w:tcPr>
            <w:tcW w:w="1184" w:type="pct"/>
            <w:tcBorders>
              <w:top w:val="single" w:color="auto" w:sz="4" w:space="0"/>
              <w:bottom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1%～4%</w:t>
            </w:r>
          </w:p>
        </w:tc>
        <w:tc>
          <w:tcPr>
            <w:tcW w:w="1116" w:type="pct"/>
            <w:tcBorders>
              <w:top w:val="single" w:color="auto" w:sz="4" w:space="0"/>
              <w:bottom w:val="single" w:color="auto" w:sz="4" w:space="0"/>
              <w:right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30%～45%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57" w:type="pct"/>
            <w:vMerge w:val="continue"/>
            <w:tcBorders>
              <w:top w:val="single" w:color="auto" w:sz="4" w:space="0"/>
              <w:left w:val="single" w:color="auto" w:sz="4" w:space="0"/>
              <w:bottom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b/>
                <w:bCs/>
                <w:kern w:val="2"/>
                <w:sz w:val="21"/>
                <w:szCs w:val="21"/>
              </w:rPr>
            </w:pPr>
          </w:p>
        </w:tc>
        <w:tc>
          <w:tcPr>
            <w:tcW w:w="813" w:type="pct"/>
            <w:tcBorders>
              <w:top w:val="single" w:color="auto" w:sz="4" w:space="0"/>
              <w:bottom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其他异物</w:t>
            </w:r>
          </w:p>
        </w:tc>
        <w:tc>
          <w:tcPr>
            <w:tcW w:w="1330" w:type="pct"/>
            <w:tcBorders>
              <w:top w:val="single" w:color="auto" w:sz="4" w:space="0"/>
              <w:bottom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少量草根</w:t>
            </w:r>
          </w:p>
        </w:tc>
        <w:tc>
          <w:tcPr>
            <w:tcW w:w="1184" w:type="pct"/>
            <w:tcBorders>
              <w:top w:val="single" w:color="auto" w:sz="4" w:space="0"/>
              <w:bottom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中量草根</w:t>
            </w:r>
          </w:p>
        </w:tc>
        <w:tc>
          <w:tcPr>
            <w:tcW w:w="1116" w:type="pct"/>
            <w:tcBorders>
              <w:top w:val="single" w:color="auto" w:sz="4" w:space="0"/>
              <w:bottom w:val="single" w:color="auto" w:sz="4" w:space="0"/>
              <w:right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少量草根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57" w:type="pct"/>
            <w:vMerge w:val="restart"/>
            <w:tcBorders>
              <w:top w:val="single" w:color="auto" w:sz="4" w:space="0"/>
              <w:left w:val="single" w:color="auto" w:sz="4" w:space="0"/>
              <w:bottom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实验室</w:t>
            </w:r>
          </w:p>
          <w:p>
            <w:pPr>
              <w:keepNext w:val="0"/>
              <w:keepLines w:val="0"/>
              <w:widowControl/>
              <w:suppressLineNumbers w:val="0"/>
              <w:spacing w:before="0" w:beforeAutospacing="0" w:after="0" w:afterAutospacing="0"/>
              <w:ind w:left="0" w:right="0"/>
              <w:jc w:val="center"/>
              <w:textAlignment w:val="center"/>
              <w:rPr>
                <w:rFonts w:hint="eastAsia" w:hAnsi="Times New Roman" w:eastAsia="宋体"/>
                <w:b/>
                <w:bCs/>
                <w:kern w:val="2"/>
                <w:sz w:val="21"/>
                <w:szCs w:val="21"/>
              </w:rPr>
            </w:pPr>
            <w:r>
              <w:rPr>
                <w:rFonts w:hint="eastAsia" w:hAnsi="Times New Roman" w:eastAsia="宋体"/>
                <w:b/>
                <w:bCs/>
                <w:kern w:val="2"/>
                <w:sz w:val="21"/>
                <w:szCs w:val="21"/>
                <w:lang w:eastAsia="zh-CN"/>
              </w:rPr>
              <w:t>测定</w:t>
            </w:r>
          </w:p>
        </w:tc>
        <w:tc>
          <w:tcPr>
            <w:tcW w:w="813" w:type="pct"/>
            <w:tcBorders>
              <w:top w:val="single" w:color="auto" w:sz="4" w:space="0"/>
              <w:bottom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pH（无量纲）</w:t>
            </w:r>
          </w:p>
        </w:tc>
        <w:tc>
          <w:tcPr>
            <w:tcW w:w="1330" w:type="pct"/>
            <w:tcBorders>
              <w:top w:val="single" w:color="auto" w:sz="4" w:space="0"/>
              <w:bottom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6.90</w:t>
            </w:r>
          </w:p>
        </w:tc>
        <w:tc>
          <w:tcPr>
            <w:tcW w:w="1184" w:type="pct"/>
            <w:tcBorders>
              <w:top w:val="single" w:color="auto" w:sz="4" w:space="0"/>
              <w:bottom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7.18</w:t>
            </w:r>
          </w:p>
        </w:tc>
        <w:tc>
          <w:tcPr>
            <w:tcW w:w="1116" w:type="pct"/>
            <w:tcBorders>
              <w:top w:val="single" w:color="auto" w:sz="4" w:space="0"/>
              <w:bottom w:val="single" w:color="auto" w:sz="4" w:space="0"/>
              <w:right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7.14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57" w:type="pct"/>
            <w:vMerge w:val="continue"/>
            <w:tcBorders>
              <w:top w:val="single" w:color="auto" w:sz="4" w:space="0"/>
              <w:left w:val="single" w:color="auto" w:sz="4" w:space="0"/>
              <w:bottom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p>
        </w:tc>
        <w:tc>
          <w:tcPr>
            <w:tcW w:w="813" w:type="pct"/>
            <w:tcBorders>
              <w:top w:val="single" w:color="auto" w:sz="4" w:space="0"/>
              <w:bottom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阳离子交换量*（</w:t>
            </w:r>
            <w:r>
              <w:rPr>
                <w:rFonts w:hint="eastAsia" w:hAnsi="Times New Roman" w:eastAsia="宋体"/>
                <w:kern w:val="2"/>
                <w:sz w:val="21"/>
                <w:szCs w:val="21"/>
                <w:lang w:eastAsia="zh-CN" w:bidi="ar"/>
              </w:rPr>
              <w:t>cmol</w:t>
            </w:r>
            <w:r>
              <w:rPr>
                <w:rFonts w:hint="eastAsia" w:hAnsi="Times New Roman" w:eastAsia="宋体"/>
                <w:kern w:val="2"/>
                <w:sz w:val="21"/>
                <w:szCs w:val="21"/>
                <w:vertAlign w:val="superscript"/>
                <w:lang w:eastAsia="zh-CN" w:bidi="ar"/>
              </w:rPr>
              <w:t>+</w:t>
            </w:r>
            <w:r>
              <w:rPr>
                <w:rFonts w:hint="eastAsia" w:hAnsi="Times New Roman" w:eastAsia="宋体"/>
                <w:kern w:val="2"/>
                <w:sz w:val="21"/>
                <w:szCs w:val="21"/>
                <w:lang w:eastAsia="zh-CN" w:bidi="ar"/>
              </w:rPr>
              <w:t>/kg</w:t>
            </w:r>
            <w:r>
              <w:rPr>
                <w:rFonts w:hint="eastAsia" w:hAnsi="Times New Roman" w:eastAsia="宋体"/>
                <w:kern w:val="2"/>
                <w:sz w:val="21"/>
                <w:szCs w:val="21"/>
                <w:lang w:eastAsia="zh-CN"/>
              </w:rPr>
              <w:t>）</w:t>
            </w:r>
          </w:p>
        </w:tc>
        <w:tc>
          <w:tcPr>
            <w:tcW w:w="1330" w:type="pct"/>
            <w:tcBorders>
              <w:top w:val="single" w:color="auto" w:sz="4" w:space="0"/>
              <w:bottom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11.4</w:t>
            </w:r>
          </w:p>
        </w:tc>
        <w:tc>
          <w:tcPr>
            <w:tcW w:w="1184" w:type="pct"/>
            <w:tcBorders>
              <w:top w:val="single" w:color="auto" w:sz="4" w:space="0"/>
              <w:bottom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13.5</w:t>
            </w:r>
          </w:p>
        </w:tc>
        <w:tc>
          <w:tcPr>
            <w:tcW w:w="1116" w:type="pct"/>
            <w:tcBorders>
              <w:top w:val="single" w:color="auto" w:sz="4" w:space="0"/>
              <w:bottom w:val="single" w:color="auto" w:sz="4" w:space="0"/>
              <w:right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15.7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57" w:type="pct"/>
            <w:vMerge w:val="continue"/>
            <w:tcBorders>
              <w:top w:val="single" w:color="auto" w:sz="4" w:space="0"/>
              <w:left w:val="single" w:color="auto" w:sz="4" w:space="0"/>
              <w:bottom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p>
        </w:tc>
        <w:tc>
          <w:tcPr>
            <w:tcW w:w="813" w:type="pct"/>
            <w:tcBorders>
              <w:top w:val="single" w:color="auto" w:sz="4" w:space="0"/>
              <w:bottom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氧化还原电位（mV）</w:t>
            </w:r>
          </w:p>
        </w:tc>
        <w:tc>
          <w:tcPr>
            <w:tcW w:w="1330" w:type="pct"/>
            <w:tcBorders>
              <w:top w:val="single" w:color="auto" w:sz="4" w:space="0"/>
              <w:bottom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540</w:t>
            </w:r>
          </w:p>
        </w:tc>
        <w:tc>
          <w:tcPr>
            <w:tcW w:w="1184" w:type="pct"/>
            <w:tcBorders>
              <w:top w:val="single" w:color="auto" w:sz="4" w:space="0"/>
              <w:bottom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473</w:t>
            </w:r>
          </w:p>
        </w:tc>
        <w:tc>
          <w:tcPr>
            <w:tcW w:w="1116" w:type="pct"/>
            <w:tcBorders>
              <w:top w:val="single" w:color="auto" w:sz="4" w:space="0"/>
              <w:bottom w:val="single" w:color="auto" w:sz="4" w:space="0"/>
              <w:right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441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57" w:type="pct"/>
            <w:vMerge w:val="continue"/>
            <w:tcBorders>
              <w:top w:val="single" w:color="auto" w:sz="4" w:space="0"/>
              <w:left w:val="single" w:color="auto" w:sz="4" w:space="0"/>
              <w:bottom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p>
        </w:tc>
        <w:tc>
          <w:tcPr>
            <w:tcW w:w="813" w:type="pct"/>
            <w:tcBorders>
              <w:top w:val="single" w:color="auto" w:sz="4" w:space="0"/>
              <w:bottom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饱和导水率*（cm/s）</w:t>
            </w:r>
          </w:p>
        </w:tc>
        <w:tc>
          <w:tcPr>
            <w:tcW w:w="1330" w:type="pct"/>
            <w:tcBorders>
              <w:top w:val="single" w:color="auto" w:sz="4" w:space="0"/>
              <w:bottom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1.13×10</w:t>
            </w:r>
            <w:r>
              <w:rPr>
                <w:rFonts w:hint="eastAsia" w:hAnsi="Times New Roman" w:eastAsia="宋体"/>
                <w:kern w:val="2"/>
                <w:sz w:val="21"/>
                <w:szCs w:val="21"/>
                <w:vertAlign w:val="superscript"/>
                <w:lang w:eastAsia="zh-CN"/>
              </w:rPr>
              <w:t>-3</w:t>
            </w:r>
          </w:p>
        </w:tc>
        <w:tc>
          <w:tcPr>
            <w:tcW w:w="1184" w:type="pct"/>
            <w:tcBorders>
              <w:top w:val="single" w:color="auto" w:sz="4" w:space="0"/>
              <w:bottom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9.96×10</w:t>
            </w:r>
            <w:r>
              <w:rPr>
                <w:rFonts w:hint="eastAsia" w:hAnsi="Times New Roman" w:eastAsia="宋体"/>
                <w:kern w:val="2"/>
                <w:sz w:val="21"/>
                <w:szCs w:val="21"/>
                <w:vertAlign w:val="superscript"/>
                <w:lang w:eastAsia="zh-CN"/>
              </w:rPr>
              <w:t>-3</w:t>
            </w:r>
          </w:p>
        </w:tc>
        <w:tc>
          <w:tcPr>
            <w:tcW w:w="1116" w:type="pct"/>
            <w:tcBorders>
              <w:top w:val="single" w:color="auto" w:sz="4" w:space="0"/>
              <w:bottom w:val="single" w:color="auto" w:sz="4" w:space="0"/>
              <w:right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1.16×10</w:t>
            </w:r>
            <w:r>
              <w:rPr>
                <w:rFonts w:hint="eastAsia" w:hAnsi="Times New Roman" w:eastAsia="宋体"/>
                <w:kern w:val="2"/>
                <w:sz w:val="21"/>
                <w:szCs w:val="21"/>
                <w:vertAlign w:val="superscript"/>
                <w:lang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57" w:type="pct"/>
            <w:vMerge w:val="continue"/>
            <w:tcBorders>
              <w:top w:val="single" w:color="auto" w:sz="4" w:space="0"/>
              <w:left w:val="single" w:color="auto" w:sz="4" w:space="0"/>
              <w:bottom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p>
        </w:tc>
        <w:tc>
          <w:tcPr>
            <w:tcW w:w="813" w:type="pct"/>
            <w:tcBorders>
              <w:top w:val="single" w:color="auto" w:sz="4" w:space="0"/>
              <w:bottom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r>
              <w:rPr>
                <w:rFonts w:hint="eastAsia" w:hAnsi="Times New Roman" w:eastAsia="宋体"/>
                <w:kern w:val="2"/>
                <w:sz w:val="21"/>
                <w:szCs w:val="21"/>
                <w:lang w:eastAsia="zh-CN"/>
              </w:rPr>
              <w:t>土壤容重*（</w:t>
            </w:r>
            <w:r>
              <w:rPr>
                <w:rFonts w:hint="eastAsia" w:hAnsi="Times New Roman" w:eastAsia="宋体"/>
                <w:kern w:val="2"/>
                <w:szCs w:val="21"/>
                <w:lang w:eastAsia="zh-CN" w:bidi="ar"/>
              </w:rPr>
              <w:t>g/cm</w:t>
            </w:r>
            <w:r>
              <w:rPr>
                <w:rFonts w:hint="eastAsia" w:hAnsi="Times New Roman" w:eastAsia="宋体"/>
                <w:kern w:val="2"/>
                <w:szCs w:val="21"/>
                <w:vertAlign w:val="superscript"/>
                <w:lang w:eastAsia="zh-CN" w:bidi="ar"/>
              </w:rPr>
              <w:t>3</w:t>
            </w:r>
            <w:r>
              <w:rPr>
                <w:rFonts w:hint="eastAsia" w:hAnsi="Times New Roman" w:eastAsia="宋体"/>
                <w:kern w:val="2"/>
                <w:sz w:val="21"/>
                <w:szCs w:val="21"/>
                <w:lang w:eastAsia="zh-CN"/>
              </w:rPr>
              <w:t>）</w:t>
            </w:r>
          </w:p>
        </w:tc>
        <w:tc>
          <w:tcPr>
            <w:tcW w:w="1330" w:type="pct"/>
            <w:tcBorders>
              <w:top w:val="single" w:color="auto" w:sz="4" w:space="0"/>
              <w:bottom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1.03</w:t>
            </w:r>
          </w:p>
        </w:tc>
        <w:tc>
          <w:tcPr>
            <w:tcW w:w="1184" w:type="pct"/>
            <w:tcBorders>
              <w:top w:val="single" w:color="auto" w:sz="4" w:space="0"/>
              <w:bottom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1.26</w:t>
            </w:r>
          </w:p>
        </w:tc>
        <w:tc>
          <w:tcPr>
            <w:tcW w:w="1116" w:type="pct"/>
            <w:tcBorders>
              <w:top w:val="single" w:color="auto" w:sz="4" w:space="0"/>
              <w:bottom w:val="single" w:color="auto" w:sz="4" w:space="0"/>
              <w:right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1.03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57" w:type="pct"/>
            <w:vMerge w:val="continue"/>
            <w:tcBorders>
              <w:top w:val="single" w:color="auto" w:sz="4" w:space="0"/>
              <w:left w:val="single" w:color="auto" w:sz="4" w:space="0"/>
              <w:bottom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rPr>
            </w:pPr>
          </w:p>
        </w:tc>
        <w:tc>
          <w:tcPr>
            <w:tcW w:w="813" w:type="pct"/>
            <w:tcBorders>
              <w:top w:val="single" w:color="auto" w:sz="4" w:space="0"/>
              <w:bottom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孔隙度*（%）</w:t>
            </w:r>
          </w:p>
        </w:tc>
        <w:tc>
          <w:tcPr>
            <w:tcW w:w="1330" w:type="pct"/>
            <w:tcBorders>
              <w:top w:val="single" w:color="auto" w:sz="4" w:space="0"/>
              <w:bottom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60.8</w:t>
            </w:r>
          </w:p>
        </w:tc>
        <w:tc>
          <w:tcPr>
            <w:tcW w:w="1184" w:type="pct"/>
            <w:tcBorders>
              <w:top w:val="single" w:color="auto" w:sz="4" w:space="0"/>
              <w:bottom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52.8</w:t>
            </w:r>
          </w:p>
        </w:tc>
        <w:tc>
          <w:tcPr>
            <w:tcW w:w="1116" w:type="pct"/>
            <w:tcBorders>
              <w:top w:val="single" w:color="auto" w:sz="4" w:space="0"/>
              <w:bottom w:val="single" w:color="auto" w:sz="4" w:space="0"/>
              <w:right w:val="single" w:color="auto" w:sz="4" w:space="0"/>
              <w:tl2br w:val="nil"/>
              <w:tr2bl w:val="nil"/>
            </w:tcBorders>
            <w:tcMar>
              <w:top w:w="57" w:type="dxa"/>
              <w:left w:w="0" w:type="dxa"/>
              <w:bottom w:w="57"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eastAsia" w:hAnsi="Times New Roman" w:eastAsia="宋体"/>
                <w:kern w:val="2"/>
                <w:sz w:val="21"/>
                <w:szCs w:val="21"/>
                <w:lang w:eastAsia="zh-CN"/>
              </w:rPr>
            </w:pPr>
            <w:r>
              <w:rPr>
                <w:rFonts w:hint="eastAsia" w:hAnsi="Times New Roman" w:eastAsia="宋体"/>
                <w:kern w:val="2"/>
                <w:sz w:val="21"/>
                <w:szCs w:val="21"/>
                <w:lang w:eastAsia="zh-CN"/>
              </w:rPr>
              <w:t>61.0</w:t>
            </w:r>
          </w:p>
        </w:tc>
      </w:tr>
    </w:tbl>
    <w:p>
      <w:pPr>
        <w:spacing w:line="360" w:lineRule="auto"/>
        <w:ind w:firstLine="482" w:firstLineChars="200"/>
        <w:rPr>
          <w:rFonts w:hAnsi="Times New Roman" w:eastAsia="宋体"/>
          <w:b/>
          <w:bCs/>
          <w:szCs w:val="22"/>
          <w:lang w:eastAsia="zh-CN"/>
        </w:rPr>
      </w:pPr>
      <w:r>
        <w:rPr>
          <w:rFonts w:hAnsi="Times New Roman" w:eastAsia="宋体"/>
          <w:b/>
          <w:bCs/>
          <w:szCs w:val="22"/>
          <w:lang w:eastAsia="zh-CN"/>
        </w:rPr>
        <w:t>（3）土壤环境质量</w:t>
      </w:r>
    </w:p>
    <w:p>
      <w:pPr>
        <w:spacing w:line="360" w:lineRule="auto"/>
        <w:ind w:firstLine="480" w:firstLineChars="200"/>
        <w:rPr>
          <w:rFonts w:hAnsi="Times New Roman" w:eastAsia="宋体"/>
          <w:szCs w:val="24"/>
          <w:highlight w:val="yellow"/>
          <w:lang w:eastAsia="zh-CN"/>
        </w:rPr>
      </w:pPr>
      <w:r>
        <w:rPr>
          <w:rFonts w:hAnsi="Times New Roman" w:eastAsia="宋体"/>
          <w:szCs w:val="24"/>
          <w:lang w:eastAsia="zh-CN"/>
        </w:rPr>
        <w:t>为查明评价区域的土壤环境质量现状，按照《环境影响评价技术导则 土壤环境》（HJ964-2018）中相关要求，本次共设土壤环境监测点6个</w:t>
      </w:r>
      <w:r>
        <w:rPr>
          <w:rFonts w:hint="eastAsia" w:hAnsi="Times New Roman" w:eastAsia="宋体"/>
          <w:szCs w:val="24"/>
          <w:lang w:eastAsia="zh-CN"/>
        </w:rPr>
        <w:t>（</w:t>
      </w:r>
      <w:r>
        <w:rPr>
          <w:rFonts w:hAnsi="Times New Roman" w:eastAsia="宋体"/>
          <w:szCs w:val="24"/>
          <w:lang w:eastAsia="zh-CN"/>
        </w:rPr>
        <w:t>其中拟建厂址厂内1个表层样点和3个柱状样点，厂址外2个表层样点</w:t>
      </w:r>
      <w:r>
        <w:rPr>
          <w:rFonts w:hint="eastAsia" w:hAnsi="Times New Roman" w:eastAsia="宋体"/>
          <w:szCs w:val="24"/>
          <w:lang w:eastAsia="zh-CN"/>
        </w:rPr>
        <w:t>）</w:t>
      </w:r>
      <w:r>
        <w:rPr>
          <w:rFonts w:hAnsi="Times New Roman" w:eastAsia="宋体"/>
          <w:szCs w:val="24"/>
          <w:lang w:eastAsia="zh-CN"/>
        </w:rPr>
        <w:t>。土壤监测取样方法和分析按照《土壤环境监测技术规范》（HJ/T 166-2004）进行。TS1、TS4、TS5、TS6为建设用地、TS2、TS3为农用地。</w:t>
      </w:r>
    </w:p>
    <w:p>
      <w:pPr>
        <w:spacing w:line="360" w:lineRule="auto"/>
        <w:ind w:firstLine="480" w:firstLineChars="200"/>
        <w:rPr>
          <w:rFonts w:hAnsi="Times New Roman" w:eastAsia="宋体"/>
          <w:szCs w:val="24"/>
          <w:lang w:eastAsia="zh-CN"/>
        </w:rPr>
      </w:pPr>
      <w:r>
        <w:rPr>
          <w:rFonts w:hAnsi="Times New Roman" w:eastAsia="宋体"/>
          <w:szCs w:val="24"/>
          <w:lang w:eastAsia="zh-CN"/>
        </w:rPr>
        <w:t>根据环境现状调查与评价章节可知，项目评价区域内TS1、TS4、TS5、TS6土壤监测点位中各评价因子的浓度值满足《土壤环境质量建设用地土壤污染风险管控标准（试行）》（GB36600-2018）表 1 中第二类用地筛选值要求；厂址外TS2、TS3土壤监测点属于农用地，该点位中各评价因子的浓度值满足《土壤环境质量 农用地土壤污染风险管控标准（试行）》（GB15618-2018）基本项目风险筛选值，本项目内土壤环境质量状况良好。</w:t>
      </w:r>
    </w:p>
    <w:p>
      <w:pPr>
        <w:spacing w:line="360" w:lineRule="auto"/>
        <w:ind w:firstLine="482" w:firstLineChars="200"/>
        <w:rPr>
          <w:rFonts w:hAnsi="Times New Roman" w:eastAsia="宋体"/>
          <w:b/>
          <w:bCs/>
          <w:szCs w:val="22"/>
          <w:lang w:eastAsia="zh-CN"/>
        </w:rPr>
      </w:pPr>
      <w:r>
        <w:rPr>
          <w:rFonts w:hAnsi="Times New Roman" w:eastAsia="宋体"/>
          <w:b/>
          <w:bCs/>
          <w:szCs w:val="22"/>
          <w:lang w:eastAsia="zh-CN"/>
        </w:rPr>
        <w:t>（4）土壤污染源调查</w:t>
      </w:r>
    </w:p>
    <w:p>
      <w:pPr>
        <w:spacing w:line="360" w:lineRule="auto"/>
        <w:ind w:firstLine="480" w:firstLineChars="200"/>
        <w:rPr>
          <w:rFonts w:hAnsi="Times New Roman" w:eastAsia="宋体"/>
          <w:szCs w:val="24"/>
          <w:lang w:eastAsia="zh-CN"/>
        </w:rPr>
      </w:pPr>
      <w:r>
        <w:rPr>
          <w:rFonts w:hAnsi="Times New Roman" w:eastAsia="宋体"/>
          <w:szCs w:val="24"/>
          <w:lang w:eastAsia="zh-CN"/>
        </w:rPr>
        <w:t>项目储煤场地采用封闭式储煤设施，且项目的大气污染物为颗粒物，涉及的污染物在GB15618、GB36600 等标准中均未作出规定，且不涉及重金属和持久性有机物排放。故项目通过大气沉降的方式对土壤环境的影响甚微。</w:t>
      </w:r>
    </w:p>
    <w:p>
      <w:pPr>
        <w:spacing w:line="360" w:lineRule="auto"/>
        <w:ind w:firstLine="480" w:firstLineChars="200"/>
        <w:rPr>
          <w:rFonts w:hAnsi="Times New Roman" w:eastAsia="宋体"/>
          <w:szCs w:val="24"/>
          <w:lang w:eastAsia="zh-CN"/>
        </w:rPr>
      </w:pPr>
      <w:r>
        <w:rPr>
          <w:rFonts w:hAnsi="Times New Roman" w:eastAsia="宋体"/>
          <w:szCs w:val="24"/>
          <w:lang w:eastAsia="zh-CN"/>
        </w:rPr>
        <w:t>项目工业场地内污水处理站可能造成垂直入渗的区域，其污染物</w:t>
      </w:r>
      <w:r>
        <w:rPr>
          <w:rFonts w:hint="eastAsia" w:hAnsi="Times New Roman" w:eastAsia="宋体"/>
          <w:szCs w:val="24"/>
          <w:lang w:eastAsia="zh-CN"/>
        </w:rPr>
        <w:t>主要成分为</w:t>
      </w:r>
      <w:r>
        <w:rPr>
          <w:rFonts w:hAnsi="Times New Roman" w:eastAsia="宋体"/>
          <w:szCs w:val="24"/>
          <w:lang w:eastAsia="zh-CN"/>
        </w:rPr>
        <w:t>COD、氨氮、铁、锰及盐类等，矿井在建设过程中对污水处理站处理蓄水池进行硬化和防渗处理，且污染</w:t>
      </w:r>
      <w:r>
        <w:rPr>
          <w:rFonts w:hint="eastAsia" w:hAnsi="Times New Roman" w:eastAsia="宋体"/>
          <w:szCs w:val="24"/>
          <w:lang w:eastAsia="zh-CN"/>
        </w:rPr>
        <w:t>成分不</w:t>
      </w:r>
      <w:r>
        <w:rPr>
          <w:rFonts w:hAnsi="Times New Roman" w:eastAsia="宋体"/>
          <w:szCs w:val="24"/>
          <w:lang w:eastAsia="zh-CN"/>
        </w:rPr>
        <w:t>含《土壤环境质量建设用地土壤污染风险管控标准》（GB36600-2018）中重金属和无机物、挥发性有机物和半挥发性有机物等有毒有害物质。故污水处理站垂直入渗对土壤环境质量影响较小。</w:t>
      </w:r>
    </w:p>
    <w:p>
      <w:pPr>
        <w:spacing w:line="360" w:lineRule="auto"/>
        <w:ind w:firstLine="480" w:firstLineChars="200"/>
        <w:rPr>
          <w:rFonts w:hAnsi="Times New Roman" w:eastAsia="宋体"/>
          <w:lang w:eastAsia="zh-CN"/>
        </w:rPr>
      </w:pPr>
      <w:r>
        <w:rPr>
          <w:rFonts w:hAnsi="Times New Roman" w:eastAsia="宋体"/>
          <w:lang w:eastAsia="zh-CN"/>
        </w:rPr>
        <w:t>项目危废暂存间涉及少量液态危废（废矿物油），矿井在建设过程中对危废暂存间地面进行硬化和防渗处理。同时，液态危废容器底部均设置有托盘防泄漏，可有效防止液态危废的下渗对土壤造成污染。</w:t>
      </w:r>
    </w:p>
    <w:p>
      <w:pPr>
        <w:pStyle w:val="5"/>
        <w:rPr>
          <w:rFonts w:ascii="Times New Roman" w:hAnsi="Times New Roman"/>
          <w:szCs w:val="22"/>
          <w:lang w:eastAsia="zh-CN"/>
        </w:rPr>
      </w:pPr>
      <w:bookmarkStart w:id="634" w:name="_Toc163749211"/>
      <w:bookmarkStart w:id="635" w:name="_Toc167095309"/>
      <w:bookmarkStart w:id="636" w:name="_Toc17264"/>
      <w:r>
        <w:rPr>
          <w:rFonts w:ascii="Times New Roman" w:hAnsi="Times New Roman"/>
          <w:szCs w:val="22"/>
          <w:lang w:eastAsia="zh-CN"/>
        </w:rPr>
        <w:t>10.3 土壤环境影响分析与评价</w:t>
      </w:r>
      <w:bookmarkEnd w:id="634"/>
      <w:bookmarkEnd w:id="635"/>
      <w:bookmarkEnd w:id="636"/>
    </w:p>
    <w:p>
      <w:pPr>
        <w:pStyle w:val="6"/>
        <w:rPr>
          <w:szCs w:val="22"/>
          <w:lang w:eastAsia="zh-CN"/>
        </w:rPr>
      </w:pPr>
      <w:bookmarkStart w:id="637" w:name="_Toc167095310"/>
      <w:bookmarkStart w:id="638" w:name="_Toc163812687"/>
      <w:r>
        <w:rPr>
          <w:szCs w:val="22"/>
          <w:lang w:eastAsia="zh-CN"/>
        </w:rPr>
        <w:t>10.3.1 生态影响分析与评价</w:t>
      </w:r>
      <w:bookmarkEnd w:id="637"/>
      <w:bookmarkEnd w:id="638"/>
    </w:p>
    <w:p>
      <w:pPr>
        <w:pStyle w:val="14"/>
        <w:overflowPunct w:val="0"/>
        <w:spacing w:line="360" w:lineRule="auto"/>
        <w:ind w:left="602" w:leftChars="251"/>
        <w:rPr>
          <w:rFonts w:ascii="Times New Roman" w:hAnsi="Times New Roman"/>
          <w:bCs w:val="0"/>
          <w:spacing w:val="30"/>
          <w:w w:val="99"/>
          <w:sz w:val="24"/>
        </w:rPr>
      </w:pPr>
      <w:r>
        <w:rPr>
          <w:rFonts w:ascii="Times New Roman" w:hAnsi="Times New Roman"/>
          <w:bCs w:val="0"/>
          <w:sz w:val="24"/>
          <w:lang w:eastAsia="zh-CN"/>
        </w:rPr>
        <w:t>（1）</w:t>
      </w:r>
      <w:r>
        <w:rPr>
          <w:rFonts w:ascii="Times New Roman" w:hAnsi="Times New Roman"/>
          <w:bCs w:val="0"/>
          <w:sz w:val="24"/>
        </w:rPr>
        <w:t>对土地类型变化的影响分析</w:t>
      </w:r>
      <w:r>
        <w:rPr>
          <w:rFonts w:ascii="Times New Roman" w:hAnsi="Times New Roman"/>
          <w:bCs w:val="0"/>
          <w:spacing w:val="30"/>
          <w:w w:val="99"/>
          <w:sz w:val="24"/>
        </w:rPr>
        <w:t xml:space="preserve"> </w:t>
      </w:r>
    </w:p>
    <w:p>
      <w:pPr>
        <w:pStyle w:val="14"/>
        <w:overflowPunct w:val="0"/>
        <w:spacing w:line="360" w:lineRule="auto"/>
        <w:ind w:firstLine="480" w:firstLineChars="200"/>
        <w:rPr>
          <w:rFonts w:ascii="Times New Roman" w:hAnsi="Times New Roman"/>
          <w:spacing w:val="-1"/>
          <w:sz w:val="24"/>
        </w:rPr>
      </w:pPr>
      <w:r>
        <w:rPr>
          <w:rFonts w:ascii="Times New Roman" w:hAnsi="Times New Roman"/>
          <w:sz w:val="24"/>
        </w:rPr>
        <w:t>本工程施工期对生态环境的影响主要表现在施工活动对植被的破坏，根据主体工程总图布置及辅助设施建设情况可知，本项目包括主体工程、公用工程和辅助工程，工程区土地利用现状以林地、灌草丛地为主。本工程为扩建项目，</w:t>
      </w:r>
      <w:r>
        <w:rPr>
          <w:rFonts w:ascii="Times New Roman" w:hAnsi="Times New Roman"/>
          <w:sz w:val="24"/>
          <w:lang w:eastAsia="zh-CN"/>
        </w:rPr>
        <w:t>本项目矿区</w:t>
      </w:r>
      <w:r>
        <w:rPr>
          <w:rFonts w:ascii="Times New Roman" w:hAnsi="Times New Roman"/>
          <w:spacing w:val="-1"/>
          <w:sz w:val="24"/>
        </w:rPr>
        <w:t>范围</w:t>
      </w:r>
      <w:r>
        <w:rPr>
          <w:rFonts w:ascii="Times New Roman" w:hAnsi="Times New Roman"/>
          <w:spacing w:val="-1"/>
          <w:sz w:val="24"/>
          <w:lang w:eastAsia="zh-CN"/>
        </w:rPr>
        <w:t>面积</w:t>
      </w:r>
      <w:r>
        <w:rPr>
          <w:rFonts w:ascii="Times New Roman" w:hAnsi="Times New Roman"/>
          <w:spacing w:val="-1"/>
          <w:sz w:val="24"/>
        </w:rPr>
        <w:t>为</w:t>
      </w:r>
      <w:r>
        <w:rPr>
          <w:rFonts w:ascii="Times New Roman" w:hAnsi="Times New Roman"/>
          <w:spacing w:val="-1"/>
          <w:sz w:val="24"/>
          <w:lang w:eastAsia="zh-CN"/>
        </w:rPr>
        <w:t>3.4715</w:t>
      </w:r>
      <w:r>
        <w:rPr>
          <w:rFonts w:ascii="Times New Roman" w:hAnsi="Times New Roman"/>
          <w:spacing w:val="-1"/>
          <w:sz w:val="24"/>
        </w:rPr>
        <w:t>km</w:t>
      </w:r>
      <w:r>
        <w:rPr>
          <w:rFonts w:ascii="Times New Roman" w:hAnsi="Times New Roman"/>
          <w:spacing w:val="-1"/>
          <w:sz w:val="24"/>
          <w:vertAlign w:val="superscript"/>
        </w:rPr>
        <w:t>2</w:t>
      </w:r>
      <w:r>
        <w:rPr>
          <w:rFonts w:ascii="Times New Roman" w:hAnsi="Times New Roman"/>
          <w:spacing w:val="-1"/>
          <w:sz w:val="24"/>
        </w:rPr>
        <w:t>，项目工业广场总占地为</w:t>
      </w:r>
      <w:r>
        <w:rPr>
          <w:rFonts w:ascii="Times New Roman" w:hAnsi="Times New Roman"/>
          <w:spacing w:val="-1"/>
          <w:sz w:val="24"/>
          <w:lang w:eastAsia="zh-CN"/>
        </w:rPr>
        <w:t>0.046k</w:t>
      </w:r>
      <w:r>
        <w:rPr>
          <w:rFonts w:ascii="Times New Roman" w:hAnsi="Times New Roman"/>
          <w:spacing w:val="-1"/>
          <w:sz w:val="24"/>
        </w:rPr>
        <w:t>m</w:t>
      </w:r>
      <w:r>
        <w:rPr>
          <w:rFonts w:ascii="Times New Roman" w:hAnsi="Times New Roman"/>
          <w:spacing w:val="-1"/>
          <w:position w:val="11"/>
          <w:sz w:val="16"/>
        </w:rPr>
        <w:t>2</w:t>
      </w:r>
      <w:r>
        <w:rPr>
          <w:rFonts w:ascii="Times New Roman" w:hAnsi="Times New Roman"/>
          <w:spacing w:val="-1"/>
          <w:sz w:val="24"/>
        </w:rPr>
        <w:t>，项目工程总面积为</w:t>
      </w:r>
      <w:r>
        <w:rPr>
          <w:rFonts w:ascii="Times New Roman" w:hAnsi="Times New Roman"/>
          <w:spacing w:val="-1"/>
          <w:sz w:val="24"/>
          <w:lang w:eastAsia="zh-CN"/>
        </w:rPr>
        <w:t>35175</w:t>
      </w:r>
      <w:r>
        <w:rPr>
          <w:rFonts w:ascii="Times New Roman" w:hAnsi="Times New Roman"/>
          <w:spacing w:val="-1"/>
          <w:sz w:val="24"/>
        </w:rPr>
        <w:t>km</w:t>
      </w:r>
      <w:r>
        <w:rPr>
          <w:rFonts w:ascii="Times New Roman" w:hAnsi="Times New Roman"/>
          <w:spacing w:val="-1"/>
          <w:position w:val="11"/>
          <w:sz w:val="16"/>
        </w:rPr>
        <w:t>2</w:t>
      </w:r>
      <w:r>
        <w:rPr>
          <w:rFonts w:ascii="Times New Roman" w:hAnsi="Times New Roman"/>
          <w:spacing w:val="-1"/>
          <w:sz w:val="24"/>
        </w:rPr>
        <w:t>，本扩建项目无新增工程占地。</w:t>
      </w:r>
    </w:p>
    <w:p>
      <w:pPr>
        <w:pStyle w:val="14"/>
        <w:overflowPunct w:val="0"/>
        <w:spacing w:line="360" w:lineRule="auto"/>
        <w:ind w:firstLine="480" w:firstLineChars="200"/>
        <w:rPr>
          <w:rFonts w:ascii="Times New Roman" w:hAnsi="Times New Roman"/>
          <w:sz w:val="24"/>
        </w:rPr>
      </w:pPr>
      <w:r>
        <w:rPr>
          <w:rFonts w:ascii="Times New Roman" w:hAnsi="Times New Roman"/>
          <w:sz w:val="24"/>
        </w:rPr>
        <w:t>项目直接影响的土地利用类型是林地，在建设和投入运营后，工业场地、风井场地和炸药库永久占地区域的修建会对该区域的用地类型产生一定的影响，但是项目永久占地面积仅占总面积的</w:t>
      </w:r>
      <w:r>
        <w:rPr>
          <w:rFonts w:ascii="Times New Roman" w:hAnsi="Times New Roman"/>
          <w:sz w:val="24"/>
          <w:lang w:eastAsia="zh-CN"/>
        </w:rPr>
        <w:t>1.33</w:t>
      </w:r>
      <w:r>
        <w:rPr>
          <w:rFonts w:ascii="Times New Roman" w:hAnsi="Times New Roman"/>
          <w:spacing w:val="-1"/>
          <w:sz w:val="24"/>
        </w:rPr>
        <w:t>%</w:t>
      </w:r>
      <w:r>
        <w:rPr>
          <w:rFonts w:ascii="Times New Roman" w:hAnsi="Times New Roman"/>
          <w:spacing w:val="-24"/>
          <w:sz w:val="24"/>
        </w:rPr>
        <w:t>，</w:t>
      </w:r>
      <w:r>
        <w:rPr>
          <w:rFonts w:ascii="Times New Roman" w:hAnsi="Times New Roman"/>
          <w:sz w:val="24"/>
        </w:rPr>
        <w:t>所占的比例极小</w:t>
      </w:r>
      <w:r>
        <w:rPr>
          <w:rFonts w:ascii="Times New Roman" w:hAnsi="Times New Roman"/>
          <w:spacing w:val="-24"/>
          <w:sz w:val="24"/>
        </w:rPr>
        <w:t>，</w:t>
      </w:r>
      <w:r>
        <w:rPr>
          <w:rFonts w:ascii="Times New Roman" w:hAnsi="Times New Roman"/>
          <w:sz w:val="24"/>
        </w:rPr>
        <w:t>整体上不会改变评价区内现有的土地利用类型的基本格局。但是土地是一种无法再生的资源，在工程建设中应当尽可能少的占用土地，严格在征地红线范围内施工，最大限度节约土地资源。</w:t>
      </w:r>
    </w:p>
    <w:p>
      <w:pPr>
        <w:pStyle w:val="14"/>
        <w:overflowPunct w:val="0"/>
        <w:spacing w:line="360" w:lineRule="auto"/>
        <w:ind w:firstLine="480" w:firstLineChars="200"/>
        <w:rPr>
          <w:rFonts w:ascii="Times New Roman" w:hAnsi="Times New Roman"/>
          <w:bCs w:val="0"/>
          <w:sz w:val="24"/>
        </w:rPr>
      </w:pPr>
      <w:bookmarkStart w:id="639" w:name="10.3.2对占用林地的影响分析"/>
      <w:bookmarkEnd w:id="639"/>
      <w:r>
        <w:rPr>
          <w:rFonts w:ascii="Times New Roman" w:hAnsi="Times New Roman"/>
          <w:bCs w:val="0"/>
          <w:sz w:val="24"/>
          <w:lang w:eastAsia="zh-CN"/>
        </w:rPr>
        <w:t>（2）</w:t>
      </w:r>
      <w:r>
        <w:rPr>
          <w:rFonts w:ascii="Times New Roman" w:hAnsi="Times New Roman"/>
          <w:bCs w:val="0"/>
          <w:sz w:val="24"/>
        </w:rPr>
        <w:t>对占用林地的影响分析</w:t>
      </w:r>
    </w:p>
    <w:p>
      <w:pPr>
        <w:pStyle w:val="14"/>
        <w:overflowPunct w:val="0"/>
        <w:spacing w:line="360" w:lineRule="auto"/>
        <w:ind w:firstLine="480" w:firstLineChars="200"/>
        <w:rPr>
          <w:rFonts w:ascii="Times New Roman" w:hAnsi="Times New Roman"/>
          <w:sz w:val="24"/>
        </w:rPr>
      </w:pPr>
      <w:r>
        <w:rPr>
          <w:rFonts w:ascii="Times New Roman" w:hAnsi="Times New Roman"/>
          <w:sz w:val="24"/>
        </w:rPr>
        <w:t>工程影响评价区</w:t>
      </w:r>
      <w:r>
        <w:rPr>
          <w:rFonts w:hint="eastAsia" w:ascii="Times New Roman" w:hAnsi="Times New Roman"/>
          <w:sz w:val="24"/>
          <w:lang w:eastAsia="zh-CN"/>
        </w:rPr>
        <w:t>海拔</w:t>
      </w:r>
      <w:r>
        <w:rPr>
          <w:rFonts w:ascii="Times New Roman" w:hAnsi="Times New Roman"/>
          <w:sz w:val="24"/>
        </w:rPr>
        <w:t>介于3</w:t>
      </w:r>
      <w:r>
        <w:rPr>
          <w:rFonts w:ascii="Times New Roman" w:hAnsi="Times New Roman"/>
          <w:sz w:val="24"/>
          <w:lang w:eastAsia="zh-CN"/>
        </w:rPr>
        <w:t>74</w:t>
      </w:r>
      <w:r>
        <w:rPr>
          <w:rFonts w:ascii="Times New Roman" w:hAnsi="Times New Roman"/>
          <w:sz w:val="24"/>
        </w:rPr>
        <w:t>～</w:t>
      </w:r>
      <w:r>
        <w:rPr>
          <w:rFonts w:ascii="Times New Roman" w:hAnsi="Times New Roman"/>
          <w:sz w:val="24"/>
          <w:lang w:eastAsia="zh-CN"/>
        </w:rPr>
        <w:t>922</w:t>
      </w:r>
      <w:r>
        <w:rPr>
          <w:rFonts w:ascii="Times New Roman" w:hAnsi="Times New Roman"/>
          <w:sz w:val="24"/>
        </w:rPr>
        <w:t>m之间</w:t>
      </w:r>
      <w:r>
        <w:rPr>
          <w:rFonts w:ascii="Times New Roman" w:hAnsi="Times New Roman"/>
          <w:sz w:val="24"/>
          <w:lang w:eastAsia="zh-CN"/>
        </w:rPr>
        <w:t>，</w:t>
      </w:r>
      <w:r>
        <w:rPr>
          <w:rFonts w:ascii="Times New Roman" w:hAnsi="Times New Roman"/>
          <w:sz w:val="24"/>
        </w:rPr>
        <w:t>其植被类型的形成与分布受山地 垂直地带的影响较为显著。项目所在地为独特的亚热带湿润季风气候区，区域内分布有杜鹃花科、蔷薇科、禾本科等植物，群落结构相对比较简单，乔木分布较少。</w:t>
      </w:r>
    </w:p>
    <w:p>
      <w:pPr>
        <w:pStyle w:val="14"/>
        <w:overflowPunct w:val="0"/>
        <w:spacing w:line="360" w:lineRule="auto"/>
        <w:ind w:firstLine="480" w:firstLineChars="200"/>
        <w:rPr>
          <w:rFonts w:ascii="Times New Roman" w:hAnsi="Times New Roman"/>
          <w:sz w:val="24"/>
        </w:rPr>
      </w:pPr>
      <w:r>
        <w:rPr>
          <w:rFonts w:ascii="Times New Roman" w:hAnsi="Times New Roman"/>
          <w:sz w:val="24"/>
        </w:rPr>
        <w:t>根据生态现状调查资料，评价区部分区域内有少量乔木分布，但工程林地占用</w:t>
      </w:r>
      <w:r>
        <w:rPr>
          <w:rFonts w:ascii="Times New Roman" w:hAnsi="Times New Roman"/>
          <w:spacing w:val="-1"/>
          <w:sz w:val="24"/>
        </w:rPr>
        <w:t>面积</w:t>
      </w:r>
      <w:r>
        <w:rPr>
          <w:rFonts w:ascii="Times New Roman" w:hAnsi="Times New Roman"/>
          <w:spacing w:val="-1"/>
          <w:sz w:val="24"/>
          <w:lang w:eastAsia="zh-CN"/>
        </w:rPr>
        <w:t>约</w:t>
      </w:r>
      <w:r>
        <w:rPr>
          <w:rFonts w:ascii="Times New Roman" w:hAnsi="Times New Roman"/>
          <w:spacing w:val="-1"/>
          <w:sz w:val="24"/>
        </w:rPr>
        <w:t>为0.0</w:t>
      </w:r>
      <w:r>
        <w:rPr>
          <w:rFonts w:ascii="Times New Roman" w:hAnsi="Times New Roman"/>
          <w:spacing w:val="-1"/>
          <w:sz w:val="24"/>
          <w:lang w:eastAsia="zh-CN"/>
        </w:rPr>
        <w:t>31</w:t>
      </w:r>
      <w:r>
        <w:rPr>
          <w:rFonts w:ascii="Times New Roman" w:hAnsi="Times New Roman"/>
          <w:spacing w:val="-1"/>
          <w:sz w:val="24"/>
        </w:rPr>
        <w:t>km</w:t>
      </w:r>
      <w:r>
        <w:rPr>
          <w:rFonts w:ascii="Times New Roman" w:hAnsi="Times New Roman"/>
          <w:spacing w:val="-1"/>
          <w:position w:val="11"/>
          <w:sz w:val="16"/>
        </w:rPr>
        <w:t>2</w:t>
      </w:r>
      <w:r>
        <w:rPr>
          <w:rFonts w:ascii="Times New Roman" w:hAnsi="Times New Roman"/>
          <w:spacing w:val="-1"/>
          <w:sz w:val="24"/>
        </w:rPr>
        <w:t>，仅占总面积的</w:t>
      </w:r>
      <w:r>
        <w:rPr>
          <w:rFonts w:ascii="Times New Roman" w:hAnsi="Times New Roman"/>
          <w:spacing w:val="-1"/>
          <w:sz w:val="24"/>
          <w:lang w:eastAsia="zh-CN"/>
        </w:rPr>
        <w:t>0.88</w:t>
      </w:r>
      <w:r>
        <w:rPr>
          <w:rFonts w:ascii="Times New Roman" w:hAnsi="Times New Roman"/>
          <w:spacing w:val="-1"/>
          <w:sz w:val="24"/>
        </w:rPr>
        <w:t>%。因此，该项目对林地的影响较小，且可</w:t>
      </w:r>
      <w:r>
        <w:rPr>
          <w:rFonts w:ascii="Times New Roman" w:hAnsi="Times New Roman"/>
          <w:sz w:val="24"/>
        </w:rPr>
        <w:t>以通过施工布置和施工组织优化、避让等措施，尽量选择荒坡荒地；同时采取对临 时占地及时进行草地施肥等高标准的生态修复措施，最大程度补偿工程建设造成的 损失，尽量减少影响。</w:t>
      </w:r>
    </w:p>
    <w:p>
      <w:pPr>
        <w:pStyle w:val="14"/>
        <w:overflowPunct w:val="0"/>
        <w:spacing w:line="360" w:lineRule="auto"/>
        <w:ind w:left="586" w:leftChars="244" w:right="70"/>
        <w:rPr>
          <w:rFonts w:ascii="Times New Roman" w:hAnsi="Times New Roman"/>
          <w:bCs w:val="0"/>
          <w:spacing w:val="26"/>
          <w:w w:val="99"/>
          <w:sz w:val="24"/>
        </w:rPr>
      </w:pPr>
      <w:r>
        <w:rPr>
          <w:rFonts w:ascii="Times New Roman" w:hAnsi="Times New Roman"/>
          <w:bCs w:val="0"/>
          <w:sz w:val="24"/>
          <w:lang w:eastAsia="zh-CN"/>
        </w:rPr>
        <w:t>（3）</w:t>
      </w:r>
      <w:r>
        <w:rPr>
          <w:rFonts w:ascii="Times New Roman" w:hAnsi="Times New Roman"/>
          <w:bCs w:val="0"/>
          <w:sz w:val="24"/>
        </w:rPr>
        <w:t>土壤质量影响分析</w:t>
      </w:r>
      <w:r>
        <w:rPr>
          <w:rFonts w:ascii="Times New Roman" w:hAnsi="Times New Roman"/>
          <w:bCs w:val="0"/>
          <w:spacing w:val="26"/>
          <w:w w:val="99"/>
          <w:sz w:val="24"/>
        </w:rPr>
        <w:t xml:space="preserve"> </w:t>
      </w:r>
    </w:p>
    <w:p>
      <w:pPr>
        <w:pStyle w:val="14"/>
        <w:overflowPunct w:val="0"/>
        <w:spacing w:line="360" w:lineRule="auto"/>
        <w:ind w:right="70" w:firstLine="480" w:firstLineChars="200"/>
        <w:rPr>
          <w:rFonts w:ascii="Times New Roman" w:hAnsi="Times New Roman"/>
          <w:sz w:val="24"/>
        </w:rPr>
      </w:pPr>
      <w:r>
        <w:rPr>
          <w:rFonts w:ascii="Times New Roman" w:hAnsi="Times New Roman"/>
          <w:sz w:val="24"/>
        </w:rPr>
        <w:t>采矿直接影响到的土壤不多，但项目的开发建设，会破坏区域内的植被，造成土壤风蚀作用加强，抗侵蚀能力降低，车辆行驶还破坏土壤结构，使土壤板结，透气性和保水性变差。废渣、矸石进入土壤会影响土壤的质地和结构，使土壤有效土层变薄、土壤质地沙化，导致土地的土壤肥力下降。水土流失会导致土壤有机质流失，土壤结构遭到破坏，土壤中的氮、磷和有机质及无机盐含量下降，同时土壤中的动物、微生物及其衍生物数量也大大降低。</w:t>
      </w:r>
    </w:p>
    <w:p>
      <w:pPr>
        <w:pStyle w:val="14"/>
        <w:overflowPunct w:val="0"/>
        <w:spacing w:line="360" w:lineRule="auto"/>
        <w:ind w:right="199" w:firstLine="480"/>
        <w:rPr>
          <w:rFonts w:ascii="Times New Roman" w:hAnsi="Times New Roman"/>
          <w:sz w:val="24"/>
        </w:rPr>
      </w:pPr>
      <w:r>
        <w:rPr>
          <w:rFonts w:ascii="Times New Roman" w:hAnsi="Times New Roman"/>
          <w:sz w:val="24"/>
        </w:rPr>
        <w:t xml:space="preserve">从静态分析，矿山粉尘在土壤中累积会增强土壤粘结性，造成土壤板结，并且 降低了土壤孔隙度，使土壤表层严重结壳，阻碍土壤与大气的气体交换，从而抑制 土壤微生物活动，影响土壤地力正常发挥，降低了土壤肥力。据安徽农学院研究， </w:t>
      </w:r>
      <w:r>
        <w:rPr>
          <w:rFonts w:ascii="Times New Roman" w:hAnsi="Times New Roman"/>
          <w:spacing w:val="-1"/>
          <w:sz w:val="24"/>
        </w:rPr>
        <w:t>粉尘对土壤影响的试验结果，粉尘量达到每年每kg土壤接纳2g粉尘条件下，经过20</w:t>
      </w:r>
      <w:r>
        <w:rPr>
          <w:rFonts w:ascii="Times New Roman" w:hAnsi="Times New Roman"/>
          <w:sz w:val="24"/>
        </w:rPr>
        <w:t>年的积累，方对土壤产生明显影响，本次矿山开发排尘强度远低于该数值，所以不会对土壤理化性质产生明显影响。</w:t>
      </w:r>
    </w:p>
    <w:p>
      <w:pPr>
        <w:pStyle w:val="6"/>
        <w:rPr>
          <w:szCs w:val="22"/>
          <w:lang w:eastAsia="zh-CN"/>
        </w:rPr>
      </w:pPr>
      <w:bookmarkStart w:id="640" w:name="_Toc163812688"/>
      <w:bookmarkStart w:id="641" w:name="_Toc167095311"/>
      <w:r>
        <w:rPr>
          <w:szCs w:val="22"/>
          <w:lang w:eastAsia="zh-CN"/>
        </w:rPr>
        <w:t>10.3.2 污染影响分析与评价</w:t>
      </w:r>
      <w:bookmarkEnd w:id="640"/>
      <w:bookmarkEnd w:id="641"/>
    </w:p>
    <w:p>
      <w:pPr>
        <w:pStyle w:val="14"/>
        <w:overflowPunct w:val="0"/>
        <w:spacing w:line="360" w:lineRule="auto"/>
        <w:ind w:left="586" w:leftChars="244" w:right="70"/>
        <w:rPr>
          <w:rFonts w:ascii="Times New Roman" w:hAnsi="Times New Roman"/>
          <w:bCs w:val="0"/>
          <w:sz w:val="24"/>
          <w:lang w:eastAsia="zh-CN"/>
        </w:rPr>
      </w:pPr>
      <w:r>
        <w:rPr>
          <w:rFonts w:ascii="Times New Roman" w:hAnsi="Times New Roman"/>
          <w:bCs w:val="0"/>
          <w:sz w:val="24"/>
          <w:lang w:eastAsia="zh-CN"/>
        </w:rPr>
        <w:t>（1）地面漫流</w:t>
      </w:r>
    </w:p>
    <w:p>
      <w:pPr>
        <w:spacing w:line="360" w:lineRule="auto"/>
        <w:ind w:firstLine="480" w:firstLineChars="200"/>
        <w:rPr>
          <w:rFonts w:hAnsi="Times New Roman" w:eastAsia="宋体"/>
          <w:szCs w:val="24"/>
          <w:lang w:eastAsia="zh-CN"/>
        </w:rPr>
      </w:pPr>
      <w:r>
        <w:rPr>
          <w:rFonts w:hAnsi="Times New Roman" w:eastAsia="宋体"/>
          <w:szCs w:val="24"/>
          <w:lang w:eastAsia="zh-CN"/>
        </w:rPr>
        <w:t>对于地上设施，在事故情况和降雨情况下产生的废水会发生地面漫流，进一步污染土壤。企业按要求在危废暂存间设置围堰，企业应做到全面防控事故废水和可能受污染的雨水发生地面漫流，从而进入土壤污染环境。在全面落实事故废水防控措施的情况下，物料或污染物的地面漫流对土壤影响较小。</w:t>
      </w:r>
    </w:p>
    <w:p>
      <w:pPr>
        <w:pStyle w:val="14"/>
        <w:overflowPunct w:val="0"/>
        <w:spacing w:line="360" w:lineRule="auto"/>
        <w:ind w:left="586" w:leftChars="244" w:right="70"/>
        <w:rPr>
          <w:rFonts w:ascii="Times New Roman" w:hAnsi="Times New Roman"/>
          <w:bCs w:val="0"/>
          <w:sz w:val="24"/>
          <w:lang w:eastAsia="zh-CN"/>
        </w:rPr>
      </w:pPr>
      <w:r>
        <w:rPr>
          <w:rFonts w:ascii="Times New Roman" w:hAnsi="Times New Roman"/>
          <w:bCs w:val="0"/>
          <w:sz w:val="24"/>
          <w:lang w:eastAsia="zh-CN"/>
        </w:rPr>
        <w:t>（2）垂直入渗</w:t>
      </w:r>
    </w:p>
    <w:p>
      <w:pPr>
        <w:spacing w:line="360" w:lineRule="auto"/>
        <w:ind w:firstLine="480" w:firstLineChars="200"/>
        <w:rPr>
          <w:rFonts w:hAnsi="Times New Roman" w:eastAsia="宋体"/>
          <w:szCs w:val="24"/>
          <w:lang w:eastAsia="zh-CN"/>
        </w:rPr>
      </w:pPr>
      <w:r>
        <w:rPr>
          <w:rFonts w:hAnsi="Times New Roman" w:eastAsia="宋体"/>
          <w:szCs w:val="24"/>
          <w:lang w:eastAsia="zh-CN"/>
        </w:rPr>
        <w:t>对于厂区内地下工程构筑物，在事故情况下，污染物和危险废物等的泄漏会通过垂直入渗进一步污染土壤。本项目参照本报告提出的“地下水防渗措施”要求，根据场地特性和项目特征，制定分区防渗，各防渗分区满足《环境影响评价技术导则 地下水环境》（HJ610-2016）中防渗技术要求，可从污染源头和途径上减少因物料泄漏、入渗污染土壤。</w:t>
      </w:r>
    </w:p>
    <w:p>
      <w:pPr>
        <w:spacing w:line="360" w:lineRule="auto"/>
        <w:ind w:firstLine="480" w:firstLineChars="200"/>
        <w:rPr>
          <w:rFonts w:hAnsi="Times New Roman" w:eastAsia="宋体"/>
          <w:szCs w:val="24"/>
          <w:lang w:eastAsia="zh-CN"/>
        </w:rPr>
      </w:pPr>
      <w:r>
        <w:rPr>
          <w:rFonts w:hAnsi="Times New Roman" w:eastAsia="宋体"/>
          <w:szCs w:val="24"/>
          <w:lang w:eastAsia="zh-CN"/>
        </w:rPr>
        <w:t>综上，在全面落实分区防渗措施的情况下，物料或污染物的垂直入渗对土壤影响较小。</w:t>
      </w:r>
    </w:p>
    <w:p>
      <w:pPr>
        <w:pStyle w:val="5"/>
        <w:rPr>
          <w:rFonts w:ascii="Times New Roman" w:hAnsi="Times New Roman"/>
          <w:szCs w:val="22"/>
          <w:lang w:eastAsia="zh-CN"/>
        </w:rPr>
      </w:pPr>
      <w:bookmarkStart w:id="642" w:name="_Toc163749212"/>
      <w:bookmarkStart w:id="643" w:name="_Toc167095312"/>
      <w:bookmarkStart w:id="644" w:name="_Toc323"/>
      <w:r>
        <w:rPr>
          <w:rFonts w:ascii="Times New Roman" w:hAnsi="Times New Roman"/>
          <w:szCs w:val="22"/>
          <w:lang w:eastAsia="zh-CN"/>
        </w:rPr>
        <w:t>10.4 土壤环境保护措施与对策</w:t>
      </w:r>
      <w:bookmarkEnd w:id="642"/>
      <w:bookmarkEnd w:id="643"/>
      <w:bookmarkEnd w:id="644"/>
    </w:p>
    <w:p>
      <w:pPr>
        <w:spacing w:line="360" w:lineRule="auto"/>
        <w:ind w:firstLine="480" w:firstLineChars="200"/>
        <w:rPr>
          <w:rFonts w:hAnsi="Times New Roman" w:eastAsia="宋体"/>
          <w:lang w:eastAsia="zh-CN"/>
        </w:rPr>
      </w:pPr>
      <w:r>
        <w:rPr>
          <w:rFonts w:hAnsi="Times New Roman" w:eastAsia="宋体"/>
          <w:lang w:eastAsia="zh-CN"/>
        </w:rPr>
        <w:t>（1）源头控制</w:t>
      </w:r>
    </w:p>
    <w:p>
      <w:pPr>
        <w:spacing w:line="360" w:lineRule="auto"/>
        <w:ind w:firstLine="480" w:firstLineChars="200"/>
        <w:rPr>
          <w:rFonts w:hAnsi="Times New Roman" w:eastAsia="宋体"/>
          <w:lang w:eastAsia="zh-CN"/>
        </w:rPr>
      </w:pPr>
      <w:r>
        <w:rPr>
          <w:rFonts w:hAnsi="Times New Roman" w:eastAsia="宋体"/>
          <w:lang w:eastAsia="zh-CN"/>
        </w:rPr>
        <w:t>从开采过程中减少扬尘产生，同时对有害物质可能泄漏到地面的区域采取防渗措施，阻止其进入土壤中，即从源头到末端全方位采取控制措施，防止项目的建设对土壤造成污染。</w:t>
      </w:r>
    </w:p>
    <w:p>
      <w:pPr>
        <w:spacing w:line="360" w:lineRule="auto"/>
        <w:ind w:firstLine="480" w:firstLineChars="200"/>
        <w:rPr>
          <w:rFonts w:hAnsi="Times New Roman" w:eastAsia="宋体"/>
          <w:lang w:eastAsia="zh-CN"/>
        </w:rPr>
      </w:pPr>
      <w:r>
        <w:rPr>
          <w:rFonts w:hAnsi="Times New Roman" w:eastAsia="宋体"/>
          <w:lang w:eastAsia="zh-CN"/>
        </w:rPr>
        <w:t>（2）过程防控</w:t>
      </w:r>
    </w:p>
    <w:p>
      <w:pPr>
        <w:spacing w:line="360" w:lineRule="auto"/>
        <w:ind w:firstLine="480" w:firstLineChars="200"/>
        <w:rPr>
          <w:rFonts w:hAnsi="Times New Roman" w:eastAsia="宋体"/>
          <w:b/>
          <w:bCs/>
          <w:szCs w:val="22"/>
          <w:lang w:eastAsia="zh-CN"/>
        </w:rPr>
      </w:pPr>
      <w:r>
        <w:rPr>
          <w:rFonts w:hAnsi="Times New Roman" w:eastAsia="宋体"/>
          <w:lang w:eastAsia="zh-CN"/>
        </w:rPr>
        <w:t>对工业场地内的矿井水处理站、污水处理站、危废暂存间等可能产生垂直入渗的污染源区进行防渗处理，评价建议可采用天然材料或人工材料构筑防渗层，防渗层厚度应相当于渗透系数1.0×10</w:t>
      </w:r>
      <w:r>
        <w:rPr>
          <w:rFonts w:hAnsi="Times New Roman" w:eastAsia="宋体"/>
          <w:vertAlign w:val="superscript"/>
          <w:lang w:eastAsia="zh-CN"/>
        </w:rPr>
        <w:t>-7</w:t>
      </w:r>
      <w:r>
        <w:rPr>
          <w:rFonts w:hAnsi="Times New Roman" w:eastAsia="宋体"/>
          <w:lang w:eastAsia="zh-CN"/>
        </w:rPr>
        <w:t>cm/s和厚度1.5m的</w:t>
      </w:r>
      <w:r>
        <w:rPr>
          <w:rFonts w:hint="eastAsia" w:hAnsi="Times New Roman" w:eastAsia="宋体"/>
          <w:lang w:eastAsia="zh-CN"/>
        </w:rPr>
        <w:t>黏土层</w:t>
      </w:r>
      <w:r>
        <w:rPr>
          <w:rFonts w:hAnsi="Times New Roman" w:eastAsia="宋体"/>
          <w:lang w:eastAsia="zh-CN"/>
        </w:rPr>
        <w:t>的防渗性能。</w:t>
      </w:r>
    </w:p>
    <w:p>
      <w:pPr>
        <w:pStyle w:val="5"/>
        <w:rPr>
          <w:rFonts w:ascii="Times New Roman" w:hAnsi="Times New Roman"/>
          <w:szCs w:val="22"/>
          <w:lang w:eastAsia="zh-CN"/>
        </w:rPr>
      </w:pPr>
      <w:bookmarkStart w:id="645" w:name="_Toc163749213"/>
      <w:bookmarkStart w:id="646" w:name="_Toc167095313"/>
      <w:r>
        <w:rPr>
          <w:rFonts w:ascii="Times New Roman" w:hAnsi="Times New Roman"/>
          <w:szCs w:val="22"/>
          <w:lang w:eastAsia="zh-CN"/>
        </w:rPr>
        <w:t>10.5 土壤环境影响评价自查表</w:t>
      </w:r>
      <w:bookmarkEnd w:id="645"/>
      <w:bookmarkEnd w:id="646"/>
    </w:p>
    <w:p>
      <w:pPr>
        <w:pStyle w:val="14"/>
        <w:kinsoku w:val="0"/>
        <w:overflowPunct w:val="0"/>
        <w:spacing w:line="360" w:lineRule="auto"/>
        <w:jc w:val="center"/>
        <w:rPr>
          <w:rFonts w:ascii="Times New Roman" w:hAnsi="Times New Roman"/>
          <w:b/>
          <w:kern w:val="0"/>
          <w:sz w:val="21"/>
          <w:szCs w:val="21"/>
          <w:lang w:eastAsia="zh-CN"/>
        </w:rPr>
      </w:pPr>
      <w:r>
        <w:rPr>
          <w:rFonts w:ascii="Times New Roman" w:hAnsi="Times New Roman"/>
          <w:b/>
          <w:kern w:val="0"/>
          <w:sz w:val="21"/>
          <w:szCs w:val="21"/>
          <w:lang w:eastAsia="zh-CN"/>
        </w:rPr>
        <w:t>表10.5-1 项目土壤环境影响评价自查表</w:t>
      </w:r>
    </w:p>
    <w:tbl>
      <w:tblPr>
        <w:tblStyle w:val="3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64"/>
        <w:gridCol w:w="1371"/>
        <w:gridCol w:w="1542"/>
        <w:gridCol w:w="709"/>
        <w:gridCol w:w="2107"/>
        <w:gridCol w:w="621"/>
        <w:gridCol w:w="1071"/>
        <w:gridCol w:w="12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1004" w:type="pct"/>
            <w:gridSpan w:val="2"/>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b/>
                <w:bCs/>
                <w:kern w:val="2"/>
                <w:sz w:val="21"/>
                <w:szCs w:val="21"/>
              </w:rPr>
            </w:pPr>
            <w:r>
              <w:rPr>
                <w:rFonts w:hint="eastAsia" w:hAnsi="Times New Roman" w:eastAsia="宋体"/>
                <w:b/>
                <w:bCs/>
                <w:kern w:val="2"/>
                <w:position w:val="-1"/>
                <w:sz w:val="21"/>
                <w:szCs w:val="21"/>
              </w:rPr>
              <w:t>工作内容</w:t>
            </w:r>
          </w:p>
        </w:tc>
        <w:tc>
          <w:tcPr>
            <w:tcW w:w="3311" w:type="pct"/>
            <w:gridSpan w:val="5"/>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b/>
                <w:bCs/>
                <w:kern w:val="2"/>
                <w:sz w:val="21"/>
                <w:szCs w:val="21"/>
              </w:rPr>
            </w:pPr>
            <w:r>
              <w:rPr>
                <w:rFonts w:hint="eastAsia" w:hAnsi="Times New Roman" w:eastAsia="宋体"/>
                <w:b/>
                <w:bCs/>
                <w:kern w:val="2"/>
                <w:position w:val="-1"/>
                <w:sz w:val="21"/>
                <w:szCs w:val="21"/>
              </w:rPr>
              <w:t>完成情况</w:t>
            </w:r>
          </w:p>
        </w:tc>
        <w:tc>
          <w:tcPr>
            <w:tcW w:w="685"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b/>
                <w:bCs/>
                <w:kern w:val="2"/>
                <w:sz w:val="21"/>
                <w:szCs w:val="21"/>
              </w:rPr>
            </w:pPr>
            <w:r>
              <w:rPr>
                <w:rFonts w:hint="eastAsia" w:hAnsi="Times New Roman" w:eastAsia="宋体"/>
                <w:b/>
                <w:bCs/>
                <w:kern w:val="2"/>
                <w:position w:val="-1"/>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54" w:type="pct"/>
            <w:vMerge w:val="restar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影响 识别</w:t>
            </w:r>
          </w:p>
        </w:tc>
        <w:tc>
          <w:tcPr>
            <w:tcW w:w="750"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position w:val="-1"/>
                <w:sz w:val="21"/>
                <w:szCs w:val="21"/>
              </w:rPr>
              <w:t>影响类型</w:t>
            </w:r>
          </w:p>
        </w:tc>
        <w:tc>
          <w:tcPr>
            <w:tcW w:w="3311" w:type="pct"/>
            <w:gridSpan w:val="5"/>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position w:val="-1"/>
                <w:sz w:val="21"/>
                <w:szCs w:val="21"/>
              </w:rPr>
              <w:t>污染影响型</w:t>
            </w:r>
            <w:r>
              <w:rPr>
                <w:rFonts w:hint="eastAsia" w:hAnsi="Times New Roman" w:eastAsia="宋体"/>
                <w:kern w:val="2"/>
                <w:sz w:val="21"/>
                <w:szCs w:val="21"/>
              </w:rPr>
              <w:sym w:font="Wingdings 2" w:char="00A3"/>
            </w:r>
            <w:r>
              <w:rPr>
                <w:rFonts w:hint="eastAsia" w:hAnsi="Times New Roman" w:eastAsia="宋体"/>
                <w:kern w:val="2"/>
                <w:position w:val="-1"/>
                <w:sz w:val="21"/>
                <w:szCs w:val="21"/>
              </w:rPr>
              <w:t>；生态影响型</w:t>
            </w:r>
            <w:r>
              <w:rPr>
                <w:rFonts w:hint="eastAsia" w:hAnsi="Times New Roman" w:eastAsia="宋体"/>
                <w:kern w:val="2"/>
                <w:sz w:val="21"/>
                <w:szCs w:val="21"/>
              </w:rPr>
              <w:sym w:font="Wingdings 2" w:char="00A3"/>
            </w:r>
            <w:r>
              <w:rPr>
                <w:rFonts w:hint="eastAsia" w:hAnsi="Times New Roman" w:eastAsia="宋体"/>
                <w:kern w:val="2"/>
                <w:position w:val="-1"/>
                <w:sz w:val="21"/>
                <w:szCs w:val="21"/>
              </w:rPr>
              <w:t>；两种兼有</w:t>
            </w:r>
            <w:r>
              <w:rPr>
                <w:rFonts w:hint="eastAsia" w:hAnsi="Times New Roman" w:eastAsia="宋体"/>
                <w:kern w:val="2"/>
                <w:sz w:val="21"/>
                <w:szCs w:val="21"/>
              </w:rPr>
              <w:sym w:font="Wingdings 2" w:char="0052"/>
            </w:r>
          </w:p>
        </w:tc>
        <w:tc>
          <w:tcPr>
            <w:tcW w:w="685"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54" w:type="pct"/>
            <w:vMerge w:val="continue"/>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p>
        </w:tc>
        <w:tc>
          <w:tcPr>
            <w:tcW w:w="750"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土地利用类型</w:t>
            </w:r>
          </w:p>
        </w:tc>
        <w:tc>
          <w:tcPr>
            <w:tcW w:w="3311" w:type="pct"/>
            <w:gridSpan w:val="5"/>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建设用地</w:t>
            </w:r>
            <w:r>
              <w:rPr>
                <w:rFonts w:hint="eastAsia" w:hAnsi="Times New Roman" w:eastAsia="宋体"/>
                <w:kern w:val="2"/>
                <w:sz w:val="21"/>
                <w:szCs w:val="21"/>
              </w:rPr>
              <w:sym w:font="Wingdings 2" w:char="0052"/>
            </w:r>
            <w:r>
              <w:rPr>
                <w:rFonts w:hint="eastAsia" w:hAnsi="Times New Roman" w:eastAsia="宋体"/>
                <w:kern w:val="2"/>
                <w:sz w:val="21"/>
                <w:szCs w:val="21"/>
              </w:rPr>
              <w:t>；农用地</w:t>
            </w:r>
            <w:r>
              <w:rPr>
                <w:rFonts w:hint="eastAsia" w:hAnsi="Times New Roman" w:eastAsia="宋体"/>
                <w:kern w:val="2"/>
                <w:sz w:val="21"/>
                <w:szCs w:val="21"/>
              </w:rPr>
              <w:sym w:font="Wingdings 2" w:char="0052"/>
            </w:r>
            <w:r>
              <w:rPr>
                <w:rFonts w:hint="eastAsia" w:hAnsi="Times New Roman" w:eastAsia="宋体"/>
                <w:kern w:val="2"/>
                <w:sz w:val="21"/>
                <w:szCs w:val="21"/>
              </w:rPr>
              <w:t>；未利用地</w:t>
            </w:r>
            <w:r>
              <w:rPr>
                <w:rFonts w:hint="eastAsia" w:hAnsi="Times New Roman" w:eastAsia="宋体"/>
                <w:kern w:val="2"/>
                <w:sz w:val="21"/>
                <w:szCs w:val="21"/>
              </w:rPr>
              <w:sym w:font="Wingdings 2" w:char="00A3"/>
            </w:r>
          </w:p>
        </w:tc>
        <w:tc>
          <w:tcPr>
            <w:tcW w:w="685"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spacing w:val="10"/>
                <w:kern w:val="2"/>
                <w:position w:val="-1"/>
                <w:sz w:val="21"/>
                <w:szCs w:val="21"/>
              </w:rPr>
            </w:pPr>
            <w:r>
              <w:rPr>
                <w:rFonts w:hint="eastAsia" w:hAnsi="Times New Roman" w:eastAsia="宋体"/>
                <w:spacing w:val="10"/>
                <w:kern w:val="2"/>
                <w:position w:val="-1"/>
                <w:sz w:val="21"/>
                <w:szCs w:val="21"/>
              </w:rPr>
              <w:t>土</w:t>
            </w:r>
            <w:r>
              <w:rPr>
                <w:rFonts w:hint="eastAsia" w:hAnsi="Times New Roman" w:eastAsia="宋体"/>
                <w:spacing w:val="7"/>
                <w:kern w:val="2"/>
                <w:position w:val="-1"/>
                <w:sz w:val="21"/>
                <w:szCs w:val="21"/>
              </w:rPr>
              <w:t>地</w:t>
            </w:r>
            <w:r>
              <w:rPr>
                <w:rFonts w:hint="eastAsia" w:hAnsi="Times New Roman" w:eastAsia="宋体"/>
                <w:spacing w:val="10"/>
                <w:kern w:val="2"/>
                <w:position w:val="-1"/>
                <w:sz w:val="21"/>
                <w:szCs w:val="21"/>
              </w:rPr>
              <w:t>利用</w:t>
            </w:r>
          </w:p>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position w:val="-1"/>
                <w:sz w:val="21"/>
                <w:szCs w:val="21"/>
              </w:rPr>
              <w:t>类</w:t>
            </w:r>
            <w:r>
              <w:rPr>
                <w:rFonts w:hint="eastAsia" w:hAnsi="Times New Roman" w:eastAsia="宋体"/>
                <w:kern w:val="2"/>
                <w:sz w:val="21"/>
                <w:szCs w:val="21"/>
              </w:rPr>
              <w:t>型图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54" w:type="pct"/>
            <w:vMerge w:val="continue"/>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p>
        </w:tc>
        <w:tc>
          <w:tcPr>
            <w:tcW w:w="750"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position w:val="-1"/>
                <w:sz w:val="21"/>
                <w:szCs w:val="21"/>
              </w:rPr>
              <w:t>占地规模</w:t>
            </w:r>
          </w:p>
        </w:tc>
        <w:tc>
          <w:tcPr>
            <w:tcW w:w="3311" w:type="pct"/>
            <w:gridSpan w:val="5"/>
            <w:vAlign w:val="center"/>
          </w:tcPr>
          <w:p>
            <w:pPr>
              <w:keepNext w:val="0"/>
              <w:keepLines w:val="0"/>
              <w:suppressLineNumbers w:val="0"/>
              <w:tabs>
                <w:tab w:val="left" w:pos="1360"/>
              </w:tabs>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井田（3.4715km</w:t>
            </w:r>
            <w:r>
              <w:rPr>
                <w:rFonts w:hint="eastAsia" w:hAnsi="Times New Roman" w:eastAsia="宋体"/>
                <w:kern w:val="2"/>
                <w:sz w:val="21"/>
                <w:szCs w:val="21"/>
                <w:vertAlign w:val="superscript"/>
                <w:lang w:eastAsia="zh-CN"/>
              </w:rPr>
              <w:t>2</w:t>
            </w:r>
            <w:r>
              <w:rPr>
                <w:rFonts w:hint="eastAsia" w:hAnsi="Times New Roman" w:eastAsia="宋体"/>
                <w:kern w:val="2"/>
                <w:sz w:val="21"/>
                <w:szCs w:val="21"/>
                <w:lang w:eastAsia="zh-CN"/>
              </w:rPr>
              <w:t>）工业场地</w:t>
            </w:r>
            <w:r>
              <w:rPr>
                <w:rFonts w:hint="eastAsia" w:hAnsi="Times New Roman" w:eastAsia="宋体"/>
                <w:kern w:val="2"/>
                <w:position w:val="-1"/>
                <w:sz w:val="21"/>
                <w:szCs w:val="21"/>
              </w:rPr>
              <w:t>（</w:t>
            </w:r>
            <w:r>
              <w:rPr>
                <w:rFonts w:hint="eastAsia" w:hAnsi="Times New Roman" w:eastAsia="宋体"/>
                <w:kern w:val="2"/>
                <w:position w:val="-1"/>
                <w:sz w:val="21"/>
                <w:szCs w:val="21"/>
                <w:lang w:eastAsia="zh-CN"/>
              </w:rPr>
              <w:t>4.6</w:t>
            </w:r>
            <w:r>
              <w:rPr>
                <w:rFonts w:hint="eastAsia" w:hAnsi="Times New Roman" w:eastAsia="宋体"/>
                <w:kern w:val="2"/>
                <w:position w:val="-1"/>
                <w:sz w:val="21"/>
                <w:szCs w:val="21"/>
              </w:rPr>
              <w:t>）</w:t>
            </w:r>
            <w:r>
              <w:rPr>
                <w:rFonts w:hint="eastAsia" w:hAnsi="Times New Roman" w:eastAsia="宋体"/>
                <w:spacing w:val="1"/>
                <w:kern w:val="2"/>
                <w:position w:val="-1"/>
                <w:sz w:val="21"/>
                <w:szCs w:val="21"/>
              </w:rPr>
              <w:t>hm</w:t>
            </w:r>
            <w:r>
              <w:rPr>
                <w:rFonts w:hint="eastAsia" w:hAnsi="Times New Roman" w:eastAsia="宋体"/>
                <w:spacing w:val="1"/>
                <w:kern w:val="2"/>
                <w:position w:val="-1"/>
                <w:sz w:val="21"/>
                <w:szCs w:val="21"/>
                <w:vertAlign w:val="superscript"/>
              </w:rPr>
              <w:t>2</w:t>
            </w:r>
          </w:p>
        </w:tc>
        <w:tc>
          <w:tcPr>
            <w:tcW w:w="685"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54" w:type="pct"/>
            <w:vMerge w:val="continue"/>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p>
        </w:tc>
        <w:tc>
          <w:tcPr>
            <w:tcW w:w="750"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position w:val="-1"/>
                <w:sz w:val="21"/>
                <w:szCs w:val="21"/>
              </w:rPr>
              <w:t>敏感目标信息</w:t>
            </w:r>
          </w:p>
        </w:tc>
        <w:tc>
          <w:tcPr>
            <w:tcW w:w="3311" w:type="pct"/>
            <w:gridSpan w:val="5"/>
            <w:vAlign w:val="center"/>
          </w:tcPr>
          <w:p>
            <w:pPr>
              <w:keepNext w:val="0"/>
              <w:keepLines w:val="0"/>
              <w:suppressLineNumbers w:val="0"/>
              <w:tabs>
                <w:tab w:val="left" w:pos="1620"/>
                <w:tab w:val="left" w:pos="3520"/>
                <w:tab w:val="left" w:pos="5140"/>
              </w:tabs>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position w:val="-1"/>
                <w:sz w:val="21"/>
                <w:szCs w:val="21"/>
              </w:rPr>
              <w:t>敏感目标（</w:t>
            </w:r>
            <w:r>
              <w:rPr>
                <w:rFonts w:hint="eastAsia" w:hAnsi="Times New Roman" w:eastAsia="宋体"/>
                <w:kern w:val="2"/>
                <w:position w:val="-1"/>
                <w:sz w:val="21"/>
                <w:szCs w:val="21"/>
                <w:lang w:eastAsia="zh-CN"/>
              </w:rPr>
              <w:t xml:space="preserve">  </w:t>
            </w:r>
            <w:r>
              <w:rPr>
                <w:rFonts w:hint="eastAsia" w:hAnsi="Times New Roman" w:eastAsia="宋体"/>
                <w:kern w:val="2"/>
                <w:position w:val="-1"/>
                <w:sz w:val="21"/>
                <w:szCs w:val="21"/>
              </w:rPr>
              <w:t>）、方位（</w:t>
            </w:r>
            <w:r>
              <w:rPr>
                <w:rFonts w:hint="eastAsia" w:hAnsi="Times New Roman" w:eastAsia="宋体"/>
                <w:kern w:val="2"/>
                <w:position w:val="-1"/>
                <w:sz w:val="21"/>
                <w:szCs w:val="21"/>
                <w:lang w:eastAsia="zh-CN"/>
              </w:rPr>
              <w:t xml:space="preserve">  </w:t>
            </w:r>
            <w:r>
              <w:rPr>
                <w:rFonts w:hint="eastAsia" w:hAnsi="Times New Roman" w:eastAsia="宋体"/>
                <w:kern w:val="2"/>
                <w:position w:val="-1"/>
                <w:sz w:val="21"/>
                <w:szCs w:val="21"/>
              </w:rPr>
              <w:t>）、距离（     ）</w:t>
            </w:r>
          </w:p>
        </w:tc>
        <w:tc>
          <w:tcPr>
            <w:tcW w:w="685"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54" w:type="pct"/>
            <w:vMerge w:val="continue"/>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p>
        </w:tc>
        <w:tc>
          <w:tcPr>
            <w:tcW w:w="750"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position w:val="-1"/>
                <w:sz w:val="21"/>
                <w:szCs w:val="21"/>
              </w:rPr>
              <w:t>影响途径</w:t>
            </w:r>
          </w:p>
        </w:tc>
        <w:tc>
          <w:tcPr>
            <w:tcW w:w="3311" w:type="pct"/>
            <w:gridSpan w:val="5"/>
            <w:vAlign w:val="center"/>
          </w:tcPr>
          <w:p>
            <w:pPr>
              <w:keepNext w:val="0"/>
              <w:keepLines w:val="0"/>
              <w:suppressLineNumbers w:val="0"/>
              <w:tabs>
                <w:tab w:val="left" w:pos="5220"/>
              </w:tabs>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position w:val="-1"/>
                <w:sz w:val="21"/>
                <w:szCs w:val="21"/>
              </w:rPr>
              <w:t>大气沉降</w:t>
            </w:r>
            <w:r>
              <w:rPr>
                <w:rFonts w:hint="eastAsia" w:hAnsi="Times New Roman" w:eastAsia="宋体"/>
                <w:kern w:val="2"/>
                <w:sz w:val="21"/>
                <w:szCs w:val="21"/>
              </w:rPr>
              <w:sym w:font="Wingdings 2" w:char="0052"/>
            </w:r>
            <w:r>
              <w:rPr>
                <w:rFonts w:hint="eastAsia" w:hAnsi="Times New Roman" w:eastAsia="宋体"/>
                <w:kern w:val="2"/>
                <w:position w:val="-1"/>
                <w:sz w:val="21"/>
                <w:szCs w:val="21"/>
              </w:rPr>
              <w:t>；地面漫流</w:t>
            </w:r>
            <w:r>
              <w:rPr>
                <w:rFonts w:hint="eastAsia" w:hAnsi="Times New Roman" w:eastAsia="宋体"/>
                <w:kern w:val="2"/>
                <w:sz w:val="21"/>
                <w:szCs w:val="21"/>
              </w:rPr>
              <w:sym w:font="Wingdings 2" w:char="0052"/>
            </w:r>
            <w:r>
              <w:rPr>
                <w:rFonts w:hint="eastAsia" w:hAnsi="Times New Roman" w:eastAsia="宋体"/>
                <w:kern w:val="2"/>
                <w:position w:val="-1"/>
                <w:sz w:val="21"/>
                <w:szCs w:val="21"/>
              </w:rPr>
              <w:t>；垂直入渗</w:t>
            </w:r>
            <w:r>
              <w:rPr>
                <w:rFonts w:hint="eastAsia" w:hAnsi="Times New Roman" w:eastAsia="宋体"/>
                <w:kern w:val="2"/>
                <w:sz w:val="21"/>
                <w:szCs w:val="21"/>
              </w:rPr>
              <w:sym w:font="Wingdings 2" w:char="0052"/>
            </w:r>
            <w:r>
              <w:rPr>
                <w:rFonts w:hint="eastAsia" w:hAnsi="Times New Roman" w:eastAsia="宋体"/>
                <w:kern w:val="2"/>
                <w:position w:val="-1"/>
                <w:sz w:val="21"/>
                <w:szCs w:val="21"/>
              </w:rPr>
              <w:t>；地下水位</w:t>
            </w:r>
            <w:r>
              <w:rPr>
                <w:rFonts w:hint="eastAsia" w:hAnsi="Times New Roman" w:eastAsia="宋体"/>
                <w:kern w:val="2"/>
                <w:sz w:val="21"/>
                <w:szCs w:val="21"/>
              </w:rPr>
              <w:sym w:font="Wingdings 2" w:char="00A3"/>
            </w:r>
            <w:r>
              <w:rPr>
                <w:rFonts w:hint="eastAsia" w:hAnsi="Times New Roman" w:eastAsia="宋体"/>
                <w:kern w:val="2"/>
                <w:position w:val="-1"/>
                <w:sz w:val="21"/>
                <w:szCs w:val="21"/>
              </w:rPr>
              <w:t>；其他</w:t>
            </w:r>
          </w:p>
        </w:tc>
        <w:tc>
          <w:tcPr>
            <w:tcW w:w="685"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54" w:type="pct"/>
            <w:vMerge w:val="continue"/>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p>
        </w:tc>
        <w:tc>
          <w:tcPr>
            <w:tcW w:w="750"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position w:val="-1"/>
                <w:sz w:val="21"/>
                <w:szCs w:val="21"/>
              </w:rPr>
              <w:t>全部污染物</w:t>
            </w:r>
          </w:p>
        </w:tc>
        <w:tc>
          <w:tcPr>
            <w:tcW w:w="3311" w:type="pct"/>
            <w:gridSpan w:val="5"/>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pH、镉、砷、锌、砷、铜、铬、镍、铅、汞</w:t>
            </w:r>
          </w:p>
        </w:tc>
        <w:tc>
          <w:tcPr>
            <w:tcW w:w="685"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54" w:type="pct"/>
            <w:vMerge w:val="continue"/>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p>
        </w:tc>
        <w:tc>
          <w:tcPr>
            <w:tcW w:w="750"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position w:val="-1"/>
                <w:sz w:val="21"/>
                <w:szCs w:val="21"/>
              </w:rPr>
              <w:t>特征因子</w:t>
            </w:r>
          </w:p>
        </w:tc>
        <w:tc>
          <w:tcPr>
            <w:tcW w:w="3311" w:type="pct"/>
            <w:gridSpan w:val="5"/>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定性分析</w:t>
            </w:r>
          </w:p>
        </w:tc>
        <w:tc>
          <w:tcPr>
            <w:tcW w:w="685"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54" w:type="pct"/>
            <w:vMerge w:val="continue"/>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p>
        </w:tc>
        <w:tc>
          <w:tcPr>
            <w:tcW w:w="750"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position w:val="-1"/>
                <w:sz w:val="21"/>
                <w:szCs w:val="21"/>
              </w:rPr>
              <w:t>所属土壤环境影响</w:t>
            </w:r>
            <w:r>
              <w:rPr>
                <w:rFonts w:hint="eastAsia" w:hAnsi="Times New Roman" w:eastAsia="宋体"/>
                <w:kern w:val="2"/>
                <w:sz w:val="21"/>
                <w:szCs w:val="21"/>
              </w:rPr>
              <w:t>评价项目类别</w:t>
            </w:r>
          </w:p>
        </w:tc>
        <w:tc>
          <w:tcPr>
            <w:tcW w:w="3311" w:type="pct"/>
            <w:gridSpan w:val="5"/>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Ⅰ类</w:t>
            </w:r>
            <w:r>
              <w:rPr>
                <w:rFonts w:hint="eastAsia" w:hAnsi="Times New Roman" w:eastAsia="宋体"/>
                <w:kern w:val="2"/>
                <w:sz w:val="21"/>
                <w:szCs w:val="21"/>
              </w:rPr>
              <w:sym w:font="Wingdings 2" w:char="00A3"/>
            </w:r>
            <w:r>
              <w:rPr>
                <w:rFonts w:hint="eastAsia" w:hAnsi="Times New Roman" w:eastAsia="宋体"/>
                <w:kern w:val="2"/>
                <w:sz w:val="21"/>
                <w:szCs w:val="21"/>
              </w:rPr>
              <w:t>；Ⅱ类</w:t>
            </w:r>
            <w:r>
              <w:rPr>
                <w:rFonts w:hint="eastAsia" w:hAnsi="Times New Roman" w:eastAsia="宋体"/>
                <w:kern w:val="2"/>
                <w:sz w:val="21"/>
                <w:szCs w:val="21"/>
              </w:rPr>
              <w:sym w:font="Wingdings 2" w:char="0052"/>
            </w:r>
            <w:r>
              <w:rPr>
                <w:rFonts w:hint="eastAsia" w:hAnsi="Times New Roman" w:eastAsia="宋体"/>
                <w:kern w:val="2"/>
                <w:sz w:val="21"/>
                <w:szCs w:val="21"/>
              </w:rPr>
              <w:t>；Ⅲ类</w:t>
            </w:r>
            <w:r>
              <w:rPr>
                <w:rFonts w:hint="eastAsia" w:hAnsi="Times New Roman" w:eastAsia="宋体"/>
                <w:kern w:val="2"/>
                <w:sz w:val="21"/>
                <w:szCs w:val="21"/>
              </w:rPr>
              <w:sym w:font="Wingdings 2" w:char="00A3"/>
            </w:r>
            <w:r>
              <w:rPr>
                <w:rFonts w:hint="eastAsia" w:hAnsi="Times New Roman" w:eastAsia="宋体"/>
                <w:kern w:val="2"/>
                <w:sz w:val="21"/>
                <w:szCs w:val="21"/>
              </w:rPr>
              <w:t>；Ⅳ类</w:t>
            </w:r>
            <w:r>
              <w:rPr>
                <w:rFonts w:hint="eastAsia" w:hAnsi="Times New Roman" w:eastAsia="宋体"/>
                <w:kern w:val="2"/>
                <w:sz w:val="21"/>
                <w:szCs w:val="21"/>
              </w:rPr>
              <w:sym w:font="Wingdings 2" w:char="00A3"/>
            </w:r>
          </w:p>
        </w:tc>
        <w:tc>
          <w:tcPr>
            <w:tcW w:w="685"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54" w:type="pct"/>
            <w:vMerge w:val="continue"/>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p>
        </w:tc>
        <w:tc>
          <w:tcPr>
            <w:tcW w:w="750"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position w:val="-1"/>
                <w:sz w:val="21"/>
                <w:szCs w:val="21"/>
              </w:rPr>
              <w:t>敏感程度</w:t>
            </w:r>
          </w:p>
        </w:tc>
        <w:tc>
          <w:tcPr>
            <w:tcW w:w="3311" w:type="pct"/>
            <w:gridSpan w:val="5"/>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position w:val="-1"/>
                <w:sz w:val="21"/>
                <w:szCs w:val="21"/>
              </w:rPr>
              <w:t>敏感</w:t>
            </w:r>
            <w:r>
              <w:rPr>
                <w:rFonts w:hint="eastAsia" w:hAnsi="Times New Roman" w:eastAsia="宋体"/>
                <w:kern w:val="2"/>
                <w:sz w:val="21"/>
                <w:szCs w:val="21"/>
              </w:rPr>
              <w:sym w:font="Wingdings 2" w:char="0052"/>
            </w:r>
            <w:r>
              <w:rPr>
                <w:rFonts w:hint="eastAsia" w:hAnsi="Times New Roman" w:eastAsia="宋体"/>
                <w:kern w:val="2"/>
                <w:position w:val="-1"/>
                <w:sz w:val="21"/>
                <w:szCs w:val="21"/>
              </w:rPr>
              <w:t>；较敏感</w:t>
            </w:r>
            <w:r>
              <w:rPr>
                <w:rFonts w:hint="eastAsia" w:hAnsi="Times New Roman" w:eastAsia="宋体"/>
                <w:w w:val="153"/>
                <w:kern w:val="2"/>
                <w:position w:val="-1"/>
                <w:sz w:val="21"/>
                <w:szCs w:val="21"/>
              </w:rPr>
              <w:t>□</w:t>
            </w:r>
            <w:r>
              <w:rPr>
                <w:rFonts w:hint="eastAsia" w:hAnsi="Times New Roman" w:eastAsia="宋体"/>
                <w:kern w:val="2"/>
                <w:position w:val="-1"/>
                <w:sz w:val="21"/>
                <w:szCs w:val="21"/>
              </w:rPr>
              <w:t>；不敏感</w:t>
            </w:r>
            <w:r>
              <w:rPr>
                <w:rFonts w:hint="eastAsia" w:hAnsi="Times New Roman" w:eastAsia="宋体"/>
                <w:w w:val="153"/>
                <w:kern w:val="2"/>
                <w:position w:val="-1"/>
                <w:sz w:val="21"/>
                <w:szCs w:val="21"/>
              </w:rPr>
              <w:sym w:font="Wingdings 2" w:char="0052"/>
            </w:r>
          </w:p>
        </w:tc>
        <w:tc>
          <w:tcPr>
            <w:tcW w:w="685"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1004" w:type="pct"/>
            <w:gridSpan w:val="2"/>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position w:val="-1"/>
                <w:sz w:val="21"/>
                <w:szCs w:val="21"/>
              </w:rPr>
              <w:t>评价工作等级</w:t>
            </w:r>
          </w:p>
        </w:tc>
        <w:tc>
          <w:tcPr>
            <w:tcW w:w="3311" w:type="pct"/>
            <w:gridSpan w:val="5"/>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position w:val="-1"/>
                <w:sz w:val="21"/>
                <w:szCs w:val="21"/>
              </w:rPr>
              <w:t>一级</w:t>
            </w:r>
            <w:r>
              <w:rPr>
                <w:rFonts w:hint="eastAsia" w:hAnsi="Times New Roman" w:eastAsia="宋体"/>
                <w:kern w:val="2"/>
                <w:sz w:val="21"/>
                <w:szCs w:val="21"/>
              </w:rPr>
              <w:sym w:font="Wingdings 2" w:char="00A3"/>
            </w:r>
            <w:r>
              <w:rPr>
                <w:rFonts w:hint="eastAsia" w:hAnsi="Times New Roman" w:eastAsia="宋体"/>
                <w:kern w:val="2"/>
                <w:position w:val="-1"/>
                <w:sz w:val="21"/>
                <w:szCs w:val="21"/>
              </w:rPr>
              <w:t>；二级</w:t>
            </w:r>
            <w:r>
              <w:rPr>
                <w:rFonts w:hint="eastAsia" w:hAnsi="Times New Roman" w:eastAsia="宋体"/>
                <w:kern w:val="2"/>
                <w:sz w:val="21"/>
                <w:szCs w:val="21"/>
              </w:rPr>
              <w:sym w:font="Wingdings 2" w:char="0052"/>
            </w:r>
            <w:r>
              <w:rPr>
                <w:rFonts w:hint="eastAsia" w:hAnsi="Times New Roman" w:eastAsia="宋体"/>
                <w:kern w:val="2"/>
                <w:position w:val="-1"/>
                <w:sz w:val="21"/>
                <w:szCs w:val="21"/>
              </w:rPr>
              <w:t>；三级</w:t>
            </w:r>
            <w:r>
              <w:rPr>
                <w:rFonts w:hint="eastAsia" w:hAnsi="Times New Roman" w:eastAsia="宋体"/>
                <w:kern w:val="2"/>
                <w:sz w:val="21"/>
                <w:szCs w:val="21"/>
              </w:rPr>
              <w:sym w:font="Wingdings 2" w:char="0052"/>
            </w:r>
          </w:p>
        </w:tc>
        <w:tc>
          <w:tcPr>
            <w:tcW w:w="685"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54" w:type="pct"/>
            <w:vMerge w:val="restar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现状 调查 内容</w:t>
            </w:r>
          </w:p>
        </w:tc>
        <w:tc>
          <w:tcPr>
            <w:tcW w:w="750"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position w:val="-1"/>
                <w:sz w:val="21"/>
                <w:szCs w:val="21"/>
              </w:rPr>
              <w:t>资料收集</w:t>
            </w:r>
          </w:p>
        </w:tc>
        <w:tc>
          <w:tcPr>
            <w:tcW w:w="3311" w:type="pct"/>
            <w:gridSpan w:val="5"/>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spacing w:val="-1"/>
                <w:w w:val="99"/>
                <w:kern w:val="2"/>
                <w:position w:val="-1"/>
                <w:sz w:val="21"/>
                <w:szCs w:val="21"/>
              </w:rPr>
              <w:t>a</w:t>
            </w:r>
            <w:r>
              <w:rPr>
                <w:rFonts w:hint="eastAsia" w:hAnsi="Times New Roman" w:eastAsia="宋体"/>
                <w:kern w:val="2"/>
                <w:position w:val="-1"/>
                <w:sz w:val="21"/>
                <w:szCs w:val="21"/>
              </w:rPr>
              <w:t>）</w:t>
            </w:r>
            <w:r>
              <w:rPr>
                <w:rFonts w:hint="eastAsia" w:hAnsi="Times New Roman" w:eastAsia="宋体"/>
                <w:kern w:val="2"/>
                <w:sz w:val="21"/>
                <w:szCs w:val="21"/>
              </w:rPr>
              <w:sym w:font="Wingdings 2" w:char="0052"/>
            </w:r>
            <w:r>
              <w:rPr>
                <w:rFonts w:hint="eastAsia" w:hAnsi="Times New Roman" w:eastAsia="宋体"/>
                <w:kern w:val="2"/>
                <w:position w:val="-1"/>
                <w:sz w:val="21"/>
                <w:szCs w:val="21"/>
              </w:rPr>
              <w:t>；</w:t>
            </w:r>
            <w:r>
              <w:rPr>
                <w:rFonts w:hint="eastAsia" w:hAnsi="Times New Roman" w:eastAsia="宋体"/>
                <w:spacing w:val="-1"/>
                <w:kern w:val="2"/>
                <w:position w:val="-1"/>
                <w:sz w:val="21"/>
                <w:szCs w:val="21"/>
              </w:rPr>
              <w:t>b</w:t>
            </w:r>
            <w:r>
              <w:rPr>
                <w:rFonts w:hint="eastAsia" w:hAnsi="Times New Roman" w:eastAsia="宋体"/>
                <w:kern w:val="2"/>
                <w:position w:val="-1"/>
                <w:sz w:val="21"/>
                <w:szCs w:val="21"/>
              </w:rPr>
              <w:t>）</w:t>
            </w:r>
            <w:r>
              <w:rPr>
                <w:rFonts w:hint="eastAsia" w:hAnsi="Times New Roman" w:eastAsia="宋体"/>
                <w:kern w:val="2"/>
                <w:sz w:val="21"/>
                <w:szCs w:val="21"/>
              </w:rPr>
              <w:sym w:font="Wingdings 2" w:char="0052"/>
            </w:r>
            <w:r>
              <w:rPr>
                <w:rFonts w:hint="eastAsia" w:hAnsi="Times New Roman" w:eastAsia="宋体"/>
                <w:kern w:val="2"/>
                <w:position w:val="-1"/>
                <w:sz w:val="21"/>
                <w:szCs w:val="21"/>
              </w:rPr>
              <w:t>；</w:t>
            </w:r>
            <w:r>
              <w:rPr>
                <w:rFonts w:hint="eastAsia" w:hAnsi="Times New Roman" w:eastAsia="宋体"/>
                <w:spacing w:val="2"/>
                <w:w w:val="99"/>
                <w:kern w:val="2"/>
                <w:position w:val="-1"/>
                <w:sz w:val="21"/>
                <w:szCs w:val="21"/>
              </w:rPr>
              <w:t>c</w:t>
            </w:r>
            <w:r>
              <w:rPr>
                <w:rFonts w:hint="eastAsia" w:hAnsi="Times New Roman" w:eastAsia="宋体"/>
                <w:kern w:val="2"/>
                <w:position w:val="-1"/>
                <w:sz w:val="21"/>
                <w:szCs w:val="21"/>
              </w:rPr>
              <w:t>）</w:t>
            </w:r>
            <w:r>
              <w:rPr>
                <w:rFonts w:hint="eastAsia" w:hAnsi="Times New Roman" w:eastAsia="宋体"/>
                <w:kern w:val="2"/>
                <w:sz w:val="21"/>
                <w:szCs w:val="21"/>
              </w:rPr>
              <w:sym w:font="Wingdings 2" w:char="0052"/>
            </w:r>
            <w:r>
              <w:rPr>
                <w:rFonts w:hint="eastAsia" w:hAnsi="Times New Roman" w:eastAsia="宋体"/>
                <w:kern w:val="2"/>
                <w:position w:val="-1"/>
                <w:sz w:val="21"/>
                <w:szCs w:val="21"/>
              </w:rPr>
              <w:t>；</w:t>
            </w:r>
            <w:r>
              <w:rPr>
                <w:rFonts w:hint="eastAsia" w:hAnsi="Times New Roman" w:eastAsia="宋体"/>
                <w:spacing w:val="-1"/>
                <w:w w:val="78"/>
                <w:kern w:val="2"/>
                <w:position w:val="-1"/>
                <w:sz w:val="21"/>
                <w:szCs w:val="21"/>
              </w:rPr>
              <w:t>d</w:t>
            </w:r>
            <w:r>
              <w:rPr>
                <w:rFonts w:hint="eastAsia" w:hAnsi="Times New Roman" w:eastAsia="宋体"/>
                <w:kern w:val="2"/>
                <w:position w:val="-1"/>
                <w:sz w:val="21"/>
                <w:szCs w:val="21"/>
              </w:rPr>
              <w:t>）</w:t>
            </w:r>
            <w:r>
              <w:rPr>
                <w:rFonts w:hint="eastAsia" w:hAnsi="Times New Roman" w:eastAsia="宋体"/>
                <w:kern w:val="2"/>
                <w:sz w:val="21"/>
                <w:szCs w:val="21"/>
              </w:rPr>
              <w:t>□</w:t>
            </w:r>
          </w:p>
        </w:tc>
        <w:tc>
          <w:tcPr>
            <w:tcW w:w="685"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54" w:type="pct"/>
            <w:vMerge w:val="continue"/>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p>
        </w:tc>
        <w:tc>
          <w:tcPr>
            <w:tcW w:w="750"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position w:val="-1"/>
                <w:sz w:val="21"/>
                <w:szCs w:val="21"/>
              </w:rPr>
              <w:t>理化特性</w:t>
            </w:r>
          </w:p>
        </w:tc>
        <w:tc>
          <w:tcPr>
            <w:tcW w:w="3311" w:type="pct"/>
            <w:gridSpan w:val="5"/>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土体构型、土壤结构、土壤质地等信息</w:t>
            </w:r>
          </w:p>
        </w:tc>
        <w:tc>
          <w:tcPr>
            <w:tcW w:w="685"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position w:val="-1"/>
                <w:sz w:val="21"/>
                <w:szCs w:val="21"/>
              </w:rPr>
              <w:t>同附录C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54" w:type="pct"/>
            <w:vMerge w:val="continue"/>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p>
        </w:tc>
        <w:tc>
          <w:tcPr>
            <w:tcW w:w="750" w:type="pct"/>
            <w:vMerge w:val="restar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现状监测点位</w:t>
            </w:r>
          </w:p>
        </w:tc>
        <w:tc>
          <w:tcPr>
            <w:tcW w:w="844"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p>
        </w:tc>
        <w:tc>
          <w:tcPr>
            <w:tcW w:w="388"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position w:val="-1"/>
                <w:sz w:val="21"/>
                <w:szCs w:val="21"/>
              </w:rPr>
              <w:t>占地范围内</w:t>
            </w:r>
          </w:p>
        </w:tc>
        <w:tc>
          <w:tcPr>
            <w:tcW w:w="1153"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position w:val="-1"/>
                <w:sz w:val="21"/>
                <w:szCs w:val="21"/>
              </w:rPr>
              <w:t>占地范围外</w:t>
            </w:r>
          </w:p>
        </w:tc>
        <w:tc>
          <w:tcPr>
            <w:tcW w:w="926" w:type="pct"/>
            <w:gridSpan w:val="2"/>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position w:val="-1"/>
                <w:sz w:val="21"/>
                <w:szCs w:val="21"/>
              </w:rPr>
              <w:t>深度</w:t>
            </w:r>
          </w:p>
        </w:tc>
        <w:tc>
          <w:tcPr>
            <w:tcW w:w="685" w:type="pct"/>
            <w:vMerge w:val="restar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点位布置图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54" w:type="pct"/>
            <w:vMerge w:val="continue"/>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p>
        </w:tc>
        <w:tc>
          <w:tcPr>
            <w:tcW w:w="750" w:type="pct"/>
            <w:vMerge w:val="continue"/>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p>
        </w:tc>
        <w:tc>
          <w:tcPr>
            <w:tcW w:w="844"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position w:val="-1"/>
                <w:sz w:val="21"/>
                <w:szCs w:val="21"/>
              </w:rPr>
              <w:t>表层样点数</w:t>
            </w:r>
          </w:p>
        </w:tc>
        <w:tc>
          <w:tcPr>
            <w:tcW w:w="388"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position w:val="-1"/>
                <w:sz w:val="21"/>
                <w:szCs w:val="21"/>
                <w:lang w:eastAsia="zh-CN"/>
              </w:rPr>
            </w:pPr>
            <w:r>
              <w:rPr>
                <w:rFonts w:hint="eastAsia" w:hAnsi="Times New Roman" w:eastAsia="宋体"/>
                <w:kern w:val="2"/>
                <w:position w:val="-1"/>
                <w:sz w:val="21"/>
                <w:szCs w:val="21"/>
                <w:lang w:eastAsia="zh-CN"/>
              </w:rPr>
              <w:t>1</w:t>
            </w:r>
          </w:p>
        </w:tc>
        <w:tc>
          <w:tcPr>
            <w:tcW w:w="1153"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position w:val="-1"/>
                <w:sz w:val="21"/>
                <w:szCs w:val="21"/>
                <w:lang w:eastAsia="zh-CN"/>
              </w:rPr>
            </w:pPr>
            <w:r>
              <w:rPr>
                <w:rFonts w:hint="eastAsia" w:hAnsi="Times New Roman" w:eastAsia="宋体"/>
                <w:kern w:val="2"/>
                <w:position w:val="-1"/>
                <w:sz w:val="21"/>
                <w:szCs w:val="21"/>
                <w:lang w:eastAsia="zh-CN"/>
              </w:rPr>
              <w:t>2</w:t>
            </w:r>
          </w:p>
        </w:tc>
        <w:tc>
          <w:tcPr>
            <w:tcW w:w="926" w:type="pct"/>
            <w:gridSpan w:val="2"/>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position w:val="-1"/>
                <w:sz w:val="21"/>
                <w:szCs w:val="21"/>
              </w:rPr>
            </w:pPr>
            <w:r>
              <w:rPr>
                <w:rFonts w:hint="eastAsia" w:hAnsi="Times New Roman" w:eastAsia="宋体"/>
                <w:kern w:val="2"/>
                <w:sz w:val="21"/>
                <w:szCs w:val="21"/>
              </w:rPr>
              <w:t>0</w:t>
            </w:r>
            <w:r>
              <w:rPr>
                <w:rFonts w:hint="eastAsia" w:hAnsi="Times New Roman" w:eastAsia="宋体"/>
                <w:kern w:val="2"/>
                <w:sz w:val="21"/>
                <w:szCs w:val="21"/>
                <w:lang w:eastAsia="zh-CN"/>
              </w:rPr>
              <w:t>~</w:t>
            </w:r>
            <w:r>
              <w:rPr>
                <w:rFonts w:hint="eastAsia" w:hAnsi="Times New Roman" w:eastAsia="宋体"/>
                <w:kern w:val="2"/>
                <w:sz w:val="21"/>
                <w:szCs w:val="21"/>
              </w:rPr>
              <w:t>0.2m</w:t>
            </w:r>
          </w:p>
        </w:tc>
        <w:tc>
          <w:tcPr>
            <w:tcW w:w="685" w:type="pct"/>
            <w:vMerge w:val="continue"/>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54" w:type="pct"/>
            <w:vMerge w:val="continue"/>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p>
        </w:tc>
        <w:tc>
          <w:tcPr>
            <w:tcW w:w="750" w:type="pct"/>
            <w:vMerge w:val="continue"/>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p>
        </w:tc>
        <w:tc>
          <w:tcPr>
            <w:tcW w:w="844"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position w:val="-1"/>
                <w:sz w:val="21"/>
                <w:szCs w:val="21"/>
              </w:rPr>
              <w:t>柱状样点数</w:t>
            </w:r>
          </w:p>
        </w:tc>
        <w:tc>
          <w:tcPr>
            <w:tcW w:w="388"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w:t>
            </w:r>
          </w:p>
        </w:tc>
        <w:tc>
          <w:tcPr>
            <w:tcW w:w="1153"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w:t>
            </w:r>
          </w:p>
        </w:tc>
        <w:tc>
          <w:tcPr>
            <w:tcW w:w="926" w:type="pct"/>
            <w:gridSpan w:val="2"/>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0</w:t>
            </w:r>
            <w:r>
              <w:rPr>
                <w:rFonts w:hint="eastAsia" w:hAnsi="Times New Roman" w:eastAsia="宋体"/>
                <w:kern w:val="2"/>
                <w:sz w:val="21"/>
                <w:szCs w:val="21"/>
                <w:lang w:eastAsia="zh-CN"/>
              </w:rPr>
              <w:t>~</w:t>
            </w:r>
            <w:r>
              <w:rPr>
                <w:rFonts w:hint="eastAsia" w:hAnsi="Times New Roman" w:eastAsia="宋体"/>
                <w:kern w:val="2"/>
                <w:sz w:val="21"/>
                <w:szCs w:val="21"/>
              </w:rPr>
              <w:t>0.</w:t>
            </w:r>
            <w:r>
              <w:rPr>
                <w:rFonts w:hint="eastAsia" w:hAnsi="Times New Roman" w:eastAsia="宋体"/>
                <w:kern w:val="2"/>
                <w:sz w:val="21"/>
                <w:szCs w:val="21"/>
                <w:lang w:eastAsia="zh-CN"/>
              </w:rPr>
              <w:t>5</w:t>
            </w:r>
            <w:r>
              <w:rPr>
                <w:rFonts w:hint="eastAsia" w:hAnsi="Times New Roman" w:eastAsia="宋体"/>
                <w:kern w:val="2"/>
                <w:sz w:val="21"/>
                <w:szCs w:val="21"/>
              </w:rPr>
              <w:t>m</w:t>
            </w:r>
            <w:r>
              <w:rPr>
                <w:rFonts w:hint="eastAsia" w:hAnsi="Times New Roman" w:eastAsia="宋体"/>
                <w:kern w:val="2"/>
                <w:sz w:val="21"/>
                <w:szCs w:val="21"/>
                <w:lang w:eastAsia="zh-CN"/>
              </w:rPr>
              <w:t>、0.5～1.5m、1.5～3m</w:t>
            </w:r>
          </w:p>
        </w:tc>
        <w:tc>
          <w:tcPr>
            <w:tcW w:w="685" w:type="pct"/>
            <w:vMerge w:val="continue"/>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54" w:type="pct"/>
            <w:vMerge w:val="continue"/>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p>
        </w:tc>
        <w:tc>
          <w:tcPr>
            <w:tcW w:w="750"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position w:val="-1"/>
                <w:sz w:val="21"/>
                <w:szCs w:val="21"/>
              </w:rPr>
              <w:t>现状监测因子</w:t>
            </w:r>
          </w:p>
        </w:tc>
        <w:tc>
          <w:tcPr>
            <w:tcW w:w="3311" w:type="pct"/>
            <w:gridSpan w:val="5"/>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Cs w:val="21"/>
                <w:lang w:eastAsia="zh-CN"/>
              </w:rPr>
              <w:t>pH、</w:t>
            </w:r>
            <w:r>
              <w:rPr>
                <w:rFonts w:hint="eastAsia" w:hAnsi="Times New Roman" w:eastAsia="宋体"/>
                <w:kern w:val="2"/>
                <w:sz w:val="21"/>
                <w:szCs w:val="22"/>
                <w:lang w:eastAsia="zh-CN"/>
              </w:rPr>
              <w:t>砷</w:t>
            </w:r>
            <w:r>
              <w:rPr>
                <w:rFonts w:hint="eastAsia" w:hAnsi="Times New Roman" w:eastAsia="宋体"/>
                <w:kern w:val="2"/>
                <w:sz w:val="21"/>
                <w:szCs w:val="22"/>
              </w:rPr>
              <w:t>、</w:t>
            </w:r>
            <w:r>
              <w:rPr>
                <w:rFonts w:hint="eastAsia" w:hAnsi="Times New Roman" w:eastAsia="宋体"/>
                <w:kern w:val="2"/>
                <w:sz w:val="21"/>
                <w:szCs w:val="22"/>
                <w:lang w:eastAsia="zh-CN"/>
              </w:rPr>
              <w:t>镉、铬、</w:t>
            </w:r>
            <w:r>
              <w:rPr>
                <w:rFonts w:hint="eastAsia" w:hAnsi="Times New Roman" w:eastAsia="宋体"/>
                <w:kern w:val="2"/>
                <w:sz w:val="21"/>
                <w:szCs w:val="22"/>
              </w:rPr>
              <w:t>铬</w:t>
            </w:r>
            <w:r>
              <w:rPr>
                <w:rFonts w:hint="eastAsia" w:hAnsi="Times New Roman" w:eastAsia="宋体"/>
                <w:kern w:val="2"/>
                <w:sz w:val="21"/>
                <w:szCs w:val="22"/>
                <w:lang w:eastAsia="zh-CN"/>
              </w:rPr>
              <w:t>（六价）</w:t>
            </w:r>
            <w:r>
              <w:rPr>
                <w:rFonts w:hint="eastAsia" w:hAnsi="Times New Roman" w:eastAsia="宋体"/>
                <w:kern w:val="2"/>
                <w:sz w:val="21"/>
                <w:szCs w:val="22"/>
              </w:rPr>
              <w:t>、</w:t>
            </w:r>
            <w:r>
              <w:rPr>
                <w:rFonts w:hint="eastAsia" w:hAnsi="Times New Roman" w:eastAsia="宋体"/>
                <w:kern w:val="2"/>
                <w:sz w:val="21"/>
                <w:szCs w:val="22"/>
                <w:lang w:eastAsia="zh-CN"/>
              </w:rPr>
              <w:t>铜、铅、汞</w:t>
            </w:r>
            <w:r>
              <w:rPr>
                <w:rFonts w:hint="eastAsia" w:hAnsi="Times New Roman" w:eastAsia="宋体"/>
                <w:kern w:val="2"/>
                <w:sz w:val="21"/>
                <w:szCs w:val="22"/>
              </w:rPr>
              <w:t>、镍、</w:t>
            </w:r>
            <w:r>
              <w:rPr>
                <w:rFonts w:hint="eastAsia" w:hAnsi="Times New Roman" w:eastAsia="宋体"/>
                <w:kern w:val="2"/>
                <w:sz w:val="21"/>
                <w:szCs w:val="22"/>
                <w:lang w:eastAsia="zh-CN"/>
              </w:rPr>
              <w:t>锌、</w:t>
            </w:r>
            <w:r>
              <w:rPr>
                <w:rFonts w:hint="eastAsia" w:hAnsi="Times New Roman" w:eastAsia="宋体"/>
                <w:kern w:val="2"/>
                <w:sz w:val="21"/>
                <w:szCs w:val="22"/>
              </w:rPr>
              <w:t>四氯化碳、氯仿、氯甲烷、1,</w:t>
            </w:r>
            <w:r>
              <w:rPr>
                <w:rFonts w:hint="eastAsia" w:hAnsi="Times New Roman" w:eastAsia="宋体"/>
                <w:kern w:val="2"/>
                <w:sz w:val="21"/>
                <w:szCs w:val="22"/>
                <w:lang w:eastAsia="zh-CN"/>
              </w:rPr>
              <w:t>1</w:t>
            </w:r>
            <w:r>
              <w:rPr>
                <w:rFonts w:hint="eastAsia" w:hAnsi="Times New Roman" w:eastAsia="宋体"/>
                <w:kern w:val="2"/>
                <w:sz w:val="21"/>
                <w:szCs w:val="22"/>
              </w:rPr>
              <w:t>-二氯乙烷、1,</w:t>
            </w:r>
            <w:r>
              <w:rPr>
                <w:rFonts w:hint="eastAsia" w:hAnsi="Times New Roman" w:eastAsia="宋体"/>
                <w:kern w:val="2"/>
                <w:sz w:val="21"/>
                <w:szCs w:val="22"/>
                <w:lang w:eastAsia="zh-CN"/>
              </w:rPr>
              <w:t>2</w:t>
            </w:r>
            <w:r>
              <w:rPr>
                <w:rFonts w:hint="eastAsia" w:hAnsi="Times New Roman" w:eastAsia="宋体"/>
                <w:kern w:val="2"/>
                <w:sz w:val="21"/>
                <w:szCs w:val="22"/>
              </w:rPr>
              <w:t>-二氯乙烷、1,1-二氯乙烯、顺-1,2-二氯乙烯、反-1,2-二氯乙烯、 二氯甲烷、1,2-二氯丙烷、1,1,1,2-四氯乙烷、1,1,2,2-四氯乙烷、四氯乙烯、1,1,1- 三氯乙烷、1,1,2-三氯乙烷、三氯乙烯、1,2,3-三氯丙烷、氯乙烯、苯、 氯苯、1,2- 二氯苯</w:t>
            </w:r>
            <w:r>
              <w:rPr>
                <w:rFonts w:hint="eastAsia" w:hAnsi="Times New Roman" w:eastAsia="宋体"/>
                <w:kern w:val="2"/>
                <w:sz w:val="21"/>
                <w:szCs w:val="22"/>
                <w:lang w:eastAsia="zh-CN"/>
              </w:rPr>
              <w:t>、</w:t>
            </w:r>
            <w:r>
              <w:rPr>
                <w:rFonts w:hint="eastAsia" w:hAnsi="Times New Roman" w:eastAsia="宋体"/>
                <w:kern w:val="2"/>
                <w:sz w:val="21"/>
                <w:szCs w:val="22"/>
              </w:rPr>
              <w:t>1,4-二氯苯、乙苯、苯乙烯、甲苯、间二甲苯</w:t>
            </w:r>
            <w:r>
              <w:rPr>
                <w:rFonts w:hint="eastAsia" w:hAnsi="Times New Roman" w:eastAsia="宋体"/>
                <w:kern w:val="2"/>
                <w:sz w:val="21"/>
                <w:szCs w:val="22"/>
                <w:lang w:eastAsia="zh-CN"/>
              </w:rPr>
              <w:t>+</w:t>
            </w:r>
            <w:r>
              <w:rPr>
                <w:rFonts w:hint="eastAsia" w:hAnsi="Times New Roman" w:eastAsia="宋体"/>
                <w:kern w:val="2"/>
                <w:sz w:val="21"/>
                <w:szCs w:val="22"/>
              </w:rPr>
              <w:t xml:space="preserve"> </w:t>
            </w:r>
            <w:r>
              <w:rPr>
                <w:rFonts w:hint="eastAsia" w:hAnsi="Times New Roman" w:eastAsia="宋体"/>
                <w:kern w:val="2"/>
                <w:sz w:val="21"/>
                <w:szCs w:val="22"/>
                <w:lang w:eastAsia="zh-CN"/>
              </w:rPr>
              <w:t>对</w:t>
            </w:r>
            <w:r>
              <w:rPr>
                <w:rFonts w:hint="eastAsia" w:hAnsi="Times New Roman" w:eastAsia="宋体"/>
                <w:kern w:val="2"/>
                <w:sz w:val="21"/>
                <w:szCs w:val="22"/>
              </w:rPr>
              <w:t xml:space="preserve">二甲苯、 </w:t>
            </w:r>
            <w:r>
              <w:rPr>
                <w:rFonts w:hint="eastAsia" w:hAnsi="Times New Roman" w:eastAsia="宋体"/>
                <w:kern w:val="2"/>
                <w:sz w:val="21"/>
                <w:szCs w:val="22"/>
                <w:lang w:eastAsia="zh-CN"/>
              </w:rPr>
              <w:t>邻</w:t>
            </w:r>
            <w:r>
              <w:rPr>
                <w:rFonts w:hint="eastAsia" w:hAnsi="Times New Roman" w:eastAsia="宋体"/>
                <w:kern w:val="2"/>
                <w:sz w:val="21"/>
                <w:szCs w:val="22"/>
              </w:rPr>
              <w:t>二甲苯、</w:t>
            </w:r>
            <w:r>
              <w:rPr>
                <w:rFonts w:hint="eastAsia" w:hAnsi="Times New Roman" w:eastAsia="宋体"/>
                <w:kern w:val="2"/>
                <w:sz w:val="21"/>
                <w:szCs w:val="22"/>
                <w:lang w:eastAsia="zh-CN"/>
              </w:rPr>
              <w:t>硝基苯、苯胺、2-氯酚、苯并[a]蒽、苯并[a]芘、苯并[b]荧蒽、䓛、苯并[k]荧蒽、二苯并[a,h]蒽、茚并[1,2,3-cd]芘、萘、</w:t>
            </w:r>
            <w:r>
              <w:rPr>
                <w:rFonts w:hint="eastAsia" w:hAnsi="Times New Roman" w:eastAsia="宋体"/>
                <w:kern w:val="2"/>
                <w:sz w:val="21"/>
                <w:szCs w:val="21"/>
                <w:lang w:eastAsia="zh-CN"/>
              </w:rPr>
              <w:t>含盐量、六六六、滴滴涕、石油烃</w:t>
            </w:r>
          </w:p>
        </w:tc>
        <w:tc>
          <w:tcPr>
            <w:tcW w:w="685"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54" w:type="pct"/>
            <w:vMerge w:val="restar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position w:val="-1"/>
                <w:sz w:val="21"/>
                <w:szCs w:val="21"/>
              </w:rPr>
              <w:t>现</w:t>
            </w:r>
            <w:r>
              <w:rPr>
                <w:rFonts w:hint="eastAsia" w:hAnsi="Times New Roman" w:eastAsia="宋体"/>
                <w:kern w:val="2"/>
                <w:sz w:val="21"/>
                <w:szCs w:val="21"/>
              </w:rPr>
              <w:t>状 评价</w:t>
            </w:r>
          </w:p>
        </w:tc>
        <w:tc>
          <w:tcPr>
            <w:tcW w:w="750"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position w:val="-1"/>
                <w:sz w:val="21"/>
                <w:szCs w:val="21"/>
              </w:rPr>
              <w:t>评价因子</w:t>
            </w:r>
          </w:p>
        </w:tc>
        <w:tc>
          <w:tcPr>
            <w:tcW w:w="3311" w:type="pct"/>
            <w:gridSpan w:val="5"/>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同监测因子</w:t>
            </w:r>
          </w:p>
        </w:tc>
        <w:tc>
          <w:tcPr>
            <w:tcW w:w="685"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54" w:type="pct"/>
            <w:vMerge w:val="continue"/>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p>
        </w:tc>
        <w:tc>
          <w:tcPr>
            <w:tcW w:w="750"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position w:val="-1"/>
                <w:sz w:val="21"/>
                <w:szCs w:val="21"/>
              </w:rPr>
              <w:t>评价标准</w:t>
            </w:r>
          </w:p>
        </w:tc>
        <w:tc>
          <w:tcPr>
            <w:tcW w:w="3311" w:type="pct"/>
            <w:gridSpan w:val="5"/>
            <w:vAlign w:val="center"/>
          </w:tcPr>
          <w:p>
            <w:pPr>
              <w:keepNext w:val="0"/>
              <w:keepLines w:val="0"/>
              <w:suppressLineNumbers w:val="0"/>
              <w:tabs>
                <w:tab w:val="left" w:pos="5080"/>
              </w:tabs>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position w:val="-1"/>
                <w:sz w:val="21"/>
                <w:szCs w:val="21"/>
              </w:rPr>
              <w:t xml:space="preserve">GB </w:t>
            </w:r>
            <w:r>
              <w:rPr>
                <w:rFonts w:hint="eastAsia" w:hAnsi="Times New Roman" w:eastAsia="宋体"/>
                <w:spacing w:val="1"/>
                <w:kern w:val="2"/>
                <w:position w:val="-1"/>
                <w:sz w:val="21"/>
                <w:szCs w:val="21"/>
              </w:rPr>
              <w:t>1</w:t>
            </w:r>
            <w:r>
              <w:rPr>
                <w:rFonts w:hint="eastAsia" w:hAnsi="Times New Roman" w:eastAsia="宋体"/>
                <w:spacing w:val="-1"/>
                <w:kern w:val="2"/>
                <w:position w:val="-1"/>
                <w:sz w:val="21"/>
                <w:szCs w:val="21"/>
              </w:rPr>
              <w:t>5</w:t>
            </w:r>
            <w:r>
              <w:rPr>
                <w:rFonts w:hint="eastAsia" w:hAnsi="Times New Roman" w:eastAsia="宋体"/>
                <w:spacing w:val="1"/>
                <w:kern w:val="2"/>
                <w:position w:val="-1"/>
                <w:sz w:val="21"/>
                <w:szCs w:val="21"/>
              </w:rPr>
              <w:t>6</w:t>
            </w:r>
            <w:r>
              <w:rPr>
                <w:rFonts w:hint="eastAsia" w:hAnsi="Times New Roman" w:eastAsia="宋体"/>
                <w:spacing w:val="-1"/>
                <w:kern w:val="2"/>
                <w:position w:val="-1"/>
                <w:sz w:val="21"/>
                <w:szCs w:val="21"/>
              </w:rPr>
              <w:t>18</w:t>
            </w:r>
            <w:r>
              <w:rPr>
                <w:rFonts w:hint="eastAsia" w:hAnsi="Times New Roman" w:eastAsia="宋体"/>
                <w:kern w:val="2"/>
                <w:sz w:val="21"/>
                <w:szCs w:val="21"/>
              </w:rPr>
              <w:sym w:font="Wingdings 2" w:char="0052"/>
            </w:r>
            <w:r>
              <w:rPr>
                <w:rFonts w:hint="eastAsia" w:hAnsi="Times New Roman" w:eastAsia="宋体"/>
                <w:kern w:val="2"/>
                <w:position w:val="-1"/>
                <w:sz w:val="21"/>
                <w:szCs w:val="21"/>
              </w:rPr>
              <w:t>；G</w:t>
            </w:r>
            <w:r>
              <w:rPr>
                <w:rFonts w:hint="eastAsia" w:hAnsi="Times New Roman" w:eastAsia="宋体"/>
                <w:w w:val="99"/>
                <w:kern w:val="2"/>
                <w:position w:val="-1"/>
                <w:sz w:val="21"/>
                <w:szCs w:val="21"/>
              </w:rPr>
              <w:t>B</w:t>
            </w:r>
            <w:r>
              <w:rPr>
                <w:rFonts w:hint="eastAsia" w:hAnsi="Times New Roman" w:eastAsia="宋体"/>
                <w:spacing w:val="1"/>
                <w:kern w:val="2"/>
                <w:position w:val="-1"/>
                <w:sz w:val="21"/>
                <w:szCs w:val="21"/>
              </w:rPr>
              <w:t xml:space="preserve"> 3</w:t>
            </w:r>
            <w:r>
              <w:rPr>
                <w:rFonts w:hint="eastAsia" w:hAnsi="Times New Roman" w:eastAsia="宋体"/>
                <w:spacing w:val="-1"/>
                <w:kern w:val="2"/>
                <w:position w:val="-1"/>
                <w:sz w:val="21"/>
                <w:szCs w:val="21"/>
              </w:rPr>
              <w:t>6</w:t>
            </w:r>
            <w:r>
              <w:rPr>
                <w:rFonts w:hint="eastAsia" w:hAnsi="Times New Roman" w:eastAsia="宋体"/>
                <w:spacing w:val="1"/>
                <w:kern w:val="2"/>
                <w:position w:val="-1"/>
                <w:sz w:val="21"/>
                <w:szCs w:val="21"/>
              </w:rPr>
              <w:t>6</w:t>
            </w:r>
            <w:r>
              <w:rPr>
                <w:rFonts w:hint="eastAsia" w:hAnsi="Times New Roman" w:eastAsia="宋体"/>
                <w:spacing w:val="-1"/>
                <w:kern w:val="2"/>
                <w:position w:val="-1"/>
                <w:sz w:val="21"/>
                <w:szCs w:val="21"/>
              </w:rPr>
              <w:t>0</w:t>
            </w:r>
            <w:r>
              <w:rPr>
                <w:rFonts w:hint="eastAsia" w:hAnsi="Times New Roman" w:eastAsia="宋体"/>
                <w:spacing w:val="1"/>
                <w:kern w:val="2"/>
                <w:position w:val="-1"/>
                <w:sz w:val="21"/>
                <w:szCs w:val="21"/>
              </w:rPr>
              <w:t>0</w:t>
            </w:r>
            <w:r>
              <w:rPr>
                <w:rFonts w:hint="eastAsia" w:hAnsi="Times New Roman" w:eastAsia="宋体"/>
                <w:kern w:val="2"/>
                <w:sz w:val="21"/>
                <w:szCs w:val="21"/>
              </w:rPr>
              <w:sym w:font="Wingdings 2" w:char="0052"/>
            </w:r>
            <w:r>
              <w:rPr>
                <w:rFonts w:hint="eastAsia" w:hAnsi="Times New Roman" w:eastAsia="宋体"/>
                <w:kern w:val="2"/>
                <w:position w:val="-1"/>
                <w:sz w:val="21"/>
                <w:szCs w:val="21"/>
              </w:rPr>
              <w:t>；表</w:t>
            </w:r>
            <w:r>
              <w:rPr>
                <w:rFonts w:hint="eastAsia" w:hAnsi="Times New Roman" w:eastAsia="宋体"/>
                <w:spacing w:val="-2"/>
                <w:kern w:val="2"/>
                <w:position w:val="-1"/>
                <w:sz w:val="21"/>
                <w:szCs w:val="21"/>
              </w:rPr>
              <w:t xml:space="preserve"> </w:t>
            </w:r>
            <w:r>
              <w:rPr>
                <w:rFonts w:hint="eastAsia" w:hAnsi="Times New Roman" w:eastAsia="宋体"/>
                <w:kern w:val="2"/>
                <w:position w:val="-1"/>
                <w:sz w:val="21"/>
                <w:szCs w:val="21"/>
              </w:rPr>
              <w:t>D</w:t>
            </w:r>
            <w:r>
              <w:rPr>
                <w:rFonts w:hint="eastAsia" w:hAnsi="Times New Roman" w:eastAsia="宋体"/>
                <w:spacing w:val="1"/>
                <w:kern w:val="2"/>
                <w:position w:val="-1"/>
                <w:sz w:val="21"/>
                <w:szCs w:val="21"/>
              </w:rPr>
              <w:t>.1</w:t>
            </w:r>
            <w:r>
              <w:rPr>
                <w:rFonts w:hint="eastAsia" w:hAnsi="Times New Roman" w:eastAsia="宋体"/>
                <w:kern w:val="2"/>
                <w:sz w:val="21"/>
                <w:szCs w:val="21"/>
              </w:rPr>
              <w:t>□</w:t>
            </w:r>
            <w:r>
              <w:rPr>
                <w:rFonts w:hint="eastAsia" w:hAnsi="Times New Roman" w:eastAsia="宋体"/>
                <w:kern w:val="2"/>
                <w:position w:val="-1"/>
                <w:sz w:val="21"/>
                <w:szCs w:val="21"/>
              </w:rPr>
              <w:t>；表</w:t>
            </w:r>
            <w:r>
              <w:rPr>
                <w:rFonts w:hint="eastAsia" w:hAnsi="Times New Roman" w:eastAsia="宋体"/>
                <w:spacing w:val="1"/>
                <w:kern w:val="2"/>
                <w:position w:val="-1"/>
                <w:sz w:val="21"/>
                <w:szCs w:val="21"/>
              </w:rPr>
              <w:t xml:space="preserve"> </w:t>
            </w:r>
            <w:r>
              <w:rPr>
                <w:rFonts w:hint="eastAsia" w:hAnsi="Times New Roman" w:eastAsia="宋体"/>
                <w:kern w:val="2"/>
                <w:position w:val="-1"/>
                <w:sz w:val="21"/>
                <w:szCs w:val="21"/>
              </w:rPr>
              <w:t>D</w:t>
            </w:r>
            <w:r>
              <w:rPr>
                <w:rFonts w:hint="eastAsia" w:hAnsi="Times New Roman" w:eastAsia="宋体"/>
                <w:spacing w:val="1"/>
                <w:kern w:val="2"/>
                <w:position w:val="-1"/>
                <w:sz w:val="21"/>
                <w:szCs w:val="21"/>
              </w:rPr>
              <w:t>.</w:t>
            </w:r>
            <w:r>
              <w:rPr>
                <w:rFonts w:hint="eastAsia" w:hAnsi="Times New Roman" w:eastAsia="宋体"/>
                <w:spacing w:val="-1"/>
                <w:kern w:val="2"/>
                <w:position w:val="-1"/>
                <w:sz w:val="21"/>
                <w:szCs w:val="21"/>
              </w:rPr>
              <w:t>2</w:t>
            </w:r>
            <w:r>
              <w:rPr>
                <w:rFonts w:hint="eastAsia" w:hAnsi="Times New Roman" w:eastAsia="宋体"/>
                <w:kern w:val="2"/>
                <w:sz w:val="21"/>
                <w:szCs w:val="21"/>
              </w:rPr>
              <w:t>□</w:t>
            </w:r>
            <w:r>
              <w:rPr>
                <w:rFonts w:hint="eastAsia" w:hAnsi="Times New Roman" w:eastAsia="宋体"/>
                <w:kern w:val="2"/>
                <w:position w:val="-1"/>
                <w:sz w:val="21"/>
                <w:szCs w:val="21"/>
              </w:rPr>
              <w:t>；其他（        ）</w:t>
            </w:r>
          </w:p>
        </w:tc>
        <w:tc>
          <w:tcPr>
            <w:tcW w:w="685"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54" w:type="pct"/>
            <w:vMerge w:val="continue"/>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p>
        </w:tc>
        <w:tc>
          <w:tcPr>
            <w:tcW w:w="750"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现状评价结论</w:t>
            </w:r>
          </w:p>
        </w:tc>
        <w:tc>
          <w:tcPr>
            <w:tcW w:w="3311" w:type="pct"/>
            <w:gridSpan w:val="5"/>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项目用地范围内</w:t>
            </w:r>
            <w:r>
              <w:rPr>
                <w:rFonts w:hint="eastAsia" w:hAnsi="Times New Roman" w:eastAsia="宋体"/>
                <w:kern w:val="2"/>
                <w:sz w:val="21"/>
                <w:szCs w:val="21"/>
                <w:lang w:eastAsia="zh-CN"/>
              </w:rPr>
              <w:t>各监测因子均满足</w:t>
            </w:r>
            <w:r>
              <w:rPr>
                <w:rFonts w:hint="eastAsia" w:hAnsi="Times New Roman" w:eastAsia="宋体"/>
                <w:kern w:val="2"/>
                <w:sz w:val="21"/>
                <w:szCs w:val="21"/>
              </w:rPr>
              <w:t>《土壤环境质量建设用地土壤污染风险管控标准（试行）》（GB36600-2018）中第二类用地“筛选值”标准，用地范围外</w:t>
            </w:r>
            <w:r>
              <w:rPr>
                <w:rFonts w:hint="eastAsia" w:hAnsi="Times New Roman" w:eastAsia="宋体"/>
                <w:kern w:val="2"/>
                <w:sz w:val="21"/>
                <w:szCs w:val="21"/>
                <w:lang w:eastAsia="zh-CN"/>
              </w:rPr>
              <w:t>各监测因子均满足</w:t>
            </w:r>
            <w:r>
              <w:rPr>
                <w:rFonts w:hint="eastAsia" w:hAnsi="Times New Roman" w:eastAsia="宋体"/>
                <w:kern w:val="2"/>
                <w:sz w:val="21"/>
                <w:szCs w:val="21"/>
              </w:rPr>
              <w:t>《土壤环境质量农用地土壤污染风险管控标准（试行）》（GB15618-2018）表1中相关标准</w:t>
            </w:r>
          </w:p>
        </w:tc>
        <w:tc>
          <w:tcPr>
            <w:tcW w:w="685"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54" w:type="pct"/>
            <w:vMerge w:val="restar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影响 预测</w:t>
            </w:r>
          </w:p>
        </w:tc>
        <w:tc>
          <w:tcPr>
            <w:tcW w:w="750"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position w:val="-1"/>
                <w:sz w:val="21"/>
                <w:szCs w:val="21"/>
              </w:rPr>
              <w:t>预测因子</w:t>
            </w:r>
          </w:p>
        </w:tc>
        <w:tc>
          <w:tcPr>
            <w:tcW w:w="3311" w:type="pct"/>
            <w:gridSpan w:val="5"/>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685"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54" w:type="pct"/>
            <w:vMerge w:val="continue"/>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p>
        </w:tc>
        <w:tc>
          <w:tcPr>
            <w:tcW w:w="750"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position w:val="-1"/>
                <w:sz w:val="21"/>
                <w:szCs w:val="21"/>
              </w:rPr>
              <w:t>预测方法</w:t>
            </w:r>
          </w:p>
        </w:tc>
        <w:tc>
          <w:tcPr>
            <w:tcW w:w="3311" w:type="pct"/>
            <w:gridSpan w:val="5"/>
            <w:vAlign w:val="center"/>
          </w:tcPr>
          <w:p>
            <w:pPr>
              <w:keepNext w:val="0"/>
              <w:keepLines w:val="0"/>
              <w:suppressLineNumbers w:val="0"/>
              <w:tabs>
                <w:tab w:val="left" w:pos="2920"/>
              </w:tabs>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position w:val="-1"/>
                <w:sz w:val="21"/>
                <w:szCs w:val="21"/>
              </w:rPr>
              <w:t>附录</w:t>
            </w:r>
            <w:r>
              <w:rPr>
                <w:rFonts w:hint="eastAsia" w:hAnsi="Times New Roman" w:eastAsia="宋体"/>
                <w:spacing w:val="1"/>
                <w:kern w:val="2"/>
                <w:position w:val="-1"/>
                <w:sz w:val="21"/>
                <w:szCs w:val="21"/>
              </w:rPr>
              <w:t xml:space="preserve"> </w:t>
            </w:r>
            <w:r>
              <w:rPr>
                <w:rFonts w:hint="eastAsia" w:hAnsi="Times New Roman" w:eastAsia="宋体"/>
                <w:spacing w:val="-2"/>
                <w:w w:val="99"/>
                <w:kern w:val="2"/>
                <w:position w:val="-1"/>
                <w:sz w:val="21"/>
                <w:szCs w:val="21"/>
              </w:rPr>
              <w:t>E</w:t>
            </w:r>
            <w:r>
              <w:rPr>
                <w:rFonts w:hint="eastAsia" w:hAnsi="Times New Roman" w:eastAsia="宋体"/>
                <w:kern w:val="2"/>
                <w:sz w:val="21"/>
                <w:szCs w:val="21"/>
              </w:rPr>
              <w:t>□</w:t>
            </w:r>
            <w:r>
              <w:rPr>
                <w:rFonts w:hint="eastAsia" w:hAnsi="Times New Roman" w:eastAsia="宋体"/>
                <w:kern w:val="2"/>
                <w:position w:val="-1"/>
                <w:sz w:val="21"/>
                <w:szCs w:val="21"/>
              </w:rPr>
              <w:t>；附录</w:t>
            </w:r>
            <w:r>
              <w:rPr>
                <w:rFonts w:hint="eastAsia" w:hAnsi="Times New Roman" w:eastAsia="宋体"/>
                <w:spacing w:val="1"/>
                <w:kern w:val="2"/>
                <w:position w:val="-1"/>
                <w:sz w:val="21"/>
                <w:szCs w:val="21"/>
              </w:rPr>
              <w:t xml:space="preserve"> F</w:t>
            </w:r>
            <w:r>
              <w:rPr>
                <w:rFonts w:hint="eastAsia" w:hAnsi="Times New Roman" w:eastAsia="宋体"/>
                <w:kern w:val="2"/>
                <w:sz w:val="21"/>
                <w:szCs w:val="21"/>
              </w:rPr>
              <w:t>□</w:t>
            </w:r>
            <w:r>
              <w:rPr>
                <w:rFonts w:hint="eastAsia" w:hAnsi="Times New Roman" w:eastAsia="宋体"/>
                <w:kern w:val="2"/>
                <w:position w:val="-1"/>
                <w:sz w:val="21"/>
                <w:szCs w:val="21"/>
              </w:rPr>
              <w:t xml:space="preserve">；其他（ </w:t>
            </w:r>
            <w:r>
              <w:rPr>
                <w:rFonts w:hint="eastAsia" w:hAnsi="Times New Roman" w:eastAsia="宋体"/>
                <w:kern w:val="2"/>
                <w:sz w:val="21"/>
                <w:szCs w:val="21"/>
                <w:lang w:eastAsia="zh-CN"/>
              </w:rPr>
              <w:t>定性分析</w:t>
            </w:r>
            <w:r>
              <w:rPr>
                <w:rFonts w:hint="eastAsia" w:hAnsi="Times New Roman" w:eastAsia="宋体"/>
                <w:kern w:val="2"/>
                <w:position w:val="-1"/>
                <w:sz w:val="21"/>
                <w:szCs w:val="21"/>
              </w:rPr>
              <w:t xml:space="preserve"> ）</w:t>
            </w:r>
          </w:p>
        </w:tc>
        <w:tc>
          <w:tcPr>
            <w:tcW w:w="685"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54" w:type="pct"/>
            <w:vMerge w:val="continue"/>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p>
        </w:tc>
        <w:tc>
          <w:tcPr>
            <w:tcW w:w="750"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预测分析内容</w:t>
            </w:r>
          </w:p>
        </w:tc>
        <w:tc>
          <w:tcPr>
            <w:tcW w:w="3311" w:type="pct"/>
            <w:gridSpan w:val="5"/>
            <w:vAlign w:val="center"/>
          </w:tcPr>
          <w:p>
            <w:pPr>
              <w:keepNext w:val="0"/>
              <w:keepLines w:val="0"/>
              <w:suppressLineNumbers w:val="0"/>
              <w:tabs>
                <w:tab w:val="left" w:pos="1620"/>
              </w:tabs>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position w:val="-1"/>
                <w:sz w:val="21"/>
                <w:szCs w:val="21"/>
              </w:rPr>
              <w:t>影响范围（</w:t>
            </w:r>
            <w:r>
              <w:rPr>
                <w:rFonts w:hint="eastAsia" w:hAnsi="Times New Roman" w:eastAsia="宋体"/>
                <w:kern w:val="2"/>
                <w:sz w:val="21"/>
                <w:szCs w:val="21"/>
                <w:lang w:eastAsia="zh-CN"/>
              </w:rPr>
              <w:t>主要在占地范围内</w:t>
            </w:r>
            <w:r>
              <w:rPr>
                <w:rFonts w:hint="eastAsia" w:hAnsi="Times New Roman" w:eastAsia="宋体"/>
                <w:kern w:val="2"/>
                <w:position w:val="-1"/>
                <w:sz w:val="21"/>
                <w:szCs w:val="21"/>
              </w:rPr>
              <w:t>）</w:t>
            </w:r>
          </w:p>
          <w:p>
            <w:pPr>
              <w:keepNext w:val="0"/>
              <w:keepLines w:val="0"/>
              <w:suppressLineNumbers w:val="0"/>
              <w:tabs>
                <w:tab w:val="left" w:pos="1620"/>
              </w:tabs>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影响程度</w:t>
            </w:r>
            <w:r>
              <w:rPr>
                <w:rFonts w:hint="eastAsia" w:hAnsi="Times New Roman" w:eastAsia="宋体"/>
                <w:kern w:val="2"/>
                <w:position w:val="-1"/>
                <w:sz w:val="21"/>
                <w:szCs w:val="21"/>
              </w:rPr>
              <w:t>（</w:t>
            </w:r>
            <w:r>
              <w:rPr>
                <w:rFonts w:hint="eastAsia" w:hAnsi="Times New Roman" w:eastAsia="宋体"/>
                <w:kern w:val="2"/>
                <w:sz w:val="21"/>
                <w:szCs w:val="21"/>
                <w:lang w:eastAsia="zh-CN"/>
              </w:rPr>
              <w:t>生态与污染影响均较轻</w:t>
            </w:r>
            <w:r>
              <w:rPr>
                <w:rFonts w:hint="eastAsia" w:hAnsi="Times New Roman" w:eastAsia="宋体"/>
                <w:kern w:val="2"/>
                <w:position w:val="-1"/>
                <w:sz w:val="21"/>
                <w:szCs w:val="21"/>
              </w:rPr>
              <w:t>）</w:t>
            </w:r>
          </w:p>
        </w:tc>
        <w:tc>
          <w:tcPr>
            <w:tcW w:w="685"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54" w:type="pct"/>
            <w:vMerge w:val="continue"/>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p>
        </w:tc>
        <w:tc>
          <w:tcPr>
            <w:tcW w:w="750"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预测结论</w:t>
            </w:r>
          </w:p>
        </w:tc>
        <w:tc>
          <w:tcPr>
            <w:tcW w:w="3311" w:type="pct"/>
            <w:gridSpan w:val="5"/>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position w:val="-1"/>
                <w:sz w:val="21"/>
                <w:szCs w:val="21"/>
              </w:rPr>
              <w:t>达标结论：</w:t>
            </w:r>
            <w:r>
              <w:rPr>
                <w:rFonts w:hint="eastAsia" w:hAnsi="Times New Roman" w:eastAsia="宋体"/>
                <w:spacing w:val="-1"/>
                <w:w w:val="99"/>
                <w:kern w:val="2"/>
                <w:position w:val="-1"/>
                <w:sz w:val="21"/>
                <w:szCs w:val="21"/>
              </w:rPr>
              <w:t>a</w:t>
            </w:r>
            <w:r>
              <w:rPr>
                <w:rFonts w:hint="eastAsia" w:hAnsi="Times New Roman" w:eastAsia="宋体"/>
                <w:kern w:val="2"/>
                <w:position w:val="-1"/>
                <w:sz w:val="21"/>
                <w:szCs w:val="21"/>
              </w:rPr>
              <w:t>）</w:t>
            </w:r>
            <w:r>
              <w:rPr>
                <w:rFonts w:hint="eastAsia" w:hAnsi="Times New Roman" w:eastAsia="宋体"/>
                <w:kern w:val="2"/>
                <w:sz w:val="21"/>
                <w:szCs w:val="21"/>
              </w:rPr>
              <w:t>□</w:t>
            </w:r>
            <w:r>
              <w:rPr>
                <w:rFonts w:hint="eastAsia" w:hAnsi="Times New Roman" w:eastAsia="宋体"/>
                <w:kern w:val="2"/>
                <w:position w:val="-1"/>
                <w:sz w:val="21"/>
                <w:szCs w:val="21"/>
              </w:rPr>
              <w:t>；</w:t>
            </w:r>
            <w:r>
              <w:rPr>
                <w:rFonts w:hint="eastAsia" w:hAnsi="Times New Roman" w:eastAsia="宋体"/>
                <w:spacing w:val="-1"/>
                <w:kern w:val="2"/>
                <w:position w:val="-1"/>
                <w:sz w:val="21"/>
                <w:szCs w:val="21"/>
              </w:rPr>
              <w:t>b</w:t>
            </w:r>
            <w:r>
              <w:rPr>
                <w:rFonts w:hint="eastAsia" w:hAnsi="Times New Roman" w:eastAsia="宋体"/>
                <w:kern w:val="2"/>
                <w:position w:val="-1"/>
                <w:sz w:val="21"/>
                <w:szCs w:val="21"/>
              </w:rPr>
              <w:t>）</w:t>
            </w:r>
            <w:r>
              <w:rPr>
                <w:rFonts w:hint="eastAsia" w:hAnsi="Times New Roman" w:eastAsia="宋体"/>
                <w:kern w:val="2"/>
                <w:sz w:val="21"/>
                <w:szCs w:val="21"/>
              </w:rPr>
              <w:t>□</w:t>
            </w:r>
            <w:r>
              <w:rPr>
                <w:rFonts w:hint="eastAsia" w:hAnsi="Times New Roman" w:eastAsia="宋体"/>
                <w:kern w:val="2"/>
                <w:position w:val="-1"/>
                <w:sz w:val="21"/>
                <w:szCs w:val="21"/>
              </w:rPr>
              <w:t>；</w:t>
            </w:r>
            <w:r>
              <w:rPr>
                <w:rFonts w:hint="eastAsia" w:hAnsi="Times New Roman" w:eastAsia="宋体"/>
                <w:spacing w:val="2"/>
                <w:w w:val="99"/>
                <w:kern w:val="2"/>
                <w:position w:val="-1"/>
                <w:sz w:val="21"/>
                <w:szCs w:val="21"/>
              </w:rPr>
              <w:t>c</w:t>
            </w:r>
            <w:r>
              <w:rPr>
                <w:rFonts w:hint="eastAsia" w:hAnsi="Times New Roman" w:eastAsia="宋体"/>
                <w:kern w:val="2"/>
                <w:position w:val="-1"/>
                <w:sz w:val="21"/>
                <w:szCs w:val="21"/>
              </w:rPr>
              <w:t>）</w:t>
            </w:r>
            <w:r>
              <w:rPr>
                <w:rFonts w:hint="eastAsia" w:hAnsi="Times New Roman" w:eastAsia="宋体"/>
                <w:kern w:val="2"/>
                <w:sz w:val="21"/>
                <w:szCs w:val="21"/>
              </w:rPr>
              <w:t>□</w:t>
            </w:r>
          </w:p>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不达标结论：</w:t>
            </w:r>
            <w:r>
              <w:rPr>
                <w:rFonts w:hint="eastAsia" w:hAnsi="Times New Roman" w:eastAsia="宋体"/>
                <w:spacing w:val="-1"/>
                <w:w w:val="99"/>
                <w:kern w:val="2"/>
                <w:sz w:val="21"/>
                <w:szCs w:val="21"/>
              </w:rPr>
              <w:t>a</w:t>
            </w:r>
            <w:r>
              <w:rPr>
                <w:rFonts w:hint="eastAsia" w:hAnsi="Times New Roman" w:eastAsia="宋体"/>
                <w:kern w:val="2"/>
                <w:sz w:val="21"/>
                <w:szCs w:val="21"/>
              </w:rPr>
              <w:t>）□；</w:t>
            </w:r>
            <w:r>
              <w:rPr>
                <w:rFonts w:hint="eastAsia" w:hAnsi="Times New Roman" w:eastAsia="宋体"/>
                <w:spacing w:val="-1"/>
                <w:kern w:val="2"/>
                <w:sz w:val="21"/>
                <w:szCs w:val="21"/>
              </w:rPr>
              <w:t>b</w:t>
            </w:r>
            <w:r>
              <w:rPr>
                <w:rFonts w:hint="eastAsia" w:hAnsi="Times New Roman" w:eastAsia="宋体"/>
                <w:kern w:val="2"/>
                <w:sz w:val="21"/>
                <w:szCs w:val="21"/>
              </w:rPr>
              <w:t>）□</w:t>
            </w:r>
          </w:p>
        </w:tc>
        <w:tc>
          <w:tcPr>
            <w:tcW w:w="685"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54" w:type="pct"/>
            <w:vMerge w:val="restar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position w:val="-1"/>
                <w:sz w:val="21"/>
                <w:szCs w:val="21"/>
              </w:rPr>
              <w:t>防</w:t>
            </w:r>
            <w:r>
              <w:rPr>
                <w:rFonts w:hint="eastAsia" w:hAnsi="Times New Roman" w:eastAsia="宋体"/>
                <w:kern w:val="2"/>
                <w:sz w:val="21"/>
                <w:szCs w:val="21"/>
              </w:rPr>
              <w:t>治 措施</w:t>
            </w:r>
          </w:p>
        </w:tc>
        <w:tc>
          <w:tcPr>
            <w:tcW w:w="750"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position w:val="-1"/>
                <w:sz w:val="21"/>
                <w:szCs w:val="21"/>
              </w:rPr>
              <w:t>防控措施</w:t>
            </w:r>
          </w:p>
        </w:tc>
        <w:tc>
          <w:tcPr>
            <w:tcW w:w="3311" w:type="pct"/>
            <w:gridSpan w:val="5"/>
            <w:vAlign w:val="center"/>
          </w:tcPr>
          <w:p>
            <w:pPr>
              <w:keepNext w:val="0"/>
              <w:keepLines w:val="0"/>
              <w:suppressLineNumbers w:val="0"/>
              <w:tabs>
                <w:tab w:val="left" w:pos="5500"/>
              </w:tabs>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position w:val="-1"/>
                <w:sz w:val="21"/>
                <w:szCs w:val="21"/>
              </w:rPr>
              <w:t>土壤环境质量现状保障</w:t>
            </w:r>
            <w:r>
              <w:rPr>
                <w:rFonts w:hint="eastAsia" w:hAnsi="Times New Roman" w:eastAsia="宋体"/>
                <w:kern w:val="2"/>
                <w:sz w:val="21"/>
                <w:szCs w:val="21"/>
              </w:rPr>
              <w:sym w:font="Wingdings 2" w:char="0052"/>
            </w:r>
            <w:r>
              <w:rPr>
                <w:rFonts w:hint="eastAsia" w:hAnsi="Times New Roman" w:eastAsia="宋体"/>
                <w:kern w:val="2"/>
                <w:position w:val="-1"/>
                <w:sz w:val="21"/>
                <w:szCs w:val="21"/>
              </w:rPr>
              <w:t>；源头控制</w:t>
            </w:r>
            <w:r>
              <w:rPr>
                <w:rFonts w:hint="eastAsia" w:hAnsi="Times New Roman" w:eastAsia="宋体"/>
                <w:kern w:val="2"/>
                <w:sz w:val="21"/>
                <w:szCs w:val="21"/>
              </w:rPr>
              <w:sym w:font="Wingdings 2" w:char="0052"/>
            </w:r>
            <w:r>
              <w:rPr>
                <w:rFonts w:hint="eastAsia" w:hAnsi="Times New Roman" w:eastAsia="宋体"/>
                <w:kern w:val="2"/>
                <w:position w:val="-1"/>
                <w:sz w:val="21"/>
                <w:szCs w:val="21"/>
              </w:rPr>
              <w:t>；过程防控</w:t>
            </w:r>
            <w:r>
              <w:rPr>
                <w:rFonts w:hint="eastAsia" w:hAnsi="Times New Roman" w:eastAsia="宋体"/>
                <w:kern w:val="2"/>
                <w:sz w:val="21"/>
                <w:szCs w:val="21"/>
              </w:rPr>
              <w:sym w:font="Wingdings 2" w:char="0052"/>
            </w:r>
            <w:r>
              <w:rPr>
                <w:rFonts w:hint="eastAsia" w:hAnsi="Times New Roman" w:eastAsia="宋体"/>
                <w:kern w:val="2"/>
                <w:position w:val="-1"/>
                <w:sz w:val="21"/>
                <w:szCs w:val="21"/>
              </w:rPr>
              <w:t>；其他（        ）</w:t>
            </w:r>
          </w:p>
        </w:tc>
        <w:tc>
          <w:tcPr>
            <w:tcW w:w="685"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54" w:type="pct"/>
            <w:vMerge w:val="continue"/>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p>
        </w:tc>
        <w:tc>
          <w:tcPr>
            <w:tcW w:w="750" w:type="pct"/>
            <w:vMerge w:val="restar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rPr>
              <w:t>跟踪监测</w:t>
            </w:r>
          </w:p>
        </w:tc>
        <w:tc>
          <w:tcPr>
            <w:tcW w:w="1232" w:type="pct"/>
            <w:gridSpan w:val="2"/>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position w:val="-1"/>
                <w:sz w:val="21"/>
                <w:szCs w:val="21"/>
              </w:rPr>
              <w:t>监测点数</w:t>
            </w:r>
          </w:p>
        </w:tc>
        <w:tc>
          <w:tcPr>
            <w:tcW w:w="1493" w:type="pct"/>
            <w:gridSpan w:val="2"/>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position w:val="-1"/>
                <w:sz w:val="21"/>
                <w:szCs w:val="21"/>
              </w:rPr>
              <w:t>监测指标</w:t>
            </w:r>
          </w:p>
        </w:tc>
        <w:tc>
          <w:tcPr>
            <w:tcW w:w="585"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position w:val="-1"/>
                <w:sz w:val="21"/>
                <w:szCs w:val="21"/>
              </w:rPr>
              <w:t>监测频次</w:t>
            </w:r>
          </w:p>
        </w:tc>
        <w:tc>
          <w:tcPr>
            <w:tcW w:w="685" w:type="pct"/>
            <w:vMerge w:val="restar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54" w:type="pct"/>
            <w:vMerge w:val="continue"/>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p>
        </w:tc>
        <w:tc>
          <w:tcPr>
            <w:tcW w:w="750" w:type="pct"/>
            <w:vMerge w:val="continue"/>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p>
        </w:tc>
        <w:tc>
          <w:tcPr>
            <w:tcW w:w="1232" w:type="pct"/>
            <w:gridSpan w:val="2"/>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position w:val="-1"/>
                <w:sz w:val="21"/>
                <w:szCs w:val="21"/>
                <w:lang w:eastAsia="zh-CN"/>
              </w:rPr>
            </w:pPr>
            <w:r>
              <w:rPr>
                <w:rFonts w:hint="eastAsia" w:hAnsi="Times New Roman" w:eastAsia="宋体"/>
                <w:kern w:val="2"/>
                <w:position w:val="-1"/>
                <w:sz w:val="21"/>
                <w:szCs w:val="21"/>
                <w:lang w:eastAsia="zh-CN"/>
              </w:rPr>
              <w:t>2</w:t>
            </w:r>
          </w:p>
        </w:tc>
        <w:tc>
          <w:tcPr>
            <w:tcW w:w="1493" w:type="pct"/>
            <w:gridSpan w:val="2"/>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position w:val="-1"/>
                <w:sz w:val="21"/>
                <w:szCs w:val="21"/>
              </w:rPr>
            </w:pPr>
            <w:r>
              <w:rPr>
                <w:rFonts w:hint="eastAsia" w:hAnsi="Times New Roman" w:eastAsia="宋体"/>
                <w:kern w:val="2"/>
                <w:position w:val="-1"/>
                <w:sz w:val="21"/>
                <w:szCs w:val="21"/>
                <w:lang w:eastAsia="zh-CN"/>
              </w:rPr>
              <w:t>PH、镉、汞、砷、铅、铬、铜、镍、锌</w:t>
            </w:r>
          </w:p>
        </w:tc>
        <w:tc>
          <w:tcPr>
            <w:tcW w:w="585"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1次/5年</w:t>
            </w:r>
          </w:p>
        </w:tc>
        <w:tc>
          <w:tcPr>
            <w:tcW w:w="685" w:type="pct"/>
            <w:vMerge w:val="continue"/>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54" w:type="pct"/>
            <w:vMerge w:val="continue"/>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p>
        </w:tc>
        <w:tc>
          <w:tcPr>
            <w:tcW w:w="750"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position w:val="-1"/>
                <w:sz w:val="21"/>
                <w:szCs w:val="21"/>
              </w:rPr>
              <w:t>信息公开指标</w:t>
            </w:r>
          </w:p>
        </w:tc>
        <w:tc>
          <w:tcPr>
            <w:tcW w:w="3311" w:type="pct"/>
            <w:gridSpan w:val="5"/>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p>
        </w:tc>
        <w:tc>
          <w:tcPr>
            <w:tcW w:w="685" w:type="pct"/>
            <w:vMerge w:val="continue"/>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1004" w:type="pct"/>
            <w:gridSpan w:val="2"/>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position w:val="-1"/>
                <w:sz w:val="21"/>
                <w:szCs w:val="21"/>
              </w:rPr>
              <w:t>评价结论</w:t>
            </w:r>
          </w:p>
        </w:tc>
        <w:tc>
          <w:tcPr>
            <w:tcW w:w="3311" w:type="pct"/>
            <w:gridSpan w:val="5"/>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可以接受</w:t>
            </w:r>
            <w:r>
              <w:rPr>
                <w:rFonts w:hint="eastAsia" w:hAnsi="Times New Roman" w:eastAsia="宋体"/>
                <w:kern w:val="2"/>
                <w:sz w:val="21"/>
                <w:szCs w:val="21"/>
                <w:lang w:eastAsia="zh-CN"/>
              </w:rPr>
              <w:sym w:font="Wingdings 2" w:char="0052"/>
            </w:r>
            <w:r>
              <w:rPr>
                <w:rFonts w:hint="eastAsia" w:hAnsi="Times New Roman" w:eastAsia="宋体"/>
                <w:kern w:val="2"/>
                <w:sz w:val="21"/>
                <w:szCs w:val="21"/>
                <w:lang w:eastAsia="zh-CN"/>
              </w:rPr>
              <w:t>；不可以接受□</w:t>
            </w:r>
          </w:p>
        </w:tc>
        <w:tc>
          <w:tcPr>
            <w:tcW w:w="685" w:type="pct"/>
            <w:vAlign w:val="center"/>
          </w:tcPr>
          <w:p>
            <w:pPr>
              <w:keepNext w:val="0"/>
              <w:keepLines w:val="0"/>
              <w:suppressLineNumbers w:val="0"/>
              <w:autoSpaceDE w:val="0"/>
              <w:autoSpaceDN w:val="0"/>
              <w:adjustRightInd w:val="0"/>
              <w:spacing w:before="0" w:beforeAutospacing="0" w:after="0" w:afterAutospacing="0" w:line="240" w:lineRule="exact"/>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5000" w:type="pct"/>
            <w:gridSpan w:val="8"/>
            <w:vAlign w:val="center"/>
          </w:tcPr>
          <w:p>
            <w:pPr>
              <w:keepNext w:val="0"/>
              <w:keepLines w:val="0"/>
              <w:suppressLineNumbers w:val="0"/>
              <w:autoSpaceDE w:val="0"/>
              <w:autoSpaceDN w:val="0"/>
              <w:adjustRightInd w:val="0"/>
              <w:spacing w:before="0" w:beforeAutospacing="0" w:after="0" w:afterAutospacing="0" w:line="240" w:lineRule="exact"/>
              <w:ind w:left="0" w:right="0"/>
              <w:jc w:val="left"/>
              <w:rPr>
                <w:rFonts w:hint="eastAsia" w:hAnsi="Times New Roman" w:eastAsia="宋体"/>
                <w:kern w:val="2"/>
                <w:sz w:val="21"/>
                <w:szCs w:val="21"/>
              </w:rPr>
            </w:pPr>
            <w:r>
              <w:rPr>
                <w:rFonts w:hint="eastAsia" w:hAnsi="Times New Roman" w:eastAsia="宋体"/>
                <w:kern w:val="2"/>
                <w:position w:val="-1"/>
                <w:sz w:val="21"/>
                <w:szCs w:val="21"/>
              </w:rPr>
              <w:t>注</w:t>
            </w:r>
            <w:r>
              <w:rPr>
                <w:rFonts w:hint="eastAsia" w:hAnsi="Times New Roman" w:eastAsia="宋体"/>
                <w:spacing w:val="1"/>
                <w:kern w:val="2"/>
                <w:position w:val="-1"/>
                <w:sz w:val="21"/>
                <w:szCs w:val="21"/>
              </w:rPr>
              <w:t xml:space="preserve"> </w:t>
            </w:r>
            <w:r>
              <w:rPr>
                <w:rFonts w:hint="eastAsia" w:hAnsi="Times New Roman" w:eastAsia="宋体"/>
                <w:spacing w:val="-1"/>
                <w:kern w:val="2"/>
                <w:position w:val="-1"/>
                <w:sz w:val="21"/>
                <w:szCs w:val="21"/>
              </w:rPr>
              <w:t>1</w:t>
            </w:r>
            <w:r>
              <w:rPr>
                <w:rFonts w:hint="eastAsia" w:hAnsi="Times New Roman" w:eastAsia="宋体"/>
                <w:kern w:val="2"/>
                <w:position w:val="-1"/>
                <w:sz w:val="21"/>
                <w:szCs w:val="21"/>
              </w:rPr>
              <w:t>：“</w:t>
            </w:r>
            <w:r>
              <w:rPr>
                <w:rFonts w:hint="eastAsia" w:hAnsi="Times New Roman" w:eastAsia="宋体"/>
                <w:kern w:val="2"/>
                <w:sz w:val="21"/>
                <w:szCs w:val="21"/>
              </w:rPr>
              <w:t>□</w:t>
            </w:r>
            <w:r>
              <w:rPr>
                <w:rFonts w:hint="eastAsia" w:hAnsi="Times New Roman" w:eastAsia="宋体"/>
                <w:kern w:val="2"/>
                <w:position w:val="-1"/>
                <w:sz w:val="21"/>
                <w:szCs w:val="21"/>
              </w:rPr>
              <w:t>”为勾选项，可</w:t>
            </w:r>
            <w:r>
              <w:rPr>
                <w:rFonts w:hint="eastAsia" w:hAnsi="Times New Roman" w:eastAsia="宋体"/>
                <w:w w:val="142"/>
                <w:kern w:val="2"/>
                <w:position w:val="-1"/>
                <w:sz w:val="21"/>
                <w:szCs w:val="21"/>
              </w:rPr>
              <w:t>√</w:t>
            </w:r>
            <w:r>
              <w:rPr>
                <w:rFonts w:hint="eastAsia" w:hAnsi="Times New Roman" w:eastAsia="宋体"/>
                <w:kern w:val="2"/>
                <w:position w:val="-1"/>
                <w:sz w:val="21"/>
                <w:szCs w:val="21"/>
              </w:rPr>
              <w:t xml:space="preserve">；“（ </w:t>
            </w:r>
            <w:r>
              <w:rPr>
                <w:rFonts w:hint="eastAsia" w:hAnsi="Times New Roman" w:eastAsia="宋体"/>
                <w:spacing w:val="1"/>
                <w:kern w:val="2"/>
                <w:position w:val="-1"/>
                <w:sz w:val="21"/>
                <w:szCs w:val="21"/>
              </w:rPr>
              <w:t xml:space="preserve"> </w:t>
            </w:r>
            <w:r>
              <w:rPr>
                <w:rFonts w:hint="eastAsia" w:hAnsi="Times New Roman" w:eastAsia="宋体"/>
                <w:kern w:val="2"/>
                <w:position w:val="-1"/>
                <w:sz w:val="21"/>
                <w:szCs w:val="21"/>
              </w:rPr>
              <w:t>）”为内容填写项；“备注”为其他补充内容。</w:t>
            </w:r>
          </w:p>
          <w:p>
            <w:pPr>
              <w:keepNext w:val="0"/>
              <w:keepLines w:val="0"/>
              <w:suppressLineNumbers w:val="0"/>
              <w:autoSpaceDE w:val="0"/>
              <w:autoSpaceDN w:val="0"/>
              <w:adjustRightInd w:val="0"/>
              <w:spacing w:before="0" w:beforeAutospacing="0" w:after="0" w:afterAutospacing="0" w:line="240" w:lineRule="exact"/>
              <w:ind w:left="0" w:right="0"/>
              <w:jc w:val="left"/>
              <w:rPr>
                <w:rFonts w:hint="eastAsia" w:hAnsi="Times New Roman" w:eastAsia="宋体"/>
                <w:kern w:val="2"/>
                <w:sz w:val="21"/>
                <w:szCs w:val="21"/>
              </w:rPr>
            </w:pPr>
            <w:r>
              <w:rPr>
                <w:rFonts w:hint="eastAsia" w:hAnsi="Times New Roman" w:eastAsia="宋体"/>
                <w:kern w:val="2"/>
                <w:sz w:val="21"/>
                <w:szCs w:val="21"/>
              </w:rPr>
              <w:t>注</w:t>
            </w:r>
            <w:r>
              <w:rPr>
                <w:rFonts w:hint="eastAsia" w:hAnsi="Times New Roman" w:eastAsia="宋体"/>
                <w:spacing w:val="1"/>
                <w:kern w:val="2"/>
                <w:sz w:val="21"/>
                <w:szCs w:val="21"/>
              </w:rPr>
              <w:t xml:space="preserve"> </w:t>
            </w:r>
            <w:r>
              <w:rPr>
                <w:rFonts w:hint="eastAsia" w:hAnsi="Times New Roman" w:eastAsia="宋体"/>
                <w:spacing w:val="-1"/>
                <w:kern w:val="2"/>
                <w:sz w:val="21"/>
                <w:szCs w:val="21"/>
              </w:rPr>
              <w:t>2</w:t>
            </w:r>
            <w:r>
              <w:rPr>
                <w:rFonts w:hint="eastAsia" w:hAnsi="Times New Roman" w:eastAsia="宋体"/>
                <w:kern w:val="2"/>
                <w:sz w:val="21"/>
                <w:szCs w:val="21"/>
              </w:rPr>
              <w:t>：需要分别开展土壤</w:t>
            </w:r>
            <w:r>
              <w:rPr>
                <w:rFonts w:hint="eastAsia" w:hAnsi="Times New Roman" w:eastAsia="宋体"/>
                <w:kern w:val="2"/>
                <w:sz w:val="21"/>
                <w:szCs w:val="21"/>
                <w:lang w:eastAsia="zh-CN"/>
              </w:rPr>
              <w:t>环境影响评价</w:t>
            </w:r>
            <w:r>
              <w:rPr>
                <w:rFonts w:hint="eastAsia" w:hAnsi="Times New Roman" w:eastAsia="宋体"/>
                <w:kern w:val="2"/>
                <w:sz w:val="21"/>
                <w:szCs w:val="21"/>
              </w:rPr>
              <w:t>工作的，分别填写自查表。</w:t>
            </w:r>
          </w:p>
        </w:tc>
      </w:tr>
    </w:tbl>
    <w:p>
      <w:pPr>
        <w:ind w:firstLine="480" w:firstLineChars="200"/>
        <w:rPr>
          <w:rFonts w:hAnsi="Times New Roman" w:eastAsia="宋体"/>
          <w:lang w:eastAsia="zh-CN"/>
        </w:rPr>
      </w:pPr>
    </w:p>
    <w:p>
      <w:pPr>
        <w:spacing w:line="360" w:lineRule="auto"/>
        <w:ind w:firstLine="480" w:firstLineChars="200"/>
        <w:rPr>
          <w:rFonts w:hAnsi="Times New Roman" w:eastAsia="宋体"/>
          <w:szCs w:val="22"/>
          <w:lang w:eastAsia="zh-CN"/>
        </w:rPr>
        <w:sectPr>
          <w:pgSz w:w="11905" w:h="16838"/>
          <w:pgMar w:top="1440" w:right="1304" w:bottom="1440" w:left="1474" w:header="850" w:footer="992" w:gutter="0"/>
          <w:cols w:space="0" w:num="1"/>
          <w:docGrid w:type="lines" w:linePitch="338" w:charSpace="0"/>
        </w:sectPr>
      </w:pPr>
    </w:p>
    <w:p>
      <w:pPr>
        <w:pStyle w:val="4"/>
        <w:rPr>
          <w:szCs w:val="22"/>
          <w:lang w:eastAsia="zh-CN"/>
        </w:rPr>
      </w:pPr>
      <w:bookmarkStart w:id="647" w:name="_Toc167095314"/>
      <w:bookmarkStart w:id="648" w:name="_Toc14258"/>
      <w:bookmarkStart w:id="649" w:name="_Toc163749214"/>
      <w:r>
        <w:rPr>
          <w:szCs w:val="22"/>
          <w:lang w:eastAsia="zh-CN"/>
        </w:rPr>
        <w:t>11 矿井闭矿期环境影响分析</w:t>
      </w:r>
      <w:bookmarkEnd w:id="647"/>
      <w:bookmarkEnd w:id="648"/>
      <w:bookmarkEnd w:id="649"/>
    </w:p>
    <w:p>
      <w:pPr>
        <w:pStyle w:val="5"/>
        <w:rPr>
          <w:rFonts w:ascii="Times New Roman" w:hAnsi="Times New Roman"/>
          <w:szCs w:val="22"/>
          <w:lang w:eastAsia="zh-CN"/>
        </w:rPr>
      </w:pPr>
      <w:bookmarkStart w:id="650" w:name="_Toc163749215"/>
      <w:bookmarkStart w:id="651" w:name="_Toc167095315"/>
      <w:r>
        <w:rPr>
          <w:rFonts w:ascii="Times New Roman" w:hAnsi="Times New Roman"/>
          <w:szCs w:val="22"/>
          <w:lang w:eastAsia="zh-CN"/>
        </w:rPr>
        <w:t>11.1 矿井闭矿期环境影响分析</w:t>
      </w:r>
      <w:bookmarkEnd w:id="650"/>
      <w:bookmarkEnd w:id="651"/>
    </w:p>
    <w:p>
      <w:pPr>
        <w:pStyle w:val="14"/>
        <w:overflowPunct w:val="0"/>
        <w:spacing w:line="360" w:lineRule="auto"/>
        <w:ind w:right="224" w:firstLine="480"/>
        <w:rPr>
          <w:rFonts w:ascii="Times New Roman" w:hAnsi="Times New Roman"/>
          <w:sz w:val="24"/>
        </w:rPr>
      </w:pPr>
      <w:r>
        <w:rPr>
          <w:rFonts w:ascii="Times New Roman" w:hAnsi="Times New Roman"/>
          <w:spacing w:val="2"/>
          <w:sz w:val="24"/>
        </w:rPr>
        <w:t>闭矿期相对来说是正影响的过程，是对景观及生态的恢复过程，不会对环境继续产生破坏。矿山闭矿期若不落实水土保持方案、复垦计划以及生态恢复，则对开发区域带来的环境影响是极为严重的。其主要的环境问题是植被破坏造成的水土流失、改变土地利用方式对地貌景观的破坏、采空区不及时回填造成地面沉降、塌陷</w:t>
      </w:r>
      <w:r>
        <w:rPr>
          <w:rFonts w:ascii="Times New Roman" w:hAnsi="Times New Roman"/>
          <w:sz w:val="24"/>
        </w:rPr>
        <w:t>等问题。</w:t>
      </w:r>
    </w:p>
    <w:p>
      <w:pPr>
        <w:pStyle w:val="14"/>
        <w:overflowPunct w:val="0"/>
        <w:spacing w:line="360" w:lineRule="auto"/>
        <w:ind w:right="104" w:firstLine="480"/>
        <w:rPr>
          <w:rFonts w:ascii="Times New Roman" w:hAnsi="Times New Roman"/>
          <w:sz w:val="24"/>
        </w:rPr>
      </w:pPr>
      <w:r>
        <w:rPr>
          <w:rFonts w:ascii="Times New Roman" w:hAnsi="Times New Roman"/>
          <w:spacing w:val="2"/>
          <w:sz w:val="24"/>
        </w:rPr>
        <w:t>因此闭矿期的环境保护措施和生态恢复是矿山环境保护的重要环节。分析论证</w:t>
      </w:r>
      <w:r>
        <w:rPr>
          <w:rFonts w:ascii="Times New Roman" w:hAnsi="Times New Roman"/>
          <w:sz w:val="24"/>
        </w:rPr>
        <w:t>建设</w:t>
      </w:r>
      <w:r>
        <w:rPr>
          <w:rFonts w:hint="eastAsia" w:ascii="Times New Roman" w:hAnsi="Times New Roman"/>
          <w:sz w:val="24"/>
          <w:lang w:eastAsia="zh-CN"/>
        </w:rPr>
        <w:t>方案</w:t>
      </w:r>
      <w:r>
        <w:rPr>
          <w:rFonts w:ascii="Times New Roman" w:hAnsi="Times New Roman"/>
          <w:sz w:val="24"/>
        </w:rPr>
        <w:t>和水土保持方案制定的可行性</w:t>
      </w:r>
      <w:r>
        <w:rPr>
          <w:rFonts w:ascii="Times New Roman" w:hAnsi="Times New Roman"/>
          <w:spacing w:val="-29"/>
          <w:sz w:val="24"/>
        </w:rPr>
        <w:t>，</w:t>
      </w:r>
      <w:r>
        <w:rPr>
          <w:rFonts w:ascii="Times New Roman" w:hAnsi="Times New Roman"/>
          <w:sz w:val="24"/>
        </w:rPr>
        <w:t>为有效控制项目开发过程中的新增水土流失，</w:t>
      </w:r>
      <w:r>
        <w:rPr>
          <w:rFonts w:ascii="Times New Roman" w:hAnsi="Times New Roman"/>
          <w:spacing w:val="2"/>
          <w:sz w:val="24"/>
        </w:rPr>
        <w:t>保护和恢复项目区内植被，保障当地生态环境建设与经济协调发展，对水土保持方案设计原则与目标等进行论证。做到矿山开发结束，水土保持工程同年完成。本次</w:t>
      </w:r>
      <w:r>
        <w:rPr>
          <w:rFonts w:ascii="Times New Roman" w:hAnsi="Times New Roman"/>
          <w:sz w:val="24"/>
        </w:rPr>
        <w:t>评价将对矿山闭矿期的环境问题做简要分析。</w:t>
      </w:r>
    </w:p>
    <w:p>
      <w:pPr>
        <w:pStyle w:val="14"/>
        <w:overflowPunct w:val="0"/>
        <w:spacing w:line="360" w:lineRule="auto"/>
        <w:ind w:right="226" w:firstLine="480"/>
        <w:rPr>
          <w:rFonts w:ascii="Times New Roman" w:hAnsi="Times New Roman"/>
          <w:sz w:val="24"/>
        </w:rPr>
      </w:pPr>
      <w:r>
        <w:rPr>
          <w:rFonts w:ascii="Times New Roman" w:hAnsi="Times New Roman"/>
          <w:spacing w:val="2"/>
          <w:sz w:val="24"/>
        </w:rPr>
        <w:t>闭矿期与初采期及盛采期相比，此时的生产活动已停止，对自然环境各要素的</w:t>
      </w:r>
      <w:r>
        <w:rPr>
          <w:rFonts w:ascii="Times New Roman" w:hAnsi="Times New Roman"/>
          <w:sz w:val="24"/>
        </w:rPr>
        <w:t>影响趋于减缓，主要表现在：</w:t>
      </w:r>
    </w:p>
    <w:p>
      <w:pPr>
        <w:pStyle w:val="6"/>
        <w:rPr>
          <w:szCs w:val="22"/>
          <w:lang w:eastAsia="zh-CN"/>
        </w:rPr>
      </w:pPr>
      <w:bookmarkStart w:id="652" w:name="_Toc167095316"/>
      <w:bookmarkStart w:id="653" w:name="_Toc163812693"/>
      <w:r>
        <w:rPr>
          <w:szCs w:val="22"/>
          <w:lang w:eastAsia="zh-CN"/>
        </w:rPr>
        <w:t>11.1.1有利影响</w:t>
      </w:r>
      <w:bookmarkEnd w:id="652"/>
      <w:bookmarkEnd w:id="653"/>
    </w:p>
    <w:p>
      <w:pPr>
        <w:pStyle w:val="14"/>
        <w:overflowPunct w:val="0"/>
        <w:spacing w:line="360" w:lineRule="auto"/>
        <w:ind w:right="226" w:firstLine="480"/>
        <w:rPr>
          <w:rFonts w:ascii="Times New Roman" w:hAnsi="Times New Roman"/>
          <w:sz w:val="24"/>
        </w:rPr>
      </w:pPr>
      <w:r>
        <w:rPr>
          <w:rFonts w:ascii="Times New Roman" w:hAnsi="Times New Roman"/>
          <w:sz w:val="24"/>
        </w:rPr>
        <w:t>（1</w:t>
      </w:r>
      <w:r>
        <w:rPr>
          <w:rFonts w:ascii="Times New Roman" w:hAnsi="Times New Roman"/>
          <w:spacing w:val="-29"/>
          <w:sz w:val="24"/>
        </w:rPr>
        <w:t>）</w:t>
      </w:r>
      <w:r>
        <w:rPr>
          <w:rFonts w:ascii="Times New Roman" w:hAnsi="Times New Roman"/>
          <w:sz w:val="24"/>
        </w:rPr>
        <w:t>开采过程中导致地表变形产生的环境问题将随着开采活动的停止而逐渐减轻，地表变形虽有一定的延迟性，但变形幅度减小，最终趋于稳定。</w:t>
      </w:r>
    </w:p>
    <w:p>
      <w:pPr>
        <w:pStyle w:val="14"/>
        <w:overflowPunct w:val="0"/>
        <w:spacing w:line="360" w:lineRule="auto"/>
        <w:ind w:right="226" w:firstLine="480"/>
        <w:rPr>
          <w:rFonts w:ascii="Times New Roman" w:hAnsi="Times New Roman"/>
          <w:sz w:val="24"/>
        </w:rPr>
      </w:pPr>
      <w:r>
        <w:rPr>
          <w:rFonts w:ascii="Times New Roman" w:hAnsi="Times New Roman"/>
          <w:spacing w:val="-1"/>
          <w:sz w:val="24"/>
        </w:rPr>
        <w:t>（2）随着井田范围内煤矿资源的枯竭，生产的停止，与其相关的各种产污环节</w:t>
      </w:r>
      <w:r>
        <w:rPr>
          <w:rFonts w:ascii="Times New Roman" w:hAnsi="Times New Roman"/>
          <w:sz w:val="24"/>
        </w:rPr>
        <w:t>将减弱或消失，如设备噪声、煤粉尘等大气污染物等，区域环境质量将有所好转。</w:t>
      </w:r>
    </w:p>
    <w:p>
      <w:pPr>
        <w:pStyle w:val="14"/>
        <w:overflowPunct w:val="0"/>
        <w:spacing w:line="360" w:lineRule="auto"/>
        <w:ind w:right="226" w:firstLine="480"/>
        <w:rPr>
          <w:rFonts w:ascii="Times New Roman" w:hAnsi="Times New Roman"/>
          <w:sz w:val="24"/>
        </w:rPr>
      </w:pPr>
      <w:r>
        <w:rPr>
          <w:rFonts w:ascii="Times New Roman" w:hAnsi="Times New Roman"/>
          <w:spacing w:val="-1"/>
          <w:sz w:val="24"/>
        </w:rPr>
        <w:t>（3）对工业场地等废弃地进行整治利用，覆土复耕、造林，对因占地而造成的</w:t>
      </w:r>
      <w:r>
        <w:rPr>
          <w:rFonts w:ascii="Times New Roman" w:hAnsi="Times New Roman"/>
          <w:sz w:val="24"/>
        </w:rPr>
        <w:t>不利环境影响将逐渐消失。</w:t>
      </w:r>
    </w:p>
    <w:p>
      <w:pPr>
        <w:pStyle w:val="6"/>
        <w:rPr>
          <w:szCs w:val="22"/>
          <w:lang w:eastAsia="zh-CN"/>
        </w:rPr>
      </w:pPr>
      <w:bookmarkStart w:id="654" w:name="_Toc167095317"/>
      <w:bookmarkStart w:id="655" w:name="_Toc163812694"/>
      <w:r>
        <w:rPr>
          <w:szCs w:val="22"/>
          <w:lang w:eastAsia="zh-CN"/>
        </w:rPr>
        <w:t>11.1.2不利影响</w:t>
      </w:r>
      <w:bookmarkEnd w:id="654"/>
      <w:bookmarkEnd w:id="655"/>
    </w:p>
    <w:p>
      <w:pPr>
        <w:pStyle w:val="14"/>
        <w:overflowPunct w:val="0"/>
        <w:spacing w:line="360" w:lineRule="auto"/>
        <w:ind w:firstLine="480" w:firstLineChars="200"/>
        <w:rPr>
          <w:rFonts w:ascii="Times New Roman" w:hAnsi="Times New Roman"/>
          <w:sz w:val="24"/>
        </w:rPr>
      </w:pPr>
      <w:r>
        <w:rPr>
          <w:rFonts w:ascii="Times New Roman" w:hAnsi="Times New Roman"/>
          <w:sz w:val="24"/>
          <w:lang w:eastAsia="zh-CN"/>
        </w:rPr>
        <w:t>（1）</w:t>
      </w:r>
      <w:r>
        <w:rPr>
          <w:rFonts w:ascii="Times New Roman" w:hAnsi="Times New Roman"/>
          <w:sz w:val="24"/>
        </w:rPr>
        <w:t>地质灾害</w:t>
      </w:r>
      <w:r>
        <w:rPr>
          <w:rFonts w:ascii="Times New Roman" w:hAnsi="Times New Roman"/>
          <w:spacing w:val="-29"/>
          <w:sz w:val="24"/>
        </w:rPr>
        <w:t>：</w:t>
      </w:r>
      <w:r>
        <w:rPr>
          <w:rFonts w:ascii="Times New Roman" w:hAnsi="Times New Roman"/>
          <w:sz w:val="24"/>
        </w:rPr>
        <w:t>老</w:t>
      </w:r>
      <w:r>
        <w:rPr>
          <w:rFonts w:ascii="Times New Roman" w:hAnsi="Times New Roman"/>
          <w:spacing w:val="-3"/>
          <w:sz w:val="24"/>
        </w:rPr>
        <w:t>巷</w:t>
      </w:r>
      <w:r>
        <w:rPr>
          <w:rFonts w:ascii="Times New Roman" w:hAnsi="Times New Roman"/>
          <w:sz w:val="24"/>
        </w:rPr>
        <w:t>道及老采场积水污染</w:t>
      </w:r>
      <w:r>
        <w:rPr>
          <w:rFonts w:ascii="Times New Roman" w:hAnsi="Times New Roman"/>
          <w:spacing w:val="-29"/>
          <w:sz w:val="24"/>
        </w:rPr>
        <w:t>、</w:t>
      </w:r>
      <w:r>
        <w:rPr>
          <w:rFonts w:ascii="Times New Roman" w:hAnsi="Times New Roman"/>
          <w:sz w:val="24"/>
        </w:rPr>
        <w:t>变形</w:t>
      </w:r>
      <w:r>
        <w:rPr>
          <w:rFonts w:ascii="Times New Roman" w:hAnsi="Times New Roman"/>
          <w:spacing w:val="-29"/>
          <w:sz w:val="24"/>
        </w:rPr>
        <w:t>、</w:t>
      </w:r>
      <w:r>
        <w:rPr>
          <w:rFonts w:ascii="Times New Roman" w:hAnsi="Times New Roman"/>
          <w:sz w:val="24"/>
        </w:rPr>
        <w:t>沉陷</w:t>
      </w:r>
      <w:r>
        <w:rPr>
          <w:rFonts w:ascii="Times New Roman" w:hAnsi="Times New Roman"/>
          <w:spacing w:val="-29"/>
          <w:sz w:val="24"/>
        </w:rPr>
        <w:t>、</w:t>
      </w:r>
      <w:r>
        <w:rPr>
          <w:rFonts w:hint="eastAsia" w:ascii="Times New Roman" w:hAnsi="Times New Roman"/>
          <w:spacing w:val="-29"/>
          <w:sz w:val="24"/>
          <w:lang w:eastAsia="zh-CN"/>
        </w:rPr>
        <w:t>垮塌</w:t>
      </w:r>
      <w:r>
        <w:rPr>
          <w:rFonts w:ascii="Times New Roman" w:hAnsi="Times New Roman"/>
          <w:sz w:val="24"/>
        </w:rPr>
        <w:t>甚</w:t>
      </w:r>
      <w:r>
        <w:rPr>
          <w:rFonts w:ascii="Times New Roman" w:hAnsi="Times New Roman"/>
          <w:spacing w:val="-3"/>
          <w:sz w:val="24"/>
        </w:rPr>
        <w:t>至</w:t>
      </w:r>
      <w:r>
        <w:rPr>
          <w:rFonts w:ascii="Times New Roman" w:hAnsi="Times New Roman"/>
          <w:sz w:val="24"/>
        </w:rPr>
        <w:t>诱发地震等。</w:t>
      </w:r>
    </w:p>
    <w:p>
      <w:pPr>
        <w:pStyle w:val="14"/>
        <w:overflowPunct w:val="0"/>
        <w:spacing w:line="360" w:lineRule="auto"/>
        <w:ind w:firstLine="480" w:firstLineChars="200"/>
        <w:rPr>
          <w:rFonts w:ascii="Times New Roman" w:hAnsi="Times New Roman"/>
          <w:sz w:val="24"/>
        </w:rPr>
      </w:pPr>
      <w:r>
        <w:rPr>
          <w:rFonts w:ascii="Times New Roman" w:hAnsi="Times New Roman"/>
          <w:sz w:val="24"/>
        </w:rPr>
        <w:t>（2）水污染：矿井退役后仍然有一定量井下水产生，将对环境产生一定影响。</w:t>
      </w:r>
    </w:p>
    <w:p>
      <w:pPr>
        <w:pStyle w:val="14"/>
        <w:overflowPunct w:val="0"/>
        <w:spacing w:line="360" w:lineRule="auto"/>
        <w:ind w:firstLine="480" w:firstLineChars="200"/>
        <w:rPr>
          <w:rFonts w:ascii="Times New Roman" w:hAnsi="Times New Roman"/>
          <w:sz w:val="24"/>
        </w:rPr>
      </w:pPr>
      <w:r>
        <w:rPr>
          <w:rFonts w:ascii="Times New Roman" w:hAnsi="Times New Roman"/>
          <w:sz w:val="24"/>
        </w:rPr>
        <w:t>（3）大气污染：老巷道、老采场、残留煤柱等发生氧化自燃，形成有害气体，如一氧化碳、甲烷等，污染空气，造成环境灾害。</w:t>
      </w:r>
    </w:p>
    <w:p>
      <w:pPr>
        <w:pStyle w:val="14"/>
        <w:overflowPunct w:val="0"/>
        <w:spacing w:line="360" w:lineRule="auto"/>
        <w:ind w:right="224" w:firstLine="480"/>
        <w:rPr>
          <w:rFonts w:ascii="Times New Roman" w:hAnsi="Times New Roman"/>
          <w:sz w:val="24"/>
        </w:rPr>
      </w:pPr>
      <w:r>
        <w:rPr>
          <w:rFonts w:ascii="Times New Roman" w:hAnsi="Times New Roman"/>
          <w:spacing w:val="-1"/>
          <w:sz w:val="24"/>
        </w:rPr>
        <w:t>（4）矿井生产时在当地招聘了一定数量的生产人员，在矿井报废期该部分人员</w:t>
      </w:r>
      <w:r>
        <w:rPr>
          <w:rFonts w:ascii="Times New Roman" w:hAnsi="Times New Roman"/>
          <w:spacing w:val="2"/>
          <w:sz w:val="24"/>
        </w:rPr>
        <w:t>将面临失业，由此引起一些社会问题。职工</w:t>
      </w:r>
      <w:r>
        <w:rPr>
          <w:rFonts w:hint="eastAsia" w:ascii="Times New Roman" w:hAnsi="Times New Roman"/>
          <w:spacing w:val="2"/>
          <w:sz w:val="24"/>
          <w:lang w:eastAsia="zh-CN"/>
        </w:rPr>
        <w:t>应在</w:t>
      </w:r>
      <w:r>
        <w:rPr>
          <w:rFonts w:ascii="Times New Roman" w:hAnsi="Times New Roman"/>
          <w:spacing w:val="2"/>
          <w:sz w:val="24"/>
        </w:rPr>
        <w:t>当地政府和业主的积极配合下搞</w:t>
      </w:r>
      <w:r>
        <w:rPr>
          <w:rFonts w:ascii="Times New Roman" w:hAnsi="Times New Roman"/>
          <w:sz w:val="24"/>
        </w:rPr>
        <w:t>好再就业工作，使该问题得到较好解决。</w:t>
      </w:r>
    </w:p>
    <w:p>
      <w:pPr>
        <w:pStyle w:val="14"/>
        <w:overflowPunct w:val="0"/>
        <w:spacing w:line="360" w:lineRule="auto"/>
        <w:ind w:right="226" w:firstLine="480"/>
        <w:rPr>
          <w:rFonts w:ascii="Times New Roman" w:hAnsi="Times New Roman"/>
          <w:sz w:val="24"/>
        </w:rPr>
      </w:pPr>
      <w:r>
        <w:rPr>
          <w:rFonts w:ascii="Times New Roman" w:hAnsi="Times New Roman"/>
          <w:spacing w:val="-1"/>
          <w:sz w:val="24"/>
        </w:rPr>
        <w:t>（5）考虑老巷道局部积水可能性，浅部可能存在的老巷道以及老采空区积水是</w:t>
      </w:r>
      <w:r>
        <w:rPr>
          <w:rFonts w:ascii="Times New Roman" w:hAnsi="Times New Roman"/>
          <w:sz w:val="24"/>
        </w:rPr>
        <w:t>未来浅部煤层资源开采时面临的主要水患威胁之一。</w:t>
      </w:r>
    </w:p>
    <w:p>
      <w:pPr>
        <w:pStyle w:val="14"/>
        <w:overflowPunct w:val="0"/>
        <w:spacing w:line="360" w:lineRule="auto"/>
        <w:ind w:right="226" w:firstLine="480"/>
        <w:rPr>
          <w:rFonts w:ascii="Times New Roman" w:hAnsi="Times New Roman"/>
          <w:sz w:val="24"/>
        </w:rPr>
      </w:pPr>
      <w:r>
        <w:rPr>
          <w:rFonts w:ascii="Times New Roman" w:hAnsi="Times New Roman"/>
          <w:spacing w:val="-1"/>
          <w:sz w:val="24"/>
        </w:rPr>
        <w:t>（6）在矿闭矿后，矿井各场地景观与自然景观不相协调，</w:t>
      </w:r>
      <w:r>
        <w:rPr>
          <w:rFonts w:hint="eastAsia" w:ascii="Times New Roman" w:hAnsi="Times New Roman"/>
          <w:spacing w:val="-1"/>
          <w:sz w:val="24"/>
          <w:lang w:eastAsia="zh-CN"/>
        </w:rPr>
        <w:t>应</w:t>
      </w:r>
      <w:r>
        <w:rPr>
          <w:rFonts w:ascii="Times New Roman" w:hAnsi="Times New Roman"/>
          <w:spacing w:val="-1"/>
          <w:sz w:val="24"/>
        </w:rPr>
        <w:t>进行平整，恢复</w:t>
      </w:r>
      <w:r>
        <w:rPr>
          <w:rFonts w:ascii="Times New Roman" w:hAnsi="Times New Roman"/>
          <w:sz w:val="24"/>
        </w:rPr>
        <w:t>植被以减小对自然景观的影响。</w:t>
      </w:r>
    </w:p>
    <w:p>
      <w:pPr>
        <w:pStyle w:val="5"/>
        <w:rPr>
          <w:rFonts w:ascii="Times New Roman" w:hAnsi="Times New Roman"/>
          <w:szCs w:val="22"/>
          <w:lang w:eastAsia="zh-CN"/>
        </w:rPr>
      </w:pPr>
      <w:bookmarkStart w:id="656" w:name="_Toc167095318"/>
      <w:bookmarkStart w:id="657" w:name="_Toc163749216"/>
      <w:bookmarkStart w:id="658" w:name="_Toc20885"/>
      <w:r>
        <w:rPr>
          <w:rFonts w:ascii="Times New Roman" w:hAnsi="Times New Roman"/>
          <w:szCs w:val="22"/>
          <w:lang w:eastAsia="zh-CN"/>
        </w:rPr>
        <w:t>11.2矿井闭矿期环境保护措施</w:t>
      </w:r>
      <w:bookmarkEnd w:id="656"/>
      <w:bookmarkEnd w:id="657"/>
      <w:bookmarkEnd w:id="658"/>
    </w:p>
    <w:p>
      <w:pPr>
        <w:pStyle w:val="14"/>
        <w:overflowPunct w:val="0"/>
        <w:spacing w:line="360" w:lineRule="auto"/>
        <w:ind w:left="586"/>
        <w:rPr>
          <w:rFonts w:ascii="Times New Roman" w:hAnsi="Times New Roman"/>
          <w:sz w:val="24"/>
        </w:rPr>
      </w:pPr>
      <w:r>
        <w:rPr>
          <w:rFonts w:ascii="Times New Roman" w:hAnsi="Times New Roman"/>
          <w:sz w:val="24"/>
        </w:rPr>
        <w:t>矿井闭矿期的环保措施主要为：</w:t>
      </w:r>
    </w:p>
    <w:p>
      <w:pPr>
        <w:pStyle w:val="14"/>
        <w:overflowPunct w:val="0"/>
        <w:spacing w:line="360" w:lineRule="auto"/>
        <w:ind w:right="224" w:firstLine="480"/>
        <w:rPr>
          <w:rFonts w:ascii="Times New Roman" w:hAnsi="Times New Roman"/>
          <w:sz w:val="24"/>
        </w:rPr>
      </w:pPr>
      <w:r>
        <w:rPr>
          <w:rFonts w:ascii="Times New Roman" w:hAnsi="Times New Roman"/>
          <w:spacing w:val="-1"/>
          <w:sz w:val="24"/>
        </w:rPr>
        <w:t>（1）在保护自然景观的前提下，逐步</w:t>
      </w:r>
      <w:r>
        <w:rPr>
          <w:rFonts w:hint="eastAsia" w:ascii="Times New Roman" w:hAnsi="Times New Roman"/>
          <w:spacing w:val="-1"/>
          <w:sz w:val="24"/>
          <w:lang w:eastAsia="zh-CN"/>
        </w:rPr>
        <w:t>做好</w:t>
      </w:r>
      <w:r>
        <w:rPr>
          <w:rFonts w:ascii="Times New Roman" w:hAnsi="Times New Roman"/>
          <w:spacing w:val="-1"/>
          <w:sz w:val="24"/>
        </w:rPr>
        <w:t>采矿的收尾工作。关闭矿山，必须编</w:t>
      </w:r>
      <w:r>
        <w:rPr>
          <w:rFonts w:ascii="Times New Roman" w:hAnsi="Times New Roman"/>
          <w:spacing w:val="2"/>
          <w:sz w:val="24"/>
        </w:rPr>
        <w:t>制《矿山闭矿报告》，重点提出矿井闭矿后存在的安全隐患和环境污染隐患、土地复垦率、采煤沉陷区治理率、植被恢复率、水土流失拦载率、闭矿期应实施的防治措施内容、闭矿工程资金保证措施、闭矿工程组织实施计划、闭矿工程竣工验收内</w:t>
      </w:r>
      <w:r>
        <w:rPr>
          <w:rFonts w:ascii="Times New Roman" w:hAnsi="Times New Roman"/>
          <w:sz w:val="24"/>
        </w:rPr>
        <w:t>容。严格按照国家规定报请有关行政主管部门审查批准。</w:t>
      </w:r>
    </w:p>
    <w:p>
      <w:pPr>
        <w:pStyle w:val="14"/>
        <w:overflowPunct w:val="0"/>
        <w:spacing w:line="360" w:lineRule="auto"/>
        <w:ind w:right="199" w:firstLine="480"/>
        <w:rPr>
          <w:rFonts w:ascii="Times New Roman" w:hAnsi="Times New Roman"/>
          <w:sz w:val="24"/>
        </w:rPr>
      </w:pPr>
      <w:r>
        <w:rPr>
          <w:rFonts w:ascii="Times New Roman" w:hAnsi="Times New Roman"/>
          <w:sz w:val="24"/>
        </w:rPr>
        <w:t>（2）调查井田范围内及井田外占地的地表沉陷或容易发生滑坡、泥石流区域，采取相应措施减少不良地质灾害发生的可能性。</w:t>
      </w:r>
    </w:p>
    <w:p>
      <w:pPr>
        <w:pStyle w:val="14"/>
        <w:overflowPunct w:val="0"/>
        <w:spacing w:line="360" w:lineRule="auto"/>
        <w:ind w:right="106" w:firstLine="480"/>
        <w:rPr>
          <w:rFonts w:ascii="Times New Roman" w:hAnsi="Times New Roman"/>
          <w:sz w:val="24"/>
        </w:rPr>
      </w:pPr>
      <w:r>
        <w:rPr>
          <w:rFonts w:ascii="Times New Roman" w:hAnsi="Times New Roman"/>
          <w:spacing w:val="-1"/>
          <w:sz w:val="24"/>
        </w:rPr>
        <w:t>（3）继续运行井下水处理设施，并对井下水进行定期监测，减少井下水对环境</w:t>
      </w:r>
      <w:r>
        <w:rPr>
          <w:rFonts w:ascii="Times New Roman" w:hAnsi="Times New Roman"/>
          <w:sz w:val="24"/>
        </w:rPr>
        <w:t>的影响，且报废期还存在矿井有害气体溢出的问题，应采取</w:t>
      </w:r>
      <w:r>
        <w:rPr>
          <w:rFonts w:hint="eastAsia" w:ascii="Times New Roman" w:hAnsi="Times New Roman"/>
          <w:sz w:val="24"/>
          <w:lang w:eastAsia="zh-CN"/>
        </w:rPr>
        <w:t>有力措施</w:t>
      </w:r>
      <w:r>
        <w:rPr>
          <w:rFonts w:ascii="Times New Roman" w:hAnsi="Times New Roman"/>
          <w:sz w:val="24"/>
        </w:rPr>
        <w:t>予以防范。</w:t>
      </w:r>
    </w:p>
    <w:p>
      <w:pPr>
        <w:pStyle w:val="14"/>
        <w:overflowPunct w:val="0"/>
        <w:spacing w:line="360" w:lineRule="auto"/>
        <w:ind w:right="104" w:firstLine="480"/>
        <w:rPr>
          <w:rFonts w:ascii="Times New Roman" w:hAnsi="Times New Roman"/>
          <w:sz w:val="24"/>
        </w:rPr>
      </w:pPr>
      <w:r>
        <w:rPr>
          <w:rFonts w:ascii="Times New Roman" w:hAnsi="Times New Roman"/>
          <w:spacing w:val="-1"/>
          <w:sz w:val="24"/>
        </w:rPr>
        <w:t>（4）保持社会稳定，促进当地经济的持续发展。矿方应根据当</w:t>
      </w:r>
      <w:r>
        <w:rPr>
          <w:rFonts w:hint="eastAsia" w:ascii="Times New Roman" w:hAnsi="Times New Roman"/>
          <w:spacing w:val="-1"/>
          <w:sz w:val="24"/>
          <w:lang w:val="en-US" w:eastAsia="zh-CN"/>
        </w:rPr>
        <w:t>地</w:t>
      </w:r>
      <w:r>
        <w:rPr>
          <w:rFonts w:ascii="Times New Roman" w:hAnsi="Times New Roman"/>
          <w:spacing w:val="-1"/>
          <w:sz w:val="24"/>
        </w:rPr>
        <w:t>的资源优势和</w:t>
      </w:r>
      <w:r>
        <w:rPr>
          <w:rFonts w:ascii="Times New Roman" w:hAnsi="Times New Roman"/>
          <w:spacing w:val="2"/>
          <w:sz w:val="24"/>
        </w:rPr>
        <w:t>区位优势，努力寻找新的开发建设项目，加强职工的技术职能培训，使过去就业于</w:t>
      </w:r>
      <w:r>
        <w:rPr>
          <w:rFonts w:ascii="Times New Roman" w:hAnsi="Times New Roman"/>
          <w:sz w:val="24"/>
        </w:rPr>
        <w:t>该矿山的职工能重新再就业。</w:t>
      </w:r>
    </w:p>
    <w:p>
      <w:pPr>
        <w:pStyle w:val="14"/>
        <w:overflowPunct w:val="0"/>
        <w:spacing w:line="360" w:lineRule="auto"/>
        <w:ind w:right="104" w:firstLine="480"/>
        <w:rPr>
          <w:rFonts w:ascii="Times New Roman" w:hAnsi="Times New Roman"/>
          <w:sz w:val="24"/>
        </w:rPr>
      </w:pPr>
      <w:r>
        <w:rPr>
          <w:rFonts w:ascii="Times New Roman" w:hAnsi="Times New Roman"/>
          <w:spacing w:val="-1"/>
          <w:sz w:val="24"/>
        </w:rPr>
        <w:t>（5）现有生产井口进入闭矿期后均应全部关闭。对地面工业场地的堆矿场、矸</w:t>
      </w:r>
      <w:r>
        <w:rPr>
          <w:rFonts w:ascii="Times New Roman" w:hAnsi="Times New Roman"/>
          <w:spacing w:val="2"/>
          <w:sz w:val="24"/>
        </w:rPr>
        <w:t>石场等废弃地进行整治利用，进行植被恢复，对因占地而造成的不利环境影响将逐</w:t>
      </w:r>
      <w:r>
        <w:rPr>
          <w:rFonts w:ascii="Times New Roman" w:hAnsi="Times New Roman"/>
          <w:sz w:val="24"/>
        </w:rPr>
        <w:t>渐消失。</w:t>
      </w:r>
    </w:p>
    <w:p>
      <w:pPr>
        <w:pStyle w:val="14"/>
        <w:overflowPunct w:val="0"/>
        <w:spacing w:line="360" w:lineRule="auto"/>
        <w:ind w:firstLine="488" w:firstLineChars="200"/>
        <w:rPr>
          <w:rFonts w:ascii="Times New Roman" w:hAnsi="Times New Roman"/>
          <w:sz w:val="24"/>
        </w:rPr>
      </w:pPr>
      <w:r>
        <w:rPr>
          <w:rFonts w:ascii="Times New Roman" w:hAnsi="Times New Roman"/>
          <w:spacing w:val="2"/>
          <w:sz w:val="24"/>
        </w:rPr>
        <w:t>退役后选用当地适生树种对矿山占地进行人工生态林恢复。植苗时机以每年的</w:t>
      </w:r>
      <w:r>
        <w:rPr>
          <w:rFonts w:ascii="Times New Roman" w:hAnsi="Times New Roman"/>
          <w:sz w:val="24"/>
        </w:rPr>
        <w:t>3～5月为宜，并加强种植后期的抚育管理工作，或是严格按照水保方案实施。</w:t>
      </w:r>
    </w:p>
    <w:p>
      <w:pPr>
        <w:pStyle w:val="14"/>
        <w:overflowPunct w:val="0"/>
        <w:spacing w:line="360" w:lineRule="auto"/>
        <w:ind w:right="106" w:firstLine="480" w:firstLineChars="200"/>
        <w:rPr>
          <w:rFonts w:ascii="Times New Roman" w:hAnsi="Times New Roman"/>
          <w:sz w:val="24"/>
        </w:rPr>
      </w:pPr>
      <w:r>
        <w:rPr>
          <w:rFonts w:ascii="Times New Roman" w:hAnsi="Times New Roman"/>
          <w:sz w:val="24"/>
        </w:rPr>
        <w:t xml:space="preserve">（6）服务期满后生态恢复措施 </w:t>
      </w:r>
      <w:r>
        <w:rPr>
          <w:rFonts w:ascii="Times New Roman" w:hAnsi="Times New Roman"/>
          <w:spacing w:val="2"/>
          <w:sz w:val="24"/>
        </w:rPr>
        <w:t>服务期满后，矿井生产已基本停止，对环境造成污染影响的废气、废水排放量已明显减少，随着生产设备和人员的撤离，最终消除对环境的影响。而井下采动引起的地表移动、变形具有延迟性。废弃的工业场地对生态环境及当地景观将造成明显的影响，如不采取有效恢复措施，对生态环境的影响将是长期的。因此，服务期</w:t>
      </w:r>
      <w:r>
        <w:rPr>
          <w:rFonts w:ascii="Times New Roman" w:hAnsi="Times New Roman"/>
          <w:sz w:val="24"/>
        </w:rPr>
        <w:t>满后的生态恢复及废弃地的再利用必须引起高度重视。</w:t>
      </w:r>
    </w:p>
    <w:p>
      <w:pPr>
        <w:pStyle w:val="14"/>
        <w:overflowPunct w:val="0"/>
        <w:spacing w:line="360" w:lineRule="auto"/>
        <w:ind w:left="586" w:right="106"/>
        <w:rPr>
          <w:rFonts w:ascii="Times New Roman" w:hAnsi="Times New Roman"/>
          <w:sz w:val="24"/>
        </w:rPr>
      </w:pPr>
      <w:r>
        <w:rPr>
          <w:rFonts w:ascii="Times New Roman" w:hAnsi="Times New Roman"/>
          <w:sz w:val="24"/>
        </w:rPr>
        <w:t xml:space="preserve">1）生态环境恢复措施 </w:t>
      </w:r>
    </w:p>
    <w:p>
      <w:pPr>
        <w:pStyle w:val="14"/>
        <w:overflowPunct w:val="0"/>
        <w:spacing w:line="360" w:lineRule="auto"/>
        <w:ind w:right="106" w:firstLine="488" w:firstLineChars="200"/>
        <w:rPr>
          <w:rFonts w:ascii="Times New Roman" w:hAnsi="Times New Roman"/>
          <w:sz w:val="24"/>
        </w:rPr>
      </w:pPr>
      <w:r>
        <w:rPr>
          <w:rFonts w:ascii="Times New Roman" w:hAnsi="Times New Roman"/>
          <w:spacing w:val="2"/>
          <w:sz w:val="24"/>
        </w:rPr>
        <w:t>地表移动变形影响和压占土地，仍采用运营期的土地复垦和水土保持措施，使</w:t>
      </w:r>
      <w:r>
        <w:rPr>
          <w:rFonts w:ascii="Times New Roman" w:hAnsi="Times New Roman"/>
          <w:sz w:val="24"/>
        </w:rPr>
        <w:t xml:space="preserve">被破坏的土地、农田得到治理，植被得以恢复，生态环境得到改善。 </w:t>
      </w:r>
    </w:p>
    <w:p>
      <w:pPr>
        <w:pStyle w:val="14"/>
        <w:overflowPunct w:val="0"/>
        <w:spacing w:line="360" w:lineRule="auto"/>
        <w:ind w:right="106" w:firstLine="480" w:firstLineChars="200"/>
        <w:rPr>
          <w:rFonts w:ascii="Times New Roman" w:hAnsi="Times New Roman"/>
          <w:sz w:val="24"/>
        </w:rPr>
      </w:pPr>
      <w:r>
        <w:rPr>
          <w:rFonts w:ascii="Times New Roman" w:hAnsi="Times New Roman"/>
          <w:sz w:val="24"/>
          <w:lang w:eastAsia="zh-CN"/>
        </w:rPr>
        <w:t>2）</w:t>
      </w:r>
      <w:r>
        <w:rPr>
          <w:rFonts w:ascii="Times New Roman" w:hAnsi="Times New Roman"/>
          <w:sz w:val="24"/>
        </w:rPr>
        <w:t xml:space="preserve">废弃矿井工业场地再利用措施 </w:t>
      </w:r>
    </w:p>
    <w:p>
      <w:pPr>
        <w:pStyle w:val="14"/>
        <w:overflowPunct w:val="0"/>
        <w:spacing w:line="360" w:lineRule="auto"/>
        <w:ind w:right="106" w:firstLine="488" w:firstLineChars="200"/>
        <w:rPr>
          <w:rFonts w:ascii="Times New Roman" w:hAnsi="Times New Roman"/>
          <w:spacing w:val="2"/>
          <w:sz w:val="24"/>
          <w:lang w:eastAsia="zh-CN"/>
        </w:rPr>
      </w:pPr>
      <w:r>
        <w:rPr>
          <w:rFonts w:ascii="Times New Roman" w:hAnsi="Times New Roman"/>
          <w:spacing w:val="2"/>
          <w:sz w:val="24"/>
        </w:rPr>
        <w:t>对工业场地内各种建筑设施可根据当地需要双方协商妥善处理（如办公楼、库房等）。对当地不能利用的矿井各种井筒、炸药库等采取封闭措施，以免对附近人群活动造成意外伤害。对不能利用的场地，宜进行林业复垦，条件较好、投资差异不大时可进行农业复垦。废弃地再利用治理期按1年计。</w:t>
      </w:r>
    </w:p>
    <w:p>
      <w:pPr>
        <w:pStyle w:val="14"/>
        <w:overflowPunct w:val="0"/>
        <w:spacing w:line="360" w:lineRule="auto"/>
        <w:ind w:right="106" w:firstLine="480" w:firstLineChars="200"/>
        <w:rPr>
          <w:rFonts w:ascii="Times New Roman" w:hAnsi="Times New Roman"/>
          <w:sz w:val="24"/>
        </w:rPr>
      </w:pPr>
      <w:r>
        <w:rPr>
          <w:rFonts w:hint="eastAsia" w:ascii="Times New Roman" w:hAnsi="Times New Roman"/>
          <w:sz w:val="24"/>
        </w:rPr>
        <w:t>3）依法开展土壤污染状况调查工作。</w:t>
      </w:r>
    </w:p>
    <w:p>
      <w:pPr>
        <w:spacing w:line="360" w:lineRule="auto"/>
        <w:ind w:firstLine="480" w:firstLineChars="200"/>
        <w:rPr>
          <w:rFonts w:hAnsi="Times New Roman" w:eastAsia="宋体"/>
          <w:szCs w:val="22"/>
          <w:lang w:eastAsia="zh-CN"/>
        </w:rPr>
        <w:sectPr>
          <w:pgSz w:w="11905" w:h="16838"/>
          <w:pgMar w:top="1440" w:right="1304" w:bottom="1440" w:left="1474" w:header="850" w:footer="992" w:gutter="0"/>
          <w:cols w:space="0" w:num="1"/>
          <w:docGrid w:type="lines" w:linePitch="338" w:charSpace="0"/>
        </w:sectPr>
      </w:pPr>
    </w:p>
    <w:p>
      <w:pPr>
        <w:pStyle w:val="4"/>
        <w:rPr>
          <w:szCs w:val="22"/>
          <w:lang w:eastAsia="zh-CN"/>
        </w:rPr>
      </w:pPr>
      <w:bookmarkStart w:id="659" w:name="_Toc167095319"/>
      <w:bookmarkStart w:id="660" w:name="_Toc163749217"/>
      <w:r>
        <w:rPr>
          <w:szCs w:val="22"/>
          <w:lang w:eastAsia="zh-CN"/>
        </w:rPr>
        <w:t>12 清洁生产与循环经济分析</w:t>
      </w:r>
      <w:bookmarkEnd w:id="659"/>
      <w:bookmarkEnd w:id="660"/>
    </w:p>
    <w:p>
      <w:pPr>
        <w:pStyle w:val="5"/>
        <w:rPr>
          <w:rFonts w:ascii="Times New Roman" w:hAnsi="Times New Roman"/>
          <w:szCs w:val="22"/>
          <w:lang w:eastAsia="zh-CN"/>
        </w:rPr>
      </w:pPr>
      <w:bookmarkStart w:id="661" w:name="bookmark55"/>
      <w:bookmarkEnd w:id="661"/>
      <w:bookmarkStart w:id="662" w:name="11.1清洁生产分析"/>
      <w:bookmarkEnd w:id="662"/>
      <w:bookmarkStart w:id="663" w:name="_Toc167095320"/>
      <w:bookmarkStart w:id="664" w:name="_Toc163749218"/>
      <w:r>
        <w:rPr>
          <w:rFonts w:ascii="Times New Roman" w:hAnsi="Times New Roman"/>
          <w:szCs w:val="22"/>
          <w:lang w:eastAsia="zh-CN"/>
        </w:rPr>
        <w:t>12.1 清洁生产分析</w:t>
      </w:r>
      <w:bookmarkEnd w:id="663"/>
      <w:bookmarkEnd w:id="664"/>
      <w:r>
        <w:rPr>
          <w:rFonts w:ascii="Times New Roman" w:hAnsi="Times New Roman"/>
          <w:szCs w:val="22"/>
          <w:lang w:eastAsia="zh-CN"/>
        </w:rPr>
        <w:t xml:space="preserve"> </w:t>
      </w:r>
    </w:p>
    <w:p>
      <w:pPr>
        <w:pStyle w:val="6"/>
        <w:rPr>
          <w:szCs w:val="22"/>
          <w:lang w:eastAsia="zh-CN"/>
        </w:rPr>
      </w:pPr>
      <w:bookmarkStart w:id="665" w:name="_Toc94258032"/>
      <w:bookmarkStart w:id="666" w:name="_Toc167095321"/>
      <w:bookmarkStart w:id="667" w:name="_Toc163812698"/>
      <w:r>
        <w:rPr>
          <w:szCs w:val="22"/>
          <w:lang w:eastAsia="zh-CN"/>
        </w:rPr>
        <w:t>12.1.1 清洁生产标准评定与清洁生产水平分析</w:t>
      </w:r>
      <w:bookmarkEnd w:id="665"/>
      <w:bookmarkEnd w:id="666"/>
      <w:bookmarkEnd w:id="667"/>
    </w:p>
    <w:p>
      <w:pPr>
        <w:spacing w:line="360" w:lineRule="auto"/>
        <w:ind w:firstLine="480" w:firstLineChars="200"/>
        <w:rPr>
          <w:rFonts w:hAnsi="Times New Roman" w:eastAsia="宋体"/>
          <w:szCs w:val="22"/>
          <w:lang w:eastAsia="zh-CN"/>
        </w:rPr>
      </w:pPr>
      <w:r>
        <w:rPr>
          <w:rFonts w:hAnsi="Times New Roman" w:eastAsia="宋体"/>
          <w:szCs w:val="22"/>
          <w:lang w:eastAsia="zh-CN"/>
        </w:rPr>
        <w:t>清洁生产是将污染防治应用于生产的全过程，通过不断的改善管理和改进技术进步，提高资源利用率，减少污染物排放，减少开发活动对环境的影响。清洁生产 的核心是产品生命周期的全过程控制。</w:t>
      </w:r>
    </w:p>
    <w:p>
      <w:pPr>
        <w:spacing w:line="360" w:lineRule="auto"/>
        <w:ind w:firstLine="480" w:firstLineChars="200"/>
        <w:rPr>
          <w:rFonts w:hAnsi="Times New Roman" w:eastAsia="宋体"/>
          <w:szCs w:val="24"/>
          <w:lang w:eastAsia="zh-CN"/>
        </w:rPr>
      </w:pPr>
      <w:r>
        <w:rPr>
          <w:rFonts w:hint="eastAsia" w:hAnsi="Times New Roman" w:eastAsia="宋体"/>
          <w:szCs w:val="24"/>
          <w:lang w:eastAsia="zh-CN"/>
        </w:rPr>
        <w:t>本次环评清洁生产评价采用中华人民共和国国家发展和改革委员会、生态环境部、工业和信息化部公告2019年第8号《煤炭采选业清洁生产评价指标体系》推荐的方法进行评价。</w:t>
      </w:r>
    </w:p>
    <w:p>
      <w:pPr>
        <w:spacing w:line="360" w:lineRule="auto"/>
        <w:ind w:firstLine="480" w:firstLineChars="200"/>
        <w:rPr>
          <w:rFonts w:hAnsi="Times New Roman" w:eastAsia="宋体"/>
          <w:szCs w:val="22"/>
          <w:lang w:eastAsia="zh-CN"/>
        </w:rPr>
      </w:pPr>
      <w:r>
        <w:rPr>
          <w:rFonts w:hint="eastAsia" w:hAnsi="Times New Roman" w:eastAsia="宋体"/>
          <w:szCs w:val="24"/>
          <w:lang w:eastAsia="zh-CN"/>
        </w:rPr>
        <w:t>清洁生产指标分为五类：（一）生产工艺及装备指标；（二）资源能源消耗指标；（三）资源综合利用指标，（四）生态环境指标，（五）清洁生产管理指标</w:t>
      </w:r>
      <w:r>
        <w:rPr>
          <w:rFonts w:hAnsi="Times New Roman" w:eastAsia="宋体"/>
          <w:szCs w:val="22"/>
          <w:lang w:eastAsia="zh-CN"/>
        </w:rPr>
        <w:t>。</w:t>
      </w:r>
    </w:p>
    <w:p>
      <w:pPr>
        <w:pStyle w:val="6"/>
        <w:rPr>
          <w:szCs w:val="22"/>
          <w:lang w:eastAsia="zh-CN"/>
        </w:rPr>
      </w:pPr>
      <w:bookmarkStart w:id="668" w:name="_Toc167095322"/>
      <w:bookmarkStart w:id="669" w:name="_Toc163812699"/>
      <w:r>
        <w:rPr>
          <w:szCs w:val="22"/>
          <w:lang w:eastAsia="zh-CN"/>
        </w:rPr>
        <w:t>1</w:t>
      </w:r>
      <w:r>
        <w:rPr>
          <w:rFonts w:hint="eastAsia"/>
          <w:szCs w:val="22"/>
          <w:lang w:eastAsia="zh-CN"/>
        </w:rPr>
        <w:t>2.1.2 煤炭采选业清洁生产企业的评定</w:t>
      </w:r>
      <w:bookmarkEnd w:id="668"/>
      <w:bookmarkEnd w:id="669"/>
    </w:p>
    <w:p>
      <w:pPr>
        <w:spacing w:line="360" w:lineRule="auto"/>
        <w:ind w:firstLine="480" w:firstLineChars="200"/>
        <w:rPr>
          <w:rFonts w:hAnsi="Times New Roman" w:eastAsia="宋体"/>
          <w:szCs w:val="24"/>
          <w:lang w:eastAsia="zh-CN"/>
        </w:rPr>
      </w:pPr>
      <w:r>
        <w:rPr>
          <w:rFonts w:hint="eastAsia" w:hAnsi="Times New Roman" w:eastAsia="宋体"/>
          <w:szCs w:val="24"/>
          <w:lang w:eastAsia="zh-CN"/>
        </w:rPr>
        <w:t>不同等级的清洁生产企业的综合评价指数见表12.1-1。</w:t>
      </w:r>
    </w:p>
    <w:p>
      <w:pPr>
        <w:spacing w:after="120" w:afterLines="50"/>
        <w:jc w:val="center"/>
        <w:rPr>
          <w:rFonts w:hAnsi="Times New Roman" w:eastAsia="宋体"/>
          <w:b/>
          <w:sz w:val="21"/>
          <w:szCs w:val="21"/>
          <w:lang w:eastAsia="zh-CN"/>
        </w:rPr>
      </w:pPr>
      <w:r>
        <w:rPr>
          <w:rFonts w:hAnsi="Times New Roman" w:eastAsia="宋体"/>
          <w:b/>
          <w:sz w:val="21"/>
          <w:szCs w:val="21"/>
          <w:lang w:eastAsia="zh-CN"/>
        </w:rPr>
        <w:t>表</w:t>
      </w:r>
      <w:r>
        <w:rPr>
          <w:rFonts w:hint="eastAsia" w:hAnsi="Times New Roman" w:eastAsia="宋体"/>
          <w:b/>
          <w:sz w:val="21"/>
          <w:szCs w:val="21"/>
          <w:lang w:eastAsia="zh-CN"/>
        </w:rPr>
        <w:t xml:space="preserve">12.1-1 </w:t>
      </w:r>
      <w:r>
        <w:rPr>
          <w:rFonts w:hAnsi="Times New Roman" w:eastAsia="宋体"/>
          <w:b/>
          <w:sz w:val="21"/>
          <w:szCs w:val="21"/>
          <w:lang w:eastAsia="zh-CN"/>
        </w:rPr>
        <w:t>环境管理要求</w:t>
      </w:r>
    </w:p>
    <w:tbl>
      <w:tblPr>
        <w:tblStyle w:val="33"/>
        <w:tblW w:w="86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01"/>
        <w:gridCol w:w="54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3201"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企业清洁生产水平</w:t>
            </w:r>
          </w:p>
        </w:tc>
        <w:tc>
          <w:tcPr>
            <w:tcW w:w="5473"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清洁生产综合评价指数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3201"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Ⅰ级（国际清洁生产领先企业）</w:t>
            </w:r>
          </w:p>
        </w:tc>
        <w:tc>
          <w:tcPr>
            <w:tcW w:w="547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YⅠ≥85，限定性指标全部满足Ⅰ级基准值要求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3201"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Ⅱ级（国内清洁生产先进水平）</w:t>
            </w:r>
          </w:p>
        </w:tc>
        <w:tc>
          <w:tcPr>
            <w:tcW w:w="547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YⅡ≥85，限定性指标全部满足Ⅱ级基准值要求及以上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3201"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III 级（国内清洁生产一般水平）</w:t>
            </w:r>
          </w:p>
        </w:tc>
        <w:tc>
          <w:tcPr>
            <w:tcW w:w="547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YⅢ=100，限定性指标全部满足Ⅱ级基准值要求及以上</w:t>
            </w:r>
          </w:p>
        </w:tc>
      </w:tr>
    </w:tbl>
    <w:p>
      <w:pPr>
        <w:spacing w:line="360" w:lineRule="auto"/>
        <w:ind w:firstLine="480" w:firstLineChars="200"/>
        <w:rPr>
          <w:rFonts w:hAnsi="Times New Roman" w:eastAsia="宋体"/>
          <w:szCs w:val="24"/>
          <w:lang w:eastAsia="zh-CN"/>
        </w:rPr>
      </w:pPr>
      <w:r>
        <w:rPr>
          <w:rFonts w:hint="eastAsia" w:hAnsi="Times New Roman" w:eastAsia="宋体"/>
          <w:szCs w:val="24"/>
          <w:lang w:eastAsia="zh-CN"/>
        </w:rPr>
        <w:t>对煤炭采选企业清洁生产水平的评价，是以其清洁生产综合评价指数为依据，对达到一定综合评价指数的企业，分别评定为国际清洁生产领先企业、国内清洁生产先进企业或国内清洁生产一般企业。</w:t>
      </w:r>
    </w:p>
    <w:p>
      <w:pPr>
        <w:pStyle w:val="6"/>
        <w:rPr>
          <w:szCs w:val="22"/>
          <w:lang w:eastAsia="zh-CN"/>
        </w:rPr>
      </w:pPr>
      <w:bookmarkStart w:id="670" w:name="_Toc163812700"/>
      <w:bookmarkStart w:id="671" w:name="_Toc167095323"/>
      <w:r>
        <w:rPr>
          <w:szCs w:val="22"/>
          <w:lang w:eastAsia="zh-CN"/>
        </w:rPr>
        <w:t>1</w:t>
      </w:r>
      <w:r>
        <w:rPr>
          <w:rFonts w:hint="eastAsia"/>
          <w:szCs w:val="22"/>
          <w:lang w:eastAsia="zh-CN"/>
        </w:rPr>
        <w:t>2.1.3 清洁生产评价</w:t>
      </w:r>
      <w:bookmarkEnd w:id="670"/>
      <w:bookmarkEnd w:id="671"/>
    </w:p>
    <w:p>
      <w:pPr>
        <w:spacing w:line="360" w:lineRule="auto"/>
        <w:ind w:firstLine="480" w:firstLineChars="200"/>
        <w:rPr>
          <w:rFonts w:hAnsi="Times New Roman" w:eastAsia="宋体"/>
          <w:szCs w:val="24"/>
          <w:lang w:eastAsia="zh-CN"/>
        </w:rPr>
        <w:sectPr>
          <w:headerReference r:id="rId14" w:type="default"/>
          <w:pgSz w:w="11910" w:h="16840"/>
          <w:pgMar w:top="1220" w:right="1480" w:bottom="1200" w:left="1480" w:header="0" w:footer="1013" w:gutter="0"/>
          <w:cols w:space="720" w:num="1"/>
        </w:sectPr>
      </w:pPr>
      <w:r>
        <w:rPr>
          <w:rFonts w:hint="eastAsia" w:hAnsi="Times New Roman" w:eastAsia="宋体"/>
          <w:szCs w:val="24"/>
          <w:lang w:eastAsia="zh-CN"/>
        </w:rPr>
        <w:t>本项目清洁生产评价结果见表12.1-2。本项目根据《煤炭采选业清洁生产评价指标体系》指标要求，剔除选煤相关指标，清洁生产管理指标按项目建成运行进行评价表明，本项目限定性指标中除矿井水利用率低于Ⅲ级要求外，其余全部满足Ⅲ级及以上基准值要求。</w:t>
      </w:r>
    </w:p>
    <w:p>
      <w:pPr>
        <w:pStyle w:val="14"/>
        <w:kinsoku w:val="0"/>
        <w:overflowPunct w:val="0"/>
        <w:spacing w:line="360" w:lineRule="auto"/>
        <w:jc w:val="center"/>
        <w:rPr>
          <w:rFonts w:ascii="Times New Roman" w:hAnsi="Times New Roman"/>
          <w:b/>
          <w:kern w:val="0"/>
          <w:sz w:val="21"/>
          <w:szCs w:val="21"/>
          <w:lang w:eastAsia="zh-CN"/>
        </w:rPr>
      </w:pPr>
      <w:r>
        <w:rPr>
          <w:rFonts w:ascii="Times New Roman" w:hAnsi="Times New Roman"/>
          <w:b/>
          <w:kern w:val="0"/>
          <w:sz w:val="21"/>
          <w:szCs w:val="21"/>
          <w:lang w:eastAsia="zh-CN"/>
        </w:rPr>
        <w:t>表 12.1-1 项目生产工艺与装备要求指标分析表</w:t>
      </w:r>
    </w:p>
    <w:tbl>
      <w:tblPr>
        <w:tblStyle w:val="33"/>
        <w:tblW w:w="1515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7"/>
        <w:gridCol w:w="898"/>
        <w:gridCol w:w="1013"/>
        <w:gridCol w:w="706"/>
        <w:gridCol w:w="707"/>
        <w:gridCol w:w="727"/>
        <w:gridCol w:w="887"/>
        <w:gridCol w:w="2061"/>
        <w:gridCol w:w="16"/>
        <w:gridCol w:w="2080"/>
        <w:gridCol w:w="2078"/>
        <w:gridCol w:w="1683"/>
        <w:gridCol w:w="16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 w:hRule="atLeast"/>
          <w:tblHeader/>
          <w:jc w:val="center"/>
        </w:trPr>
        <w:tc>
          <w:tcPr>
            <w:tcW w:w="62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序号</w:t>
            </w:r>
          </w:p>
        </w:tc>
        <w:tc>
          <w:tcPr>
            <w:tcW w:w="899"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一级指标项</w:t>
            </w:r>
          </w:p>
        </w:tc>
        <w:tc>
          <w:tcPr>
            <w:tcW w:w="1013"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一级指标权重值</w:t>
            </w:r>
          </w:p>
        </w:tc>
        <w:tc>
          <w:tcPr>
            <w:tcW w:w="1412" w:type="dxa"/>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二级指标项</w:t>
            </w:r>
          </w:p>
        </w:tc>
        <w:tc>
          <w:tcPr>
            <w:tcW w:w="727"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单位</w:t>
            </w:r>
          </w:p>
        </w:tc>
        <w:tc>
          <w:tcPr>
            <w:tcW w:w="886"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t>二级指标分权重值</w:t>
            </w:r>
          </w:p>
        </w:tc>
        <w:tc>
          <w:tcPr>
            <w:tcW w:w="2061"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fldChar w:fldCharType="begin"/>
            </w:r>
            <w:r>
              <w:rPr>
                <w:rFonts w:hint="eastAsia" w:hAnsi="Times New Roman" w:eastAsia="宋体"/>
                <w:b/>
                <w:bCs/>
                <w:kern w:val="2"/>
                <w:sz w:val="21"/>
                <w:szCs w:val="21"/>
              </w:rPr>
              <w:instrText xml:space="preserve"> = 1 \* ROMAN \* MERGEFORMAT </w:instrText>
            </w:r>
            <w:r>
              <w:rPr>
                <w:rFonts w:hint="eastAsia" w:hAnsi="Times New Roman" w:eastAsia="宋体"/>
                <w:b/>
                <w:bCs/>
                <w:kern w:val="2"/>
                <w:sz w:val="21"/>
                <w:szCs w:val="21"/>
              </w:rPr>
              <w:fldChar w:fldCharType="separate"/>
            </w:r>
            <w:r>
              <w:rPr>
                <w:rFonts w:hint="eastAsia" w:hAnsi="Times New Roman" w:eastAsia="宋体"/>
                <w:kern w:val="2"/>
                <w:sz w:val="21"/>
                <w:szCs w:val="21"/>
              </w:rPr>
              <w:t>I</w:t>
            </w:r>
            <w:r>
              <w:rPr>
                <w:rFonts w:hint="eastAsia" w:hAnsi="Times New Roman" w:eastAsia="宋体"/>
                <w:b/>
                <w:bCs/>
                <w:kern w:val="2"/>
                <w:sz w:val="21"/>
                <w:szCs w:val="21"/>
              </w:rPr>
              <w:fldChar w:fldCharType="end"/>
            </w:r>
            <w:r>
              <w:rPr>
                <w:rFonts w:hint="eastAsia" w:hAnsi="Times New Roman" w:eastAsia="宋体"/>
                <w:b/>
                <w:bCs/>
                <w:kern w:val="2"/>
                <w:sz w:val="21"/>
                <w:szCs w:val="21"/>
              </w:rPr>
              <w:t>级基准值</w:t>
            </w:r>
          </w:p>
        </w:tc>
        <w:tc>
          <w:tcPr>
            <w:tcW w:w="2095" w:type="dxa"/>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
                <w:bCs/>
                <w:kern w:val="2"/>
                <w:sz w:val="21"/>
                <w:szCs w:val="21"/>
              </w:rPr>
            </w:pPr>
            <w:r>
              <w:rPr>
                <w:rFonts w:hint="default" w:hAnsi="Times New Roman" w:eastAsia="宋体"/>
                <w:b/>
                <w:bCs/>
                <w:kern w:val="2"/>
                <w:sz w:val="21"/>
                <w:szCs w:val="21"/>
                <w:lang w:val="en-US" w:eastAsia="zh-CN"/>
              </w:rPr>
              <w:fldChar w:fldCharType="begin"/>
            </w:r>
            <w:r>
              <w:rPr>
                <w:rFonts w:hint="default" w:hAnsi="Times New Roman" w:eastAsia="宋体"/>
                <w:b/>
                <w:bCs/>
                <w:kern w:val="2"/>
                <w:sz w:val="21"/>
                <w:szCs w:val="21"/>
                <w:lang w:val="en-US" w:eastAsia="zh-CN"/>
              </w:rPr>
              <w:instrText xml:space="preserve"> = 2 \* ROMAN </w:instrText>
            </w:r>
            <w:r>
              <w:rPr>
                <w:rFonts w:hint="default" w:hAnsi="Times New Roman" w:eastAsia="宋体"/>
                <w:b/>
                <w:bCs/>
                <w:kern w:val="2"/>
                <w:sz w:val="21"/>
                <w:szCs w:val="21"/>
                <w:lang w:val="en-US" w:eastAsia="zh-CN"/>
              </w:rPr>
              <w:fldChar w:fldCharType="separate"/>
            </w:r>
            <w:r>
              <w:rPr>
                <w:rFonts w:hint="default" w:hAnsi="Times New Roman" w:eastAsia="宋体"/>
                <w:b/>
                <w:bCs/>
                <w:kern w:val="2"/>
                <w:sz w:val="21"/>
                <w:szCs w:val="21"/>
                <w:lang w:val="en-US" w:eastAsia="zh-CN"/>
              </w:rPr>
              <w:t>II</w:t>
            </w:r>
            <w:r>
              <w:rPr>
                <w:rFonts w:hint="default" w:hAnsi="Times New Roman" w:eastAsia="宋体"/>
                <w:b/>
                <w:bCs/>
                <w:kern w:val="2"/>
                <w:sz w:val="21"/>
                <w:szCs w:val="21"/>
                <w:lang w:val="en-US" w:eastAsia="zh-CN"/>
              </w:rPr>
              <w:fldChar w:fldCharType="end"/>
            </w:r>
            <w:r>
              <w:rPr>
                <w:rFonts w:hint="eastAsia" w:hAnsi="Times New Roman" w:eastAsia="宋体"/>
                <w:b/>
                <w:bCs/>
                <w:kern w:val="2"/>
                <w:sz w:val="21"/>
                <w:szCs w:val="21"/>
                <w:lang w:eastAsia="zh-CN"/>
              </w:rPr>
              <w:t>类</w:t>
            </w:r>
            <w:r>
              <w:rPr>
                <w:rFonts w:hint="eastAsia" w:hAnsi="Times New Roman" w:eastAsia="宋体"/>
                <w:b/>
                <w:bCs/>
                <w:kern w:val="2"/>
                <w:sz w:val="21"/>
                <w:szCs w:val="21"/>
              </w:rPr>
              <w:t>基准值</w:t>
            </w:r>
          </w:p>
        </w:tc>
        <w:tc>
          <w:tcPr>
            <w:tcW w:w="207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
                <w:bCs/>
                <w:kern w:val="2"/>
                <w:sz w:val="21"/>
                <w:szCs w:val="21"/>
              </w:rPr>
            </w:pPr>
            <w:r>
              <w:rPr>
                <w:rFonts w:hint="eastAsia" w:hAnsi="Times New Roman" w:eastAsia="宋体"/>
                <w:b/>
                <w:bCs/>
                <w:kern w:val="2"/>
                <w:sz w:val="21"/>
                <w:szCs w:val="21"/>
              </w:rPr>
              <w:fldChar w:fldCharType="begin"/>
            </w:r>
            <w:r>
              <w:rPr>
                <w:rFonts w:hint="eastAsia" w:hAnsi="Times New Roman" w:eastAsia="宋体"/>
                <w:b/>
                <w:bCs/>
                <w:kern w:val="2"/>
                <w:sz w:val="21"/>
                <w:szCs w:val="21"/>
              </w:rPr>
              <w:instrText xml:space="preserve"> = 3 \* ROMAN \* MERGEFORMAT </w:instrText>
            </w:r>
            <w:r>
              <w:rPr>
                <w:rFonts w:hint="eastAsia" w:hAnsi="Times New Roman" w:eastAsia="宋体"/>
                <w:b/>
                <w:bCs/>
                <w:kern w:val="2"/>
                <w:sz w:val="21"/>
                <w:szCs w:val="21"/>
              </w:rPr>
              <w:fldChar w:fldCharType="separate"/>
            </w:r>
            <w:r>
              <w:rPr>
                <w:rFonts w:hint="eastAsia" w:hAnsi="Times New Roman" w:eastAsia="宋体"/>
                <w:kern w:val="2"/>
                <w:sz w:val="21"/>
                <w:szCs w:val="21"/>
              </w:rPr>
              <w:t>III</w:t>
            </w:r>
            <w:r>
              <w:rPr>
                <w:rFonts w:hint="eastAsia" w:hAnsi="Times New Roman" w:eastAsia="宋体"/>
                <w:b/>
                <w:bCs/>
                <w:kern w:val="2"/>
                <w:sz w:val="21"/>
                <w:szCs w:val="21"/>
              </w:rPr>
              <w:fldChar w:fldCharType="end"/>
            </w:r>
            <w:r>
              <w:rPr>
                <w:rFonts w:hint="eastAsia" w:hAnsi="Times New Roman" w:eastAsia="宋体"/>
                <w:b/>
                <w:bCs/>
                <w:kern w:val="2"/>
                <w:sz w:val="21"/>
                <w:szCs w:val="21"/>
              </w:rPr>
              <w:t>级基准值</w:t>
            </w:r>
          </w:p>
        </w:tc>
        <w:tc>
          <w:tcPr>
            <w:tcW w:w="1683"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七里峡煤矿指标</w:t>
            </w:r>
          </w:p>
        </w:tc>
        <w:tc>
          <w:tcPr>
            <w:tcW w:w="1674"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七里峡煤矿等级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2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1</w:t>
            </w:r>
          </w:p>
        </w:tc>
        <w:tc>
          <w:tcPr>
            <w:tcW w:w="899" w:type="dxa"/>
            <w:vMerge w:val="restar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（一）生产工艺及装备指标</w:t>
            </w:r>
          </w:p>
        </w:tc>
        <w:tc>
          <w:tcPr>
            <w:tcW w:w="1013" w:type="dxa"/>
            <w:vMerge w:val="restar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0.25</w:t>
            </w:r>
          </w:p>
        </w:tc>
        <w:tc>
          <w:tcPr>
            <w:tcW w:w="1412" w:type="dxa"/>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*煤矿机械化掘进比例</w:t>
            </w:r>
          </w:p>
        </w:tc>
        <w:tc>
          <w:tcPr>
            <w:tcW w:w="727"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886"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0.10</w:t>
            </w:r>
          </w:p>
        </w:tc>
        <w:tc>
          <w:tcPr>
            <w:tcW w:w="2061"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≥90</w:t>
            </w:r>
          </w:p>
        </w:tc>
        <w:tc>
          <w:tcPr>
            <w:tcW w:w="2095" w:type="dxa"/>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≥85</w:t>
            </w:r>
          </w:p>
        </w:tc>
        <w:tc>
          <w:tcPr>
            <w:tcW w:w="207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≥80</w:t>
            </w:r>
          </w:p>
        </w:tc>
        <w:tc>
          <w:tcPr>
            <w:tcW w:w="1683"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spacing w:val="-1"/>
                <w:kern w:val="2"/>
                <w:sz w:val="21"/>
                <w:szCs w:val="22"/>
              </w:rPr>
              <w:t>≥95</w:t>
            </w:r>
          </w:p>
        </w:tc>
        <w:tc>
          <w:tcPr>
            <w:tcW w:w="1674"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fldChar w:fldCharType="begin"/>
            </w:r>
            <w:r>
              <w:rPr>
                <w:rFonts w:hint="eastAsia" w:hAnsi="Times New Roman" w:eastAsia="宋体"/>
                <w:kern w:val="2"/>
                <w:sz w:val="21"/>
                <w:szCs w:val="21"/>
              </w:rPr>
              <w:instrText xml:space="preserve"> = 1 \* ROMAN \* MERGEFORMAT </w:instrText>
            </w:r>
            <w:r>
              <w:rPr>
                <w:rFonts w:hint="eastAsia" w:hAnsi="Times New Roman" w:eastAsia="宋体"/>
                <w:kern w:val="2"/>
                <w:sz w:val="21"/>
                <w:szCs w:val="21"/>
              </w:rPr>
              <w:fldChar w:fldCharType="separate"/>
            </w:r>
            <w:r>
              <w:rPr>
                <w:rFonts w:hint="eastAsia" w:hAnsi="Times New Roman" w:eastAsia="宋体"/>
                <w:kern w:val="2"/>
                <w:sz w:val="21"/>
                <w:szCs w:val="21"/>
              </w:rPr>
              <w:t>I</w:t>
            </w:r>
            <w:r>
              <w:rPr>
                <w:rFonts w:hint="eastAsia" w:hAnsi="Times New Roman" w:eastAsia="宋体"/>
                <w:kern w:val="2"/>
                <w:sz w:val="21"/>
                <w:szCs w:val="21"/>
              </w:rPr>
              <w:fldChar w:fldCharType="end"/>
            </w:r>
            <w:r>
              <w:rPr>
                <w:rFonts w:hint="eastAsia" w:hAnsi="Times New Roman" w:eastAsia="宋体"/>
                <w:kern w:val="2"/>
                <w:sz w:val="21"/>
                <w:szCs w:val="21"/>
              </w:rPr>
              <w:t>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2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2</w:t>
            </w:r>
          </w:p>
        </w:tc>
        <w:tc>
          <w:tcPr>
            <w:tcW w:w="899" w:type="dxa"/>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1013" w:type="dxa"/>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1412" w:type="dxa"/>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*煤矿机械化采煤比例</w:t>
            </w:r>
          </w:p>
        </w:tc>
        <w:tc>
          <w:tcPr>
            <w:tcW w:w="727"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886"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0.10</w:t>
            </w:r>
          </w:p>
        </w:tc>
        <w:tc>
          <w:tcPr>
            <w:tcW w:w="2061"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≥95</w:t>
            </w:r>
          </w:p>
        </w:tc>
        <w:tc>
          <w:tcPr>
            <w:tcW w:w="2095" w:type="dxa"/>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≥90</w:t>
            </w:r>
          </w:p>
        </w:tc>
        <w:tc>
          <w:tcPr>
            <w:tcW w:w="207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≥85</w:t>
            </w:r>
          </w:p>
        </w:tc>
        <w:tc>
          <w:tcPr>
            <w:tcW w:w="1683"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spacing w:val="-1"/>
                <w:kern w:val="2"/>
                <w:sz w:val="21"/>
                <w:szCs w:val="22"/>
              </w:rPr>
              <w:t>≥95</w:t>
            </w:r>
          </w:p>
        </w:tc>
        <w:tc>
          <w:tcPr>
            <w:tcW w:w="1674"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fldChar w:fldCharType="begin"/>
            </w:r>
            <w:r>
              <w:rPr>
                <w:rFonts w:hint="eastAsia" w:hAnsi="Times New Roman" w:eastAsia="宋体"/>
                <w:kern w:val="2"/>
                <w:sz w:val="21"/>
                <w:szCs w:val="21"/>
              </w:rPr>
              <w:instrText xml:space="preserve"> = 1 \* ROMAN \* MERGEFORMAT </w:instrText>
            </w:r>
            <w:r>
              <w:rPr>
                <w:rFonts w:hint="eastAsia" w:hAnsi="Times New Roman" w:eastAsia="宋体"/>
                <w:kern w:val="2"/>
                <w:sz w:val="21"/>
                <w:szCs w:val="21"/>
              </w:rPr>
              <w:fldChar w:fldCharType="separate"/>
            </w:r>
            <w:r>
              <w:rPr>
                <w:rFonts w:hint="eastAsia" w:hAnsi="Times New Roman" w:eastAsia="宋体"/>
                <w:kern w:val="2"/>
                <w:sz w:val="21"/>
                <w:szCs w:val="21"/>
              </w:rPr>
              <w:t>I</w:t>
            </w:r>
            <w:r>
              <w:rPr>
                <w:rFonts w:hint="eastAsia" w:hAnsi="Times New Roman" w:eastAsia="宋体"/>
                <w:kern w:val="2"/>
                <w:sz w:val="21"/>
                <w:szCs w:val="21"/>
              </w:rPr>
              <w:fldChar w:fldCharType="end"/>
            </w:r>
            <w:r>
              <w:rPr>
                <w:rFonts w:hint="eastAsia" w:hAnsi="Times New Roman" w:eastAsia="宋体"/>
                <w:kern w:val="2"/>
                <w:sz w:val="21"/>
                <w:szCs w:val="21"/>
              </w:rPr>
              <w:t>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2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3</w:t>
            </w:r>
          </w:p>
        </w:tc>
        <w:tc>
          <w:tcPr>
            <w:tcW w:w="899" w:type="dxa"/>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1013" w:type="dxa"/>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1412" w:type="dxa"/>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井下煤炭输送工艺及装备</w:t>
            </w:r>
          </w:p>
        </w:tc>
        <w:tc>
          <w:tcPr>
            <w:tcW w:w="727"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886"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0.06</w:t>
            </w:r>
          </w:p>
        </w:tc>
        <w:tc>
          <w:tcPr>
            <w:tcW w:w="2061"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长距离井下至井口带式输送机连续运输（实现集控）；立井采用机车牵引矿车运输</w:t>
            </w:r>
          </w:p>
        </w:tc>
        <w:tc>
          <w:tcPr>
            <w:tcW w:w="2095" w:type="dxa"/>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采区采用带式输送机，井下大巷采用机</w:t>
            </w:r>
          </w:p>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车牵引矿车运输</w:t>
            </w:r>
          </w:p>
        </w:tc>
        <w:tc>
          <w:tcPr>
            <w:tcW w:w="207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采用以矿车为主的运输方式</w:t>
            </w:r>
          </w:p>
        </w:tc>
        <w:tc>
          <w:tcPr>
            <w:tcW w:w="1683"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spacing w:val="-2"/>
                <w:kern w:val="2"/>
                <w:sz w:val="21"/>
                <w:szCs w:val="22"/>
              </w:rPr>
              <w:t>采区采用袋式输送机，井下大巷采用机车牵引矿车运输</w:t>
            </w:r>
          </w:p>
        </w:tc>
        <w:tc>
          <w:tcPr>
            <w:tcW w:w="1674"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Ⅱ</w:t>
            </w:r>
            <w:r>
              <w:rPr>
                <w:rFonts w:hint="eastAsia" w:hAnsi="Times New Roman" w:eastAsia="宋体"/>
                <w:kern w:val="2"/>
                <w:sz w:val="21"/>
                <w:szCs w:val="21"/>
              </w:rPr>
              <w:t>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2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4</w:t>
            </w:r>
          </w:p>
        </w:tc>
        <w:tc>
          <w:tcPr>
            <w:tcW w:w="899" w:type="dxa"/>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1013" w:type="dxa"/>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1412" w:type="dxa"/>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井巷支护工艺</w:t>
            </w:r>
          </w:p>
        </w:tc>
        <w:tc>
          <w:tcPr>
            <w:tcW w:w="727"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886"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0.06</w:t>
            </w:r>
          </w:p>
        </w:tc>
        <w:tc>
          <w:tcPr>
            <w:tcW w:w="2061"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井筒岩巷光爆锚喷、锚杆、锚索等支护技术，煤巷采用锚网喷或锚网、锚索支护；斜井明槽开挖段及立井井筒采用砌壁支护</w:t>
            </w:r>
          </w:p>
        </w:tc>
        <w:tc>
          <w:tcPr>
            <w:tcW w:w="4174" w:type="dxa"/>
            <w:gridSpan w:val="3"/>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大部分井筒岩巷和大巷采用光爆锚喷、</w:t>
            </w:r>
          </w:p>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锚杆、锚索等支护技术。部分井筒及大巷采</w:t>
            </w:r>
          </w:p>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用砌壁支护。采区巷道采用锚杆、锚索、</w:t>
            </w:r>
          </w:p>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网喷支护或金属棚支护。</w:t>
            </w:r>
          </w:p>
        </w:tc>
        <w:tc>
          <w:tcPr>
            <w:tcW w:w="1682"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2"/>
              </w:rPr>
              <w:t>大部</w:t>
            </w:r>
            <w:r>
              <w:rPr>
                <w:rFonts w:hint="eastAsia" w:hAnsi="Times New Roman" w:eastAsia="宋体"/>
                <w:spacing w:val="-3"/>
                <w:kern w:val="2"/>
                <w:sz w:val="21"/>
                <w:szCs w:val="22"/>
              </w:rPr>
              <w:t>分</w:t>
            </w:r>
            <w:r>
              <w:rPr>
                <w:rFonts w:hint="eastAsia" w:hAnsi="Times New Roman" w:eastAsia="宋体"/>
                <w:kern w:val="2"/>
                <w:sz w:val="21"/>
                <w:szCs w:val="22"/>
              </w:rPr>
              <w:t>井</w:t>
            </w:r>
            <w:r>
              <w:rPr>
                <w:rFonts w:hint="eastAsia" w:hAnsi="Times New Roman" w:eastAsia="宋体"/>
                <w:spacing w:val="-3"/>
                <w:kern w:val="2"/>
                <w:sz w:val="21"/>
                <w:szCs w:val="22"/>
              </w:rPr>
              <w:t>筒</w:t>
            </w:r>
            <w:r>
              <w:rPr>
                <w:rFonts w:hint="eastAsia" w:hAnsi="Times New Roman" w:eastAsia="宋体"/>
                <w:kern w:val="2"/>
                <w:sz w:val="21"/>
                <w:szCs w:val="22"/>
              </w:rPr>
              <w:t>岩</w:t>
            </w:r>
            <w:r>
              <w:rPr>
                <w:rFonts w:hint="eastAsia" w:hAnsi="Times New Roman" w:eastAsia="宋体"/>
                <w:spacing w:val="-3"/>
                <w:kern w:val="2"/>
                <w:sz w:val="21"/>
                <w:szCs w:val="22"/>
              </w:rPr>
              <w:t>巷</w:t>
            </w:r>
            <w:r>
              <w:rPr>
                <w:rFonts w:hint="eastAsia" w:hAnsi="Times New Roman" w:eastAsia="宋体"/>
                <w:kern w:val="2"/>
                <w:sz w:val="21"/>
                <w:szCs w:val="22"/>
              </w:rPr>
              <w:t>光</w:t>
            </w:r>
            <w:r>
              <w:rPr>
                <w:rFonts w:hint="eastAsia" w:hAnsi="Times New Roman" w:eastAsia="宋体"/>
                <w:spacing w:val="-3"/>
                <w:kern w:val="2"/>
                <w:sz w:val="21"/>
                <w:szCs w:val="22"/>
              </w:rPr>
              <w:t>爆</w:t>
            </w:r>
            <w:r>
              <w:rPr>
                <w:rFonts w:hint="eastAsia" w:hAnsi="Times New Roman" w:eastAsia="宋体"/>
                <w:kern w:val="2"/>
                <w:sz w:val="21"/>
                <w:szCs w:val="22"/>
              </w:rPr>
              <w:t>锚</w:t>
            </w:r>
            <w:r>
              <w:rPr>
                <w:rFonts w:hint="eastAsia" w:hAnsi="Times New Roman" w:eastAsia="宋体"/>
                <w:spacing w:val="-3"/>
                <w:kern w:val="2"/>
                <w:sz w:val="21"/>
                <w:szCs w:val="22"/>
              </w:rPr>
              <w:t>喷</w:t>
            </w:r>
            <w:r>
              <w:rPr>
                <w:rFonts w:hint="eastAsia" w:hAnsi="Times New Roman" w:eastAsia="宋体"/>
                <w:spacing w:val="-104"/>
                <w:kern w:val="2"/>
                <w:sz w:val="21"/>
                <w:szCs w:val="22"/>
              </w:rPr>
              <w:t>、</w:t>
            </w:r>
            <w:r>
              <w:rPr>
                <w:rFonts w:hint="eastAsia" w:hAnsi="Times New Roman" w:eastAsia="宋体"/>
                <w:kern w:val="2"/>
                <w:sz w:val="21"/>
                <w:szCs w:val="22"/>
              </w:rPr>
              <w:t xml:space="preserve">锚杆、 </w:t>
            </w:r>
            <w:r>
              <w:rPr>
                <w:rFonts w:hint="eastAsia" w:hAnsi="Times New Roman" w:eastAsia="宋体"/>
                <w:spacing w:val="-1"/>
                <w:kern w:val="2"/>
                <w:sz w:val="21"/>
                <w:szCs w:val="22"/>
              </w:rPr>
              <w:t>锚索等支护技术</w:t>
            </w:r>
          </w:p>
        </w:tc>
        <w:tc>
          <w:tcPr>
            <w:tcW w:w="1674"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Ⅱ</w:t>
            </w:r>
            <w:r>
              <w:rPr>
                <w:rFonts w:hint="eastAsia" w:hAnsi="Times New Roman" w:eastAsia="宋体"/>
                <w:kern w:val="2"/>
                <w:sz w:val="21"/>
                <w:szCs w:val="21"/>
              </w:rPr>
              <w:t>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2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5</w:t>
            </w:r>
          </w:p>
        </w:tc>
        <w:tc>
          <w:tcPr>
            <w:tcW w:w="899" w:type="dxa"/>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1013" w:type="dxa"/>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1412" w:type="dxa"/>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贮煤设施工艺及装备</w:t>
            </w:r>
          </w:p>
        </w:tc>
        <w:tc>
          <w:tcPr>
            <w:tcW w:w="727"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886"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0.09</w:t>
            </w:r>
          </w:p>
        </w:tc>
        <w:tc>
          <w:tcPr>
            <w:tcW w:w="2061"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原煤进筒仓或全封闭的贮煤场</w:t>
            </w:r>
          </w:p>
        </w:tc>
        <w:tc>
          <w:tcPr>
            <w:tcW w:w="4174" w:type="dxa"/>
            <w:gridSpan w:val="3"/>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贮煤场设有挡风抑尘措施和洒水喷淋装置，上层有棚顶或苫盖。</w:t>
            </w:r>
          </w:p>
        </w:tc>
        <w:tc>
          <w:tcPr>
            <w:tcW w:w="1682"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spacing w:val="-2"/>
                <w:kern w:val="2"/>
                <w:sz w:val="21"/>
                <w:szCs w:val="22"/>
              </w:rPr>
              <w:t>设置有全封闭的贮煤场</w:t>
            </w:r>
          </w:p>
        </w:tc>
        <w:tc>
          <w:tcPr>
            <w:tcW w:w="1674"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fldChar w:fldCharType="begin"/>
            </w:r>
            <w:r>
              <w:rPr>
                <w:rFonts w:hint="eastAsia" w:hAnsi="Times New Roman" w:eastAsia="宋体"/>
                <w:kern w:val="2"/>
                <w:sz w:val="21"/>
                <w:szCs w:val="21"/>
              </w:rPr>
              <w:instrText xml:space="preserve"> = 1 \* ROMAN \* MERGEFORMAT </w:instrText>
            </w:r>
            <w:r>
              <w:rPr>
                <w:rFonts w:hint="eastAsia" w:hAnsi="Times New Roman" w:eastAsia="宋体"/>
                <w:kern w:val="2"/>
                <w:sz w:val="21"/>
                <w:szCs w:val="21"/>
              </w:rPr>
              <w:fldChar w:fldCharType="separate"/>
            </w:r>
            <w:r>
              <w:rPr>
                <w:rFonts w:hint="eastAsia" w:hAnsi="Times New Roman" w:eastAsia="宋体"/>
                <w:kern w:val="2"/>
                <w:sz w:val="21"/>
                <w:szCs w:val="21"/>
              </w:rPr>
              <w:t>I</w:t>
            </w:r>
            <w:r>
              <w:rPr>
                <w:rFonts w:hint="eastAsia" w:hAnsi="Times New Roman" w:eastAsia="宋体"/>
                <w:kern w:val="2"/>
                <w:sz w:val="21"/>
                <w:szCs w:val="21"/>
              </w:rPr>
              <w:fldChar w:fldCharType="end"/>
            </w:r>
            <w:r>
              <w:rPr>
                <w:rFonts w:hint="eastAsia" w:hAnsi="Times New Roman" w:eastAsia="宋体"/>
                <w:kern w:val="2"/>
                <w:sz w:val="21"/>
                <w:szCs w:val="21"/>
              </w:rPr>
              <w:t>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2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6</w:t>
            </w:r>
          </w:p>
        </w:tc>
        <w:tc>
          <w:tcPr>
            <w:tcW w:w="899" w:type="dxa"/>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1013" w:type="dxa"/>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1412" w:type="dxa"/>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原煤入选率</w:t>
            </w:r>
          </w:p>
        </w:tc>
        <w:tc>
          <w:tcPr>
            <w:tcW w:w="727"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886"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0.11</w:t>
            </w:r>
          </w:p>
        </w:tc>
        <w:tc>
          <w:tcPr>
            <w:tcW w:w="2061"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100</w:t>
            </w:r>
          </w:p>
        </w:tc>
        <w:tc>
          <w:tcPr>
            <w:tcW w:w="2095" w:type="dxa"/>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≥90</w:t>
            </w:r>
          </w:p>
        </w:tc>
        <w:tc>
          <w:tcPr>
            <w:tcW w:w="207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≥80</w:t>
            </w:r>
          </w:p>
        </w:tc>
        <w:tc>
          <w:tcPr>
            <w:tcW w:w="1683"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100</w:t>
            </w:r>
          </w:p>
        </w:tc>
        <w:tc>
          <w:tcPr>
            <w:tcW w:w="1674"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fldChar w:fldCharType="begin"/>
            </w:r>
            <w:r>
              <w:rPr>
                <w:rFonts w:hint="eastAsia" w:hAnsi="Times New Roman" w:eastAsia="宋体"/>
                <w:kern w:val="2"/>
                <w:sz w:val="21"/>
                <w:szCs w:val="21"/>
              </w:rPr>
              <w:instrText xml:space="preserve"> = 1 \* ROMAN \* MERGEFORMAT </w:instrText>
            </w:r>
            <w:r>
              <w:rPr>
                <w:rFonts w:hint="eastAsia" w:hAnsi="Times New Roman" w:eastAsia="宋体"/>
                <w:kern w:val="2"/>
                <w:sz w:val="21"/>
                <w:szCs w:val="21"/>
              </w:rPr>
              <w:fldChar w:fldCharType="separate"/>
            </w:r>
            <w:r>
              <w:rPr>
                <w:rFonts w:hint="eastAsia" w:hAnsi="Times New Roman" w:eastAsia="宋体"/>
                <w:kern w:val="2"/>
                <w:sz w:val="21"/>
                <w:szCs w:val="21"/>
              </w:rPr>
              <w:t>I</w:t>
            </w:r>
            <w:r>
              <w:rPr>
                <w:rFonts w:hint="eastAsia" w:hAnsi="Times New Roman" w:eastAsia="宋体"/>
                <w:kern w:val="2"/>
                <w:sz w:val="21"/>
                <w:szCs w:val="21"/>
              </w:rPr>
              <w:fldChar w:fldCharType="end"/>
            </w:r>
            <w:r>
              <w:rPr>
                <w:rFonts w:hint="eastAsia" w:hAnsi="Times New Roman" w:eastAsia="宋体"/>
                <w:kern w:val="2"/>
                <w:sz w:val="21"/>
                <w:szCs w:val="21"/>
              </w:rPr>
              <w:t>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2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7</w:t>
            </w:r>
          </w:p>
        </w:tc>
        <w:tc>
          <w:tcPr>
            <w:tcW w:w="899" w:type="dxa"/>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1013" w:type="dxa"/>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706"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原煤运输</w:t>
            </w:r>
          </w:p>
        </w:tc>
        <w:tc>
          <w:tcPr>
            <w:tcW w:w="707"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矿井型选煤厂</w:t>
            </w:r>
          </w:p>
        </w:tc>
        <w:tc>
          <w:tcPr>
            <w:tcW w:w="726"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887"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0.09</w:t>
            </w:r>
          </w:p>
        </w:tc>
        <w:tc>
          <w:tcPr>
            <w:tcW w:w="4157" w:type="dxa"/>
            <w:gridSpan w:val="3"/>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由封闭皮带运输机将原煤直接运进矿井选煤厂全封闭的贮煤设施</w:t>
            </w:r>
          </w:p>
        </w:tc>
        <w:tc>
          <w:tcPr>
            <w:tcW w:w="207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由箱车或矿车将原煤运进矿井选煤厂全面防尘的贮煤设施</w:t>
            </w:r>
          </w:p>
        </w:tc>
        <w:tc>
          <w:tcPr>
            <w:tcW w:w="1681"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由封闭皮带运输机将原煤直接运进矿井选煤厂全封闭的贮煤设施</w:t>
            </w:r>
          </w:p>
        </w:tc>
        <w:tc>
          <w:tcPr>
            <w:tcW w:w="1674"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Ⅱ</w:t>
            </w:r>
            <w:r>
              <w:rPr>
                <w:rFonts w:hint="eastAsia" w:hAnsi="Times New Roman" w:eastAsia="宋体"/>
                <w:kern w:val="2"/>
                <w:sz w:val="21"/>
                <w:szCs w:val="21"/>
              </w:rPr>
              <w:t>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2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8</w:t>
            </w:r>
          </w:p>
        </w:tc>
        <w:tc>
          <w:tcPr>
            <w:tcW w:w="899" w:type="dxa"/>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1013" w:type="dxa"/>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1412" w:type="dxa"/>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粉尘控制</w:t>
            </w:r>
          </w:p>
        </w:tc>
        <w:tc>
          <w:tcPr>
            <w:tcW w:w="727"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886"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0.09</w:t>
            </w:r>
          </w:p>
        </w:tc>
        <w:tc>
          <w:tcPr>
            <w:tcW w:w="2061"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原煤分级筛、破碎机等干法作业及相关转载环节全部封闭作业，并设有集尘系统，车间有机械通风措施</w:t>
            </w:r>
          </w:p>
        </w:tc>
        <w:tc>
          <w:tcPr>
            <w:tcW w:w="2095" w:type="dxa"/>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分级筛及相关转载环节设集尘罩，带式输送机设喷雾除尘系统</w:t>
            </w:r>
          </w:p>
        </w:tc>
        <w:tc>
          <w:tcPr>
            <w:tcW w:w="207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破碎机、带式输送机、转载点等设喷雾降尘系统。</w:t>
            </w:r>
          </w:p>
        </w:tc>
        <w:tc>
          <w:tcPr>
            <w:tcW w:w="1683"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分级筛及相关转载环节设集尘罩，带式输送机设喷雾除尘系统</w:t>
            </w:r>
          </w:p>
        </w:tc>
        <w:tc>
          <w:tcPr>
            <w:tcW w:w="1674"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Ⅱ</w:t>
            </w:r>
            <w:r>
              <w:rPr>
                <w:rFonts w:hint="eastAsia" w:hAnsi="Times New Roman" w:eastAsia="宋体"/>
                <w:kern w:val="2"/>
                <w:sz w:val="21"/>
                <w:szCs w:val="21"/>
              </w:rPr>
              <w:t>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2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9</w:t>
            </w:r>
          </w:p>
        </w:tc>
        <w:tc>
          <w:tcPr>
            <w:tcW w:w="899" w:type="dxa"/>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1013" w:type="dxa"/>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706" w:type="dxa"/>
            <w:vMerge w:val="restar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产品</w:t>
            </w:r>
          </w:p>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的储</w:t>
            </w:r>
          </w:p>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运方</w:t>
            </w:r>
          </w:p>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式</w:t>
            </w:r>
          </w:p>
        </w:tc>
        <w:tc>
          <w:tcPr>
            <w:tcW w:w="707"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精煤、中煤</w:t>
            </w:r>
          </w:p>
        </w:tc>
        <w:tc>
          <w:tcPr>
            <w:tcW w:w="726"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887"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0.06</w:t>
            </w:r>
          </w:p>
        </w:tc>
        <w:tc>
          <w:tcPr>
            <w:tcW w:w="2061"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存于封闭的储存设施。运输有铁路专用线及铁路快速装车系统</w:t>
            </w:r>
          </w:p>
        </w:tc>
        <w:tc>
          <w:tcPr>
            <w:tcW w:w="4174" w:type="dxa"/>
            <w:gridSpan w:val="3"/>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存于半封闭且配有洒水喷淋装置的储存场。运输有铁路专用线、铁路快速装车系统，汽车公路外运采用全封闭车厢</w:t>
            </w:r>
          </w:p>
        </w:tc>
        <w:tc>
          <w:tcPr>
            <w:tcW w:w="1681"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存于封闭的储存设施。配有洒水喷淋装置的储存场。汽车公路外运采用全封闭车厢</w:t>
            </w:r>
          </w:p>
        </w:tc>
        <w:tc>
          <w:tcPr>
            <w:tcW w:w="1674"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Ⅱ</w:t>
            </w:r>
            <w:r>
              <w:rPr>
                <w:rFonts w:hint="eastAsia" w:hAnsi="Times New Roman" w:eastAsia="宋体"/>
                <w:kern w:val="2"/>
                <w:sz w:val="21"/>
                <w:szCs w:val="21"/>
              </w:rPr>
              <w:t>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2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10</w:t>
            </w:r>
          </w:p>
        </w:tc>
        <w:tc>
          <w:tcPr>
            <w:tcW w:w="899" w:type="dxa"/>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1013" w:type="dxa"/>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706" w:type="dxa"/>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707"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煤矸石、煤泥</w:t>
            </w:r>
          </w:p>
        </w:tc>
        <w:tc>
          <w:tcPr>
            <w:tcW w:w="726"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887"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0.06</w:t>
            </w:r>
          </w:p>
        </w:tc>
        <w:tc>
          <w:tcPr>
            <w:tcW w:w="6235" w:type="dxa"/>
            <w:gridSpan w:val="4"/>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首先考虑综合利用，不能利用的暂时存于封闭或半封闭的储存设施，地面不设立永久矸石山，煤矸石、煤泥外运采用全封闭车厢</w:t>
            </w:r>
          </w:p>
        </w:tc>
        <w:tc>
          <w:tcPr>
            <w:tcW w:w="1681"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用于制砖综合利用</w:t>
            </w:r>
          </w:p>
        </w:tc>
        <w:tc>
          <w:tcPr>
            <w:tcW w:w="1674"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Ⅱ</w:t>
            </w:r>
            <w:r>
              <w:rPr>
                <w:rFonts w:hint="eastAsia" w:hAnsi="Times New Roman" w:eastAsia="宋体"/>
                <w:kern w:val="2"/>
                <w:sz w:val="21"/>
                <w:szCs w:val="21"/>
              </w:rPr>
              <w:t>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2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11</w:t>
            </w:r>
          </w:p>
        </w:tc>
        <w:tc>
          <w:tcPr>
            <w:tcW w:w="899" w:type="dxa"/>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1013" w:type="dxa"/>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1412" w:type="dxa"/>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选煤工艺装备</w:t>
            </w:r>
          </w:p>
        </w:tc>
        <w:tc>
          <w:tcPr>
            <w:tcW w:w="727"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886"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0.09</w:t>
            </w:r>
          </w:p>
        </w:tc>
        <w:tc>
          <w:tcPr>
            <w:tcW w:w="4157" w:type="dxa"/>
            <w:gridSpan w:val="3"/>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采用先进的选煤工艺和设备，实现数量、质量 自动监测控制和信息化管理</w:t>
            </w:r>
          </w:p>
        </w:tc>
        <w:tc>
          <w:tcPr>
            <w:tcW w:w="207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采用成熟的选煤</w:t>
            </w:r>
          </w:p>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工艺和设备，实现</w:t>
            </w:r>
          </w:p>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单元作业操作程</w:t>
            </w:r>
          </w:p>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序自动化，设有全</w:t>
            </w:r>
          </w:p>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过程自动控制手</w:t>
            </w:r>
          </w:p>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段</w:t>
            </w:r>
          </w:p>
        </w:tc>
        <w:tc>
          <w:tcPr>
            <w:tcW w:w="1682"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采用先进的选煤工艺和设备，实现数量、质量自动监测控制和信息化管理</w:t>
            </w:r>
          </w:p>
        </w:tc>
        <w:tc>
          <w:tcPr>
            <w:tcW w:w="1674"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Ⅱ</w:t>
            </w:r>
            <w:r>
              <w:rPr>
                <w:rFonts w:hint="eastAsia" w:hAnsi="Times New Roman" w:eastAsia="宋体"/>
                <w:kern w:val="2"/>
                <w:sz w:val="21"/>
                <w:szCs w:val="21"/>
              </w:rPr>
              <w:t>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2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12</w:t>
            </w:r>
          </w:p>
        </w:tc>
        <w:tc>
          <w:tcPr>
            <w:tcW w:w="899" w:type="dxa"/>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1013" w:type="dxa"/>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1412" w:type="dxa"/>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煤泥水管理</w:t>
            </w:r>
          </w:p>
        </w:tc>
        <w:tc>
          <w:tcPr>
            <w:tcW w:w="727"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886"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0.07</w:t>
            </w:r>
          </w:p>
        </w:tc>
        <w:tc>
          <w:tcPr>
            <w:tcW w:w="6235" w:type="dxa"/>
            <w:gridSpan w:val="4"/>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洗水一级闭路循环、煤泥全部利用或无害化处置</w:t>
            </w:r>
          </w:p>
        </w:tc>
        <w:tc>
          <w:tcPr>
            <w:tcW w:w="1682"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满足相关要求</w:t>
            </w:r>
          </w:p>
        </w:tc>
        <w:tc>
          <w:tcPr>
            <w:tcW w:w="1674"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满足要求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2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13</w:t>
            </w:r>
          </w:p>
        </w:tc>
        <w:tc>
          <w:tcPr>
            <w:tcW w:w="899" w:type="dxa"/>
            <w:vMerge w:val="restart"/>
            <w:vAlign w:val="center"/>
          </w:tcPr>
          <w:p>
            <w:pPr>
              <w:keepNext w:val="0"/>
              <w:keepLines w:val="0"/>
              <w:suppressLineNumbers w:val="0"/>
              <w:tabs>
                <w:tab w:val="left" w:pos="514"/>
              </w:tabs>
              <w:spacing w:before="0" w:beforeAutospacing="0" w:after="0" w:afterAutospacing="0" w:line="260" w:lineRule="exact"/>
              <w:ind w:left="0" w:right="0"/>
              <w:jc w:val="left"/>
              <w:rPr>
                <w:rFonts w:hint="eastAsia" w:hAnsi="Times New Roman" w:eastAsia="宋体"/>
                <w:kern w:val="2"/>
                <w:sz w:val="21"/>
                <w:szCs w:val="21"/>
              </w:rPr>
            </w:pPr>
            <w:r>
              <w:rPr>
                <w:rFonts w:hint="eastAsia" w:hAnsi="Times New Roman" w:eastAsia="宋体"/>
                <w:kern w:val="2"/>
                <w:sz w:val="21"/>
                <w:szCs w:val="21"/>
              </w:rPr>
              <w:t>（二）</w:t>
            </w:r>
          </w:p>
          <w:p>
            <w:pPr>
              <w:keepNext w:val="0"/>
              <w:keepLines w:val="0"/>
              <w:suppressLineNumbers w:val="0"/>
              <w:tabs>
                <w:tab w:val="left" w:pos="514"/>
              </w:tabs>
              <w:spacing w:before="0" w:beforeAutospacing="0" w:after="0" w:afterAutospacing="0" w:line="260" w:lineRule="exact"/>
              <w:ind w:left="0" w:right="0"/>
              <w:jc w:val="left"/>
              <w:rPr>
                <w:rFonts w:hint="eastAsia" w:hAnsi="Times New Roman" w:eastAsia="宋体"/>
                <w:kern w:val="2"/>
                <w:sz w:val="21"/>
                <w:szCs w:val="21"/>
              </w:rPr>
            </w:pPr>
            <w:r>
              <w:rPr>
                <w:rFonts w:hint="eastAsia" w:hAnsi="Times New Roman" w:eastAsia="宋体"/>
                <w:kern w:val="2"/>
                <w:sz w:val="21"/>
                <w:szCs w:val="21"/>
              </w:rPr>
              <w:t>资源能</w:t>
            </w:r>
          </w:p>
          <w:p>
            <w:pPr>
              <w:keepNext w:val="0"/>
              <w:keepLines w:val="0"/>
              <w:suppressLineNumbers w:val="0"/>
              <w:tabs>
                <w:tab w:val="left" w:pos="514"/>
              </w:tabs>
              <w:spacing w:before="0" w:beforeAutospacing="0" w:after="0" w:afterAutospacing="0" w:line="260" w:lineRule="exact"/>
              <w:ind w:left="0" w:right="0"/>
              <w:jc w:val="left"/>
              <w:rPr>
                <w:rFonts w:hint="eastAsia" w:hAnsi="Times New Roman" w:eastAsia="宋体"/>
                <w:kern w:val="2"/>
                <w:sz w:val="21"/>
                <w:szCs w:val="21"/>
              </w:rPr>
            </w:pPr>
            <w:r>
              <w:rPr>
                <w:rFonts w:hint="eastAsia" w:hAnsi="Times New Roman" w:eastAsia="宋体"/>
                <w:kern w:val="2"/>
                <w:sz w:val="21"/>
                <w:szCs w:val="21"/>
              </w:rPr>
              <w:t>源消耗</w:t>
            </w:r>
          </w:p>
          <w:p>
            <w:pPr>
              <w:keepNext w:val="0"/>
              <w:keepLines w:val="0"/>
              <w:suppressLineNumbers w:val="0"/>
              <w:tabs>
                <w:tab w:val="left" w:pos="514"/>
              </w:tabs>
              <w:spacing w:before="0" w:beforeAutospacing="0" w:after="0" w:afterAutospacing="0" w:line="260" w:lineRule="exact"/>
              <w:ind w:left="0" w:right="0"/>
              <w:jc w:val="left"/>
              <w:rPr>
                <w:rFonts w:hint="eastAsia" w:hAnsi="Times New Roman" w:eastAsia="宋体"/>
                <w:kern w:val="2"/>
                <w:sz w:val="21"/>
                <w:szCs w:val="21"/>
              </w:rPr>
            </w:pPr>
            <w:r>
              <w:rPr>
                <w:rFonts w:hint="eastAsia" w:hAnsi="Times New Roman" w:eastAsia="宋体"/>
                <w:kern w:val="2"/>
                <w:sz w:val="21"/>
                <w:szCs w:val="21"/>
              </w:rPr>
              <w:t>指标</w:t>
            </w:r>
          </w:p>
        </w:tc>
        <w:tc>
          <w:tcPr>
            <w:tcW w:w="1013" w:type="dxa"/>
            <w:vMerge w:val="restar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0.2</w:t>
            </w:r>
          </w:p>
        </w:tc>
        <w:tc>
          <w:tcPr>
            <w:tcW w:w="1412" w:type="dxa"/>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*采区回采率</w:t>
            </w:r>
          </w:p>
        </w:tc>
        <w:tc>
          <w:tcPr>
            <w:tcW w:w="727"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886"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0.3</w:t>
            </w:r>
          </w:p>
        </w:tc>
        <w:tc>
          <w:tcPr>
            <w:tcW w:w="6235" w:type="dxa"/>
            <w:gridSpan w:val="4"/>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满足《生产煤矿回采率管理暂行规定》的要求</w:t>
            </w:r>
          </w:p>
        </w:tc>
        <w:tc>
          <w:tcPr>
            <w:tcW w:w="1682"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满足相关要求</w:t>
            </w:r>
          </w:p>
        </w:tc>
        <w:tc>
          <w:tcPr>
            <w:tcW w:w="1674"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满足要求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2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899" w:type="dxa"/>
            <w:vMerge w:val="continue"/>
            <w:vAlign w:val="center"/>
          </w:tcPr>
          <w:p>
            <w:pPr>
              <w:keepNext w:val="0"/>
              <w:keepLines w:val="0"/>
              <w:suppressLineNumbers w:val="0"/>
              <w:tabs>
                <w:tab w:val="left" w:pos="514"/>
              </w:tabs>
              <w:spacing w:before="0" w:beforeAutospacing="0" w:after="0" w:afterAutospacing="0" w:line="260" w:lineRule="exact"/>
              <w:ind w:left="0" w:right="0"/>
              <w:jc w:val="left"/>
              <w:rPr>
                <w:rFonts w:hint="eastAsia" w:hAnsi="Times New Roman" w:eastAsia="宋体"/>
                <w:kern w:val="2"/>
                <w:sz w:val="21"/>
                <w:szCs w:val="21"/>
              </w:rPr>
            </w:pPr>
          </w:p>
        </w:tc>
        <w:tc>
          <w:tcPr>
            <w:tcW w:w="1013" w:type="dxa"/>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1412" w:type="dxa"/>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*原煤生产综合能耗</w:t>
            </w:r>
          </w:p>
        </w:tc>
        <w:tc>
          <w:tcPr>
            <w:tcW w:w="727"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kgc/t</w:t>
            </w:r>
          </w:p>
        </w:tc>
        <w:tc>
          <w:tcPr>
            <w:tcW w:w="886"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0.15</w:t>
            </w:r>
          </w:p>
        </w:tc>
        <w:tc>
          <w:tcPr>
            <w:tcW w:w="2061"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按GB29444先进值要求</w:t>
            </w:r>
          </w:p>
        </w:tc>
        <w:tc>
          <w:tcPr>
            <w:tcW w:w="2095" w:type="dxa"/>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按GB29444准入值要求</w:t>
            </w:r>
          </w:p>
        </w:tc>
        <w:tc>
          <w:tcPr>
            <w:tcW w:w="207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按GB29444限定值要求</w:t>
            </w:r>
          </w:p>
        </w:tc>
        <w:tc>
          <w:tcPr>
            <w:tcW w:w="1683"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满足GB 29444要求</w:t>
            </w:r>
          </w:p>
        </w:tc>
        <w:tc>
          <w:tcPr>
            <w:tcW w:w="1674"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Ⅱ</w:t>
            </w:r>
            <w:r>
              <w:rPr>
                <w:rFonts w:hint="eastAsia" w:hAnsi="Times New Roman" w:eastAsia="宋体"/>
                <w:kern w:val="2"/>
                <w:sz w:val="21"/>
                <w:szCs w:val="21"/>
              </w:rPr>
              <w:t>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2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14</w:t>
            </w:r>
          </w:p>
        </w:tc>
        <w:tc>
          <w:tcPr>
            <w:tcW w:w="899" w:type="dxa"/>
            <w:vMerge w:val="continue"/>
            <w:vAlign w:val="center"/>
          </w:tcPr>
          <w:p>
            <w:pPr>
              <w:keepNext w:val="0"/>
              <w:keepLines w:val="0"/>
              <w:suppressLineNumbers w:val="0"/>
              <w:tabs>
                <w:tab w:val="left" w:pos="514"/>
              </w:tabs>
              <w:spacing w:before="0" w:beforeAutospacing="0" w:after="0" w:afterAutospacing="0" w:line="260" w:lineRule="exact"/>
              <w:ind w:left="0" w:right="0"/>
              <w:jc w:val="left"/>
              <w:rPr>
                <w:rFonts w:hint="eastAsia" w:hAnsi="Times New Roman" w:eastAsia="宋体"/>
                <w:kern w:val="2"/>
                <w:sz w:val="21"/>
                <w:szCs w:val="21"/>
              </w:rPr>
            </w:pPr>
          </w:p>
        </w:tc>
        <w:tc>
          <w:tcPr>
            <w:tcW w:w="1013" w:type="dxa"/>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1412" w:type="dxa"/>
            <w:gridSpan w:val="2"/>
            <w:vAlign w:val="center"/>
          </w:tcPr>
          <w:p>
            <w:pPr>
              <w:keepNext w:val="0"/>
              <w:keepLines w:val="0"/>
              <w:suppressLineNumbers w:val="0"/>
              <w:tabs>
                <w:tab w:val="left" w:pos="484"/>
              </w:tabs>
              <w:spacing w:before="0" w:beforeAutospacing="0" w:after="0" w:afterAutospacing="0" w:line="260" w:lineRule="exact"/>
              <w:ind w:left="0" w:right="0"/>
              <w:jc w:val="left"/>
              <w:rPr>
                <w:rFonts w:hint="eastAsia" w:hAnsi="Times New Roman" w:eastAsia="宋体"/>
                <w:kern w:val="2"/>
                <w:sz w:val="21"/>
                <w:szCs w:val="21"/>
              </w:rPr>
            </w:pPr>
            <w:r>
              <w:rPr>
                <w:rFonts w:hint="eastAsia" w:hAnsi="Times New Roman" w:eastAsia="宋体"/>
                <w:kern w:val="2"/>
                <w:sz w:val="21"/>
                <w:szCs w:val="21"/>
              </w:rPr>
              <w:t xml:space="preserve">原煤生产电耗 </w:t>
            </w:r>
          </w:p>
        </w:tc>
        <w:tc>
          <w:tcPr>
            <w:tcW w:w="727"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kWh/t</w:t>
            </w:r>
          </w:p>
        </w:tc>
        <w:tc>
          <w:tcPr>
            <w:tcW w:w="886"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0.15</w:t>
            </w:r>
          </w:p>
        </w:tc>
        <w:tc>
          <w:tcPr>
            <w:tcW w:w="2061"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≤18</w:t>
            </w:r>
          </w:p>
        </w:tc>
        <w:tc>
          <w:tcPr>
            <w:tcW w:w="2095" w:type="dxa"/>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≤22</w:t>
            </w:r>
          </w:p>
        </w:tc>
        <w:tc>
          <w:tcPr>
            <w:tcW w:w="207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≤25</w:t>
            </w:r>
          </w:p>
        </w:tc>
        <w:tc>
          <w:tcPr>
            <w:tcW w:w="1683"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16kWh/t</w:t>
            </w:r>
          </w:p>
        </w:tc>
        <w:tc>
          <w:tcPr>
            <w:tcW w:w="1674"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Ⅱ</w:t>
            </w:r>
            <w:r>
              <w:rPr>
                <w:rFonts w:hint="eastAsia" w:hAnsi="Times New Roman" w:eastAsia="宋体"/>
                <w:kern w:val="2"/>
                <w:sz w:val="21"/>
                <w:szCs w:val="21"/>
              </w:rPr>
              <w:t>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2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15</w:t>
            </w:r>
          </w:p>
        </w:tc>
        <w:tc>
          <w:tcPr>
            <w:tcW w:w="899" w:type="dxa"/>
            <w:vMerge w:val="continue"/>
            <w:vAlign w:val="center"/>
          </w:tcPr>
          <w:p>
            <w:pPr>
              <w:keepNext w:val="0"/>
              <w:keepLines w:val="0"/>
              <w:suppressLineNumbers w:val="0"/>
              <w:tabs>
                <w:tab w:val="left" w:pos="514"/>
              </w:tabs>
              <w:spacing w:before="0" w:beforeAutospacing="0" w:after="0" w:afterAutospacing="0" w:line="260" w:lineRule="exact"/>
              <w:ind w:left="0" w:right="0"/>
              <w:jc w:val="left"/>
              <w:rPr>
                <w:rFonts w:hint="eastAsia" w:hAnsi="Times New Roman" w:eastAsia="宋体"/>
                <w:kern w:val="2"/>
                <w:sz w:val="21"/>
                <w:szCs w:val="21"/>
              </w:rPr>
            </w:pPr>
          </w:p>
        </w:tc>
        <w:tc>
          <w:tcPr>
            <w:tcW w:w="1013" w:type="dxa"/>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1412" w:type="dxa"/>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 xml:space="preserve">原煤生产水耗 </w:t>
            </w:r>
          </w:p>
        </w:tc>
        <w:tc>
          <w:tcPr>
            <w:tcW w:w="727"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m</w:t>
            </w:r>
            <w:r>
              <w:rPr>
                <w:rFonts w:hint="eastAsia" w:hAnsi="Times New Roman" w:eastAsia="宋体"/>
                <w:kern w:val="2"/>
                <w:sz w:val="21"/>
                <w:szCs w:val="21"/>
                <w:vertAlign w:val="superscript"/>
              </w:rPr>
              <w:t>3</w:t>
            </w:r>
            <w:r>
              <w:rPr>
                <w:rFonts w:hint="eastAsia" w:hAnsi="Times New Roman" w:eastAsia="宋体"/>
                <w:kern w:val="2"/>
                <w:sz w:val="21"/>
                <w:szCs w:val="21"/>
              </w:rPr>
              <w:t>/t</w:t>
            </w:r>
          </w:p>
        </w:tc>
        <w:tc>
          <w:tcPr>
            <w:tcW w:w="886"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0.15</w:t>
            </w:r>
          </w:p>
        </w:tc>
        <w:tc>
          <w:tcPr>
            <w:tcW w:w="2061"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≤0.1</w:t>
            </w:r>
          </w:p>
        </w:tc>
        <w:tc>
          <w:tcPr>
            <w:tcW w:w="2095" w:type="dxa"/>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≤0.2</w:t>
            </w:r>
          </w:p>
        </w:tc>
        <w:tc>
          <w:tcPr>
            <w:tcW w:w="207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≤0.3</w:t>
            </w:r>
          </w:p>
        </w:tc>
        <w:tc>
          <w:tcPr>
            <w:tcW w:w="1683"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0.16</w:t>
            </w:r>
          </w:p>
        </w:tc>
        <w:tc>
          <w:tcPr>
            <w:tcW w:w="1674"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Ⅱ</w:t>
            </w:r>
            <w:r>
              <w:rPr>
                <w:rFonts w:hint="eastAsia" w:hAnsi="Times New Roman" w:eastAsia="宋体"/>
                <w:kern w:val="2"/>
                <w:sz w:val="21"/>
                <w:szCs w:val="21"/>
              </w:rPr>
              <w:t>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2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16</w:t>
            </w:r>
          </w:p>
        </w:tc>
        <w:tc>
          <w:tcPr>
            <w:tcW w:w="899" w:type="dxa"/>
            <w:vMerge w:val="continue"/>
            <w:vAlign w:val="center"/>
          </w:tcPr>
          <w:p>
            <w:pPr>
              <w:keepNext w:val="0"/>
              <w:keepLines w:val="0"/>
              <w:suppressLineNumbers w:val="0"/>
              <w:tabs>
                <w:tab w:val="left" w:pos="514"/>
              </w:tabs>
              <w:spacing w:before="0" w:beforeAutospacing="0" w:after="0" w:afterAutospacing="0" w:line="260" w:lineRule="exact"/>
              <w:ind w:left="0" w:right="0"/>
              <w:jc w:val="left"/>
              <w:rPr>
                <w:rFonts w:hint="eastAsia" w:hAnsi="Times New Roman" w:eastAsia="宋体"/>
                <w:kern w:val="2"/>
                <w:sz w:val="21"/>
                <w:szCs w:val="21"/>
              </w:rPr>
            </w:pPr>
          </w:p>
        </w:tc>
        <w:tc>
          <w:tcPr>
            <w:tcW w:w="1013" w:type="dxa"/>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706"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选煤吨煤电耗</w:t>
            </w:r>
          </w:p>
        </w:tc>
        <w:tc>
          <w:tcPr>
            <w:tcW w:w="707"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动力煤</w:t>
            </w:r>
          </w:p>
        </w:tc>
        <w:tc>
          <w:tcPr>
            <w:tcW w:w="726"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kWh/t</w:t>
            </w:r>
          </w:p>
        </w:tc>
        <w:tc>
          <w:tcPr>
            <w:tcW w:w="887"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0.15</w:t>
            </w:r>
          </w:p>
        </w:tc>
        <w:tc>
          <w:tcPr>
            <w:tcW w:w="2061"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按GB29446先进值要求</w:t>
            </w:r>
          </w:p>
        </w:tc>
        <w:tc>
          <w:tcPr>
            <w:tcW w:w="2095" w:type="dxa"/>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按GB29446准入值要求</w:t>
            </w:r>
          </w:p>
        </w:tc>
        <w:tc>
          <w:tcPr>
            <w:tcW w:w="207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按GB29446限定值要求</w:t>
            </w:r>
          </w:p>
        </w:tc>
        <w:tc>
          <w:tcPr>
            <w:tcW w:w="1682"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1674"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2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17</w:t>
            </w:r>
          </w:p>
        </w:tc>
        <w:tc>
          <w:tcPr>
            <w:tcW w:w="899" w:type="dxa"/>
            <w:vMerge w:val="continue"/>
            <w:vAlign w:val="center"/>
          </w:tcPr>
          <w:p>
            <w:pPr>
              <w:keepNext w:val="0"/>
              <w:keepLines w:val="0"/>
              <w:suppressLineNumbers w:val="0"/>
              <w:tabs>
                <w:tab w:val="left" w:pos="514"/>
              </w:tabs>
              <w:spacing w:before="0" w:beforeAutospacing="0" w:after="0" w:afterAutospacing="0" w:line="260" w:lineRule="exact"/>
              <w:ind w:left="0" w:right="0"/>
              <w:jc w:val="left"/>
              <w:rPr>
                <w:rFonts w:hint="eastAsia" w:hAnsi="Times New Roman" w:eastAsia="宋体"/>
                <w:kern w:val="2"/>
                <w:sz w:val="21"/>
                <w:szCs w:val="21"/>
              </w:rPr>
            </w:pPr>
          </w:p>
        </w:tc>
        <w:tc>
          <w:tcPr>
            <w:tcW w:w="1013" w:type="dxa"/>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1412" w:type="dxa"/>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单位入选原煤取水量</w:t>
            </w:r>
          </w:p>
        </w:tc>
        <w:tc>
          <w:tcPr>
            <w:tcW w:w="727"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m</w:t>
            </w:r>
            <w:r>
              <w:rPr>
                <w:rFonts w:hint="eastAsia" w:hAnsi="Times New Roman" w:eastAsia="宋体"/>
                <w:kern w:val="2"/>
                <w:sz w:val="21"/>
                <w:szCs w:val="21"/>
                <w:vertAlign w:val="superscript"/>
              </w:rPr>
              <w:t>3</w:t>
            </w:r>
            <w:r>
              <w:rPr>
                <w:rFonts w:hint="eastAsia" w:hAnsi="Times New Roman" w:eastAsia="宋体"/>
                <w:kern w:val="2"/>
                <w:sz w:val="21"/>
                <w:szCs w:val="21"/>
              </w:rPr>
              <w:t>/t</w:t>
            </w:r>
          </w:p>
        </w:tc>
        <w:tc>
          <w:tcPr>
            <w:tcW w:w="886"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0.1</w:t>
            </w:r>
          </w:p>
        </w:tc>
        <w:tc>
          <w:tcPr>
            <w:tcW w:w="6235" w:type="dxa"/>
            <w:gridSpan w:val="4"/>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符合《GB/T18916.11 取水定额第 11 部分：选煤》要求</w:t>
            </w:r>
          </w:p>
        </w:tc>
        <w:tc>
          <w:tcPr>
            <w:tcW w:w="1682"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w:t>
            </w:r>
          </w:p>
        </w:tc>
        <w:tc>
          <w:tcPr>
            <w:tcW w:w="1674"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62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18</w:t>
            </w:r>
          </w:p>
        </w:tc>
        <w:tc>
          <w:tcPr>
            <w:tcW w:w="899" w:type="dxa"/>
            <w:vMerge w:val="restart"/>
            <w:vAlign w:val="center"/>
          </w:tcPr>
          <w:p>
            <w:pPr>
              <w:keepNext w:val="0"/>
              <w:keepLines w:val="0"/>
              <w:suppressLineNumbers w:val="0"/>
              <w:tabs>
                <w:tab w:val="left" w:pos="514"/>
              </w:tabs>
              <w:spacing w:before="0" w:beforeAutospacing="0" w:after="0" w:afterAutospacing="0" w:line="260" w:lineRule="exact"/>
              <w:ind w:left="0" w:right="0"/>
              <w:jc w:val="left"/>
              <w:rPr>
                <w:rFonts w:hint="eastAsia" w:hAnsi="Times New Roman" w:eastAsia="宋体"/>
                <w:kern w:val="2"/>
                <w:sz w:val="21"/>
                <w:szCs w:val="21"/>
              </w:rPr>
            </w:pPr>
            <w:r>
              <w:rPr>
                <w:rFonts w:hint="eastAsia" w:hAnsi="Times New Roman" w:eastAsia="宋体"/>
                <w:kern w:val="2"/>
                <w:sz w:val="21"/>
                <w:szCs w:val="21"/>
              </w:rPr>
              <w:t>（三）资源综</w:t>
            </w:r>
          </w:p>
          <w:p>
            <w:pPr>
              <w:keepNext w:val="0"/>
              <w:keepLines w:val="0"/>
              <w:suppressLineNumbers w:val="0"/>
              <w:tabs>
                <w:tab w:val="left" w:pos="514"/>
              </w:tabs>
              <w:spacing w:before="0" w:beforeAutospacing="0" w:after="0" w:afterAutospacing="0" w:line="260" w:lineRule="exact"/>
              <w:ind w:left="0" w:right="0"/>
              <w:jc w:val="left"/>
              <w:rPr>
                <w:rFonts w:hint="eastAsia" w:hAnsi="Times New Roman" w:eastAsia="宋体"/>
                <w:kern w:val="2"/>
                <w:sz w:val="21"/>
                <w:szCs w:val="21"/>
              </w:rPr>
            </w:pPr>
            <w:r>
              <w:rPr>
                <w:rFonts w:hint="eastAsia" w:hAnsi="Times New Roman" w:eastAsia="宋体"/>
                <w:kern w:val="2"/>
                <w:sz w:val="21"/>
                <w:szCs w:val="21"/>
              </w:rPr>
              <w:t>合利用</w:t>
            </w:r>
          </w:p>
          <w:p>
            <w:pPr>
              <w:keepNext w:val="0"/>
              <w:keepLines w:val="0"/>
              <w:suppressLineNumbers w:val="0"/>
              <w:tabs>
                <w:tab w:val="left" w:pos="514"/>
              </w:tabs>
              <w:spacing w:before="0" w:beforeAutospacing="0" w:after="0" w:afterAutospacing="0" w:line="260" w:lineRule="exact"/>
              <w:ind w:left="0" w:right="0"/>
              <w:jc w:val="left"/>
              <w:rPr>
                <w:rFonts w:hint="eastAsia" w:hAnsi="Times New Roman" w:eastAsia="宋体"/>
                <w:kern w:val="2"/>
                <w:sz w:val="21"/>
                <w:szCs w:val="21"/>
              </w:rPr>
            </w:pPr>
            <w:r>
              <w:rPr>
                <w:rFonts w:hint="eastAsia" w:hAnsi="Times New Roman" w:eastAsia="宋体"/>
                <w:kern w:val="2"/>
                <w:sz w:val="21"/>
                <w:szCs w:val="21"/>
              </w:rPr>
              <w:t>指标</w:t>
            </w:r>
          </w:p>
        </w:tc>
        <w:tc>
          <w:tcPr>
            <w:tcW w:w="1013" w:type="dxa"/>
            <w:vMerge w:val="restart"/>
            <w:vAlign w:val="center"/>
          </w:tcPr>
          <w:p>
            <w:pPr>
              <w:keepNext w:val="0"/>
              <w:keepLines w:val="0"/>
              <w:suppressLineNumbers w:val="0"/>
              <w:tabs>
                <w:tab w:val="left" w:pos="514"/>
              </w:tabs>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0.15</w:t>
            </w:r>
          </w:p>
        </w:tc>
        <w:tc>
          <w:tcPr>
            <w:tcW w:w="1412" w:type="dxa"/>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*当年产生煤矸石综合利用率</w:t>
            </w:r>
          </w:p>
        </w:tc>
        <w:tc>
          <w:tcPr>
            <w:tcW w:w="727" w:type="dxa"/>
            <w:vAlign w:val="center"/>
          </w:tcPr>
          <w:p>
            <w:pPr>
              <w:keepNext w:val="0"/>
              <w:keepLines w:val="0"/>
              <w:suppressLineNumbers w:val="0"/>
              <w:tabs>
                <w:tab w:val="left" w:pos="439"/>
              </w:tabs>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886"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0.38</w:t>
            </w:r>
          </w:p>
        </w:tc>
        <w:tc>
          <w:tcPr>
            <w:tcW w:w="2077" w:type="dxa"/>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≥85</w:t>
            </w:r>
          </w:p>
        </w:tc>
        <w:tc>
          <w:tcPr>
            <w:tcW w:w="2079"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≥80</w:t>
            </w:r>
          </w:p>
        </w:tc>
        <w:tc>
          <w:tcPr>
            <w:tcW w:w="207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≥75</w:t>
            </w:r>
          </w:p>
        </w:tc>
        <w:tc>
          <w:tcPr>
            <w:tcW w:w="1683"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100</w:t>
            </w:r>
          </w:p>
        </w:tc>
        <w:tc>
          <w:tcPr>
            <w:tcW w:w="1674"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2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19</w:t>
            </w:r>
          </w:p>
        </w:tc>
        <w:tc>
          <w:tcPr>
            <w:tcW w:w="899" w:type="dxa"/>
            <w:vMerge w:val="continue"/>
            <w:vAlign w:val="center"/>
          </w:tcPr>
          <w:p>
            <w:pPr>
              <w:keepNext w:val="0"/>
              <w:keepLines w:val="0"/>
              <w:suppressLineNumbers w:val="0"/>
              <w:tabs>
                <w:tab w:val="left" w:pos="514"/>
              </w:tabs>
              <w:spacing w:before="0" w:beforeAutospacing="0" w:after="0" w:afterAutospacing="0" w:line="260" w:lineRule="exact"/>
              <w:ind w:left="0" w:right="0"/>
              <w:jc w:val="left"/>
              <w:rPr>
                <w:rFonts w:hint="eastAsia" w:hAnsi="Times New Roman" w:eastAsia="宋体"/>
                <w:kern w:val="2"/>
                <w:sz w:val="21"/>
                <w:szCs w:val="21"/>
              </w:rPr>
            </w:pPr>
          </w:p>
        </w:tc>
        <w:tc>
          <w:tcPr>
            <w:tcW w:w="1013" w:type="dxa"/>
            <w:vMerge w:val="continue"/>
            <w:vAlign w:val="center"/>
          </w:tcPr>
          <w:p>
            <w:pPr>
              <w:keepNext w:val="0"/>
              <w:keepLines w:val="0"/>
              <w:suppressLineNumbers w:val="0"/>
              <w:tabs>
                <w:tab w:val="left" w:pos="514"/>
              </w:tabs>
              <w:spacing w:before="0" w:beforeAutospacing="0" w:after="0" w:afterAutospacing="0" w:line="260" w:lineRule="exact"/>
              <w:ind w:left="0" w:right="0"/>
              <w:jc w:val="center"/>
              <w:rPr>
                <w:rFonts w:hint="eastAsia" w:hAnsi="Times New Roman" w:eastAsia="宋体"/>
                <w:kern w:val="2"/>
                <w:sz w:val="21"/>
                <w:szCs w:val="21"/>
              </w:rPr>
            </w:pPr>
          </w:p>
        </w:tc>
        <w:tc>
          <w:tcPr>
            <w:tcW w:w="706"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*矿井</w:t>
            </w:r>
          </w:p>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水利用率</w:t>
            </w:r>
          </w:p>
        </w:tc>
        <w:tc>
          <w:tcPr>
            <w:tcW w:w="707"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一般水资</w:t>
            </w:r>
          </w:p>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源矿区</w:t>
            </w:r>
          </w:p>
        </w:tc>
        <w:tc>
          <w:tcPr>
            <w:tcW w:w="726"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887"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0.38</w:t>
            </w:r>
          </w:p>
        </w:tc>
        <w:tc>
          <w:tcPr>
            <w:tcW w:w="2076" w:type="dxa"/>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≥85</w:t>
            </w:r>
          </w:p>
        </w:tc>
        <w:tc>
          <w:tcPr>
            <w:tcW w:w="2080"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≥75</w:t>
            </w:r>
          </w:p>
        </w:tc>
        <w:tc>
          <w:tcPr>
            <w:tcW w:w="207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≥70</w:t>
            </w:r>
          </w:p>
        </w:tc>
        <w:tc>
          <w:tcPr>
            <w:tcW w:w="1682"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0"/>
                <w:szCs w:val="22"/>
              </w:rPr>
              <w:t>≥25%</w:t>
            </w:r>
          </w:p>
        </w:tc>
        <w:tc>
          <w:tcPr>
            <w:tcW w:w="1674"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低于Ⅲ级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1" w:hRule="atLeast"/>
          <w:jc w:val="center"/>
        </w:trPr>
        <w:tc>
          <w:tcPr>
            <w:tcW w:w="62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20</w:t>
            </w:r>
          </w:p>
        </w:tc>
        <w:tc>
          <w:tcPr>
            <w:tcW w:w="899" w:type="dxa"/>
            <w:vMerge w:val="continue"/>
            <w:vAlign w:val="center"/>
          </w:tcPr>
          <w:p>
            <w:pPr>
              <w:keepNext w:val="0"/>
              <w:keepLines w:val="0"/>
              <w:suppressLineNumbers w:val="0"/>
              <w:tabs>
                <w:tab w:val="left" w:pos="514"/>
              </w:tabs>
              <w:spacing w:before="0" w:beforeAutospacing="0" w:after="0" w:afterAutospacing="0" w:line="260" w:lineRule="exact"/>
              <w:ind w:left="0" w:right="0"/>
              <w:jc w:val="left"/>
              <w:rPr>
                <w:rFonts w:hint="eastAsia" w:hAnsi="Times New Roman" w:eastAsia="宋体"/>
                <w:kern w:val="2"/>
                <w:sz w:val="21"/>
                <w:szCs w:val="21"/>
              </w:rPr>
            </w:pPr>
          </w:p>
        </w:tc>
        <w:tc>
          <w:tcPr>
            <w:tcW w:w="1013" w:type="dxa"/>
            <w:vMerge w:val="continue"/>
            <w:vAlign w:val="center"/>
          </w:tcPr>
          <w:p>
            <w:pPr>
              <w:keepNext w:val="0"/>
              <w:keepLines w:val="0"/>
              <w:suppressLineNumbers w:val="0"/>
              <w:tabs>
                <w:tab w:val="left" w:pos="514"/>
              </w:tabs>
              <w:spacing w:before="0" w:beforeAutospacing="0" w:after="0" w:afterAutospacing="0" w:line="260" w:lineRule="exact"/>
              <w:ind w:left="0" w:right="0"/>
              <w:jc w:val="center"/>
              <w:rPr>
                <w:rFonts w:hint="eastAsia" w:hAnsi="Times New Roman" w:eastAsia="宋体"/>
                <w:kern w:val="2"/>
                <w:sz w:val="21"/>
                <w:szCs w:val="21"/>
              </w:rPr>
            </w:pPr>
          </w:p>
        </w:tc>
        <w:tc>
          <w:tcPr>
            <w:tcW w:w="1412" w:type="dxa"/>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矿区生活污水综合利用率</w:t>
            </w:r>
          </w:p>
        </w:tc>
        <w:tc>
          <w:tcPr>
            <w:tcW w:w="727"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886"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0.24</w:t>
            </w:r>
          </w:p>
        </w:tc>
        <w:tc>
          <w:tcPr>
            <w:tcW w:w="2077" w:type="dxa"/>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100</w:t>
            </w:r>
          </w:p>
        </w:tc>
        <w:tc>
          <w:tcPr>
            <w:tcW w:w="2079"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≥9</w:t>
            </w:r>
          </w:p>
        </w:tc>
        <w:tc>
          <w:tcPr>
            <w:tcW w:w="207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≥90</w:t>
            </w:r>
          </w:p>
        </w:tc>
        <w:tc>
          <w:tcPr>
            <w:tcW w:w="1683"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0"/>
                <w:szCs w:val="22"/>
              </w:rPr>
              <w:t>≥100%</w:t>
            </w:r>
          </w:p>
        </w:tc>
        <w:tc>
          <w:tcPr>
            <w:tcW w:w="1674"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2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21</w:t>
            </w:r>
          </w:p>
        </w:tc>
        <w:tc>
          <w:tcPr>
            <w:tcW w:w="899" w:type="dxa"/>
            <w:vMerge w:val="restart"/>
            <w:vAlign w:val="center"/>
          </w:tcPr>
          <w:p>
            <w:pPr>
              <w:keepNext w:val="0"/>
              <w:keepLines w:val="0"/>
              <w:suppressLineNumbers w:val="0"/>
              <w:tabs>
                <w:tab w:val="left" w:pos="514"/>
              </w:tabs>
              <w:spacing w:before="0" w:beforeAutospacing="0" w:after="0" w:afterAutospacing="0" w:line="260" w:lineRule="exact"/>
              <w:ind w:left="0" w:right="0"/>
              <w:jc w:val="left"/>
              <w:rPr>
                <w:rFonts w:hint="eastAsia" w:hAnsi="Times New Roman" w:eastAsia="宋体"/>
                <w:kern w:val="2"/>
                <w:sz w:val="21"/>
                <w:szCs w:val="21"/>
              </w:rPr>
            </w:pPr>
            <w:r>
              <w:rPr>
                <w:rFonts w:hint="eastAsia" w:hAnsi="Times New Roman" w:eastAsia="宋体"/>
                <w:kern w:val="2"/>
                <w:sz w:val="21"/>
                <w:szCs w:val="21"/>
              </w:rPr>
              <w:t>（四）</w:t>
            </w:r>
          </w:p>
          <w:p>
            <w:pPr>
              <w:keepNext w:val="0"/>
              <w:keepLines w:val="0"/>
              <w:suppressLineNumbers w:val="0"/>
              <w:tabs>
                <w:tab w:val="left" w:pos="514"/>
              </w:tabs>
              <w:spacing w:before="0" w:beforeAutospacing="0" w:after="0" w:afterAutospacing="0" w:line="260" w:lineRule="exact"/>
              <w:ind w:left="0" w:right="0"/>
              <w:jc w:val="left"/>
              <w:rPr>
                <w:rFonts w:hint="eastAsia" w:hAnsi="Times New Roman" w:eastAsia="宋体"/>
                <w:kern w:val="2"/>
                <w:sz w:val="21"/>
                <w:szCs w:val="21"/>
              </w:rPr>
            </w:pPr>
            <w:r>
              <w:rPr>
                <w:rFonts w:hint="eastAsia" w:hAnsi="Times New Roman" w:eastAsia="宋体"/>
                <w:kern w:val="2"/>
                <w:sz w:val="21"/>
                <w:szCs w:val="21"/>
              </w:rPr>
              <w:t>生态环</w:t>
            </w:r>
          </w:p>
          <w:p>
            <w:pPr>
              <w:keepNext w:val="0"/>
              <w:keepLines w:val="0"/>
              <w:suppressLineNumbers w:val="0"/>
              <w:tabs>
                <w:tab w:val="left" w:pos="514"/>
              </w:tabs>
              <w:spacing w:before="0" w:beforeAutospacing="0" w:after="0" w:afterAutospacing="0" w:line="260" w:lineRule="exact"/>
              <w:ind w:left="0" w:right="0"/>
              <w:jc w:val="left"/>
              <w:rPr>
                <w:rFonts w:hint="eastAsia" w:hAnsi="Times New Roman" w:eastAsia="宋体"/>
                <w:kern w:val="2"/>
                <w:sz w:val="21"/>
                <w:szCs w:val="21"/>
              </w:rPr>
            </w:pPr>
            <w:r>
              <w:rPr>
                <w:rFonts w:hint="eastAsia" w:hAnsi="Times New Roman" w:eastAsia="宋体"/>
                <w:kern w:val="2"/>
                <w:sz w:val="21"/>
                <w:szCs w:val="21"/>
              </w:rPr>
              <w:t>境指标</w:t>
            </w:r>
          </w:p>
        </w:tc>
        <w:tc>
          <w:tcPr>
            <w:tcW w:w="1013" w:type="dxa"/>
            <w:vMerge w:val="restart"/>
            <w:vAlign w:val="center"/>
          </w:tcPr>
          <w:p>
            <w:pPr>
              <w:keepNext w:val="0"/>
              <w:keepLines w:val="0"/>
              <w:suppressLineNumbers w:val="0"/>
              <w:tabs>
                <w:tab w:val="left" w:pos="514"/>
              </w:tabs>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0.15</w:t>
            </w:r>
          </w:p>
        </w:tc>
        <w:tc>
          <w:tcPr>
            <w:tcW w:w="1412" w:type="dxa"/>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煤矸石、煤泥、粉煤灰安全处置率</w:t>
            </w:r>
          </w:p>
        </w:tc>
        <w:tc>
          <w:tcPr>
            <w:tcW w:w="727"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886"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0.23</w:t>
            </w:r>
          </w:p>
        </w:tc>
        <w:tc>
          <w:tcPr>
            <w:tcW w:w="2077" w:type="dxa"/>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100</w:t>
            </w:r>
          </w:p>
        </w:tc>
        <w:tc>
          <w:tcPr>
            <w:tcW w:w="2079"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100</w:t>
            </w:r>
          </w:p>
        </w:tc>
        <w:tc>
          <w:tcPr>
            <w:tcW w:w="207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100</w:t>
            </w:r>
          </w:p>
        </w:tc>
        <w:tc>
          <w:tcPr>
            <w:tcW w:w="1683"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0"/>
                <w:szCs w:val="22"/>
              </w:rPr>
              <w:t>100%</w:t>
            </w:r>
          </w:p>
        </w:tc>
        <w:tc>
          <w:tcPr>
            <w:tcW w:w="1674"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2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22</w:t>
            </w:r>
          </w:p>
        </w:tc>
        <w:tc>
          <w:tcPr>
            <w:tcW w:w="899" w:type="dxa"/>
            <w:vMerge w:val="continue"/>
            <w:vAlign w:val="center"/>
          </w:tcPr>
          <w:p>
            <w:pPr>
              <w:keepNext w:val="0"/>
              <w:keepLines w:val="0"/>
              <w:suppressLineNumbers w:val="0"/>
              <w:tabs>
                <w:tab w:val="left" w:pos="514"/>
              </w:tabs>
              <w:spacing w:before="0" w:beforeAutospacing="0" w:after="0" w:afterAutospacing="0" w:line="260" w:lineRule="exact"/>
              <w:ind w:left="0" w:right="0"/>
              <w:jc w:val="left"/>
              <w:rPr>
                <w:rFonts w:hint="eastAsia" w:hAnsi="Times New Roman" w:eastAsia="宋体"/>
                <w:kern w:val="2"/>
                <w:sz w:val="21"/>
                <w:szCs w:val="21"/>
              </w:rPr>
            </w:pPr>
          </w:p>
        </w:tc>
        <w:tc>
          <w:tcPr>
            <w:tcW w:w="1013" w:type="dxa"/>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1412" w:type="dxa"/>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沉陷区治理率</w:t>
            </w:r>
          </w:p>
        </w:tc>
        <w:tc>
          <w:tcPr>
            <w:tcW w:w="727"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886"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0.23</w:t>
            </w:r>
          </w:p>
        </w:tc>
        <w:tc>
          <w:tcPr>
            <w:tcW w:w="2077" w:type="dxa"/>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90</w:t>
            </w:r>
          </w:p>
        </w:tc>
        <w:tc>
          <w:tcPr>
            <w:tcW w:w="2079"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80</w:t>
            </w:r>
          </w:p>
        </w:tc>
        <w:tc>
          <w:tcPr>
            <w:tcW w:w="207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70</w:t>
            </w:r>
          </w:p>
        </w:tc>
        <w:tc>
          <w:tcPr>
            <w:tcW w:w="1683"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0"/>
                <w:szCs w:val="22"/>
              </w:rPr>
              <w:t>80%</w:t>
            </w:r>
          </w:p>
        </w:tc>
        <w:tc>
          <w:tcPr>
            <w:tcW w:w="1674"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Ⅱ级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2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23</w:t>
            </w:r>
          </w:p>
        </w:tc>
        <w:tc>
          <w:tcPr>
            <w:tcW w:w="899" w:type="dxa"/>
            <w:vMerge w:val="continue"/>
            <w:vAlign w:val="center"/>
          </w:tcPr>
          <w:p>
            <w:pPr>
              <w:keepNext w:val="0"/>
              <w:keepLines w:val="0"/>
              <w:suppressLineNumbers w:val="0"/>
              <w:tabs>
                <w:tab w:val="left" w:pos="514"/>
              </w:tabs>
              <w:spacing w:before="0" w:beforeAutospacing="0" w:after="0" w:afterAutospacing="0" w:line="260" w:lineRule="exact"/>
              <w:ind w:left="0" w:right="0"/>
              <w:jc w:val="left"/>
              <w:rPr>
                <w:rFonts w:hint="eastAsia" w:hAnsi="Times New Roman" w:eastAsia="宋体"/>
                <w:kern w:val="2"/>
                <w:sz w:val="21"/>
                <w:szCs w:val="21"/>
              </w:rPr>
            </w:pPr>
          </w:p>
        </w:tc>
        <w:tc>
          <w:tcPr>
            <w:tcW w:w="1013" w:type="dxa"/>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1412" w:type="dxa"/>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*塌陷稳定后土地复垦率</w:t>
            </w:r>
          </w:p>
        </w:tc>
        <w:tc>
          <w:tcPr>
            <w:tcW w:w="727"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886"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0.31</w:t>
            </w:r>
          </w:p>
        </w:tc>
        <w:tc>
          <w:tcPr>
            <w:tcW w:w="2077" w:type="dxa"/>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≥80</w:t>
            </w:r>
          </w:p>
        </w:tc>
        <w:tc>
          <w:tcPr>
            <w:tcW w:w="2079"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≥75</w:t>
            </w:r>
          </w:p>
        </w:tc>
        <w:tc>
          <w:tcPr>
            <w:tcW w:w="207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≥70</w:t>
            </w:r>
          </w:p>
        </w:tc>
        <w:tc>
          <w:tcPr>
            <w:tcW w:w="1683"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0"/>
                <w:szCs w:val="22"/>
              </w:rPr>
              <w:t>≥100%</w:t>
            </w:r>
          </w:p>
        </w:tc>
        <w:tc>
          <w:tcPr>
            <w:tcW w:w="1674"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2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24</w:t>
            </w:r>
          </w:p>
        </w:tc>
        <w:tc>
          <w:tcPr>
            <w:tcW w:w="899" w:type="dxa"/>
            <w:vMerge w:val="continue"/>
            <w:vAlign w:val="center"/>
          </w:tcPr>
          <w:p>
            <w:pPr>
              <w:keepNext w:val="0"/>
              <w:keepLines w:val="0"/>
              <w:suppressLineNumbers w:val="0"/>
              <w:tabs>
                <w:tab w:val="left" w:pos="514"/>
              </w:tabs>
              <w:spacing w:before="0" w:beforeAutospacing="0" w:after="0" w:afterAutospacing="0" w:line="260" w:lineRule="exact"/>
              <w:ind w:left="0" w:right="0"/>
              <w:jc w:val="left"/>
              <w:rPr>
                <w:rFonts w:hint="eastAsia" w:hAnsi="Times New Roman" w:eastAsia="宋体"/>
                <w:kern w:val="2"/>
                <w:sz w:val="21"/>
                <w:szCs w:val="21"/>
              </w:rPr>
            </w:pPr>
          </w:p>
        </w:tc>
        <w:tc>
          <w:tcPr>
            <w:tcW w:w="1013" w:type="dxa"/>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1412" w:type="dxa"/>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工业广场绿化率</w:t>
            </w:r>
          </w:p>
        </w:tc>
        <w:tc>
          <w:tcPr>
            <w:tcW w:w="727"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886"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0.23</w:t>
            </w:r>
          </w:p>
        </w:tc>
        <w:tc>
          <w:tcPr>
            <w:tcW w:w="2077" w:type="dxa"/>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≥30</w:t>
            </w:r>
          </w:p>
        </w:tc>
        <w:tc>
          <w:tcPr>
            <w:tcW w:w="2079"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≥25</w:t>
            </w:r>
          </w:p>
        </w:tc>
        <w:tc>
          <w:tcPr>
            <w:tcW w:w="207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≥20</w:t>
            </w:r>
          </w:p>
        </w:tc>
        <w:tc>
          <w:tcPr>
            <w:tcW w:w="1683"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0"/>
                <w:szCs w:val="22"/>
              </w:rPr>
              <w:t>≥25%</w:t>
            </w:r>
          </w:p>
        </w:tc>
        <w:tc>
          <w:tcPr>
            <w:tcW w:w="1674"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Ⅱ级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2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25</w:t>
            </w:r>
          </w:p>
        </w:tc>
        <w:tc>
          <w:tcPr>
            <w:tcW w:w="899" w:type="dxa"/>
            <w:vMerge w:val="restart"/>
            <w:vAlign w:val="center"/>
          </w:tcPr>
          <w:p>
            <w:pPr>
              <w:keepNext w:val="0"/>
              <w:keepLines w:val="0"/>
              <w:suppressLineNumbers w:val="0"/>
              <w:tabs>
                <w:tab w:val="left" w:pos="514"/>
              </w:tabs>
              <w:spacing w:before="0" w:beforeAutospacing="0" w:after="0" w:afterAutospacing="0" w:line="260" w:lineRule="exact"/>
              <w:ind w:left="0" w:right="0"/>
              <w:jc w:val="left"/>
              <w:rPr>
                <w:rFonts w:hint="eastAsia" w:hAnsi="Times New Roman" w:eastAsia="宋体"/>
                <w:kern w:val="2"/>
                <w:sz w:val="21"/>
                <w:szCs w:val="21"/>
              </w:rPr>
            </w:pPr>
            <w:r>
              <w:rPr>
                <w:rFonts w:hint="eastAsia" w:hAnsi="Times New Roman" w:eastAsia="宋体"/>
                <w:kern w:val="2"/>
                <w:sz w:val="21"/>
                <w:szCs w:val="21"/>
              </w:rPr>
              <w:t>（五）</w:t>
            </w:r>
          </w:p>
          <w:p>
            <w:pPr>
              <w:keepNext w:val="0"/>
              <w:keepLines w:val="0"/>
              <w:suppressLineNumbers w:val="0"/>
              <w:tabs>
                <w:tab w:val="left" w:pos="514"/>
              </w:tabs>
              <w:spacing w:before="0" w:beforeAutospacing="0" w:after="0" w:afterAutospacing="0" w:line="260" w:lineRule="exact"/>
              <w:ind w:left="0" w:right="0"/>
              <w:jc w:val="left"/>
              <w:rPr>
                <w:rFonts w:hint="eastAsia" w:hAnsi="Times New Roman" w:eastAsia="宋体"/>
                <w:kern w:val="2"/>
                <w:sz w:val="21"/>
                <w:szCs w:val="21"/>
              </w:rPr>
            </w:pPr>
            <w:r>
              <w:rPr>
                <w:rFonts w:hint="eastAsia" w:hAnsi="Times New Roman" w:eastAsia="宋体"/>
                <w:kern w:val="2"/>
                <w:sz w:val="21"/>
                <w:szCs w:val="21"/>
              </w:rPr>
              <w:t>清洁生</w:t>
            </w:r>
          </w:p>
          <w:p>
            <w:pPr>
              <w:keepNext w:val="0"/>
              <w:keepLines w:val="0"/>
              <w:suppressLineNumbers w:val="0"/>
              <w:tabs>
                <w:tab w:val="left" w:pos="514"/>
              </w:tabs>
              <w:spacing w:before="0" w:beforeAutospacing="0" w:after="0" w:afterAutospacing="0" w:line="260" w:lineRule="exact"/>
              <w:ind w:left="0" w:right="0"/>
              <w:jc w:val="left"/>
              <w:rPr>
                <w:rFonts w:hint="eastAsia" w:hAnsi="Times New Roman" w:eastAsia="宋体"/>
                <w:kern w:val="2"/>
                <w:sz w:val="21"/>
                <w:szCs w:val="21"/>
              </w:rPr>
            </w:pPr>
            <w:r>
              <w:rPr>
                <w:rFonts w:hint="eastAsia" w:hAnsi="Times New Roman" w:eastAsia="宋体"/>
                <w:kern w:val="2"/>
                <w:sz w:val="21"/>
                <w:szCs w:val="21"/>
              </w:rPr>
              <w:t>产管理</w:t>
            </w:r>
          </w:p>
          <w:p>
            <w:pPr>
              <w:keepNext w:val="0"/>
              <w:keepLines w:val="0"/>
              <w:suppressLineNumbers w:val="0"/>
              <w:tabs>
                <w:tab w:val="left" w:pos="514"/>
              </w:tabs>
              <w:spacing w:before="0" w:beforeAutospacing="0" w:after="0" w:afterAutospacing="0" w:line="260" w:lineRule="exact"/>
              <w:ind w:left="0" w:right="0"/>
              <w:jc w:val="left"/>
              <w:rPr>
                <w:rFonts w:hint="eastAsia" w:hAnsi="Times New Roman" w:eastAsia="宋体"/>
                <w:kern w:val="2"/>
                <w:sz w:val="21"/>
                <w:szCs w:val="21"/>
              </w:rPr>
            </w:pPr>
            <w:r>
              <w:rPr>
                <w:rFonts w:hint="eastAsia" w:hAnsi="Times New Roman" w:eastAsia="宋体"/>
                <w:kern w:val="2"/>
                <w:sz w:val="21"/>
                <w:szCs w:val="21"/>
              </w:rPr>
              <w:t>指标</w:t>
            </w:r>
          </w:p>
        </w:tc>
        <w:tc>
          <w:tcPr>
            <w:tcW w:w="1013" w:type="dxa"/>
            <w:vMerge w:val="restar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0.25</w:t>
            </w:r>
          </w:p>
        </w:tc>
        <w:tc>
          <w:tcPr>
            <w:tcW w:w="1412" w:type="dxa"/>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*环境法律法规标准政策符合性</w:t>
            </w:r>
          </w:p>
        </w:tc>
        <w:tc>
          <w:tcPr>
            <w:tcW w:w="727"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886"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0.15</w:t>
            </w:r>
          </w:p>
        </w:tc>
        <w:tc>
          <w:tcPr>
            <w:tcW w:w="6235" w:type="dxa"/>
            <w:gridSpan w:val="4"/>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符合国家、地方和行业有关法律、法规、规范、产业政策、技术标准要求，污染物排放达到国家、地方和行业排放标准、满足污染物总量控制和排污许可证管理要求。建设项目环保手续齐全，严格执行国家关于煤矿生产能力管理、淘汰落后产能的相关政策措施</w:t>
            </w:r>
          </w:p>
        </w:tc>
        <w:tc>
          <w:tcPr>
            <w:tcW w:w="1682"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满足相关法律、法规、产业政策要求</w:t>
            </w:r>
          </w:p>
        </w:tc>
        <w:tc>
          <w:tcPr>
            <w:tcW w:w="1674"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满足要求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2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26</w:t>
            </w:r>
          </w:p>
        </w:tc>
        <w:tc>
          <w:tcPr>
            <w:tcW w:w="899" w:type="dxa"/>
            <w:vMerge w:val="continue"/>
            <w:vAlign w:val="center"/>
          </w:tcPr>
          <w:p>
            <w:pPr>
              <w:keepNext w:val="0"/>
              <w:keepLines w:val="0"/>
              <w:suppressLineNumbers w:val="0"/>
              <w:tabs>
                <w:tab w:val="left" w:pos="514"/>
              </w:tabs>
              <w:spacing w:before="0" w:beforeAutospacing="0" w:after="0" w:afterAutospacing="0" w:line="260" w:lineRule="exact"/>
              <w:ind w:left="0" w:right="0"/>
              <w:jc w:val="left"/>
              <w:rPr>
                <w:rFonts w:hint="eastAsia" w:hAnsi="Times New Roman" w:eastAsia="宋体"/>
                <w:kern w:val="2"/>
                <w:sz w:val="21"/>
                <w:szCs w:val="21"/>
              </w:rPr>
            </w:pPr>
          </w:p>
        </w:tc>
        <w:tc>
          <w:tcPr>
            <w:tcW w:w="1013" w:type="dxa"/>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1412" w:type="dxa"/>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 xml:space="preserve">清洁生产管理 </w:t>
            </w:r>
          </w:p>
        </w:tc>
        <w:tc>
          <w:tcPr>
            <w:tcW w:w="727"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886"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0.15</w:t>
            </w:r>
          </w:p>
        </w:tc>
        <w:tc>
          <w:tcPr>
            <w:tcW w:w="6235" w:type="dxa"/>
            <w:gridSpan w:val="4"/>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建有负责清洁生产的领导机构，各成员单位及主管人员职责分工明确；有健全的清洁生产管理制度和奖励管理办法，有执行情况检查记录；制定有清洁生产工作规划及年度工作计划，对规划、计划提出的目标、指标、清洁生产方案，认真组织落实；资源、能源、环保设施运行统计台账齐全；建立、制定环境突发性事件应急预案（预案要通过相应环保部门备案）并定期演练。按行业无组织排放监管的相关政策要求，加强对无组织排放的防控措施，减少生产过程无组织排放。</w:t>
            </w:r>
          </w:p>
        </w:tc>
        <w:tc>
          <w:tcPr>
            <w:tcW w:w="1682"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设置有领导机构，各成员分工明确，制定有相关工作计划</w:t>
            </w:r>
          </w:p>
        </w:tc>
        <w:tc>
          <w:tcPr>
            <w:tcW w:w="1674"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满足要求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2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27</w:t>
            </w:r>
          </w:p>
        </w:tc>
        <w:tc>
          <w:tcPr>
            <w:tcW w:w="899" w:type="dxa"/>
            <w:vMerge w:val="continue"/>
            <w:vAlign w:val="center"/>
          </w:tcPr>
          <w:p>
            <w:pPr>
              <w:keepNext w:val="0"/>
              <w:keepLines w:val="0"/>
              <w:suppressLineNumbers w:val="0"/>
              <w:tabs>
                <w:tab w:val="left" w:pos="514"/>
              </w:tabs>
              <w:spacing w:before="0" w:beforeAutospacing="0" w:after="0" w:afterAutospacing="0" w:line="260" w:lineRule="exact"/>
              <w:ind w:left="0" w:right="0"/>
              <w:jc w:val="left"/>
              <w:rPr>
                <w:rFonts w:hint="eastAsia" w:hAnsi="Times New Roman" w:eastAsia="宋体"/>
                <w:kern w:val="2"/>
                <w:sz w:val="21"/>
                <w:szCs w:val="21"/>
              </w:rPr>
            </w:pPr>
          </w:p>
        </w:tc>
        <w:tc>
          <w:tcPr>
            <w:tcW w:w="1013" w:type="dxa"/>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1412" w:type="dxa"/>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 xml:space="preserve">清洁生产审核 </w:t>
            </w:r>
          </w:p>
        </w:tc>
        <w:tc>
          <w:tcPr>
            <w:tcW w:w="727"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886"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0.05</w:t>
            </w:r>
          </w:p>
        </w:tc>
        <w:tc>
          <w:tcPr>
            <w:tcW w:w="6235" w:type="dxa"/>
            <w:gridSpan w:val="4"/>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按照国家和地方要求，定期开展清洁生产审核</w:t>
            </w:r>
          </w:p>
        </w:tc>
        <w:tc>
          <w:tcPr>
            <w:tcW w:w="1683"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满足相关要求</w:t>
            </w:r>
          </w:p>
        </w:tc>
        <w:tc>
          <w:tcPr>
            <w:tcW w:w="1674"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满足要求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2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28</w:t>
            </w:r>
          </w:p>
        </w:tc>
        <w:tc>
          <w:tcPr>
            <w:tcW w:w="899" w:type="dxa"/>
            <w:vMerge w:val="continue"/>
            <w:vAlign w:val="center"/>
          </w:tcPr>
          <w:p>
            <w:pPr>
              <w:keepNext w:val="0"/>
              <w:keepLines w:val="0"/>
              <w:suppressLineNumbers w:val="0"/>
              <w:tabs>
                <w:tab w:val="left" w:pos="514"/>
              </w:tabs>
              <w:spacing w:before="0" w:beforeAutospacing="0" w:after="0" w:afterAutospacing="0" w:line="260" w:lineRule="exact"/>
              <w:ind w:left="0" w:right="0"/>
              <w:jc w:val="left"/>
              <w:rPr>
                <w:rFonts w:hint="eastAsia" w:hAnsi="Times New Roman" w:eastAsia="宋体"/>
                <w:kern w:val="2"/>
                <w:sz w:val="21"/>
                <w:szCs w:val="21"/>
              </w:rPr>
            </w:pPr>
          </w:p>
        </w:tc>
        <w:tc>
          <w:tcPr>
            <w:tcW w:w="1013" w:type="dxa"/>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1412" w:type="dxa"/>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 xml:space="preserve">固体废物处置 </w:t>
            </w:r>
          </w:p>
        </w:tc>
        <w:tc>
          <w:tcPr>
            <w:tcW w:w="727"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886"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0.05</w:t>
            </w:r>
          </w:p>
        </w:tc>
        <w:tc>
          <w:tcPr>
            <w:tcW w:w="6235" w:type="dxa"/>
            <w:gridSpan w:val="4"/>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按照《中华人民共和国固体废物污染环境防治法</w:t>
            </w:r>
            <w:r>
              <w:rPr>
                <w:rFonts w:hint="eastAsia" w:hAnsi="Times New Roman" w:eastAsia="宋体"/>
                <w:kern w:val="2"/>
                <w:sz w:val="21"/>
                <w:szCs w:val="21"/>
                <w:lang w:eastAsia="zh-CN"/>
              </w:rPr>
              <w:t>》《</w:t>
            </w:r>
            <w:r>
              <w:rPr>
                <w:rFonts w:hint="eastAsia" w:hAnsi="Times New Roman" w:eastAsia="宋体"/>
                <w:kern w:val="2"/>
                <w:sz w:val="21"/>
                <w:szCs w:val="21"/>
              </w:rPr>
              <w:t>煤矸石综合利用管理办法》的有关要求，建立完善的标识、申报登记、源头分类、应急预案等管理制度，制定合理的煤矸石综合利用方案及安全处置措施。</w:t>
            </w:r>
          </w:p>
        </w:tc>
        <w:tc>
          <w:tcPr>
            <w:tcW w:w="1683"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煤矸石全部外运制砖综合利用</w:t>
            </w:r>
          </w:p>
        </w:tc>
        <w:tc>
          <w:tcPr>
            <w:tcW w:w="1674"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满足要求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2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29</w:t>
            </w:r>
          </w:p>
        </w:tc>
        <w:tc>
          <w:tcPr>
            <w:tcW w:w="899" w:type="dxa"/>
            <w:vMerge w:val="continue"/>
            <w:vAlign w:val="center"/>
          </w:tcPr>
          <w:p>
            <w:pPr>
              <w:keepNext w:val="0"/>
              <w:keepLines w:val="0"/>
              <w:suppressLineNumbers w:val="0"/>
              <w:tabs>
                <w:tab w:val="left" w:pos="514"/>
              </w:tabs>
              <w:spacing w:before="0" w:beforeAutospacing="0" w:after="0" w:afterAutospacing="0" w:line="260" w:lineRule="exact"/>
              <w:ind w:left="0" w:right="0"/>
              <w:jc w:val="left"/>
              <w:rPr>
                <w:rFonts w:hint="eastAsia" w:hAnsi="Times New Roman" w:eastAsia="宋体"/>
                <w:kern w:val="2"/>
                <w:sz w:val="21"/>
                <w:szCs w:val="21"/>
              </w:rPr>
            </w:pPr>
          </w:p>
        </w:tc>
        <w:tc>
          <w:tcPr>
            <w:tcW w:w="1013" w:type="dxa"/>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1412" w:type="dxa"/>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 xml:space="preserve">宣传培训 </w:t>
            </w:r>
          </w:p>
        </w:tc>
        <w:tc>
          <w:tcPr>
            <w:tcW w:w="727"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886"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0.1</w:t>
            </w:r>
          </w:p>
        </w:tc>
        <w:tc>
          <w:tcPr>
            <w:tcW w:w="2077" w:type="dxa"/>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制定绿色低碳宣传和节能环保培训年度计划，并付诸实施；在国家规定重要节能环保日</w:t>
            </w:r>
            <w:r>
              <w:rPr>
                <w:rFonts w:hint="eastAsia" w:hAnsi="Times New Roman" w:eastAsia="宋体"/>
                <w:kern w:val="2"/>
                <w:sz w:val="21"/>
                <w:szCs w:val="21"/>
                <w:lang w:eastAsia="zh-CN"/>
              </w:rPr>
              <w:t>（</w:t>
            </w:r>
            <w:r>
              <w:rPr>
                <w:rFonts w:hint="eastAsia" w:hAnsi="Times New Roman" w:eastAsia="宋体"/>
                <w:kern w:val="2"/>
                <w:sz w:val="21"/>
                <w:szCs w:val="21"/>
              </w:rPr>
              <w:t>周</w:t>
            </w:r>
            <w:r>
              <w:rPr>
                <w:rFonts w:hint="eastAsia" w:hAnsi="Times New Roman" w:eastAsia="宋体"/>
                <w:kern w:val="2"/>
                <w:sz w:val="21"/>
                <w:szCs w:val="21"/>
                <w:lang w:eastAsia="zh-CN"/>
              </w:rPr>
              <w:t>）</w:t>
            </w:r>
            <w:r>
              <w:rPr>
                <w:rFonts w:hint="eastAsia" w:hAnsi="Times New Roman" w:eastAsia="宋体"/>
                <w:kern w:val="2"/>
                <w:sz w:val="21"/>
                <w:szCs w:val="21"/>
              </w:rPr>
              <w:t>开展宣传活动；每年开展节能环保专业培训不少于</w:t>
            </w:r>
          </w:p>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2次，所有在岗人员</w:t>
            </w:r>
          </w:p>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 xml:space="preserve">进行过岗前培训，有岗位培训记录 </w:t>
            </w:r>
          </w:p>
        </w:tc>
        <w:tc>
          <w:tcPr>
            <w:tcW w:w="2079"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定期开展绿色低碳宣传，在国家规定的重要节能环保日（周）开展宣传活动；每年开展节能环保专业培训不少于1次，主要岗位人员进行过岗前培训，有岗位培训记录</w:t>
            </w:r>
          </w:p>
        </w:tc>
        <w:tc>
          <w:tcPr>
            <w:tcW w:w="207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定期开展绿色低碳宣传，在国家规定的重要节能环保日（周）开展宣传活动，每年开展节能环保专业培</w:t>
            </w:r>
          </w:p>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训不少于1次</w:t>
            </w:r>
          </w:p>
        </w:tc>
        <w:tc>
          <w:tcPr>
            <w:tcW w:w="1683"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按照I级执行</w:t>
            </w:r>
          </w:p>
        </w:tc>
        <w:tc>
          <w:tcPr>
            <w:tcW w:w="1674"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I级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2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30</w:t>
            </w:r>
          </w:p>
        </w:tc>
        <w:tc>
          <w:tcPr>
            <w:tcW w:w="899" w:type="dxa"/>
            <w:vMerge w:val="continue"/>
            <w:vAlign w:val="center"/>
          </w:tcPr>
          <w:p>
            <w:pPr>
              <w:keepNext w:val="0"/>
              <w:keepLines w:val="0"/>
              <w:suppressLineNumbers w:val="0"/>
              <w:tabs>
                <w:tab w:val="left" w:pos="514"/>
              </w:tabs>
              <w:spacing w:before="0" w:beforeAutospacing="0" w:after="0" w:afterAutospacing="0" w:line="260" w:lineRule="exact"/>
              <w:ind w:left="0" w:right="0"/>
              <w:jc w:val="left"/>
              <w:rPr>
                <w:rFonts w:hint="eastAsia" w:hAnsi="Times New Roman" w:eastAsia="宋体"/>
                <w:kern w:val="2"/>
                <w:sz w:val="21"/>
                <w:szCs w:val="21"/>
              </w:rPr>
            </w:pPr>
          </w:p>
        </w:tc>
        <w:tc>
          <w:tcPr>
            <w:tcW w:w="1013" w:type="dxa"/>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1412" w:type="dxa"/>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建立健全环境管理体系</w:t>
            </w:r>
          </w:p>
        </w:tc>
        <w:tc>
          <w:tcPr>
            <w:tcW w:w="727"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886"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0.05</w:t>
            </w:r>
          </w:p>
        </w:tc>
        <w:tc>
          <w:tcPr>
            <w:tcW w:w="2077" w:type="dxa"/>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建立有GB/T 24001环境管理体系，并取得认证，能有效运行；全部完成年度环境目标、指标和环境管理</w:t>
            </w:r>
          </w:p>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方案，并达到环境持续改进的要求；环境管理手册、程序文件及作业文件齐备、有效。</w:t>
            </w:r>
          </w:p>
        </w:tc>
        <w:tc>
          <w:tcPr>
            <w:tcW w:w="2079"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建立有GB/T 24001环境管理体系，并能有效运行；完成年度环境目标、指标和环境管理方案≥80%，达到环境持续改进的要求；环境管理手册、程序文件及作业文件齐备、有效。</w:t>
            </w:r>
          </w:p>
        </w:tc>
        <w:tc>
          <w:tcPr>
            <w:tcW w:w="207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建立有GB/T 24001环境管理体系，并能有效运行；完成年度环境目标、指标和环境管理方案≥60%，部分达到环境持续改进的要求；环境管理手册、程序文件及作业文件</w:t>
            </w:r>
          </w:p>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齐备。</w:t>
            </w:r>
          </w:p>
        </w:tc>
        <w:tc>
          <w:tcPr>
            <w:tcW w:w="1683"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按照I级执行</w:t>
            </w:r>
          </w:p>
        </w:tc>
        <w:tc>
          <w:tcPr>
            <w:tcW w:w="1674"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I级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2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31</w:t>
            </w:r>
          </w:p>
        </w:tc>
        <w:tc>
          <w:tcPr>
            <w:tcW w:w="899" w:type="dxa"/>
            <w:vMerge w:val="continue"/>
            <w:vAlign w:val="center"/>
          </w:tcPr>
          <w:p>
            <w:pPr>
              <w:keepNext w:val="0"/>
              <w:keepLines w:val="0"/>
              <w:suppressLineNumbers w:val="0"/>
              <w:tabs>
                <w:tab w:val="left" w:pos="514"/>
              </w:tabs>
              <w:spacing w:before="0" w:beforeAutospacing="0" w:after="0" w:afterAutospacing="0" w:line="260" w:lineRule="exact"/>
              <w:ind w:left="0" w:right="0"/>
              <w:jc w:val="left"/>
              <w:rPr>
                <w:rFonts w:hint="eastAsia" w:hAnsi="Times New Roman" w:eastAsia="宋体"/>
                <w:kern w:val="2"/>
                <w:sz w:val="21"/>
                <w:szCs w:val="21"/>
              </w:rPr>
            </w:pPr>
          </w:p>
        </w:tc>
        <w:tc>
          <w:tcPr>
            <w:tcW w:w="1013" w:type="dxa"/>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1412" w:type="dxa"/>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管理机构及环境管理 制度</w:t>
            </w:r>
          </w:p>
        </w:tc>
        <w:tc>
          <w:tcPr>
            <w:tcW w:w="727"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886"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0.1</w:t>
            </w:r>
          </w:p>
        </w:tc>
        <w:tc>
          <w:tcPr>
            <w:tcW w:w="4157" w:type="dxa"/>
            <w:gridSpan w:val="3"/>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设有独立的节能环保管理职能部门，配有专职 管理人员，环境管理制度健全、完善，并纳入 日常管理</w:t>
            </w:r>
          </w:p>
        </w:tc>
        <w:tc>
          <w:tcPr>
            <w:tcW w:w="2077"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有明确的节能环保管理部门和人员，环境管理制度较完善，并纳入日常管理</w:t>
            </w:r>
          </w:p>
        </w:tc>
        <w:tc>
          <w:tcPr>
            <w:tcW w:w="1683"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按照I级执行</w:t>
            </w:r>
          </w:p>
        </w:tc>
        <w:tc>
          <w:tcPr>
            <w:tcW w:w="1674"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I级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2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32</w:t>
            </w:r>
          </w:p>
        </w:tc>
        <w:tc>
          <w:tcPr>
            <w:tcW w:w="899" w:type="dxa"/>
            <w:vMerge w:val="continue"/>
            <w:vAlign w:val="center"/>
          </w:tcPr>
          <w:p>
            <w:pPr>
              <w:keepNext w:val="0"/>
              <w:keepLines w:val="0"/>
              <w:suppressLineNumbers w:val="0"/>
              <w:tabs>
                <w:tab w:val="left" w:pos="514"/>
              </w:tabs>
              <w:spacing w:before="0" w:beforeAutospacing="0" w:after="0" w:afterAutospacing="0" w:line="260" w:lineRule="exact"/>
              <w:ind w:left="0" w:right="0"/>
              <w:jc w:val="left"/>
              <w:rPr>
                <w:rFonts w:hint="eastAsia" w:hAnsi="Times New Roman" w:eastAsia="宋体"/>
                <w:kern w:val="2"/>
                <w:sz w:val="21"/>
                <w:szCs w:val="21"/>
              </w:rPr>
            </w:pPr>
          </w:p>
        </w:tc>
        <w:tc>
          <w:tcPr>
            <w:tcW w:w="1013" w:type="dxa"/>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1412" w:type="dxa"/>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 xml:space="preserve">*排污口规范化管理 </w:t>
            </w:r>
          </w:p>
        </w:tc>
        <w:tc>
          <w:tcPr>
            <w:tcW w:w="727"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886"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0.1</w:t>
            </w:r>
          </w:p>
        </w:tc>
        <w:tc>
          <w:tcPr>
            <w:tcW w:w="6234" w:type="dxa"/>
            <w:gridSpan w:val="4"/>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排污口设置符合《排污口规范化整治技术要求（试行）》相关要求</w:t>
            </w:r>
          </w:p>
        </w:tc>
        <w:tc>
          <w:tcPr>
            <w:tcW w:w="1683"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按照要求执行</w:t>
            </w:r>
          </w:p>
        </w:tc>
        <w:tc>
          <w:tcPr>
            <w:tcW w:w="1674"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满足要求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2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33</w:t>
            </w:r>
          </w:p>
        </w:tc>
        <w:tc>
          <w:tcPr>
            <w:tcW w:w="899" w:type="dxa"/>
            <w:vMerge w:val="continue"/>
            <w:vAlign w:val="center"/>
          </w:tcPr>
          <w:p>
            <w:pPr>
              <w:keepNext w:val="0"/>
              <w:keepLines w:val="0"/>
              <w:suppressLineNumbers w:val="0"/>
              <w:tabs>
                <w:tab w:val="left" w:pos="514"/>
              </w:tabs>
              <w:spacing w:before="0" w:beforeAutospacing="0" w:after="0" w:afterAutospacing="0" w:line="260" w:lineRule="exact"/>
              <w:ind w:left="0" w:right="0"/>
              <w:jc w:val="left"/>
              <w:rPr>
                <w:rFonts w:hint="eastAsia" w:hAnsi="Times New Roman" w:eastAsia="宋体"/>
                <w:kern w:val="2"/>
                <w:sz w:val="21"/>
                <w:szCs w:val="21"/>
              </w:rPr>
            </w:pPr>
          </w:p>
        </w:tc>
        <w:tc>
          <w:tcPr>
            <w:tcW w:w="1013" w:type="dxa"/>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1412" w:type="dxa"/>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 xml:space="preserve">生态环境管理规划 </w:t>
            </w:r>
          </w:p>
        </w:tc>
        <w:tc>
          <w:tcPr>
            <w:tcW w:w="727"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886"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0.1</w:t>
            </w:r>
          </w:p>
        </w:tc>
        <w:tc>
          <w:tcPr>
            <w:tcW w:w="2077" w:type="dxa"/>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制定有完整的矿区生产期和服务期满时的矿山生态环境修复计划、合理可行的节能环保近、远期规划，包括煤矸石、煤泥、矿井水、瓦斯气处置及综合利用、矿山生态恢复及闭矿后的恢复措施计划</w:t>
            </w:r>
          </w:p>
        </w:tc>
        <w:tc>
          <w:tcPr>
            <w:tcW w:w="2079"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制定有完整的矿区生产期和服务期满时的矿山生态环境修复计划、节能环保近、远期规划，措施可行，有一定的操作性</w:t>
            </w:r>
          </w:p>
        </w:tc>
        <w:tc>
          <w:tcPr>
            <w:tcW w:w="207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制定有较完整的矿区生产期和服务期满时的矿山生态环境修复计划、节能环保近期规划和远期规划或企业相关规划中节能环保篇章</w:t>
            </w:r>
          </w:p>
        </w:tc>
        <w:tc>
          <w:tcPr>
            <w:tcW w:w="1683"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按照I级执行</w:t>
            </w:r>
          </w:p>
        </w:tc>
        <w:tc>
          <w:tcPr>
            <w:tcW w:w="1674"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I级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2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34</w:t>
            </w:r>
          </w:p>
        </w:tc>
        <w:tc>
          <w:tcPr>
            <w:tcW w:w="899" w:type="dxa"/>
            <w:vMerge w:val="continue"/>
            <w:vAlign w:val="center"/>
          </w:tcPr>
          <w:p>
            <w:pPr>
              <w:keepNext w:val="0"/>
              <w:keepLines w:val="0"/>
              <w:suppressLineNumbers w:val="0"/>
              <w:tabs>
                <w:tab w:val="left" w:pos="514"/>
              </w:tabs>
              <w:spacing w:before="0" w:beforeAutospacing="0" w:after="0" w:afterAutospacing="0" w:line="260" w:lineRule="exact"/>
              <w:ind w:left="0" w:right="0"/>
              <w:jc w:val="left"/>
              <w:rPr>
                <w:rFonts w:hint="eastAsia" w:hAnsi="Times New Roman" w:eastAsia="宋体"/>
                <w:kern w:val="2"/>
                <w:sz w:val="21"/>
                <w:szCs w:val="21"/>
              </w:rPr>
            </w:pPr>
          </w:p>
        </w:tc>
        <w:tc>
          <w:tcPr>
            <w:tcW w:w="1013" w:type="dxa"/>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p>
        </w:tc>
        <w:tc>
          <w:tcPr>
            <w:tcW w:w="1412" w:type="dxa"/>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 xml:space="preserve">环境信息公开 </w:t>
            </w:r>
          </w:p>
        </w:tc>
        <w:tc>
          <w:tcPr>
            <w:tcW w:w="727"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886"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0.15</w:t>
            </w:r>
          </w:p>
        </w:tc>
        <w:tc>
          <w:tcPr>
            <w:tcW w:w="6235" w:type="dxa"/>
            <w:gridSpan w:val="4"/>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按照国家有关要求公开环境相关信息，按照 HJ617 编写企业环境报 告书</w:t>
            </w:r>
          </w:p>
        </w:tc>
        <w:tc>
          <w:tcPr>
            <w:tcW w:w="1682"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rPr>
              <w:t>按照要求执行</w:t>
            </w:r>
          </w:p>
        </w:tc>
        <w:tc>
          <w:tcPr>
            <w:tcW w:w="1674"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满足要求</w:t>
            </w:r>
          </w:p>
        </w:tc>
      </w:tr>
    </w:tbl>
    <w:p>
      <w:pPr>
        <w:spacing w:line="360" w:lineRule="auto"/>
        <w:ind w:firstLine="480" w:firstLineChars="200"/>
        <w:rPr>
          <w:rFonts w:hAnsi="Times New Roman" w:eastAsia="宋体"/>
          <w:lang w:eastAsia="zh-CN"/>
        </w:rPr>
      </w:pPr>
      <w:r>
        <w:rPr>
          <w:rFonts w:hAnsi="Times New Roman" w:eastAsia="宋体"/>
          <w:lang w:eastAsia="zh-CN"/>
        </w:rPr>
        <w:t>从表中可见，本项目清洁生产评价指标体系中（除清洁生产管理指标外）25项清洁生产指标中，有2个指标（原煤生产水耗、矿井水利用率）暂不能达到III级水平外，其余指标均满足III级及以上基准值要求。项目在采取以下的改进措施后，项目总体可满足清洁生产III 级水平（国内清洁生产一般水平）</w:t>
      </w:r>
      <w:r>
        <w:rPr>
          <w:rFonts w:hint="eastAsia" w:hAnsi="Times New Roman" w:eastAsia="宋体"/>
          <w:lang w:eastAsia="zh-CN"/>
        </w:rPr>
        <w:t>。</w:t>
      </w:r>
    </w:p>
    <w:p>
      <w:pPr>
        <w:rPr>
          <w:rFonts w:hAnsi="Times New Roman" w:eastAsia="宋体"/>
          <w:lang w:eastAsia="zh-CN"/>
        </w:rPr>
      </w:pPr>
    </w:p>
    <w:p>
      <w:pPr>
        <w:pStyle w:val="16"/>
        <w:rPr>
          <w:rFonts w:hAnsi="Times New Roman" w:eastAsia="宋体" w:cs="Times New Roman"/>
          <w:lang w:eastAsia="zh-CN"/>
        </w:rPr>
      </w:pPr>
    </w:p>
    <w:p>
      <w:pPr>
        <w:pStyle w:val="16"/>
        <w:rPr>
          <w:rFonts w:hAnsi="Times New Roman" w:eastAsia="宋体" w:cs="Times New Roman"/>
          <w:lang w:eastAsia="zh-CN"/>
        </w:rPr>
      </w:pPr>
    </w:p>
    <w:p>
      <w:pPr>
        <w:rPr>
          <w:rFonts w:hAnsi="Times New Roman" w:eastAsia="宋体"/>
          <w:lang w:eastAsia="zh-CN"/>
        </w:rPr>
      </w:pPr>
    </w:p>
    <w:p>
      <w:pPr>
        <w:pStyle w:val="16"/>
        <w:rPr>
          <w:rFonts w:hAnsi="Times New Roman" w:eastAsia="宋体" w:cs="Times New Roman"/>
          <w:lang w:eastAsia="zh-CN"/>
        </w:rPr>
        <w:sectPr>
          <w:headerReference r:id="rId15" w:type="default"/>
          <w:pgSz w:w="16838" w:h="11905" w:orient="landscape"/>
          <w:pgMar w:top="1474" w:right="1440" w:bottom="1304" w:left="1440" w:header="850" w:footer="992" w:gutter="0"/>
          <w:cols w:space="0" w:num="1"/>
          <w:docGrid w:type="lines" w:linePitch="338" w:charSpace="0"/>
        </w:sectPr>
      </w:pPr>
    </w:p>
    <w:p>
      <w:pPr>
        <w:pStyle w:val="6"/>
        <w:rPr>
          <w:szCs w:val="22"/>
          <w:lang w:eastAsia="zh-CN"/>
        </w:rPr>
      </w:pPr>
      <w:bookmarkStart w:id="672" w:name="_Toc94258033"/>
      <w:bookmarkStart w:id="673" w:name="_Toc163812701"/>
      <w:bookmarkStart w:id="674" w:name="_Toc167095324"/>
      <w:r>
        <w:rPr>
          <w:szCs w:val="22"/>
          <w:lang w:eastAsia="zh-CN"/>
        </w:rPr>
        <w:t>12.1.</w:t>
      </w:r>
      <w:r>
        <w:rPr>
          <w:rFonts w:hint="eastAsia"/>
          <w:szCs w:val="22"/>
          <w:lang w:eastAsia="zh-CN"/>
        </w:rPr>
        <w:t>4</w:t>
      </w:r>
      <w:r>
        <w:rPr>
          <w:szCs w:val="22"/>
          <w:lang w:eastAsia="zh-CN"/>
        </w:rPr>
        <w:t xml:space="preserve"> 清洁生产</w:t>
      </w:r>
      <w:bookmarkEnd w:id="672"/>
      <w:r>
        <w:rPr>
          <w:rFonts w:hint="eastAsia"/>
          <w:szCs w:val="22"/>
          <w:lang w:eastAsia="zh-CN"/>
        </w:rPr>
        <w:t>建议措施</w:t>
      </w:r>
      <w:bookmarkEnd w:id="673"/>
      <w:bookmarkEnd w:id="674"/>
    </w:p>
    <w:p>
      <w:pPr>
        <w:spacing w:line="360" w:lineRule="auto"/>
        <w:ind w:firstLine="482" w:firstLineChars="200"/>
        <w:rPr>
          <w:rFonts w:hAnsi="Times New Roman" w:eastAsia="宋体"/>
          <w:b/>
          <w:bCs/>
          <w:szCs w:val="24"/>
          <w:lang w:eastAsia="zh-CN"/>
        </w:rPr>
      </w:pPr>
      <w:r>
        <w:rPr>
          <w:rFonts w:hAnsi="Times New Roman" w:eastAsia="宋体"/>
          <w:b/>
          <w:bCs/>
          <w:szCs w:val="24"/>
          <w:lang w:eastAsia="zh-CN"/>
        </w:rPr>
        <w:t>根据清洁生产评价的结果，环评针对本项目提出如下改进建议：</w:t>
      </w:r>
    </w:p>
    <w:p>
      <w:pPr>
        <w:spacing w:line="360" w:lineRule="auto"/>
        <w:ind w:firstLine="480" w:firstLineChars="200"/>
        <w:rPr>
          <w:rFonts w:hAnsi="Times New Roman" w:eastAsia="宋体"/>
          <w:szCs w:val="24"/>
          <w:lang w:eastAsia="zh-CN"/>
        </w:rPr>
      </w:pPr>
      <w:r>
        <w:rPr>
          <w:rFonts w:hint="eastAsia" w:hAnsi="Times New Roman" w:eastAsia="宋体"/>
          <w:szCs w:val="24"/>
          <w:lang w:eastAsia="zh-CN"/>
        </w:rPr>
        <w:t>1、优化采煤工艺，提高装备水平，改进掘进技术，提高工作面回采率，降低原煤生产电耗及水耗，提高资源利用率。</w:t>
      </w:r>
    </w:p>
    <w:p>
      <w:pPr>
        <w:spacing w:line="360" w:lineRule="auto"/>
        <w:ind w:firstLine="480" w:firstLineChars="200"/>
        <w:rPr>
          <w:rFonts w:hAnsi="Times New Roman" w:eastAsia="宋体"/>
          <w:szCs w:val="24"/>
          <w:lang w:eastAsia="zh-CN"/>
        </w:rPr>
      </w:pPr>
      <w:r>
        <w:rPr>
          <w:rFonts w:hint="eastAsia" w:hAnsi="Times New Roman" w:eastAsia="宋体"/>
          <w:szCs w:val="24"/>
          <w:lang w:eastAsia="zh-CN"/>
        </w:rPr>
        <w:t>2、矿井建设尽量减少土地资源占用，提高场地绿化率。</w:t>
      </w:r>
    </w:p>
    <w:p>
      <w:pPr>
        <w:spacing w:line="360" w:lineRule="auto"/>
        <w:ind w:firstLine="480" w:firstLineChars="200"/>
        <w:rPr>
          <w:rFonts w:hAnsi="Times New Roman" w:eastAsia="宋体"/>
          <w:szCs w:val="24"/>
          <w:lang w:eastAsia="zh-CN"/>
        </w:rPr>
      </w:pPr>
      <w:r>
        <w:rPr>
          <w:rFonts w:hint="eastAsia" w:hAnsi="Times New Roman" w:eastAsia="宋体"/>
          <w:szCs w:val="24"/>
          <w:lang w:eastAsia="zh-CN"/>
        </w:rPr>
        <w:t>3、提高矿井水利用率，减少污染物排放。</w:t>
      </w:r>
    </w:p>
    <w:p>
      <w:pPr>
        <w:spacing w:line="360" w:lineRule="auto"/>
        <w:ind w:firstLine="480" w:firstLineChars="200"/>
        <w:rPr>
          <w:rFonts w:hAnsi="Times New Roman" w:eastAsia="宋体"/>
          <w:szCs w:val="24"/>
          <w:lang w:eastAsia="zh-CN"/>
        </w:rPr>
      </w:pPr>
      <w:r>
        <w:rPr>
          <w:rFonts w:hint="eastAsia" w:hAnsi="Times New Roman" w:eastAsia="宋体"/>
          <w:szCs w:val="24"/>
          <w:lang w:eastAsia="zh-CN"/>
        </w:rPr>
        <w:t>4、加强矿井环境管理的建设，提高工人素质，完善矿山生态恢复管理措施，减小矿井开采对生态环境的影响。</w:t>
      </w:r>
    </w:p>
    <w:p>
      <w:pPr>
        <w:spacing w:line="360" w:lineRule="auto"/>
        <w:ind w:firstLine="480" w:firstLineChars="200"/>
        <w:rPr>
          <w:rFonts w:hAnsi="Times New Roman" w:eastAsia="宋体"/>
          <w:szCs w:val="24"/>
          <w:lang w:eastAsia="zh-CN"/>
        </w:rPr>
      </w:pPr>
      <w:r>
        <w:rPr>
          <w:rFonts w:hint="eastAsia" w:hAnsi="Times New Roman" w:eastAsia="宋体"/>
          <w:szCs w:val="24"/>
          <w:lang w:eastAsia="zh-CN"/>
        </w:rPr>
        <w:t>5</w:t>
      </w:r>
      <w:r>
        <w:rPr>
          <w:rFonts w:hAnsi="Times New Roman" w:eastAsia="宋体"/>
          <w:szCs w:val="24"/>
          <w:lang w:eastAsia="zh-CN"/>
        </w:rPr>
        <w:t>、建立和完善清洁生产制度</w:t>
      </w:r>
      <w:r>
        <w:rPr>
          <w:rFonts w:hint="eastAsia" w:hAnsi="Times New Roman" w:eastAsia="宋体"/>
          <w:szCs w:val="24"/>
          <w:lang w:eastAsia="zh-CN"/>
        </w:rPr>
        <w:t>：</w:t>
      </w:r>
      <w:r>
        <w:rPr>
          <w:rFonts w:hAnsi="Times New Roman" w:eastAsia="宋体"/>
          <w:szCs w:val="24"/>
          <w:lang w:eastAsia="zh-CN"/>
        </w:rPr>
        <w:t>实现清洁生产，除了依靠先进的工艺、设备，还必须在生产实践中不断地改进操作、加强管理。工业活动离不开人的因素，在生产过程中人的因素主要体现在操作和管理上。根据我国的调查资料表明，目前的工业污染约有30%以上是由于生产过程中管理不善造成的。项目投产以后，从物料管理到产品质量管理，从生产操作管理、设备维修管理到环保管理都必须充分重视，使生产的每一道工序和每一个环节都处于最佳运行状态，真正做到清洁生产，预防污染。</w:t>
      </w:r>
    </w:p>
    <w:p>
      <w:pPr>
        <w:spacing w:line="360" w:lineRule="auto"/>
        <w:ind w:firstLine="480" w:firstLineChars="200"/>
        <w:rPr>
          <w:rFonts w:hAnsi="Times New Roman" w:eastAsia="宋体"/>
          <w:szCs w:val="24"/>
          <w:lang w:eastAsia="zh-CN"/>
        </w:rPr>
      </w:pPr>
      <w:r>
        <w:rPr>
          <w:rFonts w:hint="eastAsia" w:hAnsi="Times New Roman" w:eastAsia="宋体"/>
          <w:szCs w:val="24"/>
          <w:lang w:eastAsia="zh-CN"/>
        </w:rPr>
        <w:t>6、</w:t>
      </w:r>
      <w:r>
        <w:rPr>
          <w:rFonts w:hAnsi="Times New Roman" w:eastAsia="宋体"/>
          <w:szCs w:val="24"/>
          <w:lang w:eastAsia="zh-CN"/>
        </w:rPr>
        <w:t>对工业广场及厂区</w:t>
      </w:r>
      <w:r>
        <w:rPr>
          <w:rFonts w:hint="eastAsia" w:hAnsi="Times New Roman" w:eastAsia="宋体"/>
          <w:szCs w:val="24"/>
          <w:lang w:eastAsia="zh-CN"/>
        </w:rPr>
        <w:t>与</w:t>
      </w:r>
      <w:r>
        <w:rPr>
          <w:rFonts w:hAnsi="Times New Roman" w:eastAsia="宋体"/>
          <w:szCs w:val="24"/>
          <w:lang w:eastAsia="zh-CN"/>
        </w:rPr>
        <w:t>主要交通干道连接</w:t>
      </w:r>
      <w:r>
        <w:rPr>
          <w:rFonts w:hint="eastAsia" w:hAnsi="Times New Roman" w:eastAsia="宋体"/>
          <w:szCs w:val="24"/>
          <w:lang w:eastAsia="zh-CN"/>
        </w:rPr>
        <w:t>道路</w:t>
      </w:r>
      <w:r>
        <w:rPr>
          <w:rFonts w:hAnsi="Times New Roman" w:eastAsia="宋体"/>
          <w:szCs w:val="24"/>
          <w:lang w:eastAsia="zh-CN"/>
        </w:rPr>
        <w:t>进行地面硬化处理。</w:t>
      </w:r>
    </w:p>
    <w:p>
      <w:pPr>
        <w:spacing w:line="360" w:lineRule="auto"/>
        <w:ind w:firstLine="480" w:firstLineChars="200"/>
        <w:rPr>
          <w:rFonts w:hAnsi="Times New Roman" w:eastAsia="宋体"/>
          <w:szCs w:val="24"/>
          <w:lang w:eastAsia="zh-CN"/>
        </w:rPr>
      </w:pPr>
      <w:r>
        <w:rPr>
          <w:rFonts w:hint="eastAsia" w:hAnsi="Times New Roman" w:eastAsia="宋体"/>
          <w:szCs w:val="24"/>
          <w:lang w:eastAsia="zh-CN"/>
        </w:rPr>
        <w:t>7、</w:t>
      </w:r>
      <w:r>
        <w:rPr>
          <w:rFonts w:hAnsi="Times New Roman" w:eastAsia="宋体"/>
          <w:szCs w:val="24"/>
          <w:lang w:eastAsia="zh-CN"/>
        </w:rPr>
        <w:t>设置专门的环保管理机构并配备专职管理人员，建立健全环境管理制度并将其纳入日常管理。</w:t>
      </w:r>
    </w:p>
    <w:p>
      <w:pPr>
        <w:spacing w:line="360" w:lineRule="auto"/>
        <w:ind w:firstLine="480" w:firstLineChars="200"/>
        <w:rPr>
          <w:rFonts w:hAnsi="Times New Roman" w:eastAsia="宋体"/>
          <w:szCs w:val="24"/>
          <w:lang w:eastAsia="zh-CN"/>
        </w:rPr>
      </w:pPr>
      <w:r>
        <w:rPr>
          <w:rFonts w:hint="eastAsia" w:hAnsi="Times New Roman" w:eastAsia="宋体"/>
          <w:szCs w:val="24"/>
          <w:lang w:eastAsia="zh-CN"/>
        </w:rPr>
        <w:t>8、</w:t>
      </w:r>
      <w:r>
        <w:rPr>
          <w:rFonts w:hAnsi="Times New Roman" w:eastAsia="宋体"/>
          <w:szCs w:val="24"/>
          <w:lang w:eastAsia="zh-CN"/>
        </w:rPr>
        <w:t>加强环保设施的运行管理，记录环保设施运行数据并建立环保档案和运行监管体制。设置专门的环境检测机构或委托有资质的检测部门，对废水、废气、噪声主要污染源、污染物定期监测。</w:t>
      </w:r>
    </w:p>
    <w:p>
      <w:pPr>
        <w:spacing w:line="360" w:lineRule="auto"/>
        <w:ind w:firstLine="480" w:firstLineChars="200"/>
        <w:rPr>
          <w:rFonts w:hAnsi="Times New Roman" w:eastAsia="宋体"/>
          <w:szCs w:val="24"/>
          <w:lang w:eastAsia="zh-CN"/>
        </w:rPr>
      </w:pPr>
      <w:r>
        <w:rPr>
          <w:rFonts w:hint="eastAsia" w:hAnsi="Times New Roman" w:eastAsia="宋体"/>
          <w:szCs w:val="24"/>
          <w:lang w:eastAsia="zh-CN"/>
        </w:rPr>
        <w:t>9、</w:t>
      </w:r>
      <w:r>
        <w:rPr>
          <w:rFonts w:hAnsi="Times New Roman" w:eastAsia="宋体"/>
          <w:szCs w:val="24"/>
          <w:lang w:eastAsia="zh-CN"/>
        </w:rPr>
        <w:t>运营期，矿方按照ISO14001环境管理体系标准建立适合本矿的环境管理体系。</w:t>
      </w:r>
    </w:p>
    <w:p>
      <w:pPr>
        <w:spacing w:line="360" w:lineRule="auto"/>
        <w:ind w:firstLine="480" w:firstLineChars="200"/>
        <w:rPr>
          <w:rFonts w:hAnsi="Times New Roman" w:eastAsia="宋体"/>
          <w:szCs w:val="22"/>
          <w:lang w:eastAsia="zh-CN"/>
        </w:rPr>
      </w:pPr>
      <w:r>
        <w:rPr>
          <w:rFonts w:hAnsi="Times New Roman" w:eastAsia="宋体"/>
          <w:szCs w:val="24"/>
          <w:lang w:eastAsia="zh-CN"/>
        </w:rPr>
        <w:t>综上所述，在确保本项目清洁生产建议及措施条件下，本项目清洁生产符合相关要求指标。</w:t>
      </w:r>
    </w:p>
    <w:p>
      <w:pPr>
        <w:pStyle w:val="5"/>
        <w:rPr>
          <w:rFonts w:ascii="Times New Roman" w:hAnsi="Times New Roman"/>
          <w:szCs w:val="22"/>
          <w:lang w:eastAsia="zh-CN"/>
        </w:rPr>
      </w:pPr>
      <w:bookmarkStart w:id="675" w:name="_Toc163749219"/>
      <w:bookmarkStart w:id="676" w:name="_Toc167095325"/>
      <w:bookmarkStart w:id="677" w:name="_Toc21082"/>
      <w:r>
        <w:rPr>
          <w:rFonts w:ascii="Times New Roman" w:hAnsi="Times New Roman"/>
          <w:szCs w:val="22"/>
          <w:lang w:eastAsia="zh-CN"/>
        </w:rPr>
        <w:t>12.2 循环经济分析</w:t>
      </w:r>
      <w:bookmarkEnd w:id="675"/>
      <w:bookmarkEnd w:id="676"/>
      <w:bookmarkEnd w:id="677"/>
    </w:p>
    <w:p>
      <w:pPr>
        <w:pStyle w:val="6"/>
        <w:rPr>
          <w:szCs w:val="22"/>
          <w:lang w:eastAsia="zh-CN"/>
        </w:rPr>
      </w:pPr>
      <w:bookmarkStart w:id="678" w:name="_Toc163812703"/>
      <w:bookmarkStart w:id="679" w:name="_Toc167095326"/>
      <w:bookmarkStart w:id="680" w:name="_Toc89101435"/>
      <w:r>
        <w:rPr>
          <w:szCs w:val="22"/>
          <w:lang w:eastAsia="zh-CN"/>
        </w:rPr>
        <w:t>12.2.1 本项目循环经济模式</w:t>
      </w:r>
      <w:bookmarkEnd w:id="678"/>
      <w:bookmarkEnd w:id="679"/>
      <w:bookmarkEnd w:id="680"/>
    </w:p>
    <w:p>
      <w:pPr>
        <w:pStyle w:val="14"/>
        <w:overflowPunct w:val="0"/>
        <w:spacing w:line="360" w:lineRule="auto"/>
        <w:ind w:right="104" w:firstLine="460"/>
        <w:rPr>
          <w:rFonts w:ascii="Times New Roman" w:hAnsi="Times New Roman"/>
          <w:spacing w:val="2"/>
          <w:sz w:val="24"/>
        </w:rPr>
      </w:pPr>
      <w:r>
        <w:rPr>
          <w:rFonts w:ascii="Times New Roman" w:hAnsi="Times New Roman"/>
          <w:spacing w:val="2"/>
          <w:sz w:val="24"/>
        </w:rPr>
        <w:t>（1）煤炭开采→煤电转化</w:t>
      </w:r>
    </w:p>
    <w:p>
      <w:pPr>
        <w:pStyle w:val="14"/>
        <w:overflowPunct w:val="0"/>
        <w:spacing w:line="360" w:lineRule="auto"/>
        <w:ind w:right="104" w:firstLine="460"/>
        <w:rPr>
          <w:rFonts w:ascii="Times New Roman" w:hAnsi="Times New Roman"/>
          <w:spacing w:val="2"/>
          <w:sz w:val="24"/>
        </w:rPr>
      </w:pPr>
      <w:r>
        <w:rPr>
          <w:rFonts w:ascii="Times New Roman" w:hAnsi="Times New Roman"/>
          <w:spacing w:val="2"/>
          <w:sz w:val="24"/>
          <w:lang w:eastAsia="zh-CN"/>
        </w:rPr>
        <w:t>本项目</w:t>
      </w:r>
      <w:r>
        <w:rPr>
          <w:rFonts w:ascii="Times New Roman" w:hAnsi="Times New Roman"/>
          <w:spacing w:val="2"/>
          <w:sz w:val="24"/>
        </w:rPr>
        <w:t>开采的煤炭主要供给华蓥山电厂，实现了煤炭资源“煤炭开采→煤电转化”的转化模式。</w:t>
      </w:r>
    </w:p>
    <w:p>
      <w:pPr>
        <w:pStyle w:val="14"/>
        <w:overflowPunct w:val="0"/>
        <w:spacing w:line="360" w:lineRule="auto"/>
        <w:ind w:right="104" w:firstLine="460"/>
        <w:rPr>
          <w:rFonts w:ascii="Times New Roman" w:hAnsi="Times New Roman"/>
          <w:spacing w:val="2"/>
          <w:sz w:val="24"/>
        </w:rPr>
      </w:pPr>
      <w:r>
        <w:rPr>
          <w:rFonts w:ascii="Times New Roman" w:hAnsi="Times New Roman"/>
          <w:spacing w:val="2"/>
          <w:sz w:val="24"/>
        </w:rPr>
        <w:t>（2）煤炭开采废污水→污废水处理→本企业、周边林草地灌溉和绿化等</w:t>
      </w:r>
    </w:p>
    <w:p>
      <w:pPr>
        <w:pStyle w:val="14"/>
        <w:overflowPunct w:val="0"/>
        <w:spacing w:line="360" w:lineRule="auto"/>
        <w:ind w:right="104" w:firstLine="460"/>
        <w:rPr>
          <w:rFonts w:ascii="Times New Roman" w:hAnsi="Times New Roman"/>
          <w:spacing w:val="2"/>
          <w:sz w:val="24"/>
        </w:rPr>
      </w:pPr>
      <w:r>
        <w:rPr>
          <w:rFonts w:ascii="Times New Roman" w:hAnsi="Times New Roman"/>
          <w:spacing w:val="2"/>
          <w:sz w:val="24"/>
          <w:lang w:eastAsia="zh-CN"/>
        </w:rPr>
        <w:t>本项目</w:t>
      </w:r>
      <w:r>
        <w:rPr>
          <w:rFonts w:ascii="Times New Roman" w:hAnsi="Times New Roman"/>
          <w:spacing w:val="2"/>
          <w:sz w:val="24"/>
        </w:rPr>
        <w:t>矿井水和生活污水处理后可通过以下</w:t>
      </w:r>
      <w:r>
        <w:rPr>
          <w:rFonts w:hint="eastAsia" w:ascii="Times New Roman" w:hAnsi="Times New Roman"/>
          <w:spacing w:val="2"/>
          <w:sz w:val="24"/>
          <w:lang w:eastAsia="zh-CN"/>
        </w:rPr>
        <w:t>几种</w:t>
      </w:r>
      <w:r>
        <w:rPr>
          <w:rFonts w:ascii="Times New Roman" w:hAnsi="Times New Roman"/>
          <w:spacing w:val="2"/>
          <w:sz w:val="24"/>
        </w:rPr>
        <w:t>途径回用：①井下生产（洒水降尘、机械设备冷却、消防用水）、②矿区办公生活区冲厕和洗浴及绿化、降尘等；③矿区生态恢复及周边林草地灌溉。</w:t>
      </w:r>
    </w:p>
    <w:p>
      <w:pPr>
        <w:pStyle w:val="14"/>
        <w:overflowPunct w:val="0"/>
        <w:spacing w:line="360" w:lineRule="auto"/>
        <w:ind w:right="104" w:firstLine="460"/>
        <w:rPr>
          <w:rFonts w:ascii="Times New Roman" w:hAnsi="Times New Roman"/>
          <w:spacing w:val="2"/>
          <w:sz w:val="24"/>
        </w:rPr>
      </w:pPr>
      <w:r>
        <w:rPr>
          <w:rFonts w:ascii="Times New Roman" w:hAnsi="Times New Roman"/>
          <w:spacing w:val="2"/>
          <w:sz w:val="24"/>
        </w:rPr>
        <w:t>（3）煤矸石→建材产品（水泥、砖）</w:t>
      </w:r>
    </w:p>
    <w:p>
      <w:pPr>
        <w:pStyle w:val="14"/>
        <w:tabs>
          <w:tab w:val="left" w:pos="7440"/>
        </w:tabs>
        <w:overflowPunct w:val="0"/>
        <w:spacing w:line="360" w:lineRule="auto"/>
        <w:ind w:right="104" w:firstLine="460"/>
        <w:rPr>
          <w:rFonts w:ascii="Times New Roman" w:hAnsi="Times New Roman"/>
          <w:spacing w:val="2"/>
          <w:sz w:val="24"/>
          <w:lang w:eastAsia="zh-CN"/>
        </w:rPr>
      </w:pPr>
      <w:r>
        <w:rPr>
          <w:rFonts w:ascii="Times New Roman" w:hAnsi="Times New Roman"/>
          <w:spacing w:val="2"/>
          <w:sz w:val="24"/>
        </w:rPr>
        <w:t>本</w:t>
      </w:r>
      <w:r>
        <w:rPr>
          <w:rFonts w:ascii="Times New Roman" w:hAnsi="Times New Roman"/>
          <w:spacing w:val="2"/>
          <w:sz w:val="24"/>
          <w:lang w:eastAsia="zh-CN"/>
        </w:rPr>
        <w:t>项目煤</w:t>
      </w:r>
      <w:r>
        <w:rPr>
          <w:rFonts w:ascii="Times New Roman" w:hAnsi="Times New Roman"/>
          <w:spacing w:val="2"/>
          <w:sz w:val="24"/>
        </w:rPr>
        <w:t>矸</w:t>
      </w:r>
      <w:r>
        <w:rPr>
          <w:rFonts w:ascii="Times New Roman" w:hAnsi="Times New Roman"/>
          <w:spacing w:val="2"/>
          <w:sz w:val="24"/>
          <w:lang w:eastAsia="zh-CN"/>
        </w:rPr>
        <w:t>为</w:t>
      </w:r>
      <w:r>
        <w:rPr>
          <w:rFonts w:ascii="Times New Roman" w:hAnsi="Times New Roman"/>
          <w:spacing w:val="2"/>
          <w:sz w:val="24"/>
        </w:rPr>
        <w:t>高灰矸石，发热量较低，可用于制砖、水泥等建筑材料，形成“煤矸石→建材产品（水泥、砖）”产业链</w:t>
      </w:r>
      <w:r>
        <w:rPr>
          <w:rFonts w:ascii="Times New Roman" w:hAnsi="Times New Roman"/>
          <w:spacing w:val="2"/>
          <w:sz w:val="24"/>
          <w:lang w:eastAsia="zh-CN"/>
        </w:rPr>
        <w:t>。</w:t>
      </w:r>
    </w:p>
    <w:p>
      <w:pPr>
        <w:pStyle w:val="14"/>
        <w:tabs>
          <w:tab w:val="left" w:pos="7440"/>
        </w:tabs>
        <w:overflowPunct w:val="0"/>
        <w:spacing w:line="360" w:lineRule="auto"/>
        <w:ind w:right="104" w:firstLine="460"/>
        <w:rPr>
          <w:rFonts w:ascii="Times New Roman" w:hAnsi="Times New Roman"/>
          <w:spacing w:val="2"/>
          <w:sz w:val="24"/>
        </w:rPr>
      </w:pPr>
      <w:r>
        <w:rPr>
          <w:rFonts w:ascii="Times New Roman" w:hAnsi="Times New Roman"/>
          <w:spacing w:val="2"/>
          <w:sz w:val="24"/>
        </w:rPr>
        <w:t>（4）“煤矿企业→培养煤矿人才、煤矿机械设备制造→人才输出、服务社会”</w:t>
      </w:r>
    </w:p>
    <w:p>
      <w:pPr>
        <w:pStyle w:val="14"/>
        <w:tabs>
          <w:tab w:val="left" w:pos="7440"/>
        </w:tabs>
        <w:overflowPunct w:val="0"/>
        <w:spacing w:line="360" w:lineRule="auto"/>
        <w:ind w:right="104" w:firstLine="460"/>
        <w:rPr>
          <w:rFonts w:ascii="Times New Roman" w:hAnsi="Times New Roman"/>
          <w:spacing w:val="2"/>
          <w:sz w:val="24"/>
        </w:rPr>
      </w:pPr>
      <w:r>
        <w:rPr>
          <w:rFonts w:ascii="Times New Roman" w:hAnsi="Times New Roman"/>
          <w:spacing w:val="2"/>
          <w:sz w:val="24"/>
          <w:lang w:eastAsia="zh-CN"/>
        </w:rPr>
        <w:t>本项目</w:t>
      </w:r>
      <w:r>
        <w:rPr>
          <w:rFonts w:ascii="Times New Roman" w:hAnsi="Times New Roman"/>
          <w:spacing w:val="2"/>
          <w:sz w:val="24"/>
        </w:rPr>
        <w:t>运营时间较长，在此期间，积累了许多煤炭开采方面的经验和知识，培养了许多此类方面的人才。因此，当地政府应当积极引导煤矿企业，发挥其特有的优势，进行资源整合，形成“煤矿企业→培养煤矿人才及煤矿机械设备制造→人才输出、服务社会”产业链，更好</w:t>
      </w:r>
      <w:r>
        <w:rPr>
          <w:rFonts w:hint="eastAsia" w:ascii="Times New Roman" w:hAnsi="Times New Roman"/>
          <w:spacing w:val="2"/>
          <w:sz w:val="24"/>
          <w:lang w:eastAsia="zh-CN"/>
        </w:rPr>
        <w:t>地</w:t>
      </w:r>
      <w:r>
        <w:rPr>
          <w:rFonts w:ascii="Times New Roman" w:hAnsi="Times New Roman"/>
          <w:spacing w:val="2"/>
          <w:sz w:val="24"/>
        </w:rPr>
        <w:t>为煤炭产业的发展做贡献，更好</w:t>
      </w:r>
      <w:r>
        <w:rPr>
          <w:rFonts w:hint="eastAsia" w:ascii="Times New Roman" w:hAnsi="Times New Roman"/>
          <w:spacing w:val="2"/>
          <w:sz w:val="24"/>
          <w:lang w:eastAsia="zh-CN"/>
        </w:rPr>
        <w:t>地</w:t>
      </w:r>
      <w:r>
        <w:rPr>
          <w:rFonts w:ascii="Times New Roman" w:hAnsi="Times New Roman"/>
          <w:spacing w:val="2"/>
          <w:sz w:val="24"/>
        </w:rPr>
        <w:t>服务于社会的发展。</w:t>
      </w:r>
    </w:p>
    <w:p>
      <w:pPr>
        <w:pStyle w:val="6"/>
        <w:rPr>
          <w:szCs w:val="22"/>
          <w:lang w:eastAsia="zh-CN"/>
        </w:rPr>
      </w:pPr>
      <w:bookmarkStart w:id="681" w:name="_Toc163812704"/>
      <w:bookmarkStart w:id="682" w:name="_Toc89101436"/>
      <w:bookmarkStart w:id="683" w:name="_Toc167095327"/>
      <w:r>
        <w:rPr>
          <w:szCs w:val="22"/>
          <w:lang w:eastAsia="zh-CN"/>
        </w:rPr>
        <w:t>12.2.2 循环经济建议</w:t>
      </w:r>
      <w:bookmarkEnd w:id="681"/>
      <w:bookmarkEnd w:id="682"/>
      <w:bookmarkEnd w:id="683"/>
    </w:p>
    <w:p>
      <w:pPr>
        <w:pStyle w:val="14"/>
        <w:overflowPunct w:val="0"/>
        <w:spacing w:line="360" w:lineRule="auto"/>
        <w:ind w:right="104" w:firstLine="460"/>
        <w:rPr>
          <w:rFonts w:ascii="Times New Roman" w:hAnsi="Times New Roman"/>
          <w:spacing w:val="2"/>
          <w:sz w:val="24"/>
        </w:rPr>
      </w:pPr>
      <w:r>
        <w:rPr>
          <w:rFonts w:ascii="Times New Roman" w:hAnsi="Times New Roman"/>
          <w:spacing w:val="2"/>
          <w:sz w:val="24"/>
        </w:rPr>
        <w:t>根据</w:t>
      </w:r>
      <w:r>
        <w:rPr>
          <w:rFonts w:ascii="Times New Roman" w:hAnsi="Times New Roman"/>
          <w:spacing w:val="2"/>
          <w:sz w:val="24"/>
          <w:lang w:eastAsia="zh-CN"/>
        </w:rPr>
        <w:t>本项目</w:t>
      </w:r>
      <w:r>
        <w:rPr>
          <w:rFonts w:ascii="Times New Roman" w:hAnsi="Times New Roman"/>
          <w:spacing w:val="2"/>
          <w:sz w:val="24"/>
        </w:rPr>
        <w:t>循环经济分析结果，结合区域社会经济发展情况，环评提出以下循环经济建议：</w:t>
      </w:r>
    </w:p>
    <w:p>
      <w:pPr>
        <w:pStyle w:val="14"/>
        <w:overflowPunct w:val="0"/>
        <w:spacing w:line="360" w:lineRule="auto"/>
        <w:ind w:right="104" w:firstLine="460"/>
        <w:rPr>
          <w:rFonts w:ascii="Times New Roman" w:hAnsi="Times New Roman"/>
          <w:spacing w:val="2"/>
          <w:sz w:val="24"/>
        </w:rPr>
      </w:pPr>
      <w:r>
        <w:rPr>
          <w:rFonts w:ascii="Times New Roman" w:hAnsi="Times New Roman"/>
          <w:spacing w:val="2"/>
          <w:sz w:val="24"/>
        </w:rPr>
        <w:t>（1）协调好产业链项目的建设时序，以及与外界项目的建设时序，保证</w:t>
      </w:r>
      <w:r>
        <w:rPr>
          <w:rFonts w:ascii="Times New Roman" w:hAnsi="Times New Roman"/>
          <w:spacing w:val="2"/>
          <w:sz w:val="24"/>
          <w:lang w:eastAsia="zh-CN"/>
        </w:rPr>
        <w:t>煤矿</w:t>
      </w:r>
      <w:r>
        <w:rPr>
          <w:rFonts w:ascii="Times New Roman" w:hAnsi="Times New Roman"/>
          <w:spacing w:val="2"/>
          <w:sz w:val="24"/>
        </w:rPr>
        <w:t>开发实现“减量化、再利用、资源化”循环经济模式。</w:t>
      </w:r>
    </w:p>
    <w:p>
      <w:pPr>
        <w:pStyle w:val="14"/>
        <w:overflowPunct w:val="0"/>
        <w:spacing w:line="360" w:lineRule="auto"/>
        <w:ind w:right="104" w:firstLine="460"/>
        <w:rPr>
          <w:rFonts w:ascii="Times New Roman" w:hAnsi="Times New Roman"/>
          <w:spacing w:val="2"/>
          <w:sz w:val="24"/>
        </w:rPr>
      </w:pPr>
      <w:r>
        <w:rPr>
          <w:rFonts w:ascii="Times New Roman" w:hAnsi="Times New Roman"/>
          <w:spacing w:val="2"/>
          <w:sz w:val="24"/>
        </w:rPr>
        <w:t>（2）建立完善循环经济管理体系，尽可能的采取先进的采煤工艺，提高</w:t>
      </w:r>
      <w:r>
        <w:rPr>
          <w:rFonts w:ascii="Times New Roman" w:hAnsi="Times New Roman"/>
          <w:spacing w:val="2"/>
          <w:sz w:val="24"/>
          <w:lang w:eastAsia="zh-CN"/>
        </w:rPr>
        <w:t>煤矿</w:t>
      </w:r>
      <w:r>
        <w:rPr>
          <w:rFonts w:ascii="Times New Roman" w:hAnsi="Times New Roman"/>
          <w:spacing w:val="2"/>
          <w:sz w:val="24"/>
        </w:rPr>
        <w:t>资源回收率。</w:t>
      </w:r>
    </w:p>
    <w:p>
      <w:pPr>
        <w:pStyle w:val="14"/>
        <w:overflowPunct w:val="0"/>
        <w:spacing w:line="360" w:lineRule="auto"/>
        <w:ind w:right="106" w:firstLine="480"/>
        <w:rPr>
          <w:rFonts w:ascii="Times New Roman" w:hAnsi="Times New Roman"/>
          <w:sz w:val="24"/>
        </w:rPr>
      </w:pPr>
      <w:r>
        <w:rPr>
          <w:rFonts w:ascii="Times New Roman" w:hAnsi="Times New Roman"/>
          <w:spacing w:val="2"/>
          <w:sz w:val="24"/>
        </w:rPr>
        <w:t>（3）</w:t>
      </w:r>
      <w:r>
        <w:rPr>
          <w:rFonts w:ascii="Times New Roman" w:hAnsi="Times New Roman"/>
          <w:spacing w:val="2"/>
          <w:sz w:val="24"/>
          <w:lang w:eastAsia="zh-CN"/>
        </w:rPr>
        <w:t>煤矿</w:t>
      </w:r>
      <w:r>
        <w:rPr>
          <w:rFonts w:ascii="Times New Roman" w:hAnsi="Times New Roman"/>
          <w:spacing w:val="2"/>
          <w:sz w:val="24"/>
        </w:rPr>
        <w:t>开发阶段加强矿井水资源化力度，在实现环境效益的同时，节约区域水资源，降低原煤生产水耗。</w:t>
      </w:r>
    </w:p>
    <w:p>
      <w:pPr>
        <w:spacing w:line="360" w:lineRule="auto"/>
        <w:ind w:firstLine="480" w:firstLineChars="200"/>
        <w:rPr>
          <w:rFonts w:hAnsi="Times New Roman" w:eastAsia="宋体"/>
          <w:szCs w:val="22"/>
          <w:lang w:eastAsia="zh-CN"/>
        </w:rPr>
      </w:pPr>
    </w:p>
    <w:p>
      <w:pPr>
        <w:pStyle w:val="16"/>
        <w:rPr>
          <w:rFonts w:hAnsi="Times New Roman" w:eastAsia="宋体" w:cs="Times New Roman"/>
          <w:szCs w:val="22"/>
          <w:lang w:eastAsia="zh-CN"/>
        </w:rPr>
      </w:pPr>
    </w:p>
    <w:p>
      <w:pPr>
        <w:rPr>
          <w:rFonts w:hAnsi="Times New Roman" w:eastAsia="宋体"/>
          <w:szCs w:val="22"/>
          <w:lang w:eastAsia="zh-CN"/>
        </w:rPr>
      </w:pPr>
    </w:p>
    <w:p>
      <w:pPr>
        <w:spacing w:line="360" w:lineRule="auto"/>
        <w:ind w:firstLine="480" w:firstLineChars="200"/>
        <w:rPr>
          <w:rFonts w:hAnsi="Times New Roman" w:eastAsia="宋体"/>
          <w:szCs w:val="22"/>
          <w:lang w:eastAsia="zh-CN"/>
        </w:rPr>
      </w:pPr>
    </w:p>
    <w:p>
      <w:pPr>
        <w:spacing w:line="360" w:lineRule="auto"/>
        <w:ind w:firstLine="480" w:firstLineChars="200"/>
        <w:rPr>
          <w:rFonts w:hAnsi="Times New Roman" w:eastAsia="宋体"/>
          <w:szCs w:val="22"/>
          <w:lang w:eastAsia="zh-CN"/>
        </w:rPr>
      </w:pPr>
    </w:p>
    <w:p>
      <w:pPr>
        <w:spacing w:line="360" w:lineRule="auto"/>
        <w:ind w:firstLine="480" w:firstLineChars="200"/>
        <w:rPr>
          <w:rFonts w:hAnsi="Times New Roman" w:eastAsia="宋体"/>
          <w:szCs w:val="22"/>
          <w:lang w:eastAsia="zh-CN"/>
        </w:rPr>
      </w:pPr>
    </w:p>
    <w:p>
      <w:pPr>
        <w:pStyle w:val="4"/>
        <w:rPr>
          <w:lang w:eastAsia="zh-CN"/>
        </w:rPr>
      </w:pPr>
      <w:bookmarkStart w:id="684" w:name="_Toc167095328"/>
      <w:bookmarkStart w:id="685" w:name="_Toc163749220"/>
      <w:r>
        <w:rPr>
          <w:lang w:eastAsia="zh-CN"/>
        </w:rPr>
        <w:t>13 环境管理与环境监测计划</w:t>
      </w:r>
      <w:bookmarkEnd w:id="684"/>
      <w:bookmarkEnd w:id="685"/>
    </w:p>
    <w:p>
      <w:pPr>
        <w:pStyle w:val="5"/>
        <w:rPr>
          <w:rFonts w:ascii="Times New Roman" w:hAnsi="Times New Roman"/>
          <w:lang w:eastAsia="zh-CN"/>
        </w:rPr>
      </w:pPr>
      <w:bookmarkStart w:id="686" w:name="_Toc167095329"/>
      <w:bookmarkStart w:id="687" w:name="_Toc163749221"/>
      <w:r>
        <w:rPr>
          <w:rFonts w:ascii="Times New Roman" w:hAnsi="Times New Roman"/>
          <w:lang w:eastAsia="zh-CN"/>
        </w:rPr>
        <w:t>13.1 建设期环境管理和环境监理</w:t>
      </w:r>
      <w:bookmarkEnd w:id="686"/>
      <w:bookmarkEnd w:id="687"/>
    </w:p>
    <w:p>
      <w:pPr>
        <w:pStyle w:val="6"/>
        <w:rPr>
          <w:lang w:eastAsia="zh-CN"/>
        </w:rPr>
      </w:pPr>
      <w:bookmarkStart w:id="688" w:name="_Toc163812707"/>
      <w:bookmarkStart w:id="689" w:name="_Toc167095330"/>
      <w:r>
        <w:rPr>
          <w:lang w:eastAsia="zh-CN"/>
        </w:rPr>
        <w:t>13.1.1 建设期环境管理</w:t>
      </w:r>
      <w:bookmarkEnd w:id="688"/>
      <w:bookmarkEnd w:id="689"/>
    </w:p>
    <w:p>
      <w:pPr>
        <w:spacing w:line="360" w:lineRule="auto"/>
        <w:ind w:firstLine="480" w:firstLineChars="200"/>
        <w:rPr>
          <w:rFonts w:hAnsi="Times New Roman" w:eastAsia="宋体"/>
          <w:lang w:eastAsia="zh-CN"/>
        </w:rPr>
      </w:pPr>
      <w:r>
        <w:rPr>
          <w:rFonts w:hAnsi="Times New Roman" w:eastAsia="宋体"/>
          <w:lang w:eastAsia="zh-CN"/>
        </w:rPr>
        <w:t>（1）建设单位严格按照环评报告书及批复要求优化施工方案，优化施工道路建设方案，尽最大可能地减少地表扰动面积。施工车杜绝在宽阔地带随意行驶，肆意碾压。</w:t>
      </w:r>
    </w:p>
    <w:p>
      <w:pPr>
        <w:spacing w:line="360" w:lineRule="auto"/>
        <w:ind w:firstLine="480" w:firstLineChars="200"/>
        <w:rPr>
          <w:rFonts w:hAnsi="Times New Roman" w:eastAsia="宋体"/>
          <w:lang w:eastAsia="zh-CN"/>
        </w:rPr>
      </w:pPr>
      <w:r>
        <w:rPr>
          <w:rFonts w:hAnsi="Times New Roman" w:eastAsia="宋体"/>
          <w:lang w:eastAsia="zh-CN"/>
        </w:rPr>
        <w:t>（2）建设单位应配备专职环境管理人员，负责各类污染源的现场监控和管理，严格控制进出施工场地车辆物料遗撒。</w:t>
      </w:r>
    </w:p>
    <w:p>
      <w:pPr>
        <w:spacing w:line="360" w:lineRule="auto"/>
        <w:ind w:firstLine="480" w:firstLineChars="200"/>
        <w:rPr>
          <w:rFonts w:hAnsi="Times New Roman" w:eastAsia="宋体"/>
          <w:lang w:eastAsia="zh-CN"/>
        </w:rPr>
      </w:pPr>
      <w:r>
        <w:rPr>
          <w:rFonts w:hAnsi="Times New Roman" w:eastAsia="宋体"/>
          <w:lang w:eastAsia="zh-CN"/>
        </w:rPr>
        <w:t>（3）专职环境管理人员应做好文明施工的宣传工作，借助黑板报、宣传栏等工具对施工工人进行环境保护教育。</w:t>
      </w:r>
    </w:p>
    <w:p>
      <w:pPr>
        <w:spacing w:line="360" w:lineRule="auto"/>
        <w:ind w:firstLine="480" w:firstLineChars="200"/>
        <w:rPr>
          <w:rFonts w:hAnsi="Times New Roman" w:eastAsia="宋体"/>
          <w:lang w:eastAsia="zh-CN"/>
        </w:rPr>
      </w:pPr>
      <w:r>
        <w:rPr>
          <w:rFonts w:hAnsi="Times New Roman" w:eastAsia="宋体"/>
          <w:lang w:eastAsia="zh-CN"/>
        </w:rPr>
        <w:t>（4）建设单位自觉接受达州市生态环境局和达州市宣汉生态环境局监督指导，主动配合环境保护主管部门搞好独立升级改造工程施工期的环境保护工作。</w:t>
      </w:r>
    </w:p>
    <w:p>
      <w:pPr>
        <w:spacing w:line="360" w:lineRule="auto"/>
        <w:ind w:firstLine="480" w:firstLineChars="200"/>
        <w:rPr>
          <w:rFonts w:hAnsi="Times New Roman" w:eastAsia="宋体"/>
          <w:lang w:eastAsia="zh-CN"/>
        </w:rPr>
      </w:pPr>
      <w:r>
        <w:rPr>
          <w:rFonts w:hAnsi="Times New Roman" w:eastAsia="宋体"/>
          <w:lang w:eastAsia="zh-CN"/>
        </w:rPr>
        <w:t>（5）建设单位应按有关施工招标程序设置环境监理，并在当地环保部门的监督指导下，全面、规范地进行施工期的环境监理，以确保将施工期的生态环境影响降到最低。</w:t>
      </w:r>
    </w:p>
    <w:p>
      <w:pPr>
        <w:pStyle w:val="6"/>
        <w:rPr>
          <w:lang w:eastAsia="zh-CN"/>
        </w:rPr>
      </w:pPr>
      <w:bookmarkStart w:id="690" w:name="_Toc163812708"/>
      <w:bookmarkStart w:id="691" w:name="_Toc167095331"/>
      <w:r>
        <w:rPr>
          <w:lang w:eastAsia="zh-CN"/>
        </w:rPr>
        <w:t>13.1.2 建设期环境监测</w:t>
      </w:r>
      <w:bookmarkEnd w:id="690"/>
      <w:bookmarkEnd w:id="691"/>
    </w:p>
    <w:p>
      <w:pPr>
        <w:spacing w:line="360" w:lineRule="auto"/>
        <w:ind w:firstLine="480" w:firstLineChars="200"/>
        <w:rPr>
          <w:rFonts w:hAnsi="Times New Roman" w:eastAsia="宋体"/>
          <w:lang w:eastAsia="zh-CN"/>
        </w:rPr>
      </w:pPr>
      <w:r>
        <w:rPr>
          <w:rFonts w:hAnsi="Times New Roman" w:eastAsia="宋体"/>
          <w:lang w:eastAsia="zh-CN"/>
        </w:rPr>
        <w:t>为了及时了解和掌握扩建工程施工期主要污染物的排放情况，建设单位应委托有资质的环境监测单位对其污染源和施工场界周边的环境质量进行监测，监测要求见下表。</w:t>
      </w:r>
    </w:p>
    <w:p>
      <w:pPr>
        <w:pStyle w:val="14"/>
        <w:kinsoku w:val="0"/>
        <w:overflowPunct w:val="0"/>
        <w:spacing w:line="360" w:lineRule="auto"/>
        <w:jc w:val="center"/>
        <w:rPr>
          <w:rFonts w:ascii="Times New Roman" w:hAnsi="Times New Roman"/>
          <w:b/>
          <w:kern w:val="0"/>
          <w:sz w:val="21"/>
          <w:szCs w:val="21"/>
          <w:lang w:eastAsia="zh-CN"/>
        </w:rPr>
      </w:pPr>
      <w:r>
        <w:rPr>
          <w:rFonts w:ascii="Times New Roman" w:hAnsi="Times New Roman"/>
          <w:b/>
          <w:kern w:val="0"/>
          <w:sz w:val="21"/>
          <w:szCs w:val="21"/>
          <w:lang w:eastAsia="zh-CN"/>
        </w:rPr>
        <w:t>表13.1-1 施工期环境监测要求</w:t>
      </w:r>
    </w:p>
    <w:tbl>
      <w:tblPr>
        <w:tblStyle w:val="33"/>
        <w:tblW w:w="934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37"/>
        <w:gridCol w:w="2117"/>
        <w:gridCol w:w="2343"/>
        <w:gridCol w:w="26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tblHeader/>
        </w:trPr>
        <w:tc>
          <w:tcPr>
            <w:tcW w:w="2237"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类别</w:t>
            </w:r>
          </w:p>
        </w:tc>
        <w:tc>
          <w:tcPr>
            <w:tcW w:w="2117"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监测点位</w:t>
            </w:r>
          </w:p>
        </w:tc>
        <w:tc>
          <w:tcPr>
            <w:tcW w:w="2343"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监测项目</w:t>
            </w:r>
          </w:p>
        </w:tc>
        <w:tc>
          <w:tcPr>
            <w:tcW w:w="2643"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监测频率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tblHeader/>
        </w:trPr>
        <w:tc>
          <w:tcPr>
            <w:tcW w:w="22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环境空气</w:t>
            </w:r>
          </w:p>
        </w:tc>
        <w:tc>
          <w:tcPr>
            <w:tcW w:w="211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距离最近居民点</w:t>
            </w:r>
          </w:p>
        </w:tc>
        <w:tc>
          <w:tcPr>
            <w:tcW w:w="234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TSP</w:t>
            </w:r>
          </w:p>
        </w:tc>
        <w:tc>
          <w:tcPr>
            <w:tcW w:w="264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整个施工期1次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blHeader/>
        </w:trPr>
        <w:tc>
          <w:tcPr>
            <w:tcW w:w="223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噪声</w:t>
            </w:r>
          </w:p>
        </w:tc>
        <w:tc>
          <w:tcPr>
            <w:tcW w:w="211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厂界四周</w:t>
            </w:r>
          </w:p>
        </w:tc>
        <w:tc>
          <w:tcPr>
            <w:tcW w:w="234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dB（A）</w:t>
            </w:r>
          </w:p>
        </w:tc>
        <w:tc>
          <w:tcPr>
            <w:tcW w:w="264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1季度1次</w:t>
            </w:r>
          </w:p>
        </w:tc>
      </w:tr>
    </w:tbl>
    <w:p>
      <w:pPr>
        <w:pStyle w:val="5"/>
        <w:rPr>
          <w:rFonts w:ascii="Times New Roman" w:hAnsi="Times New Roman"/>
          <w:lang w:eastAsia="zh-CN"/>
        </w:rPr>
      </w:pPr>
      <w:bookmarkStart w:id="692" w:name="_Toc167095332"/>
      <w:bookmarkStart w:id="693" w:name="_Toc163749222"/>
      <w:r>
        <w:rPr>
          <w:rFonts w:ascii="Times New Roman" w:hAnsi="Times New Roman"/>
          <w:lang w:eastAsia="zh-CN"/>
        </w:rPr>
        <w:t>13.2 环境管理机构及职责</w:t>
      </w:r>
      <w:bookmarkEnd w:id="692"/>
      <w:bookmarkEnd w:id="693"/>
    </w:p>
    <w:p>
      <w:pPr>
        <w:pStyle w:val="6"/>
        <w:rPr>
          <w:lang w:eastAsia="zh-CN"/>
        </w:rPr>
      </w:pPr>
      <w:bookmarkStart w:id="694" w:name="_Toc167095333"/>
      <w:bookmarkStart w:id="695" w:name="_Toc163812710"/>
      <w:r>
        <w:rPr>
          <w:lang w:eastAsia="zh-CN"/>
        </w:rPr>
        <w:t>13.2.1 环境管理机构</w:t>
      </w:r>
      <w:bookmarkEnd w:id="694"/>
      <w:bookmarkEnd w:id="695"/>
    </w:p>
    <w:p>
      <w:pPr>
        <w:spacing w:line="360" w:lineRule="auto"/>
        <w:ind w:firstLine="480" w:firstLineChars="200"/>
        <w:rPr>
          <w:rFonts w:hAnsi="Times New Roman" w:eastAsia="宋体"/>
          <w:lang w:eastAsia="zh-CN"/>
        </w:rPr>
      </w:pPr>
      <w:r>
        <w:rPr>
          <w:rFonts w:hAnsi="Times New Roman" w:eastAsia="宋体"/>
          <w:lang w:eastAsia="zh-CN"/>
        </w:rPr>
        <w:t>环境管理的实施，首先就是设置管理机构，明确各管理部门的职责。</w:t>
      </w:r>
    </w:p>
    <w:p>
      <w:pPr>
        <w:spacing w:line="360" w:lineRule="auto"/>
        <w:ind w:firstLine="480" w:firstLineChars="200"/>
        <w:rPr>
          <w:rFonts w:hAnsi="Times New Roman" w:eastAsia="宋体"/>
          <w:lang w:eastAsia="zh-CN"/>
        </w:rPr>
      </w:pPr>
      <w:r>
        <w:rPr>
          <w:rFonts w:hAnsi="Times New Roman" w:eastAsia="宋体"/>
          <w:lang w:eastAsia="zh-CN"/>
        </w:rPr>
        <w:t>本项目工程属于扩建项目，依据《建设项目环境保护设计规定》，须设置环境保护管理机构，负责组织、落实、监督煤矿的环境保护工作，配备专职环境保护管理人员（一般2~3人为宜）。</w:t>
      </w:r>
    </w:p>
    <w:p>
      <w:pPr>
        <w:spacing w:line="360" w:lineRule="auto"/>
        <w:ind w:firstLine="480" w:firstLineChars="200"/>
        <w:rPr>
          <w:rFonts w:hAnsi="Times New Roman" w:eastAsia="宋体"/>
          <w:lang w:eastAsia="zh-CN"/>
        </w:rPr>
      </w:pPr>
      <w:r>
        <w:rPr>
          <w:rFonts w:hAnsi="Times New Roman" w:eastAsia="宋体"/>
          <w:lang w:eastAsia="zh-CN"/>
        </w:rPr>
        <w:t>矿井运营期将实行矿长负责制的环境管理制度，矿长负责环境管理机构的设置，并承担相应的责任与义务，而环保管理机构对矿长负责，负责日常环境管理工作。地方环境行政管理部门对本项目的环境保护行使监督职能。</w:t>
      </w:r>
    </w:p>
    <w:p>
      <w:pPr>
        <w:pStyle w:val="6"/>
        <w:rPr>
          <w:lang w:eastAsia="zh-CN"/>
        </w:rPr>
      </w:pPr>
      <w:bookmarkStart w:id="696" w:name="_Toc167095334"/>
      <w:bookmarkStart w:id="697" w:name="_Toc163812711"/>
      <w:r>
        <w:rPr>
          <w:lang w:eastAsia="zh-CN"/>
        </w:rPr>
        <w:t>13.2.2 环境管理机构及职责</w:t>
      </w:r>
      <w:bookmarkEnd w:id="696"/>
      <w:bookmarkEnd w:id="697"/>
    </w:p>
    <w:p>
      <w:pPr>
        <w:spacing w:line="360" w:lineRule="auto"/>
        <w:ind w:firstLine="480" w:firstLineChars="200"/>
        <w:rPr>
          <w:rFonts w:hAnsi="Times New Roman" w:eastAsia="宋体"/>
          <w:lang w:eastAsia="zh-CN"/>
        </w:rPr>
      </w:pPr>
      <w:r>
        <w:rPr>
          <w:rFonts w:hAnsi="Times New Roman" w:eastAsia="宋体"/>
          <w:lang w:eastAsia="zh-CN"/>
        </w:rPr>
        <w:t>矿井环境管理机构职责见下表所示。</w:t>
      </w:r>
    </w:p>
    <w:p>
      <w:pPr>
        <w:pStyle w:val="14"/>
        <w:kinsoku w:val="0"/>
        <w:overflowPunct w:val="0"/>
        <w:spacing w:line="360" w:lineRule="auto"/>
        <w:jc w:val="center"/>
        <w:rPr>
          <w:rFonts w:ascii="Times New Roman" w:hAnsi="Times New Roman"/>
          <w:b/>
          <w:kern w:val="0"/>
          <w:sz w:val="21"/>
          <w:szCs w:val="21"/>
          <w:lang w:eastAsia="zh-CN"/>
        </w:rPr>
      </w:pPr>
      <w:r>
        <w:rPr>
          <w:rFonts w:ascii="Times New Roman" w:hAnsi="Times New Roman"/>
          <w:b/>
          <w:kern w:val="0"/>
          <w:sz w:val="21"/>
          <w:szCs w:val="21"/>
          <w:lang w:eastAsia="zh-CN"/>
        </w:rPr>
        <w:t>表13.2-1 煤矿环境管理机构职责</w:t>
      </w:r>
    </w:p>
    <w:tbl>
      <w:tblPr>
        <w:tblStyle w:val="33"/>
        <w:tblW w:w="924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07"/>
        <w:gridCol w:w="78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blHeader/>
        </w:trPr>
        <w:tc>
          <w:tcPr>
            <w:tcW w:w="140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管理机构及部门</w:t>
            </w:r>
          </w:p>
        </w:tc>
        <w:tc>
          <w:tcPr>
            <w:tcW w:w="783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主要职责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blHeader/>
        </w:trPr>
        <w:tc>
          <w:tcPr>
            <w:tcW w:w="140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矿长</w:t>
            </w:r>
          </w:p>
        </w:tc>
        <w:tc>
          <w:tcPr>
            <w:tcW w:w="783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负责全矿环境管理、对全矿的环境质量负责。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blHeader/>
        </w:trPr>
        <w:tc>
          <w:tcPr>
            <w:tcW w:w="140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分管矿长</w:t>
            </w:r>
          </w:p>
        </w:tc>
        <w:tc>
          <w:tcPr>
            <w:tcW w:w="783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主管环保技术等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blHeader/>
        </w:trPr>
        <w:tc>
          <w:tcPr>
            <w:tcW w:w="1407"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矿内环保管理部门</w:t>
            </w:r>
          </w:p>
        </w:tc>
        <w:tc>
          <w:tcPr>
            <w:tcW w:w="7833" w:type="dxa"/>
            <w:vAlign w:val="center"/>
          </w:tcPr>
          <w:p>
            <w:pPr>
              <w:keepNext w:val="0"/>
              <w:keepLines w:val="0"/>
              <w:suppressLineNumbers w:val="0"/>
              <w:spacing w:before="0" w:beforeAutospacing="0" w:after="0" w:afterAutospacing="0" w:line="24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1.认真执行建设项目环境影响评价制度和“三同时”制度，组织专家和有关管理部门对项目进行竣工验收；</w:t>
            </w:r>
          </w:p>
          <w:p>
            <w:pPr>
              <w:keepNext w:val="0"/>
              <w:keepLines w:val="0"/>
              <w:suppressLineNumbers w:val="0"/>
              <w:spacing w:before="0" w:beforeAutospacing="0" w:after="0" w:afterAutospacing="0" w:line="24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2. 严格执行国家、行业环保法律法规及标准，制定本单位环境管理制度与生态保护管理办法，落实各职能部门的环境保护职责范围；</w:t>
            </w:r>
          </w:p>
          <w:p>
            <w:pPr>
              <w:keepNext w:val="0"/>
              <w:keepLines w:val="0"/>
              <w:suppressLineNumbers w:val="0"/>
              <w:spacing w:before="0" w:beforeAutospacing="0" w:after="0" w:afterAutospacing="0" w:line="24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3.监督检查各产污环节污染防治措施的落实及运行情况，对环境管理工作中的问题和不足提出改进意见，完成环境保护责任目标，保证污染物达标排放；</w:t>
            </w:r>
          </w:p>
          <w:p>
            <w:pPr>
              <w:keepNext w:val="0"/>
              <w:keepLines w:val="0"/>
              <w:suppressLineNumbers w:val="0"/>
              <w:spacing w:before="0" w:beforeAutospacing="0" w:after="0" w:afterAutospacing="0" w:line="24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4.编制企业内部环境保护和环保产业发展规划及年度计划，并将其纳入企业发展规划和生产计划中，负责组织实施；</w:t>
            </w:r>
          </w:p>
          <w:p>
            <w:pPr>
              <w:keepNext w:val="0"/>
              <w:keepLines w:val="0"/>
              <w:suppressLineNumbers w:val="0"/>
              <w:spacing w:before="0" w:beforeAutospacing="0" w:after="0" w:afterAutospacing="0" w:line="24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5.组织、配合环境监测部门开展环境与污染源监测及地表形变观测，制定生态恢复与水土保持计划，落实各项环保工程治理方案；</w:t>
            </w:r>
          </w:p>
          <w:p>
            <w:pPr>
              <w:keepNext w:val="0"/>
              <w:keepLines w:val="0"/>
              <w:suppressLineNumbers w:val="0"/>
              <w:spacing w:before="0" w:beforeAutospacing="0" w:after="0" w:afterAutospacing="0" w:line="24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6.建立环境保护档案，进行环境统计，开展日常环境保护工作，并按照有关规定及时、准确地上报企业环境报表和环境质量报告书；</w:t>
            </w:r>
          </w:p>
          <w:p>
            <w:pPr>
              <w:keepNext w:val="0"/>
              <w:keepLines w:val="0"/>
              <w:suppressLineNumbers w:val="0"/>
              <w:spacing w:before="0" w:beforeAutospacing="0" w:after="0" w:afterAutospacing="0" w:line="24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7.负责接待群众来访，协调企业所在区域的环境管理，解决本单位造成的环境污染或生态破坏纠纷，提出处理意见，并向有关部门报告。</w:t>
            </w:r>
          </w:p>
          <w:p>
            <w:pPr>
              <w:keepNext w:val="0"/>
              <w:keepLines w:val="0"/>
              <w:suppressLineNumbers w:val="0"/>
              <w:spacing w:before="0" w:beforeAutospacing="0" w:after="0" w:afterAutospacing="0" w:line="24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8.负责制定煤矿环境保护技术培训计划，开展环境保护宣传教育，普及环保知识，提高员工环保意识和素质；</w:t>
            </w:r>
          </w:p>
          <w:p>
            <w:pPr>
              <w:keepNext w:val="0"/>
              <w:keepLines w:val="0"/>
              <w:suppressLineNumbers w:val="0"/>
              <w:spacing w:before="0" w:beforeAutospacing="0" w:after="0" w:afterAutospacing="0" w:line="24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9.负责矿区环境绿化和环境保护管理工作，主动接受上级环保行政主管部门的工作指导、检查和监督；</w:t>
            </w:r>
          </w:p>
          <w:p>
            <w:pPr>
              <w:keepNext w:val="0"/>
              <w:keepLines w:val="0"/>
              <w:suppressLineNumbers w:val="0"/>
              <w:spacing w:before="0" w:beforeAutospacing="0" w:after="0" w:afterAutospacing="0" w:line="24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10.建立清洁生产管理制度和废物循环利用方案，推行清洁生产和废物综合利用。</w:t>
            </w:r>
          </w:p>
        </w:tc>
      </w:tr>
    </w:tbl>
    <w:p>
      <w:pPr>
        <w:pStyle w:val="6"/>
        <w:rPr>
          <w:lang w:eastAsia="zh-CN"/>
        </w:rPr>
      </w:pPr>
      <w:bookmarkStart w:id="698" w:name="_Toc163812712"/>
      <w:bookmarkStart w:id="699" w:name="_Toc167095335"/>
      <w:r>
        <w:rPr>
          <w:lang w:eastAsia="zh-CN"/>
        </w:rPr>
        <w:t>13.2.3 环境管理工作计划和方案</w:t>
      </w:r>
      <w:bookmarkEnd w:id="698"/>
      <w:bookmarkEnd w:id="699"/>
    </w:p>
    <w:p>
      <w:pPr>
        <w:spacing w:line="360" w:lineRule="auto"/>
        <w:ind w:firstLine="480" w:firstLineChars="200"/>
        <w:rPr>
          <w:rFonts w:hAnsi="Times New Roman" w:eastAsia="宋体"/>
          <w:lang w:eastAsia="zh-CN"/>
        </w:rPr>
      </w:pPr>
      <w:r>
        <w:rPr>
          <w:rFonts w:hAnsi="Times New Roman" w:eastAsia="宋体"/>
          <w:lang w:eastAsia="zh-CN"/>
        </w:rPr>
        <w:t>根据七里峡煤矿具体情况，本次评价初步制定了其环境保护管理计划见下表所示。</w:t>
      </w:r>
    </w:p>
    <w:p>
      <w:pPr>
        <w:pStyle w:val="14"/>
        <w:kinsoku w:val="0"/>
        <w:overflowPunct w:val="0"/>
        <w:spacing w:line="360" w:lineRule="auto"/>
        <w:jc w:val="center"/>
        <w:rPr>
          <w:rFonts w:ascii="Times New Roman" w:hAnsi="Times New Roman"/>
          <w:b/>
          <w:kern w:val="0"/>
          <w:sz w:val="21"/>
          <w:szCs w:val="21"/>
          <w:lang w:eastAsia="zh-CN"/>
        </w:rPr>
      </w:pPr>
      <w:r>
        <w:rPr>
          <w:rFonts w:ascii="Times New Roman" w:hAnsi="Times New Roman"/>
          <w:b/>
          <w:kern w:val="0"/>
          <w:sz w:val="21"/>
          <w:szCs w:val="21"/>
          <w:lang w:eastAsia="zh-CN"/>
        </w:rPr>
        <w:t>表13.2-2 环境管理任务计划表</w:t>
      </w:r>
    </w:p>
    <w:tbl>
      <w:tblPr>
        <w:tblStyle w:val="33"/>
        <w:tblW w:w="934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1"/>
        <w:gridCol w:w="79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tblHeader/>
        </w:trPr>
        <w:tc>
          <w:tcPr>
            <w:tcW w:w="1421"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阶段</w:t>
            </w:r>
          </w:p>
        </w:tc>
        <w:tc>
          <w:tcPr>
            <w:tcW w:w="7919"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环境管理主要任务内容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3" w:hRule="atLeast"/>
          <w:tblHeader/>
        </w:trPr>
        <w:tc>
          <w:tcPr>
            <w:tcW w:w="1421"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生产期</w:t>
            </w:r>
          </w:p>
        </w:tc>
        <w:tc>
          <w:tcPr>
            <w:tcW w:w="7919" w:type="dxa"/>
            <w:vAlign w:val="center"/>
          </w:tcPr>
          <w:p>
            <w:pPr>
              <w:keepNext w:val="0"/>
              <w:keepLines w:val="0"/>
              <w:suppressLineNumbers w:val="0"/>
              <w:spacing w:before="0" w:beforeAutospacing="0" w:after="0" w:afterAutospacing="0" w:line="24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1.贯彻执行国家、地方及产业政策相关环境保护法律法规和标准，完善和落实各项环保手续；</w:t>
            </w:r>
          </w:p>
          <w:p>
            <w:pPr>
              <w:keepNext w:val="0"/>
              <w:keepLines w:val="0"/>
              <w:suppressLineNumbers w:val="0"/>
              <w:spacing w:before="0" w:beforeAutospacing="0" w:after="0" w:afterAutospacing="0" w:line="24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2.制定并严格执行各项生产环境管理规章制度，对各项污染治理设施建立操作、维护和检修规程，落实岗位责任制，保证生产正常运行；</w:t>
            </w:r>
          </w:p>
          <w:p>
            <w:pPr>
              <w:keepNext w:val="0"/>
              <w:keepLines w:val="0"/>
              <w:suppressLineNumbers w:val="0"/>
              <w:spacing w:before="0" w:beforeAutospacing="0" w:after="0" w:afterAutospacing="0" w:line="24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3.建立定期环境监测制度，加强环境监督、检查；</w:t>
            </w:r>
          </w:p>
          <w:p>
            <w:pPr>
              <w:keepNext w:val="0"/>
              <w:keepLines w:val="0"/>
              <w:suppressLineNumbers w:val="0"/>
              <w:spacing w:before="0" w:beforeAutospacing="0" w:after="0" w:afterAutospacing="0" w:line="24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4.申报排污许可证，建立环保设施运行卡，对环保设施定期进行检查和维护；</w:t>
            </w:r>
          </w:p>
          <w:p>
            <w:pPr>
              <w:keepNext w:val="0"/>
              <w:keepLines w:val="0"/>
              <w:suppressLineNumbers w:val="0"/>
              <w:spacing w:before="0" w:beforeAutospacing="0" w:after="0" w:afterAutospacing="0" w:line="24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5.按照环境管理监测计划开展定期、不定期环境与污染源监测，发现问题及时处理；</w:t>
            </w:r>
          </w:p>
          <w:p>
            <w:pPr>
              <w:keepNext w:val="0"/>
              <w:keepLines w:val="0"/>
              <w:suppressLineNumbers w:val="0"/>
              <w:spacing w:before="0" w:beforeAutospacing="0" w:after="0" w:afterAutospacing="0" w:line="24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6.完善矿区环境管理目标与任务，落实矿区污染防治及生态保护恢复方案，配合地方环保部门制定区域环境综合整治规划；</w:t>
            </w:r>
          </w:p>
          <w:p>
            <w:pPr>
              <w:keepNext w:val="0"/>
              <w:keepLines w:val="0"/>
              <w:suppressLineNumbers w:val="0"/>
              <w:spacing w:before="0" w:beforeAutospacing="0" w:after="0" w:afterAutospacing="0" w:line="24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7.加强国家环保政策宣传，提高员工环保意识，提升企业环境管理水平；</w:t>
            </w:r>
          </w:p>
          <w:p>
            <w:pPr>
              <w:keepNext w:val="0"/>
              <w:keepLines w:val="0"/>
              <w:suppressLineNumbers w:val="0"/>
              <w:spacing w:before="0" w:beforeAutospacing="0" w:after="0" w:afterAutospacing="0" w:line="24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8.重视公众参与监督作用；</w:t>
            </w:r>
          </w:p>
          <w:p>
            <w:pPr>
              <w:keepNext w:val="0"/>
              <w:keepLines w:val="0"/>
              <w:suppressLineNumbers w:val="0"/>
              <w:spacing w:before="0" w:beforeAutospacing="0" w:after="0" w:afterAutospacing="0" w:line="24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9.推行清洁生产，参与煤矿清洁生产审计工作，实现污染预防，发现问题及时处理，向环保行政主管部门汇报。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2" w:hRule="atLeast"/>
          <w:tblHeader/>
        </w:trPr>
        <w:tc>
          <w:tcPr>
            <w:tcW w:w="1421"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管理工作重点</w:t>
            </w:r>
          </w:p>
        </w:tc>
        <w:tc>
          <w:tcPr>
            <w:tcW w:w="7919" w:type="dxa"/>
            <w:vAlign w:val="center"/>
          </w:tcPr>
          <w:p>
            <w:pPr>
              <w:keepNext w:val="0"/>
              <w:keepLines w:val="0"/>
              <w:suppressLineNumbers w:val="0"/>
              <w:spacing w:before="0" w:beforeAutospacing="0" w:after="0" w:afterAutospacing="0" w:line="24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1.加强污染源监控与管理，提高废水、矸石的综合利用率；</w:t>
            </w:r>
          </w:p>
          <w:p>
            <w:pPr>
              <w:keepNext w:val="0"/>
              <w:keepLines w:val="0"/>
              <w:suppressLineNumbers w:val="0"/>
              <w:spacing w:before="0" w:beforeAutospacing="0" w:after="0" w:afterAutospacing="0" w:line="24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2.坚持“预防为主、防治结合、综合治理”的原则，强化煤矿环境管理力度；</w:t>
            </w:r>
          </w:p>
          <w:p>
            <w:pPr>
              <w:keepNext w:val="0"/>
              <w:keepLines w:val="0"/>
              <w:suppressLineNumbers w:val="0"/>
              <w:spacing w:before="0" w:beforeAutospacing="0" w:after="0" w:afterAutospacing="0" w:line="24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3.严格控制生产全过程废气、废水、噪声和固废排放，保护矿区生态环境。</w:t>
            </w:r>
          </w:p>
        </w:tc>
      </w:tr>
    </w:tbl>
    <w:p>
      <w:pPr>
        <w:pStyle w:val="5"/>
        <w:rPr>
          <w:rFonts w:ascii="Times New Roman" w:hAnsi="Times New Roman"/>
          <w:lang w:eastAsia="zh-CN"/>
        </w:rPr>
      </w:pPr>
      <w:bookmarkStart w:id="700" w:name="_Toc167095336"/>
      <w:bookmarkStart w:id="701" w:name="_Toc163749223"/>
      <w:r>
        <w:rPr>
          <w:rFonts w:ascii="Times New Roman" w:hAnsi="Times New Roman"/>
          <w:lang w:eastAsia="zh-CN"/>
        </w:rPr>
        <w:t>13.3环境监测计划</w:t>
      </w:r>
      <w:bookmarkEnd w:id="700"/>
      <w:bookmarkEnd w:id="701"/>
    </w:p>
    <w:p>
      <w:pPr>
        <w:pStyle w:val="14"/>
        <w:overflowPunct w:val="0"/>
        <w:spacing w:line="360" w:lineRule="auto"/>
        <w:ind w:right="248" w:firstLine="480" w:firstLineChars="200"/>
        <w:rPr>
          <w:rFonts w:ascii="Times New Roman" w:hAnsi="Times New Roman"/>
          <w:sz w:val="24"/>
        </w:rPr>
      </w:pPr>
      <w:r>
        <w:rPr>
          <w:rFonts w:ascii="Times New Roman" w:hAnsi="Times New Roman"/>
          <w:sz w:val="24"/>
          <w:lang w:eastAsia="zh-CN"/>
        </w:rPr>
        <w:t>项目营运期后勤应设专人负责营运期各项环保设备的日常检查与管理，并与专业监测机构进行对接，对各项污染物进行定期监测，方便后期监测管理。各污染物监测和分析方法按照《排污单位自行监测技术指南总则》（HJ819- 2017）执行。排污单位自行监测信息公开内容及方式按照《企业事业单位环境信息公开办法》（环境保护部令第31号）执行。项目环境监测计划见下表所示。</w:t>
      </w:r>
    </w:p>
    <w:p>
      <w:pPr>
        <w:pStyle w:val="14"/>
        <w:kinsoku w:val="0"/>
        <w:overflowPunct w:val="0"/>
        <w:spacing w:line="360" w:lineRule="auto"/>
        <w:jc w:val="center"/>
        <w:rPr>
          <w:rFonts w:ascii="Times New Roman" w:hAnsi="Times New Roman"/>
          <w:b/>
          <w:kern w:val="0"/>
          <w:sz w:val="21"/>
          <w:szCs w:val="21"/>
          <w:lang w:eastAsia="zh-CN"/>
        </w:rPr>
      </w:pPr>
      <w:r>
        <w:rPr>
          <w:rFonts w:ascii="Times New Roman" w:hAnsi="Times New Roman"/>
          <w:b/>
          <w:kern w:val="0"/>
          <w:sz w:val="21"/>
          <w:szCs w:val="21"/>
          <w:lang w:eastAsia="zh-CN"/>
        </w:rPr>
        <w:t>表 13.3-1 环境监测计划</w:t>
      </w:r>
    </w:p>
    <w:tbl>
      <w:tblPr>
        <w:tblStyle w:val="33"/>
        <w:tblW w:w="92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0"/>
        <w:gridCol w:w="1234"/>
        <w:gridCol w:w="73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30"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类别</w:t>
            </w:r>
          </w:p>
        </w:tc>
        <w:tc>
          <w:tcPr>
            <w:tcW w:w="1234"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环境要素</w:t>
            </w:r>
          </w:p>
        </w:tc>
        <w:tc>
          <w:tcPr>
            <w:tcW w:w="7316"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监测点位、监测项目及频率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30" w:type="dxa"/>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污染</w:t>
            </w:r>
          </w:p>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源监</w:t>
            </w:r>
          </w:p>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测</w:t>
            </w:r>
          </w:p>
        </w:tc>
        <w:tc>
          <w:tcPr>
            <w:tcW w:w="1234"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环境空气污染源</w:t>
            </w:r>
          </w:p>
        </w:tc>
        <w:tc>
          <w:tcPr>
            <w:tcW w:w="7316" w:type="dxa"/>
            <w:vAlign w:val="center"/>
          </w:tcPr>
          <w:p>
            <w:pPr>
              <w:keepNext w:val="0"/>
              <w:keepLines w:val="0"/>
              <w:suppressLineNumbers w:val="0"/>
              <w:spacing w:before="0" w:beforeAutospacing="0" w:after="0" w:afterAutospacing="0" w:line="240" w:lineRule="exact"/>
              <w:ind w:left="0" w:right="0"/>
              <w:rPr>
                <w:rFonts w:hint="eastAsia" w:hAnsi="Times New Roman" w:eastAsia="宋体"/>
                <w:kern w:val="2"/>
                <w:sz w:val="21"/>
                <w:szCs w:val="21"/>
                <w:lang w:eastAsia="zh-CN"/>
              </w:rPr>
            </w:pPr>
            <w:r>
              <w:rPr>
                <w:rFonts w:hint="eastAsia" w:hAnsi="Times New Roman" w:eastAsia="宋体"/>
                <w:kern w:val="2"/>
                <w:sz w:val="21"/>
                <w:szCs w:val="21"/>
                <w:lang w:eastAsia="zh-CN"/>
              </w:rPr>
              <w:t>监测布点：工业广场上风向布置一个监测点，下风向布置 2～3个监测点。</w:t>
            </w:r>
          </w:p>
          <w:p>
            <w:pPr>
              <w:keepNext w:val="0"/>
              <w:keepLines w:val="0"/>
              <w:suppressLineNumbers w:val="0"/>
              <w:spacing w:before="0" w:beforeAutospacing="0" w:after="0" w:afterAutospacing="0" w:line="240" w:lineRule="exact"/>
              <w:ind w:left="0" w:right="0"/>
              <w:rPr>
                <w:rFonts w:hint="eastAsia" w:hAnsi="Times New Roman" w:eastAsia="宋体"/>
                <w:kern w:val="2"/>
                <w:sz w:val="21"/>
                <w:szCs w:val="21"/>
                <w:lang w:eastAsia="zh-CN"/>
              </w:rPr>
            </w:pPr>
            <w:r>
              <w:rPr>
                <w:rFonts w:hint="eastAsia" w:hAnsi="Times New Roman" w:eastAsia="宋体"/>
                <w:kern w:val="2"/>
                <w:sz w:val="21"/>
                <w:szCs w:val="21"/>
                <w:lang w:eastAsia="zh-CN"/>
              </w:rPr>
              <w:t>监测项目：颗粒物。</w:t>
            </w:r>
          </w:p>
          <w:p>
            <w:pPr>
              <w:keepNext w:val="0"/>
              <w:keepLines w:val="0"/>
              <w:suppressLineNumbers w:val="0"/>
              <w:spacing w:before="0" w:beforeAutospacing="0" w:after="0" w:afterAutospacing="0" w:line="240" w:lineRule="exact"/>
              <w:ind w:left="0" w:right="0"/>
              <w:rPr>
                <w:rFonts w:hint="eastAsia" w:hAnsi="Times New Roman" w:eastAsia="宋体"/>
                <w:kern w:val="2"/>
                <w:sz w:val="21"/>
                <w:szCs w:val="21"/>
                <w:lang w:eastAsia="zh-CN"/>
              </w:rPr>
            </w:pPr>
            <w:r>
              <w:rPr>
                <w:rFonts w:hint="eastAsia" w:hAnsi="Times New Roman" w:eastAsia="宋体"/>
                <w:kern w:val="2"/>
                <w:sz w:val="21"/>
                <w:szCs w:val="21"/>
                <w:lang w:eastAsia="zh-CN"/>
              </w:rPr>
              <w:t>监测频率：1次/季度。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30"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p>
        </w:tc>
        <w:tc>
          <w:tcPr>
            <w:tcW w:w="1234"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矿井水</w:t>
            </w:r>
          </w:p>
        </w:tc>
        <w:tc>
          <w:tcPr>
            <w:tcW w:w="7316" w:type="dxa"/>
            <w:vMerge w:val="restart"/>
            <w:vAlign w:val="center"/>
          </w:tcPr>
          <w:p>
            <w:pPr>
              <w:keepNext w:val="0"/>
              <w:keepLines w:val="0"/>
              <w:suppressLineNumbers w:val="0"/>
              <w:spacing w:before="0" w:beforeAutospacing="0" w:after="0" w:afterAutospacing="0" w:line="240" w:lineRule="exact"/>
              <w:ind w:left="0" w:right="0"/>
              <w:rPr>
                <w:rFonts w:hint="eastAsia" w:hAnsi="Times New Roman" w:eastAsia="宋体"/>
                <w:kern w:val="2"/>
                <w:sz w:val="21"/>
                <w:szCs w:val="21"/>
                <w:lang w:eastAsia="zh-CN"/>
              </w:rPr>
            </w:pPr>
            <w:r>
              <w:rPr>
                <w:rFonts w:hint="eastAsia" w:hAnsi="Times New Roman" w:eastAsia="宋体"/>
                <w:kern w:val="2"/>
                <w:sz w:val="21"/>
                <w:szCs w:val="21"/>
                <w:lang w:eastAsia="zh-CN"/>
              </w:rPr>
              <w:t>监测布点：矿井水处理站出口。</w:t>
            </w:r>
          </w:p>
          <w:p>
            <w:pPr>
              <w:keepNext w:val="0"/>
              <w:keepLines w:val="0"/>
              <w:suppressLineNumbers w:val="0"/>
              <w:spacing w:before="0" w:beforeAutospacing="0" w:after="0" w:afterAutospacing="0" w:line="240" w:lineRule="exact"/>
              <w:ind w:left="0" w:right="0"/>
              <w:rPr>
                <w:rFonts w:hint="eastAsia" w:hAnsi="Times New Roman" w:eastAsia="宋体"/>
                <w:kern w:val="2"/>
                <w:sz w:val="21"/>
                <w:szCs w:val="21"/>
                <w:lang w:eastAsia="zh-CN"/>
              </w:rPr>
            </w:pPr>
            <w:r>
              <w:rPr>
                <w:rFonts w:hint="eastAsia" w:hAnsi="Times New Roman" w:eastAsia="宋体"/>
                <w:kern w:val="2"/>
                <w:sz w:val="21"/>
                <w:szCs w:val="21"/>
                <w:lang w:eastAsia="zh-CN"/>
              </w:rPr>
              <w:t>监测项目：总汞、总镉、总铬、六价铬、总铅、总砷、总锌、氟化物、pH值、SS、化学需氧量、石油类、总铁。</w:t>
            </w:r>
          </w:p>
          <w:p>
            <w:pPr>
              <w:keepNext w:val="0"/>
              <w:keepLines w:val="0"/>
              <w:suppressLineNumbers w:val="0"/>
              <w:spacing w:before="0" w:beforeAutospacing="0" w:after="0" w:afterAutospacing="0" w:line="240" w:lineRule="exact"/>
              <w:ind w:left="0" w:right="0"/>
              <w:rPr>
                <w:rFonts w:hint="eastAsia" w:hAnsi="Times New Roman" w:eastAsia="宋体"/>
                <w:kern w:val="2"/>
                <w:sz w:val="21"/>
                <w:szCs w:val="21"/>
                <w:lang w:eastAsia="zh-CN"/>
              </w:rPr>
            </w:pPr>
            <w:r>
              <w:rPr>
                <w:rFonts w:hint="eastAsia" w:hAnsi="Times New Roman" w:eastAsia="宋体"/>
                <w:kern w:val="2"/>
                <w:sz w:val="21"/>
                <w:szCs w:val="21"/>
                <w:lang w:eastAsia="zh-CN"/>
              </w:rPr>
              <w:t>监测频率：1次/季度；同时设置COD、NH</w:t>
            </w:r>
            <w:r>
              <w:rPr>
                <w:rFonts w:hint="eastAsia" w:hAnsi="Times New Roman" w:eastAsia="宋体"/>
                <w:kern w:val="2"/>
                <w:sz w:val="21"/>
                <w:szCs w:val="21"/>
                <w:vertAlign w:val="subscript"/>
                <w:lang w:eastAsia="zh-CN"/>
              </w:rPr>
              <w:t>3</w:t>
            </w:r>
            <w:r>
              <w:rPr>
                <w:rFonts w:hint="eastAsia" w:hAnsi="Times New Roman" w:eastAsia="宋体"/>
                <w:kern w:val="2"/>
                <w:sz w:val="21"/>
                <w:szCs w:val="21"/>
                <w:lang w:eastAsia="zh-CN"/>
              </w:rPr>
              <w:t>-N、总磷在线监测系统。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30"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p>
        </w:tc>
        <w:tc>
          <w:tcPr>
            <w:tcW w:w="1234"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 xml:space="preserve">生活污水 </w:t>
            </w:r>
          </w:p>
        </w:tc>
        <w:tc>
          <w:tcPr>
            <w:tcW w:w="7316" w:type="dxa"/>
            <w:vAlign w:val="center"/>
          </w:tcPr>
          <w:p>
            <w:pPr>
              <w:keepNext w:val="0"/>
              <w:keepLines w:val="0"/>
              <w:suppressLineNumbers w:val="0"/>
              <w:spacing w:before="0" w:beforeAutospacing="0" w:after="0" w:afterAutospacing="0" w:line="240" w:lineRule="exact"/>
              <w:ind w:left="0" w:right="0"/>
              <w:rPr>
                <w:rFonts w:hint="eastAsia" w:hAnsi="Times New Roman" w:eastAsia="宋体"/>
                <w:kern w:val="2"/>
                <w:sz w:val="21"/>
                <w:szCs w:val="21"/>
                <w:lang w:eastAsia="zh-CN"/>
              </w:rPr>
            </w:pPr>
            <w:r>
              <w:rPr>
                <w:rFonts w:hint="eastAsia" w:hAnsi="Times New Roman" w:eastAsia="宋体"/>
                <w:kern w:val="2"/>
                <w:sz w:val="21"/>
                <w:szCs w:val="21"/>
                <w:lang w:eastAsia="zh-CN"/>
              </w:rPr>
              <w:t>监测布点：生活污水排放口。</w:t>
            </w:r>
          </w:p>
          <w:p>
            <w:pPr>
              <w:keepNext w:val="0"/>
              <w:keepLines w:val="0"/>
              <w:suppressLineNumbers w:val="0"/>
              <w:spacing w:before="0" w:beforeAutospacing="0" w:after="0" w:afterAutospacing="0" w:line="240" w:lineRule="exact"/>
              <w:ind w:left="0" w:right="0"/>
              <w:rPr>
                <w:rFonts w:hint="eastAsia" w:hAnsi="Times New Roman" w:eastAsia="宋体"/>
                <w:kern w:val="2"/>
                <w:sz w:val="21"/>
                <w:szCs w:val="21"/>
                <w:lang w:eastAsia="zh-CN"/>
              </w:rPr>
            </w:pPr>
            <w:r>
              <w:rPr>
                <w:rFonts w:hint="eastAsia" w:hAnsi="Times New Roman" w:eastAsia="宋体"/>
                <w:kern w:val="2"/>
                <w:sz w:val="21"/>
                <w:szCs w:val="21"/>
                <w:lang w:eastAsia="zh-CN"/>
              </w:rPr>
              <w:t>监测项目：pH、SS、COD</w:t>
            </w:r>
            <w:r>
              <w:rPr>
                <w:rFonts w:hint="eastAsia" w:hAnsi="Times New Roman" w:eastAsia="宋体"/>
                <w:kern w:val="2"/>
                <w:sz w:val="21"/>
                <w:szCs w:val="21"/>
                <w:vertAlign w:val="subscript"/>
                <w:lang w:eastAsia="zh-CN"/>
              </w:rPr>
              <w:t>Cr</w:t>
            </w:r>
            <w:r>
              <w:rPr>
                <w:rFonts w:hint="eastAsia" w:hAnsi="Times New Roman" w:eastAsia="宋体"/>
                <w:kern w:val="2"/>
                <w:sz w:val="21"/>
                <w:szCs w:val="21"/>
                <w:lang w:eastAsia="zh-CN"/>
              </w:rPr>
              <w:t>、BOD、氨氮、总磷、动植物油、阴离子表面活性剂、粪大肠菌群。</w:t>
            </w:r>
          </w:p>
          <w:p>
            <w:pPr>
              <w:keepNext w:val="0"/>
              <w:keepLines w:val="0"/>
              <w:suppressLineNumbers w:val="0"/>
              <w:spacing w:before="0" w:beforeAutospacing="0" w:after="0" w:afterAutospacing="0" w:line="240" w:lineRule="exact"/>
              <w:ind w:left="0" w:right="0"/>
              <w:rPr>
                <w:rFonts w:hint="eastAsia" w:hAnsi="Times New Roman" w:eastAsia="宋体"/>
                <w:kern w:val="2"/>
                <w:sz w:val="21"/>
                <w:szCs w:val="21"/>
                <w:lang w:eastAsia="zh-CN"/>
              </w:rPr>
            </w:pPr>
            <w:r>
              <w:rPr>
                <w:rFonts w:hint="eastAsia" w:hAnsi="Times New Roman" w:eastAsia="宋体"/>
                <w:kern w:val="2"/>
                <w:sz w:val="21"/>
                <w:szCs w:val="21"/>
                <w:lang w:eastAsia="zh-CN"/>
              </w:rPr>
              <w:t>监测频率：1次/季度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30"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p>
        </w:tc>
        <w:tc>
          <w:tcPr>
            <w:tcW w:w="1234"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噪声</w:t>
            </w:r>
          </w:p>
        </w:tc>
        <w:tc>
          <w:tcPr>
            <w:tcW w:w="7316" w:type="dxa"/>
            <w:vAlign w:val="center"/>
          </w:tcPr>
          <w:p>
            <w:pPr>
              <w:keepNext w:val="0"/>
              <w:keepLines w:val="0"/>
              <w:suppressLineNumbers w:val="0"/>
              <w:spacing w:before="0" w:beforeAutospacing="0" w:after="0" w:afterAutospacing="0" w:line="240" w:lineRule="exact"/>
              <w:ind w:left="0" w:right="0"/>
              <w:rPr>
                <w:rFonts w:hint="eastAsia" w:hAnsi="Times New Roman" w:eastAsia="宋体"/>
                <w:kern w:val="2"/>
                <w:sz w:val="21"/>
                <w:szCs w:val="21"/>
                <w:lang w:eastAsia="zh-CN"/>
              </w:rPr>
            </w:pPr>
            <w:r>
              <w:rPr>
                <w:rFonts w:hint="eastAsia" w:hAnsi="Times New Roman" w:eastAsia="宋体"/>
                <w:kern w:val="2"/>
                <w:sz w:val="21"/>
                <w:szCs w:val="21"/>
                <w:lang w:eastAsia="zh-CN"/>
              </w:rPr>
              <w:t>监测布点：工业广场厂界外1m。</w:t>
            </w:r>
          </w:p>
          <w:p>
            <w:pPr>
              <w:keepNext w:val="0"/>
              <w:keepLines w:val="0"/>
              <w:suppressLineNumbers w:val="0"/>
              <w:spacing w:before="0" w:beforeAutospacing="0" w:after="0" w:afterAutospacing="0" w:line="240" w:lineRule="exact"/>
              <w:ind w:left="0" w:right="0"/>
              <w:rPr>
                <w:rFonts w:hint="eastAsia" w:hAnsi="Times New Roman" w:eastAsia="宋体"/>
                <w:kern w:val="2"/>
                <w:sz w:val="21"/>
                <w:szCs w:val="21"/>
                <w:lang w:eastAsia="zh-CN"/>
              </w:rPr>
            </w:pPr>
            <w:r>
              <w:rPr>
                <w:rFonts w:hint="eastAsia" w:hAnsi="Times New Roman" w:eastAsia="宋体"/>
                <w:kern w:val="2"/>
                <w:sz w:val="21"/>
                <w:szCs w:val="21"/>
                <w:lang w:eastAsia="zh-CN"/>
              </w:rPr>
              <w:t>监测项目：Ln、Ld。 监测频率：1次/季。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30" w:type="dxa"/>
            <w:vMerge w:val="restart"/>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环境</w:t>
            </w:r>
          </w:p>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质量</w:t>
            </w:r>
          </w:p>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监测</w:t>
            </w:r>
          </w:p>
        </w:tc>
        <w:tc>
          <w:tcPr>
            <w:tcW w:w="1234"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地表水</w:t>
            </w:r>
          </w:p>
        </w:tc>
        <w:tc>
          <w:tcPr>
            <w:tcW w:w="7316" w:type="dxa"/>
            <w:vAlign w:val="center"/>
          </w:tcPr>
          <w:p>
            <w:pPr>
              <w:keepNext w:val="0"/>
              <w:keepLines w:val="0"/>
              <w:suppressLineNumbers w:val="0"/>
              <w:spacing w:before="0" w:beforeAutospacing="0" w:after="0" w:afterAutospacing="0" w:line="240" w:lineRule="exact"/>
              <w:ind w:left="0" w:right="0"/>
              <w:rPr>
                <w:rFonts w:hint="eastAsia" w:hAnsi="Times New Roman" w:eastAsia="宋体"/>
                <w:kern w:val="2"/>
                <w:sz w:val="21"/>
                <w:szCs w:val="21"/>
                <w:lang w:eastAsia="zh-CN"/>
              </w:rPr>
            </w:pPr>
            <w:r>
              <w:rPr>
                <w:rFonts w:hint="eastAsia" w:hAnsi="Times New Roman" w:eastAsia="宋体"/>
                <w:kern w:val="2"/>
                <w:sz w:val="21"/>
                <w:szCs w:val="21"/>
                <w:lang w:eastAsia="zh-CN"/>
              </w:rPr>
              <w:t>监测点：项目汇入新宁河下游约1000m处；</w:t>
            </w:r>
          </w:p>
          <w:p>
            <w:pPr>
              <w:keepNext w:val="0"/>
              <w:keepLines w:val="0"/>
              <w:suppressLineNumbers w:val="0"/>
              <w:spacing w:before="0" w:beforeAutospacing="0" w:after="0" w:afterAutospacing="0" w:line="240" w:lineRule="exact"/>
              <w:ind w:left="0" w:right="0"/>
              <w:rPr>
                <w:rFonts w:hint="eastAsia" w:hAnsi="Times New Roman" w:eastAsia="宋体"/>
                <w:kern w:val="2"/>
                <w:sz w:val="21"/>
                <w:szCs w:val="21"/>
                <w:lang w:eastAsia="zh-CN"/>
              </w:rPr>
            </w:pPr>
            <w:r>
              <w:rPr>
                <w:rFonts w:hint="eastAsia" w:hAnsi="Times New Roman" w:eastAsia="宋体"/>
                <w:kern w:val="2"/>
                <w:sz w:val="21"/>
                <w:szCs w:val="21"/>
                <w:lang w:eastAsia="zh-CN"/>
              </w:rPr>
              <w:t>监测项目：pH 值、总汞、总镉、总铬、六价铬、总铅、总砷、总锌、</w:t>
            </w:r>
          </w:p>
          <w:p>
            <w:pPr>
              <w:keepNext w:val="0"/>
              <w:keepLines w:val="0"/>
              <w:suppressLineNumbers w:val="0"/>
              <w:spacing w:before="0" w:beforeAutospacing="0" w:after="0" w:afterAutospacing="0" w:line="240" w:lineRule="exact"/>
              <w:ind w:left="0" w:right="0"/>
              <w:rPr>
                <w:rFonts w:hint="eastAsia" w:hAnsi="Times New Roman" w:eastAsia="宋体"/>
                <w:kern w:val="2"/>
                <w:sz w:val="21"/>
                <w:szCs w:val="21"/>
                <w:lang w:eastAsia="zh-CN"/>
              </w:rPr>
            </w:pPr>
            <w:r>
              <w:rPr>
                <w:rFonts w:hint="eastAsia" w:hAnsi="Times New Roman" w:eastAsia="宋体"/>
                <w:kern w:val="2"/>
                <w:sz w:val="21"/>
                <w:szCs w:val="21"/>
                <w:lang w:eastAsia="zh-CN"/>
              </w:rPr>
              <w:t>氟化物、SS、化学需氧量、石油类、总铁、总锰；</w:t>
            </w:r>
          </w:p>
          <w:p>
            <w:pPr>
              <w:keepNext w:val="0"/>
              <w:keepLines w:val="0"/>
              <w:suppressLineNumbers w:val="0"/>
              <w:spacing w:before="0" w:beforeAutospacing="0" w:after="0" w:afterAutospacing="0" w:line="240" w:lineRule="exact"/>
              <w:ind w:left="0" w:right="0"/>
              <w:rPr>
                <w:rFonts w:hint="eastAsia" w:hAnsi="Times New Roman" w:eastAsia="宋体"/>
                <w:kern w:val="2"/>
                <w:sz w:val="21"/>
                <w:szCs w:val="21"/>
                <w:lang w:eastAsia="zh-CN"/>
              </w:rPr>
            </w:pPr>
            <w:r>
              <w:rPr>
                <w:rFonts w:hint="eastAsia" w:hAnsi="Times New Roman" w:eastAsia="宋体"/>
                <w:kern w:val="2"/>
                <w:sz w:val="21"/>
                <w:szCs w:val="21"/>
                <w:lang w:eastAsia="zh-CN"/>
              </w:rPr>
              <w:t>监测频率：2次/年，丰、枯水期各1次。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30"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p>
        </w:tc>
        <w:tc>
          <w:tcPr>
            <w:tcW w:w="1234"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地下水</w:t>
            </w:r>
          </w:p>
        </w:tc>
        <w:tc>
          <w:tcPr>
            <w:tcW w:w="7316" w:type="dxa"/>
            <w:vMerge w:val="restart"/>
            <w:vAlign w:val="center"/>
          </w:tcPr>
          <w:p>
            <w:pPr>
              <w:keepNext w:val="0"/>
              <w:keepLines w:val="0"/>
              <w:suppressLineNumbers w:val="0"/>
              <w:spacing w:before="0" w:beforeAutospacing="0" w:after="0" w:afterAutospacing="0" w:line="240" w:lineRule="exact"/>
              <w:ind w:left="0" w:right="0"/>
              <w:rPr>
                <w:rFonts w:hint="eastAsia" w:hAnsi="Times New Roman" w:eastAsia="宋体"/>
                <w:kern w:val="2"/>
                <w:sz w:val="21"/>
                <w:szCs w:val="21"/>
                <w:lang w:eastAsia="zh-CN"/>
              </w:rPr>
            </w:pPr>
            <w:r>
              <w:rPr>
                <w:rFonts w:hint="eastAsia" w:hAnsi="Times New Roman" w:eastAsia="宋体"/>
                <w:kern w:val="2"/>
                <w:sz w:val="21"/>
                <w:szCs w:val="21"/>
                <w:lang w:eastAsia="zh-CN"/>
              </w:rPr>
              <w:t>监测点：3个，矿区东侧、矿区西侧、矿区范围内各设置一个地下水监测水井。</w:t>
            </w:r>
          </w:p>
          <w:p>
            <w:pPr>
              <w:keepNext w:val="0"/>
              <w:keepLines w:val="0"/>
              <w:suppressLineNumbers w:val="0"/>
              <w:spacing w:before="0" w:beforeAutospacing="0" w:after="0" w:afterAutospacing="0" w:line="240" w:lineRule="exact"/>
              <w:ind w:left="0" w:right="0"/>
              <w:rPr>
                <w:rFonts w:hint="eastAsia" w:hAnsi="Times New Roman" w:eastAsia="宋体"/>
                <w:kern w:val="2"/>
                <w:sz w:val="21"/>
                <w:szCs w:val="21"/>
                <w:lang w:eastAsia="zh-CN"/>
              </w:rPr>
            </w:pPr>
            <w:r>
              <w:rPr>
                <w:rFonts w:hint="eastAsia" w:hAnsi="Times New Roman" w:eastAsia="宋体"/>
                <w:kern w:val="2"/>
                <w:sz w:val="21"/>
                <w:szCs w:val="21"/>
                <w:lang w:eastAsia="zh-CN"/>
              </w:rPr>
              <w:t>监测项目：色度、臭和味、浑浊度、pH、硬度、溶解性总固体、氨氮、</w:t>
            </w:r>
          </w:p>
          <w:p>
            <w:pPr>
              <w:keepNext w:val="0"/>
              <w:keepLines w:val="0"/>
              <w:suppressLineNumbers w:val="0"/>
              <w:spacing w:before="0" w:beforeAutospacing="0" w:after="0" w:afterAutospacing="0" w:line="240" w:lineRule="exact"/>
              <w:ind w:left="0" w:right="0"/>
              <w:rPr>
                <w:rFonts w:hint="eastAsia" w:hAnsi="Times New Roman" w:eastAsia="宋体"/>
                <w:kern w:val="2"/>
                <w:sz w:val="21"/>
                <w:szCs w:val="21"/>
                <w:lang w:eastAsia="zh-CN"/>
              </w:rPr>
            </w:pPr>
            <w:r>
              <w:rPr>
                <w:rFonts w:hint="eastAsia" w:hAnsi="Times New Roman" w:eastAsia="宋体"/>
                <w:kern w:val="2"/>
                <w:sz w:val="21"/>
                <w:szCs w:val="21"/>
                <w:lang w:eastAsia="zh-CN"/>
              </w:rPr>
              <w:t>硫化物、硝酸盐、亚硝酸盐、硫酸盐、氯化物、挥发酚、阴离子表面活</w:t>
            </w:r>
          </w:p>
          <w:p>
            <w:pPr>
              <w:keepNext w:val="0"/>
              <w:keepLines w:val="0"/>
              <w:suppressLineNumbers w:val="0"/>
              <w:spacing w:before="0" w:beforeAutospacing="0" w:after="0" w:afterAutospacing="0" w:line="240" w:lineRule="exact"/>
              <w:ind w:left="0" w:right="0"/>
              <w:rPr>
                <w:rFonts w:hint="eastAsia" w:hAnsi="Times New Roman" w:eastAsia="宋体"/>
                <w:kern w:val="2"/>
                <w:sz w:val="21"/>
                <w:szCs w:val="21"/>
                <w:lang w:eastAsia="zh-CN"/>
              </w:rPr>
            </w:pPr>
            <w:r>
              <w:rPr>
                <w:rFonts w:hint="eastAsia" w:hAnsi="Times New Roman" w:eastAsia="宋体"/>
                <w:kern w:val="2"/>
                <w:sz w:val="21"/>
                <w:szCs w:val="21"/>
                <w:lang w:eastAsia="zh-CN"/>
              </w:rPr>
              <w:t>性剂、耗氧量、氰化物、砷、汞、六价铬、铅、氟化物、镉、铁、锰、铜、锌，共计29项。</w:t>
            </w:r>
          </w:p>
          <w:p>
            <w:pPr>
              <w:keepNext w:val="0"/>
              <w:keepLines w:val="0"/>
              <w:suppressLineNumbers w:val="0"/>
              <w:spacing w:before="0" w:beforeAutospacing="0" w:after="0" w:afterAutospacing="0" w:line="240" w:lineRule="exact"/>
              <w:ind w:left="0" w:right="0"/>
              <w:rPr>
                <w:rFonts w:hint="eastAsia" w:hAnsi="Times New Roman" w:eastAsia="宋体"/>
                <w:kern w:val="2"/>
                <w:sz w:val="21"/>
                <w:szCs w:val="21"/>
                <w:lang w:eastAsia="zh-CN"/>
              </w:rPr>
            </w:pPr>
            <w:r>
              <w:rPr>
                <w:rFonts w:hint="eastAsia" w:hAnsi="Times New Roman" w:eastAsia="宋体"/>
                <w:kern w:val="2"/>
                <w:sz w:val="21"/>
                <w:szCs w:val="21"/>
                <w:lang w:eastAsia="zh-CN"/>
              </w:rPr>
              <w:t>监测频率：1次/年。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30"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p>
        </w:tc>
        <w:tc>
          <w:tcPr>
            <w:tcW w:w="1234"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声环境质量</w:t>
            </w:r>
          </w:p>
        </w:tc>
        <w:tc>
          <w:tcPr>
            <w:tcW w:w="7316" w:type="dxa"/>
            <w:vAlign w:val="center"/>
          </w:tcPr>
          <w:p>
            <w:pPr>
              <w:keepNext w:val="0"/>
              <w:keepLines w:val="0"/>
              <w:suppressLineNumbers w:val="0"/>
              <w:spacing w:before="0" w:beforeAutospacing="0" w:after="0" w:afterAutospacing="0" w:line="240" w:lineRule="exact"/>
              <w:ind w:left="0" w:right="0"/>
              <w:rPr>
                <w:rFonts w:hint="eastAsia" w:hAnsi="Times New Roman" w:eastAsia="宋体"/>
                <w:kern w:val="2"/>
                <w:sz w:val="21"/>
                <w:szCs w:val="21"/>
                <w:lang w:eastAsia="zh-CN"/>
              </w:rPr>
            </w:pPr>
            <w:r>
              <w:rPr>
                <w:rFonts w:hint="eastAsia" w:hAnsi="Times New Roman" w:eastAsia="宋体"/>
                <w:kern w:val="2"/>
                <w:sz w:val="21"/>
                <w:szCs w:val="21"/>
                <w:lang w:eastAsia="zh-CN"/>
              </w:rPr>
              <w:t>监测布点：工业广场厂界四周最近居民点。</w:t>
            </w:r>
          </w:p>
          <w:p>
            <w:pPr>
              <w:keepNext w:val="0"/>
              <w:keepLines w:val="0"/>
              <w:suppressLineNumbers w:val="0"/>
              <w:spacing w:before="0" w:beforeAutospacing="0" w:after="0" w:afterAutospacing="0" w:line="240" w:lineRule="exact"/>
              <w:ind w:left="0" w:right="0"/>
              <w:rPr>
                <w:rFonts w:hint="eastAsia" w:hAnsi="Times New Roman" w:eastAsia="宋体"/>
                <w:kern w:val="2"/>
                <w:sz w:val="21"/>
                <w:szCs w:val="21"/>
                <w:lang w:eastAsia="zh-CN"/>
              </w:rPr>
            </w:pPr>
            <w:r>
              <w:rPr>
                <w:rFonts w:hint="eastAsia" w:hAnsi="Times New Roman" w:eastAsia="宋体"/>
                <w:kern w:val="2"/>
                <w:sz w:val="21"/>
                <w:szCs w:val="21"/>
                <w:lang w:eastAsia="zh-CN"/>
              </w:rPr>
              <w:t xml:space="preserve">监测项目：Ln、Ld。 </w:t>
            </w:r>
          </w:p>
          <w:p>
            <w:pPr>
              <w:keepNext w:val="0"/>
              <w:keepLines w:val="0"/>
              <w:suppressLineNumbers w:val="0"/>
              <w:spacing w:before="0" w:beforeAutospacing="0" w:after="0" w:afterAutospacing="0" w:line="240" w:lineRule="exact"/>
              <w:ind w:left="0" w:right="0"/>
              <w:rPr>
                <w:rFonts w:hint="eastAsia" w:hAnsi="Times New Roman" w:eastAsia="宋体"/>
                <w:kern w:val="2"/>
                <w:sz w:val="21"/>
                <w:szCs w:val="21"/>
                <w:lang w:eastAsia="zh-CN"/>
              </w:rPr>
            </w:pPr>
            <w:r>
              <w:rPr>
                <w:rFonts w:hint="eastAsia" w:hAnsi="Times New Roman" w:eastAsia="宋体"/>
                <w:kern w:val="2"/>
                <w:sz w:val="21"/>
                <w:szCs w:val="21"/>
                <w:lang w:eastAsia="zh-CN"/>
              </w:rPr>
              <w:t>监测频率：1次/季。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30" w:type="dxa"/>
            <w:vMerge w:val="continue"/>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p>
        </w:tc>
        <w:tc>
          <w:tcPr>
            <w:tcW w:w="1234"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土壤环境</w:t>
            </w:r>
          </w:p>
        </w:tc>
        <w:tc>
          <w:tcPr>
            <w:tcW w:w="7316" w:type="dxa"/>
            <w:vAlign w:val="center"/>
          </w:tcPr>
          <w:p>
            <w:pPr>
              <w:keepNext w:val="0"/>
              <w:keepLines w:val="0"/>
              <w:suppressLineNumbers w:val="0"/>
              <w:spacing w:before="0" w:beforeAutospacing="0" w:after="0" w:afterAutospacing="0" w:line="240" w:lineRule="exact"/>
              <w:ind w:left="0" w:right="0"/>
              <w:rPr>
                <w:rFonts w:hint="eastAsia" w:hAnsi="Times New Roman" w:eastAsia="宋体"/>
                <w:kern w:val="2"/>
                <w:sz w:val="21"/>
                <w:szCs w:val="21"/>
                <w:lang w:eastAsia="zh-CN"/>
              </w:rPr>
            </w:pPr>
            <w:r>
              <w:rPr>
                <w:rFonts w:hint="eastAsia" w:hAnsi="Times New Roman" w:eastAsia="宋体"/>
                <w:kern w:val="2"/>
                <w:sz w:val="21"/>
                <w:szCs w:val="21"/>
                <w:lang w:eastAsia="zh-CN"/>
              </w:rPr>
              <w:t>监测布点：工业广场储煤场和矸石临时堆场附近土壤。</w:t>
            </w:r>
          </w:p>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监测项目：pH、镉、汞、砷、铅、铬、铜、镍、锌。</w:t>
            </w:r>
          </w:p>
          <w:p>
            <w:pPr>
              <w:keepNext w:val="0"/>
              <w:keepLines w:val="0"/>
              <w:suppressLineNumbers w:val="0"/>
              <w:spacing w:before="0" w:beforeAutospacing="0" w:after="0" w:afterAutospacing="0" w:line="240" w:lineRule="exact"/>
              <w:ind w:left="0" w:right="0"/>
              <w:rPr>
                <w:rFonts w:hint="eastAsia" w:hAnsi="Times New Roman" w:eastAsia="宋体"/>
                <w:kern w:val="2"/>
                <w:sz w:val="21"/>
                <w:szCs w:val="21"/>
                <w:lang w:eastAsia="zh-CN"/>
              </w:rPr>
            </w:pPr>
            <w:r>
              <w:rPr>
                <w:rFonts w:hint="eastAsia" w:hAnsi="Times New Roman" w:eastAsia="宋体"/>
                <w:kern w:val="2"/>
                <w:sz w:val="21"/>
                <w:szCs w:val="21"/>
                <w:lang w:eastAsia="zh-CN"/>
              </w:rPr>
              <w:t>监测频率：每5年内开展1次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964" w:type="dxa"/>
            <w:gridSpan w:val="2"/>
            <w:vAlign w:val="center"/>
          </w:tcPr>
          <w:p>
            <w:pPr>
              <w:pStyle w:val="76"/>
              <w:keepNext w:val="0"/>
              <w:keepLines w:val="0"/>
              <w:suppressLineNumbers w:val="0"/>
              <w:spacing w:before="33" w:beforeAutospacing="0" w:after="33" w:afterAutospacing="0" w:line="240" w:lineRule="exact"/>
              <w:ind w:left="0" w:right="0"/>
              <w:rPr>
                <w:rFonts w:hint="eastAsia" w:hAnsi="Times New Roman" w:eastAsia="宋体"/>
                <w:kern w:val="2"/>
                <w:lang w:eastAsia="zh-CN"/>
              </w:rPr>
            </w:pPr>
            <w:r>
              <w:rPr>
                <w:rFonts w:hint="eastAsia" w:hAnsi="Times New Roman" w:eastAsia="宋体"/>
                <w:kern w:val="2"/>
              </w:rPr>
              <w:t>地表沉陷环境监测</w:t>
            </w:r>
          </w:p>
        </w:tc>
        <w:tc>
          <w:tcPr>
            <w:tcW w:w="7316" w:type="dxa"/>
            <w:vAlign w:val="center"/>
          </w:tcPr>
          <w:p>
            <w:pPr>
              <w:keepNext w:val="0"/>
              <w:keepLines w:val="0"/>
              <w:suppressLineNumbers w:val="0"/>
              <w:autoSpaceDE w:val="0"/>
              <w:autoSpaceDN w:val="0"/>
              <w:adjustRightInd w:val="0"/>
              <w:spacing w:before="0" w:beforeAutospacing="0" w:after="0" w:afterAutospacing="0" w:line="240" w:lineRule="exact"/>
              <w:ind w:left="0" w:right="0"/>
              <w:jc w:val="left"/>
              <w:rPr>
                <w:rFonts w:hint="eastAsia" w:hAnsi="Times New Roman" w:eastAsia="宋体"/>
                <w:kern w:val="2"/>
                <w:sz w:val="21"/>
                <w:szCs w:val="21"/>
              </w:rPr>
            </w:pPr>
            <w:r>
              <w:rPr>
                <w:rFonts w:hint="eastAsia" w:hAnsi="Times New Roman" w:eastAsia="宋体"/>
                <w:kern w:val="2"/>
                <w:sz w:val="21"/>
                <w:szCs w:val="21"/>
              </w:rPr>
              <w:t>监测布点：工作面上方设置走向和倾向观测线，走向线和倾向线上设置岩移观测桩。</w:t>
            </w:r>
          </w:p>
          <w:p>
            <w:pPr>
              <w:keepNext w:val="0"/>
              <w:keepLines w:val="0"/>
              <w:suppressLineNumbers w:val="0"/>
              <w:autoSpaceDE w:val="0"/>
              <w:autoSpaceDN w:val="0"/>
              <w:adjustRightInd w:val="0"/>
              <w:spacing w:before="0" w:beforeAutospacing="0" w:after="0" w:afterAutospacing="0" w:line="240" w:lineRule="exact"/>
              <w:ind w:left="0" w:right="0"/>
              <w:jc w:val="left"/>
              <w:rPr>
                <w:rFonts w:hint="eastAsia" w:hAnsi="Times New Roman" w:eastAsia="宋体"/>
                <w:kern w:val="2"/>
                <w:sz w:val="21"/>
                <w:szCs w:val="21"/>
              </w:rPr>
            </w:pPr>
            <w:r>
              <w:rPr>
                <w:rFonts w:hint="eastAsia" w:hAnsi="Times New Roman" w:eastAsia="宋体"/>
                <w:kern w:val="2"/>
                <w:sz w:val="21"/>
                <w:szCs w:val="21"/>
              </w:rPr>
              <w:t>监测项目：通过设置岩移观测站对地表移动、下沉情况进行观测。</w:t>
            </w:r>
          </w:p>
          <w:p>
            <w:pPr>
              <w:pStyle w:val="76"/>
              <w:keepNext w:val="0"/>
              <w:keepLines w:val="0"/>
              <w:suppressLineNumbers w:val="0"/>
              <w:spacing w:before="33" w:beforeAutospacing="0" w:after="33" w:afterAutospacing="0" w:line="240" w:lineRule="exact"/>
              <w:ind w:left="0" w:right="0"/>
              <w:jc w:val="left"/>
              <w:rPr>
                <w:rFonts w:hint="eastAsia" w:hAnsi="Times New Roman" w:eastAsia="宋体"/>
                <w:kern w:val="2"/>
                <w:lang w:eastAsia="zh-CN"/>
              </w:rPr>
            </w:pPr>
            <w:r>
              <w:rPr>
                <w:rFonts w:hint="eastAsia" w:hAnsi="Times New Roman" w:eastAsia="宋体"/>
                <w:kern w:val="2"/>
              </w:rPr>
              <w:t>监测频率：长期连续观测地表沉陷情况，同时派专人不定期巡逻，发现地表沉陷、塌陷及时报告，采取有效措施治理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964" w:type="dxa"/>
            <w:gridSpan w:val="2"/>
            <w:vAlign w:val="center"/>
          </w:tcPr>
          <w:p>
            <w:pPr>
              <w:pStyle w:val="76"/>
              <w:keepNext w:val="0"/>
              <w:keepLines w:val="0"/>
              <w:suppressLineNumbers w:val="0"/>
              <w:spacing w:before="33" w:beforeAutospacing="0" w:after="33" w:afterAutospacing="0" w:line="240" w:lineRule="exact"/>
              <w:ind w:left="0" w:right="0"/>
              <w:rPr>
                <w:rFonts w:hint="eastAsia" w:hAnsi="Times New Roman" w:eastAsia="宋体"/>
                <w:kern w:val="2"/>
                <w:lang w:eastAsia="zh-CN"/>
              </w:rPr>
            </w:pPr>
            <w:r>
              <w:rPr>
                <w:rFonts w:hint="eastAsia" w:hAnsi="Times New Roman" w:eastAsia="宋体"/>
                <w:kern w:val="2"/>
              </w:rPr>
              <w:t>环保措施</w:t>
            </w:r>
          </w:p>
        </w:tc>
        <w:tc>
          <w:tcPr>
            <w:tcW w:w="7316" w:type="dxa"/>
            <w:vAlign w:val="center"/>
          </w:tcPr>
          <w:p>
            <w:pPr>
              <w:keepNext w:val="0"/>
              <w:keepLines w:val="0"/>
              <w:suppressLineNumbers w:val="0"/>
              <w:autoSpaceDE w:val="0"/>
              <w:autoSpaceDN w:val="0"/>
              <w:adjustRightInd w:val="0"/>
              <w:spacing w:before="0" w:beforeAutospacing="0" w:after="0" w:afterAutospacing="0" w:line="240" w:lineRule="exact"/>
              <w:ind w:left="0" w:right="0"/>
              <w:jc w:val="left"/>
              <w:rPr>
                <w:rFonts w:hint="eastAsia" w:hAnsi="Times New Roman" w:eastAsia="宋体"/>
                <w:kern w:val="2"/>
                <w:sz w:val="21"/>
                <w:szCs w:val="21"/>
              </w:rPr>
            </w:pPr>
            <w:r>
              <w:rPr>
                <w:rFonts w:hint="eastAsia" w:hAnsi="Times New Roman" w:eastAsia="宋体"/>
                <w:kern w:val="2"/>
                <w:sz w:val="21"/>
                <w:szCs w:val="21"/>
              </w:rPr>
              <w:t>检查项目：环保措施落实及运行情况；表层熟土的保护情况；绿化系数。</w:t>
            </w:r>
          </w:p>
          <w:p>
            <w:pPr>
              <w:pStyle w:val="76"/>
              <w:keepNext w:val="0"/>
              <w:keepLines w:val="0"/>
              <w:suppressLineNumbers w:val="0"/>
              <w:spacing w:before="33" w:beforeAutospacing="0" w:after="33" w:afterAutospacing="0" w:line="240" w:lineRule="exact"/>
              <w:ind w:left="0" w:right="0"/>
              <w:jc w:val="left"/>
              <w:rPr>
                <w:rFonts w:hint="eastAsia" w:hAnsi="Times New Roman" w:eastAsia="宋体"/>
                <w:kern w:val="2"/>
                <w:lang w:eastAsia="zh-CN"/>
              </w:rPr>
            </w:pPr>
            <w:r>
              <w:rPr>
                <w:rFonts w:hint="eastAsia" w:hAnsi="Times New Roman" w:eastAsia="宋体"/>
                <w:kern w:val="2"/>
              </w:rPr>
              <w:t>检查频率：不定期</w:t>
            </w:r>
          </w:p>
        </w:tc>
      </w:tr>
    </w:tbl>
    <w:p>
      <w:pPr>
        <w:pStyle w:val="5"/>
        <w:rPr>
          <w:rFonts w:ascii="Times New Roman" w:hAnsi="Times New Roman"/>
          <w:lang w:eastAsia="zh-CN"/>
        </w:rPr>
      </w:pPr>
      <w:bookmarkStart w:id="702" w:name="_Toc167095337"/>
      <w:bookmarkStart w:id="703" w:name="_Toc163749224"/>
      <w:r>
        <w:rPr>
          <w:rFonts w:ascii="Times New Roman" w:hAnsi="Times New Roman"/>
          <w:lang w:eastAsia="zh-CN"/>
        </w:rPr>
        <w:t>13.4排污口规范化管理</w:t>
      </w:r>
      <w:bookmarkEnd w:id="702"/>
      <w:bookmarkEnd w:id="703"/>
    </w:p>
    <w:p>
      <w:pPr>
        <w:spacing w:line="360" w:lineRule="auto"/>
        <w:ind w:firstLine="480" w:firstLineChars="200"/>
        <w:rPr>
          <w:rFonts w:hAnsi="Times New Roman" w:eastAsia="宋体"/>
          <w:lang w:eastAsia="zh-CN"/>
        </w:rPr>
      </w:pPr>
      <w:r>
        <w:rPr>
          <w:rFonts w:hAnsi="Times New Roman" w:eastAsia="宋体"/>
          <w:lang w:eastAsia="zh-CN"/>
        </w:rPr>
        <w:t>排污口是企业污染物进入环境的通道，强化排污口的管理是实施污染物总量控制的基础工作之一，也是区域环境管理逐步实现污染物排放科学化、定量化的重要手段。</w:t>
      </w:r>
    </w:p>
    <w:p>
      <w:pPr>
        <w:pStyle w:val="6"/>
        <w:rPr>
          <w:lang w:eastAsia="zh-CN"/>
        </w:rPr>
      </w:pPr>
      <w:bookmarkStart w:id="704" w:name="_Toc163812715"/>
      <w:bookmarkStart w:id="705" w:name="_Toc167095338"/>
      <w:r>
        <w:rPr>
          <w:lang w:eastAsia="zh-CN"/>
        </w:rPr>
        <w:t>13.4.1排污口规范化管理的基本原则</w:t>
      </w:r>
      <w:bookmarkEnd w:id="704"/>
      <w:bookmarkEnd w:id="705"/>
    </w:p>
    <w:p>
      <w:pPr>
        <w:spacing w:line="360" w:lineRule="auto"/>
        <w:ind w:firstLine="480" w:firstLineChars="200"/>
        <w:rPr>
          <w:rFonts w:hAnsi="Times New Roman" w:eastAsia="宋体"/>
          <w:lang w:eastAsia="zh-CN"/>
        </w:rPr>
      </w:pPr>
      <w:r>
        <w:rPr>
          <w:rFonts w:hAnsi="Times New Roman" w:eastAsia="宋体"/>
          <w:lang w:eastAsia="zh-CN"/>
        </w:rPr>
        <w:t>（1）向环境排放污染物的排污口必须规范化；</w:t>
      </w:r>
    </w:p>
    <w:p>
      <w:pPr>
        <w:spacing w:line="360" w:lineRule="auto"/>
        <w:ind w:firstLine="480" w:firstLineChars="200"/>
        <w:rPr>
          <w:rFonts w:hAnsi="Times New Roman" w:eastAsia="宋体"/>
          <w:lang w:eastAsia="zh-CN"/>
        </w:rPr>
      </w:pPr>
      <w:r>
        <w:rPr>
          <w:rFonts w:hAnsi="Times New Roman" w:eastAsia="宋体"/>
          <w:lang w:eastAsia="zh-CN"/>
        </w:rPr>
        <w:t>（2）根据工程的特点和国家列入的总量控制指标，排放COD、NH</w:t>
      </w:r>
      <w:r>
        <w:rPr>
          <w:rFonts w:hAnsi="Times New Roman" w:eastAsia="宋体"/>
          <w:vertAlign w:val="subscript"/>
          <w:lang w:eastAsia="zh-CN"/>
        </w:rPr>
        <w:t>3</w:t>
      </w:r>
      <w:r>
        <w:rPr>
          <w:rFonts w:hAnsi="Times New Roman" w:eastAsia="宋体"/>
          <w:lang w:eastAsia="zh-CN"/>
        </w:rPr>
        <w:t>-N的废水排放口和生产区和辅助生产区产尘点作为管理的重点；</w:t>
      </w:r>
    </w:p>
    <w:p>
      <w:pPr>
        <w:spacing w:line="360" w:lineRule="auto"/>
        <w:ind w:firstLine="480" w:firstLineChars="200"/>
        <w:rPr>
          <w:rFonts w:hAnsi="Times New Roman" w:eastAsia="宋体"/>
          <w:lang w:eastAsia="zh-CN"/>
        </w:rPr>
      </w:pPr>
      <w:r>
        <w:rPr>
          <w:rFonts w:hAnsi="Times New Roman" w:eastAsia="宋体"/>
          <w:lang w:eastAsia="zh-CN"/>
        </w:rPr>
        <w:t>（3）排污口应便于采样与计量监测，便于日常现场监督检查。</w:t>
      </w:r>
    </w:p>
    <w:p>
      <w:pPr>
        <w:pStyle w:val="6"/>
        <w:rPr>
          <w:lang w:eastAsia="zh-CN"/>
        </w:rPr>
      </w:pPr>
      <w:bookmarkStart w:id="706" w:name="_Toc163812716"/>
      <w:bookmarkStart w:id="707" w:name="_Toc167095339"/>
      <w:r>
        <w:rPr>
          <w:lang w:eastAsia="zh-CN"/>
        </w:rPr>
        <w:t>13.4.2排污口的技术要求</w:t>
      </w:r>
      <w:bookmarkEnd w:id="706"/>
      <w:bookmarkEnd w:id="707"/>
    </w:p>
    <w:p>
      <w:pPr>
        <w:spacing w:line="360" w:lineRule="auto"/>
        <w:ind w:firstLine="480" w:firstLineChars="200"/>
        <w:rPr>
          <w:rFonts w:hAnsi="Times New Roman" w:eastAsia="宋体"/>
          <w:lang w:eastAsia="zh-CN"/>
        </w:rPr>
      </w:pPr>
      <w:r>
        <w:rPr>
          <w:rFonts w:hAnsi="Times New Roman" w:eastAsia="宋体"/>
          <w:lang w:eastAsia="zh-CN"/>
        </w:rPr>
        <w:t>（1）排污口的位置必须合理确定，按环监（1996）470号文件要求进行规范化管理；</w:t>
      </w:r>
    </w:p>
    <w:p>
      <w:pPr>
        <w:spacing w:line="360" w:lineRule="auto"/>
        <w:ind w:firstLine="480" w:firstLineChars="200"/>
        <w:rPr>
          <w:rFonts w:hAnsi="Times New Roman" w:eastAsia="宋体"/>
          <w:lang w:eastAsia="zh-CN"/>
        </w:rPr>
      </w:pPr>
      <w:r>
        <w:rPr>
          <w:rFonts w:hAnsi="Times New Roman" w:eastAsia="宋体"/>
          <w:lang w:eastAsia="zh-CN"/>
        </w:rPr>
        <w:t>（2）排放的采样点设置应按《污染源监测技术规范》要求，设置在企业污染物总排口、处理设施的进、出、口等处。由于本项目矿井水处理后部分外排，因此设企业总排污口，并在各污水处理设施的进水和出水口设置采样点。</w:t>
      </w:r>
    </w:p>
    <w:p>
      <w:pPr>
        <w:spacing w:line="360" w:lineRule="auto"/>
        <w:ind w:firstLine="480" w:firstLineChars="200"/>
        <w:rPr>
          <w:rFonts w:hAnsi="Times New Roman" w:eastAsia="宋体"/>
          <w:lang w:eastAsia="zh-CN"/>
        </w:rPr>
      </w:pPr>
      <w:r>
        <w:rPr>
          <w:rFonts w:hAnsi="Times New Roman" w:eastAsia="宋体"/>
          <w:lang w:eastAsia="zh-CN"/>
        </w:rPr>
        <w:t>（3）设置规范的、便于测流量、流速的测流段。</w:t>
      </w:r>
    </w:p>
    <w:p>
      <w:pPr>
        <w:pStyle w:val="6"/>
        <w:rPr>
          <w:lang w:eastAsia="zh-CN"/>
        </w:rPr>
      </w:pPr>
      <w:bookmarkStart w:id="708" w:name="_Toc167095340"/>
      <w:bookmarkStart w:id="709" w:name="_Toc163812717"/>
      <w:r>
        <w:rPr>
          <w:lang w:eastAsia="zh-CN"/>
        </w:rPr>
        <w:t>13.4.3 排污口立标管理</w:t>
      </w:r>
      <w:bookmarkEnd w:id="708"/>
      <w:bookmarkEnd w:id="709"/>
    </w:p>
    <w:p>
      <w:pPr>
        <w:spacing w:line="360" w:lineRule="auto"/>
        <w:ind w:firstLine="480" w:firstLineChars="200"/>
        <w:rPr>
          <w:rFonts w:hAnsi="Times New Roman" w:eastAsia="宋体"/>
          <w:lang w:eastAsia="zh-CN"/>
        </w:rPr>
      </w:pPr>
      <w:r>
        <w:rPr>
          <w:rFonts w:hAnsi="Times New Roman" w:eastAsia="宋体"/>
          <w:lang w:eastAsia="zh-CN"/>
        </w:rPr>
        <w:t>（1）上述各污染物排放口，应按国家《环境保护图形标志》（15562.1与GB15562.2）的规定，设国家环保总局统一制作的环境保护图形标志牌；排放口图形标志牌见下表。</w:t>
      </w:r>
    </w:p>
    <w:p>
      <w:pPr>
        <w:pStyle w:val="14"/>
        <w:kinsoku w:val="0"/>
        <w:overflowPunct w:val="0"/>
        <w:spacing w:line="360" w:lineRule="auto"/>
        <w:jc w:val="center"/>
        <w:rPr>
          <w:rFonts w:ascii="Times New Roman" w:hAnsi="Times New Roman"/>
          <w:b/>
          <w:kern w:val="0"/>
          <w:sz w:val="21"/>
          <w:szCs w:val="21"/>
          <w:lang w:eastAsia="zh-CN"/>
        </w:rPr>
      </w:pPr>
    </w:p>
    <w:p>
      <w:pPr>
        <w:pStyle w:val="14"/>
        <w:kinsoku w:val="0"/>
        <w:overflowPunct w:val="0"/>
        <w:spacing w:line="360" w:lineRule="auto"/>
        <w:jc w:val="center"/>
        <w:rPr>
          <w:rFonts w:ascii="Times New Roman" w:hAnsi="Times New Roman"/>
          <w:b/>
          <w:kern w:val="0"/>
          <w:sz w:val="21"/>
          <w:szCs w:val="21"/>
          <w:lang w:eastAsia="zh-CN"/>
        </w:rPr>
      </w:pPr>
    </w:p>
    <w:p>
      <w:pPr>
        <w:pStyle w:val="14"/>
        <w:kinsoku w:val="0"/>
        <w:overflowPunct w:val="0"/>
        <w:spacing w:line="360" w:lineRule="auto"/>
        <w:jc w:val="center"/>
        <w:rPr>
          <w:rFonts w:ascii="Times New Roman" w:hAnsi="Times New Roman"/>
          <w:b/>
          <w:kern w:val="0"/>
          <w:sz w:val="21"/>
          <w:szCs w:val="21"/>
          <w:lang w:eastAsia="zh-CN"/>
        </w:rPr>
      </w:pPr>
    </w:p>
    <w:p>
      <w:pPr>
        <w:pStyle w:val="14"/>
        <w:kinsoku w:val="0"/>
        <w:overflowPunct w:val="0"/>
        <w:spacing w:line="360" w:lineRule="auto"/>
        <w:jc w:val="center"/>
        <w:rPr>
          <w:rFonts w:ascii="Times New Roman" w:hAnsi="Times New Roman"/>
          <w:b/>
          <w:kern w:val="0"/>
          <w:sz w:val="21"/>
          <w:szCs w:val="21"/>
          <w:lang w:eastAsia="zh-CN"/>
        </w:rPr>
      </w:pPr>
    </w:p>
    <w:p>
      <w:pPr>
        <w:pStyle w:val="14"/>
        <w:kinsoku w:val="0"/>
        <w:overflowPunct w:val="0"/>
        <w:spacing w:line="360" w:lineRule="auto"/>
        <w:jc w:val="center"/>
        <w:rPr>
          <w:rFonts w:ascii="Times New Roman" w:hAnsi="Times New Roman"/>
          <w:b/>
          <w:kern w:val="0"/>
          <w:sz w:val="21"/>
          <w:szCs w:val="21"/>
          <w:lang w:eastAsia="zh-CN"/>
        </w:rPr>
      </w:pPr>
    </w:p>
    <w:p>
      <w:pPr>
        <w:pStyle w:val="14"/>
        <w:kinsoku w:val="0"/>
        <w:overflowPunct w:val="0"/>
        <w:spacing w:line="360" w:lineRule="auto"/>
        <w:jc w:val="center"/>
        <w:rPr>
          <w:rFonts w:ascii="Times New Roman" w:hAnsi="Times New Roman"/>
          <w:b/>
          <w:kern w:val="0"/>
          <w:sz w:val="21"/>
          <w:szCs w:val="21"/>
          <w:lang w:eastAsia="zh-CN"/>
        </w:rPr>
      </w:pPr>
    </w:p>
    <w:p>
      <w:pPr>
        <w:pStyle w:val="14"/>
        <w:kinsoku w:val="0"/>
        <w:overflowPunct w:val="0"/>
        <w:spacing w:line="360" w:lineRule="auto"/>
        <w:jc w:val="center"/>
        <w:rPr>
          <w:rFonts w:ascii="Times New Roman" w:hAnsi="Times New Roman"/>
          <w:b/>
          <w:kern w:val="0"/>
          <w:sz w:val="21"/>
          <w:szCs w:val="21"/>
          <w:lang w:eastAsia="zh-CN"/>
        </w:rPr>
      </w:pPr>
    </w:p>
    <w:p>
      <w:pPr>
        <w:pStyle w:val="14"/>
        <w:kinsoku w:val="0"/>
        <w:overflowPunct w:val="0"/>
        <w:spacing w:line="360" w:lineRule="auto"/>
        <w:jc w:val="center"/>
        <w:rPr>
          <w:rFonts w:ascii="Times New Roman" w:hAnsi="Times New Roman"/>
          <w:b/>
          <w:kern w:val="0"/>
          <w:sz w:val="21"/>
          <w:szCs w:val="21"/>
          <w:lang w:eastAsia="zh-CN"/>
        </w:rPr>
      </w:pPr>
    </w:p>
    <w:p>
      <w:pPr>
        <w:pStyle w:val="14"/>
        <w:kinsoku w:val="0"/>
        <w:overflowPunct w:val="0"/>
        <w:spacing w:line="360" w:lineRule="auto"/>
        <w:jc w:val="center"/>
        <w:rPr>
          <w:rFonts w:ascii="Times New Roman" w:hAnsi="Times New Roman"/>
          <w:b/>
          <w:kern w:val="0"/>
          <w:sz w:val="21"/>
          <w:szCs w:val="21"/>
          <w:lang w:eastAsia="zh-CN"/>
        </w:rPr>
      </w:pPr>
    </w:p>
    <w:p>
      <w:pPr>
        <w:pStyle w:val="14"/>
        <w:kinsoku w:val="0"/>
        <w:overflowPunct w:val="0"/>
        <w:spacing w:line="360" w:lineRule="auto"/>
        <w:jc w:val="center"/>
        <w:rPr>
          <w:rFonts w:ascii="Times New Roman" w:hAnsi="Times New Roman"/>
          <w:b/>
          <w:kern w:val="0"/>
          <w:sz w:val="21"/>
          <w:szCs w:val="21"/>
          <w:lang w:eastAsia="zh-CN"/>
        </w:rPr>
      </w:pPr>
    </w:p>
    <w:p>
      <w:pPr>
        <w:pStyle w:val="14"/>
        <w:kinsoku w:val="0"/>
        <w:overflowPunct w:val="0"/>
        <w:spacing w:line="360" w:lineRule="auto"/>
        <w:jc w:val="center"/>
        <w:rPr>
          <w:rFonts w:ascii="Times New Roman" w:hAnsi="Times New Roman"/>
          <w:b/>
          <w:kern w:val="0"/>
          <w:sz w:val="21"/>
          <w:szCs w:val="21"/>
          <w:lang w:eastAsia="zh-CN"/>
        </w:rPr>
      </w:pPr>
    </w:p>
    <w:p>
      <w:pPr>
        <w:pStyle w:val="14"/>
        <w:kinsoku w:val="0"/>
        <w:overflowPunct w:val="0"/>
        <w:spacing w:line="360" w:lineRule="auto"/>
        <w:jc w:val="center"/>
        <w:rPr>
          <w:rFonts w:ascii="Times New Roman" w:hAnsi="Times New Roman"/>
          <w:b/>
          <w:kern w:val="0"/>
          <w:sz w:val="21"/>
          <w:szCs w:val="21"/>
          <w:lang w:eastAsia="zh-CN"/>
        </w:rPr>
      </w:pPr>
    </w:p>
    <w:p>
      <w:pPr>
        <w:pStyle w:val="14"/>
        <w:kinsoku w:val="0"/>
        <w:overflowPunct w:val="0"/>
        <w:spacing w:line="360" w:lineRule="auto"/>
        <w:jc w:val="center"/>
        <w:rPr>
          <w:rFonts w:ascii="Times New Roman" w:hAnsi="Times New Roman"/>
          <w:b/>
          <w:kern w:val="0"/>
          <w:sz w:val="21"/>
          <w:szCs w:val="21"/>
          <w:lang w:eastAsia="zh-CN"/>
        </w:rPr>
      </w:pPr>
      <w:r>
        <w:rPr>
          <w:rFonts w:ascii="Times New Roman" w:hAnsi="Times New Roman"/>
          <w:b/>
          <w:kern w:val="0"/>
          <w:sz w:val="21"/>
          <w:szCs w:val="21"/>
          <w:lang w:eastAsia="zh-CN"/>
        </w:rPr>
        <w:t>表13.4-1 环境保护图形符号表</w:t>
      </w:r>
    </w:p>
    <w:tbl>
      <w:tblPr>
        <w:tblStyle w:val="33"/>
        <w:tblW w:w="933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7"/>
        <w:gridCol w:w="2856"/>
        <w:gridCol w:w="3246"/>
        <w:gridCol w:w="1269"/>
        <w:gridCol w:w="15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blHeader/>
        </w:trPr>
        <w:tc>
          <w:tcPr>
            <w:tcW w:w="427"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序号</w:t>
            </w:r>
          </w:p>
        </w:tc>
        <w:tc>
          <w:tcPr>
            <w:tcW w:w="2856"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提示图形符号</w:t>
            </w:r>
          </w:p>
        </w:tc>
        <w:tc>
          <w:tcPr>
            <w:tcW w:w="3246"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警告图形符号</w:t>
            </w:r>
          </w:p>
        </w:tc>
        <w:tc>
          <w:tcPr>
            <w:tcW w:w="1269"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名称</w:t>
            </w:r>
          </w:p>
        </w:tc>
        <w:tc>
          <w:tcPr>
            <w:tcW w:w="1539"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blHeader/>
        </w:trPr>
        <w:tc>
          <w:tcPr>
            <w:tcW w:w="42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w:t>
            </w:r>
          </w:p>
        </w:tc>
        <w:tc>
          <w:tcPr>
            <w:tcW w:w="2856"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Cs w:val="22"/>
              </w:rPr>
              <w:drawing>
                <wp:inline distT="0" distB="0" distL="114300" distR="114300">
                  <wp:extent cx="1664970" cy="1436370"/>
                  <wp:effectExtent l="0" t="0" r="11430" b="11430"/>
                  <wp:docPr id="2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2"/>
                          <pic:cNvPicPr>
                            <a:picLocks noChangeAspect="1"/>
                          </pic:cNvPicPr>
                        </pic:nvPicPr>
                        <pic:blipFill>
                          <a:blip r:embed="rId262"/>
                          <a:stretch>
                            <a:fillRect/>
                          </a:stretch>
                        </pic:blipFill>
                        <pic:spPr>
                          <a:xfrm>
                            <a:off x="0" y="0"/>
                            <a:ext cx="1664970" cy="1436370"/>
                          </a:xfrm>
                          <a:prstGeom prst="rect">
                            <a:avLst/>
                          </a:prstGeom>
                          <a:noFill/>
                          <a:ln>
                            <a:noFill/>
                          </a:ln>
                        </pic:spPr>
                      </pic:pic>
                    </a:graphicData>
                  </a:graphic>
                </wp:inline>
              </w:drawing>
            </w:r>
          </w:p>
        </w:tc>
        <w:tc>
          <w:tcPr>
            <w:tcW w:w="3246"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Cs w:val="22"/>
              </w:rPr>
              <w:drawing>
                <wp:inline distT="0" distB="0" distL="114300" distR="114300">
                  <wp:extent cx="1844675" cy="1386840"/>
                  <wp:effectExtent l="0" t="0" r="3175" b="3810"/>
                  <wp:docPr id="2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3"/>
                          <pic:cNvPicPr>
                            <a:picLocks noChangeAspect="1"/>
                          </pic:cNvPicPr>
                        </pic:nvPicPr>
                        <pic:blipFill>
                          <a:blip r:embed="rId263"/>
                          <a:stretch>
                            <a:fillRect/>
                          </a:stretch>
                        </pic:blipFill>
                        <pic:spPr>
                          <a:xfrm>
                            <a:off x="0" y="0"/>
                            <a:ext cx="1844675" cy="1386840"/>
                          </a:xfrm>
                          <a:prstGeom prst="rect">
                            <a:avLst/>
                          </a:prstGeom>
                          <a:noFill/>
                          <a:ln>
                            <a:noFill/>
                          </a:ln>
                        </pic:spPr>
                      </pic:pic>
                    </a:graphicData>
                  </a:graphic>
                </wp:inline>
              </w:drawing>
            </w:r>
          </w:p>
        </w:tc>
        <w:tc>
          <w:tcPr>
            <w:tcW w:w="1269"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污水排放口</w:t>
            </w:r>
          </w:p>
        </w:tc>
        <w:tc>
          <w:tcPr>
            <w:tcW w:w="1539"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表示污水向水体排放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blHeader/>
        </w:trPr>
        <w:tc>
          <w:tcPr>
            <w:tcW w:w="42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w:t>
            </w:r>
          </w:p>
        </w:tc>
        <w:tc>
          <w:tcPr>
            <w:tcW w:w="2856"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Cs w:val="22"/>
              </w:rPr>
              <w:drawing>
                <wp:inline distT="0" distB="0" distL="114300" distR="114300">
                  <wp:extent cx="1641475" cy="1433195"/>
                  <wp:effectExtent l="0" t="0" r="15875" b="14605"/>
                  <wp:docPr id="1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4"/>
                          <pic:cNvPicPr>
                            <a:picLocks noChangeAspect="1"/>
                          </pic:cNvPicPr>
                        </pic:nvPicPr>
                        <pic:blipFill>
                          <a:blip r:embed="rId264"/>
                          <a:stretch>
                            <a:fillRect/>
                          </a:stretch>
                        </pic:blipFill>
                        <pic:spPr>
                          <a:xfrm>
                            <a:off x="0" y="0"/>
                            <a:ext cx="1641475" cy="1433195"/>
                          </a:xfrm>
                          <a:prstGeom prst="rect">
                            <a:avLst/>
                          </a:prstGeom>
                          <a:noFill/>
                          <a:ln>
                            <a:noFill/>
                          </a:ln>
                        </pic:spPr>
                      </pic:pic>
                    </a:graphicData>
                  </a:graphic>
                </wp:inline>
              </w:drawing>
            </w:r>
          </w:p>
        </w:tc>
        <w:tc>
          <w:tcPr>
            <w:tcW w:w="3246"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Cs w:val="22"/>
              </w:rPr>
              <w:drawing>
                <wp:inline distT="0" distB="0" distL="114300" distR="114300">
                  <wp:extent cx="1855470" cy="1436370"/>
                  <wp:effectExtent l="0" t="0" r="11430" b="11430"/>
                  <wp:docPr id="1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5"/>
                          <pic:cNvPicPr>
                            <a:picLocks noChangeAspect="1"/>
                          </pic:cNvPicPr>
                        </pic:nvPicPr>
                        <pic:blipFill>
                          <a:blip r:embed="rId265"/>
                          <a:stretch>
                            <a:fillRect/>
                          </a:stretch>
                        </pic:blipFill>
                        <pic:spPr>
                          <a:xfrm>
                            <a:off x="0" y="0"/>
                            <a:ext cx="1855470" cy="1436370"/>
                          </a:xfrm>
                          <a:prstGeom prst="rect">
                            <a:avLst/>
                          </a:prstGeom>
                          <a:noFill/>
                          <a:ln>
                            <a:noFill/>
                          </a:ln>
                        </pic:spPr>
                      </pic:pic>
                    </a:graphicData>
                  </a:graphic>
                </wp:inline>
              </w:drawing>
            </w:r>
          </w:p>
        </w:tc>
        <w:tc>
          <w:tcPr>
            <w:tcW w:w="1269"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噪声排放源</w:t>
            </w:r>
          </w:p>
        </w:tc>
        <w:tc>
          <w:tcPr>
            <w:tcW w:w="1539"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表示噪声向</w:t>
            </w:r>
          </w:p>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外环境排放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blHeader/>
        </w:trPr>
        <w:tc>
          <w:tcPr>
            <w:tcW w:w="42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w:t>
            </w:r>
          </w:p>
        </w:tc>
        <w:tc>
          <w:tcPr>
            <w:tcW w:w="2856"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c>
          <w:tcPr>
            <w:tcW w:w="3246"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kern w:val="2"/>
                <w:szCs w:val="22"/>
              </w:rPr>
              <w:drawing>
                <wp:inline distT="0" distB="0" distL="0" distR="0">
                  <wp:extent cx="1511935" cy="1464310"/>
                  <wp:effectExtent l="0" t="0" r="0" b="2540"/>
                  <wp:docPr id="12015593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559335" name="图片 1"/>
                          <pic:cNvPicPr>
                            <a:picLocks noChangeAspect="1"/>
                          </pic:cNvPicPr>
                        </pic:nvPicPr>
                        <pic:blipFill>
                          <a:blip r:embed="rId266"/>
                          <a:stretch>
                            <a:fillRect/>
                          </a:stretch>
                        </pic:blipFill>
                        <pic:spPr>
                          <a:xfrm>
                            <a:off x="0" y="0"/>
                            <a:ext cx="1514773" cy="1467139"/>
                          </a:xfrm>
                          <a:prstGeom prst="rect">
                            <a:avLst/>
                          </a:prstGeom>
                        </pic:spPr>
                      </pic:pic>
                    </a:graphicData>
                  </a:graphic>
                </wp:inline>
              </w:drawing>
            </w:r>
          </w:p>
        </w:tc>
        <w:tc>
          <w:tcPr>
            <w:tcW w:w="1269"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危险废物</w:t>
            </w:r>
          </w:p>
        </w:tc>
        <w:tc>
          <w:tcPr>
            <w:tcW w:w="1539"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表示危险废物贮存、处置场</w:t>
            </w:r>
          </w:p>
        </w:tc>
      </w:tr>
    </w:tbl>
    <w:p>
      <w:pPr>
        <w:spacing w:line="360" w:lineRule="auto"/>
        <w:ind w:firstLine="480" w:firstLineChars="200"/>
        <w:rPr>
          <w:rFonts w:hAnsi="Times New Roman" w:eastAsia="宋体"/>
          <w:lang w:eastAsia="zh-CN"/>
        </w:rPr>
      </w:pPr>
      <w:r>
        <w:rPr>
          <w:rFonts w:hAnsi="Times New Roman" w:eastAsia="宋体"/>
          <w:lang w:eastAsia="zh-CN"/>
        </w:rPr>
        <w:t>（2）污染物排放口的环保图形标志牌应设置在靠近采样点的醒目处，标志牌设置高度为其上缘距地面2m。</w:t>
      </w:r>
    </w:p>
    <w:p>
      <w:pPr>
        <w:pStyle w:val="6"/>
        <w:rPr>
          <w:lang w:eastAsia="zh-CN"/>
        </w:rPr>
      </w:pPr>
      <w:bookmarkStart w:id="710" w:name="_Toc167095341"/>
      <w:bookmarkStart w:id="711" w:name="_Toc163812718"/>
      <w:r>
        <w:rPr>
          <w:lang w:eastAsia="zh-CN"/>
        </w:rPr>
        <w:t>13.4.4 排污口建档管理</w:t>
      </w:r>
      <w:bookmarkEnd w:id="710"/>
      <w:bookmarkEnd w:id="711"/>
    </w:p>
    <w:p>
      <w:pPr>
        <w:spacing w:line="360" w:lineRule="auto"/>
        <w:ind w:firstLine="480" w:firstLineChars="200"/>
        <w:rPr>
          <w:rFonts w:hAnsi="Times New Roman" w:eastAsia="宋体"/>
          <w:lang w:eastAsia="zh-CN"/>
        </w:rPr>
      </w:pPr>
      <w:r>
        <w:rPr>
          <w:rFonts w:hAnsi="Times New Roman" w:eastAsia="宋体"/>
          <w:lang w:eastAsia="zh-CN"/>
        </w:rPr>
        <w:t>（1）要求使用国家环保部统一印刷的《中华人民共和国规范化排污口标志登记证》，并按要求填写有关内容；</w:t>
      </w:r>
    </w:p>
    <w:p>
      <w:pPr>
        <w:spacing w:line="360" w:lineRule="auto"/>
        <w:ind w:firstLine="480" w:firstLineChars="200"/>
        <w:rPr>
          <w:rFonts w:hAnsi="Times New Roman" w:eastAsia="宋体"/>
          <w:lang w:eastAsia="zh-CN"/>
        </w:rPr>
      </w:pPr>
      <w:r>
        <w:rPr>
          <w:rFonts w:hAnsi="Times New Roman" w:eastAsia="宋体"/>
          <w:lang w:eastAsia="zh-CN"/>
        </w:rPr>
        <w:t>（2）根据排污口管理档案内容要求，项目建成后，应将主要污染物种类、数量、浓度、排放去向、达标情况及设施运行情况</w:t>
      </w:r>
      <w:r>
        <w:rPr>
          <w:rFonts w:hint="eastAsia" w:hAnsi="Times New Roman" w:eastAsia="宋体"/>
          <w:lang w:eastAsia="zh-CN"/>
        </w:rPr>
        <w:t>记录</w:t>
      </w:r>
      <w:r>
        <w:rPr>
          <w:rFonts w:hAnsi="Times New Roman" w:eastAsia="宋体"/>
          <w:lang w:eastAsia="zh-CN"/>
        </w:rPr>
        <w:t>于档案。</w:t>
      </w:r>
    </w:p>
    <w:p>
      <w:pPr>
        <w:pStyle w:val="5"/>
        <w:rPr>
          <w:rFonts w:ascii="Times New Roman" w:hAnsi="Times New Roman"/>
          <w:lang w:eastAsia="zh-CN"/>
        </w:rPr>
      </w:pPr>
      <w:bookmarkStart w:id="712" w:name="_Toc163749225"/>
      <w:bookmarkStart w:id="713" w:name="_Toc167095342"/>
      <w:r>
        <w:rPr>
          <w:rFonts w:ascii="Times New Roman" w:hAnsi="Times New Roman"/>
          <w:lang w:eastAsia="zh-CN"/>
        </w:rPr>
        <w:t>13.5企业环境保护信息公开管理</w:t>
      </w:r>
      <w:bookmarkEnd w:id="712"/>
      <w:bookmarkEnd w:id="713"/>
    </w:p>
    <w:p>
      <w:pPr>
        <w:spacing w:line="360" w:lineRule="auto"/>
        <w:ind w:firstLine="480" w:firstLineChars="200"/>
        <w:rPr>
          <w:rFonts w:hAnsi="Times New Roman" w:eastAsia="宋体"/>
          <w:lang w:eastAsia="zh-CN"/>
        </w:rPr>
      </w:pPr>
      <w:r>
        <w:rPr>
          <w:rFonts w:hAnsi="Times New Roman" w:eastAsia="宋体"/>
          <w:lang w:eastAsia="zh-CN"/>
        </w:rPr>
        <w:t>根据《企业事业单位环境信息公开办法》和项目环境影响特征，本项目环境信息公开内容主要包括：①企业基础信息，包括单位名称、组织机构代码、法定代表人、生产地址、联系方式，以及生产经营和管理服务的主要内容、产品及规模；②排污信息，包括主要污染物及特征污染物的名称、排放方式、排放口数量和分布情况、排放浓度和总量、超标情况，以及执行的污染物排放标准、核定的排放总量；③防治污染设施的运行情况。环境信息公开方式可以采取以下一种或者几种方式予以公开：①公告或者公开发行的信息专刊；②信息公开服务、监督热线电话；③本单位的资料索取点、信息公开栏、信息亭、电子屏幕、电子触摸屏等场所或者设施；④当地</w:t>
      </w:r>
      <w:r>
        <w:rPr>
          <w:rFonts w:hint="eastAsia" w:hAnsi="Times New Roman" w:eastAsia="宋体"/>
          <w:lang w:eastAsia="zh-CN"/>
        </w:rPr>
        <w:t>环保部门</w:t>
      </w:r>
      <w:r>
        <w:rPr>
          <w:rFonts w:hAnsi="Times New Roman" w:eastAsia="宋体"/>
          <w:lang w:eastAsia="zh-CN"/>
        </w:rPr>
        <w:t>网站等其他便于公众及时、准确获得信息的方式。</w:t>
      </w:r>
    </w:p>
    <w:p>
      <w:pPr>
        <w:pStyle w:val="5"/>
        <w:rPr>
          <w:rFonts w:ascii="Times New Roman" w:hAnsi="Times New Roman"/>
          <w:lang w:eastAsia="zh-CN"/>
        </w:rPr>
      </w:pPr>
      <w:bookmarkStart w:id="714" w:name="_Toc163749226"/>
      <w:bookmarkStart w:id="715" w:name="_Toc167095343"/>
      <w:r>
        <w:rPr>
          <w:rFonts w:ascii="Times New Roman" w:hAnsi="Times New Roman"/>
          <w:lang w:eastAsia="zh-CN"/>
        </w:rPr>
        <w:t>13.6建设项目竣工环境保护验收</w:t>
      </w:r>
      <w:bookmarkEnd w:id="714"/>
      <w:bookmarkEnd w:id="715"/>
    </w:p>
    <w:p>
      <w:pPr>
        <w:spacing w:line="360" w:lineRule="auto"/>
        <w:ind w:firstLine="480" w:firstLineChars="200"/>
        <w:rPr>
          <w:rFonts w:hAnsi="Times New Roman" w:eastAsia="宋体"/>
          <w:lang w:eastAsia="zh-CN"/>
        </w:rPr>
      </w:pPr>
      <w:r>
        <w:rPr>
          <w:rFonts w:hAnsi="Times New Roman" w:eastAsia="宋体"/>
          <w:lang w:eastAsia="zh-CN"/>
        </w:rPr>
        <w:t>根据《中华人民共和国环境保护法》（2014 年修订）的要求：“建设项目中防治污染的措施，必须与主体工程同时设计、同时施工、同时投产使用。防治污染的设施必须经原审批环境影响报告书的环保部门验收合格后，该建设项目方可投入生产或者使用”。因此项目建成后，需向环保部门申请环境保护专项验收，经验收合格后方可投入使用；并按照《排污许可证管理暂行规定》申请排污许可证。</w:t>
      </w:r>
    </w:p>
    <w:p>
      <w:pPr>
        <w:pStyle w:val="6"/>
        <w:rPr>
          <w:lang w:eastAsia="zh-CN"/>
        </w:rPr>
      </w:pPr>
      <w:bookmarkStart w:id="716" w:name="_Toc163812721"/>
      <w:bookmarkStart w:id="717" w:name="_Toc167095344"/>
      <w:r>
        <w:rPr>
          <w:lang w:eastAsia="zh-CN"/>
        </w:rPr>
        <w:t>13.6.1竣工验收环境监测和调查要求</w:t>
      </w:r>
      <w:bookmarkEnd w:id="716"/>
      <w:bookmarkEnd w:id="717"/>
    </w:p>
    <w:p>
      <w:pPr>
        <w:spacing w:line="360" w:lineRule="auto"/>
        <w:ind w:firstLine="480" w:firstLineChars="200"/>
        <w:rPr>
          <w:rFonts w:hAnsi="Times New Roman" w:eastAsia="宋体"/>
          <w:lang w:eastAsia="zh-CN"/>
        </w:rPr>
      </w:pPr>
      <w:r>
        <w:rPr>
          <w:rFonts w:hAnsi="Times New Roman" w:eastAsia="宋体"/>
          <w:lang w:eastAsia="zh-CN"/>
        </w:rPr>
        <w:t>竣工验收环境监测的要求主要为：</w:t>
      </w:r>
    </w:p>
    <w:p>
      <w:pPr>
        <w:spacing w:line="360" w:lineRule="auto"/>
        <w:ind w:firstLine="480" w:firstLineChars="200"/>
        <w:rPr>
          <w:rFonts w:hAnsi="Times New Roman" w:eastAsia="宋体"/>
          <w:lang w:eastAsia="zh-CN"/>
        </w:rPr>
      </w:pPr>
      <w:r>
        <w:rPr>
          <w:rFonts w:hAnsi="Times New Roman" w:eastAsia="宋体"/>
          <w:lang w:eastAsia="zh-CN"/>
        </w:rPr>
        <w:t>①检查建设项目在施工、运行期落实环境影响评价文件、工程设计以及环境保护行政主管部门批复文件所要求的气、水、声、固体废物等治理措施情况及实施效果；</w:t>
      </w:r>
    </w:p>
    <w:p>
      <w:pPr>
        <w:spacing w:line="360" w:lineRule="auto"/>
        <w:ind w:firstLine="480" w:firstLineChars="200"/>
        <w:rPr>
          <w:rFonts w:hAnsi="Times New Roman" w:eastAsia="宋体"/>
          <w:lang w:eastAsia="zh-CN"/>
        </w:rPr>
      </w:pPr>
      <w:r>
        <w:rPr>
          <w:rFonts w:hAnsi="Times New Roman" w:eastAsia="宋体"/>
          <w:lang w:eastAsia="zh-CN"/>
        </w:rPr>
        <w:t>②调查项目生态保护、水土保持措施落实情况及实施效果；</w:t>
      </w:r>
    </w:p>
    <w:p>
      <w:pPr>
        <w:spacing w:line="360" w:lineRule="auto"/>
        <w:ind w:firstLine="480" w:firstLineChars="200"/>
        <w:rPr>
          <w:rFonts w:hAnsi="Times New Roman" w:eastAsia="宋体"/>
          <w:lang w:eastAsia="zh-CN"/>
        </w:rPr>
      </w:pPr>
      <w:r>
        <w:rPr>
          <w:rFonts w:hAnsi="Times New Roman" w:eastAsia="宋体"/>
          <w:lang w:eastAsia="zh-CN"/>
        </w:rPr>
        <w:t>③开展公众参与调查，了解公众对项目建设期、运行期环境保护满意度，对当地经济、社会、生活的影响；</w:t>
      </w:r>
    </w:p>
    <w:p>
      <w:pPr>
        <w:spacing w:line="360" w:lineRule="auto"/>
        <w:ind w:firstLine="480" w:firstLineChars="200"/>
        <w:rPr>
          <w:rFonts w:hAnsi="Times New Roman" w:eastAsia="宋体"/>
          <w:lang w:eastAsia="zh-CN"/>
        </w:rPr>
      </w:pPr>
      <w:r>
        <w:rPr>
          <w:rFonts w:hAnsi="Times New Roman" w:eastAsia="宋体"/>
          <w:lang w:eastAsia="zh-CN"/>
        </w:rPr>
        <w:t>④针对建设项目已产生的环境破坏或潜在的环境影响提出补救措施或应急预案。</w:t>
      </w:r>
    </w:p>
    <w:p>
      <w:pPr>
        <w:pStyle w:val="6"/>
        <w:rPr>
          <w:lang w:eastAsia="zh-CN"/>
        </w:rPr>
      </w:pPr>
      <w:bookmarkStart w:id="718" w:name="_Toc167095345"/>
      <w:bookmarkStart w:id="719" w:name="_Toc163812722"/>
      <w:r>
        <w:rPr>
          <w:lang w:eastAsia="zh-CN"/>
        </w:rPr>
        <w:t>13.6.2环保设施竣工验收清单</w:t>
      </w:r>
      <w:bookmarkEnd w:id="718"/>
      <w:bookmarkEnd w:id="719"/>
    </w:p>
    <w:p>
      <w:pPr>
        <w:spacing w:line="360" w:lineRule="auto"/>
        <w:ind w:firstLine="480" w:firstLineChars="200"/>
        <w:rPr>
          <w:rFonts w:hAnsi="Times New Roman" w:eastAsia="宋体"/>
          <w:lang w:eastAsia="zh-CN"/>
        </w:rPr>
      </w:pPr>
      <w:r>
        <w:rPr>
          <w:rFonts w:hAnsi="Times New Roman" w:eastAsia="宋体"/>
          <w:lang w:eastAsia="zh-CN"/>
        </w:rPr>
        <w:t>工程建设完成投产后，建设单位应按照《建设项目竣工环境保护验收管理办法》中的有关规定，及时对本工程进行环境保护验收。环保措施汇总及竣工验收详见表13.6-1。</w:t>
      </w:r>
    </w:p>
    <w:p>
      <w:pPr>
        <w:pStyle w:val="14"/>
        <w:kinsoku w:val="0"/>
        <w:overflowPunct w:val="0"/>
        <w:spacing w:line="360" w:lineRule="auto"/>
        <w:jc w:val="center"/>
        <w:rPr>
          <w:rFonts w:ascii="Times New Roman" w:hAnsi="Times New Roman"/>
          <w:b/>
          <w:kern w:val="0"/>
          <w:sz w:val="21"/>
          <w:szCs w:val="21"/>
          <w:lang w:eastAsia="zh-CN"/>
        </w:rPr>
      </w:pPr>
      <w:r>
        <w:rPr>
          <w:rFonts w:ascii="Times New Roman" w:hAnsi="Times New Roman"/>
          <w:b/>
          <w:kern w:val="0"/>
          <w:sz w:val="21"/>
          <w:szCs w:val="21"/>
          <w:lang w:eastAsia="zh-CN"/>
        </w:rPr>
        <w:t>表13.6-1  项目竣工验收内容及要求</w:t>
      </w:r>
    </w:p>
    <w:tbl>
      <w:tblPr>
        <w:tblStyle w:val="33"/>
        <w:tblW w:w="91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62"/>
        <w:gridCol w:w="606"/>
        <w:gridCol w:w="962"/>
        <w:gridCol w:w="1288"/>
        <w:gridCol w:w="2501"/>
        <w:gridCol w:w="1791"/>
        <w:gridCol w:w="13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trPr>
        <w:tc>
          <w:tcPr>
            <w:tcW w:w="662" w:type="dxa"/>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类别</w:t>
            </w:r>
          </w:p>
        </w:tc>
        <w:tc>
          <w:tcPr>
            <w:tcW w:w="1568" w:type="dxa"/>
            <w:gridSpan w:val="2"/>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污染源</w:t>
            </w:r>
          </w:p>
        </w:tc>
        <w:tc>
          <w:tcPr>
            <w:tcW w:w="1288" w:type="dxa"/>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验收</w:t>
            </w:r>
          </w:p>
          <w:p>
            <w:pPr>
              <w:keepNext w:val="0"/>
              <w:keepLines w:val="0"/>
              <w:suppressLineNumbers w:val="0"/>
              <w:spacing w:before="0" w:beforeAutospacing="0" w:after="0" w:afterAutospacing="0" w:line="3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因子</w:t>
            </w:r>
          </w:p>
        </w:tc>
        <w:tc>
          <w:tcPr>
            <w:tcW w:w="2501" w:type="dxa"/>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环保设施及措施</w:t>
            </w:r>
          </w:p>
        </w:tc>
        <w:tc>
          <w:tcPr>
            <w:tcW w:w="1791" w:type="dxa"/>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执行标准</w:t>
            </w:r>
          </w:p>
        </w:tc>
        <w:tc>
          <w:tcPr>
            <w:tcW w:w="1314" w:type="dxa"/>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验收要求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trPr>
        <w:tc>
          <w:tcPr>
            <w:tcW w:w="662" w:type="dxa"/>
            <w:vMerge w:val="restart"/>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大气</w:t>
            </w:r>
          </w:p>
        </w:tc>
        <w:tc>
          <w:tcPr>
            <w:tcW w:w="1568" w:type="dxa"/>
            <w:gridSpan w:val="2"/>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井下废气</w:t>
            </w:r>
          </w:p>
        </w:tc>
        <w:tc>
          <w:tcPr>
            <w:tcW w:w="1288" w:type="dxa"/>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颗粒物</w:t>
            </w:r>
          </w:p>
        </w:tc>
        <w:tc>
          <w:tcPr>
            <w:tcW w:w="2501" w:type="dxa"/>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喷雾洒水降尘</w:t>
            </w:r>
          </w:p>
        </w:tc>
        <w:tc>
          <w:tcPr>
            <w:tcW w:w="1791" w:type="dxa"/>
            <w:vMerge w:val="restart"/>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《煤炭工业污染物排放标准》(GB204 26-2006)</w:t>
            </w:r>
          </w:p>
        </w:tc>
        <w:tc>
          <w:tcPr>
            <w:tcW w:w="1314" w:type="dxa"/>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井下废气无组织排放的粉 尘浓度小于1.0mg/m</w:t>
            </w:r>
            <w:r>
              <w:rPr>
                <w:rFonts w:hint="eastAsia" w:hAnsi="Times New Roman" w:eastAsia="宋体"/>
                <w:kern w:val="2"/>
                <w:sz w:val="21"/>
                <w:szCs w:val="21"/>
                <w:vertAlign w:val="superscript"/>
                <w:lang w:eastAsia="zh-CN"/>
              </w:rPr>
              <w:t>3</w:t>
            </w:r>
            <w:r>
              <w:rPr>
                <w:rFonts w:hint="eastAsia" w:hAnsi="Times New Roman" w:eastAsia="宋体"/>
                <w:kern w:val="2"/>
                <w:sz w:val="21"/>
                <w:szCs w:val="21"/>
                <w:lang w:eastAsia="zh-CN"/>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trPr>
        <w:tc>
          <w:tcPr>
            <w:tcW w:w="662" w:type="dxa"/>
            <w:vMerge w:val="continue"/>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p>
        </w:tc>
        <w:tc>
          <w:tcPr>
            <w:tcW w:w="606" w:type="dxa"/>
            <w:vMerge w:val="restart"/>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工业广场</w:t>
            </w:r>
          </w:p>
        </w:tc>
        <w:tc>
          <w:tcPr>
            <w:tcW w:w="962" w:type="dxa"/>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原煤翻车卸料平台</w:t>
            </w:r>
          </w:p>
        </w:tc>
        <w:tc>
          <w:tcPr>
            <w:tcW w:w="1288" w:type="dxa"/>
            <w:vMerge w:val="restart"/>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颗粒物</w:t>
            </w:r>
          </w:p>
        </w:tc>
        <w:tc>
          <w:tcPr>
            <w:tcW w:w="2501" w:type="dxa"/>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设喷雾装置</w:t>
            </w:r>
          </w:p>
        </w:tc>
        <w:tc>
          <w:tcPr>
            <w:tcW w:w="1791" w:type="dxa"/>
            <w:vMerge w:val="continue"/>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p>
        </w:tc>
        <w:tc>
          <w:tcPr>
            <w:tcW w:w="1314" w:type="dxa"/>
            <w:vMerge w:val="restart"/>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周界外浓度最高点≤1.0mg/m</w:t>
            </w:r>
            <w:r>
              <w:rPr>
                <w:rFonts w:hint="eastAsia" w:hAnsi="Times New Roman" w:eastAsia="宋体"/>
                <w:kern w:val="2"/>
                <w:sz w:val="21"/>
                <w:szCs w:val="21"/>
                <w:vertAlign w:val="superscript"/>
                <w:lang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trPr>
        <w:tc>
          <w:tcPr>
            <w:tcW w:w="662" w:type="dxa"/>
            <w:vMerge w:val="continue"/>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p>
        </w:tc>
        <w:tc>
          <w:tcPr>
            <w:tcW w:w="606" w:type="dxa"/>
            <w:vMerge w:val="continue"/>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p>
        </w:tc>
        <w:tc>
          <w:tcPr>
            <w:tcW w:w="962" w:type="dxa"/>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储煤场地、临时堆矸场</w:t>
            </w:r>
          </w:p>
        </w:tc>
        <w:tc>
          <w:tcPr>
            <w:tcW w:w="1288" w:type="dxa"/>
            <w:vMerge w:val="continue"/>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p>
        </w:tc>
        <w:tc>
          <w:tcPr>
            <w:tcW w:w="2501" w:type="dxa"/>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储煤场封闭，</w:t>
            </w:r>
            <w:r>
              <w:rPr>
                <w:rFonts w:hint="eastAsia" w:hAnsi="Times New Roman" w:eastAsia="宋体"/>
                <w:kern w:val="2"/>
                <w:sz w:val="21"/>
                <w:szCs w:val="21"/>
              </w:rPr>
              <w:t>矸石临时堆场建为</w:t>
            </w:r>
            <w:r>
              <w:rPr>
                <w:rFonts w:hint="eastAsia" w:hAnsi="Times New Roman" w:eastAsia="宋体"/>
                <w:kern w:val="2"/>
                <w:sz w:val="21"/>
                <w:szCs w:val="21"/>
                <w:lang w:eastAsia="zh-CN"/>
              </w:rPr>
              <w:t>顶部遮盖、三面围挡封闭的半封闭式的钢架结构彩钢棚，并在矸石临时堆场的敞开位置，加设防尘网和防尘水雾喷洒系统，在煤矸石堆场转运点进行封闭，并设置喷雾降尘装置</w:t>
            </w:r>
          </w:p>
        </w:tc>
        <w:tc>
          <w:tcPr>
            <w:tcW w:w="1791" w:type="dxa"/>
            <w:vMerge w:val="continue"/>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p>
        </w:tc>
        <w:tc>
          <w:tcPr>
            <w:tcW w:w="1314" w:type="dxa"/>
            <w:vMerge w:val="continue"/>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trPr>
        <w:tc>
          <w:tcPr>
            <w:tcW w:w="662" w:type="dxa"/>
            <w:vMerge w:val="continue"/>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p>
        </w:tc>
        <w:tc>
          <w:tcPr>
            <w:tcW w:w="606" w:type="dxa"/>
            <w:vMerge w:val="continue"/>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p>
        </w:tc>
        <w:tc>
          <w:tcPr>
            <w:tcW w:w="962" w:type="dxa"/>
            <w:vAlign w:val="center"/>
          </w:tcPr>
          <w:p>
            <w:pPr>
              <w:pStyle w:val="44"/>
              <w:keepNext w:val="0"/>
              <w:keepLines w:val="0"/>
              <w:suppressLineNumbers w:val="0"/>
              <w:spacing w:before="62"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食堂</w:t>
            </w:r>
          </w:p>
        </w:tc>
        <w:tc>
          <w:tcPr>
            <w:tcW w:w="1288" w:type="dxa"/>
            <w:vAlign w:val="center"/>
          </w:tcPr>
          <w:p>
            <w:pPr>
              <w:pStyle w:val="44"/>
              <w:keepNext w:val="0"/>
              <w:keepLines w:val="0"/>
              <w:suppressLineNumbers w:val="0"/>
              <w:spacing w:before="62"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食堂油烟</w:t>
            </w:r>
          </w:p>
        </w:tc>
        <w:tc>
          <w:tcPr>
            <w:tcW w:w="2501" w:type="dxa"/>
            <w:vAlign w:val="center"/>
          </w:tcPr>
          <w:p>
            <w:pPr>
              <w:pStyle w:val="44"/>
              <w:keepNext w:val="0"/>
              <w:keepLines w:val="0"/>
              <w:suppressLineNumbers w:val="0"/>
              <w:spacing w:before="62"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厨房内的灶台设置有油烟净化设施，由烟道引出于楼顶排放</w:t>
            </w:r>
          </w:p>
        </w:tc>
        <w:tc>
          <w:tcPr>
            <w:tcW w:w="1791" w:type="dxa"/>
            <w:vAlign w:val="center"/>
          </w:tcPr>
          <w:p>
            <w:pPr>
              <w:pStyle w:val="44"/>
              <w:keepNext w:val="0"/>
              <w:keepLines w:val="0"/>
              <w:suppressLineNumbers w:val="0"/>
              <w:spacing w:before="62" w:beforeAutospacing="0" w:after="0" w:afterAutospacing="0" w:line="340" w:lineRule="exact"/>
              <w:ind w:left="0" w:right="0"/>
              <w:jc w:val="center"/>
              <w:rPr>
                <w:rFonts w:hint="eastAsia" w:hAnsi="Times New Roman" w:eastAsia="宋体"/>
                <w:kern w:val="2"/>
                <w:sz w:val="21"/>
                <w:szCs w:val="21"/>
              </w:rPr>
            </w:pPr>
            <w:r>
              <w:rPr>
                <w:rFonts w:hint="eastAsia" w:hAnsi="Times New Roman" w:eastAsia="宋体"/>
                <w:kern w:val="2"/>
                <w:sz w:val="21"/>
                <w:szCs w:val="21"/>
              </w:rPr>
              <w:t>《饮食业油烟排放</w:t>
            </w:r>
          </w:p>
          <w:p>
            <w:pPr>
              <w:pStyle w:val="44"/>
              <w:keepNext w:val="0"/>
              <w:keepLines w:val="0"/>
              <w:suppressLineNumbers w:val="0"/>
              <w:spacing w:before="62" w:beforeAutospacing="0" w:after="0" w:afterAutospacing="0" w:line="340" w:lineRule="exact"/>
              <w:ind w:left="0" w:right="0"/>
              <w:jc w:val="center"/>
              <w:rPr>
                <w:rFonts w:hint="eastAsia" w:hAnsi="Times New Roman" w:eastAsia="宋体"/>
                <w:kern w:val="2"/>
                <w:sz w:val="21"/>
                <w:szCs w:val="21"/>
              </w:rPr>
            </w:pPr>
            <w:r>
              <w:rPr>
                <w:rFonts w:hint="eastAsia" w:hAnsi="Times New Roman" w:eastAsia="宋体"/>
                <w:kern w:val="2"/>
                <w:sz w:val="21"/>
                <w:szCs w:val="21"/>
              </w:rPr>
              <w:t>标准（试行）》（GB18483-2001）</w:t>
            </w:r>
          </w:p>
          <w:p>
            <w:pPr>
              <w:pStyle w:val="44"/>
              <w:keepNext w:val="0"/>
              <w:keepLines w:val="0"/>
              <w:suppressLineNumbers w:val="0"/>
              <w:spacing w:before="62"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中相关标准</w:t>
            </w:r>
          </w:p>
        </w:tc>
        <w:tc>
          <w:tcPr>
            <w:tcW w:w="1314" w:type="dxa"/>
            <w:vAlign w:val="center"/>
          </w:tcPr>
          <w:p>
            <w:pPr>
              <w:pStyle w:val="44"/>
              <w:keepNext w:val="0"/>
              <w:keepLines w:val="0"/>
              <w:suppressLineNumbers w:val="0"/>
              <w:spacing w:before="62"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≤2.0mg/m</w:t>
            </w:r>
            <w:r>
              <w:rPr>
                <w:rFonts w:hint="eastAsia" w:hAnsi="Times New Roman" w:eastAsia="宋体"/>
                <w:kern w:val="2"/>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trPr>
        <w:tc>
          <w:tcPr>
            <w:tcW w:w="662" w:type="dxa"/>
            <w:vMerge w:val="continue"/>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p>
        </w:tc>
        <w:tc>
          <w:tcPr>
            <w:tcW w:w="1568" w:type="dxa"/>
            <w:gridSpan w:val="2"/>
            <w:vAlign w:val="center"/>
          </w:tcPr>
          <w:p>
            <w:pPr>
              <w:pStyle w:val="44"/>
              <w:keepNext w:val="0"/>
              <w:keepLines w:val="0"/>
              <w:suppressLineNumbers w:val="0"/>
              <w:spacing w:before="62" w:beforeAutospacing="0" w:after="0" w:afterAutospacing="0" w:line="340" w:lineRule="exact"/>
              <w:ind w:left="0" w:right="0"/>
              <w:jc w:val="center"/>
              <w:rPr>
                <w:rFonts w:hint="eastAsia" w:hAnsi="Times New Roman" w:eastAsia="宋体"/>
                <w:kern w:val="2"/>
                <w:sz w:val="21"/>
                <w:szCs w:val="21"/>
              </w:rPr>
            </w:pPr>
            <w:r>
              <w:rPr>
                <w:rFonts w:hint="eastAsia" w:hAnsi="Times New Roman" w:eastAsia="宋体"/>
                <w:kern w:val="2"/>
                <w:sz w:val="21"/>
                <w:szCs w:val="21"/>
              </w:rPr>
              <w:t>瓦斯抽采系统</w:t>
            </w:r>
          </w:p>
        </w:tc>
        <w:tc>
          <w:tcPr>
            <w:tcW w:w="1288" w:type="dxa"/>
            <w:vAlign w:val="center"/>
          </w:tcPr>
          <w:p>
            <w:pPr>
              <w:pStyle w:val="44"/>
              <w:keepNext w:val="0"/>
              <w:keepLines w:val="0"/>
              <w:suppressLineNumbers w:val="0"/>
              <w:spacing w:before="62" w:beforeAutospacing="0" w:after="0" w:afterAutospacing="0" w:line="340" w:lineRule="exact"/>
              <w:ind w:left="0" w:right="0"/>
              <w:jc w:val="center"/>
              <w:rPr>
                <w:rFonts w:hint="eastAsia" w:hAnsi="Times New Roman" w:eastAsia="宋体"/>
                <w:kern w:val="2"/>
                <w:sz w:val="21"/>
                <w:szCs w:val="21"/>
              </w:rPr>
            </w:pPr>
            <w:r>
              <w:rPr>
                <w:rFonts w:hint="eastAsia" w:hAnsi="Times New Roman" w:eastAsia="宋体"/>
                <w:kern w:val="2"/>
                <w:sz w:val="21"/>
                <w:szCs w:val="21"/>
              </w:rPr>
              <w:t>瓦斯</w:t>
            </w:r>
          </w:p>
        </w:tc>
        <w:tc>
          <w:tcPr>
            <w:tcW w:w="2501" w:type="dxa"/>
            <w:vAlign w:val="center"/>
          </w:tcPr>
          <w:p>
            <w:pPr>
              <w:pStyle w:val="44"/>
              <w:keepNext w:val="0"/>
              <w:keepLines w:val="0"/>
              <w:suppressLineNumbers w:val="0"/>
              <w:spacing w:before="62" w:beforeAutospacing="0" w:after="0" w:afterAutospacing="0" w:line="34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p>
        </w:tc>
        <w:tc>
          <w:tcPr>
            <w:tcW w:w="1791" w:type="dxa"/>
            <w:vAlign w:val="center"/>
          </w:tcPr>
          <w:p>
            <w:pPr>
              <w:pStyle w:val="44"/>
              <w:keepNext w:val="0"/>
              <w:keepLines w:val="0"/>
              <w:suppressLineNumbers w:val="0"/>
              <w:spacing w:before="62" w:beforeAutospacing="0" w:after="0" w:afterAutospacing="0" w:line="340" w:lineRule="exact"/>
              <w:ind w:left="0" w:right="0"/>
              <w:jc w:val="center"/>
              <w:rPr>
                <w:rFonts w:hint="eastAsia" w:hAnsi="Times New Roman" w:eastAsia="宋体"/>
                <w:kern w:val="2"/>
                <w:sz w:val="21"/>
                <w:szCs w:val="21"/>
              </w:rPr>
            </w:pPr>
            <w:r>
              <w:rPr>
                <w:rFonts w:hint="eastAsia" w:hAnsi="Times New Roman" w:eastAsia="宋体"/>
                <w:kern w:val="2"/>
                <w:sz w:val="21"/>
                <w:szCs w:val="21"/>
              </w:rPr>
              <w:t>《煤层气</w:t>
            </w:r>
            <w:r>
              <w:rPr>
                <w:rFonts w:hint="eastAsia" w:hAnsi="Times New Roman" w:eastAsia="宋体"/>
                <w:kern w:val="2"/>
                <w:sz w:val="21"/>
                <w:szCs w:val="21"/>
                <w:lang w:eastAsia="zh-CN"/>
              </w:rPr>
              <w:t>（</w:t>
            </w:r>
            <w:r>
              <w:rPr>
                <w:rFonts w:hint="eastAsia" w:hAnsi="Times New Roman" w:eastAsia="宋体"/>
                <w:kern w:val="2"/>
                <w:sz w:val="21"/>
                <w:szCs w:val="21"/>
              </w:rPr>
              <w:t>煤矿瓦</w:t>
            </w:r>
          </w:p>
          <w:p>
            <w:pPr>
              <w:pStyle w:val="44"/>
              <w:keepNext w:val="0"/>
              <w:keepLines w:val="0"/>
              <w:suppressLineNumbers w:val="0"/>
              <w:spacing w:before="62" w:beforeAutospacing="0" w:after="0" w:afterAutospacing="0" w:line="340" w:lineRule="exact"/>
              <w:ind w:left="0" w:right="0"/>
              <w:jc w:val="center"/>
              <w:rPr>
                <w:rFonts w:hint="eastAsia" w:hAnsi="Times New Roman" w:eastAsia="宋体"/>
                <w:kern w:val="2"/>
                <w:sz w:val="21"/>
                <w:szCs w:val="21"/>
              </w:rPr>
            </w:pPr>
            <w:r>
              <w:rPr>
                <w:rFonts w:hint="eastAsia" w:hAnsi="Times New Roman" w:eastAsia="宋体"/>
                <w:kern w:val="2"/>
                <w:sz w:val="21"/>
                <w:szCs w:val="21"/>
              </w:rPr>
              <w:t>斯</w:t>
            </w:r>
            <w:r>
              <w:rPr>
                <w:rFonts w:hint="eastAsia" w:hAnsi="Times New Roman" w:eastAsia="宋体"/>
                <w:kern w:val="2"/>
                <w:sz w:val="21"/>
                <w:szCs w:val="21"/>
                <w:lang w:eastAsia="zh-CN"/>
              </w:rPr>
              <w:t>）</w:t>
            </w:r>
            <w:r>
              <w:rPr>
                <w:rFonts w:hint="eastAsia" w:hAnsi="Times New Roman" w:eastAsia="宋体"/>
                <w:kern w:val="2"/>
                <w:sz w:val="21"/>
                <w:szCs w:val="21"/>
              </w:rPr>
              <w:t>排放标准</w:t>
            </w:r>
            <w:r>
              <w:rPr>
                <w:rFonts w:hint="eastAsia" w:hAnsi="Times New Roman" w:eastAsia="宋体"/>
                <w:kern w:val="2"/>
                <w:sz w:val="21"/>
                <w:szCs w:val="21"/>
                <w:lang w:eastAsia="zh-CN"/>
              </w:rPr>
              <w:t>（</w:t>
            </w:r>
            <w:r>
              <w:rPr>
                <w:rFonts w:hint="eastAsia" w:hAnsi="Times New Roman" w:eastAsia="宋体"/>
                <w:kern w:val="2"/>
                <w:sz w:val="21"/>
                <w:szCs w:val="21"/>
              </w:rPr>
              <w:t>暂 行</w:t>
            </w:r>
            <w:r>
              <w:rPr>
                <w:rFonts w:hint="eastAsia" w:hAnsi="Times New Roman" w:eastAsia="宋体"/>
                <w:kern w:val="2"/>
                <w:sz w:val="21"/>
                <w:szCs w:val="21"/>
                <w:lang w:eastAsia="zh-CN"/>
              </w:rPr>
              <w:t>）</w:t>
            </w:r>
            <w:r>
              <w:rPr>
                <w:rFonts w:hint="eastAsia" w:hAnsi="Times New Roman" w:eastAsia="宋体"/>
                <w:kern w:val="2"/>
                <w:sz w:val="21"/>
                <w:szCs w:val="21"/>
              </w:rPr>
              <w:t>》</w:t>
            </w:r>
          </w:p>
          <w:p>
            <w:pPr>
              <w:pStyle w:val="44"/>
              <w:keepNext w:val="0"/>
              <w:keepLines w:val="0"/>
              <w:suppressLineNumbers w:val="0"/>
              <w:spacing w:before="62"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r>
              <w:rPr>
                <w:rFonts w:hint="eastAsia" w:hAnsi="Times New Roman" w:eastAsia="宋体"/>
                <w:kern w:val="2"/>
                <w:sz w:val="21"/>
                <w:szCs w:val="21"/>
              </w:rPr>
              <w:t>GB21522-2008</w:t>
            </w:r>
            <w:r>
              <w:rPr>
                <w:rFonts w:hint="eastAsia" w:hAnsi="Times New Roman" w:eastAsia="宋体"/>
                <w:kern w:val="2"/>
                <w:sz w:val="21"/>
                <w:szCs w:val="21"/>
                <w:lang w:eastAsia="zh-CN"/>
              </w:rPr>
              <w:t>）</w:t>
            </w:r>
          </w:p>
        </w:tc>
        <w:tc>
          <w:tcPr>
            <w:tcW w:w="1314" w:type="dxa"/>
            <w:vAlign w:val="center"/>
          </w:tcPr>
          <w:p>
            <w:pPr>
              <w:pStyle w:val="44"/>
              <w:keepNext w:val="0"/>
              <w:keepLines w:val="0"/>
              <w:suppressLineNumbers w:val="0"/>
              <w:spacing w:before="62" w:beforeAutospacing="0" w:after="0" w:afterAutospacing="0" w:line="340" w:lineRule="exact"/>
              <w:ind w:left="0" w:right="0"/>
              <w:jc w:val="center"/>
              <w:rPr>
                <w:rFonts w:hint="eastAsia" w:hAnsi="Times New Roman" w:eastAsia="宋体"/>
                <w:kern w:val="2"/>
                <w:sz w:val="21"/>
                <w:szCs w:val="21"/>
              </w:rPr>
            </w:pPr>
            <w:r>
              <w:rPr>
                <w:rFonts w:hint="eastAsia" w:hAnsi="Times New Roman" w:eastAsia="宋体"/>
                <w:kern w:val="2"/>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trPr>
        <w:tc>
          <w:tcPr>
            <w:tcW w:w="662" w:type="dxa"/>
            <w:vMerge w:val="continue"/>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p>
        </w:tc>
        <w:tc>
          <w:tcPr>
            <w:tcW w:w="1568" w:type="dxa"/>
            <w:gridSpan w:val="2"/>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场地、道路扬尘</w:t>
            </w:r>
          </w:p>
        </w:tc>
        <w:tc>
          <w:tcPr>
            <w:tcW w:w="1288" w:type="dxa"/>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颗粒物</w:t>
            </w:r>
          </w:p>
        </w:tc>
        <w:tc>
          <w:tcPr>
            <w:tcW w:w="2501" w:type="dxa"/>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工业场地运煤车辆出口设车辆自动冲洗装置；</w:t>
            </w:r>
          </w:p>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设置雾炮机或洒水车</w:t>
            </w:r>
          </w:p>
        </w:tc>
        <w:tc>
          <w:tcPr>
            <w:tcW w:w="3105" w:type="dxa"/>
            <w:gridSpan w:val="2"/>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定期洒水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trPr>
        <w:tc>
          <w:tcPr>
            <w:tcW w:w="662" w:type="dxa"/>
            <w:vMerge w:val="restart"/>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污废水</w:t>
            </w:r>
          </w:p>
        </w:tc>
        <w:tc>
          <w:tcPr>
            <w:tcW w:w="1568" w:type="dxa"/>
            <w:gridSpan w:val="2"/>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生活污水</w:t>
            </w:r>
          </w:p>
        </w:tc>
        <w:tc>
          <w:tcPr>
            <w:tcW w:w="1288" w:type="dxa"/>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CODcr、BOD5、SS、</w:t>
            </w:r>
          </w:p>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氨氮</w:t>
            </w:r>
          </w:p>
        </w:tc>
        <w:tc>
          <w:tcPr>
            <w:tcW w:w="2501" w:type="dxa"/>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1个油水分离器处理食堂废水，2个1.5m</w:t>
            </w:r>
            <w:r>
              <w:rPr>
                <w:rFonts w:hint="eastAsia" w:hAnsi="Times New Roman" w:eastAsia="宋体"/>
                <w:kern w:val="2"/>
                <w:sz w:val="21"/>
                <w:szCs w:val="21"/>
                <w:vertAlign w:val="superscript"/>
                <w:lang w:eastAsia="zh-CN"/>
              </w:rPr>
              <w:t>3</w:t>
            </w:r>
            <w:r>
              <w:rPr>
                <w:rFonts w:hint="eastAsia" w:hAnsi="Times New Roman" w:eastAsia="宋体"/>
                <w:kern w:val="2"/>
                <w:sz w:val="21"/>
                <w:szCs w:val="21"/>
                <w:lang w:eastAsia="zh-CN"/>
              </w:rPr>
              <w:t>的集污井处理洗浴废水，上述污水预处理后汇入污水处理一体化设施，最终回用于地面防尘用水、绿化用水等不外排，生活污水进入化粪池（容积约422.4m</w:t>
            </w:r>
            <w:r>
              <w:rPr>
                <w:rFonts w:hint="eastAsia" w:hAnsi="Times New Roman" w:eastAsia="宋体"/>
                <w:kern w:val="2"/>
                <w:sz w:val="21"/>
                <w:szCs w:val="21"/>
                <w:vertAlign w:val="superscript"/>
                <w:lang w:eastAsia="zh-CN"/>
              </w:rPr>
              <w:t>3</w:t>
            </w:r>
            <w:r>
              <w:rPr>
                <w:rFonts w:hint="eastAsia" w:hAnsi="Times New Roman" w:eastAsia="宋体"/>
                <w:kern w:val="2"/>
                <w:sz w:val="21"/>
                <w:szCs w:val="21"/>
                <w:lang w:eastAsia="zh-CN"/>
              </w:rPr>
              <w:t>）处理后，由达州市鑫通管道疏通有限公司定期清运处置</w:t>
            </w:r>
          </w:p>
        </w:tc>
        <w:tc>
          <w:tcPr>
            <w:tcW w:w="3105" w:type="dxa"/>
            <w:gridSpan w:val="2"/>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trPr>
        <w:tc>
          <w:tcPr>
            <w:tcW w:w="662" w:type="dxa"/>
            <w:vMerge w:val="continue"/>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p>
        </w:tc>
        <w:tc>
          <w:tcPr>
            <w:tcW w:w="1568" w:type="dxa"/>
            <w:gridSpan w:val="2"/>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zh-CN"/>
              </w:rPr>
              <w:t>井下涌水</w:t>
            </w:r>
          </w:p>
        </w:tc>
        <w:tc>
          <w:tcPr>
            <w:tcW w:w="1288" w:type="dxa"/>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zh-CN"/>
              </w:rPr>
              <w:t>SS</w:t>
            </w:r>
          </w:p>
        </w:tc>
        <w:tc>
          <w:tcPr>
            <w:tcW w:w="2501" w:type="dxa"/>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增设2套矿井水处理设备，采用隔油+预沉调节+混凝沉淀+斜管沉淀+石英砂过滤+消毒处理，处理后部分回用于井下降尘、地</w:t>
            </w:r>
            <w:r>
              <w:rPr>
                <w:rFonts w:hint="eastAsia" w:hAnsi="Times New Roman" w:eastAsia="宋体"/>
                <w:kern w:val="2"/>
                <w:sz w:val="21"/>
                <w:szCs w:val="21"/>
              </w:rPr>
              <w:t>面生产用水等，</w:t>
            </w:r>
            <w:r>
              <w:rPr>
                <w:rFonts w:hint="eastAsia" w:hAnsi="Times New Roman" w:eastAsia="宋体"/>
                <w:kern w:val="2"/>
                <w:sz w:val="21"/>
                <w:szCs w:val="21"/>
                <w:lang w:eastAsia="zh-CN"/>
              </w:rPr>
              <w:t>其余部分通过1.5km排水管道引至天生镇王一庙水源保护区下游河段（新宁河）排放</w:t>
            </w:r>
          </w:p>
        </w:tc>
        <w:tc>
          <w:tcPr>
            <w:tcW w:w="1791" w:type="dxa"/>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bCs/>
                <w:kern w:val="2"/>
                <w:sz w:val="21"/>
                <w:szCs w:val="21"/>
                <w:lang w:eastAsia="zh-CN"/>
              </w:rPr>
              <w:t>《地表水环境质量标准》（GB3838-2002）中Ⅲ类</w:t>
            </w:r>
          </w:p>
        </w:tc>
        <w:tc>
          <w:tcPr>
            <w:tcW w:w="1314" w:type="dxa"/>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综合利用，分别用于生产用水，余下的外排，同时设置在线监测系统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trPr>
        <w:tc>
          <w:tcPr>
            <w:tcW w:w="662" w:type="dxa"/>
            <w:vMerge w:val="continue"/>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p>
        </w:tc>
        <w:tc>
          <w:tcPr>
            <w:tcW w:w="1568" w:type="dxa"/>
            <w:gridSpan w:val="2"/>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zh-CN"/>
              </w:rPr>
              <w:t>车辆冲洗废水</w:t>
            </w:r>
          </w:p>
        </w:tc>
        <w:tc>
          <w:tcPr>
            <w:tcW w:w="1288" w:type="dxa"/>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zh-CN"/>
              </w:rPr>
              <w:t>石油类、SS</w:t>
            </w:r>
          </w:p>
        </w:tc>
        <w:tc>
          <w:tcPr>
            <w:tcW w:w="2501" w:type="dxa"/>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2"/>
              </w:rPr>
              <w:t>1个</w:t>
            </w:r>
            <w:r>
              <w:rPr>
                <w:rFonts w:hint="eastAsia" w:hAnsi="Times New Roman" w:eastAsia="宋体"/>
                <w:kern w:val="2"/>
                <w:sz w:val="21"/>
                <w:szCs w:val="21"/>
                <w:lang w:eastAsia="zh-CN"/>
              </w:rPr>
              <w:t>5</w:t>
            </w:r>
            <w:r>
              <w:rPr>
                <w:rFonts w:hint="eastAsia" w:hAnsi="Times New Roman" w:eastAsia="宋体"/>
                <w:kern w:val="2"/>
                <w:sz w:val="21"/>
                <w:szCs w:val="22"/>
              </w:rPr>
              <w:t>m</w:t>
            </w:r>
            <w:r>
              <w:rPr>
                <w:rFonts w:hint="eastAsia" w:hAnsi="Times New Roman" w:eastAsia="宋体"/>
                <w:kern w:val="2"/>
                <w:position w:val="7"/>
                <w:sz w:val="13"/>
                <w:szCs w:val="22"/>
              </w:rPr>
              <w:t>3</w:t>
            </w:r>
            <w:r>
              <w:rPr>
                <w:rFonts w:hint="eastAsia" w:hAnsi="Times New Roman" w:eastAsia="宋体"/>
                <w:spacing w:val="-8"/>
                <w:kern w:val="2"/>
                <w:position w:val="7"/>
                <w:sz w:val="13"/>
                <w:szCs w:val="22"/>
              </w:rPr>
              <w:t xml:space="preserve"> </w:t>
            </w:r>
            <w:r>
              <w:rPr>
                <w:rFonts w:hint="eastAsia" w:hAnsi="Times New Roman" w:eastAsia="宋体"/>
                <w:spacing w:val="-1"/>
                <w:kern w:val="2"/>
                <w:sz w:val="21"/>
                <w:szCs w:val="22"/>
              </w:rPr>
              <w:t>的</w:t>
            </w:r>
            <w:r>
              <w:rPr>
                <w:rFonts w:hint="eastAsia" w:hAnsi="Times New Roman" w:eastAsia="宋体"/>
                <w:kern w:val="2"/>
                <w:sz w:val="21"/>
                <w:szCs w:val="21"/>
                <w:lang w:eastAsia="zh-CN"/>
              </w:rPr>
              <w:t>隔油沉淀池对车辆冲洗废水进行处理，处理</w:t>
            </w:r>
            <w:r>
              <w:rPr>
                <w:rFonts w:hint="eastAsia" w:hAnsi="Times New Roman" w:eastAsia="宋体"/>
                <w:kern w:val="2"/>
                <w:sz w:val="21"/>
                <w:szCs w:val="22"/>
              </w:rPr>
              <w:t>后回用于</w:t>
            </w:r>
            <w:r>
              <w:rPr>
                <w:rFonts w:hint="eastAsia" w:hAnsi="Times New Roman" w:eastAsia="宋体"/>
                <w:kern w:val="2"/>
                <w:sz w:val="21"/>
                <w:szCs w:val="22"/>
                <w:lang w:eastAsia="zh-CN"/>
              </w:rPr>
              <w:t>车辆冲洗</w:t>
            </w:r>
          </w:p>
        </w:tc>
        <w:tc>
          <w:tcPr>
            <w:tcW w:w="3105" w:type="dxa"/>
            <w:gridSpan w:val="2"/>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trPr>
        <w:tc>
          <w:tcPr>
            <w:tcW w:w="662" w:type="dxa"/>
            <w:vMerge w:val="continue"/>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p>
        </w:tc>
        <w:tc>
          <w:tcPr>
            <w:tcW w:w="1568" w:type="dxa"/>
            <w:gridSpan w:val="2"/>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rPr>
            </w:pPr>
            <w:r>
              <w:rPr>
                <w:rFonts w:hint="eastAsia" w:hAnsi="Times New Roman" w:eastAsia="宋体"/>
                <w:kern w:val="2"/>
                <w:sz w:val="21"/>
                <w:szCs w:val="21"/>
              </w:rPr>
              <w:t>机修车间洗</w:t>
            </w:r>
          </w:p>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手废水</w:t>
            </w:r>
          </w:p>
        </w:tc>
        <w:tc>
          <w:tcPr>
            <w:tcW w:w="1288" w:type="dxa"/>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石油类、SS</w:t>
            </w:r>
          </w:p>
        </w:tc>
        <w:tc>
          <w:tcPr>
            <w:tcW w:w="2501" w:type="dxa"/>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2"/>
              </w:rPr>
            </w:pPr>
            <w:r>
              <w:rPr>
                <w:rFonts w:hint="eastAsia" w:hAnsi="Times New Roman" w:eastAsia="宋体"/>
                <w:spacing w:val="-64"/>
                <w:kern w:val="2"/>
                <w:sz w:val="21"/>
                <w:szCs w:val="22"/>
              </w:rPr>
              <w:t xml:space="preserve"> </w:t>
            </w:r>
            <w:r>
              <w:rPr>
                <w:rFonts w:hint="eastAsia" w:hAnsi="Times New Roman" w:eastAsia="宋体"/>
                <w:kern w:val="2"/>
                <w:sz w:val="21"/>
                <w:szCs w:val="22"/>
              </w:rPr>
              <w:t>1个</w:t>
            </w:r>
            <w:r>
              <w:rPr>
                <w:rFonts w:hint="eastAsia" w:hAnsi="Times New Roman" w:eastAsia="宋体"/>
                <w:spacing w:val="-66"/>
                <w:kern w:val="2"/>
                <w:sz w:val="21"/>
                <w:szCs w:val="22"/>
              </w:rPr>
              <w:t xml:space="preserve"> </w:t>
            </w:r>
            <w:r>
              <w:rPr>
                <w:rFonts w:hint="eastAsia" w:hAnsi="Times New Roman" w:eastAsia="宋体"/>
                <w:spacing w:val="1"/>
                <w:kern w:val="2"/>
                <w:sz w:val="21"/>
                <w:szCs w:val="22"/>
              </w:rPr>
              <w:t>1</w:t>
            </w:r>
            <w:r>
              <w:rPr>
                <w:rFonts w:hint="eastAsia" w:hAnsi="Times New Roman" w:eastAsia="宋体"/>
                <w:kern w:val="2"/>
                <w:sz w:val="21"/>
                <w:szCs w:val="22"/>
              </w:rPr>
              <w:t>m</w:t>
            </w:r>
            <w:r>
              <w:rPr>
                <w:rFonts w:hint="eastAsia" w:hAnsi="Times New Roman" w:eastAsia="宋体"/>
                <w:kern w:val="2"/>
                <w:position w:val="7"/>
                <w:sz w:val="13"/>
                <w:szCs w:val="22"/>
              </w:rPr>
              <w:t>3</w:t>
            </w:r>
            <w:r>
              <w:rPr>
                <w:rFonts w:hint="eastAsia" w:hAnsi="Times New Roman" w:eastAsia="宋体"/>
                <w:spacing w:val="-8"/>
                <w:kern w:val="2"/>
                <w:position w:val="7"/>
                <w:sz w:val="13"/>
                <w:szCs w:val="22"/>
              </w:rPr>
              <w:t xml:space="preserve"> </w:t>
            </w:r>
            <w:r>
              <w:rPr>
                <w:rFonts w:hint="eastAsia" w:hAnsi="Times New Roman" w:eastAsia="宋体"/>
                <w:spacing w:val="-1"/>
                <w:kern w:val="2"/>
                <w:sz w:val="21"/>
                <w:szCs w:val="22"/>
              </w:rPr>
              <w:t>的</w:t>
            </w:r>
            <w:r>
              <w:rPr>
                <w:rFonts w:hint="eastAsia" w:hAnsi="Times New Roman" w:eastAsia="宋体"/>
                <w:kern w:val="2"/>
                <w:sz w:val="21"/>
                <w:szCs w:val="21"/>
                <w:lang w:eastAsia="zh-CN"/>
              </w:rPr>
              <w:t>隔油池处理机修车间洗手废水，经隔油沉淀后回用于地面生产防尘等</w:t>
            </w:r>
          </w:p>
        </w:tc>
        <w:tc>
          <w:tcPr>
            <w:tcW w:w="3105" w:type="dxa"/>
            <w:gridSpan w:val="2"/>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trPr>
        <w:tc>
          <w:tcPr>
            <w:tcW w:w="662" w:type="dxa"/>
            <w:vMerge w:val="continue"/>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p>
        </w:tc>
        <w:tc>
          <w:tcPr>
            <w:tcW w:w="1568" w:type="dxa"/>
            <w:gridSpan w:val="2"/>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zh-CN"/>
              </w:rPr>
              <w:t>初期雨水</w:t>
            </w:r>
          </w:p>
        </w:tc>
        <w:tc>
          <w:tcPr>
            <w:tcW w:w="1288" w:type="dxa"/>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zh-CN"/>
              </w:rPr>
              <w:t>SS</w:t>
            </w:r>
          </w:p>
        </w:tc>
        <w:tc>
          <w:tcPr>
            <w:tcW w:w="2501" w:type="dxa"/>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在煤炭、矸石储运场地上游外侧截洪沟。场内集水沟及初期雨水沉淀</w:t>
            </w:r>
          </w:p>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zh-CN"/>
              </w:rPr>
              <w:t>池（容积20m</w:t>
            </w:r>
            <w:r>
              <w:rPr>
                <w:rFonts w:hint="eastAsia" w:hAnsi="Times New Roman" w:eastAsia="宋体"/>
                <w:kern w:val="2"/>
                <w:sz w:val="21"/>
                <w:szCs w:val="21"/>
                <w:vertAlign w:val="superscript"/>
                <w:lang w:eastAsia="zh-CN"/>
              </w:rPr>
              <w:t>2</w:t>
            </w:r>
            <w:r>
              <w:rPr>
                <w:rFonts w:hint="eastAsia" w:hAnsi="Times New Roman" w:eastAsia="宋体"/>
                <w:kern w:val="2"/>
                <w:sz w:val="21"/>
                <w:szCs w:val="21"/>
                <w:lang w:eastAsia="zh-CN"/>
              </w:rPr>
              <w:t>）。</w:t>
            </w:r>
          </w:p>
        </w:tc>
        <w:tc>
          <w:tcPr>
            <w:tcW w:w="3105" w:type="dxa"/>
            <w:gridSpan w:val="2"/>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trPr>
        <w:tc>
          <w:tcPr>
            <w:tcW w:w="662" w:type="dxa"/>
            <w:vMerge w:val="restart"/>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zh-CN"/>
              </w:rPr>
              <w:t>噪声</w:t>
            </w:r>
          </w:p>
        </w:tc>
        <w:tc>
          <w:tcPr>
            <w:tcW w:w="1568" w:type="dxa"/>
            <w:gridSpan w:val="2"/>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zh-CN"/>
              </w:rPr>
              <w:t>工业场地</w:t>
            </w:r>
          </w:p>
        </w:tc>
        <w:tc>
          <w:tcPr>
            <w:tcW w:w="1288" w:type="dxa"/>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zh-CN"/>
              </w:rPr>
              <w:t>Ln、Ld</w:t>
            </w:r>
          </w:p>
        </w:tc>
        <w:tc>
          <w:tcPr>
            <w:tcW w:w="2501" w:type="dxa"/>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空气热源泵房，设备基础减震，隔声门窗；空压机房，采用隔振机座，进气口安装消声器，隔声门窗。</w:t>
            </w:r>
          </w:p>
        </w:tc>
        <w:tc>
          <w:tcPr>
            <w:tcW w:w="1791" w:type="dxa"/>
            <w:vMerge w:val="restart"/>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p>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《工业企业厂界环境噪声排放标准》2 类</w:t>
            </w:r>
          </w:p>
        </w:tc>
        <w:tc>
          <w:tcPr>
            <w:tcW w:w="1314" w:type="dxa"/>
            <w:vMerge w:val="restart"/>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p>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场界噪声达标，不扰民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trPr>
        <w:tc>
          <w:tcPr>
            <w:tcW w:w="662" w:type="dxa"/>
            <w:vMerge w:val="continue"/>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p>
        </w:tc>
        <w:tc>
          <w:tcPr>
            <w:tcW w:w="1568" w:type="dxa"/>
            <w:gridSpan w:val="2"/>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zh-CN"/>
              </w:rPr>
              <w:t>风井场地</w:t>
            </w:r>
          </w:p>
        </w:tc>
        <w:tc>
          <w:tcPr>
            <w:tcW w:w="1288" w:type="dxa"/>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zh-CN"/>
              </w:rPr>
              <w:t>Ln、Ld</w:t>
            </w:r>
          </w:p>
        </w:tc>
        <w:tc>
          <w:tcPr>
            <w:tcW w:w="2501" w:type="dxa"/>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zh-CN"/>
              </w:rPr>
              <w:t>通风机安装消声器</w:t>
            </w:r>
          </w:p>
        </w:tc>
        <w:tc>
          <w:tcPr>
            <w:tcW w:w="1791" w:type="dxa"/>
            <w:vMerge w:val="continue"/>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en-US"/>
              </w:rPr>
            </w:pPr>
          </w:p>
        </w:tc>
        <w:tc>
          <w:tcPr>
            <w:tcW w:w="1314" w:type="dxa"/>
            <w:vMerge w:val="continue"/>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trPr>
        <w:tc>
          <w:tcPr>
            <w:tcW w:w="662" w:type="dxa"/>
            <w:vMerge w:val="restart"/>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p>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zh-CN"/>
              </w:rPr>
              <w:t>固体废物</w:t>
            </w:r>
          </w:p>
        </w:tc>
        <w:tc>
          <w:tcPr>
            <w:tcW w:w="1568" w:type="dxa"/>
            <w:gridSpan w:val="2"/>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zh-CN"/>
              </w:rPr>
              <w:t>废机油</w:t>
            </w:r>
          </w:p>
        </w:tc>
        <w:tc>
          <w:tcPr>
            <w:tcW w:w="1288" w:type="dxa"/>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zh-CN"/>
              </w:rPr>
              <w:t>/</w:t>
            </w:r>
          </w:p>
        </w:tc>
        <w:tc>
          <w:tcPr>
            <w:tcW w:w="2501" w:type="dxa"/>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危废暂存间1间，面</w:t>
            </w:r>
          </w:p>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积10m</w:t>
            </w:r>
            <w:r>
              <w:rPr>
                <w:rFonts w:hint="eastAsia" w:hAnsi="Times New Roman" w:eastAsia="宋体"/>
                <w:kern w:val="2"/>
                <w:sz w:val="21"/>
                <w:szCs w:val="21"/>
                <w:vertAlign w:val="superscript"/>
                <w:lang w:eastAsia="zh-CN"/>
              </w:rPr>
              <w:t>2</w:t>
            </w:r>
            <w:r>
              <w:rPr>
                <w:rFonts w:hint="eastAsia" w:hAnsi="Times New Roman" w:eastAsia="宋体"/>
                <w:kern w:val="2"/>
                <w:sz w:val="21"/>
                <w:szCs w:val="21"/>
                <w:lang w:eastAsia="zh-CN"/>
              </w:rPr>
              <w:t>，</w:t>
            </w:r>
          </w:p>
        </w:tc>
        <w:tc>
          <w:tcPr>
            <w:tcW w:w="3105" w:type="dxa"/>
            <w:gridSpan w:val="2"/>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《危险废物贮存污染控制标准》（GB18597-2023）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trPr>
        <w:tc>
          <w:tcPr>
            <w:tcW w:w="662" w:type="dxa"/>
            <w:vMerge w:val="continue"/>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p>
        </w:tc>
        <w:tc>
          <w:tcPr>
            <w:tcW w:w="1568" w:type="dxa"/>
            <w:gridSpan w:val="2"/>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zh-CN"/>
              </w:rPr>
              <w:t>生活垃圾</w:t>
            </w:r>
          </w:p>
        </w:tc>
        <w:tc>
          <w:tcPr>
            <w:tcW w:w="1288" w:type="dxa"/>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zh-CN"/>
              </w:rPr>
              <w:t>/</w:t>
            </w:r>
          </w:p>
        </w:tc>
        <w:tc>
          <w:tcPr>
            <w:tcW w:w="2501" w:type="dxa"/>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集中收集点1处；垃圾收集桶10个。</w:t>
            </w:r>
          </w:p>
        </w:tc>
        <w:tc>
          <w:tcPr>
            <w:tcW w:w="3105" w:type="dxa"/>
            <w:gridSpan w:val="2"/>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集中收集、定期清运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trPr>
        <w:tc>
          <w:tcPr>
            <w:tcW w:w="662" w:type="dxa"/>
            <w:vMerge w:val="continue"/>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p>
        </w:tc>
        <w:tc>
          <w:tcPr>
            <w:tcW w:w="1568" w:type="dxa"/>
            <w:gridSpan w:val="2"/>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en-US"/>
              </w:rPr>
            </w:pPr>
            <w:r>
              <w:rPr>
                <w:rFonts w:hint="eastAsia" w:hAnsi="Times New Roman" w:eastAsia="宋体"/>
                <w:spacing w:val="-2"/>
                <w:kern w:val="2"/>
                <w:sz w:val="21"/>
                <w:szCs w:val="22"/>
              </w:rPr>
              <w:t>煤矸石</w:t>
            </w:r>
          </w:p>
        </w:tc>
        <w:tc>
          <w:tcPr>
            <w:tcW w:w="1288" w:type="dxa"/>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zh-CN"/>
              </w:rPr>
              <w:t>/</w:t>
            </w:r>
          </w:p>
        </w:tc>
        <w:tc>
          <w:tcPr>
            <w:tcW w:w="5606" w:type="dxa"/>
            <w:gridSpan w:val="3"/>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矸石堆场临时存储，及时清运砖厂制砖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trPr>
        <w:tc>
          <w:tcPr>
            <w:tcW w:w="662" w:type="dxa"/>
            <w:vMerge w:val="continue"/>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p>
        </w:tc>
        <w:tc>
          <w:tcPr>
            <w:tcW w:w="1568" w:type="dxa"/>
            <w:gridSpan w:val="2"/>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zh-CN"/>
              </w:rPr>
              <w:t>沉淀池煤泥</w:t>
            </w:r>
          </w:p>
        </w:tc>
        <w:tc>
          <w:tcPr>
            <w:tcW w:w="1288" w:type="dxa"/>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zh-CN"/>
              </w:rPr>
              <w:t>/</w:t>
            </w:r>
          </w:p>
        </w:tc>
        <w:tc>
          <w:tcPr>
            <w:tcW w:w="5606" w:type="dxa"/>
            <w:gridSpan w:val="3"/>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干化后送至砖厂制砖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trPr>
        <w:tc>
          <w:tcPr>
            <w:tcW w:w="662" w:type="dxa"/>
            <w:vMerge w:val="continue"/>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p>
        </w:tc>
        <w:tc>
          <w:tcPr>
            <w:tcW w:w="1568" w:type="dxa"/>
            <w:gridSpan w:val="2"/>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废弃矿灯、废弃蓄电池</w:t>
            </w:r>
          </w:p>
        </w:tc>
        <w:tc>
          <w:tcPr>
            <w:tcW w:w="1288" w:type="dxa"/>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zh-CN"/>
              </w:rPr>
              <w:t>/</w:t>
            </w:r>
          </w:p>
        </w:tc>
        <w:tc>
          <w:tcPr>
            <w:tcW w:w="5606" w:type="dxa"/>
            <w:gridSpan w:val="3"/>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厂家回收处理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trPr>
        <w:tc>
          <w:tcPr>
            <w:tcW w:w="662" w:type="dxa"/>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生态</w:t>
            </w:r>
          </w:p>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zh-CN"/>
              </w:rPr>
              <w:t>整治</w:t>
            </w:r>
          </w:p>
        </w:tc>
        <w:tc>
          <w:tcPr>
            <w:tcW w:w="5357" w:type="dxa"/>
            <w:gridSpan w:val="4"/>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土流失，植被破坏和地层扰动</w:t>
            </w:r>
          </w:p>
        </w:tc>
        <w:tc>
          <w:tcPr>
            <w:tcW w:w="3105" w:type="dxa"/>
            <w:gridSpan w:val="2"/>
            <w:vAlign w:val="center"/>
          </w:tcPr>
          <w:p>
            <w:pPr>
              <w:keepNext w:val="0"/>
              <w:keepLines w:val="0"/>
              <w:suppressLineNumbers w:val="0"/>
              <w:spacing w:before="0" w:beforeAutospacing="0" w:after="0" w:afterAutospacing="0" w:line="3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对已废弃的矸石堆场及时进行生态恢复</w:t>
            </w:r>
          </w:p>
        </w:tc>
      </w:tr>
    </w:tbl>
    <w:p>
      <w:pPr>
        <w:pStyle w:val="14"/>
        <w:kinsoku w:val="0"/>
        <w:overflowPunct w:val="0"/>
        <w:spacing w:line="450" w:lineRule="exact"/>
        <w:ind w:left="146" w:firstLine="480"/>
        <w:rPr>
          <w:rFonts w:ascii="Times New Roman" w:hAnsi="Times New Roman"/>
          <w:lang w:eastAsia="zh-CN"/>
        </w:rPr>
      </w:pPr>
    </w:p>
    <w:p>
      <w:pPr>
        <w:rPr>
          <w:rFonts w:hAnsi="Times New Roman" w:eastAsia="宋体"/>
          <w:lang w:eastAsia="zh-CN"/>
        </w:rPr>
      </w:pPr>
    </w:p>
    <w:p>
      <w:pPr>
        <w:pStyle w:val="27"/>
        <w:ind w:left="960" w:hanging="480"/>
        <w:rPr>
          <w:rFonts w:hAnsi="Times New Roman" w:eastAsia="宋体"/>
          <w:lang w:eastAsia="zh-CN"/>
        </w:rPr>
      </w:pPr>
    </w:p>
    <w:p>
      <w:pPr>
        <w:rPr>
          <w:rFonts w:hAnsi="Times New Roman" w:eastAsia="宋体"/>
          <w:lang w:eastAsia="zh-CN"/>
        </w:rPr>
      </w:pPr>
    </w:p>
    <w:p>
      <w:pPr>
        <w:pStyle w:val="27"/>
        <w:ind w:left="960" w:hanging="480"/>
        <w:rPr>
          <w:rFonts w:hAnsi="Times New Roman" w:eastAsia="宋体"/>
          <w:lang w:eastAsia="zh-CN"/>
        </w:rPr>
      </w:pPr>
    </w:p>
    <w:p>
      <w:pPr>
        <w:rPr>
          <w:rFonts w:hAnsi="Times New Roman" w:eastAsia="宋体"/>
          <w:lang w:eastAsia="zh-CN"/>
        </w:rPr>
      </w:pPr>
    </w:p>
    <w:p>
      <w:pPr>
        <w:pStyle w:val="27"/>
        <w:ind w:left="960" w:hanging="480"/>
        <w:rPr>
          <w:rFonts w:hAnsi="Times New Roman" w:eastAsia="宋体"/>
          <w:lang w:eastAsia="zh-CN"/>
        </w:rPr>
      </w:pPr>
    </w:p>
    <w:p>
      <w:pPr>
        <w:rPr>
          <w:rFonts w:hAnsi="Times New Roman" w:eastAsia="宋体"/>
          <w:lang w:eastAsia="zh-CN"/>
        </w:rPr>
      </w:pPr>
    </w:p>
    <w:p>
      <w:pPr>
        <w:pStyle w:val="4"/>
        <w:rPr>
          <w:lang w:eastAsia="zh-CN"/>
        </w:rPr>
      </w:pPr>
      <w:bookmarkStart w:id="720" w:name="_Toc167095346"/>
      <w:bookmarkStart w:id="721" w:name="_Toc163749227"/>
      <w:r>
        <w:rPr>
          <w:lang w:eastAsia="zh-CN"/>
        </w:rPr>
        <w:t>14 政策及规划</w:t>
      </w:r>
      <w:r>
        <w:rPr>
          <w:szCs w:val="22"/>
          <w:lang w:eastAsia="zh-CN"/>
        </w:rPr>
        <w:t>符合</w:t>
      </w:r>
      <w:r>
        <w:rPr>
          <w:lang w:eastAsia="zh-CN"/>
        </w:rPr>
        <w:t>性分析</w:t>
      </w:r>
      <w:bookmarkEnd w:id="720"/>
      <w:bookmarkEnd w:id="721"/>
    </w:p>
    <w:p>
      <w:pPr>
        <w:pStyle w:val="5"/>
        <w:rPr>
          <w:rFonts w:ascii="Times New Roman" w:hAnsi="Times New Roman"/>
          <w:lang w:eastAsia="zh-CN"/>
        </w:rPr>
      </w:pPr>
      <w:bookmarkStart w:id="722" w:name="_Toc163749228"/>
      <w:bookmarkStart w:id="723" w:name="_Toc167095347"/>
      <w:r>
        <w:rPr>
          <w:rFonts w:ascii="Times New Roman" w:hAnsi="Times New Roman"/>
          <w:lang w:eastAsia="zh-CN"/>
        </w:rPr>
        <w:t>14.1 产业政策符合性分析</w:t>
      </w:r>
      <w:bookmarkEnd w:id="722"/>
      <w:bookmarkEnd w:id="723"/>
    </w:p>
    <w:p>
      <w:pPr>
        <w:pStyle w:val="6"/>
        <w:rPr>
          <w:lang w:eastAsia="zh-CN"/>
        </w:rPr>
      </w:pPr>
      <w:bookmarkStart w:id="724" w:name="_Toc163812725"/>
      <w:bookmarkStart w:id="725" w:name="_Toc167095348"/>
      <w:r>
        <w:rPr>
          <w:lang w:eastAsia="zh-CN"/>
        </w:rPr>
        <w:t>14.1.1 与《产业结构调整指导目录（20</w:t>
      </w:r>
      <w:r>
        <w:rPr>
          <w:rFonts w:hint="eastAsia"/>
          <w:lang w:eastAsia="zh-CN"/>
        </w:rPr>
        <w:t>24</w:t>
      </w:r>
      <w:r>
        <w:rPr>
          <w:lang w:eastAsia="zh-CN"/>
        </w:rPr>
        <w:t>年本）</w:t>
      </w:r>
      <w:r>
        <w:rPr>
          <w:rFonts w:hint="eastAsia"/>
          <w:lang w:eastAsia="zh-CN"/>
        </w:rPr>
        <w:t>》</w:t>
      </w:r>
      <w:r>
        <w:rPr>
          <w:lang w:eastAsia="zh-CN"/>
        </w:rPr>
        <w:t>的符合性</w:t>
      </w:r>
      <w:bookmarkEnd w:id="724"/>
      <w:bookmarkEnd w:id="725"/>
    </w:p>
    <w:p>
      <w:pPr>
        <w:spacing w:line="360" w:lineRule="auto"/>
        <w:ind w:firstLine="480" w:firstLineChars="200"/>
        <w:rPr>
          <w:rFonts w:hAnsi="Times New Roman" w:eastAsia="宋体"/>
          <w:lang w:eastAsia="zh-CN"/>
        </w:rPr>
      </w:pPr>
      <w:r>
        <w:rPr>
          <w:rFonts w:hAnsi="Times New Roman" w:eastAsia="宋体"/>
          <w:lang w:eastAsia="zh-CN"/>
        </w:rPr>
        <w:t>根据《产业结构调整指导目录（</w:t>
      </w:r>
      <w:r>
        <w:rPr>
          <w:rFonts w:hint="eastAsia" w:hAnsi="Times New Roman" w:eastAsia="宋体"/>
          <w:lang w:eastAsia="zh-CN"/>
        </w:rPr>
        <w:t>2024</w:t>
      </w:r>
      <w:r>
        <w:rPr>
          <w:rFonts w:hAnsi="Times New Roman" w:eastAsia="宋体"/>
          <w:lang w:eastAsia="zh-CN"/>
        </w:rPr>
        <w:t>年本）》，本项目符合性分析见下表所示。</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表14.1-1 与《产业结构调整指导目录（</w:t>
      </w:r>
      <w:r>
        <w:rPr>
          <w:rFonts w:hint="eastAsia" w:hAnsi="Times New Roman" w:eastAsia="宋体"/>
          <w:b/>
          <w:bCs/>
          <w:sz w:val="21"/>
          <w:szCs w:val="21"/>
          <w:lang w:eastAsia="zh-CN"/>
        </w:rPr>
        <w:t>2024</w:t>
      </w:r>
      <w:r>
        <w:rPr>
          <w:rFonts w:hAnsi="Times New Roman" w:eastAsia="宋体"/>
          <w:b/>
          <w:bCs/>
          <w:sz w:val="21"/>
          <w:szCs w:val="21"/>
          <w:lang w:eastAsia="zh-CN"/>
        </w:rPr>
        <w:t>年本）</w:t>
      </w:r>
      <w:r>
        <w:rPr>
          <w:rFonts w:hint="eastAsia" w:hAnsi="Times New Roman" w:eastAsia="宋体"/>
          <w:b/>
          <w:bCs/>
          <w:sz w:val="21"/>
          <w:szCs w:val="21"/>
          <w:lang w:eastAsia="zh-CN"/>
        </w:rPr>
        <w:t>》</w:t>
      </w:r>
      <w:r>
        <w:rPr>
          <w:rFonts w:hAnsi="Times New Roman" w:eastAsia="宋体"/>
          <w:b/>
          <w:bCs/>
          <w:sz w:val="21"/>
          <w:szCs w:val="21"/>
          <w:lang w:eastAsia="zh-CN"/>
        </w:rPr>
        <w:t>分析表</w:t>
      </w:r>
    </w:p>
    <w:tbl>
      <w:tblPr>
        <w:tblStyle w:val="33"/>
        <w:tblW w:w="914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85"/>
        <w:gridCol w:w="4031"/>
        <w:gridCol w:w="2715"/>
        <w:gridCol w:w="13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9" w:hRule="atLeast"/>
        </w:trPr>
        <w:tc>
          <w:tcPr>
            <w:tcW w:w="5116" w:type="dxa"/>
            <w:gridSpan w:val="2"/>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相关内容</w:t>
            </w:r>
          </w:p>
        </w:tc>
        <w:tc>
          <w:tcPr>
            <w:tcW w:w="2715"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本项目</w:t>
            </w:r>
          </w:p>
        </w:tc>
        <w:tc>
          <w:tcPr>
            <w:tcW w:w="1309"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98" w:hRule="atLeast"/>
        </w:trPr>
        <w:tc>
          <w:tcPr>
            <w:tcW w:w="1085" w:type="dxa"/>
            <w:vMerge w:val="restar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限制类</w:t>
            </w:r>
          </w:p>
        </w:tc>
        <w:tc>
          <w:tcPr>
            <w:tcW w:w="4031" w:type="dxa"/>
            <w:vAlign w:val="center"/>
          </w:tcPr>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低于30万吨/年的煤矿（其中山西、内蒙古、陕西低于120万吨/年，宁夏低于60万吨/年），低于90万吨/年的煤与瓦斯突出矿井。</w:t>
            </w:r>
          </w:p>
        </w:tc>
        <w:tc>
          <w:tcPr>
            <w:tcW w:w="2715" w:type="dxa"/>
            <w:vAlign w:val="center"/>
          </w:tcPr>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本项目升级改造后生产规模为30万吨/年</w:t>
            </w:r>
          </w:p>
        </w:tc>
        <w:tc>
          <w:tcPr>
            <w:tcW w:w="1309"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7" w:hRule="atLeast"/>
        </w:trPr>
        <w:tc>
          <w:tcPr>
            <w:tcW w:w="1085" w:type="dxa"/>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p>
        </w:tc>
        <w:tc>
          <w:tcPr>
            <w:tcW w:w="4031" w:type="dxa"/>
            <w:vAlign w:val="center"/>
          </w:tcPr>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采用非机械化开采工艺的煤矿项目</w:t>
            </w:r>
          </w:p>
        </w:tc>
        <w:tc>
          <w:tcPr>
            <w:tcW w:w="2715" w:type="dxa"/>
            <w:vAlign w:val="center"/>
          </w:tcPr>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本项目采用机械开采</w:t>
            </w:r>
          </w:p>
        </w:tc>
        <w:tc>
          <w:tcPr>
            <w:tcW w:w="1309"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7" w:hRule="atLeast"/>
        </w:trPr>
        <w:tc>
          <w:tcPr>
            <w:tcW w:w="1085" w:type="dxa"/>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p>
        </w:tc>
        <w:tc>
          <w:tcPr>
            <w:tcW w:w="4031" w:type="dxa"/>
            <w:vAlign w:val="center"/>
          </w:tcPr>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未按国家规定程序报批矿区总体规划的煤矿项目</w:t>
            </w:r>
          </w:p>
        </w:tc>
        <w:tc>
          <w:tcPr>
            <w:tcW w:w="2715" w:type="dxa"/>
            <w:vAlign w:val="center"/>
          </w:tcPr>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本项目区域矿区总体规划已按规定报批</w:t>
            </w:r>
          </w:p>
        </w:tc>
        <w:tc>
          <w:tcPr>
            <w:tcW w:w="1309"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7" w:hRule="atLeast"/>
        </w:trPr>
        <w:tc>
          <w:tcPr>
            <w:tcW w:w="1085" w:type="dxa"/>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p>
        </w:tc>
        <w:tc>
          <w:tcPr>
            <w:tcW w:w="4031" w:type="dxa"/>
            <w:vAlign w:val="center"/>
          </w:tcPr>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井下回采工作面超过2个的煤矿项目</w:t>
            </w:r>
          </w:p>
        </w:tc>
        <w:tc>
          <w:tcPr>
            <w:tcW w:w="2715" w:type="dxa"/>
            <w:vAlign w:val="center"/>
          </w:tcPr>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本项目回采工作面为1个</w:t>
            </w:r>
          </w:p>
        </w:tc>
        <w:tc>
          <w:tcPr>
            <w:tcW w:w="1309"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98" w:hRule="atLeast"/>
        </w:trPr>
        <w:tc>
          <w:tcPr>
            <w:tcW w:w="1085" w:type="dxa"/>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p>
        </w:tc>
        <w:tc>
          <w:tcPr>
            <w:tcW w:w="4031" w:type="dxa"/>
            <w:vAlign w:val="center"/>
          </w:tcPr>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开采深度超过《煤矿安全规程》规定的煤矿、质量达不到 《商品煤质量管理暂行办法》要求的商品煤、开采技术和装备列入 《煤炭生产技术与装备政策导向（2014年版）》限制目录且无法实 施技术改造的煤矿</w:t>
            </w:r>
          </w:p>
        </w:tc>
        <w:tc>
          <w:tcPr>
            <w:tcW w:w="2715" w:type="dxa"/>
            <w:vAlign w:val="center"/>
          </w:tcPr>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本项目开采深度，满足《煤矿安全规程》规定的“改扩建小型矿井开采深度不应超过600m”的要求；产品质量达到《商品煤质量管理暂行办法》的煤质要求；开采技术和装备未列入《煤炭生产技术与装备政策导向（2014 年版）》限制目录。</w:t>
            </w:r>
          </w:p>
        </w:tc>
        <w:tc>
          <w:tcPr>
            <w:tcW w:w="1309"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7" w:hRule="atLeast"/>
        </w:trPr>
        <w:tc>
          <w:tcPr>
            <w:tcW w:w="1085" w:type="dxa"/>
            <w:vMerge w:val="restar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淘汰类</w:t>
            </w:r>
          </w:p>
        </w:tc>
        <w:tc>
          <w:tcPr>
            <w:tcW w:w="4031" w:type="dxa"/>
            <w:vAlign w:val="center"/>
          </w:tcPr>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与大型煤矿井田平面投影重叠的小煤矿</w:t>
            </w:r>
          </w:p>
        </w:tc>
        <w:tc>
          <w:tcPr>
            <w:tcW w:w="2715" w:type="dxa"/>
            <w:vAlign w:val="center"/>
          </w:tcPr>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不属于</w:t>
            </w:r>
          </w:p>
        </w:tc>
        <w:tc>
          <w:tcPr>
            <w:tcW w:w="1309"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87" w:hRule="atLeast"/>
        </w:trPr>
        <w:tc>
          <w:tcPr>
            <w:tcW w:w="1085" w:type="dxa"/>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p>
        </w:tc>
        <w:tc>
          <w:tcPr>
            <w:tcW w:w="4031" w:type="dxa"/>
            <w:vAlign w:val="center"/>
          </w:tcPr>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长期停产停建的30万吨/年以下（不含30万吨/年）“僵尸企业”煤矿；30万吨/年以下（不含30万吨/年）冲击地压、煤与瓦斯突出等灾害严重煤矿，属于满足林区、边远山区居民生活用煤需要或承担特殊供应任务且符合资源、环保、安全、技术、能耗等标 准的煤矿，经省级人民政府批准，可以暂时保留或推迟退出</w:t>
            </w:r>
          </w:p>
        </w:tc>
        <w:tc>
          <w:tcPr>
            <w:tcW w:w="2715" w:type="dxa"/>
            <w:vAlign w:val="center"/>
          </w:tcPr>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本项目开采规模为30万t/a。不属于“僵尸企业”煤矿，不属于冲击地压、煤与瓦斯突出等灾害严重煤矿。</w:t>
            </w:r>
          </w:p>
        </w:tc>
        <w:tc>
          <w:tcPr>
            <w:tcW w:w="1309"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53" w:hRule="atLeast"/>
        </w:trPr>
        <w:tc>
          <w:tcPr>
            <w:tcW w:w="1085" w:type="dxa"/>
            <w:vMerge w:val="continue"/>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p>
        </w:tc>
        <w:tc>
          <w:tcPr>
            <w:tcW w:w="4031" w:type="dxa"/>
            <w:vAlign w:val="center"/>
          </w:tcPr>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既无降硫措施又无达标排放用户的高硫煤炭（含硫高于 3%）生产矿井，不能就地使用的高灰煤炭（灰分高于 40%）生产矿井以及高砷煤炭（动力用煤中砷含量超过80μg/g，炼焦用煤中砷含量超过 35μg/g）生产煤矿。</w:t>
            </w:r>
          </w:p>
        </w:tc>
        <w:tc>
          <w:tcPr>
            <w:tcW w:w="2715" w:type="dxa"/>
            <w:vAlign w:val="center"/>
          </w:tcPr>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本项目含硫 0.33%～0.56% 不属于高硫煤炭，灰分28.64～34.35，不属于高灰煤炭。</w:t>
            </w:r>
          </w:p>
        </w:tc>
        <w:tc>
          <w:tcPr>
            <w:tcW w:w="1309"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bl>
    <w:p>
      <w:pPr>
        <w:pStyle w:val="6"/>
        <w:rPr>
          <w:lang w:eastAsia="zh-CN"/>
        </w:rPr>
      </w:pPr>
      <w:bookmarkStart w:id="726" w:name="_Toc167095349"/>
      <w:bookmarkStart w:id="727" w:name="_Toc163812726"/>
      <w:r>
        <w:rPr>
          <w:lang w:eastAsia="zh-CN"/>
        </w:rPr>
        <w:t>14.1.2 与《煤炭产业政策》符合性分析</w:t>
      </w:r>
      <w:bookmarkEnd w:id="726"/>
      <w:bookmarkEnd w:id="727"/>
    </w:p>
    <w:p>
      <w:pPr>
        <w:spacing w:line="360" w:lineRule="auto"/>
        <w:ind w:firstLine="480" w:firstLineChars="200"/>
        <w:rPr>
          <w:rFonts w:hAnsi="Times New Roman" w:eastAsia="宋体"/>
          <w:lang w:eastAsia="zh-CN"/>
        </w:rPr>
      </w:pPr>
      <w:r>
        <w:rPr>
          <w:rFonts w:hAnsi="Times New Roman" w:eastAsia="宋体"/>
          <w:lang w:eastAsia="zh-CN"/>
        </w:rPr>
        <w:t>项目建设与煤炭产业政策符合性分析详见下表。</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表14.1-2 与煤炭产业政策符合性分析</w:t>
      </w:r>
    </w:p>
    <w:tbl>
      <w:tblPr>
        <w:tblStyle w:val="33"/>
        <w:tblW w:w="912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09"/>
        <w:gridCol w:w="5205"/>
        <w:gridCol w:w="2429"/>
        <w:gridCol w:w="8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609"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项目</w:t>
            </w:r>
          </w:p>
        </w:tc>
        <w:tc>
          <w:tcPr>
            <w:tcW w:w="5205"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政策内容</w:t>
            </w:r>
          </w:p>
        </w:tc>
        <w:tc>
          <w:tcPr>
            <w:tcW w:w="2429"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项目建设内容</w:t>
            </w:r>
          </w:p>
        </w:tc>
        <w:tc>
          <w:tcPr>
            <w:tcW w:w="880"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609"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产业准入</w:t>
            </w:r>
          </w:p>
        </w:tc>
        <w:tc>
          <w:tcPr>
            <w:tcW w:w="5205"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第十五条山西、内蒙古、陕西等省（区）新建改扩建矿井规模不低于120万吨/年。重庆、四川贵州、云南等省（市）新建、改扩建矿井规模不低于15万吨/年。福建、江西、湖北、湖南、广西等省（区）新建、改扩建矿井规模不低于9万吨/年。其他地区新建、改扩建矿井规模不低于30万吨/年。</w:t>
            </w:r>
          </w:p>
        </w:tc>
        <w:tc>
          <w:tcPr>
            <w:tcW w:w="2429"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本项目属于四川省内的煤矿技改项目，生产规模为30万t/a，符合该文件要求。</w:t>
            </w:r>
          </w:p>
        </w:tc>
        <w:tc>
          <w:tcPr>
            <w:tcW w:w="88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609" w:type="dxa"/>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高效</w:t>
            </w:r>
          </w:p>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利用与环境保护</w:t>
            </w:r>
          </w:p>
        </w:tc>
        <w:tc>
          <w:tcPr>
            <w:tcW w:w="5205"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第三十六条：“按照减量化、再利用、资源化的原则，综合开发利用与煤共伴生资源和煤矿废弃物。……”</w:t>
            </w:r>
          </w:p>
        </w:tc>
        <w:tc>
          <w:tcPr>
            <w:tcW w:w="2429"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运营期矸石用于外售制砖； 矿井废水处理后优先回用。</w:t>
            </w:r>
          </w:p>
        </w:tc>
        <w:tc>
          <w:tcPr>
            <w:tcW w:w="88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609" w:type="dxa"/>
            <w:vMerge w:val="continue"/>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p>
        </w:tc>
        <w:tc>
          <w:tcPr>
            <w:tcW w:w="5205"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三十八条 煤炭采选、贮存、装卸过程中产生的污染物必须达标排放，防止二次污染。加强煤矿瓦斯抽采利用和减少排放。洗煤水应当实现闭路循环。优化巷道布置，减少井下矸石产出量。</w:t>
            </w:r>
          </w:p>
        </w:tc>
        <w:tc>
          <w:tcPr>
            <w:tcW w:w="2429"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矿井设计有相应的污染治理措施，进行防尘处理，矿井涌水处理后部分回用，剩下达标排放。</w:t>
            </w:r>
          </w:p>
        </w:tc>
        <w:tc>
          <w:tcPr>
            <w:tcW w:w="88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zh-CN"/>
              </w:rPr>
              <w:t>符合</w:t>
            </w:r>
          </w:p>
        </w:tc>
      </w:tr>
    </w:tbl>
    <w:p>
      <w:pPr>
        <w:spacing w:line="360" w:lineRule="auto"/>
        <w:ind w:firstLine="480" w:firstLineChars="200"/>
        <w:rPr>
          <w:rFonts w:hAnsi="Times New Roman" w:eastAsia="宋体"/>
          <w:lang w:eastAsia="zh-CN"/>
        </w:rPr>
      </w:pPr>
      <w:r>
        <w:rPr>
          <w:rFonts w:hAnsi="Times New Roman" w:eastAsia="宋体"/>
          <w:lang w:eastAsia="zh-CN"/>
        </w:rPr>
        <w:t>总体上，本项目符合《煤炭产业政策》中相关准入条件和产业技术要求。</w:t>
      </w:r>
    </w:p>
    <w:p>
      <w:pPr>
        <w:pStyle w:val="6"/>
        <w:rPr>
          <w:lang w:eastAsia="zh-CN"/>
        </w:rPr>
      </w:pPr>
      <w:bookmarkStart w:id="728" w:name="_Toc163812727"/>
      <w:bookmarkStart w:id="729" w:name="_Toc167095350"/>
      <w:r>
        <w:rPr>
          <w:lang w:eastAsia="zh-CN"/>
        </w:rPr>
        <w:t>14.1.3 与《国务院关于煤炭行业化解过剩产能实现脱困发展的意见》</w:t>
      </w:r>
      <w:bookmarkEnd w:id="728"/>
      <w:r>
        <w:rPr>
          <w:lang w:eastAsia="zh-CN"/>
        </w:rPr>
        <w:t>（国发</w:t>
      </w:r>
      <w:r>
        <w:rPr>
          <w:rFonts w:hint="eastAsia"/>
          <w:lang w:eastAsia="zh-CN"/>
        </w:rPr>
        <w:t>〔</w:t>
      </w:r>
      <w:r>
        <w:rPr>
          <w:lang w:eastAsia="zh-CN"/>
        </w:rPr>
        <w:t>2016</w:t>
      </w:r>
      <w:r>
        <w:rPr>
          <w:rFonts w:hint="eastAsia"/>
          <w:lang w:eastAsia="zh-CN"/>
        </w:rPr>
        <w:t>〕</w:t>
      </w:r>
      <w:r>
        <w:rPr>
          <w:lang w:eastAsia="zh-CN"/>
        </w:rPr>
        <w:t>7号）相关符合性分析</w:t>
      </w:r>
      <w:bookmarkEnd w:id="729"/>
    </w:p>
    <w:p>
      <w:pPr>
        <w:spacing w:line="360" w:lineRule="auto"/>
        <w:ind w:firstLine="480" w:firstLineChars="200"/>
        <w:rPr>
          <w:rFonts w:hAnsi="Times New Roman" w:eastAsia="宋体"/>
          <w:lang w:eastAsia="zh-CN"/>
        </w:rPr>
      </w:pPr>
      <w:r>
        <w:rPr>
          <w:rFonts w:hAnsi="Times New Roman" w:eastAsia="宋体"/>
          <w:lang w:eastAsia="zh-CN"/>
        </w:rPr>
        <w:t>根据《国务院关于煤炭行业化解过剩产能实现脱困发展的意见》</w:t>
      </w:r>
      <w:r>
        <w:rPr>
          <w:rFonts w:hint="eastAsia" w:hAnsi="Times New Roman" w:eastAsia="宋体"/>
          <w:lang w:eastAsia="zh-CN"/>
        </w:rPr>
        <w:t>（</w:t>
      </w:r>
      <w:r>
        <w:rPr>
          <w:rFonts w:hAnsi="Times New Roman" w:eastAsia="宋体"/>
          <w:lang w:eastAsia="zh-CN"/>
        </w:rPr>
        <w:t>国发〔2016〕7号</w:t>
      </w:r>
      <w:r>
        <w:rPr>
          <w:rFonts w:hint="eastAsia" w:hAnsi="Times New Roman" w:eastAsia="宋体"/>
          <w:lang w:eastAsia="zh-CN"/>
        </w:rPr>
        <w:t>）</w:t>
      </w:r>
      <w:r>
        <w:rPr>
          <w:rFonts w:hAnsi="Times New Roman" w:eastAsia="宋体"/>
          <w:lang w:eastAsia="zh-CN"/>
        </w:rPr>
        <w:t>，主要任务是要严格控制新增产能，加快淘汰落后产能和其他不符合产业政策的产能，具体见下表。</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表14.1-3 项目与国发〔2016〕7号符合性</w:t>
      </w:r>
    </w:p>
    <w:tbl>
      <w:tblPr>
        <w:tblStyle w:val="33"/>
        <w:tblW w:w="912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27"/>
        <w:gridCol w:w="4453"/>
        <w:gridCol w:w="2964"/>
        <w:gridCol w:w="7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blHeader/>
        </w:trPr>
        <w:tc>
          <w:tcPr>
            <w:tcW w:w="5380" w:type="dxa"/>
            <w:gridSpan w:val="2"/>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相关内容</w:t>
            </w:r>
          </w:p>
        </w:tc>
        <w:tc>
          <w:tcPr>
            <w:tcW w:w="2964"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本工程</w:t>
            </w:r>
          </w:p>
        </w:tc>
        <w:tc>
          <w:tcPr>
            <w:tcW w:w="779"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是否满足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927"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（四）严格控制新增产能</w:t>
            </w:r>
          </w:p>
        </w:tc>
        <w:tc>
          <w:tcPr>
            <w:tcW w:w="4453"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从2016年起，3年内原则上停止审批新建煤矿项目、新增产能的技术改造项目和产能核增项目； 确需新建煤矿的，一律实行减量置换。在建煤矿项目应按一定比例与淘汰落后产能和化解过剩产能挂钩，已完成淘汰落后产能和化解过剩产能任务的在建煤矿项目应由省级人民政府有关部门予以公告。</w:t>
            </w:r>
          </w:p>
        </w:tc>
        <w:tc>
          <w:tcPr>
            <w:tcW w:w="2964"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宣汉县七里峡煤矿始建于1993年，2020年2月27日四川应急管理厅等8部门以川应急〔2020〕31号，处理关闭一批煤矿后，允许准七里峡煤矿扩能至30万t/a。</w:t>
            </w:r>
          </w:p>
        </w:tc>
        <w:tc>
          <w:tcPr>
            <w:tcW w:w="779"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927"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（五）加快淘汰落后产能和其他不符合产业政策的产能</w:t>
            </w:r>
          </w:p>
        </w:tc>
        <w:tc>
          <w:tcPr>
            <w:tcW w:w="4453"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安全监管总局等部门确定的13类落后小煤矿，以及开采范围与自然保护区、风景名胜区、饮用水水源保护区等区域重叠的煤矿，要尽快依法关闭退出。产能小于30万吨/年且发生重大及以上安全生产责任事故的煤矿，产能15万吨/年及以下且发生较大及以上安全生产责任事故的煤矿，以及采用国家明令禁止使用的采煤方法、工艺且无法实施技术改造的煤矿，要在1至3年内淘汰。</w:t>
            </w:r>
          </w:p>
        </w:tc>
        <w:tc>
          <w:tcPr>
            <w:tcW w:w="2964"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不属于安监部门确定的13类小煤矿，且未发生过较大以上安全责任事故，不属于自然保护区、风景名胜区、饮用水源保护区。</w:t>
            </w:r>
          </w:p>
        </w:tc>
        <w:tc>
          <w:tcPr>
            <w:tcW w:w="779"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927"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（六）有序退出过剩产能。</w:t>
            </w:r>
          </w:p>
        </w:tc>
        <w:tc>
          <w:tcPr>
            <w:tcW w:w="4453"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1、属于以下情况的，通过给予政策支持等综合措施，引导相关煤矿有序退出：①安全方面：煤与瓦 斯突出、水文地质条件极其复杂、具有强冲击地压等灾害隐患严重，且在现有技术条件下难以有效防治的煤矿；开采深度超过《煤矿安全规程》规定的煤矿；达不到安全质量标准化三级的煤矿。②质量和环保方面：产品质量达不到《商品煤质量管理暂行办法》要求的煤矿。开采范围与依法划定、需特别保护的相关环境敏感区重叠的煤矿。③技术和资源规模方面：非机械化开采的煤矿；晋、蒙、陕、宁等4个地区产能小于60万吨/年，冀、辽、吉、黑、苏、皖、鲁、豫、甘、青、新等11个地区产能小于30万吨/年，其他地区产能小于9万吨/年的煤矿；开采技术和装备列入《煤炭生产技术与装备政策导向（2014年版）》限制目录且无法实施技术改造的煤矿；与大型煤矿井田平面投影重叠的煤矿。④其他方面：长期亏损、资不抵债的煤矿；长期停产、停建的煤矿；资源枯竭、资源赋存条件差的煤矿；不承担社会责任、长期欠缴税款和社会保障费用的煤矿；其他自愿退出的煤矿。</w:t>
            </w:r>
          </w:p>
        </w:tc>
        <w:tc>
          <w:tcPr>
            <w:tcW w:w="2964"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本项目属于低瓦斯矿山，水文地质条件不复杂、不具有强冲击地压等灾害隐患严重情况；项目产品质量能够满足《商品煤质量管理暂行办法》要求的煤矿，开采范围与依法划定、开采范围无需特别保护的相关环境敏感区重叠；项目属于机械化开采，不涉及淘汰落后技术设备；项目处于盈利状况。</w:t>
            </w:r>
          </w:p>
        </w:tc>
        <w:tc>
          <w:tcPr>
            <w:tcW w:w="779"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满足</w:t>
            </w:r>
          </w:p>
        </w:tc>
      </w:tr>
    </w:tbl>
    <w:p>
      <w:pPr>
        <w:spacing w:line="360" w:lineRule="auto"/>
        <w:ind w:firstLine="480" w:firstLineChars="200"/>
        <w:rPr>
          <w:rFonts w:hAnsi="Times New Roman" w:eastAsia="宋体"/>
          <w:lang w:eastAsia="zh-CN"/>
        </w:rPr>
      </w:pPr>
      <w:r>
        <w:rPr>
          <w:rFonts w:hAnsi="Times New Roman" w:eastAsia="宋体"/>
          <w:lang w:eastAsia="zh-CN"/>
        </w:rPr>
        <w:t>由上表可知，七里峡煤矿符合《国务院关于煤炭行业化解过剩产能实现脱困发展的意见》（国发〔2016〕7号）相关要求。</w:t>
      </w:r>
    </w:p>
    <w:p>
      <w:pPr>
        <w:pStyle w:val="6"/>
        <w:rPr>
          <w:szCs w:val="22"/>
          <w:lang w:eastAsia="zh-CN"/>
        </w:rPr>
      </w:pPr>
      <w:bookmarkStart w:id="730" w:name="_Toc167095351"/>
      <w:bookmarkStart w:id="731" w:name="_Toc163812728"/>
      <w:r>
        <w:rPr>
          <w:szCs w:val="22"/>
          <w:lang w:eastAsia="zh-CN"/>
        </w:rPr>
        <w:t>14.1.4 与《国务院安全生产委员会关于印发</w:t>
      </w:r>
      <w:r>
        <w:rPr>
          <w:rFonts w:hint="eastAsia"/>
          <w:szCs w:val="22"/>
          <w:lang w:eastAsia="zh-CN"/>
        </w:rPr>
        <w:t>〈</w:t>
      </w:r>
      <w:r>
        <w:rPr>
          <w:szCs w:val="22"/>
          <w:lang w:eastAsia="zh-CN"/>
        </w:rPr>
        <w:t>全国安全生产专项整治三年行动计划</w:t>
      </w:r>
      <w:r>
        <w:rPr>
          <w:rFonts w:hint="eastAsia"/>
          <w:szCs w:val="22"/>
          <w:lang w:eastAsia="zh-CN"/>
        </w:rPr>
        <w:t>〉</w:t>
      </w:r>
      <w:r>
        <w:rPr>
          <w:szCs w:val="22"/>
          <w:lang w:eastAsia="zh-CN"/>
        </w:rPr>
        <w:t>的通知》符合性分析</w:t>
      </w:r>
      <w:bookmarkEnd w:id="730"/>
      <w:bookmarkEnd w:id="731"/>
    </w:p>
    <w:p>
      <w:pPr>
        <w:spacing w:line="360" w:lineRule="auto"/>
        <w:ind w:firstLine="480" w:firstLineChars="200"/>
        <w:rPr>
          <w:rFonts w:hAnsi="Times New Roman" w:eastAsia="宋体"/>
          <w:szCs w:val="22"/>
          <w:lang w:eastAsia="zh-CN"/>
        </w:rPr>
      </w:pPr>
      <w:r>
        <w:rPr>
          <w:rFonts w:hAnsi="Times New Roman" w:eastAsia="宋体"/>
          <w:szCs w:val="22"/>
          <w:lang w:eastAsia="zh-CN"/>
        </w:rPr>
        <w:t>《全国安全生产专项整治三年行动计划（煤矿安全专项整治三年行动实施方案）》（安委</w:t>
      </w:r>
      <w:r>
        <w:rPr>
          <w:rFonts w:hint="eastAsia" w:hAnsi="Times New Roman" w:eastAsia="宋体"/>
          <w:szCs w:val="22"/>
          <w:lang w:eastAsia="zh-CN"/>
        </w:rPr>
        <w:t>〔2020〕</w:t>
      </w:r>
      <w:r>
        <w:rPr>
          <w:rFonts w:hAnsi="Times New Roman" w:eastAsia="宋体"/>
          <w:szCs w:val="22"/>
          <w:lang w:eastAsia="zh-CN"/>
        </w:rPr>
        <w:t>3号）文件第二条第二小项规定“严格准入门槛：停止规划审批新建和改扩建后产能低于30万吨/年的煤矿；停止规划审批新建开采深度超1000米和改扩建开采深度超1200米的大中型及以上煤矿；停止规划审批新建和改扩建开采深度超600米的其他煤矿。”</w:t>
      </w:r>
    </w:p>
    <w:p>
      <w:pPr>
        <w:spacing w:line="360" w:lineRule="auto"/>
        <w:ind w:firstLine="480" w:firstLineChars="200"/>
        <w:rPr>
          <w:rFonts w:hAnsi="Times New Roman" w:eastAsia="宋体"/>
          <w:szCs w:val="22"/>
          <w:lang w:eastAsia="zh-CN"/>
        </w:rPr>
      </w:pPr>
      <w:r>
        <w:rPr>
          <w:rFonts w:hint="eastAsia" w:hAnsi="Times New Roman" w:eastAsia="宋体"/>
          <w:szCs w:val="22"/>
          <w:lang w:eastAsia="zh-CN"/>
        </w:rPr>
        <w:t>七里峡</w:t>
      </w:r>
      <w:r>
        <w:rPr>
          <w:rFonts w:hAnsi="Times New Roman" w:eastAsia="宋体"/>
          <w:szCs w:val="22"/>
          <w:lang w:eastAsia="zh-CN"/>
        </w:rPr>
        <w:t>煤矿为低瓦斯无突出灾害的生产矿井，本次扩建项目主平硐井口标高+</w:t>
      </w:r>
      <w:r>
        <w:rPr>
          <w:rFonts w:hint="eastAsia" w:hAnsi="Times New Roman" w:eastAsia="宋体"/>
          <w:szCs w:val="22"/>
          <w:lang w:eastAsia="zh-CN"/>
        </w:rPr>
        <w:t>379</w:t>
      </w:r>
      <w:r>
        <w:rPr>
          <w:rFonts w:hAnsi="Times New Roman" w:eastAsia="宋体"/>
          <w:szCs w:val="22"/>
          <w:lang w:eastAsia="zh-CN"/>
        </w:rPr>
        <w:t>米，设计最低开采深度为+200米，设计最大开采深度为</w:t>
      </w:r>
      <w:r>
        <w:rPr>
          <w:rFonts w:hint="eastAsia" w:hAnsi="Times New Roman" w:eastAsia="宋体"/>
          <w:szCs w:val="22"/>
          <w:lang w:eastAsia="zh-CN"/>
        </w:rPr>
        <w:t>179</w:t>
      </w:r>
      <w:r>
        <w:rPr>
          <w:rFonts w:hAnsi="Times New Roman" w:eastAsia="宋体"/>
          <w:szCs w:val="22"/>
          <w:lang w:eastAsia="zh-CN"/>
        </w:rPr>
        <w:t>米，生产规模为30万吨/年，属于小型煤矿，矿井开采深度符合《全国安全生产专项整治三年行动计划（煤矿安全专项整治三年行动实施方案）》规定。</w:t>
      </w:r>
    </w:p>
    <w:p>
      <w:pPr>
        <w:pStyle w:val="5"/>
        <w:rPr>
          <w:rFonts w:ascii="Times New Roman" w:hAnsi="Times New Roman"/>
          <w:lang w:eastAsia="zh-CN"/>
        </w:rPr>
      </w:pPr>
      <w:bookmarkStart w:id="732" w:name="_Toc163749229"/>
      <w:bookmarkStart w:id="733" w:name="_Toc167095352"/>
      <w:r>
        <w:rPr>
          <w:rFonts w:ascii="Times New Roman" w:hAnsi="Times New Roman"/>
          <w:lang w:eastAsia="zh-CN"/>
        </w:rPr>
        <w:t>14.2 与环保相关政策、规划符合性分析</w:t>
      </w:r>
      <w:bookmarkEnd w:id="732"/>
      <w:bookmarkEnd w:id="733"/>
    </w:p>
    <w:p>
      <w:pPr>
        <w:pStyle w:val="6"/>
        <w:rPr>
          <w:lang w:eastAsia="zh-CN"/>
        </w:rPr>
      </w:pPr>
      <w:bookmarkStart w:id="734" w:name="_Toc163812730"/>
      <w:bookmarkStart w:id="735" w:name="_Toc167095353"/>
      <w:r>
        <w:rPr>
          <w:lang w:eastAsia="zh-CN"/>
        </w:rPr>
        <w:t>14.2.1 与《矿山生态环境保护与污染防治技术政策》符合性分析</w:t>
      </w:r>
      <w:bookmarkEnd w:id="734"/>
      <w:bookmarkEnd w:id="735"/>
    </w:p>
    <w:p>
      <w:pPr>
        <w:spacing w:line="360" w:lineRule="auto"/>
        <w:ind w:firstLine="480" w:firstLineChars="200"/>
        <w:rPr>
          <w:rFonts w:hAnsi="Times New Roman" w:eastAsia="宋体"/>
          <w:lang w:eastAsia="zh-CN"/>
        </w:rPr>
      </w:pPr>
      <w:r>
        <w:rPr>
          <w:rFonts w:hAnsi="Times New Roman" w:eastAsia="宋体"/>
          <w:lang w:eastAsia="zh-CN"/>
        </w:rPr>
        <w:t>根据《矿山生态环境保护与污染防治技术政策》（环发</w:t>
      </w:r>
      <w:r>
        <w:rPr>
          <w:rFonts w:hint="eastAsia" w:hAnsi="Times New Roman" w:eastAsia="宋体"/>
          <w:lang w:eastAsia="zh-CN"/>
        </w:rPr>
        <w:t>〔</w:t>
      </w:r>
      <w:r>
        <w:rPr>
          <w:rFonts w:hAnsi="Times New Roman" w:eastAsia="宋体"/>
          <w:lang w:eastAsia="zh-CN"/>
        </w:rPr>
        <w:t>2005</w:t>
      </w:r>
      <w:r>
        <w:rPr>
          <w:rFonts w:hint="eastAsia" w:hAnsi="Times New Roman" w:eastAsia="宋体"/>
          <w:lang w:eastAsia="zh-CN"/>
        </w:rPr>
        <w:t>〕</w:t>
      </w:r>
      <w:r>
        <w:rPr>
          <w:rFonts w:hAnsi="Times New Roman" w:eastAsia="宋体"/>
          <w:lang w:eastAsia="zh-CN"/>
        </w:rPr>
        <w:t>109号），本项目与技术政策的相符性分析见表。</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表14.2-1  政策主要指标与本项目对比分析表</w:t>
      </w:r>
    </w:p>
    <w:tbl>
      <w:tblPr>
        <w:tblStyle w:val="33"/>
        <w:tblW w:w="914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45"/>
        <w:gridCol w:w="5214"/>
        <w:gridCol w:w="2600"/>
        <w:gridCol w:w="6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645"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序号</w:t>
            </w:r>
          </w:p>
        </w:tc>
        <w:tc>
          <w:tcPr>
            <w:tcW w:w="5214"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矿山生态环境保护与污染防治技术政策相关要求指标</w:t>
            </w:r>
          </w:p>
        </w:tc>
        <w:tc>
          <w:tcPr>
            <w:tcW w:w="2600"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本项目</w:t>
            </w:r>
          </w:p>
        </w:tc>
        <w:tc>
          <w:tcPr>
            <w:tcW w:w="684"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结论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64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p>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w:t>
            </w:r>
          </w:p>
        </w:tc>
        <w:tc>
          <w:tcPr>
            <w:tcW w:w="5214"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（一）禁止的矿产资源开发活动</w:t>
            </w:r>
          </w:p>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1、禁止在依法划定的自然保护区（核心区、缓冲区）、风景 名胜区、森林公园、饮用水水源保护区、重要湖泊周边、文物古迹所在地、地质遗迹保护区、基本农田保护区等区域内采矿。</w:t>
            </w:r>
          </w:p>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2、禁止在铁路、国道、省道两侧的直观可视范围内进行露天开采。</w:t>
            </w:r>
          </w:p>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3、禁止在地质灾害危险区开采矿产资源。</w:t>
            </w:r>
          </w:p>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4、禁止新建对生态环境产生不可恢复利用的、产生破坏 性影响的矿产资源开发项目。</w:t>
            </w:r>
          </w:p>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（二）限制的矿产资源开发活动</w:t>
            </w:r>
          </w:p>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1、限制在生态功能保护区和自然保护区（过渡区）内开采矿 产资源。生态功能保护区内的开采活动必须符合当地的环境功能区规划，并按规定进行控制性开采，开采活动不得影响本功能区内的主导生态功能。</w:t>
            </w:r>
          </w:p>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2、限制在地质灾害易发区、水土流失严重区域等生态脆弱区内开采矿产资源。</w:t>
            </w:r>
          </w:p>
        </w:tc>
        <w:tc>
          <w:tcPr>
            <w:tcW w:w="2600"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井田及工业广场范围内不存在自然保护区（核心区、缓冲区） 风景名胜区、森林公园、饮用水水源保护区、重要湖泊周边、文物古迹所在地、地质遗迹保护区。井田范围内有部分基本农田，但由于项目属于地下开采，根据四川省煤炭设计研究院编制的《达州市宣汉县七里峡煤业有限公司七里峡煤矿永久基本农田影响论证报告》，项目开采对其无影响。</w:t>
            </w:r>
          </w:p>
        </w:tc>
        <w:tc>
          <w:tcPr>
            <w:tcW w:w="68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64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zh-CN"/>
              </w:rPr>
              <w:t>2</w:t>
            </w:r>
          </w:p>
        </w:tc>
        <w:tc>
          <w:tcPr>
            <w:tcW w:w="5214"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鼓励将矿坑水优先利用为生产用水，作为辅助水源加以 利用。在干旱缺水地区，鼓励将外排矿坑水用于农林灌溉其水质应达到相应标准要求。</w:t>
            </w:r>
          </w:p>
        </w:tc>
        <w:tc>
          <w:tcPr>
            <w:tcW w:w="2600"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矿井水处理后部分作为生产用水</w:t>
            </w:r>
          </w:p>
        </w:tc>
        <w:tc>
          <w:tcPr>
            <w:tcW w:w="68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zh-CN"/>
              </w:rPr>
              <w:t>符合</w:t>
            </w:r>
          </w:p>
        </w:tc>
      </w:tr>
    </w:tbl>
    <w:p>
      <w:pPr>
        <w:spacing w:line="360" w:lineRule="auto"/>
        <w:ind w:firstLine="480" w:firstLineChars="200"/>
        <w:rPr>
          <w:rFonts w:hAnsi="Times New Roman" w:eastAsia="宋体"/>
          <w:lang w:eastAsia="zh-CN"/>
        </w:rPr>
      </w:pPr>
      <w:r>
        <w:rPr>
          <w:rFonts w:hAnsi="Times New Roman" w:eastAsia="宋体"/>
          <w:lang w:eastAsia="zh-CN"/>
        </w:rPr>
        <w:t>由上表可知，七里峡煤矿不属于《矿山生态环境保护与污染防治技术政策》禁止和限制的矿产资源开采活动，符合《矿山生态环境保护与污染防治技术政策》的要求。</w:t>
      </w:r>
    </w:p>
    <w:p>
      <w:pPr>
        <w:pStyle w:val="6"/>
        <w:rPr>
          <w:lang w:eastAsia="zh-CN"/>
        </w:rPr>
      </w:pPr>
      <w:bookmarkStart w:id="736" w:name="_Toc167095354"/>
      <w:bookmarkStart w:id="737" w:name="_Toc163812731"/>
      <w:r>
        <w:rPr>
          <w:lang w:eastAsia="zh-CN"/>
        </w:rPr>
        <w:t>14.2.2 与《燃煤二氧化硫排放污染防治政策符合性分析》</w:t>
      </w:r>
      <w:bookmarkEnd w:id="736"/>
      <w:bookmarkEnd w:id="737"/>
    </w:p>
    <w:p>
      <w:pPr>
        <w:spacing w:line="360" w:lineRule="auto"/>
        <w:ind w:firstLine="480" w:firstLineChars="200"/>
        <w:rPr>
          <w:rFonts w:hAnsi="Times New Roman" w:eastAsia="宋体"/>
          <w:lang w:eastAsia="zh-CN"/>
        </w:rPr>
      </w:pPr>
      <w:r>
        <w:rPr>
          <w:rFonts w:hAnsi="Times New Roman" w:eastAsia="宋体"/>
          <w:lang w:eastAsia="zh-CN"/>
        </w:rPr>
        <w:t>根据《燃煤二氧化硫排放污染防治技术政策》（环发</w:t>
      </w:r>
      <w:r>
        <w:rPr>
          <w:rFonts w:hint="eastAsia" w:hAnsi="Times New Roman" w:eastAsia="宋体"/>
          <w:lang w:eastAsia="zh-CN"/>
        </w:rPr>
        <w:t>〔</w:t>
      </w:r>
      <w:r>
        <w:rPr>
          <w:rFonts w:hAnsi="Times New Roman" w:eastAsia="宋体"/>
          <w:lang w:eastAsia="zh-CN"/>
        </w:rPr>
        <w:t>2002</w:t>
      </w:r>
      <w:r>
        <w:rPr>
          <w:rFonts w:hint="eastAsia" w:hAnsi="Times New Roman" w:eastAsia="宋体"/>
          <w:lang w:eastAsia="zh-CN"/>
        </w:rPr>
        <w:t>〕</w:t>
      </w:r>
      <w:r>
        <w:rPr>
          <w:rFonts w:hAnsi="Times New Roman" w:eastAsia="宋体"/>
          <w:lang w:eastAsia="zh-CN"/>
        </w:rPr>
        <w:t>26号）规定：</w:t>
      </w:r>
      <w:r>
        <w:rPr>
          <w:rFonts w:hint="eastAsia" w:hAnsi="Times New Roman" w:eastAsia="宋体"/>
          <w:lang w:eastAsia="zh-CN"/>
        </w:rPr>
        <w:t>“</w:t>
      </w:r>
      <w:r>
        <w:rPr>
          <w:rFonts w:hAnsi="Times New Roman" w:eastAsia="宋体"/>
          <w:lang w:eastAsia="zh-CN"/>
        </w:rPr>
        <w:t>各地不得新建煤层含硫份大于3%的矿井</w:t>
      </w:r>
      <w:r>
        <w:rPr>
          <w:rFonts w:hint="eastAsia" w:hAnsi="Times New Roman" w:eastAsia="宋体"/>
          <w:lang w:eastAsia="zh-CN"/>
        </w:rPr>
        <w:t>”</w:t>
      </w:r>
      <w:r>
        <w:rPr>
          <w:rFonts w:hAnsi="Times New Roman" w:eastAsia="宋体"/>
          <w:lang w:eastAsia="zh-CN"/>
        </w:rPr>
        <w:t>。还规定：</w:t>
      </w:r>
      <w:r>
        <w:rPr>
          <w:rFonts w:hint="eastAsia" w:hAnsi="Times New Roman" w:eastAsia="宋体"/>
          <w:lang w:eastAsia="zh-CN"/>
        </w:rPr>
        <w:t>“</w:t>
      </w:r>
      <w:r>
        <w:rPr>
          <w:rFonts w:hAnsi="Times New Roman" w:eastAsia="宋体"/>
          <w:lang w:eastAsia="zh-CN"/>
        </w:rPr>
        <w:t>除定点供应安装有脱硫设施并达到国家污染物排放标准的用户外，对新建硫份大于1.5%的煤矿，应配套建设煤炭洗选设施，对现有硫份大于2%的煤矿，应补建配套煤炭洗选设施</w:t>
      </w:r>
      <w:r>
        <w:rPr>
          <w:rFonts w:hint="eastAsia" w:hAnsi="Times New Roman" w:eastAsia="宋体"/>
          <w:lang w:eastAsia="zh-CN"/>
        </w:rPr>
        <w:t>”</w:t>
      </w:r>
      <w:r>
        <w:rPr>
          <w:rFonts w:hAnsi="Times New Roman" w:eastAsia="宋体"/>
          <w:lang w:eastAsia="zh-CN"/>
        </w:rPr>
        <w:t>。</w:t>
      </w:r>
    </w:p>
    <w:p>
      <w:pPr>
        <w:spacing w:line="360" w:lineRule="auto"/>
        <w:ind w:firstLine="480" w:firstLineChars="200"/>
        <w:rPr>
          <w:rFonts w:hAnsi="Times New Roman" w:eastAsia="宋体"/>
          <w:lang w:eastAsia="zh-CN"/>
        </w:rPr>
      </w:pPr>
      <w:r>
        <w:rPr>
          <w:rFonts w:hAnsi="Times New Roman" w:eastAsia="宋体"/>
          <w:lang w:eastAsia="zh-CN"/>
        </w:rPr>
        <w:t>七里峡煤矿设计开采煤层为低硫煤，原煤硫分</w:t>
      </w:r>
      <w:r>
        <w:rPr>
          <w:rFonts w:hint="eastAsia" w:hAnsi="Times New Roman" w:eastAsia="宋体"/>
          <w:lang w:eastAsia="zh-CN"/>
        </w:rPr>
        <w:t>0.31%～1.59%</w:t>
      </w:r>
      <w:r>
        <w:rPr>
          <w:rFonts w:hAnsi="Times New Roman" w:eastAsia="宋体"/>
          <w:lang w:eastAsia="zh-CN"/>
        </w:rPr>
        <w:t>，七里峡煤矿原煤拉运至</w:t>
      </w:r>
      <w:r>
        <w:rPr>
          <w:rFonts w:hint="eastAsia" w:hAnsi="Times New Roman" w:eastAsia="宋体"/>
          <w:lang w:eastAsia="zh-CN"/>
        </w:rPr>
        <w:t>达州宣汉县大路能源有限公司选煤厂</w:t>
      </w:r>
      <w:r>
        <w:rPr>
          <w:rFonts w:hAnsi="Times New Roman" w:eastAsia="宋体"/>
          <w:lang w:eastAsia="zh-CN"/>
        </w:rPr>
        <w:t>进行原煤洗选加工。因此，符合《燃煤二氧化硫排放污染防治技术政策》。</w:t>
      </w:r>
    </w:p>
    <w:p>
      <w:pPr>
        <w:pStyle w:val="6"/>
        <w:rPr>
          <w:lang w:eastAsia="zh-CN"/>
        </w:rPr>
      </w:pPr>
      <w:bookmarkStart w:id="738" w:name="_Toc167095355"/>
      <w:bookmarkStart w:id="739" w:name="_Toc163812732"/>
      <w:r>
        <w:rPr>
          <w:lang w:eastAsia="zh-CN"/>
        </w:rPr>
        <w:t>14.2.3 《四川省打赢蓝天保卫战实施方案》（川府发</w:t>
      </w:r>
      <w:r>
        <w:rPr>
          <w:rFonts w:hint="eastAsia"/>
          <w:lang w:eastAsia="zh-CN"/>
        </w:rPr>
        <w:t>〔</w:t>
      </w:r>
      <w:r>
        <w:rPr>
          <w:lang w:eastAsia="zh-CN"/>
        </w:rPr>
        <w:t>2019</w:t>
      </w:r>
      <w:r>
        <w:rPr>
          <w:rFonts w:hint="eastAsia"/>
          <w:lang w:eastAsia="zh-CN"/>
        </w:rPr>
        <w:t>〕</w:t>
      </w:r>
      <w:r>
        <w:rPr>
          <w:lang w:eastAsia="zh-CN"/>
        </w:rPr>
        <w:t>4号）符合性分析</w:t>
      </w:r>
      <w:bookmarkEnd w:id="738"/>
      <w:bookmarkEnd w:id="739"/>
    </w:p>
    <w:p>
      <w:pPr>
        <w:spacing w:line="360" w:lineRule="auto"/>
        <w:ind w:firstLine="480" w:firstLineChars="200"/>
        <w:rPr>
          <w:rFonts w:hAnsi="Times New Roman" w:eastAsia="宋体"/>
          <w:lang w:eastAsia="zh-CN"/>
        </w:rPr>
      </w:pPr>
      <w:r>
        <w:rPr>
          <w:rFonts w:hAnsi="Times New Roman" w:eastAsia="宋体"/>
          <w:lang w:eastAsia="zh-CN"/>
        </w:rPr>
        <w:t>根据《四川省打赢蓝天保卫战实施方案》（川府发</w:t>
      </w:r>
      <w:r>
        <w:rPr>
          <w:rFonts w:hint="eastAsia" w:hAnsi="Times New Roman" w:eastAsia="宋体"/>
          <w:lang w:eastAsia="zh-CN"/>
        </w:rPr>
        <w:t>〔</w:t>
      </w:r>
      <w:r>
        <w:rPr>
          <w:rFonts w:hAnsi="Times New Roman" w:eastAsia="宋体"/>
          <w:lang w:eastAsia="zh-CN"/>
        </w:rPr>
        <w:t>2019</w:t>
      </w:r>
      <w:r>
        <w:rPr>
          <w:rFonts w:hint="eastAsia" w:hAnsi="Times New Roman" w:eastAsia="宋体"/>
          <w:lang w:eastAsia="zh-CN"/>
        </w:rPr>
        <w:t>〕</w:t>
      </w:r>
      <w:r>
        <w:rPr>
          <w:rFonts w:hAnsi="Times New Roman" w:eastAsia="宋体"/>
          <w:lang w:eastAsia="zh-CN"/>
        </w:rPr>
        <w:t>4号），本项目符合性分析见下表所示。</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表14.2-2 本项目与川府发</w:t>
      </w:r>
      <w:r>
        <w:rPr>
          <w:rFonts w:hint="eastAsia" w:hAnsi="Times New Roman" w:eastAsia="宋体"/>
          <w:b/>
          <w:bCs/>
          <w:sz w:val="21"/>
          <w:szCs w:val="21"/>
          <w:lang w:eastAsia="zh-CN"/>
        </w:rPr>
        <w:t>〔</w:t>
      </w:r>
      <w:r>
        <w:rPr>
          <w:rFonts w:hAnsi="Times New Roman" w:eastAsia="宋体"/>
          <w:b/>
          <w:bCs/>
          <w:sz w:val="21"/>
          <w:szCs w:val="21"/>
          <w:lang w:eastAsia="zh-CN"/>
        </w:rPr>
        <w:t>2019</w:t>
      </w:r>
      <w:r>
        <w:rPr>
          <w:rFonts w:hint="eastAsia" w:hAnsi="Times New Roman" w:eastAsia="宋体"/>
          <w:b/>
          <w:bCs/>
          <w:sz w:val="21"/>
          <w:szCs w:val="21"/>
          <w:lang w:eastAsia="zh-CN"/>
        </w:rPr>
        <w:t>〕</w:t>
      </w:r>
      <w:r>
        <w:rPr>
          <w:rFonts w:hAnsi="Times New Roman" w:eastAsia="宋体"/>
          <w:b/>
          <w:bCs/>
          <w:sz w:val="21"/>
          <w:szCs w:val="21"/>
          <w:lang w:eastAsia="zh-CN"/>
        </w:rPr>
        <w:t>4号文符合性分析</w:t>
      </w:r>
    </w:p>
    <w:tbl>
      <w:tblPr>
        <w:tblStyle w:val="33"/>
        <w:tblW w:w="912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463"/>
        <w:gridCol w:w="3699"/>
        <w:gridCol w:w="9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4463"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文件内容</w:t>
            </w:r>
          </w:p>
        </w:tc>
        <w:tc>
          <w:tcPr>
            <w:tcW w:w="3699"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本项目情况</w:t>
            </w:r>
          </w:p>
        </w:tc>
        <w:tc>
          <w:tcPr>
            <w:tcW w:w="964"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446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加大煤炭洗选力度，新建煤矿同步建设煤炭洗选设备，现有煤矿根据煤质分片区建成配套洗选设施。</w:t>
            </w:r>
          </w:p>
        </w:tc>
        <w:tc>
          <w:tcPr>
            <w:tcW w:w="3699"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本项目为独立升级改造项目，不属于新建煤矿，项目煤炭依托达州宣汉县大路能源有限公司选煤厂进行原煤洗选加工。</w:t>
            </w:r>
          </w:p>
        </w:tc>
        <w:tc>
          <w:tcPr>
            <w:tcW w:w="96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p>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446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已产生扬尘的物料堆场采用封闭式库仓，不具备封闭式库仓改造条件的，应设置不低于料堆高度的严密围挡，并采取覆盖措施有效控制</w:t>
            </w:r>
            <w:r>
              <w:rPr>
                <w:rFonts w:hint="eastAsia" w:hAnsi="Times New Roman" w:eastAsia="宋体"/>
                <w:kern w:val="2"/>
                <w:sz w:val="21"/>
                <w:szCs w:val="21"/>
                <w:lang w:val="en-US" w:eastAsia="zh-CN"/>
              </w:rPr>
              <w:t>扬尘</w:t>
            </w:r>
            <w:r>
              <w:rPr>
                <w:rFonts w:hint="eastAsia" w:hAnsi="Times New Roman" w:eastAsia="宋体"/>
                <w:kern w:val="2"/>
                <w:sz w:val="21"/>
                <w:szCs w:val="21"/>
                <w:lang w:eastAsia="zh-CN"/>
              </w:rPr>
              <w:t>污染；物料装卸配备喷淋等防尘设施，转运物料尽量采取封闭式皮带输送。</w:t>
            </w:r>
          </w:p>
        </w:tc>
        <w:tc>
          <w:tcPr>
            <w:tcW w:w="3699"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本项目原煤堆场及临时储矸场采用封闭的堆场，并在堆场顶棚下方设置喷淋降尘装置，喷雾面覆盖整个堆场，煤炭通过自卸汽车装运至堆场，车辆采用篷布全覆盖，遮盖运输。</w:t>
            </w:r>
          </w:p>
        </w:tc>
        <w:tc>
          <w:tcPr>
            <w:tcW w:w="96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446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厂区主要运输通道实施硬化并定期冲洗或湿式 清扫，堆场进出口设置车辆冲洗设施，运输车辆 实施密闭或全覆盖，及时收集清理堆场外道路上 洒落物料。</w:t>
            </w:r>
          </w:p>
        </w:tc>
        <w:tc>
          <w:tcPr>
            <w:tcW w:w="3699"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堆场大门口设置车辆冲洗平台， 车辆进出堆场时，对车辆底盘、轮胎和车表面进行冲洗，车辆实施全覆盖运输。</w:t>
            </w:r>
          </w:p>
        </w:tc>
        <w:tc>
          <w:tcPr>
            <w:tcW w:w="96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p>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p>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zh-CN"/>
              </w:rPr>
              <w:t>符合</w:t>
            </w:r>
          </w:p>
        </w:tc>
      </w:tr>
    </w:tbl>
    <w:p>
      <w:pPr>
        <w:spacing w:line="360" w:lineRule="auto"/>
        <w:ind w:firstLine="480" w:firstLineChars="200"/>
        <w:rPr>
          <w:rFonts w:hAnsi="Times New Roman" w:eastAsia="宋体"/>
          <w:lang w:eastAsia="zh-CN"/>
        </w:rPr>
      </w:pPr>
      <w:r>
        <w:rPr>
          <w:rFonts w:hAnsi="Times New Roman" w:eastAsia="宋体"/>
          <w:lang w:eastAsia="zh-CN"/>
        </w:rPr>
        <w:t>经对比，本项目符合《四川省打赢蓝天保卫战实施方案》（川府发</w:t>
      </w:r>
      <w:r>
        <w:rPr>
          <w:rFonts w:hint="eastAsia" w:hAnsi="Times New Roman" w:eastAsia="宋体"/>
          <w:lang w:eastAsia="zh-CN"/>
        </w:rPr>
        <w:t>〔</w:t>
      </w:r>
      <w:r>
        <w:rPr>
          <w:rFonts w:hAnsi="Times New Roman" w:eastAsia="宋体"/>
          <w:lang w:eastAsia="zh-CN"/>
        </w:rPr>
        <w:t>2019</w:t>
      </w:r>
      <w:r>
        <w:rPr>
          <w:rFonts w:hint="eastAsia" w:hAnsi="Times New Roman" w:eastAsia="宋体"/>
          <w:lang w:eastAsia="zh-CN"/>
        </w:rPr>
        <w:t>〕</w:t>
      </w:r>
      <w:r>
        <w:rPr>
          <w:rFonts w:hAnsi="Times New Roman" w:eastAsia="宋体"/>
          <w:lang w:eastAsia="zh-CN"/>
        </w:rPr>
        <w:t>4号）文中的要求。</w:t>
      </w:r>
    </w:p>
    <w:p>
      <w:pPr>
        <w:pStyle w:val="6"/>
        <w:rPr>
          <w:lang w:eastAsia="zh-CN"/>
        </w:rPr>
      </w:pPr>
      <w:bookmarkStart w:id="740" w:name="_Toc163812733"/>
      <w:bookmarkStart w:id="741" w:name="_Toc167095356"/>
      <w:r>
        <w:rPr>
          <w:lang w:eastAsia="zh-CN"/>
        </w:rPr>
        <w:t>14.2.4 与《煤层气（煤矿瓦斯）排放标准》符合性分析</w:t>
      </w:r>
      <w:bookmarkEnd w:id="740"/>
      <w:bookmarkEnd w:id="741"/>
    </w:p>
    <w:p>
      <w:pPr>
        <w:spacing w:line="360" w:lineRule="auto"/>
        <w:ind w:firstLine="480" w:firstLineChars="200"/>
        <w:rPr>
          <w:rFonts w:hAnsi="Times New Roman" w:eastAsia="宋体"/>
          <w:lang w:eastAsia="zh-CN"/>
        </w:rPr>
      </w:pPr>
      <w:r>
        <w:rPr>
          <w:rFonts w:hAnsi="Times New Roman" w:eastAsia="宋体"/>
          <w:lang w:eastAsia="zh-CN"/>
        </w:rPr>
        <w:t>2008年4月1日，国家环保部和国家质量监督检验检疫总局联合颁布了《煤层气（煤矿瓦斯）排放标准（暂行）》（GB21522-2008）。</w:t>
      </w:r>
      <w:r>
        <w:rPr>
          <w:rFonts w:hAnsi="Times New Roman" w:eastAsia="宋体"/>
          <w:szCs w:val="22"/>
          <w:lang w:eastAsia="zh-CN"/>
        </w:rPr>
        <w:t>根据项目设计资料预测本矿井为低瓦斯矿井，矿井瓦斯涌出量较小，瓦斯暂无利用价值。不需设置地面集中式瓦斯抽放设施，但为了应对今后矿井局部区域瓦斯涌出量增加，防治采煤工作面回风隅角瓦斯超限，项目设计提出建立瓦斯抽采系统。</w:t>
      </w:r>
      <w:r>
        <w:rPr>
          <w:rFonts w:hAnsi="Times New Roman" w:eastAsia="宋体"/>
          <w:lang w:eastAsia="zh-CN"/>
        </w:rPr>
        <w:t>故从瓦斯抽放角度可见，煤矿建设是符合国家相关政策的。</w:t>
      </w:r>
    </w:p>
    <w:p>
      <w:pPr>
        <w:pStyle w:val="6"/>
        <w:rPr>
          <w:lang w:eastAsia="zh-CN"/>
        </w:rPr>
      </w:pPr>
      <w:bookmarkStart w:id="742" w:name="_Toc163812734"/>
      <w:bookmarkStart w:id="743" w:name="_Toc167095357"/>
      <w:r>
        <w:rPr>
          <w:lang w:eastAsia="zh-CN"/>
        </w:rPr>
        <w:t>14.2.5 与《生产煤矿回采率管理暂行规定》符合性分析</w:t>
      </w:r>
      <w:bookmarkEnd w:id="742"/>
      <w:bookmarkEnd w:id="743"/>
    </w:p>
    <w:p>
      <w:pPr>
        <w:spacing w:line="360" w:lineRule="auto"/>
        <w:ind w:firstLine="480" w:firstLineChars="200"/>
        <w:rPr>
          <w:rFonts w:hAnsi="Times New Roman" w:eastAsia="宋体"/>
          <w:lang w:eastAsia="zh-CN"/>
        </w:rPr>
      </w:pPr>
      <w:r>
        <w:rPr>
          <w:rFonts w:hAnsi="Times New Roman" w:eastAsia="宋体"/>
          <w:lang w:eastAsia="zh-CN"/>
        </w:rPr>
        <w:t>根据《生产煤矿回采率管理暂行规定》要求：“井工煤矿采区回采率标准如下：</w:t>
      </w:r>
    </w:p>
    <w:p>
      <w:pPr>
        <w:spacing w:line="360" w:lineRule="auto"/>
        <w:ind w:firstLine="480" w:firstLineChars="200"/>
        <w:rPr>
          <w:rFonts w:hAnsi="Times New Roman" w:eastAsia="宋体"/>
          <w:lang w:eastAsia="zh-CN"/>
        </w:rPr>
      </w:pPr>
      <w:r>
        <w:rPr>
          <w:rFonts w:hAnsi="Times New Roman" w:eastAsia="宋体"/>
          <w:lang w:eastAsia="zh-CN"/>
        </w:rPr>
        <w:t>1、煤层厚度≤1.3时，回采率≥85%；</w:t>
      </w:r>
    </w:p>
    <w:p>
      <w:pPr>
        <w:spacing w:line="360" w:lineRule="auto"/>
        <w:ind w:firstLine="480" w:firstLineChars="200"/>
        <w:rPr>
          <w:rFonts w:hAnsi="Times New Roman" w:eastAsia="宋体"/>
          <w:lang w:eastAsia="zh-CN"/>
        </w:rPr>
      </w:pPr>
      <w:r>
        <w:rPr>
          <w:rFonts w:hAnsi="Times New Roman" w:eastAsia="宋体"/>
          <w:lang w:eastAsia="zh-CN"/>
        </w:rPr>
        <w:t>2、煤层厚度为1.3～3.5时，回采率≥80%；</w:t>
      </w:r>
    </w:p>
    <w:p>
      <w:pPr>
        <w:spacing w:line="360" w:lineRule="auto"/>
        <w:ind w:firstLine="480" w:firstLineChars="200"/>
        <w:rPr>
          <w:rFonts w:hAnsi="Times New Roman" w:eastAsia="宋体"/>
          <w:lang w:eastAsia="zh-CN"/>
        </w:rPr>
      </w:pPr>
      <w:r>
        <w:rPr>
          <w:rFonts w:hAnsi="Times New Roman" w:eastAsia="宋体"/>
          <w:lang w:eastAsia="zh-CN"/>
        </w:rPr>
        <w:t>3、煤层厚度≥3.5时，回采率≥75%”。</w:t>
      </w:r>
    </w:p>
    <w:p>
      <w:pPr>
        <w:spacing w:line="360" w:lineRule="auto"/>
        <w:ind w:firstLine="480" w:firstLineChars="200"/>
        <w:rPr>
          <w:rFonts w:hAnsi="Times New Roman" w:eastAsia="宋体"/>
          <w:lang w:eastAsia="zh-CN"/>
        </w:rPr>
      </w:pPr>
      <w:r>
        <w:rPr>
          <w:rFonts w:hAnsi="Times New Roman" w:eastAsia="宋体"/>
          <w:lang w:eastAsia="zh-CN"/>
        </w:rPr>
        <w:t>本项目采区回采率为≥90%。本项目符合《生产煤矿回采率管理暂行规定》要求。</w:t>
      </w:r>
    </w:p>
    <w:p>
      <w:pPr>
        <w:pStyle w:val="6"/>
        <w:rPr>
          <w:lang w:eastAsia="zh-CN"/>
        </w:rPr>
      </w:pPr>
      <w:bookmarkStart w:id="744" w:name="_Toc163812735"/>
      <w:bookmarkStart w:id="745" w:name="_Toc167095358"/>
      <w:r>
        <w:rPr>
          <w:lang w:eastAsia="zh-CN"/>
        </w:rPr>
        <w:t>14.2.6 与《商品煤质量管理暂行办法》符合性分析</w:t>
      </w:r>
      <w:bookmarkEnd w:id="744"/>
      <w:bookmarkEnd w:id="745"/>
    </w:p>
    <w:p>
      <w:pPr>
        <w:spacing w:line="360" w:lineRule="auto"/>
        <w:ind w:firstLine="480" w:firstLineChars="200"/>
        <w:rPr>
          <w:rFonts w:hAnsi="Times New Roman" w:eastAsia="宋体"/>
          <w:lang w:eastAsia="zh-CN"/>
        </w:rPr>
      </w:pPr>
      <w:r>
        <w:rPr>
          <w:rFonts w:hAnsi="Times New Roman" w:eastAsia="宋体"/>
          <w:lang w:eastAsia="zh-CN"/>
        </w:rPr>
        <w:t>2014年9月3日，中华人民共和国国家发展和改革委员会、中华人民共和国环境保护部、中华人民共和国商务部、中华人民共和国海关总署、国家工商行政管理总局、国家质量监督检验检疫总局令第16号发布《商品煤质量管理暂行办法》，该文件自2015年1月1日起施行。本项目与《商品煤质量管理暂行办法》符合性分析见下表。</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表14.2-3 《商品煤质量管理暂行办法》主要指标与项目对比表</w:t>
      </w:r>
    </w:p>
    <w:tbl>
      <w:tblPr>
        <w:tblStyle w:val="33"/>
        <w:tblW w:w="91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08"/>
        <w:gridCol w:w="4726"/>
        <w:gridCol w:w="2775"/>
        <w:gridCol w:w="9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8" w:hRule="atLeast"/>
        </w:trPr>
        <w:tc>
          <w:tcPr>
            <w:tcW w:w="708"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序号</w:t>
            </w:r>
          </w:p>
        </w:tc>
        <w:tc>
          <w:tcPr>
            <w:tcW w:w="4726"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商品煤质量管理暂行办法相关要求指标</w:t>
            </w:r>
          </w:p>
        </w:tc>
        <w:tc>
          <w:tcPr>
            <w:tcW w:w="2775"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本项目</w:t>
            </w:r>
          </w:p>
        </w:tc>
        <w:tc>
          <w:tcPr>
            <w:tcW w:w="915"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55" w:hRule="atLeast"/>
        </w:trPr>
        <w:tc>
          <w:tcPr>
            <w:tcW w:w="70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w:t>
            </w:r>
          </w:p>
        </w:tc>
        <w:tc>
          <w:tcPr>
            <w:tcW w:w="4726"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第六条 商品煤应当满足下列基本要求：</w:t>
            </w:r>
          </w:p>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（一）灰分（Ad） 褐煤≤30%，其它煤种≤40%。</w:t>
            </w:r>
          </w:p>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（二）硫分（St,d） 褐煤≤1.5%，其它煤种≤3%。</w:t>
            </w:r>
          </w:p>
        </w:tc>
        <w:tc>
          <w:tcPr>
            <w:tcW w:w="277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本项目产煤为瘦煤1/3焦煤（1/3JM）含硫0.31%～1.59% ，灰分7.45～36.22</w:t>
            </w:r>
          </w:p>
        </w:tc>
        <w:tc>
          <w:tcPr>
            <w:tcW w:w="91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bl>
    <w:p>
      <w:pPr>
        <w:pStyle w:val="6"/>
        <w:rPr>
          <w:lang w:eastAsia="zh-CN"/>
        </w:rPr>
      </w:pPr>
      <w:bookmarkStart w:id="746" w:name="_Toc167095359"/>
      <w:bookmarkStart w:id="747" w:name="_Toc163812736"/>
      <w:r>
        <w:rPr>
          <w:lang w:eastAsia="zh-CN"/>
        </w:rPr>
        <w:t>14.2.7 与《煤矸石综合利用管理办法》（2014 年修订版）符合性分析</w:t>
      </w:r>
      <w:bookmarkEnd w:id="746"/>
      <w:bookmarkEnd w:id="747"/>
    </w:p>
    <w:p>
      <w:pPr>
        <w:spacing w:line="360" w:lineRule="auto"/>
        <w:ind w:firstLine="480" w:firstLineChars="200"/>
        <w:rPr>
          <w:rFonts w:hAnsi="Times New Roman" w:eastAsia="宋体"/>
          <w:lang w:eastAsia="zh-CN"/>
        </w:rPr>
      </w:pPr>
      <w:r>
        <w:rPr>
          <w:rFonts w:hAnsi="Times New Roman" w:eastAsia="宋体"/>
          <w:lang w:eastAsia="zh-CN"/>
        </w:rPr>
        <w:t>《煤矸石综合利用管理办法》（2014年修订版）中规定：“新建（改扩建）煤矿及选煤厂应节约土地、防止环境污染，禁止建设永久性煤矸石堆放场（库）”。</w:t>
      </w:r>
    </w:p>
    <w:p>
      <w:pPr>
        <w:spacing w:line="360" w:lineRule="auto"/>
        <w:ind w:firstLine="480" w:firstLineChars="200"/>
        <w:rPr>
          <w:rFonts w:hAnsi="Times New Roman" w:eastAsia="宋体"/>
          <w:lang w:eastAsia="zh-CN"/>
        </w:rPr>
      </w:pPr>
      <w:r>
        <w:rPr>
          <w:rFonts w:hAnsi="Times New Roman" w:eastAsia="宋体"/>
          <w:lang w:eastAsia="zh-CN"/>
        </w:rPr>
        <w:t>本项目不建设永久性煤矸石堆放场，只建设煤临时储矸场，作为煤矸石临时暂存场，煤矸石全部运往砖厂制砖综合利用，属于《煤矸石综合利用管理办法》（2014年修订版）中“第十七条国家鼓励煤矸石大宗利用和高附加值利用：（三）煤矸石生产建筑材料”，因此，本项目建设与《煤矸石综合利用管理办法》（2014 年修订版）符合。</w:t>
      </w:r>
    </w:p>
    <w:p>
      <w:pPr>
        <w:pStyle w:val="6"/>
        <w:rPr>
          <w:lang w:eastAsia="zh-CN"/>
        </w:rPr>
      </w:pPr>
      <w:bookmarkStart w:id="748" w:name="_Toc163812737"/>
      <w:bookmarkStart w:id="749" w:name="_Toc167095360"/>
      <w:r>
        <w:rPr>
          <w:lang w:eastAsia="zh-CN"/>
        </w:rPr>
        <w:t>14.2.8 与</w:t>
      </w:r>
      <w:r>
        <w:rPr>
          <w:szCs w:val="24"/>
          <w:lang w:eastAsia="zh-CN"/>
        </w:rPr>
        <w:t>《关于进一步加强煤炭资源开发环境影响评价管理的通知》</w:t>
      </w:r>
      <w:r>
        <w:rPr>
          <w:lang w:eastAsia="zh-CN"/>
        </w:rPr>
        <w:t>符合性分析</w:t>
      </w:r>
      <w:bookmarkEnd w:id="748"/>
      <w:bookmarkEnd w:id="749"/>
    </w:p>
    <w:p>
      <w:pPr>
        <w:spacing w:line="360" w:lineRule="auto"/>
        <w:ind w:firstLine="480" w:firstLineChars="200"/>
        <w:rPr>
          <w:rFonts w:hAnsi="Times New Roman" w:eastAsia="宋体"/>
          <w:lang w:eastAsia="zh-CN"/>
        </w:rPr>
      </w:pPr>
      <w:r>
        <w:rPr>
          <w:rFonts w:hAnsi="Times New Roman" w:eastAsia="宋体"/>
          <w:szCs w:val="22"/>
          <w:lang w:eastAsia="zh-CN"/>
        </w:rPr>
        <w:t>根据《关于进一步加强煤炭资源开发环境影响评价管理的通知》（环环评</w:t>
      </w:r>
      <w:r>
        <w:rPr>
          <w:rFonts w:hint="eastAsia" w:hAnsi="Times New Roman" w:eastAsia="宋体"/>
          <w:szCs w:val="22"/>
          <w:lang w:eastAsia="zh-CN"/>
        </w:rPr>
        <w:t>〔2020〕</w:t>
      </w:r>
      <w:r>
        <w:rPr>
          <w:rFonts w:hAnsi="Times New Roman" w:eastAsia="宋体"/>
          <w:szCs w:val="22"/>
          <w:lang w:eastAsia="zh-CN"/>
        </w:rPr>
        <w:t>63号）</w:t>
      </w:r>
      <w:r>
        <w:rPr>
          <w:rFonts w:hAnsi="Times New Roman" w:eastAsia="宋体"/>
          <w:lang w:eastAsia="zh-CN"/>
        </w:rPr>
        <w:t>，本项目符合性分析见下表所示。</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表14.2-4 本项目与环环评</w:t>
      </w:r>
      <w:r>
        <w:rPr>
          <w:rFonts w:hint="eastAsia" w:hAnsi="Times New Roman" w:eastAsia="宋体"/>
          <w:b/>
          <w:bCs/>
          <w:sz w:val="21"/>
          <w:szCs w:val="21"/>
          <w:lang w:eastAsia="zh-CN"/>
        </w:rPr>
        <w:t>〔2020〕</w:t>
      </w:r>
      <w:r>
        <w:rPr>
          <w:rFonts w:hAnsi="Times New Roman" w:eastAsia="宋体"/>
          <w:b/>
          <w:bCs/>
          <w:sz w:val="21"/>
          <w:szCs w:val="21"/>
          <w:lang w:eastAsia="zh-CN"/>
        </w:rPr>
        <w:t>63号文符合性分析</w:t>
      </w:r>
    </w:p>
    <w:tbl>
      <w:tblPr>
        <w:tblStyle w:val="33"/>
        <w:tblW w:w="91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08"/>
        <w:gridCol w:w="4724"/>
        <w:gridCol w:w="2773"/>
        <w:gridCol w:w="9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blHeader/>
        </w:trPr>
        <w:tc>
          <w:tcPr>
            <w:tcW w:w="708" w:type="dxa"/>
            <w:vAlign w:val="center"/>
          </w:tcPr>
          <w:p>
            <w:pPr>
              <w:keepNext w:val="0"/>
              <w:keepLines w:val="0"/>
              <w:suppressLineNumbers w:val="0"/>
              <w:spacing w:before="0" w:beforeAutospacing="0" w:after="0" w:afterAutospacing="0" w:line="256"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序号</w:t>
            </w:r>
          </w:p>
        </w:tc>
        <w:tc>
          <w:tcPr>
            <w:tcW w:w="4724" w:type="dxa"/>
            <w:vAlign w:val="center"/>
          </w:tcPr>
          <w:p>
            <w:pPr>
              <w:keepNext w:val="0"/>
              <w:keepLines w:val="0"/>
              <w:suppressLineNumbers w:val="0"/>
              <w:spacing w:before="0" w:beforeAutospacing="0" w:after="0" w:afterAutospacing="0" w:line="256"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《关于进一步加强煤炭资源开发环境影响评价管理的通知》相关要求指标</w:t>
            </w:r>
          </w:p>
        </w:tc>
        <w:tc>
          <w:tcPr>
            <w:tcW w:w="2773" w:type="dxa"/>
            <w:vAlign w:val="center"/>
          </w:tcPr>
          <w:p>
            <w:pPr>
              <w:keepNext w:val="0"/>
              <w:keepLines w:val="0"/>
              <w:suppressLineNumbers w:val="0"/>
              <w:spacing w:before="0" w:beforeAutospacing="0" w:after="0" w:afterAutospacing="0" w:line="256"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本项目</w:t>
            </w:r>
          </w:p>
        </w:tc>
        <w:tc>
          <w:tcPr>
            <w:tcW w:w="915" w:type="dxa"/>
            <w:vAlign w:val="center"/>
          </w:tcPr>
          <w:p>
            <w:pPr>
              <w:keepNext w:val="0"/>
              <w:keepLines w:val="0"/>
              <w:suppressLineNumbers w:val="0"/>
              <w:spacing w:before="0" w:beforeAutospacing="0" w:after="0" w:afterAutospacing="0" w:line="256"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708"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w:t>
            </w:r>
          </w:p>
        </w:tc>
        <w:tc>
          <w:tcPr>
            <w:tcW w:w="4724" w:type="dxa"/>
            <w:vAlign w:val="center"/>
          </w:tcPr>
          <w:p>
            <w:pPr>
              <w:keepNext w:val="0"/>
              <w:keepLines w:val="0"/>
              <w:suppressLineNumbers w:val="0"/>
              <w:spacing w:before="0" w:beforeAutospacing="0" w:after="0" w:afterAutospacing="0" w:line="24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八）符合煤炭矿区总体规划和规划环评的煤炭采选建设项目，应依法编制项目环评文件，在开工建设前取得批复。项目为伴生放射性矿的，还应当根据相关文件要求编制辐射环境影响评价专篇，与环评文件同步编制、一同报批。项目环评文件经批准后，在设计、建设等过程中发现项目的性质、规模、地点、采用的生产工艺或者防治污染、防止生态破坏的措施发生重大变动的，建设单位应当在变动实施前，主动重新报批建设项目的环境影响评价文件。各级生态环境主管部门在审批煤炭采选建设项目环评文件时，不得违规设置或保留水土保持、下级生态环境主管部门预审等前置条件；涉及生态环境敏感区的，在符合法律法规的前提下，主管部门意见不作为环评审批的前置条件。</w:t>
            </w:r>
          </w:p>
        </w:tc>
        <w:tc>
          <w:tcPr>
            <w:tcW w:w="2773"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七里峡煤矿属于峨层山片区，符合《四川省达州市宣汉县煤矿矿区总体规划》，《四川省达州市宣汉县煤矿矿区总体规划规划环评》目前已通过评审，项目符合《规划环评》要求。本项目编制有水土保持和复垦方案。</w:t>
            </w:r>
          </w:p>
        </w:tc>
        <w:tc>
          <w:tcPr>
            <w:tcW w:w="915" w:type="dxa"/>
            <w:vAlign w:val="center"/>
          </w:tcPr>
          <w:p>
            <w:pPr>
              <w:keepNext w:val="0"/>
              <w:keepLines w:val="0"/>
              <w:suppressLineNumbers w:val="0"/>
              <w:spacing w:before="0" w:beforeAutospacing="0" w:after="0" w:afterAutospacing="0" w:line="24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708" w:type="dxa"/>
            <w:vAlign w:val="center"/>
          </w:tcPr>
          <w:p>
            <w:pPr>
              <w:keepNext w:val="0"/>
              <w:keepLines w:val="0"/>
              <w:suppressLineNumbers w:val="0"/>
              <w:spacing w:before="0" w:beforeAutospacing="0" w:after="0" w:afterAutospacing="0" w:line="256"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w:t>
            </w:r>
          </w:p>
        </w:tc>
        <w:tc>
          <w:tcPr>
            <w:tcW w:w="4724" w:type="dxa"/>
            <w:vAlign w:val="center"/>
          </w:tcPr>
          <w:p>
            <w:pPr>
              <w:keepNext w:val="0"/>
              <w:keepLines w:val="0"/>
              <w:suppressLineNumbers w:val="0"/>
              <w:spacing w:before="0" w:beforeAutospacing="0" w:after="0" w:afterAutospacing="0" w:line="256"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九）井工开采地表沉陷的生态环境影响预测，应充分考虑自然生态条件、沉陷影响形式和程度等制定生态重建与恢复方案，确保与周边生态环境相协调。露天开采时应优化采排计划，控制外排土场占地面积，在确保安全生产的前提下，尽快实现内排土。针对排土场平台、边坡和采掘场沿帮、最终采掘坑等制定生态重建与恢复方案。制定矸石周转场地、地面建（构）筑物搬迁迹地等的生态重建与恢复方案。建设单位应严格控制采煤活动扰动范围，按照“边开采、边恢复”原则，及时落实各项生态重建与恢复措施，并定期进行效果评估，存在问题的，建设单位应制定科学、可行的整改计划并严格实施。</w:t>
            </w:r>
          </w:p>
        </w:tc>
        <w:tc>
          <w:tcPr>
            <w:tcW w:w="2773" w:type="dxa"/>
            <w:vAlign w:val="center"/>
          </w:tcPr>
          <w:p>
            <w:pPr>
              <w:keepNext w:val="0"/>
              <w:keepLines w:val="0"/>
              <w:suppressLineNumbers w:val="0"/>
              <w:spacing w:before="0" w:beforeAutospacing="0" w:after="0" w:afterAutospacing="0" w:line="256"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本次评价对开采沉陷进行了预测分析，根据影响范围及形式，设定保护煤柱，定期观测等措施，保证周边生态环境不受影响。企业编制了《矿山地质环境保护与土地复垦方案》，并对工业广场采取了针对性的生态恢复措施。项目开采过程实行“边开采、边恢复”原则进行复垦。</w:t>
            </w:r>
          </w:p>
        </w:tc>
        <w:tc>
          <w:tcPr>
            <w:tcW w:w="915" w:type="dxa"/>
            <w:vAlign w:val="center"/>
          </w:tcPr>
          <w:p>
            <w:pPr>
              <w:keepNext w:val="0"/>
              <w:keepLines w:val="0"/>
              <w:suppressLineNumbers w:val="0"/>
              <w:spacing w:before="0" w:beforeAutospacing="0" w:after="0" w:afterAutospacing="0" w:line="256"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708" w:type="dxa"/>
            <w:vAlign w:val="center"/>
          </w:tcPr>
          <w:p>
            <w:pPr>
              <w:keepNext w:val="0"/>
              <w:keepLines w:val="0"/>
              <w:suppressLineNumbers w:val="0"/>
              <w:spacing w:before="0" w:beforeAutospacing="0" w:after="0" w:afterAutospacing="0" w:line="256"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w:t>
            </w:r>
          </w:p>
        </w:tc>
        <w:tc>
          <w:tcPr>
            <w:tcW w:w="4724" w:type="dxa"/>
            <w:vAlign w:val="center"/>
          </w:tcPr>
          <w:p>
            <w:pPr>
              <w:keepNext w:val="0"/>
              <w:keepLines w:val="0"/>
              <w:suppressLineNumbers w:val="0"/>
              <w:spacing w:before="0" w:beforeAutospacing="0" w:after="0" w:afterAutospacing="0" w:line="256"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十）井工开采不得破坏具有供水意义含水层结构、污染地下水水质，保护地下水的供水功能和生态功能，必要时应采取保护性开采技术或其他保护措施减缓对地下水环境的影响。露天开采项目应采取有效措施控制疏干水量、浅层地下水水位降深及对浅层地下水的疏干影响范围，减缓露天开采对浅层地下水环境的影响。污水处理设施等所在区域应采取防渗措施。</w:t>
            </w:r>
          </w:p>
        </w:tc>
        <w:tc>
          <w:tcPr>
            <w:tcW w:w="2773" w:type="dxa"/>
            <w:vAlign w:val="center"/>
          </w:tcPr>
          <w:p>
            <w:pPr>
              <w:keepNext w:val="0"/>
              <w:keepLines w:val="0"/>
              <w:suppressLineNumbers w:val="0"/>
              <w:spacing w:before="0" w:beforeAutospacing="0" w:after="0" w:afterAutospacing="0" w:line="256"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本项目开采不破坏具有供水意义的含水层，根据地下水预测分析，不会造成项目区域地下水污染。企业对工业广场进行了分区防渗；同时在开采过程中采取加强观测、及时封堵等措施</w:t>
            </w:r>
          </w:p>
        </w:tc>
        <w:tc>
          <w:tcPr>
            <w:tcW w:w="915" w:type="dxa"/>
            <w:vAlign w:val="center"/>
          </w:tcPr>
          <w:p>
            <w:pPr>
              <w:keepNext w:val="0"/>
              <w:keepLines w:val="0"/>
              <w:suppressLineNumbers w:val="0"/>
              <w:spacing w:before="0" w:beforeAutospacing="0" w:after="0" w:afterAutospacing="0" w:line="256"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708" w:type="dxa"/>
            <w:vAlign w:val="center"/>
          </w:tcPr>
          <w:p>
            <w:pPr>
              <w:keepNext w:val="0"/>
              <w:keepLines w:val="0"/>
              <w:suppressLineNumbers w:val="0"/>
              <w:spacing w:before="0" w:beforeAutospacing="0" w:after="0" w:afterAutospacing="0" w:line="256"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w:t>
            </w:r>
          </w:p>
        </w:tc>
        <w:tc>
          <w:tcPr>
            <w:tcW w:w="4724" w:type="dxa"/>
            <w:vAlign w:val="center"/>
          </w:tcPr>
          <w:p>
            <w:pPr>
              <w:keepNext w:val="0"/>
              <w:keepLines w:val="0"/>
              <w:suppressLineNumbers w:val="0"/>
              <w:spacing w:before="0" w:beforeAutospacing="0" w:after="0" w:afterAutospacing="0" w:line="256"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十一）鼓励对煤矸石进行井下充填、发电、生产建筑材料、回收矿产品、制取化工产品、筑路、土地复垦等多途径综合利用，因地制宜选择合理的综合利用方式，提高煤矸石综合利用率。技术可行、经济合理的条件下优先采用井下充填技术处置煤矸石，有效控制地面沉陷、损毁耕地，减少煤矸石排放量。煤矸石的处置与综合利用应符合国家及行业相关标准规范要求。禁止建设永久性煤矸石堆放场（库），确需建设临时性堆放场（库）的，其占地规模应当与煤炭生产和洗选加工能力相匹配，原则上占地规模按不超过3年储矸量设计，且必须有后续综合利用方案。</w:t>
            </w:r>
          </w:p>
          <w:p>
            <w:pPr>
              <w:keepNext w:val="0"/>
              <w:keepLines w:val="0"/>
              <w:suppressLineNumbers w:val="0"/>
              <w:spacing w:before="0" w:beforeAutospacing="0" w:after="0" w:afterAutospacing="0" w:line="256"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提高煤矿瓦斯利用率，控制温室气体排放。高瓦斯、煤与瓦斯突出矿井应配套建设瓦斯抽采与综合利用设施，甲烷体积浓度大于等于8%的抽采瓦斯，在确保安全的前提下，应进行综合利用。鼓励对甲烷体积浓度在2%（含）至8%的抽采瓦斯以及乏风瓦斯，探索开展综合利用。确需排放的，应满足《煤层气（煤矿瓦斯）排放标准（暂行）》要求。</w:t>
            </w:r>
          </w:p>
        </w:tc>
        <w:tc>
          <w:tcPr>
            <w:tcW w:w="2773" w:type="dxa"/>
            <w:vAlign w:val="center"/>
          </w:tcPr>
          <w:p>
            <w:pPr>
              <w:keepNext w:val="0"/>
              <w:keepLines w:val="0"/>
              <w:suppressLineNumbers w:val="0"/>
              <w:spacing w:before="0" w:beforeAutospacing="0" w:after="0" w:afterAutospacing="0" w:line="256"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本项目仅设置一处临时矸石堆场，其储存规模1万吨/年，不超过年矸石产量，且产生的矸石定期运送至宣汉县平桥砖厂制砖。</w:t>
            </w:r>
          </w:p>
          <w:p>
            <w:pPr>
              <w:keepNext w:val="0"/>
              <w:keepLines w:val="0"/>
              <w:suppressLineNumbers w:val="0"/>
              <w:spacing w:before="0" w:beforeAutospacing="0" w:after="0" w:afterAutospacing="0" w:line="256"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改扩建后，矿井最大相对瓦斯涌出量确定为6.86m</w:t>
            </w:r>
            <w:r>
              <w:rPr>
                <w:rFonts w:hint="eastAsia" w:hAnsi="Times New Roman" w:eastAsia="宋体"/>
                <w:kern w:val="2"/>
                <w:sz w:val="21"/>
                <w:szCs w:val="21"/>
                <w:vertAlign w:val="superscript"/>
                <w:lang w:eastAsia="zh-CN"/>
              </w:rPr>
              <w:t>3</w:t>
            </w:r>
            <w:r>
              <w:rPr>
                <w:rFonts w:hint="eastAsia" w:hAnsi="Times New Roman" w:eastAsia="宋体"/>
                <w:kern w:val="2"/>
                <w:sz w:val="21"/>
                <w:szCs w:val="21"/>
                <w:lang w:eastAsia="zh-CN"/>
              </w:rPr>
              <w:t>/t，绝对瓦斯涌出量为4.42m</w:t>
            </w:r>
            <w:r>
              <w:rPr>
                <w:rFonts w:hint="eastAsia" w:hAnsi="Times New Roman" w:eastAsia="宋体"/>
                <w:kern w:val="2"/>
                <w:sz w:val="21"/>
                <w:szCs w:val="21"/>
                <w:vertAlign w:val="superscript"/>
                <w:lang w:eastAsia="zh-CN"/>
              </w:rPr>
              <w:t>3</w:t>
            </w:r>
            <w:r>
              <w:rPr>
                <w:rFonts w:hint="eastAsia" w:hAnsi="Times New Roman" w:eastAsia="宋体"/>
                <w:kern w:val="2"/>
                <w:sz w:val="21"/>
                <w:szCs w:val="21"/>
                <w:lang w:eastAsia="zh-CN"/>
              </w:rPr>
              <w:t>/min，采煤工作面最大绝对瓦斯涌出量为2.34m</w:t>
            </w:r>
            <w:r>
              <w:rPr>
                <w:rFonts w:hint="eastAsia" w:hAnsi="Times New Roman" w:eastAsia="宋体"/>
                <w:kern w:val="2"/>
                <w:sz w:val="21"/>
                <w:szCs w:val="21"/>
                <w:vertAlign w:val="superscript"/>
                <w:lang w:eastAsia="zh-CN"/>
              </w:rPr>
              <w:t>3</w:t>
            </w:r>
            <w:r>
              <w:rPr>
                <w:rFonts w:hint="eastAsia" w:hAnsi="Times New Roman" w:eastAsia="宋体"/>
                <w:kern w:val="2"/>
                <w:sz w:val="21"/>
                <w:szCs w:val="21"/>
                <w:lang w:eastAsia="zh-CN"/>
              </w:rPr>
              <w:t>/min，半煤岩巷掘进工作面最大绝对瓦斯涌出量为0.528m</w:t>
            </w:r>
            <w:r>
              <w:rPr>
                <w:rFonts w:hint="eastAsia" w:hAnsi="Times New Roman" w:eastAsia="宋体"/>
                <w:kern w:val="2"/>
                <w:sz w:val="21"/>
                <w:szCs w:val="21"/>
                <w:vertAlign w:val="superscript"/>
                <w:lang w:eastAsia="zh-CN"/>
              </w:rPr>
              <w:t>3</w:t>
            </w:r>
            <w:r>
              <w:rPr>
                <w:rFonts w:hint="eastAsia" w:hAnsi="Times New Roman" w:eastAsia="宋体"/>
                <w:kern w:val="2"/>
                <w:sz w:val="21"/>
                <w:szCs w:val="21"/>
                <w:lang w:eastAsia="zh-CN"/>
              </w:rPr>
              <w:t>/min，为低瓦斯矿井。</w:t>
            </w:r>
          </w:p>
        </w:tc>
        <w:tc>
          <w:tcPr>
            <w:tcW w:w="915" w:type="dxa"/>
            <w:vAlign w:val="center"/>
          </w:tcPr>
          <w:p>
            <w:pPr>
              <w:keepNext w:val="0"/>
              <w:keepLines w:val="0"/>
              <w:suppressLineNumbers w:val="0"/>
              <w:spacing w:before="0" w:beforeAutospacing="0" w:after="0" w:afterAutospacing="0" w:line="256"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708" w:type="dxa"/>
            <w:vAlign w:val="center"/>
          </w:tcPr>
          <w:p>
            <w:pPr>
              <w:keepNext w:val="0"/>
              <w:keepLines w:val="0"/>
              <w:suppressLineNumbers w:val="0"/>
              <w:spacing w:before="0" w:beforeAutospacing="0" w:after="0" w:afterAutospacing="0" w:line="256"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w:t>
            </w:r>
          </w:p>
        </w:tc>
        <w:tc>
          <w:tcPr>
            <w:tcW w:w="4724" w:type="dxa"/>
            <w:vAlign w:val="center"/>
          </w:tcPr>
          <w:p>
            <w:pPr>
              <w:keepNext w:val="0"/>
              <w:keepLines w:val="0"/>
              <w:suppressLineNumbers w:val="0"/>
              <w:spacing w:before="0" w:beforeAutospacing="0" w:after="0" w:afterAutospacing="0" w:line="256" w:lineRule="exact"/>
              <w:ind w:left="0" w:right="0"/>
              <w:jc w:val="left"/>
              <w:rPr>
                <w:rFonts w:hint="eastAsia" w:hAnsi="Times New Roman" w:eastAsia="宋体"/>
                <w:kern w:val="2"/>
                <w:szCs w:val="22"/>
                <w:lang w:eastAsia="zh-CN"/>
              </w:rPr>
            </w:pPr>
            <w:r>
              <w:rPr>
                <w:rFonts w:hint="eastAsia" w:hAnsi="Times New Roman" w:eastAsia="宋体"/>
                <w:kern w:val="2"/>
                <w:sz w:val="21"/>
                <w:szCs w:val="21"/>
                <w:lang w:eastAsia="zh-CN"/>
              </w:rPr>
              <w:t>（十二）针对矿井水应当考虑主要污染因子及污染影响特点等，通过优化开采范围和开采方式、采取针对性处理措施等，从源头减少和有效防治高盐、酸性、高氟化物、放射性等矿井水。矿井水应优先用于项目建设及生产，并鼓励多途径利用多余矿井水。可以利用的矿井水未得到合理、充分利用的，不得开采及使用其他地表水和地下水水源作为生产水源，并不得擅自外排。矿井水在充分利用后仍有剩余且确需外排的，经处理后拟外排的，除应符合相关法律法规政策外，其相关水质因子值还应满足或优于受纳水体环境功能区划规定的地表水环境质量对应值，含盐量不得超过1000毫克/升，且不得影响上下游相关河段水功能需求。安装在线自动监测系统，相关环境数据向社会公开，与相关部门联网，接受监督。依法依规做好关闭矿井封井处置，防治老空水等污染。</w:t>
            </w:r>
          </w:p>
        </w:tc>
        <w:tc>
          <w:tcPr>
            <w:tcW w:w="2773" w:type="dxa"/>
            <w:vAlign w:val="center"/>
          </w:tcPr>
          <w:p>
            <w:pPr>
              <w:keepNext w:val="0"/>
              <w:keepLines w:val="0"/>
              <w:suppressLineNumbers w:val="0"/>
              <w:spacing w:before="0" w:beforeAutospacing="0" w:after="0" w:afterAutospacing="0" w:line="256"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本项目矿井水优先利用于井下生产防尘洒水以及工业广场、储煤场、临时矸石堆场洒水抑尘，剩余部分外排至新宁河。根据预测可知，本项目外排废水能满足地表水Ⅲ类水质要求。</w:t>
            </w:r>
          </w:p>
        </w:tc>
        <w:tc>
          <w:tcPr>
            <w:tcW w:w="915" w:type="dxa"/>
            <w:vAlign w:val="center"/>
          </w:tcPr>
          <w:p>
            <w:pPr>
              <w:keepNext w:val="0"/>
              <w:keepLines w:val="0"/>
              <w:suppressLineNumbers w:val="0"/>
              <w:spacing w:before="0" w:beforeAutospacing="0" w:after="0" w:afterAutospacing="0" w:line="256"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708" w:type="dxa"/>
            <w:vAlign w:val="center"/>
          </w:tcPr>
          <w:p>
            <w:pPr>
              <w:keepNext w:val="0"/>
              <w:keepLines w:val="0"/>
              <w:suppressLineNumbers w:val="0"/>
              <w:spacing w:before="0" w:beforeAutospacing="0" w:after="0" w:afterAutospacing="0" w:line="256"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6</w:t>
            </w:r>
          </w:p>
        </w:tc>
        <w:tc>
          <w:tcPr>
            <w:tcW w:w="4724" w:type="dxa"/>
            <w:vAlign w:val="center"/>
          </w:tcPr>
          <w:p>
            <w:pPr>
              <w:keepNext w:val="0"/>
              <w:keepLines w:val="0"/>
              <w:suppressLineNumbers w:val="0"/>
              <w:spacing w:before="0" w:beforeAutospacing="0" w:after="0" w:afterAutospacing="0" w:line="256"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十三）煤炭开采应符合大气污染防治政策。生态保护红线、自然保护地内原则上应依法禁止露天开采，其他生态功能极重要区、生态极敏感区以及国家规定的重要区域等应严格控制露天开采。加强煤炭开采的扬尘污染防治，对露天开采的采掘场、排土场已形成的台阶进行压覆及洒水降尘，对预爆区洒水预湿。煤炭、矸石的储存、装卸、输送以及破碎、筛选等产尘环节，应采取有效措施控制扬尘污染，优先采取封闭措施，厂界无组织排放应符合国家和地方相关标准要求；涉及环境敏感区或区域颗粒物超标的，依法采取封闭措施。煤炭企业应针对煤炭运输的扬尘污染提出封闭运输、车辆清洗等防治要求，减少对道路沿线的影响；相关企业应规划建设铁路专用线、码头等，优先采用铁路、水路等方式运输煤炭。</w:t>
            </w:r>
          </w:p>
        </w:tc>
        <w:tc>
          <w:tcPr>
            <w:tcW w:w="2773" w:type="dxa"/>
            <w:vAlign w:val="center"/>
          </w:tcPr>
          <w:p>
            <w:pPr>
              <w:keepNext w:val="0"/>
              <w:keepLines w:val="0"/>
              <w:suppressLineNumbers w:val="0"/>
              <w:spacing w:before="0" w:beforeAutospacing="0" w:after="0" w:afterAutospacing="0" w:line="256"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本项目开采区域不涉及自然保护区、生态红线等。本项目采用封闭式储煤场，在煤炭装卸口设置有喷淋设施，临时矸石堆场采取顶部遮盖，三面围挡、喷雾除尘等措施，厂界无组织排放能够满足标准限值要求。</w:t>
            </w:r>
          </w:p>
        </w:tc>
        <w:tc>
          <w:tcPr>
            <w:tcW w:w="915" w:type="dxa"/>
            <w:vAlign w:val="center"/>
          </w:tcPr>
          <w:p>
            <w:pPr>
              <w:keepNext w:val="0"/>
              <w:keepLines w:val="0"/>
              <w:suppressLineNumbers w:val="0"/>
              <w:spacing w:before="0" w:beforeAutospacing="0" w:after="0" w:afterAutospacing="0" w:line="256"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708" w:type="dxa"/>
            <w:vAlign w:val="center"/>
          </w:tcPr>
          <w:p>
            <w:pPr>
              <w:keepNext w:val="0"/>
              <w:keepLines w:val="0"/>
              <w:suppressLineNumbers w:val="0"/>
              <w:spacing w:before="0" w:beforeAutospacing="0" w:after="0" w:afterAutospacing="0" w:line="256"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7</w:t>
            </w:r>
          </w:p>
        </w:tc>
        <w:tc>
          <w:tcPr>
            <w:tcW w:w="4724" w:type="dxa"/>
            <w:vAlign w:val="center"/>
          </w:tcPr>
          <w:p>
            <w:pPr>
              <w:keepNext w:val="0"/>
              <w:keepLines w:val="0"/>
              <w:suppressLineNumbers w:val="0"/>
              <w:spacing w:before="0" w:beforeAutospacing="0" w:after="0" w:afterAutospacing="0" w:line="256"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新建、改扩建煤矿应配套煤炭洗选设备，有效提高煤炭产品质量，强化洗选过程污染治理。煤炭开采使用的非道路移动机械排放废气应符合国家和地方污染物排放标准要求，鼓励使用新能源非道路移动机械。优先采用余热利用、依托热源、清洁能源等供热措施，减少大气污染物排放；确需建设燃烧锅炉的，应符合国家和地方大气污染防治要求。加强矸石山管理和综合治理，采取有效措施控制扬尘、自燃等。</w:t>
            </w:r>
          </w:p>
        </w:tc>
        <w:tc>
          <w:tcPr>
            <w:tcW w:w="2773" w:type="dxa"/>
            <w:vAlign w:val="center"/>
          </w:tcPr>
          <w:p>
            <w:pPr>
              <w:keepNext w:val="0"/>
              <w:keepLines w:val="0"/>
              <w:suppressLineNumbers w:val="0"/>
              <w:spacing w:before="0" w:beforeAutospacing="0" w:after="0" w:afterAutospacing="0" w:line="256"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本项目依托达州宣汉县大路能源有限公司选煤厂进行原煤洗选加工；项目热源采用电加热太阳能热水器，不设置燃煤锅炉，不涉及大气污染物排放；项目矸石全部外售综合利用，后期建设严格按照复垦方案进行复垦。</w:t>
            </w:r>
          </w:p>
        </w:tc>
        <w:tc>
          <w:tcPr>
            <w:tcW w:w="915" w:type="dxa"/>
            <w:vAlign w:val="center"/>
          </w:tcPr>
          <w:p>
            <w:pPr>
              <w:keepNext w:val="0"/>
              <w:keepLines w:val="0"/>
              <w:suppressLineNumbers w:val="0"/>
              <w:spacing w:before="0" w:beforeAutospacing="0" w:after="0" w:afterAutospacing="0" w:line="256"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708" w:type="dxa"/>
            <w:vAlign w:val="center"/>
          </w:tcPr>
          <w:p>
            <w:pPr>
              <w:keepNext w:val="0"/>
              <w:keepLines w:val="0"/>
              <w:suppressLineNumbers w:val="0"/>
              <w:spacing w:before="0" w:beforeAutospacing="0" w:after="0" w:afterAutospacing="0" w:line="256"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8</w:t>
            </w:r>
          </w:p>
        </w:tc>
        <w:tc>
          <w:tcPr>
            <w:tcW w:w="4724" w:type="dxa"/>
            <w:vAlign w:val="center"/>
          </w:tcPr>
          <w:p>
            <w:pPr>
              <w:keepNext w:val="0"/>
              <w:keepLines w:val="0"/>
              <w:suppressLineNumbers w:val="0"/>
              <w:spacing w:before="0" w:beforeAutospacing="0" w:after="0" w:afterAutospacing="0" w:line="256"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（十四）煤炭采选企业应当依法申请取得排污许可证或进行排污登记。未取得排污许可证也未进行排污登记的，不得排放污染物。</w:t>
            </w:r>
          </w:p>
          <w:p>
            <w:pPr>
              <w:keepNext w:val="0"/>
              <w:keepLines w:val="0"/>
              <w:suppressLineNumbers w:val="0"/>
              <w:spacing w:before="0" w:beforeAutospacing="0" w:after="0" w:afterAutospacing="0" w:line="256"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　　改建、扩建和技术改造煤炭采选项目还必须采取措施，治理与该项目有关的原有环境污染和生态破坏。</w:t>
            </w:r>
          </w:p>
        </w:tc>
        <w:tc>
          <w:tcPr>
            <w:tcW w:w="2773" w:type="dxa"/>
            <w:vAlign w:val="center"/>
          </w:tcPr>
          <w:p>
            <w:pPr>
              <w:keepNext w:val="0"/>
              <w:keepLines w:val="0"/>
              <w:suppressLineNumbers w:val="0"/>
              <w:spacing w:before="0" w:beforeAutospacing="0" w:after="0" w:afterAutospacing="0" w:line="256"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环评要求项目投产前及时办理排污许可，项目为改扩建项目，本环评提出了以新带老措施。</w:t>
            </w:r>
          </w:p>
        </w:tc>
        <w:tc>
          <w:tcPr>
            <w:tcW w:w="915" w:type="dxa"/>
            <w:vAlign w:val="center"/>
          </w:tcPr>
          <w:p>
            <w:pPr>
              <w:keepNext w:val="0"/>
              <w:keepLines w:val="0"/>
              <w:suppressLineNumbers w:val="0"/>
              <w:spacing w:before="0" w:beforeAutospacing="0" w:after="0" w:afterAutospacing="0" w:line="256"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708" w:type="dxa"/>
            <w:vAlign w:val="center"/>
          </w:tcPr>
          <w:p>
            <w:pPr>
              <w:keepNext w:val="0"/>
              <w:keepLines w:val="0"/>
              <w:suppressLineNumbers w:val="0"/>
              <w:spacing w:before="0" w:beforeAutospacing="0" w:after="0" w:afterAutospacing="0" w:line="256"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9</w:t>
            </w:r>
          </w:p>
        </w:tc>
        <w:tc>
          <w:tcPr>
            <w:tcW w:w="4724" w:type="dxa"/>
            <w:vAlign w:val="center"/>
          </w:tcPr>
          <w:p>
            <w:pPr>
              <w:keepNext w:val="0"/>
              <w:keepLines w:val="0"/>
              <w:suppressLineNumbers w:val="0"/>
              <w:spacing w:before="0" w:beforeAutospacing="0" w:after="0" w:afterAutospacing="0" w:line="256"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鼓励相关部门和企业，开展沉陷区生态修复技术、露天矿排土场和采掘场生态重建与修复技术、保水采煤技术、高含盐量矿井水处理与利用技术、煤矸石综合利用技术、低浓度和乏风瓦斯综合利用技术，关闭煤矿瓦斯监测和综合利用技术等研究，促进煤炭采选行业绿色发展。</w:t>
            </w:r>
          </w:p>
        </w:tc>
        <w:tc>
          <w:tcPr>
            <w:tcW w:w="2773" w:type="dxa"/>
            <w:vAlign w:val="center"/>
          </w:tcPr>
          <w:p>
            <w:pPr>
              <w:keepNext w:val="0"/>
              <w:keepLines w:val="0"/>
              <w:suppressLineNumbers w:val="0"/>
              <w:spacing w:before="0" w:beforeAutospacing="0" w:after="0" w:afterAutospacing="0" w:line="256"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项目定期对地面沉陷进行检查，并进行修复；对现有矸石堆场进行复垦；瓦斯抽采放空，并在建成后根据实际情况按要求执行，符合绿化发展的要求。</w:t>
            </w:r>
          </w:p>
        </w:tc>
        <w:tc>
          <w:tcPr>
            <w:tcW w:w="915" w:type="dxa"/>
            <w:vAlign w:val="center"/>
          </w:tcPr>
          <w:p>
            <w:pPr>
              <w:keepNext w:val="0"/>
              <w:keepLines w:val="0"/>
              <w:suppressLineNumbers w:val="0"/>
              <w:spacing w:before="0" w:beforeAutospacing="0" w:after="0" w:afterAutospacing="0" w:line="256" w:lineRule="exact"/>
              <w:ind w:left="0" w:right="0"/>
              <w:jc w:val="center"/>
              <w:rPr>
                <w:rFonts w:hint="eastAsia" w:hAnsi="Times New Roman" w:eastAsia="宋体"/>
                <w:kern w:val="2"/>
                <w:sz w:val="21"/>
                <w:szCs w:val="21"/>
                <w:lang w:eastAsia="zh-CN"/>
              </w:rPr>
            </w:pPr>
            <w:r>
              <w:rPr>
                <w:rFonts w:hint="eastAsia"/>
                <w:kern w:val="2"/>
                <w:sz w:val="21"/>
                <w:szCs w:val="21"/>
              </w:rPr>
              <w:t>符合</w:t>
            </w:r>
          </w:p>
        </w:tc>
      </w:tr>
    </w:tbl>
    <w:p>
      <w:pPr>
        <w:pStyle w:val="6"/>
        <w:rPr>
          <w:szCs w:val="22"/>
          <w:lang w:eastAsia="zh-CN"/>
        </w:rPr>
      </w:pPr>
      <w:bookmarkStart w:id="750" w:name="_Toc163812738"/>
      <w:bookmarkStart w:id="751" w:name="_Toc167095361"/>
      <w:r>
        <w:rPr>
          <w:szCs w:val="22"/>
          <w:lang w:eastAsia="zh-CN"/>
        </w:rPr>
        <w:t>14.2.9 与《关于印发煤炭工业节能减排工作意见的通知》符合性分析</w:t>
      </w:r>
      <w:bookmarkEnd w:id="750"/>
      <w:bookmarkEnd w:id="751"/>
    </w:p>
    <w:p>
      <w:pPr>
        <w:spacing w:line="360" w:lineRule="auto"/>
        <w:ind w:firstLine="480" w:firstLineChars="200"/>
        <w:rPr>
          <w:rFonts w:hAnsi="Times New Roman" w:eastAsia="宋体"/>
          <w:lang w:eastAsia="zh-CN"/>
        </w:rPr>
      </w:pPr>
      <w:r>
        <w:rPr>
          <w:rFonts w:hAnsi="Times New Roman" w:eastAsia="宋体"/>
          <w:szCs w:val="22"/>
          <w:lang w:eastAsia="zh-CN"/>
        </w:rPr>
        <w:t>根据《关于印发煤炭工业节能减排工作意见的通知》（发改能源[2007]1456号），</w:t>
      </w:r>
      <w:r>
        <w:rPr>
          <w:rFonts w:hAnsi="Times New Roman" w:eastAsia="宋体"/>
          <w:lang w:eastAsia="zh-CN"/>
        </w:rPr>
        <w:t>本项目符合性分析见下表所示。</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表14.2-5 本项目与发改能源[2007]1456号文符合性分析</w:t>
      </w:r>
    </w:p>
    <w:tbl>
      <w:tblPr>
        <w:tblStyle w:val="33"/>
        <w:tblW w:w="91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12"/>
        <w:gridCol w:w="4744"/>
        <w:gridCol w:w="2785"/>
        <w:gridCol w:w="9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54" w:hRule="atLeast"/>
        </w:trPr>
        <w:tc>
          <w:tcPr>
            <w:tcW w:w="712"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序号</w:t>
            </w:r>
          </w:p>
        </w:tc>
        <w:tc>
          <w:tcPr>
            <w:tcW w:w="4744"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《关于印发煤炭工业节能减排工作意见的通知》相关要求指标</w:t>
            </w:r>
          </w:p>
        </w:tc>
        <w:tc>
          <w:tcPr>
            <w:tcW w:w="2785"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本项目</w:t>
            </w:r>
          </w:p>
        </w:tc>
        <w:tc>
          <w:tcPr>
            <w:tcW w:w="919"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64" w:hRule="atLeast"/>
        </w:trPr>
        <w:tc>
          <w:tcPr>
            <w:tcW w:w="712"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w:t>
            </w:r>
          </w:p>
        </w:tc>
        <w:tc>
          <w:tcPr>
            <w:tcW w:w="4744"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第二十七条 煤炭企业必须按照清洁生产和发展循环经济的要求，制定资源综合利用规划。煤矸石、洗矸、煤泥必须进行综合利用，不得长期排放堆存，临时堆存要有防止自燃措施。对已经自燃的矸石山，必须尽快采取灭火措施，确保熄灭并防止复燃。要加强对自燃煤田灭火工作的组织领导，加大投入，力争提前完成灭火计划。</w:t>
            </w:r>
          </w:p>
        </w:tc>
        <w:tc>
          <w:tcPr>
            <w:tcW w:w="2785"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本项目不设置永久矸石堆场，煤矸石堆放在临时矸石堆场，煤泥经干化后及时运送至宣汉县平桥砖厂进行综合利用。</w:t>
            </w:r>
          </w:p>
        </w:tc>
        <w:tc>
          <w:tcPr>
            <w:tcW w:w="919"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16" w:hRule="atLeast"/>
        </w:trPr>
        <w:tc>
          <w:tcPr>
            <w:tcW w:w="712"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w:t>
            </w:r>
          </w:p>
        </w:tc>
        <w:tc>
          <w:tcPr>
            <w:tcW w:w="4744"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第二十八条 纯岩矸石和半煤岩矸石必须分运分堆，纯岩矸石尽量不出井。以煤矸石发电、生产建材、回填复垦及无害化处理为重点，努力发展科技含量高、附加值高的煤矸石综合利用技术和产品。</w:t>
            </w:r>
          </w:p>
        </w:tc>
        <w:tc>
          <w:tcPr>
            <w:tcW w:w="2785"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矿井掘进白矸用于井下回填采空区，煤矸石出井后暂存临时堆场，用于宣汉县平桥砖厂综合利用。</w:t>
            </w:r>
          </w:p>
        </w:tc>
        <w:tc>
          <w:tcPr>
            <w:tcW w:w="919"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21" w:hRule="atLeast"/>
        </w:trPr>
        <w:tc>
          <w:tcPr>
            <w:tcW w:w="712"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w:t>
            </w:r>
          </w:p>
        </w:tc>
        <w:tc>
          <w:tcPr>
            <w:tcW w:w="4744"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第三十六条 采用保水、节水开采措施，合理保护矿区水资源。矿井水必须进行净化处理和综合利用，矿区生产、生活必须优先采用处理后的矿井水；有外供条件的，当地行政管理部门应积极协调，支持矿井水的有效利用。</w:t>
            </w:r>
          </w:p>
        </w:tc>
        <w:tc>
          <w:tcPr>
            <w:tcW w:w="2785"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矿井建设有矿井水处理设施，生产用水全部使用处理后的矿井水，多余部分达标排放。</w:t>
            </w:r>
          </w:p>
        </w:tc>
        <w:tc>
          <w:tcPr>
            <w:tcW w:w="919"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bl>
    <w:p>
      <w:pPr>
        <w:pStyle w:val="6"/>
        <w:rPr>
          <w:lang w:eastAsia="zh-CN"/>
        </w:rPr>
      </w:pPr>
      <w:bookmarkStart w:id="752" w:name="_Toc167095362"/>
      <w:bookmarkStart w:id="753" w:name="_Toc163812739"/>
      <w:r>
        <w:rPr>
          <w:szCs w:val="22"/>
          <w:lang w:eastAsia="zh-CN"/>
        </w:rPr>
        <w:t>14.2.10 与《关于促进煤炭安全绿色开发和清洁高效利用的意见》符合性分析</w:t>
      </w:r>
      <w:bookmarkEnd w:id="752"/>
      <w:bookmarkEnd w:id="753"/>
    </w:p>
    <w:p>
      <w:pPr>
        <w:spacing w:line="360" w:lineRule="auto"/>
        <w:ind w:firstLine="480" w:firstLineChars="200"/>
        <w:rPr>
          <w:rFonts w:hAnsi="Times New Roman" w:eastAsia="宋体"/>
          <w:lang w:eastAsia="zh-CN"/>
        </w:rPr>
      </w:pPr>
      <w:r>
        <w:rPr>
          <w:rFonts w:hAnsi="Times New Roman" w:eastAsia="宋体"/>
          <w:szCs w:val="22"/>
          <w:lang w:eastAsia="zh-CN"/>
        </w:rPr>
        <w:t>根据《关于促进煤炭安全绿色开发和清洁高效利用的意见》（国家能源局国能煤炭[2014]571号），</w:t>
      </w:r>
      <w:r>
        <w:rPr>
          <w:rFonts w:hAnsi="Times New Roman" w:eastAsia="宋体"/>
          <w:lang w:eastAsia="zh-CN"/>
        </w:rPr>
        <w:t>本项目符合性分析见下表所示。</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表14.2-6 本项目与国家能源局国能煤炭[2014]571号文符合性分析</w:t>
      </w:r>
    </w:p>
    <w:tbl>
      <w:tblPr>
        <w:tblStyle w:val="33"/>
        <w:tblW w:w="91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06"/>
        <w:gridCol w:w="4714"/>
        <w:gridCol w:w="2767"/>
        <w:gridCol w:w="9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blHeader/>
        </w:trPr>
        <w:tc>
          <w:tcPr>
            <w:tcW w:w="706"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序号</w:t>
            </w:r>
          </w:p>
        </w:tc>
        <w:tc>
          <w:tcPr>
            <w:tcW w:w="4714"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《关于促进煤炭安全绿色开发和清洁高效利用的意见》相关要求指标</w:t>
            </w:r>
          </w:p>
        </w:tc>
        <w:tc>
          <w:tcPr>
            <w:tcW w:w="2767"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本项目</w:t>
            </w:r>
          </w:p>
        </w:tc>
        <w:tc>
          <w:tcPr>
            <w:tcW w:w="913"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706"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w:t>
            </w:r>
          </w:p>
        </w:tc>
        <w:tc>
          <w:tcPr>
            <w:tcW w:w="4714" w:type="dxa"/>
          </w:tcPr>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二）发展目标。到2020年，煤炭工业生产力水平大幅提升，资源适度合理开发，全国煤矿采煤机械化程度达到85%以上，掘进机械化程度达到62%以上。生态环境显著改善，绿色矿山建设取得积极成效，资源节约型和环境友好型生态文明矿区建设取得重大进展…。</w:t>
            </w:r>
          </w:p>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三、主要任务</w:t>
            </w:r>
          </w:p>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 xml:space="preserve">（二）大力推行煤矿安全绿色开采。到2020年，厚及特厚煤层、中厚煤层、薄煤层采区回采率分别达到70%、85%和90%以上； </w:t>
            </w:r>
          </w:p>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三）深入发展矿区循环经济。到2020年，煤矸石综合利用率不低于75%；在水资源短缺矿区、一般水资源矿区、水资源丰富矿区，矿井水或露天矿矿坑水利用率分别不低于95%、80%、75%。煤矿稳定塌陷土地治理率达到80%以上，排矸场和露天矿排土场复垦率达到90%以上。</w:t>
            </w:r>
          </w:p>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四）加快煤层气（煤矿瓦斯）开发利用。煤炭规划生产区实施“先抽后采”、“采煤采气一体化”，所有应抽采瓦斯的矿井要按照有关规定建立完善的抽采系统，抽采达标，鼓励煤矿实施井上下立体化联合抽采，推动煤矿瓦斯规模化抽采利用矿区建设，提高瓦斯抽采利用率。煤层气以管道输送为主，就近利用，余气外输，统筹建设煤层气输送管网，适度发展煤层气压缩和液化。煤矿瓦斯以就地发电和民用为主，严禁高浓度瓦斯直接排放，支持低浓度瓦斯发电、热电冷联供或浓缩利用，鼓励乏风瓦斯发电或供热等利用，提高瓦斯利用率。</w:t>
            </w:r>
          </w:p>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（五）提高煤炭产品质量和利用标准。到2020年，原煤入选率达到80%以上，实现应选尽选；</w:t>
            </w:r>
          </w:p>
        </w:tc>
        <w:tc>
          <w:tcPr>
            <w:tcW w:w="2767"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煤矿现有采煤工艺为机械化开采，开采煤层属于薄煤层，采区设计回采率97%，满足要求；煤矸石均外售宣汉县平桥砖厂制砖，100%综合利用；矿井水处理后回用，确需外排的达到水环境质量标准，且不对水域功能造成影响；矿井为低瓦斯矿井</w:t>
            </w:r>
          </w:p>
        </w:tc>
        <w:tc>
          <w:tcPr>
            <w:tcW w:w="913"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bl>
    <w:p>
      <w:pPr>
        <w:pStyle w:val="6"/>
        <w:rPr>
          <w:szCs w:val="22"/>
          <w:lang w:eastAsia="zh-CN"/>
        </w:rPr>
      </w:pPr>
      <w:bookmarkStart w:id="754" w:name="_Toc167095363"/>
      <w:bookmarkStart w:id="755" w:name="_Toc163812740"/>
      <w:r>
        <w:rPr>
          <w:szCs w:val="22"/>
          <w:lang w:eastAsia="zh-CN"/>
        </w:rPr>
        <w:t>14.2.11 与《关于发布</w:t>
      </w:r>
      <w:r>
        <w:rPr>
          <w:rFonts w:hint="eastAsia"/>
          <w:szCs w:val="22"/>
          <w:lang w:eastAsia="zh-CN"/>
        </w:rPr>
        <w:t>〈</w:t>
      </w:r>
      <w:r>
        <w:rPr>
          <w:szCs w:val="22"/>
          <w:lang w:eastAsia="zh-CN"/>
        </w:rPr>
        <w:t>矿产资源开发利用辐射环境监督管理名录</w:t>
      </w:r>
      <w:r>
        <w:rPr>
          <w:rFonts w:hint="eastAsia"/>
          <w:szCs w:val="22"/>
          <w:lang w:eastAsia="zh-CN"/>
        </w:rPr>
        <w:t>〉</w:t>
      </w:r>
      <w:r>
        <w:rPr>
          <w:szCs w:val="22"/>
          <w:lang w:eastAsia="zh-CN"/>
        </w:rPr>
        <w:t>的公告》符合性分析</w:t>
      </w:r>
      <w:bookmarkEnd w:id="754"/>
      <w:bookmarkEnd w:id="755"/>
    </w:p>
    <w:p>
      <w:pPr>
        <w:spacing w:line="360" w:lineRule="auto"/>
        <w:ind w:firstLine="480" w:firstLineChars="200"/>
        <w:rPr>
          <w:rFonts w:hAnsi="Times New Roman" w:eastAsia="宋体"/>
          <w:lang w:eastAsia="zh-CN"/>
        </w:rPr>
      </w:pPr>
      <w:r>
        <w:rPr>
          <w:rFonts w:hAnsi="Times New Roman" w:eastAsia="宋体"/>
          <w:szCs w:val="22"/>
          <w:lang w:eastAsia="zh-CN"/>
        </w:rPr>
        <w:t>根据《关于发布</w:t>
      </w:r>
      <w:r>
        <w:rPr>
          <w:rFonts w:hint="eastAsia" w:hAnsi="Times New Roman" w:eastAsia="宋体"/>
          <w:szCs w:val="22"/>
          <w:lang w:eastAsia="zh-CN"/>
        </w:rPr>
        <w:t>〈</w:t>
      </w:r>
      <w:r>
        <w:rPr>
          <w:rFonts w:hAnsi="Times New Roman" w:eastAsia="宋体"/>
          <w:szCs w:val="22"/>
          <w:lang w:eastAsia="zh-CN"/>
        </w:rPr>
        <w:t>矿产资源开发利用辐射环境监督管理名录</w:t>
      </w:r>
      <w:r>
        <w:rPr>
          <w:rFonts w:hint="eastAsia" w:hAnsi="Times New Roman" w:eastAsia="宋体"/>
          <w:szCs w:val="22"/>
          <w:lang w:eastAsia="zh-CN"/>
        </w:rPr>
        <w:t>〉</w:t>
      </w:r>
      <w:r>
        <w:rPr>
          <w:rFonts w:hAnsi="Times New Roman" w:eastAsia="宋体"/>
          <w:szCs w:val="22"/>
          <w:lang w:eastAsia="zh-CN"/>
        </w:rPr>
        <w:t>的公告》，</w:t>
      </w:r>
      <w:r>
        <w:rPr>
          <w:rFonts w:hAnsi="Times New Roman" w:eastAsia="宋体"/>
          <w:szCs w:val="22"/>
          <w:lang w:val="en" w:eastAsia="zh-CN"/>
        </w:rPr>
        <w:t>生态环境部办公厅，</w:t>
      </w:r>
      <w:r>
        <w:rPr>
          <w:rFonts w:hAnsi="Times New Roman" w:eastAsia="宋体"/>
          <w:szCs w:val="22"/>
          <w:lang w:eastAsia="zh-CN"/>
        </w:rPr>
        <w:t>2020年第54号，</w:t>
      </w:r>
      <w:r>
        <w:rPr>
          <w:rFonts w:hAnsi="Times New Roman" w:eastAsia="宋体"/>
          <w:lang w:eastAsia="zh-CN"/>
        </w:rPr>
        <w:t>本项目符合性分析见下表所示。</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表14.2-7 本项目与《矿产资源开发利用辐射环境监督管理名录》符合性分析</w:t>
      </w:r>
    </w:p>
    <w:tbl>
      <w:tblPr>
        <w:tblStyle w:val="33"/>
        <w:tblW w:w="91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08"/>
        <w:gridCol w:w="4726"/>
        <w:gridCol w:w="2775"/>
        <w:gridCol w:w="9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8" w:hRule="atLeast"/>
        </w:trPr>
        <w:tc>
          <w:tcPr>
            <w:tcW w:w="708"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序号</w:t>
            </w:r>
          </w:p>
        </w:tc>
        <w:tc>
          <w:tcPr>
            <w:tcW w:w="4726"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《关于发布〈矿产资源开发利用辐射环境监督管理名录〉的公告》相关要求指标</w:t>
            </w:r>
          </w:p>
        </w:tc>
        <w:tc>
          <w:tcPr>
            <w:tcW w:w="2775"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本项目</w:t>
            </w:r>
          </w:p>
        </w:tc>
        <w:tc>
          <w:tcPr>
            <w:tcW w:w="915"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55" w:hRule="atLeast"/>
        </w:trPr>
        <w:tc>
          <w:tcPr>
            <w:tcW w:w="708"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w:t>
            </w:r>
          </w:p>
        </w:tc>
        <w:tc>
          <w:tcPr>
            <w:tcW w:w="4726"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依照《建设项目环境影响评价分类管理名录》环评类别为环境影响报告书（表）且已纳入《名录》，并且原矿、中间产品、尾矿、尾渣或者其他残留物中铀（钍）系单个核素活度浓度超过1贝克/克（Bq/g）的矿产资源开发利用建设项目，建设单位应当组织编制辐射环境影响评价专篇，并纳入环境影响报告书（表）同步报批；建设单位在竣工环境保护验收时，应当组织对配套建设的辐射环境保护设施进行验收，组织编制辐射环境保护验收监测报告并纳入验收监测报告。</w:t>
            </w:r>
          </w:p>
        </w:tc>
        <w:tc>
          <w:tcPr>
            <w:tcW w:w="277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经检测，本项目煤炭和矸石不含放射性，有毒有害物质未出现超标</w:t>
            </w:r>
          </w:p>
        </w:tc>
        <w:tc>
          <w:tcPr>
            <w:tcW w:w="91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bl>
    <w:p>
      <w:pPr>
        <w:pStyle w:val="6"/>
        <w:rPr>
          <w:szCs w:val="22"/>
          <w:lang w:eastAsia="zh-CN"/>
        </w:rPr>
      </w:pPr>
      <w:bookmarkStart w:id="756" w:name="_Toc167095364"/>
      <w:bookmarkStart w:id="757" w:name="_Toc163749230"/>
      <w:r>
        <w:rPr>
          <w:rFonts w:hint="eastAsia"/>
          <w:szCs w:val="22"/>
          <w:lang w:eastAsia="zh-CN"/>
        </w:rPr>
        <w:t>14.2.12与《非金属矿行业绿色矿山建设规范》符合性分析</w:t>
      </w:r>
      <w:bookmarkEnd w:id="756"/>
    </w:p>
    <w:p>
      <w:pPr>
        <w:spacing w:line="360" w:lineRule="auto"/>
        <w:ind w:firstLine="480" w:firstLineChars="200"/>
        <w:rPr>
          <w:rFonts w:hAnsi="Times New Roman" w:eastAsia="宋体"/>
          <w:szCs w:val="22"/>
          <w:lang w:eastAsia="zh-CN"/>
        </w:rPr>
      </w:pPr>
      <w:r>
        <w:rPr>
          <w:rFonts w:hint="eastAsia" w:hAnsi="Times New Roman" w:eastAsia="宋体"/>
          <w:szCs w:val="22"/>
          <w:lang w:eastAsia="zh-CN"/>
        </w:rPr>
        <w:t>根据《非金属矿行业绿色矿山建设规范》（</w:t>
      </w:r>
      <w:r>
        <w:rPr>
          <w:rFonts w:hAnsi="Times New Roman" w:eastAsia="宋体"/>
          <w:szCs w:val="22"/>
          <w:lang w:eastAsia="zh-CN"/>
        </w:rPr>
        <w:t>DZ/T0312-2018</w:t>
      </w:r>
      <w:r>
        <w:rPr>
          <w:rFonts w:hint="eastAsia" w:hAnsi="Times New Roman" w:eastAsia="宋体"/>
          <w:szCs w:val="22"/>
          <w:lang w:eastAsia="zh-CN"/>
        </w:rPr>
        <w:t>），结合本项目的具体情况，其分析内容，见下表所示。</w:t>
      </w:r>
    </w:p>
    <w:p>
      <w:pPr>
        <w:spacing w:line="360" w:lineRule="auto"/>
        <w:jc w:val="center"/>
        <w:rPr>
          <w:rFonts w:hAnsi="Times New Roman" w:eastAsia="宋体"/>
          <w:b/>
          <w:bCs/>
          <w:sz w:val="21"/>
          <w:szCs w:val="21"/>
          <w:lang w:eastAsia="zh-CN"/>
        </w:rPr>
      </w:pPr>
      <w:r>
        <w:rPr>
          <w:rFonts w:hint="eastAsia" w:hAnsi="Times New Roman" w:eastAsia="宋体"/>
          <w:b/>
          <w:bCs/>
          <w:sz w:val="21"/>
          <w:szCs w:val="21"/>
          <w:lang w:eastAsia="zh-CN"/>
        </w:rPr>
        <w:t>表14.2-8 项目与《非金属矿行业绿色矿山建设规范》符合性分析表</w:t>
      </w:r>
    </w:p>
    <w:tbl>
      <w:tblPr>
        <w:tblStyle w:val="3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8"/>
        <w:gridCol w:w="3969"/>
        <w:gridCol w:w="3260"/>
        <w:gridCol w:w="9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988"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b/>
                <w:bCs/>
                <w:szCs w:val="21"/>
                <w:lang w:eastAsia="zh-CN"/>
              </w:rPr>
            </w:pPr>
            <w:r>
              <w:rPr>
                <w:rFonts w:hint="eastAsia" w:eastAsia="宋体"/>
                <w:b/>
                <w:bCs/>
                <w:szCs w:val="21"/>
                <w:lang w:eastAsia="zh-CN"/>
              </w:rPr>
              <w:t>序号</w:t>
            </w:r>
          </w:p>
        </w:tc>
        <w:tc>
          <w:tcPr>
            <w:tcW w:w="3969"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b/>
                <w:bCs/>
                <w:szCs w:val="21"/>
                <w:lang w:eastAsia="zh-CN"/>
              </w:rPr>
            </w:pPr>
            <w:r>
              <w:rPr>
                <w:rFonts w:hint="eastAsia" w:eastAsia="宋体"/>
                <w:b/>
                <w:bCs/>
                <w:szCs w:val="21"/>
                <w:lang w:eastAsia="zh-CN"/>
              </w:rPr>
              <w:t>文件要求</w:t>
            </w:r>
          </w:p>
        </w:tc>
        <w:tc>
          <w:tcPr>
            <w:tcW w:w="3260"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b/>
                <w:bCs/>
                <w:szCs w:val="21"/>
                <w:lang w:eastAsia="zh-CN"/>
              </w:rPr>
            </w:pPr>
            <w:r>
              <w:rPr>
                <w:rFonts w:hint="eastAsia" w:eastAsia="宋体"/>
                <w:b/>
                <w:bCs/>
                <w:szCs w:val="21"/>
                <w:lang w:eastAsia="zh-CN"/>
              </w:rPr>
              <w:t>本项目情况</w:t>
            </w:r>
          </w:p>
        </w:tc>
        <w:tc>
          <w:tcPr>
            <w:tcW w:w="900"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b/>
                <w:bCs/>
                <w:szCs w:val="21"/>
                <w:lang w:eastAsia="zh-CN"/>
              </w:rPr>
            </w:pPr>
            <w:r>
              <w:rPr>
                <w:rFonts w:hint="eastAsia" w:eastAsia="宋体"/>
                <w:b/>
                <w:bCs/>
                <w:szCs w:val="21"/>
                <w:lang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8"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1</w:t>
            </w:r>
          </w:p>
        </w:tc>
        <w:tc>
          <w:tcPr>
            <w:tcW w:w="3969"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矿区地面道路、供水、供电、卫生、环保等配套设施齐全；在生产区应设置操作提示牌、说明牌、线路示意图牌等标牌，标牌符合 GB/T 13306 的规定；在需警示安全的区域应设罝安全标志，安全标志符合 GB14161 的规定</w:t>
            </w:r>
          </w:p>
        </w:tc>
        <w:tc>
          <w:tcPr>
            <w:tcW w:w="3260"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本项目扩建后，矿区地面道路、供水、供电、卫生、环保等配套设施齐全，操作提示牌、说明牌、线路示意图牌、安全标志等标牌按要求进行设置。</w:t>
            </w:r>
          </w:p>
        </w:tc>
        <w:tc>
          <w:tcPr>
            <w:tcW w:w="900"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8"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2</w:t>
            </w:r>
          </w:p>
        </w:tc>
        <w:tc>
          <w:tcPr>
            <w:tcW w:w="3969"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矿山应采用喷雾、洒水、湿式凿岩、加设除尘装置等措施处置采选、运输等过程中产生的粉尘，工作场所空气中粉尘容许浓度应符合 GBZ 2.1的规定</w:t>
            </w:r>
          </w:p>
        </w:tc>
        <w:tc>
          <w:tcPr>
            <w:tcW w:w="3260"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采掘工作面、输送机转载点和卸载等位置设置喷雾洒水装置，在工作面机巷、工作面回风巷中设置净化水幕，掘进采取湿式作业，地面储煤场、矸石转运场设置全封闭+喷雾降尘，确保达标排放</w:t>
            </w:r>
          </w:p>
        </w:tc>
        <w:tc>
          <w:tcPr>
            <w:tcW w:w="900"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8"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3</w:t>
            </w:r>
          </w:p>
        </w:tc>
        <w:tc>
          <w:tcPr>
            <w:tcW w:w="3969"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矿山尾矿、废石等固体废弃物应有专用贮存、处置场所，其建设、运行和监督管理应符合 GB 18599 的规定</w:t>
            </w:r>
          </w:p>
        </w:tc>
        <w:tc>
          <w:tcPr>
            <w:tcW w:w="3260"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项目产生的煤矸石暂存于矸石转运仓，矸石转运场建设、运行和监督管理符合 GB 18599 的规定</w:t>
            </w:r>
          </w:p>
        </w:tc>
        <w:tc>
          <w:tcPr>
            <w:tcW w:w="900"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8"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4</w:t>
            </w:r>
          </w:p>
        </w:tc>
        <w:tc>
          <w:tcPr>
            <w:tcW w:w="3969"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矿山应实施清污分流，污水排放应符合 GB8978 的规定</w:t>
            </w:r>
          </w:p>
        </w:tc>
        <w:tc>
          <w:tcPr>
            <w:tcW w:w="3260"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矿山已实施清污分流，污水排放应符合 GB 8978 的规定</w:t>
            </w:r>
          </w:p>
        </w:tc>
        <w:tc>
          <w:tcPr>
            <w:tcW w:w="900"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8"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5</w:t>
            </w:r>
          </w:p>
        </w:tc>
        <w:tc>
          <w:tcPr>
            <w:tcW w:w="3969"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矿山应具备废气处理设施，气体排放应符合GB 3095和 GB 16297的规定</w:t>
            </w:r>
          </w:p>
        </w:tc>
        <w:tc>
          <w:tcPr>
            <w:tcW w:w="3260"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项目已配备洒水、喷雾降尘等除尘设施，废气能够达标排放</w:t>
            </w:r>
          </w:p>
        </w:tc>
        <w:tc>
          <w:tcPr>
            <w:tcW w:w="900"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8"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6</w:t>
            </w:r>
          </w:p>
        </w:tc>
        <w:tc>
          <w:tcPr>
            <w:tcW w:w="3969"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矿山应采取消声、减振、隔振等措施降低采选、运输等过程中产生的噪声，厂界环境噪声排放限值应符合 GB 12348 的规定</w:t>
            </w:r>
          </w:p>
        </w:tc>
        <w:tc>
          <w:tcPr>
            <w:tcW w:w="3260"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本项目矿山已采取消声、减振、隔振等措施降噪，能够保证厂界达标排放</w:t>
            </w:r>
          </w:p>
        </w:tc>
        <w:tc>
          <w:tcPr>
            <w:tcW w:w="900"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8"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7</w:t>
            </w:r>
          </w:p>
        </w:tc>
        <w:tc>
          <w:tcPr>
            <w:tcW w:w="3969"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矿区绿化应与周边自然环境和景观相协调，绿化植物搭配合理，矿区绿化覆盖率应达到100%</w:t>
            </w:r>
          </w:p>
        </w:tc>
        <w:tc>
          <w:tcPr>
            <w:tcW w:w="3260"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报告要求矿区后期加强绿化，服务期满后绿化覆盖率 100%</w:t>
            </w:r>
          </w:p>
        </w:tc>
        <w:tc>
          <w:tcPr>
            <w:tcW w:w="900"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8"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8</w:t>
            </w:r>
          </w:p>
        </w:tc>
        <w:tc>
          <w:tcPr>
            <w:tcW w:w="3969"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应贯彻“边开采、边治理、边恢复”的原则，及时治理恢复矿山地质环境，复垦矿山压占和损毁土地。矿山占用土地和损毁土地治理率和复垦率应达到矿山地质环境保护与土地复垦方案的要求</w:t>
            </w:r>
          </w:p>
        </w:tc>
        <w:tc>
          <w:tcPr>
            <w:tcW w:w="3260"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报告要求建设单位编制《矿山地质环境保护与土地复垦方案》，土地复垦率确保达到《方案》要求</w:t>
            </w:r>
          </w:p>
        </w:tc>
        <w:tc>
          <w:tcPr>
            <w:tcW w:w="900"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8"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9</w:t>
            </w:r>
          </w:p>
        </w:tc>
        <w:tc>
          <w:tcPr>
            <w:tcW w:w="3969"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地下开采应根据矿石、围岩等地质条件，结合矿山技术条件和经济因素，选择合理的可减轻地表沉陷的技术</w:t>
            </w:r>
          </w:p>
        </w:tc>
        <w:tc>
          <w:tcPr>
            <w:tcW w:w="3260"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已采取合理可行的技术，矿山运行多年，未发现沉陷事件</w:t>
            </w:r>
          </w:p>
        </w:tc>
        <w:tc>
          <w:tcPr>
            <w:tcW w:w="900"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8"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10</w:t>
            </w:r>
          </w:p>
        </w:tc>
        <w:tc>
          <w:tcPr>
            <w:tcW w:w="3969"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按照矿山地质环境保护与土地复垦方案，建立责任机制，将治理和复垦与生产建设活动统一部署、统筹实施，制定年度计划，及时完成地质环境治理和土地复垦。</w:t>
            </w:r>
          </w:p>
        </w:tc>
        <w:tc>
          <w:tcPr>
            <w:tcW w:w="3260"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报告要求建设单位编制《矿山地质环境保护与土地复垦方案》，将治理和复垦与生产建设活动统一部署、统筹实施，及时完成环境治理和土地复垦</w:t>
            </w:r>
          </w:p>
        </w:tc>
        <w:tc>
          <w:tcPr>
            <w:tcW w:w="900"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8"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11</w:t>
            </w:r>
          </w:p>
        </w:tc>
        <w:tc>
          <w:tcPr>
            <w:tcW w:w="3969"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矿山应对选矿废水、尾矿、排土场、废石堆场、粉尘、噪音等进行动态监测，并向社会公开数据，接受社会公众监督</w:t>
            </w:r>
          </w:p>
        </w:tc>
        <w:tc>
          <w:tcPr>
            <w:tcW w:w="3260"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环评要求矿山对矿井涌水进行在线监测，并将粉尘、噪音纳入例行监测计划中</w:t>
            </w:r>
          </w:p>
        </w:tc>
        <w:tc>
          <w:tcPr>
            <w:tcW w:w="900"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8"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12</w:t>
            </w:r>
          </w:p>
        </w:tc>
        <w:tc>
          <w:tcPr>
            <w:tcW w:w="3969"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矿山开采中和开采后应建立、健全长效监测机制，对土地复垦区及矿区影响范围地质环境稳定性与土壤质量进行动态监测</w:t>
            </w:r>
          </w:p>
        </w:tc>
        <w:tc>
          <w:tcPr>
            <w:tcW w:w="3260"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报告要求建设单位在开采中和后期建立、健全长效监测机制，对土地复垦区及矿区影响范围地质环境稳定性与土壤质量进行动态监测</w:t>
            </w:r>
          </w:p>
        </w:tc>
        <w:tc>
          <w:tcPr>
            <w:tcW w:w="900"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8"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13</w:t>
            </w:r>
          </w:p>
        </w:tc>
        <w:tc>
          <w:tcPr>
            <w:tcW w:w="3969"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矿山宜对废石、尾矿等固体废弃物开展回填、筑路、制作建筑材料等资源综合利用工作。</w:t>
            </w:r>
          </w:p>
        </w:tc>
        <w:tc>
          <w:tcPr>
            <w:tcW w:w="3260"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煤矸石全部外送矸石砖厂制砖使用，不外排</w:t>
            </w:r>
          </w:p>
        </w:tc>
        <w:tc>
          <w:tcPr>
            <w:tcW w:w="900"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8"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14</w:t>
            </w:r>
          </w:p>
        </w:tc>
        <w:tc>
          <w:tcPr>
            <w:tcW w:w="3969"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废石、尾矿等固体废弃物处置率应达 100%</w:t>
            </w:r>
          </w:p>
        </w:tc>
        <w:tc>
          <w:tcPr>
            <w:tcW w:w="3260"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煤矸石全部外送矸石砖厂制砖使用，不外排，处置率应达 100%</w:t>
            </w:r>
          </w:p>
        </w:tc>
        <w:tc>
          <w:tcPr>
            <w:tcW w:w="900"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8"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15</w:t>
            </w:r>
          </w:p>
        </w:tc>
        <w:tc>
          <w:tcPr>
            <w:tcW w:w="3969"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矿井水、选矿废水应采用洁净化、资源化技术和工艺合理处置</w:t>
            </w:r>
          </w:p>
        </w:tc>
        <w:tc>
          <w:tcPr>
            <w:tcW w:w="3260"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矿井涌水经矿井水处理站处理达到《地表水环境质量标准》（GB3838-2002）</w:t>
            </w:r>
            <w:r>
              <w:rPr>
                <w:rFonts w:hint="eastAsia" w:eastAsia="宋体"/>
                <w:kern w:val="0"/>
                <w:szCs w:val="21"/>
                <w:lang w:eastAsia="zh-CN"/>
              </w:rPr>
              <w:fldChar w:fldCharType="begin"/>
            </w:r>
            <w:r>
              <w:rPr>
                <w:rFonts w:hint="eastAsia" w:eastAsia="宋体"/>
                <w:kern w:val="0"/>
                <w:szCs w:val="21"/>
                <w:lang w:eastAsia="zh-CN"/>
              </w:rPr>
              <w:instrText xml:space="preserve"> = 3 \* ROMAN </w:instrText>
            </w:r>
            <w:r>
              <w:rPr>
                <w:rFonts w:hint="eastAsia" w:eastAsia="宋体"/>
                <w:kern w:val="0"/>
                <w:szCs w:val="21"/>
                <w:lang w:eastAsia="zh-CN"/>
              </w:rPr>
              <w:fldChar w:fldCharType="separate"/>
            </w:r>
            <w:r>
              <w:rPr>
                <w:rFonts w:hint="eastAsia" w:eastAsia="宋体"/>
                <w:kern w:val="0"/>
                <w:szCs w:val="21"/>
                <w:lang w:eastAsia="zh-CN"/>
              </w:rPr>
              <w:t>III</w:t>
            </w:r>
            <w:r>
              <w:rPr>
                <w:rFonts w:hint="eastAsia" w:eastAsia="宋体"/>
                <w:kern w:val="0"/>
                <w:szCs w:val="21"/>
                <w:lang w:eastAsia="zh-CN"/>
              </w:rPr>
              <w:fldChar w:fldCharType="end"/>
            </w:r>
            <w:r>
              <w:rPr>
                <w:rFonts w:hint="eastAsia" w:eastAsia="宋体"/>
                <w:kern w:val="0"/>
                <w:szCs w:val="21"/>
                <w:lang w:eastAsia="zh-CN"/>
              </w:rPr>
              <w:t>类标准，含盐量≤1000mg/L后，部分作为降尘用水，其余排放至新宁河。</w:t>
            </w:r>
          </w:p>
        </w:tc>
        <w:tc>
          <w:tcPr>
            <w:tcW w:w="900" w:type="dxa"/>
            <w:vAlign w:val="center"/>
          </w:tcPr>
          <w:p>
            <w:pPr>
              <w:pStyle w:val="2"/>
              <w:keepNext w:val="0"/>
              <w:keepLines w:val="0"/>
              <w:suppressLineNumbers w:val="0"/>
              <w:spacing w:before="0" w:beforeAutospacing="0" w:after="0" w:afterAutospacing="0"/>
              <w:ind w:left="0" w:leftChars="0" w:right="0" w:firstLine="0" w:firstLineChars="0"/>
              <w:jc w:val="center"/>
              <w:rPr>
                <w:rFonts w:hint="eastAsia" w:eastAsia="宋体"/>
                <w:kern w:val="0"/>
                <w:szCs w:val="21"/>
                <w:lang w:eastAsia="zh-CN"/>
              </w:rPr>
            </w:pPr>
            <w:r>
              <w:rPr>
                <w:rFonts w:hint="eastAsia" w:eastAsia="宋体"/>
                <w:kern w:val="0"/>
                <w:szCs w:val="21"/>
                <w:lang w:eastAsia="zh-CN"/>
              </w:rPr>
              <w:t>符合</w:t>
            </w:r>
          </w:p>
        </w:tc>
      </w:tr>
    </w:tbl>
    <w:p>
      <w:pPr>
        <w:spacing w:line="360" w:lineRule="auto"/>
        <w:ind w:firstLine="480" w:firstLineChars="200"/>
        <w:rPr>
          <w:rFonts w:hAnsi="Times New Roman" w:eastAsia="宋体"/>
          <w:lang w:eastAsia="zh-CN"/>
        </w:rPr>
      </w:pPr>
      <w:r>
        <w:rPr>
          <w:rFonts w:hint="eastAsia" w:hAnsi="Times New Roman" w:eastAsia="宋体"/>
          <w:lang w:eastAsia="zh-CN"/>
        </w:rPr>
        <w:t>由上表可知，本项目建设符合《非金属矿行业绿色矿山建设规范》（</w:t>
      </w:r>
      <w:r>
        <w:rPr>
          <w:rFonts w:hAnsi="Times New Roman" w:eastAsia="宋体"/>
          <w:lang w:eastAsia="zh-CN"/>
        </w:rPr>
        <w:t>DZ/T0312-2018</w:t>
      </w:r>
      <w:r>
        <w:rPr>
          <w:rFonts w:hint="eastAsia" w:hAnsi="Times New Roman" w:eastAsia="宋体"/>
          <w:lang w:eastAsia="zh-CN"/>
        </w:rPr>
        <w:t>）中的要求。</w:t>
      </w:r>
    </w:p>
    <w:p>
      <w:pPr>
        <w:pStyle w:val="5"/>
        <w:rPr>
          <w:rFonts w:ascii="Times New Roman" w:hAnsi="Times New Roman"/>
          <w:lang w:eastAsia="zh-CN"/>
        </w:rPr>
      </w:pPr>
      <w:bookmarkStart w:id="758" w:name="_Toc167095365"/>
      <w:r>
        <w:rPr>
          <w:rFonts w:ascii="Times New Roman" w:hAnsi="Times New Roman"/>
          <w:lang w:eastAsia="zh-CN"/>
        </w:rPr>
        <w:t>14.3 与相关规划相容性分析</w:t>
      </w:r>
      <w:bookmarkEnd w:id="757"/>
      <w:bookmarkEnd w:id="758"/>
    </w:p>
    <w:p>
      <w:pPr>
        <w:pStyle w:val="6"/>
        <w:rPr>
          <w:lang w:eastAsia="zh-CN"/>
        </w:rPr>
      </w:pPr>
      <w:bookmarkStart w:id="759" w:name="_Toc167095366"/>
      <w:bookmarkStart w:id="760" w:name="_Toc163812742"/>
      <w:r>
        <w:rPr>
          <w:lang w:eastAsia="zh-CN"/>
        </w:rPr>
        <w:t>14.3.1 与煤炭工业发展“十三五”规划符合性分析</w:t>
      </w:r>
      <w:bookmarkEnd w:id="759"/>
      <w:bookmarkEnd w:id="760"/>
    </w:p>
    <w:p>
      <w:pPr>
        <w:spacing w:line="360" w:lineRule="auto"/>
        <w:ind w:firstLine="480" w:firstLineChars="200"/>
        <w:rPr>
          <w:rFonts w:hAnsi="Times New Roman" w:eastAsia="宋体"/>
          <w:lang w:eastAsia="zh-CN"/>
        </w:rPr>
      </w:pPr>
      <w:r>
        <w:rPr>
          <w:rFonts w:hAnsi="Times New Roman" w:eastAsia="宋体"/>
          <w:lang w:eastAsia="zh-CN"/>
        </w:rPr>
        <w:t>《煤炭工业发展“十三五”规划》（2016年12月国家发展和改革委员会发布）规划指出“十三五”期间煤炭工业发展目标是：到2020年，煤炭产量39亿吨。煤炭生产结构优化，煤矿数量控制在6000处左右，120万吨/年及以上大型煤矿产量占80%以上，30万吨/年及以下小型煤矿产量占10%以下；煤矿采煤机械化程度达到85%，掘进机械化程度达到65%；煤矸石综合利用率75%左右，矿井水利用率80%左右，土地复垦率60%左右。原煤入选率75%以上，煤炭产品质量显著提高，清洁煤电加快发展，煤炭深加工产业示范取得积极进展，煤炭清洁利用水平迈上新台阶；福建、江西、湖北、湖南、广西、重庆、四川煤炭资源零星分布，开采条件差，矿井规模小，瓦斯灾害严重，水文地质条件复杂，加快煤矿关闭退出。</w:t>
      </w:r>
    </w:p>
    <w:p>
      <w:pPr>
        <w:spacing w:line="360" w:lineRule="auto"/>
        <w:ind w:firstLine="480" w:firstLineChars="200"/>
        <w:rPr>
          <w:rFonts w:hAnsi="Times New Roman" w:eastAsia="宋体"/>
          <w:lang w:eastAsia="zh-CN"/>
        </w:rPr>
      </w:pPr>
      <w:r>
        <w:rPr>
          <w:rFonts w:hAnsi="Times New Roman" w:eastAsia="宋体"/>
          <w:lang w:eastAsia="zh-CN"/>
        </w:rPr>
        <w:t>本项目全部采用机械化开采，煤矸石在煤临时储矸场暂存后，全部外运砖厂制砖，利用率达到100%；同时，七里峡煤矿不属于化解过剩产能的煤矿，不属于关闭煤矿之列。因此，项目与《煤炭工业发展“十三五”规划》相符。</w:t>
      </w:r>
    </w:p>
    <w:p>
      <w:pPr>
        <w:pStyle w:val="6"/>
        <w:rPr>
          <w:lang w:eastAsia="zh-CN"/>
        </w:rPr>
      </w:pPr>
      <w:bookmarkStart w:id="761" w:name="_Toc163812743"/>
      <w:bookmarkStart w:id="762" w:name="_Toc167095367"/>
      <w:r>
        <w:rPr>
          <w:lang w:eastAsia="zh-CN"/>
        </w:rPr>
        <w:t>14.3.2 与《四川省矿产资源总体规划（20</w:t>
      </w:r>
      <w:r>
        <w:rPr>
          <w:rFonts w:hint="eastAsia"/>
          <w:lang w:eastAsia="zh-CN"/>
        </w:rPr>
        <w:t>21</w:t>
      </w:r>
      <w:r>
        <w:rPr>
          <w:lang w:eastAsia="zh-CN"/>
        </w:rPr>
        <w:t>-202</w:t>
      </w:r>
      <w:r>
        <w:rPr>
          <w:rFonts w:hint="eastAsia"/>
          <w:lang w:eastAsia="zh-CN"/>
        </w:rPr>
        <w:t>5</w:t>
      </w:r>
      <w:r>
        <w:rPr>
          <w:lang w:eastAsia="zh-CN"/>
        </w:rPr>
        <w:t>）》的符合性分析</w:t>
      </w:r>
      <w:bookmarkEnd w:id="761"/>
      <w:bookmarkEnd w:id="762"/>
    </w:p>
    <w:p>
      <w:pPr>
        <w:spacing w:line="360" w:lineRule="auto"/>
        <w:ind w:firstLine="480" w:firstLineChars="200"/>
        <w:rPr>
          <w:rFonts w:hAnsi="Times New Roman" w:eastAsia="宋体"/>
          <w:lang w:eastAsia="zh-CN"/>
        </w:rPr>
      </w:pPr>
      <w:r>
        <w:rPr>
          <w:rFonts w:hAnsi="Times New Roman" w:eastAsia="宋体"/>
          <w:lang w:eastAsia="zh-CN"/>
        </w:rPr>
        <w:t>本项目与《四川省矿产资源总体规划（20</w:t>
      </w:r>
      <w:r>
        <w:rPr>
          <w:rFonts w:hint="eastAsia" w:hAnsi="Times New Roman" w:eastAsia="宋体"/>
          <w:lang w:eastAsia="zh-CN"/>
        </w:rPr>
        <w:t>21</w:t>
      </w:r>
      <w:r>
        <w:rPr>
          <w:rFonts w:hAnsi="Times New Roman" w:eastAsia="宋体"/>
          <w:lang w:eastAsia="zh-CN"/>
        </w:rPr>
        <w:t>-202</w:t>
      </w:r>
      <w:r>
        <w:rPr>
          <w:rFonts w:hint="eastAsia" w:hAnsi="Times New Roman" w:eastAsia="宋体"/>
          <w:lang w:eastAsia="zh-CN"/>
        </w:rPr>
        <w:t>5</w:t>
      </w:r>
      <w:r>
        <w:rPr>
          <w:rFonts w:hAnsi="Times New Roman" w:eastAsia="宋体"/>
          <w:lang w:eastAsia="zh-CN"/>
        </w:rPr>
        <w:t>年）》符合性分析见下表所示。</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表14.3-1  与《四川省矿产资源总体规划（20</w:t>
      </w:r>
      <w:r>
        <w:rPr>
          <w:rFonts w:hint="eastAsia" w:hAnsi="Times New Roman" w:eastAsia="宋体"/>
          <w:b/>
          <w:bCs/>
          <w:sz w:val="21"/>
          <w:szCs w:val="21"/>
          <w:lang w:eastAsia="zh-CN"/>
        </w:rPr>
        <w:t>21</w:t>
      </w:r>
      <w:r>
        <w:rPr>
          <w:rFonts w:hAnsi="Times New Roman" w:eastAsia="宋体"/>
          <w:b/>
          <w:bCs/>
          <w:sz w:val="21"/>
          <w:szCs w:val="21"/>
          <w:lang w:eastAsia="zh-CN"/>
        </w:rPr>
        <w:t>-202</w:t>
      </w:r>
      <w:r>
        <w:rPr>
          <w:rFonts w:hint="eastAsia" w:hAnsi="Times New Roman" w:eastAsia="宋体"/>
          <w:b/>
          <w:bCs/>
          <w:sz w:val="21"/>
          <w:szCs w:val="21"/>
          <w:lang w:eastAsia="zh-CN"/>
        </w:rPr>
        <w:t>5</w:t>
      </w:r>
      <w:r>
        <w:rPr>
          <w:rFonts w:hAnsi="Times New Roman" w:eastAsia="宋体"/>
          <w:b/>
          <w:bCs/>
          <w:sz w:val="21"/>
          <w:szCs w:val="21"/>
          <w:lang w:eastAsia="zh-CN"/>
        </w:rPr>
        <w:t xml:space="preserve"> 年）》符合性分析</w:t>
      </w:r>
    </w:p>
    <w:tbl>
      <w:tblPr>
        <w:tblStyle w:val="33"/>
        <w:tblW w:w="91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05"/>
        <w:gridCol w:w="6094"/>
        <w:gridCol w:w="1617"/>
        <w:gridCol w:w="6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705"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
                <w:bCs/>
                <w:kern w:val="2"/>
                <w:sz w:val="21"/>
                <w:szCs w:val="21"/>
                <w:lang w:eastAsia="en-US"/>
              </w:rPr>
            </w:pPr>
            <w:r>
              <w:rPr>
                <w:rFonts w:hint="eastAsia" w:hAnsi="Times New Roman" w:eastAsia="宋体"/>
                <w:b/>
                <w:bCs/>
                <w:kern w:val="2"/>
                <w:sz w:val="21"/>
                <w:szCs w:val="21"/>
                <w:lang w:eastAsia="en-US"/>
              </w:rPr>
              <w:t>序号</w:t>
            </w:r>
          </w:p>
        </w:tc>
        <w:tc>
          <w:tcPr>
            <w:tcW w:w="6094"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四川省矿产资源总体规划（2016-2020 年）规划内容</w:t>
            </w:r>
          </w:p>
        </w:tc>
        <w:tc>
          <w:tcPr>
            <w:tcW w:w="1617"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
                <w:bCs/>
                <w:kern w:val="2"/>
                <w:sz w:val="21"/>
                <w:szCs w:val="21"/>
                <w:lang w:eastAsia="en-US"/>
              </w:rPr>
            </w:pPr>
            <w:r>
              <w:rPr>
                <w:rFonts w:hint="eastAsia" w:hAnsi="Times New Roman" w:eastAsia="宋体"/>
                <w:b/>
                <w:bCs/>
                <w:kern w:val="2"/>
                <w:sz w:val="21"/>
                <w:szCs w:val="21"/>
                <w:lang w:eastAsia="en-US"/>
              </w:rPr>
              <w:t>本项目</w:t>
            </w:r>
          </w:p>
        </w:tc>
        <w:tc>
          <w:tcPr>
            <w:tcW w:w="684"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705"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1</w:t>
            </w:r>
          </w:p>
        </w:tc>
        <w:tc>
          <w:tcPr>
            <w:tcW w:w="6094" w:type="dxa"/>
            <w:vAlign w:val="center"/>
          </w:tcPr>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川东北能源建材勘查开发区。包括南充、达州、广安、巴中、广元 5 市，大力发展清洁能源化工、特色矿产品精深加工，推动川东北经济区振兴发展。重点加强达州、广元、广安、巴中天然气、页岩油、致密气勘探开发，有序开采巴中、广元石墨矿，推进广元天然沥青勘查开发，促进石墨精深加工产业发展；严格落实年产 30 万吨以下煤矿分类处置工作方案；鼓励达州、广安加大钾盐勘查开发科技投入，力争取得勘查开发突破；推进水泥原料、玻陶原料和饰面石材开采利用结构调整，进一步提升建材家居等产业矿产品深加工水平，促进纤维用玄武岩产业发展。</w:t>
            </w:r>
          </w:p>
        </w:tc>
        <w:tc>
          <w:tcPr>
            <w:tcW w:w="1617"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本项目不在限制、禁止开采区范围内</w:t>
            </w:r>
          </w:p>
        </w:tc>
        <w:tc>
          <w:tcPr>
            <w:tcW w:w="684"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705"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zh-CN"/>
              </w:rPr>
              <w:t>2</w:t>
            </w:r>
          </w:p>
        </w:tc>
        <w:tc>
          <w:tcPr>
            <w:tcW w:w="6094" w:type="dxa"/>
            <w:vAlign w:val="center"/>
          </w:tcPr>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落实国土空间规划布局管控。各级矿产资源规划要严格落实国土空间规划管控要求，自然保护地核心区内只允许已依法设立的铀矿矿业权勘查开采活动，已依法设立的油气探矿权可继续勘查，不得从事开采活动，已依法设立的矿泉水、地热采矿权不得扩大生产规模；自然保护地核心区以外的生态保护红线区域，在对生态功能不造成破坏的前提下，允许开展基础地质调查和战略性矿产远景调查等公益性工作、铀矿勘查开采活动、依法设立的油气矿业权、地热和矿泉水采矿权开展有严格限制条件的勘查开采活动，铬、铜、镍、锂、钴、锆、钾盐和（中）重稀土矿产可从事勘查活动，但需根据国家战略需求规定办理采矿权，其它矿种停止任何勘查开采行为；永久基本农田内，应区分战略性矿产和非战略性矿产、油气和非油气矿产、露天和井下开采等情况，在严格保护永久基本农田的原则下，做好矿产资源勘查开发；城镇开发边界内，要统筹考虑矿产资源禀赋状况与城镇建设发展需要，充分论证，协调好矿产开发与城乡建设的空间关系。法律法规对勘查开采活动有其它禁止、限制性要求的，应严格遵守相关规定。</w:t>
            </w:r>
          </w:p>
        </w:tc>
        <w:tc>
          <w:tcPr>
            <w:tcW w:w="1617"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项目矿区、工业场地不涉及自然保护区、生态保护红线；项目+379m主平硐巷道部分涉及宣汉国家森林公园观音山景区，但属于保留现有巷道，且经过四川省林业和草原局审批同意，不会对观音山景区产生明显影响。项目工业场地占地不涉及永久基本农田，矿区投影与基本农田有重叠；主井工业场地与城市规划区无重叠范围</w:t>
            </w:r>
          </w:p>
        </w:tc>
        <w:tc>
          <w:tcPr>
            <w:tcW w:w="684"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705"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w:t>
            </w:r>
          </w:p>
        </w:tc>
        <w:tc>
          <w:tcPr>
            <w:tcW w:w="6094" w:type="dxa"/>
            <w:vAlign w:val="center"/>
          </w:tcPr>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b/>
                <w:bCs/>
                <w:kern w:val="2"/>
                <w:sz w:val="21"/>
                <w:szCs w:val="21"/>
                <w:lang w:eastAsia="zh-CN"/>
              </w:rPr>
              <w:t>重点开采矿种：</w:t>
            </w:r>
            <w:r>
              <w:rPr>
                <w:rFonts w:hint="eastAsia" w:hAnsi="Times New Roman" w:eastAsia="宋体"/>
                <w:kern w:val="2"/>
                <w:sz w:val="21"/>
                <w:szCs w:val="21"/>
                <w:lang w:eastAsia="zh-CN"/>
              </w:rPr>
              <w:t>天然气、页岩气、煤层气、焦煤、地热、钒钛磁铁矿、锰、铜、铅、锌、岩金、银、锂、优质玄武岩等矿产。重点开采矿种在符合准入条件下，优先设置采矿权，适度扩大开发规模，提高资源供应能力。</w:t>
            </w:r>
          </w:p>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b/>
                <w:bCs/>
                <w:kern w:val="2"/>
                <w:sz w:val="21"/>
                <w:szCs w:val="21"/>
                <w:lang w:eastAsia="zh-CN"/>
              </w:rPr>
              <w:t>限制开采矿种</w:t>
            </w:r>
            <w:r>
              <w:rPr>
                <w:rFonts w:hint="eastAsia" w:hAnsi="Times New Roman" w:eastAsia="宋体"/>
                <w:kern w:val="2"/>
                <w:sz w:val="21"/>
                <w:szCs w:val="21"/>
                <w:lang w:eastAsia="zh-CN"/>
              </w:rPr>
              <w:t>：赤铁矿、菱铁矿在选矿技术和环境保护问题未有重大突破前限制开采。</w:t>
            </w:r>
          </w:p>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b/>
                <w:bCs/>
                <w:kern w:val="2"/>
                <w:sz w:val="21"/>
                <w:szCs w:val="21"/>
                <w:lang w:eastAsia="zh-CN"/>
              </w:rPr>
              <w:t>禁止开采矿种：</w:t>
            </w:r>
            <w:r>
              <w:rPr>
                <w:rFonts w:hint="eastAsia" w:hAnsi="Times New Roman" w:eastAsia="宋体"/>
                <w:kern w:val="2"/>
                <w:sz w:val="21"/>
                <w:szCs w:val="21"/>
                <w:lang w:eastAsia="zh-CN"/>
              </w:rPr>
              <w:t>禁止开采高硫、高灰、高砷、高氟煤炭和石棉、砂金、湿地泥炭、可耕地砖瓦用粘土矿等矿产。</w:t>
            </w:r>
          </w:p>
        </w:tc>
        <w:tc>
          <w:tcPr>
            <w:tcW w:w="1617"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本项目为低硫、低灰、低砷、低氟煤炭开采</w:t>
            </w:r>
          </w:p>
        </w:tc>
        <w:tc>
          <w:tcPr>
            <w:tcW w:w="684"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bl>
    <w:p>
      <w:pPr>
        <w:spacing w:line="360" w:lineRule="auto"/>
        <w:ind w:firstLine="480" w:firstLineChars="200"/>
        <w:rPr>
          <w:rFonts w:hAnsi="Times New Roman" w:eastAsia="宋体"/>
          <w:lang w:eastAsia="zh-CN"/>
        </w:rPr>
      </w:pPr>
      <w:r>
        <w:rPr>
          <w:rFonts w:hAnsi="Times New Roman" w:eastAsia="宋体"/>
          <w:lang w:eastAsia="zh-CN"/>
        </w:rPr>
        <w:t>经对比，本项目符合《四川省矿产资源总体规划（20</w:t>
      </w:r>
      <w:r>
        <w:rPr>
          <w:rFonts w:hint="eastAsia" w:hAnsi="Times New Roman" w:eastAsia="宋体"/>
          <w:lang w:eastAsia="zh-CN"/>
        </w:rPr>
        <w:t>21</w:t>
      </w:r>
      <w:r>
        <w:rPr>
          <w:rFonts w:hAnsi="Times New Roman" w:eastAsia="宋体"/>
          <w:lang w:eastAsia="zh-CN"/>
        </w:rPr>
        <w:t>-202</w:t>
      </w:r>
      <w:r>
        <w:rPr>
          <w:rFonts w:hint="eastAsia" w:hAnsi="Times New Roman" w:eastAsia="宋体"/>
          <w:lang w:eastAsia="zh-CN"/>
        </w:rPr>
        <w:t>5</w:t>
      </w:r>
      <w:r>
        <w:rPr>
          <w:rFonts w:hAnsi="Times New Roman" w:eastAsia="宋体"/>
          <w:lang w:eastAsia="zh-CN"/>
        </w:rPr>
        <w:t>年）》文中的规划要求。</w:t>
      </w:r>
    </w:p>
    <w:p>
      <w:pPr>
        <w:pStyle w:val="6"/>
        <w:rPr>
          <w:lang w:eastAsia="zh-CN"/>
        </w:rPr>
      </w:pPr>
      <w:bookmarkStart w:id="763" w:name="_Toc163812744"/>
      <w:bookmarkStart w:id="764" w:name="_Toc167095368"/>
      <w:r>
        <w:rPr>
          <w:lang w:eastAsia="zh-CN"/>
        </w:rPr>
        <w:t>14.3.3 与《达州市矿产资源总体规划》（2021-2025年）（征求意见稿）符合性分析</w:t>
      </w:r>
      <w:bookmarkEnd w:id="763"/>
      <w:bookmarkEnd w:id="764"/>
    </w:p>
    <w:p>
      <w:pPr>
        <w:spacing w:line="360" w:lineRule="auto"/>
        <w:ind w:firstLine="480" w:firstLineChars="200"/>
        <w:rPr>
          <w:rFonts w:hAnsi="Times New Roman" w:eastAsia="宋体"/>
          <w:lang w:eastAsia="zh-CN"/>
        </w:rPr>
      </w:pPr>
      <w:r>
        <w:rPr>
          <w:rFonts w:hAnsi="Times New Roman" w:eastAsia="宋体"/>
          <w:lang w:eastAsia="zh-CN"/>
        </w:rPr>
        <w:t>本项目与《达州市矿产资源总体规划》（2021-2025年）（征求意见稿）符合性分析见下表所示。</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表14.3-2  与《达州市矿产资源总体规划》（2021-2025年）（征求意见稿）符合性分析</w:t>
      </w:r>
    </w:p>
    <w:tbl>
      <w:tblPr>
        <w:tblStyle w:val="33"/>
        <w:tblW w:w="9312" w:type="dxa"/>
        <w:tblInd w:w="9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841"/>
        <w:gridCol w:w="5377"/>
        <w:gridCol w:w="2023"/>
        <w:gridCol w:w="10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2" w:hRule="atLeast"/>
          <w:tblHeader/>
        </w:trPr>
        <w:tc>
          <w:tcPr>
            <w:tcW w:w="6218" w:type="dxa"/>
            <w:gridSpan w:val="2"/>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相关内容</w:t>
            </w:r>
          </w:p>
        </w:tc>
        <w:tc>
          <w:tcPr>
            <w:tcW w:w="2023"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本工程</w:t>
            </w:r>
          </w:p>
        </w:tc>
        <w:tc>
          <w:tcPr>
            <w:tcW w:w="1071"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2" w:hRule="atLeast"/>
          <w:jc w:val="center"/>
        </w:trPr>
        <w:tc>
          <w:tcPr>
            <w:tcW w:w="841" w:type="dxa"/>
            <w:vMerge w:val="restart"/>
            <w:vAlign w:val="center"/>
          </w:tcPr>
          <w:p>
            <w:pPr>
              <w:pStyle w:val="44"/>
              <w:keepNext w:val="0"/>
              <w:keepLines w:val="0"/>
              <w:suppressLineNumbers w:val="0"/>
              <w:kinsoku w:val="0"/>
              <w:overflowPunct w:val="0"/>
              <w:autoSpaceDE w:val="0"/>
              <w:autoSpaceDN w:val="0"/>
              <w:adjustRightInd w:val="0"/>
              <w:spacing w:before="0" w:beforeAutospacing="0" w:after="0" w:afterAutospacing="0" w:line="300" w:lineRule="exact"/>
              <w:ind w:left="0" w:right="0"/>
              <w:rPr>
                <w:rFonts w:hint="eastAsia" w:hAnsi="Times New Roman" w:eastAsia="宋体"/>
                <w:kern w:val="2"/>
                <w:sz w:val="21"/>
                <w:szCs w:val="22"/>
              </w:rPr>
            </w:pPr>
            <w:r>
              <w:rPr>
                <w:rFonts w:hint="eastAsia" w:hAnsi="Times New Roman" w:eastAsia="宋体"/>
                <w:kern w:val="2"/>
                <w:sz w:val="21"/>
                <w:szCs w:val="22"/>
              </w:rPr>
              <w:t>三、矿产勘查开发与保护布局</w:t>
            </w:r>
          </w:p>
        </w:tc>
        <w:tc>
          <w:tcPr>
            <w:tcW w:w="5377" w:type="dxa"/>
            <w:vAlign w:val="center"/>
          </w:tcPr>
          <w:p>
            <w:pPr>
              <w:pStyle w:val="44"/>
              <w:keepNext w:val="0"/>
              <w:keepLines w:val="0"/>
              <w:suppressLineNumbers w:val="0"/>
              <w:kinsoku w:val="0"/>
              <w:overflowPunct w:val="0"/>
              <w:autoSpaceDE w:val="0"/>
              <w:autoSpaceDN w:val="0"/>
              <w:adjustRightInd w:val="0"/>
              <w:spacing w:before="0" w:beforeAutospacing="0" w:after="0" w:afterAutospacing="0" w:line="300" w:lineRule="exact"/>
              <w:ind w:left="0" w:right="0"/>
              <w:jc w:val="left"/>
              <w:rPr>
                <w:rFonts w:hint="eastAsia" w:hAnsi="Times New Roman" w:eastAsia="宋体"/>
                <w:kern w:val="2"/>
                <w:sz w:val="21"/>
                <w:szCs w:val="21"/>
                <w:lang w:val="zh-CN" w:eastAsia="zh-CN"/>
              </w:rPr>
            </w:pPr>
            <w:r>
              <w:rPr>
                <w:rFonts w:hint="eastAsia" w:hAnsi="Times New Roman" w:eastAsia="宋体"/>
                <w:kern w:val="2"/>
                <w:sz w:val="21"/>
                <w:szCs w:val="21"/>
                <w:lang w:val="zh-CN" w:eastAsia="zh-CN"/>
              </w:rPr>
              <w:t>（一）矿产资源勘查开采调控方向</w:t>
            </w:r>
          </w:p>
          <w:p>
            <w:pPr>
              <w:pStyle w:val="44"/>
              <w:keepNext w:val="0"/>
              <w:keepLines w:val="0"/>
              <w:suppressLineNumbers w:val="0"/>
              <w:kinsoku w:val="0"/>
              <w:overflowPunct w:val="0"/>
              <w:autoSpaceDE w:val="0"/>
              <w:autoSpaceDN w:val="0"/>
              <w:adjustRightInd w:val="0"/>
              <w:spacing w:before="0" w:beforeAutospacing="0" w:after="0" w:afterAutospacing="0" w:line="300" w:lineRule="exact"/>
              <w:ind w:left="0" w:right="0"/>
              <w:jc w:val="left"/>
              <w:rPr>
                <w:rFonts w:hint="eastAsia" w:hAnsi="Times New Roman" w:eastAsia="宋体"/>
                <w:kern w:val="2"/>
                <w:sz w:val="21"/>
                <w:szCs w:val="21"/>
                <w:lang w:val="zh-CN" w:eastAsia="zh-CN"/>
              </w:rPr>
            </w:pPr>
            <w:r>
              <w:rPr>
                <w:rFonts w:hint="eastAsia" w:hAnsi="Times New Roman" w:eastAsia="宋体"/>
                <w:kern w:val="2"/>
                <w:sz w:val="21"/>
                <w:szCs w:val="21"/>
                <w:lang w:val="zh-CN" w:eastAsia="zh-CN"/>
              </w:rPr>
              <w:t>3. 重点开采矿种</w:t>
            </w:r>
          </w:p>
          <w:p>
            <w:pPr>
              <w:pStyle w:val="44"/>
              <w:keepNext w:val="0"/>
              <w:keepLines w:val="0"/>
              <w:suppressLineNumbers w:val="0"/>
              <w:kinsoku w:val="0"/>
              <w:overflowPunct w:val="0"/>
              <w:autoSpaceDE w:val="0"/>
              <w:autoSpaceDN w:val="0"/>
              <w:adjustRightInd w:val="0"/>
              <w:spacing w:before="0" w:beforeAutospacing="0" w:after="0" w:afterAutospacing="0" w:line="300" w:lineRule="exact"/>
              <w:ind w:left="0" w:right="0"/>
              <w:jc w:val="left"/>
              <w:rPr>
                <w:rFonts w:hint="eastAsia" w:hAnsi="Times New Roman" w:eastAsia="宋体"/>
                <w:kern w:val="2"/>
                <w:sz w:val="21"/>
                <w:szCs w:val="21"/>
                <w:lang w:val="zh-CN" w:eastAsia="zh-CN"/>
              </w:rPr>
            </w:pPr>
            <w:r>
              <w:rPr>
                <w:rFonts w:hint="eastAsia" w:hAnsi="Times New Roman" w:eastAsia="宋体"/>
                <w:kern w:val="2"/>
                <w:sz w:val="21"/>
                <w:szCs w:val="21"/>
                <w:lang w:val="zh-CN" w:eastAsia="zh-CN"/>
              </w:rPr>
              <w:t>重点开采天然气、煤层气、页岩气、地热、钾盐、石膏、矿泉水、建筑石料用灰岩。重点开采矿种在符合准入条件下，优先设置采矿权，适度扩大开采规模，提高资源供应能力和水平。</w:t>
            </w:r>
          </w:p>
          <w:p>
            <w:pPr>
              <w:pStyle w:val="44"/>
              <w:keepNext w:val="0"/>
              <w:keepLines w:val="0"/>
              <w:suppressLineNumbers w:val="0"/>
              <w:kinsoku w:val="0"/>
              <w:overflowPunct w:val="0"/>
              <w:autoSpaceDE w:val="0"/>
              <w:autoSpaceDN w:val="0"/>
              <w:adjustRightInd w:val="0"/>
              <w:spacing w:before="0" w:beforeAutospacing="0" w:after="0" w:afterAutospacing="0" w:line="300" w:lineRule="exact"/>
              <w:ind w:left="0" w:right="0"/>
              <w:jc w:val="left"/>
              <w:rPr>
                <w:rFonts w:hint="eastAsia" w:hAnsi="Times New Roman" w:eastAsia="宋体"/>
                <w:kern w:val="2"/>
                <w:sz w:val="21"/>
                <w:szCs w:val="21"/>
                <w:lang w:val="zh-CN" w:eastAsia="zh-CN"/>
              </w:rPr>
            </w:pPr>
            <w:r>
              <w:rPr>
                <w:rFonts w:hint="eastAsia" w:hAnsi="Times New Roman" w:eastAsia="宋体"/>
                <w:kern w:val="2"/>
                <w:sz w:val="21"/>
                <w:szCs w:val="21"/>
                <w:lang w:val="zh-CN" w:eastAsia="zh-CN"/>
              </w:rPr>
              <w:t>4. 限制和禁止勘查矿种限制勘查高硫煤、沉积型低品位水泥用灰岩及明确由国家投资勘查的矿种。禁止勘查硫铁矿以及国家和省政府规定禁止勘查的其他矿种。</w:t>
            </w:r>
          </w:p>
          <w:p>
            <w:pPr>
              <w:pStyle w:val="44"/>
              <w:keepNext w:val="0"/>
              <w:keepLines w:val="0"/>
              <w:suppressLineNumbers w:val="0"/>
              <w:kinsoku w:val="0"/>
              <w:overflowPunct w:val="0"/>
              <w:autoSpaceDE w:val="0"/>
              <w:autoSpaceDN w:val="0"/>
              <w:adjustRightInd w:val="0"/>
              <w:spacing w:before="0" w:beforeAutospacing="0" w:after="0" w:afterAutospacing="0" w:line="300" w:lineRule="exact"/>
              <w:ind w:left="0" w:right="0"/>
              <w:jc w:val="left"/>
              <w:rPr>
                <w:rFonts w:hint="eastAsia" w:hAnsi="Times New Roman" w:eastAsia="宋体"/>
                <w:kern w:val="2"/>
                <w:sz w:val="21"/>
                <w:szCs w:val="21"/>
                <w:lang w:val="zh-CN" w:eastAsia="zh-CN"/>
              </w:rPr>
            </w:pPr>
            <w:r>
              <w:rPr>
                <w:rFonts w:hint="eastAsia" w:hAnsi="Times New Roman" w:eastAsia="宋体"/>
                <w:kern w:val="2"/>
                <w:sz w:val="21"/>
                <w:szCs w:val="21"/>
                <w:lang w:val="zh-CN" w:eastAsia="zh-CN"/>
              </w:rPr>
              <w:t>5. 禁止开采矿种</w:t>
            </w:r>
          </w:p>
          <w:p>
            <w:pPr>
              <w:pStyle w:val="44"/>
              <w:keepNext w:val="0"/>
              <w:keepLines w:val="0"/>
              <w:suppressLineNumbers w:val="0"/>
              <w:kinsoku w:val="0"/>
              <w:overflowPunct w:val="0"/>
              <w:autoSpaceDE w:val="0"/>
              <w:autoSpaceDN w:val="0"/>
              <w:adjustRightInd w:val="0"/>
              <w:spacing w:before="0" w:beforeAutospacing="0" w:after="0" w:afterAutospacing="0" w:line="300" w:lineRule="exact"/>
              <w:ind w:left="0" w:right="0"/>
              <w:jc w:val="left"/>
              <w:rPr>
                <w:rFonts w:hint="eastAsia" w:hAnsi="Times New Roman" w:eastAsia="宋体"/>
                <w:kern w:val="2"/>
                <w:sz w:val="21"/>
                <w:szCs w:val="21"/>
                <w:lang w:val="zh-CN" w:eastAsia="zh-CN"/>
              </w:rPr>
            </w:pPr>
            <w:r>
              <w:rPr>
                <w:rFonts w:hint="eastAsia" w:hAnsi="Times New Roman" w:eastAsia="宋体"/>
                <w:kern w:val="2"/>
                <w:sz w:val="21"/>
                <w:szCs w:val="21"/>
                <w:lang w:val="zh-CN" w:eastAsia="zh-CN"/>
              </w:rPr>
              <w:t>禁止开采高硫、高灰、高砷、高氟煤炭、可耕地砖瓦用粘土矿等矿产以及国  家及省政府明文禁止开采的其它矿种。</w:t>
            </w:r>
          </w:p>
          <w:p>
            <w:pPr>
              <w:pStyle w:val="44"/>
              <w:keepNext w:val="0"/>
              <w:keepLines w:val="0"/>
              <w:suppressLineNumbers w:val="0"/>
              <w:kinsoku w:val="0"/>
              <w:overflowPunct w:val="0"/>
              <w:autoSpaceDE w:val="0"/>
              <w:autoSpaceDN w:val="0"/>
              <w:adjustRightInd w:val="0"/>
              <w:spacing w:before="0" w:beforeAutospacing="0" w:after="0" w:afterAutospacing="0" w:line="300" w:lineRule="exact"/>
              <w:ind w:left="0" w:right="0"/>
              <w:jc w:val="left"/>
              <w:rPr>
                <w:rFonts w:hint="eastAsia" w:hAnsi="Times New Roman" w:eastAsia="宋体"/>
                <w:kern w:val="2"/>
                <w:sz w:val="21"/>
                <w:szCs w:val="21"/>
                <w:lang w:val="zh-CN" w:eastAsia="zh-CN"/>
              </w:rPr>
            </w:pPr>
            <w:r>
              <w:rPr>
                <w:rFonts w:hint="eastAsia" w:hAnsi="Times New Roman" w:eastAsia="宋体"/>
                <w:kern w:val="2"/>
                <w:sz w:val="21"/>
                <w:szCs w:val="21"/>
                <w:lang w:val="zh-CN" w:eastAsia="zh-CN"/>
              </w:rPr>
              <w:t>6. 限制开采矿种</w:t>
            </w:r>
          </w:p>
          <w:p>
            <w:pPr>
              <w:pStyle w:val="44"/>
              <w:keepNext w:val="0"/>
              <w:keepLines w:val="0"/>
              <w:suppressLineNumbers w:val="0"/>
              <w:kinsoku w:val="0"/>
              <w:overflowPunct w:val="0"/>
              <w:autoSpaceDE w:val="0"/>
              <w:autoSpaceDN w:val="0"/>
              <w:adjustRightInd w:val="0"/>
              <w:spacing w:before="0" w:beforeAutospacing="0" w:after="0" w:afterAutospacing="0" w:line="300" w:lineRule="exact"/>
              <w:ind w:left="0" w:right="0"/>
              <w:jc w:val="left"/>
              <w:rPr>
                <w:rFonts w:hint="eastAsia" w:hAnsi="Times New Roman" w:eastAsia="宋体"/>
                <w:kern w:val="2"/>
                <w:sz w:val="21"/>
                <w:szCs w:val="21"/>
                <w:lang w:val="zh-CN" w:eastAsia="zh-CN"/>
              </w:rPr>
            </w:pPr>
            <w:r>
              <w:rPr>
                <w:rFonts w:hint="eastAsia" w:hAnsi="Times New Roman" w:eastAsia="宋体"/>
                <w:kern w:val="2"/>
                <w:sz w:val="21"/>
                <w:szCs w:val="21"/>
                <w:lang w:val="zh-CN" w:eastAsia="zh-CN"/>
              </w:rPr>
              <w:t>限制开采中高硫煤以及在选矿技术和环境保护问题未有重大突破前的赤铁  矿、菱铁矿。</w:t>
            </w:r>
          </w:p>
        </w:tc>
        <w:tc>
          <w:tcPr>
            <w:tcW w:w="2023" w:type="dxa"/>
            <w:vAlign w:val="center"/>
          </w:tcPr>
          <w:p>
            <w:pPr>
              <w:pStyle w:val="44"/>
              <w:keepNext w:val="0"/>
              <w:keepLines w:val="0"/>
              <w:suppressLineNumbers w:val="0"/>
              <w:kinsoku w:val="0"/>
              <w:overflowPunct w:val="0"/>
              <w:autoSpaceDE w:val="0"/>
              <w:autoSpaceDN w:val="0"/>
              <w:adjustRightInd w:val="0"/>
              <w:spacing w:before="0" w:beforeAutospacing="0" w:after="0" w:afterAutospacing="0" w:line="300" w:lineRule="exact"/>
              <w:ind w:left="0" w:right="0"/>
              <w:jc w:val="left"/>
              <w:rPr>
                <w:rFonts w:hint="eastAsia" w:hAnsi="Times New Roman" w:eastAsia="宋体"/>
                <w:kern w:val="2"/>
                <w:sz w:val="21"/>
                <w:szCs w:val="22"/>
                <w:lang w:eastAsia="zh-CN"/>
              </w:rPr>
            </w:pPr>
            <w:r>
              <w:rPr>
                <w:rFonts w:hint="eastAsia" w:hAnsi="Times New Roman" w:eastAsia="宋体"/>
                <w:kern w:val="2"/>
                <w:sz w:val="21"/>
                <w:szCs w:val="22"/>
                <w:lang w:eastAsia="zh-CN"/>
              </w:rPr>
              <w:t>开采矿种</w:t>
            </w:r>
            <w:r>
              <w:rPr>
                <w:rFonts w:hint="eastAsia" w:hAnsi="Times New Roman" w:eastAsia="宋体"/>
                <w:kern w:val="2"/>
                <w:sz w:val="21"/>
                <w:szCs w:val="22"/>
              </w:rPr>
              <w:t>不属于高硫、高灰、高砷、高氟煤炭；规划矿区内资源量符合煤炭产业政策和煤矿开采规模准入标准</w:t>
            </w:r>
            <w:r>
              <w:rPr>
                <w:rFonts w:hint="eastAsia" w:hAnsi="Times New Roman" w:eastAsia="宋体"/>
                <w:kern w:val="2"/>
                <w:sz w:val="21"/>
                <w:szCs w:val="22"/>
                <w:lang w:eastAsia="zh-CN"/>
              </w:rPr>
              <w:t>。</w:t>
            </w:r>
          </w:p>
        </w:tc>
        <w:tc>
          <w:tcPr>
            <w:tcW w:w="1071" w:type="dxa"/>
            <w:vAlign w:val="center"/>
          </w:tcPr>
          <w:p>
            <w:pPr>
              <w:pStyle w:val="44"/>
              <w:keepNext w:val="0"/>
              <w:keepLines w:val="0"/>
              <w:suppressLineNumbers w:val="0"/>
              <w:kinsoku w:val="0"/>
              <w:overflowPunct w:val="0"/>
              <w:autoSpaceDE w:val="0"/>
              <w:autoSpaceDN w:val="0"/>
              <w:adjustRightInd w:val="0"/>
              <w:spacing w:before="0" w:beforeAutospacing="0" w:after="0" w:afterAutospacing="0" w:line="300" w:lineRule="exact"/>
              <w:ind w:left="0" w:right="0"/>
              <w:jc w:val="center"/>
              <w:rPr>
                <w:rFonts w:hint="eastAsia" w:hAnsi="Times New Roman" w:eastAsia="宋体"/>
                <w:kern w:val="2"/>
                <w:sz w:val="21"/>
                <w:szCs w:val="21"/>
                <w:lang w:val="zh-CN"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2" w:hRule="atLeast"/>
          <w:jc w:val="center"/>
        </w:trPr>
        <w:tc>
          <w:tcPr>
            <w:tcW w:w="841" w:type="dxa"/>
            <w:vMerge w:val="continue"/>
            <w:vAlign w:val="center"/>
          </w:tcPr>
          <w:p>
            <w:pPr>
              <w:pStyle w:val="44"/>
              <w:keepNext w:val="0"/>
              <w:keepLines w:val="0"/>
              <w:suppressLineNumbers w:val="0"/>
              <w:kinsoku w:val="0"/>
              <w:overflowPunct w:val="0"/>
              <w:autoSpaceDE w:val="0"/>
              <w:autoSpaceDN w:val="0"/>
              <w:adjustRightInd w:val="0"/>
              <w:spacing w:before="0" w:beforeAutospacing="0" w:after="0" w:afterAutospacing="0" w:line="300" w:lineRule="exact"/>
              <w:ind w:left="0" w:right="0"/>
              <w:rPr>
                <w:rFonts w:hint="eastAsia" w:hAnsi="Times New Roman" w:eastAsia="宋体"/>
                <w:kern w:val="2"/>
                <w:sz w:val="21"/>
                <w:szCs w:val="22"/>
              </w:rPr>
            </w:pPr>
          </w:p>
        </w:tc>
        <w:tc>
          <w:tcPr>
            <w:tcW w:w="5377" w:type="dxa"/>
            <w:vAlign w:val="center"/>
          </w:tcPr>
          <w:p>
            <w:pPr>
              <w:keepNext w:val="0"/>
              <w:keepLines w:val="0"/>
              <w:suppressLineNumbers w:val="0"/>
              <w:autoSpaceDE w:val="0"/>
              <w:autoSpaceDN w:val="0"/>
              <w:adjustRightInd w:val="0"/>
              <w:spacing w:before="0" w:beforeAutospacing="0" w:after="0" w:afterAutospacing="0" w:line="300" w:lineRule="exact"/>
              <w:ind w:left="0" w:right="0"/>
              <w:rPr>
                <w:rFonts w:hint="eastAsia" w:hAnsi="Times New Roman" w:eastAsia="宋体"/>
                <w:kern w:val="2"/>
                <w:sz w:val="21"/>
                <w:szCs w:val="22"/>
                <w:lang w:eastAsia="zh-CN"/>
              </w:rPr>
            </w:pPr>
            <w:r>
              <w:rPr>
                <w:rFonts w:hint="eastAsia" w:hAnsi="Times New Roman" w:eastAsia="宋体"/>
                <w:kern w:val="2"/>
                <w:sz w:val="21"/>
                <w:szCs w:val="22"/>
                <w:lang w:eastAsia="zh-CN"/>
              </w:rPr>
              <w:t>（三）勘查开采与保护布局</w:t>
            </w:r>
          </w:p>
          <w:p>
            <w:pPr>
              <w:keepNext w:val="0"/>
              <w:keepLines w:val="0"/>
              <w:suppressLineNumbers w:val="0"/>
              <w:autoSpaceDE w:val="0"/>
              <w:autoSpaceDN w:val="0"/>
              <w:adjustRightInd w:val="0"/>
              <w:spacing w:before="0" w:beforeAutospacing="0" w:after="0" w:afterAutospacing="0" w:line="300" w:lineRule="exact"/>
              <w:ind w:left="0" w:right="0"/>
              <w:rPr>
                <w:rFonts w:hint="eastAsia" w:hAnsi="Times New Roman" w:eastAsia="宋体"/>
                <w:kern w:val="2"/>
                <w:sz w:val="21"/>
                <w:szCs w:val="22"/>
                <w:lang w:eastAsia="zh-CN"/>
              </w:rPr>
            </w:pPr>
            <w:r>
              <w:rPr>
                <w:rFonts w:hint="eastAsia" w:hAnsi="Times New Roman" w:eastAsia="宋体"/>
                <w:kern w:val="2"/>
                <w:sz w:val="21"/>
                <w:szCs w:val="22"/>
                <w:lang w:eastAsia="zh-CN"/>
              </w:rPr>
              <w:t>1. 落实省级规划分区</w:t>
            </w:r>
          </w:p>
          <w:p>
            <w:pPr>
              <w:keepNext w:val="0"/>
              <w:keepLines w:val="0"/>
              <w:suppressLineNumbers w:val="0"/>
              <w:autoSpaceDE w:val="0"/>
              <w:autoSpaceDN w:val="0"/>
              <w:adjustRightInd w:val="0"/>
              <w:spacing w:before="0" w:beforeAutospacing="0" w:after="0" w:afterAutospacing="0" w:line="300" w:lineRule="exact"/>
              <w:ind w:left="0" w:right="0"/>
              <w:rPr>
                <w:rFonts w:hint="eastAsia" w:hAnsi="Times New Roman" w:eastAsia="宋体"/>
                <w:kern w:val="2"/>
                <w:sz w:val="21"/>
                <w:szCs w:val="22"/>
                <w:lang w:eastAsia="zh-CN"/>
              </w:rPr>
            </w:pPr>
            <w:r>
              <w:rPr>
                <w:rFonts w:hint="eastAsia" w:hAnsi="Times New Roman" w:eastAsia="宋体"/>
                <w:kern w:val="2"/>
                <w:sz w:val="21"/>
                <w:szCs w:val="22"/>
                <w:lang w:eastAsia="zh-CN"/>
              </w:rPr>
              <w:t>煤矿开采规划区严格落实《四川省30万吨/年以下煤矿分类处置方案》，达州市联合升级改造11宗矿权，已批兼并重组升级改造11宗。</w:t>
            </w:r>
          </w:p>
          <w:p>
            <w:pPr>
              <w:keepNext w:val="0"/>
              <w:keepLines w:val="0"/>
              <w:suppressLineNumbers w:val="0"/>
              <w:autoSpaceDE w:val="0"/>
              <w:autoSpaceDN w:val="0"/>
              <w:adjustRightInd w:val="0"/>
              <w:spacing w:before="0" w:beforeAutospacing="0" w:after="0" w:afterAutospacing="0" w:line="300" w:lineRule="exact"/>
              <w:ind w:left="0" w:right="0"/>
              <w:rPr>
                <w:rFonts w:hint="eastAsia" w:hAnsi="Times New Roman" w:eastAsia="宋体"/>
                <w:kern w:val="2"/>
                <w:sz w:val="21"/>
                <w:szCs w:val="22"/>
                <w:lang w:eastAsia="zh-CN"/>
              </w:rPr>
            </w:pPr>
            <w:r>
              <w:rPr>
                <w:rFonts w:hint="eastAsia" w:hAnsi="Times New Roman" w:eastAsia="宋体"/>
                <w:kern w:val="2"/>
                <w:sz w:val="21"/>
                <w:szCs w:val="22"/>
                <w:lang w:eastAsia="zh-CN"/>
              </w:rPr>
              <w:t>3.本级开采规划区块的划定</w:t>
            </w:r>
          </w:p>
          <w:p>
            <w:pPr>
              <w:keepNext w:val="0"/>
              <w:keepLines w:val="0"/>
              <w:suppressLineNumbers w:val="0"/>
              <w:autoSpaceDE w:val="0"/>
              <w:autoSpaceDN w:val="0"/>
              <w:adjustRightInd w:val="0"/>
              <w:spacing w:before="0" w:beforeAutospacing="0" w:after="0" w:afterAutospacing="0" w:line="300" w:lineRule="exact"/>
              <w:ind w:left="0" w:right="0"/>
              <w:rPr>
                <w:rFonts w:hint="eastAsia" w:hAnsi="Times New Roman" w:eastAsia="宋体"/>
                <w:kern w:val="2"/>
                <w:sz w:val="21"/>
                <w:szCs w:val="22"/>
                <w:lang w:eastAsia="zh-CN"/>
              </w:rPr>
            </w:pPr>
            <w:r>
              <w:rPr>
                <w:rFonts w:hint="eastAsia" w:hAnsi="Times New Roman" w:eastAsia="宋体"/>
                <w:kern w:val="2"/>
                <w:sz w:val="21"/>
                <w:szCs w:val="22"/>
                <w:lang w:eastAsia="zh-CN"/>
              </w:rPr>
              <w:t>（3）开采规划区块管控措施</w:t>
            </w:r>
          </w:p>
          <w:p>
            <w:pPr>
              <w:keepNext w:val="0"/>
              <w:keepLines w:val="0"/>
              <w:suppressLineNumbers w:val="0"/>
              <w:autoSpaceDE w:val="0"/>
              <w:autoSpaceDN w:val="0"/>
              <w:adjustRightInd w:val="0"/>
              <w:spacing w:before="0" w:beforeAutospacing="0" w:after="0" w:afterAutospacing="0" w:line="300" w:lineRule="exact"/>
              <w:ind w:left="0" w:right="0"/>
              <w:rPr>
                <w:rFonts w:hint="eastAsia" w:hAnsi="Times New Roman" w:eastAsia="宋体"/>
                <w:kern w:val="2"/>
                <w:sz w:val="21"/>
                <w:szCs w:val="22"/>
                <w:lang w:eastAsia="zh-CN"/>
              </w:rPr>
            </w:pPr>
            <w:r>
              <w:rPr>
                <w:rFonts w:hint="eastAsia" w:hAnsi="Times New Roman" w:eastAsia="宋体"/>
                <w:b/>
                <w:bCs/>
                <w:kern w:val="2"/>
                <w:sz w:val="21"/>
                <w:szCs w:val="22"/>
                <w:lang w:eastAsia="zh-CN"/>
              </w:rPr>
              <w:t>全面推行绿色矿山建设。</w:t>
            </w:r>
            <w:r>
              <w:rPr>
                <w:rFonts w:hint="eastAsia" w:hAnsi="Times New Roman" w:eastAsia="宋体"/>
                <w:kern w:val="2"/>
                <w:sz w:val="21"/>
                <w:szCs w:val="22"/>
                <w:lang w:eastAsia="zh-CN"/>
              </w:rPr>
              <w:t>新设采矿权、技改扩能矿山执行绿色矿山建设标准，在出让合同中明确绿色矿山建设相关要求及违约责任。按绿色矿山建设标准编制矿产资源绿色开发利用方案（土地复垦方案、矿山地质环境恢复治理方案、矿产资源开发利用“三合一”方案），并在矿山筹建过程中同步建设，在正式投产时应符合绿色矿山建设要求。要加强矿山生态环境保护与恢复治理方案和水土保持方案的审查，监督企业落实保护措施，确保生态保护措施落实到位，矿山“固体废弃物、废水及废气”得到有效处理，污染物排放达标。要严格审查安全设施设计，监督企业落实安全措施，确保矿山绿色安全生产。</w:t>
            </w:r>
          </w:p>
          <w:p>
            <w:pPr>
              <w:keepNext w:val="0"/>
              <w:keepLines w:val="0"/>
              <w:suppressLineNumbers w:val="0"/>
              <w:autoSpaceDE w:val="0"/>
              <w:autoSpaceDN w:val="0"/>
              <w:adjustRightInd w:val="0"/>
              <w:spacing w:before="0" w:beforeAutospacing="0" w:after="0" w:afterAutospacing="0" w:line="300" w:lineRule="exact"/>
              <w:ind w:left="0" w:right="0"/>
              <w:rPr>
                <w:rFonts w:hint="eastAsia" w:hAnsi="Times New Roman" w:eastAsia="宋体"/>
                <w:kern w:val="2"/>
                <w:sz w:val="21"/>
                <w:szCs w:val="22"/>
                <w:lang w:eastAsia="zh-CN"/>
              </w:rPr>
            </w:pPr>
            <w:r>
              <w:rPr>
                <w:rFonts w:hint="eastAsia" w:hAnsi="Times New Roman" w:eastAsia="宋体"/>
                <w:b/>
                <w:bCs/>
                <w:kern w:val="2"/>
                <w:sz w:val="21"/>
                <w:szCs w:val="22"/>
                <w:lang w:eastAsia="zh-CN"/>
              </w:rPr>
              <w:t>建立健全矿产资源开采准入机制。</w:t>
            </w:r>
            <w:r>
              <w:rPr>
                <w:rFonts w:hint="eastAsia" w:hAnsi="Times New Roman" w:eastAsia="宋体"/>
                <w:kern w:val="2"/>
                <w:sz w:val="21"/>
                <w:szCs w:val="22"/>
                <w:lang w:eastAsia="zh-CN"/>
              </w:rPr>
              <w:t>新建、扩建矿山项目必须符合矿产资源规划、行业发展规划、行业准入条件和生态环境保护要求，新设矿山储量规模、矿山最低生产规模和服务年限必须符合规划要求。</w:t>
            </w:r>
          </w:p>
        </w:tc>
        <w:tc>
          <w:tcPr>
            <w:tcW w:w="2023" w:type="dxa"/>
            <w:vAlign w:val="center"/>
          </w:tcPr>
          <w:p>
            <w:pPr>
              <w:pStyle w:val="44"/>
              <w:keepNext w:val="0"/>
              <w:keepLines w:val="0"/>
              <w:suppressLineNumbers w:val="0"/>
              <w:kinsoku w:val="0"/>
              <w:overflowPunct w:val="0"/>
              <w:autoSpaceDE w:val="0"/>
              <w:autoSpaceDN w:val="0"/>
              <w:adjustRightInd w:val="0"/>
              <w:spacing w:before="0" w:beforeAutospacing="0" w:after="0" w:afterAutospacing="0" w:line="300" w:lineRule="exact"/>
              <w:ind w:left="0" w:right="0"/>
              <w:jc w:val="left"/>
              <w:rPr>
                <w:rFonts w:hint="eastAsia" w:hAnsi="Times New Roman" w:eastAsia="宋体"/>
                <w:kern w:val="2"/>
                <w:sz w:val="21"/>
                <w:szCs w:val="21"/>
                <w:lang w:val="zh-CN" w:eastAsia="zh-CN"/>
              </w:rPr>
            </w:pPr>
            <w:r>
              <w:rPr>
                <w:rFonts w:hint="eastAsia" w:hAnsi="Times New Roman" w:eastAsia="宋体"/>
                <w:kern w:val="2"/>
                <w:sz w:val="21"/>
                <w:szCs w:val="21"/>
                <w:lang w:eastAsia="zh-CN"/>
              </w:rPr>
              <w:t>本矿井</w:t>
            </w:r>
            <w:r>
              <w:rPr>
                <w:rFonts w:hint="eastAsia" w:hAnsi="Times New Roman" w:eastAsia="宋体"/>
                <w:kern w:val="2"/>
                <w:sz w:val="21"/>
                <w:szCs w:val="21"/>
                <w:lang w:val="zh-CN" w:eastAsia="zh-CN"/>
              </w:rPr>
              <w:t>属于《四川省人民政府〈</w:t>
            </w:r>
            <w:r>
              <w:rPr>
                <w:rFonts w:hint="eastAsia" w:hAnsi="Times New Roman" w:eastAsia="宋体"/>
                <w:kern w:val="2"/>
                <w:sz w:val="21"/>
                <w:szCs w:val="21"/>
                <w:lang w:eastAsia="zh-CN"/>
              </w:rPr>
              <w:t>关于30万吨/年以下煤矿分类处置方案的批复〉</w:t>
            </w:r>
            <w:r>
              <w:rPr>
                <w:rFonts w:hint="eastAsia" w:hAnsi="Times New Roman" w:eastAsia="宋体"/>
                <w:kern w:val="2"/>
                <w:sz w:val="21"/>
                <w:szCs w:val="21"/>
                <w:lang w:val="zh-CN" w:eastAsia="zh-CN"/>
              </w:rPr>
              <w:t>》（川府函〔</w:t>
            </w:r>
            <w:r>
              <w:rPr>
                <w:rFonts w:hint="eastAsia" w:hAnsi="Times New Roman" w:eastAsia="宋体"/>
                <w:kern w:val="2"/>
                <w:sz w:val="21"/>
                <w:szCs w:val="21"/>
                <w:lang w:eastAsia="zh-CN"/>
              </w:rPr>
              <w:t>2020〕45号</w:t>
            </w:r>
            <w:r>
              <w:rPr>
                <w:rFonts w:hint="eastAsia" w:hAnsi="Times New Roman" w:eastAsia="宋体"/>
                <w:kern w:val="2"/>
                <w:sz w:val="21"/>
                <w:szCs w:val="21"/>
                <w:lang w:val="zh-CN" w:eastAsia="zh-CN"/>
              </w:rPr>
              <w:t>）中的分类处置矿井。</w:t>
            </w:r>
          </w:p>
        </w:tc>
        <w:tc>
          <w:tcPr>
            <w:tcW w:w="1071" w:type="dxa"/>
            <w:vAlign w:val="center"/>
          </w:tcPr>
          <w:p>
            <w:pPr>
              <w:pStyle w:val="44"/>
              <w:keepNext w:val="0"/>
              <w:keepLines w:val="0"/>
              <w:suppressLineNumbers w:val="0"/>
              <w:kinsoku w:val="0"/>
              <w:overflowPunct w:val="0"/>
              <w:autoSpaceDE w:val="0"/>
              <w:autoSpaceDN w:val="0"/>
              <w:adjustRightInd w:val="0"/>
              <w:spacing w:before="0" w:beforeAutospacing="0" w:after="0" w:afterAutospacing="0" w:line="300" w:lineRule="exact"/>
              <w:ind w:left="0" w:right="0"/>
              <w:jc w:val="center"/>
              <w:rPr>
                <w:rFonts w:hint="eastAsia" w:hAnsi="Times New Roman" w:eastAsia="宋体"/>
                <w:kern w:val="2"/>
                <w:sz w:val="21"/>
                <w:szCs w:val="21"/>
                <w:lang w:val="zh-CN"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2" w:hRule="atLeast"/>
          <w:jc w:val="center"/>
        </w:trPr>
        <w:tc>
          <w:tcPr>
            <w:tcW w:w="841" w:type="dxa"/>
            <w:vAlign w:val="center"/>
          </w:tcPr>
          <w:p>
            <w:pPr>
              <w:pStyle w:val="44"/>
              <w:keepNext w:val="0"/>
              <w:keepLines w:val="0"/>
              <w:suppressLineNumbers w:val="0"/>
              <w:kinsoku w:val="0"/>
              <w:overflowPunct w:val="0"/>
              <w:autoSpaceDE w:val="0"/>
              <w:autoSpaceDN w:val="0"/>
              <w:adjustRightInd w:val="0"/>
              <w:spacing w:before="0" w:beforeAutospacing="0" w:after="0" w:afterAutospacing="0" w:line="300" w:lineRule="exact"/>
              <w:ind w:left="0" w:right="0"/>
              <w:rPr>
                <w:rFonts w:hint="eastAsia" w:hAnsi="Times New Roman" w:eastAsia="宋体"/>
                <w:kern w:val="2"/>
                <w:sz w:val="21"/>
                <w:szCs w:val="22"/>
              </w:rPr>
            </w:pPr>
            <w:r>
              <w:rPr>
                <w:rFonts w:hint="eastAsia" w:hAnsi="Times New Roman" w:eastAsia="宋体"/>
                <w:kern w:val="2"/>
                <w:sz w:val="21"/>
                <w:szCs w:val="22"/>
              </w:rPr>
              <w:t>四、加强矿产资源勘查开发利用与保护</w:t>
            </w:r>
          </w:p>
        </w:tc>
        <w:tc>
          <w:tcPr>
            <w:tcW w:w="5377" w:type="dxa"/>
            <w:vAlign w:val="center"/>
          </w:tcPr>
          <w:p>
            <w:pPr>
              <w:keepNext w:val="0"/>
              <w:keepLines w:val="0"/>
              <w:suppressLineNumbers w:val="0"/>
              <w:autoSpaceDE w:val="0"/>
              <w:autoSpaceDN w:val="0"/>
              <w:adjustRightInd w:val="0"/>
              <w:spacing w:before="0" w:beforeAutospacing="0" w:after="0" w:afterAutospacing="0" w:line="300" w:lineRule="exact"/>
              <w:ind w:left="0" w:right="0"/>
              <w:rPr>
                <w:rFonts w:hint="eastAsia" w:hAnsi="Times New Roman" w:eastAsia="宋体"/>
                <w:kern w:val="2"/>
                <w:sz w:val="21"/>
                <w:szCs w:val="22"/>
                <w:lang w:eastAsia="zh-CN"/>
              </w:rPr>
            </w:pPr>
            <w:r>
              <w:rPr>
                <w:rFonts w:hint="eastAsia" w:hAnsi="Times New Roman" w:eastAsia="宋体"/>
                <w:kern w:val="2"/>
                <w:sz w:val="21"/>
                <w:szCs w:val="22"/>
                <w:lang w:eastAsia="zh-CN"/>
              </w:rPr>
              <w:t>（三）严格规划准入管理</w:t>
            </w:r>
          </w:p>
          <w:p>
            <w:pPr>
              <w:keepNext w:val="0"/>
              <w:keepLines w:val="0"/>
              <w:suppressLineNumbers w:val="0"/>
              <w:autoSpaceDE w:val="0"/>
              <w:autoSpaceDN w:val="0"/>
              <w:adjustRightInd w:val="0"/>
              <w:spacing w:before="0" w:beforeAutospacing="0" w:after="0" w:afterAutospacing="0" w:line="300" w:lineRule="exact"/>
              <w:ind w:left="0" w:right="0"/>
              <w:rPr>
                <w:rFonts w:hint="eastAsia" w:hAnsi="Times New Roman" w:eastAsia="宋体"/>
                <w:kern w:val="2"/>
                <w:sz w:val="21"/>
                <w:szCs w:val="22"/>
                <w:lang w:eastAsia="zh-CN"/>
              </w:rPr>
            </w:pPr>
            <w:r>
              <w:rPr>
                <w:rFonts w:hint="eastAsia" w:hAnsi="Times New Roman" w:eastAsia="宋体"/>
                <w:kern w:val="2"/>
                <w:sz w:val="21"/>
                <w:szCs w:val="22"/>
                <w:lang w:eastAsia="zh-CN"/>
              </w:rPr>
              <w:t>2. 生态环境保护准入条件</w:t>
            </w:r>
          </w:p>
          <w:p>
            <w:pPr>
              <w:keepNext w:val="0"/>
              <w:keepLines w:val="0"/>
              <w:suppressLineNumbers w:val="0"/>
              <w:autoSpaceDE w:val="0"/>
              <w:autoSpaceDN w:val="0"/>
              <w:adjustRightInd w:val="0"/>
              <w:spacing w:before="0" w:beforeAutospacing="0" w:after="0" w:afterAutospacing="0" w:line="300" w:lineRule="exact"/>
              <w:ind w:left="0" w:right="0"/>
              <w:rPr>
                <w:rFonts w:hint="eastAsia" w:hAnsi="Times New Roman" w:eastAsia="宋体"/>
                <w:kern w:val="2"/>
                <w:sz w:val="21"/>
                <w:szCs w:val="22"/>
                <w:lang w:eastAsia="zh-CN"/>
              </w:rPr>
            </w:pPr>
            <w:r>
              <w:rPr>
                <w:rFonts w:hint="eastAsia" w:hAnsi="Times New Roman" w:eastAsia="宋体"/>
                <w:kern w:val="2"/>
                <w:sz w:val="21"/>
                <w:szCs w:val="22"/>
                <w:lang w:eastAsia="zh-CN"/>
              </w:rPr>
              <w:t>矿山采矿的地质环境准入，必须符合《中华人民共和国环境保护法》《中华人民共和国固体废物污染环境防治法》《四川省地质环境管理条例》《土地复垦条例》等法律、法规规定的环保条件。职业健康与安全设施、环境保护设施必须与主体工程同时设计、同时施工、同时验收和投产使用。严格执行矿山生态恢复治理保证金制度，根据“边开采、边治理”的原则，编制矿山地质环境保护和土地复垦方案，并按照方案按期进行矿山生态、地质环境恢复治理和土地复垦。扩建、新建矿山必须由具备相应资质的单位编制的矿山开发利用方案，设计的开采回采率、选矿回收率、总回收率指标应达到国家有关规定；设计的尾矿综合利用方案，应符合国家相关规范规定。矿山生态地质环境监测工作逐步建立和完善，达到环保部门要求的污染物排放满足总量控制指标，完成污染物减排任务；严格执行各矿种相关的污染物排放标准达标制度；按要求办理排污申报、排污许可证等环保手续，定期实施清洁生产审核，并通过评估验收。</w:t>
            </w:r>
          </w:p>
        </w:tc>
        <w:tc>
          <w:tcPr>
            <w:tcW w:w="2023" w:type="dxa"/>
            <w:vAlign w:val="center"/>
          </w:tcPr>
          <w:p>
            <w:pPr>
              <w:pStyle w:val="44"/>
              <w:keepNext w:val="0"/>
              <w:keepLines w:val="0"/>
              <w:suppressLineNumbers w:val="0"/>
              <w:kinsoku w:val="0"/>
              <w:overflowPunct w:val="0"/>
              <w:autoSpaceDE w:val="0"/>
              <w:autoSpaceDN w:val="0"/>
              <w:adjustRightInd w:val="0"/>
              <w:spacing w:before="0" w:beforeAutospacing="0" w:after="0" w:afterAutospacing="0" w:line="30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本项目编制有矿山地质环境保护与土地复垦方案，矿山开采回采率、选矿回收率、</w:t>
            </w:r>
            <w:r>
              <w:rPr>
                <w:rFonts w:hint="eastAsia" w:hAnsi="Times New Roman" w:eastAsia="Times New Roman"/>
                <w:kern w:val="2"/>
                <w:sz w:val="21"/>
                <w:szCs w:val="22"/>
                <w:lang w:eastAsia="zh-CN"/>
              </w:rPr>
              <w:t xml:space="preserve">总回收率指标符合国家有关规定，本项目依法办理排污登记 </w:t>
            </w:r>
          </w:p>
        </w:tc>
        <w:tc>
          <w:tcPr>
            <w:tcW w:w="1071" w:type="dxa"/>
            <w:vAlign w:val="center"/>
          </w:tcPr>
          <w:p>
            <w:pPr>
              <w:pStyle w:val="44"/>
              <w:keepNext w:val="0"/>
              <w:keepLines w:val="0"/>
              <w:suppressLineNumbers w:val="0"/>
              <w:kinsoku w:val="0"/>
              <w:overflowPunct w:val="0"/>
              <w:autoSpaceDE w:val="0"/>
              <w:autoSpaceDN w:val="0"/>
              <w:adjustRightInd w:val="0"/>
              <w:spacing w:before="0" w:beforeAutospacing="0" w:after="0" w:afterAutospacing="0" w:line="300" w:lineRule="exact"/>
              <w:ind w:left="0" w:right="0"/>
              <w:jc w:val="center"/>
              <w:rPr>
                <w:rFonts w:hint="eastAsia" w:hAnsi="Times New Roman" w:eastAsia="宋体"/>
                <w:kern w:val="2"/>
                <w:sz w:val="21"/>
                <w:szCs w:val="21"/>
                <w:lang w:val="zh-CN"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2" w:hRule="atLeast"/>
          <w:jc w:val="center"/>
        </w:trPr>
        <w:tc>
          <w:tcPr>
            <w:tcW w:w="841" w:type="dxa"/>
            <w:vAlign w:val="center"/>
          </w:tcPr>
          <w:p>
            <w:pPr>
              <w:pStyle w:val="44"/>
              <w:keepNext w:val="0"/>
              <w:keepLines w:val="0"/>
              <w:suppressLineNumbers w:val="0"/>
              <w:kinsoku w:val="0"/>
              <w:overflowPunct w:val="0"/>
              <w:autoSpaceDE w:val="0"/>
              <w:autoSpaceDN w:val="0"/>
              <w:adjustRightInd w:val="0"/>
              <w:spacing w:before="0" w:beforeAutospacing="0" w:after="0" w:afterAutospacing="0" w:line="300" w:lineRule="exact"/>
              <w:ind w:left="0" w:right="0"/>
              <w:rPr>
                <w:rFonts w:hint="eastAsia" w:hAnsi="Times New Roman" w:eastAsia="宋体"/>
                <w:kern w:val="2"/>
                <w:sz w:val="21"/>
                <w:szCs w:val="22"/>
              </w:rPr>
            </w:pPr>
            <w:r>
              <w:rPr>
                <w:rFonts w:hint="eastAsia" w:hAnsi="Times New Roman" w:eastAsia="宋体"/>
                <w:kern w:val="2"/>
                <w:sz w:val="21"/>
                <w:szCs w:val="22"/>
              </w:rPr>
              <w:t>五、绿色矿山建设和矿区生态保护</w:t>
            </w:r>
          </w:p>
        </w:tc>
        <w:tc>
          <w:tcPr>
            <w:tcW w:w="5377" w:type="dxa"/>
            <w:vAlign w:val="center"/>
          </w:tcPr>
          <w:p>
            <w:pPr>
              <w:keepNext w:val="0"/>
              <w:keepLines w:val="0"/>
              <w:suppressLineNumbers w:val="0"/>
              <w:autoSpaceDE w:val="0"/>
              <w:autoSpaceDN w:val="0"/>
              <w:adjustRightInd w:val="0"/>
              <w:spacing w:before="0" w:beforeAutospacing="0" w:after="0" w:afterAutospacing="0" w:line="300" w:lineRule="exact"/>
              <w:ind w:left="0" w:right="0"/>
              <w:rPr>
                <w:rFonts w:hint="eastAsia" w:hAnsi="Times New Roman" w:eastAsia="宋体"/>
                <w:kern w:val="2"/>
                <w:sz w:val="21"/>
                <w:szCs w:val="22"/>
                <w:lang w:eastAsia="zh-CN"/>
              </w:rPr>
            </w:pPr>
            <w:r>
              <w:rPr>
                <w:rFonts w:hint="eastAsia" w:hAnsi="Times New Roman" w:eastAsia="宋体"/>
                <w:kern w:val="2"/>
                <w:sz w:val="21"/>
                <w:szCs w:val="22"/>
                <w:lang w:eastAsia="zh-CN"/>
              </w:rPr>
              <w:t>（三）矿区生态保护修复</w:t>
            </w:r>
          </w:p>
          <w:p>
            <w:pPr>
              <w:keepNext w:val="0"/>
              <w:keepLines w:val="0"/>
              <w:suppressLineNumbers w:val="0"/>
              <w:autoSpaceDE w:val="0"/>
              <w:autoSpaceDN w:val="0"/>
              <w:adjustRightInd w:val="0"/>
              <w:spacing w:before="0" w:beforeAutospacing="0" w:after="0" w:afterAutospacing="0" w:line="300" w:lineRule="exact"/>
              <w:ind w:left="0" w:right="0"/>
              <w:rPr>
                <w:rFonts w:hint="eastAsia" w:hAnsi="Times New Roman" w:eastAsia="宋体"/>
                <w:kern w:val="2"/>
                <w:sz w:val="21"/>
                <w:szCs w:val="22"/>
                <w:lang w:eastAsia="zh-CN"/>
              </w:rPr>
            </w:pPr>
            <w:r>
              <w:rPr>
                <w:rFonts w:hint="eastAsia" w:hAnsi="Times New Roman" w:eastAsia="宋体"/>
                <w:kern w:val="2"/>
                <w:sz w:val="21"/>
                <w:szCs w:val="22"/>
                <w:lang w:eastAsia="zh-CN"/>
              </w:rPr>
              <w:t>2. 生产矿山</w:t>
            </w:r>
          </w:p>
          <w:p>
            <w:pPr>
              <w:keepNext w:val="0"/>
              <w:keepLines w:val="0"/>
              <w:suppressLineNumbers w:val="0"/>
              <w:autoSpaceDE w:val="0"/>
              <w:autoSpaceDN w:val="0"/>
              <w:adjustRightInd w:val="0"/>
              <w:spacing w:before="0" w:beforeAutospacing="0" w:after="0" w:afterAutospacing="0" w:line="300" w:lineRule="exact"/>
              <w:ind w:left="0" w:right="0"/>
              <w:rPr>
                <w:rFonts w:hint="eastAsia" w:hAnsi="Times New Roman" w:eastAsia="宋体"/>
                <w:kern w:val="2"/>
                <w:sz w:val="21"/>
                <w:szCs w:val="22"/>
                <w:lang w:eastAsia="zh-CN"/>
              </w:rPr>
            </w:pPr>
            <w:r>
              <w:rPr>
                <w:rFonts w:hint="eastAsia" w:hAnsi="Times New Roman" w:eastAsia="宋体"/>
                <w:kern w:val="2"/>
                <w:sz w:val="21"/>
                <w:szCs w:val="22"/>
                <w:lang w:eastAsia="zh-CN"/>
              </w:rPr>
              <w:t>办理采矿权变更或涉及扩大开采规模、扩大矿区范围、变更开采方式的，应当重新委托专业单位进行编制或修订矿山地质环境保护与土地复垦方案。在办理采矿权延续时，矿山地质环境保护与土地复垦方案超过试用期或方案剩余服务期少于采矿权延续时间的，应当重新委托专业单位进行编制或修订矿山地质环境保护与土地复垦方案。矿山企业应当依据经审查通过的方案开展矿山地质环境保护与土地复垦工作。</w:t>
            </w:r>
          </w:p>
          <w:p>
            <w:pPr>
              <w:keepNext w:val="0"/>
              <w:keepLines w:val="0"/>
              <w:suppressLineNumbers w:val="0"/>
              <w:autoSpaceDE w:val="0"/>
              <w:autoSpaceDN w:val="0"/>
              <w:adjustRightInd w:val="0"/>
              <w:spacing w:before="0" w:beforeAutospacing="0" w:after="0" w:afterAutospacing="0" w:line="300" w:lineRule="exact"/>
              <w:ind w:left="0" w:right="0"/>
              <w:rPr>
                <w:rFonts w:hint="eastAsia" w:hAnsi="Times New Roman" w:eastAsia="宋体"/>
                <w:kern w:val="2"/>
                <w:sz w:val="21"/>
                <w:szCs w:val="22"/>
                <w:lang w:eastAsia="zh-CN"/>
              </w:rPr>
            </w:pPr>
            <w:r>
              <w:rPr>
                <w:rFonts w:hint="eastAsia" w:hAnsi="Times New Roman" w:eastAsia="宋体"/>
                <w:kern w:val="2"/>
                <w:sz w:val="21"/>
                <w:szCs w:val="22"/>
                <w:lang w:eastAsia="zh-CN"/>
              </w:rPr>
              <w:t>矿山地质环境的治理恢复要严格依照“谁开发谁保护，谁破坏谁治理”的原则予以监督。同时落实开发利用方案和开采设计，严格规范矿山废弃物排放、废水处理设施及处理任务，加强矿山生产过程中对地质环境影响的控制。对造成地质环境严重破坏的矿山，责令限期整改，逾期或整改不达标的予以关闭。</w:t>
            </w:r>
          </w:p>
          <w:p>
            <w:pPr>
              <w:keepNext w:val="0"/>
              <w:keepLines w:val="0"/>
              <w:suppressLineNumbers w:val="0"/>
              <w:autoSpaceDE w:val="0"/>
              <w:autoSpaceDN w:val="0"/>
              <w:adjustRightInd w:val="0"/>
              <w:spacing w:before="0" w:beforeAutospacing="0" w:after="0" w:afterAutospacing="0" w:line="300" w:lineRule="exact"/>
              <w:ind w:left="0" w:right="0"/>
              <w:rPr>
                <w:rFonts w:hint="eastAsia" w:hAnsi="Times New Roman" w:eastAsia="宋体"/>
                <w:kern w:val="2"/>
                <w:sz w:val="21"/>
                <w:szCs w:val="22"/>
                <w:lang w:eastAsia="zh-CN"/>
              </w:rPr>
            </w:pPr>
            <w:r>
              <w:rPr>
                <w:rFonts w:hint="eastAsia" w:hAnsi="Times New Roman" w:eastAsia="宋体"/>
                <w:kern w:val="2"/>
                <w:sz w:val="21"/>
                <w:szCs w:val="22"/>
                <w:lang w:eastAsia="zh-CN"/>
              </w:rPr>
              <w:t>3. 闭坑矿山生态环境治理恢复</w:t>
            </w:r>
          </w:p>
          <w:p>
            <w:pPr>
              <w:keepNext w:val="0"/>
              <w:keepLines w:val="0"/>
              <w:suppressLineNumbers w:val="0"/>
              <w:autoSpaceDE w:val="0"/>
              <w:autoSpaceDN w:val="0"/>
              <w:adjustRightInd w:val="0"/>
              <w:spacing w:before="0" w:beforeAutospacing="0" w:after="0" w:afterAutospacing="0" w:line="300" w:lineRule="exact"/>
              <w:ind w:left="0" w:right="0"/>
              <w:rPr>
                <w:rFonts w:hint="eastAsia" w:hAnsi="Times New Roman" w:eastAsia="宋体"/>
                <w:kern w:val="2"/>
                <w:sz w:val="21"/>
                <w:szCs w:val="22"/>
                <w:lang w:eastAsia="zh-CN"/>
              </w:rPr>
            </w:pPr>
            <w:r>
              <w:rPr>
                <w:rFonts w:hint="eastAsia" w:hAnsi="Times New Roman" w:eastAsia="宋体"/>
                <w:kern w:val="2"/>
                <w:sz w:val="21"/>
                <w:szCs w:val="22"/>
                <w:lang w:eastAsia="zh-CN"/>
              </w:rPr>
              <w:t>建立闭坑矿山的矿山地质环境审查制度，明确矿山闭坑的环境达标技术要求。采矿权人应向矿山所在地的自然资源管理部门提交矿山闭坑环境治理恢复计划，按规定报请审查批准。采矿权人应当在规定时间内完成矿山地质环境治理恢复工作，并经自然资源部门会同有关部门对治理恢复情况进行审查验收、达到验收标准的方可闭坑。</w:t>
            </w:r>
          </w:p>
        </w:tc>
        <w:tc>
          <w:tcPr>
            <w:tcW w:w="2023" w:type="dxa"/>
            <w:vAlign w:val="center"/>
          </w:tcPr>
          <w:p>
            <w:pPr>
              <w:pStyle w:val="44"/>
              <w:keepNext w:val="0"/>
              <w:keepLines w:val="0"/>
              <w:suppressLineNumbers w:val="0"/>
              <w:kinsoku w:val="0"/>
              <w:overflowPunct w:val="0"/>
              <w:autoSpaceDE w:val="0"/>
              <w:autoSpaceDN w:val="0"/>
              <w:adjustRightInd w:val="0"/>
              <w:spacing w:before="0" w:beforeAutospacing="0" w:after="0" w:afterAutospacing="0" w:line="30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本项目按要求编制了矿山地质环境保护与土地复垦方案。</w:t>
            </w:r>
          </w:p>
        </w:tc>
        <w:tc>
          <w:tcPr>
            <w:tcW w:w="1071" w:type="dxa"/>
            <w:vAlign w:val="center"/>
          </w:tcPr>
          <w:p>
            <w:pPr>
              <w:pStyle w:val="44"/>
              <w:keepNext w:val="0"/>
              <w:keepLines w:val="0"/>
              <w:suppressLineNumbers w:val="0"/>
              <w:kinsoku w:val="0"/>
              <w:overflowPunct w:val="0"/>
              <w:autoSpaceDE w:val="0"/>
              <w:autoSpaceDN w:val="0"/>
              <w:adjustRightInd w:val="0"/>
              <w:spacing w:before="0" w:beforeAutospacing="0" w:after="0" w:afterAutospacing="0" w:line="300" w:lineRule="exact"/>
              <w:ind w:left="0" w:right="0"/>
              <w:jc w:val="center"/>
              <w:rPr>
                <w:rFonts w:hint="eastAsia" w:hAnsi="Times New Roman" w:eastAsia="宋体"/>
                <w:kern w:val="2"/>
                <w:sz w:val="21"/>
                <w:szCs w:val="21"/>
                <w:lang w:val="zh-CN" w:eastAsia="zh-CN"/>
              </w:rPr>
            </w:pPr>
            <w:r>
              <w:rPr>
                <w:rFonts w:hint="eastAsia" w:hAnsi="Times New Roman" w:eastAsia="宋体"/>
                <w:kern w:val="2"/>
                <w:sz w:val="21"/>
                <w:szCs w:val="21"/>
                <w:lang w:eastAsia="zh-CN"/>
              </w:rPr>
              <w:t>符合</w:t>
            </w:r>
          </w:p>
        </w:tc>
      </w:tr>
    </w:tbl>
    <w:p>
      <w:pPr>
        <w:spacing w:line="360" w:lineRule="auto"/>
        <w:ind w:firstLine="480" w:firstLineChars="200"/>
        <w:rPr>
          <w:rFonts w:hAnsi="Times New Roman" w:eastAsia="宋体"/>
          <w:lang w:eastAsia="zh-CN"/>
        </w:rPr>
      </w:pPr>
      <w:r>
        <w:rPr>
          <w:rFonts w:hAnsi="Times New Roman" w:eastAsia="宋体"/>
          <w:lang w:eastAsia="zh-CN"/>
        </w:rPr>
        <w:t>经对比，本项目符合《达州市矿产资源总体规划》（2021-2025年）（征求意见稿）文中的规划要求。</w:t>
      </w:r>
    </w:p>
    <w:p>
      <w:pPr>
        <w:pStyle w:val="6"/>
        <w:rPr>
          <w:lang w:eastAsia="zh-CN"/>
        </w:rPr>
      </w:pPr>
      <w:bookmarkStart w:id="765" w:name="_Toc163812745"/>
      <w:bookmarkStart w:id="766" w:name="_Toc167095369"/>
      <w:r>
        <w:rPr>
          <w:lang w:eastAsia="zh-CN"/>
        </w:rPr>
        <w:t>14.3.4 与</w:t>
      </w:r>
      <w:r>
        <w:rPr>
          <w:rFonts w:hint="eastAsia"/>
          <w:lang w:eastAsia="zh-CN"/>
        </w:rPr>
        <w:t>生态功能区划</w:t>
      </w:r>
      <w:r>
        <w:rPr>
          <w:lang w:eastAsia="zh-CN"/>
        </w:rPr>
        <w:t>符合性分析</w:t>
      </w:r>
      <w:bookmarkEnd w:id="765"/>
      <w:bookmarkEnd w:id="766"/>
    </w:p>
    <w:p>
      <w:pPr>
        <w:pStyle w:val="8"/>
        <w:rPr>
          <w:rFonts w:ascii="Times New Roman" w:hAnsi="Times New Roman"/>
        </w:rPr>
      </w:pPr>
      <w:r>
        <w:rPr>
          <w:rFonts w:ascii="Times New Roman" w:hAnsi="Times New Roman"/>
          <w:lang w:eastAsia="zh-CN"/>
        </w:rPr>
        <w:t>14.3.4.1</w:t>
      </w:r>
      <w:r>
        <w:rPr>
          <w:rFonts w:ascii="Times New Roman" w:hAnsi="Times New Roman"/>
        </w:rPr>
        <w:t>与《全国生态功能区划》符合性分析</w:t>
      </w:r>
    </w:p>
    <w:p>
      <w:pPr>
        <w:spacing w:line="360" w:lineRule="auto"/>
        <w:ind w:firstLine="480" w:firstLineChars="200"/>
        <w:rPr>
          <w:rFonts w:hAnsi="Times New Roman" w:eastAsia="宋体"/>
          <w:szCs w:val="22"/>
          <w:lang w:eastAsia="zh-CN"/>
        </w:rPr>
      </w:pPr>
      <w:r>
        <w:rPr>
          <w:rFonts w:hAnsi="Times New Roman" w:eastAsia="宋体"/>
          <w:szCs w:val="22"/>
          <w:lang w:eastAsia="zh-CN"/>
        </w:rPr>
        <w:t>根据《全国生态功能区划（修编版）》</w:t>
      </w:r>
      <w:r>
        <w:rPr>
          <w:rFonts w:hint="eastAsia" w:hAnsi="Times New Roman" w:eastAsia="宋体"/>
          <w:szCs w:val="22"/>
          <w:lang w:eastAsia="zh-CN"/>
        </w:rPr>
        <w:t>（</w:t>
      </w:r>
      <w:r>
        <w:rPr>
          <w:rFonts w:hAnsi="Times New Roman" w:eastAsia="宋体"/>
          <w:szCs w:val="22"/>
          <w:lang w:eastAsia="zh-CN"/>
        </w:rPr>
        <w:t>环境保护部公告2015年第61号</w:t>
      </w:r>
      <w:r>
        <w:rPr>
          <w:rFonts w:hint="eastAsia" w:hAnsi="Times New Roman" w:eastAsia="宋体"/>
          <w:szCs w:val="22"/>
          <w:lang w:eastAsia="zh-CN"/>
        </w:rPr>
        <w:t>）</w:t>
      </w:r>
      <w:r>
        <w:rPr>
          <w:rFonts w:hAnsi="Times New Roman" w:eastAsia="宋体"/>
          <w:szCs w:val="22"/>
          <w:lang w:eastAsia="zh-CN"/>
        </w:rPr>
        <w:t>中的定位，</w:t>
      </w:r>
      <w:r>
        <w:rPr>
          <w:rFonts w:hint="eastAsia" w:hAnsi="Times New Roman" w:eastAsia="宋体"/>
          <w:szCs w:val="22"/>
          <w:lang w:eastAsia="zh-CN"/>
        </w:rPr>
        <w:t>本项目</w:t>
      </w:r>
      <w:r>
        <w:rPr>
          <w:rFonts w:hAnsi="Times New Roman" w:eastAsia="宋体"/>
          <w:szCs w:val="22"/>
          <w:lang w:eastAsia="zh-CN"/>
        </w:rPr>
        <w:t>评价区属于</w:t>
      </w:r>
      <w:r>
        <w:rPr>
          <w:rFonts w:hint="eastAsia" w:hAnsi="Times New Roman" w:eastAsia="宋体"/>
          <w:szCs w:val="22"/>
          <w:lang w:eastAsia="zh-CN"/>
        </w:rPr>
        <w:t>II-02-05 川东丘陵林产品提供功能区见下图</w:t>
      </w:r>
      <w:r>
        <w:rPr>
          <w:rFonts w:hAnsi="Times New Roman" w:eastAsia="宋体"/>
          <w:szCs w:val="22"/>
          <w:lang w:eastAsia="zh-CN"/>
        </w:rPr>
        <w:t>。</w:t>
      </w:r>
    </w:p>
    <w:p>
      <w:pPr>
        <w:autoSpaceDE w:val="0"/>
        <w:autoSpaceDN w:val="0"/>
        <w:adjustRightInd w:val="0"/>
        <w:jc w:val="center"/>
        <w:rPr>
          <w:rFonts w:ascii="宋体" w:hAnsi="Calibri" w:cs="宋体"/>
        </w:rPr>
      </w:pPr>
      <w:r>
        <w:rPr>
          <w:rFonts w:ascii="宋体" w:hAnsi="宋体" w:cs="宋体"/>
        </w:rPr>
        <mc:AlternateContent>
          <mc:Choice Requires="wpg">
            <w:drawing>
              <wp:anchor distT="0" distB="0" distL="114300" distR="114300" simplePos="0" relativeHeight="251680768" behindDoc="0" locked="0" layoutInCell="1" allowOverlap="1">
                <wp:simplePos x="0" y="0"/>
                <wp:positionH relativeFrom="column">
                  <wp:posOffset>2807335</wp:posOffset>
                </wp:positionH>
                <wp:positionV relativeFrom="paragraph">
                  <wp:posOffset>1967865</wp:posOffset>
                </wp:positionV>
                <wp:extent cx="834390" cy="323850"/>
                <wp:effectExtent l="0" t="0" r="0" b="13970"/>
                <wp:wrapNone/>
                <wp:docPr id="1029" name="组合 1029"/>
                <wp:cNvGraphicFramePr/>
                <a:graphic xmlns:a="http://schemas.openxmlformats.org/drawingml/2006/main">
                  <a:graphicData uri="http://schemas.microsoft.com/office/word/2010/wordprocessingGroup">
                    <wpg:wgp>
                      <wpg:cNvGrpSpPr/>
                      <wpg:grpSpPr>
                        <a:xfrm>
                          <a:off x="0" y="0"/>
                          <a:ext cx="834390" cy="323850"/>
                          <a:chOff x="0" y="0"/>
                          <a:chExt cx="834887" cy="324014"/>
                        </a:xfrm>
                        <a:effectLst/>
                      </wpg:grpSpPr>
                      <wps:wsp>
                        <wps:cNvPr id="1027" name="椭圆 1027"/>
                        <wps:cNvSpPr/>
                        <wps:spPr>
                          <a:xfrm>
                            <a:off x="580445" y="278295"/>
                            <a:ext cx="45719" cy="45719"/>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1028" name="文本框 1028"/>
                        <wps:cNvSpPr txBox="1"/>
                        <wps:spPr>
                          <a:xfrm>
                            <a:off x="0" y="0"/>
                            <a:ext cx="834887" cy="278296"/>
                          </a:xfrm>
                          <a:prstGeom prst="rect">
                            <a:avLst/>
                          </a:prstGeom>
                          <a:noFill/>
                          <a:ln w="6350">
                            <a:noFill/>
                          </a:ln>
                          <a:effectLst/>
                        </wps:spPr>
                        <wps:txbx>
                          <w:txbxContent>
                            <w:p>
                              <w:pPr>
                                <w:rPr>
                                  <w:b/>
                                  <w:color w:val="FF0000"/>
                                  <w:sz w:val="18"/>
                                  <w:szCs w:val="18"/>
                                </w:rPr>
                              </w:pPr>
                              <w:r>
                                <w:rPr>
                                  <w:rFonts w:hint="eastAsia"/>
                                  <w:b/>
                                  <w:color w:val="FF0000"/>
                                  <w:sz w:val="18"/>
                                  <w:szCs w:val="18"/>
                                </w:rPr>
                                <w:t>项目所在区</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221.05pt;margin-top:154.95pt;height:25.5pt;width:65.7pt;z-index:251680768;mso-width-relative:page;mso-height-relative:page;" coordsize="834887,324014" o:gfxdata="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">
                <o:lock v:ext="edit" aspectratio="f"/>
                <v:shape id="_x0000_s1026" o:spid="_x0000_s1026" o:spt="3" type="#_x0000_t3" style="position:absolute;left:580445;top:278295;height:45719;width:45719;v-text-anchor:middle;" fillcolor="#FF0000" filled="t" stroked="t" coordsize="21600,21600" o:gfxdata="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wXUILsAAADd&#10;AAAADwAAAAAAAAABACAAAAAiAAAAZHJzL2Rvd25yZXYueG1sUEsBAhQAFAAAAAgAh07iQDMvBZ47&#10;AAAAOQAAABAAAAAAAAAAAQAgAAAACgEAAGRycy9zaGFwZXhtbC54bWxQSwUGAAAAAAYABgBbAQAA&#10;tAMAAAAA&#10;">
                  <v:fill on="t" focussize="0,0"/>
                  <v:stroke weight="2pt" color="#FF0000" joinstyle="round"/>
                  <v:imagedata o:title=""/>
                  <o:lock v:ext="edit" aspectratio="f"/>
                </v:shape>
                <v:shape id="_x0000_s1026" o:spid="_x0000_s1026" o:spt="202" type="#_x0000_t202" style="position:absolute;left:0;top:0;height:278296;width:834887;" filled="f" stroked="f" coordsize="21600,21600" o:gfxdata="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teiM&#10;osEAAADdAAAADwAAAAAAAAABACAAAAAiAAAAZHJzL2Rvd25yZXYueG1sUEsBAhQAFAAAAAgAh07i&#10;QDMvBZ47AAAAOQAAABAAAAAAAAAAAQAgAAAAEAEAAGRycy9zaGFwZXhtbC54bWxQSwUGAAAAAAYA&#10;BgBbAQAAugMAAAAA&#10;">
                  <v:fill on="f" focussize="0,0"/>
                  <v:stroke on="f" weight="0.5pt"/>
                  <v:imagedata o:title=""/>
                  <o:lock v:ext="edit" aspectratio="f"/>
                  <v:textbox>
                    <w:txbxContent>
                      <w:p>
                        <w:pPr>
                          <w:rPr>
                            <w:b/>
                            <w:color w:val="FF0000"/>
                            <w:sz w:val="18"/>
                            <w:szCs w:val="18"/>
                          </w:rPr>
                        </w:pPr>
                        <w:r>
                          <w:rPr>
                            <w:rFonts w:hint="eastAsia"/>
                            <w:b/>
                            <w:color w:val="FF0000"/>
                            <w:sz w:val="18"/>
                            <w:szCs w:val="18"/>
                          </w:rPr>
                          <w:t>项目所在区</w:t>
                        </w:r>
                      </w:p>
                    </w:txbxContent>
                  </v:textbox>
                </v:shape>
              </v:group>
            </w:pict>
          </mc:Fallback>
        </mc:AlternateContent>
      </w:r>
      <w:r>
        <w:rPr>
          <w:rFonts w:ascii="宋体" w:hAnsi="宋体" w:cs="宋体"/>
        </w:rPr>
        <w:drawing>
          <wp:inline distT="0" distB="0" distL="114300" distR="114300">
            <wp:extent cx="5478145" cy="3453765"/>
            <wp:effectExtent l="0" t="0" r="8255" b="13335"/>
            <wp:docPr id="261" name="图片 49" descr="C:\Users\Administrator\AppData\Roaming\Tencent\Users\353302624\QQ\WinTemp\RichOle\IB9L6KPX2V8Q$T~BD8F$GN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49" descr="C:\Users\Administrator\AppData\Roaming\Tencent\Users\353302624\QQ\WinTemp\RichOle\IB9L6KPX2V8Q$T~BD8F$GN5.png"/>
                    <pic:cNvPicPr>
                      <a:picLocks noChangeAspect="1"/>
                    </pic:cNvPicPr>
                  </pic:nvPicPr>
                  <pic:blipFill>
                    <a:blip r:embed="rId267"/>
                    <a:stretch>
                      <a:fillRect/>
                    </a:stretch>
                  </pic:blipFill>
                  <pic:spPr>
                    <a:xfrm>
                      <a:off x="0" y="0"/>
                      <a:ext cx="5478145" cy="3453765"/>
                    </a:xfrm>
                    <a:prstGeom prst="rect">
                      <a:avLst/>
                    </a:prstGeom>
                    <a:noFill/>
                    <a:ln>
                      <a:noFill/>
                    </a:ln>
                  </pic:spPr>
                </pic:pic>
              </a:graphicData>
            </a:graphic>
          </wp:inline>
        </w:drawing>
      </w:r>
    </w:p>
    <w:p>
      <w:pPr>
        <w:pStyle w:val="11"/>
        <w:rPr>
          <w:rFonts w:ascii="Times New Roman" w:hAnsi="Times New Roman" w:eastAsia="宋体"/>
          <w:szCs w:val="21"/>
        </w:rPr>
      </w:pPr>
      <w:r>
        <w:rPr>
          <w:rFonts w:ascii="Times New Roman" w:hAnsi="Times New Roman" w:eastAsia="宋体"/>
          <w:szCs w:val="21"/>
        </w:rPr>
        <w:t>图</w:t>
      </w:r>
      <w:r>
        <w:rPr>
          <w:rFonts w:ascii="Times New Roman" w:hAnsi="Times New Roman" w:eastAsia="宋体"/>
          <w:szCs w:val="21"/>
          <w:lang w:eastAsia="zh-CN"/>
        </w:rPr>
        <w:t xml:space="preserve">14.3-1 </w:t>
      </w:r>
      <w:r>
        <w:rPr>
          <w:rFonts w:ascii="Times New Roman" w:hAnsi="Times New Roman" w:eastAsia="宋体"/>
          <w:szCs w:val="21"/>
        </w:rPr>
        <w:t xml:space="preserve"> 评价区在国家生态功能区中的定位</w:t>
      </w:r>
    </w:p>
    <w:p>
      <w:pPr>
        <w:spacing w:line="360" w:lineRule="auto"/>
        <w:ind w:firstLine="480" w:firstLineChars="200"/>
        <w:rPr>
          <w:rFonts w:hAnsi="Times New Roman" w:eastAsia="宋体"/>
          <w:szCs w:val="22"/>
          <w:lang w:eastAsia="zh-CN"/>
        </w:rPr>
      </w:pPr>
      <w:r>
        <w:rPr>
          <w:rFonts w:hAnsi="Times New Roman" w:eastAsia="宋体"/>
          <w:szCs w:val="22"/>
          <w:lang w:eastAsia="zh-CN"/>
        </w:rPr>
        <w:t>林产品提供功能区主要是指以提供林产品为主的林区。全国共划分林产品提供功能区5 个，面积10.9万平方公里，占全国国土面积的1.1％，集中分布在小兴安岭、长江中下游丘陵、四川东部丘陵等人工林集中区。</w:t>
      </w:r>
    </w:p>
    <w:p>
      <w:pPr>
        <w:spacing w:line="360" w:lineRule="auto"/>
        <w:ind w:firstLine="480" w:firstLineChars="200"/>
        <w:rPr>
          <w:rFonts w:hAnsi="Times New Roman" w:eastAsia="宋体"/>
          <w:szCs w:val="22"/>
          <w:lang w:eastAsia="zh-CN"/>
        </w:rPr>
      </w:pPr>
      <w:r>
        <w:rPr>
          <w:rFonts w:hAnsi="Times New Roman" w:eastAsia="宋体"/>
          <w:szCs w:val="22"/>
          <w:lang w:eastAsia="zh-CN"/>
        </w:rPr>
        <w:t>该类型区的主要生态问题：林区过量砍伐，蓄积量低，森林质量低，生态系统服务功能退化。该类型区的生态保护主要方向：（1）加强速生丰产林区的建设与管理，合理采伐，实现采育平衡，协调木材生产与生态功能保护的关系。（2）改善农村能源结构，减少对林地的压力。</w:t>
      </w:r>
    </w:p>
    <w:p>
      <w:pPr>
        <w:spacing w:line="360" w:lineRule="auto"/>
        <w:ind w:firstLine="480" w:firstLineChars="200"/>
        <w:rPr>
          <w:rFonts w:hAnsi="Times New Roman" w:eastAsia="宋体"/>
          <w:lang w:eastAsia="zh-CN"/>
        </w:rPr>
      </w:pPr>
      <w:r>
        <w:rPr>
          <w:rFonts w:hAnsi="Times New Roman" w:eastAsia="宋体"/>
          <w:szCs w:val="22"/>
          <w:lang w:eastAsia="zh-CN"/>
        </w:rPr>
        <w:t>本项目为矿山井工开采项目，项目矿区矿权开采范围及所有矿区及配套设施均不在自然保护区范围内，同时针对工程施工及生产过程中造成的影响采取有针对性的防治、补偿、恢复等生态治理措施，编制并通过了水土保持方案和土地复垦方案，进一步降低项目对生态环境的影响，不会对自然生态系统造成明显的不利影响，符合《全国生态功能区划》相关要求。</w:t>
      </w:r>
    </w:p>
    <w:p>
      <w:pPr>
        <w:pStyle w:val="8"/>
        <w:rPr>
          <w:rFonts w:ascii="Times New Roman" w:hAnsi="Times New Roman"/>
        </w:rPr>
      </w:pPr>
      <w:r>
        <w:rPr>
          <w:rFonts w:ascii="Times New Roman" w:hAnsi="Times New Roman"/>
          <w:lang w:eastAsia="zh-CN"/>
        </w:rPr>
        <w:t>14.3.4.2</w:t>
      </w:r>
      <w:r>
        <w:rPr>
          <w:rFonts w:ascii="Times New Roman" w:hAnsi="Times New Roman"/>
        </w:rPr>
        <w:t>与《四川省生态功能区划》符合性分析</w:t>
      </w:r>
    </w:p>
    <w:p>
      <w:pPr>
        <w:spacing w:line="360" w:lineRule="auto"/>
        <w:ind w:firstLine="480" w:firstLineChars="200"/>
        <w:rPr>
          <w:rFonts w:hAnsi="Times New Roman" w:eastAsia="宋体"/>
          <w:lang w:eastAsia="zh-CN"/>
        </w:rPr>
      </w:pPr>
      <w:r>
        <w:rPr>
          <w:rFonts w:hAnsi="Times New Roman" w:eastAsia="宋体"/>
          <w:szCs w:val="22"/>
        </w:rPr>
        <w:t>根据《四川省生态功能区划》，评价区属于Ⅰ四川盆地亚热带湿润气候生态区；Ⅰ-4盆东平行岭谷农林复合生态亚区；Ⅰ-4-1华贝山农林业与土壤保持生态功能区。四川省生态功能区划见下图</w:t>
      </w:r>
      <w:r>
        <w:rPr>
          <w:rFonts w:hAnsi="Times New Roman" w:eastAsia="宋体"/>
          <w:lang w:eastAsia="zh-CN"/>
        </w:rPr>
        <w:t>。</w:t>
      </w:r>
    </w:p>
    <w:p>
      <w:pPr>
        <w:adjustRightInd w:val="0"/>
        <w:snapToGrid w:val="0"/>
        <w:spacing w:line="360" w:lineRule="auto"/>
        <w:jc w:val="center"/>
        <w:rPr>
          <w:rFonts w:hAnsi="Times New Roman" w:eastAsia="宋体"/>
          <w:szCs w:val="28"/>
        </w:rPr>
      </w:pPr>
      <w:r>
        <w:rPr>
          <w:rFonts w:hAnsi="Times New Roman" w:eastAsia="宋体"/>
        </w:rPr>
        <mc:AlternateContent>
          <mc:Choice Requires="wpg">
            <w:drawing>
              <wp:anchor distT="0" distB="0" distL="114300" distR="114300" simplePos="0" relativeHeight="251681792" behindDoc="0" locked="0" layoutInCell="1" allowOverlap="1">
                <wp:simplePos x="0" y="0"/>
                <wp:positionH relativeFrom="column">
                  <wp:posOffset>3385185</wp:posOffset>
                </wp:positionH>
                <wp:positionV relativeFrom="paragraph">
                  <wp:posOffset>1300480</wp:posOffset>
                </wp:positionV>
                <wp:extent cx="834390" cy="323850"/>
                <wp:effectExtent l="0" t="0" r="0" b="13970"/>
                <wp:wrapNone/>
                <wp:docPr id="262" name="组合 262"/>
                <wp:cNvGraphicFramePr/>
                <a:graphic xmlns:a="http://schemas.openxmlformats.org/drawingml/2006/main">
                  <a:graphicData uri="http://schemas.microsoft.com/office/word/2010/wordprocessingGroup">
                    <wpg:wgp>
                      <wpg:cNvGrpSpPr/>
                      <wpg:grpSpPr>
                        <a:xfrm>
                          <a:off x="0" y="0"/>
                          <a:ext cx="834390" cy="323850"/>
                          <a:chOff x="0" y="0"/>
                          <a:chExt cx="834887" cy="324014"/>
                        </a:xfrm>
                        <a:effectLst/>
                      </wpg:grpSpPr>
                      <wps:wsp>
                        <wps:cNvPr id="292" name="椭圆 292"/>
                        <wps:cNvSpPr/>
                        <wps:spPr>
                          <a:xfrm>
                            <a:off x="580445" y="278295"/>
                            <a:ext cx="45719" cy="45719"/>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293" name="文本框 293"/>
                        <wps:cNvSpPr txBox="1"/>
                        <wps:spPr>
                          <a:xfrm>
                            <a:off x="0" y="0"/>
                            <a:ext cx="834887" cy="278296"/>
                          </a:xfrm>
                          <a:prstGeom prst="rect">
                            <a:avLst/>
                          </a:prstGeom>
                          <a:noFill/>
                          <a:ln w="6350">
                            <a:noFill/>
                          </a:ln>
                          <a:effectLst/>
                        </wps:spPr>
                        <wps:txbx>
                          <w:txbxContent>
                            <w:p>
                              <w:pPr>
                                <w:rPr>
                                  <w:b/>
                                  <w:color w:val="FF0000"/>
                                  <w:sz w:val="18"/>
                                  <w:szCs w:val="18"/>
                                </w:rPr>
                              </w:pPr>
                              <w:r>
                                <w:rPr>
                                  <w:rFonts w:hint="eastAsia"/>
                                  <w:b/>
                                  <w:color w:val="FF0000"/>
                                  <w:sz w:val="18"/>
                                  <w:szCs w:val="18"/>
                                </w:rPr>
                                <w:t>项目所在区</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266.55pt;margin-top:102.4pt;height:25.5pt;width:65.7pt;z-index:251681792;mso-width-relative:page;mso-height-relative:page;" coordsize="834887,324014" o:gfxdata="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">
                <o:lock v:ext="edit" aspectratio="f"/>
                <v:shape id="_x0000_s1026" o:spid="_x0000_s1026" o:spt="3" type="#_x0000_t3" style="position:absolute;left:580445;top:278295;height:45719;width:45719;v-text-anchor:middle;" fillcolor="#FF0000" filled="t" stroked="t" coordsize="21600,21600" o:gfxdata="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TWCNavQAA&#10;ANwAAAAPAAAAAAAAAAEAIAAAACIAAABkcnMvZG93bnJldi54bWxQSwECFAAUAAAACACHTuJAMy8F&#10;njsAAAA5AAAAEAAAAAAAAAABACAAAAAMAQAAZHJzL3NoYXBleG1sLnhtbFBLBQYAAAAABgAGAFsB&#10;AAC2AwAAAAA=&#10;">
                  <v:fill on="t" focussize="0,0"/>
                  <v:stroke weight="2pt" color="#FF0000" joinstyle="round"/>
                  <v:imagedata o:title=""/>
                  <o:lock v:ext="edit" aspectratio="f"/>
                </v:shape>
                <v:shape id="_x0000_s1026" o:spid="_x0000_s1026" o:spt="202" type="#_x0000_t202" style="position:absolute;left:0;top:0;height:278296;width:834887;" filled="f" stroked="f" coordsize="21600,21600" o:gfxdata="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w3ZwK/&#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rPr>
                            <w:b/>
                            <w:color w:val="FF0000"/>
                            <w:sz w:val="18"/>
                            <w:szCs w:val="18"/>
                          </w:rPr>
                        </w:pPr>
                        <w:r>
                          <w:rPr>
                            <w:rFonts w:hint="eastAsia"/>
                            <w:b/>
                            <w:color w:val="FF0000"/>
                            <w:sz w:val="18"/>
                            <w:szCs w:val="18"/>
                          </w:rPr>
                          <w:t>项目所在区</w:t>
                        </w:r>
                      </w:p>
                    </w:txbxContent>
                  </v:textbox>
                </v:shape>
              </v:group>
            </w:pict>
          </mc:Fallback>
        </mc:AlternateContent>
      </w:r>
      <w:r>
        <w:rPr>
          <w:rFonts w:hAnsi="Times New Roman" w:eastAsia="宋体"/>
        </w:rPr>
        <w:drawing>
          <wp:inline distT="0" distB="0" distL="114300" distR="114300">
            <wp:extent cx="5572760" cy="3945890"/>
            <wp:effectExtent l="0" t="0" r="8890" b="16510"/>
            <wp:docPr id="263" name="图片 50" descr="C:\Users\Administrator\Desktop\标准规范\生态报告\四川省生态功能分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50" descr="C:\Users\Administrator\Desktop\标准规范\生态报告\四川省生态功能分区.jpg"/>
                    <pic:cNvPicPr>
                      <a:picLocks noChangeAspect="1"/>
                    </pic:cNvPicPr>
                  </pic:nvPicPr>
                  <pic:blipFill>
                    <a:blip r:embed="rId268"/>
                    <a:stretch>
                      <a:fillRect/>
                    </a:stretch>
                  </pic:blipFill>
                  <pic:spPr>
                    <a:xfrm>
                      <a:off x="0" y="0"/>
                      <a:ext cx="5572760" cy="3945890"/>
                    </a:xfrm>
                    <a:prstGeom prst="rect">
                      <a:avLst/>
                    </a:prstGeom>
                    <a:noFill/>
                    <a:ln>
                      <a:noFill/>
                    </a:ln>
                  </pic:spPr>
                </pic:pic>
              </a:graphicData>
            </a:graphic>
          </wp:inline>
        </w:drawing>
      </w:r>
    </w:p>
    <w:p>
      <w:pPr>
        <w:pStyle w:val="11"/>
        <w:rPr>
          <w:rFonts w:ascii="Times New Roman" w:hAnsi="Times New Roman" w:eastAsia="宋体"/>
          <w:szCs w:val="21"/>
        </w:rPr>
      </w:pPr>
      <w:r>
        <w:rPr>
          <w:rFonts w:ascii="Times New Roman" w:hAnsi="Times New Roman" w:eastAsia="宋体"/>
          <w:szCs w:val="21"/>
        </w:rPr>
        <w:t>图</w:t>
      </w:r>
      <w:r>
        <w:rPr>
          <w:rFonts w:ascii="Times New Roman" w:hAnsi="Times New Roman" w:eastAsia="宋体"/>
          <w:szCs w:val="21"/>
          <w:lang w:eastAsia="zh-CN"/>
        </w:rPr>
        <w:t>14.3-2</w:t>
      </w:r>
      <w:r>
        <w:rPr>
          <w:rFonts w:ascii="Times New Roman" w:hAnsi="Times New Roman" w:eastAsia="宋体"/>
          <w:szCs w:val="21"/>
        </w:rPr>
        <w:t xml:space="preserve"> 四川省生态功能区划图</w:t>
      </w:r>
    </w:p>
    <w:p>
      <w:pPr>
        <w:pStyle w:val="80"/>
        <w:snapToGrid w:val="0"/>
        <w:ind w:firstLine="480"/>
        <w:rPr>
          <w:rFonts w:hAnsi="Times New Roman" w:eastAsia="宋体"/>
        </w:rPr>
      </w:pPr>
      <w:r>
        <w:rPr>
          <w:rFonts w:hAnsi="Times New Roman" w:eastAsia="宋体"/>
        </w:rPr>
        <w:t>项目区生态功能分区特征见下表。</w:t>
      </w:r>
    </w:p>
    <w:p>
      <w:pPr>
        <w:spacing w:after="169" w:afterLines="50"/>
        <w:jc w:val="center"/>
        <w:rPr>
          <w:rFonts w:hAnsi="Times New Roman" w:eastAsia="宋体"/>
          <w:b/>
          <w:sz w:val="21"/>
          <w:szCs w:val="21"/>
          <w:lang w:eastAsia="zh-CN"/>
        </w:rPr>
      </w:pPr>
      <w:r>
        <w:rPr>
          <w:rFonts w:hAnsi="Times New Roman" w:eastAsia="宋体"/>
          <w:b/>
          <w:sz w:val="21"/>
          <w:szCs w:val="21"/>
          <w:lang w:eastAsia="zh-CN"/>
        </w:rPr>
        <w:t>表14.3-3 项目区生态功能分区特征表</w:t>
      </w:r>
    </w:p>
    <w:tbl>
      <w:tblPr>
        <w:tblStyle w:val="34"/>
        <w:tblW w:w="96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4"/>
        <w:gridCol w:w="709"/>
        <w:gridCol w:w="850"/>
        <w:gridCol w:w="851"/>
        <w:gridCol w:w="1984"/>
        <w:gridCol w:w="993"/>
        <w:gridCol w:w="850"/>
        <w:gridCol w:w="851"/>
        <w:gridCol w:w="18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keepNext w:val="0"/>
              <w:keepLines w:val="0"/>
              <w:suppressLineNumbers w:val="0"/>
              <w:adjustRightInd w:val="0"/>
              <w:snapToGrid w:val="0"/>
              <w:spacing w:before="0" w:beforeAutospacing="0" w:after="0" w:afterAutospacing="0"/>
              <w:ind w:left="0" w:right="-85"/>
              <w:jc w:val="center"/>
              <w:rPr>
                <w:rFonts w:hint="eastAsia" w:hAnsi="Times New Roman" w:eastAsia="宋体"/>
                <w:b/>
                <w:bCs/>
                <w:spacing w:val="4"/>
                <w:kern w:val="2"/>
                <w:sz w:val="21"/>
                <w:szCs w:val="21"/>
              </w:rPr>
            </w:pPr>
            <w:r>
              <w:rPr>
                <w:rFonts w:hint="eastAsia" w:hAnsi="Times New Roman" w:eastAsia="宋体"/>
                <w:b/>
                <w:bCs/>
                <w:kern w:val="2"/>
                <w:sz w:val="21"/>
                <w:szCs w:val="21"/>
              </w:rPr>
              <w:t>生态区</w:t>
            </w:r>
          </w:p>
        </w:tc>
        <w:tc>
          <w:tcPr>
            <w:tcW w:w="709" w:type="dxa"/>
            <w:vAlign w:val="center"/>
          </w:tcPr>
          <w:p>
            <w:pPr>
              <w:keepNext w:val="0"/>
              <w:keepLines w:val="0"/>
              <w:suppressLineNumbers w:val="0"/>
              <w:adjustRightInd w:val="0"/>
              <w:snapToGrid w:val="0"/>
              <w:spacing w:before="0" w:beforeAutospacing="0" w:after="0" w:afterAutospacing="0"/>
              <w:ind w:left="0" w:right="-85"/>
              <w:jc w:val="center"/>
              <w:rPr>
                <w:rFonts w:hint="eastAsia" w:hAnsi="Times New Roman" w:eastAsia="宋体"/>
                <w:b/>
                <w:bCs/>
                <w:kern w:val="2"/>
                <w:sz w:val="21"/>
                <w:szCs w:val="21"/>
              </w:rPr>
            </w:pPr>
            <w:r>
              <w:rPr>
                <w:rFonts w:hint="eastAsia" w:hAnsi="Times New Roman" w:eastAsia="宋体"/>
                <w:b/>
                <w:bCs/>
                <w:kern w:val="2"/>
                <w:sz w:val="21"/>
                <w:szCs w:val="21"/>
              </w:rPr>
              <w:t>生态亚区</w:t>
            </w:r>
          </w:p>
        </w:tc>
        <w:tc>
          <w:tcPr>
            <w:tcW w:w="850" w:type="dxa"/>
            <w:vAlign w:val="center"/>
          </w:tcPr>
          <w:p>
            <w:pPr>
              <w:keepNext w:val="0"/>
              <w:keepLines w:val="0"/>
              <w:suppressLineNumbers w:val="0"/>
              <w:adjustRightInd w:val="0"/>
              <w:snapToGrid w:val="0"/>
              <w:spacing w:before="0" w:beforeAutospacing="0" w:after="0" w:afterAutospacing="0"/>
              <w:ind w:left="0" w:right="-85"/>
              <w:jc w:val="center"/>
              <w:rPr>
                <w:rFonts w:hint="eastAsia" w:hAnsi="Times New Roman" w:eastAsia="宋体"/>
                <w:b/>
                <w:bCs/>
                <w:kern w:val="2"/>
                <w:sz w:val="21"/>
                <w:szCs w:val="21"/>
              </w:rPr>
            </w:pPr>
            <w:r>
              <w:rPr>
                <w:rFonts w:hint="eastAsia" w:hAnsi="Times New Roman" w:eastAsia="宋体"/>
                <w:b/>
                <w:bCs/>
                <w:kern w:val="2"/>
                <w:sz w:val="21"/>
                <w:szCs w:val="21"/>
              </w:rPr>
              <w:t>生态功能区</w:t>
            </w:r>
          </w:p>
        </w:tc>
        <w:tc>
          <w:tcPr>
            <w:tcW w:w="851" w:type="dxa"/>
            <w:vAlign w:val="center"/>
          </w:tcPr>
          <w:p>
            <w:pPr>
              <w:keepNext w:val="0"/>
              <w:keepLines w:val="0"/>
              <w:suppressLineNumbers w:val="0"/>
              <w:adjustRightInd w:val="0"/>
              <w:snapToGrid w:val="0"/>
              <w:spacing w:before="0" w:beforeAutospacing="0" w:after="0" w:afterAutospacing="0"/>
              <w:ind w:left="0" w:right="-85"/>
              <w:jc w:val="center"/>
              <w:rPr>
                <w:rFonts w:hint="eastAsia" w:hAnsi="Times New Roman" w:eastAsia="宋体"/>
                <w:b/>
                <w:bCs/>
                <w:spacing w:val="4"/>
                <w:kern w:val="2"/>
                <w:sz w:val="21"/>
                <w:szCs w:val="21"/>
              </w:rPr>
            </w:pPr>
            <w:r>
              <w:rPr>
                <w:rFonts w:hint="eastAsia" w:hAnsi="Times New Roman" w:eastAsia="宋体"/>
                <w:b/>
                <w:bCs/>
                <w:spacing w:val="4"/>
                <w:kern w:val="2"/>
                <w:sz w:val="21"/>
                <w:szCs w:val="21"/>
              </w:rPr>
              <w:t>所在区域与面积</w:t>
            </w:r>
          </w:p>
        </w:tc>
        <w:tc>
          <w:tcPr>
            <w:tcW w:w="1984" w:type="dxa"/>
            <w:vAlign w:val="center"/>
          </w:tcPr>
          <w:p>
            <w:pPr>
              <w:keepNext w:val="0"/>
              <w:keepLines w:val="0"/>
              <w:suppressLineNumbers w:val="0"/>
              <w:adjustRightInd w:val="0"/>
              <w:snapToGrid w:val="0"/>
              <w:spacing w:before="0" w:beforeAutospacing="0" w:after="0" w:afterAutospacing="0"/>
              <w:ind w:left="0" w:right="-85"/>
              <w:jc w:val="center"/>
              <w:rPr>
                <w:rFonts w:hint="eastAsia" w:hAnsi="Times New Roman" w:eastAsia="宋体"/>
                <w:b/>
                <w:bCs/>
                <w:kern w:val="2"/>
                <w:sz w:val="21"/>
                <w:szCs w:val="21"/>
              </w:rPr>
            </w:pPr>
            <w:r>
              <w:rPr>
                <w:rFonts w:hint="eastAsia" w:hAnsi="Times New Roman" w:eastAsia="宋体"/>
                <w:b/>
                <w:bCs/>
                <w:kern w:val="2"/>
                <w:sz w:val="21"/>
                <w:szCs w:val="21"/>
              </w:rPr>
              <w:t>主要生态特征</w:t>
            </w:r>
          </w:p>
        </w:tc>
        <w:tc>
          <w:tcPr>
            <w:tcW w:w="993" w:type="dxa"/>
            <w:vAlign w:val="center"/>
          </w:tcPr>
          <w:p>
            <w:pPr>
              <w:keepNext w:val="0"/>
              <w:keepLines w:val="0"/>
              <w:suppressLineNumbers w:val="0"/>
              <w:adjustRightInd w:val="0"/>
              <w:snapToGrid w:val="0"/>
              <w:spacing w:before="0" w:beforeAutospacing="0" w:after="0" w:afterAutospacing="0"/>
              <w:ind w:left="0" w:right="-85"/>
              <w:jc w:val="center"/>
              <w:rPr>
                <w:rFonts w:hint="eastAsia" w:hAnsi="Times New Roman" w:eastAsia="宋体"/>
                <w:b/>
                <w:bCs/>
                <w:kern w:val="2"/>
                <w:sz w:val="21"/>
                <w:szCs w:val="21"/>
              </w:rPr>
            </w:pPr>
            <w:r>
              <w:rPr>
                <w:rFonts w:hint="eastAsia" w:hAnsi="Times New Roman" w:eastAsia="宋体"/>
                <w:b/>
                <w:bCs/>
                <w:kern w:val="2"/>
                <w:sz w:val="21"/>
                <w:szCs w:val="21"/>
              </w:rPr>
              <w:t>主要生态问题</w:t>
            </w:r>
          </w:p>
        </w:tc>
        <w:tc>
          <w:tcPr>
            <w:tcW w:w="850" w:type="dxa"/>
            <w:vAlign w:val="center"/>
          </w:tcPr>
          <w:p>
            <w:pPr>
              <w:keepNext w:val="0"/>
              <w:keepLines w:val="0"/>
              <w:suppressLineNumbers w:val="0"/>
              <w:adjustRightInd w:val="0"/>
              <w:snapToGrid w:val="0"/>
              <w:spacing w:before="0" w:beforeAutospacing="0" w:after="0" w:afterAutospacing="0"/>
              <w:ind w:left="0" w:right="-85"/>
              <w:jc w:val="center"/>
              <w:rPr>
                <w:rFonts w:hint="eastAsia" w:hAnsi="Times New Roman" w:eastAsia="宋体"/>
                <w:b/>
                <w:bCs/>
                <w:kern w:val="2"/>
                <w:sz w:val="21"/>
                <w:szCs w:val="21"/>
              </w:rPr>
            </w:pPr>
            <w:r>
              <w:rPr>
                <w:rFonts w:hint="eastAsia" w:hAnsi="Times New Roman" w:eastAsia="宋体"/>
                <w:b/>
                <w:bCs/>
                <w:kern w:val="2"/>
                <w:sz w:val="21"/>
                <w:szCs w:val="21"/>
              </w:rPr>
              <w:t>生态环境敏感性</w:t>
            </w:r>
          </w:p>
        </w:tc>
        <w:tc>
          <w:tcPr>
            <w:tcW w:w="851" w:type="dxa"/>
            <w:vAlign w:val="center"/>
          </w:tcPr>
          <w:p>
            <w:pPr>
              <w:keepNext w:val="0"/>
              <w:keepLines w:val="0"/>
              <w:suppressLineNumbers w:val="0"/>
              <w:adjustRightInd w:val="0"/>
              <w:snapToGrid w:val="0"/>
              <w:spacing w:before="0" w:beforeAutospacing="0" w:after="0" w:afterAutospacing="0"/>
              <w:ind w:left="-85" w:right="-85"/>
              <w:jc w:val="center"/>
              <w:rPr>
                <w:rFonts w:hint="eastAsia" w:hAnsi="Times New Roman" w:eastAsia="宋体"/>
                <w:b/>
                <w:bCs/>
                <w:spacing w:val="4"/>
                <w:kern w:val="2"/>
                <w:sz w:val="21"/>
                <w:szCs w:val="21"/>
              </w:rPr>
            </w:pPr>
            <w:r>
              <w:rPr>
                <w:rFonts w:hint="eastAsia" w:hAnsi="Times New Roman" w:eastAsia="宋体"/>
                <w:b/>
                <w:bCs/>
                <w:spacing w:val="4"/>
                <w:kern w:val="2"/>
                <w:sz w:val="21"/>
                <w:szCs w:val="21"/>
              </w:rPr>
              <w:t>主要生态服务功能</w:t>
            </w:r>
          </w:p>
        </w:tc>
        <w:tc>
          <w:tcPr>
            <w:tcW w:w="1836" w:type="dxa"/>
            <w:vAlign w:val="center"/>
          </w:tcPr>
          <w:p>
            <w:pPr>
              <w:keepNext w:val="0"/>
              <w:keepLines w:val="0"/>
              <w:suppressLineNumbers w:val="0"/>
              <w:adjustRightInd w:val="0"/>
              <w:snapToGrid w:val="0"/>
              <w:spacing w:before="0" w:beforeAutospacing="0" w:after="0" w:afterAutospacing="0"/>
              <w:ind w:left="-85" w:right="-85"/>
              <w:jc w:val="center"/>
              <w:rPr>
                <w:rFonts w:hint="eastAsia" w:hAnsi="Times New Roman" w:eastAsia="宋体"/>
                <w:b/>
                <w:bCs/>
                <w:kern w:val="2"/>
                <w:sz w:val="21"/>
                <w:szCs w:val="21"/>
              </w:rPr>
            </w:pPr>
            <w:r>
              <w:rPr>
                <w:rFonts w:hint="eastAsia" w:hAnsi="Times New Roman" w:eastAsia="宋体"/>
                <w:b/>
                <w:bCs/>
                <w:kern w:val="2"/>
                <w:sz w:val="21"/>
                <w:szCs w:val="21"/>
              </w:rPr>
              <w:t>生态保护与发展方向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keepNext w:val="0"/>
              <w:keepLines w:val="0"/>
              <w:suppressLineNumbers w:val="0"/>
              <w:adjustRightInd w:val="0"/>
              <w:snapToGrid w:val="0"/>
              <w:spacing w:before="0" w:beforeAutospacing="0" w:after="0" w:afterAutospacing="0"/>
              <w:ind w:left="-85" w:right="-85"/>
              <w:jc w:val="center"/>
              <w:rPr>
                <w:rFonts w:hint="eastAsia" w:hAnsi="Times New Roman" w:eastAsia="宋体"/>
                <w:kern w:val="2"/>
                <w:sz w:val="21"/>
                <w:szCs w:val="21"/>
              </w:rPr>
            </w:pPr>
            <w:r>
              <w:rPr>
                <w:rFonts w:hint="eastAsia" w:hAnsi="Times New Roman" w:eastAsia="宋体"/>
                <w:kern w:val="2"/>
                <w:sz w:val="21"/>
                <w:szCs w:val="21"/>
              </w:rPr>
              <w:t>Ⅰ四川盆地亚热带湿润气候生态区</w:t>
            </w:r>
          </w:p>
          <w:p>
            <w:pPr>
              <w:keepNext w:val="0"/>
              <w:keepLines w:val="0"/>
              <w:suppressLineNumbers w:val="0"/>
              <w:adjustRightInd w:val="0"/>
              <w:snapToGrid w:val="0"/>
              <w:spacing w:before="0" w:beforeAutospacing="0" w:after="0" w:afterAutospacing="0"/>
              <w:ind w:left="-85" w:right="-85"/>
              <w:jc w:val="center"/>
              <w:rPr>
                <w:rFonts w:hint="eastAsia" w:hAnsi="Times New Roman" w:eastAsia="宋体"/>
                <w:kern w:val="2"/>
                <w:sz w:val="21"/>
                <w:szCs w:val="21"/>
              </w:rPr>
            </w:pPr>
          </w:p>
        </w:tc>
        <w:tc>
          <w:tcPr>
            <w:tcW w:w="709" w:type="dxa"/>
            <w:vAlign w:val="center"/>
          </w:tcPr>
          <w:p>
            <w:pPr>
              <w:keepNext w:val="0"/>
              <w:keepLines w:val="0"/>
              <w:suppressLineNumbers w:val="0"/>
              <w:adjustRightInd w:val="0"/>
              <w:snapToGrid w:val="0"/>
              <w:spacing w:before="0" w:beforeAutospacing="0" w:after="0" w:afterAutospacing="0"/>
              <w:ind w:left="-85" w:right="-85"/>
              <w:jc w:val="center"/>
              <w:rPr>
                <w:rFonts w:hint="eastAsia" w:hAnsi="Times New Roman" w:eastAsia="宋体"/>
                <w:kern w:val="2"/>
                <w:sz w:val="21"/>
                <w:szCs w:val="21"/>
              </w:rPr>
            </w:pPr>
            <w:r>
              <w:rPr>
                <w:rFonts w:hint="eastAsia" w:hAnsi="Times New Roman" w:eastAsia="宋体"/>
                <w:kern w:val="2"/>
                <w:sz w:val="21"/>
                <w:szCs w:val="21"/>
              </w:rPr>
              <w:t>Ⅰ-4盆东平行岭谷农林复合生态亚区</w:t>
            </w:r>
          </w:p>
          <w:p>
            <w:pPr>
              <w:keepNext w:val="0"/>
              <w:keepLines w:val="0"/>
              <w:suppressLineNumbers w:val="0"/>
              <w:adjustRightInd w:val="0"/>
              <w:snapToGrid w:val="0"/>
              <w:spacing w:before="0" w:beforeAutospacing="0" w:after="0" w:afterAutospacing="0"/>
              <w:ind w:left="-85" w:right="-85"/>
              <w:jc w:val="center"/>
              <w:rPr>
                <w:rFonts w:hint="eastAsia" w:hAnsi="Times New Roman" w:eastAsia="宋体"/>
                <w:kern w:val="2"/>
                <w:sz w:val="21"/>
                <w:szCs w:val="21"/>
              </w:rPr>
            </w:pPr>
          </w:p>
        </w:tc>
        <w:tc>
          <w:tcPr>
            <w:tcW w:w="850" w:type="dxa"/>
            <w:vAlign w:val="center"/>
          </w:tcPr>
          <w:p>
            <w:pPr>
              <w:keepNext w:val="0"/>
              <w:keepLines w:val="0"/>
              <w:suppressLineNumbers w:val="0"/>
              <w:adjustRightInd w:val="0"/>
              <w:snapToGrid w:val="0"/>
              <w:spacing w:before="0" w:beforeAutospacing="0" w:after="0" w:afterAutospacing="0"/>
              <w:ind w:left="-85" w:right="-85"/>
              <w:jc w:val="center"/>
              <w:rPr>
                <w:rFonts w:hint="eastAsia" w:hAnsi="Times New Roman" w:eastAsia="宋体"/>
                <w:kern w:val="2"/>
                <w:sz w:val="21"/>
                <w:szCs w:val="21"/>
              </w:rPr>
            </w:pPr>
            <w:r>
              <w:rPr>
                <w:rFonts w:hint="eastAsia" w:hAnsi="Times New Roman" w:eastAsia="宋体"/>
                <w:kern w:val="2"/>
                <w:sz w:val="21"/>
                <w:szCs w:val="21"/>
              </w:rPr>
              <w:t>Ⅰ-4-1</w:t>
            </w:r>
            <w:r>
              <w:rPr>
                <w:rFonts w:hint="eastAsia" w:hAnsi="Times New Roman" w:eastAsia="宋体"/>
                <w:kern w:val="2"/>
                <w:sz w:val="21"/>
                <w:szCs w:val="21"/>
                <w:lang w:val="en-US" w:eastAsia="zh-CN"/>
              </w:rPr>
              <w:t>三峡库区华蓥山</w:t>
            </w:r>
            <w:r>
              <w:rPr>
                <w:rFonts w:hint="eastAsia" w:hAnsi="Times New Roman" w:eastAsia="宋体"/>
                <w:kern w:val="2"/>
                <w:sz w:val="21"/>
                <w:szCs w:val="21"/>
              </w:rPr>
              <w:t>农林与土壤保持生态功能区</w:t>
            </w:r>
          </w:p>
          <w:p>
            <w:pPr>
              <w:keepNext w:val="0"/>
              <w:keepLines w:val="0"/>
              <w:suppressLineNumbers w:val="0"/>
              <w:adjustRightInd w:val="0"/>
              <w:snapToGrid w:val="0"/>
              <w:spacing w:before="0" w:beforeAutospacing="0" w:after="0" w:afterAutospacing="0"/>
              <w:ind w:left="-85" w:right="-85"/>
              <w:jc w:val="center"/>
              <w:rPr>
                <w:rFonts w:hint="eastAsia" w:hAnsi="Times New Roman" w:eastAsia="宋体"/>
                <w:kern w:val="2"/>
                <w:sz w:val="21"/>
                <w:szCs w:val="21"/>
              </w:rPr>
            </w:pPr>
          </w:p>
        </w:tc>
        <w:tc>
          <w:tcPr>
            <w:tcW w:w="851" w:type="dxa"/>
            <w:vAlign w:val="center"/>
          </w:tcPr>
          <w:p>
            <w:pPr>
              <w:keepNext w:val="0"/>
              <w:keepLines w:val="0"/>
              <w:suppressLineNumbers w:val="0"/>
              <w:adjustRightInd w:val="0"/>
              <w:snapToGrid w:val="0"/>
              <w:spacing w:before="0" w:beforeAutospacing="0" w:after="0" w:afterAutospacing="0"/>
              <w:ind w:left="-85" w:right="-85"/>
              <w:jc w:val="center"/>
              <w:rPr>
                <w:rFonts w:hint="eastAsia" w:hAnsi="Times New Roman" w:eastAsia="宋体"/>
                <w:kern w:val="2"/>
                <w:sz w:val="21"/>
                <w:szCs w:val="21"/>
              </w:rPr>
            </w:pPr>
            <w:r>
              <w:rPr>
                <w:rFonts w:hint="eastAsia" w:hAnsi="Times New Roman" w:eastAsia="宋体"/>
                <w:kern w:val="2"/>
                <w:sz w:val="21"/>
                <w:szCs w:val="21"/>
              </w:rPr>
              <w:t>在四川东部边缘，涉及达州、广安市的9个县级行政区。面积0.91万平方公里</w:t>
            </w:r>
          </w:p>
          <w:p>
            <w:pPr>
              <w:keepNext w:val="0"/>
              <w:keepLines w:val="0"/>
              <w:suppressLineNumbers w:val="0"/>
              <w:adjustRightInd w:val="0"/>
              <w:snapToGrid w:val="0"/>
              <w:spacing w:before="0" w:beforeAutospacing="0" w:after="0" w:afterAutospacing="0"/>
              <w:ind w:left="-85" w:right="-85"/>
              <w:jc w:val="center"/>
              <w:rPr>
                <w:rFonts w:hint="eastAsia" w:hAnsi="Times New Roman" w:eastAsia="宋体"/>
                <w:kern w:val="2"/>
                <w:sz w:val="21"/>
                <w:szCs w:val="21"/>
              </w:rPr>
            </w:pPr>
          </w:p>
        </w:tc>
        <w:tc>
          <w:tcPr>
            <w:tcW w:w="1984" w:type="dxa"/>
            <w:vAlign w:val="center"/>
          </w:tcPr>
          <w:p>
            <w:pPr>
              <w:keepNext w:val="0"/>
              <w:keepLines w:val="0"/>
              <w:suppressLineNumbers w:val="0"/>
              <w:adjustRightInd w:val="0"/>
              <w:snapToGrid w:val="0"/>
              <w:spacing w:before="0" w:beforeAutospacing="0" w:after="0" w:afterAutospacing="0"/>
              <w:ind w:left="-85" w:right="-85"/>
              <w:jc w:val="center"/>
              <w:rPr>
                <w:rFonts w:hint="eastAsia" w:hAnsi="Times New Roman" w:eastAsia="宋体"/>
                <w:kern w:val="2"/>
                <w:sz w:val="21"/>
                <w:szCs w:val="21"/>
              </w:rPr>
            </w:pPr>
            <w:r>
              <w:rPr>
                <w:rFonts w:hint="eastAsia" w:hAnsi="Times New Roman" w:eastAsia="宋体"/>
                <w:kern w:val="2"/>
                <w:sz w:val="21"/>
                <w:szCs w:val="21"/>
              </w:rPr>
              <w:t>低山丘陵地貌，并有岩溶地貌发育；山体南北走向，呈平行岭谷特征。全省海拔最低点就在本区邻水县御临河出境处，海拔186.77米。年平均气温为13.4 ~16.9 ℃，≥10℃积温5 100 ~5400 ℃，平均年降水量为1200 ~ 1 538毫米。河流主要属渠江水系和长江干流水系。森林植被主要由马尾松林、柏木林和竹林组成。生物多样性及矿产资源较丰富</w:t>
            </w:r>
          </w:p>
        </w:tc>
        <w:tc>
          <w:tcPr>
            <w:tcW w:w="993" w:type="dxa"/>
            <w:vAlign w:val="center"/>
          </w:tcPr>
          <w:p>
            <w:pPr>
              <w:keepNext w:val="0"/>
              <w:keepLines w:val="0"/>
              <w:suppressLineNumbers w:val="0"/>
              <w:adjustRightInd w:val="0"/>
              <w:snapToGrid w:val="0"/>
              <w:spacing w:before="0" w:beforeAutospacing="0" w:after="0" w:afterAutospacing="0"/>
              <w:ind w:left="-85" w:right="-85"/>
              <w:jc w:val="center"/>
              <w:rPr>
                <w:rFonts w:hint="eastAsia" w:hAnsi="Times New Roman" w:eastAsia="宋体"/>
                <w:kern w:val="2"/>
                <w:sz w:val="21"/>
                <w:szCs w:val="21"/>
              </w:rPr>
            </w:pPr>
            <w:r>
              <w:rPr>
                <w:rFonts w:hint="eastAsia" w:hAnsi="Times New Roman" w:eastAsia="宋体"/>
                <w:kern w:val="2"/>
                <w:sz w:val="21"/>
                <w:szCs w:val="21"/>
              </w:rPr>
              <w:t>多洪灾，滑坡崩塌较强烈发育，水土流失严重，局部地区出现石漠化，城镇及农村面源污染呈加重趋势</w:t>
            </w:r>
          </w:p>
        </w:tc>
        <w:tc>
          <w:tcPr>
            <w:tcW w:w="850" w:type="dxa"/>
            <w:vAlign w:val="center"/>
          </w:tcPr>
          <w:p>
            <w:pPr>
              <w:keepNext w:val="0"/>
              <w:keepLines w:val="0"/>
              <w:suppressLineNumbers w:val="0"/>
              <w:adjustRightInd w:val="0"/>
              <w:snapToGrid w:val="0"/>
              <w:spacing w:before="0" w:beforeAutospacing="0" w:after="0" w:afterAutospacing="0"/>
              <w:ind w:left="-85" w:right="-85"/>
              <w:jc w:val="center"/>
              <w:rPr>
                <w:rFonts w:hint="eastAsia" w:hAnsi="Times New Roman" w:eastAsia="宋体"/>
                <w:kern w:val="2"/>
                <w:sz w:val="21"/>
                <w:szCs w:val="21"/>
              </w:rPr>
            </w:pPr>
            <w:r>
              <w:rPr>
                <w:rFonts w:hint="eastAsia" w:hAnsi="Times New Roman" w:eastAsia="宋体"/>
                <w:kern w:val="2"/>
                <w:sz w:val="21"/>
                <w:szCs w:val="21"/>
              </w:rPr>
              <w:t>土壤侵蚀高度敏感，野生动物生境高度敏感，水环境污染中度敏感，酸雨轻度敏感，石漠化中度敏感</w:t>
            </w:r>
          </w:p>
        </w:tc>
        <w:tc>
          <w:tcPr>
            <w:tcW w:w="851" w:type="dxa"/>
            <w:vAlign w:val="center"/>
          </w:tcPr>
          <w:p>
            <w:pPr>
              <w:keepNext w:val="0"/>
              <w:keepLines w:val="0"/>
              <w:suppressLineNumbers w:val="0"/>
              <w:adjustRightInd w:val="0"/>
              <w:snapToGrid w:val="0"/>
              <w:spacing w:before="0" w:beforeAutospacing="0" w:after="0" w:afterAutospacing="0"/>
              <w:ind w:left="-85" w:right="-85"/>
              <w:jc w:val="center"/>
              <w:rPr>
                <w:rFonts w:hint="eastAsia" w:hAnsi="Times New Roman" w:eastAsia="宋体"/>
                <w:kern w:val="2"/>
                <w:sz w:val="21"/>
                <w:szCs w:val="21"/>
              </w:rPr>
            </w:pPr>
            <w:r>
              <w:rPr>
                <w:rFonts w:hint="eastAsia" w:hAnsi="Times New Roman" w:eastAsia="宋体"/>
                <w:kern w:val="2"/>
                <w:sz w:val="21"/>
                <w:szCs w:val="21"/>
              </w:rPr>
              <w:t>农林</w:t>
            </w:r>
            <w:r>
              <w:rPr>
                <w:rFonts w:hint="eastAsia" w:hAnsi="Times New Roman" w:eastAsia="宋体"/>
                <w:kern w:val="2"/>
                <w:sz w:val="21"/>
                <w:szCs w:val="21"/>
                <w:lang w:val="en-US" w:eastAsia="zh-CN"/>
              </w:rPr>
              <w:t>业发展</w:t>
            </w:r>
            <w:r>
              <w:rPr>
                <w:rFonts w:hint="eastAsia" w:hAnsi="Times New Roman" w:eastAsia="宋体"/>
                <w:kern w:val="2"/>
                <w:sz w:val="21"/>
                <w:szCs w:val="21"/>
              </w:rPr>
              <w:t>，土壤保持功能，生物多样性保护功能</w:t>
            </w:r>
          </w:p>
        </w:tc>
        <w:tc>
          <w:tcPr>
            <w:tcW w:w="1836" w:type="dxa"/>
            <w:vAlign w:val="center"/>
          </w:tcPr>
          <w:p>
            <w:pPr>
              <w:keepNext w:val="0"/>
              <w:keepLines w:val="0"/>
              <w:suppressLineNumbers w:val="0"/>
              <w:adjustRightInd w:val="0"/>
              <w:snapToGrid w:val="0"/>
              <w:spacing w:before="0" w:beforeAutospacing="0" w:after="0" w:afterAutospacing="0"/>
              <w:ind w:left="-85" w:right="-85"/>
              <w:jc w:val="center"/>
              <w:rPr>
                <w:rFonts w:hint="eastAsia" w:hAnsi="Times New Roman" w:eastAsia="宋体"/>
                <w:kern w:val="2"/>
                <w:sz w:val="21"/>
                <w:szCs w:val="21"/>
              </w:rPr>
            </w:pPr>
            <w:r>
              <w:rPr>
                <w:rFonts w:hint="eastAsia" w:hAnsi="Times New Roman" w:eastAsia="宋体"/>
                <w:kern w:val="2"/>
                <w:sz w:val="21"/>
                <w:szCs w:val="21"/>
              </w:rPr>
              <w:t>发挥区域中心城市的辐射作用，防治城乡环境污染。保护森林植被和生物多样性，巩固长江上游防护林建设、天然林保护和退耕还林成果，提高森林覆盖率，减轻水土流失，防止喀斯特地貌区石漠化。保护耕地。因地制宜发展沼气等清洁能源。合理开发矿产资源、自然和人文景观资源，培育和发展特色优势产业集群，建设天然气能源、化工基地，严格防治环境污染</w:t>
            </w:r>
          </w:p>
        </w:tc>
      </w:tr>
    </w:tbl>
    <w:p>
      <w:pPr>
        <w:spacing w:line="360" w:lineRule="auto"/>
        <w:ind w:firstLine="480" w:firstLineChars="200"/>
        <w:rPr>
          <w:rFonts w:hAnsi="Times New Roman" w:eastAsia="宋体"/>
          <w:lang w:eastAsia="zh-CN"/>
        </w:rPr>
      </w:pPr>
      <w:r>
        <w:rPr>
          <w:rFonts w:hint="eastAsia" w:hAnsi="Times New Roman" w:eastAsia="宋体"/>
          <w:lang w:eastAsia="zh-CN"/>
        </w:rPr>
        <w:t>七里峡</w:t>
      </w:r>
      <w:r>
        <w:rPr>
          <w:rFonts w:hAnsi="Times New Roman" w:eastAsia="宋体"/>
        </w:rPr>
        <w:t>煤矿矿区范围无自然保护区、风景名胜区、森林公园等，矿井按照环评、水保、矿山生态治理、土地复垦等相关要求进行生态治理后，不会使生态环境和自然景观遭到严重破坏，矿井建设符合《四川省生态功能区划》要求。</w:t>
      </w:r>
    </w:p>
    <w:p>
      <w:pPr>
        <w:pStyle w:val="5"/>
        <w:rPr>
          <w:rFonts w:ascii="Times New Roman" w:hAnsi="Times New Roman"/>
          <w:lang w:eastAsia="zh-CN"/>
        </w:rPr>
      </w:pPr>
      <w:bookmarkStart w:id="767" w:name="_Toc167095370"/>
      <w:bookmarkStart w:id="768" w:name="_Toc163749231"/>
      <w:bookmarkStart w:id="769" w:name="_Toc23351"/>
      <w:r>
        <w:rPr>
          <w:rFonts w:ascii="Times New Roman" w:hAnsi="Times New Roman"/>
          <w:lang w:eastAsia="zh-CN"/>
        </w:rPr>
        <w:t>14.4 项目建设与矿区规划环评符合性分析</w:t>
      </w:r>
      <w:bookmarkEnd w:id="767"/>
      <w:bookmarkEnd w:id="768"/>
      <w:bookmarkEnd w:id="769"/>
    </w:p>
    <w:p>
      <w:pPr>
        <w:pStyle w:val="6"/>
        <w:rPr>
          <w:szCs w:val="22"/>
          <w:lang w:eastAsia="zh-CN"/>
        </w:rPr>
      </w:pPr>
      <w:bookmarkStart w:id="770" w:name="_Toc167095371"/>
      <w:bookmarkStart w:id="771" w:name="_Toc163812747"/>
      <w:r>
        <w:rPr>
          <w:rFonts w:hint="eastAsia"/>
          <w:szCs w:val="22"/>
          <w:lang w:eastAsia="zh-CN"/>
        </w:rPr>
        <w:t>14.4.1</w:t>
      </w:r>
      <w:r>
        <w:rPr>
          <w:szCs w:val="22"/>
          <w:lang w:eastAsia="zh-CN"/>
        </w:rPr>
        <w:t>与《四川省达州市宣汉县煤炭矿区总体规划》符合性分析</w:t>
      </w:r>
      <w:bookmarkEnd w:id="770"/>
      <w:bookmarkEnd w:id="771"/>
      <w:r>
        <w:rPr>
          <w:szCs w:val="22"/>
          <w:lang w:eastAsia="zh-CN"/>
        </w:rPr>
        <w:t xml:space="preserve"> </w:t>
      </w:r>
    </w:p>
    <w:p>
      <w:pPr>
        <w:spacing w:line="360" w:lineRule="auto"/>
        <w:ind w:firstLine="480" w:firstLineChars="200"/>
        <w:jc w:val="left"/>
        <w:rPr>
          <w:rFonts w:hAnsi="Times New Roman" w:eastAsia="宋体"/>
          <w:szCs w:val="24"/>
        </w:rPr>
      </w:pPr>
      <w:r>
        <w:rPr>
          <w:rFonts w:hAnsi="Times New Roman" w:eastAsia="宋体"/>
          <w:bCs/>
          <w:kern w:val="2"/>
          <w:szCs w:val="24"/>
          <w:lang w:eastAsia="zh-CN"/>
        </w:rPr>
        <w:t>根据《四川省达州市宣汉县煤炭矿区总体规划》，宣汉县</w:t>
      </w:r>
      <w:r>
        <w:rPr>
          <w:rFonts w:hint="eastAsia" w:hAnsi="Times New Roman" w:eastAsia="宋体"/>
          <w:bCs/>
          <w:kern w:val="2"/>
          <w:szCs w:val="24"/>
          <w:lang w:eastAsia="zh-CN"/>
        </w:rPr>
        <w:t>煤炭矿区</w:t>
      </w:r>
      <w:r>
        <w:rPr>
          <w:rFonts w:hAnsi="Times New Roman" w:eastAsia="宋体"/>
          <w:bCs/>
          <w:kern w:val="2"/>
          <w:szCs w:val="24"/>
          <w:lang w:eastAsia="zh-CN"/>
        </w:rPr>
        <w:t>由峨层山、赫天祠和大巴山三个片</w:t>
      </w:r>
      <w:r>
        <w:rPr>
          <w:rFonts w:hint="eastAsia" w:hAnsi="Times New Roman" w:eastAsia="宋体"/>
          <w:bCs/>
          <w:kern w:val="2"/>
          <w:szCs w:val="24"/>
          <w:lang w:eastAsia="zh-CN"/>
        </w:rPr>
        <w:t>区</w:t>
      </w:r>
      <w:r>
        <w:rPr>
          <w:rFonts w:hAnsi="Times New Roman" w:eastAsia="宋体"/>
          <w:bCs/>
          <w:kern w:val="2"/>
          <w:szCs w:val="24"/>
          <w:lang w:eastAsia="zh-CN"/>
        </w:rPr>
        <w:t>组成，其中境内峨层山片区设置有4个采矿权，分别为大路煤矿、炉坪煤矿、福利煤矿和七里峡煤</w:t>
      </w:r>
      <w:r>
        <w:rPr>
          <w:rFonts w:hAnsi="Times New Roman" w:eastAsia="宋体"/>
          <w:szCs w:val="24"/>
        </w:rPr>
        <w:t>矿，规划生产能力为</w:t>
      </w:r>
      <w:r>
        <w:rPr>
          <w:rFonts w:hAnsi="Times New Roman" w:eastAsia="宋体"/>
          <w:spacing w:val="-50"/>
          <w:szCs w:val="24"/>
        </w:rPr>
        <w:t xml:space="preserve"> </w:t>
      </w:r>
      <w:r>
        <w:rPr>
          <w:rFonts w:hAnsi="Times New Roman" w:eastAsia="宋体"/>
          <w:szCs w:val="24"/>
        </w:rPr>
        <w:t>150万</w:t>
      </w:r>
      <w:r>
        <w:rPr>
          <w:rFonts w:hAnsi="Times New Roman" w:eastAsia="宋体"/>
          <w:spacing w:val="-51"/>
          <w:szCs w:val="24"/>
        </w:rPr>
        <w:t xml:space="preserve"> </w:t>
      </w:r>
      <w:r>
        <w:rPr>
          <w:rFonts w:hAnsi="Times New Roman" w:eastAsia="宋体"/>
          <w:spacing w:val="-1"/>
          <w:szCs w:val="24"/>
        </w:rPr>
        <w:t>t/a；赫天祠片区设置有</w:t>
      </w:r>
      <w:r>
        <w:rPr>
          <w:rFonts w:hAnsi="Times New Roman" w:eastAsia="宋体"/>
          <w:spacing w:val="-51"/>
          <w:szCs w:val="24"/>
        </w:rPr>
        <w:t xml:space="preserve"> </w:t>
      </w:r>
      <w:r>
        <w:rPr>
          <w:rFonts w:hAnsi="Times New Roman" w:eastAsia="宋体"/>
          <w:szCs w:val="24"/>
        </w:rPr>
        <w:t>4个采矿权，分别为上峡煤矿、福禄煤矿、楠木沟煤矿和彭河煤矿，规划生产能力为</w:t>
      </w:r>
      <w:r>
        <w:rPr>
          <w:rFonts w:hAnsi="Times New Roman" w:eastAsia="宋体"/>
          <w:spacing w:val="-50"/>
          <w:szCs w:val="24"/>
        </w:rPr>
        <w:t xml:space="preserve"> </w:t>
      </w:r>
      <w:r>
        <w:rPr>
          <w:rFonts w:hAnsi="Times New Roman" w:eastAsia="宋体"/>
          <w:szCs w:val="24"/>
        </w:rPr>
        <w:t>165万</w:t>
      </w:r>
      <w:r>
        <w:rPr>
          <w:rFonts w:hAnsi="Times New Roman" w:eastAsia="宋体"/>
          <w:spacing w:val="-51"/>
          <w:szCs w:val="24"/>
        </w:rPr>
        <w:t xml:space="preserve"> </w:t>
      </w:r>
      <w:r>
        <w:rPr>
          <w:rFonts w:hAnsi="Times New Roman" w:eastAsia="宋体"/>
          <w:spacing w:val="-1"/>
          <w:szCs w:val="24"/>
        </w:rPr>
        <w:t>t/a；大巴山片区设置有</w:t>
      </w:r>
      <w:r>
        <w:rPr>
          <w:rFonts w:hAnsi="Times New Roman" w:eastAsia="宋体"/>
          <w:spacing w:val="-51"/>
          <w:szCs w:val="24"/>
        </w:rPr>
        <w:t xml:space="preserve"> </w:t>
      </w:r>
      <w:r>
        <w:rPr>
          <w:rFonts w:hAnsi="Times New Roman" w:eastAsia="宋体"/>
          <w:szCs w:val="24"/>
        </w:rPr>
        <w:t>5个</w:t>
      </w:r>
      <w:r>
        <w:rPr>
          <w:rFonts w:hAnsi="Times New Roman" w:eastAsia="宋体"/>
          <w:spacing w:val="1"/>
          <w:szCs w:val="24"/>
        </w:rPr>
        <w:t>采矿权，分别为吉祥煤矿、勇平煤矿、漆碑乡煤矿、金花煤矿和富兴煤矿，规划生产</w:t>
      </w:r>
      <w:r>
        <w:rPr>
          <w:rFonts w:hAnsi="Times New Roman" w:eastAsia="宋体"/>
          <w:szCs w:val="24"/>
        </w:rPr>
        <w:t>能力为</w:t>
      </w:r>
      <w:r>
        <w:rPr>
          <w:rFonts w:hAnsi="Times New Roman" w:eastAsia="宋体"/>
          <w:spacing w:val="-44"/>
          <w:szCs w:val="24"/>
        </w:rPr>
        <w:t xml:space="preserve"> </w:t>
      </w:r>
      <w:r>
        <w:rPr>
          <w:rFonts w:hAnsi="Times New Roman" w:eastAsia="宋体"/>
          <w:szCs w:val="24"/>
        </w:rPr>
        <w:t>150万</w:t>
      </w:r>
      <w:r>
        <w:rPr>
          <w:rFonts w:hAnsi="Times New Roman" w:eastAsia="宋体"/>
          <w:spacing w:val="-45"/>
          <w:szCs w:val="24"/>
        </w:rPr>
        <w:t xml:space="preserve"> </w:t>
      </w:r>
      <w:r>
        <w:rPr>
          <w:rFonts w:hAnsi="Times New Roman" w:eastAsia="宋体"/>
          <w:spacing w:val="-1"/>
          <w:szCs w:val="24"/>
        </w:rPr>
        <w:t>t/a。宣汉县共计设置</w:t>
      </w:r>
      <w:r>
        <w:rPr>
          <w:rFonts w:hAnsi="Times New Roman" w:eastAsia="宋体"/>
          <w:spacing w:val="-44"/>
          <w:szCs w:val="24"/>
        </w:rPr>
        <w:t xml:space="preserve"> </w:t>
      </w:r>
      <w:r>
        <w:rPr>
          <w:rFonts w:hAnsi="Times New Roman" w:eastAsia="宋体"/>
          <w:szCs w:val="24"/>
        </w:rPr>
        <w:t>13个采矿权，规划生产能力为</w:t>
      </w:r>
      <w:r>
        <w:rPr>
          <w:rFonts w:hAnsi="Times New Roman" w:eastAsia="宋体"/>
          <w:spacing w:val="-44"/>
          <w:szCs w:val="24"/>
        </w:rPr>
        <w:t xml:space="preserve"> </w:t>
      </w:r>
      <w:r>
        <w:rPr>
          <w:rFonts w:hAnsi="Times New Roman" w:eastAsia="宋体"/>
          <w:szCs w:val="24"/>
        </w:rPr>
        <w:t>465 万</w:t>
      </w:r>
      <w:r>
        <w:rPr>
          <w:rFonts w:hAnsi="Times New Roman" w:eastAsia="宋体"/>
          <w:spacing w:val="-45"/>
          <w:szCs w:val="24"/>
        </w:rPr>
        <w:t xml:space="preserve"> </w:t>
      </w:r>
      <w:r>
        <w:rPr>
          <w:rFonts w:hAnsi="Times New Roman" w:eastAsia="宋体"/>
          <w:szCs w:val="24"/>
        </w:rPr>
        <w:t>t/a。</w:t>
      </w:r>
    </w:p>
    <w:p>
      <w:pPr>
        <w:pStyle w:val="55"/>
        <w:spacing w:line="360" w:lineRule="auto"/>
        <w:ind w:firstLine="476"/>
        <w:rPr>
          <w:rFonts w:hAnsi="Times New Roman" w:eastAsia="宋体"/>
          <w:spacing w:val="-1"/>
          <w:lang w:eastAsia="zh-CN"/>
        </w:rPr>
      </w:pPr>
      <w:r>
        <w:rPr>
          <w:rFonts w:hAnsi="Times New Roman" w:eastAsia="宋体"/>
          <w:spacing w:val="-1"/>
        </w:rPr>
        <w:t>本项目属于</w:t>
      </w:r>
      <w:r>
        <w:rPr>
          <w:rFonts w:hAnsi="Times New Roman" w:eastAsia="宋体"/>
          <w:spacing w:val="-1"/>
          <w:lang w:eastAsia="zh-CN"/>
        </w:rPr>
        <w:t>峨层山</w:t>
      </w:r>
      <w:r>
        <w:rPr>
          <w:rFonts w:hAnsi="Times New Roman" w:eastAsia="宋体"/>
          <w:spacing w:val="-1"/>
        </w:rPr>
        <w:t>片区规划矿区的</w:t>
      </w:r>
      <w:r>
        <w:rPr>
          <w:rFonts w:hint="eastAsia" w:hAnsi="Times New Roman" w:eastAsia="宋体"/>
          <w:spacing w:val="-1"/>
          <w:lang w:eastAsia="zh-CN"/>
        </w:rPr>
        <w:t>七里峡</w:t>
      </w:r>
      <w:r>
        <w:rPr>
          <w:rFonts w:hAnsi="Times New Roman" w:eastAsia="宋体"/>
          <w:spacing w:val="-1"/>
        </w:rPr>
        <w:t>煤矿，根据宣汉县煤炭矿区总体规划：</w:t>
      </w:r>
      <w:r>
        <w:rPr>
          <w:rFonts w:hint="eastAsia" w:hAnsi="Times New Roman" w:eastAsia="宋体"/>
          <w:spacing w:val="-1"/>
          <w:lang w:eastAsia="zh-CN"/>
        </w:rPr>
        <w:t>七里峡</w:t>
      </w:r>
      <w:r>
        <w:rPr>
          <w:rFonts w:hAnsi="Times New Roman" w:eastAsia="宋体"/>
          <w:spacing w:val="-1"/>
        </w:rPr>
        <w:t>煤矿井田面积</w:t>
      </w:r>
      <w:r>
        <w:rPr>
          <w:rFonts w:hint="eastAsia" w:hAnsi="Times New Roman" w:eastAsia="宋体"/>
          <w:spacing w:val="-1"/>
          <w:lang w:eastAsia="zh-CN"/>
        </w:rPr>
        <w:t>3.6357</w:t>
      </w:r>
      <w:r>
        <w:rPr>
          <w:rFonts w:hAnsi="Times New Roman" w:eastAsia="宋体"/>
          <w:spacing w:val="-1"/>
        </w:rPr>
        <w:t>km</w:t>
      </w:r>
      <w:r>
        <w:rPr>
          <w:rFonts w:hAnsi="Times New Roman" w:eastAsia="宋体"/>
          <w:spacing w:val="-1"/>
          <w:vertAlign w:val="superscript"/>
        </w:rPr>
        <w:t>2</w:t>
      </w:r>
      <w:r>
        <w:rPr>
          <w:rFonts w:hAnsi="Times New Roman" w:eastAsia="宋体"/>
          <w:spacing w:val="-1"/>
        </w:rPr>
        <w:t>，由</w:t>
      </w:r>
      <w:r>
        <w:rPr>
          <w:rFonts w:hint="eastAsia" w:hAnsi="Times New Roman" w:eastAsia="宋体"/>
          <w:spacing w:val="-1"/>
          <w:lang w:eastAsia="zh-CN"/>
        </w:rPr>
        <w:t>44</w:t>
      </w:r>
      <w:r>
        <w:rPr>
          <w:rFonts w:hAnsi="Times New Roman" w:eastAsia="宋体"/>
          <w:spacing w:val="-1"/>
        </w:rPr>
        <w:t>个拐点圈闭，开采标高：+</w:t>
      </w:r>
      <w:r>
        <w:rPr>
          <w:rFonts w:hint="eastAsia" w:hAnsi="Times New Roman" w:eastAsia="宋体"/>
          <w:spacing w:val="-1"/>
          <w:lang w:eastAsia="zh-CN"/>
        </w:rPr>
        <w:t>670m</w:t>
      </w:r>
      <w:r>
        <w:rPr>
          <w:rFonts w:hAnsi="Times New Roman" w:eastAsia="宋体"/>
          <w:spacing w:val="-1"/>
        </w:rPr>
        <w:t>～+200m，开采煤层：K</w:t>
      </w:r>
      <w:r>
        <w:rPr>
          <w:rFonts w:hAnsi="Times New Roman" w:eastAsia="宋体"/>
          <w:spacing w:val="-1"/>
          <w:vertAlign w:val="subscript"/>
        </w:rPr>
        <w:t>4</w:t>
      </w:r>
      <w:r>
        <w:rPr>
          <w:rFonts w:hAnsi="Times New Roman" w:eastAsia="宋体"/>
          <w:spacing w:val="-1"/>
        </w:rPr>
        <w:t>、K</w:t>
      </w:r>
      <w:r>
        <w:rPr>
          <w:rFonts w:hAnsi="Times New Roman" w:eastAsia="宋体"/>
          <w:spacing w:val="-1"/>
          <w:vertAlign w:val="subscript"/>
        </w:rPr>
        <w:t>5</w:t>
      </w:r>
      <w:r>
        <w:rPr>
          <w:rFonts w:hAnsi="Times New Roman" w:eastAsia="宋体"/>
          <w:spacing w:val="-1"/>
        </w:rPr>
        <w:t>、K</w:t>
      </w:r>
      <w:r>
        <w:rPr>
          <w:rFonts w:hAnsi="Times New Roman" w:eastAsia="宋体"/>
          <w:spacing w:val="-1"/>
          <w:vertAlign w:val="subscript"/>
        </w:rPr>
        <w:t>5-1</w:t>
      </w:r>
      <w:r>
        <w:rPr>
          <w:rFonts w:hAnsi="Times New Roman" w:eastAsia="宋体"/>
          <w:spacing w:val="-1"/>
        </w:rPr>
        <w:t>、K</w:t>
      </w:r>
      <w:r>
        <w:rPr>
          <w:rFonts w:hAnsi="Times New Roman" w:eastAsia="宋体"/>
          <w:spacing w:val="-1"/>
          <w:vertAlign w:val="subscript"/>
        </w:rPr>
        <w:t>6</w:t>
      </w:r>
      <w:r>
        <w:rPr>
          <w:rFonts w:hAnsi="Times New Roman" w:eastAsia="宋体"/>
          <w:spacing w:val="-1"/>
        </w:rPr>
        <w:t>、K</w:t>
      </w:r>
      <w:r>
        <w:rPr>
          <w:rFonts w:hAnsi="Times New Roman" w:eastAsia="宋体"/>
          <w:spacing w:val="-1"/>
          <w:vertAlign w:val="subscript"/>
        </w:rPr>
        <w:t>8</w:t>
      </w:r>
      <w:r>
        <w:rPr>
          <w:rFonts w:hAnsi="Times New Roman" w:eastAsia="宋体"/>
          <w:spacing w:val="-1"/>
        </w:rPr>
        <w:t>、K</w:t>
      </w:r>
      <w:r>
        <w:rPr>
          <w:rFonts w:hAnsi="Times New Roman" w:eastAsia="宋体"/>
          <w:spacing w:val="-1"/>
          <w:vertAlign w:val="subscript"/>
        </w:rPr>
        <w:t>10</w:t>
      </w:r>
      <w:r>
        <w:rPr>
          <w:rFonts w:hAnsi="Times New Roman" w:eastAsia="宋体"/>
          <w:spacing w:val="-1"/>
        </w:rPr>
        <w:t>。</w:t>
      </w:r>
      <w:r>
        <w:rPr>
          <w:rFonts w:hint="eastAsia" w:hAnsi="Times New Roman" w:eastAsia="宋体"/>
          <w:spacing w:val="-1"/>
          <w:lang w:eastAsia="zh-CN"/>
        </w:rPr>
        <w:t>七里峡</w:t>
      </w:r>
      <w:r>
        <w:rPr>
          <w:rFonts w:hAnsi="Times New Roman" w:eastAsia="宋体"/>
          <w:spacing w:val="-1"/>
        </w:rPr>
        <w:t>煤矿规划矿井生产能力为30万t/a，保有资源量</w:t>
      </w:r>
      <w:r>
        <w:rPr>
          <w:rFonts w:hint="eastAsia" w:hAnsi="Times New Roman" w:eastAsia="宋体"/>
          <w:spacing w:val="-1"/>
          <w:lang w:eastAsia="zh-CN"/>
        </w:rPr>
        <w:t>343.4</w:t>
      </w:r>
      <w:r>
        <w:rPr>
          <w:rFonts w:hAnsi="Times New Roman" w:eastAsia="宋体"/>
          <w:spacing w:val="-1"/>
        </w:rPr>
        <w:t>万t，设计可采资源量</w:t>
      </w:r>
      <w:r>
        <w:rPr>
          <w:rFonts w:hint="eastAsia" w:hAnsi="Times New Roman" w:eastAsia="宋体"/>
          <w:spacing w:val="-1"/>
          <w:lang w:eastAsia="zh-CN"/>
        </w:rPr>
        <w:t>291.9</w:t>
      </w:r>
      <w:r>
        <w:rPr>
          <w:rFonts w:hAnsi="Times New Roman" w:eastAsia="宋体"/>
          <w:spacing w:val="-1"/>
        </w:rPr>
        <w:t>万t，矿井服务年限7.</w:t>
      </w:r>
      <w:r>
        <w:rPr>
          <w:rFonts w:hint="eastAsia" w:hAnsi="Times New Roman" w:eastAsia="宋体"/>
          <w:spacing w:val="-1"/>
          <w:lang w:eastAsia="zh-CN"/>
        </w:rPr>
        <w:t>5</w:t>
      </w:r>
      <w:r>
        <w:rPr>
          <w:rFonts w:hAnsi="Times New Roman" w:eastAsia="宋体"/>
          <w:spacing w:val="-1"/>
        </w:rPr>
        <w:t>a。本项目为《四川省30万吨/年以下煤矿分类处置方案》（川应急</w:t>
      </w:r>
      <w:r>
        <w:rPr>
          <w:rFonts w:hint="eastAsia" w:hAnsi="Times New Roman" w:eastAsia="宋体"/>
          <w:spacing w:val="-1"/>
          <w:lang w:eastAsia="zh-CN"/>
        </w:rPr>
        <w:t>〔2020〕</w:t>
      </w:r>
      <w:r>
        <w:rPr>
          <w:rFonts w:hAnsi="Times New Roman" w:eastAsia="宋体"/>
          <w:spacing w:val="-1"/>
        </w:rPr>
        <w:t>31号）中分类处置矿区，本项目对现有矿区进行独立升级改造，</w:t>
      </w:r>
      <w:r>
        <w:rPr>
          <w:rFonts w:hint="eastAsia" w:hAnsi="Times New Roman" w:eastAsia="宋体"/>
          <w:lang w:eastAsia="zh-CN"/>
        </w:rPr>
        <w:t>本次设计在现持采矿许可证范围内将未在规划范围内的部分矿区范围予以退出，退出后七里峡煤矿设计矿区范围由20个拐点坐标圈定，面积约1.6285km</w:t>
      </w:r>
      <w:r>
        <w:rPr>
          <w:rFonts w:hint="eastAsia" w:hAnsi="Times New Roman" w:eastAsia="宋体"/>
          <w:vertAlign w:val="superscript"/>
          <w:lang w:eastAsia="zh-CN"/>
        </w:rPr>
        <w:t>2</w:t>
      </w:r>
      <w:r>
        <w:rPr>
          <w:rFonts w:hint="eastAsia" w:hAnsi="Times New Roman" w:eastAsia="宋体"/>
          <w:lang w:eastAsia="zh-CN"/>
        </w:rPr>
        <w:t>，开采深度为+670m～+200m，开采煤层为K</w:t>
      </w:r>
      <w:r>
        <w:rPr>
          <w:rFonts w:hint="eastAsia" w:hAnsi="Times New Roman" w:eastAsia="宋体"/>
          <w:vertAlign w:val="subscript"/>
          <w:lang w:eastAsia="zh-CN"/>
        </w:rPr>
        <w:t>6</w:t>
      </w:r>
      <w:r>
        <w:rPr>
          <w:rFonts w:hint="eastAsia" w:hAnsi="Times New Roman" w:eastAsia="宋体"/>
          <w:lang w:eastAsia="zh-CN"/>
        </w:rPr>
        <w:t>、K</w:t>
      </w:r>
      <w:r>
        <w:rPr>
          <w:rFonts w:hint="eastAsia" w:hAnsi="Times New Roman" w:eastAsia="宋体"/>
          <w:vertAlign w:val="subscript"/>
          <w:lang w:eastAsia="zh-CN"/>
        </w:rPr>
        <w:t>5-1</w:t>
      </w:r>
      <w:r>
        <w:rPr>
          <w:rFonts w:hint="eastAsia" w:hAnsi="Times New Roman" w:eastAsia="宋体"/>
          <w:lang w:eastAsia="zh-CN"/>
        </w:rPr>
        <w:t>、K</w:t>
      </w:r>
      <w:r>
        <w:rPr>
          <w:rFonts w:hint="eastAsia" w:hAnsi="Times New Roman" w:eastAsia="宋体"/>
          <w:vertAlign w:val="subscript"/>
          <w:lang w:eastAsia="zh-CN"/>
        </w:rPr>
        <w:t>5</w:t>
      </w:r>
      <w:r>
        <w:rPr>
          <w:rFonts w:hint="eastAsia" w:hAnsi="Times New Roman" w:eastAsia="宋体"/>
          <w:lang w:eastAsia="zh-CN"/>
        </w:rPr>
        <w:t>煤层，设计规模30万吨/年。设计范围内保有资源量2824kt，其中控制的资源量2021kt，推断的资源量803kt。</w:t>
      </w:r>
      <w:r>
        <w:rPr>
          <w:rFonts w:hint="eastAsia" w:hAnsi="Times New Roman" w:eastAsia="宋体"/>
          <w:spacing w:val="-1"/>
          <w:lang w:eastAsia="zh-CN"/>
        </w:rPr>
        <w:t>矿井服务年限</w:t>
      </w:r>
      <w:r>
        <w:rPr>
          <w:rFonts w:hint="eastAsia" w:hAnsi="Times New Roman" w:eastAsia="宋体"/>
          <w:spacing w:val="-1"/>
          <w:highlight w:val="yellow"/>
          <w:lang w:eastAsia="zh-CN"/>
        </w:rPr>
        <w:t>5.2a</w:t>
      </w:r>
      <w:r>
        <w:rPr>
          <w:rFonts w:hint="eastAsia" w:hAnsi="Times New Roman" w:eastAsia="宋体"/>
          <w:spacing w:val="-1"/>
        </w:rPr>
        <w:t>。</w:t>
      </w:r>
    </w:p>
    <w:p>
      <w:pPr>
        <w:pStyle w:val="55"/>
        <w:spacing w:line="360" w:lineRule="auto"/>
        <w:ind w:firstLine="476"/>
        <w:rPr>
          <w:rFonts w:hAnsi="Times New Roman" w:eastAsia="宋体"/>
          <w:spacing w:val="-1"/>
          <w:lang w:eastAsia="zh-CN"/>
        </w:rPr>
      </w:pPr>
      <w:r>
        <w:rPr>
          <w:rFonts w:hint="eastAsia" w:hAnsi="Times New Roman" w:eastAsia="宋体"/>
          <w:spacing w:val="-1"/>
          <w:lang w:eastAsia="zh-CN"/>
        </w:rPr>
        <w:t>同时项目+379m主平硐巷道通过宣汉国家森林公园观音山景区，该方案已获得四川省林业和草原局审批，批复号：川林护函〔2023〕187号，同意项目保留现有的+379m主平硐巷道作为矿井地下通风和运输巷道。</w:t>
      </w:r>
    </w:p>
    <w:p>
      <w:pPr>
        <w:pStyle w:val="55"/>
        <w:spacing w:line="360" w:lineRule="auto"/>
        <w:ind w:firstLine="476"/>
        <w:rPr>
          <w:rFonts w:hAnsi="Times New Roman" w:eastAsia="宋体"/>
        </w:rPr>
      </w:pPr>
      <w:r>
        <w:rPr>
          <w:rFonts w:hint="eastAsia" w:hAnsi="Times New Roman" w:eastAsia="宋体"/>
          <w:spacing w:val="-1"/>
          <w:lang w:eastAsia="zh-CN"/>
        </w:rPr>
        <w:t>因此，</w:t>
      </w:r>
      <w:r>
        <w:rPr>
          <w:rFonts w:hAnsi="Times New Roman" w:eastAsia="宋体"/>
          <w:spacing w:val="-1"/>
        </w:rPr>
        <w:t>本项目建设符合《四川省达州市宣汉县煤炭矿区总体规划》总体规划</w:t>
      </w:r>
      <w:r>
        <w:rPr>
          <w:rFonts w:hAnsi="Times New Roman" w:eastAsia="宋体"/>
        </w:rPr>
        <w:t>。</w:t>
      </w:r>
    </w:p>
    <w:p>
      <w:pPr>
        <w:pStyle w:val="6"/>
        <w:rPr>
          <w:szCs w:val="22"/>
          <w:lang w:eastAsia="zh-CN"/>
        </w:rPr>
      </w:pPr>
      <w:bookmarkStart w:id="772" w:name="_Toc167095372"/>
      <w:bookmarkStart w:id="773" w:name="_Toc163812748"/>
      <w:r>
        <w:rPr>
          <w:szCs w:val="22"/>
          <w:lang w:eastAsia="zh-CN"/>
        </w:rPr>
        <w:t>14.4.</w:t>
      </w:r>
      <w:r>
        <w:rPr>
          <w:rFonts w:hint="eastAsia"/>
          <w:szCs w:val="22"/>
          <w:lang w:eastAsia="zh-CN"/>
        </w:rPr>
        <w:t>2</w:t>
      </w:r>
      <w:r>
        <w:rPr>
          <w:szCs w:val="22"/>
          <w:lang w:eastAsia="zh-CN"/>
        </w:rPr>
        <w:t xml:space="preserve"> 与矿区总体规划环境影响评价报告书的符合性分析</w:t>
      </w:r>
      <w:bookmarkEnd w:id="772"/>
      <w:bookmarkEnd w:id="773"/>
    </w:p>
    <w:p>
      <w:pPr>
        <w:pStyle w:val="14"/>
        <w:kinsoku w:val="0"/>
        <w:overflowPunct w:val="0"/>
        <w:autoSpaceDE w:val="0"/>
        <w:autoSpaceDN w:val="0"/>
        <w:adjustRightInd w:val="0"/>
        <w:spacing w:line="360" w:lineRule="auto"/>
        <w:ind w:firstLine="480" w:firstLineChars="200"/>
        <w:rPr>
          <w:rFonts w:ascii="Times New Roman" w:hAnsi="Times New Roman"/>
          <w:sz w:val="24"/>
        </w:rPr>
      </w:pPr>
      <w:r>
        <w:rPr>
          <w:rFonts w:ascii="Times New Roman" w:hAnsi="Times New Roman"/>
          <w:sz w:val="24"/>
          <w:lang w:eastAsia="zh-CN"/>
        </w:rPr>
        <w:t>2022年1月24日，四川省生态环境厅在成都市组织召开了《四川省达州市宣汉县煤炭矿区总体规划环境影响报告书》审查会，</w:t>
      </w:r>
      <w:r>
        <w:rPr>
          <w:rFonts w:hint="eastAsia" w:ascii="Times New Roman" w:hAnsi="Times New Roman"/>
          <w:sz w:val="24"/>
          <w:lang w:eastAsia="zh-CN"/>
        </w:rPr>
        <w:t>2022年2月6日四川省生态环境厅印发了《关于印发四川省达州市宣汉县煤炭矿区总体规划环境影响报告书审查意见的函》（川环建函〔2022〕8 号）。</w:t>
      </w:r>
      <w:r>
        <w:rPr>
          <w:rFonts w:ascii="Times New Roman" w:hAnsi="Times New Roman"/>
          <w:sz w:val="24"/>
          <w:lang w:eastAsia="zh-CN"/>
        </w:rPr>
        <w:t>本工程与《四川省达州市宣汉县煤炭矿区总体规划环境影响报告书》中相关环保要求相符性见表14.4-1</w:t>
      </w:r>
      <w:r>
        <w:rPr>
          <w:rFonts w:ascii="Times New Roman" w:hAnsi="Times New Roman"/>
          <w:sz w:val="24"/>
        </w:rPr>
        <w:t>。</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表14.4-1 规划环评中提出的环保措施落实情况</w:t>
      </w:r>
    </w:p>
    <w:tbl>
      <w:tblPr>
        <w:tblStyle w:val="34"/>
        <w:tblW w:w="934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0"/>
        <w:gridCol w:w="915"/>
        <w:gridCol w:w="3630"/>
        <w:gridCol w:w="2775"/>
        <w:gridCol w:w="12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blHeader/>
          <w:jc w:val="center"/>
        </w:trPr>
        <w:tc>
          <w:tcPr>
            <w:tcW w:w="770"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序号</w:t>
            </w:r>
          </w:p>
        </w:tc>
        <w:tc>
          <w:tcPr>
            <w:tcW w:w="915"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类别</w:t>
            </w:r>
          </w:p>
        </w:tc>
        <w:tc>
          <w:tcPr>
            <w:tcW w:w="3630"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规划环评相关要求</w:t>
            </w:r>
          </w:p>
        </w:tc>
        <w:tc>
          <w:tcPr>
            <w:tcW w:w="2775"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本项目情况</w:t>
            </w:r>
          </w:p>
        </w:tc>
        <w:tc>
          <w:tcPr>
            <w:tcW w:w="1254"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0" w:type="dxa"/>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w:t>
            </w:r>
          </w:p>
        </w:tc>
        <w:tc>
          <w:tcPr>
            <w:tcW w:w="915" w:type="dxa"/>
            <w:vMerge w:val="restart"/>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空间布局约束</w:t>
            </w:r>
          </w:p>
        </w:tc>
        <w:tc>
          <w:tcPr>
            <w:tcW w:w="3630"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与宣汉国家森林公园重叠区禁采</w:t>
            </w:r>
          </w:p>
        </w:tc>
        <w:tc>
          <w:tcPr>
            <w:tcW w:w="2775"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本项目矿区范围和工业广场占地不涉及宣汉国家森林公园</w:t>
            </w:r>
          </w:p>
        </w:tc>
        <w:tc>
          <w:tcPr>
            <w:tcW w:w="125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0" w:type="dxa"/>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p>
        </w:tc>
        <w:tc>
          <w:tcPr>
            <w:tcW w:w="915" w:type="dxa"/>
            <w:vMerge w:val="continue"/>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p>
        </w:tc>
        <w:tc>
          <w:tcPr>
            <w:tcW w:w="3630"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达陕高速、恩广高速、规划的城宣大邻高速两侧100m设为禁采区</w:t>
            </w:r>
          </w:p>
        </w:tc>
        <w:tc>
          <w:tcPr>
            <w:tcW w:w="2775"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本项目恩广高速从南向北穿过矿区范围，矿井在公路的两侧留设有约150～300m宽的保护煤柱，并设为禁采区</w:t>
            </w:r>
          </w:p>
        </w:tc>
        <w:tc>
          <w:tcPr>
            <w:tcW w:w="125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w:t>
            </w:r>
          </w:p>
        </w:tc>
        <w:tc>
          <w:tcPr>
            <w:tcW w:w="915" w:type="dxa"/>
            <w:vMerge w:val="restart"/>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污染物排放管控</w:t>
            </w:r>
          </w:p>
        </w:tc>
        <w:tc>
          <w:tcPr>
            <w:tcW w:w="3630"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矿区内矿井水原则上处理后回用不外排，若外排，需满足《地表水环境质量标准》（GB3838-2002）Ⅲ类标准，同时其中含盐量不得超过1000mg/L要求，且不得影响上下游相关河段水功能需求，安装自动在线监测系统，相关数据向社会公开，并与地方生态环境局联网；采煤废水（矿井涌水）处理后回用需满足《煤矿井下消防、洒水设计规范》（GB 50383-2016）中的“井下消防、洒水水质标准”和《城市污水再生利用 城市杂用水水质》（GB/T18920-2020）中相应标准限值要求；</w:t>
            </w:r>
          </w:p>
        </w:tc>
        <w:tc>
          <w:tcPr>
            <w:tcW w:w="2775"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本项目矿井涌水经处理后部分回用，剩余部分外排，外排废水满足《地表水环境质量标准》（GB3838-2002）Ⅲ类标准，同时含盐量不超过1000mg/L。同时拟在废水外排口安装自动在线监测系统。矿井涌水处理后回用满足《煤矿井下消防、洒水设计规范》（GB 50383-2016）中的“井下消防、洒水水质标准”和《城市污水再生利用 城市杂用水水质》（GB/T18920-2020）中相应标准限值要求</w:t>
            </w:r>
          </w:p>
        </w:tc>
        <w:tc>
          <w:tcPr>
            <w:tcW w:w="125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w:t>
            </w:r>
          </w:p>
        </w:tc>
        <w:tc>
          <w:tcPr>
            <w:tcW w:w="915" w:type="dxa"/>
            <w:vMerge w:val="continue"/>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p>
        </w:tc>
        <w:tc>
          <w:tcPr>
            <w:tcW w:w="3630"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矿区内生活污水处理后回用于防尘洒水、洗煤设施、场地冲洗、绿化等，不外排；</w:t>
            </w:r>
          </w:p>
        </w:tc>
        <w:tc>
          <w:tcPr>
            <w:tcW w:w="2775"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本项目生活污水处理后回用于生产，不外排</w:t>
            </w:r>
          </w:p>
        </w:tc>
        <w:tc>
          <w:tcPr>
            <w:tcW w:w="125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w:t>
            </w:r>
          </w:p>
        </w:tc>
        <w:tc>
          <w:tcPr>
            <w:tcW w:w="915" w:type="dxa"/>
            <w:vMerge w:val="continue"/>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p>
        </w:tc>
        <w:tc>
          <w:tcPr>
            <w:tcW w:w="3630"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原煤入选率100%</w:t>
            </w:r>
          </w:p>
        </w:tc>
        <w:tc>
          <w:tcPr>
            <w:tcW w:w="2775"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本项目原煤入选率100%</w:t>
            </w:r>
          </w:p>
        </w:tc>
        <w:tc>
          <w:tcPr>
            <w:tcW w:w="125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w:t>
            </w:r>
          </w:p>
        </w:tc>
        <w:tc>
          <w:tcPr>
            <w:tcW w:w="915" w:type="dxa"/>
            <w:vMerge w:val="continue"/>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p>
        </w:tc>
        <w:tc>
          <w:tcPr>
            <w:tcW w:w="3630"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煤矿建设期执行《四川省施工场地扬尘排放标准》（DB51/2682-2020）；煤矿运行期工业场地及临时矸石周转场的扬尘有组织、无组织排放满足《煤炭工业污染物排放标准》（GB20426-2006）要求</w:t>
            </w:r>
          </w:p>
        </w:tc>
        <w:tc>
          <w:tcPr>
            <w:tcW w:w="2775"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本项目建设期执行《四川省施工场地扬尘排放标准》（DB51/2682-2020）；煤矿运行期工业场地及临时矸石周转场的扬尘有组织、无组织排放满足《煤炭工业污染物排放标准》（GB20426-2006）要求</w:t>
            </w:r>
          </w:p>
        </w:tc>
        <w:tc>
          <w:tcPr>
            <w:tcW w:w="125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6</w:t>
            </w:r>
          </w:p>
        </w:tc>
        <w:tc>
          <w:tcPr>
            <w:tcW w:w="915" w:type="dxa"/>
            <w:vMerge w:val="continue"/>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p>
        </w:tc>
        <w:tc>
          <w:tcPr>
            <w:tcW w:w="3630"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矿区内各煤炭、矸石的存储、装卸、输送以及破碎、筛选等产出环节应采取封闭</w:t>
            </w:r>
            <w:r>
              <w:rPr>
                <w:rFonts w:hint="eastAsia" w:hAnsi="Times New Roman" w:eastAsia="宋体"/>
                <w:kern w:val="2"/>
                <w:sz w:val="21"/>
                <w:szCs w:val="21"/>
                <w:lang w:val="en-US" w:eastAsia="zh-CN"/>
              </w:rPr>
              <w:t>等</w:t>
            </w:r>
            <w:r>
              <w:rPr>
                <w:rFonts w:hint="eastAsia" w:hAnsi="Times New Roman" w:eastAsia="宋体"/>
                <w:kern w:val="2"/>
                <w:sz w:val="21"/>
                <w:szCs w:val="21"/>
                <w:lang w:eastAsia="zh-CN"/>
              </w:rPr>
              <w:t>有效措施控制扬尘污染</w:t>
            </w:r>
          </w:p>
        </w:tc>
        <w:tc>
          <w:tcPr>
            <w:tcW w:w="2775"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本项目设置有封闭式储煤场和三面围挡的临时矸石堆场，并且配置有喷淋降尘措施。</w:t>
            </w:r>
          </w:p>
        </w:tc>
        <w:tc>
          <w:tcPr>
            <w:tcW w:w="125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7</w:t>
            </w:r>
          </w:p>
        </w:tc>
        <w:tc>
          <w:tcPr>
            <w:tcW w:w="915" w:type="dxa"/>
            <w:vMerge w:val="continue"/>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p>
        </w:tc>
        <w:tc>
          <w:tcPr>
            <w:tcW w:w="3630"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鼓励对煤矸石进行井下充填、发电、生产建筑材料、回收矿产品、制取化工产品、筑路等多途径综合利用，因地制宜选择合理的综合利用方式，提高煤矸石综合利用率。禁止建设永久性煤矸石堆放场，确需建设临时周转场的，原则上占地规模按不超过3年储矸量设计，且必须有后续综合利用方案</w:t>
            </w:r>
          </w:p>
        </w:tc>
        <w:tc>
          <w:tcPr>
            <w:tcW w:w="2775"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矿井掘进白矸用于井下回填采空区，煤矸石出井后暂存临时矸石堆场，用于宣汉县平桥砖厂综合利用</w:t>
            </w:r>
          </w:p>
        </w:tc>
        <w:tc>
          <w:tcPr>
            <w:tcW w:w="125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8</w:t>
            </w:r>
          </w:p>
        </w:tc>
        <w:tc>
          <w:tcPr>
            <w:tcW w:w="915"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环境风险防控</w:t>
            </w:r>
          </w:p>
        </w:tc>
        <w:tc>
          <w:tcPr>
            <w:tcW w:w="3630"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可能引起地质沉陷、含水层破坏的矿山必须提供解决方案和后续监控、保障方案</w:t>
            </w:r>
          </w:p>
        </w:tc>
        <w:tc>
          <w:tcPr>
            <w:tcW w:w="2775"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矿井实施开采后，地表沉陷对井田范围内的植被涵养水层水分及地表植被的正常生长有一定影响，但在人为治理前提下，其影响程度在可控范围内。本项目针对地质沉陷风险提出有效保护措施</w:t>
            </w:r>
          </w:p>
        </w:tc>
        <w:tc>
          <w:tcPr>
            <w:tcW w:w="125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9</w:t>
            </w:r>
          </w:p>
        </w:tc>
        <w:tc>
          <w:tcPr>
            <w:tcW w:w="915" w:type="dxa"/>
            <w:vMerge w:val="restart"/>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资源利用效率</w:t>
            </w:r>
          </w:p>
        </w:tc>
        <w:tc>
          <w:tcPr>
            <w:tcW w:w="3630"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val="zh-CN" w:eastAsia="zh-CN"/>
              </w:rPr>
              <w:t>原煤生产水耗≤0.2m</w:t>
            </w:r>
            <w:r>
              <w:rPr>
                <w:rFonts w:hint="eastAsia" w:hAnsi="Times New Roman" w:eastAsia="宋体"/>
                <w:kern w:val="2"/>
                <w:sz w:val="21"/>
                <w:szCs w:val="21"/>
                <w:vertAlign w:val="superscript"/>
                <w:lang w:val="zh-CN" w:eastAsia="zh-CN"/>
              </w:rPr>
              <w:t>3</w:t>
            </w:r>
            <w:r>
              <w:rPr>
                <w:rFonts w:hint="eastAsia" w:hAnsi="Times New Roman" w:eastAsia="宋体"/>
                <w:kern w:val="2"/>
                <w:sz w:val="21"/>
                <w:szCs w:val="21"/>
                <w:lang w:val="zh-CN" w:eastAsia="zh-CN"/>
              </w:rPr>
              <w:t>/t</w:t>
            </w:r>
          </w:p>
        </w:tc>
        <w:tc>
          <w:tcPr>
            <w:tcW w:w="2775"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val="zh-CN" w:eastAsia="zh-CN"/>
              </w:rPr>
              <w:t>原煤生产水耗0.</w:t>
            </w:r>
            <w:r>
              <w:rPr>
                <w:rFonts w:hint="eastAsia" w:hAnsi="Times New Roman" w:eastAsia="宋体"/>
                <w:kern w:val="2"/>
                <w:sz w:val="21"/>
                <w:szCs w:val="21"/>
                <w:lang w:eastAsia="zh-CN"/>
              </w:rPr>
              <w:t>16</w:t>
            </w:r>
            <w:r>
              <w:rPr>
                <w:rFonts w:hint="eastAsia" w:hAnsi="Times New Roman" w:eastAsia="宋体"/>
                <w:kern w:val="2"/>
                <w:sz w:val="21"/>
                <w:szCs w:val="21"/>
                <w:lang w:val="zh-CN" w:eastAsia="zh-CN"/>
              </w:rPr>
              <w:t>m</w:t>
            </w:r>
            <w:r>
              <w:rPr>
                <w:rFonts w:hint="eastAsia" w:hAnsi="Times New Roman" w:eastAsia="宋体"/>
                <w:kern w:val="2"/>
                <w:sz w:val="21"/>
                <w:szCs w:val="21"/>
                <w:vertAlign w:val="superscript"/>
                <w:lang w:val="zh-CN" w:eastAsia="zh-CN"/>
              </w:rPr>
              <w:t>3</w:t>
            </w:r>
            <w:r>
              <w:rPr>
                <w:rFonts w:hint="eastAsia" w:hAnsi="Times New Roman" w:eastAsia="宋体"/>
                <w:kern w:val="2"/>
                <w:sz w:val="21"/>
                <w:szCs w:val="21"/>
                <w:lang w:val="zh-CN" w:eastAsia="zh-CN"/>
              </w:rPr>
              <w:t>/t</w:t>
            </w:r>
          </w:p>
        </w:tc>
        <w:tc>
          <w:tcPr>
            <w:tcW w:w="125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w:t>
            </w:r>
          </w:p>
        </w:tc>
        <w:tc>
          <w:tcPr>
            <w:tcW w:w="915" w:type="dxa"/>
            <w:vMerge w:val="continue"/>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p>
        </w:tc>
        <w:tc>
          <w:tcPr>
            <w:tcW w:w="3630"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val="zh-CN" w:eastAsia="zh-CN"/>
              </w:rPr>
              <w:t>生活污水综合利用率（％）100%</w:t>
            </w:r>
          </w:p>
        </w:tc>
        <w:tc>
          <w:tcPr>
            <w:tcW w:w="2775"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val="zh-CN" w:eastAsia="zh-CN"/>
              </w:rPr>
              <w:t>生活污水综合利用率（％）100%</w:t>
            </w:r>
          </w:p>
        </w:tc>
        <w:tc>
          <w:tcPr>
            <w:tcW w:w="125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11</w:t>
            </w:r>
          </w:p>
        </w:tc>
        <w:tc>
          <w:tcPr>
            <w:tcW w:w="915" w:type="dxa"/>
            <w:vMerge w:val="continue"/>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p>
        </w:tc>
        <w:tc>
          <w:tcPr>
            <w:tcW w:w="3630"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val="zh-CN" w:eastAsia="zh-CN"/>
              </w:rPr>
              <w:t>矸石综合利用率100%</w:t>
            </w:r>
          </w:p>
        </w:tc>
        <w:tc>
          <w:tcPr>
            <w:tcW w:w="2775"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val="zh-CN" w:eastAsia="zh-CN"/>
              </w:rPr>
              <w:t>矸石综合利用率100%</w:t>
            </w:r>
          </w:p>
        </w:tc>
        <w:tc>
          <w:tcPr>
            <w:tcW w:w="125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12</w:t>
            </w:r>
          </w:p>
        </w:tc>
        <w:tc>
          <w:tcPr>
            <w:tcW w:w="915" w:type="dxa"/>
            <w:vMerge w:val="continue"/>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p>
        </w:tc>
        <w:tc>
          <w:tcPr>
            <w:tcW w:w="3630"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val="zh-CN" w:eastAsia="zh-CN"/>
              </w:rPr>
            </w:pPr>
            <w:r>
              <w:rPr>
                <w:rFonts w:hint="eastAsia" w:hAnsi="Times New Roman" w:eastAsia="宋体"/>
                <w:kern w:val="2"/>
                <w:sz w:val="21"/>
                <w:szCs w:val="21"/>
                <w:lang w:val="zh-CN" w:eastAsia="zh-CN"/>
              </w:rPr>
              <w:t>矿山开采回采率、选矿回收率和综合利用率等三项指标应符合自然资源部发布的相关矿种矿产资源合理开发利用“三率”最低指标要求</w:t>
            </w:r>
          </w:p>
        </w:tc>
        <w:tc>
          <w:tcPr>
            <w:tcW w:w="2775" w:type="dxa"/>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lang w:eastAsia="zh-CN"/>
              </w:rPr>
            </w:pPr>
            <w:r>
              <w:rPr>
                <w:rFonts w:hint="eastAsia" w:hAnsi="Times New Roman" w:eastAsia="宋体"/>
                <w:kern w:val="2"/>
                <w:sz w:val="21"/>
                <w:szCs w:val="21"/>
                <w:lang w:val="zh-CN" w:eastAsia="zh-CN"/>
              </w:rPr>
              <w:t>矿山开采回采率、选矿回收率和综合利用率等三项指标符合要求</w:t>
            </w:r>
          </w:p>
        </w:tc>
        <w:tc>
          <w:tcPr>
            <w:tcW w:w="125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13</w:t>
            </w:r>
          </w:p>
        </w:tc>
        <w:tc>
          <w:tcPr>
            <w:tcW w:w="915"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禁止准入产业</w:t>
            </w:r>
          </w:p>
        </w:tc>
        <w:tc>
          <w:tcPr>
            <w:tcW w:w="3630"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val="zh-CN" w:eastAsia="zh-CN"/>
              </w:rPr>
            </w:pPr>
            <w:r>
              <w:rPr>
                <w:rFonts w:hint="eastAsia" w:hAnsi="Times New Roman" w:eastAsia="宋体"/>
                <w:kern w:val="2"/>
                <w:sz w:val="21"/>
                <w:szCs w:val="21"/>
                <w:lang w:eastAsia="zh-CN"/>
              </w:rPr>
              <w:t>重庆、四川、贵州、云南等省（市）新建、改扩建矿井规模不低于15万吨/年。禁止新建30万吨/年以下高瓦斯矿井、45万吨/年以下煤与瓦斯突出矿井；禁止新建煤层含硫量大于3%的煤矿；开采范围与自然保护区、风景名胜区、饮用水水源保护区重叠的煤矿根据法律法规及国家有关文件要求进行淘汰</w:t>
            </w:r>
          </w:p>
        </w:tc>
        <w:tc>
          <w:tcPr>
            <w:tcW w:w="2775" w:type="dxa"/>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lang w:eastAsia="zh-CN"/>
              </w:rPr>
            </w:pPr>
            <w:r>
              <w:rPr>
                <w:rFonts w:hint="eastAsia" w:hAnsi="Times New Roman" w:eastAsia="宋体"/>
                <w:kern w:val="2"/>
                <w:sz w:val="21"/>
                <w:szCs w:val="21"/>
                <w:lang w:eastAsia="zh-CN"/>
              </w:rPr>
              <w:t>本项目属于改扩建工程，扩建后生产规模为30万吨/年。本项目与自然保护区、风景名胜区、饮用水水源保护区不重叠，不属于禁止类</w:t>
            </w:r>
          </w:p>
        </w:tc>
        <w:tc>
          <w:tcPr>
            <w:tcW w:w="125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14</w:t>
            </w:r>
          </w:p>
        </w:tc>
        <w:tc>
          <w:tcPr>
            <w:tcW w:w="915"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限制准入产业</w:t>
            </w:r>
          </w:p>
        </w:tc>
        <w:tc>
          <w:tcPr>
            <w:tcW w:w="3630"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低于30万吨/年的煤矿，低于90万吨/年的煤与瓦斯突出矿井；</w:t>
            </w:r>
          </w:p>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采用非机械化开采工艺的煤矿项目；</w:t>
            </w:r>
          </w:p>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煤炭资源回收率达不到国家规定要求的煤矿项目；</w:t>
            </w:r>
          </w:p>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未按国家规定程序报批矿区总体规划的煤矿项目；</w:t>
            </w:r>
          </w:p>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井下回采工作面超过2个的煤矿项目；</w:t>
            </w:r>
          </w:p>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开采深度超过《煤矿安全规程》规定的煤矿、产品质量达不到《商品煤质量管理暂行办法》要求的煤矿、开采技术和装备列入《煤炭生产技术与装备政策导向（2014年版）》限制目录且无法实施技术改造的煤矿；</w:t>
            </w:r>
          </w:p>
          <w:p>
            <w:pPr>
              <w:keepNext w:val="0"/>
              <w:keepLines w:val="0"/>
              <w:suppressLineNumbers w:val="0"/>
              <w:spacing w:before="0" w:beforeAutospacing="0" w:after="0" w:afterAutospacing="0"/>
              <w:ind w:left="0" w:right="0"/>
              <w:jc w:val="left"/>
              <w:rPr>
                <w:rFonts w:hint="eastAsia" w:hAnsi="Times New Roman" w:eastAsia="宋体"/>
                <w:kern w:val="2"/>
                <w:sz w:val="21"/>
                <w:szCs w:val="21"/>
                <w:lang w:val="zh-CN" w:eastAsia="zh-CN"/>
              </w:rPr>
            </w:pPr>
            <w:r>
              <w:rPr>
                <w:rFonts w:hint="eastAsia" w:hAnsi="Times New Roman" w:eastAsia="宋体"/>
                <w:kern w:val="2"/>
                <w:sz w:val="21"/>
                <w:szCs w:val="21"/>
                <w:lang w:eastAsia="zh-CN"/>
              </w:rPr>
              <w:t>限制在地质灾害易发区、水土流失严重等生态脆弱区内开采矿产资源</w:t>
            </w:r>
          </w:p>
        </w:tc>
        <w:tc>
          <w:tcPr>
            <w:tcW w:w="2775" w:type="dxa"/>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lang w:eastAsia="zh-CN"/>
              </w:rPr>
            </w:pPr>
            <w:r>
              <w:rPr>
                <w:rFonts w:hint="eastAsia" w:hAnsi="Times New Roman" w:eastAsia="宋体"/>
                <w:kern w:val="2"/>
                <w:sz w:val="21"/>
                <w:szCs w:val="21"/>
                <w:lang w:eastAsia="zh-CN"/>
              </w:rPr>
              <w:t>本项目符合相关要求，不属于限制准入产业</w:t>
            </w:r>
          </w:p>
        </w:tc>
        <w:tc>
          <w:tcPr>
            <w:tcW w:w="125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bl>
    <w:p>
      <w:pPr>
        <w:pStyle w:val="6"/>
        <w:rPr>
          <w:szCs w:val="22"/>
          <w:lang w:eastAsia="zh-CN"/>
        </w:rPr>
      </w:pPr>
      <w:bookmarkStart w:id="774" w:name="_Toc163812749"/>
      <w:bookmarkStart w:id="775" w:name="_Toc167095373"/>
      <w:r>
        <w:rPr>
          <w:szCs w:val="22"/>
          <w:lang w:eastAsia="zh-CN"/>
        </w:rPr>
        <w:t>14.4.</w:t>
      </w:r>
      <w:r>
        <w:rPr>
          <w:rFonts w:hint="eastAsia"/>
          <w:szCs w:val="22"/>
          <w:lang w:eastAsia="zh-CN"/>
        </w:rPr>
        <w:t>3</w:t>
      </w:r>
      <w:r>
        <w:rPr>
          <w:szCs w:val="22"/>
          <w:lang w:eastAsia="zh-CN"/>
        </w:rPr>
        <w:t xml:space="preserve"> 与矿区规划环境影响评价审查意见的符合性分析</w:t>
      </w:r>
      <w:bookmarkEnd w:id="774"/>
      <w:bookmarkEnd w:id="775"/>
    </w:p>
    <w:p>
      <w:pPr>
        <w:pStyle w:val="14"/>
        <w:kinsoku w:val="0"/>
        <w:overflowPunct w:val="0"/>
        <w:autoSpaceDE w:val="0"/>
        <w:autoSpaceDN w:val="0"/>
        <w:adjustRightInd w:val="0"/>
        <w:spacing w:line="360" w:lineRule="auto"/>
        <w:ind w:firstLine="480" w:firstLineChars="200"/>
        <w:rPr>
          <w:rFonts w:ascii="Times New Roman" w:hAnsi="Times New Roman"/>
          <w:sz w:val="24"/>
        </w:rPr>
      </w:pPr>
      <w:r>
        <w:rPr>
          <w:rFonts w:ascii="Times New Roman" w:hAnsi="Times New Roman"/>
          <w:sz w:val="24"/>
        </w:rPr>
        <w:t xml:space="preserve">本项目与《四川省达州市宣汉县煤炭矿区总体规划环境影响报告书》审查意见的要求相符，见表 </w:t>
      </w:r>
      <w:r>
        <w:rPr>
          <w:rFonts w:ascii="Times New Roman" w:hAnsi="Times New Roman"/>
          <w:sz w:val="24"/>
          <w:lang w:eastAsia="zh-CN"/>
        </w:rPr>
        <w:t>14.4</w:t>
      </w:r>
      <w:r>
        <w:rPr>
          <w:rFonts w:ascii="Times New Roman" w:hAnsi="Times New Roman"/>
          <w:sz w:val="24"/>
        </w:rPr>
        <w:t>-</w:t>
      </w:r>
      <w:r>
        <w:rPr>
          <w:rFonts w:hint="eastAsia" w:ascii="Times New Roman" w:hAnsi="Times New Roman"/>
          <w:sz w:val="24"/>
          <w:lang w:eastAsia="zh-CN"/>
        </w:rPr>
        <w:t>2</w:t>
      </w:r>
      <w:r>
        <w:rPr>
          <w:rFonts w:ascii="Times New Roman" w:hAnsi="Times New Roman"/>
          <w:sz w:val="24"/>
        </w:rPr>
        <w:t>。</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表14.4-2 本项目与规划环评审查意见符合性</w:t>
      </w:r>
    </w:p>
    <w:tbl>
      <w:tblPr>
        <w:tblStyle w:val="34"/>
        <w:tblW w:w="934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0"/>
        <w:gridCol w:w="4545"/>
        <w:gridCol w:w="2775"/>
        <w:gridCol w:w="12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770"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序号</w:t>
            </w:r>
          </w:p>
        </w:tc>
        <w:tc>
          <w:tcPr>
            <w:tcW w:w="4545"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规划环评审查意见中提出的要求</w:t>
            </w:r>
          </w:p>
        </w:tc>
        <w:tc>
          <w:tcPr>
            <w:tcW w:w="2775"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本项目落实情况</w:t>
            </w:r>
          </w:p>
        </w:tc>
        <w:tc>
          <w:tcPr>
            <w:tcW w:w="1254"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w:t>
            </w:r>
          </w:p>
        </w:tc>
        <w:tc>
          <w:tcPr>
            <w:tcW w:w="4545"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落实长江经济带“共抓大保护，不搞大开发”的总体要求，坚持生态优先、绿色发展，强化规划引导，按照长江保护法、“三线一单”生态环境分区管控等要求，切实落实各项生态环境保护对策与措施，促进煤炭矿区开发与生态环境保护相协调。</w:t>
            </w:r>
          </w:p>
        </w:tc>
        <w:tc>
          <w:tcPr>
            <w:tcW w:w="2775" w:type="dxa"/>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lang w:eastAsia="zh-CN"/>
              </w:rPr>
            </w:pPr>
            <w:r>
              <w:rPr>
                <w:rFonts w:hint="eastAsia" w:hAnsi="Times New Roman" w:eastAsia="宋体"/>
                <w:kern w:val="2"/>
                <w:sz w:val="21"/>
                <w:szCs w:val="21"/>
                <w:lang w:eastAsia="zh-CN"/>
              </w:rPr>
              <w:t>本项目建设符合长江保护法、“三线一单”生态环境分区管控等要求</w:t>
            </w:r>
          </w:p>
        </w:tc>
        <w:tc>
          <w:tcPr>
            <w:tcW w:w="125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w:t>
            </w:r>
          </w:p>
        </w:tc>
        <w:tc>
          <w:tcPr>
            <w:tcW w:w="4545"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加强规划与“三线一单”、国土空间规划、生态功能区划、四川省矿产资源总体规划及其规划环评等的协调衔接，并根据相关法律法规规章、政策文件及敏感区法定保护要求，优化调整布局、规模、开发时序等规划方案，提出并落实设置禁采区及保护煤柱等措施，确保不对自然保护区、森林公园、永久基本农田、公益林、天然林、饮用水水源、村镇等保护目标和高速公路等重要基础设施造成影响。</w:t>
            </w:r>
          </w:p>
        </w:tc>
        <w:tc>
          <w:tcPr>
            <w:tcW w:w="2775" w:type="dxa"/>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lang w:eastAsia="zh-CN"/>
              </w:rPr>
            </w:pPr>
            <w:r>
              <w:rPr>
                <w:rFonts w:hint="eastAsia" w:hAnsi="Times New Roman" w:eastAsia="宋体"/>
                <w:kern w:val="2"/>
                <w:sz w:val="21"/>
                <w:szCs w:val="21"/>
                <w:lang w:eastAsia="zh-CN"/>
              </w:rPr>
              <w:t>本项目建设对自然保护区、森林公园、永久基本农田、公益林、天然林、饮用水水源、村镇等保护目标和高速公路等重要基础设施不造成影响</w:t>
            </w:r>
          </w:p>
        </w:tc>
        <w:tc>
          <w:tcPr>
            <w:tcW w:w="125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w:t>
            </w:r>
          </w:p>
        </w:tc>
        <w:tc>
          <w:tcPr>
            <w:tcW w:w="4545"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针对矿区在关闭矿井迹地生态恢复、矸石堆场生态恢复、矿井涌水排放等方面存在的现有环境问题，提出整改方案及补救措施，并纳入矿区生态环境保护规划方案，明确责任主体及完成时限，落实资金保障，确保环境遗留问题得到妥善解决。</w:t>
            </w:r>
          </w:p>
        </w:tc>
        <w:tc>
          <w:tcPr>
            <w:tcW w:w="2775" w:type="dxa"/>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lang w:eastAsia="zh-CN"/>
              </w:rPr>
            </w:pPr>
            <w:r>
              <w:rPr>
                <w:rFonts w:hint="eastAsia" w:hAnsi="Times New Roman" w:eastAsia="宋体"/>
                <w:kern w:val="2"/>
                <w:sz w:val="21"/>
                <w:szCs w:val="21"/>
                <w:lang w:eastAsia="zh-CN"/>
              </w:rPr>
              <w:t>本项目在建设期和运营期严格落实环境保护措施，确保原煤矿环境遗留问题得到解决，并编制有矿山地质环境保护与土地复垦方案</w:t>
            </w:r>
          </w:p>
        </w:tc>
        <w:tc>
          <w:tcPr>
            <w:tcW w:w="125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w:t>
            </w:r>
          </w:p>
        </w:tc>
        <w:tc>
          <w:tcPr>
            <w:tcW w:w="4545"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严格控制矿区开发扰动范围，制定并落实生态保护和修复方案，加大生态修复力度，维护区域生态安全，切实预防或减轻《规划》实施的不利生态环境影响。</w:t>
            </w:r>
          </w:p>
        </w:tc>
        <w:tc>
          <w:tcPr>
            <w:tcW w:w="2775" w:type="dxa"/>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lang w:eastAsia="zh-CN"/>
              </w:rPr>
            </w:pPr>
            <w:r>
              <w:rPr>
                <w:rFonts w:hint="eastAsia" w:hAnsi="Times New Roman" w:eastAsia="宋体"/>
                <w:kern w:val="2"/>
                <w:sz w:val="21"/>
                <w:szCs w:val="21"/>
                <w:lang w:eastAsia="zh-CN"/>
              </w:rPr>
              <w:t>本项目针对规划环评中提出的不利生态环境影响，提出了环境保护措施</w:t>
            </w:r>
          </w:p>
        </w:tc>
        <w:tc>
          <w:tcPr>
            <w:tcW w:w="125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w:t>
            </w:r>
          </w:p>
        </w:tc>
        <w:tc>
          <w:tcPr>
            <w:tcW w:w="4545"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矿井水经处理后优先回用，未充分利用的不得开采及使用其他地表水和地下水水源作为生产水源。矿井水在充分利用后仍有剩余且确需外排的，外排矿井水中主要污染物浓度应满足或优于受纳水体环境功能区划规定的地表水环境质量对应值，含盐量不得超过1000毫克/升，且不得影响上下游相关河段水功能需求。</w:t>
            </w:r>
          </w:p>
        </w:tc>
        <w:tc>
          <w:tcPr>
            <w:tcW w:w="2775" w:type="dxa"/>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lang w:eastAsia="zh-CN"/>
              </w:rPr>
            </w:pPr>
            <w:r>
              <w:rPr>
                <w:rFonts w:hint="eastAsia" w:hAnsi="Times New Roman" w:eastAsia="宋体"/>
                <w:kern w:val="2"/>
                <w:sz w:val="21"/>
                <w:szCs w:val="21"/>
                <w:lang w:eastAsia="zh-CN"/>
              </w:rPr>
              <w:t>本项目矿井涌水优先利用，外排废水满足地表水Ⅲ类水体要求，且含盐量不超过1000毫克/升，外排废水不影响上下游相关河段水功能需求</w:t>
            </w:r>
          </w:p>
        </w:tc>
        <w:tc>
          <w:tcPr>
            <w:tcW w:w="125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6</w:t>
            </w:r>
          </w:p>
        </w:tc>
        <w:tc>
          <w:tcPr>
            <w:tcW w:w="4545"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矿区煤炭贮存、转载、装卸、破碎、筛选等过程应加强扬尘污染防治，确保满足区域大气环境质量改善要求。</w:t>
            </w:r>
          </w:p>
        </w:tc>
        <w:tc>
          <w:tcPr>
            <w:tcW w:w="2775" w:type="dxa"/>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lang w:eastAsia="zh-CN"/>
              </w:rPr>
            </w:pPr>
            <w:r>
              <w:rPr>
                <w:rFonts w:hint="eastAsia" w:hAnsi="Times New Roman" w:eastAsia="宋体"/>
                <w:kern w:val="2"/>
                <w:sz w:val="21"/>
                <w:szCs w:val="21"/>
                <w:lang w:eastAsia="zh-CN"/>
              </w:rPr>
              <w:t>本项目各工段粉尘无组织排放满足排放限值要求</w:t>
            </w:r>
          </w:p>
        </w:tc>
        <w:tc>
          <w:tcPr>
            <w:tcW w:w="125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7</w:t>
            </w:r>
          </w:p>
        </w:tc>
        <w:tc>
          <w:tcPr>
            <w:tcW w:w="4545"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加强对矿区瓦斯排放的监测，鼓励开展瓦斯综合利用专题研究和论证工作。</w:t>
            </w:r>
          </w:p>
        </w:tc>
        <w:tc>
          <w:tcPr>
            <w:tcW w:w="2775" w:type="dxa"/>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lang w:eastAsia="zh-CN"/>
              </w:rPr>
            </w:pPr>
            <w:r>
              <w:rPr>
                <w:rFonts w:hint="eastAsia" w:hAnsi="Times New Roman" w:eastAsia="宋体"/>
                <w:kern w:val="2"/>
                <w:sz w:val="21"/>
                <w:szCs w:val="21"/>
                <w:lang w:eastAsia="zh-CN"/>
              </w:rPr>
              <w:t>本项目设置有瓦斯抽采站，并定期对瓦斯进行监测</w:t>
            </w:r>
          </w:p>
        </w:tc>
        <w:tc>
          <w:tcPr>
            <w:tcW w:w="125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8</w:t>
            </w:r>
          </w:p>
        </w:tc>
        <w:tc>
          <w:tcPr>
            <w:tcW w:w="4545"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严格落实煤矸石综合利用要求。因地制宜选择合理的煤矸石综合利用方式，应优先选择井下充填，结合现有煤矸石利用能力，拓展综合利用途径，制定合理可行的综合利用方案。</w:t>
            </w:r>
          </w:p>
        </w:tc>
        <w:tc>
          <w:tcPr>
            <w:tcW w:w="2775" w:type="dxa"/>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lang w:eastAsia="zh-CN"/>
              </w:rPr>
            </w:pPr>
            <w:r>
              <w:rPr>
                <w:rFonts w:hint="eastAsia" w:hAnsi="Times New Roman" w:eastAsia="宋体"/>
                <w:kern w:val="2"/>
                <w:sz w:val="21"/>
                <w:szCs w:val="21"/>
                <w:lang w:eastAsia="zh-CN"/>
              </w:rPr>
              <w:t>矿井掘进白矸用于井下回填采空区，煤矸石出井后暂存临时矸石堆场，用于宣汉县平桥砖厂综合利用</w:t>
            </w:r>
          </w:p>
        </w:tc>
        <w:tc>
          <w:tcPr>
            <w:tcW w:w="125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9</w:t>
            </w:r>
          </w:p>
        </w:tc>
        <w:tc>
          <w:tcPr>
            <w:tcW w:w="4545"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加强矿区环境监测和环境管理。建立系统的地表沉陷、水环境和生态环境监测体系，开展长期监测，强化对百里峡省级自然保护区、宣汉国家森林公园、集中式饮用水水源保护区、永久基本农田、公益林、天然林等生态环境敏感目标的跟踪监测，并根据跟踪监测结果及时优化调整规划方案，进一步提出有针对性的生态环境保护措施。</w:t>
            </w:r>
          </w:p>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强化区域环境风险防范体系建设，提升区域环境风险预警、应急响应和联防联控能力，落实环境风险防范措施，制定应急预案，加强应急演练，确保环境安全。</w:t>
            </w:r>
          </w:p>
        </w:tc>
        <w:tc>
          <w:tcPr>
            <w:tcW w:w="2775" w:type="dxa"/>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lang w:eastAsia="zh-CN"/>
              </w:rPr>
            </w:pPr>
            <w:r>
              <w:rPr>
                <w:rFonts w:hint="eastAsia" w:hAnsi="Times New Roman" w:eastAsia="宋体"/>
                <w:kern w:val="2"/>
                <w:sz w:val="21"/>
                <w:szCs w:val="21"/>
                <w:lang w:eastAsia="zh-CN"/>
              </w:rPr>
              <w:t>本项目制定有环境监测计划，制定有应急预案</w:t>
            </w:r>
          </w:p>
        </w:tc>
        <w:tc>
          <w:tcPr>
            <w:tcW w:w="125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w:t>
            </w:r>
          </w:p>
        </w:tc>
        <w:tc>
          <w:tcPr>
            <w:tcW w:w="4545"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严格煤炭资源开发的环境准入条件。相关项目应依法履行环境影响评价手续，全面落实各项资源环境指标，确保满足清洁生产要求。</w:t>
            </w:r>
          </w:p>
        </w:tc>
        <w:tc>
          <w:tcPr>
            <w:tcW w:w="2775" w:type="dxa"/>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lang w:eastAsia="zh-CN"/>
              </w:rPr>
            </w:pPr>
            <w:r>
              <w:rPr>
                <w:rFonts w:hint="eastAsia" w:hAnsi="Times New Roman" w:eastAsia="宋体"/>
                <w:kern w:val="2"/>
                <w:sz w:val="21"/>
                <w:szCs w:val="21"/>
                <w:lang w:eastAsia="zh-CN"/>
              </w:rPr>
              <w:t>本项目依法履行了环保手续，建设满足清洁生产要求</w:t>
            </w:r>
          </w:p>
        </w:tc>
        <w:tc>
          <w:tcPr>
            <w:tcW w:w="125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11</w:t>
            </w:r>
          </w:p>
        </w:tc>
        <w:tc>
          <w:tcPr>
            <w:tcW w:w="4545"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规划》包含的建设项目在开展环境影响评价时，应重点评价建设项目对生态、地下水、地表水等的影响，特别是对所涉及的生态环境敏感目标的影响，深入论证开采方案、生态修复方案、水环境及大气环境保护措施、资源综合利用方案等的可行性。</w:t>
            </w:r>
          </w:p>
        </w:tc>
        <w:tc>
          <w:tcPr>
            <w:tcW w:w="2775" w:type="dxa"/>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lang w:eastAsia="zh-CN"/>
              </w:rPr>
            </w:pPr>
            <w:r>
              <w:rPr>
                <w:rFonts w:hint="eastAsia" w:hAnsi="Times New Roman" w:eastAsia="宋体"/>
                <w:kern w:val="2"/>
                <w:sz w:val="21"/>
                <w:szCs w:val="21"/>
                <w:lang w:eastAsia="zh-CN"/>
              </w:rPr>
              <w:t>本项目对生态、地下水、地表水等的影响进行了重点评价</w:t>
            </w:r>
          </w:p>
        </w:tc>
        <w:tc>
          <w:tcPr>
            <w:tcW w:w="125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bl>
    <w:p>
      <w:pPr>
        <w:pStyle w:val="5"/>
        <w:rPr>
          <w:rFonts w:ascii="Times New Roman" w:hAnsi="Times New Roman"/>
          <w:lang w:eastAsia="zh-CN"/>
        </w:rPr>
      </w:pPr>
      <w:bookmarkStart w:id="776" w:name="_Toc163749232"/>
      <w:bookmarkStart w:id="777" w:name="_Toc167095374"/>
      <w:r>
        <w:rPr>
          <w:rFonts w:ascii="Times New Roman" w:hAnsi="Times New Roman"/>
          <w:lang w:eastAsia="zh-CN"/>
        </w:rPr>
        <w:t>14.5 项目建设与“三线一单”符合性分析</w:t>
      </w:r>
      <w:bookmarkEnd w:id="776"/>
      <w:bookmarkEnd w:id="777"/>
    </w:p>
    <w:p>
      <w:pPr>
        <w:pStyle w:val="14"/>
        <w:kinsoku w:val="0"/>
        <w:overflowPunct w:val="0"/>
        <w:autoSpaceDE w:val="0"/>
        <w:autoSpaceDN w:val="0"/>
        <w:adjustRightInd w:val="0"/>
        <w:spacing w:line="360" w:lineRule="auto"/>
        <w:ind w:firstLine="480" w:firstLineChars="200"/>
        <w:rPr>
          <w:rFonts w:ascii="Times New Roman" w:hAnsi="Times New Roman"/>
          <w:sz w:val="24"/>
          <w:lang w:eastAsia="zh-CN"/>
        </w:rPr>
      </w:pPr>
      <w:r>
        <w:rPr>
          <w:rFonts w:ascii="Times New Roman" w:hAnsi="Times New Roman"/>
          <w:sz w:val="24"/>
          <w:lang w:eastAsia="zh-CN"/>
        </w:rPr>
        <w:t>2016年7月环境保护部发布的《“十三五”环境影响评价改革实施方案》，其中提出：以改善环境质量为核心，以全面提高环评有效性为主线，以创新体制机制为动力，以“生态保护红线、环境质量底线、资源利用上线和环境准入负面清单”（以下简称“三线一单”）为手段，强化空间、总量、准入环境管理……。</w:t>
      </w:r>
    </w:p>
    <w:p>
      <w:pPr>
        <w:pStyle w:val="14"/>
        <w:overflowPunct w:val="0"/>
        <w:autoSpaceDE w:val="0"/>
        <w:autoSpaceDN w:val="0"/>
        <w:adjustRightInd w:val="0"/>
        <w:spacing w:line="360" w:lineRule="auto"/>
        <w:ind w:firstLine="480" w:firstLineChars="200"/>
        <w:rPr>
          <w:rFonts w:ascii="Times New Roman" w:hAnsi="Times New Roman"/>
          <w:sz w:val="24"/>
          <w:lang w:eastAsia="zh-CN"/>
        </w:rPr>
      </w:pPr>
      <w:r>
        <w:rPr>
          <w:rFonts w:ascii="Times New Roman" w:hAnsi="Times New Roman"/>
          <w:sz w:val="24"/>
          <w:lang w:eastAsia="zh-CN"/>
        </w:rPr>
        <w:t>四川省人民政府2020年6月28日发布《关于落实生态保护红线、环境质量底线、资源利用上线制定生态环境准入清单实施生态环境分区管控的通知》（川府发〔2020〕9号），按照省委“ 一干多支、五区协同” 的区域发展战略部署立足五大经济区的区域特征、发展定位及突出生态环境问题，将全省行政区域从生态环境保护角度划分为优先保护、重点管控和一般管控三类环境管控单元。优先保护单元指以生态环境保护为主的区域，主要包括生态保护红线、自然保护地、饮用水水源保护区等，应以生态环境保护优先为原则，严格执行相关法律、法规要求，严守生态环境质量底线，确保生态环境功能不降低。重点管控单元指涉及水、大气、土壤、自然资源等资源环境要素重点管控的区域，应不断提升资源利用效率，有针对性地加强污染物排放控制和环境风险防控，解决生态环境质量不达标、生态环境风险高等问题，一般管控单元指除优先保护单元和重点管控单元之外的其他区域，主要落实生态环境保护基本要求。</w:t>
      </w:r>
    </w:p>
    <w:p>
      <w:pPr>
        <w:pStyle w:val="14"/>
        <w:overflowPunct w:val="0"/>
        <w:autoSpaceDE w:val="0"/>
        <w:autoSpaceDN w:val="0"/>
        <w:adjustRightInd w:val="0"/>
        <w:spacing w:line="360" w:lineRule="auto"/>
        <w:ind w:firstLine="480" w:firstLineChars="200"/>
        <w:rPr>
          <w:rFonts w:ascii="Times New Roman" w:hAnsi="Times New Roman"/>
          <w:sz w:val="24"/>
          <w:lang w:eastAsia="zh-CN"/>
        </w:rPr>
      </w:pPr>
      <w:r>
        <w:rPr>
          <w:rFonts w:ascii="Times New Roman" w:hAnsi="Times New Roman"/>
          <w:sz w:val="24"/>
          <w:lang w:eastAsia="zh-CN"/>
        </w:rPr>
        <w:t>2021年6月29日，达州市人民政府以达市府发</w:t>
      </w:r>
      <w:r>
        <w:rPr>
          <w:rFonts w:hint="eastAsia" w:ascii="Times New Roman" w:hAnsi="Times New Roman"/>
          <w:sz w:val="24"/>
          <w:lang w:eastAsia="zh-CN"/>
        </w:rPr>
        <w:t>〔</w:t>
      </w:r>
      <w:r>
        <w:rPr>
          <w:rFonts w:ascii="Times New Roman" w:hAnsi="Times New Roman"/>
          <w:sz w:val="24"/>
          <w:lang w:eastAsia="zh-CN"/>
        </w:rPr>
        <w:t>2021</w:t>
      </w:r>
      <w:r>
        <w:rPr>
          <w:rFonts w:hint="eastAsia" w:ascii="Times New Roman" w:hAnsi="Times New Roman"/>
          <w:sz w:val="24"/>
          <w:lang w:eastAsia="zh-CN"/>
        </w:rPr>
        <w:t>〕</w:t>
      </w:r>
      <w:r>
        <w:rPr>
          <w:rFonts w:ascii="Times New Roman" w:hAnsi="Times New Roman"/>
          <w:sz w:val="24"/>
          <w:lang w:eastAsia="zh-CN"/>
        </w:rPr>
        <w:t>17号发布了《达州市人民政府关于落实生态保护红线、环境质量底线、资源利用上线制定生态环境准入清单实施生态环境分区管控的通知》，根据达州市环境管控单元分布图，七里峡煤矿矿区为一般管控单元。</w:t>
      </w:r>
    </w:p>
    <w:p>
      <w:pPr>
        <w:pStyle w:val="14"/>
        <w:overflowPunct w:val="0"/>
        <w:autoSpaceDE w:val="0"/>
        <w:autoSpaceDN w:val="0"/>
        <w:adjustRightInd w:val="0"/>
        <w:spacing w:line="360" w:lineRule="auto"/>
        <w:ind w:firstLine="480" w:firstLineChars="200"/>
        <w:rPr>
          <w:rFonts w:ascii="Times New Roman" w:hAnsi="Times New Roman"/>
          <w:sz w:val="24"/>
          <w:lang w:eastAsia="zh-CN"/>
        </w:rPr>
      </w:pPr>
      <w:r>
        <w:rPr>
          <w:rFonts w:ascii="Times New Roman" w:hAnsi="Times New Roman"/>
          <w:sz w:val="24"/>
          <w:lang w:eastAsia="zh-CN"/>
        </w:rPr>
        <w:t xml:space="preserve">（1）优先保护单元：涉及生态保护红线及一般生态空间、水环境优先保护区、大气环境优先保护区等以生态环境保护为主的区域作为优先保护单元； </w:t>
      </w:r>
    </w:p>
    <w:p>
      <w:pPr>
        <w:pStyle w:val="14"/>
        <w:overflowPunct w:val="0"/>
        <w:autoSpaceDE w:val="0"/>
        <w:autoSpaceDN w:val="0"/>
        <w:adjustRightInd w:val="0"/>
        <w:spacing w:line="360" w:lineRule="auto"/>
        <w:ind w:firstLine="480" w:firstLineChars="200"/>
        <w:rPr>
          <w:rFonts w:ascii="Times New Roman" w:hAnsi="Times New Roman"/>
          <w:sz w:val="24"/>
          <w:lang w:eastAsia="zh-CN"/>
        </w:rPr>
      </w:pPr>
      <w:r>
        <w:rPr>
          <w:rFonts w:ascii="Times New Roman" w:hAnsi="Times New Roman"/>
          <w:sz w:val="24"/>
          <w:lang w:eastAsia="zh-CN"/>
        </w:rPr>
        <w:t xml:space="preserve">（2）重点管控单元：涉及水、大气、土壤、自然资源等资源环境要素重点管控的区域作为重点管控单元； </w:t>
      </w:r>
    </w:p>
    <w:p>
      <w:pPr>
        <w:spacing w:line="360" w:lineRule="auto"/>
        <w:ind w:firstLine="480" w:firstLineChars="200"/>
        <w:rPr>
          <w:rFonts w:hAnsi="Times New Roman" w:eastAsia="宋体"/>
          <w:b/>
          <w:bCs/>
          <w:lang w:eastAsia="zh-CN"/>
        </w:rPr>
      </w:pPr>
      <w:r>
        <w:rPr>
          <w:rFonts w:hAnsi="Times New Roman" w:eastAsia="宋体"/>
          <w:szCs w:val="24"/>
          <w:lang w:eastAsia="zh-CN"/>
        </w:rPr>
        <w:t>（3）一般管控单元：指除优先保护单元和重点管控单元以外的其他区域。</w:t>
      </w:r>
    </w:p>
    <w:p>
      <w:pPr>
        <w:pStyle w:val="6"/>
        <w:rPr>
          <w:bCs/>
          <w:lang w:eastAsia="zh-CN"/>
        </w:rPr>
      </w:pPr>
      <w:bookmarkStart w:id="778" w:name="_Toc163812751"/>
      <w:bookmarkStart w:id="779" w:name="_Toc167095375"/>
      <w:r>
        <w:rPr>
          <w:bCs/>
          <w:lang w:eastAsia="zh-CN"/>
        </w:rPr>
        <w:t>14.5.1生态</w:t>
      </w:r>
      <w:r>
        <w:rPr>
          <w:szCs w:val="22"/>
          <w:lang w:eastAsia="zh-CN"/>
        </w:rPr>
        <w:t>红线</w:t>
      </w:r>
      <w:r>
        <w:rPr>
          <w:bCs/>
          <w:lang w:eastAsia="zh-CN"/>
        </w:rPr>
        <w:t>符合性分析</w:t>
      </w:r>
      <w:bookmarkEnd w:id="778"/>
      <w:bookmarkEnd w:id="779"/>
    </w:p>
    <w:p>
      <w:pPr>
        <w:spacing w:line="360" w:lineRule="auto"/>
        <w:ind w:firstLine="480" w:firstLineChars="200"/>
        <w:rPr>
          <w:rFonts w:hAnsi="Times New Roman" w:eastAsia="宋体"/>
          <w:lang w:eastAsia="zh-CN"/>
        </w:rPr>
      </w:pPr>
      <w:r>
        <w:rPr>
          <w:rFonts w:hAnsi="Times New Roman" w:eastAsia="宋体"/>
          <w:lang w:eastAsia="zh-CN"/>
        </w:rPr>
        <w:t>根据《四川省人民政府关于印发四川省生态保护红线方案的通知》（川府发〔2018〕24号），主要内容如下：</w:t>
      </w:r>
    </w:p>
    <w:p>
      <w:pPr>
        <w:spacing w:line="360" w:lineRule="auto"/>
        <w:ind w:firstLine="482" w:firstLineChars="200"/>
        <w:rPr>
          <w:rFonts w:hAnsi="Times New Roman" w:eastAsia="宋体"/>
          <w:b/>
          <w:bCs/>
          <w:lang w:eastAsia="zh-CN"/>
        </w:rPr>
      </w:pPr>
      <w:r>
        <w:rPr>
          <w:rFonts w:hAnsi="Times New Roman" w:eastAsia="宋体"/>
          <w:b/>
          <w:bCs/>
          <w:lang w:eastAsia="zh-CN"/>
        </w:rPr>
        <w:t>①总体划定情况</w:t>
      </w:r>
    </w:p>
    <w:p>
      <w:pPr>
        <w:spacing w:line="360" w:lineRule="auto"/>
        <w:ind w:firstLine="480" w:firstLineChars="200"/>
        <w:rPr>
          <w:rFonts w:hAnsi="Times New Roman" w:eastAsia="宋体"/>
          <w:lang w:eastAsia="zh-CN"/>
        </w:rPr>
      </w:pPr>
      <w:r>
        <w:rPr>
          <w:rFonts w:hAnsi="Times New Roman" w:eastAsia="宋体"/>
          <w:lang w:eastAsia="zh-CN"/>
        </w:rPr>
        <w:t>四川省生态保护红线主要分布于川西高山高原、川西南山地和盆周山地，分布格局为“四轴九核”。“四轴”指大巴山、金沙江下游干热河谷、川东南山地以及盆中丘陵区，呈带状分布；“九核”指若尔盖湿地（黄河源）、雅砻江源、大渡河源以及大雪山、沙鲁里山、岷山、邛崃山、凉山——相岭、锦屏山，以水系、山系为骨架集中成片分布。</w:t>
      </w:r>
    </w:p>
    <w:p>
      <w:pPr>
        <w:spacing w:line="360" w:lineRule="auto"/>
        <w:ind w:firstLine="482" w:firstLineChars="200"/>
        <w:rPr>
          <w:rFonts w:hAnsi="Times New Roman" w:eastAsia="宋体"/>
          <w:b/>
          <w:bCs/>
          <w:lang w:eastAsia="zh-CN"/>
        </w:rPr>
      </w:pPr>
      <w:r>
        <w:rPr>
          <w:rFonts w:hAnsi="Times New Roman" w:eastAsia="宋体"/>
          <w:b/>
          <w:bCs/>
          <w:lang w:eastAsia="zh-CN"/>
        </w:rPr>
        <w:t>②生态保护红线类型分布</w:t>
      </w:r>
    </w:p>
    <w:p>
      <w:pPr>
        <w:spacing w:line="360" w:lineRule="auto"/>
        <w:ind w:firstLine="480" w:firstLineChars="200"/>
        <w:rPr>
          <w:rFonts w:hAnsi="Times New Roman" w:eastAsia="宋体"/>
          <w:lang w:eastAsia="zh-CN"/>
        </w:rPr>
      </w:pPr>
      <w:r>
        <w:rPr>
          <w:rFonts w:hAnsi="Times New Roman" w:eastAsia="宋体"/>
          <w:lang w:eastAsia="zh-CN"/>
        </w:rPr>
        <w:t>宣汉县位于大巴山生物多样性保护——水源涵养红线区。</w:t>
      </w:r>
    </w:p>
    <w:p>
      <w:pPr>
        <w:spacing w:line="360" w:lineRule="auto"/>
        <w:ind w:firstLine="480" w:firstLineChars="200"/>
        <w:rPr>
          <w:rFonts w:hAnsi="Times New Roman" w:eastAsia="宋体"/>
          <w:lang w:eastAsia="zh-CN"/>
        </w:rPr>
      </w:pPr>
      <w:r>
        <w:rPr>
          <w:rFonts w:hAnsi="Times New Roman" w:eastAsia="宋体"/>
          <w:lang w:eastAsia="zh-CN"/>
        </w:rPr>
        <w:t>地理分布：该区位于四川盆地北部边缘，属于秦岭——大巴山生物多样性保护与水源涵养重要区，行政区涉及广元市的朝天区、利州区、旺苍县，巴中市的南江县、通江县，达州市的万源市、宣汉县。红线区面积约为0.5万平方公里，占四川省生态保护红线总面积的2.3%，红线地块主要沿大巴山、米仓山一带集中分布。</w:t>
      </w:r>
    </w:p>
    <w:p>
      <w:pPr>
        <w:spacing w:line="360" w:lineRule="auto"/>
        <w:ind w:firstLine="480" w:firstLineChars="200"/>
        <w:rPr>
          <w:rFonts w:hAnsi="Times New Roman" w:eastAsia="宋体"/>
          <w:lang w:eastAsia="zh-CN"/>
        </w:rPr>
      </w:pPr>
      <w:r>
        <w:rPr>
          <w:rFonts w:hAnsi="Times New Roman" w:eastAsia="宋体"/>
          <w:lang w:eastAsia="zh-CN"/>
        </w:rPr>
        <w:t>生态功能：区内森林资源丰富，森林植被空间垂直地带性分布特征明显，有红豆杉、珙桐、林麝、云豹、猕猴等国家重点保护珍稀动植物，是我国乃至东南亚地区暖温带与北亚热带地区生物多样性最丰富的地区之一，属于我国生物多样性保护优先区域。该区还是嘉陵江、渠江和汉江流域的上游源区，是四川盆地水资源的重要补给区，水源涵养功能也十分重要。建有国家级自然保护区3个、省级自然保护区5个、国家级风景名胜区1个、国家地质公园2个、城市集中式饮用水水源保护区4处。</w:t>
      </w:r>
    </w:p>
    <w:p>
      <w:pPr>
        <w:spacing w:line="360" w:lineRule="auto"/>
        <w:ind w:firstLine="480" w:firstLineChars="200"/>
        <w:rPr>
          <w:rFonts w:hAnsi="Times New Roman" w:eastAsia="宋体"/>
          <w:lang w:eastAsia="zh-CN"/>
        </w:rPr>
      </w:pPr>
      <w:r>
        <w:rPr>
          <w:rFonts w:hAnsi="Times New Roman" w:eastAsia="宋体"/>
          <w:lang w:eastAsia="zh-CN"/>
        </w:rPr>
        <w:t>保护重点：保护森林生态系统、野生动植物及其栖息地，维护生物多样性保护和水源涵养功能；加强已有自然保护区管理和能力建设；加强退化生态系统恢复、地质灾害防治和水土流失治理；禁止导致生态功能继续退化的开发活动和其他人为破坏活动。</w:t>
      </w:r>
    </w:p>
    <w:p>
      <w:pPr>
        <w:spacing w:line="360" w:lineRule="auto"/>
        <w:ind w:firstLine="480" w:firstLineChars="200"/>
        <w:rPr>
          <w:rFonts w:hAnsi="Times New Roman" w:eastAsia="宋体"/>
          <w:lang w:eastAsia="zh-CN"/>
        </w:rPr>
      </w:pPr>
      <w:r>
        <w:rPr>
          <w:rFonts w:hAnsi="Times New Roman" w:eastAsia="宋体"/>
          <w:lang w:eastAsia="zh-CN"/>
        </w:rPr>
        <w:t>项目位于四川省达州市宣汉县天生镇洞宫社区神龙路1号，结合上述《通知》对照达州市生态保护红线及生态空间分布图，矿区范围不涉及生态红线，在一般管控单元内，不属于优先保护、重点管控单元，与达州市生态保护红线是相协调的。</w:t>
      </w:r>
    </w:p>
    <w:p>
      <w:pPr>
        <w:pStyle w:val="6"/>
        <w:rPr>
          <w:szCs w:val="22"/>
          <w:lang w:eastAsia="zh-CN"/>
        </w:rPr>
      </w:pPr>
      <w:bookmarkStart w:id="780" w:name="_Toc163812752"/>
      <w:bookmarkStart w:id="781" w:name="_Toc167095376"/>
      <w:r>
        <w:rPr>
          <w:szCs w:val="22"/>
          <w:lang w:eastAsia="zh-CN"/>
        </w:rPr>
        <w:t>14.5.2本项目与环境质量底线符合性分析</w:t>
      </w:r>
      <w:bookmarkEnd w:id="780"/>
      <w:bookmarkEnd w:id="781"/>
    </w:p>
    <w:p>
      <w:pPr>
        <w:spacing w:line="360" w:lineRule="auto"/>
        <w:ind w:firstLine="480" w:firstLineChars="200"/>
        <w:rPr>
          <w:rFonts w:hAnsi="Times New Roman" w:eastAsia="宋体"/>
          <w:lang w:eastAsia="zh-CN"/>
        </w:rPr>
      </w:pPr>
      <w:r>
        <w:rPr>
          <w:rFonts w:hAnsi="Times New Roman" w:eastAsia="宋体"/>
          <w:lang w:eastAsia="zh-CN"/>
        </w:rPr>
        <w:t>项目位于环境空气功能区二类区，执行二级标准。根据2022年《达州市各县（市、区）环境空气质量月报》数据，宣汉县环境空气SO</w:t>
      </w:r>
      <w:r>
        <w:rPr>
          <w:rFonts w:hAnsi="Times New Roman" w:eastAsia="宋体"/>
          <w:vertAlign w:val="subscript"/>
          <w:lang w:eastAsia="zh-CN"/>
        </w:rPr>
        <w:t>2</w:t>
      </w:r>
      <w:r>
        <w:rPr>
          <w:rFonts w:hAnsi="Times New Roman" w:eastAsia="宋体"/>
          <w:lang w:eastAsia="zh-CN"/>
        </w:rPr>
        <w:t>、NO、CO、O</w:t>
      </w:r>
      <w:r>
        <w:rPr>
          <w:rFonts w:hAnsi="Times New Roman" w:eastAsia="宋体"/>
          <w:vertAlign w:val="subscript"/>
          <w:lang w:eastAsia="zh-CN"/>
        </w:rPr>
        <w:t>3</w:t>
      </w:r>
      <w:r>
        <w:rPr>
          <w:rFonts w:hAnsi="Times New Roman" w:eastAsia="宋体"/>
          <w:lang w:eastAsia="zh-CN"/>
        </w:rPr>
        <w:t>、PM</w:t>
      </w:r>
      <w:r>
        <w:rPr>
          <w:rFonts w:hAnsi="Times New Roman" w:eastAsia="宋体"/>
          <w:vertAlign w:val="subscript"/>
          <w:lang w:eastAsia="zh-CN"/>
        </w:rPr>
        <w:t>10</w:t>
      </w:r>
      <w:r>
        <w:rPr>
          <w:rFonts w:hAnsi="Times New Roman" w:eastAsia="宋体"/>
          <w:lang w:eastAsia="zh-CN"/>
        </w:rPr>
        <w:t>、PM</w:t>
      </w:r>
      <w:r>
        <w:rPr>
          <w:rFonts w:hAnsi="Times New Roman" w:eastAsia="宋体"/>
          <w:vertAlign w:val="subscript"/>
          <w:lang w:eastAsia="zh-CN"/>
        </w:rPr>
        <w:t>2.5</w:t>
      </w:r>
      <w:r>
        <w:rPr>
          <w:rFonts w:hAnsi="Times New Roman" w:eastAsia="宋体"/>
          <w:lang w:eastAsia="zh-CN"/>
        </w:rPr>
        <w:t>六项基本指标均达标，项目区域属于达标区。</w:t>
      </w:r>
      <w:r>
        <w:rPr>
          <w:rFonts w:hAnsi="Times New Roman" w:eastAsia="宋体"/>
          <w:spacing w:val="4"/>
          <w:szCs w:val="22"/>
          <w:lang w:eastAsia="zh-CN"/>
        </w:rPr>
        <w:t>本项目监测点TSP满足《环境空气质量标准》（GB 3095-2012）二级标准。</w:t>
      </w:r>
    </w:p>
    <w:p>
      <w:pPr>
        <w:spacing w:line="360" w:lineRule="auto"/>
        <w:ind w:firstLine="480" w:firstLineChars="200"/>
        <w:rPr>
          <w:rFonts w:hAnsi="Times New Roman" w:eastAsia="宋体"/>
          <w:lang w:eastAsia="zh-CN"/>
        </w:rPr>
      </w:pPr>
      <w:r>
        <w:rPr>
          <w:rFonts w:hAnsi="Times New Roman" w:eastAsia="宋体"/>
          <w:lang w:eastAsia="zh-CN"/>
        </w:rPr>
        <w:t>项目最近地表水体为新宁河，适用地表水环境质量为Ⅲ类的水域。根据现状监测资料，项目区域新宁河水质满足《地表水环境质量标准》（GB8978-2002）III 类标准要求限值，七里峡矿独立设计改造完成后，洗浴废水、食堂废水、洗衣房用水经一体化污水处理设备处理后回用于地面防尘用水、绿化用水等，办公生活用水和职工宿舍用水进入化粪池处理后，由达州市鑫通管道疏通有限公司定期清运处置，均不外排。矿井涌水通过“</w:t>
      </w:r>
      <w:r>
        <w:rPr>
          <w:rFonts w:hint="eastAsia" w:hAnsi="Times New Roman" w:eastAsia="宋体"/>
          <w:szCs w:val="24"/>
          <w:lang w:eastAsia="zh-CN"/>
        </w:rPr>
        <w:t>隔油+预沉调节+混凝沉淀+斜管沉淀+石英砂过滤+消毒</w:t>
      </w:r>
      <w:r>
        <w:rPr>
          <w:rFonts w:hAnsi="Times New Roman" w:eastAsia="宋体"/>
          <w:lang w:eastAsia="zh-CN"/>
        </w:rPr>
        <w:t>”处理后，一部分抽至高位水池作为井下降尘及地面生产用水使用，其余部分通过1.5km排水管道引至天生镇王一庙水源保护区下游河段（新宁河）排放。矿井水外排水质满足</w:t>
      </w:r>
      <w:r>
        <w:rPr>
          <w:rFonts w:hAnsi="Times New Roman" w:eastAsia="宋体"/>
          <w:bCs/>
          <w:lang w:eastAsia="zh-CN"/>
        </w:rPr>
        <w:t>《地表水环境质量标准》（GB3838-2002）中Ⅲ类</w:t>
      </w:r>
      <w:r>
        <w:rPr>
          <w:rFonts w:hAnsi="Times New Roman" w:eastAsia="宋体"/>
          <w:lang w:eastAsia="zh-CN"/>
        </w:rPr>
        <w:t>排放限值标准</w:t>
      </w:r>
      <w:r>
        <w:rPr>
          <w:rFonts w:hint="eastAsia" w:hAnsi="Times New Roman" w:eastAsia="宋体"/>
          <w:lang w:eastAsia="zh-CN"/>
        </w:rPr>
        <w:t>，且含盐量</w:t>
      </w:r>
      <w:r>
        <w:rPr>
          <w:rFonts w:hAnsi="Times New Roman" w:eastAsia="宋体"/>
          <w:lang w:eastAsia="zh-CN"/>
        </w:rPr>
        <w:t>≤</w:t>
      </w:r>
      <w:r>
        <w:rPr>
          <w:rFonts w:hint="eastAsia" w:hAnsi="Times New Roman" w:eastAsia="宋体"/>
          <w:lang w:eastAsia="zh-CN"/>
        </w:rPr>
        <w:t>1000mg/L</w:t>
      </w:r>
      <w:r>
        <w:rPr>
          <w:rFonts w:hAnsi="Times New Roman" w:eastAsia="宋体"/>
          <w:lang w:eastAsia="zh-CN"/>
        </w:rPr>
        <w:t>，因此七里峡煤矿独立升级改造后，不会改变周边地表水体的环境质量。</w:t>
      </w:r>
    </w:p>
    <w:p>
      <w:pPr>
        <w:spacing w:line="360" w:lineRule="auto"/>
        <w:ind w:firstLine="480" w:firstLineChars="200"/>
        <w:rPr>
          <w:rFonts w:hAnsi="Times New Roman" w:eastAsia="宋体"/>
          <w:lang w:eastAsia="zh-CN"/>
        </w:rPr>
      </w:pPr>
      <w:r>
        <w:rPr>
          <w:rFonts w:hAnsi="Times New Roman" w:eastAsia="宋体"/>
          <w:lang w:eastAsia="zh-CN"/>
        </w:rPr>
        <w:t>本项目所在区域为2类声环境功能区，根据环境噪声现状监测结果，评价区域各监测点昼夜监测值均能满足《声环境质量标准》GB3096-2008 中2类区域标准限值。总体而言，本项目所在地声环境质量现状良好。本次改扩建后，更换少量机械设备，通过预测对环境的贡献值较小，与本底值叠加后敏感目标仍然满足《声环境质量标准》</w:t>
      </w:r>
      <w:r>
        <w:rPr>
          <w:rFonts w:hint="eastAsia" w:hAnsi="Times New Roman" w:eastAsia="宋体"/>
          <w:lang w:eastAsia="zh-CN"/>
        </w:rPr>
        <w:t>（</w:t>
      </w:r>
      <w:r>
        <w:rPr>
          <w:rFonts w:hAnsi="Times New Roman" w:eastAsia="宋体"/>
          <w:lang w:eastAsia="zh-CN"/>
        </w:rPr>
        <w:t>GB3096－2008</w:t>
      </w:r>
      <w:r>
        <w:rPr>
          <w:rFonts w:hint="eastAsia" w:hAnsi="Times New Roman" w:eastAsia="宋体"/>
          <w:lang w:eastAsia="zh-CN"/>
        </w:rPr>
        <w:t>）</w:t>
      </w:r>
      <w:r>
        <w:rPr>
          <w:rFonts w:hAnsi="Times New Roman" w:eastAsia="宋体"/>
          <w:lang w:eastAsia="zh-CN"/>
        </w:rPr>
        <w:t>中2类标准要求，因此项目实施不会改变项目所在区域的声环境功能。</w:t>
      </w:r>
    </w:p>
    <w:p>
      <w:pPr>
        <w:spacing w:line="360" w:lineRule="auto"/>
        <w:ind w:firstLine="480" w:firstLineChars="200"/>
        <w:rPr>
          <w:rFonts w:hAnsi="Times New Roman" w:eastAsia="宋体"/>
          <w:lang w:eastAsia="zh-CN"/>
        </w:rPr>
      </w:pPr>
      <w:r>
        <w:rPr>
          <w:rFonts w:hAnsi="Times New Roman" w:eastAsia="宋体"/>
          <w:lang w:eastAsia="zh-CN"/>
        </w:rPr>
        <w:t>综上，本项目建设符合环境质量底线要求。</w:t>
      </w:r>
    </w:p>
    <w:p>
      <w:pPr>
        <w:pStyle w:val="6"/>
        <w:rPr>
          <w:bCs/>
          <w:lang w:eastAsia="zh-CN"/>
        </w:rPr>
      </w:pPr>
      <w:bookmarkStart w:id="782" w:name="_Toc167095377"/>
      <w:bookmarkStart w:id="783" w:name="_Toc163812753"/>
      <w:r>
        <w:rPr>
          <w:bCs/>
          <w:lang w:eastAsia="zh-CN"/>
        </w:rPr>
        <w:t>14.5.3资源利用上线</w:t>
      </w:r>
      <w:bookmarkEnd w:id="782"/>
      <w:bookmarkEnd w:id="783"/>
    </w:p>
    <w:p>
      <w:pPr>
        <w:spacing w:line="360" w:lineRule="auto"/>
        <w:ind w:firstLine="480" w:firstLineChars="200"/>
        <w:rPr>
          <w:rFonts w:hAnsi="Times New Roman" w:eastAsia="宋体"/>
          <w:lang w:eastAsia="zh-CN"/>
        </w:rPr>
      </w:pPr>
      <w:r>
        <w:rPr>
          <w:rFonts w:hAnsi="Times New Roman" w:eastAsia="宋体"/>
          <w:lang w:eastAsia="zh-CN"/>
        </w:rPr>
        <w:t>本项目使用的生产用水主要为处理后的矿坑用水及生活废水，新鲜水主要为员工生活用水，用量较少。本次扩建利用原有工业场地，不新增加用地。项目对当地土地资源和水资源利用影响小，满足土地资源和水资源利用上线要求。</w:t>
      </w:r>
    </w:p>
    <w:p>
      <w:pPr>
        <w:pStyle w:val="6"/>
        <w:rPr>
          <w:bCs/>
          <w:lang w:eastAsia="zh-CN"/>
        </w:rPr>
      </w:pPr>
      <w:bookmarkStart w:id="784" w:name="_Toc167095378"/>
      <w:bookmarkStart w:id="785" w:name="_Toc163812754"/>
      <w:r>
        <w:rPr>
          <w:bCs/>
          <w:lang w:eastAsia="zh-CN"/>
        </w:rPr>
        <w:t>14.5.4环境</w:t>
      </w:r>
      <w:r>
        <w:rPr>
          <w:bCs/>
          <w:szCs w:val="22"/>
          <w:lang w:eastAsia="zh-CN"/>
        </w:rPr>
        <w:t>准入</w:t>
      </w:r>
      <w:r>
        <w:rPr>
          <w:bCs/>
          <w:lang w:eastAsia="zh-CN"/>
        </w:rPr>
        <w:t>负面清单</w:t>
      </w:r>
      <w:bookmarkEnd w:id="784"/>
      <w:bookmarkEnd w:id="785"/>
    </w:p>
    <w:p>
      <w:pPr>
        <w:pStyle w:val="14"/>
        <w:spacing w:line="360" w:lineRule="auto"/>
        <w:ind w:firstLine="482" w:firstLineChars="200"/>
        <w:jc w:val="left"/>
        <w:rPr>
          <w:rFonts w:ascii="Times New Roman" w:hAnsi="Times New Roman"/>
          <w:b/>
          <w:kern w:val="0"/>
          <w:sz w:val="24"/>
          <w:szCs w:val="22"/>
          <w:lang w:eastAsia="zh-CN"/>
        </w:rPr>
      </w:pPr>
      <w:r>
        <w:rPr>
          <w:rFonts w:hint="eastAsia" w:ascii="Times New Roman" w:hAnsi="Times New Roman"/>
          <w:b/>
          <w:kern w:val="0"/>
          <w:sz w:val="24"/>
          <w:szCs w:val="22"/>
          <w:lang w:eastAsia="zh-CN"/>
        </w:rPr>
        <w:t>1、与《四川省国家重点生态功能区产业准入负面清单（第一批）（试行）》、及《四川省国家重点生态功能区产业准入负面清单（第二批）（试行）》的符合性</w:t>
      </w:r>
    </w:p>
    <w:p>
      <w:pPr>
        <w:pStyle w:val="14"/>
        <w:spacing w:line="360" w:lineRule="auto"/>
        <w:ind w:firstLine="480" w:firstLineChars="200"/>
        <w:jc w:val="left"/>
        <w:rPr>
          <w:rFonts w:ascii="Times New Roman" w:hAnsi="Times New Roman"/>
          <w:bCs w:val="0"/>
          <w:kern w:val="0"/>
          <w:sz w:val="24"/>
          <w:szCs w:val="22"/>
          <w:lang w:eastAsia="zh-CN"/>
        </w:rPr>
      </w:pPr>
      <w:r>
        <w:rPr>
          <w:rFonts w:ascii="Times New Roman" w:hAnsi="Times New Roman"/>
          <w:bCs w:val="0"/>
          <w:kern w:val="0"/>
          <w:sz w:val="24"/>
          <w:szCs w:val="22"/>
          <w:lang w:eastAsia="zh-CN"/>
        </w:rPr>
        <w:t>2017年8月，四川省发展和改革委员会公布了《四川省国家重点生态功能区产业 准入负面清单（第一批）（试行）》，涉及区县包括北川羌族自治县、平武县、旺苍县、青川县、万源市等，共计42个县。2018 年5月30日，四川省发展和改革委员会公布了《四川省国家重点生态功能区产业准入负面清单（第二批）（试行）》，涉及区县包括沐川县、峨边彝族自治县、马边彝族自治县、石棉县等14个县。本项目所在的宣汉县均不在两次清单的名录之内。</w:t>
      </w:r>
    </w:p>
    <w:p>
      <w:pPr>
        <w:pStyle w:val="14"/>
        <w:spacing w:line="360" w:lineRule="auto"/>
        <w:ind w:firstLine="482" w:firstLineChars="200"/>
        <w:jc w:val="left"/>
        <w:rPr>
          <w:rFonts w:ascii="Times New Roman" w:hAnsi="Times New Roman"/>
          <w:b/>
          <w:kern w:val="0"/>
          <w:sz w:val="24"/>
          <w:szCs w:val="22"/>
          <w:lang w:eastAsia="zh-CN"/>
        </w:rPr>
      </w:pPr>
      <w:r>
        <w:rPr>
          <w:rFonts w:hint="eastAsia" w:ascii="Times New Roman" w:hAnsi="Times New Roman"/>
          <w:b/>
          <w:kern w:val="0"/>
          <w:sz w:val="24"/>
          <w:szCs w:val="22"/>
          <w:lang w:eastAsia="zh-CN"/>
        </w:rPr>
        <w:t>2、与《</w:t>
      </w:r>
      <w:r>
        <w:rPr>
          <w:rFonts w:ascii="Times New Roman" w:hAnsi="Times New Roman"/>
          <w:b/>
          <w:kern w:val="0"/>
          <w:sz w:val="24"/>
          <w:szCs w:val="22"/>
          <w:lang w:eastAsia="zh-CN"/>
        </w:rPr>
        <w:t>长江经济带发展负面清单指南</w:t>
      </w:r>
      <w:r>
        <w:rPr>
          <w:rFonts w:hint="eastAsia" w:ascii="Times New Roman" w:hAnsi="Times New Roman"/>
          <w:b/>
          <w:kern w:val="0"/>
          <w:sz w:val="24"/>
          <w:szCs w:val="22"/>
          <w:lang w:eastAsia="zh-CN"/>
        </w:rPr>
        <w:t>（试行，2022版）》的符合性</w:t>
      </w:r>
    </w:p>
    <w:p>
      <w:pPr>
        <w:pStyle w:val="14"/>
        <w:spacing w:line="360" w:lineRule="auto"/>
        <w:ind w:firstLine="480" w:firstLineChars="200"/>
        <w:jc w:val="left"/>
        <w:rPr>
          <w:rFonts w:ascii="Times New Roman" w:hAnsi="Times New Roman"/>
          <w:bCs w:val="0"/>
          <w:kern w:val="0"/>
          <w:sz w:val="24"/>
          <w:szCs w:val="22"/>
          <w:lang w:eastAsia="zh-CN"/>
        </w:rPr>
      </w:pPr>
      <w:r>
        <w:rPr>
          <w:rFonts w:ascii="Times New Roman" w:hAnsi="Times New Roman"/>
          <w:bCs w:val="0"/>
          <w:kern w:val="0"/>
          <w:sz w:val="24"/>
          <w:szCs w:val="22"/>
          <w:lang w:eastAsia="zh-CN"/>
        </w:rPr>
        <w:t>2022</w:t>
      </w:r>
      <w:r>
        <w:rPr>
          <w:rFonts w:hint="eastAsia" w:ascii="Times New Roman" w:hAnsi="Times New Roman"/>
          <w:bCs w:val="0"/>
          <w:kern w:val="0"/>
          <w:sz w:val="24"/>
          <w:szCs w:val="22"/>
          <w:lang w:eastAsia="zh-CN"/>
        </w:rPr>
        <w:t>年</w:t>
      </w:r>
      <w:r>
        <w:rPr>
          <w:rFonts w:ascii="Times New Roman" w:hAnsi="Times New Roman"/>
          <w:bCs w:val="0"/>
          <w:kern w:val="0"/>
          <w:sz w:val="24"/>
          <w:szCs w:val="22"/>
          <w:lang w:eastAsia="zh-CN"/>
        </w:rPr>
        <w:t>1</w:t>
      </w:r>
      <w:r>
        <w:rPr>
          <w:rFonts w:hint="eastAsia" w:ascii="Times New Roman" w:hAnsi="Times New Roman"/>
          <w:bCs w:val="0"/>
          <w:kern w:val="0"/>
          <w:sz w:val="24"/>
          <w:szCs w:val="22"/>
          <w:lang w:eastAsia="zh-CN"/>
        </w:rPr>
        <w:t>月</w:t>
      </w:r>
      <w:r>
        <w:rPr>
          <w:rFonts w:ascii="Times New Roman" w:hAnsi="Times New Roman"/>
          <w:bCs w:val="0"/>
          <w:kern w:val="0"/>
          <w:sz w:val="24"/>
          <w:szCs w:val="22"/>
          <w:lang w:eastAsia="zh-CN"/>
        </w:rPr>
        <w:t>19</w:t>
      </w:r>
      <w:r>
        <w:rPr>
          <w:rFonts w:hint="eastAsia" w:ascii="Times New Roman" w:hAnsi="Times New Roman"/>
          <w:bCs w:val="0"/>
          <w:kern w:val="0"/>
          <w:sz w:val="24"/>
          <w:szCs w:val="22"/>
          <w:lang w:eastAsia="zh-CN"/>
        </w:rPr>
        <w:t>日，</w:t>
      </w:r>
      <w:r>
        <w:rPr>
          <w:rFonts w:ascii="Times New Roman" w:hAnsi="Times New Roman"/>
          <w:bCs w:val="0"/>
          <w:kern w:val="0"/>
          <w:sz w:val="24"/>
          <w:szCs w:val="22"/>
          <w:lang w:eastAsia="zh-CN"/>
        </w:rPr>
        <w:t> </w:t>
      </w:r>
      <w:r>
        <w:fldChar w:fldCharType="begin"/>
      </w:r>
      <w:r>
        <w:instrText xml:space="preserve"> HYPERLINK "https://www.eiacloud.com/hpyzs/lawsRegulations/searchContent?condition=%E6%8E%A8%E5%8A%A8%E9%95%BF%E6%B1%9F%E7%BB%8F%E6%B5%8E%E5%B8%A6%E5%8F%91%E5%B1%95%E9%A2%86%E5%AF%BC%E5%B0%8F%E7%BB%84%E5%8A%9E%E5%85%AC%E5%AE%A4&amp;unit=1&amp;pageSource=%E9%A6%96%E9%A1%B5" </w:instrText>
      </w:r>
      <w:r>
        <w:fldChar w:fldCharType="separate"/>
      </w:r>
      <w:r>
        <w:rPr>
          <w:rFonts w:ascii="Times New Roman" w:hAnsi="Times New Roman"/>
          <w:bCs w:val="0"/>
          <w:kern w:val="0"/>
          <w:sz w:val="24"/>
          <w:szCs w:val="22"/>
          <w:lang w:eastAsia="zh-CN"/>
        </w:rPr>
        <w:t>推动长江经济带发展领导小组办公室</w:t>
      </w:r>
      <w:r>
        <w:rPr>
          <w:rFonts w:ascii="Times New Roman" w:hAnsi="Times New Roman"/>
          <w:bCs w:val="0"/>
          <w:kern w:val="0"/>
          <w:sz w:val="24"/>
          <w:szCs w:val="22"/>
          <w:lang w:eastAsia="zh-CN"/>
        </w:rPr>
        <w:fldChar w:fldCharType="end"/>
      </w:r>
      <w:r>
        <w:rPr>
          <w:rFonts w:hint="eastAsia" w:ascii="Times New Roman" w:hAnsi="Times New Roman"/>
          <w:bCs w:val="0"/>
          <w:kern w:val="0"/>
          <w:sz w:val="24"/>
          <w:szCs w:val="22"/>
          <w:lang w:eastAsia="zh-CN"/>
        </w:rPr>
        <w:t>发布了</w:t>
      </w:r>
      <w:r>
        <w:rPr>
          <w:rFonts w:ascii="Times New Roman" w:hAnsi="Times New Roman"/>
          <w:bCs w:val="0"/>
          <w:kern w:val="0"/>
          <w:sz w:val="24"/>
          <w:szCs w:val="22"/>
          <w:lang w:eastAsia="zh-CN"/>
        </w:rPr>
        <w:t>《长江经济带发展负面清单指南</w:t>
      </w:r>
      <w:r>
        <w:rPr>
          <w:rFonts w:hint="eastAsia" w:ascii="Times New Roman" w:hAnsi="Times New Roman"/>
          <w:bCs w:val="0"/>
          <w:kern w:val="0"/>
          <w:sz w:val="24"/>
          <w:szCs w:val="22"/>
          <w:lang w:eastAsia="zh-CN"/>
        </w:rPr>
        <w:t>（</w:t>
      </w:r>
      <w:r>
        <w:rPr>
          <w:rFonts w:ascii="Times New Roman" w:hAnsi="Times New Roman"/>
          <w:bCs w:val="0"/>
          <w:kern w:val="0"/>
          <w:sz w:val="24"/>
          <w:szCs w:val="22"/>
          <w:lang w:eastAsia="zh-CN"/>
        </w:rPr>
        <w:t>试行，2022年版）》</w:t>
      </w:r>
      <w:r>
        <w:rPr>
          <w:rFonts w:hint="eastAsia" w:ascii="Times New Roman" w:hAnsi="Times New Roman"/>
          <w:bCs w:val="0"/>
          <w:kern w:val="0"/>
          <w:sz w:val="24"/>
          <w:szCs w:val="22"/>
          <w:lang w:eastAsia="zh-CN"/>
        </w:rPr>
        <w:t>，本项目与该文件符合性见下表。</w:t>
      </w:r>
    </w:p>
    <w:p>
      <w:pPr>
        <w:spacing w:line="360" w:lineRule="auto"/>
        <w:jc w:val="center"/>
        <w:rPr>
          <w:rFonts w:hAnsi="Times New Roman" w:eastAsia="宋体"/>
          <w:b/>
          <w:bCs/>
          <w:sz w:val="21"/>
          <w:szCs w:val="21"/>
          <w:lang w:eastAsia="zh-CN"/>
        </w:rPr>
      </w:pPr>
      <w:r>
        <w:rPr>
          <w:rFonts w:hint="eastAsia" w:hAnsi="Times New Roman" w:eastAsia="宋体"/>
          <w:b/>
          <w:bCs/>
          <w:sz w:val="21"/>
          <w:szCs w:val="21"/>
          <w:lang w:eastAsia="zh-CN"/>
        </w:rPr>
        <w:t>表14.5-1</w:t>
      </w:r>
      <w:r>
        <w:rPr>
          <w:rFonts w:hAnsi="Times New Roman" w:eastAsia="宋体"/>
          <w:b/>
          <w:bCs/>
          <w:sz w:val="21"/>
          <w:szCs w:val="21"/>
          <w:lang w:eastAsia="zh-CN"/>
        </w:rPr>
        <w:t>项目与</w:t>
      </w:r>
      <w:r>
        <w:rPr>
          <w:rFonts w:hint="eastAsia" w:hAnsi="Times New Roman" w:eastAsia="宋体"/>
          <w:b/>
          <w:bCs/>
          <w:sz w:val="21"/>
          <w:szCs w:val="21"/>
          <w:lang w:eastAsia="zh-CN"/>
        </w:rPr>
        <w:t>《</w:t>
      </w:r>
      <w:r>
        <w:rPr>
          <w:rFonts w:hAnsi="Times New Roman" w:eastAsia="宋体"/>
          <w:b/>
          <w:bCs/>
          <w:sz w:val="21"/>
          <w:szCs w:val="21"/>
          <w:lang w:eastAsia="zh-CN"/>
        </w:rPr>
        <w:t>长江经济带发展负面清单指南</w:t>
      </w:r>
      <w:r>
        <w:rPr>
          <w:rFonts w:hint="eastAsia" w:hAnsi="Times New Roman" w:eastAsia="宋体"/>
          <w:b/>
          <w:bCs/>
          <w:sz w:val="21"/>
          <w:szCs w:val="21"/>
          <w:lang w:eastAsia="zh-CN"/>
        </w:rPr>
        <w:t>（试行，2022版）》</w:t>
      </w:r>
      <w:r>
        <w:rPr>
          <w:rFonts w:hAnsi="Times New Roman" w:eastAsia="宋体"/>
          <w:b/>
          <w:bCs/>
          <w:sz w:val="21"/>
          <w:szCs w:val="21"/>
          <w:lang w:eastAsia="zh-CN"/>
        </w:rPr>
        <w:t>符合性分析</w:t>
      </w:r>
    </w:p>
    <w:tbl>
      <w:tblPr>
        <w:tblStyle w:val="3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820"/>
        <w:gridCol w:w="5088"/>
        <w:gridCol w:w="2402"/>
        <w:gridCol w:w="9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blHeader/>
          <w:jc w:val="center"/>
        </w:trPr>
        <w:tc>
          <w:tcPr>
            <w:tcW w:w="444"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序号</w:t>
            </w:r>
          </w:p>
        </w:tc>
        <w:tc>
          <w:tcPr>
            <w:tcW w:w="2754"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原文内容</w:t>
            </w:r>
          </w:p>
        </w:tc>
        <w:tc>
          <w:tcPr>
            <w:tcW w:w="1300"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本项目情况</w:t>
            </w:r>
          </w:p>
        </w:tc>
        <w:tc>
          <w:tcPr>
            <w:tcW w:w="502"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44"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w:t>
            </w:r>
          </w:p>
        </w:tc>
        <w:tc>
          <w:tcPr>
            <w:tcW w:w="2754" w:type="pct"/>
            <w:vAlign w:val="center"/>
          </w:tcPr>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禁止建设不符合全国和省级港口布局规划以及港口总体规划的码头项目，禁止建设不符合《长江干线过江通道布局规划》的过长江通道项目。</w:t>
            </w:r>
          </w:p>
        </w:tc>
        <w:tc>
          <w:tcPr>
            <w:tcW w:w="1300"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本项目不涉及码头及过长江通道项目</w:t>
            </w:r>
          </w:p>
        </w:tc>
        <w:tc>
          <w:tcPr>
            <w:tcW w:w="502"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44"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w:t>
            </w:r>
          </w:p>
        </w:tc>
        <w:tc>
          <w:tcPr>
            <w:tcW w:w="2754" w:type="pct"/>
            <w:vAlign w:val="center"/>
          </w:tcPr>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禁止在自然保护区核心区、缓冲区的岸线和河段范围内投资建设旅游和生产经营项目。禁止在风景名胜区核心景区的岸线和河段范围内投资建设与风景名胜资源保护无关的项目</w:t>
            </w:r>
          </w:p>
        </w:tc>
        <w:tc>
          <w:tcPr>
            <w:tcW w:w="1300"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本项目不涉及自然保护区；项目保留+379m主平硐巷道涉及宣汉国家森林公园观音山景区，但项目保留巷道属于现有巷道，不新建，且巷道保留得到四川省林业和草原局审批允许。</w:t>
            </w:r>
          </w:p>
        </w:tc>
        <w:tc>
          <w:tcPr>
            <w:tcW w:w="502"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44"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w:t>
            </w:r>
          </w:p>
        </w:tc>
        <w:tc>
          <w:tcPr>
            <w:tcW w:w="2754" w:type="pct"/>
            <w:vAlign w:val="center"/>
          </w:tcPr>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禁止在饮用水水源一级保护区的岸线和河段范围内新建、改建、扩建与供水设施和保护水源无关的项目，以及网箱养殖、畜禽养殖、旅游等可能污染饮用水水体的投资建设项目。禁止在饮用水水源二级保护区的岸线和河段范围内新建、改建、扩建排放污染物的投资建设项目</w:t>
            </w:r>
          </w:p>
        </w:tc>
        <w:tc>
          <w:tcPr>
            <w:tcW w:w="1300"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本项目不涉及饮用水源一、二级保护区。项目主井工业广场位于天生镇王一庙集中式饮用水水源保护区上游，项目主井工业场地排水通过1.5km排水管道引至天生镇王一庙水源保护区下游河段（新宁河）排放，不会对饮用水源保护区产生影响。</w:t>
            </w:r>
          </w:p>
        </w:tc>
        <w:tc>
          <w:tcPr>
            <w:tcW w:w="502"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44"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w:t>
            </w:r>
          </w:p>
        </w:tc>
        <w:tc>
          <w:tcPr>
            <w:tcW w:w="2754" w:type="pct"/>
            <w:vAlign w:val="center"/>
          </w:tcPr>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禁止在水产种质资源保护区的岸线和河段范围内新建围湖造田、围海造地或围填海等投资建设项目。禁止在国家湿地公园的岸线和河段范围内挖沙、采矿，以及任何不符合主体功能定位的投资建设项目</w:t>
            </w:r>
          </w:p>
        </w:tc>
        <w:tc>
          <w:tcPr>
            <w:tcW w:w="1300"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本项目不涉及水产种质资源保护区、国家湿地公园</w:t>
            </w:r>
          </w:p>
        </w:tc>
        <w:tc>
          <w:tcPr>
            <w:tcW w:w="502"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44"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w:t>
            </w:r>
          </w:p>
        </w:tc>
        <w:tc>
          <w:tcPr>
            <w:tcW w:w="2754" w:type="pct"/>
            <w:vAlign w:val="center"/>
          </w:tcPr>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禁止违法利用、占用长江流域河湖岸线。禁止在《长江岸线保护和开发利用总体规划》划定的岸线保护区和保留区内投资建设除事关公共安全及公众利益的防洪护岸、河道治理、供水、生态环境保护、航道整治、国家重要基础设施以外的项目。禁止在《全国重要江河湖泊水功能区划》划定的河段及湖泊保护区、保留区内投资建设不利于水资源及自然生态保护的项目</w:t>
            </w:r>
          </w:p>
        </w:tc>
        <w:tc>
          <w:tcPr>
            <w:tcW w:w="1300"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本项目不涉及占用长江流域河湖岸线，不涉及《全国重要江河湖泊水功能区划》划定的河段及湖泊保护区、保留区</w:t>
            </w:r>
          </w:p>
        </w:tc>
        <w:tc>
          <w:tcPr>
            <w:tcW w:w="502"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44"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6</w:t>
            </w:r>
          </w:p>
        </w:tc>
        <w:tc>
          <w:tcPr>
            <w:tcW w:w="2754" w:type="pct"/>
            <w:vAlign w:val="center"/>
          </w:tcPr>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禁止未经许可在长江干支流及湖泊新设、改设或扩大排污口</w:t>
            </w:r>
          </w:p>
        </w:tc>
        <w:tc>
          <w:tcPr>
            <w:tcW w:w="1300"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本项目入河排污口论证已经达州市生态环境局审批通过，详见附件43。</w:t>
            </w:r>
          </w:p>
        </w:tc>
        <w:tc>
          <w:tcPr>
            <w:tcW w:w="502"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44"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7</w:t>
            </w:r>
          </w:p>
        </w:tc>
        <w:tc>
          <w:tcPr>
            <w:tcW w:w="2754" w:type="pct"/>
            <w:vAlign w:val="center"/>
          </w:tcPr>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禁止在“一江一口两湖七河”和332个水生生物保护区开展生产性捕捞</w:t>
            </w:r>
          </w:p>
        </w:tc>
        <w:tc>
          <w:tcPr>
            <w:tcW w:w="1300"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本项目不涉及生产性捕捞</w:t>
            </w:r>
          </w:p>
        </w:tc>
        <w:tc>
          <w:tcPr>
            <w:tcW w:w="502"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44"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8</w:t>
            </w:r>
          </w:p>
        </w:tc>
        <w:tc>
          <w:tcPr>
            <w:tcW w:w="2754" w:type="pct"/>
            <w:vAlign w:val="center"/>
          </w:tcPr>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禁止在长江干支流、重要湖泊岸线一公里范围内新建、扩建化工园区和化工项目。禁止在长江干流岸线三公里范围内和重要支流岸线一公里范围内新建、改建、扩建尾矿库、冶炼渣库和磷石膏库，以提升安全、生态环境保护水平为目的的改建除外</w:t>
            </w:r>
          </w:p>
        </w:tc>
        <w:tc>
          <w:tcPr>
            <w:tcW w:w="1300"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本项目不属于化工园区和化工项目，不属于尾矿库、冶炼渣库和磷石膏库项目</w:t>
            </w:r>
          </w:p>
        </w:tc>
        <w:tc>
          <w:tcPr>
            <w:tcW w:w="502"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44"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9</w:t>
            </w:r>
          </w:p>
        </w:tc>
        <w:tc>
          <w:tcPr>
            <w:tcW w:w="2754" w:type="pct"/>
            <w:vAlign w:val="center"/>
          </w:tcPr>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禁止在合规园区外新建、扩建钢铁、石化、化工、焦化、建材、有色、制浆造纸等高污染项目</w:t>
            </w:r>
          </w:p>
        </w:tc>
        <w:tc>
          <w:tcPr>
            <w:tcW w:w="1300"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本项目在宣汉县煤炭矿区总体规划范围内。</w:t>
            </w:r>
          </w:p>
        </w:tc>
        <w:tc>
          <w:tcPr>
            <w:tcW w:w="502"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44"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w:t>
            </w:r>
          </w:p>
        </w:tc>
        <w:tc>
          <w:tcPr>
            <w:tcW w:w="2754" w:type="pct"/>
            <w:vAlign w:val="center"/>
          </w:tcPr>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禁止新建、扩建不符合国家石化、现代煤化工等产业布局规划的项目</w:t>
            </w:r>
          </w:p>
        </w:tc>
        <w:tc>
          <w:tcPr>
            <w:tcW w:w="1300"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本项目不属于石化、现代煤化工项目</w:t>
            </w:r>
          </w:p>
        </w:tc>
        <w:tc>
          <w:tcPr>
            <w:tcW w:w="502"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44"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11</w:t>
            </w:r>
          </w:p>
        </w:tc>
        <w:tc>
          <w:tcPr>
            <w:tcW w:w="2754" w:type="pct"/>
            <w:vAlign w:val="center"/>
          </w:tcPr>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禁止新建、扩建法律法规和相关政策明令禁止的落后产能项目。禁止新建、扩建不符合国家产能置换要求的严重过剩产能行业的项目。禁止新建、扩建不符合要求的高耗能高排放项目</w:t>
            </w:r>
          </w:p>
        </w:tc>
        <w:tc>
          <w:tcPr>
            <w:tcW w:w="1300"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本项目不属于落后产能、产能置换以及高耗能高排放项目</w:t>
            </w:r>
          </w:p>
        </w:tc>
        <w:tc>
          <w:tcPr>
            <w:tcW w:w="502" w:type="pct"/>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bl>
    <w:p>
      <w:pPr>
        <w:pStyle w:val="14"/>
        <w:spacing w:line="360" w:lineRule="auto"/>
        <w:ind w:firstLine="480" w:firstLineChars="200"/>
        <w:jc w:val="left"/>
        <w:rPr>
          <w:rFonts w:ascii="Times New Roman" w:hAnsi="Times New Roman"/>
          <w:bCs w:val="0"/>
          <w:kern w:val="0"/>
          <w:sz w:val="24"/>
          <w:szCs w:val="22"/>
          <w:lang w:eastAsia="zh-CN"/>
        </w:rPr>
      </w:pPr>
      <w:r>
        <w:rPr>
          <w:rFonts w:ascii="Times New Roman" w:hAnsi="Times New Roman"/>
          <w:bCs w:val="0"/>
          <w:kern w:val="0"/>
          <w:sz w:val="24"/>
          <w:szCs w:val="22"/>
          <w:lang w:eastAsia="zh-CN"/>
        </w:rPr>
        <w:t>综上所述，本项目所在区域不涉及生态保护红线，不涉及环境准入负面清单的问题。根据现场监测与环评预测，项目建设满足环境质量底线要求。因此，本项目的建设符合“三线一单”管控要求。</w:t>
      </w:r>
    </w:p>
    <w:p>
      <w:pPr>
        <w:pStyle w:val="6"/>
        <w:rPr>
          <w:szCs w:val="22"/>
          <w:lang w:eastAsia="zh-CN"/>
        </w:rPr>
      </w:pPr>
      <w:bookmarkStart w:id="786" w:name="_Toc167095379"/>
      <w:bookmarkStart w:id="787" w:name="_Toc163812755"/>
      <w:r>
        <w:rPr>
          <w:szCs w:val="22"/>
          <w:lang w:eastAsia="zh-CN"/>
        </w:rPr>
        <w:t>1</w:t>
      </w:r>
      <w:r>
        <w:rPr>
          <w:rFonts w:hint="eastAsia"/>
          <w:szCs w:val="22"/>
          <w:lang w:eastAsia="zh-CN"/>
        </w:rPr>
        <w:t>4.5.5 “三线一单”符合性分析</w:t>
      </w:r>
      <w:bookmarkEnd w:id="786"/>
    </w:p>
    <w:p>
      <w:pPr>
        <w:pStyle w:val="14"/>
        <w:spacing w:line="360" w:lineRule="auto"/>
        <w:jc w:val="left"/>
        <w:rPr>
          <w:rFonts w:ascii="Times New Roman" w:hAnsi="Times New Roman"/>
          <w:b/>
          <w:kern w:val="0"/>
          <w:sz w:val="24"/>
          <w:szCs w:val="22"/>
          <w:lang w:eastAsia="zh-CN"/>
        </w:rPr>
      </w:pPr>
      <w:r>
        <w:rPr>
          <w:rFonts w:hint="eastAsia" w:ascii="Times New Roman" w:hAnsi="Times New Roman"/>
          <w:b/>
          <w:kern w:val="0"/>
          <w:sz w:val="24"/>
          <w:szCs w:val="22"/>
          <w:lang w:eastAsia="zh-CN"/>
        </w:rPr>
        <w:t>14.5.5.1《</w:t>
      </w:r>
      <w:r>
        <w:rPr>
          <w:rFonts w:ascii="Times New Roman" w:hAnsi="Times New Roman"/>
          <w:b/>
          <w:kern w:val="0"/>
          <w:sz w:val="24"/>
          <w:szCs w:val="22"/>
          <w:lang w:eastAsia="zh-CN"/>
        </w:rPr>
        <w:t>达州市人民政府关于加强生态环境分区管控的通知</w:t>
      </w:r>
      <w:r>
        <w:rPr>
          <w:rFonts w:hint="eastAsia" w:ascii="Times New Roman" w:hAnsi="Times New Roman"/>
          <w:b/>
          <w:kern w:val="0"/>
          <w:sz w:val="24"/>
          <w:szCs w:val="22"/>
          <w:lang w:eastAsia="zh-CN"/>
        </w:rPr>
        <w:t>》的符</w:t>
      </w:r>
      <w:r>
        <w:rPr>
          <w:rFonts w:ascii="Times New Roman" w:hAnsi="Times New Roman"/>
          <w:b/>
          <w:kern w:val="0"/>
          <w:sz w:val="24"/>
          <w:szCs w:val="22"/>
          <w:lang w:eastAsia="zh-CN"/>
        </w:rPr>
        <w:t>性分析</w:t>
      </w:r>
      <w:bookmarkEnd w:id="787"/>
    </w:p>
    <w:p>
      <w:pPr>
        <w:pStyle w:val="14"/>
        <w:spacing w:line="360" w:lineRule="auto"/>
        <w:ind w:firstLine="480" w:firstLineChars="200"/>
        <w:jc w:val="left"/>
        <w:rPr>
          <w:rFonts w:ascii="Times New Roman" w:hAnsi="Times New Roman"/>
          <w:bCs w:val="0"/>
          <w:kern w:val="0"/>
          <w:sz w:val="24"/>
          <w:szCs w:val="22"/>
          <w:lang w:eastAsia="zh-CN"/>
        </w:rPr>
      </w:pPr>
      <w:r>
        <w:rPr>
          <w:rFonts w:ascii="Times New Roman" w:hAnsi="Times New Roman"/>
          <w:bCs w:val="0"/>
          <w:kern w:val="0"/>
          <w:sz w:val="24"/>
          <w:szCs w:val="22"/>
          <w:lang w:eastAsia="zh-CN"/>
        </w:rPr>
        <w:t>达州市人民政府印发了《达州市人民政府关于加强生态环境分区管控的通知》（达市府办函〔2024〕31号）</w:t>
      </w:r>
      <w:r>
        <w:rPr>
          <w:rFonts w:hint="eastAsia" w:ascii="Times New Roman" w:hAnsi="Times New Roman"/>
          <w:bCs w:val="0"/>
          <w:kern w:val="0"/>
          <w:sz w:val="24"/>
          <w:szCs w:val="22"/>
          <w:lang w:eastAsia="zh-CN"/>
        </w:rPr>
        <w:t>，达州市</w:t>
      </w:r>
      <w:r>
        <w:rPr>
          <w:rFonts w:ascii="Times New Roman" w:hAnsi="Times New Roman"/>
          <w:bCs w:val="0"/>
          <w:kern w:val="0"/>
          <w:sz w:val="24"/>
          <w:szCs w:val="22"/>
          <w:lang w:eastAsia="zh-CN"/>
        </w:rPr>
        <w:t xml:space="preserve">全市行政区域从生态环境保护角度划分为优先保护、重点管控和一般管控三类环境管控单元。 </w:t>
      </w:r>
    </w:p>
    <w:p>
      <w:pPr>
        <w:pStyle w:val="14"/>
        <w:spacing w:line="360" w:lineRule="auto"/>
        <w:ind w:firstLine="480" w:firstLineChars="200"/>
        <w:jc w:val="left"/>
        <w:rPr>
          <w:rFonts w:ascii="Times New Roman" w:hAnsi="Times New Roman"/>
          <w:bCs w:val="0"/>
          <w:kern w:val="0"/>
          <w:sz w:val="24"/>
          <w:szCs w:val="22"/>
          <w:lang w:eastAsia="zh-CN"/>
        </w:rPr>
      </w:pPr>
      <w:r>
        <w:rPr>
          <w:rFonts w:ascii="Times New Roman" w:hAnsi="Times New Roman"/>
          <w:bCs w:val="0"/>
          <w:kern w:val="0"/>
          <w:sz w:val="24"/>
          <w:szCs w:val="22"/>
          <w:lang w:eastAsia="zh-CN"/>
        </w:rPr>
        <w:t xml:space="preserve">1．优先保护单元。以生态环境保护为主的区域，全市划分优先保护单元18个，主要包括生态保护红线、自然保护地、饮用水水源保护区等。 </w:t>
      </w:r>
    </w:p>
    <w:p>
      <w:pPr>
        <w:pStyle w:val="14"/>
        <w:spacing w:line="360" w:lineRule="auto"/>
        <w:ind w:firstLine="480" w:firstLineChars="200"/>
        <w:jc w:val="left"/>
        <w:rPr>
          <w:rFonts w:ascii="Times New Roman" w:hAnsi="Times New Roman"/>
          <w:bCs w:val="0"/>
          <w:kern w:val="0"/>
          <w:sz w:val="24"/>
          <w:szCs w:val="22"/>
          <w:lang w:eastAsia="zh-CN"/>
        </w:rPr>
      </w:pPr>
      <w:r>
        <w:rPr>
          <w:rFonts w:ascii="Times New Roman" w:hAnsi="Times New Roman"/>
          <w:bCs w:val="0"/>
          <w:kern w:val="0"/>
          <w:sz w:val="24"/>
          <w:szCs w:val="22"/>
          <w:lang w:eastAsia="zh-CN"/>
        </w:rPr>
        <w:t xml:space="preserve">2．重点管控单元。涉及水、大气、土壤、自然资源等资源环境要素重点管控的区域，全市划分重点管控单元22个，主要包括人口密集的城镇规划区和产业集聚的工业园区（工业集聚区）等。 </w:t>
      </w:r>
    </w:p>
    <w:p>
      <w:pPr>
        <w:pStyle w:val="14"/>
        <w:spacing w:line="360" w:lineRule="auto"/>
        <w:ind w:firstLine="480" w:firstLineChars="200"/>
        <w:jc w:val="left"/>
        <w:rPr>
          <w:rFonts w:ascii="Times New Roman" w:hAnsi="Times New Roman"/>
          <w:bCs w:val="0"/>
          <w:kern w:val="0"/>
          <w:sz w:val="24"/>
          <w:szCs w:val="22"/>
          <w:lang w:eastAsia="zh-CN"/>
        </w:rPr>
      </w:pPr>
      <w:r>
        <w:rPr>
          <w:rFonts w:ascii="Times New Roman" w:hAnsi="Times New Roman"/>
          <w:bCs w:val="0"/>
          <w:kern w:val="0"/>
          <w:sz w:val="24"/>
          <w:szCs w:val="22"/>
          <w:lang w:eastAsia="zh-CN"/>
        </w:rPr>
        <w:t>3．一般管控单元。除优先保护单元和重点管控单元之外的其他区域，全市共划分一般管控单元7个。</w:t>
      </w:r>
    </w:p>
    <w:p>
      <w:pPr>
        <w:pStyle w:val="14"/>
        <w:spacing w:line="360" w:lineRule="auto"/>
        <w:ind w:firstLine="480" w:firstLineChars="200"/>
        <w:jc w:val="left"/>
        <w:rPr>
          <w:rFonts w:ascii="Times New Roman" w:hAnsi="Times New Roman"/>
          <w:bCs w:val="0"/>
          <w:kern w:val="0"/>
          <w:sz w:val="24"/>
          <w:szCs w:val="22"/>
          <w:lang w:eastAsia="zh-CN"/>
        </w:rPr>
      </w:pPr>
      <w:r>
        <w:rPr>
          <w:rFonts w:hint="eastAsia" w:ascii="Times New Roman" w:hAnsi="Times New Roman"/>
          <w:bCs w:val="0"/>
          <w:kern w:val="0"/>
          <w:sz w:val="24"/>
          <w:szCs w:val="22"/>
          <w:lang w:eastAsia="zh-CN"/>
        </w:rPr>
        <w:t>项目与达州市生态环境管控单元的位置关系见下图。</w:t>
      </w:r>
    </w:p>
    <w:p>
      <w:pPr>
        <w:pStyle w:val="2"/>
        <w:ind w:left="0" w:leftChars="0" w:firstLine="0" w:firstLineChars="0"/>
        <w:jc w:val="center"/>
        <w:rPr>
          <w:rFonts w:eastAsiaTheme="minorEastAsia"/>
          <w:lang w:eastAsia="zh-CN"/>
        </w:rPr>
      </w:pPr>
      <w:r>
        <w:rPr>
          <w:bCs/>
          <w:kern w:val="0"/>
          <w:sz w:val="24"/>
          <w:szCs w:val="22"/>
          <w:lang w:eastAsia="zh-CN"/>
        </w:rPr>
        <mc:AlternateContent>
          <mc:Choice Requires="wps">
            <w:drawing>
              <wp:anchor distT="0" distB="0" distL="114300" distR="114300" simplePos="0" relativeHeight="251687936" behindDoc="0" locked="0" layoutInCell="1" allowOverlap="1">
                <wp:simplePos x="0" y="0"/>
                <wp:positionH relativeFrom="column">
                  <wp:posOffset>1529080</wp:posOffset>
                </wp:positionH>
                <wp:positionV relativeFrom="paragraph">
                  <wp:posOffset>1848485</wp:posOffset>
                </wp:positionV>
                <wp:extent cx="832485" cy="271780"/>
                <wp:effectExtent l="0" t="0" r="405765" b="433070"/>
                <wp:wrapNone/>
                <wp:docPr id="1433953031" name="对话气泡: 矩形 10"/>
                <wp:cNvGraphicFramePr/>
                <a:graphic xmlns:a="http://schemas.openxmlformats.org/drawingml/2006/main">
                  <a:graphicData uri="http://schemas.microsoft.com/office/word/2010/wordprocessingShape">
                    <wps:wsp>
                      <wps:cNvSpPr/>
                      <wps:spPr>
                        <a:xfrm>
                          <a:off x="0" y="0"/>
                          <a:ext cx="832485" cy="271780"/>
                        </a:xfrm>
                        <a:prstGeom prst="wedgeRectCallout">
                          <a:avLst>
                            <a:gd name="adj1" fmla="val 89661"/>
                            <a:gd name="adj2" fmla="val 193550"/>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pPr>
                              <w:jc w:val="center"/>
                              <w:rPr>
                                <w:rFonts w:eastAsiaTheme="minorEastAsia"/>
                                <w:color w:val="FF0000"/>
                                <w:sz w:val="15"/>
                                <w:szCs w:val="15"/>
                                <w:lang w:eastAsia="zh-CN"/>
                              </w:rPr>
                            </w:pPr>
                            <w:r>
                              <w:rPr>
                                <w:rFonts w:hint="eastAsia" w:eastAsiaTheme="minorEastAsia"/>
                                <w:color w:val="FF0000"/>
                                <w:sz w:val="15"/>
                                <w:szCs w:val="15"/>
                                <w:lang w:eastAsia="zh-CN"/>
                              </w:rPr>
                              <w:t>本项目所在地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10" o:spid="_x0000_s1026" o:spt="61" type="#_x0000_t61" style="position:absolute;left:0pt;margin-left:120.4pt;margin-top:145.55pt;height:21.4pt;width:65.55pt;z-index:251687936;v-text-anchor:middle;mso-width-relative:page;mso-height-relative:page;" filled="f" stroked="t" coordsize="21600,21600" o:gfxdata="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" adj="30167,52607">
                <v:fill on="f" focussize="0,0"/>
                <v:stroke weight="1pt" color="#223F59 [3204]" miterlimit="8" joinstyle="miter"/>
                <v:imagedata o:title=""/>
                <o:lock v:ext="edit" aspectratio="f"/>
                <v:textbox>
                  <w:txbxContent>
                    <w:p>
                      <w:pPr>
                        <w:jc w:val="center"/>
                        <w:rPr>
                          <w:rFonts w:eastAsiaTheme="minorEastAsia"/>
                          <w:color w:val="FF0000"/>
                          <w:sz w:val="15"/>
                          <w:szCs w:val="15"/>
                          <w:lang w:eastAsia="zh-CN"/>
                        </w:rPr>
                      </w:pPr>
                      <w:r>
                        <w:rPr>
                          <w:rFonts w:hint="eastAsia" w:eastAsiaTheme="minorEastAsia"/>
                          <w:color w:val="FF0000"/>
                          <w:sz w:val="15"/>
                          <w:szCs w:val="15"/>
                          <w:lang w:eastAsia="zh-CN"/>
                        </w:rPr>
                        <w:t>本项目所在地</w:t>
                      </w:r>
                    </w:p>
                  </w:txbxContent>
                </v:textbox>
              </v:shape>
            </w:pict>
          </mc:Fallback>
        </mc:AlternateContent>
      </w:r>
      <w:r>
        <w:rPr>
          <w:bCs/>
          <w:kern w:val="0"/>
          <w:sz w:val="24"/>
          <w:szCs w:val="22"/>
          <w:lang w:eastAsia="zh-CN"/>
        </w:rPr>
        <mc:AlternateContent>
          <mc:Choice Requires="wpg">
            <w:drawing>
              <wp:anchor distT="0" distB="0" distL="114300" distR="114300" simplePos="0" relativeHeight="251686912" behindDoc="0" locked="0" layoutInCell="1" allowOverlap="1">
                <wp:simplePos x="0" y="0"/>
                <wp:positionH relativeFrom="page">
                  <wp:posOffset>3602355</wp:posOffset>
                </wp:positionH>
                <wp:positionV relativeFrom="paragraph">
                  <wp:posOffset>2474595</wp:posOffset>
                </wp:positionV>
                <wp:extent cx="45720" cy="69850"/>
                <wp:effectExtent l="0" t="0" r="31115" b="45085"/>
                <wp:wrapNone/>
                <wp:docPr id="1281351863" name="组合 9"/>
                <wp:cNvGraphicFramePr/>
                <a:graphic xmlns:a="http://schemas.openxmlformats.org/drawingml/2006/main">
                  <a:graphicData uri="http://schemas.microsoft.com/office/word/2010/wordprocessingGroup">
                    <wpg:wgp>
                      <wpg:cNvGrpSpPr/>
                      <wpg:grpSpPr>
                        <a:xfrm>
                          <a:off x="0" y="0"/>
                          <a:ext cx="45719" cy="69669"/>
                          <a:chOff x="0" y="0"/>
                          <a:chExt cx="2618015" cy="3178140"/>
                        </a:xfrm>
                      </wpg:grpSpPr>
                      <wps:wsp>
                        <wps:cNvPr id="1178967690" name="直接连接符 1"/>
                        <wps:cNvCnPr/>
                        <wps:spPr>
                          <a:xfrm>
                            <a:off x="0" y="3107871"/>
                            <a:ext cx="109946" cy="69306"/>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927325759" name="直接连接符 2"/>
                        <wps:cNvCnPr/>
                        <wps:spPr>
                          <a:xfrm flipV="1">
                            <a:off x="108857" y="359228"/>
                            <a:ext cx="2162908" cy="2818912"/>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996671516" name="直接连接符 3"/>
                        <wps:cNvCnPr/>
                        <wps:spPr>
                          <a:xfrm flipV="1">
                            <a:off x="2247900" y="59871"/>
                            <a:ext cx="370115" cy="332468"/>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093076067" name="直接连接符 4"/>
                        <wps:cNvCnPr/>
                        <wps:spPr>
                          <a:xfrm flipH="1" flipV="1">
                            <a:off x="2541815" y="5442"/>
                            <a:ext cx="65314" cy="54429"/>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81938431" name="直接连接符 5"/>
                        <wps:cNvCnPr/>
                        <wps:spPr>
                          <a:xfrm flipH="1">
                            <a:off x="843643" y="0"/>
                            <a:ext cx="1699358" cy="205740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132299021" name="直接连接符 6"/>
                        <wps:cNvCnPr/>
                        <wps:spPr>
                          <a:xfrm flipH="1" flipV="1">
                            <a:off x="625929" y="1992085"/>
                            <a:ext cx="222738" cy="64477"/>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965653958" name="直接连接符 7"/>
                        <wps:cNvCnPr/>
                        <wps:spPr>
                          <a:xfrm>
                            <a:off x="625929" y="1997528"/>
                            <a:ext cx="111369" cy="9378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636248585" name="直接连接符 8"/>
                        <wps:cNvCnPr/>
                        <wps:spPr>
                          <a:xfrm flipH="1">
                            <a:off x="5443" y="2095500"/>
                            <a:ext cx="732449" cy="996462"/>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组合 9" o:spid="_x0000_s1026" o:spt="203" style="position:absolute;left:0pt;margin-left:283.65pt;margin-top:194.85pt;height:5.5pt;width:3.6pt;mso-position-horizontal-relative:page;z-index:251686912;mso-width-relative:page;mso-height-relative:page;" coordsize="2618015,3178140" o:gfxdata="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">
                <o:lock v:ext="edit" aspectratio="f"/>
                <v:line id="直接连接符 1" o:spid="_x0000_s1026" o:spt="20" style="position:absolute;left:0;top:3107871;height:69306;width:109946;" filled="f" stroked="t" coordsize="21600,21600" o:gfxdata="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NqZ&#10;4MvCAAAA4wAAAA8AAAAAAAAAAQAgAAAAIgAAAGRycy9kb3ducmV2LnhtbFBLAQIUABQAAAAIAIdO&#10;4kAzLwWeOwAAADkAAAAQAAAAAAAAAAEAIAAAABEBAABkcnMvc2hhcGV4bWwueG1sUEsFBgAAAAAG&#10;AAYAWwEAALsDAAAAAA==&#10;">
                  <v:fill on="f" focussize="0,0"/>
                  <v:stroke weight="0.5pt" color="#FF0000 [3204]" miterlimit="8" joinstyle="miter"/>
                  <v:imagedata o:title=""/>
                  <o:lock v:ext="edit" aspectratio="f"/>
                </v:line>
                <v:line id="直接连接符 2" o:spid="_x0000_s1026" o:spt="20" style="position:absolute;left:108857;top:359228;flip:y;height:2818912;width:2162908;" filled="f" stroked="t" coordsize="21600,21600" o:gfxdata="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GeB&#10;GnTCAAAA4wAAAA8AAAAAAAAAAQAgAAAAIgAAAGRycy9kb3ducmV2LnhtbFBLAQIUABQAAAAIAIdO&#10;4kAzLwWeOwAAADkAAAAQAAAAAAAAAAEAIAAAABEBAABkcnMvc2hhcGV4bWwueG1sUEsFBgAAAAAG&#10;AAYAWwEAALsDAAAAAA==&#10;">
                  <v:fill on="f" focussize="0,0"/>
                  <v:stroke weight="0.5pt" color="#FF0000 [3204]" miterlimit="8" joinstyle="miter"/>
                  <v:imagedata o:title=""/>
                  <o:lock v:ext="edit" aspectratio="f"/>
                </v:line>
                <v:line id="直接连接符 3" o:spid="_x0000_s1026" o:spt="20" style="position:absolute;left:2247900;top:59871;flip:y;height:332468;width:370115;" filled="f" stroked="t" coordsize="21600,21600" o:gfxdata="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Gcl3&#10;ZsEAAADjAAAADwAAAAAAAAABACAAAAAiAAAAZHJzL2Rvd25yZXYueG1sUEsBAhQAFAAAAAgAh07i&#10;QDMvBZ47AAAAOQAAABAAAAAAAAAAAQAgAAAAEAEAAGRycy9zaGFwZXhtbC54bWxQSwUGAAAAAAYA&#10;BgBbAQAAugMAAAAA&#10;">
                  <v:fill on="f" focussize="0,0"/>
                  <v:stroke weight="0.5pt" color="#FF0000 [3204]" miterlimit="8" joinstyle="miter"/>
                  <v:imagedata o:title=""/>
                  <o:lock v:ext="edit" aspectratio="f"/>
                </v:line>
                <v:line id="直接连接符 4" o:spid="_x0000_s1026" o:spt="20" style="position:absolute;left:2541815;top:5442;flip:x y;height:54429;width:65314;" filled="f" stroked="t" coordsize="21600,21600" o:gfxdata="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nmkxo&#10;wAAAAOMAAAAPAAAAAAAAAAEAIAAAACIAAABkcnMvZG93bnJldi54bWxQSwECFAAUAAAACACHTuJA&#10;My8FnjsAAAA5AAAAEAAAAAAAAAABACAAAAAPAQAAZHJzL3NoYXBleG1sLnhtbFBLBQYAAAAABgAG&#10;AFsBAAC5AwAAAAA=&#10;">
                  <v:fill on="f" focussize="0,0"/>
                  <v:stroke weight="0.5pt" color="#FF0000 [3204]" miterlimit="8" joinstyle="miter"/>
                  <v:imagedata o:title=""/>
                  <o:lock v:ext="edit" aspectratio="f"/>
                </v:line>
                <v:line id="直接连接符 5" o:spid="_x0000_s1026" o:spt="20" style="position:absolute;left:843643;top:0;flip:x;height:2057400;width:1699358;" filled="f" stroked="t" coordsize="21600,21600" o:gfxdata="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LDJg6MQAAADiAAAADwAAAAAAAAABACAAAAAiAAAAZHJzL2Rvd25yZXYueG1sUEsBAhQAFAAAAAgA&#10;h07iQDMvBZ47AAAAOQAAABAAAAAAAAAAAQAgAAAAEwEAAGRycy9zaGFwZXhtbC54bWxQSwUGAAAA&#10;AAYABgBbAQAAvQMAAAAA&#10;">
                  <v:fill on="f" focussize="0,0"/>
                  <v:stroke weight="0.5pt" color="#FF0000 [3204]" miterlimit="8" joinstyle="miter"/>
                  <v:imagedata o:title=""/>
                  <o:lock v:ext="edit" aspectratio="f"/>
                </v:line>
                <v:line id="直接连接符 6" o:spid="_x0000_s1026" o:spt="20" style="position:absolute;left:625929;top:1992085;flip:x y;height:64477;width:222738;" filled="f" stroked="t" coordsize="21600,21600" o:gfxdata="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s2be&#10;EMEAAADjAAAADwAAAAAAAAABACAAAAAiAAAAZHJzL2Rvd25yZXYueG1sUEsBAhQAFAAAAAgAh07i&#10;QDMvBZ47AAAAOQAAABAAAAAAAAAAAQAgAAAAEAEAAGRycy9zaGFwZXhtbC54bWxQSwUGAAAAAAYA&#10;BgBbAQAAugMAAAAA&#10;">
                  <v:fill on="f" focussize="0,0"/>
                  <v:stroke weight="0.5pt" color="#FF0000 [3204]" miterlimit="8" joinstyle="miter"/>
                  <v:imagedata o:title=""/>
                  <o:lock v:ext="edit" aspectratio="f"/>
                </v:line>
                <v:line id="直接连接符 7" o:spid="_x0000_s1026" o:spt="20" style="position:absolute;left:625929;top:1997528;height:93785;width:111369;" filled="f" stroked="t" coordsize="21600,21600" o:gfxdata="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PICWL4A&#10;AADiAAAADwAAAAAAAAABACAAAAAiAAAAZHJzL2Rvd25yZXYueG1sUEsBAhQAFAAAAAgAh07iQDMv&#10;BZ47AAAAOQAAABAAAAAAAAAAAQAgAAAADQEAAGRycy9zaGFwZXhtbC54bWxQSwUGAAAAAAYABgBb&#10;AQAAtwMAAAAA&#10;">
                  <v:fill on="f" focussize="0,0"/>
                  <v:stroke weight="0.5pt" color="#FF0000 [3204]" miterlimit="8" joinstyle="miter"/>
                  <v:imagedata o:title=""/>
                  <o:lock v:ext="edit" aspectratio="f"/>
                </v:line>
                <v:line id="直接连接符 8" o:spid="_x0000_s1026" o:spt="20" style="position:absolute;left:5443;top:2095500;flip:x;height:996462;width:732449;" filled="f" stroked="t" coordsize="21600,21600" o:gfxdata="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r&#10;Z6M9wwAAAOIAAAAPAAAAAAAAAAEAIAAAACIAAABkcnMvZG93bnJldi54bWxQSwECFAAUAAAACACH&#10;TuJAMy8FnjsAAAA5AAAAEAAAAAAAAAABACAAAAASAQAAZHJzL3NoYXBleG1sLnhtbFBLBQYAAAAA&#10;BgAGAFsBAAC8AwAAAAA=&#10;">
                  <v:fill on="f" focussize="0,0"/>
                  <v:stroke weight="0.5pt" color="#FF0000 [3204]" miterlimit="8" joinstyle="miter"/>
                  <v:imagedata o:title=""/>
                  <o:lock v:ext="edit" aspectratio="f"/>
                </v:line>
              </v:group>
            </w:pict>
          </mc:Fallback>
        </mc:AlternateContent>
      </w:r>
      <w:r>
        <w:drawing>
          <wp:inline distT="0" distB="0" distL="0" distR="0">
            <wp:extent cx="5795645" cy="4119880"/>
            <wp:effectExtent l="0" t="0" r="0" b="0"/>
            <wp:docPr id="11153887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388762" name="图片 1"/>
                    <pic:cNvPicPr>
                      <a:picLocks noChangeAspect="1"/>
                    </pic:cNvPicPr>
                  </pic:nvPicPr>
                  <pic:blipFill>
                    <a:blip r:embed="rId269"/>
                    <a:stretch>
                      <a:fillRect/>
                    </a:stretch>
                  </pic:blipFill>
                  <pic:spPr>
                    <a:xfrm>
                      <a:off x="0" y="0"/>
                      <a:ext cx="5795645" cy="4119880"/>
                    </a:xfrm>
                    <a:prstGeom prst="rect">
                      <a:avLst/>
                    </a:prstGeom>
                  </pic:spPr>
                </pic:pic>
              </a:graphicData>
            </a:graphic>
          </wp:inline>
        </w:drawing>
      </w:r>
    </w:p>
    <w:p>
      <w:pPr>
        <w:jc w:val="center"/>
        <w:rPr>
          <w:rFonts w:eastAsiaTheme="minorEastAsia"/>
          <w:b/>
          <w:bCs/>
          <w:sz w:val="21"/>
          <w:szCs w:val="21"/>
          <w:lang w:eastAsia="zh-CN"/>
        </w:rPr>
      </w:pPr>
      <w:r>
        <w:rPr>
          <w:rFonts w:hint="eastAsia" w:eastAsiaTheme="minorEastAsia"/>
          <w:b/>
          <w:bCs/>
          <w:sz w:val="21"/>
          <w:szCs w:val="21"/>
          <w:lang w:eastAsia="zh-CN"/>
        </w:rPr>
        <w:t>附图14.5-1 项目与达州市生态环境管控单元位置关系图</w:t>
      </w:r>
    </w:p>
    <w:p>
      <w:pPr>
        <w:pStyle w:val="14"/>
        <w:spacing w:line="360" w:lineRule="auto"/>
        <w:ind w:firstLine="480" w:firstLineChars="200"/>
        <w:jc w:val="left"/>
        <w:rPr>
          <w:rFonts w:eastAsiaTheme="minorEastAsia"/>
          <w:lang w:eastAsia="zh-CN"/>
        </w:rPr>
      </w:pPr>
      <w:r>
        <w:rPr>
          <w:rFonts w:ascii="Times New Roman" w:hAnsi="Times New Roman"/>
          <w:bCs w:val="0"/>
          <w:kern w:val="0"/>
          <w:sz w:val="24"/>
          <w:szCs w:val="22"/>
          <w:lang w:eastAsia="zh-CN"/>
        </w:rPr>
        <w:t>项目与达州市及</w:t>
      </w:r>
      <w:r>
        <w:rPr>
          <w:rFonts w:hint="eastAsia" w:ascii="Times New Roman" w:hAnsi="Times New Roman"/>
          <w:bCs w:val="0"/>
          <w:kern w:val="0"/>
          <w:sz w:val="24"/>
          <w:szCs w:val="22"/>
          <w:lang w:eastAsia="zh-CN"/>
        </w:rPr>
        <w:t>宣汉县、开江县总体生态环境</w:t>
      </w:r>
      <w:r>
        <w:rPr>
          <w:rFonts w:ascii="Times New Roman" w:hAnsi="Times New Roman"/>
          <w:bCs w:val="0"/>
          <w:kern w:val="0"/>
          <w:sz w:val="24"/>
          <w:szCs w:val="22"/>
          <w:lang w:eastAsia="zh-CN"/>
        </w:rPr>
        <w:t>管控要求符合性分析</w:t>
      </w:r>
      <w:r>
        <w:rPr>
          <w:rFonts w:hint="eastAsia" w:ascii="Times New Roman" w:hAnsi="Times New Roman"/>
          <w:bCs w:val="0"/>
          <w:kern w:val="0"/>
          <w:sz w:val="24"/>
          <w:szCs w:val="22"/>
          <w:lang w:eastAsia="zh-CN"/>
        </w:rPr>
        <w:t>见表14.5-2。</w:t>
      </w:r>
    </w:p>
    <w:p>
      <w:pPr>
        <w:jc w:val="center"/>
        <w:rPr>
          <w:b/>
          <w:bCs/>
          <w:szCs w:val="21"/>
        </w:rPr>
      </w:pPr>
      <w:r>
        <w:rPr>
          <w:rFonts w:hint="eastAsia" w:eastAsiaTheme="minorEastAsia"/>
          <w:b/>
          <w:bCs/>
          <w:sz w:val="21"/>
          <w:szCs w:val="21"/>
          <w:lang w:eastAsia="zh-CN"/>
        </w:rPr>
        <w:t xml:space="preserve">表14.5-2 </w:t>
      </w:r>
      <w:r>
        <w:rPr>
          <w:rFonts w:eastAsiaTheme="minorEastAsia"/>
          <w:b/>
          <w:bCs/>
          <w:sz w:val="21"/>
          <w:szCs w:val="21"/>
          <w:lang w:eastAsia="zh-CN"/>
        </w:rPr>
        <w:t>项目与达州市及</w:t>
      </w:r>
      <w:r>
        <w:rPr>
          <w:rFonts w:hint="eastAsia" w:eastAsiaTheme="minorEastAsia"/>
          <w:b/>
          <w:bCs/>
          <w:sz w:val="21"/>
          <w:szCs w:val="21"/>
          <w:lang w:eastAsia="zh-CN"/>
        </w:rPr>
        <w:t>宣汉县、开江县总体生态环境</w:t>
      </w:r>
      <w:r>
        <w:rPr>
          <w:rFonts w:eastAsiaTheme="minorEastAsia"/>
          <w:b/>
          <w:bCs/>
          <w:sz w:val="21"/>
          <w:szCs w:val="21"/>
          <w:lang w:eastAsia="zh-CN"/>
        </w:rPr>
        <w:t>管控要求符合性分析</w:t>
      </w:r>
    </w:p>
    <w:tbl>
      <w:tblPr>
        <w:tblStyle w:val="33"/>
        <w:tblW w:w="5000"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524"/>
        <w:gridCol w:w="6429"/>
        <w:gridCol w:w="1839"/>
        <w:gridCol w:w="551"/>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58" w:hRule="atLeast"/>
          <w:tblHeader/>
          <w:jc w:val="center"/>
        </w:trPr>
        <w:tc>
          <w:tcPr>
            <w:tcW w:w="363" w:type="pc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行政区划</w:t>
            </w:r>
          </w:p>
        </w:tc>
        <w:tc>
          <w:tcPr>
            <w:tcW w:w="3523" w:type="pc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总体生态管控要求</w:t>
            </w:r>
          </w:p>
        </w:tc>
        <w:tc>
          <w:tcPr>
            <w:tcW w:w="737" w:type="pc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本项目</w:t>
            </w:r>
          </w:p>
        </w:tc>
        <w:tc>
          <w:tcPr>
            <w:tcW w:w="377" w:type="pc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符合性</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58" w:hRule="atLeast"/>
          <w:jc w:val="center"/>
        </w:trPr>
        <w:tc>
          <w:tcPr>
            <w:tcW w:w="363" w:type="pct"/>
            <w:vMerge w:val="restar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达州市</w:t>
            </w:r>
          </w:p>
        </w:tc>
        <w:tc>
          <w:tcPr>
            <w:tcW w:w="3523" w:type="pc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1、长江干支流岸线1 千米范围内，不得新建、扩建化工园区和化工项目；</w:t>
            </w:r>
          </w:p>
        </w:tc>
        <w:tc>
          <w:tcPr>
            <w:tcW w:w="737" w:type="pc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不涉及</w:t>
            </w:r>
          </w:p>
        </w:tc>
        <w:tc>
          <w:tcPr>
            <w:tcW w:w="377" w:type="pc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58" w:hRule="atLeast"/>
          <w:jc w:val="center"/>
        </w:trPr>
        <w:tc>
          <w:tcPr>
            <w:tcW w:w="363" w:type="pct"/>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p>
        </w:tc>
        <w:tc>
          <w:tcPr>
            <w:tcW w:w="3523" w:type="pc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2、严控产业转移环境准入；</w:t>
            </w:r>
          </w:p>
        </w:tc>
        <w:tc>
          <w:tcPr>
            <w:tcW w:w="737" w:type="pc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不涉及</w:t>
            </w:r>
          </w:p>
        </w:tc>
        <w:tc>
          <w:tcPr>
            <w:tcW w:w="377" w:type="pc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58" w:hRule="atLeast"/>
          <w:jc w:val="center"/>
        </w:trPr>
        <w:tc>
          <w:tcPr>
            <w:tcW w:w="363" w:type="pct"/>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p>
        </w:tc>
        <w:tc>
          <w:tcPr>
            <w:tcW w:w="3523" w:type="pc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3、引进项目应符合园区规划环评和区域产业准入清单要求；</w:t>
            </w:r>
          </w:p>
        </w:tc>
        <w:tc>
          <w:tcPr>
            <w:tcW w:w="737" w:type="pc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本项目符合宣汉县煤炭矿区总体规划及规划环评的产业准入清单要求</w:t>
            </w:r>
          </w:p>
        </w:tc>
        <w:tc>
          <w:tcPr>
            <w:tcW w:w="377" w:type="pc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58" w:hRule="atLeast"/>
          <w:jc w:val="center"/>
        </w:trPr>
        <w:tc>
          <w:tcPr>
            <w:tcW w:w="363" w:type="pct"/>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p>
        </w:tc>
        <w:tc>
          <w:tcPr>
            <w:tcW w:w="3523" w:type="pc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4、造纸等产业污染治理和环境管理应达到国内先进水平。优化制浆造纸产业布局，提升行业清洁生产水平，推动制浆造纸工业向节能、环保、绿色方向发展；</w:t>
            </w:r>
          </w:p>
        </w:tc>
        <w:tc>
          <w:tcPr>
            <w:tcW w:w="737" w:type="pc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不涉及</w:t>
            </w:r>
          </w:p>
        </w:tc>
        <w:tc>
          <w:tcPr>
            <w:tcW w:w="377" w:type="pc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58" w:hRule="atLeast"/>
          <w:jc w:val="center"/>
        </w:trPr>
        <w:tc>
          <w:tcPr>
            <w:tcW w:w="363" w:type="pct"/>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p>
        </w:tc>
        <w:tc>
          <w:tcPr>
            <w:tcW w:w="3523" w:type="pc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5、深化成都平原、川南、川东北地区大气污染联防联控工作机制，加强川渝地区联防联控。强化重污染天气区域应急联动机制，深化区域重污染天气联合应对；</w:t>
            </w:r>
          </w:p>
        </w:tc>
        <w:tc>
          <w:tcPr>
            <w:tcW w:w="737" w:type="pc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本项目严格按照达州市重污染天气应急预案相关要求执行</w:t>
            </w:r>
          </w:p>
        </w:tc>
        <w:tc>
          <w:tcPr>
            <w:tcW w:w="377" w:type="pc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58" w:hRule="atLeast"/>
          <w:jc w:val="center"/>
        </w:trPr>
        <w:tc>
          <w:tcPr>
            <w:tcW w:w="363" w:type="pct"/>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p>
        </w:tc>
        <w:tc>
          <w:tcPr>
            <w:tcW w:w="3523" w:type="pc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6、钢铁行业项目新建应参考达州市“三线一单”生态环境分区管控中钢铁行业资源环境绩效准入门槛；达钢等高污染企业限期退城入园；普光气田开发污染防治和环境管理等方面要达到国内先进水平；</w:t>
            </w:r>
          </w:p>
        </w:tc>
        <w:tc>
          <w:tcPr>
            <w:tcW w:w="737" w:type="pc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不涉及</w:t>
            </w:r>
          </w:p>
        </w:tc>
        <w:tc>
          <w:tcPr>
            <w:tcW w:w="377" w:type="pc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58" w:hRule="atLeast"/>
          <w:jc w:val="center"/>
        </w:trPr>
        <w:tc>
          <w:tcPr>
            <w:tcW w:w="363" w:type="pct"/>
            <w:vMerge w:val="restar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宣汉县</w:t>
            </w:r>
          </w:p>
        </w:tc>
        <w:tc>
          <w:tcPr>
            <w:tcW w:w="3523" w:type="pc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1. 优化天然气化工、硫化工、锂钾综合开发、冶金建材、新材料 等产业布局，切实做好危险化学品生产、使用、贮运、废弃全过程的安全防范措施，妥善处理好锂钾综合开发产业副产物及“三废”的综合利用途径或处置去向。</w:t>
            </w:r>
          </w:p>
        </w:tc>
        <w:tc>
          <w:tcPr>
            <w:tcW w:w="737" w:type="pc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不涉及</w:t>
            </w:r>
          </w:p>
        </w:tc>
        <w:tc>
          <w:tcPr>
            <w:tcW w:w="377" w:type="pc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58" w:hRule="atLeast"/>
          <w:jc w:val="center"/>
        </w:trPr>
        <w:tc>
          <w:tcPr>
            <w:tcW w:w="363" w:type="pct"/>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p>
        </w:tc>
        <w:tc>
          <w:tcPr>
            <w:tcW w:w="3523" w:type="pc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2. 打好升级版污染防治攻坚战。持续优化调整产业布局，以细颗 粒物（PM</w:t>
            </w:r>
            <w:r>
              <w:rPr>
                <w:rFonts w:hint="eastAsia" w:hAnsi="Times New Roman" w:eastAsia="宋体"/>
                <w:kern w:val="2"/>
                <w:sz w:val="21"/>
                <w:szCs w:val="21"/>
                <w:vertAlign w:val="subscript"/>
                <w:lang w:eastAsia="zh-CN"/>
              </w:rPr>
              <w:t>2.5</w:t>
            </w:r>
            <w:r>
              <w:rPr>
                <w:rFonts w:hint="eastAsia" w:hAnsi="Times New Roman" w:eastAsia="宋体"/>
                <w:kern w:val="2"/>
                <w:sz w:val="21"/>
                <w:szCs w:val="21"/>
                <w:lang w:eastAsia="zh-CN"/>
              </w:rPr>
              <w:t>）和臭氧（O</w:t>
            </w:r>
            <w:r>
              <w:rPr>
                <w:rFonts w:hint="eastAsia" w:hAnsi="Times New Roman" w:eastAsia="宋体"/>
                <w:kern w:val="2"/>
                <w:sz w:val="21"/>
                <w:szCs w:val="21"/>
                <w:vertAlign w:val="subscript"/>
                <w:lang w:eastAsia="zh-CN"/>
              </w:rPr>
              <w:t>3</w:t>
            </w:r>
            <w:r>
              <w:rPr>
                <w:rFonts w:hint="eastAsia" w:hAnsi="Times New Roman" w:eastAsia="宋体"/>
                <w:kern w:val="2"/>
                <w:sz w:val="21"/>
                <w:szCs w:val="21"/>
                <w:lang w:eastAsia="zh-CN"/>
              </w:rPr>
              <w:t>）污染协同控制为重点，全面开展挥发性有机物（VOCs）治理，实施移动源整治，持续推进空气质量精细化管理。 引进项目应符合园区规划环评和区域产业准入清单要求。</w:t>
            </w:r>
          </w:p>
        </w:tc>
        <w:tc>
          <w:tcPr>
            <w:tcW w:w="737" w:type="pc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严格采取严格的扬尘防治措施后可以实现达标排放</w:t>
            </w:r>
          </w:p>
        </w:tc>
        <w:tc>
          <w:tcPr>
            <w:tcW w:w="377" w:type="pc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58" w:hRule="atLeast"/>
          <w:jc w:val="center"/>
        </w:trPr>
        <w:tc>
          <w:tcPr>
            <w:tcW w:w="363" w:type="pct"/>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p>
        </w:tc>
        <w:tc>
          <w:tcPr>
            <w:tcW w:w="3523" w:type="pc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3. 加强小流域水环境保护，推动农村环保基础设施建设，全面推 进农村环境综合整治、生活污水处理项目。</w:t>
            </w:r>
          </w:p>
        </w:tc>
        <w:tc>
          <w:tcPr>
            <w:tcW w:w="737" w:type="pc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本项目矿井涌水经处理达到《地表水环境质量标准》（GB3838-2002）</w:t>
            </w:r>
            <w:r>
              <w:rPr>
                <w:rFonts w:hint="eastAsia" w:hAnsi="Times New Roman" w:eastAsia="宋体"/>
                <w:kern w:val="2"/>
                <w:sz w:val="21"/>
                <w:szCs w:val="21"/>
                <w:lang w:eastAsia="zh-CN"/>
              </w:rPr>
              <w:fldChar w:fldCharType="begin"/>
            </w:r>
            <w:r>
              <w:rPr>
                <w:rFonts w:hint="eastAsia" w:hAnsi="Times New Roman" w:eastAsia="宋体"/>
                <w:kern w:val="2"/>
                <w:sz w:val="21"/>
                <w:szCs w:val="21"/>
                <w:lang w:eastAsia="zh-CN"/>
              </w:rPr>
              <w:instrText xml:space="preserve"> = 3 \* ROMAN </w:instrText>
            </w:r>
            <w:r>
              <w:rPr>
                <w:rFonts w:hint="eastAsia" w:hAnsi="Times New Roman" w:eastAsia="宋体"/>
                <w:kern w:val="2"/>
                <w:sz w:val="21"/>
                <w:szCs w:val="21"/>
                <w:lang w:eastAsia="zh-CN"/>
              </w:rPr>
              <w:fldChar w:fldCharType="separate"/>
            </w:r>
            <w:r>
              <w:rPr>
                <w:rFonts w:hint="eastAsia" w:hAnsi="Times New Roman" w:eastAsia="宋体"/>
                <w:kern w:val="2"/>
                <w:sz w:val="21"/>
                <w:szCs w:val="21"/>
                <w:lang w:eastAsia="zh-CN"/>
              </w:rPr>
              <w:t>III</w:t>
            </w:r>
            <w:r>
              <w:rPr>
                <w:rFonts w:hint="eastAsia" w:hAnsi="Times New Roman" w:eastAsia="宋体"/>
                <w:kern w:val="2"/>
                <w:sz w:val="21"/>
                <w:szCs w:val="21"/>
                <w:lang w:eastAsia="zh-CN"/>
              </w:rPr>
              <w:fldChar w:fldCharType="end"/>
            </w:r>
            <w:r>
              <w:rPr>
                <w:rFonts w:hint="eastAsia" w:hAnsi="Times New Roman" w:eastAsia="宋体"/>
                <w:kern w:val="2"/>
                <w:sz w:val="21"/>
                <w:szCs w:val="21"/>
                <w:lang w:eastAsia="zh-CN"/>
              </w:rPr>
              <w:t>类水域标准，含盐量≤1000mg/L后排入新宁河，不会对新宁河水环境质量产生影响</w:t>
            </w:r>
          </w:p>
        </w:tc>
        <w:tc>
          <w:tcPr>
            <w:tcW w:w="377" w:type="pc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58" w:hRule="atLeast"/>
          <w:jc w:val="center"/>
        </w:trPr>
        <w:tc>
          <w:tcPr>
            <w:tcW w:w="363" w:type="pct"/>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p>
        </w:tc>
        <w:tc>
          <w:tcPr>
            <w:tcW w:w="3523" w:type="pc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4. 大力开展沿河畜禽养殖污染整治，大力推广生态种植，减少农 药化肥使用量；普光气田开发污染防治和环境管理等方面要达国内先进水平。</w:t>
            </w:r>
          </w:p>
        </w:tc>
        <w:tc>
          <w:tcPr>
            <w:tcW w:w="737" w:type="pc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不涉及</w:t>
            </w:r>
          </w:p>
        </w:tc>
        <w:tc>
          <w:tcPr>
            <w:tcW w:w="377" w:type="pc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58" w:hRule="atLeast"/>
          <w:jc w:val="center"/>
        </w:trPr>
        <w:tc>
          <w:tcPr>
            <w:tcW w:w="363" w:type="pct"/>
            <w:vMerge w:val="restar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开江县</w:t>
            </w:r>
          </w:p>
        </w:tc>
        <w:tc>
          <w:tcPr>
            <w:tcW w:w="3523" w:type="pc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1.加大小流域综合治理，推进污水处理建设提标升级，新增污水处理能力，新建、改建、扩建污水管网，大幅提高截污截流污水收集率。</w:t>
            </w:r>
          </w:p>
        </w:tc>
        <w:tc>
          <w:tcPr>
            <w:tcW w:w="737" w:type="pct"/>
            <w:vMerge w:val="restar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本项目矿井涌水经处理达到《地表水环境质量标准》（GB3838-2002）</w:t>
            </w:r>
            <w:r>
              <w:rPr>
                <w:rFonts w:hint="eastAsia" w:hAnsi="Times New Roman" w:eastAsia="宋体"/>
                <w:kern w:val="2"/>
                <w:sz w:val="21"/>
                <w:szCs w:val="21"/>
                <w:lang w:eastAsia="zh-CN"/>
              </w:rPr>
              <w:fldChar w:fldCharType="begin"/>
            </w:r>
            <w:r>
              <w:rPr>
                <w:rFonts w:hint="eastAsia" w:hAnsi="Times New Roman" w:eastAsia="宋体"/>
                <w:kern w:val="2"/>
                <w:sz w:val="21"/>
                <w:szCs w:val="21"/>
                <w:lang w:eastAsia="zh-CN"/>
              </w:rPr>
              <w:instrText xml:space="preserve"> = 3 \* ROMAN </w:instrText>
            </w:r>
            <w:r>
              <w:rPr>
                <w:rFonts w:hint="eastAsia" w:hAnsi="Times New Roman" w:eastAsia="宋体"/>
                <w:kern w:val="2"/>
                <w:sz w:val="21"/>
                <w:szCs w:val="21"/>
                <w:lang w:eastAsia="zh-CN"/>
              </w:rPr>
              <w:fldChar w:fldCharType="separate"/>
            </w:r>
            <w:r>
              <w:rPr>
                <w:rFonts w:hint="eastAsia" w:hAnsi="Times New Roman" w:eastAsia="宋体"/>
                <w:kern w:val="2"/>
                <w:sz w:val="21"/>
                <w:szCs w:val="21"/>
                <w:lang w:eastAsia="zh-CN"/>
              </w:rPr>
              <w:t>III</w:t>
            </w:r>
            <w:r>
              <w:rPr>
                <w:rFonts w:hint="eastAsia" w:hAnsi="Times New Roman" w:eastAsia="宋体"/>
                <w:kern w:val="2"/>
                <w:sz w:val="21"/>
                <w:szCs w:val="21"/>
                <w:lang w:eastAsia="zh-CN"/>
              </w:rPr>
              <w:fldChar w:fldCharType="end"/>
            </w:r>
            <w:r>
              <w:rPr>
                <w:rFonts w:hint="eastAsia" w:hAnsi="Times New Roman" w:eastAsia="宋体"/>
                <w:kern w:val="2"/>
                <w:sz w:val="21"/>
                <w:szCs w:val="21"/>
                <w:lang w:eastAsia="zh-CN"/>
              </w:rPr>
              <w:t>类水域标准，含盐量≤1000mg/L后排入新宁河，不会对新宁河水环境质量产生影响</w:t>
            </w:r>
          </w:p>
        </w:tc>
        <w:tc>
          <w:tcPr>
            <w:tcW w:w="377" w:type="pc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58" w:hRule="atLeast"/>
          <w:jc w:val="center"/>
        </w:trPr>
        <w:tc>
          <w:tcPr>
            <w:tcW w:w="363" w:type="pct"/>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p>
        </w:tc>
        <w:tc>
          <w:tcPr>
            <w:tcW w:w="3523" w:type="pc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2.推动农村环保基础设施建设，全面推进农村环境综合整治、生活污水处理项目，大力推广生态种植，减少农药化肥使用量。大力开展沿河畜禽养殖污染整治，实现畜禽养殖无害化处理，畜禽粪污综合化利用。</w:t>
            </w:r>
          </w:p>
        </w:tc>
        <w:tc>
          <w:tcPr>
            <w:tcW w:w="737" w:type="pct"/>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p>
        </w:tc>
        <w:tc>
          <w:tcPr>
            <w:tcW w:w="377" w:type="pc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bl>
    <w:p>
      <w:pPr>
        <w:pStyle w:val="14"/>
        <w:spacing w:line="360" w:lineRule="auto"/>
        <w:jc w:val="left"/>
        <w:rPr>
          <w:rFonts w:ascii="Times New Roman" w:hAnsi="Times New Roman"/>
          <w:b/>
          <w:kern w:val="0"/>
          <w:sz w:val="24"/>
          <w:szCs w:val="22"/>
          <w:lang w:eastAsia="zh-CN"/>
        </w:rPr>
      </w:pPr>
      <w:r>
        <w:rPr>
          <w:rFonts w:hint="eastAsia" w:ascii="Times New Roman" w:hAnsi="Times New Roman"/>
          <w:b/>
          <w:kern w:val="0"/>
          <w:sz w:val="24"/>
          <w:szCs w:val="22"/>
          <w:lang w:eastAsia="zh-CN"/>
        </w:rPr>
        <w:t>14.5.5.2 与</w:t>
      </w:r>
      <w:r>
        <w:rPr>
          <w:rFonts w:ascii="Times New Roman" w:hAnsi="Times New Roman"/>
          <w:b/>
          <w:kern w:val="0"/>
          <w:sz w:val="24"/>
          <w:szCs w:val="22"/>
          <w:lang w:eastAsia="zh-CN"/>
        </w:rPr>
        <w:t>《关于印发产业园区规划环评“三线一单”符合性分析技术要点（试行）和项目环评“三线一单” 符合性分析技术要点（试行）的通知》</w:t>
      </w:r>
      <w:r>
        <w:rPr>
          <w:rFonts w:hint="eastAsia" w:ascii="Times New Roman" w:hAnsi="Times New Roman"/>
          <w:b/>
          <w:kern w:val="0"/>
          <w:sz w:val="24"/>
          <w:szCs w:val="22"/>
          <w:lang w:eastAsia="zh-CN"/>
        </w:rPr>
        <w:t>符合性分析</w:t>
      </w:r>
    </w:p>
    <w:p>
      <w:pPr>
        <w:pStyle w:val="14"/>
        <w:spacing w:line="360" w:lineRule="auto"/>
        <w:ind w:firstLine="480" w:firstLineChars="200"/>
        <w:jc w:val="left"/>
        <w:rPr>
          <w:rFonts w:ascii="Times New Roman" w:hAnsi="Times New Roman"/>
          <w:bCs w:val="0"/>
          <w:kern w:val="0"/>
          <w:sz w:val="24"/>
          <w:szCs w:val="22"/>
          <w:lang w:eastAsia="zh-CN"/>
        </w:rPr>
      </w:pPr>
      <w:r>
        <w:rPr>
          <w:rFonts w:ascii="Times New Roman" w:hAnsi="Times New Roman"/>
          <w:bCs w:val="0"/>
          <w:kern w:val="0"/>
          <w:sz w:val="24"/>
          <w:szCs w:val="22"/>
          <w:lang w:eastAsia="zh-CN"/>
        </w:rPr>
        <w:t>根据四川省生态环境厅印发的《关于印发产业园区规划环评“三线一单”符合性分析技术要点（试行）和项目环评“三线一单” 符合性分析技术要点（试行）的通知》：若生态类</w:t>
      </w:r>
      <w:r>
        <w:rPr>
          <w:rFonts w:hint="eastAsia" w:ascii="Times New Roman" w:hAnsi="Times New Roman"/>
          <w:bCs w:val="0"/>
          <w:kern w:val="0"/>
          <w:sz w:val="24"/>
          <w:szCs w:val="22"/>
          <w:lang w:eastAsia="zh-CN"/>
        </w:rPr>
        <w:t>建设</w:t>
      </w:r>
      <w:r>
        <w:rPr>
          <w:rFonts w:ascii="Times New Roman" w:hAnsi="Times New Roman"/>
          <w:bCs w:val="0"/>
          <w:kern w:val="0"/>
          <w:sz w:val="24"/>
          <w:szCs w:val="22"/>
          <w:lang w:eastAsia="zh-CN"/>
        </w:rPr>
        <w:t>项目的上位空间开发规划、资源开发利用规划、工业专项规划等已开展规划环评，并已分析规划与 “三线一单”符合性、协调性，且规划包含该项目，则该项目环评政策规划符合性分析只需分析与规划环评生态环境准入要求的符合性。</w:t>
      </w:r>
    </w:p>
    <w:p>
      <w:pPr>
        <w:pStyle w:val="14"/>
        <w:spacing w:line="360" w:lineRule="auto"/>
        <w:ind w:firstLine="480" w:firstLineChars="200"/>
        <w:jc w:val="left"/>
        <w:rPr>
          <w:rFonts w:ascii="Times New Roman" w:hAnsi="Times New Roman"/>
          <w:bCs w:val="0"/>
          <w:kern w:val="0"/>
          <w:sz w:val="24"/>
          <w:szCs w:val="22"/>
          <w:lang w:eastAsia="zh-CN"/>
        </w:rPr>
      </w:pPr>
      <w:r>
        <w:rPr>
          <w:rFonts w:ascii="Times New Roman" w:hAnsi="Times New Roman"/>
          <w:bCs w:val="0"/>
          <w:kern w:val="0"/>
          <w:sz w:val="24"/>
          <w:szCs w:val="22"/>
          <w:lang w:eastAsia="zh-CN"/>
        </w:rPr>
        <w:t>宣汉县已编制煤炭矿区总体规划环境影响报告书，本项目为宣汉县煤炭矿区总体规划</w:t>
      </w:r>
      <w:r>
        <w:rPr>
          <w:rFonts w:hint="eastAsia" w:ascii="Times New Roman" w:hAnsi="Times New Roman"/>
          <w:bCs w:val="0"/>
          <w:kern w:val="0"/>
          <w:sz w:val="24"/>
          <w:szCs w:val="22"/>
          <w:lang w:eastAsia="zh-CN"/>
        </w:rPr>
        <w:t>中</w:t>
      </w:r>
      <w:r>
        <w:rPr>
          <w:rFonts w:ascii="Times New Roman" w:hAnsi="Times New Roman"/>
          <w:bCs w:val="0"/>
          <w:kern w:val="0"/>
          <w:sz w:val="24"/>
          <w:szCs w:val="22"/>
          <w:lang w:eastAsia="zh-CN"/>
        </w:rPr>
        <w:t>的</w:t>
      </w:r>
      <w:r>
        <w:rPr>
          <w:rFonts w:hint="eastAsia" w:ascii="Times New Roman" w:hAnsi="Times New Roman"/>
          <w:bCs w:val="0"/>
          <w:kern w:val="0"/>
          <w:sz w:val="24"/>
          <w:szCs w:val="22"/>
          <w:lang w:eastAsia="zh-CN"/>
        </w:rPr>
        <w:t>规划</w:t>
      </w:r>
      <w:r>
        <w:rPr>
          <w:rFonts w:ascii="Times New Roman" w:hAnsi="Times New Roman"/>
          <w:bCs w:val="0"/>
          <w:kern w:val="0"/>
          <w:sz w:val="24"/>
          <w:szCs w:val="22"/>
          <w:lang w:eastAsia="zh-CN"/>
        </w:rPr>
        <w:t>矿井，本项目与达州市三线一单分区管控符合性分析引用《四川省宣汉县煤炭矿区总体规划环境影响报告书》中“三线一单符合性分析”内容。</w:t>
      </w:r>
    </w:p>
    <w:p>
      <w:pPr>
        <w:pStyle w:val="14"/>
        <w:spacing w:line="360" w:lineRule="auto"/>
        <w:ind w:firstLine="480" w:firstLineChars="200"/>
        <w:jc w:val="left"/>
        <w:rPr>
          <w:rFonts w:ascii="Times New Roman" w:hAnsi="Times New Roman"/>
          <w:bCs w:val="0"/>
          <w:kern w:val="0"/>
          <w:sz w:val="24"/>
          <w:szCs w:val="22"/>
          <w:lang w:eastAsia="zh-CN"/>
        </w:rPr>
      </w:pPr>
      <w:r>
        <w:rPr>
          <w:rFonts w:ascii="Times New Roman" w:hAnsi="Times New Roman"/>
          <w:bCs w:val="0"/>
          <w:kern w:val="0"/>
          <w:sz w:val="24"/>
          <w:szCs w:val="22"/>
          <w:lang w:eastAsia="zh-CN"/>
        </w:rPr>
        <w:t>结合四川省达州市的“线一单”成果，分析规划与“三线一单”的符合性，见下表。</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 xml:space="preserve">表 </w:t>
      </w:r>
      <w:r>
        <w:rPr>
          <w:rFonts w:hint="eastAsia" w:hAnsi="Times New Roman" w:eastAsia="宋体"/>
          <w:b/>
          <w:bCs/>
          <w:sz w:val="21"/>
          <w:szCs w:val="21"/>
          <w:lang w:eastAsia="zh-CN"/>
        </w:rPr>
        <w:t xml:space="preserve">14.5-3 </w:t>
      </w:r>
      <w:r>
        <w:rPr>
          <w:rFonts w:hAnsi="Times New Roman" w:eastAsia="宋体"/>
          <w:b/>
          <w:bCs/>
          <w:sz w:val="21"/>
          <w:szCs w:val="21"/>
          <w:lang w:eastAsia="zh-CN"/>
        </w:rPr>
        <w:t>宣汉县总体管控要求</w:t>
      </w:r>
    </w:p>
    <w:tbl>
      <w:tblPr>
        <w:tblStyle w:val="33"/>
        <w:tblpPr w:leftFromText="180" w:rightFromText="180" w:vertAnchor="text" w:horzAnchor="page" w:tblpX="1509" w:tblpY="100"/>
        <w:tblOverlap w:val="never"/>
        <w:tblW w:w="89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916"/>
        <w:gridCol w:w="2618"/>
        <w:gridCol w:w="13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4" w:hRule="atLeast"/>
        </w:trPr>
        <w:tc>
          <w:tcPr>
            <w:tcW w:w="4916"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总体准入要求</w:t>
            </w:r>
          </w:p>
        </w:tc>
        <w:tc>
          <w:tcPr>
            <w:tcW w:w="261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规划符合性</w:t>
            </w:r>
          </w:p>
        </w:tc>
        <w:tc>
          <w:tcPr>
            <w:tcW w:w="1366"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项目符合性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23" w:hRule="atLeast"/>
        </w:trPr>
        <w:tc>
          <w:tcPr>
            <w:tcW w:w="4916"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1.加强小流域水环境保护，推动农村环保基础设施 建设，全面推进农村环境综合整治、生活污水处理项目。大力开展沿河畜禽养殖污染整治，大力推广生态种植，减少农药化肥使用量</w:t>
            </w:r>
          </w:p>
        </w:tc>
        <w:tc>
          <w:tcPr>
            <w:tcW w:w="261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规划不涉及</w:t>
            </w:r>
          </w:p>
        </w:tc>
        <w:tc>
          <w:tcPr>
            <w:tcW w:w="1366"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37" w:hRule="atLeast"/>
        </w:trPr>
        <w:tc>
          <w:tcPr>
            <w:tcW w:w="4916"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2.打好升级版污染防治攻坚战。坚持优化调整产业 布局，以PM</w:t>
            </w:r>
            <w:r>
              <w:rPr>
                <w:rFonts w:hint="eastAsia" w:hAnsi="Times New Roman" w:eastAsia="宋体"/>
                <w:kern w:val="2"/>
                <w:sz w:val="21"/>
                <w:szCs w:val="21"/>
                <w:vertAlign w:val="subscript"/>
                <w:lang w:eastAsia="zh-CN"/>
              </w:rPr>
              <w:t>2.5</w:t>
            </w:r>
            <w:r>
              <w:rPr>
                <w:rFonts w:hint="eastAsia" w:hAnsi="Times New Roman" w:eastAsia="宋体"/>
                <w:kern w:val="2"/>
                <w:sz w:val="21"/>
                <w:szCs w:val="21"/>
                <w:lang w:eastAsia="zh-CN"/>
              </w:rPr>
              <w:t>和臭氧污染协同控制为重点，全面开展 VOC</w:t>
            </w:r>
            <w:r>
              <w:rPr>
                <w:rFonts w:hint="eastAsia" w:hAnsi="Times New Roman" w:eastAsia="宋体"/>
                <w:kern w:val="2"/>
                <w:sz w:val="21"/>
                <w:szCs w:val="21"/>
                <w:vertAlign w:val="subscript"/>
                <w:lang w:eastAsia="zh-CN"/>
              </w:rPr>
              <w:t>S</w:t>
            </w:r>
            <w:r>
              <w:rPr>
                <w:rFonts w:hint="eastAsia" w:hAnsi="Times New Roman" w:eastAsia="宋体"/>
                <w:kern w:val="2"/>
                <w:sz w:val="21"/>
                <w:szCs w:val="21"/>
                <w:lang w:eastAsia="zh-CN"/>
              </w:rPr>
              <w:t>治理，实施移动源整治，坚持推进空气质量精细化管理</w:t>
            </w:r>
          </w:p>
        </w:tc>
        <w:tc>
          <w:tcPr>
            <w:tcW w:w="261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宣汉县位于环境空气达标区，不涉及VOCs排放；规划区煤炭运输涉及运输道路扬尘</w:t>
            </w:r>
          </w:p>
        </w:tc>
        <w:tc>
          <w:tcPr>
            <w:tcW w:w="1366"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本项目通过 采用出场车辆进行冲洗，运输车辆采用篷布遮盖封闭式运输，禁止超速超载形式减少运输扬尘。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426" w:hRule="atLeast"/>
        </w:trPr>
        <w:tc>
          <w:tcPr>
            <w:tcW w:w="4916"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优化天然气化工、硫化工、锂钾综合开发、冶金建材、新材料等产业布局，切实做好危险化学品生产、使用、贮运、废弃全过程的安全防范措施，妥善处理好锂钾综合开发产业副产物及“三废”的综合利用途径或处置去向</w:t>
            </w:r>
          </w:p>
        </w:tc>
        <w:tc>
          <w:tcPr>
            <w:tcW w:w="2618"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规划不涉及</w:t>
            </w:r>
          </w:p>
        </w:tc>
        <w:tc>
          <w:tcPr>
            <w:tcW w:w="1366" w:type="dxa"/>
            <w:vAlign w:val="center"/>
          </w:tcPr>
          <w:p>
            <w:pPr>
              <w:keepNext w:val="0"/>
              <w:keepLines w:val="0"/>
              <w:suppressLineNumbers w:val="0"/>
              <w:spacing w:before="0" w:beforeAutospacing="0" w:after="0" w:afterAutospacing="0" w:line="26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bl>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 14.5-</w:t>
      </w:r>
      <w:r>
        <w:rPr>
          <w:rFonts w:hint="eastAsia" w:hAnsi="Times New Roman" w:eastAsia="宋体"/>
          <w:b/>
          <w:bCs/>
          <w:sz w:val="21"/>
          <w:szCs w:val="21"/>
          <w:lang w:eastAsia="zh-CN"/>
        </w:rPr>
        <w:t>4</w:t>
      </w:r>
      <w:r>
        <w:rPr>
          <w:rFonts w:hAnsi="Times New Roman" w:eastAsia="宋体"/>
          <w:b/>
          <w:bCs/>
          <w:sz w:val="21"/>
          <w:szCs w:val="21"/>
          <w:lang w:eastAsia="zh-CN"/>
        </w:rPr>
        <w:t xml:space="preserve"> 本项目涉及环境管控单元一览表</w:t>
      </w:r>
    </w:p>
    <w:tbl>
      <w:tblPr>
        <w:tblStyle w:val="3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79"/>
        <w:gridCol w:w="2829"/>
        <w:gridCol w:w="2686"/>
        <w:gridCol w:w="30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58" w:hRule="atLeast"/>
        </w:trPr>
        <w:tc>
          <w:tcPr>
            <w:tcW w:w="317"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区县</w:t>
            </w:r>
          </w:p>
        </w:tc>
        <w:tc>
          <w:tcPr>
            <w:tcW w:w="1548"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管控单元名称</w:t>
            </w:r>
          </w:p>
        </w:tc>
        <w:tc>
          <w:tcPr>
            <w:tcW w:w="1470"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环境管控单元编码</w:t>
            </w:r>
          </w:p>
        </w:tc>
        <w:tc>
          <w:tcPr>
            <w:tcW w:w="1666"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管控单元类别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4" w:hRule="exact"/>
        </w:trPr>
        <w:tc>
          <w:tcPr>
            <w:tcW w:w="317" w:type="pct"/>
            <w:vMerge w:val="restart"/>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宣汉 县</w:t>
            </w:r>
          </w:p>
        </w:tc>
        <w:tc>
          <w:tcPr>
            <w:tcW w:w="1548" w:type="pct"/>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优先保护单元7</w:t>
            </w:r>
          </w:p>
        </w:tc>
        <w:tc>
          <w:tcPr>
            <w:tcW w:w="1470" w:type="pct"/>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ZH51172210001</w:t>
            </w:r>
          </w:p>
        </w:tc>
        <w:tc>
          <w:tcPr>
            <w:tcW w:w="1666" w:type="pct"/>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优先保护类环境管控单元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5" w:hRule="exact"/>
        </w:trPr>
        <w:tc>
          <w:tcPr>
            <w:tcW w:w="317" w:type="pct"/>
            <w:vMerge w:val="continue"/>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p>
        </w:tc>
        <w:tc>
          <w:tcPr>
            <w:tcW w:w="1548" w:type="pct"/>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一般管控单元 1</w:t>
            </w:r>
          </w:p>
        </w:tc>
        <w:tc>
          <w:tcPr>
            <w:tcW w:w="1470" w:type="pct"/>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ZH51172230001</w:t>
            </w:r>
          </w:p>
        </w:tc>
        <w:tc>
          <w:tcPr>
            <w:tcW w:w="1666" w:type="pct"/>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一般管控环境管控单元</w:t>
            </w:r>
          </w:p>
        </w:tc>
      </w:tr>
    </w:tbl>
    <w:p>
      <w:pPr>
        <w:autoSpaceDE w:val="0"/>
        <w:autoSpaceDN w:val="0"/>
        <w:adjustRightInd w:val="0"/>
        <w:snapToGrid w:val="0"/>
        <w:spacing w:line="360" w:lineRule="auto"/>
        <w:jc w:val="center"/>
        <w:rPr>
          <w:rFonts w:hAnsi="Times New Roman" w:eastAsia="宋体"/>
          <w:b/>
          <w:bCs/>
          <w:sz w:val="21"/>
          <w:szCs w:val="21"/>
        </w:rPr>
      </w:pPr>
      <w:r>
        <w:rPr>
          <w:rFonts w:hint="eastAsia" w:hAnsi="Times New Roman" w:eastAsia="宋体"/>
          <w:szCs w:val="24"/>
          <w:lang w:eastAsia="zh-CN"/>
        </w:rPr>
        <w:t xml:space="preserve">     </w:t>
      </w:r>
    </w:p>
    <w:p>
      <w:pPr>
        <w:pStyle w:val="14"/>
        <w:kinsoku w:val="0"/>
        <w:overflowPunct w:val="0"/>
        <w:autoSpaceDE w:val="0"/>
        <w:autoSpaceDN w:val="0"/>
        <w:adjustRightInd w:val="0"/>
        <w:spacing w:line="360" w:lineRule="auto"/>
        <w:ind w:firstLine="480" w:firstLineChars="200"/>
        <w:rPr>
          <w:rFonts w:ascii="Times New Roman" w:hAnsi="Times New Roman"/>
          <w:sz w:val="24"/>
          <w:lang w:eastAsia="zh-CN"/>
        </w:rPr>
      </w:pPr>
      <w:r>
        <w:rPr>
          <w:rFonts w:ascii="Times New Roman" w:hAnsi="Times New Roman"/>
          <w:sz w:val="24"/>
          <w:lang w:eastAsia="zh-CN"/>
        </w:rPr>
        <w:t xml:space="preserve"> </w:t>
      </w:r>
    </w:p>
    <w:p>
      <w:pPr>
        <w:pStyle w:val="14"/>
        <w:kinsoku w:val="0"/>
        <w:overflowPunct w:val="0"/>
        <w:autoSpaceDE w:val="0"/>
        <w:autoSpaceDN w:val="0"/>
        <w:adjustRightInd w:val="0"/>
        <w:spacing w:line="360" w:lineRule="auto"/>
        <w:jc w:val="center"/>
        <w:rPr>
          <w:rFonts w:ascii="Times New Roman" w:hAnsi="Times New Roman"/>
          <w:b/>
          <w:sz w:val="24"/>
        </w:rPr>
        <w:sectPr>
          <w:headerReference r:id="rId16" w:type="default"/>
          <w:footerReference r:id="rId17" w:type="default"/>
          <w:pgSz w:w="11905" w:h="16838"/>
          <w:pgMar w:top="1440" w:right="1304" w:bottom="1440" w:left="1474" w:header="850" w:footer="992" w:gutter="0"/>
          <w:cols w:space="0" w:num="1"/>
          <w:docGrid w:type="lines" w:linePitch="338" w:charSpace="0"/>
        </w:sectPr>
      </w:pP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表14.5-</w:t>
      </w:r>
      <w:r>
        <w:rPr>
          <w:rFonts w:hint="eastAsia" w:hAnsi="Times New Roman" w:eastAsia="宋体"/>
          <w:b/>
          <w:bCs/>
          <w:sz w:val="21"/>
          <w:szCs w:val="21"/>
          <w:lang w:eastAsia="zh-CN"/>
        </w:rPr>
        <w:t>5</w:t>
      </w:r>
      <w:r>
        <w:rPr>
          <w:rFonts w:hAnsi="Times New Roman" w:eastAsia="宋体"/>
          <w:b/>
          <w:bCs/>
          <w:sz w:val="21"/>
          <w:szCs w:val="21"/>
          <w:lang w:eastAsia="zh-CN"/>
        </w:rPr>
        <w:t xml:space="preserve">  本项目与达州市“三线一单”成果符合性分析</w:t>
      </w:r>
    </w:p>
    <w:tbl>
      <w:tblPr>
        <w:tblStyle w:val="33"/>
        <w:tblW w:w="13994" w:type="dxa"/>
        <w:tblInd w:w="13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875"/>
        <w:gridCol w:w="903"/>
        <w:gridCol w:w="5732"/>
        <w:gridCol w:w="2552"/>
        <w:gridCol w:w="1950"/>
        <w:gridCol w:w="19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875" w:type="dxa"/>
            <w:vAlign w:val="center"/>
          </w:tcPr>
          <w:p>
            <w:pPr>
              <w:pStyle w:val="44"/>
              <w:keepNext w:val="0"/>
              <w:keepLines w:val="0"/>
              <w:suppressLineNumbers w:val="0"/>
              <w:spacing w:before="101" w:beforeAutospacing="0" w:after="0" w:afterAutospacing="0"/>
              <w:ind w:left="0" w:right="0"/>
              <w:jc w:val="center"/>
              <w:rPr>
                <w:rFonts w:hint="eastAsia" w:ascii="宋体" w:hAnsi="宋体" w:eastAsia="宋体" w:cs="宋体"/>
                <w:kern w:val="2"/>
                <w:sz w:val="21"/>
                <w:szCs w:val="21"/>
              </w:rPr>
            </w:pPr>
            <w:r>
              <w:rPr>
                <w:rFonts w:hint="eastAsia" w:ascii="宋体" w:hAnsi="宋体" w:eastAsia="宋体" w:cs="宋体"/>
                <w:b/>
                <w:bCs/>
                <w:spacing w:val="1"/>
                <w:kern w:val="2"/>
                <w:sz w:val="21"/>
                <w:szCs w:val="21"/>
              </w:rPr>
              <w:t>分区</w:t>
            </w:r>
          </w:p>
        </w:tc>
        <w:tc>
          <w:tcPr>
            <w:tcW w:w="6635" w:type="dxa"/>
            <w:gridSpan w:val="2"/>
            <w:vAlign w:val="center"/>
          </w:tcPr>
          <w:p>
            <w:pPr>
              <w:pStyle w:val="44"/>
              <w:keepNext w:val="0"/>
              <w:keepLines w:val="0"/>
              <w:suppressLineNumbers w:val="0"/>
              <w:spacing w:before="101" w:beforeAutospacing="0" w:after="0" w:afterAutospacing="0"/>
              <w:ind w:left="0" w:right="2"/>
              <w:jc w:val="center"/>
              <w:rPr>
                <w:rFonts w:hint="eastAsia" w:ascii="宋体" w:hAnsi="宋体" w:eastAsia="宋体" w:cs="宋体"/>
                <w:kern w:val="2"/>
                <w:sz w:val="21"/>
                <w:szCs w:val="21"/>
              </w:rPr>
            </w:pPr>
            <w:r>
              <w:rPr>
                <w:rFonts w:hint="eastAsia" w:ascii="宋体" w:hAnsi="宋体" w:eastAsia="宋体" w:cs="宋体"/>
                <w:b/>
                <w:bCs/>
                <w:kern w:val="2"/>
                <w:sz w:val="21"/>
                <w:szCs w:val="21"/>
              </w:rPr>
              <w:t>对应管控要求</w:t>
            </w:r>
          </w:p>
        </w:tc>
        <w:tc>
          <w:tcPr>
            <w:tcW w:w="2552" w:type="dxa"/>
            <w:vAlign w:val="center"/>
          </w:tcPr>
          <w:p>
            <w:pPr>
              <w:pStyle w:val="44"/>
              <w:keepNext w:val="0"/>
              <w:keepLines w:val="0"/>
              <w:suppressLineNumbers w:val="0"/>
              <w:spacing w:before="101" w:beforeAutospacing="0" w:after="0" w:afterAutospacing="0"/>
              <w:ind w:left="426" w:right="0"/>
              <w:jc w:val="center"/>
              <w:rPr>
                <w:rFonts w:hint="eastAsia" w:ascii="宋体" w:hAnsi="宋体" w:eastAsia="宋体" w:cs="宋体"/>
                <w:kern w:val="2"/>
                <w:sz w:val="21"/>
                <w:szCs w:val="21"/>
              </w:rPr>
            </w:pPr>
            <w:r>
              <w:rPr>
                <w:rFonts w:hint="eastAsia" w:ascii="宋体" w:hAnsi="宋体" w:eastAsia="宋体" w:cs="宋体"/>
                <w:b/>
                <w:bCs/>
                <w:kern w:val="2"/>
                <w:sz w:val="21"/>
                <w:szCs w:val="21"/>
              </w:rPr>
              <w:t>规划相关情况介绍</w:t>
            </w:r>
          </w:p>
        </w:tc>
        <w:tc>
          <w:tcPr>
            <w:tcW w:w="1950" w:type="dxa"/>
            <w:vAlign w:val="center"/>
          </w:tcPr>
          <w:p>
            <w:pPr>
              <w:pStyle w:val="44"/>
              <w:keepNext w:val="0"/>
              <w:keepLines w:val="0"/>
              <w:suppressLineNumbers w:val="0"/>
              <w:spacing w:before="0" w:beforeAutospacing="0" w:after="0" w:afterAutospacing="0" w:line="248" w:lineRule="exact"/>
              <w:ind w:left="-10" w:right="-8"/>
              <w:jc w:val="center"/>
              <w:rPr>
                <w:rFonts w:hint="eastAsia" w:ascii="宋体" w:hAnsi="宋体" w:eastAsia="宋体" w:cs="宋体"/>
                <w:kern w:val="2"/>
                <w:sz w:val="21"/>
                <w:szCs w:val="21"/>
              </w:rPr>
            </w:pPr>
            <w:r>
              <w:rPr>
                <w:rFonts w:hint="eastAsia" w:ascii="宋体" w:hAnsi="宋体" w:eastAsia="宋体" w:cs="宋体"/>
                <w:b/>
                <w:bCs/>
                <w:w w:val="95"/>
                <w:kern w:val="2"/>
                <w:sz w:val="21"/>
                <w:szCs w:val="21"/>
              </w:rPr>
              <w:t>规划符合性分析</w:t>
            </w:r>
            <w:r>
              <w:rPr>
                <w:rFonts w:hint="eastAsia" w:hAnsi="Times New Roman" w:eastAsia="Times New Roman"/>
                <w:b/>
                <w:bCs/>
                <w:w w:val="95"/>
                <w:kern w:val="2"/>
                <w:sz w:val="21"/>
                <w:szCs w:val="21"/>
              </w:rPr>
              <w:t>/</w:t>
            </w:r>
            <w:r>
              <w:rPr>
                <w:rFonts w:hint="eastAsia" w:ascii="宋体" w:hAnsi="宋体" w:eastAsia="宋体" w:cs="宋体"/>
                <w:b/>
                <w:bCs/>
                <w:w w:val="95"/>
                <w:kern w:val="2"/>
                <w:sz w:val="21"/>
                <w:szCs w:val="21"/>
              </w:rPr>
              <w:t>解决</w:t>
            </w:r>
          </w:p>
          <w:p>
            <w:pPr>
              <w:pStyle w:val="44"/>
              <w:keepNext w:val="0"/>
              <w:keepLines w:val="0"/>
              <w:suppressLineNumbers w:val="0"/>
              <w:spacing w:before="0" w:beforeAutospacing="0" w:after="0" w:afterAutospacing="0" w:line="266" w:lineRule="exact"/>
              <w:ind w:left="0" w:right="1"/>
              <w:jc w:val="center"/>
              <w:rPr>
                <w:rFonts w:hint="eastAsia" w:ascii="宋体" w:hAnsi="宋体" w:eastAsia="宋体" w:cs="宋体"/>
                <w:kern w:val="2"/>
                <w:sz w:val="21"/>
                <w:szCs w:val="21"/>
              </w:rPr>
            </w:pPr>
            <w:r>
              <w:rPr>
                <w:rFonts w:hint="eastAsia" w:ascii="宋体" w:hAnsi="宋体" w:eastAsia="宋体" w:cs="宋体"/>
                <w:b/>
                <w:bCs/>
                <w:spacing w:val="1"/>
                <w:kern w:val="2"/>
                <w:sz w:val="21"/>
                <w:szCs w:val="21"/>
              </w:rPr>
              <w:t>方案</w:t>
            </w:r>
          </w:p>
        </w:tc>
        <w:tc>
          <w:tcPr>
            <w:tcW w:w="1982" w:type="dxa"/>
            <w:vAlign w:val="center"/>
          </w:tcPr>
          <w:p>
            <w:pPr>
              <w:pStyle w:val="44"/>
              <w:keepNext w:val="0"/>
              <w:keepLines w:val="0"/>
              <w:suppressLineNumbers w:val="0"/>
              <w:spacing w:before="101" w:beforeAutospacing="0" w:after="0" w:afterAutospacing="0"/>
              <w:ind w:left="351" w:right="0"/>
              <w:jc w:val="center"/>
              <w:rPr>
                <w:rFonts w:hint="eastAsia" w:ascii="宋体" w:hAnsi="宋体" w:eastAsia="宋体" w:cs="宋体"/>
                <w:kern w:val="2"/>
                <w:sz w:val="21"/>
                <w:szCs w:val="21"/>
              </w:rPr>
            </w:pPr>
            <w:r>
              <w:rPr>
                <w:rFonts w:hint="eastAsia" w:ascii="宋体" w:hAnsi="宋体" w:eastAsia="宋体" w:cs="宋体"/>
                <w:b/>
                <w:bCs/>
                <w:kern w:val="2"/>
                <w:sz w:val="21"/>
                <w:szCs w:val="21"/>
              </w:rPr>
              <w:t>本项目符合性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875" w:type="dxa"/>
            <w:vMerge w:val="restart"/>
            <w:vAlign w:val="center"/>
          </w:tcPr>
          <w:p>
            <w:pPr>
              <w:pStyle w:val="44"/>
              <w:keepNext w:val="0"/>
              <w:keepLines w:val="0"/>
              <w:suppressLineNumbers w:val="0"/>
              <w:spacing w:before="0" w:beforeAutospacing="0" w:after="0" w:afterAutospacing="0"/>
              <w:ind w:left="11" w:right="0"/>
              <w:jc w:val="center"/>
              <w:rPr>
                <w:rFonts w:hint="eastAsia" w:ascii="宋体" w:hAnsi="宋体" w:eastAsia="宋体" w:cs="宋体"/>
                <w:kern w:val="2"/>
                <w:sz w:val="21"/>
                <w:szCs w:val="21"/>
              </w:rPr>
            </w:pPr>
            <w:r>
              <w:rPr>
                <w:rFonts w:hint="eastAsia" w:ascii="宋体" w:hAnsi="宋体" w:eastAsia="宋体" w:cs="宋体"/>
                <w:kern w:val="2"/>
                <w:sz w:val="21"/>
                <w:szCs w:val="21"/>
              </w:rPr>
              <w:t>优先保护</w:t>
            </w:r>
          </w:p>
          <w:p>
            <w:pPr>
              <w:pStyle w:val="44"/>
              <w:keepNext w:val="0"/>
              <w:keepLines w:val="0"/>
              <w:suppressLineNumbers w:val="0"/>
              <w:spacing w:before="0" w:beforeAutospacing="0" w:after="0" w:afterAutospacing="0" w:line="257" w:lineRule="exact"/>
              <w:ind w:left="15" w:right="0"/>
              <w:jc w:val="center"/>
              <w:rPr>
                <w:rFonts w:hint="eastAsia" w:ascii="宋体" w:hAnsi="宋体" w:eastAsia="宋体" w:cs="宋体"/>
                <w:kern w:val="2"/>
                <w:sz w:val="21"/>
                <w:szCs w:val="21"/>
              </w:rPr>
            </w:pPr>
            <w:r>
              <w:rPr>
                <w:rFonts w:hint="eastAsia" w:ascii="宋体" w:hAnsi="宋体" w:eastAsia="宋体" w:cs="宋体"/>
                <w:kern w:val="2"/>
                <w:sz w:val="21"/>
                <w:szCs w:val="21"/>
              </w:rPr>
              <w:t>单元</w:t>
            </w:r>
            <w:r>
              <w:rPr>
                <w:rFonts w:hint="eastAsia" w:ascii="宋体" w:hAnsi="宋体" w:eastAsia="宋体" w:cs="宋体"/>
                <w:spacing w:val="-53"/>
                <w:kern w:val="2"/>
                <w:sz w:val="21"/>
                <w:szCs w:val="21"/>
              </w:rPr>
              <w:t xml:space="preserve"> </w:t>
            </w:r>
            <w:r>
              <w:rPr>
                <w:rFonts w:hint="eastAsia" w:hAnsi="Times New Roman" w:eastAsia="Times New Roman"/>
                <w:kern w:val="2"/>
                <w:sz w:val="21"/>
                <w:szCs w:val="21"/>
              </w:rPr>
              <w:t>7</w:t>
            </w:r>
          </w:p>
        </w:tc>
        <w:tc>
          <w:tcPr>
            <w:tcW w:w="903" w:type="dxa"/>
            <w:vMerge w:val="restart"/>
            <w:vAlign w:val="center"/>
          </w:tcPr>
          <w:p>
            <w:pPr>
              <w:pStyle w:val="44"/>
              <w:keepNext w:val="0"/>
              <w:keepLines w:val="0"/>
              <w:suppressLineNumbers w:val="0"/>
              <w:spacing w:before="0" w:beforeAutospacing="0" w:after="0" w:afterAutospacing="0"/>
              <w:ind w:left="24" w:right="0"/>
              <w:jc w:val="center"/>
              <w:rPr>
                <w:rFonts w:hint="eastAsia" w:ascii="宋体" w:hAnsi="宋体" w:eastAsia="宋体" w:cs="宋体"/>
                <w:kern w:val="2"/>
                <w:sz w:val="21"/>
                <w:szCs w:val="21"/>
              </w:rPr>
            </w:pPr>
            <w:r>
              <w:rPr>
                <w:rFonts w:hint="eastAsia" w:ascii="宋体" w:hAnsi="宋体" w:eastAsia="宋体" w:cs="宋体"/>
                <w:kern w:val="2"/>
                <w:sz w:val="21"/>
                <w:szCs w:val="21"/>
              </w:rPr>
              <w:t>空间布局</w:t>
            </w:r>
          </w:p>
          <w:p>
            <w:pPr>
              <w:pStyle w:val="44"/>
              <w:keepNext w:val="0"/>
              <w:keepLines w:val="0"/>
              <w:suppressLineNumbers w:val="0"/>
              <w:spacing w:before="0" w:beforeAutospacing="0" w:after="0" w:afterAutospacing="0" w:line="235" w:lineRule="exact"/>
              <w:ind w:left="234" w:right="0"/>
              <w:jc w:val="center"/>
              <w:rPr>
                <w:rFonts w:hint="eastAsia" w:ascii="宋体" w:hAnsi="宋体" w:eastAsia="宋体" w:cs="宋体"/>
                <w:kern w:val="2"/>
                <w:sz w:val="21"/>
                <w:szCs w:val="21"/>
              </w:rPr>
            </w:pPr>
            <w:r>
              <w:rPr>
                <w:rFonts w:hint="eastAsia" w:ascii="宋体" w:hAnsi="宋体" w:eastAsia="宋体" w:cs="宋体"/>
                <w:kern w:val="2"/>
                <w:sz w:val="21"/>
                <w:szCs w:val="21"/>
              </w:rPr>
              <w:t>要素</w:t>
            </w:r>
          </w:p>
        </w:tc>
        <w:tc>
          <w:tcPr>
            <w:tcW w:w="5732" w:type="dxa"/>
            <w:vAlign w:val="center"/>
          </w:tcPr>
          <w:p>
            <w:pPr>
              <w:pStyle w:val="44"/>
              <w:keepNext w:val="0"/>
              <w:keepLines w:val="0"/>
              <w:suppressLineNumbers w:val="0"/>
              <w:spacing w:before="0" w:beforeAutospacing="0" w:after="0" w:afterAutospacing="0" w:line="240" w:lineRule="exact"/>
              <w:ind w:left="234" w:right="0"/>
              <w:jc w:val="center"/>
              <w:rPr>
                <w:rFonts w:hint="eastAsia" w:ascii="宋体" w:hAnsi="宋体" w:eastAsia="宋体" w:cs="宋体"/>
                <w:kern w:val="2"/>
                <w:sz w:val="21"/>
                <w:szCs w:val="21"/>
              </w:rPr>
            </w:pPr>
            <w:r>
              <w:rPr>
                <w:rFonts w:hint="eastAsia" w:ascii="宋体" w:hAnsi="宋体" w:eastAsia="宋体" w:cs="宋体"/>
                <w:kern w:val="2"/>
                <w:sz w:val="21"/>
                <w:szCs w:val="21"/>
              </w:rPr>
              <w:t>禁止开发建设活动的要求：同优先保护单元总体准入要求</w:t>
            </w:r>
          </w:p>
        </w:tc>
        <w:tc>
          <w:tcPr>
            <w:tcW w:w="2552" w:type="dxa"/>
            <w:vAlign w:val="center"/>
          </w:tcPr>
          <w:p>
            <w:pPr>
              <w:pStyle w:val="44"/>
              <w:keepNext w:val="0"/>
              <w:keepLines w:val="0"/>
              <w:suppressLineNumbers w:val="0"/>
              <w:spacing w:before="0" w:beforeAutospacing="0" w:after="0" w:afterAutospacing="0" w:line="240" w:lineRule="exact"/>
              <w:ind w:left="744" w:right="0"/>
              <w:rPr>
                <w:rFonts w:hint="eastAsia" w:ascii="宋体" w:hAnsi="宋体" w:eastAsia="宋体" w:cs="宋体"/>
                <w:kern w:val="2"/>
                <w:sz w:val="21"/>
                <w:szCs w:val="21"/>
              </w:rPr>
            </w:pPr>
            <w:r>
              <w:rPr>
                <w:rFonts w:hint="eastAsia" w:ascii="宋体" w:hAnsi="宋体" w:eastAsia="宋体" w:cs="宋体"/>
                <w:kern w:val="2"/>
                <w:sz w:val="21"/>
                <w:szCs w:val="21"/>
              </w:rPr>
              <w:t>规划不涉及</w:t>
            </w:r>
          </w:p>
        </w:tc>
        <w:tc>
          <w:tcPr>
            <w:tcW w:w="1950" w:type="dxa"/>
            <w:vAlign w:val="center"/>
          </w:tcPr>
          <w:p>
            <w:pPr>
              <w:pStyle w:val="44"/>
              <w:keepNext w:val="0"/>
              <w:keepLines w:val="0"/>
              <w:suppressLineNumbers w:val="0"/>
              <w:spacing w:before="14" w:beforeAutospacing="0" w:after="0" w:afterAutospacing="0"/>
              <w:ind w:left="0" w:right="0"/>
              <w:jc w:val="center"/>
              <w:rPr>
                <w:rFonts w:hint="eastAsia" w:hAnsi="Times New Roman" w:eastAsia="Times New Roman"/>
                <w:kern w:val="2"/>
                <w:sz w:val="21"/>
                <w:szCs w:val="21"/>
              </w:rPr>
            </w:pPr>
            <w:r>
              <w:rPr>
                <w:rFonts w:hint="eastAsia"/>
                <w:kern w:val="2"/>
                <w:sz w:val="21"/>
                <w:szCs w:val="22"/>
              </w:rPr>
              <w:t>/</w:t>
            </w:r>
          </w:p>
        </w:tc>
        <w:tc>
          <w:tcPr>
            <w:tcW w:w="1982" w:type="dxa"/>
            <w:vAlign w:val="center"/>
          </w:tcPr>
          <w:p>
            <w:pPr>
              <w:pStyle w:val="44"/>
              <w:keepNext w:val="0"/>
              <w:keepLines w:val="0"/>
              <w:suppressLineNumbers w:val="0"/>
              <w:spacing w:before="14" w:beforeAutospacing="0" w:after="0" w:afterAutospacing="0"/>
              <w:ind w:left="0" w:right="0"/>
              <w:jc w:val="center"/>
              <w:rPr>
                <w:rFonts w:hint="eastAsia" w:hAnsi="Times New Roman" w:eastAsia="Times New Roman"/>
                <w:kern w:val="2"/>
                <w:sz w:val="21"/>
                <w:szCs w:val="21"/>
              </w:rPr>
            </w:pPr>
            <w:r>
              <w:rPr>
                <w:rFonts w:hint="eastAsia"/>
                <w:kern w:val="2"/>
                <w:sz w:val="21"/>
                <w:szCs w:val="22"/>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875" w:type="dxa"/>
            <w:vMerge w:val="continue"/>
            <w:vAlign w:val="center"/>
          </w:tcPr>
          <w:p>
            <w:pPr>
              <w:keepNext w:val="0"/>
              <w:keepLines w:val="0"/>
              <w:suppressLineNumbers w:val="0"/>
              <w:spacing w:before="0" w:beforeAutospacing="0" w:after="0" w:afterAutospacing="0"/>
              <w:ind w:left="0" w:right="0"/>
              <w:jc w:val="center"/>
              <w:rPr>
                <w:rFonts w:hint="eastAsia"/>
                <w:kern w:val="2"/>
                <w:szCs w:val="22"/>
              </w:rPr>
            </w:pPr>
          </w:p>
        </w:tc>
        <w:tc>
          <w:tcPr>
            <w:tcW w:w="903" w:type="dxa"/>
            <w:vMerge w:val="continue"/>
            <w:vAlign w:val="center"/>
          </w:tcPr>
          <w:p>
            <w:pPr>
              <w:keepNext w:val="0"/>
              <w:keepLines w:val="0"/>
              <w:suppressLineNumbers w:val="0"/>
              <w:spacing w:before="0" w:beforeAutospacing="0" w:after="0" w:afterAutospacing="0"/>
              <w:ind w:left="0" w:right="0"/>
              <w:jc w:val="center"/>
              <w:rPr>
                <w:rFonts w:hint="eastAsia"/>
                <w:kern w:val="2"/>
                <w:szCs w:val="22"/>
              </w:rPr>
            </w:pPr>
          </w:p>
        </w:tc>
        <w:tc>
          <w:tcPr>
            <w:tcW w:w="5732" w:type="dxa"/>
            <w:vAlign w:val="center"/>
          </w:tcPr>
          <w:p>
            <w:pPr>
              <w:pStyle w:val="44"/>
              <w:keepNext w:val="0"/>
              <w:keepLines w:val="0"/>
              <w:suppressLineNumbers w:val="0"/>
              <w:spacing w:before="0" w:beforeAutospacing="0" w:after="0" w:afterAutospacing="0" w:line="240" w:lineRule="exact"/>
              <w:ind w:left="234" w:right="0"/>
              <w:jc w:val="center"/>
              <w:rPr>
                <w:rFonts w:hint="eastAsia" w:ascii="宋体" w:hAnsi="宋体" w:eastAsia="宋体" w:cs="宋体"/>
                <w:kern w:val="2"/>
                <w:sz w:val="21"/>
                <w:szCs w:val="21"/>
              </w:rPr>
            </w:pPr>
            <w:r>
              <w:rPr>
                <w:rFonts w:hint="eastAsia" w:ascii="宋体" w:hAnsi="宋体" w:eastAsia="宋体" w:cs="宋体"/>
                <w:kern w:val="2"/>
                <w:sz w:val="21"/>
                <w:szCs w:val="21"/>
              </w:rPr>
              <w:t>限制开发建设活动的要求：同优先保护单元总体准入要求</w:t>
            </w:r>
          </w:p>
        </w:tc>
        <w:tc>
          <w:tcPr>
            <w:tcW w:w="2552" w:type="dxa"/>
            <w:vAlign w:val="center"/>
          </w:tcPr>
          <w:p>
            <w:pPr>
              <w:pStyle w:val="44"/>
              <w:keepNext w:val="0"/>
              <w:keepLines w:val="0"/>
              <w:suppressLineNumbers w:val="0"/>
              <w:spacing w:before="0" w:beforeAutospacing="0" w:after="0" w:afterAutospacing="0" w:line="240" w:lineRule="exact"/>
              <w:ind w:left="744" w:right="0"/>
              <w:rPr>
                <w:rFonts w:hint="eastAsia" w:ascii="宋体" w:hAnsi="宋体" w:eastAsia="宋体" w:cs="宋体"/>
                <w:kern w:val="2"/>
                <w:sz w:val="21"/>
                <w:szCs w:val="21"/>
              </w:rPr>
            </w:pPr>
            <w:r>
              <w:rPr>
                <w:rFonts w:hint="eastAsia" w:ascii="宋体" w:hAnsi="宋体" w:eastAsia="宋体" w:cs="宋体"/>
                <w:kern w:val="2"/>
                <w:sz w:val="21"/>
                <w:szCs w:val="21"/>
              </w:rPr>
              <w:t>规划不涉及</w:t>
            </w:r>
          </w:p>
        </w:tc>
        <w:tc>
          <w:tcPr>
            <w:tcW w:w="1950" w:type="dxa"/>
            <w:vAlign w:val="center"/>
          </w:tcPr>
          <w:p>
            <w:pPr>
              <w:pStyle w:val="44"/>
              <w:keepNext w:val="0"/>
              <w:keepLines w:val="0"/>
              <w:suppressLineNumbers w:val="0"/>
              <w:spacing w:before="14" w:beforeAutospacing="0" w:after="0" w:afterAutospacing="0"/>
              <w:ind w:left="0" w:right="0"/>
              <w:jc w:val="center"/>
              <w:rPr>
                <w:rFonts w:hint="eastAsia" w:hAnsi="Times New Roman" w:eastAsia="Times New Roman"/>
                <w:kern w:val="2"/>
                <w:sz w:val="21"/>
                <w:szCs w:val="21"/>
              </w:rPr>
            </w:pPr>
            <w:r>
              <w:rPr>
                <w:rFonts w:hint="eastAsia"/>
                <w:kern w:val="2"/>
                <w:sz w:val="21"/>
                <w:szCs w:val="22"/>
              </w:rPr>
              <w:t>/</w:t>
            </w:r>
          </w:p>
        </w:tc>
        <w:tc>
          <w:tcPr>
            <w:tcW w:w="1982" w:type="dxa"/>
            <w:vAlign w:val="center"/>
          </w:tcPr>
          <w:p>
            <w:pPr>
              <w:pStyle w:val="44"/>
              <w:keepNext w:val="0"/>
              <w:keepLines w:val="0"/>
              <w:suppressLineNumbers w:val="0"/>
              <w:spacing w:before="14" w:beforeAutospacing="0" w:after="0" w:afterAutospacing="0"/>
              <w:ind w:left="0" w:right="0"/>
              <w:jc w:val="center"/>
              <w:rPr>
                <w:rFonts w:hint="eastAsia" w:hAnsi="Times New Roman" w:eastAsia="Times New Roman"/>
                <w:kern w:val="2"/>
                <w:sz w:val="21"/>
                <w:szCs w:val="21"/>
              </w:rPr>
            </w:pPr>
            <w:r>
              <w:rPr>
                <w:rFonts w:hint="eastAsia"/>
                <w:kern w:val="2"/>
                <w:sz w:val="21"/>
                <w:szCs w:val="22"/>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875" w:type="dxa"/>
            <w:vMerge w:val="continue"/>
            <w:vAlign w:val="center"/>
          </w:tcPr>
          <w:p>
            <w:pPr>
              <w:keepNext w:val="0"/>
              <w:keepLines w:val="0"/>
              <w:suppressLineNumbers w:val="0"/>
              <w:spacing w:before="0" w:beforeAutospacing="0" w:after="0" w:afterAutospacing="0"/>
              <w:ind w:left="0" w:right="0"/>
              <w:jc w:val="center"/>
              <w:rPr>
                <w:rFonts w:hint="eastAsia"/>
                <w:kern w:val="2"/>
                <w:szCs w:val="22"/>
              </w:rPr>
            </w:pPr>
          </w:p>
        </w:tc>
        <w:tc>
          <w:tcPr>
            <w:tcW w:w="903" w:type="dxa"/>
            <w:vMerge w:val="continue"/>
            <w:vAlign w:val="center"/>
          </w:tcPr>
          <w:p>
            <w:pPr>
              <w:keepNext w:val="0"/>
              <w:keepLines w:val="0"/>
              <w:suppressLineNumbers w:val="0"/>
              <w:spacing w:before="0" w:beforeAutospacing="0" w:after="0" w:afterAutospacing="0"/>
              <w:ind w:left="0" w:right="0"/>
              <w:jc w:val="center"/>
              <w:rPr>
                <w:rFonts w:hint="eastAsia"/>
                <w:kern w:val="2"/>
                <w:szCs w:val="22"/>
              </w:rPr>
            </w:pPr>
          </w:p>
        </w:tc>
        <w:tc>
          <w:tcPr>
            <w:tcW w:w="5732" w:type="dxa"/>
            <w:vAlign w:val="center"/>
          </w:tcPr>
          <w:p>
            <w:pPr>
              <w:pStyle w:val="44"/>
              <w:keepNext w:val="0"/>
              <w:keepLines w:val="0"/>
              <w:suppressLineNumbers w:val="0"/>
              <w:spacing w:before="0" w:beforeAutospacing="0" w:after="0" w:afterAutospacing="0" w:line="239" w:lineRule="exact"/>
              <w:ind w:left="0" w:right="1"/>
              <w:jc w:val="center"/>
              <w:rPr>
                <w:rFonts w:hint="eastAsia" w:ascii="宋体" w:hAnsi="宋体" w:eastAsia="宋体" w:cs="宋体"/>
                <w:kern w:val="2"/>
                <w:sz w:val="21"/>
                <w:szCs w:val="21"/>
              </w:rPr>
            </w:pPr>
            <w:r>
              <w:rPr>
                <w:rFonts w:hint="eastAsia" w:ascii="宋体" w:hAnsi="宋体" w:eastAsia="宋体" w:cs="宋体"/>
                <w:kern w:val="2"/>
                <w:sz w:val="21"/>
                <w:szCs w:val="21"/>
              </w:rPr>
              <w:t>不符合空间布局要求活动的退出要求：位于一般生态空间内的</w:t>
            </w:r>
          </w:p>
          <w:p>
            <w:pPr>
              <w:pStyle w:val="44"/>
              <w:keepNext w:val="0"/>
              <w:keepLines w:val="0"/>
              <w:suppressLineNumbers w:val="0"/>
              <w:spacing w:before="1" w:beforeAutospacing="0" w:after="0" w:afterAutospacing="0" w:line="237" w:lineRule="auto"/>
              <w:ind w:left="24" w:right="23"/>
              <w:jc w:val="center"/>
              <w:rPr>
                <w:rFonts w:hint="eastAsia" w:ascii="宋体" w:hAnsi="宋体" w:eastAsia="宋体" w:cs="宋体"/>
                <w:kern w:val="2"/>
                <w:sz w:val="21"/>
                <w:szCs w:val="21"/>
              </w:rPr>
            </w:pPr>
            <w:r>
              <w:rPr>
                <w:rFonts w:hint="eastAsia" w:ascii="宋体" w:hAnsi="宋体" w:eastAsia="宋体" w:cs="宋体"/>
                <w:kern w:val="2"/>
                <w:sz w:val="21"/>
                <w:szCs w:val="21"/>
              </w:rPr>
              <w:t>工业园区外工业企业：符合所在法定保护地管理规定、具有合 法手续、且污染物排放及环境风险满足管理要求的企业，可继 续保留，污染物排放只降不增，并进一步加强日常环保监管； 允许以提升安全、生态环境保护水平为目的的改建，引导企业 结合产业结构调整、技改升级等，适时搬迁；不具备合法手 续，或污染物排放超标、环境风险不可控的企业，属地政府应 按相关要求责令关停并退出</w:t>
            </w:r>
          </w:p>
        </w:tc>
        <w:tc>
          <w:tcPr>
            <w:tcW w:w="2552" w:type="dxa"/>
            <w:vMerge w:val="restart"/>
            <w:vAlign w:val="center"/>
          </w:tcPr>
          <w:p>
            <w:pPr>
              <w:pStyle w:val="44"/>
              <w:keepNext w:val="0"/>
              <w:keepLines w:val="0"/>
              <w:suppressLineNumbers w:val="0"/>
              <w:spacing w:before="140" w:beforeAutospacing="0" w:after="0" w:afterAutospacing="0" w:line="238" w:lineRule="auto"/>
              <w:ind w:left="8" w:right="10"/>
              <w:jc w:val="center"/>
              <w:rPr>
                <w:rFonts w:hint="eastAsia" w:ascii="宋体" w:hAnsi="宋体" w:eastAsia="宋体" w:cs="宋体"/>
                <w:kern w:val="2"/>
                <w:sz w:val="21"/>
                <w:szCs w:val="21"/>
              </w:rPr>
            </w:pPr>
            <w:r>
              <w:rPr>
                <w:rFonts w:hint="eastAsia" w:ascii="宋体" w:hAnsi="宋体" w:eastAsia="宋体" w:cs="宋体"/>
                <w:kern w:val="2"/>
                <w:sz w:val="21"/>
                <w:szCs w:val="21"/>
              </w:rPr>
              <w:t>本次规划矿区内规划矿井均 为依法保留或者改造升级项 目，项目后续实施过程中各 项污染物达标排放。确需外 排矿井水需提升生态环境保</w:t>
            </w:r>
          </w:p>
          <w:p>
            <w:pPr>
              <w:pStyle w:val="44"/>
              <w:keepNext w:val="0"/>
              <w:keepLines w:val="0"/>
              <w:suppressLineNumbers w:val="0"/>
              <w:spacing w:before="0" w:beforeAutospacing="0" w:after="0" w:afterAutospacing="0" w:line="241" w:lineRule="exact"/>
              <w:ind w:left="8" w:right="0"/>
              <w:jc w:val="center"/>
              <w:rPr>
                <w:rFonts w:hint="eastAsia" w:ascii="宋体" w:hAnsi="宋体" w:eastAsia="宋体" w:cs="宋体"/>
                <w:kern w:val="2"/>
                <w:sz w:val="21"/>
                <w:szCs w:val="21"/>
              </w:rPr>
            </w:pPr>
            <w:r>
              <w:rPr>
                <w:rFonts w:hint="eastAsia" w:ascii="宋体" w:hAnsi="宋体" w:eastAsia="宋体" w:cs="宋体"/>
                <w:kern w:val="2"/>
                <w:sz w:val="21"/>
                <w:szCs w:val="21"/>
              </w:rPr>
              <w:t>护水平，满足环境质量标准</w:t>
            </w:r>
          </w:p>
          <w:p>
            <w:pPr>
              <w:pStyle w:val="44"/>
              <w:keepNext w:val="0"/>
              <w:keepLines w:val="0"/>
              <w:suppressLineNumbers w:val="0"/>
              <w:spacing w:before="0" w:beforeAutospacing="0" w:after="0" w:afterAutospacing="0" w:line="241" w:lineRule="exact"/>
              <w:ind w:left="744" w:right="0"/>
              <w:jc w:val="center"/>
              <w:rPr>
                <w:rFonts w:hint="eastAsia" w:ascii="宋体" w:hAnsi="宋体" w:eastAsia="宋体" w:cs="宋体"/>
                <w:kern w:val="2"/>
                <w:sz w:val="21"/>
                <w:szCs w:val="21"/>
              </w:rPr>
            </w:pPr>
            <w:r>
              <w:rPr>
                <w:rFonts w:hint="eastAsia" w:ascii="宋体" w:hAnsi="宋体" w:eastAsia="宋体" w:cs="宋体"/>
                <w:kern w:val="2"/>
                <w:sz w:val="21"/>
                <w:szCs w:val="21"/>
              </w:rPr>
              <w:t>后方可外排</w:t>
            </w:r>
          </w:p>
        </w:tc>
        <w:tc>
          <w:tcPr>
            <w:tcW w:w="1950" w:type="dxa"/>
            <w:vAlign w:val="center"/>
          </w:tcPr>
          <w:p>
            <w:pPr>
              <w:pStyle w:val="44"/>
              <w:keepNext w:val="0"/>
              <w:keepLines w:val="0"/>
              <w:suppressLineNumbers w:val="0"/>
              <w:spacing w:before="106" w:beforeAutospacing="0" w:after="0" w:afterAutospacing="0" w:line="235" w:lineRule="auto"/>
              <w:ind w:left="23" w:right="23" w:firstLine="1"/>
              <w:jc w:val="center"/>
              <w:rPr>
                <w:rFonts w:hint="eastAsia" w:ascii="宋体" w:hAnsi="宋体" w:eastAsia="宋体" w:cs="宋体"/>
                <w:kern w:val="2"/>
                <w:sz w:val="21"/>
                <w:szCs w:val="21"/>
              </w:rPr>
            </w:pPr>
            <w:r>
              <w:rPr>
                <w:rFonts w:hint="eastAsia" w:ascii="宋体" w:hAnsi="宋体" w:eastAsia="宋体" w:cs="宋体"/>
                <w:kern w:val="2"/>
                <w:sz w:val="21"/>
                <w:szCs w:val="21"/>
              </w:rPr>
              <w:t>基本符合规划矿区内矿井水处理后回用，对确需外排的，本次评价提出需满足地表水环境质量</w:t>
            </w:r>
            <w:r>
              <w:rPr>
                <w:rFonts w:hint="eastAsia" w:ascii="宋体" w:hAnsi="宋体" w:eastAsia="宋体" w:cs="宋体"/>
                <w:spacing w:val="-53"/>
                <w:kern w:val="2"/>
                <w:sz w:val="21"/>
                <w:szCs w:val="21"/>
              </w:rPr>
              <w:t xml:space="preserve"> </w:t>
            </w:r>
            <w:r>
              <w:rPr>
                <w:rFonts w:hint="eastAsia" w:hAnsi="Times New Roman" w:eastAsia="Times New Roman"/>
                <w:spacing w:val="-1"/>
                <w:kern w:val="2"/>
                <w:sz w:val="21"/>
                <w:szCs w:val="21"/>
              </w:rPr>
              <w:t>III</w:t>
            </w:r>
            <w:r>
              <w:rPr>
                <w:rFonts w:hint="eastAsia" w:ascii="宋体" w:hAnsi="宋体" w:eastAsia="宋体" w:cs="宋体"/>
                <w:kern w:val="2"/>
                <w:sz w:val="21"/>
                <w:szCs w:val="21"/>
              </w:rPr>
              <w:t>标准以及含盐量要求</w:t>
            </w:r>
          </w:p>
        </w:tc>
        <w:tc>
          <w:tcPr>
            <w:tcW w:w="1982" w:type="dxa"/>
            <w:vAlign w:val="center"/>
          </w:tcPr>
          <w:p>
            <w:pPr>
              <w:pStyle w:val="44"/>
              <w:keepNext w:val="0"/>
              <w:keepLines w:val="0"/>
              <w:suppressLineNumbers w:val="0"/>
              <w:spacing w:before="106" w:beforeAutospacing="0" w:after="0" w:afterAutospacing="0" w:line="235" w:lineRule="auto"/>
              <w:ind w:left="-9" w:right="-8"/>
              <w:jc w:val="center"/>
              <w:rPr>
                <w:rFonts w:hint="eastAsia" w:ascii="宋体" w:hAnsi="宋体" w:eastAsia="宋体" w:cs="宋体"/>
                <w:kern w:val="2"/>
                <w:sz w:val="21"/>
                <w:szCs w:val="21"/>
              </w:rPr>
            </w:pPr>
            <w:r>
              <w:rPr>
                <w:rFonts w:hint="eastAsia" w:ascii="宋体" w:hAnsi="宋体" w:eastAsia="宋体" w:cs="宋体"/>
                <w:kern w:val="2"/>
                <w:sz w:val="21"/>
                <w:szCs w:val="21"/>
              </w:rPr>
              <w:t>本项目矿井涌水经收 集处理后达到地表水 环境质量</w:t>
            </w:r>
            <w:r>
              <w:rPr>
                <w:rFonts w:hint="eastAsia" w:ascii="宋体" w:hAnsi="宋体" w:eastAsia="宋体" w:cs="宋体"/>
                <w:spacing w:val="-52"/>
                <w:kern w:val="2"/>
                <w:sz w:val="21"/>
                <w:szCs w:val="21"/>
              </w:rPr>
              <w:t xml:space="preserve"> </w:t>
            </w:r>
            <w:r>
              <w:rPr>
                <w:rFonts w:hint="eastAsia" w:hAnsi="Times New Roman" w:eastAsia="Times New Roman"/>
                <w:spacing w:val="-1"/>
                <w:kern w:val="2"/>
                <w:sz w:val="21"/>
                <w:szCs w:val="21"/>
              </w:rPr>
              <w:t>III</w:t>
            </w:r>
            <w:r>
              <w:rPr>
                <w:rFonts w:hint="eastAsia" w:ascii="宋体" w:hAnsi="宋体" w:eastAsia="宋体" w:cs="宋体"/>
                <w:kern w:val="2"/>
                <w:sz w:val="21"/>
                <w:szCs w:val="21"/>
              </w:rPr>
              <w:t>标准以及</w:t>
            </w:r>
            <w:r>
              <w:rPr>
                <w:rFonts w:hint="eastAsia" w:ascii="宋体" w:hAnsi="宋体" w:eastAsia="宋体" w:cs="宋体"/>
                <w:spacing w:val="21"/>
                <w:kern w:val="2"/>
                <w:sz w:val="21"/>
                <w:szCs w:val="21"/>
              </w:rPr>
              <w:t xml:space="preserve"> </w:t>
            </w:r>
            <w:r>
              <w:rPr>
                <w:rFonts w:hint="eastAsia" w:ascii="宋体" w:hAnsi="宋体" w:eastAsia="宋体" w:cs="宋体"/>
                <w:kern w:val="2"/>
                <w:sz w:val="21"/>
                <w:szCs w:val="21"/>
              </w:rPr>
              <w:t>含盐量</w:t>
            </w:r>
            <w:r>
              <w:rPr>
                <w:rFonts w:hint="eastAsia" w:hAnsi="Times New Roman" w:eastAsia="宋体"/>
                <w:kern w:val="2"/>
                <w:sz w:val="21"/>
                <w:szCs w:val="21"/>
              </w:rPr>
              <w:t>≤</w:t>
            </w:r>
            <w:r>
              <w:rPr>
                <w:rFonts w:hint="eastAsia" w:ascii="宋体" w:hAnsi="宋体" w:eastAsia="宋体" w:cs="宋体"/>
                <w:kern w:val="2"/>
                <w:sz w:val="21"/>
                <w:szCs w:val="21"/>
                <w:lang w:eastAsia="zh-CN"/>
              </w:rPr>
              <w:t>1000mg/L</w:t>
            </w:r>
            <w:r>
              <w:rPr>
                <w:rFonts w:hint="eastAsia" w:ascii="宋体" w:hAnsi="宋体" w:eastAsia="宋体" w:cs="宋体"/>
                <w:kern w:val="2"/>
                <w:sz w:val="21"/>
                <w:szCs w:val="21"/>
              </w:rPr>
              <w:t>要求，优先用 于矿区开采及工业广 场用水，多余废水外 排。符合规划要求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875" w:type="dxa"/>
            <w:vMerge w:val="restart"/>
            <w:vAlign w:val="center"/>
          </w:tcPr>
          <w:p>
            <w:pPr>
              <w:pStyle w:val="44"/>
              <w:keepNext w:val="0"/>
              <w:keepLines w:val="0"/>
              <w:suppressLineNumbers w:val="0"/>
              <w:spacing w:before="0" w:beforeAutospacing="0" w:after="0" w:afterAutospacing="0"/>
              <w:ind w:left="11" w:right="0"/>
              <w:jc w:val="center"/>
              <w:rPr>
                <w:rFonts w:hint="eastAsia" w:ascii="宋体" w:hAnsi="宋体" w:eastAsia="宋体" w:cs="宋体"/>
                <w:kern w:val="2"/>
                <w:sz w:val="21"/>
                <w:szCs w:val="21"/>
              </w:rPr>
            </w:pPr>
            <w:r>
              <w:rPr>
                <w:rFonts w:hint="eastAsia" w:ascii="宋体" w:hAnsi="宋体" w:eastAsia="宋体" w:cs="宋体"/>
                <w:kern w:val="2"/>
                <w:sz w:val="21"/>
                <w:szCs w:val="21"/>
              </w:rPr>
              <w:t>一般管控</w:t>
            </w:r>
          </w:p>
          <w:p>
            <w:pPr>
              <w:pStyle w:val="44"/>
              <w:keepNext w:val="0"/>
              <w:keepLines w:val="0"/>
              <w:suppressLineNumbers w:val="0"/>
              <w:spacing w:before="0" w:beforeAutospacing="0" w:after="0" w:afterAutospacing="0" w:line="257" w:lineRule="exact"/>
              <w:ind w:left="141" w:right="0"/>
              <w:jc w:val="center"/>
              <w:rPr>
                <w:rFonts w:hint="eastAsia" w:hAnsi="Times New Roman" w:eastAsia="Times New Roman"/>
                <w:kern w:val="2"/>
                <w:sz w:val="21"/>
                <w:szCs w:val="21"/>
              </w:rPr>
            </w:pPr>
            <w:r>
              <w:rPr>
                <w:rFonts w:hint="eastAsia" w:ascii="宋体" w:hAnsi="宋体" w:eastAsia="宋体" w:cs="宋体"/>
                <w:kern w:val="2"/>
                <w:sz w:val="21"/>
                <w:szCs w:val="21"/>
              </w:rPr>
              <w:t>单元</w:t>
            </w:r>
            <w:r>
              <w:rPr>
                <w:rFonts w:hint="eastAsia" w:ascii="宋体" w:hAnsi="宋体" w:eastAsia="宋体" w:cs="宋体"/>
                <w:spacing w:val="-53"/>
                <w:kern w:val="2"/>
                <w:sz w:val="21"/>
                <w:szCs w:val="21"/>
              </w:rPr>
              <w:t xml:space="preserve"> </w:t>
            </w:r>
            <w:r>
              <w:rPr>
                <w:rFonts w:hint="eastAsia" w:hAnsi="Times New Roman" w:eastAsia="Times New Roman"/>
                <w:kern w:val="2"/>
                <w:sz w:val="21"/>
                <w:szCs w:val="21"/>
              </w:rPr>
              <w:t>1</w:t>
            </w:r>
          </w:p>
        </w:tc>
        <w:tc>
          <w:tcPr>
            <w:tcW w:w="903" w:type="dxa"/>
            <w:vAlign w:val="center"/>
          </w:tcPr>
          <w:p>
            <w:pPr>
              <w:pStyle w:val="44"/>
              <w:keepNext w:val="0"/>
              <w:keepLines w:val="0"/>
              <w:suppressLineNumbers w:val="0"/>
              <w:spacing w:before="0" w:beforeAutospacing="0" w:after="0" w:afterAutospacing="0" w:line="272" w:lineRule="exact"/>
              <w:ind w:left="234" w:right="26" w:hanging="210"/>
              <w:jc w:val="center"/>
              <w:rPr>
                <w:rFonts w:hint="eastAsia" w:ascii="宋体" w:hAnsi="宋体" w:eastAsia="宋体" w:cs="宋体"/>
                <w:kern w:val="2"/>
                <w:sz w:val="21"/>
                <w:szCs w:val="21"/>
              </w:rPr>
            </w:pPr>
            <w:r>
              <w:rPr>
                <w:rFonts w:hint="eastAsia" w:ascii="宋体" w:hAnsi="宋体" w:eastAsia="宋体" w:cs="宋体"/>
                <w:kern w:val="2"/>
                <w:sz w:val="21"/>
                <w:szCs w:val="21"/>
              </w:rPr>
              <w:t>空间布局 要素</w:t>
            </w:r>
          </w:p>
        </w:tc>
        <w:tc>
          <w:tcPr>
            <w:tcW w:w="5732" w:type="dxa"/>
            <w:vAlign w:val="center"/>
          </w:tcPr>
          <w:p>
            <w:pPr>
              <w:pStyle w:val="44"/>
              <w:keepNext w:val="0"/>
              <w:keepLines w:val="0"/>
              <w:suppressLineNumbers w:val="0"/>
              <w:spacing w:before="0" w:beforeAutospacing="0" w:after="0" w:afterAutospacing="0" w:line="240" w:lineRule="exact"/>
              <w:ind w:left="24" w:right="0"/>
              <w:jc w:val="center"/>
              <w:rPr>
                <w:rFonts w:hint="eastAsia" w:ascii="宋体" w:hAnsi="宋体" w:eastAsia="宋体" w:cs="宋体"/>
                <w:kern w:val="2"/>
                <w:sz w:val="21"/>
                <w:szCs w:val="21"/>
              </w:rPr>
            </w:pPr>
            <w:r>
              <w:rPr>
                <w:rFonts w:hint="eastAsia" w:ascii="宋体" w:hAnsi="宋体" w:eastAsia="宋体" w:cs="宋体"/>
                <w:kern w:val="2"/>
                <w:sz w:val="21"/>
                <w:szCs w:val="21"/>
              </w:rPr>
              <w:t>限制开发建设活动的要求：限制进行大规模高强度工业化城镇</w:t>
            </w:r>
          </w:p>
          <w:p>
            <w:pPr>
              <w:pStyle w:val="44"/>
              <w:keepNext w:val="0"/>
              <w:keepLines w:val="0"/>
              <w:suppressLineNumbers w:val="0"/>
              <w:spacing w:before="0" w:beforeAutospacing="0" w:after="0" w:afterAutospacing="0" w:line="241" w:lineRule="exact"/>
              <w:ind w:left="24" w:right="0"/>
              <w:jc w:val="center"/>
              <w:rPr>
                <w:rFonts w:hint="eastAsia" w:ascii="宋体" w:hAnsi="宋体" w:eastAsia="宋体" w:cs="宋体"/>
                <w:kern w:val="2"/>
                <w:sz w:val="21"/>
                <w:szCs w:val="21"/>
              </w:rPr>
            </w:pPr>
            <w:r>
              <w:rPr>
                <w:rFonts w:hint="eastAsia" w:ascii="宋体" w:hAnsi="宋体" w:eastAsia="宋体" w:cs="宋体"/>
                <w:kern w:val="2"/>
                <w:sz w:val="21"/>
                <w:szCs w:val="21"/>
              </w:rPr>
              <w:t>化开发，严格控制有色金属冶炼等产能，原则上不增加产能。</w:t>
            </w:r>
          </w:p>
          <w:p>
            <w:pPr>
              <w:pStyle w:val="44"/>
              <w:keepNext w:val="0"/>
              <w:keepLines w:val="0"/>
              <w:suppressLineNumbers w:val="0"/>
              <w:spacing w:before="0" w:beforeAutospacing="0" w:after="0" w:afterAutospacing="0" w:line="240" w:lineRule="exact"/>
              <w:ind w:left="0" w:right="1"/>
              <w:jc w:val="center"/>
              <w:rPr>
                <w:rFonts w:hint="eastAsia" w:ascii="宋体" w:hAnsi="宋体" w:eastAsia="宋体" w:cs="宋体"/>
                <w:kern w:val="2"/>
                <w:sz w:val="21"/>
                <w:szCs w:val="21"/>
              </w:rPr>
            </w:pPr>
            <w:r>
              <w:rPr>
                <w:rFonts w:hint="eastAsia" w:ascii="宋体" w:hAnsi="宋体" w:eastAsia="宋体" w:cs="宋体"/>
                <w:kern w:val="2"/>
                <w:sz w:val="21"/>
                <w:szCs w:val="21"/>
              </w:rPr>
              <w:t>位于城镇空间外的工业园区外工业企业：具有合法手续的企</w:t>
            </w:r>
          </w:p>
          <w:p>
            <w:pPr>
              <w:pStyle w:val="44"/>
              <w:keepNext w:val="0"/>
              <w:keepLines w:val="0"/>
              <w:suppressLineNumbers w:val="0"/>
              <w:spacing w:before="0" w:beforeAutospacing="0" w:after="0" w:afterAutospacing="0" w:line="274" w:lineRule="exact"/>
              <w:ind w:left="0" w:right="1"/>
              <w:jc w:val="center"/>
              <w:rPr>
                <w:rFonts w:hint="eastAsia" w:ascii="宋体" w:hAnsi="宋体" w:eastAsia="宋体" w:cs="宋体"/>
                <w:kern w:val="2"/>
                <w:sz w:val="21"/>
                <w:szCs w:val="21"/>
              </w:rPr>
            </w:pPr>
            <w:r>
              <w:rPr>
                <w:rFonts w:hint="eastAsia" w:ascii="宋体" w:hAnsi="宋体" w:eastAsia="宋体" w:cs="宋体"/>
                <w:kern w:val="2"/>
                <w:sz w:val="21"/>
                <w:szCs w:val="21"/>
              </w:rPr>
              <w:t>业，且污染物排放及环境风险满足管理要求的企业，可继续保</w:t>
            </w:r>
          </w:p>
          <w:p>
            <w:pPr>
              <w:pStyle w:val="44"/>
              <w:keepNext w:val="0"/>
              <w:keepLines w:val="0"/>
              <w:suppressLineNumbers w:val="0"/>
              <w:spacing w:before="0" w:beforeAutospacing="0" w:after="0" w:afterAutospacing="0" w:line="241" w:lineRule="exact"/>
              <w:ind w:left="24" w:right="0"/>
              <w:jc w:val="center"/>
              <w:rPr>
                <w:rFonts w:hint="eastAsia" w:ascii="宋体" w:hAnsi="宋体" w:eastAsia="宋体" w:cs="宋体"/>
                <w:kern w:val="2"/>
                <w:sz w:val="21"/>
                <w:szCs w:val="21"/>
              </w:rPr>
            </w:pPr>
            <w:r>
              <w:rPr>
                <w:rFonts w:hint="eastAsia" w:ascii="宋体" w:hAnsi="宋体" w:eastAsia="宋体" w:cs="宋体"/>
                <w:kern w:val="2"/>
                <w:sz w:val="21"/>
                <w:szCs w:val="21"/>
              </w:rPr>
              <w:t>留，要求污染物排放只降不增，并进一步加强日常环保监管；</w:t>
            </w:r>
          </w:p>
          <w:p>
            <w:pPr>
              <w:pStyle w:val="44"/>
              <w:keepNext w:val="0"/>
              <w:keepLines w:val="0"/>
              <w:suppressLineNumbers w:val="0"/>
              <w:spacing w:before="0" w:beforeAutospacing="0" w:after="0" w:afterAutospacing="0" w:line="257" w:lineRule="exact"/>
              <w:ind w:left="515" w:right="0"/>
              <w:jc w:val="center"/>
              <w:rPr>
                <w:rFonts w:hint="eastAsia" w:ascii="宋体" w:hAnsi="宋体" w:eastAsia="宋体" w:cs="宋体"/>
                <w:kern w:val="2"/>
                <w:sz w:val="21"/>
                <w:szCs w:val="21"/>
              </w:rPr>
            </w:pPr>
            <w:r>
              <w:rPr>
                <w:rFonts w:hint="eastAsia" w:ascii="宋体" w:hAnsi="宋体" w:eastAsia="宋体" w:cs="宋体"/>
                <w:spacing w:val="-1"/>
                <w:kern w:val="2"/>
                <w:sz w:val="21"/>
                <w:szCs w:val="21"/>
              </w:rPr>
              <w:t>其他</w:t>
            </w:r>
            <w:r>
              <w:rPr>
                <w:rFonts w:hint="eastAsia" w:hAnsi="Times New Roman" w:eastAsia="Times New Roman"/>
                <w:spacing w:val="-1"/>
                <w:kern w:val="2"/>
                <w:sz w:val="21"/>
                <w:szCs w:val="21"/>
              </w:rPr>
              <w:t>-</w:t>
            </w:r>
            <w:r>
              <w:rPr>
                <w:rFonts w:hint="eastAsia" w:ascii="宋体" w:hAnsi="宋体" w:eastAsia="宋体" w:cs="宋体"/>
                <w:spacing w:val="-1"/>
                <w:kern w:val="2"/>
                <w:sz w:val="21"/>
                <w:szCs w:val="21"/>
              </w:rPr>
              <w:t>其他参照达州市一般管控单元总体准入要求。</w:t>
            </w:r>
          </w:p>
        </w:tc>
        <w:tc>
          <w:tcPr>
            <w:tcW w:w="2552" w:type="dxa"/>
            <w:vMerge w:val="continue"/>
            <w:vAlign w:val="center"/>
          </w:tcPr>
          <w:p>
            <w:pPr>
              <w:keepNext w:val="0"/>
              <w:keepLines w:val="0"/>
              <w:suppressLineNumbers w:val="0"/>
              <w:spacing w:before="0" w:beforeAutospacing="0" w:after="0" w:afterAutospacing="0"/>
              <w:ind w:left="0" w:right="0"/>
              <w:jc w:val="center"/>
              <w:rPr>
                <w:rFonts w:hint="eastAsia"/>
                <w:kern w:val="2"/>
                <w:szCs w:val="22"/>
              </w:rPr>
            </w:pPr>
          </w:p>
        </w:tc>
        <w:tc>
          <w:tcPr>
            <w:tcW w:w="1950" w:type="dxa"/>
            <w:vAlign w:val="center"/>
          </w:tcPr>
          <w:p>
            <w:pPr>
              <w:pStyle w:val="44"/>
              <w:keepNext w:val="0"/>
              <w:keepLines w:val="0"/>
              <w:suppressLineNumbers w:val="0"/>
              <w:spacing w:before="0" w:beforeAutospacing="0" w:after="0" w:afterAutospacing="0"/>
              <w:ind w:left="0" w:right="1"/>
              <w:jc w:val="center"/>
              <w:rPr>
                <w:rFonts w:hint="eastAsia" w:ascii="宋体" w:hAnsi="宋体" w:eastAsia="宋体" w:cs="宋体"/>
                <w:kern w:val="2"/>
                <w:sz w:val="21"/>
                <w:szCs w:val="21"/>
              </w:rPr>
            </w:pPr>
            <w:r>
              <w:rPr>
                <w:rFonts w:hint="eastAsia" w:ascii="宋体" w:hAnsi="宋体" w:eastAsia="宋体" w:cs="宋体"/>
                <w:kern w:val="2"/>
                <w:sz w:val="21"/>
                <w:szCs w:val="21"/>
              </w:rPr>
              <w:t>符合</w:t>
            </w:r>
          </w:p>
        </w:tc>
        <w:tc>
          <w:tcPr>
            <w:tcW w:w="1982" w:type="dxa"/>
            <w:vAlign w:val="center"/>
          </w:tcPr>
          <w:p>
            <w:pPr>
              <w:pStyle w:val="44"/>
              <w:keepNext w:val="0"/>
              <w:keepLines w:val="0"/>
              <w:suppressLineNumbers w:val="0"/>
              <w:spacing w:before="0" w:beforeAutospacing="0" w:after="0" w:afterAutospacing="0"/>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875" w:type="dxa"/>
            <w:vMerge w:val="continue"/>
            <w:vAlign w:val="center"/>
          </w:tcPr>
          <w:p>
            <w:pPr>
              <w:keepNext w:val="0"/>
              <w:keepLines w:val="0"/>
              <w:suppressLineNumbers w:val="0"/>
              <w:spacing w:before="0" w:beforeAutospacing="0" w:after="0" w:afterAutospacing="0"/>
              <w:ind w:left="0" w:right="0"/>
              <w:jc w:val="center"/>
              <w:rPr>
                <w:rFonts w:hint="eastAsia"/>
                <w:kern w:val="2"/>
                <w:szCs w:val="22"/>
              </w:rPr>
            </w:pPr>
          </w:p>
        </w:tc>
        <w:tc>
          <w:tcPr>
            <w:tcW w:w="903" w:type="dxa"/>
            <w:vAlign w:val="center"/>
          </w:tcPr>
          <w:p>
            <w:pPr>
              <w:pStyle w:val="44"/>
              <w:keepNext w:val="0"/>
              <w:keepLines w:val="0"/>
              <w:suppressLineNumbers w:val="0"/>
              <w:spacing w:before="140" w:beforeAutospacing="0" w:after="0" w:afterAutospacing="0" w:line="272" w:lineRule="exact"/>
              <w:ind w:left="129" w:right="26" w:hanging="106"/>
              <w:jc w:val="center"/>
              <w:rPr>
                <w:rFonts w:hint="eastAsia" w:ascii="宋体" w:hAnsi="宋体" w:eastAsia="宋体" w:cs="宋体"/>
                <w:kern w:val="2"/>
                <w:sz w:val="21"/>
                <w:szCs w:val="21"/>
              </w:rPr>
            </w:pPr>
            <w:r>
              <w:rPr>
                <w:rFonts w:hint="eastAsia" w:ascii="宋体" w:hAnsi="宋体" w:eastAsia="宋体" w:cs="宋体"/>
                <w:kern w:val="2"/>
                <w:sz w:val="21"/>
                <w:szCs w:val="21"/>
              </w:rPr>
              <w:t>污染物排 放管控</w:t>
            </w:r>
          </w:p>
        </w:tc>
        <w:tc>
          <w:tcPr>
            <w:tcW w:w="5732" w:type="dxa"/>
            <w:vAlign w:val="center"/>
          </w:tcPr>
          <w:p>
            <w:pPr>
              <w:pStyle w:val="44"/>
              <w:keepNext w:val="0"/>
              <w:keepLines w:val="0"/>
              <w:suppressLineNumbers w:val="0"/>
              <w:spacing w:before="0" w:beforeAutospacing="0" w:after="0" w:afterAutospacing="0" w:line="272" w:lineRule="exact"/>
              <w:ind w:left="24" w:right="23"/>
              <w:jc w:val="center"/>
              <w:rPr>
                <w:rFonts w:hint="eastAsia" w:ascii="宋体" w:hAnsi="宋体" w:eastAsia="宋体" w:cs="宋体"/>
                <w:kern w:val="2"/>
                <w:sz w:val="21"/>
                <w:szCs w:val="21"/>
              </w:rPr>
            </w:pPr>
            <w:r>
              <w:rPr>
                <w:rFonts w:hint="eastAsia" w:ascii="宋体" w:hAnsi="宋体" w:eastAsia="宋体" w:cs="宋体"/>
                <w:kern w:val="2"/>
                <w:sz w:val="21"/>
                <w:szCs w:val="21"/>
              </w:rPr>
              <w:t>污染物排放绩效水平准入要求：大气环境布局敏感和弱扩散重 点管控区内，现有大气污染重点企业，限期进行深度治理或关 停并转。其他参照达州市一般管控单元总体准入要求。</w:t>
            </w:r>
          </w:p>
        </w:tc>
        <w:tc>
          <w:tcPr>
            <w:tcW w:w="2552" w:type="dxa"/>
            <w:vAlign w:val="center"/>
          </w:tcPr>
          <w:p>
            <w:pPr>
              <w:pStyle w:val="44"/>
              <w:keepNext w:val="0"/>
              <w:keepLines w:val="0"/>
              <w:suppressLineNumbers w:val="0"/>
              <w:spacing w:before="0" w:beforeAutospacing="0" w:after="0" w:afterAutospacing="0" w:line="240" w:lineRule="exact"/>
              <w:ind w:left="8" w:right="0"/>
              <w:jc w:val="center"/>
              <w:rPr>
                <w:rFonts w:hint="eastAsia" w:ascii="宋体" w:hAnsi="宋体" w:eastAsia="宋体" w:cs="宋体"/>
                <w:kern w:val="2"/>
                <w:sz w:val="21"/>
                <w:szCs w:val="21"/>
              </w:rPr>
            </w:pPr>
            <w:r>
              <w:rPr>
                <w:rFonts w:hint="eastAsia" w:ascii="宋体" w:hAnsi="宋体" w:eastAsia="宋体" w:cs="宋体"/>
                <w:kern w:val="2"/>
                <w:sz w:val="21"/>
                <w:szCs w:val="21"/>
              </w:rPr>
              <w:t>位于大气环境布局敏感重点</w:t>
            </w:r>
          </w:p>
          <w:p>
            <w:pPr>
              <w:pStyle w:val="44"/>
              <w:keepNext w:val="0"/>
              <w:keepLines w:val="0"/>
              <w:suppressLineNumbers w:val="0"/>
              <w:spacing w:before="0" w:beforeAutospacing="0" w:after="0" w:afterAutospacing="0" w:line="240" w:lineRule="exact"/>
              <w:ind w:left="8" w:right="0"/>
              <w:jc w:val="center"/>
              <w:rPr>
                <w:rFonts w:hint="eastAsia" w:ascii="宋体" w:hAnsi="宋体" w:eastAsia="宋体" w:cs="宋体"/>
                <w:kern w:val="2"/>
                <w:sz w:val="21"/>
                <w:szCs w:val="21"/>
              </w:rPr>
            </w:pPr>
            <w:r>
              <w:rPr>
                <w:rFonts w:hint="eastAsia" w:ascii="宋体" w:hAnsi="宋体" w:eastAsia="宋体" w:cs="宋体"/>
                <w:kern w:val="2"/>
                <w:sz w:val="21"/>
                <w:szCs w:val="21"/>
              </w:rPr>
              <w:t>管控区和大气环境若扩散重</w:t>
            </w:r>
          </w:p>
          <w:p>
            <w:pPr>
              <w:pStyle w:val="44"/>
              <w:keepNext w:val="0"/>
              <w:keepLines w:val="0"/>
              <w:suppressLineNumbers w:val="0"/>
              <w:spacing w:before="26" w:beforeAutospacing="0" w:after="0" w:afterAutospacing="0" w:line="272" w:lineRule="exact"/>
              <w:ind w:left="8" w:right="10"/>
              <w:jc w:val="center"/>
              <w:rPr>
                <w:rFonts w:hint="eastAsia" w:ascii="宋体" w:hAnsi="宋体" w:eastAsia="宋体" w:cs="宋体"/>
                <w:kern w:val="2"/>
                <w:sz w:val="21"/>
                <w:szCs w:val="21"/>
              </w:rPr>
            </w:pPr>
            <w:r>
              <w:rPr>
                <w:rFonts w:hint="eastAsia" w:ascii="宋体" w:hAnsi="宋体" w:eastAsia="宋体" w:cs="宋体"/>
                <w:kern w:val="2"/>
                <w:sz w:val="21"/>
                <w:szCs w:val="21"/>
              </w:rPr>
              <w:t>点管控区，规划矿井不设燃 煤锅炉、储煤场封闭洒水抑</w:t>
            </w:r>
          </w:p>
          <w:p>
            <w:pPr>
              <w:pStyle w:val="44"/>
              <w:keepNext w:val="0"/>
              <w:keepLines w:val="0"/>
              <w:suppressLineNumbers w:val="0"/>
              <w:spacing w:before="0" w:beforeAutospacing="0" w:after="0" w:afterAutospacing="0" w:line="241" w:lineRule="exact"/>
              <w:ind w:left="218" w:right="0"/>
              <w:jc w:val="center"/>
              <w:rPr>
                <w:rFonts w:hint="eastAsia" w:ascii="宋体" w:hAnsi="宋体" w:eastAsia="宋体" w:cs="宋体"/>
                <w:kern w:val="2"/>
                <w:sz w:val="21"/>
                <w:szCs w:val="21"/>
              </w:rPr>
            </w:pPr>
            <w:r>
              <w:rPr>
                <w:rFonts w:hint="eastAsia" w:ascii="宋体" w:hAnsi="宋体" w:eastAsia="宋体" w:cs="宋体"/>
                <w:kern w:val="2"/>
                <w:sz w:val="21"/>
                <w:szCs w:val="21"/>
              </w:rPr>
              <w:t>尘，不新增大气污染物</w:t>
            </w:r>
          </w:p>
        </w:tc>
        <w:tc>
          <w:tcPr>
            <w:tcW w:w="1950" w:type="dxa"/>
            <w:vAlign w:val="center"/>
          </w:tcPr>
          <w:p>
            <w:pPr>
              <w:pStyle w:val="44"/>
              <w:keepNext w:val="0"/>
              <w:keepLines w:val="0"/>
              <w:suppressLineNumbers w:val="0"/>
              <w:spacing w:before="0" w:beforeAutospacing="0" w:after="0" w:afterAutospacing="0"/>
              <w:ind w:left="0" w:right="1"/>
              <w:jc w:val="center"/>
              <w:rPr>
                <w:rFonts w:hint="eastAsia" w:ascii="宋体" w:hAnsi="宋体" w:eastAsia="宋体" w:cs="宋体"/>
                <w:kern w:val="2"/>
                <w:sz w:val="21"/>
                <w:szCs w:val="21"/>
              </w:rPr>
            </w:pPr>
            <w:r>
              <w:rPr>
                <w:rFonts w:hint="eastAsia" w:ascii="宋体" w:hAnsi="宋体" w:eastAsia="宋体" w:cs="宋体"/>
                <w:kern w:val="2"/>
                <w:sz w:val="21"/>
                <w:szCs w:val="21"/>
              </w:rPr>
              <w:t>符合</w:t>
            </w:r>
          </w:p>
        </w:tc>
        <w:tc>
          <w:tcPr>
            <w:tcW w:w="1982" w:type="dxa"/>
            <w:vAlign w:val="center"/>
          </w:tcPr>
          <w:p>
            <w:pPr>
              <w:pStyle w:val="44"/>
              <w:keepNext w:val="0"/>
              <w:keepLines w:val="0"/>
              <w:suppressLineNumbers w:val="0"/>
              <w:spacing w:before="0" w:beforeAutospacing="0" w:after="0" w:afterAutospacing="0"/>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875" w:type="dxa"/>
            <w:vMerge w:val="continue"/>
            <w:vAlign w:val="center"/>
          </w:tcPr>
          <w:p>
            <w:pPr>
              <w:keepNext w:val="0"/>
              <w:keepLines w:val="0"/>
              <w:suppressLineNumbers w:val="0"/>
              <w:spacing w:before="0" w:beforeAutospacing="0" w:after="0" w:afterAutospacing="0"/>
              <w:ind w:left="0" w:right="0"/>
              <w:jc w:val="center"/>
              <w:rPr>
                <w:rFonts w:hint="eastAsia"/>
                <w:kern w:val="2"/>
                <w:szCs w:val="22"/>
              </w:rPr>
            </w:pPr>
          </w:p>
        </w:tc>
        <w:tc>
          <w:tcPr>
            <w:tcW w:w="903" w:type="dxa"/>
            <w:vAlign w:val="center"/>
          </w:tcPr>
          <w:p>
            <w:pPr>
              <w:pStyle w:val="44"/>
              <w:keepNext w:val="0"/>
              <w:keepLines w:val="0"/>
              <w:suppressLineNumbers w:val="0"/>
              <w:spacing w:before="0" w:beforeAutospacing="0" w:after="0" w:afterAutospacing="0" w:line="272" w:lineRule="exact"/>
              <w:ind w:left="234" w:right="26" w:hanging="210"/>
              <w:jc w:val="center"/>
              <w:rPr>
                <w:rFonts w:hint="eastAsia" w:ascii="宋体" w:hAnsi="宋体" w:eastAsia="宋体" w:cs="宋体"/>
                <w:kern w:val="2"/>
                <w:sz w:val="21"/>
                <w:szCs w:val="21"/>
              </w:rPr>
            </w:pPr>
            <w:r>
              <w:rPr>
                <w:rFonts w:hint="eastAsia" w:ascii="宋体" w:hAnsi="宋体" w:eastAsia="宋体" w:cs="宋体"/>
                <w:kern w:val="2"/>
                <w:sz w:val="21"/>
                <w:szCs w:val="21"/>
              </w:rPr>
              <w:t>环境风险 防控</w:t>
            </w:r>
          </w:p>
        </w:tc>
        <w:tc>
          <w:tcPr>
            <w:tcW w:w="5732" w:type="dxa"/>
            <w:vMerge w:val="restart"/>
            <w:vAlign w:val="center"/>
          </w:tcPr>
          <w:p>
            <w:pPr>
              <w:pStyle w:val="44"/>
              <w:keepNext w:val="0"/>
              <w:keepLines w:val="0"/>
              <w:suppressLineNumbers w:val="0"/>
              <w:spacing w:before="0" w:beforeAutospacing="0" w:after="0" w:afterAutospacing="0" w:line="272" w:lineRule="exact"/>
              <w:ind w:left="2019" w:right="-10" w:hanging="2031"/>
              <w:jc w:val="center"/>
              <w:rPr>
                <w:rFonts w:hint="eastAsia" w:ascii="宋体" w:hAnsi="宋体" w:eastAsia="宋体" w:cs="宋体"/>
                <w:kern w:val="2"/>
                <w:sz w:val="21"/>
                <w:szCs w:val="21"/>
              </w:rPr>
            </w:pPr>
            <w:r>
              <w:rPr>
                <w:rFonts w:hint="eastAsia" w:ascii="宋体" w:hAnsi="宋体" w:eastAsia="宋体" w:cs="宋体"/>
                <w:spacing w:val="-1"/>
                <w:kern w:val="2"/>
                <w:sz w:val="21"/>
                <w:szCs w:val="21"/>
              </w:rPr>
              <w:t>其他参照达州市一般管控单元总体准入要求：</w:t>
            </w:r>
            <w:r>
              <w:rPr>
                <w:rFonts w:hint="eastAsia" w:hAnsi="Times New Roman" w:eastAsia="Times New Roman"/>
                <w:spacing w:val="-1"/>
                <w:kern w:val="2"/>
                <w:sz w:val="21"/>
                <w:szCs w:val="21"/>
              </w:rPr>
              <w:t>-</w:t>
            </w:r>
            <w:r>
              <w:rPr>
                <w:rFonts w:hint="eastAsia" w:ascii="宋体" w:hAnsi="宋体" w:eastAsia="宋体" w:cs="宋体"/>
                <w:spacing w:val="-1"/>
                <w:kern w:val="2"/>
                <w:sz w:val="21"/>
                <w:szCs w:val="21"/>
              </w:rPr>
              <w:t>加强“散乱污”</w:t>
            </w:r>
            <w:r>
              <w:rPr>
                <w:rFonts w:hint="eastAsia" w:ascii="宋体" w:hAnsi="宋体" w:eastAsia="宋体" w:cs="宋体"/>
                <w:spacing w:val="54"/>
                <w:kern w:val="2"/>
                <w:sz w:val="21"/>
                <w:szCs w:val="21"/>
              </w:rPr>
              <w:t xml:space="preserve"> </w:t>
            </w:r>
            <w:r>
              <w:rPr>
                <w:rFonts w:hint="eastAsia" w:ascii="宋体" w:hAnsi="宋体" w:eastAsia="宋体" w:cs="宋体"/>
                <w:kern w:val="2"/>
                <w:sz w:val="21"/>
                <w:szCs w:val="21"/>
              </w:rPr>
              <w:t>企业环境风险防控</w:t>
            </w:r>
          </w:p>
        </w:tc>
        <w:tc>
          <w:tcPr>
            <w:tcW w:w="2552" w:type="dxa"/>
            <w:vAlign w:val="center"/>
          </w:tcPr>
          <w:p>
            <w:pPr>
              <w:pStyle w:val="44"/>
              <w:keepNext w:val="0"/>
              <w:keepLines w:val="0"/>
              <w:suppressLineNumbers w:val="0"/>
              <w:spacing w:before="0" w:beforeAutospacing="0" w:after="0" w:afterAutospacing="0" w:line="272" w:lineRule="exact"/>
              <w:ind w:left="324" w:right="10" w:hanging="316"/>
              <w:jc w:val="center"/>
              <w:rPr>
                <w:rFonts w:hint="eastAsia" w:ascii="宋体" w:hAnsi="宋体" w:eastAsia="宋体" w:cs="宋体"/>
                <w:kern w:val="2"/>
                <w:sz w:val="21"/>
                <w:szCs w:val="21"/>
              </w:rPr>
            </w:pPr>
            <w:r>
              <w:rPr>
                <w:rFonts w:hint="eastAsia" w:ascii="宋体" w:hAnsi="宋体" w:eastAsia="宋体" w:cs="宋体"/>
                <w:kern w:val="2"/>
                <w:sz w:val="21"/>
                <w:szCs w:val="21"/>
              </w:rPr>
              <w:t>制定环境风险防控预案，落 实环境风险防范措施</w:t>
            </w:r>
          </w:p>
        </w:tc>
        <w:tc>
          <w:tcPr>
            <w:tcW w:w="1950" w:type="dxa"/>
            <w:vAlign w:val="center"/>
          </w:tcPr>
          <w:p>
            <w:pPr>
              <w:pStyle w:val="44"/>
              <w:keepNext w:val="0"/>
              <w:keepLines w:val="0"/>
              <w:suppressLineNumbers w:val="0"/>
              <w:spacing w:before="161" w:beforeAutospacing="0" w:after="0" w:afterAutospacing="0"/>
              <w:ind w:left="0" w:right="0"/>
              <w:jc w:val="center"/>
              <w:rPr>
                <w:rFonts w:hint="eastAsia" w:hAnsi="Times New Roman" w:eastAsia="Times New Roman"/>
                <w:kern w:val="2"/>
                <w:sz w:val="21"/>
                <w:szCs w:val="21"/>
              </w:rPr>
            </w:pPr>
            <w:r>
              <w:rPr>
                <w:rFonts w:hint="eastAsia"/>
                <w:kern w:val="2"/>
                <w:sz w:val="21"/>
                <w:szCs w:val="22"/>
              </w:rPr>
              <w:t>/</w:t>
            </w:r>
          </w:p>
        </w:tc>
        <w:tc>
          <w:tcPr>
            <w:tcW w:w="1982" w:type="dxa"/>
            <w:vAlign w:val="center"/>
          </w:tcPr>
          <w:p>
            <w:pPr>
              <w:pStyle w:val="44"/>
              <w:keepNext w:val="0"/>
              <w:keepLines w:val="0"/>
              <w:suppressLineNumbers w:val="0"/>
              <w:spacing w:before="0" w:beforeAutospacing="0" w:after="0" w:afterAutospacing="0" w:line="241" w:lineRule="exact"/>
              <w:ind w:left="39" w:right="0"/>
              <w:jc w:val="center"/>
              <w:rPr>
                <w:rFonts w:hint="eastAsia" w:ascii="宋体" w:hAnsi="宋体" w:eastAsia="宋体" w:cs="宋体"/>
                <w:kern w:val="2"/>
                <w:sz w:val="21"/>
                <w:szCs w:val="21"/>
              </w:rPr>
            </w:pPr>
            <w:r>
              <w:rPr>
                <w:rFonts w:hint="eastAsia" w:ascii="宋体" w:hAnsi="宋体" w:eastAsia="宋体" w:cs="宋体"/>
                <w:kern w:val="2"/>
                <w:sz w:val="21"/>
                <w:szCs w:val="21"/>
              </w:rPr>
              <w:t>本项目建成后制度环</w:t>
            </w:r>
          </w:p>
          <w:p>
            <w:pPr>
              <w:pStyle w:val="44"/>
              <w:keepNext w:val="0"/>
              <w:keepLines w:val="0"/>
              <w:suppressLineNumbers w:val="0"/>
              <w:spacing w:before="0" w:beforeAutospacing="0" w:after="0" w:afterAutospacing="0" w:line="239" w:lineRule="exact"/>
              <w:ind w:left="39" w:right="0"/>
              <w:jc w:val="center"/>
              <w:rPr>
                <w:rFonts w:hint="eastAsia" w:ascii="宋体" w:hAnsi="宋体" w:eastAsia="宋体" w:cs="宋体"/>
                <w:kern w:val="2"/>
                <w:sz w:val="21"/>
                <w:szCs w:val="21"/>
              </w:rPr>
            </w:pPr>
            <w:r>
              <w:rPr>
                <w:rFonts w:hint="eastAsia" w:ascii="宋体" w:hAnsi="宋体" w:eastAsia="宋体" w:cs="宋体"/>
                <w:kern w:val="2"/>
                <w:sz w:val="21"/>
                <w:szCs w:val="21"/>
              </w:rPr>
              <w:t>境风险应急预案，落</w:t>
            </w:r>
          </w:p>
          <w:p>
            <w:pPr>
              <w:pStyle w:val="44"/>
              <w:keepNext w:val="0"/>
              <w:keepLines w:val="0"/>
              <w:suppressLineNumbers w:val="0"/>
              <w:spacing w:before="0" w:beforeAutospacing="0" w:after="0" w:afterAutospacing="0" w:line="274" w:lineRule="exact"/>
              <w:ind w:left="39" w:right="0"/>
              <w:jc w:val="center"/>
              <w:rPr>
                <w:rFonts w:hint="eastAsia" w:ascii="宋体" w:hAnsi="宋体" w:eastAsia="宋体" w:cs="宋体"/>
                <w:kern w:val="2"/>
                <w:sz w:val="21"/>
                <w:szCs w:val="21"/>
              </w:rPr>
            </w:pPr>
            <w:r>
              <w:rPr>
                <w:rFonts w:hint="eastAsia" w:ascii="宋体" w:hAnsi="宋体" w:eastAsia="宋体" w:cs="宋体"/>
                <w:kern w:val="2"/>
                <w:sz w:val="21"/>
                <w:szCs w:val="21"/>
              </w:rPr>
              <w:t>实相关环境风险方法</w:t>
            </w:r>
          </w:p>
          <w:p>
            <w:pPr>
              <w:pStyle w:val="44"/>
              <w:keepNext w:val="0"/>
              <w:keepLines w:val="0"/>
              <w:suppressLineNumbers w:val="0"/>
              <w:spacing w:before="0" w:beforeAutospacing="0" w:after="0" w:afterAutospacing="0" w:line="241" w:lineRule="exact"/>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rPr>
              <w:t>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875" w:type="dxa"/>
            <w:vMerge w:val="continue"/>
            <w:vAlign w:val="center"/>
          </w:tcPr>
          <w:p>
            <w:pPr>
              <w:keepNext w:val="0"/>
              <w:keepLines w:val="0"/>
              <w:suppressLineNumbers w:val="0"/>
              <w:spacing w:before="0" w:beforeAutospacing="0" w:after="0" w:afterAutospacing="0"/>
              <w:ind w:left="0" w:right="0"/>
              <w:jc w:val="center"/>
              <w:rPr>
                <w:rFonts w:hint="eastAsia"/>
                <w:kern w:val="2"/>
                <w:szCs w:val="22"/>
              </w:rPr>
            </w:pPr>
          </w:p>
        </w:tc>
        <w:tc>
          <w:tcPr>
            <w:tcW w:w="903" w:type="dxa"/>
            <w:vAlign w:val="center"/>
          </w:tcPr>
          <w:p>
            <w:pPr>
              <w:pStyle w:val="44"/>
              <w:keepNext w:val="0"/>
              <w:keepLines w:val="0"/>
              <w:suppressLineNumbers w:val="0"/>
              <w:spacing w:before="0" w:beforeAutospacing="0" w:after="0" w:afterAutospacing="0" w:line="240" w:lineRule="exact"/>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rPr>
              <w:t>资源开发</w:t>
            </w:r>
          </w:p>
          <w:p>
            <w:pPr>
              <w:pStyle w:val="44"/>
              <w:keepNext w:val="0"/>
              <w:keepLines w:val="0"/>
              <w:suppressLineNumbers w:val="0"/>
              <w:spacing w:before="0" w:beforeAutospacing="0" w:after="0" w:afterAutospacing="0" w:line="274" w:lineRule="exact"/>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rPr>
              <w:t>效率</w:t>
            </w:r>
          </w:p>
        </w:tc>
        <w:tc>
          <w:tcPr>
            <w:tcW w:w="5732" w:type="dxa"/>
            <w:vAlign w:val="center"/>
          </w:tcPr>
          <w:p>
            <w:pPr>
              <w:pStyle w:val="44"/>
              <w:keepNext w:val="0"/>
              <w:keepLines w:val="0"/>
              <w:suppressLineNumbers w:val="0"/>
              <w:spacing w:before="0" w:beforeAutospacing="0" w:after="0" w:afterAutospacing="0" w:line="248" w:lineRule="exact"/>
              <w:ind w:left="-5" w:right="-5"/>
              <w:jc w:val="center"/>
              <w:rPr>
                <w:rFonts w:hint="eastAsia" w:ascii="宋体" w:hAnsi="宋体" w:eastAsia="宋体" w:cs="宋体"/>
                <w:kern w:val="2"/>
                <w:sz w:val="21"/>
                <w:szCs w:val="21"/>
              </w:rPr>
            </w:pPr>
            <w:r>
              <w:rPr>
                <w:rFonts w:hint="eastAsia" w:ascii="宋体" w:hAnsi="宋体" w:eastAsia="宋体" w:cs="宋体"/>
                <w:kern w:val="2"/>
                <w:sz w:val="21"/>
                <w:szCs w:val="21"/>
              </w:rPr>
              <w:t>其他参照达州市一般管控单元总体准入要求</w:t>
            </w:r>
            <w:r>
              <w:rPr>
                <w:rFonts w:hint="eastAsia" w:ascii="宋体" w:hAnsi="宋体" w:eastAsia="宋体" w:cs="宋体"/>
                <w:kern w:val="2"/>
                <w:sz w:val="21"/>
                <w:szCs w:val="21"/>
                <w:lang w:eastAsia="zh-CN"/>
              </w:rPr>
              <w:t>：</w:t>
            </w:r>
            <w:r>
              <w:rPr>
                <w:rFonts w:hint="eastAsia" w:ascii="宋体" w:hAnsi="宋体" w:eastAsia="宋体" w:cs="宋体"/>
                <w:kern w:val="2"/>
                <w:sz w:val="21"/>
                <w:szCs w:val="21"/>
              </w:rPr>
              <w:t>水资源考核；禁止</w:t>
            </w:r>
          </w:p>
          <w:p>
            <w:pPr>
              <w:pStyle w:val="44"/>
              <w:keepNext w:val="0"/>
              <w:keepLines w:val="0"/>
              <w:suppressLineNumbers w:val="0"/>
              <w:spacing w:before="0" w:beforeAutospacing="0" w:after="0" w:afterAutospacing="0" w:line="282" w:lineRule="exact"/>
              <w:ind w:left="0" w:right="1"/>
              <w:jc w:val="center"/>
              <w:rPr>
                <w:rFonts w:hint="eastAsia" w:ascii="宋体" w:hAnsi="宋体" w:eastAsia="宋体" w:cs="宋体"/>
                <w:kern w:val="2"/>
                <w:sz w:val="21"/>
                <w:szCs w:val="21"/>
              </w:rPr>
            </w:pPr>
            <w:r>
              <w:rPr>
                <w:rFonts w:hint="eastAsia" w:ascii="宋体" w:hAnsi="宋体" w:eastAsia="宋体" w:cs="宋体"/>
                <w:kern w:val="2"/>
                <w:sz w:val="21"/>
                <w:szCs w:val="21"/>
              </w:rPr>
              <w:t>每小时</w:t>
            </w:r>
            <w:r>
              <w:rPr>
                <w:rFonts w:hint="eastAsia" w:ascii="宋体" w:hAnsi="宋体" w:eastAsia="宋体" w:cs="宋体"/>
                <w:spacing w:val="-53"/>
                <w:kern w:val="2"/>
                <w:sz w:val="21"/>
                <w:szCs w:val="21"/>
              </w:rPr>
              <w:t xml:space="preserve"> </w:t>
            </w:r>
            <w:r>
              <w:rPr>
                <w:rFonts w:hint="eastAsia" w:hAnsi="Times New Roman" w:eastAsia="Times New Roman"/>
                <w:kern w:val="2"/>
                <w:sz w:val="21"/>
                <w:szCs w:val="21"/>
              </w:rPr>
              <w:t>10</w:t>
            </w:r>
            <w:r>
              <w:rPr>
                <w:rFonts w:hint="eastAsia" w:hAnsi="Times New Roman" w:eastAsia="Times New Roman"/>
                <w:spacing w:val="-10"/>
                <w:kern w:val="2"/>
                <w:sz w:val="21"/>
                <w:szCs w:val="21"/>
              </w:rPr>
              <w:t xml:space="preserve"> </w:t>
            </w:r>
            <w:r>
              <w:rPr>
                <w:rFonts w:hint="eastAsia" w:ascii="宋体" w:hAnsi="宋体" w:eastAsia="宋体" w:cs="宋体"/>
                <w:spacing w:val="-1"/>
                <w:kern w:val="2"/>
                <w:sz w:val="21"/>
                <w:szCs w:val="21"/>
              </w:rPr>
              <w:t>蒸吨以下燃煤锅炉</w:t>
            </w:r>
          </w:p>
        </w:tc>
        <w:tc>
          <w:tcPr>
            <w:tcW w:w="2552" w:type="dxa"/>
            <w:vAlign w:val="center"/>
          </w:tcPr>
          <w:p>
            <w:pPr>
              <w:pStyle w:val="44"/>
              <w:keepNext w:val="0"/>
              <w:keepLines w:val="0"/>
              <w:suppressLineNumbers w:val="0"/>
              <w:spacing w:before="0" w:beforeAutospacing="0" w:after="0" w:afterAutospacing="0" w:line="240" w:lineRule="exact"/>
              <w:ind w:left="0" w:right="1"/>
              <w:jc w:val="center"/>
              <w:rPr>
                <w:rFonts w:hint="eastAsia" w:ascii="宋体" w:hAnsi="宋体" w:eastAsia="宋体" w:cs="宋体"/>
                <w:kern w:val="2"/>
                <w:sz w:val="21"/>
                <w:szCs w:val="21"/>
              </w:rPr>
            </w:pPr>
            <w:r>
              <w:rPr>
                <w:rFonts w:hint="eastAsia" w:ascii="宋体" w:hAnsi="宋体" w:eastAsia="宋体" w:cs="宋体"/>
                <w:kern w:val="2"/>
                <w:sz w:val="21"/>
                <w:szCs w:val="21"/>
              </w:rPr>
              <w:t>矿井不取用地下水，优先回</w:t>
            </w:r>
          </w:p>
          <w:p>
            <w:pPr>
              <w:pStyle w:val="44"/>
              <w:keepNext w:val="0"/>
              <w:keepLines w:val="0"/>
              <w:suppressLineNumbers w:val="0"/>
              <w:spacing w:before="0" w:beforeAutospacing="0" w:after="0" w:afterAutospacing="0" w:line="274" w:lineRule="exact"/>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rPr>
              <w:t>用矿井水；不设燃煤锅炉</w:t>
            </w:r>
          </w:p>
        </w:tc>
        <w:tc>
          <w:tcPr>
            <w:tcW w:w="1950" w:type="dxa"/>
            <w:vAlign w:val="center"/>
          </w:tcPr>
          <w:p>
            <w:pPr>
              <w:pStyle w:val="44"/>
              <w:keepNext w:val="0"/>
              <w:keepLines w:val="0"/>
              <w:suppressLineNumbers w:val="0"/>
              <w:spacing w:before="101" w:beforeAutospacing="0" w:after="0" w:afterAutospacing="0"/>
              <w:ind w:left="0" w:right="1"/>
              <w:jc w:val="center"/>
              <w:rPr>
                <w:rFonts w:hint="eastAsia" w:ascii="宋体" w:hAnsi="宋体" w:eastAsia="宋体" w:cs="宋体"/>
                <w:kern w:val="2"/>
                <w:sz w:val="21"/>
                <w:szCs w:val="21"/>
              </w:rPr>
            </w:pPr>
            <w:r>
              <w:rPr>
                <w:rFonts w:hint="eastAsia" w:ascii="宋体" w:hAnsi="宋体" w:eastAsia="宋体" w:cs="宋体"/>
                <w:kern w:val="2"/>
                <w:sz w:val="21"/>
                <w:szCs w:val="21"/>
              </w:rPr>
              <w:t>符合</w:t>
            </w:r>
          </w:p>
        </w:tc>
        <w:tc>
          <w:tcPr>
            <w:tcW w:w="1982" w:type="dxa"/>
            <w:vAlign w:val="center"/>
          </w:tcPr>
          <w:p>
            <w:pPr>
              <w:pStyle w:val="44"/>
              <w:keepNext w:val="0"/>
              <w:keepLines w:val="0"/>
              <w:suppressLineNumbers w:val="0"/>
              <w:spacing w:before="101" w:beforeAutospacing="0" w:after="0" w:afterAutospacing="0"/>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rPr>
              <w:t>符合</w:t>
            </w:r>
          </w:p>
        </w:tc>
      </w:tr>
    </w:tbl>
    <w:p>
      <w:pPr>
        <w:rPr>
          <w:rFonts w:hAnsi="Times New Roman" w:eastAsia="宋体"/>
        </w:rPr>
        <w:sectPr>
          <w:headerReference r:id="rId18" w:type="default"/>
          <w:pgSz w:w="16838" w:h="11905" w:orient="landscape"/>
          <w:pgMar w:top="1474" w:right="1440" w:bottom="1304" w:left="1440" w:header="850" w:footer="992" w:gutter="0"/>
          <w:cols w:space="0" w:num="1"/>
          <w:docGrid w:type="lines" w:linePitch="338" w:charSpace="0"/>
        </w:sectPr>
      </w:pPr>
    </w:p>
    <w:p>
      <w:pPr>
        <w:spacing w:line="360" w:lineRule="auto"/>
        <w:ind w:firstLine="480" w:firstLineChars="200"/>
        <w:rPr>
          <w:rFonts w:hAnsi="Times New Roman" w:eastAsia="宋体"/>
          <w:lang w:eastAsia="zh-CN"/>
        </w:rPr>
      </w:pPr>
      <w:r>
        <w:rPr>
          <w:rFonts w:hAnsi="Times New Roman" w:eastAsia="宋体"/>
          <w:lang w:eastAsia="zh-CN"/>
        </w:rPr>
        <w:t>本项目符合国家产业政策，符合相关规划，符合发展、布局规划，不涉及饮用水源，不涉及自然保护区，不涉及生态红线等，本项目建设未被列入负面清单内。</w:t>
      </w:r>
    </w:p>
    <w:p>
      <w:pPr>
        <w:spacing w:line="360" w:lineRule="auto"/>
        <w:ind w:firstLine="480" w:firstLineChars="200"/>
        <w:rPr>
          <w:rFonts w:hAnsi="Times New Roman" w:eastAsia="宋体"/>
          <w:lang w:eastAsia="zh-CN"/>
        </w:rPr>
      </w:pPr>
      <w:r>
        <w:rPr>
          <w:rFonts w:hAnsi="Times New Roman" w:eastAsia="宋体"/>
          <w:lang w:eastAsia="zh-CN"/>
        </w:rPr>
        <w:t>综上所述，本项目所在区域不涉及生态保护红线，不涉及环境准入负面清单的问题。根据现场监测与环评预测，项目建设满足环境质量底线要求。</w:t>
      </w:r>
    </w:p>
    <w:p>
      <w:pPr>
        <w:spacing w:line="360" w:lineRule="auto"/>
        <w:ind w:firstLine="480" w:firstLineChars="200"/>
        <w:rPr>
          <w:rFonts w:hAnsi="Times New Roman" w:eastAsia="宋体"/>
          <w:lang w:eastAsia="zh-CN"/>
        </w:rPr>
      </w:pPr>
      <w:r>
        <w:rPr>
          <w:rFonts w:hAnsi="Times New Roman" w:eastAsia="宋体"/>
          <w:lang w:eastAsia="zh-CN"/>
        </w:rPr>
        <w:t>因此，本项目的建设符合“三线一单”管控要求。</w:t>
      </w:r>
    </w:p>
    <w:p>
      <w:pPr>
        <w:pStyle w:val="5"/>
        <w:rPr>
          <w:rFonts w:ascii="宋体" w:hAnsi="宋体"/>
          <w:lang w:eastAsia="zh-CN"/>
        </w:rPr>
      </w:pPr>
      <w:bookmarkStart w:id="788" w:name="_Toc167095380"/>
      <w:bookmarkStart w:id="789" w:name="_Toc163749233"/>
      <w:r>
        <w:rPr>
          <w:rFonts w:hint="eastAsia" w:ascii="Times New Roman" w:hAnsi="Times New Roman"/>
          <w:lang w:eastAsia="zh-CN"/>
        </w:rPr>
        <w:t>14.6 项目与</w:t>
      </w:r>
      <w:r>
        <w:rPr>
          <w:rFonts w:hint="eastAsia" w:ascii="宋体" w:hAnsi="宋体"/>
        </w:rPr>
        <w:t>《煤炭采选建设项目环境影响评价文件审批原则（试行）》的符合性分析</w:t>
      </w:r>
      <w:bookmarkEnd w:id="788"/>
    </w:p>
    <w:p>
      <w:pPr>
        <w:spacing w:line="360" w:lineRule="auto"/>
        <w:ind w:firstLine="476" w:firstLineChars="200"/>
        <w:rPr>
          <w:rFonts w:hAnsi="Times New Roman" w:eastAsia="宋体"/>
          <w:bCs/>
          <w:spacing w:val="-1"/>
          <w:kern w:val="2"/>
          <w:szCs w:val="24"/>
          <w:lang w:eastAsia="zh-CN"/>
        </w:rPr>
      </w:pPr>
      <w:r>
        <w:rPr>
          <w:rFonts w:hint="eastAsia" w:hAnsi="Times New Roman" w:eastAsia="宋体"/>
          <w:bCs/>
          <w:spacing w:val="-1"/>
          <w:kern w:val="2"/>
          <w:szCs w:val="24"/>
          <w:lang w:eastAsia="zh-CN"/>
        </w:rPr>
        <w:t>原环境保护部办公厅于2016年12月26日发布了《关于印发水泥制造等七个行业建设项目环境影响评价文件审批原则的通知》（环办环评〔2016〕114号），本项目与煤炭采选建设项目环境影响评价文件审批原则的符合性分析见下表。</w:t>
      </w:r>
    </w:p>
    <w:p>
      <w:pPr>
        <w:pStyle w:val="2"/>
        <w:ind w:left="0" w:leftChars="0" w:firstLine="0" w:firstLineChars="0"/>
        <w:jc w:val="center"/>
        <w:rPr>
          <w:rFonts w:ascii="宋体" w:hAnsi="宋体" w:eastAsia="宋体"/>
          <w:b/>
          <w:bCs/>
          <w:lang w:eastAsia="zh-CN"/>
        </w:rPr>
      </w:pPr>
      <w:r>
        <w:rPr>
          <w:rFonts w:hint="eastAsia" w:eastAsiaTheme="minorEastAsia"/>
          <w:b/>
          <w:bCs/>
          <w:lang w:eastAsia="zh-CN"/>
        </w:rPr>
        <w:t>表14.6-1 与《</w:t>
      </w:r>
      <w:r>
        <w:rPr>
          <w:rFonts w:hint="eastAsia" w:ascii="宋体" w:hAnsi="宋体" w:eastAsia="宋体"/>
          <w:b/>
          <w:bCs/>
        </w:rPr>
        <w:t>煤炭采选建设项目环境影响评价文件审批原则（试行）》的符合性分析</w:t>
      </w:r>
    </w:p>
    <w:tbl>
      <w:tblPr>
        <w:tblStyle w:val="3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4961"/>
        <w:gridCol w:w="2410"/>
        <w:gridCol w:w="10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704"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序号</w:t>
            </w:r>
          </w:p>
        </w:tc>
        <w:tc>
          <w:tcPr>
            <w:tcW w:w="4961"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文件要求</w:t>
            </w:r>
          </w:p>
        </w:tc>
        <w:tc>
          <w:tcPr>
            <w:tcW w:w="2410"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本项目情况</w:t>
            </w:r>
          </w:p>
        </w:tc>
        <w:tc>
          <w:tcPr>
            <w:tcW w:w="1042"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w:t>
            </w:r>
          </w:p>
        </w:tc>
        <w:tc>
          <w:tcPr>
            <w:tcW w:w="4961"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项目符合环境保护相关法律法规和政策要求，符合煤炭行业化解过剩产能相关要求，新建煤矿应同步建设配套的煤炭洗选设施。特殊和稀缺煤开发利用应符合《特殊和稀缺煤类开发利用管理暂行规定》要求。</w:t>
            </w:r>
          </w:p>
        </w:tc>
        <w:tc>
          <w:tcPr>
            <w:tcW w:w="241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本项目符合环境保护相关法律法规和政策要求，项目不属于特殊和稀缺煤开发利用。</w:t>
            </w:r>
          </w:p>
        </w:tc>
        <w:tc>
          <w:tcPr>
            <w:tcW w:w="1042"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w:t>
            </w:r>
          </w:p>
        </w:tc>
        <w:tc>
          <w:tcPr>
            <w:tcW w:w="4961"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项目符合所在煤炭矿区总体规划、规划环评及其审查意见的相关要求，符合项目所在区域生态保护红线要求。 井（矿）田开采范围、各类占地范围不得涉及自然保护区、风景名胜区、饮用水水源保护区等法律法规明令禁止采矿和占用的区域。</w:t>
            </w:r>
          </w:p>
        </w:tc>
        <w:tc>
          <w:tcPr>
            <w:tcW w:w="241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本项目符合宣汉县煤炭矿区总体规划及规划环评要求，符合区域生态保护红线要求，项目井田范围不涉及自然保护区、风景名胜区、饮用水水源保护区等法律法规明令禁止采矿和占用的区域，项目+379m主平硐巷道通过宣汉国家森林公园观音山景区，该方案已获得四川省林业和草原局审批，批复号：川林护函〔2023〕187号，同意项目保留现有的+379m主平硐巷道作为矿井地下通风和运输巷道。</w:t>
            </w:r>
          </w:p>
        </w:tc>
        <w:tc>
          <w:tcPr>
            <w:tcW w:w="1042"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w:t>
            </w:r>
          </w:p>
        </w:tc>
        <w:tc>
          <w:tcPr>
            <w:tcW w:w="4961"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新建、改扩建项目应满足《清洁生产标准 煤炭采选业》 （HJ446）要求。主要污染物排放总量满足国家和地方相关要求。</w:t>
            </w:r>
          </w:p>
        </w:tc>
        <w:tc>
          <w:tcPr>
            <w:tcW w:w="241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项目清洁生产水平满足现行煤炭采选业清洁生产水平要求，主要污染物排放总量排放要求</w:t>
            </w:r>
          </w:p>
        </w:tc>
        <w:tc>
          <w:tcPr>
            <w:tcW w:w="1042"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4</w:t>
            </w:r>
          </w:p>
        </w:tc>
        <w:tc>
          <w:tcPr>
            <w:tcW w:w="4961"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对井工开采项目的沉陷区及临时排矸场、露天开采项目的采掘场及排土场，应明确生态恢复目标，提出施工期、运行期、闭矿期合理可行的生态保护与恢复措施。对受煤炭开采影响的居民住宅、地面重要基础设施等环境保护目标，应提出相应的保护措施。</w:t>
            </w:r>
          </w:p>
        </w:tc>
        <w:tc>
          <w:tcPr>
            <w:tcW w:w="241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项目环评明确提出了施工期、运行期、闭矿期的生态保护与恢复措施。</w:t>
            </w:r>
          </w:p>
        </w:tc>
        <w:tc>
          <w:tcPr>
            <w:tcW w:w="1042"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w:t>
            </w:r>
          </w:p>
        </w:tc>
        <w:tc>
          <w:tcPr>
            <w:tcW w:w="4961"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煤炭开采可能对自然保护区、风景名胜区、饮用水水源保护区的重要环境敏感目标造成不利影响的，应提出禁止开采、限制开采、充填开采等保护措施；涉及其他敏感区域保护目标的，应明确提出设置禁采区、限采区、限高开采、充填开采、条带开采等措施。 煤炭开采对具有供水意义的含水层、集中式与分散式供水水源的地下水资源可能造成影响的，应提出保水采煤等措施并制定长期供水替代方案；对地下水水质可能造成污染影响的应提出防渗等污染防治措施。</w:t>
            </w:r>
          </w:p>
        </w:tc>
        <w:tc>
          <w:tcPr>
            <w:tcW w:w="241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本项目煤矿开采不会对</w:t>
            </w:r>
            <w:r>
              <w:rPr>
                <w:rFonts w:hint="eastAsia" w:hAnsi="Times New Roman" w:eastAsia="宋体"/>
                <w:kern w:val="2"/>
                <w:sz w:val="21"/>
                <w:szCs w:val="21"/>
                <w:lang w:val="en-US" w:eastAsia="zh-CN"/>
              </w:rPr>
              <w:t>自</w:t>
            </w:r>
            <w:r>
              <w:rPr>
                <w:rFonts w:hint="eastAsia" w:hAnsi="Times New Roman" w:eastAsia="宋体"/>
                <w:kern w:val="2"/>
                <w:sz w:val="21"/>
                <w:szCs w:val="21"/>
                <w:lang w:eastAsia="zh-CN"/>
              </w:rPr>
              <w:t>然保护区、风景名胜区、饮用水水源保护区等重要环境敏感目标造成不利影响的；项目针对不同的保护目标，提出了煤柱留设要求，见4.5.1章节。</w:t>
            </w:r>
          </w:p>
        </w:tc>
        <w:tc>
          <w:tcPr>
            <w:tcW w:w="1042"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6</w:t>
            </w:r>
          </w:p>
        </w:tc>
        <w:tc>
          <w:tcPr>
            <w:tcW w:w="4961"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项目应配套建设矿井（坑）水、生活污水、生产废水处理设施，处理后的废水应立足综合利用，生活污水、生产废水等原则上不得外排。选煤厂煤泥水应实现闭路循环，工业场地初期雨水应收集处理。无法全部综合利用的废水，应满足相关排放标准要 求后排放。</w:t>
            </w:r>
          </w:p>
        </w:tc>
        <w:tc>
          <w:tcPr>
            <w:tcW w:w="241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项目配套建设有矿井水处理站，矿井水首先进行综合利用，多余部分经处理达到《地表水环境质量标准》（GB3838-2002）</w:t>
            </w:r>
            <w:r>
              <w:rPr>
                <w:rFonts w:hint="eastAsia" w:hAnsi="Times New Roman" w:eastAsia="宋体"/>
                <w:kern w:val="2"/>
                <w:sz w:val="21"/>
                <w:szCs w:val="21"/>
                <w:lang w:eastAsia="zh-CN"/>
              </w:rPr>
              <w:fldChar w:fldCharType="begin"/>
            </w:r>
            <w:r>
              <w:rPr>
                <w:rFonts w:hint="eastAsia" w:hAnsi="Times New Roman" w:eastAsia="宋体"/>
                <w:kern w:val="2"/>
                <w:sz w:val="21"/>
                <w:szCs w:val="21"/>
                <w:lang w:eastAsia="zh-CN"/>
              </w:rPr>
              <w:instrText xml:space="preserve"> = 3 \* ROMAN </w:instrText>
            </w:r>
            <w:r>
              <w:rPr>
                <w:rFonts w:hint="eastAsia" w:hAnsi="Times New Roman" w:eastAsia="宋体"/>
                <w:kern w:val="2"/>
                <w:sz w:val="21"/>
                <w:szCs w:val="21"/>
                <w:lang w:eastAsia="zh-CN"/>
              </w:rPr>
              <w:fldChar w:fldCharType="separate"/>
            </w:r>
            <w:r>
              <w:rPr>
                <w:rFonts w:hint="eastAsia" w:hAnsi="Times New Roman" w:eastAsia="宋体"/>
                <w:kern w:val="2"/>
                <w:sz w:val="21"/>
                <w:szCs w:val="21"/>
                <w:lang w:eastAsia="zh-CN"/>
              </w:rPr>
              <w:t>III</w:t>
            </w:r>
            <w:r>
              <w:rPr>
                <w:rFonts w:hint="eastAsia" w:hAnsi="Times New Roman" w:eastAsia="宋体"/>
                <w:kern w:val="2"/>
                <w:sz w:val="21"/>
                <w:szCs w:val="21"/>
                <w:lang w:eastAsia="zh-CN"/>
              </w:rPr>
              <w:fldChar w:fldCharType="end"/>
            </w:r>
            <w:r>
              <w:rPr>
                <w:rFonts w:hint="eastAsia" w:hAnsi="Times New Roman" w:eastAsia="宋体"/>
                <w:kern w:val="2"/>
                <w:sz w:val="21"/>
                <w:szCs w:val="21"/>
                <w:lang w:eastAsia="zh-CN"/>
              </w:rPr>
              <w:t>类水质标准，含盐量≤1000mg/L后排放。矿区生活污水、生产废水均进行合理利用，不外排。</w:t>
            </w:r>
          </w:p>
        </w:tc>
        <w:tc>
          <w:tcPr>
            <w:tcW w:w="1042"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7</w:t>
            </w:r>
          </w:p>
        </w:tc>
        <w:tc>
          <w:tcPr>
            <w:tcW w:w="4961"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煤矸石等固体废物应优先综合利用，明确煤矸石综合利用途径和处置方式，满足《煤矸石综合利用管理办法》相关要求。 暂不具备综合利用条件的，排至临时矸石堆放场（库）储存，储存规模不超过3年储矸量，且必须有后续综合利用方案。临时矸石堆放场（库）选址、建设和运行应满足《一般工业固体废物贮存、处置场污染控制标准》（GB18599）要求。</w:t>
            </w:r>
          </w:p>
        </w:tc>
        <w:tc>
          <w:tcPr>
            <w:tcW w:w="241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本项目煤矸石外售砖厂进行制砖，厂区仅设置矸石转运场。</w:t>
            </w:r>
          </w:p>
        </w:tc>
        <w:tc>
          <w:tcPr>
            <w:tcW w:w="1042"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8</w:t>
            </w:r>
          </w:p>
        </w:tc>
        <w:tc>
          <w:tcPr>
            <w:tcW w:w="4961"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 xml:space="preserve">煤矿地面储、装、运及生产系统各产尘环节应采取有效抑尘措施。涉及环境敏感区或区域颗粒物超标地区的项目，应封闭储煤，厂界无组织排放满足相关标准要求。优先采用依托热源、水源热泵、气源热泵、清洁能源等供热形式，确需建设燃煤锅炉的，应符合《大气污染防治行动计划》等相关要求，采取高效烟气脱硫、脱硝和除尘措施，并安装烟气在线监测系统，污染物排放应满足相关排放标准要求。 </w:t>
            </w:r>
          </w:p>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高浓度瓦斯禁止排放，应配套建设瓦斯利用设施或提出瓦斯综合利用方案；积极开展低浓度瓦斯综合利用工作，鼓励风排瓦斯综合利用。瓦斯排放应满足《煤层气（煤矿瓦斯）排放标准（暂行）》 要求</w:t>
            </w:r>
          </w:p>
        </w:tc>
        <w:tc>
          <w:tcPr>
            <w:tcW w:w="241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本项目煤矿地面储、装、运及生产系统各产尘环节均采取了抑尘措施；项目储煤场拟采取封闭措施，并在煤炭堆场的屋顶四周新增喷雾装置；项目采用清洁能源，不涉及燃煤锅炉。</w:t>
            </w:r>
          </w:p>
          <w:p>
            <w:pPr>
              <w:pStyle w:val="2"/>
              <w:keepNext w:val="0"/>
              <w:keepLines w:val="0"/>
              <w:suppressLineNumbers w:val="0"/>
              <w:spacing w:before="0" w:beforeAutospacing="0" w:afterAutospacing="0"/>
              <w:ind w:left="0" w:leftChars="0" w:right="0" w:firstLine="0" w:firstLineChars="0"/>
              <w:rPr>
                <w:rFonts w:hint="eastAsia" w:eastAsiaTheme="minorEastAsia"/>
                <w:szCs w:val="22"/>
                <w:lang w:eastAsia="zh-CN"/>
              </w:rPr>
            </w:pPr>
            <w:r>
              <w:rPr>
                <w:rFonts w:hint="eastAsia" w:eastAsiaTheme="minorEastAsia"/>
                <w:szCs w:val="22"/>
                <w:lang w:eastAsia="zh-CN"/>
              </w:rPr>
              <w:t>项目矿区属于低瓦斯矿井，无综合利用价值，项目设置了瓦斯抽采系统，</w:t>
            </w:r>
            <w:r>
              <w:rPr>
                <w:rFonts w:hint="eastAsia" w:eastAsia="宋体"/>
                <w:szCs w:val="21"/>
                <w:lang w:eastAsia="zh-CN"/>
              </w:rPr>
              <w:t>瓦斯排放满足《煤层气（煤矿瓦斯）排放标准（暂行）》 要求</w:t>
            </w:r>
          </w:p>
        </w:tc>
        <w:tc>
          <w:tcPr>
            <w:tcW w:w="1042"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9</w:t>
            </w:r>
          </w:p>
        </w:tc>
        <w:tc>
          <w:tcPr>
            <w:tcW w:w="4961"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选择低噪声设备、优化场地布局并采取隔声、消声、 减振等措施有效控制噪声影响，厂界噪声应满足《工业企业厂界环境噪声排放标准》（GB12348）要求。</w:t>
            </w:r>
          </w:p>
        </w:tc>
        <w:tc>
          <w:tcPr>
            <w:tcW w:w="241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根据预测，项目场界噪声满足《工业企业厂界环境噪声排放标准》（GB12348-2008）2类标准要求。</w:t>
            </w:r>
          </w:p>
        </w:tc>
        <w:tc>
          <w:tcPr>
            <w:tcW w:w="1042"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w:t>
            </w:r>
          </w:p>
        </w:tc>
        <w:tc>
          <w:tcPr>
            <w:tcW w:w="4961"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改、扩建（兼并重组）项目应全面梳理现有工程存 在的环保问题，提出“以新带老”整改方案。</w:t>
            </w:r>
          </w:p>
        </w:tc>
        <w:tc>
          <w:tcPr>
            <w:tcW w:w="241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本环评已对现有项目存在的环境问题进行了梳理，并提出了“以新代老”措施</w:t>
            </w:r>
          </w:p>
        </w:tc>
        <w:tc>
          <w:tcPr>
            <w:tcW w:w="1042"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11</w:t>
            </w:r>
          </w:p>
        </w:tc>
        <w:tc>
          <w:tcPr>
            <w:tcW w:w="4961"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制定了生态、地下水、地表水等环境要素的跟踪监 测计划，明确监测网点的布设、监测因子、监测频次和信息公开等要求，提出了采煤沉陷区长期地表岩移观测要求，提出了有效的环境风险防范措施及突发环境事件应急预案编制要求，纳入区域突发环境事件应急联动机制。</w:t>
            </w:r>
          </w:p>
        </w:tc>
        <w:tc>
          <w:tcPr>
            <w:tcW w:w="241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本环评已提出跟踪监测计划及要求，提出了环境风险防范措施及突发环境事件应急预案编制要求。</w:t>
            </w:r>
          </w:p>
        </w:tc>
        <w:tc>
          <w:tcPr>
            <w:tcW w:w="1042"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12</w:t>
            </w:r>
          </w:p>
        </w:tc>
        <w:tc>
          <w:tcPr>
            <w:tcW w:w="4961"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涉及放射性污染影响的煤炭采选项目，参照《矿产 资源开发利用辐射环境监督管理名录》（第一批）中石煤行业相关要求，原煤、产品煤、矸石或其他残留物铀（钍）系单个核素含量超过1贝克/克（1Bq/g）的项目，应开展辐射环境污染评价。开采高 砷、高铝煤矿等项目，提出了产品煤去向及环境管理要求。</w:t>
            </w:r>
          </w:p>
        </w:tc>
        <w:tc>
          <w:tcPr>
            <w:tcW w:w="241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根据对原煤、矸石放射性检测，本项目煤炭和矸石不含放射性，有毒有害物质未出现超标</w:t>
            </w:r>
          </w:p>
        </w:tc>
        <w:tc>
          <w:tcPr>
            <w:tcW w:w="1042"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13</w:t>
            </w:r>
          </w:p>
        </w:tc>
        <w:tc>
          <w:tcPr>
            <w:tcW w:w="4961"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按相关规定开展了信息公开和公众参与。</w:t>
            </w:r>
          </w:p>
        </w:tc>
        <w:tc>
          <w:tcPr>
            <w:tcW w:w="241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本环评按规定开展了信息公开和公众参与</w:t>
            </w:r>
          </w:p>
        </w:tc>
        <w:tc>
          <w:tcPr>
            <w:tcW w:w="1042"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14</w:t>
            </w:r>
          </w:p>
        </w:tc>
        <w:tc>
          <w:tcPr>
            <w:tcW w:w="4961" w:type="dxa"/>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环境影响评价文件编制规范，符合资质管理规定和 环评技术标准要求。</w:t>
            </w:r>
          </w:p>
        </w:tc>
        <w:tc>
          <w:tcPr>
            <w:tcW w:w="2410"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本环评严格按照环评规范要求进行编制</w:t>
            </w:r>
          </w:p>
        </w:tc>
        <w:tc>
          <w:tcPr>
            <w:tcW w:w="1042"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符合</w:t>
            </w:r>
          </w:p>
        </w:tc>
      </w:tr>
    </w:tbl>
    <w:p>
      <w:pPr>
        <w:rPr>
          <w:rFonts w:eastAsiaTheme="minorEastAsia"/>
          <w:lang w:eastAsia="zh-CN"/>
        </w:rPr>
      </w:pPr>
    </w:p>
    <w:p>
      <w:pPr>
        <w:pStyle w:val="5"/>
        <w:rPr>
          <w:rFonts w:ascii="Times New Roman" w:hAnsi="Times New Roman"/>
          <w:lang w:eastAsia="zh-CN"/>
        </w:rPr>
      </w:pPr>
      <w:bookmarkStart w:id="790" w:name="_Toc167095381"/>
      <w:r>
        <w:rPr>
          <w:rFonts w:ascii="Times New Roman" w:hAnsi="Times New Roman"/>
          <w:lang w:eastAsia="zh-CN"/>
        </w:rPr>
        <w:t>14.</w:t>
      </w:r>
      <w:r>
        <w:rPr>
          <w:rFonts w:hint="eastAsia" w:ascii="Times New Roman" w:hAnsi="Times New Roman"/>
          <w:lang w:eastAsia="zh-CN"/>
        </w:rPr>
        <w:t>7</w:t>
      </w:r>
      <w:r>
        <w:rPr>
          <w:rFonts w:ascii="Times New Roman" w:hAnsi="Times New Roman"/>
          <w:lang w:eastAsia="zh-CN"/>
        </w:rPr>
        <w:t xml:space="preserve"> 项目选址环境可行性分析和合理性分析</w:t>
      </w:r>
      <w:bookmarkEnd w:id="789"/>
      <w:bookmarkEnd w:id="790"/>
    </w:p>
    <w:p>
      <w:pPr>
        <w:pStyle w:val="6"/>
        <w:rPr>
          <w:szCs w:val="22"/>
          <w:lang w:eastAsia="zh-CN"/>
        </w:rPr>
      </w:pPr>
      <w:bookmarkStart w:id="791" w:name="_Toc163812757"/>
      <w:bookmarkStart w:id="792" w:name="_Toc167095382"/>
      <w:r>
        <w:rPr>
          <w:szCs w:val="22"/>
          <w:lang w:eastAsia="zh-CN"/>
        </w:rPr>
        <w:t>14.</w:t>
      </w:r>
      <w:r>
        <w:rPr>
          <w:rFonts w:hint="eastAsia"/>
          <w:szCs w:val="22"/>
          <w:lang w:eastAsia="zh-CN"/>
        </w:rPr>
        <w:t>7</w:t>
      </w:r>
      <w:r>
        <w:rPr>
          <w:szCs w:val="22"/>
          <w:lang w:eastAsia="zh-CN"/>
        </w:rPr>
        <w:t>.1 工业场地选址可行性分析</w:t>
      </w:r>
      <w:bookmarkEnd w:id="791"/>
      <w:bookmarkEnd w:id="792"/>
    </w:p>
    <w:p>
      <w:pPr>
        <w:spacing w:line="360" w:lineRule="auto"/>
        <w:ind w:firstLine="476" w:firstLineChars="200"/>
        <w:rPr>
          <w:rFonts w:hAnsi="Times New Roman" w:eastAsia="宋体"/>
          <w:bCs/>
          <w:spacing w:val="-1"/>
          <w:kern w:val="2"/>
          <w:szCs w:val="24"/>
          <w:lang w:eastAsia="zh-CN"/>
        </w:rPr>
      </w:pPr>
      <w:r>
        <w:rPr>
          <w:rFonts w:hAnsi="Times New Roman" w:eastAsia="宋体"/>
          <w:bCs/>
          <w:spacing w:val="-1"/>
          <w:kern w:val="2"/>
          <w:szCs w:val="24"/>
          <w:lang w:eastAsia="zh-CN"/>
        </w:rPr>
        <w:t>七里峡煤矿升级改造完成后，利用现有工业广场，工业广场不新增用地，根据现场踏勘，矿井现有的工业场地设备设施基本完善，在场地内可优化、合理、紧凑布置，现有工业场地有矿区公路连接，运输较便捷。根据宣汉县人民政府关于审定并转报《达州市宣汉县七里峡煤业有限公司七里峡煤矿永久基本农田影响论证报告》及其评审意见书的函（达州市人民政府</w:t>
      </w:r>
      <w:r>
        <w:rPr>
          <w:rFonts w:hint="eastAsia" w:hAnsi="Times New Roman" w:eastAsia="宋体"/>
          <w:bCs/>
          <w:spacing w:val="-1"/>
          <w:kern w:val="2"/>
          <w:szCs w:val="24"/>
          <w:lang w:eastAsia="zh-CN"/>
        </w:rPr>
        <w:t>〔2020〕</w:t>
      </w:r>
      <w:r>
        <w:rPr>
          <w:rFonts w:hAnsi="Times New Roman" w:eastAsia="宋体"/>
          <w:bCs/>
          <w:spacing w:val="-1"/>
          <w:kern w:val="2"/>
          <w:szCs w:val="24"/>
          <w:lang w:eastAsia="zh-CN"/>
        </w:rPr>
        <w:t>56号），七里峡煤矿井口、工业场地、储煤场、矸渣场等均位于永久基本农田之外，对基本农田无影响。根据宣汉县自然资源局《关于对达州市宣汉县七里峡煤业有限公司七里峡煤矿升级改造拟调整矿区范围是否位于各类保护区审查意见的报告》（宣自然资</w:t>
      </w:r>
      <w:r>
        <w:rPr>
          <w:rFonts w:hint="eastAsia" w:hAnsi="Times New Roman" w:eastAsia="宋体"/>
          <w:bCs/>
          <w:spacing w:val="-1"/>
          <w:kern w:val="2"/>
          <w:szCs w:val="24"/>
          <w:lang w:eastAsia="zh-CN"/>
        </w:rPr>
        <w:t>〔</w:t>
      </w:r>
      <w:r>
        <w:rPr>
          <w:rFonts w:hAnsi="Times New Roman" w:eastAsia="宋体"/>
          <w:bCs/>
          <w:spacing w:val="-1"/>
          <w:kern w:val="2"/>
          <w:szCs w:val="24"/>
          <w:lang w:eastAsia="zh-CN"/>
        </w:rPr>
        <w:t>2020</w:t>
      </w:r>
      <w:r>
        <w:rPr>
          <w:rFonts w:hint="eastAsia" w:hAnsi="Times New Roman" w:eastAsia="宋体"/>
          <w:bCs/>
          <w:spacing w:val="-1"/>
          <w:kern w:val="2"/>
          <w:szCs w:val="24"/>
          <w:lang w:eastAsia="zh-CN"/>
        </w:rPr>
        <w:t>〕</w:t>
      </w:r>
      <w:r>
        <w:rPr>
          <w:rFonts w:hAnsi="Times New Roman" w:eastAsia="宋体"/>
          <w:bCs/>
          <w:spacing w:val="-1"/>
          <w:kern w:val="2"/>
          <w:szCs w:val="24"/>
          <w:lang w:eastAsia="zh-CN"/>
        </w:rPr>
        <w:t>278号），该煤矿升级改造拟调整的矿区范围与自然保护区、森林公园、大熊猫国家公园、集中式水源地、历史文物与名胜古迹保护区域等保护区不重叠。</w:t>
      </w:r>
    </w:p>
    <w:p>
      <w:pPr>
        <w:spacing w:line="360" w:lineRule="auto"/>
        <w:ind w:firstLine="476" w:firstLineChars="200"/>
        <w:rPr>
          <w:rFonts w:hAnsi="Times New Roman" w:eastAsia="宋体"/>
          <w:lang w:eastAsia="zh-CN"/>
        </w:rPr>
      </w:pPr>
      <w:r>
        <w:rPr>
          <w:rFonts w:hAnsi="Times New Roman" w:eastAsia="宋体"/>
          <w:bCs/>
          <w:spacing w:val="-1"/>
          <w:kern w:val="2"/>
          <w:szCs w:val="24"/>
          <w:lang w:eastAsia="zh-CN"/>
        </w:rPr>
        <w:t>工业广场附近未见不良地质环境，工业场地除西北侧有分散居民点外，其余地方均为林地，无医院、学校等其它环境敏感点。</w:t>
      </w:r>
      <w:r>
        <w:rPr>
          <w:rFonts w:hint="eastAsia" w:hAnsi="Times New Roman" w:eastAsia="宋体"/>
          <w:lang w:eastAsia="zh-CN"/>
        </w:rPr>
        <w:t>项目主井工业场地外新宁河下游约20m为宣汉县天生镇王一庙集中式饮用水水源地一级保护区。项目通过在工业广场设置污废水收集沟，工业广场污废水进入矿井</w:t>
      </w:r>
      <w:r>
        <w:rPr>
          <w:rFonts w:hAnsi="Times New Roman" w:eastAsia="宋体"/>
          <w:lang w:eastAsia="zh-CN"/>
        </w:rPr>
        <w:t>一体化水处理</w:t>
      </w:r>
      <w:r>
        <w:rPr>
          <w:rFonts w:hint="eastAsia" w:hAnsi="Times New Roman" w:eastAsia="宋体"/>
          <w:lang w:eastAsia="zh-CN"/>
        </w:rPr>
        <w:t>设备进行处理，严禁工业广场污废水直接外排新宁河，项目并设置有事故应急池（容积为5000m</w:t>
      </w:r>
      <w:r>
        <w:rPr>
          <w:rFonts w:hint="eastAsia" w:hAnsi="Times New Roman" w:eastAsia="宋体"/>
          <w:vertAlign w:val="superscript"/>
          <w:lang w:eastAsia="zh-CN"/>
        </w:rPr>
        <w:t>3</w:t>
      </w:r>
      <w:r>
        <w:rPr>
          <w:rFonts w:hint="eastAsia" w:hAnsi="Times New Roman" w:eastAsia="宋体"/>
          <w:lang w:eastAsia="zh-CN"/>
        </w:rPr>
        <w:t>），事故应急池能满足矿井24h最大涌水量。剩余矿井涌水经</w:t>
      </w:r>
      <w:r>
        <w:rPr>
          <w:rFonts w:hint="eastAsia" w:hAnsi="Times New Roman" w:eastAsia="宋体"/>
        </w:rPr>
        <w:t>处理后采用沿</w:t>
      </w:r>
      <w:r>
        <w:rPr>
          <w:rFonts w:hint="eastAsia" w:hAnsi="Times New Roman" w:eastAsia="宋体"/>
          <w:lang w:eastAsia="zh-CN"/>
        </w:rPr>
        <w:t>新宁河右岸30m架设1.5km排水管道</w:t>
      </w:r>
      <w:r>
        <w:rPr>
          <w:rFonts w:hAnsi="Times New Roman" w:eastAsia="宋体"/>
          <w:lang w:eastAsia="zh-CN"/>
        </w:rPr>
        <w:t>引至</w:t>
      </w:r>
      <w:r>
        <w:rPr>
          <w:rFonts w:hint="eastAsia" w:hAnsi="Times New Roman" w:eastAsia="宋体"/>
          <w:lang w:eastAsia="zh-CN"/>
        </w:rPr>
        <w:t>天生镇王一庙</w:t>
      </w:r>
      <w:r>
        <w:rPr>
          <w:rFonts w:hAnsi="Times New Roman" w:eastAsia="宋体"/>
          <w:lang w:eastAsia="zh-CN"/>
        </w:rPr>
        <w:t>水源保护区下游河段排放</w:t>
      </w:r>
      <w:r>
        <w:rPr>
          <w:rFonts w:hint="eastAsia" w:hAnsi="Times New Roman" w:eastAsia="宋体"/>
          <w:lang w:eastAsia="zh-CN"/>
        </w:rPr>
        <w:t>，</w:t>
      </w:r>
      <w:r>
        <w:rPr>
          <w:rFonts w:hint="eastAsia" w:hAnsi="Times New Roman" w:eastAsia="宋体"/>
        </w:rPr>
        <w:t>位于</w:t>
      </w:r>
      <w:r>
        <w:rPr>
          <w:rFonts w:hAnsi="Times New Roman" w:eastAsia="宋体"/>
        </w:rPr>
        <w:t>王一庙（村级）集中式饮用水水源地保护区</w:t>
      </w:r>
      <w:r>
        <w:rPr>
          <w:rFonts w:hint="eastAsia" w:hAnsi="Times New Roman" w:eastAsia="宋体"/>
        </w:rPr>
        <w:t>下游约</w:t>
      </w:r>
      <w:r>
        <w:rPr>
          <w:rFonts w:hint="eastAsia" w:hAnsi="Times New Roman" w:eastAsia="宋体"/>
          <w:lang w:eastAsia="zh-CN"/>
        </w:rPr>
        <w:t>500m处</w:t>
      </w:r>
      <w:r>
        <w:rPr>
          <w:rFonts w:hint="eastAsia" w:hAnsi="Times New Roman" w:eastAsia="宋体"/>
        </w:rPr>
        <w:t>，</w:t>
      </w:r>
      <w:r>
        <w:rPr>
          <w:rFonts w:hint="eastAsia" w:hAnsi="Times New Roman" w:eastAsia="宋体"/>
          <w:lang w:eastAsia="zh-CN"/>
        </w:rPr>
        <w:t>排放口坐标为：</w:t>
      </w:r>
      <w:r>
        <w:rPr>
          <w:rFonts w:hAnsi="Times New Roman" w:eastAsia="宋体"/>
          <w:szCs w:val="22"/>
          <w:lang w:eastAsia="zh-CN"/>
        </w:rPr>
        <w:t>东经</w:t>
      </w:r>
      <w:r>
        <w:rPr>
          <w:rFonts w:hint="eastAsia" w:hAnsi="Times New Roman" w:eastAsia="宋体"/>
          <w:szCs w:val="22"/>
          <w:lang w:eastAsia="zh-CN"/>
        </w:rPr>
        <w:t>107.720023256</w:t>
      </w:r>
      <w:r>
        <w:rPr>
          <w:rFonts w:hAnsi="Times New Roman" w:eastAsia="宋体"/>
          <w:szCs w:val="22"/>
          <w:lang w:eastAsia="zh-CN"/>
        </w:rPr>
        <w:t>，北纬</w:t>
      </w:r>
      <w:r>
        <w:rPr>
          <w:rFonts w:hint="eastAsia" w:hAnsi="Times New Roman" w:eastAsia="宋体"/>
          <w:szCs w:val="22"/>
          <w:lang w:eastAsia="zh-CN"/>
        </w:rPr>
        <w:t>31.195051547</w:t>
      </w:r>
      <w:r>
        <w:rPr>
          <w:rFonts w:hint="eastAsia" w:hAnsi="Times New Roman" w:eastAsia="宋体"/>
          <w:lang w:eastAsia="zh-CN"/>
        </w:rPr>
        <w:t>。该排放方式已进行了入河排污口论证，并取得达州市生态环境局批复，批复号：达市环审〔2022〕6号，详见附件43。因此矿井涌水对宣汉县天生镇王一庙集中式饮用水源保护区不会产生影响。</w:t>
      </w:r>
    </w:p>
    <w:p>
      <w:pPr>
        <w:spacing w:line="360" w:lineRule="auto"/>
        <w:ind w:firstLine="476" w:firstLineChars="200"/>
        <w:rPr>
          <w:rFonts w:hAnsi="Times New Roman" w:eastAsia="宋体"/>
          <w:bCs/>
          <w:spacing w:val="-1"/>
          <w:kern w:val="2"/>
          <w:szCs w:val="24"/>
          <w:lang w:eastAsia="zh-CN"/>
        </w:rPr>
      </w:pPr>
      <w:r>
        <w:rPr>
          <w:rFonts w:hAnsi="Times New Roman" w:eastAsia="宋体"/>
          <w:bCs/>
          <w:spacing w:val="-1"/>
          <w:kern w:val="2"/>
          <w:szCs w:val="24"/>
          <w:lang w:eastAsia="zh-CN"/>
        </w:rPr>
        <w:t>项目</w:t>
      </w:r>
      <w:r>
        <w:rPr>
          <w:rFonts w:hint="eastAsia" w:hAnsi="Times New Roman" w:eastAsia="宋体"/>
          <w:bCs/>
          <w:spacing w:val="-1"/>
          <w:kern w:val="2"/>
          <w:szCs w:val="24"/>
          <w:lang w:eastAsia="zh-CN"/>
        </w:rPr>
        <w:t>工业场地周边分散居民等</w:t>
      </w:r>
      <w:r>
        <w:rPr>
          <w:rFonts w:hAnsi="Times New Roman" w:eastAsia="宋体"/>
          <w:bCs/>
          <w:spacing w:val="-1"/>
          <w:kern w:val="2"/>
          <w:szCs w:val="24"/>
          <w:lang w:eastAsia="zh-CN"/>
        </w:rPr>
        <w:t>敏感点主要受噪声的影响，本项目主要噪声源远离其布置，项目居民主要受堆煤场和临时储矸场粉尘的影响，本项目堆煤场封闭，临时储矸场设置喷淋设施，能够减少对居民的影响，因此，评价认为利用现有的主井工业场地进行独立升级改造，在严格落实本评价所提出的各项环保措施的前提下，从环境保护角度分析可行。</w:t>
      </w:r>
    </w:p>
    <w:p>
      <w:pPr>
        <w:pStyle w:val="6"/>
        <w:rPr>
          <w:b w:val="0"/>
          <w:bCs/>
          <w:spacing w:val="-1"/>
          <w:kern w:val="2"/>
          <w:szCs w:val="24"/>
          <w:lang w:eastAsia="zh-CN"/>
        </w:rPr>
      </w:pPr>
      <w:bookmarkStart w:id="793" w:name="13.3风井场地布置合理性分析"/>
      <w:bookmarkEnd w:id="793"/>
      <w:bookmarkStart w:id="794" w:name="bookmark66"/>
      <w:bookmarkEnd w:id="794"/>
      <w:bookmarkStart w:id="795" w:name="_Toc167095383"/>
      <w:bookmarkStart w:id="796" w:name="_Toc163812758"/>
      <w:r>
        <w:rPr>
          <w:szCs w:val="22"/>
          <w:lang w:eastAsia="zh-CN"/>
        </w:rPr>
        <w:t>14.</w:t>
      </w:r>
      <w:r>
        <w:rPr>
          <w:rFonts w:hint="eastAsia"/>
          <w:szCs w:val="22"/>
          <w:lang w:eastAsia="zh-CN"/>
        </w:rPr>
        <w:t>7</w:t>
      </w:r>
      <w:r>
        <w:rPr>
          <w:szCs w:val="22"/>
          <w:lang w:eastAsia="zh-CN"/>
        </w:rPr>
        <w:t>.2 风井场地布置合理性分析</w:t>
      </w:r>
      <w:bookmarkEnd w:id="795"/>
      <w:bookmarkEnd w:id="796"/>
    </w:p>
    <w:p>
      <w:pPr>
        <w:spacing w:line="360" w:lineRule="auto"/>
        <w:ind w:firstLine="476" w:firstLineChars="200"/>
        <w:rPr>
          <w:rFonts w:hAnsi="Times New Roman" w:eastAsia="宋体"/>
          <w:bCs/>
          <w:spacing w:val="-1"/>
          <w:kern w:val="2"/>
          <w:szCs w:val="24"/>
          <w:lang w:eastAsia="zh-CN"/>
        </w:rPr>
      </w:pPr>
      <w:r>
        <w:rPr>
          <w:rFonts w:hAnsi="Times New Roman" w:eastAsia="宋体"/>
          <w:bCs/>
          <w:spacing w:val="-1"/>
          <w:kern w:val="2"/>
          <w:szCs w:val="24"/>
          <w:lang w:eastAsia="zh-CN"/>
        </w:rPr>
        <w:t>本项目设两个风井，分别位于+572m回风平硐、+548m回风平硐，从环境保护的角度分析，风井场地所在位置地形较为开阔；根据噪声监测结果，风井场地附近居民敏感点噪声满足《工业企业厂界环境噪声排放标准》（GB1248-2008）2类标准，对周围声环境影响较小。</w:t>
      </w:r>
    </w:p>
    <w:p>
      <w:pPr>
        <w:spacing w:line="360" w:lineRule="auto"/>
        <w:ind w:firstLine="476" w:firstLineChars="200"/>
        <w:rPr>
          <w:rFonts w:hAnsi="Times New Roman" w:eastAsia="宋体"/>
          <w:bCs/>
          <w:spacing w:val="-1"/>
          <w:kern w:val="2"/>
          <w:szCs w:val="24"/>
          <w:lang w:eastAsia="zh-CN"/>
        </w:rPr>
      </w:pPr>
      <w:r>
        <w:rPr>
          <w:rFonts w:hAnsi="Times New Roman" w:eastAsia="宋体"/>
          <w:bCs/>
          <w:spacing w:val="-1"/>
          <w:kern w:val="2"/>
          <w:szCs w:val="24"/>
          <w:lang w:eastAsia="zh-CN"/>
        </w:rPr>
        <w:t>风井场地位于《环境空气质量标准》（GB3095-1995）二类区，符合环境功能区划，风井场地选址基本合理。</w:t>
      </w:r>
    </w:p>
    <w:p>
      <w:pPr>
        <w:pStyle w:val="6"/>
        <w:rPr>
          <w:szCs w:val="22"/>
          <w:lang w:eastAsia="zh-CN"/>
        </w:rPr>
      </w:pPr>
      <w:bookmarkStart w:id="797" w:name="bookmark67"/>
      <w:bookmarkEnd w:id="797"/>
      <w:bookmarkStart w:id="798" w:name="13.4爆炸器材库选址分析"/>
      <w:bookmarkEnd w:id="798"/>
      <w:bookmarkStart w:id="799" w:name="_Toc163812759"/>
      <w:bookmarkStart w:id="800" w:name="_Toc167095384"/>
      <w:r>
        <w:rPr>
          <w:szCs w:val="22"/>
          <w:lang w:eastAsia="zh-CN"/>
        </w:rPr>
        <w:t>14.</w:t>
      </w:r>
      <w:r>
        <w:rPr>
          <w:rFonts w:hint="eastAsia"/>
          <w:szCs w:val="22"/>
          <w:lang w:eastAsia="zh-CN"/>
        </w:rPr>
        <w:t>7</w:t>
      </w:r>
      <w:r>
        <w:rPr>
          <w:szCs w:val="22"/>
          <w:lang w:eastAsia="zh-CN"/>
        </w:rPr>
        <w:t>.3 爆炸器材库选址分析</w:t>
      </w:r>
      <w:bookmarkEnd w:id="799"/>
      <w:bookmarkEnd w:id="800"/>
    </w:p>
    <w:p>
      <w:pPr>
        <w:pStyle w:val="14"/>
        <w:overflowPunct w:val="0"/>
        <w:spacing w:line="360" w:lineRule="auto"/>
        <w:ind w:right="224" w:firstLine="480" w:firstLineChars="200"/>
        <w:rPr>
          <w:rFonts w:ascii="Times New Roman" w:hAnsi="Times New Roman"/>
          <w:sz w:val="24"/>
        </w:rPr>
      </w:pPr>
      <w:r>
        <w:rPr>
          <w:rFonts w:ascii="Times New Roman" w:hAnsi="Times New Roman"/>
          <w:sz w:val="24"/>
        </w:rPr>
        <w:t>库址选择在主平硐工业场地西南侧的凉风垭口附近，并经当地公安部门批准。周围150m范围</w:t>
      </w:r>
      <w:r>
        <w:rPr>
          <w:rFonts w:ascii="Times New Roman" w:hAnsi="Times New Roman"/>
          <w:spacing w:val="2"/>
          <w:sz w:val="24"/>
        </w:rPr>
        <w:t>内无人居住，炸药库内部设置监控，炸药的取用均与当地公安部门联网。爆炸器材</w:t>
      </w:r>
      <w:r>
        <w:rPr>
          <w:rFonts w:ascii="Times New Roman" w:hAnsi="Times New Roman"/>
          <w:sz w:val="24"/>
        </w:rPr>
        <w:t>库最大存储量为</w:t>
      </w:r>
      <w:r>
        <w:rPr>
          <w:rFonts w:ascii="Times New Roman" w:hAnsi="Times New Roman"/>
          <w:spacing w:val="-60"/>
          <w:sz w:val="24"/>
        </w:rPr>
        <w:t xml:space="preserve"> </w:t>
      </w:r>
      <w:r>
        <w:rPr>
          <w:rFonts w:ascii="Times New Roman" w:hAnsi="Times New Roman"/>
          <w:sz w:val="24"/>
        </w:rPr>
        <w:t>5t。</w:t>
      </w:r>
    </w:p>
    <w:p>
      <w:pPr>
        <w:pStyle w:val="6"/>
        <w:rPr>
          <w:szCs w:val="22"/>
          <w:lang w:eastAsia="zh-CN"/>
        </w:rPr>
      </w:pPr>
      <w:bookmarkStart w:id="801" w:name="13.5排矸场选址分析"/>
      <w:bookmarkEnd w:id="801"/>
      <w:bookmarkStart w:id="802" w:name="bookmark68"/>
      <w:bookmarkEnd w:id="802"/>
      <w:bookmarkStart w:id="803" w:name="_Toc167095385"/>
      <w:bookmarkStart w:id="804" w:name="_Toc163812760"/>
      <w:r>
        <w:rPr>
          <w:szCs w:val="22"/>
          <w:lang w:eastAsia="zh-CN"/>
        </w:rPr>
        <w:t>14.</w:t>
      </w:r>
      <w:r>
        <w:rPr>
          <w:rFonts w:hint="eastAsia"/>
          <w:szCs w:val="22"/>
          <w:lang w:eastAsia="zh-CN"/>
        </w:rPr>
        <w:t>7</w:t>
      </w:r>
      <w:r>
        <w:rPr>
          <w:szCs w:val="22"/>
          <w:lang w:eastAsia="zh-CN"/>
        </w:rPr>
        <w:t>.4 排矸场选址分析</w:t>
      </w:r>
      <w:bookmarkEnd w:id="803"/>
      <w:bookmarkEnd w:id="804"/>
    </w:p>
    <w:p>
      <w:pPr>
        <w:pStyle w:val="14"/>
        <w:overflowPunct w:val="0"/>
        <w:spacing w:line="360" w:lineRule="auto"/>
        <w:ind w:right="224" w:firstLine="480" w:firstLineChars="200"/>
        <w:rPr>
          <w:rFonts w:ascii="Times New Roman" w:hAnsi="Times New Roman"/>
          <w:sz w:val="24"/>
        </w:rPr>
      </w:pPr>
      <w:r>
        <w:rPr>
          <w:rFonts w:ascii="Times New Roman" w:hAnsi="Times New Roman"/>
          <w:sz w:val="24"/>
        </w:rPr>
        <w:t>煤临时矸石堆场位于主平硐工业广场</w:t>
      </w:r>
      <w:r>
        <w:rPr>
          <w:rFonts w:ascii="Times New Roman" w:hAnsi="Times New Roman"/>
          <w:sz w:val="24"/>
          <w:lang w:eastAsia="zh-CN"/>
        </w:rPr>
        <w:t>北</w:t>
      </w:r>
      <w:r>
        <w:rPr>
          <w:rFonts w:ascii="Times New Roman" w:hAnsi="Times New Roman"/>
          <w:sz w:val="24"/>
        </w:rPr>
        <w:t>侧</w:t>
      </w:r>
      <w:r>
        <w:rPr>
          <w:rFonts w:ascii="Times New Roman" w:hAnsi="Times New Roman"/>
          <w:sz w:val="24"/>
          <w:lang w:eastAsia="zh-CN"/>
        </w:rPr>
        <w:t>，</w:t>
      </w:r>
      <w:r>
        <w:rPr>
          <w:rFonts w:ascii="Times New Roman" w:hAnsi="Times New Roman"/>
          <w:sz w:val="24"/>
        </w:rPr>
        <w:t>占地</w:t>
      </w:r>
      <w:r>
        <w:rPr>
          <w:rFonts w:ascii="Times New Roman" w:hAnsi="Times New Roman"/>
          <w:sz w:val="24"/>
          <w:lang w:eastAsia="zh-CN"/>
        </w:rPr>
        <w:t>3600m</w:t>
      </w:r>
      <w:r>
        <w:rPr>
          <w:rFonts w:ascii="Times New Roman" w:hAnsi="Times New Roman"/>
          <w:sz w:val="24"/>
          <w:vertAlign w:val="superscript"/>
          <w:lang w:eastAsia="zh-CN"/>
        </w:rPr>
        <w:t>2</w:t>
      </w:r>
      <w:r>
        <w:rPr>
          <w:rFonts w:ascii="Times New Roman" w:hAnsi="Times New Roman"/>
          <w:sz w:val="24"/>
        </w:rPr>
        <w:t>，矸石暂存于临时堆场， 定期外售至砖厂。按照《煤炭工业污染物排放标准》（GB20426-2006）中规定和要求，煤矸石堆置场污染控制如下：</w:t>
      </w:r>
    </w:p>
    <w:p>
      <w:pPr>
        <w:pStyle w:val="14"/>
        <w:kinsoku w:val="0"/>
        <w:overflowPunct w:val="0"/>
        <w:spacing w:line="360" w:lineRule="auto"/>
        <w:ind w:left="2475"/>
        <w:rPr>
          <w:rFonts w:ascii="Times New Roman" w:hAnsi="Times New Roman"/>
          <w:sz w:val="21"/>
          <w:szCs w:val="21"/>
        </w:rPr>
      </w:pPr>
      <w:r>
        <w:rPr>
          <w:rFonts w:ascii="Times New Roman" w:hAnsi="Times New Roman"/>
          <w:b/>
          <w:sz w:val="21"/>
          <w:szCs w:val="21"/>
        </w:rPr>
        <w:t>表</w:t>
      </w:r>
      <w:r>
        <w:rPr>
          <w:rFonts w:ascii="Times New Roman" w:hAnsi="Times New Roman"/>
          <w:b/>
          <w:spacing w:val="-51"/>
          <w:sz w:val="21"/>
          <w:szCs w:val="21"/>
        </w:rPr>
        <w:t xml:space="preserve"> </w:t>
      </w:r>
      <w:r>
        <w:rPr>
          <w:rFonts w:ascii="Times New Roman" w:hAnsi="Times New Roman"/>
          <w:b/>
          <w:spacing w:val="-1"/>
          <w:sz w:val="21"/>
          <w:szCs w:val="21"/>
        </w:rPr>
        <w:t>1</w:t>
      </w:r>
      <w:r>
        <w:rPr>
          <w:rFonts w:ascii="Times New Roman" w:hAnsi="Times New Roman"/>
          <w:b/>
          <w:spacing w:val="-1"/>
          <w:sz w:val="21"/>
          <w:szCs w:val="21"/>
          <w:lang w:eastAsia="zh-CN"/>
        </w:rPr>
        <w:t>4.</w:t>
      </w:r>
      <w:r>
        <w:rPr>
          <w:rFonts w:hint="eastAsia" w:ascii="Times New Roman" w:hAnsi="Times New Roman"/>
          <w:b/>
          <w:spacing w:val="-1"/>
          <w:sz w:val="21"/>
          <w:szCs w:val="21"/>
          <w:lang w:eastAsia="zh-CN"/>
        </w:rPr>
        <w:t>7</w:t>
      </w:r>
      <w:r>
        <w:rPr>
          <w:rFonts w:ascii="Times New Roman" w:hAnsi="Times New Roman"/>
          <w:b/>
          <w:spacing w:val="-1"/>
          <w:sz w:val="21"/>
          <w:szCs w:val="21"/>
        </w:rPr>
        <w:t>-1</w:t>
      </w:r>
      <w:r>
        <w:rPr>
          <w:rFonts w:ascii="Times New Roman" w:hAnsi="Times New Roman"/>
          <w:b/>
          <w:spacing w:val="-3"/>
          <w:sz w:val="21"/>
          <w:szCs w:val="21"/>
        </w:rPr>
        <w:t xml:space="preserve"> </w:t>
      </w:r>
      <w:r>
        <w:rPr>
          <w:rFonts w:ascii="Times New Roman" w:hAnsi="Times New Roman"/>
          <w:b/>
          <w:spacing w:val="-1"/>
          <w:sz w:val="21"/>
          <w:szCs w:val="21"/>
        </w:rPr>
        <w:t>矸石临时堆场选址符合性分析一览表</w:t>
      </w:r>
    </w:p>
    <w:tbl>
      <w:tblPr>
        <w:tblStyle w:val="3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3"/>
        <w:gridCol w:w="4714"/>
        <w:gridCol w:w="2908"/>
        <w:gridCol w:w="10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76" w:type="pct"/>
            <w:vAlign w:val="center"/>
          </w:tcPr>
          <w:p>
            <w:pPr>
              <w:pStyle w:val="44"/>
              <w:keepNext w:val="0"/>
              <w:keepLines w:val="0"/>
              <w:suppressLineNumbers w:val="0"/>
              <w:kinsoku w:val="0"/>
              <w:overflowPunct w:val="0"/>
              <w:spacing w:before="0" w:beforeAutospacing="0" w:after="0" w:afterAutospacing="0" w:line="360" w:lineRule="auto"/>
              <w:ind w:left="0" w:right="0"/>
              <w:jc w:val="center"/>
              <w:rPr>
                <w:rFonts w:hint="eastAsia" w:hAnsi="Times New Roman" w:eastAsia="宋体"/>
                <w:b/>
                <w:bCs/>
                <w:kern w:val="2"/>
                <w:sz w:val="21"/>
                <w:szCs w:val="21"/>
              </w:rPr>
            </w:pPr>
            <w:r>
              <w:rPr>
                <w:rFonts w:hint="eastAsia" w:hAnsi="Times New Roman" w:eastAsia="宋体"/>
                <w:b/>
                <w:bCs/>
                <w:kern w:val="2"/>
                <w:sz w:val="21"/>
                <w:szCs w:val="21"/>
              </w:rPr>
              <w:t>序号</w:t>
            </w:r>
          </w:p>
        </w:tc>
        <w:tc>
          <w:tcPr>
            <w:tcW w:w="2523" w:type="pct"/>
            <w:vAlign w:val="center"/>
          </w:tcPr>
          <w:p>
            <w:pPr>
              <w:pStyle w:val="44"/>
              <w:keepNext w:val="0"/>
              <w:keepLines w:val="0"/>
              <w:suppressLineNumbers w:val="0"/>
              <w:kinsoku w:val="0"/>
              <w:overflowPunct w:val="0"/>
              <w:spacing w:before="0" w:beforeAutospacing="0" w:after="0" w:afterAutospacing="0" w:line="360" w:lineRule="auto"/>
              <w:ind w:left="0" w:right="0"/>
              <w:jc w:val="center"/>
              <w:rPr>
                <w:rFonts w:hint="eastAsia" w:hAnsi="Times New Roman" w:eastAsia="宋体"/>
                <w:b/>
                <w:bCs/>
                <w:kern w:val="2"/>
                <w:sz w:val="21"/>
                <w:szCs w:val="21"/>
              </w:rPr>
            </w:pPr>
            <w:r>
              <w:rPr>
                <w:rFonts w:hint="eastAsia" w:hAnsi="Times New Roman" w:eastAsia="宋体"/>
                <w:b/>
                <w:bCs/>
                <w:kern w:val="2"/>
                <w:sz w:val="21"/>
                <w:szCs w:val="21"/>
              </w:rPr>
              <w:t>规范要求</w:t>
            </w:r>
          </w:p>
        </w:tc>
        <w:tc>
          <w:tcPr>
            <w:tcW w:w="1556" w:type="pct"/>
            <w:vAlign w:val="center"/>
          </w:tcPr>
          <w:p>
            <w:pPr>
              <w:pStyle w:val="44"/>
              <w:keepNext w:val="0"/>
              <w:keepLines w:val="0"/>
              <w:suppressLineNumbers w:val="0"/>
              <w:kinsoku w:val="0"/>
              <w:overflowPunct w:val="0"/>
              <w:spacing w:before="0" w:beforeAutospacing="0" w:after="0" w:afterAutospacing="0" w:line="360" w:lineRule="auto"/>
              <w:ind w:left="0" w:right="0"/>
              <w:jc w:val="center"/>
              <w:rPr>
                <w:rFonts w:hint="eastAsia" w:hAnsi="Times New Roman" w:eastAsia="宋体"/>
                <w:b/>
                <w:bCs/>
                <w:kern w:val="2"/>
                <w:sz w:val="21"/>
                <w:szCs w:val="21"/>
              </w:rPr>
            </w:pPr>
            <w:r>
              <w:rPr>
                <w:rFonts w:hint="eastAsia" w:hAnsi="Times New Roman" w:eastAsia="宋体"/>
                <w:b/>
                <w:bCs/>
                <w:kern w:val="2"/>
                <w:sz w:val="21"/>
                <w:szCs w:val="21"/>
              </w:rPr>
              <w:t>本项目</w:t>
            </w:r>
          </w:p>
        </w:tc>
        <w:tc>
          <w:tcPr>
            <w:tcW w:w="545" w:type="pct"/>
            <w:vAlign w:val="center"/>
          </w:tcPr>
          <w:p>
            <w:pPr>
              <w:pStyle w:val="44"/>
              <w:keepNext w:val="0"/>
              <w:keepLines w:val="0"/>
              <w:suppressLineNumbers w:val="0"/>
              <w:kinsoku w:val="0"/>
              <w:overflowPunct w:val="0"/>
              <w:spacing w:before="0" w:beforeAutospacing="0" w:after="0" w:afterAutospacing="0" w:line="360" w:lineRule="auto"/>
              <w:ind w:left="0" w:right="0"/>
              <w:jc w:val="center"/>
              <w:rPr>
                <w:rFonts w:hint="eastAsia" w:hAnsi="Times New Roman" w:eastAsia="宋体"/>
                <w:b/>
                <w:bCs/>
                <w:kern w:val="2"/>
                <w:sz w:val="21"/>
                <w:szCs w:val="21"/>
              </w:rPr>
            </w:pPr>
            <w:r>
              <w:rPr>
                <w:rFonts w:hint="eastAsia" w:hAnsi="Times New Roman" w:eastAsia="宋体"/>
                <w:b/>
                <w:bCs/>
                <w:kern w:val="2"/>
                <w:sz w:val="21"/>
                <w:szCs w:val="21"/>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76" w:type="pct"/>
            <w:vAlign w:val="center"/>
          </w:tcPr>
          <w:p>
            <w:pPr>
              <w:pStyle w:val="44"/>
              <w:keepNext w:val="0"/>
              <w:keepLines w:val="0"/>
              <w:suppressLineNumbers w:val="0"/>
              <w:kinsoku w:val="0"/>
              <w:overflowPunct w:val="0"/>
              <w:spacing w:before="0" w:beforeAutospacing="0" w:after="0" w:afterAutospacing="0" w:line="320" w:lineRule="exact"/>
              <w:ind w:left="0" w:right="1"/>
              <w:jc w:val="center"/>
              <w:rPr>
                <w:rFonts w:hint="eastAsia" w:hAnsi="Times New Roman" w:eastAsia="宋体"/>
                <w:kern w:val="2"/>
                <w:sz w:val="21"/>
                <w:szCs w:val="21"/>
              </w:rPr>
            </w:pPr>
            <w:r>
              <w:rPr>
                <w:rFonts w:hint="eastAsia" w:hAnsi="Times New Roman" w:eastAsia="宋体"/>
                <w:kern w:val="2"/>
                <w:sz w:val="21"/>
                <w:szCs w:val="21"/>
              </w:rPr>
              <w:t>1</w:t>
            </w:r>
          </w:p>
        </w:tc>
        <w:tc>
          <w:tcPr>
            <w:tcW w:w="2523" w:type="pct"/>
            <w:vAlign w:val="center"/>
          </w:tcPr>
          <w:p>
            <w:pPr>
              <w:pStyle w:val="44"/>
              <w:keepNext w:val="0"/>
              <w:keepLines w:val="0"/>
              <w:suppressLineNumbers w:val="0"/>
              <w:kinsoku w:val="0"/>
              <w:overflowPunct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rPr>
              <w:t>煤矿煤矸石应集中堆置，每个矿井宜设立一个煤矸石堆置场</w:t>
            </w:r>
          </w:p>
        </w:tc>
        <w:tc>
          <w:tcPr>
            <w:tcW w:w="1556" w:type="pct"/>
            <w:vAlign w:val="center"/>
          </w:tcPr>
          <w:p>
            <w:pPr>
              <w:pStyle w:val="44"/>
              <w:keepNext w:val="0"/>
              <w:keepLines w:val="0"/>
              <w:suppressLineNumbers w:val="0"/>
              <w:kinsoku w:val="0"/>
              <w:overflowPunct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rPr>
              <w:t>本项目设置了一个临时矸石堆场</w:t>
            </w:r>
          </w:p>
        </w:tc>
        <w:tc>
          <w:tcPr>
            <w:tcW w:w="545" w:type="pct"/>
            <w:vAlign w:val="center"/>
          </w:tcPr>
          <w:p>
            <w:pPr>
              <w:pStyle w:val="44"/>
              <w:keepNext w:val="0"/>
              <w:keepLines w:val="0"/>
              <w:suppressLineNumbers w:val="0"/>
              <w:kinsoku w:val="0"/>
              <w:overflowPunct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76" w:type="pct"/>
            <w:vAlign w:val="center"/>
          </w:tcPr>
          <w:p>
            <w:pPr>
              <w:pStyle w:val="44"/>
              <w:keepNext w:val="0"/>
              <w:keepLines w:val="0"/>
              <w:suppressLineNumbers w:val="0"/>
              <w:kinsoku w:val="0"/>
              <w:overflowPunct w:val="0"/>
              <w:spacing w:before="0" w:beforeAutospacing="0" w:after="0" w:afterAutospacing="0" w:line="320" w:lineRule="exact"/>
              <w:ind w:left="0" w:right="1"/>
              <w:jc w:val="center"/>
              <w:rPr>
                <w:rFonts w:hint="eastAsia" w:hAnsi="Times New Roman" w:eastAsia="宋体"/>
                <w:kern w:val="2"/>
                <w:sz w:val="21"/>
                <w:szCs w:val="21"/>
              </w:rPr>
            </w:pPr>
            <w:r>
              <w:rPr>
                <w:rFonts w:hint="eastAsia" w:hAnsi="Times New Roman" w:eastAsia="宋体"/>
                <w:kern w:val="2"/>
                <w:sz w:val="21"/>
                <w:szCs w:val="21"/>
              </w:rPr>
              <w:t>2</w:t>
            </w:r>
          </w:p>
        </w:tc>
        <w:tc>
          <w:tcPr>
            <w:tcW w:w="2523" w:type="pct"/>
            <w:vAlign w:val="center"/>
          </w:tcPr>
          <w:p>
            <w:pPr>
              <w:pStyle w:val="44"/>
              <w:keepNext w:val="0"/>
              <w:keepLines w:val="0"/>
              <w:suppressLineNumbers w:val="0"/>
              <w:kinsoku w:val="0"/>
              <w:overflowPunct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rPr>
              <w:t>煤矸石应因地制宜，综合利用</w:t>
            </w:r>
          </w:p>
        </w:tc>
        <w:tc>
          <w:tcPr>
            <w:tcW w:w="1556" w:type="pct"/>
            <w:vAlign w:val="center"/>
          </w:tcPr>
          <w:p>
            <w:pPr>
              <w:pStyle w:val="44"/>
              <w:keepNext w:val="0"/>
              <w:keepLines w:val="0"/>
              <w:suppressLineNumbers w:val="0"/>
              <w:kinsoku w:val="0"/>
              <w:overflowPunct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rPr>
              <w:t>煤矸石定期外售</w:t>
            </w:r>
          </w:p>
        </w:tc>
        <w:tc>
          <w:tcPr>
            <w:tcW w:w="545" w:type="pct"/>
            <w:vAlign w:val="center"/>
          </w:tcPr>
          <w:p>
            <w:pPr>
              <w:pStyle w:val="44"/>
              <w:keepNext w:val="0"/>
              <w:keepLines w:val="0"/>
              <w:suppressLineNumbers w:val="0"/>
              <w:kinsoku w:val="0"/>
              <w:overflowPunct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76" w:type="pct"/>
            <w:vAlign w:val="center"/>
          </w:tcPr>
          <w:p>
            <w:pPr>
              <w:pStyle w:val="44"/>
              <w:keepNext w:val="0"/>
              <w:keepLines w:val="0"/>
              <w:suppressLineNumbers w:val="0"/>
              <w:kinsoku w:val="0"/>
              <w:overflowPunct w:val="0"/>
              <w:spacing w:before="0" w:beforeAutospacing="0" w:after="0" w:afterAutospacing="0" w:line="320" w:lineRule="exact"/>
              <w:ind w:left="0" w:right="1"/>
              <w:jc w:val="center"/>
              <w:rPr>
                <w:rFonts w:hint="eastAsia" w:hAnsi="Times New Roman" w:eastAsia="宋体"/>
                <w:kern w:val="2"/>
                <w:sz w:val="21"/>
                <w:szCs w:val="21"/>
              </w:rPr>
            </w:pPr>
            <w:r>
              <w:rPr>
                <w:rFonts w:hint="eastAsia" w:hAnsi="Times New Roman" w:eastAsia="宋体"/>
                <w:kern w:val="2"/>
                <w:sz w:val="21"/>
                <w:szCs w:val="21"/>
              </w:rPr>
              <w:t>3</w:t>
            </w:r>
          </w:p>
        </w:tc>
        <w:tc>
          <w:tcPr>
            <w:tcW w:w="2523" w:type="pct"/>
            <w:vAlign w:val="center"/>
          </w:tcPr>
          <w:p>
            <w:pPr>
              <w:pStyle w:val="44"/>
              <w:keepNext w:val="0"/>
              <w:keepLines w:val="0"/>
              <w:suppressLineNumbers w:val="0"/>
              <w:kinsoku w:val="0"/>
              <w:overflowPunct w:val="0"/>
              <w:spacing w:before="0" w:beforeAutospacing="0" w:after="0" w:afterAutospacing="0" w:line="320" w:lineRule="exact"/>
              <w:ind w:left="4" w:right="0"/>
              <w:jc w:val="center"/>
              <w:rPr>
                <w:rFonts w:hint="eastAsia" w:hAnsi="Times New Roman" w:eastAsia="宋体"/>
                <w:kern w:val="2"/>
                <w:sz w:val="21"/>
                <w:szCs w:val="21"/>
              </w:rPr>
            </w:pPr>
            <w:r>
              <w:rPr>
                <w:rFonts w:hint="eastAsia" w:hAnsi="Times New Roman" w:eastAsia="宋体"/>
                <w:kern w:val="2"/>
                <w:sz w:val="21"/>
                <w:szCs w:val="21"/>
              </w:rPr>
              <w:t>煤矸石堆置场应采取有效措施，防止自燃。已经发生自燃的煤临时矸石堆场应及时灭火</w:t>
            </w:r>
          </w:p>
        </w:tc>
        <w:tc>
          <w:tcPr>
            <w:tcW w:w="1556" w:type="pct"/>
            <w:vAlign w:val="center"/>
          </w:tcPr>
          <w:p>
            <w:pPr>
              <w:pStyle w:val="44"/>
              <w:keepNext w:val="0"/>
              <w:keepLines w:val="0"/>
              <w:suppressLineNumbers w:val="0"/>
              <w:kinsoku w:val="0"/>
              <w:overflowPunct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rPr>
              <w:t>设置有喷淋系统</w:t>
            </w:r>
          </w:p>
        </w:tc>
        <w:tc>
          <w:tcPr>
            <w:tcW w:w="545" w:type="pct"/>
            <w:vAlign w:val="center"/>
          </w:tcPr>
          <w:p>
            <w:pPr>
              <w:pStyle w:val="44"/>
              <w:keepNext w:val="0"/>
              <w:keepLines w:val="0"/>
              <w:suppressLineNumbers w:val="0"/>
              <w:kinsoku w:val="0"/>
              <w:overflowPunct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76" w:type="pct"/>
            <w:vAlign w:val="center"/>
          </w:tcPr>
          <w:p>
            <w:pPr>
              <w:pStyle w:val="44"/>
              <w:keepNext w:val="0"/>
              <w:keepLines w:val="0"/>
              <w:suppressLineNumbers w:val="0"/>
              <w:kinsoku w:val="0"/>
              <w:overflowPunct w:val="0"/>
              <w:spacing w:before="0" w:beforeAutospacing="0" w:after="0" w:afterAutospacing="0" w:line="320" w:lineRule="exact"/>
              <w:ind w:left="0" w:right="1"/>
              <w:jc w:val="center"/>
              <w:rPr>
                <w:rFonts w:hint="eastAsia" w:hAnsi="Times New Roman" w:eastAsia="宋体"/>
                <w:kern w:val="2"/>
                <w:sz w:val="21"/>
                <w:szCs w:val="21"/>
              </w:rPr>
            </w:pPr>
            <w:r>
              <w:rPr>
                <w:rFonts w:hint="eastAsia" w:hAnsi="Times New Roman" w:eastAsia="宋体"/>
                <w:kern w:val="2"/>
                <w:sz w:val="21"/>
                <w:szCs w:val="21"/>
              </w:rPr>
              <w:t>4</w:t>
            </w:r>
          </w:p>
        </w:tc>
        <w:tc>
          <w:tcPr>
            <w:tcW w:w="2523" w:type="pct"/>
            <w:vAlign w:val="center"/>
          </w:tcPr>
          <w:p>
            <w:pPr>
              <w:pStyle w:val="44"/>
              <w:keepNext w:val="0"/>
              <w:keepLines w:val="0"/>
              <w:suppressLineNumbers w:val="0"/>
              <w:kinsoku w:val="0"/>
              <w:overflowPunct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rPr>
              <w:t>煤矸石堆置场应构筑堤、坝、挡土墙等设施，堆置场周边应设置排洪沟、导流渠等，</w:t>
            </w:r>
            <w:r>
              <w:rPr>
                <w:rFonts w:hint="eastAsia" w:hAnsi="Times New Roman" w:eastAsia="宋体"/>
                <w:kern w:val="2"/>
                <w:sz w:val="21"/>
                <w:szCs w:val="21"/>
                <w:lang w:eastAsia="zh-CN"/>
              </w:rPr>
              <w:t>防止</w:t>
            </w:r>
            <w:r>
              <w:rPr>
                <w:rFonts w:hint="eastAsia" w:hAnsi="Times New Roman" w:eastAsia="宋体"/>
                <w:kern w:val="2"/>
                <w:sz w:val="21"/>
                <w:szCs w:val="21"/>
                <w:lang w:val="en-US" w:eastAsia="zh-CN"/>
              </w:rPr>
              <w:t>雨</w:t>
            </w:r>
            <w:r>
              <w:rPr>
                <w:rFonts w:hint="eastAsia" w:hAnsi="Times New Roman" w:eastAsia="宋体"/>
                <w:kern w:val="2"/>
                <w:sz w:val="21"/>
                <w:szCs w:val="21"/>
              </w:rPr>
              <w:t>水径流进入煤矸石堆置场，避免流失、坍塌的发生</w:t>
            </w:r>
          </w:p>
        </w:tc>
        <w:tc>
          <w:tcPr>
            <w:tcW w:w="1556" w:type="pct"/>
            <w:vAlign w:val="center"/>
          </w:tcPr>
          <w:p>
            <w:pPr>
              <w:pStyle w:val="44"/>
              <w:keepNext w:val="0"/>
              <w:keepLines w:val="0"/>
              <w:suppressLineNumbers w:val="0"/>
              <w:kinsoku w:val="0"/>
              <w:overflowPunct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rPr>
              <w:t>临时矸石堆场设有挡墙</w:t>
            </w:r>
            <w:r>
              <w:rPr>
                <w:rFonts w:hint="eastAsia" w:hAnsi="Times New Roman" w:eastAsia="宋体"/>
                <w:spacing w:val="-82"/>
                <w:kern w:val="2"/>
                <w:sz w:val="21"/>
                <w:szCs w:val="21"/>
              </w:rPr>
              <w:t>、</w:t>
            </w:r>
            <w:r>
              <w:rPr>
                <w:rFonts w:hint="eastAsia" w:hAnsi="Times New Roman" w:eastAsia="宋体"/>
                <w:kern w:val="2"/>
                <w:sz w:val="21"/>
                <w:szCs w:val="21"/>
              </w:rPr>
              <w:t>排洪沟等</w:t>
            </w:r>
            <w:r>
              <w:rPr>
                <w:rFonts w:hint="eastAsia" w:hAnsi="Times New Roman" w:eastAsia="宋体"/>
                <w:spacing w:val="-1"/>
                <w:kern w:val="2"/>
                <w:sz w:val="21"/>
                <w:szCs w:val="21"/>
              </w:rPr>
              <w:t>“三防”系统</w:t>
            </w:r>
          </w:p>
        </w:tc>
        <w:tc>
          <w:tcPr>
            <w:tcW w:w="545" w:type="pct"/>
            <w:vAlign w:val="center"/>
          </w:tcPr>
          <w:p>
            <w:pPr>
              <w:pStyle w:val="44"/>
              <w:keepNext w:val="0"/>
              <w:keepLines w:val="0"/>
              <w:suppressLineNumbers w:val="0"/>
              <w:kinsoku w:val="0"/>
              <w:overflowPunct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rPr>
              <w:t>符合</w:t>
            </w:r>
          </w:p>
        </w:tc>
      </w:tr>
    </w:tbl>
    <w:p>
      <w:pPr>
        <w:pStyle w:val="14"/>
        <w:kinsoku w:val="0"/>
        <w:overflowPunct w:val="0"/>
        <w:spacing w:line="450" w:lineRule="exact"/>
        <w:ind w:left="146" w:right="144" w:firstLine="480" w:firstLineChars="200"/>
        <w:rPr>
          <w:rFonts w:ascii="Times New Roman" w:hAnsi="Times New Roman"/>
          <w:sz w:val="24"/>
        </w:rPr>
      </w:pPr>
      <w:r>
        <w:rPr>
          <w:rFonts w:ascii="Times New Roman" w:hAnsi="Times New Roman"/>
          <w:sz w:val="24"/>
        </w:rPr>
        <w:t>煤矸石属于 GB18599-20</w:t>
      </w:r>
      <w:r>
        <w:rPr>
          <w:rFonts w:hint="eastAsia" w:ascii="Times New Roman" w:hAnsi="Times New Roman"/>
          <w:sz w:val="24"/>
          <w:lang w:eastAsia="zh-CN"/>
        </w:rPr>
        <w:t>20</w:t>
      </w:r>
      <w:r>
        <w:rPr>
          <w:rFonts w:ascii="Times New Roman" w:hAnsi="Times New Roman"/>
          <w:sz w:val="24"/>
        </w:rPr>
        <w:t>所定义Ⅱ类一般固体废物的煤矸石堆置场，应采取防渗透的技术措施。根据</w:t>
      </w:r>
      <w:r>
        <w:fldChar w:fldCharType="begin"/>
      </w:r>
      <w:r>
        <w:instrText xml:space="preserve"> HYPERLINK "http://www.mee.gov.cn/ywgz/fgbz/bz/bzwb/gthw/gtfwwrkzbz/202012/t20201218_813927.shtml" </w:instrText>
      </w:r>
      <w:r>
        <w:fldChar w:fldCharType="separate"/>
      </w:r>
      <w:r>
        <w:rPr>
          <w:rFonts w:hint="eastAsia" w:ascii="Times New Roman" w:hAnsi="Times New Roman"/>
          <w:sz w:val="24"/>
        </w:rPr>
        <w:t>《一般工业固体废物贮存和填埋污染控制标准》(GB 18599-2020)</w:t>
      </w:r>
      <w:r>
        <w:rPr>
          <w:rFonts w:hint="eastAsia" w:ascii="Times New Roman" w:hAnsi="Times New Roman"/>
          <w:sz w:val="24"/>
        </w:rPr>
        <w:fldChar w:fldCharType="end"/>
      </w:r>
      <w:r>
        <w:rPr>
          <w:rFonts w:ascii="Times New Roman" w:hAnsi="Times New Roman"/>
          <w:sz w:val="24"/>
        </w:rPr>
        <w:t xml:space="preserve">，Ⅱ类场选址要满足相关要求。 </w:t>
      </w:r>
    </w:p>
    <w:p>
      <w:pPr>
        <w:pStyle w:val="14"/>
        <w:kinsoku w:val="0"/>
        <w:overflowPunct w:val="0"/>
        <w:spacing w:line="450" w:lineRule="exact"/>
        <w:ind w:left="226" w:firstLine="488" w:firstLineChars="200"/>
        <w:rPr>
          <w:rFonts w:ascii="Times New Roman" w:hAnsi="Times New Roman"/>
          <w:sz w:val="24"/>
        </w:rPr>
      </w:pPr>
      <w:r>
        <w:rPr>
          <w:rFonts w:ascii="Times New Roman" w:hAnsi="Times New Roman"/>
          <w:spacing w:val="2"/>
          <w:sz w:val="24"/>
        </w:rPr>
        <w:t>项目不设永久堆矸场，矸石只是临时堆砌在项目工业广场旁，由车辆运走。因</w:t>
      </w:r>
      <w:r>
        <w:rPr>
          <w:rFonts w:ascii="Times New Roman" w:hAnsi="Times New Roman"/>
          <w:sz w:val="24"/>
        </w:rPr>
        <w:t>此，不涉及矸石堆场占地带来的土地使用功能的改变。</w:t>
      </w:r>
    </w:p>
    <w:p>
      <w:pPr>
        <w:pStyle w:val="14"/>
        <w:kinsoku w:val="0"/>
        <w:overflowPunct w:val="0"/>
        <w:spacing w:line="450" w:lineRule="exact"/>
        <w:ind w:left="146" w:right="144" w:firstLine="480" w:firstLineChars="200"/>
        <w:rPr>
          <w:rFonts w:ascii="Times New Roman" w:hAnsi="Times New Roman"/>
          <w:sz w:val="24"/>
        </w:rPr>
      </w:pPr>
      <w:r>
        <w:rPr>
          <w:rFonts w:ascii="Times New Roman" w:hAnsi="Times New Roman"/>
          <w:sz w:val="24"/>
        </w:rPr>
        <w:t>目前排矸场下方修建有一高</w:t>
      </w:r>
      <w:r>
        <w:rPr>
          <w:rFonts w:ascii="Times New Roman" w:hAnsi="Times New Roman"/>
          <w:sz w:val="24"/>
          <w:lang w:eastAsia="zh-CN"/>
        </w:rPr>
        <w:t>3</w:t>
      </w:r>
      <w:r>
        <w:rPr>
          <w:rFonts w:ascii="Times New Roman" w:hAnsi="Times New Roman"/>
          <w:sz w:val="24"/>
        </w:rPr>
        <w:t>m、长约20m的挡矸坝，堆场设有排水沟</w:t>
      </w:r>
      <w:r>
        <w:rPr>
          <w:rFonts w:hint="eastAsia" w:ascii="Times New Roman" w:hAnsi="Times New Roman"/>
          <w:sz w:val="24"/>
          <w:lang w:eastAsia="zh-CN"/>
        </w:rPr>
        <w:t>，</w:t>
      </w:r>
      <w:r>
        <w:rPr>
          <w:rFonts w:ascii="Times New Roman" w:hAnsi="Times New Roman"/>
          <w:sz w:val="24"/>
        </w:rPr>
        <w:t>堆置场溃坝的可能性较小。为防止雨季范围的大气降水进</w:t>
      </w:r>
      <w:r>
        <w:rPr>
          <w:rFonts w:ascii="Times New Roman" w:hAnsi="Times New Roman"/>
          <w:spacing w:val="2"/>
          <w:sz w:val="24"/>
        </w:rPr>
        <w:t>入堆置场，造成堆置场矸石淋溶水量剧增，矸石堆置场应修建排水沟、下游修建拦</w:t>
      </w:r>
      <w:r>
        <w:rPr>
          <w:rFonts w:ascii="Times New Roman" w:hAnsi="Times New Roman"/>
          <w:sz w:val="24"/>
        </w:rPr>
        <w:t>矸坝。</w:t>
      </w:r>
    </w:p>
    <w:p>
      <w:pPr>
        <w:pStyle w:val="14"/>
        <w:kinsoku w:val="0"/>
        <w:overflowPunct w:val="0"/>
        <w:spacing w:line="450" w:lineRule="exact"/>
        <w:ind w:left="146" w:firstLine="480"/>
        <w:rPr>
          <w:rFonts w:ascii="Times New Roman" w:hAnsi="Times New Roman"/>
          <w:sz w:val="24"/>
        </w:rPr>
      </w:pPr>
      <w:r>
        <w:rPr>
          <w:rFonts w:ascii="Times New Roman" w:hAnsi="Times New Roman"/>
          <w:spacing w:val="2"/>
          <w:sz w:val="24"/>
        </w:rPr>
        <w:t>从环保的角度分析，在采取耕地补偿措施和相应的防洪排洪等防治溃坝风险的</w:t>
      </w:r>
      <w:r>
        <w:rPr>
          <w:rFonts w:ascii="Times New Roman" w:hAnsi="Times New Roman"/>
          <w:spacing w:val="28"/>
          <w:sz w:val="24"/>
        </w:rPr>
        <w:t xml:space="preserve"> </w:t>
      </w:r>
      <w:r>
        <w:rPr>
          <w:rFonts w:ascii="Times New Roman" w:hAnsi="Times New Roman"/>
          <w:sz w:val="24"/>
        </w:rPr>
        <w:t>措施以及底部压实处理后，煤矸石堆置场选址基本合理。</w:t>
      </w:r>
    </w:p>
    <w:p>
      <w:pPr>
        <w:spacing w:line="360" w:lineRule="auto"/>
        <w:ind w:firstLine="480" w:firstLineChars="200"/>
        <w:rPr>
          <w:rFonts w:hAnsi="Times New Roman" w:eastAsia="宋体"/>
          <w:lang w:eastAsia="zh-CN"/>
        </w:rPr>
        <w:sectPr>
          <w:pgSz w:w="11905" w:h="16838"/>
          <w:pgMar w:top="1440" w:right="1304" w:bottom="1440" w:left="1474" w:header="850" w:footer="992" w:gutter="0"/>
          <w:cols w:space="0" w:num="1"/>
          <w:docGrid w:type="lines" w:linePitch="338" w:charSpace="0"/>
        </w:sectPr>
      </w:pPr>
    </w:p>
    <w:p>
      <w:pPr>
        <w:pStyle w:val="4"/>
        <w:rPr>
          <w:lang w:eastAsia="zh-CN"/>
        </w:rPr>
      </w:pPr>
      <w:bookmarkStart w:id="805" w:name="_Toc163749234"/>
      <w:bookmarkStart w:id="806" w:name="_Toc167095386"/>
      <w:r>
        <w:rPr>
          <w:lang w:eastAsia="zh-CN"/>
        </w:rPr>
        <w:t>15 环境风险影响分析</w:t>
      </w:r>
      <w:bookmarkEnd w:id="805"/>
      <w:bookmarkEnd w:id="806"/>
    </w:p>
    <w:p>
      <w:pPr>
        <w:pStyle w:val="5"/>
        <w:rPr>
          <w:rFonts w:ascii="Times New Roman" w:hAnsi="Times New Roman"/>
          <w:szCs w:val="22"/>
          <w:lang w:eastAsia="zh-CN"/>
        </w:rPr>
      </w:pPr>
      <w:bookmarkStart w:id="807" w:name="_Toc167095387"/>
      <w:bookmarkStart w:id="808" w:name="_Toc163749235"/>
      <w:r>
        <w:rPr>
          <w:rFonts w:ascii="Times New Roman" w:hAnsi="Times New Roman"/>
          <w:szCs w:val="22"/>
          <w:lang w:eastAsia="zh-CN"/>
        </w:rPr>
        <w:t>15.1 风险调查</w:t>
      </w:r>
      <w:bookmarkEnd w:id="807"/>
      <w:bookmarkEnd w:id="808"/>
    </w:p>
    <w:p>
      <w:pPr>
        <w:pStyle w:val="6"/>
      </w:pPr>
      <w:bookmarkStart w:id="809" w:name="_Toc163812763"/>
      <w:bookmarkStart w:id="810" w:name="_Toc167095388"/>
      <w:r>
        <w:t>1</w:t>
      </w:r>
      <w:r>
        <w:rPr>
          <w:lang w:eastAsia="zh-CN"/>
        </w:rPr>
        <w:t>5</w:t>
      </w:r>
      <w:r>
        <w:t>.1.1 环境风险源识别</w:t>
      </w:r>
      <w:bookmarkEnd w:id="809"/>
      <w:bookmarkEnd w:id="810"/>
    </w:p>
    <w:p>
      <w:pPr>
        <w:spacing w:line="360" w:lineRule="auto"/>
        <w:ind w:firstLine="480" w:firstLineChars="200"/>
        <w:rPr>
          <w:rFonts w:hAnsi="Times New Roman" w:eastAsia="宋体"/>
          <w:lang w:eastAsia="zh-CN"/>
        </w:rPr>
      </w:pPr>
      <w:r>
        <w:rPr>
          <w:rFonts w:hAnsi="Times New Roman" w:eastAsia="宋体"/>
        </w:rPr>
        <w:t>根据《环境影响评价技术导则 煤炭采选工程》（HJ619-2011）：“煤炭采选工程环境风险类型主要包括煤矸石堆置场溃坝、露天矿排土场滑坡、瓦斯储罐泄漏引起的爆炸。煤尘爆炸、井下瓦斯爆炸、井下突水、井下透水、地面崩塌、陷落、泥石流、地面爆破器材库等均属于生产安全风险和矿山地质灾害，煤炭建设项目均按照有关要求进行了专项评价，一般不再进行环境风险评价，必要时可以引用有关评价结论</w:t>
      </w:r>
      <w:r>
        <w:rPr>
          <w:rFonts w:hAnsi="Times New Roman" w:eastAsia="宋体"/>
          <w:lang w:eastAsia="zh-CN"/>
        </w:rPr>
        <w:t>。”</w:t>
      </w:r>
    </w:p>
    <w:p>
      <w:pPr>
        <w:pStyle w:val="14"/>
        <w:kinsoku w:val="0"/>
        <w:overflowPunct w:val="0"/>
        <w:spacing w:line="360" w:lineRule="auto"/>
        <w:ind w:firstLine="480" w:firstLineChars="200"/>
        <w:rPr>
          <w:rFonts w:ascii="Times New Roman" w:hAnsi="Times New Roman"/>
          <w:sz w:val="24"/>
        </w:rPr>
      </w:pPr>
      <w:r>
        <w:rPr>
          <w:rFonts w:ascii="Times New Roman" w:hAnsi="Times New Roman"/>
          <w:sz w:val="24"/>
        </w:rPr>
        <w:t>本矿属瓦斯矿井，瓦斯涌出量较小，未考虑瓦斯综合利用，未设置瓦斯储存设施，不涉及瓦斯储罐泄漏爆炸环境风险。</w:t>
      </w:r>
    </w:p>
    <w:p>
      <w:pPr>
        <w:spacing w:line="360" w:lineRule="auto"/>
        <w:ind w:firstLine="480" w:firstLineChars="200"/>
        <w:rPr>
          <w:rFonts w:hAnsi="Times New Roman" w:eastAsia="宋体"/>
          <w:lang w:eastAsia="zh-CN"/>
        </w:rPr>
      </w:pPr>
      <w:r>
        <w:rPr>
          <w:rFonts w:hAnsi="Times New Roman" w:eastAsia="宋体"/>
        </w:rPr>
        <w:t>本次评价主要对矸石临时堆场溃坝和矿井涌水事故排放环境风险进行分析；同时项目设置有</w:t>
      </w:r>
      <w:r>
        <w:rPr>
          <w:rFonts w:hAnsi="Times New Roman" w:eastAsia="宋体"/>
          <w:lang w:eastAsia="zh-CN"/>
        </w:rPr>
        <w:t>机油</w:t>
      </w:r>
      <w:r>
        <w:rPr>
          <w:rFonts w:hAnsi="Times New Roman" w:eastAsia="宋体"/>
        </w:rPr>
        <w:t>，</w:t>
      </w:r>
      <w:r>
        <w:rPr>
          <w:rFonts w:hAnsi="Times New Roman" w:eastAsia="宋体"/>
          <w:lang w:eastAsia="zh-CN"/>
        </w:rPr>
        <w:t>机油</w:t>
      </w:r>
      <w:r>
        <w:rPr>
          <w:rFonts w:hAnsi="Times New Roman" w:eastAsia="宋体"/>
        </w:rPr>
        <w:t>为易燃液体以及乳化炸药，环境风险类型为火灾及爆炸，本次评价也考虑对</w:t>
      </w:r>
      <w:r>
        <w:rPr>
          <w:rFonts w:hAnsi="Times New Roman" w:eastAsia="宋体"/>
          <w:lang w:eastAsia="zh-CN"/>
        </w:rPr>
        <w:t>机油</w:t>
      </w:r>
      <w:r>
        <w:rPr>
          <w:rFonts w:hAnsi="Times New Roman" w:eastAsia="宋体"/>
        </w:rPr>
        <w:t>泄漏和炸药爆炸环境风险进行简要分析</w:t>
      </w:r>
      <w:r>
        <w:rPr>
          <w:rFonts w:hAnsi="Times New Roman" w:eastAsia="宋体"/>
          <w:lang w:eastAsia="zh-CN"/>
        </w:rPr>
        <w:t>。</w:t>
      </w:r>
    </w:p>
    <w:p>
      <w:pPr>
        <w:pStyle w:val="14"/>
        <w:kinsoku w:val="0"/>
        <w:overflowPunct w:val="0"/>
        <w:spacing w:line="360" w:lineRule="auto"/>
        <w:ind w:firstLine="482" w:firstLineChars="200"/>
        <w:rPr>
          <w:rFonts w:ascii="Times New Roman" w:hAnsi="Times New Roman"/>
          <w:b/>
          <w:bCs w:val="0"/>
          <w:sz w:val="24"/>
        </w:rPr>
      </w:pPr>
      <w:r>
        <w:rPr>
          <w:rFonts w:ascii="Times New Roman" w:hAnsi="Times New Roman"/>
          <w:b/>
          <w:bCs w:val="0"/>
          <w:sz w:val="24"/>
          <w:lang w:eastAsia="zh-CN"/>
        </w:rPr>
        <w:t>（1）</w:t>
      </w:r>
      <w:r>
        <w:rPr>
          <w:rFonts w:ascii="Times New Roman" w:hAnsi="Times New Roman"/>
          <w:b/>
          <w:bCs w:val="0"/>
          <w:sz w:val="24"/>
        </w:rPr>
        <w:t>风险物质识别</w:t>
      </w:r>
    </w:p>
    <w:p>
      <w:pPr>
        <w:pStyle w:val="14"/>
        <w:kinsoku w:val="0"/>
        <w:overflowPunct w:val="0"/>
        <w:spacing w:line="360" w:lineRule="auto"/>
        <w:ind w:firstLine="480" w:firstLineChars="200"/>
        <w:rPr>
          <w:rFonts w:ascii="Times New Roman" w:hAnsi="Times New Roman"/>
          <w:sz w:val="24"/>
        </w:rPr>
      </w:pPr>
      <w:r>
        <w:rPr>
          <w:rFonts w:ascii="Times New Roman" w:hAnsi="Times New Roman"/>
          <w:sz w:val="24"/>
        </w:rPr>
        <w:t>本项目生产过程所使用的原辅料中，涉及的属于《危险化学品重大危险源辨识》（GB18218-2018）中的有毒有害物质包括炸药和机油等。项目涉及的主要易燃易爆物质危险特性见下表。</w:t>
      </w:r>
    </w:p>
    <w:p>
      <w:pPr>
        <w:pStyle w:val="14"/>
        <w:kinsoku w:val="0"/>
        <w:overflowPunct w:val="0"/>
        <w:spacing w:line="360" w:lineRule="auto"/>
        <w:jc w:val="center"/>
        <w:rPr>
          <w:rFonts w:ascii="Times New Roman" w:hAnsi="Times New Roman"/>
          <w:b/>
          <w:sz w:val="21"/>
          <w:szCs w:val="21"/>
        </w:rPr>
      </w:pPr>
      <w:r>
        <w:rPr>
          <w:rFonts w:ascii="Times New Roman" w:hAnsi="Times New Roman"/>
          <w:b/>
          <w:sz w:val="21"/>
          <w:szCs w:val="21"/>
        </w:rPr>
        <w:t>表15.1-1  主要危险物料特性</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1355"/>
        <w:gridCol w:w="1053"/>
        <w:gridCol w:w="68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81" w:hRule="atLeast"/>
          <w:jc w:val="center"/>
        </w:trPr>
        <w:tc>
          <w:tcPr>
            <w:tcW w:w="733" w:type="pct"/>
            <w:vAlign w:val="center"/>
          </w:tcPr>
          <w:p>
            <w:pPr>
              <w:keepNext w:val="0"/>
              <w:keepLines w:val="0"/>
              <w:suppressLineNumbers w:val="0"/>
              <w:spacing w:before="0" w:beforeAutospacing="0" w:after="0" w:afterAutospacing="0"/>
              <w:ind w:left="0" w:right="0"/>
              <w:jc w:val="center"/>
              <w:rPr>
                <w:rFonts w:hint="eastAsia" w:hAnsi="Times New Roman" w:eastAsia="宋体"/>
                <w:b/>
                <w:kern w:val="2"/>
                <w:sz w:val="21"/>
                <w:szCs w:val="21"/>
              </w:rPr>
            </w:pPr>
            <w:r>
              <w:rPr>
                <w:rFonts w:hint="eastAsia" w:hAnsi="Times New Roman" w:eastAsia="宋体"/>
                <w:b/>
                <w:kern w:val="2"/>
                <w:sz w:val="21"/>
                <w:szCs w:val="21"/>
              </w:rPr>
              <w:t>物料名称</w:t>
            </w:r>
          </w:p>
        </w:tc>
        <w:tc>
          <w:tcPr>
            <w:tcW w:w="570" w:type="pct"/>
            <w:vAlign w:val="center"/>
          </w:tcPr>
          <w:p>
            <w:pPr>
              <w:keepNext w:val="0"/>
              <w:keepLines w:val="0"/>
              <w:suppressLineNumbers w:val="0"/>
              <w:spacing w:before="0" w:beforeAutospacing="0" w:after="0" w:afterAutospacing="0"/>
              <w:ind w:left="0" w:right="0"/>
              <w:jc w:val="center"/>
              <w:rPr>
                <w:rFonts w:hint="eastAsia" w:hAnsi="Times New Roman" w:eastAsia="宋体"/>
                <w:b/>
                <w:kern w:val="2"/>
                <w:sz w:val="21"/>
                <w:szCs w:val="21"/>
              </w:rPr>
            </w:pPr>
            <w:r>
              <w:rPr>
                <w:rFonts w:hint="eastAsia" w:hAnsi="Times New Roman" w:eastAsia="宋体"/>
                <w:b/>
                <w:kern w:val="2"/>
                <w:sz w:val="21"/>
                <w:szCs w:val="21"/>
              </w:rPr>
              <w:t>用途</w:t>
            </w:r>
          </w:p>
        </w:tc>
        <w:tc>
          <w:tcPr>
            <w:tcW w:w="3697" w:type="pct"/>
            <w:vAlign w:val="center"/>
          </w:tcPr>
          <w:p>
            <w:pPr>
              <w:keepNext w:val="0"/>
              <w:keepLines w:val="0"/>
              <w:suppressLineNumbers w:val="0"/>
              <w:spacing w:before="0" w:beforeAutospacing="0" w:after="0" w:afterAutospacing="0"/>
              <w:ind w:left="0" w:right="0"/>
              <w:jc w:val="center"/>
              <w:rPr>
                <w:rFonts w:hint="eastAsia" w:hAnsi="Times New Roman" w:eastAsia="宋体"/>
                <w:b/>
                <w:kern w:val="2"/>
                <w:sz w:val="21"/>
                <w:szCs w:val="21"/>
              </w:rPr>
            </w:pPr>
            <w:r>
              <w:rPr>
                <w:rFonts w:hint="eastAsia" w:hAnsi="Times New Roman" w:eastAsia="宋体"/>
                <w:b/>
                <w:kern w:val="2"/>
                <w:sz w:val="21"/>
                <w:szCs w:val="21"/>
              </w:rPr>
              <w:t>理化特性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1752" w:hRule="atLeast"/>
          <w:jc w:val="center"/>
        </w:trPr>
        <w:tc>
          <w:tcPr>
            <w:tcW w:w="733"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rPr>
            </w:pPr>
            <w:r>
              <w:rPr>
                <w:rFonts w:hint="eastAsia" w:hAnsi="Times New Roman" w:eastAsia="宋体"/>
                <w:bCs/>
                <w:kern w:val="2"/>
                <w:sz w:val="21"/>
                <w:szCs w:val="21"/>
              </w:rPr>
              <w:t>乳化炸药</w:t>
            </w:r>
          </w:p>
        </w:tc>
        <w:tc>
          <w:tcPr>
            <w:tcW w:w="570"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rPr>
            </w:pPr>
            <w:r>
              <w:rPr>
                <w:rFonts w:hint="eastAsia" w:hAnsi="Times New Roman" w:eastAsia="宋体"/>
                <w:bCs/>
                <w:kern w:val="2"/>
                <w:sz w:val="21"/>
                <w:szCs w:val="21"/>
              </w:rPr>
              <w:t>爆破</w:t>
            </w:r>
          </w:p>
        </w:tc>
        <w:tc>
          <w:tcPr>
            <w:tcW w:w="3697" w:type="pct"/>
            <w:vAlign w:val="center"/>
          </w:tcPr>
          <w:p>
            <w:pPr>
              <w:keepNext w:val="0"/>
              <w:keepLines w:val="0"/>
              <w:suppressLineNumbers w:val="0"/>
              <w:spacing w:before="0" w:beforeAutospacing="0" w:after="0" w:afterAutospacing="0"/>
              <w:ind w:left="0" w:right="0"/>
              <w:rPr>
                <w:rFonts w:hint="eastAsia" w:hAnsi="Times New Roman" w:eastAsia="宋体"/>
                <w:bCs/>
                <w:kern w:val="2"/>
                <w:sz w:val="21"/>
                <w:szCs w:val="21"/>
              </w:rPr>
            </w:pPr>
            <w:r>
              <w:rPr>
                <w:rFonts w:hint="eastAsia" w:hAnsi="Times New Roman" w:eastAsia="宋体"/>
                <w:bCs/>
                <w:kern w:val="2"/>
                <w:sz w:val="21"/>
                <w:szCs w:val="21"/>
              </w:rPr>
              <w:t>乳化炸药为灰白色机械混合物，主要成分为硝酸铵，溶于水、乙醇、丙酮、氨水，不溶于乙醚。遇雷管或起爆剂爆炸时，能引起爆炸。遇可燃物着火时，能助长火势。与可燃物粉末混合能发生激烈反应而爆炸。受强烈震动也会起爆。急剧加热时可发生爆炸。与还原剂、有机物、易燃物如硫、磷或金属粉末等混合可形成爆炸性混合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480" w:hRule="atLeast"/>
          <w:jc w:val="center"/>
        </w:trPr>
        <w:tc>
          <w:tcPr>
            <w:tcW w:w="733"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rPr>
            </w:pPr>
            <w:r>
              <w:rPr>
                <w:rFonts w:hint="eastAsia" w:hAnsi="Times New Roman" w:eastAsia="宋体"/>
                <w:bCs/>
                <w:kern w:val="2"/>
                <w:sz w:val="21"/>
                <w:szCs w:val="21"/>
              </w:rPr>
              <w:t>机油</w:t>
            </w:r>
          </w:p>
        </w:tc>
        <w:tc>
          <w:tcPr>
            <w:tcW w:w="570" w:type="pct"/>
            <w:vAlign w:val="center"/>
          </w:tcPr>
          <w:p>
            <w:pPr>
              <w:keepNext w:val="0"/>
              <w:keepLines w:val="0"/>
              <w:suppressLineNumbers w:val="0"/>
              <w:spacing w:before="0" w:beforeAutospacing="0" w:after="0" w:afterAutospacing="0"/>
              <w:ind w:left="0" w:right="0"/>
              <w:jc w:val="center"/>
              <w:rPr>
                <w:rFonts w:hint="eastAsia" w:hAnsi="Times New Roman" w:eastAsia="宋体"/>
                <w:bCs/>
                <w:kern w:val="2"/>
                <w:sz w:val="21"/>
                <w:szCs w:val="21"/>
              </w:rPr>
            </w:pPr>
            <w:r>
              <w:rPr>
                <w:rFonts w:hint="eastAsia" w:hAnsi="Times New Roman" w:eastAsia="宋体"/>
                <w:bCs/>
                <w:kern w:val="2"/>
                <w:sz w:val="21"/>
                <w:szCs w:val="21"/>
              </w:rPr>
              <w:t>设备检修、润滑</w:t>
            </w:r>
          </w:p>
        </w:tc>
        <w:tc>
          <w:tcPr>
            <w:tcW w:w="3697" w:type="pct"/>
            <w:vAlign w:val="center"/>
          </w:tcPr>
          <w:p>
            <w:pPr>
              <w:keepNext w:val="0"/>
              <w:keepLines w:val="0"/>
              <w:suppressLineNumbers w:val="0"/>
              <w:spacing w:before="0" w:beforeAutospacing="0" w:after="0" w:afterAutospacing="0"/>
              <w:ind w:left="0" w:right="0"/>
              <w:rPr>
                <w:rFonts w:hint="eastAsia" w:hAnsi="Times New Roman" w:eastAsia="宋体"/>
                <w:bCs/>
                <w:kern w:val="2"/>
                <w:sz w:val="21"/>
                <w:szCs w:val="21"/>
              </w:rPr>
            </w:pPr>
            <w:r>
              <w:rPr>
                <w:rFonts w:hint="eastAsia" w:hAnsi="Times New Roman" w:eastAsia="宋体"/>
                <w:bCs/>
                <w:kern w:val="2"/>
                <w:sz w:val="21"/>
                <w:szCs w:val="21"/>
              </w:rPr>
              <w:t>机油燃料是一种复杂的石油化合物的混合物。燃烧时排至空气中的废气有上千种的化学物质，主要成分为水、二氧化碳、氮气与碳粒（黑烟）。在使用驱动设备的工作场所的空气中普遍存有废气，所造成的危害症状可能有头痛、恶心，乃至癌症与呼吸困难等。废油直接排放造成资源浪费，水和土壤受到污染，生态环境遭到破坏。特别是废油对地下水的污染可长达百年之久，微量的矿物油会阻碍植物的生长和毒害水生生物。</w:t>
            </w:r>
          </w:p>
        </w:tc>
      </w:tr>
    </w:tbl>
    <w:p>
      <w:pPr>
        <w:pStyle w:val="14"/>
        <w:kinsoku w:val="0"/>
        <w:overflowPunct w:val="0"/>
        <w:spacing w:line="360" w:lineRule="auto"/>
        <w:jc w:val="center"/>
        <w:rPr>
          <w:rFonts w:ascii="Times New Roman" w:hAnsi="Times New Roman"/>
          <w:b/>
          <w:sz w:val="21"/>
          <w:szCs w:val="21"/>
        </w:rPr>
      </w:pPr>
      <w:r>
        <w:rPr>
          <w:rFonts w:ascii="Times New Roman" w:hAnsi="Times New Roman"/>
          <w:b/>
          <w:sz w:val="21"/>
          <w:szCs w:val="21"/>
        </w:rPr>
        <w:t>表15.1-2 瓦斯理化特性</w:t>
      </w:r>
    </w:p>
    <w:tbl>
      <w:tblPr>
        <w:tblStyle w:val="7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50"/>
        <w:gridCol w:w="92"/>
        <w:gridCol w:w="3199"/>
        <w:gridCol w:w="2523"/>
        <w:gridCol w:w="21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000" w:type="pct"/>
            <w:gridSpan w:val="5"/>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b/>
                <w:bCs/>
                <w:kern w:val="2"/>
                <w:sz w:val="21"/>
                <w:szCs w:val="21"/>
              </w:rPr>
            </w:pPr>
            <w:r>
              <w:rPr>
                <w:rFonts w:hint="eastAsia" w:hAnsi="Times New Roman" w:eastAsia="宋体"/>
                <w:b/>
                <w:bCs/>
                <w:kern w:val="2"/>
                <w:sz w:val="21"/>
                <w:szCs w:val="21"/>
              </w:rPr>
              <w:t>危险性概述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72" w:type="pct"/>
            <w:gridSpan w:val="2"/>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b/>
                <w:bCs/>
                <w:kern w:val="2"/>
                <w:sz w:val="21"/>
                <w:szCs w:val="21"/>
              </w:rPr>
            </w:pPr>
            <w:r>
              <w:rPr>
                <w:rFonts w:hint="eastAsia" w:hAnsi="Times New Roman" w:eastAsia="宋体"/>
                <w:b/>
                <w:bCs/>
                <w:kern w:val="2"/>
                <w:sz w:val="21"/>
                <w:szCs w:val="21"/>
              </w:rPr>
              <w:t>危险性类别</w:t>
            </w:r>
          </w:p>
        </w:tc>
        <w:tc>
          <w:tcPr>
            <w:tcW w:w="1712" w:type="pct"/>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kern w:val="2"/>
                <w:sz w:val="21"/>
                <w:szCs w:val="21"/>
              </w:rPr>
            </w:pPr>
            <w:r>
              <w:rPr>
                <w:rFonts w:hint="eastAsia" w:hAnsi="Times New Roman" w:eastAsia="宋体"/>
                <w:kern w:val="2"/>
                <w:sz w:val="21"/>
                <w:szCs w:val="21"/>
              </w:rPr>
              <w:t>易燃气体</w:t>
            </w:r>
          </w:p>
        </w:tc>
        <w:tc>
          <w:tcPr>
            <w:tcW w:w="1350" w:type="pct"/>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b/>
                <w:bCs/>
                <w:kern w:val="2"/>
                <w:sz w:val="21"/>
                <w:szCs w:val="21"/>
              </w:rPr>
            </w:pPr>
            <w:r>
              <w:rPr>
                <w:rFonts w:hint="eastAsia" w:hAnsi="Times New Roman" w:eastAsia="宋体"/>
                <w:b/>
                <w:bCs/>
                <w:kern w:val="2"/>
                <w:sz w:val="21"/>
                <w:szCs w:val="21"/>
              </w:rPr>
              <w:t>燃爆危险</w:t>
            </w:r>
          </w:p>
        </w:tc>
        <w:tc>
          <w:tcPr>
            <w:tcW w:w="1166" w:type="pct"/>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kern w:val="2"/>
                <w:sz w:val="21"/>
                <w:szCs w:val="21"/>
              </w:rPr>
            </w:pPr>
            <w:r>
              <w:rPr>
                <w:rFonts w:hint="eastAsia" w:hAnsi="Times New Roman" w:eastAsia="宋体"/>
                <w:kern w:val="2"/>
                <w:sz w:val="21"/>
                <w:szCs w:val="21"/>
              </w:rPr>
              <w:t>易燃，具窒息性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72" w:type="pct"/>
            <w:gridSpan w:val="2"/>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b/>
                <w:bCs/>
                <w:kern w:val="2"/>
                <w:sz w:val="21"/>
                <w:szCs w:val="21"/>
              </w:rPr>
            </w:pPr>
            <w:r>
              <w:rPr>
                <w:rFonts w:hint="eastAsia" w:hAnsi="Times New Roman" w:eastAsia="宋体"/>
                <w:b/>
                <w:bCs/>
                <w:kern w:val="2"/>
                <w:sz w:val="21"/>
                <w:szCs w:val="21"/>
              </w:rPr>
              <w:t>侵入途径</w:t>
            </w:r>
          </w:p>
        </w:tc>
        <w:tc>
          <w:tcPr>
            <w:tcW w:w="1712" w:type="pct"/>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kern w:val="2"/>
                <w:sz w:val="21"/>
                <w:szCs w:val="21"/>
              </w:rPr>
            </w:pPr>
            <w:r>
              <w:rPr>
                <w:rFonts w:hint="eastAsia" w:hAnsi="Times New Roman" w:eastAsia="宋体"/>
                <w:kern w:val="2"/>
                <w:sz w:val="21"/>
                <w:szCs w:val="21"/>
              </w:rPr>
              <w:t>/</w:t>
            </w:r>
          </w:p>
        </w:tc>
        <w:tc>
          <w:tcPr>
            <w:tcW w:w="1350" w:type="pct"/>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b/>
                <w:bCs/>
                <w:kern w:val="2"/>
                <w:sz w:val="21"/>
                <w:szCs w:val="21"/>
              </w:rPr>
            </w:pPr>
            <w:r>
              <w:rPr>
                <w:rFonts w:hint="eastAsia" w:hAnsi="Times New Roman" w:eastAsia="宋体"/>
                <w:b/>
                <w:bCs/>
                <w:kern w:val="2"/>
                <w:sz w:val="21"/>
                <w:szCs w:val="21"/>
              </w:rPr>
              <w:t>有害燃烧产物</w:t>
            </w:r>
          </w:p>
        </w:tc>
        <w:tc>
          <w:tcPr>
            <w:tcW w:w="1166" w:type="pct"/>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kern w:val="2"/>
                <w:sz w:val="21"/>
                <w:szCs w:val="21"/>
              </w:rPr>
            </w:pPr>
            <w:r>
              <w:rPr>
                <w:rFonts w:hint="eastAsia" w:hAnsi="Times New Roman" w:eastAsia="宋体"/>
                <w:kern w:val="2"/>
                <w:sz w:val="21"/>
                <w:szCs w:val="21"/>
              </w:rPr>
              <w:t>一氧化碳、二氧化碳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72" w:type="pct"/>
            <w:gridSpan w:val="2"/>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b/>
                <w:bCs/>
                <w:kern w:val="2"/>
                <w:sz w:val="21"/>
                <w:szCs w:val="21"/>
              </w:rPr>
            </w:pPr>
            <w:r>
              <w:rPr>
                <w:rFonts w:hint="eastAsia" w:hAnsi="Times New Roman" w:eastAsia="宋体"/>
                <w:b/>
                <w:bCs/>
                <w:kern w:val="2"/>
                <w:sz w:val="21"/>
                <w:szCs w:val="21"/>
              </w:rPr>
              <w:t>健康危害</w:t>
            </w:r>
          </w:p>
        </w:tc>
        <w:tc>
          <w:tcPr>
            <w:tcW w:w="4228" w:type="pct"/>
            <w:gridSpan w:val="3"/>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kern w:val="2"/>
                <w:sz w:val="21"/>
                <w:szCs w:val="21"/>
              </w:rPr>
            </w:pPr>
            <w:r>
              <w:rPr>
                <w:rFonts w:hint="eastAsia" w:hAnsi="Times New Roman" w:eastAsia="宋体"/>
                <w:kern w:val="2"/>
                <w:sz w:val="21"/>
                <w:szCs w:val="21"/>
              </w:rPr>
              <w:t>甲烷对人体基本无毒，但浓度过高时，使空气中氧含量明显降低，使人窒息。当空气中甲烷达</w:t>
            </w:r>
            <w:r>
              <w:rPr>
                <w:rFonts w:hint="eastAsia" w:hAnsi="Times New Roman" w:eastAsia="宋体"/>
                <w:kern w:val="2"/>
                <w:sz w:val="21"/>
                <w:szCs w:val="21"/>
                <w:lang w:eastAsia="zh-CN"/>
              </w:rPr>
              <w:t>25%~30%</w:t>
            </w:r>
            <w:r>
              <w:rPr>
                <w:rFonts w:hint="eastAsia" w:hAnsi="Times New Roman" w:eastAsia="宋体"/>
                <w:kern w:val="2"/>
                <w:sz w:val="21"/>
                <w:szCs w:val="21"/>
              </w:rPr>
              <w:t>时，可引起头痛、头晕、乏力、注意力不集中、呼吸和心跳加速、共济失调。若不及时脱离，可致窒息死亡。皮肤接触液化本品，可致冻伤。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000" w:type="pct"/>
            <w:gridSpan w:val="5"/>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b/>
                <w:bCs/>
                <w:kern w:val="2"/>
                <w:sz w:val="21"/>
                <w:szCs w:val="21"/>
              </w:rPr>
            </w:pPr>
            <w:r>
              <w:rPr>
                <w:rFonts w:hint="eastAsia" w:hAnsi="Times New Roman" w:eastAsia="宋体"/>
                <w:b/>
                <w:bCs/>
                <w:kern w:val="2"/>
                <w:sz w:val="21"/>
                <w:szCs w:val="21"/>
              </w:rPr>
              <w:t>理化特性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72" w:type="pct"/>
            <w:gridSpan w:val="2"/>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b/>
                <w:bCs/>
                <w:kern w:val="2"/>
                <w:sz w:val="21"/>
                <w:szCs w:val="21"/>
              </w:rPr>
            </w:pPr>
            <w:r>
              <w:rPr>
                <w:rFonts w:hint="eastAsia" w:hAnsi="Times New Roman" w:eastAsia="宋体"/>
                <w:b/>
                <w:bCs/>
                <w:kern w:val="2"/>
                <w:sz w:val="21"/>
                <w:szCs w:val="21"/>
              </w:rPr>
              <w:t>外观及形状</w:t>
            </w:r>
          </w:p>
        </w:tc>
        <w:tc>
          <w:tcPr>
            <w:tcW w:w="4228" w:type="pct"/>
            <w:gridSpan w:val="3"/>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kern w:val="2"/>
                <w:sz w:val="21"/>
                <w:szCs w:val="21"/>
              </w:rPr>
            </w:pPr>
            <w:r>
              <w:rPr>
                <w:rFonts w:hint="eastAsia" w:hAnsi="Times New Roman" w:eastAsia="宋体"/>
                <w:kern w:val="2"/>
                <w:sz w:val="21"/>
                <w:szCs w:val="21"/>
              </w:rPr>
              <w:t>无色无臭气体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72" w:type="pct"/>
            <w:gridSpan w:val="2"/>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b/>
                <w:bCs/>
                <w:kern w:val="2"/>
                <w:sz w:val="21"/>
                <w:szCs w:val="21"/>
              </w:rPr>
            </w:pPr>
            <w:r>
              <w:rPr>
                <w:rFonts w:hint="eastAsia" w:hAnsi="Times New Roman" w:eastAsia="宋体"/>
                <w:b/>
                <w:bCs/>
                <w:kern w:val="2"/>
                <w:sz w:val="21"/>
                <w:szCs w:val="21"/>
              </w:rPr>
              <w:t>分子式</w:t>
            </w:r>
          </w:p>
        </w:tc>
        <w:tc>
          <w:tcPr>
            <w:tcW w:w="1712" w:type="pct"/>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kern w:val="2"/>
                <w:sz w:val="21"/>
                <w:szCs w:val="21"/>
              </w:rPr>
            </w:pPr>
            <w:r>
              <w:rPr>
                <w:rFonts w:hint="eastAsia" w:hAnsi="Times New Roman" w:eastAsia="宋体"/>
                <w:kern w:val="2"/>
                <w:sz w:val="21"/>
                <w:szCs w:val="21"/>
              </w:rPr>
              <w:t>CH</w:t>
            </w:r>
            <w:r>
              <w:rPr>
                <w:rFonts w:hint="eastAsia" w:hAnsi="Times New Roman" w:eastAsia="宋体"/>
                <w:kern w:val="2"/>
                <w:sz w:val="21"/>
                <w:szCs w:val="21"/>
                <w:vertAlign w:val="subscript"/>
              </w:rPr>
              <w:t>4</w:t>
            </w:r>
          </w:p>
        </w:tc>
        <w:tc>
          <w:tcPr>
            <w:tcW w:w="1350" w:type="pct"/>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b/>
                <w:bCs/>
                <w:kern w:val="2"/>
                <w:sz w:val="21"/>
                <w:szCs w:val="21"/>
              </w:rPr>
            </w:pPr>
            <w:r>
              <w:rPr>
                <w:rFonts w:hint="eastAsia" w:hAnsi="Times New Roman" w:eastAsia="宋体"/>
                <w:b/>
                <w:bCs/>
                <w:kern w:val="2"/>
                <w:sz w:val="21"/>
                <w:szCs w:val="21"/>
              </w:rPr>
              <w:t>分子量</w:t>
            </w:r>
          </w:p>
        </w:tc>
        <w:tc>
          <w:tcPr>
            <w:tcW w:w="1166" w:type="pct"/>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kern w:val="2"/>
                <w:sz w:val="21"/>
                <w:szCs w:val="21"/>
              </w:rPr>
            </w:pPr>
            <w:r>
              <w:rPr>
                <w:rFonts w:hint="eastAsia" w:hAnsi="Times New Roman" w:eastAsia="宋体"/>
                <w:kern w:val="2"/>
                <w:sz w:val="21"/>
                <w:szCs w:val="21"/>
              </w:rPr>
              <w:t>16.04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72" w:type="pct"/>
            <w:gridSpan w:val="2"/>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b/>
                <w:bCs/>
                <w:kern w:val="2"/>
                <w:sz w:val="21"/>
                <w:szCs w:val="21"/>
              </w:rPr>
            </w:pPr>
            <w:r>
              <w:rPr>
                <w:rFonts w:hint="eastAsia" w:hAnsi="Times New Roman" w:eastAsia="宋体"/>
                <w:b/>
                <w:bCs/>
                <w:kern w:val="2"/>
                <w:sz w:val="21"/>
                <w:szCs w:val="21"/>
              </w:rPr>
              <w:t>饱和蒸汽压（kPa）</w:t>
            </w:r>
          </w:p>
        </w:tc>
        <w:tc>
          <w:tcPr>
            <w:tcW w:w="1712" w:type="pct"/>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kern w:val="2"/>
                <w:sz w:val="21"/>
                <w:szCs w:val="21"/>
              </w:rPr>
            </w:pPr>
            <w:r>
              <w:rPr>
                <w:rFonts w:hint="eastAsia" w:hAnsi="Times New Roman" w:eastAsia="宋体"/>
                <w:kern w:val="2"/>
                <w:sz w:val="21"/>
                <w:szCs w:val="21"/>
              </w:rPr>
              <w:t>53.32（-168.8℃）</w:t>
            </w:r>
          </w:p>
        </w:tc>
        <w:tc>
          <w:tcPr>
            <w:tcW w:w="1350" w:type="pct"/>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b/>
                <w:bCs/>
                <w:kern w:val="2"/>
                <w:sz w:val="21"/>
                <w:szCs w:val="21"/>
              </w:rPr>
            </w:pPr>
            <w:r>
              <w:rPr>
                <w:rFonts w:hint="eastAsia" w:hAnsi="Times New Roman" w:eastAsia="宋体"/>
                <w:b/>
                <w:bCs/>
                <w:kern w:val="2"/>
                <w:sz w:val="21"/>
                <w:szCs w:val="21"/>
              </w:rPr>
              <w:t>燃烧热（kJ/mol）</w:t>
            </w:r>
          </w:p>
        </w:tc>
        <w:tc>
          <w:tcPr>
            <w:tcW w:w="1166" w:type="pct"/>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kern w:val="2"/>
                <w:sz w:val="21"/>
                <w:szCs w:val="21"/>
              </w:rPr>
            </w:pPr>
            <w:r>
              <w:rPr>
                <w:rFonts w:hint="eastAsia" w:hAnsi="Times New Roman" w:eastAsia="宋体"/>
                <w:kern w:val="2"/>
                <w:sz w:val="21"/>
                <w:szCs w:val="21"/>
              </w:rPr>
              <w:t>889.5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72" w:type="pct"/>
            <w:gridSpan w:val="2"/>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b/>
                <w:bCs/>
                <w:kern w:val="2"/>
                <w:sz w:val="21"/>
                <w:szCs w:val="21"/>
              </w:rPr>
            </w:pPr>
            <w:r>
              <w:rPr>
                <w:rFonts w:hint="eastAsia" w:hAnsi="Times New Roman" w:eastAsia="宋体"/>
                <w:b/>
                <w:bCs/>
                <w:kern w:val="2"/>
                <w:sz w:val="21"/>
                <w:szCs w:val="21"/>
              </w:rPr>
              <w:t>熔点（℃）</w:t>
            </w:r>
          </w:p>
        </w:tc>
        <w:tc>
          <w:tcPr>
            <w:tcW w:w="1712" w:type="pct"/>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kern w:val="2"/>
                <w:sz w:val="21"/>
                <w:szCs w:val="21"/>
              </w:rPr>
            </w:pPr>
            <w:r>
              <w:rPr>
                <w:rFonts w:hint="eastAsia" w:hAnsi="Times New Roman" w:eastAsia="宋体"/>
                <w:kern w:val="2"/>
                <w:sz w:val="21"/>
                <w:szCs w:val="21"/>
              </w:rPr>
              <w:t>-182.5</w:t>
            </w:r>
          </w:p>
        </w:tc>
        <w:tc>
          <w:tcPr>
            <w:tcW w:w="1350" w:type="pct"/>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b/>
                <w:bCs/>
                <w:kern w:val="2"/>
                <w:sz w:val="21"/>
                <w:szCs w:val="21"/>
              </w:rPr>
            </w:pPr>
            <w:r>
              <w:rPr>
                <w:rFonts w:hint="eastAsia" w:hAnsi="Times New Roman" w:eastAsia="宋体"/>
                <w:b/>
                <w:bCs/>
                <w:kern w:val="2"/>
                <w:sz w:val="21"/>
                <w:szCs w:val="21"/>
              </w:rPr>
              <w:t>相对密度（水=1）</w:t>
            </w:r>
          </w:p>
        </w:tc>
        <w:tc>
          <w:tcPr>
            <w:tcW w:w="1166" w:type="pct"/>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kern w:val="2"/>
                <w:sz w:val="21"/>
                <w:szCs w:val="21"/>
              </w:rPr>
            </w:pPr>
            <w:r>
              <w:rPr>
                <w:rFonts w:hint="eastAsia" w:hAnsi="Times New Roman" w:eastAsia="宋体"/>
                <w:kern w:val="2"/>
                <w:sz w:val="21"/>
                <w:szCs w:val="21"/>
              </w:rPr>
              <w:t>0.42（-164℃）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72" w:type="pct"/>
            <w:gridSpan w:val="2"/>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b/>
                <w:bCs/>
                <w:kern w:val="2"/>
                <w:sz w:val="21"/>
                <w:szCs w:val="21"/>
              </w:rPr>
            </w:pPr>
            <w:r>
              <w:rPr>
                <w:rFonts w:hint="eastAsia" w:hAnsi="Times New Roman" w:eastAsia="宋体"/>
                <w:b/>
                <w:bCs/>
                <w:kern w:val="2"/>
                <w:sz w:val="21"/>
                <w:szCs w:val="21"/>
              </w:rPr>
              <w:t>闪点（℃）</w:t>
            </w:r>
          </w:p>
        </w:tc>
        <w:tc>
          <w:tcPr>
            <w:tcW w:w="1712" w:type="pct"/>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kern w:val="2"/>
                <w:sz w:val="21"/>
                <w:szCs w:val="21"/>
              </w:rPr>
            </w:pPr>
            <w:r>
              <w:rPr>
                <w:rFonts w:hint="eastAsia" w:hAnsi="Times New Roman" w:eastAsia="宋体"/>
                <w:kern w:val="2"/>
                <w:sz w:val="21"/>
                <w:szCs w:val="21"/>
              </w:rPr>
              <w:t>-188</w:t>
            </w:r>
          </w:p>
        </w:tc>
        <w:tc>
          <w:tcPr>
            <w:tcW w:w="1350" w:type="pct"/>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b/>
                <w:bCs/>
                <w:kern w:val="2"/>
                <w:sz w:val="21"/>
                <w:szCs w:val="21"/>
              </w:rPr>
            </w:pPr>
            <w:r>
              <w:rPr>
                <w:rFonts w:hint="eastAsia" w:hAnsi="Times New Roman" w:eastAsia="宋体"/>
                <w:b/>
                <w:bCs/>
                <w:kern w:val="2"/>
                <w:sz w:val="21"/>
                <w:szCs w:val="21"/>
              </w:rPr>
              <w:t>相对密度（空气=1）</w:t>
            </w:r>
          </w:p>
        </w:tc>
        <w:tc>
          <w:tcPr>
            <w:tcW w:w="1166" w:type="pct"/>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kern w:val="2"/>
                <w:sz w:val="21"/>
                <w:szCs w:val="21"/>
              </w:rPr>
            </w:pPr>
            <w:r>
              <w:rPr>
                <w:rFonts w:hint="eastAsia" w:hAnsi="Times New Roman" w:eastAsia="宋体"/>
                <w:kern w:val="2"/>
                <w:sz w:val="21"/>
                <w:szCs w:val="21"/>
              </w:rPr>
              <w:t>0.55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72" w:type="pct"/>
            <w:gridSpan w:val="2"/>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b/>
                <w:bCs/>
                <w:kern w:val="2"/>
                <w:sz w:val="21"/>
                <w:szCs w:val="21"/>
              </w:rPr>
            </w:pPr>
            <w:r>
              <w:rPr>
                <w:rFonts w:hint="eastAsia" w:hAnsi="Times New Roman" w:eastAsia="宋体"/>
                <w:b/>
                <w:bCs/>
                <w:kern w:val="2"/>
                <w:sz w:val="21"/>
                <w:szCs w:val="21"/>
              </w:rPr>
              <w:t>引燃温度（℃）</w:t>
            </w:r>
          </w:p>
        </w:tc>
        <w:tc>
          <w:tcPr>
            <w:tcW w:w="1712" w:type="pct"/>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kern w:val="2"/>
                <w:sz w:val="21"/>
                <w:szCs w:val="21"/>
              </w:rPr>
            </w:pPr>
            <w:r>
              <w:rPr>
                <w:rFonts w:hint="eastAsia" w:hAnsi="Times New Roman" w:eastAsia="宋体"/>
                <w:kern w:val="2"/>
                <w:sz w:val="21"/>
                <w:szCs w:val="21"/>
              </w:rPr>
              <w:t>538</w:t>
            </w:r>
          </w:p>
        </w:tc>
        <w:tc>
          <w:tcPr>
            <w:tcW w:w="1350" w:type="pct"/>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b/>
                <w:bCs/>
                <w:kern w:val="2"/>
                <w:sz w:val="21"/>
                <w:szCs w:val="21"/>
                <w:lang w:eastAsia="zh-CN"/>
              </w:rPr>
            </w:pPr>
            <w:r>
              <w:rPr>
                <w:rFonts w:hint="eastAsia" w:hAnsi="Times New Roman" w:eastAsia="宋体"/>
                <w:b/>
                <w:bCs/>
                <w:kern w:val="2"/>
                <w:sz w:val="21"/>
                <w:szCs w:val="21"/>
              </w:rPr>
              <w:t>爆炸上限%（V/V</w:t>
            </w:r>
            <w:r>
              <w:rPr>
                <w:rFonts w:hint="eastAsia" w:hAnsi="Times New Roman" w:eastAsia="宋体"/>
                <w:b/>
                <w:bCs/>
                <w:kern w:val="2"/>
                <w:sz w:val="21"/>
                <w:szCs w:val="21"/>
                <w:lang w:eastAsia="zh-CN"/>
              </w:rPr>
              <w:t>）</w:t>
            </w:r>
          </w:p>
        </w:tc>
        <w:tc>
          <w:tcPr>
            <w:tcW w:w="1166" w:type="pct"/>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kern w:val="2"/>
                <w:sz w:val="21"/>
                <w:szCs w:val="21"/>
              </w:rPr>
            </w:pPr>
            <w:r>
              <w:rPr>
                <w:rFonts w:hint="eastAsia" w:hAnsi="Times New Roman" w:eastAsia="宋体"/>
                <w:kern w:val="2"/>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72" w:type="pct"/>
            <w:gridSpan w:val="2"/>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b/>
                <w:bCs/>
                <w:kern w:val="2"/>
                <w:sz w:val="21"/>
                <w:szCs w:val="21"/>
              </w:rPr>
            </w:pPr>
            <w:r>
              <w:rPr>
                <w:rFonts w:hint="eastAsia" w:hAnsi="Times New Roman" w:eastAsia="宋体"/>
                <w:b/>
                <w:bCs/>
                <w:kern w:val="2"/>
                <w:sz w:val="21"/>
                <w:szCs w:val="21"/>
              </w:rPr>
              <w:t>沸点（℃）</w:t>
            </w:r>
          </w:p>
        </w:tc>
        <w:tc>
          <w:tcPr>
            <w:tcW w:w="1712" w:type="pct"/>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kern w:val="2"/>
                <w:sz w:val="21"/>
                <w:szCs w:val="21"/>
              </w:rPr>
            </w:pPr>
            <w:r>
              <w:rPr>
                <w:rFonts w:hint="eastAsia" w:hAnsi="Times New Roman" w:eastAsia="宋体"/>
                <w:kern w:val="2"/>
                <w:sz w:val="21"/>
                <w:szCs w:val="21"/>
              </w:rPr>
              <w:t>-161.5</w:t>
            </w:r>
          </w:p>
        </w:tc>
        <w:tc>
          <w:tcPr>
            <w:tcW w:w="1350" w:type="pct"/>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b/>
                <w:bCs/>
                <w:kern w:val="2"/>
                <w:sz w:val="21"/>
                <w:szCs w:val="21"/>
              </w:rPr>
            </w:pPr>
            <w:r>
              <w:rPr>
                <w:rFonts w:hint="eastAsia" w:hAnsi="Times New Roman" w:eastAsia="宋体"/>
                <w:b/>
                <w:bCs/>
                <w:kern w:val="2"/>
                <w:sz w:val="21"/>
                <w:szCs w:val="21"/>
              </w:rPr>
              <w:t>爆炸下限%（V/V）</w:t>
            </w:r>
          </w:p>
        </w:tc>
        <w:tc>
          <w:tcPr>
            <w:tcW w:w="1166" w:type="pct"/>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kern w:val="2"/>
                <w:sz w:val="21"/>
                <w:szCs w:val="21"/>
              </w:rPr>
            </w:pPr>
            <w:r>
              <w:rPr>
                <w:rFonts w:hint="eastAsia" w:hAnsi="Times New Roman" w:eastAsia="宋体"/>
                <w:kern w:val="2"/>
                <w:sz w:val="21"/>
                <w:szCs w:val="21"/>
              </w:rPr>
              <w:t>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000" w:type="pct"/>
            <w:gridSpan w:val="5"/>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b/>
                <w:bCs/>
                <w:kern w:val="2"/>
                <w:sz w:val="21"/>
                <w:szCs w:val="21"/>
              </w:rPr>
            </w:pPr>
            <w:r>
              <w:rPr>
                <w:rFonts w:hint="eastAsia" w:hAnsi="Times New Roman" w:eastAsia="宋体"/>
                <w:b/>
                <w:bCs/>
                <w:kern w:val="2"/>
                <w:sz w:val="21"/>
                <w:szCs w:val="21"/>
              </w:rPr>
              <w:t>毒理学资料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23" w:type="pct"/>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b/>
                <w:bCs/>
                <w:kern w:val="2"/>
                <w:sz w:val="21"/>
                <w:szCs w:val="21"/>
              </w:rPr>
            </w:pPr>
            <w:r>
              <w:rPr>
                <w:rFonts w:hint="eastAsia" w:hAnsi="Times New Roman" w:eastAsia="宋体"/>
                <w:b/>
                <w:bCs/>
                <w:kern w:val="2"/>
                <w:sz w:val="21"/>
                <w:szCs w:val="21"/>
              </w:rPr>
              <w:t>急性毒性</w:t>
            </w:r>
          </w:p>
        </w:tc>
        <w:tc>
          <w:tcPr>
            <w:tcW w:w="4277" w:type="pct"/>
            <w:gridSpan w:val="4"/>
            <w:vAlign w:val="center"/>
          </w:tcPr>
          <w:p>
            <w:pPr>
              <w:keepNext w:val="0"/>
              <w:keepLines w:val="0"/>
              <w:suppressLineNumbers w:val="0"/>
              <w:autoSpaceDE w:val="0"/>
              <w:autoSpaceDN w:val="0"/>
              <w:spacing w:before="0" w:beforeAutospacing="0" w:after="0" w:afterAutospacing="0" w:line="320" w:lineRule="exact"/>
              <w:ind w:left="0" w:right="0"/>
              <w:jc w:val="center"/>
              <w:rPr>
                <w:rFonts w:hint="eastAsia" w:hAnsi="Times New Roman" w:eastAsia="宋体"/>
                <w:kern w:val="2"/>
                <w:sz w:val="21"/>
                <w:szCs w:val="21"/>
              </w:rPr>
            </w:pPr>
            <w:r>
              <w:rPr>
                <w:rFonts w:hint="eastAsia" w:hAnsi="Times New Roman" w:eastAsia="宋体"/>
                <w:kern w:val="2"/>
                <w:sz w:val="21"/>
                <w:szCs w:val="21"/>
              </w:rPr>
              <w:t>LD</w:t>
            </w:r>
            <w:r>
              <w:rPr>
                <w:rFonts w:hint="eastAsia" w:hAnsi="Times New Roman" w:eastAsia="宋体"/>
                <w:kern w:val="2"/>
                <w:sz w:val="21"/>
                <w:szCs w:val="21"/>
                <w:vertAlign w:val="subscript"/>
              </w:rPr>
              <w:t>50</w:t>
            </w:r>
            <w:r>
              <w:rPr>
                <w:rFonts w:hint="eastAsia" w:hAnsi="Times New Roman" w:eastAsia="宋体"/>
                <w:kern w:val="2"/>
                <w:sz w:val="21"/>
                <w:szCs w:val="21"/>
              </w:rPr>
              <w:t xml:space="preserve">：无资料； </w:t>
            </w:r>
          </w:p>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kern w:val="2"/>
                <w:sz w:val="21"/>
                <w:szCs w:val="21"/>
              </w:rPr>
            </w:pPr>
            <w:r>
              <w:rPr>
                <w:rFonts w:hint="eastAsia" w:hAnsi="Times New Roman" w:eastAsia="宋体"/>
                <w:kern w:val="2"/>
                <w:sz w:val="21"/>
                <w:szCs w:val="21"/>
              </w:rPr>
              <w:t>LC</w:t>
            </w:r>
            <w:r>
              <w:rPr>
                <w:rFonts w:hint="eastAsia" w:hAnsi="Times New Roman" w:eastAsia="宋体"/>
                <w:kern w:val="2"/>
                <w:sz w:val="21"/>
                <w:szCs w:val="21"/>
                <w:vertAlign w:val="subscript"/>
              </w:rPr>
              <w:t>50</w:t>
            </w:r>
            <w:r>
              <w:rPr>
                <w:rFonts w:hint="eastAsia" w:hAnsi="Times New Roman" w:eastAsia="宋体"/>
                <w:kern w:val="2"/>
                <w:sz w:val="21"/>
                <w:szCs w:val="21"/>
              </w:rPr>
              <w:t>：无资料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23" w:type="pct"/>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b/>
                <w:bCs/>
                <w:kern w:val="2"/>
                <w:sz w:val="21"/>
                <w:szCs w:val="21"/>
              </w:rPr>
            </w:pPr>
            <w:r>
              <w:rPr>
                <w:rFonts w:hint="eastAsia" w:hAnsi="Times New Roman" w:eastAsia="宋体"/>
                <w:b/>
                <w:bCs/>
                <w:kern w:val="2"/>
                <w:sz w:val="21"/>
                <w:szCs w:val="21"/>
              </w:rPr>
              <w:t>刺激性</w:t>
            </w:r>
          </w:p>
        </w:tc>
        <w:tc>
          <w:tcPr>
            <w:tcW w:w="4277" w:type="pct"/>
            <w:gridSpan w:val="4"/>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kern w:val="2"/>
                <w:sz w:val="21"/>
                <w:szCs w:val="21"/>
              </w:rPr>
            </w:pPr>
            <w:r>
              <w:rPr>
                <w:rFonts w:hint="eastAsia" w:hAnsi="Times New Roman" w:eastAsia="宋体"/>
                <w:kern w:val="2"/>
                <w:sz w:val="21"/>
                <w:szCs w:val="21"/>
              </w:rPr>
              <w:t>无资料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000" w:type="pct"/>
            <w:gridSpan w:val="5"/>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b/>
                <w:bCs/>
                <w:kern w:val="2"/>
                <w:sz w:val="21"/>
                <w:szCs w:val="21"/>
              </w:rPr>
            </w:pPr>
            <w:r>
              <w:rPr>
                <w:rFonts w:hint="eastAsia" w:hAnsi="Times New Roman" w:eastAsia="宋体"/>
                <w:b/>
                <w:bCs/>
                <w:kern w:val="2"/>
                <w:sz w:val="21"/>
                <w:szCs w:val="21"/>
              </w:rPr>
              <w:t>急救措施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23" w:type="pct"/>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b/>
                <w:bCs/>
                <w:kern w:val="2"/>
                <w:sz w:val="21"/>
                <w:szCs w:val="21"/>
              </w:rPr>
            </w:pPr>
            <w:r>
              <w:rPr>
                <w:rFonts w:hint="eastAsia" w:hAnsi="Times New Roman" w:eastAsia="宋体"/>
                <w:b/>
                <w:bCs/>
                <w:kern w:val="2"/>
                <w:sz w:val="21"/>
                <w:szCs w:val="21"/>
              </w:rPr>
              <w:t>皮肤接触</w:t>
            </w:r>
          </w:p>
        </w:tc>
        <w:tc>
          <w:tcPr>
            <w:tcW w:w="4277" w:type="pct"/>
            <w:gridSpan w:val="4"/>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kern w:val="2"/>
                <w:sz w:val="21"/>
                <w:szCs w:val="21"/>
              </w:rPr>
            </w:pPr>
            <w:r>
              <w:rPr>
                <w:rFonts w:hint="eastAsia" w:hAnsi="Times New Roman" w:eastAsia="宋体"/>
                <w:kern w:val="2"/>
                <w:sz w:val="21"/>
                <w:szCs w:val="21"/>
              </w:rPr>
              <w:t>若有冻伤，就医治疗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23" w:type="pct"/>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b/>
                <w:bCs/>
                <w:kern w:val="2"/>
                <w:sz w:val="21"/>
                <w:szCs w:val="21"/>
              </w:rPr>
            </w:pPr>
            <w:r>
              <w:rPr>
                <w:rFonts w:hint="eastAsia" w:hAnsi="Times New Roman" w:eastAsia="宋体"/>
                <w:b/>
                <w:bCs/>
                <w:kern w:val="2"/>
                <w:sz w:val="21"/>
                <w:szCs w:val="21"/>
              </w:rPr>
              <w:t>眼睛接触</w:t>
            </w:r>
          </w:p>
        </w:tc>
        <w:tc>
          <w:tcPr>
            <w:tcW w:w="4277" w:type="pct"/>
            <w:gridSpan w:val="4"/>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kern w:val="2"/>
                <w:sz w:val="21"/>
                <w:szCs w:val="21"/>
              </w:rPr>
            </w:pPr>
            <w:r>
              <w:rPr>
                <w:rFonts w:hint="eastAsia" w:hAnsi="Times New Roman" w:eastAsia="宋体"/>
                <w:kern w:val="2"/>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23" w:type="pct"/>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b/>
                <w:bCs/>
                <w:kern w:val="2"/>
                <w:sz w:val="21"/>
                <w:szCs w:val="21"/>
              </w:rPr>
            </w:pPr>
            <w:r>
              <w:rPr>
                <w:rFonts w:hint="eastAsia" w:hAnsi="Times New Roman" w:eastAsia="宋体"/>
                <w:b/>
                <w:bCs/>
                <w:kern w:val="2"/>
                <w:sz w:val="21"/>
                <w:szCs w:val="21"/>
              </w:rPr>
              <w:t>吸入</w:t>
            </w:r>
          </w:p>
        </w:tc>
        <w:tc>
          <w:tcPr>
            <w:tcW w:w="4277" w:type="pct"/>
            <w:gridSpan w:val="4"/>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kern w:val="2"/>
                <w:sz w:val="21"/>
                <w:szCs w:val="21"/>
              </w:rPr>
            </w:pPr>
            <w:r>
              <w:rPr>
                <w:rFonts w:hint="eastAsia" w:hAnsi="Times New Roman" w:eastAsia="宋体"/>
                <w:kern w:val="2"/>
                <w:sz w:val="21"/>
                <w:szCs w:val="21"/>
              </w:rPr>
              <w:t>迅速脱离现场至空气新鲜处，保持呼吸道通畅，如呼吸困难，给输氧。如呼吸停止，立即进行人工呼吸，就医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23" w:type="pct"/>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b/>
                <w:bCs/>
                <w:kern w:val="2"/>
                <w:sz w:val="21"/>
                <w:szCs w:val="21"/>
              </w:rPr>
            </w:pPr>
            <w:r>
              <w:rPr>
                <w:rFonts w:hint="eastAsia" w:hAnsi="Times New Roman" w:eastAsia="宋体"/>
                <w:b/>
                <w:bCs/>
                <w:kern w:val="2"/>
                <w:sz w:val="21"/>
                <w:szCs w:val="21"/>
              </w:rPr>
              <w:t>食入</w:t>
            </w:r>
          </w:p>
        </w:tc>
        <w:tc>
          <w:tcPr>
            <w:tcW w:w="4277" w:type="pct"/>
            <w:gridSpan w:val="4"/>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kern w:val="2"/>
                <w:sz w:val="21"/>
                <w:szCs w:val="21"/>
              </w:rPr>
            </w:pPr>
            <w:r>
              <w:rPr>
                <w:rFonts w:hint="eastAsia" w:hAnsi="Times New Roman" w:eastAsia="宋体"/>
                <w:kern w:val="2"/>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000" w:type="pct"/>
            <w:gridSpan w:val="5"/>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b/>
                <w:bCs/>
                <w:kern w:val="2"/>
                <w:sz w:val="21"/>
                <w:szCs w:val="21"/>
              </w:rPr>
            </w:pPr>
            <w:r>
              <w:rPr>
                <w:rFonts w:hint="eastAsia" w:hAnsi="Times New Roman" w:eastAsia="宋体"/>
                <w:b/>
                <w:bCs/>
                <w:kern w:val="2"/>
                <w:sz w:val="21"/>
                <w:szCs w:val="21"/>
              </w:rPr>
              <w:t>消防措施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23" w:type="pct"/>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b/>
                <w:bCs/>
                <w:kern w:val="2"/>
                <w:sz w:val="21"/>
                <w:szCs w:val="21"/>
              </w:rPr>
            </w:pPr>
            <w:r>
              <w:rPr>
                <w:rFonts w:hint="eastAsia" w:hAnsi="Times New Roman" w:eastAsia="宋体"/>
                <w:b/>
                <w:bCs/>
                <w:kern w:val="2"/>
                <w:sz w:val="21"/>
                <w:szCs w:val="21"/>
              </w:rPr>
              <w:t>危险特性</w:t>
            </w:r>
          </w:p>
        </w:tc>
        <w:tc>
          <w:tcPr>
            <w:tcW w:w="4277" w:type="pct"/>
            <w:gridSpan w:val="4"/>
            <w:vAlign w:val="center"/>
          </w:tcPr>
          <w:p>
            <w:pPr>
              <w:keepNext w:val="0"/>
              <w:keepLines w:val="0"/>
              <w:suppressLineNumbers w:val="0"/>
              <w:autoSpaceDE w:val="0"/>
              <w:autoSpaceDN w:val="0"/>
              <w:spacing w:before="0" w:beforeAutospacing="0" w:after="0" w:afterAutospacing="0" w:line="320" w:lineRule="exact"/>
              <w:ind w:left="0" w:right="0"/>
              <w:jc w:val="left"/>
              <w:rPr>
                <w:rFonts w:hint="eastAsia" w:hAnsi="Times New Roman" w:eastAsia="宋体"/>
                <w:kern w:val="2"/>
                <w:sz w:val="21"/>
                <w:szCs w:val="21"/>
              </w:rPr>
            </w:pPr>
            <w:r>
              <w:rPr>
                <w:rFonts w:hint="eastAsia" w:hAnsi="Times New Roman" w:eastAsia="宋体"/>
                <w:kern w:val="2"/>
                <w:sz w:val="21"/>
                <w:szCs w:val="21"/>
              </w:rPr>
              <w:t>易燃，与空气混合能形成爆炸性混合物，遇热源和明火有燃烧爆炸的危险。与五氧化溴、氯气、次氯酸、三氟化氮、液氧、二氟化氧及其它强氧化剂接触剧烈反应。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23" w:type="pct"/>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b/>
                <w:bCs/>
                <w:kern w:val="2"/>
                <w:sz w:val="21"/>
                <w:szCs w:val="21"/>
              </w:rPr>
            </w:pPr>
            <w:r>
              <w:rPr>
                <w:rFonts w:hint="eastAsia" w:hAnsi="Times New Roman" w:eastAsia="宋体"/>
                <w:b/>
                <w:bCs/>
                <w:kern w:val="2"/>
                <w:sz w:val="21"/>
                <w:szCs w:val="21"/>
              </w:rPr>
              <w:t>灭火方法</w:t>
            </w:r>
          </w:p>
        </w:tc>
        <w:tc>
          <w:tcPr>
            <w:tcW w:w="4277" w:type="pct"/>
            <w:gridSpan w:val="4"/>
            <w:vAlign w:val="center"/>
          </w:tcPr>
          <w:p>
            <w:pPr>
              <w:keepNext w:val="0"/>
              <w:keepLines w:val="0"/>
              <w:suppressLineNumbers w:val="0"/>
              <w:autoSpaceDE w:val="0"/>
              <w:autoSpaceDN w:val="0"/>
              <w:spacing w:before="0" w:beforeAutospacing="0" w:after="0" w:afterAutospacing="0" w:line="320" w:lineRule="exact"/>
              <w:ind w:left="0" w:right="0"/>
              <w:jc w:val="left"/>
              <w:rPr>
                <w:rFonts w:hint="eastAsia" w:hAnsi="Times New Roman" w:eastAsia="宋体"/>
                <w:kern w:val="2"/>
                <w:sz w:val="21"/>
                <w:szCs w:val="21"/>
              </w:rPr>
            </w:pPr>
            <w:r>
              <w:rPr>
                <w:rFonts w:hint="eastAsia" w:hAnsi="Times New Roman" w:eastAsia="宋体"/>
                <w:kern w:val="2"/>
                <w:sz w:val="21"/>
                <w:szCs w:val="21"/>
              </w:rPr>
              <w:t>切断气源。若不能切断气源，则不允许熄灭泄漏处的火焰。喷水冷却容器，可能的话将容器从火场移至空旷处。灭火剂：雾状水、泡沫、二氧化碳、干粉。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000" w:type="pct"/>
            <w:gridSpan w:val="5"/>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b/>
                <w:bCs/>
                <w:kern w:val="2"/>
                <w:sz w:val="21"/>
                <w:szCs w:val="21"/>
              </w:rPr>
            </w:pPr>
            <w:r>
              <w:rPr>
                <w:rFonts w:hint="eastAsia" w:hAnsi="Times New Roman" w:eastAsia="宋体"/>
                <w:b/>
                <w:bCs/>
                <w:kern w:val="2"/>
                <w:sz w:val="21"/>
                <w:szCs w:val="21"/>
              </w:rPr>
              <w:t>泄漏应急处理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23" w:type="pct"/>
            <w:vAlign w:val="center"/>
          </w:tcPr>
          <w:p>
            <w:pPr>
              <w:pStyle w:val="3"/>
              <w:keepNext w:val="0"/>
              <w:keepLines w:val="0"/>
              <w:suppressLineNumbers w:val="0"/>
              <w:spacing w:before="0" w:beforeAutospacing="0" w:after="0" w:afterAutospacing="0" w:line="320" w:lineRule="exact"/>
              <w:ind w:left="0" w:right="0" w:firstLine="0" w:firstLineChars="0"/>
              <w:jc w:val="center"/>
              <w:rPr>
                <w:rFonts w:hint="eastAsia" w:hAnsi="Times New Roman" w:eastAsia="宋体"/>
                <w:b/>
                <w:bCs/>
                <w:kern w:val="2"/>
                <w:sz w:val="21"/>
                <w:szCs w:val="21"/>
              </w:rPr>
            </w:pPr>
            <w:r>
              <w:rPr>
                <w:rFonts w:hint="eastAsia" w:hAnsi="Times New Roman" w:eastAsia="宋体"/>
                <w:b/>
                <w:bCs/>
                <w:kern w:val="2"/>
                <w:sz w:val="21"/>
                <w:szCs w:val="21"/>
              </w:rPr>
              <w:t>应急处理</w:t>
            </w:r>
          </w:p>
        </w:tc>
        <w:tc>
          <w:tcPr>
            <w:tcW w:w="4277" w:type="pct"/>
            <w:gridSpan w:val="4"/>
            <w:vAlign w:val="center"/>
          </w:tcPr>
          <w:p>
            <w:pPr>
              <w:keepNext w:val="0"/>
              <w:keepLines w:val="0"/>
              <w:suppressLineNumbers w:val="0"/>
              <w:autoSpaceDE w:val="0"/>
              <w:autoSpaceDN w:val="0"/>
              <w:spacing w:before="0" w:beforeAutospacing="0" w:after="0" w:afterAutospacing="0" w:line="320" w:lineRule="exact"/>
              <w:ind w:left="0" w:right="0"/>
              <w:jc w:val="left"/>
              <w:rPr>
                <w:rFonts w:hint="eastAsia" w:hAnsi="Times New Roman" w:eastAsia="宋体"/>
                <w:kern w:val="2"/>
                <w:sz w:val="21"/>
                <w:szCs w:val="21"/>
              </w:rPr>
            </w:pPr>
            <w:r>
              <w:rPr>
                <w:rFonts w:hint="eastAsia" w:hAnsi="Times New Roman" w:eastAsia="宋体"/>
                <w:kern w:val="2"/>
                <w:sz w:val="21"/>
                <w:szCs w:val="21"/>
              </w:rPr>
              <w:t>迅速撤离泄漏污染区人员至上风处，并进行隔离，严格限制出入。切断火源。建议应急处理人员戴自给正压式呼吸器，穿防静电工作服。尽可能切断泄漏源。合理通风，加速扩散。喷雾状水稀释、溶解。构筑围堤或挖坑收容产生的大量废水。如有可能，将漏出气用排风机送至空旷地方或装设适当喷头烧掉。也可以将漏气的容器移至空旷处，注意通风。漏气容器要妥善处理，修复、检验后再用。</w:t>
            </w:r>
          </w:p>
        </w:tc>
      </w:tr>
    </w:tbl>
    <w:p>
      <w:pPr>
        <w:pStyle w:val="14"/>
        <w:kinsoku w:val="0"/>
        <w:overflowPunct w:val="0"/>
        <w:spacing w:line="360" w:lineRule="auto"/>
        <w:ind w:firstLine="482" w:firstLineChars="200"/>
        <w:rPr>
          <w:rFonts w:ascii="Times New Roman" w:hAnsi="Times New Roman"/>
          <w:b/>
          <w:bCs w:val="0"/>
          <w:sz w:val="24"/>
          <w:lang w:eastAsia="zh-CN"/>
        </w:rPr>
      </w:pPr>
      <w:r>
        <w:rPr>
          <w:rFonts w:ascii="Times New Roman" w:hAnsi="Times New Roman"/>
          <w:b/>
          <w:bCs w:val="0"/>
          <w:sz w:val="24"/>
          <w:lang w:eastAsia="zh-CN"/>
        </w:rPr>
        <w:t>（2）瓦斯风险识别</w:t>
      </w:r>
    </w:p>
    <w:p>
      <w:pPr>
        <w:pStyle w:val="14"/>
        <w:overflowPunct w:val="0"/>
        <w:spacing w:line="360" w:lineRule="auto"/>
        <w:ind w:firstLine="480" w:firstLineChars="200"/>
        <w:rPr>
          <w:rFonts w:ascii="Times New Roman" w:hAnsi="Times New Roman"/>
          <w:sz w:val="24"/>
        </w:rPr>
      </w:pPr>
      <w:r>
        <w:rPr>
          <w:rFonts w:ascii="Times New Roman" w:hAnsi="Times New Roman"/>
          <w:sz w:val="24"/>
        </w:rPr>
        <w:t>矿井瓦斯等级是以相对瓦斯涌出量的大小来划分的。《煤矿安全规程》规定，在一个矿井中，只要有一个煤（岩）层发现瓦斯，该矿井即定为瓦斯矿井，并依照矿井瓦斯等级工作制度进行管理。</w:t>
      </w:r>
    </w:p>
    <w:p>
      <w:pPr>
        <w:pStyle w:val="14"/>
        <w:overflowPunct w:val="0"/>
        <w:spacing w:line="360" w:lineRule="auto"/>
        <w:ind w:firstLine="480" w:firstLineChars="200"/>
        <w:rPr>
          <w:rFonts w:ascii="Times New Roman" w:hAnsi="Times New Roman"/>
          <w:sz w:val="24"/>
        </w:rPr>
      </w:pPr>
      <w:r>
        <w:rPr>
          <w:rFonts w:ascii="Times New Roman" w:hAnsi="Times New Roman"/>
          <w:sz w:val="24"/>
        </w:rPr>
        <w:t>矿井瓦斯等级，根据矿井相对瓦斯涌出量、矿井绝对瓦斯涌出量和瓦斯涌出形式划分为：</w:t>
      </w:r>
    </w:p>
    <w:p>
      <w:pPr>
        <w:pStyle w:val="14"/>
        <w:overflowPunct w:val="0"/>
        <w:spacing w:line="360" w:lineRule="auto"/>
        <w:ind w:firstLine="480" w:firstLineChars="200"/>
        <w:rPr>
          <w:rFonts w:ascii="Times New Roman" w:hAnsi="Times New Roman"/>
          <w:sz w:val="24"/>
        </w:rPr>
      </w:pPr>
      <w:r>
        <w:rPr>
          <w:rFonts w:ascii="Times New Roman" w:hAnsi="Times New Roman"/>
          <w:sz w:val="24"/>
        </w:rPr>
        <w:t>①低瓦斯矿井：矿井相对瓦斯涌出量小于或等于10立方米/吨且矿井绝对瓦斯涌出量小于或等于40立方米/分。</w:t>
      </w:r>
    </w:p>
    <w:p>
      <w:pPr>
        <w:pStyle w:val="14"/>
        <w:overflowPunct w:val="0"/>
        <w:spacing w:line="360" w:lineRule="auto"/>
        <w:ind w:firstLine="480" w:firstLineChars="200"/>
        <w:rPr>
          <w:rFonts w:ascii="Times New Roman" w:hAnsi="Times New Roman"/>
          <w:sz w:val="24"/>
        </w:rPr>
      </w:pPr>
      <w:r>
        <w:rPr>
          <w:rFonts w:ascii="Times New Roman" w:hAnsi="Times New Roman"/>
          <w:sz w:val="24"/>
        </w:rPr>
        <w:t>②高瓦斯矿井：矿井相对瓦斯涌出量大于10立方米/吨且矿井绝对瓦斯涌出量大于40立方米/分。</w:t>
      </w:r>
    </w:p>
    <w:p>
      <w:pPr>
        <w:pStyle w:val="14"/>
        <w:overflowPunct w:val="0"/>
        <w:spacing w:line="360" w:lineRule="auto"/>
        <w:ind w:firstLine="480" w:firstLineChars="200"/>
        <w:rPr>
          <w:rFonts w:ascii="Times New Roman" w:hAnsi="Times New Roman"/>
          <w:sz w:val="24"/>
        </w:rPr>
      </w:pPr>
      <w:r>
        <w:rPr>
          <w:rFonts w:ascii="Times New Roman" w:hAnsi="Times New Roman"/>
          <w:sz w:val="24"/>
        </w:rPr>
        <w:t>③煤（岩）与瓦斯（二氧化碳）突出矿井。</w:t>
      </w:r>
    </w:p>
    <w:p>
      <w:pPr>
        <w:spacing w:line="360" w:lineRule="auto"/>
        <w:ind w:firstLine="480" w:firstLineChars="200"/>
        <w:rPr>
          <w:rFonts w:hAnsi="Times New Roman" w:eastAsia="宋体"/>
          <w:lang w:eastAsia="zh-CN"/>
        </w:rPr>
      </w:pPr>
      <w:r>
        <w:rPr>
          <w:rFonts w:hAnsi="Times New Roman" w:eastAsia="宋体"/>
          <w:lang w:eastAsia="zh-CN"/>
        </w:rPr>
        <w:t>根据四川科恩工程安全技术咨询有限公司《</w:t>
      </w:r>
      <w:r>
        <w:rPr>
          <w:rFonts w:hAnsi="Times New Roman" w:eastAsia="宋体"/>
          <w:szCs w:val="22"/>
          <w:lang w:eastAsia="zh-CN"/>
        </w:rPr>
        <w:t>达州市宣汉县七里峡煤业有限公司七里峡煤矿（2018年度）矿井瓦斯涌出量测定报告</w:t>
      </w:r>
      <w:r>
        <w:rPr>
          <w:rFonts w:hAnsi="Times New Roman" w:eastAsia="宋体"/>
          <w:lang w:eastAsia="zh-CN"/>
        </w:rPr>
        <w:t>》（报告编号201812），</w:t>
      </w:r>
      <w:r>
        <w:rPr>
          <w:rFonts w:hAnsi="Times New Roman" w:eastAsia="宋体"/>
          <w:szCs w:val="22"/>
          <w:lang w:eastAsia="zh-CN"/>
        </w:rPr>
        <w:t>矿井绝对瓦斯涌出量为1.542m</w:t>
      </w:r>
      <w:r>
        <w:rPr>
          <w:rFonts w:hAnsi="Times New Roman" w:eastAsia="宋体"/>
          <w:szCs w:val="22"/>
          <w:vertAlign w:val="superscript"/>
          <w:lang w:eastAsia="zh-CN"/>
        </w:rPr>
        <w:t>3</w:t>
      </w:r>
      <w:r>
        <w:rPr>
          <w:rFonts w:hAnsi="Times New Roman" w:eastAsia="宋体"/>
          <w:szCs w:val="22"/>
          <w:lang w:eastAsia="zh-CN"/>
        </w:rPr>
        <w:t>/min，矿井相对瓦斯涌出量为5.250m</w:t>
      </w:r>
      <w:r>
        <w:rPr>
          <w:rFonts w:hAnsi="Times New Roman" w:eastAsia="宋体"/>
          <w:szCs w:val="22"/>
          <w:vertAlign w:val="superscript"/>
          <w:lang w:eastAsia="zh-CN"/>
        </w:rPr>
        <w:t>3</w:t>
      </w:r>
      <w:r>
        <w:rPr>
          <w:rFonts w:hAnsi="Times New Roman" w:eastAsia="宋体"/>
          <w:szCs w:val="22"/>
          <w:lang w:eastAsia="zh-CN"/>
        </w:rPr>
        <w:t>/t；采面绝对瓦斯涌出量最大为0.267m</w:t>
      </w:r>
      <w:r>
        <w:rPr>
          <w:rFonts w:hAnsi="Times New Roman" w:eastAsia="宋体"/>
          <w:szCs w:val="22"/>
          <w:vertAlign w:val="superscript"/>
          <w:lang w:eastAsia="zh-CN"/>
        </w:rPr>
        <w:t>3</w:t>
      </w:r>
      <w:r>
        <w:rPr>
          <w:rFonts w:hAnsi="Times New Roman" w:eastAsia="宋体"/>
          <w:szCs w:val="22"/>
          <w:lang w:eastAsia="zh-CN"/>
        </w:rPr>
        <w:t>/min，掘进面绝对瓦斯涌出量最大为0.065 m</w:t>
      </w:r>
      <w:r>
        <w:rPr>
          <w:rFonts w:hAnsi="Times New Roman" w:eastAsia="宋体"/>
          <w:szCs w:val="22"/>
          <w:vertAlign w:val="superscript"/>
          <w:lang w:eastAsia="zh-CN"/>
        </w:rPr>
        <w:t>3</w:t>
      </w:r>
      <w:r>
        <w:rPr>
          <w:rFonts w:hAnsi="Times New Roman" w:eastAsia="宋体"/>
          <w:szCs w:val="22"/>
          <w:lang w:eastAsia="zh-CN"/>
        </w:rPr>
        <w:t>/min；无瓦斯动力和喷出现象，测定七里峡煤矿为低瓦斯矿井</w:t>
      </w:r>
      <w:r>
        <w:rPr>
          <w:rFonts w:hAnsi="Times New Roman" w:eastAsia="宋体"/>
          <w:lang w:eastAsia="zh-CN"/>
        </w:rPr>
        <w:t>。</w:t>
      </w:r>
    </w:p>
    <w:p>
      <w:pPr>
        <w:spacing w:line="360" w:lineRule="auto"/>
        <w:ind w:firstLine="482"/>
        <w:rPr>
          <w:rFonts w:hAnsi="Times New Roman" w:eastAsia="宋体"/>
          <w:b/>
          <w:bCs/>
          <w:szCs w:val="24"/>
        </w:rPr>
      </w:pPr>
      <w:r>
        <w:rPr>
          <w:rFonts w:hAnsi="Times New Roman" w:eastAsia="宋体"/>
          <w:b/>
          <w:bCs/>
          <w:szCs w:val="24"/>
          <w:lang w:eastAsia="zh-CN"/>
        </w:rPr>
        <w:t>（3）</w:t>
      </w:r>
      <w:r>
        <w:rPr>
          <w:rFonts w:hAnsi="Times New Roman" w:eastAsia="宋体"/>
          <w:b/>
          <w:bCs/>
          <w:szCs w:val="24"/>
        </w:rPr>
        <w:t>煤尘爆炸识别</w:t>
      </w:r>
    </w:p>
    <w:p>
      <w:pPr>
        <w:spacing w:line="360" w:lineRule="auto"/>
        <w:ind w:firstLine="480" w:firstLineChars="200"/>
        <w:rPr>
          <w:rFonts w:hAnsi="Times New Roman" w:eastAsia="宋体"/>
          <w:lang w:eastAsia="zh-CN"/>
        </w:rPr>
      </w:pPr>
      <w:r>
        <w:rPr>
          <w:rFonts w:hAnsi="Times New Roman" w:eastAsia="宋体"/>
          <w:lang w:eastAsia="zh-CN"/>
        </w:rPr>
        <w:t>根据2020年4月四川省煤炭产品质量监督检验站的检验报告，矿井开采的K</w:t>
      </w:r>
      <w:r>
        <w:rPr>
          <w:rFonts w:hAnsi="Times New Roman" w:eastAsia="宋体"/>
          <w:vertAlign w:val="subscript"/>
          <w:lang w:eastAsia="zh-CN"/>
        </w:rPr>
        <w:t>10</w:t>
      </w:r>
      <w:r>
        <w:rPr>
          <w:rFonts w:hAnsi="Times New Roman" w:eastAsia="宋体"/>
          <w:lang w:eastAsia="zh-CN"/>
        </w:rPr>
        <w:t>、K</w:t>
      </w:r>
      <w:r>
        <w:rPr>
          <w:rFonts w:hAnsi="Times New Roman" w:eastAsia="宋体"/>
          <w:vertAlign w:val="subscript"/>
          <w:lang w:eastAsia="zh-CN"/>
        </w:rPr>
        <w:t>8</w:t>
      </w:r>
      <w:r>
        <w:rPr>
          <w:rFonts w:hAnsi="Times New Roman" w:eastAsia="宋体"/>
          <w:lang w:eastAsia="zh-CN"/>
        </w:rPr>
        <w:t>、K</w:t>
      </w:r>
      <w:r>
        <w:rPr>
          <w:rFonts w:hAnsi="Times New Roman" w:eastAsia="宋体"/>
          <w:vertAlign w:val="subscript"/>
          <w:lang w:eastAsia="zh-CN"/>
        </w:rPr>
        <w:t>6</w:t>
      </w:r>
      <w:r>
        <w:rPr>
          <w:rFonts w:hAnsi="Times New Roman" w:eastAsia="宋体"/>
          <w:lang w:eastAsia="zh-CN"/>
        </w:rPr>
        <w:t>、K</w:t>
      </w:r>
      <w:r>
        <w:rPr>
          <w:rFonts w:hAnsi="Times New Roman" w:eastAsia="宋体"/>
          <w:vertAlign w:val="subscript"/>
          <w:lang w:eastAsia="zh-CN"/>
        </w:rPr>
        <w:t>5-1</w:t>
      </w:r>
      <w:r>
        <w:rPr>
          <w:rFonts w:hAnsi="Times New Roman" w:eastAsia="宋体"/>
          <w:lang w:eastAsia="zh-CN"/>
        </w:rPr>
        <w:t>和K</w:t>
      </w:r>
      <w:r>
        <w:rPr>
          <w:rFonts w:hAnsi="Times New Roman" w:eastAsia="宋体"/>
          <w:vertAlign w:val="subscript"/>
          <w:lang w:eastAsia="zh-CN"/>
        </w:rPr>
        <w:t>5</w:t>
      </w:r>
      <w:r>
        <w:rPr>
          <w:rFonts w:hAnsi="Times New Roman" w:eastAsia="宋体"/>
          <w:lang w:eastAsia="zh-CN"/>
        </w:rPr>
        <w:t>煤层自燃发火倾向性等级均为Ⅲ类，属不易自燃。</w:t>
      </w:r>
    </w:p>
    <w:p>
      <w:pPr>
        <w:spacing w:line="360" w:lineRule="auto"/>
        <w:ind w:firstLine="480" w:firstLineChars="200"/>
        <w:rPr>
          <w:rFonts w:hAnsi="Times New Roman" w:eastAsia="宋体"/>
          <w:lang w:eastAsia="zh-CN"/>
        </w:rPr>
      </w:pPr>
      <w:r>
        <w:rPr>
          <w:rFonts w:hAnsi="Times New Roman" w:eastAsia="宋体"/>
          <w:lang w:eastAsia="zh-CN"/>
        </w:rPr>
        <w:t>根据2021年9月四川省科源工程技术测试中心的检验报告，矿井开采的K</w:t>
      </w:r>
      <w:r>
        <w:rPr>
          <w:rFonts w:hAnsi="Times New Roman" w:eastAsia="宋体"/>
          <w:vertAlign w:val="subscript"/>
          <w:lang w:eastAsia="zh-CN"/>
        </w:rPr>
        <w:t>4</w:t>
      </w:r>
      <w:r>
        <w:rPr>
          <w:rFonts w:hAnsi="Times New Roman" w:eastAsia="宋体"/>
          <w:lang w:eastAsia="zh-CN"/>
        </w:rPr>
        <w:t>煤层自燃发火倾向性等级均为Ⅲ类，属不易自燃，矿井至今未发生过煤层自燃事故。</w:t>
      </w:r>
    </w:p>
    <w:p>
      <w:pPr>
        <w:spacing w:line="360" w:lineRule="auto"/>
        <w:ind w:firstLine="480" w:firstLineChars="200"/>
        <w:rPr>
          <w:rFonts w:hAnsi="Times New Roman" w:eastAsia="宋体"/>
          <w:lang w:eastAsia="zh-CN"/>
        </w:rPr>
      </w:pPr>
      <w:r>
        <w:rPr>
          <w:rFonts w:hAnsi="Times New Roman" w:eastAsia="宋体"/>
          <w:lang w:eastAsia="zh-CN"/>
        </w:rPr>
        <w:t>根据2020年4月四川省煤炭产品质量监督检验站的检验报告，矿井开采的K</w:t>
      </w:r>
      <w:r>
        <w:rPr>
          <w:rFonts w:hAnsi="Times New Roman" w:eastAsia="宋体"/>
          <w:vertAlign w:val="subscript"/>
          <w:lang w:eastAsia="zh-CN"/>
        </w:rPr>
        <w:t>10</w:t>
      </w:r>
      <w:r>
        <w:rPr>
          <w:rFonts w:hAnsi="Times New Roman" w:eastAsia="宋体"/>
          <w:lang w:eastAsia="zh-CN"/>
        </w:rPr>
        <w:t>、K</w:t>
      </w:r>
      <w:r>
        <w:rPr>
          <w:rFonts w:hAnsi="Times New Roman" w:eastAsia="宋体"/>
          <w:vertAlign w:val="subscript"/>
          <w:lang w:eastAsia="zh-CN"/>
        </w:rPr>
        <w:t>8</w:t>
      </w:r>
      <w:r>
        <w:rPr>
          <w:rFonts w:hAnsi="Times New Roman" w:eastAsia="宋体"/>
          <w:lang w:eastAsia="zh-CN"/>
        </w:rPr>
        <w:t>、K</w:t>
      </w:r>
      <w:r>
        <w:rPr>
          <w:rFonts w:hAnsi="Times New Roman" w:eastAsia="宋体"/>
          <w:vertAlign w:val="subscript"/>
          <w:lang w:eastAsia="zh-CN"/>
        </w:rPr>
        <w:t>6</w:t>
      </w:r>
      <w:r>
        <w:rPr>
          <w:rFonts w:hAnsi="Times New Roman" w:eastAsia="宋体"/>
          <w:lang w:eastAsia="zh-CN"/>
        </w:rPr>
        <w:t>、K</w:t>
      </w:r>
      <w:r>
        <w:rPr>
          <w:rFonts w:hAnsi="Times New Roman" w:eastAsia="宋体"/>
          <w:vertAlign w:val="subscript"/>
          <w:lang w:eastAsia="zh-CN"/>
        </w:rPr>
        <w:t>5-1</w:t>
      </w:r>
      <w:r>
        <w:rPr>
          <w:rFonts w:hAnsi="Times New Roman" w:eastAsia="宋体"/>
          <w:lang w:eastAsia="zh-CN"/>
        </w:rPr>
        <w:t>和K</w:t>
      </w:r>
      <w:r>
        <w:rPr>
          <w:rFonts w:hAnsi="Times New Roman" w:eastAsia="宋体"/>
          <w:vertAlign w:val="subscript"/>
          <w:lang w:eastAsia="zh-CN"/>
        </w:rPr>
        <w:t>5</w:t>
      </w:r>
      <w:r>
        <w:rPr>
          <w:rFonts w:hAnsi="Times New Roman" w:eastAsia="宋体"/>
          <w:lang w:eastAsia="zh-CN"/>
        </w:rPr>
        <w:t>煤层均无煤尘爆炸危险性。</w:t>
      </w:r>
    </w:p>
    <w:p>
      <w:pPr>
        <w:spacing w:line="360" w:lineRule="auto"/>
        <w:ind w:firstLine="480" w:firstLineChars="200"/>
        <w:rPr>
          <w:rFonts w:hAnsi="Times New Roman" w:eastAsia="宋体"/>
          <w:szCs w:val="24"/>
        </w:rPr>
      </w:pPr>
      <w:r>
        <w:rPr>
          <w:rFonts w:hAnsi="Times New Roman" w:eastAsia="宋体"/>
          <w:lang w:eastAsia="zh-CN"/>
        </w:rPr>
        <w:t>根据2021年9月四川省科源工程技术测试中心的检验报告，矿井开采的K4煤层无煤尘爆炸危险性，矿井至今未发生过煤尘爆炸事故</w:t>
      </w:r>
      <w:r>
        <w:rPr>
          <w:rFonts w:hAnsi="Times New Roman" w:eastAsia="宋体"/>
          <w:szCs w:val="24"/>
        </w:rPr>
        <w:t>。</w:t>
      </w:r>
    </w:p>
    <w:p>
      <w:pPr>
        <w:spacing w:line="360" w:lineRule="auto"/>
        <w:ind w:firstLine="482"/>
        <w:rPr>
          <w:rFonts w:hAnsi="Times New Roman" w:eastAsia="宋体"/>
          <w:b/>
          <w:bCs/>
          <w:szCs w:val="24"/>
        </w:rPr>
      </w:pPr>
      <w:r>
        <w:rPr>
          <w:rFonts w:hAnsi="Times New Roman" w:eastAsia="宋体"/>
          <w:b/>
          <w:bCs/>
          <w:szCs w:val="24"/>
          <w:lang w:eastAsia="zh-CN"/>
        </w:rPr>
        <w:t>（4）</w:t>
      </w:r>
      <w:r>
        <w:rPr>
          <w:rFonts w:hAnsi="Times New Roman" w:eastAsia="宋体"/>
          <w:b/>
          <w:bCs/>
          <w:szCs w:val="24"/>
        </w:rPr>
        <w:t>生产过程风险识别</w:t>
      </w:r>
    </w:p>
    <w:p>
      <w:pPr>
        <w:spacing w:line="360" w:lineRule="auto"/>
        <w:ind w:firstLine="480" w:firstLineChars="200"/>
        <w:rPr>
          <w:rFonts w:hAnsi="Times New Roman" w:eastAsia="宋体"/>
          <w:lang w:eastAsia="zh-CN"/>
        </w:rPr>
      </w:pPr>
      <w:r>
        <w:rPr>
          <w:rFonts w:hAnsi="Times New Roman" w:eastAsia="宋体"/>
          <w:szCs w:val="24"/>
        </w:rPr>
        <w:t>通过项目技术分析和类比调查，项目生产过程中主要的危险、危害包括炸药贮存、使用过程中发生火灾、爆炸；临时矸石堆场发生大面积的坍塌或多次坍塌等事故，原因及易发场所见下表。</w:t>
      </w:r>
    </w:p>
    <w:p>
      <w:pPr>
        <w:pStyle w:val="14"/>
        <w:kinsoku w:val="0"/>
        <w:overflowPunct w:val="0"/>
        <w:spacing w:line="360" w:lineRule="auto"/>
        <w:jc w:val="center"/>
        <w:rPr>
          <w:rFonts w:ascii="Times New Roman" w:hAnsi="Times New Roman"/>
          <w:b/>
          <w:sz w:val="21"/>
          <w:szCs w:val="21"/>
        </w:rPr>
      </w:pPr>
      <w:r>
        <w:rPr>
          <w:rFonts w:ascii="Times New Roman" w:hAnsi="Times New Roman"/>
          <w:b/>
          <w:sz w:val="21"/>
          <w:szCs w:val="21"/>
        </w:rPr>
        <w:t>表15.1-3 生产过程中潜在</w:t>
      </w:r>
      <w:r>
        <w:rPr>
          <w:rFonts w:hint="eastAsia" w:ascii="Times New Roman" w:hAnsi="Times New Roman"/>
          <w:b/>
          <w:sz w:val="21"/>
          <w:szCs w:val="21"/>
        </w:rPr>
        <w:t>环境</w:t>
      </w:r>
      <w:r>
        <w:rPr>
          <w:rFonts w:ascii="Times New Roman" w:hAnsi="Times New Roman"/>
          <w:b/>
          <w:sz w:val="21"/>
          <w:szCs w:val="21"/>
        </w:rPr>
        <w:t>危险因素分析</w:t>
      </w:r>
    </w:p>
    <w:tbl>
      <w:tblPr>
        <w:tblStyle w:val="7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4"/>
        <w:gridCol w:w="4604"/>
        <w:gridCol w:w="2089"/>
        <w:gridCol w:w="14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6" w:type="pct"/>
            <w:vAlign w:val="center"/>
          </w:tcPr>
          <w:p>
            <w:pPr>
              <w:pStyle w:val="76"/>
              <w:keepNext w:val="0"/>
              <w:keepLines w:val="0"/>
              <w:suppressLineNumbers w:val="0"/>
              <w:spacing w:before="33" w:beforeAutospacing="0" w:after="33" w:afterAutospacing="0" w:line="320" w:lineRule="exact"/>
              <w:ind w:left="0" w:right="0"/>
              <w:rPr>
                <w:rFonts w:hint="eastAsia" w:hAnsi="Times New Roman" w:eastAsia="宋体"/>
                <w:b/>
                <w:bCs/>
                <w:kern w:val="2"/>
              </w:rPr>
            </w:pPr>
            <w:r>
              <w:rPr>
                <w:rFonts w:hint="eastAsia" w:hAnsi="Times New Roman" w:eastAsia="宋体"/>
                <w:b/>
                <w:bCs/>
                <w:kern w:val="2"/>
              </w:rPr>
              <w:t>事故种类</w:t>
            </w:r>
          </w:p>
        </w:tc>
        <w:tc>
          <w:tcPr>
            <w:tcW w:w="2464" w:type="pct"/>
            <w:vAlign w:val="center"/>
          </w:tcPr>
          <w:p>
            <w:pPr>
              <w:pStyle w:val="76"/>
              <w:keepNext w:val="0"/>
              <w:keepLines w:val="0"/>
              <w:suppressLineNumbers w:val="0"/>
              <w:spacing w:before="33" w:beforeAutospacing="0" w:after="33" w:afterAutospacing="0" w:line="320" w:lineRule="exact"/>
              <w:ind w:left="0" w:right="0"/>
              <w:rPr>
                <w:rFonts w:hint="eastAsia" w:hAnsi="Times New Roman" w:eastAsia="宋体"/>
                <w:b/>
                <w:bCs/>
                <w:kern w:val="2"/>
              </w:rPr>
            </w:pPr>
            <w:r>
              <w:rPr>
                <w:rFonts w:hint="eastAsia" w:hAnsi="Times New Roman" w:eastAsia="宋体"/>
                <w:b/>
                <w:bCs/>
                <w:kern w:val="2"/>
              </w:rPr>
              <w:t>发生原因</w:t>
            </w:r>
          </w:p>
        </w:tc>
        <w:tc>
          <w:tcPr>
            <w:tcW w:w="1118" w:type="pct"/>
            <w:vAlign w:val="center"/>
          </w:tcPr>
          <w:p>
            <w:pPr>
              <w:pStyle w:val="76"/>
              <w:keepNext w:val="0"/>
              <w:keepLines w:val="0"/>
              <w:suppressLineNumbers w:val="0"/>
              <w:spacing w:before="33" w:beforeAutospacing="0" w:after="33" w:afterAutospacing="0" w:line="320" w:lineRule="exact"/>
              <w:ind w:left="0" w:right="0"/>
              <w:rPr>
                <w:rFonts w:hint="eastAsia" w:hAnsi="Times New Roman" w:eastAsia="宋体"/>
                <w:b/>
                <w:bCs/>
                <w:kern w:val="2"/>
              </w:rPr>
            </w:pPr>
            <w:r>
              <w:rPr>
                <w:rFonts w:hint="eastAsia" w:hAnsi="Times New Roman" w:eastAsia="宋体"/>
                <w:b/>
                <w:bCs/>
                <w:kern w:val="2"/>
              </w:rPr>
              <w:t>易发场所</w:t>
            </w:r>
          </w:p>
        </w:tc>
        <w:tc>
          <w:tcPr>
            <w:tcW w:w="752" w:type="pct"/>
            <w:vAlign w:val="center"/>
          </w:tcPr>
          <w:p>
            <w:pPr>
              <w:pStyle w:val="76"/>
              <w:keepNext w:val="0"/>
              <w:keepLines w:val="0"/>
              <w:suppressLineNumbers w:val="0"/>
              <w:spacing w:before="33" w:beforeAutospacing="0" w:after="33" w:afterAutospacing="0" w:line="320" w:lineRule="exact"/>
              <w:ind w:left="0" w:right="0"/>
              <w:rPr>
                <w:rFonts w:hint="eastAsia" w:hAnsi="Times New Roman" w:eastAsia="宋体"/>
                <w:b/>
                <w:bCs/>
                <w:kern w:val="2"/>
              </w:rPr>
            </w:pPr>
            <w:r>
              <w:rPr>
                <w:rFonts w:hint="eastAsia" w:hAnsi="Times New Roman" w:eastAsia="宋体"/>
                <w:b/>
                <w:bCs/>
                <w:kern w:val="2"/>
              </w:rPr>
              <w:t>备</w:t>
            </w:r>
            <w:r>
              <w:rPr>
                <w:rFonts w:hint="eastAsia" w:hAnsi="Times New Roman" w:eastAsia="宋体"/>
                <w:b/>
                <w:bCs/>
                <w:kern w:val="2"/>
              </w:rPr>
              <w:tab/>
            </w:r>
            <w:r>
              <w:rPr>
                <w:rFonts w:hint="eastAsia" w:hAnsi="Times New Roman" w:eastAsia="宋体"/>
                <w:b/>
                <w:bCs/>
                <w:kern w:val="2"/>
              </w:rPr>
              <w:t>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6" w:type="pct"/>
            <w:vAlign w:val="center"/>
          </w:tcPr>
          <w:p>
            <w:pPr>
              <w:pStyle w:val="76"/>
              <w:keepNext w:val="0"/>
              <w:keepLines w:val="0"/>
              <w:suppressLineNumbers w:val="0"/>
              <w:spacing w:before="33" w:beforeAutospacing="0" w:after="33" w:afterAutospacing="0" w:line="320" w:lineRule="exact"/>
              <w:ind w:left="0" w:right="0"/>
              <w:rPr>
                <w:rFonts w:hint="eastAsia" w:hAnsi="Times New Roman" w:eastAsia="宋体"/>
                <w:kern w:val="2"/>
              </w:rPr>
            </w:pPr>
            <w:r>
              <w:rPr>
                <w:rFonts w:hint="eastAsia" w:hAnsi="Times New Roman" w:eastAsia="宋体"/>
                <w:kern w:val="2"/>
              </w:rPr>
              <w:t>燃爆事故</w:t>
            </w:r>
          </w:p>
        </w:tc>
        <w:tc>
          <w:tcPr>
            <w:tcW w:w="2464" w:type="pct"/>
            <w:vAlign w:val="center"/>
          </w:tcPr>
          <w:p>
            <w:pPr>
              <w:pStyle w:val="76"/>
              <w:keepNext w:val="0"/>
              <w:keepLines w:val="0"/>
              <w:suppressLineNumbers w:val="0"/>
              <w:spacing w:before="33" w:beforeAutospacing="0" w:after="33" w:afterAutospacing="0" w:line="320" w:lineRule="exact"/>
              <w:ind w:left="0" w:right="0" w:firstLine="210" w:firstLineChars="100"/>
              <w:jc w:val="left"/>
              <w:rPr>
                <w:rFonts w:hint="eastAsia" w:hAnsi="Times New Roman" w:eastAsia="宋体"/>
                <w:kern w:val="2"/>
              </w:rPr>
            </w:pPr>
            <w:r>
              <w:rPr>
                <w:rFonts w:hint="eastAsia" w:hAnsi="Times New Roman" w:eastAsia="宋体"/>
                <w:kern w:val="2"/>
              </w:rPr>
              <w:t>操作原因：未按相关规范进行操作。</w:t>
            </w:r>
          </w:p>
          <w:p>
            <w:pPr>
              <w:pStyle w:val="76"/>
              <w:keepNext w:val="0"/>
              <w:keepLines w:val="0"/>
              <w:suppressLineNumbers w:val="0"/>
              <w:spacing w:before="33" w:beforeAutospacing="0" w:after="33" w:afterAutospacing="0" w:line="320" w:lineRule="exact"/>
              <w:ind w:left="0" w:right="0" w:firstLine="210" w:firstLineChars="100"/>
              <w:jc w:val="left"/>
              <w:rPr>
                <w:rFonts w:hint="eastAsia" w:hAnsi="Times New Roman" w:eastAsia="宋体"/>
                <w:kern w:val="2"/>
              </w:rPr>
            </w:pPr>
            <w:r>
              <w:rPr>
                <w:rFonts w:hint="eastAsia" w:hAnsi="Times New Roman" w:eastAsia="宋体"/>
                <w:kern w:val="2"/>
              </w:rPr>
              <w:t>环境原因：操作中产生明火或火花引起炸药燃爆</w:t>
            </w:r>
          </w:p>
        </w:tc>
        <w:tc>
          <w:tcPr>
            <w:tcW w:w="1118" w:type="pct"/>
            <w:vAlign w:val="center"/>
          </w:tcPr>
          <w:p>
            <w:pPr>
              <w:pStyle w:val="76"/>
              <w:keepNext w:val="0"/>
              <w:keepLines w:val="0"/>
              <w:suppressLineNumbers w:val="0"/>
              <w:spacing w:before="33" w:beforeAutospacing="0" w:after="33" w:afterAutospacing="0" w:line="320" w:lineRule="exact"/>
              <w:ind w:left="0" w:right="0"/>
              <w:rPr>
                <w:rFonts w:hint="eastAsia" w:hAnsi="Times New Roman" w:eastAsia="宋体"/>
                <w:kern w:val="2"/>
              </w:rPr>
            </w:pPr>
            <w:r>
              <w:rPr>
                <w:rFonts w:hint="eastAsia" w:hAnsi="Times New Roman" w:eastAsia="宋体"/>
                <w:kern w:val="2"/>
              </w:rPr>
              <w:t>炸药库贮存、炸药运输、炸药使用。</w:t>
            </w:r>
          </w:p>
        </w:tc>
        <w:tc>
          <w:tcPr>
            <w:tcW w:w="752" w:type="pct"/>
            <w:vAlign w:val="center"/>
          </w:tcPr>
          <w:p>
            <w:pPr>
              <w:pStyle w:val="76"/>
              <w:keepNext w:val="0"/>
              <w:keepLines w:val="0"/>
              <w:suppressLineNumbers w:val="0"/>
              <w:spacing w:before="33" w:beforeAutospacing="0" w:after="33" w:afterAutospacing="0" w:line="320" w:lineRule="exact"/>
              <w:ind w:left="0" w:right="0"/>
              <w:rPr>
                <w:rFonts w:hint="eastAsia" w:hAnsi="Times New Roman" w:eastAsia="宋体"/>
                <w:kern w:val="2"/>
              </w:rPr>
            </w:pPr>
            <w:r>
              <w:rPr>
                <w:rFonts w:hint="eastAsia" w:hAnsi="Times New Roman" w:eastAsia="宋体"/>
                <w:kern w:val="2"/>
              </w:rPr>
              <w:t>影响大但发</w:t>
            </w:r>
          </w:p>
          <w:p>
            <w:pPr>
              <w:pStyle w:val="76"/>
              <w:keepNext w:val="0"/>
              <w:keepLines w:val="0"/>
              <w:suppressLineNumbers w:val="0"/>
              <w:spacing w:before="33" w:beforeAutospacing="0" w:after="33" w:afterAutospacing="0" w:line="320" w:lineRule="exact"/>
              <w:ind w:left="0" w:right="0"/>
              <w:rPr>
                <w:rFonts w:hint="eastAsia" w:hAnsi="Times New Roman" w:eastAsia="宋体"/>
                <w:kern w:val="2"/>
              </w:rPr>
            </w:pPr>
            <w:r>
              <w:rPr>
                <w:rFonts w:hint="eastAsia" w:hAnsi="Times New Roman" w:eastAsia="宋体"/>
                <w:kern w:val="2"/>
              </w:rPr>
              <w:t>生频率低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6" w:type="pct"/>
            <w:vAlign w:val="center"/>
          </w:tcPr>
          <w:p>
            <w:pPr>
              <w:pStyle w:val="76"/>
              <w:keepNext w:val="0"/>
              <w:keepLines w:val="0"/>
              <w:suppressLineNumbers w:val="0"/>
              <w:spacing w:before="33" w:beforeAutospacing="0" w:after="33" w:afterAutospacing="0" w:line="320" w:lineRule="exact"/>
              <w:ind w:left="0" w:right="0"/>
              <w:rPr>
                <w:rFonts w:hint="eastAsia" w:hAnsi="Times New Roman" w:eastAsia="宋体"/>
                <w:kern w:val="2"/>
              </w:rPr>
            </w:pPr>
            <w:r>
              <w:rPr>
                <w:rFonts w:hint="eastAsia" w:hAnsi="Times New Roman" w:eastAsia="宋体"/>
                <w:kern w:val="2"/>
              </w:rPr>
              <w:t>森林火灾事故</w:t>
            </w:r>
          </w:p>
        </w:tc>
        <w:tc>
          <w:tcPr>
            <w:tcW w:w="2464" w:type="pct"/>
            <w:vAlign w:val="center"/>
          </w:tcPr>
          <w:p>
            <w:pPr>
              <w:pStyle w:val="76"/>
              <w:keepNext w:val="0"/>
              <w:keepLines w:val="0"/>
              <w:suppressLineNumbers w:val="0"/>
              <w:spacing w:before="33" w:beforeAutospacing="0" w:after="33" w:afterAutospacing="0" w:line="320" w:lineRule="exact"/>
              <w:ind w:left="0" w:right="0" w:firstLine="210" w:firstLineChars="100"/>
              <w:jc w:val="left"/>
              <w:rPr>
                <w:rFonts w:hint="eastAsia" w:hAnsi="Times New Roman" w:eastAsia="宋体"/>
                <w:kern w:val="2"/>
              </w:rPr>
            </w:pPr>
            <w:r>
              <w:rPr>
                <w:rFonts w:hint="eastAsia" w:hAnsi="Times New Roman" w:eastAsia="宋体"/>
                <w:kern w:val="2"/>
              </w:rPr>
              <w:t>原因：由于炸药库爆炸，燃烧引起；操作中产生的明火或火花引起；工作人员缺乏相关警惕性，滥用明火引起</w:t>
            </w:r>
          </w:p>
        </w:tc>
        <w:tc>
          <w:tcPr>
            <w:tcW w:w="1118" w:type="pct"/>
            <w:vAlign w:val="center"/>
          </w:tcPr>
          <w:p>
            <w:pPr>
              <w:pStyle w:val="76"/>
              <w:keepNext w:val="0"/>
              <w:keepLines w:val="0"/>
              <w:suppressLineNumbers w:val="0"/>
              <w:spacing w:before="33" w:beforeAutospacing="0" w:after="33" w:afterAutospacing="0" w:line="320" w:lineRule="exact"/>
              <w:ind w:left="0" w:right="0"/>
              <w:rPr>
                <w:rFonts w:hint="eastAsia" w:hAnsi="Times New Roman" w:eastAsia="宋体"/>
                <w:kern w:val="2"/>
              </w:rPr>
            </w:pPr>
            <w:r>
              <w:rPr>
                <w:rFonts w:hint="eastAsia" w:hAnsi="Times New Roman" w:eastAsia="宋体"/>
                <w:kern w:val="2"/>
              </w:rPr>
              <w:t>炸药库周围、采矿工业场地周围</w:t>
            </w:r>
          </w:p>
        </w:tc>
        <w:tc>
          <w:tcPr>
            <w:tcW w:w="752" w:type="pct"/>
            <w:vAlign w:val="center"/>
          </w:tcPr>
          <w:p>
            <w:pPr>
              <w:pStyle w:val="76"/>
              <w:keepNext w:val="0"/>
              <w:keepLines w:val="0"/>
              <w:suppressLineNumbers w:val="0"/>
              <w:spacing w:before="33" w:beforeAutospacing="0" w:after="33" w:afterAutospacing="0" w:line="320" w:lineRule="exact"/>
              <w:ind w:left="0" w:right="0"/>
              <w:rPr>
                <w:rFonts w:hint="eastAsia" w:hAnsi="Times New Roman" w:eastAsia="宋体"/>
                <w:kern w:val="2"/>
              </w:rPr>
            </w:pPr>
            <w:r>
              <w:rPr>
                <w:rFonts w:hint="eastAsia" w:hAnsi="Times New Roman" w:eastAsia="宋体"/>
                <w:kern w:val="2"/>
              </w:rPr>
              <w:t>影响大但发</w:t>
            </w:r>
          </w:p>
          <w:p>
            <w:pPr>
              <w:pStyle w:val="76"/>
              <w:keepNext w:val="0"/>
              <w:keepLines w:val="0"/>
              <w:suppressLineNumbers w:val="0"/>
              <w:spacing w:before="33" w:beforeAutospacing="0" w:after="33" w:afterAutospacing="0" w:line="320" w:lineRule="exact"/>
              <w:ind w:left="0" w:right="0"/>
              <w:rPr>
                <w:rFonts w:hint="eastAsia" w:hAnsi="Times New Roman" w:eastAsia="宋体"/>
                <w:kern w:val="2"/>
              </w:rPr>
            </w:pPr>
            <w:r>
              <w:rPr>
                <w:rFonts w:hint="eastAsia" w:hAnsi="Times New Roman" w:eastAsia="宋体"/>
                <w:kern w:val="2"/>
              </w:rPr>
              <w:t>生频率低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6" w:type="pct"/>
            <w:vAlign w:val="center"/>
          </w:tcPr>
          <w:p>
            <w:pPr>
              <w:pStyle w:val="76"/>
              <w:keepNext w:val="0"/>
              <w:keepLines w:val="0"/>
              <w:suppressLineNumbers w:val="0"/>
              <w:spacing w:before="33" w:beforeAutospacing="0" w:after="33" w:afterAutospacing="0" w:line="320" w:lineRule="exact"/>
              <w:ind w:left="0" w:right="0"/>
              <w:rPr>
                <w:rFonts w:hint="eastAsia" w:hAnsi="Times New Roman" w:eastAsia="宋体"/>
                <w:kern w:val="2"/>
              </w:rPr>
            </w:pPr>
            <w:r>
              <w:rPr>
                <w:rFonts w:hint="eastAsia" w:hAnsi="Times New Roman" w:eastAsia="宋体"/>
                <w:kern w:val="2"/>
              </w:rPr>
              <w:t>冒顶片帮危害</w:t>
            </w:r>
          </w:p>
        </w:tc>
        <w:tc>
          <w:tcPr>
            <w:tcW w:w="2464" w:type="pct"/>
            <w:vAlign w:val="center"/>
          </w:tcPr>
          <w:p>
            <w:pPr>
              <w:pStyle w:val="76"/>
              <w:keepNext w:val="0"/>
              <w:keepLines w:val="0"/>
              <w:suppressLineNumbers w:val="0"/>
              <w:spacing w:before="33" w:beforeAutospacing="0" w:after="33" w:afterAutospacing="0" w:line="320" w:lineRule="exact"/>
              <w:ind w:left="0" w:right="0" w:firstLine="210" w:firstLineChars="100"/>
              <w:jc w:val="left"/>
              <w:rPr>
                <w:rFonts w:hint="eastAsia" w:hAnsi="Times New Roman" w:eastAsia="宋体"/>
                <w:kern w:val="2"/>
              </w:rPr>
            </w:pPr>
            <w:r>
              <w:rPr>
                <w:rFonts w:hint="eastAsia" w:hAnsi="Times New Roman" w:eastAsia="宋体"/>
                <w:kern w:val="2"/>
              </w:rPr>
              <w:t>采矿过程中，采场、巷道冒顶、片帮是采矿过程中容易发生的主要危害。采场结构不合理，采空区暴露面积过大，应保留的矿柱被破坏或被开采，顶板管理不善等都容易造成采场冒顶。</w:t>
            </w:r>
          </w:p>
        </w:tc>
        <w:tc>
          <w:tcPr>
            <w:tcW w:w="1118" w:type="pct"/>
            <w:vAlign w:val="center"/>
          </w:tcPr>
          <w:p>
            <w:pPr>
              <w:pStyle w:val="76"/>
              <w:keepNext w:val="0"/>
              <w:keepLines w:val="0"/>
              <w:suppressLineNumbers w:val="0"/>
              <w:spacing w:before="33" w:beforeAutospacing="0" w:after="33" w:afterAutospacing="0" w:line="320" w:lineRule="exact"/>
              <w:ind w:left="0" w:right="0"/>
              <w:rPr>
                <w:rFonts w:hint="eastAsia" w:hAnsi="Times New Roman" w:eastAsia="宋体"/>
                <w:kern w:val="2"/>
              </w:rPr>
            </w:pPr>
            <w:r>
              <w:rPr>
                <w:rFonts w:hint="eastAsia" w:hAnsi="Times New Roman" w:eastAsia="宋体"/>
                <w:kern w:val="2"/>
              </w:rPr>
              <w:t>采矿场</w:t>
            </w:r>
          </w:p>
        </w:tc>
        <w:tc>
          <w:tcPr>
            <w:tcW w:w="752" w:type="pct"/>
            <w:vAlign w:val="center"/>
          </w:tcPr>
          <w:p>
            <w:pPr>
              <w:pStyle w:val="76"/>
              <w:keepNext w:val="0"/>
              <w:keepLines w:val="0"/>
              <w:suppressLineNumbers w:val="0"/>
              <w:spacing w:before="33" w:beforeAutospacing="0" w:after="33" w:afterAutospacing="0" w:line="320" w:lineRule="exact"/>
              <w:ind w:left="0" w:right="0"/>
              <w:rPr>
                <w:rFonts w:hint="eastAsia" w:hAnsi="Times New Roman" w:eastAsia="宋体"/>
                <w:kern w:val="2"/>
              </w:rPr>
            </w:pPr>
            <w:r>
              <w:rPr>
                <w:rFonts w:hint="eastAsia" w:hAnsi="Times New Roman" w:eastAsia="宋体"/>
                <w:kern w:val="2"/>
              </w:rPr>
              <w:t>发生频率较</w:t>
            </w:r>
          </w:p>
          <w:p>
            <w:pPr>
              <w:pStyle w:val="76"/>
              <w:keepNext w:val="0"/>
              <w:keepLines w:val="0"/>
              <w:suppressLineNumbers w:val="0"/>
              <w:spacing w:before="33" w:beforeAutospacing="0" w:after="33" w:afterAutospacing="0" w:line="320" w:lineRule="exact"/>
              <w:ind w:left="0" w:right="0"/>
              <w:rPr>
                <w:rFonts w:hint="eastAsia" w:hAnsi="Times New Roman" w:eastAsia="宋体"/>
                <w:kern w:val="2"/>
              </w:rPr>
            </w:pPr>
            <w:r>
              <w:rPr>
                <w:rFonts w:hint="eastAsia" w:hAnsi="Times New Roman" w:eastAsia="宋体"/>
                <w:kern w:val="2"/>
              </w:rPr>
              <w:t>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6" w:type="pct"/>
            <w:vAlign w:val="center"/>
          </w:tcPr>
          <w:p>
            <w:pPr>
              <w:pStyle w:val="76"/>
              <w:keepNext w:val="0"/>
              <w:keepLines w:val="0"/>
              <w:suppressLineNumbers w:val="0"/>
              <w:spacing w:before="33" w:beforeAutospacing="0" w:after="33" w:afterAutospacing="0" w:line="320" w:lineRule="exact"/>
              <w:ind w:left="0" w:right="0"/>
              <w:rPr>
                <w:rFonts w:hint="eastAsia" w:hAnsi="Times New Roman" w:eastAsia="宋体"/>
                <w:kern w:val="2"/>
              </w:rPr>
            </w:pPr>
            <w:r>
              <w:rPr>
                <w:rFonts w:hint="eastAsia" w:hAnsi="Times New Roman" w:eastAsia="宋体"/>
                <w:kern w:val="2"/>
              </w:rPr>
              <w:t>透水危害</w:t>
            </w:r>
          </w:p>
        </w:tc>
        <w:tc>
          <w:tcPr>
            <w:tcW w:w="2464" w:type="pct"/>
            <w:vAlign w:val="center"/>
          </w:tcPr>
          <w:p>
            <w:pPr>
              <w:pStyle w:val="76"/>
              <w:keepNext w:val="0"/>
              <w:keepLines w:val="0"/>
              <w:suppressLineNumbers w:val="0"/>
              <w:spacing w:before="33" w:beforeAutospacing="0" w:after="33" w:afterAutospacing="0" w:line="320" w:lineRule="exact"/>
              <w:ind w:left="0" w:right="0" w:firstLine="210" w:firstLineChars="100"/>
              <w:jc w:val="left"/>
              <w:rPr>
                <w:rFonts w:hint="eastAsia" w:hAnsi="Times New Roman" w:eastAsia="宋体"/>
                <w:kern w:val="2"/>
              </w:rPr>
            </w:pPr>
            <w:r>
              <w:rPr>
                <w:rFonts w:hint="eastAsia" w:hAnsi="Times New Roman" w:eastAsia="宋体"/>
                <w:kern w:val="2"/>
              </w:rPr>
              <w:t>开采范围内矿体岩溶含水层，岩溶洞穴分布极不均匀，并且可能储存有洞穴水，揭露时可能会发生突水事故；在暴雨季节也可能会导致地表水沿地表塌陷的裂隙泻入坑下造成淹井事故发生。</w:t>
            </w:r>
          </w:p>
        </w:tc>
        <w:tc>
          <w:tcPr>
            <w:tcW w:w="1118" w:type="pct"/>
            <w:vAlign w:val="center"/>
          </w:tcPr>
          <w:p>
            <w:pPr>
              <w:pStyle w:val="76"/>
              <w:keepNext w:val="0"/>
              <w:keepLines w:val="0"/>
              <w:suppressLineNumbers w:val="0"/>
              <w:spacing w:before="33" w:beforeAutospacing="0" w:after="33" w:afterAutospacing="0" w:line="320" w:lineRule="exact"/>
              <w:ind w:left="0" w:right="0"/>
              <w:rPr>
                <w:rFonts w:hint="eastAsia" w:hAnsi="Times New Roman" w:eastAsia="宋体"/>
                <w:kern w:val="2"/>
              </w:rPr>
            </w:pPr>
            <w:r>
              <w:rPr>
                <w:rFonts w:hint="eastAsia" w:hAnsi="Times New Roman" w:eastAsia="宋体"/>
                <w:kern w:val="2"/>
              </w:rPr>
              <w:t>采矿场</w:t>
            </w:r>
          </w:p>
        </w:tc>
        <w:tc>
          <w:tcPr>
            <w:tcW w:w="752" w:type="pct"/>
            <w:vAlign w:val="center"/>
          </w:tcPr>
          <w:p>
            <w:pPr>
              <w:pStyle w:val="76"/>
              <w:keepNext w:val="0"/>
              <w:keepLines w:val="0"/>
              <w:suppressLineNumbers w:val="0"/>
              <w:spacing w:before="33" w:beforeAutospacing="0" w:after="33" w:afterAutospacing="0" w:line="320" w:lineRule="exact"/>
              <w:ind w:left="0" w:right="0"/>
              <w:rPr>
                <w:rFonts w:hint="eastAsia" w:hAnsi="Times New Roman" w:eastAsia="宋体"/>
                <w:kern w:val="2"/>
              </w:rPr>
            </w:pPr>
            <w:r>
              <w:rPr>
                <w:rFonts w:hint="eastAsia" w:hAnsi="Times New Roman" w:eastAsia="宋体"/>
                <w:kern w:val="2"/>
              </w:rPr>
              <w:t>发生频率较</w:t>
            </w:r>
          </w:p>
          <w:p>
            <w:pPr>
              <w:pStyle w:val="76"/>
              <w:keepNext w:val="0"/>
              <w:keepLines w:val="0"/>
              <w:suppressLineNumbers w:val="0"/>
              <w:spacing w:before="33" w:beforeAutospacing="0" w:after="33" w:afterAutospacing="0" w:line="320" w:lineRule="exact"/>
              <w:ind w:left="0" w:right="0"/>
              <w:rPr>
                <w:rFonts w:hint="eastAsia" w:hAnsi="Times New Roman" w:eastAsia="宋体"/>
                <w:kern w:val="2"/>
              </w:rPr>
            </w:pPr>
            <w:r>
              <w:rPr>
                <w:rFonts w:hint="eastAsia" w:hAnsi="Times New Roman" w:eastAsia="宋体"/>
                <w:kern w:val="2"/>
              </w:rPr>
              <w:t>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6" w:type="pct"/>
            <w:vAlign w:val="center"/>
          </w:tcPr>
          <w:p>
            <w:pPr>
              <w:pStyle w:val="76"/>
              <w:keepNext w:val="0"/>
              <w:keepLines w:val="0"/>
              <w:suppressLineNumbers w:val="0"/>
              <w:spacing w:before="33" w:beforeAutospacing="0" w:after="33" w:afterAutospacing="0" w:line="320" w:lineRule="exact"/>
              <w:ind w:left="0" w:right="0"/>
              <w:rPr>
                <w:rFonts w:hint="eastAsia" w:hAnsi="Times New Roman" w:eastAsia="宋体"/>
                <w:kern w:val="2"/>
              </w:rPr>
            </w:pPr>
            <w:r>
              <w:rPr>
                <w:rFonts w:hint="eastAsia" w:hAnsi="Times New Roman" w:eastAsia="宋体"/>
                <w:kern w:val="2"/>
              </w:rPr>
              <w:t>采空区塌陷</w:t>
            </w:r>
          </w:p>
        </w:tc>
        <w:tc>
          <w:tcPr>
            <w:tcW w:w="2464" w:type="pct"/>
            <w:vAlign w:val="center"/>
          </w:tcPr>
          <w:p>
            <w:pPr>
              <w:pStyle w:val="76"/>
              <w:keepNext w:val="0"/>
              <w:keepLines w:val="0"/>
              <w:suppressLineNumbers w:val="0"/>
              <w:spacing w:before="33" w:beforeAutospacing="0" w:after="33" w:afterAutospacing="0" w:line="320" w:lineRule="exact"/>
              <w:ind w:left="0" w:right="0" w:firstLine="210" w:firstLineChars="100"/>
              <w:jc w:val="left"/>
              <w:rPr>
                <w:rFonts w:hint="eastAsia" w:hAnsi="Times New Roman" w:eastAsia="宋体"/>
                <w:kern w:val="2"/>
              </w:rPr>
            </w:pPr>
            <w:r>
              <w:rPr>
                <w:rFonts w:hint="eastAsia" w:hAnsi="Times New Roman" w:eastAsia="宋体"/>
                <w:kern w:val="2"/>
              </w:rPr>
              <w:t>矿山开采形成采空区，在其影响范围内将产生地面塌陷、地表裂缝、滑坡的地质灾害风险，且危害性大；而采空塌陷影响到老窑采区，将加剧采空区变形， 产生地陷、地裂缝、滑坡等地质灾害风险。</w:t>
            </w:r>
          </w:p>
        </w:tc>
        <w:tc>
          <w:tcPr>
            <w:tcW w:w="1118" w:type="pct"/>
            <w:vAlign w:val="center"/>
          </w:tcPr>
          <w:p>
            <w:pPr>
              <w:pStyle w:val="76"/>
              <w:keepNext w:val="0"/>
              <w:keepLines w:val="0"/>
              <w:suppressLineNumbers w:val="0"/>
              <w:spacing w:before="33" w:beforeAutospacing="0" w:after="33" w:afterAutospacing="0" w:line="320" w:lineRule="exact"/>
              <w:ind w:left="0" w:right="0"/>
              <w:rPr>
                <w:rFonts w:hint="eastAsia" w:hAnsi="Times New Roman" w:eastAsia="宋体"/>
                <w:kern w:val="2"/>
              </w:rPr>
            </w:pPr>
            <w:r>
              <w:rPr>
                <w:rFonts w:hint="eastAsia" w:hAnsi="Times New Roman" w:eastAsia="宋体"/>
                <w:kern w:val="2"/>
              </w:rPr>
              <w:t>采矿范围</w:t>
            </w:r>
          </w:p>
        </w:tc>
        <w:tc>
          <w:tcPr>
            <w:tcW w:w="752" w:type="pct"/>
            <w:vAlign w:val="center"/>
          </w:tcPr>
          <w:p>
            <w:pPr>
              <w:pStyle w:val="76"/>
              <w:keepNext w:val="0"/>
              <w:keepLines w:val="0"/>
              <w:suppressLineNumbers w:val="0"/>
              <w:spacing w:before="33" w:beforeAutospacing="0" w:after="33" w:afterAutospacing="0" w:line="320" w:lineRule="exact"/>
              <w:ind w:left="0" w:right="0"/>
              <w:rPr>
                <w:rFonts w:hint="eastAsia" w:hAnsi="Times New Roman" w:eastAsia="宋体"/>
                <w:kern w:val="2"/>
              </w:rPr>
            </w:pPr>
            <w:r>
              <w:rPr>
                <w:rFonts w:hint="eastAsia" w:hAnsi="Times New Roman" w:eastAsia="宋体"/>
                <w:kern w:val="2"/>
              </w:rPr>
              <w:t>影响范围大，发生频率低</w:t>
            </w:r>
          </w:p>
        </w:tc>
      </w:tr>
    </w:tbl>
    <w:p>
      <w:pPr>
        <w:spacing w:line="360" w:lineRule="auto"/>
        <w:ind w:firstLine="480" w:firstLineChars="200"/>
        <w:rPr>
          <w:rFonts w:hAnsi="Times New Roman" w:eastAsia="宋体"/>
          <w:szCs w:val="22"/>
          <w:lang w:eastAsia="zh-CN"/>
        </w:rPr>
      </w:pPr>
      <w:r>
        <w:rPr>
          <w:rFonts w:hAnsi="Times New Roman" w:eastAsia="宋体"/>
          <w:szCs w:val="22"/>
          <w:lang w:eastAsia="zh-CN"/>
        </w:rPr>
        <w:t>综上分析可以看出，项目生产设施存在的风险主要为误操作，违反操作规程造成的炸药库爆炸、燃烧事故等。</w:t>
      </w:r>
    </w:p>
    <w:p>
      <w:pPr>
        <w:spacing w:line="360" w:lineRule="auto"/>
        <w:ind w:firstLine="482"/>
        <w:rPr>
          <w:rFonts w:hAnsi="Times New Roman" w:eastAsia="宋体"/>
          <w:b/>
          <w:bCs/>
          <w:szCs w:val="24"/>
          <w:lang w:eastAsia="zh-CN"/>
        </w:rPr>
      </w:pPr>
      <w:r>
        <w:rPr>
          <w:rFonts w:hAnsi="Times New Roman" w:eastAsia="宋体"/>
          <w:b/>
          <w:bCs/>
          <w:szCs w:val="24"/>
          <w:lang w:eastAsia="zh-CN"/>
        </w:rPr>
        <w:t>（5）储运系统风险识别</w:t>
      </w:r>
    </w:p>
    <w:p>
      <w:pPr>
        <w:spacing w:line="360" w:lineRule="auto"/>
        <w:ind w:firstLine="480" w:firstLineChars="200"/>
        <w:rPr>
          <w:rFonts w:hAnsi="Times New Roman" w:eastAsia="宋体"/>
          <w:szCs w:val="24"/>
        </w:rPr>
      </w:pPr>
      <w:r>
        <w:rPr>
          <w:rFonts w:hAnsi="Times New Roman" w:eastAsia="宋体"/>
          <w:szCs w:val="24"/>
        </w:rPr>
        <w:t>1）储存</w:t>
      </w:r>
    </w:p>
    <w:p>
      <w:pPr>
        <w:spacing w:line="360" w:lineRule="auto"/>
        <w:ind w:firstLine="480" w:firstLineChars="200"/>
        <w:rPr>
          <w:rFonts w:hAnsi="Times New Roman" w:eastAsia="宋体"/>
          <w:szCs w:val="24"/>
        </w:rPr>
      </w:pPr>
      <w:r>
        <w:rPr>
          <w:rFonts w:hAnsi="Times New Roman" w:eastAsia="宋体"/>
          <w:szCs w:val="24"/>
        </w:rPr>
        <w:t>本项目贮存的涉及风险物料主要为炸药，设置爆破器材库。在贮存过程中若不按规定要求贮存，设施不符合要求等有可能发生事故。</w:t>
      </w:r>
    </w:p>
    <w:p>
      <w:pPr>
        <w:spacing w:line="360" w:lineRule="auto"/>
        <w:ind w:firstLine="480" w:firstLineChars="200"/>
        <w:rPr>
          <w:rFonts w:hAnsi="Times New Roman" w:eastAsia="宋体"/>
          <w:szCs w:val="24"/>
        </w:rPr>
      </w:pPr>
      <w:r>
        <w:rPr>
          <w:rFonts w:hAnsi="Times New Roman" w:eastAsia="宋体"/>
          <w:szCs w:val="24"/>
        </w:rPr>
        <w:t>项目炸药采用独立场所库存，贮存过程中的风险主要是不按规定进行装卸、贮存设备不符合设计技术要求及设备损坏而引起的物料燃爆事故；可燃物质等物质接触引起燃烧事故。</w:t>
      </w:r>
    </w:p>
    <w:p>
      <w:pPr>
        <w:spacing w:line="360" w:lineRule="auto"/>
        <w:ind w:firstLine="480" w:firstLineChars="200"/>
        <w:rPr>
          <w:rFonts w:hAnsi="Times New Roman" w:eastAsia="宋体"/>
          <w:szCs w:val="24"/>
        </w:rPr>
      </w:pPr>
      <w:r>
        <w:rPr>
          <w:rFonts w:hAnsi="Times New Roman" w:eastAsia="宋体"/>
          <w:szCs w:val="24"/>
        </w:rPr>
        <w:t>2）运输</w:t>
      </w:r>
    </w:p>
    <w:p>
      <w:pPr>
        <w:spacing w:line="360" w:lineRule="auto"/>
        <w:ind w:firstLine="480" w:firstLineChars="200"/>
        <w:rPr>
          <w:rFonts w:hAnsi="Times New Roman" w:eastAsia="宋体"/>
          <w:szCs w:val="24"/>
        </w:rPr>
      </w:pPr>
      <w:r>
        <w:rPr>
          <w:rFonts w:hAnsi="Times New Roman" w:eastAsia="宋体"/>
          <w:szCs w:val="24"/>
        </w:rPr>
        <w:t>项目使用的原辅材料均由供货厂家直接送货到厂，并采用专门的危险品运输车辆运输。物料运输主要采用汽车公路运输，若厂内外道路、车辆管理、车辆状况、驾驶员素质以及装运设备条件等方面存在缺陷，可能引发车辆伤害事故，如翻车、撞车等造成车辆设施损坏，引发的物料泄漏，对水体、土壤等周围环境造成污染。</w:t>
      </w:r>
    </w:p>
    <w:p>
      <w:pPr>
        <w:spacing w:line="360" w:lineRule="auto"/>
        <w:ind w:firstLine="482"/>
        <w:rPr>
          <w:rFonts w:hAnsi="Times New Roman" w:eastAsia="宋体"/>
          <w:b/>
          <w:bCs/>
          <w:szCs w:val="24"/>
          <w:lang w:eastAsia="zh-CN"/>
        </w:rPr>
      </w:pPr>
      <w:r>
        <w:rPr>
          <w:rFonts w:hAnsi="Times New Roman" w:eastAsia="宋体"/>
          <w:b/>
          <w:bCs/>
          <w:szCs w:val="24"/>
          <w:lang w:eastAsia="zh-CN"/>
        </w:rPr>
        <w:t>（6）环保设施风险识别</w:t>
      </w:r>
    </w:p>
    <w:p>
      <w:pPr>
        <w:spacing w:line="360" w:lineRule="auto"/>
        <w:ind w:firstLine="480" w:firstLineChars="200"/>
        <w:rPr>
          <w:rFonts w:hAnsi="Times New Roman" w:eastAsia="宋体"/>
          <w:szCs w:val="24"/>
        </w:rPr>
      </w:pPr>
      <w:r>
        <w:rPr>
          <w:rFonts w:hAnsi="Times New Roman" w:eastAsia="宋体"/>
          <w:szCs w:val="24"/>
        </w:rPr>
        <w:t>本项目环保设施主要为生产废水、生活污水处理设施，当环保设施出现故障时，处理水质不能达标排放，从而造成下游水体的污染。</w:t>
      </w:r>
    </w:p>
    <w:p>
      <w:pPr>
        <w:spacing w:line="360" w:lineRule="auto"/>
        <w:ind w:firstLine="482"/>
        <w:rPr>
          <w:rFonts w:hAnsi="Times New Roman" w:eastAsia="宋体"/>
          <w:b/>
          <w:bCs/>
          <w:szCs w:val="24"/>
          <w:lang w:eastAsia="zh-CN"/>
        </w:rPr>
      </w:pPr>
      <w:r>
        <w:rPr>
          <w:rFonts w:hAnsi="Times New Roman" w:eastAsia="宋体"/>
          <w:b/>
          <w:bCs/>
          <w:szCs w:val="24"/>
          <w:lang w:eastAsia="zh-CN"/>
        </w:rPr>
        <w:t>（7）公用工程风险识别</w:t>
      </w:r>
    </w:p>
    <w:p>
      <w:pPr>
        <w:spacing w:line="360" w:lineRule="auto"/>
        <w:ind w:firstLine="480" w:firstLineChars="200"/>
        <w:rPr>
          <w:rFonts w:hAnsi="Times New Roman" w:eastAsia="宋体"/>
          <w:szCs w:val="24"/>
        </w:rPr>
      </w:pPr>
      <w:r>
        <w:rPr>
          <w:rFonts w:hAnsi="Times New Roman" w:eastAsia="宋体"/>
          <w:szCs w:val="24"/>
        </w:rPr>
        <w:t>当发生火灾时，项目给水设施发生故障，不能提供足量的消防用水，会使火灾事故无法控制、扩大。此外，被污染的消防水不能及时有效的收集、处理，大量排出厂外，将造成污染的二次事故。</w:t>
      </w:r>
    </w:p>
    <w:p>
      <w:pPr>
        <w:spacing w:line="360" w:lineRule="auto"/>
        <w:ind w:firstLine="480" w:firstLineChars="200"/>
        <w:rPr>
          <w:rFonts w:hAnsi="Times New Roman" w:eastAsia="宋体"/>
          <w:szCs w:val="24"/>
        </w:rPr>
      </w:pPr>
      <w:r>
        <w:rPr>
          <w:rFonts w:hAnsi="Times New Roman" w:eastAsia="宋体"/>
          <w:szCs w:val="24"/>
        </w:rPr>
        <w:t>电器设备若不按规程操作或设备本身质量问题，规格不符合要求，易引起触电伤害事故，甚至引发二次事故，造成中毒、燃烧、爆炸事故发生。</w:t>
      </w:r>
    </w:p>
    <w:p>
      <w:pPr>
        <w:spacing w:line="360" w:lineRule="auto"/>
        <w:ind w:firstLine="482"/>
        <w:rPr>
          <w:rFonts w:hAnsi="Times New Roman" w:eastAsia="宋体"/>
          <w:b/>
          <w:bCs/>
          <w:szCs w:val="24"/>
          <w:lang w:eastAsia="zh-CN"/>
        </w:rPr>
      </w:pPr>
      <w:r>
        <w:rPr>
          <w:rFonts w:hAnsi="Times New Roman" w:eastAsia="宋体"/>
          <w:b/>
          <w:bCs/>
          <w:szCs w:val="24"/>
          <w:lang w:eastAsia="zh-CN"/>
        </w:rPr>
        <w:t>（8）排矸场溃坝风险识别</w:t>
      </w:r>
    </w:p>
    <w:p>
      <w:pPr>
        <w:pStyle w:val="14"/>
        <w:overflowPunct w:val="0"/>
        <w:spacing w:line="360" w:lineRule="auto"/>
        <w:ind w:right="104" w:firstLine="480"/>
        <w:rPr>
          <w:rFonts w:ascii="Times New Roman" w:hAnsi="Times New Roman"/>
          <w:sz w:val="24"/>
        </w:rPr>
      </w:pPr>
      <w:r>
        <w:rPr>
          <w:rFonts w:ascii="Times New Roman" w:hAnsi="Times New Roman"/>
          <w:spacing w:val="-2"/>
          <w:sz w:val="24"/>
        </w:rPr>
        <w:t>该临时矸石场位于工业场地内，占地性质为荒地，目前临时</w:t>
      </w:r>
      <w:r>
        <w:rPr>
          <w:rFonts w:ascii="Times New Roman" w:hAnsi="Times New Roman"/>
          <w:spacing w:val="2"/>
          <w:sz w:val="24"/>
        </w:rPr>
        <w:t>矸石场内矸石堆存量小，已基本外运综合利用，且本矿的煤矸石全部外运至砖厂制砖，白矸石用于回填矿区采空区，是有保障和可行的。该矸石场占地不涉及基本农田，矸石场地势平坦，本矿地处山区，矿区范围内存在零散住户，不涉及溶洞、滑</w:t>
      </w:r>
      <w:r>
        <w:rPr>
          <w:rFonts w:ascii="Times New Roman" w:hAnsi="Times New Roman"/>
          <w:spacing w:val="28"/>
          <w:sz w:val="24"/>
        </w:rPr>
        <w:t xml:space="preserve"> </w:t>
      </w:r>
      <w:r>
        <w:rPr>
          <w:rFonts w:ascii="Times New Roman" w:hAnsi="Times New Roman"/>
          <w:spacing w:val="-1"/>
          <w:sz w:val="24"/>
        </w:rPr>
        <w:t>坡、断层等不良地质现象；根据地质资料和现场踏勘，矸石场出露岩石承载力较强，</w:t>
      </w:r>
      <w:r>
        <w:rPr>
          <w:rFonts w:ascii="Times New Roman" w:hAnsi="Times New Roman"/>
          <w:spacing w:val="2"/>
          <w:sz w:val="24"/>
        </w:rPr>
        <w:t>防渗性能较好。矸石场不涉及地下水补给区和饮用水源含水层</w:t>
      </w:r>
      <w:r>
        <w:rPr>
          <w:rFonts w:ascii="Times New Roman" w:hAnsi="Times New Roman"/>
          <w:sz w:val="24"/>
        </w:rPr>
        <w:t>。</w:t>
      </w:r>
    </w:p>
    <w:p>
      <w:pPr>
        <w:pStyle w:val="14"/>
        <w:overflowPunct w:val="0"/>
        <w:spacing w:line="360" w:lineRule="auto"/>
        <w:ind w:right="104" w:firstLine="480"/>
        <w:rPr>
          <w:rFonts w:ascii="Times New Roman" w:hAnsi="Times New Roman"/>
          <w:sz w:val="24"/>
        </w:rPr>
      </w:pPr>
      <w:r>
        <w:rPr>
          <w:rFonts w:ascii="Times New Roman" w:hAnsi="Times New Roman"/>
          <w:spacing w:val="2"/>
          <w:sz w:val="24"/>
        </w:rPr>
        <w:t>根据矸石场周边环境特征，本矿的矸石场属于临时矸石场，不存在大的环境风</w:t>
      </w:r>
      <w:r>
        <w:rPr>
          <w:rFonts w:ascii="Times New Roman" w:hAnsi="Times New Roman"/>
          <w:spacing w:val="28"/>
          <w:sz w:val="24"/>
        </w:rPr>
        <w:t xml:space="preserve"> </w:t>
      </w:r>
      <w:r>
        <w:rPr>
          <w:rFonts w:ascii="Times New Roman" w:hAnsi="Times New Roman"/>
          <w:sz w:val="24"/>
        </w:rPr>
        <w:t>险。</w:t>
      </w:r>
    </w:p>
    <w:p>
      <w:pPr>
        <w:spacing w:line="360" w:lineRule="auto"/>
        <w:ind w:firstLine="482"/>
        <w:rPr>
          <w:rFonts w:hAnsi="Times New Roman" w:eastAsia="宋体"/>
          <w:b/>
          <w:bCs/>
          <w:szCs w:val="24"/>
          <w:lang w:eastAsia="zh-CN"/>
        </w:rPr>
      </w:pPr>
      <w:r>
        <w:rPr>
          <w:rFonts w:hAnsi="Times New Roman" w:eastAsia="宋体"/>
          <w:b/>
          <w:bCs/>
          <w:szCs w:val="24"/>
          <w:lang w:eastAsia="zh-CN"/>
        </w:rPr>
        <w:t xml:space="preserve">（9）排矸场自燃风险识别 </w:t>
      </w:r>
    </w:p>
    <w:p>
      <w:pPr>
        <w:pStyle w:val="14"/>
        <w:overflowPunct w:val="0"/>
        <w:spacing w:line="360" w:lineRule="auto"/>
        <w:ind w:right="104" w:firstLine="480"/>
        <w:rPr>
          <w:rFonts w:ascii="Times New Roman" w:hAnsi="Times New Roman"/>
          <w:spacing w:val="-1"/>
          <w:sz w:val="24"/>
        </w:rPr>
      </w:pPr>
      <w:r>
        <w:rPr>
          <w:rFonts w:ascii="Times New Roman" w:hAnsi="Times New Roman"/>
          <w:spacing w:val="-1"/>
          <w:sz w:val="24"/>
        </w:rPr>
        <w:t>据调查，凡自燃矸石的煤中都有零星分布的硫铁矿，且其含量多在 3%以上。根据硫和氧的反应，在煤矸石的硫含量为 2%时，不考虑矸石比热容完全氧化放出的热，可以使煤的温度上升120</w:t>
      </w:r>
      <w:r>
        <w:rPr>
          <w:rFonts w:ascii="Times New Roman" w:hAnsi="Times New Roman"/>
          <w:spacing w:val="-1"/>
          <w:sz w:val="24"/>
          <w:lang w:eastAsia="zh-CN"/>
        </w:rPr>
        <w:t>℃，</w:t>
      </w:r>
      <w:r>
        <w:rPr>
          <w:rFonts w:ascii="Times New Roman" w:hAnsi="Times New Roman"/>
          <w:spacing w:val="-1"/>
          <w:sz w:val="24"/>
        </w:rPr>
        <w:t>因而在硫铁矿集中的位置，硫的氧化放热升温容易引起煤矸石自燃。引起煤矸石自燃的另外一些因素，如水分含量、空隙度、含碳可燃物质等，水分和温度可提高矸石的氧化活性；孔隙率、粒径、气体压力和颗粒形状，影响空气渗入矸石山，残煤、高炭质页岩为矸石山自燃提供燃烧物质。本矿煤矸石的硫</w:t>
      </w:r>
      <w:r>
        <w:rPr>
          <w:rFonts w:hint="eastAsia" w:ascii="Times New Roman" w:hAnsi="Times New Roman"/>
          <w:spacing w:val="-1"/>
          <w:sz w:val="24"/>
          <w:lang w:eastAsia="zh-CN"/>
        </w:rPr>
        <w:t>含量</w:t>
      </w:r>
      <w:r>
        <w:rPr>
          <w:rFonts w:ascii="Times New Roman" w:hAnsi="Times New Roman"/>
          <w:spacing w:val="-1"/>
          <w:sz w:val="24"/>
        </w:rPr>
        <w:t>低于2%，且本矿历年开采以来矸石未发生自然现象，评价认为矿井排放的煤矸石堆放基本不可能发生自燃。</w:t>
      </w:r>
    </w:p>
    <w:p>
      <w:pPr>
        <w:pStyle w:val="6"/>
        <w:rPr>
          <w:szCs w:val="24"/>
        </w:rPr>
      </w:pPr>
      <w:bookmarkStart w:id="811" w:name="_Toc163812764"/>
      <w:bookmarkStart w:id="812" w:name="_Toc167095389"/>
      <w:r>
        <w:rPr>
          <w:szCs w:val="24"/>
        </w:rPr>
        <w:t>1</w:t>
      </w:r>
      <w:r>
        <w:rPr>
          <w:szCs w:val="24"/>
          <w:lang w:eastAsia="zh-CN"/>
        </w:rPr>
        <w:t>5</w:t>
      </w:r>
      <w:r>
        <w:rPr>
          <w:szCs w:val="24"/>
        </w:rPr>
        <w:t>.1.2 环境敏感目标调查</w:t>
      </w:r>
      <w:bookmarkEnd w:id="811"/>
      <w:bookmarkEnd w:id="812"/>
    </w:p>
    <w:p>
      <w:pPr>
        <w:spacing w:line="360" w:lineRule="auto"/>
        <w:ind w:firstLine="480" w:firstLineChars="200"/>
        <w:rPr>
          <w:rFonts w:hAnsi="Times New Roman" w:eastAsia="宋体"/>
          <w:szCs w:val="24"/>
        </w:rPr>
      </w:pPr>
      <w:r>
        <w:rPr>
          <w:rFonts w:hAnsi="Times New Roman" w:eastAsia="宋体"/>
          <w:szCs w:val="24"/>
        </w:rPr>
        <w:t>项目周边环境风险敏感目标情况见环境保护目标一览表。</w:t>
      </w:r>
    </w:p>
    <w:p>
      <w:pPr>
        <w:pStyle w:val="5"/>
        <w:rPr>
          <w:rFonts w:ascii="Times New Roman" w:hAnsi="Times New Roman"/>
          <w:szCs w:val="22"/>
          <w:lang w:eastAsia="zh-CN"/>
        </w:rPr>
      </w:pPr>
      <w:bookmarkStart w:id="813" w:name="_Toc163749236"/>
      <w:bookmarkStart w:id="814" w:name="_Toc6753"/>
      <w:bookmarkStart w:id="815" w:name="_Toc91420918"/>
      <w:bookmarkStart w:id="816" w:name="_Toc167095390"/>
      <w:bookmarkStart w:id="817" w:name="_Toc91231695"/>
      <w:r>
        <w:rPr>
          <w:rFonts w:ascii="Times New Roman" w:hAnsi="Times New Roman"/>
          <w:szCs w:val="22"/>
          <w:lang w:eastAsia="zh-CN"/>
        </w:rPr>
        <w:t>15.2 环境风险潜势及评价等级的确定</w:t>
      </w:r>
      <w:bookmarkEnd w:id="813"/>
      <w:bookmarkEnd w:id="814"/>
      <w:bookmarkEnd w:id="815"/>
      <w:bookmarkEnd w:id="816"/>
      <w:bookmarkEnd w:id="817"/>
    </w:p>
    <w:p>
      <w:pPr>
        <w:autoSpaceDE w:val="0"/>
        <w:autoSpaceDN w:val="0"/>
        <w:spacing w:line="360" w:lineRule="auto"/>
        <w:ind w:firstLine="480"/>
        <w:rPr>
          <w:rFonts w:hAnsi="Times New Roman" w:eastAsia="宋体"/>
          <w:szCs w:val="24"/>
        </w:rPr>
      </w:pPr>
      <w:r>
        <w:rPr>
          <w:rFonts w:hAnsi="Times New Roman" w:eastAsia="宋体"/>
          <w:szCs w:val="24"/>
        </w:rPr>
        <w:t>按照《建设项目环境风险评价技术导则》</w:t>
      </w:r>
      <w:r>
        <w:rPr>
          <w:rFonts w:hint="eastAsia" w:hAnsi="Times New Roman" w:eastAsia="宋体"/>
          <w:szCs w:val="24"/>
          <w:lang w:eastAsia="zh-CN"/>
        </w:rPr>
        <w:t>（</w:t>
      </w:r>
      <w:r>
        <w:rPr>
          <w:rFonts w:hAnsi="Times New Roman" w:eastAsia="宋体"/>
          <w:szCs w:val="24"/>
        </w:rPr>
        <w:t>HJ/T169-2018</w:t>
      </w:r>
      <w:r>
        <w:rPr>
          <w:rFonts w:hint="eastAsia" w:hAnsi="Times New Roman" w:eastAsia="宋体"/>
          <w:szCs w:val="24"/>
          <w:lang w:eastAsia="zh-CN"/>
        </w:rPr>
        <w:t>）</w:t>
      </w:r>
      <w:r>
        <w:rPr>
          <w:rFonts w:hAnsi="Times New Roman" w:eastAsia="宋体"/>
          <w:szCs w:val="24"/>
        </w:rPr>
        <w:t>中的有关规定，本项目环境风险评价等级判断依据如下所示。</w:t>
      </w:r>
    </w:p>
    <w:p>
      <w:pPr>
        <w:pStyle w:val="14"/>
        <w:kinsoku w:val="0"/>
        <w:overflowPunct w:val="0"/>
        <w:spacing w:line="360" w:lineRule="auto"/>
        <w:jc w:val="center"/>
        <w:rPr>
          <w:rFonts w:ascii="Times New Roman" w:hAnsi="Times New Roman"/>
          <w:b/>
          <w:sz w:val="21"/>
          <w:szCs w:val="21"/>
        </w:rPr>
      </w:pPr>
      <w:r>
        <w:rPr>
          <w:rFonts w:ascii="Times New Roman" w:hAnsi="Times New Roman"/>
          <w:b/>
          <w:sz w:val="21"/>
          <w:szCs w:val="21"/>
        </w:rPr>
        <w:t>表15.2-1 评价工作级别分类</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91"/>
        <w:gridCol w:w="1859"/>
        <w:gridCol w:w="2070"/>
        <w:gridCol w:w="1861"/>
        <w:gridCol w:w="18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905" w:type="pct"/>
            <w:vAlign w:val="center"/>
          </w:tcPr>
          <w:p>
            <w:pPr>
              <w:keepNext w:val="0"/>
              <w:keepLines w:val="0"/>
              <w:suppressLineNumbers w:val="0"/>
              <w:spacing w:before="0" w:beforeAutospacing="0" w:after="0" w:afterAutospacing="0"/>
              <w:ind w:left="0" w:right="0"/>
              <w:jc w:val="center"/>
              <w:rPr>
                <w:rFonts w:hint="eastAsia" w:hAnsi="Times New Roman" w:eastAsia="宋体"/>
                <w:b/>
                <w:kern w:val="2"/>
                <w:sz w:val="21"/>
                <w:szCs w:val="21"/>
              </w:rPr>
            </w:pPr>
            <w:bookmarkStart w:id="818" w:name="_Hlk85125259"/>
            <w:r>
              <w:rPr>
                <w:rFonts w:hint="eastAsia" w:hAnsi="Times New Roman" w:eastAsia="宋体"/>
                <w:b/>
                <w:kern w:val="2"/>
                <w:sz w:val="21"/>
                <w:szCs w:val="21"/>
              </w:rPr>
              <w:t>环境风险潜势</w:t>
            </w:r>
            <w:bookmarkEnd w:id="818"/>
          </w:p>
        </w:tc>
        <w:tc>
          <w:tcPr>
            <w:tcW w:w="995" w:type="pct"/>
            <w:vAlign w:val="center"/>
          </w:tcPr>
          <w:p>
            <w:pPr>
              <w:keepNext w:val="0"/>
              <w:keepLines w:val="0"/>
              <w:suppressLineNumbers w:val="0"/>
              <w:spacing w:before="0" w:beforeAutospacing="0" w:after="0" w:afterAutospacing="0"/>
              <w:ind w:left="0" w:right="0"/>
              <w:jc w:val="center"/>
              <w:rPr>
                <w:rFonts w:hint="eastAsia" w:hAnsi="Times New Roman" w:eastAsia="宋体"/>
                <w:b/>
                <w:kern w:val="2"/>
                <w:sz w:val="21"/>
                <w:szCs w:val="21"/>
                <w:vertAlign w:val="superscript"/>
              </w:rPr>
            </w:pPr>
            <w:r>
              <w:rPr>
                <w:rFonts w:hint="eastAsia" w:hAnsi="Times New Roman" w:eastAsia="宋体"/>
                <w:b/>
                <w:kern w:val="2"/>
                <w:sz w:val="21"/>
                <w:szCs w:val="21"/>
              </w:rPr>
              <w:t>Ⅳ、Ⅳ</w:t>
            </w:r>
            <w:r>
              <w:rPr>
                <w:rFonts w:hint="eastAsia" w:hAnsi="Times New Roman" w:eastAsia="宋体"/>
                <w:b/>
                <w:kern w:val="2"/>
                <w:sz w:val="21"/>
                <w:szCs w:val="21"/>
                <w:vertAlign w:val="superscript"/>
              </w:rPr>
              <w:t>+</w:t>
            </w:r>
          </w:p>
        </w:tc>
        <w:tc>
          <w:tcPr>
            <w:tcW w:w="1108" w:type="pct"/>
            <w:vAlign w:val="center"/>
          </w:tcPr>
          <w:p>
            <w:pPr>
              <w:keepNext w:val="0"/>
              <w:keepLines w:val="0"/>
              <w:suppressLineNumbers w:val="0"/>
              <w:spacing w:before="0" w:beforeAutospacing="0" w:after="0" w:afterAutospacing="0"/>
              <w:ind w:left="0" w:right="0"/>
              <w:jc w:val="center"/>
              <w:rPr>
                <w:rFonts w:hint="eastAsia" w:hAnsi="Times New Roman" w:eastAsia="宋体"/>
                <w:b/>
                <w:kern w:val="2"/>
                <w:sz w:val="21"/>
                <w:szCs w:val="21"/>
              </w:rPr>
            </w:pPr>
            <w:r>
              <w:rPr>
                <w:rFonts w:hint="eastAsia" w:hAnsi="Times New Roman" w:eastAsia="宋体"/>
                <w:b/>
                <w:kern w:val="2"/>
                <w:sz w:val="21"/>
                <w:szCs w:val="21"/>
              </w:rPr>
              <w:t>Ⅲ</w:t>
            </w:r>
          </w:p>
        </w:tc>
        <w:tc>
          <w:tcPr>
            <w:tcW w:w="996" w:type="pct"/>
            <w:vAlign w:val="center"/>
          </w:tcPr>
          <w:p>
            <w:pPr>
              <w:keepNext w:val="0"/>
              <w:keepLines w:val="0"/>
              <w:suppressLineNumbers w:val="0"/>
              <w:spacing w:before="0" w:beforeAutospacing="0" w:after="0" w:afterAutospacing="0"/>
              <w:ind w:left="0" w:right="0"/>
              <w:jc w:val="center"/>
              <w:rPr>
                <w:rFonts w:hint="eastAsia" w:hAnsi="Times New Roman" w:eastAsia="宋体"/>
                <w:b/>
                <w:kern w:val="2"/>
                <w:sz w:val="21"/>
                <w:szCs w:val="21"/>
              </w:rPr>
            </w:pPr>
            <w:r>
              <w:rPr>
                <w:rFonts w:hint="eastAsia" w:hAnsi="Times New Roman" w:eastAsia="宋体"/>
                <w:b/>
                <w:kern w:val="2"/>
                <w:sz w:val="21"/>
                <w:szCs w:val="21"/>
              </w:rPr>
              <w:t>Ⅱ</w:t>
            </w:r>
          </w:p>
        </w:tc>
        <w:tc>
          <w:tcPr>
            <w:tcW w:w="996" w:type="pct"/>
            <w:vAlign w:val="center"/>
          </w:tcPr>
          <w:p>
            <w:pPr>
              <w:keepNext w:val="0"/>
              <w:keepLines w:val="0"/>
              <w:suppressLineNumbers w:val="0"/>
              <w:spacing w:before="0" w:beforeAutospacing="0" w:after="0" w:afterAutospacing="0"/>
              <w:ind w:left="0" w:right="0"/>
              <w:jc w:val="center"/>
              <w:rPr>
                <w:rFonts w:hint="eastAsia" w:hAnsi="Times New Roman" w:eastAsia="宋体"/>
                <w:b/>
                <w:kern w:val="2"/>
                <w:sz w:val="21"/>
                <w:szCs w:val="21"/>
              </w:rPr>
            </w:pPr>
            <w:r>
              <w:rPr>
                <w:rFonts w:hint="eastAsia" w:hAnsi="Times New Roman" w:eastAsia="宋体"/>
                <w:b/>
                <w:kern w:val="2"/>
                <w:sz w:val="21"/>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90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评价工作等级</w:t>
            </w:r>
          </w:p>
        </w:tc>
        <w:tc>
          <w:tcPr>
            <w:tcW w:w="995"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一</w:t>
            </w:r>
          </w:p>
        </w:tc>
        <w:tc>
          <w:tcPr>
            <w:tcW w:w="1108"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二</w:t>
            </w:r>
          </w:p>
        </w:tc>
        <w:tc>
          <w:tcPr>
            <w:tcW w:w="996"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三</w:t>
            </w:r>
          </w:p>
        </w:tc>
        <w:tc>
          <w:tcPr>
            <w:tcW w:w="996"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简单分析</w:t>
            </w:r>
          </w:p>
        </w:tc>
      </w:tr>
    </w:tbl>
    <w:p>
      <w:pPr>
        <w:spacing w:line="360" w:lineRule="auto"/>
        <w:ind w:firstLine="480" w:firstLineChars="200"/>
        <w:rPr>
          <w:rFonts w:hAnsi="Times New Roman" w:eastAsia="宋体"/>
          <w:szCs w:val="22"/>
          <w:lang w:eastAsia="zh-CN"/>
        </w:rPr>
      </w:pPr>
      <w:r>
        <w:rPr>
          <w:rFonts w:hAnsi="Times New Roman" w:eastAsia="宋体"/>
          <w:szCs w:val="22"/>
          <w:lang w:eastAsia="zh-CN"/>
        </w:rPr>
        <w:t>建设项目环境风险潜势划分为Ⅰ、Ⅱ、Ⅲ、Ⅳ/Ⅳ+级，根据项目涉及的物质和工艺系统的危险性及其所在地的环境敏感程度，结合事故情形下环境影响途径，对建设项目潜在环境危害程度进行概化分析。其中计算项目所涉及的危险物质在厂界内最大存在量的总量与所对应的临界量的比值Q，以下列公式计算：</w:t>
      </w:r>
    </w:p>
    <w:p>
      <w:pPr>
        <w:pStyle w:val="5"/>
        <w:jc w:val="center"/>
        <w:rPr>
          <w:rFonts w:ascii="Times New Roman" w:hAnsi="Times New Roman"/>
          <w:lang w:eastAsia="zh-CN"/>
        </w:rPr>
      </w:pPr>
      <w:bookmarkStart w:id="819" w:name="_Toc8965"/>
      <w:bookmarkStart w:id="820" w:name="_Toc163749237"/>
      <w:bookmarkStart w:id="821" w:name="_Toc163812766"/>
      <w:bookmarkStart w:id="822" w:name="_Toc6949"/>
      <w:bookmarkStart w:id="823" w:name="_Toc167095391"/>
      <w:r>
        <w:rPr>
          <w:rFonts w:ascii="Times New Roman" w:hAnsi="Times New Roman"/>
          <w:szCs w:val="24"/>
        </w:rPr>
        <w:drawing>
          <wp:inline distT="0" distB="0" distL="114300" distR="114300">
            <wp:extent cx="1645920" cy="457200"/>
            <wp:effectExtent l="0" t="0" r="11430" b="0"/>
            <wp:docPr id="247"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45"/>
                    <pic:cNvPicPr>
                      <a:picLocks noChangeAspect="1"/>
                    </pic:cNvPicPr>
                  </pic:nvPicPr>
                  <pic:blipFill>
                    <a:blip r:embed="rId270"/>
                    <a:stretch>
                      <a:fillRect/>
                    </a:stretch>
                  </pic:blipFill>
                  <pic:spPr>
                    <a:xfrm>
                      <a:off x="0" y="0"/>
                      <a:ext cx="1645920" cy="457200"/>
                    </a:xfrm>
                    <a:prstGeom prst="rect">
                      <a:avLst/>
                    </a:prstGeom>
                    <a:noFill/>
                    <a:ln>
                      <a:noFill/>
                    </a:ln>
                  </pic:spPr>
                </pic:pic>
              </a:graphicData>
            </a:graphic>
          </wp:inline>
        </w:drawing>
      </w:r>
      <w:bookmarkEnd w:id="819"/>
      <w:bookmarkEnd w:id="820"/>
      <w:bookmarkEnd w:id="821"/>
      <w:bookmarkEnd w:id="822"/>
      <w:bookmarkEnd w:id="823"/>
    </w:p>
    <w:p>
      <w:pPr>
        <w:spacing w:line="360" w:lineRule="auto"/>
        <w:ind w:firstLine="480" w:firstLineChars="200"/>
        <w:rPr>
          <w:rFonts w:hAnsi="Times New Roman" w:eastAsia="宋体"/>
          <w:lang w:eastAsia="zh-CN"/>
        </w:rPr>
      </w:pPr>
      <w:r>
        <w:rPr>
          <w:rFonts w:hAnsi="Times New Roman" w:eastAsia="宋体"/>
          <w:lang w:eastAsia="zh-CN"/>
        </w:rPr>
        <w:t>式中：q1，q2....qn——每种危险物质的最大存在总量，t;</w:t>
      </w:r>
      <w:r>
        <w:rPr>
          <w:rFonts w:hAnsi="Times New Roman" w:eastAsia="宋体"/>
          <w:lang w:eastAsia="zh-CN"/>
        </w:rPr>
        <w:br w:type="textWrapping"/>
      </w:r>
      <w:r>
        <w:rPr>
          <w:rFonts w:hAnsi="Times New Roman" w:eastAsia="宋体"/>
          <w:lang w:eastAsia="zh-CN"/>
        </w:rPr>
        <w:t xml:space="preserve">          Q1，Q2，...Qn.——每种危险物质的临界量，t。</w:t>
      </w:r>
    </w:p>
    <w:p>
      <w:pPr>
        <w:spacing w:line="360" w:lineRule="auto"/>
        <w:ind w:firstLine="1200" w:firstLineChars="500"/>
        <w:rPr>
          <w:rFonts w:hAnsi="Times New Roman" w:eastAsia="宋体"/>
          <w:lang w:eastAsia="zh-CN"/>
        </w:rPr>
      </w:pPr>
      <w:r>
        <w:rPr>
          <w:rFonts w:hAnsi="Times New Roman" w:eastAsia="宋体"/>
          <w:lang w:eastAsia="zh-CN"/>
        </w:rPr>
        <w:t>当Q&lt;1时，该项目环境风险潜势为I。</w:t>
      </w:r>
    </w:p>
    <w:p>
      <w:pPr>
        <w:spacing w:line="360" w:lineRule="auto"/>
        <w:ind w:firstLine="1200" w:firstLineChars="500"/>
        <w:rPr>
          <w:rFonts w:hAnsi="Times New Roman" w:eastAsia="宋体"/>
          <w:lang w:eastAsia="zh-CN"/>
        </w:rPr>
      </w:pPr>
      <w:r>
        <w:rPr>
          <w:rFonts w:hAnsi="Times New Roman" w:eastAsia="宋体"/>
          <w:lang w:eastAsia="zh-CN"/>
        </w:rPr>
        <w:t>当Q≥1时，将Q值划分为：</w:t>
      </w:r>
      <w:r>
        <w:rPr>
          <w:rFonts w:hint="eastAsia" w:hAnsi="Times New Roman" w:eastAsia="宋体"/>
          <w:lang w:eastAsia="zh-CN"/>
        </w:rPr>
        <w:t>（</w:t>
      </w:r>
      <w:r>
        <w:rPr>
          <w:rFonts w:hAnsi="Times New Roman" w:eastAsia="宋体"/>
          <w:lang w:eastAsia="zh-CN"/>
        </w:rPr>
        <w:t>1</w:t>
      </w:r>
      <w:r>
        <w:rPr>
          <w:rFonts w:hint="eastAsia" w:hAnsi="Times New Roman" w:eastAsia="宋体"/>
          <w:lang w:eastAsia="zh-CN"/>
        </w:rPr>
        <w:t>）</w:t>
      </w:r>
      <w:r>
        <w:rPr>
          <w:rFonts w:hAnsi="Times New Roman" w:eastAsia="宋体"/>
          <w:lang w:eastAsia="zh-CN"/>
        </w:rPr>
        <w:t>1≤Q&lt;10；</w:t>
      </w:r>
      <w:r>
        <w:rPr>
          <w:rFonts w:hint="eastAsia" w:hAnsi="Times New Roman" w:eastAsia="宋体"/>
          <w:lang w:eastAsia="zh-CN"/>
        </w:rPr>
        <w:t>（</w:t>
      </w:r>
      <w:r>
        <w:rPr>
          <w:rFonts w:hAnsi="Times New Roman" w:eastAsia="宋体"/>
          <w:lang w:eastAsia="zh-CN"/>
        </w:rPr>
        <w:t>2</w:t>
      </w:r>
      <w:r>
        <w:rPr>
          <w:rFonts w:hint="eastAsia" w:hAnsi="Times New Roman" w:eastAsia="宋体"/>
          <w:lang w:eastAsia="zh-CN"/>
        </w:rPr>
        <w:t>）</w:t>
      </w:r>
      <w:r>
        <w:rPr>
          <w:rFonts w:hAnsi="Times New Roman" w:eastAsia="宋体"/>
          <w:lang w:eastAsia="zh-CN"/>
        </w:rPr>
        <w:t>10≤Q&lt;100；</w:t>
      </w:r>
      <w:r>
        <w:rPr>
          <w:rFonts w:hint="eastAsia" w:hAnsi="Times New Roman" w:eastAsia="宋体"/>
          <w:lang w:eastAsia="zh-CN"/>
        </w:rPr>
        <w:t>（</w:t>
      </w:r>
      <w:r>
        <w:rPr>
          <w:rFonts w:hint="eastAsia" w:hAnsi="Times New Roman" w:eastAsia="宋体"/>
          <w:lang w:val="en-US" w:eastAsia="zh-CN"/>
        </w:rPr>
        <w:t>3）</w:t>
      </w:r>
      <w:r>
        <w:rPr>
          <w:rFonts w:hAnsi="Times New Roman" w:eastAsia="宋体"/>
          <w:lang w:eastAsia="zh-CN"/>
        </w:rPr>
        <w:t>Q≥100。</w:t>
      </w:r>
    </w:p>
    <w:p>
      <w:pPr>
        <w:spacing w:line="360" w:lineRule="auto"/>
        <w:ind w:firstLine="480" w:firstLineChars="200"/>
        <w:rPr>
          <w:rFonts w:hAnsi="Times New Roman" w:eastAsia="宋体"/>
          <w:lang w:eastAsia="zh-CN"/>
        </w:rPr>
      </w:pPr>
      <w:r>
        <w:rPr>
          <w:rFonts w:hAnsi="Times New Roman" w:eastAsia="宋体"/>
          <w:lang w:eastAsia="zh-CN"/>
        </w:rPr>
        <w:t>本项目涉及的危险物质为煤矿许用炸药、矿井瓦斯及机油等油类物质，危险物质具体存量详见下表。</w:t>
      </w:r>
    </w:p>
    <w:p>
      <w:pPr>
        <w:pStyle w:val="14"/>
        <w:kinsoku w:val="0"/>
        <w:overflowPunct w:val="0"/>
        <w:spacing w:line="360" w:lineRule="auto"/>
        <w:jc w:val="center"/>
        <w:rPr>
          <w:rFonts w:ascii="Times New Roman" w:hAnsi="Times New Roman"/>
          <w:b/>
          <w:sz w:val="21"/>
          <w:szCs w:val="21"/>
        </w:rPr>
      </w:pPr>
      <w:r>
        <w:rPr>
          <w:rFonts w:ascii="Times New Roman" w:hAnsi="Times New Roman"/>
          <w:b/>
          <w:sz w:val="21"/>
          <w:szCs w:val="21"/>
        </w:rPr>
        <w:t>表15.2-</w:t>
      </w:r>
      <w:r>
        <w:rPr>
          <w:rFonts w:hint="eastAsia" w:ascii="Times New Roman" w:hAnsi="Times New Roman"/>
          <w:b/>
          <w:sz w:val="21"/>
          <w:szCs w:val="21"/>
          <w:lang w:eastAsia="zh-CN"/>
        </w:rPr>
        <w:t>2</w:t>
      </w:r>
      <w:r>
        <w:rPr>
          <w:rFonts w:ascii="Times New Roman" w:hAnsi="Times New Roman"/>
          <w:b/>
          <w:sz w:val="21"/>
          <w:szCs w:val="21"/>
        </w:rPr>
        <w:t xml:space="preserve"> 建设项目Q值确定表</w:t>
      </w:r>
    </w:p>
    <w:tbl>
      <w:tblPr>
        <w:tblStyle w:val="33"/>
        <w:tblW w:w="91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504"/>
        <w:gridCol w:w="1618"/>
        <w:gridCol w:w="1750"/>
        <w:gridCol w:w="2050"/>
        <w:gridCol w:w="1373"/>
        <w:gridCol w:w="18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504"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序号</w:t>
            </w:r>
          </w:p>
        </w:tc>
        <w:tc>
          <w:tcPr>
            <w:tcW w:w="1618"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危险化学品名称</w:t>
            </w:r>
          </w:p>
        </w:tc>
        <w:tc>
          <w:tcPr>
            <w:tcW w:w="1750"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CAS号</w:t>
            </w:r>
          </w:p>
        </w:tc>
        <w:tc>
          <w:tcPr>
            <w:tcW w:w="2050"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lang w:eastAsia="zh-CN"/>
              </w:rPr>
              <w:t>最大</w:t>
            </w:r>
            <w:r>
              <w:rPr>
                <w:rFonts w:hint="eastAsia" w:hAnsi="Times New Roman" w:eastAsia="宋体"/>
                <w:b/>
                <w:bCs/>
                <w:kern w:val="2"/>
                <w:sz w:val="21"/>
                <w:szCs w:val="21"/>
              </w:rPr>
              <w:t>贮存量（t）</w:t>
            </w:r>
          </w:p>
        </w:tc>
        <w:tc>
          <w:tcPr>
            <w:tcW w:w="1373"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临界量（t）</w:t>
            </w:r>
          </w:p>
        </w:tc>
        <w:tc>
          <w:tcPr>
            <w:tcW w:w="1885" w:type="dxa"/>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rPr>
            </w:pPr>
            <w:r>
              <w:rPr>
                <w:rFonts w:hint="eastAsia" w:hAnsi="Times New Roman" w:eastAsia="宋体"/>
                <w:b/>
                <w:bCs/>
                <w:kern w:val="2"/>
                <w:sz w:val="21"/>
                <w:szCs w:val="21"/>
              </w:rPr>
              <w:t>计算值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50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1</w:t>
            </w:r>
          </w:p>
        </w:tc>
        <w:tc>
          <w:tcPr>
            <w:tcW w:w="1618" w:type="dxa"/>
            <w:vAlign w:val="center"/>
          </w:tcPr>
          <w:p>
            <w:pPr>
              <w:pStyle w:val="46"/>
              <w:keepNext w:val="0"/>
              <w:keepLines w:val="0"/>
              <w:suppressLineNumbers w:val="0"/>
              <w:spacing w:before="0" w:beforeAutospacing="0" w:after="0" w:afterAutospacing="0" w:line="240" w:lineRule="auto"/>
              <w:ind w:left="0" w:right="0"/>
              <w:rPr>
                <w:rFonts w:hint="eastAsia" w:hAnsi="Times New Roman" w:eastAsia="宋体"/>
                <w:color w:val="auto"/>
                <w:kern w:val="2"/>
                <w:sz w:val="21"/>
                <w:szCs w:val="21"/>
                <w:lang w:eastAsia="zh-CN"/>
              </w:rPr>
            </w:pPr>
            <w:r>
              <w:rPr>
                <w:rFonts w:hint="eastAsia" w:hAnsi="Times New Roman" w:eastAsia="宋体"/>
                <w:color w:val="auto"/>
                <w:kern w:val="2"/>
                <w:sz w:val="21"/>
                <w:szCs w:val="21"/>
                <w:lang w:eastAsia="zh-CN"/>
              </w:rPr>
              <w:t>井巷甲烷</w:t>
            </w:r>
          </w:p>
        </w:tc>
        <w:tc>
          <w:tcPr>
            <w:tcW w:w="1750" w:type="dxa"/>
            <w:vAlign w:val="center"/>
          </w:tcPr>
          <w:p>
            <w:pPr>
              <w:pStyle w:val="46"/>
              <w:keepNext w:val="0"/>
              <w:keepLines w:val="0"/>
              <w:suppressLineNumbers w:val="0"/>
              <w:spacing w:before="0" w:beforeAutospacing="0" w:after="0" w:afterAutospacing="0" w:line="240" w:lineRule="auto"/>
              <w:ind w:left="0" w:right="0"/>
              <w:rPr>
                <w:rFonts w:hint="eastAsia" w:hAnsi="Times New Roman" w:eastAsia="宋体"/>
                <w:color w:val="auto"/>
                <w:kern w:val="2"/>
                <w:sz w:val="21"/>
                <w:szCs w:val="21"/>
                <w:lang w:eastAsia="zh-CN"/>
              </w:rPr>
            </w:pPr>
            <w:r>
              <w:rPr>
                <w:rFonts w:hint="eastAsia" w:hAnsi="Times New Roman" w:eastAsia="宋体"/>
                <w:color w:val="auto"/>
                <w:kern w:val="2"/>
                <w:sz w:val="21"/>
                <w:szCs w:val="21"/>
                <w:lang w:eastAsia="zh-CN"/>
              </w:rPr>
              <w:t>74-82-8</w:t>
            </w:r>
          </w:p>
        </w:tc>
        <w:tc>
          <w:tcPr>
            <w:tcW w:w="2050" w:type="dxa"/>
            <w:vAlign w:val="center"/>
          </w:tcPr>
          <w:p>
            <w:pPr>
              <w:pStyle w:val="46"/>
              <w:keepNext w:val="0"/>
              <w:keepLines w:val="0"/>
              <w:suppressLineNumbers w:val="0"/>
              <w:spacing w:before="0" w:beforeAutospacing="0" w:after="0" w:afterAutospacing="0" w:line="240" w:lineRule="auto"/>
              <w:ind w:left="0" w:right="0"/>
              <w:rPr>
                <w:rFonts w:hint="eastAsia" w:hAnsi="Times New Roman" w:eastAsia="宋体"/>
                <w:color w:val="auto"/>
                <w:kern w:val="2"/>
                <w:sz w:val="21"/>
                <w:szCs w:val="21"/>
                <w:lang w:eastAsia="zh-CN"/>
              </w:rPr>
            </w:pPr>
            <w:r>
              <w:rPr>
                <w:rFonts w:hint="eastAsia" w:hAnsi="Times New Roman" w:eastAsia="宋体"/>
                <w:color w:val="auto"/>
                <w:kern w:val="2"/>
                <w:sz w:val="21"/>
                <w:szCs w:val="21"/>
                <w:lang w:eastAsia="zh-CN"/>
              </w:rPr>
              <w:t>1.64</w:t>
            </w:r>
          </w:p>
        </w:tc>
        <w:tc>
          <w:tcPr>
            <w:tcW w:w="1373" w:type="dxa"/>
            <w:vAlign w:val="center"/>
          </w:tcPr>
          <w:p>
            <w:pPr>
              <w:pStyle w:val="46"/>
              <w:keepNext w:val="0"/>
              <w:keepLines w:val="0"/>
              <w:suppressLineNumbers w:val="0"/>
              <w:spacing w:before="0" w:beforeAutospacing="0" w:after="0" w:afterAutospacing="0" w:line="240" w:lineRule="auto"/>
              <w:ind w:left="0" w:right="0"/>
              <w:rPr>
                <w:rFonts w:hint="eastAsia" w:hAnsi="Times New Roman" w:eastAsia="宋体"/>
                <w:color w:val="auto"/>
                <w:kern w:val="2"/>
                <w:sz w:val="21"/>
                <w:szCs w:val="21"/>
                <w:lang w:eastAsia="zh-CN"/>
              </w:rPr>
            </w:pPr>
            <w:r>
              <w:rPr>
                <w:rFonts w:hint="eastAsia" w:hAnsi="Times New Roman" w:eastAsia="宋体"/>
                <w:color w:val="auto"/>
                <w:kern w:val="2"/>
                <w:sz w:val="21"/>
                <w:szCs w:val="21"/>
                <w:lang w:eastAsia="zh-CN"/>
              </w:rPr>
              <w:t>10</w:t>
            </w:r>
          </w:p>
        </w:tc>
        <w:tc>
          <w:tcPr>
            <w:tcW w:w="1885" w:type="dxa"/>
            <w:vAlign w:val="center"/>
          </w:tcPr>
          <w:p>
            <w:pPr>
              <w:keepNext w:val="0"/>
              <w:keepLines w:val="0"/>
              <w:widowControl/>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0.164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50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2</w:t>
            </w:r>
          </w:p>
        </w:tc>
        <w:tc>
          <w:tcPr>
            <w:tcW w:w="1618" w:type="dxa"/>
            <w:vAlign w:val="center"/>
          </w:tcPr>
          <w:p>
            <w:pPr>
              <w:pStyle w:val="46"/>
              <w:keepNext w:val="0"/>
              <w:keepLines w:val="0"/>
              <w:suppressLineNumbers w:val="0"/>
              <w:spacing w:before="0" w:beforeAutospacing="0" w:after="0" w:afterAutospacing="0" w:line="240" w:lineRule="auto"/>
              <w:ind w:left="0" w:right="0"/>
              <w:rPr>
                <w:rFonts w:hint="eastAsia" w:hAnsi="Times New Roman" w:eastAsia="宋体"/>
                <w:color w:val="auto"/>
                <w:kern w:val="2"/>
                <w:sz w:val="21"/>
                <w:szCs w:val="21"/>
                <w:lang w:eastAsia="zh-CN"/>
              </w:rPr>
            </w:pPr>
            <w:r>
              <w:rPr>
                <w:rFonts w:hint="eastAsia" w:hAnsi="Times New Roman" w:eastAsia="宋体"/>
                <w:color w:val="auto"/>
                <w:kern w:val="2"/>
                <w:sz w:val="21"/>
                <w:szCs w:val="21"/>
                <w:lang w:eastAsia="zh-CN"/>
              </w:rPr>
              <w:t>机油</w:t>
            </w:r>
          </w:p>
        </w:tc>
        <w:tc>
          <w:tcPr>
            <w:tcW w:w="1750" w:type="dxa"/>
            <w:vAlign w:val="center"/>
          </w:tcPr>
          <w:p>
            <w:pPr>
              <w:pStyle w:val="46"/>
              <w:keepNext w:val="0"/>
              <w:keepLines w:val="0"/>
              <w:suppressLineNumbers w:val="0"/>
              <w:spacing w:before="0" w:beforeAutospacing="0" w:after="0" w:afterAutospacing="0" w:line="240" w:lineRule="auto"/>
              <w:ind w:left="0" w:right="0"/>
              <w:rPr>
                <w:rFonts w:hint="eastAsia" w:hAnsi="Times New Roman" w:eastAsia="宋体"/>
                <w:color w:val="auto"/>
                <w:kern w:val="2"/>
                <w:sz w:val="21"/>
                <w:szCs w:val="21"/>
                <w:lang w:eastAsia="zh-CN"/>
              </w:rPr>
            </w:pPr>
            <w:r>
              <w:rPr>
                <w:rFonts w:hint="eastAsia" w:hAnsi="Times New Roman" w:eastAsia="宋体"/>
                <w:color w:val="auto"/>
                <w:kern w:val="2"/>
                <w:sz w:val="21"/>
                <w:szCs w:val="21"/>
                <w:lang w:eastAsia="zh-CN"/>
              </w:rPr>
              <w:t>/</w:t>
            </w:r>
          </w:p>
        </w:tc>
        <w:tc>
          <w:tcPr>
            <w:tcW w:w="2050" w:type="dxa"/>
            <w:vAlign w:val="center"/>
          </w:tcPr>
          <w:p>
            <w:pPr>
              <w:pStyle w:val="46"/>
              <w:keepNext w:val="0"/>
              <w:keepLines w:val="0"/>
              <w:suppressLineNumbers w:val="0"/>
              <w:spacing w:before="0" w:beforeAutospacing="0" w:after="0" w:afterAutospacing="0" w:line="240" w:lineRule="auto"/>
              <w:ind w:left="0" w:right="0"/>
              <w:rPr>
                <w:rFonts w:hint="eastAsia" w:hAnsi="Times New Roman" w:eastAsia="宋体"/>
                <w:color w:val="auto"/>
                <w:kern w:val="2"/>
                <w:sz w:val="21"/>
                <w:szCs w:val="21"/>
                <w:lang w:eastAsia="zh-CN"/>
              </w:rPr>
            </w:pPr>
            <w:r>
              <w:rPr>
                <w:rFonts w:hint="eastAsia" w:hAnsi="Times New Roman" w:eastAsia="宋体"/>
                <w:color w:val="auto"/>
                <w:kern w:val="2"/>
                <w:sz w:val="21"/>
                <w:szCs w:val="21"/>
                <w:lang w:eastAsia="zh-CN"/>
              </w:rPr>
              <w:t>0.1</w:t>
            </w:r>
          </w:p>
        </w:tc>
        <w:tc>
          <w:tcPr>
            <w:tcW w:w="1373" w:type="dxa"/>
            <w:vAlign w:val="center"/>
          </w:tcPr>
          <w:p>
            <w:pPr>
              <w:pStyle w:val="46"/>
              <w:keepNext w:val="0"/>
              <w:keepLines w:val="0"/>
              <w:suppressLineNumbers w:val="0"/>
              <w:spacing w:before="0" w:beforeAutospacing="0" w:after="0" w:afterAutospacing="0" w:line="240" w:lineRule="auto"/>
              <w:ind w:left="0" w:right="0"/>
              <w:rPr>
                <w:rFonts w:hint="eastAsia" w:hAnsi="Times New Roman" w:eastAsia="宋体"/>
                <w:color w:val="auto"/>
                <w:kern w:val="2"/>
                <w:sz w:val="21"/>
                <w:szCs w:val="21"/>
                <w:lang w:eastAsia="zh-CN"/>
              </w:rPr>
            </w:pPr>
            <w:r>
              <w:rPr>
                <w:rFonts w:hint="eastAsia" w:hAnsi="Times New Roman" w:eastAsia="宋体"/>
                <w:color w:val="auto"/>
                <w:kern w:val="2"/>
                <w:sz w:val="21"/>
                <w:szCs w:val="21"/>
                <w:lang w:eastAsia="zh-CN"/>
              </w:rPr>
              <w:t>2500</w:t>
            </w:r>
          </w:p>
        </w:tc>
        <w:tc>
          <w:tcPr>
            <w:tcW w:w="188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0.00004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504"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w:t>
            </w:r>
          </w:p>
        </w:tc>
        <w:tc>
          <w:tcPr>
            <w:tcW w:w="1618" w:type="dxa"/>
            <w:vAlign w:val="center"/>
          </w:tcPr>
          <w:p>
            <w:pPr>
              <w:pStyle w:val="46"/>
              <w:keepNext w:val="0"/>
              <w:keepLines w:val="0"/>
              <w:suppressLineNumbers w:val="0"/>
              <w:spacing w:before="0" w:beforeAutospacing="0" w:after="0" w:afterAutospacing="0" w:line="240" w:lineRule="auto"/>
              <w:ind w:left="0" w:right="0"/>
              <w:rPr>
                <w:rFonts w:hint="eastAsia" w:hAnsi="Times New Roman" w:eastAsia="宋体"/>
                <w:color w:val="auto"/>
                <w:kern w:val="2"/>
                <w:sz w:val="21"/>
                <w:szCs w:val="21"/>
                <w:lang w:eastAsia="zh-CN"/>
              </w:rPr>
            </w:pPr>
            <w:r>
              <w:rPr>
                <w:rFonts w:hint="eastAsia" w:hAnsi="Times New Roman" w:eastAsia="宋体"/>
                <w:color w:val="auto"/>
                <w:kern w:val="2"/>
                <w:sz w:val="21"/>
                <w:szCs w:val="21"/>
                <w:lang w:eastAsia="zh-CN"/>
              </w:rPr>
              <w:t>炸药</w:t>
            </w:r>
          </w:p>
        </w:tc>
        <w:tc>
          <w:tcPr>
            <w:tcW w:w="1750" w:type="dxa"/>
            <w:vAlign w:val="center"/>
          </w:tcPr>
          <w:p>
            <w:pPr>
              <w:pStyle w:val="46"/>
              <w:keepNext w:val="0"/>
              <w:keepLines w:val="0"/>
              <w:suppressLineNumbers w:val="0"/>
              <w:spacing w:before="0" w:beforeAutospacing="0" w:after="0" w:afterAutospacing="0" w:line="240" w:lineRule="auto"/>
              <w:ind w:left="0" w:right="0"/>
              <w:rPr>
                <w:rFonts w:hint="eastAsia" w:hAnsi="Times New Roman" w:eastAsia="宋体"/>
                <w:color w:val="auto"/>
                <w:kern w:val="2"/>
                <w:sz w:val="21"/>
                <w:szCs w:val="21"/>
                <w:lang w:eastAsia="zh-CN"/>
              </w:rPr>
            </w:pPr>
            <w:r>
              <w:rPr>
                <w:rFonts w:hint="eastAsia" w:hAnsi="Times New Roman" w:eastAsia="宋体"/>
                <w:color w:val="auto"/>
                <w:kern w:val="2"/>
                <w:sz w:val="21"/>
                <w:szCs w:val="21"/>
                <w:lang w:eastAsia="zh-CN"/>
              </w:rPr>
              <w:t>6484-52-2</w:t>
            </w:r>
          </w:p>
        </w:tc>
        <w:tc>
          <w:tcPr>
            <w:tcW w:w="2050" w:type="dxa"/>
            <w:vAlign w:val="center"/>
          </w:tcPr>
          <w:p>
            <w:pPr>
              <w:pStyle w:val="46"/>
              <w:keepNext w:val="0"/>
              <w:keepLines w:val="0"/>
              <w:suppressLineNumbers w:val="0"/>
              <w:spacing w:before="0" w:beforeAutospacing="0" w:after="0" w:afterAutospacing="0" w:line="240" w:lineRule="auto"/>
              <w:ind w:left="0" w:right="0"/>
              <w:rPr>
                <w:rFonts w:hint="eastAsia" w:hAnsi="Times New Roman" w:eastAsia="宋体"/>
                <w:color w:val="auto"/>
                <w:kern w:val="2"/>
                <w:sz w:val="21"/>
                <w:szCs w:val="21"/>
                <w:lang w:eastAsia="zh-CN"/>
              </w:rPr>
            </w:pPr>
            <w:r>
              <w:rPr>
                <w:rFonts w:hint="eastAsia" w:hAnsi="Times New Roman" w:eastAsia="宋体"/>
                <w:color w:val="auto"/>
                <w:kern w:val="2"/>
                <w:sz w:val="21"/>
                <w:szCs w:val="21"/>
                <w:lang w:eastAsia="zh-CN"/>
              </w:rPr>
              <w:t>5</w:t>
            </w:r>
          </w:p>
        </w:tc>
        <w:tc>
          <w:tcPr>
            <w:tcW w:w="1373" w:type="dxa"/>
            <w:vAlign w:val="center"/>
          </w:tcPr>
          <w:p>
            <w:pPr>
              <w:pStyle w:val="46"/>
              <w:keepNext w:val="0"/>
              <w:keepLines w:val="0"/>
              <w:suppressLineNumbers w:val="0"/>
              <w:spacing w:before="0" w:beforeAutospacing="0" w:after="0" w:afterAutospacing="0" w:line="240" w:lineRule="auto"/>
              <w:ind w:left="0" w:right="0"/>
              <w:rPr>
                <w:rFonts w:hint="eastAsia" w:hAnsi="Times New Roman" w:eastAsia="宋体"/>
                <w:color w:val="auto"/>
                <w:kern w:val="2"/>
                <w:sz w:val="21"/>
                <w:szCs w:val="21"/>
                <w:lang w:eastAsia="zh-CN"/>
              </w:rPr>
            </w:pPr>
            <w:r>
              <w:rPr>
                <w:rFonts w:hint="eastAsia" w:hAnsi="Times New Roman" w:eastAsia="宋体"/>
                <w:color w:val="auto"/>
                <w:kern w:val="2"/>
                <w:sz w:val="21"/>
                <w:szCs w:val="21"/>
                <w:lang w:eastAsia="zh-CN"/>
              </w:rPr>
              <w:t>50</w:t>
            </w:r>
          </w:p>
        </w:tc>
        <w:tc>
          <w:tcPr>
            <w:tcW w:w="188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jc w:val="center"/>
        </w:trPr>
        <w:tc>
          <w:tcPr>
            <w:tcW w:w="7295" w:type="dxa"/>
            <w:gridSpan w:val="5"/>
            <w:vAlign w:val="center"/>
          </w:tcPr>
          <w:p>
            <w:pPr>
              <w:pStyle w:val="46"/>
              <w:keepNext w:val="0"/>
              <w:keepLines w:val="0"/>
              <w:suppressLineNumbers w:val="0"/>
              <w:spacing w:before="0" w:beforeAutospacing="0" w:after="0" w:afterAutospacing="0" w:line="240" w:lineRule="auto"/>
              <w:ind w:left="0" w:right="0"/>
              <w:rPr>
                <w:rFonts w:hint="eastAsia" w:hAnsi="Times New Roman" w:eastAsia="宋体"/>
                <w:color w:val="auto"/>
                <w:kern w:val="2"/>
                <w:sz w:val="21"/>
                <w:szCs w:val="21"/>
                <w:lang w:eastAsia="zh-CN"/>
              </w:rPr>
            </w:pPr>
            <w:r>
              <w:rPr>
                <w:rFonts w:hint="eastAsia" w:hAnsi="Times New Roman" w:eastAsia="宋体"/>
                <w:color w:val="auto"/>
                <w:kern w:val="2"/>
                <w:sz w:val="21"/>
                <w:szCs w:val="21"/>
                <w:lang w:eastAsia="zh-CN"/>
              </w:rPr>
              <w:t>合计</w:t>
            </w:r>
          </w:p>
        </w:tc>
        <w:tc>
          <w:tcPr>
            <w:tcW w:w="1885"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p>
        </w:tc>
      </w:tr>
    </w:tbl>
    <w:p>
      <w:pPr>
        <w:spacing w:line="360" w:lineRule="auto"/>
        <w:ind w:firstLine="422" w:firstLineChars="200"/>
        <w:rPr>
          <w:rFonts w:hAnsi="Times New Roman" w:eastAsia="宋体"/>
          <w:b/>
          <w:bCs/>
          <w:sz w:val="21"/>
          <w:szCs w:val="21"/>
          <w:lang w:eastAsia="zh-CN"/>
        </w:rPr>
      </w:pPr>
      <w:r>
        <w:rPr>
          <w:rFonts w:hAnsi="Times New Roman" w:eastAsia="宋体"/>
          <w:b/>
          <w:bCs/>
          <w:sz w:val="21"/>
          <w:szCs w:val="21"/>
          <w:lang w:eastAsia="zh-CN"/>
        </w:rPr>
        <w:t>注</w:t>
      </w:r>
      <w:r>
        <w:rPr>
          <w:rFonts w:hint="eastAsia" w:hAnsi="Times New Roman" w:eastAsia="宋体"/>
          <w:b/>
          <w:bCs/>
          <w:sz w:val="21"/>
          <w:szCs w:val="21"/>
          <w:lang w:eastAsia="zh-CN"/>
        </w:rPr>
        <w:t>：</w:t>
      </w:r>
      <w:r>
        <w:rPr>
          <w:rFonts w:hAnsi="Times New Roman" w:eastAsia="宋体"/>
          <w:b/>
          <w:bCs/>
          <w:sz w:val="21"/>
          <w:szCs w:val="21"/>
          <w:lang w:eastAsia="zh-CN"/>
        </w:rPr>
        <w:t xml:space="preserve"> 甲烷绝对涌出量为1.607m</w:t>
      </w:r>
      <w:r>
        <w:rPr>
          <w:rFonts w:hAnsi="Times New Roman" w:eastAsia="宋体"/>
          <w:b/>
          <w:bCs/>
          <w:sz w:val="21"/>
          <w:szCs w:val="21"/>
          <w:vertAlign w:val="superscript"/>
          <w:lang w:eastAsia="zh-CN"/>
        </w:rPr>
        <w:t>3</w:t>
      </w:r>
      <w:r>
        <w:rPr>
          <w:rFonts w:hAnsi="Times New Roman" w:eastAsia="宋体"/>
          <w:b/>
          <w:bCs/>
          <w:sz w:val="21"/>
          <w:szCs w:val="21"/>
          <w:lang w:eastAsia="zh-CN"/>
        </w:rPr>
        <w:t>/min，密度按0.71kg/m</w:t>
      </w:r>
      <w:r>
        <w:rPr>
          <w:rFonts w:hAnsi="Times New Roman" w:eastAsia="宋体"/>
          <w:b/>
          <w:bCs/>
          <w:sz w:val="21"/>
          <w:szCs w:val="21"/>
          <w:vertAlign w:val="superscript"/>
          <w:lang w:eastAsia="zh-CN"/>
        </w:rPr>
        <w:t>3</w:t>
      </w:r>
      <w:r>
        <w:rPr>
          <w:rFonts w:hAnsi="Times New Roman" w:eastAsia="宋体"/>
          <w:b/>
          <w:bCs/>
          <w:sz w:val="21"/>
          <w:szCs w:val="21"/>
          <w:lang w:eastAsia="zh-CN"/>
        </w:rPr>
        <w:t>，则矿井日涌出甲烷质量为1.64t/d。</w:t>
      </w:r>
    </w:p>
    <w:p>
      <w:pPr>
        <w:spacing w:line="360" w:lineRule="auto"/>
        <w:ind w:firstLine="480" w:firstLineChars="200"/>
        <w:rPr>
          <w:rFonts w:hAnsi="Times New Roman" w:eastAsia="宋体"/>
          <w:lang w:eastAsia="zh-CN"/>
        </w:rPr>
      </w:pPr>
      <w:r>
        <w:rPr>
          <w:rFonts w:hAnsi="Times New Roman" w:eastAsia="宋体"/>
          <w:lang w:eastAsia="zh-CN"/>
        </w:rPr>
        <w:t>由上表可知，本项目危险物质数量与临界量比值Q=0.264＜1，该项目环境风险潜势为I。</w:t>
      </w:r>
    </w:p>
    <w:p>
      <w:pPr>
        <w:pStyle w:val="5"/>
        <w:rPr>
          <w:rFonts w:ascii="Times New Roman" w:hAnsi="Times New Roman"/>
          <w:szCs w:val="22"/>
          <w:lang w:eastAsia="zh-CN"/>
        </w:rPr>
      </w:pPr>
      <w:bookmarkStart w:id="824" w:name="_Toc167095392"/>
      <w:bookmarkStart w:id="825" w:name="_Toc91420919"/>
      <w:bookmarkStart w:id="826" w:name="_Toc163749238"/>
      <w:bookmarkStart w:id="827" w:name="_Toc91231697"/>
      <w:bookmarkStart w:id="828" w:name="_Toc10866"/>
      <w:r>
        <w:rPr>
          <w:rFonts w:ascii="Times New Roman" w:hAnsi="Times New Roman"/>
          <w:szCs w:val="22"/>
          <w:lang w:eastAsia="zh-CN"/>
        </w:rPr>
        <w:t>15.3 矿井水和生活污水处理设施风险事故影响分析</w:t>
      </w:r>
      <w:bookmarkEnd w:id="824"/>
      <w:bookmarkEnd w:id="825"/>
      <w:bookmarkEnd w:id="826"/>
      <w:bookmarkEnd w:id="827"/>
      <w:bookmarkEnd w:id="828"/>
    </w:p>
    <w:p>
      <w:pPr>
        <w:pStyle w:val="6"/>
        <w:rPr>
          <w:szCs w:val="24"/>
        </w:rPr>
      </w:pPr>
      <w:bookmarkStart w:id="829" w:name="_Toc167095393"/>
      <w:bookmarkStart w:id="830" w:name="_Toc163812768"/>
      <w:r>
        <w:rPr>
          <w:szCs w:val="24"/>
        </w:rPr>
        <w:t>1</w:t>
      </w:r>
      <w:r>
        <w:rPr>
          <w:szCs w:val="24"/>
          <w:lang w:eastAsia="zh-CN"/>
        </w:rPr>
        <w:t>5</w:t>
      </w:r>
      <w:r>
        <w:rPr>
          <w:szCs w:val="24"/>
        </w:rPr>
        <w:t>.3.1 风险影响分析</w:t>
      </w:r>
      <w:bookmarkEnd w:id="829"/>
      <w:bookmarkEnd w:id="830"/>
    </w:p>
    <w:p>
      <w:pPr>
        <w:spacing w:line="360" w:lineRule="auto"/>
        <w:ind w:firstLine="482"/>
        <w:rPr>
          <w:rFonts w:hAnsi="Times New Roman" w:eastAsia="宋体"/>
          <w:b/>
          <w:bCs/>
          <w:szCs w:val="24"/>
        </w:rPr>
      </w:pPr>
      <w:r>
        <w:rPr>
          <w:rFonts w:hAnsi="Times New Roman" w:eastAsia="宋体"/>
          <w:b/>
          <w:bCs/>
          <w:szCs w:val="24"/>
          <w:lang w:eastAsia="zh-CN"/>
        </w:rPr>
        <w:t>（1）</w:t>
      </w:r>
      <w:r>
        <w:rPr>
          <w:rFonts w:hAnsi="Times New Roman" w:eastAsia="宋体"/>
          <w:b/>
          <w:bCs/>
          <w:szCs w:val="24"/>
        </w:rPr>
        <w:t xml:space="preserve">矿井水排放风险影响 </w:t>
      </w:r>
    </w:p>
    <w:p>
      <w:pPr>
        <w:spacing w:line="360" w:lineRule="auto"/>
        <w:ind w:firstLine="480"/>
        <w:rPr>
          <w:rFonts w:hAnsi="Times New Roman" w:eastAsia="宋体"/>
          <w:szCs w:val="24"/>
        </w:rPr>
      </w:pPr>
      <w:r>
        <w:rPr>
          <w:rFonts w:hAnsi="Times New Roman" w:eastAsia="宋体"/>
          <w:szCs w:val="24"/>
        </w:rPr>
        <w:t>本项目矿井涌水量小于最大涌水量时，矿井水处理设施不会因为规模和设备故障导致外排；在极端不利情况下出现井下突水时，矿井水水质除SS显著升高外，其余水质指标与正常涌水时水质指标相当或降低，经过沉淀就能去除绝大多数污染物。因此矿井水事故排放不会对下游地表水环境产生较大影响。</w:t>
      </w:r>
    </w:p>
    <w:p>
      <w:pPr>
        <w:spacing w:line="360" w:lineRule="auto"/>
        <w:ind w:firstLine="482" w:firstLineChars="200"/>
        <w:rPr>
          <w:rFonts w:hAnsi="Times New Roman" w:eastAsia="宋体"/>
          <w:b/>
          <w:bCs/>
          <w:szCs w:val="24"/>
        </w:rPr>
      </w:pPr>
      <w:r>
        <w:rPr>
          <w:rFonts w:hAnsi="Times New Roman" w:eastAsia="宋体"/>
          <w:b/>
          <w:bCs/>
          <w:szCs w:val="24"/>
          <w:lang w:eastAsia="zh-CN"/>
        </w:rPr>
        <w:t>（2）</w:t>
      </w:r>
      <w:r>
        <w:rPr>
          <w:rFonts w:hAnsi="Times New Roman" w:eastAsia="宋体"/>
          <w:b/>
          <w:bCs/>
          <w:szCs w:val="24"/>
        </w:rPr>
        <w:t>生活污水排放风险影响</w:t>
      </w:r>
    </w:p>
    <w:p>
      <w:pPr>
        <w:spacing w:line="360" w:lineRule="auto"/>
        <w:ind w:firstLine="480"/>
        <w:rPr>
          <w:rFonts w:hAnsi="Times New Roman" w:eastAsia="宋体"/>
          <w:szCs w:val="24"/>
        </w:rPr>
      </w:pPr>
      <w:r>
        <w:rPr>
          <w:rFonts w:hAnsi="Times New Roman" w:eastAsia="宋体"/>
          <w:szCs w:val="24"/>
        </w:rPr>
        <w:t>项目工业场地生活污水处理装置发生故障时，生活污水未经处理排放，会对</w:t>
      </w:r>
      <w:r>
        <w:rPr>
          <w:rFonts w:hAnsi="Times New Roman" w:eastAsia="宋体"/>
          <w:szCs w:val="24"/>
          <w:lang w:eastAsia="zh-CN"/>
        </w:rPr>
        <w:t>新宁河</w:t>
      </w:r>
      <w:r>
        <w:rPr>
          <w:rFonts w:hAnsi="Times New Roman" w:eastAsia="宋体"/>
          <w:szCs w:val="24"/>
        </w:rPr>
        <w:t>产生较大影响。因此应采取措施杜绝生活污水未经处理外排（包括事故情况）。</w:t>
      </w:r>
    </w:p>
    <w:p>
      <w:pPr>
        <w:pStyle w:val="6"/>
        <w:rPr>
          <w:szCs w:val="24"/>
        </w:rPr>
      </w:pPr>
      <w:bookmarkStart w:id="831" w:name="_Toc163812769"/>
      <w:bookmarkStart w:id="832" w:name="_Toc167095394"/>
      <w:r>
        <w:rPr>
          <w:szCs w:val="24"/>
        </w:rPr>
        <w:t>1</w:t>
      </w:r>
      <w:r>
        <w:rPr>
          <w:szCs w:val="24"/>
          <w:lang w:eastAsia="zh-CN"/>
        </w:rPr>
        <w:t>5</w:t>
      </w:r>
      <w:r>
        <w:rPr>
          <w:szCs w:val="24"/>
        </w:rPr>
        <w:t>.3.2 水处理环境风险预防和应急措施</w:t>
      </w:r>
      <w:bookmarkEnd w:id="831"/>
      <w:bookmarkEnd w:id="832"/>
    </w:p>
    <w:p>
      <w:pPr>
        <w:spacing w:line="360" w:lineRule="auto"/>
        <w:ind w:firstLine="482"/>
        <w:rPr>
          <w:rFonts w:hAnsi="Times New Roman" w:eastAsia="宋体"/>
          <w:b/>
          <w:bCs/>
          <w:szCs w:val="24"/>
        </w:rPr>
      </w:pPr>
      <w:r>
        <w:rPr>
          <w:rFonts w:hAnsi="Times New Roman" w:eastAsia="宋体"/>
          <w:b/>
          <w:bCs/>
          <w:szCs w:val="24"/>
          <w:lang w:eastAsia="zh-CN"/>
        </w:rPr>
        <w:t>（1）</w:t>
      </w:r>
      <w:r>
        <w:rPr>
          <w:rFonts w:hAnsi="Times New Roman" w:eastAsia="宋体"/>
          <w:b/>
          <w:bCs/>
          <w:szCs w:val="24"/>
        </w:rPr>
        <w:t>水处理环境风险预防措施</w:t>
      </w:r>
    </w:p>
    <w:p>
      <w:pPr>
        <w:spacing w:line="360" w:lineRule="auto"/>
        <w:ind w:firstLine="480"/>
        <w:rPr>
          <w:rFonts w:hAnsi="Times New Roman" w:eastAsia="宋体"/>
          <w:szCs w:val="24"/>
        </w:rPr>
      </w:pPr>
      <w:r>
        <w:rPr>
          <w:rFonts w:hAnsi="Times New Roman" w:eastAsia="宋体"/>
          <w:szCs w:val="24"/>
        </w:rPr>
        <w:t>为预防项目环境风险，评价提出以下措施：</w:t>
      </w:r>
    </w:p>
    <w:p>
      <w:pPr>
        <w:spacing w:line="360" w:lineRule="auto"/>
        <w:ind w:firstLine="480"/>
        <w:rPr>
          <w:rFonts w:hAnsi="Times New Roman" w:eastAsia="宋体"/>
          <w:szCs w:val="24"/>
        </w:rPr>
      </w:pPr>
      <w:r>
        <w:rPr>
          <w:rFonts w:hAnsi="Times New Roman" w:eastAsia="宋体"/>
          <w:szCs w:val="24"/>
        </w:rPr>
        <w:t>①加强井田水文地质条件调查工作，积极提高煤矿开采矿井水涌水量预测准确性，严格按照《煤矿防治水细则》要求，落实“预测预报、有疑必探、先探后掘、先治后采”煤矿防治水原则，并实施根据不同水文地质条件，采取探、防、堵、疏、排、截、监等综合防治措施，杜绝煤矿井下突水事故发生。</w:t>
      </w:r>
    </w:p>
    <w:p>
      <w:pPr>
        <w:spacing w:line="360" w:lineRule="auto"/>
        <w:ind w:firstLine="480"/>
        <w:rPr>
          <w:rFonts w:hAnsi="Times New Roman" w:eastAsia="宋体"/>
          <w:szCs w:val="24"/>
        </w:rPr>
      </w:pPr>
      <w:r>
        <w:rPr>
          <w:rFonts w:hAnsi="Times New Roman" w:eastAsia="宋体"/>
          <w:szCs w:val="24"/>
        </w:rPr>
        <w:t>②按《煤矿安全规程</w:t>
      </w:r>
      <w:r>
        <w:rPr>
          <w:rFonts w:hint="eastAsia" w:hAnsi="Times New Roman" w:eastAsia="宋体"/>
          <w:szCs w:val="24"/>
          <w:lang w:eastAsia="zh-CN"/>
        </w:rPr>
        <w:t>》《</w:t>
      </w:r>
      <w:r>
        <w:rPr>
          <w:rFonts w:hAnsi="Times New Roman" w:eastAsia="宋体"/>
          <w:szCs w:val="24"/>
        </w:rPr>
        <w:t>煤矿防治水细则》要求建立健全矿井涌水量观测制度，发现矿井涌水量有增大趋势时，除采取①风险预防措施外，及时建设矿井水处理站预留设备，确保矿井水及时得到全部处理。</w:t>
      </w:r>
    </w:p>
    <w:p>
      <w:pPr>
        <w:spacing w:line="360" w:lineRule="auto"/>
        <w:ind w:firstLine="480"/>
        <w:rPr>
          <w:rFonts w:hAnsi="Times New Roman" w:eastAsia="宋体"/>
          <w:szCs w:val="24"/>
        </w:rPr>
      </w:pPr>
      <w:r>
        <w:rPr>
          <w:rFonts w:hAnsi="Times New Roman" w:eastAsia="宋体"/>
          <w:szCs w:val="24"/>
        </w:rPr>
        <w:t>③矿井水处理站正常运行时，调节池等具有污水缓冲功能的设施在满足工艺要求的前提下，应尽可能保持在低水位。</w:t>
      </w:r>
    </w:p>
    <w:p>
      <w:pPr>
        <w:spacing w:line="360" w:lineRule="auto"/>
        <w:ind w:firstLine="480"/>
        <w:rPr>
          <w:rFonts w:hAnsi="Times New Roman" w:eastAsia="宋体"/>
          <w:szCs w:val="24"/>
        </w:rPr>
      </w:pPr>
      <w:r>
        <w:rPr>
          <w:rFonts w:hAnsi="Times New Roman" w:eastAsia="宋体"/>
          <w:szCs w:val="24"/>
        </w:rPr>
        <w:t>④矿井水和生活污水处理站供电采用双回路供电，杜绝因停电造成污水外排事故。</w:t>
      </w:r>
    </w:p>
    <w:p>
      <w:pPr>
        <w:spacing w:line="360" w:lineRule="auto"/>
        <w:ind w:firstLine="480"/>
        <w:rPr>
          <w:rFonts w:hAnsi="Times New Roman" w:eastAsia="宋体"/>
          <w:szCs w:val="24"/>
        </w:rPr>
      </w:pPr>
      <w:r>
        <w:rPr>
          <w:rFonts w:hAnsi="Times New Roman" w:eastAsia="宋体"/>
          <w:szCs w:val="24"/>
        </w:rPr>
        <w:t>⑤重视环境管理工作，加强监督，及时发现水处理设施存在的隐患；矿井水处理设施、生活污水处理设施出现事故后应及时进行修理，加强日常设施的维护和保养。</w:t>
      </w:r>
    </w:p>
    <w:p>
      <w:pPr>
        <w:spacing w:line="360" w:lineRule="auto"/>
        <w:ind w:firstLine="480"/>
        <w:rPr>
          <w:rFonts w:hAnsi="Times New Roman" w:eastAsia="宋体"/>
          <w:szCs w:val="24"/>
        </w:rPr>
      </w:pPr>
      <w:r>
        <w:rPr>
          <w:rFonts w:hAnsi="Times New Roman" w:eastAsia="宋体"/>
          <w:szCs w:val="24"/>
        </w:rPr>
        <w:t>⑥积极协调并加强污废水综合利用管理，杜绝污水外排。</w:t>
      </w:r>
    </w:p>
    <w:p>
      <w:pPr>
        <w:spacing w:line="360" w:lineRule="auto"/>
        <w:ind w:firstLine="480"/>
        <w:rPr>
          <w:rFonts w:hAnsi="Times New Roman" w:eastAsia="宋体"/>
          <w:szCs w:val="24"/>
        </w:rPr>
      </w:pPr>
      <w:r>
        <w:rPr>
          <w:rFonts w:hAnsi="Times New Roman" w:eastAsia="宋体"/>
          <w:szCs w:val="24"/>
        </w:rPr>
        <w:t>⑦矿井水处理站和生活污水处理设施全部采用防渗处理，并设置跟踪监测井定期监测，发现问题及时处理。</w:t>
      </w:r>
    </w:p>
    <w:p>
      <w:pPr>
        <w:spacing w:line="360" w:lineRule="auto"/>
        <w:ind w:firstLine="482"/>
        <w:rPr>
          <w:rFonts w:hAnsi="Times New Roman" w:eastAsia="宋体"/>
          <w:b/>
          <w:bCs/>
          <w:szCs w:val="24"/>
        </w:rPr>
      </w:pPr>
      <w:r>
        <w:rPr>
          <w:rFonts w:hAnsi="Times New Roman" w:eastAsia="宋体"/>
          <w:b/>
          <w:bCs/>
          <w:szCs w:val="24"/>
          <w:lang w:eastAsia="zh-CN"/>
        </w:rPr>
        <w:t>（2）</w:t>
      </w:r>
      <w:r>
        <w:rPr>
          <w:rFonts w:hAnsi="Times New Roman" w:eastAsia="宋体"/>
          <w:b/>
          <w:bCs/>
          <w:szCs w:val="24"/>
        </w:rPr>
        <w:t>水处理环境风险应急措施</w:t>
      </w:r>
    </w:p>
    <w:p>
      <w:pPr>
        <w:spacing w:line="360" w:lineRule="auto"/>
        <w:ind w:firstLine="480"/>
        <w:rPr>
          <w:rFonts w:hAnsi="Times New Roman" w:eastAsia="宋体"/>
          <w:szCs w:val="24"/>
        </w:rPr>
      </w:pPr>
      <w:r>
        <w:rPr>
          <w:rFonts w:hAnsi="Times New Roman" w:eastAsia="宋体"/>
          <w:szCs w:val="24"/>
        </w:rPr>
        <w:t>生活污水处理设施故障时，采用事故水储存系统将拟外排水暂存或在处理构筑物预留缓冲能力（各池体能够接纳至少8h生活污水量），在生活污水处理设施修复后，将事故池中污水送至处理设施处理，杜绝生活污水未处理外排。</w:t>
      </w:r>
    </w:p>
    <w:p>
      <w:pPr>
        <w:spacing w:line="360" w:lineRule="auto"/>
        <w:ind w:firstLine="480"/>
        <w:rPr>
          <w:rFonts w:hAnsi="Times New Roman" w:eastAsia="宋体"/>
          <w:szCs w:val="24"/>
        </w:rPr>
      </w:pPr>
      <w:r>
        <w:rPr>
          <w:rFonts w:hAnsi="Times New Roman" w:eastAsia="宋体"/>
          <w:szCs w:val="24"/>
        </w:rPr>
        <w:t>当井下发生突水事故时，矿井水处理站应满负荷运转（包括备用设备）、并延长日运行时间，尽可能加大矿井水处理量</w:t>
      </w:r>
      <w:r>
        <w:rPr>
          <w:rFonts w:hint="eastAsia" w:hAnsi="Times New Roman" w:eastAsia="宋体"/>
          <w:szCs w:val="24"/>
          <w:lang w:eastAsia="zh-CN"/>
        </w:rPr>
        <w:t>，设置矿井水事故应急水池，确保矿井水未处理进行外排</w:t>
      </w:r>
      <w:r>
        <w:rPr>
          <w:rFonts w:hAnsi="Times New Roman" w:eastAsia="宋体"/>
          <w:szCs w:val="24"/>
        </w:rPr>
        <w:t>。同时，井下水仓尽可能缓存涌水量，减轻地面水处理站负荷。</w:t>
      </w:r>
    </w:p>
    <w:p>
      <w:pPr>
        <w:pStyle w:val="5"/>
        <w:rPr>
          <w:rFonts w:ascii="Times New Roman" w:hAnsi="Times New Roman"/>
          <w:szCs w:val="22"/>
          <w:lang w:eastAsia="zh-CN"/>
        </w:rPr>
      </w:pPr>
      <w:bookmarkStart w:id="833" w:name="_Toc91231698"/>
      <w:bookmarkStart w:id="834" w:name="_Toc14749"/>
      <w:bookmarkStart w:id="835" w:name="_Toc167095395"/>
      <w:bookmarkStart w:id="836" w:name="_Toc91420920"/>
      <w:bookmarkStart w:id="837" w:name="_Toc163749239"/>
      <w:r>
        <w:rPr>
          <w:rFonts w:ascii="Times New Roman" w:hAnsi="Times New Roman"/>
          <w:szCs w:val="22"/>
          <w:lang w:eastAsia="zh-CN"/>
        </w:rPr>
        <w:t>15.4 地质灾害风险分析及防范措施</w:t>
      </w:r>
      <w:bookmarkEnd w:id="833"/>
      <w:bookmarkEnd w:id="834"/>
      <w:bookmarkEnd w:id="835"/>
      <w:bookmarkEnd w:id="836"/>
      <w:bookmarkEnd w:id="837"/>
    </w:p>
    <w:p>
      <w:pPr>
        <w:pStyle w:val="6"/>
        <w:rPr>
          <w:szCs w:val="24"/>
        </w:rPr>
      </w:pPr>
      <w:bookmarkStart w:id="838" w:name="_Toc167095396"/>
      <w:r>
        <w:rPr>
          <w:szCs w:val="24"/>
        </w:rPr>
        <w:t>1</w:t>
      </w:r>
      <w:r>
        <w:rPr>
          <w:szCs w:val="24"/>
          <w:lang w:eastAsia="zh-CN"/>
        </w:rPr>
        <w:t>5</w:t>
      </w:r>
      <w:r>
        <w:rPr>
          <w:szCs w:val="24"/>
        </w:rPr>
        <w:t>.4.1 采煤诱发的地质</w:t>
      </w:r>
      <w:r>
        <w:rPr>
          <w:rFonts w:hint="eastAsia"/>
          <w:szCs w:val="24"/>
          <w:lang w:val="en-US" w:eastAsia="zh-CN"/>
        </w:rPr>
        <w:t>灾害</w:t>
      </w:r>
      <w:r>
        <w:rPr>
          <w:szCs w:val="24"/>
        </w:rPr>
        <w:t>风险分析</w:t>
      </w:r>
      <w:bookmarkEnd w:id="838"/>
    </w:p>
    <w:p>
      <w:pPr>
        <w:spacing w:line="360" w:lineRule="auto"/>
        <w:ind w:firstLine="480"/>
        <w:rPr>
          <w:rFonts w:hAnsi="Times New Roman" w:eastAsia="宋体"/>
          <w:szCs w:val="24"/>
        </w:rPr>
      </w:pPr>
      <w:r>
        <w:rPr>
          <w:rFonts w:hAnsi="Times New Roman" w:eastAsia="宋体"/>
          <w:szCs w:val="24"/>
        </w:rPr>
        <w:t>煤矿开采过程中可能出现的地质灾害主要有：</w:t>
      </w:r>
    </w:p>
    <w:p>
      <w:pPr>
        <w:spacing w:line="360" w:lineRule="auto"/>
        <w:ind w:firstLine="480"/>
        <w:rPr>
          <w:rFonts w:hAnsi="Times New Roman" w:eastAsia="宋体"/>
          <w:szCs w:val="24"/>
        </w:rPr>
      </w:pPr>
      <w:r>
        <w:rPr>
          <w:rFonts w:hAnsi="Times New Roman" w:eastAsia="宋体"/>
          <w:szCs w:val="24"/>
        </w:rPr>
        <w:t>（1）地面沉陷：煤炭采出后，开采区域周围岩体的原始应力状态受到破坏，应力重新分布，以达到新的平衡，在此过程中，岩层和地表产生连续的移动、变形和非连续的开裂、冒落等破坏现象。</w:t>
      </w:r>
    </w:p>
    <w:p>
      <w:pPr>
        <w:spacing w:line="360" w:lineRule="auto"/>
        <w:ind w:firstLine="480"/>
        <w:rPr>
          <w:rFonts w:hAnsi="Times New Roman" w:eastAsia="宋体"/>
          <w:szCs w:val="24"/>
        </w:rPr>
      </w:pPr>
      <w:r>
        <w:rPr>
          <w:rFonts w:hAnsi="Times New Roman" w:eastAsia="宋体"/>
          <w:szCs w:val="24"/>
        </w:rPr>
        <w:t>（2）山体滑坡：煤矿的开采破坏了坡体的原始应力平衡，是诱导滑坡、崩塌灾害的重要因素，井下开采导致地面山体滑坡的可能性较低。</w:t>
      </w:r>
    </w:p>
    <w:p>
      <w:pPr>
        <w:pStyle w:val="6"/>
        <w:rPr>
          <w:szCs w:val="24"/>
        </w:rPr>
      </w:pPr>
      <w:bookmarkStart w:id="839" w:name="_Toc167095397"/>
      <w:r>
        <w:rPr>
          <w:szCs w:val="24"/>
        </w:rPr>
        <w:t>1</w:t>
      </w:r>
      <w:r>
        <w:rPr>
          <w:szCs w:val="24"/>
          <w:lang w:eastAsia="zh-CN"/>
        </w:rPr>
        <w:t>5</w:t>
      </w:r>
      <w:r>
        <w:rPr>
          <w:szCs w:val="24"/>
        </w:rPr>
        <w:t>.4.2 地质灾害风险防范措施</w:t>
      </w:r>
      <w:bookmarkEnd w:id="839"/>
    </w:p>
    <w:p>
      <w:pPr>
        <w:spacing w:line="360" w:lineRule="auto"/>
        <w:ind w:firstLine="480"/>
        <w:rPr>
          <w:rFonts w:hAnsi="Times New Roman" w:eastAsia="宋体"/>
          <w:szCs w:val="24"/>
        </w:rPr>
      </w:pPr>
      <w:r>
        <w:rPr>
          <w:rFonts w:hAnsi="Times New Roman" w:eastAsia="宋体"/>
          <w:szCs w:val="24"/>
          <w:lang w:eastAsia="zh-CN"/>
        </w:rPr>
        <w:t>（1）</w:t>
      </w:r>
      <w:r>
        <w:rPr>
          <w:rFonts w:hAnsi="Times New Roman" w:eastAsia="宋体"/>
          <w:szCs w:val="24"/>
        </w:rPr>
        <w:t>做好前期勘察工作</w:t>
      </w:r>
    </w:p>
    <w:p>
      <w:pPr>
        <w:spacing w:line="360" w:lineRule="auto"/>
        <w:ind w:firstLine="480"/>
        <w:rPr>
          <w:rFonts w:hAnsi="Times New Roman" w:eastAsia="宋体"/>
          <w:szCs w:val="24"/>
        </w:rPr>
      </w:pPr>
      <w:r>
        <w:rPr>
          <w:rFonts w:hAnsi="Times New Roman" w:eastAsia="宋体"/>
          <w:szCs w:val="24"/>
        </w:rPr>
        <w:t>在开采前，对矿区煤层上覆地层特征、地质构造及影响地表变形的主要因素进行全面的调查，对可能发生滑坡、崩塌的地点做到心中有数，根据井下采煤计划制定采取措施的时机，制定预报措施，避免滑坡、塌方造成人员伤亡。</w:t>
      </w:r>
    </w:p>
    <w:p>
      <w:pPr>
        <w:spacing w:line="360" w:lineRule="auto"/>
        <w:ind w:firstLine="480"/>
        <w:rPr>
          <w:rFonts w:hAnsi="Times New Roman" w:eastAsia="宋体"/>
          <w:szCs w:val="24"/>
        </w:rPr>
      </w:pPr>
      <w:r>
        <w:rPr>
          <w:rFonts w:hAnsi="Times New Roman" w:eastAsia="宋体"/>
          <w:szCs w:val="24"/>
          <w:lang w:eastAsia="zh-CN"/>
        </w:rPr>
        <w:t>（2）</w:t>
      </w:r>
      <w:r>
        <w:rPr>
          <w:rFonts w:hAnsi="Times New Roman" w:eastAsia="宋体"/>
          <w:szCs w:val="24"/>
        </w:rPr>
        <w:t>做好预测、预报工作</w:t>
      </w:r>
    </w:p>
    <w:p>
      <w:pPr>
        <w:spacing w:line="360" w:lineRule="auto"/>
        <w:ind w:firstLine="480"/>
        <w:rPr>
          <w:rFonts w:hAnsi="Times New Roman" w:eastAsia="宋体"/>
          <w:szCs w:val="24"/>
        </w:rPr>
      </w:pPr>
      <w:r>
        <w:rPr>
          <w:rFonts w:hAnsi="Times New Roman" w:eastAsia="宋体"/>
          <w:szCs w:val="24"/>
        </w:rPr>
        <w:t>在采动过程中，对井田范围进行定期巡视，对可能发生塌方、滑坡处，采取疏水、排水、削坡减载等多种方法增加稳定性，对有人员活动的区域，发现有崩塌、滑坡征兆时，必须设立明显标志及警戒线，并在保证安全的前提下采取打止滑桩、挡墙等工程措施。评价建议在采空区边缘有可能诱发和发生次生地质灾害， 设置地质灾害自动监控系统，以便及时疏散附近的村民和预防各类地质灾害可能对人畜、建筑物及环境带来的危害。</w:t>
      </w:r>
    </w:p>
    <w:p>
      <w:pPr>
        <w:spacing w:line="360" w:lineRule="auto"/>
        <w:ind w:firstLine="480"/>
        <w:rPr>
          <w:rFonts w:hAnsi="Times New Roman" w:eastAsia="宋体"/>
          <w:szCs w:val="24"/>
        </w:rPr>
      </w:pPr>
      <w:r>
        <w:rPr>
          <w:rFonts w:hAnsi="Times New Roman" w:eastAsia="宋体"/>
          <w:szCs w:val="24"/>
          <w:lang w:eastAsia="zh-CN"/>
        </w:rPr>
        <w:t>（3）</w:t>
      </w:r>
      <w:r>
        <w:rPr>
          <w:rFonts w:hAnsi="Times New Roman" w:eastAsia="宋体"/>
          <w:szCs w:val="24"/>
        </w:rPr>
        <w:t>回采工作面顶板管理措施：</w:t>
      </w:r>
    </w:p>
    <w:p>
      <w:pPr>
        <w:spacing w:line="360" w:lineRule="auto"/>
        <w:ind w:firstLine="480"/>
        <w:rPr>
          <w:rFonts w:hAnsi="Times New Roman" w:eastAsia="宋体"/>
          <w:szCs w:val="24"/>
        </w:rPr>
      </w:pPr>
      <w:r>
        <w:rPr>
          <w:rFonts w:hAnsi="Times New Roman" w:eastAsia="宋体"/>
          <w:szCs w:val="24"/>
        </w:rPr>
        <w:t>1）对于层理发育的顶板加密支护，并适当加大控顶距， 打眼放炮时应少装药。当采煤工作面推进至安全空间后，再制定回柱的安全措施。为防止工作面顶板大面积垮落造成冒顶，尽量避免各段同时回柱。</w:t>
      </w:r>
    </w:p>
    <w:p>
      <w:pPr>
        <w:spacing w:line="360" w:lineRule="auto"/>
        <w:ind w:firstLine="480"/>
        <w:rPr>
          <w:rFonts w:hAnsi="Times New Roman" w:eastAsia="宋体"/>
          <w:szCs w:val="24"/>
        </w:rPr>
      </w:pPr>
      <w:r>
        <w:rPr>
          <w:rFonts w:hAnsi="Times New Roman" w:eastAsia="宋体"/>
          <w:szCs w:val="24"/>
        </w:rPr>
        <w:t>2）对裂隙或节理多而紊乱且面积不大处，顶板破碎不易支护，常发生漏顶等，发现后要及时支护，柱距应适当加密。</w:t>
      </w:r>
    </w:p>
    <w:p>
      <w:pPr>
        <w:spacing w:line="360" w:lineRule="auto"/>
        <w:ind w:firstLine="480"/>
        <w:rPr>
          <w:rFonts w:hAnsi="Times New Roman" w:eastAsia="宋体"/>
          <w:szCs w:val="24"/>
        </w:rPr>
      </w:pPr>
      <w:r>
        <w:rPr>
          <w:rFonts w:hAnsi="Times New Roman" w:eastAsia="宋体"/>
          <w:szCs w:val="24"/>
        </w:rPr>
        <w:t>3）在工作面上下安全出口附近20m内加强支护。</w:t>
      </w:r>
    </w:p>
    <w:p>
      <w:pPr>
        <w:spacing w:line="360" w:lineRule="auto"/>
        <w:ind w:firstLine="480"/>
        <w:rPr>
          <w:rFonts w:hAnsi="Times New Roman" w:eastAsia="宋体"/>
          <w:szCs w:val="24"/>
        </w:rPr>
      </w:pPr>
      <w:r>
        <w:rPr>
          <w:rFonts w:hAnsi="Times New Roman" w:eastAsia="宋体"/>
          <w:szCs w:val="24"/>
        </w:rPr>
        <w:t>4）加强矿压观测、科学管理顶板。</w:t>
      </w:r>
    </w:p>
    <w:p>
      <w:pPr>
        <w:spacing w:line="360" w:lineRule="auto"/>
        <w:ind w:firstLine="480"/>
        <w:rPr>
          <w:rFonts w:hAnsi="Times New Roman" w:eastAsia="宋体"/>
          <w:szCs w:val="24"/>
        </w:rPr>
      </w:pPr>
      <w:r>
        <w:rPr>
          <w:rFonts w:hAnsi="Times New Roman" w:eastAsia="宋体"/>
          <w:szCs w:val="24"/>
        </w:rPr>
        <w:t>5）加强顶板现场安全管理，严格执行敲帮问顶制度。</w:t>
      </w:r>
    </w:p>
    <w:p>
      <w:pPr>
        <w:spacing w:line="360" w:lineRule="auto"/>
        <w:ind w:firstLine="480"/>
        <w:rPr>
          <w:rFonts w:hAnsi="Times New Roman" w:eastAsia="宋体"/>
          <w:szCs w:val="24"/>
        </w:rPr>
      </w:pPr>
      <w:r>
        <w:rPr>
          <w:rFonts w:hAnsi="Times New Roman" w:eastAsia="宋体"/>
          <w:szCs w:val="24"/>
        </w:rPr>
        <w:t>6）采取增设防滑链措施，将最后一排支柱连成整体，防止支柱倾覆。</w:t>
      </w:r>
    </w:p>
    <w:p>
      <w:pPr>
        <w:pStyle w:val="5"/>
        <w:rPr>
          <w:rFonts w:ascii="Times New Roman" w:hAnsi="Times New Roman"/>
          <w:szCs w:val="22"/>
          <w:lang w:eastAsia="zh-CN"/>
        </w:rPr>
      </w:pPr>
      <w:bookmarkStart w:id="840" w:name="_Toc23924"/>
      <w:bookmarkStart w:id="841" w:name="_Toc163749240"/>
      <w:bookmarkStart w:id="842" w:name="_Toc167095398"/>
      <w:bookmarkStart w:id="843" w:name="_Toc91420921"/>
      <w:bookmarkStart w:id="844" w:name="_Toc91231699"/>
      <w:r>
        <w:rPr>
          <w:rFonts w:ascii="Times New Roman" w:hAnsi="Times New Roman"/>
          <w:szCs w:val="22"/>
          <w:lang w:eastAsia="zh-CN"/>
        </w:rPr>
        <w:t>15.5 爆破器材库及瓦斯爆炸风险防范措施</w:t>
      </w:r>
      <w:bookmarkEnd w:id="840"/>
      <w:bookmarkEnd w:id="841"/>
      <w:bookmarkEnd w:id="842"/>
      <w:bookmarkEnd w:id="843"/>
      <w:bookmarkEnd w:id="844"/>
    </w:p>
    <w:p>
      <w:pPr>
        <w:pStyle w:val="6"/>
        <w:rPr>
          <w:szCs w:val="24"/>
        </w:rPr>
      </w:pPr>
      <w:bookmarkStart w:id="845" w:name="_Toc163812774"/>
      <w:bookmarkStart w:id="846" w:name="_Toc167095399"/>
      <w:r>
        <w:rPr>
          <w:szCs w:val="24"/>
        </w:rPr>
        <w:t>1</w:t>
      </w:r>
      <w:r>
        <w:rPr>
          <w:szCs w:val="24"/>
          <w:lang w:eastAsia="zh-CN"/>
        </w:rPr>
        <w:t>5</w:t>
      </w:r>
      <w:r>
        <w:rPr>
          <w:szCs w:val="24"/>
        </w:rPr>
        <w:t>.5.1  爆破器材库风险防范措施</w:t>
      </w:r>
      <w:bookmarkEnd w:id="845"/>
      <w:bookmarkEnd w:id="846"/>
    </w:p>
    <w:p>
      <w:pPr>
        <w:spacing w:line="360" w:lineRule="auto"/>
        <w:ind w:firstLine="480"/>
        <w:rPr>
          <w:rFonts w:hAnsi="Times New Roman" w:eastAsia="宋体"/>
          <w:szCs w:val="24"/>
        </w:rPr>
      </w:pPr>
      <w:r>
        <w:rPr>
          <w:rFonts w:hAnsi="Times New Roman" w:eastAsia="宋体"/>
          <w:szCs w:val="24"/>
        </w:rPr>
        <w:t>为保证炸药库的使用安全，不对周边环境造成安全隐患，风险防范措施：</w:t>
      </w:r>
    </w:p>
    <w:p>
      <w:pPr>
        <w:spacing w:line="360" w:lineRule="auto"/>
        <w:ind w:firstLine="480"/>
        <w:rPr>
          <w:rFonts w:hAnsi="Times New Roman" w:eastAsia="宋体"/>
          <w:szCs w:val="24"/>
        </w:rPr>
      </w:pPr>
      <w:r>
        <w:rPr>
          <w:rFonts w:hAnsi="Times New Roman" w:eastAsia="宋体"/>
          <w:szCs w:val="24"/>
          <w:lang w:eastAsia="zh-CN"/>
        </w:rPr>
        <w:t>（</w:t>
      </w:r>
      <w:r>
        <w:rPr>
          <w:rFonts w:hAnsi="Times New Roman" w:eastAsia="宋体"/>
          <w:szCs w:val="24"/>
        </w:rPr>
        <w:t>1）炸药库房内炸药和雷管应专库存放；</w:t>
      </w:r>
    </w:p>
    <w:p>
      <w:pPr>
        <w:spacing w:line="360" w:lineRule="auto"/>
        <w:ind w:firstLine="480"/>
        <w:rPr>
          <w:rFonts w:hAnsi="Times New Roman" w:eastAsia="宋体"/>
          <w:szCs w:val="24"/>
        </w:rPr>
      </w:pPr>
      <w:r>
        <w:rPr>
          <w:rFonts w:hAnsi="Times New Roman" w:eastAsia="宋体"/>
          <w:szCs w:val="24"/>
          <w:lang w:eastAsia="zh-CN"/>
        </w:rPr>
        <w:t>（</w:t>
      </w:r>
      <w:r>
        <w:rPr>
          <w:rFonts w:hAnsi="Times New Roman" w:eastAsia="宋体"/>
          <w:szCs w:val="24"/>
        </w:rPr>
        <w:t>2）炸药库房内炸药存放量不得超过额定存量；</w:t>
      </w:r>
    </w:p>
    <w:p>
      <w:pPr>
        <w:spacing w:line="360" w:lineRule="auto"/>
        <w:ind w:firstLine="480"/>
        <w:rPr>
          <w:rFonts w:hAnsi="Times New Roman" w:eastAsia="宋体"/>
          <w:szCs w:val="24"/>
        </w:rPr>
      </w:pPr>
      <w:r>
        <w:rPr>
          <w:rFonts w:hAnsi="Times New Roman" w:eastAsia="宋体"/>
          <w:szCs w:val="24"/>
          <w:lang w:eastAsia="zh-CN"/>
        </w:rPr>
        <w:t>（</w:t>
      </w:r>
      <w:r>
        <w:rPr>
          <w:rFonts w:hAnsi="Times New Roman" w:eastAsia="宋体"/>
          <w:szCs w:val="24"/>
        </w:rPr>
        <w:t>3）炸药库房外应设铁</w:t>
      </w:r>
      <w:r>
        <w:rPr>
          <w:rFonts w:hint="eastAsia" w:hAnsi="Times New Roman" w:eastAsia="宋体"/>
          <w:szCs w:val="24"/>
          <w:lang w:eastAsia="zh-CN"/>
        </w:rPr>
        <w:t>丝网</w:t>
      </w:r>
      <w:r>
        <w:rPr>
          <w:rFonts w:hAnsi="Times New Roman" w:eastAsia="宋体"/>
          <w:szCs w:val="24"/>
        </w:rPr>
        <w:t>，并设置明显的标志；</w:t>
      </w:r>
    </w:p>
    <w:p>
      <w:pPr>
        <w:spacing w:line="360" w:lineRule="auto"/>
        <w:ind w:firstLine="480"/>
        <w:rPr>
          <w:rFonts w:hAnsi="Times New Roman" w:eastAsia="宋体"/>
          <w:szCs w:val="24"/>
        </w:rPr>
      </w:pPr>
      <w:r>
        <w:rPr>
          <w:rFonts w:hAnsi="Times New Roman" w:eastAsia="宋体"/>
          <w:szCs w:val="24"/>
          <w:lang w:eastAsia="zh-CN"/>
        </w:rPr>
        <w:t>（</w:t>
      </w:r>
      <w:r>
        <w:rPr>
          <w:rFonts w:hAnsi="Times New Roman" w:eastAsia="宋体"/>
          <w:szCs w:val="24"/>
        </w:rPr>
        <w:t>4）炸药库房所有工作人员及进出炸药库人员必须穿纯棉或其他抗静电衣服；</w:t>
      </w:r>
    </w:p>
    <w:p>
      <w:pPr>
        <w:spacing w:line="360" w:lineRule="auto"/>
        <w:ind w:firstLine="480"/>
        <w:rPr>
          <w:rFonts w:hAnsi="Times New Roman" w:eastAsia="宋体"/>
          <w:szCs w:val="24"/>
        </w:rPr>
      </w:pPr>
      <w:r>
        <w:rPr>
          <w:rFonts w:hAnsi="Times New Roman" w:eastAsia="宋体"/>
          <w:szCs w:val="24"/>
          <w:lang w:eastAsia="zh-CN"/>
        </w:rPr>
        <w:t>（</w:t>
      </w:r>
      <w:r>
        <w:rPr>
          <w:rFonts w:hAnsi="Times New Roman" w:eastAsia="宋体"/>
          <w:szCs w:val="24"/>
        </w:rPr>
        <w:t>5）配备灭火器和消防给水系统。</w:t>
      </w:r>
    </w:p>
    <w:p>
      <w:pPr>
        <w:spacing w:line="360" w:lineRule="auto"/>
        <w:ind w:firstLine="480"/>
        <w:rPr>
          <w:rFonts w:hAnsi="Times New Roman" w:eastAsia="宋体"/>
          <w:szCs w:val="24"/>
        </w:rPr>
      </w:pPr>
      <w:r>
        <w:rPr>
          <w:rFonts w:hAnsi="Times New Roman" w:eastAsia="宋体"/>
          <w:szCs w:val="24"/>
          <w:lang w:eastAsia="zh-CN"/>
        </w:rPr>
        <w:t>（</w:t>
      </w:r>
      <w:r>
        <w:rPr>
          <w:rFonts w:hAnsi="Times New Roman" w:eastAsia="宋体"/>
          <w:szCs w:val="24"/>
        </w:rPr>
        <w:t>6）炸药库的布置及选址需经当地公安部门同意后方可实施。</w:t>
      </w:r>
    </w:p>
    <w:p>
      <w:pPr>
        <w:pStyle w:val="6"/>
        <w:rPr>
          <w:szCs w:val="24"/>
        </w:rPr>
      </w:pPr>
      <w:bookmarkStart w:id="847" w:name="_Toc167095400"/>
      <w:bookmarkStart w:id="848" w:name="_Toc163812775"/>
      <w:r>
        <w:rPr>
          <w:szCs w:val="24"/>
        </w:rPr>
        <w:t>1</w:t>
      </w:r>
      <w:r>
        <w:rPr>
          <w:szCs w:val="24"/>
          <w:lang w:eastAsia="zh-CN"/>
        </w:rPr>
        <w:t>5</w:t>
      </w:r>
      <w:r>
        <w:rPr>
          <w:szCs w:val="24"/>
        </w:rPr>
        <w:t>.5.2</w:t>
      </w:r>
      <w:r>
        <w:rPr>
          <w:szCs w:val="24"/>
          <w:lang w:eastAsia="zh-CN"/>
        </w:rPr>
        <w:t xml:space="preserve"> </w:t>
      </w:r>
      <w:r>
        <w:rPr>
          <w:szCs w:val="24"/>
        </w:rPr>
        <w:t xml:space="preserve"> 瓦斯爆炸环境风险防范措施</w:t>
      </w:r>
      <w:bookmarkEnd w:id="847"/>
      <w:bookmarkEnd w:id="848"/>
    </w:p>
    <w:p>
      <w:pPr>
        <w:spacing w:line="360" w:lineRule="auto"/>
        <w:ind w:firstLine="480"/>
        <w:rPr>
          <w:rFonts w:hAnsi="Times New Roman" w:eastAsia="宋体"/>
          <w:szCs w:val="24"/>
        </w:rPr>
      </w:pPr>
      <w:r>
        <w:rPr>
          <w:rFonts w:hAnsi="Times New Roman" w:eastAsia="宋体"/>
          <w:szCs w:val="24"/>
        </w:rPr>
        <w:t>矿井瓦斯灾害治理必须坚持“先抽后采，监测监控，以风定产”的12字方针，该矿为低瓦斯矿井，宜采用风排瓦斯来降低回采工作面瓦斯涌出量，达到回采工作面生产安全及满足设计生产能力；掘进工作面瓦斯一般情况下采取加强通风即可解决瓦斯问题。</w:t>
      </w:r>
    </w:p>
    <w:p>
      <w:pPr>
        <w:spacing w:line="360" w:lineRule="auto"/>
        <w:ind w:firstLine="480"/>
        <w:rPr>
          <w:rFonts w:hAnsi="Times New Roman" w:eastAsia="宋体"/>
          <w:szCs w:val="24"/>
        </w:rPr>
      </w:pPr>
      <w:r>
        <w:rPr>
          <w:rFonts w:hAnsi="Times New Roman" w:eastAsia="宋体"/>
          <w:szCs w:val="24"/>
          <w:lang w:eastAsia="zh-CN"/>
        </w:rPr>
        <w:t>（1）</w:t>
      </w:r>
      <w:r>
        <w:rPr>
          <w:rFonts w:hAnsi="Times New Roman" w:eastAsia="宋体"/>
          <w:szCs w:val="24"/>
        </w:rPr>
        <w:t>防止瓦斯积聚</w:t>
      </w:r>
    </w:p>
    <w:p>
      <w:pPr>
        <w:spacing w:line="360" w:lineRule="auto"/>
        <w:ind w:firstLine="480"/>
        <w:rPr>
          <w:rFonts w:hAnsi="Times New Roman" w:eastAsia="宋体"/>
          <w:szCs w:val="24"/>
        </w:rPr>
      </w:pPr>
      <w:r>
        <w:rPr>
          <w:rFonts w:hAnsi="Times New Roman" w:eastAsia="宋体"/>
          <w:szCs w:val="24"/>
        </w:rPr>
        <w:t>加强通风是防止瓦斯积聚的有效措施，矿井采掘面都采用上行通风，保证井下所有工作地点有足够风量将井下涌出的瓦斯及时冲淡并排出井外；矿井实行分区通风，同一风路中的采煤工作面与相邻的掘进工作面串联风不得超过一次。掘进巷道采用局部扇风机，设置在进风口侧新鲜风流处。</w:t>
      </w:r>
    </w:p>
    <w:p>
      <w:pPr>
        <w:spacing w:line="360" w:lineRule="auto"/>
        <w:ind w:firstLine="480"/>
        <w:rPr>
          <w:rFonts w:hAnsi="Times New Roman" w:eastAsia="宋体"/>
          <w:szCs w:val="24"/>
        </w:rPr>
      </w:pPr>
      <w:r>
        <w:rPr>
          <w:rFonts w:hAnsi="Times New Roman" w:eastAsia="宋体"/>
          <w:szCs w:val="24"/>
        </w:rPr>
        <w:t>经常检查井下通风情况和瓦斯浓度，建立瓦斯、二氧化碳和其他有害气体检查制度，井下配备便携式甲烷检测报警仪和光学烷检测仪。</w:t>
      </w:r>
    </w:p>
    <w:p>
      <w:pPr>
        <w:spacing w:line="360" w:lineRule="auto"/>
        <w:ind w:firstLine="480"/>
        <w:rPr>
          <w:rFonts w:hAnsi="Times New Roman" w:eastAsia="宋体"/>
          <w:szCs w:val="24"/>
        </w:rPr>
      </w:pPr>
      <w:r>
        <w:rPr>
          <w:rFonts w:hAnsi="Times New Roman" w:eastAsia="宋体"/>
          <w:szCs w:val="24"/>
        </w:rPr>
        <w:t>加大瓦斯积聚地点的风速和风量，强制冲淡瓦斯到允许浓度后排到回风流中；临时停工地点不得停风；停工区域瓦斯浓度达到3%不能立即处理时，必须予以封闭；停风区域必须切断电源；对于瓦斯浓度大的区域必要时应采取封闭抽放瓦斯等措施。</w:t>
      </w:r>
    </w:p>
    <w:p>
      <w:pPr>
        <w:spacing w:line="360" w:lineRule="auto"/>
        <w:ind w:firstLine="480"/>
        <w:rPr>
          <w:rFonts w:hAnsi="Times New Roman" w:eastAsia="宋体"/>
          <w:szCs w:val="24"/>
        </w:rPr>
      </w:pPr>
      <w:r>
        <w:rPr>
          <w:rFonts w:hAnsi="Times New Roman" w:eastAsia="宋体"/>
          <w:szCs w:val="24"/>
          <w:lang w:eastAsia="zh-CN"/>
        </w:rPr>
        <w:t>（2）</w:t>
      </w:r>
      <w:r>
        <w:rPr>
          <w:rFonts w:hAnsi="Times New Roman" w:eastAsia="宋体"/>
          <w:szCs w:val="24"/>
        </w:rPr>
        <w:t>防止瓦斯引燃</w:t>
      </w:r>
    </w:p>
    <w:p>
      <w:pPr>
        <w:spacing w:line="360" w:lineRule="auto"/>
        <w:ind w:firstLine="480"/>
        <w:rPr>
          <w:rFonts w:hAnsi="Times New Roman" w:eastAsia="宋体"/>
          <w:szCs w:val="24"/>
        </w:rPr>
      </w:pPr>
      <w:r>
        <w:rPr>
          <w:rFonts w:hAnsi="Times New Roman" w:eastAsia="宋体"/>
          <w:szCs w:val="24"/>
        </w:rPr>
        <w:t>严禁携带烟草和点火物品下井，矿井中使用安全照明灯，严禁在井下打开矿灯。生产中使用煤矿安全炸药。爆破落煤时，装药量、雷管、炮泥及放炮地点附近的瓦斯浓度必须遵守《煤矿安全规程》的有关规定。采掘工作面及其他作业地点风流中瓦斯浓度达到1.0%时，停止用电钻打眼；爆破地点附近20m以内风流中瓦斯浓度达到1.0%时，严禁放炮。采掘工作面及其他作业点风流中，电动机或开关安设点附近20m内风流中的瓦斯浓度达到1.5%时，必须停止工作，切断电源，撤出人员。井下所有安装电动机和开关地点附近20m的巷道内，都要经过瓦斯检测，必须在瓦斯浓度降到1.0%以下时，方可启动设备。井下设备必须符合《安全规程》要求，主要回风巷、采区进风顺槽及回风顺槽、回采工作面等巷道内的电气设备必须选用防爆型。不得在井下从事焊接工作，如必须在井下焊接时，要制定安全措施。</w:t>
      </w:r>
    </w:p>
    <w:p>
      <w:pPr>
        <w:spacing w:line="360" w:lineRule="auto"/>
        <w:ind w:firstLine="480"/>
        <w:rPr>
          <w:rFonts w:hAnsi="Times New Roman" w:eastAsia="宋体"/>
          <w:szCs w:val="24"/>
        </w:rPr>
      </w:pPr>
      <w:r>
        <w:rPr>
          <w:rFonts w:hAnsi="Times New Roman" w:eastAsia="宋体"/>
          <w:szCs w:val="24"/>
          <w:lang w:eastAsia="zh-CN"/>
        </w:rPr>
        <w:t>（3）</w:t>
      </w:r>
      <w:r>
        <w:rPr>
          <w:rFonts w:hAnsi="Times New Roman" w:eastAsia="宋体"/>
          <w:szCs w:val="24"/>
        </w:rPr>
        <w:t>隔爆措施</w:t>
      </w:r>
    </w:p>
    <w:p>
      <w:pPr>
        <w:spacing w:line="360" w:lineRule="auto"/>
        <w:ind w:firstLine="480"/>
        <w:rPr>
          <w:rFonts w:hAnsi="Times New Roman" w:eastAsia="宋体"/>
          <w:szCs w:val="24"/>
        </w:rPr>
      </w:pPr>
      <w:r>
        <w:rPr>
          <w:rFonts w:hAnsi="Times New Roman" w:eastAsia="宋体"/>
          <w:szCs w:val="24"/>
        </w:rPr>
        <w:t>煤矿井下供配电系统采用矿用隔爆型干式变压器、</w:t>
      </w:r>
      <w:r>
        <w:rPr>
          <w:rFonts w:hAnsi="Times New Roman" w:eastAsia="宋体"/>
          <w:bCs/>
          <w:szCs w:val="24"/>
        </w:rPr>
        <w:t>隔爆型高压真空配电装置等，为井下设备供电，</w:t>
      </w:r>
      <w:r>
        <w:rPr>
          <w:rFonts w:hAnsi="Times New Roman" w:eastAsia="宋体"/>
          <w:szCs w:val="24"/>
        </w:rPr>
        <w:t>暗斜井采用隔爆型提升绞车辅助提升，井下照明采用隔爆型LED巷道灯。降低了发生事故的情况下，相关设备停止运行等危险情况。</w:t>
      </w:r>
    </w:p>
    <w:p>
      <w:pPr>
        <w:spacing w:line="360" w:lineRule="auto"/>
        <w:ind w:firstLine="480"/>
        <w:rPr>
          <w:rFonts w:hAnsi="Times New Roman" w:eastAsia="宋体"/>
          <w:szCs w:val="24"/>
        </w:rPr>
      </w:pPr>
      <w:r>
        <w:rPr>
          <w:rFonts w:hAnsi="Times New Roman" w:eastAsia="宋体"/>
          <w:szCs w:val="24"/>
          <w:lang w:eastAsia="zh-CN"/>
        </w:rPr>
        <w:t>（4）</w:t>
      </w:r>
      <w:r>
        <w:rPr>
          <w:rFonts w:hAnsi="Times New Roman" w:eastAsia="宋体"/>
          <w:szCs w:val="24"/>
        </w:rPr>
        <w:t>监控措施</w:t>
      </w:r>
    </w:p>
    <w:p>
      <w:pPr>
        <w:spacing w:line="360" w:lineRule="auto"/>
        <w:ind w:firstLine="460"/>
        <w:rPr>
          <w:rFonts w:hAnsi="Times New Roman" w:eastAsia="宋体"/>
          <w:szCs w:val="24"/>
        </w:rPr>
      </w:pPr>
      <w:r>
        <w:rPr>
          <w:rFonts w:hAnsi="Times New Roman" w:eastAsia="宋体"/>
          <w:szCs w:val="24"/>
        </w:rPr>
        <w:t>建设煤矿综合监控系统。在采掘工作面、回风巷等地点设置甲烷传感器，并设置安全集中监测系统，对矿井井下甲烷浓度、一氧化碳、温度、风速、负压、二氧化碳、氧气等影响矿井安全的环境参数及矿井主要机电设备的运行状况等进行监测监控，当瓦斯浓度超限时，能够自动报警并切断电源。此外，井下安监人员均配备有个体检测设备。</w:t>
      </w:r>
    </w:p>
    <w:p>
      <w:pPr>
        <w:spacing w:line="360" w:lineRule="auto"/>
        <w:ind w:firstLine="480"/>
        <w:rPr>
          <w:rFonts w:hAnsi="Times New Roman" w:eastAsia="宋体"/>
          <w:szCs w:val="24"/>
        </w:rPr>
      </w:pPr>
      <w:r>
        <w:rPr>
          <w:rFonts w:hAnsi="Times New Roman" w:eastAsia="宋体"/>
          <w:szCs w:val="24"/>
          <w:lang w:eastAsia="zh-CN"/>
        </w:rPr>
        <w:t>七里峡煤矿</w:t>
      </w:r>
      <w:r>
        <w:rPr>
          <w:rFonts w:hAnsi="Times New Roman" w:eastAsia="宋体"/>
          <w:szCs w:val="24"/>
        </w:rPr>
        <w:t>为低瓦斯矿井，无需设置瓦斯集中抽放站。井下瓦斯随回风井排风排出。企业矿井要定期对瓦斯参数测定和瓦斯等级鉴定工作，做好监控。</w:t>
      </w:r>
    </w:p>
    <w:p>
      <w:pPr>
        <w:pStyle w:val="5"/>
        <w:rPr>
          <w:rFonts w:ascii="Times New Roman" w:hAnsi="Times New Roman"/>
          <w:szCs w:val="22"/>
          <w:lang w:eastAsia="zh-CN"/>
        </w:rPr>
      </w:pPr>
      <w:bookmarkStart w:id="849" w:name="_Toc91231700"/>
      <w:bookmarkStart w:id="850" w:name="_Toc167095401"/>
      <w:bookmarkStart w:id="851" w:name="_Toc163749241"/>
      <w:bookmarkStart w:id="852" w:name="_Toc3990"/>
      <w:bookmarkStart w:id="853" w:name="_Toc91420922"/>
      <w:r>
        <w:rPr>
          <w:rFonts w:ascii="Times New Roman" w:hAnsi="Times New Roman"/>
          <w:szCs w:val="22"/>
          <w:lang w:eastAsia="zh-CN"/>
        </w:rPr>
        <w:t>15.6 风险管理</w:t>
      </w:r>
      <w:bookmarkEnd w:id="849"/>
      <w:bookmarkEnd w:id="850"/>
      <w:bookmarkEnd w:id="851"/>
      <w:bookmarkEnd w:id="852"/>
      <w:bookmarkEnd w:id="853"/>
    </w:p>
    <w:p>
      <w:pPr>
        <w:spacing w:line="360" w:lineRule="auto"/>
        <w:ind w:firstLine="480"/>
        <w:rPr>
          <w:rFonts w:hAnsi="Times New Roman" w:eastAsia="宋体"/>
          <w:szCs w:val="24"/>
        </w:rPr>
      </w:pPr>
      <w:r>
        <w:rPr>
          <w:rFonts w:hAnsi="Times New Roman" w:eastAsia="宋体"/>
          <w:szCs w:val="24"/>
        </w:rPr>
        <w:t>（1）安装消防管道设施，配备干粉灭火器、二氧化碳灭火器、正压式防毒面具等；</w:t>
      </w:r>
    </w:p>
    <w:p>
      <w:pPr>
        <w:spacing w:line="360" w:lineRule="auto"/>
        <w:ind w:firstLine="480"/>
        <w:rPr>
          <w:rFonts w:hAnsi="Times New Roman" w:eastAsia="宋体"/>
          <w:szCs w:val="24"/>
        </w:rPr>
      </w:pPr>
      <w:r>
        <w:rPr>
          <w:rFonts w:hAnsi="Times New Roman" w:eastAsia="宋体"/>
          <w:szCs w:val="24"/>
        </w:rPr>
        <w:t>（2）厂区设置双回路电源及备用电源，以保证正常生产和事故应急；</w:t>
      </w:r>
    </w:p>
    <w:p>
      <w:pPr>
        <w:spacing w:line="360" w:lineRule="auto"/>
        <w:ind w:firstLine="480"/>
        <w:rPr>
          <w:rFonts w:hAnsi="Times New Roman" w:eastAsia="宋体"/>
          <w:szCs w:val="24"/>
        </w:rPr>
      </w:pPr>
      <w:r>
        <w:rPr>
          <w:rFonts w:hAnsi="Times New Roman" w:eastAsia="宋体"/>
          <w:szCs w:val="24"/>
        </w:rPr>
        <w:t>（3）应急预案及管理措施建设；加强安全管理，制定严格的岗位责任制度，安全操作注意事项等制度。企业应编制《企业事业单位突发环境事件应急预案》。</w:t>
      </w:r>
    </w:p>
    <w:p>
      <w:pPr>
        <w:pStyle w:val="5"/>
        <w:rPr>
          <w:rFonts w:ascii="Times New Roman" w:hAnsi="Times New Roman"/>
          <w:szCs w:val="22"/>
          <w:lang w:eastAsia="zh-CN"/>
        </w:rPr>
      </w:pPr>
      <w:bookmarkStart w:id="854" w:name="_Toc167095402"/>
      <w:bookmarkStart w:id="855" w:name="_Toc163749242"/>
      <w:bookmarkStart w:id="856" w:name="_Toc91231701"/>
      <w:bookmarkStart w:id="857" w:name="_Toc91420923"/>
      <w:bookmarkStart w:id="858" w:name="_Toc11055"/>
      <w:r>
        <w:rPr>
          <w:rFonts w:ascii="Times New Roman" w:hAnsi="Times New Roman"/>
          <w:szCs w:val="22"/>
          <w:lang w:eastAsia="zh-CN"/>
        </w:rPr>
        <w:t>15.7 环境风险应急预案</w:t>
      </w:r>
      <w:bookmarkEnd w:id="854"/>
      <w:bookmarkEnd w:id="855"/>
      <w:bookmarkEnd w:id="856"/>
      <w:bookmarkEnd w:id="857"/>
      <w:bookmarkEnd w:id="858"/>
    </w:p>
    <w:p>
      <w:pPr>
        <w:pStyle w:val="6"/>
        <w:rPr>
          <w:szCs w:val="24"/>
        </w:rPr>
      </w:pPr>
      <w:bookmarkStart w:id="859" w:name="_Toc163812778"/>
      <w:bookmarkStart w:id="860" w:name="_Toc167095403"/>
      <w:r>
        <w:rPr>
          <w:szCs w:val="24"/>
        </w:rPr>
        <w:t>1</w:t>
      </w:r>
      <w:r>
        <w:rPr>
          <w:szCs w:val="24"/>
          <w:lang w:eastAsia="zh-CN"/>
        </w:rPr>
        <w:t>5</w:t>
      </w:r>
      <w:r>
        <w:rPr>
          <w:szCs w:val="24"/>
        </w:rPr>
        <w:t>.7.1 应急管理机构</w:t>
      </w:r>
      <w:bookmarkEnd w:id="859"/>
      <w:bookmarkEnd w:id="860"/>
    </w:p>
    <w:p>
      <w:pPr>
        <w:spacing w:line="360" w:lineRule="auto"/>
        <w:ind w:firstLine="480"/>
        <w:rPr>
          <w:rFonts w:hAnsi="Times New Roman" w:eastAsia="宋体"/>
          <w:szCs w:val="24"/>
        </w:rPr>
      </w:pPr>
      <w:r>
        <w:rPr>
          <w:rFonts w:hAnsi="Times New Roman" w:eastAsia="宋体"/>
          <w:szCs w:val="24"/>
          <w:lang w:eastAsia="zh-CN"/>
        </w:rPr>
        <w:t>七里峡煤矿</w:t>
      </w:r>
      <w:r>
        <w:rPr>
          <w:rFonts w:hAnsi="Times New Roman" w:eastAsia="宋体"/>
          <w:szCs w:val="24"/>
        </w:rPr>
        <w:t>应设置防灾减灾办公室，便于事故发生时救援工作的组织协调，同时煤矿将配备个体防护用品、矿井救护车、通讯设备、灭火装备、分析化验检测设备和装备工具等，</w:t>
      </w:r>
      <w:r>
        <w:rPr>
          <w:rFonts w:hAnsi="Times New Roman" w:eastAsia="宋体"/>
          <w:szCs w:val="24"/>
          <w:lang w:eastAsia="zh-CN"/>
        </w:rPr>
        <w:t>七里峡煤矿</w:t>
      </w:r>
      <w:r>
        <w:rPr>
          <w:rFonts w:hAnsi="Times New Roman" w:eastAsia="宋体"/>
          <w:szCs w:val="24"/>
        </w:rPr>
        <w:t>救援机构可满足突发事件的应急救援工作。灾害发生时，矿方应积极配合当地乡镇政府抢险救灾。</w:t>
      </w:r>
    </w:p>
    <w:p>
      <w:pPr>
        <w:pStyle w:val="6"/>
        <w:rPr>
          <w:szCs w:val="24"/>
        </w:rPr>
      </w:pPr>
      <w:bookmarkStart w:id="861" w:name="_Toc167095404"/>
      <w:bookmarkStart w:id="862" w:name="_Toc163812779"/>
      <w:r>
        <w:rPr>
          <w:szCs w:val="24"/>
        </w:rPr>
        <w:t>1</w:t>
      </w:r>
      <w:r>
        <w:rPr>
          <w:szCs w:val="24"/>
          <w:lang w:eastAsia="zh-CN"/>
        </w:rPr>
        <w:t>5</w:t>
      </w:r>
      <w:r>
        <w:rPr>
          <w:szCs w:val="24"/>
        </w:rPr>
        <w:t>.7.2 应急机构职责</w:t>
      </w:r>
      <w:bookmarkEnd w:id="861"/>
      <w:bookmarkEnd w:id="862"/>
    </w:p>
    <w:p>
      <w:pPr>
        <w:spacing w:line="360" w:lineRule="auto"/>
        <w:ind w:firstLine="480"/>
        <w:rPr>
          <w:rFonts w:hAnsi="Times New Roman" w:eastAsia="宋体"/>
          <w:szCs w:val="24"/>
        </w:rPr>
      </w:pPr>
      <w:r>
        <w:rPr>
          <w:rFonts w:hAnsi="Times New Roman" w:eastAsia="宋体"/>
          <w:szCs w:val="24"/>
        </w:rPr>
        <w:t>防灾减灾办公室及各工作组在领导小组统一领导下，履行各自工作职责，办公室及各工作任务组职责任务如下：</w:t>
      </w:r>
    </w:p>
    <w:p>
      <w:pPr>
        <w:spacing w:line="360" w:lineRule="auto"/>
        <w:ind w:firstLine="480"/>
        <w:rPr>
          <w:rFonts w:hAnsi="Times New Roman" w:eastAsia="宋体"/>
          <w:szCs w:val="24"/>
        </w:rPr>
      </w:pPr>
      <w:r>
        <w:rPr>
          <w:rFonts w:hAnsi="Times New Roman" w:eastAsia="宋体"/>
          <w:szCs w:val="24"/>
        </w:rPr>
        <w:t>（1）领导小组办公室：主要负责突发性地质灾害和洪灾等抢险救灾的组织、协调、管理和服务工作。</w:t>
      </w:r>
    </w:p>
    <w:p>
      <w:pPr>
        <w:spacing w:line="360" w:lineRule="auto"/>
        <w:ind w:firstLine="480"/>
        <w:rPr>
          <w:rFonts w:hAnsi="Times New Roman" w:eastAsia="宋体"/>
          <w:szCs w:val="24"/>
        </w:rPr>
      </w:pPr>
      <w:r>
        <w:rPr>
          <w:rFonts w:hAnsi="Times New Roman" w:eastAsia="宋体"/>
          <w:szCs w:val="24"/>
        </w:rPr>
        <w:t>（2）宣传动员组：负责宣传国家有关地质灾害防治管理办法；宣传各村寨面临的灾害形式以及防灾减灾措施；根据监测信息动员危险区居民撤离等。</w:t>
      </w:r>
    </w:p>
    <w:p>
      <w:pPr>
        <w:spacing w:line="360" w:lineRule="auto"/>
        <w:ind w:firstLine="480"/>
        <w:rPr>
          <w:rFonts w:hAnsi="Times New Roman" w:eastAsia="宋体"/>
          <w:szCs w:val="24"/>
        </w:rPr>
      </w:pPr>
      <w:r>
        <w:rPr>
          <w:rFonts w:hAnsi="Times New Roman" w:eastAsia="宋体"/>
          <w:szCs w:val="24"/>
        </w:rPr>
        <w:t>（3）信息监测组：按照地质灾害防治主管部门布设的监测点和监测要求进行现场监测，并及时向领导小组报告监测结果，加强暴雨天气的观测。</w:t>
      </w:r>
    </w:p>
    <w:p>
      <w:pPr>
        <w:spacing w:line="360" w:lineRule="auto"/>
        <w:ind w:firstLine="480"/>
        <w:rPr>
          <w:rFonts w:hAnsi="Times New Roman" w:eastAsia="宋体"/>
          <w:szCs w:val="24"/>
        </w:rPr>
      </w:pPr>
      <w:r>
        <w:rPr>
          <w:rFonts w:hAnsi="Times New Roman" w:eastAsia="宋体"/>
          <w:szCs w:val="24"/>
        </w:rPr>
        <w:t>（4）灾害调查组：根据监测信息，负责对险情明显区域的灾害事态、范围、成因、后果等情况进行及时调查，及时报告。</w:t>
      </w:r>
    </w:p>
    <w:p>
      <w:pPr>
        <w:spacing w:line="360" w:lineRule="auto"/>
        <w:ind w:firstLine="480"/>
        <w:rPr>
          <w:rFonts w:hAnsi="Times New Roman" w:eastAsia="宋体"/>
          <w:szCs w:val="24"/>
        </w:rPr>
      </w:pPr>
      <w:r>
        <w:rPr>
          <w:rFonts w:hAnsi="Times New Roman" w:eastAsia="宋体"/>
          <w:szCs w:val="24"/>
        </w:rPr>
        <w:t>（5）人员物资疏散组：负责组织力量，动员疏散危险区内的人员和财产。疏散工作以保障生命为第一任务，必要情况下可采取强制疏散措施。</w:t>
      </w:r>
    </w:p>
    <w:p>
      <w:pPr>
        <w:spacing w:line="360" w:lineRule="auto"/>
        <w:ind w:firstLine="480"/>
        <w:rPr>
          <w:rFonts w:hAnsi="Times New Roman" w:eastAsia="宋体"/>
          <w:szCs w:val="24"/>
        </w:rPr>
      </w:pPr>
      <w:r>
        <w:rPr>
          <w:rFonts w:hAnsi="Times New Roman" w:eastAsia="宋体"/>
          <w:szCs w:val="24"/>
        </w:rPr>
        <w:t>（6）医疗救护及卫生防疫组：负责对灾害所致的伤员和抢险救灾伤员进行紧急抢救，转移医护；负责灾区及灾民安置区卫生防疫。</w:t>
      </w:r>
    </w:p>
    <w:p>
      <w:pPr>
        <w:spacing w:line="360" w:lineRule="auto"/>
        <w:ind w:firstLine="480"/>
        <w:rPr>
          <w:rFonts w:hAnsi="Times New Roman" w:eastAsia="宋体"/>
          <w:szCs w:val="24"/>
        </w:rPr>
      </w:pPr>
      <w:r>
        <w:rPr>
          <w:rFonts w:hAnsi="Times New Roman" w:eastAsia="宋体"/>
          <w:szCs w:val="24"/>
        </w:rPr>
        <w:t>（7）秩序维护组：负责维护灾区抢险的正常治安秩序，维护灾民安置区的正常生活秩序。</w:t>
      </w:r>
    </w:p>
    <w:p>
      <w:pPr>
        <w:spacing w:line="360" w:lineRule="auto"/>
        <w:ind w:firstLine="480"/>
        <w:rPr>
          <w:rFonts w:hAnsi="Times New Roman" w:eastAsia="宋体"/>
          <w:szCs w:val="24"/>
        </w:rPr>
      </w:pPr>
      <w:r>
        <w:rPr>
          <w:rFonts w:hAnsi="Times New Roman" w:eastAsia="宋体"/>
          <w:szCs w:val="24"/>
        </w:rPr>
        <w:t>（8）交通运输组：负责转移安置灾民和财产所需的运输车辆准备，组织</w:t>
      </w:r>
      <w:r>
        <w:rPr>
          <w:rFonts w:hint="eastAsia" w:hAnsi="Times New Roman" w:eastAsia="宋体"/>
          <w:szCs w:val="24"/>
          <w:lang w:eastAsia="zh-CN"/>
        </w:rPr>
        <w:t>救灾物资的</w:t>
      </w:r>
      <w:r>
        <w:rPr>
          <w:rFonts w:hAnsi="Times New Roman" w:eastAsia="宋体"/>
          <w:szCs w:val="24"/>
        </w:rPr>
        <w:t>运输；负责灾中</w:t>
      </w:r>
      <w:r>
        <w:rPr>
          <w:rFonts w:hint="eastAsia" w:hAnsi="Times New Roman" w:eastAsia="宋体"/>
          <w:szCs w:val="24"/>
          <w:lang w:eastAsia="zh-CN"/>
        </w:rPr>
        <w:t>损毁</w:t>
      </w:r>
      <w:r>
        <w:rPr>
          <w:rFonts w:hAnsi="Times New Roman" w:eastAsia="宋体"/>
          <w:szCs w:val="24"/>
        </w:rPr>
        <w:t>道路的管制和灾后的修复。</w:t>
      </w:r>
    </w:p>
    <w:p>
      <w:pPr>
        <w:spacing w:line="360" w:lineRule="auto"/>
        <w:ind w:firstLine="480"/>
        <w:rPr>
          <w:rFonts w:hAnsi="Times New Roman" w:eastAsia="宋体"/>
          <w:szCs w:val="24"/>
        </w:rPr>
      </w:pPr>
      <w:r>
        <w:rPr>
          <w:rFonts w:hAnsi="Times New Roman" w:eastAsia="宋体"/>
          <w:szCs w:val="24"/>
        </w:rPr>
        <w:t>（9）通讯组：</w:t>
      </w:r>
      <w:r>
        <w:rPr>
          <w:rFonts w:hint="eastAsia" w:hAnsi="Times New Roman" w:eastAsia="宋体"/>
          <w:szCs w:val="24"/>
          <w:lang w:eastAsia="zh-CN"/>
        </w:rPr>
        <w:t>负责通信</w:t>
      </w:r>
      <w:r>
        <w:rPr>
          <w:rFonts w:hAnsi="Times New Roman" w:eastAsia="宋体"/>
          <w:szCs w:val="24"/>
        </w:rPr>
        <w:t>设施完好，保证抢险通讯畅通。</w:t>
      </w:r>
    </w:p>
    <w:p>
      <w:pPr>
        <w:spacing w:line="360" w:lineRule="auto"/>
        <w:ind w:firstLine="480"/>
        <w:rPr>
          <w:rFonts w:hAnsi="Times New Roman" w:eastAsia="宋体"/>
          <w:szCs w:val="24"/>
        </w:rPr>
      </w:pPr>
      <w:r>
        <w:rPr>
          <w:rFonts w:hAnsi="Times New Roman" w:eastAsia="宋体"/>
          <w:szCs w:val="24"/>
        </w:rPr>
        <w:t>（10）资金筹备组：负责筹备救灾资金。</w:t>
      </w:r>
    </w:p>
    <w:p>
      <w:pPr>
        <w:pStyle w:val="5"/>
        <w:rPr>
          <w:rFonts w:ascii="Times New Roman" w:hAnsi="Times New Roman"/>
          <w:szCs w:val="22"/>
          <w:lang w:eastAsia="zh-CN"/>
        </w:rPr>
      </w:pPr>
      <w:bookmarkStart w:id="863" w:name="_Toc163749243"/>
      <w:bookmarkStart w:id="864" w:name="_Toc91420924"/>
      <w:bookmarkStart w:id="865" w:name="_Toc167095405"/>
      <w:bookmarkStart w:id="866" w:name="_Toc24984"/>
      <w:bookmarkStart w:id="867" w:name="_Toc91231702"/>
      <w:r>
        <w:rPr>
          <w:rFonts w:ascii="Times New Roman" w:hAnsi="Times New Roman"/>
          <w:szCs w:val="22"/>
          <w:lang w:eastAsia="zh-CN"/>
        </w:rPr>
        <w:t>15.8 环境风险评价结论</w:t>
      </w:r>
      <w:bookmarkEnd w:id="863"/>
      <w:bookmarkEnd w:id="864"/>
      <w:bookmarkEnd w:id="865"/>
      <w:bookmarkEnd w:id="866"/>
      <w:bookmarkEnd w:id="867"/>
    </w:p>
    <w:p>
      <w:pPr>
        <w:spacing w:line="360" w:lineRule="auto"/>
        <w:ind w:firstLine="480"/>
        <w:rPr>
          <w:rFonts w:hAnsi="Times New Roman" w:eastAsia="宋体"/>
          <w:szCs w:val="24"/>
        </w:rPr>
      </w:pPr>
      <w:r>
        <w:rPr>
          <w:rFonts w:hAnsi="Times New Roman" w:eastAsia="宋体"/>
          <w:szCs w:val="24"/>
        </w:rPr>
        <w:t>项目采取设计采取的环境保护措施和报告书提出风险预防、应急措施后，本项目环境风险可防控，因此项目从环境风险角度分析是可行的。</w:t>
      </w:r>
    </w:p>
    <w:p>
      <w:pPr>
        <w:spacing w:line="360" w:lineRule="auto"/>
        <w:ind w:firstLine="480"/>
        <w:rPr>
          <w:rFonts w:hAnsi="Times New Roman" w:eastAsia="宋体"/>
          <w:szCs w:val="24"/>
        </w:rPr>
      </w:pPr>
      <w:r>
        <w:rPr>
          <w:rFonts w:hAnsi="Times New Roman" w:eastAsia="宋体"/>
          <w:szCs w:val="24"/>
        </w:rPr>
        <w:t>基于本次环境风险评价内容，建设项目环境风险简单分析内容汇总见下表。</w:t>
      </w:r>
    </w:p>
    <w:p>
      <w:pPr>
        <w:pStyle w:val="14"/>
        <w:kinsoku w:val="0"/>
        <w:overflowPunct w:val="0"/>
        <w:spacing w:line="360" w:lineRule="auto"/>
        <w:jc w:val="center"/>
        <w:rPr>
          <w:rFonts w:ascii="Times New Roman" w:hAnsi="Times New Roman"/>
          <w:b/>
          <w:sz w:val="21"/>
          <w:szCs w:val="21"/>
        </w:rPr>
      </w:pPr>
      <w:r>
        <w:rPr>
          <w:rFonts w:ascii="Times New Roman" w:hAnsi="Times New Roman"/>
          <w:b/>
          <w:sz w:val="21"/>
          <w:szCs w:val="21"/>
        </w:rPr>
        <w:t>表15.8-1 建设项目环境风险简单分析内容表</w:t>
      </w:r>
    </w:p>
    <w:tbl>
      <w:tblPr>
        <w:tblStyle w:val="33"/>
        <w:tblW w:w="934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41"/>
        <w:gridCol w:w="541"/>
        <w:gridCol w:w="1632"/>
        <w:gridCol w:w="1687"/>
        <w:gridCol w:w="1257"/>
        <w:gridCol w:w="1171"/>
        <w:gridCol w:w="13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2" w:type="dxa"/>
            <w:gridSpan w:val="2"/>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建设项目名称</w:t>
            </w:r>
          </w:p>
        </w:tc>
        <w:tc>
          <w:tcPr>
            <w:tcW w:w="7060" w:type="dxa"/>
            <w:gridSpan w:val="5"/>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达州市</w:t>
            </w:r>
            <w:r>
              <w:rPr>
                <w:rFonts w:hint="eastAsia" w:hAnsi="Times New Roman" w:eastAsia="宋体"/>
                <w:kern w:val="2"/>
                <w:sz w:val="21"/>
                <w:szCs w:val="21"/>
              </w:rPr>
              <w:t>宣汉县</w:t>
            </w:r>
            <w:r>
              <w:rPr>
                <w:rFonts w:hint="eastAsia" w:hAnsi="Times New Roman" w:eastAsia="宋体"/>
                <w:kern w:val="2"/>
                <w:sz w:val="21"/>
                <w:szCs w:val="21"/>
                <w:lang w:eastAsia="zh-CN"/>
              </w:rPr>
              <w:t>七里峡</w:t>
            </w:r>
            <w:r>
              <w:rPr>
                <w:rFonts w:hint="eastAsia" w:hAnsi="Times New Roman" w:eastAsia="宋体"/>
                <w:kern w:val="2"/>
                <w:sz w:val="21"/>
                <w:szCs w:val="21"/>
              </w:rPr>
              <w:t>矿业有限公司</w:t>
            </w:r>
            <w:r>
              <w:rPr>
                <w:rFonts w:hint="eastAsia" w:hAnsi="Times New Roman" w:eastAsia="宋体"/>
                <w:kern w:val="2"/>
                <w:sz w:val="21"/>
                <w:szCs w:val="21"/>
                <w:lang w:eastAsia="zh-CN"/>
              </w:rPr>
              <w:t>七里峡煤矿</w:t>
            </w:r>
            <w:r>
              <w:rPr>
                <w:rFonts w:hint="eastAsia" w:hAnsi="Times New Roman" w:eastAsia="宋体"/>
                <w:kern w:val="2"/>
                <w:sz w:val="21"/>
                <w:szCs w:val="21"/>
              </w:rPr>
              <w:t>30万吨</w:t>
            </w:r>
            <w:r>
              <w:rPr>
                <w:rFonts w:hint="eastAsia" w:hAnsi="Times New Roman" w:eastAsia="宋体"/>
                <w:kern w:val="2"/>
                <w:sz w:val="21"/>
                <w:szCs w:val="21"/>
                <w:lang w:eastAsia="zh-CN"/>
              </w:rPr>
              <w:t>/年独立审计改造</w:t>
            </w:r>
            <w:r>
              <w:rPr>
                <w:rFonts w:hint="eastAsia" w:hAnsi="Times New Roman" w:eastAsia="宋体"/>
                <w:kern w:val="2"/>
                <w:sz w:val="21"/>
                <w:szCs w:val="21"/>
              </w:rPr>
              <w:t>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2" w:type="dxa"/>
            <w:gridSpan w:val="2"/>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建设地点</w:t>
            </w:r>
          </w:p>
        </w:tc>
        <w:tc>
          <w:tcPr>
            <w:tcW w:w="1632"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（四川）省</w:t>
            </w:r>
          </w:p>
        </w:tc>
        <w:tc>
          <w:tcPr>
            <w:tcW w:w="168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w:t>
            </w:r>
            <w:r>
              <w:rPr>
                <w:rFonts w:hint="eastAsia" w:hAnsi="Times New Roman" w:eastAsia="宋体"/>
                <w:kern w:val="2"/>
                <w:sz w:val="21"/>
                <w:szCs w:val="21"/>
                <w:lang w:eastAsia="zh-CN"/>
              </w:rPr>
              <w:t>达州</w:t>
            </w:r>
            <w:r>
              <w:rPr>
                <w:rFonts w:hint="eastAsia" w:hAnsi="Times New Roman" w:eastAsia="宋体"/>
                <w:kern w:val="2"/>
                <w:sz w:val="21"/>
                <w:szCs w:val="21"/>
              </w:rPr>
              <w:t>）市</w:t>
            </w:r>
          </w:p>
        </w:tc>
        <w:tc>
          <w:tcPr>
            <w:tcW w:w="125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（宣汉县）区</w:t>
            </w:r>
          </w:p>
        </w:tc>
        <w:tc>
          <w:tcPr>
            <w:tcW w:w="1171"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（天生）镇</w:t>
            </w:r>
          </w:p>
        </w:tc>
        <w:tc>
          <w:tcPr>
            <w:tcW w:w="1313"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洞宫社区神龙路1号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2" w:type="dxa"/>
            <w:gridSpan w:val="2"/>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地理坐标</w:t>
            </w:r>
          </w:p>
        </w:tc>
        <w:tc>
          <w:tcPr>
            <w:tcW w:w="1632"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经度</w:t>
            </w:r>
          </w:p>
        </w:tc>
        <w:tc>
          <w:tcPr>
            <w:tcW w:w="168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107°44′17″</w:t>
            </w:r>
          </w:p>
        </w:tc>
        <w:tc>
          <w:tcPr>
            <w:tcW w:w="1257"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纬度</w:t>
            </w:r>
          </w:p>
        </w:tc>
        <w:tc>
          <w:tcPr>
            <w:tcW w:w="2484" w:type="dxa"/>
            <w:gridSpan w:val="2"/>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lang w:eastAsia="zh-CN"/>
              </w:rPr>
              <w:t>31°11′26″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2" w:type="dxa"/>
            <w:gridSpan w:val="2"/>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主要危险物质及分布</w:t>
            </w:r>
          </w:p>
        </w:tc>
        <w:tc>
          <w:tcPr>
            <w:tcW w:w="7060" w:type="dxa"/>
            <w:gridSpan w:val="5"/>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矿井瓦斯，在矿井内；</w:t>
            </w:r>
            <w:r>
              <w:rPr>
                <w:rFonts w:hint="eastAsia" w:hAnsi="Times New Roman" w:eastAsia="宋体"/>
                <w:kern w:val="2"/>
                <w:sz w:val="21"/>
                <w:szCs w:val="21"/>
                <w:lang w:eastAsia="zh-CN"/>
              </w:rPr>
              <w:t>废机油</w:t>
            </w:r>
            <w:r>
              <w:rPr>
                <w:rFonts w:hint="eastAsia" w:hAnsi="Times New Roman" w:eastAsia="宋体"/>
                <w:kern w:val="2"/>
                <w:sz w:val="21"/>
                <w:szCs w:val="21"/>
              </w:rPr>
              <w:t>等油类储存于</w:t>
            </w:r>
            <w:r>
              <w:rPr>
                <w:rFonts w:hint="eastAsia" w:hAnsi="Times New Roman" w:eastAsia="宋体"/>
                <w:kern w:val="2"/>
                <w:sz w:val="21"/>
                <w:szCs w:val="21"/>
                <w:lang w:eastAsia="zh-CN"/>
              </w:rPr>
              <w:t>机油桶</w:t>
            </w:r>
            <w:r>
              <w:rPr>
                <w:rFonts w:hint="eastAsia" w:hAnsi="Times New Roman" w:eastAsia="宋体"/>
                <w:kern w:val="2"/>
                <w:sz w:val="21"/>
                <w:szCs w:val="21"/>
              </w:rPr>
              <w:t>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2" w:type="dxa"/>
            <w:gridSpan w:val="2"/>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环境影响途径及危害后果（大气、地表水、地下水等）</w:t>
            </w:r>
          </w:p>
        </w:tc>
        <w:tc>
          <w:tcPr>
            <w:tcW w:w="7060" w:type="dxa"/>
            <w:gridSpan w:val="5"/>
            <w:vAlign w:val="center"/>
          </w:tcPr>
          <w:p>
            <w:pPr>
              <w:keepNext w:val="0"/>
              <w:keepLines w:val="0"/>
              <w:widowControl/>
              <w:suppressLineNumbers w:val="0"/>
              <w:spacing w:before="0" w:beforeAutospacing="0" w:after="0" w:afterAutospacing="0"/>
              <w:ind w:left="0" w:right="0"/>
              <w:jc w:val="left"/>
              <w:rPr>
                <w:rFonts w:hint="eastAsia" w:hAnsi="Times New Roman" w:eastAsia="宋体"/>
                <w:kern w:val="2"/>
                <w:sz w:val="21"/>
                <w:szCs w:val="21"/>
                <w:lang w:bidi="ar"/>
              </w:rPr>
            </w:pPr>
            <w:r>
              <w:rPr>
                <w:rFonts w:hint="eastAsia" w:hAnsi="Times New Roman" w:eastAsia="宋体"/>
                <w:kern w:val="2"/>
                <w:sz w:val="21"/>
                <w:szCs w:val="21"/>
                <w:lang w:bidi="ar"/>
              </w:rPr>
              <w:t>甲烷发生火灾、爆炸过程中，伴生/次生的一氧化碳废气，造成大气环境污染事故。</w:t>
            </w:r>
            <w:r>
              <w:rPr>
                <w:rFonts w:hint="eastAsia" w:hAnsi="Times New Roman" w:eastAsia="宋体"/>
                <w:kern w:val="2"/>
                <w:sz w:val="21"/>
                <w:szCs w:val="21"/>
                <w:lang w:eastAsia="zh-CN" w:bidi="ar"/>
              </w:rPr>
              <w:t>机油</w:t>
            </w:r>
            <w:r>
              <w:rPr>
                <w:rFonts w:hint="eastAsia" w:hAnsi="Times New Roman" w:eastAsia="宋体"/>
                <w:kern w:val="2"/>
                <w:sz w:val="21"/>
                <w:szCs w:val="21"/>
                <w:lang w:bidi="ar"/>
              </w:rPr>
              <w:t>发生燃烧爆炸，伴生/次生的一氧化碳废气，造成大气环境污染事故。</w:t>
            </w:r>
          </w:p>
          <w:p>
            <w:pPr>
              <w:keepNext w:val="0"/>
              <w:keepLines w:val="0"/>
              <w:widowControl/>
              <w:suppressLineNumbers w:val="0"/>
              <w:spacing w:before="0" w:beforeAutospacing="0" w:after="0" w:afterAutospacing="0"/>
              <w:ind w:left="0" w:right="0"/>
              <w:jc w:val="left"/>
              <w:rPr>
                <w:rFonts w:hint="eastAsia" w:hAnsi="Times New Roman" w:eastAsia="宋体"/>
                <w:kern w:val="2"/>
                <w:sz w:val="21"/>
                <w:szCs w:val="21"/>
                <w:lang w:bidi="ar"/>
              </w:rPr>
            </w:pPr>
            <w:r>
              <w:rPr>
                <w:rFonts w:hint="eastAsia" w:hAnsi="Times New Roman" w:eastAsia="宋体"/>
                <w:kern w:val="2"/>
                <w:sz w:val="21"/>
                <w:szCs w:val="21"/>
                <w:lang w:bidi="ar"/>
              </w:rPr>
              <w:t>扑救火灾使用大量的消防废水，消防废水地表漫流进入地表水体，造成区域地表水、地下水环境污染事故。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82" w:type="dxa"/>
            <w:gridSpan w:val="2"/>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rPr>
            </w:pPr>
            <w:r>
              <w:rPr>
                <w:rFonts w:hint="eastAsia" w:hAnsi="Times New Roman" w:eastAsia="宋体"/>
                <w:kern w:val="2"/>
                <w:sz w:val="21"/>
                <w:szCs w:val="21"/>
              </w:rPr>
              <w:t>风险防范措施要求</w:t>
            </w:r>
          </w:p>
        </w:tc>
        <w:tc>
          <w:tcPr>
            <w:tcW w:w="7060" w:type="dxa"/>
            <w:gridSpan w:val="5"/>
            <w:vAlign w:val="center"/>
          </w:tcPr>
          <w:p>
            <w:pPr>
              <w:keepNext w:val="0"/>
              <w:keepLines w:val="0"/>
              <w:widowControl/>
              <w:suppressLineNumbers w:val="0"/>
              <w:spacing w:before="0" w:beforeAutospacing="0" w:after="0" w:afterAutospacing="0"/>
              <w:ind w:left="0" w:right="0"/>
              <w:jc w:val="left"/>
              <w:rPr>
                <w:rFonts w:hint="eastAsia" w:hAnsi="Times New Roman" w:eastAsia="宋体"/>
                <w:kern w:val="2"/>
                <w:sz w:val="21"/>
                <w:szCs w:val="21"/>
                <w:lang w:bidi="ar"/>
              </w:rPr>
            </w:pPr>
            <w:r>
              <w:rPr>
                <w:rFonts w:hint="eastAsia" w:hAnsi="Times New Roman" w:eastAsia="宋体"/>
                <w:kern w:val="2"/>
                <w:sz w:val="21"/>
                <w:szCs w:val="21"/>
                <w:lang w:bidi="ar"/>
              </w:rPr>
              <w:t>1、矿井水、生活污水处理过程中池、渠采取防渗处理；</w:t>
            </w:r>
          </w:p>
          <w:p>
            <w:pPr>
              <w:keepNext w:val="0"/>
              <w:keepLines w:val="0"/>
              <w:widowControl/>
              <w:suppressLineNumbers w:val="0"/>
              <w:spacing w:before="0" w:beforeAutospacing="0" w:after="0" w:afterAutospacing="0"/>
              <w:ind w:left="0" w:right="0"/>
              <w:jc w:val="left"/>
              <w:rPr>
                <w:rFonts w:hint="eastAsia" w:hAnsi="Times New Roman" w:eastAsia="宋体"/>
                <w:kern w:val="2"/>
                <w:sz w:val="21"/>
                <w:szCs w:val="21"/>
                <w:lang w:bidi="ar"/>
              </w:rPr>
            </w:pPr>
            <w:r>
              <w:rPr>
                <w:rFonts w:hint="eastAsia" w:hAnsi="Times New Roman" w:eastAsia="宋体"/>
                <w:kern w:val="2"/>
                <w:sz w:val="21"/>
                <w:szCs w:val="21"/>
                <w:lang w:bidi="ar"/>
              </w:rPr>
              <w:t>2、加强矿井水文地质工作和防治水工作，严格落实《煤矿安全规程</w:t>
            </w:r>
            <w:r>
              <w:rPr>
                <w:rFonts w:hint="eastAsia" w:hAnsi="Times New Roman" w:eastAsia="宋体"/>
                <w:kern w:val="2"/>
                <w:sz w:val="21"/>
                <w:szCs w:val="21"/>
                <w:lang w:eastAsia="zh-CN" w:bidi="ar"/>
              </w:rPr>
              <w:t>》《</w:t>
            </w:r>
            <w:r>
              <w:rPr>
                <w:rFonts w:hint="eastAsia" w:hAnsi="Times New Roman" w:eastAsia="宋体"/>
                <w:kern w:val="2"/>
                <w:sz w:val="21"/>
                <w:szCs w:val="21"/>
                <w:lang w:bidi="ar"/>
              </w:rPr>
              <w:t>煤矿防治水细则》要求，杜绝矿井突水事故；</w:t>
            </w:r>
          </w:p>
          <w:p>
            <w:pPr>
              <w:keepNext w:val="0"/>
              <w:keepLines w:val="0"/>
              <w:widowControl/>
              <w:suppressLineNumbers w:val="0"/>
              <w:spacing w:before="0" w:beforeAutospacing="0" w:after="0" w:afterAutospacing="0"/>
              <w:ind w:left="0" w:right="0"/>
              <w:jc w:val="left"/>
              <w:rPr>
                <w:rFonts w:hint="eastAsia" w:hAnsi="Times New Roman" w:eastAsia="宋体"/>
                <w:kern w:val="2"/>
                <w:sz w:val="21"/>
                <w:szCs w:val="21"/>
                <w:lang w:bidi="ar"/>
              </w:rPr>
            </w:pPr>
            <w:r>
              <w:rPr>
                <w:rFonts w:hint="eastAsia" w:hAnsi="Times New Roman" w:eastAsia="宋体"/>
                <w:kern w:val="2"/>
                <w:sz w:val="21"/>
                <w:szCs w:val="21"/>
                <w:lang w:bidi="ar"/>
              </w:rPr>
              <w:t>3、当矿井涌水量观测有增大趋势时，及时建设处理站预留的设施；</w:t>
            </w:r>
          </w:p>
          <w:p>
            <w:pPr>
              <w:keepNext w:val="0"/>
              <w:keepLines w:val="0"/>
              <w:widowControl/>
              <w:suppressLineNumbers w:val="0"/>
              <w:spacing w:before="0" w:beforeAutospacing="0" w:after="0" w:afterAutospacing="0"/>
              <w:ind w:left="0" w:right="0"/>
              <w:jc w:val="left"/>
              <w:rPr>
                <w:rFonts w:hint="eastAsia" w:hAnsi="Times New Roman" w:eastAsia="宋体"/>
                <w:kern w:val="2"/>
                <w:sz w:val="21"/>
                <w:szCs w:val="21"/>
                <w:lang w:bidi="ar"/>
              </w:rPr>
            </w:pPr>
            <w:r>
              <w:rPr>
                <w:rFonts w:hint="eastAsia" w:hAnsi="Times New Roman" w:eastAsia="宋体"/>
                <w:kern w:val="2"/>
                <w:sz w:val="21"/>
                <w:szCs w:val="21"/>
                <w:lang w:bidi="ar"/>
              </w:rPr>
              <w:t>4、矿井水、生活污水处理站采用双回路供电；</w:t>
            </w:r>
          </w:p>
          <w:p>
            <w:pPr>
              <w:keepNext w:val="0"/>
              <w:keepLines w:val="0"/>
              <w:widowControl/>
              <w:suppressLineNumbers w:val="0"/>
              <w:spacing w:before="0" w:beforeAutospacing="0" w:after="0" w:afterAutospacing="0"/>
              <w:ind w:left="0" w:right="0"/>
              <w:jc w:val="left"/>
              <w:rPr>
                <w:rFonts w:hint="eastAsia" w:hAnsi="Times New Roman" w:eastAsia="宋体"/>
                <w:kern w:val="2"/>
                <w:sz w:val="21"/>
                <w:szCs w:val="21"/>
                <w:lang w:bidi="ar"/>
              </w:rPr>
            </w:pPr>
            <w:r>
              <w:rPr>
                <w:rFonts w:hint="eastAsia" w:hAnsi="Times New Roman" w:eastAsia="宋体"/>
                <w:kern w:val="2"/>
                <w:sz w:val="21"/>
                <w:szCs w:val="21"/>
                <w:lang w:bidi="ar"/>
              </w:rPr>
              <w:t>5、矿井水处理设施、生活污水处理设施出现事故后应及时进行修理，加强日常设施的维护和保养。</w:t>
            </w:r>
          </w:p>
          <w:p>
            <w:pPr>
              <w:keepNext w:val="0"/>
              <w:keepLines w:val="0"/>
              <w:widowControl/>
              <w:suppressLineNumbers w:val="0"/>
              <w:spacing w:before="0" w:beforeAutospacing="0" w:after="0" w:afterAutospacing="0"/>
              <w:ind w:left="0" w:right="0"/>
              <w:jc w:val="left"/>
              <w:rPr>
                <w:rFonts w:hint="eastAsia" w:hAnsi="Times New Roman" w:eastAsia="宋体"/>
                <w:kern w:val="2"/>
                <w:sz w:val="21"/>
                <w:szCs w:val="21"/>
                <w:lang w:bidi="ar"/>
              </w:rPr>
            </w:pPr>
            <w:r>
              <w:rPr>
                <w:rFonts w:hint="eastAsia" w:hAnsi="Times New Roman" w:eastAsia="宋体"/>
                <w:kern w:val="2"/>
                <w:sz w:val="21"/>
                <w:szCs w:val="21"/>
                <w:lang w:bidi="ar"/>
              </w:rPr>
              <w:t>6、加强</w:t>
            </w:r>
            <w:r>
              <w:rPr>
                <w:rFonts w:hint="eastAsia" w:hAnsi="Times New Roman" w:eastAsia="宋体"/>
                <w:kern w:val="2"/>
                <w:sz w:val="21"/>
                <w:szCs w:val="21"/>
                <w:lang w:eastAsia="zh-CN" w:bidi="ar"/>
              </w:rPr>
              <w:t>机油</w:t>
            </w:r>
            <w:r>
              <w:rPr>
                <w:rFonts w:hint="eastAsia" w:hAnsi="Times New Roman" w:eastAsia="宋体"/>
                <w:kern w:val="2"/>
                <w:sz w:val="21"/>
                <w:szCs w:val="21"/>
                <w:lang w:bidi="ar"/>
              </w:rPr>
              <w:t>储存点防渗、消防措施</w:t>
            </w:r>
          </w:p>
          <w:p>
            <w:pPr>
              <w:keepNext w:val="0"/>
              <w:keepLines w:val="0"/>
              <w:widowControl/>
              <w:suppressLineNumbers w:val="0"/>
              <w:spacing w:before="0" w:beforeAutospacing="0" w:after="0" w:afterAutospacing="0"/>
              <w:ind w:left="0" w:right="0"/>
              <w:jc w:val="left"/>
              <w:rPr>
                <w:rFonts w:hint="eastAsia" w:hAnsi="Times New Roman" w:eastAsia="宋体"/>
                <w:kern w:val="2"/>
                <w:sz w:val="21"/>
                <w:szCs w:val="21"/>
                <w:lang w:bidi="ar"/>
              </w:rPr>
            </w:pPr>
            <w:r>
              <w:rPr>
                <w:rFonts w:hint="eastAsia" w:hAnsi="Times New Roman" w:eastAsia="宋体"/>
                <w:kern w:val="2"/>
                <w:sz w:val="21"/>
                <w:szCs w:val="21"/>
                <w:lang w:bidi="ar"/>
              </w:rPr>
              <w:t>风险防范措施要求详见</w:t>
            </w:r>
            <w:r>
              <w:rPr>
                <w:rFonts w:hint="eastAsia" w:hAnsi="Times New Roman" w:eastAsia="宋体"/>
                <w:kern w:val="2"/>
                <w:sz w:val="21"/>
                <w:szCs w:val="21"/>
                <w:lang w:eastAsia="zh-CN" w:bidi="ar"/>
              </w:rPr>
              <w:t>13</w:t>
            </w:r>
            <w:r>
              <w:rPr>
                <w:rFonts w:hint="eastAsia" w:hAnsi="Times New Roman" w:eastAsia="宋体"/>
                <w:kern w:val="2"/>
                <w:sz w:val="21"/>
                <w:szCs w:val="21"/>
                <w:lang w:bidi="ar"/>
              </w:rPr>
              <w:t>.5节。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342" w:type="dxa"/>
            <w:gridSpan w:val="7"/>
            <w:vAlign w:val="center"/>
          </w:tcPr>
          <w:p>
            <w:pPr>
              <w:keepNext w:val="0"/>
              <w:keepLines w:val="0"/>
              <w:suppressLineNumbers w:val="0"/>
              <w:spacing w:before="0" w:beforeAutospacing="0" w:after="0" w:afterAutospacing="0"/>
              <w:ind w:left="0" w:right="0"/>
              <w:rPr>
                <w:rFonts w:hint="eastAsia" w:hAnsi="Times New Roman" w:eastAsia="宋体"/>
                <w:kern w:val="2"/>
                <w:sz w:val="21"/>
                <w:szCs w:val="21"/>
              </w:rPr>
            </w:pPr>
            <w:r>
              <w:rPr>
                <w:rFonts w:hint="eastAsia" w:hAnsi="Times New Roman" w:eastAsia="宋体"/>
                <w:kern w:val="2"/>
                <w:sz w:val="21"/>
                <w:szCs w:val="21"/>
              </w:rPr>
              <w:t>填表说明（列出项目相关信息及评价说明）：</w:t>
            </w:r>
          </w:p>
          <w:p>
            <w:pPr>
              <w:keepNext w:val="0"/>
              <w:keepLines w:val="0"/>
              <w:suppressLineNumbers w:val="0"/>
              <w:spacing w:before="0" w:beforeAutospacing="0" w:after="0" w:afterAutospacing="0"/>
              <w:ind w:left="0" w:right="0" w:firstLine="420" w:firstLineChars="200"/>
              <w:rPr>
                <w:rFonts w:hint="eastAsia" w:hAnsi="Times New Roman" w:eastAsia="宋体"/>
                <w:kern w:val="2"/>
                <w:sz w:val="21"/>
                <w:szCs w:val="21"/>
              </w:rPr>
            </w:pPr>
            <w:r>
              <w:rPr>
                <w:rFonts w:hint="eastAsia" w:hAnsi="Times New Roman" w:eastAsia="宋体"/>
                <w:kern w:val="2"/>
                <w:sz w:val="21"/>
                <w:szCs w:val="21"/>
              </w:rPr>
              <w:t>项目危险物质数量与临界量比值Q＜1，项目的环境风险潜势为Ⅰ，可开展简单分析，采取风险防范措施后，项目的环境风险水平处于可接受水平。建设单位已根据国家相关法律、法规编制了矿山应急预案。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41" w:type="dxa"/>
            <w:vAlign w:val="center"/>
          </w:tcPr>
          <w:p>
            <w:pPr>
              <w:keepNext w:val="0"/>
              <w:keepLines w:val="0"/>
              <w:suppressLineNumbers w:val="0"/>
              <w:spacing w:before="0" w:beforeAutospacing="0" w:after="0" w:afterAutospacing="0"/>
              <w:ind w:left="0" w:right="0"/>
              <w:jc w:val="center"/>
              <w:rPr>
                <w:rFonts w:hint="eastAsia" w:hAnsi="Times New Roman" w:eastAsia="宋体"/>
                <w:kern w:val="2"/>
                <w:sz w:val="18"/>
                <w:szCs w:val="18"/>
              </w:rPr>
            </w:pPr>
            <w:r>
              <w:rPr>
                <w:rFonts w:hint="eastAsia" w:hAnsi="Times New Roman" w:eastAsia="宋体"/>
                <w:kern w:val="2"/>
                <w:sz w:val="18"/>
                <w:szCs w:val="18"/>
              </w:rPr>
              <w:t>评价结论与建议</w:t>
            </w:r>
          </w:p>
        </w:tc>
        <w:tc>
          <w:tcPr>
            <w:tcW w:w="7601" w:type="dxa"/>
            <w:gridSpan w:val="6"/>
            <w:vAlign w:val="center"/>
          </w:tcPr>
          <w:p>
            <w:pPr>
              <w:keepNext w:val="0"/>
              <w:keepLines w:val="0"/>
              <w:suppressLineNumbers w:val="0"/>
              <w:spacing w:before="0" w:beforeAutospacing="0" w:after="0" w:afterAutospacing="0"/>
              <w:ind w:left="0" w:right="0"/>
              <w:rPr>
                <w:rFonts w:hint="eastAsia" w:hAnsi="Times New Roman" w:eastAsia="宋体"/>
                <w:kern w:val="2"/>
                <w:sz w:val="18"/>
                <w:szCs w:val="18"/>
              </w:rPr>
            </w:pPr>
            <w:r>
              <w:rPr>
                <w:rFonts w:hint="eastAsia" w:hAnsi="Times New Roman" w:eastAsia="宋体"/>
                <w:kern w:val="2"/>
                <w:sz w:val="18"/>
                <w:szCs w:val="18"/>
              </w:rPr>
              <w:t>项目采取设计采取的环境保护措施和报告书提出风险预防、应急措施后，本项目环境风险可防控，因此项目从环境风险角度分析是可行的。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342" w:type="dxa"/>
            <w:gridSpan w:val="7"/>
            <w:vAlign w:val="center"/>
          </w:tcPr>
          <w:p>
            <w:pPr>
              <w:keepNext w:val="0"/>
              <w:keepLines w:val="0"/>
              <w:suppressLineNumbers w:val="0"/>
              <w:spacing w:before="0" w:beforeAutospacing="0" w:after="0" w:afterAutospacing="0"/>
              <w:ind w:left="0" w:right="0"/>
              <w:rPr>
                <w:rFonts w:hint="eastAsia" w:hAnsi="Times New Roman" w:eastAsia="宋体"/>
                <w:kern w:val="2"/>
                <w:sz w:val="18"/>
                <w:szCs w:val="18"/>
              </w:rPr>
            </w:pPr>
            <w:r>
              <w:rPr>
                <w:rFonts w:hint="eastAsia" w:hAnsi="Times New Roman" w:eastAsia="宋体"/>
                <w:kern w:val="2"/>
                <w:sz w:val="18"/>
                <w:szCs w:val="18"/>
              </w:rPr>
              <w:t>注：“□”为勾选项；“”为内容填写项</w:t>
            </w:r>
          </w:p>
        </w:tc>
      </w:tr>
    </w:tbl>
    <w:p>
      <w:pPr>
        <w:pStyle w:val="5"/>
        <w:rPr>
          <w:rFonts w:ascii="Times New Roman" w:hAnsi="Times New Roman"/>
          <w:szCs w:val="22"/>
          <w:lang w:eastAsia="zh-CN"/>
        </w:rPr>
      </w:pPr>
      <w:bookmarkStart w:id="868" w:name="_Toc167095406"/>
      <w:bookmarkStart w:id="869" w:name="_Toc163749244"/>
      <w:r>
        <w:rPr>
          <w:rFonts w:ascii="Times New Roman" w:hAnsi="Times New Roman"/>
          <w:szCs w:val="22"/>
          <w:lang w:eastAsia="zh-CN"/>
        </w:rPr>
        <w:t>15.9 环境风险评价自查表</w:t>
      </w:r>
      <w:bookmarkEnd w:id="868"/>
      <w:bookmarkEnd w:id="869"/>
    </w:p>
    <w:p>
      <w:pPr>
        <w:pStyle w:val="14"/>
        <w:kinsoku w:val="0"/>
        <w:overflowPunct w:val="0"/>
        <w:spacing w:line="360" w:lineRule="auto"/>
        <w:jc w:val="center"/>
        <w:rPr>
          <w:rFonts w:ascii="Times New Roman" w:hAnsi="Times New Roman"/>
          <w:b/>
          <w:sz w:val="21"/>
          <w:szCs w:val="21"/>
        </w:rPr>
      </w:pPr>
      <w:r>
        <w:rPr>
          <w:rFonts w:ascii="Times New Roman" w:hAnsi="Times New Roman"/>
          <w:b/>
          <w:sz w:val="21"/>
          <w:szCs w:val="21"/>
        </w:rPr>
        <w:t>表15.9-1 项目环境风险评价自查表</w:t>
      </w:r>
    </w:p>
    <w:tbl>
      <w:tblPr>
        <w:tblStyle w:val="34"/>
        <w:tblW w:w="92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8"/>
        <w:gridCol w:w="727"/>
        <w:gridCol w:w="1142"/>
        <w:gridCol w:w="756"/>
        <w:gridCol w:w="143"/>
        <w:gridCol w:w="680"/>
        <w:gridCol w:w="176"/>
        <w:gridCol w:w="586"/>
        <w:gridCol w:w="599"/>
        <w:gridCol w:w="569"/>
        <w:gridCol w:w="791"/>
        <w:gridCol w:w="382"/>
        <w:gridCol w:w="299"/>
        <w:gridCol w:w="284"/>
        <w:gridCol w:w="17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13" w:type="dxa"/>
            <w:gridSpan w:val="4"/>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工作内容</w:t>
            </w:r>
          </w:p>
        </w:tc>
        <w:tc>
          <w:tcPr>
            <w:tcW w:w="6267" w:type="dxa"/>
            <w:gridSpan w:val="11"/>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完成情况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8" w:type="dxa"/>
            <w:vMerge w:val="restart"/>
            <w:vAlign w:val="center"/>
          </w:tcPr>
          <w:p>
            <w:pPr>
              <w:keepNext w:val="0"/>
              <w:keepLines w:val="0"/>
              <w:suppressLineNumbers w:val="0"/>
              <w:spacing w:before="0" w:beforeAutospacing="0" w:after="0" w:afterAutospacing="0" w:line="280" w:lineRule="exact"/>
              <w:ind w:left="-98" w:leftChars="-41" w:right="-106" w:rightChars="-44"/>
              <w:jc w:val="center"/>
              <w:rPr>
                <w:rFonts w:hint="eastAsia" w:hAnsi="Times New Roman" w:eastAsia="宋体"/>
                <w:kern w:val="2"/>
                <w:sz w:val="21"/>
                <w:szCs w:val="21"/>
              </w:rPr>
            </w:pPr>
            <w:r>
              <w:rPr>
                <w:rFonts w:hint="eastAsia" w:hAnsi="Times New Roman" w:eastAsia="宋体"/>
                <w:kern w:val="2"/>
                <w:sz w:val="21"/>
                <w:szCs w:val="21"/>
              </w:rPr>
              <w:t>风险调查</w:t>
            </w:r>
          </w:p>
        </w:tc>
        <w:tc>
          <w:tcPr>
            <w:tcW w:w="727" w:type="dxa"/>
            <w:vMerge w:val="restart"/>
            <w:vAlign w:val="center"/>
          </w:tcPr>
          <w:p>
            <w:pPr>
              <w:keepNext w:val="0"/>
              <w:keepLines w:val="0"/>
              <w:suppressLineNumbers w:val="0"/>
              <w:spacing w:before="0" w:beforeAutospacing="0" w:after="0" w:afterAutospacing="0" w:line="280" w:lineRule="exact"/>
              <w:ind w:left="-98" w:leftChars="-41" w:right="-106" w:rightChars="-44"/>
              <w:jc w:val="center"/>
              <w:rPr>
                <w:rFonts w:hint="eastAsia" w:hAnsi="Times New Roman" w:eastAsia="宋体"/>
                <w:kern w:val="2"/>
                <w:sz w:val="21"/>
                <w:szCs w:val="21"/>
              </w:rPr>
            </w:pPr>
            <w:r>
              <w:rPr>
                <w:rFonts w:hint="eastAsia" w:hAnsi="Times New Roman" w:eastAsia="宋体"/>
                <w:kern w:val="2"/>
                <w:sz w:val="21"/>
                <w:szCs w:val="21"/>
              </w:rPr>
              <w:t>危险物质</w:t>
            </w:r>
          </w:p>
        </w:tc>
        <w:tc>
          <w:tcPr>
            <w:tcW w:w="1142"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名称</w:t>
            </w:r>
          </w:p>
        </w:tc>
        <w:tc>
          <w:tcPr>
            <w:tcW w:w="1755" w:type="dxa"/>
            <w:gridSpan w:val="4"/>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甲烷</w:t>
            </w:r>
          </w:p>
        </w:tc>
        <w:tc>
          <w:tcPr>
            <w:tcW w:w="1754" w:type="dxa"/>
            <w:gridSpan w:val="3"/>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机油</w:t>
            </w:r>
          </w:p>
        </w:tc>
        <w:tc>
          <w:tcPr>
            <w:tcW w:w="1756" w:type="dxa"/>
            <w:gridSpan w:val="4"/>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炸药</w:t>
            </w:r>
          </w:p>
        </w:tc>
        <w:tc>
          <w:tcPr>
            <w:tcW w:w="1758"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8" w:type="dxa"/>
            <w:vMerge w:val="continue"/>
            <w:vAlign w:val="center"/>
          </w:tcPr>
          <w:p>
            <w:pPr>
              <w:keepNext w:val="0"/>
              <w:keepLines w:val="0"/>
              <w:suppressLineNumbers w:val="0"/>
              <w:spacing w:before="0" w:beforeAutospacing="0" w:after="0" w:afterAutospacing="0" w:line="280" w:lineRule="exact"/>
              <w:ind w:left="-98" w:leftChars="-41" w:right="-106" w:rightChars="-44"/>
              <w:jc w:val="center"/>
              <w:rPr>
                <w:rFonts w:hint="eastAsia" w:hAnsi="Times New Roman" w:eastAsia="宋体"/>
                <w:kern w:val="2"/>
                <w:sz w:val="21"/>
                <w:szCs w:val="21"/>
              </w:rPr>
            </w:pPr>
          </w:p>
        </w:tc>
        <w:tc>
          <w:tcPr>
            <w:tcW w:w="727" w:type="dxa"/>
            <w:vMerge w:val="continue"/>
            <w:vAlign w:val="center"/>
          </w:tcPr>
          <w:p>
            <w:pPr>
              <w:keepNext w:val="0"/>
              <w:keepLines w:val="0"/>
              <w:suppressLineNumbers w:val="0"/>
              <w:spacing w:before="0" w:beforeAutospacing="0" w:after="0" w:afterAutospacing="0" w:line="280" w:lineRule="exact"/>
              <w:ind w:left="-98" w:leftChars="-41" w:right="-106" w:rightChars="-44"/>
              <w:jc w:val="center"/>
              <w:rPr>
                <w:rFonts w:hint="eastAsia" w:hAnsi="Times New Roman" w:eastAsia="宋体"/>
                <w:kern w:val="2"/>
                <w:sz w:val="21"/>
                <w:szCs w:val="21"/>
              </w:rPr>
            </w:pPr>
          </w:p>
        </w:tc>
        <w:tc>
          <w:tcPr>
            <w:tcW w:w="1142"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最大储量</w:t>
            </w:r>
            <w:r>
              <w:rPr>
                <w:rFonts w:hint="eastAsia" w:hAnsi="Times New Roman" w:eastAsia="宋体"/>
                <w:kern w:val="2"/>
                <w:sz w:val="21"/>
                <w:szCs w:val="21"/>
              </w:rPr>
              <w:t>/t</w:t>
            </w:r>
          </w:p>
        </w:tc>
        <w:tc>
          <w:tcPr>
            <w:tcW w:w="1755" w:type="dxa"/>
            <w:gridSpan w:val="4"/>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1.64</w:t>
            </w:r>
          </w:p>
        </w:tc>
        <w:tc>
          <w:tcPr>
            <w:tcW w:w="1754" w:type="dxa"/>
            <w:gridSpan w:val="3"/>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0.1</w:t>
            </w:r>
          </w:p>
        </w:tc>
        <w:tc>
          <w:tcPr>
            <w:tcW w:w="1756" w:type="dxa"/>
            <w:gridSpan w:val="4"/>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w:t>
            </w:r>
          </w:p>
        </w:tc>
        <w:tc>
          <w:tcPr>
            <w:tcW w:w="1758"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highlight w:val="cyan"/>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8" w:type="dxa"/>
            <w:vMerge w:val="continue"/>
            <w:vAlign w:val="center"/>
          </w:tcPr>
          <w:p>
            <w:pPr>
              <w:keepNext w:val="0"/>
              <w:keepLines w:val="0"/>
              <w:suppressLineNumbers w:val="0"/>
              <w:spacing w:before="0" w:beforeAutospacing="0" w:after="0" w:afterAutospacing="0" w:line="280" w:lineRule="exact"/>
              <w:ind w:left="-98" w:leftChars="-41" w:right="-106" w:rightChars="-44"/>
              <w:jc w:val="center"/>
              <w:rPr>
                <w:rFonts w:hint="eastAsia" w:hAnsi="Times New Roman" w:eastAsia="宋体"/>
                <w:kern w:val="2"/>
                <w:sz w:val="21"/>
                <w:szCs w:val="21"/>
              </w:rPr>
            </w:pPr>
          </w:p>
        </w:tc>
        <w:tc>
          <w:tcPr>
            <w:tcW w:w="727" w:type="dxa"/>
            <w:vMerge w:val="restart"/>
            <w:vAlign w:val="center"/>
          </w:tcPr>
          <w:p>
            <w:pPr>
              <w:keepNext w:val="0"/>
              <w:keepLines w:val="0"/>
              <w:suppressLineNumbers w:val="0"/>
              <w:spacing w:before="0" w:beforeAutospacing="0" w:after="0" w:afterAutospacing="0" w:line="280" w:lineRule="exact"/>
              <w:ind w:left="-98" w:leftChars="-41" w:right="-106" w:rightChars="-44"/>
              <w:jc w:val="center"/>
              <w:rPr>
                <w:rFonts w:hint="eastAsia" w:hAnsi="Times New Roman" w:eastAsia="宋体"/>
                <w:kern w:val="2"/>
                <w:sz w:val="21"/>
                <w:szCs w:val="21"/>
              </w:rPr>
            </w:pPr>
            <w:r>
              <w:rPr>
                <w:rFonts w:hint="eastAsia" w:hAnsi="Times New Roman" w:eastAsia="宋体"/>
                <w:kern w:val="2"/>
                <w:sz w:val="21"/>
                <w:szCs w:val="21"/>
              </w:rPr>
              <w:t>环境敏感性</w:t>
            </w:r>
          </w:p>
        </w:tc>
        <w:tc>
          <w:tcPr>
            <w:tcW w:w="1142" w:type="dxa"/>
            <w:vMerge w:val="restar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大气</w:t>
            </w:r>
          </w:p>
        </w:tc>
        <w:tc>
          <w:tcPr>
            <w:tcW w:w="3509" w:type="dxa"/>
            <w:gridSpan w:val="7"/>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500m范围内人口数</w:t>
            </w:r>
            <w:r>
              <w:rPr>
                <w:rFonts w:hint="eastAsia" w:hAnsi="Times New Roman" w:eastAsia="宋体"/>
                <w:kern w:val="2"/>
                <w:sz w:val="21"/>
                <w:szCs w:val="21"/>
                <w:lang w:eastAsia="zh-CN"/>
              </w:rPr>
              <w:t>305</w:t>
            </w:r>
            <w:r>
              <w:rPr>
                <w:rFonts w:hint="eastAsia" w:hAnsi="Times New Roman" w:eastAsia="宋体"/>
                <w:kern w:val="2"/>
                <w:sz w:val="21"/>
                <w:szCs w:val="21"/>
              </w:rPr>
              <w:t>人</w:t>
            </w:r>
          </w:p>
        </w:tc>
        <w:tc>
          <w:tcPr>
            <w:tcW w:w="3514" w:type="dxa"/>
            <w:gridSpan w:val="5"/>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lang w:eastAsia="zh-CN"/>
              </w:rPr>
            </w:pPr>
            <w:r>
              <w:rPr>
                <w:rFonts w:hint="eastAsia" w:hAnsi="Times New Roman" w:eastAsia="宋体"/>
                <w:kern w:val="2"/>
                <w:sz w:val="21"/>
                <w:szCs w:val="21"/>
              </w:rPr>
              <w:t>5km范围内人口数</w:t>
            </w:r>
            <w:r>
              <w:rPr>
                <w:rFonts w:hint="eastAsia" w:hAnsi="Times New Roman" w:eastAsia="宋体"/>
                <w:kern w:val="2"/>
                <w:sz w:val="21"/>
                <w:szCs w:val="21"/>
                <w:lang w:eastAsia="zh-CN"/>
              </w:rPr>
              <w:t>大于1万</w:t>
            </w:r>
            <w:r>
              <w:rPr>
                <w:rFonts w:hint="eastAsia" w:hAnsi="Times New Roman" w:eastAsia="宋体"/>
                <w:kern w:val="2"/>
                <w:sz w:val="21"/>
                <w:szCs w:val="21"/>
              </w:rPr>
              <w:t>人</w:t>
            </w:r>
            <w:r>
              <w:rPr>
                <w:rFonts w:hint="eastAsia" w:hAnsi="Times New Roman" w:eastAsia="宋体"/>
                <w:kern w:val="2"/>
                <w:sz w:val="21"/>
                <w:szCs w:val="21"/>
                <w:lang w:eastAsia="zh-CN"/>
              </w:rPr>
              <w:t>，小于5万人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8" w:type="dxa"/>
            <w:vMerge w:val="continue"/>
            <w:vAlign w:val="center"/>
          </w:tcPr>
          <w:p>
            <w:pPr>
              <w:keepNext w:val="0"/>
              <w:keepLines w:val="0"/>
              <w:suppressLineNumbers w:val="0"/>
              <w:spacing w:before="0" w:beforeAutospacing="0" w:after="0" w:afterAutospacing="0" w:line="280" w:lineRule="exact"/>
              <w:ind w:left="-98" w:leftChars="-41" w:right="-106" w:rightChars="-44"/>
              <w:jc w:val="center"/>
              <w:rPr>
                <w:rFonts w:hint="eastAsia" w:hAnsi="Times New Roman" w:eastAsia="宋体"/>
                <w:kern w:val="2"/>
                <w:sz w:val="21"/>
                <w:szCs w:val="21"/>
              </w:rPr>
            </w:pPr>
          </w:p>
        </w:tc>
        <w:tc>
          <w:tcPr>
            <w:tcW w:w="727" w:type="dxa"/>
            <w:vMerge w:val="continue"/>
            <w:vAlign w:val="center"/>
          </w:tcPr>
          <w:p>
            <w:pPr>
              <w:keepNext w:val="0"/>
              <w:keepLines w:val="0"/>
              <w:suppressLineNumbers w:val="0"/>
              <w:spacing w:before="0" w:beforeAutospacing="0" w:after="0" w:afterAutospacing="0" w:line="280" w:lineRule="exact"/>
              <w:ind w:left="-98" w:leftChars="-41" w:right="-106" w:rightChars="-44"/>
              <w:jc w:val="center"/>
              <w:rPr>
                <w:rFonts w:hint="eastAsia" w:hAnsi="Times New Roman" w:eastAsia="宋体"/>
                <w:kern w:val="2"/>
                <w:sz w:val="21"/>
                <w:szCs w:val="21"/>
              </w:rPr>
            </w:pPr>
          </w:p>
        </w:tc>
        <w:tc>
          <w:tcPr>
            <w:tcW w:w="1142" w:type="dxa"/>
            <w:vMerge w:val="continue"/>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p>
        </w:tc>
        <w:tc>
          <w:tcPr>
            <w:tcW w:w="3509" w:type="dxa"/>
            <w:gridSpan w:val="7"/>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每公里管段周边200m范围内人口数（最大）</w:t>
            </w:r>
          </w:p>
        </w:tc>
        <w:tc>
          <w:tcPr>
            <w:tcW w:w="3514" w:type="dxa"/>
            <w:gridSpan w:val="5"/>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lang w:eastAsia="zh-CN"/>
              </w:rPr>
              <w:t>50</w:t>
            </w:r>
            <w:r>
              <w:rPr>
                <w:rFonts w:hint="eastAsia" w:hAnsi="Times New Roman" w:eastAsia="宋体"/>
                <w:kern w:val="2"/>
                <w:sz w:val="21"/>
                <w:szCs w:val="21"/>
              </w:rPr>
              <w:t>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8" w:type="dxa"/>
            <w:vMerge w:val="continue"/>
            <w:vAlign w:val="center"/>
          </w:tcPr>
          <w:p>
            <w:pPr>
              <w:keepNext w:val="0"/>
              <w:keepLines w:val="0"/>
              <w:suppressLineNumbers w:val="0"/>
              <w:spacing w:before="0" w:beforeAutospacing="0" w:after="0" w:afterAutospacing="0" w:line="280" w:lineRule="exact"/>
              <w:ind w:left="-98" w:leftChars="-41" w:right="-106" w:rightChars="-44"/>
              <w:jc w:val="center"/>
              <w:rPr>
                <w:rFonts w:hint="eastAsia" w:hAnsi="Times New Roman" w:eastAsia="宋体"/>
                <w:kern w:val="2"/>
                <w:sz w:val="21"/>
                <w:szCs w:val="21"/>
              </w:rPr>
            </w:pPr>
          </w:p>
        </w:tc>
        <w:tc>
          <w:tcPr>
            <w:tcW w:w="727" w:type="dxa"/>
            <w:vMerge w:val="continue"/>
            <w:vAlign w:val="center"/>
          </w:tcPr>
          <w:p>
            <w:pPr>
              <w:keepNext w:val="0"/>
              <w:keepLines w:val="0"/>
              <w:suppressLineNumbers w:val="0"/>
              <w:spacing w:before="0" w:beforeAutospacing="0" w:after="0" w:afterAutospacing="0" w:line="280" w:lineRule="exact"/>
              <w:ind w:left="-98" w:leftChars="-41" w:right="-106" w:rightChars="-44"/>
              <w:jc w:val="center"/>
              <w:rPr>
                <w:rFonts w:hint="eastAsia" w:hAnsi="Times New Roman" w:eastAsia="宋体"/>
                <w:kern w:val="2"/>
                <w:sz w:val="21"/>
                <w:szCs w:val="21"/>
              </w:rPr>
            </w:pPr>
          </w:p>
        </w:tc>
        <w:tc>
          <w:tcPr>
            <w:tcW w:w="1142" w:type="dxa"/>
            <w:vMerge w:val="restar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地表水</w:t>
            </w:r>
          </w:p>
        </w:tc>
        <w:tc>
          <w:tcPr>
            <w:tcW w:w="1755" w:type="dxa"/>
            <w:gridSpan w:val="4"/>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地表水功能敏感性</w:t>
            </w:r>
          </w:p>
        </w:tc>
        <w:tc>
          <w:tcPr>
            <w:tcW w:w="1754" w:type="dxa"/>
            <w:gridSpan w:val="3"/>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 xml:space="preserve">F1 </w:t>
            </w:r>
            <w:r>
              <w:rPr>
                <w:rFonts w:hint="eastAsia" w:hAnsi="Times New Roman" w:eastAsia="宋体"/>
                <w:kern w:val="2"/>
                <w:sz w:val="21"/>
                <w:szCs w:val="21"/>
              </w:rPr>
              <w:sym w:font="Wingdings 2" w:char="00A3"/>
            </w:r>
          </w:p>
        </w:tc>
        <w:tc>
          <w:tcPr>
            <w:tcW w:w="1756" w:type="dxa"/>
            <w:gridSpan w:val="4"/>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F2</w:t>
            </w:r>
            <w:r>
              <w:rPr>
                <w:rFonts w:hint="eastAsia" w:hAnsi="Times New Roman" w:eastAsia="宋体"/>
                <w:kern w:val="2"/>
                <w:sz w:val="21"/>
                <w:szCs w:val="21"/>
              </w:rPr>
              <w:sym w:font="Wingdings 2" w:char="0052"/>
            </w:r>
          </w:p>
        </w:tc>
        <w:tc>
          <w:tcPr>
            <w:tcW w:w="1758"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 xml:space="preserve">F3 </w:t>
            </w:r>
            <w:r>
              <w:rPr>
                <w:rFonts w:hint="eastAsia" w:hAnsi="Times New Roman" w:eastAsia="宋体"/>
                <w:kern w:val="2"/>
                <w:sz w:val="21"/>
                <w:szCs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8" w:type="dxa"/>
            <w:vMerge w:val="continue"/>
            <w:vAlign w:val="center"/>
          </w:tcPr>
          <w:p>
            <w:pPr>
              <w:keepNext w:val="0"/>
              <w:keepLines w:val="0"/>
              <w:suppressLineNumbers w:val="0"/>
              <w:spacing w:before="0" w:beforeAutospacing="0" w:after="0" w:afterAutospacing="0" w:line="280" w:lineRule="exact"/>
              <w:ind w:left="-98" w:leftChars="-41" w:right="-106" w:rightChars="-44"/>
              <w:jc w:val="center"/>
              <w:rPr>
                <w:rFonts w:hint="eastAsia" w:hAnsi="Times New Roman" w:eastAsia="宋体"/>
                <w:kern w:val="2"/>
                <w:sz w:val="21"/>
                <w:szCs w:val="21"/>
              </w:rPr>
            </w:pPr>
          </w:p>
        </w:tc>
        <w:tc>
          <w:tcPr>
            <w:tcW w:w="727" w:type="dxa"/>
            <w:vMerge w:val="continue"/>
            <w:vAlign w:val="center"/>
          </w:tcPr>
          <w:p>
            <w:pPr>
              <w:keepNext w:val="0"/>
              <w:keepLines w:val="0"/>
              <w:suppressLineNumbers w:val="0"/>
              <w:spacing w:before="0" w:beforeAutospacing="0" w:after="0" w:afterAutospacing="0" w:line="280" w:lineRule="exact"/>
              <w:ind w:left="-98" w:leftChars="-41" w:right="-106" w:rightChars="-44"/>
              <w:jc w:val="center"/>
              <w:rPr>
                <w:rFonts w:hint="eastAsia" w:hAnsi="Times New Roman" w:eastAsia="宋体"/>
                <w:kern w:val="2"/>
                <w:sz w:val="21"/>
                <w:szCs w:val="21"/>
              </w:rPr>
            </w:pPr>
          </w:p>
        </w:tc>
        <w:tc>
          <w:tcPr>
            <w:tcW w:w="1142" w:type="dxa"/>
            <w:vMerge w:val="continue"/>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p>
        </w:tc>
        <w:tc>
          <w:tcPr>
            <w:tcW w:w="1755" w:type="dxa"/>
            <w:gridSpan w:val="4"/>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环境敏感目标分级</w:t>
            </w:r>
          </w:p>
        </w:tc>
        <w:tc>
          <w:tcPr>
            <w:tcW w:w="1754" w:type="dxa"/>
            <w:gridSpan w:val="3"/>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 xml:space="preserve">S1 </w:t>
            </w:r>
            <w:r>
              <w:rPr>
                <w:rFonts w:hint="eastAsia" w:hAnsi="Times New Roman" w:eastAsia="宋体"/>
                <w:kern w:val="2"/>
                <w:sz w:val="21"/>
                <w:szCs w:val="21"/>
              </w:rPr>
              <w:sym w:font="Wingdings 2" w:char="00A3"/>
            </w:r>
          </w:p>
        </w:tc>
        <w:tc>
          <w:tcPr>
            <w:tcW w:w="1756" w:type="dxa"/>
            <w:gridSpan w:val="4"/>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S2</w:t>
            </w:r>
            <w:r>
              <w:rPr>
                <w:rFonts w:hint="eastAsia" w:hAnsi="Times New Roman" w:eastAsia="宋体"/>
                <w:kern w:val="2"/>
                <w:sz w:val="21"/>
                <w:szCs w:val="21"/>
              </w:rPr>
              <w:sym w:font="Wingdings 2" w:char="00A3"/>
            </w:r>
          </w:p>
        </w:tc>
        <w:tc>
          <w:tcPr>
            <w:tcW w:w="1758"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 xml:space="preserve">S3 </w:t>
            </w:r>
            <w:r>
              <w:rPr>
                <w:rFonts w:hint="eastAsia" w:hAnsi="Times New Roman" w:eastAsia="宋体"/>
                <w:kern w:val="2"/>
                <w:sz w:val="21"/>
                <w:szCs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8" w:type="dxa"/>
            <w:vMerge w:val="continue"/>
            <w:vAlign w:val="center"/>
          </w:tcPr>
          <w:p>
            <w:pPr>
              <w:keepNext w:val="0"/>
              <w:keepLines w:val="0"/>
              <w:suppressLineNumbers w:val="0"/>
              <w:spacing w:before="0" w:beforeAutospacing="0" w:after="0" w:afterAutospacing="0" w:line="280" w:lineRule="exact"/>
              <w:ind w:left="-98" w:leftChars="-41" w:right="-106" w:rightChars="-44"/>
              <w:jc w:val="center"/>
              <w:rPr>
                <w:rFonts w:hint="eastAsia" w:hAnsi="Times New Roman" w:eastAsia="宋体"/>
                <w:kern w:val="2"/>
                <w:sz w:val="21"/>
                <w:szCs w:val="21"/>
              </w:rPr>
            </w:pPr>
          </w:p>
        </w:tc>
        <w:tc>
          <w:tcPr>
            <w:tcW w:w="727" w:type="dxa"/>
            <w:vMerge w:val="continue"/>
            <w:vAlign w:val="center"/>
          </w:tcPr>
          <w:p>
            <w:pPr>
              <w:keepNext w:val="0"/>
              <w:keepLines w:val="0"/>
              <w:suppressLineNumbers w:val="0"/>
              <w:spacing w:before="0" w:beforeAutospacing="0" w:after="0" w:afterAutospacing="0" w:line="280" w:lineRule="exact"/>
              <w:ind w:left="-98" w:leftChars="-41" w:right="-106" w:rightChars="-44"/>
              <w:jc w:val="center"/>
              <w:rPr>
                <w:rFonts w:hint="eastAsia" w:hAnsi="Times New Roman" w:eastAsia="宋体"/>
                <w:kern w:val="2"/>
                <w:sz w:val="21"/>
                <w:szCs w:val="21"/>
              </w:rPr>
            </w:pPr>
          </w:p>
        </w:tc>
        <w:tc>
          <w:tcPr>
            <w:tcW w:w="1142" w:type="dxa"/>
            <w:vMerge w:val="restar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地下水</w:t>
            </w:r>
          </w:p>
        </w:tc>
        <w:tc>
          <w:tcPr>
            <w:tcW w:w="1755" w:type="dxa"/>
            <w:gridSpan w:val="4"/>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地下水功能敏感性</w:t>
            </w:r>
          </w:p>
        </w:tc>
        <w:tc>
          <w:tcPr>
            <w:tcW w:w="1754" w:type="dxa"/>
            <w:gridSpan w:val="3"/>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 xml:space="preserve">G1 </w:t>
            </w:r>
            <w:r>
              <w:rPr>
                <w:rFonts w:hint="eastAsia" w:hAnsi="Times New Roman" w:eastAsia="宋体"/>
                <w:kern w:val="2"/>
                <w:sz w:val="21"/>
                <w:szCs w:val="21"/>
              </w:rPr>
              <w:sym w:font="Wingdings 2" w:char="00A3"/>
            </w:r>
          </w:p>
        </w:tc>
        <w:tc>
          <w:tcPr>
            <w:tcW w:w="1756" w:type="dxa"/>
            <w:gridSpan w:val="4"/>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G2</w:t>
            </w:r>
            <w:r>
              <w:rPr>
                <w:rFonts w:hint="eastAsia" w:hAnsi="Times New Roman" w:eastAsia="宋体"/>
                <w:kern w:val="2"/>
                <w:sz w:val="21"/>
                <w:szCs w:val="21"/>
              </w:rPr>
              <w:sym w:font="Wingdings 2" w:char="00A3"/>
            </w:r>
          </w:p>
        </w:tc>
        <w:tc>
          <w:tcPr>
            <w:tcW w:w="1758"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G3</w:t>
            </w:r>
            <w:r>
              <w:rPr>
                <w:rFonts w:hint="eastAsia" w:hAnsi="Times New Roman" w:eastAsia="宋体"/>
                <w:kern w:val="2"/>
                <w:sz w:val="21"/>
                <w:szCs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8" w:type="dxa"/>
            <w:vMerge w:val="continue"/>
            <w:vAlign w:val="center"/>
          </w:tcPr>
          <w:p>
            <w:pPr>
              <w:keepNext w:val="0"/>
              <w:keepLines w:val="0"/>
              <w:suppressLineNumbers w:val="0"/>
              <w:spacing w:before="0" w:beforeAutospacing="0" w:after="0" w:afterAutospacing="0" w:line="280" w:lineRule="exact"/>
              <w:ind w:left="-98" w:leftChars="-41" w:right="-106" w:rightChars="-44"/>
              <w:jc w:val="center"/>
              <w:rPr>
                <w:rFonts w:hint="eastAsia" w:hAnsi="Times New Roman" w:eastAsia="宋体"/>
                <w:kern w:val="2"/>
                <w:sz w:val="21"/>
                <w:szCs w:val="21"/>
              </w:rPr>
            </w:pPr>
          </w:p>
        </w:tc>
        <w:tc>
          <w:tcPr>
            <w:tcW w:w="727" w:type="dxa"/>
            <w:vMerge w:val="continue"/>
            <w:vAlign w:val="center"/>
          </w:tcPr>
          <w:p>
            <w:pPr>
              <w:keepNext w:val="0"/>
              <w:keepLines w:val="0"/>
              <w:suppressLineNumbers w:val="0"/>
              <w:spacing w:before="0" w:beforeAutospacing="0" w:after="0" w:afterAutospacing="0" w:line="280" w:lineRule="exact"/>
              <w:ind w:left="-98" w:leftChars="-41" w:right="-106" w:rightChars="-44"/>
              <w:jc w:val="center"/>
              <w:rPr>
                <w:rFonts w:hint="eastAsia" w:hAnsi="Times New Roman" w:eastAsia="宋体"/>
                <w:kern w:val="2"/>
                <w:sz w:val="21"/>
                <w:szCs w:val="21"/>
              </w:rPr>
            </w:pPr>
          </w:p>
        </w:tc>
        <w:tc>
          <w:tcPr>
            <w:tcW w:w="1142" w:type="dxa"/>
            <w:vMerge w:val="continue"/>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p>
        </w:tc>
        <w:tc>
          <w:tcPr>
            <w:tcW w:w="1755" w:type="dxa"/>
            <w:gridSpan w:val="4"/>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包气带防污性能</w:t>
            </w:r>
          </w:p>
        </w:tc>
        <w:tc>
          <w:tcPr>
            <w:tcW w:w="1754" w:type="dxa"/>
            <w:gridSpan w:val="3"/>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 xml:space="preserve">D1 </w:t>
            </w:r>
            <w:r>
              <w:rPr>
                <w:rFonts w:hint="eastAsia" w:hAnsi="Times New Roman" w:eastAsia="宋体"/>
                <w:kern w:val="2"/>
                <w:sz w:val="21"/>
                <w:szCs w:val="21"/>
              </w:rPr>
              <w:sym w:font="Wingdings 2" w:char="00A3"/>
            </w:r>
          </w:p>
        </w:tc>
        <w:tc>
          <w:tcPr>
            <w:tcW w:w="1756" w:type="dxa"/>
            <w:gridSpan w:val="4"/>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D2</w:t>
            </w:r>
            <w:r>
              <w:rPr>
                <w:rFonts w:hint="eastAsia" w:hAnsi="Times New Roman" w:eastAsia="宋体"/>
                <w:kern w:val="2"/>
                <w:sz w:val="21"/>
                <w:szCs w:val="21"/>
              </w:rPr>
              <w:sym w:font="Wingdings 2" w:char="0052"/>
            </w:r>
          </w:p>
        </w:tc>
        <w:tc>
          <w:tcPr>
            <w:tcW w:w="1758"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D3</w:t>
            </w:r>
            <w:r>
              <w:rPr>
                <w:rFonts w:hint="eastAsia" w:hAnsi="Times New Roman" w:eastAsia="宋体"/>
                <w:kern w:val="2"/>
                <w:sz w:val="21"/>
                <w:szCs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5" w:type="dxa"/>
            <w:gridSpan w:val="2"/>
            <w:vMerge w:val="restart"/>
            <w:vAlign w:val="center"/>
          </w:tcPr>
          <w:p>
            <w:pPr>
              <w:keepNext w:val="0"/>
              <w:keepLines w:val="0"/>
              <w:suppressLineNumbers w:val="0"/>
              <w:spacing w:before="0" w:beforeAutospacing="0" w:after="0" w:afterAutospacing="0" w:line="280" w:lineRule="exact"/>
              <w:ind w:left="-98" w:leftChars="-41" w:right="-106" w:rightChars="-44"/>
              <w:jc w:val="center"/>
              <w:rPr>
                <w:rFonts w:hint="eastAsia" w:hAnsi="Times New Roman" w:eastAsia="宋体"/>
                <w:kern w:val="2"/>
                <w:sz w:val="21"/>
                <w:szCs w:val="21"/>
              </w:rPr>
            </w:pPr>
            <w:r>
              <w:rPr>
                <w:rFonts w:hint="eastAsia" w:hAnsi="Times New Roman" w:eastAsia="宋体"/>
                <w:kern w:val="2"/>
                <w:sz w:val="21"/>
                <w:szCs w:val="21"/>
              </w:rPr>
              <w:t>物质及工艺系统危险性</w:t>
            </w:r>
          </w:p>
        </w:tc>
        <w:tc>
          <w:tcPr>
            <w:tcW w:w="1142"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Q值</w:t>
            </w:r>
          </w:p>
        </w:tc>
        <w:tc>
          <w:tcPr>
            <w:tcW w:w="1755" w:type="dxa"/>
            <w:gridSpan w:val="4"/>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 xml:space="preserve">Q&lt;1 </w:t>
            </w:r>
            <w:r>
              <w:rPr>
                <w:rFonts w:hint="eastAsia" w:hAnsi="Times New Roman" w:eastAsia="宋体"/>
                <w:kern w:val="2"/>
                <w:sz w:val="21"/>
                <w:szCs w:val="21"/>
              </w:rPr>
              <w:sym w:font="Wingdings 2" w:char="0052"/>
            </w:r>
          </w:p>
        </w:tc>
        <w:tc>
          <w:tcPr>
            <w:tcW w:w="1754" w:type="dxa"/>
            <w:gridSpan w:val="3"/>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1≤Q&lt;10</w:t>
            </w:r>
            <w:r>
              <w:rPr>
                <w:rFonts w:hint="eastAsia" w:hAnsi="Times New Roman" w:eastAsia="宋体"/>
                <w:kern w:val="2"/>
                <w:sz w:val="21"/>
                <w:szCs w:val="21"/>
              </w:rPr>
              <w:sym w:font="Wingdings 2" w:char="00A3"/>
            </w:r>
          </w:p>
        </w:tc>
        <w:tc>
          <w:tcPr>
            <w:tcW w:w="1756" w:type="dxa"/>
            <w:gridSpan w:val="4"/>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10≤Q&lt;100</w:t>
            </w:r>
            <w:r>
              <w:rPr>
                <w:rFonts w:hint="eastAsia" w:hAnsi="Times New Roman" w:eastAsia="宋体"/>
                <w:kern w:val="2"/>
                <w:sz w:val="21"/>
                <w:szCs w:val="21"/>
              </w:rPr>
              <w:sym w:font="Wingdings 2" w:char="00A3"/>
            </w:r>
          </w:p>
        </w:tc>
        <w:tc>
          <w:tcPr>
            <w:tcW w:w="1758"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 xml:space="preserve">Q&gt;100 </w:t>
            </w:r>
            <w:r>
              <w:rPr>
                <w:rFonts w:hint="eastAsia" w:hAnsi="Times New Roman" w:eastAsia="宋体"/>
                <w:kern w:val="2"/>
                <w:sz w:val="21"/>
                <w:szCs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5" w:type="dxa"/>
            <w:gridSpan w:val="2"/>
            <w:vMerge w:val="continue"/>
            <w:vAlign w:val="center"/>
          </w:tcPr>
          <w:p>
            <w:pPr>
              <w:keepNext w:val="0"/>
              <w:keepLines w:val="0"/>
              <w:suppressLineNumbers w:val="0"/>
              <w:spacing w:before="0" w:beforeAutospacing="0" w:after="0" w:afterAutospacing="0" w:line="280" w:lineRule="exact"/>
              <w:ind w:left="-98" w:leftChars="-41" w:right="-106" w:rightChars="-44"/>
              <w:jc w:val="center"/>
              <w:rPr>
                <w:rFonts w:hint="eastAsia" w:hAnsi="Times New Roman" w:eastAsia="宋体"/>
                <w:kern w:val="2"/>
                <w:sz w:val="21"/>
                <w:szCs w:val="21"/>
              </w:rPr>
            </w:pPr>
          </w:p>
        </w:tc>
        <w:tc>
          <w:tcPr>
            <w:tcW w:w="1142"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M值</w:t>
            </w:r>
          </w:p>
        </w:tc>
        <w:tc>
          <w:tcPr>
            <w:tcW w:w="1755" w:type="dxa"/>
            <w:gridSpan w:val="4"/>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M1</w:t>
            </w:r>
            <w:r>
              <w:rPr>
                <w:rFonts w:hint="eastAsia" w:hAnsi="Times New Roman" w:eastAsia="宋体"/>
                <w:kern w:val="2"/>
                <w:sz w:val="21"/>
                <w:szCs w:val="21"/>
              </w:rPr>
              <w:sym w:font="Wingdings 2" w:char="0052"/>
            </w:r>
          </w:p>
        </w:tc>
        <w:tc>
          <w:tcPr>
            <w:tcW w:w="1754" w:type="dxa"/>
            <w:gridSpan w:val="3"/>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 xml:space="preserve">M2 </w:t>
            </w:r>
            <w:r>
              <w:rPr>
                <w:rFonts w:hint="eastAsia" w:hAnsi="Times New Roman" w:eastAsia="宋体"/>
                <w:kern w:val="2"/>
                <w:sz w:val="21"/>
                <w:szCs w:val="21"/>
              </w:rPr>
              <w:sym w:font="Wingdings 2" w:char="00A3"/>
            </w:r>
          </w:p>
        </w:tc>
        <w:tc>
          <w:tcPr>
            <w:tcW w:w="1756" w:type="dxa"/>
            <w:gridSpan w:val="4"/>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 xml:space="preserve">M3 </w:t>
            </w:r>
            <w:r>
              <w:rPr>
                <w:rFonts w:hint="eastAsia" w:hAnsi="Times New Roman" w:eastAsia="宋体"/>
                <w:kern w:val="2"/>
                <w:sz w:val="21"/>
                <w:szCs w:val="21"/>
              </w:rPr>
              <w:sym w:font="Wingdings 2" w:char="00A3"/>
            </w:r>
          </w:p>
        </w:tc>
        <w:tc>
          <w:tcPr>
            <w:tcW w:w="1758"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 xml:space="preserve">M4 </w:t>
            </w:r>
            <w:r>
              <w:rPr>
                <w:rFonts w:hint="eastAsia" w:hAnsi="Times New Roman" w:eastAsia="宋体"/>
                <w:kern w:val="2"/>
                <w:sz w:val="21"/>
                <w:szCs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5" w:type="dxa"/>
            <w:gridSpan w:val="2"/>
            <w:vMerge w:val="continue"/>
            <w:vAlign w:val="center"/>
          </w:tcPr>
          <w:p>
            <w:pPr>
              <w:keepNext w:val="0"/>
              <w:keepLines w:val="0"/>
              <w:suppressLineNumbers w:val="0"/>
              <w:spacing w:before="0" w:beforeAutospacing="0" w:after="0" w:afterAutospacing="0" w:line="280" w:lineRule="exact"/>
              <w:ind w:left="-98" w:leftChars="-41" w:right="-106" w:rightChars="-44"/>
              <w:jc w:val="center"/>
              <w:rPr>
                <w:rFonts w:hint="eastAsia" w:hAnsi="Times New Roman" w:eastAsia="宋体"/>
                <w:kern w:val="2"/>
                <w:sz w:val="21"/>
                <w:szCs w:val="21"/>
              </w:rPr>
            </w:pPr>
          </w:p>
        </w:tc>
        <w:tc>
          <w:tcPr>
            <w:tcW w:w="1142"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P值</w:t>
            </w:r>
          </w:p>
        </w:tc>
        <w:tc>
          <w:tcPr>
            <w:tcW w:w="1755" w:type="dxa"/>
            <w:gridSpan w:val="4"/>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P1</w:t>
            </w:r>
            <w:r>
              <w:rPr>
                <w:rFonts w:hint="eastAsia" w:hAnsi="Times New Roman" w:eastAsia="宋体"/>
                <w:kern w:val="2"/>
                <w:sz w:val="21"/>
                <w:szCs w:val="21"/>
              </w:rPr>
              <w:sym w:font="Wingdings 2" w:char="00A3"/>
            </w:r>
          </w:p>
        </w:tc>
        <w:tc>
          <w:tcPr>
            <w:tcW w:w="1754" w:type="dxa"/>
            <w:gridSpan w:val="3"/>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 xml:space="preserve">P2 </w:t>
            </w:r>
            <w:r>
              <w:rPr>
                <w:rFonts w:hint="eastAsia" w:hAnsi="Times New Roman" w:eastAsia="宋体"/>
                <w:kern w:val="2"/>
                <w:sz w:val="21"/>
                <w:szCs w:val="21"/>
              </w:rPr>
              <w:sym w:font="Wingdings 2" w:char="00A3"/>
            </w:r>
          </w:p>
        </w:tc>
        <w:tc>
          <w:tcPr>
            <w:tcW w:w="1756" w:type="dxa"/>
            <w:gridSpan w:val="4"/>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 xml:space="preserve">P3 </w:t>
            </w:r>
            <w:r>
              <w:rPr>
                <w:rFonts w:hint="eastAsia" w:hAnsi="Times New Roman" w:eastAsia="宋体"/>
                <w:kern w:val="2"/>
                <w:sz w:val="21"/>
                <w:szCs w:val="21"/>
              </w:rPr>
              <w:sym w:font="Wingdings 2" w:char="00A3"/>
            </w:r>
          </w:p>
        </w:tc>
        <w:tc>
          <w:tcPr>
            <w:tcW w:w="1758"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 xml:space="preserve">P4 </w:t>
            </w:r>
            <w:r>
              <w:rPr>
                <w:rFonts w:hint="eastAsia" w:hAnsi="Times New Roman" w:eastAsia="宋体"/>
                <w:kern w:val="2"/>
                <w:sz w:val="21"/>
                <w:szCs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5" w:type="dxa"/>
            <w:gridSpan w:val="2"/>
            <w:vMerge w:val="restart"/>
            <w:vAlign w:val="center"/>
          </w:tcPr>
          <w:p>
            <w:pPr>
              <w:keepNext w:val="0"/>
              <w:keepLines w:val="0"/>
              <w:suppressLineNumbers w:val="0"/>
              <w:spacing w:before="0" w:beforeAutospacing="0" w:after="0" w:afterAutospacing="0" w:line="280" w:lineRule="exact"/>
              <w:ind w:left="-98" w:leftChars="-41" w:right="-106" w:rightChars="-44"/>
              <w:jc w:val="center"/>
              <w:rPr>
                <w:rFonts w:hint="eastAsia" w:hAnsi="Times New Roman" w:eastAsia="宋体"/>
                <w:kern w:val="2"/>
                <w:sz w:val="21"/>
                <w:szCs w:val="21"/>
              </w:rPr>
            </w:pPr>
            <w:r>
              <w:rPr>
                <w:rFonts w:hint="eastAsia" w:hAnsi="Times New Roman" w:eastAsia="宋体"/>
                <w:kern w:val="2"/>
                <w:sz w:val="21"/>
                <w:szCs w:val="21"/>
              </w:rPr>
              <w:t>环境敏感</w:t>
            </w:r>
          </w:p>
          <w:p>
            <w:pPr>
              <w:keepNext w:val="0"/>
              <w:keepLines w:val="0"/>
              <w:suppressLineNumbers w:val="0"/>
              <w:spacing w:before="0" w:beforeAutospacing="0" w:after="0" w:afterAutospacing="0" w:line="280" w:lineRule="exact"/>
              <w:ind w:left="-98" w:leftChars="-41" w:right="-106" w:rightChars="-44"/>
              <w:jc w:val="center"/>
              <w:rPr>
                <w:rFonts w:hint="eastAsia" w:hAnsi="Times New Roman" w:eastAsia="宋体"/>
                <w:kern w:val="2"/>
                <w:sz w:val="21"/>
                <w:szCs w:val="21"/>
              </w:rPr>
            </w:pPr>
            <w:r>
              <w:rPr>
                <w:rFonts w:hint="eastAsia" w:hAnsi="Times New Roman" w:eastAsia="宋体"/>
                <w:kern w:val="2"/>
                <w:sz w:val="21"/>
                <w:szCs w:val="21"/>
              </w:rPr>
              <w:t>程度</w:t>
            </w:r>
          </w:p>
        </w:tc>
        <w:tc>
          <w:tcPr>
            <w:tcW w:w="1142"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大气</w:t>
            </w:r>
          </w:p>
        </w:tc>
        <w:tc>
          <w:tcPr>
            <w:tcW w:w="2341" w:type="dxa"/>
            <w:gridSpan w:val="5"/>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E1</w:t>
            </w:r>
            <w:r>
              <w:rPr>
                <w:rFonts w:hint="eastAsia" w:hAnsi="Times New Roman" w:eastAsia="宋体"/>
                <w:kern w:val="2"/>
                <w:sz w:val="21"/>
                <w:szCs w:val="21"/>
              </w:rPr>
              <w:sym w:font="Wingdings 2" w:char="00A3"/>
            </w:r>
          </w:p>
        </w:tc>
        <w:tc>
          <w:tcPr>
            <w:tcW w:w="2341" w:type="dxa"/>
            <w:gridSpan w:val="4"/>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 xml:space="preserve">E2 </w:t>
            </w:r>
            <w:r>
              <w:rPr>
                <w:rFonts w:hint="eastAsia" w:hAnsi="Times New Roman" w:eastAsia="宋体"/>
                <w:kern w:val="2"/>
                <w:sz w:val="21"/>
                <w:szCs w:val="21"/>
              </w:rPr>
              <w:sym w:font="Wingdings 2" w:char="0052"/>
            </w:r>
          </w:p>
        </w:tc>
        <w:tc>
          <w:tcPr>
            <w:tcW w:w="2341" w:type="dxa"/>
            <w:gridSpan w:val="3"/>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E3</w:t>
            </w:r>
            <w:r>
              <w:rPr>
                <w:rFonts w:hint="eastAsia" w:hAnsi="Times New Roman" w:eastAsia="宋体"/>
                <w:kern w:val="2"/>
                <w:sz w:val="21"/>
                <w:szCs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5" w:type="dxa"/>
            <w:gridSpan w:val="2"/>
            <w:vMerge w:val="continue"/>
            <w:vAlign w:val="center"/>
          </w:tcPr>
          <w:p>
            <w:pPr>
              <w:keepNext w:val="0"/>
              <w:keepLines w:val="0"/>
              <w:suppressLineNumbers w:val="0"/>
              <w:spacing w:before="0" w:beforeAutospacing="0" w:after="0" w:afterAutospacing="0" w:line="280" w:lineRule="exact"/>
              <w:ind w:left="-98" w:leftChars="-41" w:right="-106" w:rightChars="-44"/>
              <w:jc w:val="center"/>
              <w:rPr>
                <w:rFonts w:hint="eastAsia" w:hAnsi="Times New Roman" w:eastAsia="宋体"/>
                <w:kern w:val="2"/>
                <w:sz w:val="21"/>
                <w:szCs w:val="21"/>
              </w:rPr>
            </w:pPr>
          </w:p>
        </w:tc>
        <w:tc>
          <w:tcPr>
            <w:tcW w:w="1142"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地表水</w:t>
            </w:r>
          </w:p>
        </w:tc>
        <w:tc>
          <w:tcPr>
            <w:tcW w:w="2341" w:type="dxa"/>
            <w:gridSpan w:val="5"/>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E1</w:t>
            </w:r>
            <w:r>
              <w:rPr>
                <w:rFonts w:hint="eastAsia" w:hAnsi="Times New Roman" w:eastAsia="宋体"/>
                <w:kern w:val="2"/>
                <w:sz w:val="21"/>
                <w:szCs w:val="21"/>
              </w:rPr>
              <w:sym w:font="Wingdings 2" w:char="00A3"/>
            </w:r>
          </w:p>
        </w:tc>
        <w:tc>
          <w:tcPr>
            <w:tcW w:w="2341" w:type="dxa"/>
            <w:gridSpan w:val="4"/>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 xml:space="preserve">E2 </w:t>
            </w:r>
            <w:r>
              <w:rPr>
                <w:rFonts w:hint="eastAsia" w:hAnsi="Times New Roman" w:eastAsia="宋体"/>
                <w:kern w:val="2"/>
                <w:sz w:val="21"/>
                <w:szCs w:val="21"/>
              </w:rPr>
              <w:sym w:font="Wingdings 2" w:char="0052"/>
            </w:r>
          </w:p>
        </w:tc>
        <w:tc>
          <w:tcPr>
            <w:tcW w:w="2341" w:type="dxa"/>
            <w:gridSpan w:val="3"/>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 xml:space="preserve">E3 </w:t>
            </w:r>
            <w:r>
              <w:rPr>
                <w:rFonts w:hint="eastAsia" w:hAnsi="Times New Roman" w:eastAsia="宋体"/>
                <w:kern w:val="2"/>
                <w:sz w:val="21"/>
                <w:szCs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5" w:type="dxa"/>
            <w:gridSpan w:val="2"/>
            <w:vMerge w:val="continue"/>
            <w:vAlign w:val="center"/>
          </w:tcPr>
          <w:p>
            <w:pPr>
              <w:keepNext w:val="0"/>
              <w:keepLines w:val="0"/>
              <w:suppressLineNumbers w:val="0"/>
              <w:spacing w:before="0" w:beforeAutospacing="0" w:after="0" w:afterAutospacing="0" w:line="280" w:lineRule="exact"/>
              <w:ind w:left="-98" w:leftChars="-41" w:right="-106" w:rightChars="-44"/>
              <w:jc w:val="center"/>
              <w:rPr>
                <w:rFonts w:hint="eastAsia" w:hAnsi="Times New Roman" w:eastAsia="宋体"/>
                <w:kern w:val="2"/>
                <w:sz w:val="21"/>
                <w:szCs w:val="21"/>
              </w:rPr>
            </w:pPr>
          </w:p>
        </w:tc>
        <w:tc>
          <w:tcPr>
            <w:tcW w:w="1142"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地下水</w:t>
            </w:r>
          </w:p>
        </w:tc>
        <w:tc>
          <w:tcPr>
            <w:tcW w:w="2341" w:type="dxa"/>
            <w:gridSpan w:val="5"/>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E1</w:t>
            </w:r>
            <w:r>
              <w:rPr>
                <w:rFonts w:hint="eastAsia" w:hAnsi="Times New Roman" w:eastAsia="宋体"/>
                <w:kern w:val="2"/>
                <w:sz w:val="21"/>
                <w:szCs w:val="21"/>
              </w:rPr>
              <w:sym w:font="Wingdings 2" w:char="00A3"/>
            </w:r>
          </w:p>
        </w:tc>
        <w:tc>
          <w:tcPr>
            <w:tcW w:w="2341" w:type="dxa"/>
            <w:gridSpan w:val="4"/>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 xml:space="preserve">E2 </w:t>
            </w:r>
            <w:r>
              <w:rPr>
                <w:rFonts w:hint="eastAsia" w:hAnsi="Times New Roman" w:eastAsia="宋体"/>
                <w:kern w:val="2"/>
                <w:sz w:val="21"/>
                <w:szCs w:val="21"/>
              </w:rPr>
              <w:sym w:font="Wingdings 2" w:char="00A3"/>
            </w:r>
          </w:p>
        </w:tc>
        <w:tc>
          <w:tcPr>
            <w:tcW w:w="2341" w:type="dxa"/>
            <w:gridSpan w:val="3"/>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 xml:space="preserve">E3 </w:t>
            </w:r>
            <w:r>
              <w:rPr>
                <w:rFonts w:hint="eastAsia" w:hAnsi="Times New Roman" w:eastAsia="宋体"/>
                <w:kern w:val="2"/>
                <w:sz w:val="21"/>
                <w:szCs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5" w:type="dxa"/>
            <w:gridSpan w:val="2"/>
            <w:vAlign w:val="center"/>
          </w:tcPr>
          <w:p>
            <w:pPr>
              <w:keepNext w:val="0"/>
              <w:keepLines w:val="0"/>
              <w:suppressLineNumbers w:val="0"/>
              <w:spacing w:before="0" w:beforeAutospacing="0" w:after="0" w:afterAutospacing="0" w:line="280" w:lineRule="exact"/>
              <w:ind w:left="-98" w:leftChars="-41" w:right="-106" w:rightChars="-44"/>
              <w:jc w:val="center"/>
              <w:rPr>
                <w:rFonts w:hint="eastAsia" w:hAnsi="Times New Roman" w:eastAsia="宋体"/>
                <w:kern w:val="2"/>
                <w:sz w:val="21"/>
                <w:szCs w:val="21"/>
              </w:rPr>
            </w:pPr>
            <w:r>
              <w:rPr>
                <w:rFonts w:hint="eastAsia" w:hAnsi="Times New Roman" w:eastAsia="宋体"/>
                <w:kern w:val="2"/>
                <w:sz w:val="21"/>
                <w:szCs w:val="21"/>
              </w:rPr>
              <w:t>环境风险潜势</w:t>
            </w:r>
          </w:p>
        </w:tc>
        <w:tc>
          <w:tcPr>
            <w:tcW w:w="1142"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Ⅳ</w:t>
            </w:r>
            <w:r>
              <w:rPr>
                <w:rFonts w:hint="eastAsia" w:hAnsi="Times New Roman" w:eastAsia="宋体"/>
                <w:kern w:val="2"/>
                <w:sz w:val="21"/>
                <w:szCs w:val="21"/>
                <w:vertAlign w:val="superscript"/>
              </w:rPr>
              <w:t>+</w:t>
            </w:r>
            <w:r>
              <w:rPr>
                <w:rFonts w:hint="eastAsia" w:hAnsi="Times New Roman" w:eastAsia="宋体"/>
                <w:kern w:val="2"/>
                <w:sz w:val="21"/>
                <w:szCs w:val="21"/>
              </w:rPr>
              <w:sym w:font="Wingdings 2" w:char="00A3"/>
            </w:r>
          </w:p>
        </w:tc>
        <w:tc>
          <w:tcPr>
            <w:tcW w:w="1755" w:type="dxa"/>
            <w:gridSpan w:val="4"/>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 xml:space="preserve">Ⅳ </w:t>
            </w:r>
            <w:r>
              <w:rPr>
                <w:rFonts w:hint="eastAsia" w:hAnsi="Times New Roman" w:eastAsia="宋体"/>
                <w:kern w:val="2"/>
                <w:sz w:val="21"/>
                <w:szCs w:val="21"/>
              </w:rPr>
              <w:sym w:font="Wingdings 2" w:char="00A3"/>
            </w:r>
          </w:p>
        </w:tc>
        <w:tc>
          <w:tcPr>
            <w:tcW w:w="1754" w:type="dxa"/>
            <w:gridSpan w:val="3"/>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 xml:space="preserve">Ⅲ </w:t>
            </w:r>
            <w:r>
              <w:rPr>
                <w:rFonts w:hint="eastAsia" w:hAnsi="Times New Roman" w:eastAsia="宋体"/>
                <w:kern w:val="2"/>
                <w:sz w:val="21"/>
                <w:szCs w:val="21"/>
              </w:rPr>
              <w:sym w:font="Wingdings 2" w:char="00A3"/>
            </w:r>
          </w:p>
        </w:tc>
        <w:tc>
          <w:tcPr>
            <w:tcW w:w="1756" w:type="dxa"/>
            <w:gridSpan w:val="4"/>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 xml:space="preserve">Ⅱ </w:t>
            </w:r>
            <w:r>
              <w:rPr>
                <w:rFonts w:hint="eastAsia" w:hAnsi="Times New Roman" w:eastAsia="宋体"/>
                <w:kern w:val="2"/>
                <w:sz w:val="21"/>
                <w:szCs w:val="21"/>
              </w:rPr>
              <w:sym w:font="Wingdings 2" w:char="00A3"/>
            </w:r>
          </w:p>
        </w:tc>
        <w:tc>
          <w:tcPr>
            <w:tcW w:w="1758" w:type="dxa"/>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Ⅰ</w:t>
            </w:r>
            <w:r>
              <w:rPr>
                <w:rFonts w:hint="eastAsia" w:hAnsi="Times New Roman" w:eastAsia="宋体"/>
                <w:kern w:val="2"/>
                <w:sz w:val="21"/>
                <w:szCs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5" w:type="dxa"/>
            <w:gridSpan w:val="2"/>
            <w:vAlign w:val="center"/>
          </w:tcPr>
          <w:p>
            <w:pPr>
              <w:keepNext w:val="0"/>
              <w:keepLines w:val="0"/>
              <w:suppressLineNumbers w:val="0"/>
              <w:spacing w:before="0" w:beforeAutospacing="0" w:after="0" w:afterAutospacing="0" w:line="280" w:lineRule="exact"/>
              <w:ind w:left="-98" w:leftChars="-41" w:right="-106" w:rightChars="-44"/>
              <w:jc w:val="center"/>
              <w:rPr>
                <w:rFonts w:hint="eastAsia" w:hAnsi="Times New Roman" w:eastAsia="宋体"/>
                <w:kern w:val="2"/>
                <w:sz w:val="21"/>
                <w:szCs w:val="21"/>
              </w:rPr>
            </w:pPr>
            <w:r>
              <w:rPr>
                <w:rFonts w:hint="eastAsia" w:hAnsi="Times New Roman" w:eastAsia="宋体"/>
                <w:kern w:val="2"/>
                <w:sz w:val="21"/>
                <w:szCs w:val="21"/>
              </w:rPr>
              <w:t>评价等级</w:t>
            </w:r>
          </w:p>
        </w:tc>
        <w:tc>
          <w:tcPr>
            <w:tcW w:w="2041" w:type="dxa"/>
            <w:gridSpan w:val="3"/>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 xml:space="preserve">一级 </w:t>
            </w:r>
            <w:r>
              <w:rPr>
                <w:rFonts w:hint="eastAsia" w:hAnsi="Times New Roman" w:eastAsia="宋体"/>
                <w:kern w:val="2"/>
                <w:sz w:val="21"/>
                <w:szCs w:val="21"/>
              </w:rPr>
              <w:sym w:font="Wingdings 2" w:char="00A3"/>
            </w:r>
          </w:p>
        </w:tc>
        <w:tc>
          <w:tcPr>
            <w:tcW w:w="2041" w:type="dxa"/>
            <w:gridSpan w:val="4"/>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 xml:space="preserve">二级 </w:t>
            </w:r>
            <w:r>
              <w:rPr>
                <w:rFonts w:hint="eastAsia" w:hAnsi="Times New Roman" w:eastAsia="宋体"/>
                <w:kern w:val="2"/>
                <w:sz w:val="21"/>
                <w:szCs w:val="21"/>
              </w:rPr>
              <w:sym w:font="Wingdings 2" w:char="00A3"/>
            </w:r>
          </w:p>
        </w:tc>
        <w:tc>
          <w:tcPr>
            <w:tcW w:w="2041" w:type="dxa"/>
            <w:gridSpan w:val="4"/>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 xml:space="preserve">三级 </w:t>
            </w:r>
            <w:r>
              <w:rPr>
                <w:rFonts w:hint="eastAsia" w:hAnsi="Times New Roman" w:eastAsia="宋体"/>
                <w:kern w:val="2"/>
                <w:sz w:val="21"/>
                <w:szCs w:val="21"/>
              </w:rPr>
              <w:sym w:font="Wingdings 2" w:char="00A3"/>
            </w:r>
          </w:p>
        </w:tc>
        <w:tc>
          <w:tcPr>
            <w:tcW w:w="2042" w:type="dxa"/>
            <w:gridSpan w:val="2"/>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 xml:space="preserve">简单分析  </w:t>
            </w:r>
            <w:r>
              <w:rPr>
                <w:rFonts w:hint="eastAsia" w:hAnsi="Times New Roman" w:eastAsia="宋体"/>
                <w:kern w:val="2"/>
                <w:sz w:val="21"/>
                <w:szCs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8" w:type="dxa"/>
            <w:vMerge w:val="restart"/>
            <w:vAlign w:val="center"/>
          </w:tcPr>
          <w:p>
            <w:pPr>
              <w:keepNext w:val="0"/>
              <w:keepLines w:val="0"/>
              <w:suppressLineNumbers w:val="0"/>
              <w:spacing w:before="0" w:beforeAutospacing="0" w:after="0" w:afterAutospacing="0" w:line="280" w:lineRule="exact"/>
              <w:ind w:left="-98" w:leftChars="-41" w:right="-106" w:rightChars="-44"/>
              <w:jc w:val="center"/>
              <w:rPr>
                <w:rFonts w:hint="eastAsia" w:hAnsi="Times New Roman" w:eastAsia="宋体"/>
                <w:kern w:val="2"/>
                <w:sz w:val="21"/>
                <w:szCs w:val="21"/>
              </w:rPr>
            </w:pPr>
            <w:r>
              <w:rPr>
                <w:rFonts w:hint="eastAsia" w:hAnsi="Times New Roman" w:eastAsia="宋体"/>
                <w:kern w:val="2"/>
                <w:sz w:val="21"/>
                <w:szCs w:val="21"/>
              </w:rPr>
              <w:t>风险识别</w:t>
            </w:r>
          </w:p>
        </w:tc>
        <w:tc>
          <w:tcPr>
            <w:tcW w:w="727" w:type="dxa"/>
            <w:vAlign w:val="center"/>
          </w:tcPr>
          <w:p>
            <w:pPr>
              <w:keepNext w:val="0"/>
              <w:keepLines w:val="0"/>
              <w:suppressLineNumbers w:val="0"/>
              <w:spacing w:before="0" w:beforeAutospacing="0" w:after="0" w:afterAutospacing="0" w:line="280" w:lineRule="exact"/>
              <w:ind w:left="-98" w:leftChars="-41" w:right="-106" w:rightChars="-44"/>
              <w:jc w:val="center"/>
              <w:rPr>
                <w:rFonts w:hint="eastAsia" w:hAnsi="Times New Roman" w:eastAsia="宋体"/>
                <w:kern w:val="2"/>
                <w:sz w:val="21"/>
                <w:szCs w:val="21"/>
              </w:rPr>
            </w:pPr>
            <w:r>
              <w:rPr>
                <w:rFonts w:hint="eastAsia" w:hAnsi="Times New Roman" w:eastAsia="宋体"/>
                <w:kern w:val="2"/>
                <w:sz w:val="21"/>
                <w:szCs w:val="21"/>
              </w:rPr>
              <w:t>物质危险性</w:t>
            </w:r>
          </w:p>
        </w:tc>
        <w:tc>
          <w:tcPr>
            <w:tcW w:w="4082" w:type="dxa"/>
            <w:gridSpan w:val="7"/>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 xml:space="preserve">有毒有害 </w:t>
            </w:r>
            <w:r>
              <w:rPr>
                <w:rFonts w:hint="eastAsia" w:hAnsi="Times New Roman" w:eastAsia="宋体"/>
                <w:kern w:val="2"/>
                <w:sz w:val="21"/>
                <w:szCs w:val="21"/>
              </w:rPr>
              <w:sym w:font="Wingdings 2" w:char="0052"/>
            </w:r>
          </w:p>
        </w:tc>
        <w:tc>
          <w:tcPr>
            <w:tcW w:w="4083" w:type="dxa"/>
            <w:gridSpan w:val="6"/>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 xml:space="preserve">易燃易爆  </w:t>
            </w:r>
            <w:r>
              <w:rPr>
                <w:rFonts w:hint="eastAsia" w:hAnsi="Times New Roman" w:eastAsia="宋体"/>
                <w:kern w:val="2"/>
                <w:sz w:val="21"/>
                <w:szCs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8" w:type="dxa"/>
            <w:vMerge w:val="continue"/>
            <w:vAlign w:val="center"/>
          </w:tcPr>
          <w:p>
            <w:pPr>
              <w:keepNext w:val="0"/>
              <w:keepLines w:val="0"/>
              <w:suppressLineNumbers w:val="0"/>
              <w:spacing w:before="0" w:beforeAutospacing="0" w:after="0" w:afterAutospacing="0" w:line="280" w:lineRule="exact"/>
              <w:ind w:left="-98" w:leftChars="-41" w:right="-106" w:rightChars="-44"/>
              <w:jc w:val="center"/>
              <w:rPr>
                <w:rFonts w:hint="eastAsia" w:hAnsi="Times New Roman" w:eastAsia="宋体"/>
                <w:kern w:val="2"/>
                <w:sz w:val="21"/>
                <w:szCs w:val="21"/>
              </w:rPr>
            </w:pPr>
          </w:p>
        </w:tc>
        <w:tc>
          <w:tcPr>
            <w:tcW w:w="727" w:type="dxa"/>
            <w:vAlign w:val="center"/>
          </w:tcPr>
          <w:p>
            <w:pPr>
              <w:keepNext w:val="0"/>
              <w:keepLines w:val="0"/>
              <w:suppressLineNumbers w:val="0"/>
              <w:spacing w:before="0" w:beforeAutospacing="0" w:after="0" w:afterAutospacing="0" w:line="280" w:lineRule="exact"/>
              <w:ind w:left="-98" w:leftChars="-41" w:right="-106" w:rightChars="-44"/>
              <w:jc w:val="center"/>
              <w:rPr>
                <w:rFonts w:hint="eastAsia" w:hAnsi="Times New Roman" w:eastAsia="宋体"/>
                <w:kern w:val="2"/>
                <w:sz w:val="21"/>
                <w:szCs w:val="21"/>
              </w:rPr>
            </w:pPr>
            <w:r>
              <w:rPr>
                <w:rFonts w:hint="eastAsia" w:hAnsi="Times New Roman" w:eastAsia="宋体"/>
                <w:kern w:val="2"/>
                <w:sz w:val="21"/>
                <w:szCs w:val="21"/>
              </w:rPr>
              <w:t>环境风险类型</w:t>
            </w:r>
          </w:p>
        </w:tc>
        <w:tc>
          <w:tcPr>
            <w:tcW w:w="4082" w:type="dxa"/>
            <w:gridSpan w:val="7"/>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 xml:space="preserve">泄漏 </w:t>
            </w:r>
            <w:r>
              <w:rPr>
                <w:rFonts w:hint="eastAsia" w:hAnsi="Times New Roman" w:eastAsia="宋体"/>
                <w:kern w:val="2"/>
                <w:sz w:val="21"/>
                <w:szCs w:val="21"/>
              </w:rPr>
              <w:sym w:font="Wingdings 2" w:char="0052"/>
            </w:r>
          </w:p>
        </w:tc>
        <w:tc>
          <w:tcPr>
            <w:tcW w:w="4083" w:type="dxa"/>
            <w:gridSpan w:val="6"/>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 xml:space="preserve">火灾、爆炸引发伴生/次生污染物排放  </w:t>
            </w:r>
            <w:r>
              <w:rPr>
                <w:rFonts w:hint="eastAsia" w:hAnsi="Times New Roman" w:eastAsia="宋体"/>
                <w:kern w:val="2"/>
                <w:sz w:val="21"/>
                <w:szCs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8" w:type="dxa"/>
            <w:vMerge w:val="continue"/>
            <w:vAlign w:val="center"/>
          </w:tcPr>
          <w:p>
            <w:pPr>
              <w:keepNext w:val="0"/>
              <w:keepLines w:val="0"/>
              <w:suppressLineNumbers w:val="0"/>
              <w:spacing w:before="0" w:beforeAutospacing="0" w:after="0" w:afterAutospacing="0" w:line="280" w:lineRule="exact"/>
              <w:ind w:left="-98" w:leftChars="-41" w:right="-106" w:rightChars="-44"/>
              <w:jc w:val="center"/>
              <w:rPr>
                <w:rFonts w:hint="eastAsia" w:hAnsi="Times New Roman" w:eastAsia="宋体"/>
                <w:kern w:val="2"/>
                <w:sz w:val="21"/>
                <w:szCs w:val="21"/>
              </w:rPr>
            </w:pPr>
          </w:p>
        </w:tc>
        <w:tc>
          <w:tcPr>
            <w:tcW w:w="727" w:type="dxa"/>
            <w:vAlign w:val="center"/>
          </w:tcPr>
          <w:p>
            <w:pPr>
              <w:keepNext w:val="0"/>
              <w:keepLines w:val="0"/>
              <w:suppressLineNumbers w:val="0"/>
              <w:spacing w:before="0" w:beforeAutospacing="0" w:after="0" w:afterAutospacing="0" w:line="280" w:lineRule="exact"/>
              <w:ind w:left="-98" w:leftChars="-41" w:right="-106" w:rightChars="-44"/>
              <w:jc w:val="center"/>
              <w:rPr>
                <w:rFonts w:hint="eastAsia" w:hAnsi="Times New Roman" w:eastAsia="宋体"/>
                <w:kern w:val="2"/>
                <w:sz w:val="21"/>
                <w:szCs w:val="21"/>
              </w:rPr>
            </w:pPr>
            <w:r>
              <w:rPr>
                <w:rFonts w:hint="eastAsia" w:hAnsi="Times New Roman" w:eastAsia="宋体"/>
                <w:kern w:val="2"/>
                <w:sz w:val="21"/>
                <w:szCs w:val="21"/>
              </w:rPr>
              <w:t>影响途径</w:t>
            </w:r>
          </w:p>
        </w:tc>
        <w:tc>
          <w:tcPr>
            <w:tcW w:w="2721" w:type="dxa"/>
            <w:gridSpan w:val="4"/>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 xml:space="preserve">大气  </w:t>
            </w:r>
            <w:r>
              <w:rPr>
                <w:rFonts w:hint="eastAsia" w:hAnsi="Times New Roman" w:eastAsia="宋体"/>
                <w:kern w:val="2"/>
                <w:sz w:val="21"/>
                <w:szCs w:val="21"/>
              </w:rPr>
              <w:sym w:font="Wingdings 2" w:char="0052"/>
            </w:r>
          </w:p>
        </w:tc>
        <w:tc>
          <w:tcPr>
            <w:tcW w:w="2721" w:type="dxa"/>
            <w:gridSpan w:val="5"/>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地表水</w:t>
            </w:r>
            <w:r>
              <w:rPr>
                <w:rFonts w:hint="eastAsia" w:hAnsi="Times New Roman" w:eastAsia="宋体"/>
                <w:kern w:val="2"/>
                <w:sz w:val="21"/>
                <w:szCs w:val="21"/>
              </w:rPr>
              <w:sym w:font="Wingdings 2" w:char="0052"/>
            </w:r>
          </w:p>
        </w:tc>
        <w:tc>
          <w:tcPr>
            <w:tcW w:w="2723" w:type="dxa"/>
            <w:gridSpan w:val="4"/>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 xml:space="preserve">地下水 </w:t>
            </w:r>
            <w:r>
              <w:rPr>
                <w:rFonts w:hint="eastAsia" w:hAnsi="Times New Roman" w:eastAsia="宋体"/>
                <w:kern w:val="2"/>
                <w:sz w:val="21"/>
                <w:szCs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5" w:type="dxa"/>
            <w:gridSpan w:val="2"/>
            <w:vAlign w:val="center"/>
          </w:tcPr>
          <w:p>
            <w:pPr>
              <w:keepNext w:val="0"/>
              <w:keepLines w:val="0"/>
              <w:suppressLineNumbers w:val="0"/>
              <w:spacing w:before="0" w:beforeAutospacing="0" w:after="0" w:afterAutospacing="0" w:line="280" w:lineRule="exact"/>
              <w:ind w:left="-98" w:leftChars="-41" w:right="-106" w:rightChars="-44"/>
              <w:jc w:val="center"/>
              <w:rPr>
                <w:rFonts w:hint="eastAsia" w:hAnsi="Times New Roman" w:eastAsia="宋体"/>
                <w:kern w:val="2"/>
                <w:sz w:val="21"/>
                <w:szCs w:val="21"/>
              </w:rPr>
            </w:pPr>
            <w:r>
              <w:rPr>
                <w:rFonts w:hint="eastAsia" w:hAnsi="Times New Roman" w:eastAsia="宋体"/>
                <w:kern w:val="2"/>
                <w:sz w:val="21"/>
                <w:szCs w:val="21"/>
              </w:rPr>
              <w:t>事故情形分析</w:t>
            </w:r>
          </w:p>
        </w:tc>
        <w:tc>
          <w:tcPr>
            <w:tcW w:w="2041" w:type="dxa"/>
            <w:gridSpan w:val="3"/>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源强设定方法</w:t>
            </w:r>
          </w:p>
        </w:tc>
        <w:tc>
          <w:tcPr>
            <w:tcW w:w="2041" w:type="dxa"/>
            <w:gridSpan w:val="4"/>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 xml:space="preserve">计算法 </w:t>
            </w:r>
            <w:r>
              <w:rPr>
                <w:rFonts w:hint="eastAsia" w:hAnsi="Times New Roman" w:eastAsia="宋体"/>
                <w:kern w:val="2"/>
                <w:sz w:val="21"/>
                <w:szCs w:val="21"/>
              </w:rPr>
              <w:sym w:font="Wingdings 2" w:char="0052"/>
            </w:r>
          </w:p>
        </w:tc>
        <w:tc>
          <w:tcPr>
            <w:tcW w:w="2041" w:type="dxa"/>
            <w:gridSpan w:val="4"/>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 xml:space="preserve">经验估算法 </w:t>
            </w:r>
            <w:r>
              <w:rPr>
                <w:rFonts w:hint="eastAsia" w:hAnsi="Times New Roman" w:eastAsia="宋体"/>
                <w:kern w:val="2"/>
                <w:sz w:val="21"/>
                <w:szCs w:val="21"/>
              </w:rPr>
              <w:sym w:font="Wingdings 2" w:char="00A3"/>
            </w:r>
          </w:p>
        </w:tc>
        <w:tc>
          <w:tcPr>
            <w:tcW w:w="2042" w:type="dxa"/>
            <w:gridSpan w:val="2"/>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 xml:space="preserve">其他估算法 </w:t>
            </w:r>
            <w:r>
              <w:rPr>
                <w:rFonts w:hint="eastAsia" w:hAnsi="Times New Roman" w:eastAsia="宋体"/>
                <w:kern w:val="2"/>
                <w:sz w:val="21"/>
                <w:szCs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8" w:type="dxa"/>
            <w:vMerge w:val="restart"/>
            <w:vAlign w:val="center"/>
          </w:tcPr>
          <w:p>
            <w:pPr>
              <w:keepNext w:val="0"/>
              <w:keepLines w:val="0"/>
              <w:suppressLineNumbers w:val="0"/>
              <w:spacing w:before="0" w:beforeAutospacing="0" w:after="0" w:afterAutospacing="0" w:line="280" w:lineRule="exact"/>
              <w:ind w:left="-98" w:leftChars="-41" w:right="-106" w:rightChars="-44"/>
              <w:jc w:val="center"/>
              <w:rPr>
                <w:rFonts w:hint="eastAsia" w:hAnsi="Times New Roman" w:eastAsia="宋体"/>
                <w:kern w:val="2"/>
                <w:sz w:val="21"/>
                <w:szCs w:val="21"/>
              </w:rPr>
            </w:pPr>
            <w:r>
              <w:rPr>
                <w:rFonts w:hint="eastAsia" w:hAnsi="Times New Roman" w:eastAsia="宋体"/>
                <w:kern w:val="2"/>
                <w:sz w:val="21"/>
                <w:szCs w:val="21"/>
              </w:rPr>
              <w:t>风险预测与评价</w:t>
            </w:r>
          </w:p>
        </w:tc>
        <w:tc>
          <w:tcPr>
            <w:tcW w:w="727" w:type="dxa"/>
            <w:vMerge w:val="restart"/>
            <w:vAlign w:val="center"/>
          </w:tcPr>
          <w:p>
            <w:pPr>
              <w:keepNext w:val="0"/>
              <w:keepLines w:val="0"/>
              <w:suppressLineNumbers w:val="0"/>
              <w:spacing w:before="0" w:beforeAutospacing="0" w:after="0" w:afterAutospacing="0" w:line="280" w:lineRule="exact"/>
              <w:ind w:left="-98" w:leftChars="-41" w:right="-106" w:rightChars="-44"/>
              <w:jc w:val="center"/>
              <w:rPr>
                <w:rFonts w:hint="eastAsia" w:hAnsi="Times New Roman" w:eastAsia="宋体"/>
                <w:kern w:val="2"/>
                <w:sz w:val="21"/>
                <w:szCs w:val="21"/>
              </w:rPr>
            </w:pPr>
            <w:r>
              <w:rPr>
                <w:rFonts w:hint="eastAsia" w:hAnsi="Times New Roman" w:eastAsia="宋体"/>
                <w:kern w:val="2"/>
                <w:sz w:val="21"/>
                <w:szCs w:val="21"/>
              </w:rPr>
              <w:t>大气</w:t>
            </w:r>
          </w:p>
        </w:tc>
        <w:tc>
          <w:tcPr>
            <w:tcW w:w="2041" w:type="dxa"/>
            <w:gridSpan w:val="3"/>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预测模型</w:t>
            </w:r>
          </w:p>
        </w:tc>
        <w:tc>
          <w:tcPr>
            <w:tcW w:w="2041" w:type="dxa"/>
            <w:gridSpan w:val="4"/>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 xml:space="preserve">SLAB </w:t>
            </w:r>
            <w:r>
              <w:rPr>
                <w:rFonts w:hint="eastAsia" w:hAnsi="Times New Roman" w:eastAsia="宋体"/>
                <w:kern w:val="2"/>
                <w:sz w:val="21"/>
                <w:szCs w:val="21"/>
              </w:rPr>
              <w:sym w:font="Wingdings 2" w:char="00A3"/>
            </w:r>
          </w:p>
        </w:tc>
        <w:tc>
          <w:tcPr>
            <w:tcW w:w="2041" w:type="dxa"/>
            <w:gridSpan w:val="4"/>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 xml:space="preserve">AFTOX </w:t>
            </w:r>
            <w:r>
              <w:rPr>
                <w:rFonts w:hint="eastAsia" w:hAnsi="Times New Roman" w:eastAsia="宋体"/>
                <w:kern w:val="2"/>
                <w:sz w:val="21"/>
                <w:szCs w:val="21"/>
              </w:rPr>
              <w:sym w:font="Wingdings 2" w:char="00A3"/>
            </w:r>
          </w:p>
        </w:tc>
        <w:tc>
          <w:tcPr>
            <w:tcW w:w="2042" w:type="dxa"/>
            <w:gridSpan w:val="2"/>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 xml:space="preserve">其他 </w:t>
            </w:r>
            <w:r>
              <w:rPr>
                <w:rFonts w:hint="eastAsia" w:hAnsi="Times New Roman" w:eastAsia="宋体"/>
                <w:kern w:val="2"/>
                <w:sz w:val="21"/>
                <w:szCs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8" w:type="dxa"/>
            <w:vMerge w:val="continue"/>
            <w:vAlign w:val="center"/>
          </w:tcPr>
          <w:p>
            <w:pPr>
              <w:keepNext w:val="0"/>
              <w:keepLines w:val="0"/>
              <w:suppressLineNumbers w:val="0"/>
              <w:spacing w:before="0" w:beforeAutospacing="0" w:after="0" w:afterAutospacing="0" w:line="280" w:lineRule="exact"/>
              <w:ind w:left="-98" w:leftChars="-41" w:right="-106" w:rightChars="-44"/>
              <w:jc w:val="center"/>
              <w:rPr>
                <w:rFonts w:hint="eastAsia" w:hAnsi="Times New Roman" w:eastAsia="宋体"/>
                <w:kern w:val="2"/>
                <w:sz w:val="21"/>
                <w:szCs w:val="21"/>
              </w:rPr>
            </w:pPr>
          </w:p>
        </w:tc>
        <w:tc>
          <w:tcPr>
            <w:tcW w:w="727" w:type="dxa"/>
            <w:vMerge w:val="continue"/>
            <w:vAlign w:val="center"/>
          </w:tcPr>
          <w:p>
            <w:pPr>
              <w:keepNext w:val="0"/>
              <w:keepLines w:val="0"/>
              <w:suppressLineNumbers w:val="0"/>
              <w:spacing w:before="0" w:beforeAutospacing="0" w:after="0" w:afterAutospacing="0" w:line="280" w:lineRule="exact"/>
              <w:ind w:left="-98" w:leftChars="-41" w:right="-106" w:rightChars="-44"/>
              <w:jc w:val="center"/>
              <w:rPr>
                <w:rFonts w:hint="eastAsia" w:hAnsi="Times New Roman" w:eastAsia="宋体"/>
                <w:kern w:val="2"/>
                <w:sz w:val="21"/>
                <w:szCs w:val="21"/>
              </w:rPr>
            </w:pPr>
          </w:p>
        </w:tc>
        <w:tc>
          <w:tcPr>
            <w:tcW w:w="1142" w:type="dxa"/>
            <w:vMerge w:val="restart"/>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预测结果</w:t>
            </w:r>
          </w:p>
        </w:tc>
        <w:tc>
          <w:tcPr>
            <w:tcW w:w="7023" w:type="dxa"/>
            <w:gridSpan w:val="12"/>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大气毒性终点浓度-1 最大影响范围   /   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8" w:type="dxa"/>
            <w:vMerge w:val="continue"/>
            <w:vAlign w:val="center"/>
          </w:tcPr>
          <w:p>
            <w:pPr>
              <w:keepNext w:val="0"/>
              <w:keepLines w:val="0"/>
              <w:suppressLineNumbers w:val="0"/>
              <w:spacing w:before="0" w:beforeAutospacing="0" w:after="0" w:afterAutospacing="0" w:line="280" w:lineRule="exact"/>
              <w:ind w:left="-98" w:leftChars="-41" w:right="-106" w:rightChars="-44"/>
              <w:jc w:val="center"/>
              <w:rPr>
                <w:rFonts w:hint="eastAsia" w:hAnsi="Times New Roman" w:eastAsia="宋体"/>
                <w:kern w:val="2"/>
                <w:sz w:val="21"/>
                <w:szCs w:val="21"/>
              </w:rPr>
            </w:pPr>
          </w:p>
        </w:tc>
        <w:tc>
          <w:tcPr>
            <w:tcW w:w="727" w:type="dxa"/>
            <w:vMerge w:val="continue"/>
            <w:vAlign w:val="center"/>
          </w:tcPr>
          <w:p>
            <w:pPr>
              <w:keepNext w:val="0"/>
              <w:keepLines w:val="0"/>
              <w:suppressLineNumbers w:val="0"/>
              <w:spacing w:before="0" w:beforeAutospacing="0" w:after="0" w:afterAutospacing="0" w:line="280" w:lineRule="exact"/>
              <w:ind w:left="-98" w:leftChars="-41" w:right="-106" w:rightChars="-44"/>
              <w:jc w:val="center"/>
              <w:rPr>
                <w:rFonts w:hint="eastAsia" w:hAnsi="Times New Roman" w:eastAsia="宋体"/>
                <w:kern w:val="2"/>
                <w:sz w:val="21"/>
                <w:szCs w:val="21"/>
              </w:rPr>
            </w:pPr>
          </w:p>
        </w:tc>
        <w:tc>
          <w:tcPr>
            <w:tcW w:w="1142" w:type="dxa"/>
            <w:vMerge w:val="continue"/>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p>
        </w:tc>
        <w:tc>
          <w:tcPr>
            <w:tcW w:w="7023" w:type="dxa"/>
            <w:gridSpan w:val="12"/>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大气毒性终点浓度-2 最大影响范围   /    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8" w:type="dxa"/>
            <w:vMerge w:val="continue"/>
            <w:vAlign w:val="center"/>
          </w:tcPr>
          <w:p>
            <w:pPr>
              <w:keepNext w:val="0"/>
              <w:keepLines w:val="0"/>
              <w:suppressLineNumbers w:val="0"/>
              <w:spacing w:before="0" w:beforeAutospacing="0" w:after="0" w:afterAutospacing="0" w:line="280" w:lineRule="exact"/>
              <w:ind w:left="-98" w:leftChars="-41" w:right="-106" w:rightChars="-44"/>
              <w:jc w:val="center"/>
              <w:rPr>
                <w:rFonts w:hint="eastAsia" w:hAnsi="Times New Roman" w:eastAsia="宋体"/>
                <w:kern w:val="2"/>
                <w:sz w:val="21"/>
                <w:szCs w:val="21"/>
              </w:rPr>
            </w:pPr>
          </w:p>
        </w:tc>
        <w:tc>
          <w:tcPr>
            <w:tcW w:w="727" w:type="dxa"/>
            <w:vAlign w:val="center"/>
          </w:tcPr>
          <w:p>
            <w:pPr>
              <w:keepNext w:val="0"/>
              <w:keepLines w:val="0"/>
              <w:suppressLineNumbers w:val="0"/>
              <w:spacing w:before="0" w:beforeAutospacing="0" w:after="0" w:afterAutospacing="0" w:line="280" w:lineRule="exact"/>
              <w:ind w:left="-98" w:leftChars="-41" w:right="-106" w:rightChars="-44"/>
              <w:jc w:val="center"/>
              <w:rPr>
                <w:rFonts w:hint="eastAsia" w:hAnsi="Times New Roman" w:eastAsia="宋体"/>
                <w:kern w:val="2"/>
                <w:sz w:val="21"/>
                <w:szCs w:val="21"/>
              </w:rPr>
            </w:pPr>
            <w:r>
              <w:rPr>
                <w:rFonts w:hint="eastAsia" w:hAnsi="Times New Roman" w:eastAsia="宋体"/>
                <w:kern w:val="2"/>
                <w:sz w:val="21"/>
                <w:szCs w:val="21"/>
              </w:rPr>
              <w:t>地表水</w:t>
            </w:r>
          </w:p>
        </w:tc>
        <w:tc>
          <w:tcPr>
            <w:tcW w:w="8165" w:type="dxa"/>
            <w:gridSpan w:val="13"/>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最近环境敏感目标   /  ，到达时间   /   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8" w:type="dxa"/>
            <w:vMerge w:val="continue"/>
            <w:vAlign w:val="center"/>
          </w:tcPr>
          <w:p>
            <w:pPr>
              <w:keepNext w:val="0"/>
              <w:keepLines w:val="0"/>
              <w:suppressLineNumbers w:val="0"/>
              <w:spacing w:before="0" w:beforeAutospacing="0" w:after="0" w:afterAutospacing="0" w:line="280" w:lineRule="exact"/>
              <w:ind w:left="-98" w:leftChars="-41" w:right="-106" w:rightChars="-44"/>
              <w:jc w:val="center"/>
              <w:rPr>
                <w:rFonts w:hint="eastAsia" w:hAnsi="Times New Roman" w:eastAsia="宋体"/>
                <w:kern w:val="2"/>
                <w:sz w:val="21"/>
                <w:szCs w:val="21"/>
              </w:rPr>
            </w:pPr>
          </w:p>
        </w:tc>
        <w:tc>
          <w:tcPr>
            <w:tcW w:w="727" w:type="dxa"/>
            <w:vMerge w:val="restart"/>
            <w:vAlign w:val="center"/>
          </w:tcPr>
          <w:p>
            <w:pPr>
              <w:keepNext w:val="0"/>
              <w:keepLines w:val="0"/>
              <w:suppressLineNumbers w:val="0"/>
              <w:spacing w:before="0" w:beforeAutospacing="0" w:after="0" w:afterAutospacing="0" w:line="280" w:lineRule="exact"/>
              <w:ind w:left="-98" w:leftChars="-41" w:right="-106" w:rightChars="-44"/>
              <w:jc w:val="center"/>
              <w:rPr>
                <w:rFonts w:hint="eastAsia" w:hAnsi="Times New Roman" w:eastAsia="宋体"/>
                <w:kern w:val="2"/>
                <w:sz w:val="21"/>
                <w:szCs w:val="21"/>
              </w:rPr>
            </w:pPr>
            <w:r>
              <w:rPr>
                <w:rFonts w:hint="eastAsia" w:hAnsi="Times New Roman" w:eastAsia="宋体"/>
                <w:kern w:val="2"/>
                <w:sz w:val="21"/>
                <w:szCs w:val="21"/>
              </w:rPr>
              <w:t>地下水</w:t>
            </w:r>
          </w:p>
        </w:tc>
        <w:tc>
          <w:tcPr>
            <w:tcW w:w="8165" w:type="dxa"/>
            <w:gridSpan w:val="13"/>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下游厂区边界到达时间   /    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8" w:type="dxa"/>
            <w:vMerge w:val="continue"/>
            <w:vAlign w:val="center"/>
          </w:tcPr>
          <w:p>
            <w:pPr>
              <w:keepNext w:val="0"/>
              <w:keepLines w:val="0"/>
              <w:suppressLineNumbers w:val="0"/>
              <w:spacing w:before="0" w:beforeAutospacing="0" w:after="0" w:afterAutospacing="0" w:line="280" w:lineRule="exact"/>
              <w:ind w:left="-98" w:leftChars="-41" w:right="-106" w:rightChars="-44"/>
              <w:jc w:val="center"/>
              <w:rPr>
                <w:rFonts w:hint="eastAsia" w:hAnsi="Times New Roman" w:eastAsia="宋体"/>
                <w:kern w:val="2"/>
                <w:sz w:val="21"/>
                <w:szCs w:val="21"/>
              </w:rPr>
            </w:pPr>
          </w:p>
        </w:tc>
        <w:tc>
          <w:tcPr>
            <w:tcW w:w="727" w:type="dxa"/>
            <w:vMerge w:val="continue"/>
            <w:vAlign w:val="center"/>
          </w:tcPr>
          <w:p>
            <w:pPr>
              <w:keepNext w:val="0"/>
              <w:keepLines w:val="0"/>
              <w:suppressLineNumbers w:val="0"/>
              <w:spacing w:before="0" w:beforeAutospacing="0" w:after="0" w:afterAutospacing="0" w:line="280" w:lineRule="exact"/>
              <w:ind w:left="-98" w:leftChars="-41" w:right="-106" w:rightChars="-44"/>
              <w:jc w:val="center"/>
              <w:rPr>
                <w:rFonts w:hint="eastAsia" w:hAnsi="Times New Roman" w:eastAsia="宋体"/>
                <w:kern w:val="2"/>
                <w:sz w:val="21"/>
                <w:szCs w:val="21"/>
              </w:rPr>
            </w:pPr>
          </w:p>
        </w:tc>
        <w:tc>
          <w:tcPr>
            <w:tcW w:w="8165" w:type="dxa"/>
            <w:gridSpan w:val="13"/>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最近环境敏感目标   /  ，到达时间   /  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5" w:type="dxa"/>
            <w:gridSpan w:val="2"/>
            <w:vAlign w:val="center"/>
          </w:tcPr>
          <w:p>
            <w:pPr>
              <w:keepNext w:val="0"/>
              <w:keepLines w:val="0"/>
              <w:suppressLineNumbers w:val="0"/>
              <w:spacing w:before="0" w:beforeAutospacing="0" w:after="0" w:afterAutospacing="0" w:line="280" w:lineRule="exact"/>
              <w:ind w:left="-98" w:leftChars="-41" w:right="-106" w:rightChars="-44"/>
              <w:jc w:val="center"/>
              <w:rPr>
                <w:rFonts w:hint="eastAsia" w:hAnsi="Times New Roman" w:eastAsia="宋体"/>
                <w:kern w:val="2"/>
                <w:sz w:val="21"/>
                <w:szCs w:val="21"/>
              </w:rPr>
            </w:pPr>
            <w:r>
              <w:rPr>
                <w:rFonts w:hint="eastAsia" w:hAnsi="Times New Roman" w:eastAsia="宋体"/>
                <w:kern w:val="2"/>
                <w:sz w:val="21"/>
                <w:szCs w:val="21"/>
              </w:rPr>
              <w:t>重点风险</w:t>
            </w:r>
          </w:p>
          <w:p>
            <w:pPr>
              <w:keepNext w:val="0"/>
              <w:keepLines w:val="0"/>
              <w:suppressLineNumbers w:val="0"/>
              <w:spacing w:before="0" w:beforeAutospacing="0" w:after="0" w:afterAutospacing="0" w:line="280" w:lineRule="exact"/>
              <w:ind w:left="-98" w:leftChars="-41" w:right="-106" w:rightChars="-44"/>
              <w:jc w:val="center"/>
              <w:rPr>
                <w:rFonts w:hint="eastAsia" w:hAnsi="Times New Roman" w:eastAsia="宋体"/>
                <w:kern w:val="2"/>
                <w:sz w:val="21"/>
                <w:szCs w:val="21"/>
              </w:rPr>
            </w:pPr>
            <w:r>
              <w:rPr>
                <w:rFonts w:hint="eastAsia" w:hAnsi="Times New Roman" w:eastAsia="宋体"/>
                <w:kern w:val="2"/>
                <w:sz w:val="21"/>
                <w:szCs w:val="21"/>
              </w:rPr>
              <w:t>防范措施</w:t>
            </w:r>
          </w:p>
        </w:tc>
        <w:tc>
          <w:tcPr>
            <w:tcW w:w="8165" w:type="dxa"/>
            <w:gridSpan w:val="13"/>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 xml:space="preserve">   /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5" w:type="dxa"/>
            <w:gridSpan w:val="2"/>
            <w:vAlign w:val="center"/>
          </w:tcPr>
          <w:p>
            <w:pPr>
              <w:keepNext w:val="0"/>
              <w:keepLines w:val="0"/>
              <w:suppressLineNumbers w:val="0"/>
              <w:spacing w:before="0" w:beforeAutospacing="0" w:after="0" w:afterAutospacing="0" w:line="280" w:lineRule="exact"/>
              <w:ind w:left="-98" w:leftChars="-41" w:right="-106" w:rightChars="-44"/>
              <w:jc w:val="center"/>
              <w:rPr>
                <w:rFonts w:hint="eastAsia" w:hAnsi="Times New Roman" w:eastAsia="宋体"/>
                <w:kern w:val="2"/>
                <w:sz w:val="21"/>
                <w:szCs w:val="21"/>
              </w:rPr>
            </w:pPr>
            <w:r>
              <w:rPr>
                <w:rFonts w:hint="eastAsia" w:hAnsi="Times New Roman" w:eastAsia="宋体"/>
                <w:kern w:val="2"/>
                <w:sz w:val="21"/>
                <w:szCs w:val="21"/>
              </w:rPr>
              <w:t>评价结论</w:t>
            </w:r>
          </w:p>
          <w:p>
            <w:pPr>
              <w:keepNext w:val="0"/>
              <w:keepLines w:val="0"/>
              <w:suppressLineNumbers w:val="0"/>
              <w:spacing w:before="0" w:beforeAutospacing="0" w:after="0" w:afterAutospacing="0" w:line="280" w:lineRule="exact"/>
              <w:ind w:left="-98" w:leftChars="-41" w:right="-106" w:rightChars="-44"/>
              <w:jc w:val="center"/>
              <w:rPr>
                <w:rFonts w:hint="eastAsia" w:hAnsi="Times New Roman" w:eastAsia="宋体"/>
                <w:kern w:val="2"/>
                <w:sz w:val="21"/>
                <w:szCs w:val="21"/>
              </w:rPr>
            </w:pPr>
            <w:r>
              <w:rPr>
                <w:rFonts w:hint="eastAsia" w:hAnsi="Times New Roman" w:eastAsia="宋体"/>
                <w:kern w:val="2"/>
                <w:sz w:val="21"/>
                <w:szCs w:val="21"/>
              </w:rPr>
              <w:t>与建议</w:t>
            </w:r>
          </w:p>
        </w:tc>
        <w:tc>
          <w:tcPr>
            <w:tcW w:w="8165" w:type="dxa"/>
            <w:gridSpan w:val="13"/>
            <w:vAlign w:val="center"/>
          </w:tcPr>
          <w:p>
            <w:pPr>
              <w:keepNext w:val="0"/>
              <w:keepLines w:val="0"/>
              <w:suppressLineNumbers w:val="0"/>
              <w:spacing w:before="0" w:beforeAutospacing="0" w:after="0" w:afterAutospacing="0" w:line="280" w:lineRule="exact"/>
              <w:ind w:left="0" w:right="0"/>
              <w:jc w:val="center"/>
              <w:rPr>
                <w:rFonts w:hint="eastAsia" w:hAnsi="Times New Roman" w:eastAsia="宋体"/>
                <w:kern w:val="2"/>
                <w:sz w:val="21"/>
                <w:szCs w:val="21"/>
              </w:rPr>
            </w:pPr>
            <w:r>
              <w:rPr>
                <w:rFonts w:hint="eastAsia" w:hAnsi="Times New Roman" w:eastAsia="宋体"/>
                <w:kern w:val="2"/>
                <w:sz w:val="21"/>
                <w:szCs w:val="21"/>
              </w:rPr>
              <w:t>结合项目实际情况，本评价提出了相关防范措施，在加强管理及积极落实有关防范措施后，本项目环境事故发生的可能性很低，风险可以规避。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80" w:type="dxa"/>
            <w:gridSpan w:val="15"/>
            <w:vAlign w:val="center"/>
          </w:tcPr>
          <w:p>
            <w:pPr>
              <w:keepNext w:val="0"/>
              <w:keepLines w:val="0"/>
              <w:suppressLineNumbers w:val="0"/>
              <w:spacing w:before="0" w:beforeAutospacing="0" w:after="0" w:afterAutospacing="0" w:line="280" w:lineRule="exact"/>
              <w:ind w:left="0" w:right="0"/>
              <w:rPr>
                <w:rFonts w:hint="eastAsia" w:hAnsi="Times New Roman" w:eastAsia="宋体"/>
                <w:kern w:val="2"/>
                <w:sz w:val="21"/>
                <w:szCs w:val="21"/>
              </w:rPr>
            </w:pPr>
            <w:r>
              <w:rPr>
                <w:rFonts w:hint="eastAsia" w:hAnsi="Times New Roman" w:eastAsia="宋体"/>
                <w:kern w:val="2"/>
                <w:sz w:val="21"/>
                <w:szCs w:val="21"/>
              </w:rPr>
              <w:t>注：“</w:t>
            </w:r>
            <w:r>
              <w:rPr>
                <w:rFonts w:hint="eastAsia" w:hAnsi="Times New Roman" w:eastAsia="宋体"/>
                <w:kern w:val="2"/>
                <w:sz w:val="21"/>
                <w:szCs w:val="21"/>
              </w:rPr>
              <w:sym w:font="Wingdings 2" w:char="00A3"/>
            </w:r>
            <w:r>
              <w:rPr>
                <w:rFonts w:hint="eastAsia" w:hAnsi="Times New Roman" w:eastAsia="宋体"/>
                <w:kern w:val="2"/>
                <w:sz w:val="21"/>
                <w:szCs w:val="21"/>
              </w:rPr>
              <w:t>”为勾选项，“”为填写项。</w:t>
            </w:r>
          </w:p>
        </w:tc>
      </w:tr>
    </w:tbl>
    <w:p>
      <w:pPr>
        <w:spacing w:line="360" w:lineRule="auto"/>
        <w:ind w:firstLine="480" w:firstLineChars="200"/>
        <w:rPr>
          <w:rFonts w:hAnsi="Times New Roman" w:eastAsia="宋体"/>
          <w:lang w:eastAsia="zh-CN"/>
        </w:rPr>
        <w:sectPr>
          <w:pgSz w:w="11905" w:h="16838"/>
          <w:pgMar w:top="1440" w:right="1304" w:bottom="1440" w:left="1474" w:header="850" w:footer="992" w:gutter="0"/>
          <w:cols w:space="0" w:num="1"/>
          <w:docGrid w:type="lines" w:linePitch="338" w:charSpace="0"/>
        </w:sectPr>
      </w:pPr>
    </w:p>
    <w:p>
      <w:pPr>
        <w:pStyle w:val="4"/>
        <w:rPr>
          <w:szCs w:val="22"/>
          <w:lang w:eastAsia="zh-CN"/>
        </w:rPr>
      </w:pPr>
      <w:bookmarkStart w:id="870" w:name="_Toc167095407"/>
      <w:bookmarkStart w:id="871" w:name="_Toc163749245"/>
      <w:r>
        <w:rPr>
          <w:szCs w:val="22"/>
          <w:lang w:eastAsia="zh-CN"/>
        </w:rPr>
        <w:t>16 污染物总量控制分析</w:t>
      </w:r>
      <w:bookmarkEnd w:id="870"/>
      <w:bookmarkEnd w:id="871"/>
    </w:p>
    <w:p>
      <w:pPr>
        <w:pStyle w:val="5"/>
        <w:spacing w:line="460" w:lineRule="exact"/>
        <w:rPr>
          <w:rFonts w:ascii="Times New Roman" w:hAnsi="Times New Roman"/>
          <w:szCs w:val="22"/>
          <w:lang w:eastAsia="zh-CN"/>
        </w:rPr>
      </w:pPr>
      <w:bookmarkStart w:id="872" w:name="bookmark77"/>
      <w:bookmarkEnd w:id="872"/>
      <w:bookmarkStart w:id="873" w:name="15.1项目区环境功能区划及环境质量"/>
      <w:bookmarkEnd w:id="873"/>
      <w:bookmarkStart w:id="874" w:name="_Toc167095408"/>
      <w:bookmarkStart w:id="875" w:name="_Toc163749246"/>
      <w:r>
        <w:rPr>
          <w:rFonts w:ascii="Times New Roman" w:hAnsi="Times New Roman"/>
          <w:szCs w:val="22"/>
          <w:lang w:eastAsia="zh-CN"/>
        </w:rPr>
        <w:t>16.1 项目区环境功能区划及环境质量</w:t>
      </w:r>
      <w:bookmarkEnd w:id="874"/>
      <w:bookmarkEnd w:id="875"/>
      <w:r>
        <w:rPr>
          <w:rFonts w:ascii="Times New Roman" w:hAnsi="Times New Roman"/>
          <w:szCs w:val="22"/>
          <w:lang w:eastAsia="zh-CN"/>
        </w:rPr>
        <w:t xml:space="preserve"> </w:t>
      </w:r>
    </w:p>
    <w:p>
      <w:pPr>
        <w:pStyle w:val="14"/>
        <w:overflowPunct w:val="0"/>
        <w:spacing w:line="460" w:lineRule="exact"/>
        <w:ind w:right="184" w:firstLine="480" w:firstLineChars="200"/>
        <w:rPr>
          <w:rFonts w:ascii="Times New Roman" w:hAnsi="Times New Roman"/>
          <w:sz w:val="24"/>
        </w:rPr>
      </w:pPr>
      <w:r>
        <w:rPr>
          <w:rFonts w:ascii="Times New Roman" w:hAnsi="Times New Roman"/>
          <w:sz w:val="24"/>
        </w:rPr>
        <w:t>项目附近地表水执</w:t>
      </w:r>
      <w:r>
        <w:rPr>
          <w:rFonts w:ascii="Times New Roman" w:hAnsi="Times New Roman"/>
          <w:spacing w:val="-20"/>
          <w:sz w:val="24"/>
        </w:rPr>
        <w:t>行</w:t>
      </w:r>
      <w:r>
        <w:rPr>
          <w:rFonts w:ascii="Times New Roman" w:hAnsi="Times New Roman"/>
          <w:sz w:val="24"/>
        </w:rPr>
        <w:t>《地表水环境质量标准</w:t>
      </w:r>
      <w:r>
        <w:rPr>
          <w:rFonts w:ascii="Times New Roman" w:hAnsi="Times New Roman"/>
          <w:spacing w:val="-39"/>
          <w:sz w:val="24"/>
        </w:rPr>
        <w:t>》</w:t>
      </w:r>
      <w:r>
        <w:rPr>
          <w:rFonts w:ascii="Times New Roman" w:hAnsi="Times New Roman"/>
          <w:sz w:val="24"/>
        </w:rPr>
        <w:t>（</w:t>
      </w:r>
      <w:r>
        <w:rPr>
          <w:rFonts w:ascii="Times New Roman" w:hAnsi="Times New Roman"/>
          <w:spacing w:val="-1"/>
          <w:sz w:val="24"/>
        </w:rPr>
        <w:t>G</w:t>
      </w:r>
      <w:r>
        <w:rPr>
          <w:rFonts w:ascii="Times New Roman" w:hAnsi="Times New Roman"/>
          <w:spacing w:val="-2"/>
          <w:sz w:val="24"/>
        </w:rPr>
        <w:t>B</w:t>
      </w:r>
      <w:r>
        <w:rPr>
          <w:rFonts w:ascii="Times New Roman" w:hAnsi="Times New Roman"/>
          <w:sz w:val="24"/>
        </w:rPr>
        <w:t>3838</w:t>
      </w:r>
      <w:r>
        <w:rPr>
          <w:rFonts w:ascii="Times New Roman" w:hAnsi="Times New Roman"/>
          <w:spacing w:val="-1"/>
          <w:sz w:val="24"/>
        </w:rPr>
        <w:t>-</w:t>
      </w:r>
      <w:r>
        <w:rPr>
          <w:rFonts w:ascii="Times New Roman" w:hAnsi="Times New Roman"/>
          <w:sz w:val="24"/>
        </w:rPr>
        <w:t>2002</w:t>
      </w:r>
      <w:r>
        <w:rPr>
          <w:rFonts w:ascii="Times New Roman" w:hAnsi="Times New Roman"/>
          <w:spacing w:val="-20"/>
          <w:sz w:val="24"/>
        </w:rPr>
        <w:t>）</w:t>
      </w:r>
      <w:r>
        <w:rPr>
          <w:rFonts w:ascii="Times New Roman" w:hAnsi="Times New Roman"/>
          <w:sz w:val="24"/>
        </w:rPr>
        <w:t>Ⅲ类水域水质标</w:t>
      </w:r>
      <w:r>
        <w:rPr>
          <w:rFonts w:ascii="Times New Roman" w:hAnsi="Times New Roman"/>
          <w:spacing w:val="-1"/>
          <w:sz w:val="24"/>
        </w:rPr>
        <w:t>准。项目周边区域环境空气执行《环境空气质量标准》（GB3095-2012）二级标准。声环境执行《声环境质量标准》（GB3096－2008）中</w:t>
      </w:r>
      <w:r>
        <w:rPr>
          <w:rFonts w:ascii="Times New Roman" w:hAnsi="Times New Roman"/>
          <w:spacing w:val="-60"/>
          <w:sz w:val="24"/>
        </w:rPr>
        <w:t xml:space="preserve"> </w:t>
      </w:r>
      <w:r>
        <w:rPr>
          <w:rFonts w:ascii="Times New Roman" w:hAnsi="Times New Roman"/>
          <w:sz w:val="24"/>
        </w:rPr>
        <w:t>2类标准。项目所在地地下水执</w:t>
      </w:r>
      <w:r>
        <w:rPr>
          <w:rFonts w:ascii="Times New Roman" w:hAnsi="Times New Roman"/>
          <w:spacing w:val="-20"/>
          <w:sz w:val="24"/>
        </w:rPr>
        <w:t>行</w:t>
      </w:r>
      <w:r>
        <w:rPr>
          <w:rFonts w:ascii="Times New Roman" w:hAnsi="Times New Roman"/>
          <w:sz w:val="24"/>
        </w:rPr>
        <w:t>《地下水质量标准</w:t>
      </w:r>
      <w:r>
        <w:rPr>
          <w:rFonts w:ascii="Times New Roman" w:hAnsi="Times New Roman"/>
          <w:spacing w:val="-39"/>
          <w:sz w:val="24"/>
        </w:rPr>
        <w:t>》</w:t>
      </w:r>
      <w:r>
        <w:rPr>
          <w:rFonts w:ascii="Times New Roman" w:hAnsi="Times New Roman"/>
          <w:sz w:val="24"/>
        </w:rPr>
        <w:t>（</w:t>
      </w:r>
      <w:r>
        <w:rPr>
          <w:rFonts w:ascii="Times New Roman" w:hAnsi="Times New Roman"/>
          <w:spacing w:val="1"/>
          <w:sz w:val="24"/>
        </w:rPr>
        <w:t>G</w:t>
      </w:r>
      <w:r>
        <w:rPr>
          <w:rFonts w:ascii="Times New Roman" w:hAnsi="Times New Roman"/>
          <w:spacing w:val="-2"/>
          <w:sz w:val="24"/>
        </w:rPr>
        <w:t>B</w:t>
      </w:r>
      <w:r>
        <w:rPr>
          <w:rFonts w:ascii="Times New Roman" w:hAnsi="Times New Roman"/>
          <w:sz w:val="24"/>
        </w:rPr>
        <w:t>/</w:t>
      </w:r>
      <w:r>
        <w:rPr>
          <w:rFonts w:ascii="Times New Roman" w:hAnsi="Times New Roman"/>
          <w:spacing w:val="-1"/>
          <w:sz w:val="24"/>
        </w:rPr>
        <w:t>T</w:t>
      </w:r>
      <w:r>
        <w:rPr>
          <w:rFonts w:ascii="Times New Roman" w:hAnsi="Times New Roman"/>
          <w:sz w:val="24"/>
        </w:rPr>
        <w:t>14848</w:t>
      </w:r>
      <w:r>
        <w:rPr>
          <w:rFonts w:ascii="Times New Roman" w:hAnsi="Times New Roman"/>
          <w:sz w:val="24"/>
          <w:lang w:eastAsia="zh-CN"/>
        </w:rPr>
        <w:t>-</w:t>
      </w:r>
      <w:r>
        <w:rPr>
          <w:rFonts w:ascii="Times New Roman" w:hAnsi="Times New Roman"/>
          <w:sz w:val="24"/>
        </w:rPr>
        <w:t>201</w:t>
      </w:r>
      <w:r>
        <w:rPr>
          <w:rFonts w:ascii="Times New Roman" w:hAnsi="Times New Roman"/>
          <w:spacing w:val="2"/>
          <w:sz w:val="24"/>
        </w:rPr>
        <w:t>7</w:t>
      </w:r>
      <w:r>
        <w:rPr>
          <w:rFonts w:ascii="Times New Roman" w:hAnsi="Times New Roman"/>
          <w:spacing w:val="-20"/>
          <w:sz w:val="24"/>
        </w:rPr>
        <w:t>）</w:t>
      </w:r>
      <w:r>
        <w:rPr>
          <w:rFonts w:ascii="Times New Roman" w:hAnsi="Times New Roman"/>
          <w:sz w:val="24"/>
        </w:rPr>
        <w:t>Ⅲ类标准</w:t>
      </w:r>
      <w:r>
        <w:rPr>
          <w:rFonts w:ascii="Times New Roman" w:hAnsi="Times New Roman"/>
          <w:spacing w:val="-20"/>
          <w:sz w:val="24"/>
        </w:rPr>
        <w:t>。</w:t>
      </w:r>
      <w:r>
        <w:rPr>
          <w:rFonts w:ascii="Times New Roman" w:hAnsi="Times New Roman"/>
          <w:sz w:val="24"/>
        </w:rPr>
        <w:t>项目所</w:t>
      </w:r>
      <w:r>
        <w:rPr>
          <w:rFonts w:ascii="Times New Roman" w:hAnsi="Times New Roman"/>
          <w:spacing w:val="2"/>
          <w:sz w:val="24"/>
        </w:rPr>
        <w:t>在</w:t>
      </w:r>
      <w:r>
        <w:rPr>
          <w:rFonts w:ascii="Times New Roman" w:hAnsi="Times New Roman"/>
          <w:sz w:val="24"/>
        </w:rPr>
        <w:t>地土壤执</w:t>
      </w:r>
      <w:r>
        <w:rPr>
          <w:rFonts w:ascii="Times New Roman" w:hAnsi="Times New Roman"/>
          <w:spacing w:val="-24"/>
          <w:sz w:val="24"/>
        </w:rPr>
        <w:t>行</w:t>
      </w:r>
      <w:r>
        <w:rPr>
          <w:rFonts w:ascii="Times New Roman" w:hAnsi="Times New Roman"/>
          <w:spacing w:val="9"/>
          <w:sz w:val="24"/>
        </w:rPr>
        <w:t>《土</w:t>
      </w:r>
      <w:r>
        <w:rPr>
          <w:rFonts w:ascii="Times New Roman" w:hAnsi="Times New Roman"/>
          <w:spacing w:val="8"/>
          <w:sz w:val="24"/>
        </w:rPr>
        <w:t>壤环境质量建设用地土壤污染风险管控标准》</w:t>
      </w:r>
      <w:r>
        <w:rPr>
          <w:rFonts w:hint="eastAsia" w:ascii="Times New Roman" w:hAnsi="Times New Roman"/>
          <w:spacing w:val="8"/>
          <w:sz w:val="24"/>
          <w:lang w:eastAsia="zh-CN"/>
        </w:rPr>
        <w:t>（</w:t>
      </w:r>
      <w:r>
        <w:rPr>
          <w:rFonts w:ascii="Times New Roman" w:hAnsi="Times New Roman"/>
          <w:spacing w:val="8"/>
          <w:sz w:val="24"/>
        </w:rPr>
        <w:t>GB36600-2018</w:t>
      </w:r>
      <w:r>
        <w:rPr>
          <w:rFonts w:hint="eastAsia" w:ascii="Times New Roman" w:hAnsi="Times New Roman"/>
          <w:spacing w:val="8"/>
          <w:sz w:val="24"/>
          <w:lang w:eastAsia="zh-CN"/>
        </w:rPr>
        <w:t>）</w:t>
      </w:r>
      <w:r>
        <w:rPr>
          <w:rFonts w:ascii="Times New Roman" w:hAnsi="Times New Roman"/>
          <w:spacing w:val="8"/>
          <w:sz w:val="24"/>
        </w:rPr>
        <w:t>中第二类用地标准</w:t>
      </w:r>
      <w:r>
        <w:rPr>
          <w:rFonts w:ascii="Times New Roman" w:hAnsi="Times New Roman"/>
          <w:sz w:val="24"/>
        </w:rPr>
        <w:t>要求及《土壤环境质量农用地土壤污染风险管控标准（试行）》（GB15618-2018）相关标准要求。</w:t>
      </w:r>
    </w:p>
    <w:p>
      <w:pPr>
        <w:pStyle w:val="5"/>
        <w:spacing w:line="460" w:lineRule="exact"/>
        <w:rPr>
          <w:rFonts w:ascii="Times New Roman" w:hAnsi="Times New Roman"/>
          <w:szCs w:val="22"/>
          <w:lang w:eastAsia="zh-CN"/>
        </w:rPr>
      </w:pPr>
      <w:bookmarkStart w:id="876" w:name="bookmark78"/>
      <w:bookmarkEnd w:id="876"/>
      <w:bookmarkStart w:id="877" w:name="15.2污染物达标排放与总量控制"/>
      <w:bookmarkEnd w:id="877"/>
      <w:bookmarkStart w:id="878" w:name="_Toc163749247"/>
      <w:bookmarkStart w:id="879" w:name="_Toc167095409"/>
      <w:r>
        <w:rPr>
          <w:rFonts w:ascii="Times New Roman" w:hAnsi="Times New Roman"/>
          <w:szCs w:val="22"/>
          <w:lang w:eastAsia="zh-CN"/>
        </w:rPr>
        <w:t>16.2 污染物达标排放与总量控制</w:t>
      </w:r>
      <w:bookmarkEnd w:id="878"/>
      <w:bookmarkEnd w:id="879"/>
    </w:p>
    <w:p>
      <w:pPr>
        <w:pStyle w:val="14"/>
        <w:overflowPunct w:val="0"/>
        <w:spacing w:line="460" w:lineRule="exact"/>
        <w:ind w:left="586"/>
        <w:rPr>
          <w:rFonts w:ascii="Times New Roman" w:hAnsi="Times New Roman"/>
          <w:sz w:val="24"/>
        </w:rPr>
      </w:pPr>
      <w:r>
        <w:rPr>
          <w:rFonts w:ascii="Times New Roman" w:hAnsi="Times New Roman"/>
          <w:sz w:val="24"/>
          <w:lang w:eastAsia="zh-CN"/>
        </w:rPr>
        <w:t>（1）</w:t>
      </w:r>
      <w:r>
        <w:rPr>
          <w:rFonts w:ascii="Times New Roman" w:hAnsi="Times New Roman"/>
          <w:sz w:val="24"/>
        </w:rPr>
        <w:t>总量控制的目的</w:t>
      </w:r>
    </w:p>
    <w:p>
      <w:pPr>
        <w:pStyle w:val="14"/>
        <w:overflowPunct w:val="0"/>
        <w:spacing w:line="460" w:lineRule="exact"/>
        <w:ind w:right="184" w:firstLine="480"/>
        <w:rPr>
          <w:rFonts w:ascii="Times New Roman" w:hAnsi="Times New Roman"/>
          <w:sz w:val="24"/>
        </w:rPr>
      </w:pPr>
      <w:r>
        <w:rPr>
          <w:rFonts w:ascii="Times New Roman" w:hAnsi="Times New Roman"/>
          <w:spacing w:val="-1"/>
          <w:sz w:val="24"/>
        </w:rPr>
        <w:t>《建设项目环境保护管理条例》中第三条规定：“建设产生污染的建设项目，必</w:t>
      </w:r>
      <w:r>
        <w:rPr>
          <w:rFonts w:ascii="Times New Roman" w:hAnsi="Times New Roman"/>
          <w:spacing w:val="2"/>
          <w:sz w:val="24"/>
        </w:rPr>
        <w:t>须遵守污染物排放的国家和地方标准；在实施重点污染物排放总量控制的区域内，</w:t>
      </w:r>
      <w:r>
        <w:rPr>
          <w:rFonts w:ascii="Times New Roman" w:hAnsi="Times New Roman"/>
          <w:spacing w:val="-1"/>
          <w:sz w:val="24"/>
        </w:rPr>
        <w:t>还必须符合重点污染物排放总量控制的要求”。使本辖区内主要污染物排放总量控制</w:t>
      </w:r>
      <w:r>
        <w:rPr>
          <w:rFonts w:ascii="Times New Roman" w:hAnsi="Times New Roman"/>
          <w:spacing w:val="2"/>
          <w:sz w:val="24"/>
        </w:rPr>
        <w:t>在国家或地方规定的排放总量指标内，使环境污染和生态破坏加剧的趋势得到基本控制，建设项目建成投入生产或使用后必须确保稳定达到国家或地方规定的污染物排放标准。因此，本次评价的总量控制分析旨在通过采取相应的污染控制措施以确</w:t>
      </w:r>
      <w:r>
        <w:rPr>
          <w:rFonts w:ascii="Times New Roman" w:hAnsi="Times New Roman"/>
          <w:sz w:val="24"/>
        </w:rPr>
        <w:t>保本项目建成投产后的污染物排放符合相应的排放标准要求。</w:t>
      </w:r>
    </w:p>
    <w:p>
      <w:pPr>
        <w:pStyle w:val="14"/>
        <w:overflowPunct w:val="0"/>
        <w:spacing w:line="460" w:lineRule="exact"/>
        <w:ind w:left="586" w:right="3270"/>
        <w:rPr>
          <w:rFonts w:ascii="Times New Roman" w:hAnsi="Times New Roman"/>
          <w:sz w:val="24"/>
        </w:rPr>
      </w:pPr>
      <w:r>
        <w:rPr>
          <w:rFonts w:ascii="Times New Roman" w:hAnsi="Times New Roman"/>
          <w:sz w:val="24"/>
          <w:lang w:eastAsia="zh-CN"/>
        </w:rPr>
        <w:t>（2）</w:t>
      </w:r>
      <w:r>
        <w:rPr>
          <w:rFonts w:ascii="Times New Roman" w:hAnsi="Times New Roman"/>
          <w:sz w:val="24"/>
        </w:rPr>
        <w:t>总量控制的原则总量控制的原则如下：</w:t>
      </w:r>
    </w:p>
    <w:p>
      <w:pPr>
        <w:pStyle w:val="14"/>
        <w:overflowPunct w:val="0"/>
        <w:spacing w:line="460" w:lineRule="exact"/>
        <w:ind w:right="184" w:firstLine="480"/>
        <w:rPr>
          <w:rFonts w:ascii="Times New Roman" w:hAnsi="Times New Roman"/>
          <w:spacing w:val="-1"/>
          <w:sz w:val="24"/>
        </w:rPr>
      </w:pPr>
      <w:r>
        <w:rPr>
          <w:rFonts w:ascii="Times New Roman" w:hAnsi="Times New Roman"/>
          <w:spacing w:val="-1"/>
          <w:sz w:val="24"/>
        </w:rPr>
        <w:t>1）建设项目建成投产后污染物排放必须达到国家标准和地方标准。</w:t>
      </w:r>
    </w:p>
    <w:p>
      <w:pPr>
        <w:pStyle w:val="14"/>
        <w:overflowPunct w:val="0"/>
        <w:spacing w:line="460" w:lineRule="exact"/>
        <w:ind w:right="184" w:firstLine="480"/>
        <w:rPr>
          <w:rFonts w:ascii="Times New Roman" w:hAnsi="Times New Roman"/>
          <w:spacing w:val="-1"/>
          <w:sz w:val="24"/>
        </w:rPr>
      </w:pPr>
      <w:r>
        <w:rPr>
          <w:rFonts w:ascii="Times New Roman" w:hAnsi="Times New Roman"/>
          <w:spacing w:val="-1"/>
          <w:sz w:val="24"/>
        </w:rPr>
        <w:t>2）污染物排放总量必须满足当地区域环境质量达标或区域总量控制的要求。</w:t>
      </w:r>
    </w:p>
    <w:p>
      <w:pPr>
        <w:pStyle w:val="14"/>
        <w:overflowPunct w:val="0"/>
        <w:spacing w:line="460" w:lineRule="exact"/>
        <w:ind w:right="184" w:firstLine="480"/>
        <w:rPr>
          <w:rFonts w:ascii="Times New Roman" w:hAnsi="Times New Roman"/>
          <w:spacing w:val="-1"/>
          <w:sz w:val="24"/>
        </w:rPr>
      </w:pPr>
      <w:r>
        <w:rPr>
          <w:rFonts w:ascii="Times New Roman" w:hAnsi="Times New Roman"/>
          <w:spacing w:val="-1"/>
          <w:sz w:val="24"/>
        </w:rPr>
        <w:t>3）生产工艺及污染治理措施符合清洁生产的要求。以</w:t>
      </w:r>
      <w:r>
        <w:rPr>
          <w:rFonts w:ascii="Times New Roman" w:hAnsi="Times New Roman"/>
          <w:spacing w:val="-1"/>
          <w:sz w:val="24"/>
          <w:lang w:eastAsia="zh-CN"/>
        </w:rPr>
        <w:t>本项目</w:t>
      </w:r>
      <w:r>
        <w:rPr>
          <w:rFonts w:ascii="Times New Roman" w:hAnsi="Times New Roman"/>
          <w:spacing w:val="-1"/>
          <w:sz w:val="24"/>
        </w:rPr>
        <w:t>最终排入环境的废气、废水和固体废物等污染物种类与数量为基础，以排污可能影响的大气、水等环境要素为主要对象，根据区域环境特征、工程特点确定实施总量控制的主要污染物，进而通过采取有效的措施确保污染物排放达到有关规定的标准要求。</w:t>
      </w:r>
    </w:p>
    <w:p>
      <w:pPr>
        <w:pStyle w:val="14"/>
        <w:overflowPunct w:val="0"/>
        <w:spacing w:line="460" w:lineRule="exact"/>
        <w:ind w:firstLine="480" w:firstLineChars="200"/>
        <w:rPr>
          <w:rFonts w:ascii="Times New Roman" w:hAnsi="Times New Roman"/>
          <w:sz w:val="24"/>
        </w:rPr>
      </w:pPr>
      <w:r>
        <w:rPr>
          <w:rFonts w:ascii="Times New Roman" w:hAnsi="Times New Roman"/>
          <w:sz w:val="24"/>
          <w:lang w:eastAsia="zh-CN"/>
        </w:rPr>
        <w:t>（3）</w:t>
      </w:r>
      <w:r>
        <w:rPr>
          <w:rFonts w:ascii="Times New Roman" w:hAnsi="Times New Roman"/>
          <w:sz w:val="24"/>
        </w:rPr>
        <w:t>实施总量控制的项目</w:t>
      </w:r>
      <w:r>
        <w:rPr>
          <w:rFonts w:ascii="Times New Roman" w:hAnsi="Times New Roman"/>
          <w:spacing w:val="2"/>
          <w:sz w:val="24"/>
        </w:rPr>
        <w:t>“十三五”期间国家将氨氮和氮氧化物纳入总量控制指标体系，对废水中的化学需氧量、氨氮，废气中的二氧化硫、氮氧化物共四项污染物实施总量控制，统一要</w:t>
      </w:r>
      <w:r>
        <w:rPr>
          <w:rFonts w:ascii="Times New Roman" w:hAnsi="Times New Roman"/>
          <w:sz w:val="24"/>
        </w:rPr>
        <w:t>求、统一考核。</w:t>
      </w:r>
    </w:p>
    <w:p>
      <w:pPr>
        <w:pStyle w:val="14"/>
        <w:overflowPunct w:val="0"/>
        <w:spacing w:line="460" w:lineRule="exact"/>
        <w:ind w:left="386"/>
        <w:rPr>
          <w:rFonts w:ascii="Times New Roman" w:hAnsi="Times New Roman"/>
          <w:sz w:val="24"/>
        </w:rPr>
      </w:pPr>
      <w:r>
        <w:rPr>
          <w:rFonts w:ascii="Times New Roman" w:hAnsi="Times New Roman"/>
          <w:sz w:val="24"/>
          <w:lang w:eastAsia="zh-CN"/>
        </w:rPr>
        <w:t>（4）</w:t>
      </w:r>
      <w:r>
        <w:rPr>
          <w:rFonts w:ascii="Times New Roman" w:hAnsi="Times New Roman"/>
          <w:sz w:val="24"/>
        </w:rPr>
        <w:t>污染物排放量分析</w:t>
      </w:r>
    </w:p>
    <w:p>
      <w:pPr>
        <w:pStyle w:val="14"/>
        <w:overflowPunct w:val="0"/>
        <w:spacing w:line="460" w:lineRule="exact"/>
        <w:ind w:left="386"/>
        <w:rPr>
          <w:rFonts w:ascii="Times New Roman" w:hAnsi="Times New Roman"/>
          <w:lang w:eastAsia="zh-CN"/>
        </w:rPr>
      </w:pPr>
      <w:r>
        <w:rPr>
          <w:rFonts w:ascii="Times New Roman" w:hAnsi="Times New Roman"/>
          <w:sz w:val="24"/>
        </w:rPr>
        <w:t>运营期</w:t>
      </w:r>
      <w:r>
        <w:rPr>
          <w:rFonts w:ascii="Times New Roman" w:hAnsi="Times New Roman"/>
          <w:spacing w:val="-60"/>
          <w:sz w:val="24"/>
        </w:rPr>
        <w:t xml:space="preserve"> </w:t>
      </w:r>
      <w:r>
        <w:rPr>
          <w:rFonts w:ascii="Times New Roman" w:hAnsi="Times New Roman"/>
          <w:spacing w:val="-1"/>
          <w:sz w:val="24"/>
        </w:rPr>
        <w:t>C</w:t>
      </w:r>
      <w:r>
        <w:rPr>
          <w:rFonts w:ascii="Times New Roman" w:hAnsi="Times New Roman"/>
          <w:sz w:val="24"/>
        </w:rPr>
        <w:t>OD排放量为</w:t>
      </w:r>
      <w:r>
        <w:rPr>
          <w:rFonts w:hint="eastAsia" w:ascii="Times New Roman" w:hAnsi="Times New Roman"/>
          <w:sz w:val="24"/>
          <w:lang w:eastAsia="zh-CN"/>
        </w:rPr>
        <w:t>22.032</w:t>
      </w:r>
      <w:r>
        <w:rPr>
          <w:rFonts w:ascii="Times New Roman" w:hAnsi="Times New Roman"/>
          <w:sz w:val="24"/>
        </w:rPr>
        <w:t>t/a，</w:t>
      </w:r>
      <w:r>
        <w:rPr>
          <w:rFonts w:ascii="Times New Roman" w:hAnsi="Times New Roman"/>
          <w:spacing w:val="-1"/>
          <w:sz w:val="24"/>
        </w:rPr>
        <w:t>NH</w:t>
      </w:r>
      <w:r>
        <w:rPr>
          <w:rFonts w:ascii="Times New Roman" w:hAnsi="Times New Roman"/>
          <w:spacing w:val="-1"/>
          <w:position w:val="-3"/>
          <w:sz w:val="16"/>
        </w:rPr>
        <w:t>3</w:t>
      </w:r>
      <w:r>
        <w:rPr>
          <w:rFonts w:ascii="Times New Roman" w:hAnsi="Times New Roman"/>
          <w:spacing w:val="-1"/>
          <w:sz w:val="24"/>
        </w:rPr>
        <w:t>-N</w:t>
      </w:r>
      <w:r>
        <w:rPr>
          <w:rFonts w:ascii="Times New Roman" w:hAnsi="Times New Roman"/>
          <w:sz w:val="24"/>
        </w:rPr>
        <w:t>排放量为</w:t>
      </w:r>
      <w:r>
        <w:rPr>
          <w:rFonts w:hint="eastAsia" w:ascii="Times New Roman" w:hAnsi="Times New Roman"/>
          <w:spacing w:val="-1"/>
          <w:sz w:val="24"/>
          <w:lang w:eastAsia="zh-CN"/>
        </w:rPr>
        <w:t>1.102</w:t>
      </w:r>
      <w:r>
        <w:rPr>
          <w:rFonts w:ascii="Times New Roman" w:hAnsi="Times New Roman"/>
          <w:spacing w:val="-1"/>
          <w:sz w:val="24"/>
        </w:rPr>
        <w:t>t/a，</w:t>
      </w:r>
      <w:r>
        <w:rPr>
          <w:rFonts w:hint="eastAsia" w:ascii="Times New Roman" w:hAnsi="Times New Roman"/>
          <w:spacing w:val="-1"/>
          <w:sz w:val="24"/>
          <w:lang w:eastAsia="zh-CN"/>
        </w:rPr>
        <w:t>TP</w:t>
      </w:r>
      <w:r>
        <w:rPr>
          <w:rFonts w:ascii="Times New Roman" w:hAnsi="Times New Roman"/>
          <w:sz w:val="24"/>
        </w:rPr>
        <w:t>排放量为</w:t>
      </w:r>
      <w:r>
        <w:rPr>
          <w:rFonts w:hint="eastAsia" w:ascii="Times New Roman" w:hAnsi="Times New Roman"/>
          <w:spacing w:val="-1"/>
          <w:sz w:val="24"/>
          <w:lang w:eastAsia="zh-CN"/>
        </w:rPr>
        <w:t>0.220</w:t>
      </w:r>
      <w:r>
        <w:rPr>
          <w:rFonts w:ascii="Times New Roman" w:hAnsi="Times New Roman"/>
          <w:spacing w:val="-1"/>
          <w:sz w:val="24"/>
        </w:rPr>
        <w:t>t/a</w:t>
      </w:r>
      <w:r>
        <w:rPr>
          <w:rFonts w:hint="eastAsia" w:ascii="Times New Roman" w:hAnsi="Times New Roman"/>
          <w:spacing w:val="-1"/>
          <w:sz w:val="24"/>
        </w:rPr>
        <w:t>，</w:t>
      </w:r>
      <w:r>
        <w:rPr>
          <w:rFonts w:ascii="Times New Roman" w:hAnsi="Times New Roman"/>
          <w:spacing w:val="-1"/>
          <w:sz w:val="24"/>
        </w:rPr>
        <w:t>无</w:t>
      </w:r>
      <w:r>
        <w:rPr>
          <w:rFonts w:ascii="Times New Roman" w:hAnsi="Times New Roman"/>
          <w:spacing w:val="-60"/>
          <w:sz w:val="24"/>
        </w:rPr>
        <w:t xml:space="preserve"> </w:t>
      </w:r>
      <w:r>
        <w:rPr>
          <w:rFonts w:ascii="Times New Roman" w:hAnsi="Times New Roman"/>
          <w:spacing w:val="-1"/>
          <w:sz w:val="24"/>
        </w:rPr>
        <w:t>SO</w:t>
      </w:r>
      <w:r>
        <w:rPr>
          <w:rFonts w:ascii="Times New Roman" w:hAnsi="Times New Roman"/>
          <w:spacing w:val="-1"/>
          <w:position w:val="-3"/>
          <w:sz w:val="16"/>
        </w:rPr>
        <w:t>2</w:t>
      </w:r>
      <w:r>
        <w:rPr>
          <w:rFonts w:ascii="Times New Roman" w:hAnsi="Times New Roman"/>
          <w:sz w:val="24"/>
        </w:rPr>
        <w:t>及</w:t>
      </w:r>
      <w:r>
        <w:rPr>
          <w:rFonts w:ascii="Times New Roman" w:hAnsi="Times New Roman"/>
          <w:spacing w:val="-60"/>
          <w:sz w:val="24"/>
        </w:rPr>
        <w:t xml:space="preserve"> </w:t>
      </w:r>
      <w:r>
        <w:rPr>
          <w:rFonts w:ascii="Times New Roman" w:hAnsi="Times New Roman"/>
          <w:spacing w:val="-2"/>
          <w:sz w:val="24"/>
        </w:rPr>
        <w:t>NOx</w:t>
      </w:r>
      <w:r>
        <w:rPr>
          <w:rFonts w:ascii="Times New Roman" w:hAnsi="Times New Roman"/>
          <w:sz w:val="24"/>
        </w:rPr>
        <w:t>外排。</w:t>
      </w:r>
      <w:r>
        <w:rPr>
          <w:rFonts w:ascii="Times New Roman" w:hAnsi="Times New Roman"/>
          <w:lang w:eastAsia="zh-CN"/>
        </w:rPr>
        <w:br w:type="page"/>
      </w:r>
    </w:p>
    <w:p>
      <w:pPr>
        <w:pStyle w:val="4"/>
        <w:rPr>
          <w:lang w:eastAsia="zh-CN"/>
        </w:rPr>
      </w:pPr>
      <w:bookmarkStart w:id="880" w:name="_Toc167095410"/>
      <w:bookmarkStart w:id="881" w:name="_Toc163749248"/>
      <w:r>
        <w:rPr>
          <w:lang w:eastAsia="zh-CN"/>
        </w:rPr>
        <w:t>17 环境影响经济损益分析</w:t>
      </w:r>
      <w:bookmarkEnd w:id="880"/>
      <w:bookmarkEnd w:id="881"/>
    </w:p>
    <w:p>
      <w:pPr>
        <w:pStyle w:val="5"/>
        <w:rPr>
          <w:rFonts w:ascii="Times New Roman" w:hAnsi="Times New Roman"/>
          <w:lang w:eastAsia="zh-CN"/>
        </w:rPr>
      </w:pPr>
      <w:bookmarkStart w:id="882" w:name="_Toc163749249"/>
      <w:bookmarkStart w:id="883" w:name="_Toc167095411"/>
      <w:r>
        <w:rPr>
          <w:rFonts w:ascii="Times New Roman" w:hAnsi="Times New Roman"/>
          <w:lang w:eastAsia="zh-CN"/>
        </w:rPr>
        <w:t>17.1 环境保护工程投资分析</w:t>
      </w:r>
      <w:bookmarkEnd w:id="882"/>
      <w:bookmarkEnd w:id="883"/>
    </w:p>
    <w:p>
      <w:pPr>
        <w:spacing w:line="360" w:lineRule="auto"/>
        <w:ind w:firstLine="480" w:firstLineChars="200"/>
        <w:rPr>
          <w:rFonts w:hAnsi="Times New Roman" w:eastAsia="宋体"/>
          <w:lang w:eastAsia="zh-CN"/>
        </w:rPr>
      </w:pPr>
      <w:r>
        <w:rPr>
          <w:rFonts w:hAnsi="Times New Roman" w:eastAsia="宋体"/>
          <w:lang w:eastAsia="zh-CN"/>
        </w:rPr>
        <w:t>本项目环保投资包括废气治理、废水治理、噪声控制及固体废物处理与处置等费用。项目总投资为4753.86万元，新增环保投资</w:t>
      </w:r>
      <w:r>
        <w:rPr>
          <w:rFonts w:hint="eastAsia" w:hAnsi="Times New Roman" w:eastAsia="宋体"/>
          <w:lang w:eastAsia="zh-CN"/>
        </w:rPr>
        <w:t>212.0</w:t>
      </w:r>
      <w:r>
        <w:rPr>
          <w:rFonts w:hAnsi="Times New Roman" w:eastAsia="宋体"/>
          <w:lang w:eastAsia="zh-CN"/>
        </w:rPr>
        <w:t>万元，占总投资的</w:t>
      </w:r>
      <w:r>
        <w:rPr>
          <w:rFonts w:hint="eastAsia" w:hAnsi="Times New Roman" w:eastAsia="宋体"/>
          <w:lang w:eastAsia="zh-CN"/>
        </w:rPr>
        <w:t>4.46</w:t>
      </w:r>
      <w:r>
        <w:rPr>
          <w:rFonts w:hAnsi="Times New Roman" w:eastAsia="宋体"/>
          <w:lang w:eastAsia="zh-CN"/>
        </w:rPr>
        <w:t>%，环保投资情况见下表所示。</w:t>
      </w: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表17.1-1 本项目环保投资一览表</w:t>
      </w:r>
    </w:p>
    <w:tbl>
      <w:tblPr>
        <w:tblStyle w:val="3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92"/>
        <w:gridCol w:w="716"/>
        <w:gridCol w:w="1414"/>
        <w:gridCol w:w="4037"/>
        <w:gridCol w:w="1003"/>
        <w:gridCol w:w="9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43"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en-US"/>
              </w:rPr>
            </w:pPr>
            <w:r>
              <w:rPr>
                <w:rFonts w:hint="eastAsia" w:hAnsi="Times New Roman" w:eastAsia="宋体"/>
                <w:b/>
                <w:bCs/>
                <w:kern w:val="2"/>
                <w:sz w:val="21"/>
                <w:szCs w:val="21"/>
                <w:lang w:eastAsia="en-US"/>
              </w:rPr>
              <w:t>时段</w:t>
            </w:r>
          </w:p>
        </w:tc>
        <w:tc>
          <w:tcPr>
            <w:tcW w:w="1166" w:type="pct"/>
            <w:gridSpan w:val="2"/>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en-US"/>
              </w:rPr>
            </w:pPr>
            <w:r>
              <w:rPr>
                <w:rFonts w:hint="eastAsia" w:hAnsi="Times New Roman" w:eastAsia="宋体"/>
                <w:b/>
                <w:bCs/>
                <w:kern w:val="2"/>
                <w:sz w:val="21"/>
                <w:szCs w:val="21"/>
                <w:lang w:eastAsia="en-US"/>
              </w:rPr>
              <w:t>类别</w:t>
            </w:r>
          </w:p>
        </w:tc>
        <w:tc>
          <w:tcPr>
            <w:tcW w:w="2209"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en-US"/>
              </w:rPr>
            </w:pPr>
            <w:r>
              <w:rPr>
                <w:rFonts w:hint="eastAsia" w:hAnsi="Times New Roman" w:eastAsia="宋体"/>
                <w:b/>
                <w:bCs/>
                <w:kern w:val="2"/>
                <w:sz w:val="21"/>
                <w:szCs w:val="21"/>
                <w:lang w:eastAsia="en-US"/>
              </w:rPr>
              <w:t>治理措施</w:t>
            </w:r>
          </w:p>
        </w:tc>
        <w:tc>
          <w:tcPr>
            <w:tcW w:w="549"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en-US"/>
              </w:rPr>
            </w:pPr>
            <w:r>
              <w:rPr>
                <w:rFonts w:hint="eastAsia" w:hAnsi="Times New Roman" w:eastAsia="宋体"/>
                <w:b/>
                <w:bCs/>
                <w:kern w:val="2"/>
                <w:sz w:val="21"/>
                <w:szCs w:val="21"/>
                <w:lang w:eastAsia="en-US"/>
              </w:rPr>
              <w:t>估算投资</w:t>
            </w:r>
          </w:p>
        </w:tc>
        <w:tc>
          <w:tcPr>
            <w:tcW w:w="533"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en-US"/>
              </w:rPr>
            </w:pPr>
            <w:r>
              <w:rPr>
                <w:rFonts w:hint="eastAsia" w:hAnsi="Times New Roman" w:eastAsia="宋体"/>
                <w:b/>
                <w:bCs/>
                <w:kern w:val="2"/>
                <w:sz w:val="21"/>
                <w:szCs w:val="21"/>
                <w:lang w:eastAsia="en-US"/>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43"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施工期</w:t>
            </w:r>
          </w:p>
        </w:tc>
        <w:tc>
          <w:tcPr>
            <w:tcW w:w="1166" w:type="pct"/>
            <w:gridSpan w:val="2"/>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扬尘防护</w:t>
            </w:r>
          </w:p>
        </w:tc>
        <w:tc>
          <w:tcPr>
            <w:tcW w:w="220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加强管理、洒水降尘、堆体遮盖</w:t>
            </w:r>
          </w:p>
        </w:tc>
        <w:tc>
          <w:tcPr>
            <w:tcW w:w="549"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20</w:t>
            </w:r>
          </w:p>
        </w:tc>
        <w:tc>
          <w:tcPr>
            <w:tcW w:w="53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43"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p>
        </w:tc>
        <w:tc>
          <w:tcPr>
            <w:tcW w:w="1166" w:type="pct"/>
            <w:gridSpan w:val="2"/>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噪声防治</w:t>
            </w:r>
          </w:p>
        </w:tc>
        <w:tc>
          <w:tcPr>
            <w:tcW w:w="220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合理安排施工时间，加强施工管理； 禁止夜间地面作业；进、离场运输工具限速，禁止鸣笛</w:t>
            </w:r>
          </w:p>
        </w:tc>
        <w:tc>
          <w:tcPr>
            <w:tcW w:w="549"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p>
        </w:tc>
        <w:tc>
          <w:tcPr>
            <w:tcW w:w="53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43"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p>
        </w:tc>
        <w:tc>
          <w:tcPr>
            <w:tcW w:w="1166" w:type="pct"/>
            <w:gridSpan w:val="2"/>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水土流失</w:t>
            </w:r>
          </w:p>
        </w:tc>
        <w:tc>
          <w:tcPr>
            <w:tcW w:w="220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合理安排施工时间，临时堆土场设置截、排水设施。</w:t>
            </w:r>
          </w:p>
        </w:tc>
        <w:tc>
          <w:tcPr>
            <w:tcW w:w="549"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p>
        </w:tc>
        <w:tc>
          <w:tcPr>
            <w:tcW w:w="53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43"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p>
        </w:tc>
        <w:tc>
          <w:tcPr>
            <w:tcW w:w="1166" w:type="pct"/>
            <w:gridSpan w:val="2"/>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施工固废</w:t>
            </w:r>
          </w:p>
        </w:tc>
        <w:tc>
          <w:tcPr>
            <w:tcW w:w="220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掘进矸石由砖厂拉运作为砖厂原料</w:t>
            </w:r>
          </w:p>
        </w:tc>
        <w:tc>
          <w:tcPr>
            <w:tcW w:w="549"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p>
        </w:tc>
        <w:tc>
          <w:tcPr>
            <w:tcW w:w="53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43"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营运期</w:t>
            </w:r>
          </w:p>
        </w:tc>
        <w:tc>
          <w:tcPr>
            <w:tcW w:w="392"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废气</w:t>
            </w:r>
          </w:p>
        </w:tc>
        <w:tc>
          <w:tcPr>
            <w:tcW w:w="77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井下防尘</w:t>
            </w:r>
          </w:p>
        </w:tc>
        <w:tc>
          <w:tcPr>
            <w:tcW w:w="220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加强井下防尘洒水，配置掘进通风除尘器</w:t>
            </w:r>
          </w:p>
        </w:tc>
        <w:tc>
          <w:tcPr>
            <w:tcW w:w="54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16</w:t>
            </w:r>
          </w:p>
        </w:tc>
        <w:tc>
          <w:tcPr>
            <w:tcW w:w="53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43"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p>
        </w:tc>
        <w:tc>
          <w:tcPr>
            <w:tcW w:w="392"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p>
        </w:tc>
        <w:tc>
          <w:tcPr>
            <w:tcW w:w="77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地面煤场、临时堆矸场</w:t>
            </w:r>
          </w:p>
        </w:tc>
        <w:tc>
          <w:tcPr>
            <w:tcW w:w="220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储煤场、</w:t>
            </w:r>
            <w:r>
              <w:rPr>
                <w:rFonts w:hint="eastAsia" w:ascii="宋体" w:hAnsi="宋体" w:eastAsia="宋体"/>
                <w:spacing w:val="-1"/>
                <w:kern w:val="2"/>
                <w:sz w:val="21"/>
                <w:szCs w:val="22"/>
                <w:lang w:eastAsia="zh-CN"/>
              </w:rPr>
              <w:t>矸石临时堆场建为顶部遮盖、三面围挡封闭的半封闭式的钢架结构彩钢棚，并在矸石临时堆场的敞开位置，加设防尘网和防尘水雾喷洒系统，在煤矸石堆场转运点进行封闭，并设置喷雾降尘装置，防止粉尘污染</w:t>
            </w:r>
            <w:r>
              <w:rPr>
                <w:rFonts w:hint="eastAsia" w:hAnsi="Times New Roman" w:eastAsia="宋体"/>
                <w:kern w:val="2"/>
                <w:sz w:val="21"/>
                <w:szCs w:val="21"/>
                <w:lang w:eastAsia="zh-CN"/>
              </w:rPr>
              <w:t>。</w:t>
            </w:r>
          </w:p>
        </w:tc>
        <w:tc>
          <w:tcPr>
            <w:tcW w:w="54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10</w:t>
            </w:r>
          </w:p>
        </w:tc>
        <w:tc>
          <w:tcPr>
            <w:tcW w:w="53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依托现有+整改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43"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p>
        </w:tc>
        <w:tc>
          <w:tcPr>
            <w:tcW w:w="392"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p>
        </w:tc>
        <w:tc>
          <w:tcPr>
            <w:tcW w:w="774"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场地、道路扬尘</w:t>
            </w:r>
          </w:p>
        </w:tc>
        <w:tc>
          <w:tcPr>
            <w:tcW w:w="220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工业场地运煤车辆出口设车辆自动冲洗装置。</w:t>
            </w:r>
          </w:p>
        </w:tc>
        <w:tc>
          <w:tcPr>
            <w:tcW w:w="54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w:t>
            </w:r>
          </w:p>
        </w:tc>
        <w:tc>
          <w:tcPr>
            <w:tcW w:w="53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543"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p>
        </w:tc>
        <w:tc>
          <w:tcPr>
            <w:tcW w:w="392"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p>
        </w:tc>
        <w:tc>
          <w:tcPr>
            <w:tcW w:w="774"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p>
        </w:tc>
        <w:tc>
          <w:tcPr>
            <w:tcW w:w="220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多功能洒水车或喷雾洒水车1台。</w:t>
            </w:r>
          </w:p>
        </w:tc>
        <w:tc>
          <w:tcPr>
            <w:tcW w:w="54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10</w:t>
            </w:r>
          </w:p>
        </w:tc>
        <w:tc>
          <w:tcPr>
            <w:tcW w:w="53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43"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p>
        </w:tc>
        <w:tc>
          <w:tcPr>
            <w:tcW w:w="392"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废水</w:t>
            </w:r>
          </w:p>
        </w:tc>
        <w:tc>
          <w:tcPr>
            <w:tcW w:w="77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生活污水</w:t>
            </w:r>
          </w:p>
        </w:tc>
        <w:tc>
          <w:tcPr>
            <w:tcW w:w="220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食堂设置隔油池 1 个，容积5m³；生活污水处理站1座，规模 240m³/d。</w:t>
            </w:r>
          </w:p>
        </w:tc>
        <w:tc>
          <w:tcPr>
            <w:tcW w:w="54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5</w:t>
            </w:r>
          </w:p>
        </w:tc>
        <w:tc>
          <w:tcPr>
            <w:tcW w:w="53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43"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p>
        </w:tc>
        <w:tc>
          <w:tcPr>
            <w:tcW w:w="392"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p>
        </w:tc>
        <w:tc>
          <w:tcPr>
            <w:tcW w:w="77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矿井水</w:t>
            </w:r>
          </w:p>
        </w:tc>
        <w:tc>
          <w:tcPr>
            <w:tcW w:w="220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新增2套一体化水处理装置，单台处理量为200m</w:t>
            </w:r>
            <w:r>
              <w:rPr>
                <w:rFonts w:hint="eastAsia" w:hAnsi="Times New Roman" w:eastAsia="宋体"/>
                <w:kern w:val="2"/>
                <w:sz w:val="21"/>
                <w:szCs w:val="21"/>
                <w:vertAlign w:val="superscript"/>
                <w:lang w:eastAsia="zh-CN"/>
              </w:rPr>
              <w:t>3</w:t>
            </w:r>
            <w:r>
              <w:rPr>
                <w:rFonts w:hint="eastAsia" w:hAnsi="Times New Roman" w:eastAsia="宋体"/>
                <w:kern w:val="2"/>
                <w:sz w:val="21"/>
                <w:szCs w:val="21"/>
                <w:lang w:eastAsia="zh-CN"/>
              </w:rPr>
              <w:t>/h（9600m</w:t>
            </w:r>
            <w:r>
              <w:rPr>
                <w:rFonts w:hint="eastAsia" w:hAnsi="Times New Roman" w:eastAsia="宋体"/>
                <w:kern w:val="2"/>
                <w:sz w:val="21"/>
                <w:szCs w:val="21"/>
                <w:vertAlign w:val="superscript"/>
                <w:lang w:eastAsia="zh-CN"/>
              </w:rPr>
              <w:t>3</w:t>
            </w:r>
            <w:r>
              <w:rPr>
                <w:rFonts w:hint="eastAsia" w:hAnsi="Times New Roman" w:eastAsia="宋体"/>
                <w:kern w:val="2"/>
                <w:sz w:val="21"/>
                <w:szCs w:val="21"/>
                <w:lang w:eastAsia="zh-CN"/>
              </w:rPr>
              <w:t>/d）；采用“隔油+预沉调节+混凝沉淀+斜管沉淀+石英砂过滤+消毒”处理工艺</w:t>
            </w:r>
          </w:p>
        </w:tc>
        <w:tc>
          <w:tcPr>
            <w:tcW w:w="54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50</w:t>
            </w:r>
          </w:p>
        </w:tc>
        <w:tc>
          <w:tcPr>
            <w:tcW w:w="53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43"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p>
        </w:tc>
        <w:tc>
          <w:tcPr>
            <w:tcW w:w="392"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p>
        </w:tc>
        <w:tc>
          <w:tcPr>
            <w:tcW w:w="77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车辆冲洗废水</w:t>
            </w:r>
          </w:p>
        </w:tc>
        <w:tc>
          <w:tcPr>
            <w:tcW w:w="220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冲洗平台一侧设置</w:t>
            </w:r>
            <w:r>
              <w:rPr>
                <w:rFonts w:hint="eastAsia" w:hAnsi="Times New Roman" w:eastAsia="Times New Roman"/>
                <w:kern w:val="2"/>
                <w:sz w:val="21"/>
                <w:szCs w:val="22"/>
              </w:rPr>
              <w:t>1</w:t>
            </w:r>
            <w:r>
              <w:rPr>
                <w:rFonts w:hint="eastAsia" w:ascii="宋体" w:hAnsi="宋体" w:eastAsia="宋体"/>
                <w:kern w:val="2"/>
                <w:sz w:val="21"/>
                <w:szCs w:val="22"/>
              </w:rPr>
              <w:t>个</w:t>
            </w:r>
            <w:r>
              <w:rPr>
                <w:rFonts w:hint="eastAsia" w:hAnsi="Times New Roman" w:eastAsia="宋体"/>
                <w:kern w:val="2"/>
                <w:sz w:val="21"/>
                <w:szCs w:val="21"/>
                <w:lang w:eastAsia="zh-CN"/>
              </w:rPr>
              <w:t>5</w:t>
            </w:r>
            <w:r>
              <w:rPr>
                <w:rFonts w:hint="eastAsia" w:hAnsi="Times New Roman" w:eastAsia="Times New Roman"/>
                <w:kern w:val="2"/>
                <w:sz w:val="21"/>
                <w:szCs w:val="22"/>
              </w:rPr>
              <w:t>m</w:t>
            </w:r>
            <w:r>
              <w:rPr>
                <w:rFonts w:hint="eastAsia" w:hAnsi="Times New Roman" w:eastAsia="Times New Roman"/>
                <w:kern w:val="2"/>
                <w:position w:val="7"/>
                <w:sz w:val="13"/>
                <w:szCs w:val="22"/>
              </w:rPr>
              <w:t>3</w:t>
            </w:r>
            <w:r>
              <w:rPr>
                <w:rFonts w:hint="eastAsia" w:hAnsi="Times New Roman" w:eastAsia="Times New Roman"/>
                <w:spacing w:val="-8"/>
                <w:kern w:val="2"/>
                <w:position w:val="7"/>
                <w:sz w:val="13"/>
                <w:szCs w:val="22"/>
              </w:rPr>
              <w:t xml:space="preserve"> </w:t>
            </w:r>
            <w:r>
              <w:rPr>
                <w:rFonts w:hint="eastAsia" w:ascii="宋体" w:hAnsi="宋体" w:eastAsia="宋体"/>
                <w:spacing w:val="-1"/>
                <w:kern w:val="2"/>
                <w:sz w:val="21"/>
                <w:szCs w:val="22"/>
              </w:rPr>
              <w:t>的</w:t>
            </w:r>
            <w:r>
              <w:rPr>
                <w:rFonts w:hint="eastAsia" w:hAnsi="Times New Roman" w:eastAsia="宋体"/>
                <w:kern w:val="2"/>
                <w:sz w:val="21"/>
                <w:szCs w:val="21"/>
                <w:lang w:eastAsia="zh-CN"/>
              </w:rPr>
              <w:t>隔油沉淀池</w:t>
            </w:r>
          </w:p>
        </w:tc>
        <w:tc>
          <w:tcPr>
            <w:tcW w:w="54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zh-CN"/>
              </w:rPr>
              <w:t>/</w:t>
            </w:r>
          </w:p>
        </w:tc>
        <w:tc>
          <w:tcPr>
            <w:tcW w:w="53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43"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p>
        </w:tc>
        <w:tc>
          <w:tcPr>
            <w:tcW w:w="392"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p>
        </w:tc>
        <w:tc>
          <w:tcPr>
            <w:tcW w:w="77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初期雨水</w:t>
            </w:r>
          </w:p>
        </w:tc>
        <w:tc>
          <w:tcPr>
            <w:tcW w:w="220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在煤炭、矸石储运场地上游外侧（场地南侧、东侧）设置截洪沟。沿储运场地各厂房、地面构筑物外墙砌筑环形集水沟与初期雨水沉淀池（容积30m³）相</w:t>
            </w:r>
          </w:p>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连。</w:t>
            </w:r>
          </w:p>
        </w:tc>
        <w:tc>
          <w:tcPr>
            <w:tcW w:w="54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6</w:t>
            </w:r>
          </w:p>
        </w:tc>
        <w:tc>
          <w:tcPr>
            <w:tcW w:w="53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依托现有+整改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43"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p>
        </w:tc>
        <w:tc>
          <w:tcPr>
            <w:tcW w:w="1166" w:type="pct"/>
            <w:gridSpan w:val="2"/>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噪声</w:t>
            </w:r>
          </w:p>
        </w:tc>
        <w:tc>
          <w:tcPr>
            <w:tcW w:w="220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新增矿井水、生活污水处理站减震、降噪措施</w:t>
            </w:r>
          </w:p>
        </w:tc>
        <w:tc>
          <w:tcPr>
            <w:tcW w:w="54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8</w:t>
            </w:r>
          </w:p>
        </w:tc>
        <w:tc>
          <w:tcPr>
            <w:tcW w:w="53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其余依托现有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43"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p>
        </w:tc>
        <w:tc>
          <w:tcPr>
            <w:tcW w:w="392" w:type="pct"/>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固体废弃物</w:t>
            </w:r>
          </w:p>
        </w:tc>
        <w:tc>
          <w:tcPr>
            <w:tcW w:w="77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煤矸石</w:t>
            </w:r>
          </w:p>
        </w:tc>
        <w:tc>
          <w:tcPr>
            <w:tcW w:w="220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临时储矸场暂存，运至宣汉县平桥砖厂用于制砖使用</w:t>
            </w:r>
          </w:p>
        </w:tc>
        <w:tc>
          <w:tcPr>
            <w:tcW w:w="54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0</w:t>
            </w:r>
          </w:p>
        </w:tc>
        <w:tc>
          <w:tcPr>
            <w:tcW w:w="53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43"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p>
        </w:tc>
        <w:tc>
          <w:tcPr>
            <w:tcW w:w="392"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p>
        </w:tc>
        <w:tc>
          <w:tcPr>
            <w:tcW w:w="77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危险废物</w:t>
            </w:r>
          </w:p>
        </w:tc>
        <w:tc>
          <w:tcPr>
            <w:tcW w:w="220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危废暂存间</w:t>
            </w:r>
          </w:p>
        </w:tc>
        <w:tc>
          <w:tcPr>
            <w:tcW w:w="54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0</w:t>
            </w:r>
          </w:p>
        </w:tc>
        <w:tc>
          <w:tcPr>
            <w:tcW w:w="53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43"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p>
        </w:tc>
        <w:tc>
          <w:tcPr>
            <w:tcW w:w="392"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p>
        </w:tc>
        <w:tc>
          <w:tcPr>
            <w:tcW w:w="774"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生活垃圾</w:t>
            </w:r>
          </w:p>
        </w:tc>
        <w:tc>
          <w:tcPr>
            <w:tcW w:w="220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工业场地内设置垃圾桶，垃圾袋装收集后，由乡镇环卫部门清运处置</w:t>
            </w:r>
          </w:p>
        </w:tc>
        <w:tc>
          <w:tcPr>
            <w:tcW w:w="54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0</w:t>
            </w:r>
          </w:p>
        </w:tc>
        <w:tc>
          <w:tcPr>
            <w:tcW w:w="53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43"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p>
        </w:tc>
        <w:tc>
          <w:tcPr>
            <w:tcW w:w="1166" w:type="pct"/>
            <w:gridSpan w:val="2"/>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地下水污染防治</w:t>
            </w:r>
          </w:p>
        </w:tc>
        <w:tc>
          <w:tcPr>
            <w:tcW w:w="2209" w:type="pct"/>
            <w:vAlign w:val="center"/>
          </w:tcPr>
          <w:p>
            <w:pPr>
              <w:pStyle w:val="44"/>
              <w:keepNext w:val="0"/>
              <w:keepLines w:val="0"/>
              <w:suppressLineNumbers w:val="0"/>
              <w:kinsoku w:val="0"/>
              <w:overflowPunct w:val="0"/>
              <w:spacing w:before="0" w:beforeAutospacing="0" w:after="0" w:afterAutospacing="0"/>
              <w:ind w:left="128" w:right="124"/>
              <w:jc w:val="center"/>
              <w:rPr>
                <w:rFonts w:hint="eastAsia" w:hAnsi="Times New Roman" w:eastAsia="宋体"/>
                <w:kern w:val="2"/>
                <w:sz w:val="21"/>
                <w:szCs w:val="21"/>
                <w:lang w:eastAsia="zh-CN"/>
              </w:rPr>
            </w:pPr>
            <w:r>
              <w:rPr>
                <w:rFonts w:hint="eastAsia" w:hAnsi="Times New Roman" w:eastAsia="宋体"/>
                <w:kern w:val="2"/>
                <w:sz w:val="21"/>
                <w:szCs w:val="21"/>
                <w:lang w:eastAsia="zh-CN"/>
              </w:rPr>
              <w:t>开采过程中，穿过各含水层的井筒、钻孔或巷道，应采取、注浆等一系列的防渗漏措施，严禁疏排施工，完工后井巷如发现长期涌水要及 时进行封堵</w:t>
            </w:r>
          </w:p>
        </w:tc>
        <w:tc>
          <w:tcPr>
            <w:tcW w:w="549" w:type="pct"/>
            <w:vAlign w:val="center"/>
          </w:tcPr>
          <w:p>
            <w:pPr>
              <w:pStyle w:val="44"/>
              <w:keepNext w:val="0"/>
              <w:keepLines w:val="0"/>
              <w:suppressLineNumbers w:val="0"/>
              <w:kinsoku w:val="0"/>
              <w:overflowPunct w:val="0"/>
              <w:spacing w:before="0" w:beforeAutospacing="0" w:after="0" w:afterAutospacing="0"/>
              <w:ind w:left="4"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15.0</w:t>
            </w:r>
          </w:p>
        </w:tc>
        <w:tc>
          <w:tcPr>
            <w:tcW w:w="53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43"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p>
        </w:tc>
        <w:tc>
          <w:tcPr>
            <w:tcW w:w="1166" w:type="pct"/>
            <w:gridSpan w:val="2"/>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p>
        </w:tc>
        <w:tc>
          <w:tcPr>
            <w:tcW w:w="2209" w:type="pct"/>
            <w:vAlign w:val="center"/>
          </w:tcPr>
          <w:p>
            <w:pPr>
              <w:pStyle w:val="44"/>
              <w:keepNext w:val="0"/>
              <w:keepLines w:val="0"/>
              <w:suppressLineNumbers w:val="0"/>
              <w:kinsoku w:val="0"/>
              <w:overflowPunct w:val="0"/>
              <w:spacing w:before="0" w:beforeAutospacing="0" w:after="0" w:afterAutospacing="0"/>
              <w:ind w:left="128" w:right="124"/>
              <w:jc w:val="center"/>
              <w:rPr>
                <w:rFonts w:hint="eastAsia" w:hAnsi="Times New Roman" w:eastAsia="宋体"/>
                <w:kern w:val="2"/>
                <w:sz w:val="21"/>
                <w:szCs w:val="21"/>
                <w:lang w:eastAsia="zh-CN"/>
              </w:rPr>
            </w:pPr>
            <w:r>
              <w:rPr>
                <w:rFonts w:hint="eastAsia" w:hAnsi="Times New Roman" w:eastAsia="宋体"/>
                <w:kern w:val="2"/>
                <w:sz w:val="21"/>
                <w:szCs w:val="21"/>
                <w:lang w:eastAsia="zh-CN"/>
              </w:rPr>
              <w:t>布设3个地下水监测点（2口监测井，1个背景值监测点）</w:t>
            </w:r>
          </w:p>
        </w:tc>
        <w:tc>
          <w:tcPr>
            <w:tcW w:w="549" w:type="pct"/>
            <w:vAlign w:val="center"/>
          </w:tcPr>
          <w:p>
            <w:pPr>
              <w:pStyle w:val="44"/>
              <w:keepNext w:val="0"/>
              <w:keepLines w:val="0"/>
              <w:suppressLineNumbers w:val="0"/>
              <w:kinsoku w:val="0"/>
              <w:overflowPunct w:val="0"/>
              <w:spacing w:before="0" w:beforeAutospacing="0" w:after="0" w:afterAutospacing="0"/>
              <w:ind w:left="4"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2</w:t>
            </w:r>
          </w:p>
        </w:tc>
        <w:tc>
          <w:tcPr>
            <w:tcW w:w="53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43"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p>
        </w:tc>
        <w:tc>
          <w:tcPr>
            <w:tcW w:w="1166" w:type="pct"/>
            <w:gridSpan w:val="2"/>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p>
        </w:tc>
        <w:tc>
          <w:tcPr>
            <w:tcW w:w="2209" w:type="pct"/>
            <w:vAlign w:val="center"/>
          </w:tcPr>
          <w:p>
            <w:pPr>
              <w:pStyle w:val="44"/>
              <w:keepNext w:val="0"/>
              <w:keepLines w:val="0"/>
              <w:suppressLineNumbers w:val="0"/>
              <w:kinsoku w:val="0"/>
              <w:overflowPunct w:val="0"/>
              <w:spacing w:before="0" w:beforeAutospacing="0" w:after="0" w:afterAutospacing="0"/>
              <w:ind w:left="128" w:right="124"/>
              <w:jc w:val="center"/>
              <w:rPr>
                <w:rFonts w:hint="eastAsia" w:hAnsi="Times New Roman" w:eastAsia="宋体"/>
                <w:kern w:val="2"/>
                <w:sz w:val="21"/>
                <w:szCs w:val="21"/>
                <w:lang w:eastAsia="zh-CN"/>
              </w:rPr>
            </w:pPr>
            <w:r>
              <w:rPr>
                <w:rFonts w:hint="eastAsia" w:hAnsi="Times New Roman" w:eastAsia="宋体"/>
                <w:kern w:val="2"/>
                <w:sz w:val="21"/>
                <w:szCs w:val="21"/>
                <w:lang w:eastAsia="zh-CN"/>
              </w:rPr>
              <w:t>水位、水质动态监测预留费（每年监测2次，丰水期、枯水期各监测1次，每次监测3个点）</w:t>
            </w:r>
          </w:p>
        </w:tc>
        <w:tc>
          <w:tcPr>
            <w:tcW w:w="549" w:type="pct"/>
            <w:vAlign w:val="center"/>
          </w:tcPr>
          <w:p>
            <w:pPr>
              <w:pStyle w:val="44"/>
              <w:keepNext w:val="0"/>
              <w:keepLines w:val="0"/>
              <w:suppressLineNumbers w:val="0"/>
              <w:kinsoku w:val="0"/>
              <w:overflowPunct w:val="0"/>
              <w:spacing w:before="0" w:beforeAutospacing="0" w:after="0" w:afterAutospacing="0"/>
              <w:ind w:left="4"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10</w:t>
            </w:r>
          </w:p>
        </w:tc>
        <w:tc>
          <w:tcPr>
            <w:tcW w:w="53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43"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p>
        </w:tc>
        <w:tc>
          <w:tcPr>
            <w:tcW w:w="1166" w:type="pct"/>
            <w:gridSpan w:val="2"/>
            <w:vMerge w:val="restar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生态环境</w:t>
            </w:r>
          </w:p>
        </w:tc>
        <w:tc>
          <w:tcPr>
            <w:tcW w:w="2209" w:type="pct"/>
            <w:vAlign w:val="center"/>
          </w:tcPr>
          <w:p>
            <w:pPr>
              <w:pStyle w:val="44"/>
              <w:keepNext w:val="0"/>
              <w:keepLines w:val="0"/>
              <w:suppressLineNumbers w:val="0"/>
              <w:kinsoku w:val="0"/>
              <w:overflowPunct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矿井工业场地、弃土堆场绿化、水土保持等。</w:t>
            </w:r>
          </w:p>
        </w:tc>
        <w:tc>
          <w:tcPr>
            <w:tcW w:w="54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30</w:t>
            </w:r>
          </w:p>
        </w:tc>
        <w:tc>
          <w:tcPr>
            <w:tcW w:w="53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19" w:hRule="atLeast"/>
        </w:trPr>
        <w:tc>
          <w:tcPr>
            <w:tcW w:w="543"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p>
        </w:tc>
        <w:tc>
          <w:tcPr>
            <w:tcW w:w="1166" w:type="pct"/>
            <w:gridSpan w:val="2"/>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p>
        </w:tc>
        <w:tc>
          <w:tcPr>
            <w:tcW w:w="220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因煤矿开采导致耕地受到中度破坏而减产的给予经济补偿。</w:t>
            </w:r>
          </w:p>
        </w:tc>
        <w:tc>
          <w:tcPr>
            <w:tcW w:w="54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zh-CN"/>
              </w:rPr>
              <w:t>纳入运行费用</w:t>
            </w:r>
          </w:p>
        </w:tc>
        <w:tc>
          <w:tcPr>
            <w:tcW w:w="53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43"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p>
        </w:tc>
        <w:tc>
          <w:tcPr>
            <w:tcW w:w="1166" w:type="pct"/>
            <w:gridSpan w:val="2"/>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p>
        </w:tc>
        <w:tc>
          <w:tcPr>
            <w:tcW w:w="220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因煤矿开采导致林地受到中度破坏而减产的给予经济补偿。</w:t>
            </w:r>
          </w:p>
        </w:tc>
        <w:tc>
          <w:tcPr>
            <w:tcW w:w="54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zh-CN"/>
              </w:rPr>
              <w:t>纳入运行费 用</w:t>
            </w:r>
          </w:p>
        </w:tc>
        <w:tc>
          <w:tcPr>
            <w:tcW w:w="53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43" w:type="pct"/>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p>
        </w:tc>
        <w:tc>
          <w:tcPr>
            <w:tcW w:w="1166" w:type="pct"/>
            <w:gridSpan w:val="2"/>
            <w:vMerge w:val="continue"/>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p>
        </w:tc>
        <w:tc>
          <w:tcPr>
            <w:tcW w:w="220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r>
              <w:rPr>
                <w:rFonts w:hint="eastAsia" w:hAnsi="Times New Roman" w:eastAsia="宋体"/>
                <w:kern w:val="2"/>
                <w:sz w:val="21"/>
                <w:szCs w:val="21"/>
                <w:lang w:eastAsia="en-US"/>
              </w:rPr>
              <w:t>工业广场复耕</w:t>
            </w:r>
          </w:p>
        </w:tc>
        <w:tc>
          <w:tcPr>
            <w:tcW w:w="54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30</w:t>
            </w:r>
          </w:p>
        </w:tc>
        <w:tc>
          <w:tcPr>
            <w:tcW w:w="53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闭矿后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709" w:type="pct"/>
            <w:gridSpan w:val="3"/>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合计</w:t>
            </w:r>
          </w:p>
        </w:tc>
        <w:tc>
          <w:tcPr>
            <w:tcW w:w="220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p>
        </w:tc>
        <w:tc>
          <w:tcPr>
            <w:tcW w:w="549"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212.0</w:t>
            </w:r>
          </w:p>
        </w:tc>
        <w:tc>
          <w:tcPr>
            <w:tcW w:w="533"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en-US"/>
              </w:rPr>
            </w:pPr>
          </w:p>
        </w:tc>
      </w:tr>
    </w:tbl>
    <w:p>
      <w:pPr>
        <w:pStyle w:val="5"/>
        <w:rPr>
          <w:rFonts w:ascii="Times New Roman" w:hAnsi="Times New Roman"/>
          <w:lang w:eastAsia="zh-CN"/>
        </w:rPr>
      </w:pPr>
      <w:bookmarkStart w:id="884" w:name="_Toc167095412"/>
      <w:bookmarkStart w:id="885" w:name="_Toc163749250"/>
      <w:r>
        <w:rPr>
          <w:rFonts w:ascii="Times New Roman" w:hAnsi="Times New Roman"/>
          <w:lang w:eastAsia="zh-CN"/>
        </w:rPr>
        <w:t>17.2 环境经济损益分析及评价</w:t>
      </w:r>
      <w:bookmarkEnd w:id="884"/>
      <w:bookmarkEnd w:id="885"/>
    </w:p>
    <w:p>
      <w:pPr>
        <w:pStyle w:val="6"/>
        <w:rPr>
          <w:lang w:eastAsia="zh-CN"/>
        </w:rPr>
      </w:pPr>
      <w:bookmarkStart w:id="886" w:name="_Toc163812788"/>
      <w:bookmarkStart w:id="887" w:name="_Toc167095413"/>
      <w:r>
        <w:rPr>
          <w:lang w:eastAsia="zh-CN"/>
        </w:rPr>
        <w:t>17.2.1 社会经济效益分析</w:t>
      </w:r>
      <w:bookmarkEnd w:id="886"/>
      <w:bookmarkEnd w:id="887"/>
    </w:p>
    <w:p>
      <w:pPr>
        <w:spacing w:line="360" w:lineRule="auto"/>
        <w:ind w:firstLine="480" w:firstLineChars="200"/>
        <w:rPr>
          <w:rFonts w:hAnsi="Times New Roman" w:eastAsia="宋体"/>
          <w:lang w:eastAsia="zh-CN"/>
        </w:rPr>
      </w:pPr>
      <w:r>
        <w:rPr>
          <w:rFonts w:hAnsi="Times New Roman" w:eastAsia="宋体"/>
          <w:lang w:eastAsia="zh-CN"/>
        </w:rPr>
        <w:t>七里峡煤矿建设对当地社会经济环境影响主要体现在以下几个方面：</w:t>
      </w:r>
    </w:p>
    <w:p>
      <w:pPr>
        <w:spacing w:line="360" w:lineRule="auto"/>
        <w:ind w:firstLine="482" w:firstLineChars="200"/>
        <w:rPr>
          <w:rFonts w:hAnsi="Times New Roman" w:eastAsia="宋体"/>
          <w:b/>
          <w:bCs/>
          <w:lang w:eastAsia="zh-CN"/>
        </w:rPr>
      </w:pPr>
      <w:r>
        <w:rPr>
          <w:rFonts w:hAnsi="Times New Roman" w:eastAsia="宋体"/>
          <w:b/>
          <w:bCs/>
          <w:lang w:eastAsia="zh-CN"/>
        </w:rPr>
        <w:t>（1）建设项目对当地就业的影响</w:t>
      </w:r>
    </w:p>
    <w:p>
      <w:pPr>
        <w:spacing w:line="360" w:lineRule="auto"/>
        <w:ind w:firstLine="480" w:firstLineChars="200"/>
        <w:rPr>
          <w:rFonts w:hAnsi="Times New Roman" w:eastAsia="宋体"/>
          <w:lang w:eastAsia="zh-CN"/>
        </w:rPr>
      </w:pPr>
      <w:r>
        <w:rPr>
          <w:rFonts w:hAnsi="Times New Roman" w:eastAsia="宋体"/>
          <w:lang w:eastAsia="zh-CN"/>
        </w:rPr>
        <w:t>由于耕地的减少，特别是工业场地周围区域耕地的减少，当地部分人员的谋生手段将发生改变：煤矿将根据生产的需要，招收一定数量经过培训的农民作为企业的职工；同时，随着矿井的建设，以煤矿建设为依托的建筑、运输、加工以及相关服务等各类乡镇企业将应运而生，带动当地第二、三产业的发展，从而创造较多的就业机会。</w:t>
      </w:r>
    </w:p>
    <w:p>
      <w:pPr>
        <w:spacing w:line="360" w:lineRule="auto"/>
        <w:ind w:firstLine="482" w:firstLineChars="200"/>
        <w:rPr>
          <w:rFonts w:hAnsi="Times New Roman" w:eastAsia="宋体"/>
          <w:b/>
          <w:bCs/>
          <w:lang w:eastAsia="zh-CN"/>
        </w:rPr>
      </w:pPr>
      <w:r>
        <w:rPr>
          <w:rFonts w:hAnsi="Times New Roman" w:eastAsia="宋体"/>
          <w:b/>
          <w:bCs/>
          <w:lang w:eastAsia="zh-CN"/>
        </w:rPr>
        <w:t>（2）项目建设对人口的影响</w:t>
      </w:r>
    </w:p>
    <w:p>
      <w:pPr>
        <w:spacing w:line="360" w:lineRule="auto"/>
        <w:ind w:firstLine="480" w:firstLineChars="200"/>
        <w:rPr>
          <w:rFonts w:hAnsi="Times New Roman" w:eastAsia="宋体"/>
          <w:lang w:eastAsia="zh-CN"/>
        </w:rPr>
      </w:pPr>
      <w:r>
        <w:rPr>
          <w:rFonts w:hAnsi="Times New Roman" w:eastAsia="宋体"/>
          <w:lang w:eastAsia="zh-CN"/>
        </w:rPr>
        <w:t>本项目建设所在地，无论是在建设过程中还是将来投入运行都将会对其人口密度、人口结构产生一定的影响。将来这里的矿业生产人员和服务人员将达到300人以上，人口密度明显提高，使当地以农业人口为主的人口结构发生改变。再者，随着生产的开展，当地人口流动速度也会明显加速，将对原本比较封闭的农村生活环境产生深远的影响。</w:t>
      </w:r>
    </w:p>
    <w:p>
      <w:pPr>
        <w:spacing w:line="360" w:lineRule="auto"/>
        <w:ind w:firstLine="482" w:firstLineChars="200"/>
        <w:rPr>
          <w:rFonts w:hAnsi="Times New Roman" w:eastAsia="宋体"/>
          <w:b/>
          <w:bCs/>
          <w:lang w:eastAsia="zh-CN"/>
        </w:rPr>
      </w:pPr>
      <w:r>
        <w:rPr>
          <w:rFonts w:hAnsi="Times New Roman" w:eastAsia="宋体"/>
          <w:b/>
          <w:bCs/>
          <w:lang w:eastAsia="zh-CN"/>
        </w:rPr>
        <w:t>（3）项目建设对当地经济结构的影响</w:t>
      </w:r>
    </w:p>
    <w:p>
      <w:pPr>
        <w:spacing w:line="360" w:lineRule="auto"/>
        <w:ind w:firstLine="480" w:firstLineChars="200"/>
        <w:rPr>
          <w:rFonts w:hAnsi="Times New Roman" w:eastAsia="宋体"/>
          <w:lang w:eastAsia="zh-CN"/>
        </w:rPr>
      </w:pPr>
      <w:r>
        <w:rPr>
          <w:rFonts w:hAnsi="Times New Roman" w:eastAsia="宋体"/>
          <w:lang w:eastAsia="zh-CN"/>
        </w:rPr>
        <w:t>本矿井建成后煤炭产量为30万t/a，根据目前煤炭市场行情，预计矿井达到设计规模后正常年份，本工程年销售收入为1.14亿元以上（按原煤销售计），对促进当地经济发展起到积极作用。</w:t>
      </w:r>
    </w:p>
    <w:p>
      <w:pPr>
        <w:spacing w:line="360" w:lineRule="auto"/>
        <w:ind w:firstLine="480" w:firstLineChars="200"/>
        <w:rPr>
          <w:rFonts w:hAnsi="Times New Roman" w:eastAsia="宋体"/>
          <w:lang w:eastAsia="zh-CN"/>
        </w:rPr>
      </w:pPr>
      <w:r>
        <w:rPr>
          <w:rFonts w:hAnsi="Times New Roman" w:eastAsia="宋体"/>
          <w:lang w:eastAsia="zh-CN"/>
        </w:rPr>
        <w:t>矿井所在地以农业和煤矿企业为主。随着矿井的建设，工业场地周围的非农业人口会有一定的增加，区内外来消耗能力加强，将导致一部分农村居民从原先从事农业种植为主的形式转变为种植业、养殖业、工业和服务业并存的经济结构，当地的经济来源也将呈现多元化。因此，工业场地周边的经济结构改变对当地的经济发展有一定的促进作用。</w:t>
      </w:r>
    </w:p>
    <w:p>
      <w:pPr>
        <w:spacing w:line="360" w:lineRule="auto"/>
        <w:ind w:firstLine="482" w:firstLineChars="200"/>
        <w:rPr>
          <w:rFonts w:hAnsi="Times New Roman" w:eastAsia="宋体"/>
          <w:b/>
          <w:bCs/>
          <w:lang w:eastAsia="zh-CN"/>
        </w:rPr>
      </w:pPr>
      <w:r>
        <w:rPr>
          <w:rFonts w:hAnsi="Times New Roman" w:eastAsia="宋体"/>
          <w:b/>
          <w:bCs/>
          <w:lang w:eastAsia="zh-CN"/>
        </w:rPr>
        <w:t>（4）项目建设对当地科教文化和区域经济发展的影响</w:t>
      </w:r>
    </w:p>
    <w:p>
      <w:pPr>
        <w:spacing w:line="360" w:lineRule="auto"/>
        <w:ind w:firstLine="480" w:firstLineChars="200"/>
        <w:rPr>
          <w:rFonts w:hAnsi="Times New Roman" w:eastAsia="宋体"/>
          <w:lang w:eastAsia="zh-CN"/>
        </w:rPr>
      </w:pPr>
      <w:r>
        <w:rPr>
          <w:rFonts w:hAnsi="Times New Roman" w:eastAsia="宋体"/>
          <w:lang w:eastAsia="zh-CN"/>
        </w:rPr>
        <w:t>矿井的建设将进一步促进当地经济的迅速发展，使当地的商业、医疗卫生条件和文化教育设施得到不同程度的改善，同时区内交通条件的发展也会使本区同外界的沟通联系更为广泛、及时，这将间接地促进当地经济的发展。同时七里峡煤矿建成后，可以利用建成的供电、供水和交通基础设施，以及工程矿井水、煤矸石等，建立起地方农业综合开发区，从而带动区内经济的发展。</w:t>
      </w:r>
    </w:p>
    <w:p>
      <w:pPr>
        <w:pStyle w:val="6"/>
        <w:rPr>
          <w:lang w:eastAsia="zh-CN"/>
        </w:rPr>
      </w:pPr>
      <w:bookmarkStart w:id="888" w:name="_Toc167095414"/>
      <w:bookmarkStart w:id="889" w:name="_Toc163812789"/>
      <w:r>
        <w:rPr>
          <w:lang w:eastAsia="zh-CN"/>
        </w:rPr>
        <w:t>17.2.2 环境影响经济损益分析</w:t>
      </w:r>
      <w:bookmarkEnd w:id="888"/>
      <w:bookmarkEnd w:id="889"/>
    </w:p>
    <w:p>
      <w:pPr>
        <w:pStyle w:val="8"/>
        <w:rPr>
          <w:rFonts w:ascii="Times New Roman" w:hAnsi="Times New Roman"/>
          <w:lang w:eastAsia="zh-CN"/>
        </w:rPr>
      </w:pPr>
      <w:r>
        <w:rPr>
          <w:rFonts w:ascii="Times New Roman" w:hAnsi="Times New Roman"/>
          <w:lang w:eastAsia="zh-CN"/>
        </w:rPr>
        <w:t>17.2.2.1环境保护费用的确定和估算</w:t>
      </w:r>
    </w:p>
    <w:p>
      <w:pPr>
        <w:spacing w:line="360" w:lineRule="auto"/>
        <w:ind w:firstLine="482" w:firstLineChars="200"/>
        <w:rPr>
          <w:rFonts w:hAnsi="Times New Roman" w:eastAsia="宋体"/>
          <w:b/>
          <w:bCs/>
          <w:lang w:eastAsia="zh-CN"/>
        </w:rPr>
      </w:pPr>
      <w:r>
        <w:rPr>
          <w:rFonts w:hAnsi="Times New Roman" w:eastAsia="宋体"/>
          <w:b/>
          <w:bCs/>
          <w:lang w:eastAsia="zh-CN"/>
        </w:rPr>
        <w:t>（1）外部费用的确定与估算</w:t>
      </w:r>
    </w:p>
    <w:p>
      <w:pPr>
        <w:spacing w:line="360" w:lineRule="auto"/>
        <w:ind w:firstLine="480" w:firstLineChars="200"/>
        <w:rPr>
          <w:rFonts w:hAnsi="Times New Roman" w:eastAsia="宋体"/>
          <w:lang w:eastAsia="zh-CN"/>
        </w:rPr>
      </w:pPr>
      <w:r>
        <w:rPr>
          <w:rFonts w:hAnsi="Times New Roman" w:eastAsia="宋体"/>
          <w:lang w:eastAsia="zh-CN"/>
        </w:rPr>
        <w:t>外部费用是指由于项目开发形成对环境损害所带来的费用，主要为沉陷区土地综合整治。该费用不计入环保费用。</w:t>
      </w:r>
    </w:p>
    <w:p>
      <w:pPr>
        <w:spacing w:line="360" w:lineRule="auto"/>
        <w:ind w:firstLine="482" w:firstLineChars="200"/>
        <w:rPr>
          <w:rFonts w:hAnsi="Times New Roman" w:eastAsia="宋体"/>
          <w:b/>
          <w:bCs/>
          <w:lang w:eastAsia="zh-CN"/>
        </w:rPr>
      </w:pPr>
      <w:r>
        <w:rPr>
          <w:rFonts w:hAnsi="Times New Roman" w:eastAsia="宋体"/>
          <w:b/>
          <w:bCs/>
          <w:lang w:eastAsia="zh-CN"/>
        </w:rPr>
        <w:t>（2）内部费用的确定与估算</w:t>
      </w:r>
    </w:p>
    <w:p>
      <w:pPr>
        <w:spacing w:line="360" w:lineRule="auto"/>
        <w:ind w:firstLine="480" w:firstLineChars="200"/>
        <w:rPr>
          <w:rFonts w:hAnsi="Times New Roman" w:eastAsia="宋体"/>
          <w:lang w:eastAsia="zh-CN"/>
        </w:rPr>
      </w:pPr>
      <w:r>
        <w:rPr>
          <w:rFonts w:hAnsi="Times New Roman" w:eastAsia="宋体"/>
          <w:lang w:eastAsia="zh-CN"/>
        </w:rPr>
        <w:t>内部费用是指项目开发过程中，建设单位为了防止环境污染而付出的环境保护费用，由基本建设费和运行费两部分组成。</w:t>
      </w:r>
    </w:p>
    <w:p>
      <w:pPr>
        <w:spacing w:line="360" w:lineRule="auto"/>
        <w:ind w:firstLine="480" w:firstLineChars="200"/>
        <w:rPr>
          <w:rFonts w:hAnsi="Times New Roman" w:eastAsia="宋体"/>
          <w:lang w:eastAsia="zh-CN"/>
        </w:rPr>
      </w:pPr>
      <w:r>
        <w:rPr>
          <w:rFonts w:hAnsi="Times New Roman" w:eastAsia="宋体"/>
          <w:lang w:eastAsia="zh-CN"/>
        </w:rPr>
        <w:t>环境保护基本建设费用为176.6万元，设计服务年限为</w:t>
      </w:r>
      <w:r>
        <w:rPr>
          <w:rFonts w:hint="eastAsia" w:hAnsi="Times New Roman" w:eastAsia="宋体"/>
          <w:highlight w:val="yellow"/>
          <w:lang w:eastAsia="zh-CN"/>
        </w:rPr>
        <w:t>5.2</w:t>
      </w:r>
      <w:r>
        <w:rPr>
          <w:rFonts w:hAnsi="Times New Roman" w:eastAsia="宋体"/>
          <w:highlight w:val="yellow"/>
          <w:lang w:eastAsia="zh-CN"/>
        </w:rPr>
        <w:t>a</w:t>
      </w:r>
      <w:r>
        <w:rPr>
          <w:rFonts w:hAnsi="Times New Roman" w:eastAsia="宋体"/>
          <w:lang w:eastAsia="zh-CN"/>
        </w:rPr>
        <w:t>，每年投入的环境保护基本建设费用为2</w:t>
      </w:r>
      <w:r>
        <w:rPr>
          <w:rFonts w:hint="eastAsia" w:hAnsi="Times New Roman" w:eastAsia="宋体"/>
          <w:lang w:eastAsia="zh-CN"/>
        </w:rPr>
        <w:t>7.17</w:t>
      </w:r>
      <w:r>
        <w:rPr>
          <w:rFonts w:hAnsi="Times New Roman" w:eastAsia="宋体"/>
          <w:lang w:eastAsia="zh-CN"/>
        </w:rPr>
        <w:t>万元。</w:t>
      </w:r>
    </w:p>
    <w:p>
      <w:pPr>
        <w:spacing w:line="360" w:lineRule="auto"/>
        <w:ind w:firstLine="480" w:firstLineChars="200"/>
        <w:rPr>
          <w:rFonts w:hAnsi="Times New Roman" w:eastAsia="宋体"/>
          <w:lang w:eastAsia="zh-CN"/>
        </w:rPr>
      </w:pPr>
      <w:r>
        <w:rPr>
          <w:rFonts w:hAnsi="Times New Roman" w:eastAsia="宋体"/>
          <w:lang w:eastAsia="zh-CN"/>
        </w:rPr>
        <w:t>运行费用指企业各项环保工程、水土保持、绿化、环保监测和管理等环境保护工程的运行、管理费用。按生产要素计算，运行费用主要由各项环保工程的折旧费、设备大修费、耗电费、材料消耗费、人员工资及福利费、设备维护费、运输费和管理费等，企业环保工程运行费用为12.6万元/年。</w:t>
      </w:r>
    </w:p>
    <w:p>
      <w:pPr>
        <w:spacing w:line="360" w:lineRule="auto"/>
        <w:ind w:firstLine="480" w:firstLineChars="200"/>
        <w:rPr>
          <w:rFonts w:hAnsi="Times New Roman" w:eastAsia="宋体"/>
          <w:lang w:eastAsia="zh-CN"/>
        </w:rPr>
      </w:pPr>
      <w:r>
        <w:rPr>
          <w:rFonts w:hAnsi="Times New Roman" w:eastAsia="宋体"/>
          <w:lang w:eastAsia="zh-CN"/>
        </w:rPr>
        <w:t>七里峡煤矿年环境保护费用为41.55万元/年。</w:t>
      </w:r>
    </w:p>
    <w:p>
      <w:pPr>
        <w:pStyle w:val="8"/>
        <w:rPr>
          <w:rFonts w:ascii="Times New Roman" w:hAnsi="Times New Roman"/>
          <w:lang w:eastAsia="zh-CN"/>
        </w:rPr>
      </w:pPr>
      <w:r>
        <w:rPr>
          <w:rFonts w:ascii="Times New Roman" w:hAnsi="Times New Roman"/>
          <w:lang w:eastAsia="zh-CN"/>
        </w:rPr>
        <w:t>17.2.2.2年环境损失费用的确定和估算</w:t>
      </w:r>
    </w:p>
    <w:p>
      <w:pPr>
        <w:spacing w:line="360" w:lineRule="auto"/>
        <w:ind w:firstLine="480" w:firstLineChars="200"/>
        <w:rPr>
          <w:rFonts w:hAnsi="Times New Roman" w:eastAsia="宋体"/>
          <w:lang w:eastAsia="zh-CN"/>
        </w:rPr>
      </w:pPr>
      <w:r>
        <w:rPr>
          <w:rFonts w:hAnsi="Times New Roman" w:eastAsia="宋体"/>
          <w:lang w:eastAsia="zh-CN"/>
        </w:rPr>
        <w:t>年环境损失费用（Hs）即指矿井投产后，每年资源的流失和“三废”及噪声排放对环境造成的损失，以及原环境功能发生了改变等原因带来的损失。主要包括以下几项：</w:t>
      </w:r>
    </w:p>
    <w:p>
      <w:pPr>
        <w:spacing w:line="360" w:lineRule="auto"/>
        <w:ind w:firstLine="482" w:firstLineChars="200"/>
        <w:rPr>
          <w:rFonts w:hAnsi="Times New Roman" w:eastAsia="宋体"/>
          <w:b/>
          <w:bCs/>
          <w:lang w:eastAsia="zh-CN"/>
        </w:rPr>
      </w:pPr>
      <w:r>
        <w:rPr>
          <w:rFonts w:hAnsi="Times New Roman" w:eastAsia="宋体"/>
          <w:b/>
          <w:bCs/>
          <w:lang w:eastAsia="zh-CN"/>
        </w:rPr>
        <w:t>（1）煤炭资源的流失价值</w:t>
      </w:r>
    </w:p>
    <w:p>
      <w:pPr>
        <w:spacing w:line="360" w:lineRule="auto"/>
        <w:ind w:firstLine="480" w:firstLineChars="200"/>
        <w:rPr>
          <w:rFonts w:hAnsi="Times New Roman" w:eastAsia="宋体"/>
          <w:lang w:eastAsia="zh-CN"/>
        </w:rPr>
      </w:pPr>
      <w:r>
        <w:rPr>
          <w:rFonts w:hAnsi="Times New Roman" w:eastAsia="宋体"/>
          <w:lang w:eastAsia="zh-CN"/>
        </w:rPr>
        <w:t>这里煤炭资源流失价值，是指因煤炭外运、装卸、风蚀、雨蚀等原因和矸石等劣质燃料排弃造成的煤炭资源损失，本项目由于采取了很完善的防治措施，煤炭资源流失很少，可以忽略不计。</w:t>
      </w:r>
    </w:p>
    <w:p>
      <w:pPr>
        <w:spacing w:line="360" w:lineRule="auto"/>
        <w:ind w:firstLine="482" w:firstLineChars="200"/>
        <w:rPr>
          <w:rFonts w:hAnsi="Times New Roman" w:eastAsia="宋体"/>
          <w:b/>
          <w:bCs/>
          <w:lang w:eastAsia="zh-CN"/>
        </w:rPr>
      </w:pPr>
      <w:r>
        <w:rPr>
          <w:rFonts w:hAnsi="Times New Roman" w:eastAsia="宋体"/>
          <w:b/>
          <w:bCs/>
          <w:lang w:eastAsia="zh-CN"/>
        </w:rPr>
        <w:t>（2）“三废”排放和噪声污染带来的损失</w:t>
      </w:r>
    </w:p>
    <w:p>
      <w:pPr>
        <w:spacing w:line="360" w:lineRule="auto"/>
        <w:ind w:firstLine="480" w:firstLineChars="200"/>
        <w:rPr>
          <w:rFonts w:hAnsi="Times New Roman" w:eastAsia="宋体"/>
          <w:lang w:eastAsia="zh-CN"/>
        </w:rPr>
      </w:pPr>
      <w:r>
        <w:rPr>
          <w:rFonts w:hAnsi="Times New Roman" w:eastAsia="宋体"/>
          <w:lang w:eastAsia="zh-CN"/>
        </w:rPr>
        <w:t>由于本项目排放的“三废”和噪声均通过比较完善的污染控制措施进行了妥善处理，达到国家排放标准和区域环境规划的目标，对周围环境的影响较小。</w:t>
      </w:r>
    </w:p>
    <w:p>
      <w:pPr>
        <w:spacing w:line="360" w:lineRule="auto"/>
        <w:ind w:firstLine="480" w:firstLineChars="200"/>
        <w:rPr>
          <w:rFonts w:hAnsi="Times New Roman" w:eastAsia="宋体"/>
          <w:lang w:eastAsia="zh-CN"/>
        </w:rPr>
      </w:pPr>
      <w:r>
        <w:rPr>
          <w:rFonts w:hAnsi="Times New Roman" w:eastAsia="宋体"/>
          <w:lang w:eastAsia="zh-CN"/>
        </w:rPr>
        <w:t>这里通过收取排污费来估算经济损失，计算标准参照《排污费征收使用管理条例》（2003）中的排污费征收标准及计算方法。</w:t>
      </w:r>
    </w:p>
    <w:p>
      <w:pPr>
        <w:spacing w:line="360" w:lineRule="auto"/>
        <w:jc w:val="center"/>
        <w:rPr>
          <w:rFonts w:hAnsi="Times New Roman" w:eastAsia="宋体"/>
          <w:b/>
          <w:bCs/>
          <w:sz w:val="21"/>
          <w:szCs w:val="21"/>
          <w:lang w:eastAsia="zh-CN"/>
        </w:rPr>
      </w:pPr>
    </w:p>
    <w:p>
      <w:pPr>
        <w:spacing w:line="360" w:lineRule="auto"/>
        <w:jc w:val="center"/>
        <w:rPr>
          <w:rFonts w:hAnsi="Times New Roman" w:eastAsia="宋体"/>
          <w:b/>
          <w:bCs/>
          <w:sz w:val="21"/>
          <w:szCs w:val="21"/>
          <w:lang w:eastAsia="zh-CN"/>
        </w:rPr>
      </w:pPr>
    </w:p>
    <w:p>
      <w:pPr>
        <w:spacing w:line="360" w:lineRule="auto"/>
        <w:jc w:val="center"/>
        <w:rPr>
          <w:rFonts w:hAnsi="Times New Roman" w:eastAsia="宋体"/>
          <w:b/>
          <w:bCs/>
          <w:sz w:val="21"/>
          <w:szCs w:val="21"/>
          <w:lang w:eastAsia="zh-CN"/>
        </w:rPr>
      </w:pPr>
    </w:p>
    <w:p>
      <w:pPr>
        <w:spacing w:line="360" w:lineRule="auto"/>
        <w:jc w:val="center"/>
        <w:rPr>
          <w:rFonts w:hAnsi="Times New Roman" w:eastAsia="宋体"/>
          <w:b/>
          <w:bCs/>
          <w:sz w:val="21"/>
          <w:szCs w:val="21"/>
          <w:lang w:eastAsia="zh-CN"/>
        </w:rPr>
      </w:pPr>
    </w:p>
    <w:p>
      <w:pPr>
        <w:spacing w:line="360" w:lineRule="auto"/>
        <w:jc w:val="center"/>
        <w:rPr>
          <w:rFonts w:hAnsi="Times New Roman" w:eastAsia="宋体"/>
          <w:b/>
          <w:bCs/>
          <w:sz w:val="21"/>
          <w:szCs w:val="21"/>
          <w:lang w:eastAsia="zh-CN"/>
        </w:rPr>
      </w:pPr>
    </w:p>
    <w:p>
      <w:pPr>
        <w:spacing w:line="360" w:lineRule="auto"/>
        <w:jc w:val="center"/>
        <w:rPr>
          <w:rFonts w:hAnsi="Times New Roman" w:eastAsia="宋体"/>
          <w:b/>
          <w:bCs/>
          <w:sz w:val="21"/>
          <w:szCs w:val="21"/>
          <w:lang w:eastAsia="zh-CN"/>
        </w:rPr>
      </w:pPr>
    </w:p>
    <w:p>
      <w:pPr>
        <w:spacing w:line="360" w:lineRule="auto"/>
        <w:jc w:val="center"/>
        <w:rPr>
          <w:rFonts w:hAnsi="Times New Roman" w:eastAsia="宋体"/>
          <w:b/>
          <w:bCs/>
          <w:sz w:val="21"/>
          <w:szCs w:val="21"/>
          <w:lang w:eastAsia="zh-CN"/>
        </w:rPr>
      </w:pPr>
    </w:p>
    <w:p>
      <w:pPr>
        <w:spacing w:line="360" w:lineRule="auto"/>
        <w:jc w:val="center"/>
        <w:rPr>
          <w:rFonts w:hAnsi="Times New Roman" w:eastAsia="宋体"/>
          <w:b/>
          <w:bCs/>
          <w:sz w:val="21"/>
          <w:szCs w:val="21"/>
          <w:lang w:eastAsia="zh-CN"/>
        </w:rPr>
      </w:pPr>
    </w:p>
    <w:p>
      <w:pPr>
        <w:spacing w:line="360" w:lineRule="auto"/>
        <w:jc w:val="center"/>
        <w:rPr>
          <w:rFonts w:hAnsi="Times New Roman" w:eastAsia="宋体"/>
          <w:b/>
          <w:bCs/>
          <w:sz w:val="21"/>
          <w:szCs w:val="21"/>
          <w:lang w:eastAsia="zh-CN"/>
        </w:rPr>
      </w:pPr>
    </w:p>
    <w:p>
      <w:pPr>
        <w:spacing w:line="360" w:lineRule="auto"/>
        <w:jc w:val="center"/>
        <w:rPr>
          <w:rFonts w:hAnsi="Times New Roman" w:eastAsia="宋体"/>
          <w:b/>
          <w:bCs/>
          <w:sz w:val="21"/>
          <w:szCs w:val="21"/>
          <w:lang w:eastAsia="zh-CN"/>
        </w:rPr>
      </w:pPr>
    </w:p>
    <w:p>
      <w:pPr>
        <w:spacing w:line="360" w:lineRule="auto"/>
        <w:jc w:val="center"/>
        <w:rPr>
          <w:rFonts w:hAnsi="Times New Roman" w:eastAsia="宋体"/>
          <w:b/>
          <w:bCs/>
          <w:sz w:val="21"/>
          <w:szCs w:val="21"/>
          <w:lang w:eastAsia="zh-CN"/>
        </w:rPr>
      </w:pPr>
      <w:r>
        <w:rPr>
          <w:rFonts w:hAnsi="Times New Roman" w:eastAsia="宋体"/>
          <w:b/>
          <w:bCs/>
          <w:sz w:val="21"/>
          <w:szCs w:val="21"/>
          <w:lang w:eastAsia="zh-CN"/>
        </w:rPr>
        <w:t>表17.2-1 排污费征收标准及计算方法</w:t>
      </w:r>
    </w:p>
    <w:tbl>
      <w:tblPr>
        <w:tblStyle w:val="3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9"/>
        <w:gridCol w:w="81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647"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污染物</w:t>
            </w:r>
          </w:p>
        </w:tc>
        <w:tc>
          <w:tcPr>
            <w:tcW w:w="4353" w:type="pct"/>
            <w:vAlign w:val="center"/>
          </w:tcPr>
          <w:p>
            <w:pPr>
              <w:keepNext w:val="0"/>
              <w:keepLines w:val="0"/>
              <w:suppressLineNumbers w:val="0"/>
              <w:spacing w:before="0" w:beforeAutospacing="0" w:after="0" w:afterAutospacing="0"/>
              <w:ind w:left="0" w:right="0"/>
              <w:jc w:val="center"/>
              <w:rPr>
                <w:rFonts w:hint="eastAsia" w:hAnsi="Times New Roman" w:eastAsia="宋体"/>
                <w:b/>
                <w:bCs/>
                <w:kern w:val="2"/>
                <w:sz w:val="21"/>
                <w:szCs w:val="21"/>
                <w:lang w:eastAsia="zh-CN"/>
              </w:rPr>
            </w:pPr>
            <w:r>
              <w:rPr>
                <w:rFonts w:hint="eastAsia" w:hAnsi="Times New Roman" w:eastAsia="宋体"/>
                <w:b/>
                <w:bCs/>
                <w:kern w:val="2"/>
                <w:sz w:val="21"/>
                <w:szCs w:val="21"/>
                <w:lang w:eastAsia="zh-CN"/>
              </w:rPr>
              <w:t>征收标准及计算方法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64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废水</w:t>
            </w:r>
          </w:p>
        </w:tc>
        <w:tc>
          <w:tcPr>
            <w:tcW w:w="4353" w:type="pct"/>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污水排污费按排污者排放污染物的种类、数量以污染当量计征，每一污染当量征收标准为0.7元。</w:t>
            </w:r>
          </w:p>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对每一排放口征收污水排污费的污染物种类数，以污染当量数从多到少的顺序，最多不超过3项。其中，超过国家或地方规定的污染物排放标准的，按照排放污染物的种类、数量和本办法规定的收费标准计征污水排污费的收费额加一倍征收超标准排污费。某污染物的污染当量数= 该污染物的排放量(千克)÷该污染物的污染当量值（千克）。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64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废气</w:t>
            </w:r>
          </w:p>
        </w:tc>
        <w:tc>
          <w:tcPr>
            <w:tcW w:w="4353" w:type="pct"/>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废气排污费按排污者排放污染物的种类、数量以污染当量计算征收，每一污染当量征收标准为0.6元，二氧化硫和氮氧化合物每当量收费为1.2元。</w:t>
            </w:r>
          </w:p>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对每一排放口征收废气排污费的污染物种类数，以污染当量数从多到少的顺序，最多不超过3项。某污染物的污染当量数= 该污染物的排放量(千克)÷该污染物的污染当量值（千克）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64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固废</w:t>
            </w:r>
          </w:p>
        </w:tc>
        <w:tc>
          <w:tcPr>
            <w:tcW w:w="4353" w:type="pct"/>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1.对无专用贮存或处置设施和专用贮存或处置设施达不到环境保护标准（即无防渗漏、防扬散、防流失设施）排放的工业固体废物，一次性征收固体废物排污费。</w:t>
            </w:r>
          </w:p>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2.对以填埋方式处置危险废物不符合国家有关规定的，危险废物排污费征收标准为每次每吨1000元。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647" w:type="pct"/>
            <w:vAlign w:val="center"/>
          </w:tcPr>
          <w:p>
            <w:pPr>
              <w:keepNext w:val="0"/>
              <w:keepLines w:val="0"/>
              <w:suppressLineNumbers w:val="0"/>
              <w:spacing w:before="0" w:beforeAutospacing="0" w:after="0" w:afterAutospacing="0"/>
              <w:ind w:left="0" w:right="0"/>
              <w:jc w:val="center"/>
              <w:rPr>
                <w:rFonts w:hint="eastAsia" w:hAnsi="Times New Roman" w:eastAsia="宋体"/>
                <w:kern w:val="2"/>
                <w:sz w:val="21"/>
                <w:szCs w:val="21"/>
                <w:lang w:eastAsia="zh-CN"/>
              </w:rPr>
            </w:pPr>
            <w:r>
              <w:rPr>
                <w:rFonts w:hint="eastAsia" w:hAnsi="Times New Roman" w:eastAsia="宋体"/>
                <w:kern w:val="2"/>
                <w:sz w:val="21"/>
                <w:szCs w:val="21"/>
                <w:lang w:eastAsia="zh-CN"/>
              </w:rPr>
              <w:t>噪声</w:t>
            </w:r>
          </w:p>
        </w:tc>
        <w:tc>
          <w:tcPr>
            <w:tcW w:w="4353" w:type="pct"/>
            <w:vAlign w:val="center"/>
          </w:tcPr>
          <w:p>
            <w:pPr>
              <w:keepNext w:val="0"/>
              <w:keepLines w:val="0"/>
              <w:suppressLineNumbers w:val="0"/>
              <w:spacing w:before="0" w:beforeAutospacing="0" w:after="0" w:afterAutospacing="0"/>
              <w:ind w:left="0" w:right="0"/>
              <w:jc w:val="left"/>
              <w:rPr>
                <w:rFonts w:hint="eastAsia" w:hAnsi="Times New Roman" w:eastAsia="宋体"/>
                <w:kern w:val="2"/>
                <w:sz w:val="21"/>
                <w:szCs w:val="21"/>
                <w:lang w:eastAsia="zh-CN"/>
              </w:rPr>
            </w:pPr>
            <w:r>
              <w:rPr>
                <w:rFonts w:hint="eastAsia" w:hAnsi="Times New Roman" w:eastAsia="宋体"/>
                <w:kern w:val="2"/>
                <w:sz w:val="21"/>
                <w:szCs w:val="21"/>
                <w:lang w:eastAsia="zh-CN"/>
              </w:rPr>
              <w:t>对排污者产生环境噪声，超过国家规定的环境噪声排放标准，且干扰他人正常生活、工作和学习的，按照超标的分贝数征收噪声超标排污费。</w:t>
            </w:r>
          </w:p>
        </w:tc>
      </w:tr>
    </w:tbl>
    <w:p>
      <w:pPr>
        <w:spacing w:line="360" w:lineRule="auto"/>
        <w:ind w:firstLine="480" w:firstLineChars="200"/>
        <w:rPr>
          <w:rFonts w:hAnsi="Times New Roman" w:eastAsia="宋体"/>
          <w:lang w:eastAsia="zh-CN"/>
        </w:rPr>
      </w:pPr>
      <w:r>
        <w:rPr>
          <w:rFonts w:hAnsi="Times New Roman" w:eastAsia="宋体"/>
          <w:lang w:eastAsia="zh-CN"/>
        </w:rPr>
        <w:t>本项目固废处置符合国家有关规定的，不收取排污费；而且项目不涉及噪声污染及征收超标排污费；项目热水改用空气热泵后，无废气排放；此外，项目废水外排标准达到水环境功能标准限值，因此环境损失费用为0元/年。</w:t>
      </w:r>
    </w:p>
    <w:p>
      <w:pPr>
        <w:pStyle w:val="8"/>
        <w:rPr>
          <w:rFonts w:ascii="Times New Roman" w:hAnsi="Times New Roman"/>
          <w:lang w:eastAsia="zh-CN"/>
        </w:rPr>
      </w:pPr>
      <w:r>
        <w:rPr>
          <w:rFonts w:ascii="Times New Roman" w:hAnsi="Times New Roman"/>
          <w:lang w:eastAsia="zh-CN"/>
        </w:rPr>
        <w:t>17.2.2.3环境成本和环境系数的确定与分析</w:t>
      </w:r>
    </w:p>
    <w:p>
      <w:pPr>
        <w:spacing w:line="360" w:lineRule="auto"/>
        <w:ind w:firstLine="482" w:firstLineChars="200"/>
        <w:rPr>
          <w:rFonts w:hAnsi="Times New Roman" w:eastAsia="宋体"/>
          <w:b/>
          <w:bCs/>
          <w:lang w:eastAsia="zh-CN"/>
        </w:rPr>
      </w:pPr>
      <w:r>
        <w:rPr>
          <w:rFonts w:hAnsi="Times New Roman" w:eastAsia="宋体"/>
          <w:b/>
          <w:bCs/>
          <w:lang w:eastAsia="zh-CN"/>
        </w:rPr>
        <w:t>（1</w:t>
      </w:r>
      <w:r>
        <w:rPr>
          <w:rFonts w:hint="eastAsia" w:hAnsi="Times New Roman" w:eastAsia="宋体"/>
          <w:b/>
          <w:bCs/>
          <w:lang w:eastAsia="zh-CN"/>
        </w:rPr>
        <w:t>）</w:t>
      </w:r>
      <w:r>
        <w:rPr>
          <w:rFonts w:hAnsi="Times New Roman" w:eastAsia="宋体"/>
          <w:b/>
          <w:bCs/>
          <w:lang w:eastAsia="zh-CN"/>
        </w:rPr>
        <w:t>环境代价</w:t>
      </w:r>
    </w:p>
    <w:p>
      <w:pPr>
        <w:spacing w:line="360" w:lineRule="auto"/>
        <w:ind w:firstLine="480" w:firstLineChars="200"/>
        <w:rPr>
          <w:rFonts w:hAnsi="Times New Roman" w:eastAsia="宋体"/>
          <w:lang w:eastAsia="zh-CN"/>
        </w:rPr>
      </w:pPr>
      <w:r>
        <w:rPr>
          <w:rFonts w:hAnsi="Times New Roman" w:eastAsia="宋体"/>
          <w:lang w:eastAsia="zh-CN"/>
        </w:rPr>
        <w:t>环境代价Hd即项目投入的年环境保护费用Et和年环境损失费用Hs之和，即Hd＝Et+Hs。经计算年环境代价Hd为41.55万元/年。</w:t>
      </w:r>
    </w:p>
    <w:p>
      <w:pPr>
        <w:spacing w:line="360" w:lineRule="auto"/>
        <w:ind w:firstLine="482" w:firstLineChars="200"/>
        <w:rPr>
          <w:rFonts w:hAnsi="Times New Roman" w:eastAsia="宋体"/>
          <w:b/>
          <w:bCs/>
          <w:lang w:eastAsia="zh-CN"/>
        </w:rPr>
      </w:pPr>
      <w:r>
        <w:rPr>
          <w:rFonts w:hAnsi="Times New Roman" w:eastAsia="宋体"/>
          <w:b/>
          <w:bCs/>
          <w:lang w:eastAsia="zh-CN"/>
        </w:rPr>
        <w:t>（2）环境成本的确定</w:t>
      </w:r>
    </w:p>
    <w:p>
      <w:pPr>
        <w:spacing w:line="360" w:lineRule="auto"/>
        <w:ind w:firstLine="480" w:firstLineChars="200"/>
        <w:rPr>
          <w:rFonts w:hAnsi="Times New Roman" w:eastAsia="宋体"/>
          <w:lang w:eastAsia="zh-CN"/>
        </w:rPr>
      </w:pPr>
      <w:r>
        <w:rPr>
          <w:rFonts w:hAnsi="Times New Roman" w:eastAsia="宋体"/>
          <w:lang w:eastAsia="zh-CN"/>
        </w:rPr>
        <w:t>环境成本Hb是指开发项目单位产品的环境代价，即Hb=Hd/M，M是产品产量0.3Mt/a，经计算，项目的年环境成本为1.38元/吨原煤。</w:t>
      </w:r>
    </w:p>
    <w:p>
      <w:pPr>
        <w:spacing w:line="360" w:lineRule="auto"/>
        <w:ind w:firstLine="480" w:firstLineChars="200"/>
        <w:rPr>
          <w:rFonts w:hAnsi="Times New Roman" w:eastAsia="宋体"/>
          <w:lang w:eastAsia="zh-CN"/>
        </w:rPr>
      </w:pPr>
      <w:r>
        <w:rPr>
          <w:rFonts w:hAnsi="Times New Roman" w:eastAsia="宋体"/>
          <w:lang w:eastAsia="zh-CN"/>
        </w:rPr>
        <w:t>总的看来，本项目由于采取了完善污染防治措施，付出的环境代价相对较低。</w:t>
      </w:r>
    </w:p>
    <w:p>
      <w:pPr>
        <w:spacing w:line="360" w:lineRule="auto"/>
        <w:ind w:firstLine="482" w:firstLineChars="200"/>
        <w:rPr>
          <w:rFonts w:hAnsi="Times New Roman" w:eastAsia="宋体"/>
          <w:b/>
          <w:bCs/>
          <w:lang w:eastAsia="zh-CN"/>
        </w:rPr>
      </w:pPr>
      <w:r>
        <w:rPr>
          <w:rFonts w:hAnsi="Times New Roman" w:eastAsia="宋体"/>
          <w:b/>
          <w:bCs/>
          <w:lang w:eastAsia="zh-CN"/>
        </w:rPr>
        <w:t>（3）环境系数的确定</w:t>
      </w:r>
    </w:p>
    <w:p>
      <w:pPr>
        <w:spacing w:line="360" w:lineRule="auto"/>
        <w:ind w:firstLine="480" w:firstLineChars="200"/>
        <w:rPr>
          <w:rFonts w:hAnsi="Times New Roman" w:eastAsia="宋体"/>
          <w:lang w:eastAsia="zh-CN"/>
        </w:rPr>
      </w:pPr>
      <w:r>
        <w:rPr>
          <w:rFonts w:hAnsi="Times New Roman" w:eastAsia="宋体"/>
          <w:lang w:eastAsia="zh-CN"/>
        </w:rPr>
        <w:t>环境系数是指年环境代价与年工业产值的比值，即Hx=Hd/Ge。</w:t>
      </w:r>
    </w:p>
    <w:p>
      <w:pPr>
        <w:spacing w:line="360" w:lineRule="auto"/>
        <w:ind w:firstLine="480" w:firstLineChars="200"/>
        <w:rPr>
          <w:rFonts w:hAnsi="Times New Roman" w:eastAsia="宋体"/>
          <w:lang w:eastAsia="zh-CN"/>
        </w:rPr>
      </w:pPr>
      <w:r>
        <w:rPr>
          <w:rFonts w:hAnsi="Times New Roman" w:eastAsia="宋体"/>
          <w:lang w:eastAsia="zh-CN"/>
        </w:rPr>
        <w:t>经计算，本项目环境系数为0.0036，说明项目创造1万元的产值，付出的环境代价为36元。</w:t>
      </w:r>
    </w:p>
    <w:p>
      <w:pPr>
        <w:pStyle w:val="8"/>
        <w:rPr>
          <w:rFonts w:ascii="Times New Roman" w:hAnsi="Times New Roman"/>
          <w:lang w:eastAsia="zh-CN"/>
        </w:rPr>
      </w:pPr>
      <w:r>
        <w:rPr>
          <w:rFonts w:ascii="Times New Roman" w:hAnsi="Times New Roman"/>
          <w:lang w:eastAsia="zh-CN"/>
        </w:rPr>
        <w:t>17.2.2.4环境效益分析</w:t>
      </w:r>
    </w:p>
    <w:p>
      <w:pPr>
        <w:spacing w:line="360" w:lineRule="auto"/>
        <w:ind w:firstLine="480" w:firstLineChars="200"/>
        <w:rPr>
          <w:rFonts w:hAnsi="Times New Roman" w:eastAsia="宋体"/>
          <w:lang w:eastAsia="zh-CN"/>
        </w:rPr>
      </w:pPr>
      <w:r>
        <w:rPr>
          <w:rFonts w:hAnsi="Times New Roman" w:eastAsia="宋体"/>
          <w:lang w:eastAsia="zh-CN"/>
        </w:rPr>
        <w:t>尽管本项目采取了比较完善的环境保护措施，但投入运行后仍然存在“三废”和噪声排放，也将不可避免地形成地表塌陷，因此对周围环境空气、地面水、地下水、声学环境、生态环境质量会带来一定程度的负面影响。在各项污染治理设施相对完善的情况下，使得本项目建设具有一定的环境经济效益，环境生态得到最大程度保护和恢复。</w:t>
      </w:r>
    </w:p>
    <w:p>
      <w:pPr>
        <w:pStyle w:val="5"/>
        <w:rPr>
          <w:rFonts w:ascii="Times New Roman" w:hAnsi="Times New Roman"/>
          <w:lang w:eastAsia="zh-CN"/>
        </w:rPr>
      </w:pPr>
      <w:bookmarkStart w:id="890" w:name="_Toc163749251"/>
      <w:bookmarkStart w:id="891" w:name="_Toc167095415"/>
      <w:r>
        <w:rPr>
          <w:rFonts w:ascii="Times New Roman" w:hAnsi="Times New Roman"/>
          <w:lang w:eastAsia="zh-CN"/>
        </w:rPr>
        <w:t>17.3 环境损益分析结论</w:t>
      </w:r>
      <w:bookmarkEnd w:id="890"/>
      <w:bookmarkEnd w:id="891"/>
    </w:p>
    <w:p>
      <w:pPr>
        <w:spacing w:line="360" w:lineRule="auto"/>
        <w:ind w:firstLine="480" w:firstLineChars="200"/>
        <w:rPr>
          <w:rFonts w:hAnsi="Times New Roman" w:eastAsia="宋体"/>
          <w:lang w:eastAsia="zh-CN"/>
        </w:rPr>
      </w:pPr>
      <w:r>
        <w:rPr>
          <w:rFonts w:hAnsi="Times New Roman" w:eastAsia="宋体"/>
          <w:lang w:eastAsia="zh-CN"/>
        </w:rPr>
        <w:t>综上所述，本项目综合收益大于损失，能够实现经济效益、社会效益和环境效益的统一，环境损益分析结果可行。</w:t>
      </w:r>
    </w:p>
    <w:p>
      <w:pPr>
        <w:spacing w:line="360" w:lineRule="auto"/>
        <w:ind w:firstLine="480" w:firstLineChars="200"/>
        <w:rPr>
          <w:rFonts w:hAnsi="Times New Roman" w:eastAsia="宋体"/>
          <w:lang w:eastAsia="zh-CN"/>
        </w:rPr>
        <w:sectPr>
          <w:footerReference r:id="rId19" w:type="default"/>
          <w:pgSz w:w="11905" w:h="16838"/>
          <w:pgMar w:top="1440" w:right="1304" w:bottom="1440" w:left="1474" w:header="850" w:footer="992" w:gutter="0"/>
          <w:cols w:space="0" w:num="1"/>
          <w:docGrid w:type="lines" w:linePitch="338" w:charSpace="0"/>
        </w:sectPr>
      </w:pPr>
    </w:p>
    <w:p>
      <w:pPr>
        <w:pStyle w:val="4"/>
        <w:kinsoku w:val="0"/>
        <w:overflowPunct w:val="0"/>
        <w:rPr>
          <w:szCs w:val="22"/>
          <w:lang w:eastAsia="zh-CN"/>
        </w:rPr>
      </w:pPr>
      <w:bookmarkStart w:id="892" w:name="_Toc163749252"/>
      <w:bookmarkStart w:id="893" w:name="_Toc167095416"/>
      <w:r>
        <w:rPr>
          <w:szCs w:val="22"/>
          <w:lang w:eastAsia="zh-CN"/>
        </w:rPr>
        <w:t xml:space="preserve">18 </w:t>
      </w:r>
      <w:r>
        <w:rPr>
          <w:rFonts w:hint="eastAsia"/>
          <w:szCs w:val="22"/>
          <w:lang w:eastAsia="zh-CN"/>
        </w:rPr>
        <w:t>公众参与</w:t>
      </w:r>
      <w:bookmarkEnd w:id="892"/>
      <w:bookmarkEnd w:id="893"/>
    </w:p>
    <w:p>
      <w:pPr>
        <w:pStyle w:val="14"/>
        <w:kinsoku w:val="0"/>
        <w:overflowPunct w:val="0"/>
        <w:spacing w:line="360" w:lineRule="auto"/>
        <w:ind w:right="104" w:firstLine="480" w:firstLineChars="200"/>
        <w:rPr>
          <w:rFonts w:ascii="Times New Roman" w:hAnsi="Times New Roman"/>
          <w:sz w:val="24"/>
          <w:lang w:eastAsia="zh-CN"/>
        </w:rPr>
      </w:pPr>
      <w:r>
        <w:rPr>
          <w:rFonts w:ascii="Times New Roman" w:hAnsi="Times New Roman"/>
          <w:sz w:val="24"/>
          <w:lang w:eastAsia="zh-CN"/>
        </w:rPr>
        <w:t>根据《环境影响评价公众参与办法》（环保部2018年第4号令）要求：“对环境影响方面公众质疑性意见多的建设项目，建设单位应当组织开展深度公众参与”。本项目在网络、报纸及现场公示期间未收到任何反馈信息，项目不属于对环境影响方面公众质疑性意见多的建设项目，因此，本项目未开展深度公众调查。</w:t>
      </w:r>
    </w:p>
    <w:p>
      <w:pPr>
        <w:pStyle w:val="14"/>
        <w:kinsoku w:val="0"/>
        <w:overflowPunct w:val="0"/>
        <w:spacing w:line="360" w:lineRule="auto"/>
        <w:ind w:right="104" w:firstLine="480" w:firstLineChars="200"/>
        <w:rPr>
          <w:rFonts w:ascii="Times New Roman" w:hAnsi="Times New Roman"/>
          <w:sz w:val="24"/>
        </w:rPr>
      </w:pPr>
      <w:r>
        <w:rPr>
          <w:rFonts w:ascii="Times New Roman" w:hAnsi="Times New Roman"/>
          <w:sz w:val="24"/>
          <w:lang w:eastAsia="zh-CN"/>
        </w:rPr>
        <w:t>本项目已按照《环境影响评价公众参与办法》要求，在本工程项目环境影响报告书编制阶段开展了公众参与工作，公众调查期间未接到任何相关的公众意见和建议，并按照要求编制了公众参与说明，具体公众参与工作见公众参与说明</w:t>
      </w:r>
      <w:r>
        <w:rPr>
          <w:rFonts w:ascii="Times New Roman" w:hAnsi="Times New Roman"/>
          <w:sz w:val="24"/>
        </w:rPr>
        <w:t>。</w:t>
      </w:r>
    </w:p>
    <w:p>
      <w:pPr>
        <w:pStyle w:val="14"/>
        <w:kinsoku w:val="0"/>
        <w:overflowPunct w:val="0"/>
        <w:spacing w:line="360" w:lineRule="auto"/>
        <w:ind w:right="104" w:firstLine="480" w:firstLineChars="200"/>
        <w:rPr>
          <w:rFonts w:ascii="Times New Roman" w:hAnsi="Times New Roman"/>
          <w:sz w:val="24"/>
        </w:rPr>
      </w:pPr>
    </w:p>
    <w:p>
      <w:pPr>
        <w:pStyle w:val="14"/>
        <w:kinsoku w:val="0"/>
        <w:overflowPunct w:val="0"/>
        <w:spacing w:line="360" w:lineRule="auto"/>
        <w:ind w:right="104"/>
        <w:rPr>
          <w:rFonts w:ascii="Times New Roman" w:hAnsi="Times New Roman"/>
          <w:sz w:val="24"/>
        </w:rPr>
        <w:sectPr>
          <w:footerReference r:id="rId20" w:type="default"/>
          <w:pgSz w:w="11905" w:h="16838"/>
          <w:pgMar w:top="1440" w:right="1304" w:bottom="1440" w:left="1474" w:header="850" w:footer="992" w:gutter="0"/>
          <w:cols w:space="0" w:num="1"/>
          <w:docGrid w:type="lines" w:linePitch="338" w:charSpace="0"/>
        </w:sectPr>
      </w:pPr>
    </w:p>
    <w:p>
      <w:pPr>
        <w:pStyle w:val="4"/>
        <w:rPr>
          <w:lang w:eastAsia="zh-CN"/>
        </w:rPr>
      </w:pPr>
      <w:bookmarkStart w:id="894" w:name="_Toc163749253"/>
      <w:bookmarkStart w:id="895" w:name="_Toc167095417"/>
      <w:r>
        <w:rPr>
          <w:lang w:eastAsia="zh-CN"/>
        </w:rPr>
        <w:t>19 结论与建议</w:t>
      </w:r>
      <w:bookmarkEnd w:id="894"/>
      <w:bookmarkEnd w:id="895"/>
    </w:p>
    <w:p>
      <w:pPr>
        <w:pStyle w:val="5"/>
        <w:rPr>
          <w:rFonts w:ascii="Times New Roman" w:hAnsi="Times New Roman"/>
          <w:lang w:eastAsia="zh-CN"/>
        </w:rPr>
      </w:pPr>
      <w:bookmarkStart w:id="896" w:name="_Toc167095418"/>
      <w:bookmarkStart w:id="897" w:name="_Toc163749254"/>
      <w:r>
        <w:rPr>
          <w:rFonts w:ascii="Times New Roman" w:hAnsi="Times New Roman"/>
          <w:lang w:eastAsia="zh-CN"/>
        </w:rPr>
        <w:t>19.1 项目概况及主要建设内容结论</w:t>
      </w:r>
      <w:bookmarkEnd w:id="896"/>
      <w:bookmarkEnd w:id="897"/>
    </w:p>
    <w:p>
      <w:pPr>
        <w:pStyle w:val="6"/>
        <w:rPr>
          <w:lang w:eastAsia="zh-CN"/>
        </w:rPr>
      </w:pPr>
      <w:bookmarkStart w:id="898" w:name="_Toc163812794"/>
      <w:bookmarkStart w:id="899" w:name="_Toc167095419"/>
      <w:r>
        <w:rPr>
          <w:lang w:eastAsia="zh-CN"/>
        </w:rPr>
        <w:t>19.1.1 建设项</w:t>
      </w:r>
      <w:r>
        <w:rPr>
          <w:rStyle w:val="54"/>
          <w:b/>
          <w:lang w:eastAsia="zh-CN"/>
        </w:rPr>
        <w:t>目</w:t>
      </w:r>
      <w:r>
        <w:rPr>
          <w:lang w:eastAsia="zh-CN"/>
        </w:rPr>
        <w:t>概况</w:t>
      </w:r>
      <w:bookmarkEnd w:id="898"/>
      <w:bookmarkEnd w:id="899"/>
    </w:p>
    <w:p>
      <w:pPr>
        <w:spacing w:line="360" w:lineRule="auto"/>
        <w:ind w:firstLine="480" w:firstLineChars="200"/>
        <w:rPr>
          <w:rFonts w:hAnsi="Times New Roman" w:eastAsia="宋体"/>
          <w:lang w:eastAsia="zh-CN"/>
        </w:rPr>
      </w:pPr>
      <w:r>
        <w:rPr>
          <w:rFonts w:hAnsi="Times New Roman" w:eastAsia="宋体"/>
          <w:lang w:eastAsia="zh-CN"/>
        </w:rPr>
        <w:t>达州市宣汉县七里峡煤业有限公司七里峡煤矿（以下简称“七里峡煤矿”）位于达州市宣汉县县城177°方向，直距约16km，行政区划属达州市宣汉县七里镇所辖。七里峡煤矿矿区不属国家规划大型矿区，属地方开采的小型矿区。</w:t>
      </w:r>
    </w:p>
    <w:p>
      <w:pPr>
        <w:spacing w:line="360" w:lineRule="auto"/>
        <w:ind w:firstLine="480" w:firstLineChars="200"/>
        <w:rPr>
          <w:rFonts w:hAnsi="Times New Roman" w:eastAsia="宋体"/>
          <w:lang w:eastAsia="zh-CN"/>
        </w:rPr>
      </w:pPr>
      <w:r>
        <w:rPr>
          <w:rFonts w:hAnsi="Times New Roman" w:eastAsia="宋体"/>
          <w:lang w:eastAsia="zh-CN"/>
        </w:rPr>
        <w:t>原七里峡煤矿始建于1993年，2009年进行资源整合，2016年完成建设任务。原七里峡煤矿生产规模15万吨/年，准采标高+670m～+200m，准采煤层：K</w:t>
      </w:r>
      <w:r>
        <w:rPr>
          <w:rFonts w:hAnsi="Times New Roman" w:eastAsia="宋体"/>
          <w:vertAlign w:val="subscript"/>
          <w:lang w:eastAsia="zh-CN"/>
        </w:rPr>
        <w:t>1</w:t>
      </w:r>
      <w:r>
        <w:rPr>
          <w:rFonts w:hAnsi="Times New Roman" w:eastAsia="宋体"/>
          <w:lang w:eastAsia="zh-CN"/>
        </w:rPr>
        <w:t>、K</w:t>
      </w:r>
      <w:r>
        <w:rPr>
          <w:rFonts w:hAnsi="Times New Roman" w:eastAsia="宋体"/>
          <w:vertAlign w:val="subscript"/>
          <w:lang w:eastAsia="zh-CN"/>
        </w:rPr>
        <w:t>4</w:t>
      </w:r>
      <w:r>
        <w:rPr>
          <w:rFonts w:hAnsi="Times New Roman" w:eastAsia="宋体"/>
          <w:lang w:eastAsia="zh-CN"/>
        </w:rPr>
        <w:t>、K</w:t>
      </w:r>
      <w:r>
        <w:rPr>
          <w:rFonts w:hAnsi="Times New Roman" w:eastAsia="宋体"/>
          <w:vertAlign w:val="subscript"/>
          <w:lang w:eastAsia="zh-CN"/>
        </w:rPr>
        <w:t>5</w:t>
      </w:r>
      <w:r>
        <w:rPr>
          <w:rFonts w:hAnsi="Times New Roman" w:eastAsia="宋体"/>
          <w:lang w:eastAsia="zh-CN"/>
        </w:rPr>
        <w:t>、K</w:t>
      </w:r>
      <w:r>
        <w:rPr>
          <w:rFonts w:hAnsi="Times New Roman" w:eastAsia="宋体"/>
          <w:vertAlign w:val="subscript"/>
          <w:lang w:eastAsia="zh-CN"/>
        </w:rPr>
        <w:t>6</w:t>
      </w:r>
      <w:r>
        <w:rPr>
          <w:rFonts w:hAnsi="Times New Roman" w:eastAsia="宋体"/>
          <w:lang w:eastAsia="zh-CN"/>
        </w:rPr>
        <w:t>、K</w:t>
      </w:r>
      <w:r>
        <w:rPr>
          <w:rFonts w:hAnsi="Times New Roman" w:eastAsia="宋体"/>
          <w:vertAlign w:val="subscript"/>
          <w:lang w:eastAsia="zh-CN"/>
        </w:rPr>
        <w:t>8</w:t>
      </w:r>
      <w:r>
        <w:rPr>
          <w:rFonts w:hAnsi="Times New Roman" w:eastAsia="宋体"/>
          <w:lang w:eastAsia="zh-CN"/>
        </w:rPr>
        <w:t>、K</w:t>
      </w:r>
      <w:r>
        <w:rPr>
          <w:rFonts w:hAnsi="Times New Roman" w:eastAsia="宋体"/>
          <w:vertAlign w:val="subscript"/>
          <w:lang w:eastAsia="zh-CN"/>
        </w:rPr>
        <w:t>9</w:t>
      </w:r>
      <w:r>
        <w:rPr>
          <w:rFonts w:hAnsi="Times New Roman" w:eastAsia="宋体"/>
          <w:lang w:eastAsia="zh-CN"/>
        </w:rPr>
        <w:t>、K</w:t>
      </w:r>
      <w:r>
        <w:rPr>
          <w:rFonts w:hAnsi="Times New Roman" w:eastAsia="宋体"/>
          <w:vertAlign w:val="subscript"/>
          <w:lang w:eastAsia="zh-CN"/>
        </w:rPr>
        <w:t>10</w:t>
      </w:r>
      <w:r>
        <w:rPr>
          <w:rFonts w:hAnsi="Times New Roman" w:eastAsia="宋体"/>
          <w:lang w:eastAsia="zh-CN"/>
        </w:rPr>
        <w:t>；面积4.9105km</w:t>
      </w:r>
      <w:r>
        <w:rPr>
          <w:rFonts w:hAnsi="Times New Roman" w:eastAsia="宋体"/>
          <w:vertAlign w:val="superscript"/>
          <w:lang w:eastAsia="zh-CN"/>
        </w:rPr>
        <w:t>2</w:t>
      </w:r>
      <w:r>
        <w:rPr>
          <w:rFonts w:hAnsi="Times New Roman" w:eastAsia="宋体"/>
          <w:lang w:eastAsia="zh-CN"/>
        </w:rPr>
        <w:t>。2020年2月27日，四川省应急管理厅等部门以《关于印发</w:t>
      </w:r>
      <w:r>
        <w:rPr>
          <w:rFonts w:hint="eastAsia" w:hAnsi="Times New Roman" w:eastAsia="宋体"/>
          <w:lang w:eastAsia="zh-CN"/>
        </w:rPr>
        <w:t>〈</w:t>
      </w:r>
      <w:r>
        <w:rPr>
          <w:rFonts w:hAnsi="Times New Roman" w:eastAsia="宋体"/>
          <w:lang w:eastAsia="zh-CN"/>
        </w:rPr>
        <w:t>四川省30万吨/年以下煤矿分类处置方案的批复</w:t>
      </w:r>
      <w:r>
        <w:rPr>
          <w:rFonts w:hint="eastAsia" w:hAnsi="Times New Roman" w:eastAsia="宋体"/>
          <w:lang w:eastAsia="zh-CN"/>
        </w:rPr>
        <w:t>〉</w:t>
      </w:r>
      <w:r>
        <w:rPr>
          <w:rFonts w:hAnsi="Times New Roman" w:eastAsia="宋体"/>
          <w:lang w:eastAsia="zh-CN"/>
        </w:rPr>
        <w:t>的通知》（川应急</w:t>
      </w:r>
      <w:r>
        <w:rPr>
          <w:rFonts w:hint="eastAsia" w:hAnsi="Times New Roman" w:eastAsia="宋体"/>
          <w:lang w:eastAsia="zh-CN"/>
        </w:rPr>
        <w:t>〔2020〕</w:t>
      </w:r>
      <w:r>
        <w:rPr>
          <w:rFonts w:hAnsi="Times New Roman" w:eastAsia="宋体"/>
          <w:lang w:eastAsia="zh-CN"/>
        </w:rPr>
        <w:t>31号）文件，发布了四川省人民政府《关于30万吨/年以下煤矿分类处置方案的批复》（川府函</w:t>
      </w:r>
      <w:r>
        <w:rPr>
          <w:rFonts w:hint="eastAsia" w:hAnsi="Times New Roman" w:eastAsia="宋体"/>
          <w:lang w:eastAsia="zh-CN"/>
        </w:rPr>
        <w:t>〔</w:t>
      </w:r>
      <w:r>
        <w:rPr>
          <w:rFonts w:hAnsi="Times New Roman" w:eastAsia="宋体"/>
          <w:lang w:eastAsia="zh-CN"/>
        </w:rPr>
        <w:t>2020</w:t>
      </w:r>
      <w:r>
        <w:rPr>
          <w:rFonts w:hint="eastAsia" w:hAnsi="Times New Roman" w:eastAsia="宋体"/>
          <w:lang w:eastAsia="zh-CN"/>
        </w:rPr>
        <w:t>〕</w:t>
      </w:r>
      <w:r>
        <w:rPr>
          <w:rFonts w:hAnsi="Times New Roman" w:eastAsia="宋体"/>
          <w:lang w:eastAsia="zh-CN"/>
        </w:rPr>
        <w:t>45号）。根据“川应急</w:t>
      </w:r>
      <w:r>
        <w:rPr>
          <w:rFonts w:hint="eastAsia" w:hAnsi="Times New Roman" w:eastAsia="宋体"/>
          <w:lang w:eastAsia="zh-CN"/>
        </w:rPr>
        <w:t>〔2020〕</w:t>
      </w:r>
      <w:r>
        <w:rPr>
          <w:rFonts w:hAnsi="Times New Roman" w:eastAsia="宋体"/>
          <w:lang w:eastAsia="zh-CN"/>
        </w:rPr>
        <w:t>31号”通知，七里峡煤矿为独立升级改造类矿井，改造后设计规模为300kt/a</w:t>
      </w:r>
      <w:r>
        <w:rPr>
          <w:rFonts w:hint="eastAsia" w:hAnsi="Times New Roman" w:eastAsia="宋体"/>
          <w:lang w:eastAsia="zh-CN"/>
        </w:rPr>
        <w:t>，</w:t>
      </w:r>
      <w:r>
        <w:rPr>
          <w:rFonts w:hAnsi="Times New Roman" w:eastAsia="宋体"/>
          <w:lang w:eastAsia="zh-CN"/>
        </w:rPr>
        <w:t>批准开采矿区范围内的K</w:t>
      </w:r>
      <w:r>
        <w:rPr>
          <w:rFonts w:hAnsi="Times New Roman" w:eastAsia="宋体"/>
          <w:vertAlign w:val="subscript"/>
          <w:lang w:eastAsia="zh-CN"/>
        </w:rPr>
        <w:t>4</w:t>
      </w:r>
      <w:r>
        <w:rPr>
          <w:rFonts w:hAnsi="Times New Roman" w:eastAsia="宋体"/>
          <w:lang w:eastAsia="zh-CN"/>
        </w:rPr>
        <w:t>、K</w:t>
      </w:r>
      <w:r>
        <w:rPr>
          <w:rFonts w:hAnsi="Times New Roman" w:eastAsia="宋体"/>
          <w:vertAlign w:val="subscript"/>
          <w:lang w:eastAsia="zh-CN"/>
        </w:rPr>
        <w:t>5</w:t>
      </w:r>
      <w:r>
        <w:rPr>
          <w:rFonts w:hAnsi="Times New Roman" w:eastAsia="宋体"/>
          <w:lang w:eastAsia="zh-CN"/>
        </w:rPr>
        <w:t>、K</w:t>
      </w:r>
      <w:r>
        <w:rPr>
          <w:rFonts w:hAnsi="Times New Roman" w:eastAsia="宋体"/>
          <w:vertAlign w:val="subscript"/>
          <w:lang w:eastAsia="zh-CN"/>
        </w:rPr>
        <w:t>5-1</w:t>
      </w:r>
      <w:r>
        <w:rPr>
          <w:rFonts w:hAnsi="Times New Roman" w:eastAsia="宋体"/>
          <w:lang w:eastAsia="zh-CN"/>
        </w:rPr>
        <w:t>、K</w:t>
      </w:r>
      <w:r>
        <w:rPr>
          <w:rFonts w:hAnsi="Times New Roman" w:eastAsia="宋体"/>
          <w:vertAlign w:val="subscript"/>
          <w:lang w:eastAsia="zh-CN"/>
        </w:rPr>
        <w:t>6</w:t>
      </w:r>
      <w:r>
        <w:rPr>
          <w:rFonts w:hAnsi="Times New Roman" w:eastAsia="宋体"/>
          <w:lang w:eastAsia="zh-CN"/>
        </w:rPr>
        <w:t>、K</w:t>
      </w:r>
      <w:r>
        <w:rPr>
          <w:rFonts w:hAnsi="Times New Roman" w:eastAsia="宋体"/>
          <w:vertAlign w:val="subscript"/>
          <w:lang w:eastAsia="zh-CN"/>
        </w:rPr>
        <w:t>8</w:t>
      </w:r>
      <w:r>
        <w:rPr>
          <w:rFonts w:hAnsi="Times New Roman" w:eastAsia="宋体"/>
          <w:lang w:eastAsia="zh-CN"/>
        </w:rPr>
        <w:t>、K</w:t>
      </w:r>
      <w:r>
        <w:rPr>
          <w:rFonts w:hAnsi="Times New Roman" w:eastAsia="宋体"/>
          <w:vertAlign w:val="subscript"/>
          <w:lang w:eastAsia="zh-CN"/>
        </w:rPr>
        <w:t>10</w:t>
      </w:r>
      <w:r>
        <w:rPr>
          <w:rFonts w:hAnsi="Times New Roman" w:eastAsia="宋体"/>
          <w:lang w:eastAsia="zh-CN"/>
        </w:rPr>
        <w:t>煤层，开采深度：+670m～+200m标高，矿区面积</w:t>
      </w:r>
      <w:r>
        <w:rPr>
          <w:rFonts w:hAnsi="Times New Roman" w:eastAsia="宋体"/>
        </w:rPr>
        <w:t>3.4715</w:t>
      </w:r>
      <w:r>
        <w:rPr>
          <w:rFonts w:hAnsi="Times New Roman" w:eastAsia="宋体"/>
          <w:lang w:eastAsia="zh-CN"/>
        </w:rPr>
        <w:t>km</w:t>
      </w:r>
      <w:r>
        <w:rPr>
          <w:rFonts w:hAnsi="Times New Roman" w:eastAsia="宋体"/>
          <w:vertAlign w:val="superscript"/>
          <w:lang w:eastAsia="zh-CN"/>
        </w:rPr>
        <w:t>2</w:t>
      </w:r>
      <w:r>
        <w:rPr>
          <w:rFonts w:hAnsi="Times New Roman" w:eastAsia="宋体"/>
          <w:lang w:eastAsia="zh-CN"/>
        </w:rPr>
        <w:t>。</w:t>
      </w:r>
      <w:r>
        <w:rPr>
          <w:rFonts w:hint="eastAsia" w:hAnsi="Times New Roman" w:eastAsia="宋体"/>
          <w:lang w:eastAsia="zh-CN"/>
        </w:rPr>
        <w:t>结合“</w:t>
      </w:r>
      <w:r>
        <w:rPr>
          <w:rFonts w:hAnsi="Times New Roman" w:eastAsia="宋体"/>
          <w:lang w:eastAsia="zh-CN"/>
        </w:rPr>
        <w:t>川应急</w:t>
      </w:r>
      <w:r>
        <w:rPr>
          <w:rFonts w:hint="eastAsia" w:hAnsi="Times New Roman" w:eastAsia="宋体"/>
          <w:lang w:eastAsia="zh-CN"/>
        </w:rPr>
        <w:t>〔2020〕</w:t>
      </w:r>
      <w:r>
        <w:rPr>
          <w:rFonts w:hAnsi="Times New Roman" w:eastAsia="宋体"/>
          <w:lang w:eastAsia="zh-CN"/>
        </w:rPr>
        <w:t>31号</w:t>
      </w:r>
      <w:r>
        <w:rPr>
          <w:rFonts w:hint="eastAsia" w:hAnsi="Times New Roman" w:eastAsia="宋体"/>
          <w:lang w:eastAsia="zh-CN"/>
        </w:rPr>
        <w:t>文”以及矿区总体规划，</w:t>
      </w:r>
      <w:r>
        <w:rPr>
          <w:rFonts w:hAnsi="Times New Roman" w:eastAsia="宋体"/>
          <w:szCs w:val="24"/>
          <w:lang w:eastAsia="zh-CN"/>
        </w:rPr>
        <w:t>最终确定本次升级改造开采范围为</w:t>
      </w:r>
      <w:r>
        <w:rPr>
          <w:rFonts w:hAnsi="Times New Roman" w:eastAsia="宋体"/>
          <w:szCs w:val="24"/>
        </w:rPr>
        <w:t>由20个拐点圈闭，面积约1.6285km</w:t>
      </w:r>
      <w:r>
        <w:rPr>
          <w:rFonts w:hAnsi="Times New Roman" w:eastAsia="宋体"/>
          <w:szCs w:val="24"/>
          <w:vertAlign w:val="superscript"/>
        </w:rPr>
        <w:t>2</w:t>
      </w:r>
      <w:r>
        <w:rPr>
          <w:rFonts w:hAnsi="Times New Roman" w:eastAsia="宋体"/>
          <w:szCs w:val="24"/>
        </w:rPr>
        <w:t>，开采深度为+670m～+200m，开采煤层为K</w:t>
      </w:r>
      <w:r>
        <w:rPr>
          <w:rFonts w:hAnsi="Times New Roman" w:eastAsia="宋体"/>
          <w:szCs w:val="24"/>
          <w:vertAlign w:val="subscript"/>
        </w:rPr>
        <w:t>6</w:t>
      </w:r>
      <w:r>
        <w:rPr>
          <w:rFonts w:hAnsi="Times New Roman" w:eastAsia="宋体"/>
          <w:szCs w:val="24"/>
        </w:rPr>
        <w:t>、K</w:t>
      </w:r>
      <w:r>
        <w:rPr>
          <w:rFonts w:hAnsi="Times New Roman" w:eastAsia="宋体"/>
          <w:szCs w:val="24"/>
          <w:vertAlign w:val="subscript"/>
        </w:rPr>
        <w:t>5-1</w:t>
      </w:r>
      <w:r>
        <w:rPr>
          <w:rFonts w:hAnsi="Times New Roman" w:eastAsia="宋体"/>
          <w:szCs w:val="24"/>
        </w:rPr>
        <w:t>、K</w:t>
      </w:r>
      <w:r>
        <w:rPr>
          <w:rFonts w:hAnsi="Times New Roman" w:eastAsia="宋体"/>
          <w:szCs w:val="24"/>
          <w:vertAlign w:val="subscript"/>
        </w:rPr>
        <w:t>5</w:t>
      </w:r>
      <w:r>
        <w:rPr>
          <w:rFonts w:hAnsi="Times New Roman" w:eastAsia="宋体"/>
          <w:szCs w:val="24"/>
        </w:rPr>
        <w:t>煤层</w:t>
      </w:r>
      <w:r>
        <w:rPr>
          <w:rFonts w:hint="eastAsia" w:hAnsi="Times New Roman" w:eastAsia="宋体"/>
          <w:szCs w:val="24"/>
        </w:rPr>
        <w:t>。</w:t>
      </w:r>
    </w:p>
    <w:p>
      <w:pPr>
        <w:spacing w:line="360" w:lineRule="auto"/>
        <w:ind w:firstLine="480" w:firstLineChars="200"/>
        <w:rPr>
          <w:rFonts w:hAnsi="Times New Roman" w:eastAsia="宋体"/>
          <w:highlight w:val="yellow"/>
          <w:lang w:eastAsia="zh-CN"/>
        </w:rPr>
      </w:pPr>
      <w:r>
        <w:rPr>
          <w:rFonts w:hAnsi="Times New Roman" w:eastAsia="宋体"/>
          <w:lang w:eastAsia="zh-CN"/>
        </w:rPr>
        <w:t>项目总投资4753.86万元，其中新增环保投资</w:t>
      </w:r>
      <w:r>
        <w:rPr>
          <w:rFonts w:hint="eastAsia" w:hAnsi="Times New Roman" w:eastAsia="宋体"/>
          <w:lang w:eastAsia="zh-CN"/>
        </w:rPr>
        <w:t>212.0</w:t>
      </w:r>
      <w:r>
        <w:rPr>
          <w:rFonts w:hAnsi="Times New Roman" w:eastAsia="宋体"/>
          <w:lang w:eastAsia="zh-CN"/>
        </w:rPr>
        <w:t>万元，占总投资的</w:t>
      </w:r>
      <w:r>
        <w:rPr>
          <w:rFonts w:hint="eastAsia" w:hAnsi="Times New Roman" w:eastAsia="宋体"/>
          <w:lang w:eastAsia="zh-CN"/>
        </w:rPr>
        <w:t>4.46</w:t>
      </w:r>
      <w:r>
        <w:rPr>
          <w:rFonts w:hAnsi="Times New Roman" w:eastAsia="宋体"/>
          <w:lang w:eastAsia="zh-CN"/>
        </w:rPr>
        <w:t>%。</w:t>
      </w:r>
    </w:p>
    <w:p>
      <w:pPr>
        <w:pStyle w:val="6"/>
        <w:rPr>
          <w:lang w:eastAsia="zh-CN"/>
        </w:rPr>
      </w:pPr>
      <w:bookmarkStart w:id="900" w:name="_Toc167095420"/>
      <w:bookmarkStart w:id="901" w:name="_Toc163812795"/>
      <w:r>
        <w:rPr>
          <w:lang w:eastAsia="zh-CN"/>
        </w:rPr>
        <w:t>19.1.2 环境质量现状</w:t>
      </w:r>
      <w:bookmarkEnd w:id="900"/>
      <w:bookmarkEnd w:id="901"/>
    </w:p>
    <w:p>
      <w:pPr>
        <w:spacing w:line="360" w:lineRule="auto"/>
        <w:ind w:firstLine="482" w:firstLineChars="200"/>
        <w:rPr>
          <w:rFonts w:hAnsi="Times New Roman" w:eastAsia="宋体"/>
          <w:b/>
          <w:bCs/>
          <w:lang w:eastAsia="zh-CN"/>
        </w:rPr>
      </w:pPr>
      <w:r>
        <w:rPr>
          <w:rFonts w:hAnsi="Times New Roman" w:eastAsia="宋体"/>
          <w:b/>
          <w:bCs/>
          <w:lang w:eastAsia="zh-CN"/>
        </w:rPr>
        <w:t>1、大气环境质量现状</w:t>
      </w:r>
    </w:p>
    <w:p>
      <w:pPr>
        <w:spacing w:line="360" w:lineRule="auto"/>
        <w:ind w:firstLine="480" w:firstLineChars="200"/>
        <w:rPr>
          <w:rFonts w:hAnsi="Times New Roman" w:eastAsia="宋体"/>
          <w:lang w:eastAsia="zh-CN"/>
        </w:rPr>
      </w:pPr>
      <w:r>
        <w:rPr>
          <w:rFonts w:hAnsi="Times New Roman" w:eastAsia="宋体"/>
          <w:lang w:eastAsia="zh-CN"/>
        </w:rPr>
        <w:t>根据达州市生态环境局官方网站发布的2022年1～12月《达州市各县（市、区）环境空气质量月报》中的数据进行评价</w:t>
      </w:r>
      <w:r>
        <w:rPr>
          <w:rFonts w:hint="eastAsia" w:hAnsi="Times New Roman" w:eastAsia="宋体"/>
          <w:lang w:eastAsia="zh-CN"/>
        </w:rPr>
        <w:t>，</w:t>
      </w:r>
      <w:r>
        <w:rPr>
          <w:rFonts w:hAnsi="Times New Roman" w:eastAsia="宋体"/>
          <w:lang w:eastAsia="zh-CN"/>
        </w:rPr>
        <w:t>项目区域属于达标区，项目区域环境空气质量良好。</w:t>
      </w:r>
      <w:r>
        <w:rPr>
          <w:rFonts w:hAnsi="Times New Roman" w:eastAsia="宋体"/>
          <w:szCs w:val="24"/>
          <w:lang w:eastAsia="zh-CN"/>
        </w:rPr>
        <w:t>其特征因子TSP符合满足《环境空气质量标准》（GB 3095-2012）二级标准。</w:t>
      </w:r>
    </w:p>
    <w:p>
      <w:pPr>
        <w:spacing w:line="360" w:lineRule="auto"/>
        <w:ind w:firstLine="482" w:firstLineChars="200"/>
        <w:rPr>
          <w:rFonts w:hAnsi="Times New Roman" w:eastAsia="宋体"/>
          <w:b/>
          <w:bCs/>
          <w:lang w:eastAsia="zh-CN"/>
        </w:rPr>
      </w:pPr>
      <w:r>
        <w:rPr>
          <w:rFonts w:hAnsi="Times New Roman" w:eastAsia="宋体"/>
          <w:b/>
          <w:bCs/>
          <w:lang w:eastAsia="zh-CN"/>
        </w:rPr>
        <w:t>2、地表水环境质量现状</w:t>
      </w:r>
    </w:p>
    <w:p>
      <w:pPr>
        <w:spacing w:line="360" w:lineRule="auto"/>
        <w:ind w:firstLine="480" w:firstLineChars="200"/>
        <w:rPr>
          <w:rFonts w:hAnsi="Times New Roman" w:eastAsia="宋体"/>
          <w:highlight w:val="yellow"/>
          <w:lang w:eastAsia="zh-CN"/>
        </w:rPr>
      </w:pPr>
      <w:r>
        <w:rPr>
          <w:rFonts w:hAnsi="Times New Roman" w:eastAsia="宋体"/>
          <w:lang w:eastAsia="zh-CN"/>
        </w:rPr>
        <w:t>根据达州市生态环监局公布的</w:t>
      </w:r>
      <w:r>
        <w:rPr>
          <w:rFonts w:hint="eastAsia" w:hAnsi="Times New Roman" w:eastAsia="宋体"/>
          <w:lang w:eastAsia="zh-CN"/>
        </w:rPr>
        <w:t>2019年1</w:t>
      </w:r>
      <w:r>
        <w:rPr>
          <w:rFonts w:hAnsi="Times New Roman" w:eastAsia="宋体"/>
          <w:lang w:eastAsia="zh-CN"/>
        </w:rPr>
        <w:t>月至2021年</w:t>
      </w:r>
      <w:r>
        <w:rPr>
          <w:rFonts w:hint="eastAsia" w:hAnsi="Times New Roman" w:eastAsia="宋体"/>
          <w:lang w:eastAsia="zh-CN"/>
        </w:rPr>
        <w:t>12</w:t>
      </w:r>
      <w:r>
        <w:rPr>
          <w:rFonts w:hAnsi="Times New Roman" w:eastAsia="宋体"/>
          <w:lang w:eastAsia="zh-CN"/>
        </w:rPr>
        <w:t>月达州市地表水水质月报，本项目附近的新宁河</w:t>
      </w:r>
      <w:r>
        <w:rPr>
          <w:rFonts w:hint="eastAsia" w:hAnsi="Times New Roman" w:eastAsia="宋体"/>
          <w:lang w:eastAsia="zh-CN"/>
        </w:rPr>
        <w:t>水系大石堡平桥断面</w:t>
      </w:r>
      <w:r>
        <w:rPr>
          <w:rFonts w:hAnsi="Times New Roman" w:eastAsia="宋体"/>
          <w:lang w:eastAsia="zh-CN"/>
        </w:rPr>
        <w:t>水质能够满足《地表水环境质量标准》（GB8978-2002）III 类标准，项目所在区地表水环境质量现状良好。根据现状补充监测结果，本项目</w:t>
      </w:r>
      <w:r>
        <w:rPr>
          <w:rFonts w:hint="eastAsia" w:hAnsi="Times New Roman" w:eastAsia="宋体"/>
          <w:lang w:eastAsia="zh-CN"/>
        </w:rPr>
        <w:t>汇入</w:t>
      </w:r>
      <w:r>
        <w:rPr>
          <w:rFonts w:hAnsi="Times New Roman" w:eastAsia="宋体"/>
          <w:lang w:eastAsia="zh-CN"/>
        </w:rPr>
        <w:t>新宁河上游500m处、下游1000m处监测断面监测因子均能满足《地表水环境质量标准》GB3838-2002 中Ⅲ类水域标准，说明项目所在地地表水现状质量较好。</w:t>
      </w:r>
    </w:p>
    <w:p>
      <w:pPr>
        <w:spacing w:line="360" w:lineRule="auto"/>
        <w:ind w:firstLine="482" w:firstLineChars="200"/>
        <w:rPr>
          <w:rFonts w:hAnsi="Times New Roman" w:eastAsia="宋体"/>
          <w:b/>
          <w:bCs/>
          <w:lang w:eastAsia="zh-CN"/>
        </w:rPr>
      </w:pPr>
      <w:r>
        <w:rPr>
          <w:rFonts w:hAnsi="Times New Roman" w:eastAsia="宋体"/>
          <w:b/>
          <w:bCs/>
          <w:lang w:eastAsia="zh-CN"/>
        </w:rPr>
        <w:t>3、声环境质量现状</w:t>
      </w:r>
    </w:p>
    <w:p>
      <w:pPr>
        <w:spacing w:line="360" w:lineRule="auto"/>
        <w:ind w:firstLine="480" w:firstLineChars="200"/>
        <w:rPr>
          <w:rFonts w:hAnsi="Times New Roman" w:eastAsia="宋体"/>
          <w:lang w:eastAsia="zh-CN"/>
        </w:rPr>
      </w:pPr>
      <w:r>
        <w:rPr>
          <w:rFonts w:hAnsi="Times New Roman" w:eastAsia="宋体"/>
          <w:lang w:eastAsia="zh-CN"/>
        </w:rPr>
        <w:t>根据监测结果，本项目所在区域声环境质量满足《声环境质量标准》（GB 3096-2008）中2类声环境功能区标准要求。</w:t>
      </w:r>
    </w:p>
    <w:p>
      <w:pPr>
        <w:spacing w:line="360" w:lineRule="auto"/>
        <w:ind w:firstLine="482" w:firstLineChars="200"/>
        <w:rPr>
          <w:rFonts w:hAnsi="Times New Roman" w:eastAsia="宋体"/>
          <w:b/>
          <w:bCs/>
          <w:lang w:eastAsia="zh-CN"/>
        </w:rPr>
      </w:pPr>
      <w:r>
        <w:rPr>
          <w:rFonts w:hAnsi="Times New Roman" w:eastAsia="宋体"/>
          <w:b/>
          <w:bCs/>
          <w:lang w:eastAsia="zh-CN"/>
        </w:rPr>
        <w:t>4、地下水环境质量现状</w:t>
      </w:r>
    </w:p>
    <w:p>
      <w:pPr>
        <w:spacing w:line="360" w:lineRule="auto"/>
        <w:ind w:firstLine="480" w:firstLineChars="200"/>
        <w:rPr>
          <w:rFonts w:hAnsi="Times New Roman" w:eastAsia="宋体"/>
          <w:lang w:eastAsia="zh-CN"/>
        </w:rPr>
      </w:pPr>
      <w:r>
        <w:rPr>
          <w:rFonts w:hAnsi="Times New Roman" w:eastAsia="宋体"/>
          <w:szCs w:val="22"/>
          <w:lang w:eastAsia="zh-CN"/>
        </w:rPr>
        <w:t>根据监测结果，项目区域地下水各监测指标浓度值均满足《地下水质量标准》（GB/T14848-2017）III类标准</w:t>
      </w:r>
      <w:r>
        <w:rPr>
          <w:rFonts w:hAnsi="Times New Roman" w:eastAsia="宋体"/>
          <w:lang w:eastAsia="zh-CN"/>
        </w:rPr>
        <w:t>。</w:t>
      </w:r>
    </w:p>
    <w:p>
      <w:pPr>
        <w:spacing w:line="360" w:lineRule="auto"/>
        <w:ind w:firstLine="482" w:firstLineChars="200"/>
        <w:rPr>
          <w:rFonts w:hAnsi="Times New Roman" w:eastAsia="宋体"/>
          <w:b/>
          <w:bCs/>
          <w:lang w:eastAsia="zh-CN"/>
        </w:rPr>
      </w:pPr>
      <w:r>
        <w:rPr>
          <w:rFonts w:hAnsi="Times New Roman" w:eastAsia="宋体"/>
          <w:b/>
          <w:bCs/>
          <w:lang w:eastAsia="zh-CN"/>
        </w:rPr>
        <w:t>5、土壤环境质量现状</w:t>
      </w:r>
    </w:p>
    <w:p>
      <w:pPr>
        <w:spacing w:line="360" w:lineRule="auto"/>
        <w:ind w:firstLine="480" w:firstLineChars="200"/>
        <w:rPr>
          <w:rFonts w:hAnsi="Times New Roman" w:eastAsia="宋体"/>
          <w:lang w:eastAsia="zh-CN"/>
        </w:rPr>
      </w:pPr>
      <w:r>
        <w:rPr>
          <w:rFonts w:hAnsi="Times New Roman" w:eastAsia="宋体"/>
          <w:szCs w:val="24"/>
          <w:lang w:eastAsia="zh-CN"/>
        </w:rPr>
        <w:t>监测结果表明：项目占地范围内TS1、TS4、TS5、TS6点位所测土壤各因子的含量均符合《土壤环境质量建设用地土壤污染风险管控标准（试行）》（GB36600-2018）中第二类用地“筛选值”要求；项目占地范围外TS2、TS3点位所测土壤各因子的含量均符合《土壤环境质量 农用地土壤污染风险管控标准（试行）》</w:t>
      </w:r>
      <w:r>
        <w:rPr>
          <w:rFonts w:hint="eastAsia" w:hAnsi="Times New Roman" w:eastAsia="宋体"/>
          <w:szCs w:val="24"/>
          <w:lang w:eastAsia="zh-CN"/>
        </w:rPr>
        <w:t>（</w:t>
      </w:r>
      <w:r>
        <w:rPr>
          <w:rFonts w:hAnsi="Times New Roman" w:eastAsia="宋体"/>
          <w:szCs w:val="24"/>
          <w:lang w:eastAsia="zh-CN"/>
        </w:rPr>
        <w:t>GB 15618-2018</w:t>
      </w:r>
      <w:r>
        <w:rPr>
          <w:rFonts w:hint="eastAsia" w:hAnsi="Times New Roman" w:eastAsia="宋体"/>
          <w:szCs w:val="24"/>
          <w:lang w:eastAsia="zh-CN"/>
        </w:rPr>
        <w:t>）</w:t>
      </w:r>
      <w:r>
        <w:rPr>
          <w:rFonts w:hAnsi="Times New Roman" w:eastAsia="宋体"/>
          <w:szCs w:val="24"/>
          <w:lang w:eastAsia="zh-CN"/>
        </w:rPr>
        <w:t>表1 农用地土壤污染风险筛选值的要求</w:t>
      </w:r>
      <w:r>
        <w:rPr>
          <w:rFonts w:hAnsi="Times New Roman" w:eastAsia="宋体"/>
          <w:lang w:eastAsia="zh-CN"/>
        </w:rPr>
        <w:t>。</w:t>
      </w:r>
    </w:p>
    <w:p>
      <w:pPr>
        <w:pStyle w:val="5"/>
        <w:rPr>
          <w:rFonts w:ascii="Times New Roman" w:hAnsi="Times New Roman"/>
          <w:lang w:eastAsia="zh-CN"/>
        </w:rPr>
      </w:pPr>
      <w:bookmarkStart w:id="902" w:name="_Toc167095421"/>
      <w:bookmarkStart w:id="903" w:name="_Toc163749255"/>
      <w:r>
        <w:rPr>
          <w:rFonts w:ascii="Times New Roman" w:hAnsi="Times New Roman"/>
          <w:lang w:eastAsia="zh-CN"/>
        </w:rPr>
        <w:t>19.2 项目环境影响结论</w:t>
      </w:r>
      <w:bookmarkEnd w:id="902"/>
      <w:bookmarkEnd w:id="903"/>
    </w:p>
    <w:p>
      <w:pPr>
        <w:pStyle w:val="6"/>
        <w:rPr>
          <w:lang w:eastAsia="zh-CN"/>
        </w:rPr>
      </w:pPr>
      <w:bookmarkStart w:id="904" w:name="_Toc163812797"/>
      <w:bookmarkStart w:id="905" w:name="_Toc167095422"/>
      <w:r>
        <w:rPr>
          <w:lang w:eastAsia="zh-CN"/>
        </w:rPr>
        <w:t>19.2.1 建设期环境影响结论</w:t>
      </w:r>
      <w:bookmarkEnd w:id="904"/>
      <w:bookmarkEnd w:id="905"/>
    </w:p>
    <w:p>
      <w:pPr>
        <w:spacing w:line="360" w:lineRule="auto"/>
        <w:ind w:firstLine="482" w:firstLineChars="200"/>
        <w:rPr>
          <w:rFonts w:hAnsi="Times New Roman" w:eastAsia="宋体"/>
          <w:b/>
          <w:bCs/>
          <w:lang w:eastAsia="zh-CN"/>
        </w:rPr>
      </w:pPr>
      <w:r>
        <w:rPr>
          <w:rFonts w:hAnsi="Times New Roman" w:eastAsia="宋体"/>
          <w:b/>
          <w:bCs/>
          <w:lang w:eastAsia="zh-CN"/>
        </w:rPr>
        <w:t>1、地表水环境影响结论</w:t>
      </w:r>
    </w:p>
    <w:p>
      <w:pPr>
        <w:spacing w:line="360" w:lineRule="auto"/>
        <w:ind w:firstLine="480" w:firstLineChars="200"/>
        <w:rPr>
          <w:rFonts w:hAnsi="Times New Roman" w:eastAsia="宋体"/>
          <w:lang w:eastAsia="zh-CN"/>
        </w:rPr>
      </w:pPr>
      <w:r>
        <w:rPr>
          <w:rFonts w:hAnsi="Times New Roman" w:eastAsia="宋体"/>
          <w:lang w:eastAsia="zh-CN"/>
        </w:rPr>
        <w:t>本项目施工期间井下排水主要源于掘进巷道时形成的基岩渗水和现有采空区矿井涌水，主要污染物为SS，浓度约为300mg/L左右，本次评价要求在井下巷道开拓前，对现有项目的井下废水处理方式进行改造，将矿井涌水和生活污水分开处理，矿井涌水采用“</w:t>
      </w:r>
      <w:r>
        <w:rPr>
          <w:rFonts w:hint="eastAsia" w:hAnsi="Times New Roman" w:eastAsia="宋体"/>
          <w:szCs w:val="24"/>
          <w:lang w:eastAsia="zh-CN"/>
        </w:rPr>
        <w:t>隔油+预沉调节+混凝沉淀+斜管沉淀+石英砂过滤+消毒</w:t>
      </w:r>
      <w:r>
        <w:rPr>
          <w:rFonts w:hAnsi="Times New Roman" w:eastAsia="宋体"/>
          <w:lang w:eastAsia="zh-CN"/>
        </w:rPr>
        <w:t>”处理工艺处理后一部分用于井下降尘使用，其余部分通过1.5km排水管道引至天生镇王一庙水源保护区下游河段（新宁河）排放，排放水质满足</w:t>
      </w:r>
      <w:r>
        <w:rPr>
          <w:rFonts w:hAnsi="Times New Roman" w:eastAsia="宋体"/>
          <w:bCs/>
          <w:lang w:eastAsia="zh-CN"/>
        </w:rPr>
        <w:t>《地表水环境质量标准》（GB3838-2002）中Ⅲ类</w:t>
      </w:r>
      <w:r>
        <w:rPr>
          <w:rFonts w:hAnsi="Times New Roman" w:eastAsia="宋体"/>
          <w:lang w:eastAsia="zh-CN"/>
        </w:rPr>
        <w:t>排放限值标准。</w:t>
      </w:r>
    </w:p>
    <w:p>
      <w:pPr>
        <w:spacing w:line="360" w:lineRule="auto"/>
        <w:ind w:firstLine="480" w:firstLineChars="200"/>
        <w:rPr>
          <w:rFonts w:hAnsi="Times New Roman" w:eastAsia="宋体"/>
          <w:lang w:eastAsia="zh-CN"/>
        </w:rPr>
      </w:pPr>
      <w:r>
        <w:rPr>
          <w:rFonts w:hAnsi="Times New Roman" w:eastAsia="宋体"/>
          <w:lang w:eastAsia="zh-CN"/>
        </w:rPr>
        <w:t>本项目施工期间由于生产工人多为当地聘用，生活污水产生量较小，生活污水利用现有污水处理设施，采用“</w:t>
      </w:r>
      <w:r>
        <w:rPr>
          <w:rFonts w:hAnsi="Times New Roman" w:eastAsia="宋体"/>
          <w:szCs w:val="24"/>
          <w:lang w:eastAsia="zh-CN"/>
        </w:rPr>
        <w:t>混凝+A</w:t>
      </w:r>
      <w:r>
        <w:rPr>
          <w:rFonts w:hAnsi="Times New Roman" w:eastAsia="宋体"/>
          <w:szCs w:val="24"/>
          <w:vertAlign w:val="superscript"/>
          <w:lang w:eastAsia="zh-CN"/>
        </w:rPr>
        <w:t>2</w:t>
      </w:r>
      <w:r>
        <w:rPr>
          <w:rFonts w:hAnsi="Times New Roman" w:eastAsia="宋体"/>
          <w:szCs w:val="24"/>
          <w:lang w:eastAsia="zh-CN"/>
        </w:rPr>
        <w:t>O+消毒</w:t>
      </w:r>
      <w:r>
        <w:rPr>
          <w:rFonts w:hAnsi="Times New Roman" w:eastAsia="宋体"/>
          <w:lang w:eastAsia="zh-CN"/>
        </w:rPr>
        <w:t>”</w:t>
      </w:r>
      <w:r>
        <w:rPr>
          <w:rFonts w:hAnsi="Times New Roman" w:eastAsia="宋体"/>
          <w:szCs w:val="24"/>
          <w:lang w:eastAsia="zh-CN"/>
        </w:rPr>
        <w:t>处理工艺后回用于生产，不外排</w:t>
      </w:r>
      <w:r>
        <w:rPr>
          <w:rFonts w:hAnsi="Times New Roman" w:eastAsia="宋体"/>
          <w:lang w:eastAsia="zh-CN"/>
        </w:rPr>
        <w:t>。建设期间对附近地表水环境造成污染影响较小。</w:t>
      </w:r>
    </w:p>
    <w:p>
      <w:pPr>
        <w:spacing w:line="360" w:lineRule="auto"/>
        <w:ind w:firstLine="482" w:firstLineChars="200"/>
        <w:rPr>
          <w:rFonts w:hAnsi="Times New Roman" w:eastAsia="宋体"/>
          <w:b/>
          <w:bCs/>
          <w:lang w:eastAsia="zh-CN"/>
        </w:rPr>
      </w:pPr>
      <w:r>
        <w:rPr>
          <w:rFonts w:hAnsi="Times New Roman" w:eastAsia="宋体"/>
          <w:b/>
          <w:bCs/>
          <w:lang w:eastAsia="zh-CN"/>
        </w:rPr>
        <w:t>2、大气环境影响结论</w:t>
      </w:r>
    </w:p>
    <w:p>
      <w:pPr>
        <w:spacing w:line="360" w:lineRule="auto"/>
        <w:ind w:firstLine="480" w:firstLineChars="200"/>
        <w:rPr>
          <w:rFonts w:hAnsi="Times New Roman" w:eastAsia="宋体"/>
          <w:lang w:eastAsia="zh-CN"/>
        </w:rPr>
      </w:pPr>
      <w:r>
        <w:rPr>
          <w:rFonts w:hAnsi="Times New Roman" w:eastAsia="宋体"/>
          <w:lang w:eastAsia="zh-CN"/>
        </w:rPr>
        <w:t>本煤矿属现有矿井升级改造，项目利用既有地面设施，地面新增工程量很小，其建设内容主要在井下进行。由于施工期间对地面改造较小，施工扬尘通过洒水抑尘、施工车辆实行限速行驶、散料堆场采用水喷淋防尘，或用</w:t>
      </w:r>
      <w:r>
        <w:rPr>
          <w:rFonts w:hint="eastAsia" w:hAnsi="Times New Roman" w:eastAsia="宋体"/>
          <w:lang w:eastAsia="zh-CN"/>
        </w:rPr>
        <w:t>篷布</w:t>
      </w:r>
      <w:r>
        <w:rPr>
          <w:rFonts w:hAnsi="Times New Roman" w:eastAsia="宋体"/>
          <w:lang w:eastAsia="zh-CN"/>
        </w:rPr>
        <w:t>遮盖散料堆等措施后，施工期间施工扬尘对大气环境影响较小。</w:t>
      </w:r>
    </w:p>
    <w:p>
      <w:pPr>
        <w:spacing w:line="360" w:lineRule="auto"/>
        <w:ind w:firstLine="482" w:firstLineChars="200"/>
        <w:rPr>
          <w:rFonts w:hAnsi="Times New Roman" w:eastAsia="宋体"/>
          <w:b/>
          <w:bCs/>
          <w:lang w:eastAsia="zh-CN"/>
        </w:rPr>
      </w:pPr>
      <w:r>
        <w:rPr>
          <w:rFonts w:hAnsi="Times New Roman" w:eastAsia="宋体"/>
          <w:b/>
          <w:bCs/>
          <w:lang w:eastAsia="zh-CN"/>
        </w:rPr>
        <w:t>3、噪声影响结论</w:t>
      </w:r>
    </w:p>
    <w:p>
      <w:pPr>
        <w:spacing w:line="360" w:lineRule="auto"/>
        <w:ind w:firstLine="480" w:firstLineChars="200"/>
        <w:rPr>
          <w:rFonts w:hAnsi="Times New Roman" w:eastAsia="宋体"/>
          <w:lang w:eastAsia="zh-CN"/>
        </w:rPr>
      </w:pPr>
      <w:r>
        <w:rPr>
          <w:rFonts w:hAnsi="Times New Roman" w:eastAsia="宋体"/>
          <w:lang w:eastAsia="zh-CN"/>
        </w:rPr>
        <w:t>由于工业场地施工噪声夜间影响范围较大，因此严禁在夜间施工。此外，矿井应合理安排施工时间，禁止在昼间12:00至2:00的午休时段施工；尽量选用低噪声设备；合理布局高噪声设备，尽量远离敏感目标布置；合理安排施工工序，避免大量高噪声设备同时施工。</w:t>
      </w:r>
    </w:p>
    <w:p>
      <w:pPr>
        <w:spacing w:line="360" w:lineRule="auto"/>
        <w:ind w:firstLine="480" w:firstLineChars="200"/>
        <w:rPr>
          <w:rFonts w:hAnsi="Times New Roman" w:eastAsia="宋体"/>
          <w:lang w:eastAsia="zh-CN"/>
        </w:rPr>
      </w:pPr>
      <w:r>
        <w:rPr>
          <w:rFonts w:hAnsi="Times New Roman" w:eastAsia="宋体"/>
          <w:lang w:eastAsia="zh-CN"/>
        </w:rPr>
        <w:t>由于本次扩建主要利用现有地面设施，只对少量地面设施进行改造建设，项目施工期时间较短，总体而言，在采取噪声防治措施后，施工期噪声对声环境将影响不大。</w:t>
      </w:r>
    </w:p>
    <w:p>
      <w:pPr>
        <w:spacing w:line="360" w:lineRule="auto"/>
        <w:ind w:firstLine="482" w:firstLineChars="200"/>
        <w:rPr>
          <w:rFonts w:hAnsi="Times New Roman" w:eastAsia="宋体"/>
          <w:b/>
          <w:bCs/>
          <w:lang w:eastAsia="zh-CN"/>
        </w:rPr>
      </w:pPr>
      <w:r>
        <w:rPr>
          <w:rFonts w:hAnsi="Times New Roman" w:eastAsia="宋体"/>
          <w:b/>
          <w:bCs/>
          <w:lang w:eastAsia="zh-CN"/>
        </w:rPr>
        <w:t>4、固废影响结论</w:t>
      </w:r>
    </w:p>
    <w:p>
      <w:pPr>
        <w:spacing w:line="360" w:lineRule="auto"/>
        <w:ind w:firstLine="480" w:firstLineChars="200"/>
        <w:rPr>
          <w:rFonts w:hAnsi="Times New Roman" w:eastAsia="宋体"/>
          <w:lang w:eastAsia="zh-CN"/>
        </w:rPr>
      </w:pPr>
      <w:r>
        <w:rPr>
          <w:rFonts w:hAnsi="Times New Roman" w:eastAsia="宋体"/>
          <w:lang w:eastAsia="zh-CN"/>
        </w:rPr>
        <w:t>七里峡煤矿独立升级改造期间产生的巷道掘进矸石尽量回填采空区，不能回填采空区的矸石暂存至矸石临时堆场，全部运至本地砖厂制砖使用，不外排；建设期间产生的建筑垃圾能够回收利用的可回收利用，不能回收的应运往城乡规划部门指定的建筑垃圾堆放场；施工期间产生的生活垃圾经集中收集后由环卫部门统一清运处理，不会造成二次污染。</w:t>
      </w:r>
    </w:p>
    <w:p>
      <w:pPr>
        <w:spacing w:line="360" w:lineRule="auto"/>
        <w:ind w:firstLine="480" w:firstLineChars="200"/>
        <w:rPr>
          <w:rFonts w:hAnsi="Times New Roman" w:eastAsia="宋体"/>
          <w:lang w:eastAsia="zh-CN"/>
        </w:rPr>
      </w:pPr>
      <w:r>
        <w:rPr>
          <w:rFonts w:hAnsi="Times New Roman" w:eastAsia="宋体"/>
          <w:lang w:eastAsia="zh-CN"/>
        </w:rPr>
        <w:t>综上所述，七里峡煤矿独立升级改造期间产生的固废均得到了合理处置，固体不会对环境造成二次污染。</w:t>
      </w:r>
    </w:p>
    <w:p>
      <w:pPr>
        <w:pStyle w:val="6"/>
        <w:rPr>
          <w:lang w:eastAsia="zh-CN"/>
        </w:rPr>
      </w:pPr>
      <w:bookmarkStart w:id="906" w:name="_Toc167095423"/>
      <w:bookmarkStart w:id="907" w:name="_Toc163812798"/>
      <w:r>
        <w:rPr>
          <w:lang w:eastAsia="zh-CN"/>
        </w:rPr>
        <w:t>19.2.2 运营期环境影响结论</w:t>
      </w:r>
      <w:bookmarkEnd w:id="906"/>
      <w:bookmarkEnd w:id="907"/>
    </w:p>
    <w:p>
      <w:pPr>
        <w:pStyle w:val="8"/>
        <w:rPr>
          <w:rFonts w:ascii="Times New Roman" w:hAnsi="Times New Roman"/>
          <w:lang w:eastAsia="zh-CN"/>
        </w:rPr>
      </w:pPr>
      <w:r>
        <w:rPr>
          <w:rFonts w:ascii="Times New Roman" w:hAnsi="Times New Roman"/>
          <w:lang w:eastAsia="zh-CN"/>
        </w:rPr>
        <w:t>19.2.2.1生态环境影响评价结论</w:t>
      </w:r>
    </w:p>
    <w:p>
      <w:pPr>
        <w:spacing w:line="360" w:lineRule="auto"/>
        <w:ind w:firstLine="480" w:firstLineChars="200"/>
        <w:rPr>
          <w:rFonts w:hAnsi="Times New Roman" w:eastAsia="宋体"/>
          <w:szCs w:val="24"/>
          <w:lang w:eastAsia="zh-CN"/>
        </w:rPr>
      </w:pPr>
      <w:r>
        <w:rPr>
          <w:rFonts w:hAnsi="Times New Roman" w:eastAsia="宋体"/>
          <w:szCs w:val="24"/>
          <w:lang w:eastAsia="zh-CN"/>
        </w:rPr>
        <w:t>项目工程建设与矿山道路运输等区域会使得生态系统分割；但因矿山面积有限，评价区域生态系统主要为森林生态系统，从面积分析，矿山工程建设形成的裸露为森林生态系统中的一个“林窗”，对区域生态系统完整性造成的破坏及负面影响并不显著及突出；区域生态系统结构完整，服务功能未发生显著退化或改变。</w:t>
      </w:r>
    </w:p>
    <w:p>
      <w:pPr>
        <w:spacing w:line="360" w:lineRule="auto"/>
        <w:ind w:firstLine="480" w:firstLineChars="200"/>
        <w:rPr>
          <w:rFonts w:hAnsi="Times New Roman" w:eastAsia="宋体"/>
          <w:lang w:eastAsia="zh-CN"/>
        </w:rPr>
      </w:pPr>
      <w:r>
        <w:rPr>
          <w:rFonts w:hAnsi="Times New Roman" w:eastAsia="宋体"/>
          <w:szCs w:val="24"/>
          <w:lang w:eastAsia="zh-CN"/>
        </w:rPr>
        <w:t>本项目为地下开采，对地表植被会造成一定的破坏，同时会间接影响矿区范围内动物的繁殖活动，但这些影响仅在矿区范围及周边范围表现突出，不会对区域相似生境中动物的活动、繁殖造成显著影响；因此，矿山开采不会造成区域自然生态系统稳定性的失衡及生产能力的显著下降。</w:t>
      </w:r>
      <w:r>
        <w:rPr>
          <w:rFonts w:hint="eastAsia" w:hAnsi="Times New Roman" w:eastAsia="宋体"/>
          <w:szCs w:val="24"/>
          <w:lang w:eastAsia="zh-CN"/>
        </w:rPr>
        <w:t>同时，矿区边界与宣汉国家森林公园观音山景区最近距离为75m，</w:t>
      </w:r>
      <w:r>
        <w:rPr>
          <w:rFonts w:hAnsi="Times New Roman" w:eastAsia="宋体"/>
          <w:szCs w:val="24"/>
          <w:lang w:eastAsia="zh-CN"/>
        </w:rPr>
        <w:t>因此</w:t>
      </w:r>
      <w:r>
        <w:rPr>
          <w:rFonts w:hint="eastAsia" w:hAnsi="Times New Roman" w:eastAsia="宋体"/>
          <w:szCs w:val="24"/>
          <w:lang w:eastAsia="zh-CN"/>
        </w:rPr>
        <w:t>七里峡</w:t>
      </w:r>
      <w:r>
        <w:rPr>
          <w:rFonts w:hAnsi="Times New Roman" w:eastAsia="宋体"/>
          <w:szCs w:val="24"/>
          <w:lang w:eastAsia="zh-CN"/>
        </w:rPr>
        <w:t>煤矿对</w:t>
      </w:r>
      <w:r>
        <w:rPr>
          <w:rFonts w:hint="eastAsia" w:hAnsi="Times New Roman" w:eastAsia="宋体"/>
          <w:szCs w:val="24"/>
          <w:lang w:eastAsia="zh-CN"/>
        </w:rPr>
        <w:t>宣汉国家森林公园观音山景区</w:t>
      </w:r>
      <w:r>
        <w:rPr>
          <w:rFonts w:hAnsi="Times New Roman" w:eastAsia="宋体"/>
          <w:szCs w:val="24"/>
          <w:lang w:eastAsia="zh-CN"/>
        </w:rPr>
        <w:t>无显著影响，对其扰动极小</w:t>
      </w:r>
      <w:r>
        <w:rPr>
          <w:rFonts w:hAnsi="Times New Roman" w:eastAsia="宋体"/>
          <w:lang w:eastAsia="zh-CN"/>
        </w:rPr>
        <w:t>。</w:t>
      </w:r>
    </w:p>
    <w:p>
      <w:pPr>
        <w:pStyle w:val="8"/>
        <w:rPr>
          <w:rFonts w:ascii="Times New Roman" w:hAnsi="Times New Roman"/>
          <w:lang w:eastAsia="zh-CN"/>
        </w:rPr>
      </w:pPr>
      <w:r>
        <w:rPr>
          <w:rFonts w:ascii="Times New Roman" w:hAnsi="Times New Roman"/>
          <w:lang w:eastAsia="zh-CN"/>
        </w:rPr>
        <w:t>19.2.2.2地下水影响评价结论</w:t>
      </w:r>
    </w:p>
    <w:p>
      <w:pPr>
        <w:spacing w:line="360" w:lineRule="auto"/>
        <w:ind w:firstLine="480" w:firstLineChars="200"/>
        <w:rPr>
          <w:rFonts w:hAnsi="Times New Roman" w:eastAsia="宋体"/>
          <w:lang w:eastAsia="zh-CN"/>
        </w:rPr>
      </w:pPr>
      <w:r>
        <w:rPr>
          <w:rFonts w:hAnsi="Times New Roman" w:eastAsia="宋体"/>
          <w:lang w:eastAsia="zh-CN"/>
        </w:rPr>
        <w:t>煤矿开采不会对区域地下水含水层产生影响，对地下水水质影响较小，项目地下水开采不会对区域地下水水量造成较大影响，项目开采对地面农田系统及生态系统不会产生较大影响。</w:t>
      </w:r>
    </w:p>
    <w:p>
      <w:pPr>
        <w:pStyle w:val="8"/>
        <w:rPr>
          <w:rFonts w:ascii="Times New Roman" w:hAnsi="Times New Roman"/>
          <w:lang w:eastAsia="zh-CN"/>
        </w:rPr>
      </w:pPr>
      <w:r>
        <w:rPr>
          <w:rFonts w:ascii="Times New Roman" w:hAnsi="Times New Roman"/>
          <w:lang w:eastAsia="zh-CN"/>
        </w:rPr>
        <w:t>19.2.2.3大气影响评价结论</w:t>
      </w:r>
    </w:p>
    <w:p>
      <w:pPr>
        <w:spacing w:line="360" w:lineRule="auto"/>
        <w:ind w:firstLine="480" w:firstLineChars="200"/>
        <w:rPr>
          <w:rFonts w:hAnsi="Times New Roman" w:eastAsia="宋体"/>
          <w:lang w:eastAsia="zh-CN"/>
        </w:rPr>
      </w:pPr>
      <w:r>
        <w:rPr>
          <w:rFonts w:hAnsi="Times New Roman" w:eastAsia="宋体"/>
          <w:lang w:eastAsia="zh-CN"/>
        </w:rPr>
        <w:t>矿井废气由抽风机从回风井排放，井下各工作面采用喷雾洒水措施后，废气中粉尘浓度小于1.0mg/m</w:t>
      </w:r>
      <w:r>
        <w:rPr>
          <w:rFonts w:hAnsi="Times New Roman" w:eastAsia="宋体"/>
          <w:vertAlign w:val="superscript"/>
          <w:lang w:eastAsia="zh-CN"/>
        </w:rPr>
        <w:t>3</w:t>
      </w:r>
      <w:r>
        <w:rPr>
          <w:rFonts w:hAnsi="Times New Roman" w:eastAsia="宋体"/>
          <w:lang w:eastAsia="zh-CN"/>
        </w:rPr>
        <w:t>。地面生产过程中产生的粉尘通过储煤场封闭、堆场及道路洒水降尘等措施降低粉尘对周边环境的污染。项目排入大气的粉尘浓度低于《煤炭工业污染物排放标准》（GB20426-2006）限值。运营期煤尘、扬尘及瓦斯等对外环境影响较小。</w:t>
      </w:r>
    </w:p>
    <w:p>
      <w:pPr>
        <w:pStyle w:val="8"/>
        <w:rPr>
          <w:rFonts w:ascii="Times New Roman" w:hAnsi="Times New Roman"/>
          <w:lang w:eastAsia="zh-CN"/>
        </w:rPr>
      </w:pPr>
      <w:r>
        <w:rPr>
          <w:rFonts w:ascii="Times New Roman" w:hAnsi="Times New Roman"/>
          <w:lang w:eastAsia="zh-CN"/>
        </w:rPr>
        <w:t>19.2.2.4地表水影响评价结论</w:t>
      </w:r>
    </w:p>
    <w:p>
      <w:pPr>
        <w:spacing w:line="360" w:lineRule="auto"/>
        <w:ind w:firstLine="482" w:firstLineChars="200"/>
        <w:rPr>
          <w:rFonts w:hAnsi="Times New Roman" w:eastAsia="宋体"/>
          <w:b/>
          <w:bCs/>
          <w:lang w:eastAsia="zh-CN"/>
        </w:rPr>
      </w:pPr>
      <w:r>
        <w:rPr>
          <w:rFonts w:hAnsi="Times New Roman" w:eastAsia="宋体"/>
          <w:b/>
          <w:bCs/>
          <w:lang w:eastAsia="zh-CN"/>
        </w:rPr>
        <w:t>（1）矿井水</w:t>
      </w:r>
    </w:p>
    <w:p>
      <w:pPr>
        <w:spacing w:line="360" w:lineRule="auto"/>
        <w:ind w:firstLine="480" w:firstLineChars="200"/>
        <w:rPr>
          <w:rFonts w:hAnsi="Times New Roman" w:eastAsia="宋体"/>
          <w:lang w:eastAsia="zh-CN"/>
        </w:rPr>
      </w:pPr>
      <w:r>
        <w:rPr>
          <w:rFonts w:hAnsi="Times New Roman" w:eastAsia="宋体"/>
          <w:lang w:eastAsia="zh-CN"/>
        </w:rPr>
        <w:t>矿井水由井下水仓沉淀处理后，再由地面</w:t>
      </w:r>
      <w:r>
        <w:rPr>
          <w:rFonts w:hint="eastAsia" w:hAnsi="Times New Roman" w:eastAsia="宋体"/>
          <w:lang w:eastAsia="zh-CN"/>
        </w:rPr>
        <w:t>的矿井水处理设施（</w:t>
      </w:r>
      <w:r>
        <w:rPr>
          <w:rFonts w:hint="eastAsia" w:hAnsi="Times New Roman" w:eastAsia="宋体"/>
          <w:szCs w:val="24"/>
          <w:lang w:eastAsia="zh-CN"/>
        </w:rPr>
        <w:t>隔油+预沉调节+混凝沉淀+斜管沉淀+石英砂过滤+消毒</w:t>
      </w:r>
      <w:r>
        <w:rPr>
          <w:rFonts w:hint="eastAsia" w:hAnsi="Times New Roman" w:eastAsia="宋体"/>
          <w:lang w:eastAsia="zh-CN"/>
        </w:rPr>
        <w:t>）</w:t>
      </w:r>
      <w:r>
        <w:rPr>
          <w:rFonts w:hAnsi="Times New Roman" w:eastAsia="宋体"/>
          <w:lang w:eastAsia="zh-CN"/>
        </w:rPr>
        <w:t>对矿井水进行处理。经处理后的矿井涌水一部分抽至高位水池作为井下降尘及地面生产用水使用，其余部分通过1.5km排水管道引至天生镇王一庙水源保护区下游河段（新宁河）排放，外排满足达到</w:t>
      </w:r>
      <w:r>
        <w:rPr>
          <w:rFonts w:hAnsi="Times New Roman" w:eastAsia="宋体"/>
          <w:bCs/>
          <w:lang w:eastAsia="zh-CN"/>
        </w:rPr>
        <w:t>《地表水环境质量标准》（GB3838-2002）中Ⅲ类</w:t>
      </w:r>
      <w:r>
        <w:rPr>
          <w:rFonts w:hAnsi="Times New Roman" w:eastAsia="宋体"/>
          <w:lang w:eastAsia="zh-CN"/>
        </w:rPr>
        <w:t>标准</w:t>
      </w:r>
      <w:r>
        <w:rPr>
          <w:rFonts w:hint="eastAsia" w:hAnsi="Times New Roman" w:eastAsia="宋体"/>
          <w:lang w:eastAsia="zh-CN"/>
        </w:rPr>
        <w:t>、全盐量小于1000mg/L的限值</w:t>
      </w:r>
      <w:r>
        <w:rPr>
          <w:rFonts w:hAnsi="Times New Roman" w:eastAsia="宋体"/>
          <w:lang w:eastAsia="zh-CN"/>
        </w:rPr>
        <w:t>。因此，多余矿井水的排放不会影响受纳水体的水环境功能。</w:t>
      </w:r>
    </w:p>
    <w:p>
      <w:pPr>
        <w:spacing w:line="360" w:lineRule="auto"/>
        <w:ind w:firstLine="482" w:firstLineChars="200"/>
        <w:rPr>
          <w:rFonts w:hAnsi="Times New Roman" w:eastAsia="宋体"/>
          <w:b/>
          <w:bCs/>
          <w:lang w:eastAsia="zh-CN"/>
        </w:rPr>
      </w:pPr>
      <w:r>
        <w:rPr>
          <w:rFonts w:hAnsi="Times New Roman" w:eastAsia="宋体"/>
          <w:b/>
          <w:bCs/>
          <w:lang w:eastAsia="zh-CN"/>
        </w:rPr>
        <w:t>（2）生活污水</w:t>
      </w:r>
    </w:p>
    <w:p>
      <w:pPr>
        <w:spacing w:line="360" w:lineRule="auto"/>
        <w:ind w:firstLine="480" w:firstLineChars="200"/>
        <w:rPr>
          <w:rFonts w:hAnsi="Times New Roman" w:eastAsia="宋体"/>
          <w:lang w:eastAsia="zh-CN"/>
        </w:rPr>
      </w:pPr>
      <w:r>
        <w:rPr>
          <w:rFonts w:hAnsi="Times New Roman" w:eastAsia="宋体"/>
          <w:lang w:eastAsia="zh-CN"/>
        </w:rPr>
        <w:t>项目食堂废水经油水分离器。洗浴废水经毛发集污井和洗衣房用水一起经一体化污水处理设施（“</w:t>
      </w:r>
      <w:r>
        <w:rPr>
          <w:rFonts w:hAnsi="Times New Roman" w:eastAsia="宋体"/>
          <w:szCs w:val="24"/>
          <w:lang w:eastAsia="zh-CN"/>
        </w:rPr>
        <w:t>混凝+A</w:t>
      </w:r>
      <w:r>
        <w:rPr>
          <w:rFonts w:hAnsi="Times New Roman" w:eastAsia="宋体"/>
          <w:szCs w:val="24"/>
          <w:vertAlign w:val="superscript"/>
          <w:lang w:eastAsia="zh-CN"/>
        </w:rPr>
        <w:t>2</w:t>
      </w:r>
      <w:r>
        <w:rPr>
          <w:rFonts w:hAnsi="Times New Roman" w:eastAsia="宋体"/>
          <w:szCs w:val="24"/>
          <w:lang w:eastAsia="zh-CN"/>
        </w:rPr>
        <w:t>O+消毒</w:t>
      </w:r>
      <w:r>
        <w:rPr>
          <w:rFonts w:hAnsi="Times New Roman" w:eastAsia="宋体"/>
          <w:lang w:eastAsia="zh-CN"/>
        </w:rPr>
        <w:t>”</w:t>
      </w:r>
      <w:r>
        <w:rPr>
          <w:rFonts w:hAnsi="Times New Roman" w:eastAsia="宋体"/>
          <w:szCs w:val="24"/>
          <w:lang w:eastAsia="zh-CN"/>
        </w:rPr>
        <w:t>处理工艺</w:t>
      </w:r>
      <w:r>
        <w:rPr>
          <w:rFonts w:hAnsi="Times New Roman" w:eastAsia="宋体"/>
          <w:lang w:eastAsia="zh-CN"/>
        </w:rPr>
        <w:t>）处理后回用于地面防尘及工业广场绿化，生活污水经化粪池处理后，</w:t>
      </w:r>
      <w:r>
        <w:rPr>
          <w:rFonts w:hAnsi="Times New Roman" w:eastAsia="宋体"/>
          <w:szCs w:val="22"/>
          <w:lang w:eastAsia="zh-CN"/>
        </w:rPr>
        <w:t>由达州市鑫通管道疏通有限公司定期清运处置，不外排</w:t>
      </w:r>
      <w:r>
        <w:rPr>
          <w:rFonts w:hAnsi="Times New Roman" w:eastAsia="宋体"/>
          <w:lang w:eastAsia="zh-CN"/>
        </w:rPr>
        <w:t>，对地表水环境影响较小。</w:t>
      </w:r>
    </w:p>
    <w:p>
      <w:pPr>
        <w:pStyle w:val="8"/>
        <w:rPr>
          <w:rFonts w:ascii="Times New Roman" w:hAnsi="Times New Roman"/>
          <w:lang w:eastAsia="zh-CN"/>
        </w:rPr>
      </w:pPr>
      <w:r>
        <w:rPr>
          <w:rFonts w:ascii="Times New Roman" w:hAnsi="Times New Roman"/>
          <w:lang w:eastAsia="zh-CN"/>
        </w:rPr>
        <w:t>19.2.2.5声环境影响评价结论</w:t>
      </w:r>
    </w:p>
    <w:p>
      <w:pPr>
        <w:spacing w:line="360" w:lineRule="auto"/>
        <w:ind w:firstLine="480" w:firstLineChars="200"/>
        <w:rPr>
          <w:rFonts w:hAnsi="Times New Roman" w:eastAsia="宋体"/>
          <w:lang w:eastAsia="zh-CN"/>
        </w:rPr>
      </w:pPr>
      <w:r>
        <w:rPr>
          <w:rFonts w:hAnsi="Times New Roman" w:eastAsia="宋体"/>
          <w:lang w:eastAsia="zh-CN"/>
        </w:rPr>
        <w:t>本项目工业广场对机械设备进行合理布局，采取基础减振、厂房隔声、消声等措施，工业广场生产噪声厂界值均能够达到《声环境质量标准》(GB3096-2008)2类标准限值（昼间：60dB（A），夜间：50dB（A））。通过加强运输汽车管理，运输车辆产生的噪声对附近居民影响较小。风井工业场地厂界值不能达到《声环境质量标准》(GB3096-2008)2 类标准限值，但风井场地200m范围内无声环境保护目标，项目运营期对周围环境影响不大。</w:t>
      </w:r>
    </w:p>
    <w:p>
      <w:pPr>
        <w:pStyle w:val="8"/>
        <w:rPr>
          <w:rFonts w:ascii="Times New Roman" w:hAnsi="Times New Roman"/>
          <w:szCs w:val="22"/>
          <w:lang w:eastAsia="zh-CN"/>
        </w:rPr>
      </w:pPr>
      <w:r>
        <w:rPr>
          <w:rFonts w:ascii="Times New Roman" w:hAnsi="Times New Roman"/>
          <w:szCs w:val="22"/>
          <w:lang w:eastAsia="zh-CN"/>
        </w:rPr>
        <w:t>19.2.2.6固体废物评价结论</w:t>
      </w:r>
    </w:p>
    <w:p>
      <w:pPr>
        <w:spacing w:line="360" w:lineRule="auto"/>
        <w:ind w:firstLine="480" w:firstLineChars="200"/>
        <w:rPr>
          <w:rFonts w:hAnsi="Times New Roman" w:eastAsia="宋体"/>
          <w:lang w:eastAsia="zh-CN"/>
        </w:rPr>
      </w:pPr>
      <w:r>
        <w:rPr>
          <w:rFonts w:hAnsi="Times New Roman" w:eastAsia="宋体"/>
          <w:lang w:eastAsia="zh-CN"/>
        </w:rPr>
        <w:t>矸石属于一般工业固体废物中的第I类固体废物，出井后转运煤矸石临时堆场暂存后，及时运至宣汉县平桥砖厂用于制砖使用，不外排；项目产生的生活垃圾集中收集后定期运至指定垃圾收集点，由环卫部门清运处理；矿井水处理站产生的泥煤定期清掏后，运至宣汉县平桥砖厂用于制砖使用；生活污水处理站污泥定期清掏后由环卫部门统一清运处理；含油抹布及手套同生活垃圾一同交由环卫部门处理；废矿灯、废蓄电池定期由厂家回收处理；项目产生的废机油暂存于危废暂存间，按危废管理，用于场内轨道、钢丝的润滑。</w:t>
      </w:r>
    </w:p>
    <w:p>
      <w:pPr>
        <w:spacing w:line="360" w:lineRule="auto"/>
        <w:ind w:firstLine="480" w:firstLineChars="200"/>
        <w:rPr>
          <w:rFonts w:hAnsi="Times New Roman" w:eastAsia="宋体"/>
          <w:lang w:eastAsia="zh-CN"/>
        </w:rPr>
      </w:pPr>
      <w:r>
        <w:rPr>
          <w:rFonts w:hAnsi="Times New Roman" w:eastAsia="宋体"/>
          <w:lang w:eastAsia="zh-CN"/>
        </w:rPr>
        <w:t>综上所述，项目运营期间生产固废得到妥善处理，不会造成二次污染。</w:t>
      </w:r>
    </w:p>
    <w:p>
      <w:pPr>
        <w:pStyle w:val="8"/>
        <w:rPr>
          <w:rFonts w:ascii="Times New Roman" w:hAnsi="Times New Roman"/>
          <w:lang w:eastAsia="zh-CN"/>
        </w:rPr>
      </w:pPr>
      <w:r>
        <w:rPr>
          <w:rFonts w:ascii="Times New Roman" w:hAnsi="Times New Roman"/>
          <w:lang w:eastAsia="zh-CN"/>
        </w:rPr>
        <w:t>19.2.2.7土壤环境影响评价结论</w:t>
      </w:r>
    </w:p>
    <w:p>
      <w:pPr>
        <w:spacing w:line="360" w:lineRule="auto"/>
        <w:ind w:firstLine="480" w:firstLineChars="200"/>
        <w:rPr>
          <w:rFonts w:hAnsi="Times New Roman" w:eastAsia="宋体"/>
          <w:lang w:eastAsia="zh-CN"/>
        </w:rPr>
      </w:pPr>
      <w:r>
        <w:rPr>
          <w:rFonts w:hAnsi="Times New Roman" w:eastAsia="宋体"/>
          <w:lang w:eastAsia="zh-CN"/>
        </w:rPr>
        <w:t>项目储煤场地采用封闭式储煤设施，矿井水、生活污水处理站蓄水池及危废暂存间地面均进行硬化和防渗处理，只要严格落实环评提出的大气、废水方面的污染防治措施后，工业场地对土壤环境质量影响较小。</w:t>
      </w:r>
    </w:p>
    <w:p>
      <w:pPr>
        <w:pStyle w:val="5"/>
        <w:rPr>
          <w:rFonts w:ascii="Times New Roman" w:hAnsi="Times New Roman"/>
          <w:lang w:eastAsia="zh-CN"/>
        </w:rPr>
      </w:pPr>
      <w:bookmarkStart w:id="908" w:name="_Toc167095424"/>
      <w:bookmarkStart w:id="909" w:name="_Toc163749256"/>
      <w:r>
        <w:rPr>
          <w:rFonts w:ascii="Times New Roman" w:hAnsi="Times New Roman"/>
          <w:lang w:eastAsia="zh-CN"/>
        </w:rPr>
        <w:t>19.3 主要建设内容结论</w:t>
      </w:r>
      <w:bookmarkEnd w:id="908"/>
      <w:bookmarkEnd w:id="909"/>
    </w:p>
    <w:p>
      <w:pPr>
        <w:pStyle w:val="6"/>
        <w:rPr>
          <w:lang w:eastAsia="zh-CN"/>
        </w:rPr>
      </w:pPr>
      <w:bookmarkStart w:id="910" w:name="_Toc163812800"/>
      <w:bookmarkStart w:id="911" w:name="_Toc167095425"/>
      <w:r>
        <w:rPr>
          <w:lang w:eastAsia="zh-CN"/>
        </w:rPr>
        <w:t>19.3.1 与产业政策、规划相符性分析结论</w:t>
      </w:r>
      <w:bookmarkEnd w:id="910"/>
      <w:bookmarkEnd w:id="911"/>
    </w:p>
    <w:p>
      <w:pPr>
        <w:spacing w:line="360" w:lineRule="auto"/>
        <w:ind w:firstLine="480" w:firstLineChars="200"/>
        <w:rPr>
          <w:rFonts w:hAnsi="Times New Roman" w:eastAsia="宋体"/>
          <w:lang w:eastAsia="zh-CN"/>
        </w:rPr>
      </w:pPr>
      <w:r>
        <w:rPr>
          <w:rFonts w:hAnsi="Times New Roman" w:eastAsia="宋体"/>
          <w:lang w:eastAsia="zh-CN"/>
        </w:rPr>
        <w:t>本项目不属于《产业结构调整指导目录（2019年本）》中的鼓励类、限制类和淘汰类，根据《促进产业结构调整暂行规定》（国发〔2005〕40号），项目属于允许类。项目的建设与《煤炭产业政策</w:t>
      </w:r>
      <w:r>
        <w:rPr>
          <w:rFonts w:hint="eastAsia" w:hAnsi="Times New Roman" w:eastAsia="宋体"/>
          <w:lang w:eastAsia="zh-CN"/>
        </w:rPr>
        <w:t>》《</w:t>
      </w:r>
      <w:r>
        <w:rPr>
          <w:rFonts w:hAnsi="Times New Roman" w:eastAsia="宋体"/>
          <w:lang w:eastAsia="zh-CN"/>
        </w:rPr>
        <w:t>燃煤二氧化硫排放污染防治技术政策</w:t>
      </w:r>
      <w:r>
        <w:rPr>
          <w:rFonts w:hint="eastAsia" w:hAnsi="Times New Roman" w:eastAsia="宋体"/>
          <w:lang w:eastAsia="zh-CN"/>
        </w:rPr>
        <w:t>》《</w:t>
      </w:r>
      <w:r>
        <w:rPr>
          <w:rFonts w:hAnsi="Times New Roman" w:eastAsia="宋体"/>
          <w:lang w:eastAsia="zh-CN"/>
        </w:rPr>
        <w:t>商品煤质量管理暂行办法</w:t>
      </w:r>
      <w:r>
        <w:rPr>
          <w:rFonts w:hint="eastAsia" w:hAnsi="Times New Roman" w:eastAsia="宋体"/>
          <w:lang w:eastAsia="zh-CN"/>
        </w:rPr>
        <w:t>》《</w:t>
      </w:r>
      <w:r>
        <w:rPr>
          <w:rFonts w:hAnsi="Times New Roman" w:eastAsia="宋体"/>
          <w:lang w:eastAsia="zh-CN"/>
        </w:rPr>
        <w:t>矿山生态环境保护与污染防治技术政策》（国环发〔2005〕109号）等技术政策相关要求指标相符。因此，本项目与国家现行产业政策相符。</w:t>
      </w:r>
    </w:p>
    <w:p>
      <w:pPr>
        <w:spacing w:line="360" w:lineRule="auto"/>
        <w:ind w:firstLine="480" w:firstLineChars="200"/>
        <w:rPr>
          <w:rFonts w:hAnsi="Times New Roman" w:eastAsia="宋体"/>
          <w:lang w:eastAsia="zh-CN"/>
        </w:rPr>
      </w:pPr>
      <w:r>
        <w:rPr>
          <w:rFonts w:hAnsi="Times New Roman" w:eastAsia="宋体"/>
          <w:lang w:eastAsia="zh-CN"/>
        </w:rPr>
        <w:t>本项目与《煤炭工业发展“十三五”规划</w:t>
      </w:r>
      <w:r>
        <w:rPr>
          <w:rFonts w:hint="eastAsia" w:hAnsi="Times New Roman" w:eastAsia="宋体"/>
          <w:lang w:eastAsia="zh-CN"/>
        </w:rPr>
        <w:t>》《</w:t>
      </w:r>
      <w:r>
        <w:rPr>
          <w:rFonts w:hAnsi="Times New Roman" w:eastAsia="宋体"/>
          <w:lang w:eastAsia="zh-CN"/>
        </w:rPr>
        <w:t>四川省矿产资源总体规划（2016-2020）</w:t>
      </w:r>
      <w:r>
        <w:rPr>
          <w:rFonts w:hint="eastAsia" w:hAnsi="Times New Roman" w:eastAsia="宋体"/>
          <w:lang w:eastAsia="zh-CN"/>
        </w:rPr>
        <w:t>》《</w:t>
      </w:r>
      <w:r>
        <w:rPr>
          <w:rFonts w:hAnsi="Times New Roman" w:eastAsia="宋体"/>
          <w:lang w:eastAsia="zh-CN"/>
        </w:rPr>
        <w:t>四川省生态功能区划》等规划相符。</w:t>
      </w:r>
    </w:p>
    <w:p>
      <w:pPr>
        <w:pStyle w:val="6"/>
        <w:rPr>
          <w:lang w:eastAsia="zh-CN"/>
        </w:rPr>
      </w:pPr>
      <w:bookmarkStart w:id="912" w:name="_Toc163812801"/>
      <w:bookmarkStart w:id="913" w:name="_Toc167095426"/>
      <w:r>
        <w:rPr>
          <w:lang w:eastAsia="zh-CN"/>
        </w:rPr>
        <w:t>19.3.2 选址合理性分析</w:t>
      </w:r>
      <w:bookmarkEnd w:id="912"/>
      <w:bookmarkEnd w:id="913"/>
    </w:p>
    <w:p>
      <w:pPr>
        <w:spacing w:line="360" w:lineRule="auto"/>
        <w:ind w:firstLine="480" w:firstLineChars="200"/>
        <w:rPr>
          <w:rFonts w:hAnsi="Times New Roman" w:eastAsia="宋体"/>
          <w:lang w:eastAsia="zh-CN"/>
        </w:rPr>
      </w:pPr>
      <w:r>
        <w:rPr>
          <w:rFonts w:hAnsi="Times New Roman" w:eastAsia="宋体"/>
          <w:lang w:eastAsia="zh-CN"/>
        </w:rPr>
        <w:t>七里峡煤矿升级改造后，项目井田、工业广场、炸药库、风井场地不涉及饮用水源地，不在各类文物保护范围内，不在各类自然保护区、风景名胜区范围内，项目周边无需要无学校、医院、食品企业等特殊敏感目标，因此，七里峡煤矿选址是合理的。</w:t>
      </w:r>
    </w:p>
    <w:p>
      <w:pPr>
        <w:pStyle w:val="6"/>
        <w:rPr>
          <w:lang w:eastAsia="zh-CN"/>
        </w:rPr>
      </w:pPr>
      <w:bookmarkStart w:id="914" w:name="_Toc163812802"/>
      <w:bookmarkStart w:id="915" w:name="_Toc167095427"/>
      <w:r>
        <w:rPr>
          <w:lang w:eastAsia="zh-CN"/>
        </w:rPr>
        <w:t>19.3.3 公众参与结论</w:t>
      </w:r>
      <w:bookmarkEnd w:id="914"/>
      <w:bookmarkEnd w:id="915"/>
    </w:p>
    <w:p>
      <w:pPr>
        <w:spacing w:line="360" w:lineRule="auto"/>
        <w:ind w:firstLine="480" w:firstLineChars="200"/>
        <w:rPr>
          <w:rFonts w:hAnsi="Times New Roman" w:eastAsia="宋体"/>
          <w:lang w:eastAsia="zh-CN"/>
        </w:rPr>
      </w:pPr>
      <w:r>
        <w:rPr>
          <w:rFonts w:hAnsi="Times New Roman" w:eastAsia="宋体"/>
          <w:lang w:eastAsia="zh-CN"/>
        </w:rPr>
        <w:t>建设单位已按照《环境影响评价公众参与办法》（部令第4号）规定的要求进行了公众参与调查工作。在公众意见参与期间，未收到公众意见，同时建设单位已编制了《达州市宣汉县七里峡煤业有限公司七里峡煤矿扩建工程项目环境影响评价公众参与说明》。公众对本项目的建设无反对意见。</w:t>
      </w:r>
    </w:p>
    <w:p>
      <w:pPr>
        <w:pStyle w:val="6"/>
        <w:rPr>
          <w:lang w:eastAsia="zh-CN"/>
        </w:rPr>
      </w:pPr>
      <w:bookmarkStart w:id="916" w:name="_Toc167095428"/>
      <w:bookmarkStart w:id="917" w:name="_Toc163812803"/>
      <w:r>
        <w:rPr>
          <w:lang w:eastAsia="zh-CN"/>
        </w:rPr>
        <w:t>19.3.4 环境风险结论</w:t>
      </w:r>
      <w:bookmarkEnd w:id="916"/>
      <w:bookmarkEnd w:id="917"/>
    </w:p>
    <w:p>
      <w:pPr>
        <w:spacing w:line="360" w:lineRule="auto"/>
        <w:ind w:firstLine="480" w:firstLineChars="200"/>
        <w:rPr>
          <w:rFonts w:hAnsi="Times New Roman" w:eastAsia="宋体"/>
          <w:lang w:eastAsia="zh-CN"/>
        </w:rPr>
      </w:pPr>
      <w:r>
        <w:rPr>
          <w:rFonts w:hAnsi="Times New Roman" w:eastAsia="宋体"/>
          <w:lang w:eastAsia="zh-CN"/>
        </w:rPr>
        <w:t>本项目在采取有针对性的风险防范及应急措施后，可将风险事故降至可接受水平。项目拟采取的风险防范措施及应急预案从环境保护角度可行。</w:t>
      </w:r>
    </w:p>
    <w:p>
      <w:pPr>
        <w:pStyle w:val="6"/>
        <w:rPr>
          <w:lang w:eastAsia="zh-CN"/>
        </w:rPr>
      </w:pPr>
      <w:bookmarkStart w:id="918" w:name="_Toc167095429"/>
      <w:bookmarkStart w:id="919" w:name="_Toc163812804"/>
      <w:r>
        <w:rPr>
          <w:lang w:eastAsia="zh-CN"/>
        </w:rPr>
        <w:t>19.3.5 环境经济损益结论</w:t>
      </w:r>
      <w:bookmarkEnd w:id="918"/>
      <w:bookmarkEnd w:id="919"/>
    </w:p>
    <w:p>
      <w:pPr>
        <w:spacing w:line="360" w:lineRule="auto"/>
        <w:ind w:firstLine="480" w:firstLineChars="200"/>
        <w:rPr>
          <w:rFonts w:hAnsi="Times New Roman" w:eastAsia="宋体"/>
          <w:lang w:eastAsia="zh-CN"/>
        </w:rPr>
      </w:pPr>
      <w:r>
        <w:rPr>
          <w:rFonts w:hAnsi="Times New Roman" w:eastAsia="宋体"/>
          <w:lang w:eastAsia="zh-CN"/>
        </w:rPr>
        <w:t>本项目的直接经济效益</w:t>
      </w:r>
      <w:r>
        <w:rPr>
          <w:rFonts w:hint="eastAsia" w:hAnsi="Times New Roman" w:eastAsia="宋体"/>
          <w:lang w:eastAsia="zh-CN"/>
        </w:rPr>
        <w:t>反映</w:t>
      </w:r>
      <w:r>
        <w:rPr>
          <w:rFonts w:hAnsi="Times New Roman" w:eastAsia="宋体"/>
          <w:lang w:eastAsia="zh-CN"/>
        </w:rPr>
        <w:t>在废水回用、煤矸石综合利用等。间接经济效益是指环保设施实施后产生的社会效益，包括环境污染所造成的减少、人体健康水平的提高、污染达标后</w:t>
      </w:r>
      <w:r>
        <w:rPr>
          <w:rFonts w:hint="eastAsia" w:hAnsi="Times New Roman" w:eastAsia="宋体"/>
          <w:lang w:eastAsia="zh-CN"/>
        </w:rPr>
        <w:t>免缴</w:t>
      </w:r>
      <w:r>
        <w:rPr>
          <w:rFonts w:hAnsi="Times New Roman" w:eastAsia="宋体"/>
          <w:lang w:eastAsia="zh-CN"/>
        </w:rPr>
        <w:t>的排污费、罚款、赔偿费等。但大部分效益难以用货币量化。</w:t>
      </w:r>
    </w:p>
    <w:p>
      <w:pPr>
        <w:spacing w:line="360" w:lineRule="auto"/>
        <w:ind w:firstLine="480" w:firstLineChars="200"/>
        <w:rPr>
          <w:rFonts w:hAnsi="Times New Roman" w:eastAsia="宋体"/>
          <w:lang w:eastAsia="zh-CN"/>
        </w:rPr>
      </w:pPr>
      <w:r>
        <w:rPr>
          <w:rFonts w:hAnsi="Times New Roman" w:eastAsia="宋体"/>
          <w:lang w:eastAsia="zh-CN"/>
        </w:rPr>
        <w:t>分析说明，项目的经济、社会效益明显，采用科学、合理的环境治理措施使环境损失降低。从环境影响经济损益分析，项目可行。</w:t>
      </w:r>
    </w:p>
    <w:p>
      <w:pPr>
        <w:pStyle w:val="6"/>
        <w:rPr>
          <w:lang w:eastAsia="zh-CN"/>
        </w:rPr>
      </w:pPr>
      <w:bookmarkStart w:id="920" w:name="_Toc167095430"/>
      <w:bookmarkStart w:id="921" w:name="_Toc163812805"/>
      <w:r>
        <w:rPr>
          <w:lang w:eastAsia="zh-CN"/>
        </w:rPr>
        <w:t>19.3.6 环境管理与监测计划</w:t>
      </w:r>
      <w:bookmarkEnd w:id="920"/>
      <w:bookmarkEnd w:id="921"/>
    </w:p>
    <w:p>
      <w:pPr>
        <w:spacing w:line="360" w:lineRule="auto"/>
        <w:ind w:firstLine="480" w:firstLineChars="200"/>
        <w:rPr>
          <w:rFonts w:hAnsi="Times New Roman" w:eastAsia="宋体"/>
          <w:lang w:eastAsia="zh-CN"/>
        </w:rPr>
      </w:pPr>
      <w:r>
        <w:rPr>
          <w:rFonts w:hAnsi="Times New Roman" w:eastAsia="宋体"/>
          <w:lang w:eastAsia="zh-CN"/>
        </w:rPr>
        <w:t>1、制定环境管理计划，明确环境管理机构、环境监督机构的职责；</w:t>
      </w:r>
    </w:p>
    <w:p>
      <w:pPr>
        <w:spacing w:line="360" w:lineRule="auto"/>
        <w:ind w:firstLine="480" w:firstLineChars="200"/>
        <w:rPr>
          <w:rFonts w:hAnsi="Times New Roman" w:eastAsia="宋体"/>
          <w:lang w:eastAsia="zh-CN"/>
        </w:rPr>
      </w:pPr>
      <w:r>
        <w:rPr>
          <w:rFonts w:hAnsi="Times New Roman" w:eastAsia="宋体"/>
          <w:lang w:eastAsia="zh-CN"/>
        </w:rPr>
        <w:t>2、按照ISO14001环境管理体系标准建立适合本矿的环境管理体系；</w:t>
      </w:r>
    </w:p>
    <w:p>
      <w:pPr>
        <w:spacing w:line="360" w:lineRule="auto"/>
        <w:ind w:firstLine="480" w:firstLineChars="200"/>
        <w:rPr>
          <w:rFonts w:hAnsi="Times New Roman" w:eastAsia="宋体"/>
          <w:lang w:eastAsia="zh-CN"/>
        </w:rPr>
      </w:pPr>
      <w:r>
        <w:rPr>
          <w:rFonts w:hAnsi="Times New Roman" w:eastAsia="宋体"/>
          <w:lang w:eastAsia="zh-CN"/>
        </w:rPr>
        <w:t>3、矿方地质测量科按有关规程定期进行地表变形、沉陷观察，做好各种事故预防预案工作。按照本次评价提出的监测计划对污染源和环境质量进行监测。</w:t>
      </w:r>
    </w:p>
    <w:p>
      <w:pPr>
        <w:spacing w:line="360" w:lineRule="auto"/>
        <w:ind w:firstLine="480" w:firstLineChars="200"/>
        <w:rPr>
          <w:rFonts w:hAnsi="Times New Roman" w:eastAsia="宋体"/>
          <w:lang w:eastAsia="zh-CN"/>
        </w:rPr>
      </w:pPr>
      <w:r>
        <w:rPr>
          <w:rFonts w:hAnsi="Times New Roman" w:eastAsia="宋体"/>
          <w:lang w:eastAsia="zh-CN"/>
        </w:rPr>
        <w:t>4、强化排污口规范管理。</w:t>
      </w:r>
    </w:p>
    <w:p>
      <w:pPr>
        <w:pStyle w:val="5"/>
        <w:rPr>
          <w:rFonts w:ascii="Times New Roman" w:hAnsi="Times New Roman"/>
          <w:lang w:eastAsia="zh-CN"/>
        </w:rPr>
      </w:pPr>
      <w:bookmarkStart w:id="922" w:name="_Toc163749257"/>
      <w:bookmarkStart w:id="923" w:name="_Toc167095431"/>
      <w:r>
        <w:rPr>
          <w:rFonts w:ascii="Times New Roman" w:hAnsi="Times New Roman"/>
          <w:lang w:eastAsia="zh-CN"/>
        </w:rPr>
        <w:t>19.4 项目环境可行性综合结论</w:t>
      </w:r>
      <w:bookmarkEnd w:id="922"/>
      <w:bookmarkEnd w:id="923"/>
    </w:p>
    <w:p>
      <w:pPr>
        <w:spacing w:line="360" w:lineRule="auto"/>
        <w:ind w:firstLine="480" w:firstLineChars="200"/>
        <w:rPr>
          <w:rFonts w:hAnsi="Times New Roman" w:eastAsia="宋体"/>
          <w:lang w:eastAsia="zh-CN"/>
        </w:rPr>
      </w:pPr>
      <w:r>
        <w:rPr>
          <w:rFonts w:hAnsi="Times New Roman" w:eastAsia="宋体"/>
          <w:lang w:eastAsia="zh-CN"/>
        </w:rPr>
        <w:t>达州市宣汉县七里峡煤业有限公司七里峡煤矿扩建工程项目符合国家产业政策；符合国家及地方有关矿产资源规划要求；项目选择的开采方案、设备满足相关规范要求。项目建成后会产生一定的废水、废气、噪声和固体废物等污染，通过落实相关环保措施后，各种污染物均可得到有效控制。</w:t>
      </w:r>
    </w:p>
    <w:p>
      <w:pPr>
        <w:spacing w:line="360" w:lineRule="auto"/>
        <w:ind w:firstLine="480" w:firstLineChars="200"/>
        <w:rPr>
          <w:rFonts w:hAnsi="Times New Roman" w:eastAsia="宋体"/>
          <w:lang w:eastAsia="zh-CN"/>
        </w:rPr>
      </w:pPr>
      <w:r>
        <w:rPr>
          <w:rFonts w:hAnsi="Times New Roman" w:eastAsia="宋体"/>
          <w:lang w:eastAsia="zh-CN"/>
        </w:rPr>
        <w:t>因此，本评价认为建设单位在建设及运行过程中加强环境管理及环境监测制度，严格执行“三同时”制度、落实环评报告中提出的各项污染防治措施的前提下，从环境影响的角度，项目的建设是可行的。</w:t>
      </w:r>
    </w:p>
    <w:p>
      <w:pPr>
        <w:pStyle w:val="5"/>
        <w:rPr>
          <w:rFonts w:ascii="Times New Roman" w:hAnsi="Times New Roman"/>
          <w:lang w:eastAsia="zh-CN"/>
        </w:rPr>
      </w:pPr>
      <w:bookmarkStart w:id="924" w:name="_Toc163749258"/>
      <w:bookmarkStart w:id="925" w:name="_Toc167095432"/>
      <w:r>
        <w:rPr>
          <w:rFonts w:ascii="Times New Roman" w:hAnsi="Times New Roman"/>
          <w:lang w:eastAsia="zh-CN"/>
        </w:rPr>
        <w:t>19.5 建议</w:t>
      </w:r>
      <w:bookmarkEnd w:id="924"/>
      <w:bookmarkEnd w:id="925"/>
    </w:p>
    <w:p>
      <w:pPr>
        <w:pStyle w:val="6"/>
        <w:rPr>
          <w:lang w:eastAsia="zh-CN"/>
        </w:rPr>
      </w:pPr>
      <w:bookmarkStart w:id="926" w:name="_Toc163812808"/>
      <w:bookmarkStart w:id="927" w:name="_Toc167095433"/>
      <w:r>
        <w:rPr>
          <w:lang w:eastAsia="zh-CN"/>
        </w:rPr>
        <w:t>19.5.1 环评要求</w:t>
      </w:r>
      <w:bookmarkEnd w:id="926"/>
      <w:bookmarkEnd w:id="927"/>
    </w:p>
    <w:p>
      <w:pPr>
        <w:spacing w:line="360" w:lineRule="auto"/>
        <w:ind w:firstLine="480" w:firstLineChars="200"/>
        <w:rPr>
          <w:rFonts w:hAnsi="Times New Roman" w:eastAsia="宋体"/>
          <w:lang w:eastAsia="zh-CN"/>
        </w:rPr>
      </w:pPr>
      <w:r>
        <w:rPr>
          <w:rFonts w:hAnsi="Times New Roman" w:eastAsia="宋体"/>
          <w:lang w:eastAsia="zh-CN"/>
        </w:rPr>
        <w:t>1、在工程设计投资预算中，必须落实和保证环保投资经费，工程建设中严格执行环保设施与主体设施“三同时”原则，并及时做好迹地恢复。</w:t>
      </w:r>
    </w:p>
    <w:p>
      <w:pPr>
        <w:spacing w:line="360" w:lineRule="auto"/>
        <w:ind w:firstLine="480" w:firstLineChars="200"/>
        <w:rPr>
          <w:rFonts w:hAnsi="Times New Roman" w:eastAsia="宋体"/>
          <w:lang w:eastAsia="zh-CN"/>
        </w:rPr>
      </w:pPr>
      <w:r>
        <w:rPr>
          <w:rFonts w:hAnsi="Times New Roman" w:eastAsia="宋体"/>
          <w:lang w:eastAsia="zh-CN"/>
        </w:rPr>
        <w:t>2、严格落实环评提出的各项环保措施，尤其是“以新带老”环保措施。</w:t>
      </w:r>
    </w:p>
    <w:p>
      <w:pPr>
        <w:spacing w:line="360" w:lineRule="auto"/>
        <w:ind w:firstLine="480" w:firstLineChars="200"/>
        <w:rPr>
          <w:rFonts w:hAnsi="Times New Roman" w:eastAsia="宋体"/>
          <w:lang w:eastAsia="zh-CN"/>
        </w:rPr>
      </w:pPr>
      <w:r>
        <w:rPr>
          <w:rFonts w:hAnsi="Times New Roman" w:eastAsia="宋体"/>
          <w:lang w:eastAsia="zh-CN"/>
        </w:rPr>
        <w:t>3、加强污染源管理及危险化学品安全管理，建立相关的规章制度及档案，控制污染及风险事故的发生。</w:t>
      </w:r>
    </w:p>
    <w:p>
      <w:pPr>
        <w:spacing w:line="360" w:lineRule="auto"/>
        <w:ind w:firstLine="480" w:firstLineChars="200"/>
        <w:rPr>
          <w:rFonts w:hAnsi="Times New Roman" w:eastAsia="宋体"/>
          <w:lang w:eastAsia="zh-CN"/>
        </w:rPr>
      </w:pPr>
      <w:r>
        <w:rPr>
          <w:rFonts w:hAnsi="Times New Roman" w:eastAsia="宋体"/>
          <w:lang w:eastAsia="zh-CN"/>
        </w:rPr>
        <w:t>4、加强管理，建立、健全生产环保规章制度：严格在岗人员操作管理，操作人员须通过培训和定期考核，方可上岗；与此同时，加强设备、管道、各项治污措施的定期检修和维护工作。</w:t>
      </w:r>
    </w:p>
    <w:p>
      <w:pPr>
        <w:spacing w:line="360" w:lineRule="auto"/>
        <w:ind w:firstLine="480" w:firstLineChars="200"/>
        <w:rPr>
          <w:rFonts w:hAnsi="Times New Roman" w:eastAsia="宋体"/>
          <w:lang w:eastAsia="zh-CN"/>
        </w:rPr>
      </w:pPr>
      <w:r>
        <w:rPr>
          <w:rFonts w:hAnsi="Times New Roman" w:eastAsia="宋体"/>
          <w:lang w:eastAsia="zh-CN"/>
        </w:rPr>
        <w:t>5、建立相应环保机构，配置专职环保人员。由监测资质单位定期对污染源和周围环境进行监测，并建立污染源管理档案。</w:t>
      </w:r>
    </w:p>
    <w:p>
      <w:pPr>
        <w:spacing w:line="360" w:lineRule="auto"/>
        <w:ind w:firstLine="480" w:firstLineChars="200"/>
        <w:rPr>
          <w:rFonts w:hAnsi="Times New Roman" w:eastAsia="宋体"/>
          <w:lang w:eastAsia="zh-CN"/>
        </w:rPr>
      </w:pPr>
      <w:r>
        <w:rPr>
          <w:rFonts w:hAnsi="Times New Roman" w:eastAsia="宋体"/>
          <w:lang w:eastAsia="zh-CN"/>
        </w:rPr>
        <w:t>6、切实保护当地地表水水质和水资源，严禁污染废水、有毒有害物料排入水体。</w:t>
      </w:r>
    </w:p>
    <w:p>
      <w:pPr>
        <w:spacing w:line="360" w:lineRule="auto"/>
        <w:ind w:firstLine="480" w:firstLineChars="200"/>
        <w:rPr>
          <w:rFonts w:hAnsi="Times New Roman" w:eastAsia="宋体"/>
          <w:lang w:eastAsia="zh-CN"/>
        </w:rPr>
      </w:pPr>
      <w:r>
        <w:rPr>
          <w:rFonts w:hAnsi="Times New Roman" w:eastAsia="宋体"/>
          <w:lang w:eastAsia="zh-CN"/>
        </w:rPr>
        <w:t>7、落实生态保护措施，控制水土流失。</w:t>
      </w:r>
    </w:p>
    <w:p>
      <w:pPr>
        <w:pStyle w:val="6"/>
        <w:rPr>
          <w:lang w:eastAsia="zh-CN"/>
        </w:rPr>
      </w:pPr>
      <w:bookmarkStart w:id="928" w:name="_Toc163812809"/>
      <w:bookmarkStart w:id="929" w:name="_Toc167095434"/>
      <w:r>
        <w:rPr>
          <w:lang w:eastAsia="zh-CN"/>
        </w:rPr>
        <w:t>19.5.2 建议</w:t>
      </w:r>
      <w:bookmarkEnd w:id="928"/>
      <w:bookmarkEnd w:id="929"/>
    </w:p>
    <w:p>
      <w:pPr>
        <w:spacing w:line="360" w:lineRule="auto"/>
        <w:ind w:firstLine="480" w:firstLineChars="200"/>
        <w:rPr>
          <w:rFonts w:hAnsi="Times New Roman" w:eastAsia="宋体"/>
          <w:lang w:eastAsia="zh-CN"/>
        </w:rPr>
      </w:pPr>
      <w:r>
        <w:rPr>
          <w:rFonts w:hAnsi="Times New Roman" w:eastAsia="宋体"/>
          <w:lang w:eastAsia="zh-CN"/>
        </w:rPr>
        <w:t>1、制定矿井开采后可能产生的地质灾害不良影响的监控、应对和补救措施，将影响的发生频率及影响程度控制在最低范围。</w:t>
      </w:r>
    </w:p>
    <w:p>
      <w:pPr>
        <w:spacing w:line="360" w:lineRule="auto"/>
        <w:ind w:firstLine="480" w:firstLineChars="200"/>
        <w:rPr>
          <w:rFonts w:hAnsi="Times New Roman" w:eastAsia="宋体"/>
          <w:lang w:eastAsia="zh-CN"/>
        </w:rPr>
      </w:pPr>
      <w:r>
        <w:rPr>
          <w:rFonts w:hAnsi="Times New Roman" w:eastAsia="宋体"/>
          <w:lang w:eastAsia="zh-CN"/>
        </w:rPr>
        <w:t>2、水土保持工程中的绿化，应选用当地植物（乔、灌、草），注意生物安全问题。</w:t>
      </w:r>
    </w:p>
    <w:p>
      <w:pPr>
        <w:spacing w:line="360" w:lineRule="auto"/>
        <w:ind w:firstLine="480" w:firstLineChars="200"/>
        <w:rPr>
          <w:rFonts w:hAnsi="Times New Roman" w:eastAsia="宋体"/>
          <w:lang w:eastAsia="zh-CN"/>
        </w:rPr>
      </w:pPr>
      <w:r>
        <w:rPr>
          <w:rFonts w:hAnsi="Times New Roman" w:eastAsia="宋体"/>
          <w:lang w:eastAsia="zh-CN"/>
        </w:rPr>
        <w:t>3、矿区应加强绿化，可铺植草坪或种植对大气含尘浓度不产生有害影响的树木和灌丛，尽量减少厂区内裸土面积。</w:t>
      </w:r>
    </w:p>
    <w:p>
      <w:pPr>
        <w:spacing w:line="360" w:lineRule="auto"/>
        <w:ind w:firstLine="480" w:firstLineChars="200"/>
        <w:rPr>
          <w:rFonts w:hAnsi="Times New Roman" w:eastAsia="宋体"/>
          <w:lang w:eastAsia="zh-CN"/>
        </w:rPr>
      </w:pPr>
      <w:r>
        <w:rPr>
          <w:rFonts w:hAnsi="Times New Roman" w:eastAsia="宋体"/>
          <w:lang w:eastAsia="zh-CN"/>
        </w:rPr>
        <w:t>4、在实际生产过程中，尽量降低物耗、能耗，提高水的循环重复使用率，将本项目的环境污染影响控制在最低水平。</w:t>
      </w:r>
    </w:p>
    <w:p>
      <w:pPr>
        <w:spacing w:line="360" w:lineRule="auto"/>
        <w:ind w:firstLine="480" w:firstLineChars="200"/>
        <w:rPr>
          <w:rFonts w:hAnsi="Times New Roman" w:eastAsia="宋体"/>
          <w:lang w:eastAsia="zh-CN"/>
        </w:rPr>
      </w:pPr>
      <w:r>
        <w:rPr>
          <w:rFonts w:hAnsi="Times New Roman" w:eastAsia="宋体"/>
          <w:lang w:eastAsia="zh-CN"/>
        </w:rPr>
        <w:t>5、推行“安全、环境与健康（HSE）”管理体系，更好地做到安全生产、风险防范、污染预防及持续改进各项环境保护、安全生产工作。</w:t>
      </w:r>
    </w:p>
    <w:p>
      <w:pPr>
        <w:spacing w:line="360" w:lineRule="auto"/>
        <w:ind w:firstLine="480" w:firstLineChars="200"/>
        <w:rPr>
          <w:rFonts w:hAnsi="Times New Roman" w:eastAsia="宋体"/>
          <w:lang w:eastAsia="zh-CN"/>
        </w:rPr>
      </w:pPr>
      <w:r>
        <w:rPr>
          <w:rFonts w:hAnsi="Times New Roman" w:eastAsia="宋体"/>
          <w:lang w:eastAsia="zh-CN"/>
        </w:rPr>
        <w:t>6、开展多渠道的矸石综合利用研究，在减少污染物排放的同时，可获得一定的经济效益。</w:t>
      </w:r>
    </w:p>
    <w:p>
      <w:pPr>
        <w:spacing w:line="360" w:lineRule="auto"/>
        <w:ind w:firstLine="480" w:firstLineChars="200"/>
        <w:rPr>
          <w:rFonts w:hAnsi="Times New Roman" w:eastAsia="宋体"/>
          <w:lang w:eastAsia="zh-CN"/>
        </w:rPr>
      </w:pPr>
      <w:r>
        <w:rPr>
          <w:rFonts w:hAnsi="Times New Roman" w:eastAsia="宋体"/>
          <w:lang w:eastAsia="zh-CN"/>
        </w:rPr>
        <w:t>7、加强员工的教育管理，使其在生产中、生活中自觉保护环境。</w:t>
      </w:r>
    </w:p>
    <w:sectPr>
      <w:pgSz w:w="11905" w:h="16838"/>
      <w:pgMar w:top="1440" w:right="1304" w:bottom="1440" w:left="1474" w:header="850" w:footer="992" w:gutter="0"/>
      <w:cols w:space="0" w:num="1"/>
      <w:docGrid w:type="lines" w:linePitch="338"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ourier">
    <w:altName w:val="Courier New"/>
    <w:panose1 w:val="02070409020205020404"/>
    <w:charset w:val="00"/>
    <w:family w:val="modern"/>
    <w:pitch w:val="default"/>
    <w:sig w:usb0="00000000" w:usb1="00000000" w:usb2="00000000" w:usb3="00000000" w:csb0="00000001" w:csb1="00000000"/>
  </w:font>
  <w:font w:name="PMingLiU">
    <w:panose1 w:val="02020500000000000000"/>
    <w:charset w:val="88"/>
    <w:family w:val="roman"/>
    <w:pitch w:val="default"/>
    <w:sig w:usb0="A00002FF" w:usb1="28CFFCFA" w:usb2="00000016" w:usb3="00000000" w:csb0="00100001" w:csb1="00000000"/>
  </w:font>
  <w:font w:name="等线">
    <w:altName w:val="Arial Unicode MS"/>
    <w:panose1 w:val="02010600030101010101"/>
    <w:charset w:val="86"/>
    <w:family w:val="auto"/>
    <w:pitch w:val="default"/>
    <w:sig w:usb0="00000000" w:usb1="00000000" w:usb2="00000016" w:usb3="00000000" w:csb0="0004000F" w:csb1="00000000"/>
  </w:font>
  <w:font w:name="Cambria">
    <w:panose1 w:val="02040503050406030204"/>
    <w:charset w:val="00"/>
    <w:family w:val="roman"/>
    <w:pitch w:val="default"/>
    <w:sig w:usb0="E00002FF" w:usb1="400004FF" w:usb2="00000000" w:usb3="00000000" w:csb0="2000019F" w:csb1="00000000"/>
  </w:font>
  <w:font w:name="楷体">
    <w:panose1 w:val="02010609060101010101"/>
    <w:charset w:val="86"/>
    <w:family w:val="modern"/>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font>
  <w:font w:name="Arial Narrow">
    <w:panose1 w:val="020B0606020202030204"/>
    <w:charset w:val="00"/>
    <w:family w:val="swiss"/>
    <w:pitch w:val="default"/>
    <w:sig w:usb0="00000287" w:usb1="00000800" w:usb2="00000000" w:usb3="00000000" w:csb0="2000009F" w:csb1="DFD70000"/>
  </w:font>
  <w:font w:name="华文细黑">
    <w:panose1 w:val="02010600040101010101"/>
    <w:charset w:val="86"/>
    <w:family w:val="auto"/>
    <w:pitch w:val="default"/>
    <w:sig w:usb0="00000287" w:usb1="080F0000" w:usb2="00000000" w:usb3="00000000" w:csb0="0004009F" w:csb1="DFD70000"/>
  </w:font>
  <w:font w:name="Calibri Light">
    <w:panose1 w:val="020F0302020204030204"/>
    <w:charset w:val="00"/>
    <w:family w:val="swiss"/>
    <w:pitch w:val="default"/>
    <w:sig w:usb0="A00002EF" w:usb1="4000207B" w:usb2="00000000" w:usb3="00000000" w:csb0="2000019F" w:csb1="00000000"/>
  </w:font>
  <w:font w:name="Cambria Math">
    <w:panose1 w:val="02040503050406030204"/>
    <w:charset w:val="00"/>
    <w:family w:val="roman"/>
    <w:pitch w:val="default"/>
    <w:sig w:usb0="E00002FF" w:usb1="420024FF" w:usb2="00000000" w:usb3="00000000" w:csb0="2000019F" w:csb1="00000000"/>
  </w:font>
  <w:font w:name="Wingdings 2">
    <w:panose1 w:val="05020102010507070707"/>
    <w:charset w:val="02"/>
    <w:family w:val="roman"/>
    <w:pitch w:val="default"/>
    <w:sig w:usb0="00000000" w:usb1="00000000" w:usb2="00000000" w:usb3="00000000" w:csb0="80000000" w:csb1="00000000"/>
  </w:font>
  <w:font w:name="Arial Unicode MS">
    <w:panose1 w:val="020B0604020202020204"/>
    <w:charset w:val="86"/>
    <w:family w:val="auto"/>
    <w:pitch w:val="default"/>
    <w:sig w:usb0="FFFFFFFF" w:usb1="E9FFFFFF" w:usb2="0000003F" w:usb3="00000000" w:csb0="603F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97" name="文本框 9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0"/>
                            <w:rPr>
                              <w:rFonts w:eastAsia="宋体"/>
                              <w:lang w:eastAsia="zh-CN"/>
                            </w:rPr>
                          </w:pPr>
                          <w:r>
                            <w:rPr>
                              <w:rFonts w:hint="eastAsia" w:eastAsia="宋体"/>
                              <w:lang w:eastAsia="zh-CN"/>
                            </w:rPr>
                            <w:fldChar w:fldCharType="begin"/>
                          </w:r>
                          <w:r>
                            <w:rPr>
                              <w:rFonts w:hint="eastAsia" w:eastAsia="宋体"/>
                              <w:lang w:eastAsia="zh-CN"/>
                            </w:rPr>
                            <w:instrText xml:space="preserve"> PAGE  \* MERGEFORMAT </w:instrText>
                          </w:r>
                          <w:r>
                            <w:rPr>
                              <w:rFonts w:hint="eastAsia" w:eastAsia="宋体"/>
                              <w:lang w:eastAsia="zh-CN"/>
                            </w:rPr>
                            <w:fldChar w:fldCharType="separate"/>
                          </w:r>
                          <w:r>
                            <w:rPr>
                              <w:rFonts w:hint="eastAsia" w:eastAsia="宋体"/>
                              <w:lang w:eastAsia="zh-CN"/>
                            </w:rPr>
                            <w:t>1</w:t>
                          </w:r>
                          <w:r>
                            <w:rPr>
                              <w:rFonts w:hint="eastAsia" w:eastAsia="宋体"/>
                              <w:lang w:eastAsia="zh-CN"/>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C7gwGItAgAAVwQAAA4AAAAAAAAAAQAgAAAAHwEAAGRycy9lMm9Eb2MueG1sUEsFBgAAAAAG&#10;AAYAWQEAAL4FAAAAAA==&#10;">
              <v:fill on="f" focussize="0,0"/>
              <v:stroke on="f" weight="0.5pt"/>
              <v:imagedata o:title=""/>
              <o:lock v:ext="edit" aspectratio="f"/>
              <v:textbox inset="0mm,0mm,0mm,0mm" style="mso-fit-shape-to-text:t;">
                <w:txbxContent>
                  <w:p>
                    <w:pPr>
                      <w:pStyle w:val="20"/>
                      <w:rPr>
                        <w:rFonts w:eastAsia="宋体"/>
                        <w:lang w:eastAsia="zh-CN"/>
                      </w:rPr>
                    </w:pPr>
                    <w:r>
                      <w:rPr>
                        <w:rFonts w:hint="eastAsia" w:eastAsia="宋体"/>
                        <w:lang w:eastAsia="zh-CN"/>
                      </w:rPr>
                      <w:fldChar w:fldCharType="begin"/>
                    </w:r>
                    <w:r>
                      <w:rPr>
                        <w:rFonts w:hint="eastAsia" w:eastAsia="宋体"/>
                        <w:lang w:eastAsia="zh-CN"/>
                      </w:rPr>
                      <w:instrText xml:space="preserve"> PAGE  \* MERGEFORMAT </w:instrText>
                    </w:r>
                    <w:r>
                      <w:rPr>
                        <w:rFonts w:hint="eastAsia" w:eastAsia="宋体"/>
                        <w:lang w:eastAsia="zh-CN"/>
                      </w:rPr>
                      <w:fldChar w:fldCharType="separate"/>
                    </w:r>
                    <w:r>
                      <w:rPr>
                        <w:rFonts w:hint="eastAsia" w:eastAsia="宋体"/>
                        <w:lang w:eastAsia="zh-CN"/>
                      </w:rPr>
                      <w:t>1</w:t>
                    </w:r>
                    <w:r>
                      <w:rPr>
                        <w:rFonts w:hint="eastAsia" w:eastAsia="宋体"/>
                        <w:lang w:eastAsia="zh-CN"/>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kinsoku w:val="0"/>
      <w:overflowPunct w:val="0"/>
      <w:spacing w:line="14" w:lineRule="auto"/>
      <w:rPr>
        <w:sz w:val="20"/>
      </w:rPr>
    </w:pPr>
    <w:r>
      <w:rPr>
        <w:sz w:val="20"/>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0"/>
                            <w:rPr>
                              <w:rFonts w:eastAsia="宋体"/>
                              <w:lang w:eastAsia="zh-CN"/>
                            </w:rPr>
                          </w:pPr>
                          <w:r>
                            <w:rPr>
                              <w:rFonts w:hint="eastAsia" w:eastAsia="宋体"/>
                              <w:lang w:eastAsia="zh-CN"/>
                            </w:rPr>
                            <w:fldChar w:fldCharType="begin"/>
                          </w:r>
                          <w:r>
                            <w:rPr>
                              <w:rFonts w:hint="eastAsia" w:eastAsia="宋体"/>
                              <w:lang w:eastAsia="zh-CN"/>
                            </w:rPr>
                            <w:instrText xml:space="preserve"> PAGE  \* MERGEFORMAT </w:instrText>
                          </w:r>
                          <w:r>
                            <w:rPr>
                              <w:rFonts w:hint="eastAsia" w:eastAsia="宋体"/>
                              <w:lang w:eastAsia="zh-CN"/>
                            </w:rPr>
                            <w:fldChar w:fldCharType="separate"/>
                          </w:r>
                          <w:r>
                            <w:rPr>
                              <w:rFonts w:hint="eastAsia" w:eastAsia="宋体"/>
                              <w:lang w:eastAsia="zh-CN"/>
                            </w:rPr>
                            <w:t>103</w:t>
                          </w:r>
                          <w:r>
                            <w:rPr>
                              <w:rFonts w:hint="eastAsia" w:eastAsia="宋体"/>
                              <w:lang w:eastAsia="zh-CN"/>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ILIswsAgAAVwQAAA4AAABkcnMvZTJvRG9jLnhtbK1UzY7TMBC+I/EO&#10;lu80bVes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1dvx+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MgsizCwCAABXBAAADgAAAAAAAAABACAAAAAfAQAAZHJzL2Uyb0RvYy54bWxQSwUGAAAAAAYA&#10;BgBZAQAAvQUAAAAA&#10;">
              <v:fill on="f" focussize="0,0"/>
              <v:stroke on="f" weight="0.5pt"/>
              <v:imagedata o:title=""/>
              <o:lock v:ext="edit" aspectratio="f"/>
              <v:textbox inset="0mm,0mm,0mm,0mm" style="mso-fit-shape-to-text:t;">
                <w:txbxContent>
                  <w:p>
                    <w:pPr>
                      <w:pStyle w:val="20"/>
                      <w:rPr>
                        <w:rFonts w:eastAsia="宋体"/>
                        <w:lang w:eastAsia="zh-CN"/>
                      </w:rPr>
                    </w:pPr>
                    <w:r>
                      <w:rPr>
                        <w:rFonts w:hint="eastAsia" w:eastAsia="宋体"/>
                        <w:lang w:eastAsia="zh-CN"/>
                      </w:rPr>
                      <w:fldChar w:fldCharType="begin"/>
                    </w:r>
                    <w:r>
                      <w:rPr>
                        <w:rFonts w:hint="eastAsia" w:eastAsia="宋体"/>
                        <w:lang w:eastAsia="zh-CN"/>
                      </w:rPr>
                      <w:instrText xml:space="preserve"> PAGE  \* MERGEFORMAT </w:instrText>
                    </w:r>
                    <w:r>
                      <w:rPr>
                        <w:rFonts w:hint="eastAsia" w:eastAsia="宋体"/>
                        <w:lang w:eastAsia="zh-CN"/>
                      </w:rPr>
                      <w:fldChar w:fldCharType="separate"/>
                    </w:r>
                    <w:r>
                      <w:rPr>
                        <w:rFonts w:hint="eastAsia" w:eastAsia="宋体"/>
                        <w:lang w:eastAsia="zh-CN"/>
                      </w:rPr>
                      <w:t>103</w:t>
                    </w:r>
                    <w:r>
                      <w:rPr>
                        <w:rFonts w:hint="eastAsia" w:eastAsia="宋体"/>
                        <w:lang w:eastAsia="zh-CN"/>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kinsoku w:val="0"/>
      <w:overflowPunct w:val="0"/>
      <w:spacing w:line="14" w:lineRule="auto"/>
      <w:rPr>
        <w:sz w:val="20"/>
      </w:rPr>
    </w:pPr>
    <w:r>
      <w:rPr>
        <w:sz w:val="20"/>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35" name="文本框 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0"/>
                            <w:rPr>
                              <w:rFonts w:eastAsia="宋体"/>
                              <w:lang w:eastAsia="zh-CN"/>
                            </w:rPr>
                          </w:pPr>
                          <w:r>
                            <w:rPr>
                              <w:rFonts w:hint="eastAsia" w:eastAsia="宋体"/>
                              <w:lang w:eastAsia="zh-CN"/>
                            </w:rPr>
                            <w:fldChar w:fldCharType="begin"/>
                          </w:r>
                          <w:r>
                            <w:rPr>
                              <w:rFonts w:hint="eastAsia" w:eastAsia="宋体"/>
                              <w:lang w:eastAsia="zh-CN"/>
                            </w:rPr>
                            <w:instrText xml:space="preserve"> PAGE  \* MERGEFORMAT </w:instrText>
                          </w:r>
                          <w:r>
                            <w:rPr>
                              <w:rFonts w:hint="eastAsia" w:eastAsia="宋体"/>
                              <w:lang w:eastAsia="zh-CN"/>
                            </w:rPr>
                            <w:fldChar w:fldCharType="separate"/>
                          </w:r>
                          <w:r>
                            <w:rPr>
                              <w:rFonts w:hint="eastAsia" w:eastAsia="宋体"/>
                              <w:lang w:eastAsia="zh-CN"/>
                            </w:rPr>
                            <w:t>132</w:t>
                          </w:r>
                          <w:r>
                            <w:rPr>
                              <w:rFonts w:hint="eastAsia" w:eastAsia="宋体"/>
                              <w:lang w:eastAsia="zh-CN"/>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OxXU/0tAgAAVwQAAA4AAAAAAAAAAQAgAAAAHwEAAGRycy9lMm9Eb2MueG1sUEsFBgAAAAAG&#10;AAYAWQEAAL4FAAAAAA==&#10;">
              <v:fill on="f" focussize="0,0"/>
              <v:stroke on="f" weight="0.5pt"/>
              <v:imagedata o:title=""/>
              <o:lock v:ext="edit" aspectratio="f"/>
              <v:textbox inset="0mm,0mm,0mm,0mm" style="mso-fit-shape-to-text:t;">
                <w:txbxContent>
                  <w:p>
                    <w:pPr>
                      <w:pStyle w:val="20"/>
                      <w:rPr>
                        <w:rFonts w:eastAsia="宋体"/>
                        <w:lang w:eastAsia="zh-CN"/>
                      </w:rPr>
                    </w:pPr>
                    <w:r>
                      <w:rPr>
                        <w:rFonts w:hint="eastAsia" w:eastAsia="宋体"/>
                        <w:lang w:eastAsia="zh-CN"/>
                      </w:rPr>
                      <w:fldChar w:fldCharType="begin"/>
                    </w:r>
                    <w:r>
                      <w:rPr>
                        <w:rFonts w:hint="eastAsia" w:eastAsia="宋体"/>
                        <w:lang w:eastAsia="zh-CN"/>
                      </w:rPr>
                      <w:instrText xml:space="preserve"> PAGE  \* MERGEFORMAT </w:instrText>
                    </w:r>
                    <w:r>
                      <w:rPr>
                        <w:rFonts w:hint="eastAsia" w:eastAsia="宋体"/>
                        <w:lang w:eastAsia="zh-CN"/>
                      </w:rPr>
                      <w:fldChar w:fldCharType="separate"/>
                    </w:r>
                    <w:r>
                      <w:rPr>
                        <w:rFonts w:hint="eastAsia" w:eastAsia="宋体"/>
                        <w:lang w:eastAsia="zh-CN"/>
                      </w:rPr>
                      <w:t>132</w:t>
                    </w:r>
                    <w:r>
                      <w:rPr>
                        <w:rFonts w:hint="eastAsia" w:eastAsia="宋体"/>
                        <w:lang w:eastAsia="zh-CN"/>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kinsoku w:val="0"/>
      <w:overflowPunct w:val="0"/>
      <w:spacing w:line="14" w:lineRule="auto"/>
      <w:rPr>
        <w:sz w:val="18"/>
      </w:rPr>
    </w:pPr>
    <w:r>
      <w:rPr>
        <w:sz w:val="18"/>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95" name="文本框 9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0"/>
                            <w:rPr>
                              <w:rFonts w:eastAsia="宋体"/>
                              <w:lang w:eastAsia="zh-CN"/>
                            </w:rPr>
                          </w:pPr>
                          <w:r>
                            <w:rPr>
                              <w:rFonts w:hint="eastAsia" w:eastAsia="宋体"/>
                              <w:lang w:eastAsia="zh-CN"/>
                            </w:rPr>
                            <w:fldChar w:fldCharType="begin"/>
                          </w:r>
                          <w:r>
                            <w:rPr>
                              <w:rFonts w:hint="eastAsia" w:eastAsia="宋体"/>
                              <w:lang w:eastAsia="zh-CN"/>
                            </w:rPr>
                            <w:instrText xml:space="preserve"> PAGE  \* MERGEFORMAT </w:instrText>
                          </w:r>
                          <w:r>
                            <w:rPr>
                              <w:rFonts w:hint="eastAsia" w:eastAsia="宋体"/>
                              <w:lang w:eastAsia="zh-CN"/>
                            </w:rPr>
                            <w:fldChar w:fldCharType="separate"/>
                          </w:r>
                          <w:r>
                            <w:rPr>
                              <w:rFonts w:hint="eastAsia" w:eastAsia="宋体"/>
                              <w:lang w:eastAsia="zh-CN"/>
                            </w:rPr>
                            <w:t>169</w:t>
                          </w:r>
                          <w:r>
                            <w:rPr>
                              <w:rFonts w:hint="eastAsia" w:eastAsia="宋体"/>
                              <w:lang w:eastAsia="zh-CN"/>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57ZuItAgAAVwQAAA4AAABkcnMvZTJvRG9jLnhtbK1UzY7TMBC+I/EO&#10;lu80adGuSt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57ZuItAgAAVwQAAA4AAAAAAAAAAQAgAAAAHwEAAGRycy9lMm9Eb2MueG1sUEsFBgAAAAAG&#10;AAYAWQEAAL4FAAAAAA==&#10;">
              <v:fill on="f" focussize="0,0"/>
              <v:stroke on="f" weight="0.5pt"/>
              <v:imagedata o:title=""/>
              <o:lock v:ext="edit" aspectratio="f"/>
              <v:textbox inset="0mm,0mm,0mm,0mm" style="mso-fit-shape-to-text:t;">
                <w:txbxContent>
                  <w:p>
                    <w:pPr>
                      <w:pStyle w:val="20"/>
                      <w:rPr>
                        <w:rFonts w:eastAsia="宋体"/>
                        <w:lang w:eastAsia="zh-CN"/>
                      </w:rPr>
                    </w:pPr>
                    <w:r>
                      <w:rPr>
                        <w:rFonts w:hint="eastAsia" w:eastAsia="宋体"/>
                        <w:lang w:eastAsia="zh-CN"/>
                      </w:rPr>
                      <w:fldChar w:fldCharType="begin"/>
                    </w:r>
                    <w:r>
                      <w:rPr>
                        <w:rFonts w:hint="eastAsia" w:eastAsia="宋体"/>
                        <w:lang w:eastAsia="zh-CN"/>
                      </w:rPr>
                      <w:instrText xml:space="preserve"> PAGE  \* MERGEFORMAT </w:instrText>
                    </w:r>
                    <w:r>
                      <w:rPr>
                        <w:rFonts w:hint="eastAsia" w:eastAsia="宋体"/>
                        <w:lang w:eastAsia="zh-CN"/>
                      </w:rPr>
                      <w:fldChar w:fldCharType="separate"/>
                    </w:r>
                    <w:r>
                      <w:rPr>
                        <w:rFonts w:hint="eastAsia" w:eastAsia="宋体"/>
                        <w:lang w:eastAsia="zh-CN"/>
                      </w:rPr>
                      <w:t>169</w:t>
                    </w:r>
                    <w:r>
                      <w:rPr>
                        <w:rFonts w:hint="eastAsia" w:eastAsia="宋体"/>
                        <w:lang w:eastAsia="zh-CN"/>
                      </w:rP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kinsoku w:val="0"/>
      <w:overflowPunct w:val="0"/>
      <w:spacing w:line="14" w:lineRule="auto"/>
      <w:rPr>
        <w:sz w:val="20"/>
      </w:rPr>
    </w:pPr>
    <w:r>
      <w:rPr>
        <w:sz w:val="24"/>
      </w:rP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96" name="文本框 9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0"/>
                            <w:rPr>
                              <w:rFonts w:eastAsia="宋体"/>
                              <w:lang w:eastAsia="zh-CN"/>
                            </w:rPr>
                          </w:pPr>
                          <w:r>
                            <w:rPr>
                              <w:rFonts w:hint="eastAsia" w:eastAsia="宋体"/>
                              <w:lang w:eastAsia="zh-CN"/>
                            </w:rPr>
                            <w:fldChar w:fldCharType="begin"/>
                          </w:r>
                          <w:r>
                            <w:rPr>
                              <w:rFonts w:hint="eastAsia" w:eastAsia="宋体"/>
                              <w:lang w:eastAsia="zh-CN"/>
                            </w:rPr>
                            <w:instrText xml:space="preserve"> PAGE  \* MERGEFORMAT </w:instrText>
                          </w:r>
                          <w:r>
                            <w:rPr>
                              <w:rFonts w:hint="eastAsia" w:eastAsia="宋体"/>
                              <w:lang w:eastAsia="zh-CN"/>
                            </w:rPr>
                            <w:fldChar w:fldCharType="separate"/>
                          </w:r>
                          <w:r>
                            <w:rPr>
                              <w:rFonts w:hint="eastAsia" w:eastAsia="宋体"/>
                              <w:lang w:eastAsia="zh-CN"/>
                            </w:rPr>
                            <w:t>223</w:t>
                          </w:r>
                          <w:r>
                            <w:rPr>
                              <w:rFonts w:hint="eastAsia" w:eastAsia="宋体"/>
                              <w:lang w:eastAsia="zh-CN"/>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atkyItAgAAVwQAAA4AAABkcnMvZTJvRG9jLnhtbK1UzY7TMBC+I/EO&#10;lu80aRFVqZ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IatkyItAgAAVwQAAA4AAAAAAAAAAQAgAAAAHwEAAGRycy9lMm9Eb2MueG1sUEsFBgAAAAAG&#10;AAYAWQEAAL4FAAAAAA==&#10;">
              <v:fill on="f" focussize="0,0"/>
              <v:stroke on="f" weight="0.5pt"/>
              <v:imagedata o:title=""/>
              <o:lock v:ext="edit" aspectratio="f"/>
              <v:textbox inset="0mm,0mm,0mm,0mm" style="mso-fit-shape-to-text:t;">
                <w:txbxContent>
                  <w:p>
                    <w:pPr>
                      <w:pStyle w:val="20"/>
                      <w:rPr>
                        <w:rFonts w:eastAsia="宋体"/>
                        <w:lang w:eastAsia="zh-CN"/>
                      </w:rPr>
                    </w:pPr>
                    <w:r>
                      <w:rPr>
                        <w:rFonts w:hint="eastAsia" w:eastAsia="宋体"/>
                        <w:lang w:eastAsia="zh-CN"/>
                      </w:rPr>
                      <w:fldChar w:fldCharType="begin"/>
                    </w:r>
                    <w:r>
                      <w:rPr>
                        <w:rFonts w:hint="eastAsia" w:eastAsia="宋体"/>
                        <w:lang w:eastAsia="zh-CN"/>
                      </w:rPr>
                      <w:instrText xml:space="preserve"> PAGE  \* MERGEFORMAT </w:instrText>
                    </w:r>
                    <w:r>
                      <w:rPr>
                        <w:rFonts w:hint="eastAsia" w:eastAsia="宋体"/>
                        <w:lang w:eastAsia="zh-CN"/>
                      </w:rPr>
                      <w:fldChar w:fldCharType="separate"/>
                    </w:r>
                    <w:r>
                      <w:rPr>
                        <w:rFonts w:hint="eastAsia" w:eastAsia="宋体"/>
                        <w:lang w:eastAsia="zh-CN"/>
                      </w:rPr>
                      <w:t>223</w:t>
                    </w:r>
                    <w:r>
                      <w:rPr>
                        <w:rFonts w:hint="eastAsia" w:eastAsia="宋体"/>
                        <w:lang w:eastAsia="zh-CN"/>
                      </w:rPr>
                      <w:fldChar w:fldCharType="end"/>
                    </w:r>
                  </w:p>
                </w:txbxContent>
              </v:textbox>
            </v:shape>
          </w:pict>
        </mc:Fallback>
      </mc:AlternateContent>
    </w:r>
    <w:r>
      <w:rPr>
        <w:sz w:val="24"/>
      </w:rPr>
      <mc:AlternateContent>
        <mc:Choice Requires="wps">
          <w:drawing>
            <wp:anchor distT="0" distB="0" distL="114300" distR="114300" simplePos="0" relativeHeight="251667456" behindDoc="1" locked="0" layoutInCell="1" allowOverlap="1">
              <wp:simplePos x="0" y="0"/>
              <wp:positionH relativeFrom="page">
                <wp:posOffset>3679825</wp:posOffset>
              </wp:positionH>
              <wp:positionV relativeFrom="page">
                <wp:posOffset>9909810</wp:posOffset>
              </wp:positionV>
              <wp:extent cx="199390" cy="13970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199390" cy="139700"/>
                      </a:xfrm>
                      <a:prstGeom prst="rect">
                        <a:avLst/>
                      </a:prstGeom>
                      <a:noFill/>
                      <a:ln>
                        <a:noFill/>
                      </a:ln>
                    </wps:spPr>
                    <wps:txbx>
                      <w:txbxContent>
                        <w:p>
                          <w:pPr>
                            <w:pStyle w:val="14"/>
                            <w:kinsoku w:val="0"/>
                            <w:overflowPunct w:val="0"/>
                            <w:spacing w:line="203" w:lineRule="exact"/>
                            <w:ind w:left="20"/>
                            <w:rPr>
                              <w:rFonts w:ascii="Calibri" w:hAnsi="Calibri" w:eastAsia="Calibri"/>
                              <w:sz w:val="18"/>
                            </w:rPr>
                          </w:pPr>
                        </w:p>
                      </w:txbxContent>
                    </wps:txbx>
                    <wps:bodyPr lIns="0" tIns="0" rIns="0" bIns="0" upright="1"/>
                  </wps:wsp>
                </a:graphicData>
              </a:graphic>
            </wp:anchor>
          </w:drawing>
        </mc:Choice>
        <mc:Fallback>
          <w:pict>
            <v:shape id="_x0000_s1026" o:spid="_x0000_s1026" o:spt="202" type="#_x0000_t202" style="position:absolute;left:0pt;margin-left:289.75pt;margin-top:780.3pt;height:11pt;width:15.7pt;mso-position-horizontal-relative:page;mso-position-vertical-relative:page;z-index:-251649024;mso-width-relative:page;mso-height-relative:page;" filled="f" stroked="f" coordsize="21600,21600" o:gfxdata="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DMT3YH2gAAAA0BAAAPAAAAAAAAAAEAIAAAACIAAABkcnMvZG93bnJldi54bWxQSwEC&#10;FAAUAAAACACHTuJAxssyeLkBAABzAwAADgAAAAAAAAABACAAAAApAQAAZHJzL2Uyb0RvYy54bWxQ&#10;SwUGAAAAAAYABgBZAQAAVAUAAAAA&#10;">
              <v:fill on="f" focussize="0,0"/>
              <v:stroke on="f"/>
              <v:imagedata o:title=""/>
              <o:lock v:ext="edit" aspectratio="f"/>
              <v:textbox inset="0mm,0mm,0mm,0mm">
                <w:txbxContent>
                  <w:p>
                    <w:pPr>
                      <w:pStyle w:val="14"/>
                      <w:kinsoku w:val="0"/>
                      <w:overflowPunct w:val="0"/>
                      <w:spacing w:line="203" w:lineRule="exact"/>
                      <w:ind w:left="20"/>
                      <w:rPr>
                        <w:rFonts w:ascii="Calibri" w:hAnsi="Calibri" w:eastAsia="Calibri"/>
                        <w:sz w:val="18"/>
                      </w:rPr>
                    </w:pP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kinsoku w:val="0"/>
      <w:overflowPunct w:val="0"/>
      <w:spacing w:line="14" w:lineRule="auto"/>
      <w:rPr>
        <w:sz w:val="20"/>
      </w:rPr>
    </w:pPr>
    <w:r>
      <w:rPr>
        <w:spacing w:val="2"/>
        <w:sz w:val="24"/>
      </w:rPr>
      <mc:AlternateContent>
        <mc:Choice Requires="wps">
          <w:drawing>
            <wp:anchor distT="0" distB="0" distL="114300" distR="114300" simplePos="0" relativeHeight="251676672" behindDoc="0" locked="0" layoutInCell="1" allowOverlap="1">
              <wp:simplePos x="0" y="0"/>
              <wp:positionH relativeFrom="margin">
                <wp:align>center</wp:align>
              </wp:positionH>
              <wp:positionV relativeFrom="page">
                <wp:posOffset>9909810</wp:posOffset>
              </wp:positionV>
              <wp:extent cx="212090" cy="139700"/>
              <wp:effectExtent l="0" t="0" r="0" b="0"/>
              <wp:wrapNone/>
              <wp:docPr id="181" name="文本框 181"/>
              <wp:cNvGraphicFramePr/>
              <a:graphic xmlns:a="http://schemas.openxmlformats.org/drawingml/2006/main">
                <a:graphicData uri="http://schemas.microsoft.com/office/word/2010/wordprocessingShape">
                  <wps:wsp>
                    <wps:cNvSpPr txBox="1"/>
                    <wps:spPr>
                      <a:xfrm>
                        <a:off x="0" y="0"/>
                        <a:ext cx="212090" cy="139700"/>
                      </a:xfrm>
                      <a:prstGeom prst="rect">
                        <a:avLst/>
                      </a:prstGeom>
                      <a:noFill/>
                      <a:ln>
                        <a:noFill/>
                      </a:ln>
                    </wps:spPr>
                    <wps:txbx>
                      <w:txbxContent>
                        <w:p>
                          <w:pPr>
                            <w:pStyle w:val="14"/>
                            <w:kinsoku w:val="0"/>
                            <w:overflowPunct w:val="0"/>
                            <w:spacing w:line="203" w:lineRule="exact"/>
                            <w:ind w:left="40"/>
                            <w:rPr>
                              <w:rFonts w:ascii="Calibri" w:hAnsi="Calibri" w:eastAsia="Calibri"/>
                              <w:sz w:val="18"/>
                            </w:rPr>
                          </w:pPr>
                          <w:r>
                            <w:rPr>
                              <w:rFonts w:hint="eastAsia" w:ascii="Calibri" w:hAnsi="Calibri" w:eastAsia="Calibri"/>
                              <w:sz w:val="18"/>
                            </w:rPr>
                            <w:fldChar w:fldCharType="begin"/>
                          </w:r>
                          <w:r>
                            <w:rPr>
                              <w:rFonts w:hint="eastAsia" w:ascii="Calibri" w:hAnsi="Calibri" w:eastAsia="Calibri"/>
                              <w:sz w:val="18"/>
                            </w:rPr>
                            <w:instrText xml:space="preserve"> PAGE </w:instrText>
                          </w:r>
                          <w:r>
                            <w:rPr>
                              <w:rFonts w:hint="eastAsia" w:ascii="Calibri" w:hAnsi="Calibri" w:eastAsia="Calibri"/>
                              <w:sz w:val="18"/>
                            </w:rPr>
                            <w:fldChar w:fldCharType="separate"/>
                          </w:r>
                          <w:r>
                            <w:rPr>
                              <w:rFonts w:ascii="Calibri" w:hAnsi="Calibri" w:eastAsia="Calibri"/>
                              <w:sz w:val="18"/>
                            </w:rPr>
                            <w:t>410</w:t>
                          </w:r>
                          <w:r>
                            <w:rPr>
                              <w:rFonts w:hint="eastAsia" w:ascii="Calibri" w:hAnsi="Calibri" w:eastAsia="Calibri"/>
                              <w:sz w:val="18"/>
                            </w:rPr>
                            <w:fldChar w:fldCharType="end"/>
                          </w:r>
                          <w:r>
                            <w:rPr>
                              <w:rFonts w:hint="eastAsia" w:ascii="Calibri" w:hAnsi="Calibri" w:eastAsia="Calibri"/>
                              <w:sz w:val="18"/>
                            </w:rPr>
                            <w:t>9</w:t>
                          </w:r>
                        </w:p>
                      </w:txbxContent>
                    </wps:txbx>
                    <wps:bodyPr lIns="0" tIns="0" rIns="0" bIns="0" upright="1"/>
                  </wps:wsp>
                </a:graphicData>
              </a:graphic>
            </wp:anchor>
          </w:drawing>
        </mc:Choice>
        <mc:Fallback>
          <w:pict>
            <v:shape id="_x0000_s1026" o:spid="_x0000_s1026" o:spt="202" type="#_x0000_t202" style="position:absolute;left:0pt;margin-top:780.3pt;height:11pt;width:16.7pt;mso-position-horizontal:center;mso-position-horizontal-relative:margin;mso-position-vertical-relative:page;z-index:251676672;mso-width-relative:page;mso-height-relative:page;" filled="f" stroked="f" coordsize="21600,21600" o:gfxdata="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Dioe0J1wAAAAkBAAAPAAAAAAAAAAEAIAAAACIAAABkcnMvZG93bnJldi54bWxQSwEC&#10;FAAUAAAACACHTuJAeAtyDLwBAAB1AwAADgAAAAAAAAABACAAAAAmAQAAZHJzL2Uyb0RvYy54bWxQ&#10;SwUGAAAAAAYABgBZAQAAVAUAAAAA&#10;">
              <v:fill on="f" focussize="0,0"/>
              <v:stroke on="f"/>
              <v:imagedata o:title=""/>
              <o:lock v:ext="edit" aspectratio="f"/>
              <v:textbox inset="0mm,0mm,0mm,0mm">
                <w:txbxContent>
                  <w:p>
                    <w:pPr>
                      <w:pStyle w:val="14"/>
                      <w:kinsoku w:val="0"/>
                      <w:overflowPunct w:val="0"/>
                      <w:spacing w:line="203" w:lineRule="exact"/>
                      <w:ind w:left="40"/>
                      <w:rPr>
                        <w:rFonts w:ascii="Calibri" w:hAnsi="Calibri" w:eastAsia="Calibri"/>
                        <w:sz w:val="18"/>
                      </w:rPr>
                    </w:pPr>
                    <w:r>
                      <w:rPr>
                        <w:rFonts w:hint="eastAsia" w:ascii="Calibri" w:hAnsi="Calibri" w:eastAsia="Calibri"/>
                        <w:sz w:val="18"/>
                      </w:rPr>
                      <w:fldChar w:fldCharType="begin"/>
                    </w:r>
                    <w:r>
                      <w:rPr>
                        <w:rFonts w:hint="eastAsia" w:ascii="Calibri" w:hAnsi="Calibri" w:eastAsia="Calibri"/>
                        <w:sz w:val="18"/>
                      </w:rPr>
                      <w:instrText xml:space="preserve"> PAGE </w:instrText>
                    </w:r>
                    <w:r>
                      <w:rPr>
                        <w:rFonts w:hint="eastAsia" w:ascii="Calibri" w:hAnsi="Calibri" w:eastAsia="Calibri"/>
                        <w:sz w:val="18"/>
                      </w:rPr>
                      <w:fldChar w:fldCharType="separate"/>
                    </w:r>
                    <w:r>
                      <w:rPr>
                        <w:rFonts w:ascii="Calibri" w:hAnsi="Calibri" w:eastAsia="Calibri"/>
                        <w:sz w:val="18"/>
                      </w:rPr>
                      <w:t>410</w:t>
                    </w:r>
                    <w:r>
                      <w:rPr>
                        <w:rFonts w:hint="eastAsia" w:ascii="Calibri" w:hAnsi="Calibri" w:eastAsia="Calibri"/>
                        <w:sz w:val="18"/>
                      </w:rPr>
                      <w:fldChar w:fldCharType="end"/>
                    </w:r>
                    <w:r>
                      <w:rPr>
                        <w:rFonts w:hint="eastAsia" w:ascii="Calibri" w:hAnsi="Calibri" w:eastAsia="Calibri"/>
                        <w:sz w:val="18"/>
                      </w:rPr>
                      <w:t>9</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rPr>
        <w:lang w:eastAsia="zh-CN"/>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jc w:val="center"/>
      <w:rPr>
        <w:rFonts w:ascii="宋体" w:hAnsi="宋体" w:eastAsia="宋体" w:cs="宋体"/>
        <w:lang w:eastAsia="zh-CN"/>
      </w:rPr>
    </w:pPr>
  </w:p>
  <w:p>
    <w:pPr>
      <w:pStyle w:val="21"/>
      <w:jc w:val="center"/>
      <w:rPr>
        <w:rFonts w:ascii="宋体" w:hAnsi="宋体" w:eastAsia="宋体" w:cs="宋体"/>
        <w:lang w:eastAsia="zh-CN"/>
      </w:rPr>
    </w:pPr>
    <w:r>
      <mc:AlternateContent>
        <mc:Choice Requires="wps">
          <w:drawing>
            <wp:anchor distT="0" distB="0" distL="114300" distR="114300" simplePos="0" relativeHeight="251674624" behindDoc="0" locked="0" layoutInCell="1" allowOverlap="1">
              <wp:simplePos x="0" y="0"/>
              <wp:positionH relativeFrom="column">
                <wp:posOffset>2540</wp:posOffset>
              </wp:positionH>
              <wp:positionV relativeFrom="paragraph">
                <wp:posOffset>166370</wp:posOffset>
              </wp:positionV>
              <wp:extent cx="5794375" cy="5080"/>
              <wp:effectExtent l="0" t="0" r="0" b="0"/>
              <wp:wrapNone/>
              <wp:docPr id="256" name="直接连接符 256"/>
              <wp:cNvGraphicFramePr/>
              <a:graphic xmlns:a="http://schemas.openxmlformats.org/drawingml/2006/main">
                <a:graphicData uri="http://schemas.microsoft.com/office/word/2010/wordprocessingShape">
                  <wps:wsp>
                    <wps:cNvCnPr/>
                    <wps:spPr>
                      <a:xfrm>
                        <a:off x="930275" y="758825"/>
                        <a:ext cx="5794375" cy="508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0.2pt;margin-top:13.1pt;height:0.4pt;width:456.25pt;z-index:251674624;mso-width-relative:page;mso-height-relative:page;" filled="f" stroked="t" coordsize="21600,21600" o:gfxdata="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CqTmwfUAAAABgEAAA8AAAAAAAAAAQAgAAAAIgAAAGRycy9kb3ducmV2LnhtbFBLAQIUABQA&#10;AAAIAIdO4kBH0f0z9AEAAMIDAAAOAAAAAAAAAAEAIAAAACMBAABkcnMvZTJvRG9jLnhtbFBLBQYA&#10;AAAABgAGAFkBAACJBQAAAAA=&#10;">
              <v:fill on="f" focussize="0,0"/>
              <v:stroke weight="0.5pt" color="#000000 [3213]" miterlimit="8" joinstyle="miter"/>
              <v:imagedata o:title=""/>
              <o:lock v:ext="edit" aspectratio="f"/>
            </v:line>
          </w:pict>
        </mc:Fallback>
      </mc:AlternateContent>
    </w:r>
    <w:r>
      <w:rPr>
        <w:rFonts w:hint="eastAsia" w:ascii="宋体" w:hAnsi="宋体" w:eastAsia="宋体" w:cs="宋体"/>
        <w:lang w:eastAsia="zh-CN"/>
      </w:rPr>
      <w:t>达州市宣汉县七里峡煤业有限公司七里峡煤矿扩建工程项目</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jc w:val="center"/>
      <w:rPr>
        <w:rFonts w:ascii="宋体" w:hAnsi="宋体" w:eastAsia="宋体" w:cs="宋体"/>
        <w:lang w:eastAsia="zh-CN"/>
      </w:rPr>
    </w:pPr>
  </w:p>
  <w:p>
    <w:pPr>
      <w:pStyle w:val="21"/>
      <w:jc w:val="center"/>
      <w:rPr>
        <w:rFonts w:ascii="宋体" w:hAnsi="宋体" w:eastAsia="宋体" w:cs="宋体"/>
        <w:lang w:eastAsia="zh-CN"/>
      </w:rPr>
    </w:pPr>
    <w:r>
      <mc:AlternateContent>
        <mc:Choice Requires="wps">
          <w:drawing>
            <wp:anchor distT="0" distB="0" distL="114300" distR="114300" simplePos="0" relativeHeight="251675648" behindDoc="0" locked="0" layoutInCell="1" allowOverlap="1">
              <wp:simplePos x="0" y="0"/>
              <wp:positionH relativeFrom="column">
                <wp:posOffset>2540</wp:posOffset>
              </wp:positionH>
              <wp:positionV relativeFrom="paragraph">
                <wp:posOffset>165735</wp:posOffset>
              </wp:positionV>
              <wp:extent cx="8849995" cy="635"/>
              <wp:effectExtent l="0" t="0" r="0" b="0"/>
              <wp:wrapNone/>
              <wp:docPr id="257" name="直接连接符 257"/>
              <wp:cNvGraphicFramePr/>
              <a:graphic xmlns:a="http://schemas.openxmlformats.org/drawingml/2006/main">
                <a:graphicData uri="http://schemas.microsoft.com/office/word/2010/wordprocessingShape">
                  <wps:wsp>
                    <wps:cNvCnPr/>
                    <wps:spPr>
                      <a:xfrm flipV="1">
                        <a:off x="930275" y="758825"/>
                        <a:ext cx="8849995" cy="63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0.2pt;margin-top:13.05pt;height:0.05pt;width:696.85pt;z-index:251675648;mso-width-relative:page;mso-height-relative:page;" filled="f" stroked="t" coordsize="21600,21600" o:gfxdata="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G0168vUAAAABwEAAA8AAAAAAAAAAQAgAAAAIgAAAGRycy9kb3ducmV2LnhtbFBL&#10;AQIUABQAAAAIAIdO4kACSABm+gEAAMsDAAAOAAAAAAAAAAEAIAAAACMBAABkcnMvZTJvRG9jLnht&#10;bFBLBQYAAAAABgAGAFkBAACPBQAAAAA=&#10;">
              <v:fill on="f" focussize="0,0"/>
              <v:stroke weight="0.5pt" color="#000000 [3213]" miterlimit="8" joinstyle="miter"/>
              <v:imagedata o:title=""/>
              <o:lock v:ext="edit" aspectratio="f"/>
            </v:line>
          </w:pict>
        </mc:Fallback>
      </mc:AlternateContent>
    </w:r>
    <w:r>
      <w:rPr>
        <w:rFonts w:hint="eastAsia" w:ascii="宋体" w:hAnsi="宋体" w:eastAsia="宋体" w:cs="宋体"/>
        <w:lang w:eastAsia="zh-CN"/>
      </w:rPr>
      <w:t>达州市宣汉县七里峡煤业有限公司七里峡煤矿扩建工程项目</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rPr>
        <w:rFonts w:ascii="宋体" w:hAnsi="宋体" w:eastAsia="宋体" w:cs="宋体"/>
        <w:lang w:eastAsia="zh-CN"/>
      </w:rPr>
    </w:pPr>
    <w:r>
      <mc:AlternateContent>
        <mc:Choice Requires="wps">
          <w:drawing>
            <wp:anchor distT="0" distB="0" distL="114300" distR="114300" simplePos="0" relativeHeight="251660288" behindDoc="0" locked="0" layoutInCell="1" allowOverlap="1">
              <wp:simplePos x="0" y="0"/>
              <wp:positionH relativeFrom="column">
                <wp:posOffset>-5715</wp:posOffset>
              </wp:positionH>
              <wp:positionV relativeFrom="paragraph">
                <wp:posOffset>205740</wp:posOffset>
              </wp:positionV>
              <wp:extent cx="5818505" cy="0"/>
              <wp:effectExtent l="0" t="0" r="0" b="0"/>
              <wp:wrapNone/>
              <wp:docPr id="90" name="直接连接符 90"/>
              <wp:cNvGraphicFramePr/>
              <a:graphic xmlns:a="http://schemas.openxmlformats.org/drawingml/2006/main">
                <a:graphicData uri="http://schemas.microsoft.com/office/word/2010/wordprocessingShape">
                  <wps:wsp>
                    <wps:cNvCnPr/>
                    <wps:spPr>
                      <a:xfrm>
                        <a:off x="930275" y="758825"/>
                        <a:ext cx="581850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0.45pt;margin-top:16.2pt;height:0pt;width:458.15pt;z-index:251660288;mso-width-relative:page;mso-height-relative:page;" filled="f" stroked="t" coordsize="21600,21600" o:gfxdata="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EpS9NrVAAAABwEAAA8AAAAAAAAAAQAgAAAAIgAAAGRycy9kb3ducmV2LnhtbFBLAQIUABQAAAAI&#10;AIdO4kDOcFx78AEAAL0DAAAOAAAAAAAAAAEAIAAAACQBAABkcnMvZTJvRG9jLnhtbFBLBQYAAAAA&#10;BgAGAFkBAACGBQAAAAA=&#10;">
              <v:fill on="f" focussize="0,0"/>
              <v:stroke weight="0.5pt" color="#000000 [3213]" miterlimit="8" joinstyle="miter"/>
              <v:imagedata o:title=""/>
              <o:lock v:ext="edit" aspectratio="f"/>
            </v:line>
          </w:pict>
        </mc:Fallback>
      </mc:AlternateContent>
    </w:r>
    <w:r>
      <w:rPr>
        <w:rFonts w:hint="eastAsia" w:ascii="宋体" w:hAnsi="宋体" w:eastAsia="宋体" w:cs="宋体"/>
        <w:lang w:eastAsia="zh-CN"/>
      </w:rPr>
      <w:t xml:space="preserve">达州市宣汉县七里峡煤业有限公司七里峡煤矿扩建工程项目 </w:t>
    </w:r>
    <w:r>
      <w:rPr>
        <w:rFonts w:ascii="宋体" w:hAnsi="宋体" w:eastAsia="宋体" w:cs="宋体"/>
        <w:lang w:eastAsia="zh-CN"/>
      </w:rPr>
      <w:t xml:space="preserve">                             </w:t>
    </w:r>
    <w:r>
      <w:rPr>
        <w:rFonts w:hint="eastAsia" w:ascii="宋体" w:hAnsi="宋体" w:eastAsia="宋体" w:cs="宋体"/>
        <w:lang w:eastAsia="zh-CN"/>
      </w:rPr>
      <w:t xml:space="preserve">   </w:t>
    </w:r>
    <w:r>
      <w:rPr>
        <w:rFonts w:ascii="宋体" w:hAnsi="宋体" w:eastAsia="宋体" w:cs="宋体"/>
        <w:lang w:eastAsia="zh-CN"/>
      </w:rPr>
      <w:t xml:space="preserve"> </w:t>
    </w:r>
    <w:r>
      <w:rPr>
        <w:rFonts w:hint="eastAsia" w:ascii="宋体" w:hAnsi="宋体" w:eastAsia="宋体" w:cs="宋体"/>
        <w:lang w:eastAsia="zh-CN"/>
      </w:rPr>
      <w:t>环境影响报告书</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jc w:val="center"/>
      <w:rPr>
        <w:rFonts w:ascii="宋体" w:hAnsi="宋体" w:eastAsia="宋体" w:cs="宋体"/>
        <w:lang w:eastAsia="zh-CN"/>
      </w:rPr>
    </w:pPr>
    <w:r>
      <mc:AlternateContent>
        <mc:Choice Requires="wps">
          <w:drawing>
            <wp:anchor distT="0" distB="0" distL="114300" distR="114300" simplePos="0" relativeHeight="251662336" behindDoc="0" locked="0" layoutInCell="1" allowOverlap="1">
              <wp:simplePos x="0" y="0"/>
              <wp:positionH relativeFrom="column">
                <wp:posOffset>-5715</wp:posOffset>
              </wp:positionH>
              <wp:positionV relativeFrom="paragraph">
                <wp:posOffset>205740</wp:posOffset>
              </wp:positionV>
              <wp:extent cx="8858250" cy="0"/>
              <wp:effectExtent l="0" t="0" r="0" b="0"/>
              <wp:wrapNone/>
              <wp:docPr id="98" name="直接连接符 98"/>
              <wp:cNvGraphicFramePr/>
              <a:graphic xmlns:a="http://schemas.openxmlformats.org/drawingml/2006/main">
                <a:graphicData uri="http://schemas.microsoft.com/office/word/2010/wordprocessingShape">
                  <wps:wsp>
                    <wps:cNvCnPr/>
                    <wps:spPr>
                      <a:xfrm>
                        <a:off x="930275" y="758825"/>
                        <a:ext cx="88582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0.45pt;margin-top:16.2pt;height:0pt;width:697.5pt;z-index:251662336;mso-width-relative:page;mso-height-relative:page;" filled="f" stroked="t" coordsize="21600,21600" o:gfxdata="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EUXvyrWAAAACAEAAA8AAAAAAAAAAQAgAAAAIgAAAGRycy9kb3ducmV2LnhtbFBLAQIUABQAAAAI&#10;AIdO4kAWI0lw7wEAAL0DAAAOAAAAAAAAAAEAIAAAACUBAABkcnMvZTJvRG9jLnhtbFBLBQYAAAAA&#10;BgAGAFkBAACGBQAAAAA=&#10;">
              <v:fill on="f" focussize="0,0"/>
              <v:stroke weight="0.5pt" color="#000000 [3213]" miterlimit="8" joinstyle="miter"/>
              <v:imagedata o:title=""/>
              <o:lock v:ext="edit" aspectratio="f"/>
            </v:line>
          </w:pict>
        </mc:Fallback>
      </mc:AlternateContent>
    </w:r>
    <w:r>
      <w:rPr>
        <w:rFonts w:hint="eastAsia" w:ascii="宋体" w:hAnsi="宋体" w:eastAsia="宋体" w:cs="宋体"/>
        <w:lang w:eastAsia="zh-CN"/>
      </w:rPr>
      <w:t>达州市宣汉县七里峡煤业有限公司七里峡煤矿扩建工程项目</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jc w:val="center"/>
      <w:rPr>
        <w:rFonts w:ascii="宋体" w:hAnsi="宋体" w:eastAsia="宋体" w:cs="宋体"/>
        <w:lang w:eastAsia="zh-CN"/>
      </w:rPr>
    </w:pPr>
    <w:r>
      <mc:AlternateContent>
        <mc:Choice Requires="wps">
          <w:drawing>
            <wp:anchor distT="0" distB="0" distL="114300" distR="114300" simplePos="0" relativeHeight="251663360" behindDoc="0" locked="0" layoutInCell="1" allowOverlap="1">
              <wp:simplePos x="0" y="0"/>
              <wp:positionH relativeFrom="column">
                <wp:posOffset>10160</wp:posOffset>
              </wp:positionH>
              <wp:positionV relativeFrom="paragraph">
                <wp:posOffset>222250</wp:posOffset>
              </wp:positionV>
              <wp:extent cx="5786755" cy="0"/>
              <wp:effectExtent l="0" t="0" r="0" b="0"/>
              <wp:wrapNone/>
              <wp:docPr id="251" name="直接连接符 251"/>
              <wp:cNvGraphicFramePr/>
              <a:graphic xmlns:a="http://schemas.openxmlformats.org/drawingml/2006/main">
                <a:graphicData uri="http://schemas.microsoft.com/office/word/2010/wordprocessingShape">
                  <wps:wsp>
                    <wps:cNvCnPr/>
                    <wps:spPr>
                      <a:xfrm>
                        <a:off x="930275" y="758825"/>
                        <a:ext cx="578675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0.8pt;margin-top:17.5pt;height:0pt;width:455.65pt;z-index:251663360;mso-width-relative:page;mso-height-relative:page;" filled="f" stroked="t" coordsize="21600,21600" o:gfxdata="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y6j1jdQAAAAHAQAADwAAAAAAAAABACAAAAAiAAAAZHJzL2Rvd25yZXYueG1sUEsBAhQAFAAA&#10;AAgAh07iQOMUQXnzAQAAvwMAAA4AAAAAAAAAAQAgAAAAIwEAAGRycy9lMm9Eb2MueG1sUEsFBgAA&#10;AAAGAAYAWQEAAIgFAAAAAA==&#10;">
              <v:fill on="f" focussize="0,0"/>
              <v:stroke weight="0.5pt" color="#000000 [3213]" miterlimit="8" joinstyle="miter"/>
              <v:imagedata o:title=""/>
              <o:lock v:ext="edit" aspectratio="f"/>
            </v:line>
          </w:pict>
        </mc:Fallback>
      </mc:AlternateContent>
    </w:r>
    <w:r>
      <w:rPr>
        <w:rFonts w:hint="eastAsia" w:ascii="宋体" w:hAnsi="宋体" w:eastAsia="宋体" w:cs="宋体"/>
        <w:lang w:eastAsia="zh-CN"/>
      </w:rPr>
      <w:t>达州市宣汉县七里峡煤业有限公司七里峡煤矿扩建工程项目</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jc w:val="center"/>
      <w:rPr>
        <w:rFonts w:ascii="宋体" w:hAnsi="宋体" w:eastAsia="宋体" w:cs="宋体"/>
        <w:lang w:eastAsia="zh-CN"/>
      </w:rPr>
    </w:pPr>
    <w:r>
      <mc:AlternateContent>
        <mc:Choice Requires="wps">
          <w:drawing>
            <wp:anchor distT="0" distB="0" distL="114300" distR="114300" simplePos="0" relativeHeight="251664384" behindDoc="0" locked="0" layoutInCell="1" allowOverlap="1">
              <wp:simplePos x="0" y="0"/>
              <wp:positionH relativeFrom="column">
                <wp:posOffset>10160</wp:posOffset>
              </wp:positionH>
              <wp:positionV relativeFrom="paragraph">
                <wp:posOffset>222250</wp:posOffset>
              </wp:positionV>
              <wp:extent cx="8842375" cy="3175"/>
              <wp:effectExtent l="0" t="0" r="0" b="0"/>
              <wp:wrapNone/>
              <wp:docPr id="40" name="直接连接符 40"/>
              <wp:cNvGraphicFramePr/>
              <a:graphic xmlns:a="http://schemas.openxmlformats.org/drawingml/2006/main">
                <a:graphicData uri="http://schemas.microsoft.com/office/word/2010/wordprocessingShape">
                  <wps:wsp>
                    <wps:cNvCnPr/>
                    <wps:spPr>
                      <a:xfrm>
                        <a:off x="930275" y="758825"/>
                        <a:ext cx="8842375" cy="31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0.8pt;margin-top:17.5pt;height:0.25pt;width:696.25pt;z-index:251664384;mso-width-relative:page;mso-height-relative:page;" filled="f" stroked="t" coordsize="21600,21600" o:gfxdata="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D/BlBZ1QAAAAgBAAAPAAAAAAAAAAEAIAAAACIAAABkcnMvZG93bnJldi54bWxQSwECFAAUAAAA&#10;CACHTuJA/bp/O/EBAADAAwAADgAAAAAAAAABACAAAAAkAQAAZHJzL2Uyb0RvYy54bWxQSwUGAAAA&#10;AAYABgBZAQAAhwUAAAAA&#10;">
              <v:fill on="f" focussize="0,0"/>
              <v:stroke weight="0.5pt" color="#000000 [3213]" miterlimit="8" joinstyle="miter"/>
              <v:imagedata o:title=""/>
              <o:lock v:ext="edit" aspectratio="f"/>
            </v:line>
          </w:pict>
        </mc:Fallback>
      </mc:AlternateContent>
    </w:r>
    <w:r>
      <w:rPr>
        <w:rFonts w:hint="eastAsia" w:ascii="宋体" w:hAnsi="宋体" w:eastAsia="宋体" w:cs="宋体"/>
        <w:lang w:eastAsia="zh-CN"/>
      </w:rPr>
      <w:t>达州市宣汉县七里峡煤业有限公司七里峡煤矿扩建工程项目</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jc w:val="center"/>
      <w:rPr>
        <w:rFonts w:ascii="宋体" w:hAnsi="宋体" w:eastAsia="宋体" w:cs="宋体"/>
        <w:lang w:eastAsia="zh-CN"/>
      </w:rPr>
    </w:pPr>
    <w:r>
      <mc:AlternateContent>
        <mc:Choice Requires="wps">
          <w:drawing>
            <wp:anchor distT="0" distB="0" distL="114300" distR="114300" simplePos="0" relativeHeight="251665408" behindDoc="0" locked="0" layoutInCell="1" allowOverlap="1">
              <wp:simplePos x="0" y="0"/>
              <wp:positionH relativeFrom="column">
                <wp:posOffset>2540</wp:posOffset>
              </wp:positionH>
              <wp:positionV relativeFrom="paragraph">
                <wp:posOffset>230505</wp:posOffset>
              </wp:positionV>
              <wp:extent cx="5786120" cy="0"/>
              <wp:effectExtent l="0" t="0" r="0" b="0"/>
              <wp:wrapNone/>
              <wp:docPr id="264" name="直接连接符 264"/>
              <wp:cNvGraphicFramePr/>
              <a:graphic xmlns:a="http://schemas.openxmlformats.org/drawingml/2006/main">
                <a:graphicData uri="http://schemas.microsoft.com/office/word/2010/wordprocessingShape">
                  <wps:wsp>
                    <wps:cNvCnPr/>
                    <wps:spPr>
                      <a:xfrm>
                        <a:off x="930275" y="758825"/>
                        <a:ext cx="578612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0.2pt;margin-top:18.15pt;height:0pt;width:455.6pt;z-index:251665408;mso-width-relative:page;mso-height-relative:page;" filled="f" stroked="t" coordsize="21600,21600" o:gfxdata="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HEwFU0wAAAAYBAAAPAAAAAAAAAAEAIAAAACIAAABkcnMvZG93bnJldi54bWxQSwECFAAUAAAA&#10;CACHTuJABCkHd/MBAAC/AwAADgAAAAAAAAABACAAAAAiAQAAZHJzL2Uyb0RvYy54bWxQSwUGAAAA&#10;AAYABgBZAQAAhwUAAAAA&#10;">
              <v:fill on="f" focussize="0,0"/>
              <v:stroke weight="0.5pt" color="#000000 [3213]" miterlimit="8" joinstyle="miter"/>
              <v:imagedata o:title=""/>
              <o:lock v:ext="edit" aspectratio="f"/>
            </v:line>
          </w:pict>
        </mc:Fallback>
      </mc:AlternateContent>
    </w:r>
    <w:r>
      <w:rPr>
        <w:rFonts w:hint="eastAsia" w:ascii="宋体" w:hAnsi="宋体" w:eastAsia="宋体" w:cs="宋体"/>
        <w:lang w:eastAsia="zh-CN"/>
      </w:rPr>
      <w:t>达州市宣汉县七里峡煤业有限公司七里峡煤矿扩建工程项目</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jc w:val="center"/>
      <w:rPr>
        <w:rFonts w:ascii="宋体" w:hAnsi="宋体" w:eastAsia="宋体" w:cs="宋体"/>
        <w:lang w:eastAsia="zh-CN"/>
      </w:rPr>
    </w:pPr>
    <w:r>
      <mc:AlternateContent>
        <mc:Choice Requires="wps">
          <w:drawing>
            <wp:anchor distT="0" distB="0" distL="114300" distR="114300" simplePos="0" relativeHeight="251666432" behindDoc="0" locked="0" layoutInCell="1" allowOverlap="1">
              <wp:simplePos x="0" y="0"/>
              <wp:positionH relativeFrom="column">
                <wp:posOffset>2540</wp:posOffset>
              </wp:positionH>
              <wp:positionV relativeFrom="paragraph">
                <wp:posOffset>218440</wp:posOffset>
              </wp:positionV>
              <wp:extent cx="5794375" cy="0"/>
              <wp:effectExtent l="0" t="0" r="0" b="0"/>
              <wp:wrapNone/>
              <wp:docPr id="253" name="直接连接符 253"/>
              <wp:cNvGraphicFramePr/>
              <a:graphic xmlns:a="http://schemas.openxmlformats.org/drawingml/2006/main">
                <a:graphicData uri="http://schemas.microsoft.com/office/word/2010/wordprocessingShape">
                  <wps:wsp>
                    <wps:cNvCnPr/>
                    <wps:spPr>
                      <a:xfrm>
                        <a:off x="930275" y="758825"/>
                        <a:ext cx="579437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0.2pt;margin-top:17.2pt;height:0pt;width:456.25pt;z-index:251666432;mso-width-relative:page;mso-height-relative:page;" filled="f" stroked="t" coordsize="21600,21600" o:gfxdata="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XJZQNQAAAAGAQAADwAAAAAAAAABACAAAAAiAAAAZHJzL2Rvd25yZXYueG1sUEsBAhQAFAAA&#10;AAgAh07iQCH/b4TzAQAAvwMAAA4AAAAAAAAAAQAgAAAAIwEAAGRycy9lMm9Eb2MueG1sUEsFBgAA&#10;AAAGAAYAWQEAAIgFAAAAAA==&#10;">
              <v:fill on="f" focussize="0,0"/>
              <v:stroke weight="0.5pt" color="#000000 [3213]" miterlimit="8" joinstyle="miter"/>
              <v:imagedata o:title=""/>
              <o:lock v:ext="edit" aspectratio="f"/>
            </v:line>
          </w:pict>
        </mc:Fallback>
      </mc:AlternateContent>
    </w:r>
    <w:r>
      <w:rPr>
        <w:rFonts w:hint="eastAsia" w:ascii="宋体" w:hAnsi="宋体" w:eastAsia="宋体" w:cs="宋体"/>
        <w:lang w:eastAsia="zh-CN"/>
      </w:rPr>
      <w:t>达州市宣汉县七里峡煤业有限公司七里峡煤矿扩建工程项目</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jc w:val="center"/>
      <w:rPr>
        <w:rFonts w:ascii="宋体" w:hAnsi="宋体" w:eastAsia="宋体" w:cs="宋体"/>
        <w:lang w:eastAsia="zh-CN"/>
      </w:rPr>
    </w:pPr>
  </w:p>
  <w:p>
    <w:pPr>
      <w:pStyle w:val="21"/>
      <w:jc w:val="center"/>
      <w:rPr>
        <w:rFonts w:ascii="宋体" w:hAnsi="宋体" w:eastAsia="宋体" w:cs="宋体"/>
        <w:lang w:eastAsia="zh-CN"/>
      </w:rPr>
    </w:pPr>
  </w:p>
  <w:p>
    <w:pPr>
      <w:pStyle w:val="21"/>
      <w:jc w:val="center"/>
      <w:rPr>
        <w:rFonts w:ascii="宋体" w:hAnsi="宋体" w:eastAsia="宋体" w:cs="宋体"/>
        <w:lang w:eastAsia="zh-CN"/>
      </w:rPr>
    </w:pPr>
  </w:p>
  <w:p>
    <w:pPr>
      <w:pStyle w:val="21"/>
      <w:jc w:val="center"/>
      <w:rPr>
        <w:rFonts w:ascii="宋体" w:hAnsi="宋体" w:eastAsia="宋体" w:cs="宋体"/>
        <w:lang w:eastAsia="zh-CN"/>
      </w:rPr>
    </w:pPr>
    <w:r>
      <mc:AlternateContent>
        <mc:Choice Requires="wps">
          <w:drawing>
            <wp:anchor distT="0" distB="0" distL="114300" distR="114300" simplePos="0" relativeHeight="251671552" behindDoc="0" locked="0" layoutInCell="1" allowOverlap="1">
              <wp:simplePos x="0" y="0"/>
              <wp:positionH relativeFrom="column">
                <wp:posOffset>2540</wp:posOffset>
              </wp:positionH>
              <wp:positionV relativeFrom="paragraph">
                <wp:posOffset>168275</wp:posOffset>
              </wp:positionV>
              <wp:extent cx="5664835" cy="1270"/>
              <wp:effectExtent l="0" t="0" r="0" b="0"/>
              <wp:wrapNone/>
              <wp:docPr id="254" name="直接连接符 254"/>
              <wp:cNvGraphicFramePr/>
              <a:graphic xmlns:a="http://schemas.openxmlformats.org/drawingml/2006/main">
                <a:graphicData uri="http://schemas.microsoft.com/office/word/2010/wordprocessingShape">
                  <wps:wsp>
                    <wps:cNvCnPr/>
                    <wps:spPr>
                      <a:xfrm>
                        <a:off x="930275" y="758825"/>
                        <a:ext cx="5664835" cy="127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0.2pt;margin-top:13.25pt;height:0.1pt;width:446.05pt;z-index:251671552;mso-width-relative:page;mso-height-relative:page;" filled="f" stroked="t" coordsize="21600,21600" o:gfxdata="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K5sNRdQAAAAGAQAADwAAAAAAAAABACAAAAAiAAAAZHJzL2Rvd25yZXYueG1sUEsBAhQA&#10;FAAAAAgAh07iQJkTZpb2AQAAwgMAAA4AAAAAAAAAAQAgAAAAIwEAAGRycy9lMm9Eb2MueG1sUEsF&#10;BgAAAAAGAAYAWQEAAIsFAAAAAA==&#10;">
              <v:fill on="f" focussize="0,0"/>
              <v:stroke weight="0.5pt" color="#000000 [3213]" miterlimit="8" joinstyle="miter"/>
              <v:imagedata o:title=""/>
              <o:lock v:ext="edit" aspectratio="f"/>
            </v:line>
          </w:pict>
        </mc:Fallback>
      </mc:AlternateContent>
    </w:r>
    <w:r>
      <w:rPr>
        <w:rFonts w:hint="eastAsia" w:ascii="宋体" w:hAnsi="宋体" w:eastAsia="宋体" w:cs="宋体"/>
        <w:lang w:eastAsia="zh-CN"/>
      </w:rPr>
      <w:t>达州市宣汉县七里峡煤业有限公司七里峡煤矿扩建工程项目</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jc w:val="center"/>
      <w:rPr>
        <w:rFonts w:ascii="宋体" w:hAnsi="宋体" w:eastAsia="宋体" w:cs="宋体"/>
        <w:lang w:eastAsia="zh-CN"/>
      </w:rPr>
    </w:pPr>
  </w:p>
  <w:p>
    <w:pPr>
      <w:pStyle w:val="21"/>
      <w:jc w:val="center"/>
      <w:rPr>
        <w:rFonts w:ascii="宋体" w:hAnsi="宋体" w:eastAsia="宋体" w:cs="宋体"/>
        <w:lang w:eastAsia="zh-CN"/>
      </w:rPr>
    </w:pPr>
    <w:r>
      <mc:AlternateContent>
        <mc:Choice Requires="wps">
          <w:drawing>
            <wp:anchor distT="0" distB="0" distL="114300" distR="114300" simplePos="0" relativeHeight="251673600" behindDoc="0" locked="0" layoutInCell="1" allowOverlap="1">
              <wp:simplePos x="0" y="0"/>
              <wp:positionH relativeFrom="column">
                <wp:posOffset>2540</wp:posOffset>
              </wp:positionH>
              <wp:positionV relativeFrom="paragraph">
                <wp:posOffset>168275</wp:posOffset>
              </wp:positionV>
              <wp:extent cx="8842375" cy="3175"/>
              <wp:effectExtent l="0" t="0" r="0" b="0"/>
              <wp:wrapNone/>
              <wp:docPr id="255" name="直接连接符 255"/>
              <wp:cNvGraphicFramePr/>
              <a:graphic xmlns:a="http://schemas.openxmlformats.org/drawingml/2006/main">
                <a:graphicData uri="http://schemas.microsoft.com/office/word/2010/wordprocessingShape">
                  <wps:wsp>
                    <wps:cNvCnPr/>
                    <wps:spPr>
                      <a:xfrm>
                        <a:off x="930275" y="758825"/>
                        <a:ext cx="8842375" cy="31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0.2pt;margin-top:13.25pt;height:0.25pt;width:696.25pt;z-index:251673600;mso-width-relative:page;mso-height-relative:page;" filled="f" stroked="t" coordsize="21600,21600" o:gfxdata="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CQWqeXVAAAABwEAAA8AAAAAAAAAAQAgAAAAIgAAAGRycy9kb3ducmV2LnhtbFBLAQIUABQA&#10;AAAIAIdO4kAWgLxg8wEAAMIDAAAOAAAAAAAAAAEAIAAAACQBAABkcnMvZTJvRG9jLnhtbFBLBQYA&#10;AAAABgAGAFkBAACJBQAAAAA=&#10;">
              <v:fill on="f" focussize="0,0"/>
              <v:stroke weight="0.5pt" color="#000000 [3213]" miterlimit="8" joinstyle="miter"/>
              <v:imagedata o:title=""/>
              <o:lock v:ext="edit" aspectratio="f"/>
            </v:line>
          </w:pict>
        </mc:Fallback>
      </mc:AlternateContent>
    </w:r>
    <w:r>
      <w:rPr>
        <w:rFonts w:hint="eastAsia" w:ascii="宋体" w:hAnsi="宋体" w:eastAsia="宋体" w:cs="宋体"/>
        <w:lang w:eastAsia="zh-CN"/>
      </w:rPr>
      <w:t>达州市宣汉县七里峡煤业有限公司七里峡煤矿扩建工程项目</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E6847E1"/>
    <w:multiLevelType w:val="singleLevel"/>
    <w:tmpl w:val="8E6847E1"/>
    <w:lvl w:ilvl="0" w:tentative="0">
      <w:start w:val="1"/>
      <w:numFmt w:val="decimal"/>
      <w:suff w:val="nothing"/>
      <w:lvlText w:val="（%1）"/>
      <w:lvlJc w:val="left"/>
    </w:lvl>
  </w:abstractNum>
  <w:abstractNum w:abstractNumId="1">
    <w:nsid w:val="0DF533CA"/>
    <w:multiLevelType w:val="multilevel"/>
    <w:tmpl w:val="0DF533CA"/>
    <w:lvl w:ilvl="0" w:tentative="0">
      <w:start w:val="1"/>
      <w:numFmt w:val="decimalEnclosedCircle"/>
      <w:lvlText w:val="%1"/>
      <w:lvlJc w:val="left"/>
      <w:pPr>
        <w:ind w:left="840" w:hanging="360"/>
      </w:pPr>
      <w:rPr>
        <w:rFonts w:hint="default" w:ascii="宋体" w:hAnsi="宋体"/>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
    <w:nsid w:val="38374F4C"/>
    <w:multiLevelType w:val="multilevel"/>
    <w:tmpl w:val="38374F4C"/>
    <w:lvl w:ilvl="0" w:tentative="0">
      <w:start w:val="1"/>
      <w:numFmt w:val="decimalEnclosedCircle"/>
      <w:lvlText w:val="%1"/>
      <w:lvlJc w:val="left"/>
      <w:pPr>
        <w:ind w:left="840" w:hanging="360"/>
      </w:pPr>
      <w:rPr>
        <w:rFonts w:hint="default" w:ascii="Times New Roman" w:hAnsi="Times New Roman" w:cs="Times New Roman"/>
      </w:rPr>
    </w:lvl>
    <w:lvl w:ilvl="1" w:tentative="0">
      <w:start w:val="1"/>
      <w:numFmt w:val="lowerLetter"/>
      <w:lvlText w:val="%2)"/>
      <w:lvlJc w:val="left"/>
      <w:pPr>
        <w:ind w:left="1320" w:hanging="420"/>
      </w:pPr>
      <w:rPr>
        <w:rFonts w:hint="default" w:ascii="Times New Roman" w:hAnsi="Times New Roman" w:cs="Times New Roman"/>
      </w:rPr>
    </w:lvl>
    <w:lvl w:ilvl="2" w:tentative="0">
      <w:start w:val="1"/>
      <w:numFmt w:val="lowerRoman"/>
      <w:lvlText w:val="%3."/>
      <w:lvlJc w:val="right"/>
      <w:pPr>
        <w:ind w:left="1740" w:hanging="420"/>
      </w:pPr>
      <w:rPr>
        <w:rFonts w:hint="default" w:ascii="Times New Roman" w:hAnsi="Times New Roman" w:cs="Times New Roman"/>
      </w:rPr>
    </w:lvl>
    <w:lvl w:ilvl="3" w:tentative="0">
      <w:start w:val="1"/>
      <w:numFmt w:val="decimal"/>
      <w:lvlText w:val="%4."/>
      <w:lvlJc w:val="left"/>
      <w:pPr>
        <w:ind w:left="2160" w:hanging="420"/>
      </w:pPr>
      <w:rPr>
        <w:rFonts w:hint="default" w:ascii="Times New Roman" w:hAnsi="Times New Roman" w:cs="Times New Roman"/>
      </w:rPr>
    </w:lvl>
    <w:lvl w:ilvl="4" w:tentative="0">
      <w:start w:val="1"/>
      <w:numFmt w:val="lowerLetter"/>
      <w:lvlText w:val="%5)"/>
      <w:lvlJc w:val="left"/>
      <w:pPr>
        <w:ind w:left="2580" w:hanging="420"/>
      </w:pPr>
      <w:rPr>
        <w:rFonts w:hint="default" w:ascii="Times New Roman" w:hAnsi="Times New Roman" w:cs="Times New Roman"/>
      </w:rPr>
    </w:lvl>
    <w:lvl w:ilvl="5" w:tentative="0">
      <w:start w:val="1"/>
      <w:numFmt w:val="lowerRoman"/>
      <w:lvlText w:val="%6."/>
      <w:lvlJc w:val="right"/>
      <w:pPr>
        <w:ind w:left="3000" w:hanging="420"/>
      </w:pPr>
      <w:rPr>
        <w:rFonts w:hint="default" w:ascii="Times New Roman" w:hAnsi="Times New Roman" w:cs="Times New Roman"/>
      </w:rPr>
    </w:lvl>
    <w:lvl w:ilvl="6" w:tentative="0">
      <w:start w:val="1"/>
      <w:numFmt w:val="decimal"/>
      <w:lvlText w:val="%7."/>
      <w:lvlJc w:val="left"/>
      <w:pPr>
        <w:ind w:left="3420" w:hanging="420"/>
      </w:pPr>
      <w:rPr>
        <w:rFonts w:hint="default" w:ascii="Times New Roman" w:hAnsi="Times New Roman" w:cs="Times New Roman"/>
      </w:rPr>
    </w:lvl>
    <w:lvl w:ilvl="7" w:tentative="0">
      <w:start w:val="1"/>
      <w:numFmt w:val="lowerLetter"/>
      <w:lvlText w:val="%8)"/>
      <w:lvlJc w:val="left"/>
      <w:pPr>
        <w:ind w:left="3840" w:hanging="420"/>
      </w:pPr>
      <w:rPr>
        <w:rFonts w:hint="default" w:ascii="Times New Roman" w:hAnsi="Times New Roman" w:cs="Times New Roman"/>
      </w:rPr>
    </w:lvl>
    <w:lvl w:ilvl="8" w:tentative="0">
      <w:start w:val="1"/>
      <w:numFmt w:val="lowerRoman"/>
      <w:lvlText w:val="%9."/>
      <w:lvlJc w:val="right"/>
      <w:pPr>
        <w:ind w:left="4260" w:hanging="420"/>
      </w:pPr>
      <w:rPr>
        <w:rFonts w:hint="default" w:ascii="Times New Roman" w:hAnsi="Times New Roman" w:cs="Times New Roman"/>
      </w:rPr>
    </w:lvl>
  </w:abstractNum>
  <w:abstractNum w:abstractNumId="3">
    <w:nsid w:val="486D33A9"/>
    <w:multiLevelType w:val="multilevel"/>
    <w:tmpl w:val="486D33A9"/>
    <w:lvl w:ilvl="0" w:tentative="0">
      <w:start w:val="1"/>
      <w:numFmt w:val="decimalEnclosedCircle"/>
      <w:lvlText w:val="%1"/>
      <w:lvlJc w:val="left"/>
      <w:pPr>
        <w:ind w:left="840" w:hanging="360"/>
      </w:pPr>
      <w:rPr>
        <w:rFonts w:hint="default" w:ascii="Times New Roman" w:hAnsi="Times New Roman" w:cs="Times New Roman"/>
      </w:rPr>
    </w:lvl>
    <w:lvl w:ilvl="1" w:tentative="0">
      <w:start w:val="1"/>
      <w:numFmt w:val="lowerLetter"/>
      <w:lvlText w:val="%2)"/>
      <w:lvlJc w:val="left"/>
      <w:pPr>
        <w:ind w:left="1320" w:hanging="420"/>
      </w:pPr>
      <w:rPr>
        <w:rFonts w:hint="default" w:ascii="Times New Roman" w:hAnsi="Times New Roman" w:cs="Times New Roman"/>
      </w:rPr>
    </w:lvl>
    <w:lvl w:ilvl="2" w:tentative="0">
      <w:start w:val="1"/>
      <w:numFmt w:val="lowerRoman"/>
      <w:lvlText w:val="%3."/>
      <w:lvlJc w:val="right"/>
      <w:pPr>
        <w:ind w:left="1740" w:hanging="420"/>
      </w:pPr>
      <w:rPr>
        <w:rFonts w:hint="default" w:ascii="Times New Roman" w:hAnsi="Times New Roman" w:cs="Times New Roman"/>
      </w:rPr>
    </w:lvl>
    <w:lvl w:ilvl="3" w:tentative="0">
      <w:start w:val="1"/>
      <w:numFmt w:val="decimal"/>
      <w:lvlText w:val="%4."/>
      <w:lvlJc w:val="left"/>
      <w:pPr>
        <w:ind w:left="2160" w:hanging="420"/>
      </w:pPr>
      <w:rPr>
        <w:rFonts w:hint="default" w:ascii="Times New Roman" w:hAnsi="Times New Roman" w:cs="Times New Roman"/>
      </w:rPr>
    </w:lvl>
    <w:lvl w:ilvl="4" w:tentative="0">
      <w:start w:val="1"/>
      <w:numFmt w:val="lowerLetter"/>
      <w:lvlText w:val="%5)"/>
      <w:lvlJc w:val="left"/>
      <w:pPr>
        <w:ind w:left="2580" w:hanging="420"/>
      </w:pPr>
      <w:rPr>
        <w:rFonts w:hint="default" w:ascii="Times New Roman" w:hAnsi="Times New Roman" w:cs="Times New Roman"/>
      </w:rPr>
    </w:lvl>
    <w:lvl w:ilvl="5" w:tentative="0">
      <w:start w:val="1"/>
      <w:numFmt w:val="lowerRoman"/>
      <w:lvlText w:val="%6."/>
      <w:lvlJc w:val="right"/>
      <w:pPr>
        <w:ind w:left="3000" w:hanging="420"/>
      </w:pPr>
      <w:rPr>
        <w:rFonts w:hint="default" w:ascii="Times New Roman" w:hAnsi="Times New Roman" w:cs="Times New Roman"/>
      </w:rPr>
    </w:lvl>
    <w:lvl w:ilvl="6" w:tentative="0">
      <w:start w:val="1"/>
      <w:numFmt w:val="decimal"/>
      <w:lvlText w:val="%7."/>
      <w:lvlJc w:val="left"/>
      <w:pPr>
        <w:ind w:left="3420" w:hanging="420"/>
      </w:pPr>
      <w:rPr>
        <w:rFonts w:hint="default" w:ascii="Times New Roman" w:hAnsi="Times New Roman" w:cs="Times New Roman"/>
      </w:rPr>
    </w:lvl>
    <w:lvl w:ilvl="7" w:tentative="0">
      <w:start w:val="1"/>
      <w:numFmt w:val="lowerLetter"/>
      <w:lvlText w:val="%8)"/>
      <w:lvlJc w:val="left"/>
      <w:pPr>
        <w:ind w:left="3840" w:hanging="420"/>
      </w:pPr>
      <w:rPr>
        <w:rFonts w:hint="default" w:ascii="Times New Roman" w:hAnsi="Times New Roman" w:cs="Times New Roman"/>
      </w:rPr>
    </w:lvl>
    <w:lvl w:ilvl="8" w:tentative="0">
      <w:start w:val="1"/>
      <w:numFmt w:val="lowerRoman"/>
      <w:lvlText w:val="%9."/>
      <w:lvlJc w:val="right"/>
      <w:pPr>
        <w:ind w:left="4260" w:hanging="420"/>
      </w:pPr>
      <w:rPr>
        <w:rFonts w:hint="default" w:ascii="Times New Roman" w:hAnsi="Times New Roman" w:cs="Times New Roman"/>
      </w:rPr>
    </w:lvl>
  </w:abstractNum>
  <w:abstractNum w:abstractNumId="4">
    <w:nsid w:val="4ED9195C"/>
    <w:multiLevelType w:val="multilevel"/>
    <w:tmpl w:val="4ED9195C"/>
    <w:lvl w:ilvl="0" w:tentative="0">
      <w:start w:val="1"/>
      <w:numFmt w:val="decimalEnclosedCircle"/>
      <w:lvlText w:val="%1"/>
      <w:lvlJc w:val="left"/>
      <w:pPr>
        <w:ind w:left="840" w:hanging="360"/>
      </w:pPr>
      <w:rPr>
        <w:rFonts w:hint="default" w:ascii="Times New Roman" w:hAnsi="Times New Roman" w:cs="Times New Roman"/>
      </w:rPr>
    </w:lvl>
    <w:lvl w:ilvl="1" w:tentative="0">
      <w:start w:val="1"/>
      <w:numFmt w:val="lowerLetter"/>
      <w:lvlText w:val="%2)"/>
      <w:lvlJc w:val="left"/>
      <w:pPr>
        <w:ind w:left="1320" w:hanging="420"/>
      </w:pPr>
      <w:rPr>
        <w:rFonts w:hint="default" w:ascii="Times New Roman" w:hAnsi="Times New Roman" w:cs="Times New Roman"/>
      </w:rPr>
    </w:lvl>
    <w:lvl w:ilvl="2" w:tentative="0">
      <w:start w:val="1"/>
      <w:numFmt w:val="lowerRoman"/>
      <w:lvlText w:val="%3."/>
      <w:lvlJc w:val="right"/>
      <w:pPr>
        <w:ind w:left="1740" w:hanging="420"/>
      </w:pPr>
      <w:rPr>
        <w:rFonts w:hint="default" w:ascii="Times New Roman" w:hAnsi="Times New Roman" w:cs="Times New Roman"/>
      </w:rPr>
    </w:lvl>
    <w:lvl w:ilvl="3" w:tentative="0">
      <w:start w:val="1"/>
      <w:numFmt w:val="decimal"/>
      <w:lvlText w:val="%4."/>
      <w:lvlJc w:val="left"/>
      <w:pPr>
        <w:ind w:left="2160" w:hanging="420"/>
      </w:pPr>
      <w:rPr>
        <w:rFonts w:hint="default" w:ascii="Times New Roman" w:hAnsi="Times New Roman" w:cs="Times New Roman"/>
      </w:rPr>
    </w:lvl>
    <w:lvl w:ilvl="4" w:tentative="0">
      <w:start w:val="1"/>
      <w:numFmt w:val="lowerLetter"/>
      <w:lvlText w:val="%5)"/>
      <w:lvlJc w:val="left"/>
      <w:pPr>
        <w:ind w:left="2580" w:hanging="420"/>
      </w:pPr>
      <w:rPr>
        <w:rFonts w:hint="default" w:ascii="Times New Roman" w:hAnsi="Times New Roman" w:cs="Times New Roman"/>
      </w:rPr>
    </w:lvl>
    <w:lvl w:ilvl="5" w:tentative="0">
      <w:start w:val="1"/>
      <w:numFmt w:val="lowerRoman"/>
      <w:lvlText w:val="%6."/>
      <w:lvlJc w:val="right"/>
      <w:pPr>
        <w:ind w:left="3000" w:hanging="420"/>
      </w:pPr>
      <w:rPr>
        <w:rFonts w:hint="default" w:ascii="Times New Roman" w:hAnsi="Times New Roman" w:cs="Times New Roman"/>
      </w:rPr>
    </w:lvl>
    <w:lvl w:ilvl="6" w:tentative="0">
      <w:start w:val="1"/>
      <w:numFmt w:val="decimal"/>
      <w:lvlText w:val="%7."/>
      <w:lvlJc w:val="left"/>
      <w:pPr>
        <w:ind w:left="3420" w:hanging="420"/>
      </w:pPr>
      <w:rPr>
        <w:rFonts w:hint="default" w:ascii="Times New Roman" w:hAnsi="Times New Roman" w:cs="Times New Roman"/>
      </w:rPr>
    </w:lvl>
    <w:lvl w:ilvl="7" w:tentative="0">
      <w:start w:val="1"/>
      <w:numFmt w:val="lowerLetter"/>
      <w:lvlText w:val="%8)"/>
      <w:lvlJc w:val="left"/>
      <w:pPr>
        <w:ind w:left="3840" w:hanging="420"/>
      </w:pPr>
      <w:rPr>
        <w:rFonts w:hint="default" w:ascii="Times New Roman" w:hAnsi="Times New Roman" w:cs="Times New Roman"/>
      </w:rPr>
    </w:lvl>
    <w:lvl w:ilvl="8" w:tentative="0">
      <w:start w:val="1"/>
      <w:numFmt w:val="lowerRoman"/>
      <w:lvlText w:val="%9."/>
      <w:lvlJc w:val="right"/>
      <w:pPr>
        <w:ind w:left="4260" w:hanging="420"/>
      </w:pPr>
      <w:rPr>
        <w:rFonts w:hint="default" w:ascii="Times New Roman" w:hAnsi="Times New Roman" w:cs="Times New Roman"/>
      </w:rPr>
    </w:lvl>
  </w:abstractNum>
  <w:abstractNum w:abstractNumId="5">
    <w:nsid w:val="78EA7E99"/>
    <w:multiLevelType w:val="multilevel"/>
    <w:tmpl w:val="78EA7E99"/>
    <w:lvl w:ilvl="0" w:tentative="0">
      <w:start w:val="1"/>
      <w:numFmt w:val="decimal"/>
      <w:lvlText w:val="表7–%1"/>
      <w:lvlJc w:val="left"/>
      <w:pPr>
        <w:tabs>
          <w:tab w:val="left" w:pos="987"/>
        </w:tabs>
        <w:ind w:left="1407" w:hanging="420"/>
      </w:pPr>
      <w:rPr>
        <w:rFonts w:hint="default" w:ascii="Times New Roman" w:hAnsi="Times New Roman" w:eastAsia="黑体"/>
        <w:b w:val="0"/>
        <w:i w:val="0"/>
        <w:sz w:val="21"/>
        <w:szCs w:val="21"/>
      </w:rPr>
    </w:lvl>
    <w:lvl w:ilvl="1" w:tentative="0">
      <w:start w:val="1"/>
      <w:numFmt w:val="decimal"/>
      <w:pStyle w:val="52"/>
      <w:lvlText w:val="表1–%2"/>
      <w:lvlJc w:val="left"/>
      <w:pPr>
        <w:tabs>
          <w:tab w:val="left" w:pos="900"/>
        </w:tabs>
        <w:ind w:left="1320" w:hanging="333"/>
      </w:pPr>
      <w:rPr>
        <w:rFonts w:hint="default" w:ascii="Times New Roman" w:hAnsi="Times New Roman" w:eastAsia="黑体"/>
        <w:b w:val="0"/>
        <w:i w:val="0"/>
        <w:sz w:val="21"/>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num w:numId="1">
    <w:abstractNumId w:val="5"/>
  </w:num>
  <w:num w:numId="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displayBackgroundShape w:val="1"/>
  <w:bordersDoNotSurroundHeader w:val="1"/>
  <w:bordersDoNotSurroundFooter w:val="1"/>
  <w:documentProtection w:enforcement="0"/>
  <w:defaultTabStop w:val="420"/>
  <w:drawingGridHorizontalSpacing w:val="240"/>
  <w:drawingGridVerticalSpacing w:val="169"/>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jQyMjhkYTYyOTE5MzZkNTk3MjI4ZjVjYWI2MzM3NjkifQ=="/>
  </w:docVars>
  <w:rsids>
    <w:rsidRoot w:val="00172A27"/>
    <w:rsid w:val="00003E3D"/>
    <w:rsid w:val="00005DCB"/>
    <w:rsid w:val="00013D3E"/>
    <w:rsid w:val="000142DC"/>
    <w:rsid w:val="00025876"/>
    <w:rsid w:val="000346C2"/>
    <w:rsid w:val="00037F3C"/>
    <w:rsid w:val="000446BA"/>
    <w:rsid w:val="000558FE"/>
    <w:rsid w:val="00061C61"/>
    <w:rsid w:val="00063729"/>
    <w:rsid w:val="00066E58"/>
    <w:rsid w:val="00082A8C"/>
    <w:rsid w:val="00087E6B"/>
    <w:rsid w:val="000B0E0A"/>
    <w:rsid w:val="000C5953"/>
    <w:rsid w:val="000D4C17"/>
    <w:rsid w:val="000D5BD3"/>
    <w:rsid w:val="000F0F78"/>
    <w:rsid w:val="00132292"/>
    <w:rsid w:val="00151038"/>
    <w:rsid w:val="001525C6"/>
    <w:rsid w:val="00161203"/>
    <w:rsid w:val="00172A27"/>
    <w:rsid w:val="001A142C"/>
    <w:rsid w:val="001A3BE6"/>
    <w:rsid w:val="001B01C6"/>
    <w:rsid w:val="001B0EAE"/>
    <w:rsid w:val="001B21AC"/>
    <w:rsid w:val="001B65DB"/>
    <w:rsid w:val="001C3518"/>
    <w:rsid w:val="001D13EE"/>
    <w:rsid w:val="001D7708"/>
    <w:rsid w:val="001E013B"/>
    <w:rsid w:val="001E20DB"/>
    <w:rsid w:val="001F3CC9"/>
    <w:rsid w:val="001F56FD"/>
    <w:rsid w:val="00211E3B"/>
    <w:rsid w:val="002122D7"/>
    <w:rsid w:val="00214C04"/>
    <w:rsid w:val="00221F94"/>
    <w:rsid w:val="0023154C"/>
    <w:rsid w:val="002328A2"/>
    <w:rsid w:val="00253F02"/>
    <w:rsid w:val="00254BEB"/>
    <w:rsid w:val="002571B6"/>
    <w:rsid w:val="00257371"/>
    <w:rsid w:val="00260AF5"/>
    <w:rsid w:val="0026224A"/>
    <w:rsid w:val="00266812"/>
    <w:rsid w:val="00271AE9"/>
    <w:rsid w:val="00280694"/>
    <w:rsid w:val="00283DFC"/>
    <w:rsid w:val="00295C02"/>
    <w:rsid w:val="002B1310"/>
    <w:rsid w:val="002B3418"/>
    <w:rsid w:val="002B5CDE"/>
    <w:rsid w:val="002D1FE0"/>
    <w:rsid w:val="002D5197"/>
    <w:rsid w:val="002D5D15"/>
    <w:rsid w:val="002F2210"/>
    <w:rsid w:val="002F52EB"/>
    <w:rsid w:val="00305E45"/>
    <w:rsid w:val="003104B0"/>
    <w:rsid w:val="00326397"/>
    <w:rsid w:val="00336B71"/>
    <w:rsid w:val="00342B94"/>
    <w:rsid w:val="00352EAB"/>
    <w:rsid w:val="00354315"/>
    <w:rsid w:val="00356B46"/>
    <w:rsid w:val="00364D42"/>
    <w:rsid w:val="00370271"/>
    <w:rsid w:val="00382D67"/>
    <w:rsid w:val="00385763"/>
    <w:rsid w:val="003A02B4"/>
    <w:rsid w:val="003A1BB8"/>
    <w:rsid w:val="003A43BB"/>
    <w:rsid w:val="003B3563"/>
    <w:rsid w:val="003C7701"/>
    <w:rsid w:val="003C792A"/>
    <w:rsid w:val="003C7DAC"/>
    <w:rsid w:val="003E5723"/>
    <w:rsid w:val="00403D61"/>
    <w:rsid w:val="004068FA"/>
    <w:rsid w:val="00410C16"/>
    <w:rsid w:val="00413407"/>
    <w:rsid w:val="00414157"/>
    <w:rsid w:val="00414FC9"/>
    <w:rsid w:val="00422665"/>
    <w:rsid w:val="00423ABF"/>
    <w:rsid w:val="004452E9"/>
    <w:rsid w:val="0045122F"/>
    <w:rsid w:val="004536F3"/>
    <w:rsid w:val="0045595C"/>
    <w:rsid w:val="00457901"/>
    <w:rsid w:val="0046443E"/>
    <w:rsid w:val="00464DED"/>
    <w:rsid w:val="00467B71"/>
    <w:rsid w:val="00475AA1"/>
    <w:rsid w:val="004775AB"/>
    <w:rsid w:val="004971A5"/>
    <w:rsid w:val="004A2C7F"/>
    <w:rsid w:val="004A6AC1"/>
    <w:rsid w:val="004B6D75"/>
    <w:rsid w:val="004B721C"/>
    <w:rsid w:val="004B75E8"/>
    <w:rsid w:val="004C1D95"/>
    <w:rsid w:val="004D1569"/>
    <w:rsid w:val="004E1E82"/>
    <w:rsid w:val="004E258C"/>
    <w:rsid w:val="004E60CE"/>
    <w:rsid w:val="00501C4C"/>
    <w:rsid w:val="00510ACC"/>
    <w:rsid w:val="00516E91"/>
    <w:rsid w:val="005202C0"/>
    <w:rsid w:val="005239CD"/>
    <w:rsid w:val="0054376F"/>
    <w:rsid w:val="005A0CF2"/>
    <w:rsid w:val="005A784B"/>
    <w:rsid w:val="005A7C42"/>
    <w:rsid w:val="005B4E27"/>
    <w:rsid w:val="005C368F"/>
    <w:rsid w:val="005D2A49"/>
    <w:rsid w:val="005D3670"/>
    <w:rsid w:val="005D7292"/>
    <w:rsid w:val="005F6E12"/>
    <w:rsid w:val="00605CC1"/>
    <w:rsid w:val="00611A1D"/>
    <w:rsid w:val="00620EB6"/>
    <w:rsid w:val="00622594"/>
    <w:rsid w:val="00623104"/>
    <w:rsid w:val="0063122F"/>
    <w:rsid w:val="00650794"/>
    <w:rsid w:val="00655B4B"/>
    <w:rsid w:val="00660884"/>
    <w:rsid w:val="00660BF4"/>
    <w:rsid w:val="006617B5"/>
    <w:rsid w:val="00661DE8"/>
    <w:rsid w:val="00663467"/>
    <w:rsid w:val="006653F8"/>
    <w:rsid w:val="00675D7C"/>
    <w:rsid w:val="00687A8E"/>
    <w:rsid w:val="006B328E"/>
    <w:rsid w:val="006C3546"/>
    <w:rsid w:val="006D2998"/>
    <w:rsid w:val="006F040B"/>
    <w:rsid w:val="006F3E8B"/>
    <w:rsid w:val="006F5461"/>
    <w:rsid w:val="006F681A"/>
    <w:rsid w:val="006F73AC"/>
    <w:rsid w:val="007034B8"/>
    <w:rsid w:val="007352BD"/>
    <w:rsid w:val="00743EBB"/>
    <w:rsid w:val="0075569E"/>
    <w:rsid w:val="00764D57"/>
    <w:rsid w:val="00775571"/>
    <w:rsid w:val="00785357"/>
    <w:rsid w:val="007A6D01"/>
    <w:rsid w:val="007B0B67"/>
    <w:rsid w:val="007B1C1C"/>
    <w:rsid w:val="007B2D32"/>
    <w:rsid w:val="007B6AA2"/>
    <w:rsid w:val="007E3282"/>
    <w:rsid w:val="007E4FE3"/>
    <w:rsid w:val="008057A9"/>
    <w:rsid w:val="00805AED"/>
    <w:rsid w:val="0081008A"/>
    <w:rsid w:val="00820C2D"/>
    <w:rsid w:val="00832EE4"/>
    <w:rsid w:val="008355AD"/>
    <w:rsid w:val="00855434"/>
    <w:rsid w:val="00861148"/>
    <w:rsid w:val="008671F2"/>
    <w:rsid w:val="00867C10"/>
    <w:rsid w:val="00885966"/>
    <w:rsid w:val="00886D14"/>
    <w:rsid w:val="00891FB1"/>
    <w:rsid w:val="008A1975"/>
    <w:rsid w:val="008B18E4"/>
    <w:rsid w:val="008D0268"/>
    <w:rsid w:val="008D518C"/>
    <w:rsid w:val="008E3498"/>
    <w:rsid w:val="0090054D"/>
    <w:rsid w:val="0090750F"/>
    <w:rsid w:val="00910070"/>
    <w:rsid w:val="0092685D"/>
    <w:rsid w:val="009421F0"/>
    <w:rsid w:val="009444CE"/>
    <w:rsid w:val="00944C7D"/>
    <w:rsid w:val="00955AF2"/>
    <w:rsid w:val="009660AD"/>
    <w:rsid w:val="00974235"/>
    <w:rsid w:val="00985E8A"/>
    <w:rsid w:val="00994C2B"/>
    <w:rsid w:val="009A02B6"/>
    <w:rsid w:val="009B1FB6"/>
    <w:rsid w:val="009B37F5"/>
    <w:rsid w:val="009C56B7"/>
    <w:rsid w:val="009C5FEA"/>
    <w:rsid w:val="009C79A7"/>
    <w:rsid w:val="009D09E4"/>
    <w:rsid w:val="009D2E0C"/>
    <w:rsid w:val="009E37CC"/>
    <w:rsid w:val="009F0AA8"/>
    <w:rsid w:val="00A026FB"/>
    <w:rsid w:val="00A25F24"/>
    <w:rsid w:val="00A47742"/>
    <w:rsid w:val="00A47B42"/>
    <w:rsid w:val="00A7637F"/>
    <w:rsid w:val="00A86E4A"/>
    <w:rsid w:val="00A938C3"/>
    <w:rsid w:val="00AB036D"/>
    <w:rsid w:val="00AB5867"/>
    <w:rsid w:val="00AD0D6C"/>
    <w:rsid w:val="00AE17FE"/>
    <w:rsid w:val="00B0554E"/>
    <w:rsid w:val="00B05E38"/>
    <w:rsid w:val="00B2130F"/>
    <w:rsid w:val="00B24F55"/>
    <w:rsid w:val="00B56235"/>
    <w:rsid w:val="00B71403"/>
    <w:rsid w:val="00B77163"/>
    <w:rsid w:val="00B85FEE"/>
    <w:rsid w:val="00BA76C0"/>
    <w:rsid w:val="00BC4031"/>
    <w:rsid w:val="00BD253E"/>
    <w:rsid w:val="00BE0955"/>
    <w:rsid w:val="00BE7129"/>
    <w:rsid w:val="00BF58A1"/>
    <w:rsid w:val="00C027B2"/>
    <w:rsid w:val="00C0778F"/>
    <w:rsid w:val="00C21F09"/>
    <w:rsid w:val="00C251D4"/>
    <w:rsid w:val="00C35230"/>
    <w:rsid w:val="00C35F51"/>
    <w:rsid w:val="00C45073"/>
    <w:rsid w:val="00C559C3"/>
    <w:rsid w:val="00C57B10"/>
    <w:rsid w:val="00C61DBE"/>
    <w:rsid w:val="00CC2E60"/>
    <w:rsid w:val="00CD3731"/>
    <w:rsid w:val="00CE1AF4"/>
    <w:rsid w:val="00CE2F73"/>
    <w:rsid w:val="00CE2F8F"/>
    <w:rsid w:val="00CF39E6"/>
    <w:rsid w:val="00D02BD7"/>
    <w:rsid w:val="00D1143A"/>
    <w:rsid w:val="00D1640E"/>
    <w:rsid w:val="00D2399A"/>
    <w:rsid w:val="00D24C1C"/>
    <w:rsid w:val="00D313B5"/>
    <w:rsid w:val="00D50E4A"/>
    <w:rsid w:val="00D64EED"/>
    <w:rsid w:val="00D77DFF"/>
    <w:rsid w:val="00D85140"/>
    <w:rsid w:val="00D85227"/>
    <w:rsid w:val="00D95018"/>
    <w:rsid w:val="00DA61AF"/>
    <w:rsid w:val="00DB6A07"/>
    <w:rsid w:val="00DD3AEA"/>
    <w:rsid w:val="00DD4CA3"/>
    <w:rsid w:val="00DF0A5A"/>
    <w:rsid w:val="00E01A1A"/>
    <w:rsid w:val="00E07434"/>
    <w:rsid w:val="00E16C7E"/>
    <w:rsid w:val="00E16FDB"/>
    <w:rsid w:val="00E269D0"/>
    <w:rsid w:val="00E3101B"/>
    <w:rsid w:val="00E361CB"/>
    <w:rsid w:val="00E50D22"/>
    <w:rsid w:val="00E52B32"/>
    <w:rsid w:val="00E65AE8"/>
    <w:rsid w:val="00E71A86"/>
    <w:rsid w:val="00E85696"/>
    <w:rsid w:val="00EA1FA7"/>
    <w:rsid w:val="00EA3165"/>
    <w:rsid w:val="00EA52C2"/>
    <w:rsid w:val="00EB3498"/>
    <w:rsid w:val="00EB4613"/>
    <w:rsid w:val="00EC6982"/>
    <w:rsid w:val="00EC7E1E"/>
    <w:rsid w:val="00EE75CB"/>
    <w:rsid w:val="00F140B0"/>
    <w:rsid w:val="00F24A98"/>
    <w:rsid w:val="00F252C8"/>
    <w:rsid w:val="00F33A29"/>
    <w:rsid w:val="00F36DF0"/>
    <w:rsid w:val="00F41669"/>
    <w:rsid w:val="00F64F5F"/>
    <w:rsid w:val="00F71162"/>
    <w:rsid w:val="00F813ED"/>
    <w:rsid w:val="00F9745C"/>
    <w:rsid w:val="00FA5C56"/>
    <w:rsid w:val="00FB447F"/>
    <w:rsid w:val="00FC1290"/>
    <w:rsid w:val="00FC241D"/>
    <w:rsid w:val="00FD07FE"/>
    <w:rsid w:val="00FF538E"/>
    <w:rsid w:val="010217FF"/>
    <w:rsid w:val="011555A0"/>
    <w:rsid w:val="011628C1"/>
    <w:rsid w:val="01162AA9"/>
    <w:rsid w:val="01210A4F"/>
    <w:rsid w:val="0124470A"/>
    <w:rsid w:val="012502C5"/>
    <w:rsid w:val="01254BE9"/>
    <w:rsid w:val="01261303"/>
    <w:rsid w:val="01274C1F"/>
    <w:rsid w:val="012C7EB5"/>
    <w:rsid w:val="013B1E9F"/>
    <w:rsid w:val="013F18AC"/>
    <w:rsid w:val="01434310"/>
    <w:rsid w:val="01442CE1"/>
    <w:rsid w:val="014542C9"/>
    <w:rsid w:val="01472DE3"/>
    <w:rsid w:val="01491C92"/>
    <w:rsid w:val="014A733A"/>
    <w:rsid w:val="014E213C"/>
    <w:rsid w:val="01503908"/>
    <w:rsid w:val="01505C6A"/>
    <w:rsid w:val="015345ED"/>
    <w:rsid w:val="0153623B"/>
    <w:rsid w:val="01567B51"/>
    <w:rsid w:val="01575A0D"/>
    <w:rsid w:val="01580A11"/>
    <w:rsid w:val="0158790E"/>
    <w:rsid w:val="015D34BB"/>
    <w:rsid w:val="016362B6"/>
    <w:rsid w:val="016A7614"/>
    <w:rsid w:val="016E0718"/>
    <w:rsid w:val="017212A4"/>
    <w:rsid w:val="017A00E9"/>
    <w:rsid w:val="01815DC1"/>
    <w:rsid w:val="01837ED5"/>
    <w:rsid w:val="01855417"/>
    <w:rsid w:val="01903DAA"/>
    <w:rsid w:val="01923304"/>
    <w:rsid w:val="01931861"/>
    <w:rsid w:val="01951B88"/>
    <w:rsid w:val="0198496C"/>
    <w:rsid w:val="019A7EC5"/>
    <w:rsid w:val="019D4F8F"/>
    <w:rsid w:val="019D71A2"/>
    <w:rsid w:val="01A06079"/>
    <w:rsid w:val="01A44AEF"/>
    <w:rsid w:val="01B02C50"/>
    <w:rsid w:val="01B31365"/>
    <w:rsid w:val="01B541C1"/>
    <w:rsid w:val="01B553B6"/>
    <w:rsid w:val="01C41BC3"/>
    <w:rsid w:val="01C4390F"/>
    <w:rsid w:val="01CB0620"/>
    <w:rsid w:val="01CC4003"/>
    <w:rsid w:val="01CE79DA"/>
    <w:rsid w:val="01D00F2D"/>
    <w:rsid w:val="01D33C52"/>
    <w:rsid w:val="01D74F84"/>
    <w:rsid w:val="01D756E0"/>
    <w:rsid w:val="01D77D46"/>
    <w:rsid w:val="01D84E85"/>
    <w:rsid w:val="01D95C39"/>
    <w:rsid w:val="01E47C26"/>
    <w:rsid w:val="01E52D3E"/>
    <w:rsid w:val="01F03464"/>
    <w:rsid w:val="01FF0127"/>
    <w:rsid w:val="02013E5B"/>
    <w:rsid w:val="0203754D"/>
    <w:rsid w:val="020B0CBB"/>
    <w:rsid w:val="020C131D"/>
    <w:rsid w:val="0210182B"/>
    <w:rsid w:val="02113420"/>
    <w:rsid w:val="0211534C"/>
    <w:rsid w:val="02120A76"/>
    <w:rsid w:val="021A30DF"/>
    <w:rsid w:val="021B06AE"/>
    <w:rsid w:val="021F06E4"/>
    <w:rsid w:val="021F39A1"/>
    <w:rsid w:val="021F7127"/>
    <w:rsid w:val="02220C7B"/>
    <w:rsid w:val="02262A6F"/>
    <w:rsid w:val="022C44DC"/>
    <w:rsid w:val="02300A21"/>
    <w:rsid w:val="02377E29"/>
    <w:rsid w:val="02383240"/>
    <w:rsid w:val="023A26CE"/>
    <w:rsid w:val="023C0851"/>
    <w:rsid w:val="023D18DD"/>
    <w:rsid w:val="02417905"/>
    <w:rsid w:val="02541D15"/>
    <w:rsid w:val="02563ABA"/>
    <w:rsid w:val="025B6764"/>
    <w:rsid w:val="025B6F8F"/>
    <w:rsid w:val="025D0604"/>
    <w:rsid w:val="025E2C21"/>
    <w:rsid w:val="02612BE0"/>
    <w:rsid w:val="02694E00"/>
    <w:rsid w:val="026C564E"/>
    <w:rsid w:val="026F2014"/>
    <w:rsid w:val="027672A8"/>
    <w:rsid w:val="027A0D4C"/>
    <w:rsid w:val="027D10AE"/>
    <w:rsid w:val="027D1813"/>
    <w:rsid w:val="027D20A3"/>
    <w:rsid w:val="02844559"/>
    <w:rsid w:val="02894738"/>
    <w:rsid w:val="028A0318"/>
    <w:rsid w:val="028A467B"/>
    <w:rsid w:val="028D3F78"/>
    <w:rsid w:val="028E0A19"/>
    <w:rsid w:val="029166DD"/>
    <w:rsid w:val="02953CD9"/>
    <w:rsid w:val="029A7995"/>
    <w:rsid w:val="029E0E2C"/>
    <w:rsid w:val="02A75D25"/>
    <w:rsid w:val="02B603B5"/>
    <w:rsid w:val="02B62322"/>
    <w:rsid w:val="02B91549"/>
    <w:rsid w:val="02BA761F"/>
    <w:rsid w:val="02BC3362"/>
    <w:rsid w:val="02CF0A0E"/>
    <w:rsid w:val="02D0749B"/>
    <w:rsid w:val="02D63400"/>
    <w:rsid w:val="02DB42E5"/>
    <w:rsid w:val="02E16329"/>
    <w:rsid w:val="02E22A37"/>
    <w:rsid w:val="02E25D6D"/>
    <w:rsid w:val="02E84936"/>
    <w:rsid w:val="02EA12D5"/>
    <w:rsid w:val="02EF206A"/>
    <w:rsid w:val="02F33E59"/>
    <w:rsid w:val="02F80EF2"/>
    <w:rsid w:val="02FB45E4"/>
    <w:rsid w:val="02FF4796"/>
    <w:rsid w:val="03011BCE"/>
    <w:rsid w:val="03076C46"/>
    <w:rsid w:val="030B0EAE"/>
    <w:rsid w:val="030E6E95"/>
    <w:rsid w:val="03117C12"/>
    <w:rsid w:val="03143E89"/>
    <w:rsid w:val="03146786"/>
    <w:rsid w:val="0318564B"/>
    <w:rsid w:val="031F38F3"/>
    <w:rsid w:val="032D3681"/>
    <w:rsid w:val="032D7569"/>
    <w:rsid w:val="032E7FB3"/>
    <w:rsid w:val="033270D3"/>
    <w:rsid w:val="0334024B"/>
    <w:rsid w:val="03385683"/>
    <w:rsid w:val="03397A75"/>
    <w:rsid w:val="033F1D0C"/>
    <w:rsid w:val="034340C3"/>
    <w:rsid w:val="03434C03"/>
    <w:rsid w:val="03445FB4"/>
    <w:rsid w:val="03462AF7"/>
    <w:rsid w:val="0348266B"/>
    <w:rsid w:val="034E673A"/>
    <w:rsid w:val="034F1079"/>
    <w:rsid w:val="03523D73"/>
    <w:rsid w:val="03587DDB"/>
    <w:rsid w:val="035902C4"/>
    <w:rsid w:val="035A0C2D"/>
    <w:rsid w:val="035B5DE9"/>
    <w:rsid w:val="035C5B29"/>
    <w:rsid w:val="036860CC"/>
    <w:rsid w:val="036B4571"/>
    <w:rsid w:val="03716D4A"/>
    <w:rsid w:val="03752643"/>
    <w:rsid w:val="037C5E89"/>
    <w:rsid w:val="03822038"/>
    <w:rsid w:val="038620D9"/>
    <w:rsid w:val="03866005"/>
    <w:rsid w:val="03905509"/>
    <w:rsid w:val="03947E86"/>
    <w:rsid w:val="03950A61"/>
    <w:rsid w:val="03965510"/>
    <w:rsid w:val="039A4A68"/>
    <w:rsid w:val="039B4C6A"/>
    <w:rsid w:val="039C5FA4"/>
    <w:rsid w:val="039E0140"/>
    <w:rsid w:val="03A3455E"/>
    <w:rsid w:val="03A4230A"/>
    <w:rsid w:val="03A62E30"/>
    <w:rsid w:val="03B21C0A"/>
    <w:rsid w:val="03B26D15"/>
    <w:rsid w:val="03B72AE3"/>
    <w:rsid w:val="03B85735"/>
    <w:rsid w:val="03BE5B02"/>
    <w:rsid w:val="03CB5702"/>
    <w:rsid w:val="03D045E0"/>
    <w:rsid w:val="03DA2EC5"/>
    <w:rsid w:val="03E43141"/>
    <w:rsid w:val="03E74D93"/>
    <w:rsid w:val="03E77D62"/>
    <w:rsid w:val="03EA547B"/>
    <w:rsid w:val="03F32604"/>
    <w:rsid w:val="040239CE"/>
    <w:rsid w:val="040F68C3"/>
    <w:rsid w:val="04123920"/>
    <w:rsid w:val="041911CA"/>
    <w:rsid w:val="0420770D"/>
    <w:rsid w:val="04215035"/>
    <w:rsid w:val="04237C66"/>
    <w:rsid w:val="042B170F"/>
    <w:rsid w:val="042E073D"/>
    <w:rsid w:val="042E5D3A"/>
    <w:rsid w:val="0435222D"/>
    <w:rsid w:val="044479AE"/>
    <w:rsid w:val="04452465"/>
    <w:rsid w:val="044A7C16"/>
    <w:rsid w:val="044C6BB6"/>
    <w:rsid w:val="04515DE6"/>
    <w:rsid w:val="04597DE7"/>
    <w:rsid w:val="045B3511"/>
    <w:rsid w:val="045E46BD"/>
    <w:rsid w:val="0461524D"/>
    <w:rsid w:val="046923B9"/>
    <w:rsid w:val="046A2A7C"/>
    <w:rsid w:val="047541A7"/>
    <w:rsid w:val="0477722C"/>
    <w:rsid w:val="04780285"/>
    <w:rsid w:val="047B36E9"/>
    <w:rsid w:val="047D36BC"/>
    <w:rsid w:val="04874AA9"/>
    <w:rsid w:val="04881F57"/>
    <w:rsid w:val="04897B9C"/>
    <w:rsid w:val="048B6633"/>
    <w:rsid w:val="048C7BCE"/>
    <w:rsid w:val="048F44CF"/>
    <w:rsid w:val="04963092"/>
    <w:rsid w:val="049749F4"/>
    <w:rsid w:val="049B42B3"/>
    <w:rsid w:val="049C124C"/>
    <w:rsid w:val="049C2978"/>
    <w:rsid w:val="04A125BB"/>
    <w:rsid w:val="04A60C8C"/>
    <w:rsid w:val="04A827D4"/>
    <w:rsid w:val="04AE12B9"/>
    <w:rsid w:val="04B10B80"/>
    <w:rsid w:val="04B62A85"/>
    <w:rsid w:val="04BA043D"/>
    <w:rsid w:val="04BA0D46"/>
    <w:rsid w:val="04C1720D"/>
    <w:rsid w:val="04C473F7"/>
    <w:rsid w:val="04C65A49"/>
    <w:rsid w:val="04C92556"/>
    <w:rsid w:val="04D65335"/>
    <w:rsid w:val="04E044A8"/>
    <w:rsid w:val="04E15947"/>
    <w:rsid w:val="04E6294A"/>
    <w:rsid w:val="04EB4E11"/>
    <w:rsid w:val="05104492"/>
    <w:rsid w:val="05116280"/>
    <w:rsid w:val="0514052B"/>
    <w:rsid w:val="0518423C"/>
    <w:rsid w:val="051A1939"/>
    <w:rsid w:val="051A29EC"/>
    <w:rsid w:val="05244505"/>
    <w:rsid w:val="052511E9"/>
    <w:rsid w:val="0525401D"/>
    <w:rsid w:val="05266C57"/>
    <w:rsid w:val="052F3E0A"/>
    <w:rsid w:val="05314554"/>
    <w:rsid w:val="053A3C4B"/>
    <w:rsid w:val="053F23FF"/>
    <w:rsid w:val="05430C55"/>
    <w:rsid w:val="055D2805"/>
    <w:rsid w:val="05610806"/>
    <w:rsid w:val="0564754E"/>
    <w:rsid w:val="05647E6D"/>
    <w:rsid w:val="05681991"/>
    <w:rsid w:val="056A7122"/>
    <w:rsid w:val="056B3214"/>
    <w:rsid w:val="05702211"/>
    <w:rsid w:val="0574680C"/>
    <w:rsid w:val="057472FE"/>
    <w:rsid w:val="057D1832"/>
    <w:rsid w:val="057E156E"/>
    <w:rsid w:val="057E6F53"/>
    <w:rsid w:val="0583094F"/>
    <w:rsid w:val="05833BCE"/>
    <w:rsid w:val="05867B3B"/>
    <w:rsid w:val="05890602"/>
    <w:rsid w:val="05925788"/>
    <w:rsid w:val="05936889"/>
    <w:rsid w:val="05984710"/>
    <w:rsid w:val="059D2A74"/>
    <w:rsid w:val="05AB0AD7"/>
    <w:rsid w:val="05AD520D"/>
    <w:rsid w:val="05B9231A"/>
    <w:rsid w:val="05C24362"/>
    <w:rsid w:val="05C2564A"/>
    <w:rsid w:val="05C34AAB"/>
    <w:rsid w:val="05CA4E56"/>
    <w:rsid w:val="05CF5EE0"/>
    <w:rsid w:val="05D04A96"/>
    <w:rsid w:val="05D23528"/>
    <w:rsid w:val="05D37FCD"/>
    <w:rsid w:val="05D63022"/>
    <w:rsid w:val="05D96B35"/>
    <w:rsid w:val="05DE3CE2"/>
    <w:rsid w:val="05E30EC9"/>
    <w:rsid w:val="05E60BB1"/>
    <w:rsid w:val="05E75ED5"/>
    <w:rsid w:val="05E81D6D"/>
    <w:rsid w:val="05EA5EF3"/>
    <w:rsid w:val="05ED1E7B"/>
    <w:rsid w:val="05F6417E"/>
    <w:rsid w:val="05F81EB2"/>
    <w:rsid w:val="06001F69"/>
    <w:rsid w:val="06026E0A"/>
    <w:rsid w:val="0608741A"/>
    <w:rsid w:val="061033CD"/>
    <w:rsid w:val="06110728"/>
    <w:rsid w:val="06123518"/>
    <w:rsid w:val="06275159"/>
    <w:rsid w:val="06276726"/>
    <w:rsid w:val="06276F50"/>
    <w:rsid w:val="062D0477"/>
    <w:rsid w:val="062D4343"/>
    <w:rsid w:val="0635300A"/>
    <w:rsid w:val="0635502D"/>
    <w:rsid w:val="063763FF"/>
    <w:rsid w:val="063927A5"/>
    <w:rsid w:val="063C4F2E"/>
    <w:rsid w:val="06424D45"/>
    <w:rsid w:val="064602E5"/>
    <w:rsid w:val="06493B00"/>
    <w:rsid w:val="064D6B67"/>
    <w:rsid w:val="064E3AF0"/>
    <w:rsid w:val="06512FD1"/>
    <w:rsid w:val="065971A0"/>
    <w:rsid w:val="065A56DD"/>
    <w:rsid w:val="0660384B"/>
    <w:rsid w:val="066445F0"/>
    <w:rsid w:val="0665029A"/>
    <w:rsid w:val="0667510C"/>
    <w:rsid w:val="066810CF"/>
    <w:rsid w:val="066D4DD0"/>
    <w:rsid w:val="066D6762"/>
    <w:rsid w:val="066E75D2"/>
    <w:rsid w:val="06737AF3"/>
    <w:rsid w:val="067B412C"/>
    <w:rsid w:val="067C32A3"/>
    <w:rsid w:val="06837521"/>
    <w:rsid w:val="068E7D8A"/>
    <w:rsid w:val="068F742A"/>
    <w:rsid w:val="06910508"/>
    <w:rsid w:val="06AB236F"/>
    <w:rsid w:val="06AC1719"/>
    <w:rsid w:val="06AF648B"/>
    <w:rsid w:val="06B23E88"/>
    <w:rsid w:val="06B63D71"/>
    <w:rsid w:val="06BC0EBE"/>
    <w:rsid w:val="06BD5702"/>
    <w:rsid w:val="06C2615C"/>
    <w:rsid w:val="06C850AE"/>
    <w:rsid w:val="06CB42D6"/>
    <w:rsid w:val="06CC0515"/>
    <w:rsid w:val="06CF2055"/>
    <w:rsid w:val="06CF6764"/>
    <w:rsid w:val="06D034FC"/>
    <w:rsid w:val="06D21B70"/>
    <w:rsid w:val="06D42421"/>
    <w:rsid w:val="06D86809"/>
    <w:rsid w:val="06DB2844"/>
    <w:rsid w:val="06E065D4"/>
    <w:rsid w:val="06E22B15"/>
    <w:rsid w:val="06E31539"/>
    <w:rsid w:val="06E84C2D"/>
    <w:rsid w:val="06EC1013"/>
    <w:rsid w:val="06F14A89"/>
    <w:rsid w:val="06F66D6F"/>
    <w:rsid w:val="06FA4560"/>
    <w:rsid w:val="06FC4C94"/>
    <w:rsid w:val="06FF76E4"/>
    <w:rsid w:val="070763B8"/>
    <w:rsid w:val="070E747F"/>
    <w:rsid w:val="0711449F"/>
    <w:rsid w:val="0714437C"/>
    <w:rsid w:val="07180773"/>
    <w:rsid w:val="07257F9F"/>
    <w:rsid w:val="072703F3"/>
    <w:rsid w:val="07294685"/>
    <w:rsid w:val="07320966"/>
    <w:rsid w:val="073275CF"/>
    <w:rsid w:val="073C7E87"/>
    <w:rsid w:val="073F50AA"/>
    <w:rsid w:val="074A036C"/>
    <w:rsid w:val="074E178F"/>
    <w:rsid w:val="07516083"/>
    <w:rsid w:val="07526619"/>
    <w:rsid w:val="07576EA6"/>
    <w:rsid w:val="075E5F43"/>
    <w:rsid w:val="07614F55"/>
    <w:rsid w:val="07663A3A"/>
    <w:rsid w:val="0766593F"/>
    <w:rsid w:val="076A3347"/>
    <w:rsid w:val="076D16AE"/>
    <w:rsid w:val="07742FD0"/>
    <w:rsid w:val="07793E5D"/>
    <w:rsid w:val="077A5948"/>
    <w:rsid w:val="07813684"/>
    <w:rsid w:val="07874B64"/>
    <w:rsid w:val="07886C1D"/>
    <w:rsid w:val="07891576"/>
    <w:rsid w:val="07893818"/>
    <w:rsid w:val="078E624F"/>
    <w:rsid w:val="079B1F27"/>
    <w:rsid w:val="079C449A"/>
    <w:rsid w:val="079F6669"/>
    <w:rsid w:val="07A65CA1"/>
    <w:rsid w:val="07AE0C23"/>
    <w:rsid w:val="07B04A4D"/>
    <w:rsid w:val="07B109E7"/>
    <w:rsid w:val="07B21E7B"/>
    <w:rsid w:val="07B52A9B"/>
    <w:rsid w:val="07C20612"/>
    <w:rsid w:val="07C36176"/>
    <w:rsid w:val="07C61AD7"/>
    <w:rsid w:val="07CC59AB"/>
    <w:rsid w:val="07CE4E3C"/>
    <w:rsid w:val="07D033DF"/>
    <w:rsid w:val="07D27CD8"/>
    <w:rsid w:val="07DA5D7C"/>
    <w:rsid w:val="07DA7E0C"/>
    <w:rsid w:val="07E65815"/>
    <w:rsid w:val="07E6690C"/>
    <w:rsid w:val="07E90FF9"/>
    <w:rsid w:val="07EB16A5"/>
    <w:rsid w:val="07EC69CD"/>
    <w:rsid w:val="07ED0AF3"/>
    <w:rsid w:val="07EF32C0"/>
    <w:rsid w:val="07F05803"/>
    <w:rsid w:val="07F34048"/>
    <w:rsid w:val="07F53D01"/>
    <w:rsid w:val="07FC509F"/>
    <w:rsid w:val="08000A05"/>
    <w:rsid w:val="080A0DC1"/>
    <w:rsid w:val="080D071B"/>
    <w:rsid w:val="081001D5"/>
    <w:rsid w:val="08181166"/>
    <w:rsid w:val="08186893"/>
    <w:rsid w:val="08191CE1"/>
    <w:rsid w:val="081E4422"/>
    <w:rsid w:val="082420C4"/>
    <w:rsid w:val="082D6D94"/>
    <w:rsid w:val="082F3BA3"/>
    <w:rsid w:val="08341F48"/>
    <w:rsid w:val="08343386"/>
    <w:rsid w:val="083E7179"/>
    <w:rsid w:val="08404B00"/>
    <w:rsid w:val="08437302"/>
    <w:rsid w:val="08441A2E"/>
    <w:rsid w:val="08456A64"/>
    <w:rsid w:val="084908A7"/>
    <w:rsid w:val="084B4610"/>
    <w:rsid w:val="084C0DCA"/>
    <w:rsid w:val="0859596B"/>
    <w:rsid w:val="08605A69"/>
    <w:rsid w:val="08674FD6"/>
    <w:rsid w:val="086C3C76"/>
    <w:rsid w:val="087141A0"/>
    <w:rsid w:val="08861625"/>
    <w:rsid w:val="08866AC5"/>
    <w:rsid w:val="08875CB2"/>
    <w:rsid w:val="088822D8"/>
    <w:rsid w:val="088B22F2"/>
    <w:rsid w:val="08902D96"/>
    <w:rsid w:val="08914439"/>
    <w:rsid w:val="0893587F"/>
    <w:rsid w:val="08950E53"/>
    <w:rsid w:val="08955D14"/>
    <w:rsid w:val="089837DF"/>
    <w:rsid w:val="089A69F6"/>
    <w:rsid w:val="089D2361"/>
    <w:rsid w:val="089D67CD"/>
    <w:rsid w:val="08AA2678"/>
    <w:rsid w:val="08AA5DE3"/>
    <w:rsid w:val="08B24205"/>
    <w:rsid w:val="08B449A2"/>
    <w:rsid w:val="08C01D79"/>
    <w:rsid w:val="08C01DF5"/>
    <w:rsid w:val="08C50CAB"/>
    <w:rsid w:val="08C5368D"/>
    <w:rsid w:val="08C60667"/>
    <w:rsid w:val="08C73D21"/>
    <w:rsid w:val="08CE0538"/>
    <w:rsid w:val="08D20236"/>
    <w:rsid w:val="08D34892"/>
    <w:rsid w:val="08D36626"/>
    <w:rsid w:val="08D4743C"/>
    <w:rsid w:val="08DB72DC"/>
    <w:rsid w:val="08DC311B"/>
    <w:rsid w:val="08E17838"/>
    <w:rsid w:val="08E70102"/>
    <w:rsid w:val="08EA2ADD"/>
    <w:rsid w:val="08F276E0"/>
    <w:rsid w:val="08F66C1B"/>
    <w:rsid w:val="08F73222"/>
    <w:rsid w:val="08FF2A36"/>
    <w:rsid w:val="090152B5"/>
    <w:rsid w:val="09055DE1"/>
    <w:rsid w:val="090855B0"/>
    <w:rsid w:val="090F364C"/>
    <w:rsid w:val="0913173F"/>
    <w:rsid w:val="09143DDF"/>
    <w:rsid w:val="0915609B"/>
    <w:rsid w:val="0917757B"/>
    <w:rsid w:val="09186177"/>
    <w:rsid w:val="091B67FE"/>
    <w:rsid w:val="091D388F"/>
    <w:rsid w:val="09216981"/>
    <w:rsid w:val="092E58EB"/>
    <w:rsid w:val="09336118"/>
    <w:rsid w:val="09336D5F"/>
    <w:rsid w:val="093408E6"/>
    <w:rsid w:val="093A4506"/>
    <w:rsid w:val="093B4158"/>
    <w:rsid w:val="093F307C"/>
    <w:rsid w:val="09422722"/>
    <w:rsid w:val="09452231"/>
    <w:rsid w:val="0946455D"/>
    <w:rsid w:val="0953440C"/>
    <w:rsid w:val="095800BB"/>
    <w:rsid w:val="095813EC"/>
    <w:rsid w:val="095B5387"/>
    <w:rsid w:val="095F7E27"/>
    <w:rsid w:val="0968039F"/>
    <w:rsid w:val="096D5021"/>
    <w:rsid w:val="096E2AD9"/>
    <w:rsid w:val="096F73CD"/>
    <w:rsid w:val="097209B8"/>
    <w:rsid w:val="09760670"/>
    <w:rsid w:val="097B3960"/>
    <w:rsid w:val="097E7CB0"/>
    <w:rsid w:val="09833F0C"/>
    <w:rsid w:val="09866250"/>
    <w:rsid w:val="098E0A91"/>
    <w:rsid w:val="098E66EE"/>
    <w:rsid w:val="09906938"/>
    <w:rsid w:val="09921E81"/>
    <w:rsid w:val="09967A32"/>
    <w:rsid w:val="0998075E"/>
    <w:rsid w:val="099B550B"/>
    <w:rsid w:val="099E2452"/>
    <w:rsid w:val="09A054E5"/>
    <w:rsid w:val="09A463E7"/>
    <w:rsid w:val="09A6339D"/>
    <w:rsid w:val="09A716A3"/>
    <w:rsid w:val="09AA08CA"/>
    <w:rsid w:val="09AE3E67"/>
    <w:rsid w:val="09B658BE"/>
    <w:rsid w:val="09B90346"/>
    <w:rsid w:val="09BB44FF"/>
    <w:rsid w:val="09BB4C10"/>
    <w:rsid w:val="09C0271E"/>
    <w:rsid w:val="09C1073A"/>
    <w:rsid w:val="09C107D0"/>
    <w:rsid w:val="09C1623B"/>
    <w:rsid w:val="09C367B7"/>
    <w:rsid w:val="09C474F6"/>
    <w:rsid w:val="09C7329B"/>
    <w:rsid w:val="09C86A6C"/>
    <w:rsid w:val="09C87361"/>
    <w:rsid w:val="09DD68FD"/>
    <w:rsid w:val="09E22505"/>
    <w:rsid w:val="09E52C2B"/>
    <w:rsid w:val="09E923CC"/>
    <w:rsid w:val="09EA51C2"/>
    <w:rsid w:val="09EB7485"/>
    <w:rsid w:val="09EF352D"/>
    <w:rsid w:val="09F12AA5"/>
    <w:rsid w:val="09FE1708"/>
    <w:rsid w:val="09FF05A3"/>
    <w:rsid w:val="0A022FF8"/>
    <w:rsid w:val="0A0374E0"/>
    <w:rsid w:val="0A0812C7"/>
    <w:rsid w:val="0A0B7A18"/>
    <w:rsid w:val="0A0C1C97"/>
    <w:rsid w:val="0A0F146C"/>
    <w:rsid w:val="0A105E6D"/>
    <w:rsid w:val="0A15490A"/>
    <w:rsid w:val="0A1F2AEC"/>
    <w:rsid w:val="0A217101"/>
    <w:rsid w:val="0A227844"/>
    <w:rsid w:val="0A261D10"/>
    <w:rsid w:val="0A286AD2"/>
    <w:rsid w:val="0A2C2522"/>
    <w:rsid w:val="0A3071FD"/>
    <w:rsid w:val="0A3958A0"/>
    <w:rsid w:val="0A3B725A"/>
    <w:rsid w:val="0A424AAD"/>
    <w:rsid w:val="0A430517"/>
    <w:rsid w:val="0A4A05C9"/>
    <w:rsid w:val="0A5C2E76"/>
    <w:rsid w:val="0A5C4908"/>
    <w:rsid w:val="0A5D52BB"/>
    <w:rsid w:val="0A61065A"/>
    <w:rsid w:val="0A654098"/>
    <w:rsid w:val="0A701FFA"/>
    <w:rsid w:val="0A7874B4"/>
    <w:rsid w:val="0A792F72"/>
    <w:rsid w:val="0A823762"/>
    <w:rsid w:val="0A8301E5"/>
    <w:rsid w:val="0A86001A"/>
    <w:rsid w:val="0A8E6592"/>
    <w:rsid w:val="0A902922"/>
    <w:rsid w:val="0A9911EA"/>
    <w:rsid w:val="0A9C01B6"/>
    <w:rsid w:val="0AA6239B"/>
    <w:rsid w:val="0AA67BF2"/>
    <w:rsid w:val="0AA82929"/>
    <w:rsid w:val="0AAA1387"/>
    <w:rsid w:val="0AB00C3F"/>
    <w:rsid w:val="0AB1457B"/>
    <w:rsid w:val="0AB178B8"/>
    <w:rsid w:val="0AB25DA9"/>
    <w:rsid w:val="0AB4193D"/>
    <w:rsid w:val="0AC177D9"/>
    <w:rsid w:val="0AC32AD1"/>
    <w:rsid w:val="0AC51472"/>
    <w:rsid w:val="0ACE2100"/>
    <w:rsid w:val="0AD10B02"/>
    <w:rsid w:val="0AD867A8"/>
    <w:rsid w:val="0ADC3619"/>
    <w:rsid w:val="0AE60049"/>
    <w:rsid w:val="0AF034B1"/>
    <w:rsid w:val="0AFA61B1"/>
    <w:rsid w:val="0AFB23BF"/>
    <w:rsid w:val="0AFE04F0"/>
    <w:rsid w:val="0B015068"/>
    <w:rsid w:val="0B0308BA"/>
    <w:rsid w:val="0B0A6510"/>
    <w:rsid w:val="0B132625"/>
    <w:rsid w:val="0B196D5E"/>
    <w:rsid w:val="0B1D4966"/>
    <w:rsid w:val="0B2857DC"/>
    <w:rsid w:val="0B387079"/>
    <w:rsid w:val="0B432A52"/>
    <w:rsid w:val="0B437714"/>
    <w:rsid w:val="0B47382F"/>
    <w:rsid w:val="0B481338"/>
    <w:rsid w:val="0B4E151F"/>
    <w:rsid w:val="0B5048DE"/>
    <w:rsid w:val="0B5127EB"/>
    <w:rsid w:val="0B5473E8"/>
    <w:rsid w:val="0B5B4DC9"/>
    <w:rsid w:val="0B635CA4"/>
    <w:rsid w:val="0B681E61"/>
    <w:rsid w:val="0B6B22D4"/>
    <w:rsid w:val="0B6F0305"/>
    <w:rsid w:val="0B710200"/>
    <w:rsid w:val="0B72372C"/>
    <w:rsid w:val="0B760164"/>
    <w:rsid w:val="0B782960"/>
    <w:rsid w:val="0B7A51C8"/>
    <w:rsid w:val="0B7D10A6"/>
    <w:rsid w:val="0B7F65CD"/>
    <w:rsid w:val="0B8671BE"/>
    <w:rsid w:val="0B884A5D"/>
    <w:rsid w:val="0B885C52"/>
    <w:rsid w:val="0B91047E"/>
    <w:rsid w:val="0B99274B"/>
    <w:rsid w:val="0B9A7694"/>
    <w:rsid w:val="0B9E6316"/>
    <w:rsid w:val="0BAE3738"/>
    <w:rsid w:val="0BAF151E"/>
    <w:rsid w:val="0BB24753"/>
    <w:rsid w:val="0BB5302F"/>
    <w:rsid w:val="0BB927E4"/>
    <w:rsid w:val="0BBC65A6"/>
    <w:rsid w:val="0BC77CA3"/>
    <w:rsid w:val="0BC84B8B"/>
    <w:rsid w:val="0BC91CFF"/>
    <w:rsid w:val="0BCB003B"/>
    <w:rsid w:val="0BCE6930"/>
    <w:rsid w:val="0BD07DF9"/>
    <w:rsid w:val="0BD556D0"/>
    <w:rsid w:val="0BD57974"/>
    <w:rsid w:val="0BD761B0"/>
    <w:rsid w:val="0BD97B74"/>
    <w:rsid w:val="0BDC4A7B"/>
    <w:rsid w:val="0BE41E52"/>
    <w:rsid w:val="0BFA1685"/>
    <w:rsid w:val="0BFB2C59"/>
    <w:rsid w:val="0BFB7023"/>
    <w:rsid w:val="0C050C60"/>
    <w:rsid w:val="0C0C5254"/>
    <w:rsid w:val="0C10109D"/>
    <w:rsid w:val="0C15732F"/>
    <w:rsid w:val="0C191E67"/>
    <w:rsid w:val="0C200CB9"/>
    <w:rsid w:val="0C256761"/>
    <w:rsid w:val="0C2A643C"/>
    <w:rsid w:val="0C2C1D26"/>
    <w:rsid w:val="0C2E15C5"/>
    <w:rsid w:val="0C3317A5"/>
    <w:rsid w:val="0C334675"/>
    <w:rsid w:val="0C3E7DB5"/>
    <w:rsid w:val="0C40609D"/>
    <w:rsid w:val="0C4079EB"/>
    <w:rsid w:val="0C472D4A"/>
    <w:rsid w:val="0C4C28E2"/>
    <w:rsid w:val="0C4E7BF1"/>
    <w:rsid w:val="0C502E12"/>
    <w:rsid w:val="0C532811"/>
    <w:rsid w:val="0C536C31"/>
    <w:rsid w:val="0C551972"/>
    <w:rsid w:val="0C5623A5"/>
    <w:rsid w:val="0C5A562D"/>
    <w:rsid w:val="0C6476AB"/>
    <w:rsid w:val="0C660412"/>
    <w:rsid w:val="0C6703B8"/>
    <w:rsid w:val="0C6A669E"/>
    <w:rsid w:val="0C6B1577"/>
    <w:rsid w:val="0C6E6CAD"/>
    <w:rsid w:val="0C707A95"/>
    <w:rsid w:val="0C75300F"/>
    <w:rsid w:val="0C7757F0"/>
    <w:rsid w:val="0C79749D"/>
    <w:rsid w:val="0C7D0E4C"/>
    <w:rsid w:val="0C7D5C24"/>
    <w:rsid w:val="0C7E2B29"/>
    <w:rsid w:val="0C927739"/>
    <w:rsid w:val="0C9B0761"/>
    <w:rsid w:val="0CA01315"/>
    <w:rsid w:val="0CA41575"/>
    <w:rsid w:val="0CA70E34"/>
    <w:rsid w:val="0CA73EE9"/>
    <w:rsid w:val="0CA96503"/>
    <w:rsid w:val="0CAC1C01"/>
    <w:rsid w:val="0CAC2013"/>
    <w:rsid w:val="0CC5547A"/>
    <w:rsid w:val="0CC74A71"/>
    <w:rsid w:val="0CC861E9"/>
    <w:rsid w:val="0CC91196"/>
    <w:rsid w:val="0CCD036B"/>
    <w:rsid w:val="0CCE0B90"/>
    <w:rsid w:val="0CE26330"/>
    <w:rsid w:val="0CE33D95"/>
    <w:rsid w:val="0CEB5E14"/>
    <w:rsid w:val="0CEE7E58"/>
    <w:rsid w:val="0CFB67A7"/>
    <w:rsid w:val="0CFB6AAB"/>
    <w:rsid w:val="0D0271E7"/>
    <w:rsid w:val="0D0738A6"/>
    <w:rsid w:val="0D084496"/>
    <w:rsid w:val="0D0D5518"/>
    <w:rsid w:val="0D104BA2"/>
    <w:rsid w:val="0D163D03"/>
    <w:rsid w:val="0D1728C1"/>
    <w:rsid w:val="0D221475"/>
    <w:rsid w:val="0D23198D"/>
    <w:rsid w:val="0D2450AD"/>
    <w:rsid w:val="0D270104"/>
    <w:rsid w:val="0D2B4C24"/>
    <w:rsid w:val="0D2C651D"/>
    <w:rsid w:val="0D336319"/>
    <w:rsid w:val="0D367389"/>
    <w:rsid w:val="0D393DFF"/>
    <w:rsid w:val="0D3A6228"/>
    <w:rsid w:val="0D440A87"/>
    <w:rsid w:val="0D4539D4"/>
    <w:rsid w:val="0D4F2D96"/>
    <w:rsid w:val="0D506A18"/>
    <w:rsid w:val="0D564291"/>
    <w:rsid w:val="0D597BB6"/>
    <w:rsid w:val="0D646835"/>
    <w:rsid w:val="0D6516CA"/>
    <w:rsid w:val="0D78428A"/>
    <w:rsid w:val="0D8252ED"/>
    <w:rsid w:val="0D8906F0"/>
    <w:rsid w:val="0D8A7498"/>
    <w:rsid w:val="0D8B7F55"/>
    <w:rsid w:val="0D8E5116"/>
    <w:rsid w:val="0D9958F8"/>
    <w:rsid w:val="0D9E590C"/>
    <w:rsid w:val="0DA23CC7"/>
    <w:rsid w:val="0DA45310"/>
    <w:rsid w:val="0DA576BE"/>
    <w:rsid w:val="0DA82C68"/>
    <w:rsid w:val="0DAE1035"/>
    <w:rsid w:val="0DAE5A27"/>
    <w:rsid w:val="0DAF772C"/>
    <w:rsid w:val="0DBA27AB"/>
    <w:rsid w:val="0DBC5746"/>
    <w:rsid w:val="0DBC7325"/>
    <w:rsid w:val="0DC01205"/>
    <w:rsid w:val="0DC609DB"/>
    <w:rsid w:val="0DC74CDD"/>
    <w:rsid w:val="0DC846C7"/>
    <w:rsid w:val="0DCB0644"/>
    <w:rsid w:val="0DCD7B0B"/>
    <w:rsid w:val="0DD00412"/>
    <w:rsid w:val="0DD230E9"/>
    <w:rsid w:val="0DD43C6C"/>
    <w:rsid w:val="0DD660D1"/>
    <w:rsid w:val="0DD70FFB"/>
    <w:rsid w:val="0DDE1042"/>
    <w:rsid w:val="0DE52687"/>
    <w:rsid w:val="0DE56318"/>
    <w:rsid w:val="0DF4177F"/>
    <w:rsid w:val="0DF56F55"/>
    <w:rsid w:val="0DF86108"/>
    <w:rsid w:val="0DF937D5"/>
    <w:rsid w:val="0DF97123"/>
    <w:rsid w:val="0E0A696A"/>
    <w:rsid w:val="0E0B4A21"/>
    <w:rsid w:val="0E1762EB"/>
    <w:rsid w:val="0E1773F6"/>
    <w:rsid w:val="0E185C9F"/>
    <w:rsid w:val="0E197241"/>
    <w:rsid w:val="0E1B265B"/>
    <w:rsid w:val="0E275EE6"/>
    <w:rsid w:val="0E2E6CF9"/>
    <w:rsid w:val="0E3159A3"/>
    <w:rsid w:val="0E321E7F"/>
    <w:rsid w:val="0E372224"/>
    <w:rsid w:val="0E3D16E4"/>
    <w:rsid w:val="0E413E17"/>
    <w:rsid w:val="0E41429E"/>
    <w:rsid w:val="0E483484"/>
    <w:rsid w:val="0E5303C4"/>
    <w:rsid w:val="0E576AB0"/>
    <w:rsid w:val="0E5D2485"/>
    <w:rsid w:val="0E662218"/>
    <w:rsid w:val="0E6A1843"/>
    <w:rsid w:val="0E736202"/>
    <w:rsid w:val="0E78077C"/>
    <w:rsid w:val="0E7D10F1"/>
    <w:rsid w:val="0E7E5A6E"/>
    <w:rsid w:val="0E841B5B"/>
    <w:rsid w:val="0E8741C9"/>
    <w:rsid w:val="0E90356D"/>
    <w:rsid w:val="0E95687A"/>
    <w:rsid w:val="0EA4790E"/>
    <w:rsid w:val="0EA96A41"/>
    <w:rsid w:val="0EAF7DE3"/>
    <w:rsid w:val="0EB86F18"/>
    <w:rsid w:val="0EC25E35"/>
    <w:rsid w:val="0EC31141"/>
    <w:rsid w:val="0EC4736B"/>
    <w:rsid w:val="0EC51A11"/>
    <w:rsid w:val="0EC8775D"/>
    <w:rsid w:val="0EC908DA"/>
    <w:rsid w:val="0ECB3F36"/>
    <w:rsid w:val="0ED23AA6"/>
    <w:rsid w:val="0ED5599E"/>
    <w:rsid w:val="0ED63D24"/>
    <w:rsid w:val="0EDF20DB"/>
    <w:rsid w:val="0EDF5628"/>
    <w:rsid w:val="0EE17BDF"/>
    <w:rsid w:val="0EE32560"/>
    <w:rsid w:val="0EE91D22"/>
    <w:rsid w:val="0EEB2108"/>
    <w:rsid w:val="0EF958FB"/>
    <w:rsid w:val="0EFC5B8D"/>
    <w:rsid w:val="0F004499"/>
    <w:rsid w:val="0F081C6D"/>
    <w:rsid w:val="0F0E1F07"/>
    <w:rsid w:val="0F1333DA"/>
    <w:rsid w:val="0F141F79"/>
    <w:rsid w:val="0F151659"/>
    <w:rsid w:val="0F161EB2"/>
    <w:rsid w:val="0F1E4F2B"/>
    <w:rsid w:val="0F23234F"/>
    <w:rsid w:val="0F2853AC"/>
    <w:rsid w:val="0F3646CE"/>
    <w:rsid w:val="0F3C7021"/>
    <w:rsid w:val="0F4366CA"/>
    <w:rsid w:val="0F5007B0"/>
    <w:rsid w:val="0F503EF8"/>
    <w:rsid w:val="0F526280"/>
    <w:rsid w:val="0F54456E"/>
    <w:rsid w:val="0F54619E"/>
    <w:rsid w:val="0F572C4A"/>
    <w:rsid w:val="0F623DFA"/>
    <w:rsid w:val="0F636AAD"/>
    <w:rsid w:val="0F64620F"/>
    <w:rsid w:val="0F6838C2"/>
    <w:rsid w:val="0F6C2DB4"/>
    <w:rsid w:val="0F7107CD"/>
    <w:rsid w:val="0F7A7677"/>
    <w:rsid w:val="0F7D75B8"/>
    <w:rsid w:val="0F7E3178"/>
    <w:rsid w:val="0F810075"/>
    <w:rsid w:val="0F845FA4"/>
    <w:rsid w:val="0F851758"/>
    <w:rsid w:val="0F873BE2"/>
    <w:rsid w:val="0F8B606F"/>
    <w:rsid w:val="0F906F4C"/>
    <w:rsid w:val="0F912FA9"/>
    <w:rsid w:val="0F917FF8"/>
    <w:rsid w:val="0F956C83"/>
    <w:rsid w:val="0F9C001F"/>
    <w:rsid w:val="0F9E373C"/>
    <w:rsid w:val="0FA0628C"/>
    <w:rsid w:val="0FA83E11"/>
    <w:rsid w:val="0FB2257D"/>
    <w:rsid w:val="0FB84D92"/>
    <w:rsid w:val="0FBC1673"/>
    <w:rsid w:val="0FBD2D46"/>
    <w:rsid w:val="0FC00D57"/>
    <w:rsid w:val="0FC3458D"/>
    <w:rsid w:val="0FC46C5C"/>
    <w:rsid w:val="0FC53BC2"/>
    <w:rsid w:val="0FCE733C"/>
    <w:rsid w:val="0FCE746A"/>
    <w:rsid w:val="0FCF7D48"/>
    <w:rsid w:val="0FDB1C51"/>
    <w:rsid w:val="0FDC7506"/>
    <w:rsid w:val="0FE267AB"/>
    <w:rsid w:val="0FE457B4"/>
    <w:rsid w:val="0FEA6A88"/>
    <w:rsid w:val="0FEB5356"/>
    <w:rsid w:val="0FEC1221"/>
    <w:rsid w:val="0FF221C3"/>
    <w:rsid w:val="0FF22D0D"/>
    <w:rsid w:val="0FF32C83"/>
    <w:rsid w:val="0FF87C92"/>
    <w:rsid w:val="0FF93613"/>
    <w:rsid w:val="0FFB762F"/>
    <w:rsid w:val="0FFD6761"/>
    <w:rsid w:val="10014C1F"/>
    <w:rsid w:val="100B5F0F"/>
    <w:rsid w:val="100F677B"/>
    <w:rsid w:val="100F6915"/>
    <w:rsid w:val="101D0910"/>
    <w:rsid w:val="101F0B16"/>
    <w:rsid w:val="102133D6"/>
    <w:rsid w:val="10253189"/>
    <w:rsid w:val="102559B1"/>
    <w:rsid w:val="103707B5"/>
    <w:rsid w:val="10375FE7"/>
    <w:rsid w:val="104C0DCB"/>
    <w:rsid w:val="104D6E19"/>
    <w:rsid w:val="1055616F"/>
    <w:rsid w:val="105F1B54"/>
    <w:rsid w:val="106444D0"/>
    <w:rsid w:val="106C1FA6"/>
    <w:rsid w:val="106C48FC"/>
    <w:rsid w:val="106D53BF"/>
    <w:rsid w:val="106D5E37"/>
    <w:rsid w:val="10702357"/>
    <w:rsid w:val="1074174B"/>
    <w:rsid w:val="107438A6"/>
    <w:rsid w:val="10744451"/>
    <w:rsid w:val="107648CE"/>
    <w:rsid w:val="109018D5"/>
    <w:rsid w:val="109518E0"/>
    <w:rsid w:val="10977F85"/>
    <w:rsid w:val="10985FB2"/>
    <w:rsid w:val="109B00E0"/>
    <w:rsid w:val="109E6CEF"/>
    <w:rsid w:val="109F6A06"/>
    <w:rsid w:val="10A6039E"/>
    <w:rsid w:val="10A72B69"/>
    <w:rsid w:val="10A901C8"/>
    <w:rsid w:val="10AC36C0"/>
    <w:rsid w:val="10AE2C73"/>
    <w:rsid w:val="10B26243"/>
    <w:rsid w:val="10B34099"/>
    <w:rsid w:val="10B81164"/>
    <w:rsid w:val="10B9715D"/>
    <w:rsid w:val="10BA1B1E"/>
    <w:rsid w:val="10BB16FC"/>
    <w:rsid w:val="10BC3D22"/>
    <w:rsid w:val="10C757C9"/>
    <w:rsid w:val="10C808A1"/>
    <w:rsid w:val="10CC0390"/>
    <w:rsid w:val="10CC6EE9"/>
    <w:rsid w:val="10D00304"/>
    <w:rsid w:val="10D7526C"/>
    <w:rsid w:val="10DA2878"/>
    <w:rsid w:val="10DE27C4"/>
    <w:rsid w:val="10E26155"/>
    <w:rsid w:val="10E3707F"/>
    <w:rsid w:val="10E738FE"/>
    <w:rsid w:val="10EC5E2E"/>
    <w:rsid w:val="10ED4F3D"/>
    <w:rsid w:val="10F076A1"/>
    <w:rsid w:val="1103560B"/>
    <w:rsid w:val="11045C51"/>
    <w:rsid w:val="110A5E7C"/>
    <w:rsid w:val="110C0046"/>
    <w:rsid w:val="11117BC6"/>
    <w:rsid w:val="11134434"/>
    <w:rsid w:val="111420FD"/>
    <w:rsid w:val="11161256"/>
    <w:rsid w:val="111D524D"/>
    <w:rsid w:val="11250C79"/>
    <w:rsid w:val="112A260B"/>
    <w:rsid w:val="112A4DFE"/>
    <w:rsid w:val="112A56A8"/>
    <w:rsid w:val="11375B80"/>
    <w:rsid w:val="11382F15"/>
    <w:rsid w:val="113860B8"/>
    <w:rsid w:val="113F40E0"/>
    <w:rsid w:val="113F4F67"/>
    <w:rsid w:val="1148321F"/>
    <w:rsid w:val="114F3440"/>
    <w:rsid w:val="11503648"/>
    <w:rsid w:val="11545814"/>
    <w:rsid w:val="115639E6"/>
    <w:rsid w:val="115F7490"/>
    <w:rsid w:val="11635F8E"/>
    <w:rsid w:val="11660B7E"/>
    <w:rsid w:val="116D1CF0"/>
    <w:rsid w:val="116D66F0"/>
    <w:rsid w:val="116F0E18"/>
    <w:rsid w:val="117478A2"/>
    <w:rsid w:val="11797707"/>
    <w:rsid w:val="118020FD"/>
    <w:rsid w:val="11823EFF"/>
    <w:rsid w:val="118611D7"/>
    <w:rsid w:val="118D0889"/>
    <w:rsid w:val="11917F83"/>
    <w:rsid w:val="11946F76"/>
    <w:rsid w:val="11952AFB"/>
    <w:rsid w:val="11970C2D"/>
    <w:rsid w:val="119F6445"/>
    <w:rsid w:val="11A165A9"/>
    <w:rsid w:val="11A53710"/>
    <w:rsid w:val="11A67E4B"/>
    <w:rsid w:val="11AA6DDE"/>
    <w:rsid w:val="11B30455"/>
    <w:rsid w:val="11B464D1"/>
    <w:rsid w:val="11B80B20"/>
    <w:rsid w:val="11BE5C61"/>
    <w:rsid w:val="11BE6DF0"/>
    <w:rsid w:val="11C15CDA"/>
    <w:rsid w:val="11CB1542"/>
    <w:rsid w:val="11CF188F"/>
    <w:rsid w:val="11CF404B"/>
    <w:rsid w:val="11D37789"/>
    <w:rsid w:val="11D9683F"/>
    <w:rsid w:val="11DC7525"/>
    <w:rsid w:val="11E30DD6"/>
    <w:rsid w:val="11E509DC"/>
    <w:rsid w:val="11EE0699"/>
    <w:rsid w:val="11EF1BEF"/>
    <w:rsid w:val="11EF5ECB"/>
    <w:rsid w:val="11F33CA1"/>
    <w:rsid w:val="11FA22DE"/>
    <w:rsid w:val="11FD5C5D"/>
    <w:rsid w:val="12033BC0"/>
    <w:rsid w:val="12045577"/>
    <w:rsid w:val="120D3E03"/>
    <w:rsid w:val="12120349"/>
    <w:rsid w:val="12121DE4"/>
    <w:rsid w:val="121B54A2"/>
    <w:rsid w:val="121B7E71"/>
    <w:rsid w:val="12225BC6"/>
    <w:rsid w:val="122266A6"/>
    <w:rsid w:val="12240786"/>
    <w:rsid w:val="122853E0"/>
    <w:rsid w:val="122E2073"/>
    <w:rsid w:val="122E58E5"/>
    <w:rsid w:val="1231098F"/>
    <w:rsid w:val="123352C3"/>
    <w:rsid w:val="12357299"/>
    <w:rsid w:val="123E7BCE"/>
    <w:rsid w:val="12412996"/>
    <w:rsid w:val="12445283"/>
    <w:rsid w:val="12475D7E"/>
    <w:rsid w:val="1249565B"/>
    <w:rsid w:val="124E6024"/>
    <w:rsid w:val="12506071"/>
    <w:rsid w:val="125071B6"/>
    <w:rsid w:val="12557BD3"/>
    <w:rsid w:val="125775BF"/>
    <w:rsid w:val="126201B9"/>
    <w:rsid w:val="12641769"/>
    <w:rsid w:val="126A32B2"/>
    <w:rsid w:val="126B490F"/>
    <w:rsid w:val="127B68CC"/>
    <w:rsid w:val="127E0263"/>
    <w:rsid w:val="127F1DD7"/>
    <w:rsid w:val="1286723C"/>
    <w:rsid w:val="1287085E"/>
    <w:rsid w:val="128718C9"/>
    <w:rsid w:val="128D074D"/>
    <w:rsid w:val="129037C7"/>
    <w:rsid w:val="12A326E8"/>
    <w:rsid w:val="12AF7C2B"/>
    <w:rsid w:val="12BF21E7"/>
    <w:rsid w:val="12C21692"/>
    <w:rsid w:val="12C51656"/>
    <w:rsid w:val="12C5287E"/>
    <w:rsid w:val="12C61A92"/>
    <w:rsid w:val="12C745D5"/>
    <w:rsid w:val="12C86DAA"/>
    <w:rsid w:val="12C92577"/>
    <w:rsid w:val="12CE3249"/>
    <w:rsid w:val="12D422A6"/>
    <w:rsid w:val="12D6746B"/>
    <w:rsid w:val="12DA4177"/>
    <w:rsid w:val="12DF0BBB"/>
    <w:rsid w:val="12DF1297"/>
    <w:rsid w:val="12E42968"/>
    <w:rsid w:val="12E7499C"/>
    <w:rsid w:val="12F62CFA"/>
    <w:rsid w:val="12FC1FC9"/>
    <w:rsid w:val="12FF10A2"/>
    <w:rsid w:val="12FF36B3"/>
    <w:rsid w:val="1300424A"/>
    <w:rsid w:val="13012A57"/>
    <w:rsid w:val="13024665"/>
    <w:rsid w:val="13082C7A"/>
    <w:rsid w:val="13085A77"/>
    <w:rsid w:val="1310603C"/>
    <w:rsid w:val="131718C9"/>
    <w:rsid w:val="131E1AA7"/>
    <w:rsid w:val="13201ED8"/>
    <w:rsid w:val="13210432"/>
    <w:rsid w:val="13231B64"/>
    <w:rsid w:val="13243BAA"/>
    <w:rsid w:val="13272F27"/>
    <w:rsid w:val="132832AA"/>
    <w:rsid w:val="132A6A3E"/>
    <w:rsid w:val="13363225"/>
    <w:rsid w:val="133C36C4"/>
    <w:rsid w:val="133C4CDC"/>
    <w:rsid w:val="133F1E10"/>
    <w:rsid w:val="1341628E"/>
    <w:rsid w:val="13460148"/>
    <w:rsid w:val="13461BA3"/>
    <w:rsid w:val="134A1901"/>
    <w:rsid w:val="135202E1"/>
    <w:rsid w:val="135352F8"/>
    <w:rsid w:val="13591F36"/>
    <w:rsid w:val="135C55BE"/>
    <w:rsid w:val="135C6E2A"/>
    <w:rsid w:val="1360038E"/>
    <w:rsid w:val="136C59EB"/>
    <w:rsid w:val="137012CC"/>
    <w:rsid w:val="1371514D"/>
    <w:rsid w:val="1375043C"/>
    <w:rsid w:val="137C0A17"/>
    <w:rsid w:val="13813934"/>
    <w:rsid w:val="13840787"/>
    <w:rsid w:val="13873036"/>
    <w:rsid w:val="138775BF"/>
    <w:rsid w:val="13893175"/>
    <w:rsid w:val="138B27FA"/>
    <w:rsid w:val="138C2EFC"/>
    <w:rsid w:val="13974FA2"/>
    <w:rsid w:val="13A25C2E"/>
    <w:rsid w:val="13A3570B"/>
    <w:rsid w:val="13A53799"/>
    <w:rsid w:val="13A76483"/>
    <w:rsid w:val="13AC6198"/>
    <w:rsid w:val="13AE680D"/>
    <w:rsid w:val="13B274E0"/>
    <w:rsid w:val="13B40824"/>
    <w:rsid w:val="13B7130E"/>
    <w:rsid w:val="13BC363D"/>
    <w:rsid w:val="13BE365E"/>
    <w:rsid w:val="13BE6188"/>
    <w:rsid w:val="13C1367C"/>
    <w:rsid w:val="13C21F01"/>
    <w:rsid w:val="13C50EEB"/>
    <w:rsid w:val="13CA7F58"/>
    <w:rsid w:val="13CB5E1A"/>
    <w:rsid w:val="13CE15C0"/>
    <w:rsid w:val="13D14C83"/>
    <w:rsid w:val="13D227B6"/>
    <w:rsid w:val="13D97504"/>
    <w:rsid w:val="13DA0155"/>
    <w:rsid w:val="13EA218E"/>
    <w:rsid w:val="13EE18B0"/>
    <w:rsid w:val="13EF2805"/>
    <w:rsid w:val="13EF790E"/>
    <w:rsid w:val="13F80832"/>
    <w:rsid w:val="13F86941"/>
    <w:rsid w:val="13FE08D3"/>
    <w:rsid w:val="140B5EFB"/>
    <w:rsid w:val="141670D3"/>
    <w:rsid w:val="14224678"/>
    <w:rsid w:val="142421A3"/>
    <w:rsid w:val="14252ED5"/>
    <w:rsid w:val="142C2988"/>
    <w:rsid w:val="142D315E"/>
    <w:rsid w:val="14373AD3"/>
    <w:rsid w:val="143C2329"/>
    <w:rsid w:val="14490E4D"/>
    <w:rsid w:val="14503F61"/>
    <w:rsid w:val="14554E21"/>
    <w:rsid w:val="14576EA7"/>
    <w:rsid w:val="145B499F"/>
    <w:rsid w:val="145B634E"/>
    <w:rsid w:val="146257B1"/>
    <w:rsid w:val="14656A23"/>
    <w:rsid w:val="146B30E8"/>
    <w:rsid w:val="146D6C54"/>
    <w:rsid w:val="14705A8C"/>
    <w:rsid w:val="14711360"/>
    <w:rsid w:val="147373D1"/>
    <w:rsid w:val="147843E4"/>
    <w:rsid w:val="147D2CE7"/>
    <w:rsid w:val="14830B6E"/>
    <w:rsid w:val="14847AAF"/>
    <w:rsid w:val="14860EF3"/>
    <w:rsid w:val="14916BF2"/>
    <w:rsid w:val="14942FA7"/>
    <w:rsid w:val="14972FAE"/>
    <w:rsid w:val="149B6DCC"/>
    <w:rsid w:val="149E3ED9"/>
    <w:rsid w:val="149E6521"/>
    <w:rsid w:val="14A26548"/>
    <w:rsid w:val="14A3255A"/>
    <w:rsid w:val="14A7457F"/>
    <w:rsid w:val="14AF1D0C"/>
    <w:rsid w:val="14BA783F"/>
    <w:rsid w:val="14C35B36"/>
    <w:rsid w:val="14CC0554"/>
    <w:rsid w:val="14CD4F85"/>
    <w:rsid w:val="14CE073C"/>
    <w:rsid w:val="14CF7E7D"/>
    <w:rsid w:val="14D44454"/>
    <w:rsid w:val="14D80A21"/>
    <w:rsid w:val="14DD3B52"/>
    <w:rsid w:val="14E566B1"/>
    <w:rsid w:val="14E6587F"/>
    <w:rsid w:val="14ED3BA5"/>
    <w:rsid w:val="14F002AB"/>
    <w:rsid w:val="14F070B8"/>
    <w:rsid w:val="14F26AB5"/>
    <w:rsid w:val="14F54CED"/>
    <w:rsid w:val="14F833DF"/>
    <w:rsid w:val="14F90611"/>
    <w:rsid w:val="14FB128D"/>
    <w:rsid w:val="14FE7DAD"/>
    <w:rsid w:val="15015C4C"/>
    <w:rsid w:val="15086C7C"/>
    <w:rsid w:val="150D313A"/>
    <w:rsid w:val="15170158"/>
    <w:rsid w:val="1519670B"/>
    <w:rsid w:val="151A0E70"/>
    <w:rsid w:val="151B3F3F"/>
    <w:rsid w:val="151C2484"/>
    <w:rsid w:val="151F776B"/>
    <w:rsid w:val="152A36D3"/>
    <w:rsid w:val="152E2B67"/>
    <w:rsid w:val="15305870"/>
    <w:rsid w:val="15321378"/>
    <w:rsid w:val="15342D11"/>
    <w:rsid w:val="153B3F45"/>
    <w:rsid w:val="154C6BF4"/>
    <w:rsid w:val="155453C5"/>
    <w:rsid w:val="15561815"/>
    <w:rsid w:val="15573AA7"/>
    <w:rsid w:val="15596FED"/>
    <w:rsid w:val="15631A39"/>
    <w:rsid w:val="1565158A"/>
    <w:rsid w:val="1569325E"/>
    <w:rsid w:val="156F4D7B"/>
    <w:rsid w:val="1577755E"/>
    <w:rsid w:val="157F06D0"/>
    <w:rsid w:val="157F7817"/>
    <w:rsid w:val="158313D5"/>
    <w:rsid w:val="15864C1C"/>
    <w:rsid w:val="1590334E"/>
    <w:rsid w:val="1591545D"/>
    <w:rsid w:val="159B1976"/>
    <w:rsid w:val="15A66703"/>
    <w:rsid w:val="15A74086"/>
    <w:rsid w:val="15A75D73"/>
    <w:rsid w:val="15AC6BDA"/>
    <w:rsid w:val="15AE24D4"/>
    <w:rsid w:val="15B748CB"/>
    <w:rsid w:val="15B924F2"/>
    <w:rsid w:val="15BC0532"/>
    <w:rsid w:val="15BD60D0"/>
    <w:rsid w:val="15C80F49"/>
    <w:rsid w:val="15CE1897"/>
    <w:rsid w:val="15CE7688"/>
    <w:rsid w:val="15D140CE"/>
    <w:rsid w:val="15D16C6A"/>
    <w:rsid w:val="15D243AF"/>
    <w:rsid w:val="15D6717E"/>
    <w:rsid w:val="15D92536"/>
    <w:rsid w:val="15E47137"/>
    <w:rsid w:val="15E61F4B"/>
    <w:rsid w:val="15EB6B22"/>
    <w:rsid w:val="15EE5379"/>
    <w:rsid w:val="15F32780"/>
    <w:rsid w:val="15FA1AA1"/>
    <w:rsid w:val="15FA41DF"/>
    <w:rsid w:val="160025F5"/>
    <w:rsid w:val="1604574A"/>
    <w:rsid w:val="16050FC6"/>
    <w:rsid w:val="160748BC"/>
    <w:rsid w:val="16082C5A"/>
    <w:rsid w:val="16091EFA"/>
    <w:rsid w:val="161076AF"/>
    <w:rsid w:val="16135DBA"/>
    <w:rsid w:val="1617668E"/>
    <w:rsid w:val="161D1A0C"/>
    <w:rsid w:val="162055E6"/>
    <w:rsid w:val="162128B1"/>
    <w:rsid w:val="1623218D"/>
    <w:rsid w:val="16236B7D"/>
    <w:rsid w:val="16255DF0"/>
    <w:rsid w:val="162762EE"/>
    <w:rsid w:val="16291473"/>
    <w:rsid w:val="162D6D07"/>
    <w:rsid w:val="163D6920"/>
    <w:rsid w:val="16405F4F"/>
    <w:rsid w:val="1642044A"/>
    <w:rsid w:val="164735D9"/>
    <w:rsid w:val="164A3820"/>
    <w:rsid w:val="164A6534"/>
    <w:rsid w:val="164F33D3"/>
    <w:rsid w:val="1655549C"/>
    <w:rsid w:val="165B3375"/>
    <w:rsid w:val="165E64E2"/>
    <w:rsid w:val="16615ECE"/>
    <w:rsid w:val="166834CE"/>
    <w:rsid w:val="166B1AFF"/>
    <w:rsid w:val="166C0E4C"/>
    <w:rsid w:val="166E5DD1"/>
    <w:rsid w:val="167347F4"/>
    <w:rsid w:val="16750DF6"/>
    <w:rsid w:val="167965C7"/>
    <w:rsid w:val="167C3883"/>
    <w:rsid w:val="167D12D5"/>
    <w:rsid w:val="1683197A"/>
    <w:rsid w:val="168733F7"/>
    <w:rsid w:val="1695652B"/>
    <w:rsid w:val="16974172"/>
    <w:rsid w:val="169765DD"/>
    <w:rsid w:val="16980DF8"/>
    <w:rsid w:val="169D5181"/>
    <w:rsid w:val="169F5EAE"/>
    <w:rsid w:val="16A962CF"/>
    <w:rsid w:val="16AD1C49"/>
    <w:rsid w:val="16AD53A0"/>
    <w:rsid w:val="16B0406A"/>
    <w:rsid w:val="16B05286"/>
    <w:rsid w:val="16B5291F"/>
    <w:rsid w:val="16BA3222"/>
    <w:rsid w:val="16BB254D"/>
    <w:rsid w:val="16C16D4A"/>
    <w:rsid w:val="16C64A18"/>
    <w:rsid w:val="16C65DA6"/>
    <w:rsid w:val="16CB1199"/>
    <w:rsid w:val="16CE6B6F"/>
    <w:rsid w:val="16D02159"/>
    <w:rsid w:val="16D34D54"/>
    <w:rsid w:val="16D90FBD"/>
    <w:rsid w:val="16E72CC3"/>
    <w:rsid w:val="16E80151"/>
    <w:rsid w:val="16EA13CA"/>
    <w:rsid w:val="16EE189D"/>
    <w:rsid w:val="16EE7127"/>
    <w:rsid w:val="16FD040A"/>
    <w:rsid w:val="170152A1"/>
    <w:rsid w:val="17021113"/>
    <w:rsid w:val="1704002E"/>
    <w:rsid w:val="170A1548"/>
    <w:rsid w:val="170E1CEA"/>
    <w:rsid w:val="17112680"/>
    <w:rsid w:val="171B7DEE"/>
    <w:rsid w:val="17223021"/>
    <w:rsid w:val="17231302"/>
    <w:rsid w:val="17263AF0"/>
    <w:rsid w:val="172E7FAB"/>
    <w:rsid w:val="17301D8D"/>
    <w:rsid w:val="17336004"/>
    <w:rsid w:val="173605CF"/>
    <w:rsid w:val="17373EEE"/>
    <w:rsid w:val="17392B75"/>
    <w:rsid w:val="173B4633"/>
    <w:rsid w:val="17472589"/>
    <w:rsid w:val="174749FF"/>
    <w:rsid w:val="174D02FD"/>
    <w:rsid w:val="174D0A14"/>
    <w:rsid w:val="174E35C2"/>
    <w:rsid w:val="17534441"/>
    <w:rsid w:val="17535FB7"/>
    <w:rsid w:val="17586D05"/>
    <w:rsid w:val="175B6E70"/>
    <w:rsid w:val="175D57A1"/>
    <w:rsid w:val="175E7427"/>
    <w:rsid w:val="176111F0"/>
    <w:rsid w:val="17666B79"/>
    <w:rsid w:val="17671CF0"/>
    <w:rsid w:val="176A5D83"/>
    <w:rsid w:val="176D2403"/>
    <w:rsid w:val="17722CA5"/>
    <w:rsid w:val="17743097"/>
    <w:rsid w:val="17770E1E"/>
    <w:rsid w:val="178002AB"/>
    <w:rsid w:val="178161B5"/>
    <w:rsid w:val="178235FE"/>
    <w:rsid w:val="17834F32"/>
    <w:rsid w:val="17854155"/>
    <w:rsid w:val="178C5436"/>
    <w:rsid w:val="179F6B75"/>
    <w:rsid w:val="179F7A7A"/>
    <w:rsid w:val="17A22DED"/>
    <w:rsid w:val="17A30118"/>
    <w:rsid w:val="17A35903"/>
    <w:rsid w:val="17A87B54"/>
    <w:rsid w:val="17B042EC"/>
    <w:rsid w:val="17B5206D"/>
    <w:rsid w:val="17B85718"/>
    <w:rsid w:val="17BF5B30"/>
    <w:rsid w:val="17C254F5"/>
    <w:rsid w:val="17C25805"/>
    <w:rsid w:val="17C66AE3"/>
    <w:rsid w:val="17C72AE4"/>
    <w:rsid w:val="17D0040B"/>
    <w:rsid w:val="17D813B3"/>
    <w:rsid w:val="17D938B2"/>
    <w:rsid w:val="17DC720A"/>
    <w:rsid w:val="17E64849"/>
    <w:rsid w:val="17EC6485"/>
    <w:rsid w:val="17F627C2"/>
    <w:rsid w:val="17FB55B5"/>
    <w:rsid w:val="17FE36A4"/>
    <w:rsid w:val="180223BD"/>
    <w:rsid w:val="1803333A"/>
    <w:rsid w:val="180845F7"/>
    <w:rsid w:val="18093BA3"/>
    <w:rsid w:val="180A0C4F"/>
    <w:rsid w:val="180C145E"/>
    <w:rsid w:val="180D2B27"/>
    <w:rsid w:val="180D5BC9"/>
    <w:rsid w:val="180E3AF2"/>
    <w:rsid w:val="180F70EF"/>
    <w:rsid w:val="181140D0"/>
    <w:rsid w:val="18131AAB"/>
    <w:rsid w:val="181642F0"/>
    <w:rsid w:val="1818279D"/>
    <w:rsid w:val="18194834"/>
    <w:rsid w:val="18232FBC"/>
    <w:rsid w:val="182372C0"/>
    <w:rsid w:val="182F4D0C"/>
    <w:rsid w:val="18326402"/>
    <w:rsid w:val="183723D6"/>
    <w:rsid w:val="183B34B6"/>
    <w:rsid w:val="183B36A5"/>
    <w:rsid w:val="18426A8B"/>
    <w:rsid w:val="18453D53"/>
    <w:rsid w:val="18467AC9"/>
    <w:rsid w:val="184B6740"/>
    <w:rsid w:val="184D1751"/>
    <w:rsid w:val="1850544A"/>
    <w:rsid w:val="18597470"/>
    <w:rsid w:val="185B3916"/>
    <w:rsid w:val="185B3F2E"/>
    <w:rsid w:val="18696814"/>
    <w:rsid w:val="186A3277"/>
    <w:rsid w:val="186A61D0"/>
    <w:rsid w:val="18760510"/>
    <w:rsid w:val="18791074"/>
    <w:rsid w:val="1881400D"/>
    <w:rsid w:val="18915644"/>
    <w:rsid w:val="18970834"/>
    <w:rsid w:val="18982601"/>
    <w:rsid w:val="189956BE"/>
    <w:rsid w:val="18A21570"/>
    <w:rsid w:val="18A54BF8"/>
    <w:rsid w:val="18C87F5A"/>
    <w:rsid w:val="18CC059F"/>
    <w:rsid w:val="18CC1EF7"/>
    <w:rsid w:val="18CD0898"/>
    <w:rsid w:val="18E00F53"/>
    <w:rsid w:val="18E71C1E"/>
    <w:rsid w:val="18F007D8"/>
    <w:rsid w:val="18F26F2B"/>
    <w:rsid w:val="18F460AC"/>
    <w:rsid w:val="1904559D"/>
    <w:rsid w:val="19115A6B"/>
    <w:rsid w:val="191500E0"/>
    <w:rsid w:val="19233FA6"/>
    <w:rsid w:val="19286939"/>
    <w:rsid w:val="192B09CF"/>
    <w:rsid w:val="192E3097"/>
    <w:rsid w:val="19382997"/>
    <w:rsid w:val="19386713"/>
    <w:rsid w:val="193D2A95"/>
    <w:rsid w:val="193E5978"/>
    <w:rsid w:val="194F3165"/>
    <w:rsid w:val="19502298"/>
    <w:rsid w:val="19507FDD"/>
    <w:rsid w:val="19516F50"/>
    <w:rsid w:val="195504D7"/>
    <w:rsid w:val="195555DE"/>
    <w:rsid w:val="195C1E40"/>
    <w:rsid w:val="195D61E7"/>
    <w:rsid w:val="195E56B9"/>
    <w:rsid w:val="195F1AC7"/>
    <w:rsid w:val="195F24C0"/>
    <w:rsid w:val="1963535D"/>
    <w:rsid w:val="19640939"/>
    <w:rsid w:val="196A33DD"/>
    <w:rsid w:val="196A6C88"/>
    <w:rsid w:val="196C5746"/>
    <w:rsid w:val="196D1A12"/>
    <w:rsid w:val="196E630E"/>
    <w:rsid w:val="196F6819"/>
    <w:rsid w:val="19701E5A"/>
    <w:rsid w:val="19772BB7"/>
    <w:rsid w:val="197C279F"/>
    <w:rsid w:val="197C354B"/>
    <w:rsid w:val="197D5083"/>
    <w:rsid w:val="198847E6"/>
    <w:rsid w:val="19887FFB"/>
    <w:rsid w:val="199710F2"/>
    <w:rsid w:val="19973461"/>
    <w:rsid w:val="199A6AB1"/>
    <w:rsid w:val="19A02803"/>
    <w:rsid w:val="19A3031D"/>
    <w:rsid w:val="19A47598"/>
    <w:rsid w:val="19A57FD3"/>
    <w:rsid w:val="19A73AE2"/>
    <w:rsid w:val="19AC64BE"/>
    <w:rsid w:val="19AD5BDA"/>
    <w:rsid w:val="19B17602"/>
    <w:rsid w:val="19B941B4"/>
    <w:rsid w:val="19BD3EE3"/>
    <w:rsid w:val="19C36174"/>
    <w:rsid w:val="19C530CE"/>
    <w:rsid w:val="19CE7822"/>
    <w:rsid w:val="19CF1AA2"/>
    <w:rsid w:val="19D73E01"/>
    <w:rsid w:val="19D826FA"/>
    <w:rsid w:val="19DA4563"/>
    <w:rsid w:val="19DA4F19"/>
    <w:rsid w:val="19DF454A"/>
    <w:rsid w:val="19E8723B"/>
    <w:rsid w:val="19F06532"/>
    <w:rsid w:val="19F179A1"/>
    <w:rsid w:val="19F52A59"/>
    <w:rsid w:val="19F63F73"/>
    <w:rsid w:val="19FA2C86"/>
    <w:rsid w:val="19FF0220"/>
    <w:rsid w:val="1A0247C1"/>
    <w:rsid w:val="1A0450E2"/>
    <w:rsid w:val="1A050E28"/>
    <w:rsid w:val="1A094C7F"/>
    <w:rsid w:val="1A0A05DA"/>
    <w:rsid w:val="1A0A1C54"/>
    <w:rsid w:val="1A106B7C"/>
    <w:rsid w:val="1A123875"/>
    <w:rsid w:val="1A18546D"/>
    <w:rsid w:val="1A212306"/>
    <w:rsid w:val="1A251663"/>
    <w:rsid w:val="1A260E36"/>
    <w:rsid w:val="1A2B3D74"/>
    <w:rsid w:val="1A303B85"/>
    <w:rsid w:val="1A311161"/>
    <w:rsid w:val="1A316509"/>
    <w:rsid w:val="1A330A18"/>
    <w:rsid w:val="1A3A26B5"/>
    <w:rsid w:val="1A430558"/>
    <w:rsid w:val="1A4577FE"/>
    <w:rsid w:val="1A494973"/>
    <w:rsid w:val="1A4E2FA1"/>
    <w:rsid w:val="1A524F0F"/>
    <w:rsid w:val="1A544017"/>
    <w:rsid w:val="1A5642F5"/>
    <w:rsid w:val="1A5E5132"/>
    <w:rsid w:val="1A612321"/>
    <w:rsid w:val="1A640278"/>
    <w:rsid w:val="1A6A5E24"/>
    <w:rsid w:val="1A6A75FA"/>
    <w:rsid w:val="1A6A7796"/>
    <w:rsid w:val="1A746E06"/>
    <w:rsid w:val="1A780E3C"/>
    <w:rsid w:val="1A7F5A95"/>
    <w:rsid w:val="1A8252F6"/>
    <w:rsid w:val="1A830B8A"/>
    <w:rsid w:val="1A8528C1"/>
    <w:rsid w:val="1A863739"/>
    <w:rsid w:val="1A872B94"/>
    <w:rsid w:val="1A8B2CA5"/>
    <w:rsid w:val="1A8D4C70"/>
    <w:rsid w:val="1A9E25A7"/>
    <w:rsid w:val="1AAB1345"/>
    <w:rsid w:val="1AAE15B0"/>
    <w:rsid w:val="1AC13673"/>
    <w:rsid w:val="1AC37A6E"/>
    <w:rsid w:val="1AC426FD"/>
    <w:rsid w:val="1AD222E1"/>
    <w:rsid w:val="1AD54182"/>
    <w:rsid w:val="1AD63F9E"/>
    <w:rsid w:val="1AD93D24"/>
    <w:rsid w:val="1ADA156D"/>
    <w:rsid w:val="1ADD30FA"/>
    <w:rsid w:val="1AEB2A48"/>
    <w:rsid w:val="1AEB595A"/>
    <w:rsid w:val="1AEF304B"/>
    <w:rsid w:val="1AF324D9"/>
    <w:rsid w:val="1AFB0066"/>
    <w:rsid w:val="1B081E65"/>
    <w:rsid w:val="1B0966F0"/>
    <w:rsid w:val="1B0B1963"/>
    <w:rsid w:val="1B143A8E"/>
    <w:rsid w:val="1B16724A"/>
    <w:rsid w:val="1B1A64D8"/>
    <w:rsid w:val="1B1D2055"/>
    <w:rsid w:val="1B200475"/>
    <w:rsid w:val="1B2527FF"/>
    <w:rsid w:val="1B2A1125"/>
    <w:rsid w:val="1B2A41F1"/>
    <w:rsid w:val="1B2B224E"/>
    <w:rsid w:val="1B2E2BB0"/>
    <w:rsid w:val="1B347847"/>
    <w:rsid w:val="1B361CE0"/>
    <w:rsid w:val="1B3713B3"/>
    <w:rsid w:val="1B374F55"/>
    <w:rsid w:val="1B3916DB"/>
    <w:rsid w:val="1B3B4A85"/>
    <w:rsid w:val="1B43185D"/>
    <w:rsid w:val="1B433BD2"/>
    <w:rsid w:val="1B45157C"/>
    <w:rsid w:val="1B471D6C"/>
    <w:rsid w:val="1B472099"/>
    <w:rsid w:val="1B47724E"/>
    <w:rsid w:val="1B487998"/>
    <w:rsid w:val="1B5175AA"/>
    <w:rsid w:val="1B532642"/>
    <w:rsid w:val="1B5A0FFA"/>
    <w:rsid w:val="1B5A6471"/>
    <w:rsid w:val="1B5D2482"/>
    <w:rsid w:val="1B623156"/>
    <w:rsid w:val="1B623FCF"/>
    <w:rsid w:val="1B655BBA"/>
    <w:rsid w:val="1B661971"/>
    <w:rsid w:val="1B69611C"/>
    <w:rsid w:val="1B6D571F"/>
    <w:rsid w:val="1B7C5428"/>
    <w:rsid w:val="1B7D0075"/>
    <w:rsid w:val="1B8578A9"/>
    <w:rsid w:val="1B875D2F"/>
    <w:rsid w:val="1B8E230F"/>
    <w:rsid w:val="1B9104B2"/>
    <w:rsid w:val="1B977408"/>
    <w:rsid w:val="1B9F75BA"/>
    <w:rsid w:val="1BA00782"/>
    <w:rsid w:val="1BA92868"/>
    <w:rsid w:val="1BAB2A99"/>
    <w:rsid w:val="1BAD7731"/>
    <w:rsid w:val="1BAE7349"/>
    <w:rsid w:val="1BB07A6B"/>
    <w:rsid w:val="1BB1292B"/>
    <w:rsid w:val="1BB12C44"/>
    <w:rsid w:val="1BB262C8"/>
    <w:rsid w:val="1BB40672"/>
    <w:rsid w:val="1BB56857"/>
    <w:rsid w:val="1BBA1E71"/>
    <w:rsid w:val="1BBD2FFC"/>
    <w:rsid w:val="1BBE290F"/>
    <w:rsid w:val="1BC04CAC"/>
    <w:rsid w:val="1BC1450E"/>
    <w:rsid w:val="1BC73349"/>
    <w:rsid w:val="1BC97C6F"/>
    <w:rsid w:val="1BCA01CF"/>
    <w:rsid w:val="1BCA162B"/>
    <w:rsid w:val="1BCC2C7F"/>
    <w:rsid w:val="1BCD04EF"/>
    <w:rsid w:val="1BCE11EB"/>
    <w:rsid w:val="1BDC4C64"/>
    <w:rsid w:val="1BDC688E"/>
    <w:rsid w:val="1BDE7E9B"/>
    <w:rsid w:val="1BE12D0F"/>
    <w:rsid w:val="1C00185E"/>
    <w:rsid w:val="1C0104FF"/>
    <w:rsid w:val="1C0506F6"/>
    <w:rsid w:val="1C0A7B93"/>
    <w:rsid w:val="1C0D6304"/>
    <w:rsid w:val="1C11540B"/>
    <w:rsid w:val="1C1222B3"/>
    <w:rsid w:val="1C173507"/>
    <w:rsid w:val="1C19098D"/>
    <w:rsid w:val="1C1952E2"/>
    <w:rsid w:val="1C1B52BE"/>
    <w:rsid w:val="1C20604A"/>
    <w:rsid w:val="1C213984"/>
    <w:rsid w:val="1C227DE2"/>
    <w:rsid w:val="1C23657D"/>
    <w:rsid w:val="1C290471"/>
    <w:rsid w:val="1C2A46D4"/>
    <w:rsid w:val="1C2A5D62"/>
    <w:rsid w:val="1C2A6AB2"/>
    <w:rsid w:val="1C2F04BC"/>
    <w:rsid w:val="1C3251EA"/>
    <w:rsid w:val="1C347F86"/>
    <w:rsid w:val="1C376901"/>
    <w:rsid w:val="1C3946BC"/>
    <w:rsid w:val="1C396B66"/>
    <w:rsid w:val="1C3C25FF"/>
    <w:rsid w:val="1C41442B"/>
    <w:rsid w:val="1C484E46"/>
    <w:rsid w:val="1C493D59"/>
    <w:rsid w:val="1C4A4330"/>
    <w:rsid w:val="1C4F5EDE"/>
    <w:rsid w:val="1C510C6C"/>
    <w:rsid w:val="1C5D4862"/>
    <w:rsid w:val="1C5F195B"/>
    <w:rsid w:val="1C617786"/>
    <w:rsid w:val="1C6A0C35"/>
    <w:rsid w:val="1C6C079D"/>
    <w:rsid w:val="1C6E40A5"/>
    <w:rsid w:val="1C707F09"/>
    <w:rsid w:val="1C717C0A"/>
    <w:rsid w:val="1C724006"/>
    <w:rsid w:val="1C7277FE"/>
    <w:rsid w:val="1C78407B"/>
    <w:rsid w:val="1C8D7C02"/>
    <w:rsid w:val="1C902F32"/>
    <w:rsid w:val="1C933FBD"/>
    <w:rsid w:val="1C9675C5"/>
    <w:rsid w:val="1C996C63"/>
    <w:rsid w:val="1CA340F5"/>
    <w:rsid w:val="1CA4621C"/>
    <w:rsid w:val="1CA672B5"/>
    <w:rsid w:val="1CA73530"/>
    <w:rsid w:val="1CA91F44"/>
    <w:rsid w:val="1CAC6C73"/>
    <w:rsid w:val="1CAD7F74"/>
    <w:rsid w:val="1CAE7391"/>
    <w:rsid w:val="1CB23786"/>
    <w:rsid w:val="1CB86AF7"/>
    <w:rsid w:val="1CBC2C47"/>
    <w:rsid w:val="1CBC535C"/>
    <w:rsid w:val="1CC125D3"/>
    <w:rsid w:val="1CC25E43"/>
    <w:rsid w:val="1CC425D3"/>
    <w:rsid w:val="1CC87920"/>
    <w:rsid w:val="1CC91711"/>
    <w:rsid w:val="1CC967A8"/>
    <w:rsid w:val="1CCB1C5D"/>
    <w:rsid w:val="1CCF46D3"/>
    <w:rsid w:val="1CD24019"/>
    <w:rsid w:val="1CD30D69"/>
    <w:rsid w:val="1CD625CD"/>
    <w:rsid w:val="1CD7404B"/>
    <w:rsid w:val="1CD8393D"/>
    <w:rsid w:val="1CDB6993"/>
    <w:rsid w:val="1CDC01B5"/>
    <w:rsid w:val="1CDC26BC"/>
    <w:rsid w:val="1CDF1E0A"/>
    <w:rsid w:val="1CE55453"/>
    <w:rsid w:val="1CEA25EB"/>
    <w:rsid w:val="1CEA2FC6"/>
    <w:rsid w:val="1CF85A8C"/>
    <w:rsid w:val="1D007723"/>
    <w:rsid w:val="1D010578"/>
    <w:rsid w:val="1D132421"/>
    <w:rsid w:val="1D192A5D"/>
    <w:rsid w:val="1D204916"/>
    <w:rsid w:val="1D264E03"/>
    <w:rsid w:val="1D2667E7"/>
    <w:rsid w:val="1D270C64"/>
    <w:rsid w:val="1D285BEC"/>
    <w:rsid w:val="1D2C158E"/>
    <w:rsid w:val="1D366572"/>
    <w:rsid w:val="1D383236"/>
    <w:rsid w:val="1D3F2710"/>
    <w:rsid w:val="1D4655C8"/>
    <w:rsid w:val="1D483C40"/>
    <w:rsid w:val="1D491139"/>
    <w:rsid w:val="1D560540"/>
    <w:rsid w:val="1D570FBE"/>
    <w:rsid w:val="1D5E4BAA"/>
    <w:rsid w:val="1D5E739D"/>
    <w:rsid w:val="1D672125"/>
    <w:rsid w:val="1D6C6E11"/>
    <w:rsid w:val="1D6C77F7"/>
    <w:rsid w:val="1D6D7769"/>
    <w:rsid w:val="1D7070E4"/>
    <w:rsid w:val="1D707F43"/>
    <w:rsid w:val="1D7969D7"/>
    <w:rsid w:val="1D7A1EF4"/>
    <w:rsid w:val="1D8E1F74"/>
    <w:rsid w:val="1D901666"/>
    <w:rsid w:val="1D914FC5"/>
    <w:rsid w:val="1D99695B"/>
    <w:rsid w:val="1DA30B4E"/>
    <w:rsid w:val="1DA52EF7"/>
    <w:rsid w:val="1DA873D5"/>
    <w:rsid w:val="1DAB5749"/>
    <w:rsid w:val="1DB86E48"/>
    <w:rsid w:val="1DB91FB4"/>
    <w:rsid w:val="1DBB578D"/>
    <w:rsid w:val="1DC30B69"/>
    <w:rsid w:val="1DC66BC5"/>
    <w:rsid w:val="1DCD3D51"/>
    <w:rsid w:val="1DCE61CB"/>
    <w:rsid w:val="1DCF7EB4"/>
    <w:rsid w:val="1DD06101"/>
    <w:rsid w:val="1DD06AD8"/>
    <w:rsid w:val="1DD07C47"/>
    <w:rsid w:val="1DD34916"/>
    <w:rsid w:val="1DD65FA0"/>
    <w:rsid w:val="1DD9300E"/>
    <w:rsid w:val="1DDD1315"/>
    <w:rsid w:val="1DE81CD5"/>
    <w:rsid w:val="1DE93609"/>
    <w:rsid w:val="1DE9539F"/>
    <w:rsid w:val="1DF22074"/>
    <w:rsid w:val="1DFF1198"/>
    <w:rsid w:val="1E0A16AE"/>
    <w:rsid w:val="1E0D3D17"/>
    <w:rsid w:val="1E0D5A63"/>
    <w:rsid w:val="1E1735E9"/>
    <w:rsid w:val="1E18383E"/>
    <w:rsid w:val="1E232C0E"/>
    <w:rsid w:val="1E2553E4"/>
    <w:rsid w:val="1E275844"/>
    <w:rsid w:val="1E2909C5"/>
    <w:rsid w:val="1E3879B1"/>
    <w:rsid w:val="1E3B0958"/>
    <w:rsid w:val="1E3B6FD2"/>
    <w:rsid w:val="1E4246FE"/>
    <w:rsid w:val="1E491711"/>
    <w:rsid w:val="1E4C39BE"/>
    <w:rsid w:val="1E524293"/>
    <w:rsid w:val="1E5255DD"/>
    <w:rsid w:val="1E5347CE"/>
    <w:rsid w:val="1E537051"/>
    <w:rsid w:val="1E5634FE"/>
    <w:rsid w:val="1E567164"/>
    <w:rsid w:val="1E6748FC"/>
    <w:rsid w:val="1E716F72"/>
    <w:rsid w:val="1E730D41"/>
    <w:rsid w:val="1E752A8E"/>
    <w:rsid w:val="1E7D710D"/>
    <w:rsid w:val="1E7E5D01"/>
    <w:rsid w:val="1E827309"/>
    <w:rsid w:val="1E8624DD"/>
    <w:rsid w:val="1E891A5A"/>
    <w:rsid w:val="1E8D5FC1"/>
    <w:rsid w:val="1E902F02"/>
    <w:rsid w:val="1E932ABF"/>
    <w:rsid w:val="1E95235E"/>
    <w:rsid w:val="1E992701"/>
    <w:rsid w:val="1E9A7525"/>
    <w:rsid w:val="1E9E61C7"/>
    <w:rsid w:val="1EA23A0C"/>
    <w:rsid w:val="1EA46536"/>
    <w:rsid w:val="1EA678CF"/>
    <w:rsid w:val="1EA70E18"/>
    <w:rsid w:val="1EAB5D1A"/>
    <w:rsid w:val="1EB333D5"/>
    <w:rsid w:val="1EB7410C"/>
    <w:rsid w:val="1EBA700F"/>
    <w:rsid w:val="1EC043CD"/>
    <w:rsid w:val="1EC21E79"/>
    <w:rsid w:val="1EC37EDE"/>
    <w:rsid w:val="1EC805AE"/>
    <w:rsid w:val="1EC87151"/>
    <w:rsid w:val="1ECB4757"/>
    <w:rsid w:val="1ED63C05"/>
    <w:rsid w:val="1EE070CA"/>
    <w:rsid w:val="1EE376C5"/>
    <w:rsid w:val="1EE40A0C"/>
    <w:rsid w:val="1EE83020"/>
    <w:rsid w:val="1EE93D0B"/>
    <w:rsid w:val="1EEB53EE"/>
    <w:rsid w:val="1EEF4EE8"/>
    <w:rsid w:val="1EF52CFE"/>
    <w:rsid w:val="1F007D8C"/>
    <w:rsid w:val="1F0108A9"/>
    <w:rsid w:val="1F11366C"/>
    <w:rsid w:val="1F1409E4"/>
    <w:rsid w:val="1F153F91"/>
    <w:rsid w:val="1F2B5843"/>
    <w:rsid w:val="1F301D49"/>
    <w:rsid w:val="1F305DA4"/>
    <w:rsid w:val="1F32247B"/>
    <w:rsid w:val="1F327AE2"/>
    <w:rsid w:val="1F34708B"/>
    <w:rsid w:val="1F3669CE"/>
    <w:rsid w:val="1F3A5A3A"/>
    <w:rsid w:val="1F3D5BDA"/>
    <w:rsid w:val="1F421857"/>
    <w:rsid w:val="1F482B72"/>
    <w:rsid w:val="1F4F7377"/>
    <w:rsid w:val="1F502EBF"/>
    <w:rsid w:val="1F5149FF"/>
    <w:rsid w:val="1F57048D"/>
    <w:rsid w:val="1F594AA3"/>
    <w:rsid w:val="1F627EA8"/>
    <w:rsid w:val="1F6334E9"/>
    <w:rsid w:val="1F667BCA"/>
    <w:rsid w:val="1F6A202B"/>
    <w:rsid w:val="1F6F7E6A"/>
    <w:rsid w:val="1F72392C"/>
    <w:rsid w:val="1F744FA7"/>
    <w:rsid w:val="1F784F2D"/>
    <w:rsid w:val="1F7F32F3"/>
    <w:rsid w:val="1F822189"/>
    <w:rsid w:val="1F891D71"/>
    <w:rsid w:val="1F8965E9"/>
    <w:rsid w:val="1F8A2967"/>
    <w:rsid w:val="1F8A3F1E"/>
    <w:rsid w:val="1F8C5D5A"/>
    <w:rsid w:val="1F8F25B4"/>
    <w:rsid w:val="1F8F7532"/>
    <w:rsid w:val="1F925DBE"/>
    <w:rsid w:val="1F933C85"/>
    <w:rsid w:val="1F990C2B"/>
    <w:rsid w:val="1F9E00BF"/>
    <w:rsid w:val="1FA903FF"/>
    <w:rsid w:val="1FA96F4E"/>
    <w:rsid w:val="1FAF0FC8"/>
    <w:rsid w:val="1FB309F6"/>
    <w:rsid w:val="1FB546BE"/>
    <w:rsid w:val="1FBC15F8"/>
    <w:rsid w:val="1FBD1914"/>
    <w:rsid w:val="1FC204EC"/>
    <w:rsid w:val="1FC20691"/>
    <w:rsid w:val="1FC74DD5"/>
    <w:rsid w:val="1FC86C01"/>
    <w:rsid w:val="1FC958D9"/>
    <w:rsid w:val="1FCD6B12"/>
    <w:rsid w:val="1FD075EF"/>
    <w:rsid w:val="1FD205C6"/>
    <w:rsid w:val="1FDE5EE1"/>
    <w:rsid w:val="1FDF3CCD"/>
    <w:rsid w:val="1FE04A02"/>
    <w:rsid w:val="1FE236F5"/>
    <w:rsid w:val="1FE33052"/>
    <w:rsid w:val="1FE62F90"/>
    <w:rsid w:val="1FE92F9B"/>
    <w:rsid w:val="1FEB459F"/>
    <w:rsid w:val="1FEB506E"/>
    <w:rsid w:val="1FEE7F1D"/>
    <w:rsid w:val="1FF54F3E"/>
    <w:rsid w:val="1FF820E5"/>
    <w:rsid w:val="1FFC0E7C"/>
    <w:rsid w:val="1FFE6C35"/>
    <w:rsid w:val="2000137B"/>
    <w:rsid w:val="200510EE"/>
    <w:rsid w:val="200B36FB"/>
    <w:rsid w:val="20111883"/>
    <w:rsid w:val="20112BD8"/>
    <w:rsid w:val="20114495"/>
    <w:rsid w:val="201358FC"/>
    <w:rsid w:val="201433E2"/>
    <w:rsid w:val="201B475E"/>
    <w:rsid w:val="202246E1"/>
    <w:rsid w:val="202E61AF"/>
    <w:rsid w:val="20321DD4"/>
    <w:rsid w:val="203365F5"/>
    <w:rsid w:val="2034456D"/>
    <w:rsid w:val="203D54C4"/>
    <w:rsid w:val="20403993"/>
    <w:rsid w:val="2041677A"/>
    <w:rsid w:val="2043747E"/>
    <w:rsid w:val="20445B78"/>
    <w:rsid w:val="204658ED"/>
    <w:rsid w:val="20476EA7"/>
    <w:rsid w:val="204B3654"/>
    <w:rsid w:val="204B577D"/>
    <w:rsid w:val="20521036"/>
    <w:rsid w:val="205468E2"/>
    <w:rsid w:val="205A2763"/>
    <w:rsid w:val="206611AB"/>
    <w:rsid w:val="206A443C"/>
    <w:rsid w:val="206D3125"/>
    <w:rsid w:val="207A2014"/>
    <w:rsid w:val="207B1B60"/>
    <w:rsid w:val="2082015B"/>
    <w:rsid w:val="20870A9B"/>
    <w:rsid w:val="20876BB4"/>
    <w:rsid w:val="2089532D"/>
    <w:rsid w:val="208E76D2"/>
    <w:rsid w:val="208F0588"/>
    <w:rsid w:val="20907457"/>
    <w:rsid w:val="209266ED"/>
    <w:rsid w:val="20961C7A"/>
    <w:rsid w:val="20A62A67"/>
    <w:rsid w:val="20A90FC6"/>
    <w:rsid w:val="20AF7A1F"/>
    <w:rsid w:val="20B00554"/>
    <w:rsid w:val="20B026BA"/>
    <w:rsid w:val="20B162C6"/>
    <w:rsid w:val="20B2665B"/>
    <w:rsid w:val="20B75C7C"/>
    <w:rsid w:val="20B775D4"/>
    <w:rsid w:val="20D069FD"/>
    <w:rsid w:val="20DA263A"/>
    <w:rsid w:val="20DB6146"/>
    <w:rsid w:val="20DE337D"/>
    <w:rsid w:val="20E53DB4"/>
    <w:rsid w:val="20E62EFE"/>
    <w:rsid w:val="20E82489"/>
    <w:rsid w:val="20EA6051"/>
    <w:rsid w:val="20EF09B9"/>
    <w:rsid w:val="20EF380E"/>
    <w:rsid w:val="20F23376"/>
    <w:rsid w:val="20FB537E"/>
    <w:rsid w:val="20FD1D1F"/>
    <w:rsid w:val="20FE157A"/>
    <w:rsid w:val="21022819"/>
    <w:rsid w:val="21064595"/>
    <w:rsid w:val="210955D3"/>
    <w:rsid w:val="210A2B28"/>
    <w:rsid w:val="210C12E2"/>
    <w:rsid w:val="211112CD"/>
    <w:rsid w:val="21126E5F"/>
    <w:rsid w:val="21264022"/>
    <w:rsid w:val="212D4FC0"/>
    <w:rsid w:val="21326011"/>
    <w:rsid w:val="213C24DE"/>
    <w:rsid w:val="213D2B19"/>
    <w:rsid w:val="213E3166"/>
    <w:rsid w:val="213F5E1B"/>
    <w:rsid w:val="21402A76"/>
    <w:rsid w:val="21420D60"/>
    <w:rsid w:val="214302A2"/>
    <w:rsid w:val="214367CA"/>
    <w:rsid w:val="21454B2B"/>
    <w:rsid w:val="21473CF0"/>
    <w:rsid w:val="21537D00"/>
    <w:rsid w:val="21597140"/>
    <w:rsid w:val="215D0DB9"/>
    <w:rsid w:val="215F500E"/>
    <w:rsid w:val="216249F5"/>
    <w:rsid w:val="21634E9E"/>
    <w:rsid w:val="21637EF0"/>
    <w:rsid w:val="21640C7F"/>
    <w:rsid w:val="21650330"/>
    <w:rsid w:val="216936BA"/>
    <w:rsid w:val="216B6C08"/>
    <w:rsid w:val="216D11B6"/>
    <w:rsid w:val="21705BEA"/>
    <w:rsid w:val="2175547F"/>
    <w:rsid w:val="21772371"/>
    <w:rsid w:val="217939E2"/>
    <w:rsid w:val="217E5B8A"/>
    <w:rsid w:val="21902264"/>
    <w:rsid w:val="21952C53"/>
    <w:rsid w:val="21990234"/>
    <w:rsid w:val="21A25219"/>
    <w:rsid w:val="21A43DBC"/>
    <w:rsid w:val="21AC0E55"/>
    <w:rsid w:val="21B54A60"/>
    <w:rsid w:val="21B80029"/>
    <w:rsid w:val="21B83569"/>
    <w:rsid w:val="21BB751B"/>
    <w:rsid w:val="21BC6CD8"/>
    <w:rsid w:val="21BD1461"/>
    <w:rsid w:val="21BE147B"/>
    <w:rsid w:val="21C44BCF"/>
    <w:rsid w:val="21C930D0"/>
    <w:rsid w:val="21D42065"/>
    <w:rsid w:val="21D57D21"/>
    <w:rsid w:val="21E16384"/>
    <w:rsid w:val="21E45141"/>
    <w:rsid w:val="21E50F69"/>
    <w:rsid w:val="21E60184"/>
    <w:rsid w:val="21E717F6"/>
    <w:rsid w:val="21E9242D"/>
    <w:rsid w:val="21EB3BA1"/>
    <w:rsid w:val="21EC6F54"/>
    <w:rsid w:val="21F149F2"/>
    <w:rsid w:val="21F41E80"/>
    <w:rsid w:val="21F46962"/>
    <w:rsid w:val="21FA2796"/>
    <w:rsid w:val="22007484"/>
    <w:rsid w:val="22013604"/>
    <w:rsid w:val="220432DA"/>
    <w:rsid w:val="220F4AAD"/>
    <w:rsid w:val="22160157"/>
    <w:rsid w:val="22190639"/>
    <w:rsid w:val="221B0210"/>
    <w:rsid w:val="22212BA3"/>
    <w:rsid w:val="22263BC6"/>
    <w:rsid w:val="222657E8"/>
    <w:rsid w:val="2227114D"/>
    <w:rsid w:val="22295B59"/>
    <w:rsid w:val="222E1EAC"/>
    <w:rsid w:val="22343895"/>
    <w:rsid w:val="2235025E"/>
    <w:rsid w:val="223E3E8E"/>
    <w:rsid w:val="22476264"/>
    <w:rsid w:val="224A4418"/>
    <w:rsid w:val="224D1D6A"/>
    <w:rsid w:val="224F2877"/>
    <w:rsid w:val="22520551"/>
    <w:rsid w:val="225735F6"/>
    <w:rsid w:val="225A2441"/>
    <w:rsid w:val="22616A57"/>
    <w:rsid w:val="22626AE0"/>
    <w:rsid w:val="22633D23"/>
    <w:rsid w:val="2277091D"/>
    <w:rsid w:val="22783A61"/>
    <w:rsid w:val="22786C05"/>
    <w:rsid w:val="227A28BF"/>
    <w:rsid w:val="227A5D99"/>
    <w:rsid w:val="227D1BCB"/>
    <w:rsid w:val="227E33F8"/>
    <w:rsid w:val="22805068"/>
    <w:rsid w:val="22813766"/>
    <w:rsid w:val="22830E29"/>
    <w:rsid w:val="22833E02"/>
    <w:rsid w:val="2285009C"/>
    <w:rsid w:val="22883BF8"/>
    <w:rsid w:val="229159C5"/>
    <w:rsid w:val="22933E80"/>
    <w:rsid w:val="22947AFB"/>
    <w:rsid w:val="22977CB1"/>
    <w:rsid w:val="22984C2C"/>
    <w:rsid w:val="229B12A5"/>
    <w:rsid w:val="229D309B"/>
    <w:rsid w:val="229D7C49"/>
    <w:rsid w:val="229E7043"/>
    <w:rsid w:val="22A175EC"/>
    <w:rsid w:val="22AB26CB"/>
    <w:rsid w:val="22B25E61"/>
    <w:rsid w:val="22B36BDC"/>
    <w:rsid w:val="22B37848"/>
    <w:rsid w:val="22B5238B"/>
    <w:rsid w:val="22B74CB9"/>
    <w:rsid w:val="22BA1D22"/>
    <w:rsid w:val="22C227D4"/>
    <w:rsid w:val="22C60263"/>
    <w:rsid w:val="22D05A82"/>
    <w:rsid w:val="22DB0D15"/>
    <w:rsid w:val="22DC34F7"/>
    <w:rsid w:val="22E67356"/>
    <w:rsid w:val="22FB2D9F"/>
    <w:rsid w:val="22FF0EA0"/>
    <w:rsid w:val="230036D9"/>
    <w:rsid w:val="230175BF"/>
    <w:rsid w:val="230A1397"/>
    <w:rsid w:val="230F5F0E"/>
    <w:rsid w:val="231279E0"/>
    <w:rsid w:val="23140734"/>
    <w:rsid w:val="231B2CD0"/>
    <w:rsid w:val="231E3D5D"/>
    <w:rsid w:val="231F664B"/>
    <w:rsid w:val="2320058E"/>
    <w:rsid w:val="23234EA6"/>
    <w:rsid w:val="23253C87"/>
    <w:rsid w:val="23273D68"/>
    <w:rsid w:val="232A444A"/>
    <w:rsid w:val="23336B89"/>
    <w:rsid w:val="23363558"/>
    <w:rsid w:val="233B2FBD"/>
    <w:rsid w:val="233E6E2F"/>
    <w:rsid w:val="2340580B"/>
    <w:rsid w:val="234076FD"/>
    <w:rsid w:val="234172ED"/>
    <w:rsid w:val="2343382E"/>
    <w:rsid w:val="234C4D0D"/>
    <w:rsid w:val="23516689"/>
    <w:rsid w:val="235A75A0"/>
    <w:rsid w:val="235D599C"/>
    <w:rsid w:val="235F3D54"/>
    <w:rsid w:val="236272FF"/>
    <w:rsid w:val="2367683C"/>
    <w:rsid w:val="236A1E2F"/>
    <w:rsid w:val="236B771C"/>
    <w:rsid w:val="23765FAF"/>
    <w:rsid w:val="237A5862"/>
    <w:rsid w:val="237B7EE9"/>
    <w:rsid w:val="237C35DD"/>
    <w:rsid w:val="237D32F3"/>
    <w:rsid w:val="23820DF4"/>
    <w:rsid w:val="23857D97"/>
    <w:rsid w:val="238A71A5"/>
    <w:rsid w:val="238D7835"/>
    <w:rsid w:val="2392172B"/>
    <w:rsid w:val="23955E34"/>
    <w:rsid w:val="23996EF5"/>
    <w:rsid w:val="239A3FA1"/>
    <w:rsid w:val="23A16024"/>
    <w:rsid w:val="23A169F7"/>
    <w:rsid w:val="23A330E6"/>
    <w:rsid w:val="23AD50FE"/>
    <w:rsid w:val="23B23ED9"/>
    <w:rsid w:val="23B4258A"/>
    <w:rsid w:val="23B6782F"/>
    <w:rsid w:val="23B743A6"/>
    <w:rsid w:val="23B86681"/>
    <w:rsid w:val="23C053FA"/>
    <w:rsid w:val="23C06610"/>
    <w:rsid w:val="23CB4302"/>
    <w:rsid w:val="23CB6183"/>
    <w:rsid w:val="23CD06F4"/>
    <w:rsid w:val="23CF7BE2"/>
    <w:rsid w:val="23DD4477"/>
    <w:rsid w:val="23E10DD6"/>
    <w:rsid w:val="23EA42F4"/>
    <w:rsid w:val="23F13EA0"/>
    <w:rsid w:val="23F42793"/>
    <w:rsid w:val="23F555F9"/>
    <w:rsid w:val="23F601F9"/>
    <w:rsid w:val="23F938A8"/>
    <w:rsid w:val="23FB4C14"/>
    <w:rsid w:val="23FF0651"/>
    <w:rsid w:val="240B070B"/>
    <w:rsid w:val="240B0A58"/>
    <w:rsid w:val="241263C1"/>
    <w:rsid w:val="2412656B"/>
    <w:rsid w:val="24140565"/>
    <w:rsid w:val="241B73CF"/>
    <w:rsid w:val="241C43E8"/>
    <w:rsid w:val="241E3747"/>
    <w:rsid w:val="24220D49"/>
    <w:rsid w:val="242309AB"/>
    <w:rsid w:val="2428364D"/>
    <w:rsid w:val="242F5E8C"/>
    <w:rsid w:val="2430200D"/>
    <w:rsid w:val="24351258"/>
    <w:rsid w:val="24367291"/>
    <w:rsid w:val="24390AE4"/>
    <w:rsid w:val="24455955"/>
    <w:rsid w:val="24550D72"/>
    <w:rsid w:val="2455198E"/>
    <w:rsid w:val="24575661"/>
    <w:rsid w:val="24607081"/>
    <w:rsid w:val="2464555C"/>
    <w:rsid w:val="24651BC4"/>
    <w:rsid w:val="2466031E"/>
    <w:rsid w:val="2467116D"/>
    <w:rsid w:val="246C5485"/>
    <w:rsid w:val="24753ACF"/>
    <w:rsid w:val="247809E6"/>
    <w:rsid w:val="24914CBA"/>
    <w:rsid w:val="24946934"/>
    <w:rsid w:val="24950F54"/>
    <w:rsid w:val="24A540A3"/>
    <w:rsid w:val="24AC1362"/>
    <w:rsid w:val="24B15595"/>
    <w:rsid w:val="24B15789"/>
    <w:rsid w:val="24B56C01"/>
    <w:rsid w:val="24B6772D"/>
    <w:rsid w:val="24BB6988"/>
    <w:rsid w:val="24BE2421"/>
    <w:rsid w:val="24BF1D21"/>
    <w:rsid w:val="24CA2464"/>
    <w:rsid w:val="24CA3206"/>
    <w:rsid w:val="24CB4FDE"/>
    <w:rsid w:val="24CC0353"/>
    <w:rsid w:val="24CF76F4"/>
    <w:rsid w:val="24D01118"/>
    <w:rsid w:val="24D41651"/>
    <w:rsid w:val="24D762B4"/>
    <w:rsid w:val="24DB08BF"/>
    <w:rsid w:val="24DE1E70"/>
    <w:rsid w:val="24E24567"/>
    <w:rsid w:val="24E27B30"/>
    <w:rsid w:val="24ED31AF"/>
    <w:rsid w:val="24EF7573"/>
    <w:rsid w:val="24F60283"/>
    <w:rsid w:val="24F90394"/>
    <w:rsid w:val="24F90ACC"/>
    <w:rsid w:val="24FB7643"/>
    <w:rsid w:val="24FE024B"/>
    <w:rsid w:val="250007A5"/>
    <w:rsid w:val="25037B05"/>
    <w:rsid w:val="2508312C"/>
    <w:rsid w:val="25085CE9"/>
    <w:rsid w:val="250F4B08"/>
    <w:rsid w:val="251540C3"/>
    <w:rsid w:val="25172FF3"/>
    <w:rsid w:val="2517321E"/>
    <w:rsid w:val="251C4D2C"/>
    <w:rsid w:val="25217D65"/>
    <w:rsid w:val="25246427"/>
    <w:rsid w:val="252F08D0"/>
    <w:rsid w:val="253104A4"/>
    <w:rsid w:val="253533D8"/>
    <w:rsid w:val="25411AD8"/>
    <w:rsid w:val="254342E4"/>
    <w:rsid w:val="25462EFC"/>
    <w:rsid w:val="25464A75"/>
    <w:rsid w:val="25557081"/>
    <w:rsid w:val="25586BA2"/>
    <w:rsid w:val="255A7A54"/>
    <w:rsid w:val="256821BB"/>
    <w:rsid w:val="25687F2B"/>
    <w:rsid w:val="25690042"/>
    <w:rsid w:val="2571338E"/>
    <w:rsid w:val="25743232"/>
    <w:rsid w:val="25745CF3"/>
    <w:rsid w:val="25767BEF"/>
    <w:rsid w:val="257733AC"/>
    <w:rsid w:val="257A0697"/>
    <w:rsid w:val="259060DD"/>
    <w:rsid w:val="2592526B"/>
    <w:rsid w:val="259626D5"/>
    <w:rsid w:val="25A462AA"/>
    <w:rsid w:val="25A73907"/>
    <w:rsid w:val="25A84F6C"/>
    <w:rsid w:val="25AC69D3"/>
    <w:rsid w:val="25AE62F1"/>
    <w:rsid w:val="25B02ED5"/>
    <w:rsid w:val="25B05E19"/>
    <w:rsid w:val="25B66D49"/>
    <w:rsid w:val="25B7704C"/>
    <w:rsid w:val="25C4370C"/>
    <w:rsid w:val="25C85C87"/>
    <w:rsid w:val="25C933AE"/>
    <w:rsid w:val="25CC72C9"/>
    <w:rsid w:val="25D37E41"/>
    <w:rsid w:val="25EE18A0"/>
    <w:rsid w:val="25F44679"/>
    <w:rsid w:val="25FA7C30"/>
    <w:rsid w:val="25FB533A"/>
    <w:rsid w:val="25FD2C91"/>
    <w:rsid w:val="25FE2055"/>
    <w:rsid w:val="2601386B"/>
    <w:rsid w:val="26095C1B"/>
    <w:rsid w:val="260D616E"/>
    <w:rsid w:val="26116DE3"/>
    <w:rsid w:val="261340BE"/>
    <w:rsid w:val="26172072"/>
    <w:rsid w:val="261974DD"/>
    <w:rsid w:val="261E2172"/>
    <w:rsid w:val="261E6ABF"/>
    <w:rsid w:val="26214C67"/>
    <w:rsid w:val="262A0A01"/>
    <w:rsid w:val="262D597E"/>
    <w:rsid w:val="262E7347"/>
    <w:rsid w:val="262F291C"/>
    <w:rsid w:val="26363C06"/>
    <w:rsid w:val="263B7A4D"/>
    <w:rsid w:val="263C2BFB"/>
    <w:rsid w:val="263E6428"/>
    <w:rsid w:val="26420D84"/>
    <w:rsid w:val="2646608B"/>
    <w:rsid w:val="26517871"/>
    <w:rsid w:val="265A5F4D"/>
    <w:rsid w:val="265F1CC9"/>
    <w:rsid w:val="265F3FA5"/>
    <w:rsid w:val="266175FB"/>
    <w:rsid w:val="266238BF"/>
    <w:rsid w:val="26625509"/>
    <w:rsid w:val="2663131F"/>
    <w:rsid w:val="26651B49"/>
    <w:rsid w:val="266728AA"/>
    <w:rsid w:val="266A5798"/>
    <w:rsid w:val="266D2278"/>
    <w:rsid w:val="266F1F82"/>
    <w:rsid w:val="26700550"/>
    <w:rsid w:val="267115F8"/>
    <w:rsid w:val="26740570"/>
    <w:rsid w:val="26754BD8"/>
    <w:rsid w:val="26771F79"/>
    <w:rsid w:val="267E1204"/>
    <w:rsid w:val="26854003"/>
    <w:rsid w:val="26877832"/>
    <w:rsid w:val="268B71C5"/>
    <w:rsid w:val="268E153E"/>
    <w:rsid w:val="268E78B4"/>
    <w:rsid w:val="269347C3"/>
    <w:rsid w:val="26975F38"/>
    <w:rsid w:val="26980D86"/>
    <w:rsid w:val="269E62B7"/>
    <w:rsid w:val="26A13303"/>
    <w:rsid w:val="26A35B37"/>
    <w:rsid w:val="26A449DC"/>
    <w:rsid w:val="26AE0379"/>
    <w:rsid w:val="26AF4A97"/>
    <w:rsid w:val="26AF6A70"/>
    <w:rsid w:val="26B209C4"/>
    <w:rsid w:val="26B24806"/>
    <w:rsid w:val="26B91F8A"/>
    <w:rsid w:val="26BD14D9"/>
    <w:rsid w:val="26BE69EE"/>
    <w:rsid w:val="26CC7F88"/>
    <w:rsid w:val="26D8540A"/>
    <w:rsid w:val="26E804D3"/>
    <w:rsid w:val="26E909A6"/>
    <w:rsid w:val="26ED370D"/>
    <w:rsid w:val="26F9387F"/>
    <w:rsid w:val="2700274F"/>
    <w:rsid w:val="27083892"/>
    <w:rsid w:val="270944BF"/>
    <w:rsid w:val="270F680C"/>
    <w:rsid w:val="2711695D"/>
    <w:rsid w:val="271B07AB"/>
    <w:rsid w:val="27217934"/>
    <w:rsid w:val="27242058"/>
    <w:rsid w:val="27251283"/>
    <w:rsid w:val="272E5067"/>
    <w:rsid w:val="2731320C"/>
    <w:rsid w:val="27417A35"/>
    <w:rsid w:val="274C7461"/>
    <w:rsid w:val="27501882"/>
    <w:rsid w:val="275373D9"/>
    <w:rsid w:val="275C63D4"/>
    <w:rsid w:val="275D14C8"/>
    <w:rsid w:val="2762640C"/>
    <w:rsid w:val="27671402"/>
    <w:rsid w:val="276844C7"/>
    <w:rsid w:val="27692323"/>
    <w:rsid w:val="276E0DB4"/>
    <w:rsid w:val="276F4326"/>
    <w:rsid w:val="27715642"/>
    <w:rsid w:val="27846D9F"/>
    <w:rsid w:val="279166C9"/>
    <w:rsid w:val="27932BCC"/>
    <w:rsid w:val="279975F4"/>
    <w:rsid w:val="27A71792"/>
    <w:rsid w:val="27A74DE6"/>
    <w:rsid w:val="27A876DC"/>
    <w:rsid w:val="27AF0B5C"/>
    <w:rsid w:val="27AF45BA"/>
    <w:rsid w:val="27B058FC"/>
    <w:rsid w:val="27B35A0C"/>
    <w:rsid w:val="27B97545"/>
    <w:rsid w:val="27BC3174"/>
    <w:rsid w:val="27BF787C"/>
    <w:rsid w:val="27D1646B"/>
    <w:rsid w:val="27D178DF"/>
    <w:rsid w:val="27D75083"/>
    <w:rsid w:val="27D949E5"/>
    <w:rsid w:val="27DB1B15"/>
    <w:rsid w:val="27DC2428"/>
    <w:rsid w:val="27DE4B4F"/>
    <w:rsid w:val="27E63D45"/>
    <w:rsid w:val="27E679AB"/>
    <w:rsid w:val="27EB26F0"/>
    <w:rsid w:val="27F14306"/>
    <w:rsid w:val="27F84090"/>
    <w:rsid w:val="27F850F1"/>
    <w:rsid w:val="27FF48C9"/>
    <w:rsid w:val="280022B5"/>
    <w:rsid w:val="28005D47"/>
    <w:rsid w:val="28031647"/>
    <w:rsid w:val="2804060A"/>
    <w:rsid w:val="28181366"/>
    <w:rsid w:val="281F1752"/>
    <w:rsid w:val="282202CF"/>
    <w:rsid w:val="282368AC"/>
    <w:rsid w:val="28256766"/>
    <w:rsid w:val="28263F6F"/>
    <w:rsid w:val="28350ED9"/>
    <w:rsid w:val="28370458"/>
    <w:rsid w:val="28382DAE"/>
    <w:rsid w:val="283F1859"/>
    <w:rsid w:val="284263C3"/>
    <w:rsid w:val="284B1CAE"/>
    <w:rsid w:val="285102CA"/>
    <w:rsid w:val="28630165"/>
    <w:rsid w:val="28653DE8"/>
    <w:rsid w:val="28666CD0"/>
    <w:rsid w:val="286C27F6"/>
    <w:rsid w:val="2877426A"/>
    <w:rsid w:val="287A2083"/>
    <w:rsid w:val="287C36F6"/>
    <w:rsid w:val="287D3EC3"/>
    <w:rsid w:val="28814262"/>
    <w:rsid w:val="288172F9"/>
    <w:rsid w:val="2888486B"/>
    <w:rsid w:val="288A3BF9"/>
    <w:rsid w:val="288D5A96"/>
    <w:rsid w:val="288F7800"/>
    <w:rsid w:val="28947859"/>
    <w:rsid w:val="289D24CB"/>
    <w:rsid w:val="28A17440"/>
    <w:rsid w:val="28A235BE"/>
    <w:rsid w:val="28A4412A"/>
    <w:rsid w:val="28A45F98"/>
    <w:rsid w:val="28AE1F77"/>
    <w:rsid w:val="28AE6A72"/>
    <w:rsid w:val="28BD02A2"/>
    <w:rsid w:val="28BE2273"/>
    <w:rsid w:val="28BF0099"/>
    <w:rsid w:val="28BF10CF"/>
    <w:rsid w:val="28C04EA9"/>
    <w:rsid w:val="28C830A2"/>
    <w:rsid w:val="28D74AB1"/>
    <w:rsid w:val="28D8171D"/>
    <w:rsid w:val="28DC2A70"/>
    <w:rsid w:val="28E145EA"/>
    <w:rsid w:val="28E15569"/>
    <w:rsid w:val="28E7712A"/>
    <w:rsid w:val="28E81124"/>
    <w:rsid w:val="28E951A4"/>
    <w:rsid w:val="28ED3CA9"/>
    <w:rsid w:val="28F12E7E"/>
    <w:rsid w:val="28F30A9F"/>
    <w:rsid w:val="28F44A3E"/>
    <w:rsid w:val="28F5196E"/>
    <w:rsid w:val="28FB209A"/>
    <w:rsid w:val="29016148"/>
    <w:rsid w:val="29055A9E"/>
    <w:rsid w:val="290763A7"/>
    <w:rsid w:val="29082658"/>
    <w:rsid w:val="29090254"/>
    <w:rsid w:val="290A5599"/>
    <w:rsid w:val="29115661"/>
    <w:rsid w:val="291267E6"/>
    <w:rsid w:val="29183312"/>
    <w:rsid w:val="291A1506"/>
    <w:rsid w:val="291C32FB"/>
    <w:rsid w:val="291E1647"/>
    <w:rsid w:val="29235016"/>
    <w:rsid w:val="29291032"/>
    <w:rsid w:val="292A4DC2"/>
    <w:rsid w:val="29300510"/>
    <w:rsid w:val="29327A39"/>
    <w:rsid w:val="29386BE3"/>
    <w:rsid w:val="293B7165"/>
    <w:rsid w:val="29444822"/>
    <w:rsid w:val="2947477B"/>
    <w:rsid w:val="294B25DC"/>
    <w:rsid w:val="294D26DA"/>
    <w:rsid w:val="2950197C"/>
    <w:rsid w:val="29542F1F"/>
    <w:rsid w:val="29571CA0"/>
    <w:rsid w:val="29583DA4"/>
    <w:rsid w:val="295A0572"/>
    <w:rsid w:val="295A46DF"/>
    <w:rsid w:val="295B35CE"/>
    <w:rsid w:val="295E2CC9"/>
    <w:rsid w:val="2960406A"/>
    <w:rsid w:val="29661F3C"/>
    <w:rsid w:val="296B42C4"/>
    <w:rsid w:val="296E130E"/>
    <w:rsid w:val="296E78D4"/>
    <w:rsid w:val="297205E9"/>
    <w:rsid w:val="2973215E"/>
    <w:rsid w:val="297358A2"/>
    <w:rsid w:val="298522A4"/>
    <w:rsid w:val="29894CC0"/>
    <w:rsid w:val="298A0ECA"/>
    <w:rsid w:val="298D4A3A"/>
    <w:rsid w:val="299012B0"/>
    <w:rsid w:val="29901FE9"/>
    <w:rsid w:val="299360CE"/>
    <w:rsid w:val="29955DD7"/>
    <w:rsid w:val="299A6209"/>
    <w:rsid w:val="299E5E62"/>
    <w:rsid w:val="29A67DF0"/>
    <w:rsid w:val="29A845F2"/>
    <w:rsid w:val="29B3488D"/>
    <w:rsid w:val="29B6146C"/>
    <w:rsid w:val="29B86EAB"/>
    <w:rsid w:val="29BA4B49"/>
    <w:rsid w:val="29C15A7E"/>
    <w:rsid w:val="29C9279F"/>
    <w:rsid w:val="29CA765D"/>
    <w:rsid w:val="29CD27BA"/>
    <w:rsid w:val="29CE7EAD"/>
    <w:rsid w:val="29D104DA"/>
    <w:rsid w:val="29D55A9C"/>
    <w:rsid w:val="29DA5717"/>
    <w:rsid w:val="29E63897"/>
    <w:rsid w:val="29E76B15"/>
    <w:rsid w:val="29F05262"/>
    <w:rsid w:val="29F83550"/>
    <w:rsid w:val="2A091E98"/>
    <w:rsid w:val="2A0C777D"/>
    <w:rsid w:val="2A0D09A2"/>
    <w:rsid w:val="2A0F2BDF"/>
    <w:rsid w:val="2A1013FD"/>
    <w:rsid w:val="2A105B36"/>
    <w:rsid w:val="2A114A4D"/>
    <w:rsid w:val="2A132404"/>
    <w:rsid w:val="2A147554"/>
    <w:rsid w:val="2A151633"/>
    <w:rsid w:val="2A154368"/>
    <w:rsid w:val="2A17340B"/>
    <w:rsid w:val="2A1A588B"/>
    <w:rsid w:val="2A1D22E8"/>
    <w:rsid w:val="2A270738"/>
    <w:rsid w:val="2A2743B0"/>
    <w:rsid w:val="2A2E2DD7"/>
    <w:rsid w:val="2A2E7470"/>
    <w:rsid w:val="2A356CC0"/>
    <w:rsid w:val="2A392E85"/>
    <w:rsid w:val="2A3F232C"/>
    <w:rsid w:val="2A443F21"/>
    <w:rsid w:val="2A460E2E"/>
    <w:rsid w:val="2A46206B"/>
    <w:rsid w:val="2A4A20D9"/>
    <w:rsid w:val="2A4D195D"/>
    <w:rsid w:val="2A4D4F24"/>
    <w:rsid w:val="2A5827CB"/>
    <w:rsid w:val="2A5D4D82"/>
    <w:rsid w:val="2A615218"/>
    <w:rsid w:val="2A671756"/>
    <w:rsid w:val="2A685563"/>
    <w:rsid w:val="2A6D2611"/>
    <w:rsid w:val="2A6F0E37"/>
    <w:rsid w:val="2A6F312B"/>
    <w:rsid w:val="2A750ADD"/>
    <w:rsid w:val="2A756D07"/>
    <w:rsid w:val="2A803E40"/>
    <w:rsid w:val="2A8210CF"/>
    <w:rsid w:val="2A843FB6"/>
    <w:rsid w:val="2A870CA7"/>
    <w:rsid w:val="2A8A4767"/>
    <w:rsid w:val="2A905EBC"/>
    <w:rsid w:val="2A9131FD"/>
    <w:rsid w:val="2A915BA0"/>
    <w:rsid w:val="2A9211AE"/>
    <w:rsid w:val="2A9702AB"/>
    <w:rsid w:val="2A97297E"/>
    <w:rsid w:val="2A9F1765"/>
    <w:rsid w:val="2AA306FD"/>
    <w:rsid w:val="2AA44322"/>
    <w:rsid w:val="2AAA310A"/>
    <w:rsid w:val="2AAD35E6"/>
    <w:rsid w:val="2AAF0222"/>
    <w:rsid w:val="2AB20580"/>
    <w:rsid w:val="2AB636C6"/>
    <w:rsid w:val="2AC35D41"/>
    <w:rsid w:val="2AC54B02"/>
    <w:rsid w:val="2AC554E2"/>
    <w:rsid w:val="2AC85668"/>
    <w:rsid w:val="2AC95926"/>
    <w:rsid w:val="2ACD18A0"/>
    <w:rsid w:val="2AD733CD"/>
    <w:rsid w:val="2AD761D3"/>
    <w:rsid w:val="2AE20844"/>
    <w:rsid w:val="2AE23F30"/>
    <w:rsid w:val="2AE359F9"/>
    <w:rsid w:val="2AE37E81"/>
    <w:rsid w:val="2AE57B2F"/>
    <w:rsid w:val="2AE9280C"/>
    <w:rsid w:val="2AEC648E"/>
    <w:rsid w:val="2AEE349F"/>
    <w:rsid w:val="2AF14799"/>
    <w:rsid w:val="2AFD5DFA"/>
    <w:rsid w:val="2B02085F"/>
    <w:rsid w:val="2B0E297F"/>
    <w:rsid w:val="2B12044C"/>
    <w:rsid w:val="2B121FF0"/>
    <w:rsid w:val="2B1771A2"/>
    <w:rsid w:val="2B195F2B"/>
    <w:rsid w:val="2B204769"/>
    <w:rsid w:val="2B205E5B"/>
    <w:rsid w:val="2B2307C0"/>
    <w:rsid w:val="2B231F31"/>
    <w:rsid w:val="2B2D7A9D"/>
    <w:rsid w:val="2B2E64AB"/>
    <w:rsid w:val="2B361D51"/>
    <w:rsid w:val="2B367833"/>
    <w:rsid w:val="2B380D5A"/>
    <w:rsid w:val="2B386C79"/>
    <w:rsid w:val="2B4D1DD7"/>
    <w:rsid w:val="2B50509D"/>
    <w:rsid w:val="2B56789F"/>
    <w:rsid w:val="2B5B1CBC"/>
    <w:rsid w:val="2B5B3A34"/>
    <w:rsid w:val="2B605418"/>
    <w:rsid w:val="2B664EB5"/>
    <w:rsid w:val="2B673DE2"/>
    <w:rsid w:val="2B733A20"/>
    <w:rsid w:val="2B785CCA"/>
    <w:rsid w:val="2B7B2C99"/>
    <w:rsid w:val="2B7F31A3"/>
    <w:rsid w:val="2B8041AA"/>
    <w:rsid w:val="2B866A50"/>
    <w:rsid w:val="2B874C59"/>
    <w:rsid w:val="2B881622"/>
    <w:rsid w:val="2B8A15BF"/>
    <w:rsid w:val="2B8B7585"/>
    <w:rsid w:val="2B8D2811"/>
    <w:rsid w:val="2B8F1071"/>
    <w:rsid w:val="2B964ECE"/>
    <w:rsid w:val="2BA44A1A"/>
    <w:rsid w:val="2BAA72E8"/>
    <w:rsid w:val="2BAD7D5C"/>
    <w:rsid w:val="2BB1294D"/>
    <w:rsid w:val="2BB94BC8"/>
    <w:rsid w:val="2BBB0049"/>
    <w:rsid w:val="2BBC236E"/>
    <w:rsid w:val="2BBC399D"/>
    <w:rsid w:val="2BBD3599"/>
    <w:rsid w:val="2BBE2AAB"/>
    <w:rsid w:val="2BBE532E"/>
    <w:rsid w:val="2BBF3CD0"/>
    <w:rsid w:val="2BC3547B"/>
    <w:rsid w:val="2BC6196C"/>
    <w:rsid w:val="2BCA0215"/>
    <w:rsid w:val="2BD457D5"/>
    <w:rsid w:val="2BDA7C6E"/>
    <w:rsid w:val="2BE02695"/>
    <w:rsid w:val="2BE70051"/>
    <w:rsid w:val="2BED4215"/>
    <w:rsid w:val="2BEE2171"/>
    <w:rsid w:val="2BEF4B2C"/>
    <w:rsid w:val="2BEF604A"/>
    <w:rsid w:val="2BF02FF1"/>
    <w:rsid w:val="2BF2538D"/>
    <w:rsid w:val="2BF25CD3"/>
    <w:rsid w:val="2BF53C8B"/>
    <w:rsid w:val="2BF74B53"/>
    <w:rsid w:val="2BFB5142"/>
    <w:rsid w:val="2BFC7679"/>
    <w:rsid w:val="2BFE22E8"/>
    <w:rsid w:val="2C120EF4"/>
    <w:rsid w:val="2C1A76C4"/>
    <w:rsid w:val="2C1E1C14"/>
    <w:rsid w:val="2C264D2E"/>
    <w:rsid w:val="2C275BFD"/>
    <w:rsid w:val="2C280520"/>
    <w:rsid w:val="2C294345"/>
    <w:rsid w:val="2C2D0768"/>
    <w:rsid w:val="2C325B24"/>
    <w:rsid w:val="2C345FD7"/>
    <w:rsid w:val="2C38709A"/>
    <w:rsid w:val="2C3B3746"/>
    <w:rsid w:val="2C4047CB"/>
    <w:rsid w:val="2C453A9D"/>
    <w:rsid w:val="2C4C07B7"/>
    <w:rsid w:val="2C4E75D9"/>
    <w:rsid w:val="2C4F5E58"/>
    <w:rsid w:val="2C511350"/>
    <w:rsid w:val="2C525409"/>
    <w:rsid w:val="2C5E03B4"/>
    <w:rsid w:val="2C620395"/>
    <w:rsid w:val="2C6370E2"/>
    <w:rsid w:val="2C6676AB"/>
    <w:rsid w:val="2C74338A"/>
    <w:rsid w:val="2C752800"/>
    <w:rsid w:val="2C7848D6"/>
    <w:rsid w:val="2C7875B5"/>
    <w:rsid w:val="2C7C079D"/>
    <w:rsid w:val="2C84084E"/>
    <w:rsid w:val="2C8473B6"/>
    <w:rsid w:val="2C8D515C"/>
    <w:rsid w:val="2C95406F"/>
    <w:rsid w:val="2C9C5249"/>
    <w:rsid w:val="2C9E02DA"/>
    <w:rsid w:val="2CA75768"/>
    <w:rsid w:val="2CA95C5B"/>
    <w:rsid w:val="2CAA784B"/>
    <w:rsid w:val="2CAB33A3"/>
    <w:rsid w:val="2CB06D48"/>
    <w:rsid w:val="2CB32C96"/>
    <w:rsid w:val="2CB421CB"/>
    <w:rsid w:val="2CB628AE"/>
    <w:rsid w:val="2CC44F17"/>
    <w:rsid w:val="2CC90CCE"/>
    <w:rsid w:val="2CD37C83"/>
    <w:rsid w:val="2CDF2617"/>
    <w:rsid w:val="2CE048D6"/>
    <w:rsid w:val="2CE47A30"/>
    <w:rsid w:val="2CE55082"/>
    <w:rsid w:val="2CE65380"/>
    <w:rsid w:val="2CE77EF5"/>
    <w:rsid w:val="2CEB5B2C"/>
    <w:rsid w:val="2CED4FAB"/>
    <w:rsid w:val="2CF33FCE"/>
    <w:rsid w:val="2CF5739C"/>
    <w:rsid w:val="2CF720B3"/>
    <w:rsid w:val="2CF73374"/>
    <w:rsid w:val="2CFA5200"/>
    <w:rsid w:val="2CFC0877"/>
    <w:rsid w:val="2D034832"/>
    <w:rsid w:val="2D052BA0"/>
    <w:rsid w:val="2D073312"/>
    <w:rsid w:val="2D0C2525"/>
    <w:rsid w:val="2D0E7CC9"/>
    <w:rsid w:val="2D0F3632"/>
    <w:rsid w:val="2D10791A"/>
    <w:rsid w:val="2D112889"/>
    <w:rsid w:val="2D1A44A1"/>
    <w:rsid w:val="2D205049"/>
    <w:rsid w:val="2D212AE8"/>
    <w:rsid w:val="2D2357AA"/>
    <w:rsid w:val="2D2D451C"/>
    <w:rsid w:val="2D323C2E"/>
    <w:rsid w:val="2D345D51"/>
    <w:rsid w:val="2D3A6810"/>
    <w:rsid w:val="2D3C3BED"/>
    <w:rsid w:val="2D4716CD"/>
    <w:rsid w:val="2D4D6F3C"/>
    <w:rsid w:val="2D4E086C"/>
    <w:rsid w:val="2D500286"/>
    <w:rsid w:val="2D53511F"/>
    <w:rsid w:val="2D556797"/>
    <w:rsid w:val="2D571A5C"/>
    <w:rsid w:val="2D575770"/>
    <w:rsid w:val="2D632C06"/>
    <w:rsid w:val="2D637A15"/>
    <w:rsid w:val="2D64201E"/>
    <w:rsid w:val="2D6634BD"/>
    <w:rsid w:val="2D6920E3"/>
    <w:rsid w:val="2D6A4339"/>
    <w:rsid w:val="2D6C1617"/>
    <w:rsid w:val="2D77509A"/>
    <w:rsid w:val="2D7841A1"/>
    <w:rsid w:val="2D7E1DBF"/>
    <w:rsid w:val="2D801DD4"/>
    <w:rsid w:val="2D822191"/>
    <w:rsid w:val="2D8479AB"/>
    <w:rsid w:val="2D851532"/>
    <w:rsid w:val="2D871B57"/>
    <w:rsid w:val="2D886928"/>
    <w:rsid w:val="2D8958D9"/>
    <w:rsid w:val="2D8A1EAE"/>
    <w:rsid w:val="2D8C109F"/>
    <w:rsid w:val="2D926AF1"/>
    <w:rsid w:val="2D9615E2"/>
    <w:rsid w:val="2D962C60"/>
    <w:rsid w:val="2D971465"/>
    <w:rsid w:val="2D9B525E"/>
    <w:rsid w:val="2D9F6E70"/>
    <w:rsid w:val="2DA73EF8"/>
    <w:rsid w:val="2DAD7DC3"/>
    <w:rsid w:val="2DAF74EA"/>
    <w:rsid w:val="2DB269D8"/>
    <w:rsid w:val="2DC044B4"/>
    <w:rsid w:val="2DC12171"/>
    <w:rsid w:val="2DC124EF"/>
    <w:rsid w:val="2DC45205"/>
    <w:rsid w:val="2DC55BC7"/>
    <w:rsid w:val="2DC904A2"/>
    <w:rsid w:val="2DCA5A47"/>
    <w:rsid w:val="2DCB5B10"/>
    <w:rsid w:val="2DCC1ACA"/>
    <w:rsid w:val="2DCC3F11"/>
    <w:rsid w:val="2DCC7151"/>
    <w:rsid w:val="2DCF6D7E"/>
    <w:rsid w:val="2DD45151"/>
    <w:rsid w:val="2DD60C26"/>
    <w:rsid w:val="2DD63943"/>
    <w:rsid w:val="2DDA048F"/>
    <w:rsid w:val="2DDA2C7B"/>
    <w:rsid w:val="2DDD01DC"/>
    <w:rsid w:val="2DE41981"/>
    <w:rsid w:val="2DF278A0"/>
    <w:rsid w:val="2DF313D2"/>
    <w:rsid w:val="2DF463E6"/>
    <w:rsid w:val="2DF6201C"/>
    <w:rsid w:val="2E07634A"/>
    <w:rsid w:val="2E077CEF"/>
    <w:rsid w:val="2E080416"/>
    <w:rsid w:val="2E0A305D"/>
    <w:rsid w:val="2E0B6E7B"/>
    <w:rsid w:val="2E0F13DD"/>
    <w:rsid w:val="2E0F7837"/>
    <w:rsid w:val="2E1D75D0"/>
    <w:rsid w:val="2E1F180F"/>
    <w:rsid w:val="2E216102"/>
    <w:rsid w:val="2E2206CB"/>
    <w:rsid w:val="2E221BA5"/>
    <w:rsid w:val="2E257C66"/>
    <w:rsid w:val="2E2858DE"/>
    <w:rsid w:val="2E2B3D1D"/>
    <w:rsid w:val="2E2D2DC8"/>
    <w:rsid w:val="2E2E7D79"/>
    <w:rsid w:val="2E3000E4"/>
    <w:rsid w:val="2E3045F1"/>
    <w:rsid w:val="2E337158"/>
    <w:rsid w:val="2E342304"/>
    <w:rsid w:val="2E3D7707"/>
    <w:rsid w:val="2E4853F7"/>
    <w:rsid w:val="2E4B75A1"/>
    <w:rsid w:val="2E57091D"/>
    <w:rsid w:val="2E5910DF"/>
    <w:rsid w:val="2E5B4B89"/>
    <w:rsid w:val="2E5D457E"/>
    <w:rsid w:val="2E5D716F"/>
    <w:rsid w:val="2E5E353C"/>
    <w:rsid w:val="2E6413D0"/>
    <w:rsid w:val="2E6D5CE6"/>
    <w:rsid w:val="2E702AE5"/>
    <w:rsid w:val="2E772786"/>
    <w:rsid w:val="2E7B1861"/>
    <w:rsid w:val="2E7B3A13"/>
    <w:rsid w:val="2E7B420F"/>
    <w:rsid w:val="2E7C26C6"/>
    <w:rsid w:val="2E7C384B"/>
    <w:rsid w:val="2E7E0970"/>
    <w:rsid w:val="2E8362D0"/>
    <w:rsid w:val="2E850E2F"/>
    <w:rsid w:val="2E8735B8"/>
    <w:rsid w:val="2E881794"/>
    <w:rsid w:val="2E8A6BB4"/>
    <w:rsid w:val="2E8B152F"/>
    <w:rsid w:val="2E8B33D5"/>
    <w:rsid w:val="2E8C4E3E"/>
    <w:rsid w:val="2E92094A"/>
    <w:rsid w:val="2E923582"/>
    <w:rsid w:val="2E937A5E"/>
    <w:rsid w:val="2E942770"/>
    <w:rsid w:val="2E957DA0"/>
    <w:rsid w:val="2E9B4122"/>
    <w:rsid w:val="2E9B45C6"/>
    <w:rsid w:val="2E9C27A9"/>
    <w:rsid w:val="2EA70BD4"/>
    <w:rsid w:val="2EAD0D72"/>
    <w:rsid w:val="2EAD74E9"/>
    <w:rsid w:val="2EBA116C"/>
    <w:rsid w:val="2ECA1E17"/>
    <w:rsid w:val="2ECA3EF8"/>
    <w:rsid w:val="2ECD43F7"/>
    <w:rsid w:val="2ECE7508"/>
    <w:rsid w:val="2ED3609B"/>
    <w:rsid w:val="2ED47116"/>
    <w:rsid w:val="2ED54916"/>
    <w:rsid w:val="2ED92186"/>
    <w:rsid w:val="2EE223D6"/>
    <w:rsid w:val="2EE235C3"/>
    <w:rsid w:val="2EE25E58"/>
    <w:rsid w:val="2EEA0FA3"/>
    <w:rsid w:val="2EEE19C8"/>
    <w:rsid w:val="2EF028B3"/>
    <w:rsid w:val="2EF122EE"/>
    <w:rsid w:val="2EF27D40"/>
    <w:rsid w:val="2EF672A5"/>
    <w:rsid w:val="2EF67A96"/>
    <w:rsid w:val="2EFA4B1D"/>
    <w:rsid w:val="2F090D80"/>
    <w:rsid w:val="2F0B2C44"/>
    <w:rsid w:val="2F0E498A"/>
    <w:rsid w:val="2F155C44"/>
    <w:rsid w:val="2F195C79"/>
    <w:rsid w:val="2F1B4C98"/>
    <w:rsid w:val="2F1B4D41"/>
    <w:rsid w:val="2F1C42C0"/>
    <w:rsid w:val="2F1D0F70"/>
    <w:rsid w:val="2F206CEC"/>
    <w:rsid w:val="2F213431"/>
    <w:rsid w:val="2F2E0ED4"/>
    <w:rsid w:val="2F3D42E7"/>
    <w:rsid w:val="2F4140B2"/>
    <w:rsid w:val="2F4403D8"/>
    <w:rsid w:val="2F444227"/>
    <w:rsid w:val="2F4D7E9C"/>
    <w:rsid w:val="2F5E7407"/>
    <w:rsid w:val="2F62194A"/>
    <w:rsid w:val="2F637577"/>
    <w:rsid w:val="2F674814"/>
    <w:rsid w:val="2F6A4A46"/>
    <w:rsid w:val="2F722B20"/>
    <w:rsid w:val="2F8252FD"/>
    <w:rsid w:val="2F8979F0"/>
    <w:rsid w:val="2F8A6428"/>
    <w:rsid w:val="2F8B2689"/>
    <w:rsid w:val="2F8C6ACB"/>
    <w:rsid w:val="2F8E43BD"/>
    <w:rsid w:val="2F9106A2"/>
    <w:rsid w:val="2F931989"/>
    <w:rsid w:val="2F982F8A"/>
    <w:rsid w:val="2FA212F7"/>
    <w:rsid w:val="2FA24BCC"/>
    <w:rsid w:val="2FA357CC"/>
    <w:rsid w:val="2FAA2AB9"/>
    <w:rsid w:val="2FAD7079"/>
    <w:rsid w:val="2FAE3138"/>
    <w:rsid w:val="2FAF6CF9"/>
    <w:rsid w:val="2FB95C5C"/>
    <w:rsid w:val="2FC8735C"/>
    <w:rsid w:val="2FCA0926"/>
    <w:rsid w:val="2FD449E1"/>
    <w:rsid w:val="2FDA7A78"/>
    <w:rsid w:val="2FDB3496"/>
    <w:rsid w:val="2FDB76C5"/>
    <w:rsid w:val="2FE25199"/>
    <w:rsid w:val="2FE700B4"/>
    <w:rsid w:val="2FE83C87"/>
    <w:rsid w:val="2FE90928"/>
    <w:rsid w:val="2FF07852"/>
    <w:rsid w:val="2FF238BC"/>
    <w:rsid w:val="2FF253E8"/>
    <w:rsid w:val="2FF57BA6"/>
    <w:rsid w:val="2FF64930"/>
    <w:rsid w:val="2FF72ED1"/>
    <w:rsid w:val="2FFC098D"/>
    <w:rsid w:val="30001337"/>
    <w:rsid w:val="30013C7F"/>
    <w:rsid w:val="30040DDC"/>
    <w:rsid w:val="300525D9"/>
    <w:rsid w:val="30084612"/>
    <w:rsid w:val="300F64ED"/>
    <w:rsid w:val="30104239"/>
    <w:rsid w:val="3018612D"/>
    <w:rsid w:val="301C5F81"/>
    <w:rsid w:val="301F3947"/>
    <w:rsid w:val="302118C9"/>
    <w:rsid w:val="302311DF"/>
    <w:rsid w:val="302B10E8"/>
    <w:rsid w:val="30370257"/>
    <w:rsid w:val="303802A0"/>
    <w:rsid w:val="303B2E03"/>
    <w:rsid w:val="303E7565"/>
    <w:rsid w:val="30485051"/>
    <w:rsid w:val="304A1D05"/>
    <w:rsid w:val="304F601A"/>
    <w:rsid w:val="30502936"/>
    <w:rsid w:val="305526A7"/>
    <w:rsid w:val="30554214"/>
    <w:rsid w:val="30556141"/>
    <w:rsid w:val="30603AF7"/>
    <w:rsid w:val="30670688"/>
    <w:rsid w:val="3070330C"/>
    <w:rsid w:val="307209AB"/>
    <w:rsid w:val="30735F56"/>
    <w:rsid w:val="307423A4"/>
    <w:rsid w:val="307570B8"/>
    <w:rsid w:val="30775E3F"/>
    <w:rsid w:val="30811852"/>
    <w:rsid w:val="30883E1F"/>
    <w:rsid w:val="308B6686"/>
    <w:rsid w:val="309017FD"/>
    <w:rsid w:val="309126AB"/>
    <w:rsid w:val="309416F6"/>
    <w:rsid w:val="30954AE6"/>
    <w:rsid w:val="30983615"/>
    <w:rsid w:val="30A55B4F"/>
    <w:rsid w:val="30A80B57"/>
    <w:rsid w:val="30B07200"/>
    <w:rsid w:val="30B25E4E"/>
    <w:rsid w:val="30B27B1A"/>
    <w:rsid w:val="30C76AF6"/>
    <w:rsid w:val="30CB238F"/>
    <w:rsid w:val="30CD71A7"/>
    <w:rsid w:val="30D40637"/>
    <w:rsid w:val="30DA2193"/>
    <w:rsid w:val="30DA2D10"/>
    <w:rsid w:val="30DC592F"/>
    <w:rsid w:val="30DE1775"/>
    <w:rsid w:val="30EB3898"/>
    <w:rsid w:val="30F10738"/>
    <w:rsid w:val="30F12088"/>
    <w:rsid w:val="31032151"/>
    <w:rsid w:val="310407B9"/>
    <w:rsid w:val="310D4A3F"/>
    <w:rsid w:val="311C1191"/>
    <w:rsid w:val="312836E5"/>
    <w:rsid w:val="312E5DBA"/>
    <w:rsid w:val="31364056"/>
    <w:rsid w:val="313973F7"/>
    <w:rsid w:val="313A62C6"/>
    <w:rsid w:val="313B28C3"/>
    <w:rsid w:val="313B743A"/>
    <w:rsid w:val="31472DC6"/>
    <w:rsid w:val="31480499"/>
    <w:rsid w:val="315416E9"/>
    <w:rsid w:val="31567E12"/>
    <w:rsid w:val="315B561B"/>
    <w:rsid w:val="317542DE"/>
    <w:rsid w:val="31797269"/>
    <w:rsid w:val="318215AE"/>
    <w:rsid w:val="318453ED"/>
    <w:rsid w:val="31850DCE"/>
    <w:rsid w:val="31870991"/>
    <w:rsid w:val="31924FD7"/>
    <w:rsid w:val="31933130"/>
    <w:rsid w:val="319656FF"/>
    <w:rsid w:val="319957E5"/>
    <w:rsid w:val="319A3C88"/>
    <w:rsid w:val="319B5024"/>
    <w:rsid w:val="319F300B"/>
    <w:rsid w:val="31A317AA"/>
    <w:rsid w:val="31A60E31"/>
    <w:rsid w:val="31A976DD"/>
    <w:rsid w:val="31B325FA"/>
    <w:rsid w:val="31B85FD5"/>
    <w:rsid w:val="31D2089D"/>
    <w:rsid w:val="31D56876"/>
    <w:rsid w:val="31D84859"/>
    <w:rsid w:val="31D91ABE"/>
    <w:rsid w:val="31E42586"/>
    <w:rsid w:val="31EB6589"/>
    <w:rsid w:val="31F2020E"/>
    <w:rsid w:val="31F657D9"/>
    <w:rsid w:val="31FD3449"/>
    <w:rsid w:val="3201746D"/>
    <w:rsid w:val="32057F44"/>
    <w:rsid w:val="320D0F11"/>
    <w:rsid w:val="320E0F54"/>
    <w:rsid w:val="320F3454"/>
    <w:rsid w:val="321008F7"/>
    <w:rsid w:val="32133506"/>
    <w:rsid w:val="32163FBE"/>
    <w:rsid w:val="321F6331"/>
    <w:rsid w:val="32204B4C"/>
    <w:rsid w:val="32263BD6"/>
    <w:rsid w:val="322A3246"/>
    <w:rsid w:val="322D4331"/>
    <w:rsid w:val="322F4AC7"/>
    <w:rsid w:val="3236077D"/>
    <w:rsid w:val="32391B41"/>
    <w:rsid w:val="323D77AF"/>
    <w:rsid w:val="3248661B"/>
    <w:rsid w:val="32492514"/>
    <w:rsid w:val="324D2F93"/>
    <w:rsid w:val="32507102"/>
    <w:rsid w:val="3255416B"/>
    <w:rsid w:val="32571B1C"/>
    <w:rsid w:val="326D3692"/>
    <w:rsid w:val="32707939"/>
    <w:rsid w:val="32756144"/>
    <w:rsid w:val="32781FE0"/>
    <w:rsid w:val="3278277D"/>
    <w:rsid w:val="32782E23"/>
    <w:rsid w:val="327B6910"/>
    <w:rsid w:val="328331F5"/>
    <w:rsid w:val="32895FB2"/>
    <w:rsid w:val="328B603A"/>
    <w:rsid w:val="328C14FC"/>
    <w:rsid w:val="32903BBB"/>
    <w:rsid w:val="32906D64"/>
    <w:rsid w:val="32956DDE"/>
    <w:rsid w:val="32966642"/>
    <w:rsid w:val="329C6008"/>
    <w:rsid w:val="329D3A57"/>
    <w:rsid w:val="329F3B78"/>
    <w:rsid w:val="32A40EFE"/>
    <w:rsid w:val="32A73026"/>
    <w:rsid w:val="32AC58A0"/>
    <w:rsid w:val="32AD0488"/>
    <w:rsid w:val="32B26067"/>
    <w:rsid w:val="32B5404A"/>
    <w:rsid w:val="32B66FF6"/>
    <w:rsid w:val="32B75A4F"/>
    <w:rsid w:val="32B907BD"/>
    <w:rsid w:val="32BE4C78"/>
    <w:rsid w:val="32BF14B2"/>
    <w:rsid w:val="32C42C16"/>
    <w:rsid w:val="32C564A4"/>
    <w:rsid w:val="32C80FB2"/>
    <w:rsid w:val="32C82318"/>
    <w:rsid w:val="32CA01BD"/>
    <w:rsid w:val="32CB0B39"/>
    <w:rsid w:val="32D56C58"/>
    <w:rsid w:val="32D97A44"/>
    <w:rsid w:val="32DB6DD3"/>
    <w:rsid w:val="32E174D1"/>
    <w:rsid w:val="32E23FA4"/>
    <w:rsid w:val="32E310EC"/>
    <w:rsid w:val="32EE6F20"/>
    <w:rsid w:val="32F07BEE"/>
    <w:rsid w:val="32F34825"/>
    <w:rsid w:val="32F76151"/>
    <w:rsid w:val="32FE5FF3"/>
    <w:rsid w:val="33020D38"/>
    <w:rsid w:val="3304341E"/>
    <w:rsid w:val="33046680"/>
    <w:rsid w:val="3306702F"/>
    <w:rsid w:val="330870FD"/>
    <w:rsid w:val="330951E6"/>
    <w:rsid w:val="3309707A"/>
    <w:rsid w:val="330A0067"/>
    <w:rsid w:val="331534C0"/>
    <w:rsid w:val="331C0CEA"/>
    <w:rsid w:val="331C37E4"/>
    <w:rsid w:val="331F00FC"/>
    <w:rsid w:val="332E0163"/>
    <w:rsid w:val="33382F01"/>
    <w:rsid w:val="334030D5"/>
    <w:rsid w:val="334148E6"/>
    <w:rsid w:val="3341597A"/>
    <w:rsid w:val="33425D7C"/>
    <w:rsid w:val="334307CB"/>
    <w:rsid w:val="33436E7B"/>
    <w:rsid w:val="33443B20"/>
    <w:rsid w:val="334921C3"/>
    <w:rsid w:val="33493ED3"/>
    <w:rsid w:val="334A5B44"/>
    <w:rsid w:val="334D23F5"/>
    <w:rsid w:val="33511DCF"/>
    <w:rsid w:val="335A0C6D"/>
    <w:rsid w:val="33684A58"/>
    <w:rsid w:val="336A1048"/>
    <w:rsid w:val="336A5246"/>
    <w:rsid w:val="336A7BC6"/>
    <w:rsid w:val="336D5DAA"/>
    <w:rsid w:val="336F12AF"/>
    <w:rsid w:val="33764C91"/>
    <w:rsid w:val="33781C26"/>
    <w:rsid w:val="3381488D"/>
    <w:rsid w:val="33823890"/>
    <w:rsid w:val="33896813"/>
    <w:rsid w:val="338B0B7C"/>
    <w:rsid w:val="338B2C27"/>
    <w:rsid w:val="339725C5"/>
    <w:rsid w:val="339727DF"/>
    <w:rsid w:val="339A66CE"/>
    <w:rsid w:val="339A7080"/>
    <w:rsid w:val="339F1FE7"/>
    <w:rsid w:val="339F6EB1"/>
    <w:rsid w:val="33A93D51"/>
    <w:rsid w:val="33B356F2"/>
    <w:rsid w:val="33B91059"/>
    <w:rsid w:val="33BE4A1D"/>
    <w:rsid w:val="33C12164"/>
    <w:rsid w:val="33C213EF"/>
    <w:rsid w:val="33C5188C"/>
    <w:rsid w:val="33C5403C"/>
    <w:rsid w:val="33C57802"/>
    <w:rsid w:val="33D05605"/>
    <w:rsid w:val="33D5073B"/>
    <w:rsid w:val="33D5371F"/>
    <w:rsid w:val="33DE59C2"/>
    <w:rsid w:val="33E22971"/>
    <w:rsid w:val="33EB2A99"/>
    <w:rsid w:val="33ED76F3"/>
    <w:rsid w:val="33EF33A2"/>
    <w:rsid w:val="33EF70AA"/>
    <w:rsid w:val="33F30EAE"/>
    <w:rsid w:val="33F37D92"/>
    <w:rsid w:val="33F64667"/>
    <w:rsid w:val="33F86B1E"/>
    <w:rsid w:val="33FF13FF"/>
    <w:rsid w:val="33FF14F2"/>
    <w:rsid w:val="33FF59B0"/>
    <w:rsid w:val="34094D83"/>
    <w:rsid w:val="340C0032"/>
    <w:rsid w:val="34162B39"/>
    <w:rsid w:val="34176F78"/>
    <w:rsid w:val="3419751E"/>
    <w:rsid w:val="341B699D"/>
    <w:rsid w:val="341C4CBD"/>
    <w:rsid w:val="34257197"/>
    <w:rsid w:val="3428763B"/>
    <w:rsid w:val="342E1CC7"/>
    <w:rsid w:val="34335F5D"/>
    <w:rsid w:val="3435712B"/>
    <w:rsid w:val="343A2B25"/>
    <w:rsid w:val="344550A9"/>
    <w:rsid w:val="34467D22"/>
    <w:rsid w:val="344850E1"/>
    <w:rsid w:val="3448631A"/>
    <w:rsid w:val="344C1B50"/>
    <w:rsid w:val="344C438C"/>
    <w:rsid w:val="34531093"/>
    <w:rsid w:val="34533715"/>
    <w:rsid w:val="3453790D"/>
    <w:rsid w:val="345540E7"/>
    <w:rsid w:val="3456630A"/>
    <w:rsid w:val="34580D46"/>
    <w:rsid w:val="34586D14"/>
    <w:rsid w:val="346703A8"/>
    <w:rsid w:val="346B2574"/>
    <w:rsid w:val="34711528"/>
    <w:rsid w:val="34777C8A"/>
    <w:rsid w:val="3478048E"/>
    <w:rsid w:val="34793109"/>
    <w:rsid w:val="347A4F06"/>
    <w:rsid w:val="347F109B"/>
    <w:rsid w:val="3481399F"/>
    <w:rsid w:val="348315A3"/>
    <w:rsid w:val="3486662A"/>
    <w:rsid w:val="34905F13"/>
    <w:rsid w:val="34933A45"/>
    <w:rsid w:val="3493407E"/>
    <w:rsid w:val="3494342D"/>
    <w:rsid w:val="34955AA8"/>
    <w:rsid w:val="349567C7"/>
    <w:rsid w:val="34987B7C"/>
    <w:rsid w:val="349C7A82"/>
    <w:rsid w:val="349F688E"/>
    <w:rsid w:val="349F7979"/>
    <w:rsid w:val="34A11A6C"/>
    <w:rsid w:val="34A364B1"/>
    <w:rsid w:val="34A70947"/>
    <w:rsid w:val="34AC39D2"/>
    <w:rsid w:val="34B73384"/>
    <w:rsid w:val="34B76DC6"/>
    <w:rsid w:val="34CC3657"/>
    <w:rsid w:val="34CC410F"/>
    <w:rsid w:val="34CE46A6"/>
    <w:rsid w:val="34D238AF"/>
    <w:rsid w:val="34D61399"/>
    <w:rsid w:val="34D93E4C"/>
    <w:rsid w:val="34DA74CF"/>
    <w:rsid w:val="34E302C3"/>
    <w:rsid w:val="34E66FB9"/>
    <w:rsid w:val="34EE19E1"/>
    <w:rsid w:val="34EF261B"/>
    <w:rsid w:val="34F41CAF"/>
    <w:rsid w:val="34FA474A"/>
    <w:rsid w:val="350E04A0"/>
    <w:rsid w:val="350E29D8"/>
    <w:rsid w:val="350F1816"/>
    <w:rsid w:val="35110F3C"/>
    <w:rsid w:val="35170DAC"/>
    <w:rsid w:val="351E6A71"/>
    <w:rsid w:val="35201C8A"/>
    <w:rsid w:val="35264307"/>
    <w:rsid w:val="352F72B7"/>
    <w:rsid w:val="35311E21"/>
    <w:rsid w:val="35350894"/>
    <w:rsid w:val="35364674"/>
    <w:rsid w:val="353772BD"/>
    <w:rsid w:val="35394108"/>
    <w:rsid w:val="353C7B68"/>
    <w:rsid w:val="353E366F"/>
    <w:rsid w:val="354053A1"/>
    <w:rsid w:val="3546158A"/>
    <w:rsid w:val="35490FC9"/>
    <w:rsid w:val="354C0815"/>
    <w:rsid w:val="355969CA"/>
    <w:rsid w:val="355B5906"/>
    <w:rsid w:val="355C7E66"/>
    <w:rsid w:val="3560239D"/>
    <w:rsid w:val="3562782B"/>
    <w:rsid w:val="3563321B"/>
    <w:rsid w:val="35647DA0"/>
    <w:rsid w:val="35683D57"/>
    <w:rsid w:val="35686B07"/>
    <w:rsid w:val="35690726"/>
    <w:rsid w:val="35691E3E"/>
    <w:rsid w:val="35797594"/>
    <w:rsid w:val="3581746A"/>
    <w:rsid w:val="35827BE0"/>
    <w:rsid w:val="358D026F"/>
    <w:rsid w:val="359465E3"/>
    <w:rsid w:val="359B6A4C"/>
    <w:rsid w:val="359E7CF6"/>
    <w:rsid w:val="35A06C99"/>
    <w:rsid w:val="35A61FEA"/>
    <w:rsid w:val="35A836CB"/>
    <w:rsid w:val="35AC7E2B"/>
    <w:rsid w:val="35AE21FC"/>
    <w:rsid w:val="35B011C6"/>
    <w:rsid w:val="35B30D89"/>
    <w:rsid w:val="35B8087F"/>
    <w:rsid w:val="35C247F7"/>
    <w:rsid w:val="35C93125"/>
    <w:rsid w:val="35CD1AE5"/>
    <w:rsid w:val="35CE56CF"/>
    <w:rsid w:val="35CF113B"/>
    <w:rsid w:val="35D02423"/>
    <w:rsid w:val="35D16268"/>
    <w:rsid w:val="35D20C47"/>
    <w:rsid w:val="35D422FD"/>
    <w:rsid w:val="35D5148C"/>
    <w:rsid w:val="35DD6025"/>
    <w:rsid w:val="35E02DEF"/>
    <w:rsid w:val="35E21317"/>
    <w:rsid w:val="35E74329"/>
    <w:rsid w:val="35EA0699"/>
    <w:rsid w:val="35EB2459"/>
    <w:rsid w:val="35F1368D"/>
    <w:rsid w:val="35F44A54"/>
    <w:rsid w:val="35F5651A"/>
    <w:rsid w:val="35FC34D7"/>
    <w:rsid w:val="360208A3"/>
    <w:rsid w:val="36021059"/>
    <w:rsid w:val="36046248"/>
    <w:rsid w:val="36065DF4"/>
    <w:rsid w:val="360B16C3"/>
    <w:rsid w:val="360B2BE4"/>
    <w:rsid w:val="360D2CF4"/>
    <w:rsid w:val="3613754D"/>
    <w:rsid w:val="3614786A"/>
    <w:rsid w:val="361B10F3"/>
    <w:rsid w:val="3625365E"/>
    <w:rsid w:val="362B4498"/>
    <w:rsid w:val="362C0E73"/>
    <w:rsid w:val="362C5F93"/>
    <w:rsid w:val="36391B74"/>
    <w:rsid w:val="363B35E6"/>
    <w:rsid w:val="36403F1B"/>
    <w:rsid w:val="364507E4"/>
    <w:rsid w:val="3649689B"/>
    <w:rsid w:val="364C19EF"/>
    <w:rsid w:val="36532D17"/>
    <w:rsid w:val="365C04CC"/>
    <w:rsid w:val="365C2F8C"/>
    <w:rsid w:val="36715103"/>
    <w:rsid w:val="36727343"/>
    <w:rsid w:val="367444F5"/>
    <w:rsid w:val="367571F1"/>
    <w:rsid w:val="367A574F"/>
    <w:rsid w:val="367C375A"/>
    <w:rsid w:val="36801520"/>
    <w:rsid w:val="36845E0A"/>
    <w:rsid w:val="368861AC"/>
    <w:rsid w:val="368D6632"/>
    <w:rsid w:val="3695008C"/>
    <w:rsid w:val="3696059A"/>
    <w:rsid w:val="3698067C"/>
    <w:rsid w:val="369873E8"/>
    <w:rsid w:val="369E7796"/>
    <w:rsid w:val="369F43B1"/>
    <w:rsid w:val="36A5033C"/>
    <w:rsid w:val="36A72F7F"/>
    <w:rsid w:val="36A7323E"/>
    <w:rsid w:val="36B00B78"/>
    <w:rsid w:val="36B12C96"/>
    <w:rsid w:val="36B14F16"/>
    <w:rsid w:val="36B911E5"/>
    <w:rsid w:val="36B91E1D"/>
    <w:rsid w:val="36BC0590"/>
    <w:rsid w:val="36C63B7E"/>
    <w:rsid w:val="36D079F2"/>
    <w:rsid w:val="36D4623D"/>
    <w:rsid w:val="36D6433F"/>
    <w:rsid w:val="36D75FF6"/>
    <w:rsid w:val="36D82E02"/>
    <w:rsid w:val="36DB60E8"/>
    <w:rsid w:val="36DC6DEE"/>
    <w:rsid w:val="36DC720E"/>
    <w:rsid w:val="36DE69DE"/>
    <w:rsid w:val="36E1509A"/>
    <w:rsid w:val="36E84ED4"/>
    <w:rsid w:val="36ED0F1F"/>
    <w:rsid w:val="36ED72CC"/>
    <w:rsid w:val="36EF187C"/>
    <w:rsid w:val="36F03759"/>
    <w:rsid w:val="36F0457C"/>
    <w:rsid w:val="36F113C1"/>
    <w:rsid w:val="36F83721"/>
    <w:rsid w:val="36F9149E"/>
    <w:rsid w:val="36FF1118"/>
    <w:rsid w:val="36FF4F7E"/>
    <w:rsid w:val="3706349F"/>
    <w:rsid w:val="370B2E52"/>
    <w:rsid w:val="370B3ACF"/>
    <w:rsid w:val="37154575"/>
    <w:rsid w:val="37164CA3"/>
    <w:rsid w:val="37173C85"/>
    <w:rsid w:val="3718363C"/>
    <w:rsid w:val="371849F2"/>
    <w:rsid w:val="37195701"/>
    <w:rsid w:val="371C2447"/>
    <w:rsid w:val="371C7D29"/>
    <w:rsid w:val="371E23D1"/>
    <w:rsid w:val="371E6763"/>
    <w:rsid w:val="371F7C47"/>
    <w:rsid w:val="372A0A1D"/>
    <w:rsid w:val="372A349E"/>
    <w:rsid w:val="373722ED"/>
    <w:rsid w:val="373817A3"/>
    <w:rsid w:val="373E3F29"/>
    <w:rsid w:val="37436748"/>
    <w:rsid w:val="374803BA"/>
    <w:rsid w:val="37485E9A"/>
    <w:rsid w:val="374B67AC"/>
    <w:rsid w:val="374E3173"/>
    <w:rsid w:val="37512897"/>
    <w:rsid w:val="37537D3A"/>
    <w:rsid w:val="37551403"/>
    <w:rsid w:val="375C19EA"/>
    <w:rsid w:val="375F7AC0"/>
    <w:rsid w:val="37613FB2"/>
    <w:rsid w:val="37634A25"/>
    <w:rsid w:val="37634E23"/>
    <w:rsid w:val="37676889"/>
    <w:rsid w:val="37742AF3"/>
    <w:rsid w:val="37761AA4"/>
    <w:rsid w:val="37775AD0"/>
    <w:rsid w:val="377B30B3"/>
    <w:rsid w:val="37815CC4"/>
    <w:rsid w:val="378360AC"/>
    <w:rsid w:val="378527C6"/>
    <w:rsid w:val="379D3414"/>
    <w:rsid w:val="379E0A6E"/>
    <w:rsid w:val="379E6272"/>
    <w:rsid w:val="37A06F55"/>
    <w:rsid w:val="37A36C5F"/>
    <w:rsid w:val="37A96238"/>
    <w:rsid w:val="37AC216B"/>
    <w:rsid w:val="37AD4EB0"/>
    <w:rsid w:val="37AF4A40"/>
    <w:rsid w:val="37B561F9"/>
    <w:rsid w:val="37B62359"/>
    <w:rsid w:val="37B8096E"/>
    <w:rsid w:val="37B84AB7"/>
    <w:rsid w:val="37C049D2"/>
    <w:rsid w:val="37C16832"/>
    <w:rsid w:val="37C335D0"/>
    <w:rsid w:val="37C42922"/>
    <w:rsid w:val="37C577FE"/>
    <w:rsid w:val="37C71870"/>
    <w:rsid w:val="37CA023E"/>
    <w:rsid w:val="37CA3E85"/>
    <w:rsid w:val="37CA6B46"/>
    <w:rsid w:val="37E22CC3"/>
    <w:rsid w:val="37EC6A64"/>
    <w:rsid w:val="37EE2D1A"/>
    <w:rsid w:val="37EE6761"/>
    <w:rsid w:val="37F0743B"/>
    <w:rsid w:val="37F66D1A"/>
    <w:rsid w:val="37F67A6D"/>
    <w:rsid w:val="37F90099"/>
    <w:rsid w:val="37FF36DB"/>
    <w:rsid w:val="380625D6"/>
    <w:rsid w:val="3808009E"/>
    <w:rsid w:val="381164F4"/>
    <w:rsid w:val="3814337C"/>
    <w:rsid w:val="382141FA"/>
    <w:rsid w:val="3825663B"/>
    <w:rsid w:val="382F141A"/>
    <w:rsid w:val="382F48BE"/>
    <w:rsid w:val="38330623"/>
    <w:rsid w:val="38345B35"/>
    <w:rsid w:val="38361216"/>
    <w:rsid w:val="38361C72"/>
    <w:rsid w:val="38390D55"/>
    <w:rsid w:val="383A5CB4"/>
    <w:rsid w:val="383C45F3"/>
    <w:rsid w:val="383E3954"/>
    <w:rsid w:val="384079F2"/>
    <w:rsid w:val="384218A9"/>
    <w:rsid w:val="384E763F"/>
    <w:rsid w:val="38535C81"/>
    <w:rsid w:val="385437EE"/>
    <w:rsid w:val="3857011D"/>
    <w:rsid w:val="385C4AC6"/>
    <w:rsid w:val="385C73B6"/>
    <w:rsid w:val="385D5496"/>
    <w:rsid w:val="386107D9"/>
    <w:rsid w:val="38677711"/>
    <w:rsid w:val="38696EA0"/>
    <w:rsid w:val="386C66F6"/>
    <w:rsid w:val="38797E4C"/>
    <w:rsid w:val="38823EA5"/>
    <w:rsid w:val="3883052E"/>
    <w:rsid w:val="38860C37"/>
    <w:rsid w:val="38867B91"/>
    <w:rsid w:val="388A021D"/>
    <w:rsid w:val="388B5A25"/>
    <w:rsid w:val="388C521B"/>
    <w:rsid w:val="3891616D"/>
    <w:rsid w:val="38917860"/>
    <w:rsid w:val="389F6C08"/>
    <w:rsid w:val="38A202B8"/>
    <w:rsid w:val="38AA5CF7"/>
    <w:rsid w:val="38AB3F88"/>
    <w:rsid w:val="38B26B18"/>
    <w:rsid w:val="38B8058E"/>
    <w:rsid w:val="38BB0C86"/>
    <w:rsid w:val="38C06A92"/>
    <w:rsid w:val="38CB5626"/>
    <w:rsid w:val="38D45E08"/>
    <w:rsid w:val="38D70A80"/>
    <w:rsid w:val="38D857A7"/>
    <w:rsid w:val="38DB10B7"/>
    <w:rsid w:val="38DE620B"/>
    <w:rsid w:val="38DE67E7"/>
    <w:rsid w:val="38EA1070"/>
    <w:rsid w:val="38EC73B3"/>
    <w:rsid w:val="38ED609D"/>
    <w:rsid w:val="38F2152D"/>
    <w:rsid w:val="38F437E7"/>
    <w:rsid w:val="38FD3BBC"/>
    <w:rsid w:val="39025C5D"/>
    <w:rsid w:val="3906705F"/>
    <w:rsid w:val="390705EC"/>
    <w:rsid w:val="39187EAC"/>
    <w:rsid w:val="391B2D57"/>
    <w:rsid w:val="391F545F"/>
    <w:rsid w:val="392624BE"/>
    <w:rsid w:val="3928710E"/>
    <w:rsid w:val="392B32F8"/>
    <w:rsid w:val="392C0177"/>
    <w:rsid w:val="392F50B2"/>
    <w:rsid w:val="3931683E"/>
    <w:rsid w:val="39316B46"/>
    <w:rsid w:val="3933683A"/>
    <w:rsid w:val="39340A43"/>
    <w:rsid w:val="393E4C4D"/>
    <w:rsid w:val="393F3979"/>
    <w:rsid w:val="39403980"/>
    <w:rsid w:val="39472B94"/>
    <w:rsid w:val="394D53F5"/>
    <w:rsid w:val="39502FEF"/>
    <w:rsid w:val="395210BF"/>
    <w:rsid w:val="39526D03"/>
    <w:rsid w:val="395311DD"/>
    <w:rsid w:val="39536EF6"/>
    <w:rsid w:val="39572D30"/>
    <w:rsid w:val="395D635D"/>
    <w:rsid w:val="39631C70"/>
    <w:rsid w:val="396717E0"/>
    <w:rsid w:val="39696BCF"/>
    <w:rsid w:val="39711043"/>
    <w:rsid w:val="39810CBE"/>
    <w:rsid w:val="39874C9A"/>
    <w:rsid w:val="398F1C52"/>
    <w:rsid w:val="39A103DD"/>
    <w:rsid w:val="39A1498E"/>
    <w:rsid w:val="39A32106"/>
    <w:rsid w:val="39A33450"/>
    <w:rsid w:val="39A877AC"/>
    <w:rsid w:val="39AD7D88"/>
    <w:rsid w:val="39AE329F"/>
    <w:rsid w:val="39B25CA6"/>
    <w:rsid w:val="39B6469D"/>
    <w:rsid w:val="39B82973"/>
    <w:rsid w:val="39BC36EA"/>
    <w:rsid w:val="39BE475C"/>
    <w:rsid w:val="39C048BB"/>
    <w:rsid w:val="39C333E8"/>
    <w:rsid w:val="39C52BF6"/>
    <w:rsid w:val="39C74EA2"/>
    <w:rsid w:val="39C84FA4"/>
    <w:rsid w:val="39CF6318"/>
    <w:rsid w:val="39D421D6"/>
    <w:rsid w:val="39D61C3A"/>
    <w:rsid w:val="39D66643"/>
    <w:rsid w:val="39DF22B1"/>
    <w:rsid w:val="39EB474B"/>
    <w:rsid w:val="39EF187B"/>
    <w:rsid w:val="39F106A4"/>
    <w:rsid w:val="39F245FC"/>
    <w:rsid w:val="39FC2B0C"/>
    <w:rsid w:val="3A0163CE"/>
    <w:rsid w:val="3A05392C"/>
    <w:rsid w:val="3A143FA3"/>
    <w:rsid w:val="3A1A1E6E"/>
    <w:rsid w:val="3A1E0B71"/>
    <w:rsid w:val="3A230D5C"/>
    <w:rsid w:val="3A2A7C74"/>
    <w:rsid w:val="3A2F7348"/>
    <w:rsid w:val="3A3054DB"/>
    <w:rsid w:val="3A341630"/>
    <w:rsid w:val="3A3A038A"/>
    <w:rsid w:val="3A3D4AF8"/>
    <w:rsid w:val="3A450C32"/>
    <w:rsid w:val="3A4F5517"/>
    <w:rsid w:val="3A500138"/>
    <w:rsid w:val="3A570FBC"/>
    <w:rsid w:val="3A586AB2"/>
    <w:rsid w:val="3A5C7E50"/>
    <w:rsid w:val="3A604A08"/>
    <w:rsid w:val="3A6419F4"/>
    <w:rsid w:val="3A680115"/>
    <w:rsid w:val="3A6A00B1"/>
    <w:rsid w:val="3A6A3359"/>
    <w:rsid w:val="3A6F287F"/>
    <w:rsid w:val="3A7338F2"/>
    <w:rsid w:val="3A765687"/>
    <w:rsid w:val="3A765887"/>
    <w:rsid w:val="3A7D6E3B"/>
    <w:rsid w:val="3A7D7958"/>
    <w:rsid w:val="3A7F4FE8"/>
    <w:rsid w:val="3A8818AA"/>
    <w:rsid w:val="3A8C0671"/>
    <w:rsid w:val="3A8C06EA"/>
    <w:rsid w:val="3A960558"/>
    <w:rsid w:val="3A962D43"/>
    <w:rsid w:val="3A9728D1"/>
    <w:rsid w:val="3A9C1A8D"/>
    <w:rsid w:val="3A9F082A"/>
    <w:rsid w:val="3AB57161"/>
    <w:rsid w:val="3AB77086"/>
    <w:rsid w:val="3ABA0AB9"/>
    <w:rsid w:val="3AC77102"/>
    <w:rsid w:val="3AD339AC"/>
    <w:rsid w:val="3AD868B8"/>
    <w:rsid w:val="3AD944C4"/>
    <w:rsid w:val="3ADE0885"/>
    <w:rsid w:val="3AE03421"/>
    <w:rsid w:val="3AE873D9"/>
    <w:rsid w:val="3AEE000E"/>
    <w:rsid w:val="3AEE1F1F"/>
    <w:rsid w:val="3AEE2164"/>
    <w:rsid w:val="3AEE3C5B"/>
    <w:rsid w:val="3AF34F92"/>
    <w:rsid w:val="3AF454D2"/>
    <w:rsid w:val="3AFA17E4"/>
    <w:rsid w:val="3AFF5F4E"/>
    <w:rsid w:val="3B0547B2"/>
    <w:rsid w:val="3B082C99"/>
    <w:rsid w:val="3B0A5E8C"/>
    <w:rsid w:val="3B1223DF"/>
    <w:rsid w:val="3B214B44"/>
    <w:rsid w:val="3B292D8C"/>
    <w:rsid w:val="3B2B612B"/>
    <w:rsid w:val="3B331588"/>
    <w:rsid w:val="3B3A1D0D"/>
    <w:rsid w:val="3B3E67B6"/>
    <w:rsid w:val="3B4C5A49"/>
    <w:rsid w:val="3B595C85"/>
    <w:rsid w:val="3B5B7CB5"/>
    <w:rsid w:val="3B5E4E8D"/>
    <w:rsid w:val="3B605A5F"/>
    <w:rsid w:val="3B607878"/>
    <w:rsid w:val="3B614E37"/>
    <w:rsid w:val="3B617841"/>
    <w:rsid w:val="3B636BC7"/>
    <w:rsid w:val="3B652F93"/>
    <w:rsid w:val="3B700635"/>
    <w:rsid w:val="3B7121AD"/>
    <w:rsid w:val="3B756B4E"/>
    <w:rsid w:val="3B7C171C"/>
    <w:rsid w:val="3B7D3CF7"/>
    <w:rsid w:val="3B7D6CDF"/>
    <w:rsid w:val="3B830E09"/>
    <w:rsid w:val="3B8659F4"/>
    <w:rsid w:val="3B866C24"/>
    <w:rsid w:val="3B8739D1"/>
    <w:rsid w:val="3B896946"/>
    <w:rsid w:val="3B8C5B08"/>
    <w:rsid w:val="3B9B76DC"/>
    <w:rsid w:val="3B9E0E8F"/>
    <w:rsid w:val="3BAC5385"/>
    <w:rsid w:val="3BB7384B"/>
    <w:rsid w:val="3BB84472"/>
    <w:rsid w:val="3BB84AC0"/>
    <w:rsid w:val="3BBA5704"/>
    <w:rsid w:val="3BBC6F1E"/>
    <w:rsid w:val="3BC215C9"/>
    <w:rsid w:val="3BCB1771"/>
    <w:rsid w:val="3BCE1EF3"/>
    <w:rsid w:val="3BD54E73"/>
    <w:rsid w:val="3BD611EB"/>
    <w:rsid w:val="3BD84109"/>
    <w:rsid w:val="3BDA244E"/>
    <w:rsid w:val="3BDA2760"/>
    <w:rsid w:val="3BDB1CF9"/>
    <w:rsid w:val="3BE30A52"/>
    <w:rsid w:val="3BE5381C"/>
    <w:rsid w:val="3BE870DE"/>
    <w:rsid w:val="3BEF1AE2"/>
    <w:rsid w:val="3BF2097D"/>
    <w:rsid w:val="3BFB00ED"/>
    <w:rsid w:val="3BFD6418"/>
    <w:rsid w:val="3BFF67F6"/>
    <w:rsid w:val="3C026165"/>
    <w:rsid w:val="3C0664E3"/>
    <w:rsid w:val="3C0D15D1"/>
    <w:rsid w:val="3C13091D"/>
    <w:rsid w:val="3C1A5120"/>
    <w:rsid w:val="3C2033F5"/>
    <w:rsid w:val="3C20639F"/>
    <w:rsid w:val="3C21561F"/>
    <w:rsid w:val="3C27032E"/>
    <w:rsid w:val="3C2E6B5C"/>
    <w:rsid w:val="3C2F472A"/>
    <w:rsid w:val="3C3031EE"/>
    <w:rsid w:val="3C342215"/>
    <w:rsid w:val="3C350414"/>
    <w:rsid w:val="3C366E77"/>
    <w:rsid w:val="3C3A617B"/>
    <w:rsid w:val="3C430871"/>
    <w:rsid w:val="3C487C63"/>
    <w:rsid w:val="3C511060"/>
    <w:rsid w:val="3C54136E"/>
    <w:rsid w:val="3C556769"/>
    <w:rsid w:val="3C5E30C7"/>
    <w:rsid w:val="3C6551A2"/>
    <w:rsid w:val="3C664A70"/>
    <w:rsid w:val="3C6753E0"/>
    <w:rsid w:val="3C6A1888"/>
    <w:rsid w:val="3C6B21A6"/>
    <w:rsid w:val="3C731CC1"/>
    <w:rsid w:val="3C752FC1"/>
    <w:rsid w:val="3C8466F8"/>
    <w:rsid w:val="3C857C79"/>
    <w:rsid w:val="3C897EF4"/>
    <w:rsid w:val="3C8B5339"/>
    <w:rsid w:val="3C8C3268"/>
    <w:rsid w:val="3C8F0E81"/>
    <w:rsid w:val="3C9A1A35"/>
    <w:rsid w:val="3CBB6E84"/>
    <w:rsid w:val="3CC547FC"/>
    <w:rsid w:val="3CCB3C13"/>
    <w:rsid w:val="3CCE3D14"/>
    <w:rsid w:val="3CD538AA"/>
    <w:rsid w:val="3CDC708B"/>
    <w:rsid w:val="3CDF1A3D"/>
    <w:rsid w:val="3CEB3A80"/>
    <w:rsid w:val="3CED7A41"/>
    <w:rsid w:val="3CED7F63"/>
    <w:rsid w:val="3CEE2595"/>
    <w:rsid w:val="3CF1152F"/>
    <w:rsid w:val="3CF22CF7"/>
    <w:rsid w:val="3CF30B2B"/>
    <w:rsid w:val="3CF40887"/>
    <w:rsid w:val="3CF57220"/>
    <w:rsid w:val="3CF83427"/>
    <w:rsid w:val="3CF92614"/>
    <w:rsid w:val="3CFE406C"/>
    <w:rsid w:val="3D020CCA"/>
    <w:rsid w:val="3D022F5C"/>
    <w:rsid w:val="3D036F45"/>
    <w:rsid w:val="3D0C1FFC"/>
    <w:rsid w:val="3D0F7C68"/>
    <w:rsid w:val="3D156C26"/>
    <w:rsid w:val="3D17268E"/>
    <w:rsid w:val="3D176700"/>
    <w:rsid w:val="3D1B6C9B"/>
    <w:rsid w:val="3D1D74DB"/>
    <w:rsid w:val="3D257E1F"/>
    <w:rsid w:val="3D2B1B02"/>
    <w:rsid w:val="3D2F46F9"/>
    <w:rsid w:val="3D323B74"/>
    <w:rsid w:val="3D376F21"/>
    <w:rsid w:val="3D395D22"/>
    <w:rsid w:val="3D42003D"/>
    <w:rsid w:val="3D4834F3"/>
    <w:rsid w:val="3D4F5098"/>
    <w:rsid w:val="3D511EA5"/>
    <w:rsid w:val="3D5604C8"/>
    <w:rsid w:val="3D5B2986"/>
    <w:rsid w:val="3D600288"/>
    <w:rsid w:val="3D6132C3"/>
    <w:rsid w:val="3D673081"/>
    <w:rsid w:val="3D6F3E2A"/>
    <w:rsid w:val="3D750ACF"/>
    <w:rsid w:val="3D7822AD"/>
    <w:rsid w:val="3D7B6DBE"/>
    <w:rsid w:val="3D7C0E5B"/>
    <w:rsid w:val="3D7D1731"/>
    <w:rsid w:val="3D7D79F7"/>
    <w:rsid w:val="3D841AF7"/>
    <w:rsid w:val="3D887682"/>
    <w:rsid w:val="3D8F2374"/>
    <w:rsid w:val="3D8F7943"/>
    <w:rsid w:val="3D9162AE"/>
    <w:rsid w:val="3D920A82"/>
    <w:rsid w:val="3D9326B0"/>
    <w:rsid w:val="3D985F92"/>
    <w:rsid w:val="3D9933F9"/>
    <w:rsid w:val="3D9C3D37"/>
    <w:rsid w:val="3DA362DD"/>
    <w:rsid w:val="3DA50A03"/>
    <w:rsid w:val="3DA73F07"/>
    <w:rsid w:val="3DA93AE5"/>
    <w:rsid w:val="3DAD306A"/>
    <w:rsid w:val="3DB44D6B"/>
    <w:rsid w:val="3DB5655D"/>
    <w:rsid w:val="3DC14AA8"/>
    <w:rsid w:val="3DC1746B"/>
    <w:rsid w:val="3DC45544"/>
    <w:rsid w:val="3DCB0E88"/>
    <w:rsid w:val="3DCC1D44"/>
    <w:rsid w:val="3DD05037"/>
    <w:rsid w:val="3DE03754"/>
    <w:rsid w:val="3DE20D93"/>
    <w:rsid w:val="3DE82375"/>
    <w:rsid w:val="3DE917FA"/>
    <w:rsid w:val="3DEA0F75"/>
    <w:rsid w:val="3DF342C7"/>
    <w:rsid w:val="3DF746AE"/>
    <w:rsid w:val="3DFC0EA3"/>
    <w:rsid w:val="3E040A6D"/>
    <w:rsid w:val="3E053DFF"/>
    <w:rsid w:val="3E062B2F"/>
    <w:rsid w:val="3E070BD7"/>
    <w:rsid w:val="3E075C67"/>
    <w:rsid w:val="3E094CFD"/>
    <w:rsid w:val="3E0952C8"/>
    <w:rsid w:val="3E132858"/>
    <w:rsid w:val="3E142E61"/>
    <w:rsid w:val="3E191DB6"/>
    <w:rsid w:val="3E1A310E"/>
    <w:rsid w:val="3E1D1697"/>
    <w:rsid w:val="3E1D6528"/>
    <w:rsid w:val="3E2264CD"/>
    <w:rsid w:val="3E2606DC"/>
    <w:rsid w:val="3E2B325B"/>
    <w:rsid w:val="3E2B3BEA"/>
    <w:rsid w:val="3E2E2FF4"/>
    <w:rsid w:val="3E2E7BFD"/>
    <w:rsid w:val="3E311903"/>
    <w:rsid w:val="3E327CCC"/>
    <w:rsid w:val="3E3931B5"/>
    <w:rsid w:val="3E3A2CE8"/>
    <w:rsid w:val="3E3E4E2E"/>
    <w:rsid w:val="3E3F639D"/>
    <w:rsid w:val="3E4534D6"/>
    <w:rsid w:val="3E486D0A"/>
    <w:rsid w:val="3E4C0190"/>
    <w:rsid w:val="3E4D2108"/>
    <w:rsid w:val="3E5161BC"/>
    <w:rsid w:val="3E523AE8"/>
    <w:rsid w:val="3E5A7BA2"/>
    <w:rsid w:val="3E5D1AAA"/>
    <w:rsid w:val="3E62365F"/>
    <w:rsid w:val="3E653B62"/>
    <w:rsid w:val="3E661D87"/>
    <w:rsid w:val="3E697A7A"/>
    <w:rsid w:val="3E6B6552"/>
    <w:rsid w:val="3E6E590A"/>
    <w:rsid w:val="3E6F3A58"/>
    <w:rsid w:val="3E735B80"/>
    <w:rsid w:val="3E760A3E"/>
    <w:rsid w:val="3E7A697C"/>
    <w:rsid w:val="3E7B364B"/>
    <w:rsid w:val="3E7D617F"/>
    <w:rsid w:val="3E7E632C"/>
    <w:rsid w:val="3E820F26"/>
    <w:rsid w:val="3E8232B1"/>
    <w:rsid w:val="3E86636E"/>
    <w:rsid w:val="3E876AFA"/>
    <w:rsid w:val="3E881118"/>
    <w:rsid w:val="3E8C292A"/>
    <w:rsid w:val="3E9A541C"/>
    <w:rsid w:val="3EA149EB"/>
    <w:rsid w:val="3EA973F3"/>
    <w:rsid w:val="3EAD3E45"/>
    <w:rsid w:val="3EAE744C"/>
    <w:rsid w:val="3EB36689"/>
    <w:rsid w:val="3EB73FD2"/>
    <w:rsid w:val="3EBA4F16"/>
    <w:rsid w:val="3EBE0719"/>
    <w:rsid w:val="3EBE13FF"/>
    <w:rsid w:val="3EBF4ED5"/>
    <w:rsid w:val="3EC14FAA"/>
    <w:rsid w:val="3EC23D3A"/>
    <w:rsid w:val="3EC24D60"/>
    <w:rsid w:val="3EC46608"/>
    <w:rsid w:val="3EC57FCA"/>
    <w:rsid w:val="3EC65231"/>
    <w:rsid w:val="3EC81C12"/>
    <w:rsid w:val="3EC87739"/>
    <w:rsid w:val="3ECA07CA"/>
    <w:rsid w:val="3ECB550E"/>
    <w:rsid w:val="3ECF207A"/>
    <w:rsid w:val="3ED2468C"/>
    <w:rsid w:val="3ED30548"/>
    <w:rsid w:val="3ED31347"/>
    <w:rsid w:val="3EDC0FAE"/>
    <w:rsid w:val="3EE05C54"/>
    <w:rsid w:val="3EE65473"/>
    <w:rsid w:val="3EE77D41"/>
    <w:rsid w:val="3EE81D41"/>
    <w:rsid w:val="3EE81EB1"/>
    <w:rsid w:val="3EEA0991"/>
    <w:rsid w:val="3EEC7901"/>
    <w:rsid w:val="3EED0F79"/>
    <w:rsid w:val="3EEE45B3"/>
    <w:rsid w:val="3EEF26B4"/>
    <w:rsid w:val="3EF26C85"/>
    <w:rsid w:val="3EF706F3"/>
    <w:rsid w:val="3F055E96"/>
    <w:rsid w:val="3F066D3C"/>
    <w:rsid w:val="3F072702"/>
    <w:rsid w:val="3F096473"/>
    <w:rsid w:val="3F0A5581"/>
    <w:rsid w:val="3F103FE7"/>
    <w:rsid w:val="3F1263E8"/>
    <w:rsid w:val="3F131080"/>
    <w:rsid w:val="3F163A99"/>
    <w:rsid w:val="3F166B52"/>
    <w:rsid w:val="3F176855"/>
    <w:rsid w:val="3F193F1E"/>
    <w:rsid w:val="3F1A442A"/>
    <w:rsid w:val="3F224B3B"/>
    <w:rsid w:val="3F2A158B"/>
    <w:rsid w:val="3F2D6D87"/>
    <w:rsid w:val="3F3A16AC"/>
    <w:rsid w:val="3F412734"/>
    <w:rsid w:val="3F4227DA"/>
    <w:rsid w:val="3F422FCA"/>
    <w:rsid w:val="3F427B3E"/>
    <w:rsid w:val="3F4326E1"/>
    <w:rsid w:val="3F445EF5"/>
    <w:rsid w:val="3F457421"/>
    <w:rsid w:val="3F501597"/>
    <w:rsid w:val="3F507C4F"/>
    <w:rsid w:val="3F5D1CEB"/>
    <w:rsid w:val="3F6458E0"/>
    <w:rsid w:val="3F654003"/>
    <w:rsid w:val="3F693A4F"/>
    <w:rsid w:val="3F6F1B3A"/>
    <w:rsid w:val="3F6F51AE"/>
    <w:rsid w:val="3F703F71"/>
    <w:rsid w:val="3F751817"/>
    <w:rsid w:val="3F773BB7"/>
    <w:rsid w:val="3F784C5B"/>
    <w:rsid w:val="3F79189B"/>
    <w:rsid w:val="3F7C727F"/>
    <w:rsid w:val="3F7D5FE1"/>
    <w:rsid w:val="3F817B56"/>
    <w:rsid w:val="3F8733F1"/>
    <w:rsid w:val="3F8770E3"/>
    <w:rsid w:val="3F8C6EFC"/>
    <w:rsid w:val="3F8E20DE"/>
    <w:rsid w:val="3F925FFC"/>
    <w:rsid w:val="3FA40A82"/>
    <w:rsid w:val="3FA70CFF"/>
    <w:rsid w:val="3FAA4562"/>
    <w:rsid w:val="3FAE7FD6"/>
    <w:rsid w:val="3FB20983"/>
    <w:rsid w:val="3FB44A64"/>
    <w:rsid w:val="3FB551E8"/>
    <w:rsid w:val="3FB84CF3"/>
    <w:rsid w:val="3FBB0BDE"/>
    <w:rsid w:val="3FBF0D9A"/>
    <w:rsid w:val="3FC47FB1"/>
    <w:rsid w:val="3FC56FEA"/>
    <w:rsid w:val="3FC71BEA"/>
    <w:rsid w:val="3FC77ABF"/>
    <w:rsid w:val="3FD2228F"/>
    <w:rsid w:val="3FD424AE"/>
    <w:rsid w:val="3FDB7B03"/>
    <w:rsid w:val="3FDD379B"/>
    <w:rsid w:val="3FDD5977"/>
    <w:rsid w:val="3FE50A98"/>
    <w:rsid w:val="3FE7039D"/>
    <w:rsid w:val="3FEB2953"/>
    <w:rsid w:val="3FEC613E"/>
    <w:rsid w:val="3FEE4F83"/>
    <w:rsid w:val="3FEF34C6"/>
    <w:rsid w:val="3FEF6AD0"/>
    <w:rsid w:val="3FF45F9B"/>
    <w:rsid w:val="3FFD5C47"/>
    <w:rsid w:val="400311AA"/>
    <w:rsid w:val="40035C71"/>
    <w:rsid w:val="40062650"/>
    <w:rsid w:val="40086619"/>
    <w:rsid w:val="400923F2"/>
    <w:rsid w:val="400C532E"/>
    <w:rsid w:val="400D2DF4"/>
    <w:rsid w:val="40121A83"/>
    <w:rsid w:val="40126AB8"/>
    <w:rsid w:val="4014447F"/>
    <w:rsid w:val="40175A69"/>
    <w:rsid w:val="401A4A51"/>
    <w:rsid w:val="401B157D"/>
    <w:rsid w:val="401F3A21"/>
    <w:rsid w:val="401F666F"/>
    <w:rsid w:val="402A144A"/>
    <w:rsid w:val="402F2998"/>
    <w:rsid w:val="40370E8A"/>
    <w:rsid w:val="40453F00"/>
    <w:rsid w:val="40464BBA"/>
    <w:rsid w:val="40492658"/>
    <w:rsid w:val="405868C1"/>
    <w:rsid w:val="405C5AAC"/>
    <w:rsid w:val="405F0C3B"/>
    <w:rsid w:val="406017D6"/>
    <w:rsid w:val="40605AFC"/>
    <w:rsid w:val="40617A48"/>
    <w:rsid w:val="40625D68"/>
    <w:rsid w:val="40627B66"/>
    <w:rsid w:val="406C66D2"/>
    <w:rsid w:val="40777587"/>
    <w:rsid w:val="407A37FB"/>
    <w:rsid w:val="407B5DE5"/>
    <w:rsid w:val="407E2E6B"/>
    <w:rsid w:val="40857620"/>
    <w:rsid w:val="40881D48"/>
    <w:rsid w:val="409B7272"/>
    <w:rsid w:val="40A440AA"/>
    <w:rsid w:val="40A54D49"/>
    <w:rsid w:val="40A7503D"/>
    <w:rsid w:val="40AE4207"/>
    <w:rsid w:val="40AF63C6"/>
    <w:rsid w:val="40B00912"/>
    <w:rsid w:val="40B07D33"/>
    <w:rsid w:val="40B31106"/>
    <w:rsid w:val="40B97F52"/>
    <w:rsid w:val="40BA376D"/>
    <w:rsid w:val="40BD73B7"/>
    <w:rsid w:val="40C01DB6"/>
    <w:rsid w:val="40C31091"/>
    <w:rsid w:val="40CE0764"/>
    <w:rsid w:val="40D03723"/>
    <w:rsid w:val="40D468EB"/>
    <w:rsid w:val="40D71EF4"/>
    <w:rsid w:val="40E13EDE"/>
    <w:rsid w:val="40E66B17"/>
    <w:rsid w:val="40F07793"/>
    <w:rsid w:val="40F373EF"/>
    <w:rsid w:val="40F376A8"/>
    <w:rsid w:val="40F51ABA"/>
    <w:rsid w:val="40F820DB"/>
    <w:rsid w:val="40FA60C4"/>
    <w:rsid w:val="40FB2617"/>
    <w:rsid w:val="40FB501E"/>
    <w:rsid w:val="40FC00B1"/>
    <w:rsid w:val="40FF104F"/>
    <w:rsid w:val="41003641"/>
    <w:rsid w:val="410130AF"/>
    <w:rsid w:val="41056F96"/>
    <w:rsid w:val="41073F54"/>
    <w:rsid w:val="4109697D"/>
    <w:rsid w:val="410B7408"/>
    <w:rsid w:val="411143EA"/>
    <w:rsid w:val="411F3A28"/>
    <w:rsid w:val="41212425"/>
    <w:rsid w:val="4122651D"/>
    <w:rsid w:val="41244BC7"/>
    <w:rsid w:val="412E1604"/>
    <w:rsid w:val="413167A9"/>
    <w:rsid w:val="4136182C"/>
    <w:rsid w:val="41385EF3"/>
    <w:rsid w:val="413A334E"/>
    <w:rsid w:val="413F5F19"/>
    <w:rsid w:val="41430A38"/>
    <w:rsid w:val="41447923"/>
    <w:rsid w:val="4145346F"/>
    <w:rsid w:val="41474DF8"/>
    <w:rsid w:val="41482F91"/>
    <w:rsid w:val="414B40C1"/>
    <w:rsid w:val="415D0D4A"/>
    <w:rsid w:val="415E4191"/>
    <w:rsid w:val="4160051A"/>
    <w:rsid w:val="41607C93"/>
    <w:rsid w:val="4170004A"/>
    <w:rsid w:val="41766F2A"/>
    <w:rsid w:val="4178726E"/>
    <w:rsid w:val="417C6574"/>
    <w:rsid w:val="4184198E"/>
    <w:rsid w:val="41857811"/>
    <w:rsid w:val="418D41D3"/>
    <w:rsid w:val="419134F0"/>
    <w:rsid w:val="41986723"/>
    <w:rsid w:val="41990389"/>
    <w:rsid w:val="41993692"/>
    <w:rsid w:val="419A1FEF"/>
    <w:rsid w:val="419A65EE"/>
    <w:rsid w:val="419D420C"/>
    <w:rsid w:val="419D7377"/>
    <w:rsid w:val="419F12EE"/>
    <w:rsid w:val="41A6334A"/>
    <w:rsid w:val="41A83621"/>
    <w:rsid w:val="41AA002C"/>
    <w:rsid w:val="41B01779"/>
    <w:rsid w:val="41B03DCE"/>
    <w:rsid w:val="41B106A6"/>
    <w:rsid w:val="41B20D50"/>
    <w:rsid w:val="41B4413E"/>
    <w:rsid w:val="41B537C2"/>
    <w:rsid w:val="41B642F8"/>
    <w:rsid w:val="41BB163D"/>
    <w:rsid w:val="41C06BA1"/>
    <w:rsid w:val="41C525AE"/>
    <w:rsid w:val="41C60410"/>
    <w:rsid w:val="41C804CC"/>
    <w:rsid w:val="41D01D71"/>
    <w:rsid w:val="41D058BC"/>
    <w:rsid w:val="41D5226C"/>
    <w:rsid w:val="41D7225C"/>
    <w:rsid w:val="41DF47F3"/>
    <w:rsid w:val="41DF6E7C"/>
    <w:rsid w:val="41EE55D3"/>
    <w:rsid w:val="41F1318D"/>
    <w:rsid w:val="41F26020"/>
    <w:rsid w:val="41FA4359"/>
    <w:rsid w:val="42037381"/>
    <w:rsid w:val="420542D9"/>
    <w:rsid w:val="420568B4"/>
    <w:rsid w:val="42075E2E"/>
    <w:rsid w:val="420A39AD"/>
    <w:rsid w:val="420B6792"/>
    <w:rsid w:val="420E06B8"/>
    <w:rsid w:val="420F40C0"/>
    <w:rsid w:val="4215268E"/>
    <w:rsid w:val="42175E26"/>
    <w:rsid w:val="42177D3C"/>
    <w:rsid w:val="421A4847"/>
    <w:rsid w:val="421A6401"/>
    <w:rsid w:val="421C45FB"/>
    <w:rsid w:val="421F61D1"/>
    <w:rsid w:val="422011BA"/>
    <w:rsid w:val="4221667C"/>
    <w:rsid w:val="422266D4"/>
    <w:rsid w:val="42283101"/>
    <w:rsid w:val="422E07F3"/>
    <w:rsid w:val="42374478"/>
    <w:rsid w:val="423A6377"/>
    <w:rsid w:val="423B53F8"/>
    <w:rsid w:val="423D253A"/>
    <w:rsid w:val="424241BC"/>
    <w:rsid w:val="424432E5"/>
    <w:rsid w:val="42461AFA"/>
    <w:rsid w:val="424623D2"/>
    <w:rsid w:val="424B7CF8"/>
    <w:rsid w:val="424D1DC0"/>
    <w:rsid w:val="424E12A2"/>
    <w:rsid w:val="42504FC3"/>
    <w:rsid w:val="42535E67"/>
    <w:rsid w:val="42545987"/>
    <w:rsid w:val="42561BF6"/>
    <w:rsid w:val="425B0106"/>
    <w:rsid w:val="425F41D5"/>
    <w:rsid w:val="4262217F"/>
    <w:rsid w:val="4266115C"/>
    <w:rsid w:val="426D3B90"/>
    <w:rsid w:val="426E69CA"/>
    <w:rsid w:val="42715DBB"/>
    <w:rsid w:val="42792E37"/>
    <w:rsid w:val="427E6C4D"/>
    <w:rsid w:val="427E7B70"/>
    <w:rsid w:val="42833D48"/>
    <w:rsid w:val="428E22F5"/>
    <w:rsid w:val="428F385A"/>
    <w:rsid w:val="42916956"/>
    <w:rsid w:val="4299597D"/>
    <w:rsid w:val="429D7741"/>
    <w:rsid w:val="42A30901"/>
    <w:rsid w:val="42A60586"/>
    <w:rsid w:val="42A97338"/>
    <w:rsid w:val="42AD7AE0"/>
    <w:rsid w:val="42B07BBF"/>
    <w:rsid w:val="42B25DE6"/>
    <w:rsid w:val="42B268FC"/>
    <w:rsid w:val="42BA7FD5"/>
    <w:rsid w:val="42BC4352"/>
    <w:rsid w:val="42C004D0"/>
    <w:rsid w:val="42C36AC9"/>
    <w:rsid w:val="42CF5EC4"/>
    <w:rsid w:val="42D5441D"/>
    <w:rsid w:val="42D93353"/>
    <w:rsid w:val="42DA01EB"/>
    <w:rsid w:val="42DD1921"/>
    <w:rsid w:val="42DD2B1E"/>
    <w:rsid w:val="42DF0129"/>
    <w:rsid w:val="42E14387"/>
    <w:rsid w:val="42E30115"/>
    <w:rsid w:val="42E76266"/>
    <w:rsid w:val="42F168F7"/>
    <w:rsid w:val="42F63639"/>
    <w:rsid w:val="42F9702D"/>
    <w:rsid w:val="42FC14E7"/>
    <w:rsid w:val="42FF05EF"/>
    <w:rsid w:val="43100B77"/>
    <w:rsid w:val="43173062"/>
    <w:rsid w:val="431C528B"/>
    <w:rsid w:val="431D623C"/>
    <w:rsid w:val="43262417"/>
    <w:rsid w:val="43270981"/>
    <w:rsid w:val="43274007"/>
    <w:rsid w:val="432C01AB"/>
    <w:rsid w:val="432D1E36"/>
    <w:rsid w:val="4331233A"/>
    <w:rsid w:val="43313AF3"/>
    <w:rsid w:val="43415205"/>
    <w:rsid w:val="4351402C"/>
    <w:rsid w:val="4353498E"/>
    <w:rsid w:val="435D4A99"/>
    <w:rsid w:val="43606960"/>
    <w:rsid w:val="43615C2F"/>
    <w:rsid w:val="43672F28"/>
    <w:rsid w:val="436834B4"/>
    <w:rsid w:val="436842BD"/>
    <w:rsid w:val="43693FBF"/>
    <w:rsid w:val="436959F7"/>
    <w:rsid w:val="436A78BF"/>
    <w:rsid w:val="436B3838"/>
    <w:rsid w:val="43734131"/>
    <w:rsid w:val="43744B05"/>
    <w:rsid w:val="43753FFA"/>
    <w:rsid w:val="437765D1"/>
    <w:rsid w:val="437F6519"/>
    <w:rsid w:val="438210CD"/>
    <w:rsid w:val="43837A39"/>
    <w:rsid w:val="438407F8"/>
    <w:rsid w:val="438D20A1"/>
    <w:rsid w:val="43926D2B"/>
    <w:rsid w:val="43977A83"/>
    <w:rsid w:val="439B6F03"/>
    <w:rsid w:val="439E016A"/>
    <w:rsid w:val="43A066C4"/>
    <w:rsid w:val="43A547B6"/>
    <w:rsid w:val="43A66C06"/>
    <w:rsid w:val="43B06F96"/>
    <w:rsid w:val="43BB2A5E"/>
    <w:rsid w:val="43BC34F1"/>
    <w:rsid w:val="43BD3DEB"/>
    <w:rsid w:val="43C11FD2"/>
    <w:rsid w:val="43C16C3A"/>
    <w:rsid w:val="43C306BE"/>
    <w:rsid w:val="43C417DE"/>
    <w:rsid w:val="43CC7885"/>
    <w:rsid w:val="43D61AC0"/>
    <w:rsid w:val="43D8055A"/>
    <w:rsid w:val="43DC0051"/>
    <w:rsid w:val="43DD086B"/>
    <w:rsid w:val="43E20926"/>
    <w:rsid w:val="43E90590"/>
    <w:rsid w:val="43F80D65"/>
    <w:rsid w:val="43F947E2"/>
    <w:rsid w:val="43FF3A93"/>
    <w:rsid w:val="44036079"/>
    <w:rsid w:val="44064CAE"/>
    <w:rsid w:val="44081411"/>
    <w:rsid w:val="44096649"/>
    <w:rsid w:val="440E5705"/>
    <w:rsid w:val="44166B3E"/>
    <w:rsid w:val="44170A71"/>
    <w:rsid w:val="441B74E2"/>
    <w:rsid w:val="441E32DE"/>
    <w:rsid w:val="4428656E"/>
    <w:rsid w:val="44317DD1"/>
    <w:rsid w:val="44345457"/>
    <w:rsid w:val="44402CFC"/>
    <w:rsid w:val="44440930"/>
    <w:rsid w:val="444A1DBB"/>
    <w:rsid w:val="444B5A75"/>
    <w:rsid w:val="444C4C58"/>
    <w:rsid w:val="444F753D"/>
    <w:rsid w:val="44552AF2"/>
    <w:rsid w:val="44560D08"/>
    <w:rsid w:val="445C3C8E"/>
    <w:rsid w:val="44635656"/>
    <w:rsid w:val="44642F01"/>
    <w:rsid w:val="446F5478"/>
    <w:rsid w:val="4471145D"/>
    <w:rsid w:val="447B2DF6"/>
    <w:rsid w:val="447E7E34"/>
    <w:rsid w:val="4481084B"/>
    <w:rsid w:val="44813249"/>
    <w:rsid w:val="448557C1"/>
    <w:rsid w:val="448617A9"/>
    <w:rsid w:val="448A165C"/>
    <w:rsid w:val="448B2832"/>
    <w:rsid w:val="448E19AC"/>
    <w:rsid w:val="448E7D0C"/>
    <w:rsid w:val="449028FD"/>
    <w:rsid w:val="449266FF"/>
    <w:rsid w:val="44926F00"/>
    <w:rsid w:val="449328FD"/>
    <w:rsid w:val="44950FB5"/>
    <w:rsid w:val="449535DE"/>
    <w:rsid w:val="44980511"/>
    <w:rsid w:val="4498658E"/>
    <w:rsid w:val="44994CA0"/>
    <w:rsid w:val="449E245B"/>
    <w:rsid w:val="449E3438"/>
    <w:rsid w:val="449E57CB"/>
    <w:rsid w:val="44B25E01"/>
    <w:rsid w:val="44BE3BB0"/>
    <w:rsid w:val="44C261A4"/>
    <w:rsid w:val="44C3789E"/>
    <w:rsid w:val="44DB149D"/>
    <w:rsid w:val="44DC51C8"/>
    <w:rsid w:val="44E868D5"/>
    <w:rsid w:val="44EF6E58"/>
    <w:rsid w:val="44F63AF7"/>
    <w:rsid w:val="44F76962"/>
    <w:rsid w:val="44F96369"/>
    <w:rsid w:val="44FC087D"/>
    <w:rsid w:val="4507593C"/>
    <w:rsid w:val="450C5B98"/>
    <w:rsid w:val="45191B42"/>
    <w:rsid w:val="451B5376"/>
    <w:rsid w:val="451F005B"/>
    <w:rsid w:val="452426F9"/>
    <w:rsid w:val="45265B78"/>
    <w:rsid w:val="4527582D"/>
    <w:rsid w:val="45281F25"/>
    <w:rsid w:val="452B34ED"/>
    <w:rsid w:val="452E3895"/>
    <w:rsid w:val="45307EEC"/>
    <w:rsid w:val="45312221"/>
    <w:rsid w:val="45360523"/>
    <w:rsid w:val="453B472F"/>
    <w:rsid w:val="453B59C1"/>
    <w:rsid w:val="453F1FDA"/>
    <w:rsid w:val="453F7E8C"/>
    <w:rsid w:val="4540369E"/>
    <w:rsid w:val="45433DEB"/>
    <w:rsid w:val="454C3F7A"/>
    <w:rsid w:val="454C7F04"/>
    <w:rsid w:val="454E5FE9"/>
    <w:rsid w:val="455946A6"/>
    <w:rsid w:val="455D0B8D"/>
    <w:rsid w:val="4562121E"/>
    <w:rsid w:val="456777C3"/>
    <w:rsid w:val="456876CB"/>
    <w:rsid w:val="456C4E77"/>
    <w:rsid w:val="456E3E38"/>
    <w:rsid w:val="457603C1"/>
    <w:rsid w:val="457A7E4F"/>
    <w:rsid w:val="45895AC8"/>
    <w:rsid w:val="458D24FA"/>
    <w:rsid w:val="458D3668"/>
    <w:rsid w:val="458F2E66"/>
    <w:rsid w:val="459613F8"/>
    <w:rsid w:val="459B1BF3"/>
    <w:rsid w:val="45A7226B"/>
    <w:rsid w:val="45AC1EE9"/>
    <w:rsid w:val="45B73D24"/>
    <w:rsid w:val="45BE6589"/>
    <w:rsid w:val="45C115C5"/>
    <w:rsid w:val="45C510AF"/>
    <w:rsid w:val="45CD58FE"/>
    <w:rsid w:val="45CE673F"/>
    <w:rsid w:val="45D70416"/>
    <w:rsid w:val="45D73909"/>
    <w:rsid w:val="45D90B39"/>
    <w:rsid w:val="45E222E6"/>
    <w:rsid w:val="45E92126"/>
    <w:rsid w:val="45EC1005"/>
    <w:rsid w:val="45ED661E"/>
    <w:rsid w:val="45F224AA"/>
    <w:rsid w:val="45F4286B"/>
    <w:rsid w:val="45FF5D24"/>
    <w:rsid w:val="46021BCD"/>
    <w:rsid w:val="460405D7"/>
    <w:rsid w:val="4607441E"/>
    <w:rsid w:val="46076DD3"/>
    <w:rsid w:val="4609736D"/>
    <w:rsid w:val="460B6F6D"/>
    <w:rsid w:val="460D68C2"/>
    <w:rsid w:val="460E561E"/>
    <w:rsid w:val="460E7464"/>
    <w:rsid w:val="46195D92"/>
    <w:rsid w:val="46222151"/>
    <w:rsid w:val="462734C9"/>
    <w:rsid w:val="46314D24"/>
    <w:rsid w:val="46341DEE"/>
    <w:rsid w:val="4634722C"/>
    <w:rsid w:val="4637081F"/>
    <w:rsid w:val="46396556"/>
    <w:rsid w:val="463C565F"/>
    <w:rsid w:val="463F2504"/>
    <w:rsid w:val="4642017A"/>
    <w:rsid w:val="46426A5A"/>
    <w:rsid w:val="46472772"/>
    <w:rsid w:val="46494949"/>
    <w:rsid w:val="4656273C"/>
    <w:rsid w:val="4659030D"/>
    <w:rsid w:val="466012B5"/>
    <w:rsid w:val="46631C50"/>
    <w:rsid w:val="466436AC"/>
    <w:rsid w:val="466D6C66"/>
    <w:rsid w:val="46772FF4"/>
    <w:rsid w:val="467835C4"/>
    <w:rsid w:val="467D2224"/>
    <w:rsid w:val="467D36D9"/>
    <w:rsid w:val="4680255B"/>
    <w:rsid w:val="46812BA3"/>
    <w:rsid w:val="468653D8"/>
    <w:rsid w:val="468B7DDD"/>
    <w:rsid w:val="469F6A9F"/>
    <w:rsid w:val="46A01549"/>
    <w:rsid w:val="46A261F0"/>
    <w:rsid w:val="46A503BF"/>
    <w:rsid w:val="46A85FB3"/>
    <w:rsid w:val="46A92CD9"/>
    <w:rsid w:val="46AB6951"/>
    <w:rsid w:val="46AC65E1"/>
    <w:rsid w:val="46AD0954"/>
    <w:rsid w:val="46AD1032"/>
    <w:rsid w:val="46B807D6"/>
    <w:rsid w:val="46C456FE"/>
    <w:rsid w:val="46C57AAB"/>
    <w:rsid w:val="46C81B9B"/>
    <w:rsid w:val="46CC4B0A"/>
    <w:rsid w:val="46CD44C4"/>
    <w:rsid w:val="46D25FFA"/>
    <w:rsid w:val="46D4372B"/>
    <w:rsid w:val="46D70D78"/>
    <w:rsid w:val="46D97B53"/>
    <w:rsid w:val="46DA5614"/>
    <w:rsid w:val="46DF1A0F"/>
    <w:rsid w:val="46E260B2"/>
    <w:rsid w:val="46EC501C"/>
    <w:rsid w:val="46F85435"/>
    <w:rsid w:val="46FF6C33"/>
    <w:rsid w:val="4703584E"/>
    <w:rsid w:val="470502AC"/>
    <w:rsid w:val="47074978"/>
    <w:rsid w:val="4708385B"/>
    <w:rsid w:val="470C475E"/>
    <w:rsid w:val="470E4F32"/>
    <w:rsid w:val="470F5850"/>
    <w:rsid w:val="47157A43"/>
    <w:rsid w:val="47172D57"/>
    <w:rsid w:val="47193D48"/>
    <w:rsid w:val="472A25C9"/>
    <w:rsid w:val="472E0625"/>
    <w:rsid w:val="472F0A9E"/>
    <w:rsid w:val="473406CB"/>
    <w:rsid w:val="473450CF"/>
    <w:rsid w:val="473761B8"/>
    <w:rsid w:val="473A43F9"/>
    <w:rsid w:val="47425BF2"/>
    <w:rsid w:val="47445BC8"/>
    <w:rsid w:val="4746179C"/>
    <w:rsid w:val="47491BE4"/>
    <w:rsid w:val="474C6B22"/>
    <w:rsid w:val="474E0D27"/>
    <w:rsid w:val="474F52A4"/>
    <w:rsid w:val="4753346F"/>
    <w:rsid w:val="475A326D"/>
    <w:rsid w:val="475C09D6"/>
    <w:rsid w:val="47671687"/>
    <w:rsid w:val="4768112D"/>
    <w:rsid w:val="476931D2"/>
    <w:rsid w:val="476A3DBA"/>
    <w:rsid w:val="476F77F3"/>
    <w:rsid w:val="47704B59"/>
    <w:rsid w:val="47741EDA"/>
    <w:rsid w:val="477C37E4"/>
    <w:rsid w:val="47851967"/>
    <w:rsid w:val="478C21FC"/>
    <w:rsid w:val="47923330"/>
    <w:rsid w:val="47AB7461"/>
    <w:rsid w:val="47B01415"/>
    <w:rsid w:val="47B023A3"/>
    <w:rsid w:val="47B03423"/>
    <w:rsid w:val="47BD7829"/>
    <w:rsid w:val="47C50F36"/>
    <w:rsid w:val="47C77356"/>
    <w:rsid w:val="47C97DB6"/>
    <w:rsid w:val="47CB48F3"/>
    <w:rsid w:val="47D01F62"/>
    <w:rsid w:val="47D1580D"/>
    <w:rsid w:val="47E90D35"/>
    <w:rsid w:val="47EA4A10"/>
    <w:rsid w:val="47EB57DA"/>
    <w:rsid w:val="47F178CB"/>
    <w:rsid w:val="47F761B2"/>
    <w:rsid w:val="47FB2906"/>
    <w:rsid w:val="48077CAC"/>
    <w:rsid w:val="4808426F"/>
    <w:rsid w:val="480E6838"/>
    <w:rsid w:val="48175952"/>
    <w:rsid w:val="48207795"/>
    <w:rsid w:val="48211D30"/>
    <w:rsid w:val="48230EB4"/>
    <w:rsid w:val="482726DA"/>
    <w:rsid w:val="48281E03"/>
    <w:rsid w:val="48295007"/>
    <w:rsid w:val="48370EE1"/>
    <w:rsid w:val="484242B8"/>
    <w:rsid w:val="484A26EB"/>
    <w:rsid w:val="484B3104"/>
    <w:rsid w:val="484B6B9E"/>
    <w:rsid w:val="484E5A5D"/>
    <w:rsid w:val="48577E88"/>
    <w:rsid w:val="485A569D"/>
    <w:rsid w:val="485B3355"/>
    <w:rsid w:val="48631DEB"/>
    <w:rsid w:val="48684BCB"/>
    <w:rsid w:val="487209BC"/>
    <w:rsid w:val="487A2D03"/>
    <w:rsid w:val="487D52BA"/>
    <w:rsid w:val="48821D82"/>
    <w:rsid w:val="488328ED"/>
    <w:rsid w:val="48853BF0"/>
    <w:rsid w:val="48866406"/>
    <w:rsid w:val="488F3752"/>
    <w:rsid w:val="489042DE"/>
    <w:rsid w:val="48941C12"/>
    <w:rsid w:val="489B07CD"/>
    <w:rsid w:val="489B0F30"/>
    <w:rsid w:val="48A37714"/>
    <w:rsid w:val="48A41674"/>
    <w:rsid w:val="48A622C5"/>
    <w:rsid w:val="48A6636D"/>
    <w:rsid w:val="48A82C4A"/>
    <w:rsid w:val="48AE5C74"/>
    <w:rsid w:val="48B13BB3"/>
    <w:rsid w:val="48B262BA"/>
    <w:rsid w:val="48B26BF1"/>
    <w:rsid w:val="48B507C6"/>
    <w:rsid w:val="48B81DE8"/>
    <w:rsid w:val="48BA6374"/>
    <w:rsid w:val="48C124D9"/>
    <w:rsid w:val="48C709D3"/>
    <w:rsid w:val="48C82A31"/>
    <w:rsid w:val="48CA039B"/>
    <w:rsid w:val="48CA2D11"/>
    <w:rsid w:val="48D36DC9"/>
    <w:rsid w:val="48EB7CF6"/>
    <w:rsid w:val="48EF1481"/>
    <w:rsid w:val="48EF6B45"/>
    <w:rsid w:val="48EF6F95"/>
    <w:rsid w:val="48F0523B"/>
    <w:rsid w:val="48FB3C87"/>
    <w:rsid w:val="48FE3273"/>
    <w:rsid w:val="49031443"/>
    <w:rsid w:val="49055C71"/>
    <w:rsid w:val="490E3890"/>
    <w:rsid w:val="491A363E"/>
    <w:rsid w:val="492259FA"/>
    <w:rsid w:val="49264F47"/>
    <w:rsid w:val="492F00E5"/>
    <w:rsid w:val="4932236F"/>
    <w:rsid w:val="4939796F"/>
    <w:rsid w:val="493B01FD"/>
    <w:rsid w:val="49461A80"/>
    <w:rsid w:val="49495E30"/>
    <w:rsid w:val="495059EF"/>
    <w:rsid w:val="495142F7"/>
    <w:rsid w:val="49543E01"/>
    <w:rsid w:val="49583AE2"/>
    <w:rsid w:val="496C6870"/>
    <w:rsid w:val="49736E5F"/>
    <w:rsid w:val="497A3E06"/>
    <w:rsid w:val="497D03E8"/>
    <w:rsid w:val="498C3449"/>
    <w:rsid w:val="49912106"/>
    <w:rsid w:val="49947244"/>
    <w:rsid w:val="499B718C"/>
    <w:rsid w:val="49A33A62"/>
    <w:rsid w:val="49A7732B"/>
    <w:rsid w:val="49B16AC6"/>
    <w:rsid w:val="49B751FC"/>
    <w:rsid w:val="49BA1378"/>
    <w:rsid w:val="49BA5A7D"/>
    <w:rsid w:val="49BA64F7"/>
    <w:rsid w:val="49C84E18"/>
    <w:rsid w:val="49CF79DF"/>
    <w:rsid w:val="49D22C1F"/>
    <w:rsid w:val="49D450F2"/>
    <w:rsid w:val="49D75ECE"/>
    <w:rsid w:val="49D85901"/>
    <w:rsid w:val="49D94BB2"/>
    <w:rsid w:val="49DA71D6"/>
    <w:rsid w:val="49DD0F80"/>
    <w:rsid w:val="49E51818"/>
    <w:rsid w:val="49EC7CBA"/>
    <w:rsid w:val="49F11D40"/>
    <w:rsid w:val="49F12510"/>
    <w:rsid w:val="49F74DB9"/>
    <w:rsid w:val="49F96AD2"/>
    <w:rsid w:val="49FD58DC"/>
    <w:rsid w:val="4A0405CB"/>
    <w:rsid w:val="4A053FE2"/>
    <w:rsid w:val="4A09625A"/>
    <w:rsid w:val="4A0A7030"/>
    <w:rsid w:val="4A0E244A"/>
    <w:rsid w:val="4A143562"/>
    <w:rsid w:val="4A154F58"/>
    <w:rsid w:val="4A16349D"/>
    <w:rsid w:val="4A1F6E2A"/>
    <w:rsid w:val="4A235B85"/>
    <w:rsid w:val="4A2F23D3"/>
    <w:rsid w:val="4A387418"/>
    <w:rsid w:val="4A3A0764"/>
    <w:rsid w:val="4A414ED3"/>
    <w:rsid w:val="4A4F0F82"/>
    <w:rsid w:val="4A531ADA"/>
    <w:rsid w:val="4A536D3B"/>
    <w:rsid w:val="4A5654D2"/>
    <w:rsid w:val="4A6C3CBC"/>
    <w:rsid w:val="4A6E2E7D"/>
    <w:rsid w:val="4A702254"/>
    <w:rsid w:val="4A72248C"/>
    <w:rsid w:val="4A894974"/>
    <w:rsid w:val="4A8D79B6"/>
    <w:rsid w:val="4A8F08D9"/>
    <w:rsid w:val="4A934DE1"/>
    <w:rsid w:val="4A960806"/>
    <w:rsid w:val="4A9D1733"/>
    <w:rsid w:val="4A9E0F50"/>
    <w:rsid w:val="4AA71723"/>
    <w:rsid w:val="4AA91410"/>
    <w:rsid w:val="4AB2042C"/>
    <w:rsid w:val="4AB939F5"/>
    <w:rsid w:val="4AC525A6"/>
    <w:rsid w:val="4ACA553E"/>
    <w:rsid w:val="4ACB6BE7"/>
    <w:rsid w:val="4ACD3A6A"/>
    <w:rsid w:val="4AD137B2"/>
    <w:rsid w:val="4AD17C7E"/>
    <w:rsid w:val="4AD6591E"/>
    <w:rsid w:val="4ADB5A55"/>
    <w:rsid w:val="4AE17EF3"/>
    <w:rsid w:val="4AE86220"/>
    <w:rsid w:val="4AF532F9"/>
    <w:rsid w:val="4AFB79B3"/>
    <w:rsid w:val="4AFF5C25"/>
    <w:rsid w:val="4B060BCB"/>
    <w:rsid w:val="4B074323"/>
    <w:rsid w:val="4B0B62BA"/>
    <w:rsid w:val="4B0E0CB6"/>
    <w:rsid w:val="4B136EE0"/>
    <w:rsid w:val="4B1373E0"/>
    <w:rsid w:val="4B141B2C"/>
    <w:rsid w:val="4B165E4A"/>
    <w:rsid w:val="4B202481"/>
    <w:rsid w:val="4B2146C0"/>
    <w:rsid w:val="4B291259"/>
    <w:rsid w:val="4B2A40E7"/>
    <w:rsid w:val="4B2A6C1C"/>
    <w:rsid w:val="4B38725E"/>
    <w:rsid w:val="4B3C4FEB"/>
    <w:rsid w:val="4B3E1685"/>
    <w:rsid w:val="4B433126"/>
    <w:rsid w:val="4B4629B5"/>
    <w:rsid w:val="4B463C52"/>
    <w:rsid w:val="4B483C9B"/>
    <w:rsid w:val="4B4956BC"/>
    <w:rsid w:val="4B50202B"/>
    <w:rsid w:val="4B58733A"/>
    <w:rsid w:val="4B592A21"/>
    <w:rsid w:val="4B5B4EFC"/>
    <w:rsid w:val="4B5C33EA"/>
    <w:rsid w:val="4B5E736D"/>
    <w:rsid w:val="4B616AB2"/>
    <w:rsid w:val="4B623884"/>
    <w:rsid w:val="4B634CDD"/>
    <w:rsid w:val="4B635B7C"/>
    <w:rsid w:val="4B6F0E9C"/>
    <w:rsid w:val="4B6F2670"/>
    <w:rsid w:val="4B710E22"/>
    <w:rsid w:val="4B7772DE"/>
    <w:rsid w:val="4B784B29"/>
    <w:rsid w:val="4B7B6E65"/>
    <w:rsid w:val="4B7E11D1"/>
    <w:rsid w:val="4B8479F9"/>
    <w:rsid w:val="4B880DFB"/>
    <w:rsid w:val="4B8C48AB"/>
    <w:rsid w:val="4B8C4946"/>
    <w:rsid w:val="4B9170DD"/>
    <w:rsid w:val="4B956FCC"/>
    <w:rsid w:val="4B9A4031"/>
    <w:rsid w:val="4BA2064B"/>
    <w:rsid w:val="4BA22B25"/>
    <w:rsid w:val="4BAA488E"/>
    <w:rsid w:val="4BAC03AA"/>
    <w:rsid w:val="4BBD7D13"/>
    <w:rsid w:val="4BC24C35"/>
    <w:rsid w:val="4BC537FC"/>
    <w:rsid w:val="4BC90276"/>
    <w:rsid w:val="4BD15495"/>
    <w:rsid w:val="4BE7343A"/>
    <w:rsid w:val="4BE83759"/>
    <w:rsid w:val="4BF03BE8"/>
    <w:rsid w:val="4BF70644"/>
    <w:rsid w:val="4BFA1DA1"/>
    <w:rsid w:val="4BFA6753"/>
    <w:rsid w:val="4BFF6091"/>
    <w:rsid w:val="4C084966"/>
    <w:rsid w:val="4C095EE2"/>
    <w:rsid w:val="4C0F4052"/>
    <w:rsid w:val="4C133611"/>
    <w:rsid w:val="4C174F74"/>
    <w:rsid w:val="4C226F48"/>
    <w:rsid w:val="4C247160"/>
    <w:rsid w:val="4C260D80"/>
    <w:rsid w:val="4C267508"/>
    <w:rsid w:val="4C2E26A4"/>
    <w:rsid w:val="4C335A1F"/>
    <w:rsid w:val="4C371DD4"/>
    <w:rsid w:val="4C3D2C26"/>
    <w:rsid w:val="4C402903"/>
    <w:rsid w:val="4C444B6A"/>
    <w:rsid w:val="4C480B7B"/>
    <w:rsid w:val="4C4B30F7"/>
    <w:rsid w:val="4C5614B5"/>
    <w:rsid w:val="4C584A66"/>
    <w:rsid w:val="4C5B299E"/>
    <w:rsid w:val="4C672EA9"/>
    <w:rsid w:val="4C69294C"/>
    <w:rsid w:val="4C6E1B72"/>
    <w:rsid w:val="4C726DD1"/>
    <w:rsid w:val="4C770DD2"/>
    <w:rsid w:val="4C791370"/>
    <w:rsid w:val="4C7A0C3F"/>
    <w:rsid w:val="4C7F1E9D"/>
    <w:rsid w:val="4C7F6D09"/>
    <w:rsid w:val="4C8632E9"/>
    <w:rsid w:val="4C871DF8"/>
    <w:rsid w:val="4C8D6003"/>
    <w:rsid w:val="4C8F2DE8"/>
    <w:rsid w:val="4C913044"/>
    <w:rsid w:val="4C947324"/>
    <w:rsid w:val="4C9B75E7"/>
    <w:rsid w:val="4C9E79FD"/>
    <w:rsid w:val="4CA36543"/>
    <w:rsid w:val="4CB14994"/>
    <w:rsid w:val="4CB536B2"/>
    <w:rsid w:val="4CB66E23"/>
    <w:rsid w:val="4CBA0BD1"/>
    <w:rsid w:val="4CC1648F"/>
    <w:rsid w:val="4CC164CF"/>
    <w:rsid w:val="4CC366C9"/>
    <w:rsid w:val="4CC91F08"/>
    <w:rsid w:val="4CC95295"/>
    <w:rsid w:val="4CCB1F7A"/>
    <w:rsid w:val="4CCD39C6"/>
    <w:rsid w:val="4CCF74BA"/>
    <w:rsid w:val="4CD208C3"/>
    <w:rsid w:val="4CD2219E"/>
    <w:rsid w:val="4CDB01E3"/>
    <w:rsid w:val="4CDE16B5"/>
    <w:rsid w:val="4CE70518"/>
    <w:rsid w:val="4CE7079A"/>
    <w:rsid w:val="4CEB204F"/>
    <w:rsid w:val="4CEC37EE"/>
    <w:rsid w:val="4CEF3422"/>
    <w:rsid w:val="4CEF5957"/>
    <w:rsid w:val="4CF21024"/>
    <w:rsid w:val="4CFA1EB8"/>
    <w:rsid w:val="4CFE43AE"/>
    <w:rsid w:val="4CFE76A4"/>
    <w:rsid w:val="4D010552"/>
    <w:rsid w:val="4D016374"/>
    <w:rsid w:val="4D0B6131"/>
    <w:rsid w:val="4D0D1D6E"/>
    <w:rsid w:val="4D105ACB"/>
    <w:rsid w:val="4D1E3EE0"/>
    <w:rsid w:val="4D22495E"/>
    <w:rsid w:val="4D2419D0"/>
    <w:rsid w:val="4D250AB7"/>
    <w:rsid w:val="4D2B482A"/>
    <w:rsid w:val="4D2D2240"/>
    <w:rsid w:val="4D2E1C6B"/>
    <w:rsid w:val="4D302C43"/>
    <w:rsid w:val="4D3E76DB"/>
    <w:rsid w:val="4D4460A7"/>
    <w:rsid w:val="4D473E33"/>
    <w:rsid w:val="4D4977E8"/>
    <w:rsid w:val="4D4C1A66"/>
    <w:rsid w:val="4D4C459B"/>
    <w:rsid w:val="4D4D4EE3"/>
    <w:rsid w:val="4D4E02A1"/>
    <w:rsid w:val="4D4F5821"/>
    <w:rsid w:val="4D4F652B"/>
    <w:rsid w:val="4D5044EE"/>
    <w:rsid w:val="4D554B3C"/>
    <w:rsid w:val="4D591C72"/>
    <w:rsid w:val="4D5C3315"/>
    <w:rsid w:val="4D5F2E70"/>
    <w:rsid w:val="4D642832"/>
    <w:rsid w:val="4D6A14C3"/>
    <w:rsid w:val="4D6A49BD"/>
    <w:rsid w:val="4D7A3E8C"/>
    <w:rsid w:val="4D7E2EFF"/>
    <w:rsid w:val="4D8509F3"/>
    <w:rsid w:val="4D8749F5"/>
    <w:rsid w:val="4D936213"/>
    <w:rsid w:val="4D957F0A"/>
    <w:rsid w:val="4D96607F"/>
    <w:rsid w:val="4D9936D1"/>
    <w:rsid w:val="4D9E2ADC"/>
    <w:rsid w:val="4D9E4419"/>
    <w:rsid w:val="4DA1691C"/>
    <w:rsid w:val="4DA54CA5"/>
    <w:rsid w:val="4DAE5B32"/>
    <w:rsid w:val="4DB215B5"/>
    <w:rsid w:val="4DB605EB"/>
    <w:rsid w:val="4DBE5A37"/>
    <w:rsid w:val="4DC51E06"/>
    <w:rsid w:val="4DC53350"/>
    <w:rsid w:val="4DCA5124"/>
    <w:rsid w:val="4DD01744"/>
    <w:rsid w:val="4DD20851"/>
    <w:rsid w:val="4DD91967"/>
    <w:rsid w:val="4DDC1A2C"/>
    <w:rsid w:val="4DDC74BE"/>
    <w:rsid w:val="4DE048EA"/>
    <w:rsid w:val="4DE1122B"/>
    <w:rsid w:val="4DE21774"/>
    <w:rsid w:val="4DE51D48"/>
    <w:rsid w:val="4DE83A0C"/>
    <w:rsid w:val="4DE961C6"/>
    <w:rsid w:val="4DF0003E"/>
    <w:rsid w:val="4DF07827"/>
    <w:rsid w:val="4DF07B5B"/>
    <w:rsid w:val="4DF1229A"/>
    <w:rsid w:val="4DF64B95"/>
    <w:rsid w:val="4E013D0B"/>
    <w:rsid w:val="4E054AB0"/>
    <w:rsid w:val="4E093030"/>
    <w:rsid w:val="4E094B6F"/>
    <w:rsid w:val="4E12441E"/>
    <w:rsid w:val="4E134EF5"/>
    <w:rsid w:val="4E145AE3"/>
    <w:rsid w:val="4E1544FD"/>
    <w:rsid w:val="4E1F5AF4"/>
    <w:rsid w:val="4E272016"/>
    <w:rsid w:val="4E2D5AFF"/>
    <w:rsid w:val="4E307A97"/>
    <w:rsid w:val="4E336AAE"/>
    <w:rsid w:val="4E445A99"/>
    <w:rsid w:val="4E457DD2"/>
    <w:rsid w:val="4E4B3673"/>
    <w:rsid w:val="4E543E80"/>
    <w:rsid w:val="4E547EDB"/>
    <w:rsid w:val="4E550ED2"/>
    <w:rsid w:val="4E550FAC"/>
    <w:rsid w:val="4E5B38C8"/>
    <w:rsid w:val="4E5B6370"/>
    <w:rsid w:val="4E600A5B"/>
    <w:rsid w:val="4E640590"/>
    <w:rsid w:val="4E65442A"/>
    <w:rsid w:val="4E6619D6"/>
    <w:rsid w:val="4E673ED2"/>
    <w:rsid w:val="4E697123"/>
    <w:rsid w:val="4E6C2DED"/>
    <w:rsid w:val="4E7546F7"/>
    <w:rsid w:val="4E78053E"/>
    <w:rsid w:val="4E7E6950"/>
    <w:rsid w:val="4E825A54"/>
    <w:rsid w:val="4E8449DB"/>
    <w:rsid w:val="4E890ECD"/>
    <w:rsid w:val="4E8B6E3D"/>
    <w:rsid w:val="4E92762D"/>
    <w:rsid w:val="4E947C3F"/>
    <w:rsid w:val="4E95795E"/>
    <w:rsid w:val="4E967184"/>
    <w:rsid w:val="4E983412"/>
    <w:rsid w:val="4E991454"/>
    <w:rsid w:val="4E9B75F0"/>
    <w:rsid w:val="4E9C276C"/>
    <w:rsid w:val="4E9D3C1F"/>
    <w:rsid w:val="4EA35F83"/>
    <w:rsid w:val="4EA448B5"/>
    <w:rsid w:val="4EA61218"/>
    <w:rsid w:val="4EA96ED1"/>
    <w:rsid w:val="4EAB671D"/>
    <w:rsid w:val="4EAC53DE"/>
    <w:rsid w:val="4EAE4AB7"/>
    <w:rsid w:val="4EB02652"/>
    <w:rsid w:val="4EBA317F"/>
    <w:rsid w:val="4EBD23D3"/>
    <w:rsid w:val="4EBD606B"/>
    <w:rsid w:val="4EC05362"/>
    <w:rsid w:val="4EC12B87"/>
    <w:rsid w:val="4ED5398F"/>
    <w:rsid w:val="4EE4389C"/>
    <w:rsid w:val="4EE84A55"/>
    <w:rsid w:val="4EEB6B6F"/>
    <w:rsid w:val="4EEC1A97"/>
    <w:rsid w:val="4EED2B26"/>
    <w:rsid w:val="4EED519A"/>
    <w:rsid w:val="4EED5351"/>
    <w:rsid w:val="4F07058E"/>
    <w:rsid w:val="4F0965B8"/>
    <w:rsid w:val="4F0A6334"/>
    <w:rsid w:val="4F195854"/>
    <w:rsid w:val="4F2138CD"/>
    <w:rsid w:val="4F247A0B"/>
    <w:rsid w:val="4F261A0C"/>
    <w:rsid w:val="4F270EB4"/>
    <w:rsid w:val="4F310CD6"/>
    <w:rsid w:val="4F323E10"/>
    <w:rsid w:val="4F3616A0"/>
    <w:rsid w:val="4F3A1C29"/>
    <w:rsid w:val="4F3B4298"/>
    <w:rsid w:val="4F57405F"/>
    <w:rsid w:val="4F6704F1"/>
    <w:rsid w:val="4F676EA4"/>
    <w:rsid w:val="4F6D30BD"/>
    <w:rsid w:val="4F717EA8"/>
    <w:rsid w:val="4F784A60"/>
    <w:rsid w:val="4F78764D"/>
    <w:rsid w:val="4F8233EA"/>
    <w:rsid w:val="4F872D86"/>
    <w:rsid w:val="4F872F85"/>
    <w:rsid w:val="4F890066"/>
    <w:rsid w:val="4F894C68"/>
    <w:rsid w:val="4F897AAA"/>
    <w:rsid w:val="4F8F4F5C"/>
    <w:rsid w:val="4F974C57"/>
    <w:rsid w:val="4F977C1C"/>
    <w:rsid w:val="4FA137BB"/>
    <w:rsid w:val="4FA82C55"/>
    <w:rsid w:val="4FA85133"/>
    <w:rsid w:val="4FA97D40"/>
    <w:rsid w:val="4FAB2C07"/>
    <w:rsid w:val="4FB50E2C"/>
    <w:rsid w:val="4FBE1CFE"/>
    <w:rsid w:val="4FBE22DA"/>
    <w:rsid w:val="4FC0020D"/>
    <w:rsid w:val="4FC34AC2"/>
    <w:rsid w:val="4FCC7F23"/>
    <w:rsid w:val="4FCF0074"/>
    <w:rsid w:val="4FD0312B"/>
    <w:rsid w:val="4FD0773E"/>
    <w:rsid w:val="4FD16F8C"/>
    <w:rsid w:val="4FD44C41"/>
    <w:rsid w:val="4FD54B0A"/>
    <w:rsid w:val="4FDA12E5"/>
    <w:rsid w:val="4FDA1DD2"/>
    <w:rsid w:val="4FDA1F43"/>
    <w:rsid w:val="4FDA592F"/>
    <w:rsid w:val="4FDE33D9"/>
    <w:rsid w:val="4FDF13E1"/>
    <w:rsid w:val="4FF04A77"/>
    <w:rsid w:val="4FF755C1"/>
    <w:rsid w:val="4FF86325"/>
    <w:rsid w:val="4FFD7A92"/>
    <w:rsid w:val="4FFE1F8A"/>
    <w:rsid w:val="4FFF63FF"/>
    <w:rsid w:val="50011A50"/>
    <w:rsid w:val="500277C8"/>
    <w:rsid w:val="5003250B"/>
    <w:rsid w:val="50065D61"/>
    <w:rsid w:val="500966E4"/>
    <w:rsid w:val="500A09BB"/>
    <w:rsid w:val="500F4BDE"/>
    <w:rsid w:val="50152747"/>
    <w:rsid w:val="50194CB1"/>
    <w:rsid w:val="501C0EB2"/>
    <w:rsid w:val="50233AA5"/>
    <w:rsid w:val="50252876"/>
    <w:rsid w:val="502F4292"/>
    <w:rsid w:val="503431A9"/>
    <w:rsid w:val="50375D05"/>
    <w:rsid w:val="503A57B5"/>
    <w:rsid w:val="503B25D7"/>
    <w:rsid w:val="503B722A"/>
    <w:rsid w:val="503C3B86"/>
    <w:rsid w:val="50413894"/>
    <w:rsid w:val="50453DB8"/>
    <w:rsid w:val="50470385"/>
    <w:rsid w:val="504820FB"/>
    <w:rsid w:val="50496E9A"/>
    <w:rsid w:val="504E01CD"/>
    <w:rsid w:val="50555CD1"/>
    <w:rsid w:val="5056183D"/>
    <w:rsid w:val="50657726"/>
    <w:rsid w:val="50660CF4"/>
    <w:rsid w:val="5067313A"/>
    <w:rsid w:val="506821F7"/>
    <w:rsid w:val="5069696B"/>
    <w:rsid w:val="506A4F72"/>
    <w:rsid w:val="506E22E0"/>
    <w:rsid w:val="50703B28"/>
    <w:rsid w:val="50753625"/>
    <w:rsid w:val="50763914"/>
    <w:rsid w:val="50786238"/>
    <w:rsid w:val="50825378"/>
    <w:rsid w:val="508A41FC"/>
    <w:rsid w:val="508A61E5"/>
    <w:rsid w:val="508B3A0B"/>
    <w:rsid w:val="508C270B"/>
    <w:rsid w:val="508D0A14"/>
    <w:rsid w:val="5091279E"/>
    <w:rsid w:val="5095078C"/>
    <w:rsid w:val="50991FAE"/>
    <w:rsid w:val="509A4EA6"/>
    <w:rsid w:val="509D1489"/>
    <w:rsid w:val="50A1023D"/>
    <w:rsid w:val="50A77261"/>
    <w:rsid w:val="50A83E3C"/>
    <w:rsid w:val="50A958B1"/>
    <w:rsid w:val="50AB259B"/>
    <w:rsid w:val="50AC2378"/>
    <w:rsid w:val="50B02897"/>
    <w:rsid w:val="50BB08B1"/>
    <w:rsid w:val="50C03F83"/>
    <w:rsid w:val="50C11D36"/>
    <w:rsid w:val="50C56970"/>
    <w:rsid w:val="50C73E21"/>
    <w:rsid w:val="50CC077A"/>
    <w:rsid w:val="50D16503"/>
    <w:rsid w:val="50D2630A"/>
    <w:rsid w:val="50D379EF"/>
    <w:rsid w:val="50DB7079"/>
    <w:rsid w:val="50DE730D"/>
    <w:rsid w:val="50E30582"/>
    <w:rsid w:val="50EB4AFB"/>
    <w:rsid w:val="50EB5402"/>
    <w:rsid w:val="50EC3FCD"/>
    <w:rsid w:val="50ED4C9C"/>
    <w:rsid w:val="50F005FF"/>
    <w:rsid w:val="50F202A0"/>
    <w:rsid w:val="50F44199"/>
    <w:rsid w:val="50F570D2"/>
    <w:rsid w:val="50F64107"/>
    <w:rsid w:val="50F71B1F"/>
    <w:rsid w:val="50F91E2C"/>
    <w:rsid w:val="50FD3AAE"/>
    <w:rsid w:val="50FE7CAC"/>
    <w:rsid w:val="50FF78E5"/>
    <w:rsid w:val="51053D9B"/>
    <w:rsid w:val="51072D41"/>
    <w:rsid w:val="51080026"/>
    <w:rsid w:val="5113258C"/>
    <w:rsid w:val="5114469E"/>
    <w:rsid w:val="511448DA"/>
    <w:rsid w:val="511A618E"/>
    <w:rsid w:val="511C4CBB"/>
    <w:rsid w:val="511F579A"/>
    <w:rsid w:val="51230EEB"/>
    <w:rsid w:val="512672DB"/>
    <w:rsid w:val="512F1469"/>
    <w:rsid w:val="513966F7"/>
    <w:rsid w:val="513E7BCE"/>
    <w:rsid w:val="51453389"/>
    <w:rsid w:val="51493E4F"/>
    <w:rsid w:val="514D3F87"/>
    <w:rsid w:val="514E2654"/>
    <w:rsid w:val="515421E7"/>
    <w:rsid w:val="515D3C8E"/>
    <w:rsid w:val="5168247F"/>
    <w:rsid w:val="51696216"/>
    <w:rsid w:val="51740FE5"/>
    <w:rsid w:val="517621EF"/>
    <w:rsid w:val="5177692B"/>
    <w:rsid w:val="5179039A"/>
    <w:rsid w:val="517D4E22"/>
    <w:rsid w:val="517F43DF"/>
    <w:rsid w:val="51800BCD"/>
    <w:rsid w:val="51804738"/>
    <w:rsid w:val="51834C82"/>
    <w:rsid w:val="518363B1"/>
    <w:rsid w:val="51877CB6"/>
    <w:rsid w:val="51883B98"/>
    <w:rsid w:val="518968D2"/>
    <w:rsid w:val="518C560C"/>
    <w:rsid w:val="51912910"/>
    <w:rsid w:val="51976B33"/>
    <w:rsid w:val="519F7AA6"/>
    <w:rsid w:val="51A6729A"/>
    <w:rsid w:val="51AC2A9C"/>
    <w:rsid w:val="51B23613"/>
    <w:rsid w:val="51B52DD3"/>
    <w:rsid w:val="51BA6790"/>
    <w:rsid w:val="51BD0C25"/>
    <w:rsid w:val="51BD509D"/>
    <w:rsid w:val="51BF533B"/>
    <w:rsid w:val="51C52D55"/>
    <w:rsid w:val="51C91D0F"/>
    <w:rsid w:val="51CA22CE"/>
    <w:rsid w:val="51CB7E44"/>
    <w:rsid w:val="51CD4072"/>
    <w:rsid w:val="51CE592B"/>
    <w:rsid w:val="51CF534B"/>
    <w:rsid w:val="51D13B2E"/>
    <w:rsid w:val="51D55C69"/>
    <w:rsid w:val="51D82773"/>
    <w:rsid w:val="51DD3020"/>
    <w:rsid w:val="51E33F8B"/>
    <w:rsid w:val="51E40A16"/>
    <w:rsid w:val="51E93464"/>
    <w:rsid w:val="51EE77E0"/>
    <w:rsid w:val="51F026D3"/>
    <w:rsid w:val="51F24A65"/>
    <w:rsid w:val="51FA700B"/>
    <w:rsid w:val="51FC795E"/>
    <w:rsid w:val="5201482D"/>
    <w:rsid w:val="520739B4"/>
    <w:rsid w:val="52082EB2"/>
    <w:rsid w:val="520C4D66"/>
    <w:rsid w:val="520D6D6E"/>
    <w:rsid w:val="520F5646"/>
    <w:rsid w:val="5215533A"/>
    <w:rsid w:val="52183F98"/>
    <w:rsid w:val="521860A1"/>
    <w:rsid w:val="521A345D"/>
    <w:rsid w:val="521E0C6E"/>
    <w:rsid w:val="521E6A19"/>
    <w:rsid w:val="522C0478"/>
    <w:rsid w:val="5239278E"/>
    <w:rsid w:val="52397358"/>
    <w:rsid w:val="523B40A2"/>
    <w:rsid w:val="523D441C"/>
    <w:rsid w:val="523E3816"/>
    <w:rsid w:val="523E434B"/>
    <w:rsid w:val="52461436"/>
    <w:rsid w:val="524A48C5"/>
    <w:rsid w:val="524E19F1"/>
    <w:rsid w:val="524F1F79"/>
    <w:rsid w:val="52506322"/>
    <w:rsid w:val="5256032E"/>
    <w:rsid w:val="525D24C8"/>
    <w:rsid w:val="525E0BE0"/>
    <w:rsid w:val="5265100D"/>
    <w:rsid w:val="52741FD6"/>
    <w:rsid w:val="527528B8"/>
    <w:rsid w:val="52777A95"/>
    <w:rsid w:val="52786956"/>
    <w:rsid w:val="52806C67"/>
    <w:rsid w:val="528C7BD6"/>
    <w:rsid w:val="529112B8"/>
    <w:rsid w:val="529305DC"/>
    <w:rsid w:val="52933339"/>
    <w:rsid w:val="52935E0E"/>
    <w:rsid w:val="52956D31"/>
    <w:rsid w:val="52962847"/>
    <w:rsid w:val="52997FE4"/>
    <w:rsid w:val="52A01BCB"/>
    <w:rsid w:val="52A13C24"/>
    <w:rsid w:val="52A24F6C"/>
    <w:rsid w:val="52A323B2"/>
    <w:rsid w:val="52A46BEE"/>
    <w:rsid w:val="52B02EFB"/>
    <w:rsid w:val="52B95EAE"/>
    <w:rsid w:val="52BB557A"/>
    <w:rsid w:val="52BF7E68"/>
    <w:rsid w:val="52C300BB"/>
    <w:rsid w:val="52C40037"/>
    <w:rsid w:val="52C4538E"/>
    <w:rsid w:val="52C653E5"/>
    <w:rsid w:val="52CB3F83"/>
    <w:rsid w:val="52D12F02"/>
    <w:rsid w:val="52D3751D"/>
    <w:rsid w:val="52D83DEB"/>
    <w:rsid w:val="52DE19B5"/>
    <w:rsid w:val="52DF70A3"/>
    <w:rsid w:val="52E0485E"/>
    <w:rsid w:val="52E165FF"/>
    <w:rsid w:val="52E823EC"/>
    <w:rsid w:val="52E85C32"/>
    <w:rsid w:val="52EE54EB"/>
    <w:rsid w:val="52F32681"/>
    <w:rsid w:val="52F46566"/>
    <w:rsid w:val="52F4721E"/>
    <w:rsid w:val="52F72F75"/>
    <w:rsid w:val="52FB71A2"/>
    <w:rsid w:val="53027981"/>
    <w:rsid w:val="53045859"/>
    <w:rsid w:val="530A662B"/>
    <w:rsid w:val="530F6BAB"/>
    <w:rsid w:val="53177132"/>
    <w:rsid w:val="531A7C9A"/>
    <w:rsid w:val="531B29AA"/>
    <w:rsid w:val="531F6FFE"/>
    <w:rsid w:val="53236900"/>
    <w:rsid w:val="53244303"/>
    <w:rsid w:val="532A48EE"/>
    <w:rsid w:val="532A68F2"/>
    <w:rsid w:val="532F31E3"/>
    <w:rsid w:val="532F37E2"/>
    <w:rsid w:val="533465BD"/>
    <w:rsid w:val="533D68B8"/>
    <w:rsid w:val="533F6626"/>
    <w:rsid w:val="534508EF"/>
    <w:rsid w:val="53530C12"/>
    <w:rsid w:val="53557627"/>
    <w:rsid w:val="53563F3E"/>
    <w:rsid w:val="535A149E"/>
    <w:rsid w:val="53635085"/>
    <w:rsid w:val="53644DC8"/>
    <w:rsid w:val="536B4F66"/>
    <w:rsid w:val="536E5593"/>
    <w:rsid w:val="53730427"/>
    <w:rsid w:val="53741527"/>
    <w:rsid w:val="5376445E"/>
    <w:rsid w:val="53775B05"/>
    <w:rsid w:val="537952C6"/>
    <w:rsid w:val="537965B8"/>
    <w:rsid w:val="537B6BA9"/>
    <w:rsid w:val="53844554"/>
    <w:rsid w:val="538710D6"/>
    <w:rsid w:val="5389088A"/>
    <w:rsid w:val="538B7942"/>
    <w:rsid w:val="538E4773"/>
    <w:rsid w:val="5393546F"/>
    <w:rsid w:val="539A22F3"/>
    <w:rsid w:val="539C5715"/>
    <w:rsid w:val="539F45F5"/>
    <w:rsid w:val="53AA3B75"/>
    <w:rsid w:val="53AC0EC0"/>
    <w:rsid w:val="53B03919"/>
    <w:rsid w:val="53B13894"/>
    <w:rsid w:val="53B31D9B"/>
    <w:rsid w:val="53B711E0"/>
    <w:rsid w:val="53BD48EC"/>
    <w:rsid w:val="53BD4B13"/>
    <w:rsid w:val="53CC70C9"/>
    <w:rsid w:val="53CF7EB3"/>
    <w:rsid w:val="53D262B7"/>
    <w:rsid w:val="53D94968"/>
    <w:rsid w:val="53DB47E6"/>
    <w:rsid w:val="53DF36D6"/>
    <w:rsid w:val="53E02B16"/>
    <w:rsid w:val="53E51F57"/>
    <w:rsid w:val="53E73C4C"/>
    <w:rsid w:val="53EA5053"/>
    <w:rsid w:val="53F273D9"/>
    <w:rsid w:val="53F34419"/>
    <w:rsid w:val="53F5152E"/>
    <w:rsid w:val="53F64798"/>
    <w:rsid w:val="53FE29FC"/>
    <w:rsid w:val="54023DF4"/>
    <w:rsid w:val="540607B6"/>
    <w:rsid w:val="5408755D"/>
    <w:rsid w:val="540B4A16"/>
    <w:rsid w:val="54137678"/>
    <w:rsid w:val="54213881"/>
    <w:rsid w:val="5425257F"/>
    <w:rsid w:val="54281A77"/>
    <w:rsid w:val="54345DEE"/>
    <w:rsid w:val="5439448D"/>
    <w:rsid w:val="543B128B"/>
    <w:rsid w:val="543C684D"/>
    <w:rsid w:val="543F4D5B"/>
    <w:rsid w:val="544A07BB"/>
    <w:rsid w:val="544E4E48"/>
    <w:rsid w:val="54501F78"/>
    <w:rsid w:val="54537430"/>
    <w:rsid w:val="545562D1"/>
    <w:rsid w:val="545A25E9"/>
    <w:rsid w:val="545A6E41"/>
    <w:rsid w:val="545B5861"/>
    <w:rsid w:val="54614484"/>
    <w:rsid w:val="546336CA"/>
    <w:rsid w:val="546A2C89"/>
    <w:rsid w:val="546A5166"/>
    <w:rsid w:val="5472274D"/>
    <w:rsid w:val="54751BCA"/>
    <w:rsid w:val="547A7EF1"/>
    <w:rsid w:val="547B47C5"/>
    <w:rsid w:val="54811C81"/>
    <w:rsid w:val="54814504"/>
    <w:rsid w:val="548906FB"/>
    <w:rsid w:val="548C04CE"/>
    <w:rsid w:val="548E1B31"/>
    <w:rsid w:val="54903FFD"/>
    <w:rsid w:val="549073B6"/>
    <w:rsid w:val="54952B3B"/>
    <w:rsid w:val="54966147"/>
    <w:rsid w:val="54992927"/>
    <w:rsid w:val="549C5CF9"/>
    <w:rsid w:val="549F1FA7"/>
    <w:rsid w:val="54A46AD9"/>
    <w:rsid w:val="54A741F2"/>
    <w:rsid w:val="54AD149A"/>
    <w:rsid w:val="54B5447F"/>
    <w:rsid w:val="54BB1854"/>
    <w:rsid w:val="54BC3396"/>
    <w:rsid w:val="54C14137"/>
    <w:rsid w:val="54C213FA"/>
    <w:rsid w:val="54C3682D"/>
    <w:rsid w:val="54C37C6C"/>
    <w:rsid w:val="54C46368"/>
    <w:rsid w:val="54C93043"/>
    <w:rsid w:val="54CC3622"/>
    <w:rsid w:val="54D25F3E"/>
    <w:rsid w:val="54D92F6C"/>
    <w:rsid w:val="54DC32C1"/>
    <w:rsid w:val="54DC3F20"/>
    <w:rsid w:val="54DD5AE4"/>
    <w:rsid w:val="54DE0DEE"/>
    <w:rsid w:val="54E30119"/>
    <w:rsid w:val="54E810DD"/>
    <w:rsid w:val="54E90534"/>
    <w:rsid w:val="54F05BB8"/>
    <w:rsid w:val="54F3614C"/>
    <w:rsid w:val="54F5760F"/>
    <w:rsid w:val="54F92BA2"/>
    <w:rsid w:val="54F97817"/>
    <w:rsid w:val="54FE788F"/>
    <w:rsid w:val="55006D39"/>
    <w:rsid w:val="5506459B"/>
    <w:rsid w:val="5509292F"/>
    <w:rsid w:val="550F318E"/>
    <w:rsid w:val="5512496A"/>
    <w:rsid w:val="5519259F"/>
    <w:rsid w:val="5519328E"/>
    <w:rsid w:val="5526436F"/>
    <w:rsid w:val="55294860"/>
    <w:rsid w:val="55361CFA"/>
    <w:rsid w:val="553D22F0"/>
    <w:rsid w:val="553F17E7"/>
    <w:rsid w:val="554058C7"/>
    <w:rsid w:val="55412319"/>
    <w:rsid w:val="55430D79"/>
    <w:rsid w:val="554658EF"/>
    <w:rsid w:val="55487980"/>
    <w:rsid w:val="55496E90"/>
    <w:rsid w:val="554E72F6"/>
    <w:rsid w:val="55550727"/>
    <w:rsid w:val="55645A13"/>
    <w:rsid w:val="5565424B"/>
    <w:rsid w:val="556D65BD"/>
    <w:rsid w:val="556F0F67"/>
    <w:rsid w:val="556F2540"/>
    <w:rsid w:val="557356F8"/>
    <w:rsid w:val="55742D47"/>
    <w:rsid w:val="55750A21"/>
    <w:rsid w:val="557A39E1"/>
    <w:rsid w:val="557B3550"/>
    <w:rsid w:val="557C4DA9"/>
    <w:rsid w:val="557E3ED3"/>
    <w:rsid w:val="557F723A"/>
    <w:rsid w:val="558E3234"/>
    <w:rsid w:val="5592575E"/>
    <w:rsid w:val="559559F1"/>
    <w:rsid w:val="55963C27"/>
    <w:rsid w:val="5598492B"/>
    <w:rsid w:val="559850A1"/>
    <w:rsid w:val="55993C8D"/>
    <w:rsid w:val="55995706"/>
    <w:rsid w:val="55996C95"/>
    <w:rsid w:val="559A1759"/>
    <w:rsid w:val="559E060E"/>
    <w:rsid w:val="55A167E1"/>
    <w:rsid w:val="55A169DE"/>
    <w:rsid w:val="55A3630F"/>
    <w:rsid w:val="55A4133D"/>
    <w:rsid w:val="55A418F7"/>
    <w:rsid w:val="55A7765A"/>
    <w:rsid w:val="55B17A62"/>
    <w:rsid w:val="55B57889"/>
    <w:rsid w:val="55BB772E"/>
    <w:rsid w:val="55BD0F45"/>
    <w:rsid w:val="55BD215C"/>
    <w:rsid w:val="55C342ED"/>
    <w:rsid w:val="55C75DC7"/>
    <w:rsid w:val="55CE6522"/>
    <w:rsid w:val="55DF7344"/>
    <w:rsid w:val="55E42271"/>
    <w:rsid w:val="55E9130C"/>
    <w:rsid w:val="55EB2060"/>
    <w:rsid w:val="55EE09DB"/>
    <w:rsid w:val="55F81FB1"/>
    <w:rsid w:val="55F96206"/>
    <w:rsid w:val="55FF0618"/>
    <w:rsid w:val="560231F5"/>
    <w:rsid w:val="56031709"/>
    <w:rsid w:val="560F6636"/>
    <w:rsid w:val="56124935"/>
    <w:rsid w:val="56146947"/>
    <w:rsid w:val="56156AD8"/>
    <w:rsid w:val="56195833"/>
    <w:rsid w:val="561B4351"/>
    <w:rsid w:val="561C04E5"/>
    <w:rsid w:val="56214C30"/>
    <w:rsid w:val="56252534"/>
    <w:rsid w:val="56255C2E"/>
    <w:rsid w:val="56287D98"/>
    <w:rsid w:val="56296C49"/>
    <w:rsid w:val="562B478D"/>
    <w:rsid w:val="56344E8B"/>
    <w:rsid w:val="563C2432"/>
    <w:rsid w:val="564100FF"/>
    <w:rsid w:val="56413F00"/>
    <w:rsid w:val="565A187B"/>
    <w:rsid w:val="566440E4"/>
    <w:rsid w:val="56661A38"/>
    <w:rsid w:val="56683308"/>
    <w:rsid w:val="566B4869"/>
    <w:rsid w:val="566B72D0"/>
    <w:rsid w:val="56732350"/>
    <w:rsid w:val="56742594"/>
    <w:rsid w:val="5678475E"/>
    <w:rsid w:val="567E1385"/>
    <w:rsid w:val="568142AD"/>
    <w:rsid w:val="56893184"/>
    <w:rsid w:val="56903A3D"/>
    <w:rsid w:val="569218F8"/>
    <w:rsid w:val="56956E4C"/>
    <w:rsid w:val="569A07E5"/>
    <w:rsid w:val="56A05374"/>
    <w:rsid w:val="56A81CA5"/>
    <w:rsid w:val="56AB16C6"/>
    <w:rsid w:val="56AB7334"/>
    <w:rsid w:val="56AD5484"/>
    <w:rsid w:val="56B03116"/>
    <w:rsid w:val="56B81671"/>
    <w:rsid w:val="56BB100F"/>
    <w:rsid w:val="56BD0763"/>
    <w:rsid w:val="56C12C13"/>
    <w:rsid w:val="56C31D06"/>
    <w:rsid w:val="56C87807"/>
    <w:rsid w:val="56CD43D9"/>
    <w:rsid w:val="56CE675F"/>
    <w:rsid w:val="56CF60C1"/>
    <w:rsid w:val="56D01FC5"/>
    <w:rsid w:val="56D66FD1"/>
    <w:rsid w:val="56D73A5A"/>
    <w:rsid w:val="56DD5C21"/>
    <w:rsid w:val="56DD6AE9"/>
    <w:rsid w:val="56EC6F1B"/>
    <w:rsid w:val="56F03E55"/>
    <w:rsid w:val="56F7067C"/>
    <w:rsid w:val="56F84E2E"/>
    <w:rsid w:val="56FC7DD5"/>
    <w:rsid w:val="56FF6111"/>
    <w:rsid w:val="57024051"/>
    <w:rsid w:val="570748FB"/>
    <w:rsid w:val="57081DCD"/>
    <w:rsid w:val="570E51C7"/>
    <w:rsid w:val="57113EE3"/>
    <w:rsid w:val="57116B02"/>
    <w:rsid w:val="57150DCA"/>
    <w:rsid w:val="571D6605"/>
    <w:rsid w:val="571E6F2B"/>
    <w:rsid w:val="5723571F"/>
    <w:rsid w:val="572B1051"/>
    <w:rsid w:val="572D132B"/>
    <w:rsid w:val="572F2AFA"/>
    <w:rsid w:val="572F59DF"/>
    <w:rsid w:val="573A33BD"/>
    <w:rsid w:val="573C0F63"/>
    <w:rsid w:val="57414D9E"/>
    <w:rsid w:val="5747064E"/>
    <w:rsid w:val="574F1014"/>
    <w:rsid w:val="575101F4"/>
    <w:rsid w:val="57552184"/>
    <w:rsid w:val="57557B60"/>
    <w:rsid w:val="5756028B"/>
    <w:rsid w:val="575A1C18"/>
    <w:rsid w:val="575B2383"/>
    <w:rsid w:val="575E6B8C"/>
    <w:rsid w:val="576320DA"/>
    <w:rsid w:val="57691BBB"/>
    <w:rsid w:val="576C406C"/>
    <w:rsid w:val="576D6BF1"/>
    <w:rsid w:val="576E10D4"/>
    <w:rsid w:val="577128B2"/>
    <w:rsid w:val="577519A5"/>
    <w:rsid w:val="577C5A6F"/>
    <w:rsid w:val="577F2691"/>
    <w:rsid w:val="57831510"/>
    <w:rsid w:val="57843F31"/>
    <w:rsid w:val="57851770"/>
    <w:rsid w:val="578A086A"/>
    <w:rsid w:val="578A3940"/>
    <w:rsid w:val="578D482D"/>
    <w:rsid w:val="579174BD"/>
    <w:rsid w:val="57963D12"/>
    <w:rsid w:val="57981DD2"/>
    <w:rsid w:val="579A450A"/>
    <w:rsid w:val="579C1195"/>
    <w:rsid w:val="579D6019"/>
    <w:rsid w:val="579F367C"/>
    <w:rsid w:val="57AC0DEF"/>
    <w:rsid w:val="57AF3621"/>
    <w:rsid w:val="57AF5607"/>
    <w:rsid w:val="57B16A7E"/>
    <w:rsid w:val="57B3074F"/>
    <w:rsid w:val="57B955C3"/>
    <w:rsid w:val="57C57B4C"/>
    <w:rsid w:val="57C76323"/>
    <w:rsid w:val="57C8162C"/>
    <w:rsid w:val="57C87237"/>
    <w:rsid w:val="57C9154F"/>
    <w:rsid w:val="57CC3A73"/>
    <w:rsid w:val="57CE3989"/>
    <w:rsid w:val="57D801E7"/>
    <w:rsid w:val="57DD1609"/>
    <w:rsid w:val="57E0209C"/>
    <w:rsid w:val="57E05B5C"/>
    <w:rsid w:val="57ED7E33"/>
    <w:rsid w:val="57F562D2"/>
    <w:rsid w:val="57FA0AFB"/>
    <w:rsid w:val="5807108B"/>
    <w:rsid w:val="580B35B5"/>
    <w:rsid w:val="580E12EF"/>
    <w:rsid w:val="58170BAB"/>
    <w:rsid w:val="5818164F"/>
    <w:rsid w:val="58300963"/>
    <w:rsid w:val="5830442F"/>
    <w:rsid w:val="58331F3C"/>
    <w:rsid w:val="58362D25"/>
    <w:rsid w:val="583A36A5"/>
    <w:rsid w:val="58461696"/>
    <w:rsid w:val="58480485"/>
    <w:rsid w:val="584A54D0"/>
    <w:rsid w:val="584B0D19"/>
    <w:rsid w:val="584B4A2D"/>
    <w:rsid w:val="584D3542"/>
    <w:rsid w:val="584F59CD"/>
    <w:rsid w:val="5850275B"/>
    <w:rsid w:val="58503805"/>
    <w:rsid w:val="58511FAE"/>
    <w:rsid w:val="585174B5"/>
    <w:rsid w:val="58530FDF"/>
    <w:rsid w:val="58535B8A"/>
    <w:rsid w:val="58586785"/>
    <w:rsid w:val="58602C8E"/>
    <w:rsid w:val="586156BC"/>
    <w:rsid w:val="586B39B8"/>
    <w:rsid w:val="586D198A"/>
    <w:rsid w:val="586D40C9"/>
    <w:rsid w:val="58757F56"/>
    <w:rsid w:val="5877280A"/>
    <w:rsid w:val="58793A89"/>
    <w:rsid w:val="587C5520"/>
    <w:rsid w:val="58862CF9"/>
    <w:rsid w:val="588D0CCD"/>
    <w:rsid w:val="589509FC"/>
    <w:rsid w:val="58964F64"/>
    <w:rsid w:val="589D734D"/>
    <w:rsid w:val="589E6EA5"/>
    <w:rsid w:val="58A05ED6"/>
    <w:rsid w:val="58A40982"/>
    <w:rsid w:val="58A43B15"/>
    <w:rsid w:val="58A66B84"/>
    <w:rsid w:val="58AA07B1"/>
    <w:rsid w:val="58AB4A8F"/>
    <w:rsid w:val="58AE7C02"/>
    <w:rsid w:val="58B41DA8"/>
    <w:rsid w:val="58B9611B"/>
    <w:rsid w:val="58BA28A2"/>
    <w:rsid w:val="58BF2498"/>
    <w:rsid w:val="58C05A64"/>
    <w:rsid w:val="58C92B79"/>
    <w:rsid w:val="58CD6397"/>
    <w:rsid w:val="58D05354"/>
    <w:rsid w:val="58D27331"/>
    <w:rsid w:val="58D31800"/>
    <w:rsid w:val="58D43644"/>
    <w:rsid w:val="58DB0EE0"/>
    <w:rsid w:val="58DD1DB6"/>
    <w:rsid w:val="58DD2684"/>
    <w:rsid w:val="58E83B2A"/>
    <w:rsid w:val="58EC3F19"/>
    <w:rsid w:val="58EC7A55"/>
    <w:rsid w:val="58ED71BC"/>
    <w:rsid w:val="58F03D84"/>
    <w:rsid w:val="58F42D39"/>
    <w:rsid w:val="58F64DD8"/>
    <w:rsid w:val="5903320B"/>
    <w:rsid w:val="59051ACA"/>
    <w:rsid w:val="590C441C"/>
    <w:rsid w:val="590C6218"/>
    <w:rsid w:val="590E7B06"/>
    <w:rsid w:val="591317DC"/>
    <w:rsid w:val="591332F6"/>
    <w:rsid w:val="5918372B"/>
    <w:rsid w:val="591A14EE"/>
    <w:rsid w:val="591B7E24"/>
    <w:rsid w:val="591C0E06"/>
    <w:rsid w:val="59204BF9"/>
    <w:rsid w:val="5923756C"/>
    <w:rsid w:val="592637EF"/>
    <w:rsid w:val="59271EBA"/>
    <w:rsid w:val="592B5C16"/>
    <w:rsid w:val="593512A7"/>
    <w:rsid w:val="59381B32"/>
    <w:rsid w:val="593A2D1F"/>
    <w:rsid w:val="593B79A0"/>
    <w:rsid w:val="593D079D"/>
    <w:rsid w:val="593D625A"/>
    <w:rsid w:val="594034A1"/>
    <w:rsid w:val="5949118A"/>
    <w:rsid w:val="594A2C28"/>
    <w:rsid w:val="594B0277"/>
    <w:rsid w:val="59501B99"/>
    <w:rsid w:val="59503531"/>
    <w:rsid w:val="595163C4"/>
    <w:rsid w:val="5956792A"/>
    <w:rsid w:val="59581AE8"/>
    <w:rsid w:val="595B5C54"/>
    <w:rsid w:val="595E66C5"/>
    <w:rsid w:val="595F030D"/>
    <w:rsid w:val="59612E56"/>
    <w:rsid w:val="596377E1"/>
    <w:rsid w:val="596D7E2C"/>
    <w:rsid w:val="59794F7C"/>
    <w:rsid w:val="597E0041"/>
    <w:rsid w:val="597E4AE5"/>
    <w:rsid w:val="59801DF7"/>
    <w:rsid w:val="59815B63"/>
    <w:rsid w:val="59892F89"/>
    <w:rsid w:val="598D7DCE"/>
    <w:rsid w:val="598E1769"/>
    <w:rsid w:val="598E42F4"/>
    <w:rsid w:val="5997539E"/>
    <w:rsid w:val="599D45CA"/>
    <w:rsid w:val="59A035BF"/>
    <w:rsid w:val="59A13CF7"/>
    <w:rsid w:val="59A55577"/>
    <w:rsid w:val="59A90AB5"/>
    <w:rsid w:val="59AD2D8E"/>
    <w:rsid w:val="59B038F5"/>
    <w:rsid w:val="59BD183F"/>
    <w:rsid w:val="59C01689"/>
    <w:rsid w:val="59C93C41"/>
    <w:rsid w:val="59CB6CEF"/>
    <w:rsid w:val="59CC5086"/>
    <w:rsid w:val="59D1501E"/>
    <w:rsid w:val="59D469AC"/>
    <w:rsid w:val="59D75843"/>
    <w:rsid w:val="59D976EC"/>
    <w:rsid w:val="59DE747C"/>
    <w:rsid w:val="59E25D99"/>
    <w:rsid w:val="59EB22FD"/>
    <w:rsid w:val="59F66B0E"/>
    <w:rsid w:val="59FD0B2D"/>
    <w:rsid w:val="59FE4997"/>
    <w:rsid w:val="5A065B83"/>
    <w:rsid w:val="5A086CC2"/>
    <w:rsid w:val="5A0E4B06"/>
    <w:rsid w:val="5A160F06"/>
    <w:rsid w:val="5A16200E"/>
    <w:rsid w:val="5A263770"/>
    <w:rsid w:val="5A267BBB"/>
    <w:rsid w:val="5A2777E6"/>
    <w:rsid w:val="5A334ED4"/>
    <w:rsid w:val="5A37705F"/>
    <w:rsid w:val="5A39407E"/>
    <w:rsid w:val="5A3A265D"/>
    <w:rsid w:val="5A404179"/>
    <w:rsid w:val="5A442622"/>
    <w:rsid w:val="5A443F86"/>
    <w:rsid w:val="5A455534"/>
    <w:rsid w:val="5A49546D"/>
    <w:rsid w:val="5A585386"/>
    <w:rsid w:val="5A593F1A"/>
    <w:rsid w:val="5A5E252C"/>
    <w:rsid w:val="5A5F2979"/>
    <w:rsid w:val="5A677F24"/>
    <w:rsid w:val="5A6D5348"/>
    <w:rsid w:val="5A6E3141"/>
    <w:rsid w:val="5A7065FA"/>
    <w:rsid w:val="5A7E28BE"/>
    <w:rsid w:val="5A7E75AF"/>
    <w:rsid w:val="5A81301E"/>
    <w:rsid w:val="5A827621"/>
    <w:rsid w:val="5A8355D1"/>
    <w:rsid w:val="5A840A59"/>
    <w:rsid w:val="5AAB016C"/>
    <w:rsid w:val="5AAB3AA0"/>
    <w:rsid w:val="5AAC0B6D"/>
    <w:rsid w:val="5AAD161C"/>
    <w:rsid w:val="5AAF0732"/>
    <w:rsid w:val="5AB31222"/>
    <w:rsid w:val="5AB526F7"/>
    <w:rsid w:val="5AB6209E"/>
    <w:rsid w:val="5ABA06A7"/>
    <w:rsid w:val="5AC2758C"/>
    <w:rsid w:val="5AC4451F"/>
    <w:rsid w:val="5AC8286C"/>
    <w:rsid w:val="5AD068A6"/>
    <w:rsid w:val="5ADA1651"/>
    <w:rsid w:val="5ADC0D2B"/>
    <w:rsid w:val="5ADE699D"/>
    <w:rsid w:val="5AE000A7"/>
    <w:rsid w:val="5AE96013"/>
    <w:rsid w:val="5AEB1C01"/>
    <w:rsid w:val="5AEB3AA1"/>
    <w:rsid w:val="5AF04484"/>
    <w:rsid w:val="5AF114BE"/>
    <w:rsid w:val="5AF2268D"/>
    <w:rsid w:val="5AF60D0E"/>
    <w:rsid w:val="5AF96421"/>
    <w:rsid w:val="5AFB1CE6"/>
    <w:rsid w:val="5AFB339F"/>
    <w:rsid w:val="5B025DCA"/>
    <w:rsid w:val="5B0403F4"/>
    <w:rsid w:val="5B1651A2"/>
    <w:rsid w:val="5B1709DA"/>
    <w:rsid w:val="5B2019AE"/>
    <w:rsid w:val="5B24683B"/>
    <w:rsid w:val="5B25505E"/>
    <w:rsid w:val="5B3306D4"/>
    <w:rsid w:val="5B367D28"/>
    <w:rsid w:val="5B37576E"/>
    <w:rsid w:val="5B3E6816"/>
    <w:rsid w:val="5B411BB8"/>
    <w:rsid w:val="5B4C529B"/>
    <w:rsid w:val="5B5918D0"/>
    <w:rsid w:val="5B5A603D"/>
    <w:rsid w:val="5B5D261E"/>
    <w:rsid w:val="5B5D6FF9"/>
    <w:rsid w:val="5B6368C4"/>
    <w:rsid w:val="5B6C0A37"/>
    <w:rsid w:val="5B6C5077"/>
    <w:rsid w:val="5B6D1550"/>
    <w:rsid w:val="5B6D7BE8"/>
    <w:rsid w:val="5B7215A6"/>
    <w:rsid w:val="5B733D61"/>
    <w:rsid w:val="5B787716"/>
    <w:rsid w:val="5B792F2E"/>
    <w:rsid w:val="5B827EE8"/>
    <w:rsid w:val="5B84442A"/>
    <w:rsid w:val="5B8F499F"/>
    <w:rsid w:val="5B9141E1"/>
    <w:rsid w:val="5B921F4C"/>
    <w:rsid w:val="5BA03CED"/>
    <w:rsid w:val="5BA3296B"/>
    <w:rsid w:val="5BA44537"/>
    <w:rsid w:val="5BA70AC4"/>
    <w:rsid w:val="5BA93770"/>
    <w:rsid w:val="5BAD37D0"/>
    <w:rsid w:val="5BB33194"/>
    <w:rsid w:val="5BB453DB"/>
    <w:rsid w:val="5BB74407"/>
    <w:rsid w:val="5BC5177A"/>
    <w:rsid w:val="5BC533B1"/>
    <w:rsid w:val="5BC56F2A"/>
    <w:rsid w:val="5BCD10CB"/>
    <w:rsid w:val="5BD116BD"/>
    <w:rsid w:val="5BDA10BB"/>
    <w:rsid w:val="5BE927C6"/>
    <w:rsid w:val="5BEA13AF"/>
    <w:rsid w:val="5BED0946"/>
    <w:rsid w:val="5BF47336"/>
    <w:rsid w:val="5BF906B9"/>
    <w:rsid w:val="5BFE54CB"/>
    <w:rsid w:val="5C020037"/>
    <w:rsid w:val="5C055E66"/>
    <w:rsid w:val="5C0C6AB8"/>
    <w:rsid w:val="5C0D5AC7"/>
    <w:rsid w:val="5C114603"/>
    <w:rsid w:val="5C1464C6"/>
    <w:rsid w:val="5C175CB2"/>
    <w:rsid w:val="5C1A4446"/>
    <w:rsid w:val="5C1B25E5"/>
    <w:rsid w:val="5C1B444A"/>
    <w:rsid w:val="5C221EC5"/>
    <w:rsid w:val="5C2A7AF9"/>
    <w:rsid w:val="5C2D5D3D"/>
    <w:rsid w:val="5C2E399C"/>
    <w:rsid w:val="5C2E4D64"/>
    <w:rsid w:val="5C3061FE"/>
    <w:rsid w:val="5C332968"/>
    <w:rsid w:val="5C365C43"/>
    <w:rsid w:val="5C390E81"/>
    <w:rsid w:val="5C3E4220"/>
    <w:rsid w:val="5C43612F"/>
    <w:rsid w:val="5C4855B2"/>
    <w:rsid w:val="5C502D19"/>
    <w:rsid w:val="5C553505"/>
    <w:rsid w:val="5C560FCB"/>
    <w:rsid w:val="5C5612B2"/>
    <w:rsid w:val="5C621F2A"/>
    <w:rsid w:val="5C6321E5"/>
    <w:rsid w:val="5C640004"/>
    <w:rsid w:val="5C65131F"/>
    <w:rsid w:val="5C6765AF"/>
    <w:rsid w:val="5C6C1B86"/>
    <w:rsid w:val="5C6C3DEB"/>
    <w:rsid w:val="5C6E33F6"/>
    <w:rsid w:val="5C703F6B"/>
    <w:rsid w:val="5C710DEF"/>
    <w:rsid w:val="5C7375E4"/>
    <w:rsid w:val="5C7575D1"/>
    <w:rsid w:val="5C7727DC"/>
    <w:rsid w:val="5C773B38"/>
    <w:rsid w:val="5C7E6A1F"/>
    <w:rsid w:val="5C847D6F"/>
    <w:rsid w:val="5C8716B0"/>
    <w:rsid w:val="5C913C98"/>
    <w:rsid w:val="5CA05B68"/>
    <w:rsid w:val="5CA96FCA"/>
    <w:rsid w:val="5CAE53E6"/>
    <w:rsid w:val="5CC16823"/>
    <w:rsid w:val="5CC45441"/>
    <w:rsid w:val="5CD270C8"/>
    <w:rsid w:val="5CD67575"/>
    <w:rsid w:val="5CD73697"/>
    <w:rsid w:val="5CD778E5"/>
    <w:rsid w:val="5CD971B8"/>
    <w:rsid w:val="5CE40FC7"/>
    <w:rsid w:val="5CE607DE"/>
    <w:rsid w:val="5CE746C8"/>
    <w:rsid w:val="5CEB084E"/>
    <w:rsid w:val="5CEE36ED"/>
    <w:rsid w:val="5D011900"/>
    <w:rsid w:val="5D035A07"/>
    <w:rsid w:val="5D042994"/>
    <w:rsid w:val="5D0F1FC9"/>
    <w:rsid w:val="5D115511"/>
    <w:rsid w:val="5D11583C"/>
    <w:rsid w:val="5D130705"/>
    <w:rsid w:val="5D184B58"/>
    <w:rsid w:val="5D187473"/>
    <w:rsid w:val="5D1B0EEE"/>
    <w:rsid w:val="5D240B43"/>
    <w:rsid w:val="5D386C1F"/>
    <w:rsid w:val="5D3F12BC"/>
    <w:rsid w:val="5D423747"/>
    <w:rsid w:val="5D4618AF"/>
    <w:rsid w:val="5D497514"/>
    <w:rsid w:val="5D4C1291"/>
    <w:rsid w:val="5D4D0E1C"/>
    <w:rsid w:val="5D4E25FB"/>
    <w:rsid w:val="5D4F2935"/>
    <w:rsid w:val="5D4F6DD8"/>
    <w:rsid w:val="5D5A1F03"/>
    <w:rsid w:val="5D620DB3"/>
    <w:rsid w:val="5D621229"/>
    <w:rsid w:val="5D742B98"/>
    <w:rsid w:val="5D7614E6"/>
    <w:rsid w:val="5D7C2847"/>
    <w:rsid w:val="5D7E3D6E"/>
    <w:rsid w:val="5D7E559A"/>
    <w:rsid w:val="5D8E6795"/>
    <w:rsid w:val="5D931412"/>
    <w:rsid w:val="5D951EAA"/>
    <w:rsid w:val="5D994C9A"/>
    <w:rsid w:val="5D9A62B2"/>
    <w:rsid w:val="5DA972AD"/>
    <w:rsid w:val="5DAA5220"/>
    <w:rsid w:val="5DAE705B"/>
    <w:rsid w:val="5DB35296"/>
    <w:rsid w:val="5DB948F4"/>
    <w:rsid w:val="5DC00D9B"/>
    <w:rsid w:val="5DC04AAF"/>
    <w:rsid w:val="5DC906DD"/>
    <w:rsid w:val="5DCB670D"/>
    <w:rsid w:val="5DCE5B18"/>
    <w:rsid w:val="5DD819DB"/>
    <w:rsid w:val="5DE32BF0"/>
    <w:rsid w:val="5DEF3E22"/>
    <w:rsid w:val="5DF0584F"/>
    <w:rsid w:val="5E022667"/>
    <w:rsid w:val="5E053D14"/>
    <w:rsid w:val="5E07742B"/>
    <w:rsid w:val="5E0C03D0"/>
    <w:rsid w:val="5E0D430D"/>
    <w:rsid w:val="5E0F77C2"/>
    <w:rsid w:val="5E1205CE"/>
    <w:rsid w:val="5E1501D8"/>
    <w:rsid w:val="5E1502AE"/>
    <w:rsid w:val="5E153D96"/>
    <w:rsid w:val="5E1618E0"/>
    <w:rsid w:val="5E1E2790"/>
    <w:rsid w:val="5E20052E"/>
    <w:rsid w:val="5E24204F"/>
    <w:rsid w:val="5E244C04"/>
    <w:rsid w:val="5E2544AA"/>
    <w:rsid w:val="5E3068ED"/>
    <w:rsid w:val="5E347161"/>
    <w:rsid w:val="5E3C15E4"/>
    <w:rsid w:val="5E3D43C5"/>
    <w:rsid w:val="5E40638D"/>
    <w:rsid w:val="5E436DCA"/>
    <w:rsid w:val="5E5A7FAE"/>
    <w:rsid w:val="5E5B3C03"/>
    <w:rsid w:val="5E5E607A"/>
    <w:rsid w:val="5E616A22"/>
    <w:rsid w:val="5E627A38"/>
    <w:rsid w:val="5E635E69"/>
    <w:rsid w:val="5E6A68C7"/>
    <w:rsid w:val="5E6B4E0A"/>
    <w:rsid w:val="5E6E5C4A"/>
    <w:rsid w:val="5E796BC8"/>
    <w:rsid w:val="5E811B64"/>
    <w:rsid w:val="5E87003C"/>
    <w:rsid w:val="5E9336CA"/>
    <w:rsid w:val="5E96793A"/>
    <w:rsid w:val="5E9A69AD"/>
    <w:rsid w:val="5E9C6787"/>
    <w:rsid w:val="5E9D4F09"/>
    <w:rsid w:val="5E9F4E52"/>
    <w:rsid w:val="5EA43A03"/>
    <w:rsid w:val="5EA440D1"/>
    <w:rsid w:val="5EA94187"/>
    <w:rsid w:val="5EB10FF0"/>
    <w:rsid w:val="5EB22BA3"/>
    <w:rsid w:val="5EB42C4E"/>
    <w:rsid w:val="5EB70DC9"/>
    <w:rsid w:val="5EBC0609"/>
    <w:rsid w:val="5EBC06F4"/>
    <w:rsid w:val="5EC06C81"/>
    <w:rsid w:val="5EC41478"/>
    <w:rsid w:val="5EC6165D"/>
    <w:rsid w:val="5ED74C40"/>
    <w:rsid w:val="5ED805CA"/>
    <w:rsid w:val="5EDD6DF2"/>
    <w:rsid w:val="5EDE6A97"/>
    <w:rsid w:val="5EE17DDE"/>
    <w:rsid w:val="5EE52399"/>
    <w:rsid w:val="5EE62D4B"/>
    <w:rsid w:val="5EED6ACC"/>
    <w:rsid w:val="5EEF178A"/>
    <w:rsid w:val="5EF01136"/>
    <w:rsid w:val="5EF04DFC"/>
    <w:rsid w:val="5EFD6A63"/>
    <w:rsid w:val="5EFF2CEF"/>
    <w:rsid w:val="5F001787"/>
    <w:rsid w:val="5F006D03"/>
    <w:rsid w:val="5F031F4A"/>
    <w:rsid w:val="5F0346EA"/>
    <w:rsid w:val="5F0C7FED"/>
    <w:rsid w:val="5F0D18D4"/>
    <w:rsid w:val="5F0F1D5F"/>
    <w:rsid w:val="5F255860"/>
    <w:rsid w:val="5F326CA4"/>
    <w:rsid w:val="5F3779D8"/>
    <w:rsid w:val="5F4228F4"/>
    <w:rsid w:val="5F43473B"/>
    <w:rsid w:val="5F4440CA"/>
    <w:rsid w:val="5F453372"/>
    <w:rsid w:val="5F47344A"/>
    <w:rsid w:val="5F4B19BD"/>
    <w:rsid w:val="5F4B62BE"/>
    <w:rsid w:val="5F541415"/>
    <w:rsid w:val="5F5D130C"/>
    <w:rsid w:val="5F601FEE"/>
    <w:rsid w:val="5F660901"/>
    <w:rsid w:val="5F670FA0"/>
    <w:rsid w:val="5F672D3A"/>
    <w:rsid w:val="5F705BB7"/>
    <w:rsid w:val="5F730DF8"/>
    <w:rsid w:val="5F774BD0"/>
    <w:rsid w:val="5F794656"/>
    <w:rsid w:val="5F796870"/>
    <w:rsid w:val="5F82441F"/>
    <w:rsid w:val="5F872C19"/>
    <w:rsid w:val="5F942FED"/>
    <w:rsid w:val="5F96506F"/>
    <w:rsid w:val="5FA20A38"/>
    <w:rsid w:val="5FA500DB"/>
    <w:rsid w:val="5FB20365"/>
    <w:rsid w:val="5FB7368B"/>
    <w:rsid w:val="5FB739EE"/>
    <w:rsid w:val="5FB7798B"/>
    <w:rsid w:val="5FB86262"/>
    <w:rsid w:val="5FBF13E6"/>
    <w:rsid w:val="5FBF476E"/>
    <w:rsid w:val="5FC17B54"/>
    <w:rsid w:val="5FC24192"/>
    <w:rsid w:val="5FCE1D88"/>
    <w:rsid w:val="5FCE3444"/>
    <w:rsid w:val="5FD50E72"/>
    <w:rsid w:val="5FD74050"/>
    <w:rsid w:val="5FE0385D"/>
    <w:rsid w:val="5FE54BE2"/>
    <w:rsid w:val="5FE87200"/>
    <w:rsid w:val="5FEE024C"/>
    <w:rsid w:val="5FEF2068"/>
    <w:rsid w:val="5FFA0786"/>
    <w:rsid w:val="5FFD5E92"/>
    <w:rsid w:val="60014D02"/>
    <w:rsid w:val="60082B30"/>
    <w:rsid w:val="600E1383"/>
    <w:rsid w:val="600E27C3"/>
    <w:rsid w:val="600E490F"/>
    <w:rsid w:val="601273E2"/>
    <w:rsid w:val="6016249E"/>
    <w:rsid w:val="60184C06"/>
    <w:rsid w:val="601A14F3"/>
    <w:rsid w:val="602937A0"/>
    <w:rsid w:val="60352E05"/>
    <w:rsid w:val="60363590"/>
    <w:rsid w:val="60376D1D"/>
    <w:rsid w:val="60381FD4"/>
    <w:rsid w:val="603C777F"/>
    <w:rsid w:val="603E3D94"/>
    <w:rsid w:val="603F6F45"/>
    <w:rsid w:val="60416F64"/>
    <w:rsid w:val="60454D23"/>
    <w:rsid w:val="60641330"/>
    <w:rsid w:val="6064696A"/>
    <w:rsid w:val="60735C12"/>
    <w:rsid w:val="607759E2"/>
    <w:rsid w:val="60792861"/>
    <w:rsid w:val="60796EAB"/>
    <w:rsid w:val="607F6E8F"/>
    <w:rsid w:val="60897C6F"/>
    <w:rsid w:val="608B7FD5"/>
    <w:rsid w:val="609034DA"/>
    <w:rsid w:val="60956B62"/>
    <w:rsid w:val="609B60ED"/>
    <w:rsid w:val="609F1A11"/>
    <w:rsid w:val="60A4147A"/>
    <w:rsid w:val="60AA4D2B"/>
    <w:rsid w:val="60AC498E"/>
    <w:rsid w:val="60AE35D4"/>
    <w:rsid w:val="60B10FF4"/>
    <w:rsid w:val="60B22E45"/>
    <w:rsid w:val="60B303E2"/>
    <w:rsid w:val="60B66FBF"/>
    <w:rsid w:val="60BD6284"/>
    <w:rsid w:val="60C36C62"/>
    <w:rsid w:val="60D11B71"/>
    <w:rsid w:val="60D350DC"/>
    <w:rsid w:val="60D41908"/>
    <w:rsid w:val="60DD2440"/>
    <w:rsid w:val="60E05E8C"/>
    <w:rsid w:val="60E72F85"/>
    <w:rsid w:val="60EB35AB"/>
    <w:rsid w:val="60F136C3"/>
    <w:rsid w:val="60F504EA"/>
    <w:rsid w:val="60F75A61"/>
    <w:rsid w:val="60F90B52"/>
    <w:rsid w:val="60F95DBA"/>
    <w:rsid w:val="60FC05DB"/>
    <w:rsid w:val="610059D9"/>
    <w:rsid w:val="61033600"/>
    <w:rsid w:val="610367CD"/>
    <w:rsid w:val="61057B5E"/>
    <w:rsid w:val="6106240B"/>
    <w:rsid w:val="61071363"/>
    <w:rsid w:val="61105268"/>
    <w:rsid w:val="611265F2"/>
    <w:rsid w:val="612116B9"/>
    <w:rsid w:val="6128774B"/>
    <w:rsid w:val="61296063"/>
    <w:rsid w:val="613664C7"/>
    <w:rsid w:val="61385671"/>
    <w:rsid w:val="613A0F8F"/>
    <w:rsid w:val="61416921"/>
    <w:rsid w:val="61457D3D"/>
    <w:rsid w:val="61491F8D"/>
    <w:rsid w:val="614F06FA"/>
    <w:rsid w:val="615046B1"/>
    <w:rsid w:val="615B4A62"/>
    <w:rsid w:val="615B6038"/>
    <w:rsid w:val="615C43AD"/>
    <w:rsid w:val="615F382E"/>
    <w:rsid w:val="61645AA8"/>
    <w:rsid w:val="61665650"/>
    <w:rsid w:val="616D3363"/>
    <w:rsid w:val="616E3B38"/>
    <w:rsid w:val="617013D1"/>
    <w:rsid w:val="617A3BC8"/>
    <w:rsid w:val="618003B2"/>
    <w:rsid w:val="61800DA3"/>
    <w:rsid w:val="618547BC"/>
    <w:rsid w:val="618B4B3E"/>
    <w:rsid w:val="61905783"/>
    <w:rsid w:val="6191421F"/>
    <w:rsid w:val="619640C9"/>
    <w:rsid w:val="619C40E6"/>
    <w:rsid w:val="619D4337"/>
    <w:rsid w:val="61A4125C"/>
    <w:rsid w:val="61A55789"/>
    <w:rsid w:val="61A77325"/>
    <w:rsid w:val="61AD5637"/>
    <w:rsid w:val="61AE4E34"/>
    <w:rsid w:val="61B32EFF"/>
    <w:rsid w:val="61B91C4D"/>
    <w:rsid w:val="61C0299F"/>
    <w:rsid w:val="61C04541"/>
    <w:rsid w:val="61C33BB7"/>
    <w:rsid w:val="61C33CE2"/>
    <w:rsid w:val="61C440CC"/>
    <w:rsid w:val="61C946A7"/>
    <w:rsid w:val="61CA00A6"/>
    <w:rsid w:val="61CF0F3D"/>
    <w:rsid w:val="61D16BB0"/>
    <w:rsid w:val="61D504EF"/>
    <w:rsid w:val="61D60270"/>
    <w:rsid w:val="61DA1C77"/>
    <w:rsid w:val="61E01816"/>
    <w:rsid w:val="61E5146B"/>
    <w:rsid w:val="61E54924"/>
    <w:rsid w:val="61E569D3"/>
    <w:rsid w:val="61E80027"/>
    <w:rsid w:val="61E95AEE"/>
    <w:rsid w:val="61EE3674"/>
    <w:rsid w:val="61EF7B5B"/>
    <w:rsid w:val="61F33596"/>
    <w:rsid w:val="61FC2770"/>
    <w:rsid w:val="61FE7558"/>
    <w:rsid w:val="61FF55FD"/>
    <w:rsid w:val="6203767C"/>
    <w:rsid w:val="620F26B1"/>
    <w:rsid w:val="62100A21"/>
    <w:rsid w:val="62143FEA"/>
    <w:rsid w:val="62170660"/>
    <w:rsid w:val="62173DD4"/>
    <w:rsid w:val="6218223E"/>
    <w:rsid w:val="621C3C3F"/>
    <w:rsid w:val="621E2060"/>
    <w:rsid w:val="621F78BD"/>
    <w:rsid w:val="6222235C"/>
    <w:rsid w:val="62266D8A"/>
    <w:rsid w:val="622677F2"/>
    <w:rsid w:val="6229063B"/>
    <w:rsid w:val="622920F0"/>
    <w:rsid w:val="622C2C8A"/>
    <w:rsid w:val="622D00B8"/>
    <w:rsid w:val="62301915"/>
    <w:rsid w:val="62326EB3"/>
    <w:rsid w:val="62347DA1"/>
    <w:rsid w:val="62357A6C"/>
    <w:rsid w:val="62361223"/>
    <w:rsid w:val="6246570E"/>
    <w:rsid w:val="624B15DA"/>
    <w:rsid w:val="624C617A"/>
    <w:rsid w:val="62505C10"/>
    <w:rsid w:val="62560365"/>
    <w:rsid w:val="62584407"/>
    <w:rsid w:val="625911AB"/>
    <w:rsid w:val="625A0CB7"/>
    <w:rsid w:val="625C3C85"/>
    <w:rsid w:val="625D314A"/>
    <w:rsid w:val="62656F07"/>
    <w:rsid w:val="62681467"/>
    <w:rsid w:val="626A1763"/>
    <w:rsid w:val="626C518A"/>
    <w:rsid w:val="626C6B6B"/>
    <w:rsid w:val="626F384D"/>
    <w:rsid w:val="6270731F"/>
    <w:rsid w:val="62711BDA"/>
    <w:rsid w:val="6271396A"/>
    <w:rsid w:val="62851BEE"/>
    <w:rsid w:val="628545BA"/>
    <w:rsid w:val="628914B3"/>
    <w:rsid w:val="628E0A3E"/>
    <w:rsid w:val="62907DE8"/>
    <w:rsid w:val="62923835"/>
    <w:rsid w:val="62A00B36"/>
    <w:rsid w:val="62A46736"/>
    <w:rsid w:val="62AE195E"/>
    <w:rsid w:val="62B16D7D"/>
    <w:rsid w:val="62BF3A51"/>
    <w:rsid w:val="62C71532"/>
    <w:rsid w:val="62CA0BB2"/>
    <w:rsid w:val="62CA587B"/>
    <w:rsid w:val="62D5067E"/>
    <w:rsid w:val="62D678AC"/>
    <w:rsid w:val="62D90FAD"/>
    <w:rsid w:val="62E23508"/>
    <w:rsid w:val="62F13CAD"/>
    <w:rsid w:val="62F35272"/>
    <w:rsid w:val="62F36E90"/>
    <w:rsid w:val="62F72480"/>
    <w:rsid w:val="62FA62AA"/>
    <w:rsid w:val="62FF5AD8"/>
    <w:rsid w:val="6304195B"/>
    <w:rsid w:val="63062B9A"/>
    <w:rsid w:val="63074F4E"/>
    <w:rsid w:val="63076F6F"/>
    <w:rsid w:val="630C4351"/>
    <w:rsid w:val="630E055A"/>
    <w:rsid w:val="63126236"/>
    <w:rsid w:val="631561B4"/>
    <w:rsid w:val="632E0F31"/>
    <w:rsid w:val="632F4F86"/>
    <w:rsid w:val="63302941"/>
    <w:rsid w:val="633330DB"/>
    <w:rsid w:val="63366426"/>
    <w:rsid w:val="63425CF8"/>
    <w:rsid w:val="63480C43"/>
    <w:rsid w:val="63543966"/>
    <w:rsid w:val="63583BD7"/>
    <w:rsid w:val="63593F2E"/>
    <w:rsid w:val="635B28E7"/>
    <w:rsid w:val="635D3C9A"/>
    <w:rsid w:val="636708DA"/>
    <w:rsid w:val="636864B9"/>
    <w:rsid w:val="63781E86"/>
    <w:rsid w:val="637820A5"/>
    <w:rsid w:val="637F77B2"/>
    <w:rsid w:val="63856DF8"/>
    <w:rsid w:val="63861308"/>
    <w:rsid w:val="6387454F"/>
    <w:rsid w:val="638D6290"/>
    <w:rsid w:val="638F259F"/>
    <w:rsid w:val="63924E08"/>
    <w:rsid w:val="63953F0D"/>
    <w:rsid w:val="63964F78"/>
    <w:rsid w:val="63984052"/>
    <w:rsid w:val="63997E8A"/>
    <w:rsid w:val="639D69A6"/>
    <w:rsid w:val="639E285B"/>
    <w:rsid w:val="63A11128"/>
    <w:rsid w:val="63A41B82"/>
    <w:rsid w:val="63A52330"/>
    <w:rsid w:val="63A57587"/>
    <w:rsid w:val="63AA1E1C"/>
    <w:rsid w:val="63AF6E67"/>
    <w:rsid w:val="63B8377E"/>
    <w:rsid w:val="63BC4427"/>
    <w:rsid w:val="63C13740"/>
    <w:rsid w:val="63C57122"/>
    <w:rsid w:val="63C73188"/>
    <w:rsid w:val="63CC077C"/>
    <w:rsid w:val="63D225DA"/>
    <w:rsid w:val="63D95080"/>
    <w:rsid w:val="63DA2059"/>
    <w:rsid w:val="63DF027D"/>
    <w:rsid w:val="63EF0E71"/>
    <w:rsid w:val="63FC3BCF"/>
    <w:rsid w:val="63FD30D9"/>
    <w:rsid w:val="63FE7731"/>
    <w:rsid w:val="64016AA6"/>
    <w:rsid w:val="64085BBC"/>
    <w:rsid w:val="640B1897"/>
    <w:rsid w:val="64123EBC"/>
    <w:rsid w:val="641A60F4"/>
    <w:rsid w:val="641B5B65"/>
    <w:rsid w:val="641E2C22"/>
    <w:rsid w:val="641E5781"/>
    <w:rsid w:val="642703F8"/>
    <w:rsid w:val="642814DC"/>
    <w:rsid w:val="642C0C59"/>
    <w:rsid w:val="6430327D"/>
    <w:rsid w:val="64344C9D"/>
    <w:rsid w:val="643B46FB"/>
    <w:rsid w:val="643D3B66"/>
    <w:rsid w:val="64425A2C"/>
    <w:rsid w:val="644318A4"/>
    <w:rsid w:val="64434A26"/>
    <w:rsid w:val="6445439D"/>
    <w:rsid w:val="644B753F"/>
    <w:rsid w:val="644D5358"/>
    <w:rsid w:val="64537916"/>
    <w:rsid w:val="645A13B1"/>
    <w:rsid w:val="64675E26"/>
    <w:rsid w:val="6468741B"/>
    <w:rsid w:val="646B092C"/>
    <w:rsid w:val="6472448C"/>
    <w:rsid w:val="64794560"/>
    <w:rsid w:val="648049B2"/>
    <w:rsid w:val="6480797D"/>
    <w:rsid w:val="64830592"/>
    <w:rsid w:val="64890967"/>
    <w:rsid w:val="649000BD"/>
    <w:rsid w:val="6492639A"/>
    <w:rsid w:val="64930E8B"/>
    <w:rsid w:val="64A41A94"/>
    <w:rsid w:val="64A83F5F"/>
    <w:rsid w:val="64B05C1E"/>
    <w:rsid w:val="64B05D1F"/>
    <w:rsid w:val="64B3500F"/>
    <w:rsid w:val="64B53A23"/>
    <w:rsid w:val="64BA11B8"/>
    <w:rsid w:val="64C40481"/>
    <w:rsid w:val="64C6384E"/>
    <w:rsid w:val="64CC123E"/>
    <w:rsid w:val="64D64A7C"/>
    <w:rsid w:val="64D921A3"/>
    <w:rsid w:val="64DB2169"/>
    <w:rsid w:val="64DD5966"/>
    <w:rsid w:val="64DE1988"/>
    <w:rsid w:val="64DF4BF5"/>
    <w:rsid w:val="64E42D87"/>
    <w:rsid w:val="64E512D1"/>
    <w:rsid w:val="64E7046B"/>
    <w:rsid w:val="64EB401B"/>
    <w:rsid w:val="64EC0F34"/>
    <w:rsid w:val="64F16076"/>
    <w:rsid w:val="64F2084D"/>
    <w:rsid w:val="64F35843"/>
    <w:rsid w:val="64F56FC0"/>
    <w:rsid w:val="64F9627D"/>
    <w:rsid w:val="64FF731B"/>
    <w:rsid w:val="65015A10"/>
    <w:rsid w:val="650222D9"/>
    <w:rsid w:val="65033E1D"/>
    <w:rsid w:val="65040303"/>
    <w:rsid w:val="65085148"/>
    <w:rsid w:val="650C3751"/>
    <w:rsid w:val="651B230C"/>
    <w:rsid w:val="651E6DDE"/>
    <w:rsid w:val="65215784"/>
    <w:rsid w:val="652502BC"/>
    <w:rsid w:val="65260A7D"/>
    <w:rsid w:val="652754FD"/>
    <w:rsid w:val="652E1024"/>
    <w:rsid w:val="652F6600"/>
    <w:rsid w:val="65353A0D"/>
    <w:rsid w:val="65370DAA"/>
    <w:rsid w:val="653A4744"/>
    <w:rsid w:val="653C5E04"/>
    <w:rsid w:val="653D03EE"/>
    <w:rsid w:val="65445C60"/>
    <w:rsid w:val="65454AD9"/>
    <w:rsid w:val="654A3DA2"/>
    <w:rsid w:val="654C077E"/>
    <w:rsid w:val="654E25A3"/>
    <w:rsid w:val="654F770D"/>
    <w:rsid w:val="65557FE1"/>
    <w:rsid w:val="65585184"/>
    <w:rsid w:val="655C6DC2"/>
    <w:rsid w:val="65615CCC"/>
    <w:rsid w:val="656678AD"/>
    <w:rsid w:val="65723428"/>
    <w:rsid w:val="65744740"/>
    <w:rsid w:val="65810325"/>
    <w:rsid w:val="658706AA"/>
    <w:rsid w:val="658727B4"/>
    <w:rsid w:val="658858CA"/>
    <w:rsid w:val="658A0120"/>
    <w:rsid w:val="658C376A"/>
    <w:rsid w:val="659075D1"/>
    <w:rsid w:val="659213C1"/>
    <w:rsid w:val="65937B22"/>
    <w:rsid w:val="65947ADE"/>
    <w:rsid w:val="65967BFC"/>
    <w:rsid w:val="659A07A8"/>
    <w:rsid w:val="659A43C0"/>
    <w:rsid w:val="659C2FAD"/>
    <w:rsid w:val="65A4611E"/>
    <w:rsid w:val="65A61FB5"/>
    <w:rsid w:val="65A7569E"/>
    <w:rsid w:val="65AC44A3"/>
    <w:rsid w:val="65B13BB7"/>
    <w:rsid w:val="65B5120C"/>
    <w:rsid w:val="65B568AA"/>
    <w:rsid w:val="65B76E86"/>
    <w:rsid w:val="65B85117"/>
    <w:rsid w:val="65BC1E98"/>
    <w:rsid w:val="65BF5F48"/>
    <w:rsid w:val="65C53F76"/>
    <w:rsid w:val="65C824A9"/>
    <w:rsid w:val="65C93650"/>
    <w:rsid w:val="65CD1BEE"/>
    <w:rsid w:val="65D63119"/>
    <w:rsid w:val="65D74665"/>
    <w:rsid w:val="65DB7801"/>
    <w:rsid w:val="65DE4D7B"/>
    <w:rsid w:val="65E7154B"/>
    <w:rsid w:val="65E87BEB"/>
    <w:rsid w:val="65F21D24"/>
    <w:rsid w:val="65F76647"/>
    <w:rsid w:val="66020D1E"/>
    <w:rsid w:val="66084C57"/>
    <w:rsid w:val="660A5B19"/>
    <w:rsid w:val="660C69F6"/>
    <w:rsid w:val="660D3449"/>
    <w:rsid w:val="660E2A43"/>
    <w:rsid w:val="661763D8"/>
    <w:rsid w:val="661A2F53"/>
    <w:rsid w:val="662E146B"/>
    <w:rsid w:val="662F02C5"/>
    <w:rsid w:val="6643101E"/>
    <w:rsid w:val="664B523C"/>
    <w:rsid w:val="66594346"/>
    <w:rsid w:val="665C13A3"/>
    <w:rsid w:val="665D0454"/>
    <w:rsid w:val="665F7EA8"/>
    <w:rsid w:val="66640AB7"/>
    <w:rsid w:val="666A0BC9"/>
    <w:rsid w:val="666E5739"/>
    <w:rsid w:val="66772BBB"/>
    <w:rsid w:val="66804475"/>
    <w:rsid w:val="66857614"/>
    <w:rsid w:val="668D064C"/>
    <w:rsid w:val="669D37E2"/>
    <w:rsid w:val="66A2770F"/>
    <w:rsid w:val="66A72957"/>
    <w:rsid w:val="66B215B0"/>
    <w:rsid w:val="66C54170"/>
    <w:rsid w:val="66C635EC"/>
    <w:rsid w:val="66CA2948"/>
    <w:rsid w:val="66CD4415"/>
    <w:rsid w:val="66D10E7E"/>
    <w:rsid w:val="66DA7F69"/>
    <w:rsid w:val="66DB7006"/>
    <w:rsid w:val="66E16474"/>
    <w:rsid w:val="66E37E59"/>
    <w:rsid w:val="66E83EC2"/>
    <w:rsid w:val="66ED2E49"/>
    <w:rsid w:val="66F66D92"/>
    <w:rsid w:val="66F771D1"/>
    <w:rsid w:val="66FB4BB6"/>
    <w:rsid w:val="66FD52E6"/>
    <w:rsid w:val="66FF47FD"/>
    <w:rsid w:val="67016391"/>
    <w:rsid w:val="671274AB"/>
    <w:rsid w:val="67180632"/>
    <w:rsid w:val="6718540F"/>
    <w:rsid w:val="67201A54"/>
    <w:rsid w:val="672830B3"/>
    <w:rsid w:val="672A71B0"/>
    <w:rsid w:val="672B262A"/>
    <w:rsid w:val="672B7610"/>
    <w:rsid w:val="672F136D"/>
    <w:rsid w:val="672F4AAD"/>
    <w:rsid w:val="67344F8A"/>
    <w:rsid w:val="6736075B"/>
    <w:rsid w:val="67384564"/>
    <w:rsid w:val="673A36C1"/>
    <w:rsid w:val="673B41E5"/>
    <w:rsid w:val="674E1798"/>
    <w:rsid w:val="674E48C9"/>
    <w:rsid w:val="674F4AF3"/>
    <w:rsid w:val="67652295"/>
    <w:rsid w:val="676E05C0"/>
    <w:rsid w:val="67707543"/>
    <w:rsid w:val="677B69E2"/>
    <w:rsid w:val="677D2216"/>
    <w:rsid w:val="67830D43"/>
    <w:rsid w:val="6784416E"/>
    <w:rsid w:val="6788406D"/>
    <w:rsid w:val="678C08AF"/>
    <w:rsid w:val="678D6840"/>
    <w:rsid w:val="67931663"/>
    <w:rsid w:val="67950855"/>
    <w:rsid w:val="679B1B33"/>
    <w:rsid w:val="679F5BE4"/>
    <w:rsid w:val="679F6D59"/>
    <w:rsid w:val="67A530EB"/>
    <w:rsid w:val="67AC56DC"/>
    <w:rsid w:val="67B26E6F"/>
    <w:rsid w:val="67B31CCB"/>
    <w:rsid w:val="67BE299C"/>
    <w:rsid w:val="67C021CB"/>
    <w:rsid w:val="67C0650C"/>
    <w:rsid w:val="67C40E53"/>
    <w:rsid w:val="67CB0841"/>
    <w:rsid w:val="67E316DE"/>
    <w:rsid w:val="67E528F0"/>
    <w:rsid w:val="67E73710"/>
    <w:rsid w:val="67F473C4"/>
    <w:rsid w:val="67F623DB"/>
    <w:rsid w:val="67F833D7"/>
    <w:rsid w:val="68006366"/>
    <w:rsid w:val="68023477"/>
    <w:rsid w:val="68040E82"/>
    <w:rsid w:val="68070901"/>
    <w:rsid w:val="68072BD5"/>
    <w:rsid w:val="68100054"/>
    <w:rsid w:val="681321B8"/>
    <w:rsid w:val="68154A5F"/>
    <w:rsid w:val="68166B54"/>
    <w:rsid w:val="68175017"/>
    <w:rsid w:val="681F4057"/>
    <w:rsid w:val="6820454E"/>
    <w:rsid w:val="682B2459"/>
    <w:rsid w:val="683104E7"/>
    <w:rsid w:val="68354395"/>
    <w:rsid w:val="6836487F"/>
    <w:rsid w:val="683824AE"/>
    <w:rsid w:val="683E239D"/>
    <w:rsid w:val="684131BE"/>
    <w:rsid w:val="68466610"/>
    <w:rsid w:val="68530EBA"/>
    <w:rsid w:val="685A39AD"/>
    <w:rsid w:val="685B7F9A"/>
    <w:rsid w:val="685D160A"/>
    <w:rsid w:val="685E53D1"/>
    <w:rsid w:val="686B1B16"/>
    <w:rsid w:val="686C0DCB"/>
    <w:rsid w:val="686C1BC5"/>
    <w:rsid w:val="686E787A"/>
    <w:rsid w:val="68721838"/>
    <w:rsid w:val="687521EC"/>
    <w:rsid w:val="68781AB0"/>
    <w:rsid w:val="687C0E4A"/>
    <w:rsid w:val="687D728F"/>
    <w:rsid w:val="687E7FAF"/>
    <w:rsid w:val="687F66DF"/>
    <w:rsid w:val="68876173"/>
    <w:rsid w:val="688D6829"/>
    <w:rsid w:val="688E2ECC"/>
    <w:rsid w:val="689017E9"/>
    <w:rsid w:val="68912F2A"/>
    <w:rsid w:val="68914960"/>
    <w:rsid w:val="689306F4"/>
    <w:rsid w:val="68933134"/>
    <w:rsid w:val="68960517"/>
    <w:rsid w:val="68965D89"/>
    <w:rsid w:val="689B59EF"/>
    <w:rsid w:val="689F006B"/>
    <w:rsid w:val="689F3EBE"/>
    <w:rsid w:val="68B33649"/>
    <w:rsid w:val="68B62C3A"/>
    <w:rsid w:val="68B94334"/>
    <w:rsid w:val="68BB2199"/>
    <w:rsid w:val="68BB3B56"/>
    <w:rsid w:val="68BB55BA"/>
    <w:rsid w:val="68BD32EA"/>
    <w:rsid w:val="68BE2416"/>
    <w:rsid w:val="68BF4BB3"/>
    <w:rsid w:val="68C745FB"/>
    <w:rsid w:val="68C84FC5"/>
    <w:rsid w:val="68CB1A00"/>
    <w:rsid w:val="68CB41FB"/>
    <w:rsid w:val="68D128DA"/>
    <w:rsid w:val="68D862C1"/>
    <w:rsid w:val="68DB7087"/>
    <w:rsid w:val="68DC2936"/>
    <w:rsid w:val="68E13DFD"/>
    <w:rsid w:val="68E50B24"/>
    <w:rsid w:val="68E85DD3"/>
    <w:rsid w:val="68EB2B9D"/>
    <w:rsid w:val="68ED0065"/>
    <w:rsid w:val="68ED5B5A"/>
    <w:rsid w:val="68EF68FE"/>
    <w:rsid w:val="68F116E4"/>
    <w:rsid w:val="68F141C0"/>
    <w:rsid w:val="68F46338"/>
    <w:rsid w:val="690106FE"/>
    <w:rsid w:val="6902313A"/>
    <w:rsid w:val="690A6D64"/>
    <w:rsid w:val="69121186"/>
    <w:rsid w:val="69146847"/>
    <w:rsid w:val="691A37B0"/>
    <w:rsid w:val="691B00F9"/>
    <w:rsid w:val="691B4C4E"/>
    <w:rsid w:val="6922150F"/>
    <w:rsid w:val="69231DA9"/>
    <w:rsid w:val="692346B6"/>
    <w:rsid w:val="69270849"/>
    <w:rsid w:val="692A3041"/>
    <w:rsid w:val="692E77AE"/>
    <w:rsid w:val="69326FDC"/>
    <w:rsid w:val="69333A7E"/>
    <w:rsid w:val="6935311E"/>
    <w:rsid w:val="6942145D"/>
    <w:rsid w:val="69456CCA"/>
    <w:rsid w:val="69470FFC"/>
    <w:rsid w:val="694B1F8A"/>
    <w:rsid w:val="695209B5"/>
    <w:rsid w:val="69555E36"/>
    <w:rsid w:val="695E2792"/>
    <w:rsid w:val="695F201E"/>
    <w:rsid w:val="696544AE"/>
    <w:rsid w:val="696731F2"/>
    <w:rsid w:val="69693EB1"/>
    <w:rsid w:val="696F7B85"/>
    <w:rsid w:val="69730703"/>
    <w:rsid w:val="6975210C"/>
    <w:rsid w:val="69755AE0"/>
    <w:rsid w:val="69773051"/>
    <w:rsid w:val="697A30D7"/>
    <w:rsid w:val="697B0774"/>
    <w:rsid w:val="698052B2"/>
    <w:rsid w:val="69885CD1"/>
    <w:rsid w:val="69896A58"/>
    <w:rsid w:val="69990298"/>
    <w:rsid w:val="699F026E"/>
    <w:rsid w:val="69A3471B"/>
    <w:rsid w:val="69A34FDD"/>
    <w:rsid w:val="69A374CB"/>
    <w:rsid w:val="69A613A6"/>
    <w:rsid w:val="69A70AE7"/>
    <w:rsid w:val="69A94346"/>
    <w:rsid w:val="69AB13E4"/>
    <w:rsid w:val="69AE5178"/>
    <w:rsid w:val="69AF3349"/>
    <w:rsid w:val="69B1426D"/>
    <w:rsid w:val="69B51BCC"/>
    <w:rsid w:val="69C0741B"/>
    <w:rsid w:val="69C10ADD"/>
    <w:rsid w:val="69C12CA4"/>
    <w:rsid w:val="69C62204"/>
    <w:rsid w:val="69C91449"/>
    <w:rsid w:val="69CB2EAA"/>
    <w:rsid w:val="69D76966"/>
    <w:rsid w:val="69DA5632"/>
    <w:rsid w:val="69DE264D"/>
    <w:rsid w:val="69E06017"/>
    <w:rsid w:val="69E657BD"/>
    <w:rsid w:val="69E67140"/>
    <w:rsid w:val="69E86745"/>
    <w:rsid w:val="69ED1260"/>
    <w:rsid w:val="69F24714"/>
    <w:rsid w:val="69FB0A4E"/>
    <w:rsid w:val="69FF3372"/>
    <w:rsid w:val="6A045A46"/>
    <w:rsid w:val="6A050D07"/>
    <w:rsid w:val="6A0621D5"/>
    <w:rsid w:val="6A0738C4"/>
    <w:rsid w:val="6A0A530A"/>
    <w:rsid w:val="6A1200A3"/>
    <w:rsid w:val="6A132B65"/>
    <w:rsid w:val="6A164CD6"/>
    <w:rsid w:val="6A1B3848"/>
    <w:rsid w:val="6A1D4E34"/>
    <w:rsid w:val="6A24666F"/>
    <w:rsid w:val="6A2B3574"/>
    <w:rsid w:val="6A316CD6"/>
    <w:rsid w:val="6A370488"/>
    <w:rsid w:val="6A3708D8"/>
    <w:rsid w:val="6A391AFC"/>
    <w:rsid w:val="6A3D3D37"/>
    <w:rsid w:val="6A3E09E4"/>
    <w:rsid w:val="6A3F0B24"/>
    <w:rsid w:val="6A432C1C"/>
    <w:rsid w:val="6A4D7BE5"/>
    <w:rsid w:val="6A531D30"/>
    <w:rsid w:val="6A534E4E"/>
    <w:rsid w:val="6A574585"/>
    <w:rsid w:val="6A5A054B"/>
    <w:rsid w:val="6A5B1DAA"/>
    <w:rsid w:val="6A5F6896"/>
    <w:rsid w:val="6A6006CD"/>
    <w:rsid w:val="6A607FF9"/>
    <w:rsid w:val="6A645403"/>
    <w:rsid w:val="6A661EAE"/>
    <w:rsid w:val="6A6A00F1"/>
    <w:rsid w:val="6A6C56C4"/>
    <w:rsid w:val="6A6D526D"/>
    <w:rsid w:val="6A7413C3"/>
    <w:rsid w:val="6A8160C8"/>
    <w:rsid w:val="6A856786"/>
    <w:rsid w:val="6A8917D7"/>
    <w:rsid w:val="6A8C0A7A"/>
    <w:rsid w:val="6A90336F"/>
    <w:rsid w:val="6A92215F"/>
    <w:rsid w:val="6A926846"/>
    <w:rsid w:val="6A927A07"/>
    <w:rsid w:val="6A965B1C"/>
    <w:rsid w:val="6AA2333B"/>
    <w:rsid w:val="6AA3109F"/>
    <w:rsid w:val="6AA71401"/>
    <w:rsid w:val="6AAD7CC3"/>
    <w:rsid w:val="6AAF45D7"/>
    <w:rsid w:val="6AB9621D"/>
    <w:rsid w:val="6ABE2E7E"/>
    <w:rsid w:val="6ABF5804"/>
    <w:rsid w:val="6AC56717"/>
    <w:rsid w:val="6AC75F9E"/>
    <w:rsid w:val="6ACA6A13"/>
    <w:rsid w:val="6ACD6D4A"/>
    <w:rsid w:val="6ACE70AD"/>
    <w:rsid w:val="6AD10105"/>
    <w:rsid w:val="6AD74533"/>
    <w:rsid w:val="6ADA3FAA"/>
    <w:rsid w:val="6ADA6DE5"/>
    <w:rsid w:val="6ADD73CC"/>
    <w:rsid w:val="6AE03A10"/>
    <w:rsid w:val="6AE44DC3"/>
    <w:rsid w:val="6AE75941"/>
    <w:rsid w:val="6AF15AE9"/>
    <w:rsid w:val="6AF17A5D"/>
    <w:rsid w:val="6AF36EB6"/>
    <w:rsid w:val="6AF40067"/>
    <w:rsid w:val="6AF878CB"/>
    <w:rsid w:val="6AFA0955"/>
    <w:rsid w:val="6AFD4DAD"/>
    <w:rsid w:val="6AFD7233"/>
    <w:rsid w:val="6AFF41B9"/>
    <w:rsid w:val="6B0210A3"/>
    <w:rsid w:val="6B042A55"/>
    <w:rsid w:val="6B0B513B"/>
    <w:rsid w:val="6B1015E7"/>
    <w:rsid w:val="6B101EE7"/>
    <w:rsid w:val="6B1368B9"/>
    <w:rsid w:val="6B154F5B"/>
    <w:rsid w:val="6B1B23E3"/>
    <w:rsid w:val="6B2645B7"/>
    <w:rsid w:val="6B267C8D"/>
    <w:rsid w:val="6B2B512A"/>
    <w:rsid w:val="6B3B3709"/>
    <w:rsid w:val="6B3C4434"/>
    <w:rsid w:val="6B4F13FA"/>
    <w:rsid w:val="6B5005B1"/>
    <w:rsid w:val="6B510EBB"/>
    <w:rsid w:val="6B5555AB"/>
    <w:rsid w:val="6B657107"/>
    <w:rsid w:val="6B6767B4"/>
    <w:rsid w:val="6B683811"/>
    <w:rsid w:val="6B721834"/>
    <w:rsid w:val="6B7468E9"/>
    <w:rsid w:val="6B765571"/>
    <w:rsid w:val="6B767E76"/>
    <w:rsid w:val="6B792EB4"/>
    <w:rsid w:val="6B7B4489"/>
    <w:rsid w:val="6B7F1E25"/>
    <w:rsid w:val="6B831B8D"/>
    <w:rsid w:val="6B891162"/>
    <w:rsid w:val="6B8912A8"/>
    <w:rsid w:val="6B8B09FF"/>
    <w:rsid w:val="6B8C3490"/>
    <w:rsid w:val="6B920536"/>
    <w:rsid w:val="6B954C96"/>
    <w:rsid w:val="6B9602A3"/>
    <w:rsid w:val="6B980646"/>
    <w:rsid w:val="6B9C2A55"/>
    <w:rsid w:val="6BA02BAE"/>
    <w:rsid w:val="6BA05C9A"/>
    <w:rsid w:val="6BA73922"/>
    <w:rsid w:val="6BB071B5"/>
    <w:rsid w:val="6BB25EB2"/>
    <w:rsid w:val="6BB60A22"/>
    <w:rsid w:val="6BB95469"/>
    <w:rsid w:val="6BBD5073"/>
    <w:rsid w:val="6BBE39B9"/>
    <w:rsid w:val="6BC158CC"/>
    <w:rsid w:val="6BC24B75"/>
    <w:rsid w:val="6BC2799F"/>
    <w:rsid w:val="6BDB1107"/>
    <w:rsid w:val="6BE2103B"/>
    <w:rsid w:val="6BE76A38"/>
    <w:rsid w:val="6BED12BB"/>
    <w:rsid w:val="6BFA7C89"/>
    <w:rsid w:val="6BFB2929"/>
    <w:rsid w:val="6BFD3222"/>
    <w:rsid w:val="6BFD6FCE"/>
    <w:rsid w:val="6BFF0244"/>
    <w:rsid w:val="6C0405A4"/>
    <w:rsid w:val="6C0F7589"/>
    <w:rsid w:val="6C1562AB"/>
    <w:rsid w:val="6C1A3582"/>
    <w:rsid w:val="6C1D6786"/>
    <w:rsid w:val="6C20051B"/>
    <w:rsid w:val="6C21044D"/>
    <w:rsid w:val="6C222E67"/>
    <w:rsid w:val="6C2D025B"/>
    <w:rsid w:val="6C2E3A68"/>
    <w:rsid w:val="6C2E70D7"/>
    <w:rsid w:val="6C2F5ECD"/>
    <w:rsid w:val="6C371B4B"/>
    <w:rsid w:val="6C3A37F5"/>
    <w:rsid w:val="6C413C1F"/>
    <w:rsid w:val="6C465B72"/>
    <w:rsid w:val="6C497472"/>
    <w:rsid w:val="6C5175E7"/>
    <w:rsid w:val="6C552555"/>
    <w:rsid w:val="6C590E51"/>
    <w:rsid w:val="6C6179CD"/>
    <w:rsid w:val="6C696360"/>
    <w:rsid w:val="6C6E5B0F"/>
    <w:rsid w:val="6C6F564C"/>
    <w:rsid w:val="6C704E2F"/>
    <w:rsid w:val="6C7947F7"/>
    <w:rsid w:val="6C7C0BE0"/>
    <w:rsid w:val="6C833D49"/>
    <w:rsid w:val="6C834F6F"/>
    <w:rsid w:val="6C843036"/>
    <w:rsid w:val="6C8E0E85"/>
    <w:rsid w:val="6C9051C4"/>
    <w:rsid w:val="6C961C60"/>
    <w:rsid w:val="6C971305"/>
    <w:rsid w:val="6C990E07"/>
    <w:rsid w:val="6C9D128F"/>
    <w:rsid w:val="6C9F1A45"/>
    <w:rsid w:val="6CA02776"/>
    <w:rsid w:val="6CA06A81"/>
    <w:rsid w:val="6CA20D30"/>
    <w:rsid w:val="6CA662D0"/>
    <w:rsid w:val="6CA762E0"/>
    <w:rsid w:val="6CAB1F6B"/>
    <w:rsid w:val="6CAC3848"/>
    <w:rsid w:val="6CB36C8D"/>
    <w:rsid w:val="6CB65427"/>
    <w:rsid w:val="6CBC507B"/>
    <w:rsid w:val="6CC41F42"/>
    <w:rsid w:val="6CC45E82"/>
    <w:rsid w:val="6CC6077A"/>
    <w:rsid w:val="6CC6747D"/>
    <w:rsid w:val="6CC95CFC"/>
    <w:rsid w:val="6CCE4815"/>
    <w:rsid w:val="6CCF32B4"/>
    <w:rsid w:val="6CD0305F"/>
    <w:rsid w:val="6CD66BC2"/>
    <w:rsid w:val="6CD672C7"/>
    <w:rsid w:val="6CD724A5"/>
    <w:rsid w:val="6CD86A37"/>
    <w:rsid w:val="6CDC0A77"/>
    <w:rsid w:val="6CDE22BC"/>
    <w:rsid w:val="6CE43BB4"/>
    <w:rsid w:val="6CE709B7"/>
    <w:rsid w:val="6CE77993"/>
    <w:rsid w:val="6CE93F4B"/>
    <w:rsid w:val="6CEB0825"/>
    <w:rsid w:val="6CED2BAA"/>
    <w:rsid w:val="6CF056F4"/>
    <w:rsid w:val="6CF441C1"/>
    <w:rsid w:val="6CF60E05"/>
    <w:rsid w:val="6CF666F6"/>
    <w:rsid w:val="6D051479"/>
    <w:rsid w:val="6D0A54D4"/>
    <w:rsid w:val="6D0C78EA"/>
    <w:rsid w:val="6D1A4B47"/>
    <w:rsid w:val="6D1C7A0F"/>
    <w:rsid w:val="6D1E7656"/>
    <w:rsid w:val="6D1E7772"/>
    <w:rsid w:val="6D1F3407"/>
    <w:rsid w:val="6D22532A"/>
    <w:rsid w:val="6D247210"/>
    <w:rsid w:val="6D264721"/>
    <w:rsid w:val="6D276376"/>
    <w:rsid w:val="6D2C6E05"/>
    <w:rsid w:val="6D2E07C2"/>
    <w:rsid w:val="6D3106CD"/>
    <w:rsid w:val="6D3128FE"/>
    <w:rsid w:val="6D350D7B"/>
    <w:rsid w:val="6D357328"/>
    <w:rsid w:val="6D402EF8"/>
    <w:rsid w:val="6D4122A6"/>
    <w:rsid w:val="6D453F1F"/>
    <w:rsid w:val="6D471405"/>
    <w:rsid w:val="6D497B84"/>
    <w:rsid w:val="6D4A6073"/>
    <w:rsid w:val="6D4B3B21"/>
    <w:rsid w:val="6D4E28C7"/>
    <w:rsid w:val="6D5A29E6"/>
    <w:rsid w:val="6D606432"/>
    <w:rsid w:val="6D62013A"/>
    <w:rsid w:val="6D655741"/>
    <w:rsid w:val="6D68786C"/>
    <w:rsid w:val="6D6A5241"/>
    <w:rsid w:val="6D6A7C55"/>
    <w:rsid w:val="6D711D86"/>
    <w:rsid w:val="6D7405A7"/>
    <w:rsid w:val="6D8260B3"/>
    <w:rsid w:val="6D845F4C"/>
    <w:rsid w:val="6D8603A5"/>
    <w:rsid w:val="6D863CEB"/>
    <w:rsid w:val="6D8E5144"/>
    <w:rsid w:val="6D984A2E"/>
    <w:rsid w:val="6D9C5E88"/>
    <w:rsid w:val="6D9E03FA"/>
    <w:rsid w:val="6D9E1EDF"/>
    <w:rsid w:val="6DA14083"/>
    <w:rsid w:val="6DA26BD3"/>
    <w:rsid w:val="6DA83F6B"/>
    <w:rsid w:val="6DA85A42"/>
    <w:rsid w:val="6DAE0715"/>
    <w:rsid w:val="6DAE5C6B"/>
    <w:rsid w:val="6DAF099C"/>
    <w:rsid w:val="6DB90491"/>
    <w:rsid w:val="6DB97D79"/>
    <w:rsid w:val="6DC05902"/>
    <w:rsid w:val="6DC40689"/>
    <w:rsid w:val="6DC456F8"/>
    <w:rsid w:val="6DC50E94"/>
    <w:rsid w:val="6DC73F19"/>
    <w:rsid w:val="6DC81730"/>
    <w:rsid w:val="6DC9781A"/>
    <w:rsid w:val="6DCB2E3F"/>
    <w:rsid w:val="6DCD3ADA"/>
    <w:rsid w:val="6DCF1D08"/>
    <w:rsid w:val="6DD4516F"/>
    <w:rsid w:val="6DD5466B"/>
    <w:rsid w:val="6DDB4200"/>
    <w:rsid w:val="6DE37F40"/>
    <w:rsid w:val="6DE56356"/>
    <w:rsid w:val="6DEA59EF"/>
    <w:rsid w:val="6DF10ABF"/>
    <w:rsid w:val="6DF17E0A"/>
    <w:rsid w:val="6DF221D9"/>
    <w:rsid w:val="6DFA4185"/>
    <w:rsid w:val="6DFE7013"/>
    <w:rsid w:val="6DFF04E1"/>
    <w:rsid w:val="6E0353DE"/>
    <w:rsid w:val="6E0B106F"/>
    <w:rsid w:val="6E0F0617"/>
    <w:rsid w:val="6E126A0F"/>
    <w:rsid w:val="6E13627D"/>
    <w:rsid w:val="6E1D613C"/>
    <w:rsid w:val="6E2E1E7F"/>
    <w:rsid w:val="6E2F57C5"/>
    <w:rsid w:val="6E3007D5"/>
    <w:rsid w:val="6E322F25"/>
    <w:rsid w:val="6E41430A"/>
    <w:rsid w:val="6E461724"/>
    <w:rsid w:val="6E4738F2"/>
    <w:rsid w:val="6E4D5704"/>
    <w:rsid w:val="6E5209E1"/>
    <w:rsid w:val="6E5815A0"/>
    <w:rsid w:val="6E5D72AC"/>
    <w:rsid w:val="6E603C44"/>
    <w:rsid w:val="6E65589B"/>
    <w:rsid w:val="6E674AD7"/>
    <w:rsid w:val="6E6D6CA5"/>
    <w:rsid w:val="6E7009E0"/>
    <w:rsid w:val="6E8C6F86"/>
    <w:rsid w:val="6E9052B9"/>
    <w:rsid w:val="6E917B95"/>
    <w:rsid w:val="6E992FDF"/>
    <w:rsid w:val="6E9B5BFF"/>
    <w:rsid w:val="6E9E1ABE"/>
    <w:rsid w:val="6EA25A23"/>
    <w:rsid w:val="6EAD2248"/>
    <w:rsid w:val="6EAE16A6"/>
    <w:rsid w:val="6EB05FB2"/>
    <w:rsid w:val="6EB14D41"/>
    <w:rsid w:val="6EB359FC"/>
    <w:rsid w:val="6EBF65EF"/>
    <w:rsid w:val="6EC0050F"/>
    <w:rsid w:val="6EC03771"/>
    <w:rsid w:val="6EC11E23"/>
    <w:rsid w:val="6EC94529"/>
    <w:rsid w:val="6ECD4A48"/>
    <w:rsid w:val="6EDF4AFE"/>
    <w:rsid w:val="6EE10ABB"/>
    <w:rsid w:val="6EE164BA"/>
    <w:rsid w:val="6EE75AE5"/>
    <w:rsid w:val="6EEA1F69"/>
    <w:rsid w:val="6EEE4D98"/>
    <w:rsid w:val="6EF553DE"/>
    <w:rsid w:val="6EFA7E3B"/>
    <w:rsid w:val="6EFB08B0"/>
    <w:rsid w:val="6EFB1350"/>
    <w:rsid w:val="6EFC0D3B"/>
    <w:rsid w:val="6EFC20E7"/>
    <w:rsid w:val="6EFF668F"/>
    <w:rsid w:val="6F00779B"/>
    <w:rsid w:val="6F0F5E9D"/>
    <w:rsid w:val="6F110ECB"/>
    <w:rsid w:val="6F141CB6"/>
    <w:rsid w:val="6F1749BF"/>
    <w:rsid w:val="6F22056D"/>
    <w:rsid w:val="6F22644F"/>
    <w:rsid w:val="6F254DF9"/>
    <w:rsid w:val="6F2C1958"/>
    <w:rsid w:val="6F333BC3"/>
    <w:rsid w:val="6F38549C"/>
    <w:rsid w:val="6F397196"/>
    <w:rsid w:val="6F3A29D5"/>
    <w:rsid w:val="6F3B414F"/>
    <w:rsid w:val="6F3E4753"/>
    <w:rsid w:val="6F4744BE"/>
    <w:rsid w:val="6F526CFB"/>
    <w:rsid w:val="6F5312E5"/>
    <w:rsid w:val="6F54092C"/>
    <w:rsid w:val="6F5953B8"/>
    <w:rsid w:val="6F5E16B4"/>
    <w:rsid w:val="6F616C74"/>
    <w:rsid w:val="6F630476"/>
    <w:rsid w:val="6F676ED6"/>
    <w:rsid w:val="6F69686A"/>
    <w:rsid w:val="6F6C75B1"/>
    <w:rsid w:val="6F6D5078"/>
    <w:rsid w:val="6F6E168C"/>
    <w:rsid w:val="6F7140CE"/>
    <w:rsid w:val="6F725DFD"/>
    <w:rsid w:val="6F7871F1"/>
    <w:rsid w:val="6F7B1C26"/>
    <w:rsid w:val="6F8107B6"/>
    <w:rsid w:val="6F810E07"/>
    <w:rsid w:val="6F823267"/>
    <w:rsid w:val="6F8400F4"/>
    <w:rsid w:val="6F864F32"/>
    <w:rsid w:val="6F8738EF"/>
    <w:rsid w:val="6F8B010C"/>
    <w:rsid w:val="6F8C6094"/>
    <w:rsid w:val="6F8D6B5F"/>
    <w:rsid w:val="6F961B80"/>
    <w:rsid w:val="6F9813AE"/>
    <w:rsid w:val="6F9921F6"/>
    <w:rsid w:val="6F9D138B"/>
    <w:rsid w:val="6FA04841"/>
    <w:rsid w:val="6FA163C4"/>
    <w:rsid w:val="6FA26719"/>
    <w:rsid w:val="6FA40965"/>
    <w:rsid w:val="6FA6625D"/>
    <w:rsid w:val="6FA745FB"/>
    <w:rsid w:val="6FA91D0C"/>
    <w:rsid w:val="6FAC4755"/>
    <w:rsid w:val="6FAF17A2"/>
    <w:rsid w:val="6FB51309"/>
    <w:rsid w:val="6FB53DEE"/>
    <w:rsid w:val="6FB71438"/>
    <w:rsid w:val="6FB84B45"/>
    <w:rsid w:val="6FB9136C"/>
    <w:rsid w:val="6FBC2F51"/>
    <w:rsid w:val="6FBC3608"/>
    <w:rsid w:val="6FC073EE"/>
    <w:rsid w:val="6FC51EDC"/>
    <w:rsid w:val="6FC64751"/>
    <w:rsid w:val="6FC80D88"/>
    <w:rsid w:val="6FCD05B8"/>
    <w:rsid w:val="6FD2068A"/>
    <w:rsid w:val="6FD20778"/>
    <w:rsid w:val="6FD2130F"/>
    <w:rsid w:val="6FD46B96"/>
    <w:rsid w:val="6FD92F75"/>
    <w:rsid w:val="6FE50243"/>
    <w:rsid w:val="6FE57FF4"/>
    <w:rsid w:val="6FE859B3"/>
    <w:rsid w:val="6FEB6D28"/>
    <w:rsid w:val="6FEB6FDB"/>
    <w:rsid w:val="6FEE05F6"/>
    <w:rsid w:val="6FF14206"/>
    <w:rsid w:val="6FFE379C"/>
    <w:rsid w:val="6FFF2848"/>
    <w:rsid w:val="700350C3"/>
    <w:rsid w:val="70036106"/>
    <w:rsid w:val="7008560B"/>
    <w:rsid w:val="70094358"/>
    <w:rsid w:val="700A28AF"/>
    <w:rsid w:val="700D1198"/>
    <w:rsid w:val="70114E0F"/>
    <w:rsid w:val="70146E14"/>
    <w:rsid w:val="70157EB4"/>
    <w:rsid w:val="701848BE"/>
    <w:rsid w:val="701F18FF"/>
    <w:rsid w:val="70200EAB"/>
    <w:rsid w:val="702B54C7"/>
    <w:rsid w:val="702E63E3"/>
    <w:rsid w:val="70371553"/>
    <w:rsid w:val="703715E3"/>
    <w:rsid w:val="70382773"/>
    <w:rsid w:val="703C164B"/>
    <w:rsid w:val="7040702E"/>
    <w:rsid w:val="7044459A"/>
    <w:rsid w:val="704724D6"/>
    <w:rsid w:val="70497925"/>
    <w:rsid w:val="70517EF2"/>
    <w:rsid w:val="70553398"/>
    <w:rsid w:val="705A73E1"/>
    <w:rsid w:val="70622C82"/>
    <w:rsid w:val="70665E35"/>
    <w:rsid w:val="70724BD2"/>
    <w:rsid w:val="707358E1"/>
    <w:rsid w:val="70776ABA"/>
    <w:rsid w:val="707C4850"/>
    <w:rsid w:val="707D62E4"/>
    <w:rsid w:val="708177C7"/>
    <w:rsid w:val="708937BC"/>
    <w:rsid w:val="708B313B"/>
    <w:rsid w:val="708D5476"/>
    <w:rsid w:val="70925FC6"/>
    <w:rsid w:val="709853FF"/>
    <w:rsid w:val="709F389F"/>
    <w:rsid w:val="70A31E41"/>
    <w:rsid w:val="70A5271E"/>
    <w:rsid w:val="70A7760A"/>
    <w:rsid w:val="70AB15E9"/>
    <w:rsid w:val="70BD009D"/>
    <w:rsid w:val="70C34D09"/>
    <w:rsid w:val="70CA0148"/>
    <w:rsid w:val="70CC2F58"/>
    <w:rsid w:val="70CE372A"/>
    <w:rsid w:val="70D103DA"/>
    <w:rsid w:val="70D3335E"/>
    <w:rsid w:val="70D53123"/>
    <w:rsid w:val="70D60339"/>
    <w:rsid w:val="70D9540D"/>
    <w:rsid w:val="70DC0D69"/>
    <w:rsid w:val="70DC2B9A"/>
    <w:rsid w:val="70E55D20"/>
    <w:rsid w:val="70ED5495"/>
    <w:rsid w:val="70F27A9F"/>
    <w:rsid w:val="70F81225"/>
    <w:rsid w:val="710530CC"/>
    <w:rsid w:val="710551AE"/>
    <w:rsid w:val="710E37CC"/>
    <w:rsid w:val="71125817"/>
    <w:rsid w:val="71136FA8"/>
    <w:rsid w:val="71187B04"/>
    <w:rsid w:val="711B6A64"/>
    <w:rsid w:val="711C0C72"/>
    <w:rsid w:val="712C7D85"/>
    <w:rsid w:val="712D1C5B"/>
    <w:rsid w:val="71391148"/>
    <w:rsid w:val="71442FAC"/>
    <w:rsid w:val="714F0ED6"/>
    <w:rsid w:val="71514FD7"/>
    <w:rsid w:val="71522684"/>
    <w:rsid w:val="71533175"/>
    <w:rsid w:val="715B1C1C"/>
    <w:rsid w:val="715C618A"/>
    <w:rsid w:val="71660C1C"/>
    <w:rsid w:val="71692734"/>
    <w:rsid w:val="716A2A51"/>
    <w:rsid w:val="716A6DB5"/>
    <w:rsid w:val="716E058B"/>
    <w:rsid w:val="71742C11"/>
    <w:rsid w:val="71812626"/>
    <w:rsid w:val="71824998"/>
    <w:rsid w:val="718B2E89"/>
    <w:rsid w:val="718F3F58"/>
    <w:rsid w:val="71962CA9"/>
    <w:rsid w:val="719A63CB"/>
    <w:rsid w:val="719C2034"/>
    <w:rsid w:val="719D1037"/>
    <w:rsid w:val="71A34053"/>
    <w:rsid w:val="71A75043"/>
    <w:rsid w:val="71A81437"/>
    <w:rsid w:val="71AE006C"/>
    <w:rsid w:val="71AE49E5"/>
    <w:rsid w:val="71B02D00"/>
    <w:rsid w:val="71B73639"/>
    <w:rsid w:val="71B90373"/>
    <w:rsid w:val="71BE164D"/>
    <w:rsid w:val="71BE1744"/>
    <w:rsid w:val="71C34237"/>
    <w:rsid w:val="71C90201"/>
    <w:rsid w:val="71D349F0"/>
    <w:rsid w:val="71D54885"/>
    <w:rsid w:val="71D9778B"/>
    <w:rsid w:val="71DF5265"/>
    <w:rsid w:val="71E42F28"/>
    <w:rsid w:val="71E72CB2"/>
    <w:rsid w:val="71EA56DE"/>
    <w:rsid w:val="71EC548D"/>
    <w:rsid w:val="71EE1BF3"/>
    <w:rsid w:val="71EE779F"/>
    <w:rsid w:val="71F067CB"/>
    <w:rsid w:val="71F27C23"/>
    <w:rsid w:val="71FB13F6"/>
    <w:rsid w:val="71FB7319"/>
    <w:rsid w:val="71FE1275"/>
    <w:rsid w:val="71FE38A5"/>
    <w:rsid w:val="71FE76DB"/>
    <w:rsid w:val="720177A9"/>
    <w:rsid w:val="7202298B"/>
    <w:rsid w:val="72083956"/>
    <w:rsid w:val="720D2743"/>
    <w:rsid w:val="72112FFD"/>
    <w:rsid w:val="721508DF"/>
    <w:rsid w:val="7218614B"/>
    <w:rsid w:val="72200DD6"/>
    <w:rsid w:val="72206A88"/>
    <w:rsid w:val="72207C45"/>
    <w:rsid w:val="72214770"/>
    <w:rsid w:val="722411C5"/>
    <w:rsid w:val="72245D40"/>
    <w:rsid w:val="72275C52"/>
    <w:rsid w:val="72286F4C"/>
    <w:rsid w:val="722917B0"/>
    <w:rsid w:val="72297CDB"/>
    <w:rsid w:val="722E0323"/>
    <w:rsid w:val="722E38B5"/>
    <w:rsid w:val="72371B06"/>
    <w:rsid w:val="72383B6A"/>
    <w:rsid w:val="723A41B0"/>
    <w:rsid w:val="723B5F60"/>
    <w:rsid w:val="723C0D28"/>
    <w:rsid w:val="723F48C8"/>
    <w:rsid w:val="723F684E"/>
    <w:rsid w:val="72441F20"/>
    <w:rsid w:val="7245724B"/>
    <w:rsid w:val="7247001F"/>
    <w:rsid w:val="72476A18"/>
    <w:rsid w:val="724D07B8"/>
    <w:rsid w:val="724D487A"/>
    <w:rsid w:val="724F1265"/>
    <w:rsid w:val="72507E8F"/>
    <w:rsid w:val="72582898"/>
    <w:rsid w:val="725C244B"/>
    <w:rsid w:val="72645062"/>
    <w:rsid w:val="726A2DB0"/>
    <w:rsid w:val="726A57C3"/>
    <w:rsid w:val="72716081"/>
    <w:rsid w:val="728056F7"/>
    <w:rsid w:val="72821762"/>
    <w:rsid w:val="72830E93"/>
    <w:rsid w:val="7283364A"/>
    <w:rsid w:val="72886B0C"/>
    <w:rsid w:val="728A3B4D"/>
    <w:rsid w:val="728F382E"/>
    <w:rsid w:val="728F7C8F"/>
    <w:rsid w:val="72906AC1"/>
    <w:rsid w:val="72982FB4"/>
    <w:rsid w:val="729B6AC2"/>
    <w:rsid w:val="72A66FE8"/>
    <w:rsid w:val="72A7785C"/>
    <w:rsid w:val="72A82E6F"/>
    <w:rsid w:val="72AE06D3"/>
    <w:rsid w:val="72B20599"/>
    <w:rsid w:val="72BD1952"/>
    <w:rsid w:val="72BD3CE4"/>
    <w:rsid w:val="72BE4D2E"/>
    <w:rsid w:val="72D06F33"/>
    <w:rsid w:val="72D37BAB"/>
    <w:rsid w:val="72D600AD"/>
    <w:rsid w:val="72D81AF5"/>
    <w:rsid w:val="72D8790C"/>
    <w:rsid w:val="72D90157"/>
    <w:rsid w:val="72DA5B08"/>
    <w:rsid w:val="72DF5664"/>
    <w:rsid w:val="72E009F0"/>
    <w:rsid w:val="72E07F34"/>
    <w:rsid w:val="72E25751"/>
    <w:rsid w:val="72E93F94"/>
    <w:rsid w:val="72EA0258"/>
    <w:rsid w:val="72EF248B"/>
    <w:rsid w:val="72F26498"/>
    <w:rsid w:val="72F523D6"/>
    <w:rsid w:val="72FB6178"/>
    <w:rsid w:val="7301302A"/>
    <w:rsid w:val="73051200"/>
    <w:rsid w:val="7308196D"/>
    <w:rsid w:val="73084F88"/>
    <w:rsid w:val="730C5595"/>
    <w:rsid w:val="731C105B"/>
    <w:rsid w:val="731D2D2D"/>
    <w:rsid w:val="73234D83"/>
    <w:rsid w:val="732F125D"/>
    <w:rsid w:val="733013D5"/>
    <w:rsid w:val="733215DE"/>
    <w:rsid w:val="73431B9E"/>
    <w:rsid w:val="734575E7"/>
    <w:rsid w:val="73483FD4"/>
    <w:rsid w:val="734C722B"/>
    <w:rsid w:val="735008DA"/>
    <w:rsid w:val="73556128"/>
    <w:rsid w:val="735C1052"/>
    <w:rsid w:val="735C782E"/>
    <w:rsid w:val="73615409"/>
    <w:rsid w:val="73662C6A"/>
    <w:rsid w:val="73685614"/>
    <w:rsid w:val="7369743F"/>
    <w:rsid w:val="736B0AF1"/>
    <w:rsid w:val="73713C43"/>
    <w:rsid w:val="73773F20"/>
    <w:rsid w:val="73791720"/>
    <w:rsid w:val="737B32DC"/>
    <w:rsid w:val="737C5FFE"/>
    <w:rsid w:val="73910BDC"/>
    <w:rsid w:val="73921979"/>
    <w:rsid w:val="739D6DF4"/>
    <w:rsid w:val="73A362C4"/>
    <w:rsid w:val="73A673D5"/>
    <w:rsid w:val="73B5506A"/>
    <w:rsid w:val="73B56DA6"/>
    <w:rsid w:val="73B67AF7"/>
    <w:rsid w:val="73BE22B9"/>
    <w:rsid w:val="73C0164D"/>
    <w:rsid w:val="73C61ACA"/>
    <w:rsid w:val="73D9060C"/>
    <w:rsid w:val="73D96388"/>
    <w:rsid w:val="73DB0394"/>
    <w:rsid w:val="73DB4808"/>
    <w:rsid w:val="73DE3C80"/>
    <w:rsid w:val="73E347FC"/>
    <w:rsid w:val="73E43491"/>
    <w:rsid w:val="73F172ED"/>
    <w:rsid w:val="73F67935"/>
    <w:rsid w:val="73F80928"/>
    <w:rsid w:val="73F879E4"/>
    <w:rsid w:val="73FA25B2"/>
    <w:rsid w:val="73FB4E6F"/>
    <w:rsid w:val="74046A9E"/>
    <w:rsid w:val="74082D8A"/>
    <w:rsid w:val="74090B07"/>
    <w:rsid w:val="74094B54"/>
    <w:rsid w:val="74202681"/>
    <w:rsid w:val="742C36F8"/>
    <w:rsid w:val="74316DD9"/>
    <w:rsid w:val="743A1C08"/>
    <w:rsid w:val="743D20A2"/>
    <w:rsid w:val="74412FBC"/>
    <w:rsid w:val="744B0800"/>
    <w:rsid w:val="744C5097"/>
    <w:rsid w:val="74513950"/>
    <w:rsid w:val="74544CDB"/>
    <w:rsid w:val="74563622"/>
    <w:rsid w:val="74586473"/>
    <w:rsid w:val="745C102B"/>
    <w:rsid w:val="74624F88"/>
    <w:rsid w:val="74633CCC"/>
    <w:rsid w:val="74636728"/>
    <w:rsid w:val="746B0798"/>
    <w:rsid w:val="74703C1A"/>
    <w:rsid w:val="74707CC9"/>
    <w:rsid w:val="74726DE5"/>
    <w:rsid w:val="747316DF"/>
    <w:rsid w:val="74744B33"/>
    <w:rsid w:val="74774A63"/>
    <w:rsid w:val="747827F5"/>
    <w:rsid w:val="747C5AA1"/>
    <w:rsid w:val="748168CD"/>
    <w:rsid w:val="74833FB9"/>
    <w:rsid w:val="74836F2B"/>
    <w:rsid w:val="74854712"/>
    <w:rsid w:val="74880AA4"/>
    <w:rsid w:val="748E6CEE"/>
    <w:rsid w:val="748F5DE6"/>
    <w:rsid w:val="74913253"/>
    <w:rsid w:val="749347FA"/>
    <w:rsid w:val="74985DB3"/>
    <w:rsid w:val="749A1E8A"/>
    <w:rsid w:val="749E267C"/>
    <w:rsid w:val="749F2F55"/>
    <w:rsid w:val="74A1363B"/>
    <w:rsid w:val="74A570A5"/>
    <w:rsid w:val="74A6304A"/>
    <w:rsid w:val="74A82B52"/>
    <w:rsid w:val="74A83C61"/>
    <w:rsid w:val="74A841A8"/>
    <w:rsid w:val="74A915E4"/>
    <w:rsid w:val="74A936C5"/>
    <w:rsid w:val="74A95532"/>
    <w:rsid w:val="74AA44C9"/>
    <w:rsid w:val="74AB2B02"/>
    <w:rsid w:val="74AE0CAB"/>
    <w:rsid w:val="74B176DB"/>
    <w:rsid w:val="74B660D7"/>
    <w:rsid w:val="74B82614"/>
    <w:rsid w:val="74BA6D60"/>
    <w:rsid w:val="74BF0640"/>
    <w:rsid w:val="74C01E8C"/>
    <w:rsid w:val="74C519CF"/>
    <w:rsid w:val="74C52EAA"/>
    <w:rsid w:val="74C77249"/>
    <w:rsid w:val="74C77759"/>
    <w:rsid w:val="74CE20C7"/>
    <w:rsid w:val="74D47F6D"/>
    <w:rsid w:val="74D56DE2"/>
    <w:rsid w:val="74E0588D"/>
    <w:rsid w:val="74E45021"/>
    <w:rsid w:val="74E92F6A"/>
    <w:rsid w:val="74E948F8"/>
    <w:rsid w:val="74EA4A2B"/>
    <w:rsid w:val="74EB2190"/>
    <w:rsid w:val="74EE1712"/>
    <w:rsid w:val="74F65B0F"/>
    <w:rsid w:val="74FD6ED3"/>
    <w:rsid w:val="74FF7028"/>
    <w:rsid w:val="750A4E07"/>
    <w:rsid w:val="75111DBA"/>
    <w:rsid w:val="75182B25"/>
    <w:rsid w:val="75184EAD"/>
    <w:rsid w:val="751A6682"/>
    <w:rsid w:val="7523590A"/>
    <w:rsid w:val="75242ED1"/>
    <w:rsid w:val="75244A24"/>
    <w:rsid w:val="752B6211"/>
    <w:rsid w:val="753128B1"/>
    <w:rsid w:val="7532530C"/>
    <w:rsid w:val="754007B6"/>
    <w:rsid w:val="75454134"/>
    <w:rsid w:val="75490EAD"/>
    <w:rsid w:val="754F1DF3"/>
    <w:rsid w:val="75512E4A"/>
    <w:rsid w:val="755150FE"/>
    <w:rsid w:val="75560838"/>
    <w:rsid w:val="75566AF5"/>
    <w:rsid w:val="7558634A"/>
    <w:rsid w:val="755866F7"/>
    <w:rsid w:val="755954CE"/>
    <w:rsid w:val="755C78C2"/>
    <w:rsid w:val="755F3898"/>
    <w:rsid w:val="756B69F6"/>
    <w:rsid w:val="757C04D9"/>
    <w:rsid w:val="75827267"/>
    <w:rsid w:val="75845BD2"/>
    <w:rsid w:val="75856358"/>
    <w:rsid w:val="758869C1"/>
    <w:rsid w:val="758C42AC"/>
    <w:rsid w:val="758D68A8"/>
    <w:rsid w:val="75905295"/>
    <w:rsid w:val="75956ACE"/>
    <w:rsid w:val="759720A0"/>
    <w:rsid w:val="7599033F"/>
    <w:rsid w:val="75A323FA"/>
    <w:rsid w:val="75A325AA"/>
    <w:rsid w:val="75A41DE8"/>
    <w:rsid w:val="75A831CD"/>
    <w:rsid w:val="75AA7571"/>
    <w:rsid w:val="75AB4D82"/>
    <w:rsid w:val="75AF3905"/>
    <w:rsid w:val="75B0376E"/>
    <w:rsid w:val="75B230B0"/>
    <w:rsid w:val="75B34FA0"/>
    <w:rsid w:val="75B52815"/>
    <w:rsid w:val="75C4683D"/>
    <w:rsid w:val="75C50BBA"/>
    <w:rsid w:val="75C539D6"/>
    <w:rsid w:val="75C70F25"/>
    <w:rsid w:val="75C81FFF"/>
    <w:rsid w:val="75D228A0"/>
    <w:rsid w:val="75D41F4C"/>
    <w:rsid w:val="75D96A10"/>
    <w:rsid w:val="75DC585F"/>
    <w:rsid w:val="75DD67F6"/>
    <w:rsid w:val="75E14F9E"/>
    <w:rsid w:val="75E4017E"/>
    <w:rsid w:val="75E87ECE"/>
    <w:rsid w:val="75EB4651"/>
    <w:rsid w:val="75F10A0A"/>
    <w:rsid w:val="75F12830"/>
    <w:rsid w:val="75F5521B"/>
    <w:rsid w:val="75FC553E"/>
    <w:rsid w:val="76010B49"/>
    <w:rsid w:val="76053E08"/>
    <w:rsid w:val="76063565"/>
    <w:rsid w:val="760650E3"/>
    <w:rsid w:val="7610657C"/>
    <w:rsid w:val="76183615"/>
    <w:rsid w:val="761C4F1D"/>
    <w:rsid w:val="761D1EFA"/>
    <w:rsid w:val="761E2B3B"/>
    <w:rsid w:val="76221F13"/>
    <w:rsid w:val="76254E7B"/>
    <w:rsid w:val="76303EAE"/>
    <w:rsid w:val="763176CD"/>
    <w:rsid w:val="7632586B"/>
    <w:rsid w:val="763417F3"/>
    <w:rsid w:val="76366397"/>
    <w:rsid w:val="76384A86"/>
    <w:rsid w:val="763906D0"/>
    <w:rsid w:val="76440FA4"/>
    <w:rsid w:val="7646228B"/>
    <w:rsid w:val="76475FE1"/>
    <w:rsid w:val="764A1788"/>
    <w:rsid w:val="764B7983"/>
    <w:rsid w:val="76500995"/>
    <w:rsid w:val="76527258"/>
    <w:rsid w:val="76592FD0"/>
    <w:rsid w:val="765D03AA"/>
    <w:rsid w:val="76636176"/>
    <w:rsid w:val="76664198"/>
    <w:rsid w:val="76665187"/>
    <w:rsid w:val="76667C51"/>
    <w:rsid w:val="76673974"/>
    <w:rsid w:val="76676D29"/>
    <w:rsid w:val="766D3D49"/>
    <w:rsid w:val="766D4032"/>
    <w:rsid w:val="766E2273"/>
    <w:rsid w:val="76773EDC"/>
    <w:rsid w:val="767C4B3C"/>
    <w:rsid w:val="767E398E"/>
    <w:rsid w:val="767E70A8"/>
    <w:rsid w:val="768329FD"/>
    <w:rsid w:val="76846F51"/>
    <w:rsid w:val="76865089"/>
    <w:rsid w:val="76875DBC"/>
    <w:rsid w:val="768E07E1"/>
    <w:rsid w:val="768E1004"/>
    <w:rsid w:val="768E7B01"/>
    <w:rsid w:val="769223F5"/>
    <w:rsid w:val="76A13291"/>
    <w:rsid w:val="76AA5306"/>
    <w:rsid w:val="76B34810"/>
    <w:rsid w:val="76B9118F"/>
    <w:rsid w:val="76B92524"/>
    <w:rsid w:val="76BE0F2A"/>
    <w:rsid w:val="76C03099"/>
    <w:rsid w:val="76C24D3A"/>
    <w:rsid w:val="76C36B03"/>
    <w:rsid w:val="76C5557C"/>
    <w:rsid w:val="76C55B70"/>
    <w:rsid w:val="76C95A99"/>
    <w:rsid w:val="76CA2444"/>
    <w:rsid w:val="76CD00E6"/>
    <w:rsid w:val="76D20EE5"/>
    <w:rsid w:val="76D55207"/>
    <w:rsid w:val="76D64C88"/>
    <w:rsid w:val="76D72B7B"/>
    <w:rsid w:val="76E0065B"/>
    <w:rsid w:val="76E340FF"/>
    <w:rsid w:val="76E62832"/>
    <w:rsid w:val="76E77787"/>
    <w:rsid w:val="76ED4B8B"/>
    <w:rsid w:val="76F34604"/>
    <w:rsid w:val="76F406B2"/>
    <w:rsid w:val="77013176"/>
    <w:rsid w:val="77030D4C"/>
    <w:rsid w:val="77046696"/>
    <w:rsid w:val="770747F4"/>
    <w:rsid w:val="77132A46"/>
    <w:rsid w:val="77184B5C"/>
    <w:rsid w:val="771A0ACD"/>
    <w:rsid w:val="771E67AB"/>
    <w:rsid w:val="771F458C"/>
    <w:rsid w:val="77212192"/>
    <w:rsid w:val="772863BA"/>
    <w:rsid w:val="77290F73"/>
    <w:rsid w:val="772A00B6"/>
    <w:rsid w:val="772D36B6"/>
    <w:rsid w:val="7730277E"/>
    <w:rsid w:val="77304DF3"/>
    <w:rsid w:val="77344CB2"/>
    <w:rsid w:val="773E4C49"/>
    <w:rsid w:val="77431CA7"/>
    <w:rsid w:val="77432C62"/>
    <w:rsid w:val="77432C7D"/>
    <w:rsid w:val="7746018B"/>
    <w:rsid w:val="77476FFC"/>
    <w:rsid w:val="774B029A"/>
    <w:rsid w:val="774C46DD"/>
    <w:rsid w:val="775A1620"/>
    <w:rsid w:val="775B2FE6"/>
    <w:rsid w:val="775E37F0"/>
    <w:rsid w:val="775F7003"/>
    <w:rsid w:val="7763669B"/>
    <w:rsid w:val="77695FEC"/>
    <w:rsid w:val="776E4636"/>
    <w:rsid w:val="776E4941"/>
    <w:rsid w:val="777C3E36"/>
    <w:rsid w:val="777D7E80"/>
    <w:rsid w:val="777E4BBA"/>
    <w:rsid w:val="77845494"/>
    <w:rsid w:val="7784736F"/>
    <w:rsid w:val="778D6749"/>
    <w:rsid w:val="778E1A80"/>
    <w:rsid w:val="778F1069"/>
    <w:rsid w:val="77917C90"/>
    <w:rsid w:val="77941AA4"/>
    <w:rsid w:val="779A7E6A"/>
    <w:rsid w:val="779E7119"/>
    <w:rsid w:val="77A54FBB"/>
    <w:rsid w:val="77AE33B5"/>
    <w:rsid w:val="77B43DC4"/>
    <w:rsid w:val="77B83287"/>
    <w:rsid w:val="77B85E59"/>
    <w:rsid w:val="77B87BB2"/>
    <w:rsid w:val="77BD6659"/>
    <w:rsid w:val="77BF0019"/>
    <w:rsid w:val="77C04D39"/>
    <w:rsid w:val="77C35F3E"/>
    <w:rsid w:val="77C43B81"/>
    <w:rsid w:val="77D1756E"/>
    <w:rsid w:val="77D3605C"/>
    <w:rsid w:val="77DB58F0"/>
    <w:rsid w:val="77DD5B2A"/>
    <w:rsid w:val="77DE6CA0"/>
    <w:rsid w:val="77E24E1B"/>
    <w:rsid w:val="77E41346"/>
    <w:rsid w:val="77E67773"/>
    <w:rsid w:val="77ED04F6"/>
    <w:rsid w:val="77ED2C80"/>
    <w:rsid w:val="77ED6F5A"/>
    <w:rsid w:val="77EE19AB"/>
    <w:rsid w:val="77EF1EC0"/>
    <w:rsid w:val="77F0097B"/>
    <w:rsid w:val="77F01BAE"/>
    <w:rsid w:val="77F03738"/>
    <w:rsid w:val="77F57AAC"/>
    <w:rsid w:val="77F924D6"/>
    <w:rsid w:val="77FC7F72"/>
    <w:rsid w:val="780808A6"/>
    <w:rsid w:val="78092A53"/>
    <w:rsid w:val="78093C6F"/>
    <w:rsid w:val="780D4246"/>
    <w:rsid w:val="780F3DDC"/>
    <w:rsid w:val="7816425C"/>
    <w:rsid w:val="78197F3E"/>
    <w:rsid w:val="781C1919"/>
    <w:rsid w:val="78292772"/>
    <w:rsid w:val="782C27A7"/>
    <w:rsid w:val="78303F4D"/>
    <w:rsid w:val="78312696"/>
    <w:rsid w:val="783224D6"/>
    <w:rsid w:val="783447BE"/>
    <w:rsid w:val="78347DE3"/>
    <w:rsid w:val="78356BD2"/>
    <w:rsid w:val="783B3B8C"/>
    <w:rsid w:val="783C5F32"/>
    <w:rsid w:val="78406F46"/>
    <w:rsid w:val="7841299D"/>
    <w:rsid w:val="78437101"/>
    <w:rsid w:val="784939BA"/>
    <w:rsid w:val="784C29EB"/>
    <w:rsid w:val="784F7FBF"/>
    <w:rsid w:val="785112C1"/>
    <w:rsid w:val="785145E3"/>
    <w:rsid w:val="785E12E1"/>
    <w:rsid w:val="785E1FE8"/>
    <w:rsid w:val="785F0555"/>
    <w:rsid w:val="786007A1"/>
    <w:rsid w:val="78627876"/>
    <w:rsid w:val="786B6152"/>
    <w:rsid w:val="786B7FEA"/>
    <w:rsid w:val="7873783A"/>
    <w:rsid w:val="78764629"/>
    <w:rsid w:val="78822F5F"/>
    <w:rsid w:val="78853E5F"/>
    <w:rsid w:val="78902A90"/>
    <w:rsid w:val="789362A0"/>
    <w:rsid w:val="789E3682"/>
    <w:rsid w:val="789F6EEF"/>
    <w:rsid w:val="78A166B5"/>
    <w:rsid w:val="78A314CF"/>
    <w:rsid w:val="78A45C8B"/>
    <w:rsid w:val="78AD0978"/>
    <w:rsid w:val="78AF7B0D"/>
    <w:rsid w:val="78B40EC8"/>
    <w:rsid w:val="78B51655"/>
    <w:rsid w:val="78B70C0F"/>
    <w:rsid w:val="78B7250F"/>
    <w:rsid w:val="78B825D1"/>
    <w:rsid w:val="78B866E5"/>
    <w:rsid w:val="78C613F3"/>
    <w:rsid w:val="78CA2767"/>
    <w:rsid w:val="78CB19DF"/>
    <w:rsid w:val="78D132F4"/>
    <w:rsid w:val="78DA4D46"/>
    <w:rsid w:val="78E049BB"/>
    <w:rsid w:val="78E45D8C"/>
    <w:rsid w:val="78E577B1"/>
    <w:rsid w:val="78E863D1"/>
    <w:rsid w:val="78E95157"/>
    <w:rsid w:val="78EE2535"/>
    <w:rsid w:val="78EF013E"/>
    <w:rsid w:val="78F060A7"/>
    <w:rsid w:val="78F538F1"/>
    <w:rsid w:val="78FA13B5"/>
    <w:rsid w:val="78FD6B37"/>
    <w:rsid w:val="790058E6"/>
    <w:rsid w:val="790413A4"/>
    <w:rsid w:val="790A7AB5"/>
    <w:rsid w:val="790E09B1"/>
    <w:rsid w:val="791A1CFF"/>
    <w:rsid w:val="791F313C"/>
    <w:rsid w:val="792032E0"/>
    <w:rsid w:val="79243F4E"/>
    <w:rsid w:val="79260BC4"/>
    <w:rsid w:val="79282A23"/>
    <w:rsid w:val="792C230E"/>
    <w:rsid w:val="7931344E"/>
    <w:rsid w:val="79320DE7"/>
    <w:rsid w:val="79333D37"/>
    <w:rsid w:val="79354A3C"/>
    <w:rsid w:val="79366D49"/>
    <w:rsid w:val="79375EE5"/>
    <w:rsid w:val="79393032"/>
    <w:rsid w:val="793A15A7"/>
    <w:rsid w:val="793C1C12"/>
    <w:rsid w:val="793D582B"/>
    <w:rsid w:val="794244D1"/>
    <w:rsid w:val="7944153A"/>
    <w:rsid w:val="794D3420"/>
    <w:rsid w:val="79552943"/>
    <w:rsid w:val="79556A81"/>
    <w:rsid w:val="79565BED"/>
    <w:rsid w:val="7956661C"/>
    <w:rsid w:val="79571C39"/>
    <w:rsid w:val="795D05B9"/>
    <w:rsid w:val="795F303F"/>
    <w:rsid w:val="79624E47"/>
    <w:rsid w:val="79696501"/>
    <w:rsid w:val="796C4255"/>
    <w:rsid w:val="79703656"/>
    <w:rsid w:val="79726938"/>
    <w:rsid w:val="797319F4"/>
    <w:rsid w:val="79744C77"/>
    <w:rsid w:val="79772BF1"/>
    <w:rsid w:val="797866CD"/>
    <w:rsid w:val="797F3A3A"/>
    <w:rsid w:val="798002CA"/>
    <w:rsid w:val="7985500E"/>
    <w:rsid w:val="7989690E"/>
    <w:rsid w:val="798A6183"/>
    <w:rsid w:val="798B423A"/>
    <w:rsid w:val="79904745"/>
    <w:rsid w:val="79920430"/>
    <w:rsid w:val="79922B95"/>
    <w:rsid w:val="79923DF6"/>
    <w:rsid w:val="79994243"/>
    <w:rsid w:val="799C441A"/>
    <w:rsid w:val="799E1737"/>
    <w:rsid w:val="79A44A10"/>
    <w:rsid w:val="79A8168C"/>
    <w:rsid w:val="79B04015"/>
    <w:rsid w:val="79B042F3"/>
    <w:rsid w:val="79B17FCE"/>
    <w:rsid w:val="79B5128F"/>
    <w:rsid w:val="79B70882"/>
    <w:rsid w:val="79BA5EE0"/>
    <w:rsid w:val="79BE2C16"/>
    <w:rsid w:val="79C1236A"/>
    <w:rsid w:val="79C21563"/>
    <w:rsid w:val="79C9306D"/>
    <w:rsid w:val="79D07F14"/>
    <w:rsid w:val="79D33053"/>
    <w:rsid w:val="79D65BD7"/>
    <w:rsid w:val="79D8188F"/>
    <w:rsid w:val="79E00532"/>
    <w:rsid w:val="79E0436A"/>
    <w:rsid w:val="79EA5961"/>
    <w:rsid w:val="79EC03DA"/>
    <w:rsid w:val="79EF3BE7"/>
    <w:rsid w:val="79F149E1"/>
    <w:rsid w:val="79F20E6A"/>
    <w:rsid w:val="79F34CC3"/>
    <w:rsid w:val="79F908C7"/>
    <w:rsid w:val="79FD430C"/>
    <w:rsid w:val="7A000C5D"/>
    <w:rsid w:val="7A013829"/>
    <w:rsid w:val="7A016903"/>
    <w:rsid w:val="7A070680"/>
    <w:rsid w:val="7A082862"/>
    <w:rsid w:val="7A115AE7"/>
    <w:rsid w:val="7A120B35"/>
    <w:rsid w:val="7A150380"/>
    <w:rsid w:val="7A1A1C8C"/>
    <w:rsid w:val="7A1D4CD3"/>
    <w:rsid w:val="7A2224F0"/>
    <w:rsid w:val="7A246204"/>
    <w:rsid w:val="7A2617E4"/>
    <w:rsid w:val="7A2C20AC"/>
    <w:rsid w:val="7A2D67DA"/>
    <w:rsid w:val="7A427F24"/>
    <w:rsid w:val="7A444DAE"/>
    <w:rsid w:val="7A472FAC"/>
    <w:rsid w:val="7A4D7BA5"/>
    <w:rsid w:val="7A535094"/>
    <w:rsid w:val="7A566BEE"/>
    <w:rsid w:val="7A587853"/>
    <w:rsid w:val="7A597045"/>
    <w:rsid w:val="7A606262"/>
    <w:rsid w:val="7A694490"/>
    <w:rsid w:val="7A6B30DE"/>
    <w:rsid w:val="7A6D1695"/>
    <w:rsid w:val="7A6F614B"/>
    <w:rsid w:val="7A7C2CD9"/>
    <w:rsid w:val="7A804A11"/>
    <w:rsid w:val="7A823A31"/>
    <w:rsid w:val="7A8639A6"/>
    <w:rsid w:val="7A882B84"/>
    <w:rsid w:val="7A882D9C"/>
    <w:rsid w:val="7A886D08"/>
    <w:rsid w:val="7A8976DC"/>
    <w:rsid w:val="7A8A614C"/>
    <w:rsid w:val="7A8F3519"/>
    <w:rsid w:val="7A917D08"/>
    <w:rsid w:val="7A96732F"/>
    <w:rsid w:val="7A9E7695"/>
    <w:rsid w:val="7AA01E99"/>
    <w:rsid w:val="7AA37871"/>
    <w:rsid w:val="7AB62AAB"/>
    <w:rsid w:val="7AB66ACC"/>
    <w:rsid w:val="7ABF2704"/>
    <w:rsid w:val="7AC4143C"/>
    <w:rsid w:val="7AC46ABA"/>
    <w:rsid w:val="7AC724B1"/>
    <w:rsid w:val="7ACC0991"/>
    <w:rsid w:val="7ACE450E"/>
    <w:rsid w:val="7AD3739C"/>
    <w:rsid w:val="7AD53764"/>
    <w:rsid w:val="7AD631E2"/>
    <w:rsid w:val="7AD6792C"/>
    <w:rsid w:val="7AD83087"/>
    <w:rsid w:val="7AE022D6"/>
    <w:rsid w:val="7AE64893"/>
    <w:rsid w:val="7AED6736"/>
    <w:rsid w:val="7AF262E4"/>
    <w:rsid w:val="7AF45CCD"/>
    <w:rsid w:val="7B0277F2"/>
    <w:rsid w:val="7B061293"/>
    <w:rsid w:val="7B061901"/>
    <w:rsid w:val="7B06630B"/>
    <w:rsid w:val="7B0C3002"/>
    <w:rsid w:val="7B0C706C"/>
    <w:rsid w:val="7B150F22"/>
    <w:rsid w:val="7B1C7F21"/>
    <w:rsid w:val="7B207A5F"/>
    <w:rsid w:val="7B251C0A"/>
    <w:rsid w:val="7B2759D6"/>
    <w:rsid w:val="7B2F6831"/>
    <w:rsid w:val="7B371EA3"/>
    <w:rsid w:val="7B3722B1"/>
    <w:rsid w:val="7B3A7A21"/>
    <w:rsid w:val="7B3D1A3B"/>
    <w:rsid w:val="7B3E4B15"/>
    <w:rsid w:val="7B426F4E"/>
    <w:rsid w:val="7B435A91"/>
    <w:rsid w:val="7B447D41"/>
    <w:rsid w:val="7B4A23F4"/>
    <w:rsid w:val="7B4A69C2"/>
    <w:rsid w:val="7B4B6BE4"/>
    <w:rsid w:val="7B4F1246"/>
    <w:rsid w:val="7B501571"/>
    <w:rsid w:val="7B62058C"/>
    <w:rsid w:val="7B6732D1"/>
    <w:rsid w:val="7B6A7FAF"/>
    <w:rsid w:val="7B6C241F"/>
    <w:rsid w:val="7B7208C3"/>
    <w:rsid w:val="7B77003A"/>
    <w:rsid w:val="7B780D85"/>
    <w:rsid w:val="7B795A7F"/>
    <w:rsid w:val="7B7D4EFF"/>
    <w:rsid w:val="7B7E280E"/>
    <w:rsid w:val="7B814E03"/>
    <w:rsid w:val="7B8653A3"/>
    <w:rsid w:val="7B8744E9"/>
    <w:rsid w:val="7B8B5FB1"/>
    <w:rsid w:val="7B8D5816"/>
    <w:rsid w:val="7B8E55F7"/>
    <w:rsid w:val="7BA1641F"/>
    <w:rsid w:val="7BA300A4"/>
    <w:rsid w:val="7BAC0EE3"/>
    <w:rsid w:val="7BAC43EF"/>
    <w:rsid w:val="7BAC61C5"/>
    <w:rsid w:val="7BAF35BE"/>
    <w:rsid w:val="7BB519C8"/>
    <w:rsid w:val="7BB563B1"/>
    <w:rsid w:val="7BBC0A8D"/>
    <w:rsid w:val="7BC027B8"/>
    <w:rsid w:val="7BC75DB1"/>
    <w:rsid w:val="7BCA2C66"/>
    <w:rsid w:val="7BCA60D4"/>
    <w:rsid w:val="7BCB0178"/>
    <w:rsid w:val="7BCC63B1"/>
    <w:rsid w:val="7BD0098C"/>
    <w:rsid w:val="7BD1310D"/>
    <w:rsid w:val="7BD319FF"/>
    <w:rsid w:val="7BD47613"/>
    <w:rsid w:val="7BD56347"/>
    <w:rsid w:val="7BD75C95"/>
    <w:rsid w:val="7BDE138C"/>
    <w:rsid w:val="7BE20F10"/>
    <w:rsid w:val="7BEA0CA0"/>
    <w:rsid w:val="7BF27C22"/>
    <w:rsid w:val="7BF8229F"/>
    <w:rsid w:val="7BF86E95"/>
    <w:rsid w:val="7BFA0681"/>
    <w:rsid w:val="7BFF4CBA"/>
    <w:rsid w:val="7C076C5B"/>
    <w:rsid w:val="7C085C4A"/>
    <w:rsid w:val="7C0C7ECD"/>
    <w:rsid w:val="7C0E6339"/>
    <w:rsid w:val="7C100887"/>
    <w:rsid w:val="7C114C89"/>
    <w:rsid w:val="7C130412"/>
    <w:rsid w:val="7C135FA1"/>
    <w:rsid w:val="7C13739C"/>
    <w:rsid w:val="7C1860CF"/>
    <w:rsid w:val="7C203ED6"/>
    <w:rsid w:val="7C243CBC"/>
    <w:rsid w:val="7C255276"/>
    <w:rsid w:val="7C274C95"/>
    <w:rsid w:val="7C2A3DC3"/>
    <w:rsid w:val="7C2F4D8D"/>
    <w:rsid w:val="7C2F6107"/>
    <w:rsid w:val="7C3931EF"/>
    <w:rsid w:val="7C397AD8"/>
    <w:rsid w:val="7C3C730E"/>
    <w:rsid w:val="7C3E3676"/>
    <w:rsid w:val="7C401666"/>
    <w:rsid w:val="7C437058"/>
    <w:rsid w:val="7C490CB3"/>
    <w:rsid w:val="7C49473D"/>
    <w:rsid w:val="7C4F3FC7"/>
    <w:rsid w:val="7C506AAD"/>
    <w:rsid w:val="7C521FCB"/>
    <w:rsid w:val="7C5445B2"/>
    <w:rsid w:val="7C55748D"/>
    <w:rsid w:val="7C594FEB"/>
    <w:rsid w:val="7C615BCE"/>
    <w:rsid w:val="7C670FCF"/>
    <w:rsid w:val="7C6851DC"/>
    <w:rsid w:val="7C6A71D9"/>
    <w:rsid w:val="7C6C75BD"/>
    <w:rsid w:val="7C6E0315"/>
    <w:rsid w:val="7C761CF0"/>
    <w:rsid w:val="7C7E4B5C"/>
    <w:rsid w:val="7C83402B"/>
    <w:rsid w:val="7C8D528E"/>
    <w:rsid w:val="7C8E5715"/>
    <w:rsid w:val="7C980FE6"/>
    <w:rsid w:val="7C9F46EB"/>
    <w:rsid w:val="7CA6397F"/>
    <w:rsid w:val="7CA808B8"/>
    <w:rsid w:val="7CA9793C"/>
    <w:rsid w:val="7CAA05A7"/>
    <w:rsid w:val="7CAC35B5"/>
    <w:rsid w:val="7CB10610"/>
    <w:rsid w:val="7CC1258B"/>
    <w:rsid w:val="7CD2490F"/>
    <w:rsid w:val="7CD759BC"/>
    <w:rsid w:val="7CE211DD"/>
    <w:rsid w:val="7CE30076"/>
    <w:rsid w:val="7CED2F3A"/>
    <w:rsid w:val="7CEF01C5"/>
    <w:rsid w:val="7CF12334"/>
    <w:rsid w:val="7CF30CBB"/>
    <w:rsid w:val="7CFB1D0F"/>
    <w:rsid w:val="7CFD1754"/>
    <w:rsid w:val="7CFE25D1"/>
    <w:rsid w:val="7D00687E"/>
    <w:rsid w:val="7D0149DB"/>
    <w:rsid w:val="7D021335"/>
    <w:rsid w:val="7D0F65B3"/>
    <w:rsid w:val="7D10207D"/>
    <w:rsid w:val="7D103AAA"/>
    <w:rsid w:val="7D1A3D96"/>
    <w:rsid w:val="7D2016F1"/>
    <w:rsid w:val="7D2530AE"/>
    <w:rsid w:val="7D266FA0"/>
    <w:rsid w:val="7D2A0174"/>
    <w:rsid w:val="7D2A2758"/>
    <w:rsid w:val="7D2E48EA"/>
    <w:rsid w:val="7D3059C7"/>
    <w:rsid w:val="7D38051B"/>
    <w:rsid w:val="7D3D5DD3"/>
    <w:rsid w:val="7D406495"/>
    <w:rsid w:val="7D417E43"/>
    <w:rsid w:val="7D49221B"/>
    <w:rsid w:val="7D4B4BD9"/>
    <w:rsid w:val="7D593266"/>
    <w:rsid w:val="7D632797"/>
    <w:rsid w:val="7D6501C7"/>
    <w:rsid w:val="7D6B49E7"/>
    <w:rsid w:val="7D6D259A"/>
    <w:rsid w:val="7D6E0B3E"/>
    <w:rsid w:val="7D6E6507"/>
    <w:rsid w:val="7D6F3384"/>
    <w:rsid w:val="7D733725"/>
    <w:rsid w:val="7D7356F6"/>
    <w:rsid w:val="7D7411B4"/>
    <w:rsid w:val="7D77751A"/>
    <w:rsid w:val="7D811284"/>
    <w:rsid w:val="7D8118E1"/>
    <w:rsid w:val="7D8A14E3"/>
    <w:rsid w:val="7D93758E"/>
    <w:rsid w:val="7D9A5B24"/>
    <w:rsid w:val="7DA04907"/>
    <w:rsid w:val="7DA5160D"/>
    <w:rsid w:val="7DA67679"/>
    <w:rsid w:val="7DAB7EDA"/>
    <w:rsid w:val="7DAE1F44"/>
    <w:rsid w:val="7DAF718F"/>
    <w:rsid w:val="7DAF74D3"/>
    <w:rsid w:val="7DB000E4"/>
    <w:rsid w:val="7DB77436"/>
    <w:rsid w:val="7DC008E6"/>
    <w:rsid w:val="7DC175E0"/>
    <w:rsid w:val="7DC36DC1"/>
    <w:rsid w:val="7DCA4FE0"/>
    <w:rsid w:val="7DCC06A5"/>
    <w:rsid w:val="7DCD7AE9"/>
    <w:rsid w:val="7DD27AF7"/>
    <w:rsid w:val="7DD5626C"/>
    <w:rsid w:val="7DD81535"/>
    <w:rsid w:val="7DDB199F"/>
    <w:rsid w:val="7DE457D7"/>
    <w:rsid w:val="7DE51D67"/>
    <w:rsid w:val="7DEC0749"/>
    <w:rsid w:val="7DEC7E33"/>
    <w:rsid w:val="7DF642F4"/>
    <w:rsid w:val="7DFA7FAE"/>
    <w:rsid w:val="7DFD1BD4"/>
    <w:rsid w:val="7DFE74FF"/>
    <w:rsid w:val="7E0054F0"/>
    <w:rsid w:val="7E0338B0"/>
    <w:rsid w:val="7E0917E8"/>
    <w:rsid w:val="7E0C6F59"/>
    <w:rsid w:val="7E1011F4"/>
    <w:rsid w:val="7E101790"/>
    <w:rsid w:val="7E1128BC"/>
    <w:rsid w:val="7E14491D"/>
    <w:rsid w:val="7E190D66"/>
    <w:rsid w:val="7E1F20EB"/>
    <w:rsid w:val="7E22569B"/>
    <w:rsid w:val="7E243701"/>
    <w:rsid w:val="7E264933"/>
    <w:rsid w:val="7E286378"/>
    <w:rsid w:val="7E2B4A9E"/>
    <w:rsid w:val="7E2B707A"/>
    <w:rsid w:val="7E2D230A"/>
    <w:rsid w:val="7E31646E"/>
    <w:rsid w:val="7E36232C"/>
    <w:rsid w:val="7E406411"/>
    <w:rsid w:val="7E473DD1"/>
    <w:rsid w:val="7E4A1A3D"/>
    <w:rsid w:val="7E4C4906"/>
    <w:rsid w:val="7E4F4EA2"/>
    <w:rsid w:val="7E50195D"/>
    <w:rsid w:val="7E535B55"/>
    <w:rsid w:val="7E5511C1"/>
    <w:rsid w:val="7E613E69"/>
    <w:rsid w:val="7E62065D"/>
    <w:rsid w:val="7E6536E1"/>
    <w:rsid w:val="7E6A31AA"/>
    <w:rsid w:val="7E6D1FC2"/>
    <w:rsid w:val="7E6F7E93"/>
    <w:rsid w:val="7E7026ED"/>
    <w:rsid w:val="7E7574D6"/>
    <w:rsid w:val="7E7B79F5"/>
    <w:rsid w:val="7E7F5146"/>
    <w:rsid w:val="7E853807"/>
    <w:rsid w:val="7E8679CF"/>
    <w:rsid w:val="7E973233"/>
    <w:rsid w:val="7E9930A1"/>
    <w:rsid w:val="7E9C678E"/>
    <w:rsid w:val="7E9D2D34"/>
    <w:rsid w:val="7EAF0D34"/>
    <w:rsid w:val="7EAF1F41"/>
    <w:rsid w:val="7EB15C02"/>
    <w:rsid w:val="7EB902B9"/>
    <w:rsid w:val="7EB97083"/>
    <w:rsid w:val="7EBC560E"/>
    <w:rsid w:val="7EC767DE"/>
    <w:rsid w:val="7EC76F46"/>
    <w:rsid w:val="7EC957E8"/>
    <w:rsid w:val="7ED10B71"/>
    <w:rsid w:val="7ED701FD"/>
    <w:rsid w:val="7EDB0C84"/>
    <w:rsid w:val="7EE06A9D"/>
    <w:rsid w:val="7EE1066F"/>
    <w:rsid w:val="7EE14027"/>
    <w:rsid w:val="7EE73173"/>
    <w:rsid w:val="7EEB0A10"/>
    <w:rsid w:val="7EEF260F"/>
    <w:rsid w:val="7EEF2E78"/>
    <w:rsid w:val="7EF021C4"/>
    <w:rsid w:val="7F01324A"/>
    <w:rsid w:val="7F0A780B"/>
    <w:rsid w:val="7F0B34F2"/>
    <w:rsid w:val="7F0F5481"/>
    <w:rsid w:val="7F1135C5"/>
    <w:rsid w:val="7F134656"/>
    <w:rsid w:val="7F1B3F58"/>
    <w:rsid w:val="7F20450D"/>
    <w:rsid w:val="7F223C84"/>
    <w:rsid w:val="7F233208"/>
    <w:rsid w:val="7F284116"/>
    <w:rsid w:val="7F290B7C"/>
    <w:rsid w:val="7F291B3D"/>
    <w:rsid w:val="7F310E5A"/>
    <w:rsid w:val="7F3A0660"/>
    <w:rsid w:val="7F3A7D87"/>
    <w:rsid w:val="7F3D5D6B"/>
    <w:rsid w:val="7F485429"/>
    <w:rsid w:val="7F4856A2"/>
    <w:rsid w:val="7F491BEC"/>
    <w:rsid w:val="7F4E0892"/>
    <w:rsid w:val="7F5008BE"/>
    <w:rsid w:val="7F581189"/>
    <w:rsid w:val="7F64029D"/>
    <w:rsid w:val="7F6450AA"/>
    <w:rsid w:val="7F6521E2"/>
    <w:rsid w:val="7F684DCE"/>
    <w:rsid w:val="7F6C1322"/>
    <w:rsid w:val="7F6F5CB3"/>
    <w:rsid w:val="7F737239"/>
    <w:rsid w:val="7F745D7E"/>
    <w:rsid w:val="7F781C3C"/>
    <w:rsid w:val="7F7D77D5"/>
    <w:rsid w:val="7F7F4854"/>
    <w:rsid w:val="7F8C7D6E"/>
    <w:rsid w:val="7F900402"/>
    <w:rsid w:val="7F922386"/>
    <w:rsid w:val="7F992C78"/>
    <w:rsid w:val="7F9E3710"/>
    <w:rsid w:val="7FA12758"/>
    <w:rsid w:val="7FA67D66"/>
    <w:rsid w:val="7FAA4A2A"/>
    <w:rsid w:val="7FAC1FE1"/>
    <w:rsid w:val="7FAC24C3"/>
    <w:rsid w:val="7FB07D38"/>
    <w:rsid w:val="7FB93FB3"/>
    <w:rsid w:val="7FC02256"/>
    <w:rsid w:val="7FC331BF"/>
    <w:rsid w:val="7FC853FC"/>
    <w:rsid w:val="7FCD21D1"/>
    <w:rsid w:val="7FCE273D"/>
    <w:rsid w:val="7FCF75F7"/>
    <w:rsid w:val="7FD163AF"/>
    <w:rsid w:val="7FD3375E"/>
    <w:rsid w:val="7FD451F1"/>
    <w:rsid w:val="7FD500D5"/>
    <w:rsid w:val="7FDD6C0E"/>
    <w:rsid w:val="7FDD6CF9"/>
    <w:rsid w:val="7FDE42D2"/>
    <w:rsid w:val="7FDF7093"/>
    <w:rsid w:val="7FE25060"/>
    <w:rsid w:val="7FE26622"/>
    <w:rsid w:val="7FE55A9F"/>
    <w:rsid w:val="7FEB5B98"/>
    <w:rsid w:val="7FEC169F"/>
    <w:rsid w:val="7FEC1735"/>
    <w:rsid w:val="7FEC2B96"/>
    <w:rsid w:val="7FEE101A"/>
    <w:rsid w:val="7FEE73D1"/>
    <w:rsid w:val="7FF666D8"/>
    <w:rsid w:val="7FF835E9"/>
    <w:rsid w:val="7FF961F1"/>
    <w:rsid w:val="7FFE0C69"/>
    <w:rsid w:val="7FFE0EC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1"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semiHidden="0" w:name="caption"/>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qFormat="1"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99" w:semiHidden="0" w:name="Hyperlink"/>
    <w:lsdException w:unhideWhenUsed="0" w:uiPriority="0" w:semiHidden="0" w:name="FollowedHyperlink"/>
    <w:lsdException w:qFormat="1" w:unhideWhenUsed="0" w:uiPriority="22" w:semiHidden="0" w:name="Strong"/>
    <w:lsdException w:qFormat="1" w:unhideWhenUsed="0" w:uiPriority="2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iPriority="59" w:semiHidden="0" w:name="Table Grid"/>
    <w:lsdException w:uiPriority="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Courier" w:eastAsia="PMingLiU" w:cs="Times New Roman"/>
      <w:sz w:val="24"/>
      <w:lang w:val="en-US" w:eastAsia="zh-TW" w:bidi="ar-SA"/>
    </w:rPr>
  </w:style>
  <w:style w:type="paragraph" w:styleId="4">
    <w:name w:val="heading 1"/>
    <w:basedOn w:val="1"/>
    <w:next w:val="1"/>
    <w:qFormat/>
    <w:uiPriority w:val="0"/>
    <w:pPr>
      <w:keepNext/>
      <w:keepLines/>
      <w:spacing w:line="360" w:lineRule="auto"/>
      <w:jc w:val="center"/>
      <w:outlineLvl w:val="0"/>
    </w:pPr>
    <w:rPr>
      <w:rFonts w:hAnsi="Times New Roman" w:eastAsia="宋体"/>
      <w:b/>
      <w:kern w:val="44"/>
      <w:sz w:val="28"/>
    </w:rPr>
  </w:style>
  <w:style w:type="paragraph" w:styleId="5">
    <w:name w:val="heading 2"/>
    <w:basedOn w:val="1"/>
    <w:next w:val="1"/>
    <w:unhideWhenUsed/>
    <w:qFormat/>
    <w:uiPriority w:val="0"/>
    <w:pPr>
      <w:keepNext/>
      <w:keepLines/>
      <w:spacing w:line="360" w:lineRule="auto"/>
      <w:outlineLvl w:val="1"/>
    </w:pPr>
    <w:rPr>
      <w:rFonts w:ascii="Arial" w:hAnsi="Arial" w:eastAsia="宋体"/>
      <w:b/>
    </w:rPr>
  </w:style>
  <w:style w:type="paragraph" w:styleId="6">
    <w:name w:val="heading 3"/>
    <w:basedOn w:val="1"/>
    <w:next w:val="7"/>
    <w:link w:val="54"/>
    <w:unhideWhenUsed/>
    <w:qFormat/>
    <w:uiPriority w:val="0"/>
    <w:pPr>
      <w:keepNext/>
      <w:keepLines/>
      <w:spacing w:line="360" w:lineRule="auto"/>
      <w:outlineLvl w:val="2"/>
    </w:pPr>
    <w:rPr>
      <w:rFonts w:hAnsi="Times New Roman" w:eastAsia="宋体"/>
      <w:b/>
    </w:rPr>
  </w:style>
  <w:style w:type="paragraph" w:styleId="8">
    <w:name w:val="heading 4"/>
    <w:basedOn w:val="1"/>
    <w:next w:val="1"/>
    <w:unhideWhenUsed/>
    <w:qFormat/>
    <w:uiPriority w:val="0"/>
    <w:pPr>
      <w:keepNext/>
      <w:keepLines/>
      <w:spacing w:line="360" w:lineRule="auto"/>
      <w:outlineLvl w:val="3"/>
    </w:pPr>
    <w:rPr>
      <w:rFonts w:ascii="Arial" w:hAnsi="Arial" w:eastAsia="宋体"/>
      <w:b/>
    </w:rPr>
  </w:style>
  <w:style w:type="paragraph" w:styleId="9">
    <w:name w:val="heading 5"/>
    <w:basedOn w:val="1"/>
    <w:next w:val="1"/>
    <w:unhideWhenUsed/>
    <w:qFormat/>
    <w:uiPriority w:val="1"/>
    <w:pPr>
      <w:ind w:left="106"/>
      <w:outlineLvl w:val="4"/>
    </w:pPr>
    <w:rPr>
      <w:rFonts w:hint="eastAsia" w:ascii="宋体" w:hAnsi="宋体" w:eastAsia="宋体"/>
      <w:b/>
    </w:rPr>
  </w:style>
  <w:style w:type="character" w:default="1" w:styleId="35">
    <w:name w:val="Default Paragraph Font"/>
    <w:semiHidden/>
    <w:unhideWhenUsed/>
    <w:qFormat/>
    <w:uiPriority w:val="1"/>
  </w:style>
  <w:style w:type="table" w:default="1" w:styleId="33">
    <w:name w:val="Normal Table"/>
    <w:semiHidden/>
    <w:unhideWhenUsed/>
    <w:qFormat/>
    <w:uiPriority w:val="99"/>
    <w:pPr>
      <w:keepNext w:val="0"/>
      <w:keepLines w:val="0"/>
      <w:widowControl/>
      <w:suppressLineNumbers w:val="0"/>
      <w:spacing w:before="0" w:beforeAutospacing="0" w:after="0" w:afterAutospacing="0"/>
      <w:ind w:left="0" w:right="0"/>
    </w:pPr>
    <w:rPr>
      <w:rFonts w:hint="eastAsia" w:ascii="等线" w:hAnsi="等线" w:eastAsia="等线" w:cs="等线"/>
      <w:kern w:val="2"/>
      <w:sz w:val="21"/>
      <w:szCs w:val="22"/>
    </w:rPr>
    <w:tblPr>
      <w:tblCellMar>
        <w:top w:w="0" w:type="dxa"/>
        <w:left w:w="108" w:type="dxa"/>
        <w:bottom w:w="0" w:type="dxa"/>
        <w:right w:w="108" w:type="dxa"/>
      </w:tblCellMar>
    </w:tblPr>
  </w:style>
  <w:style w:type="paragraph" w:styleId="2">
    <w:name w:val="Body Text First Indent 2"/>
    <w:basedOn w:val="3"/>
    <w:next w:val="1"/>
    <w:link w:val="111"/>
    <w:unhideWhenUsed/>
    <w:qFormat/>
    <w:uiPriority w:val="0"/>
    <w:pPr>
      <w:spacing w:after="120"/>
      <w:ind w:left="420" w:leftChars="200" w:firstLine="420"/>
    </w:pPr>
    <w:rPr>
      <w:rFonts w:hAnsi="Times New Roman"/>
      <w:kern w:val="2"/>
      <w:sz w:val="21"/>
    </w:rPr>
  </w:style>
  <w:style w:type="paragraph" w:styleId="3">
    <w:name w:val="Body Text Indent"/>
    <w:basedOn w:val="1"/>
    <w:next w:val="1"/>
    <w:qFormat/>
    <w:uiPriority w:val="0"/>
    <w:pPr>
      <w:ind w:firstLine="538" w:firstLineChars="192"/>
    </w:pPr>
    <w:rPr>
      <w:sz w:val="28"/>
    </w:rPr>
  </w:style>
  <w:style w:type="paragraph" w:styleId="7">
    <w:name w:val="Normal Indent"/>
    <w:basedOn w:val="1"/>
    <w:unhideWhenUsed/>
    <w:qFormat/>
    <w:uiPriority w:val="0"/>
    <w:pPr>
      <w:ind w:firstLine="420" w:firstLineChars="200"/>
    </w:pPr>
  </w:style>
  <w:style w:type="paragraph" w:styleId="10">
    <w:name w:val="toc 7"/>
    <w:basedOn w:val="1"/>
    <w:next w:val="1"/>
    <w:unhideWhenUsed/>
    <w:qFormat/>
    <w:uiPriority w:val="39"/>
    <w:pPr>
      <w:ind w:left="2520" w:leftChars="1200"/>
    </w:pPr>
    <w:rPr>
      <w:rFonts w:asciiTheme="minorHAnsi" w:hAnsiTheme="minorHAnsi" w:eastAsiaTheme="minorEastAsia" w:cstheme="minorBidi"/>
      <w:kern w:val="2"/>
      <w:sz w:val="21"/>
      <w:szCs w:val="22"/>
      <w:lang w:eastAsia="zh-CN"/>
      <w14:ligatures w14:val="standardContextual"/>
    </w:rPr>
  </w:style>
  <w:style w:type="paragraph" w:styleId="11">
    <w:name w:val="caption"/>
    <w:basedOn w:val="1"/>
    <w:next w:val="1"/>
    <w:unhideWhenUsed/>
    <w:qFormat/>
    <w:uiPriority w:val="0"/>
    <w:pPr>
      <w:keepNext/>
      <w:jc w:val="center"/>
    </w:pPr>
    <w:rPr>
      <w:rFonts w:ascii="Cambria" w:hAnsi="Cambria" w:eastAsia="Times New Roman"/>
      <w:b/>
      <w:sz w:val="21"/>
    </w:rPr>
  </w:style>
  <w:style w:type="paragraph" w:styleId="12">
    <w:name w:val="toa heading"/>
    <w:basedOn w:val="1"/>
    <w:next w:val="1"/>
    <w:qFormat/>
    <w:uiPriority w:val="0"/>
    <w:pPr>
      <w:spacing w:before="120"/>
    </w:pPr>
    <w:rPr>
      <w:rFonts w:ascii="Arial" w:hAnsi="Arial" w:cs="Arial"/>
    </w:rPr>
  </w:style>
  <w:style w:type="paragraph" w:styleId="13">
    <w:name w:val="annotation text"/>
    <w:basedOn w:val="1"/>
    <w:link w:val="84"/>
    <w:qFormat/>
    <w:uiPriority w:val="0"/>
    <w:pPr>
      <w:jc w:val="left"/>
    </w:pPr>
    <w:rPr>
      <w:rFonts w:ascii="Calibri" w:hAnsi="Calibri" w:eastAsia="宋体"/>
      <w:bCs/>
      <w:kern w:val="2"/>
      <w:szCs w:val="24"/>
    </w:rPr>
  </w:style>
  <w:style w:type="paragraph" w:styleId="14">
    <w:name w:val="Body Text"/>
    <w:basedOn w:val="1"/>
    <w:next w:val="1"/>
    <w:link w:val="86"/>
    <w:qFormat/>
    <w:uiPriority w:val="0"/>
    <w:pPr>
      <w:spacing w:line="540" w:lineRule="exact"/>
    </w:pPr>
    <w:rPr>
      <w:rFonts w:ascii="宋体" w:hAnsi="宋体" w:eastAsia="宋体"/>
      <w:bCs/>
      <w:kern w:val="2"/>
      <w:sz w:val="28"/>
      <w:szCs w:val="24"/>
    </w:rPr>
  </w:style>
  <w:style w:type="paragraph" w:styleId="15">
    <w:name w:val="toc 5"/>
    <w:basedOn w:val="1"/>
    <w:next w:val="1"/>
    <w:unhideWhenUsed/>
    <w:qFormat/>
    <w:uiPriority w:val="39"/>
    <w:pPr>
      <w:ind w:left="1680" w:leftChars="800"/>
    </w:pPr>
    <w:rPr>
      <w:rFonts w:asciiTheme="minorHAnsi" w:hAnsiTheme="minorHAnsi" w:eastAsiaTheme="minorEastAsia" w:cstheme="minorBidi"/>
      <w:kern w:val="2"/>
      <w:sz w:val="21"/>
      <w:szCs w:val="22"/>
      <w:lang w:eastAsia="zh-CN"/>
      <w14:ligatures w14:val="standardContextual"/>
    </w:rPr>
  </w:style>
  <w:style w:type="paragraph" w:styleId="16">
    <w:name w:val="toc 3"/>
    <w:basedOn w:val="1"/>
    <w:next w:val="1"/>
    <w:unhideWhenUsed/>
    <w:qFormat/>
    <w:uiPriority w:val="39"/>
    <w:pPr>
      <w:tabs>
        <w:tab w:val="right" w:leader="dot" w:pos="8296"/>
      </w:tabs>
      <w:spacing w:line="520" w:lineRule="exact"/>
      <w:ind w:left="960"/>
      <w:jc w:val="left"/>
    </w:pPr>
    <w:rPr>
      <w:rFonts w:cs="Calibri"/>
      <w:i/>
      <w:iCs/>
      <w:sz w:val="20"/>
    </w:rPr>
  </w:style>
  <w:style w:type="paragraph" w:styleId="17">
    <w:name w:val="Plain Text"/>
    <w:basedOn w:val="1"/>
    <w:link w:val="94"/>
    <w:qFormat/>
    <w:uiPriority w:val="0"/>
    <w:rPr>
      <w:rFonts w:ascii="宋体" w:hAnsi="Courier New"/>
      <w:sz w:val="20"/>
    </w:rPr>
  </w:style>
  <w:style w:type="paragraph" w:styleId="18">
    <w:name w:val="toc 8"/>
    <w:basedOn w:val="1"/>
    <w:next w:val="1"/>
    <w:unhideWhenUsed/>
    <w:qFormat/>
    <w:uiPriority w:val="39"/>
    <w:pPr>
      <w:ind w:left="2940" w:leftChars="1400"/>
    </w:pPr>
    <w:rPr>
      <w:rFonts w:asciiTheme="minorHAnsi" w:hAnsiTheme="minorHAnsi" w:eastAsiaTheme="minorEastAsia" w:cstheme="minorBidi"/>
      <w:kern w:val="2"/>
      <w:sz w:val="21"/>
      <w:szCs w:val="22"/>
      <w:lang w:eastAsia="zh-CN"/>
      <w14:ligatures w14:val="standardContextual"/>
    </w:rPr>
  </w:style>
  <w:style w:type="paragraph" w:styleId="19">
    <w:name w:val="Body Text Indent 2"/>
    <w:basedOn w:val="1"/>
    <w:next w:val="1"/>
    <w:link w:val="96"/>
    <w:qFormat/>
    <w:uiPriority w:val="0"/>
    <w:pPr>
      <w:spacing w:line="360" w:lineRule="auto"/>
      <w:ind w:firstLine="643" w:firstLineChars="200"/>
    </w:pPr>
    <w:rPr>
      <w:rFonts w:hAnsi="Times New Roman" w:eastAsia="宋体"/>
      <w:bCs/>
      <w:kern w:val="2"/>
      <w:szCs w:val="24"/>
    </w:rPr>
  </w:style>
  <w:style w:type="paragraph" w:styleId="20">
    <w:name w:val="footer"/>
    <w:basedOn w:val="1"/>
    <w:qFormat/>
    <w:uiPriority w:val="0"/>
    <w:pPr>
      <w:tabs>
        <w:tab w:val="center" w:pos="4153"/>
        <w:tab w:val="right" w:pos="8306"/>
      </w:tabs>
      <w:snapToGrid w:val="0"/>
      <w:jc w:val="left"/>
    </w:pPr>
    <w:rPr>
      <w:sz w:val="18"/>
    </w:rPr>
  </w:style>
  <w:style w:type="paragraph" w:styleId="21">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22">
    <w:name w:val="toc 1"/>
    <w:basedOn w:val="1"/>
    <w:next w:val="1"/>
    <w:qFormat/>
    <w:uiPriority w:val="39"/>
  </w:style>
  <w:style w:type="paragraph" w:styleId="23">
    <w:name w:val="toc 4"/>
    <w:basedOn w:val="1"/>
    <w:next w:val="1"/>
    <w:unhideWhenUsed/>
    <w:qFormat/>
    <w:uiPriority w:val="39"/>
    <w:pPr>
      <w:ind w:left="1260" w:leftChars="600"/>
    </w:pPr>
    <w:rPr>
      <w:rFonts w:asciiTheme="minorHAnsi" w:hAnsiTheme="minorHAnsi" w:eastAsiaTheme="minorEastAsia" w:cstheme="minorBidi"/>
      <w:kern w:val="2"/>
      <w:sz w:val="21"/>
      <w:szCs w:val="22"/>
      <w:lang w:eastAsia="zh-CN"/>
      <w14:ligatures w14:val="standardContextual"/>
    </w:rPr>
  </w:style>
  <w:style w:type="paragraph" w:styleId="24">
    <w:name w:val="List"/>
    <w:basedOn w:val="1"/>
    <w:qFormat/>
    <w:uiPriority w:val="0"/>
    <w:pPr>
      <w:ind w:left="200" w:hanging="200" w:hangingChars="200"/>
    </w:pPr>
  </w:style>
  <w:style w:type="paragraph" w:styleId="25">
    <w:name w:val="toc 6"/>
    <w:basedOn w:val="1"/>
    <w:next w:val="1"/>
    <w:unhideWhenUsed/>
    <w:qFormat/>
    <w:uiPriority w:val="39"/>
    <w:pPr>
      <w:ind w:left="2100" w:leftChars="1000"/>
    </w:pPr>
    <w:rPr>
      <w:rFonts w:asciiTheme="minorHAnsi" w:hAnsiTheme="minorHAnsi" w:eastAsiaTheme="minorEastAsia" w:cstheme="minorBidi"/>
      <w:kern w:val="2"/>
      <w:sz w:val="21"/>
      <w:szCs w:val="22"/>
      <w:lang w:eastAsia="zh-CN"/>
      <w14:ligatures w14:val="standardContextual"/>
    </w:rPr>
  </w:style>
  <w:style w:type="paragraph" w:styleId="26">
    <w:name w:val="Body Text Indent 3"/>
    <w:basedOn w:val="1"/>
    <w:qFormat/>
    <w:uiPriority w:val="0"/>
    <w:pPr>
      <w:tabs>
        <w:tab w:val="left" w:pos="540"/>
      </w:tabs>
      <w:ind w:firstLine="720" w:firstLineChars="257"/>
    </w:pPr>
    <w:rPr>
      <w:sz w:val="28"/>
    </w:rPr>
  </w:style>
  <w:style w:type="paragraph" w:styleId="27">
    <w:name w:val="table of figures"/>
    <w:basedOn w:val="1"/>
    <w:next w:val="1"/>
    <w:link w:val="90"/>
    <w:qFormat/>
    <w:uiPriority w:val="0"/>
    <w:pPr>
      <w:ind w:left="200" w:leftChars="200" w:hanging="200" w:hangingChars="200"/>
    </w:pPr>
    <w:rPr>
      <w:szCs w:val="24"/>
    </w:rPr>
  </w:style>
  <w:style w:type="paragraph" w:styleId="28">
    <w:name w:val="toc 2"/>
    <w:basedOn w:val="1"/>
    <w:next w:val="1"/>
    <w:qFormat/>
    <w:uiPriority w:val="39"/>
    <w:pPr>
      <w:ind w:left="420" w:leftChars="200"/>
    </w:pPr>
  </w:style>
  <w:style w:type="paragraph" w:styleId="29">
    <w:name w:val="toc 9"/>
    <w:basedOn w:val="1"/>
    <w:next w:val="1"/>
    <w:unhideWhenUsed/>
    <w:qFormat/>
    <w:uiPriority w:val="39"/>
    <w:pPr>
      <w:ind w:left="3360" w:leftChars="1600"/>
    </w:pPr>
    <w:rPr>
      <w:rFonts w:asciiTheme="minorHAnsi" w:hAnsiTheme="minorHAnsi" w:eastAsiaTheme="minorEastAsia" w:cstheme="minorBidi"/>
      <w:kern w:val="2"/>
      <w:sz w:val="21"/>
      <w:szCs w:val="22"/>
      <w:lang w:eastAsia="zh-CN"/>
      <w14:ligatures w14:val="standardContextual"/>
    </w:rPr>
  </w:style>
  <w:style w:type="paragraph" w:styleId="30">
    <w:name w:val="Body Text 2"/>
    <w:basedOn w:val="1"/>
    <w:qFormat/>
    <w:uiPriority w:val="0"/>
    <w:rPr>
      <w:sz w:val="28"/>
    </w:rPr>
  </w:style>
  <w:style w:type="paragraph" w:styleId="31">
    <w:name w:val="Normal (Web)"/>
    <w:basedOn w:val="1"/>
    <w:unhideWhenUsed/>
    <w:qFormat/>
    <w:uiPriority w:val="99"/>
    <w:pPr>
      <w:widowControl/>
      <w:spacing w:before="100" w:beforeAutospacing="1" w:after="100" w:afterAutospacing="1"/>
      <w:jc w:val="left"/>
    </w:pPr>
    <w:rPr>
      <w:rFonts w:ascii="宋体" w:hAnsi="宋体" w:cs="宋体"/>
    </w:rPr>
  </w:style>
  <w:style w:type="paragraph" w:styleId="32">
    <w:name w:val="annotation subject"/>
    <w:basedOn w:val="13"/>
    <w:next w:val="13"/>
    <w:link w:val="85"/>
    <w:qFormat/>
    <w:uiPriority w:val="0"/>
    <w:rPr>
      <w:rFonts w:ascii="Times New Roman" w:hAnsi="Courier" w:eastAsia="PMingLiU"/>
      <w:b/>
      <w:kern w:val="0"/>
      <w:szCs w:val="20"/>
    </w:rPr>
  </w:style>
  <w:style w:type="table" w:styleId="34">
    <w:name w:val="Table Grid"/>
    <w:basedOn w:val="33"/>
    <w:unhideWhenUsed/>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6">
    <w:name w:val="Strong"/>
    <w:basedOn w:val="35"/>
    <w:qFormat/>
    <w:uiPriority w:val="22"/>
    <w:rPr>
      <w:b/>
      <w:bCs/>
    </w:rPr>
  </w:style>
  <w:style w:type="character" w:styleId="37">
    <w:name w:val="Emphasis"/>
    <w:basedOn w:val="35"/>
    <w:qFormat/>
    <w:uiPriority w:val="20"/>
    <w:rPr>
      <w:i/>
      <w:iCs/>
    </w:rPr>
  </w:style>
  <w:style w:type="character" w:styleId="38">
    <w:name w:val="Hyperlink"/>
    <w:basedOn w:val="35"/>
    <w:qFormat/>
    <w:uiPriority w:val="99"/>
    <w:rPr>
      <w:color w:val="0000FF"/>
      <w:u w:val="single"/>
    </w:rPr>
  </w:style>
  <w:style w:type="character" w:styleId="39">
    <w:name w:val="annotation reference"/>
    <w:basedOn w:val="35"/>
    <w:unhideWhenUsed/>
    <w:qFormat/>
    <w:uiPriority w:val="0"/>
    <w:rPr>
      <w:sz w:val="21"/>
      <w:szCs w:val="21"/>
    </w:rPr>
  </w:style>
  <w:style w:type="paragraph" w:customStyle="1" w:styleId="40">
    <w:name w:val="Char Char Char Char Char Char Char Char Char Char Char2 Char Char Char Char Char Char"/>
    <w:basedOn w:val="1"/>
    <w:qFormat/>
    <w:uiPriority w:val="0"/>
    <w:pPr>
      <w:widowControl/>
      <w:spacing w:after="160" w:line="240" w:lineRule="exact"/>
      <w:jc w:val="left"/>
    </w:pPr>
    <w:rPr>
      <w:szCs w:val="28"/>
    </w:rPr>
  </w:style>
  <w:style w:type="paragraph" w:customStyle="1" w:styleId="41">
    <w:name w:val="Default"/>
    <w:unhideWhenUsed/>
    <w:qFormat/>
    <w:uiPriority w:val="99"/>
    <w:pPr>
      <w:widowControl w:val="0"/>
      <w:autoSpaceDE w:val="0"/>
      <w:autoSpaceDN w:val="0"/>
      <w:adjustRightInd w:val="0"/>
    </w:pPr>
    <w:rPr>
      <w:rFonts w:hint="eastAsia" w:ascii="Times New Roman" w:hAnsi="Times New Roman" w:eastAsia="Times New Roman" w:cstheme="minorBidi"/>
      <w:color w:val="000000"/>
      <w:sz w:val="24"/>
      <w:szCs w:val="24"/>
      <w:lang w:val="en-US" w:eastAsia="zh-CN" w:bidi="ar-SA"/>
    </w:rPr>
  </w:style>
  <w:style w:type="paragraph" w:customStyle="1" w:styleId="42">
    <w:name w:val="cs正文"/>
    <w:basedOn w:val="1"/>
    <w:qFormat/>
    <w:uiPriority w:val="0"/>
    <w:rPr>
      <w:rFonts w:cs="Calibri"/>
      <w:color w:val="000000"/>
    </w:rPr>
  </w:style>
  <w:style w:type="paragraph" w:customStyle="1" w:styleId="43">
    <w:name w:val="1、L表内字"/>
    <w:basedOn w:val="1"/>
    <w:qFormat/>
    <w:uiPriority w:val="0"/>
    <w:pPr>
      <w:adjustRightInd w:val="0"/>
      <w:snapToGrid w:val="0"/>
      <w:jc w:val="center"/>
    </w:pPr>
    <w:rPr>
      <w:color w:val="000000"/>
      <w:sz w:val="21"/>
      <w:szCs w:val="21"/>
    </w:rPr>
  </w:style>
  <w:style w:type="paragraph" w:customStyle="1" w:styleId="44">
    <w:name w:val="Table Paragraph"/>
    <w:basedOn w:val="1"/>
    <w:unhideWhenUsed/>
    <w:qFormat/>
    <w:uiPriority w:val="0"/>
  </w:style>
  <w:style w:type="paragraph" w:customStyle="1" w:styleId="45">
    <w:name w:val="表格"/>
    <w:basedOn w:val="24"/>
    <w:next w:val="1"/>
    <w:qFormat/>
    <w:uiPriority w:val="0"/>
    <w:pPr>
      <w:spacing w:line="380" w:lineRule="exact"/>
      <w:jc w:val="center"/>
    </w:pPr>
    <w:rPr>
      <w:rFonts w:ascii="宋体" w:hAnsi="宋体" w:eastAsia="宋体"/>
      <w:snapToGrid w:val="0"/>
      <w:sz w:val="21"/>
      <w:lang w:eastAsia="zh-CN"/>
    </w:rPr>
  </w:style>
  <w:style w:type="paragraph" w:customStyle="1" w:styleId="46">
    <w:name w:val="表格内容"/>
    <w:basedOn w:val="1"/>
    <w:next w:val="1"/>
    <w:qFormat/>
    <w:uiPriority w:val="0"/>
    <w:pPr>
      <w:spacing w:line="280" w:lineRule="exact"/>
      <w:jc w:val="center"/>
    </w:pPr>
    <w:rPr>
      <w:bCs/>
      <w:color w:val="FF0000"/>
      <w:sz w:val="18"/>
    </w:rPr>
  </w:style>
  <w:style w:type="paragraph" w:customStyle="1" w:styleId="47">
    <w:name w:val="表内容"/>
    <w:basedOn w:val="1"/>
    <w:qFormat/>
    <w:uiPriority w:val="0"/>
    <w:pPr>
      <w:jc w:val="center"/>
      <w:textAlignment w:val="baseline"/>
    </w:pPr>
    <w:rPr>
      <w:rFonts w:ascii="宋体" w:hAnsi="宋体"/>
      <w:color w:val="000000"/>
      <w:szCs w:val="21"/>
    </w:rPr>
  </w:style>
  <w:style w:type="paragraph" w:customStyle="1" w:styleId="48">
    <w:name w:val="表格首行"/>
    <w:basedOn w:val="1"/>
    <w:next w:val="1"/>
    <w:qFormat/>
    <w:uiPriority w:val="0"/>
    <w:pPr>
      <w:jc w:val="center"/>
    </w:pPr>
    <w:rPr>
      <w:rFonts w:hAnsi="Times New Roman" w:cs="宋体"/>
      <w:b/>
    </w:rPr>
  </w:style>
  <w:style w:type="paragraph" w:customStyle="1" w:styleId="49">
    <w:name w:val="0表格"/>
    <w:basedOn w:val="1"/>
    <w:qFormat/>
    <w:uiPriority w:val="0"/>
    <w:pPr>
      <w:jc w:val="center"/>
    </w:pPr>
    <w:rPr>
      <w:rFonts w:hAnsi="Times New Roman"/>
      <w:szCs w:val="24"/>
      <w:lang w:val="zh-CN"/>
    </w:rPr>
  </w:style>
  <w:style w:type="paragraph" w:customStyle="1" w:styleId="50">
    <w:name w:val="正文-欣欣"/>
    <w:basedOn w:val="17"/>
    <w:next w:val="1"/>
    <w:qFormat/>
    <w:uiPriority w:val="0"/>
    <w:pPr>
      <w:adjustRightInd w:val="0"/>
      <w:spacing w:line="360" w:lineRule="auto"/>
      <w:ind w:firstLine="200" w:firstLineChars="200"/>
    </w:pPr>
    <w:rPr>
      <w:rFonts w:ascii="Times New Roman" w:hAnsi="Times New Roman"/>
      <w:sz w:val="24"/>
      <w:szCs w:val="30"/>
    </w:rPr>
  </w:style>
  <w:style w:type="paragraph" w:customStyle="1" w:styleId="51">
    <w:name w:val="LRY正文"/>
    <w:basedOn w:val="2"/>
    <w:qFormat/>
    <w:uiPriority w:val="0"/>
    <w:pPr>
      <w:spacing w:after="0" w:line="360" w:lineRule="auto"/>
      <w:ind w:left="0" w:leftChars="0" w:firstLine="480"/>
    </w:pPr>
    <w:rPr>
      <w:rFonts w:eastAsiaTheme="minorEastAsia"/>
      <w:bCs/>
      <w:sz w:val="24"/>
      <w:szCs w:val="24"/>
    </w:rPr>
  </w:style>
  <w:style w:type="paragraph" w:customStyle="1" w:styleId="52">
    <w:name w:val="图表标题"/>
    <w:basedOn w:val="53"/>
    <w:qFormat/>
    <w:uiPriority w:val="0"/>
    <w:pPr>
      <w:numPr>
        <w:ilvl w:val="1"/>
        <w:numId w:val="1"/>
      </w:numPr>
    </w:pPr>
  </w:style>
  <w:style w:type="paragraph" w:customStyle="1" w:styleId="53">
    <w:name w:val="正文-1"/>
    <w:basedOn w:val="17"/>
    <w:next w:val="1"/>
    <w:qFormat/>
    <w:uiPriority w:val="0"/>
    <w:pPr>
      <w:adjustRightInd w:val="0"/>
      <w:spacing w:line="360" w:lineRule="auto"/>
      <w:ind w:firstLine="200" w:firstLineChars="200"/>
    </w:pPr>
    <w:rPr>
      <w:rFonts w:ascii="Times New Roman" w:hAnsi="Times New Roman"/>
      <w:sz w:val="24"/>
      <w:szCs w:val="30"/>
    </w:rPr>
  </w:style>
  <w:style w:type="character" w:customStyle="1" w:styleId="54">
    <w:name w:val="标题 3 字符"/>
    <w:link w:val="6"/>
    <w:qFormat/>
    <w:uiPriority w:val="0"/>
    <w:rPr>
      <w:rFonts w:ascii="Times New Roman" w:hAnsi="Times New Roman" w:eastAsia="宋体"/>
      <w:b/>
      <w:sz w:val="24"/>
    </w:rPr>
  </w:style>
  <w:style w:type="paragraph" w:customStyle="1" w:styleId="55">
    <w:name w:val="安全核准"/>
    <w:basedOn w:val="1"/>
    <w:link w:val="83"/>
    <w:qFormat/>
    <w:uiPriority w:val="0"/>
    <w:pPr>
      <w:adjustRightInd w:val="0"/>
      <w:spacing w:line="440" w:lineRule="exact"/>
      <w:ind w:firstLine="480" w:firstLineChars="200"/>
    </w:pPr>
    <w:rPr>
      <w:szCs w:val="24"/>
    </w:rPr>
  </w:style>
  <w:style w:type="paragraph" w:styleId="56">
    <w:name w:val="List Paragraph"/>
    <w:basedOn w:val="1"/>
    <w:qFormat/>
    <w:uiPriority w:val="34"/>
    <w:pPr>
      <w:ind w:firstLine="420" w:firstLineChars="200"/>
    </w:pPr>
  </w:style>
  <w:style w:type="paragraph" w:customStyle="1" w:styleId="57">
    <w:name w:val="rpt_表项"/>
    <w:basedOn w:val="1"/>
    <w:qFormat/>
    <w:uiPriority w:val="0"/>
    <w:pPr>
      <w:spacing w:before="60" w:after="60"/>
      <w:jc w:val="center"/>
    </w:pPr>
    <w:rPr>
      <w:rFonts w:cs="宋体"/>
      <w:sz w:val="22"/>
    </w:rPr>
  </w:style>
  <w:style w:type="paragraph" w:customStyle="1" w:styleId="58">
    <w:name w:val="rpt_Cover_监测类别"/>
    <w:basedOn w:val="59"/>
    <w:qFormat/>
    <w:uiPriority w:val="0"/>
  </w:style>
  <w:style w:type="paragraph" w:customStyle="1" w:styleId="59">
    <w:name w:val="rpt_Cover_项目内容"/>
    <w:basedOn w:val="1"/>
    <w:qFormat/>
    <w:uiPriority w:val="0"/>
    <w:rPr>
      <w:sz w:val="30"/>
      <w:szCs w:val="30"/>
    </w:rPr>
  </w:style>
  <w:style w:type="paragraph" w:customStyle="1" w:styleId="60">
    <w:name w:val="标准样式"/>
    <w:basedOn w:val="1"/>
    <w:link w:val="95"/>
    <w:qFormat/>
    <w:uiPriority w:val="0"/>
    <w:pPr>
      <w:spacing w:line="600" w:lineRule="exact"/>
      <w:ind w:firstLine="567"/>
    </w:pPr>
    <w:rPr>
      <w:sz w:val="28"/>
    </w:rPr>
  </w:style>
  <w:style w:type="paragraph" w:customStyle="1" w:styleId="61">
    <w:name w:val="标题4"/>
    <w:basedOn w:val="1"/>
    <w:qFormat/>
    <w:uiPriority w:val="0"/>
    <w:pPr>
      <w:ind w:firstLine="562"/>
    </w:pPr>
    <w:rPr>
      <w:rFonts w:ascii="Calibri" w:hAnsi="Calibri" w:eastAsia="宋体"/>
      <w:bCs/>
      <w:kern w:val="2"/>
      <w:szCs w:val="24"/>
    </w:rPr>
  </w:style>
  <w:style w:type="paragraph" w:customStyle="1" w:styleId="62">
    <w:name w:val="图表内容"/>
    <w:basedOn w:val="1"/>
    <w:next w:val="1"/>
    <w:link w:val="91"/>
    <w:unhideWhenUsed/>
    <w:qFormat/>
    <w:uiPriority w:val="0"/>
    <w:pPr>
      <w:jc w:val="center"/>
    </w:pPr>
    <w:rPr>
      <w:sz w:val="21"/>
    </w:rPr>
  </w:style>
  <w:style w:type="paragraph" w:customStyle="1" w:styleId="63">
    <w:name w:val="正文-"/>
    <w:basedOn w:val="1"/>
    <w:qFormat/>
    <w:uiPriority w:val="0"/>
    <w:rPr>
      <w:bCs/>
      <w:szCs w:val="22"/>
    </w:rPr>
  </w:style>
  <w:style w:type="paragraph" w:customStyle="1" w:styleId="64">
    <w:name w:val="表格正文"/>
    <w:qFormat/>
    <w:uiPriority w:val="0"/>
    <w:pPr>
      <w:jc w:val="center"/>
    </w:pPr>
    <w:rPr>
      <w:rFonts w:ascii="Times New Roman" w:hAnsi="Times New Roman" w:eastAsia="宋体" w:cs="Times New Roman"/>
      <w:kern w:val="2"/>
      <w:sz w:val="18"/>
      <w:szCs w:val="21"/>
      <w:lang w:val="en-US" w:eastAsia="zh-CN" w:bidi="ar-SA"/>
    </w:rPr>
  </w:style>
  <w:style w:type="character" w:customStyle="1" w:styleId="65">
    <w:name w:val="apple-converted-space"/>
    <w:qFormat/>
    <w:uiPriority w:val="0"/>
  </w:style>
  <w:style w:type="paragraph" w:customStyle="1" w:styleId="66">
    <w:name w:val="图表名称"/>
    <w:qFormat/>
    <w:uiPriority w:val="0"/>
    <w:pPr>
      <w:spacing w:line="360" w:lineRule="auto"/>
      <w:jc w:val="center"/>
    </w:pPr>
    <w:rPr>
      <w:rFonts w:ascii="Times New Roman" w:hAnsi="Times New Roman" w:eastAsia="黑体" w:cs="Times New Roman"/>
      <w:b/>
      <w:kern w:val="2"/>
      <w:sz w:val="21"/>
      <w:szCs w:val="22"/>
      <w:lang w:val="en-US" w:eastAsia="zh-CN" w:bidi="ar-SA"/>
    </w:rPr>
  </w:style>
  <w:style w:type="character" w:customStyle="1" w:styleId="67">
    <w:name w:val="font01"/>
    <w:basedOn w:val="35"/>
    <w:qFormat/>
    <w:uiPriority w:val="0"/>
    <w:rPr>
      <w:rFonts w:hint="eastAsia" w:ascii="宋体" w:hAnsi="宋体" w:eastAsia="宋体" w:cs="宋体"/>
      <w:color w:val="000000"/>
      <w:sz w:val="24"/>
      <w:szCs w:val="24"/>
      <w:u w:val="none"/>
    </w:rPr>
  </w:style>
  <w:style w:type="character" w:customStyle="1" w:styleId="68">
    <w:name w:val="font41"/>
    <w:basedOn w:val="35"/>
    <w:qFormat/>
    <w:uiPriority w:val="0"/>
    <w:rPr>
      <w:rFonts w:hint="eastAsia" w:ascii="宋体" w:hAnsi="宋体" w:eastAsia="宋体" w:cs="宋体"/>
      <w:color w:val="000000"/>
      <w:sz w:val="24"/>
      <w:szCs w:val="24"/>
      <w:u w:val="none"/>
      <w:vertAlign w:val="superscript"/>
    </w:rPr>
  </w:style>
  <w:style w:type="paragraph" w:customStyle="1" w:styleId="69">
    <w:name w:val="rpt_正文"/>
    <w:qFormat/>
    <w:uiPriority w:val="0"/>
    <w:pPr>
      <w:spacing w:line="400" w:lineRule="exact"/>
      <w:ind w:firstLine="480" w:firstLineChars="200"/>
    </w:pPr>
    <w:rPr>
      <w:rFonts w:ascii="Times New Roman" w:hAnsi="Times New Roman" w:eastAsia="宋体" w:cs="宋体"/>
      <w:kern w:val="2"/>
      <w:sz w:val="24"/>
      <w:lang w:val="en-US" w:eastAsia="zh-CN" w:bidi="ar-SA"/>
    </w:rPr>
  </w:style>
  <w:style w:type="paragraph" w:styleId="70">
    <w:name w:val="No Spacing"/>
    <w:next w:val="14"/>
    <w:qFormat/>
    <w:uiPriority w:val="1"/>
    <w:pPr>
      <w:widowControl w:val="0"/>
      <w:spacing w:line="200" w:lineRule="exact"/>
      <w:jc w:val="both"/>
    </w:pPr>
    <w:rPr>
      <w:rFonts w:ascii="Times New Roman" w:hAnsi="Times New Roman" w:eastAsia="楷体" w:cs="Times New Roman"/>
      <w:kern w:val="2"/>
      <w:sz w:val="18"/>
      <w:szCs w:val="24"/>
      <w:lang w:val="en-US" w:eastAsia="zh-CN" w:bidi="ar-SA"/>
    </w:rPr>
  </w:style>
  <w:style w:type="paragraph" w:customStyle="1" w:styleId="71">
    <w:name w:val="无间隔1"/>
    <w:next w:val="14"/>
    <w:qFormat/>
    <w:uiPriority w:val="99"/>
    <w:pPr>
      <w:widowControl w:val="0"/>
      <w:spacing w:line="200" w:lineRule="exact"/>
      <w:jc w:val="both"/>
    </w:pPr>
    <w:rPr>
      <w:rFonts w:ascii="Times New Roman" w:hAnsi="Times New Roman" w:eastAsia="楷体" w:cs="Times New Roman"/>
      <w:kern w:val="2"/>
      <w:sz w:val="18"/>
      <w:szCs w:val="24"/>
      <w:lang w:val="en-US" w:eastAsia="zh-CN" w:bidi="ar-SA"/>
    </w:rPr>
  </w:style>
  <w:style w:type="paragraph" w:customStyle="1" w:styleId="72">
    <w:name w:val="!正文(alt+c)"/>
    <w:link w:val="100"/>
    <w:qFormat/>
    <w:uiPriority w:val="0"/>
    <w:pPr>
      <w:spacing w:line="460" w:lineRule="exact"/>
      <w:ind w:firstLine="480" w:firstLineChars="200"/>
      <w:jc w:val="both"/>
    </w:pPr>
    <w:rPr>
      <w:rFonts w:ascii="宋体" w:hAnsi="宋体" w:eastAsiaTheme="minorEastAsia" w:cstheme="minorBidi"/>
      <w:color w:val="000000"/>
      <w:kern w:val="2"/>
      <w:sz w:val="24"/>
      <w:szCs w:val="24"/>
      <w:lang w:val="en-US" w:eastAsia="zh-CN" w:bidi="ar-SA"/>
    </w:rPr>
  </w:style>
  <w:style w:type="paragraph" w:customStyle="1" w:styleId="73">
    <w:name w:val="应急预案正文"/>
    <w:basedOn w:val="1"/>
    <w:qFormat/>
    <w:uiPriority w:val="0"/>
    <w:pPr>
      <w:spacing w:line="520" w:lineRule="exact"/>
    </w:pPr>
    <w:rPr>
      <w:rFonts w:ascii="仿宋_GB2312" w:hAnsi="宋体" w:eastAsia="仿宋_GB2312"/>
      <w:bCs/>
      <w:sz w:val="28"/>
      <w:szCs w:val="28"/>
      <w:lang w:val="zh-CN"/>
    </w:rPr>
  </w:style>
  <w:style w:type="paragraph" w:customStyle="1" w:styleId="74">
    <w:name w:val="1"/>
    <w:basedOn w:val="1"/>
    <w:next w:val="3"/>
    <w:qFormat/>
    <w:uiPriority w:val="0"/>
    <w:pPr>
      <w:topLinePunct/>
      <w:spacing w:line="300" w:lineRule="auto"/>
      <w:ind w:firstLine="480" w:firstLineChars="200"/>
    </w:pPr>
    <w:rPr>
      <w:rFonts w:hAnsi="Times New Roman" w:eastAsia="宋体"/>
    </w:rPr>
  </w:style>
  <w:style w:type="table" w:customStyle="1" w:styleId="75">
    <w:name w:val="三线表"/>
    <w:basedOn w:val="33"/>
    <w:qFormat/>
    <w:uiPriority w:val="99"/>
    <w:pPr>
      <w:jc w:val="center"/>
    </w:pPr>
    <w:rPr>
      <w:sz w:val="21"/>
    </w:rPr>
    <w:tblPr>
      <w:jc w:val="center"/>
      <w:tblBorders>
        <w:top w:val="single" w:color="auto" w:sz="12" w:space="0"/>
        <w:bottom w:val="single" w:color="auto" w:sz="12" w:space="0"/>
        <w:insideH w:val="single" w:color="auto" w:sz="2" w:space="0"/>
        <w:insideV w:val="single" w:color="auto" w:sz="2" w:space="0"/>
      </w:tblBorders>
    </w:tblPr>
    <w:trPr>
      <w:jc w:val="center"/>
    </w:trPr>
    <w:tcPr>
      <w:vAlign w:val="center"/>
    </w:tcPr>
  </w:style>
  <w:style w:type="paragraph" w:customStyle="1" w:styleId="76">
    <w:name w:val="环表"/>
    <w:basedOn w:val="1"/>
    <w:next w:val="1"/>
    <w:qFormat/>
    <w:uiPriority w:val="0"/>
    <w:pPr>
      <w:adjustRightInd w:val="0"/>
      <w:spacing w:beforeLines="10" w:afterLines="10"/>
      <w:jc w:val="center"/>
    </w:pPr>
    <w:rPr>
      <w:sz w:val="21"/>
      <w:szCs w:val="21"/>
    </w:rPr>
  </w:style>
  <w:style w:type="paragraph" w:customStyle="1" w:styleId="77">
    <w:name w:val="1、正文文本"/>
    <w:next w:val="1"/>
    <w:qFormat/>
    <w:uiPriority w:val="0"/>
    <w:pPr>
      <w:adjustRightInd w:val="0"/>
      <w:snapToGrid w:val="0"/>
      <w:spacing w:line="360" w:lineRule="auto"/>
      <w:ind w:firstLine="200" w:firstLineChars="200"/>
      <w:jc w:val="both"/>
    </w:pPr>
    <w:rPr>
      <w:rFonts w:ascii="Times New Roman" w:hAnsi="Times New Roman" w:eastAsia="宋体" w:cs="Times New Roman"/>
      <w:color w:val="FF0000"/>
      <w:kern w:val="2"/>
      <w:sz w:val="24"/>
      <w:szCs w:val="24"/>
      <w:lang w:val="en-US" w:eastAsia="zh-CN" w:bidi="ar-SA"/>
    </w:rPr>
  </w:style>
  <w:style w:type="table" w:customStyle="1" w:styleId="78">
    <w:name w:val="网格型4"/>
    <w:basedOn w:val="33"/>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79">
    <w:name w:val="TAN表头"/>
    <w:basedOn w:val="1"/>
    <w:qFormat/>
    <w:uiPriority w:val="0"/>
    <w:pPr>
      <w:jc w:val="center"/>
    </w:pPr>
    <w:rPr>
      <w:rFonts w:hAnsi="Times New Roman"/>
      <w:b/>
      <w:sz w:val="21"/>
    </w:rPr>
  </w:style>
  <w:style w:type="paragraph" w:customStyle="1" w:styleId="80">
    <w:name w:val="磷矿正文"/>
    <w:basedOn w:val="1"/>
    <w:qFormat/>
    <w:uiPriority w:val="0"/>
    <w:pPr>
      <w:autoSpaceDE w:val="0"/>
      <w:autoSpaceDN w:val="0"/>
      <w:adjustRightInd w:val="0"/>
      <w:spacing w:line="360" w:lineRule="auto"/>
      <w:ind w:firstLine="200" w:firstLineChars="200"/>
    </w:pPr>
  </w:style>
  <w:style w:type="paragraph" w:customStyle="1" w:styleId="81">
    <w:name w:val="报告"/>
    <w:basedOn w:val="1"/>
    <w:link w:val="103"/>
    <w:qFormat/>
    <w:uiPriority w:val="0"/>
    <w:pPr>
      <w:autoSpaceDE w:val="0"/>
      <w:autoSpaceDN w:val="0"/>
      <w:adjustRightInd w:val="0"/>
      <w:spacing w:line="360" w:lineRule="auto"/>
      <w:ind w:firstLine="505"/>
      <w:jc w:val="left"/>
      <w:textAlignment w:val="baseline"/>
    </w:pPr>
    <w:rPr>
      <w:rFonts w:ascii="Calibri" w:hAnsi="Calibri"/>
    </w:rPr>
  </w:style>
  <w:style w:type="table" w:customStyle="1" w:styleId="82">
    <w:name w:val="网格型9"/>
    <w:basedOn w:val="3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83">
    <w:name w:val="安全核准 字符"/>
    <w:link w:val="55"/>
    <w:qFormat/>
    <w:uiPriority w:val="0"/>
    <w:rPr>
      <w:rFonts w:hAnsi="Courier" w:eastAsia="PMingLiU"/>
      <w:sz w:val="24"/>
      <w:szCs w:val="24"/>
      <w:lang w:eastAsia="zh-TW"/>
    </w:rPr>
  </w:style>
  <w:style w:type="character" w:customStyle="1" w:styleId="84">
    <w:name w:val="批注文字 字符"/>
    <w:basedOn w:val="35"/>
    <w:link w:val="13"/>
    <w:qFormat/>
    <w:uiPriority w:val="0"/>
    <w:rPr>
      <w:rFonts w:ascii="Calibri" w:hAnsi="Calibri"/>
      <w:bCs/>
      <w:kern w:val="2"/>
      <w:sz w:val="24"/>
      <w:szCs w:val="24"/>
      <w:lang w:eastAsia="zh-TW"/>
    </w:rPr>
  </w:style>
  <w:style w:type="character" w:customStyle="1" w:styleId="85">
    <w:name w:val="批注主题 字符"/>
    <w:basedOn w:val="84"/>
    <w:link w:val="32"/>
    <w:qFormat/>
    <w:uiPriority w:val="0"/>
    <w:rPr>
      <w:rFonts w:ascii="Calibri" w:hAnsi="Courier" w:eastAsia="PMingLiU"/>
      <w:b/>
      <w:kern w:val="2"/>
      <w:sz w:val="24"/>
      <w:szCs w:val="24"/>
      <w:lang w:eastAsia="zh-TW"/>
    </w:rPr>
  </w:style>
  <w:style w:type="character" w:customStyle="1" w:styleId="86">
    <w:name w:val="正文文本 字符"/>
    <w:basedOn w:val="35"/>
    <w:link w:val="14"/>
    <w:qFormat/>
    <w:uiPriority w:val="0"/>
    <w:rPr>
      <w:rFonts w:ascii="宋体" w:hAnsi="宋体"/>
      <w:bCs/>
      <w:kern w:val="2"/>
      <w:sz w:val="28"/>
      <w:szCs w:val="24"/>
      <w:lang w:eastAsia="zh-TW"/>
    </w:rPr>
  </w:style>
  <w:style w:type="character" w:customStyle="1" w:styleId="87">
    <w:name w:val="正文(首行缩进) Char1"/>
    <w:link w:val="88"/>
    <w:qFormat/>
    <w:uiPriority w:val="0"/>
    <w:rPr>
      <w:snapToGrid w:val="0"/>
      <w:color w:val="000000"/>
      <w:sz w:val="24"/>
      <w:szCs w:val="24"/>
    </w:rPr>
  </w:style>
  <w:style w:type="paragraph" w:customStyle="1" w:styleId="88">
    <w:name w:val="正文(首行缩进)"/>
    <w:basedOn w:val="1"/>
    <w:link w:val="87"/>
    <w:qFormat/>
    <w:uiPriority w:val="0"/>
    <w:pPr>
      <w:spacing w:line="360" w:lineRule="auto"/>
      <w:ind w:firstLine="540" w:firstLineChars="225"/>
    </w:pPr>
    <w:rPr>
      <w:rFonts w:hAnsi="Times New Roman" w:eastAsia="宋体"/>
      <w:snapToGrid w:val="0"/>
      <w:color w:val="000000"/>
      <w:szCs w:val="24"/>
      <w:lang w:eastAsia="zh-CN"/>
    </w:rPr>
  </w:style>
  <w:style w:type="paragraph" w:customStyle="1" w:styleId="89">
    <w:name w:val="三级标题"/>
    <w:basedOn w:val="1"/>
    <w:next w:val="7"/>
    <w:qFormat/>
    <w:uiPriority w:val="0"/>
    <w:pPr>
      <w:spacing w:before="120" w:after="50" w:afterLines="50" w:line="360" w:lineRule="auto"/>
      <w:jc w:val="left"/>
      <w:outlineLvl w:val="2"/>
    </w:pPr>
    <w:rPr>
      <w:rFonts w:hAnsi="Times New Roman" w:eastAsia="宋体"/>
      <w:b/>
      <w:kern w:val="2"/>
      <w:sz w:val="28"/>
      <w:szCs w:val="30"/>
      <w:lang w:eastAsia="zh-CN"/>
    </w:rPr>
  </w:style>
  <w:style w:type="character" w:customStyle="1" w:styleId="90">
    <w:name w:val="图表目录 字符"/>
    <w:link w:val="27"/>
    <w:qFormat/>
    <w:uiPriority w:val="0"/>
    <w:rPr>
      <w:rFonts w:hAnsi="Courier" w:eastAsia="PMingLiU"/>
      <w:sz w:val="24"/>
      <w:szCs w:val="24"/>
      <w:lang w:eastAsia="zh-TW"/>
    </w:rPr>
  </w:style>
  <w:style w:type="character" w:customStyle="1" w:styleId="91">
    <w:name w:val="图表内容 字符"/>
    <w:link w:val="62"/>
    <w:qFormat/>
    <w:uiPriority w:val="0"/>
    <w:rPr>
      <w:rFonts w:hAnsi="Courier" w:eastAsia="PMingLiU"/>
      <w:sz w:val="21"/>
      <w:lang w:eastAsia="zh-TW"/>
    </w:rPr>
  </w:style>
  <w:style w:type="paragraph" w:customStyle="1" w:styleId="92">
    <w:name w:val="，"/>
    <w:basedOn w:val="1"/>
    <w:qFormat/>
    <w:uiPriority w:val="0"/>
    <w:pPr>
      <w:widowControl/>
      <w:spacing w:line="500" w:lineRule="exact"/>
      <w:jc w:val="left"/>
    </w:pPr>
    <w:rPr>
      <w:rFonts w:ascii="宋体" w:hAnsi="宋体" w:eastAsia="宋体" w:cs="宋体"/>
      <w:sz w:val="28"/>
      <w:szCs w:val="24"/>
      <w:lang w:eastAsia="zh-CN"/>
    </w:rPr>
  </w:style>
  <w:style w:type="character" w:customStyle="1" w:styleId="93">
    <w:name w:val="批注文字 字符1"/>
    <w:qFormat/>
    <w:uiPriority w:val="0"/>
    <w:rPr>
      <w:rFonts w:ascii="宋体" w:hAnsi="宋体" w:cs="宋体"/>
      <w:sz w:val="24"/>
      <w:szCs w:val="24"/>
    </w:rPr>
  </w:style>
  <w:style w:type="character" w:customStyle="1" w:styleId="94">
    <w:name w:val="纯文本 字符"/>
    <w:basedOn w:val="35"/>
    <w:link w:val="17"/>
    <w:qFormat/>
    <w:uiPriority w:val="0"/>
    <w:rPr>
      <w:rFonts w:ascii="宋体" w:hAnsi="Courier New" w:eastAsia="PMingLiU"/>
      <w:lang w:eastAsia="zh-TW"/>
    </w:rPr>
  </w:style>
  <w:style w:type="character" w:customStyle="1" w:styleId="95">
    <w:name w:val="标准样式 Char1"/>
    <w:link w:val="60"/>
    <w:qFormat/>
    <w:uiPriority w:val="0"/>
    <w:rPr>
      <w:rFonts w:hAnsi="Courier" w:eastAsia="PMingLiU"/>
      <w:sz w:val="28"/>
      <w:lang w:eastAsia="zh-TW"/>
    </w:rPr>
  </w:style>
  <w:style w:type="character" w:customStyle="1" w:styleId="96">
    <w:name w:val="正文文本缩进 2 字符"/>
    <w:basedOn w:val="35"/>
    <w:link w:val="19"/>
    <w:qFormat/>
    <w:uiPriority w:val="0"/>
    <w:rPr>
      <w:bCs/>
      <w:kern w:val="2"/>
      <w:sz w:val="24"/>
      <w:szCs w:val="24"/>
      <w:lang w:eastAsia="zh-TW"/>
    </w:rPr>
  </w:style>
  <w:style w:type="paragraph" w:customStyle="1" w:styleId="97">
    <w:name w:val="【正文.】"/>
    <w:basedOn w:val="1"/>
    <w:qFormat/>
    <w:uiPriority w:val="0"/>
    <w:pPr>
      <w:adjustRightInd w:val="0"/>
      <w:snapToGrid w:val="0"/>
      <w:ind w:firstLine="200"/>
    </w:pPr>
    <w:rPr>
      <w:rFonts w:asciiTheme="minorHAnsi" w:hAnsiTheme="minorHAnsi" w:eastAsiaTheme="minorEastAsia" w:cstheme="minorBidi"/>
      <w:iCs/>
      <w:snapToGrid w:val="0"/>
      <w:sz w:val="21"/>
      <w:szCs w:val="22"/>
      <w:lang w:eastAsia="zh-CN"/>
    </w:rPr>
  </w:style>
  <w:style w:type="paragraph" w:customStyle="1" w:styleId="98">
    <w:name w:val="简单回函地址"/>
    <w:basedOn w:val="1"/>
    <w:next w:val="1"/>
    <w:qFormat/>
    <w:uiPriority w:val="99"/>
    <w:pPr>
      <w:ind w:left="480" w:firstLine="420"/>
      <w:jc w:val="left"/>
    </w:pPr>
    <w:rPr>
      <w:rFonts w:hAnsi="Times New Roman" w:eastAsia="宋体"/>
      <w:iCs/>
      <w:kern w:val="2"/>
      <w:sz w:val="21"/>
      <w:lang w:eastAsia="zh-CN"/>
    </w:rPr>
  </w:style>
  <w:style w:type="paragraph" w:customStyle="1" w:styleId="99">
    <w:name w:val="正文2"/>
    <w:basedOn w:val="3"/>
    <w:next w:val="1"/>
    <w:qFormat/>
    <w:uiPriority w:val="0"/>
    <w:pPr>
      <w:tabs>
        <w:tab w:val="left" w:pos="750"/>
        <w:tab w:val="left" w:pos="1260"/>
        <w:tab w:val="left" w:pos="6326"/>
        <w:tab w:val="left" w:pos="7230"/>
        <w:tab w:val="left" w:pos="9301"/>
      </w:tabs>
      <w:autoSpaceDE w:val="0"/>
      <w:autoSpaceDN w:val="0"/>
      <w:adjustRightInd w:val="0"/>
      <w:snapToGrid w:val="0"/>
      <w:spacing w:after="120" w:line="560" w:lineRule="exact"/>
      <w:ind w:left="750" w:leftChars="200" w:hanging="720" w:firstLineChars="0"/>
      <w:textAlignment w:val="baseline"/>
    </w:pPr>
    <w:rPr>
      <w:rFonts w:ascii="Arial Narrow" w:hAnsi="Arial Narrow" w:eastAsia="华文细黑" w:cs="宋体"/>
      <w:iCs/>
      <w:color w:val="000000"/>
      <w:kern w:val="10"/>
      <w:sz w:val="24"/>
      <w:szCs w:val="24"/>
      <w:lang w:eastAsia="zh-CN"/>
    </w:rPr>
  </w:style>
  <w:style w:type="character" w:customStyle="1" w:styleId="100">
    <w:name w:val="!正文(alt+c) Char Char"/>
    <w:link w:val="72"/>
    <w:qFormat/>
    <w:uiPriority w:val="0"/>
    <w:rPr>
      <w:rFonts w:ascii="宋体" w:hAnsi="宋体" w:eastAsiaTheme="minorEastAsia" w:cstheme="minorBidi"/>
      <w:color w:val="000000"/>
      <w:kern w:val="2"/>
      <w:sz w:val="24"/>
      <w:szCs w:val="24"/>
    </w:rPr>
  </w:style>
  <w:style w:type="character" w:customStyle="1" w:styleId="101">
    <w:name w:val="font21"/>
    <w:basedOn w:val="35"/>
    <w:qFormat/>
    <w:uiPriority w:val="0"/>
    <w:rPr>
      <w:rFonts w:hint="eastAsia" w:ascii="宋体" w:hAnsi="宋体" w:eastAsia="宋体" w:cs="宋体"/>
      <w:color w:val="000000"/>
      <w:sz w:val="24"/>
      <w:szCs w:val="24"/>
      <w:u w:val="none"/>
    </w:rPr>
  </w:style>
  <w:style w:type="table" w:customStyle="1" w:styleId="102">
    <w:name w:val="网格型411"/>
    <w:basedOn w:val="33"/>
    <w:qFormat/>
    <w:uiPriority w:val="0"/>
    <w:rPr>
      <w:rFonts w:ascii="Calibri" w:hAnsi="Calibri" w:eastAsia="Times New Roman" w:cs="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03">
    <w:name w:val="报告 Char Char"/>
    <w:link w:val="81"/>
    <w:qFormat/>
    <w:uiPriority w:val="0"/>
    <w:rPr>
      <w:rFonts w:ascii="Calibri" w:hAnsi="Calibri" w:eastAsia="PMingLiU"/>
      <w:sz w:val="24"/>
      <w:lang w:eastAsia="zh-TW"/>
    </w:rPr>
  </w:style>
  <w:style w:type="paragraph" w:customStyle="1" w:styleId="104">
    <w:name w:val="正文内容"/>
    <w:basedOn w:val="1"/>
    <w:qFormat/>
    <w:uiPriority w:val="99"/>
    <w:pPr>
      <w:autoSpaceDE w:val="0"/>
      <w:autoSpaceDN w:val="0"/>
      <w:ind w:firstLine="200" w:firstLineChars="200"/>
    </w:pPr>
    <w:rPr>
      <w:rFonts w:ascii="宋体" w:hAnsi="宋体" w:eastAsia="宋体"/>
      <w:iCs/>
      <w:color w:val="000000"/>
      <w:kern w:val="2"/>
      <w:sz w:val="28"/>
      <w:lang w:val="zh-CN" w:eastAsia="zh-CN"/>
    </w:rPr>
  </w:style>
  <w:style w:type="table" w:customStyle="1" w:styleId="105">
    <w:name w:val="Table Normal"/>
    <w:semiHidden/>
    <w:unhideWhenUsed/>
    <w:qFormat/>
    <w:uiPriority w:val="2"/>
    <w:pPr>
      <w:widowControl w:val="0"/>
    </w:pPr>
    <w:rPr>
      <w:rFonts w:ascii="Calibri" w:hAnsi="Calibri"/>
      <w:sz w:val="22"/>
      <w:lang w:eastAsia="en-US"/>
    </w:rPr>
    <w:tblPr>
      <w:tblCellMar>
        <w:top w:w="0" w:type="dxa"/>
        <w:left w:w="0" w:type="dxa"/>
        <w:bottom w:w="0" w:type="dxa"/>
        <w:right w:w="0" w:type="dxa"/>
      </w:tblCellMar>
    </w:tblPr>
  </w:style>
  <w:style w:type="paragraph" w:customStyle="1" w:styleId="106">
    <w:name w:val="Table Text"/>
    <w:basedOn w:val="1"/>
    <w:semiHidden/>
    <w:qFormat/>
    <w:uiPriority w:val="0"/>
    <w:rPr>
      <w:rFonts w:ascii="宋体" w:hAnsi="宋体" w:eastAsia="宋体" w:cs="宋体"/>
      <w:iCs/>
      <w:kern w:val="2"/>
      <w:sz w:val="28"/>
      <w:szCs w:val="28"/>
      <w:lang w:eastAsia="en-US"/>
    </w:rPr>
  </w:style>
  <w:style w:type="character" w:customStyle="1" w:styleId="107">
    <w:name w:val="样式——四川扩建设计 字符"/>
    <w:link w:val="108"/>
    <w:uiPriority w:val="0"/>
    <w:rPr>
      <w:rFonts w:ascii="宋体" w:hAnsi="宋体"/>
      <w:sz w:val="24"/>
      <w:szCs w:val="22"/>
    </w:rPr>
  </w:style>
  <w:style w:type="paragraph" w:customStyle="1" w:styleId="108">
    <w:name w:val="样式——四川扩建设计"/>
    <w:basedOn w:val="1"/>
    <w:link w:val="107"/>
    <w:qFormat/>
    <w:uiPriority w:val="0"/>
    <w:pPr>
      <w:widowControl/>
      <w:spacing w:line="440" w:lineRule="exact"/>
      <w:ind w:firstLine="200" w:firstLineChars="200"/>
      <w:jc w:val="left"/>
    </w:pPr>
    <w:rPr>
      <w:rFonts w:ascii="宋体" w:hAnsi="宋体" w:eastAsia="宋体"/>
      <w:szCs w:val="22"/>
      <w:lang w:eastAsia="zh-CN"/>
    </w:rPr>
  </w:style>
  <w:style w:type="character" w:customStyle="1" w:styleId="109">
    <w:name w:val="Unresolved Mention"/>
    <w:basedOn w:val="35"/>
    <w:semiHidden/>
    <w:unhideWhenUsed/>
    <w:qFormat/>
    <w:uiPriority w:val="99"/>
    <w:rPr>
      <w:color w:val="605E5C"/>
      <w:shd w:val="clear" w:color="auto" w:fill="E1DFDD"/>
    </w:rPr>
  </w:style>
  <w:style w:type="paragraph" w:customStyle="1" w:styleId="110">
    <w:name w:val="TOC Heading"/>
    <w:basedOn w:val="4"/>
    <w:next w:val="1"/>
    <w:unhideWhenUsed/>
    <w:qFormat/>
    <w:uiPriority w:val="39"/>
    <w:pPr>
      <w:widowControl/>
      <w:spacing w:before="240" w:line="259" w:lineRule="auto"/>
      <w:jc w:val="left"/>
      <w:outlineLvl w:val="9"/>
    </w:pPr>
    <w:rPr>
      <w:rFonts w:asciiTheme="majorHAnsi" w:hAnsiTheme="majorHAnsi" w:eastAsiaTheme="majorEastAsia" w:cstheme="majorBidi"/>
      <w:b w:val="0"/>
      <w:color w:val="2E75B6" w:themeColor="accent1" w:themeShade="BF"/>
      <w:kern w:val="0"/>
      <w:sz w:val="32"/>
      <w:szCs w:val="32"/>
      <w:lang w:eastAsia="zh-CN"/>
    </w:rPr>
  </w:style>
  <w:style w:type="character" w:customStyle="1" w:styleId="111">
    <w:name w:val="正文文本首行缩进 2 字符"/>
    <w:basedOn w:val="35"/>
    <w:link w:val="2"/>
    <w:qFormat/>
    <w:uiPriority w:val="0"/>
    <w:rPr>
      <w:rFonts w:eastAsia="PMingLiU"/>
      <w:kern w:val="2"/>
      <w:sz w:val="21"/>
      <w:lang w:eastAsia="zh-TW"/>
    </w:rPr>
  </w:style>
</w:styles>
</file>

<file path=word/_rels/document.xml.rels><?xml version="1.0" encoding="UTF-8" standalone="yes"?>
<Relationships xmlns="http://schemas.openxmlformats.org/package/2006/relationships"><Relationship Id="rId99" Type="http://schemas.openxmlformats.org/officeDocument/2006/relationships/image" Target="media/image76.jpeg"/><Relationship Id="rId98" Type="http://schemas.openxmlformats.org/officeDocument/2006/relationships/image" Target="media/image75.jpeg"/><Relationship Id="rId97" Type="http://schemas.openxmlformats.org/officeDocument/2006/relationships/image" Target="media/image74.jpeg"/><Relationship Id="rId96" Type="http://schemas.openxmlformats.org/officeDocument/2006/relationships/image" Target="media/image73.jpeg"/><Relationship Id="rId95" Type="http://schemas.openxmlformats.org/officeDocument/2006/relationships/image" Target="media/image72.jpeg"/><Relationship Id="rId94" Type="http://schemas.openxmlformats.org/officeDocument/2006/relationships/image" Target="media/image71.jpeg"/><Relationship Id="rId93" Type="http://schemas.openxmlformats.org/officeDocument/2006/relationships/image" Target="media/image70.jpeg"/><Relationship Id="rId92" Type="http://schemas.openxmlformats.org/officeDocument/2006/relationships/image" Target="media/image69.jpeg"/><Relationship Id="rId91" Type="http://schemas.openxmlformats.org/officeDocument/2006/relationships/image" Target="media/image68.jpeg"/><Relationship Id="rId90" Type="http://schemas.openxmlformats.org/officeDocument/2006/relationships/image" Target="media/image67.jpeg"/><Relationship Id="rId9" Type="http://schemas.openxmlformats.org/officeDocument/2006/relationships/header" Target="header5.xml"/><Relationship Id="rId89" Type="http://schemas.openxmlformats.org/officeDocument/2006/relationships/image" Target="media/image66.jpeg"/><Relationship Id="rId88" Type="http://schemas.openxmlformats.org/officeDocument/2006/relationships/image" Target="media/image65.jpeg"/><Relationship Id="rId87" Type="http://schemas.openxmlformats.org/officeDocument/2006/relationships/image" Target="media/image64.jpeg"/><Relationship Id="rId86" Type="http://schemas.openxmlformats.org/officeDocument/2006/relationships/image" Target="media/image63.png"/><Relationship Id="rId85" Type="http://schemas.openxmlformats.org/officeDocument/2006/relationships/image" Target="media/image62.jpeg"/><Relationship Id="rId84" Type="http://schemas.openxmlformats.org/officeDocument/2006/relationships/image" Target="media/image61.jpeg"/><Relationship Id="rId83" Type="http://schemas.openxmlformats.org/officeDocument/2006/relationships/image" Target="media/image60.jpeg"/><Relationship Id="rId82" Type="http://schemas.openxmlformats.org/officeDocument/2006/relationships/image" Target="media/image59.png"/><Relationship Id="rId81" Type="http://schemas.openxmlformats.org/officeDocument/2006/relationships/image" Target="media/image58.jpeg"/><Relationship Id="rId80" Type="http://schemas.openxmlformats.org/officeDocument/2006/relationships/image" Target="media/image57.jpeg"/><Relationship Id="rId8" Type="http://schemas.openxmlformats.org/officeDocument/2006/relationships/header" Target="header4.xml"/><Relationship Id="rId79" Type="http://schemas.openxmlformats.org/officeDocument/2006/relationships/image" Target="media/image56.jpeg"/><Relationship Id="rId78" Type="http://schemas.openxmlformats.org/officeDocument/2006/relationships/image" Target="media/image55.jpeg"/><Relationship Id="rId77" Type="http://schemas.openxmlformats.org/officeDocument/2006/relationships/image" Target="media/image54.jpeg"/><Relationship Id="rId76" Type="http://schemas.openxmlformats.org/officeDocument/2006/relationships/image" Target="media/image53.jpeg"/><Relationship Id="rId75" Type="http://schemas.openxmlformats.org/officeDocument/2006/relationships/image" Target="media/image52.jpeg"/><Relationship Id="rId74" Type="http://schemas.openxmlformats.org/officeDocument/2006/relationships/image" Target="media/image51.jpeg"/><Relationship Id="rId73" Type="http://schemas.openxmlformats.org/officeDocument/2006/relationships/image" Target="media/image50.png"/><Relationship Id="rId72" Type="http://schemas.openxmlformats.org/officeDocument/2006/relationships/image" Target="media/image49.png"/><Relationship Id="rId71" Type="http://schemas.openxmlformats.org/officeDocument/2006/relationships/image" Target="media/image48.png"/><Relationship Id="rId70" Type="http://schemas.openxmlformats.org/officeDocument/2006/relationships/image" Target="media/image47.png"/><Relationship Id="rId7" Type="http://schemas.openxmlformats.org/officeDocument/2006/relationships/header" Target="header3.xml"/><Relationship Id="rId69" Type="http://schemas.openxmlformats.org/officeDocument/2006/relationships/image" Target="media/image46.png"/><Relationship Id="rId68" Type="http://schemas.openxmlformats.org/officeDocument/2006/relationships/image" Target="media/image45.wmf"/><Relationship Id="rId67" Type="http://schemas.openxmlformats.org/officeDocument/2006/relationships/oleObject" Target="embeddings/oleObject2.bin"/><Relationship Id="rId66" Type="http://schemas.openxmlformats.org/officeDocument/2006/relationships/image" Target="media/image44.png"/><Relationship Id="rId65" Type="http://schemas.openxmlformats.org/officeDocument/2006/relationships/image" Target="media/image43.png"/><Relationship Id="rId64" Type="http://schemas.openxmlformats.org/officeDocument/2006/relationships/image" Target="media/image42.png"/><Relationship Id="rId63" Type="http://schemas.openxmlformats.org/officeDocument/2006/relationships/image" Target="media/image41.emf"/><Relationship Id="rId62" Type="http://schemas.openxmlformats.org/officeDocument/2006/relationships/oleObject" Target="embeddings/oleObject1.bin"/><Relationship Id="rId61" Type="http://schemas.openxmlformats.org/officeDocument/2006/relationships/image" Target="media/image40.png"/><Relationship Id="rId60" Type="http://schemas.openxmlformats.org/officeDocument/2006/relationships/image" Target="media/image39.png"/><Relationship Id="rId6" Type="http://schemas.openxmlformats.org/officeDocument/2006/relationships/footer" Target="footer2.xml"/><Relationship Id="rId59" Type="http://schemas.openxmlformats.org/officeDocument/2006/relationships/image" Target="media/image38.png"/><Relationship Id="rId58" Type="http://schemas.openxmlformats.org/officeDocument/2006/relationships/image" Target="media/image37.jpeg"/><Relationship Id="rId57" Type="http://schemas.openxmlformats.org/officeDocument/2006/relationships/image" Target="media/image36.wmf"/><Relationship Id="rId56" Type="http://schemas.openxmlformats.org/officeDocument/2006/relationships/image" Target="media/image35.wmf"/><Relationship Id="rId55" Type="http://schemas.openxmlformats.org/officeDocument/2006/relationships/image" Target="media/image34.png"/><Relationship Id="rId54" Type="http://schemas.openxmlformats.org/officeDocument/2006/relationships/image" Target="media/image33.png"/><Relationship Id="rId53" Type="http://schemas.openxmlformats.org/officeDocument/2006/relationships/image" Target="media/image32.png"/><Relationship Id="rId52" Type="http://schemas.openxmlformats.org/officeDocument/2006/relationships/image" Target="media/image31.png"/><Relationship Id="rId51" Type="http://schemas.openxmlformats.org/officeDocument/2006/relationships/image" Target="media/image30.png"/><Relationship Id="rId50" Type="http://schemas.openxmlformats.org/officeDocument/2006/relationships/image" Target="media/image29.png"/><Relationship Id="rId5" Type="http://schemas.openxmlformats.org/officeDocument/2006/relationships/header" Target="header2.xml"/><Relationship Id="rId49" Type="http://schemas.openxmlformats.org/officeDocument/2006/relationships/image" Target="media/image28.png"/><Relationship Id="rId48" Type="http://schemas.openxmlformats.org/officeDocument/2006/relationships/image" Target="media/image27.png"/><Relationship Id="rId47" Type="http://schemas.openxmlformats.org/officeDocument/2006/relationships/image" Target="media/image26.png"/><Relationship Id="rId46" Type="http://schemas.openxmlformats.org/officeDocument/2006/relationships/image" Target="media/image25.png"/><Relationship Id="rId45" Type="http://schemas.openxmlformats.org/officeDocument/2006/relationships/image" Target="media/image24.png"/><Relationship Id="rId44" Type="http://schemas.openxmlformats.org/officeDocument/2006/relationships/image" Target="media/image23.png"/><Relationship Id="rId43" Type="http://schemas.openxmlformats.org/officeDocument/2006/relationships/image" Target="media/image22.png"/><Relationship Id="rId42" Type="http://schemas.openxmlformats.org/officeDocument/2006/relationships/image" Target="media/image21.png"/><Relationship Id="rId41" Type="http://schemas.openxmlformats.org/officeDocument/2006/relationships/image" Target="media/image20.png"/><Relationship Id="rId40" Type="http://schemas.openxmlformats.org/officeDocument/2006/relationships/image" Target="media/image19.png"/><Relationship Id="rId4" Type="http://schemas.openxmlformats.org/officeDocument/2006/relationships/footer" Target="footer1.xml"/><Relationship Id="rId39" Type="http://schemas.openxmlformats.org/officeDocument/2006/relationships/image" Target="media/image18.png"/><Relationship Id="rId38" Type="http://schemas.openxmlformats.org/officeDocument/2006/relationships/image" Target="media/image17.png"/><Relationship Id="rId37" Type="http://schemas.openxmlformats.org/officeDocument/2006/relationships/image" Target="media/image16.png"/><Relationship Id="rId36" Type="http://schemas.openxmlformats.org/officeDocument/2006/relationships/image" Target="media/image15.jpeg"/><Relationship Id="rId35" Type="http://schemas.openxmlformats.org/officeDocument/2006/relationships/image" Target="media/image14.png"/><Relationship Id="rId34" Type="http://schemas.openxmlformats.org/officeDocument/2006/relationships/image" Target="media/image13.wmf"/><Relationship Id="rId33" Type="http://schemas.openxmlformats.org/officeDocument/2006/relationships/image" Target="media/image12.png"/><Relationship Id="rId32" Type="http://schemas.openxmlformats.org/officeDocument/2006/relationships/image" Target="media/image11.png"/><Relationship Id="rId31" Type="http://schemas.openxmlformats.org/officeDocument/2006/relationships/image" Target="media/image10.png"/><Relationship Id="rId30" Type="http://schemas.openxmlformats.org/officeDocument/2006/relationships/image" Target="media/image9.png"/><Relationship Id="rId3" Type="http://schemas.openxmlformats.org/officeDocument/2006/relationships/header" Target="header1.xml"/><Relationship Id="rId29" Type="http://schemas.openxmlformats.org/officeDocument/2006/relationships/image" Target="media/image8.png"/><Relationship Id="rId28" Type="http://schemas.openxmlformats.org/officeDocument/2006/relationships/image" Target="media/image7.png"/><Relationship Id="rId274" Type="http://schemas.openxmlformats.org/officeDocument/2006/relationships/fontTable" Target="fontTable.xml"/><Relationship Id="rId273" Type="http://schemas.openxmlformats.org/officeDocument/2006/relationships/customXml" Target="../customXml/item2.xml"/><Relationship Id="rId272" Type="http://schemas.openxmlformats.org/officeDocument/2006/relationships/numbering" Target="numbering.xml"/><Relationship Id="rId271" Type="http://schemas.openxmlformats.org/officeDocument/2006/relationships/customXml" Target="../customXml/item1.xml"/><Relationship Id="rId270" Type="http://schemas.openxmlformats.org/officeDocument/2006/relationships/image" Target="media/image207.png"/><Relationship Id="rId27" Type="http://schemas.openxmlformats.org/officeDocument/2006/relationships/image" Target="media/image6.png"/><Relationship Id="rId269" Type="http://schemas.openxmlformats.org/officeDocument/2006/relationships/image" Target="media/image206.png"/><Relationship Id="rId268" Type="http://schemas.openxmlformats.org/officeDocument/2006/relationships/image" Target="media/image205.jpeg"/><Relationship Id="rId267" Type="http://schemas.openxmlformats.org/officeDocument/2006/relationships/image" Target="media/image204.png"/><Relationship Id="rId266" Type="http://schemas.openxmlformats.org/officeDocument/2006/relationships/image" Target="media/image203.png"/><Relationship Id="rId265" Type="http://schemas.openxmlformats.org/officeDocument/2006/relationships/image" Target="media/image202.png"/><Relationship Id="rId264" Type="http://schemas.openxmlformats.org/officeDocument/2006/relationships/image" Target="media/image201.png"/><Relationship Id="rId263" Type="http://schemas.openxmlformats.org/officeDocument/2006/relationships/image" Target="media/image200.png"/><Relationship Id="rId262" Type="http://schemas.openxmlformats.org/officeDocument/2006/relationships/image" Target="media/image199.png"/><Relationship Id="rId261" Type="http://schemas.openxmlformats.org/officeDocument/2006/relationships/image" Target="media/image198.png"/><Relationship Id="rId260" Type="http://schemas.openxmlformats.org/officeDocument/2006/relationships/image" Target="media/image197.png"/><Relationship Id="rId26" Type="http://schemas.openxmlformats.org/officeDocument/2006/relationships/image" Target="media/image5.png"/><Relationship Id="rId259" Type="http://schemas.openxmlformats.org/officeDocument/2006/relationships/image" Target="media/image196.png"/><Relationship Id="rId258" Type="http://schemas.openxmlformats.org/officeDocument/2006/relationships/image" Target="media/image195.png"/><Relationship Id="rId257" Type="http://schemas.openxmlformats.org/officeDocument/2006/relationships/image" Target="media/image194.png"/><Relationship Id="rId256" Type="http://schemas.openxmlformats.org/officeDocument/2006/relationships/image" Target="media/image193.png"/><Relationship Id="rId255" Type="http://schemas.openxmlformats.org/officeDocument/2006/relationships/image" Target="media/image192.png"/><Relationship Id="rId254" Type="http://schemas.openxmlformats.org/officeDocument/2006/relationships/image" Target="media/image191.png"/><Relationship Id="rId253" Type="http://schemas.openxmlformats.org/officeDocument/2006/relationships/image" Target="media/image190.png"/><Relationship Id="rId252" Type="http://schemas.openxmlformats.org/officeDocument/2006/relationships/image" Target="media/image189.png"/><Relationship Id="rId251" Type="http://schemas.openxmlformats.org/officeDocument/2006/relationships/image" Target="media/image188.wmf"/><Relationship Id="rId250" Type="http://schemas.openxmlformats.org/officeDocument/2006/relationships/oleObject" Target="embeddings/oleObject42.bin"/><Relationship Id="rId25" Type="http://schemas.openxmlformats.org/officeDocument/2006/relationships/image" Target="media/image4.png"/><Relationship Id="rId249" Type="http://schemas.openxmlformats.org/officeDocument/2006/relationships/image" Target="media/image187.wmf"/><Relationship Id="rId248" Type="http://schemas.openxmlformats.org/officeDocument/2006/relationships/oleObject" Target="embeddings/oleObject41.bin"/><Relationship Id="rId247" Type="http://schemas.openxmlformats.org/officeDocument/2006/relationships/image" Target="media/image186.wmf"/><Relationship Id="rId246" Type="http://schemas.openxmlformats.org/officeDocument/2006/relationships/oleObject" Target="embeddings/oleObject40.bin"/><Relationship Id="rId245" Type="http://schemas.openxmlformats.org/officeDocument/2006/relationships/image" Target="media/image185.png"/><Relationship Id="rId244" Type="http://schemas.openxmlformats.org/officeDocument/2006/relationships/image" Target="media/image184.png"/><Relationship Id="rId243" Type="http://schemas.openxmlformats.org/officeDocument/2006/relationships/image" Target="media/image183.wmf"/><Relationship Id="rId242" Type="http://schemas.openxmlformats.org/officeDocument/2006/relationships/oleObject" Target="embeddings/oleObject39.bin"/><Relationship Id="rId241" Type="http://schemas.openxmlformats.org/officeDocument/2006/relationships/image" Target="media/image182.png"/><Relationship Id="rId240" Type="http://schemas.openxmlformats.org/officeDocument/2006/relationships/image" Target="media/image181.png"/><Relationship Id="rId24" Type="http://schemas.openxmlformats.org/officeDocument/2006/relationships/image" Target="media/image3.png"/><Relationship Id="rId239" Type="http://schemas.openxmlformats.org/officeDocument/2006/relationships/image" Target="media/image180.png"/><Relationship Id="rId238" Type="http://schemas.openxmlformats.org/officeDocument/2006/relationships/image" Target="media/image179.wmf"/><Relationship Id="rId237" Type="http://schemas.openxmlformats.org/officeDocument/2006/relationships/oleObject" Target="embeddings/oleObject38.bin"/><Relationship Id="rId236" Type="http://schemas.openxmlformats.org/officeDocument/2006/relationships/image" Target="media/image178.wmf"/><Relationship Id="rId235" Type="http://schemas.openxmlformats.org/officeDocument/2006/relationships/oleObject" Target="embeddings/oleObject37.bin"/><Relationship Id="rId234" Type="http://schemas.openxmlformats.org/officeDocument/2006/relationships/image" Target="media/image177.wmf"/><Relationship Id="rId233" Type="http://schemas.openxmlformats.org/officeDocument/2006/relationships/oleObject" Target="embeddings/oleObject36.bin"/><Relationship Id="rId232" Type="http://schemas.openxmlformats.org/officeDocument/2006/relationships/image" Target="media/image176.wmf"/><Relationship Id="rId231" Type="http://schemas.openxmlformats.org/officeDocument/2006/relationships/oleObject" Target="embeddings/oleObject35.bin"/><Relationship Id="rId230" Type="http://schemas.openxmlformats.org/officeDocument/2006/relationships/image" Target="media/image175.wmf"/><Relationship Id="rId23" Type="http://schemas.openxmlformats.org/officeDocument/2006/relationships/image" Target="media/image2.png"/><Relationship Id="rId229" Type="http://schemas.openxmlformats.org/officeDocument/2006/relationships/oleObject" Target="embeddings/oleObject34.bin"/><Relationship Id="rId228" Type="http://schemas.openxmlformats.org/officeDocument/2006/relationships/image" Target="media/image174.wmf"/><Relationship Id="rId227" Type="http://schemas.openxmlformats.org/officeDocument/2006/relationships/oleObject" Target="embeddings/oleObject33.bin"/><Relationship Id="rId226" Type="http://schemas.openxmlformats.org/officeDocument/2006/relationships/image" Target="media/image173.wmf"/><Relationship Id="rId225" Type="http://schemas.openxmlformats.org/officeDocument/2006/relationships/oleObject" Target="embeddings/oleObject32.bin"/><Relationship Id="rId224" Type="http://schemas.openxmlformats.org/officeDocument/2006/relationships/image" Target="media/image172.png"/><Relationship Id="rId223" Type="http://schemas.openxmlformats.org/officeDocument/2006/relationships/image" Target="media/image171.png"/><Relationship Id="rId222" Type="http://schemas.openxmlformats.org/officeDocument/2006/relationships/image" Target="media/image170.jpeg"/><Relationship Id="rId221" Type="http://schemas.openxmlformats.org/officeDocument/2006/relationships/image" Target="media/image169.emf"/><Relationship Id="rId220" Type="http://schemas.openxmlformats.org/officeDocument/2006/relationships/image" Target="media/image168.wmf"/><Relationship Id="rId22" Type="http://schemas.openxmlformats.org/officeDocument/2006/relationships/image" Target="media/image1.png"/><Relationship Id="rId219" Type="http://schemas.openxmlformats.org/officeDocument/2006/relationships/oleObject" Target="embeddings/oleObject31.bin"/><Relationship Id="rId218" Type="http://schemas.openxmlformats.org/officeDocument/2006/relationships/image" Target="media/image167.emf"/><Relationship Id="rId217" Type="http://schemas.openxmlformats.org/officeDocument/2006/relationships/image" Target="media/image166.jpeg"/><Relationship Id="rId216" Type="http://schemas.openxmlformats.org/officeDocument/2006/relationships/image" Target="media/image165.jpeg"/><Relationship Id="rId215" Type="http://schemas.openxmlformats.org/officeDocument/2006/relationships/image" Target="media/image164.jpeg"/><Relationship Id="rId214" Type="http://schemas.openxmlformats.org/officeDocument/2006/relationships/image" Target="media/image163.png"/><Relationship Id="rId213" Type="http://schemas.openxmlformats.org/officeDocument/2006/relationships/image" Target="media/image162.png"/><Relationship Id="rId212" Type="http://schemas.openxmlformats.org/officeDocument/2006/relationships/image" Target="media/image161.wmf"/><Relationship Id="rId211" Type="http://schemas.openxmlformats.org/officeDocument/2006/relationships/oleObject" Target="embeddings/oleObject30.bin"/><Relationship Id="rId210" Type="http://schemas.openxmlformats.org/officeDocument/2006/relationships/image" Target="media/image160.wmf"/><Relationship Id="rId21" Type="http://schemas.openxmlformats.org/officeDocument/2006/relationships/theme" Target="theme/theme1.xml"/><Relationship Id="rId209" Type="http://schemas.openxmlformats.org/officeDocument/2006/relationships/oleObject" Target="embeddings/oleObject29.bin"/><Relationship Id="rId208" Type="http://schemas.openxmlformats.org/officeDocument/2006/relationships/image" Target="media/image159.wmf"/><Relationship Id="rId207" Type="http://schemas.openxmlformats.org/officeDocument/2006/relationships/oleObject" Target="embeddings/oleObject28.bin"/><Relationship Id="rId206" Type="http://schemas.openxmlformats.org/officeDocument/2006/relationships/image" Target="media/image158.wmf"/><Relationship Id="rId205" Type="http://schemas.openxmlformats.org/officeDocument/2006/relationships/oleObject" Target="embeddings/oleObject27.bin"/><Relationship Id="rId204" Type="http://schemas.openxmlformats.org/officeDocument/2006/relationships/image" Target="media/image157.wmf"/><Relationship Id="rId203" Type="http://schemas.openxmlformats.org/officeDocument/2006/relationships/oleObject" Target="embeddings/oleObject26.bin"/><Relationship Id="rId202" Type="http://schemas.openxmlformats.org/officeDocument/2006/relationships/image" Target="media/image156.jpeg"/><Relationship Id="rId201" Type="http://schemas.openxmlformats.org/officeDocument/2006/relationships/image" Target="media/image155.jpeg"/><Relationship Id="rId200" Type="http://schemas.openxmlformats.org/officeDocument/2006/relationships/image" Target="media/image154.jpeg"/><Relationship Id="rId20" Type="http://schemas.openxmlformats.org/officeDocument/2006/relationships/footer" Target="footer7.xml"/><Relationship Id="rId2" Type="http://schemas.openxmlformats.org/officeDocument/2006/relationships/settings" Target="settings.xml"/><Relationship Id="rId199" Type="http://schemas.openxmlformats.org/officeDocument/2006/relationships/image" Target="media/image153.jpeg"/><Relationship Id="rId198" Type="http://schemas.openxmlformats.org/officeDocument/2006/relationships/image" Target="media/image152.jpeg"/><Relationship Id="rId197" Type="http://schemas.openxmlformats.org/officeDocument/2006/relationships/image" Target="media/image151.jpeg"/><Relationship Id="rId196" Type="http://schemas.openxmlformats.org/officeDocument/2006/relationships/image" Target="media/image150.jpeg"/><Relationship Id="rId195" Type="http://schemas.openxmlformats.org/officeDocument/2006/relationships/image" Target="media/image149.jpeg"/><Relationship Id="rId194" Type="http://schemas.openxmlformats.org/officeDocument/2006/relationships/image" Target="media/image148.jpeg"/><Relationship Id="rId193" Type="http://schemas.openxmlformats.org/officeDocument/2006/relationships/image" Target="media/image147.jpeg"/><Relationship Id="rId192" Type="http://schemas.openxmlformats.org/officeDocument/2006/relationships/image" Target="media/image146.jpeg"/><Relationship Id="rId191" Type="http://schemas.openxmlformats.org/officeDocument/2006/relationships/image" Target="media/image145.jpeg"/><Relationship Id="rId190" Type="http://schemas.openxmlformats.org/officeDocument/2006/relationships/image" Target="media/image144.jpeg"/><Relationship Id="rId19" Type="http://schemas.openxmlformats.org/officeDocument/2006/relationships/footer" Target="footer6.xml"/><Relationship Id="rId189" Type="http://schemas.openxmlformats.org/officeDocument/2006/relationships/image" Target="media/image143.png"/><Relationship Id="rId188" Type="http://schemas.openxmlformats.org/officeDocument/2006/relationships/image" Target="media/image142.jpeg"/><Relationship Id="rId187" Type="http://schemas.openxmlformats.org/officeDocument/2006/relationships/image" Target="media/image141.jpeg"/><Relationship Id="rId186" Type="http://schemas.openxmlformats.org/officeDocument/2006/relationships/image" Target="media/image140.png"/><Relationship Id="rId185" Type="http://schemas.openxmlformats.org/officeDocument/2006/relationships/image" Target="media/image139.jpeg"/><Relationship Id="rId184" Type="http://schemas.openxmlformats.org/officeDocument/2006/relationships/image" Target="media/image138.jpeg"/><Relationship Id="rId183" Type="http://schemas.openxmlformats.org/officeDocument/2006/relationships/image" Target="media/image137.jpeg"/><Relationship Id="rId182" Type="http://schemas.openxmlformats.org/officeDocument/2006/relationships/image" Target="media/image136.jpeg"/><Relationship Id="rId181" Type="http://schemas.openxmlformats.org/officeDocument/2006/relationships/image" Target="media/image135.wmf"/><Relationship Id="rId180" Type="http://schemas.openxmlformats.org/officeDocument/2006/relationships/oleObject" Target="embeddings/oleObject25.bin"/><Relationship Id="rId18" Type="http://schemas.openxmlformats.org/officeDocument/2006/relationships/header" Target="header11.xml"/><Relationship Id="rId179" Type="http://schemas.openxmlformats.org/officeDocument/2006/relationships/image" Target="media/image134.wmf"/><Relationship Id="rId178" Type="http://schemas.openxmlformats.org/officeDocument/2006/relationships/oleObject" Target="embeddings/oleObject24.bin"/><Relationship Id="rId177" Type="http://schemas.openxmlformats.org/officeDocument/2006/relationships/image" Target="media/image133.wmf"/><Relationship Id="rId176" Type="http://schemas.openxmlformats.org/officeDocument/2006/relationships/oleObject" Target="embeddings/oleObject23.bin"/><Relationship Id="rId175" Type="http://schemas.openxmlformats.org/officeDocument/2006/relationships/image" Target="media/image132.wmf"/><Relationship Id="rId174" Type="http://schemas.openxmlformats.org/officeDocument/2006/relationships/oleObject" Target="embeddings/oleObject22.bin"/><Relationship Id="rId173" Type="http://schemas.openxmlformats.org/officeDocument/2006/relationships/image" Target="media/image131.wmf"/><Relationship Id="rId172" Type="http://schemas.openxmlformats.org/officeDocument/2006/relationships/oleObject" Target="embeddings/oleObject21.bin"/><Relationship Id="rId171" Type="http://schemas.openxmlformats.org/officeDocument/2006/relationships/image" Target="media/image130.wmf"/><Relationship Id="rId170" Type="http://schemas.openxmlformats.org/officeDocument/2006/relationships/oleObject" Target="embeddings/oleObject20.bin"/><Relationship Id="rId17" Type="http://schemas.openxmlformats.org/officeDocument/2006/relationships/footer" Target="footer5.xml"/><Relationship Id="rId169" Type="http://schemas.openxmlformats.org/officeDocument/2006/relationships/image" Target="media/image129.wmf"/><Relationship Id="rId168" Type="http://schemas.openxmlformats.org/officeDocument/2006/relationships/oleObject" Target="embeddings/oleObject19.bin"/><Relationship Id="rId167" Type="http://schemas.openxmlformats.org/officeDocument/2006/relationships/image" Target="media/image128.wmf"/><Relationship Id="rId166" Type="http://schemas.openxmlformats.org/officeDocument/2006/relationships/oleObject" Target="embeddings/oleObject18.bin"/><Relationship Id="rId165" Type="http://schemas.openxmlformats.org/officeDocument/2006/relationships/image" Target="media/image127.wmf"/><Relationship Id="rId164" Type="http://schemas.openxmlformats.org/officeDocument/2006/relationships/oleObject" Target="embeddings/oleObject17.bin"/><Relationship Id="rId163" Type="http://schemas.openxmlformats.org/officeDocument/2006/relationships/image" Target="media/image126.wmf"/><Relationship Id="rId162" Type="http://schemas.openxmlformats.org/officeDocument/2006/relationships/image" Target="media/image125.wmf"/><Relationship Id="rId161" Type="http://schemas.openxmlformats.org/officeDocument/2006/relationships/image" Target="media/image124.wmf"/><Relationship Id="rId160" Type="http://schemas.openxmlformats.org/officeDocument/2006/relationships/image" Target="media/image123.wmf"/><Relationship Id="rId16" Type="http://schemas.openxmlformats.org/officeDocument/2006/relationships/header" Target="header10.xml"/><Relationship Id="rId159" Type="http://schemas.openxmlformats.org/officeDocument/2006/relationships/image" Target="media/image122.wmf"/><Relationship Id="rId158" Type="http://schemas.openxmlformats.org/officeDocument/2006/relationships/image" Target="media/image121.wmf"/><Relationship Id="rId157" Type="http://schemas.openxmlformats.org/officeDocument/2006/relationships/image" Target="media/image120.wmf"/><Relationship Id="rId156" Type="http://schemas.openxmlformats.org/officeDocument/2006/relationships/image" Target="media/image119.wmf"/><Relationship Id="rId155" Type="http://schemas.openxmlformats.org/officeDocument/2006/relationships/image" Target="media/image118.wmf"/><Relationship Id="rId154" Type="http://schemas.openxmlformats.org/officeDocument/2006/relationships/image" Target="media/image117.emf"/><Relationship Id="rId153" Type="http://schemas.openxmlformats.org/officeDocument/2006/relationships/image" Target="media/image116.emf"/><Relationship Id="rId152" Type="http://schemas.openxmlformats.org/officeDocument/2006/relationships/image" Target="media/image115.jpeg"/><Relationship Id="rId151" Type="http://schemas.openxmlformats.org/officeDocument/2006/relationships/image" Target="media/image114.jpeg"/><Relationship Id="rId150" Type="http://schemas.openxmlformats.org/officeDocument/2006/relationships/image" Target="media/image113.jpeg"/><Relationship Id="rId15" Type="http://schemas.openxmlformats.org/officeDocument/2006/relationships/header" Target="header9.xml"/><Relationship Id="rId149" Type="http://schemas.openxmlformats.org/officeDocument/2006/relationships/image" Target="media/image112.emf"/><Relationship Id="rId148" Type="http://schemas.openxmlformats.org/officeDocument/2006/relationships/image" Target="media/image111.png"/><Relationship Id="rId147" Type="http://schemas.openxmlformats.org/officeDocument/2006/relationships/image" Target="media/image110.wmf"/><Relationship Id="rId146" Type="http://schemas.openxmlformats.org/officeDocument/2006/relationships/oleObject" Target="embeddings/oleObject16.bin"/><Relationship Id="rId145" Type="http://schemas.openxmlformats.org/officeDocument/2006/relationships/image" Target="media/image109.wmf"/><Relationship Id="rId144" Type="http://schemas.openxmlformats.org/officeDocument/2006/relationships/oleObject" Target="embeddings/oleObject15.bin"/><Relationship Id="rId143" Type="http://schemas.openxmlformats.org/officeDocument/2006/relationships/image" Target="media/image108.wmf"/><Relationship Id="rId142" Type="http://schemas.openxmlformats.org/officeDocument/2006/relationships/oleObject" Target="embeddings/oleObject14.bin"/><Relationship Id="rId141" Type="http://schemas.openxmlformats.org/officeDocument/2006/relationships/image" Target="media/image107.wmf"/><Relationship Id="rId140" Type="http://schemas.openxmlformats.org/officeDocument/2006/relationships/oleObject" Target="embeddings/oleObject13.bin"/><Relationship Id="rId14" Type="http://schemas.openxmlformats.org/officeDocument/2006/relationships/header" Target="header8.xml"/><Relationship Id="rId139" Type="http://schemas.openxmlformats.org/officeDocument/2006/relationships/image" Target="media/image106.wmf"/><Relationship Id="rId138" Type="http://schemas.openxmlformats.org/officeDocument/2006/relationships/oleObject" Target="embeddings/oleObject12.bin"/><Relationship Id="rId137" Type="http://schemas.openxmlformats.org/officeDocument/2006/relationships/image" Target="media/image105.wmf"/><Relationship Id="rId136" Type="http://schemas.openxmlformats.org/officeDocument/2006/relationships/oleObject" Target="embeddings/oleObject11.bin"/><Relationship Id="rId135" Type="http://schemas.openxmlformats.org/officeDocument/2006/relationships/image" Target="media/image104.wmf"/><Relationship Id="rId134" Type="http://schemas.openxmlformats.org/officeDocument/2006/relationships/oleObject" Target="embeddings/oleObject10.bin"/><Relationship Id="rId133" Type="http://schemas.openxmlformats.org/officeDocument/2006/relationships/image" Target="media/image103.wmf"/><Relationship Id="rId132" Type="http://schemas.openxmlformats.org/officeDocument/2006/relationships/oleObject" Target="embeddings/oleObject9.bin"/><Relationship Id="rId131" Type="http://schemas.openxmlformats.org/officeDocument/2006/relationships/image" Target="media/image102.wmf"/><Relationship Id="rId130" Type="http://schemas.openxmlformats.org/officeDocument/2006/relationships/oleObject" Target="embeddings/oleObject8.bin"/><Relationship Id="rId13" Type="http://schemas.openxmlformats.org/officeDocument/2006/relationships/footer" Target="footer4.xml"/><Relationship Id="rId129" Type="http://schemas.openxmlformats.org/officeDocument/2006/relationships/image" Target="media/image101.wmf"/><Relationship Id="rId128" Type="http://schemas.openxmlformats.org/officeDocument/2006/relationships/oleObject" Target="embeddings/oleObject7.bin"/><Relationship Id="rId127" Type="http://schemas.openxmlformats.org/officeDocument/2006/relationships/image" Target="media/image100.wmf"/><Relationship Id="rId126" Type="http://schemas.openxmlformats.org/officeDocument/2006/relationships/oleObject" Target="embeddings/oleObject6.bin"/><Relationship Id="rId125" Type="http://schemas.openxmlformats.org/officeDocument/2006/relationships/image" Target="media/image99.wmf"/><Relationship Id="rId124" Type="http://schemas.openxmlformats.org/officeDocument/2006/relationships/oleObject" Target="embeddings/oleObject5.bin"/><Relationship Id="rId123" Type="http://schemas.openxmlformats.org/officeDocument/2006/relationships/image" Target="media/image98.wmf"/><Relationship Id="rId122" Type="http://schemas.openxmlformats.org/officeDocument/2006/relationships/oleObject" Target="embeddings/oleObject4.bin"/><Relationship Id="rId121" Type="http://schemas.openxmlformats.org/officeDocument/2006/relationships/image" Target="media/image97.emf"/><Relationship Id="rId120" Type="http://schemas.openxmlformats.org/officeDocument/2006/relationships/image" Target="media/image96.wmf"/><Relationship Id="rId12" Type="http://schemas.openxmlformats.org/officeDocument/2006/relationships/footer" Target="footer3.xml"/><Relationship Id="rId119" Type="http://schemas.openxmlformats.org/officeDocument/2006/relationships/oleObject" Target="embeddings/oleObject3.bin"/><Relationship Id="rId118" Type="http://schemas.openxmlformats.org/officeDocument/2006/relationships/image" Target="media/image95.png"/><Relationship Id="rId117" Type="http://schemas.openxmlformats.org/officeDocument/2006/relationships/image" Target="media/image94.jpeg"/><Relationship Id="rId116" Type="http://schemas.openxmlformats.org/officeDocument/2006/relationships/image" Target="media/image93.jpeg"/><Relationship Id="rId115" Type="http://schemas.openxmlformats.org/officeDocument/2006/relationships/image" Target="media/image92.png"/><Relationship Id="rId114" Type="http://schemas.openxmlformats.org/officeDocument/2006/relationships/image" Target="media/image91.png"/><Relationship Id="rId113" Type="http://schemas.openxmlformats.org/officeDocument/2006/relationships/image" Target="media/image90.png"/><Relationship Id="rId112" Type="http://schemas.openxmlformats.org/officeDocument/2006/relationships/image" Target="media/image89.png"/><Relationship Id="rId111" Type="http://schemas.openxmlformats.org/officeDocument/2006/relationships/image" Target="media/image88.jpeg"/><Relationship Id="rId110" Type="http://schemas.openxmlformats.org/officeDocument/2006/relationships/image" Target="media/image87.jpeg"/><Relationship Id="rId11" Type="http://schemas.openxmlformats.org/officeDocument/2006/relationships/header" Target="header7.xml"/><Relationship Id="rId109" Type="http://schemas.openxmlformats.org/officeDocument/2006/relationships/image" Target="media/image86.jpeg"/><Relationship Id="rId108" Type="http://schemas.openxmlformats.org/officeDocument/2006/relationships/image" Target="media/image85.jpeg"/><Relationship Id="rId107" Type="http://schemas.openxmlformats.org/officeDocument/2006/relationships/image" Target="media/image84.jpeg"/><Relationship Id="rId106" Type="http://schemas.openxmlformats.org/officeDocument/2006/relationships/image" Target="media/image83.jpeg"/><Relationship Id="rId105" Type="http://schemas.openxmlformats.org/officeDocument/2006/relationships/image" Target="media/image82.jpeg"/><Relationship Id="rId104" Type="http://schemas.openxmlformats.org/officeDocument/2006/relationships/image" Target="media/image81.jpeg"/><Relationship Id="rId103" Type="http://schemas.openxmlformats.org/officeDocument/2006/relationships/image" Target="media/image80.jpeg"/><Relationship Id="rId102" Type="http://schemas.openxmlformats.org/officeDocument/2006/relationships/image" Target="media/image79.jpeg"/><Relationship Id="rId101" Type="http://schemas.openxmlformats.org/officeDocument/2006/relationships/image" Target="media/image78.jpeg"/><Relationship Id="rId100" Type="http://schemas.openxmlformats.org/officeDocument/2006/relationships/image" Target="media/image77.jpeg"/><Relationship Id="rId10" Type="http://schemas.openxmlformats.org/officeDocument/2006/relationships/header" Target="header6.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4BEC2D8-E307-48BA-97D6-8A001322BD74}">
  <ds:schemaRefs/>
</ds:datastoreItem>
</file>

<file path=docProps/app.xml><?xml version="1.0" encoding="utf-8"?>
<Properties xmlns="http://schemas.openxmlformats.org/officeDocument/2006/extended-properties" xmlns:vt="http://schemas.openxmlformats.org/officeDocument/2006/docPropsVTypes">
  <Template>Normal</Template>
  <Pages>1</Pages>
  <Words>53772</Words>
  <Characters>306503</Characters>
  <Lines>2554</Lines>
  <Paragraphs>719</Paragraphs>
  <TotalTime>40</TotalTime>
  <ScaleCrop>false</ScaleCrop>
  <LinksUpToDate>false</LinksUpToDate>
  <CharactersWithSpaces>359556</CharactersWithSpaces>
  <Application>WPS Office_12.1.0.15990_F1E327BC-269C-435d-A152-05C5408002CA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2024-05-10T09:54:00Z</dcterms:created>
  <dc:creator>Administrator</dc:creator>
  <cp:lastModifiedBy>Administrator</cp:lastModifiedBy>
  <cp:lastPrinted>2024-05-20T08:51:00Z</cp:lastPrinted>
  <dcterms:modified xsi:type="dcterms:W3CDTF">2024-05-21T08:06:34Z</dcterms:modified>
  <dc:title>宣汉县勇平矿业有限公司年产30万吨煤矿建设项目</dc:title>
  <cp:revision>19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2052-12.1.0.15990</vt:lpwstr>
  </property>
  <property fmtid="{D5CDD505-2E9C-101B-9397-08002B2CF9AE}" pid="3" name="ICV">
    <vt:lpwstr>0A98C7946831434E851B6A22CECFFD4B</vt:lpwstr>
  </property>
</Properties>
</file>